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2.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510413" w14:textId="77777777" w:rsidR="00166638" w:rsidRPr="00F562A8" w:rsidRDefault="00166638" w:rsidP="006F6435">
      <w:pPr>
        <w:spacing w:line="276" w:lineRule="auto"/>
        <w:jc w:val="center"/>
        <w:rPr>
          <w:rFonts w:ascii="Times New Roman" w:hAnsi="Times New Roman" w:cs="Times New Roman"/>
        </w:rPr>
      </w:pPr>
      <w:r w:rsidRPr="00F562A8">
        <w:rPr>
          <w:rFonts w:ascii="Times New Roman" w:hAnsi="Times New Roman" w:cs="Times New Roman"/>
          <w:noProof/>
          <w:lang w:eastAsia="ru-RU"/>
        </w:rPr>
        <w:drawing>
          <wp:inline distT="0" distB="0" distL="0" distR="0" wp14:anchorId="78081A9D" wp14:editId="69F1F5A4">
            <wp:extent cx="638175" cy="614680"/>
            <wp:effectExtent l="0" t="0" r="9525" b="0"/>
            <wp:docPr id="108" name="Рисунок 12" descr="Реэкспонирование 1"/>
            <wp:cNvGraphicFramePr/>
            <a:graphic xmlns:a="http://schemas.openxmlformats.org/drawingml/2006/main">
              <a:graphicData uri="http://schemas.openxmlformats.org/drawingml/2006/picture">
                <pic:pic xmlns:pic="http://schemas.openxmlformats.org/drawingml/2006/picture">
                  <pic:nvPicPr>
                    <pic:cNvPr id="1" name="Рисунок 12" descr="Реэкспонирование 1"/>
                    <pic:cNvPicPr/>
                  </pic:nvPicPr>
                  <pic:blipFill>
                    <a:blip r:embed="rId8"/>
                    <a:stretch>
                      <a:fillRect/>
                    </a:stretch>
                  </pic:blipFill>
                  <pic:spPr bwMode="auto">
                    <a:xfrm>
                      <a:off x="0" y="0"/>
                      <a:ext cx="638175" cy="614680"/>
                    </a:xfrm>
                    <a:prstGeom prst="rect">
                      <a:avLst/>
                    </a:prstGeom>
                  </pic:spPr>
                </pic:pic>
              </a:graphicData>
            </a:graphic>
          </wp:inline>
        </w:drawing>
      </w:r>
    </w:p>
    <w:p w14:paraId="38163953" w14:textId="77777777" w:rsidR="00166638" w:rsidRPr="00F562A8" w:rsidRDefault="00166638" w:rsidP="006F6435">
      <w:pPr>
        <w:spacing w:line="276" w:lineRule="auto"/>
        <w:contextualSpacing/>
        <w:jc w:val="center"/>
        <w:rPr>
          <w:rFonts w:ascii="Times New Roman" w:hAnsi="Times New Roman" w:cs="Times New Roman"/>
          <w:sz w:val="28"/>
          <w:szCs w:val="28"/>
        </w:rPr>
      </w:pPr>
      <w:r w:rsidRPr="00F562A8">
        <w:rPr>
          <w:rFonts w:ascii="Times New Roman" w:hAnsi="Times New Roman" w:cs="Times New Roman"/>
          <w:sz w:val="28"/>
          <w:szCs w:val="28"/>
        </w:rPr>
        <w:t>ГОСУДАРСТВЕННОЕ БЮДЖЕТНОЕ УЧРЕЖДЕНИЕ</w:t>
      </w:r>
    </w:p>
    <w:p w14:paraId="47A1F89F" w14:textId="77777777" w:rsidR="00166638" w:rsidRPr="00F562A8" w:rsidRDefault="00166638" w:rsidP="006F6435">
      <w:pPr>
        <w:spacing w:line="276" w:lineRule="auto"/>
        <w:contextualSpacing/>
        <w:jc w:val="center"/>
        <w:rPr>
          <w:rFonts w:ascii="Times New Roman" w:hAnsi="Times New Roman" w:cs="Times New Roman"/>
          <w:sz w:val="28"/>
          <w:szCs w:val="28"/>
        </w:rPr>
      </w:pPr>
      <w:r w:rsidRPr="00F562A8">
        <w:rPr>
          <w:rFonts w:ascii="Times New Roman" w:hAnsi="Times New Roman" w:cs="Times New Roman"/>
          <w:sz w:val="28"/>
          <w:szCs w:val="28"/>
        </w:rPr>
        <w:t>ВОРОНЕЖСКОЙ ОБЛАСТИ</w:t>
      </w:r>
    </w:p>
    <w:p w14:paraId="2BCBD2F1" w14:textId="77777777" w:rsidR="00166638" w:rsidRPr="00F562A8" w:rsidRDefault="00166638" w:rsidP="006F6435">
      <w:pPr>
        <w:spacing w:line="276" w:lineRule="auto"/>
        <w:contextualSpacing/>
        <w:jc w:val="center"/>
        <w:rPr>
          <w:rFonts w:ascii="Times New Roman" w:hAnsi="Times New Roman" w:cs="Times New Roman"/>
          <w:sz w:val="28"/>
          <w:szCs w:val="28"/>
        </w:rPr>
      </w:pPr>
      <w:r w:rsidRPr="00F562A8">
        <w:rPr>
          <w:rFonts w:ascii="Times New Roman" w:hAnsi="Times New Roman" w:cs="Times New Roman"/>
          <w:b/>
          <w:sz w:val="28"/>
          <w:szCs w:val="28"/>
        </w:rPr>
        <w:t>«ЦЕНТР ГОСУДАРСТВЕННОЙ КАДАСТРОВОЙ ОЦЕНКИ ВОРОНЕЖСКОЙ ОБЛАСТИ»</w:t>
      </w:r>
    </w:p>
    <w:p w14:paraId="45681F99" w14:textId="77777777" w:rsidR="00166638" w:rsidRPr="00F562A8" w:rsidRDefault="00166638" w:rsidP="006F6435">
      <w:pPr>
        <w:spacing w:line="276" w:lineRule="auto"/>
        <w:contextualSpacing/>
        <w:jc w:val="center"/>
        <w:rPr>
          <w:rFonts w:ascii="Times New Roman" w:hAnsi="Times New Roman" w:cs="Times New Roman"/>
          <w:b/>
          <w:sz w:val="28"/>
          <w:szCs w:val="28"/>
        </w:rPr>
      </w:pPr>
      <w:r w:rsidRPr="00F562A8">
        <w:rPr>
          <w:rFonts w:ascii="Times New Roman" w:hAnsi="Times New Roman" w:cs="Times New Roman"/>
          <w:b/>
          <w:sz w:val="28"/>
          <w:szCs w:val="28"/>
        </w:rPr>
        <w:t>(ГБУ ВО «ЦГКО ВО»)</w:t>
      </w:r>
    </w:p>
    <w:p w14:paraId="46910553" w14:textId="77777777" w:rsidR="00166638" w:rsidRPr="00F562A8" w:rsidRDefault="00166638" w:rsidP="006F6435">
      <w:pPr>
        <w:spacing w:after="0" w:line="276" w:lineRule="auto"/>
        <w:contextualSpacing/>
        <w:jc w:val="center"/>
        <w:rPr>
          <w:rFonts w:ascii="Times New Roman" w:hAnsi="Times New Roman" w:cs="Times New Roman"/>
          <w:b/>
          <w:sz w:val="28"/>
          <w:szCs w:val="28"/>
        </w:rPr>
      </w:pPr>
      <w:r w:rsidRPr="00F562A8">
        <w:rPr>
          <w:rFonts w:ascii="Times New Roman" w:hAnsi="Times New Roman" w:cs="Times New Roman"/>
          <w:b/>
          <w:sz w:val="28"/>
          <w:szCs w:val="28"/>
        </w:rPr>
        <w:t>_________________________________________________________________</w:t>
      </w:r>
    </w:p>
    <w:p w14:paraId="1B5135ED" w14:textId="77777777" w:rsidR="00645482" w:rsidRPr="00945B88" w:rsidRDefault="00645482" w:rsidP="00645482">
      <w:pPr>
        <w:spacing w:after="0" w:line="276" w:lineRule="auto"/>
        <w:jc w:val="center"/>
        <w:rPr>
          <w:rFonts w:ascii="Times New Roman" w:hAnsi="Times New Roman" w:cs="Times New Roman"/>
          <w:sz w:val="20"/>
          <w:szCs w:val="20"/>
        </w:rPr>
      </w:pPr>
      <w:r w:rsidRPr="00C12C39">
        <w:rPr>
          <w:rFonts w:ascii="Times New Roman" w:hAnsi="Times New Roman" w:cs="Times New Roman"/>
          <w:sz w:val="20"/>
          <w:szCs w:val="20"/>
        </w:rPr>
        <w:t>394038</w:t>
      </w:r>
      <w:r w:rsidRPr="00F562A8">
        <w:rPr>
          <w:rFonts w:ascii="Times New Roman" w:hAnsi="Times New Roman" w:cs="Times New Roman"/>
          <w:sz w:val="20"/>
          <w:szCs w:val="20"/>
        </w:rPr>
        <w:t>, Воронежская обл., г. Воронеж,</w:t>
      </w:r>
      <w:r w:rsidRPr="00C12C39">
        <w:rPr>
          <w:rFonts w:ascii="Times New Roman" w:hAnsi="Times New Roman" w:cs="Times New Roman"/>
          <w:sz w:val="20"/>
          <w:szCs w:val="20"/>
        </w:rPr>
        <w:t xml:space="preserve"> ул. Космонавтов</w:t>
      </w:r>
      <w:r w:rsidRPr="00F562A8">
        <w:rPr>
          <w:rFonts w:ascii="Times New Roman" w:hAnsi="Times New Roman" w:cs="Times New Roman"/>
          <w:sz w:val="20"/>
          <w:szCs w:val="20"/>
        </w:rPr>
        <w:t xml:space="preserve">, д. </w:t>
      </w:r>
      <w:r>
        <w:rPr>
          <w:rFonts w:ascii="Times New Roman" w:hAnsi="Times New Roman" w:cs="Times New Roman"/>
          <w:sz w:val="20"/>
          <w:szCs w:val="20"/>
        </w:rPr>
        <w:t>2е</w:t>
      </w:r>
      <w:r w:rsidRPr="00F562A8">
        <w:rPr>
          <w:rFonts w:ascii="Times New Roman" w:hAnsi="Times New Roman" w:cs="Times New Roman"/>
          <w:sz w:val="20"/>
          <w:szCs w:val="20"/>
        </w:rPr>
        <w:t>, тел.+</w:t>
      </w:r>
      <w:r w:rsidRPr="00945B88">
        <w:rPr>
          <w:rFonts w:ascii="Times New Roman" w:hAnsi="Times New Roman" w:cs="Times New Roman"/>
          <w:sz w:val="20"/>
          <w:szCs w:val="20"/>
        </w:rPr>
        <w:t>7(473)210-65-97</w:t>
      </w:r>
    </w:p>
    <w:p w14:paraId="158E7534" w14:textId="77777777" w:rsidR="00645482" w:rsidRPr="00D54691" w:rsidRDefault="00645482" w:rsidP="00645482">
      <w:pPr>
        <w:tabs>
          <w:tab w:val="left" w:pos="7938"/>
        </w:tabs>
        <w:spacing w:after="0" w:line="276" w:lineRule="auto"/>
        <w:jc w:val="center"/>
        <w:rPr>
          <w:rFonts w:ascii="Times New Roman" w:hAnsi="Times New Roman" w:cs="Times New Roman"/>
          <w:lang w:val="en-US"/>
        </w:rPr>
      </w:pPr>
      <w:r w:rsidRPr="00945B88">
        <w:rPr>
          <w:rFonts w:ascii="Times New Roman" w:hAnsi="Times New Roman" w:cs="Times New Roman"/>
          <w:spacing w:val="-12"/>
          <w:lang w:val="de-DE"/>
        </w:rPr>
        <w:t>E-mail: cgko@govvrn.ru</w:t>
      </w:r>
    </w:p>
    <w:p w14:paraId="153316E6" w14:textId="4DD0E57A" w:rsidR="00645482" w:rsidRPr="00D54691" w:rsidRDefault="00645482" w:rsidP="00645482">
      <w:pPr>
        <w:tabs>
          <w:tab w:val="left" w:pos="7938"/>
        </w:tabs>
        <w:spacing w:after="0" w:line="276" w:lineRule="auto"/>
        <w:jc w:val="center"/>
        <w:rPr>
          <w:rFonts w:ascii="Times New Roman" w:hAnsi="Times New Roman" w:cs="Times New Roman"/>
          <w:spacing w:val="-12"/>
          <w:lang w:val="en-US"/>
        </w:rPr>
      </w:pPr>
      <w:r w:rsidRPr="00945B88">
        <w:rPr>
          <w:rFonts w:ascii="Times New Roman" w:hAnsi="Times New Roman" w:cs="Times New Roman"/>
          <w:spacing w:val="-12"/>
        </w:rPr>
        <w:t>ОГРН</w:t>
      </w:r>
      <w:r w:rsidRPr="00D54691">
        <w:rPr>
          <w:rFonts w:ascii="Times New Roman" w:hAnsi="Times New Roman" w:cs="Times New Roman"/>
          <w:spacing w:val="-12"/>
          <w:lang w:val="en-US"/>
        </w:rPr>
        <w:t xml:space="preserve"> 1183668011823 </w:t>
      </w:r>
      <w:r w:rsidRPr="00945B88">
        <w:rPr>
          <w:rFonts w:ascii="Times New Roman" w:hAnsi="Times New Roman" w:cs="Times New Roman"/>
          <w:spacing w:val="-12"/>
        </w:rPr>
        <w:t>ИНН</w:t>
      </w:r>
      <w:r w:rsidRPr="00D54691">
        <w:rPr>
          <w:rFonts w:ascii="Times New Roman" w:hAnsi="Times New Roman" w:cs="Times New Roman"/>
          <w:spacing w:val="-12"/>
          <w:lang w:val="en-US"/>
        </w:rPr>
        <w:t>/</w:t>
      </w:r>
      <w:r w:rsidRPr="00945B88">
        <w:rPr>
          <w:rFonts w:ascii="Times New Roman" w:hAnsi="Times New Roman" w:cs="Times New Roman"/>
          <w:spacing w:val="-12"/>
        </w:rPr>
        <w:t>КПП</w:t>
      </w:r>
      <w:r w:rsidRPr="00D54691">
        <w:rPr>
          <w:rFonts w:ascii="Times New Roman" w:hAnsi="Times New Roman" w:cs="Times New Roman"/>
          <w:spacing w:val="-12"/>
          <w:lang w:val="en-US"/>
        </w:rPr>
        <w:t xml:space="preserve"> 3664234724/</w:t>
      </w:r>
      <w:r w:rsidR="00BC3172" w:rsidRPr="00D54691">
        <w:rPr>
          <w:rFonts w:ascii="Times New Roman" w:hAnsi="Times New Roman" w:cs="Times New Roman"/>
          <w:spacing w:val="-12"/>
          <w:lang w:val="en-US"/>
        </w:rPr>
        <w:t>366501001</w:t>
      </w:r>
    </w:p>
    <w:p w14:paraId="78B60FC6" w14:textId="7169D8A0" w:rsidR="00166638" w:rsidRPr="00D54691" w:rsidRDefault="00166638" w:rsidP="006F6435">
      <w:pPr>
        <w:spacing w:line="276" w:lineRule="auto"/>
        <w:rPr>
          <w:rFonts w:ascii="Times New Roman" w:hAnsi="Times New Roman" w:cs="Times New Roman"/>
          <w:lang w:val="en-US"/>
        </w:rPr>
      </w:pPr>
    </w:p>
    <w:p w14:paraId="04A854CF" w14:textId="48CA4537" w:rsidR="009B7C3D" w:rsidRPr="00D54691" w:rsidRDefault="009B7C3D" w:rsidP="006F6435">
      <w:pPr>
        <w:spacing w:line="276" w:lineRule="auto"/>
        <w:rPr>
          <w:rFonts w:ascii="Times New Roman" w:hAnsi="Times New Roman" w:cs="Times New Roman"/>
          <w:lang w:val="en-US"/>
        </w:rPr>
      </w:pPr>
    </w:p>
    <w:p w14:paraId="12CE3BC8" w14:textId="0CD8113F" w:rsidR="009B7C3D" w:rsidRPr="00D54691" w:rsidRDefault="009B7C3D" w:rsidP="006F6435">
      <w:pPr>
        <w:spacing w:line="276" w:lineRule="auto"/>
        <w:rPr>
          <w:rFonts w:ascii="Times New Roman" w:hAnsi="Times New Roman" w:cs="Times New Roman"/>
          <w:lang w:val="en-US"/>
        </w:rPr>
      </w:pPr>
    </w:p>
    <w:p w14:paraId="581A4A18" w14:textId="77777777" w:rsidR="009B7C3D" w:rsidRPr="00D54691" w:rsidRDefault="009B7C3D" w:rsidP="006F6435">
      <w:pPr>
        <w:spacing w:line="276" w:lineRule="auto"/>
        <w:rPr>
          <w:rFonts w:ascii="Times New Roman" w:hAnsi="Times New Roman" w:cs="Times New Roman"/>
          <w:lang w:val="en-US"/>
        </w:rPr>
      </w:pPr>
    </w:p>
    <w:p w14:paraId="70879B0C" w14:textId="77777777" w:rsidR="003B25E1" w:rsidRPr="00D54691" w:rsidRDefault="003B25E1" w:rsidP="006F6435">
      <w:pPr>
        <w:spacing w:line="276" w:lineRule="auto"/>
        <w:rPr>
          <w:rFonts w:ascii="Times New Roman" w:hAnsi="Times New Roman" w:cs="Times New Roman"/>
          <w:lang w:val="en-US"/>
        </w:rPr>
      </w:pPr>
    </w:p>
    <w:p w14:paraId="310DC271" w14:textId="2F42B98F" w:rsidR="00166638" w:rsidRPr="00F562A8" w:rsidRDefault="00233B12" w:rsidP="006F6435">
      <w:pPr>
        <w:pStyle w:val="a6"/>
        <w:suppressAutoHyphens/>
        <w:spacing w:line="276" w:lineRule="auto"/>
        <w:jc w:val="center"/>
        <w:rPr>
          <w:b/>
          <w:caps/>
          <w:sz w:val="44"/>
          <w:szCs w:val="44"/>
        </w:rPr>
      </w:pPr>
      <w:r>
        <w:rPr>
          <w:b/>
          <w:caps/>
          <w:sz w:val="44"/>
          <w:szCs w:val="44"/>
        </w:rPr>
        <w:t>ПРОЕКТ ОТЧЕТА</w:t>
      </w:r>
      <w:r w:rsidR="00166638" w:rsidRPr="00F562A8">
        <w:rPr>
          <w:b/>
          <w:caps/>
          <w:sz w:val="44"/>
          <w:szCs w:val="44"/>
        </w:rPr>
        <w:t xml:space="preserve"> №1-</w:t>
      </w:r>
      <w:r w:rsidR="00D843F8">
        <w:rPr>
          <w:b/>
          <w:caps/>
          <w:sz w:val="44"/>
          <w:szCs w:val="44"/>
        </w:rPr>
        <w:t>2022</w:t>
      </w:r>
    </w:p>
    <w:p w14:paraId="77E92D4F" w14:textId="77777777" w:rsidR="00166638" w:rsidRPr="00F562A8" w:rsidRDefault="00166638" w:rsidP="006F6435">
      <w:pPr>
        <w:pStyle w:val="a6"/>
        <w:suppressAutoHyphens/>
        <w:spacing w:line="276" w:lineRule="auto"/>
        <w:jc w:val="center"/>
        <w:rPr>
          <w:b/>
          <w:sz w:val="32"/>
          <w:szCs w:val="32"/>
        </w:rPr>
      </w:pPr>
      <w:bookmarkStart w:id="0" w:name="_GoBack"/>
      <w:r w:rsidRPr="00F562A8">
        <w:rPr>
          <w:b/>
          <w:sz w:val="32"/>
          <w:szCs w:val="32"/>
        </w:rPr>
        <w:t>об итогах государственной кадастровой оценки</w:t>
      </w:r>
    </w:p>
    <w:p w14:paraId="7F414586" w14:textId="42FA56D1" w:rsidR="00166638" w:rsidRDefault="00E12674" w:rsidP="006F6435">
      <w:pPr>
        <w:pStyle w:val="a6"/>
        <w:suppressAutoHyphens/>
        <w:spacing w:line="276" w:lineRule="auto"/>
        <w:jc w:val="center"/>
        <w:rPr>
          <w:b/>
          <w:sz w:val="24"/>
          <w:szCs w:val="24"/>
        </w:rPr>
      </w:pPr>
      <w:r>
        <w:rPr>
          <w:b/>
          <w:sz w:val="24"/>
          <w:szCs w:val="24"/>
        </w:rPr>
        <w:t xml:space="preserve">одновременно в отношении всех </w:t>
      </w:r>
      <w:r w:rsidR="00E6662C">
        <w:rPr>
          <w:b/>
          <w:sz w:val="24"/>
          <w:szCs w:val="24"/>
        </w:rPr>
        <w:t xml:space="preserve">учтённых в Едином государственном реестре недвижимости </w:t>
      </w:r>
      <w:r w:rsidR="00E6662C" w:rsidRPr="00A14A0D">
        <w:rPr>
          <w:b/>
          <w:sz w:val="24"/>
          <w:szCs w:val="24"/>
        </w:rPr>
        <w:t>земельных участков</w:t>
      </w:r>
      <w:r w:rsidR="001411BF" w:rsidRPr="00A14A0D">
        <w:rPr>
          <w:b/>
          <w:sz w:val="24"/>
          <w:szCs w:val="24"/>
        </w:rPr>
        <w:t xml:space="preserve"> на территории Воронежской области </w:t>
      </w:r>
    </w:p>
    <w:bookmarkEnd w:id="0"/>
    <w:p w14:paraId="136698AA" w14:textId="77777777" w:rsidR="007C6B5D" w:rsidRPr="00F562A8" w:rsidRDefault="007C6B5D" w:rsidP="006F6435">
      <w:pPr>
        <w:pStyle w:val="a6"/>
        <w:suppressAutoHyphens/>
        <w:spacing w:line="276" w:lineRule="auto"/>
        <w:jc w:val="center"/>
        <w:rPr>
          <w:b/>
          <w:sz w:val="24"/>
          <w:szCs w:val="24"/>
        </w:rPr>
      </w:pPr>
    </w:p>
    <w:p w14:paraId="06152F67" w14:textId="3C052A80" w:rsidR="00166638" w:rsidRDefault="00166638" w:rsidP="006F6435">
      <w:pPr>
        <w:pStyle w:val="a6"/>
        <w:suppressAutoHyphens/>
        <w:spacing w:line="276" w:lineRule="auto"/>
        <w:jc w:val="center"/>
        <w:rPr>
          <w:b/>
          <w:sz w:val="24"/>
        </w:rPr>
      </w:pPr>
    </w:p>
    <w:p w14:paraId="2D3C3D4E" w14:textId="77777777" w:rsidR="00AA5515" w:rsidRPr="00F562A8" w:rsidRDefault="00AA5515" w:rsidP="006F6435">
      <w:pPr>
        <w:pStyle w:val="a6"/>
        <w:suppressAutoHyphens/>
        <w:spacing w:line="276" w:lineRule="auto"/>
        <w:jc w:val="center"/>
        <w:rPr>
          <w:b/>
          <w:sz w:val="24"/>
        </w:rPr>
      </w:pPr>
    </w:p>
    <w:p w14:paraId="7A0D8409" w14:textId="77777777" w:rsidR="00AA5515" w:rsidRPr="00AA5515" w:rsidRDefault="00AA5515" w:rsidP="00AA5515">
      <w:pPr>
        <w:pStyle w:val="a6"/>
        <w:suppressAutoHyphens/>
        <w:spacing w:line="276" w:lineRule="auto"/>
        <w:rPr>
          <w:sz w:val="24"/>
          <w:szCs w:val="24"/>
        </w:rPr>
      </w:pPr>
      <w:r w:rsidRPr="00AA5515">
        <w:rPr>
          <w:sz w:val="24"/>
          <w:szCs w:val="24"/>
        </w:rPr>
        <w:t xml:space="preserve">Дата, по состоянию на которую </w:t>
      </w:r>
    </w:p>
    <w:p w14:paraId="57C7B8E1" w14:textId="77777777" w:rsidR="00AA5515" w:rsidRPr="00AA5515" w:rsidRDefault="00AA5515" w:rsidP="00AA5515">
      <w:pPr>
        <w:pStyle w:val="a6"/>
        <w:suppressAutoHyphens/>
        <w:spacing w:line="276" w:lineRule="auto"/>
        <w:rPr>
          <w:sz w:val="24"/>
          <w:szCs w:val="24"/>
        </w:rPr>
      </w:pPr>
      <w:r w:rsidRPr="00AA5515">
        <w:rPr>
          <w:sz w:val="24"/>
          <w:szCs w:val="24"/>
        </w:rPr>
        <w:t xml:space="preserve">определена кадастровая стоимость </w:t>
      </w:r>
    </w:p>
    <w:p w14:paraId="033FD5D1" w14:textId="1023A7C8" w:rsidR="00AA5515" w:rsidRPr="00AA5515" w:rsidRDefault="00AA5515" w:rsidP="00AA5515">
      <w:pPr>
        <w:pStyle w:val="a6"/>
        <w:suppressAutoHyphens/>
        <w:spacing w:line="276" w:lineRule="auto"/>
        <w:rPr>
          <w:sz w:val="24"/>
          <w:szCs w:val="24"/>
        </w:rPr>
      </w:pPr>
      <w:r w:rsidRPr="00AA5515">
        <w:rPr>
          <w:sz w:val="24"/>
          <w:szCs w:val="24"/>
        </w:rPr>
        <w:t xml:space="preserve">объектов </w:t>
      </w:r>
      <w:r w:rsidR="00923C89" w:rsidRPr="00AA5515">
        <w:rPr>
          <w:sz w:val="24"/>
          <w:szCs w:val="24"/>
        </w:rPr>
        <w:t xml:space="preserve">недвижимости:  </w:t>
      </w:r>
      <w:r w:rsidRPr="00AA5515">
        <w:rPr>
          <w:sz w:val="24"/>
          <w:szCs w:val="24"/>
        </w:rPr>
        <w:t xml:space="preserve">                                                                                     01.01.2022 </w:t>
      </w:r>
    </w:p>
    <w:p w14:paraId="5AF1FF2E" w14:textId="7B0893C7" w:rsidR="0002314F" w:rsidRDefault="0002314F" w:rsidP="00AA5515">
      <w:pPr>
        <w:pStyle w:val="a6"/>
        <w:suppressAutoHyphens/>
        <w:spacing w:line="276" w:lineRule="auto"/>
        <w:rPr>
          <w:sz w:val="24"/>
          <w:szCs w:val="24"/>
        </w:rPr>
      </w:pPr>
    </w:p>
    <w:p w14:paraId="131A2D36" w14:textId="77777777" w:rsidR="00AA5515" w:rsidRPr="00AA5515" w:rsidRDefault="00AA5515" w:rsidP="00AA5515">
      <w:pPr>
        <w:pStyle w:val="a6"/>
        <w:suppressAutoHyphens/>
        <w:spacing w:line="276" w:lineRule="auto"/>
        <w:rPr>
          <w:sz w:val="24"/>
          <w:szCs w:val="24"/>
        </w:rPr>
      </w:pPr>
    </w:p>
    <w:p w14:paraId="6D867E63" w14:textId="73F5CB97" w:rsidR="00AA5515" w:rsidRPr="00AA5515" w:rsidRDefault="00AA5515" w:rsidP="00AA5515">
      <w:pPr>
        <w:pStyle w:val="a6"/>
        <w:suppressAutoHyphens/>
        <w:spacing w:line="276" w:lineRule="auto"/>
        <w:rPr>
          <w:sz w:val="24"/>
          <w:szCs w:val="24"/>
        </w:rPr>
      </w:pPr>
      <w:r w:rsidRPr="00AA5515">
        <w:rPr>
          <w:sz w:val="24"/>
          <w:szCs w:val="24"/>
        </w:rPr>
        <w:t xml:space="preserve">Дата составления </w:t>
      </w:r>
      <w:r w:rsidR="00923C89" w:rsidRPr="00AA5515">
        <w:rPr>
          <w:sz w:val="24"/>
          <w:szCs w:val="24"/>
        </w:rPr>
        <w:t>Отчета</w:t>
      </w:r>
      <w:r w:rsidR="00923C89" w:rsidRPr="00C705EF">
        <w:rPr>
          <w:sz w:val="24"/>
          <w:szCs w:val="24"/>
        </w:rPr>
        <w:t xml:space="preserve">:  </w:t>
      </w:r>
      <w:r w:rsidRPr="00C705EF">
        <w:rPr>
          <w:sz w:val="24"/>
          <w:szCs w:val="24"/>
        </w:rPr>
        <w:t xml:space="preserve">                                                                                    </w:t>
      </w:r>
      <w:r w:rsidR="00C705EF" w:rsidRPr="00C705EF">
        <w:rPr>
          <w:sz w:val="24"/>
          <w:szCs w:val="24"/>
        </w:rPr>
        <w:t>09.08.2022</w:t>
      </w:r>
    </w:p>
    <w:p w14:paraId="44EBA46C" w14:textId="03995B01" w:rsidR="009B7C3D" w:rsidRDefault="009B7C3D" w:rsidP="00F30A06">
      <w:pPr>
        <w:pStyle w:val="a6"/>
        <w:suppressAutoHyphens/>
        <w:spacing w:line="276" w:lineRule="auto"/>
        <w:jc w:val="center"/>
        <w:rPr>
          <w:sz w:val="24"/>
        </w:rPr>
      </w:pPr>
    </w:p>
    <w:p w14:paraId="2D44F880" w14:textId="49FE16BF" w:rsidR="009B7C3D" w:rsidRDefault="009B7C3D" w:rsidP="00F30A06">
      <w:pPr>
        <w:pStyle w:val="a6"/>
        <w:suppressAutoHyphens/>
        <w:spacing w:line="276" w:lineRule="auto"/>
        <w:jc w:val="center"/>
        <w:rPr>
          <w:sz w:val="24"/>
        </w:rPr>
      </w:pPr>
    </w:p>
    <w:p w14:paraId="33BB8BD5" w14:textId="3CF03A2E" w:rsidR="009B7C3D" w:rsidRDefault="009B7C3D" w:rsidP="00F30A06">
      <w:pPr>
        <w:pStyle w:val="a6"/>
        <w:suppressAutoHyphens/>
        <w:spacing w:line="276" w:lineRule="auto"/>
        <w:jc w:val="center"/>
        <w:rPr>
          <w:sz w:val="24"/>
        </w:rPr>
      </w:pPr>
    </w:p>
    <w:p w14:paraId="66F4BB58" w14:textId="55C4077E" w:rsidR="009B7C3D" w:rsidRDefault="009B7C3D" w:rsidP="00F30A06">
      <w:pPr>
        <w:pStyle w:val="a6"/>
        <w:suppressAutoHyphens/>
        <w:spacing w:line="276" w:lineRule="auto"/>
        <w:jc w:val="center"/>
        <w:rPr>
          <w:sz w:val="24"/>
        </w:rPr>
      </w:pPr>
    </w:p>
    <w:p w14:paraId="5C605586" w14:textId="76BDCCF8" w:rsidR="009B7C3D" w:rsidRDefault="009B7C3D" w:rsidP="00F30A06">
      <w:pPr>
        <w:pStyle w:val="a6"/>
        <w:suppressAutoHyphens/>
        <w:spacing w:line="276" w:lineRule="auto"/>
        <w:jc w:val="center"/>
        <w:rPr>
          <w:sz w:val="24"/>
        </w:rPr>
      </w:pPr>
    </w:p>
    <w:p w14:paraId="6A6D3762" w14:textId="7AF29D04" w:rsidR="009B7C3D" w:rsidRDefault="009B7C3D" w:rsidP="00F30A06">
      <w:pPr>
        <w:pStyle w:val="a6"/>
        <w:suppressAutoHyphens/>
        <w:spacing w:line="276" w:lineRule="auto"/>
        <w:jc w:val="center"/>
        <w:rPr>
          <w:sz w:val="24"/>
        </w:rPr>
      </w:pPr>
    </w:p>
    <w:p w14:paraId="63519C0E" w14:textId="77777777" w:rsidR="009B7C3D" w:rsidRDefault="009B7C3D" w:rsidP="00F30A06">
      <w:pPr>
        <w:pStyle w:val="a6"/>
        <w:suppressAutoHyphens/>
        <w:spacing w:line="276" w:lineRule="auto"/>
        <w:jc w:val="center"/>
        <w:rPr>
          <w:sz w:val="24"/>
        </w:rPr>
      </w:pPr>
    </w:p>
    <w:p w14:paraId="36CCFF45" w14:textId="77777777" w:rsidR="009B7C3D" w:rsidRDefault="009B7C3D" w:rsidP="00F30A06">
      <w:pPr>
        <w:pStyle w:val="a6"/>
        <w:suppressAutoHyphens/>
        <w:spacing w:line="276" w:lineRule="auto"/>
        <w:jc w:val="center"/>
        <w:rPr>
          <w:sz w:val="24"/>
        </w:rPr>
      </w:pPr>
    </w:p>
    <w:p w14:paraId="37B21785" w14:textId="77777777" w:rsidR="0002314F" w:rsidRDefault="0002314F" w:rsidP="00F30A06">
      <w:pPr>
        <w:pStyle w:val="a6"/>
        <w:suppressAutoHyphens/>
        <w:spacing w:line="276" w:lineRule="auto"/>
        <w:jc w:val="center"/>
        <w:rPr>
          <w:sz w:val="24"/>
        </w:rPr>
      </w:pPr>
    </w:p>
    <w:p w14:paraId="505BB21F" w14:textId="73A90F05" w:rsidR="006E487F" w:rsidRDefault="00166638" w:rsidP="00F30A06">
      <w:pPr>
        <w:pStyle w:val="a6"/>
        <w:suppressAutoHyphens/>
        <w:spacing w:line="276" w:lineRule="auto"/>
        <w:jc w:val="center"/>
        <w:rPr>
          <w:sz w:val="24"/>
        </w:rPr>
      </w:pPr>
      <w:r w:rsidRPr="00F562A8">
        <w:rPr>
          <w:sz w:val="24"/>
        </w:rPr>
        <w:t>г. Воронеж</w:t>
      </w:r>
    </w:p>
    <w:p w14:paraId="26C5418E" w14:textId="77777777" w:rsidR="007C6B5D" w:rsidRDefault="00D843F8" w:rsidP="00F30A06">
      <w:pPr>
        <w:pStyle w:val="a6"/>
        <w:suppressAutoHyphens/>
        <w:spacing w:line="276" w:lineRule="auto"/>
        <w:jc w:val="center"/>
        <w:rPr>
          <w:sz w:val="24"/>
        </w:rPr>
      </w:pPr>
      <w:r>
        <w:rPr>
          <w:sz w:val="24"/>
        </w:rPr>
        <w:t>2022</w:t>
      </w:r>
      <w:r w:rsidR="00FF2070">
        <w:rPr>
          <w:sz w:val="24"/>
        </w:rPr>
        <w:t xml:space="preserve"> </w:t>
      </w:r>
      <w:r w:rsidR="00166638" w:rsidRPr="00F562A8">
        <w:rPr>
          <w:sz w:val="24"/>
        </w:rPr>
        <w:t>г.</w:t>
      </w:r>
    </w:p>
    <w:sdt>
      <w:sdtPr>
        <w:rPr>
          <w:rFonts w:ascii="Times New Roman" w:eastAsiaTheme="minorHAnsi" w:hAnsi="Times New Roman" w:cs="Times New Roman"/>
          <w:b/>
          <w:noProof/>
          <w:color w:val="auto"/>
          <w:sz w:val="22"/>
          <w:szCs w:val="22"/>
          <w:lang w:eastAsia="en-US"/>
        </w:rPr>
        <w:id w:val="1892618508"/>
        <w:docPartObj>
          <w:docPartGallery w:val="Table of Contents"/>
          <w:docPartUnique/>
        </w:docPartObj>
      </w:sdtPr>
      <w:sdtEndPr>
        <w:rPr>
          <w:rFonts w:eastAsiaTheme="minorEastAsia"/>
          <w:lang w:eastAsia="ru-RU"/>
        </w:rPr>
      </w:sdtEndPr>
      <w:sdtContent>
        <w:p w14:paraId="76D4A78E" w14:textId="3A6E66BC" w:rsidR="00464152" w:rsidRPr="009B03C2" w:rsidRDefault="00464152" w:rsidP="006F6435">
          <w:pPr>
            <w:pStyle w:val="af"/>
            <w:spacing w:line="276" w:lineRule="auto"/>
            <w:jc w:val="center"/>
            <w:rPr>
              <w:rFonts w:ascii="Times New Roman" w:hAnsi="Times New Roman" w:cs="Times New Roman"/>
              <w:b/>
              <w:i/>
              <w:color w:val="auto"/>
              <w:sz w:val="28"/>
              <w:szCs w:val="28"/>
            </w:rPr>
          </w:pPr>
          <w:r w:rsidRPr="009B03C2">
            <w:rPr>
              <w:rFonts w:ascii="Times New Roman" w:hAnsi="Times New Roman" w:cs="Times New Roman"/>
              <w:b/>
              <w:i/>
              <w:color w:val="auto"/>
              <w:sz w:val="28"/>
              <w:szCs w:val="28"/>
            </w:rPr>
            <w:t>Оглавление</w:t>
          </w:r>
        </w:p>
        <w:p w14:paraId="7C2D2ABD" w14:textId="5BF97595" w:rsidR="005717F3" w:rsidRPr="00D613DA" w:rsidRDefault="00464152" w:rsidP="005717F3">
          <w:pPr>
            <w:pStyle w:val="14"/>
          </w:pPr>
          <w:r w:rsidRPr="009F671A">
            <w:rPr>
              <w:sz w:val="26"/>
              <w:szCs w:val="26"/>
            </w:rPr>
            <w:fldChar w:fldCharType="begin"/>
          </w:r>
          <w:r w:rsidRPr="009F671A">
            <w:rPr>
              <w:sz w:val="26"/>
              <w:szCs w:val="26"/>
            </w:rPr>
            <w:instrText xml:space="preserve"> TOC \o "1-3" \h \z \u </w:instrText>
          </w:r>
          <w:r w:rsidRPr="009F671A">
            <w:rPr>
              <w:sz w:val="26"/>
              <w:szCs w:val="26"/>
            </w:rPr>
            <w:fldChar w:fldCharType="separate"/>
          </w:r>
          <w:hyperlink w:anchor="_Toc110506918" w:history="1">
            <w:r w:rsidR="005717F3" w:rsidRPr="00D613DA">
              <w:rPr>
                <w:rStyle w:val="ad"/>
              </w:rPr>
              <w:t>1.</w:t>
            </w:r>
            <w:r w:rsidR="00D613DA" w:rsidRPr="00D613DA">
              <w:t xml:space="preserve"> </w:t>
            </w:r>
            <w:r w:rsidR="005717F3" w:rsidRPr="00D613DA">
              <w:rPr>
                <w:rStyle w:val="ad"/>
              </w:rPr>
              <w:t>ОСНОВНЫЕ ТЕРМИНЫ, ИСПОЛЬЗУЕМЫЕ В ПРОЕКТЕ ОТЧЕТА, И ИХ ОПРЕДЕЛЕНИЯ</w:t>
            </w:r>
            <w:r w:rsidR="005717F3" w:rsidRPr="00D613DA">
              <w:rPr>
                <w:webHidden/>
              </w:rPr>
              <w:tab/>
            </w:r>
            <w:r w:rsidR="005717F3" w:rsidRPr="00D613DA">
              <w:rPr>
                <w:webHidden/>
              </w:rPr>
              <w:fldChar w:fldCharType="begin"/>
            </w:r>
            <w:r w:rsidR="005717F3" w:rsidRPr="00D613DA">
              <w:rPr>
                <w:webHidden/>
              </w:rPr>
              <w:instrText xml:space="preserve"> PAGEREF _Toc110506918 \h </w:instrText>
            </w:r>
            <w:r w:rsidR="005717F3" w:rsidRPr="00D613DA">
              <w:rPr>
                <w:webHidden/>
              </w:rPr>
            </w:r>
            <w:r w:rsidR="005717F3" w:rsidRPr="00D613DA">
              <w:rPr>
                <w:webHidden/>
              </w:rPr>
              <w:fldChar w:fldCharType="separate"/>
            </w:r>
            <w:r w:rsidR="00D54691">
              <w:rPr>
                <w:webHidden/>
              </w:rPr>
              <w:t>8</w:t>
            </w:r>
            <w:r w:rsidR="005717F3" w:rsidRPr="00D613DA">
              <w:rPr>
                <w:webHidden/>
              </w:rPr>
              <w:fldChar w:fldCharType="end"/>
            </w:r>
          </w:hyperlink>
        </w:p>
        <w:p w14:paraId="6BCD90AA" w14:textId="5A9EE4B5" w:rsidR="005717F3" w:rsidRPr="00D613DA" w:rsidRDefault="00FF7453" w:rsidP="005717F3">
          <w:pPr>
            <w:pStyle w:val="14"/>
          </w:pPr>
          <w:hyperlink w:anchor="_Toc110506919" w:history="1">
            <w:r w:rsidR="005717F3" w:rsidRPr="00D613DA">
              <w:rPr>
                <w:rStyle w:val="ad"/>
              </w:rPr>
              <w:t>2.</w:t>
            </w:r>
            <w:r w:rsidR="00D613DA" w:rsidRPr="00D613DA">
              <w:t xml:space="preserve"> </w:t>
            </w:r>
            <w:r w:rsidR="005717F3" w:rsidRPr="00D613DA">
              <w:rPr>
                <w:rStyle w:val="ad"/>
              </w:rPr>
              <w:t>ВВОДНАЯ ГЛАВА</w:t>
            </w:r>
            <w:r w:rsidR="005717F3" w:rsidRPr="00D613DA">
              <w:rPr>
                <w:webHidden/>
              </w:rPr>
              <w:tab/>
            </w:r>
            <w:r w:rsidR="005717F3" w:rsidRPr="00D613DA">
              <w:rPr>
                <w:webHidden/>
              </w:rPr>
              <w:fldChar w:fldCharType="begin"/>
            </w:r>
            <w:r w:rsidR="005717F3" w:rsidRPr="00D613DA">
              <w:rPr>
                <w:webHidden/>
              </w:rPr>
              <w:instrText xml:space="preserve"> PAGEREF _Toc110506919 \h </w:instrText>
            </w:r>
            <w:r w:rsidR="005717F3" w:rsidRPr="00D613DA">
              <w:rPr>
                <w:webHidden/>
              </w:rPr>
            </w:r>
            <w:r w:rsidR="005717F3" w:rsidRPr="00D613DA">
              <w:rPr>
                <w:webHidden/>
              </w:rPr>
              <w:fldChar w:fldCharType="separate"/>
            </w:r>
            <w:r w:rsidR="00D54691">
              <w:rPr>
                <w:webHidden/>
              </w:rPr>
              <w:t>14</w:t>
            </w:r>
            <w:r w:rsidR="005717F3" w:rsidRPr="00D613DA">
              <w:rPr>
                <w:webHidden/>
              </w:rPr>
              <w:fldChar w:fldCharType="end"/>
            </w:r>
          </w:hyperlink>
        </w:p>
        <w:p w14:paraId="4833BB46" w14:textId="7D6E3B71" w:rsidR="005717F3" w:rsidRPr="00D613DA" w:rsidRDefault="00FF7453" w:rsidP="00D613DA">
          <w:pPr>
            <w:pStyle w:val="22"/>
          </w:pPr>
          <w:hyperlink w:anchor="_Toc110506920" w:history="1">
            <w:r w:rsidR="005717F3" w:rsidRPr="00D613DA">
              <w:rPr>
                <w:rStyle w:val="ad"/>
              </w:rPr>
              <w:t>2.1 Реквизиты ОТЧЕТА</w:t>
            </w:r>
            <w:r w:rsidR="005717F3" w:rsidRPr="00D613DA">
              <w:rPr>
                <w:webHidden/>
              </w:rPr>
              <w:tab/>
            </w:r>
            <w:r w:rsidR="005717F3" w:rsidRPr="00D613DA">
              <w:rPr>
                <w:webHidden/>
              </w:rPr>
              <w:fldChar w:fldCharType="begin"/>
            </w:r>
            <w:r w:rsidR="005717F3" w:rsidRPr="00D613DA">
              <w:rPr>
                <w:webHidden/>
              </w:rPr>
              <w:instrText xml:space="preserve"> PAGEREF _Toc110506920 \h </w:instrText>
            </w:r>
            <w:r w:rsidR="005717F3" w:rsidRPr="00D613DA">
              <w:rPr>
                <w:webHidden/>
              </w:rPr>
            </w:r>
            <w:r w:rsidR="005717F3" w:rsidRPr="00D613DA">
              <w:rPr>
                <w:webHidden/>
              </w:rPr>
              <w:fldChar w:fldCharType="separate"/>
            </w:r>
            <w:r w:rsidR="00D54691">
              <w:rPr>
                <w:webHidden/>
              </w:rPr>
              <w:t>14</w:t>
            </w:r>
            <w:r w:rsidR="005717F3" w:rsidRPr="00D613DA">
              <w:rPr>
                <w:webHidden/>
              </w:rPr>
              <w:fldChar w:fldCharType="end"/>
            </w:r>
          </w:hyperlink>
        </w:p>
        <w:p w14:paraId="03A44D77" w14:textId="472FE515" w:rsidR="005717F3" w:rsidRPr="00D613DA" w:rsidRDefault="00FF7453" w:rsidP="00D613DA">
          <w:pPr>
            <w:pStyle w:val="22"/>
          </w:pPr>
          <w:hyperlink w:anchor="_Toc110506921" w:history="1">
            <w:r w:rsidR="005717F3" w:rsidRPr="00D613DA">
              <w:rPr>
                <w:rStyle w:val="ad"/>
              </w:rPr>
              <w:t>2.2 Наименование субъекта Российской Федерации, на территории которого проводилась государственная кадастровая оценка</w:t>
            </w:r>
            <w:r w:rsidR="005717F3" w:rsidRPr="00D613DA">
              <w:rPr>
                <w:webHidden/>
              </w:rPr>
              <w:tab/>
            </w:r>
            <w:r w:rsidR="005717F3" w:rsidRPr="00D613DA">
              <w:rPr>
                <w:webHidden/>
              </w:rPr>
              <w:fldChar w:fldCharType="begin"/>
            </w:r>
            <w:r w:rsidR="005717F3" w:rsidRPr="00D613DA">
              <w:rPr>
                <w:webHidden/>
              </w:rPr>
              <w:instrText xml:space="preserve"> PAGEREF _Toc110506921 \h </w:instrText>
            </w:r>
            <w:r w:rsidR="005717F3" w:rsidRPr="00D613DA">
              <w:rPr>
                <w:webHidden/>
              </w:rPr>
            </w:r>
            <w:r w:rsidR="005717F3" w:rsidRPr="00D613DA">
              <w:rPr>
                <w:webHidden/>
              </w:rPr>
              <w:fldChar w:fldCharType="separate"/>
            </w:r>
            <w:r w:rsidR="00D54691">
              <w:rPr>
                <w:webHidden/>
              </w:rPr>
              <w:t>14</w:t>
            </w:r>
            <w:r w:rsidR="005717F3" w:rsidRPr="00D613DA">
              <w:rPr>
                <w:webHidden/>
              </w:rPr>
              <w:fldChar w:fldCharType="end"/>
            </w:r>
          </w:hyperlink>
        </w:p>
        <w:p w14:paraId="513C8A52" w14:textId="6D76C61D" w:rsidR="005717F3" w:rsidRPr="00D613DA" w:rsidRDefault="00FF7453" w:rsidP="00D613DA">
          <w:pPr>
            <w:pStyle w:val="22"/>
          </w:pPr>
          <w:hyperlink w:anchor="_Toc110506922" w:history="1">
            <w:r w:rsidR="005717F3" w:rsidRPr="00D613DA">
              <w:rPr>
                <w:rStyle w:val="ad"/>
              </w:rPr>
              <w:t>2.3 Реквизиты решения о проведении государственной кадастровой оценки, вид объектов недвижимости, в отношении которых принято решение о проведении государственной кадастровой оценки, категории земель</w:t>
            </w:r>
            <w:r w:rsidR="005717F3" w:rsidRPr="00D613DA">
              <w:rPr>
                <w:webHidden/>
              </w:rPr>
              <w:tab/>
            </w:r>
            <w:r w:rsidR="005717F3" w:rsidRPr="00D613DA">
              <w:rPr>
                <w:webHidden/>
              </w:rPr>
              <w:fldChar w:fldCharType="begin"/>
            </w:r>
            <w:r w:rsidR="005717F3" w:rsidRPr="00D613DA">
              <w:rPr>
                <w:webHidden/>
              </w:rPr>
              <w:instrText xml:space="preserve"> PAGEREF _Toc110506922 \h </w:instrText>
            </w:r>
            <w:r w:rsidR="005717F3" w:rsidRPr="00D613DA">
              <w:rPr>
                <w:webHidden/>
              </w:rPr>
            </w:r>
            <w:r w:rsidR="005717F3" w:rsidRPr="00D613DA">
              <w:rPr>
                <w:webHidden/>
              </w:rPr>
              <w:fldChar w:fldCharType="separate"/>
            </w:r>
            <w:r w:rsidR="00D54691">
              <w:rPr>
                <w:webHidden/>
              </w:rPr>
              <w:t>14</w:t>
            </w:r>
            <w:r w:rsidR="005717F3" w:rsidRPr="00D613DA">
              <w:rPr>
                <w:webHidden/>
              </w:rPr>
              <w:fldChar w:fldCharType="end"/>
            </w:r>
          </w:hyperlink>
        </w:p>
        <w:p w14:paraId="1A935F8E" w14:textId="5E94023D" w:rsidR="005717F3" w:rsidRPr="00D613DA" w:rsidRDefault="00FF7453" w:rsidP="00D613DA">
          <w:pPr>
            <w:pStyle w:val="22"/>
          </w:pPr>
          <w:hyperlink w:anchor="_Toc110506923" w:history="1">
            <w:r w:rsidR="005717F3" w:rsidRPr="00D613DA">
              <w:rPr>
                <w:rStyle w:val="ad"/>
              </w:rPr>
              <w:t>2.4 Перечень, документов, которые использовались при определении кадастровой стоимости объектов недвижимости</w:t>
            </w:r>
            <w:r w:rsidR="005717F3" w:rsidRPr="00D613DA">
              <w:rPr>
                <w:webHidden/>
              </w:rPr>
              <w:tab/>
            </w:r>
            <w:r w:rsidR="005717F3" w:rsidRPr="00D613DA">
              <w:rPr>
                <w:webHidden/>
              </w:rPr>
              <w:fldChar w:fldCharType="begin"/>
            </w:r>
            <w:r w:rsidR="005717F3" w:rsidRPr="00D613DA">
              <w:rPr>
                <w:webHidden/>
              </w:rPr>
              <w:instrText xml:space="preserve"> PAGEREF _Toc110506923 \h </w:instrText>
            </w:r>
            <w:r w:rsidR="005717F3" w:rsidRPr="00D613DA">
              <w:rPr>
                <w:webHidden/>
              </w:rPr>
            </w:r>
            <w:r w:rsidR="005717F3" w:rsidRPr="00D613DA">
              <w:rPr>
                <w:webHidden/>
              </w:rPr>
              <w:fldChar w:fldCharType="separate"/>
            </w:r>
            <w:r w:rsidR="00D54691">
              <w:rPr>
                <w:webHidden/>
              </w:rPr>
              <w:t>15</w:t>
            </w:r>
            <w:r w:rsidR="005717F3" w:rsidRPr="00D613DA">
              <w:rPr>
                <w:webHidden/>
              </w:rPr>
              <w:fldChar w:fldCharType="end"/>
            </w:r>
          </w:hyperlink>
        </w:p>
        <w:p w14:paraId="22C5966A" w14:textId="3C95C7D1" w:rsidR="005717F3" w:rsidRPr="00D613DA" w:rsidRDefault="00FF7453" w:rsidP="00D613DA">
          <w:pPr>
            <w:pStyle w:val="22"/>
          </w:pPr>
          <w:hyperlink w:anchor="_Toc110506924" w:history="1">
            <w:r w:rsidR="005717F3" w:rsidRPr="00D613DA">
              <w:rPr>
                <w:rStyle w:val="ad"/>
              </w:rPr>
              <w:t>2.5 Сведения о работниках бюджетного учреждения, непосредственно осуществивших определение кадастровой стоимости, руководителе такого бюджетного учреждения</w:t>
            </w:r>
            <w:r w:rsidR="005717F3" w:rsidRPr="00D613DA">
              <w:rPr>
                <w:webHidden/>
              </w:rPr>
              <w:tab/>
            </w:r>
            <w:r w:rsidR="005717F3" w:rsidRPr="00D613DA">
              <w:rPr>
                <w:webHidden/>
              </w:rPr>
              <w:fldChar w:fldCharType="begin"/>
            </w:r>
            <w:r w:rsidR="005717F3" w:rsidRPr="00D613DA">
              <w:rPr>
                <w:webHidden/>
              </w:rPr>
              <w:instrText xml:space="preserve"> PAGEREF _Toc110506924 \h </w:instrText>
            </w:r>
            <w:r w:rsidR="005717F3" w:rsidRPr="00D613DA">
              <w:rPr>
                <w:webHidden/>
              </w:rPr>
            </w:r>
            <w:r w:rsidR="005717F3" w:rsidRPr="00D613DA">
              <w:rPr>
                <w:webHidden/>
              </w:rPr>
              <w:fldChar w:fldCharType="separate"/>
            </w:r>
            <w:r w:rsidR="00D54691">
              <w:rPr>
                <w:webHidden/>
              </w:rPr>
              <w:t>21</w:t>
            </w:r>
            <w:r w:rsidR="005717F3" w:rsidRPr="00D613DA">
              <w:rPr>
                <w:webHidden/>
              </w:rPr>
              <w:fldChar w:fldCharType="end"/>
            </w:r>
          </w:hyperlink>
        </w:p>
        <w:p w14:paraId="11283375" w14:textId="257E2180" w:rsidR="005717F3" w:rsidRPr="00D613DA" w:rsidRDefault="00FF7453" w:rsidP="00D613DA">
          <w:pPr>
            <w:pStyle w:val="22"/>
          </w:pPr>
          <w:hyperlink w:anchor="_Toc110506925" w:history="1">
            <w:r w:rsidR="005717F3" w:rsidRPr="00D613DA">
              <w:rPr>
                <w:rStyle w:val="ad"/>
              </w:rPr>
              <w:t>2.6. Виды объектов недвижимости, в отношении которых проводится государственная кадастровая оценка, категории земель</w:t>
            </w:r>
            <w:r w:rsidR="005717F3" w:rsidRPr="00D613DA">
              <w:rPr>
                <w:webHidden/>
              </w:rPr>
              <w:tab/>
            </w:r>
            <w:r w:rsidR="005717F3" w:rsidRPr="00D613DA">
              <w:rPr>
                <w:webHidden/>
              </w:rPr>
              <w:fldChar w:fldCharType="begin"/>
            </w:r>
            <w:r w:rsidR="005717F3" w:rsidRPr="00D613DA">
              <w:rPr>
                <w:webHidden/>
              </w:rPr>
              <w:instrText xml:space="preserve"> PAGEREF _Toc110506925 \h </w:instrText>
            </w:r>
            <w:r w:rsidR="005717F3" w:rsidRPr="00D613DA">
              <w:rPr>
                <w:webHidden/>
              </w:rPr>
            </w:r>
            <w:r w:rsidR="005717F3" w:rsidRPr="00D613DA">
              <w:rPr>
                <w:webHidden/>
              </w:rPr>
              <w:fldChar w:fldCharType="separate"/>
            </w:r>
            <w:r w:rsidR="00D54691">
              <w:rPr>
                <w:webHidden/>
              </w:rPr>
              <w:t>28</w:t>
            </w:r>
            <w:r w:rsidR="005717F3" w:rsidRPr="00D613DA">
              <w:rPr>
                <w:webHidden/>
              </w:rPr>
              <w:fldChar w:fldCharType="end"/>
            </w:r>
          </w:hyperlink>
        </w:p>
        <w:p w14:paraId="4E4AC5E7" w14:textId="6132903A" w:rsidR="005717F3" w:rsidRPr="00D613DA" w:rsidRDefault="00FF7453" w:rsidP="00D613DA">
          <w:pPr>
            <w:pStyle w:val="22"/>
          </w:pPr>
          <w:hyperlink w:anchor="_Toc110506926" w:history="1">
            <w:r w:rsidR="005717F3" w:rsidRPr="00D613DA">
              <w:rPr>
                <w:rStyle w:val="ad"/>
              </w:rPr>
              <w:t>2.7. Сведения об общем количестве объектов недвижимости, содержащихся в перечне объектов недвижимости, подлежащих государственной кадастровой оценке (далее - перечень), а также о количестве объектов недвижимости, содержащихся в перечне, в разрезе видов объектов недвижимости, категорий земель</w:t>
            </w:r>
            <w:r w:rsidR="005717F3" w:rsidRPr="00D613DA">
              <w:rPr>
                <w:webHidden/>
              </w:rPr>
              <w:tab/>
            </w:r>
            <w:r w:rsidR="005717F3" w:rsidRPr="00D613DA">
              <w:rPr>
                <w:webHidden/>
              </w:rPr>
              <w:fldChar w:fldCharType="begin"/>
            </w:r>
            <w:r w:rsidR="005717F3" w:rsidRPr="00D613DA">
              <w:rPr>
                <w:webHidden/>
              </w:rPr>
              <w:instrText xml:space="preserve"> PAGEREF _Toc110506926 \h </w:instrText>
            </w:r>
            <w:r w:rsidR="005717F3" w:rsidRPr="00D613DA">
              <w:rPr>
                <w:webHidden/>
              </w:rPr>
            </w:r>
            <w:r w:rsidR="005717F3" w:rsidRPr="00D613DA">
              <w:rPr>
                <w:webHidden/>
              </w:rPr>
              <w:fldChar w:fldCharType="separate"/>
            </w:r>
            <w:r w:rsidR="00D54691">
              <w:rPr>
                <w:webHidden/>
              </w:rPr>
              <w:t>28</w:t>
            </w:r>
            <w:r w:rsidR="005717F3" w:rsidRPr="00D613DA">
              <w:rPr>
                <w:webHidden/>
              </w:rPr>
              <w:fldChar w:fldCharType="end"/>
            </w:r>
          </w:hyperlink>
        </w:p>
        <w:p w14:paraId="259703D0" w14:textId="3E6735EE" w:rsidR="005717F3" w:rsidRPr="00D613DA" w:rsidRDefault="00FF7453" w:rsidP="00D613DA">
          <w:pPr>
            <w:pStyle w:val="22"/>
          </w:pPr>
          <w:hyperlink w:anchor="_Toc110506927" w:history="1">
            <w:r w:rsidR="005717F3" w:rsidRPr="00D613DA">
              <w:rPr>
                <w:rStyle w:val="ad"/>
              </w:rPr>
              <w:t>2.8 Дата, по состоянию на которую определена кадастровая стоимость объектов недвижимости</w:t>
            </w:r>
            <w:r w:rsidR="005717F3" w:rsidRPr="00D613DA">
              <w:rPr>
                <w:webHidden/>
              </w:rPr>
              <w:tab/>
            </w:r>
            <w:r w:rsidR="005717F3" w:rsidRPr="00D613DA">
              <w:rPr>
                <w:webHidden/>
              </w:rPr>
              <w:fldChar w:fldCharType="begin"/>
            </w:r>
            <w:r w:rsidR="005717F3" w:rsidRPr="00D613DA">
              <w:rPr>
                <w:webHidden/>
              </w:rPr>
              <w:instrText xml:space="preserve"> PAGEREF _Toc110506927 \h </w:instrText>
            </w:r>
            <w:r w:rsidR="005717F3" w:rsidRPr="00D613DA">
              <w:rPr>
                <w:webHidden/>
              </w:rPr>
            </w:r>
            <w:r w:rsidR="005717F3" w:rsidRPr="00D613DA">
              <w:rPr>
                <w:webHidden/>
              </w:rPr>
              <w:fldChar w:fldCharType="separate"/>
            </w:r>
            <w:r w:rsidR="00D54691">
              <w:rPr>
                <w:webHidden/>
              </w:rPr>
              <w:t>29</w:t>
            </w:r>
            <w:r w:rsidR="005717F3" w:rsidRPr="00D613DA">
              <w:rPr>
                <w:webHidden/>
              </w:rPr>
              <w:fldChar w:fldCharType="end"/>
            </w:r>
          </w:hyperlink>
        </w:p>
        <w:p w14:paraId="2D7A14AF" w14:textId="6C5FE24C" w:rsidR="005717F3" w:rsidRPr="005717F3" w:rsidRDefault="00FF7453" w:rsidP="00D613DA">
          <w:pPr>
            <w:pStyle w:val="22"/>
          </w:pPr>
          <w:hyperlink w:anchor="_Toc110506928" w:history="1">
            <w:r w:rsidR="005717F3" w:rsidRPr="00D613DA">
              <w:rPr>
                <w:rStyle w:val="ad"/>
              </w:rPr>
              <w:t>2.9 Сведения о допущениях, использованных при определении кадастровой стоимости</w:t>
            </w:r>
            <w:r w:rsidR="005717F3" w:rsidRPr="00D613DA">
              <w:rPr>
                <w:webHidden/>
              </w:rPr>
              <w:tab/>
            </w:r>
            <w:r w:rsidR="005717F3" w:rsidRPr="00D613DA">
              <w:rPr>
                <w:webHidden/>
              </w:rPr>
              <w:fldChar w:fldCharType="begin"/>
            </w:r>
            <w:r w:rsidR="005717F3" w:rsidRPr="00D613DA">
              <w:rPr>
                <w:webHidden/>
              </w:rPr>
              <w:instrText xml:space="preserve"> PAGEREF _Toc110506928 \h </w:instrText>
            </w:r>
            <w:r w:rsidR="005717F3" w:rsidRPr="00D613DA">
              <w:rPr>
                <w:webHidden/>
              </w:rPr>
            </w:r>
            <w:r w:rsidR="005717F3" w:rsidRPr="00D613DA">
              <w:rPr>
                <w:webHidden/>
              </w:rPr>
              <w:fldChar w:fldCharType="separate"/>
            </w:r>
            <w:r w:rsidR="00D54691">
              <w:rPr>
                <w:webHidden/>
              </w:rPr>
              <w:t>30</w:t>
            </w:r>
            <w:r w:rsidR="005717F3" w:rsidRPr="00D613DA">
              <w:rPr>
                <w:webHidden/>
              </w:rPr>
              <w:fldChar w:fldCharType="end"/>
            </w:r>
          </w:hyperlink>
        </w:p>
        <w:p w14:paraId="3F785A69" w14:textId="0D614E67" w:rsidR="005717F3" w:rsidRPr="00D613DA" w:rsidRDefault="00FF7453" w:rsidP="00D613DA">
          <w:pPr>
            <w:pStyle w:val="22"/>
            <w:rPr>
              <w:b w:val="0"/>
            </w:rPr>
          </w:pPr>
          <w:hyperlink w:anchor="_Toc110506929" w:history="1">
            <w:r w:rsidR="005717F3" w:rsidRPr="00D613DA">
              <w:rPr>
                <w:rStyle w:val="ad"/>
                <w:b w:val="0"/>
                <w:i/>
              </w:rPr>
              <w:t>2.9.1. Общие допущения</w:t>
            </w:r>
            <w:r w:rsidR="005717F3" w:rsidRPr="00D613DA">
              <w:rPr>
                <w:b w:val="0"/>
                <w:webHidden/>
              </w:rPr>
              <w:tab/>
            </w:r>
            <w:r w:rsidR="005717F3" w:rsidRPr="00D613DA">
              <w:rPr>
                <w:b w:val="0"/>
                <w:webHidden/>
              </w:rPr>
              <w:fldChar w:fldCharType="begin"/>
            </w:r>
            <w:r w:rsidR="005717F3" w:rsidRPr="00D613DA">
              <w:rPr>
                <w:b w:val="0"/>
                <w:webHidden/>
              </w:rPr>
              <w:instrText xml:space="preserve"> PAGEREF _Toc110506929 \h </w:instrText>
            </w:r>
            <w:r w:rsidR="005717F3" w:rsidRPr="00D613DA">
              <w:rPr>
                <w:b w:val="0"/>
                <w:webHidden/>
              </w:rPr>
            </w:r>
            <w:r w:rsidR="005717F3" w:rsidRPr="00D613DA">
              <w:rPr>
                <w:b w:val="0"/>
                <w:webHidden/>
              </w:rPr>
              <w:fldChar w:fldCharType="separate"/>
            </w:r>
            <w:r w:rsidR="00D54691">
              <w:rPr>
                <w:b w:val="0"/>
                <w:webHidden/>
              </w:rPr>
              <w:t>30</w:t>
            </w:r>
            <w:r w:rsidR="005717F3" w:rsidRPr="00D613DA">
              <w:rPr>
                <w:b w:val="0"/>
                <w:webHidden/>
              </w:rPr>
              <w:fldChar w:fldCharType="end"/>
            </w:r>
          </w:hyperlink>
        </w:p>
        <w:p w14:paraId="07314A03" w14:textId="2E247BB2" w:rsidR="005717F3" w:rsidRPr="00D613DA" w:rsidRDefault="00FF7453" w:rsidP="00D613DA">
          <w:pPr>
            <w:pStyle w:val="22"/>
            <w:rPr>
              <w:b w:val="0"/>
            </w:rPr>
          </w:pPr>
          <w:hyperlink w:anchor="_Toc110506930" w:history="1">
            <w:r w:rsidR="005717F3" w:rsidRPr="00D613DA">
              <w:rPr>
                <w:rStyle w:val="ad"/>
                <w:b w:val="0"/>
                <w:i/>
              </w:rPr>
              <w:t>2.9.2. Допущения, касающиеся качественных и количественных характеристик, а также геопривязки Объектов оценки</w:t>
            </w:r>
            <w:r w:rsidR="005717F3" w:rsidRPr="00D613DA">
              <w:rPr>
                <w:b w:val="0"/>
                <w:webHidden/>
              </w:rPr>
              <w:tab/>
            </w:r>
            <w:r w:rsidR="005717F3" w:rsidRPr="00D613DA">
              <w:rPr>
                <w:b w:val="0"/>
                <w:webHidden/>
              </w:rPr>
              <w:fldChar w:fldCharType="begin"/>
            </w:r>
            <w:r w:rsidR="005717F3" w:rsidRPr="00D613DA">
              <w:rPr>
                <w:b w:val="0"/>
                <w:webHidden/>
              </w:rPr>
              <w:instrText xml:space="preserve"> PAGEREF _Toc110506930 \h </w:instrText>
            </w:r>
            <w:r w:rsidR="005717F3" w:rsidRPr="00D613DA">
              <w:rPr>
                <w:b w:val="0"/>
                <w:webHidden/>
              </w:rPr>
            </w:r>
            <w:r w:rsidR="005717F3" w:rsidRPr="00D613DA">
              <w:rPr>
                <w:b w:val="0"/>
                <w:webHidden/>
              </w:rPr>
              <w:fldChar w:fldCharType="separate"/>
            </w:r>
            <w:r w:rsidR="00D54691">
              <w:rPr>
                <w:b w:val="0"/>
                <w:webHidden/>
              </w:rPr>
              <w:t>31</w:t>
            </w:r>
            <w:r w:rsidR="005717F3" w:rsidRPr="00D613DA">
              <w:rPr>
                <w:b w:val="0"/>
                <w:webHidden/>
              </w:rPr>
              <w:fldChar w:fldCharType="end"/>
            </w:r>
          </w:hyperlink>
        </w:p>
        <w:p w14:paraId="08F0FCBB" w14:textId="456600F1" w:rsidR="005717F3" w:rsidRPr="00D613DA" w:rsidRDefault="00FF7453" w:rsidP="00D613DA">
          <w:pPr>
            <w:pStyle w:val="22"/>
            <w:rPr>
              <w:b w:val="0"/>
            </w:rPr>
          </w:pPr>
          <w:hyperlink w:anchor="_Toc110506931" w:history="1">
            <w:r w:rsidR="005717F3" w:rsidRPr="00D613DA">
              <w:rPr>
                <w:rStyle w:val="ad"/>
                <w:b w:val="0"/>
                <w:i/>
              </w:rPr>
              <w:t>2.9.3. Допущения, касающиеся информации об объектах-аналогах</w:t>
            </w:r>
            <w:r w:rsidR="005717F3" w:rsidRPr="00D613DA">
              <w:rPr>
                <w:b w:val="0"/>
                <w:webHidden/>
              </w:rPr>
              <w:tab/>
            </w:r>
            <w:r w:rsidR="005717F3" w:rsidRPr="00D613DA">
              <w:rPr>
                <w:b w:val="0"/>
                <w:webHidden/>
              </w:rPr>
              <w:fldChar w:fldCharType="begin"/>
            </w:r>
            <w:r w:rsidR="005717F3" w:rsidRPr="00D613DA">
              <w:rPr>
                <w:b w:val="0"/>
                <w:webHidden/>
              </w:rPr>
              <w:instrText xml:space="preserve"> PAGEREF _Toc110506931 \h </w:instrText>
            </w:r>
            <w:r w:rsidR="005717F3" w:rsidRPr="00D613DA">
              <w:rPr>
                <w:b w:val="0"/>
                <w:webHidden/>
              </w:rPr>
            </w:r>
            <w:r w:rsidR="005717F3" w:rsidRPr="00D613DA">
              <w:rPr>
                <w:b w:val="0"/>
                <w:webHidden/>
              </w:rPr>
              <w:fldChar w:fldCharType="separate"/>
            </w:r>
            <w:r w:rsidR="00D54691">
              <w:rPr>
                <w:b w:val="0"/>
                <w:webHidden/>
              </w:rPr>
              <w:t>35</w:t>
            </w:r>
            <w:r w:rsidR="005717F3" w:rsidRPr="00D613DA">
              <w:rPr>
                <w:b w:val="0"/>
                <w:webHidden/>
              </w:rPr>
              <w:fldChar w:fldCharType="end"/>
            </w:r>
          </w:hyperlink>
        </w:p>
        <w:p w14:paraId="201C48C9" w14:textId="08D40977" w:rsidR="005717F3" w:rsidRPr="00D613DA" w:rsidRDefault="00FF7453" w:rsidP="00D613DA">
          <w:pPr>
            <w:pStyle w:val="22"/>
            <w:rPr>
              <w:b w:val="0"/>
            </w:rPr>
          </w:pPr>
          <w:hyperlink w:anchor="_Toc110506932" w:history="1">
            <w:r w:rsidR="005717F3" w:rsidRPr="00D613DA">
              <w:rPr>
                <w:rStyle w:val="ad"/>
                <w:b w:val="0"/>
                <w:i/>
              </w:rPr>
              <w:t>2.9.4. Допущения, касающиеся характеристик, методов (способов) определения кадастровой стоимости земельных участков и результатов оценки</w:t>
            </w:r>
            <w:r w:rsidR="005717F3" w:rsidRPr="00D613DA">
              <w:rPr>
                <w:b w:val="0"/>
                <w:webHidden/>
              </w:rPr>
              <w:tab/>
            </w:r>
            <w:r w:rsidR="005717F3" w:rsidRPr="00D613DA">
              <w:rPr>
                <w:b w:val="0"/>
                <w:webHidden/>
              </w:rPr>
              <w:fldChar w:fldCharType="begin"/>
            </w:r>
            <w:r w:rsidR="005717F3" w:rsidRPr="00D613DA">
              <w:rPr>
                <w:b w:val="0"/>
                <w:webHidden/>
              </w:rPr>
              <w:instrText xml:space="preserve"> PAGEREF _Toc110506932 \h </w:instrText>
            </w:r>
            <w:r w:rsidR="005717F3" w:rsidRPr="00D613DA">
              <w:rPr>
                <w:b w:val="0"/>
                <w:webHidden/>
              </w:rPr>
            </w:r>
            <w:r w:rsidR="005717F3" w:rsidRPr="00D613DA">
              <w:rPr>
                <w:b w:val="0"/>
                <w:webHidden/>
              </w:rPr>
              <w:fldChar w:fldCharType="separate"/>
            </w:r>
            <w:r w:rsidR="00D54691">
              <w:rPr>
                <w:b w:val="0"/>
                <w:webHidden/>
              </w:rPr>
              <w:t>36</w:t>
            </w:r>
            <w:r w:rsidR="005717F3" w:rsidRPr="00D613DA">
              <w:rPr>
                <w:b w:val="0"/>
                <w:webHidden/>
              </w:rPr>
              <w:fldChar w:fldCharType="end"/>
            </w:r>
          </w:hyperlink>
        </w:p>
        <w:p w14:paraId="7820F8FE" w14:textId="2D4A6D88" w:rsidR="005717F3" w:rsidRPr="005717F3" w:rsidRDefault="00FF7453" w:rsidP="00D613DA">
          <w:pPr>
            <w:pStyle w:val="31"/>
            <w:rPr>
              <w:noProof/>
            </w:rPr>
          </w:pPr>
          <w:hyperlink w:anchor="_Toc110506933" w:history="1">
            <w:r w:rsidR="005717F3" w:rsidRPr="005717F3">
              <w:rPr>
                <w:rStyle w:val="ad"/>
                <w:rFonts w:ascii="Times New Roman" w:hAnsi="Times New Roman"/>
                <w:i/>
                <w:noProof/>
              </w:rPr>
              <w:t>2.9.4.1. Допущения, касающиеся характеристик, методов (способов) определения кадастровой стоимости земельных участков, отнесенных к группе СОД (коды расчета вида использования 13:011 и 13:021)</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_Toc110506933 \h </w:instrText>
            </w:r>
            <w:r w:rsidR="005717F3" w:rsidRPr="005717F3">
              <w:rPr>
                <w:noProof/>
                <w:webHidden/>
              </w:rPr>
            </w:r>
            <w:r w:rsidR="005717F3" w:rsidRPr="005717F3">
              <w:rPr>
                <w:noProof/>
                <w:webHidden/>
              </w:rPr>
              <w:fldChar w:fldCharType="separate"/>
            </w:r>
            <w:r w:rsidR="00D54691">
              <w:rPr>
                <w:noProof/>
                <w:webHidden/>
              </w:rPr>
              <w:t>40</w:t>
            </w:r>
            <w:r w:rsidR="005717F3" w:rsidRPr="005717F3">
              <w:rPr>
                <w:noProof/>
                <w:webHidden/>
              </w:rPr>
              <w:fldChar w:fldCharType="end"/>
            </w:r>
          </w:hyperlink>
        </w:p>
        <w:p w14:paraId="23FD2E66" w14:textId="37552345" w:rsidR="005717F3" w:rsidRPr="00D613DA" w:rsidRDefault="00FF7453" w:rsidP="00D613DA">
          <w:pPr>
            <w:pStyle w:val="22"/>
          </w:pPr>
          <w:hyperlink w:anchor="_Toc110506934" w:history="1">
            <w:r w:rsidR="005717F3" w:rsidRPr="00D613DA">
              <w:rPr>
                <w:rStyle w:val="ad"/>
              </w:rPr>
              <w:t>2.10 Мероприятия по определению кадастровой стоимости</w:t>
            </w:r>
            <w:r w:rsidR="005717F3" w:rsidRPr="00D613DA">
              <w:rPr>
                <w:webHidden/>
              </w:rPr>
              <w:tab/>
            </w:r>
            <w:r w:rsidR="005717F3" w:rsidRPr="00D613DA">
              <w:rPr>
                <w:webHidden/>
              </w:rPr>
              <w:fldChar w:fldCharType="begin"/>
            </w:r>
            <w:r w:rsidR="005717F3" w:rsidRPr="00D613DA">
              <w:rPr>
                <w:webHidden/>
              </w:rPr>
              <w:instrText xml:space="preserve"> PAGEREF _Toc110506934 \h </w:instrText>
            </w:r>
            <w:r w:rsidR="005717F3" w:rsidRPr="00D613DA">
              <w:rPr>
                <w:webHidden/>
              </w:rPr>
            </w:r>
            <w:r w:rsidR="005717F3" w:rsidRPr="00D613DA">
              <w:rPr>
                <w:webHidden/>
              </w:rPr>
              <w:fldChar w:fldCharType="separate"/>
            </w:r>
            <w:r w:rsidR="00D54691">
              <w:rPr>
                <w:webHidden/>
              </w:rPr>
              <w:t>42</w:t>
            </w:r>
            <w:r w:rsidR="005717F3" w:rsidRPr="00D613DA">
              <w:rPr>
                <w:webHidden/>
              </w:rPr>
              <w:fldChar w:fldCharType="end"/>
            </w:r>
          </w:hyperlink>
        </w:p>
        <w:p w14:paraId="42E9B7ED" w14:textId="4C7A0BD1" w:rsidR="005717F3" w:rsidRPr="00D613DA" w:rsidRDefault="00FF7453" w:rsidP="00D613DA">
          <w:pPr>
            <w:pStyle w:val="22"/>
          </w:pPr>
          <w:hyperlink w:anchor="_Toc110506935" w:history="1">
            <w:r w:rsidR="005717F3" w:rsidRPr="00D613DA">
              <w:rPr>
                <w:rStyle w:val="ad"/>
              </w:rPr>
              <w:t>2.11 Сведения и материалы, содержащие информацию, доступ к которой ограничен</w:t>
            </w:r>
            <w:r w:rsidR="005717F3" w:rsidRPr="00D613DA">
              <w:rPr>
                <w:webHidden/>
              </w:rPr>
              <w:tab/>
            </w:r>
            <w:r w:rsidR="005717F3" w:rsidRPr="00D613DA">
              <w:rPr>
                <w:webHidden/>
              </w:rPr>
              <w:fldChar w:fldCharType="begin"/>
            </w:r>
            <w:r w:rsidR="005717F3" w:rsidRPr="00D613DA">
              <w:rPr>
                <w:webHidden/>
              </w:rPr>
              <w:instrText xml:space="preserve"> PAGEREF _Toc110506935 \h </w:instrText>
            </w:r>
            <w:r w:rsidR="005717F3" w:rsidRPr="00D613DA">
              <w:rPr>
                <w:webHidden/>
              </w:rPr>
            </w:r>
            <w:r w:rsidR="005717F3" w:rsidRPr="00D613DA">
              <w:rPr>
                <w:webHidden/>
              </w:rPr>
              <w:fldChar w:fldCharType="separate"/>
            </w:r>
            <w:r w:rsidR="00D54691">
              <w:rPr>
                <w:webHidden/>
              </w:rPr>
              <w:t>42</w:t>
            </w:r>
            <w:r w:rsidR="005717F3" w:rsidRPr="00D613DA">
              <w:rPr>
                <w:webHidden/>
              </w:rPr>
              <w:fldChar w:fldCharType="end"/>
            </w:r>
          </w:hyperlink>
        </w:p>
        <w:p w14:paraId="1B41D3C5" w14:textId="639AB219" w:rsidR="005717F3" w:rsidRPr="00D613DA" w:rsidRDefault="00FF7453" w:rsidP="005717F3">
          <w:pPr>
            <w:pStyle w:val="14"/>
          </w:pPr>
          <w:hyperlink w:anchor="_Toc110506936" w:history="1">
            <w:r w:rsidR="005717F3" w:rsidRPr="00D613DA">
              <w:rPr>
                <w:rStyle w:val="ad"/>
              </w:rPr>
              <w:t>3. РАСЧЕТНАЯ ГЛАВА</w:t>
            </w:r>
            <w:r w:rsidR="005717F3" w:rsidRPr="00D613DA">
              <w:rPr>
                <w:webHidden/>
              </w:rPr>
              <w:tab/>
            </w:r>
            <w:r w:rsidR="005717F3" w:rsidRPr="00D613DA">
              <w:rPr>
                <w:webHidden/>
              </w:rPr>
              <w:fldChar w:fldCharType="begin"/>
            </w:r>
            <w:r w:rsidR="005717F3" w:rsidRPr="00D613DA">
              <w:rPr>
                <w:webHidden/>
              </w:rPr>
              <w:instrText xml:space="preserve"> PAGEREF _Toc110506936 \h </w:instrText>
            </w:r>
            <w:r w:rsidR="005717F3" w:rsidRPr="00D613DA">
              <w:rPr>
                <w:webHidden/>
              </w:rPr>
            </w:r>
            <w:r w:rsidR="005717F3" w:rsidRPr="00D613DA">
              <w:rPr>
                <w:webHidden/>
              </w:rPr>
              <w:fldChar w:fldCharType="separate"/>
            </w:r>
            <w:r w:rsidR="00D54691">
              <w:rPr>
                <w:webHidden/>
              </w:rPr>
              <w:t>43</w:t>
            </w:r>
            <w:r w:rsidR="005717F3" w:rsidRPr="00D613DA">
              <w:rPr>
                <w:webHidden/>
              </w:rPr>
              <w:fldChar w:fldCharType="end"/>
            </w:r>
          </w:hyperlink>
        </w:p>
        <w:p w14:paraId="4765E9C8" w14:textId="20A11E1C" w:rsidR="005717F3" w:rsidRPr="00D613DA" w:rsidRDefault="00FF7453" w:rsidP="00D613DA">
          <w:pPr>
            <w:pStyle w:val="22"/>
          </w:pPr>
          <w:hyperlink w:anchor="_Toc110506937" w:history="1">
            <w:r w:rsidR="005717F3" w:rsidRPr="00D613DA">
              <w:rPr>
                <w:rStyle w:val="ad"/>
              </w:rPr>
              <w:t>3.1 Анализ информации о рынке объектов недвижимости,  а также анализ информации, не относящейся непосредственно к объектам недвижимости, но влияющей на их стоимость</w:t>
            </w:r>
            <w:r w:rsidR="005717F3" w:rsidRPr="00D613DA">
              <w:rPr>
                <w:webHidden/>
              </w:rPr>
              <w:tab/>
            </w:r>
            <w:r w:rsidR="005717F3" w:rsidRPr="00D613DA">
              <w:rPr>
                <w:webHidden/>
              </w:rPr>
              <w:fldChar w:fldCharType="begin"/>
            </w:r>
            <w:r w:rsidR="005717F3" w:rsidRPr="00D613DA">
              <w:rPr>
                <w:webHidden/>
              </w:rPr>
              <w:instrText xml:space="preserve"> PAGEREF _Toc110506937 \h </w:instrText>
            </w:r>
            <w:r w:rsidR="005717F3" w:rsidRPr="00D613DA">
              <w:rPr>
                <w:webHidden/>
              </w:rPr>
            </w:r>
            <w:r w:rsidR="005717F3" w:rsidRPr="00D613DA">
              <w:rPr>
                <w:webHidden/>
              </w:rPr>
              <w:fldChar w:fldCharType="separate"/>
            </w:r>
            <w:r w:rsidR="00D54691">
              <w:rPr>
                <w:webHidden/>
              </w:rPr>
              <w:t>43</w:t>
            </w:r>
            <w:r w:rsidR="005717F3" w:rsidRPr="00D613DA">
              <w:rPr>
                <w:webHidden/>
              </w:rPr>
              <w:fldChar w:fldCharType="end"/>
            </w:r>
          </w:hyperlink>
        </w:p>
        <w:p w14:paraId="2BC686DB" w14:textId="6AF2572A" w:rsidR="005717F3" w:rsidRPr="005717F3" w:rsidRDefault="00FF7453" w:rsidP="00D613DA">
          <w:pPr>
            <w:pStyle w:val="31"/>
            <w:rPr>
              <w:noProof/>
            </w:rPr>
          </w:pPr>
          <w:hyperlink w:anchor="_Toc110506938" w:history="1">
            <w:r w:rsidR="005717F3" w:rsidRPr="005717F3">
              <w:rPr>
                <w:rStyle w:val="ad"/>
                <w:rFonts w:ascii="Times New Roman" w:hAnsi="Times New Roman"/>
                <w:i/>
                <w:noProof/>
              </w:rPr>
              <w:t>3.1.1 Анализ социально-экономического развития Российской Федерации</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_Toc110506938 \h </w:instrText>
            </w:r>
            <w:r w:rsidR="005717F3" w:rsidRPr="005717F3">
              <w:rPr>
                <w:noProof/>
                <w:webHidden/>
              </w:rPr>
            </w:r>
            <w:r w:rsidR="005717F3" w:rsidRPr="005717F3">
              <w:rPr>
                <w:noProof/>
                <w:webHidden/>
              </w:rPr>
              <w:fldChar w:fldCharType="separate"/>
            </w:r>
            <w:r w:rsidR="00D54691">
              <w:rPr>
                <w:noProof/>
                <w:webHidden/>
              </w:rPr>
              <w:t>43</w:t>
            </w:r>
            <w:r w:rsidR="005717F3" w:rsidRPr="005717F3">
              <w:rPr>
                <w:noProof/>
                <w:webHidden/>
              </w:rPr>
              <w:fldChar w:fldCharType="end"/>
            </w:r>
          </w:hyperlink>
        </w:p>
        <w:p w14:paraId="7A305A4B" w14:textId="1998F07B" w:rsidR="005717F3" w:rsidRPr="005717F3" w:rsidRDefault="00FF7453" w:rsidP="00D613DA">
          <w:pPr>
            <w:pStyle w:val="31"/>
            <w:rPr>
              <w:noProof/>
            </w:rPr>
          </w:pPr>
          <w:hyperlink w:anchor="_Toc110506939" w:history="1">
            <w:r w:rsidR="005717F3" w:rsidRPr="005717F3">
              <w:rPr>
                <w:rStyle w:val="ad"/>
                <w:rFonts w:ascii="Times New Roman" w:hAnsi="Times New Roman"/>
                <w:i/>
                <w:noProof/>
              </w:rPr>
              <w:t>3.1.2 Анализ социально-экономического развития Воронежской области</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_Toc110506939 \h </w:instrText>
            </w:r>
            <w:r w:rsidR="005717F3" w:rsidRPr="005717F3">
              <w:rPr>
                <w:noProof/>
                <w:webHidden/>
              </w:rPr>
            </w:r>
            <w:r w:rsidR="005717F3" w:rsidRPr="005717F3">
              <w:rPr>
                <w:noProof/>
                <w:webHidden/>
              </w:rPr>
              <w:fldChar w:fldCharType="separate"/>
            </w:r>
            <w:r w:rsidR="00D54691">
              <w:rPr>
                <w:noProof/>
                <w:webHidden/>
              </w:rPr>
              <w:t>49</w:t>
            </w:r>
            <w:r w:rsidR="005717F3" w:rsidRPr="005717F3">
              <w:rPr>
                <w:noProof/>
                <w:webHidden/>
              </w:rPr>
              <w:fldChar w:fldCharType="end"/>
            </w:r>
          </w:hyperlink>
        </w:p>
        <w:p w14:paraId="2C04EE2D" w14:textId="2A2818BC" w:rsidR="005717F3" w:rsidRPr="005717F3" w:rsidRDefault="00FF7453" w:rsidP="00D613DA">
          <w:pPr>
            <w:pStyle w:val="31"/>
            <w:rPr>
              <w:noProof/>
            </w:rPr>
          </w:pPr>
          <w:hyperlink w:anchor="_Toc110506940" w:history="1">
            <w:r w:rsidR="005717F3" w:rsidRPr="005717F3">
              <w:rPr>
                <w:rStyle w:val="ad"/>
                <w:rFonts w:ascii="Times New Roman" w:hAnsi="Times New Roman"/>
                <w:i/>
                <w:noProof/>
              </w:rPr>
              <w:t>3.1.3 Анализ рынка недвижимости Воронежской области</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_Toc110506940 \h </w:instrText>
            </w:r>
            <w:r w:rsidR="005717F3" w:rsidRPr="005717F3">
              <w:rPr>
                <w:noProof/>
                <w:webHidden/>
              </w:rPr>
            </w:r>
            <w:r w:rsidR="005717F3" w:rsidRPr="005717F3">
              <w:rPr>
                <w:noProof/>
                <w:webHidden/>
              </w:rPr>
              <w:fldChar w:fldCharType="separate"/>
            </w:r>
            <w:r w:rsidR="00D54691">
              <w:rPr>
                <w:noProof/>
                <w:webHidden/>
              </w:rPr>
              <w:t>59</w:t>
            </w:r>
            <w:r w:rsidR="005717F3" w:rsidRPr="005717F3">
              <w:rPr>
                <w:noProof/>
                <w:webHidden/>
              </w:rPr>
              <w:fldChar w:fldCharType="end"/>
            </w:r>
          </w:hyperlink>
        </w:p>
        <w:p w14:paraId="543202CC" w14:textId="2A805CDB" w:rsidR="005717F3" w:rsidRPr="005717F3" w:rsidRDefault="00FF7453" w:rsidP="00D613DA">
          <w:pPr>
            <w:pStyle w:val="31"/>
            <w:rPr>
              <w:noProof/>
            </w:rPr>
          </w:pPr>
          <w:hyperlink w:anchor="_Toc110506941" w:history="1">
            <w:r w:rsidR="005717F3" w:rsidRPr="005717F3">
              <w:rPr>
                <w:rStyle w:val="ad"/>
                <w:rFonts w:ascii="Times New Roman" w:hAnsi="Times New Roman"/>
                <w:i/>
                <w:noProof/>
              </w:rPr>
              <w:t>3.1.3.1 Общая информация о развитии рынка недвижимости</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_Toc110506941 \h </w:instrText>
            </w:r>
            <w:r w:rsidR="005717F3" w:rsidRPr="005717F3">
              <w:rPr>
                <w:noProof/>
                <w:webHidden/>
              </w:rPr>
            </w:r>
            <w:r w:rsidR="005717F3" w:rsidRPr="005717F3">
              <w:rPr>
                <w:noProof/>
                <w:webHidden/>
              </w:rPr>
              <w:fldChar w:fldCharType="separate"/>
            </w:r>
            <w:r w:rsidR="00D54691">
              <w:rPr>
                <w:noProof/>
                <w:webHidden/>
              </w:rPr>
              <w:t>59</w:t>
            </w:r>
            <w:r w:rsidR="005717F3" w:rsidRPr="005717F3">
              <w:rPr>
                <w:noProof/>
                <w:webHidden/>
              </w:rPr>
              <w:fldChar w:fldCharType="end"/>
            </w:r>
          </w:hyperlink>
        </w:p>
        <w:p w14:paraId="1DA22CC5" w14:textId="051AA026" w:rsidR="005717F3" w:rsidRPr="005717F3" w:rsidRDefault="00FF7453" w:rsidP="00D613DA">
          <w:pPr>
            <w:pStyle w:val="31"/>
            <w:rPr>
              <w:noProof/>
            </w:rPr>
          </w:pPr>
          <w:hyperlink w:anchor="_Toc110506942" w:history="1">
            <w:r w:rsidR="005717F3" w:rsidRPr="005717F3">
              <w:rPr>
                <w:rStyle w:val="ad"/>
                <w:rFonts w:ascii="Times New Roman" w:hAnsi="Times New Roman"/>
                <w:i/>
                <w:noProof/>
              </w:rPr>
              <w:t>3.1.3.2 Анализ рыночной информации по сегменту «Жилая застройка (среднеэтажная и многоэтажная)»</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_Toc110506942 \h </w:instrText>
            </w:r>
            <w:r w:rsidR="005717F3" w:rsidRPr="005717F3">
              <w:rPr>
                <w:noProof/>
                <w:webHidden/>
              </w:rPr>
            </w:r>
            <w:r w:rsidR="005717F3" w:rsidRPr="005717F3">
              <w:rPr>
                <w:noProof/>
                <w:webHidden/>
              </w:rPr>
              <w:fldChar w:fldCharType="separate"/>
            </w:r>
            <w:r w:rsidR="00D54691">
              <w:rPr>
                <w:noProof/>
                <w:webHidden/>
              </w:rPr>
              <w:t>66</w:t>
            </w:r>
            <w:r w:rsidR="005717F3" w:rsidRPr="005717F3">
              <w:rPr>
                <w:noProof/>
                <w:webHidden/>
              </w:rPr>
              <w:fldChar w:fldCharType="end"/>
            </w:r>
          </w:hyperlink>
        </w:p>
        <w:p w14:paraId="719C412E" w14:textId="37139E16" w:rsidR="005717F3" w:rsidRPr="005717F3" w:rsidRDefault="00FF7453" w:rsidP="00D613DA">
          <w:pPr>
            <w:pStyle w:val="31"/>
            <w:rPr>
              <w:noProof/>
            </w:rPr>
          </w:pPr>
          <w:hyperlink w:anchor="_Toc110506943" w:history="1">
            <w:r w:rsidR="005717F3" w:rsidRPr="005717F3">
              <w:rPr>
                <w:rStyle w:val="ad"/>
                <w:rFonts w:ascii="Times New Roman" w:hAnsi="Times New Roman"/>
                <w:i/>
                <w:noProof/>
              </w:rPr>
              <w:t>3.1.3.3 Анализ рыночной информации по сегменту «Общественное использование»</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_Toc110506943 \h </w:instrText>
            </w:r>
            <w:r w:rsidR="005717F3" w:rsidRPr="005717F3">
              <w:rPr>
                <w:noProof/>
                <w:webHidden/>
              </w:rPr>
            </w:r>
            <w:r w:rsidR="005717F3" w:rsidRPr="005717F3">
              <w:rPr>
                <w:noProof/>
                <w:webHidden/>
              </w:rPr>
              <w:fldChar w:fldCharType="separate"/>
            </w:r>
            <w:r w:rsidR="00D54691">
              <w:rPr>
                <w:noProof/>
                <w:webHidden/>
              </w:rPr>
              <w:t>74</w:t>
            </w:r>
            <w:r w:rsidR="005717F3" w:rsidRPr="005717F3">
              <w:rPr>
                <w:noProof/>
                <w:webHidden/>
              </w:rPr>
              <w:fldChar w:fldCharType="end"/>
            </w:r>
          </w:hyperlink>
        </w:p>
        <w:p w14:paraId="127D63B8" w14:textId="7019CD1F" w:rsidR="005717F3" w:rsidRPr="005717F3" w:rsidRDefault="00FF7453" w:rsidP="00D613DA">
          <w:pPr>
            <w:pStyle w:val="31"/>
            <w:rPr>
              <w:noProof/>
            </w:rPr>
          </w:pPr>
          <w:hyperlink w:anchor="_Toc110506944" w:history="1">
            <w:r w:rsidR="005717F3" w:rsidRPr="005717F3">
              <w:rPr>
                <w:rStyle w:val="ad"/>
                <w:rFonts w:ascii="Times New Roman" w:hAnsi="Times New Roman"/>
                <w:i/>
                <w:noProof/>
              </w:rPr>
              <w:t>3.1.3.4 Анализ рыночной информации по сегменту «Предпринимательство»</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_Toc110506944 \h </w:instrText>
            </w:r>
            <w:r w:rsidR="005717F3" w:rsidRPr="005717F3">
              <w:rPr>
                <w:noProof/>
                <w:webHidden/>
              </w:rPr>
            </w:r>
            <w:r w:rsidR="005717F3" w:rsidRPr="005717F3">
              <w:rPr>
                <w:noProof/>
                <w:webHidden/>
              </w:rPr>
              <w:fldChar w:fldCharType="separate"/>
            </w:r>
            <w:r w:rsidR="00D54691">
              <w:rPr>
                <w:noProof/>
                <w:webHidden/>
              </w:rPr>
              <w:t>82</w:t>
            </w:r>
            <w:r w:rsidR="005717F3" w:rsidRPr="005717F3">
              <w:rPr>
                <w:noProof/>
                <w:webHidden/>
              </w:rPr>
              <w:fldChar w:fldCharType="end"/>
            </w:r>
          </w:hyperlink>
        </w:p>
        <w:p w14:paraId="6F6753CC" w14:textId="0DD80413" w:rsidR="005717F3" w:rsidRPr="005717F3" w:rsidRDefault="00FF7453" w:rsidP="00D613DA">
          <w:pPr>
            <w:pStyle w:val="31"/>
            <w:rPr>
              <w:noProof/>
            </w:rPr>
          </w:pPr>
          <w:hyperlink w:anchor="_Toc110506945" w:history="1">
            <w:r w:rsidR="005717F3" w:rsidRPr="005717F3">
              <w:rPr>
                <w:rStyle w:val="ad"/>
                <w:rFonts w:ascii="Times New Roman" w:hAnsi="Times New Roman"/>
                <w:i/>
                <w:noProof/>
              </w:rPr>
              <w:t>3.1.3.5 Анализ рыночной информации по сегменту «Отдых (рекреация)»</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_Toc110506945 \h </w:instrText>
            </w:r>
            <w:r w:rsidR="005717F3" w:rsidRPr="005717F3">
              <w:rPr>
                <w:noProof/>
                <w:webHidden/>
              </w:rPr>
            </w:r>
            <w:r w:rsidR="005717F3" w:rsidRPr="005717F3">
              <w:rPr>
                <w:noProof/>
                <w:webHidden/>
              </w:rPr>
              <w:fldChar w:fldCharType="separate"/>
            </w:r>
            <w:r w:rsidR="00D54691">
              <w:rPr>
                <w:noProof/>
                <w:webHidden/>
              </w:rPr>
              <w:t>91</w:t>
            </w:r>
            <w:r w:rsidR="005717F3" w:rsidRPr="005717F3">
              <w:rPr>
                <w:noProof/>
                <w:webHidden/>
              </w:rPr>
              <w:fldChar w:fldCharType="end"/>
            </w:r>
          </w:hyperlink>
        </w:p>
        <w:p w14:paraId="6A069DA9" w14:textId="13B3BF71" w:rsidR="005717F3" w:rsidRPr="005717F3" w:rsidRDefault="00FF7453" w:rsidP="00D613DA">
          <w:pPr>
            <w:pStyle w:val="31"/>
            <w:rPr>
              <w:noProof/>
            </w:rPr>
          </w:pPr>
          <w:hyperlink w:anchor="_Toc110506946" w:history="1">
            <w:r w:rsidR="005717F3" w:rsidRPr="005717F3">
              <w:rPr>
                <w:rStyle w:val="ad"/>
                <w:rFonts w:ascii="Times New Roman" w:hAnsi="Times New Roman"/>
                <w:i/>
                <w:noProof/>
              </w:rPr>
              <w:t>3.1.3.6 Анализ рыночной информации по сегменту «Производственная деятельность»</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_Toc110506946 \h </w:instrText>
            </w:r>
            <w:r w:rsidR="005717F3" w:rsidRPr="005717F3">
              <w:rPr>
                <w:noProof/>
                <w:webHidden/>
              </w:rPr>
            </w:r>
            <w:r w:rsidR="005717F3" w:rsidRPr="005717F3">
              <w:rPr>
                <w:noProof/>
                <w:webHidden/>
              </w:rPr>
              <w:fldChar w:fldCharType="separate"/>
            </w:r>
            <w:r w:rsidR="00D54691">
              <w:rPr>
                <w:noProof/>
                <w:webHidden/>
              </w:rPr>
              <w:t>99</w:t>
            </w:r>
            <w:r w:rsidR="005717F3" w:rsidRPr="005717F3">
              <w:rPr>
                <w:noProof/>
                <w:webHidden/>
              </w:rPr>
              <w:fldChar w:fldCharType="end"/>
            </w:r>
          </w:hyperlink>
        </w:p>
        <w:p w14:paraId="1ADB539C" w14:textId="06A20E67" w:rsidR="005717F3" w:rsidRPr="005717F3" w:rsidRDefault="00FF7453" w:rsidP="00D613DA">
          <w:pPr>
            <w:pStyle w:val="31"/>
            <w:rPr>
              <w:noProof/>
            </w:rPr>
          </w:pPr>
          <w:hyperlink w:anchor="_Toc110506947" w:history="1">
            <w:r w:rsidR="005717F3" w:rsidRPr="005717F3">
              <w:rPr>
                <w:rStyle w:val="ad"/>
                <w:rFonts w:ascii="Times New Roman" w:hAnsi="Times New Roman"/>
                <w:i/>
                <w:noProof/>
              </w:rPr>
              <w:t>3.1.3.7 Анализ рыночной информации по сегменту «Транспорт»</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_Toc110506947 \h </w:instrText>
            </w:r>
            <w:r w:rsidR="005717F3" w:rsidRPr="005717F3">
              <w:rPr>
                <w:noProof/>
                <w:webHidden/>
              </w:rPr>
            </w:r>
            <w:r w:rsidR="005717F3" w:rsidRPr="005717F3">
              <w:rPr>
                <w:noProof/>
                <w:webHidden/>
              </w:rPr>
              <w:fldChar w:fldCharType="separate"/>
            </w:r>
            <w:r w:rsidR="00D54691">
              <w:rPr>
                <w:noProof/>
                <w:webHidden/>
              </w:rPr>
              <w:t>110</w:t>
            </w:r>
            <w:r w:rsidR="005717F3" w:rsidRPr="005717F3">
              <w:rPr>
                <w:noProof/>
                <w:webHidden/>
              </w:rPr>
              <w:fldChar w:fldCharType="end"/>
            </w:r>
          </w:hyperlink>
        </w:p>
        <w:p w14:paraId="6B233AC5" w14:textId="6C2644F3" w:rsidR="005717F3" w:rsidRPr="005717F3" w:rsidRDefault="00FF7453" w:rsidP="00D613DA">
          <w:pPr>
            <w:pStyle w:val="31"/>
            <w:rPr>
              <w:noProof/>
            </w:rPr>
          </w:pPr>
          <w:hyperlink w:anchor="_Toc110506948" w:history="1">
            <w:r w:rsidR="005717F3" w:rsidRPr="005717F3">
              <w:rPr>
                <w:rStyle w:val="ad"/>
                <w:rFonts w:ascii="Times New Roman" w:hAnsi="Times New Roman"/>
                <w:i/>
                <w:noProof/>
              </w:rPr>
              <w:t>3.1.3.8 Анализ рыночной информации по сегменту «Садоводство и огородничество, малоэтажная жилая застройка»</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_Toc110506948 \h </w:instrText>
            </w:r>
            <w:r w:rsidR="005717F3" w:rsidRPr="005717F3">
              <w:rPr>
                <w:noProof/>
                <w:webHidden/>
              </w:rPr>
            </w:r>
            <w:r w:rsidR="005717F3" w:rsidRPr="005717F3">
              <w:rPr>
                <w:noProof/>
                <w:webHidden/>
              </w:rPr>
              <w:fldChar w:fldCharType="separate"/>
            </w:r>
            <w:r w:rsidR="00D54691">
              <w:rPr>
                <w:noProof/>
                <w:webHidden/>
              </w:rPr>
              <w:t>117</w:t>
            </w:r>
            <w:r w:rsidR="005717F3" w:rsidRPr="005717F3">
              <w:rPr>
                <w:noProof/>
                <w:webHidden/>
              </w:rPr>
              <w:fldChar w:fldCharType="end"/>
            </w:r>
          </w:hyperlink>
        </w:p>
        <w:p w14:paraId="41929320" w14:textId="346AD055" w:rsidR="005717F3" w:rsidRPr="005717F3" w:rsidRDefault="00FF7453" w:rsidP="00D613DA">
          <w:pPr>
            <w:pStyle w:val="31"/>
            <w:rPr>
              <w:noProof/>
            </w:rPr>
          </w:pPr>
          <w:hyperlink w:anchor="_Toc110506949" w:history="1">
            <w:r w:rsidR="005717F3" w:rsidRPr="005717F3">
              <w:rPr>
                <w:rStyle w:val="ad"/>
                <w:rFonts w:ascii="Times New Roman" w:hAnsi="Times New Roman"/>
                <w:i/>
                <w:noProof/>
              </w:rPr>
              <w:t>3.1.3.9 Анализ рыночной информации по сегменту «Сельскохозяйственное использование»</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_Toc110506949 \h </w:instrText>
            </w:r>
            <w:r w:rsidR="005717F3" w:rsidRPr="005717F3">
              <w:rPr>
                <w:noProof/>
                <w:webHidden/>
              </w:rPr>
            </w:r>
            <w:r w:rsidR="005717F3" w:rsidRPr="005717F3">
              <w:rPr>
                <w:noProof/>
                <w:webHidden/>
              </w:rPr>
              <w:fldChar w:fldCharType="separate"/>
            </w:r>
            <w:r w:rsidR="00D54691">
              <w:rPr>
                <w:noProof/>
                <w:webHidden/>
              </w:rPr>
              <w:t>126</w:t>
            </w:r>
            <w:r w:rsidR="005717F3" w:rsidRPr="005717F3">
              <w:rPr>
                <w:noProof/>
                <w:webHidden/>
              </w:rPr>
              <w:fldChar w:fldCharType="end"/>
            </w:r>
          </w:hyperlink>
        </w:p>
        <w:p w14:paraId="6BEA6232" w14:textId="72FFD432" w:rsidR="005717F3" w:rsidRPr="00D613DA" w:rsidRDefault="00FF7453" w:rsidP="00D613DA">
          <w:pPr>
            <w:pStyle w:val="22"/>
          </w:pPr>
          <w:hyperlink w:anchor="_Toc110506951" w:history="1">
            <w:r w:rsidR="005717F3" w:rsidRPr="00D613DA">
              <w:rPr>
                <w:rStyle w:val="ad"/>
                <w:iCs/>
              </w:rPr>
              <w:t>3.2. Описание и обоснование подходов к выбору объекта недвижимости, основные характеристики вида использования которого (в том числе физические) соответствуют спросу и предложению в соответствующем сегменте рынка, в целях проведения оценочного зонирования</w:t>
            </w:r>
            <w:r w:rsidR="005717F3" w:rsidRPr="00D613DA">
              <w:rPr>
                <w:webHidden/>
              </w:rPr>
              <w:tab/>
            </w:r>
            <w:r w:rsidR="005717F3" w:rsidRPr="00D613DA">
              <w:rPr>
                <w:webHidden/>
              </w:rPr>
              <w:fldChar w:fldCharType="begin"/>
            </w:r>
            <w:r w:rsidR="005717F3" w:rsidRPr="00D613DA">
              <w:rPr>
                <w:webHidden/>
              </w:rPr>
              <w:instrText xml:space="preserve"> PAGEREF _Toc110506951 \h </w:instrText>
            </w:r>
            <w:r w:rsidR="005717F3" w:rsidRPr="00D613DA">
              <w:rPr>
                <w:webHidden/>
              </w:rPr>
            </w:r>
            <w:r w:rsidR="005717F3" w:rsidRPr="00D613DA">
              <w:rPr>
                <w:webHidden/>
              </w:rPr>
              <w:fldChar w:fldCharType="separate"/>
            </w:r>
            <w:r w:rsidR="00D54691">
              <w:rPr>
                <w:webHidden/>
              </w:rPr>
              <w:t>133</w:t>
            </w:r>
            <w:r w:rsidR="005717F3" w:rsidRPr="00D613DA">
              <w:rPr>
                <w:webHidden/>
              </w:rPr>
              <w:fldChar w:fldCharType="end"/>
            </w:r>
          </w:hyperlink>
        </w:p>
        <w:p w14:paraId="5F8AA0EE" w14:textId="4F18B619" w:rsidR="005717F3" w:rsidRPr="00D613DA" w:rsidRDefault="00FF7453" w:rsidP="00D613DA">
          <w:pPr>
            <w:pStyle w:val="22"/>
          </w:pPr>
          <w:hyperlink w:anchor="_Toc110506953" w:history="1">
            <w:r w:rsidR="005717F3" w:rsidRPr="00D613DA">
              <w:rPr>
                <w:rStyle w:val="ad"/>
                <w:iCs/>
              </w:rPr>
              <w:t>3.3.</w:t>
            </w:r>
            <w:r w:rsidR="00D613DA" w:rsidRPr="00D613DA">
              <w:t xml:space="preserve"> </w:t>
            </w:r>
            <w:r w:rsidR="005717F3" w:rsidRPr="00D613DA">
              <w:rPr>
                <w:rStyle w:val="ad"/>
                <w:iCs/>
              </w:rPr>
              <w:t>Обоснование подходов к сегментации объектов недвижимости, подлежащих государственной кадастровой оценке, в целях их группировки</w:t>
            </w:r>
            <w:r w:rsidR="005717F3" w:rsidRPr="00D613DA">
              <w:rPr>
                <w:webHidden/>
              </w:rPr>
              <w:tab/>
            </w:r>
            <w:r w:rsidR="005717F3" w:rsidRPr="00D613DA">
              <w:rPr>
                <w:webHidden/>
              </w:rPr>
              <w:fldChar w:fldCharType="begin"/>
            </w:r>
            <w:r w:rsidR="005717F3" w:rsidRPr="00D613DA">
              <w:rPr>
                <w:webHidden/>
              </w:rPr>
              <w:instrText xml:space="preserve"> PAGEREF _Toc110506953 \h </w:instrText>
            </w:r>
            <w:r w:rsidR="005717F3" w:rsidRPr="00D613DA">
              <w:rPr>
                <w:webHidden/>
              </w:rPr>
            </w:r>
            <w:r w:rsidR="005717F3" w:rsidRPr="00D613DA">
              <w:rPr>
                <w:webHidden/>
              </w:rPr>
              <w:fldChar w:fldCharType="separate"/>
            </w:r>
            <w:r w:rsidR="00D54691">
              <w:rPr>
                <w:webHidden/>
              </w:rPr>
              <w:t>166</w:t>
            </w:r>
            <w:r w:rsidR="005717F3" w:rsidRPr="00D613DA">
              <w:rPr>
                <w:webHidden/>
              </w:rPr>
              <w:fldChar w:fldCharType="end"/>
            </w:r>
          </w:hyperlink>
        </w:p>
        <w:p w14:paraId="644CA56C" w14:textId="08643ABB" w:rsidR="005717F3" w:rsidRPr="00D613DA" w:rsidRDefault="00FF7453" w:rsidP="00D613DA">
          <w:pPr>
            <w:pStyle w:val="22"/>
            <w:rPr>
              <w:b w:val="0"/>
            </w:rPr>
          </w:pPr>
          <w:hyperlink w:anchor="_Toc110506954" w:history="1">
            <w:r w:rsidR="005717F3" w:rsidRPr="00D613DA">
              <w:rPr>
                <w:rStyle w:val="ad"/>
                <w:b w:val="0"/>
                <w:i/>
                <w:iCs/>
              </w:rPr>
              <w:t>3.3.1 Общие требования к сегментации объектов недвижимости</w:t>
            </w:r>
            <w:r w:rsidR="005717F3" w:rsidRPr="00D613DA">
              <w:rPr>
                <w:b w:val="0"/>
                <w:webHidden/>
              </w:rPr>
              <w:tab/>
            </w:r>
            <w:r w:rsidR="005717F3" w:rsidRPr="00D613DA">
              <w:rPr>
                <w:b w:val="0"/>
                <w:webHidden/>
              </w:rPr>
              <w:fldChar w:fldCharType="begin"/>
            </w:r>
            <w:r w:rsidR="005717F3" w:rsidRPr="00D613DA">
              <w:rPr>
                <w:b w:val="0"/>
                <w:webHidden/>
              </w:rPr>
              <w:instrText xml:space="preserve"> PAGEREF _Toc110506954 \h </w:instrText>
            </w:r>
            <w:r w:rsidR="005717F3" w:rsidRPr="00D613DA">
              <w:rPr>
                <w:b w:val="0"/>
                <w:webHidden/>
              </w:rPr>
            </w:r>
            <w:r w:rsidR="005717F3" w:rsidRPr="00D613DA">
              <w:rPr>
                <w:b w:val="0"/>
                <w:webHidden/>
              </w:rPr>
              <w:fldChar w:fldCharType="separate"/>
            </w:r>
            <w:r w:rsidR="00D54691">
              <w:rPr>
                <w:b w:val="0"/>
                <w:webHidden/>
              </w:rPr>
              <w:t>166</w:t>
            </w:r>
            <w:r w:rsidR="005717F3" w:rsidRPr="00D613DA">
              <w:rPr>
                <w:b w:val="0"/>
                <w:webHidden/>
              </w:rPr>
              <w:fldChar w:fldCharType="end"/>
            </w:r>
          </w:hyperlink>
        </w:p>
        <w:p w14:paraId="6B730DB4" w14:textId="602F0051" w:rsidR="005717F3" w:rsidRPr="00D613DA" w:rsidRDefault="00FF7453" w:rsidP="00D613DA">
          <w:pPr>
            <w:pStyle w:val="22"/>
            <w:rPr>
              <w:b w:val="0"/>
            </w:rPr>
          </w:pPr>
          <w:hyperlink w:anchor="_Toc110506955" w:history="1">
            <w:r w:rsidR="005717F3" w:rsidRPr="00D613DA">
              <w:rPr>
                <w:rStyle w:val="ad"/>
                <w:b w:val="0"/>
                <w:i/>
                <w:iCs/>
              </w:rPr>
              <w:t>3.3.2 Группировка объектов недвижимости</w:t>
            </w:r>
            <w:r w:rsidR="005717F3" w:rsidRPr="00D613DA">
              <w:rPr>
                <w:b w:val="0"/>
                <w:webHidden/>
              </w:rPr>
              <w:tab/>
            </w:r>
            <w:r w:rsidR="005717F3" w:rsidRPr="00D613DA">
              <w:rPr>
                <w:b w:val="0"/>
                <w:webHidden/>
              </w:rPr>
              <w:fldChar w:fldCharType="begin"/>
            </w:r>
            <w:r w:rsidR="005717F3" w:rsidRPr="00D613DA">
              <w:rPr>
                <w:b w:val="0"/>
                <w:webHidden/>
              </w:rPr>
              <w:instrText xml:space="preserve"> PAGEREF _Toc110506955 \h </w:instrText>
            </w:r>
            <w:r w:rsidR="005717F3" w:rsidRPr="00D613DA">
              <w:rPr>
                <w:b w:val="0"/>
                <w:webHidden/>
              </w:rPr>
            </w:r>
            <w:r w:rsidR="005717F3" w:rsidRPr="00D613DA">
              <w:rPr>
                <w:b w:val="0"/>
                <w:webHidden/>
              </w:rPr>
              <w:fldChar w:fldCharType="separate"/>
            </w:r>
            <w:r w:rsidR="00D54691">
              <w:rPr>
                <w:b w:val="0"/>
                <w:webHidden/>
              </w:rPr>
              <w:t>191</w:t>
            </w:r>
            <w:r w:rsidR="005717F3" w:rsidRPr="00D613DA">
              <w:rPr>
                <w:b w:val="0"/>
                <w:webHidden/>
              </w:rPr>
              <w:fldChar w:fldCharType="end"/>
            </w:r>
          </w:hyperlink>
        </w:p>
        <w:p w14:paraId="37E19AB1" w14:textId="633BE155" w:rsidR="005717F3" w:rsidRPr="00D613DA" w:rsidRDefault="00FF7453" w:rsidP="00D613DA">
          <w:pPr>
            <w:pStyle w:val="22"/>
          </w:pPr>
          <w:hyperlink w:anchor="_Toc110506956" w:history="1">
            <w:r w:rsidR="005717F3" w:rsidRPr="00D613DA">
              <w:rPr>
                <w:rStyle w:val="ad"/>
              </w:rPr>
              <w:t>3.4. Информация об определении перечня ценообразующих факторов объектов недвижимости и источниках сведений о них, обоснование отказа от использования ценообразующих факторов, предусмотренных Методическими указаниями.</w:t>
            </w:r>
            <w:r w:rsidR="005717F3" w:rsidRPr="00D613DA">
              <w:rPr>
                <w:webHidden/>
              </w:rPr>
              <w:tab/>
            </w:r>
            <w:r w:rsidR="005717F3" w:rsidRPr="00D613DA">
              <w:rPr>
                <w:webHidden/>
              </w:rPr>
              <w:fldChar w:fldCharType="begin"/>
            </w:r>
            <w:r w:rsidR="005717F3" w:rsidRPr="00D613DA">
              <w:rPr>
                <w:webHidden/>
              </w:rPr>
              <w:instrText xml:space="preserve"> PAGEREF _Toc110506956 \h </w:instrText>
            </w:r>
            <w:r w:rsidR="005717F3" w:rsidRPr="00D613DA">
              <w:rPr>
                <w:webHidden/>
              </w:rPr>
            </w:r>
            <w:r w:rsidR="005717F3" w:rsidRPr="00D613DA">
              <w:rPr>
                <w:webHidden/>
              </w:rPr>
              <w:fldChar w:fldCharType="separate"/>
            </w:r>
            <w:r w:rsidR="00D54691">
              <w:rPr>
                <w:webHidden/>
              </w:rPr>
              <w:t>235</w:t>
            </w:r>
            <w:r w:rsidR="005717F3" w:rsidRPr="00D613DA">
              <w:rPr>
                <w:webHidden/>
              </w:rPr>
              <w:fldChar w:fldCharType="end"/>
            </w:r>
          </w:hyperlink>
        </w:p>
        <w:p w14:paraId="64F84C25" w14:textId="3E206848" w:rsidR="005717F3" w:rsidRPr="00D613DA" w:rsidRDefault="00FF7453" w:rsidP="00D613DA">
          <w:pPr>
            <w:pStyle w:val="22"/>
          </w:pPr>
          <w:hyperlink w:anchor="_Toc110506957" w:history="1">
            <w:r w:rsidR="005717F3" w:rsidRPr="00D613DA">
              <w:rPr>
                <w:rStyle w:val="ad"/>
              </w:rPr>
              <w:t>3.5.</w:t>
            </w:r>
            <w:r w:rsidR="00D613DA" w:rsidRPr="00D613DA">
              <w:t xml:space="preserve"> </w:t>
            </w:r>
            <w:r w:rsidR="005717F3" w:rsidRPr="00D613DA">
              <w:rPr>
                <w:rStyle w:val="ad"/>
              </w:rPr>
              <w:t>Обоснование использования ценообразующих факторов, не предусмотренных Методическими указаниями</w:t>
            </w:r>
            <w:r w:rsidR="005717F3" w:rsidRPr="00D613DA">
              <w:rPr>
                <w:webHidden/>
              </w:rPr>
              <w:tab/>
            </w:r>
            <w:r w:rsidR="005717F3" w:rsidRPr="00D613DA">
              <w:rPr>
                <w:webHidden/>
              </w:rPr>
              <w:fldChar w:fldCharType="begin"/>
            </w:r>
            <w:r w:rsidR="005717F3" w:rsidRPr="00D613DA">
              <w:rPr>
                <w:webHidden/>
              </w:rPr>
              <w:instrText xml:space="preserve"> PAGEREF _Toc110506957 \h </w:instrText>
            </w:r>
            <w:r w:rsidR="005717F3" w:rsidRPr="00D613DA">
              <w:rPr>
                <w:webHidden/>
              </w:rPr>
            </w:r>
            <w:r w:rsidR="005717F3" w:rsidRPr="00D613DA">
              <w:rPr>
                <w:webHidden/>
              </w:rPr>
              <w:fldChar w:fldCharType="separate"/>
            </w:r>
            <w:r w:rsidR="00D54691">
              <w:rPr>
                <w:webHidden/>
              </w:rPr>
              <w:t>245</w:t>
            </w:r>
            <w:r w:rsidR="005717F3" w:rsidRPr="00D613DA">
              <w:rPr>
                <w:webHidden/>
              </w:rPr>
              <w:fldChar w:fldCharType="end"/>
            </w:r>
          </w:hyperlink>
        </w:p>
        <w:p w14:paraId="248E0B19" w14:textId="42F27343" w:rsidR="005717F3" w:rsidRPr="00D613DA" w:rsidRDefault="00FF7453" w:rsidP="00D613DA">
          <w:pPr>
            <w:pStyle w:val="22"/>
          </w:pPr>
          <w:hyperlink w:anchor="_Toc110506958" w:history="1">
            <w:r w:rsidR="005717F3" w:rsidRPr="00D613DA">
              <w:rPr>
                <w:rStyle w:val="ad"/>
              </w:rPr>
              <w:t>3.6. Обоснование выбора подходов, методов и моделей оценки, использованных для определения кадастровой стоимости объектов недвижимости</w:t>
            </w:r>
            <w:r w:rsidR="005717F3" w:rsidRPr="00D613DA">
              <w:rPr>
                <w:webHidden/>
              </w:rPr>
              <w:tab/>
            </w:r>
            <w:r w:rsidR="005717F3" w:rsidRPr="00D613DA">
              <w:rPr>
                <w:webHidden/>
              </w:rPr>
              <w:fldChar w:fldCharType="begin"/>
            </w:r>
            <w:r w:rsidR="005717F3" w:rsidRPr="00D613DA">
              <w:rPr>
                <w:webHidden/>
              </w:rPr>
              <w:instrText xml:space="preserve"> PAGEREF _Toc110506958 \h </w:instrText>
            </w:r>
            <w:r w:rsidR="005717F3" w:rsidRPr="00D613DA">
              <w:rPr>
                <w:webHidden/>
              </w:rPr>
            </w:r>
            <w:r w:rsidR="005717F3" w:rsidRPr="00D613DA">
              <w:rPr>
                <w:webHidden/>
              </w:rPr>
              <w:fldChar w:fldCharType="separate"/>
            </w:r>
            <w:r w:rsidR="00D54691">
              <w:rPr>
                <w:webHidden/>
              </w:rPr>
              <w:t>252</w:t>
            </w:r>
            <w:r w:rsidR="005717F3" w:rsidRPr="00D613DA">
              <w:rPr>
                <w:webHidden/>
              </w:rPr>
              <w:fldChar w:fldCharType="end"/>
            </w:r>
          </w:hyperlink>
        </w:p>
        <w:p w14:paraId="784C87E2" w14:textId="3673FEE2" w:rsidR="005717F3" w:rsidRPr="00D613DA" w:rsidRDefault="00FF7453" w:rsidP="00D613DA">
          <w:pPr>
            <w:pStyle w:val="22"/>
          </w:pPr>
          <w:hyperlink w:anchor="_Toc110506959" w:history="1">
            <w:r w:rsidR="005717F3" w:rsidRPr="00D613DA">
              <w:rPr>
                <w:rStyle w:val="ad"/>
              </w:rPr>
              <w:t>3.6.1 Сегмент 1. «Сельскохозяйственное использование»</w:t>
            </w:r>
            <w:r w:rsidR="005717F3" w:rsidRPr="00D613DA">
              <w:rPr>
                <w:webHidden/>
              </w:rPr>
              <w:tab/>
            </w:r>
            <w:r w:rsidR="005717F3" w:rsidRPr="00D613DA">
              <w:rPr>
                <w:webHidden/>
              </w:rPr>
              <w:fldChar w:fldCharType="begin"/>
            </w:r>
            <w:r w:rsidR="005717F3" w:rsidRPr="00D613DA">
              <w:rPr>
                <w:webHidden/>
              </w:rPr>
              <w:instrText xml:space="preserve"> PAGEREF _Toc110506959 \h </w:instrText>
            </w:r>
            <w:r w:rsidR="005717F3" w:rsidRPr="00D613DA">
              <w:rPr>
                <w:webHidden/>
              </w:rPr>
            </w:r>
            <w:r w:rsidR="005717F3" w:rsidRPr="00D613DA">
              <w:rPr>
                <w:webHidden/>
              </w:rPr>
              <w:fldChar w:fldCharType="separate"/>
            </w:r>
            <w:r w:rsidR="00D54691">
              <w:rPr>
                <w:webHidden/>
              </w:rPr>
              <w:t>257</w:t>
            </w:r>
            <w:r w:rsidR="005717F3" w:rsidRPr="00D613DA">
              <w:rPr>
                <w:webHidden/>
              </w:rPr>
              <w:fldChar w:fldCharType="end"/>
            </w:r>
          </w:hyperlink>
        </w:p>
        <w:p w14:paraId="2B05E615" w14:textId="4BE106C8" w:rsidR="005717F3" w:rsidRPr="005717F3" w:rsidRDefault="00FF7453" w:rsidP="00D613DA">
          <w:pPr>
            <w:pStyle w:val="31"/>
            <w:rPr>
              <w:noProof/>
            </w:rPr>
          </w:pPr>
          <w:hyperlink w:anchor="_Toc110506960" w:history="1">
            <w:r w:rsidR="005717F3" w:rsidRPr="005717F3">
              <w:rPr>
                <w:rStyle w:val="ad"/>
                <w:rFonts w:ascii="Times New Roman" w:hAnsi="Times New Roman"/>
                <w:i/>
                <w:noProof/>
              </w:rPr>
              <w:t>3.6.1.1. Расчет кадастровой стоимости земельных участков группы Воронеж</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_Toc110506960 \h </w:instrText>
            </w:r>
            <w:r w:rsidR="005717F3" w:rsidRPr="005717F3">
              <w:rPr>
                <w:noProof/>
                <w:webHidden/>
              </w:rPr>
            </w:r>
            <w:r w:rsidR="005717F3" w:rsidRPr="005717F3">
              <w:rPr>
                <w:noProof/>
                <w:webHidden/>
              </w:rPr>
              <w:fldChar w:fldCharType="separate"/>
            </w:r>
            <w:r w:rsidR="00D54691">
              <w:rPr>
                <w:noProof/>
                <w:webHidden/>
              </w:rPr>
              <w:t>257</w:t>
            </w:r>
            <w:r w:rsidR="005717F3" w:rsidRPr="005717F3">
              <w:rPr>
                <w:noProof/>
                <w:webHidden/>
              </w:rPr>
              <w:fldChar w:fldCharType="end"/>
            </w:r>
          </w:hyperlink>
        </w:p>
        <w:p w14:paraId="1C588C92" w14:textId="0201B051" w:rsidR="005717F3" w:rsidRPr="005717F3" w:rsidRDefault="00FF7453" w:rsidP="00D613DA">
          <w:pPr>
            <w:pStyle w:val="31"/>
            <w:rPr>
              <w:noProof/>
            </w:rPr>
          </w:pPr>
          <w:hyperlink w:anchor="_Toc110506961" w:history="1">
            <w:r w:rsidR="005717F3" w:rsidRPr="005717F3">
              <w:rPr>
                <w:rStyle w:val="ad"/>
                <w:rFonts w:ascii="Times New Roman" w:hAnsi="Times New Roman"/>
                <w:i/>
                <w:noProof/>
              </w:rPr>
              <w:t>3.6.1.2. Расчет кадастровой стоимости земельных участков группы Пруды</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_Toc110506961 \h </w:instrText>
            </w:r>
            <w:r w:rsidR="005717F3" w:rsidRPr="005717F3">
              <w:rPr>
                <w:noProof/>
                <w:webHidden/>
              </w:rPr>
            </w:r>
            <w:r w:rsidR="005717F3" w:rsidRPr="005717F3">
              <w:rPr>
                <w:noProof/>
                <w:webHidden/>
              </w:rPr>
              <w:fldChar w:fldCharType="separate"/>
            </w:r>
            <w:r w:rsidR="00D54691">
              <w:rPr>
                <w:noProof/>
                <w:webHidden/>
              </w:rPr>
              <w:t>264</w:t>
            </w:r>
            <w:r w:rsidR="005717F3" w:rsidRPr="005717F3">
              <w:rPr>
                <w:noProof/>
                <w:webHidden/>
              </w:rPr>
              <w:fldChar w:fldCharType="end"/>
            </w:r>
          </w:hyperlink>
        </w:p>
        <w:p w14:paraId="0C1587D2" w14:textId="4364F2CD" w:rsidR="005717F3" w:rsidRPr="005717F3" w:rsidRDefault="00FF7453" w:rsidP="00D613DA">
          <w:pPr>
            <w:pStyle w:val="31"/>
            <w:rPr>
              <w:noProof/>
            </w:rPr>
          </w:pPr>
          <w:hyperlink w:anchor="_Toc110506962" w:history="1">
            <w:r w:rsidR="005717F3" w:rsidRPr="005717F3">
              <w:rPr>
                <w:rStyle w:val="ad"/>
                <w:rFonts w:ascii="Times New Roman" w:hAnsi="Times New Roman"/>
                <w:i/>
                <w:noProof/>
              </w:rPr>
              <w:t>3.6.1.3. Расчет кадастровой стоимости земельных участков группы СХ использование</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_Toc110506962 \h </w:instrText>
            </w:r>
            <w:r w:rsidR="005717F3" w:rsidRPr="005717F3">
              <w:rPr>
                <w:noProof/>
                <w:webHidden/>
              </w:rPr>
            </w:r>
            <w:r w:rsidR="005717F3" w:rsidRPr="005717F3">
              <w:rPr>
                <w:noProof/>
                <w:webHidden/>
              </w:rPr>
              <w:fldChar w:fldCharType="separate"/>
            </w:r>
            <w:r w:rsidR="00D54691">
              <w:rPr>
                <w:noProof/>
                <w:webHidden/>
              </w:rPr>
              <w:t>271</w:t>
            </w:r>
            <w:r w:rsidR="005717F3" w:rsidRPr="005717F3">
              <w:rPr>
                <w:noProof/>
                <w:webHidden/>
              </w:rPr>
              <w:fldChar w:fldCharType="end"/>
            </w:r>
          </w:hyperlink>
        </w:p>
        <w:p w14:paraId="31084168" w14:textId="71B2AD27" w:rsidR="005717F3" w:rsidRPr="00D613DA" w:rsidRDefault="00FF7453" w:rsidP="00D613DA">
          <w:pPr>
            <w:pStyle w:val="22"/>
          </w:pPr>
          <w:hyperlink w:anchor="_Toc110506963" w:history="1">
            <w:r w:rsidR="005717F3" w:rsidRPr="00D613DA">
              <w:rPr>
                <w:rStyle w:val="ad"/>
              </w:rPr>
              <w:t>3.6.2 Сегмент 2. «Жилая застройка (среднеэтажная и многоэтажная)»</w:t>
            </w:r>
            <w:r w:rsidR="005717F3" w:rsidRPr="00D613DA">
              <w:rPr>
                <w:webHidden/>
              </w:rPr>
              <w:tab/>
            </w:r>
            <w:r w:rsidR="005717F3" w:rsidRPr="00D613DA">
              <w:rPr>
                <w:webHidden/>
              </w:rPr>
              <w:fldChar w:fldCharType="begin"/>
            </w:r>
            <w:r w:rsidR="005717F3" w:rsidRPr="00D613DA">
              <w:rPr>
                <w:webHidden/>
              </w:rPr>
              <w:instrText xml:space="preserve"> PAGEREF _Toc110506963 \h </w:instrText>
            </w:r>
            <w:r w:rsidR="005717F3" w:rsidRPr="00D613DA">
              <w:rPr>
                <w:webHidden/>
              </w:rPr>
            </w:r>
            <w:r w:rsidR="005717F3" w:rsidRPr="00D613DA">
              <w:rPr>
                <w:webHidden/>
              </w:rPr>
              <w:fldChar w:fldCharType="separate"/>
            </w:r>
            <w:r w:rsidR="00D54691">
              <w:rPr>
                <w:webHidden/>
              </w:rPr>
              <w:t>287</w:t>
            </w:r>
            <w:r w:rsidR="005717F3" w:rsidRPr="00D613DA">
              <w:rPr>
                <w:webHidden/>
              </w:rPr>
              <w:fldChar w:fldCharType="end"/>
            </w:r>
          </w:hyperlink>
        </w:p>
        <w:p w14:paraId="24C1FC83" w14:textId="7D5A0E99" w:rsidR="005717F3" w:rsidRPr="005717F3" w:rsidRDefault="00FF7453" w:rsidP="00D613DA">
          <w:pPr>
            <w:pStyle w:val="31"/>
            <w:rPr>
              <w:noProof/>
            </w:rPr>
          </w:pPr>
          <w:hyperlink w:anchor="_Toc110506964" w:history="1">
            <w:r w:rsidR="005717F3" w:rsidRPr="005717F3">
              <w:rPr>
                <w:rStyle w:val="ad"/>
                <w:rFonts w:ascii="Times New Roman" w:hAnsi="Times New Roman"/>
                <w:i/>
                <w:noProof/>
              </w:rPr>
              <w:t>3.6.2.1. Расчет кадастровой стоимости земельных участков группы МЖЗ/Воронеж</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_Toc110506964 \h </w:instrText>
            </w:r>
            <w:r w:rsidR="005717F3" w:rsidRPr="005717F3">
              <w:rPr>
                <w:noProof/>
                <w:webHidden/>
              </w:rPr>
            </w:r>
            <w:r w:rsidR="005717F3" w:rsidRPr="005717F3">
              <w:rPr>
                <w:noProof/>
                <w:webHidden/>
              </w:rPr>
              <w:fldChar w:fldCharType="separate"/>
            </w:r>
            <w:r w:rsidR="00D54691">
              <w:rPr>
                <w:noProof/>
                <w:webHidden/>
              </w:rPr>
              <w:t>287</w:t>
            </w:r>
            <w:r w:rsidR="005717F3" w:rsidRPr="005717F3">
              <w:rPr>
                <w:noProof/>
                <w:webHidden/>
              </w:rPr>
              <w:fldChar w:fldCharType="end"/>
            </w:r>
          </w:hyperlink>
        </w:p>
        <w:p w14:paraId="4100FD3D" w14:textId="2881EFF9" w:rsidR="005717F3" w:rsidRPr="005717F3" w:rsidRDefault="00FF7453" w:rsidP="00D613DA">
          <w:pPr>
            <w:pStyle w:val="31"/>
            <w:rPr>
              <w:noProof/>
            </w:rPr>
          </w:pPr>
          <w:hyperlink w:anchor="_Toc110506965" w:history="1">
            <w:r w:rsidR="005717F3" w:rsidRPr="005717F3">
              <w:rPr>
                <w:rStyle w:val="ad"/>
                <w:rFonts w:ascii="Times New Roman" w:hAnsi="Times New Roman"/>
                <w:i/>
                <w:noProof/>
              </w:rPr>
              <w:t>3.6.2.2. Расчет кадастровой стоимости земельных участков группы МЖЗ/ГНП</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_Toc110506965 \h </w:instrText>
            </w:r>
            <w:r w:rsidR="005717F3" w:rsidRPr="005717F3">
              <w:rPr>
                <w:noProof/>
                <w:webHidden/>
              </w:rPr>
            </w:r>
            <w:r w:rsidR="005717F3" w:rsidRPr="005717F3">
              <w:rPr>
                <w:noProof/>
                <w:webHidden/>
              </w:rPr>
              <w:fldChar w:fldCharType="separate"/>
            </w:r>
            <w:r w:rsidR="00D54691">
              <w:rPr>
                <w:noProof/>
                <w:webHidden/>
              </w:rPr>
              <w:t>291</w:t>
            </w:r>
            <w:r w:rsidR="005717F3" w:rsidRPr="005717F3">
              <w:rPr>
                <w:noProof/>
                <w:webHidden/>
              </w:rPr>
              <w:fldChar w:fldCharType="end"/>
            </w:r>
          </w:hyperlink>
        </w:p>
        <w:p w14:paraId="5DFFEA38" w14:textId="77987CBA" w:rsidR="005717F3" w:rsidRPr="005717F3" w:rsidRDefault="00FF7453" w:rsidP="00D613DA">
          <w:pPr>
            <w:pStyle w:val="31"/>
            <w:rPr>
              <w:noProof/>
            </w:rPr>
          </w:pPr>
          <w:hyperlink w:anchor="_Toc110506966" w:history="1">
            <w:r w:rsidR="005717F3" w:rsidRPr="005717F3">
              <w:rPr>
                <w:rStyle w:val="ad"/>
                <w:rFonts w:ascii="Times New Roman" w:hAnsi="Times New Roman"/>
                <w:i/>
                <w:noProof/>
              </w:rPr>
              <w:t>3.6.2.3. Расчет кадастровой стоимости земельных участков группы МЖЗ/СНП</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_Toc110506966 \h </w:instrText>
            </w:r>
            <w:r w:rsidR="005717F3" w:rsidRPr="005717F3">
              <w:rPr>
                <w:noProof/>
                <w:webHidden/>
              </w:rPr>
            </w:r>
            <w:r w:rsidR="005717F3" w:rsidRPr="005717F3">
              <w:rPr>
                <w:noProof/>
                <w:webHidden/>
              </w:rPr>
              <w:fldChar w:fldCharType="separate"/>
            </w:r>
            <w:r w:rsidR="00D54691">
              <w:rPr>
                <w:noProof/>
                <w:webHidden/>
              </w:rPr>
              <w:t>294</w:t>
            </w:r>
            <w:r w:rsidR="005717F3" w:rsidRPr="005717F3">
              <w:rPr>
                <w:noProof/>
                <w:webHidden/>
              </w:rPr>
              <w:fldChar w:fldCharType="end"/>
            </w:r>
          </w:hyperlink>
        </w:p>
        <w:p w14:paraId="3DC9571C" w14:textId="0599FCC1" w:rsidR="005717F3" w:rsidRPr="005717F3" w:rsidRDefault="00FF7453" w:rsidP="00D613DA">
          <w:pPr>
            <w:pStyle w:val="31"/>
            <w:rPr>
              <w:noProof/>
            </w:rPr>
          </w:pPr>
          <w:hyperlink w:anchor="_Toc110506967" w:history="1">
            <w:r w:rsidR="005717F3" w:rsidRPr="005717F3">
              <w:rPr>
                <w:rStyle w:val="ad"/>
                <w:rFonts w:ascii="Times New Roman" w:hAnsi="Times New Roman"/>
                <w:i/>
                <w:noProof/>
              </w:rPr>
              <w:t>3.6.2.4 Расчет кадастровой стоимости земельных участков группы МЖЗ/УПКС</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_Toc110506967 \h </w:instrText>
            </w:r>
            <w:r w:rsidR="005717F3" w:rsidRPr="005717F3">
              <w:rPr>
                <w:noProof/>
                <w:webHidden/>
              </w:rPr>
            </w:r>
            <w:r w:rsidR="005717F3" w:rsidRPr="005717F3">
              <w:rPr>
                <w:noProof/>
                <w:webHidden/>
              </w:rPr>
              <w:fldChar w:fldCharType="separate"/>
            </w:r>
            <w:r w:rsidR="00D54691">
              <w:rPr>
                <w:noProof/>
                <w:webHidden/>
              </w:rPr>
              <w:t>298</w:t>
            </w:r>
            <w:r w:rsidR="005717F3" w:rsidRPr="005717F3">
              <w:rPr>
                <w:noProof/>
                <w:webHidden/>
              </w:rPr>
              <w:fldChar w:fldCharType="end"/>
            </w:r>
          </w:hyperlink>
        </w:p>
        <w:p w14:paraId="701FB52B" w14:textId="3EB83E13" w:rsidR="005717F3" w:rsidRPr="005717F3" w:rsidRDefault="00FF7453" w:rsidP="00D613DA">
          <w:pPr>
            <w:pStyle w:val="22"/>
          </w:pPr>
          <w:hyperlink w:anchor="_Toc110506968" w:history="1">
            <w:r w:rsidR="005717F3" w:rsidRPr="005717F3">
              <w:rPr>
                <w:rStyle w:val="ad"/>
                <w:i/>
              </w:rPr>
              <w:t>3.6.3 Сегмент 3. «Общественное использование»</w:t>
            </w:r>
            <w:r w:rsidR="005717F3" w:rsidRPr="005717F3">
              <w:rPr>
                <w:webHidden/>
              </w:rPr>
              <w:tab/>
            </w:r>
            <w:r w:rsidR="005717F3" w:rsidRPr="005717F3">
              <w:rPr>
                <w:webHidden/>
              </w:rPr>
              <w:fldChar w:fldCharType="begin"/>
            </w:r>
            <w:r w:rsidR="005717F3" w:rsidRPr="005717F3">
              <w:rPr>
                <w:webHidden/>
              </w:rPr>
              <w:instrText xml:space="preserve"> PAGEREF _Toc110506968 \h </w:instrText>
            </w:r>
            <w:r w:rsidR="005717F3" w:rsidRPr="005717F3">
              <w:rPr>
                <w:webHidden/>
              </w:rPr>
            </w:r>
            <w:r w:rsidR="005717F3" w:rsidRPr="005717F3">
              <w:rPr>
                <w:webHidden/>
              </w:rPr>
              <w:fldChar w:fldCharType="separate"/>
            </w:r>
            <w:r w:rsidR="00D54691">
              <w:rPr>
                <w:webHidden/>
              </w:rPr>
              <w:t>299</w:t>
            </w:r>
            <w:r w:rsidR="005717F3" w:rsidRPr="005717F3">
              <w:rPr>
                <w:webHidden/>
              </w:rPr>
              <w:fldChar w:fldCharType="end"/>
            </w:r>
          </w:hyperlink>
        </w:p>
        <w:p w14:paraId="0B763753" w14:textId="475389C0" w:rsidR="005717F3" w:rsidRPr="005717F3" w:rsidRDefault="00FF7453" w:rsidP="00D613DA">
          <w:pPr>
            <w:pStyle w:val="31"/>
            <w:rPr>
              <w:noProof/>
            </w:rPr>
          </w:pPr>
          <w:hyperlink w:anchor="_Toc110506969" w:history="1">
            <w:r w:rsidR="005717F3" w:rsidRPr="005717F3">
              <w:rPr>
                <w:rStyle w:val="ad"/>
                <w:rFonts w:ascii="Times New Roman" w:hAnsi="Times New Roman"/>
                <w:i/>
                <w:noProof/>
              </w:rPr>
              <w:t>3.6.3.1. Расчет кадастровой стоимости земельных участков группы СОЦ/Воронеж</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_Toc110506969 \h </w:instrText>
            </w:r>
            <w:r w:rsidR="005717F3" w:rsidRPr="005717F3">
              <w:rPr>
                <w:noProof/>
                <w:webHidden/>
              </w:rPr>
            </w:r>
            <w:r w:rsidR="005717F3" w:rsidRPr="005717F3">
              <w:rPr>
                <w:noProof/>
                <w:webHidden/>
              </w:rPr>
              <w:fldChar w:fldCharType="separate"/>
            </w:r>
            <w:r w:rsidR="00D54691">
              <w:rPr>
                <w:noProof/>
                <w:webHidden/>
              </w:rPr>
              <w:t>299</w:t>
            </w:r>
            <w:r w:rsidR="005717F3" w:rsidRPr="005717F3">
              <w:rPr>
                <w:noProof/>
                <w:webHidden/>
              </w:rPr>
              <w:fldChar w:fldCharType="end"/>
            </w:r>
          </w:hyperlink>
        </w:p>
        <w:p w14:paraId="513512A4" w14:textId="0D102A14" w:rsidR="005717F3" w:rsidRPr="005717F3" w:rsidRDefault="00FF7453" w:rsidP="00D613DA">
          <w:pPr>
            <w:pStyle w:val="31"/>
            <w:rPr>
              <w:noProof/>
            </w:rPr>
          </w:pPr>
          <w:hyperlink w:anchor="_Toc110506970" w:history="1">
            <w:r w:rsidR="005717F3" w:rsidRPr="005717F3">
              <w:rPr>
                <w:rStyle w:val="ad"/>
                <w:rFonts w:ascii="Times New Roman" w:hAnsi="Times New Roman"/>
                <w:i/>
                <w:noProof/>
              </w:rPr>
              <w:t>3.6.3.2. Расчет кадастровой стоимости земельных участков группы СОЦ/6 ГНП</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_Toc110506970 \h </w:instrText>
            </w:r>
            <w:r w:rsidR="005717F3" w:rsidRPr="005717F3">
              <w:rPr>
                <w:noProof/>
                <w:webHidden/>
              </w:rPr>
            </w:r>
            <w:r w:rsidR="005717F3" w:rsidRPr="005717F3">
              <w:rPr>
                <w:noProof/>
                <w:webHidden/>
              </w:rPr>
              <w:fldChar w:fldCharType="separate"/>
            </w:r>
            <w:r w:rsidR="00D54691">
              <w:rPr>
                <w:noProof/>
                <w:webHidden/>
              </w:rPr>
              <w:t>303</w:t>
            </w:r>
            <w:r w:rsidR="005717F3" w:rsidRPr="005717F3">
              <w:rPr>
                <w:noProof/>
                <w:webHidden/>
              </w:rPr>
              <w:fldChar w:fldCharType="end"/>
            </w:r>
          </w:hyperlink>
        </w:p>
        <w:p w14:paraId="7C18ECD9" w14:textId="4D0CD6E6" w:rsidR="005717F3" w:rsidRPr="005717F3" w:rsidRDefault="00FF7453" w:rsidP="00D613DA">
          <w:pPr>
            <w:pStyle w:val="31"/>
            <w:rPr>
              <w:noProof/>
            </w:rPr>
          </w:pPr>
          <w:hyperlink w:anchor="_Toc110506971" w:history="1">
            <w:r w:rsidR="005717F3" w:rsidRPr="005717F3">
              <w:rPr>
                <w:rStyle w:val="ad"/>
                <w:rFonts w:ascii="Times New Roman" w:hAnsi="Times New Roman"/>
                <w:i/>
                <w:noProof/>
              </w:rPr>
              <w:t>3.6.3.3 Расчет кадастровой стоимости земельных участков группы СОЦ/Прочие ГНП</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_Toc110506971 \h </w:instrText>
            </w:r>
            <w:r w:rsidR="005717F3" w:rsidRPr="005717F3">
              <w:rPr>
                <w:noProof/>
                <w:webHidden/>
              </w:rPr>
            </w:r>
            <w:r w:rsidR="005717F3" w:rsidRPr="005717F3">
              <w:rPr>
                <w:noProof/>
                <w:webHidden/>
              </w:rPr>
              <w:fldChar w:fldCharType="separate"/>
            </w:r>
            <w:r w:rsidR="00D54691">
              <w:rPr>
                <w:noProof/>
                <w:webHidden/>
              </w:rPr>
              <w:t>307</w:t>
            </w:r>
            <w:r w:rsidR="005717F3" w:rsidRPr="005717F3">
              <w:rPr>
                <w:noProof/>
                <w:webHidden/>
              </w:rPr>
              <w:fldChar w:fldCharType="end"/>
            </w:r>
          </w:hyperlink>
        </w:p>
        <w:p w14:paraId="634347C7" w14:textId="25AC189F" w:rsidR="005717F3" w:rsidRPr="005717F3" w:rsidRDefault="00FF7453" w:rsidP="00D613DA">
          <w:pPr>
            <w:pStyle w:val="31"/>
            <w:rPr>
              <w:noProof/>
            </w:rPr>
          </w:pPr>
          <w:hyperlink w:anchor="_Toc110506972" w:history="1">
            <w:r w:rsidR="005717F3" w:rsidRPr="005717F3">
              <w:rPr>
                <w:rStyle w:val="ad"/>
                <w:rFonts w:ascii="Times New Roman" w:hAnsi="Times New Roman"/>
                <w:i/>
                <w:noProof/>
              </w:rPr>
              <w:t>3.6.3.4. Расчет кадастровой стоимости земельных участков группы СОЦ/СНП</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_Toc110506972 \h </w:instrText>
            </w:r>
            <w:r w:rsidR="005717F3" w:rsidRPr="005717F3">
              <w:rPr>
                <w:noProof/>
                <w:webHidden/>
              </w:rPr>
            </w:r>
            <w:r w:rsidR="005717F3" w:rsidRPr="005717F3">
              <w:rPr>
                <w:noProof/>
                <w:webHidden/>
              </w:rPr>
              <w:fldChar w:fldCharType="separate"/>
            </w:r>
            <w:r w:rsidR="00D54691">
              <w:rPr>
                <w:noProof/>
                <w:webHidden/>
              </w:rPr>
              <w:t>311</w:t>
            </w:r>
            <w:r w:rsidR="005717F3" w:rsidRPr="005717F3">
              <w:rPr>
                <w:noProof/>
                <w:webHidden/>
              </w:rPr>
              <w:fldChar w:fldCharType="end"/>
            </w:r>
          </w:hyperlink>
        </w:p>
        <w:p w14:paraId="27257C61" w14:textId="71803330" w:rsidR="005717F3" w:rsidRPr="005717F3" w:rsidRDefault="00FF7453" w:rsidP="00D613DA">
          <w:pPr>
            <w:pStyle w:val="31"/>
            <w:rPr>
              <w:noProof/>
            </w:rPr>
          </w:pPr>
          <w:hyperlink w:anchor="_Toc110506973" w:history="1">
            <w:r w:rsidR="005717F3" w:rsidRPr="005717F3">
              <w:rPr>
                <w:rStyle w:val="ad"/>
                <w:rFonts w:ascii="Times New Roman" w:hAnsi="Times New Roman"/>
                <w:i/>
                <w:noProof/>
              </w:rPr>
              <w:t>3.6.3.5. Расчет кадастровой стоимости земельных участков группы СОЦ/Памятники</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_Toc110506973 \h </w:instrText>
            </w:r>
            <w:r w:rsidR="005717F3" w:rsidRPr="005717F3">
              <w:rPr>
                <w:noProof/>
                <w:webHidden/>
              </w:rPr>
            </w:r>
            <w:r w:rsidR="005717F3" w:rsidRPr="005717F3">
              <w:rPr>
                <w:noProof/>
                <w:webHidden/>
              </w:rPr>
              <w:fldChar w:fldCharType="separate"/>
            </w:r>
            <w:r w:rsidR="00D54691">
              <w:rPr>
                <w:noProof/>
                <w:webHidden/>
              </w:rPr>
              <w:t>315</w:t>
            </w:r>
            <w:r w:rsidR="005717F3" w:rsidRPr="005717F3">
              <w:rPr>
                <w:noProof/>
                <w:webHidden/>
              </w:rPr>
              <w:fldChar w:fldCharType="end"/>
            </w:r>
          </w:hyperlink>
        </w:p>
        <w:p w14:paraId="64215BF8" w14:textId="3E783B20" w:rsidR="005717F3" w:rsidRPr="005717F3" w:rsidRDefault="00FF7453" w:rsidP="00D613DA">
          <w:pPr>
            <w:pStyle w:val="31"/>
            <w:rPr>
              <w:noProof/>
            </w:rPr>
          </w:pPr>
          <w:hyperlink w:anchor="_Toc110506974" w:history="1">
            <w:r w:rsidR="005717F3" w:rsidRPr="005717F3">
              <w:rPr>
                <w:rStyle w:val="ad"/>
                <w:rFonts w:ascii="Times New Roman" w:hAnsi="Times New Roman"/>
                <w:i/>
                <w:noProof/>
              </w:rPr>
              <w:t>3.6.3.6. Расчет кадастровой стоимости земельных участков группы СОЦ/УПКС</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_Toc110506974 \h </w:instrText>
            </w:r>
            <w:r w:rsidR="005717F3" w:rsidRPr="005717F3">
              <w:rPr>
                <w:noProof/>
                <w:webHidden/>
              </w:rPr>
            </w:r>
            <w:r w:rsidR="005717F3" w:rsidRPr="005717F3">
              <w:rPr>
                <w:noProof/>
                <w:webHidden/>
              </w:rPr>
              <w:fldChar w:fldCharType="separate"/>
            </w:r>
            <w:r w:rsidR="00D54691">
              <w:rPr>
                <w:noProof/>
                <w:webHidden/>
              </w:rPr>
              <w:t>317</w:t>
            </w:r>
            <w:r w:rsidR="005717F3" w:rsidRPr="005717F3">
              <w:rPr>
                <w:noProof/>
                <w:webHidden/>
              </w:rPr>
              <w:fldChar w:fldCharType="end"/>
            </w:r>
          </w:hyperlink>
        </w:p>
        <w:p w14:paraId="6ED224EA" w14:textId="62D897F6" w:rsidR="005717F3" w:rsidRPr="00D613DA" w:rsidRDefault="00FF7453" w:rsidP="00D613DA">
          <w:pPr>
            <w:pStyle w:val="22"/>
          </w:pPr>
          <w:hyperlink w:anchor="_Toc110506975" w:history="1">
            <w:r w:rsidR="005717F3" w:rsidRPr="00D613DA">
              <w:rPr>
                <w:rStyle w:val="ad"/>
              </w:rPr>
              <w:t>3.6.4 Сегмент 4. «Предпринимательство»</w:t>
            </w:r>
            <w:r w:rsidR="005717F3" w:rsidRPr="00D613DA">
              <w:rPr>
                <w:webHidden/>
              </w:rPr>
              <w:tab/>
            </w:r>
            <w:r w:rsidR="005717F3" w:rsidRPr="00D613DA">
              <w:rPr>
                <w:webHidden/>
              </w:rPr>
              <w:fldChar w:fldCharType="begin"/>
            </w:r>
            <w:r w:rsidR="005717F3" w:rsidRPr="00D613DA">
              <w:rPr>
                <w:webHidden/>
              </w:rPr>
              <w:instrText xml:space="preserve"> PAGEREF _Toc110506975 \h </w:instrText>
            </w:r>
            <w:r w:rsidR="005717F3" w:rsidRPr="00D613DA">
              <w:rPr>
                <w:webHidden/>
              </w:rPr>
            </w:r>
            <w:r w:rsidR="005717F3" w:rsidRPr="00D613DA">
              <w:rPr>
                <w:webHidden/>
              </w:rPr>
              <w:fldChar w:fldCharType="separate"/>
            </w:r>
            <w:r w:rsidR="00D54691">
              <w:rPr>
                <w:webHidden/>
              </w:rPr>
              <w:t>318</w:t>
            </w:r>
            <w:r w:rsidR="005717F3" w:rsidRPr="00D613DA">
              <w:rPr>
                <w:webHidden/>
              </w:rPr>
              <w:fldChar w:fldCharType="end"/>
            </w:r>
          </w:hyperlink>
        </w:p>
        <w:p w14:paraId="0EDF0D76" w14:textId="0EA8F573" w:rsidR="005717F3" w:rsidRPr="005717F3" w:rsidRDefault="00FF7453" w:rsidP="00D613DA">
          <w:pPr>
            <w:pStyle w:val="31"/>
            <w:rPr>
              <w:noProof/>
            </w:rPr>
          </w:pPr>
          <w:hyperlink w:anchor="_Toc110506976" w:history="1">
            <w:r w:rsidR="005717F3" w:rsidRPr="005717F3">
              <w:rPr>
                <w:rStyle w:val="ad"/>
                <w:rFonts w:ascii="Times New Roman" w:hAnsi="Times New Roman"/>
                <w:i/>
                <w:noProof/>
              </w:rPr>
              <w:t>3.6.4.1. Расчет кадастровой стоимости земельных участков группы ПРЕДПРИНИМАТЕЛЬСТВО/ВОРОНЕЖ</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_Toc110506976 \h </w:instrText>
            </w:r>
            <w:r w:rsidR="005717F3" w:rsidRPr="005717F3">
              <w:rPr>
                <w:noProof/>
                <w:webHidden/>
              </w:rPr>
            </w:r>
            <w:r w:rsidR="005717F3" w:rsidRPr="005717F3">
              <w:rPr>
                <w:noProof/>
                <w:webHidden/>
              </w:rPr>
              <w:fldChar w:fldCharType="separate"/>
            </w:r>
            <w:r w:rsidR="00D54691">
              <w:rPr>
                <w:noProof/>
                <w:webHidden/>
              </w:rPr>
              <w:t>318</w:t>
            </w:r>
            <w:r w:rsidR="005717F3" w:rsidRPr="005717F3">
              <w:rPr>
                <w:noProof/>
                <w:webHidden/>
              </w:rPr>
              <w:fldChar w:fldCharType="end"/>
            </w:r>
          </w:hyperlink>
        </w:p>
        <w:p w14:paraId="1E142370" w14:textId="706CE59F" w:rsidR="005717F3" w:rsidRPr="005717F3" w:rsidRDefault="00FF7453" w:rsidP="00D613DA">
          <w:pPr>
            <w:pStyle w:val="31"/>
            <w:rPr>
              <w:noProof/>
            </w:rPr>
          </w:pPr>
          <w:hyperlink w:anchor="_Toc110506977" w:history="1">
            <w:r w:rsidR="005717F3" w:rsidRPr="005717F3">
              <w:rPr>
                <w:rStyle w:val="ad"/>
                <w:rFonts w:ascii="Times New Roman" w:hAnsi="Times New Roman"/>
                <w:i/>
                <w:noProof/>
              </w:rPr>
              <w:t>3.6.4.2. Расчет кадастровой стоимости земельных участков группы ПРЕДПРИНИМАТЕЛЬСТВО/6 ГНП</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_Toc110506977 \h </w:instrText>
            </w:r>
            <w:r w:rsidR="005717F3" w:rsidRPr="005717F3">
              <w:rPr>
                <w:noProof/>
                <w:webHidden/>
              </w:rPr>
            </w:r>
            <w:r w:rsidR="005717F3" w:rsidRPr="005717F3">
              <w:rPr>
                <w:noProof/>
                <w:webHidden/>
              </w:rPr>
              <w:fldChar w:fldCharType="separate"/>
            </w:r>
            <w:r w:rsidR="00D54691">
              <w:rPr>
                <w:noProof/>
                <w:webHidden/>
              </w:rPr>
              <w:t>321</w:t>
            </w:r>
            <w:r w:rsidR="005717F3" w:rsidRPr="005717F3">
              <w:rPr>
                <w:noProof/>
                <w:webHidden/>
              </w:rPr>
              <w:fldChar w:fldCharType="end"/>
            </w:r>
          </w:hyperlink>
        </w:p>
        <w:p w14:paraId="05A042AD" w14:textId="70287202" w:rsidR="005717F3" w:rsidRPr="005717F3" w:rsidRDefault="00FF7453" w:rsidP="00D613DA">
          <w:pPr>
            <w:pStyle w:val="31"/>
            <w:rPr>
              <w:noProof/>
            </w:rPr>
          </w:pPr>
          <w:hyperlink w:anchor="_Toc110506978" w:history="1">
            <w:r w:rsidR="005717F3" w:rsidRPr="005717F3">
              <w:rPr>
                <w:rStyle w:val="ad"/>
                <w:rFonts w:ascii="Times New Roman" w:hAnsi="Times New Roman"/>
                <w:i/>
                <w:noProof/>
              </w:rPr>
              <w:t>3.6.4.3. Расчет кадастровой стоимости земельных участков группы ПРЕДПРИНИМАТЕЛЬСТВО/ПРОЧИЕ ГНП</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_Toc110506978 \h </w:instrText>
            </w:r>
            <w:r w:rsidR="005717F3" w:rsidRPr="005717F3">
              <w:rPr>
                <w:noProof/>
                <w:webHidden/>
              </w:rPr>
            </w:r>
            <w:r w:rsidR="005717F3" w:rsidRPr="005717F3">
              <w:rPr>
                <w:noProof/>
                <w:webHidden/>
              </w:rPr>
              <w:fldChar w:fldCharType="separate"/>
            </w:r>
            <w:r w:rsidR="00D54691">
              <w:rPr>
                <w:noProof/>
                <w:webHidden/>
              </w:rPr>
              <w:t>325</w:t>
            </w:r>
            <w:r w:rsidR="005717F3" w:rsidRPr="005717F3">
              <w:rPr>
                <w:noProof/>
                <w:webHidden/>
              </w:rPr>
              <w:fldChar w:fldCharType="end"/>
            </w:r>
          </w:hyperlink>
        </w:p>
        <w:p w14:paraId="702AA928" w14:textId="62A8B53D" w:rsidR="005717F3" w:rsidRPr="005717F3" w:rsidRDefault="00FF7453" w:rsidP="00D613DA">
          <w:pPr>
            <w:pStyle w:val="31"/>
            <w:rPr>
              <w:noProof/>
            </w:rPr>
          </w:pPr>
          <w:hyperlink w:anchor="_Toc110506979" w:history="1">
            <w:r w:rsidR="005717F3" w:rsidRPr="005717F3">
              <w:rPr>
                <w:rStyle w:val="ad"/>
                <w:rFonts w:ascii="Times New Roman" w:hAnsi="Times New Roman"/>
                <w:i/>
                <w:noProof/>
              </w:rPr>
              <w:t>3.6.4.4. Расчет кадастровой стоимости земельных участков группы ПРЕДПРИНИМАТЕЛЬСТВО/СНП</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_Toc110506979 \h </w:instrText>
            </w:r>
            <w:r w:rsidR="005717F3" w:rsidRPr="005717F3">
              <w:rPr>
                <w:noProof/>
                <w:webHidden/>
              </w:rPr>
            </w:r>
            <w:r w:rsidR="005717F3" w:rsidRPr="005717F3">
              <w:rPr>
                <w:noProof/>
                <w:webHidden/>
              </w:rPr>
              <w:fldChar w:fldCharType="separate"/>
            </w:r>
            <w:r w:rsidR="00D54691">
              <w:rPr>
                <w:noProof/>
                <w:webHidden/>
              </w:rPr>
              <w:t>330</w:t>
            </w:r>
            <w:r w:rsidR="005717F3" w:rsidRPr="005717F3">
              <w:rPr>
                <w:noProof/>
                <w:webHidden/>
              </w:rPr>
              <w:fldChar w:fldCharType="end"/>
            </w:r>
          </w:hyperlink>
        </w:p>
        <w:p w14:paraId="2FA85A38" w14:textId="45C3C9F0" w:rsidR="005717F3" w:rsidRPr="005717F3" w:rsidRDefault="00FF7453" w:rsidP="00D613DA">
          <w:pPr>
            <w:pStyle w:val="31"/>
            <w:rPr>
              <w:noProof/>
            </w:rPr>
          </w:pPr>
          <w:hyperlink w:anchor="_Toc110506980" w:history="1">
            <w:r w:rsidR="005717F3" w:rsidRPr="005717F3">
              <w:rPr>
                <w:rStyle w:val="ad"/>
                <w:rFonts w:ascii="Times New Roman" w:hAnsi="Times New Roman"/>
                <w:i/>
                <w:noProof/>
              </w:rPr>
              <w:t>3.6.4.5. Расчет кадастровой стоимости земельных участков группы ПРЕДПРИНИМАТЕЛЬСТВО/УПКС</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_Toc110506980 \h </w:instrText>
            </w:r>
            <w:r w:rsidR="005717F3" w:rsidRPr="005717F3">
              <w:rPr>
                <w:noProof/>
                <w:webHidden/>
              </w:rPr>
            </w:r>
            <w:r w:rsidR="005717F3" w:rsidRPr="005717F3">
              <w:rPr>
                <w:noProof/>
                <w:webHidden/>
              </w:rPr>
              <w:fldChar w:fldCharType="separate"/>
            </w:r>
            <w:r w:rsidR="00D54691">
              <w:rPr>
                <w:noProof/>
                <w:webHidden/>
              </w:rPr>
              <w:t>334</w:t>
            </w:r>
            <w:r w:rsidR="005717F3" w:rsidRPr="005717F3">
              <w:rPr>
                <w:noProof/>
                <w:webHidden/>
              </w:rPr>
              <w:fldChar w:fldCharType="end"/>
            </w:r>
          </w:hyperlink>
        </w:p>
        <w:p w14:paraId="6899E564" w14:textId="045AD74E" w:rsidR="005717F3" w:rsidRPr="00D613DA" w:rsidRDefault="00FF7453" w:rsidP="00D613DA">
          <w:pPr>
            <w:pStyle w:val="22"/>
          </w:pPr>
          <w:hyperlink w:anchor="_Toc110506981" w:history="1">
            <w:r w:rsidR="005717F3" w:rsidRPr="00D613DA">
              <w:rPr>
                <w:rStyle w:val="ad"/>
              </w:rPr>
              <w:t>3.6.5. Сегмент 5. «Отдых (рекреация)»</w:t>
            </w:r>
            <w:r w:rsidR="005717F3" w:rsidRPr="00D613DA">
              <w:rPr>
                <w:webHidden/>
              </w:rPr>
              <w:tab/>
            </w:r>
            <w:r w:rsidR="005717F3" w:rsidRPr="00D613DA">
              <w:rPr>
                <w:webHidden/>
              </w:rPr>
              <w:fldChar w:fldCharType="begin"/>
            </w:r>
            <w:r w:rsidR="005717F3" w:rsidRPr="00D613DA">
              <w:rPr>
                <w:webHidden/>
              </w:rPr>
              <w:instrText xml:space="preserve"> PAGEREF _Toc110506981 \h </w:instrText>
            </w:r>
            <w:r w:rsidR="005717F3" w:rsidRPr="00D613DA">
              <w:rPr>
                <w:webHidden/>
              </w:rPr>
            </w:r>
            <w:r w:rsidR="005717F3" w:rsidRPr="00D613DA">
              <w:rPr>
                <w:webHidden/>
              </w:rPr>
              <w:fldChar w:fldCharType="separate"/>
            </w:r>
            <w:r w:rsidR="00D54691">
              <w:rPr>
                <w:webHidden/>
              </w:rPr>
              <w:t>335</w:t>
            </w:r>
            <w:r w:rsidR="005717F3" w:rsidRPr="00D613DA">
              <w:rPr>
                <w:webHidden/>
              </w:rPr>
              <w:fldChar w:fldCharType="end"/>
            </w:r>
          </w:hyperlink>
        </w:p>
        <w:p w14:paraId="73021F5E" w14:textId="763DE06F" w:rsidR="005717F3" w:rsidRPr="005717F3" w:rsidRDefault="00FF7453" w:rsidP="00D613DA">
          <w:pPr>
            <w:pStyle w:val="31"/>
            <w:rPr>
              <w:noProof/>
            </w:rPr>
          </w:pPr>
          <w:hyperlink w:anchor="_Toc110506982" w:history="1">
            <w:r w:rsidR="005717F3" w:rsidRPr="005717F3">
              <w:rPr>
                <w:rStyle w:val="ad"/>
                <w:rFonts w:ascii="Times New Roman" w:hAnsi="Times New Roman"/>
                <w:i/>
                <w:noProof/>
              </w:rPr>
              <w:t>3.6.5.1. Расчет кадастровой стоимости земельных участков группы ГОСТИНИЦЫ/ВОРОНЕЖ</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_Toc110506982 \h </w:instrText>
            </w:r>
            <w:r w:rsidR="005717F3" w:rsidRPr="005717F3">
              <w:rPr>
                <w:noProof/>
                <w:webHidden/>
              </w:rPr>
            </w:r>
            <w:r w:rsidR="005717F3" w:rsidRPr="005717F3">
              <w:rPr>
                <w:noProof/>
                <w:webHidden/>
              </w:rPr>
              <w:fldChar w:fldCharType="separate"/>
            </w:r>
            <w:r w:rsidR="00D54691">
              <w:rPr>
                <w:noProof/>
                <w:webHidden/>
              </w:rPr>
              <w:t>335</w:t>
            </w:r>
            <w:r w:rsidR="005717F3" w:rsidRPr="005717F3">
              <w:rPr>
                <w:noProof/>
                <w:webHidden/>
              </w:rPr>
              <w:fldChar w:fldCharType="end"/>
            </w:r>
          </w:hyperlink>
        </w:p>
        <w:p w14:paraId="337A4486" w14:textId="7D15B738" w:rsidR="005717F3" w:rsidRPr="005717F3" w:rsidRDefault="00FF7453" w:rsidP="00D613DA">
          <w:pPr>
            <w:pStyle w:val="31"/>
            <w:rPr>
              <w:noProof/>
            </w:rPr>
          </w:pPr>
          <w:hyperlink w:anchor="_Toc110506983" w:history="1">
            <w:r w:rsidR="005717F3" w:rsidRPr="005717F3">
              <w:rPr>
                <w:rStyle w:val="ad"/>
                <w:rFonts w:ascii="Times New Roman" w:hAnsi="Times New Roman"/>
                <w:i/>
                <w:noProof/>
              </w:rPr>
              <w:t>3.6.5.2. Расчет кадастровой стоимости земельных участков группы ГОСТИНИЦЫ/ГНП</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_Toc110506983 \h </w:instrText>
            </w:r>
            <w:r w:rsidR="005717F3" w:rsidRPr="005717F3">
              <w:rPr>
                <w:noProof/>
                <w:webHidden/>
              </w:rPr>
            </w:r>
            <w:r w:rsidR="005717F3" w:rsidRPr="005717F3">
              <w:rPr>
                <w:noProof/>
                <w:webHidden/>
              </w:rPr>
              <w:fldChar w:fldCharType="separate"/>
            </w:r>
            <w:r w:rsidR="00D54691">
              <w:rPr>
                <w:noProof/>
                <w:webHidden/>
              </w:rPr>
              <w:t>339</w:t>
            </w:r>
            <w:r w:rsidR="005717F3" w:rsidRPr="005717F3">
              <w:rPr>
                <w:noProof/>
                <w:webHidden/>
              </w:rPr>
              <w:fldChar w:fldCharType="end"/>
            </w:r>
          </w:hyperlink>
        </w:p>
        <w:p w14:paraId="74A38764" w14:textId="66E0E46D" w:rsidR="005717F3" w:rsidRPr="005717F3" w:rsidRDefault="00FF7453" w:rsidP="00D613DA">
          <w:pPr>
            <w:pStyle w:val="31"/>
            <w:rPr>
              <w:noProof/>
            </w:rPr>
          </w:pPr>
          <w:hyperlink w:anchor="_Toc110506984" w:history="1">
            <w:r w:rsidR="005717F3" w:rsidRPr="005717F3">
              <w:rPr>
                <w:rStyle w:val="ad"/>
                <w:rFonts w:ascii="Times New Roman" w:hAnsi="Times New Roman"/>
                <w:i/>
                <w:noProof/>
              </w:rPr>
              <w:t>3.6.5.3. Расчет кадастровой стоимости земельных участков группы ГОСТИНИЦЫ/СНП</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_Toc110506984 \h </w:instrText>
            </w:r>
            <w:r w:rsidR="005717F3" w:rsidRPr="005717F3">
              <w:rPr>
                <w:noProof/>
                <w:webHidden/>
              </w:rPr>
            </w:r>
            <w:r w:rsidR="005717F3" w:rsidRPr="005717F3">
              <w:rPr>
                <w:noProof/>
                <w:webHidden/>
              </w:rPr>
              <w:fldChar w:fldCharType="separate"/>
            </w:r>
            <w:r w:rsidR="00D54691">
              <w:rPr>
                <w:noProof/>
                <w:webHidden/>
              </w:rPr>
              <w:t>343</w:t>
            </w:r>
            <w:r w:rsidR="005717F3" w:rsidRPr="005717F3">
              <w:rPr>
                <w:noProof/>
                <w:webHidden/>
              </w:rPr>
              <w:fldChar w:fldCharType="end"/>
            </w:r>
          </w:hyperlink>
        </w:p>
        <w:p w14:paraId="408E08CE" w14:textId="3A610EC2" w:rsidR="005717F3" w:rsidRPr="005717F3" w:rsidRDefault="00FF7453" w:rsidP="00D613DA">
          <w:pPr>
            <w:pStyle w:val="31"/>
            <w:rPr>
              <w:noProof/>
            </w:rPr>
          </w:pPr>
          <w:hyperlink w:anchor="_Toc110506985" w:history="1">
            <w:r w:rsidR="005717F3" w:rsidRPr="005717F3">
              <w:rPr>
                <w:rStyle w:val="ad"/>
                <w:rFonts w:ascii="Times New Roman" w:hAnsi="Times New Roman"/>
                <w:i/>
                <w:noProof/>
              </w:rPr>
              <w:t>3.6.3.4. Расчет кадастровой стоимости земельных участков группы ГОСТИНИЦЫ/УПКС</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_Toc110506985 \h </w:instrText>
            </w:r>
            <w:r w:rsidR="005717F3" w:rsidRPr="005717F3">
              <w:rPr>
                <w:noProof/>
                <w:webHidden/>
              </w:rPr>
            </w:r>
            <w:r w:rsidR="005717F3" w:rsidRPr="005717F3">
              <w:rPr>
                <w:noProof/>
                <w:webHidden/>
              </w:rPr>
              <w:fldChar w:fldCharType="separate"/>
            </w:r>
            <w:r w:rsidR="00D54691">
              <w:rPr>
                <w:noProof/>
                <w:webHidden/>
              </w:rPr>
              <w:t>347</w:t>
            </w:r>
            <w:r w:rsidR="005717F3" w:rsidRPr="005717F3">
              <w:rPr>
                <w:noProof/>
                <w:webHidden/>
              </w:rPr>
              <w:fldChar w:fldCharType="end"/>
            </w:r>
          </w:hyperlink>
        </w:p>
        <w:p w14:paraId="23F49BE2" w14:textId="1FFA2537" w:rsidR="005717F3" w:rsidRPr="005717F3" w:rsidRDefault="00FF7453" w:rsidP="00D613DA">
          <w:pPr>
            <w:pStyle w:val="31"/>
            <w:rPr>
              <w:noProof/>
            </w:rPr>
          </w:pPr>
          <w:hyperlink w:anchor="_Toc110506986" w:history="1">
            <w:r w:rsidR="005717F3" w:rsidRPr="005717F3">
              <w:rPr>
                <w:rStyle w:val="ad"/>
                <w:rFonts w:ascii="Times New Roman" w:hAnsi="Times New Roman"/>
                <w:i/>
                <w:noProof/>
              </w:rPr>
              <w:t>3.6.5.5. Расчет кадастровой стоимости земельных участков группы ОТДЫХ/Воронеж</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_Toc110506986 \h </w:instrText>
            </w:r>
            <w:r w:rsidR="005717F3" w:rsidRPr="005717F3">
              <w:rPr>
                <w:noProof/>
                <w:webHidden/>
              </w:rPr>
            </w:r>
            <w:r w:rsidR="005717F3" w:rsidRPr="005717F3">
              <w:rPr>
                <w:noProof/>
                <w:webHidden/>
              </w:rPr>
              <w:fldChar w:fldCharType="separate"/>
            </w:r>
            <w:r w:rsidR="00D54691">
              <w:rPr>
                <w:noProof/>
                <w:webHidden/>
              </w:rPr>
              <w:t>347</w:t>
            </w:r>
            <w:r w:rsidR="005717F3" w:rsidRPr="005717F3">
              <w:rPr>
                <w:noProof/>
                <w:webHidden/>
              </w:rPr>
              <w:fldChar w:fldCharType="end"/>
            </w:r>
          </w:hyperlink>
        </w:p>
        <w:p w14:paraId="7A0CE6CB" w14:textId="7345FC82" w:rsidR="005717F3" w:rsidRPr="005717F3" w:rsidRDefault="00FF7453" w:rsidP="00D613DA">
          <w:pPr>
            <w:pStyle w:val="31"/>
            <w:rPr>
              <w:noProof/>
            </w:rPr>
          </w:pPr>
          <w:hyperlink w:anchor="_Toc110506987" w:history="1">
            <w:r w:rsidR="005717F3" w:rsidRPr="005717F3">
              <w:rPr>
                <w:rStyle w:val="ad"/>
                <w:rFonts w:ascii="Times New Roman" w:hAnsi="Times New Roman"/>
                <w:i/>
                <w:noProof/>
              </w:rPr>
              <w:t>3.6.5.6. Расчет кадастровой стоимости земельных участков группы ОТДЫХ/6 ГНП</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_Toc110506987 \h </w:instrText>
            </w:r>
            <w:r w:rsidR="005717F3" w:rsidRPr="005717F3">
              <w:rPr>
                <w:noProof/>
                <w:webHidden/>
              </w:rPr>
            </w:r>
            <w:r w:rsidR="005717F3" w:rsidRPr="005717F3">
              <w:rPr>
                <w:noProof/>
                <w:webHidden/>
              </w:rPr>
              <w:fldChar w:fldCharType="separate"/>
            </w:r>
            <w:r w:rsidR="00D54691">
              <w:rPr>
                <w:noProof/>
                <w:webHidden/>
              </w:rPr>
              <w:t>351</w:t>
            </w:r>
            <w:r w:rsidR="005717F3" w:rsidRPr="005717F3">
              <w:rPr>
                <w:noProof/>
                <w:webHidden/>
              </w:rPr>
              <w:fldChar w:fldCharType="end"/>
            </w:r>
          </w:hyperlink>
        </w:p>
        <w:p w14:paraId="5BFEF4B4" w14:textId="7550E4FD" w:rsidR="005717F3" w:rsidRPr="005717F3" w:rsidRDefault="00FF7453" w:rsidP="00D613DA">
          <w:pPr>
            <w:pStyle w:val="31"/>
            <w:rPr>
              <w:noProof/>
            </w:rPr>
          </w:pPr>
          <w:hyperlink w:anchor="_Toc110506988" w:history="1">
            <w:r w:rsidR="005717F3" w:rsidRPr="005717F3">
              <w:rPr>
                <w:rStyle w:val="ad"/>
                <w:rFonts w:ascii="Times New Roman" w:hAnsi="Times New Roman"/>
                <w:i/>
                <w:noProof/>
              </w:rPr>
              <w:t>3.6.5.7. Расчет кадастровой стоимости земельных участков группы ОТДЫХ/ПРОЧИЕ ГНП</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_Toc110506988 \h </w:instrText>
            </w:r>
            <w:r w:rsidR="005717F3" w:rsidRPr="005717F3">
              <w:rPr>
                <w:noProof/>
                <w:webHidden/>
              </w:rPr>
            </w:r>
            <w:r w:rsidR="005717F3" w:rsidRPr="005717F3">
              <w:rPr>
                <w:noProof/>
                <w:webHidden/>
              </w:rPr>
              <w:fldChar w:fldCharType="separate"/>
            </w:r>
            <w:r w:rsidR="00D54691">
              <w:rPr>
                <w:noProof/>
                <w:webHidden/>
              </w:rPr>
              <w:t>355</w:t>
            </w:r>
            <w:r w:rsidR="005717F3" w:rsidRPr="005717F3">
              <w:rPr>
                <w:noProof/>
                <w:webHidden/>
              </w:rPr>
              <w:fldChar w:fldCharType="end"/>
            </w:r>
          </w:hyperlink>
        </w:p>
        <w:p w14:paraId="5EFE7A13" w14:textId="7B2EDB59" w:rsidR="005717F3" w:rsidRPr="005717F3" w:rsidRDefault="00FF7453" w:rsidP="00D613DA">
          <w:pPr>
            <w:pStyle w:val="31"/>
            <w:rPr>
              <w:noProof/>
            </w:rPr>
          </w:pPr>
          <w:hyperlink w:anchor="_Toc110506989" w:history="1">
            <w:r w:rsidR="005717F3" w:rsidRPr="005717F3">
              <w:rPr>
                <w:rStyle w:val="ad"/>
                <w:rFonts w:ascii="Times New Roman" w:hAnsi="Times New Roman"/>
                <w:i/>
                <w:noProof/>
              </w:rPr>
              <w:t>3.6.5.8. Расчет кадастровой стоимости земельных участков группы ОТДЫХ/СНП</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_Toc110506989 \h </w:instrText>
            </w:r>
            <w:r w:rsidR="005717F3" w:rsidRPr="005717F3">
              <w:rPr>
                <w:noProof/>
                <w:webHidden/>
              </w:rPr>
            </w:r>
            <w:r w:rsidR="005717F3" w:rsidRPr="005717F3">
              <w:rPr>
                <w:noProof/>
                <w:webHidden/>
              </w:rPr>
              <w:fldChar w:fldCharType="separate"/>
            </w:r>
            <w:r w:rsidR="00D54691">
              <w:rPr>
                <w:noProof/>
                <w:webHidden/>
              </w:rPr>
              <w:t>359</w:t>
            </w:r>
            <w:r w:rsidR="005717F3" w:rsidRPr="005717F3">
              <w:rPr>
                <w:noProof/>
                <w:webHidden/>
              </w:rPr>
              <w:fldChar w:fldCharType="end"/>
            </w:r>
          </w:hyperlink>
        </w:p>
        <w:p w14:paraId="639E1F30" w14:textId="0DF5CCDE" w:rsidR="005717F3" w:rsidRPr="005717F3" w:rsidRDefault="00FF7453" w:rsidP="00D613DA">
          <w:pPr>
            <w:pStyle w:val="31"/>
            <w:rPr>
              <w:noProof/>
            </w:rPr>
          </w:pPr>
          <w:hyperlink w:anchor="_Toc110506990" w:history="1">
            <w:r w:rsidR="005717F3" w:rsidRPr="005717F3">
              <w:rPr>
                <w:rStyle w:val="ad"/>
                <w:rFonts w:ascii="Times New Roman" w:hAnsi="Times New Roman"/>
                <w:i/>
                <w:noProof/>
              </w:rPr>
              <w:t>3.6.3.9. Расчет кадастровой стоимости земельных участков группы ОТДЫХ/УПКС</w:t>
            </w:r>
            <w:r w:rsidR="005717F3" w:rsidRPr="005717F3">
              <w:rPr>
                <w:noProof/>
                <w:webHidden/>
              </w:rPr>
              <w:tab/>
            </w:r>
            <w:r w:rsidR="005717F3" w:rsidRPr="005717F3">
              <w:rPr>
                <w:noProof/>
                <w:webHidden/>
              </w:rPr>
              <w:fldChar w:fldCharType="begin"/>
            </w:r>
            <w:r w:rsidR="005717F3" w:rsidRPr="005717F3">
              <w:rPr>
                <w:noProof/>
                <w:webHidden/>
              </w:rPr>
              <w:instrText xml:space="preserve"> PAGEREF _Toc110506990 \h </w:instrText>
            </w:r>
            <w:r w:rsidR="005717F3" w:rsidRPr="005717F3">
              <w:rPr>
                <w:noProof/>
                <w:webHidden/>
              </w:rPr>
            </w:r>
            <w:r w:rsidR="005717F3" w:rsidRPr="005717F3">
              <w:rPr>
                <w:noProof/>
                <w:webHidden/>
              </w:rPr>
              <w:fldChar w:fldCharType="separate"/>
            </w:r>
            <w:r w:rsidR="00D54691">
              <w:rPr>
                <w:noProof/>
                <w:webHidden/>
              </w:rPr>
              <w:t>362</w:t>
            </w:r>
            <w:r w:rsidR="005717F3" w:rsidRPr="005717F3">
              <w:rPr>
                <w:noProof/>
                <w:webHidden/>
              </w:rPr>
              <w:fldChar w:fldCharType="end"/>
            </w:r>
          </w:hyperlink>
        </w:p>
        <w:p w14:paraId="441F710B" w14:textId="6E228D52" w:rsidR="005717F3" w:rsidRPr="00D613DA" w:rsidRDefault="00FF7453" w:rsidP="00D613DA">
          <w:pPr>
            <w:pStyle w:val="22"/>
          </w:pPr>
          <w:hyperlink w:anchor="_Toc110506991" w:history="1">
            <w:r w:rsidR="005717F3" w:rsidRPr="00D613DA">
              <w:rPr>
                <w:rStyle w:val="ad"/>
              </w:rPr>
              <w:t>3.6.6. Сегмент 6. «Производственная деятельность»</w:t>
            </w:r>
            <w:r w:rsidR="005717F3" w:rsidRPr="00D613DA">
              <w:rPr>
                <w:webHidden/>
              </w:rPr>
              <w:tab/>
            </w:r>
            <w:r w:rsidR="005717F3" w:rsidRPr="00D613DA">
              <w:rPr>
                <w:webHidden/>
              </w:rPr>
              <w:fldChar w:fldCharType="begin"/>
            </w:r>
            <w:r w:rsidR="005717F3" w:rsidRPr="00D613DA">
              <w:rPr>
                <w:webHidden/>
              </w:rPr>
              <w:instrText xml:space="preserve"> PAGEREF _Toc110506991 \h </w:instrText>
            </w:r>
            <w:r w:rsidR="005717F3" w:rsidRPr="00D613DA">
              <w:rPr>
                <w:webHidden/>
              </w:rPr>
            </w:r>
            <w:r w:rsidR="005717F3" w:rsidRPr="00D613DA">
              <w:rPr>
                <w:webHidden/>
              </w:rPr>
              <w:fldChar w:fldCharType="separate"/>
            </w:r>
            <w:r w:rsidR="00D54691">
              <w:rPr>
                <w:webHidden/>
              </w:rPr>
              <w:t>363</w:t>
            </w:r>
            <w:r w:rsidR="005717F3" w:rsidRPr="00D613DA">
              <w:rPr>
                <w:webHidden/>
              </w:rPr>
              <w:fldChar w:fldCharType="end"/>
            </w:r>
          </w:hyperlink>
        </w:p>
        <w:p w14:paraId="05408F76" w14:textId="62527D5E" w:rsidR="005717F3" w:rsidRPr="00D613DA" w:rsidRDefault="00FF7453" w:rsidP="00D613DA">
          <w:pPr>
            <w:pStyle w:val="31"/>
            <w:rPr>
              <w:noProof/>
            </w:rPr>
          </w:pPr>
          <w:hyperlink w:anchor="_Toc110506992" w:history="1">
            <w:r w:rsidR="005717F3" w:rsidRPr="00D613DA">
              <w:rPr>
                <w:rStyle w:val="ad"/>
                <w:rFonts w:ascii="Times New Roman" w:hAnsi="Times New Roman"/>
                <w:noProof/>
              </w:rPr>
              <w:t>3.6.6.1. Расчет кадастровой стоимости земельных участков группы ПРОИЗВОДСТВО/АЗС-ПС/Воронеж</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_Toc110506992 \h </w:instrText>
            </w:r>
            <w:r w:rsidR="005717F3" w:rsidRPr="00D613DA">
              <w:rPr>
                <w:noProof/>
                <w:webHidden/>
              </w:rPr>
            </w:r>
            <w:r w:rsidR="005717F3" w:rsidRPr="00D613DA">
              <w:rPr>
                <w:noProof/>
                <w:webHidden/>
              </w:rPr>
              <w:fldChar w:fldCharType="separate"/>
            </w:r>
            <w:r w:rsidR="00D54691">
              <w:rPr>
                <w:noProof/>
                <w:webHidden/>
              </w:rPr>
              <w:t>363</w:t>
            </w:r>
            <w:r w:rsidR="005717F3" w:rsidRPr="00D613DA">
              <w:rPr>
                <w:noProof/>
                <w:webHidden/>
              </w:rPr>
              <w:fldChar w:fldCharType="end"/>
            </w:r>
          </w:hyperlink>
        </w:p>
        <w:p w14:paraId="18CC5AE4" w14:textId="507CC854" w:rsidR="005717F3" w:rsidRPr="00D613DA" w:rsidRDefault="00FF7453" w:rsidP="00D613DA">
          <w:pPr>
            <w:pStyle w:val="31"/>
            <w:rPr>
              <w:noProof/>
            </w:rPr>
          </w:pPr>
          <w:hyperlink w:anchor="_Toc110506993" w:history="1">
            <w:r w:rsidR="005717F3" w:rsidRPr="00D613DA">
              <w:rPr>
                <w:rStyle w:val="ad"/>
                <w:rFonts w:ascii="Times New Roman" w:hAnsi="Times New Roman"/>
                <w:noProof/>
              </w:rPr>
              <w:t>3.6.6.2. Расчет кадастровой стоимости земельных участков группы ПРОИЗВОДСТВО/АЗС-ПС/ГНП</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_Toc110506993 \h </w:instrText>
            </w:r>
            <w:r w:rsidR="005717F3" w:rsidRPr="00D613DA">
              <w:rPr>
                <w:noProof/>
                <w:webHidden/>
              </w:rPr>
            </w:r>
            <w:r w:rsidR="005717F3" w:rsidRPr="00D613DA">
              <w:rPr>
                <w:noProof/>
                <w:webHidden/>
              </w:rPr>
              <w:fldChar w:fldCharType="separate"/>
            </w:r>
            <w:r w:rsidR="00D54691">
              <w:rPr>
                <w:noProof/>
                <w:webHidden/>
              </w:rPr>
              <w:t>367</w:t>
            </w:r>
            <w:r w:rsidR="005717F3" w:rsidRPr="00D613DA">
              <w:rPr>
                <w:noProof/>
                <w:webHidden/>
              </w:rPr>
              <w:fldChar w:fldCharType="end"/>
            </w:r>
          </w:hyperlink>
        </w:p>
        <w:p w14:paraId="72C79911" w14:textId="474AE22F" w:rsidR="005717F3" w:rsidRPr="00D613DA" w:rsidRDefault="00FF7453" w:rsidP="00D613DA">
          <w:pPr>
            <w:pStyle w:val="31"/>
            <w:rPr>
              <w:noProof/>
            </w:rPr>
          </w:pPr>
          <w:hyperlink w:anchor="_Toc110506994" w:history="1">
            <w:r w:rsidR="005717F3" w:rsidRPr="00D613DA">
              <w:rPr>
                <w:rStyle w:val="ad"/>
                <w:rFonts w:ascii="Times New Roman" w:hAnsi="Times New Roman"/>
                <w:noProof/>
              </w:rPr>
              <w:t>3.6.6.3. Расчет кадастровой стоимости земельных участков группы ПРОИЗВОДСТВО/АЗС-ПС/</w:t>
            </w:r>
            <w:r w:rsidR="005717F3" w:rsidRPr="00D613DA">
              <w:rPr>
                <w:rStyle w:val="ad"/>
                <w:rFonts w:ascii="Times New Roman" w:hAnsi="Times New Roman"/>
                <w:noProof/>
                <w:lang w:val="en-US"/>
              </w:rPr>
              <w:t>C</w:t>
            </w:r>
            <w:r w:rsidR="005717F3" w:rsidRPr="00D613DA">
              <w:rPr>
                <w:rStyle w:val="ad"/>
                <w:rFonts w:ascii="Times New Roman" w:hAnsi="Times New Roman"/>
                <w:noProof/>
              </w:rPr>
              <w:t>НП МС</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_Toc110506994 \h </w:instrText>
            </w:r>
            <w:r w:rsidR="005717F3" w:rsidRPr="00D613DA">
              <w:rPr>
                <w:noProof/>
                <w:webHidden/>
              </w:rPr>
            </w:r>
            <w:r w:rsidR="005717F3" w:rsidRPr="00D613DA">
              <w:rPr>
                <w:noProof/>
                <w:webHidden/>
              </w:rPr>
              <w:fldChar w:fldCharType="separate"/>
            </w:r>
            <w:r w:rsidR="00D54691">
              <w:rPr>
                <w:noProof/>
                <w:webHidden/>
              </w:rPr>
              <w:t>372</w:t>
            </w:r>
            <w:r w:rsidR="005717F3" w:rsidRPr="00D613DA">
              <w:rPr>
                <w:noProof/>
                <w:webHidden/>
              </w:rPr>
              <w:fldChar w:fldCharType="end"/>
            </w:r>
          </w:hyperlink>
        </w:p>
        <w:p w14:paraId="6E4822E0" w14:textId="43DEE016" w:rsidR="005717F3" w:rsidRPr="00D613DA" w:rsidRDefault="00FF7453" w:rsidP="00D613DA">
          <w:pPr>
            <w:pStyle w:val="31"/>
            <w:rPr>
              <w:noProof/>
            </w:rPr>
          </w:pPr>
          <w:hyperlink w:anchor="_Toc110506995" w:history="1">
            <w:r w:rsidR="005717F3" w:rsidRPr="00D613DA">
              <w:rPr>
                <w:rStyle w:val="ad"/>
                <w:rFonts w:ascii="Times New Roman" w:hAnsi="Times New Roman"/>
                <w:noProof/>
              </w:rPr>
              <w:t>3.6.6.4 Расчет кадастровой стоимости земельных участков группы ПРОИЗВОДСТВО/АЗС-ПС/Вокзалы</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_Toc110506995 \h </w:instrText>
            </w:r>
            <w:r w:rsidR="005717F3" w:rsidRPr="00D613DA">
              <w:rPr>
                <w:noProof/>
                <w:webHidden/>
              </w:rPr>
            </w:r>
            <w:r w:rsidR="005717F3" w:rsidRPr="00D613DA">
              <w:rPr>
                <w:noProof/>
                <w:webHidden/>
              </w:rPr>
              <w:fldChar w:fldCharType="separate"/>
            </w:r>
            <w:r w:rsidR="00D54691">
              <w:rPr>
                <w:noProof/>
                <w:webHidden/>
              </w:rPr>
              <w:t>376</w:t>
            </w:r>
            <w:r w:rsidR="005717F3" w:rsidRPr="00D613DA">
              <w:rPr>
                <w:noProof/>
                <w:webHidden/>
              </w:rPr>
              <w:fldChar w:fldCharType="end"/>
            </w:r>
          </w:hyperlink>
        </w:p>
        <w:p w14:paraId="606ED566" w14:textId="4D615178" w:rsidR="005717F3" w:rsidRPr="00D613DA" w:rsidRDefault="00FF7453" w:rsidP="00D613DA">
          <w:pPr>
            <w:pStyle w:val="31"/>
            <w:rPr>
              <w:noProof/>
            </w:rPr>
          </w:pPr>
          <w:hyperlink w:anchor="_Toc110506996" w:history="1">
            <w:r w:rsidR="005717F3" w:rsidRPr="00D613DA">
              <w:rPr>
                <w:rStyle w:val="ad"/>
                <w:rFonts w:ascii="Times New Roman" w:hAnsi="Times New Roman"/>
                <w:noProof/>
              </w:rPr>
              <w:t>3.6.6.5 Расчет кадастровой стоимости земельных участков группы ПРОИЗВОДСТВО/Линейные</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_Toc110506996 \h </w:instrText>
            </w:r>
            <w:r w:rsidR="005717F3" w:rsidRPr="00D613DA">
              <w:rPr>
                <w:noProof/>
                <w:webHidden/>
              </w:rPr>
            </w:r>
            <w:r w:rsidR="005717F3" w:rsidRPr="00D613DA">
              <w:rPr>
                <w:noProof/>
                <w:webHidden/>
              </w:rPr>
              <w:fldChar w:fldCharType="separate"/>
            </w:r>
            <w:r w:rsidR="00D54691">
              <w:rPr>
                <w:noProof/>
                <w:webHidden/>
              </w:rPr>
              <w:t>376</w:t>
            </w:r>
            <w:r w:rsidR="005717F3" w:rsidRPr="00D613DA">
              <w:rPr>
                <w:noProof/>
                <w:webHidden/>
              </w:rPr>
              <w:fldChar w:fldCharType="end"/>
            </w:r>
          </w:hyperlink>
        </w:p>
        <w:p w14:paraId="16FD84CC" w14:textId="13917D93" w:rsidR="005717F3" w:rsidRPr="00D613DA" w:rsidRDefault="00FF7453" w:rsidP="00D613DA">
          <w:pPr>
            <w:pStyle w:val="31"/>
            <w:rPr>
              <w:noProof/>
            </w:rPr>
          </w:pPr>
          <w:hyperlink w:anchor="_Toc110506997" w:history="1">
            <w:r w:rsidR="005717F3" w:rsidRPr="00D613DA">
              <w:rPr>
                <w:rStyle w:val="ad"/>
                <w:rFonts w:ascii="Times New Roman" w:hAnsi="Times New Roman"/>
                <w:noProof/>
              </w:rPr>
              <w:t>3.6.6.6. Расчет кадастровой стоимости земельных участков группы ПРОИЗВОДСТВО/ПРОМ/Воронеж</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_Toc110506997 \h </w:instrText>
            </w:r>
            <w:r w:rsidR="005717F3" w:rsidRPr="00D613DA">
              <w:rPr>
                <w:noProof/>
                <w:webHidden/>
              </w:rPr>
            </w:r>
            <w:r w:rsidR="005717F3" w:rsidRPr="00D613DA">
              <w:rPr>
                <w:noProof/>
                <w:webHidden/>
              </w:rPr>
              <w:fldChar w:fldCharType="separate"/>
            </w:r>
            <w:r w:rsidR="00D54691">
              <w:rPr>
                <w:noProof/>
                <w:webHidden/>
              </w:rPr>
              <w:t>377</w:t>
            </w:r>
            <w:r w:rsidR="005717F3" w:rsidRPr="00D613DA">
              <w:rPr>
                <w:noProof/>
                <w:webHidden/>
              </w:rPr>
              <w:fldChar w:fldCharType="end"/>
            </w:r>
          </w:hyperlink>
        </w:p>
        <w:p w14:paraId="16DC3850" w14:textId="29E90985" w:rsidR="005717F3" w:rsidRPr="00D613DA" w:rsidRDefault="00FF7453" w:rsidP="00D613DA">
          <w:pPr>
            <w:pStyle w:val="31"/>
            <w:rPr>
              <w:noProof/>
            </w:rPr>
          </w:pPr>
          <w:hyperlink w:anchor="_Toc110506998" w:history="1">
            <w:r w:rsidR="005717F3" w:rsidRPr="00D613DA">
              <w:rPr>
                <w:rStyle w:val="ad"/>
                <w:rFonts w:ascii="Times New Roman" w:hAnsi="Times New Roman"/>
                <w:noProof/>
              </w:rPr>
              <w:t>3.6.6.7. Расчет кадастровой стоимости земельных участков группы ПРОИЗВОДСТВО/ПРОМ/Воронеж КОММ</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_Toc110506998 \h </w:instrText>
            </w:r>
            <w:r w:rsidR="005717F3" w:rsidRPr="00D613DA">
              <w:rPr>
                <w:noProof/>
                <w:webHidden/>
              </w:rPr>
            </w:r>
            <w:r w:rsidR="005717F3" w:rsidRPr="00D613DA">
              <w:rPr>
                <w:noProof/>
                <w:webHidden/>
              </w:rPr>
              <w:fldChar w:fldCharType="separate"/>
            </w:r>
            <w:r w:rsidR="00D54691">
              <w:rPr>
                <w:noProof/>
                <w:webHidden/>
              </w:rPr>
              <w:t>381</w:t>
            </w:r>
            <w:r w:rsidR="005717F3" w:rsidRPr="00D613DA">
              <w:rPr>
                <w:noProof/>
                <w:webHidden/>
              </w:rPr>
              <w:fldChar w:fldCharType="end"/>
            </w:r>
          </w:hyperlink>
        </w:p>
        <w:p w14:paraId="1969235E" w14:textId="7E232AE2" w:rsidR="005717F3" w:rsidRPr="00D613DA" w:rsidRDefault="00FF7453" w:rsidP="00D613DA">
          <w:pPr>
            <w:pStyle w:val="31"/>
            <w:rPr>
              <w:noProof/>
            </w:rPr>
          </w:pPr>
          <w:hyperlink w:anchor="_Toc110506999" w:history="1">
            <w:r w:rsidR="005717F3" w:rsidRPr="00D613DA">
              <w:rPr>
                <w:rStyle w:val="ad"/>
                <w:rFonts w:ascii="Times New Roman" w:hAnsi="Times New Roman"/>
                <w:noProof/>
              </w:rPr>
              <w:t>3.6.6.8. Расчет кадастровой стоимости земельных участков группы ПРОИЗВОДСТВО/ПРОМ/ГНП</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_Toc110506999 \h </w:instrText>
            </w:r>
            <w:r w:rsidR="005717F3" w:rsidRPr="00D613DA">
              <w:rPr>
                <w:noProof/>
                <w:webHidden/>
              </w:rPr>
            </w:r>
            <w:r w:rsidR="005717F3" w:rsidRPr="00D613DA">
              <w:rPr>
                <w:noProof/>
                <w:webHidden/>
              </w:rPr>
              <w:fldChar w:fldCharType="separate"/>
            </w:r>
            <w:r w:rsidR="00D54691">
              <w:rPr>
                <w:noProof/>
                <w:webHidden/>
              </w:rPr>
              <w:t>389</w:t>
            </w:r>
            <w:r w:rsidR="005717F3" w:rsidRPr="00D613DA">
              <w:rPr>
                <w:noProof/>
                <w:webHidden/>
              </w:rPr>
              <w:fldChar w:fldCharType="end"/>
            </w:r>
          </w:hyperlink>
        </w:p>
        <w:p w14:paraId="717E7981" w14:textId="422A8AB1" w:rsidR="005717F3" w:rsidRPr="00D613DA" w:rsidRDefault="00FF7453" w:rsidP="00D613DA">
          <w:pPr>
            <w:pStyle w:val="31"/>
            <w:rPr>
              <w:noProof/>
            </w:rPr>
          </w:pPr>
          <w:hyperlink w:anchor="_Toc110507000" w:history="1">
            <w:r w:rsidR="005717F3" w:rsidRPr="00D613DA">
              <w:rPr>
                <w:rStyle w:val="ad"/>
                <w:rFonts w:ascii="Times New Roman" w:hAnsi="Times New Roman"/>
                <w:noProof/>
              </w:rPr>
              <w:t>3.6.6.9. Расчет кадастровой стоимости земельных участков группы ПРОИЗВОДСТВО/ПРОМ/СНП</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_Toc110507000 \h </w:instrText>
            </w:r>
            <w:r w:rsidR="005717F3" w:rsidRPr="00D613DA">
              <w:rPr>
                <w:noProof/>
                <w:webHidden/>
              </w:rPr>
            </w:r>
            <w:r w:rsidR="005717F3" w:rsidRPr="00D613DA">
              <w:rPr>
                <w:noProof/>
                <w:webHidden/>
              </w:rPr>
              <w:fldChar w:fldCharType="separate"/>
            </w:r>
            <w:r w:rsidR="00D54691">
              <w:rPr>
                <w:noProof/>
                <w:webHidden/>
              </w:rPr>
              <w:t>394</w:t>
            </w:r>
            <w:r w:rsidR="005717F3" w:rsidRPr="00D613DA">
              <w:rPr>
                <w:noProof/>
                <w:webHidden/>
              </w:rPr>
              <w:fldChar w:fldCharType="end"/>
            </w:r>
          </w:hyperlink>
        </w:p>
        <w:p w14:paraId="1C083816" w14:textId="2155D759" w:rsidR="005717F3" w:rsidRPr="00D613DA" w:rsidRDefault="00FF7453" w:rsidP="00D613DA">
          <w:pPr>
            <w:pStyle w:val="31"/>
            <w:rPr>
              <w:noProof/>
            </w:rPr>
          </w:pPr>
          <w:hyperlink w:anchor="_Toc110507001" w:history="1">
            <w:r w:rsidR="005717F3" w:rsidRPr="00D613DA">
              <w:rPr>
                <w:rStyle w:val="ad"/>
                <w:rFonts w:ascii="Times New Roman" w:hAnsi="Times New Roman"/>
                <w:noProof/>
              </w:rPr>
              <w:t>3.6.6.10. Расчет кадастровой стоимости земельных участков группы ПРОИЗВОДСТВО/ПРОМ/МС</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_Toc110507001 \h </w:instrText>
            </w:r>
            <w:r w:rsidR="005717F3" w:rsidRPr="00D613DA">
              <w:rPr>
                <w:noProof/>
                <w:webHidden/>
              </w:rPr>
            </w:r>
            <w:r w:rsidR="005717F3" w:rsidRPr="00D613DA">
              <w:rPr>
                <w:noProof/>
                <w:webHidden/>
              </w:rPr>
              <w:fldChar w:fldCharType="separate"/>
            </w:r>
            <w:r w:rsidR="00D54691">
              <w:rPr>
                <w:noProof/>
                <w:webHidden/>
              </w:rPr>
              <w:t>400</w:t>
            </w:r>
            <w:r w:rsidR="005717F3" w:rsidRPr="00D613DA">
              <w:rPr>
                <w:noProof/>
                <w:webHidden/>
              </w:rPr>
              <w:fldChar w:fldCharType="end"/>
            </w:r>
          </w:hyperlink>
        </w:p>
        <w:p w14:paraId="025C5EF7" w14:textId="48C9CBD5" w:rsidR="005717F3" w:rsidRPr="00D613DA" w:rsidRDefault="00FF7453" w:rsidP="00D613DA">
          <w:pPr>
            <w:pStyle w:val="31"/>
            <w:rPr>
              <w:noProof/>
            </w:rPr>
          </w:pPr>
          <w:hyperlink w:anchor="_Toc110507002" w:history="1">
            <w:r w:rsidR="005717F3" w:rsidRPr="00D613DA">
              <w:rPr>
                <w:rStyle w:val="ad"/>
                <w:rFonts w:ascii="Times New Roman" w:hAnsi="Times New Roman"/>
                <w:noProof/>
              </w:rPr>
              <w:t>3.6.6.11. Расчет кадастровой стоимости земельных участков групп ПРОИЗВОДСТВО/ПРОМ/Карьеры и ГТС</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_Toc110507002 \h </w:instrText>
            </w:r>
            <w:r w:rsidR="005717F3" w:rsidRPr="00D613DA">
              <w:rPr>
                <w:noProof/>
                <w:webHidden/>
              </w:rPr>
            </w:r>
            <w:r w:rsidR="005717F3" w:rsidRPr="00D613DA">
              <w:rPr>
                <w:noProof/>
                <w:webHidden/>
              </w:rPr>
              <w:fldChar w:fldCharType="separate"/>
            </w:r>
            <w:r w:rsidR="00D54691">
              <w:rPr>
                <w:noProof/>
                <w:webHidden/>
              </w:rPr>
              <w:t>403</w:t>
            </w:r>
            <w:r w:rsidR="005717F3" w:rsidRPr="00D613DA">
              <w:rPr>
                <w:noProof/>
                <w:webHidden/>
              </w:rPr>
              <w:fldChar w:fldCharType="end"/>
            </w:r>
          </w:hyperlink>
        </w:p>
        <w:p w14:paraId="2CB3DB56" w14:textId="371C9C0D" w:rsidR="005717F3" w:rsidRPr="00D613DA" w:rsidRDefault="00FF7453" w:rsidP="00D613DA">
          <w:pPr>
            <w:pStyle w:val="31"/>
            <w:rPr>
              <w:noProof/>
            </w:rPr>
          </w:pPr>
          <w:hyperlink w:anchor="_Toc110507003" w:history="1">
            <w:r w:rsidR="005717F3" w:rsidRPr="00D613DA">
              <w:rPr>
                <w:rStyle w:val="ad"/>
                <w:rFonts w:ascii="Times New Roman" w:hAnsi="Times New Roman"/>
                <w:noProof/>
              </w:rPr>
              <w:t>3.6.6.12. Расчет кадастровой стоимости земельных участков групп ПРОИЗВОДСТВО/ПРОМ/СХ</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_Toc110507003 \h </w:instrText>
            </w:r>
            <w:r w:rsidR="005717F3" w:rsidRPr="00D613DA">
              <w:rPr>
                <w:noProof/>
                <w:webHidden/>
              </w:rPr>
            </w:r>
            <w:r w:rsidR="005717F3" w:rsidRPr="00D613DA">
              <w:rPr>
                <w:noProof/>
                <w:webHidden/>
              </w:rPr>
              <w:fldChar w:fldCharType="separate"/>
            </w:r>
            <w:r w:rsidR="00D54691">
              <w:rPr>
                <w:noProof/>
                <w:webHidden/>
              </w:rPr>
              <w:t>404</w:t>
            </w:r>
            <w:r w:rsidR="005717F3" w:rsidRPr="00D613DA">
              <w:rPr>
                <w:noProof/>
                <w:webHidden/>
              </w:rPr>
              <w:fldChar w:fldCharType="end"/>
            </w:r>
          </w:hyperlink>
        </w:p>
        <w:p w14:paraId="0AF22F2A" w14:textId="66E6720E" w:rsidR="005717F3" w:rsidRPr="00D613DA" w:rsidRDefault="00FF7453" w:rsidP="00D613DA">
          <w:pPr>
            <w:pStyle w:val="22"/>
          </w:pPr>
          <w:hyperlink w:anchor="_Toc110507004" w:history="1">
            <w:r w:rsidR="005717F3" w:rsidRPr="00D613DA">
              <w:rPr>
                <w:rStyle w:val="ad"/>
              </w:rPr>
              <w:t>3.6.7. Сегмент 7. «Транспорт»</w:t>
            </w:r>
            <w:r w:rsidR="005717F3" w:rsidRPr="00D613DA">
              <w:rPr>
                <w:webHidden/>
              </w:rPr>
              <w:tab/>
            </w:r>
            <w:r w:rsidR="005717F3" w:rsidRPr="00D613DA">
              <w:rPr>
                <w:webHidden/>
              </w:rPr>
              <w:fldChar w:fldCharType="begin"/>
            </w:r>
            <w:r w:rsidR="005717F3" w:rsidRPr="00D613DA">
              <w:rPr>
                <w:webHidden/>
              </w:rPr>
              <w:instrText xml:space="preserve"> PAGEREF _Toc110507004 \h </w:instrText>
            </w:r>
            <w:r w:rsidR="005717F3" w:rsidRPr="00D613DA">
              <w:rPr>
                <w:webHidden/>
              </w:rPr>
            </w:r>
            <w:r w:rsidR="005717F3" w:rsidRPr="00D613DA">
              <w:rPr>
                <w:webHidden/>
              </w:rPr>
              <w:fldChar w:fldCharType="separate"/>
            </w:r>
            <w:r w:rsidR="00D54691">
              <w:rPr>
                <w:webHidden/>
              </w:rPr>
              <w:t>408</w:t>
            </w:r>
            <w:r w:rsidR="005717F3" w:rsidRPr="00D613DA">
              <w:rPr>
                <w:webHidden/>
              </w:rPr>
              <w:fldChar w:fldCharType="end"/>
            </w:r>
          </w:hyperlink>
        </w:p>
        <w:p w14:paraId="08081C3A" w14:textId="25920004" w:rsidR="005717F3" w:rsidRPr="00D613DA" w:rsidRDefault="00FF7453" w:rsidP="00D613DA">
          <w:pPr>
            <w:pStyle w:val="31"/>
            <w:rPr>
              <w:noProof/>
            </w:rPr>
          </w:pPr>
          <w:hyperlink w:anchor="_Toc110507005" w:history="1">
            <w:r w:rsidR="005717F3" w:rsidRPr="00D613DA">
              <w:rPr>
                <w:rStyle w:val="ad"/>
                <w:rFonts w:ascii="Times New Roman" w:hAnsi="Times New Roman"/>
                <w:noProof/>
              </w:rPr>
              <w:t>3.6.7.1. Расчет кадастровой стоимости земельных участков группы ТРАНСПОРТ/Воронеж</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_Toc110507005 \h </w:instrText>
            </w:r>
            <w:r w:rsidR="005717F3" w:rsidRPr="00D613DA">
              <w:rPr>
                <w:noProof/>
                <w:webHidden/>
              </w:rPr>
            </w:r>
            <w:r w:rsidR="005717F3" w:rsidRPr="00D613DA">
              <w:rPr>
                <w:noProof/>
                <w:webHidden/>
              </w:rPr>
              <w:fldChar w:fldCharType="separate"/>
            </w:r>
            <w:r w:rsidR="00D54691">
              <w:rPr>
                <w:noProof/>
                <w:webHidden/>
              </w:rPr>
              <w:t>408</w:t>
            </w:r>
            <w:r w:rsidR="005717F3" w:rsidRPr="00D613DA">
              <w:rPr>
                <w:noProof/>
                <w:webHidden/>
              </w:rPr>
              <w:fldChar w:fldCharType="end"/>
            </w:r>
          </w:hyperlink>
        </w:p>
        <w:p w14:paraId="3A2F98DD" w14:textId="3766F927" w:rsidR="005717F3" w:rsidRPr="00D613DA" w:rsidRDefault="00FF7453" w:rsidP="00D613DA">
          <w:pPr>
            <w:pStyle w:val="31"/>
            <w:rPr>
              <w:noProof/>
            </w:rPr>
          </w:pPr>
          <w:hyperlink w:anchor="_Toc110507006" w:history="1">
            <w:r w:rsidR="005717F3" w:rsidRPr="00D613DA">
              <w:rPr>
                <w:rStyle w:val="ad"/>
                <w:rFonts w:ascii="Times New Roman" w:hAnsi="Times New Roman"/>
                <w:noProof/>
              </w:rPr>
              <w:t>3.6.7.2. Расчет кадастровой стоимости земельных участков группы ТРАНСПОРТ/ГНП</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_Toc110507006 \h </w:instrText>
            </w:r>
            <w:r w:rsidR="005717F3" w:rsidRPr="00D613DA">
              <w:rPr>
                <w:noProof/>
                <w:webHidden/>
              </w:rPr>
            </w:r>
            <w:r w:rsidR="005717F3" w:rsidRPr="00D613DA">
              <w:rPr>
                <w:noProof/>
                <w:webHidden/>
              </w:rPr>
              <w:fldChar w:fldCharType="separate"/>
            </w:r>
            <w:r w:rsidR="00D54691">
              <w:rPr>
                <w:noProof/>
                <w:webHidden/>
              </w:rPr>
              <w:t>411</w:t>
            </w:r>
            <w:r w:rsidR="005717F3" w:rsidRPr="00D613DA">
              <w:rPr>
                <w:noProof/>
                <w:webHidden/>
              </w:rPr>
              <w:fldChar w:fldCharType="end"/>
            </w:r>
          </w:hyperlink>
        </w:p>
        <w:p w14:paraId="4F082E2D" w14:textId="02151EDF" w:rsidR="005717F3" w:rsidRPr="00D613DA" w:rsidRDefault="00FF7453" w:rsidP="00D613DA">
          <w:pPr>
            <w:pStyle w:val="31"/>
            <w:rPr>
              <w:noProof/>
            </w:rPr>
          </w:pPr>
          <w:hyperlink w:anchor="_Toc110507007" w:history="1">
            <w:r w:rsidR="005717F3" w:rsidRPr="00D613DA">
              <w:rPr>
                <w:rStyle w:val="ad"/>
                <w:rFonts w:ascii="Times New Roman" w:hAnsi="Times New Roman"/>
                <w:noProof/>
              </w:rPr>
              <w:t>3.6.7.3. Расчет кадастровой стоимости земельных участков группы ТРАНСПОРТ/СНП</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_Toc110507007 \h </w:instrText>
            </w:r>
            <w:r w:rsidR="005717F3" w:rsidRPr="00D613DA">
              <w:rPr>
                <w:noProof/>
                <w:webHidden/>
              </w:rPr>
            </w:r>
            <w:r w:rsidR="005717F3" w:rsidRPr="00D613DA">
              <w:rPr>
                <w:noProof/>
                <w:webHidden/>
              </w:rPr>
              <w:fldChar w:fldCharType="separate"/>
            </w:r>
            <w:r w:rsidR="00D54691">
              <w:rPr>
                <w:noProof/>
                <w:webHidden/>
              </w:rPr>
              <w:t>416</w:t>
            </w:r>
            <w:r w:rsidR="005717F3" w:rsidRPr="00D613DA">
              <w:rPr>
                <w:noProof/>
                <w:webHidden/>
              </w:rPr>
              <w:fldChar w:fldCharType="end"/>
            </w:r>
          </w:hyperlink>
        </w:p>
        <w:p w14:paraId="07E050AA" w14:textId="6E068CFB" w:rsidR="005717F3" w:rsidRPr="00D613DA" w:rsidRDefault="00FF7453" w:rsidP="00D613DA">
          <w:pPr>
            <w:pStyle w:val="31"/>
            <w:rPr>
              <w:noProof/>
            </w:rPr>
          </w:pPr>
          <w:hyperlink w:anchor="_Toc110507008" w:history="1">
            <w:r w:rsidR="005717F3" w:rsidRPr="00D613DA">
              <w:rPr>
                <w:rStyle w:val="ad"/>
                <w:rFonts w:ascii="Times New Roman" w:hAnsi="Times New Roman"/>
                <w:noProof/>
              </w:rPr>
              <w:t>3.6.7.4. Расчет земельных участков, отнесенные к группе ТРАНСПОРТ/УПКС</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_Toc110507008 \h </w:instrText>
            </w:r>
            <w:r w:rsidR="005717F3" w:rsidRPr="00D613DA">
              <w:rPr>
                <w:noProof/>
                <w:webHidden/>
              </w:rPr>
            </w:r>
            <w:r w:rsidR="005717F3" w:rsidRPr="00D613DA">
              <w:rPr>
                <w:noProof/>
                <w:webHidden/>
              </w:rPr>
              <w:fldChar w:fldCharType="separate"/>
            </w:r>
            <w:r w:rsidR="00D54691">
              <w:rPr>
                <w:noProof/>
                <w:webHidden/>
              </w:rPr>
              <w:t>420</w:t>
            </w:r>
            <w:r w:rsidR="005717F3" w:rsidRPr="00D613DA">
              <w:rPr>
                <w:noProof/>
                <w:webHidden/>
              </w:rPr>
              <w:fldChar w:fldCharType="end"/>
            </w:r>
          </w:hyperlink>
        </w:p>
        <w:p w14:paraId="438334D7" w14:textId="29447FA2" w:rsidR="005717F3" w:rsidRPr="00D613DA" w:rsidRDefault="00FF7453" w:rsidP="00D613DA">
          <w:pPr>
            <w:pStyle w:val="22"/>
          </w:pPr>
          <w:hyperlink w:anchor="_Toc110507009" w:history="1">
            <w:r w:rsidR="005717F3" w:rsidRPr="00D613DA">
              <w:rPr>
                <w:rStyle w:val="ad"/>
              </w:rPr>
              <w:t>3.6.8. Сегмент 8. «Обеспечение обороны и безопасности»</w:t>
            </w:r>
            <w:r w:rsidR="005717F3" w:rsidRPr="00D613DA">
              <w:rPr>
                <w:webHidden/>
              </w:rPr>
              <w:tab/>
            </w:r>
            <w:r w:rsidR="005717F3" w:rsidRPr="00D613DA">
              <w:rPr>
                <w:webHidden/>
              </w:rPr>
              <w:fldChar w:fldCharType="begin"/>
            </w:r>
            <w:r w:rsidR="005717F3" w:rsidRPr="00D613DA">
              <w:rPr>
                <w:webHidden/>
              </w:rPr>
              <w:instrText xml:space="preserve"> PAGEREF _Toc110507009 \h </w:instrText>
            </w:r>
            <w:r w:rsidR="005717F3" w:rsidRPr="00D613DA">
              <w:rPr>
                <w:webHidden/>
              </w:rPr>
            </w:r>
            <w:r w:rsidR="005717F3" w:rsidRPr="00D613DA">
              <w:rPr>
                <w:webHidden/>
              </w:rPr>
              <w:fldChar w:fldCharType="separate"/>
            </w:r>
            <w:r w:rsidR="00D54691">
              <w:rPr>
                <w:webHidden/>
              </w:rPr>
              <w:t>420</w:t>
            </w:r>
            <w:r w:rsidR="005717F3" w:rsidRPr="00D613DA">
              <w:rPr>
                <w:webHidden/>
              </w:rPr>
              <w:fldChar w:fldCharType="end"/>
            </w:r>
          </w:hyperlink>
        </w:p>
        <w:p w14:paraId="1B8F06F5" w14:textId="2F2EC5AE" w:rsidR="005717F3" w:rsidRPr="00D613DA" w:rsidRDefault="00FF7453" w:rsidP="00D613DA">
          <w:pPr>
            <w:pStyle w:val="31"/>
            <w:rPr>
              <w:noProof/>
            </w:rPr>
          </w:pPr>
          <w:hyperlink w:anchor="_Toc110507010" w:history="1">
            <w:r w:rsidR="005717F3" w:rsidRPr="00D613DA">
              <w:rPr>
                <w:rStyle w:val="ad"/>
                <w:rFonts w:ascii="Times New Roman" w:hAnsi="Times New Roman"/>
                <w:noProof/>
              </w:rPr>
              <w:t>3.6.8.1. Расчет кадастровой стоимости земельных участков группы БЕЗОПАСНОСТЬ</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_Toc110507010 \h </w:instrText>
            </w:r>
            <w:r w:rsidR="005717F3" w:rsidRPr="00D613DA">
              <w:rPr>
                <w:noProof/>
                <w:webHidden/>
              </w:rPr>
            </w:r>
            <w:r w:rsidR="005717F3" w:rsidRPr="00D613DA">
              <w:rPr>
                <w:noProof/>
                <w:webHidden/>
              </w:rPr>
              <w:fldChar w:fldCharType="separate"/>
            </w:r>
            <w:r w:rsidR="00D54691">
              <w:rPr>
                <w:noProof/>
                <w:webHidden/>
              </w:rPr>
              <w:t>420</w:t>
            </w:r>
            <w:r w:rsidR="005717F3" w:rsidRPr="00D613DA">
              <w:rPr>
                <w:noProof/>
                <w:webHidden/>
              </w:rPr>
              <w:fldChar w:fldCharType="end"/>
            </w:r>
          </w:hyperlink>
        </w:p>
        <w:p w14:paraId="590A993A" w14:textId="4A405049" w:rsidR="005717F3" w:rsidRPr="00D613DA" w:rsidRDefault="00FF7453" w:rsidP="00D613DA">
          <w:pPr>
            <w:pStyle w:val="22"/>
          </w:pPr>
          <w:hyperlink w:anchor="_Toc110507011" w:history="1">
            <w:r w:rsidR="005717F3" w:rsidRPr="00D613DA">
              <w:rPr>
                <w:rStyle w:val="ad"/>
              </w:rPr>
              <w:t>3.6.9. Сегмент 9. «Охраняемые природные территории и благоустройство»</w:t>
            </w:r>
            <w:r w:rsidR="005717F3" w:rsidRPr="00D613DA">
              <w:rPr>
                <w:webHidden/>
              </w:rPr>
              <w:tab/>
            </w:r>
            <w:r w:rsidR="005717F3" w:rsidRPr="00D613DA">
              <w:rPr>
                <w:webHidden/>
              </w:rPr>
              <w:fldChar w:fldCharType="begin"/>
            </w:r>
            <w:r w:rsidR="005717F3" w:rsidRPr="00D613DA">
              <w:rPr>
                <w:webHidden/>
              </w:rPr>
              <w:instrText xml:space="preserve"> PAGEREF _Toc110507011 \h </w:instrText>
            </w:r>
            <w:r w:rsidR="005717F3" w:rsidRPr="00D613DA">
              <w:rPr>
                <w:webHidden/>
              </w:rPr>
            </w:r>
            <w:r w:rsidR="005717F3" w:rsidRPr="00D613DA">
              <w:rPr>
                <w:webHidden/>
              </w:rPr>
              <w:fldChar w:fldCharType="separate"/>
            </w:r>
            <w:r w:rsidR="00D54691">
              <w:rPr>
                <w:webHidden/>
              </w:rPr>
              <w:t>421</w:t>
            </w:r>
            <w:r w:rsidR="005717F3" w:rsidRPr="00D613DA">
              <w:rPr>
                <w:webHidden/>
              </w:rPr>
              <w:fldChar w:fldCharType="end"/>
            </w:r>
          </w:hyperlink>
        </w:p>
        <w:p w14:paraId="06A53711" w14:textId="74F30E71" w:rsidR="005717F3" w:rsidRPr="00D613DA" w:rsidRDefault="00FF7453" w:rsidP="00D613DA">
          <w:pPr>
            <w:pStyle w:val="31"/>
            <w:rPr>
              <w:noProof/>
            </w:rPr>
          </w:pPr>
          <w:hyperlink w:anchor="_Toc110507012" w:history="1">
            <w:r w:rsidR="005717F3" w:rsidRPr="00D613DA">
              <w:rPr>
                <w:rStyle w:val="ad"/>
                <w:rFonts w:ascii="Times New Roman" w:hAnsi="Times New Roman"/>
                <w:noProof/>
              </w:rPr>
              <w:t>3.6.9.1. Расчет кадастровой стоимости земельных участков группы БЛАГОУСТРОЙСТВО</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_Toc110507012 \h </w:instrText>
            </w:r>
            <w:r w:rsidR="005717F3" w:rsidRPr="00D613DA">
              <w:rPr>
                <w:noProof/>
                <w:webHidden/>
              </w:rPr>
            </w:r>
            <w:r w:rsidR="005717F3" w:rsidRPr="00D613DA">
              <w:rPr>
                <w:noProof/>
                <w:webHidden/>
              </w:rPr>
              <w:fldChar w:fldCharType="separate"/>
            </w:r>
            <w:r w:rsidR="00D54691">
              <w:rPr>
                <w:noProof/>
                <w:webHidden/>
              </w:rPr>
              <w:t>421</w:t>
            </w:r>
            <w:r w:rsidR="005717F3" w:rsidRPr="00D613DA">
              <w:rPr>
                <w:noProof/>
                <w:webHidden/>
              </w:rPr>
              <w:fldChar w:fldCharType="end"/>
            </w:r>
          </w:hyperlink>
        </w:p>
        <w:p w14:paraId="0B3E375C" w14:textId="19E79F9B" w:rsidR="005717F3" w:rsidRPr="00D613DA" w:rsidRDefault="00FF7453" w:rsidP="00D613DA">
          <w:pPr>
            <w:pStyle w:val="22"/>
          </w:pPr>
          <w:hyperlink w:anchor="_Toc110507013" w:history="1">
            <w:r w:rsidR="005717F3" w:rsidRPr="00D613DA">
              <w:rPr>
                <w:rStyle w:val="ad"/>
              </w:rPr>
              <w:t>3.6.10. Сегмент 10. «Использование лесов»</w:t>
            </w:r>
            <w:r w:rsidR="005717F3" w:rsidRPr="00D613DA">
              <w:rPr>
                <w:webHidden/>
              </w:rPr>
              <w:tab/>
            </w:r>
            <w:r w:rsidR="005717F3" w:rsidRPr="00D613DA">
              <w:rPr>
                <w:webHidden/>
              </w:rPr>
              <w:fldChar w:fldCharType="begin"/>
            </w:r>
            <w:r w:rsidR="005717F3" w:rsidRPr="00D613DA">
              <w:rPr>
                <w:webHidden/>
              </w:rPr>
              <w:instrText xml:space="preserve"> PAGEREF _Toc110507013 \h </w:instrText>
            </w:r>
            <w:r w:rsidR="005717F3" w:rsidRPr="00D613DA">
              <w:rPr>
                <w:webHidden/>
              </w:rPr>
            </w:r>
            <w:r w:rsidR="005717F3" w:rsidRPr="00D613DA">
              <w:rPr>
                <w:webHidden/>
              </w:rPr>
              <w:fldChar w:fldCharType="separate"/>
            </w:r>
            <w:r w:rsidR="00D54691">
              <w:rPr>
                <w:webHidden/>
              </w:rPr>
              <w:t>423</w:t>
            </w:r>
            <w:r w:rsidR="005717F3" w:rsidRPr="00D613DA">
              <w:rPr>
                <w:webHidden/>
              </w:rPr>
              <w:fldChar w:fldCharType="end"/>
            </w:r>
          </w:hyperlink>
        </w:p>
        <w:p w14:paraId="6CDE7007" w14:textId="460670C9" w:rsidR="005717F3" w:rsidRPr="00D613DA" w:rsidRDefault="00FF7453" w:rsidP="00D613DA">
          <w:pPr>
            <w:pStyle w:val="31"/>
            <w:rPr>
              <w:noProof/>
            </w:rPr>
          </w:pPr>
          <w:hyperlink w:anchor="_Toc110507014" w:history="1">
            <w:r w:rsidR="005717F3" w:rsidRPr="00D613DA">
              <w:rPr>
                <w:rStyle w:val="ad"/>
                <w:rFonts w:ascii="Times New Roman" w:hAnsi="Times New Roman"/>
                <w:noProof/>
              </w:rPr>
              <w:t>3.6.10.1. Расчет кадастровой стоимости земельных участков группы ЛЕС</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_Toc110507014 \h </w:instrText>
            </w:r>
            <w:r w:rsidR="005717F3" w:rsidRPr="00D613DA">
              <w:rPr>
                <w:noProof/>
                <w:webHidden/>
              </w:rPr>
            </w:r>
            <w:r w:rsidR="005717F3" w:rsidRPr="00D613DA">
              <w:rPr>
                <w:noProof/>
                <w:webHidden/>
              </w:rPr>
              <w:fldChar w:fldCharType="separate"/>
            </w:r>
            <w:r w:rsidR="00D54691">
              <w:rPr>
                <w:noProof/>
                <w:webHidden/>
              </w:rPr>
              <w:t>423</w:t>
            </w:r>
            <w:r w:rsidR="005717F3" w:rsidRPr="00D613DA">
              <w:rPr>
                <w:noProof/>
                <w:webHidden/>
              </w:rPr>
              <w:fldChar w:fldCharType="end"/>
            </w:r>
          </w:hyperlink>
        </w:p>
        <w:p w14:paraId="2C7CB1CF" w14:textId="250D4078" w:rsidR="005717F3" w:rsidRPr="00D613DA" w:rsidRDefault="00FF7453" w:rsidP="00D613DA">
          <w:pPr>
            <w:pStyle w:val="22"/>
          </w:pPr>
          <w:hyperlink w:anchor="_Toc110507015" w:history="1">
            <w:r w:rsidR="005717F3" w:rsidRPr="00D613DA">
              <w:rPr>
                <w:rStyle w:val="ad"/>
              </w:rPr>
              <w:t>3.6.11. Сегмент 11 «Водные объекты»</w:t>
            </w:r>
            <w:r w:rsidR="005717F3" w:rsidRPr="00D613DA">
              <w:rPr>
                <w:webHidden/>
              </w:rPr>
              <w:tab/>
            </w:r>
            <w:r w:rsidR="005717F3" w:rsidRPr="00D613DA">
              <w:rPr>
                <w:webHidden/>
              </w:rPr>
              <w:fldChar w:fldCharType="begin"/>
            </w:r>
            <w:r w:rsidR="005717F3" w:rsidRPr="00D613DA">
              <w:rPr>
                <w:webHidden/>
              </w:rPr>
              <w:instrText xml:space="preserve"> PAGEREF _Toc110507015 \h </w:instrText>
            </w:r>
            <w:r w:rsidR="005717F3" w:rsidRPr="00D613DA">
              <w:rPr>
                <w:webHidden/>
              </w:rPr>
            </w:r>
            <w:r w:rsidR="005717F3" w:rsidRPr="00D613DA">
              <w:rPr>
                <w:webHidden/>
              </w:rPr>
              <w:fldChar w:fldCharType="separate"/>
            </w:r>
            <w:r w:rsidR="00D54691">
              <w:rPr>
                <w:webHidden/>
              </w:rPr>
              <w:t>433</w:t>
            </w:r>
            <w:r w:rsidR="005717F3" w:rsidRPr="00D613DA">
              <w:rPr>
                <w:webHidden/>
              </w:rPr>
              <w:fldChar w:fldCharType="end"/>
            </w:r>
          </w:hyperlink>
        </w:p>
        <w:p w14:paraId="46BE1004" w14:textId="24CD6EF8" w:rsidR="005717F3" w:rsidRPr="00D613DA" w:rsidRDefault="00FF7453" w:rsidP="00D613DA">
          <w:pPr>
            <w:pStyle w:val="31"/>
            <w:rPr>
              <w:noProof/>
            </w:rPr>
          </w:pPr>
          <w:hyperlink w:anchor="_Toc110507016" w:history="1">
            <w:r w:rsidR="005717F3" w:rsidRPr="00D613DA">
              <w:rPr>
                <w:rStyle w:val="ad"/>
                <w:rFonts w:ascii="Times New Roman" w:hAnsi="Times New Roman"/>
                <w:noProof/>
              </w:rPr>
              <w:t>3.6.11.1. Расчет кадастровой стоимости земельных участков группы ВОДОЕМЫ</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_Toc110507016 \h </w:instrText>
            </w:r>
            <w:r w:rsidR="005717F3" w:rsidRPr="00D613DA">
              <w:rPr>
                <w:noProof/>
                <w:webHidden/>
              </w:rPr>
            </w:r>
            <w:r w:rsidR="005717F3" w:rsidRPr="00D613DA">
              <w:rPr>
                <w:noProof/>
                <w:webHidden/>
              </w:rPr>
              <w:fldChar w:fldCharType="separate"/>
            </w:r>
            <w:r w:rsidR="00D54691">
              <w:rPr>
                <w:noProof/>
                <w:webHidden/>
              </w:rPr>
              <w:t>433</w:t>
            </w:r>
            <w:r w:rsidR="005717F3" w:rsidRPr="00D613DA">
              <w:rPr>
                <w:noProof/>
                <w:webHidden/>
              </w:rPr>
              <w:fldChar w:fldCharType="end"/>
            </w:r>
          </w:hyperlink>
        </w:p>
        <w:p w14:paraId="04793DAD" w14:textId="04EE3572" w:rsidR="005717F3" w:rsidRPr="00D613DA" w:rsidRDefault="00FF7453" w:rsidP="00D613DA">
          <w:pPr>
            <w:pStyle w:val="31"/>
            <w:rPr>
              <w:noProof/>
            </w:rPr>
          </w:pPr>
          <w:hyperlink w:anchor="_Toc110507017" w:history="1">
            <w:r w:rsidR="005717F3" w:rsidRPr="00D613DA">
              <w:rPr>
                <w:rStyle w:val="ad"/>
                <w:rFonts w:ascii="Times New Roman" w:hAnsi="Times New Roman"/>
                <w:noProof/>
              </w:rPr>
              <w:t>3.6.11.2. Расчет кадастровой стоимости земельных участков группы ВОДОПОЛЬЗОВАНИЕ</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_Toc110507017 \h </w:instrText>
            </w:r>
            <w:r w:rsidR="005717F3" w:rsidRPr="00D613DA">
              <w:rPr>
                <w:noProof/>
                <w:webHidden/>
              </w:rPr>
            </w:r>
            <w:r w:rsidR="005717F3" w:rsidRPr="00D613DA">
              <w:rPr>
                <w:noProof/>
                <w:webHidden/>
              </w:rPr>
              <w:fldChar w:fldCharType="separate"/>
            </w:r>
            <w:r w:rsidR="00D54691">
              <w:rPr>
                <w:noProof/>
                <w:webHidden/>
              </w:rPr>
              <w:t>434</w:t>
            </w:r>
            <w:r w:rsidR="005717F3" w:rsidRPr="00D613DA">
              <w:rPr>
                <w:noProof/>
                <w:webHidden/>
              </w:rPr>
              <w:fldChar w:fldCharType="end"/>
            </w:r>
          </w:hyperlink>
        </w:p>
        <w:p w14:paraId="3A3FCF9E" w14:textId="2A68A404" w:rsidR="005717F3" w:rsidRPr="00D613DA" w:rsidRDefault="00FF7453" w:rsidP="00D613DA">
          <w:pPr>
            <w:pStyle w:val="22"/>
          </w:pPr>
          <w:hyperlink w:anchor="_Toc110507018" w:history="1">
            <w:r w:rsidR="005717F3" w:rsidRPr="00D613DA">
              <w:rPr>
                <w:rStyle w:val="ad"/>
              </w:rPr>
              <w:t>3.6.12. Сегмент 12. «Специальное, ритуальное использование, запас»</w:t>
            </w:r>
            <w:r w:rsidR="005717F3" w:rsidRPr="00D613DA">
              <w:rPr>
                <w:webHidden/>
              </w:rPr>
              <w:tab/>
            </w:r>
            <w:r w:rsidR="005717F3" w:rsidRPr="00D613DA">
              <w:rPr>
                <w:webHidden/>
              </w:rPr>
              <w:fldChar w:fldCharType="begin"/>
            </w:r>
            <w:r w:rsidR="005717F3" w:rsidRPr="00D613DA">
              <w:rPr>
                <w:webHidden/>
              </w:rPr>
              <w:instrText xml:space="preserve"> PAGEREF _Toc110507018 \h </w:instrText>
            </w:r>
            <w:r w:rsidR="005717F3" w:rsidRPr="00D613DA">
              <w:rPr>
                <w:webHidden/>
              </w:rPr>
            </w:r>
            <w:r w:rsidR="005717F3" w:rsidRPr="00D613DA">
              <w:rPr>
                <w:webHidden/>
              </w:rPr>
              <w:fldChar w:fldCharType="separate"/>
            </w:r>
            <w:r w:rsidR="00D54691">
              <w:rPr>
                <w:webHidden/>
              </w:rPr>
              <w:t>434</w:t>
            </w:r>
            <w:r w:rsidR="005717F3" w:rsidRPr="00D613DA">
              <w:rPr>
                <w:webHidden/>
              </w:rPr>
              <w:fldChar w:fldCharType="end"/>
            </w:r>
          </w:hyperlink>
        </w:p>
        <w:p w14:paraId="3D0CBBF6" w14:textId="5463FB48" w:rsidR="005717F3" w:rsidRPr="00D613DA" w:rsidRDefault="00FF7453" w:rsidP="00D613DA">
          <w:pPr>
            <w:pStyle w:val="31"/>
            <w:rPr>
              <w:noProof/>
            </w:rPr>
          </w:pPr>
          <w:hyperlink w:anchor="_Toc110507019" w:history="1">
            <w:r w:rsidR="005717F3" w:rsidRPr="00D613DA">
              <w:rPr>
                <w:rStyle w:val="ad"/>
                <w:rFonts w:ascii="Times New Roman" w:hAnsi="Times New Roman"/>
                <w:noProof/>
              </w:rPr>
              <w:t>3.6.12.1. Расчет кадастровой стоимости земельных участков группы ВС ПОЛИГОНЫ</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_Toc110507019 \h </w:instrText>
            </w:r>
            <w:r w:rsidR="005717F3" w:rsidRPr="00D613DA">
              <w:rPr>
                <w:noProof/>
                <w:webHidden/>
              </w:rPr>
            </w:r>
            <w:r w:rsidR="005717F3" w:rsidRPr="00D613DA">
              <w:rPr>
                <w:noProof/>
                <w:webHidden/>
              </w:rPr>
              <w:fldChar w:fldCharType="separate"/>
            </w:r>
            <w:r w:rsidR="00D54691">
              <w:rPr>
                <w:noProof/>
                <w:webHidden/>
              </w:rPr>
              <w:t>434</w:t>
            </w:r>
            <w:r w:rsidR="005717F3" w:rsidRPr="00D613DA">
              <w:rPr>
                <w:noProof/>
                <w:webHidden/>
              </w:rPr>
              <w:fldChar w:fldCharType="end"/>
            </w:r>
          </w:hyperlink>
        </w:p>
        <w:p w14:paraId="2C93A4DC" w14:textId="50D523C0" w:rsidR="005717F3" w:rsidRPr="00D613DA" w:rsidRDefault="00FF7453" w:rsidP="00D613DA">
          <w:pPr>
            <w:pStyle w:val="31"/>
            <w:rPr>
              <w:noProof/>
            </w:rPr>
          </w:pPr>
          <w:hyperlink w:anchor="_Toc110507020" w:history="1">
            <w:r w:rsidR="005717F3" w:rsidRPr="00D613DA">
              <w:rPr>
                <w:rStyle w:val="ad"/>
                <w:rFonts w:ascii="Times New Roman" w:hAnsi="Times New Roman"/>
                <w:noProof/>
              </w:rPr>
              <w:t>3.6.12.2. Расчет кадастровой стоимости земельных участков группы КЛАДБИЩА</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_Toc110507020 \h </w:instrText>
            </w:r>
            <w:r w:rsidR="005717F3" w:rsidRPr="00D613DA">
              <w:rPr>
                <w:noProof/>
                <w:webHidden/>
              </w:rPr>
            </w:r>
            <w:r w:rsidR="005717F3" w:rsidRPr="00D613DA">
              <w:rPr>
                <w:noProof/>
                <w:webHidden/>
              </w:rPr>
              <w:fldChar w:fldCharType="separate"/>
            </w:r>
            <w:r w:rsidR="00D54691">
              <w:rPr>
                <w:noProof/>
                <w:webHidden/>
              </w:rPr>
              <w:t>436</w:t>
            </w:r>
            <w:r w:rsidR="005717F3" w:rsidRPr="00D613DA">
              <w:rPr>
                <w:noProof/>
                <w:webHidden/>
              </w:rPr>
              <w:fldChar w:fldCharType="end"/>
            </w:r>
          </w:hyperlink>
        </w:p>
        <w:p w14:paraId="37285341" w14:textId="17DD5B94" w:rsidR="005717F3" w:rsidRPr="00D613DA" w:rsidRDefault="00FF7453" w:rsidP="00D613DA">
          <w:pPr>
            <w:pStyle w:val="31"/>
            <w:rPr>
              <w:noProof/>
            </w:rPr>
          </w:pPr>
          <w:hyperlink w:anchor="_Toc110507021" w:history="1">
            <w:r w:rsidR="005717F3" w:rsidRPr="00D613DA">
              <w:rPr>
                <w:rStyle w:val="ad"/>
                <w:rFonts w:ascii="Times New Roman" w:hAnsi="Times New Roman"/>
                <w:noProof/>
              </w:rPr>
              <w:t>3.6.12.3. Расчет кадастровой стоимости земельных участков группы СПЕЦ</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_Toc110507021 \h </w:instrText>
            </w:r>
            <w:r w:rsidR="005717F3" w:rsidRPr="00D613DA">
              <w:rPr>
                <w:noProof/>
                <w:webHidden/>
              </w:rPr>
            </w:r>
            <w:r w:rsidR="005717F3" w:rsidRPr="00D613DA">
              <w:rPr>
                <w:noProof/>
                <w:webHidden/>
              </w:rPr>
              <w:fldChar w:fldCharType="separate"/>
            </w:r>
            <w:r w:rsidR="00D54691">
              <w:rPr>
                <w:noProof/>
                <w:webHidden/>
              </w:rPr>
              <w:t>437</w:t>
            </w:r>
            <w:r w:rsidR="005717F3" w:rsidRPr="00D613DA">
              <w:rPr>
                <w:noProof/>
                <w:webHidden/>
              </w:rPr>
              <w:fldChar w:fldCharType="end"/>
            </w:r>
          </w:hyperlink>
        </w:p>
        <w:p w14:paraId="210EBB75" w14:textId="3581A566" w:rsidR="005717F3" w:rsidRPr="00D613DA" w:rsidRDefault="00FF7453" w:rsidP="00D613DA">
          <w:pPr>
            <w:pStyle w:val="31"/>
            <w:rPr>
              <w:noProof/>
            </w:rPr>
          </w:pPr>
          <w:hyperlink w:anchor="_Toc110507022" w:history="1">
            <w:r w:rsidR="005717F3" w:rsidRPr="00D613DA">
              <w:rPr>
                <w:rStyle w:val="ad"/>
                <w:rFonts w:ascii="Times New Roman" w:hAnsi="Times New Roman"/>
                <w:noProof/>
              </w:rPr>
              <w:t>3.6.12.4. Расчет кадастровой стоимости земельных участков группы ЗАПАС</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_Toc110507022 \h </w:instrText>
            </w:r>
            <w:r w:rsidR="005717F3" w:rsidRPr="00D613DA">
              <w:rPr>
                <w:noProof/>
                <w:webHidden/>
              </w:rPr>
            </w:r>
            <w:r w:rsidR="005717F3" w:rsidRPr="00D613DA">
              <w:rPr>
                <w:noProof/>
                <w:webHidden/>
              </w:rPr>
              <w:fldChar w:fldCharType="separate"/>
            </w:r>
            <w:r w:rsidR="00D54691">
              <w:rPr>
                <w:noProof/>
                <w:webHidden/>
              </w:rPr>
              <w:t>439</w:t>
            </w:r>
            <w:r w:rsidR="005717F3" w:rsidRPr="00D613DA">
              <w:rPr>
                <w:noProof/>
                <w:webHidden/>
              </w:rPr>
              <w:fldChar w:fldCharType="end"/>
            </w:r>
          </w:hyperlink>
        </w:p>
        <w:p w14:paraId="4D3A3EFC" w14:textId="74B059A3" w:rsidR="005717F3" w:rsidRPr="00D613DA" w:rsidRDefault="00FF7453" w:rsidP="00D613DA">
          <w:pPr>
            <w:pStyle w:val="31"/>
            <w:rPr>
              <w:noProof/>
            </w:rPr>
          </w:pPr>
          <w:hyperlink w:anchor="_Toc110507023" w:history="1">
            <w:r w:rsidR="005717F3" w:rsidRPr="00D613DA">
              <w:rPr>
                <w:rStyle w:val="ad"/>
                <w:rFonts w:ascii="Times New Roman" w:hAnsi="Times New Roman"/>
                <w:noProof/>
              </w:rPr>
              <w:t>3.6.12.5. Расчет кадастровой стоимости земельных участков группы УПКС</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_Toc110507023 \h </w:instrText>
            </w:r>
            <w:r w:rsidR="005717F3" w:rsidRPr="00D613DA">
              <w:rPr>
                <w:noProof/>
                <w:webHidden/>
              </w:rPr>
            </w:r>
            <w:r w:rsidR="005717F3" w:rsidRPr="00D613DA">
              <w:rPr>
                <w:noProof/>
                <w:webHidden/>
              </w:rPr>
              <w:fldChar w:fldCharType="separate"/>
            </w:r>
            <w:r w:rsidR="00D54691">
              <w:rPr>
                <w:noProof/>
                <w:webHidden/>
              </w:rPr>
              <w:t>440</w:t>
            </w:r>
            <w:r w:rsidR="005717F3" w:rsidRPr="00D613DA">
              <w:rPr>
                <w:noProof/>
                <w:webHidden/>
              </w:rPr>
              <w:fldChar w:fldCharType="end"/>
            </w:r>
          </w:hyperlink>
        </w:p>
        <w:p w14:paraId="4E8F2E53" w14:textId="3D984E69" w:rsidR="005717F3" w:rsidRPr="00D613DA" w:rsidRDefault="00FF7453" w:rsidP="00D613DA">
          <w:pPr>
            <w:pStyle w:val="22"/>
          </w:pPr>
          <w:hyperlink w:anchor="_Toc110507024" w:history="1">
            <w:r w:rsidR="005717F3" w:rsidRPr="00D613DA">
              <w:rPr>
                <w:rStyle w:val="ad"/>
              </w:rPr>
              <w:t>3.6.13. Сегмент 13 «Садоводство и огородничество, малоэтажная жилая застройка»</w:t>
            </w:r>
            <w:r w:rsidR="005717F3" w:rsidRPr="00D613DA">
              <w:rPr>
                <w:webHidden/>
              </w:rPr>
              <w:tab/>
            </w:r>
            <w:r w:rsidR="005717F3" w:rsidRPr="00D613DA">
              <w:rPr>
                <w:webHidden/>
              </w:rPr>
              <w:fldChar w:fldCharType="begin"/>
            </w:r>
            <w:r w:rsidR="005717F3" w:rsidRPr="00D613DA">
              <w:rPr>
                <w:webHidden/>
              </w:rPr>
              <w:instrText xml:space="preserve"> PAGEREF _Toc110507024 \h </w:instrText>
            </w:r>
            <w:r w:rsidR="005717F3" w:rsidRPr="00D613DA">
              <w:rPr>
                <w:webHidden/>
              </w:rPr>
            </w:r>
            <w:r w:rsidR="005717F3" w:rsidRPr="00D613DA">
              <w:rPr>
                <w:webHidden/>
              </w:rPr>
              <w:fldChar w:fldCharType="separate"/>
            </w:r>
            <w:r w:rsidR="00D54691">
              <w:rPr>
                <w:webHidden/>
              </w:rPr>
              <w:t>441</w:t>
            </w:r>
            <w:r w:rsidR="005717F3" w:rsidRPr="00D613DA">
              <w:rPr>
                <w:webHidden/>
              </w:rPr>
              <w:fldChar w:fldCharType="end"/>
            </w:r>
          </w:hyperlink>
        </w:p>
        <w:p w14:paraId="65F10BC1" w14:textId="32F21351" w:rsidR="005717F3" w:rsidRPr="00D613DA" w:rsidRDefault="00FF7453" w:rsidP="00D613DA">
          <w:pPr>
            <w:pStyle w:val="31"/>
            <w:rPr>
              <w:noProof/>
            </w:rPr>
          </w:pPr>
          <w:hyperlink w:anchor="_Toc110507025" w:history="1">
            <w:r w:rsidR="005717F3" w:rsidRPr="00D613DA">
              <w:rPr>
                <w:rStyle w:val="ad"/>
                <w:rFonts w:ascii="Times New Roman" w:hAnsi="Times New Roman"/>
                <w:noProof/>
              </w:rPr>
              <w:t>3.6.13.1. Расчет кадастровой стоимости земельных участков группы ИЖС/Воронеж</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_Toc110507025 \h </w:instrText>
            </w:r>
            <w:r w:rsidR="005717F3" w:rsidRPr="00D613DA">
              <w:rPr>
                <w:noProof/>
                <w:webHidden/>
              </w:rPr>
            </w:r>
            <w:r w:rsidR="005717F3" w:rsidRPr="00D613DA">
              <w:rPr>
                <w:noProof/>
                <w:webHidden/>
              </w:rPr>
              <w:fldChar w:fldCharType="separate"/>
            </w:r>
            <w:r w:rsidR="00D54691">
              <w:rPr>
                <w:noProof/>
                <w:webHidden/>
              </w:rPr>
              <w:t>441</w:t>
            </w:r>
            <w:r w:rsidR="005717F3" w:rsidRPr="00D613DA">
              <w:rPr>
                <w:noProof/>
                <w:webHidden/>
              </w:rPr>
              <w:fldChar w:fldCharType="end"/>
            </w:r>
          </w:hyperlink>
        </w:p>
        <w:p w14:paraId="6B5CD0A4" w14:textId="096CE8F2" w:rsidR="005717F3" w:rsidRPr="00D613DA" w:rsidRDefault="00FF7453" w:rsidP="00D613DA">
          <w:pPr>
            <w:pStyle w:val="31"/>
            <w:rPr>
              <w:noProof/>
            </w:rPr>
          </w:pPr>
          <w:hyperlink w:anchor="_Toc110507026" w:history="1">
            <w:r w:rsidR="005717F3" w:rsidRPr="00D613DA">
              <w:rPr>
                <w:rStyle w:val="ad"/>
                <w:rFonts w:ascii="Times New Roman" w:hAnsi="Times New Roman"/>
                <w:noProof/>
              </w:rPr>
              <w:t>3.6.13.2. Расчет кадастровой стоимости земельных участков группы ИЖС/6 ГНП</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_Toc110507026 \h </w:instrText>
            </w:r>
            <w:r w:rsidR="005717F3" w:rsidRPr="00D613DA">
              <w:rPr>
                <w:noProof/>
                <w:webHidden/>
              </w:rPr>
            </w:r>
            <w:r w:rsidR="005717F3" w:rsidRPr="00D613DA">
              <w:rPr>
                <w:noProof/>
                <w:webHidden/>
              </w:rPr>
              <w:fldChar w:fldCharType="separate"/>
            </w:r>
            <w:r w:rsidR="00D54691">
              <w:rPr>
                <w:noProof/>
                <w:webHidden/>
              </w:rPr>
              <w:t>446</w:t>
            </w:r>
            <w:r w:rsidR="005717F3" w:rsidRPr="00D613DA">
              <w:rPr>
                <w:noProof/>
                <w:webHidden/>
              </w:rPr>
              <w:fldChar w:fldCharType="end"/>
            </w:r>
          </w:hyperlink>
        </w:p>
        <w:p w14:paraId="62BD0223" w14:textId="264B51A6" w:rsidR="005717F3" w:rsidRPr="00D613DA" w:rsidRDefault="00FF7453" w:rsidP="00D613DA">
          <w:pPr>
            <w:pStyle w:val="31"/>
            <w:rPr>
              <w:noProof/>
            </w:rPr>
          </w:pPr>
          <w:hyperlink w:anchor="_Toc110507027" w:history="1">
            <w:r w:rsidR="005717F3" w:rsidRPr="00D613DA">
              <w:rPr>
                <w:rStyle w:val="ad"/>
                <w:rFonts w:ascii="Times New Roman" w:hAnsi="Times New Roman"/>
                <w:noProof/>
              </w:rPr>
              <w:t>3.6.13.3. Расчет кадастровой стоимости земельных участков группы ИЖС/Прочие ГНП</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_Toc110507027 \h </w:instrText>
            </w:r>
            <w:r w:rsidR="005717F3" w:rsidRPr="00D613DA">
              <w:rPr>
                <w:noProof/>
                <w:webHidden/>
              </w:rPr>
            </w:r>
            <w:r w:rsidR="005717F3" w:rsidRPr="00D613DA">
              <w:rPr>
                <w:noProof/>
                <w:webHidden/>
              </w:rPr>
              <w:fldChar w:fldCharType="separate"/>
            </w:r>
            <w:r w:rsidR="00D54691">
              <w:rPr>
                <w:noProof/>
                <w:webHidden/>
              </w:rPr>
              <w:t>451</w:t>
            </w:r>
            <w:r w:rsidR="005717F3" w:rsidRPr="00D613DA">
              <w:rPr>
                <w:noProof/>
                <w:webHidden/>
              </w:rPr>
              <w:fldChar w:fldCharType="end"/>
            </w:r>
          </w:hyperlink>
        </w:p>
        <w:p w14:paraId="0807DB8D" w14:textId="2998078B" w:rsidR="005717F3" w:rsidRPr="00D613DA" w:rsidRDefault="00FF7453" w:rsidP="00D613DA">
          <w:pPr>
            <w:pStyle w:val="31"/>
            <w:rPr>
              <w:noProof/>
            </w:rPr>
          </w:pPr>
          <w:hyperlink w:anchor="_Toc110507028" w:history="1">
            <w:r w:rsidR="005717F3" w:rsidRPr="00D613DA">
              <w:rPr>
                <w:rStyle w:val="ad"/>
                <w:rFonts w:ascii="Times New Roman" w:hAnsi="Times New Roman"/>
                <w:noProof/>
              </w:rPr>
              <w:t>3.6.13.4. Расчет кадастровой стоимости земельных участков группы ИЖС/СНП/Ближе 60 км</w:t>
            </w:r>
            <w:r w:rsidR="0090366A">
              <w:rPr>
                <w:rStyle w:val="ad"/>
                <w:rFonts w:ascii="Times New Roman" w:hAnsi="Times New Roman"/>
                <w:noProof/>
              </w:rPr>
              <w:t xml:space="preserve"> </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_Toc110507028 \h </w:instrText>
            </w:r>
            <w:r w:rsidR="005717F3" w:rsidRPr="00D613DA">
              <w:rPr>
                <w:noProof/>
                <w:webHidden/>
              </w:rPr>
            </w:r>
            <w:r w:rsidR="005717F3" w:rsidRPr="00D613DA">
              <w:rPr>
                <w:noProof/>
                <w:webHidden/>
              </w:rPr>
              <w:fldChar w:fldCharType="separate"/>
            </w:r>
            <w:r w:rsidR="00D54691">
              <w:rPr>
                <w:noProof/>
                <w:webHidden/>
              </w:rPr>
              <w:t>455</w:t>
            </w:r>
            <w:r w:rsidR="005717F3" w:rsidRPr="00D613DA">
              <w:rPr>
                <w:noProof/>
                <w:webHidden/>
              </w:rPr>
              <w:fldChar w:fldCharType="end"/>
            </w:r>
          </w:hyperlink>
        </w:p>
        <w:p w14:paraId="307E53BD" w14:textId="0F79C60E" w:rsidR="005717F3" w:rsidRPr="00D613DA" w:rsidRDefault="00FF7453" w:rsidP="00D613DA">
          <w:pPr>
            <w:pStyle w:val="31"/>
            <w:rPr>
              <w:noProof/>
            </w:rPr>
          </w:pPr>
          <w:hyperlink w:anchor="_Toc110507029" w:history="1">
            <w:r w:rsidR="005717F3" w:rsidRPr="00D613DA">
              <w:rPr>
                <w:rStyle w:val="ad"/>
                <w:rFonts w:ascii="Times New Roman" w:hAnsi="Times New Roman"/>
                <w:noProof/>
              </w:rPr>
              <w:t>3.6.13.5. Расчет кадастровой стоимости земельных участков группы ИЖС/СНП/Дальше 60 км</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_Toc110507029 \h </w:instrText>
            </w:r>
            <w:r w:rsidR="005717F3" w:rsidRPr="00D613DA">
              <w:rPr>
                <w:noProof/>
                <w:webHidden/>
              </w:rPr>
            </w:r>
            <w:r w:rsidR="005717F3" w:rsidRPr="00D613DA">
              <w:rPr>
                <w:noProof/>
                <w:webHidden/>
              </w:rPr>
              <w:fldChar w:fldCharType="separate"/>
            </w:r>
            <w:r w:rsidR="00D54691">
              <w:rPr>
                <w:noProof/>
                <w:webHidden/>
              </w:rPr>
              <w:t>459</w:t>
            </w:r>
            <w:r w:rsidR="005717F3" w:rsidRPr="00D613DA">
              <w:rPr>
                <w:noProof/>
                <w:webHidden/>
              </w:rPr>
              <w:fldChar w:fldCharType="end"/>
            </w:r>
          </w:hyperlink>
        </w:p>
        <w:p w14:paraId="795F573E" w14:textId="693BDBFE" w:rsidR="005717F3" w:rsidRPr="00D613DA" w:rsidRDefault="00FF7453" w:rsidP="00D613DA">
          <w:pPr>
            <w:pStyle w:val="31"/>
            <w:rPr>
              <w:noProof/>
            </w:rPr>
          </w:pPr>
          <w:hyperlink w:anchor="_Toc110507030" w:history="1">
            <w:r w:rsidR="005717F3" w:rsidRPr="00D613DA">
              <w:rPr>
                <w:rStyle w:val="ad"/>
                <w:rFonts w:ascii="Times New Roman" w:hAnsi="Times New Roman"/>
                <w:noProof/>
              </w:rPr>
              <w:t>3.6.13.6. Расчет кадастровой стоимости земельных участков группы ИЖС/УПКС</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_Toc110507030 \h </w:instrText>
            </w:r>
            <w:r w:rsidR="005717F3" w:rsidRPr="00D613DA">
              <w:rPr>
                <w:noProof/>
                <w:webHidden/>
              </w:rPr>
            </w:r>
            <w:r w:rsidR="005717F3" w:rsidRPr="00D613DA">
              <w:rPr>
                <w:noProof/>
                <w:webHidden/>
              </w:rPr>
              <w:fldChar w:fldCharType="separate"/>
            </w:r>
            <w:r w:rsidR="00D54691">
              <w:rPr>
                <w:noProof/>
                <w:webHidden/>
              </w:rPr>
              <w:t>463</w:t>
            </w:r>
            <w:r w:rsidR="005717F3" w:rsidRPr="00D613DA">
              <w:rPr>
                <w:noProof/>
                <w:webHidden/>
              </w:rPr>
              <w:fldChar w:fldCharType="end"/>
            </w:r>
          </w:hyperlink>
        </w:p>
        <w:p w14:paraId="59A2E0B4" w14:textId="42CEAA21" w:rsidR="005717F3" w:rsidRPr="00D613DA" w:rsidRDefault="00FF7453" w:rsidP="00D613DA">
          <w:pPr>
            <w:pStyle w:val="31"/>
            <w:rPr>
              <w:noProof/>
            </w:rPr>
          </w:pPr>
          <w:hyperlink w:anchor="_Toc110507031" w:history="1">
            <w:r w:rsidR="005717F3" w:rsidRPr="00D613DA">
              <w:rPr>
                <w:rStyle w:val="ad"/>
                <w:rFonts w:ascii="Times New Roman" w:hAnsi="Times New Roman"/>
                <w:noProof/>
              </w:rPr>
              <w:t>3.6.13.7. Расчет кадастровой стоимости земельных участков группы СОД/Воронеж</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_Toc110507031 \h </w:instrText>
            </w:r>
            <w:r w:rsidR="005717F3" w:rsidRPr="00D613DA">
              <w:rPr>
                <w:noProof/>
                <w:webHidden/>
              </w:rPr>
            </w:r>
            <w:r w:rsidR="005717F3" w:rsidRPr="00D613DA">
              <w:rPr>
                <w:noProof/>
                <w:webHidden/>
              </w:rPr>
              <w:fldChar w:fldCharType="separate"/>
            </w:r>
            <w:r w:rsidR="00D54691">
              <w:rPr>
                <w:noProof/>
                <w:webHidden/>
              </w:rPr>
              <w:t>464</w:t>
            </w:r>
            <w:r w:rsidR="005717F3" w:rsidRPr="00D613DA">
              <w:rPr>
                <w:noProof/>
                <w:webHidden/>
              </w:rPr>
              <w:fldChar w:fldCharType="end"/>
            </w:r>
          </w:hyperlink>
        </w:p>
        <w:p w14:paraId="58934AE8" w14:textId="6F8B5237" w:rsidR="005717F3" w:rsidRPr="00D613DA" w:rsidRDefault="00FF7453" w:rsidP="00D613DA">
          <w:pPr>
            <w:pStyle w:val="31"/>
            <w:rPr>
              <w:noProof/>
            </w:rPr>
          </w:pPr>
          <w:hyperlink w:anchor="_Toc110507032" w:history="1">
            <w:r w:rsidR="005717F3" w:rsidRPr="00D613DA">
              <w:rPr>
                <w:rStyle w:val="ad"/>
                <w:rFonts w:ascii="Times New Roman" w:hAnsi="Times New Roman"/>
                <w:noProof/>
              </w:rPr>
              <w:t>3.6.13.8. Расчет кадастровой стоимости земельных участков группы СОД/1 группа</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_Toc110507032 \h </w:instrText>
            </w:r>
            <w:r w:rsidR="005717F3" w:rsidRPr="00D613DA">
              <w:rPr>
                <w:noProof/>
                <w:webHidden/>
              </w:rPr>
            </w:r>
            <w:r w:rsidR="005717F3" w:rsidRPr="00D613DA">
              <w:rPr>
                <w:noProof/>
                <w:webHidden/>
              </w:rPr>
              <w:fldChar w:fldCharType="separate"/>
            </w:r>
            <w:r w:rsidR="00D54691">
              <w:rPr>
                <w:noProof/>
                <w:webHidden/>
              </w:rPr>
              <w:t>468</w:t>
            </w:r>
            <w:r w:rsidR="005717F3" w:rsidRPr="00D613DA">
              <w:rPr>
                <w:noProof/>
                <w:webHidden/>
              </w:rPr>
              <w:fldChar w:fldCharType="end"/>
            </w:r>
          </w:hyperlink>
        </w:p>
        <w:p w14:paraId="25AD873E" w14:textId="3506FAC1" w:rsidR="005717F3" w:rsidRPr="00D613DA" w:rsidRDefault="00FF7453" w:rsidP="00D613DA">
          <w:pPr>
            <w:pStyle w:val="31"/>
            <w:rPr>
              <w:noProof/>
            </w:rPr>
          </w:pPr>
          <w:hyperlink w:anchor="_Toc110507033" w:history="1">
            <w:r w:rsidR="005717F3" w:rsidRPr="00D613DA">
              <w:rPr>
                <w:rStyle w:val="ad"/>
                <w:rFonts w:ascii="Times New Roman" w:hAnsi="Times New Roman"/>
                <w:noProof/>
              </w:rPr>
              <w:t>3.6.13.9. Расчет кадастровой стоимости земельных участков группы СОД/2 группа</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_Toc110507033 \h </w:instrText>
            </w:r>
            <w:r w:rsidR="005717F3" w:rsidRPr="00D613DA">
              <w:rPr>
                <w:noProof/>
                <w:webHidden/>
              </w:rPr>
            </w:r>
            <w:r w:rsidR="005717F3" w:rsidRPr="00D613DA">
              <w:rPr>
                <w:noProof/>
                <w:webHidden/>
              </w:rPr>
              <w:fldChar w:fldCharType="separate"/>
            </w:r>
            <w:r w:rsidR="00D54691">
              <w:rPr>
                <w:noProof/>
                <w:webHidden/>
              </w:rPr>
              <w:t>472</w:t>
            </w:r>
            <w:r w:rsidR="005717F3" w:rsidRPr="00D613DA">
              <w:rPr>
                <w:noProof/>
                <w:webHidden/>
              </w:rPr>
              <w:fldChar w:fldCharType="end"/>
            </w:r>
          </w:hyperlink>
        </w:p>
        <w:p w14:paraId="0D2A0AA7" w14:textId="78D0FE07" w:rsidR="005717F3" w:rsidRPr="00D613DA" w:rsidRDefault="00FF7453" w:rsidP="00D613DA">
          <w:pPr>
            <w:pStyle w:val="31"/>
            <w:rPr>
              <w:noProof/>
            </w:rPr>
          </w:pPr>
          <w:hyperlink w:anchor="_Toc110507034" w:history="1">
            <w:r w:rsidR="005717F3" w:rsidRPr="00D613DA">
              <w:rPr>
                <w:rStyle w:val="ad"/>
                <w:rFonts w:ascii="Times New Roman" w:hAnsi="Times New Roman"/>
                <w:noProof/>
              </w:rPr>
              <w:t>3.6.13.10. Расчет кадастровой стоимости земельных участков группы СОД/УПКС</w:t>
            </w:r>
            <w:r w:rsidR="005717F3" w:rsidRPr="00D613DA">
              <w:rPr>
                <w:noProof/>
                <w:webHidden/>
              </w:rPr>
              <w:tab/>
            </w:r>
            <w:r w:rsidR="005717F3" w:rsidRPr="00D613DA">
              <w:rPr>
                <w:noProof/>
                <w:webHidden/>
              </w:rPr>
              <w:fldChar w:fldCharType="begin"/>
            </w:r>
            <w:r w:rsidR="005717F3" w:rsidRPr="00D613DA">
              <w:rPr>
                <w:noProof/>
                <w:webHidden/>
              </w:rPr>
              <w:instrText xml:space="preserve"> PAGEREF _Toc110507034 \h </w:instrText>
            </w:r>
            <w:r w:rsidR="005717F3" w:rsidRPr="00D613DA">
              <w:rPr>
                <w:noProof/>
                <w:webHidden/>
              </w:rPr>
            </w:r>
            <w:r w:rsidR="005717F3" w:rsidRPr="00D613DA">
              <w:rPr>
                <w:noProof/>
                <w:webHidden/>
              </w:rPr>
              <w:fldChar w:fldCharType="separate"/>
            </w:r>
            <w:r w:rsidR="00D54691">
              <w:rPr>
                <w:noProof/>
                <w:webHidden/>
              </w:rPr>
              <w:t>476</w:t>
            </w:r>
            <w:r w:rsidR="005717F3" w:rsidRPr="00D613DA">
              <w:rPr>
                <w:noProof/>
                <w:webHidden/>
              </w:rPr>
              <w:fldChar w:fldCharType="end"/>
            </w:r>
          </w:hyperlink>
        </w:p>
        <w:p w14:paraId="20E753D4" w14:textId="2F9D9011" w:rsidR="005717F3" w:rsidRPr="00D613DA" w:rsidRDefault="00FF7453" w:rsidP="00D613DA">
          <w:pPr>
            <w:pStyle w:val="22"/>
          </w:pPr>
          <w:hyperlink w:anchor="_Toc110507035" w:history="1">
            <w:r w:rsidR="005717F3" w:rsidRPr="00D613DA">
              <w:rPr>
                <w:rStyle w:val="ad"/>
              </w:rPr>
              <w:t>3.</w:t>
            </w:r>
            <w:r w:rsidR="00D613DA" w:rsidRPr="00D613DA">
              <w:rPr>
                <w:rStyle w:val="ad"/>
              </w:rPr>
              <w:t xml:space="preserve">7 </w:t>
            </w:r>
            <w:r w:rsidR="005717F3" w:rsidRPr="00D613DA">
              <w:rPr>
                <w:rStyle w:val="ad"/>
              </w:rPr>
              <w:t>Информация об определении кадастровой стоимости объектов недвижимости в рамках индивидуального расчета</w:t>
            </w:r>
            <w:r w:rsidR="005717F3" w:rsidRPr="00D613DA">
              <w:rPr>
                <w:webHidden/>
              </w:rPr>
              <w:tab/>
            </w:r>
            <w:r w:rsidR="005717F3" w:rsidRPr="00D613DA">
              <w:rPr>
                <w:webHidden/>
              </w:rPr>
              <w:fldChar w:fldCharType="begin"/>
            </w:r>
            <w:r w:rsidR="005717F3" w:rsidRPr="00D613DA">
              <w:rPr>
                <w:webHidden/>
              </w:rPr>
              <w:instrText xml:space="preserve"> PAGEREF _Toc110507035 \h </w:instrText>
            </w:r>
            <w:r w:rsidR="005717F3" w:rsidRPr="00D613DA">
              <w:rPr>
                <w:webHidden/>
              </w:rPr>
            </w:r>
            <w:r w:rsidR="005717F3" w:rsidRPr="00D613DA">
              <w:rPr>
                <w:webHidden/>
              </w:rPr>
              <w:fldChar w:fldCharType="separate"/>
            </w:r>
            <w:r w:rsidR="00D54691">
              <w:rPr>
                <w:webHidden/>
              </w:rPr>
              <w:t>477</w:t>
            </w:r>
            <w:r w:rsidR="005717F3" w:rsidRPr="00D613DA">
              <w:rPr>
                <w:webHidden/>
              </w:rPr>
              <w:fldChar w:fldCharType="end"/>
            </w:r>
          </w:hyperlink>
        </w:p>
        <w:p w14:paraId="6587B777" w14:textId="5DFDB290" w:rsidR="005717F3" w:rsidRPr="00D613DA" w:rsidRDefault="00FF7453" w:rsidP="005717F3">
          <w:pPr>
            <w:pStyle w:val="14"/>
          </w:pPr>
          <w:hyperlink w:anchor="_Toc110507036" w:history="1">
            <w:r w:rsidR="005717F3" w:rsidRPr="00D613DA">
              <w:rPr>
                <w:rStyle w:val="ad"/>
              </w:rPr>
              <w:t>4. ЗАКЛЮЧИТЕЛЬНАЯ ГЛАВА</w:t>
            </w:r>
            <w:r w:rsidR="005717F3" w:rsidRPr="00D613DA">
              <w:rPr>
                <w:webHidden/>
              </w:rPr>
              <w:tab/>
            </w:r>
            <w:r w:rsidR="005717F3" w:rsidRPr="00D613DA">
              <w:rPr>
                <w:webHidden/>
              </w:rPr>
              <w:fldChar w:fldCharType="begin"/>
            </w:r>
            <w:r w:rsidR="005717F3" w:rsidRPr="00D613DA">
              <w:rPr>
                <w:webHidden/>
              </w:rPr>
              <w:instrText xml:space="preserve"> PAGEREF _Toc110507036 \h </w:instrText>
            </w:r>
            <w:r w:rsidR="005717F3" w:rsidRPr="00D613DA">
              <w:rPr>
                <w:webHidden/>
              </w:rPr>
            </w:r>
            <w:r w:rsidR="005717F3" w:rsidRPr="00D613DA">
              <w:rPr>
                <w:webHidden/>
              </w:rPr>
              <w:fldChar w:fldCharType="separate"/>
            </w:r>
            <w:r w:rsidR="00D54691">
              <w:rPr>
                <w:webHidden/>
              </w:rPr>
              <w:t>479</w:t>
            </w:r>
            <w:r w:rsidR="005717F3" w:rsidRPr="00D613DA">
              <w:rPr>
                <w:webHidden/>
              </w:rPr>
              <w:fldChar w:fldCharType="end"/>
            </w:r>
          </w:hyperlink>
        </w:p>
        <w:p w14:paraId="22964D10" w14:textId="7E490ADF" w:rsidR="005717F3" w:rsidRPr="00D613DA" w:rsidRDefault="00FF7453" w:rsidP="00D613DA">
          <w:pPr>
            <w:pStyle w:val="22"/>
          </w:pPr>
          <w:hyperlink w:anchor="_Toc110507037" w:history="1">
            <w:r w:rsidR="005717F3" w:rsidRPr="00D613DA">
              <w:rPr>
                <w:rStyle w:val="ad"/>
                <w:b w:val="0"/>
              </w:rPr>
              <w:t>4.1 Информация об итогах контроля качества результатов определения кадастровой стоимости</w:t>
            </w:r>
            <w:r w:rsidR="005717F3" w:rsidRPr="00D613DA">
              <w:rPr>
                <w:webHidden/>
              </w:rPr>
              <w:tab/>
            </w:r>
            <w:r w:rsidR="005717F3" w:rsidRPr="00D613DA">
              <w:rPr>
                <w:webHidden/>
              </w:rPr>
              <w:fldChar w:fldCharType="begin"/>
            </w:r>
            <w:r w:rsidR="005717F3" w:rsidRPr="00D613DA">
              <w:rPr>
                <w:webHidden/>
              </w:rPr>
              <w:instrText xml:space="preserve"> PAGEREF _Toc110507037 \h </w:instrText>
            </w:r>
            <w:r w:rsidR="005717F3" w:rsidRPr="00D613DA">
              <w:rPr>
                <w:webHidden/>
              </w:rPr>
            </w:r>
            <w:r w:rsidR="005717F3" w:rsidRPr="00D613DA">
              <w:rPr>
                <w:webHidden/>
              </w:rPr>
              <w:fldChar w:fldCharType="separate"/>
            </w:r>
            <w:r w:rsidR="00D54691">
              <w:rPr>
                <w:webHidden/>
              </w:rPr>
              <w:t>479</w:t>
            </w:r>
            <w:r w:rsidR="005717F3" w:rsidRPr="00D613DA">
              <w:rPr>
                <w:webHidden/>
              </w:rPr>
              <w:fldChar w:fldCharType="end"/>
            </w:r>
          </w:hyperlink>
        </w:p>
        <w:p w14:paraId="7B1729D0" w14:textId="6A7A52AF" w:rsidR="005717F3" w:rsidRPr="00D613DA" w:rsidRDefault="00FF7453" w:rsidP="00D613DA">
          <w:pPr>
            <w:pStyle w:val="22"/>
          </w:pPr>
          <w:hyperlink w:anchor="_Toc110507038" w:history="1">
            <w:r w:rsidR="005717F3" w:rsidRPr="00D613DA">
              <w:rPr>
                <w:rStyle w:val="ad"/>
                <w:b w:val="0"/>
              </w:rPr>
              <w:t>4.1.1 Контроль качества проверки информации, содержащейся в перечне объектов недвижимости, подлежащих государственной кадастровой оценке</w:t>
            </w:r>
            <w:r w:rsidR="005717F3" w:rsidRPr="00D613DA">
              <w:rPr>
                <w:webHidden/>
              </w:rPr>
              <w:tab/>
            </w:r>
            <w:r w:rsidR="005717F3" w:rsidRPr="00D613DA">
              <w:rPr>
                <w:webHidden/>
              </w:rPr>
              <w:fldChar w:fldCharType="begin"/>
            </w:r>
            <w:r w:rsidR="005717F3" w:rsidRPr="00D613DA">
              <w:rPr>
                <w:webHidden/>
              </w:rPr>
              <w:instrText xml:space="preserve"> PAGEREF _Toc110507038 \h </w:instrText>
            </w:r>
            <w:r w:rsidR="005717F3" w:rsidRPr="00D613DA">
              <w:rPr>
                <w:webHidden/>
              </w:rPr>
            </w:r>
            <w:r w:rsidR="005717F3" w:rsidRPr="00D613DA">
              <w:rPr>
                <w:webHidden/>
              </w:rPr>
              <w:fldChar w:fldCharType="separate"/>
            </w:r>
            <w:r w:rsidR="00D54691">
              <w:rPr>
                <w:webHidden/>
              </w:rPr>
              <w:t>479</w:t>
            </w:r>
            <w:r w:rsidR="005717F3" w:rsidRPr="00D613DA">
              <w:rPr>
                <w:webHidden/>
              </w:rPr>
              <w:fldChar w:fldCharType="end"/>
            </w:r>
          </w:hyperlink>
        </w:p>
        <w:p w14:paraId="42AC09F2" w14:textId="615ADC21" w:rsidR="005717F3" w:rsidRPr="00D613DA" w:rsidRDefault="00FF7453" w:rsidP="00D613DA">
          <w:pPr>
            <w:pStyle w:val="22"/>
          </w:pPr>
          <w:hyperlink w:anchor="_Toc110507039" w:history="1">
            <w:r w:rsidR="005717F3" w:rsidRPr="00D613DA">
              <w:rPr>
                <w:rStyle w:val="ad"/>
                <w:b w:val="0"/>
              </w:rPr>
              <w:t>4.1.2. Контроль качества анализа рынка, сбора и верификации данных о сделках и предложениях</w:t>
            </w:r>
            <w:r w:rsidR="005717F3" w:rsidRPr="00D613DA">
              <w:rPr>
                <w:webHidden/>
              </w:rPr>
              <w:tab/>
            </w:r>
            <w:r w:rsidR="005717F3" w:rsidRPr="00D613DA">
              <w:rPr>
                <w:webHidden/>
              </w:rPr>
              <w:fldChar w:fldCharType="begin"/>
            </w:r>
            <w:r w:rsidR="005717F3" w:rsidRPr="00D613DA">
              <w:rPr>
                <w:webHidden/>
              </w:rPr>
              <w:instrText xml:space="preserve"> PAGEREF _Toc110507039 \h </w:instrText>
            </w:r>
            <w:r w:rsidR="005717F3" w:rsidRPr="00D613DA">
              <w:rPr>
                <w:webHidden/>
              </w:rPr>
            </w:r>
            <w:r w:rsidR="005717F3" w:rsidRPr="00D613DA">
              <w:rPr>
                <w:webHidden/>
              </w:rPr>
              <w:fldChar w:fldCharType="separate"/>
            </w:r>
            <w:r w:rsidR="00D54691">
              <w:rPr>
                <w:webHidden/>
              </w:rPr>
              <w:t>481</w:t>
            </w:r>
            <w:r w:rsidR="005717F3" w:rsidRPr="00D613DA">
              <w:rPr>
                <w:webHidden/>
              </w:rPr>
              <w:fldChar w:fldCharType="end"/>
            </w:r>
          </w:hyperlink>
        </w:p>
        <w:p w14:paraId="5D066CA4" w14:textId="3D48D488" w:rsidR="005717F3" w:rsidRPr="00D613DA" w:rsidRDefault="00FF7453" w:rsidP="00D613DA">
          <w:pPr>
            <w:pStyle w:val="22"/>
          </w:pPr>
          <w:hyperlink w:anchor="_Toc110507040" w:history="1">
            <w:r w:rsidR="005717F3" w:rsidRPr="00D613DA">
              <w:rPr>
                <w:rStyle w:val="ad"/>
                <w:b w:val="0"/>
              </w:rPr>
              <w:t>4.1.3. Контроль качества статистических моделей</w:t>
            </w:r>
            <w:r w:rsidR="005717F3" w:rsidRPr="00D613DA">
              <w:rPr>
                <w:webHidden/>
              </w:rPr>
              <w:tab/>
            </w:r>
            <w:r w:rsidR="005717F3" w:rsidRPr="00D613DA">
              <w:rPr>
                <w:webHidden/>
              </w:rPr>
              <w:fldChar w:fldCharType="begin"/>
            </w:r>
            <w:r w:rsidR="005717F3" w:rsidRPr="00D613DA">
              <w:rPr>
                <w:webHidden/>
              </w:rPr>
              <w:instrText xml:space="preserve"> PAGEREF _Toc110507040 \h </w:instrText>
            </w:r>
            <w:r w:rsidR="005717F3" w:rsidRPr="00D613DA">
              <w:rPr>
                <w:webHidden/>
              </w:rPr>
            </w:r>
            <w:r w:rsidR="005717F3" w:rsidRPr="00D613DA">
              <w:rPr>
                <w:webHidden/>
              </w:rPr>
              <w:fldChar w:fldCharType="separate"/>
            </w:r>
            <w:r w:rsidR="00D54691">
              <w:rPr>
                <w:webHidden/>
              </w:rPr>
              <w:t>482</w:t>
            </w:r>
            <w:r w:rsidR="005717F3" w:rsidRPr="00D613DA">
              <w:rPr>
                <w:webHidden/>
              </w:rPr>
              <w:fldChar w:fldCharType="end"/>
            </w:r>
          </w:hyperlink>
        </w:p>
        <w:p w14:paraId="5A82C6B6" w14:textId="75A28E47" w:rsidR="005717F3" w:rsidRPr="00D613DA" w:rsidRDefault="00FF7453" w:rsidP="00D613DA">
          <w:pPr>
            <w:pStyle w:val="22"/>
          </w:pPr>
          <w:hyperlink w:anchor="_Toc110507041" w:history="1">
            <w:r w:rsidR="005717F3" w:rsidRPr="00D613DA">
              <w:rPr>
                <w:rStyle w:val="ad"/>
                <w:b w:val="0"/>
              </w:rPr>
              <w:t>4.1.4. Контроль качества результатов определения кадастровой стоимости</w:t>
            </w:r>
            <w:r w:rsidR="005717F3" w:rsidRPr="00D613DA">
              <w:rPr>
                <w:webHidden/>
              </w:rPr>
              <w:tab/>
            </w:r>
            <w:r w:rsidR="005717F3" w:rsidRPr="00D613DA">
              <w:rPr>
                <w:webHidden/>
              </w:rPr>
              <w:fldChar w:fldCharType="begin"/>
            </w:r>
            <w:r w:rsidR="005717F3" w:rsidRPr="00D613DA">
              <w:rPr>
                <w:webHidden/>
              </w:rPr>
              <w:instrText xml:space="preserve"> PAGEREF _Toc110507041 \h </w:instrText>
            </w:r>
            <w:r w:rsidR="005717F3" w:rsidRPr="00D613DA">
              <w:rPr>
                <w:webHidden/>
              </w:rPr>
            </w:r>
            <w:r w:rsidR="005717F3" w:rsidRPr="00D613DA">
              <w:rPr>
                <w:webHidden/>
              </w:rPr>
              <w:fldChar w:fldCharType="separate"/>
            </w:r>
            <w:r w:rsidR="00D54691">
              <w:rPr>
                <w:webHidden/>
              </w:rPr>
              <w:t>485</w:t>
            </w:r>
            <w:r w:rsidR="005717F3" w:rsidRPr="00D613DA">
              <w:rPr>
                <w:webHidden/>
              </w:rPr>
              <w:fldChar w:fldCharType="end"/>
            </w:r>
          </w:hyperlink>
        </w:p>
        <w:p w14:paraId="660E2CF9" w14:textId="44731467" w:rsidR="005717F3" w:rsidRPr="00D613DA" w:rsidRDefault="00FF7453" w:rsidP="00D613DA">
          <w:pPr>
            <w:pStyle w:val="22"/>
            <w:rPr>
              <w:rFonts w:cstheme="minorBidi"/>
            </w:rPr>
          </w:pPr>
          <w:hyperlink w:anchor="_Toc110507042" w:history="1">
            <w:r w:rsidR="005717F3" w:rsidRPr="00D613DA">
              <w:rPr>
                <w:rStyle w:val="ad"/>
                <w:b w:val="0"/>
              </w:rPr>
              <w:t>4.1.5. Анализ соотношений кадастровой стоимости</w:t>
            </w:r>
            <w:r w:rsidR="005717F3" w:rsidRPr="00D613DA">
              <w:rPr>
                <w:webHidden/>
              </w:rPr>
              <w:tab/>
            </w:r>
            <w:r w:rsidR="005717F3" w:rsidRPr="00D613DA">
              <w:rPr>
                <w:webHidden/>
              </w:rPr>
              <w:fldChar w:fldCharType="begin"/>
            </w:r>
            <w:r w:rsidR="005717F3" w:rsidRPr="00D613DA">
              <w:rPr>
                <w:webHidden/>
              </w:rPr>
              <w:instrText xml:space="preserve"> PAGEREF _Toc110507042 \h </w:instrText>
            </w:r>
            <w:r w:rsidR="005717F3" w:rsidRPr="00D613DA">
              <w:rPr>
                <w:webHidden/>
              </w:rPr>
            </w:r>
            <w:r w:rsidR="005717F3" w:rsidRPr="00D613DA">
              <w:rPr>
                <w:webHidden/>
              </w:rPr>
              <w:fldChar w:fldCharType="separate"/>
            </w:r>
            <w:r w:rsidR="00D54691">
              <w:rPr>
                <w:webHidden/>
              </w:rPr>
              <w:t>487</w:t>
            </w:r>
            <w:r w:rsidR="005717F3" w:rsidRPr="00D613DA">
              <w:rPr>
                <w:webHidden/>
              </w:rPr>
              <w:fldChar w:fldCharType="end"/>
            </w:r>
          </w:hyperlink>
        </w:p>
        <w:p w14:paraId="572CE201" w14:textId="7E50C89D" w:rsidR="00464152" w:rsidRPr="009F671A" w:rsidRDefault="00464152" w:rsidP="00D613DA">
          <w:pPr>
            <w:pStyle w:val="22"/>
          </w:pPr>
          <w:r w:rsidRPr="009F671A">
            <w:rPr>
              <w:sz w:val="26"/>
              <w:szCs w:val="26"/>
            </w:rPr>
            <w:fldChar w:fldCharType="end"/>
          </w:r>
        </w:p>
      </w:sdtContent>
    </w:sdt>
    <w:p w14:paraId="73988645" w14:textId="1F86A2C1" w:rsidR="00264F1D" w:rsidRPr="009F671A" w:rsidRDefault="00264F1D" w:rsidP="006F6435">
      <w:pPr>
        <w:spacing w:line="276" w:lineRule="auto"/>
        <w:rPr>
          <w:rFonts w:ascii="Times New Roman" w:hAnsi="Times New Roman" w:cs="Times New Roman"/>
          <w:i/>
        </w:rPr>
      </w:pPr>
      <w:r w:rsidRPr="009F671A">
        <w:rPr>
          <w:rFonts w:ascii="Times New Roman" w:hAnsi="Times New Roman" w:cs="Times New Roman"/>
          <w:i/>
        </w:rPr>
        <w:br w:type="page"/>
      </w:r>
    </w:p>
    <w:p w14:paraId="0B1E9C0F" w14:textId="77777777" w:rsidR="00B01205" w:rsidRPr="00BC39FE" w:rsidRDefault="00B01205" w:rsidP="006F6435">
      <w:pPr>
        <w:spacing w:line="276" w:lineRule="auto"/>
        <w:jc w:val="center"/>
        <w:rPr>
          <w:rFonts w:ascii="Times New Roman" w:hAnsi="Times New Roman" w:cs="Times New Roman"/>
        </w:rPr>
      </w:pPr>
    </w:p>
    <w:p w14:paraId="77CEDC08" w14:textId="77777777" w:rsidR="00252A30" w:rsidRPr="002362B0" w:rsidRDefault="00252A30" w:rsidP="00252A30">
      <w:pPr>
        <w:spacing w:after="0" w:line="276" w:lineRule="auto"/>
        <w:ind w:firstLine="709"/>
        <w:rPr>
          <w:rFonts w:ascii="Times New Roman" w:hAnsi="Times New Roman" w:cs="Times New Roman"/>
          <w:sz w:val="24"/>
          <w:szCs w:val="24"/>
        </w:rPr>
      </w:pPr>
      <w:r w:rsidRPr="002362B0">
        <w:rPr>
          <w:rFonts w:ascii="Times New Roman" w:hAnsi="Times New Roman" w:cs="Times New Roman"/>
          <w:sz w:val="24"/>
          <w:szCs w:val="24"/>
        </w:rPr>
        <w:t>ПРИЛОЖЕНИЯ К ОТЧЕТУ:</w:t>
      </w:r>
    </w:p>
    <w:p w14:paraId="55DC27CD" w14:textId="77777777" w:rsidR="00252A30" w:rsidRPr="002362B0"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hAnsi="Times New Roman" w:cs="Times New Roman"/>
          <w:sz w:val="24"/>
          <w:szCs w:val="24"/>
        </w:rPr>
        <w:t>ПРИЛОЖЕНИЕ №1: Исходные данные</w:t>
      </w:r>
    </w:p>
    <w:p w14:paraId="79EFB7EA" w14:textId="77777777" w:rsidR="00252A30" w:rsidRPr="002362B0"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hAnsi="Times New Roman" w:cs="Times New Roman"/>
          <w:sz w:val="24"/>
          <w:szCs w:val="24"/>
        </w:rPr>
        <w:t>1.1 Копия решения о проведении ГКО</w:t>
      </w:r>
    </w:p>
    <w:p w14:paraId="7C6F810B" w14:textId="77777777" w:rsidR="00252A30" w:rsidRPr="002362B0"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eastAsia="Calibri" w:hAnsi="Times New Roman" w:cs="Times New Roman"/>
          <w:sz w:val="24"/>
          <w:szCs w:val="24"/>
        </w:rPr>
        <w:t xml:space="preserve">1.2 </w:t>
      </w:r>
      <w:r w:rsidRPr="002362B0">
        <w:rPr>
          <w:rFonts w:ascii="Times New Roman" w:hAnsi="Times New Roman" w:cs="Times New Roman"/>
          <w:sz w:val="24"/>
          <w:szCs w:val="24"/>
        </w:rPr>
        <w:t>Результаты сбора и обработки информации, необходимой для определения кадастровой стоимости</w:t>
      </w:r>
    </w:p>
    <w:p w14:paraId="5CB678B5" w14:textId="467D9633" w:rsidR="00252A30" w:rsidRPr="002362B0"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eastAsia="Calibri" w:hAnsi="Times New Roman" w:cs="Times New Roman"/>
          <w:sz w:val="24"/>
          <w:szCs w:val="24"/>
        </w:rPr>
        <w:t xml:space="preserve">1.3 </w:t>
      </w:r>
      <w:r w:rsidR="0064523A">
        <w:rPr>
          <w:rFonts w:ascii="Times New Roman" w:hAnsi="Times New Roman" w:cs="Times New Roman"/>
          <w:sz w:val="24"/>
          <w:szCs w:val="24"/>
        </w:rPr>
        <w:t>Сведения об</w:t>
      </w:r>
      <w:r w:rsidRPr="002362B0">
        <w:rPr>
          <w:rFonts w:ascii="Times New Roman" w:hAnsi="Times New Roman" w:cs="Times New Roman"/>
          <w:sz w:val="24"/>
          <w:szCs w:val="24"/>
        </w:rPr>
        <w:t xml:space="preserve"> объект</w:t>
      </w:r>
      <w:r w:rsidR="0064523A">
        <w:rPr>
          <w:rFonts w:ascii="Times New Roman" w:hAnsi="Times New Roman" w:cs="Times New Roman"/>
          <w:sz w:val="24"/>
          <w:szCs w:val="24"/>
        </w:rPr>
        <w:t>ах</w:t>
      </w:r>
      <w:r w:rsidRPr="002362B0">
        <w:rPr>
          <w:rFonts w:ascii="Times New Roman" w:hAnsi="Times New Roman" w:cs="Times New Roman"/>
          <w:sz w:val="24"/>
          <w:szCs w:val="24"/>
        </w:rPr>
        <w:t xml:space="preserve"> недвижимости</w:t>
      </w:r>
      <w:r w:rsidR="0064523A">
        <w:rPr>
          <w:rFonts w:ascii="Times New Roman" w:hAnsi="Times New Roman" w:cs="Times New Roman"/>
          <w:sz w:val="24"/>
          <w:szCs w:val="24"/>
        </w:rPr>
        <w:t>,</w:t>
      </w:r>
      <w:r w:rsidRPr="002362B0">
        <w:rPr>
          <w:rFonts w:ascii="Times New Roman" w:hAnsi="Times New Roman" w:cs="Times New Roman"/>
          <w:sz w:val="24"/>
          <w:szCs w:val="24"/>
        </w:rPr>
        <w:t xml:space="preserve"> </w:t>
      </w:r>
      <w:r w:rsidR="0064523A">
        <w:rPr>
          <w:rFonts w:ascii="Times New Roman" w:hAnsi="Times New Roman" w:cs="Times New Roman"/>
          <w:sz w:val="24"/>
          <w:szCs w:val="24"/>
        </w:rPr>
        <w:t>содержащихся в Перечне</w:t>
      </w:r>
    </w:p>
    <w:p w14:paraId="5F419F61" w14:textId="77777777" w:rsidR="00252A30" w:rsidRPr="002362B0"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eastAsia="Calibri" w:hAnsi="Times New Roman" w:cs="Times New Roman"/>
          <w:sz w:val="24"/>
          <w:szCs w:val="24"/>
        </w:rPr>
        <w:t xml:space="preserve">1.4 </w:t>
      </w:r>
      <w:r w:rsidRPr="002362B0">
        <w:rPr>
          <w:rFonts w:ascii="Times New Roman" w:hAnsi="Times New Roman" w:cs="Times New Roman"/>
          <w:sz w:val="24"/>
          <w:szCs w:val="24"/>
        </w:rPr>
        <w:t>Информация о характеристиках объектов недвижимости, использованных при определении их кадастровой стоимости</w:t>
      </w:r>
    </w:p>
    <w:p w14:paraId="738C2E18" w14:textId="77777777" w:rsidR="00252A30" w:rsidRPr="002362B0"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hAnsi="Times New Roman" w:cs="Times New Roman"/>
          <w:sz w:val="24"/>
          <w:szCs w:val="24"/>
        </w:rPr>
        <w:t>1.5 Исходные данные, использованные для определения значения ценообразующих факторов, в том числе цифровые тематические карты</w:t>
      </w:r>
    </w:p>
    <w:p w14:paraId="63D13119" w14:textId="624CE274" w:rsidR="00252A30"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hAnsi="Times New Roman" w:cs="Times New Roman"/>
          <w:sz w:val="24"/>
          <w:szCs w:val="24"/>
        </w:rPr>
        <w:t>1.6 Результаты сбора информации о рынке объектов недвижимости</w:t>
      </w:r>
    </w:p>
    <w:p w14:paraId="6B5578F3" w14:textId="3030376F" w:rsidR="00252A30" w:rsidRPr="002362B0" w:rsidRDefault="00252A30" w:rsidP="00715E7D">
      <w:pPr>
        <w:spacing w:after="0" w:line="276" w:lineRule="auto"/>
        <w:ind w:firstLine="709"/>
        <w:jc w:val="both"/>
        <w:rPr>
          <w:rFonts w:ascii="Times New Roman" w:hAnsi="Times New Roman" w:cs="Times New Roman"/>
          <w:sz w:val="24"/>
          <w:szCs w:val="24"/>
        </w:rPr>
      </w:pPr>
      <w:r w:rsidRPr="002362B0">
        <w:rPr>
          <w:rFonts w:ascii="Times New Roman" w:hAnsi="Times New Roman" w:cs="Times New Roman"/>
          <w:sz w:val="24"/>
          <w:szCs w:val="24"/>
        </w:rPr>
        <w:t xml:space="preserve">ПРИЛОЖЕНИЕ №2: </w:t>
      </w:r>
      <w:r w:rsidR="00715E7D">
        <w:rPr>
          <w:rFonts w:ascii="Times New Roman" w:hAnsi="Times New Roman" w:cs="Times New Roman"/>
          <w:sz w:val="24"/>
          <w:szCs w:val="24"/>
        </w:rPr>
        <w:t>О</w:t>
      </w:r>
      <w:r w:rsidRPr="002362B0">
        <w:rPr>
          <w:rFonts w:ascii="Times New Roman" w:hAnsi="Times New Roman" w:cs="Times New Roman"/>
          <w:sz w:val="24"/>
          <w:szCs w:val="24"/>
        </w:rPr>
        <w:t>пределения кадастровой стоимости</w:t>
      </w:r>
      <w:r w:rsidR="00715E7D" w:rsidRPr="00715E7D">
        <w:rPr>
          <w:rFonts w:ascii="Times New Roman" w:hAnsi="Times New Roman" w:cs="Times New Roman"/>
          <w:sz w:val="24"/>
          <w:szCs w:val="24"/>
        </w:rPr>
        <w:t xml:space="preserve"> </w:t>
      </w:r>
      <w:r w:rsidR="00715E7D" w:rsidRPr="002362B0">
        <w:rPr>
          <w:rFonts w:ascii="Times New Roman" w:hAnsi="Times New Roman" w:cs="Times New Roman"/>
          <w:sz w:val="24"/>
          <w:szCs w:val="24"/>
        </w:rPr>
        <w:t>объектов недвижимости</w:t>
      </w:r>
      <w:r w:rsidRPr="002362B0">
        <w:rPr>
          <w:rFonts w:ascii="Times New Roman" w:hAnsi="Times New Roman" w:cs="Times New Roman"/>
          <w:sz w:val="24"/>
          <w:szCs w:val="24"/>
        </w:rPr>
        <w:t>:</w:t>
      </w:r>
    </w:p>
    <w:p w14:paraId="490DFF8F" w14:textId="77777777" w:rsidR="00252A30" w:rsidRPr="002362B0"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hAnsi="Times New Roman" w:cs="Times New Roman"/>
          <w:sz w:val="24"/>
          <w:szCs w:val="24"/>
        </w:rPr>
        <w:t>2.1 Сведения о ценообразующих факторах, использованных при определении кадастровой стоимости, и о значениях таких факторов (для каждого объекта недвижимости)</w:t>
      </w:r>
    </w:p>
    <w:p w14:paraId="3911DF66" w14:textId="77777777" w:rsidR="00252A30" w:rsidRPr="002362B0"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hAnsi="Times New Roman" w:cs="Times New Roman"/>
          <w:sz w:val="24"/>
          <w:szCs w:val="24"/>
        </w:rPr>
        <w:t>2.2 Результаты оценочного зонирования</w:t>
      </w:r>
    </w:p>
    <w:p w14:paraId="7DB42CB5" w14:textId="77777777" w:rsidR="00252A30" w:rsidRPr="002362B0"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hAnsi="Times New Roman" w:cs="Times New Roman"/>
          <w:sz w:val="24"/>
          <w:szCs w:val="24"/>
        </w:rPr>
        <w:t>2.3 Результаты группировки объектов недвижимости (для каждого объекта недвижимости)</w:t>
      </w:r>
    </w:p>
    <w:p w14:paraId="04242819" w14:textId="77777777" w:rsidR="00252A30" w:rsidRPr="002362B0"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hAnsi="Times New Roman" w:cs="Times New Roman"/>
          <w:sz w:val="24"/>
          <w:szCs w:val="24"/>
        </w:rPr>
        <w:t>2.4 Обоснование использованных при определении кадастровой стоимости моделей с описанием их структуры</w:t>
      </w:r>
    </w:p>
    <w:p w14:paraId="7A2302CC" w14:textId="77777777" w:rsidR="00252A30" w:rsidRPr="002362B0"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hAnsi="Times New Roman" w:cs="Times New Roman"/>
          <w:sz w:val="24"/>
          <w:szCs w:val="24"/>
        </w:rPr>
        <w:t>2.5 Сведения о способе определения кадастровой стоимости с указанием моделей, подходов, методов, использованных при определении кадастровой стоимости</w:t>
      </w:r>
    </w:p>
    <w:p w14:paraId="2C2F4366" w14:textId="77777777" w:rsidR="00252A30" w:rsidRPr="002362B0"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hAnsi="Times New Roman" w:cs="Times New Roman"/>
          <w:sz w:val="24"/>
          <w:szCs w:val="24"/>
        </w:rPr>
        <w:t>2.6 Сведения о результатах определения кадастровой стоимости объектов недвижимости, кадастровая стоимость которых определена индивидуально</w:t>
      </w:r>
    </w:p>
    <w:p w14:paraId="3FF67213" w14:textId="76F743CF" w:rsidR="00AA3702"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hAnsi="Times New Roman" w:cs="Times New Roman"/>
          <w:sz w:val="24"/>
          <w:szCs w:val="24"/>
        </w:rPr>
        <w:t xml:space="preserve">ПРИЛОЖЕНИЕ №3: </w:t>
      </w:r>
      <w:r w:rsidR="00AA3702">
        <w:rPr>
          <w:rFonts w:ascii="Times New Roman" w:hAnsi="Times New Roman" w:cs="Times New Roman"/>
          <w:sz w:val="24"/>
          <w:szCs w:val="24"/>
        </w:rPr>
        <w:t>К</w:t>
      </w:r>
      <w:r w:rsidR="00AA3702" w:rsidRPr="00AA3702">
        <w:rPr>
          <w:rFonts w:ascii="Times New Roman" w:hAnsi="Times New Roman" w:cs="Times New Roman"/>
          <w:sz w:val="24"/>
          <w:szCs w:val="24"/>
        </w:rPr>
        <w:t>адастровая стоимость объектов недвижимости</w:t>
      </w:r>
      <w:r w:rsidR="00AA3702">
        <w:rPr>
          <w:rFonts w:ascii="Times New Roman" w:hAnsi="Times New Roman" w:cs="Times New Roman"/>
          <w:sz w:val="24"/>
          <w:szCs w:val="24"/>
        </w:rPr>
        <w:t>:</w:t>
      </w:r>
      <w:r w:rsidR="00AA3702" w:rsidRPr="002362B0">
        <w:rPr>
          <w:rFonts w:ascii="Times New Roman" w:hAnsi="Times New Roman" w:cs="Times New Roman"/>
          <w:sz w:val="24"/>
          <w:szCs w:val="24"/>
        </w:rPr>
        <w:t xml:space="preserve"> </w:t>
      </w:r>
    </w:p>
    <w:p w14:paraId="2F434EB3" w14:textId="27A6AAE2" w:rsidR="00252A30" w:rsidRPr="002362B0"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hAnsi="Times New Roman" w:cs="Times New Roman"/>
          <w:sz w:val="24"/>
          <w:szCs w:val="24"/>
        </w:rPr>
        <w:t>3.1 Результаты ГКО ОН – кадастровой стоимости объектов оценки</w:t>
      </w:r>
    </w:p>
    <w:p w14:paraId="442EF109" w14:textId="77777777" w:rsidR="00252A30" w:rsidRPr="002362B0"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hAnsi="Times New Roman" w:cs="Times New Roman"/>
          <w:sz w:val="24"/>
          <w:szCs w:val="24"/>
        </w:rPr>
        <w:t>3.2 Результаты в разрезе ГО, МО</w:t>
      </w:r>
    </w:p>
    <w:p w14:paraId="57E1AF19" w14:textId="4F6819BB" w:rsidR="00252A30"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hAnsi="Times New Roman" w:cs="Times New Roman"/>
          <w:sz w:val="24"/>
          <w:szCs w:val="24"/>
        </w:rPr>
        <w:t>3.3 Средние (минимальные) значения УПКС</w:t>
      </w:r>
    </w:p>
    <w:p w14:paraId="67AFF405" w14:textId="5BDC7B23" w:rsidR="00370E18" w:rsidRPr="002362B0" w:rsidRDefault="00370E18" w:rsidP="00252A30">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3.4 Проверка результатов определения кадастровой стоимости</w:t>
      </w:r>
    </w:p>
    <w:p w14:paraId="08074134" w14:textId="753DBB02" w:rsidR="00252A30" w:rsidRPr="00C22701" w:rsidRDefault="00252A30" w:rsidP="00252A30">
      <w:pPr>
        <w:spacing w:after="0" w:line="276" w:lineRule="auto"/>
        <w:ind w:firstLine="709"/>
        <w:jc w:val="both"/>
        <w:rPr>
          <w:rFonts w:ascii="Times New Roman" w:hAnsi="Times New Roman" w:cs="Times New Roman"/>
          <w:sz w:val="24"/>
          <w:szCs w:val="24"/>
        </w:rPr>
      </w:pPr>
      <w:r w:rsidRPr="002362B0">
        <w:rPr>
          <w:rFonts w:ascii="Times New Roman" w:hAnsi="Times New Roman" w:cs="Times New Roman"/>
          <w:sz w:val="24"/>
          <w:szCs w:val="24"/>
        </w:rPr>
        <w:t xml:space="preserve">ПРИЛОЖЕНИЕ №4: </w:t>
      </w:r>
      <w:r w:rsidR="00AA3702">
        <w:rPr>
          <w:rFonts w:ascii="Times New Roman" w:hAnsi="Times New Roman" w:cs="Times New Roman"/>
          <w:sz w:val="24"/>
          <w:szCs w:val="24"/>
        </w:rPr>
        <w:t>С</w:t>
      </w:r>
      <w:r w:rsidR="00AA3702" w:rsidRPr="00AA3702">
        <w:rPr>
          <w:rFonts w:ascii="Times New Roman" w:hAnsi="Times New Roman" w:cs="Times New Roman"/>
          <w:sz w:val="24"/>
          <w:szCs w:val="24"/>
        </w:rPr>
        <w:t>истематизированные сведения</w:t>
      </w:r>
    </w:p>
    <w:p w14:paraId="195D29AE" w14:textId="77777777" w:rsidR="00252A30" w:rsidRDefault="00252A30" w:rsidP="00252A30">
      <w:pPr>
        <w:spacing w:after="0" w:line="276" w:lineRule="auto"/>
        <w:ind w:firstLine="709"/>
        <w:jc w:val="both"/>
        <w:rPr>
          <w:rFonts w:ascii="Times New Roman" w:hAnsi="Times New Roman" w:cs="Times New Roman"/>
          <w:sz w:val="24"/>
          <w:szCs w:val="24"/>
        </w:rPr>
      </w:pPr>
      <w:r w:rsidRPr="00BD39FC">
        <w:rPr>
          <w:rFonts w:ascii="Times New Roman" w:hAnsi="Times New Roman" w:cs="Times New Roman"/>
          <w:sz w:val="24"/>
          <w:szCs w:val="24"/>
        </w:rPr>
        <w:t>ПРИЛОЖЕНИЕ №</w:t>
      </w:r>
      <w:r>
        <w:rPr>
          <w:rFonts w:ascii="Times New Roman" w:hAnsi="Times New Roman" w:cs="Times New Roman"/>
          <w:sz w:val="24"/>
          <w:szCs w:val="24"/>
        </w:rPr>
        <w:t>5</w:t>
      </w:r>
      <w:r w:rsidRPr="00BD39FC">
        <w:rPr>
          <w:rFonts w:ascii="Times New Roman" w:hAnsi="Times New Roman" w:cs="Times New Roman"/>
          <w:sz w:val="24"/>
          <w:szCs w:val="24"/>
        </w:rPr>
        <w:t xml:space="preserve">: </w:t>
      </w:r>
      <w:r w:rsidRPr="00E71951">
        <w:rPr>
          <w:rFonts w:ascii="Times New Roman" w:hAnsi="Times New Roman" w:cs="Times New Roman"/>
          <w:sz w:val="24"/>
          <w:szCs w:val="24"/>
        </w:rPr>
        <w:t>Сведения и материалы, содержащие информацию, доступ к которой ограничен</w:t>
      </w:r>
    </w:p>
    <w:p w14:paraId="73E918FA" w14:textId="3055AC0A" w:rsidR="00264F1D" w:rsidRPr="00F562A8" w:rsidRDefault="00264F1D" w:rsidP="006F6435">
      <w:pPr>
        <w:spacing w:line="276" w:lineRule="auto"/>
        <w:rPr>
          <w:rFonts w:ascii="Times New Roman" w:hAnsi="Times New Roman" w:cs="Times New Roman"/>
          <w:sz w:val="24"/>
          <w:szCs w:val="24"/>
        </w:rPr>
      </w:pPr>
      <w:r w:rsidRPr="00F562A8">
        <w:rPr>
          <w:rFonts w:ascii="Times New Roman" w:hAnsi="Times New Roman" w:cs="Times New Roman"/>
          <w:sz w:val="24"/>
          <w:szCs w:val="24"/>
        </w:rPr>
        <w:br w:type="page"/>
      </w:r>
    </w:p>
    <w:p w14:paraId="64187EDD" w14:textId="75CF7750" w:rsidR="00953302" w:rsidRPr="00F562A8" w:rsidRDefault="00953302" w:rsidP="006F6435">
      <w:pPr>
        <w:pStyle w:val="10"/>
        <w:numPr>
          <w:ilvl w:val="0"/>
          <w:numId w:val="1"/>
        </w:numPr>
        <w:spacing w:line="276" w:lineRule="auto"/>
        <w:rPr>
          <w:rFonts w:cs="Times New Roman"/>
          <w:szCs w:val="24"/>
        </w:rPr>
      </w:pPr>
      <w:bookmarkStart w:id="1" w:name="_Toc12440209"/>
      <w:bookmarkStart w:id="2" w:name="_Toc20659530"/>
      <w:bookmarkStart w:id="3" w:name="_Toc110506918"/>
      <w:r w:rsidRPr="00F562A8">
        <w:rPr>
          <w:rFonts w:cs="Times New Roman"/>
          <w:szCs w:val="24"/>
        </w:rPr>
        <w:t xml:space="preserve">ОСНОВНЫЕ ТЕРМИНЫ, ИСПОЛЬЗУЕМЫЕ В </w:t>
      </w:r>
      <w:r w:rsidR="00233B12">
        <w:rPr>
          <w:rFonts w:cs="Times New Roman"/>
          <w:szCs w:val="24"/>
        </w:rPr>
        <w:t xml:space="preserve">ПРОЕКТЕ </w:t>
      </w:r>
      <w:r w:rsidRPr="00F562A8">
        <w:rPr>
          <w:rFonts w:cs="Times New Roman"/>
          <w:szCs w:val="24"/>
        </w:rPr>
        <w:t>ОТЧЕТ</w:t>
      </w:r>
      <w:r w:rsidR="00233B12">
        <w:rPr>
          <w:rFonts w:cs="Times New Roman"/>
          <w:szCs w:val="24"/>
        </w:rPr>
        <w:t>А</w:t>
      </w:r>
      <w:r w:rsidRPr="00F562A8">
        <w:rPr>
          <w:rFonts w:cs="Times New Roman"/>
          <w:szCs w:val="24"/>
        </w:rPr>
        <w:t>, И ИХ ОПРЕДЕЛЕНИЯ</w:t>
      </w:r>
      <w:bookmarkEnd w:id="1"/>
      <w:bookmarkEnd w:id="2"/>
      <w:bookmarkEnd w:id="3"/>
    </w:p>
    <w:p w14:paraId="1AC7DCC6" w14:textId="3650BCBE"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ходе государственной кадастровой оценки </w:t>
      </w:r>
      <w:bookmarkStart w:id="4" w:name="_Hlk106199374"/>
      <w:r w:rsidR="00BD3F3D">
        <w:rPr>
          <w:rFonts w:ascii="Times New Roman" w:hAnsi="Times New Roman" w:cs="Times New Roman"/>
          <w:sz w:val="26"/>
          <w:szCs w:val="26"/>
        </w:rPr>
        <w:t xml:space="preserve">одновременно в отношении всех учтенных в Едином государственном </w:t>
      </w:r>
      <w:r w:rsidR="00BD3F3D" w:rsidRPr="00BD3F3D">
        <w:rPr>
          <w:rFonts w:ascii="Times New Roman" w:hAnsi="Times New Roman" w:cs="Times New Roman"/>
          <w:sz w:val="26"/>
          <w:szCs w:val="26"/>
        </w:rPr>
        <w:t xml:space="preserve">реестре недвижимости </w:t>
      </w:r>
      <w:r w:rsidRPr="00BD3F3D">
        <w:rPr>
          <w:rFonts w:ascii="Times New Roman" w:hAnsi="Times New Roman" w:cs="Times New Roman"/>
          <w:sz w:val="26"/>
          <w:szCs w:val="26"/>
        </w:rPr>
        <w:t>земельных участков на территории Воронежской области</w:t>
      </w:r>
      <w:bookmarkEnd w:id="4"/>
      <w:r w:rsidRPr="00BD3F3D">
        <w:rPr>
          <w:rFonts w:ascii="Times New Roman" w:hAnsi="Times New Roman" w:cs="Times New Roman"/>
          <w:sz w:val="26"/>
          <w:szCs w:val="26"/>
        </w:rPr>
        <w:t>, были использованы следующие основные термины и определения:</w:t>
      </w:r>
    </w:p>
    <w:p w14:paraId="4337B599"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Вид объекта недвижимости</w:t>
      </w:r>
      <w:r w:rsidRPr="00F562A8">
        <w:rPr>
          <w:rFonts w:ascii="Times New Roman" w:hAnsi="Times New Roman" w:cs="Times New Roman"/>
          <w:sz w:val="26"/>
          <w:szCs w:val="26"/>
        </w:rPr>
        <w:t xml:space="preserve"> – земельный участок, здание, сооружение, помещение, объект незавершённого строительства (объект, не завершённый строительством).</w:t>
      </w:r>
    </w:p>
    <w:p w14:paraId="4B3E7B02"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Вид разрешенного использования земельного участка (ВРИ)</w:t>
      </w:r>
      <w:r w:rsidRPr="00F562A8">
        <w:rPr>
          <w:rFonts w:ascii="Times New Roman" w:hAnsi="Times New Roman" w:cs="Times New Roman"/>
          <w:sz w:val="26"/>
          <w:szCs w:val="26"/>
        </w:rPr>
        <w:t xml:space="preserve"> - его использование с учетом целевого назначения и установленных обременений.</w:t>
      </w:r>
    </w:p>
    <w:p w14:paraId="7C3C4F04" w14:textId="77777777" w:rsidR="00090CCA" w:rsidRDefault="00953302" w:rsidP="00A77435">
      <w:pPr>
        <w:spacing w:after="0" w:line="276" w:lineRule="auto"/>
        <w:ind w:firstLine="709"/>
        <w:jc w:val="both"/>
        <w:rPr>
          <w:rFonts w:ascii="Times New Roman" w:hAnsi="Times New Roman" w:cs="Times New Roman"/>
          <w:b/>
          <w:i/>
          <w:sz w:val="26"/>
          <w:szCs w:val="26"/>
        </w:rPr>
      </w:pPr>
      <w:r w:rsidRPr="00F562A8">
        <w:rPr>
          <w:rFonts w:ascii="Times New Roman" w:hAnsi="Times New Roman" w:cs="Times New Roman"/>
          <w:b/>
          <w:i/>
          <w:sz w:val="26"/>
          <w:szCs w:val="26"/>
        </w:rPr>
        <w:t>Государственное бюджетное учреждение, Исполнитель, Учреждение,</w:t>
      </w:r>
    </w:p>
    <w:p w14:paraId="3701E00E" w14:textId="00BD60EF" w:rsidR="00953302" w:rsidRPr="00F562A8" w:rsidRDefault="00953302" w:rsidP="00090CCA">
      <w:pPr>
        <w:spacing w:after="0" w:line="276" w:lineRule="auto"/>
        <w:jc w:val="both"/>
        <w:rPr>
          <w:rFonts w:ascii="Times New Roman" w:hAnsi="Times New Roman" w:cs="Times New Roman"/>
          <w:sz w:val="26"/>
          <w:szCs w:val="26"/>
        </w:rPr>
      </w:pPr>
      <w:r w:rsidRPr="00F562A8">
        <w:rPr>
          <w:rFonts w:ascii="Times New Roman" w:hAnsi="Times New Roman" w:cs="Times New Roman"/>
          <w:b/>
          <w:i/>
          <w:sz w:val="26"/>
          <w:szCs w:val="26"/>
        </w:rPr>
        <w:t>ГБУ</w:t>
      </w:r>
      <w:r w:rsidRPr="00F562A8">
        <w:rPr>
          <w:rFonts w:ascii="Times New Roman" w:hAnsi="Times New Roman" w:cs="Times New Roman"/>
          <w:sz w:val="26"/>
          <w:szCs w:val="26"/>
        </w:rPr>
        <w:t xml:space="preserve"> – исполнитель работ по государственной кадастровой оценке. В Воронежской области таким учреждением является государственное бюджетное учреждение Воронежской области «Центр государственной кадастровой оценки Воронежской области», сокращенное наименование – ГБУ ВО «ЦГКО ВО».</w:t>
      </w:r>
    </w:p>
    <w:p w14:paraId="5DFD5B3E"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Государственная кадастровая оценка (ГКО)</w:t>
      </w:r>
      <w:r w:rsidRPr="00F562A8">
        <w:rPr>
          <w:rFonts w:ascii="Times New Roman" w:hAnsi="Times New Roman" w:cs="Times New Roman"/>
          <w:sz w:val="26"/>
          <w:szCs w:val="26"/>
        </w:rPr>
        <w:t xml:space="preserve"> - совокупность установленных ч. 3 ст. 6 Федерального закона от 03.07.2016 № 237-ФЗ «О государственной кадастровой оценке» процедур, направленных на определение кадастровой стоимости и осуществляемых в порядке, установленном Федеральным Законом от 03.07.2016 № 237-ФЗ «О государственной кадастровой оценке» (п. 1 ст. 3 Федерального Закона от 03.07.2016 № 237 «О государственной кадастровой оценке»).</w:t>
      </w:r>
    </w:p>
    <w:p w14:paraId="345FBF38" w14:textId="72F5D882" w:rsidR="00953302" w:rsidRPr="00DB6656"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Группировка объектов оценки</w:t>
      </w:r>
      <w:r w:rsidRPr="00F562A8">
        <w:rPr>
          <w:rFonts w:ascii="Times New Roman" w:hAnsi="Times New Roman" w:cs="Times New Roman"/>
          <w:sz w:val="26"/>
          <w:szCs w:val="26"/>
        </w:rPr>
        <w:t xml:space="preserve"> – процесс объединения объектов оценки в группы и подгруппы (при необходимости) на основании анализа информации о рынке объектов оценки, обоснования модели оценки кадастровой стоимости, состава ценообразующих факторов и сведений о значениях ценообразующих факторов объектов оценки для каждого исследуемого вида объектов оценки для </w:t>
      </w:r>
      <w:r w:rsidRPr="00EF17B4">
        <w:rPr>
          <w:rFonts w:ascii="Times New Roman" w:hAnsi="Times New Roman" w:cs="Times New Roman"/>
          <w:sz w:val="26"/>
          <w:szCs w:val="26"/>
        </w:rPr>
        <w:t xml:space="preserve">целей государственной кадастровой оценки в соответствии с главой IX </w:t>
      </w:r>
      <w:r w:rsidR="00EF17B4" w:rsidRPr="00EF17B4">
        <w:rPr>
          <w:rFonts w:ascii="Times New Roman" w:hAnsi="Times New Roman" w:cs="Times New Roman"/>
          <w:sz w:val="26"/>
          <w:szCs w:val="26"/>
        </w:rPr>
        <w:t xml:space="preserve">«Группировка бюджетным учреждением объектов недвижимости» Методических указаний о государственной кадастровой оценке, утвержденных Приказом </w:t>
      </w:r>
      <w:r w:rsidR="00EF17B4" w:rsidRPr="00DB6656">
        <w:rPr>
          <w:rFonts w:ascii="Times New Roman" w:hAnsi="Times New Roman" w:cs="Times New Roman"/>
          <w:sz w:val="26"/>
          <w:szCs w:val="26"/>
        </w:rPr>
        <w:t>Росреестра от 04.08.2021 № П/0336.</w:t>
      </w:r>
    </w:p>
    <w:p w14:paraId="4FB58C2C" w14:textId="77777777" w:rsidR="00DB6656" w:rsidRPr="00F562A8" w:rsidRDefault="00DB6656" w:rsidP="00DB6656">
      <w:pPr>
        <w:spacing w:after="0" w:line="276" w:lineRule="auto"/>
        <w:ind w:firstLine="709"/>
        <w:jc w:val="both"/>
        <w:rPr>
          <w:rFonts w:ascii="Times New Roman" w:hAnsi="Times New Roman" w:cs="Times New Roman"/>
          <w:sz w:val="26"/>
          <w:szCs w:val="26"/>
        </w:rPr>
      </w:pPr>
      <w:r w:rsidRPr="00DB6656">
        <w:rPr>
          <w:rFonts w:ascii="Times New Roman" w:hAnsi="Times New Roman" w:cs="Times New Roman"/>
          <w:b/>
          <w:i/>
          <w:sz w:val="26"/>
          <w:szCs w:val="26"/>
        </w:rPr>
        <w:t>Дата, по состоянию на которую определяется кадастровая стоимость объектов недвижимости</w:t>
      </w:r>
      <w:r w:rsidRPr="00DB6656">
        <w:rPr>
          <w:rFonts w:ascii="Times New Roman" w:hAnsi="Times New Roman" w:cs="Times New Roman"/>
          <w:sz w:val="26"/>
          <w:szCs w:val="26"/>
        </w:rPr>
        <w:t xml:space="preserve"> - 1 января 2022 года.</w:t>
      </w:r>
    </w:p>
    <w:p w14:paraId="6A5A4C4B"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Декларация</w:t>
      </w:r>
      <w:r w:rsidRPr="00F562A8">
        <w:rPr>
          <w:rFonts w:ascii="Times New Roman" w:hAnsi="Times New Roman" w:cs="Times New Roman"/>
          <w:i/>
          <w:sz w:val="26"/>
          <w:szCs w:val="26"/>
        </w:rPr>
        <w:t xml:space="preserve"> </w:t>
      </w:r>
      <w:r w:rsidRPr="00F562A8">
        <w:rPr>
          <w:rFonts w:ascii="Times New Roman" w:hAnsi="Times New Roman" w:cs="Times New Roman"/>
          <w:sz w:val="26"/>
          <w:szCs w:val="26"/>
        </w:rPr>
        <w:t>– декларация о характеристиках объекта недвижимости, подаваемая юридическим лицом и физическим лицом в случаях, предусмотренных Федеральным законом от 03.07.2016 № 237-ФЗ «О государственной кадастровой оценке».</w:t>
      </w:r>
    </w:p>
    <w:p w14:paraId="16C19AB3" w14:textId="77777777" w:rsidR="00EF17B4" w:rsidRPr="00F562A8" w:rsidRDefault="00953302" w:rsidP="00EF17B4">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Доходный подход</w:t>
      </w:r>
      <w:r w:rsidRPr="00F562A8">
        <w:rPr>
          <w:rFonts w:ascii="Times New Roman" w:hAnsi="Times New Roman" w:cs="Times New Roman"/>
          <w:sz w:val="26"/>
          <w:szCs w:val="26"/>
        </w:rPr>
        <w:t xml:space="preserve"> – совокупность методов, основанных на </w:t>
      </w:r>
      <w:r w:rsidRPr="00EF17B4">
        <w:rPr>
          <w:rFonts w:ascii="Times New Roman" w:hAnsi="Times New Roman" w:cs="Times New Roman"/>
          <w:sz w:val="26"/>
          <w:szCs w:val="26"/>
        </w:rPr>
        <w:t xml:space="preserve">определении ожидаемых доходов от использования объектов недвижимости </w:t>
      </w:r>
      <w:r w:rsidR="00EF17B4" w:rsidRPr="00EF17B4">
        <w:rPr>
          <w:rFonts w:ascii="Times New Roman" w:hAnsi="Times New Roman" w:cs="Times New Roman"/>
          <w:sz w:val="26"/>
          <w:szCs w:val="26"/>
        </w:rPr>
        <w:t>(п. 44.3. Методических указаний о государственной кадастровой оценке, утвержденных Приказом Росреестра от 04.08.2021 № П/0336).</w:t>
      </w:r>
    </w:p>
    <w:p w14:paraId="19DC5A0C" w14:textId="205E4D8E" w:rsidR="00EF17B4" w:rsidRPr="00EF17B4" w:rsidRDefault="00FA2FFC" w:rsidP="00EF17B4">
      <w:pPr>
        <w:spacing w:after="0" w:line="276" w:lineRule="auto"/>
        <w:ind w:firstLine="709"/>
        <w:rPr>
          <w:rFonts w:ascii="Times New Roman" w:hAnsi="Times New Roman" w:cs="Times New Roman"/>
          <w:sz w:val="26"/>
          <w:szCs w:val="26"/>
        </w:rPr>
      </w:pPr>
      <w:r w:rsidRPr="00F562A8">
        <w:rPr>
          <w:rFonts w:ascii="Times New Roman" w:hAnsi="Times New Roman" w:cs="Times New Roman"/>
          <w:b/>
          <w:i/>
          <w:sz w:val="26"/>
          <w:szCs w:val="26"/>
        </w:rPr>
        <w:t>Закон о кадастровой оценке</w:t>
      </w:r>
      <w:r w:rsidRPr="00F562A8">
        <w:rPr>
          <w:rFonts w:ascii="Times New Roman" w:hAnsi="Times New Roman" w:cs="Times New Roman"/>
          <w:i/>
          <w:sz w:val="26"/>
          <w:szCs w:val="26"/>
        </w:rPr>
        <w:t xml:space="preserve"> - </w:t>
      </w:r>
      <w:r w:rsidR="001B75D3" w:rsidRPr="00F562A8">
        <w:rPr>
          <w:rFonts w:ascii="Times New Roman" w:hAnsi="Times New Roman" w:cs="Times New Roman"/>
          <w:sz w:val="26"/>
          <w:szCs w:val="26"/>
        </w:rPr>
        <w:t xml:space="preserve">Федеральный закон от 03.07.2016 </w:t>
      </w:r>
      <w:r w:rsidR="00EF17B4" w:rsidRPr="00EF17B4">
        <w:rPr>
          <w:rFonts w:ascii="Times New Roman" w:hAnsi="Times New Roman" w:cs="Times New Roman"/>
          <w:sz w:val="26"/>
          <w:szCs w:val="26"/>
        </w:rPr>
        <w:t>№ 237-ФЗ</w:t>
      </w:r>
    </w:p>
    <w:p w14:paraId="35774D7C" w14:textId="77777777" w:rsidR="00EF17B4" w:rsidRPr="00F562A8" w:rsidRDefault="00EF17B4" w:rsidP="00EF17B4">
      <w:pPr>
        <w:spacing w:after="0" w:line="276" w:lineRule="auto"/>
        <w:rPr>
          <w:rFonts w:ascii="Times New Roman" w:hAnsi="Times New Roman" w:cs="Times New Roman"/>
          <w:sz w:val="26"/>
          <w:szCs w:val="26"/>
        </w:rPr>
      </w:pPr>
      <w:r w:rsidRPr="00EF17B4">
        <w:rPr>
          <w:rFonts w:ascii="Times New Roman" w:hAnsi="Times New Roman" w:cs="Times New Roman"/>
          <w:sz w:val="26"/>
          <w:szCs w:val="26"/>
        </w:rPr>
        <w:t>«О государственной кадастровой оценке».</w:t>
      </w:r>
    </w:p>
    <w:p w14:paraId="5E504D71" w14:textId="7628B098" w:rsidR="00953302" w:rsidRPr="00F562A8" w:rsidRDefault="00953302" w:rsidP="00EF17B4">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Затратный подход</w:t>
      </w:r>
      <w:r w:rsidRPr="00F562A8">
        <w:rPr>
          <w:rFonts w:ascii="Times New Roman" w:hAnsi="Times New Roman" w:cs="Times New Roman"/>
          <w:sz w:val="26"/>
          <w:szCs w:val="26"/>
        </w:rPr>
        <w:t xml:space="preserve"> – совокупность методов, основанных на определении затрат</w:t>
      </w:r>
      <w:r w:rsidRPr="00EF17B4">
        <w:rPr>
          <w:rFonts w:ascii="Times New Roman" w:hAnsi="Times New Roman" w:cs="Times New Roman"/>
          <w:sz w:val="26"/>
          <w:szCs w:val="26"/>
        </w:rPr>
        <w:t xml:space="preserve">, необходимых для приобретения, воспроизводства или замещения объектов недвижимости </w:t>
      </w:r>
      <w:r w:rsidR="00EF17B4" w:rsidRPr="00EF17B4">
        <w:rPr>
          <w:rFonts w:ascii="Times New Roman" w:hAnsi="Times New Roman" w:cs="Times New Roman"/>
          <w:sz w:val="26"/>
          <w:szCs w:val="26"/>
        </w:rPr>
        <w:t>(п. 44.2. Методических указаний о государственной кадастровой оценке, утвержденных Приказом Росреестра от 04.08.2021 № П/0336).</w:t>
      </w:r>
    </w:p>
    <w:p w14:paraId="49B7DFC9"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Земельный участок (ЗУ)</w:t>
      </w:r>
      <w:r w:rsidRPr="00F562A8">
        <w:rPr>
          <w:rFonts w:ascii="Times New Roman" w:hAnsi="Times New Roman" w:cs="Times New Roman"/>
          <w:sz w:val="26"/>
          <w:szCs w:val="26"/>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bookmarkStart w:id="5" w:name="_Hlk7172399"/>
      <w:r w:rsidRPr="00F562A8">
        <w:rPr>
          <w:rFonts w:ascii="Times New Roman" w:hAnsi="Times New Roman" w:cs="Times New Roman"/>
          <w:sz w:val="26"/>
          <w:szCs w:val="26"/>
        </w:rPr>
        <w:t>(Земельный Кодекс Российской Федерации от 25.10.2001 №136-ФЗ).</w:t>
      </w:r>
      <w:bookmarkEnd w:id="5"/>
    </w:p>
    <w:p w14:paraId="5AFF2FB0" w14:textId="5583DCD4" w:rsidR="00EF17B4" w:rsidRPr="00F562A8" w:rsidRDefault="00953302" w:rsidP="00EF17B4">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Индивидуальная оценка</w:t>
      </w:r>
      <w:r w:rsidRPr="00F562A8">
        <w:rPr>
          <w:rFonts w:ascii="Times New Roman" w:hAnsi="Times New Roman" w:cs="Times New Roman"/>
          <w:sz w:val="26"/>
          <w:szCs w:val="26"/>
        </w:rPr>
        <w:t xml:space="preserve"> – процесс определения кадастровой стоимости индивидуально в отношении объекта недвижимости на основе подходов к оценке (сравнительный, и (или) затратный, и </w:t>
      </w:r>
      <w:r w:rsidRPr="00EF17B4">
        <w:rPr>
          <w:rFonts w:ascii="Times New Roman" w:hAnsi="Times New Roman" w:cs="Times New Roman"/>
          <w:sz w:val="26"/>
          <w:szCs w:val="26"/>
        </w:rPr>
        <w:t xml:space="preserve">(или) доходный подходы к </w:t>
      </w:r>
      <w:r w:rsidRPr="00DB6656">
        <w:rPr>
          <w:rFonts w:ascii="Times New Roman" w:hAnsi="Times New Roman" w:cs="Times New Roman"/>
          <w:sz w:val="26"/>
          <w:szCs w:val="26"/>
        </w:rPr>
        <w:t xml:space="preserve">оценке) </w:t>
      </w:r>
      <w:r w:rsidR="00EF17B4" w:rsidRPr="00DB6656">
        <w:rPr>
          <w:rFonts w:ascii="Times New Roman" w:hAnsi="Times New Roman" w:cs="Times New Roman"/>
          <w:sz w:val="26"/>
          <w:szCs w:val="26"/>
        </w:rPr>
        <w:t>(п.3.</w:t>
      </w:r>
      <w:r w:rsidR="00DB6656" w:rsidRPr="00DB6656">
        <w:rPr>
          <w:rFonts w:ascii="Times New Roman" w:hAnsi="Times New Roman" w:cs="Times New Roman"/>
          <w:sz w:val="26"/>
          <w:szCs w:val="26"/>
        </w:rPr>
        <w:t>, п.49</w:t>
      </w:r>
      <w:r w:rsidR="00DB6656" w:rsidRPr="00EF17B4">
        <w:rPr>
          <w:rFonts w:ascii="Times New Roman" w:hAnsi="Times New Roman" w:cs="Times New Roman"/>
          <w:sz w:val="26"/>
          <w:szCs w:val="26"/>
        </w:rPr>
        <w:t xml:space="preserve"> </w:t>
      </w:r>
      <w:r w:rsidR="00EF17B4" w:rsidRPr="00EF17B4">
        <w:rPr>
          <w:rFonts w:ascii="Times New Roman" w:hAnsi="Times New Roman" w:cs="Times New Roman"/>
          <w:sz w:val="26"/>
          <w:szCs w:val="26"/>
        </w:rPr>
        <w:t>Методических указаний о государственной кадастровой оценке, утвержденных Приказом Росреестра от 04.08.2021 № П/0336).</w:t>
      </w:r>
    </w:p>
    <w:p w14:paraId="6D1F74E1" w14:textId="55F160B5"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Кадастровая стоимость</w:t>
      </w:r>
      <w:r w:rsidRPr="00F562A8">
        <w:rPr>
          <w:rFonts w:ascii="Times New Roman" w:hAnsi="Times New Roman" w:cs="Times New Roman"/>
          <w:sz w:val="26"/>
          <w:szCs w:val="26"/>
        </w:rPr>
        <w:t xml:space="preserve"> – </w:t>
      </w:r>
      <w:r w:rsidR="00DB6656" w:rsidRPr="00DB6656">
        <w:rPr>
          <w:rFonts w:ascii="Times New Roman" w:hAnsi="Times New Roman" w:cs="Times New Roman"/>
          <w:sz w:val="26"/>
          <w:szCs w:val="26"/>
        </w:rPr>
        <w:t>полученный на определенную дату результат оценки объекта недвижимости, определяемый на основе ценообразующих факторов в соответствии с Федеральным законом от 03.07.2016 № 237-ФЗ «О государственной кадастровой оценке» и методическими указаниями о государственной кадастровой оценке  (п. 3 ч.1 ст. 3 Федерального Закона от 03.07.2016 № 237-ФЗ «О государственной кадастровой оценке»). Определение кадастровой стоимости предполагает расчет вероятной суммы типичных для рынка затрат, необходимых для приобретения объекта недвижимости на открытом и конкурентном рынке</w:t>
      </w:r>
      <w:r w:rsidR="00DB6656">
        <w:rPr>
          <w:rFonts w:ascii="Times New Roman" w:hAnsi="Times New Roman" w:cs="Times New Roman"/>
          <w:sz w:val="26"/>
          <w:szCs w:val="26"/>
        </w:rPr>
        <w:t xml:space="preserve"> </w:t>
      </w:r>
      <w:r w:rsidR="00EF17B4" w:rsidRPr="00EF17B4">
        <w:rPr>
          <w:rFonts w:ascii="Times New Roman" w:hAnsi="Times New Roman" w:cs="Times New Roman"/>
          <w:sz w:val="26"/>
          <w:szCs w:val="26"/>
        </w:rPr>
        <w:t>(п. 2 Методических указаний о государственной кадастровой оценке, утвержденных Приказом Росреестра от 04.08.2021 № П/0336).</w:t>
      </w:r>
    </w:p>
    <w:p w14:paraId="6AD3C935"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Кадастровый номер</w:t>
      </w:r>
      <w:r w:rsidRPr="00F562A8">
        <w:rPr>
          <w:rFonts w:ascii="Times New Roman" w:hAnsi="Times New Roman" w:cs="Times New Roman"/>
          <w:b/>
          <w:sz w:val="26"/>
          <w:szCs w:val="26"/>
        </w:rPr>
        <w:t xml:space="preserve"> </w:t>
      </w:r>
      <w:r w:rsidRPr="00F562A8">
        <w:rPr>
          <w:rFonts w:ascii="Times New Roman" w:hAnsi="Times New Roman" w:cs="Times New Roman"/>
          <w:sz w:val="26"/>
          <w:szCs w:val="26"/>
        </w:rPr>
        <w:t>– уникальный, неизменяемый, не повторяющийся во времени и на территории Российской Федерации номер, присваиваемый органом регистрации прав объекту недвижимого имущества, сведения о котором внесены в Единый государственный реестр недвижимости.</w:t>
      </w:r>
    </w:p>
    <w:p w14:paraId="3C9BA160"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Категория земель</w:t>
      </w:r>
      <w:r w:rsidRPr="00F562A8">
        <w:rPr>
          <w:rFonts w:ascii="Times New Roman" w:hAnsi="Times New Roman" w:cs="Times New Roman"/>
          <w:sz w:val="26"/>
          <w:szCs w:val="26"/>
        </w:rPr>
        <w:t xml:space="preserve"> - узаконенная типология земельных участков по целевому назначению и правовому положению для целей хозяйственного использования, налогообложения и территориального развития. В соответствии со ст.7 Земельного кодекса Российской Федерации земли в Российской Федерации по целевому назначению подразделяются на следующие категории:</w:t>
      </w:r>
    </w:p>
    <w:p w14:paraId="398AC661"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земли сельскохозяйственного назначения;</w:t>
      </w:r>
    </w:p>
    <w:p w14:paraId="1BE93D4C"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земли населенных пунктов;</w:t>
      </w:r>
    </w:p>
    <w:p w14:paraId="5DE16014"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2A2FC672"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земли особо охраняемых территорий и объектов;</w:t>
      </w:r>
    </w:p>
    <w:p w14:paraId="05DCBB77"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земли лесного фонда;</w:t>
      </w:r>
    </w:p>
    <w:p w14:paraId="0010729E"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6) земли водного фонда;</w:t>
      </w:r>
    </w:p>
    <w:p w14:paraId="1209B539"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7) земли запаса.</w:t>
      </w:r>
    </w:p>
    <w:p w14:paraId="566287CE"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Массовая оценка недвижимости</w:t>
      </w:r>
      <w:r w:rsidRPr="00F562A8">
        <w:rPr>
          <w:rFonts w:ascii="Times New Roman" w:hAnsi="Times New Roman" w:cs="Times New Roman"/>
          <w:b/>
          <w:sz w:val="26"/>
          <w:szCs w:val="26"/>
        </w:rPr>
        <w:t xml:space="preserve"> </w:t>
      </w:r>
      <w:r w:rsidRPr="00F562A8">
        <w:rPr>
          <w:rFonts w:ascii="Times New Roman" w:hAnsi="Times New Roman" w:cs="Times New Roman"/>
          <w:sz w:val="26"/>
          <w:szCs w:val="26"/>
        </w:rPr>
        <w:t>- процесс определения стоимости при группировании объектов оценки, имеющих схожие характеристики, в рамках которого используются математические и иные методы моделирования стоимости на основе подходов к оценке.</w:t>
      </w:r>
    </w:p>
    <w:p w14:paraId="3FB9FCC2" w14:textId="75202F37" w:rsidR="00EF17B4" w:rsidRPr="00F562A8" w:rsidRDefault="00953302" w:rsidP="00EF17B4">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Методические указания</w:t>
      </w:r>
      <w:r w:rsidRPr="00F562A8">
        <w:rPr>
          <w:rFonts w:ascii="Times New Roman" w:hAnsi="Times New Roman" w:cs="Times New Roman"/>
          <w:sz w:val="26"/>
          <w:szCs w:val="26"/>
        </w:rPr>
        <w:t xml:space="preserve"> – </w:t>
      </w:r>
      <w:bookmarkStart w:id="6" w:name="_Hlk106284429"/>
      <w:r w:rsidR="00EF17B4" w:rsidRPr="00EF17B4">
        <w:rPr>
          <w:rFonts w:ascii="Times New Roman" w:hAnsi="Times New Roman" w:cs="Times New Roman"/>
          <w:sz w:val="26"/>
          <w:szCs w:val="26"/>
        </w:rPr>
        <w:t>Методические указания о государственной кадастровой оценке, утвержденные Приказом Росреестра от 04.08.2021 № П/0336.</w:t>
      </w:r>
      <w:r w:rsidR="00EF17B4" w:rsidRPr="00F562A8">
        <w:rPr>
          <w:rFonts w:ascii="Times New Roman" w:hAnsi="Times New Roman" w:cs="Times New Roman"/>
          <w:sz w:val="26"/>
          <w:szCs w:val="26"/>
        </w:rPr>
        <w:t xml:space="preserve"> </w:t>
      </w:r>
    </w:p>
    <w:bookmarkEnd w:id="6"/>
    <w:p w14:paraId="434DFF47" w14:textId="1B3E4A6D"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Методология</w:t>
      </w:r>
      <w:r w:rsidRPr="00F562A8">
        <w:rPr>
          <w:rFonts w:ascii="Times New Roman" w:hAnsi="Times New Roman" w:cs="Times New Roman"/>
          <w:b/>
          <w:sz w:val="26"/>
          <w:szCs w:val="26"/>
        </w:rPr>
        <w:t xml:space="preserve"> </w:t>
      </w:r>
      <w:r w:rsidRPr="00F562A8">
        <w:rPr>
          <w:rFonts w:ascii="Times New Roman" w:hAnsi="Times New Roman" w:cs="Times New Roman"/>
          <w:sz w:val="26"/>
          <w:szCs w:val="26"/>
        </w:rPr>
        <w:t>- совокупность методов, 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w:t>
      </w:r>
    </w:p>
    <w:p w14:paraId="22470DE7"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Модель оценки кадастровой стоимости</w:t>
      </w:r>
      <w:r w:rsidRPr="00F562A8">
        <w:rPr>
          <w:rFonts w:ascii="Times New Roman" w:hAnsi="Times New Roman" w:cs="Times New Roman"/>
          <w:sz w:val="26"/>
          <w:szCs w:val="26"/>
        </w:rPr>
        <w:t xml:space="preserve"> – уравнение, отражающее зависимость кадастровой стоимости объекта недвижимости от факторов стоимости.</w:t>
      </w:r>
    </w:p>
    <w:p w14:paraId="1AED18DC"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Моделирование</w:t>
      </w:r>
      <w:r w:rsidRPr="00F562A8">
        <w:rPr>
          <w:rFonts w:ascii="Times New Roman" w:hAnsi="Times New Roman" w:cs="Times New Roman"/>
          <w:sz w:val="26"/>
          <w:szCs w:val="26"/>
        </w:rPr>
        <w:t xml:space="preserve"> - построение статистических моделей расчета кадастровой стоимости земельных участков.</w:t>
      </w:r>
    </w:p>
    <w:p w14:paraId="14DF5D68"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 xml:space="preserve">Недвижимое имущество (недвижимость) </w:t>
      </w:r>
      <w:r w:rsidRPr="00F562A8">
        <w:rPr>
          <w:rFonts w:ascii="Times New Roman" w:hAnsi="Times New Roman" w:cs="Times New Roman"/>
          <w:sz w:val="26"/>
          <w:szCs w:val="26"/>
        </w:rPr>
        <w:t>-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(ст.130 части 1 ГК РФ от 30.11.1994 N 51-ФЗ).</w:t>
      </w:r>
    </w:p>
    <w:p w14:paraId="580F1C12"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Объекты оценки</w:t>
      </w:r>
      <w:r w:rsidRPr="00F562A8">
        <w:rPr>
          <w:rFonts w:ascii="Times New Roman" w:hAnsi="Times New Roman" w:cs="Times New Roman"/>
          <w:sz w:val="26"/>
          <w:szCs w:val="26"/>
        </w:rPr>
        <w:t xml:space="preserve"> - объекты гражданских прав, в отношении которых законодательством Российской Федерации установлена возможность их участия в гражданском обороте (п. 3 Федерального стандарта оценки №1 «Общие понятия оценки, подходы к оценке и требования к проведению оценки» (ФСО №1)).</w:t>
      </w:r>
    </w:p>
    <w:p w14:paraId="56B4CEB5"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Объект-аналог</w:t>
      </w:r>
      <w:r w:rsidRPr="00F562A8">
        <w:rPr>
          <w:rFonts w:ascii="Times New Roman" w:hAnsi="Times New Roman" w:cs="Times New Roman"/>
          <w:i/>
          <w:sz w:val="26"/>
          <w:szCs w:val="26"/>
        </w:rPr>
        <w:t xml:space="preserve"> </w:t>
      </w:r>
      <w:r w:rsidRPr="00F562A8">
        <w:rPr>
          <w:rFonts w:ascii="Times New Roman" w:hAnsi="Times New Roman" w:cs="Times New Roman"/>
          <w:sz w:val="26"/>
          <w:szCs w:val="26"/>
        </w:rPr>
        <w:t>– объект, сходный объекту оценки по основным экономическим, материальным, техническим и другим характеристикам, определяющим его стоимость (п. 10 Федерального стандарта оценки №1 «Общие понятия оценки, подходы к оценке и требования к проведению оценки» (ФСО №1)).</w:t>
      </w:r>
    </w:p>
    <w:p w14:paraId="2B8EA33C" w14:textId="77777777" w:rsidR="00E03B40" w:rsidRPr="00F562A8" w:rsidRDefault="00953302" w:rsidP="00E03B40">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Определение кадастровой стоимости</w:t>
      </w:r>
      <w:r w:rsidRPr="00F562A8">
        <w:rPr>
          <w:rFonts w:ascii="Times New Roman" w:hAnsi="Times New Roman" w:cs="Times New Roman"/>
          <w:sz w:val="26"/>
          <w:szCs w:val="26"/>
        </w:rPr>
        <w:t xml:space="preserve"> </w:t>
      </w:r>
      <w:r w:rsidRPr="00E03B40">
        <w:rPr>
          <w:rFonts w:ascii="Times New Roman" w:hAnsi="Times New Roman" w:cs="Times New Roman"/>
          <w:sz w:val="26"/>
          <w:szCs w:val="26"/>
        </w:rPr>
        <w:t xml:space="preserve">- </w:t>
      </w:r>
      <w:r w:rsidR="00E03B40" w:rsidRPr="00E03B40">
        <w:rPr>
          <w:rFonts w:ascii="Times New Roman" w:hAnsi="Times New Roman" w:cs="Times New Roman"/>
          <w:sz w:val="26"/>
          <w:szCs w:val="26"/>
        </w:rPr>
        <w:t>расчет вероятной суммы типичных для рынка затрат, необходимых для приобретения объекта недвижимости на открытом и конкурентном рынке.</w:t>
      </w:r>
    </w:p>
    <w:p w14:paraId="1288F9FF" w14:textId="6B014A5C" w:rsidR="00953302" w:rsidRPr="00F562A8" w:rsidRDefault="00233B12" w:rsidP="00A77435">
      <w:pPr>
        <w:autoSpaceDE w:val="0"/>
        <w:autoSpaceDN w:val="0"/>
        <w:adjustRightInd w:val="0"/>
        <w:spacing w:after="0" w:line="276" w:lineRule="auto"/>
        <w:ind w:firstLine="709"/>
        <w:jc w:val="both"/>
        <w:rPr>
          <w:rFonts w:ascii="Times New Roman" w:hAnsi="Times New Roman" w:cs="Times New Roman"/>
          <w:sz w:val="26"/>
          <w:szCs w:val="26"/>
        </w:rPr>
      </w:pPr>
      <w:r>
        <w:rPr>
          <w:rFonts w:ascii="Times New Roman" w:hAnsi="Times New Roman" w:cs="Times New Roman"/>
          <w:b/>
          <w:i/>
          <w:sz w:val="26"/>
          <w:szCs w:val="26"/>
        </w:rPr>
        <w:t>ОТЧЕТ</w:t>
      </w:r>
      <w:r w:rsidR="00953302" w:rsidRPr="00F562A8">
        <w:rPr>
          <w:rFonts w:ascii="Times New Roman" w:hAnsi="Times New Roman" w:cs="Times New Roman"/>
          <w:b/>
          <w:i/>
          <w:sz w:val="26"/>
          <w:szCs w:val="26"/>
        </w:rPr>
        <w:t xml:space="preserve"> об итогах государственной кадастровой оценки (Отчет)</w:t>
      </w:r>
      <w:r w:rsidR="00953302" w:rsidRPr="00F562A8">
        <w:rPr>
          <w:rFonts w:ascii="Times New Roman" w:hAnsi="Times New Roman" w:cs="Times New Roman"/>
          <w:sz w:val="26"/>
          <w:szCs w:val="26"/>
        </w:rPr>
        <w:t xml:space="preserve"> - документ установленной формы, представляемый государственным бюджетным учреждением, составленным по результатам определения кадастровой стоимости.</w:t>
      </w:r>
    </w:p>
    <w:p w14:paraId="2BEB70B9"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Перечень (перечень Объектов оценки)</w:t>
      </w:r>
      <w:r w:rsidRPr="00F562A8">
        <w:rPr>
          <w:rFonts w:ascii="Times New Roman" w:hAnsi="Times New Roman" w:cs="Times New Roman"/>
          <w:sz w:val="26"/>
          <w:szCs w:val="26"/>
        </w:rPr>
        <w:t xml:space="preserve"> – перечень объектов недвижимости, расположенных на территории Воронежской области, сформированный и предоставленный органом регистрации прав для целей определения кадастровой стоимости.</w:t>
      </w:r>
    </w:p>
    <w:p w14:paraId="17CEE8E9" w14:textId="77777777" w:rsidR="00E03B40" w:rsidRPr="00F562A8" w:rsidRDefault="00953302" w:rsidP="00E03B40">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Правила землепользования и застройки</w:t>
      </w:r>
      <w:r w:rsidRPr="00F562A8">
        <w:rPr>
          <w:rFonts w:ascii="Times New Roman" w:hAnsi="Times New Roman" w:cs="Times New Roman"/>
          <w:sz w:val="26"/>
          <w:szCs w:val="26"/>
        </w:rPr>
        <w:t xml:space="preserve"> - </w:t>
      </w:r>
      <w:r w:rsidR="00E03B40" w:rsidRPr="00E03B40">
        <w:rPr>
          <w:rFonts w:ascii="Times New Roman" w:hAnsi="Times New Roman" w:cs="Times New Roman"/>
          <w:sz w:val="26"/>
          <w:szCs w:val="26"/>
        </w:rPr>
        <w:t>документ градостроительного зонирования, который утверждается нормативными правовыми актами органов исполнительной власти субъекта Российской Федерации  или органов местного самоуправления, уполномоченными на утверждение правил землепользования и застройки и в котором устанавливаются территориальные зоны,</w:t>
      </w:r>
      <w:r w:rsidR="00E03B40" w:rsidRPr="00F562A8">
        <w:rPr>
          <w:rFonts w:ascii="Times New Roman" w:hAnsi="Times New Roman" w:cs="Times New Roman"/>
          <w:sz w:val="26"/>
          <w:szCs w:val="26"/>
        </w:rPr>
        <w:t xml:space="preserve"> градостроительные регламенты, порядок применения такого документа и порядок внесения в него изменений.</w:t>
      </w:r>
    </w:p>
    <w:p w14:paraId="5C095ED1" w14:textId="4B22F99D"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Процедура оценки</w:t>
      </w:r>
      <w:r w:rsidRPr="00F562A8">
        <w:rPr>
          <w:rFonts w:ascii="Times New Roman" w:hAnsi="Times New Roman" w:cs="Times New Roman"/>
          <w:sz w:val="26"/>
          <w:szCs w:val="26"/>
        </w:rPr>
        <w:t xml:space="preserve"> - совокупность приемов и методов, обеспечивающих сбор и анализ рыночных и нормативных данных, а также проведение расчетов стоимости недвижимости и оформления результатов оценки.</w:t>
      </w:r>
    </w:p>
    <w:p w14:paraId="6E876B17"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Росреестр (орган регистрации прав)</w:t>
      </w:r>
      <w:r w:rsidRPr="00F562A8">
        <w:rPr>
          <w:rFonts w:ascii="Times New Roman" w:hAnsi="Times New Roman" w:cs="Times New Roman"/>
          <w:sz w:val="26"/>
          <w:szCs w:val="26"/>
        </w:rPr>
        <w:t xml:space="preserve"> – Федеральная служба государственной регистрации, кадастра и картографии.</w:t>
      </w:r>
    </w:p>
    <w:p w14:paraId="5C243229"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Рыночная стоимость (РС)</w:t>
      </w:r>
      <w:r w:rsidRPr="00F562A8">
        <w:rPr>
          <w:rFonts w:ascii="Times New Roman" w:hAnsi="Times New Roman" w:cs="Times New Roman"/>
          <w:sz w:val="26"/>
          <w:szCs w:val="26"/>
        </w:rPr>
        <w:t xml:space="preserve"> -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 одна из сторон сделки не обязана отчуждать объект оценки, а другая сторона не обязана принимать исполнение; стороны сделки хорошо осведомлены о предмете сделки и действуют в своих интересах;  объект оценки представлен на открытом рынке посредством публичной оферты, типичной для аналогичных объектов оценки; 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 платеж за объект оценки выражен в денежной форме.</w:t>
      </w:r>
    </w:p>
    <w:p w14:paraId="73A542CE"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Сегментация объектов недвижимости</w:t>
      </w:r>
      <w:r w:rsidRPr="00F562A8">
        <w:rPr>
          <w:rFonts w:ascii="Times New Roman" w:hAnsi="Times New Roman" w:cs="Times New Roman"/>
          <w:sz w:val="26"/>
          <w:szCs w:val="26"/>
        </w:rPr>
        <w:t xml:space="preserve"> - первичная группировка объектов недвижимости, предусмотренная Методическими указаниями.</w:t>
      </w:r>
    </w:p>
    <w:p w14:paraId="09904696" w14:textId="605ADB0E"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Сравнительный подход</w:t>
      </w:r>
      <w:r w:rsidRPr="00F562A8">
        <w:rPr>
          <w:rFonts w:ascii="Times New Roman" w:hAnsi="Times New Roman" w:cs="Times New Roman"/>
          <w:sz w:val="26"/>
          <w:szCs w:val="26"/>
        </w:rPr>
        <w:t xml:space="preserve"> – совокупность методов, основанных на сравнении цен сделок (предложени</w:t>
      </w:r>
      <w:r w:rsidRPr="00E9395C">
        <w:rPr>
          <w:rFonts w:ascii="Times New Roman" w:hAnsi="Times New Roman" w:cs="Times New Roman"/>
          <w:sz w:val="26"/>
          <w:szCs w:val="26"/>
        </w:rPr>
        <w:t>й) по аналогичным объектам недвижимости</w:t>
      </w:r>
      <w:r w:rsidR="00E9395C" w:rsidRPr="00E9395C">
        <w:rPr>
          <w:rFonts w:ascii="Times New Roman" w:hAnsi="Times New Roman" w:cs="Times New Roman"/>
          <w:sz w:val="26"/>
          <w:szCs w:val="26"/>
        </w:rPr>
        <w:t xml:space="preserve"> (п. 44.1. Методических указаний о государственной кадастровой оценке, утвержденных Приказом Росреестра от 04.08.2021 № П/0336).</w:t>
      </w:r>
    </w:p>
    <w:p w14:paraId="7EF0AD93" w14:textId="6839238D"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Статистическая модель</w:t>
      </w:r>
      <w:r w:rsidRPr="00F562A8">
        <w:rPr>
          <w:rFonts w:ascii="Times New Roman" w:hAnsi="Times New Roman" w:cs="Times New Roman"/>
          <w:sz w:val="26"/>
          <w:szCs w:val="26"/>
        </w:rPr>
        <w:t xml:space="preserve"> – математическая формула, отображающая связь между зависимой переменной (кадастровая стоимость) и значениями независимых </w:t>
      </w:r>
      <w:r w:rsidRPr="00E9395C">
        <w:rPr>
          <w:rFonts w:ascii="Times New Roman" w:hAnsi="Times New Roman" w:cs="Times New Roman"/>
          <w:sz w:val="26"/>
          <w:szCs w:val="26"/>
        </w:rPr>
        <w:t xml:space="preserve">переменных (ценообразующие факторы объектов недвижимости) </w:t>
      </w:r>
      <w:r w:rsidR="00E9395C" w:rsidRPr="00E9395C">
        <w:rPr>
          <w:rFonts w:ascii="Times New Roman" w:hAnsi="Times New Roman" w:cs="Times New Roman"/>
          <w:sz w:val="26"/>
          <w:szCs w:val="26"/>
        </w:rPr>
        <w:t>(п. 45.1. Методических указаний о государственной кадастровой оценке, утвержденных Приказом Росреестра от 04.08.2021 № П/0336).</w:t>
      </w:r>
    </w:p>
    <w:p w14:paraId="5F4F4D58" w14:textId="77777777" w:rsidR="00F84696" w:rsidRPr="00F84696" w:rsidRDefault="00F84696" w:rsidP="00F84696">
      <w:pPr>
        <w:widowControl w:val="0"/>
        <w:shd w:val="clear" w:color="auto" w:fill="FFFFFF"/>
        <w:tabs>
          <w:tab w:val="left" w:pos="1014"/>
        </w:tabs>
        <w:suppressAutoHyphens/>
        <w:ind w:firstLine="567"/>
        <w:contextualSpacing/>
        <w:jc w:val="both"/>
        <w:rPr>
          <w:rFonts w:ascii="Times New Roman" w:hAnsi="Times New Roman" w:cs="Times New Roman"/>
          <w:sz w:val="26"/>
          <w:szCs w:val="26"/>
        </w:rPr>
      </w:pPr>
      <w:r w:rsidRPr="00F84696">
        <w:rPr>
          <w:rFonts w:ascii="Times New Roman" w:hAnsi="Times New Roman" w:cs="Times New Roman"/>
          <w:b/>
          <w:i/>
          <w:sz w:val="26"/>
          <w:szCs w:val="26"/>
        </w:rPr>
        <w:t>Сельскохозяйственные угодья</w:t>
      </w:r>
      <w:r w:rsidRPr="00F84696">
        <w:rPr>
          <w:rFonts w:ascii="Times New Roman" w:hAnsi="Times New Roman" w:cs="Times New Roman"/>
          <w:sz w:val="26"/>
          <w:szCs w:val="26"/>
        </w:rPr>
        <w:t xml:space="preserve"> – земельные угодья, систематически используемые для производства сельскохозяйственной продукции. Сельскохозяйственные угодья включают пашню, залежь, многолетние насаждения, сенокосы и пастбища. </w:t>
      </w:r>
    </w:p>
    <w:p w14:paraId="723FCC5F" w14:textId="694D288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Территориальные зоны</w:t>
      </w:r>
      <w:r w:rsidRPr="00F562A8">
        <w:rPr>
          <w:rFonts w:ascii="Times New Roman" w:hAnsi="Times New Roman" w:cs="Times New Roman"/>
          <w:b/>
          <w:sz w:val="26"/>
          <w:szCs w:val="26"/>
        </w:rPr>
        <w:t xml:space="preserve"> </w:t>
      </w:r>
      <w:r w:rsidRPr="00F562A8">
        <w:rPr>
          <w:rFonts w:ascii="Times New Roman" w:hAnsi="Times New Roman" w:cs="Times New Roman"/>
          <w:sz w:val="26"/>
          <w:szCs w:val="26"/>
        </w:rPr>
        <w:t>- зоны, для которых в правилах землепользования и застройки определены границы и установлены градостроительные регламенты.</w:t>
      </w:r>
    </w:p>
    <w:p w14:paraId="14904EFA"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Территориальное планирование</w:t>
      </w:r>
      <w:r w:rsidRPr="00F562A8">
        <w:rPr>
          <w:rFonts w:ascii="Times New Roman" w:hAnsi="Times New Roman" w:cs="Times New Roman"/>
          <w:sz w:val="26"/>
          <w:szCs w:val="2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7F328709" w14:textId="60F1ED8C"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Типовой объект оценки</w:t>
      </w:r>
      <w:r w:rsidRPr="00F562A8">
        <w:rPr>
          <w:rFonts w:ascii="Times New Roman" w:hAnsi="Times New Roman" w:cs="Times New Roman"/>
          <w:sz w:val="26"/>
          <w:szCs w:val="26"/>
        </w:rPr>
        <w:t xml:space="preserve"> - объект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 </w:t>
      </w:r>
      <w:r w:rsidR="00246A21" w:rsidRPr="00246A21">
        <w:rPr>
          <w:rFonts w:ascii="Times New Roman" w:hAnsi="Times New Roman" w:cs="Times New Roman"/>
          <w:sz w:val="26"/>
          <w:szCs w:val="26"/>
        </w:rPr>
        <w:t>(п. 35 Методических указаний о государственной кадастровой оценке, утвержденных Приказом Росреестра от 04.08.2021 № П/0336).</w:t>
      </w:r>
    </w:p>
    <w:p w14:paraId="507369A4" w14:textId="77777777" w:rsidR="00953302" w:rsidRPr="00F562A8"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Удельный показатель кадастровой стоимости земельного участка (УПКС ЗУ)</w:t>
      </w:r>
      <w:r w:rsidRPr="00F562A8">
        <w:rPr>
          <w:rFonts w:ascii="Times New Roman" w:hAnsi="Times New Roman" w:cs="Times New Roman"/>
          <w:sz w:val="26"/>
          <w:szCs w:val="26"/>
        </w:rPr>
        <w:t xml:space="preserve"> – кадастровая стоимость земельного участка в расчете на единицу его площади (на 1 м</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76A89EB4" w14:textId="55CFB283" w:rsidR="00953302" w:rsidRPr="00417722" w:rsidRDefault="00953302" w:rsidP="00A77435">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Ценовая зона</w:t>
      </w:r>
      <w:r w:rsidRPr="00F562A8">
        <w:rPr>
          <w:rFonts w:ascii="Times New Roman" w:hAnsi="Times New Roman" w:cs="Times New Roman"/>
          <w:sz w:val="26"/>
          <w:szCs w:val="26"/>
        </w:rPr>
        <w:t xml:space="preserve"> - </w:t>
      </w:r>
      <w:r w:rsidRPr="00417722">
        <w:rPr>
          <w:rFonts w:ascii="Times New Roman" w:hAnsi="Times New Roman" w:cs="Times New Roman"/>
          <w:sz w:val="26"/>
          <w:szCs w:val="26"/>
        </w:rPr>
        <w:t xml:space="preserve">часть территории, в границах которой определены близкие по значению удельные показатели </w:t>
      </w:r>
      <w:r w:rsidRPr="00246A21">
        <w:rPr>
          <w:rFonts w:ascii="Times New Roman" w:hAnsi="Times New Roman" w:cs="Times New Roman"/>
          <w:sz w:val="26"/>
          <w:szCs w:val="26"/>
        </w:rPr>
        <w:t xml:space="preserve">средних рыночных цен типовых объектов недвижимости </w:t>
      </w:r>
      <w:r w:rsidR="00246A21" w:rsidRPr="00246A21">
        <w:rPr>
          <w:rFonts w:ascii="Times New Roman" w:hAnsi="Times New Roman" w:cs="Times New Roman"/>
          <w:sz w:val="26"/>
          <w:szCs w:val="26"/>
        </w:rPr>
        <w:t>(п. 36. Методических указаний о государственной кадастровой оценке, утвержденных Приказом Росреестра от 04.08.2021 № П/0336).</w:t>
      </w:r>
    </w:p>
    <w:p w14:paraId="2170D0DF" w14:textId="77777777" w:rsidR="00246A21" w:rsidRPr="00F562A8" w:rsidRDefault="00953302" w:rsidP="00246A21">
      <w:pPr>
        <w:autoSpaceDE w:val="0"/>
        <w:autoSpaceDN w:val="0"/>
        <w:adjustRightInd w:val="0"/>
        <w:spacing w:after="0" w:line="276" w:lineRule="auto"/>
        <w:ind w:firstLine="709"/>
        <w:jc w:val="both"/>
        <w:rPr>
          <w:rFonts w:ascii="Times New Roman" w:hAnsi="Times New Roman" w:cs="Times New Roman"/>
          <w:sz w:val="26"/>
          <w:szCs w:val="26"/>
        </w:rPr>
      </w:pPr>
      <w:r w:rsidRPr="00417722">
        <w:rPr>
          <w:rFonts w:ascii="Times New Roman" w:hAnsi="Times New Roman" w:cs="Times New Roman"/>
          <w:b/>
          <w:i/>
          <w:sz w:val="26"/>
          <w:szCs w:val="26"/>
        </w:rPr>
        <w:t>Ценообразующие факторы (характеристики) объекта недвижимости</w:t>
      </w:r>
      <w:r w:rsidRPr="00417722">
        <w:rPr>
          <w:rFonts w:ascii="Times New Roman" w:hAnsi="Times New Roman" w:cs="Times New Roman"/>
          <w:sz w:val="26"/>
          <w:szCs w:val="26"/>
        </w:rPr>
        <w:t xml:space="preserve"> – информация о физических свойствах, технических и эксплуатационных характеристиках объектов, иная информация, существенная для формирования стоимости объектов недвижимости </w:t>
      </w:r>
      <w:r w:rsidR="00246A21" w:rsidRPr="00246A21">
        <w:rPr>
          <w:rFonts w:ascii="Times New Roman" w:hAnsi="Times New Roman" w:cs="Times New Roman"/>
          <w:sz w:val="26"/>
          <w:szCs w:val="26"/>
        </w:rPr>
        <w:t>(п. 26.3. Методических указаний о государственной кадастровой оценке, утвержденных Приказом Росреестра от 04.08.2021 № П/0336).</w:t>
      </w:r>
    </w:p>
    <w:p w14:paraId="213F0033" w14:textId="02AC276A" w:rsidR="002976D0" w:rsidRPr="00C33324" w:rsidRDefault="002976D0" w:rsidP="00246A21">
      <w:pPr>
        <w:autoSpaceDE w:val="0"/>
        <w:autoSpaceDN w:val="0"/>
        <w:adjustRightInd w:val="0"/>
        <w:spacing w:after="0" w:line="276" w:lineRule="auto"/>
        <w:ind w:firstLine="709"/>
        <w:jc w:val="both"/>
        <w:rPr>
          <w:rFonts w:ascii="Times New Roman" w:eastAsia="Calibri" w:hAnsi="Times New Roman" w:cs="Times New Roman"/>
          <w:b/>
          <w:i/>
          <w:sz w:val="26"/>
          <w:szCs w:val="26"/>
          <w:lang w:eastAsia="ru-RU"/>
        </w:rPr>
      </w:pPr>
      <w:r w:rsidRPr="00417722">
        <w:rPr>
          <w:rFonts w:ascii="Times New Roman" w:eastAsia="Calibri" w:hAnsi="Times New Roman" w:cs="Times New Roman"/>
          <w:b/>
          <w:i/>
          <w:sz w:val="26"/>
          <w:szCs w:val="26"/>
          <w:lang w:eastAsia="ru-RU"/>
        </w:rPr>
        <w:t>По терминологии и в соответствии с ГОСТ 18486-87 «Лесоводство. Термины и определения»:</w:t>
      </w:r>
    </w:p>
    <w:p w14:paraId="08F77827" w14:textId="77777777" w:rsidR="002976D0" w:rsidRPr="00F562A8" w:rsidRDefault="002976D0" w:rsidP="00C1026B">
      <w:pPr>
        <w:pStyle w:val="ab"/>
        <w:numPr>
          <w:ilvl w:val="0"/>
          <w:numId w:val="13"/>
        </w:numPr>
        <w:spacing w:after="0" w:line="276" w:lineRule="auto"/>
        <w:ind w:left="1134"/>
        <w:jc w:val="both"/>
        <w:rPr>
          <w:rFonts w:ascii="Times New Roman" w:eastAsia="Calibri" w:hAnsi="Times New Roman" w:cs="Times New Roman"/>
          <w:sz w:val="26"/>
          <w:szCs w:val="26"/>
          <w:lang w:eastAsia="ru-RU"/>
        </w:rPr>
      </w:pPr>
      <w:r w:rsidRPr="00F562A8">
        <w:rPr>
          <w:rFonts w:ascii="Times New Roman" w:eastAsia="Calibri" w:hAnsi="Times New Roman" w:cs="Times New Roman"/>
          <w:sz w:val="26"/>
          <w:szCs w:val="26"/>
          <w:lang w:eastAsia="ru-RU"/>
        </w:rPr>
        <w:t>древостой – совокупность деревьев, являющихся основным компонентом насаждения;</w:t>
      </w:r>
    </w:p>
    <w:p w14:paraId="18C9188F" w14:textId="77777777" w:rsidR="002976D0" w:rsidRPr="00F562A8" w:rsidRDefault="002976D0" w:rsidP="00C1026B">
      <w:pPr>
        <w:pStyle w:val="ab"/>
        <w:numPr>
          <w:ilvl w:val="0"/>
          <w:numId w:val="13"/>
        </w:numPr>
        <w:spacing w:after="0" w:line="276" w:lineRule="auto"/>
        <w:ind w:left="1134"/>
        <w:jc w:val="both"/>
        <w:rPr>
          <w:rFonts w:ascii="Times New Roman" w:eastAsia="Calibri" w:hAnsi="Times New Roman" w:cs="Times New Roman"/>
          <w:sz w:val="26"/>
          <w:szCs w:val="26"/>
          <w:lang w:eastAsia="ru-RU"/>
        </w:rPr>
      </w:pPr>
      <w:r w:rsidRPr="00F562A8">
        <w:rPr>
          <w:rFonts w:ascii="Times New Roman" w:eastAsia="Calibri" w:hAnsi="Times New Roman" w:cs="Times New Roman"/>
          <w:sz w:val="26"/>
          <w:szCs w:val="26"/>
          <w:lang w:eastAsia="ru-RU"/>
        </w:rPr>
        <w:t>класс возраста древостоя – возрастной интервал, применяемый для характеристики возрастной структуры древостоев в зависимости от породы (классы возраста устанавливаются в 5, 10, 20, 40 лет);</w:t>
      </w:r>
    </w:p>
    <w:p w14:paraId="75BFD5C0" w14:textId="77777777" w:rsidR="002976D0" w:rsidRPr="00F562A8" w:rsidRDefault="002976D0" w:rsidP="00C1026B">
      <w:pPr>
        <w:pStyle w:val="ab"/>
        <w:numPr>
          <w:ilvl w:val="0"/>
          <w:numId w:val="13"/>
        </w:numPr>
        <w:spacing w:after="0" w:line="276" w:lineRule="auto"/>
        <w:ind w:left="1134"/>
        <w:jc w:val="both"/>
        <w:rPr>
          <w:rFonts w:ascii="Times New Roman" w:eastAsia="Calibri" w:hAnsi="Times New Roman" w:cs="Times New Roman"/>
          <w:sz w:val="26"/>
          <w:szCs w:val="26"/>
          <w:lang w:eastAsia="ru-RU"/>
        </w:rPr>
      </w:pPr>
      <w:r w:rsidRPr="00F562A8">
        <w:rPr>
          <w:rFonts w:ascii="Times New Roman" w:eastAsia="Calibri" w:hAnsi="Times New Roman" w:cs="Times New Roman"/>
          <w:sz w:val="26"/>
          <w:szCs w:val="26"/>
          <w:lang w:eastAsia="ru-RU"/>
        </w:rPr>
        <w:t>возраст спелости древостоя – возраст, в котором древостой приобретает количественные и качественные показатели, наиболее соответствующие целям хозяйства;</w:t>
      </w:r>
    </w:p>
    <w:p w14:paraId="5B78229B" w14:textId="77777777" w:rsidR="002976D0" w:rsidRPr="00F562A8" w:rsidRDefault="002976D0" w:rsidP="00C1026B">
      <w:pPr>
        <w:pStyle w:val="ab"/>
        <w:numPr>
          <w:ilvl w:val="0"/>
          <w:numId w:val="13"/>
        </w:numPr>
        <w:spacing w:after="0" w:line="276" w:lineRule="auto"/>
        <w:ind w:left="1134"/>
        <w:jc w:val="both"/>
        <w:rPr>
          <w:rFonts w:ascii="Times New Roman" w:eastAsia="Calibri" w:hAnsi="Times New Roman" w:cs="Times New Roman"/>
          <w:sz w:val="26"/>
          <w:szCs w:val="26"/>
          <w:lang w:eastAsia="ru-RU"/>
        </w:rPr>
      </w:pPr>
      <w:r w:rsidRPr="00F562A8">
        <w:rPr>
          <w:rFonts w:ascii="Times New Roman" w:eastAsia="Calibri" w:hAnsi="Times New Roman" w:cs="Times New Roman"/>
          <w:sz w:val="26"/>
          <w:szCs w:val="26"/>
          <w:lang w:eastAsia="ru-RU"/>
        </w:rPr>
        <w:t>молодой древостой (молодняк) – древостой в возрасте от его смыкания до конца второго класса возраста;</w:t>
      </w:r>
    </w:p>
    <w:p w14:paraId="2AD477E4" w14:textId="77777777" w:rsidR="002976D0" w:rsidRPr="00F562A8" w:rsidRDefault="002976D0" w:rsidP="00C1026B">
      <w:pPr>
        <w:pStyle w:val="ab"/>
        <w:numPr>
          <w:ilvl w:val="0"/>
          <w:numId w:val="13"/>
        </w:numPr>
        <w:spacing w:after="0" w:line="276" w:lineRule="auto"/>
        <w:ind w:left="1134"/>
        <w:jc w:val="both"/>
        <w:rPr>
          <w:rFonts w:ascii="Times New Roman" w:eastAsia="Calibri" w:hAnsi="Times New Roman" w:cs="Times New Roman"/>
          <w:sz w:val="26"/>
          <w:szCs w:val="26"/>
          <w:lang w:eastAsia="ru-RU"/>
        </w:rPr>
      </w:pPr>
      <w:r w:rsidRPr="00F562A8">
        <w:rPr>
          <w:rFonts w:ascii="Times New Roman" w:eastAsia="Calibri" w:hAnsi="Times New Roman" w:cs="Times New Roman"/>
          <w:sz w:val="26"/>
          <w:szCs w:val="26"/>
          <w:lang w:eastAsia="ru-RU"/>
        </w:rPr>
        <w:t>средневозрастный древостой – древостой в возрасте от начала третьего класса возраста до приспевающего возраста;</w:t>
      </w:r>
    </w:p>
    <w:p w14:paraId="340828AA" w14:textId="77777777" w:rsidR="002976D0" w:rsidRPr="00F562A8" w:rsidRDefault="002976D0" w:rsidP="00C1026B">
      <w:pPr>
        <w:pStyle w:val="ab"/>
        <w:numPr>
          <w:ilvl w:val="0"/>
          <w:numId w:val="13"/>
        </w:numPr>
        <w:spacing w:after="0" w:line="276" w:lineRule="auto"/>
        <w:ind w:left="1134"/>
        <w:jc w:val="both"/>
        <w:rPr>
          <w:rFonts w:ascii="Times New Roman" w:eastAsia="Calibri" w:hAnsi="Times New Roman" w:cs="Times New Roman"/>
          <w:sz w:val="26"/>
          <w:szCs w:val="26"/>
          <w:lang w:eastAsia="ru-RU"/>
        </w:rPr>
      </w:pPr>
      <w:r w:rsidRPr="00F562A8">
        <w:rPr>
          <w:rFonts w:ascii="Times New Roman" w:eastAsia="Calibri" w:hAnsi="Times New Roman" w:cs="Times New Roman"/>
          <w:sz w:val="26"/>
          <w:szCs w:val="26"/>
          <w:lang w:eastAsia="ru-RU"/>
        </w:rPr>
        <w:t>приспевающий древостой – древостой, класс возраста которого предшествует возрасту спелости;</w:t>
      </w:r>
    </w:p>
    <w:p w14:paraId="380CDC7F" w14:textId="77777777" w:rsidR="002976D0" w:rsidRPr="00F562A8" w:rsidRDefault="002976D0" w:rsidP="00C1026B">
      <w:pPr>
        <w:pStyle w:val="ab"/>
        <w:numPr>
          <w:ilvl w:val="0"/>
          <w:numId w:val="13"/>
        </w:numPr>
        <w:spacing w:after="0" w:line="276" w:lineRule="auto"/>
        <w:ind w:left="1134"/>
        <w:jc w:val="both"/>
        <w:rPr>
          <w:rFonts w:ascii="Times New Roman" w:eastAsia="Calibri" w:hAnsi="Times New Roman" w:cs="Times New Roman"/>
          <w:sz w:val="26"/>
          <w:szCs w:val="26"/>
          <w:lang w:eastAsia="ru-RU"/>
        </w:rPr>
      </w:pPr>
      <w:r w:rsidRPr="00F562A8">
        <w:rPr>
          <w:rFonts w:ascii="Times New Roman" w:eastAsia="Calibri" w:hAnsi="Times New Roman" w:cs="Times New Roman"/>
          <w:sz w:val="26"/>
          <w:szCs w:val="26"/>
          <w:lang w:eastAsia="ru-RU"/>
        </w:rPr>
        <w:t>спелый древостой – древостой, достигший возраста спелости;</w:t>
      </w:r>
    </w:p>
    <w:p w14:paraId="6073CCB3" w14:textId="77777777" w:rsidR="002976D0" w:rsidRPr="00F562A8" w:rsidRDefault="002976D0" w:rsidP="00C1026B">
      <w:pPr>
        <w:pStyle w:val="ab"/>
        <w:numPr>
          <w:ilvl w:val="0"/>
          <w:numId w:val="13"/>
        </w:numPr>
        <w:spacing w:after="0" w:line="276" w:lineRule="auto"/>
        <w:ind w:left="1134"/>
        <w:jc w:val="both"/>
        <w:rPr>
          <w:rFonts w:ascii="Times New Roman" w:eastAsia="Calibri" w:hAnsi="Times New Roman" w:cs="Times New Roman"/>
          <w:sz w:val="26"/>
          <w:szCs w:val="26"/>
          <w:lang w:eastAsia="ru-RU"/>
        </w:rPr>
      </w:pPr>
      <w:r w:rsidRPr="00F562A8">
        <w:rPr>
          <w:rFonts w:ascii="Times New Roman" w:eastAsia="Calibri" w:hAnsi="Times New Roman" w:cs="Times New Roman"/>
          <w:sz w:val="26"/>
          <w:szCs w:val="26"/>
          <w:lang w:eastAsia="ru-RU"/>
        </w:rPr>
        <w:t>перестойный древостой – древостой в возрасте, превышающем начало периода спелости на два и более класса возраста.</w:t>
      </w:r>
    </w:p>
    <w:p w14:paraId="563A9A51" w14:textId="48A365C9" w:rsidR="002976D0" w:rsidRPr="009E1321" w:rsidRDefault="002976D0" w:rsidP="00C1026B">
      <w:pPr>
        <w:pStyle w:val="ab"/>
        <w:numPr>
          <w:ilvl w:val="0"/>
          <w:numId w:val="14"/>
        </w:numPr>
        <w:spacing w:after="0" w:line="276" w:lineRule="auto"/>
        <w:ind w:left="1134"/>
        <w:jc w:val="both"/>
        <w:rPr>
          <w:rFonts w:ascii="Times New Roman" w:eastAsia="Calibri" w:hAnsi="Times New Roman" w:cs="Times New Roman"/>
          <w:sz w:val="26"/>
          <w:szCs w:val="26"/>
          <w:lang w:eastAsia="ru-RU"/>
        </w:rPr>
      </w:pPr>
      <w:r w:rsidRPr="00F562A8">
        <w:rPr>
          <w:rFonts w:ascii="Times New Roman" w:hAnsi="Times New Roman" w:cs="Times New Roman"/>
          <w:bCs/>
          <w:color w:val="2D2D2D"/>
          <w:spacing w:val="2"/>
          <w:sz w:val="26"/>
          <w:szCs w:val="26"/>
          <w:shd w:val="clear" w:color="auto" w:fill="FFFFFF"/>
        </w:rPr>
        <w:t>возраст рубки – возраст спелых древостоев, устанавливаемый для рубки их в соответствии с целевым назначением лесов.</w:t>
      </w:r>
    </w:p>
    <w:p w14:paraId="0AB8C474" w14:textId="77777777" w:rsidR="00B55AF8" w:rsidRPr="0051252F" w:rsidRDefault="00B55AF8" w:rsidP="00A77435">
      <w:pPr>
        <w:autoSpaceDE w:val="0"/>
        <w:autoSpaceDN w:val="0"/>
        <w:adjustRightInd w:val="0"/>
        <w:spacing w:after="0" w:line="276" w:lineRule="auto"/>
        <w:ind w:firstLine="709"/>
        <w:jc w:val="center"/>
        <w:rPr>
          <w:rFonts w:ascii="Times New Roman" w:hAnsi="Times New Roman" w:cs="Times New Roman"/>
          <w:b/>
          <w:i/>
          <w:sz w:val="16"/>
          <w:szCs w:val="16"/>
        </w:rPr>
      </w:pPr>
    </w:p>
    <w:p w14:paraId="048577D0" w14:textId="19D7E6AA" w:rsidR="00F21315" w:rsidRPr="00F562A8" w:rsidRDefault="00F21315" w:rsidP="00A77435">
      <w:pPr>
        <w:autoSpaceDE w:val="0"/>
        <w:autoSpaceDN w:val="0"/>
        <w:adjustRightInd w:val="0"/>
        <w:spacing w:after="0" w:line="276" w:lineRule="auto"/>
        <w:ind w:firstLine="709"/>
        <w:jc w:val="center"/>
        <w:rPr>
          <w:rFonts w:ascii="Times New Roman" w:hAnsi="Times New Roman" w:cs="Times New Roman"/>
          <w:b/>
          <w:i/>
          <w:sz w:val="26"/>
          <w:szCs w:val="26"/>
        </w:rPr>
      </w:pPr>
      <w:r w:rsidRPr="00F562A8">
        <w:rPr>
          <w:rFonts w:ascii="Times New Roman" w:hAnsi="Times New Roman" w:cs="Times New Roman"/>
          <w:b/>
          <w:i/>
          <w:sz w:val="26"/>
          <w:szCs w:val="26"/>
        </w:rPr>
        <w:t>Сокращения, используемые в отчете</w:t>
      </w:r>
    </w:p>
    <w:p w14:paraId="6E39581A"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ВИЗУ</w:t>
      </w:r>
      <w:r w:rsidRPr="00F562A8">
        <w:rPr>
          <w:rFonts w:ascii="Times New Roman" w:hAnsi="Times New Roman" w:cs="Times New Roman"/>
          <w:b/>
          <w:sz w:val="26"/>
          <w:szCs w:val="26"/>
        </w:rPr>
        <w:t xml:space="preserve"> </w:t>
      </w:r>
      <w:r w:rsidRPr="00F562A8">
        <w:rPr>
          <w:rFonts w:ascii="Times New Roman" w:hAnsi="Times New Roman" w:cs="Times New Roman"/>
          <w:sz w:val="26"/>
          <w:szCs w:val="26"/>
        </w:rPr>
        <w:t>– вариант использования земельного участка.</w:t>
      </w:r>
    </w:p>
    <w:p w14:paraId="28F5D0B0"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ВРИ</w:t>
      </w:r>
      <w:r w:rsidRPr="00F562A8">
        <w:rPr>
          <w:rFonts w:ascii="Times New Roman" w:hAnsi="Times New Roman" w:cs="Times New Roman"/>
          <w:sz w:val="26"/>
          <w:szCs w:val="26"/>
        </w:rPr>
        <w:t xml:space="preserve"> - вид разрешенного использования.</w:t>
      </w:r>
    </w:p>
    <w:p w14:paraId="7953B17F" w14:textId="2221C25A"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ГКО</w:t>
      </w:r>
      <w:r w:rsidRPr="00F562A8">
        <w:rPr>
          <w:rFonts w:ascii="Times New Roman" w:hAnsi="Times New Roman" w:cs="Times New Roman"/>
          <w:i/>
          <w:sz w:val="26"/>
          <w:szCs w:val="26"/>
        </w:rPr>
        <w:t xml:space="preserve"> </w:t>
      </w:r>
      <w:r w:rsidRPr="00F562A8">
        <w:rPr>
          <w:rFonts w:ascii="Times New Roman" w:hAnsi="Times New Roman" w:cs="Times New Roman"/>
          <w:b/>
          <w:sz w:val="26"/>
          <w:szCs w:val="26"/>
        </w:rPr>
        <w:t xml:space="preserve">– </w:t>
      </w:r>
      <w:r w:rsidRPr="00F562A8">
        <w:rPr>
          <w:rFonts w:ascii="Times New Roman" w:hAnsi="Times New Roman" w:cs="Times New Roman"/>
          <w:sz w:val="26"/>
          <w:szCs w:val="26"/>
        </w:rPr>
        <w:t>Государственная кадастровая оценка.</w:t>
      </w:r>
    </w:p>
    <w:p w14:paraId="1ACD52DE"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ГНП</w:t>
      </w:r>
      <w:r w:rsidRPr="00F562A8">
        <w:rPr>
          <w:rFonts w:ascii="Times New Roman" w:hAnsi="Times New Roman" w:cs="Times New Roman"/>
          <w:b/>
          <w:sz w:val="26"/>
          <w:szCs w:val="26"/>
        </w:rPr>
        <w:t xml:space="preserve"> </w:t>
      </w:r>
      <w:r w:rsidRPr="00F562A8">
        <w:rPr>
          <w:rFonts w:ascii="Times New Roman" w:hAnsi="Times New Roman" w:cs="Times New Roman"/>
          <w:sz w:val="26"/>
          <w:szCs w:val="26"/>
        </w:rPr>
        <w:t>- городской населенный пункт.</w:t>
      </w:r>
    </w:p>
    <w:p w14:paraId="51F0E0B2"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ГО</w:t>
      </w:r>
      <w:r w:rsidRPr="00F562A8">
        <w:rPr>
          <w:rFonts w:ascii="Times New Roman" w:hAnsi="Times New Roman" w:cs="Times New Roman"/>
          <w:sz w:val="26"/>
          <w:szCs w:val="26"/>
        </w:rPr>
        <w:t xml:space="preserve"> – городское образование.</w:t>
      </w:r>
    </w:p>
    <w:p w14:paraId="21475B64" w14:textId="04BA2C5A"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Д</w:t>
      </w:r>
      <w:r w:rsidR="00854F77">
        <w:rPr>
          <w:rFonts w:ascii="Times New Roman" w:hAnsi="Times New Roman" w:cs="Times New Roman"/>
          <w:b/>
          <w:i/>
          <w:sz w:val="26"/>
          <w:szCs w:val="26"/>
        </w:rPr>
        <w:t>ИЗО</w:t>
      </w:r>
      <w:r w:rsidRPr="00F562A8">
        <w:rPr>
          <w:rFonts w:ascii="Times New Roman" w:hAnsi="Times New Roman" w:cs="Times New Roman"/>
          <w:b/>
          <w:i/>
          <w:sz w:val="26"/>
          <w:szCs w:val="26"/>
        </w:rPr>
        <w:t xml:space="preserve"> ВО</w:t>
      </w:r>
      <w:r w:rsidRPr="00F562A8">
        <w:rPr>
          <w:rFonts w:ascii="Times New Roman" w:hAnsi="Times New Roman" w:cs="Times New Roman"/>
          <w:sz w:val="26"/>
          <w:szCs w:val="26"/>
        </w:rPr>
        <w:t xml:space="preserve"> – Департамент </w:t>
      </w:r>
      <w:r w:rsidR="00854F77">
        <w:rPr>
          <w:rFonts w:ascii="Times New Roman" w:hAnsi="Times New Roman" w:cs="Times New Roman"/>
          <w:sz w:val="26"/>
          <w:szCs w:val="26"/>
        </w:rPr>
        <w:t>имущественных и земельных отношений</w:t>
      </w:r>
      <w:r w:rsidRPr="00F562A8">
        <w:rPr>
          <w:rFonts w:ascii="Times New Roman" w:hAnsi="Times New Roman" w:cs="Times New Roman"/>
          <w:sz w:val="26"/>
          <w:szCs w:val="26"/>
        </w:rPr>
        <w:t xml:space="preserve"> Воронежской области.</w:t>
      </w:r>
    </w:p>
    <w:p w14:paraId="4989D8F4"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ЕГРН</w:t>
      </w:r>
      <w:r w:rsidRPr="00F562A8">
        <w:rPr>
          <w:rFonts w:ascii="Times New Roman" w:hAnsi="Times New Roman" w:cs="Times New Roman"/>
          <w:sz w:val="26"/>
          <w:szCs w:val="26"/>
        </w:rPr>
        <w:t xml:space="preserve"> - Единый государственный реестр недвижимости. </w:t>
      </w:r>
    </w:p>
    <w:p w14:paraId="4854E95F"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ЕОН</w:t>
      </w:r>
      <w:r w:rsidRPr="00F562A8">
        <w:rPr>
          <w:rFonts w:ascii="Times New Roman" w:hAnsi="Times New Roman" w:cs="Times New Roman"/>
          <w:sz w:val="26"/>
          <w:szCs w:val="26"/>
        </w:rPr>
        <w:t xml:space="preserve"> – единый объект недвижимости.</w:t>
      </w:r>
    </w:p>
    <w:p w14:paraId="7C89CE74"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ИЖС</w:t>
      </w:r>
      <w:r w:rsidRPr="00F562A8">
        <w:rPr>
          <w:rFonts w:ascii="Times New Roman" w:hAnsi="Times New Roman" w:cs="Times New Roman"/>
          <w:i/>
          <w:sz w:val="26"/>
          <w:szCs w:val="26"/>
        </w:rPr>
        <w:t xml:space="preserve"> </w:t>
      </w:r>
      <w:r w:rsidRPr="00F562A8">
        <w:rPr>
          <w:rFonts w:ascii="Times New Roman" w:hAnsi="Times New Roman" w:cs="Times New Roman"/>
          <w:sz w:val="26"/>
          <w:szCs w:val="26"/>
        </w:rPr>
        <w:t>- индивидуальное жилищное строительство.</w:t>
      </w:r>
    </w:p>
    <w:p w14:paraId="4DC23C63"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КЛАДР</w:t>
      </w:r>
      <w:r w:rsidRPr="00F562A8">
        <w:rPr>
          <w:rFonts w:ascii="Times New Roman" w:hAnsi="Times New Roman" w:cs="Times New Roman"/>
          <w:sz w:val="26"/>
          <w:szCs w:val="26"/>
        </w:rPr>
        <w:t xml:space="preserve"> - классификатор адресов России</w:t>
      </w:r>
    </w:p>
    <w:p w14:paraId="2F9392BC"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ЛПХ</w:t>
      </w:r>
      <w:r w:rsidRPr="00F562A8">
        <w:rPr>
          <w:rFonts w:ascii="Times New Roman" w:hAnsi="Times New Roman" w:cs="Times New Roman"/>
          <w:sz w:val="26"/>
          <w:szCs w:val="26"/>
        </w:rPr>
        <w:t xml:space="preserve"> - личное подсобное хозяйство.</w:t>
      </w:r>
    </w:p>
    <w:p w14:paraId="4B70F7EF"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МЖС</w:t>
      </w:r>
      <w:r w:rsidRPr="00F562A8">
        <w:rPr>
          <w:rFonts w:ascii="Times New Roman" w:hAnsi="Times New Roman" w:cs="Times New Roman"/>
          <w:sz w:val="26"/>
          <w:szCs w:val="26"/>
        </w:rPr>
        <w:t xml:space="preserve"> – многоквартирное жилищное строительство.</w:t>
      </w:r>
    </w:p>
    <w:p w14:paraId="47E46A29"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МО</w:t>
      </w:r>
      <w:r w:rsidRPr="00F562A8">
        <w:rPr>
          <w:rFonts w:ascii="Times New Roman" w:hAnsi="Times New Roman" w:cs="Times New Roman"/>
          <w:sz w:val="26"/>
          <w:szCs w:val="26"/>
        </w:rPr>
        <w:t xml:space="preserve"> - муниципальное образование.</w:t>
      </w:r>
    </w:p>
    <w:p w14:paraId="20C974AC"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МКД</w:t>
      </w:r>
      <w:r w:rsidRPr="00F562A8">
        <w:rPr>
          <w:rFonts w:ascii="Times New Roman" w:hAnsi="Times New Roman" w:cs="Times New Roman"/>
          <w:sz w:val="26"/>
          <w:szCs w:val="26"/>
        </w:rPr>
        <w:t xml:space="preserve"> – многоквартирный жилой дом.</w:t>
      </w:r>
    </w:p>
    <w:p w14:paraId="6B8DB2CA"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НДС</w:t>
      </w:r>
      <w:r w:rsidRPr="00F562A8">
        <w:rPr>
          <w:rFonts w:ascii="Times New Roman" w:hAnsi="Times New Roman" w:cs="Times New Roman"/>
          <w:i/>
          <w:sz w:val="26"/>
          <w:szCs w:val="26"/>
        </w:rPr>
        <w:t xml:space="preserve"> </w:t>
      </w:r>
      <w:r w:rsidRPr="00F562A8">
        <w:rPr>
          <w:rFonts w:ascii="Times New Roman" w:hAnsi="Times New Roman" w:cs="Times New Roman"/>
          <w:sz w:val="26"/>
          <w:szCs w:val="26"/>
        </w:rPr>
        <w:t>- налог на добавленную стоимость.</w:t>
      </w:r>
    </w:p>
    <w:p w14:paraId="3610D416"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НП</w:t>
      </w:r>
      <w:r w:rsidRPr="00F562A8">
        <w:rPr>
          <w:rFonts w:ascii="Times New Roman" w:hAnsi="Times New Roman" w:cs="Times New Roman"/>
          <w:b/>
          <w:sz w:val="26"/>
          <w:szCs w:val="26"/>
        </w:rPr>
        <w:t xml:space="preserve"> </w:t>
      </w:r>
      <w:r w:rsidRPr="00F562A8">
        <w:rPr>
          <w:rFonts w:ascii="Times New Roman" w:hAnsi="Times New Roman" w:cs="Times New Roman"/>
          <w:sz w:val="26"/>
          <w:szCs w:val="26"/>
        </w:rPr>
        <w:t>- населенный пункт.</w:t>
      </w:r>
    </w:p>
    <w:p w14:paraId="3EA52EA1"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ОА</w:t>
      </w:r>
      <w:r w:rsidRPr="00F562A8">
        <w:rPr>
          <w:rFonts w:ascii="Times New Roman" w:hAnsi="Times New Roman" w:cs="Times New Roman"/>
          <w:i/>
          <w:sz w:val="26"/>
          <w:szCs w:val="26"/>
        </w:rPr>
        <w:t xml:space="preserve"> </w:t>
      </w:r>
      <w:r w:rsidRPr="00F562A8">
        <w:rPr>
          <w:rFonts w:ascii="Times New Roman" w:hAnsi="Times New Roman" w:cs="Times New Roman"/>
          <w:sz w:val="26"/>
          <w:szCs w:val="26"/>
        </w:rPr>
        <w:t>– объект-аналог.</w:t>
      </w:r>
    </w:p>
    <w:p w14:paraId="61FA99C6"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ОН</w:t>
      </w:r>
      <w:r w:rsidRPr="00F562A8">
        <w:rPr>
          <w:rFonts w:ascii="Times New Roman" w:hAnsi="Times New Roman" w:cs="Times New Roman"/>
          <w:sz w:val="26"/>
          <w:szCs w:val="26"/>
        </w:rPr>
        <w:t xml:space="preserve"> - объект недвижимости.</w:t>
      </w:r>
    </w:p>
    <w:p w14:paraId="65EA1F1D" w14:textId="605F176D"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ОО</w:t>
      </w:r>
      <w:r w:rsidRPr="00F562A8">
        <w:rPr>
          <w:rFonts w:ascii="Times New Roman" w:hAnsi="Times New Roman" w:cs="Times New Roman"/>
          <w:i/>
          <w:sz w:val="26"/>
          <w:szCs w:val="26"/>
        </w:rPr>
        <w:t xml:space="preserve"> </w:t>
      </w:r>
      <w:r w:rsidRPr="00F562A8">
        <w:rPr>
          <w:rFonts w:ascii="Times New Roman" w:hAnsi="Times New Roman" w:cs="Times New Roman"/>
          <w:sz w:val="26"/>
          <w:szCs w:val="26"/>
        </w:rPr>
        <w:t>– объект оценки.</w:t>
      </w:r>
    </w:p>
    <w:p w14:paraId="3B129FB8" w14:textId="6D90D95D" w:rsidR="00CD0008" w:rsidRPr="00F562A8" w:rsidRDefault="00CD0008"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ОМС</w:t>
      </w:r>
      <w:r w:rsidRPr="00F562A8">
        <w:rPr>
          <w:rFonts w:ascii="Times New Roman" w:hAnsi="Times New Roman" w:cs="Times New Roman"/>
          <w:i/>
          <w:sz w:val="26"/>
          <w:szCs w:val="26"/>
        </w:rPr>
        <w:t xml:space="preserve"> </w:t>
      </w:r>
      <w:r w:rsidRPr="00F562A8">
        <w:rPr>
          <w:rFonts w:ascii="Times New Roman" w:hAnsi="Times New Roman" w:cs="Times New Roman"/>
          <w:sz w:val="26"/>
          <w:szCs w:val="26"/>
        </w:rPr>
        <w:t>- органы местного самоуправления муниципальных образований, расположенные на территории субъекта Российской Федерации.</w:t>
      </w:r>
    </w:p>
    <w:p w14:paraId="61B881BC" w14:textId="07D69A2C"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ОКС</w:t>
      </w:r>
      <w:r w:rsidRPr="00F562A8">
        <w:rPr>
          <w:rFonts w:ascii="Times New Roman" w:hAnsi="Times New Roman" w:cs="Times New Roman"/>
          <w:sz w:val="26"/>
          <w:szCs w:val="26"/>
        </w:rPr>
        <w:t xml:space="preserve"> - объекты капитального строительства (здания, сооружения, объекты незавершенного строительства (ОНС), помещения, машино-мест</w:t>
      </w:r>
      <w:r w:rsidR="00E03B40">
        <w:rPr>
          <w:rFonts w:ascii="Times New Roman" w:hAnsi="Times New Roman" w:cs="Times New Roman"/>
          <w:sz w:val="26"/>
          <w:szCs w:val="26"/>
        </w:rPr>
        <w:t>а.</w:t>
      </w:r>
    </w:p>
    <w:p w14:paraId="7E560034"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ОКТМО</w:t>
      </w:r>
      <w:r w:rsidRPr="00F562A8">
        <w:rPr>
          <w:rFonts w:ascii="Times New Roman" w:hAnsi="Times New Roman" w:cs="Times New Roman"/>
          <w:b/>
          <w:sz w:val="26"/>
          <w:szCs w:val="26"/>
        </w:rPr>
        <w:t xml:space="preserve"> </w:t>
      </w:r>
      <w:r w:rsidRPr="00F562A8">
        <w:rPr>
          <w:rFonts w:ascii="Times New Roman" w:hAnsi="Times New Roman" w:cs="Times New Roman"/>
          <w:sz w:val="26"/>
          <w:szCs w:val="26"/>
        </w:rPr>
        <w:t>- общероссийский классификатор территорий муниципальных образований.</w:t>
      </w:r>
    </w:p>
    <w:p w14:paraId="4452D535"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ПКК</w:t>
      </w:r>
      <w:r w:rsidRPr="00F562A8">
        <w:rPr>
          <w:rFonts w:ascii="Times New Roman" w:hAnsi="Times New Roman" w:cs="Times New Roman"/>
          <w:b/>
          <w:sz w:val="26"/>
          <w:szCs w:val="26"/>
        </w:rPr>
        <w:t xml:space="preserve"> </w:t>
      </w:r>
      <w:r w:rsidRPr="00F562A8">
        <w:rPr>
          <w:rFonts w:ascii="Times New Roman" w:hAnsi="Times New Roman" w:cs="Times New Roman"/>
          <w:sz w:val="26"/>
          <w:szCs w:val="26"/>
        </w:rPr>
        <w:t>– публичная кадастровая карта.</w:t>
      </w:r>
    </w:p>
    <w:p w14:paraId="38CA3815"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РФ</w:t>
      </w:r>
      <w:r w:rsidRPr="00F562A8">
        <w:rPr>
          <w:rFonts w:ascii="Times New Roman" w:hAnsi="Times New Roman" w:cs="Times New Roman"/>
          <w:i/>
          <w:sz w:val="26"/>
          <w:szCs w:val="26"/>
        </w:rPr>
        <w:t xml:space="preserve"> </w:t>
      </w:r>
      <w:r w:rsidRPr="00F562A8">
        <w:rPr>
          <w:rFonts w:ascii="Times New Roman" w:hAnsi="Times New Roman" w:cs="Times New Roman"/>
          <w:b/>
          <w:sz w:val="26"/>
          <w:szCs w:val="26"/>
        </w:rPr>
        <w:t xml:space="preserve">– </w:t>
      </w:r>
      <w:r w:rsidRPr="00F562A8">
        <w:rPr>
          <w:rFonts w:ascii="Times New Roman" w:hAnsi="Times New Roman" w:cs="Times New Roman"/>
          <w:sz w:val="26"/>
          <w:szCs w:val="26"/>
        </w:rPr>
        <w:t>Российская Федерация.</w:t>
      </w:r>
    </w:p>
    <w:p w14:paraId="40D651B3"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СНП</w:t>
      </w:r>
      <w:r w:rsidRPr="00F562A8">
        <w:rPr>
          <w:rFonts w:ascii="Times New Roman" w:hAnsi="Times New Roman" w:cs="Times New Roman"/>
          <w:sz w:val="26"/>
          <w:szCs w:val="26"/>
        </w:rPr>
        <w:t xml:space="preserve"> - сельский населенный пункт.</w:t>
      </w:r>
    </w:p>
    <w:p w14:paraId="79091238"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СПО</w:t>
      </w:r>
      <w:r w:rsidRPr="00F562A8">
        <w:rPr>
          <w:rFonts w:ascii="Times New Roman" w:hAnsi="Times New Roman" w:cs="Times New Roman"/>
          <w:b/>
          <w:sz w:val="26"/>
          <w:szCs w:val="26"/>
        </w:rPr>
        <w:t xml:space="preserve"> </w:t>
      </w:r>
      <w:r w:rsidRPr="00F562A8">
        <w:rPr>
          <w:rFonts w:ascii="Times New Roman" w:hAnsi="Times New Roman" w:cs="Times New Roman"/>
          <w:sz w:val="26"/>
          <w:szCs w:val="26"/>
        </w:rPr>
        <w:t>– специальное программное обеспечение.</w:t>
      </w:r>
    </w:p>
    <w:p w14:paraId="6C0CF882" w14:textId="75443BAE"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Указания</w:t>
      </w:r>
      <w:r w:rsidRPr="00F562A8">
        <w:rPr>
          <w:rFonts w:ascii="Times New Roman" w:hAnsi="Times New Roman" w:cs="Times New Roman"/>
          <w:sz w:val="26"/>
          <w:szCs w:val="26"/>
        </w:rPr>
        <w:t xml:space="preserve"> – </w:t>
      </w:r>
      <w:r w:rsidR="00246A21" w:rsidRPr="00246A21">
        <w:rPr>
          <w:rFonts w:ascii="Times New Roman" w:hAnsi="Times New Roman" w:cs="Times New Roman"/>
          <w:sz w:val="26"/>
          <w:szCs w:val="26"/>
        </w:rPr>
        <w:t>Методические указания о государственной кадастровой оценке, утвержденные Приказом Росреестра от 04.08.2021 № П/0336.</w:t>
      </w:r>
    </w:p>
    <w:p w14:paraId="48A69155" w14:textId="0F3CEE02" w:rsidR="00953302" w:rsidRPr="00F562A8" w:rsidRDefault="00FC215D"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ГБУ ВО</w:t>
      </w:r>
      <w:r w:rsidR="00A83BCA" w:rsidRPr="00F562A8">
        <w:rPr>
          <w:rFonts w:ascii="Times New Roman" w:hAnsi="Times New Roman" w:cs="Times New Roman"/>
          <w:b/>
          <w:i/>
          <w:sz w:val="26"/>
          <w:szCs w:val="26"/>
        </w:rPr>
        <w:t>/ Учреждение</w:t>
      </w:r>
      <w:r w:rsidR="00953302" w:rsidRPr="00F562A8">
        <w:rPr>
          <w:rFonts w:ascii="Times New Roman" w:hAnsi="Times New Roman" w:cs="Times New Roman"/>
          <w:sz w:val="26"/>
          <w:szCs w:val="26"/>
        </w:rPr>
        <w:t xml:space="preserve"> – </w:t>
      </w:r>
      <w:r w:rsidR="005C28D9" w:rsidRPr="00F562A8">
        <w:rPr>
          <w:rFonts w:ascii="Times New Roman" w:hAnsi="Times New Roman" w:cs="Times New Roman"/>
          <w:sz w:val="26"/>
          <w:szCs w:val="26"/>
        </w:rPr>
        <w:t>государственное бюджетное учреждение</w:t>
      </w:r>
      <w:r w:rsidR="00953302" w:rsidRPr="00F562A8">
        <w:rPr>
          <w:rFonts w:ascii="Times New Roman" w:hAnsi="Times New Roman" w:cs="Times New Roman"/>
          <w:sz w:val="26"/>
          <w:szCs w:val="26"/>
        </w:rPr>
        <w:t xml:space="preserve"> Воронежской области «Центр государственной кадастровой оценки Воронежской области»</w:t>
      </w:r>
    </w:p>
    <w:p w14:paraId="39223854" w14:textId="151E04E4" w:rsidR="00953302" w:rsidRPr="00F562A8" w:rsidRDefault="0065682C"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Росреестр</w:t>
      </w:r>
      <w:r w:rsidRPr="00F562A8">
        <w:rPr>
          <w:rFonts w:ascii="Times New Roman" w:hAnsi="Times New Roman" w:cs="Times New Roman"/>
          <w:sz w:val="26"/>
          <w:szCs w:val="26"/>
        </w:rPr>
        <w:t xml:space="preserve"> – </w:t>
      </w:r>
      <w:r w:rsidR="00A074B3" w:rsidRPr="00F562A8">
        <w:rPr>
          <w:rFonts w:ascii="Times New Roman" w:hAnsi="Times New Roman" w:cs="Times New Roman"/>
          <w:sz w:val="26"/>
          <w:szCs w:val="26"/>
        </w:rPr>
        <w:t>Управление Росреестра по Воронежской области (Федеральная служба государственной регистрации, кадастра и картографии)</w:t>
      </w:r>
    </w:p>
    <w:p w14:paraId="70D7CF2C"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ЦОФ</w:t>
      </w:r>
      <w:r w:rsidRPr="00F562A8">
        <w:rPr>
          <w:rFonts w:ascii="Times New Roman" w:hAnsi="Times New Roman" w:cs="Times New Roman"/>
          <w:sz w:val="26"/>
          <w:szCs w:val="26"/>
        </w:rPr>
        <w:t xml:space="preserve"> – ценообразующие факторы.</w:t>
      </w:r>
    </w:p>
    <w:p w14:paraId="2233B0F7" w14:textId="77777777" w:rsidR="00953302" w:rsidRPr="00F562A8" w:rsidRDefault="00953302"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b/>
          <w:i/>
          <w:sz w:val="26"/>
          <w:szCs w:val="26"/>
        </w:rPr>
        <w:t>КС</w:t>
      </w:r>
      <w:r w:rsidRPr="00F562A8">
        <w:rPr>
          <w:rFonts w:ascii="Times New Roman" w:hAnsi="Times New Roman" w:cs="Times New Roman"/>
          <w:sz w:val="26"/>
          <w:szCs w:val="26"/>
        </w:rPr>
        <w:t>- кадастровая стоимость.</w:t>
      </w:r>
    </w:p>
    <w:p w14:paraId="3418AF73" w14:textId="5FA9F542" w:rsidR="00953302" w:rsidRDefault="00953302" w:rsidP="00A77435">
      <w:pPr>
        <w:spacing w:after="0" w:line="276" w:lineRule="auto"/>
        <w:ind w:firstLine="709"/>
        <w:jc w:val="both"/>
        <w:rPr>
          <w:rFonts w:ascii="Times New Roman" w:hAnsi="Times New Roman" w:cs="Times New Roman"/>
          <w:sz w:val="26"/>
          <w:szCs w:val="26"/>
          <w:shd w:val="clear" w:color="auto" w:fill="FFFFFF"/>
        </w:rPr>
      </w:pPr>
      <w:r w:rsidRPr="00F562A8">
        <w:rPr>
          <w:rFonts w:ascii="Times New Roman" w:hAnsi="Times New Roman" w:cs="Times New Roman"/>
          <w:b/>
          <w:i/>
          <w:sz w:val="26"/>
          <w:szCs w:val="26"/>
        </w:rPr>
        <w:t>ЧОД</w:t>
      </w:r>
      <w:r w:rsidRPr="00F562A8">
        <w:rPr>
          <w:rFonts w:ascii="Times New Roman" w:hAnsi="Times New Roman" w:cs="Times New Roman"/>
          <w:sz w:val="26"/>
          <w:szCs w:val="26"/>
        </w:rPr>
        <w:t>-</w:t>
      </w:r>
      <w:r w:rsidRPr="00F562A8">
        <w:rPr>
          <w:rFonts w:ascii="Times New Roman" w:hAnsi="Times New Roman" w:cs="Times New Roman"/>
          <w:sz w:val="26"/>
          <w:szCs w:val="26"/>
          <w:shd w:val="clear" w:color="auto" w:fill="FFFFFF"/>
        </w:rPr>
        <w:t xml:space="preserve"> действительный валовой доход за минусом постоянных расходов (налоги на имущество, страховые платежи), вычитания операционных (эксплуатационных или переменных) расходов (за исключением амортизационных отчислений) и резервов (расходы на ремонт и реконструкцию, не включённые в операционные) за год.</w:t>
      </w:r>
    </w:p>
    <w:p w14:paraId="657AC891" w14:textId="4AE90284" w:rsidR="00DB212B" w:rsidRDefault="00DB212B" w:rsidP="0029334F">
      <w:pPr>
        <w:pStyle w:val="10"/>
        <w:pageBreakBefore/>
        <w:numPr>
          <w:ilvl w:val="0"/>
          <w:numId w:val="1"/>
        </w:numPr>
        <w:spacing w:line="276" w:lineRule="auto"/>
        <w:ind w:left="284"/>
        <w:rPr>
          <w:rFonts w:cs="Times New Roman"/>
          <w:sz w:val="26"/>
          <w:szCs w:val="26"/>
        </w:rPr>
      </w:pPr>
      <w:bookmarkStart w:id="7" w:name="_Toc12440210"/>
      <w:bookmarkStart w:id="8" w:name="_Toc20659531"/>
      <w:bookmarkStart w:id="9" w:name="_Toc110506919"/>
      <w:r w:rsidRPr="00F562A8">
        <w:rPr>
          <w:rFonts w:cs="Times New Roman"/>
          <w:sz w:val="26"/>
          <w:szCs w:val="26"/>
        </w:rPr>
        <w:t>ВВОДНАЯ ГЛАВА</w:t>
      </w:r>
      <w:bookmarkEnd w:id="7"/>
      <w:bookmarkEnd w:id="8"/>
      <w:bookmarkEnd w:id="9"/>
    </w:p>
    <w:p w14:paraId="624BF827" w14:textId="6A23E77E" w:rsidR="0029334F" w:rsidRPr="00F562A8" w:rsidRDefault="0029334F" w:rsidP="0029334F">
      <w:pPr>
        <w:pStyle w:val="20"/>
        <w:spacing w:after="120" w:line="276" w:lineRule="auto"/>
        <w:rPr>
          <w:rFonts w:cs="Times New Roman"/>
          <w:sz w:val="26"/>
        </w:rPr>
      </w:pPr>
      <w:bookmarkStart w:id="10" w:name="_Toc110506920"/>
      <w:r w:rsidRPr="00F562A8">
        <w:rPr>
          <w:rFonts w:cs="Times New Roman"/>
          <w:sz w:val="26"/>
        </w:rPr>
        <w:t>2.</w:t>
      </w:r>
      <w:r>
        <w:rPr>
          <w:rFonts w:cs="Times New Roman"/>
          <w:sz w:val="26"/>
        </w:rPr>
        <w:t>1</w:t>
      </w:r>
      <w:r w:rsidRPr="00F562A8">
        <w:rPr>
          <w:rFonts w:cs="Times New Roman"/>
          <w:sz w:val="26"/>
        </w:rPr>
        <w:t xml:space="preserve"> Реквизиты </w:t>
      </w:r>
      <w:r>
        <w:rPr>
          <w:rFonts w:cs="Times New Roman"/>
          <w:sz w:val="26"/>
        </w:rPr>
        <w:t>ОТЧЕТА</w:t>
      </w:r>
      <w:bookmarkEnd w:id="10"/>
    </w:p>
    <w:p w14:paraId="177BDBEB" w14:textId="77777777" w:rsidR="0029334F" w:rsidRPr="009E1321" w:rsidRDefault="0029334F" w:rsidP="0029334F">
      <w:pPr>
        <w:spacing w:after="0" w:line="276" w:lineRule="auto"/>
        <w:ind w:firstLine="709"/>
        <w:jc w:val="both"/>
        <w:rPr>
          <w:rFonts w:ascii="Times New Roman" w:eastAsia="Times New Roman" w:hAnsi="Times New Roman" w:cs="Times New Roman"/>
          <w:spacing w:val="-5"/>
          <w:sz w:val="16"/>
          <w:szCs w:val="16"/>
        </w:rPr>
      </w:pPr>
    </w:p>
    <w:p w14:paraId="05B0817E" w14:textId="77777777" w:rsidR="0029334F" w:rsidRPr="0051252F" w:rsidRDefault="0029334F" w:rsidP="0029334F">
      <w:pPr>
        <w:spacing w:after="0" w:line="276" w:lineRule="auto"/>
        <w:ind w:firstLine="709"/>
        <w:jc w:val="both"/>
        <w:rPr>
          <w:rFonts w:ascii="Times New Roman" w:eastAsia="Times New Roman" w:hAnsi="Times New Roman" w:cs="Times New Roman"/>
          <w:spacing w:val="-5"/>
          <w:sz w:val="26"/>
          <w:szCs w:val="26"/>
        </w:rPr>
      </w:pPr>
      <w:r w:rsidRPr="0051252F">
        <w:rPr>
          <w:rFonts w:ascii="Times New Roman" w:eastAsia="Times New Roman" w:hAnsi="Times New Roman" w:cs="Times New Roman"/>
          <w:spacing w:val="-5"/>
          <w:sz w:val="26"/>
          <w:szCs w:val="26"/>
        </w:rPr>
        <w:t xml:space="preserve">Наименование: </w:t>
      </w:r>
      <w:r>
        <w:rPr>
          <w:rFonts w:ascii="Times New Roman" w:eastAsia="Times New Roman" w:hAnsi="Times New Roman" w:cs="Times New Roman"/>
          <w:spacing w:val="-5"/>
          <w:sz w:val="26"/>
          <w:szCs w:val="26"/>
        </w:rPr>
        <w:t>ПРОЕКТ ОТЧЕТА</w:t>
      </w:r>
      <w:r w:rsidRPr="0051252F">
        <w:rPr>
          <w:rFonts w:ascii="Times New Roman" w:eastAsia="Times New Roman" w:hAnsi="Times New Roman" w:cs="Times New Roman"/>
          <w:spacing w:val="-5"/>
          <w:sz w:val="26"/>
          <w:szCs w:val="26"/>
        </w:rPr>
        <w:t xml:space="preserve"> № 1-202</w:t>
      </w:r>
      <w:r>
        <w:rPr>
          <w:rFonts w:ascii="Times New Roman" w:eastAsia="Times New Roman" w:hAnsi="Times New Roman" w:cs="Times New Roman"/>
          <w:spacing w:val="-5"/>
          <w:sz w:val="26"/>
          <w:szCs w:val="26"/>
        </w:rPr>
        <w:t>2</w:t>
      </w:r>
      <w:r w:rsidRPr="0051252F">
        <w:rPr>
          <w:rFonts w:ascii="Times New Roman" w:eastAsia="Times New Roman" w:hAnsi="Times New Roman" w:cs="Times New Roman"/>
          <w:spacing w:val="-5"/>
          <w:sz w:val="26"/>
          <w:szCs w:val="26"/>
        </w:rPr>
        <w:t xml:space="preserve"> об итогах государственной кадастровой оценки </w:t>
      </w:r>
      <w:r w:rsidRPr="007E7E1D">
        <w:rPr>
          <w:rFonts w:ascii="Times New Roman" w:hAnsi="Times New Roman" w:cs="Times New Roman"/>
          <w:sz w:val="26"/>
          <w:szCs w:val="26"/>
        </w:rPr>
        <w:t>одновременно в отношении всех учтённых в Едином государственном реестре недвижимости земельных участков</w:t>
      </w:r>
      <w:r w:rsidRPr="00F562A8">
        <w:rPr>
          <w:rFonts w:ascii="Times New Roman" w:hAnsi="Times New Roman" w:cs="Times New Roman"/>
          <w:sz w:val="26"/>
          <w:szCs w:val="26"/>
        </w:rPr>
        <w:t>, расположенных на территории Воронежской области</w:t>
      </w:r>
      <w:r>
        <w:rPr>
          <w:rFonts w:ascii="Times New Roman" w:hAnsi="Times New Roman" w:cs="Times New Roman"/>
          <w:sz w:val="26"/>
          <w:szCs w:val="26"/>
        </w:rPr>
        <w:t>,</w:t>
      </w:r>
      <w:r w:rsidRPr="0051252F">
        <w:rPr>
          <w:rFonts w:ascii="Times New Roman" w:eastAsia="Times New Roman" w:hAnsi="Times New Roman" w:cs="Times New Roman"/>
          <w:spacing w:val="-5"/>
          <w:sz w:val="26"/>
          <w:szCs w:val="26"/>
        </w:rPr>
        <w:t xml:space="preserve"> по состоянию на 01.01.202</w:t>
      </w:r>
      <w:r>
        <w:rPr>
          <w:rFonts w:ascii="Times New Roman" w:eastAsia="Times New Roman" w:hAnsi="Times New Roman" w:cs="Times New Roman"/>
          <w:spacing w:val="-5"/>
          <w:sz w:val="26"/>
          <w:szCs w:val="26"/>
        </w:rPr>
        <w:t>2</w:t>
      </w:r>
      <w:r w:rsidRPr="0051252F">
        <w:rPr>
          <w:rFonts w:ascii="Times New Roman" w:eastAsia="Times New Roman" w:hAnsi="Times New Roman" w:cs="Times New Roman"/>
          <w:spacing w:val="-5"/>
          <w:sz w:val="26"/>
          <w:szCs w:val="26"/>
        </w:rPr>
        <w:t>.</w:t>
      </w:r>
    </w:p>
    <w:p w14:paraId="5F647E50" w14:textId="380719AE" w:rsidR="0029334F" w:rsidRPr="004D36BE" w:rsidRDefault="0029334F" w:rsidP="0029334F">
      <w:pPr>
        <w:spacing w:after="0" w:line="276" w:lineRule="auto"/>
        <w:ind w:firstLine="709"/>
        <w:jc w:val="both"/>
        <w:rPr>
          <w:rFonts w:ascii="Times New Roman" w:eastAsia="Times New Roman" w:hAnsi="Times New Roman" w:cs="Times New Roman"/>
          <w:spacing w:val="-5"/>
          <w:sz w:val="26"/>
          <w:szCs w:val="26"/>
        </w:rPr>
      </w:pPr>
      <w:r w:rsidRPr="0051252F">
        <w:rPr>
          <w:rFonts w:ascii="Times New Roman" w:eastAsia="Times New Roman" w:hAnsi="Times New Roman" w:cs="Times New Roman"/>
          <w:spacing w:val="-5"/>
          <w:sz w:val="26"/>
          <w:szCs w:val="26"/>
        </w:rPr>
        <w:t xml:space="preserve">Дата составления </w:t>
      </w:r>
      <w:r>
        <w:rPr>
          <w:rFonts w:ascii="Times New Roman" w:eastAsia="Times New Roman" w:hAnsi="Times New Roman" w:cs="Times New Roman"/>
          <w:spacing w:val="-5"/>
          <w:sz w:val="26"/>
          <w:szCs w:val="26"/>
        </w:rPr>
        <w:t xml:space="preserve">ПРОЕКТА </w:t>
      </w:r>
      <w:r w:rsidRPr="00536670">
        <w:rPr>
          <w:rFonts w:ascii="Times New Roman" w:eastAsia="Times New Roman" w:hAnsi="Times New Roman" w:cs="Times New Roman"/>
          <w:spacing w:val="-5"/>
          <w:sz w:val="26"/>
          <w:szCs w:val="26"/>
        </w:rPr>
        <w:t xml:space="preserve">ОТЧЕТА: </w:t>
      </w:r>
      <w:r w:rsidR="00C705EF" w:rsidRPr="00536670">
        <w:rPr>
          <w:rFonts w:ascii="Times New Roman" w:eastAsia="Times New Roman" w:hAnsi="Times New Roman" w:cs="Times New Roman"/>
          <w:spacing w:val="-5"/>
          <w:sz w:val="26"/>
          <w:szCs w:val="26"/>
        </w:rPr>
        <w:t>09.08.2022</w:t>
      </w:r>
      <w:r w:rsidRPr="00536670">
        <w:rPr>
          <w:rFonts w:ascii="Times New Roman" w:eastAsia="Times New Roman" w:hAnsi="Times New Roman" w:cs="Times New Roman"/>
          <w:spacing w:val="-5"/>
          <w:sz w:val="26"/>
          <w:szCs w:val="26"/>
        </w:rPr>
        <w:t xml:space="preserve"> года</w:t>
      </w:r>
      <w:r w:rsidRPr="004D36BE">
        <w:rPr>
          <w:rFonts w:ascii="Times New Roman" w:eastAsia="Times New Roman" w:hAnsi="Times New Roman" w:cs="Times New Roman"/>
          <w:spacing w:val="-5"/>
          <w:sz w:val="26"/>
          <w:szCs w:val="26"/>
        </w:rPr>
        <w:t>.</w:t>
      </w:r>
    </w:p>
    <w:p w14:paraId="2D4E9E1A" w14:textId="1D944A7F" w:rsidR="0029334F" w:rsidRDefault="0029334F" w:rsidP="0029334F">
      <w:pPr>
        <w:spacing w:after="0" w:line="276" w:lineRule="auto"/>
        <w:ind w:firstLine="709"/>
        <w:jc w:val="both"/>
        <w:rPr>
          <w:rFonts w:ascii="Times New Roman" w:eastAsia="Times New Roman" w:hAnsi="Times New Roman" w:cs="Times New Roman"/>
          <w:spacing w:val="-5"/>
          <w:sz w:val="26"/>
          <w:szCs w:val="26"/>
        </w:rPr>
      </w:pPr>
      <w:r w:rsidRPr="004D36BE">
        <w:rPr>
          <w:rFonts w:ascii="Times New Roman" w:eastAsia="Times New Roman" w:hAnsi="Times New Roman" w:cs="Times New Roman"/>
          <w:spacing w:val="-5"/>
          <w:sz w:val="26"/>
          <w:szCs w:val="26"/>
        </w:rPr>
        <w:t xml:space="preserve">Дата подписания (утверждения): </w:t>
      </w:r>
      <w:r w:rsidR="00C705EF">
        <w:rPr>
          <w:rFonts w:ascii="Times New Roman" w:eastAsia="Times New Roman" w:hAnsi="Times New Roman" w:cs="Times New Roman"/>
          <w:spacing w:val="-5"/>
          <w:sz w:val="26"/>
          <w:szCs w:val="26"/>
        </w:rPr>
        <w:t>09.08.2022</w:t>
      </w:r>
      <w:r w:rsidRPr="004D36BE">
        <w:rPr>
          <w:rFonts w:ascii="Times New Roman" w:eastAsia="Times New Roman" w:hAnsi="Times New Roman" w:cs="Times New Roman"/>
          <w:spacing w:val="-5"/>
          <w:sz w:val="26"/>
          <w:szCs w:val="26"/>
        </w:rPr>
        <w:t xml:space="preserve"> года</w:t>
      </w:r>
      <w:r w:rsidRPr="0051252F">
        <w:rPr>
          <w:rFonts w:ascii="Times New Roman" w:eastAsia="Times New Roman" w:hAnsi="Times New Roman" w:cs="Times New Roman"/>
          <w:spacing w:val="-5"/>
          <w:sz w:val="26"/>
          <w:szCs w:val="26"/>
        </w:rPr>
        <w:t>.</w:t>
      </w:r>
    </w:p>
    <w:p w14:paraId="2A4E94DB" w14:textId="76FFE9C5" w:rsidR="008126EB" w:rsidRPr="0051252F" w:rsidRDefault="008126EB" w:rsidP="0029334F">
      <w:pPr>
        <w:spacing w:after="0" w:line="276" w:lineRule="auto"/>
        <w:ind w:firstLine="709"/>
        <w:jc w:val="both"/>
        <w:rPr>
          <w:rFonts w:ascii="Times New Roman" w:eastAsia="Times New Roman" w:hAnsi="Times New Roman" w:cs="Times New Roman"/>
          <w:spacing w:val="-5"/>
          <w:sz w:val="26"/>
          <w:szCs w:val="26"/>
        </w:rPr>
      </w:pPr>
      <w:r>
        <w:rPr>
          <w:rFonts w:ascii="Times New Roman" w:eastAsia="Times New Roman" w:hAnsi="Times New Roman" w:cs="Times New Roman"/>
          <w:spacing w:val="-5"/>
          <w:sz w:val="26"/>
          <w:szCs w:val="26"/>
        </w:rPr>
        <w:t>Номер: 1-2022</w:t>
      </w:r>
    </w:p>
    <w:p w14:paraId="367BEABC" w14:textId="77777777" w:rsidR="0029334F" w:rsidRPr="0029334F" w:rsidRDefault="0029334F" w:rsidP="0029334F">
      <w:pPr>
        <w:pStyle w:val="ab"/>
        <w:ind w:left="1069"/>
      </w:pPr>
    </w:p>
    <w:p w14:paraId="19A4B9C9" w14:textId="7ADB20F0" w:rsidR="002E02FB" w:rsidRPr="00F562A8" w:rsidRDefault="00DB212B" w:rsidP="002E02FB">
      <w:pPr>
        <w:pStyle w:val="20"/>
        <w:spacing w:after="120" w:line="276" w:lineRule="auto"/>
        <w:rPr>
          <w:rFonts w:cs="Times New Roman"/>
          <w:sz w:val="26"/>
        </w:rPr>
      </w:pPr>
      <w:bookmarkStart w:id="11" w:name="_Toc12440211"/>
      <w:bookmarkStart w:id="12" w:name="_Toc20659532"/>
      <w:bookmarkStart w:id="13" w:name="_Toc110506921"/>
      <w:r w:rsidRPr="00F562A8">
        <w:rPr>
          <w:rFonts w:cs="Times New Roman"/>
          <w:sz w:val="26"/>
        </w:rPr>
        <w:t>2.</w:t>
      </w:r>
      <w:r w:rsidR="008126EB">
        <w:rPr>
          <w:rFonts w:cs="Times New Roman"/>
          <w:sz w:val="26"/>
        </w:rPr>
        <w:t>2</w:t>
      </w:r>
      <w:r w:rsidRPr="00F562A8">
        <w:rPr>
          <w:rFonts w:cs="Times New Roman"/>
          <w:sz w:val="26"/>
        </w:rPr>
        <w:t xml:space="preserve"> Наименование субъекта Российской Федерации, на территории которого проводилась государственная кадастровая оценка</w:t>
      </w:r>
      <w:bookmarkStart w:id="14" w:name="_Toc12440212"/>
      <w:bookmarkStart w:id="15" w:name="_Toc20659533"/>
      <w:bookmarkEnd w:id="11"/>
      <w:bookmarkEnd w:id="12"/>
      <w:bookmarkEnd w:id="13"/>
    </w:p>
    <w:p w14:paraId="1750964C" w14:textId="77777777" w:rsidR="002E02FB" w:rsidRPr="00F562A8" w:rsidRDefault="002E02FB" w:rsidP="002E02FB">
      <w:pPr>
        <w:spacing w:after="0" w:line="276" w:lineRule="auto"/>
        <w:jc w:val="both"/>
        <w:rPr>
          <w:rFonts w:ascii="Times New Roman" w:eastAsia="Times New Roman" w:hAnsi="Times New Roman" w:cs="Times New Roman"/>
          <w:spacing w:val="-5"/>
          <w:sz w:val="16"/>
          <w:szCs w:val="16"/>
        </w:rPr>
      </w:pPr>
    </w:p>
    <w:p w14:paraId="12352789" w14:textId="349A8228" w:rsidR="00583378" w:rsidRDefault="00583378" w:rsidP="002E02FB">
      <w:pPr>
        <w:spacing w:after="0" w:line="276" w:lineRule="auto"/>
        <w:ind w:firstLine="709"/>
        <w:jc w:val="both"/>
        <w:rPr>
          <w:rFonts w:ascii="Times New Roman" w:eastAsia="Times New Roman" w:hAnsi="Times New Roman" w:cs="Times New Roman"/>
          <w:spacing w:val="-5"/>
          <w:sz w:val="26"/>
          <w:szCs w:val="26"/>
        </w:rPr>
      </w:pPr>
      <w:r w:rsidRPr="00F562A8">
        <w:rPr>
          <w:rFonts w:ascii="Times New Roman" w:eastAsia="Times New Roman" w:hAnsi="Times New Roman" w:cs="Times New Roman"/>
          <w:spacing w:val="-5"/>
          <w:sz w:val="26"/>
          <w:szCs w:val="26"/>
        </w:rPr>
        <w:t xml:space="preserve">Оцениваемые земельные участки, в отношении которых проводится государственная кадастровая оценка, расположены на территории Воронежской области. Описание муниципальных районов Воронежской области представлено в </w:t>
      </w:r>
      <w:r w:rsidRPr="00B5169F">
        <w:rPr>
          <w:rFonts w:ascii="Times New Roman" w:eastAsia="Times New Roman" w:hAnsi="Times New Roman" w:cs="Times New Roman"/>
          <w:spacing w:val="-5"/>
          <w:sz w:val="26"/>
          <w:szCs w:val="26"/>
        </w:rPr>
        <w:t xml:space="preserve">Приложении </w:t>
      </w:r>
      <w:r w:rsidR="00125D02">
        <w:rPr>
          <w:rFonts w:ascii="Times New Roman" w:eastAsia="Times New Roman" w:hAnsi="Times New Roman" w:cs="Times New Roman"/>
          <w:spacing w:val="-5"/>
          <w:sz w:val="26"/>
          <w:szCs w:val="26"/>
        </w:rPr>
        <w:t>1/</w:t>
      </w:r>
      <w:r w:rsidR="001C2B96">
        <w:rPr>
          <w:rFonts w:ascii="Times New Roman" w:eastAsia="Times New Roman" w:hAnsi="Times New Roman" w:cs="Times New Roman"/>
          <w:spacing w:val="-5"/>
          <w:sz w:val="26"/>
          <w:szCs w:val="26"/>
        </w:rPr>
        <w:t>1.2/</w:t>
      </w:r>
      <w:r w:rsidRPr="00B5169F">
        <w:rPr>
          <w:rFonts w:ascii="Times New Roman" w:eastAsia="Times New Roman" w:hAnsi="Times New Roman" w:cs="Times New Roman"/>
          <w:spacing w:val="-5"/>
          <w:sz w:val="26"/>
          <w:szCs w:val="26"/>
        </w:rPr>
        <w:t>1.</w:t>
      </w:r>
      <w:r w:rsidR="0060482C" w:rsidRPr="00B5169F">
        <w:rPr>
          <w:rFonts w:ascii="Times New Roman" w:eastAsia="Times New Roman" w:hAnsi="Times New Roman" w:cs="Times New Roman"/>
          <w:spacing w:val="-5"/>
          <w:sz w:val="26"/>
          <w:szCs w:val="26"/>
        </w:rPr>
        <w:t>2</w:t>
      </w:r>
      <w:r w:rsidRPr="00B5169F">
        <w:rPr>
          <w:rFonts w:ascii="Times New Roman" w:eastAsia="Times New Roman" w:hAnsi="Times New Roman" w:cs="Times New Roman"/>
          <w:spacing w:val="-5"/>
          <w:sz w:val="26"/>
          <w:szCs w:val="26"/>
        </w:rPr>
        <w:t>.</w:t>
      </w:r>
      <w:r w:rsidR="0060482C" w:rsidRPr="00B5169F">
        <w:rPr>
          <w:rFonts w:ascii="Times New Roman" w:eastAsia="Times New Roman" w:hAnsi="Times New Roman" w:cs="Times New Roman"/>
          <w:spacing w:val="-5"/>
          <w:sz w:val="26"/>
          <w:szCs w:val="26"/>
        </w:rPr>
        <w:t>2</w:t>
      </w:r>
      <w:r w:rsidRPr="00F562A8">
        <w:rPr>
          <w:rFonts w:ascii="Times New Roman" w:eastAsia="Times New Roman" w:hAnsi="Times New Roman" w:cs="Times New Roman"/>
          <w:spacing w:val="-5"/>
          <w:sz w:val="26"/>
          <w:szCs w:val="26"/>
        </w:rPr>
        <w:t xml:space="preserve"> </w:t>
      </w:r>
    </w:p>
    <w:p w14:paraId="79FA3E82" w14:textId="67B482C2" w:rsidR="007C5672" w:rsidRDefault="007C5672" w:rsidP="002E02FB">
      <w:pPr>
        <w:spacing w:after="0" w:line="276" w:lineRule="auto"/>
        <w:ind w:firstLine="709"/>
        <w:jc w:val="both"/>
        <w:rPr>
          <w:rFonts w:ascii="Times New Roman" w:eastAsia="Times New Roman" w:hAnsi="Times New Roman" w:cs="Times New Roman"/>
          <w:spacing w:val="-5"/>
          <w:sz w:val="26"/>
          <w:szCs w:val="26"/>
        </w:rPr>
      </w:pPr>
    </w:p>
    <w:p w14:paraId="1309389A" w14:textId="77777777" w:rsidR="00B24289" w:rsidRDefault="00B24289" w:rsidP="002E02FB">
      <w:pPr>
        <w:spacing w:after="0" w:line="276" w:lineRule="auto"/>
        <w:ind w:firstLine="709"/>
        <w:jc w:val="both"/>
        <w:rPr>
          <w:rFonts w:ascii="Times New Roman" w:eastAsia="Times New Roman" w:hAnsi="Times New Roman" w:cs="Times New Roman"/>
          <w:spacing w:val="-5"/>
          <w:sz w:val="26"/>
          <w:szCs w:val="26"/>
        </w:rPr>
      </w:pPr>
    </w:p>
    <w:p w14:paraId="346A21AF" w14:textId="7C04E413" w:rsidR="00DB212B" w:rsidRPr="00F562A8" w:rsidRDefault="00DB212B" w:rsidP="006F6435">
      <w:pPr>
        <w:pStyle w:val="20"/>
        <w:spacing w:after="120" w:line="276" w:lineRule="auto"/>
        <w:rPr>
          <w:rFonts w:cs="Times New Roman"/>
          <w:sz w:val="26"/>
        </w:rPr>
      </w:pPr>
      <w:bookmarkStart w:id="16" w:name="_Toc110506922"/>
      <w:r w:rsidRPr="00F562A8">
        <w:rPr>
          <w:rFonts w:cs="Times New Roman"/>
          <w:sz w:val="26"/>
        </w:rPr>
        <w:t>2.</w:t>
      </w:r>
      <w:r w:rsidR="000C3AEA">
        <w:rPr>
          <w:rFonts w:cs="Times New Roman"/>
          <w:sz w:val="26"/>
        </w:rPr>
        <w:t>3</w:t>
      </w:r>
      <w:r w:rsidRPr="00F562A8">
        <w:rPr>
          <w:rFonts w:cs="Times New Roman"/>
          <w:sz w:val="26"/>
        </w:rPr>
        <w:t xml:space="preserve"> Реквизиты решения о проведении государственной кадастровой оценки, вид объектов недвижимости, в отношении которых принято решение о проведении государственной кадастровой оценки, категории земель</w:t>
      </w:r>
      <w:bookmarkEnd w:id="14"/>
      <w:bookmarkEnd w:id="15"/>
      <w:bookmarkEnd w:id="16"/>
    </w:p>
    <w:p w14:paraId="71D6DE63" w14:textId="698FD972" w:rsidR="00DB212B" w:rsidRPr="00F562A8" w:rsidRDefault="00583378" w:rsidP="00A77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Основанием для проведения работ по государственной кадастровой оценке </w:t>
      </w:r>
      <w:r w:rsidR="007E7E1D" w:rsidRPr="007E7E1D">
        <w:rPr>
          <w:rFonts w:ascii="Times New Roman" w:hAnsi="Times New Roman" w:cs="Times New Roman"/>
          <w:sz w:val="26"/>
          <w:szCs w:val="26"/>
        </w:rPr>
        <w:t>одновременно в отношении всех учтённых в Едином государственном реестре недвижимости земельных участков</w:t>
      </w:r>
      <w:r w:rsidR="00DB212B" w:rsidRPr="00F562A8">
        <w:rPr>
          <w:rFonts w:ascii="Times New Roman" w:hAnsi="Times New Roman" w:cs="Times New Roman"/>
          <w:sz w:val="26"/>
          <w:szCs w:val="26"/>
        </w:rPr>
        <w:t xml:space="preserve">, расположенных на территории Воронежской области </w:t>
      </w:r>
      <w:r w:rsidR="00A77435" w:rsidRPr="00F562A8">
        <w:rPr>
          <w:rFonts w:ascii="Times New Roman" w:hAnsi="Times New Roman" w:cs="Times New Roman"/>
          <w:sz w:val="26"/>
          <w:szCs w:val="26"/>
        </w:rPr>
        <w:t xml:space="preserve">является Приказ </w:t>
      </w:r>
      <w:r w:rsidR="007E7E1D">
        <w:rPr>
          <w:rFonts w:ascii="Times New Roman" w:hAnsi="Times New Roman" w:cs="Times New Roman"/>
          <w:sz w:val="26"/>
          <w:szCs w:val="26"/>
        </w:rPr>
        <w:t>Департамента имущественных и земельных отношений</w:t>
      </w:r>
      <w:r w:rsidR="00DB212B" w:rsidRPr="00F562A8">
        <w:rPr>
          <w:rFonts w:ascii="Times New Roman" w:hAnsi="Times New Roman" w:cs="Times New Roman"/>
          <w:sz w:val="26"/>
          <w:szCs w:val="26"/>
        </w:rPr>
        <w:t xml:space="preserve"> Воронежской области</w:t>
      </w:r>
      <w:r w:rsidR="007E7E1D">
        <w:rPr>
          <w:rFonts w:ascii="Times New Roman" w:hAnsi="Times New Roman" w:cs="Times New Roman"/>
          <w:sz w:val="26"/>
          <w:szCs w:val="26"/>
        </w:rPr>
        <w:t xml:space="preserve"> </w:t>
      </w:r>
      <w:r w:rsidR="00A77435" w:rsidRPr="00F562A8">
        <w:rPr>
          <w:rFonts w:ascii="Times New Roman" w:hAnsi="Times New Roman" w:cs="Times New Roman"/>
          <w:sz w:val="26"/>
          <w:szCs w:val="26"/>
        </w:rPr>
        <w:t xml:space="preserve">от </w:t>
      </w:r>
      <w:r w:rsidR="007E7E1D">
        <w:rPr>
          <w:rFonts w:ascii="Times New Roman" w:hAnsi="Times New Roman" w:cs="Times New Roman"/>
          <w:sz w:val="26"/>
          <w:szCs w:val="26"/>
        </w:rPr>
        <w:t xml:space="preserve">31.05.2021 №1124 </w:t>
      </w:r>
      <w:r w:rsidR="00DB212B" w:rsidRPr="00F562A8">
        <w:rPr>
          <w:rFonts w:ascii="Times New Roman" w:hAnsi="Times New Roman" w:cs="Times New Roman"/>
          <w:sz w:val="26"/>
          <w:szCs w:val="26"/>
        </w:rPr>
        <w:t>«</w:t>
      </w:r>
      <w:r w:rsidR="007E7E1D">
        <w:rPr>
          <w:rFonts w:ascii="Times New Roman" w:hAnsi="Times New Roman" w:cs="Times New Roman"/>
          <w:sz w:val="26"/>
          <w:szCs w:val="26"/>
        </w:rPr>
        <w:t xml:space="preserve">О проведении в 2022 году государственной кадастровой оценки одновременно в отношении всех учтённых в Едином государственном реестре недвижимости земельных участков на территории Воронежской </w:t>
      </w:r>
      <w:r w:rsidR="007E7E1D" w:rsidRPr="00B5169F">
        <w:rPr>
          <w:rFonts w:ascii="Times New Roman" w:hAnsi="Times New Roman" w:cs="Times New Roman"/>
          <w:sz w:val="26"/>
          <w:szCs w:val="26"/>
        </w:rPr>
        <w:t>области</w:t>
      </w:r>
      <w:r w:rsidR="00DB212B" w:rsidRPr="00B5169F">
        <w:rPr>
          <w:rFonts w:ascii="Times New Roman" w:hAnsi="Times New Roman" w:cs="Times New Roman"/>
          <w:sz w:val="26"/>
          <w:szCs w:val="26"/>
        </w:rPr>
        <w:t>» (Приложение</w:t>
      </w:r>
      <w:r w:rsidR="00CE4D0B" w:rsidRPr="00B5169F">
        <w:rPr>
          <w:rFonts w:ascii="Times New Roman" w:hAnsi="Times New Roman" w:cs="Times New Roman"/>
          <w:sz w:val="26"/>
          <w:szCs w:val="26"/>
        </w:rPr>
        <w:t xml:space="preserve"> </w:t>
      </w:r>
      <w:r w:rsidR="00E32F50">
        <w:rPr>
          <w:rFonts w:ascii="Times New Roman" w:hAnsi="Times New Roman" w:cs="Times New Roman"/>
          <w:sz w:val="26"/>
          <w:szCs w:val="26"/>
        </w:rPr>
        <w:t>1/</w:t>
      </w:r>
      <w:r w:rsidR="00DB212B" w:rsidRPr="00B5169F">
        <w:rPr>
          <w:rFonts w:ascii="Times New Roman" w:hAnsi="Times New Roman" w:cs="Times New Roman"/>
          <w:sz w:val="26"/>
          <w:szCs w:val="26"/>
        </w:rPr>
        <w:t>1.1)</w:t>
      </w:r>
      <w:r w:rsidR="005D0003" w:rsidRPr="00B5169F">
        <w:rPr>
          <w:rFonts w:ascii="Times New Roman" w:hAnsi="Times New Roman" w:cs="Times New Roman"/>
          <w:sz w:val="26"/>
          <w:szCs w:val="26"/>
        </w:rPr>
        <w:t>.</w:t>
      </w:r>
    </w:p>
    <w:p w14:paraId="24A5B68E" w14:textId="77777777" w:rsidR="00A77435" w:rsidRPr="00F562A8" w:rsidRDefault="00A77435" w:rsidP="00A77435">
      <w:pPr>
        <w:spacing w:after="0" w:line="300" w:lineRule="auto"/>
        <w:ind w:firstLine="709"/>
        <w:jc w:val="both"/>
        <w:rPr>
          <w:rFonts w:ascii="Times New Roman" w:hAnsi="Times New Roman" w:cs="Times New Roman"/>
          <w:i/>
          <w:sz w:val="16"/>
          <w:szCs w:val="16"/>
        </w:rPr>
      </w:pPr>
    </w:p>
    <w:p w14:paraId="02DAF001" w14:textId="77777777" w:rsidR="00940EC9" w:rsidRPr="00F562A8" w:rsidRDefault="00940EC9" w:rsidP="006F6435">
      <w:pPr>
        <w:spacing w:after="0" w:line="276" w:lineRule="auto"/>
        <w:ind w:firstLine="709"/>
        <w:jc w:val="both"/>
        <w:rPr>
          <w:rFonts w:ascii="Times New Roman" w:hAnsi="Times New Roman" w:cs="Times New Roman"/>
          <w:sz w:val="16"/>
          <w:szCs w:val="16"/>
        </w:rPr>
      </w:pPr>
    </w:p>
    <w:p w14:paraId="7753DF90" w14:textId="77777777" w:rsidR="00B24289" w:rsidRDefault="00B24289">
      <w:pPr>
        <w:rPr>
          <w:rFonts w:ascii="Times New Roman" w:eastAsiaTheme="majorEastAsia" w:hAnsi="Times New Roman" w:cs="Times New Roman"/>
          <w:b/>
          <w:sz w:val="26"/>
          <w:szCs w:val="26"/>
        </w:rPr>
      </w:pPr>
      <w:bookmarkStart w:id="17" w:name="_Toc12440215"/>
      <w:bookmarkStart w:id="18" w:name="_Toc20659536"/>
      <w:r>
        <w:rPr>
          <w:rFonts w:cs="Times New Roman"/>
          <w:sz w:val="26"/>
        </w:rPr>
        <w:br w:type="page"/>
      </w:r>
    </w:p>
    <w:p w14:paraId="34BEF8FC" w14:textId="62DDF02D" w:rsidR="00A8138C" w:rsidRPr="00F562A8" w:rsidRDefault="00A8138C" w:rsidP="006F6435">
      <w:pPr>
        <w:pStyle w:val="20"/>
        <w:spacing w:after="120" w:line="276" w:lineRule="auto"/>
        <w:rPr>
          <w:rFonts w:cs="Times New Roman"/>
          <w:sz w:val="26"/>
        </w:rPr>
      </w:pPr>
      <w:bookmarkStart w:id="19" w:name="_Toc110506923"/>
      <w:r w:rsidRPr="00F562A8">
        <w:rPr>
          <w:rFonts w:cs="Times New Roman"/>
          <w:sz w:val="26"/>
        </w:rPr>
        <w:t>2.</w:t>
      </w:r>
      <w:r w:rsidR="000C3AEA">
        <w:rPr>
          <w:rFonts w:cs="Times New Roman"/>
          <w:sz w:val="26"/>
        </w:rPr>
        <w:t>4</w:t>
      </w:r>
      <w:r w:rsidRPr="00F562A8">
        <w:rPr>
          <w:rFonts w:cs="Times New Roman"/>
          <w:sz w:val="26"/>
        </w:rPr>
        <w:t xml:space="preserve"> Перечень, документов, которые использовались при определении кадастровой стоимости объектов недвижимости</w:t>
      </w:r>
      <w:bookmarkEnd w:id="17"/>
      <w:bookmarkEnd w:id="18"/>
      <w:bookmarkEnd w:id="19"/>
    </w:p>
    <w:p w14:paraId="498E7E7C" w14:textId="77777777" w:rsidR="00940EC9" w:rsidRPr="009E1321" w:rsidRDefault="00940EC9" w:rsidP="0051252F">
      <w:pPr>
        <w:spacing w:after="0" w:line="276" w:lineRule="auto"/>
        <w:ind w:firstLine="709"/>
        <w:jc w:val="both"/>
        <w:rPr>
          <w:rFonts w:ascii="Times New Roman" w:eastAsia="Times New Roman" w:hAnsi="Times New Roman" w:cs="Times New Roman"/>
          <w:spacing w:val="-5"/>
          <w:sz w:val="16"/>
          <w:szCs w:val="16"/>
        </w:rPr>
      </w:pPr>
    </w:p>
    <w:p w14:paraId="30250094" w14:textId="6BBACF1C" w:rsidR="00430361" w:rsidRPr="0051252F" w:rsidRDefault="00430361" w:rsidP="0051252F">
      <w:pPr>
        <w:spacing w:after="0" w:line="276" w:lineRule="auto"/>
        <w:ind w:firstLine="709"/>
        <w:jc w:val="both"/>
        <w:rPr>
          <w:rFonts w:ascii="Times New Roman" w:eastAsia="Times New Roman" w:hAnsi="Times New Roman" w:cs="Times New Roman"/>
          <w:spacing w:val="-5"/>
          <w:sz w:val="26"/>
          <w:szCs w:val="26"/>
        </w:rPr>
      </w:pPr>
      <w:r w:rsidRPr="0051252F">
        <w:rPr>
          <w:rFonts w:ascii="Times New Roman" w:eastAsia="Times New Roman" w:hAnsi="Times New Roman" w:cs="Times New Roman"/>
          <w:spacing w:val="-5"/>
          <w:sz w:val="26"/>
          <w:szCs w:val="26"/>
        </w:rPr>
        <w:t xml:space="preserve">При определении кадастровой стоимости работниками </w:t>
      </w:r>
      <w:r w:rsidR="00A83BCA" w:rsidRPr="0051252F">
        <w:rPr>
          <w:rFonts w:ascii="Times New Roman" w:eastAsia="Times New Roman" w:hAnsi="Times New Roman" w:cs="Times New Roman"/>
          <w:spacing w:val="-5"/>
          <w:sz w:val="26"/>
          <w:szCs w:val="26"/>
        </w:rPr>
        <w:t>Учреждения</w:t>
      </w:r>
      <w:r w:rsidRPr="0051252F">
        <w:rPr>
          <w:rFonts w:ascii="Times New Roman" w:eastAsia="Times New Roman" w:hAnsi="Times New Roman" w:cs="Times New Roman"/>
          <w:spacing w:val="-5"/>
          <w:sz w:val="26"/>
          <w:szCs w:val="26"/>
        </w:rPr>
        <w:t xml:space="preserve"> использовалась следующая информация:</w:t>
      </w:r>
    </w:p>
    <w:p w14:paraId="78A853B0" w14:textId="77777777" w:rsidR="00523119" w:rsidRPr="00F562A8" w:rsidRDefault="00523119" w:rsidP="006F6435">
      <w:pPr>
        <w:spacing w:before="120" w:after="0" w:line="276" w:lineRule="auto"/>
        <w:ind w:firstLine="708"/>
        <w:jc w:val="both"/>
        <w:rPr>
          <w:rFonts w:ascii="Times New Roman" w:hAnsi="Times New Roman" w:cs="Times New Roman"/>
          <w:sz w:val="16"/>
          <w:szCs w:val="16"/>
        </w:rPr>
      </w:pPr>
    </w:p>
    <w:p w14:paraId="55CCE2C8" w14:textId="34E1C3F2" w:rsidR="00430361" w:rsidRPr="000C3AEA" w:rsidRDefault="00430361" w:rsidP="000C3AEA">
      <w:pPr>
        <w:pStyle w:val="ab"/>
        <w:numPr>
          <w:ilvl w:val="2"/>
          <w:numId w:val="1"/>
        </w:numPr>
        <w:spacing w:line="276" w:lineRule="auto"/>
        <w:jc w:val="center"/>
        <w:rPr>
          <w:rFonts w:ascii="Times New Roman" w:hAnsi="Times New Roman" w:cs="Times New Roman"/>
          <w:b/>
          <w:sz w:val="26"/>
          <w:szCs w:val="26"/>
        </w:rPr>
      </w:pPr>
      <w:r w:rsidRPr="000C3AEA">
        <w:rPr>
          <w:rFonts w:ascii="Times New Roman" w:hAnsi="Times New Roman" w:cs="Times New Roman"/>
          <w:b/>
          <w:sz w:val="26"/>
          <w:szCs w:val="26"/>
        </w:rPr>
        <w:t>Нормативно-правовая и методическая</w:t>
      </w:r>
    </w:p>
    <w:p w14:paraId="0E54DEFE" w14:textId="1898C84B" w:rsidR="00430361" w:rsidRPr="00F562A8" w:rsidRDefault="00430361" w:rsidP="006F6435">
      <w:pPr>
        <w:pStyle w:val="ab"/>
        <w:spacing w:before="120" w:after="0" w:line="276" w:lineRule="auto"/>
        <w:ind w:left="1065"/>
        <w:jc w:val="right"/>
        <w:rPr>
          <w:rFonts w:ascii="Times New Roman" w:hAnsi="Times New Roman" w:cs="Times New Roman"/>
          <w:sz w:val="26"/>
          <w:szCs w:val="26"/>
        </w:rPr>
      </w:pPr>
      <w:r w:rsidRPr="00F562A8">
        <w:rPr>
          <w:rFonts w:ascii="Times New Roman" w:hAnsi="Times New Roman" w:cs="Times New Roman"/>
          <w:sz w:val="26"/>
          <w:szCs w:val="26"/>
        </w:rPr>
        <w:t xml:space="preserve">Таблица </w:t>
      </w:r>
      <w:r w:rsidR="001C0A37" w:rsidRPr="00F562A8">
        <w:rPr>
          <w:rFonts w:ascii="Times New Roman" w:hAnsi="Times New Roman" w:cs="Times New Roman"/>
          <w:sz w:val="26"/>
          <w:szCs w:val="26"/>
        </w:rPr>
        <w:t>2.</w:t>
      </w:r>
      <w:r w:rsidR="00722202">
        <w:rPr>
          <w:rFonts w:ascii="Times New Roman" w:hAnsi="Times New Roman" w:cs="Times New Roman"/>
          <w:sz w:val="26"/>
          <w:szCs w:val="26"/>
        </w:rPr>
        <w:t>4</w:t>
      </w:r>
      <w:r w:rsidR="001C0A37" w:rsidRPr="00F562A8">
        <w:rPr>
          <w:rFonts w:ascii="Times New Roman" w:hAnsi="Times New Roman" w:cs="Times New Roman"/>
          <w:sz w:val="26"/>
          <w:szCs w:val="26"/>
        </w:rPr>
        <w:t>.</w:t>
      </w:r>
      <w:r w:rsidRPr="00F562A8">
        <w:rPr>
          <w:rFonts w:ascii="Times New Roman" w:hAnsi="Times New Roman" w:cs="Times New Roman"/>
          <w:sz w:val="26"/>
          <w:szCs w:val="26"/>
        </w:rPr>
        <w:t>1.</w:t>
      </w:r>
    </w:p>
    <w:p w14:paraId="33936C5B" w14:textId="6CCDB171" w:rsidR="00430361" w:rsidRPr="00F562A8" w:rsidRDefault="00430361" w:rsidP="006F6435">
      <w:pPr>
        <w:spacing w:before="120" w:after="0" w:line="276" w:lineRule="auto"/>
        <w:jc w:val="center"/>
        <w:rPr>
          <w:rFonts w:ascii="Times New Roman" w:hAnsi="Times New Roman" w:cs="Times New Roman"/>
          <w:sz w:val="26"/>
          <w:szCs w:val="26"/>
        </w:rPr>
      </w:pPr>
      <w:r w:rsidRPr="00F562A8">
        <w:rPr>
          <w:rFonts w:ascii="Times New Roman" w:hAnsi="Times New Roman" w:cs="Times New Roman"/>
          <w:b/>
          <w:sz w:val="26"/>
          <w:szCs w:val="26"/>
        </w:rPr>
        <w:t>Нормативные правовые акты, методические и нормативно-технические документы</w:t>
      </w:r>
    </w:p>
    <w:tbl>
      <w:tblPr>
        <w:tblStyle w:val="91"/>
        <w:tblW w:w="0" w:type="auto"/>
        <w:tblLook w:val="04A0" w:firstRow="1" w:lastRow="0" w:firstColumn="1" w:lastColumn="0" w:noHBand="0" w:noVBand="1"/>
      </w:tblPr>
      <w:tblGrid>
        <w:gridCol w:w="988"/>
        <w:gridCol w:w="8356"/>
      </w:tblGrid>
      <w:tr w:rsidR="00430361" w:rsidRPr="00FD2D5D" w14:paraId="1EC1AD45" w14:textId="77777777" w:rsidTr="00090E3E">
        <w:tc>
          <w:tcPr>
            <w:tcW w:w="988" w:type="dxa"/>
          </w:tcPr>
          <w:p w14:paraId="09EC49F9" w14:textId="77777777" w:rsidR="00430361" w:rsidRPr="00FD2D5D" w:rsidRDefault="00430361" w:rsidP="006F6435">
            <w:pPr>
              <w:spacing w:line="276" w:lineRule="auto"/>
              <w:jc w:val="center"/>
              <w:rPr>
                <w:rFonts w:ascii="Times New Roman" w:hAnsi="Times New Roman" w:cs="Times New Roman"/>
                <w:b/>
              </w:rPr>
            </w:pPr>
            <w:bookmarkStart w:id="20" w:name="_Hlk106609252"/>
            <w:r w:rsidRPr="00FD2D5D">
              <w:rPr>
                <w:rFonts w:ascii="Times New Roman" w:hAnsi="Times New Roman" w:cs="Times New Roman"/>
                <w:b/>
              </w:rPr>
              <w:t>№ п/п</w:t>
            </w:r>
          </w:p>
        </w:tc>
        <w:tc>
          <w:tcPr>
            <w:tcW w:w="8356" w:type="dxa"/>
          </w:tcPr>
          <w:p w14:paraId="48DE99DE" w14:textId="77777777" w:rsidR="00430361" w:rsidRPr="00FD2D5D" w:rsidRDefault="00430361" w:rsidP="006F6435">
            <w:pPr>
              <w:spacing w:line="276" w:lineRule="auto"/>
              <w:jc w:val="center"/>
              <w:rPr>
                <w:rFonts w:ascii="Times New Roman" w:hAnsi="Times New Roman" w:cs="Times New Roman"/>
                <w:b/>
              </w:rPr>
            </w:pPr>
            <w:r w:rsidRPr="00FD2D5D">
              <w:rPr>
                <w:rFonts w:ascii="Times New Roman" w:hAnsi="Times New Roman" w:cs="Times New Roman"/>
                <w:b/>
              </w:rPr>
              <w:t>Наименования и иные реквизиты</w:t>
            </w:r>
          </w:p>
        </w:tc>
      </w:tr>
      <w:tr w:rsidR="00FD2D5D" w:rsidRPr="00FD2D5D" w14:paraId="7E786435" w14:textId="77777777" w:rsidTr="00090E3E">
        <w:tc>
          <w:tcPr>
            <w:tcW w:w="988" w:type="dxa"/>
          </w:tcPr>
          <w:p w14:paraId="0720FED2" w14:textId="2046D211"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17DC6E19" w14:textId="671D37F2"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 xml:space="preserve">"Земельный кодекс Российской Федерации" от 25.10.2001 N 136-ФЗ </w:t>
            </w:r>
          </w:p>
        </w:tc>
      </w:tr>
      <w:tr w:rsidR="00FD2D5D" w:rsidRPr="00FD2D5D" w14:paraId="02C9D2B6" w14:textId="77777777" w:rsidTr="00090E3E">
        <w:tc>
          <w:tcPr>
            <w:tcW w:w="988" w:type="dxa"/>
          </w:tcPr>
          <w:p w14:paraId="6BA94F1F" w14:textId="57F592B7"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594D3A7E" w14:textId="5BFC1AAF"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 xml:space="preserve">"Градостроительный кодекс Российской Федерации" от 29.12.2004 N 190-ФЗ </w:t>
            </w:r>
          </w:p>
        </w:tc>
      </w:tr>
      <w:tr w:rsidR="00FD2D5D" w:rsidRPr="00FD2D5D" w14:paraId="416D4C75" w14:textId="77777777" w:rsidTr="00090E3E">
        <w:tc>
          <w:tcPr>
            <w:tcW w:w="988" w:type="dxa"/>
          </w:tcPr>
          <w:p w14:paraId="13A548EA" w14:textId="030A6DB2"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46EB06B6" w14:textId="02AAAC0A"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 xml:space="preserve">"Водный кодекс Российской Федерации" от 03.06.2006 N 74-ФЗ </w:t>
            </w:r>
          </w:p>
        </w:tc>
      </w:tr>
      <w:tr w:rsidR="00FD2D5D" w:rsidRPr="00FD2D5D" w14:paraId="7D2FE554" w14:textId="77777777" w:rsidTr="00090E3E">
        <w:tc>
          <w:tcPr>
            <w:tcW w:w="988" w:type="dxa"/>
          </w:tcPr>
          <w:p w14:paraId="191B0444" w14:textId="421EF8C4"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3C7F5D6D" w14:textId="75F6EBCB"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 xml:space="preserve">"Гражданский кодекс Российской Федерации (часть первая)" от 30.11.1994 N 51-ФЗ </w:t>
            </w:r>
          </w:p>
        </w:tc>
      </w:tr>
      <w:tr w:rsidR="00FD2D5D" w:rsidRPr="00FD2D5D" w14:paraId="7D8391F3" w14:textId="77777777" w:rsidTr="00090E3E">
        <w:tc>
          <w:tcPr>
            <w:tcW w:w="988" w:type="dxa"/>
          </w:tcPr>
          <w:p w14:paraId="317DB357" w14:textId="393A4C66"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3E55D2C5" w14:textId="2B283EBF"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 xml:space="preserve">"Гражданский кодекс Российской Федерации (часть вторая)" от 26.01.1996 N 14-ФЗ </w:t>
            </w:r>
          </w:p>
        </w:tc>
      </w:tr>
      <w:tr w:rsidR="00FD2D5D" w:rsidRPr="00FD2D5D" w14:paraId="1E859B0A" w14:textId="77777777" w:rsidTr="00090E3E">
        <w:tc>
          <w:tcPr>
            <w:tcW w:w="988" w:type="dxa"/>
          </w:tcPr>
          <w:p w14:paraId="3B8314EF" w14:textId="0C91C3B1"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2EC6DFD4" w14:textId="7AD74D1C"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 xml:space="preserve">"Гражданский кодекс Российской Федерации (часть третья)" от 26.11.2001 N 146-ФЗ </w:t>
            </w:r>
          </w:p>
        </w:tc>
      </w:tr>
      <w:tr w:rsidR="00FD2D5D" w:rsidRPr="00FD2D5D" w14:paraId="549CFA6D" w14:textId="77777777" w:rsidTr="00090E3E">
        <w:tc>
          <w:tcPr>
            <w:tcW w:w="988" w:type="dxa"/>
          </w:tcPr>
          <w:p w14:paraId="06998C01" w14:textId="4F0D2096"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4B9CACC6" w14:textId="584EAC2D"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 xml:space="preserve">"Гражданский кодекс Российской Федерации (часть четвертая)" от 18.12.2006 N 230-ФЗ </w:t>
            </w:r>
          </w:p>
        </w:tc>
      </w:tr>
      <w:tr w:rsidR="00FD2D5D" w:rsidRPr="00FD2D5D" w14:paraId="14C87894" w14:textId="77777777" w:rsidTr="00090E3E">
        <w:tc>
          <w:tcPr>
            <w:tcW w:w="988" w:type="dxa"/>
          </w:tcPr>
          <w:p w14:paraId="254000EA" w14:textId="45A7F8AD"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236FD844" w14:textId="17BCF009"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 xml:space="preserve">"Лесной кодекс Российской Федерации" от 04.12.2006 N 200-ФЗ </w:t>
            </w:r>
          </w:p>
        </w:tc>
      </w:tr>
      <w:tr w:rsidR="00FD2D5D" w:rsidRPr="00FD2D5D" w14:paraId="49FFB559" w14:textId="77777777" w:rsidTr="00090E3E">
        <w:tc>
          <w:tcPr>
            <w:tcW w:w="988" w:type="dxa"/>
          </w:tcPr>
          <w:p w14:paraId="69C6915E" w14:textId="57FBEB0C"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01C3A78E" w14:textId="37E1828C"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 xml:space="preserve">"Налоговый кодекс Российской Федерации (часть первая)" от 31.07.1998 N 146-ФЗ </w:t>
            </w:r>
          </w:p>
        </w:tc>
      </w:tr>
      <w:tr w:rsidR="00FD2D5D" w:rsidRPr="00FD2D5D" w14:paraId="455A5B93" w14:textId="77777777" w:rsidTr="00090E3E">
        <w:tc>
          <w:tcPr>
            <w:tcW w:w="988" w:type="dxa"/>
          </w:tcPr>
          <w:p w14:paraId="71DCEB1A" w14:textId="76752244"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43343822" w14:textId="56C1DCE6"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 xml:space="preserve">"Налоговый кодекс Российской Федерации (часть вторая)" от 05.08.2000 N 117-ФЗ </w:t>
            </w:r>
          </w:p>
        </w:tc>
      </w:tr>
      <w:tr w:rsidR="00FD2D5D" w:rsidRPr="00FD2D5D" w14:paraId="2A72A59A" w14:textId="77777777" w:rsidTr="00090E3E">
        <w:tc>
          <w:tcPr>
            <w:tcW w:w="988" w:type="dxa"/>
          </w:tcPr>
          <w:p w14:paraId="3677ED78" w14:textId="06B09506"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31DDF0FB" w14:textId="61E309A6"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Федеральный закон от 03.07.2016 N 237-ФЗ "О государственной кадастровой оценке"</w:t>
            </w:r>
          </w:p>
        </w:tc>
      </w:tr>
      <w:tr w:rsidR="00FD2D5D" w:rsidRPr="00FD2D5D" w14:paraId="702F3ADD" w14:textId="77777777" w:rsidTr="00090E3E">
        <w:tc>
          <w:tcPr>
            <w:tcW w:w="988" w:type="dxa"/>
          </w:tcPr>
          <w:p w14:paraId="0B47C550" w14:textId="3F51C6A5"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5B6942A9" w14:textId="4266934F"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Федеральный закон от 10.01.1996 N 4-ФЗ "О мелиорации земель"</w:t>
            </w:r>
          </w:p>
        </w:tc>
      </w:tr>
      <w:tr w:rsidR="00FD2D5D" w:rsidRPr="00FD2D5D" w14:paraId="644DF4E5" w14:textId="77777777" w:rsidTr="00090E3E">
        <w:tc>
          <w:tcPr>
            <w:tcW w:w="988" w:type="dxa"/>
          </w:tcPr>
          <w:p w14:paraId="5EF21895" w14:textId="3F3E7C03"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08A60657" w14:textId="29522366"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Федеральный закон от 14.03.1995 N 33-ФЗ "Об особо охраняемых природных территориях"</w:t>
            </w:r>
          </w:p>
        </w:tc>
      </w:tr>
      <w:tr w:rsidR="00FD2D5D" w:rsidRPr="00FD2D5D" w14:paraId="19B74593" w14:textId="77777777" w:rsidTr="00090E3E">
        <w:tc>
          <w:tcPr>
            <w:tcW w:w="988" w:type="dxa"/>
          </w:tcPr>
          <w:p w14:paraId="1DB8E55D" w14:textId="5B285149"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5943D10A" w14:textId="512D15DE"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Федеральный закон от 07.07.2003 N 112-ФЗ "О личном подсобном хозяйстве"</w:t>
            </w:r>
          </w:p>
        </w:tc>
      </w:tr>
      <w:tr w:rsidR="00FD2D5D" w:rsidRPr="00FD2D5D" w14:paraId="648C3080" w14:textId="77777777" w:rsidTr="00090E3E">
        <w:tc>
          <w:tcPr>
            <w:tcW w:w="988" w:type="dxa"/>
          </w:tcPr>
          <w:p w14:paraId="4E296B7B" w14:textId="77777777"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260D3A8E" w14:textId="02B6B609"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Федеральный закон от 24.07.2002 N 101-ФЗ "Об обороте земель сельскохозяйственного назначения"</w:t>
            </w:r>
          </w:p>
        </w:tc>
      </w:tr>
      <w:tr w:rsidR="00FD2D5D" w:rsidRPr="00FD2D5D" w14:paraId="1FF76188" w14:textId="77777777" w:rsidTr="00090E3E">
        <w:tc>
          <w:tcPr>
            <w:tcW w:w="988" w:type="dxa"/>
          </w:tcPr>
          <w:p w14:paraId="26F4E32F" w14:textId="34C34153"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1BBC4031" w14:textId="547737B7"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 xml:space="preserve">Федеральный закон от 13.07.2015 N 218-ФЗ "О государственной регистрации недвижимости" </w:t>
            </w:r>
          </w:p>
        </w:tc>
      </w:tr>
      <w:tr w:rsidR="00FD2D5D" w:rsidRPr="00FD2D5D" w14:paraId="5BDF385B" w14:textId="77777777" w:rsidTr="00090E3E">
        <w:trPr>
          <w:trHeight w:val="70"/>
        </w:trPr>
        <w:tc>
          <w:tcPr>
            <w:tcW w:w="988" w:type="dxa"/>
          </w:tcPr>
          <w:p w14:paraId="70656E0D" w14:textId="41ADE4E5"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7E3BEC25" w14:textId="53F17A54"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 xml:space="preserve">Приказ Минэкономразвития России от 12.05.2017 N 226 "Об утверждении методических указаний о государственной кадастровой </w:t>
            </w:r>
            <w:r w:rsidRPr="00FD2D5D">
              <w:rPr>
                <w:rFonts w:ascii="Times New Roman" w:hAnsi="Times New Roman" w:cs="Times New Roman"/>
                <w:color w:val="000000" w:themeColor="text1"/>
              </w:rPr>
              <w:t xml:space="preserve">оценке" </w:t>
            </w:r>
          </w:p>
        </w:tc>
      </w:tr>
      <w:tr w:rsidR="00FD2D5D" w:rsidRPr="00FD2D5D" w14:paraId="6A79D6C3" w14:textId="77777777" w:rsidTr="00090E3E">
        <w:tc>
          <w:tcPr>
            <w:tcW w:w="988" w:type="dxa"/>
          </w:tcPr>
          <w:p w14:paraId="63751911" w14:textId="77777777"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1E4F7CF7" w14:textId="6F697150"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Приказ Федеральной службы государственной регистрации, кадастра и картографии России от 04.08.2021 N П/0336 "Об утверждении Методических указаний о государственной кадастровой оценке"</w:t>
            </w:r>
          </w:p>
        </w:tc>
      </w:tr>
      <w:tr w:rsidR="00FD2D5D" w:rsidRPr="00FD2D5D" w14:paraId="27F80A5A" w14:textId="77777777" w:rsidTr="00090E3E">
        <w:tc>
          <w:tcPr>
            <w:tcW w:w="988" w:type="dxa"/>
          </w:tcPr>
          <w:p w14:paraId="1D81F113" w14:textId="4732F391"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1D0A1C9A" w14:textId="4ABE9B23"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 xml:space="preserve">Приказ Минэкономразвития России от 04.06.2019 N 318 "Об утверждении порядка рассмотрения декларации о характеристиках объекта недвижимости, в том числе ее формы" </w:t>
            </w:r>
          </w:p>
        </w:tc>
      </w:tr>
      <w:tr w:rsidR="00FD2D5D" w:rsidRPr="00FD2D5D" w14:paraId="776D3AD4" w14:textId="77777777" w:rsidTr="00090E3E">
        <w:tc>
          <w:tcPr>
            <w:tcW w:w="988" w:type="dxa"/>
          </w:tcPr>
          <w:p w14:paraId="71B1E054" w14:textId="08B6DB5E"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4FF7FB37" w14:textId="2FDC876B"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Приказ Росреестра от 24.05.2021 N П/0216 "Об утверждении Порядка рассмотрения декларации о характеристиках объекта недвижимости, в том числе ее формы"</w:t>
            </w:r>
          </w:p>
        </w:tc>
      </w:tr>
      <w:tr w:rsidR="00FD2D5D" w:rsidRPr="00FD2D5D" w14:paraId="1612DE57" w14:textId="77777777" w:rsidTr="00090E3E">
        <w:tc>
          <w:tcPr>
            <w:tcW w:w="988" w:type="dxa"/>
          </w:tcPr>
          <w:p w14:paraId="17799A8D" w14:textId="77777777"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2F2ABFF5" w14:textId="5B340E97"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Приказ Росреестра от 06.08.2020 N П/0283 "Об утверждении Порядка формирования и предоставления перечней объектов недвижимости"</w:t>
            </w:r>
          </w:p>
        </w:tc>
      </w:tr>
      <w:tr w:rsidR="00FD2D5D" w:rsidRPr="00FD2D5D" w14:paraId="4548B85A" w14:textId="77777777" w:rsidTr="00090E3E">
        <w:tc>
          <w:tcPr>
            <w:tcW w:w="988" w:type="dxa"/>
          </w:tcPr>
          <w:p w14:paraId="55C48470" w14:textId="77777777"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6F19A12A" w14:textId="384A639A"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 xml:space="preserve">Приказ Росреестра от 10.11.2020 № П/0412 «Об утверждении классификатора видов разрешенного использования земельных участков» </w:t>
            </w:r>
          </w:p>
        </w:tc>
      </w:tr>
      <w:tr w:rsidR="00FD2D5D" w:rsidRPr="00FD2D5D" w14:paraId="5386171A" w14:textId="77777777" w:rsidTr="00090E3E">
        <w:tc>
          <w:tcPr>
            <w:tcW w:w="988" w:type="dxa"/>
          </w:tcPr>
          <w:p w14:paraId="734A7D1F" w14:textId="77777777"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0BAEFF55" w14:textId="4751FFC7"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Приказ Росреестра от 06.08.2016 N П/0278 "Об утверждении Порядка ведения фонда данных государственной кадастровой оценки и предоставления сведений, включенных в этот фонд, а также Перечня иных сведений о кадастровой стоимости, о порядке и об основаниях ее определения, требований по их включению в фонд данных государственной кадастровой оценки"</w:t>
            </w:r>
          </w:p>
        </w:tc>
      </w:tr>
      <w:tr w:rsidR="00FD2D5D" w:rsidRPr="00FD2D5D" w14:paraId="320D4D00" w14:textId="77777777" w:rsidTr="00090E3E">
        <w:tc>
          <w:tcPr>
            <w:tcW w:w="988" w:type="dxa"/>
          </w:tcPr>
          <w:p w14:paraId="3476CCA7" w14:textId="6A0A68E2"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4C960366" w14:textId="1834A33C"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Приказ Росреестра от 06.08.2020 N П/0279 "Об установлении критериев соответствия методическим указаниям о государственной кадастровой оценке проекта отчета, обновленной версии проекта отчета, подготовленных бюджетным учреждением, созданным субъектом Российской Федерации и наделенным полномочиями, связанными с определением кадастровой стоимости"</w:t>
            </w:r>
          </w:p>
        </w:tc>
      </w:tr>
      <w:tr w:rsidR="00FD2D5D" w:rsidRPr="00FD2D5D" w14:paraId="1EE02561" w14:textId="77777777" w:rsidTr="00090E3E">
        <w:tc>
          <w:tcPr>
            <w:tcW w:w="988" w:type="dxa"/>
          </w:tcPr>
          <w:p w14:paraId="04743479" w14:textId="2C6687BC"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790DBB87" w14:textId="25BE4D89"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Приказ Росреестра от 06.08.2020 N П/0280 "Об утверждении Порядка рассмотрения обращений о предоставлении разъяснений, связанных с определением кадастровой стоимости, в том числе формы предоставления таких разъяснений"</w:t>
            </w:r>
          </w:p>
        </w:tc>
      </w:tr>
      <w:tr w:rsidR="00FD2D5D" w:rsidRPr="00FD2D5D" w14:paraId="5DA8BD6E" w14:textId="77777777" w:rsidTr="00090E3E">
        <w:tc>
          <w:tcPr>
            <w:tcW w:w="988" w:type="dxa"/>
          </w:tcPr>
          <w:p w14:paraId="1806AD1E" w14:textId="747204C5"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532C1830" w14:textId="7967A3F8"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Приказ Росреестра от 06.08.2020 N П/0282 "Об утверждении состава сведений, содержащихся в Едином государственном реестре недвижимости, предоставляемых в исполнительные органы государственной власти субъектов Российской Федерации, сроков, порядка и требований к формату их предоставления в электронной форме"</w:t>
            </w:r>
          </w:p>
        </w:tc>
      </w:tr>
      <w:tr w:rsidR="00FD2D5D" w:rsidRPr="00FD2D5D" w14:paraId="494D142C" w14:textId="77777777" w:rsidTr="00090E3E">
        <w:tc>
          <w:tcPr>
            <w:tcW w:w="988" w:type="dxa"/>
          </w:tcPr>
          <w:p w14:paraId="2D78168E" w14:textId="552DF2B9"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73060725" w14:textId="6057BCF6"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 xml:space="preserve">Приказ Росреестра от 06.08.2020 № П/0284 "Об утверждении Требований к отчету об итогах государственной кадастровой оценки" </w:t>
            </w:r>
          </w:p>
        </w:tc>
      </w:tr>
      <w:tr w:rsidR="00FD2D5D" w:rsidRPr="00FD2D5D" w14:paraId="1EF9B8F2" w14:textId="77777777" w:rsidTr="00090E3E">
        <w:tc>
          <w:tcPr>
            <w:tcW w:w="988" w:type="dxa"/>
          </w:tcPr>
          <w:p w14:paraId="5AA315CA" w14:textId="77777777"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3D87D4C1" w14:textId="20F90262"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Приказ Росреестра от 06.08.2020 N П/0285 "Об утверждении формы акта об определении кадастровой стоимости, требований к его подписанию, к составу систематизированных сведений об определении кадастровой стоимости, а также требований к формату такого акта и представляемых с ним документов в электронной форме"</w:t>
            </w:r>
          </w:p>
        </w:tc>
      </w:tr>
      <w:tr w:rsidR="00FD2D5D" w:rsidRPr="00FD2D5D" w14:paraId="396DB023" w14:textId="77777777" w:rsidTr="00090E3E">
        <w:tc>
          <w:tcPr>
            <w:tcW w:w="988" w:type="dxa"/>
          </w:tcPr>
          <w:p w14:paraId="37957E27" w14:textId="77777777"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7D156918" w14:textId="0BDD3B5A"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Приказ Росреестра от 18.11.2021 N П/0526 "Об установлении Порядка осуществления мониторинга проведения государственной кадастровой оценки, в том числе формы и требований к составлению мотивированного мнения, и перечня полномочий, возложенных Федеральным законом от 3 июля 2016 г. N 237-ФЗ "О государственной кадастровой оценке" на исполнительный орган государственной власти субъекта Российской Федерации, уполномоченный на принятие решения о проведении государственной кадастровой оценки, бюджетное учреждение, созданное субъектом Российской Федерации и наделенное полномочиями, связанными с определением кадастровой стоимости, в отношении которых осуществляется мониторинг проведения государственной кадастровой оценки"</w:t>
            </w:r>
          </w:p>
        </w:tc>
      </w:tr>
      <w:tr w:rsidR="00301D62" w:rsidRPr="00FD2D5D" w14:paraId="509A4073" w14:textId="77777777" w:rsidTr="00090E3E">
        <w:tc>
          <w:tcPr>
            <w:tcW w:w="988" w:type="dxa"/>
          </w:tcPr>
          <w:p w14:paraId="32DD0C6B" w14:textId="77777777" w:rsidR="00301D62" w:rsidRPr="00FD2D5D" w:rsidRDefault="00301D62" w:rsidP="00FD2D5D">
            <w:pPr>
              <w:pStyle w:val="ab"/>
              <w:numPr>
                <w:ilvl w:val="0"/>
                <w:numId w:val="3"/>
              </w:numPr>
              <w:spacing w:line="276" w:lineRule="auto"/>
              <w:jc w:val="center"/>
              <w:rPr>
                <w:rFonts w:ascii="Times New Roman" w:hAnsi="Times New Roman" w:cs="Times New Roman"/>
              </w:rPr>
            </w:pPr>
          </w:p>
        </w:tc>
        <w:tc>
          <w:tcPr>
            <w:tcW w:w="8356" w:type="dxa"/>
          </w:tcPr>
          <w:p w14:paraId="65322AA1" w14:textId="26B58727" w:rsidR="00301D62" w:rsidRPr="00FD2D5D" w:rsidRDefault="00301D62" w:rsidP="00FD2D5D">
            <w:pPr>
              <w:spacing w:line="276" w:lineRule="auto"/>
              <w:rPr>
                <w:rFonts w:ascii="Times New Roman" w:hAnsi="Times New Roman" w:cs="Times New Roman"/>
              </w:rPr>
            </w:pPr>
            <w:r w:rsidRPr="00FD2D5D">
              <w:rPr>
                <w:rFonts w:ascii="Times New Roman" w:hAnsi="Times New Roman" w:cs="Times New Roman"/>
              </w:rPr>
              <w:t xml:space="preserve">Приказ Росреестра от </w:t>
            </w:r>
            <w:r>
              <w:rPr>
                <w:rFonts w:ascii="Times New Roman" w:hAnsi="Times New Roman" w:cs="Times New Roman"/>
              </w:rPr>
              <w:t>14</w:t>
            </w:r>
            <w:r w:rsidRPr="00FD2D5D">
              <w:rPr>
                <w:rFonts w:ascii="Times New Roman" w:hAnsi="Times New Roman" w:cs="Times New Roman"/>
              </w:rPr>
              <w:t>.0</w:t>
            </w:r>
            <w:r>
              <w:rPr>
                <w:rFonts w:ascii="Times New Roman" w:hAnsi="Times New Roman" w:cs="Times New Roman"/>
              </w:rPr>
              <w:t>6</w:t>
            </w:r>
            <w:r w:rsidRPr="00FD2D5D">
              <w:rPr>
                <w:rFonts w:ascii="Times New Roman" w:hAnsi="Times New Roman" w:cs="Times New Roman"/>
              </w:rPr>
              <w:t>.202</w:t>
            </w:r>
            <w:r>
              <w:rPr>
                <w:rFonts w:ascii="Times New Roman" w:hAnsi="Times New Roman" w:cs="Times New Roman"/>
              </w:rPr>
              <w:t>2</w:t>
            </w:r>
            <w:r w:rsidRPr="00FD2D5D">
              <w:rPr>
                <w:rFonts w:ascii="Times New Roman" w:hAnsi="Times New Roman" w:cs="Times New Roman"/>
              </w:rPr>
              <w:t xml:space="preserve"> № П/02</w:t>
            </w:r>
            <w:r>
              <w:rPr>
                <w:rFonts w:ascii="Times New Roman" w:hAnsi="Times New Roman" w:cs="Times New Roman"/>
              </w:rPr>
              <w:t>25</w:t>
            </w:r>
            <w:r w:rsidRPr="00FD2D5D">
              <w:rPr>
                <w:rFonts w:ascii="Times New Roman" w:hAnsi="Times New Roman" w:cs="Times New Roman"/>
              </w:rPr>
              <w:t xml:space="preserve"> "Об у</w:t>
            </w:r>
            <w:r>
              <w:rPr>
                <w:rFonts w:ascii="Times New Roman" w:hAnsi="Times New Roman" w:cs="Times New Roman"/>
              </w:rPr>
              <w:t>становле</w:t>
            </w:r>
            <w:r w:rsidRPr="00FD2D5D">
              <w:rPr>
                <w:rFonts w:ascii="Times New Roman" w:hAnsi="Times New Roman" w:cs="Times New Roman"/>
              </w:rPr>
              <w:t>нии Требований к отчету об итогах государственной кадастровой оценки"</w:t>
            </w:r>
          </w:p>
        </w:tc>
      </w:tr>
      <w:tr w:rsidR="00301D62" w:rsidRPr="00FD2D5D" w14:paraId="4D3E5AE1" w14:textId="77777777" w:rsidTr="00090E3E">
        <w:tc>
          <w:tcPr>
            <w:tcW w:w="988" w:type="dxa"/>
          </w:tcPr>
          <w:p w14:paraId="0CAEBEEA" w14:textId="77777777" w:rsidR="00301D62" w:rsidRPr="00FD2D5D" w:rsidRDefault="00301D62" w:rsidP="00FD2D5D">
            <w:pPr>
              <w:pStyle w:val="ab"/>
              <w:numPr>
                <w:ilvl w:val="0"/>
                <w:numId w:val="3"/>
              </w:numPr>
              <w:spacing w:line="276" w:lineRule="auto"/>
              <w:jc w:val="center"/>
              <w:rPr>
                <w:rFonts w:ascii="Times New Roman" w:hAnsi="Times New Roman" w:cs="Times New Roman"/>
              </w:rPr>
            </w:pPr>
          </w:p>
        </w:tc>
        <w:tc>
          <w:tcPr>
            <w:tcW w:w="8356" w:type="dxa"/>
          </w:tcPr>
          <w:p w14:paraId="26DED281" w14:textId="766A5BBB" w:rsidR="00301D62" w:rsidRPr="00FD2D5D" w:rsidRDefault="00301D62" w:rsidP="00FD2D5D">
            <w:pPr>
              <w:spacing w:line="276" w:lineRule="auto"/>
              <w:rPr>
                <w:rFonts w:ascii="Times New Roman" w:hAnsi="Times New Roman" w:cs="Times New Roman"/>
              </w:rPr>
            </w:pPr>
            <w:r w:rsidRPr="00FD2D5D">
              <w:rPr>
                <w:rFonts w:ascii="Times New Roman" w:hAnsi="Times New Roman" w:cs="Times New Roman"/>
              </w:rPr>
              <w:t xml:space="preserve">Приказ Росреестра от </w:t>
            </w:r>
            <w:r>
              <w:rPr>
                <w:rFonts w:ascii="Times New Roman" w:hAnsi="Times New Roman" w:cs="Times New Roman"/>
              </w:rPr>
              <w:t>14</w:t>
            </w:r>
            <w:r w:rsidRPr="00FD2D5D">
              <w:rPr>
                <w:rFonts w:ascii="Times New Roman" w:hAnsi="Times New Roman" w:cs="Times New Roman"/>
              </w:rPr>
              <w:t>.0</w:t>
            </w:r>
            <w:r>
              <w:rPr>
                <w:rFonts w:ascii="Times New Roman" w:hAnsi="Times New Roman" w:cs="Times New Roman"/>
              </w:rPr>
              <w:t>6</w:t>
            </w:r>
            <w:r w:rsidRPr="00FD2D5D">
              <w:rPr>
                <w:rFonts w:ascii="Times New Roman" w:hAnsi="Times New Roman" w:cs="Times New Roman"/>
              </w:rPr>
              <w:t>.202</w:t>
            </w:r>
            <w:r>
              <w:rPr>
                <w:rFonts w:ascii="Times New Roman" w:hAnsi="Times New Roman" w:cs="Times New Roman"/>
              </w:rPr>
              <w:t>2</w:t>
            </w:r>
            <w:r w:rsidRPr="00FD2D5D">
              <w:rPr>
                <w:rFonts w:ascii="Times New Roman" w:hAnsi="Times New Roman" w:cs="Times New Roman"/>
              </w:rPr>
              <w:t xml:space="preserve"> № П/02</w:t>
            </w:r>
            <w:r>
              <w:rPr>
                <w:rFonts w:ascii="Times New Roman" w:hAnsi="Times New Roman" w:cs="Times New Roman"/>
              </w:rPr>
              <w:t>26</w:t>
            </w:r>
            <w:r w:rsidRPr="00FD2D5D">
              <w:rPr>
                <w:rFonts w:ascii="Times New Roman" w:hAnsi="Times New Roman" w:cs="Times New Roman"/>
              </w:rPr>
              <w:t xml:space="preserve"> "Об у</w:t>
            </w:r>
            <w:r>
              <w:rPr>
                <w:rFonts w:ascii="Times New Roman" w:hAnsi="Times New Roman" w:cs="Times New Roman"/>
              </w:rPr>
              <w:t>становле</w:t>
            </w:r>
            <w:r w:rsidRPr="00FD2D5D">
              <w:rPr>
                <w:rFonts w:ascii="Times New Roman" w:hAnsi="Times New Roman" w:cs="Times New Roman"/>
              </w:rPr>
              <w:t xml:space="preserve">нии </w:t>
            </w:r>
            <w:r>
              <w:rPr>
                <w:rFonts w:ascii="Times New Roman" w:hAnsi="Times New Roman" w:cs="Times New Roman"/>
              </w:rPr>
              <w:t>критериев соответсвия методическим указаниям о</w:t>
            </w:r>
            <w:r w:rsidRPr="00FD2D5D">
              <w:rPr>
                <w:rFonts w:ascii="Times New Roman" w:hAnsi="Times New Roman" w:cs="Times New Roman"/>
              </w:rPr>
              <w:t xml:space="preserve"> государственной кадастровой оценки</w:t>
            </w:r>
            <w:r>
              <w:rPr>
                <w:rFonts w:ascii="Times New Roman" w:hAnsi="Times New Roman" w:cs="Times New Roman"/>
              </w:rPr>
              <w:t xml:space="preserve"> проекта отчета, обновленной версии проекта отчета, составленных бюджетным учреждением, созданным субъектом Российской Федерации и наделенным полномочиями, связанными с определением кадастровой стоимости</w:t>
            </w:r>
            <w:r w:rsidRPr="00FD2D5D">
              <w:rPr>
                <w:rFonts w:ascii="Times New Roman" w:hAnsi="Times New Roman" w:cs="Times New Roman"/>
              </w:rPr>
              <w:t>"</w:t>
            </w:r>
          </w:p>
        </w:tc>
      </w:tr>
      <w:tr w:rsidR="00FD2D5D" w:rsidRPr="00FD2D5D" w14:paraId="639F47B8" w14:textId="77777777" w:rsidTr="00090E3E">
        <w:tc>
          <w:tcPr>
            <w:tcW w:w="988" w:type="dxa"/>
          </w:tcPr>
          <w:p w14:paraId="34728852" w14:textId="77777777"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28E49119" w14:textId="413AA5B1"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Постановление Правительства Воронежской обл. от 14.02.2018 N 144 "О создании государственного бюджетного учреждения Воронежской области "Центр государственной кадастровой оценки Воронежской области"</w:t>
            </w:r>
          </w:p>
        </w:tc>
      </w:tr>
      <w:tr w:rsidR="00FD2D5D" w:rsidRPr="00FD2D5D" w14:paraId="0ABAD62B" w14:textId="77777777" w:rsidTr="00090E3E">
        <w:tc>
          <w:tcPr>
            <w:tcW w:w="988" w:type="dxa"/>
          </w:tcPr>
          <w:p w14:paraId="095DBD76" w14:textId="77777777"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6C3A1169" w14:textId="01F34169"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Постановление Правительства Воронежской обл. от 20.12.2018 N 1158 "О дате перехода к проведению государственной кадастровой оценки на территории Воронежской области в соответствии с Федеральным законом от 03.07.2016 N 237-ФЗ "О государственной кадастровой оценке"</w:t>
            </w:r>
          </w:p>
        </w:tc>
      </w:tr>
      <w:tr w:rsidR="00FD2D5D" w:rsidRPr="00FD2D5D" w14:paraId="08B3A8CF" w14:textId="77777777" w:rsidTr="00090E3E">
        <w:tc>
          <w:tcPr>
            <w:tcW w:w="988" w:type="dxa"/>
          </w:tcPr>
          <w:p w14:paraId="5097A595" w14:textId="77777777"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64B82D6D" w14:textId="6C20FEE8"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Приказ Департамента имущественных и земельных отношений Воронежской области от 31.05.2021 №1124 «О проведении в 2022 году государственной кадастровой оценки одновременно в отношении всех учтённых в Едином государственном реестре недвижимости земельных участков на территории Воронежской области</w:t>
            </w:r>
          </w:p>
        </w:tc>
      </w:tr>
      <w:tr w:rsidR="00FD2D5D" w:rsidRPr="00FD2D5D" w14:paraId="087CFAF2" w14:textId="77777777" w:rsidTr="00090E3E">
        <w:tc>
          <w:tcPr>
            <w:tcW w:w="988" w:type="dxa"/>
          </w:tcPr>
          <w:p w14:paraId="42F76410" w14:textId="77777777"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27C69633" w14:textId="48DFF91A" w:rsidR="00FD2D5D" w:rsidRPr="00FD2D5D" w:rsidRDefault="00FD2D5D" w:rsidP="00FD2D5D">
            <w:pPr>
              <w:spacing w:line="276" w:lineRule="auto"/>
              <w:rPr>
                <w:rFonts w:ascii="Times New Roman" w:hAnsi="Times New Roman" w:cs="Times New Roman"/>
              </w:rPr>
            </w:pPr>
            <w:r w:rsidRPr="00FD2D5D">
              <w:rPr>
                <w:rFonts w:ascii="Times New Roman" w:hAnsi="Times New Roman" w:cs="Times New Roman"/>
              </w:rPr>
              <w:t>Методические рекомендации по оценке качества и классификации земель по их пригодности для использования в сельском хозяйстве. Москва, 2004г.</w:t>
            </w:r>
          </w:p>
        </w:tc>
      </w:tr>
      <w:tr w:rsidR="00FD2D5D" w:rsidRPr="00F562A8" w14:paraId="475342D3" w14:textId="77777777" w:rsidTr="00090E3E">
        <w:tc>
          <w:tcPr>
            <w:tcW w:w="988" w:type="dxa"/>
          </w:tcPr>
          <w:p w14:paraId="2FA36250" w14:textId="77777777" w:rsidR="00FD2D5D" w:rsidRPr="00FD2D5D" w:rsidRDefault="00FD2D5D" w:rsidP="00FD2D5D">
            <w:pPr>
              <w:pStyle w:val="ab"/>
              <w:numPr>
                <w:ilvl w:val="0"/>
                <w:numId w:val="3"/>
              </w:numPr>
              <w:spacing w:line="276" w:lineRule="auto"/>
              <w:jc w:val="center"/>
              <w:rPr>
                <w:rFonts w:ascii="Times New Roman" w:hAnsi="Times New Roman" w:cs="Times New Roman"/>
              </w:rPr>
            </w:pPr>
          </w:p>
        </w:tc>
        <w:tc>
          <w:tcPr>
            <w:tcW w:w="8356" w:type="dxa"/>
          </w:tcPr>
          <w:p w14:paraId="29FF6F08" w14:textId="53643DB9" w:rsidR="00FD2D5D" w:rsidRPr="00F562A8" w:rsidRDefault="00FD2D5D" w:rsidP="00FD2D5D">
            <w:pPr>
              <w:spacing w:line="276" w:lineRule="auto"/>
              <w:rPr>
                <w:rFonts w:ascii="Times New Roman" w:hAnsi="Times New Roman" w:cs="Times New Roman"/>
              </w:rPr>
            </w:pPr>
            <w:r w:rsidRPr="00FD2D5D">
              <w:rPr>
                <w:rFonts w:ascii="Times New Roman" w:hAnsi="Times New Roman" w:cs="Times New Roman"/>
              </w:rPr>
              <w:t>Оценка качества и классификация земель по их пригодности для использования в сельском хозяйстве (практическое пособие). ФГУП «Госземкадастрсъемка» - ВИСХАГИ. Москва, 2007.</w:t>
            </w:r>
          </w:p>
        </w:tc>
      </w:tr>
      <w:bookmarkEnd w:id="20"/>
    </w:tbl>
    <w:p w14:paraId="7D6460DB" w14:textId="5CA28208" w:rsidR="005908C9" w:rsidRDefault="005908C9">
      <w:pPr>
        <w:rPr>
          <w:rFonts w:ascii="Times New Roman" w:hAnsi="Times New Roman" w:cs="Times New Roman"/>
          <w:b/>
          <w:sz w:val="26"/>
          <w:szCs w:val="26"/>
        </w:rPr>
      </w:pPr>
    </w:p>
    <w:p w14:paraId="1E846445" w14:textId="2922B9F4" w:rsidR="00430361" w:rsidRPr="00F562A8" w:rsidRDefault="00430361" w:rsidP="006F6435">
      <w:pPr>
        <w:spacing w:before="120" w:after="0" w:line="276" w:lineRule="auto"/>
        <w:ind w:firstLine="708"/>
        <w:jc w:val="center"/>
        <w:rPr>
          <w:rFonts w:ascii="Times New Roman" w:hAnsi="Times New Roman" w:cs="Times New Roman"/>
          <w:b/>
          <w:sz w:val="26"/>
          <w:szCs w:val="26"/>
        </w:rPr>
      </w:pPr>
      <w:r w:rsidRPr="00F562A8">
        <w:rPr>
          <w:rFonts w:ascii="Times New Roman" w:hAnsi="Times New Roman" w:cs="Times New Roman"/>
          <w:b/>
          <w:sz w:val="26"/>
          <w:szCs w:val="26"/>
        </w:rPr>
        <w:t>2.</w:t>
      </w:r>
      <w:r w:rsidR="000C3AEA">
        <w:rPr>
          <w:rFonts w:ascii="Times New Roman" w:hAnsi="Times New Roman" w:cs="Times New Roman"/>
          <w:b/>
          <w:sz w:val="26"/>
          <w:szCs w:val="26"/>
        </w:rPr>
        <w:t>4</w:t>
      </w:r>
      <w:r w:rsidR="00A3504B" w:rsidRPr="00F562A8">
        <w:rPr>
          <w:rFonts w:ascii="Times New Roman" w:hAnsi="Times New Roman" w:cs="Times New Roman"/>
          <w:b/>
          <w:sz w:val="26"/>
          <w:szCs w:val="26"/>
        </w:rPr>
        <w:t>.2.</w:t>
      </w:r>
      <w:r w:rsidRPr="00F562A8">
        <w:rPr>
          <w:rFonts w:ascii="Times New Roman" w:hAnsi="Times New Roman" w:cs="Times New Roman"/>
          <w:b/>
          <w:sz w:val="26"/>
          <w:szCs w:val="26"/>
        </w:rPr>
        <w:t xml:space="preserve"> Информация, полученная от федеральных и региональных органов исполнительной власти и органов местного самоуправления, а также подведомственных им организаций</w:t>
      </w:r>
    </w:p>
    <w:p w14:paraId="580777A5" w14:textId="53710A61" w:rsidR="00430361" w:rsidRPr="0051252F" w:rsidRDefault="00430361" w:rsidP="0051252F">
      <w:pPr>
        <w:spacing w:after="0" w:line="276" w:lineRule="auto"/>
        <w:ind w:firstLine="709"/>
        <w:jc w:val="right"/>
        <w:rPr>
          <w:rFonts w:ascii="Times New Roman" w:eastAsia="Times New Roman" w:hAnsi="Times New Roman" w:cs="Times New Roman"/>
          <w:spacing w:val="-5"/>
          <w:sz w:val="26"/>
          <w:szCs w:val="26"/>
        </w:rPr>
      </w:pPr>
      <w:r w:rsidRPr="0051252F">
        <w:rPr>
          <w:rFonts w:ascii="Times New Roman" w:eastAsia="Times New Roman" w:hAnsi="Times New Roman" w:cs="Times New Roman"/>
          <w:spacing w:val="-5"/>
          <w:sz w:val="26"/>
          <w:szCs w:val="26"/>
        </w:rPr>
        <w:t>Таблица 2.</w:t>
      </w:r>
      <w:r w:rsidR="00722202">
        <w:rPr>
          <w:rFonts w:ascii="Times New Roman" w:eastAsia="Times New Roman" w:hAnsi="Times New Roman" w:cs="Times New Roman"/>
          <w:spacing w:val="-5"/>
          <w:sz w:val="26"/>
          <w:szCs w:val="26"/>
        </w:rPr>
        <w:t>4</w:t>
      </w:r>
      <w:r w:rsidR="001C0A37" w:rsidRPr="0051252F">
        <w:rPr>
          <w:rFonts w:ascii="Times New Roman" w:eastAsia="Times New Roman" w:hAnsi="Times New Roman" w:cs="Times New Roman"/>
          <w:spacing w:val="-5"/>
          <w:sz w:val="26"/>
          <w:szCs w:val="26"/>
        </w:rPr>
        <w:t>.2</w:t>
      </w:r>
    </w:p>
    <w:p w14:paraId="3185CC59" w14:textId="11EBBD23" w:rsidR="00430361" w:rsidRPr="0051252F" w:rsidRDefault="00430361" w:rsidP="0051252F">
      <w:pPr>
        <w:spacing w:after="0" w:line="276" w:lineRule="auto"/>
        <w:ind w:firstLine="709"/>
        <w:jc w:val="both"/>
        <w:rPr>
          <w:rFonts w:ascii="Times New Roman" w:eastAsia="Times New Roman" w:hAnsi="Times New Roman" w:cs="Times New Roman"/>
          <w:spacing w:val="-5"/>
          <w:sz w:val="26"/>
          <w:szCs w:val="26"/>
        </w:rPr>
      </w:pPr>
      <w:r w:rsidRPr="0051252F">
        <w:rPr>
          <w:rFonts w:ascii="Times New Roman" w:eastAsia="Times New Roman" w:hAnsi="Times New Roman" w:cs="Times New Roman"/>
          <w:spacing w:val="-5"/>
          <w:sz w:val="26"/>
          <w:szCs w:val="26"/>
        </w:rPr>
        <w:t>Документы, полученные от федеральных и региональных органов исполнительной власти, органов местного самоуправления, подведомственных им организаций и иных организаций</w:t>
      </w:r>
      <w:r w:rsidR="0034660A">
        <w:rPr>
          <w:rFonts w:ascii="Times New Roman" w:eastAsia="Times New Roman" w:hAnsi="Times New Roman" w:cs="Times New Roman"/>
          <w:spacing w:val="-5"/>
          <w:sz w:val="26"/>
          <w:szCs w:val="26"/>
        </w:rPr>
        <w:t>.</w:t>
      </w:r>
    </w:p>
    <w:tbl>
      <w:tblPr>
        <w:tblStyle w:val="61"/>
        <w:tblW w:w="9351" w:type="dxa"/>
        <w:tblLook w:val="04A0" w:firstRow="1" w:lastRow="0" w:firstColumn="1" w:lastColumn="0" w:noHBand="0" w:noVBand="1"/>
      </w:tblPr>
      <w:tblGrid>
        <w:gridCol w:w="562"/>
        <w:gridCol w:w="8789"/>
      </w:tblGrid>
      <w:tr w:rsidR="00430361" w:rsidRPr="00F562A8" w14:paraId="4F783A74" w14:textId="77777777" w:rsidTr="00DB4FEF">
        <w:tc>
          <w:tcPr>
            <w:tcW w:w="562" w:type="dxa"/>
          </w:tcPr>
          <w:p w14:paraId="5C68096A" w14:textId="77777777" w:rsidR="00430361" w:rsidRPr="00F562A8" w:rsidRDefault="00430361" w:rsidP="006F6435">
            <w:pPr>
              <w:spacing w:line="276" w:lineRule="auto"/>
              <w:rPr>
                <w:rFonts w:ascii="Times New Roman" w:hAnsi="Times New Roman" w:cs="Times New Roman"/>
              </w:rPr>
            </w:pPr>
            <w:r w:rsidRPr="00F562A8">
              <w:rPr>
                <w:rFonts w:ascii="Times New Roman" w:hAnsi="Times New Roman" w:cs="Times New Roman"/>
                <w:b/>
              </w:rPr>
              <w:t>№ п/п</w:t>
            </w:r>
          </w:p>
        </w:tc>
        <w:tc>
          <w:tcPr>
            <w:tcW w:w="8789" w:type="dxa"/>
            <w:vAlign w:val="center"/>
          </w:tcPr>
          <w:p w14:paraId="1E3E1A00" w14:textId="77777777" w:rsidR="00430361" w:rsidRPr="00F562A8" w:rsidRDefault="00430361" w:rsidP="00DB4FEF">
            <w:pPr>
              <w:spacing w:line="276" w:lineRule="auto"/>
              <w:jc w:val="center"/>
              <w:rPr>
                <w:rFonts w:ascii="Times New Roman" w:hAnsi="Times New Roman" w:cs="Times New Roman"/>
                <w:b/>
              </w:rPr>
            </w:pPr>
            <w:r w:rsidRPr="00F562A8">
              <w:rPr>
                <w:rFonts w:ascii="Times New Roman" w:hAnsi="Times New Roman" w:cs="Times New Roman"/>
                <w:b/>
              </w:rPr>
              <w:t>Наименования и иные реквизиты</w:t>
            </w:r>
          </w:p>
        </w:tc>
      </w:tr>
      <w:tr w:rsidR="00430361" w:rsidRPr="00F562A8" w14:paraId="77D2FFC1" w14:textId="77777777" w:rsidTr="00877CF5">
        <w:tc>
          <w:tcPr>
            <w:tcW w:w="562" w:type="dxa"/>
          </w:tcPr>
          <w:p w14:paraId="526766C8" w14:textId="39CB6E55" w:rsidR="00430361" w:rsidRPr="00F562A8" w:rsidRDefault="002D5B64" w:rsidP="006F6435">
            <w:pPr>
              <w:spacing w:line="276" w:lineRule="auto"/>
              <w:jc w:val="center"/>
              <w:rPr>
                <w:rFonts w:ascii="Times New Roman" w:hAnsi="Times New Roman" w:cs="Times New Roman"/>
              </w:rPr>
            </w:pPr>
            <w:r w:rsidRPr="00F562A8">
              <w:rPr>
                <w:rFonts w:ascii="Times New Roman" w:hAnsi="Times New Roman" w:cs="Times New Roman"/>
              </w:rPr>
              <w:t>1</w:t>
            </w:r>
          </w:p>
        </w:tc>
        <w:tc>
          <w:tcPr>
            <w:tcW w:w="8789" w:type="dxa"/>
          </w:tcPr>
          <w:p w14:paraId="63DEDD0C" w14:textId="34CC67BE" w:rsidR="00430361" w:rsidRPr="00F562A8" w:rsidRDefault="00AE164E" w:rsidP="006F6435">
            <w:pPr>
              <w:spacing w:line="276" w:lineRule="auto"/>
              <w:rPr>
                <w:rFonts w:ascii="Times New Roman" w:hAnsi="Times New Roman" w:cs="Times New Roman"/>
              </w:rPr>
            </w:pPr>
            <w:r w:rsidRPr="00F562A8">
              <w:rPr>
                <w:rFonts w:ascii="Times New Roman" w:hAnsi="Times New Roman" w:cs="Times New Roman"/>
                <w:color w:val="000000" w:themeColor="text1"/>
              </w:rPr>
              <w:t xml:space="preserve">Перечень объектов оценки, предоставленный </w:t>
            </w:r>
            <w:r w:rsidR="008613B7">
              <w:rPr>
                <w:rFonts w:ascii="Times New Roman" w:hAnsi="Times New Roman" w:cs="Times New Roman"/>
                <w:color w:val="000000" w:themeColor="text1"/>
              </w:rPr>
              <w:t>«</w:t>
            </w:r>
            <w:r w:rsidR="00AC4408">
              <w:rPr>
                <w:rFonts w:ascii="Times New Roman" w:hAnsi="Times New Roman" w:cs="Times New Roman"/>
                <w:color w:val="000000" w:themeColor="text1"/>
              </w:rPr>
              <w:t xml:space="preserve">Федеральной кадастровой палатой Федеральной службы </w:t>
            </w:r>
            <w:r w:rsidR="008613B7">
              <w:rPr>
                <w:rFonts w:ascii="Times New Roman" w:hAnsi="Times New Roman" w:cs="Times New Roman"/>
                <w:color w:val="000000" w:themeColor="text1"/>
              </w:rPr>
              <w:t xml:space="preserve">государственной регистрации, кадастра и картографии» по Воронежской области в адрес </w:t>
            </w:r>
            <w:r w:rsidR="007E7E1D">
              <w:rPr>
                <w:rFonts w:ascii="Times New Roman" w:hAnsi="Times New Roman" w:cs="Times New Roman"/>
                <w:color w:val="000000" w:themeColor="text1"/>
              </w:rPr>
              <w:t>Департамента имущественных и земельных отношений</w:t>
            </w:r>
            <w:r w:rsidRPr="00F562A8">
              <w:rPr>
                <w:rFonts w:ascii="Times New Roman" w:hAnsi="Times New Roman" w:cs="Times New Roman"/>
                <w:color w:val="000000" w:themeColor="text1"/>
              </w:rPr>
              <w:t xml:space="preserve"> Воронежской области от </w:t>
            </w:r>
            <w:r w:rsidR="008613B7">
              <w:rPr>
                <w:rFonts w:ascii="Times New Roman" w:hAnsi="Times New Roman" w:cs="Times New Roman"/>
                <w:color w:val="000000" w:themeColor="text1"/>
              </w:rPr>
              <w:t>02</w:t>
            </w:r>
            <w:r w:rsidRPr="00F562A8">
              <w:rPr>
                <w:rFonts w:ascii="Times New Roman" w:hAnsi="Times New Roman" w:cs="Times New Roman"/>
                <w:color w:val="000000" w:themeColor="text1"/>
              </w:rPr>
              <w:t>.02.202</w:t>
            </w:r>
            <w:r w:rsidR="008613B7">
              <w:rPr>
                <w:rFonts w:ascii="Times New Roman" w:hAnsi="Times New Roman" w:cs="Times New Roman"/>
                <w:color w:val="000000" w:themeColor="text1"/>
              </w:rPr>
              <w:t>2</w:t>
            </w:r>
            <w:r w:rsidRPr="00F562A8">
              <w:rPr>
                <w:rFonts w:ascii="Times New Roman" w:hAnsi="Times New Roman" w:cs="Times New Roman"/>
                <w:color w:val="000000" w:themeColor="text1"/>
              </w:rPr>
              <w:t xml:space="preserve"> № </w:t>
            </w:r>
            <w:r w:rsidR="008613B7">
              <w:rPr>
                <w:rFonts w:ascii="Times New Roman" w:hAnsi="Times New Roman" w:cs="Times New Roman"/>
                <w:color w:val="000000" w:themeColor="text1"/>
              </w:rPr>
              <w:t>10-00815/22</w:t>
            </w:r>
            <w:r w:rsidRPr="00F562A8">
              <w:rPr>
                <w:rFonts w:ascii="Times New Roman" w:hAnsi="Times New Roman" w:cs="Times New Roman"/>
                <w:color w:val="000000" w:themeColor="text1"/>
              </w:rPr>
              <w:t xml:space="preserve"> (</w:t>
            </w:r>
            <w:r w:rsidRPr="00DA68F1">
              <w:rPr>
                <w:rFonts w:ascii="Times New Roman" w:hAnsi="Times New Roman" w:cs="Times New Roman"/>
                <w:color w:val="000000" w:themeColor="text1"/>
              </w:rPr>
              <w:t xml:space="preserve">Приложение </w:t>
            </w:r>
            <w:r w:rsidR="00DA68F1" w:rsidRPr="00DA68F1">
              <w:rPr>
                <w:rFonts w:ascii="Times New Roman" w:hAnsi="Times New Roman" w:cs="Times New Roman"/>
                <w:color w:val="000000" w:themeColor="text1"/>
              </w:rPr>
              <w:t>1.3.2</w:t>
            </w:r>
            <w:r w:rsidR="00C44AB1" w:rsidRPr="00DA68F1">
              <w:rPr>
                <w:rFonts w:ascii="Times New Roman" w:hAnsi="Times New Roman" w:cs="Times New Roman"/>
                <w:color w:val="000000" w:themeColor="text1"/>
              </w:rPr>
              <w:t xml:space="preserve"> Основной</w:t>
            </w:r>
            <w:r w:rsidRPr="00DA68F1">
              <w:rPr>
                <w:rFonts w:ascii="Times New Roman" w:hAnsi="Times New Roman" w:cs="Times New Roman"/>
                <w:color w:val="000000" w:themeColor="text1"/>
              </w:rPr>
              <w:t xml:space="preserve"> перечень ОН, подлежащих ГКО)</w:t>
            </w:r>
          </w:p>
        </w:tc>
      </w:tr>
      <w:tr w:rsidR="00430361" w:rsidRPr="00F562A8" w14:paraId="0AA90A7D" w14:textId="77777777" w:rsidTr="00877CF5">
        <w:tc>
          <w:tcPr>
            <w:tcW w:w="562" w:type="dxa"/>
          </w:tcPr>
          <w:p w14:paraId="5F83A2B9" w14:textId="681F2418" w:rsidR="00430361" w:rsidRPr="00F562A8" w:rsidRDefault="00AC4408" w:rsidP="006F6435">
            <w:pPr>
              <w:spacing w:line="276" w:lineRule="auto"/>
              <w:ind w:left="-120"/>
              <w:jc w:val="center"/>
              <w:rPr>
                <w:rFonts w:ascii="Times New Roman" w:hAnsi="Times New Roman" w:cs="Times New Roman"/>
              </w:rPr>
            </w:pPr>
            <w:r>
              <w:rPr>
                <w:rFonts w:ascii="Times New Roman" w:hAnsi="Times New Roman" w:cs="Times New Roman"/>
              </w:rPr>
              <w:t>2</w:t>
            </w:r>
          </w:p>
        </w:tc>
        <w:tc>
          <w:tcPr>
            <w:tcW w:w="8789" w:type="dxa"/>
          </w:tcPr>
          <w:p w14:paraId="58067450" w14:textId="0E9A6974" w:rsidR="00430361" w:rsidRPr="00F562A8" w:rsidRDefault="00D04F2B" w:rsidP="006F6435">
            <w:pPr>
              <w:spacing w:line="276" w:lineRule="auto"/>
              <w:rPr>
                <w:rFonts w:ascii="Times New Roman" w:hAnsi="Times New Roman" w:cs="Times New Roman"/>
              </w:rPr>
            </w:pPr>
            <w:r w:rsidRPr="00F562A8">
              <w:rPr>
                <w:rFonts w:ascii="Times New Roman" w:hAnsi="Times New Roman" w:cs="Times New Roman"/>
                <w:color w:val="000000" w:themeColor="text1"/>
              </w:rPr>
              <w:t>Ответы Д</w:t>
            </w:r>
            <w:r>
              <w:rPr>
                <w:rFonts w:ascii="Times New Roman" w:hAnsi="Times New Roman" w:cs="Times New Roman"/>
                <w:color w:val="000000" w:themeColor="text1"/>
              </w:rPr>
              <w:t>ИЗО</w:t>
            </w:r>
            <w:r w:rsidRPr="00F562A8">
              <w:rPr>
                <w:rFonts w:ascii="Times New Roman" w:hAnsi="Times New Roman" w:cs="Times New Roman"/>
                <w:color w:val="000000" w:themeColor="text1"/>
              </w:rPr>
              <w:t xml:space="preserve"> ВО, ОМС, </w:t>
            </w:r>
            <w:r>
              <w:rPr>
                <w:rFonts w:ascii="Times New Roman" w:hAnsi="Times New Roman" w:cs="Times New Roman"/>
                <w:color w:val="000000" w:themeColor="text1"/>
              </w:rPr>
              <w:t xml:space="preserve">РР ВО, </w:t>
            </w:r>
            <w:r w:rsidRPr="00F562A8">
              <w:rPr>
                <w:rFonts w:ascii="Times New Roman" w:hAnsi="Times New Roman" w:cs="Times New Roman"/>
                <w:color w:val="000000" w:themeColor="text1"/>
              </w:rPr>
              <w:t>организаций и иных органов в ходе сбора и обработки ГБУ ВО «ЦГКО ВО» информации при подготовке к ГКО (</w:t>
            </w:r>
            <w:r w:rsidRPr="00DA68F1">
              <w:rPr>
                <w:rFonts w:ascii="Times New Roman" w:hAnsi="Times New Roman" w:cs="Times New Roman"/>
                <w:color w:val="000000" w:themeColor="text1"/>
              </w:rPr>
              <w:t>Приложение 1</w:t>
            </w:r>
            <w:r w:rsidR="00DA68F1" w:rsidRPr="00DA68F1">
              <w:rPr>
                <w:rFonts w:ascii="Times New Roman" w:hAnsi="Times New Roman" w:cs="Times New Roman"/>
                <w:color w:val="000000" w:themeColor="text1"/>
              </w:rPr>
              <w:t>.2.1</w:t>
            </w:r>
            <w:r w:rsidR="00DA68F1">
              <w:rPr>
                <w:rFonts w:ascii="Times New Roman" w:hAnsi="Times New Roman" w:cs="Times New Roman"/>
                <w:color w:val="000000" w:themeColor="text1"/>
              </w:rPr>
              <w:t xml:space="preserve"> и </w:t>
            </w:r>
            <w:r w:rsidR="00DA68F1" w:rsidRPr="00DA68F1">
              <w:rPr>
                <w:rFonts w:ascii="Times New Roman" w:hAnsi="Times New Roman" w:cs="Times New Roman"/>
                <w:color w:val="000000" w:themeColor="text1"/>
              </w:rPr>
              <w:t>1.6.1</w:t>
            </w:r>
            <w:r w:rsidRPr="00F562A8">
              <w:rPr>
                <w:rFonts w:ascii="Times New Roman" w:hAnsi="Times New Roman" w:cs="Times New Roman"/>
                <w:color w:val="000000" w:themeColor="text1"/>
              </w:rPr>
              <w:t xml:space="preserve"> Ответы </w:t>
            </w:r>
            <w:r w:rsidR="00AC4408" w:rsidRPr="00F562A8">
              <w:rPr>
                <w:rFonts w:ascii="Times New Roman" w:hAnsi="Times New Roman" w:cs="Times New Roman"/>
                <w:color w:val="000000" w:themeColor="text1"/>
              </w:rPr>
              <w:t>Д</w:t>
            </w:r>
            <w:r w:rsidR="00AC4408">
              <w:rPr>
                <w:rFonts w:ascii="Times New Roman" w:hAnsi="Times New Roman" w:cs="Times New Roman"/>
                <w:color w:val="000000" w:themeColor="text1"/>
              </w:rPr>
              <w:t>ИЗО</w:t>
            </w:r>
            <w:r w:rsidRPr="00F562A8">
              <w:rPr>
                <w:rFonts w:ascii="Times New Roman" w:hAnsi="Times New Roman" w:cs="Times New Roman"/>
                <w:color w:val="000000" w:themeColor="text1"/>
              </w:rPr>
              <w:t xml:space="preserve"> ВО, ОМС, организаций и иных органов)</w:t>
            </w:r>
          </w:p>
        </w:tc>
      </w:tr>
    </w:tbl>
    <w:p w14:paraId="23FE54D2" w14:textId="77777777" w:rsidR="00AE164E" w:rsidRPr="00F562A8" w:rsidRDefault="00AE164E" w:rsidP="006F6435">
      <w:pPr>
        <w:suppressAutoHyphens/>
        <w:autoSpaceDN w:val="0"/>
        <w:spacing w:after="0" w:line="276" w:lineRule="auto"/>
        <w:textAlignment w:val="baseline"/>
        <w:rPr>
          <w:rFonts w:ascii="Times New Roman" w:hAnsi="Times New Roman" w:cs="Times New Roman"/>
          <w:b/>
          <w:sz w:val="16"/>
          <w:szCs w:val="16"/>
        </w:rPr>
      </w:pPr>
    </w:p>
    <w:p w14:paraId="1C1CF1CF" w14:textId="68F11629" w:rsidR="00B16F49" w:rsidRDefault="00A3504B" w:rsidP="00B16F49">
      <w:pPr>
        <w:suppressAutoHyphens/>
        <w:autoSpaceDN w:val="0"/>
        <w:spacing w:after="0" w:line="276" w:lineRule="auto"/>
        <w:ind w:firstLine="708"/>
        <w:jc w:val="center"/>
        <w:textAlignment w:val="baseline"/>
        <w:rPr>
          <w:rFonts w:ascii="Times New Roman" w:hAnsi="Times New Roman" w:cs="Times New Roman"/>
          <w:b/>
          <w:sz w:val="24"/>
          <w:szCs w:val="24"/>
        </w:rPr>
      </w:pPr>
      <w:r w:rsidRPr="00F562A8">
        <w:rPr>
          <w:rFonts w:ascii="Times New Roman" w:hAnsi="Times New Roman" w:cs="Times New Roman"/>
          <w:b/>
          <w:sz w:val="24"/>
          <w:szCs w:val="24"/>
        </w:rPr>
        <w:t>2.</w:t>
      </w:r>
      <w:r w:rsidR="000C3AEA">
        <w:rPr>
          <w:rFonts w:ascii="Times New Roman" w:hAnsi="Times New Roman" w:cs="Times New Roman"/>
          <w:b/>
          <w:sz w:val="24"/>
          <w:szCs w:val="24"/>
        </w:rPr>
        <w:t>4.</w:t>
      </w:r>
      <w:r w:rsidRPr="00F562A8">
        <w:rPr>
          <w:rFonts w:ascii="Times New Roman" w:hAnsi="Times New Roman" w:cs="Times New Roman"/>
          <w:b/>
          <w:sz w:val="24"/>
          <w:szCs w:val="24"/>
        </w:rPr>
        <w:t>3</w:t>
      </w:r>
      <w:r w:rsidR="00CF7A4B" w:rsidRPr="00F562A8">
        <w:rPr>
          <w:rFonts w:ascii="Times New Roman" w:hAnsi="Times New Roman" w:cs="Times New Roman"/>
          <w:b/>
          <w:sz w:val="24"/>
          <w:szCs w:val="24"/>
        </w:rPr>
        <w:t xml:space="preserve">. </w:t>
      </w:r>
      <w:r w:rsidR="00332C6B" w:rsidRPr="00F562A8">
        <w:rPr>
          <w:rFonts w:ascii="Times New Roman" w:hAnsi="Times New Roman" w:cs="Times New Roman"/>
          <w:b/>
          <w:sz w:val="24"/>
          <w:szCs w:val="24"/>
        </w:rPr>
        <w:t>Иные источники информации</w:t>
      </w:r>
      <w:bookmarkStart w:id="21" w:name="_Toc12440217"/>
      <w:bookmarkStart w:id="22" w:name="_Toc20659538"/>
    </w:p>
    <w:p w14:paraId="71D4E85A" w14:textId="74199373" w:rsidR="00B16F49" w:rsidRPr="0034660A" w:rsidRDefault="00B16F49" w:rsidP="00B16F49">
      <w:pPr>
        <w:pStyle w:val="Standard"/>
        <w:spacing w:line="276" w:lineRule="auto"/>
        <w:ind w:firstLine="709"/>
        <w:jc w:val="right"/>
        <w:rPr>
          <w:spacing w:val="-5"/>
          <w:kern w:val="0"/>
          <w:sz w:val="26"/>
          <w:szCs w:val="26"/>
          <w:lang w:eastAsia="en-US"/>
        </w:rPr>
      </w:pPr>
      <w:r w:rsidRPr="0034660A">
        <w:rPr>
          <w:spacing w:val="-5"/>
          <w:kern w:val="0"/>
          <w:sz w:val="26"/>
          <w:szCs w:val="26"/>
          <w:lang w:eastAsia="en-US"/>
        </w:rPr>
        <w:t>Таблица 2</w:t>
      </w:r>
      <w:r>
        <w:rPr>
          <w:spacing w:val="-5"/>
          <w:kern w:val="0"/>
          <w:sz w:val="26"/>
          <w:szCs w:val="26"/>
          <w:lang w:eastAsia="en-US"/>
        </w:rPr>
        <w:t>.</w:t>
      </w:r>
      <w:r w:rsidR="00722202">
        <w:rPr>
          <w:spacing w:val="-5"/>
          <w:kern w:val="0"/>
          <w:sz w:val="26"/>
          <w:szCs w:val="26"/>
          <w:lang w:eastAsia="en-US"/>
        </w:rPr>
        <w:t>4</w:t>
      </w:r>
      <w:r w:rsidRPr="0034660A">
        <w:rPr>
          <w:spacing w:val="-5"/>
          <w:kern w:val="0"/>
          <w:sz w:val="26"/>
          <w:szCs w:val="26"/>
          <w:lang w:eastAsia="en-US"/>
        </w:rPr>
        <w:t>.3</w:t>
      </w:r>
    </w:p>
    <w:p w14:paraId="0FE2ADD3" w14:textId="77777777" w:rsidR="00B16F49" w:rsidRPr="0034660A" w:rsidRDefault="00B16F49" w:rsidP="00B16F49">
      <w:pPr>
        <w:pStyle w:val="Standard"/>
        <w:spacing w:line="276" w:lineRule="auto"/>
        <w:ind w:firstLine="709"/>
        <w:rPr>
          <w:spacing w:val="-5"/>
          <w:kern w:val="0"/>
          <w:sz w:val="26"/>
          <w:szCs w:val="26"/>
          <w:lang w:eastAsia="en-US"/>
        </w:rPr>
      </w:pPr>
      <w:r w:rsidRPr="0034660A">
        <w:rPr>
          <w:spacing w:val="-5"/>
          <w:kern w:val="0"/>
          <w:sz w:val="26"/>
          <w:szCs w:val="26"/>
          <w:lang w:eastAsia="en-US"/>
        </w:rPr>
        <w:t xml:space="preserve">Перечень источников информации </w:t>
      </w:r>
    </w:p>
    <w:tbl>
      <w:tblPr>
        <w:tblStyle w:val="ae"/>
        <w:tblW w:w="9351" w:type="dxa"/>
        <w:tblLayout w:type="fixed"/>
        <w:tblLook w:val="04A0" w:firstRow="1" w:lastRow="0" w:firstColumn="1" w:lastColumn="0" w:noHBand="0" w:noVBand="1"/>
      </w:tblPr>
      <w:tblGrid>
        <w:gridCol w:w="703"/>
        <w:gridCol w:w="4112"/>
        <w:gridCol w:w="2410"/>
        <w:gridCol w:w="2126"/>
      </w:tblGrid>
      <w:tr w:rsidR="00B16F49" w:rsidRPr="00F562A8" w14:paraId="40D45DFE" w14:textId="77777777" w:rsidTr="000834DD">
        <w:trPr>
          <w:trHeight w:val="580"/>
        </w:trPr>
        <w:tc>
          <w:tcPr>
            <w:tcW w:w="703" w:type="dxa"/>
            <w:vAlign w:val="center"/>
          </w:tcPr>
          <w:p w14:paraId="06332523" w14:textId="77777777" w:rsidR="00B16F49" w:rsidRPr="00F562A8" w:rsidRDefault="00B16F49" w:rsidP="000834DD">
            <w:pPr>
              <w:pStyle w:val="23"/>
              <w:spacing w:after="0"/>
              <w:ind w:left="0" w:firstLine="0"/>
              <w:contextualSpacing/>
              <w:jc w:val="center"/>
              <w:rPr>
                <w:b/>
                <w:sz w:val="22"/>
                <w:szCs w:val="22"/>
              </w:rPr>
            </w:pPr>
            <w:r w:rsidRPr="00F562A8">
              <w:rPr>
                <w:b/>
                <w:sz w:val="22"/>
                <w:szCs w:val="22"/>
              </w:rPr>
              <w:t>№ п/п</w:t>
            </w:r>
          </w:p>
        </w:tc>
        <w:tc>
          <w:tcPr>
            <w:tcW w:w="4112" w:type="dxa"/>
            <w:vAlign w:val="center"/>
          </w:tcPr>
          <w:p w14:paraId="73246D01" w14:textId="77777777" w:rsidR="00B16F49" w:rsidRPr="00F562A8" w:rsidRDefault="00B16F49" w:rsidP="000834DD">
            <w:pPr>
              <w:pStyle w:val="23"/>
              <w:spacing w:after="0"/>
              <w:ind w:left="0" w:firstLine="0"/>
              <w:contextualSpacing/>
              <w:jc w:val="center"/>
              <w:rPr>
                <w:b/>
                <w:sz w:val="22"/>
                <w:szCs w:val="22"/>
              </w:rPr>
            </w:pPr>
            <w:r w:rsidRPr="00F562A8">
              <w:rPr>
                <w:b/>
                <w:sz w:val="22"/>
                <w:szCs w:val="22"/>
              </w:rPr>
              <w:t>Наименование источника рыночной информации</w:t>
            </w:r>
          </w:p>
        </w:tc>
        <w:tc>
          <w:tcPr>
            <w:tcW w:w="2410" w:type="dxa"/>
            <w:vAlign w:val="center"/>
          </w:tcPr>
          <w:p w14:paraId="5776AF88" w14:textId="77777777" w:rsidR="00B16F49" w:rsidRPr="00F562A8" w:rsidRDefault="00B16F49" w:rsidP="000834DD">
            <w:pPr>
              <w:pStyle w:val="23"/>
              <w:spacing w:after="0"/>
              <w:ind w:left="0" w:firstLine="0"/>
              <w:contextualSpacing/>
              <w:jc w:val="center"/>
              <w:rPr>
                <w:b/>
                <w:sz w:val="22"/>
                <w:szCs w:val="22"/>
              </w:rPr>
            </w:pPr>
            <w:r w:rsidRPr="00F562A8">
              <w:rPr>
                <w:b/>
                <w:sz w:val="22"/>
                <w:szCs w:val="22"/>
              </w:rPr>
              <w:t>Ссылка</w:t>
            </w:r>
          </w:p>
        </w:tc>
        <w:tc>
          <w:tcPr>
            <w:tcW w:w="2126" w:type="dxa"/>
          </w:tcPr>
          <w:p w14:paraId="7F38CB18" w14:textId="77777777" w:rsidR="00B16F49" w:rsidRPr="00F562A8" w:rsidRDefault="00B16F49" w:rsidP="000834DD">
            <w:pPr>
              <w:pStyle w:val="23"/>
              <w:spacing w:after="0"/>
              <w:ind w:left="0" w:firstLine="0"/>
              <w:contextualSpacing/>
              <w:jc w:val="center"/>
              <w:rPr>
                <w:b/>
                <w:sz w:val="22"/>
                <w:szCs w:val="22"/>
              </w:rPr>
            </w:pPr>
            <w:r w:rsidRPr="00F562A8">
              <w:rPr>
                <w:b/>
                <w:sz w:val="22"/>
                <w:szCs w:val="22"/>
              </w:rPr>
              <w:t>Формат источника информации (печатный, электронный, база данных, и т.п.)</w:t>
            </w:r>
          </w:p>
        </w:tc>
      </w:tr>
      <w:tr w:rsidR="00B16F49" w:rsidRPr="00F562A8" w14:paraId="1AD25251" w14:textId="77777777" w:rsidTr="000834DD">
        <w:trPr>
          <w:trHeight w:val="20"/>
        </w:trPr>
        <w:tc>
          <w:tcPr>
            <w:tcW w:w="9351" w:type="dxa"/>
            <w:gridSpan w:val="4"/>
          </w:tcPr>
          <w:p w14:paraId="2E269FEF" w14:textId="77777777" w:rsidR="00B16F49" w:rsidRPr="00F562A8" w:rsidRDefault="00B16F49" w:rsidP="000834DD">
            <w:pPr>
              <w:spacing w:line="276" w:lineRule="auto"/>
              <w:contextualSpacing/>
              <w:jc w:val="center"/>
              <w:rPr>
                <w:rFonts w:ascii="Times New Roman" w:hAnsi="Times New Roman" w:cs="Times New Roman"/>
                <w:b/>
                <w:sz w:val="22"/>
                <w:szCs w:val="22"/>
              </w:rPr>
            </w:pPr>
            <w:r w:rsidRPr="00F562A8">
              <w:rPr>
                <w:rFonts w:ascii="Times New Roman" w:hAnsi="Times New Roman" w:cs="Times New Roman"/>
                <w:b/>
                <w:sz w:val="22"/>
                <w:szCs w:val="22"/>
              </w:rPr>
              <w:t>Основные источники информации</w:t>
            </w:r>
          </w:p>
        </w:tc>
      </w:tr>
      <w:tr w:rsidR="00B16F49" w:rsidRPr="00F562A8" w14:paraId="3472EE8A" w14:textId="77777777" w:rsidTr="000834DD">
        <w:trPr>
          <w:trHeight w:val="20"/>
        </w:trPr>
        <w:tc>
          <w:tcPr>
            <w:tcW w:w="703" w:type="dxa"/>
            <w:vAlign w:val="center"/>
          </w:tcPr>
          <w:p w14:paraId="11ACB3A3" w14:textId="77777777" w:rsidR="00B16F49" w:rsidRPr="00F562A8" w:rsidRDefault="00B16F49" w:rsidP="000834DD">
            <w:pPr>
              <w:pStyle w:val="23"/>
              <w:numPr>
                <w:ilvl w:val="0"/>
                <w:numId w:val="4"/>
              </w:numPr>
              <w:spacing w:after="0"/>
              <w:ind w:left="33" w:firstLine="0"/>
              <w:contextualSpacing/>
              <w:jc w:val="left"/>
              <w:rPr>
                <w:sz w:val="22"/>
                <w:szCs w:val="22"/>
              </w:rPr>
            </w:pPr>
          </w:p>
        </w:tc>
        <w:tc>
          <w:tcPr>
            <w:tcW w:w="4112" w:type="dxa"/>
          </w:tcPr>
          <w:p w14:paraId="29742F43" w14:textId="77777777" w:rsidR="00B16F49" w:rsidRPr="00F562A8" w:rsidRDefault="00B16F49" w:rsidP="000834DD">
            <w:pPr>
              <w:spacing w:line="276" w:lineRule="auto"/>
              <w:contextualSpacing/>
              <w:rPr>
                <w:rFonts w:ascii="Times New Roman" w:hAnsi="Times New Roman" w:cs="Times New Roman"/>
                <w:sz w:val="22"/>
                <w:szCs w:val="22"/>
              </w:rPr>
            </w:pPr>
            <w:r w:rsidRPr="0082753A">
              <w:rPr>
                <w:rFonts w:ascii="Times New Roman" w:hAnsi="Times New Roman" w:cs="Times New Roman"/>
                <w:sz w:val="22"/>
                <w:szCs w:val="22"/>
              </w:rPr>
              <w:t>Правительство Воронежской области</w:t>
            </w:r>
            <w:r w:rsidRPr="00F562A8">
              <w:rPr>
                <w:rFonts w:ascii="Times New Roman" w:hAnsi="Times New Roman" w:cs="Times New Roman"/>
                <w:sz w:val="22"/>
                <w:szCs w:val="22"/>
              </w:rPr>
              <w:t xml:space="preserve"> (официальный портал органов власти)</w:t>
            </w:r>
          </w:p>
        </w:tc>
        <w:tc>
          <w:tcPr>
            <w:tcW w:w="2410" w:type="dxa"/>
            <w:vAlign w:val="center"/>
          </w:tcPr>
          <w:p w14:paraId="6945D5E9" w14:textId="77777777" w:rsidR="00B16F49" w:rsidRPr="00F562A8" w:rsidRDefault="00FF7453" w:rsidP="000834DD">
            <w:pPr>
              <w:spacing w:line="276" w:lineRule="auto"/>
              <w:contextualSpacing/>
              <w:jc w:val="center"/>
              <w:rPr>
                <w:rFonts w:ascii="Times New Roman" w:hAnsi="Times New Roman" w:cs="Times New Roman"/>
                <w:sz w:val="22"/>
                <w:szCs w:val="22"/>
              </w:rPr>
            </w:pPr>
            <w:hyperlink r:id="rId9" w:history="1">
              <w:r w:rsidR="00B16F49" w:rsidRPr="00F562A8">
                <w:rPr>
                  <w:rStyle w:val="ad"/>
                  <w:rFonts w:ascii="Times New Roman" w:hAnsi="Times New Roman" w:cs="Times New Roman"/>
                  <w:sz w:val="22"/>
                  <w:szCs w:val="22"/>
                </w:rPr>
                <w:t>https://www.govvrn.ru/</w:t>
              </w:r>
            </w:hyperlink>
          </w:p>
        </w:tc>
        <w:tc>
          <w:tcPr>
            <w:tcW w:w="2126" w:type="dxa"/>
            <w:vAlign w:val="center"/>
          </w:tcPr>
          <w:p w14:paraId="372C2ACE"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59C4BC52" w14:textId="77777777" w:rsidTr="000834DD">
        <w:trPr>
          <w:trHeight w:val="20"/>
        </w:trPr>
        <w:tc>
          <w:tcPr>
            <w:tcW w:w="703" w:type="dxa"/>
            <w:vAlign w:val="center"/>
          </w:tcPr>
          <w:p w14:paraId="3835E579" w14:textId="77777777" w:rsidR="00B16F49" w:rsidRPr="00F562A8" w:rsidRDefault="00B16F49" w:rsidP="000834DD">
            <w:pPr>
              <w:pStyle w:val="23"/>
              <w:numPr>
                <w:ilvl w:val="0"/>
                <w:numId w:val="4"/>
              </w:numPr>
              <w:spacing w:after="0"/>
              <w:ind w:left="0" w:hanging="109"/>
              <w:contextualSpacing/>
              <w:jc w:val="center"/>
              <w:rPr>
                <w:sz w:val="22"/>
                <w:szCs w:val="22"/>
              </w:rPr>
            </w:pPr>
          </w:p>
        </w:tc>
        <w:tc>
          <w:tcPr>
            <w:tcW w:w="4112" w:type="dxa"/>
          </w:tcPr>
          <w:p w14:paraId="06B1156C"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Министерство экономического развития Российской Федерации</w:t>
            </w:r>
          </w:p>
        </w:tc>
        <w:tc>
          <w:tcPr>
            <w:tcW w:w="2410" w:type="dxa"/>
            <w:vAlign w:val="center"/>
          </w:tcPr>
          <w:p w14:paraId="528F8821" w14:textId="77777777" w:rsidR="00B16F49" w:rsidRPr="00F562A8" w:rsidRDefault="00FF7453" w:rsidP="000834DD">
            <w:pPr>
              <w:spacing w:line="276" w:lineRule="auto"/>
              <w:contextualSpacing/>
              <w:jc w:val="center"/>
              <w:rPr>
                <w:rStyle w:val="ad"/>
                <w:rFonts w:ascii="Times New Roman" w:hAnsi="Times New Roman" w:cs="Times New Roman"/>
                <w:sz w:val="22"/>
                <w:szCs w:val="22"/>
              </w:rPr>
            </w:pPr>
            <w:hyperlink r:id="rId10" w:history="1">
              <w:r w:rsidR="00B16F49" w:rsidRPr="00F562A8">
                <w:rPr>
                  <w:rStyle w:val="ad"/>
                  <w:rFonts w:ascii="Times New Roman" w:hAnsi="Times New Roman" w:cs="Times New Roman"/>
                  <w:sz w:val="22"/>
                  <w:szCs w:val="22"/>
                </w:rPr>
                <w:t>http://economy.gov.ru/</w:t>
              </w:r>
            </w:hyperlink>
          </w:p>
        </w:tc>
        <w:tc>
          <w:tcPr>
            <w:tcW w:w="2126" w:type="dxa"/>
            <w:vAlign w:val="center"/>
          </w:tcPr>
          <w:p w14:paraId="67664728"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1384D395" w14:textId="77777777" w:rsidTr="000834DD">
        <w:trPr>
          <w:trHeight w:val="20"/>
        </w:trPr>
        <w:tc>
          <w:tcPr>
            <w:tcW w:w="703" w:type="dxa"/>
          </w:tcPr>
          <w:p w14:paraId="6B797A1E" w14:textId="77777777" w:rsidR="00B16F49" w:rsidRPr="00F562A8" w:rsidRDefault="00B16F49" w:rsidP="000834DD">
            <w:pPr>
              <w:pStyle w:val="23"/>
              <w:numPr>
                <w:ilvl w:val="0"/>
                <w:numId w:val="4"/>
              </w:numPr>
              <w:spacing w:after="0"/>
              <w:ind w:left="0" w:hanging="109"/>
              <w:contextualSpacing/>
              <w:jc w:val="center"/>
              <w:rPr>
                <w:sz w:val="22"/>
                <w:szCs w:val="22"/>
              </w:rPr>
            </w:pPr>
          </w:p>
        </w:tc>
        <w:tc>
          <w:tcPr>
            <w:tcW w:w="4112" w:type="dxa"/>
          </w:tcPr>
          <w:p w14:paraId="2E4EB30E"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Департамент экономического развития Воронежской области</w:t>
            </w:r>
          </w:p>
        </w:tc>
        <w:tc>
          <w:tcPr>
            <w:tcW w:w="2410" w:type="dxa"/>
            <w:vAlign w:val="center"/>
          </w:tcPr>
          <w:p w14:paraId="1C37F821" w14:textId="77777777" w:rsidR="00B16F49" w:rsidRPr="00F562A8" w:rsidRDefault="00FF7453" w:rsidP="000834DD">
            <w:pPr>
              <w:spacing w:line="276" w:lineRule="auto"/>
              <w:contextualSpacing/>
              <w:jc w:val="center"/>
              <w:rPr>
                <w:rFonts w:ascii="Times New Roman" w:hAnsi="Times New Roman" w:cs="Times New Roman"/>
                <w:sz w:val="22"/>
                <w:szCs w:val="22"/>
              </w:rPr>
            </w:pPr>
            <w:hyperlink r:id="rId11" w:history="1">
              <w:r w:rsidR="00B16F49" w:rsidRPr="00F562A8">
                <w:rPr>
                  <w:rStyle w:val="ad"/>
                  <w:rFonts w:ascii="Times New Roman" w:hAnsi="Times New Roman" w:cs="Times New Roman"/>
                  <w:sz w:val="22"/>
                  <w:szCs w:val="22"/>
                </w:rPr>
                <w:t>https://econom.govvrn.ru/</w:t>
              </w:r>
            </w:hyperlink>
          </w:p>
        </w:tc>
        <w:tc>
          <w:tcPr>
            <w:tcW w:w="2126" w:type="dxa"/>
            <w:vAlign w:val="center"/>
          </w:tcPr>
          <w:p w14:paraId="2A36CDE0"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52B55A6F" w14:textId="77777777" w:rsidTr="000834DD">
        <w:trPr>
          <w:trHeight w:val="20"/>
        </w:trPr>
        <w:tc>
          <w:tcPr>
            <w:tcW w:w="703" w:type="dxa"/>
          </w:tcPr>
          <w:p w14:paraId="69B5C05C" w14:textId="77777777" w:rsidR="00B16F49" w:rsidRPr="00F562A8" w:rsidRDefault="00B16F49" w:rsidP="000834DD">
            <w:pPr>
              <w:pStyle w:val="23"/>
              <w:numPr>
                <w:ilvl w:val="0"/>
                <w:numId w:val="4"/>
              </w:numPr>
              <w:spacing w:after="0"/>
              <w:ind w:left="0" w:hanging="109"/>
              <w:contextualSpacing/>
              <w:jc w:val="center"/>
              <w:rPr>
                <w:sz w:val="22"/>
                <w:szCs w:val="22"/>
              </w:rPr>
            </w:pPr>
          </w:p>
        </w:tc>
        <w:tc>
          <w:tcPr>
            <w:tcW w:w="4112" w:type="dxa"/>
          </w:tcPr>
          <w:p w14:paraId="7CA18354"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«Росреестр»- Федеральная служба государственной регистрации, кадастра и картографии</w:t>
            </w:r>
          </w:p>
        </w:tc>
        <w:tc>
          <w:tcPr>
            <w:tcW w:w="2410" w:type="dxa"/>
            <w:vAlign w:val="center"/>
          </w:tcPr>
          <w:p w14:paraId="5B381BA9" w14:textId="77777777" w:rsidR="00B16F49" w:rsidRPr="00F562A8" w:rsidRDefault="00FF7453" w:rsidP="000834DD">
            <w:pPr>
              <w:spacing w:line="276" w:lineRule="auto"/>
              <w:contextualSpacing/>
              <w:jc w:val="center"/>
              <w:rPr>
                <w:rFonts w:ascii="Times New Roman" w:hAnsi="Times New Roman" w:cs="Times New Roman"/>
                <w:sz w:val="22"/>
                <w:szCs w:val="22"/>
              </w:rPr>
            </w:pPr>
            <w:hyperlink r:id="rId12" w:history="1">
              <w:r w:rsidR="00B16F49" w:rsidRPr="00F562A8">
                <w:rPr>
                  <w:rStyle w:val="ad"/>
                  <w:rFonts w:ascii="Times New Roman" w:hAnsi="Times New Roman" w:cs="Times New Roman"/>
                  <w:sz w:val="22"/>
                  <w:szCs w:val="22"/>
                </w:rPr>
                <w:t>https://rosreestr.ru/site/</w:t>
              </w:r>
            </w:hyperlink>
          </w:p>
        </w:tc>
        <w:tc>
          <w:tcPr>
            <w:tcW w:w="2126" w:type="dxa"/>
            <w:vAlign w:val="center"/>
          </w:tcPr>
          <w:p w14:paraId="1289FCD6"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4C0F6B57" w14:textId="77777777" w:rsidTr="000834DD">
        <w:trPr>
          <w:trHeight w:val="20"/>
        </w:trPr>
        <w:tc>
          <w:tcPr>
            <w:tcW w:w="703" w:type="dxa"/>
          </w:tcPr>
          <w:p w14:paraId="125B331D" w14:textId="77777777" w:rsidR="00B16F49" w:rsidRPr="00F562A8" w:rsidRDefault="00B16F49" w:rsidP="000834DD">
            <w:pPr>
              <w:pStyle w:val="23"/>
              <w:numPr>
                <w:ilvl w:val="0"/>
                <w:numId w:val="4"/>
              </w:numPr>
              <w:spacing w:after="0"/>
              <w:ind w:left="0" w:hanging="109"/>
              <w:contextualSpacing/>
              <w:jc w:val="center"/>
              <w:rPr>
                <w:sz w:val="22"/>
                <w:szCs w:val="22"/>
              </w:rPr>
            </w:pPr>
          </w:p>
        </w:tc>
        <w:tc>
          <w:tcPr>
            <w:tcW w:w="4112" w:type="dxa"/>
            <w:vAlign w:val="center"/>
          </w:tcPr>
          <w:p w14:paraId="4FC48A65"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Публичная кадастровая карта Росреестра</w:t>
            </w:r>
          </w:p>
        </w:tc>
        <w:tc>
          <w:tcPr>
            <w:tcW w:w="2410" w:type="dxa"/>
            <w:vAlign w:val="center"/>
          </w:tcPr>
          <w:p w14:paraId="41FE1AA2" w14:textId="77777777" w:rsidR="00B16F49" w:rsidRPr="00F562A8" w:rsidRDefault="00FF7453" w:rsidP="000834DD">
            <w:pPr>
              <w:spacing w:line="276" w:lineRule="auto"/>
              <w:contextualSpacing/>
              <w:jc w:val="center"/>
              <w:rPr>
                <w:rStyle w:val="ad"/>
                <w:rFonts w:ascii="Times New Roman" w:hAnsi="Times New Roman" w:cs="Times New Roman"/>
                <w:sz w:val="22"/>
                <w:szCs w:val="22"/>
              </w:rPr>
            </w:pPr>
            <w:hyperlink r:id="rId13" w:anchor="x=11554711.454933215&amp;y=10055441.59923289&amp;z=3" w:history="1">
              <w:r w:rsidR="00B16F49" w:rsidRPr="00F562A8">
                <w:rPr>
                  <w:rStyle w:val="ad"/>
                  <w:rFonts w:ascii="Times New Roman" w:hAnsi="Times New Roman" w:cs="Times New Roman"/>
                  <w:sz w:val="22"/>
                  <w:szCs w:val="22"/>
                </w:rPr>
                <w:t>https://pkk5.rosreestr.ru/#x=11554711.454933215&amp;y=10055441.59923289&amp;z=3</w:t>
              </w:r>
            </w:hyperlink>
          </w:p>
        </w:tc>
        <w:tc>
          <w:tcPr>
            <w:tcW w:w="2126" w:type="dxa"/>
            <w:vAlign w:val="center"/>
          </w:tcPr>
          <w:p w14:paraId="4C509FCD"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7C05868F" w14:textId="77777777" w:rsidTr="000834DD">
        <w:trPr>
          <w:trHeight w:val="20"/>
        </w:trPr>
        <w:tc>
          <w:tcPr>
            <w:tcW w:w="703" w:type="dxa"/>
          </w:tcPr>
          <w:p w14:paraId="0695C9B7" w14:textId="77777777" w:rsidR="00B16F49" w:rsidRPr="00F562A8" w:rsidRDefault="00B16F49" w:rsidP="000834DD">
            <w:pPr>
              <w:pStyle w:val="23"/>
              <w:numPr>
                <w:ilvl w:val="0"/>
                <w:numId w:val="4"/>
              </w:numPr>
              <w:spacing w:after="0"/>
              <w:ind w:left="0" w:hanging="109"/>
              <w:contextualSpacing/>
              <w:jc w:val="center"/>
              <w:rPr>
                <w:sz w:val="22"/>
                <w:szCs w:val="22"/>
              </w:rPr>
            </w:pPr>
          </w:p>
        </w:tc>
        <w:tc>
          <w:tcPr>
            <w:tcW w:w="4112" w:type="dxa"/>
          </w:tcPr>
          <w:p w14:paraId="3B68348B"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Федеральная служба государственной статистики</w:t>
            </w:r>
          </w:p>
        </w:tc>
        <w:tc>
          <w:tcPr>
            <w:tcW w:w="2410" w:type="dxa"/>
            <w:vAlign w:val="center"/>
          </w:tcPr>
          <w:p w14:paraId="27B481C7" w14:textId="77777777" w:rsidR="00B16F49" w:rsidRPr="00F562A8" w:rsidRDefault="00FF7453" w:rsidP="000834DD">
            <w:pPr>
              <w:spacing w:line="276" w:lineRule="auto"/>
              <w:contextualSpacing/>
              <w:jc w:val="center"/>
              <w:rPr>
                <w:rStyle w:val="ad"/>
                <w:rFonts w:ascii="Times New Roman" w:hAnsi="Times New Roman" w:cs="Times New Roman"/>
                <w:sz w:val="22"/>
                <w:szCs w:val="22"/>
              </w:rPr>
            </w:pPr>
            <w:hyperlink r:id="rId14" w:history="1">
              <w:r w:rsidR="00B16F49" w:rsidRPr="00F562A8">
                <w:rPr>
                  <w:rStyle w:val="ad"/>
                  <w:rFonts w:ascii="Times New Roman" w:hAnsi="Times New Roman" w:cs="Times New Roman"/>
                  <w:sz w:val="22"/>
                  <w:szCs w:val="22"/>
                </w:rPr>
                <w:t>http://www.gks.ru/</w:t>
              </w:r>
            </w:hyperlink>
          </w:p>
        </w:tc>
        <w:tc>
          <w:tcPr>
            <w:tcW w:w="2126" w:type="dxa"/>
            <w:vAlign w:val="center"/>
          </w:tcPr>
          <w:p w14:paraId="52E37B7F"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6AF60A6B" w14:textId="77777777" w:rsidTr="000834DD">
        <w:trPr>
          <w:trHeight w:val="20"/>
        </w:trPr>
        <w:tc>
          <w:tcPr>
            <w:tcW w:w="703" w:type="dxa"/>
          </w:tcPr>
          <w:p w14:paraId="7B080A77" w14:textId="77777777" w:rsidR="00B16F49" w:rsidRPr="00F562A8" w:rsidRDefault="00B16F49" w:rsidP="000834DD">
            <w:pPr>
              <w:pStyle w:val="23"/>
              <w:numPr>
                <w:ilvl w:val="0"/>
                <w:numId w:val="4"/>
              </w:numPr>
              <w:spacing w:after="0"/>
              <w:ind w:left="0" w:hanging="109"/>
              <w:contextualSpacing/>
              <w:jc w:val="center"/>
              <w:rPr>
                <w:sz w:val="22"/>
                <w:szCs w:val="22"/>
              </w:rPr>
            </w:pPr>
          </w:p>
        </w:tc>
        <w:tc>
          <w:tcPr>
            <w:tcW w:w="4112" w:type="dxa"/>
          </w:tcPr>
          <w:p w14:paraId="7E86746F"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Территориальный орган Федеральной службы государственной статистики по Воронежской области</w:t>
            </w:r>
          </w:p>
        </w:tc>
        <w:tc>
          <w:tcPr>
            <w:tcW w:w="2410" w:type="dxa"/>
            <w:vAlign w:val="center"/>
          </w:tcPr>
          <w:p w14:paraId="072DB43F" w14:textId="77777777" w:rsidR="00B16F49" w:rsidRPr="00F562A8" w:rsidRDefault="00FF7453" w:rsidP="000834DD">
            <w:pPr>
              <w:spacing w:line="276" w:lineRule="auto"/>
              <w:contextualSpacing/>
              <w:jc w:val="center"/>
              <w:rPr>
                <w:rFonts w:ascii="Times New Roman" w:hAnsi="Times New Roman" w:cs="Times New Roman"/>
                <w:sz w:val="22"/>
                <w:szCs w:val="22"/>
              </w:rPr>
            </w:pPr>
            <w:hyperlink r:id="rId15" w:history="1">
              <w:r w:rsidR="00B16F49" w:rsidRPr="00F562A8">
                <w:rPr>
                  <w:rStyle w:val="ad"/>
                  <w:rFonts w:ascii="Times New Roman" w:hAnsi="Times New Roman" w:cs="Times New Roman"/>
                  <w:sz w:val="22"/>
                  <w:szCs w:val="22"/>
                </w:rPr>
                <w:t>http://voronezhstat.gks.ru/</w:t>
              </w:r>
            </w:hyperlink>
          </w:p>
        </w:tc>
        <w:tc>
          <w:tcPr>
            <w:tcW w:w="2126" w:type="dxa"/>
            <w:vAlign w:val="center"/>
          </w:tcPr>
          <w:p w14:paraId="7F689A57"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626D773A" w14:textId="77777777" w:rsidTr="000834DD">
        <w:trPr>
          <w:trHeight w:val="20"/>
        </w:trPr>
        <w:tc>
          <w:tcPr>
            <w:tcW w:w="703" w:type="dxa"/>
          </w:tcPr>
          <w:p w14:paraId="7BFA8CCD" w14:textId="77777777" w:rsidR="00B16F49" w:rsidRPr="00F562A8" w:rsidRDefault="00B16F49" w:rsidP="000834DD">
            <w:pPr>
              <w:pStyle w:val="23"/>
              <w:numPr>
                <w:ilvl w:val="0"/>
                <w:numId w:val="4"/>
              </w:numPr>
              <w:spacing w:after="0"/>
              <w:ind w:left="0" w:hanging="109"/>
              <w:contextualSpacing/>
              <w:jc w:val="center"/>
              <w:rPr>
                <w:sz w:val="22"/>
                <w:szCs w:val="22"/>
              </w:rPr>
            </w:pPr>
          </w:p>
        </w:tc>
        <w:tc>
          <w:tcPr>
            <w:tcW w:w="4112" w:type="dxa"/>
          </w:tcPr>
          <w:p w14:paraId="55F87DE5"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Официальный сайт Российской Федерации для размещения информации о проведении торгов</w:t>
            </w:r>
          </w:p>
        </w:tc>
        <w:tc>
          <w:tcPr>
            <w:tcW w:w="2410" w:type="dxa"/>
            <w:vAlign w:val="center"/>
          </w:tcPr>
          <w:p w14:paraId="3902A9E9" w14:textId="77777777" w:rsidR="00B16F49" w:rsidRPr="00F562A8" w:rsidRDefault="00FF7453" w:rsidP="000834DD">
            <w:pPr>
              <w:spacing w:line="276" w:lineRule="auto"/>
              <w:contextualSpacing/>
              <w:jc w:val="center"/>
              <w:rPr>
                <w:rStyle w:val="ad"/>
                <w:rFonts w:ascii="Times New Roman" w:hAnsi="Times New Roman" w:cs="Times New Roman"/>
                <w:sz w:val="22"/>
                <w:szCs w:val="22"/>
              </w:rPr>
            </w:pPr>
            <w:hyperlink r:id="rId16" w:history="1">
              <w:r w:rsidR="00B16F49" w:rsidRPr="00F562A8">
                <w:rPr>
                  <w:rStyle w:val="ad"/>
                  <w:rFonts w:ascii="Times New Roman" w:hAnsi="Times New Roman" w:cs="Times New Roman"/>
                  <w:sz w:val="22"/>
                  <w:szCs w:val="22"/>
                </w:rPr>
                <w:t>https://torgi.gov.ru</w:t>
              </w:r>
            </w:hyperlink>
          </w:p>
        </w:tc>
        <w:tc>
          <w:tcPr>
            <w:tcW w:w="2126" w:type="dxa"/>
            <w:vAlign w:val="center"/>
          </w:tcPr>
          <w:p w14:paraId="363D22D1"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3CB6079C" w14:textId="77777777" w:rsidTr="000834DD">
        <w:trPr>
          <w:trHeight w:val="20"/>
        </w:trPr>
        <w:tc>
          <w:tcPr>
            <w:tcW w:w="703" w:type="dxa"/>
          </w:tcPr>
          <w:p w14:paraId="1C83DAF7" w14:textId="77777777" w:rsidR="00B16F49" w:rsidRPr="00F562A8" w:rsidRDefault="00B16F49" w:rsidP="000834DD">
            <w:pPr>
              <w:pStyle w:val="23"/>
              <w:numPr>
                <w:ilvl w:val="0"/>
                <w:numId w:val="4"/>
              </w:numPr>
              <w:spacing w:after="0"/>
              <w:ind w:left="0" w:hanging="109"/>
              <w:contextualSpacing/>
              <w:jc w:val="center"/>
              <w:rPr>
                <w:sz w:val="22"/>
                <w:szCs w:val="22"/>
              </w:rPr>
            </w:pPr>
          </w:p>
        </w:tc>
        <w:tc>
          <w:tcPr>
            <w:tcW w:w="4112" w:type="dxa"/>
          </w:tcPr>
          <w:p w14:paraId="097408FB"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Фонд государственного имущества Воронежской области</w:t>
            </w:r>
          </w:p>
        </w:tc>
        <w:tc>
          <w:tcPr>
            <w:tcW w:w="2410" w:type="dxa"/>
            <w:vAlign w:val="center"/>
          </w:tcPr>
          <w:p w14:paraId="43893117" w14:textId="77777777" w:rsidR="00B16F49" w:rsidRPr="00F562A8" w:rsidRDefault="00FF7453" w:rsidP="000834DD">
            <w:pPr>
              <w:spacing w:line="276" w:lineRule="auto"/>
              <w:contextualSpacing/>
              <w:jc w:val="center"/>
              <w:rPr>
                <w:rFonts w:ascii="Times New Roman" w:hAnsi="Times New Roman" w:cs="Times New Roman"/>
                <w:sz w:val="22"/>
                <w:szCs w:val="22"/>
              </w:rPr>
            </w:pPr>
            <w:hyperlink r:id="rId17" w:history="1">
              <w:r w:rsidR="00B16F49" w:rsidRPr="00F562A8">
                <w:rPr>
                  <w:rStyle w:val="ad"/>
                  <w:rFonts w:ascii="Times New Roman" w:hAnsi="Times New Roman" w:cs="Times New Roman"/>
                  <w:sz w:val="22"/>
                  <w:szCs w:val="22"/>
                </w:rPr>
                <w:t>http://fgivo.ru</w:t>
              </w:r>
            </w:hyperlink>
          </w:p>
        </w:tc>
        <w:tc>
          <w:tcPr>
            <w:tcW w:w="2126" w:type="dxa"/>
            <w:vAlign w:val="center"/>
          </w:tcPr>
          <w:p w14:paraId="012D2A22"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7D9AB00E" w14:textId="77777777" w:rsidTr="000834DD">
        <w:trPr>
          <w:trHeight w:val="20"/>
        </w:trPr>
        <w:tc>
          <w:tcPr>
            <w:tcW w:w="703" w:type="dxa"/>
          </w:tcPr>
          <w:p w14:paraId="2E4EBA6D" w14:textId="77777777" w:rsidR="00B16F49" w:rsidRPr="00F562A8" w:rsidRDefault="00B16F49" w:rsidP="000834DD">
            <w:pPr>
              <w:pStyle w:val="23"/>
              <w:numPr>
                <w:ilvl w:val="0"/>
                <w:numId w:val="4"/>
              </w:numPr>
              <w:spacing w:after="0"/>
              <w:ind w:left="0" w:hanging="109"/>
              <w:contextualSpacing/>
              <w:jc w:val="center"/>
              <w:rPr>
                <w:sz w:val="22"/>
                <w:szCs w:val="22"/>
              </w:rPr>
            </w:pPr>
          </w:p>
        </w:tc>
        <w:tc>
          <w:tcPr>
            <w:tcW w:w="4112" w:type="dxa"/>
          </w:tcPr>
          <w:p w14:paraId="1D52A2DE"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Яндекс. Карты</w:t>
            </w:r>
          </w:p>
        </w:tc>
        <w:tc>
          <w:tcPr>
            <w:tcW w:w="2410" w:type="dxa"/>
            <w:vAlign w:val="center"/>
          </w:tcPr>
          <w:p w14:paraId="063EEC21" w14:textId="77777777" w:rsidR="00B16F49" w:rsidRPr="00F562A8" w:rsidRDefault="00FF7453" w:rsidP="000834DD">
            <w:pPr>
              <w:spacing w:line="276" w:lineRule="auto"/>
              <w:contextualSpacing/>
              <w:jc w:val="center"/>
              <w:rPr>
                <w:rStyle w:val="ad"/>
                <w:rFonts w:ascii="Times New Roman" w:hAnsi="Times New Roman" w:cs="Times New Roman"/>
                <w:sz w:val="22"/>
                <w:szCs w:val="22"/>
              </w:rPr>
            </w:pPr>
            <w:hyperlink r:id="rId18" w:history="1">
              <w:r w:rsidR="00B16F49" w:rsidRPr="00F562A8">
                <w:rPr>
                  <w:rStyle w:val="ad"/>
                  <w:rFonts w:ascii="Times New Roman" w:hAnsi="Times New Roman" w:cs="Times New Roman"/>
                  <w:sz w:val="22"/>
                  <w:szCs w:val="22"/>
                </w:rPr>
                <w:t>https://yandex.ru/maps/</w:t>
              </w:r>
            </w:hyperlink>
          </w:p>
        </w:tc>
        <w:tc>
          <w:tcPr>
            <w:tcW w:w="2126" w:type="dxa"/>
            <w:vAlign w:val="center"/>
          </w:tcPr>
          <w:p w14:paraId="36F55A6C"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317AFE8D" w14:textId="77777777" w:rsidTr="000834DD">
        <w:trPr>
          <w:trHeight w:val="20"/>
        </w:trPr>
        <w:tc>
          <w:tcPr>
            <w:tcW w:w="703" w:type="dxa"/>
          </w:tcPr>
          <w:p w14:paraId="32610C96" w14:textId="77777777" w:rsidR="00B16F49" w:rsidRPr="00F562A8" w:rsidRDefault="00B16F49" w:rsidP="000834DD">
            <w:pPr>
              <w:pStyle w:val="23"/>
              <w:numPr>
                <w:ilvl w:val="0"/>
                <w:numId w:val="4"/>
              </w:numPr>
              <w:spacing w:after="0"/>
              <w:ind w:left="0" w:hanging="109"/>
              <w:contextualSpacing/>
              <w:jc w:val="center"/>
              <w:rPr>
                <w:sz w:val="22"/>
                <w:szCs w:val="22"/>
              </w:rPr>
            </w:pPr>
          </w:p>
        </w:tc>
        <w:tc>
          <w:tcPr>
            <w:tcW w:w="4112" w:type="dxa"/>
            <w:vAlign w:val="center"/>
          </w:tcPr>
          <w:p w14:paraId="502CA7F0"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lang w:val="en-US"/>
              </w:rPr>
              <w:t xml:space="preserve">Google </w:t>
            </w:r>
            <w:r w:rsidRPr="00F562A8">
              <w:rPr>
                <w:rFonts w:ascii="Times New Roman" w:hAnsi="Times New Roman" w:cs="Times New Roman"/>
                <w:sz w:val="22"/>
                <w:szCs w:val="22"/>
              </w:rPr>
              <w:t>Карты</w:t>
            </w:r>
          </w:p>
        </w:tc>
        <w:tc>
          <w:tcPr>
            <w:tcW w:w="2410" w:type="dxa"/>
            <w:vAlign w:val="center"/>
          </w:tcPr>
          <w:p w14:paraId="5C338D09" w14:textId="77777777" w:rsidR="00B16F49" w:rsidRPr="00F562A8" w:rsidRDefault="00FF7453" w:rsidP="000834DD">
            <w:pPr>
              <w:spacing w:line="276" w:lineRule="auto"/>
              <w:contextualSpacing/>
              <w:jc w:val="center"/>
              <w:rPr>
                <w:rStyle w:val="ad"/>
                <w:rFonts w:ascii="Times New Roman" w:hAnsi="Times New Roman" w:cs="Times New Roman"/>
                <w:sz w:val="22"/>
                <w:szCs w:val="22"/>
              </w:rPr>
            </w:pPr>
            <w:hyperlink r:id="rId19" w:history="1">
              <w:r w:rsidR="00B16F49" w:rsidRPr="00DB4FEF">
                <w:rPr>
                  <w:rStyle w:val="ad"/>
                  <w:rFonts w:ascii="Times New Roman" w:hAnsi="Times New Roman" w:cs="Times New Roman"/>
                  <w:sz w:val="22"/>
                  <w:szCs w:val="22"/>
                </w:rPr>
                <w:t>https</w:t>
              </w:r>
              <w:r w:rsidR="00B16F49" w:rsidRPr="00F562A8">
                <w:rPr>
                  <w:rStyle w:val="ad"/>
                  <w:rFonts w:ascii="Times New Roman" w:hAnsi="Times New Roman" w:cs="Times New Roman"/>
                  <w:sz w:val="22"/>
                  <w:szCs w:val="22"/>
                </w:rPr>
                <w:t>://</w:t>
              </w:r>
              <w:r w:rsidR="00B16F49" w:rsidRPr="00DB4FEF">
                <w:rPr>
                  <w:rStyle w:val="ad"/>
                  <w:rFonts w:ascii="Times New Roman" w:hAnsi="Times New Roman" w:cs="Times New Roman"/>
                  <w:sz w:val="22"/>
                  <w:szCs w:val="22"/>
                </w:rPr>
                <w:t>www</w:t>
              </w:r>
              <w:r w:rsidR="00B16F49" w:rsidRPr="00F562A8">
                <w:rPr>
                  <w:rStyle w:val="ad"/>
                  <w:rFonts w:ascii="Times New Roman" w:hAnsi="Times New Roman" w:cs="Times New Roman"/>
                  <w:sz w:val="22"/>
                  <w:szCs w:val="22"/>
                </w:rPr>
                <w:t>.</w:t>
              </w:r>
              <w:r w:rsidR="00B16F49" w:rsidRPr="00DB4FEF">
                <w:rPr>
                  <w:rStyle w:val="ad"/>
                  <w:rFonts w:ascii="Times New Roman" w:hAnsi="Times New Roman" w:cs="Times New Roman"/>
                  <w:sz w:val="22"/>
                  <w:szCs w:val="22"/>
                </w:rPr>
                <w:t>google</w:t>
              </w:r>
              <w:r w:rsidR="00B16F49" w:rsidRPr="00F562A8">
                <w:rPr>
                  <w:rStyle w:val="ad"/>
                  <w:rFonts w:ascii="Times New Roman" w:hAnsi="Times New Roman" w:cs="Times New Roman"/>
                  <w:sz w:val="22"/>
                  <w:szCs w:val="22"/>
                </w:rPr>
                <w:t>.</w:t>
              </w:r>
              <w:r w:rsidR="00B16F49" w:rsidRPr="00DB4FEF">
                <w:rPr>
                  <w:rStyle w:val="ad"/>
                  <w:rFonts w:ascii="Times New Roman" w:hAnsi="Times New Roman" w:cs="Times New Roman"/>
                  <w:sz w:val="22"/>
                  <w:szCs w:val="22"/>
                </w:rPr>
                <w:t>ru</w:t>
              </w:r>
              <w:r w:rsidR="00B16F49" w:rsidRPr="00F562A8">
                <w:rPr>
                  <w:rStyle w:val="ad"/>
                  <w:rFonts w:ascii="Times New Roman" w:hAnsi="Times New Roman" w:cs="Times New Roman"/>
                  <w:sz w:val="22"/>
                  <w:szCs w:val="22"/>
                </w:rPr>
                <w:t>/</w:t>
              </w:r>
              <w:r w:rsidR="00B16F49" w:rsidRPr="00DB4FEF">
                <w:rPr>
                  <w:rStyle w:val="ad"/>
                  <w:rFonts w:ascii="Times New Roman" w:hAnsi="Times New Roman" w:cs="Times New Roman"/>
                  <w:sz w:val="22"/>
                  <w:szCs w:val="22"/>
                </w:rPr>
                <w:t>maps</w:t>
              </w:r>
            </w:hyperlink>
          </w:p>
        </w:tc>
        <w:tc>
          <w:tcPr>
            <w:tcW w:w="2126" w:type="dxa"/>
            <w:vAlign w:val="center"/>
          </w:tcPr>
          <w:p w14:paraId="40B66CDC"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7ED5D885" w14:textId="77777777" w:rsidTr="000834DD">
        <w:trPr>
          <w:trHeight w:val="20"/>
        </w:trPr>
        <w:tc>
          <w:tcPr>
            <w:tcW w:w="703" w:type="dxa"/>
          </w:tcPr>
          <w:p w14:paraId="56843DC4" w14:textId="77777777" w:rsidR="00B16F49" w:rsidRPr="00F562A8" w:rsidRDefault="00B16F49" w:rsidP="000834DD">
            <w:pPr>
              <w:pStyle w:val="23"/>
              <w:numPr>
                <w:ilvl w:val="0"/>
                <w:numId w:val="4"/>
              </w:numPr>
              <w:spacing w:after="0"/>
              <w:ind w:left="0" w:hanging="109"/>
              <w:contextualSpacing/>
              <w:jc w:val="center"/>
              <w:rPr>
                <w:sz w:val="22"/>
                <w:szCs w:val="22"/>
              </w:rPr>
            </w:pPr>
          </w:p>
        </w:tc>
        <w:tc>
          <w:tcPr>
            <w:tcW w:w="4112" w:type="dxa"/>
          </w:tcPr>
          <w:p w14:paraId="2A425A2D"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2ГИС</w:t>
            </w:r>
          </w:p>
        </w:tc>
        <w:tc>
          <w:tcPr>
            <w:tcW w:w="2410" w:type="dxa"/>
          </w:tcPr>
          <w:p w14:paraId="4E8A3F3F" w14:textId="77777777" w:rsidR="00B16F49" w:rsidRPr="00F562A8" w:rsidRDefault="00FF7453" w:rsidP="000834DD">
            <w:pPr>
              <w:spacing w:line="276" w:lineRule="auto"/>
              <w:contextualSpacing/>
              <w:jc w:val="center"/>
              <w:rPr>
                <w:rStyle w:val="ad"/>
                <w:rFonts w:ascii="Times New Roman" w:hAnsi="Times New Roman" w:cs="Times New Roman"/>
                <w:sz w:val="22"/>
                <w:szCs w:val="22"/>
              </w:rPr>
            </w:pPr>
            <w:hyperlink r:id="rId20" w:history="1">
              <w:r w:rsidR="00B16F49" w:rsidRPr="00F562A8">
                <w:rPr>
                  <w:rStyle w:val="ad"/>
                  <w:rFonts w:ascii="Times New Roman" w:hAnsi="Times New Roman" w:cs="Times New Roman"/>
                  <w:sz w:val="22"/>
                  <w:szCs w:val="22"/>
                </w:rPr>
                <w:t>https://2gis.ru</w:t>
              </w:r>
            </w:hyperlink>
          </w:p>
        </w:tc>
        <w:tc>
          <w:tcPr>
            <w:tcW w:w="2126" w:type="dxa"/>
          </w:tcPr>
          <w:p w14:paraId="28A937FE"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661E5ECF" w14:textId="77777777" w:rsidTr="000834DD">
        <w:trPr>
          <w:trHeight w:val="20"/>
        </w:trPr>
        <w:tc>
          <w:tcPr>
            <w:tcW w:w="703" w:type="dxa"/>
          </w:tcPr>
          <w:p w14:paraId="6CE070EE" w14:textId="77777777" w:rsidR="00B16F49" w:rsidRPr="00F562A8" w:rsidRDefault="00B16F49" w:rsidP="000834DD">
            <w:pPr>
              <w:pStyle w:val="23"/>
              <w:numPr>
                <w:ilvl w:val="0"/>
                <w:numId w:val="4"/>
              </w:numPr>
              <w:spacing w:after="0"/>
              <w:ind w:left="0" w:hanging="109"/>
              <w:contextualSpacing/>
              <w:jc w:val="center"/>
              <w:rPr>
                <w:sz w:val="22"/>
                <w:szCs w:val="22"/>
              </w:rPr>
            </w:pPr>
          </w:p>
        </w:tc>
        <w:tc>
          <w:tcPr>
            <w:tcW w:w="4112" w:type="dxa"/>
          </w:tcPr>
          <w:p w14:paraId="79595C29" w14:textId="77777777" w:rsidR="00B16F49" w:rsidRPr="00DD240E" w:rsidRDefault="00B16F49" w:rsidP="000834DD">
            <w:pPr>
              <w:spacing w:line="276" w:lineRule="auto"/>
              <w:contextualSpacing/>
              <w:rPr>
                <w:rFonts w:ascii="Times New Roman" w:hAnsi="Times New Roman" w:cs="Times New Roman"/>
                <w:sz w:val="22"/>
                <w:szCs w:val="22"/>
              </w:rPr>
            </w:pPr>
            <w:r w:rsidRPr="00DD240E">
              <w:rPr>
                <w:rFonts w:ascii="Times New Roman" w:hAnsi="Times New Roman" w:cs="Times New Roman"/>
                <w:sz w:val="22"/>
                <w:szCs w:val="22"/>
              </w:rPr>
              <w:t>КЛАДР онлайн- Классификатор адресов Российской Федерации</w:t>
            </w:r>
          </w:p>
        </w:tc>
        <w:tc>
          <w:tcPr>
            <w:tcW w:w="2410" w:type="dxa"/>
            <w:vAlign w:val="center"/>
          </w:tcPr>
          <w:p w14:paraId="74317AEA" w14:textId="77777777" w:rsidR="00B16F49" w:rsidRPr="00DB4FEF" w:rsidRDefault="00FF7453" w:rsidP="000834DD">
            <w:pPr>
              <w:spacing w:line="276" w:lineRule="auto"/>
              <w:contextualSpacing/>
              <w:jc w:val="center"/>
              <w:rPr>
                <w:rStyle w:val="ad"/>
                <w:rFonts w:ascii="Times New Roman" w:hAnsi="Times New Roman" w:cs="Times New Roman"/>
                <w:sz w:val="22"/>
                <w:szCs w:val="22"/>
              </w:rPr>
            </w:pPr>
            <w:hyperlink r:id="rId21" w:history="1">
              <w:r w:rsidR="00B16F49" w:rsidRPr="00DB4FEF">
                <w:rPr>
                  <w:rStyle w:val="ad"/>
                  <w:rFonts w:ascii="Times New Roman" w:hAnsi="Times New Roman" w:cs="Times New Roman"/>
                  <w:sz w:val="22"/>
                  <w:szCs w:val="22"/>
                </w:rPr>
                <w:t>https://kladr-rf.ru</w:t>
              </w:r>
            </w:hyperlink>
          </w:p>
        </w:tc>
        <w:tc>
          <w:tcPr>
            <w:tcW w:w="2126" w:type="dxa"/>
            <w:vAlign w:val="center"/>
          </w:tcPr>
          <w:p w14:paraId="2945641C" w14:textId="77777777" w:rsidR="00B16F49" w:rsidRPr="00DD240E" w:rsidRDefault="00B16F49" w:rsidP="000834DD">
            <w:pPr>
              <w:spacing w:line="276" w:lineRule="auto"/>
              <w:contextualSpacing/>
              <w:jc w:val="center"/>
              <w:rPr>
                <w:rFonts w:ascii="Times New Roman" w:hAnsi="Times New Roman" w:cs="Times New Roman"/>
                <w:sz w:val="22"/>
                <w:szCs w:val="22"/>
              </w:rPr>
            </w:pPr>
            <w:r w:rsidRPr="00DD240E">
              <w:rPr>
                <w:rFonts w:ascii="Times New Roman" w:hAnsi="Times New Roman" w:cs="Times New Roman"/>
                <w:sz w:val="22"/>
                <w:szCs w:val="22"/>
              </w:rPr>
              <w:t>Электронный</w:t>
            </w:r>
          </w:p>
        </w:tc>
      </w:tr>
      <w:tr w:rsidR="00B16F49" w:rsidRPr="00F562A8" w14:paraId="34A2DD48" w14:textId="77777777" w:rsidTr="000834DD">
        <w:trPr>
          <w:trHeight w:val="20"/>
        </w:trPr>
        <w:tc>
          <w:tcPr>
            <w:tcW w:w="703" w:type="dxa"/>
          </w:tcPr>
          <w:p w14:paraId="362826D5" w14:textId="77777777" w:rsidR="00B16F49" w:rsidRPr="00F562A8" w:rsidRDefault="00B16F49" w:rsidP="000834DD">
            <w:pPr>
              <w:pStyle w:val="23"/>
              <w:numPr>
                <w:ilvl w:val="0"/>
                <w:numId w:val="4"/>
              </w:numPr>
              <w:spacing w:after="0"/>
              <w:ind w:left="0" w:hanging="109"/>
              <w:contextualSpacing/>
              <w:jc w:val="center"/>
              <w:rPr>
                <w:sz w:val="22"/>
                <w:szCs w:val="22"/>
              </w:rPr>
            </w:pPr>
          </w:p>
        </w:tc>
        <w:tc>
          <w:tcPr>
            <w:tcW w:w="4112" w:type="dxa"/>
          </w:tcPr>
          <w:p w14:paraId="3D6687FB" w14:textId="77777777" w:rsidR="00B16F49" w:rsidRPr="00DD240E" w:rsidRDefault="00B16F49" w:rsidP="000834DD">
            <w:pPr>
              <w:spacing w:line="276" w:lineRule="auto"/>
              <w:contextualSpacing/>
              <w:rPr>
                <w:rFonts w:ascii="Times New Roman" w:hAnsi="Times New Roman" w:cs="Times New Roman"/>
                <w:sz w:val="22"/>
                <w:szCs w:val="22"/>
              </w:rPr>
            </w:pPr>
            <w:r w:rsidRPr="00DD240E">
              <w:rPr>
                <w:rFonts w:ascii="Times New Roman" w:hAnsi="Times New Roman" w:cs="Times New Roman"/>
                <w:sz w:val="22"/>
                <w:szCs w:val="22"/>
              </w:rPr>
              <w:t>Электронная база объектов недвижимости АН "InfoLINE"</w:t>
            </w:r>
          </w:p>
        </w:tc>
        <w:tc>
          <w:tcPr>
            <w:tcW w:w="2410" w:type="dxa"/>
          </w:tcPr>
          <w:p w14:paraId="217B706B" w14:textId="77777777" w:rsidR="00B16F49" w:rsidRPr="00DB4FEF" w:rsidRDefault="00B16F49" w:rsidP="000834DD">
            <w:pPr>
              <w:spacing w:line="276" w:lineRule="auto"/>
              <w:contextualSpacing/>
              <w:jc w:val="center"/>
              <w:rPr>
                <w:rStyle w:val="ad"/>
              </w:rPr>
            </w:pPr>
          </w:p>
        </w:tc>
        <w:tc>
          <w:tcPr>
            <w:tcW w:w="2126" w:type="dxa"/>
          </w:tcPr>
          <w:p w14:paraId="1794703F" w14:textId="77777777" w:rsidR="00B16F49" w:rsidRPr="00DD240E" w:rsidRDefault="00B16F49" w:rsidP="000834DD">
            <w:pPr>
              <w:spacing w:line="276" w:lineRule="auto"/>
              <w:contextualSpacing/>
              <w:jc w:val="center"/>
              <w:rPr>
                <w:rFonts w:ascii="Times New Roman" w:hAnsi="Times New Roman" w:cs="Times New Roman"/>
                <w:sz w:val="22"/>
                <w:szCs w:val="22"/>
              </w:rPr>
            </w:pPr>
            <w:r w:rsidRPr="00DD240E">
              <w:rPr>
                <w:rFonts w:ascii="Times New Roman" w:hAnsi="Times New Roman" w:cs="Times New Roman"/>
                <w:sz w:val="22"/>
                <w:szCs w:val="22"/>
              </w:rPr>
              <w:t xml:space="preserve">Электронная версия в формате </w:t>
            </w:r>
            <w:r w:rsidRPr="00DD240E">
              <w:rPr>
                <w:rFonts w:ascii="Times New Roman" w:hAnsi="Times New Roman" w:cs="Times New Roman"/>
                <w:sz w:val="22"/>
                <w:szCs w:val="22"/>
                <w:lang w:val="en-US"/>
              </w:rPr>
              <w:t>xlsx</w:t>
            </w:r>
          </w:p>
        </w:tc>
      </w:tr>
      <w:tr w:rsidR="00B16F49" w:rsidRPr="00F562A8" w14:paraId="47CDF4F8" w14:textId="77777777" w:rsidTr="000834DD">
        <w:trPr>
          <w:trHeight w:val="20"/>
        </w:trPr>
        <w:tc>
          <w:tcPr>
            <w:tcW w:w="703" w:type="dxa"/>
          </w:tcPr>
          <w:p w14:paraId="670FD611" w14:textId="77777777" w:rsidR="00B16F49" w:rsidRPr="00F562A8" w:rsidRDefault="00B16F49" w:rsidP="000834DD">
            <w:pPr>
              <w:pStyle w:val="23"/>
              <w:numPr>
                <w:ilvl w:val="0"/>
                <w:numId w:val="4"/>
              </w:numPr>
              <w:spacing w:after="0"/>
              <w:ind w:left="0" w:hanging="109"/>
              <w:contextualSpacing/>
              <w:jc w:val="center"/>
              <w:rPr>
                <w:sz w:val="22"/>
                <w:szCs w:val="22"/>
              </w:rPr>
            </w:pPr>
          </w:p>
        </w:tc>
        <w:tc>
          <w:tcPr>
            <w:tcW w:w="4112" w:type="dxa"/>
            <w:vAlign w:val="center"/>
          </w:tcPr>
          <w:p w14:paraId="65942BE1" w14:textId="77777777" w:rsidR="00B16F49" w:rsidRPr="00DD240E" w:rsidRDefault="00B16F49" w:rsidP="000834DD">
            <w:pPr>
              <w:spacing w:line="276" w:lineRule="auto"/>
              <w:contextualSpacing/>
              <w:rPr>
                <w:rFonts w:ascii="Times New Roman" w:hAnsi="Times New Roman" w:cs="Times New Roman"/>
                <w:sz w:val="22"/>
                <w:szCs w:val="22"/>
              </w:rPr>
            </w:pPr>
            <w:r w:rsidRPr="00DD240E">
              <w:rPr>
                <w:rFonts w:ascii="Times New Roman" w:hAnsi="Times New Roman" w:cs="Times New Roman"/>
                <w:sz w:val="22"/>
                <w:szCs w:val="22"/>
              </w:rPr>
              <w:t>Электронная база данных АИС МРН</w:t>
            </w:r>
          </w:p>
        </w:tc>
        <w:tc>
          <w:tcPr>
            <w:tcW w:w="2410" w:type="dxa"/>
          </w:tcPr>
          <w:p w14:paraId="0064518D" w14:textId="77777777" w:rsidR="00B16F49" w:rsidRPr="00DD240E" w:rsidRDefault="00B16F49" w:rsidP="000834DD">
            <w:pPr>
              <w:spacing w:line="276" w:lineRule="auto"/>
              <w:contextualSpacing/>
              <w:rPr>
                <w:rFonts w:ascii="Times New Roman" w:hAnsi="Times New Roman" w:cs="Times New Roman"/>
                <w:sz w:val="22"/>
                <w:szCs w:val="22"/>
              </w:rPr>
            </w:pPr>
          </w:p>
        </w:tc>
        <w:tc>
          <w:tcPr>
            <w:tcW w:w="2126" w:type="dxa"/>
          </w:tcPr>
          <w:p w14:paraId="23993689" w14:textId="77777777" w:rsidR="00B16F49" w:rsidRPr="00DD240E" w:rsidRDefault="00B16F49" w:rsidP="000834DD">
            <w:pPr>
              <w:spacing w:line="276" w:lineRule="auto"/>
              <w:contextualSpacing/>
              <w:jc w:val="center"/>
              <w:rPr>
                <w:rFonts w:ascii="Times New Roman" w:hAnsi="Times New Roman" w:cs="Times New Roman"/>
                <w:sz w:val="22"/>
                <w:szCs w:val="22"/>
              </w:rPr>
            </w:pPr>
            <w:r w:rsidRPr="00DD240E">
              <w:rPr>
                <w:rFonts w:ascii="Times New Roman" w:hAnsi="Times New Roman" w:cs="Times New Roman"/>
                <w:sz w:val="22"/>
                <w:szCs w:val="22"/>
              </w:rPr>
              <w:t xml:space="preserve">Электронная версия в формате </w:t>
            </w:r>
            <w:r w:rsidRPr="00DD240E">
              <w:rPr>
                <w:rFonts w:ascii="Times New Roman" w:hAnsi="Times New Roman" w:cs="Times New Roman"/>
                <w:sz w:val="22"/>
                <w:szCs w:val="22"/>
                <w:lang w:val="en-US"/>
              </w:rPr>
              <w:t>xlsx</w:t>
            </w:r>
          </w:p>
        </w:tc>
      </w:tr>
      <w:tr w:rsidR="00B16F49" w:rsidRPr="00F562A8" w14:paraId="64C5950D" w14:textId="77777777" w:rsidTr="000834DD">
        <w:trPr>
          <w:trHeight w:val="222"/>
        </w:trPr>
        <w:tc>
          <w:tcPr>
            <w:tcW w:w="9351" w:type="dxa"/>
            <w:gridSpan w:val="4"/>
          </w:tcPr>
          <w:p w14:paraId="433BB618" w14:textId="77777777" w:rsidR="00B16F49" w:rsidRPr="00F562A8" w:rsidRDefault="00B16F49" w:rsidP="000834DD">
            <w:pPr>
              <w:spacing w:line="276" w:lineRule="auto"/>
              <w:contextualSpacing/>
              <w:jc w:val="center"/>
              <w:rPr>
                <w:rFonts w:ascii="Times New Roman" w:hAnsi="Times New Roman" w:cs="Times New Roman"/>
                <w:b/>
                <w:sz w:val="22"/>
                <w:szCs w:val="22"/>
              </w:rPr>
            </w:pPr>
            <w:r w:rsidRPr="00F562A8">
              <w:rPr>
                <w:rFonts w:ascii="Times New Roman" w:hAnsi="Times New Roman" w:cs="Times New Roman"/>
                <w:b/>
                <w:sz w:val="22"/>
                <w:szCs w:val="22"/>
              </w:rPr>
              <w:t>Интернет-сервисы для размещения объявлений</w:t>
            </w:r>
          </w:p>
        </w:tc>
      </w:tr>
      <w:tr w:rsidR="00B16F49" w:rsidRPr="00F562A8" w14:paraId="46957BC7" w14:textId="77777777" w:rsidTr="000834DD">
        <w:trPr>
          <w:trHeight w:val="416"/>
        </w:trPr>
        <w:tc>
          <w:tcPr>
            <w:tcW w:w="703" w:type="dxa"/>
          </w:tcPr>
          <w:p w14:paraId="0AF407DD" w14:textId="77777777" w:rsidR="00B16F49" w:rsidRPr="00DC0E74" w:rsidRDefault="00B16F49" w:rsidP="000834DD">
            <w:pPr>
              <w:pStyle w:val="23"/>
              <w:numPr>
                <w:ilvl w:val="0"/>
                <w:numId w:val="4"/>
              </w:numPr>
              <w:spacing w:after="0"/>
              <w:ind w:left="0" w:firstLine="33"/>
              <w:contextualSpacing/>
              <w:jc w:val="center"/>
              <w:rPr>
                <w:sz w:val="22"/>
                <w:szCs w:val="22"/>
              </w:rPr>
            </w:pPr>
          </w:p>
        </w:tc>
        <w:tc>
          <w:tcPr>
            <w:tcW w:w="4112" w:type="dxa"/>
          </w:tcPr>
          <w:p w14:paraId="4EDE7197" w14:textId="77777777" w:rsidR="00B16F49" w:rsidRPr="00DC0E74" w:rsidRDefault="00B16F49" w:rsidP="000834DD">
            <w:pPr>
              <w:spacing w:line="276" w:lineRule="auto"/>
              <w:contextualSpacing/>
              <w:rPr>
                <w:rFonts w:ascii="Times New Roman" w:hAnsi="Times New Roman" w:cs="Times New Roman"/>
                <w:sz w:val="22"/>
                <w:szCs w:val="22"/>
              </w:rPr>
            </w:pPr>
            <w:r w:rsidRPr="00DC0E74">
              <w:rPr>
                <w:rFonts w:ascii="Times New Roman" w:hAnsi="Times New Roman" w:cs="Times New Roman"/>
                <w:sz w:val="22"/>
                <w:szCs w:val="22"/>
                <w:shd w:val="clear" w:color="auto" w:fill="FFFFFF"/>
              </w:rPr>
              <w:t>Интернет-сервис для размещения объявлений «</w:t>
            </w:r>
            <w:r w:rsidRPr="00DC0E74">
              <w:rPr>
                <w:rFonts w:ascii="Times New Roman" w:hAnsi="Times New Roman" w:cs="Times New Roman"/>
                <w:sz w:val="22"/>
                <w:szCs w:val="22"/>
                <w:shd w:val="clear" w:color="auto" w:fill="FFFFFF"/>
                <w:lang w:val="en-US"/>
              </w:rPr>
              <w:t>Avito</w:t>
            </w:r>
            <w:r w:rsidRPr="00DC0E74">
              <w:rPr>
                <w:rFonts w:ascii="Times New Roman" w:hAnsi="Times New Roman" w:cs="Times New Roman"/>
                <w:sz w:val="22"/>
                <w:szCs w:val="22"/>
                <w:shd w:val="clear" w:color="auto" w:fill="FFFFFF"/>
              </w:rPr>
              <w:t>»</w:t>
            </w:r>
          </w:p>
        </w:tc>
        <w:tc>
          <w:tcPr>
            <w:tcW w:w="2410" w:type="dxa"/>
            <w:vAlign w:val="center"/>
          </w:tcPr>
          <w:p w14:paraId="46B8928F" w14:textId="77777777" w:rsidR="00B16F49" w:rsidRPr="00DC0E74" w:rsidRDefault="00FF7453" w:rsidP="000834DD">
            <w:pPr>
              <w:spacing w:line="276" w:lineRule="auto"/>
              <w:contextualSpacing/>
              <w:jc w:val="center"/>
              <w:rPr>
                <w:rFonts w:ascii="Times New Roman" w:hAnsi="Times New Roman" w:cs="Times New Roman"/>
                <w:sz w:val="22"/>
                <w:szCs w:val="22"/>
              </w:rPr>
            </w:pPr>
            <w:hyperlink r:id="rId22" w:history="1">
              <w:r w:rsidR="00B16F49" w:rsidRPr="00DC0E74">
                <w:rPr>
                  <w:rStyle w:val="ad"/>
                  <w:rFonts w:ascii="Times New Roman" w:hAnsi="Times New Roman" w:cs="Times New Roman"/>
                  <w:sz w:val="22"/>
                  <w:szCs w:val="22"/>
                </w:rPr>
                <w:t>https://www.avito.ru</w:t>
              </w:r>
            </w:hyperlink>
          </w:p>
        </w:tc>
        <w:tc>
          <w:tcPr>
            <w:tcW w:w="2126" w:type="dxa"/>
            <w:vAlign w:val="center"/>
          </w:tcPr>
          <w:p w14:paraId="31DB5696"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77D42EDB" w14:textId="77777777" w:rsidTr="000834DD">
        <w:trPr>
          <w:trHeight w:val="20"/>
        </w:trPr>
        <w:tc>
          <w:tcPr>
            <w:tcW w:w="703" w:type="dxa"/>
          </w:tcPr>
          <w:p w14:paraId="6FBA5F7A" w14:textId="77777777" w:rsidR="00B16F49" w:rsidRPr="00DC0E74" w:rsidRDefault="00B16F49" w:rsidP="000834DD">
            <w:pPr>
              <w:pStyle w:val="ab"/>
              <w:numPr>
                <w:ilvl w:val="0"/>
                <w:numId w:val="4"/>
              </w:numPr>
              <w:spacing w:line="276" w:lineRule="auto"/>
              <w:ind w:left="0" w:firstLine="33"/>
              <w:jc w:val="center"/>
              <w:rPr>
                <w:rFonts w:ascii="Times New Roman" w:hAnsi="Times New Roman" w:cs="Times New Roman"/>
                <w:sz w:val="22"/>
                <w:szCs w:val="22"/>
              </w:rPr>
            </w:pPr>
          </w:p>
        </w:tc>
        <w:tc>
          <w:tcPr>
            <w:tcW w:w="4112" w:type="dxa"/>
            <w:shd w:val="clear" w:color="auto" w:fill="auto"/>
          </w:tcPr>
          <w:p w14:paraId="5BEDB185" w14:textId="77777777" w:rsidR="00B16F49" w:rsidRPr="00DC0E74" w:rsidRDefault="00B16F49" w:rsidP="000834DD">
            <w:pPr>
              <w:spacing w:line="276" w:lineRule="auto"/>
              <w:rPr>
                <w:rFonts w:ascii="Times New Roman" w:hAnsi="Times New Roman" w:cs="Times New Roman"/>
                <w:sz w:val="22"/>
                <w:szCs w:val="22"/>
              </w:rPr>
            </w:pPr>
            <w:r w:rsidRPr="00DC0E74">
              <w:rPr>
                <w:rFonts w:ascii="Times New Roman" w:hAnsi="Times New Roman" w:cs="Times New Roman"/>
                <w:sz w:val="22"/>
                <w:szCs w:val="22"/>
              </w:rPr>
              <w:t>ЦИАН — база данных о недвижимости</w:t>
            </w:r>
          </w:p>
        </w:tc>
        <w:tc>
          <w:tcPr>
            <w:tcW w:w="2410" w:type="dxa"/>
            <w:vAlign w:val="center"/>
          </w:tcPr>
          <w:p w14:paraId="48C0323A" w14:textId="77777777" w:rsidR="00B16F49" w:rsidRPr="00DC0E74" w:rsidRDefault="00FF7453" w:rsidP="000834DD">
            <w:pPr>
              <w:spacing w:line="276" w:lineRule="auto"/>
              <w:contextualSpacing/>
              <w:jc w:val="center"/>
              <w:rPr>
                <w:rFonts w:ascii="Times New Roman" w:hAnsi="Times New Roman" w:cs="Times New Roman"/>
                <w:sz w:val="22"/>
                <w:szCs w:val="22"/>
              </w:rPr>
            </w:pPr>
            <w:hyperlink r:id="rId23" w:history="1">
              <w:r w:rsidR="00B16F49" w:rsidRPr="00DC0E74">
                <w:rPr>
                  <w:rStyle w:val="ad"/>
                  <w:rFonts w:ascii="Times New Roman" w:hAnsi="Times New Roman" w:cs="Times New Roman"/>
                  <w:sz w:val="22"/>
                  <w:szCs w:val="22"/>
                </w:rPr>
                <w:t>https://cian.ru</w:t>
              </w:r>
            </w:hyperlink>
          </w:p>
        </w:tc>
        <w:tc>
          <w:tcPr>
            <w:tcW w:w="2126" w:type="dxa"/>
            <w:vAlign w:val="center"/>
          </w:tcPr>
          <w:p w14:paraId="1053BF07"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57FB57DA" w14:textId="77777777" w:rsidTr="000834DD">
        <w:trPr>
          <w:trHeight w:val="20"/>
        </w:trPr>
        <w:tc>
          <w:tcPr>
            <w:tcW w:w="703" w:type="dxa"/>
          </w:tcPr>
          <w:p w14:paraId="2216740F" w14:textId="77777777" w:rsidR="00B16F49" w:rsidRPr="00DC0E74" w:rsidRDefault="00B16F49" w:rsidP="000834DD">
            <w:pPr>
              <w:pStyle w:val="23"/>
              <w:numPr>
                <w:ilvl w:val="0"/>
                <w:numId w:val="4"/>
              </w:numPr>
              <w:spacing w:after="0"/>
              <w:ind w:left="0" w:firstLine="33"/>
              <w:contextualSpacing/>
              <w:jc w:val="center"/>
              <w:rPr>
                <w:sz w:val="22"/>
                <w:szCs w:val="22"/>
              </w:rPr>
            </w:pPr>
          </w:p>
        </w:tc>
        <w:tc>
          <w:tcPr>
            <w:tcW w:w="4112" w:type="dxa"/>
          </w:tcPr>
          <w:p w14:paraId="526F1786" w14:textId="77777777" w:rsidR="00B16F49" w:rsidRPr="00DC0E74" w:rsidRDefault="00B16F49" w:rsidP="000834DD">
            <w:pPr>
              <w:spacing w:line="276" w:lineRule="auto"/>
              <w:contextualSpacing/>
              <w:rPr>
                <w:rFonts w:ascii="Times New Roman" w:hAnsi="Times New Roman" w:cs="Times New Roman"/>
                <w:sz w:val="22"/>
                <w:szCs w:val="22"/>
              </w:rPr>
            </w:pPr>
            <w:r w:rsidRPr="00DC0E74">
              <w:rPr>
                <w:rFonts w:ascii="Times New Roman" w:hAnsi="Times New Roman" w:cs="Times New Roman"/>
                <w:sz w:val="22"/>
                <w:szCs w:val="22"/>
                <w:lang w:val="en-US"/>
              </w:rPr>
              <w:t>INFOLINE</w:t>
            </w:r>
            <w:r w:rsidRPr="00DC0E74">
              <w:rPr>
                <w:rFonts w:ascii="Times New Roman" w:hAnsi="Times New Roman" w:cs="Times New Roman"/>
                <w:sz w:val="22"/>
                <w:szCs w:val="22"/>
              </w:rPr>
              <w:t>- единая база данных недвижимости</w:t>
            </w:r>
          </w:p>
        </w:tc>
        <w:tc>
          <w:tcPr>
            <w:tcW w:w="2410" w:type="dxa"/>
            <w:vAlign w:val="center"/>
          </w:tcPr>
          <w:p w14:paraId="0AE652BD" w14:textId="77777777" w:rsidR="00B16F49" w:rsidRPr="00DC0E74" w:rsidRDefault="00FF7453" w:rsidP="000834DD">
            <w:pPr>
              <w:spacing w:line="276" w:lineRule="auto"/>
              <w:contextualSpacing/>
              <w:jc w:val="center"/>
              <w:rPr>
                <w:rFonts w:ascii="Times New Roman" w:hAnsi="Times New Roman" w:cs="Times New Roman"/>
                <w:sz w:val="22"/>
                <w:szCs w:val="22"/>
              </w:rPr>
            </w:pPr>
            <w:hyperlink r:id="rId24" w:history="1">
              <w:r w:rsidR="00B16F49" w:rsidRPr="00DC0E74">
                <w:rPr>
                  <w:rStyle w:val="ad"/>
                  <w:rFonts w:ascii="Times New Roman" w:hAnsi="Times New Roman" w:cs="Times New Roman"/>
                  <w:sz w:val="22"/>
                  <w:szCs w:val="22"/>
                </w:rPr>
                <w:t>https://www.vrx.ru/</w:t>
              </w:r>
            </w:hyperlink>
          </w:p>
        </w:tc>
        <w:tc>
          <w:tcPr>
            <w:tcW w:w="2126" w:type="dxa"/>
            <w:vAlign w:val="center"/>
          </w:tcPr>
          <w:p w14:paraId="4100D515"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6F8C55DB" w14:textId="77777777" w:rsidTr="000834DD">
        <w:trPr>
          <w:trHeight w:val="20"/>
        </w:trPr>
        <w:tc>
          <w:tcPr>
            <w:tcW w:w="703" w:type="dxa"/>
          </w:tcPr>
          <w:p w14:paraId="60661C23" w14:textId="77777777" w:rsidR="00B16F49" w:rsidRPr="00DC0E74" w:rsidRDefault="00B16F49" w:rsidP="000834DD">
            <w:pPr>
              <w:pStyle w:val="23"/>
              <w:numPr>
                <w:ilvl w:val="0"/>
                <w:numId w:val="4"/>
              </w:numPr>
              <w:spacing w:after="0"/>
              <w:ind w:left="0" w:firstLine="33"/>
              <w:contextualSpacing/>
              <w:jc w:val="center"/>
              <w:rPr>
                <w:sz w:val="22"/>
                <w:szCs w:val="22"/>
              </w:rPr>
            </w:pPr>
          </w:p>
        </w:tc>
        <w:tc>
          <w:tcPr>
            <w:tcW w:w="4112" w:type="dxa"/>
          </w:tcPr>
          <w:p w14:paraId="485251AB" w14:textId="77777777" w:rsidR="00B16F49" w:rsidRPr="00DC0E74" w:rsidRDefault="00B16F49" w:rsidP="000834DD">
            <w:pPr>
              <w:spacing w:line="276" w:lineRule="auto"/>
              <w:contextualSpacing/>
              <w:rPr>
                <w:rFonts w:ascii="Times New Roman" w:hAnsi="Times New Roman" w:cs="Times New Roman"/>
                <w:sz w:val="22"/>
                <w:szCs w:val="22"/>
              </w:rPr>
            </w:pPr>
            <w:r w:rsidRPr="00DC0E74">
              <w:rPr>
                <w:rFonts w:ascii="Times New Roman" w:hAnsi="Times New Roman" w:cs="Times New Roman"/>
                <w:sz w:val="22"/>
                <w:szCs w:val="22"/>
                <w:shd w:val="clear" w:color="auto" w:fill="FFFFFF"/>
                <w:lang w:val="en-US"/>
              </w:rPr>
              <w:t>Move</w:t>
            </w:r>
            <w:r w:rsidRPr="00DC0E74">
              <w:rPr>
                <w:rFonts w:ascii="Times New Roman" w:hAnsi="Times New Roman" w:cs="Times New Roman"/>
                <w:sz w:val="22"/>
                <w:szCs w:val="22"/>
                <w:shd w:val="clear" w:color="auto" w:fill="FFFFFF"/>
              </w:rPr>
              <w:t>.</w:t>
            </w:r>
            <w:r w:rsidRPr="00DC0E74">
              <w:rPr>
                <w:rFonts w:ascii="Times New Roman" w:hAnsi="Times New Roman" w:cs="Times New Roman"/>
                <w:sz w:val="22"/>
                <w:szCs w:val="22"/>
                <w:shd w:val="clear" w:color="auto" w:fill="FFFFFF"/>
                <w:lang w:val="en-US"/>
              </w:rPr>
              <w:t>ru</w:t>
            </w:r>
            <w:r w:rsidRPr="00DC0E74">
              <w:rPr>
                <w:rFonts w:ascii="Times New Roman" w:hAnsi="Times New Roman" w:cs="Times New Roman"/>
                <w:sz w:val="22"/>
                <w:szCs w:val="22"/>
                <w:shd w:val="clear" w:color="auto" w:fill="FFFFFF"/>
              </w:rPr>
              <w:t>- база частных объявлений о сделках с недвижимостью</w:t>
            </w:r>
          </w:p>
        </w:tc>
        <w:tc>
          <w:tcPr>
            <w:tcW w:w="2410" w:type="dxa"/>
            <w:vAlign w:val="center"/>
          </w:tcPr>
          <w:p w14:paraId="1913D6A1" w14:textId="77777777" w:rsidR="00B16F49" w:rsidRPr="00DC0E74" w:rsidRDefault="00FF7453" w:rsidP="000834DD">
            <w:pPr>
              <w:spacing w:line="276" w:lineRule="auto"/>
              <w:contextualSpacing/>
              <w:jc w:val="center"/>
              <w:rPr>
                <w:rFonts w:ascii="Times New Roman" w:hAnsi="Times New Roman" w:cs="Times New Roman"/>
                <w:sz w:val="22"/>
                <w:szCs w:val="22"/>
              </w:rPr>
            </w:pPr>
            <w:hyperlink r:id="rId25" w:history="1">
              <w:r w:rsidR="00B16F49" w:rsidRPr="00DC0E74">
                <w:rPr>
                  <w:rStyle w:val="ad"/>
                  <w:rFonts w:ascii="Times New Roman" w:hAnsi="Times New Roman" w:cs="Times New Roman"/>
                  <w:sz w:val="22"/>
                  <w:szCs w:val="22"/>
                </w:rPr>
                <w:t>https://move.ru</w:t>
              </w:r>
            </w:hyperlink>
          </w:p>
        </w:tc>
        <w:tc>
          <w:tcPr>
            <w:tcW w:w="2126" w:type="dxa"/>
            <w:vAlign w:val="center"/>
          </w:tcPr>
          <w:p w14:paraId="291D993C"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775DD2CB" w14:textId="77777777" w:rsidTr="000834DD">
        <w:trPr>
          <w:trHeight w:val="20"/>
        </w:trPr>
        <w:tc>
          <w:tcPr>
            <w:tcW w:w="703" w:type="dxa"/>
          </w:tcPr>
          <w:p w14:paraId="75C6A233" w14:textId="77777777" w:rsidR="00B16F49" w:rsidRPr="00DC0E74" w:rsidRDefault="00B16F49" w:rsidP="000834DD">
            <w:pPr>
              <w:pStyle w:val="23"/>
              <w:numPr>
                <w:ilvl w:val="0"/>
                <w:numId w:val="4"/>
              </w:numPr>
              <w:spacing w:after="0"/>
              <w:ind w:left="0" w:firstLine="33"/>
              <w:contextualSpacing/>
              <w:jc w:val="center"/>
              <w:rPr>
                <w:sz w:val="22"/>
                <w:szCs w:val="22"/>
              </w:rPr>
            </w:pPr>
          </w:p>
        </w:tc>
        <w:tc>
          <w:tcPr>
            <w:tcW w:w="4112" w:type="dxa"/>
          </w:tcPr>
          <w:p w14:paraId="6049713E" w14:textId="77777777" w:rsidR="00B16F49" w:rsidRPr="00DC0E74" w:rsidRDefault="00B16F49" w:rsidP="000834DD">
            <w:pPr>
              <w:spacing w:line="276" w:lineRule="auto"/>
              <w:contextualSpacing/>
              <w:rPr>
                <w:rFonts w:ascii="Times New Roman" w:hAnsi="Times New Roman" w:cs="Times New Roman"/>
                <w:sz w:val="22"/>
                <w:szCs w:val="22"/>
              </w:rPr>
            </w:pPr>
            <w:r w:rsidRPr="00DC0E74">
              <w:rPr>
                <w:rFonts w:ascii="Times New Roman" w:hAnsi="Times New Roman" w:cs="Times New Roman"/>
                <w:sz w:val="22"/>
                <w:szCs w:val="22"/>
              </w:rPr>
              <w:t>«Камелот»- доска объявлений</w:t>
            </w:r>
          </w:p>
        </w:tc>
        <w:tc>
          <w:tcPr>
            <w:tcW w:w="2410" w:type="dxa"/>
            <w:vAlign w:val="center"/>
          </w:tcPr>
          <w:p w14:paraId="7C8A34F5" w14:textId="77777777" w:rsidR="00B16F49" w:rsidRPr="00DC0E74" w:rsidRDefault="00FF7453" w:rsidP="000834DD">
            <w:pPr>
              <w:spacing w:line="276" w:lineRule="auto"/>
              <w:contextualSpacing/>
              <w:jc w:val="center"/>
              <w:rPr>
                <w:rFonts w:ascii="Times New Roman" w:hAnsi="Times New Roman" w:cs="Times New Roman"/>
                <w:sz w:val="22"/>
                <w:szCs w:val="22"/>
              </w:rPr>
            </w:pPr>
            <w:hyperlink r:id="rId26" w:history="1">
              <w:r w:rsidR="00B16F49" w:rsidRPr="00DC0E74">
                <w:rPr>
                  <w:rStyle w:val="ad"/>
                  <w:rFonts w:ascii="Times New Roman" w:hAnsi="Times New Roman" w:cs="Times New Roman"/>
                  <w:sz w:val="22"/>
                  <w:szCs w:val="22"/>
                </w:rPr>
                <w:t>https://www.cmlt.ru/</w:t>
              </w:r>
            </w:hyperlink>
          </w:p>
        </w:tc>
        <w:tc>
          <w:tcPr>
            <w:tcW w:w="2126" w:type="dxa"/>
            <w:vAlign w:val="center"/>
          </w:tcPr>
          <w:p w14:paraId="5D1E883F"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74577F8F" w14:textId="77777777" w:rsidTr="000834DD">
        <w:trPr>
          <w:trHeight w:val="20"/>
        </w:trPr>
        <w:tc>
          <w:tcPr>
            <w:tcW w:w="703" w:type="dxa"/>
          </w:tcPr>
          <w:p w14:paraId="656CA3E4" w14:textId="77777777" w:rsidR="00B16F49" w:rsidRPr="00DC0E74" w:rsidRDefault="00B16F49" w:rsidP="000834DD">
            <w:pPr>
              <w:pStyle w:val="23"/>
              <w:numPr>
                <w:ilvl w:val="0"/>
                <w:numId w:val="4"/>
              </w:numPr>
              <w:spacing w:after="0"/>
              <w:ind w:left="0" w:firstLine="33"/>
              <w:contextualSpacing/>
              <w:jc w:val="center"/>
              <w:rPr>
                <w:sz w:val="22"/>
                <w:szCs w:val="22"/>
              </w:rPr>
            </w:pPr>
          </w:p>
        </w:tc>
        <w:tc>
          <w:tcPr>
            <w:tcW w:w="4112" w:type="dxa"/>
          </w:tcPr>
          <w:p w14:paraId="13D83C45" w14:textId="77777777" w:rsidR="00B16F49" w:rsidRPr="00DC0E74" w:rsidRDefault="00B16F49" w:rsidP="000834DD">
            <w:pPr>
              <w:spacing w:line="276" w:lineRule="auto"/>
              <w:contextualSpacing/>
              <w:rPr>
                <w:rFonts w:ascii="Times New Roman" w:hAnsi="Times New Roman" w:cs="Times New Roman"/>
                <w:sz w:val="22"/>
                <w:szCs w:val="22"/>
              </w:rPr>
            </w:pPr>
            <w:r w:rsidRPr="00DC0E74">
              <w:rPr>
                <w:rFonts w:ascii="Times New Roman" w:hAnsi="Times New Roman" w:cs="Times New Roman"/>
                <w:sz w:val="22"/>
                <w:szCs w:val="22"/>
              </w:rPr>
              <w:t>«Юла»- доска объявлений</w:t>
            </w:r>
          </w:p>
        </w:tc>
        <w:tc>
          <w:tcPr>
            <w:tcW w:w="2410" w:type="dxa"/>
            <w:vAlign w:val="center"/>
          </w:tcPr>
          <w:p w14:paraId="698CDFC2" w14:textId="77777777" w:rsidR="00B16F49" w:rsidRPr="00DC0E74" w:rsidRDefault="00FF7453" w:rsidP="000834DD">
            <w:pPr>
              <w:spacing w:line="276" w:lineRule="auto"/>
              <w:contextualSpacing/>
              <w:jc w:val="center"/>
              <w:rPr>
                <w:rFonts w:ascii="Times New Roman" w:hAnsi="Times New Roman" w:cs="Times New Roman"/>
                <w:sz w:val="22"/>
                <w:szCs w:val="22"/>
              </w:rPr>
            </w:pPr>
            <w:hyperlink r:id="rId27" w:history="1">
              <w:r w:rsidR="00B16F49" w:rsidRPr="00DC0E74">
                <w:rPr>
                  <w:rStyle w:val="ad"/>
                  <w:rFonts w:ascii="Times New Roman" w:hAnsi="Times New Roman" w:cs="Times New Roman"/>
                  <w:sz w:val="22"/>
                  <w:szCs w:val="22"/>
                </w:rPr>
                <w:t>https://youla.ru</w:t>
              </w:r>
            </w:hyperlink>
          </w:p>
        </w:tc>
        <w:tc>
          <w:tcPr>
            <w:tcW w:w="2126" w:type="dxa"/>
            <w:vAlign w:val="center"/>
          </w:tcPr>
          <w:p w14:paraId="5C70F442"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1507118E" w14:textId="77777777" w:rsidTr="000834DD">
        <w:trPr>
          <w:trHeight w:val="20"/>
        </w:trPr>
        <w:tc>
          <w:tcPr>
            <w:tcW w:w="703" w:type="dxa"/>
          </w:tcPr>
          <w:p w14:paraId="5BC58D41" w14:textId="77777777" w:rsidR="00B16F49" w:rsidRPr="00DC0E74" w:rsidRDefault="00B16F49" w:rsidP="000834DD">
            <w:pPr>
              <w:pStyle w:val="23"/>
              <w:numPr>
                <w:ilvl w:val="0"/>
                <w:numId w:val="4"/>
              </w:numPr>
              <w:spacing w:after="0"/>
              <w:ind w:left="0" w:firstLine="33"/>
              <w:contextualSpacing/>
              <w:jc w:val="center"/>
              <w:rPr>
                <w:sz w:val="22"/>
                <w:szCs w:val="22"/>
              </w:rPr>
            </w:pPr>
          </w:p>
        </w:tc>
        <w:tc>
          <w:tcPr>
            <w:tcW w:w="4112" w:type="dxa"/>
          </w:tcPr>
          <w:p w14:paraId="44C8DDA4" w14:textId="77777777" w:rsidR="00B16F49" w:rsidRPr="00DC0E74" w:rsidRDefault="00B16F49" w:rsidP="000834DD">
            <w:pPr>
              <w:spacing w:line="276" w:lineRule="auto"/>
              <w:contextualSpacing/>
              <w:rPr>
                <w:rFonts w:ascii="Times New Roman" w:hAnsi="Times New Roman" w:cs="Times New Roman"/>
                <w:sz w:val="22"/>
                <w:szCs w:val="22"/>
              </w:rPr>
            </w:pPr>
            <w:r w:rsidRPr="00DC0E74">
              <w:rPr>
                <w:rFonts w:ascii="Times New Roman" w:hAnsi="Times New Roman" w:cs="Times New Roman"/>
                <w:sz w:val="22"/>
                <w:szCs w:val="22"/>
              </w:rPr>
              <w:t>Яндекс. Недвижимость -система поиска недвижимости</w:t>
            </w:r>
          </w:p>
        </w:tc>
        <w:tc>
          <w:tcPr>
            <w:tcW w:w="2410" w:type="dxa"/>
            <w:vAlign w:val="center"/>
          </w:tcPr>
          <w:p w14:paraId="68EBAD0D" w14:textId="77777777" w:rsidR="00B16F49" w:rsidRPr="00DC0E74" w:rsidRDefault="00FF7453" w:rsidP="000834DD">
            <w:pPr>
              <w:spacing w:line="276" w:lineRule="auto"/>
              <w:contextualSpacing/>
              <w:jc w:val="center"/>
              <w:rPr>
                <w:rFonts w:ascii="Times New Roman" w:hAnsi="Times New Roman" w:cs="Times New Roman"/>
                <w:sz w:val="22"/>
                <w:szCs w:val="22"/>
              </w:rPr>
            </w:pPr>
            <w:hyperlink r:id="rId28" w:history="1">
              <w:r w:rsidR="00B16F49" w:rsidRPr="00DC0E74">
                <w:rPr>
                  <w:rStyle w:val="ad"/>
                  <w:rFonts w:ascii="Times New Roman" w:hAnsi="Times New Roman" w:cs="Times New Roman"/>
                  <w:sz w:val="22"/>
                  <w:szCs w:val="22"/>
                </w:rPr>
                <w:t>https://realty.yandex.ru</w:t>
              </w:r>
            </w:hyperlink>
          </w:p>
        </w:tc>
        <w:tc>
          <w:tcPr>
            <w:tcW w:w="2126" w:type="dxa"/>
            <w:vAlign w:val="center"/>
          </w:tcPr>
          <w:p w14:paraId="345AA8B6"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646C99AA" w14:textId="77777777" w:rsidTr="000834DD">
        <w:trPr>
          <w:trHeight w:val="20"/>
        </w:trPr>
        <w:tc>
          <w:tcPr>
            <w:tcW w:w="703" w:type="dxa"/>
          </w:tcPr>
          <w:p w14:paraId="4B393A58" w14:textId="77777777" w:rsidR="00B16F49" w:rsidRPr="00DC0E74" w:rsidRDefault="00B16F49" w:rsidP="000834DD">
            <w:pPr>
              <w:pStyle w:val="23"/>
              <w:numPr>
                <w:ilvl w:val="0"/>
                <w:numId w:val="4"/>
              </w:numPr>
              <w:spacing w:after="0"/>
              <w:ind w:left="0" w:firstLine="33"/>
              <w:contextualSpacing/>
              <w:jc w:val="center"/>
              <w:rPr>
                <w:sz w:val="22"/>
                <w:szCs w:val="22"/>
              </w:rPr>
            </w:pPr>
          </w:p>
        </w:tc>
        <w:tc>
          <w:tcPr>
            <w:tcW w:w="4112" w:type="dxa"/>
          </w:tcPr>
          <w:p w14:paraId="6D801FED" w14:textId="77777777" w:rsidR="00B16F49" w:rsidRPr="00DC0E74" w:rsidRDefault="00B16F49" w:rsidP="000834DD">
            <w:pPr>
              <w:spacing w:line="276" w:lineRule="auto"/>
              <w:contextualSpacing/>
              <w:rPr>
                <w:rFonts w:ascii="Times New Roman" w:hAnsi="Times New Roman" w:cs="Times New Roman"/>
                <w:sz w:val="22"/>
                <w:szCs w:val="22"/>
              </w:rPr>
            </w:pPr>
            <w:r w:rsidRPr="00DC0E74">
              <w:rPr>
                <w:rFonts w:ascii="Times New Roman" w:hAnsi="Times New Roman" w:cs="Times New Roman"/>
                <w:sz w:val="22"/>
                <w:szCs w:val="22"/>
              </w:rPr>
              <w:t>«Домофонд»- платформа для подбора недвижимости</w:t>
            </w:r>
          </w:p>
        </w:tc>
        <w:tc>
          <w:tcPr>
            <w:tcW w:w="2410" w:type="dxa"/>
            <w:vAlign w:val="center"/>
          </w:tcPr>
          <w:p w14:paraId="6755BEC2" w14:textId="77777777" w:rsidR="00B16F49" w:rsidRPr="00DC0E74" w:rsidRDefault="00FF7453" w:rsidP="000834DD">
            <w:pPr>
              <w:spacing w:line="276" w:lineRule="auto"/>
              <w:contextualSpacing/>
              <w:jc w:val="center"/>
              <w:rPr>
                <w:rFonts w:ascii="Times New Roman" w:hAnsi="Times New Roman" w:cs="Times New Roman"/>
                <w:sz w:val="22"/>
                <w:szCs w:val="22"/>
              </w:rPr>
            </w:pPr>
            <w:hyperlink r:id="rId29" w:history="1">
              <w:r w:rsidR="00B16F49" w:rsidRPr="00DC0E74">
                <w:rPr>
                  <w:rStyle w:val="ad"/>
                  <w:rFonts w:ascii="Times New Roman" w:hAnsi="Times New Roman" w:cs="Times New Roman"/>
                  <w:sz w:val="22"/>
                  <w:szCs w:val="22"/>
                </w:rPr>
                <w:t>https://www.domofond.ru</w:t>
              </w:r>
            </w:hyperlink>
          </w:p>
        </w:tc>
        <w:tc>
          <w:tcPr>
            <w:tcW w:w="2126" w:type="dxa"/>
            <w:vAlign w:val="center"/>
          </w:tcPr>
          <w:p w14:paraId="5F83F576"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561408A4" w14:textId="77777777" w:rsidTr="000834DD">
        <w:trPr>
          <w:trHeight w:val="20"/>
        </w:trPr>
        <w:tc>
          <w:tcPr>
            <w:tcW w:w="703" w:type="dxa"/>
          </w:tcPr>
          <w:p w14:paraId="354FFAE1" w14:textId="77777777" w:rsidR="00B16F49" w:rsidRPr="00DC0E74" w:rsidRDefault="00B16F49" w:rsidP="000834DD">
            <w:pPr>
              <w:pStyle w:val="23"/>
              <w:numPr>
                <w:ilvl w:val="0"/>
                <w:numId w:val="4"/>
              </w:numPr>
              <w:spacing w:after="0"/>
              <w:ind w:left="0" w:firstLine="33"/>
              <w:contextualSpacing/>
              <w:jc w:val="center"/>
              <w:rPr>
                <w:sz w:val="22"/>
                <w:szCs w:val="22"/>
              </w:rPr>
            </w:pPr>
          </w:p>
        </w:tc>
        <w:tc>
          <w:tcPr>
            <w:tcW w:w="4112" w:type="dxa"/>
          </w:tcPr>
          <w:p w14:paraId="585867B2" w14:textId="77777777" w:rsidR="00B16F49" w:rsidRPr="00DC0E74" w:rsidRDefault="00B16F49" w:rsidP="000834DD">
            <w:pPr>
              <w:spacing w:line="276" w:lineRule="auto"/>
              <w:contextualSpacing/>
              <w:rPr>
                <w:rFonts w:ascii="Times New Roman" w:hAnsi="Times New Roman" w:cs="Times New Roman"/>
                <w:sz w:val="22"/>
                <w:szCs w:val="22"/>
              </w:rPr>
            </w:pPr>
            <w:r w:rsidRPr="00DC0E74">
              <w:rPr>
                <w:rFonts w:ascii="Times New Roman" w:hAnsi="Times New Roman" w:cs="Times New Roman"/>
                <w:sz w:val="22"/>
                <w:szCs w:val="22"/>
              </w:rPr>
              <w:t>Сайт объявлений по продаже и аренде недвижимости</w:t>
            </w:r>
          </w:p>
        </w:tc>
        <w:tc>
          <w:tcPr>
            <w:tcW w:w="2410" w:type="dxa"/>
            <w:vAlign w:val="center"/>
          </w:tcPr>
          <w:p w14:paraId="528F0F53" w14:textId="77777777" w:rsidR="00B16F49" w:rsidRPr="00DC0E74" w:rsidRDefault="00FF7453" w:rsidP="000834DD">
            <w:pPr>
              <w:spacing w:line="276" w:lineRule="auto"/>
              <w:contextualSpacing/>
              <w:jc w:val="center"/>
              <w:rPr>
                <w:rFonts w:ascii="Times New Roman" w:hAnsi="Times New Roman" w:cs="Times New Roman"/>
                <w:sz w:val="22"/>
                <w:szCs w:val="22"/>
              </w:rPr>
            </w:pPr>
            <w:hyperlink r:id="rId30" w:history="1">
              <w:r w:rsidR="00B16F49" w:rsidRPr="00DC0E74">
                <w:rPr>
                  <w:rStyle w:val="ad"/>
                  <w:rFonts w:ascii="Times New Roman" w:hAnsi="Times New Roman" w:cs="Times New Roman"/>
                  <w:sz w:val="22"/>
                  <w:szCs w:val="22"/>
                </w:rPr>
                <w:t>https://onrealt.ru</w:t>
              </w:r>
            </w:hyperlink>
          </w:p>
        </w:tc>
        <w:tc>
          <w:tcPr>
            <w:tcW w:w="2126" w:type="dxa"/>
            <w:vAlign w:val="center"/>
          </w:tcPr>
          <w:p w14:paraId="554BC010"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580FA362" w14:textId="77777777" w:rsidTr="000834DD">
        <w:trPr>
          <w:trHeight w:val="20"/>
        </w:trPr>
        <w:tc>
          <w:tcPr>
            <w:tcW w:w="703" w:type="dxa"/>
          </w:tcPr>
          <w:p w14:paraId="599C6BD2" w14:textId="77777777" w:rsidR="00B16F49" w:rsidRPr="00DC0E74" w:rsidRDefault="00B16F49" w:rsidP="000834DD">
            <w:pPr>
              <w:pStyle w:val="23"/>
              <w:numPr>
                <w:ilvl w:val="0"/>
                <w:numId w:val="4"/>
              </w:numPr>
              <w:spacing w:after="0"/>
              <w:ind w:left="0" w:firstLine="33"/>
              <w:contextualSpacing/>
              <w:jc w:val="center"/>
              <w:rPr>
                <w:sz w:val="22"/>
                <w:szCs w:val="22"/>
              </w:rPr>
            </w:pPr>
          </w:p>
        </w:tc>
        <w:tc>
          <w:tcPr>
            <w:tcW w:w="4112" w:type="dxa"/>
          </w:tcPr>
          <w:p w14:paraId="60E134DF" w14:textId="77777777" w:rsidR="00B16F49" w:rsidRPr="00DC0E74" w:rsidRDefault="00B16F49" w:rsidP="000834DD">
            <w:pPr>
              <w:spacing w:line="276" w:lineRule="auto"/>
              <w:contextualSpacing/>
              <w:rPr>
                <w:rFonts w:ascii="Times New Roman" w:hAnsi="Times New Roman" w:cs="Times New Roman"/>
                <w:sz w:val="22"/>
                <w:szCs w:val="22"/>
              </w:rPr>
            </w:pPr>
            <w:r w:rsidRPr="00DC0E74">
              <w:rPr>
                <w:rFonts w:ascii="Times New Roman" w:hAnsi="Times New Roman" w:cs="Times New Roman"/>
                <w:sz w:val="22"/>
                <w:szCs w:val="22"/>
              </w:rPr>
              <w:t>«Мультилистинг»- объявления от собственников недвижимости и агентов</w:t>
            </w:r>
          </w:p>
        </w:tc>
        <w:tc>
          <w:tcPr>
            <w:tcW w:w="2410" w:type="dxa"/>
            <w:vAlign w:val="center"/>
          </w:tcPr>
          <w:p w14:paraId="3AB64A32" w14:textId="77777777" w:rsidR="00B16F49" w:rsidRPr="00DC0E74" w:rsidRDefault="00FF7453" w:rsidP="000834DD">
            <w:pPr>
              <w:spacing w:line="276" w:lineRule="auto"/>
              <w:contextualSpacing/>
              <w:jc w:val="center"/>
              <w:rPr>
                <w:rFonts w:ascii="Times New Roman" w:hAnsi="Times New Roman" w:cs="Times New Roman"/>
                <w:sz w:val="22"/>
                <w:szCs w:val="22"/>
              </w:rPr>
            </w:pPr>
            <w:hyperlink r:id="rId31" w:history="1">
              <w:r w:rsidR="00B16F49" w:rsidRPr="00DC0E74">
                <w:rPr>
                  <w:rStyle w:val="ad"/>
                  <w:rFonts w:ascii="Times New Roman" w:hAnsi="Times New Roman" w:cs="Times New Roman"/>
                  <w:sz w:val="22"/>
                  <w:szCs w:val="22"/>
                </w:rPr>
                <w:t>https://multilisting.su/</w:t>
              </w:r>
            </w:hyperlink>
          </w:p>
        </w:tc>
        <w:tc>
          <w:tcPr>
            <w:tcW w:w="2126" w:type="dxa"/>
            <w:vAlign w:val="center"/>
          </w:tcPr>
          <w:p w14:paraId="7E492B50"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1C8AE697" w14:textId="77777777" w:rsidTr="000834DD">
        <w:trPr>
          <w:trHeight w:val="20"/>
        </w:trPr>
        <w:tc>
          <w:tcPr>
            <w:tcW w:w="703" w:type="dxa"/>
          </w:tcPr>
          <w:p w14:paraId="6AFBC23D" w14:textId="77777777" w:rsidR="00B16F49" w:rsidRPr="00DC0E74" w:rsidRDefault="00B16F49" w:rsidP="000834DD">
            <w:pPr>
              <w:pStyle w:val="23"/>
              <w:numPr>
                <w:ilvl w:val="0"/>
                <w:numId w:val="4"/>
              </w:numPr>
              <w:spacing w:after="0"/>
              <w:ind w:left="0" w:firstLine="33"/>
              <w:contextualSpacing/>
              <w:jc w:val="center"/>
              <w:rPr>
                <w:sz w:val="22"/>
                <w:szCs w:val="22"/>
              </w:rPr>
            </w:pPr>
          </w:p>
        </w:tc>
        <w:tc>
          <w:tcPr>
            <w:tcW w:w="4112" w:type="dxa"/>
          </w:tcPr>
          <w:p w14:paraId="57577D9E" w14:textId="77777777" w:rsidR="00B16F49" w:rsidRPr="00DC0E74" w:rsidRDefault="00B16F49" w:rsidP="000834DD">
            <w:pPr>
              <w:spacing w:line="276" w:lineRule="auto"/>
              <w:contextualSpacing/>
              <w:rPr>
                <w:rFonts w:ascii="Times New Roman" w:hAnsi="Times New Roman" w:cs="Times New Roman"/>
                <w:sz w:val="22"/>
                <w:szCs w:val="22"/>
              </w:rPr>
            </w:pPr>
            <w:r w:rsidRPr="00DC0E74">
              <w:rPr>
                <w:rFonts w:ascii="Times New Roman" w:hAnsi="Times New Roman" w:cs="Times New Roman"/>
                <w:sz w:val="22"/>
                <w:szCs w:val="22"/>
              </w:rPr>
              <w:t>Сайт бесплатных объявлений России «</w:t>
            </w:r>
            <w:r w:rsidRPr="00DC0E74">
              <w:rPr>
                <w:rFonts w:ascii="Times New Roman" w:hAnsi="Times New Roman" w:cs="Times New Roman"/>
                <w:sz w:val="22"/>
                <w:szCs w:val="22"/>
                <w:lang w:val="en-US"/>
              </w:rPr>
              <w:t>Gde</w:t>
            </w:r>
            <w:r w:rsidRPr="00DC0E74">
              <w:rPr>
                <w:rFonts w:ascii="Times New Roman" w:hAnsi="Times New Roman" w:cs="Times New Roman"/>
                <w:sz w:val="22"/>
                <w:szCs w:val="22"/>
              </w:rPr>
              <w:t>»</w:t>
            </w:r>
          </w:p>
        </w:tc>
        <w:tc>
          <w:tcPr>
            <w:tcW w:w="2410" w:type="dxa"/>
            <w:vAlign w:val="center"/>
          </w:tcPr>
          <w:p w14:paraId="527B001F" w14:textId="77777777" w:rsidR="00B16F49" w:rsidRPr="00DC0E74" w:rsidRDefault="00FF7453" w:rsidP="000834DD">
            <w:pPr>
              <w:spacing w:line="276" w:lineRule="auto"/>
              <w:contextualSpacing/>
              <w:jc w:val="center"/>
              <w:rPr>
                <w:rFonts w:ascii="Times New Roman" w:hAnsi="Times New Roman" w:cs="Times New Roman"/>
                <w:sz w:val="22"/>
                <w:szCs w:val="22"/>
              </w:rPr>
            </w:pPr>
            <w:hyperlink r:id="rId32" w:history="1">
              <w:r w:rsidR="00B16F49" w:rsidRPr="00DC0E74">
                <w:rPr>
                  <w:rStyle w:val="ad"/>
                  <w:rFonts w:ascii="Times New Roman" w:hAnsi="Times New Roman" w:cs="Times New Roman"/>
                  <w:sz w:val="22"/>
                  <w:szCs w:val="22"/>
                </w:rPr>
                <w:t>https://gde.ru/</w:t>
              </w:r>
            </w:hyperlink>
          </w:p>
        </w:tc>
        <w:tc>
          <w:tcPr>
            <w:tcW w:w="2126" w:type="dxa"/>
            <w:vAlign w:val="center"/>
          </w:tcPr>
          <w:p w14:paraId="53C08A6A"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1AA3E91C" w14:textId="77777777" w:rsidTr="000834DD">
        <w:trPr>
          <w:trHeight w:val="20"/>
        </w:trPr>
        <w:tc>
          <w:tcPr>
            <w:tcW w:w="703" w:type="dxa"/>
          </w:tcPr>
          <w:p w14:paraId="17BCFFC8" w14:textId="77777777" w:rsidR="00B16F49" w:rsidRPr="00DC0E74" w:rsidRDefault="00B16F49" w:rsidP="000834DD">
            <w:pPr>
              <w:pStyle w:val="23"/>
              <w:numPr>
                <w:ilvl w:val="0"/>
                <w:numId w:val="4"/>
              </w:numPr>
              <w:spacing w:after="0"/>
              <w:ind w:left="0" w:firstLine="33"/>
              <w:contextualSpacing/>
              <w:jc w:val="center"/>
              <w:rPr>
                <w:sz w:val="22"/>
                <w:szCs w:val="22"/>
                <w:lang w:val="en-US"/>
              </w:rPr>
            </w:pPr>
          </w:p>
        </w:tc>
        <w:tc>
          <w:tcPr>
            <w:tcW w:w="4112" w:type="dxa"/>
          </w:tcPr>
          <w:p w14:paraId="48AD55BA" w14:textId="77777777" w:rsidR="00B16F49" w:rsidRPr="00DC0E74" w:rsidRDefault="00B16F49" w:rsidP="000834DD">
            <w:pPr>
              <w:spacing w:line="276" w:lineRule="auto"/>
              <w:contextualSpacing/>
              <w:rPr>
                <w:rFonts w:ascii="Times New Roman" w:hAnsi="Times New Roman" w:cs="Times New Roman"/>
                <w:sz w:val="22"/>
                <w:szCs w:val="22"/>
              </w:rPr>
            </w:pPr>
            <w:r w:rsidRPr="00DC0E74">
              <w:rPr>
                <w:rFonts w:ascii="Times New Roman" w:hAnsi="Times New Roman" w:cs="Times New Roman"/>
                <w:sz w:val="22"/>
                <w:szCs w:val="22"/>
              </w:rPr>
              <w:t>Аренда, продажа жилой и коммерческой недвижимости в России</w:t>
            </w:r>
          </w:p>
        </w:tc>
        <w:tc>
          <w:tcPr>
            <w:tcW w:w="2410" w:type="dxa"/>
            <w:vAlign w:val="center"/>
          </w:tcPr>
          <w:p w14:paraId="3CBE91A5" w14:textId="77777777" w:rsidR="00B16F49" w:rsidRPr="00DC0E74" w:rsidRDefault="00FF7453" w:rsidP="000834DD">
            <w:pPr>
              <w:spacing w:line="276" w:lineRule="auto"/>
              <w:contextualSpacing/>
              <w:jc w:val="center"/>
              <w:rPr>
                <w:rFonts w:ascii="Times New Roman" w:hAnsi="Times New Roman" w:cs="Times New Roman"/>
                <w:sz w:val="22"/>
                <w:szCs w:val="22"/>
              </w:rPr>
            </w:pPr>
            <w:hyperlink r:id="rId33" w:history="1">
              <w:r w:rsidR="00B16F49" w:rsidRPr="00DC0E74">
                <w:rPr>
                  <w:rStyle w:val="ad"/>
                  <w:rFonts w:ascii="Times New Roman" w:hAnsi="Times New Roman" w:cs="Times New Roman"/>
                  <w:sz w:val="22"/>
                  <w:szCs w:val="22"/>
                </w:rPr>
                <w:t>https://100realt.ru/</w:t>
              </w:r>
            </w:hyperlink>
          </w:p>
        </w:tc>
        <w:tc>
          <w:tcPr>
            <w:tcW w:w="2126" w:type="dxa"/>
            <w:vAlign w:val="center"/>
          </w:tcPr>
          <w:p w14:paraId="75E62EF2"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5E8F3704" w14:textId="77777777" w:rsidTr="000834DD">
        <w:trPr>
          <w:trHeight w:val="20"/>
        </w:trPr>
        <w:tc>
          <w:tcPr>
            <w:tcW w:w="703" w:type="dxa"/>
          </w:tcPr>
          <w:p w14:paraId="1D329FEE" w14:textId="77777777" w:rsidR="00B16F49" w:rsidRPr="00DC0E74" w:rsidRDefault="00B16F49" w:rsidP="000834DD">
            <w:pPr>
              <w:pStyle w:val="23"/>
              <w:numPr>
                <w:ilvl w:val="0"/>
                <w:numId w:val="4"/>
              </w:numPr>
              <w:spacing w:after="0"/>
              <w:ind w:left="0" w:firstLine="33"/>
              <w:contextualSpacing/>
              <w:jc w:val="center"/>
              <w:rPr>
                <w:sz w:val="22"/>
                <w:szCs w:val="22"/>
              </w:rPr>
            </w:pPr>
          </w:p>
        </w:tc>
        <w:tc>
          <w:tcPr>
            <w:tcW w:w="4112" w:type="dxa"/>
          </w:tcPr>
          <w:p w14:paraId="3A2E2F40" w14:textId="77777777" w:rsidR="00B16F49" w:rsidRPr="00DC0E74" w:rsidRDefault="00B16F49" w:rsidP="000834DD">
            <w:pPr>
              <w:spacing w:line="276" w:lineRule="auto"/>
              <w:contextualSpacing/>
              <w:rPr>
                <w:rFonts w:ascii="Times New Roman" w:hAnsi="Times New Roman" w:cs="Times New Roman"/>
                <w:sz w:val="22"/>
                <w:szCs w:val="22"/>
              </w:rPr>
            </w:pPr>
            <w:r w:rsidRPr="00DC0E74">
              <w:rPr>
                <w:rFonts w:ascii="Times New Roman" w:hAnsi="Times New Roman" w:cs="Times New Roman"/>
                <w:sz w:val="22"/>
                <w:szCs w:val="22"/>
                <w:lang w:val="en-US"/>
              </w:rPr>
              <w:t xml:space="preserve">Onrealt </w:t>
            </w:r>
            <w:r w:rsidRPr="00DC0E74">
              <w:rPr>
                <w:rFonts w:ascii="Times New Roman" w:hAnsi="Times New Roman" w:cs="Times New Roman"/>
                <w:sz w:val="22"/>
                <w:szCs w:val="22"/>
              </w:rPr>
              <w:t>недвижимость</w:t>
            </w:r>
          </w:p>
        </w:tc>
        <w:tc>
          <w:tcPr>
            <w:tcW w:w="2410" w:type="dxa"/>
            <w:vAlign w:val="center"/>
          </w:tcPr>
          <w:p w14:paraId="18D77029" w14:textId="77777777" w:rsidR="00B16F49" w:rsidRPr="00DC0E74" w:rsidRDefault="00FF7453" w:rsidP="000834DD">
            <w:pPr>
              <w:spacing w:line="276" w:lineRule="auto"/>
              <w:contextualSpacing/>
              <w:jc w:val="center"/>
              <w:rPr>
                <w:rFonts w:ascii="Times New Roman" w:hAnsi="Times New Roman" w:cs="Times New Roman"/>
                <w:sz w:val="22"/>
                <w:szCs w:val="22"/>
              </w:rPr>
            </w:pPr>
            <w:hyperlink r:id="rId34" w:history="1">
              <w:r w:rsidR="00B16F49" w:rsidRPr="00DC0E74">
                <w:rPr>
                  <w:rStyle w:val="ad"/>
                  <w:rFonts w:ascii="Times New Roman" w:hAnsi="Times New Roman" w:cs="Times New Roman"/>
                  <w:sz w:val="22"/>
                  <w:szCs w:val="22"/>
                </w:rPr>
                <w:t>https://onrealt.ru/</w:t>
              </w:r>
            </w:hyperlink>
          </w:p>
        </w:tc>
        <w:tc>
          <w:tcPr>
            <w:tcW w:w="2126" w:type="dxa"/>
            <w:vAlign w:val="center"/>
          </w:tcPr>
          <w:p w14:paraId="1BF69A6E"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21976EC0" w14:textId="77777777" w:rsidTr="000834DD">
        <w:trPr>
          <w:trHeight w:val="20"/>
        </w:trPr>
        <w:tc>
          <w:tcPr>
            <w:tcW w:w="703" w:type="dxa"/>
          </w:tcPr>
          <w:p w14:paraId="373E721D" w14:textId="77777777" w:rsidR="00B16F49" w:rsidRPr="00DC0E74" w:rsidRDefault="00B16F49" w:rsidP="000834DD">
            <w:pPr>
              <w:pStyle w:val="23"/>
              <w:numPr>
                <w:ilvl w:val="0"/>
                <w:numId w:val="4"/>
              </w:numPr>
              <w:spacing w:after="0"/>
              <w:ind w:left="0" w:firstLine="33"/>
              <w:contextualSpacing/>
              <w:jc w:val="center"/>
              <w:rPr>
                <w:sz w:val="22"/>
                <w:szCs w:val="22"/>
              </w:rPr>
            </w:pPr>
          </w:p>
        </w:tc>
        <w:tc>
          <w:tcPr>
            <w:tcW w:w="4112" w:type="dxa"/>
          </w:tcPr>
          <w:p w14:paraId="71AC9E52" w14:textId="77777777" w:rsidR="00B16F49" w:rsidRPr="00DC0E74" w:rsidRDefault="00B16F49" w:rsidP="000834DD">
            <w:pPr>
              <w:spacing w:line="276" w:lineRule="auto"/>
              <w:contextualSpacing/>
              <w:rPr>
                <w:rFonts w:ascii="Times New Roman" w:hAnsi="Times New Roman" w:cs="Times New Roman"/>
                <w:sz w:val="22"/>
                <w:szCs w:val="22"/>
              </w:rPr>
            </w:pPr>
            <w:r w:rsidRPr="00DC0E74">
              <w:rPr>
                <w:rFonts w:ascii="Times New Roman" w:hAnsi="Times New Roman" w:cs="Times New Roman"/>
                <w:sz w:val="22"/>
                <w:szCs w:val="22"/>
              </w:rPr>
              <w:t>РосНедв — недвижимость России</w:t>
            </w:r>
          </w:p>
        </w:tc>
        <w:tc>
          <w:tcPr>
            <w:tcW w:w="2410" w:type="dxa"/>
            <w:vAlign w:val="center"/>
          </w:tcPr>
          <w:p w14:paraId="06429D30" w14:textId="77777777" w:rsidR="00B16F49" w:rsidRPr="004A4CD2" w:rsidRDefault="00FF7453" w:rsidP="000834DD">
            <w:pPr>
              <w:spacing w:line="276" w:lineRule="auto"/>
              <w:contextualSpacing/>
              <w:jc w:val="center"/>
              <w:rPr>
                <w:rStyle w:val="ad"/>
              </w:rPr>
            </w:pPr>
            <w:hyperlink r:id="rId35" w:history="1">
              <w:r w:rsidR="00B16F49" w:rsidRPr="00DC0E74">
                <w:rPr>
                  <w:rStyle w:val="ad"/>
                  <w:rFonts w:ascii="Times New Roman" w:hAnsi="Times New Roman" w:cs="Times New Roman"/>
                  <w:sz w:val="22"/>
                  <w:szCs w:val="22"/>
                </w:rPr>
                <w:t>https://www.rosnedv.ru/</w:t>
              </w:r>
            </w:hyperlink>
          </w:p>
        </w:tc>
        <w:tc>
          <w:tcPr>
            <w:tcW w:w="2126" w:type="dxa"/>
            <w:vAlign w:val="center"/>
          </w:tcPr>
          <w:p w14:paraId="4494F568"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0659738C" w14:textId="77777777" w:rsidTr="000834DD">
        <w:trPr>
          <w:trHeight w:val="20"/>
        </w:trPr>
        <w:tc>
          <w:tcPr>
            <w:tcW w:w="703" w:type="dxa"/>
          </w:tcPr>
          <w:p w14:paraId="498078AB" w14:textId="77777777" w:rsidR="00B16F49" w:rsidRPr="00DC0E74" w:rsidRDefault="00B16F49" w:rsidP="000834DD">
            <w:pPr>
              <w:pStyle w:val="23"/>
              <w:numPr>
                <w:ilvl w:val="0"/>
                <w:numId w:val="4"/>
              </w:numPr>
              <w:spacing w:after="0"/>
              <w:ind w:left="0" w:firstLine="33"/>
              <w:contextualSpacing/>
              <w:jc w:val="center"/>
              <w:rPr>
                <w:sz w:val="22"/>
                <w:szCs w:val="22"/>
              </w:rPr>
            </w:pPr>
          </w:p>
        </w:tc>
        <w:tc>
          <w:tcPr>
            <w:tcW w:w="4112" w:type="dxa"/>
          </w:tcPr>
          <w:p w14:paraId="60A20572" w14:textId="77777777" w:rsidR="00B16F49" w:rsidRPr="00DC0E74" w:rsidRDefault="00B16F49" w:rsidP="000834DD">
            <w:pPr>
              <w:spacing w:line="276" w:lineRule="auto"/>
              <w:contextualSpacing/>
              <w:rPr>
                <w:rFonts w:ascii="Times New Roman" w:hAnsi="Times New Roman" w:cs="Times New Roman"/>
                <w:sz w:val="22"/>
                <w:szCs w:val="22"/>
              </w:rPr>
            </w:pPr>
            <w:r w:rsidRPr="00DC0E74">
              <w:rPr>
                <w:rFonts w:ascii="Times New Roman" w:hAnsi="Times New Roman" w:cs="Times New Roman"/>
                <w:sz w:val="22"/>
                <w:szCs w:val="22"/>
              </w:rPr>
              <w:t>Сайт недвижимости России «Твой адрес»</w:t>
            </w:r>
          </w:p>
        </w:tc>
        <w:tc>
          <w:tcPr>
            <w:tcW w:w="2410" w:type="dxa"/>
            <w:vAlign w:val="center"/>
          </w:tcPr>
          <w:p w14:paraId="42B7D1A3" w14:textId="77777777" w:rsidR="00B16F49" w:rsidRPr="004A4CD2" w:rsidRDefault="00FF7453" w:rsidP="000834DD">
            <w:pPr>
              <w:spacing w:line="276" w:lineRule="auto"/>
              <w:contextualSpacing/>
              <w:jc w:val="center"/>
              <w:rPr>
                <w:rStyle w:val="ad"/>
              </w:rPr>
            </w:pPr>
            <w:hyperlink r:id="rId36" w:history="1">
              <w:r w:rsidR="00B16F49" w:rsidRPr="00DC0E74">
                <w:rPr>
                  <w:rStyle w:val="ad"/>
                  <w:rFonts w:ascii="Times New Roman" w:hAnsi="Times New Roman" w:cs="Times New Roman"/>
                  <w:sz w:val="22"/>
                  <w:szCs w:val="22"/>
                </w:rPr>
                <w:t>https://tvoyadres.ru/</w:t>
              </w:r>
            </w:hyperlink>
          </w:p>
        </w:tc>
        <w:tc>
          <w:tcPr>
            <w:tcW w:w="2126" w:type="dxa"/>
            <w:vAlign w:val="center"/>
          </w:tcPr>
          <w:p w14:paraId="20F23149"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170BB7E7" w14:textId="77777777" w:rsidTr="000834DD">
        <w:trPr>
          <w:trHeight w:val="20"/>
        </w:trPr>
        <w:tc>
          <w:tcPr>
            <w:tcW w:w="703" w:type="dxa"/>
          </w:tcPr>
          <w:p w14:paraId="30B273EA" w14:textId="77777777" w:rsidR="00B16F49" w:rsidRPr="00DC0E74" w:rsidRDefault="00B16F49" w:rsidP="000834DD">
            <w:pPr>
              <w:pStyle w:val="23"/>
              <w:numPr>
                <w:ilvl w:val="0"/>
                <w:numId w:val="4"/>
              </w:numPr>
              <w:spacing w:after="0"/>
              <w:ind w:left="0" w:firstLine="33"/>
              <w:contextualSpacing/>
              <w:jc w:val="center"/>
              <w:rPr>
                <w:sz w:val="22"/>
                <w:szCs w:val="22"/>
              </w:rPr>
            </w:pPr>
          </w:p>
        </w:tc>
        <w:tc>
          <w:tcPr>
            <w:tcW w:w="4112" w:type="dxa"/>
          </w:tcPr>
          <w:p w14:paraId="4915985F" w14:textId="77777777" w:rsidR="00B16F49" w:rsidRPr="00DC0E74" w:rsidRDefault="00B16F49" w:rsidP="000834DD">
            <w:pPr>
              <w:spacing w:line="276" w:lineRule="auto"/>
              <w:contextualSpacing/>
              <w:rPr>
                <w:rFonts w:ascii="Times New Roman" w:hAnsi="Times New Roman" w:cs="Times New Roman"/>
                <w:sz w:val="22"/>
                <w:szCs w:val="22"/>
              </w:rPr>
            </w:pPr>
            <w:r w:rsidRPr="00DC0E74">
              <w:rPr>
                <w:rFonts w:ascii="Times New Roman" w:hAnsi="Times New Roman" w:cs="Times New Roman"/>
                <w:sz w:val="22"/>
                <w:szCs w:val="22"/>
              </w:rPr>
              <w:t>Российский агропромышленный портал «Агросервер»</w:t>
            </w:r>
          </w:p>
        </w:tc>
        <w:tc>
          <w:tcPr>
            <w:tcW w:w="2410" w:type="dxa"/>
            <w:vAlign w:val="center"/>
          </w:tcPr>
          <w:p w14:paraId="5C834F79" w14:textId="77777777" w:rsidR="00B16F49" w:rsidRPr="004A4CD2" w:rsidRDefault="00FF7453" w:rsidP="000834DD">
            <w:pPr>
              <w:spacing w:line="276" w:lineRule="auto"/>
              <w:contextualSpacing/>
              <w:jc w:val="center"/>
              <w:rPr>
                <w:rStyle w:val="ad"/>
              </w:rPr>
            </w:pPr>
            <w:hyperlink r:id="rId37" w:history="1">
              <w:r w:rsidR="00B16F49" w:rsidRPr="00DC0E74">
                <w:rPr>
                  <w:rStyle w:val="ad"/>
                  <w:rFonts w:ascii="Times New Roman" w:hAnsi="Times New Roman" w:cs="Times New Roman"/>
                  <w:sz w:val="22"/>
                  <w:szCs w:val="22"/>
                </w:rPr>
                <w:t>https://agroserver.ru/</w:t>
              </w:r>
            </w:hyperlink>
          </w:p>
        </w:tc>
        <w:tc>
          <w:tcPr>
            <w:tcW w:w="2126" w:type="dxa"/>
            <w:vAlign w:val="center"/>
          </w:tcPr>
          <w:p w14:paraId="348CC26E"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72CE82A2" w14:textId="77777777" w:rsidTr="000834DD">
        <w:trPr>
          <w:trHeight w:val="20"/>
        </w:trPr>
        <w:tc>
          <w:tcPr>
            <w:tcW w:w="703" w:type="dxa"/>
          </w:tcPr>
          <w:p w14:paraId="379AC666" w14:textId="77777777" w:rsidR="00B16F49" w:rsidRPr="00DC0E74" w:rsidRDefault="00B16F49" w:rsidP="000834DD">
            <w:pPr>
              <w:pStyle w:val="23"/>
              <w:numPr>
                <w:ilvl w:val="0"/>
                <w:numId w:val="4"/>
              </w:numPr>
              <w:spacing w:after="0"/>
              <w:ind w:left="0" w:firstLine="33"/>
              <w:contextualSpacing/>
              <w:jc w:val="center"/>
              <w:rPr>
                <w:sz w:val="22"/>
                <w:szCs w:val="22"/>
              </w:rPr>
            </w:pPr>
          </w:p>
        </w:tc>
        <w:tc>
          <w:tcPr>
            <w:tcW w:w="4112" w:type="dxa"/>
          </w:tcPr>
          <w:p w14:paraId="47BA1AB6" w14:textId="77777777" w:rsidR="00B16F49" w:rsidRPr="00DC0E74" w:rsidRDefault="00B16F49" w:rsidP="000834DD">
            <w:pPr>
              <w:spacing w:line="276" w:lineRule="auto"/>
              <w:contextualSpacing/>
              <w:rPr>
                <w:rFonts w:ascii="Times New Roman" w:hAnsi="Times New Roman" w:cs="Times New Roman"/>
                <w:sz w:val="22"/>
                <w:szCs w:val="22"/>
              </w:rPr>
            </w:pPr>
            <w:r w:rsidRPr="00DC0E74">
              <w:rPr>
                <w:rFonts w:ascii="Times New Roman" w:hAnsi="Times New Roman" w:cs="Times New Roman"/>
                <w:sz w:val="22"/>
                <w:szCs w:val="22"/>
              </w:rPr>
              <w:t>«Бибос»-сообщество предпринимателей №1 России</w:t>
            </w:r>
          </w:p>
        </w:tc>
        <w:tc>
          <w:tcPr>
            <w:tcW w:w="2410" w:type="dxa"/>
            <w:vAlign w:val="center"/>
          </w:tcPr>
          <w:p w14:paraId="499F81EC" w14:textId="77777777" w:rsidR="00B16F49" w:rsidRPr="004A4CD2" w:rsidRDefault="00FF7453" w:rsidP="000834DD">
            <w:pPr>
              <w:spacing w:line="276" w:lineRule="auto"/>
              <w:contextualSpacing/>
              <w:jc w:val="center"/>
              <w:rPr>
                <w:rStyle w:val="ad"/>
              </w:rPr>
            </w:pPr>
            <w:hyperlink r:id="rId38" w:history="1">
              <w:r w:rsidR="00B16F49" w:rsidRPr="00DC0E74">
                <w:rPr>
                  <w:rStyle w:val="ad"/>
                  <w:rFonts w:ascii="Times New Roman" w:hAnsi="Times New Roman" w:cs="Times New Roman"/>
                  <w:sz w:val="22"/>
                  <w:szCs w:val="22"/>
                </w:rPr>
                <w:t>https://www.beboss.ru/</w:t>
              </w:r>
            </w:hyperlink>
          </w:p>
        </w:tc>
        <w:tc>
          <w:tcPr>
            <w:tcW w:w="2126" w:type="dxa"/>
            <w:vAlign w:val="center"/>
          </w:tcPr>
          <w:p w14:paraId="0748115B" w14:textId="77777777" w:rsidR="00B16F49" w:rsidRPr="00DC0E74" w:rsidRDefault="00B16F49" w:rsidP="000834DD">
            <w:pPr>
              <w:spacing w:line="276" w:lineRule="auto"/>
              <w:contextualSpacing/>
              <w:jc w:val="center"/>
              <w:rPr>
                <w:rFonts w:ascii="Times New Roman" w:hAnsi="Times New Roman" w:cs="Times New Roman"/>
                <w:sz w:val="22"/>
                <w:szCs w:val="22"/>
              </w:rPr>
            </w:pPr>
            <w:r w:rsidRPr="00DC0E74">
              <w:rPr>
                <w:rFonts w:ascii="Times New Roman" w:hAnsi="Times New Roman" w:cs="Times New Roman"/>
                <w:sz w:val="22"/>
                <w:szCs w:val="22"/>
              </w:rPr>
              <w:t>Электронный</w:t>
            </w:r>
          </w:p>
        </w:tc>
      </w:tr>
      <w:tr w:rsidR="00B16F49" w:rsidRPr="00F562A8" w14:paraId="0F563E42" w14:textId="77777777" w:rsidTr="000834DD">
        <w:trPr>
          <w:trHeight w:val="20"/>
        </w:trPr>
        <w:tc>
          <w:tcPr>
            <w:tcW w:w="703" w:type="dxa"/>
          </w:tcPr>
          <w:p w14:paraId="777671FE" w14:textId="77777777" w:rsidR="00B16F49" w:rsidRPr="00F562A8" w:rsidRDefault="00B16F49" w:rsidP="000834DD">
            <w:pPr>
              <w:pStyle w:val="23"/>
              <w:numPr>
                <w:ilvl w:val="0"/>
                <w:numId w:val="4"/>
              </w:numPr>
              <w:spacing w:after="0"/>
              <w:ind w:left="0" w:firstLine="33"/>
              <w:contextualSpacing/>
              <w:jc w:val="center"/>
              <w:rPr>
                <w:sz w:val="22"/>
              </w:rPr>
            </w:pPr>
          </w:p>
        </w:tc>
        <w:tc>
          <w:tcPr>
            <w:tcW w:w="4112" w:type="dxa"/>
          </w:tcPr>
          <w:p w14:paraId="160001E8" w14:textId="77777777" w:rsidR="00B16F49" w:rsidRPr="00DC0E74" w:rsidRDefault="00B16F49" w:rsidP="000834DD">
            <w:pPr>
              <w:spacing w:line="276" w:lineRule="auto"/>
              <w:contextualSpacing/>
              <w:rPr>
                <w:rFonts w:ascii="Times New Roman" w:hAnsi="Times New Roman" w:cs="Times New Roman"/>
                <w:sz w:val="22"/>
                <w:szCs w:val="22"/>
              </w:rPr>
            </w:pPr>
            <w:r>
              <w:rPr>
                <w:rFonts w:ascii="Times New Roman" w:hAnsi="Times New Roman" w:cs="Times New Roman"/>
                <w:sz w:val="22"/>
                <w:szCs w:val="22"/>
              </w:rPr>
              <w:t>Торговая система Агрору</w:t>
            </w:r>
          </w:p>
        </w:tc>
        <w:tc>
          <w:tcPr>
            <w:tcW w:w="2410" w:type="dxa"/>
            <w:vAlign w:val="center"/>
          </w:tcPr>
          <w:p w14:paraId="1955D2A9" w14:textId="77777777" w:rsidR="00B16F49" w:rsidRPr="004A4CD2" w:rsidRDefault="00B16F49" w:rsidP="000834DD">
            <w:pPr>
              <w:spacing w:line="276" w:lineRule="auto"/>
              <w:contextualSpacing/>
              <w:jc w:val="center"/>
              <w:rPr>
                <w:rStyle w:val="ad"/>
                <w:rFonts w:ascii="Times New Roman" w:hAnsi="Times New Roman" w:cs="Times New Roman"/>
                <w:sz w:val="22"/>
                <w:szCs w:val="22"/>
              </w:rPr>
            </w:pPr>
            <w:r w:rsidRPr="004A4CD2">
              <w:rPr>
                <w:rStyle w:val="ad"/>
                <w:rFonts w:ascii="Times New Roman" w:hAnsi="Times New Roman" w:cs="Times New Roman"/>
                <w:sz w:val="22"/>
                <w:szCs w:val="22"/>
              </w:rPr>
              <w:t>https://agroru.com/</w:t>
            </w:r>
          </w:p>
        </w:tc>
        <w:tc>
          <w:tcPr>
            <w:tcW w:w="2126" w:type="dxa"/>
            <w:vAlign w:val="center"/>
          </w:tcPr>
          <w:p w14:paraId="0C7F6BC6" w14:textId="77777777" w:rsidR="00B16F49" w:rsidRPr="00F562A8" w:rsidRDefault="00B16F49" w:rsidP="000834DD">
            <w:pPr>
              <w:spacing w:line="276" w:lineRule="auto"/>
              <w:contextualSpacing/>
              <w:jc w:val="center"/>
              <w:rPr>
                <w:rFonts w:ascii="Times New Roman" w:hAnsi="Times New Roman" w:cs="Times New Roman"/>
              </w:rPr>
            </w:pPr>
            <w:r w:rsidRPr="00DC0E74">
              <w:rPr>
                <w:rFonts w:ascii="Times New Roman" w:hAnsi="Times New Roman" w:cs="Times New Roman"/>
                <w:sz w:val="22"/>
                <w:szCs w:val="22"/>
              </w:rPr>
              <w:t>Электронный</w:t>
            </w:r>
          </w:p>
        </w:tc>
      </w:tr>
      <w:tr w:rsidR="00B16F49" w:rsidRPr="00F562A8" w14:paraId="1631FF5E" w14:textId="77777777" w:rsidTr="000834DD">
        <w:trPr>
          <w:trHeight w:val="20"/>
        </w:trPr>
        <w:tc>
          <w:tcPr>
            <w:tcW w:w="703" w:type="dxa"/>
          </w:tcPr>
          <w:p w14:paraId="7A9F2DB5" w14:textId="77777777" w:rsidR="00B16F49" w:rsidRPr="00F562A8" w:rsidRDefault="00B16F49" w:rsidP="000834DD">
            <w:pPr>
              <w:pStyle w:val="23"/>
              <w:numPr>
                <w:ilvl w:val="0"/>
                <w:numId w:val="4"/>
              </w:numPr>
              <w:spacing w:after="0"/>
              <w:ind w:left="0" w:firstLine="33"/>
              <w:contextualSpacing/>
              <w:jc w:val="center"/>
              <w:rPr>
                <w:sz w:val="22"/>
              </w:rPr>
            </w:pPr>
          </w:p>
        </w:tc>
        <w:tc>
          <w:tcPr>
            <w:tcW w:w="4112" w:type="dxa"/>
            <w:vAlign w:val="bottom"/>
          </w:tcPr>
          <w:p w14:paraId="47A980C0" w14:textId="77777777" w:rsidR="00B16F49" w:rsidRPr="00DC0E74" w:rsidRDefault="00B16F49" w:rsidP="000834DD">
            <w:pPr>
              <w:spacing w:line="276" w:lineRule="auto"/>
              <w:contextualSpacing/>
              <w:rPr>
                <w:rFonts w:ascii="Times New Roman" w:hAnsi="Times New Roman" w:cs="Times New Roman"/>
                <w:sz w:val="22"/>
                <w:szCs w:val="22"/>
              </w:rPr>
            </w:pPr>
            <w:r w:rsidRPr="004A4CD2">
              <w:rPr>
                <w:rFonts w:ascii="Times New Roman" w:hAnsi="Times New Roman" w:cs="Times New Roman"/>
                <w:sz w:val="22"/>
                <w:szCs w:val="22"/>
              </w:rPr>
              <w:t>Доски бесплатных объявлений в России, объявления частных лиц и организаций</w:t>
            </w:r>
            <w:r>
              <w:rPr>
                <w:rFonts w:ascii="Times New Roman" w:hAnsi="Times New Roman" w:cs="Times New Roman"/>
                <w:sz w:val="22"/>
                <w:szCs w:val="22"/>
              </w:rPr>
              <w:t xml:space="preserve"> </w:t>
            </w:r>
          </w:p>
        </w:tc>
        <w:tc>
          <w:tcPr>
            <w:tcW w:w="2410" w:type="dxa"/>
            <w:vAlign w:val="center"/>
          </w:tcPr>
          <w:p w14:paraId="4CBD134D" w14:textId="77777777" w:rsidR="00B16F49" w:rsidRPr="004A4CD2" w:rsidRDefault="00B16F49" w:rsidP="000834DD">
            <w:pPr>
              <w:spacing w:line="276" w:lineRule="auto"/>
              <w:contextualSpacing/>
              <w:jc w:val="center"/>
              <w:rPr>
                <w:rStyle w:val="ad"/>
                <w:rFonts w:ascii="Times New Roman" w:hAnsi="Times New Roman" w:cs="Times New Roman"/>
                <w:sz w:val="22"/>
                <w:szCs w:val="22"/>
              </w:rPr>
            </w:pPr>
            <w:r w:rsidRPr="004A4CD2">
              <w:rPr>
                <w:rStyle w:val="ad"/>
                <w:rFonts w:ascii="Times New Roman" w:hAnsi="Times New Roman" w:cs="Times New Roman"/>
                <w:sz w:val="22"/>
                <w:szCs w:val="22"/>
              </w:rPr>
              <w:t>https://www.doski.ru/</w:t>
            </w:r>
          </w:p>
        </w:tc>
        <w:tc>
          <w:tcPr>
            <w:tcW w:w="2126" w:type="dxa"/>
            <w:vAlign w:val="center"/>
          </w:tcPr>
          <w:p w14:paraId="0C9A4ABD" w14:textId="77777777" w:rsidR="00B16F49" w:rsidRPr="00F562A8" w:rsidRDefault="00B16F49" w:rsidP="000834DD">
            <w:pPr>
              <w:spacing w:line="276" w:lineRule="auto"/>
              <w:contextualSpacing/>
              <w:jc w:val="center"/>
              <w:rPr>
                <w:rFonts w:ascii="Times New Roman" w:hAnsi="Times New Roman" w:cs="Times New Roman"/>
              </w:rPr>
            </w:pPr>
            <w:r w:rsidRPr="00DC0E74">
              <w:rPr>
                <w:rFonts w:ascii="Times New Roman" w:hAnsi="Times New Roman" w:cs="Times New Roman"/>
                <w:sz w:val="22"/>
                <w:szCs w:val="22"/>
              </w:rPr>
              <w:t>Электронный</w:t>
            </w:r>
          </w:p>
        </w:tc>
      </w:tr>
      <w:tr w:rsidR="00B16F49" w:rsidRPr="00F562A8" w14:paraId="66A89667" w14:textId="77777777" w:rsidTr="000834DD">
        <w:trPr>
          <w:trHeight w:val="20"/>
        </w:trPr>
        <w:tc>
          <w:tcPr>
            <w:tcW w:w="703" w:type="dxa"/>
          </w:tcPr>
          <w:p w14:paraId="171E704C" w14:textId="77777777" w:rsidR="00B16F49" w:rsidRPr="00F562A8" w:rsidRDefault="00B16F49" w:rsidP="000834DD">
            <w:pPr>
              <w:pStyle w:val="23"/>
              <w:numPr>
                <w:ilvl w:val="0"/>
                <w:numId w:val="4"/>
              </w:numPr>
              <w:spacing w:after="0"/>
              <w:ind w:left="0" w:firstLine="33"/>
              <w:contextualSpacing/>
              <w:jc w:val="center"/>
              <w:rPr>
                <w:sz w:val="22"/>
              </w:rPr>
            </w:pPr>
          </w:p>
        </w:tc>
        <w:tc>
          <w:tcPr>
            <w:tcW w:w="4112" w:type="dxa"/>
            <w:vAlign w:val="bottom"/>
          </w:tcPr>
          <w:p w14:paraId="05C6E177" w14:textId="77777777" w:rsidR="00B16F49" w:rsidRPr="00DC0E74" w:rsidRDefault="00B16F49" w:rsidP="000834DD">
            <w:pPr>
              <w:spacing w:line="276" w:lineRule="auto"/>
              <w:contextualSpacing/>
              <w:rPr>
                <w:rFonts w:ascii="Times New Roman" w:hAnsi="Times New Roman" w:cs="Times New Roman"/>
                <w:sz w:val="22"/>
                <w:szCs w:val="22"/>
              </w:rPr>
            </w:pPr>
            <w:r>
              <w:rPr>
                <w:rFonts w:ascii="Times New Roman" w:hAnsi="Times New Roman" w:cs="Times New Roman"/>
                <w:sz w:val="22"/>
                <w:szCs w:val="22"/>
              </w:rPr>
              <w:t xml:space="preserve"> </w:t>
            </w:r>
            <w:r w:rsidRPr="004A4CD2">
              <w:rPr>
                <w:rFonts w:ascii="Times New Roman" w:hAnsi="Times New Roman" w:cs="Times New Roman"/>
                <w:sz w:val="22"/>
                <w:szCs w:val="22"/>
              </w:rPr>
              <w:t>Фонд государственного</w:t>
            </w:r>
            <w:r w:rsidRPr="004A4CD2">
              <w:rPr>
                <w:rFonts w:ascii="Times New Roman" w:hAnsi="Times New Roman" w:cs="Times New Roman"/>
                <w:color w:val="FF0000"/>
                <w:sz w:val="22"/>
                <w:szCs w:val="22"/>
              </w:rPr>
              <w:t xml:space="preserve"> </w:t>
            </w:r>
            <w:r>
              <w:rPr>
                <w:rFonts w:ascii="Times New Roman" w:hAnsi="Times New Roman" w:cs="Times New Roman"/>
                <w:sz w:val="22"/>
                <w:szCs w:val="22"/>
              </w:rPr>
              <w:t>имущества, торги</w:t>
            </w:r>
          </w:p>
        </w:tc>
        <w:tc>
          <w:tcPr>
            <w:tcW w:w="2410" w:type="dxa"/>
            <w:vAlign w:val="center"/>
          </w:tcPr>
          <w:p w14:paraId="39C43B24" w14:textId="77777777" w:rsidR="00B16F49" w:rsidRPr="004A4CD2" w:rsidRDefault="00B16F49" w:rsidP="000834DD">
            <w:pPr>
              <w:spacing w:line="276" w:lineRule="auto"/>
              <w:contextualSpacing/>
              <w:jc w:val="center"/>
              <w:rPr>
                <w:rStyle w:val="ad"/>
                <w:rFonts w:ascii="Times New Roman" w:hAnsi="Times New Roman" w:cs="Times New Roman"/>
                <w:sz w:val="22"/>
                <w:szCs w:val="22"/>
              </w:rPr>
            </w:pPr>
            <w:r w:rsidRPr="004A4CD2">
              <w:rPr>
                <w:rStyle w:val="ad"/>
                <w:rFonts w:ascii="Times New Roman" w:hAnsi="Times New Roman" w:cs="Times New Roman"/>
                <w:sz w:val="22"/>
                <w:szCs w:val="22"/>
              </w:rPr>
              <w:t>https://fgivo.ru/</w:t>
            </w:r>
          </w:p>
        </w:tc>
        <w:tc>
          <w:tcPr>
            <w:tcW w:w="2126" w:type="dxa"/>
            <w:vAlign w:val="center"/>
          </w:tcPr>
          <w:p w14:paraId="381DB4A9" w14:textId="77777777" w:rsidR="00B16F49" w:rsidRPr="00F562A8" w:rsidRDefault="00B16F49" w:rsidP="000834DD">
            <w:pPr>
              <w:spacing w:line="276" w:lineRule="auto"/>
              <w:contextualSpacing/>
              <w:jc w:val="center"/>
              <w:rPr>
                <w:rFonts w:ascii="Times New Roman" w:hAnsi="Times New Roman" w:cs="Times New Roman"/>
              </w:rPr>
            </w:pPr>
            <w:r w:rsidRPr="00DC0E74">
              <w:rPr>
                <w:rFonts w:ascii="Times New Roman" w:hAnsi="Times New Roman" w:cs="Times New Roman"/>
                <w:sz w:val="22"/>
                <w:szCs w:val="22"/>
              </w:rPr>
              <w:t>Электронный</w:t>
            </w:r>
          </w:p>
        </w:tc>
      </w:tr>
      <w:tr w:rsidR="00B16F49" w:rsidRPr="00F562A8" w14:paraId="04F75608" w14:textId="77777777" w:rsidTr="000834DD">
        <w:trPr>
          <w:trHeight w:val="20"/>
        </w:trPr>
        <w:tc>
          <w:tcPr>
            <w:tcW w:w="703" w:type="dxa"/>
          </w:tcPr>
          <w:p w14:paraId="6C9ED38B" w14:textId="77777777" w:rsidR="00B16F49" w:rsidRPr="00F562A8" w:rsidRDefault="00B16F49" w:rsidP="000834DD">
            <w:pPr>
              <w:pStyle w:val="23"/>
              <w:numPr>
                <w:ilvl w:val="0"/>
                <w:numId w:val="4"/>
              </w:numPr>
              <w:spacing w:after="0"/>
              <w:ind w:left="0" w:firstLine="33"/>
              <w:contextualSpacing/>
              <w:jc w:val="center"/>
              <w:rPr>
                <w:sz w:val="22"/>
              </w:rPr>
            </w:pPr>
          </w:p>
        </w:tc>
        <w:tc>
          <w:tcPr>
            <w:tcW w:w="4112" w:type="dxa"/>
          </w:tcPr>
          <w:p w14:paraId="24266B71" w14:textId="77777777" w:rsidR="00B16F49" w:rsidRPr="00DC0E74" w:rsidRDefault="00B16F49" w:rsidP="000834DD">
            <w:pPr>
              <w:spacing w:line="276" w:lineRule="auto"/>
              <w:contextualSpacing/>
              <w:rPr>
                <w:rFonts w:ascii="Times New Roman" w:hAnsi="Times New Roman" w:cs="Times New Roman"/>
                <w:sz w:val="22"/>
                <w:szCs w:val="22"/>
              </w:rPr>
            </w:pPr>
            <w:r w:rsidRPr="004A4CD2">
              <w:rPr>
                <w:rFonts w:ascii="Times New Roman" w:hAnsi="Times New Roman" w:cs="Times New Roman"/>
                <w:sz w:val="22"/>
                <w:szCs w:val="22"/>
              </w:rPr>
              <w:t xml:space="preserve">Доски бесплатных объявлений </w:t>
            </w:r>
            <w:r w:rsidRPr="00DC0E74">
              <w:rPr>
                <w:rFonts w:ascii="Times New Roman" w:hAnsi="Times New Roman" w:cs="Times New Roman"/>
                <w:sz w:val="22"/>
                <w:szCs w:val="22"/>
              </w:rPr>
              <w:t>pro-land.org</w:t>
            </w:r>
          </w:p>
        </w:tc>
        <w:tc>
          <w:tcPr>
            <w:tcW w:w="2410" w:type="dxa"/>
            <w:vAlign w:val="center"/>
          </w:tcPr>
          <w:p w14:paraId="70F48FE9" w14:textId="77777777" w:rsidR="00B16F49" w:rsidRPr="004A4CD2" w:rsidRDefault="00B16F49" w:rsidP="000834DD">
            <w:pPr>
              <w:spacing w:line="276" w:lineRule="auto"/>
              <w:contextualSpacing/>
              <w:jc w:val="center"/>
              <w:rPr>
                <w:rStyle w:val="ad"/>
                <w:rFonts w:ascii="Times New Roman" w:hAnsi="Times New Roman" w:cs="Times New Roman"/>
                <w:sz w:val="22"/>
                <w:szCs w:val="22"/>
              </w:rPr>
            </w:pPr>
            <w:r w:rsidRPr="004A4CD2">
              <w:rPr>
                <w:rStyle w:val="ad"/>
                <w:rFonts w:ascii="Times New Roman" w:hAnsi="Times New Roman" w:cs="Times New Roman"/>
                <w:sz w:val="22"/>
                <w:szCs w:val="22"/>
              </w:rPr>
              <w:t>https://pro-land.org/</w:t>
            </w:r>
          </w:p>
        </w:tc>
        <w:tc>
          <w:tcPr>
            <w:tcW w:w="2126" w:type="dxa"/>
            <w:vAlign w:val="center"/>
          </w:tcPr>
          <w:p w14:paraId="7141D0E2" w14:textId="77777777" w:rsidR="00B16F49" w:rsidRPr="00F562A8" w:rsidRDefault="00B16F49" w:rsidP="000834DD">
            <w:pPr>
              <w:spacing w:line="276" w:lineRule="auto"/>
              <w:contextualSpacing/>
              <w:jc w:val="center"/>
              <w:rPr>
                <w:rFonts w:ascii="Times New Roman" w:hAnsi="Times New Roman" w:cs="Times New Roman"/>
              </w:rPr>
            </w:pPr>
            <w:r w:rsidRPr="00DC0E74">
              <w:rPr>
                <w:rFonts w:ascii="Times New Roman" w:hAnsi="Times New Roman" w:cs="Times New Roman"/>
                <w:sz w:val="22"/>
                <w:szCs w:val="22"/>
              </w:rPr>
              <w:t>Электронный</w:t>
            </w:r>
          </w:p>
        </w:tc>
      </w:tr>
      <w:tr w:rsidR="00B16F49" w:rsidRPr="00F562A8" w14:paraId="57A684E6" w14:textId="77777777" w:rsidTr="000834DD">
        <w:trPr>
          <w:trHeight w:val="20"/>
        </w:trPr>
        <w:tc>
          <w:tcPr>
            <w:tcW w:w="703" w:type="dxa"/>
          </w:tcPr>
          <w:p w14:paraId="1FAC21FD" w14:textId="77777777" w:rsidR="00B16F49" w:rsidRPr="00F562A8" w:rsidRDefault="00B16F49" w:rsidP="000834DD">
            <w:pPr>
              <w:pStyle w:val="23"/>
              <w:numPr>
                <w:ilvl w:val="0"/>
                <w:numId w:val="4"/>
              </w:numPr>
              <w:spacing w:after="0"/>
              <w:ind w:left="0" w:firstLine="33"/>
              <w:contextualSpacing/>
              <w:jc w:val="center"/>
              <w:rPr>
                <w:sz w:val="22"/>
              </w:rPr>
            </w:pPr>
          </w:p>
        </w:tc>
        <w:tc>
          <w:tcPr>
            <w:tcW w:w="4112" w:type="dxa"/>
          </w:tcPr>
          <w:p w14:paraId="29A0996A" w14:textId="77777777" w:rsidR="00B16F49" w:rsidRPr="00DC0E74" w:rsidRDefault="00B16F49" w:rsidP="000834DD">
            <w:pPr>
              <w:spacing w:line="276" w:lineRule="auto"/>
              <w:contextualSpacing/>
              <w:rPr>
                <w:rFonts w:ascii="Times New Roman" w:hAnsi="Times New Roman" w:cs="Times New Roman"/>
                <w:sz w:val="22"/>
                <w:szCs w:val="22"/>
              </w:rPr>
            </w:pPr>
            <w:r>
              <w:rPr>
                <w:rFonts w:ascii="Times New Roman" w:hAnsi="Times New Roman" w:cs="Times New Roman"/>
                <w:sz w:val="22"/>
                <w:szCs w:val="22"/>
              </w:rPr>
              <w:t xml:space="preserve">Портал недвижимости </w:t>
            </w:r>
            <w:r w:rsidRPr="00DC0E74">
              <w:rPr>
                <w:rFonts w:ascii="Times New Roman" w:hAnsi="Times New Roman" w:cs="Times New Roman"/>
                <w:sz w:val="22"/>
                <w:szCs w:val="22"/>
              </w:rPr>
              <w:t>afy</w:t>
            </w:r>
          </w:p>
        </w:tc>
        <w:tc>
          <w:tcPr>
            <w:tcW w:w="2410" w:type="dxa"/>
          </w:tcPr>
          <w:p w14:paraId="112A3B52" w14:textId="77777777" w:rsidR="00B16F49" w:rsidRPr="004A4CD2" w:rsidRDefault="00B16F49" w:rsidP="000834DD">
            <w:pPr>
              <w:spacing w:line="276" w:lineRule="auto"/>
              <w:contextualSpacing/>
              <w:jc w:val="center"/>
              <w:rPr>
                <w:rStyle w:val="ad"/>
                <w:rFonts w:ascii="Times New Roman" w:hAnsi="Times New Roman" w:cs="Times New Roman"/>
                <w:sz w:val="22"/>
                <w:szCs w:val="22"/>
              </w:rPr>
            </w:pPr>
            <w:r w:rsidRPr="004A4CD2">
              <w:rPr>
                <w:rStyle w:val="ad"/>
                <w:rFonts w:ascii="Times New Roman" w:hAnsi="Times New Roman" w:cs="Times New Roman"/>
                <w:sz w:val="22"/>
                <w:szCs w:val="22"/>
              </w:rPr>
              <w:t>https://afy.ru/</w:t>
            </w:r>
          </w:p>
        </w:tc>
        <w:tc>
          <w:tcPr>
            <w:tcW w:w="2126" w:type="dxa"/>
          </w:tcPr>
          <w:p w14:paraId="1C327B07" w14:textId="77777777" w:rsidR="00B16F49" w:rsidRPr="00F562A8" w:rsidRDefault="00B16F49" w:rsidP="000834DD">
            <w:pPr>
              <w:spacing w:line="276" w:lineRule="auto"/>
              <w:contextualSpacing/>
              <w:jc w:val="center"/>
              <w:rPr>
                <w:rFonts w:ascii="Times New Roman" w:hAnsi="Times New Roman" w:cs="Times New Roman"/>
              </w:rPr>
            </w:pPr>
            <w:r w:rsidRPr="00DC0E74">
              <w:rPr>
                <w:rFonts w:ascii="Times New Roman" w:hAnsi="Times New Roman" w:cs="Times New Roman"/>
                <w:sz w:val="22"/>
                <w:szCs w:val="22"/>
              </w:rPr>
              <w:t>Электронный</w:t>
            </w:r>
          </w:p>
        </w:tc>
      </w:tr>
      <w:tr w:rsidR="00B16F49" w:rsidRPr="00F562A8" w14:paraId="0B02B951" w14:textId="77777777" w:rsidTr="000834DD">
        <w:trPr>
          <w:trHeight w:val="20"/>
        </w:trPr>
        <w:tc>
          <w:tcPr>
            <w:tcW w:w="703" w:type="dxa"/>
          </w:tcPr>
          <w:p w14:paraId="2A453EBA" w14:textId="77777777" w:rsidR="00B16F49" w:rsidRPr="00F562A8" w:rsidRDefault="00B16F49" w:rsidP="000834DD">
            <w:pPr>
              <w:pStyle w:val="23"/>
              <w:numPr>
                <w:ilvl w:val="0"/>
                <w:numId w:val="4"/>
              </w:numPr>
              <w:spacing w:after="0"/>
              <w:ind w:left="0" w:firstLine="33"/>
              <w:contextualSpacing/>
              <w:jc w:val="center"/>
              <w:rPr>
                <w:sz w:val="22"/>
              </w:rPr>
            </w:pPr>
          </w:p>
        </w:tc>
        <w:tc>
          <w:tcPr>
            <w:tcW w:w="4112" w:type="dxa"/>
            <w:vAlign w:val="bottom"/>
          </w:tcPr>
          <w:p w14:paraId="3D8430E0" w14:textId="77777777" w:rsidR="00B16F49" w:rsidRPr="00DC0E74" w:rsidRDefault="00B16F49" w:rsidP="000834DD">
            <w:pPr>
              <w:spacing w:line="276" w:lineRule="auto"/>
              <w:contextualSpacing/>
              <w:rPr>
                <w:rFonts w:ascii="Times New Roman" w:hAnsi="Times New Roman" w:cs="Times New Roman"/>
                <w:sz w:val="22"/>
                <w:szCs w:val="22"/>
              </w:rPr>
            </w:pPr>
            <w:r>
              <w:rPr>
                <w:rFonts w:ascii="Times New Roman" w:hAnsi="Times New Roman" w:cs="Times New Roman"/>
                <w:sz w:val="22"/>
                <w:szCs w:val="22"/>
              </w:rPr>
              <w:t xml:space="preserve">Недвижимость в России и за рубежом </w:t>
            </w:r>
            <w:r w:rsidRPr="00DC0E74">
              <w:rPr>
                <w:rFonts w:ascii="Times New Roman" w:hAnsi="Times New Roman" w:cs="Times New Roman"/>
                <w:sz w:val="22"/>
                <w:szCs w:val="22"/>
              </w:rPr>
              <w:t>rosrealt.ru</w:t>
            </w:r>
          </w:p>
        </w:tc>
        <w:tc>
          <w:tcPr>
            <w:tcW w:w="2410" w:type="dxa"/>
            <w:vAlign w:val="center"/>
          </w:tcPr>
          <w:p w14:paraId="1353C9E9" w14:textId="77777777" w:rsidR="00B16F49" w:rsidRPr="004A4CD2" w:rsidRDefault="00B16F49" w:rsidP="000834DD">
            <w:pPr>
              <w:spacing w:line="276" w:lineRule="auto"/>
              <w:contextualSpacing/>
              <w:jc w:val="center"/>
              <w:rPr>
                <w:rStyle w:val="ad"/>
                <w:rFonts w:ascii="Times New Roman" w:hAnsi="Times New Roman" w:cs="Times New Roman"/>
                <w:sz w:val="22"/>
                <w:szCs w:val="22"/>
              </w:rPr>
            </w:pPr>
            <w:r w:rsidRPr="004A4CD2">
              <w:rPr>
                <w:rStyle w:val="ad"/>
                <w:rFonts w:ascii="Times New Roman" w:hAnsi="Times New Roman" w:cs="Times New Roman"/>
                <w:sz w:val="22"/>
                <w:szCs w:val="22"/>
              </w:rPr>
              <w:t>https://rosrealt.ru/</w:t>
            </w:r>
          </w:p>
        </w:tc>
        <w:tc>
          <w:tcPr>
            <w:tcW w:w="2126" w:type="dxa"/>
            <w:vAlign w:val="center"/>
          </w:tcPr>
          <w:p w14:paraId="10759C88" w14:textId="77777777" w:rsidR="00B16F49" w:rsidRPr="00F562A8" w:rsidRDefault="00B16F49" w:rsidP="000834DD">
            <w:pPr>
              <w:spacing w:line="276" w:lineRule="auto"/>
              <w:contextualSpacing/>
              <w:jc w:val="center"/>
              <w:rPr>
                <w:rFonts w:ascii="Times New Roman" w:hAnsi="Times New Roman" w:cs="Times New Roman"/>
              </w:rPr>
            </w:pPr>
            <w:r w:rsidRPr="00DC0E74">
              <w:rPr>
                <w:rFonts w:ascii="Times New Roman" w:hAnsi="Times New Roman" w:cs="Times New Roman"/>
                <w:sz w:val="22"/>
                <w:szCs w:val="22"/>
              </w:rPr>
              <w:t>Электронный</w:t>
            </w:r>
          </w:p>
        </w:tc>
      </w:tr>
      <w:tr w:rsidR="00B16F49" w:rsidRPr="00F562A8" w14:paraId="0344910E" w14:textId="77777777" w:rsidTr="000834DD">
        <w:trPr>
          <w:trHeight w:val="20"/>
        </w:trPr>
        <w:tc>
          <w:tcPr>
            <w:tcW w:w="703" w:type="dxa"/>
          </w:tcPr>
          <w:p w14:paraId="028C1CD7" w14:textId="77777777" w:rsidR="00B16F49" w:rsidRPr="00F562A8" w:rsidRDefault="00B16F49" w:rsidP="000834DD">
            <w:pPr>
              <w:pStyle w:val="23"/>
              <w:numPr>
                <w:ilvl w:val="0"/>
                <w:numId w:val="4"/>
              </w:numPr>
              <w:spacing w:after="0"/>
              <w:ind w:left="0" w:firstLine="33"/>
              <w:contextualSpacing/>
              <w:jc w:val="center"/>
              <w:rPr>
                <w:sz w:val="22"/>
              </w:rPr>
            </w:pPr>
          </w:p>
        </w:tc>
        <w:tc>
          <w:tcPr>
            <w:tcW w:w="4112" w:type="dxa"/>
            <w:vAlign w:val="center"/>
          </w:tcPr>
          <w:p w14:paraId="543B115C" w14:textId="77777777" w:rsidR="00B16F49" w:rsidRPr="00DC0E74" w:rsidRDefault="00B16F49" w:rsidP="000834DD">
            <w:pPr>
              <w:spacing w:line="276" w:lineRule="auto"/>
              <w:contextualSpacing/>
              <w:rPr>
                <w:rFonts w:ascii="Times New Roman" w:hAnsi="Times New Roman" w:cs="Times New Roman"/>
                <w:sz w:val="22"/>
                <w:szCs w:val="22"/>
              </w:rPr>
            </w:pPr>
            <w:r>
              <w:rPr>
                <w:rFonts w:ascii="Times New Roman" w:hAnsi="Times New Roman" w:cs="Times New Roman"/>
                <w:sz w:val="22"/>
                <w:szCs w:val="22"/>
              </w:rPr>
              <w:t xml:space="preserve">Портал Русская недвижимость </w:t>
            </w:r>
          </w:p>
        </w:tc>
        <w:tc>
          <w:tcPr>
            <w:tcW w:w="2410" w:type="dxa"/>
          </w:tcPr>
          <w:p w14:paraId="7915EB89" w14:textId="77777777" w:rsidR="00B16F49" w:rsidRPr="004A4CD2" w:rsidRDefault="00B16F49" w:rsidP="000834DD">
            <w:pPr>
              <w:spacing w:line="276" w:lineRule="auto"/>
              <w:contextualSpacing/>
              <w:jc w:val="center"/>
              <w:rPr>
                <w:rStyle w:val="ad"/>
                <w:rFonts w:ascii="Times New Roman" w:hAnsi="Times New Roman" w:cs="Times New Roman"/>
                <w:sz w:val="22"/>
                <w:szCs w:val="22"/>
              </w:rPr>
            </w:pPr>
            <w:r w:rsidRPr="00F1665F">
              <w:rPr>
                <w:rStyle w:val="ad"/>
                <w:rFonts w:ascii="Times New Roman" w:hAnsi="Times New Roman" w:cs="Times New Roman"/>
                <w:sz w:val="22"/>
                <w:szCs w:val="22"/>
              </w:rPr>
              <w:t>https://voronezh.russianrealty.ru/</w:t>
            </w:r>
          </w:p>
        </w:tc>
        <w:tc>
          <w:tcPr>
            <w:tcW w:w="2126" w:type="dxa"/>
          </w:tcPr>
          <w:p w14:paraId="58F9D3F0" w14:textId="77777777" w:rsidR="00B16F49" w:rsidRPr="00F562A8" w:rsidRDefault="00B16F49" w:rsidP="000834DD">
            <w:pPr>
              <w:spacing w:line="276" w:lineRule="auto"/>
              <w:contextualSpacing/>
              <w:jc w:val="center"/>
              <w:rPr>
                <w:rFonts w:ascii="Times New Roman" w:hAnsi="Times New Roman" w:cs="Times New Roman"/>
              </w:rPr>
            </w:pPr>
            <w:r w:rsidRPr="00DC0E74">
              <w:rPr>
                <w:rFonts w:ascii="Times New Roman" w:hAnsi="Times New Roman" w:cs="Times New Roman"/>
                <w:sz w:val="22"/>
                <w:szCs w:val="22"/>
              </w:rPr>
              <w:t>Электронный</w:t>
            </w:r>
          </w:p>
        </w:tc>
      </w:tr>
      <w:tr w:rsidR="00B16F49" w:rsidRPr="00F562A8" w14:paraId="3B8295C0" w14:textId="77777777" w:rsidTr="000834DD">
        <w:trPr>
          <w:trHeight w:val="20"/>
        </w:trPr>
        <w:tc>
          <w:tcPr>
            <w:tcW w:w="703" w:type="dxa"/>
          </w:tcPr>
          <w:p w14:paraId="787D8B04" w14:textId="77777777" w:rsidR="00B16F49" w:rsidRPr="00F562A8" w:rsidRDefault="00B16F49" w:rsidP="000834DD">
            <w:pPr>
              <w:pStyle w:val="23"/>
              <w:numPr>
                <w:ilvl w:val="0"/>
                <w:numId w:val="4"/>
              </w:numPr>
              <w:spacing w:after="0"/>
              <w:ind w:left="0" w:firstLine="33"/>
              <w:contextualSpacing/>
              <w:jc w:val="center"/>
              <w:rPr>
                <w:sz w:val="22"/>
              </w:rPr>
            </w:pPr>
          </w:p>
        </w:tc>
        <w:tc>
          <w:tcPr>
            <w:tcW w:w="4112" w:type="dxa"/>
            <w:vAlign w:val="center"/>
          </w:tcPr>
          <w:p w14:paraId="034B1CDC" w14:textId="77777777" w:rsidR="00B16F49" w:rsidRPr="00DC0E74" w:rsidRDefault="00B16F49" w:rsidP="000834DD">
            <w:pPr>
              <w:spacing w:line="276" w:lineRule="auto"/>
              <w:contextualSpacing/>
              <w:rPr>
                <w:rFonts w:ascii="Times New Roman" w:hAnsi="Times New Roman" w:cs="Times New Roman"/>
                <w:sz w:val="22"/>
                <w:szCs w:val="22"/>
              </w:rPr>
            </w:pPr>
            <w:r>
              <w:rPr>
                <w:rFonts w:ascii="Times New Roman" w:hAnsi="Times New Roman" w:cs="Times New Roman"/>
                <w:sz w:val="22"/>
                <w:szCs w:val="22"/>
              </w:rPr>
              <w:t xml:space="preserve">Торги Российской Федерации </w:t>
            </w:r>
          </w:p>
        </w:tc>
        <w:tc>
          <w:tcPr>
            <w:tcW w:w="2410" w:type="dxa"/>
          </w:tcPr>
          <w:p w14:paraId="739EC676" w14:textId="77777777" w:rsidR="00B16F49" w:rsidRPr="004A4CD2" w:rsidRDefault="00B16F49" w:rsidP="000834DD">
            <w:pPr>
              <w:spacing w:line="276" w:lineRule="auto"/>
              <w:contextualSpacing/>
              <w:jc w:val="center"/>
              <w:rPr>
                <w:rStyle w:val="ad"/>
                <w:rFonts w:ascii="Times New Roman" w:hAnsi="Times New Roman" w:cs="Times New Roman"/>
                <w:sz w:val="22"/>
                <w:szCs w:val="22"/>
              </w:rPr>
            </w:pPr>
            <w:r w:rsidRPr="00F1665F">
              <w:rPr>
                <w:rStyle w:val="ad"/>
                <w:rFonts w:ascii="Times New Roman" w:hAnsi="Times New Roman" w:cs="Times New Roman"/>
                <w:sz w:val="22"/>
                <w:szCs w:val="22"/>
              </w:rPr>
              <w:t>https://torgi.gov.ru/choice.html</w:t>
            </w:r>
          </w:p>
        </w:tc>
        <w:tc>
          <w:tcPr>
            <w:tcW w:w="2126" w:type="dxa"/>
          </w:tcPr>
          <w:p w14:paraId="2D3092F5" w14:textId="77777777" w:rsidR="00B16F49" w:rsidRPr="00F562A8" w:rsidRDefault="00B16F49" w:rsidP="000834DD">
            <w:pPr>
              <w:spacing w:line="276" w:lineRule="auto"/>
              <w:contextualSpacing/>
              <w:jc w:val="center"/>
              <w:rPr>
                <w:rFonts w:ascii="Times New Roman" w:hAnsi="Times New Roman" w:cs="Times New Roman"/>
              </w:rPr>
            </w:pPr>
            <w:r w:rsidRPr="00DC0E74">
              <w:rPr>
                <w:rFonts w:ascii="Times New Roman" w:hAnsi="Times New Roman" w:cs="Times New Roman"/>
                <w:sz w:val="22"/>
                <w:szCs w:val="22"/>
              </w:rPr>
              <w:t>Электронный</w:t>
            </w:r>
          </w:p>
        </w:tc>
      </w:tr>
      <w:tr w:rsidR="00B16F49" w:rsidRPr="00F562A8" w14:paraId="3AA22956" w14:textId="77777777" w:rsidTr="000834DD">
        <w:trPr>
          <w:trHeight w:val="20"/>
        </w:trPr>
        <w:tc>
          <w:tcPr>
            <w:tcW w:w="703" w:type="dxa"/>
          </w:tcPr>
          <w:p w14:paraId="1BB7AAF0" w14:textId="77777777" w:rsidR="00B16F49" w:rsidRPr="00F562A8" w:rsidRDefault="00B16F49" w:rsidP="000834DD">
            <w:pPr>
              <w:pStyle w:val="23"/>
              <w:numPr>
                <w:ilvl w:val="0"/>
                <w:numId w:val="4"/>
              </w:numPr>
              <w:spacing w:after="0"/>
              <w:ind w:left="0" w:firstLine="33"/>
              <w:contextualSpacing/>
              <w:jc w:val="center"/>
              <w:rPr>
                <w:sz w:val="22"/>
              </w:rPr>
            </w:pPr>
          </w:p>
        </w:tc>
        <w:tc>
          <w:tcPr>
            <w:tcW w:w="4112" w:type="dxa"/>
            <w:vAlign w:val="bottom"/>
          </w:tcPr>
          <w:p w14:paraId="702577E6" w14:textId="77777777" w:rsidR="00B16F49" w:rsidRPr="00DC0E74" w:rsidRDefault="00B16F49" w:rsidP="000834DD">
            <w:pPr>
              <w:spacing w:line="276" w:lineRule="auto"/>
              <w:contextualSpacing/>
              <w:rPr>
                <w:rFonts w:ascii="Times New Roman" w:hAnsi="Times New Roman" w:cs="Times New Roman"/>
                <w:sz w:val="22"/>
                <w:szCs w:val="22"/>
              </w:rPr>
            </w:pPr>
            <w:r>
              <w:rPr>
                <w:rFonts w:ascii="Times New Roman" w:hAnsi="Times New Roman" w:cs="Times New Roman"/>
                <w:sz w:val="22"/>
                <w:szCs w:val="22"/>
              </w:rPr>
              <w:t>Объявления в России ЮНИБО</w:t>
            </w:r>
          </w:p>
        </w:tc>
        <w:tc>
          <w:tcPr>
            <w:tcW w:w="2410" w:type="dxa"/>
          </w:tcPr>
          <w:p w14:paraId="6875B407" w14:textId="77777777" w:rsidR="00B16F49" w:rsidRPr="004A4CD2" w:rsidRDefault="00B16F49" w:rsidP="000834DD">
            <w:pPr>
              <w:spacing w:line="276" w:lineRule="auto"/>
              <w:contextualSpacing/>
              <w:jc w:val="center"/>
              <w:rPr>
                <w:rStyle w:val="ad"/>
                <w:rFonts w:ascii="Times New Roman" w:hAnsi="Times New Roman" w:cs="Times New Roman"/>
                <w:sz w:val="22"/>
                <w:szCs w:val="22"/>
              </w:rPr>
            </w:pPr>
            <w:r w:rsidRPr="00F1665F">
              <w:rPr>
                <w:rStyle w:val="ad"/>
                <w:rFonts w:ascii="Times New Roman" w:hAnsi="Times New Roman" w:cs="Times New Roman"/>
                <w:sz w:val="22"/>
                <w:szCs w:val="22"/>
              </w:rPr>
              <w:t>https://unibo.ru/</w:t>
            </w:r>
          </w:p>
        </w:tc>
        <w:tc>
          <w:tcPr>
            <w:tcW w:w="2126" w:type="dxa"/>
          </w:tcPr>
          <w:p w14:paraId="06886BF4" w14:textId="77777777" w:rsidR="00B16F49" w:rsidRPr="00F562A8" w:rsidRDefault="00B16F49" w:rsidP="000834DD">
            <w:pPr>
              <w:spacing w:line="276" w:lineRule="auto"/>
              <w:contextualSpacing/>
              <w:jc w:val="center"/>
              <w:rPr>
                <w:rFonts w:ascii="Times New Roman" w:hAnsi="Times New Roman" w:cs="Times New Roman"/>
              </w:rPr>
            </w:pPr>
            <w:r w:rsidRPr="00DC0E74">
              <w:rPr>
                <w:rFonts w:ascii="Times New Roman" w:hAnsi="Times New Roman" w:cs="Times New Roman"/>
                <w:sz w:val="22"/>
                <w:szCs w:val="22"/>
              </w:rPr>
              <w:t>Электронный</w:t>
            </w:r>
          </w:p>
        </w:tc>
      </w:tr>
      <w:tr w:rsidR="00B16F49" w:rsidRPr="00F562A8" w14:paraId="2CCC3104" w14:textId="77777777" w:rsidTr="000834DD">
        <w:trPr>
          <w:trHeight w:val="20"/>
        </w:trPr>
        <w:tc>
          <w:tcPr>
            <w:tcW w:w="703" w:type="dxa"/>
          </w:tcPr>
          <w:p w14:paraId="7A189CD5" w14:textId="77777777" w:rsidR="00B16F49" w:rsidRPr="00F562A8" w:rsidRDefault="00B16F49" w:rsidP="000834DD">
            <w:pPr>
              <w:pStyle w:val="23"/>
              <w:numPr>
                <w:ilvl w:val="0"/>
                <w:numId w:val="4"/>
              </w:numPr>
              <w:spacing w:after="0"/>
              <w:ind w:left="0" w:firstLine="33"/>
              <w:contextualSpacing/>
              <w:jc w:val="center"/>
              <w:rPr>
                <w:sz w:val="22"/>
              </w:rPr>
            </w:pPr>
          </w:p>
        </w:tc>
        <w:tc>
          <w:tcPr>
            <w:tcW w:w="4112" w:type="dxa"/>
            <w:vAlign w:val="bottom"/>
          </w:tcPr>
          <w:p w14:paraId="1D459A5B" w14:textId="77777777" w:rsidR="00B16F49" w:rsidRPr="00DC0E74" w:rsidRDefault="00B16F49" w:rsidP="000834DD">
            <w:pPr>
              <w:spacing w:line="276" w:lineRule="auto"/>
              <w:contextualSpacing/>
              <w:rPr>
                <w:rFonts w:ascii="Times New Roman" w:hAnsi="Times New Roman" w:cs="Times New Roman"/>
                <w:sz w:val="22"/>
                <w:szCs w:val="22"/>
              </w:rPr>
            </w:pPr>
            <w:r>
              <w:rPr>
                <w:rFonts w:ascii="Times New Roman" w:hAnsi="Times New Roman" w:cs="Times New Roman"/>
                <w:sz w:val="22"/>
                <w:szCs w:val="22"/>
              </w:rPr>
              <w:t xml:space="preserve">Строительная компания Выбор </w:t>
            </w:r>
          </w:p>
        </w:tc>
        <w:tc>
          <w:tcPr>
            <w:tcW w:w="2410" w:type="dxa"/>
            <w:vAlign w:val="center"/>
          </w:tcPr>
          <w:p w14:paraId="123F5C05" w14:textId="77777777" w:rsidR="00B16F49" w:rsidRPr="004A4CD2" w:rsidRDefault="00B16F49" w:rsidP="000834DD">
            <w:pPr>
              <w:spacing w:line="276" w:lineRule="auto"/>
              <w:contextualSpacing/>
              <w:jc w:val="center"/>
              <w:rPr>
                <w:rStyle w:val="ad"/>
                <w:rFonts w:ascii="Times New Roman" w:hAnsi="Times New Roman" w:cs="Times New Roman"/>
                <w:sz w:val="22"/>
                <w:szCs w:val="22"/>
              </w:rPr>
            </w:pPr>
            <w:r w:rsidRPr="00F1665F">
              <w:rPr>
                <w:rStyle w:val="ad"/>
                <w:rFonts w:ascii="Times New Roman" w:hAnsi="Times New Roman" w:cs="Times New Roman"/>
                <w:sz w:val="22"/>
                <w:szCs w:val="22"/>
              </w:rPr>
              <w:t>https://vyborstroi.ru/</w:t>
            </w:r>
          </w:p>
        </w:tc>
        <w:tc>
          <w:tcPr>
            <w:tcW w:w="2126" w:type="dxa"/>
            <w:vAlign w:val="center"/>
          </w:tcPr>
          <w:p w14:paraId="23B9DFD2" w14:textId="77777777" w:rsidR="00B16F49" w:rsidRPr="00F562A8" w:rsidRDefault="00B16F49" w:rsidP="000834DD">
            <w:pPr>
              <w:spacing w:line="276" w:lineRule="auto"/>
              <w:contextualSpacing/>
              <w:jc w:val="center"/>
              <w:rPr>
                <w:rFonts w:ascii="Times New Roman" w:hAnsi="Times New Roman" w:cs="Times New Roman"/>
              </w:rPr>
            </w:pPr>
            <w:r w:rsidRPr="00DC0E74">
              <w:rPr>
                <w:rFonts w:ascii="Times New Roman" w:hAnsi="Times New Roman" w:cs="Times New Roman"/>
                <w:sz w:val="22"/>
                <w:szCs w:val="22"/>
              </w:rPr>
              <w:t>Электронный</w:t>
            </w:r>
          </w:p>
        </w:tc>
      </w:tr>
      <w:tr w:rsidR="00B16F49" w:rsidRPr="00F562A8" w14:paraId="51EF07A6" w14:textId="77777777" w:rsidTr="000834DD">
        <w:trPr>
          <w:trHeight w:val="138"/>
        </w:trPr>
        <w:tc>
          <w:tcPr>
            <w:tcW w:w="703" w:type="dxa"/>
          </w:tcPr>
          <w:p w14:paraId="308122FF" w14:textId="77777777" w:rsidR="00B16F49" w:rsidRPr="00F562A8" w:rsidRDefault="00B16F49" w:rsidP="000834DD">
            <w:pPr>
              <w:pStyle w:val="23"/>
              <w:numPr>
                <w:ilvl w:val="0"/>
                <w:numId w:val="4"/>
              </w:numPr>
              <w:spacing w:after="0"/>
              <w:ind w:left="0" w:firstLine="33"/>
              <w:contextualSpacing/>
              <w:jc w:val="center"/>
              <w:rPr>
                <w:sz w:val="22"/>
              </w:rPr>
            </w:pPr>
          </w:p>
        </w:tc>
        <w:tc>
          <w:tcPr>
            <w:tcW w:w="4112" w:type="dxa"/>
            <w:vAlign w:val="bottom"/>
          </w:tcPr>
          <w:p w14:paraId="6528617B" w14:textId="77777777" w:rsidR="00B16F49" w:rsidRPr="00DC0E74" w:rsidRDefault="00B16F49" w:rsidP="000834DD">
            <w:pPr>
              <w:spacing w:line="276" w:lineRule="auto"/>
              <w:contextualSpacing/>
              <w:rPr>
                <w:rFonts w:ascii="Times New Roman" w:hAnsi="Times New Roman" w:cs="Times New Roman"/>
                <w:sz w:val="22"/>
                <w:szCs w:val="22"/>
              </w:rPr>
            </w:pPr>
            <w:r>
              <w:rPr>
                <w:rFonts w:ascii="Times New Roman" w:hAnsi="Times New Roman" w:cs="Times New Roman"/>
                <w:sz w:val="22"/>
                <w:szCs w:val="22"/>
              </w:rPr>
              <w:t>Портал объявлений Акула</w:t>
            </w:r>
          </w:p>
        </w:tc>
        <w:tc>
          <w:tcPr>
            <w:tcW w:w="2410" w:type="dxa"/>
          </w:tcPr>
          <w:p w14:paraId="5930AB83" w14:textId="77777777" w:rsidR="00B16F49" w:rsidRPr="004A4CD2" w:rsidRDefault="00B16F49" w:rsidP="000834DD">
            <w:pPr>
              <w:spacing w:line="276" w:lineRule="auto"/>
              <w:contextualSpacing/>
              <w:jc w:val="center"/>
              <w:rPr>
                <w:rStyle w:val="ad"/>
                <w:rFonts w:ascii="Times New Roman" w:hAnsi="Times New Roman" w:cs="Times New Roman"/>
                <w:sz w:val="22"/>
                <w:szCs w:val="22"/>
              </w:rPr>
            </w:pPr>
            <w:r w:rsidRPr="00F1665F">
              <w:rPr>
                <w:rStyle w:val="ad"/>
                <w:rFonts w:ascii="Times New Roman" w:hAnsi="Times New Roman" w:cs="Times New Roman"/>
                <w:sz w:val="22"/>
                <w:szCs w:val="22"/>
              </w:rPr>
              <w:t>https://www.akula.com/</w:t>
            </w:r>
          </w:p>
        </w:tc>
        <w:tc>
          <w:tcPr>
            <w:tcW w:w="2126" w:type="dxa"/>
          </w:tcPr>
          <w:p w14:paraId="3B3095C9" w14:textId="77777777" w:rsidR="00B16F49" w:rsidRPr="00F562A8" w:rsidRDefault="00B16F49" w:rsidP="000834DD">
            <w:pPr>
              <w:spacing w:line="276" w:lineRule="auto"/>
              <w:contextualSpacing/>
              <w:jc w:val="center"/>
              <w:rPr>
                <w:rFonts w:ascii="Times New Roman" w:hAnsi="Times New Roman" w:cs="Times New Roman"/>
              </w:rPr>
            </w:pPr>
            <w:r w:rsidRPr="00DC0E74">
              <w:rPr>
                <w:rFonts w:ascii="Times New Roman" w:hAnsi="Times New Roman" w:cs="Times New Roman"/>
                <w:sz w:val="22"/>
                <w:szCs w:val="22"/>
              </w:rPr>
              <w:t>Электронный</w:t>
            </w:r>
          </w:p>
        </w:tc>
      </w:tr>
      <w:tr w:rsidR="00B16F49" w:rsidRPr="00F562A8" w14:paraId="052AF36A" w14:textId="77777777" w:rsidTr="000834DD">
        <w:trPr>
          <w:trHeight w:val="20"/>
        </w:trPr>
        <w:tc>
          <w:tcPr>
            <w:tcW w:w="703" w:type="dxa"/>
          </w:tcPr>
          <w:p w14:paraId="5A055E05" w14:textId="77777777" w:rsidR="00B16F49" w:rsidRPr="00F562A8" w:rsidRDefault="00B16F49" w:rsidP="000834DD">
            <w:pPr>
              <w:pStyle w:val="23"/>
              <w:numPr>
                <w:ilvl w:val="0"/>
                <w:numId w:val="4"/>
              </w:numPr>
              <w:spacing w:after="0"/>
              <w:ind w:left="0" w:firstLine="33"/>
              <w:contextualSpacing/>
              <w:jc w:val="center"/>
              <w:rPr>
                <w:sz w:val="22"/>
              </w:rPr>
            </w:pPr>
          </w:p>
        </w:tc>
        <w:tc>
          <w:tcPr>
            <w:tcW w:w="4112" w:type="dxa"/>
            <w:vAlign w:val="bottom"/>
          </w:tcPr>
          <w:p w14:paraId="1AF4C32E" w14:textId="77777777" w:rsidR="00B16F49" w:rsidRPr="00DC0E74" w:rsidRDefault="00B16F49" w:rsidP="000834DD">
            <w:pPr>
              <w:spacing w:line="276" w:lineRule="auto"/>
              <w:contextualSpacing/>
              <w:rPr>
                <w:rFonts w:ascii="Times New Roman" w:hAnsi="Times New Roman" w:cs="Times New Roman"/>
                <w:sz w:val="22"/>
                <w:szCs w:val="22"/>
              </w:rPr>
            </w:pPr>
            <w:r>
              <w:rPr>
                <w:rFonts w:ascii="Times New Roman" w:hAnsi="Times New Roman" w:cs="Times New Roman"/>
                <w:sz w:val="22"/>
                <w:szCs w:val="22"/>
              </w:rPr>
              <w:t>Агенство регионального развития</w:t>
            </w:r>
          </w:p>
        </w:tc>
        <w:tc>
          <w:tcPr>
            <w:tcW w:w="2410" w:type="dxa"/>
          </w:tcPr>
          <w:p w14:paraId="3AF07BA0" w14:textId="77777777" w:rsidR="00B16F49" w:rsidRPr="004A4CD2" w:rsidRDefault="00B16F49" w:rsidP="000834DD">
            <w:pPr>
              <w:spacing w:line="276" w:lineRule="auto"/>
              <w:contextualSpacing/>
              <w:jc w:val="center"/>
              <w:rPr>
                <w:rStyle w:val="ad"/>
                <w:rFonts w:ascii="Times New Roman" w:hAnsi="Times New Roman" w:cs="Times New Roman"/>
                <w:sz w:val="22"/>
                <w:szCs w:val="22"/>
              </w:rPr>
            </w:pPr>
            <w:r w:rsidRPr="00F1665F">
              <w:rPr>
                <w:rStyle w:val="ad"/>
                <w:rFonts w:ascii="Times New Roman" w:hAnsi="Times New Roman" w:cs="Times New Roman"/>
                <w:sz w:val="22"/>
                <w:szCs w:val="22"/>
              </w:rPr>
              <w:t>https://arrpro.ru/</w:t>
            </w:r>
          </w:p>
        </w:tc>
        <w:tc>
          <w:tcPr>
            <w:tcW w:w="2126" w:type="dxa"/>
          </w:tcPr>
          <w:p w14:paraId="36C380A4" w14:textId="77777777" w:rsidR="00B16F49" w:rsidRPr="00F562A8" w:rsidRDefault="00B16F49" w:rsidP="000834DD">
            <w:pPr>
              <w:spacing w:line="276" w:lineRule="auto"/>
              <w:contextualSpacing/>
              <w:jc w:val="center"/>
              <w:rPr>
                <w:rFonts w:ascii="Times New Roman" w:hAnsi="Times New Roman" w:cs="Times New Roman"/>
              </w:rPr>
            </w:pPr>
            <w:r w:rsidRPr="00DC0E74">
              <w:rPr>
                <w:rFonts w:ascii="Times New Roman" w:hAnsi="Times New Roman" w:cs="Times New Roman"/>
                <w:sz w:val="22"/>
                <w:szCs w:val="22"/>
              </w:rPr>
              <w:t>Электронный</w:t>
            </w:r>
          </w:p>
        </w:tc>
      </w:tr>
      <w:tr w:rsidR="00B16F49" w:rsidRPr="00F562A8" w14:paraId="56233D94" w14:textId="77777777" w:rsidTr="000834DD">
        <w:trPr>
          <w:trHeight w:val="20"/>
        </w:trPr>
        <w:tc>
          <w:tcPr>
            <w:tcW w:w="703" w:type="dxa"/>
          </w:tcPr>
          <w:p w14:paraId="5BC8E932" w14:textId="77777777" w:rsidR="00B16F49" w:rsidRPr="00F562A8" w:rsidRDefault="00B16F49" w:rsidP="000834DD">
            <w:pPr>
              <w:pStyle w:val="23"/>
              <w:numPr>
                <w:ilvl w:val="0"/>
                <w:numId w:val="4"/>
              </w:numPr>
              <w:spacing w:after="0"/>
              <w:ind w:left="0" w:firstLine="33"/>
              <w:contextualSpacing/>
              <w:jc w:val="center"/>
              <w:rPr>
                <w:sz w:val="22"/>
              </w:rPr>
            </w:pPr>
          </w:p>
        </w:tc>
        <w:tc>
          <w:tcPr>
            <w:tcW w:w="4112" w:type="dxa"/>
            <w:vAlign w:val="bottom"/>
          </w:tcPr>
          <w:p w14:paraId="45A70C23" w14:textId="77777777" w:rsidR="00B16F49" w:rsidRPr="00DC0E74" w:rsidRDefault="00B16F49" w:rsidP="000834DD">
            <w:pPr>
              <w:spacing w:line="276" w:lineRule="auto"/>
              <w:contextualSpacing/>
              <w:rPr>
                <w:rFonts w:ascii="Times New Roman" w:hAnsi="Times New Roman" w:cs="Times New Roman"/>
                <w:sz w:val="22"/>
                <w:szCs w:val="22"/>
              </w:rPr>
            </w:pPr>
            <w:r>
              <w:rPr>
                <w:rFonts w:ascii="Times New Roman" w:hAnsi="Times New Roman" w:cs="Times New Roman"/>
                <w:sz w:val="22"/>
                <w:szCs w:val="22"/>
              </w:rPr>
              <w:t xml:space="preserve">Недвижимость от собственников и агенств </w:t>
            </w:r>
            <w:r w:rsidRPr="00DC0E74">
              <w:rPr>
                <w:rFonts w:ascii="Times New Roman" w:hAnsi="Times New Roman" w:cs="Times New Roman"/>
                <w:sz w:val="22"/>
                <w:szCs w:val="22"/>
              </w:rPr>
              <w:t>realtymag</w:t>
            </w:r>
          </w:p>
        </w:tc>
        <w:tc>
          <w:tcPr>
            <w:tcW w:w="2410" w:type="dxa"/>
          </w:tcPr>
          <w:p w14:paraId="348986EA" w14:textId="77777777" w:rsidR="00B16F49" w:rsidRPr="00F1665F" w:rsidRDefault="00B16F49" w:rsidP="000834DD">
            <w:pPr>
              <w:spacing w:line="276" w:lineRule="auto"/>
              <w:contextualSpacing/>
              <w:jc w:val="center"/>
              <w:rPr>
                <w:rStyle w:val="ad"/>
                <w:rFonts w:ascii="Times New Roman" w:hAnsi="Times New Roman" w:cs="Times New Roman"/>
                <w:sz w:val="22"/>
                <w:szCs w:val="22"/>
              </w:rPr>
            </w:pPr>
            <w:r w:rsidRPr="00F1665F">
              <w:rPr>
                <w:rStyle w:val="ad"/>
                <w:rFonts w:ascii="Times New Roman" w:hAnsi="Times New Roman" w:cs="Times New Roman"/>
                <w:sz w:val="22"/>
                <w:szCs w:val="22"/>
              </w:rPr>
              <w:t>https://www.realtymag.ru/</w:t>
            </w:r>
          </w:p>
        </w:tc>
        <w:tc>
          <w:tcPr>
            <w:tcW w:w="2126" w:type="dxa"/>
            <w:vAlign w:val="center"/>
          </w:tcPr>
          <w:p w14:paraId="1B097D93" w14:textId="77777777" w:rsidR="00B16F49" w:rsidRPr="00F562A8" w:rsidRDefault="00B16F49" w:rsidP="000834DD">
            <w:pPr>
              <w:spacing w:line="276" w:lineRule="auto"/>
              <w:contextualSpacing/>
              <w:jc w:val="center"/>
              <w:rPr>
                <w:rFonts w:ascii="Times New Roman" w:hAnsi="Times New Roman" w:cs="Times New Roman"/>
              </w:rPr>
            </w:pPr>
            <w:r w:rsidRPr="00DC0E74">
              <w:rPr>
                <w:rFonts w:ascii="Times New Roman" w:hAnsi="Times New Roman" w:cs="Times New Roman"/>
                <w:sz w:val="22"/>
                <w:szCs w:val="22"/>
              </w:rPr>
              <w:t>Электронный</w:t>
            </w:r>
          </w:p>
        </w:tc>
      </w:tr>
      <w:tr w:rsidR="00B16F49" w:rsidRPr="00F562A8" w14:paraId="531FB608" w14:textId="77777777" w:rsidTr="000834DD">
        <w:trPr>
          <w:trHeight w:val="20"/>
        </w:trPr>
        <w:tc>
          <w:tcPr>
            <w:tcW w:w="9351" w:type="dxa"/>
            <w:gridSpan w:val="4"/>
          </w:tcPr>
          <w:p w14:paraId="20FE340E" w14:textId="77777777" w:rsidR="00B16F49" w:rsidRPr="00F562A8" w:rsidRDefault="00B16F49" w:rsidP="000834DD">
            <w:pPr>
              <w:spacing w:line="276" w:lineRule="auto"/>
              <w:contextualSpacing/>
              <w:jc w:val="center"/>
              <w:rPr>
                <w:rFonts w:ascii="Times New Roman" w:hAnsi="Times New Roman" w:cs="Times New Roman"/>
                <w:b/>
                <w:sz w:val="22"/>
                <w:szCs w:val="22"/>
              </w:rPr>
            </w:pPr>
            <w:r w:rsidRPr="00F562A8">
              <w:rPr>
                <w:rFonts w:ascii="Times New Roman" w:hAnsi="Times New Roman" w:cs="Times New Roman"/>
                <w:b/>
                <w:sz w:val="22"/>
                <w:szCs w:val="22"/>
              </w:rPr>
              <w:t>Агентства недвижимости</w:t>
            </w:r>
          </w:p>
        </w:tc>
      </w:tr>
      <w:tr w:rsidR="00B16F49" w:rsidRPr="00F562A8" w14:paraId="51D7B6DC" w14:textId="77777777" w:rsidTr="000834DD">
        <w:trPr>
          <w:trHeight w:val="20"/>
        </w:trPr>
        <w:tc>
          <w:tcPr>
            <w:tcW w:w="703" w:type="dxa"/>
          </w:tcPr>
          <w:p w14:paraId="02972C8C" w14:textId="77777777" w:rsidR="00B16F49" w:rsidRPr="00F562A8" w:rsidRDefault="00B16F49" w:rsidP="000834DD">
            <w:pPr>
              <w:pStyle w:val="23"/>
              <w:numPr>
                <w:ilvl w:val="0"/>
                <w:numId w:val="4"/>
              </w:numPr>
              <w:spacing w:after="0"/>
              <w:ind w:left="33" w:hanging="33"/>
              <w:contextualSpacing/>
              <w:jc w:val="center"/>
              <w:rPr>
                <w:sz w:val="22"/>
                <w:szCs w:val="22"/>
              </w:rPr>
            </w:pPr>
          </w:p>
        </w:tc>
        <w:tc>
          <w:tcPr>
            <w:tcW w:w="4112" w:type="dxa"/>
          </w:tcPr>
          <w:p w14:paraId="7C94AFF4"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Риэлтерское агентство недвижимости ООО «Недвижимость и кредит»</w:t>
            </w:r>
          </w:p>
        </w:tc>
        <w:tc>
          <w:tcPr>
            <w:tcW w:w="2410" w:type="dxa"/>
          </w:tcPr>
          <w:p w14:paraId="6F2F0D37" w14:textId="77777777" w:rsidR="00B16F49" w:rsidRPr="00F562A8" w:rsidRDefault="00FF7453" w:rsidP="000834DD">
            <w:pPr>
              <w:spacing w:line="276" w:lineRule="auto"/>
              <w:contextualSpacing/>
              <w:jc w:val="center"/>
              <w:rPr>
                <w:rFonts w:ascii="Times New Roman" w:hAnsi="Times New Roman" w:cs="Times New Roman"/>
                <w:sz w:val="22"/>
                <w:szCs w:val="22"/>
              </w:rPr>
            </w:pPr>
            <w:hyperlink r:id="rId39" w:history="1">
              <w:r w:rsidR="00B16F49" w:rsidRPr="00F562A8">
                <w:rPr>
                  <w:rStyle w:val="ad"/>
                  <w:rFonts w:ascii="Times New Roman" w:hAnsi="Times New Roman" w:cs="Times New Roman"/>
                  <w:sz w:val="22"/>
                  <w:szCs w:val="22"/>
                </w:rPr>
                <w:t>https://nikvrn.ru/</w:t>
              </w:r>
            </w:hyperlink>
          </w:p>
        </w:tc>
        <w:tc>
          <w:tcPr>
            <w:tcW w:w="2126" w:type="dxa"/>
            <w:vAlign w:val="center"/>
          </w:tcPr>
          <w:p w14:paraId="7B1AE532"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6549510A" w14:textId="77777777" w:rsidTr="000834DD">
        <w:trPr>
          <w:trHeight w:val="20"/>
        </w:trPr>
        <w:tc>
          <w:tcPr>
            <w:tcW w:w="703" w:type="dxa"/>
          </w:tcPr>
          <w:p w14:paraId="5B8EEDF6" w14:textId="77777777" w:rsidR="00B16F49" w:rsidRPr="00F562A8" w:rsidRDefault="00B16F49" w:rsidP="000834DD">
            <w:pPr>
              <w:pStyle w:val="23"/>
              <w:numPr>
                <w:ilvl w:val="0"/>
                <w:numId w:val="4"/>
              </w:numPr>
              <w:spacing w:after="0"/>
              <w:ind w:left="33" w:hanging="33"/>
              <w:contextualSpacing/>
              <w:jc w:val="center"/>
              <w:rPr>
                <w:sz w:val="22"/>
                <w:szCs w:val="22"/>
              </w:rPr>
            </w:pPr>
          </w:p>
        </w:tc>
        <w:tc>
          <w:tcPr>
            <w:tcW w:w="4112" w:type="dxa"/>
          </w:tcPr>
          <w:p w14:paraId="154BE09E"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lang w:val="en-US"/>
              </w:rPr>
              <w:t>Statrielt</w:t>
            </w:r>
            <w:r w:rsidRPr="00F562A8">
              <w:rPr>
                <w:rFonts w:ascii="Times New Roman" w:hAnsi="Times New Roman" w:cs="Times New Roman"/>
                <w:sz w:val="22"/>
                <w:szCs w:val="22"/>
              </w:rPr>
              <w:t>- Ассоциация развития рынка недвижимости</w:t>
            </w:r>
          </w:p>
        </w:tc>
        <w:tc>
          <w:tcPr>
            <w:tcW w:w="2410" w:type="dxa"/>
          </w:tcPr>
          <w:p w14:paraId="1AF4D69B" w14:textId="77777777" w:rsidR="00B16F49" w:rsidRPr="00F562A8" w:rsidRDefault="00FF7453" w:rsidP="000834DD">
            <w:pPr>
              <w:spacing w:line="276" w:lineRule="auto"/>
              <w:contextualSpacing/>
              <w:jc w:val="center"/>
              <w:rPr>
                <w:rStyle w:val="ad"/>
                <w:rFonts w:ascii="Times New Roman" w:hAnsi="Times New Roman" w:cs="Times New Roman"/>
                <w:sz w:val="22"/>
                <w:szCs w:val="22"/>
              </w:rPr>
            </w:pPr>
            <w:hyperlink r:id="rId40" w:history="1">
              <w:r w:rsidR="00B16F49" w:rsidRPr="00F562A8">
                <w:rPr>
                  <w:rStyle w:val="ad"/>
                  <w:rFonts w:ascii="Times New Roman" w:hAnsi="Times New Roman" w:cs="Times New Roman"/>
                  <w:sz w:val="22"/>
                  <w:szCs w:val="22"/>
                </w:rPr>
                <w:t>https://statrielt.ru/</w:t>
              </w:r>
            </w:hyperlink>
          </w:p>
        </w:tc>
        <w:tc>
          <w:tcPr>
            <w:tcW w:w="2126" w:type="dxa"/>
            <w:vAlign w:val="center"/>
          </w:tcPr>
          <w:p w14:paraId="3DD9BD8B"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6F4B037A" w14:textId="77777777" w:rsidTr="000834DD">
        <w:trPr>
          <w:trHeight w:val="20"/>
        </w:trPr>
        <w:tc>
          <w:tcPr>
            <w:tcW w:w="703" w:type="dxa"/>
          </w:tcPr>
          <w:p w14:paraId="48B6DAC7" w14:textId="77777777" w:rsidR="00B16F49" w:rsidRPr="00F562A8" w:rsidRDefault="00B16F49" w:rsidP="000834DD">
            <w:pPr>
              <w:pStyle w:val="23"/>
              <w:numPr>
                <w:ilvl w:val="0"/>
                <w:numId w:val="4"/>
              </w:numPr>
              <w:spacing w:after="0"/>
              <w:ind w:left="33" w:hanging="33"/>
              <w:contextualSpacing/>
              <w:jc w:val="center"/>
              <w:rPr>
                <w:sz w:val="22"/>
                <w:szCs w:val="22"/>
              </w:rPr>
            </w:pPr>
          </w:p>
        </w:tc>
        <w:tc>
          <w:tcPr>
            <w:tcW w:w="4112" w:type="dxa"/>
          </w:tcPr>
          <w:p w14:paraId="29F3DE95"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«Сота»- служба недвижимости</w:t>
            </w:r>
          </w:p>
        </w:tc>
        <w:tc>
          <w:tcPr>
            <w:tcW w:w="2410" w:type="dxa"/>
          </w:tcPr>
          <w:p w14:paraId="0BAECF40" w14:textId="77777777" w:rsidR="00B16F49" w:rsidRPr="00F562A8" w:rsidRDefault="00FF7453" w:rsidP="000834DD">
            <w:pPr>
              <w:spacing w:line="276" w:lineRule="auto"/>
              <w:contextualSpacing/>
              <w:jc w:val="center"/>
              <w:rPr>
                <w:rFonts w:ascii="Times New Roman" w:hAnsi="Times New Roman" w:cs="Times New Roman"/>
                <w:sz w:val="22"/>
                <w:szCs w:val="22"/>
              </w:rPr>
            </w:pPr>
            <w:hyperlink r:id="rId41" w:history="1">
              <w:r w:rsidR="00B16F49" w:rsidRPr="00F562A8">
                <w:rPr>
                  <w:rStyle w:val="ad"/>
                  <w:rFonts w:ascii="Times New Roman" w:hAnsi="Times New Roman" w:cs="Times New Roman"/>
                  <w:sz w:val="22"/>
                  <w:szCs w:val="22"/>
                </w:rPr>
                <w:t>https://ksota.ru/</w:t>
              </w:r>
            </w:hyperlink>
          </w:p>
        </w:tc>
        <w:tc>
          <w:tcPr>
            <w:tcW w:w="2126" w:type="dxa"/>
            <w:vAlign w:val="center"/>
          </w:tcPr>
          <w:p w14:paraId="4C518AEA"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0121DACD" w14:textId="77777777" w:rsidTr="000834DD">
        <w:trPr>
          <w:trHeight w:val="20"/>
        </w:trPr>
        <w:tc>
          <w:tcPr>
            <w:tcW w:w="703" w:type="dxa"/>
          </w:tcPr>
          <w:p w14:paraId="2BD162AC" w14:textId="77777777" w:rsidR="00B16F49" w:rsidRPr="00F562A8" w:rsidRDefault="00B16F49" w:rsidP="000834DD">
            <w:pPr>
              <w:pStyle w:val="23"/>
              <w:numPr>
                <w:ilvl w:val="0"/>
                <w:numId w:val="4"/>
              </w:numPr>
              <w:spacing w:after="0"/>
              <w:ind w:left="33" w:hanging="33"/>
              <w:contextualSpacing/>
              <w:jc w:val="center"/>
              <w:rPr>
                <w:sz w:val="22"/>
                <w:szCs w:val="22"/>
              </w:rPr>
            </w:pPr>
          </w:p>
        </w:tc>
        <w:tc>
          <w:tcPr>
            <w:tcW w:w="4112" w:type="dxa"/>
          </w:tcPr>
          <w:p w14:paraId="1AC323FF"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Агентство недвижимости «Цитадель»</w:t>
            </w:r>
          </w:p>
        </w:tc>
        <w:tc>
          <w:tcPr>
            <w:tcW w:w="2410" w:type="dxa"/>
          </w:tcPr>
          <w:p w14:paraId="4B48BA5D" w14:textId="77777777" w:rsidR="00B16F49" w:rsidRPr="00F562A8" w:rsidRDefault="00FF7453" w:rsidP="000834DD">
            <w:pPr>
              <w:spacing w:line="276" w:lineRule="auto"/>
              <w:contextualSpacing/>
              <w:jc w:val="center"/>
              <w:rPr>
                <w:rFonts w:ascii="Times New Roman" w:hAnsi="Times New Roman" w:cs="Times New Roman"/>
                <w:sz w:val="22"/>
                <w:szCs w:val="22"/>
              </w:rPr>
            </w:pPr>
            <w:hyperlink r:id="rId42" w:history="1">
              <w:r w:rsidR="00B16F49" w:rsidRPr="00F562A8">
                <w:rPr>
                  <w:rStyle w:val="ad"/>
                  <w:rFonts w:ascii="Times New Roman" w:hAnsi="Times New Roman" w:cs="Times New Roman"/>
                  <w:sz w:val="22"/>
                  <w:szCs w:val="22"/>
                </w:rPr>
                <w:t>http://citadel-vrn.ru/</w:t>
              </w:r>
            </w:hyperlink>
          </w:p>
        </w:tc>
        <w:tc>
          <w:tcPr>
            <w:tcW w:w="2126" w:type="dxa"/>
            <w:vAlign w:val="center"/>
          </w:tcPr>
          <w:p w14:paraId="40225BA0"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12FCC8E5" w14:textId="77777777" w:rsidTr="000834DD">
        <w:trPr>
          <w:trHeight w:val="20"/>
        </w:trPr>
        <w:tc>
          <w:tcPr>
            <w:tcW w:w="703" w:type="dxa"/>
          </w:tcPr>
          <w:p w14:paraId="0AD39D81" w14:textId="77777777" w:rsidR="00B16F49" w:rsidRPr="00F562A8" w:rsidRDefault="00B16F49" w:rsidP="000834DD">
            <w:pPr>
              <w:pStyle w:val="23"/>
              <w:numPr>
                <w:ilvl w:val="0"/>
                <w:numId w:val="4"/>
              </w:numPr>
              <w:spacing w:after="0"/>
              <w:ind w:left="33" w:hanging="33"/>
              <w:contextualSpacing/>
              <w:jc w:val="center"/>
              <w:rPr>
                <w:sz w:val="22"/>
                <w:szCs w:val="22"/>
              </w:rPr>
            </w:pPr>
          </w:p>
        </w:tc>
        <w:tc>
          <w:tcPr>
            <w:tcW w:w="4112" w:type="dxa"/>
          </w:tcPr>
          <w:p w14:paraId="734E05B9"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Агентство недвижимости «Аврора»</w:t>
            </w:r>
          </w:p>
        </w:tc>
        <w:tc>
          <w:tcPr>
            <w:tcW w:w="2410" w:type="dxa"/>
          </w:tcPr>
          <w:p w14:paraId="133E87D4" w14:textId="77777777" w:rsidR="00B16F49" w:rsidRPr="00F562A8" w:rsidRDefault="00FF7453" w:rsidP="000834DD">
            <w:pPr>
              <w:spacing w:line="276" w:lineRule="auto"/>
              <w:contextualSpacing/>
              <w:jc w:val="center"/>
              <w:rPr>
                <w:rFonts w:ascii="Times New Roman" w:hAnsi="Times New Roman" w:cs="Times New Roman"/>
                <w:sz w:val="22"/>
                <w:szCs w:val="22"/>
              </w:rPr>
            </w:pPr>
            <w:hyperlink r:id="rId43" w:history="1">
              <w:r w:rsidR="00B16F49" w:rsidRPr="00F562A8">
                <w:rPr>
                  <w:rStyle w:val="ad"/>
                  <w:rFonts w:ascii="Times New Roman" w:hAnsi="Times New Roman" w:cs="Times New Roman"/>
                  <w:sz w:val="22"/>
                  <w:szCs w:val="22"/>
                </w:rPr>
                <w:t>http://www.avroravrn.ru/</w:t>
              </w:r>
            </w:hyperlink>
          </w:p>
        </w:tc>
        <w:tc>
          <w:tcPr>
            <w:tcW w:w="2126" w:type="dxa"/>
            <w:vAlign w:val="center"/>
          </w:tcPr>
          <w:p w14:paraId="60ED8464"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1B4A4168" w14:textId="77777777" w:rsidTr="000834DD">
        <w:trPr>
          <w:trHeight w:val="20"/>
        </w:trPr>
        <w:tc>
          <w:tcPr>
            <w:tcW w:w="703" w:type="dxa"/>
          </w:tcPr>
          <w:p w14:paraId="06B3C77F" w14:textId="77777777" w:rsidR="00B16F49" w:rsidRPr="00F562A8" w:rsidRDefault="00B16F49" w:rsidP="000834DD">
            <w:pPr>
              <w:pStyle w:val="23"/>
              <w:numPr>
                <w:ilvl w:val="0"/>
                <w:numId w:val="4"/>
              </w:numPr>
              <w:spacing w:after="0"/>
              <w:ind w:left="33" w:hanging="33"/>
              <w:contextualSpacing/>
              <w:jc w:val="center"/>
              <w:rPr>
                <w:sz w:val="22"/>
                <w:szCs w:val="22"/>
              </w:rPr>
            </w:pPr>
          </w:p>
        </w:tc>
        <w:tc>
          <w:tcPr>
            <w:tcW w:w="4112" w:type="dxa"/>
          </w:tcPr>
          <w:p w14:paraId="39F8FF7F"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«Трансферт»</w:t>
            </w:r>
          </w:p>
        </w:tc>
        <w:tc>
          <w:tcPr>
            <w:tcW w:w="2410" w:type="dxa"/>
          </w:tcPr>
          <w:p w14:paraId="206E72FF" w14:textId="77777777" w:rsidR="00B16F49" w:rsidRPr="00F562A8" w:rsidRDefault="00FF7453" w:rsidP="000834DD">
            <w:pPr>
              <w:spacing w:line="276" w:lineRule="auto"/>
              <w:contextualSpacing/>
              <w:jc w:val="center"/>
              <w:rPr>
                <w:rFonts w:ascii="Times New Roman" w:hAnsi="Times New Roman" w:cs="Times New Roman"/>
                <w:sz w:val="22"/>
                <w:szCs w:val="22"/>
              </w:rPr>
            </w:pPr>
            <w:hyperlink r:id="rId44" w:history="1">
              <w:r w:rsidR="00B16F49" w:rsidRPr="00F562A8">
                <w:rPr>
                  <w:rStyle w:val="ad"/>
                  <w:rFonts w:ascii="Times New Roman" w:hAnsi="Times New Roman" w:cs="Times New Roman"/>
                  <w:sz w:val="22"/>
                  <w:szCs w:val="22"/>
                </w:rPr>
                <w:t>https://transfert-vrn.ru/</w:t>
              </w:r>
            </w:hyperlink>
          </w:p>
        </w:tc>
        <w:tc>
          <w:tcPr>
            <w:tcW w:w="2126" w:type="dxa"/>
            <w:vAlign w:val="center"/>
          </w:tcPr>
          <w:p w14:paraId="483E5B88"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46581E5E" w14:textId="77777777" w:rsidTr="000834DD">
        <w:trPr>
          <w:trHeight w:val="20"/>
        </w:trPr>
        <w:tc>
          <w:tcPr>
            <w:tcW w:w="703" w:type="dxa"/>
          </w:tcPr>
          <w:p w14:paraId="0ABBF3D3" w14:textId="77777777" w:rsidR="00B16F49" w:rsidRPr="00F562A8" w:rsidRDefault="00B16F49" w:rsidP="000834DD">
            <w:pPr>
              <w:pStyle w:val="23"/>
              <w:numPr>
                <w:ilvl w:val="0"/>
                <w:numId w:val="4"/>
              </w:numPr>
              <w:spacing w:after="0"/>
              <w:ind w:left="33" w:hanging="33"/>
              <w:contextualSpacing/>
              <w:jc w:val="center"/>
              <w:rPr>
                <w:sz w:val="22"/>
                <w:szCs w:val="22"/>
              </w:rPr>
            </w:pPr>
          </w:p>
        </w:tc>
        <w:tc>
          <w:tcPr>
            <w:tcW w:w="4112" w:type="dxa"/>
          </w:tcPr>
          <w:p w14:paraId="67858C3D"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«4 Комнаты»</w:t>
            </w:r>
          </w:p>
        </w:tc>
        <w:tc>
          <w:tcPr>
            <w:tcW w:w="2410" w:type="dxa"/>
          </w:tcPr>
          <w:p w14:paraId="0961EEE8" w14:textId="77777777" w:rsidR="00B16F49" w:rsidRPr="00F562A8" w:rsidRDefault="00FF7453" w:rsidP="000834DD">
            <w:pPr>
              <w:spacing w:line="276" w:lineRule="auto"/>
              <w:contextualSpacing/>
              <w:jc w:val="center"/>
              <w:rPr>
                <w:rFonts w:ascii="Times New Roman" w:hAnsi="Times New Roman" w:cs="Times New Roman"/>
                <w:sz w:val="22"/>
                <w:szCs w:val="22"/>
              </w:rPr>
            </w:pPr>
            <w:hyperlink r:id="rId45" w:history="1">
              <w:r w:rsidR="00B16F49" w:rsidRPr="00F562A8">
                <w:rPr>
                  <w:rStyle w:val="ad"/>
                  <w:rFonts w:ascii="Times New Roman" w:hAnsi="Times New Roman" w:cs="Times New Roman"/>
                  <w:sz w:val="22"/>
                  <w:szCs w:val="22"/>
                </w:rPr>
                <w:t>https://an4k.ru/</w:t>
              </w:r>
            </w:hyperlink>
          </w:p>
        </w:tc>
        <w:tc>
          <w:tcPr>
            <w:tcW w:w="2126" w:type="dxa"/>
            <w:vAlign w:val="center"/>
          </w:tcPr>
          <w:p w14:paraId="0D16FF98"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1F5284F4" w14:textId="77777777" w:rsidTr="000834DD">
        <w:trPr>
          <w:trHeight w:val="20"/>
        </w:trPr>
        <w:tc>
          <w:tcPr>
            <w:tcW w:w="703" w:type="dxa"/>
          </w:tcPr>
          <w:p w14:paraId="3D91E62C" w14:textId="77777777" w:rsidR="00B16F49" w:rsidRPr="00F562A8" w:rsidRDefault="00B16F49" w:rsidP="000834DD">
            <w:pPr>
              <w:pStyle w:val="23"/>
              <w:numPr>
                <w:ilvl w:val="0"/>
                <w:numId w:val="4"/>
              </w:numPr>
              <w:spacing w:after="0"/>
              <w:ind w:left="33" w:hanging="33"/>
              <w:contextualSpacing/>
              <w:jc w:val="center"/>
              <w:rPr>
                <w:sz w:val="22"/>
                <w:szCs w:val="22"/>
              </w:rPr>
            </w:pPr>
          </w:p>
        </w:tc>
        <w:tc>
          <w:tcPr>
            <w:tcW w:w="4112" w:type="dxa"/>
          </w:tcPr>
          <w:p w14:paraId="213800A6" w14:textId="77777777" w:rsidR="00B16F49" w:rsidRPr="00F562A8" w:rsidRDefault="00B16F49" w:rsidP="000834DD">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«Агентство Регионального Развития»</w:t>
            </w:r>
          </w:p>
        </w:tc>
        <w:tc>
          <w:tcPr>
            <w:tcW w:w="2410" w:type="dxa"/>
          </w:tcPr>
          <w:p w14:paraId="7C7DB1E6" w14:textId="77777777" w:rsidR="00B16F49" w:rsidRPr="00F562A8" w:rsidRDefault="00FF7453" w:rsidP="000834DD">
            <w:pPr>
              <w:spacing w:line="276" w:lineRule="auto"/>
              <w:contextualSpacing/>
              <w:jc w:val="center"/>
              <w:rPr>
                <w:rFonts w:ascii="Times New Roman" w:hAnsi="Times New Roman" w:cs="Times New Roman"/>
                <w:sz w:val="22"/>
                <w:szCs w:val="22"/>
              </w:rPr>
            </w:pPr>
            <w:hyperlink r:id="rId46" w:history="1">
              <w:r w:rsidR="00B16F49" w:rsidRPr="00F562A8">
                <w:rPr>
                  <w:rStyle w:val="ad"/>
                  <w:rFonts w:ascii="Times New Roman" w:hAnsi="Times New Roman" w:cs="Times New Roman"/>
                  <w:sz w:val="22"/>
                  <w:szCs w:val="22"/>
                </w:rPr>
                <w:t>https://voronezh.arrpro.ru/</w:t>
              </w:r>
            </w:hyperlink>
          </w:p>
        </w:tc>
        <w:tc>
          <w:tcPr>
            <w:tcW w:w="2126" w:type="dxa"/>
            <w:vAlign w:val="center"/>
          </w:tcPr>
          <w:p w14:paraId="7D1EBD56" w14:textId="77777777" w:rsidR="00B16F49" w:rsidRPr="00F562A8" w:rsidRDefault="00B16F49" w:rsidP="000834DD">
            <w:pPr>
              <w:spacing w:line="276" w:lineRule="auto"/>
              <w:contextualSpacing/>
              <w:jc w:val="center"/>
              <w:rPr>
                <w:rFonts w:ascii="Times New Roman" w:hAnsi="Times New Roman" w:cs="Times New Roman"/>
                <w:sz w:val="22"/>
                <w:szCs w:val="22"/>
              </w:rPr>
            </w:pPr>
            <w:r w:rsidRPr="00F562A8">
              <w:rPr>
                <w:rFonts w:ascii="Times New Roman" w:hAnsi="Times New Roman" w:cs="Times New Roman"/>
                <w:sz w:val="22"/>
                <w:szCs w:val="22"/>
              </w:rPr>
              <w:t>Электронный</w:t>
            </w:r>
          </w:p>
        </w:tc>
      </w:tr>
      <w:tr w:rsidR="00B16F49" w:rsidRPr="00F562A8" w14:paraId="4EE47F2F" w14:textId="77777777" w:rsidTr="000834DD">
        <w:trPr>
          <w:trHeight w:val="20"/>
        </w:trPr>
        <w:tc>
          <w:tcPr>
            <w:tcW w:w="9351" w:type="dxa"/>
            <w:gridSpan w:val="4"/>
          </w:tcPr>
          <w:p w14:paraId="3BC35018" w14:textId="77777777" w:rsidR="00B16F49" w:rsidRPr="00F562A8" w:rsidRDefault="00B16F49" w:rsidP="000834DD">
            <w:pPr>
              <w:spacing w:line="276" w:lineRule="auto"/>
              <w:contextualSpacing/>
              <w:jc w:val="center"/>
              <w:rPr>
                <w:rFonts w:ascii="Times New Roman" w:hAnsi="Times New Roman" w:cs="Times New Roman"/>
              </w:rPr>
            </w:pPr>
            <w:r>
              <w:rPr>
                <w:b/>
                <w:sz w:val="22"/>
                <w:szCs w:val="22"/>
              </w:rPr>
              <w:t>Электронные данные</w:t>
            </w:r>
            <w:r w:rsidRPr="007659B9">
              <w:rPr>
                <w:b/>
                <w:sz w:val="22"/>
                <w:szCs w:val="22"/>
              </w:rPr>
              <w:t xml:space="preserve">, предоставленные </w:t>
            </w:r>
            <w:r>
              <w:rPr>
                <w:b/>
                <w:sz w:val="22"/>
                <w:szCs w:val="22"/>
              </w:rPr>
              <w:t>Росреестром</w:t>
            </w:r>
          </w:p>
        </w:tc>
      </w:tr>
      <w:tr w:rsidR="00B16F49" w:rsidRPr="00F562A8" w14:paraId="0902149B" w14:textId="77777777" w:rsidTr="000834DD">
        <w:trPr>
          <w:trHeight w:val="20"/>
        </w:trPr>
        <w:tc>
          <w:tcPr>
            <w:tcW w:w="703" w:type="dxa"/>
          </w:tcPr>
          <w:p w14:paraId="2EF01F71" w14:textId="77777777" w:rsidR="00B16F49" w:rsidRPr="00F562A8" w:rsidRDefault="00B16F49" w:rsidP="000834DD">
            <w:pPr>
              <w:pStyle w:val="23"/>
              <w:numPr>
                <w:ilvl w:val="0"/>
                <w:numId w:val="4"/>
              </w:numPr>
              <w:spacing w:after="0"/>
              <w:ind w:left="33" w:hanging="33"/>
              <w:contextualSpacing/>
              <w:jc w:val="center"/>
              <w:rPr>
                <w:sz w:val="22"/>
              </w:rPr>
            </w:pPr>
          </w:p>
        </w:tc>
        <w:tc>
          <w:tcPr>
            <w:tcW w:w="4112" w:type="dxa"/>
            <w:vAlign w:val="bottom"/>
          </w:tcPr>
          <w:p w14:paraId="4CF30512" w14:textId="77777777" w:rsidR="00B16F49" w:rsidRPr="005C0801" w:rsidRDefault="00B16F49" w:rsidP="000834DD">
            <w:pPr>
              <w:spacing w:line="276" w:lineRule="auto"/>
              <w:contextualSpacing/>
              <w:rPr>
                <w:rFonts w:ascii="Times New Roman" w:eastAsia="Times New Roman" w:hAnsi="Times New Roman" w:cs="Times New Roman"/>
                <w:kern w:val="3"/>
                <w:sz w:val="22"/>
                <w:szCs w:val="22"/>
                <w:lang w:eastAsia="zh-CN"/>
              </w:rPr>
            </w:pPr>
            <w:r w:rsidRPr="005C0801">
              <w:rPr>
                <w:rFonts w:ascii="Times New Roman" w:eastAsia="Times New Roman" w:hAnsi="Times New Roman" w:cs="Times New Roman"/>
                <w:kern w:val="3"/>
                <w:sz w:val="22"/>
                <w:szCs w:val="22"/>
                <w:lang w:eastAsia="zh-CN"/>
              </w:rPr>
              <w:t>Письмо Управления Росреестра по Воронежской области от 13.04.2020 № 16-5083-ЮТ</w:t>
            </w:r>
          </w:p>
        </w:tc>
        <w:tc>
          <w:tcPr>
            <w:tcW w:w="2410" w:type="dxa"/>
          </w:tcPr>
          <w:p w14:paraId="22166745" w14:textId="77777777" w:rsidR="00B16F49" w:rsidRDefault="00B16F49" w:rsidP="000834DD">
            <w:pPr>
              <w:spacing w:line="276" w:lineRule="auto"/>
              <w:contextualSpacing/>
              <w:jc w:val="center"/>
            </w:pPr>
          </w:p>
        </w:tc>
        <w:tc>
          <w:tcPr>
            <w:tcW w:w="2126" w:type="dxa"/>
            <w:vAlign w:val="center"/>
          </w:tcPr>
          <w:p w14:paraId="508492D7" w14:textId="77777777" w:rsidR="00B16F49" w:rsidRPr="005C0801" w:rsidRDefault="00B16F49" w:rsidP="000834DD">
            <w:pPr>
              <w:pStyle w:val="Standard"/>
              <w:spacing w:line="276" w:lineRule="auto"/>
              <w:rPr>
                <w:sz w:val="22"/>
                <w:szCs w:val="22"/>
              </w:rPr>
            </w:pPr>
            <w:r>
              <w:rPr>
                <w:sz w:val="22"/>
                <w:szCs w:val="22"/>
              </w:rPr>
              <w:t>Э</w:t>
            </w:r>
            <w:r w:rsidRPr="005C0801">
              <w:rPr>
                <w:sz w:val="22"/>
                <w:szCs w:val="22"/>
              </w:rPr>
              <w:t>лектронный</w:t>
            </w:r>
          </w:p>
        </w:tc>
      </w:tr>
      <w:tr w:rsidR="00B16F49" w:rsidRPr="00F562A8" w14:paraId="7A2BEF36" w14:textId="77777777" w:rsidTr="000834DD">
        <w:trPr>
          <w:trHeight w:val="20"/>
        </w:trPr>
        <w:tc>
          <w:tcPr>
            <w:tcW w:w="703" w:type="dxa"/>
          </w:tcPr>
          <w:p w14:paraId="2FDD3143" w14:textId="77777777" w:rsidR="00B16F49" w:rsidRPr="00F562A8" w:rsidRDefault="00B16F49" w:rsidP="000834DD">
            <w:pPr>
              <w:pStyle w:val="23"/>
              <w:numPr>
                <w:ilvl w:val="0"/>
                <w:numId w:val="4"/>
              </w:numPr>
              <w:spacing w:after="0"/>
              <w:ind w:left="33" w:hanging="33"/>
              <w:contextualSpacing/>
              <w:jc w:val="center"/>
              <w:rPr>
                <w:sz w:val="22"/>
              </w:rPr>
            </w:pPr>
          </w:p>
        </w:tc>
        <w:tc>
          <w:tcPr>
            <w:tcW w:w="4112" w:type="dxa"/>
            <w:vAlign w:val="bottom"/>
          </w:tcPr>
          <w:p w14:paraId="53B79E99" w14:textId="77777777" w:rsidR="00B16F49" w:rsidRPr="005C0801" w:rsidRDefault="00B16F49" w:rsidP="000834DD">
            <w:pPr>
              <w:spacing w:line="276" w:lineRule="auto"/>
              <w:contextualSpacing/>
              <w:rPr>
                <w:rFonts w:ascii="Times New Roman" w:eastAsia="Times New Roman" w:hAnsi="Times New Roman" w:cs="Times New Roman"/>
                <w:kern w:val="3"/>
                <w:sz w:val="22"/>
                <w:szCs w:val="22"/>
                <w:lang w:eastAsia="zh-CN"/>
              </w:rPr>
            </w:pPr>
            <w:r w:rsidRPr="005C0801">
              <w:rPr>
                <w:rFonts w:ascii="Times New Roman" w:eastAsia="Times New Roman" w:hAnsi="Times New Roman" w:cs="Times New Roman"/>
                <w:kern w:val="3"/>
                <w:sz w:val="22"/>
                <w:szCs w:val="22"/>
                <w:lang w:eastAsia="zh-CN"/>
              </w:rPr>
              <w:t>Письмо Управления Росреестра по Воронежской области от 20.01.2022 № 16-01009-ЕП/22</w:t>
            </w:r>
          </w:p>
        </w:tc>
        <w:tc>
          <w:tcPr>
            <w:tcW w:w="2410" w:type="dxa"/>
          </w:tcPr>
          <w:p w14:paraId="464C2375" w14:textId="77777777" w:rsidR="00B16F49" w:rsidRDefault="00B16F49" w:rsidP="000834DD">
            <w:pPr>
              <w:spacing w:line="276" w:lineRule="auto"/>
              <w:contextualSpacing/>
              <w:jc w:val="center"/>
            </w:pPr>
          </w:p>
        </w:tc>
        <w:tc>
          <w:tcPr>
            <w:tcW w:w="2126" w:type="dxa"/>
            <w:vAlign w:val="center"/>
          </w:tcPr>
          <w:p w14:paraId="71F90B1B" w14:textId="77777777" w:rsidR="00B16F49" w:rsidRPr="005C0801" w:rsidRDefault="00B16F49" w:rsidP="000834DD">
            <w:pPr>
              <w:pStyle w:val="Standard"/>
              <w:spacing w:line="276" w:lineRule="auto"/>
              <w:rPr>
                <w:sz w:val="22"/>
                <w:szCs w:val="22"/>
              </w:rPr>
            </w:pPr>
            <w:r w:rsidRPr="00715453">
              <w:rPr>
                <w:sz w:val="22"/>
                <w:szCs w:val="22"/>
              </w:rPr>
              <w:t>Электронный</w:t>
            </w:r>
          </w:p>
        </w:tc>
      </w:tr>
      <w:tr w:rsidR="00B16F49" w:rsidRPr="00F562A8" w14:paraId="29CE2CFE" w14:textId="77777777" w:rsidTr="000834DD">
        <w:trPr>
          <w:trHeight w:val="20"/>
        </w:trPr>
        <w:tc>
          <w:tcPr>
            <w:tcW w:w="703" w:type="dxa"/>
          </w:tcPr>
          <w:p w14:paraId="0284D3BF" w14:textId="77777777" w:rsidR="00B16F49" w:rsidRPr="00F562A8" w:rsidRDefault="00B16F49" w:rsidP="000834DD">
            <w:pPr>
              <w:pStyle w:val="23"/>
              <w:numPr>
                <w:ilvl w:val="0"/>
                <w:numId w:val="4"/>
              </w:numPr>
              <w:spacing w:after="0"/>
              <w:ind w:left="33" w:hanging="33"/>
              <w:contextualSpacing/>
              <w:jc w:val="center"/>
              <w:rPr>
                <w:sz w:val="22"/>
              </w:rPr>
            </w:pPr>
          </w:p>
        </w:tc>
        <w:tc>
          <w:tcPr>
            <w:tcW w:w="4112" w:type="dxa"/>
            <w:vAlign w:val="bottom"/>
          </w:tcPr>
          <w:p w14:paraId="3CBBF3DE" w14:textId="77777777" w:rsidR="00B16F49" w:rsidRPr="005C0801" w:rsidRDefault="00B16F49" w:rsidP="000834DD">
            <w:pPr>
              <w:spacing w:line="276" w:lineRule="auto"/>
              <w:contextualSpacing/>
              <w:rPr>
                <w:rFonts w:ascii="Times New Roman" w:eastAsia="Times New Roman" w:hAnsi="Times New Roman" w:cs="Times New Roman"/>
                <w:kern w:val="3"/>
                <w:sz w:val="22"/>
                <w:szCs w:val="22"/>
                <w:lang w:eastAsia="zh-CN"/>
              </w:rPr>
            </w:pPr>
            <w:r w:rsidRPr="005C0801">
              <w:rPr>
                <w:rFonts w:ascii="Times New Roman" w:eastAsia="Times New Roman" w:hAnsi="Times New Roman" w:cs="Times New Roman"/>
                <w:kern w:val="3"/>
                <w:sz w:val="22"/>
                <w:szCs w:val="22"/>
                <w:lang w:eastAsia="zh-CN"/>
              </w:rPr>
              <w:t>Письмо Управления Росреестра по Воронежской области от 21.07.2021 № 16-15301-РИ/21</w:t>
            </w:r>
          </w:p>
        </w:tc>
        <w:tc>
          <w:tcPr>
            <w:tcW w:w="2410" w:type="dxa"/>
          </w:tcPr>
          <w:p w14:paraId="11876F4F" w14:textId="77777777" w:rsidR="00B16F49" w:rsidRDefault="00B16F49" w:rsidP="000834DD">
            <w:pPr>
              <w:spacing w:line="276" w:lineRule="auto"/>
              <w:contextualSpacing/>
              <w:jc w:val="center"/>
            </w:pPr>
          </w:p>
        </w:tc>
        <w:tc>
          <w:tcPr>
            <w:tcW w:w="2126" w:type="dxa"/>
            <w:vAlign w:val="center"/>
          </w:tcPr>
          <w:p w14:paraId="13C5E425" w14:textId="77777777" w:rsidR="00B16F49" w:rsidRPr="005C0801" w:rsidRDefault="00B16F49" w:rsidP="000834DD">
            <w:pPr>
              <w:pStyle w:val="Standard"/>
              <w:spacing w:line="276" w:lineRule="auto"/>
              <w:rPr>
                <w:sz w:val="22"/>
                <w:szCs w:val="22"/>
              </w:rPr>
            </w:pPr>
            <w:r w:rsidRPr="00715453">
              <w:rPr>
                <w:sz w:val="22"/>
                <w:szCs w:val="22"/>
              </w:rPr>
              <w:t>Электронный</w:t>
            </w:r>
          </w:p>
        </w:tc>
      </w:tr>
      <w:tr w:rsidR="00B16F49" w:rsidRPr="00F562A8" w14:paraId="58C50001" w14:textId="77777777" w:rsidTr="000834DD">
        <w:trPr>
          <w:trHeight w:val="20"/>
        </w:trPr>
        <w:tc>
          <w:tcPr>
            <w:tcW w:w="703" w:type="dxa"/>
          </w:tcPr>
          <w:p w14:paraId="65A0E609" w14:textId="77777777" w:rsidR="00B16F49" w:rsidRPr="00F562A8" w:rsidRDefault="00B16F49" w:rsidP="000834DD">
            <w:pPr>
              <w:pStyle w:val="23"/>
              <w:numPr>
                <w:ilvl w:val="0"/>
                <w:numId w:val="4"/>
              </w:numPr>
              <w:spacing w:after="0"/>
              <w:ind w:left="33" w:hanging="33"/>
              <w:contextualSpacing/>
              <w:jc w:val="center"/>
              <w:rPr>
                <w:sz w:val="22"/>
              </w:rPr>
            </w:pPr>
          </w:p>
        </w:tc>
        <w:tc>
          <w:tcPr>
            <w:tcW w:w="4112" w:type="dxa"/>
            <w:vAlign w:val="bottom"/>
          </w:tcPr>
          <w:p w14:paraId="68A5D856" w14:textId="77777777" w:rsidR="00B16F49" w:rsidRPr="005C0801" w:rsidRDefault="00B16F49" w:rsidP="000834DD">
            <w:pPr>
              <w:spacing w:line="276" w:lineRule="auto"/>
              <w:contextualSpacing/>
              <w:rPr>
                <w:rFonts w:ascii="Times New Roman" w:eastAsia="Times New Roman" w:hAnsi="Times New Roman" w:cs="Times New Roman"/>
                <w:kern w:val="3"/>
                <w:sz w:val="22"/>
                <w:szCs w:val="22"/>
                <w:lang w:eastAsia="zh-CN"/>
              </w:rPr>
            </w:pPr>
            <w:r w:rsidRPr="005C0801">
              <w:rPr>
                <w:rFonts w:ascii="Times New Roman" w:eastAsia="Times New Roman" w:hAnsi="Times New Roman" w:cs="Times New Roman"/>
                <w:kern w:val="3"/>
                <w:sz w:val="22"/>
                <w:szCs w:val="22"/>
                <w:lang w:eastAsia="zh-CN"/>
              </w:rPr>
              <w:t>Письмо Управления Росреестра по Воронежской области от 30.04.2021 № 16-07845-ЮТ/21</w:t>
            </w:r>
          </w:p>
        </w:tc>
        <w:tc>
          <w:tcPr>
            <w:tcW w:w="2410" w:type="dxa"/>
          </w:tcPr>
          <w:p w14:paraId="3D6938C1" w14:textId="77777777" w:rsidR="00B16F49" w:rsidRDefault="00B16F49" w:rsidP="000834DD">
            <w:pPr>
              <w:spacing w:line="276" w:lineRule="auto"/>
              <w:contextualSpacing/>
              <w:jc w:val="center"/>
            </w:pPr>
          </w:p>
        </w:tc>
        <w:tc>
          <w:tcPr>
            <w:tcW w:w="2126" w:type="dxa"/>
            <w:vAlign w:val="center"/>
          </w:tcPr>
          <w:p w14:paraId="08B311F8" w14:textId="77777777" w:rsidR="00B16F49" w:rsidRPr="005C0801" w:rsidRDefault="00B16F49" w:rsidP="000834DD">
            <w:pPr>
              <w:pStyle w:val="Standard"/>
              <w:spacing w:line="276" w:lineRule="auto"/>
              <w:rPr>
                <w:sz w:val="22"/>
                <w:szCs w:val="22"/>
              </w:rPr>
            </w:pPr>
            <w:r w:rsidRPr="00715453">
              <w:rPr>
                <w:sz w:val="22"/>
                <w:szCs w:val="22"/>
              </w:rPr>
              <w:t>Электронный</w:t>
            </w:r>
          </w:p>
        </w:tc>
      </w:tr>
      <w:tr w:rsidR="00B16F49" w:rsidRPr="00F562A8" w14:paraId="017D50ED" w14:textId="77777777" w:rsidTr="000834DD">
        <w:tc>
          <w:tcPr>
            <w:tcW w:w="9351" w:type="dxa"/>
            <w:gridSpan w:val="4"/>
          </w:tcPr>
          <w:p w14:paraId="189E06F3" w14:textId="77777777" w:rsidR="00B16F49" w:rsidRPr="007659B9" w:rsidRDefault="00B16F49" w:rsidP="000834DD">
            <w:pPr>
              <w:pStyle w:val="Standard"/>
              <w:spacing w:line="276" w:lineRule="auto"/>
              <w:rPr>
                <w:b/>
                <w:sz w:val="22"/>
                <w:szCs w:val="22"/>
              </w:rPr>
            </w:pPr>
            <w:bookmarkStart w:id="23" w:name="_Hlk8039411"/>
            <w:r w:rsidRPr="007659B9">
              <w:rPr>
                <w:b/>
                <w:sz w:val="22"/>
                <w:szCs w:val="22"/>
              </w:rPr>
              <w:t>Другие данные, предоставленные органами местного самоуправления</w:t>
            </w:r>
          </w:p>
        </w:tc>
      </w:tr>
      <w:tr w:rsidR="00B16F49" w:rsidRPr="00F562A8" w14:paraId="2BD0247F" w14:textId="77777777" w:rsidTr="000834DD">
        <w:tc>
          <w:tcPr>
            <w:tcW w:w="703" w:type="dxa"/>
          </w:tcPr>
          <w:p w14:paraId="3F9653DD" w14:textId="77777777" w:rsidR="00B16F49" w:rsidRPr="007659B9" w:rsidRDefault="00B16F49" w:rsidP="000834DD">
            <w:pPr>
              <w:pStyle w:val="Standard"/>
              <w:numPr>
                <w:ilvl w:val="0"/>
                <w:numId w:val="4"/>
              </w:numPr>
              <w:spacing w:line="276" w:lineRule="auto"/>
              <w:ind w:left="0" w:firstLine="0"/>
              <w:rPr>
                <w:sz w:val="22"/>
                <w:szCs w:val="22"/>
              </w:rPr>
            </w:pPr>
          </w:p>
        </w:tc>
        <w:tc>
          <w:tcPr>
            <w:tcW w:w="4112" w:type="dxa"/>
          </w:tcPr>
          <w:p w14:paraId="051C0EDF" w14:textId="77777777" w:rsidR="00B16F49" w:rsidRPr="007659B9" w:rsidRDefault="00B16F49" w:rsidP="000834DD">
            <w:pPr>
              <w:pStyle w:val="Standard"/>
              <w:spacing w:line="276" w:lineRule="auto"/>
              <w:rPr>
                <w:sz w:val="22"/>
                <w:szCs w:val="22"/>
              </w:rPr>
            </w:pPr>
            <w:r w:rsidRPr="007659B9">
              <w:rPr>
                <w:sz w:val="22"/>
                <w:szCs w:val="22"/>
              </w:rPr>
              <w:t>Письмо администрации Калачеевского муниципального района Воронежской области от 31.01.2020г. №312</w:t>
            </w:r>
          </w:p>
        </w:tc>
        <w:tc>
          <w:tcPr>
            <w:tcW w:w="2410" w:type="dxa"/>
          </w:tcPr>
          <w:p w14:paraId="207327D4" w14:textId="77777777" w:rsidR="00B16F49" w:rsidRPr="007659B9" w:rsidRDefault="00B16F49" w:rsidP="000834DD">
            <w:pPr>
              <w:pStyle w:val="Standard"/>
              <w:spacing w:line="276" w:lineRule="auto"/>
              <w:rPr>
                <w:sz w:val="22"/>
                <w:szCs w:val="22"/>
              </w:rPr>
            </w:pPr>
          </w:p>
        </w:tc>
        <w:tc>
          <w:tcPr>
            <w:tcW w:w="2126" w:type="dxa"/>
            <w:vAlign w:val="center"/>
          </w:tcPr>
          <w:p w14:paraId="7CCBA6EF" w14:textId="77777777" w:rsidR="00B16F49" w:rsidRPr="007659B9" w:rsidRDefault="00B16F49" w:rsidP="000834DD">
            <w:pPr>
              <w:pStyle w:val="Standard"/>
              <w:spacing w:line="276" w:lineRule="auto"/>
              <w:rPr>
                <w:sz w:val="22"/>
                <w:szCs w:val="22"/>
              </w:rPr>
            </w:pPr>
            <w:r w:rsidRPr="007659B9">
              <w:rPr>
                <w:sz w:val="22"/>
                <w:szCs w:val="22"/>
              </w:rPr>
              <w:t>Электронная версия в формате PDF</w:t>
            </w:r>
          </w:p>
        </w:tc>
      </w:tr>
      <w:tr w:rsidR="00B16F49" w:rsidRPr="00F562A8" w14:paraId="2349BA70" w14:textId="77777777" w:rsidTr="000834DD">
        <w:tc>
          <w:tcPr>
            <w:tcW w:w="703" w:type="dxa"/>
          </w:tcPr>
          <w:p w14:paraId="6B14F7C6" w14:textId="77777777" w:rsidR="00B16F49" w:rsidRPr="007659B9" w:rsidRDefault="00B16F49" w:rsidP="000834DD">
            <w:pPr>
              <w:pStyle w:val="Standard"/>
              <w:numPr>
                <w:ilvl w:val="0"/>
                <w:numId w:val="4"/>
              </w:numPr>
              <w:spacing w:line="276" w:lineRule="auto"/>
              <w:ind w:left="0" w:firstLine="0"/>
              <w:rPr>
                <w:sz w:val="22"/>
                <w:szCs w:val="22"/>
              </w:rPr>
            </w:pPr>
          </w:p>
        </w:tc>
        <w:tc>
          <w:tcPr>
            <w:tcW w:w="4112" w:type="dxa"/>
          </w:tcPr>
          <w:p w14:paraId="1E724664" w14:textId="77777777" w:rsidR="00B16F49" w:rsidRPr="007659B9" w:rsidRDefault="00B16F49" w:rsidP="000834DD">
            <w:pPr>
              <w:pStyle w:val="Standard"/>
              <w:spacing w:line="276" w:lineRule="auto"/>
              <w:rPr>
                <w:sz w:val="22"/>
                <w:szCs w:val="22"/>
              </w:rPr>
            </w:pPr>
            <w:r w:rsidRPr="007659B9">
              <w:rPr>
                <w:sz w:val="22"/>
                <w:szCs w:val="22"/>
              </w:rPr>
              <w:t>Письмо администрации Каменского муниципального района Воронежской области от 03.02.2020г. №0364</w:t>
            </w:r>
          </w:p>
        </w:tc>
        <w:tc>
          <w:tcPr>
            <w:tcW w:w="2410" w:type="dxa"/>
          </w:tcPr>
          <w:p w14:paraId="21032DB1" w14:textId="77777777" w:rsidR="00B16F49" w:rsidRPr="007659B9" w:rsidRDefault="00B16F49" w:rsidP="000834DD">
            <w:pPr>
              <w:pStyle w:val="Standard"/>
              <w:spacing w:line="276" w:lineRule="auto"/>
              <w:rPr>
                <w:sz w:val="22"/>
                <w:szCs w:val="22"/>
              </w:rPr>
            </w:pPr>
          </w:p>
        </w:tc>
        <w:tc>
          <w:tcPr>
            <w:tcW w:w="2126" w:type="dxa"/>
            <w:vAlign w:val="center"/>
          </w:tcPr>
          <w:p w14:paraId="11FC9E18" w14:textId="77777777" w:rsidR="00B16F49" w:rsidRPr="007659B9" w:rsidRDefault="00B16F49" w:rsidP="000834DD">
            <w:pPr>
              <w:pStyle w:val="Standard"/>
              <w:spacing w:line="276" w:lineRule="auto"/>
              <w:rPr>
                <w:sz w:val="22"/>
                <w:szCs w:val="22"/>
              </w:rPr>
            </w:pPr>
            <w:r w:rsidRPr="007659B9">
              <w:rPr>
                <w:sz w:val="22"/>
                <w:szCs w:val="22"/>
              </w:rPr>
              <w:t>Электронная версия в формате PDF</w:t>
            </w:r>
          </w:p>
        </w:tc>
      </w:tr>
      <w:tr w:rsidR="00B16F49" w:rsidRPr="00F562A8" w14:paraId="135F6501" w14:textId="77777777" w:rsidTr="000834DD">
        <w:tc>
          <w:tcPr>
            <w:tcW w:w="703" w:type="dxa"/>
          </w:tcPr>
          <w:p w14:paraId="5E822B9C" w14:textId="77777777" w:rsidR="00B16F49" w:rsidRPr="007659B9" w:rsidRDefault="00B16F49" w:rsidP="000834DD">
            <w:pPr>
              <w:pStyle w:val="Standard"/>
              <w:numPr>
                <w:ilvl w:val="0"/>
                <w:numId w:val="4"/>
              </w:numPr>
              <w:spacing w:line="276" w:lineRule="auto"/>
              <w:ind w:left="0" w:firstLine="0"/>
              <w:rPr>
                <w:sz w:val="22"/>
                <w:szCs w:val="22"/>
              </w:rPr>
            </w:pPr>
          </w:p>
        </w:tc>
        <w:tc>
          <w:tcPr>
            <w:tcW w:w="4112" w:type="dxa"/>
          </w:tcPr>
          <w:p w14:paraId="42CFE01B" w14:textId="77777777" w:rsidR="00B16F49" w:rsidRPr="007659B9" w:rsidRDefault="00B16F49" w:rsidP="000834DD">
            <w:pPr>
              <w:pStyle w:val="Standard"/>
              <w:spacing w:line="276" w:lineRule="auto"/>
              <w:rPr>
                <w:sz w:val="22"/>
                <w:szCs w:val="22"/>
              </w:rPr>
            </w:pPr>
            <w:r w:rsidRPr="007659B9">
              <w:rPr>
                <w:sz w:val="22"/>
                <w:szCs w:val="22"/>
              </w:rPr>
              <w:t>Письмо администрации Каширского муниципального района Воронежской области от 29.01.2020г. №12-11/368</w:t>
            </w:r>
          </w:p>
        </w:tc>
        <w:tc>
          <w:tcPr>
            <w:tcW w:w="2410" w:type="dxa"/>
          </w:tcPr>
          <w:p w14:paraId="3BD53CE2" w14:textId="77777777" w:rsidR="00B16F49" w:rsidRPr="007659B9" w:rsidRDefault="00B16F49" w:rsidP="000834DD">
            <w:pPr>
              <w:pStyle w:val="Standard"/>
              <w:spacing w:line="276" w:lineRule="auto"/>
              <w:rPr>
                <w:sz w:val="22"/>
                <w:szCs w:val="22"/>
              </w:rPr>
            </w:pPr>
          </w:p>
        </w:tc>
        <w:tc>
          <w:tcPr>
            <w:tcW w:w="2126" w:type="dxa"/>
            <w:vAlign w:val="center"/>
          </w:tcPr>
          <w:p w14:paraId="7E8D721B" w14:textId="77777777" w:rsidR="00B16F49" w:rsidRPr="007659B9" w:rsidRDefault="00B16F49" w:rsidP="000834DD">
            <w:pPr>
              <w:pStyle w:val="Standard"/>
              <w:spacing w:line="276" w:lineRule="auto"/>
              <w:rPr>
                <w:sz w:val="22"/>
                <w:szCs w:val="22"/>
              </w:rPr>
            </w:pPr>
            <w:r w:rsidRPr="007659B9">
              <w:rPr>
                <w:sz w:val="22"/>
                <w:szCs w:val="22"/>
              </w:rPr>
              <w:t>Электронная версия в формате PDF</w:t>
            </w:r>
          </w:p>
        </w:tc>
      </w:tr>
      <w:tr w:rsidR="00B16F49" w:rsidRPr="00F562A8" w14:paraId="2DC31605" w14:textId="77777777" w:rsidTr="000834DD">
        <w:tc>
          <w:tcPr>
            <w:tcW w:w="703" w:type="dxa"/>
          </w:tcPr>
          <w:p w14:paraId="4DB2A01E" w14:textId="77777777" w:rsidR="00B16F49" w:rsidRPr="007659B9" w:rsidRDefault="00B16F49" w:rsidP="000834DD">
            <w:pPr>
              <w:pStyle w:val="Standard"/>
              <w:numPr>
                <w:ilvl w:val="0"/>
                <w:numId w:val="4"/>
              </w:numPr>
              <w:spacing w:line="276" w:lineRule="auto"/>
              <w:ind w:left="0" w:firstLine="0"/>
              <w:rPr>
                <w:sz w:val="22"/>
                <w:szCs w:val="22"/>
              </w:rPr>
            </w:pPr>
          </w:p>
        </w:tc>
        <w:tc>
          <w:tcPr>
            <w:tcW w:w="4112" w:type="dxa"/>
          </w:tcPr>
          <w:p w14:paraId="58B5870C" w14:textId="77777777" w:rsidR="00B16F49" w:rsidRPr="007659B9" w:rsidRDefault="00B16F49" w:rsidP="000834DD">
            <w:pPr>
              <w:pStyle w:val="Standard"/>
              <w:spacing w:line="276" w:lineRule="auto"/>
              <w:rPr>
                <w:sz w:val="22"/>
                <w:szCs w:val="22"/>
              </w:rPr>
            </w:pPr>
            <w:r w:rsidRPr="007659B9">
              <w:rPr>
                <w:sz w:val="22"/>
                <w:szCs w:val="22"/>
              </w:rPr>
              <w:t>Письмо администрации Нижнедевицкого муниципального района Воронежской области от 06.02.2020г. №14-11/301</w:t>
            </w:r>
          </w:p>
        </w:tc>
        <w:tc>
          <w:tcPr>
            <w:tcW w:w="2410" w:type="dxa"/>
          </w:tcPr>
          <w:p w14:paraId="470AC3A1" w14:textId="77777777" w:rsidR="00B16F49" w:rsidRPr="007659B9" w:rsidRDefault="00B16F49" w:rsidP="000834DD">
            <w:pPr>
              <w:pStyle w:val="Standard"/>
              <w:spacing w:line="276" w:lineRule="auto"/>
              <w:rPr>
                <w:sz w:val="22"/>
                <w:szCs w:val="22"/>
              </w:rPr>
            </w:pPr>
          </w:p>
        </w:tc>
        <w:tc>
          <w:tcPr>
            <w:tcW w:w="2126" w:type="dxa"/>
            <w:vAlign w:val="center"/>
          </w:tcPr>
          <w:p w14:paraId="02FFE364" w14:textId="77777777" w:rsidR="00B16F49" w:rsidRPr="007659B9" w:rsidRDefault="00B16F49" w:rsidP="000834DD">
            <w:pPr>
              <w:pStyle w:val="Standard"/>
              <w:spacing w:line="276" w:lineRule="auto"/>
              <w:rPr>
                <w:sz w:val="22"/>
                <w:szCs w:val="22"/>
              </w:rPr>
            </w:pPr>
            <w:r w:rsidRPr="007659B9">
              <w:rPr>
                <w:sz w:val="22"/>
                <w:szCs w:val="22"/>
              </w:rPr>
              <w:t>Электронная версия в формате PDF</w:t>
            </w:r>
          </w:p>
        </w:tc>
      </w:tr>
      <w:tr w:rsidR="00B16F49" w:rsidRPr="00F562A8" w14:paraId="5493CD12" w14:textId="77777777" w:rsidTr="000834DD">
        <w:tc>
          <w:tcPr>
            <w:tcW w:w="703" w:type="dxa"/>
          </w:tcPr>
          <w:p w14:paraId="30309B7B" w14:textId="77777777" w:rsidR="00B16F49" w:rsidRPr="007659B9" w:rsidRDefault="00B16F49" w:rsidP="000834DD">
            <w:pPr>
              <w:pStyle w:val="Standard"/>
              <w:numPr>
                <w:ilvl w:val="0"/>
                <w:numId w:val="4"/>
              </w:numPr>
              <w:spacing w:line="276" w:lineRule="auto"/>
              <w:ind w:left="0" w:firstLine="0"/>
              <w:rPr>
                <w:sz w:val="22"/>
                <w:szCs w:val="22"/>
              </w:rPr>
            </w:pPr>
          </w:p>
        </w:tc>
        <w:tc>
          <w:tcPr>
            <w:tcW w:w="4112" w:type="dxa"/>
          </w:tcPr>
          <w:p w14:paraId="53C98A1C" w14:textId="77777777" w:rsidR="00B16F49" w:rsidRPr="007659B9" w:rsidRDefault="00B16F49" w:rsidP="000834DD">
            <w:pPr>
              <w:pStyle w:val="Standard"/>
              <w:spacing w:line="276" w:lineRule="auto"/>
              <w:rPr>
                <w:sz w:val="22"/>
                <w:szCs w:val="22"/>
              </w:rPr>
            </w:pPr>
            <w:r w:rsidRPr="007659B9">
              <w:rPr>
                <w:sz w:val="22"/>
                <w:szCs w:val="22"/>
              </w:rPr>
              <w:t>Письмо администрации Павловского муниципального района Воронежской области от 19.02.2020г. №027/920</w:t>
            </w:r>
          </w:p>
        </w:tc>
        <w:tc>
          <w:tcPr>
            <w:tcW w:w="2410" w:type="dxa"/>
          </w:tcPr>
          <w:p w14:paraId="75C4387F" w14:textId="77777777" w:rsidR="00B16F49" w:rsidRPr="007659B9" w:rsidRDefault="00B16F49" w:rsidP="000834DD">
            <w:pPr>
              <w:pStyle w:val="Standard"/>
              <w:spacing w:line="276" w:lineRule="auto"/>
              <w:rPr>
                <w:sz w:val="22"/>
                <w:szCs w:val="22"/>
              </w:rPr>
            </w:pPr>
          </w:p>
        </w:tc>
        <w:tc>
          <w:tcPr>
            <w:tcW w:w="2126" w:type="dxa"/>
            <w:vAlign w:val="center"/>
          </w:tcPr>
          <w:p w14:paraId="03B868A9" w14:textId="77777777" w:rsidR="00B16F49" w:rsidRPr="007659B9" w:rsidRDefault="00B16F49" w:rsidP="000834DD">
            <w:pPr>
              <w:pStyle w:val="Standard"/>
              <w:spacing w:line="276" w:lineRule="auto"/>
              <w:rPr>
                <w:sz w:val="22"/>
                <w:szCs w:val="22"/>
              </w:rPr>
            </w:pPr>
            <w:r w:rsidRPr="007659B9">
              <w:rPr>
                <w:sz w:val="22"/>
                <w:szCs w:val="22"/>
              </w:rPr>
              <w:t>Электронная версия в формате PDF</w:t>
            </w:r>
          </w:p>
        </w:tc>
      </w:tr>
      <w:tr w:rsidR="00B16F49" w:rsidRPr="00F562A8" w14:paraId="2719F7B3" w14:textId="77777777" w:rsidTr="000834DD">
        <w:tc>
          <w:tcPr>
            <w:tcW w:w="703" w:type="dxa"/>
          </w:tcPr>
          <w:p w14:paraId="452F15CA" w14:textId="77777777" w:rsidR="00B16F49" w:rsidRPr="007659B9" w:rsidRDefault="00B16F49" w:rsidP="000834DD">
            <w:pPr>
              <w:pStyle w:val="Standard"/>
              <w:numPr>
                <w:ilvl w:val="0"/>
                <w:numId w:val="4"/>
              </w:numPr>
              <w:spacing w:line="276" w:lineRule="auto"/>
              <w:ind w:left="0" w:firstLine="0"/>
              <w:rPr>
                <w:sz w:val="22"/>
                <w:szCs w:val="22"/>
              </w:rPr>
            </w:pPr>
          </w:p>
        </w:tc>
        <w:tc>
          <w:tcPr>
            <w:tcW w:w="4112" w:type="dxa"/>
          </w:tcPr>
          <w:p w14:paraId="3A63AF97" w14:textId="77777777" w:rsidR="00B16F49" w:rsidRPr="007659B9" w:rsidRDefault="00B16F49" w:rsidP="000834DD">
            <w:pPr>
              <w:pStyle w:val="Standard"/>
              <w:spacing w:line="276" w:lineRule="auto"/>
              <w:rPr>
                <w:sz w:val="22"/>
                <w:szCs w:val="22"/>
              </w:rPr>
            </w:pPr>
            <w:r w:rsidRPr="007659B9">
              <w:rPr>
                <w:sz w:val="22"/>
                <w:szCs w:val="22"/>
              </w:rPr>
              <w:t>Письмо администрации Петропавловского муниципального района Воронежской области от 28.01.2020г. №245</w:t>
            </w:r>
          </w:p>
        </w:tc>
        <w:tc>
          <w:tcPr>
            <w:tcW w:w="2410" w:type="dxa"/>
          </w:tcPr>
          <w:p w14:paraId="1D53F917" w14:textId="77777777" w:rsidR="00B16F49" w:rsidRPr="007659B9" w:rsidRDefault="00B16F49" w:rsidP="000834DD">
            <w:pPr>
              <w:pStyle w:val="Standard"/>
              <w:spacing w:line="276" w:lineRule="auto"/>
              <w:rPr>
                <w:sz w:val="22"/>
                <w:szCs w:val="22"/>
              </w:rPr>
            </w:pPr>
          </w:p>
        </w:tc>
        <w:tc>
          <w:tcPr>
            <w:tcW w:w="2126" w:type="dxa"/>
            <w:vAlign w:val="center"/>
          </w:tcPr>
          <w:p w14:paraId="3987BAE7" w14:textId="77777777" w:rsidR="00B16F49" w:rsidRPr="007659B9" w:rsidRDefault="00B16F49" w:rsidP="000834DD">
            <w:pPr>
              <w:pStyle w:val="Standard"/>
              <w:spacing w:line="276" w:lineRule="auto"/>
              <w:rPr>
                <w:sz w:val="22"/>
                <w:szCs w:val="22"/>
              </w:rPr>
            </w:pPr>
            <w:r w:rsidRPr="007659B9">
              <w:rPr>
                <w:sz w:val="22"/>
                <w:szCs w:val="22"/>
              </w:rPr>
              <w:t>Электронная версия в формате PDF</w:t>
            </w:r>
          </w:p>
        </w:tc>
      </w:tr>
      <w:tr w:rsidR="00B16F49" w:rsidRPr="00F562A8" w14:paraId="6B38794D" w14:textId="77777777" w:rsidTr="000834DD">
        <w:tc>
          <w:tcPr>
            <w:tcW w:w="703" w:type="dxa"/>
          </w:tcPr>
          <w:p w14:paraId="2A406851" w14:textId="77777777" w:rsidR="00B16F49" w:rsidRPr="007659B9" w:rsidRDefault="00B16F49" w:rsidP="000834DD">
            <w:pPr>
              <w:pStyle w:val="Standard"/>
              <w:numPr>
                <w:ilvl w:val="0"/>
                <w:numId w:val="4"/>
              </w:numPr>
              <w:spacing w:line="276" w:lineRule="auto"/>
              <w:ind w:left="0" w:firstLine="0"/>
              <w:rPr>
                <w:sz w:val="22"/>
                <w:szCs w:val="22"/>
              </w:rPr>
            </w:pPr>
          </w:p>
        </w:tc>
        <w:tc>
          <w:tcPr>
            <w:tcW w:w="4112" w:type="dxa"/>
          </w:tcPr>
          <w:p w14:paraId="03EEC08C" w14:textId="77777777" w:rsidR="00B16F49" w:rsidRPr="007659B9" w:rsidRDefault="00B16F49" w:rsidP="000834DD">
            <w:pPr>
              <w:pStyle w:val="Standard"/>
              <w:spacing w:line="276" w:lineRule="auto"/>
              <w:rPr>
                <w:sz w:val="22"/>
                <w:szCs w:val="22"/>
              </w:rPr>
            </w:pPr>
            <w:r w:rsidRPr="007659B9">
              <w:rPr>
                <w:sz w:val="22"/>
                <w:szCs w:val="22"/>
              </w:rPr>
              <w:t>письмо администрации Рамонского муниципального района Воронежской области от 26.02.2020г. №24-11/644</w:t>
            </w:r>
          </w:p>
        </w:tc>
        <w:tc>
          <w:tcPr>
            <w:tcW w:w="2410" w:type="dxa"/>
          </w:tcPr>
          <w:p w14:paraId="795D7B85" w14:textId="77777777" w:rsidR="00B16F49" w:rsidRPr="007659B9" w:rsidRDefault="00B16F49" w:rsidP="000834DD">
            <w:pPr>
              <w:pStyle w:val="Standard"/>
              <w:spacing w:line="276" w:lineRule="auto"/>
              <w:rPr>
                <w:sz w:val="22"/>
                <w:szCs w:val="22"/>
              </w:rPr>
            </w:pPr>
          </w:p>
        </w:tc>
        <w:tc>
          <w:tcPr>
            <w:tcW w:w="2126" w:type="dxa"/>
            <w:vAlign w:val="center"/>
          </w:tcPr>
          <w:p w14:paraId="12589428" w14:textId="77777777" w:rsidR="00B16F49" w:rsidRPr="007659B9" w:rsidRDefault="00B16F49" w:rsidP="000834DD">
            <w:pPr>
              <w:pStyle w:val="Standard"/>
              <w:spacing w:line="276" w:lineRule="auto"/>
              <w:rPr>
                <w:sz w:val="22"/>
                <w:szCs w:val="22"/>
              </w:rPr>
            </w:pPr>
            <w:r w:rsidRPr="007659B9">
              <w:rPr>
                <w:sz w:val="22"/>
                <w:szCs w:val="22"/>
              </w:rPr>
              <w:t>Электронная версия в формате PDF</w:t>
            </w:r>
          </w:p>
        </w:tc>
      </w:tr>
      <w:tr w:rsidR="00B16F49" w:rsidRPr="00F562A8" w14:paraId="35193730" w14:textId="77777777" w:rsidTr="000834DD">
        <w:tc>
          <w:tcPr>
            <w:tcW w:w="703" w:type="dxa"/>
          </w:tcPr>
          <w:p w14:paraId="709276B5" w14:textId="77777777" w:rsidR="00B16F49" w:rsidRPr="007659B9" w:rsidRDefault="00B16F49" w:rsidP="000834DD">
            <w:pPr>
              <w:pStyle w:val="Standard"/>
              <w:numPr>
                <w:ilvl w:val="0"/>
                <w:numId w:val="4"/>
              </w:numPr>
              <w:spacing w:line="276" w:lineRule="auto"/>
              <w:ind w:left="0" w:firstLine="0"/>
              <w:rPr>
                <w:sz w:val="22"/>
                <w:szCs w:val="22"/>
              </w:rPr>
            </w:pPr>
          </w:p>
        </w:tc>
        <w:tc>
          <w:tcPr>
            <w:tcW w:w="4112" w:type="dxa"/>
          </w:tcPr>
          <w:p w14:paraId="3DE0E1C9" w14:textId="77777777" w:rsidR="00B16F49" w:rsidRPr="007659B9" w:rsidRDefault="00B16F49" w:rsidP="000834DD">
            <w:pPr>
              <w:pStyle w:val="Standard"/>
              <w:spacing w:line="276" w:lineRule="auto"/>
              <w:rPr>
                <w:sz w:val="22"/>
                <w:szCs w:val="22"/>
              </w:rPr>
            </w:pPr>
            <w:r w:rsidRPr="007659B9">
              <w:rPr>
                <w:sz w:val="22"/>
                <w:szCs w:val="22"/>
              </w:rPr>
              <w:t>письмо администрации Россошанского муниципального района Воронежской области от 06.03.2020г. №128-11/972</w:t>
            </w:r>
          </w:p>
        </w:tc>
        <w:tc>
          <w:tcPr>
            <w:tcW w:w="2410" w:type="dxa"/>
          </w:tcPr>
          <w:p w14:paraId="7742A260" w14:textId="77777777" w:rsidR="00B16F49" w:rsidRPr="007659B9" w:rsidRDefault="00B16F49" w:rsidP="000834DD">
            <w:pPr>
              <w:pStyle w:val="Standard"/>
              <w:spacing w:line="276" w:lineRule="auto"/>
              <w:rPr>
                <w:sz w:val="22"/>
                <w:szCs w:val="22"/>
              </w:rPr>
            </w:pPr>
          </w:p>
        </w:tc>
        <w:tc>
          <w:tcPr>
            <w:tcW w:w="2126" w:type="dxa"/>
            <w:vAlign w:val="center"/>
          </w:tcPr>
          <w:p w14:paraId="525C2C38" w14:textId="77777777" w:rsidR="00B16F49" w:rsidRPr="007659B9" w:rsidRDefault="00B16F49" w:rsidP="000834DD">
            <w:pPr>
              <w:pStyle w:val="Standard"/>
              <w:spacing w:line="276" w:lineRule="auto"/>
              <w:rPr>
                <w:sz w:val="22"/>
                <w:szCs w:val="22"/>
              </w:rPr>
            </w:pPr>
            <w:r w:rsidRPr="007659B9">
              <w:rPr>
                <w:sz w:val="22"/>
                <w:szCs w:val="22"/>
              </w:rPr>
              <w:t>Электронная версия в формате PDF</w:t>
            </w:r>
          </w:p>
        </w:tc>
      </w:tr>
      <w:tr w:rsidR="00B16F49" w:rsidRPr="00F562A8" w14:paraId="3FA86326" w14:textId="77777777" w:rsidTr="000834DD">
        <w:tc>
          <w:tcPr>
            <w:tcW w:w="9351" w:type="dxa"/>
            <w:gridSpan w:val="4"/>
          </w:tcPr>
          <w:p w14:paraId="2366F3EC" w14:textId="77777777" w:rsidR="00B16F49" w:rsidRPr="00F562A8" w:rsidRDefault="00B16F49" w:rsidP="000834DD">
            <w:pPr>
              <w:pStyle w:val="Standard"/>
              <w:spacing w:line="276" w:lineRule="auto"/>
              <w:rPr>
                <w:b/>
                <w:sz w:val="22"/>
                <w:szCs w:val="22"/>
              </w:rPr>
            </w:pPr>
            <w:r w:rsidRPr="00F562A8">
              <w:rPr>
                <w:b/>
                <w:sz w:val="22"/>
                <w:szCs w:val="22"/>
              </w:rPr>
              <w:t>Иные источники информации (книги, справочники, пособия и др.)</w:t>
            </w:r>
          </w:p>
        </w:tc>
      </w:tr>
      <w:tr w:rsidR="00B16F49" w:rsidRPr="00F562A8" w14:paraId="62036F56" w14:textId="77777777" w:rsidTr="000834DD">
        <w:tc>
          <w:tcPr>
            <w:tcW w:w="703" w:type="dxa"/>
          </w:tcPr>
          <w:p w14:paraId="39F08E68" w14:textId="77777777" w:rsidR="00B16F49" w:rsidRPr="00F562A8" w:rsidRDefault="00B16F49" w:rsidP="000834DD">
            <w:pPr>
              <w:pStyle w:val="Standard"/>
              <w:numPr>
                <w:ilvl w:val="0"/>
                <w:numId w:val="4"/>
              </w:numPr>
              <w:spacing w:line="276" w:lineRule="auto"/>
              <w:ind w:left="33" w:firstLine="0"/>
              <w:rPr>
                <w:sz w:val="22"/>
                <w:szCs w:val="22"/>
              </w:rPr>
            </w:pPr>
          </w:p>
        </w:tc>
        <w:tc>
          <w:tcPr>
            <w:tcW w:w="4112" w:type="dxa"/>
          </w:tcPr>
          <w:p w14:paraId="5C94114F" w14:textId="77777777" w:rsidR="00B16F49" w:rsidRPr="00AC4408" w:rsidRDefault="00B16F49" w:rsidP="000834DD">
            <w:pPr>
              <w:pStyle w:val="Standard"/>
              <w:spacing w:line="276" w:lineRule="auto"/>
              <w:rPr>
                <w:sz w:val="22"/>
                <w:szCs w:val="22"/>
                <w:highlight w:val="yellow"/>
              </w:rPr>
            </w:pPr>
            <w:r w:rsidRPr="00455126">
              <w:rPr>
                <w:sz w:val="22"/>
                <w:szCs w:val="22"/>
              </w:rPr>
              <w:t>Справочник оценщика недвижимости – 2020. Земельные участки. Часть 1./ Л.А. Лейфер, Т.В. Крайникова. – Н.Новгород: Приволжский центр методического и информационного обеспечения оценки, 2020. – 274 с.</w:t>
            </w:r>
          </w:p>
        </w:tc>
        <w:tc>
          <w:tcPr>
            <w:tcW w:w="2410" w:type="dxa"/>
          </w:tcPr>
          <w:p w14:paraId="3768E242" w14:textId="77777777" w:rsidR="00B16F49" w:rsidRPr="00AC4408" w:rsidRDefault="00B16F49" w:rsidP="000834DD">
            <w:pPr>
              <w:pStyle w:val="Standard"/>
              <w:spacing w:line="276" w:lineRule="auto"/>
              <w:rPr>
                <w:sz w:val="22"/>
                <w:szCs w:val="22"/>
                <w:highlight w:val="yellow"/>
              </w:rPr>
            </w:pPr>
          </w:p>
        </w:tc>
        <w:tc>
          <w:tcPr>
            <w:tcW w:w="2126" w:type="dxa"/>
            <w:vAlign w:val="center"/>
          </w:tcPr>
          <w:p w14:paraId="4DBCE0A8" w14:textId="77777777" w:rsidR="00B16F49" w:rsidRPr="00DB4FEF" w:rsidRDefault="00B16F49" w:rsidP="000834DD">
            <w:pPr>
              <w:pStyle w:val="Standard"/>
              <w:spacing w:line="276" w:lineRule="auto"/>
              <w:rPr>
                <w:color w:val="FF0000"/>
                <w:sz w:val="22"/>
                <w:szCs w:val="22"/>
              </w:rPr>
            </w:pPr>
            <w:r w:rsidRPr="00DB4FEF">
              <w:rPr>
                <w:sz w:val="22"/>
                <w:szCs w:val="22"/>
              </w:rPr>
              <w:t>Электронный</w:t>
            </w:r>
          </w:p>
        </w:tc>
      </w:tr>
      <w:tr w:rsidR="00B16F49" w:rsidRPr="00F562A8" w14:paraId="19C37DE2" w14:textId="77777777" w:rsidTr="000834DD">
        <w:tc>
          <w:tcPr>
            <w:tcW w:w="703" w:type="dxa"/>
          </w:tcPr>
          <w:p w14:paraId="38D31C12" w14:textId="77777777" w:rsidR="00B16F49" w:rsidRPr="00455126" w:rsidRDefault="00B16F49" w:rsidP="000834DD">
            <w:pPr>
              <w:pStyle w:val="Standard"/>
              <w:numPr>
                <w:ilvl w:val="0"/>
                <w:numId w:val="4"/>
              </w:numPr>
              <w:spacing w:line="276" w:lineRule="auto"/>
              <w:ind w:left="33" w:firstLine="0"/>
              <w:rPr>
                <w:sz w:val="22"/>
                <w:szCs w:val="22"/>
              </w:rPr>
            </w:pPr>
          </w:p>
        </w:tc>
        <w:tc>
          <w:tcPr>
            <w:tcW w:w="4112" w:type="dxa"/>
          </w:tcPr>
          <w:p w14:paraId="15E8B29D" w14:textId="77777777" w:rsidR="00B16F49" w:rsidRPr="00455126" w:rsidRDefault="00B16F49" w:rsidP="000834DD">
            <w:pPr>
              <w:pStyle w:val="Standard"/>
              <w:spacing w:line="276" w:lineRule="auto"/>
              <w:rPr>
                <w:sz w:val="22"/>
                <w:szCs w:val="22"/>
              </w:rPr>
            </w:pPr>
            <w:r w:rsidRPr="00455126">
              <w:rPr>
                <w:sz w:val="22"/>
                <w:szCs w:val="22"/>
              </w:rPr>
              <w:t>Справочник оценщика недвижимости – 2020. Земельные участки. Часть 2./ Л.А. Лейфер, Т.В. Крайникова. – Н.Новгород: Приволжский центр методического и информационного обеспечения оценки, 2020. – 312 с.</w:t>
            </w:r>
          </w:p>
        </w:tc>
        <w:tc>
          <w:tcPr>
            <w:tcW w:w="2410" w:type="dxa"/>
          </w:tcPr>
          <w:p w14:paraId="1B18DCDF" w14:textId="77777777" w:rsidR="00B16F49" w:rsidRPr="00AC4408" w:rsidRDefault="00B16F49" w:rsidP="000834DD">
            <w:pPr>
              <w:pStyle w:val="Standard"/>
              <w:spacing w:line="276" w:lineRule="auto"/>
              <w:rPr>
                <w:sz w:val="22"/>
                <w:szCs w:val="22"/>
                <w:highlight w:val="yellow"/>
              </w:rPr>
            </w:pPr>
          </w:p>
        </w:tc>
        <w:tc>
          <w:tcPr>
            <w:tcW w:w="2126" w:type="dxa"/>
            <w:vAlign w:val="center"/>
          </w:tcPr>
          <w:p w14:paraId="23DE1474" w14:textId="77777777" w:rsidR="00B16F49" w:rsidRPr="00DB4FEF" w:rsidRDefault="00B16F49" w:rsidP="000834DD">
            <w:pPr>
              <w:pStyle w:val="Standard"/>
              <w:spacing w:line="276" w:lineRule="auto"/>
              <w:rPr>
                <w:sz w:val="22"/>
                <w:szCs w:val="22"/>
              </w:rPr>
            </w:pPr>
            <w:r w:rsidRPr="00DB4FEF">
              <w:rPr>
                <w:sz w:val="22"/>
                <w:szCs w:val="22"/>
              </w:rPr>
              <w:t>Электронный</w:t>
            </w:r>
          </w:p>
        </w:tc>
      </w:tr>
      <w:tr w:rsidR="00B16F49" w:rsidRPr="00F562A8" w14:paraId="0406DCE4" w14:textId="77777777" w:rsidTr="000834DD">
        <w:tc>
          <w:tcPr>
            <w:tcW w:w="703" w:type="dxa"/>
          </w:tcPr>
          <w:p w14:paraId="7BC11579" w14:textId="77777777" w:rsidR="00B16F49" w:rsidRPr="00F562A8" w:rsidRDefault="00B16F49" w:rsidP="000834DD">
            <w:pPr>
              <w:pStyle w:val="Standard"/>
              <w:numPr>
                <w:ilvl w:val="0"/>
                <w:numId w:val="4"/>
              </w:numPr>
              <w:spacing w:line="276" w:lineRule="auto"/>
              <w:ind w:left="33" w:firstLine="0"/>
              <w:rPr>
                <w:sz w:val="22"/>
                <w:szCs w:val="22"/>
              </w:rPr>
            </w:pPr>
          </w:p>
        </w:tc>
        <w:tc>
          <w:tcPr>
            <w:tcW w:w="4112" w:type="dxa"/>
          </w:tcPr>
          <w:p w14:paraId="3961C303" w14:textId="77777777" w:rsidR="00B16F49" w:rsidRPr="00AC4408" w:rsidRDefault="00B16F49" w:rsidP="000834DD">
            <w:pPr>
              <w:pStyle w:val="Standard"/>
              <w:spacing w:line="276" w:lineRule="auto"/>
              <w:rPr>
                <w:sz w:val="22"/>
                <w:szCs w:val="22"/>
                <w:highlight w:val="yellow"/>
              </w:rPr>
            </w:pPr>
            <w:r w:rsidRPr="00455126">
              <w:rPr>
                <w:sz w:val="22"/>
                <w:szCs w:val="22"/>
              </w:rPr>
              <w:t>Справочник оценщика недвижимости – 20</w:t>
            </w:r>
            <w:r>
              <w:rPr>
                <w:sz w:val="22"/>
                <w:szCs w:val="22"/>
              </w:rPr>
              <w:t>18</w:t>
            </w:r>
            <w:r w:rsidRPr="00455126">
              <w:rPr>
                <w:sz w:val="22"/>
                <w:szCs w:val="22"/>
              </w:rPr>
              <w:t>. Земельные участки</w:t>
            </w:r>
            <w:r>
              <w:rPr>
                <w:sz w:val="22"/>
                <w:szCs w:val="22"/>
              </w:rPr>
              <w:t xml:space="preserve"> сельскохозяйственного назначения</w:t>
            </w:r>
            <w:r w:rsidRPr="00455126">
              <w:rPr>
                <w:sz w:val="22"/>
                <w:szCs w:val="22"/>
              </w:rPr>
              <w:t>/ Л.А. Лейфер, Т.В. Крайникова. – Н.Новгород: Приволжский центр методического и информационного обеспечения оценки, 20</w:t>
            </w:r>
            <w:r>
              <w:rPr>
                <w:sz w:val="22"/>
                <w:szCs w:val="22"/>
              </w:rPr>
              <w:t>18</w:t>
            </w:r>
            <w:r w:rsidRPr="00455126">
              <w:rPr>
                <w:sz w:val="22"/>
                <w:szCs w:val="22"/>
              </w:rPr>
              <w:t xml:space="preserve">. – </w:t>
            </w:r>
            <w:r>
              <w:rPr>
                <w:sz w:val="22"/>
                <w:szCs w:val="22"/>
              </w:rPr>
              <w:t>1</w:t>
            </w:r>
            <w:r w:rsidRPr="00455126">
              <w:rPr>
                <w:sz w:val="22"/>
                <w:szCs w:val="22"/>
              </w:rPr>
              <w:t>7</w:t>
            </w:r>
            <w:r>
              <w:rPr>
                <w:sz w:val="22"/>
                <w:szCs w:val="22"/>
              </w:rPr>
              <w:t>1</w:t>
            </w:r>
            <w:r w:rsidRPr="00455126">
              <w:rPr>
                <w:sz w:val="22"/>
                <w:szCs w:val="22"/>
              </w:rPr>
              <w:t xml:space="preserve"> с.</w:t>
            </w:r>
          </w:p>
        </w:tc>
        <w:tc>
          <w:tcPr>
            <w:tcW w:w="2410" w:type="dxa"/>
          </w:tcPr>
          <w:p w14:paraId="76830DE6" w14:textId="77777777" w:rsidR="00B16F49" w:rsidRPr="00AC4408" w:rsidRDefault="00B16F49" w:rsidP="000834DD">
            <w:pPr>
              <w:pStyle w:val="Standard"/>
              <w:spacing w:line="276" w:lineRule="auto"/>
              <w:rPr>
                <w:sz w:val="22"/>
                <w:szCs w:val="22"/>
                <w:highlight w:val="yellow"/>
              </w:rPr>
            </w:pPr>
          </w:p>
        </w:tc>
        <w:tc>
          <w:tcPr>
            <w:tcW w:w="2126" w:type="dxa"/>
            <w:vAlign w:val="center"/>
          </w:tcPr>
          <w:p w14:paraId="1CB91928" w14:textId="77777777" w:rsidR="00B16F49" w:rsidRPr="0089143F" w:rsidRDefault="00B16F49" w:rsidP="000834DD">
            <w:pPr>
              <w:pStyle w:val="Standard"/>
              <w:spacing w:line="276" w:lineRule="auto"/>
              <w:rPr>
                <w:sz w:val="22"/>
                <w:szCs w:val="22"/>
                <w:highlight w:val="yellow"/>
                <w:lang w:val="en-US"/>
              </w:rPr>
            </w:pPr>
            <w:r w:rsidRPr="0089143F">
              <w:rPr>
                <w:sz w:val="22"/>
                <w:szCs w:val="22"/>
              </w:rPr>
              <w:t xml:space="preserve">Формат </w:t>
            </w:r>
            <w:r w:rsidRPr="0089143F">
              <w:rPr>
                <w:sz w:val="22"/>
                <w:szCs w:val="22"/>
                <w:lang w:val="en-US"/>
              </w:rPr>
              <w:t>PDF</w:t>
            </w:r>
          </w:p>
        </w:tc>
      </w:tr>
      <w:tr w:rsidR="00B16F49" w:rsidRPr="00F562A8" w14:paraId="6BC7FA89" w14:textId="77777777" w:rsidTr="000834DD">
        <w:tc>
          <w:tcPr>
            <w:tcW w:w="703" w:type="dxa"/>
          </w:tcPr>
          <w:p w14:paraId="1654C3A3" w14:textId="77777777" w:rsidR="00B16F49" w:rsidRPr="00F562A8" w:rsidRDefault="00B16F49" w:rsidP="000834DD">
            <w:pPr>
              <w:pStyle w:val="Standard"/>
              <w:numPr>
                <w:ilvl w:val="0"/>
                <w:numId w:val="4"/>
              </w:numPr>
              <w:spacing w:line="276" w:lineRule="auto"/>
              <w:ind w:left="33" w:firstLine="0"/>
              <w:rPr>
                <w:sz w:val="22"/>
                <w:szCs w:val="22"/>
              </w:rPr>
            </w:pPr>
          </w:p>
        </w:tc>
        <w:tc>
          <w:tcPr>
            <w:tcW w:w="4112" w:type="dxa"/>
          </w:tcPr>
          <w:p w14:paraId="4CE20F84" w14:textId="77777777" w:rsidR="00B16F49" w:rsidRPr="00455126" w:rsidRDefault="00B16F49" w:rsidP="000834DD">
            <w:pPr>
              <w:pStyle w:val="Standard"/>
              <w:spacing w:line="276" w:lineRule="auto"/>
              <w:rPr>
                <w:sz w:val="22"/>
                <w:szCs w:val="22"/>
              </w:rPr>
            </w:pPr>
            <w:r w:rsidRPr="0077074E">
              <w:rPr>
                <w:sz w:val="22"/>
                <w:szCs w:val="22"/>
              </w:rPr>
              <w:t>Справочник агроклиматического оценочного зонирования субъектов Российской Федерации. Учебно-практическое пособие/Под ред. С.И. Носова.-Ответственный исполнитель: Оглезнев А.К. – М.: Маросейка, 2010.-208 с. С76 ил.-(Серия» Справочники по оценке) Москва, 2010)</w:t>
            </w:r>
          </w:p>
        </w:tc>
        <w:tc>
          <w:tcPr>
            <w:tcW w:w="2410" w:type="dxa"/>
          </w:tcPr>
          <w:p w14:paraId="177A29DA" w14:textId="77777777" w:rsidR="00B16F49" w:rsidRPr="00AC4408" w:rsidRDefault="00B16F49" w:rsidP="000834DD">
            <w:pPr>
              <w:pStyle w:val="Standard"/>
              <w:spacing w:line="276" w:lineRule="auto"/>
              <w:rPr>
                <w:sz w:val="22"/>
                <w:szCs w:val="22"/>
                <w:highlight w:val="yellow"/>
              </w:rPr>
            </w:pPr>
          </w:p>
        </w:tc>
        <w:tc>
          <w:tcPr>
            <w:tcW w:w="2126" w:type="dxa"/>
            <w:vAlign w:val="center"/>
          </w:tcPr>
          <w:p w14:paraId="44A43D14" w14:textId="77777777" w:rsidR="00B16F49" w:rsidRPr="0089143F" w:rsidRDefault="00B16F49" w:rsidP="000834DD">
            <w:pPr>
              <w:pStyle w:val="Standard"/>
              <w:spacing w:line="276" w:lineRule="auto"/>
              <w:rPr>
                <w:sz w:val="22"/>
                <w:szCs w:val="22"/>
              </w:rPr>
            </w:pPr>
            <w:r w:rsidRPr="0089143F">
              <w:rPr>
                <w:sz w:val="22"/>
                <w:szCs w:val="22"/>
              </w:rPr>
              <w:t xml:space="preserve">Формат </w:t>
            </w:r>
            <w:r w:rsidRPr="0089143F">
              <w:rPr>
                <w:sz w:val="22"/>
                <w:szCs w:val="22"/>
                <w:lang w:val="en-US"/>
              </w:rPr>
              <w:t>PDF</w:t>
            </w:r>
          </w:p>
        </w:tc>
      </w:tr>
      <w:bookmarkEnd w:id="23"/>
    </w:tbl>
    <w:p w14:paraId="36EAB06D" w14:textId="77777777" w:rsidR="00B16F49" w:rsidRDefault="00B16F49" w:rsidP="00B16F49">
      <w:pPr>
        <w:suppressAutoHyphens/>
        <w:autoSpaceDN w:val="0"/>
        <w:spacing w:after="0" w:line="276" w:lineRule="auto"/>
        <w:ind w:firstLine="708"/>
        <w:jc w:val="center"/>
        <w:textAlignment w:val="baseline"/>
        <w:rPr>
          <w:rFonts w:cs="Times New Roman"/>
          <w:color w:val="000000" w:themeColor="text1"/>
          <w:sz w:val="26"/>
        </w:rPr>
      </w:pPr>
    </w:p>
    <w:p w14:paraId="71CFBF4B" w14:textId="13A6D7CB" w:rsidR="00877CF5" w:rsidRPr="00B651D4" w:rsidRDefault="0062086F" w:rsidP="00B651D4">
      <w:pPr>
        <w:pStyle w:val="20"/>
        <w:spacing w:line="276" w:lineRule="auto"/>
        <w:rPr>
          <w:rFonts w:cs="Times New Roman"/>
          <w:sz w:val="26"/>
        </w:rPr>
      </w:pPr>
      <w:bookmarkStart w:id="24" w:name="_Toc110506924"/>
      <w:r w:rsidRPr="00B651D4">
        <w:rPr>
          <w:rFonts w:cs="Times New Roman"/>
          <w:sz w:val="26"/>
        </w:rPr>
        <w:t>2.</w:t>
      </w:r>
      <w:r w:rsidR="000C3AEA" w:rsidRPr="00B651D4">
        <w:rPr>
          <w:rFonts w:cs="Times New Roman"/>
          <w:sz w:val="26"/>
        </w:rPr>
        <w:t>5</w:t>
      </w:r>
      <w:r w:rsidRPr="00B651D4">
        <w:rPr>
          <w:rFonts w:cs="Times New Roman"/>
          <w:sz w:val="26"/>
        </w:rPr>
        <w:t xml:space="preserve"> Сведения о работниках бюджетного учреждения, непосредственно осуществивших определение кадастровой стоимости, руководителе такого бюджетного учреждения</w:t>
      </w:r>
      <w:bookmarkEnd w:id="21"/>
      <w:bookmarkEnd w:id="22"/>
      <w:bookmarkEnd w:id="24"/>
    </w:p>
    <w:p w14:paraId="4490B3A2" w14:textId="77777777" w:rsidR="00CE77BC" w:rsidRPr="00F562A8" w:rsidRDefault="00CE77BC" w:rsidP="006F6435">
      <w:pPr>
        <w:spacing w:after="0" w:line="276" w:lineRule="auto"/>
        <w:ind w:firstLine="708"/>
        <w:jc w:val="both"/>
        <w:rPr>
          <w:rFonts w:ascii="Times New Roman" w:hAnsi="Times New Roman" w:cs="Times New Roman"/>
          <w:b/>
          <w:sz w:val="16"/>
          <w:szCs w:val="16"/>
        </w:rPr>
      </w:pPr>
    </w:p>
    <w:p w14:paraId="1EB6A7B2" w14:textId="338DEB41" w:rsidR="008D25A0" w:rsidRPr="00F562A8" w:rsidRDefault="008D25A0" w:rsidP="006F6435">
      <w:pPr>
        <w:spacing w:after="0" w:line="276" w:lineRule="auto"/>
        <w:ind w:firstLine="708"/>
        <w:jc w:val="both"/>
        <w:rPr>
          <w:rFonts w:ascii="Times New Roman" w:hAnsi="Times New Roman" w:cs="Times New Roman"/>
          <w:sz w:val="26"/>
          <w:szCs w:val="26"/>
        </w:rPr>
      </w:pPr>
      <w:r w:rsidRPr="00F562A8">
        <w:rPr>
          <w:rFonts w:ascii="Times New Roman" w:hAnsi="Times New Roman" w:cs="Times New Roman"/>
          <w:sz w:val="26"/>
          <w:szCs w:val="26"/>
        </w:rPr>
        <w:t>Сведения о работниках, непосредственно осуществивших определение кадастровой стоимости, и руководителе учреждения, отражены в таблице ниже:</w:t>
      </w:r>
    </w:p>
    <w:p w14:paraId="18DDC06A" w14:textId="77777777" w:rsidR="00E753EC" w:rsidRDefault="00E753EC" w:rsidP="006F6435">
      <w:pPr>
        <w:spacing w:after="0" w:line="276" w:lineRule="auto"/>
        <w:ind w:firstLine="708"/>
        <w:jc w:val="right"/>
        <w:rPr>
          <w:rFonts w:ascii="Times New Roman" w:hAnsi="Times New Roman" w:cs="Times New Roman"/>
          <w:sz w:val="26"/>
          <w:szCs w:val="26"/>
        </w:rPr>
      </w:pPr>
    </w:p>
    <w:p w14:paraId="458C986C" w14:textId="284C0BC7" w:rsidR="008D25A0" w:rsidRPr="00F562A8" w:rsidRDefault="008D25A0" w:rsidP="006F6435">
      <w:pPr>
        <w:spacing w:after="0" w:line="276" w:lineRule="auto"/>
        <w:ind w:firstLine="708"/>
        <w:jc w:val="right"/>
        <w:rPr>
          <w:rFonts w:ascii="Times New Roman" w:hAnsi="Times New Roman" w:cs="Times New Roman"/>
          <w:sz w:val="26"/>
          <w:szCs w:val="26"/>
        </w:rPr>
      </w:pPr>
      <w:r w:rsidRPr="00F562A8">
        <w:rPr>
          <w:rFonts w:ascii="Times New Roman" w:hAnsi="Times New Roman" w:cs="Times New Roman"/>
          <w:sz w:val="26"/>
          <w:szCs w:val="26"/>
        </w:rPr>
        <w:t xml:space="preserve">Таблица </w:t>
      </w:r>
      <w:r w:rsidR="001C0A37" w:rsidRPr="00F562A8">
        <w:rPr>
          <w:rFonts w:ascii="Times New Roman" w:hAnsi="Times New Roman" w:cs="Times New Roman"/>
          <w:sz w:val="26"/>
          <w:szCs w:val="26"/>
        </w:rPr>
        <w:t>2.</w:t>
      </w:r>
      <w:r w:rsidR="00722202">
        <w:rPr>
          <w:rFonts w:ascii="Times New Roman" w:hAnsi="Times New Roman" w:cs="Times New Roman"/>
          <w:sz w:val="26"/>
          <w:szCs w:val="26"/>
        </w:rPr>
        <w:t>5</w:t>
      </w:r>
      <w:r w:rsidR="001C0A37" w:rsidRPr="00F562A8">
        <w:rPr>
          <w:rFonts w:ascii="Times New Roman" w:hAnsi="Times New Roman" w:cs="Times New Roman"/>
          <w:sz w:val="26"/>
          <w:szCs w:val="26"/>
        </w:rPr>
        <w:t>.1</w:t>
      </w:r>
    </w:p>
    <w:p w14:paraId="7331F14E" w14:textId="77777777" w:rsidR="00B70FD6" w:rsidRPr="00F562A8" w:rsidRDefault="00B70FD6" w:rsidP="00B70FD6">
      <w:pPr>
        <w:spacing w:after="0" w:line="276" w:lineRule="auto"/>
        <w:ind w:firstLine="708"/>
        <w:jc w:val="center"/>
        <w:rPr>
          <w:rFonts w:ascii="Times New Roman" w:hAnsi="Times New Roman" w:cs="Times New Roman"/>
          <w:b/>
          <w:sz w:val="26"/>
          <w:szCs w:val="26"/>
        </w:rPr>
      </w:pPr>
      <w:r w:rsidRPr="00F562A8">
        <w:rPr>
          <w:rFonts w:ascii="Times New Roman" w:hAnsi="Times New Roman" w:cs="Times New Roman"/>
          <w:b/>
          <w:sz w:val="26"/>
          <w:szCs w:val="26"/>
        </w:rPr>
        <w:t>Сведения о работниках, непосредственно осуществивших определение кадастровой стоимости, и руководителе учреждения</w:t>
      </w:r>
    </w:p>
    <w:tbl>
      <w:tblPr>
        <w:tblStyle w:val="18"/>
        <w:tblW w:w="9351" w:type="dxa"/>
        <w:tblLook w:val="04A0" w:firstRow="1" w:lastRow="0" w:firstColumn="1" w:lastColumn="0" w:noHBand="0" w:noVBand="1"/>
      </w:tblPr>
      <w:tblGrid>
        <w:gridCol w:w="2122"/>
        <w:gridCol w:w="1699"/>
        <w:gridCol w:w="3695"/>
        <w:gridCol w:w="1835"/>
      </w:tblGrid>
      <w:tr w:rsidR="00AB0AA8" w:rsidRPr="00F562A8" w14:paraId="6F57988B" w14:textId="77777777" w:rsidTr="002265A1">
        <w:tc>
          <w:tcPr>
            <w:tcW w:w="2122" w:type="dxa"/>
            <w:shd w:val="clear" w:color="auto" w:fill="auto"/>
            <w:vAlign w:val="center"/>
          </w:tcPr>
          <w:p w14:paraId="5E0335F9" w14:textId="77777777" w:rsidR="00AB0AA8" w:rsidRPr="00F562A8" w:rsidRDefault="00AB0AA8" w:rsidP="00B70FD6">
            <w:pPr>
              <w:spacing w:line="276" w:lineRule="auto"/>
              <w:contextualSpacing/>
              <w:jc w:val="center"/>
              <w:rPr>
                <w:rFonts w:ascii="Times New Roman" w:hAnsi="Times New Roman" w:cs="Times New Roman"/>
                <w:b/>
              </w:rPr>
            </w:pPr>
            <w:r w:rsidRPr="00F562A8">
              <w:rPr>
                <w:rFonts w:ascii="Times New Roman" w:hAnsi="Times New Roman" w:cs="Times New Roman"/>
                <w:b/>
              </w:rPr>
              <w:t>Наименование должности</w:t>
            </w:r>
          </w:p>
        </w:tc>
        <w:tc>
          <w:tcPr>
            <w:tcW w:w="1699" w:type="dxa"/>
            <w:shd w:val="clear" w:color="auto" w:fill="auto"/>
            <w:vAlign w:val="center"/>
          </w:tcPr>
          <w:p w14:paraId="3C3A6CF2" w14:textId="77777777" w:rsidR="00AB0AA8" w:rsidRPr="00F562A8" w:rsidRDefault="00AB0AA8" w:rsidP="00B70FD6">
            <w:pPr>
              <w:spacing w:line="276" w:lineRule="auto"/>
              <w:contextualSpacing/>
              <w:jc w:val="center"/>
              <w:rPr>
                <w:rFonts w:ascii="Times New Roman" w:hAnsi="Times New Roman" w:cs="Times New Roman"/>
                <w:b/>
              </w:rPr>
            </w:pPr>
            <w:r w:rsidRPr="00F562A8">
              <w:rPr>
                <w:rFonts w:ascii="Times New Roman" w:hAnsi="Times New Roman" w:cs="Times New Roman"/>
                <w:b/>
              </w:rPr>
              <w:t>ФИО работника</w:t>
            </w:r>
          </w:p>
        </w:tc>
        <w:tc>
          <w:tcPr>
            <w:tcW w:w="5530" w:type="dxa"/>
            <w:gridSpan w:val="2"/>
            <w:vAlign w:val="center"/>
          </w:tcPr>
          <w:p w14:paraId="44AB0124" w14:textId="0B15A9DD" w:rsidR="00AB0AA8" w:rsidRPr="00F562A8" w:rsidRDefault="00AB0AA8" w:rsidP="00B70FD6">
            <w:pPr>
              <w:spacing w:line="276" w:lineRule="auto"/>
              <w:contextualSpacing/>
              <w:jc w:val="center"/>
              <w:rPr>
                <w:rFonts w:ascii="Times New Roman" w:hAnsi="Times New Roman" w:cs="Times New Roman"/>
                <w:b/>
              </w:rPr>
            </w:pPr>
            <w:r w:rsidRPr="00F562A8">
              <w:rPr>
                <w:rFonts w:ascii="Times New Roman" w:hAnsi="Times New Roman" w:cs="Times New Roman"/>
                <w:b/>
              </w:rPr>
              <w:t>Наименование и реквизиты документа об образовании, подтверждающего получение профессиональных знаний</w:t>
            </w:r>
          </w:p>
        </w:tc>
      </w:tr>
      <w:tr w:rsidR="00B70FD6" w:rsidRPr="00F562A8" w14:paraId="78AEDA61" w14:textId="77777777" w:rsidTr="00B70FD6">
        <w:tc>
          <w:tcPr>
            <w:tcW w:w="9351" w:type="dxa"/>
            <w:gridSpan w:val="4"/>
            <w:shd w:val="clear" w:color="auto" w:fill="auto"/>
            <w:vAlign w:val="center"/>
          </w:tcPr>
          <w:p w14:paraId="0E83FDDE" w14:textId="77777777" w:rsidR="00B70FD6" w:rsidRPr="00C77DE0" w:rsidRDefault="00B70FD6" w:rsidP="00B70FD6">
            <w:pPr>
              <w:spacing w:line="276" w:lineRule="auto"/>
              <w:contextualSpacing/>
              <w:jc w:val="center"/>
              <w:rPr>
                <w:rFonts w:ascii="Times New Roman" w:hAnsi="Times New Roman" w:cs="Times New Roman"/>
                <w:b/>
                <w:i/>
              </w:rPr>
            </w:pPr>
            <w:r w:rsidRPr="00C77DE0">
              <w:rPr>
                <w:rFonts w:ascii="Times New Roman" w:hAnsi="Times New Roman" w:cs="Times New Roman"/>
                <w:b/>
                <w:i/>
                <w:szCs w:val="26"/>
              </w:rPr>
              <w:t>Руководитель бюджетного учреждения</w:t>
            </w:r>
          </w:p>
        </w:tc>
      </w:tr>
      <w:tr w:rsidR="00AB0AA8" w:rsidRPr="00F562A8" w14:paraId="34625A0D" w14:textId="77777777" w:rsidTr="002265A1">
        <w:trPr>
          <w:trHeight w:val="645"/>
        </w:trPr>
        <w:tc>
          <w:tcPr>
            <w:tcW w:w="2122" w:type="dxa"/>
            <w:shd w:val="clear" w:color="auto" w:fill="auto"/>
            <w:vAlign w:val="center"/>
          </w:tcPr>
          <w:p w14:paraId="66FCA5EF" w14:textId="0D7AD73F" w:rsidR="00AB0AA8" w:rsidRPr="00E753EC" w:rsidRDefault="009F290B" w:rsidP="00B70FD6">
            <w:pPr>
              <w:spacing w:line="276" w:lineRule="auto"/>
              <w:contextualSpacing/>
              <w:rPr>
                <w:rFonts w:ascii="Times New Roman" w:hAnsi="Times New Roman" w:cs="Times New Roman"/>
              </w:rPr>
            </w:pPr>
            <w:r>
              <w:rPr>
                <w:rFonts w:ascii="Times New Roman" w:hAnsi="Times New Roman" w:cs="Times New Roman"/>
              </w:rPr>
              <w:t>Директор</w:t>
            </w:r>
          </w:p>
        </w:tc>
        <w:tc>
          <w:tcPr>
            <w:tcW w:w="1699" w:type="dxa"/>
            <w:shd w:val="clear" w:color="auto" w:fill="auto"/>
            <w:vAlign w:val="center"/>
          </w:tcPr>
          <w:p w14:paraId="0576B4D8" w14:textId="6A41CD74" w:rsidR="00AB0AA8" w:rsidRPr="00E753EC" w:rsidRDefault="009F290B" w:rsidP="00B70FD6">
            <w:pPr>
              <w:spacing w:line="276" w:lineRule="auto"/>
              <w:contextualSpacing/>
              <w:rPr>
                <w:rFonts w:ascii="Times New Roman" w:hAnsi="Times New Roman" w:cs="Times New Roman"/>
              </w:rPr>
            </w:pPr>
            <w:r>
              <w:rPr>
                <w:rFonts w:ascii="Times New Roman" w:hAnsi="Times New Roman" w:cs="Times New Roman"/>
              </w:rPr>
              <w:t>Третьяков Сергей Николаевич</w:t>
            </w:r>
          </w:p>
        </w:tc>
        <w:tc>
          <w:tcPr>
            <w:tcW w:w="5530" w:type="dxa"/>
            <w:gridSpan w:val="2"/>
            <w:vAlign w:val="center"/>
          </w:tcPr>
          <w:p w14:paraId="6322429D" w14:textId="1FEA28AB" w:rsidR="00AB0AA8" w:rsidRPr="00B70FD6" w:rsidRDefault="00AB0AA8" w:rsidP="00AB0AA8">
            <w:pPr>
              <w:spacing w:line="276" w:lineRule="auto"/>
              <w:rPr>
                <w:rFonts w:ascii="Times New Roman" w:hAnsi="Times New Roman" w:cs="Times New Roman"/>
                <w:highlight w:val="yellow"/>
              </w:rPr>
            </w:pPr>
            <w:r w:rsidRPr="00B651D4">
              <w:rPr>
                <w:rFonts w:ascii="Times New Roman" w:hAnsi="Times New Roman" w:cs="Times New Roman"/>
              </w:rPr>
              <w:t xml:space="preserve">Диплом о высшем образовании выдан </w:t>
            </w:r>
            <w:r w:rsidR="00B651D4" w:rsidRPr="00B651D4">
              <w:rPr>
                <w:rFonts w:ascii="Times New Roman" w:hAnsi="Times New Roman" w:cs="Times New Roman"/>
              </w:rPr>
              <w:t>Воронежским государственным университетом, диплом БВС 0867601 выдан 29.06.2000 г.</w:t>
            </w:r>
          </w:p>
        </w:tc>
      </w:tr>
      <w:tr w:rsidR="00AB0AA8" w:rsidRPr="00F562A8" w14:paraId="68C0FE67" w14:textId="77777777" w:rsidTr="00B70FD6">
        <w:trPr>
          <w:trHeight w:val="645"/>
        </w:trPr>
        <w:tc>
          <w:tcPr>
            <w:tcW w:w="2122" w:type="dxa"/>
            <w:shd w:val="clear" w:color="auto" w:fill="auto"/>
            <w:vAlign w:val="center"/>
          </w:tcPr>
          <w:p w14:paraId="3E81B913" w14:textId="6E7C3745" w:rsidR="00AB0AA8" w:rsidRPr="00E753EC" w:rsidRDefault="00AB0AA8" w:rsidP="00AB0AA8">
            <w:pPr>
              <w:spacing w:line="276" w:lineRule="auto"/>
              <w:contextualSpacing/>
              <w:rPr>
                <w:rFonts w:ascii="Times New Roman" w:hAnsi="Times New Roman" w:cs="Times New Roman"/>
              </w:rPr>
            </w:pPr>
            <w:r w:rsidRPr="00F562A8">
              <w:rPr>
                <w:rFonts w:ascii="Times New Roman" w:hAnsi="Times New Roman" w:cs="Times New Roman"/>
                <w:b/>
              </w:rPr>
              <w:t>Наименование должности</w:t>
            </w:r>
          </w:p>
        </w:tc>
        <w:tc>
          <w:tcPr>
            <w:tcW w:w="1699" w:type="dxa"/>
            <w:shd w:val="clear" w:color="auto" w:fill="auto"/>
            <w:vAlign w:val="center"/>
          </w:tcPr>
          <w:p w14:paraId="11A5D490" w14:textId="2E61314D" w:rsidR="00AB0AA8" w:rsidRPr="00E753EC" w:rsidRDefault="00AB0AA8" w:rsidP="00AB0AA8">
            <w:pPr>
              <w:spacing w:line="276" w:lineRule="auto"/>
              <w:contextualSpacing/>
              <w:rPr>
                <w:rFonts w:ascii="Times New Roman" w:hAnsi="Times New Roman" w:cs="Times New Roman"/>
              </w:rPr>
            </w:pPr>
            <w:r w:rsidRPr="00F562A8">
              <w:rPr>
                <w:rFonts w:ascii="Times New Roman" w:hAnsi="Times New Roman" w:cs="Times New Roman"/>
                <w:b/>
              </w:rPr>
              <w:t>ФИО работника</w:t>
            </w:r>
          </w:p>
        </w:tc>
        <w:tc>
          <w:tcPr>
            <w:tcW w:w="3695" w:type="dxa"/>
            <w:vAlign w:val="center"/>
          </w:tcPr>
          <w:p w14:paraId="21D856CE" w14:textId="61AD2BB7" w:rsidR="00AB0AA8" w:rsidRPr="00BD02B9" w:rsidRDefault="00AB0AA8" w:rsidP="00AB0AA8">
            <w:pPr>
              <w:spacing w:line="276" w:lineRule="auto"/>
              <w:rPr>
                <w:rFonts w:ascii="Times New Roman" w:hAnsi="Times New Roman" w:cs="Times New Roman"/>
              </w:rPr>
            </w:pPr>
            <w:r w:rsidRPr="00F562A8">
              <w:rPr>
                <w:rFonts w:ascii="Times New Roman" w:hAnsi="Times New Roman" w:cs="Times New Roman"/>
                <w:b/>
              </w:rPr>
              <w:t>Наименование и реквизиты документа об образовании, подтверждающего получение профессиональных знаний</w:t>
            </w:r>
          </w:p>
        </w:tc>
        <w:tc>
          <w:tcPr>
            <w:tcW w:w="1835" w:type="dxa"/>
            <w:vAlign w:val="center"/>
          </w:tcPr>
          <w:p w14:paraId="0386E30C" w14:textId="4B72F607" w:rsidR="00AB0AA8" w:rsidRPr="0089143F" w:rsidRDefault="00AB0AA8" w:rsidP="00AB0AA8">
            <w:pPr>
              <w:spacing w:line="276" w:lineRule="auto"/>
              <w:contextualSpacing/>
              <w:jc w:val="center"/>
              <w:rPr>
                <w:rFonts w:ascii="Times New Roman" w:hAnsi="Times New Roman" w:cs="Times New Roman"/>
              </w:rPr>
            </w:pPr>
            <w:r w:rsidRPr="00F562A8">
              <w:rPr>
                <w:rFonts w:ascii="Times New Roman" w:hAnsi="Times New Roman" w:cs="Times New Roman"/>
                <w:b/>
              </w:rPr>
              <w:t>Стаж работы в оценочной деятельности</w:t>
            </w:r>
          </w:p>
        </w:tc>
      </w:tr>
      <w:tr w:rsidR="00B70FD6" w:rsidRPr="00F562A8" w14:paraId="043EB9F5" w14:textId="77777777" w:rsidTr="00B70FD6">
        <w:trPr>
          <w:trHeight w:val="645"/>
        </w:trPr>
        <w:tc>
          <w:tcPr>
            <w:tcW w:w="9351" w:type="dxa"/>
            <w:gridSpan w:val="4"/>
            <w:shd w:val="clear" w:color="auto" w:fill="auto"/>
            <w:vAlign w:val="center"/>
          </w:tcPr>
          <w:p w14:paraId="3C257678" w14:textId="77777777" w:rsidR="00B70FD6" w:rsidRDefault="00B70FD6" w:rsidP="00B70FD6">
            <w:pPr>
              <w:spacing w:line="276" w:lineRule="auto"/>
              <w:contextualSpacing/>
              <w:jc w:val="center"/>
              <w:rPr>
                <w:rFonts w:ascii="Times New Roman" w:hAnsi="Times New Roman" w:cs="Times New Roman"/>
              </w:rPr>
            </w:pPr>
            <w:r w:rsidRPr="00C77DE0">
              <w:rPr>
                <w:rFonts w:ascii="Times New Roman" w:hAnsi="Times New Roman" w:cs="Times New Roman"/>
                <w:b/>
                <w:i/>
                <w:szCs w:val="26"/>
              </w:rPr>
              <w:t>Работники, непосредственно осуществившие определение кадастровой стоимости</w:t>
            </w:r>
          </w:p>
        </w:tc>
      </w:tr>
      <w:tr w:rsidR="00B70FD6" w:rsidRPr="00F562A8" w14:paraId="16633380" w14:textId="77777777" w:rsidTr="00B70FD6">
        <w:trPr>
          <w:trHeight w:val="645"/>
        </w:trPr>
        <w:tc>
          <w:tcPr>
            <w:tcW w:w="2122" w:type="dxa"/>
            <w:shd w:val="clear" w:color="auto" w:fill="auto"/>
            <w:vAlign w:val="center"/>
          </w:tcPr>
          <w:p w14:paraId="75708FBE" w14:textId="77777777" w:rsidR="00B70FD6" w:rsidRPr="00F562A8" w:rsidRDefault="00B70FD6" w:rsidP="00B70FD6">
            <w:pPr>
              <w:spacing w:line="276" w:lineRule="auto"/>
              <w:contextualSpacing/>
              <w:rPr>
                <w:rFonts w:ascii="Times New Roman" w:hAnsi="Times New Roman" w:cs="Times New Roman"/>
              </w:rPr>
            </w:pPr>
            <w:r>
              <w:rPr>
                <w:rFonts w:ascii="Times New Roman" w:hAnsi="Times New Roman" w:cs="Times New Roman"/>
              </w:rPr>
              <w:t>Н</w:t>
            </w:r>
            <w:r w:rsidRPr="00F562A8">
              <w:rPr>
                <w:rFonts w:ascii="Times New Roman" w:hAnsi="Times New Roman" w:cs="Times New Roman"/>
              </w:rPr>
              <w:t xml:space="preserve">ачальник </w:t>
            </w:r>
            <w:r>
              <w:rPr>
                <w:rFonts w:ascii="Times New Roman" w:hAnsi="Times New Roman" w:cs="Times New Roman"/>
              </w:rPr>
              <w:t>отдела кадастровой оценки</w:t>
            </w:r>
          </w:p>
        </w:tc>
        <w:tc>
          <w:tcPr>
            <w:tcW w:w="1699" w:type="dxa"/>
            <w:shd w:val="clear" w:color="auto" w:fill="auto"/>
            <w:vAlign w:val="center"/>
          </w:tcPr>
          <w:p w14:paraId="7A475E83" w14:textId="77777777" w:rsidR="00B70FD6" w:rsidRPr="00F562A8" w:rsidRDefault="00B70FD6" w:rsidP="00B70FD6">
            <w:pPr>
              <w:spacing w:line="276" w:lineRule="auto"/>
              <w:contextualSpacing/>
              <w:rPr>
                <w:rFonts w:ascii="Times New Roman" w:hAnsi="Times New Roman" w:cs="Times New Roman"/>
              </w:rPr>
            </w:pPr>
            <w:r w:rsidRPr="00F562A8">
              <w:rPr>
                <w:rFonts w:ascii="Times New Roman" w:hAnsi="Times New Roman" w:cs="Times New Roman"/>
              </w:rPr>
              <w:t>Тихова Анна Вячеславовна</w:t>
            </w:r>
          </w:p>
        </w:tc>
        <w:tc>
          <w:tcPr>
            <w:tcW w:w="3695" w:type="dxa"/>
          </w:tcPr>
          <w:p w14:paraId="1F01B669" w14:textId="77777777" w:rsidR="00B70FD6" w:rsidRPr="00F562A8" w:rsidRDefault="00B70FD6" w:rsidP="00B70FD6">
            <w:pPr>
              <w:spacing w:line="276" w:lineRule="auto"/>
              <w:contextualSpacing/>
              <w:rPr>
                <w:rFonts w:ascii="Times New Roman" w:hAnsi="Times New Roman" w:cs="Times New Roman"/>
              </w:rPr>
            </w:pPr>
            <w:r w:rsidRPr="00F562A8">
              <w:rPr>
                <w:rFonts w:ascii="Times New Roman" w:hAnsi="Times New Roman" w:cs="Times New Roman"/>
              </w:rPr>
              <w:t>Диплом о профессиональной переподготовке в сфере оценки стоимости предприятия (бизнеса), выдан ГОУ ВПО "СПБ ГУЭФ", диплом № 403478 от 03.07.2009 г.</w:t>
            </w:r>
          </w:p>
        </w:tc>
        <w:tc>
          <w:tcPr>
            <w:tcW w:w="1835" w:type="dxa"/>
            <w:vAlign w:val="center"/>
          </w:tcPr>
          <w:p w14:paraId="1FBFA680" w14:textId="77777777" w:rsidR="00B70FD6" w:rsidRPr="00F562A8" w:rsidRDefault="00B70FD6" w:rsidP="00B70FD6">
            <w:pPr>
              <w:spacing w:line="276" w:lineRule="auto"/>
              <w:jc w:val="center"/>
              <w:rPr>
                <w:rFonts w:ascii="Times New Roman" w:hAnsi="Times New Roman" w:cs="Times New Roman"/>
              </w:rPr>
            </w:pPr>
            <w:r w:rsidRPr="00F562A8">
              <w:rPr>
                <w:rFonts w:ascii="Times New Roman" w:hAnsi="Times New Roman" w:cs="Times New Roman"/>
              </w:rPr>
              <w:t xml:space="preserve">С 2005 года </w:t>
            </w:r>
          </w:p>
        </w:tc>
      </w:tr>
      <w:tr w:rsidR="00B70FD6" w:rsidRPr="00F562A8" w14:paraId="4F1D400D" w14:textId="77777777" w:rsidTr="00B70FD6">
        <w:trPr>
          <w:trHeight w:val="645"/>
        </w:trPr>
        <w:tc>
          <w:tcPr>
            <w:tcW w:w="2122" w:type="dxa"/>
            <w:shd w:val="clear" w:color="auto" w:fill="auto"/>
            <w:vAlign w:val="center"/>
          </w:tcPr>
          <w:p w14:paraId="76BB7569" w14:textId="77777777" w:rsidR="00B70FD6" w:rsidRPr="00F562A8" w:rsidRDefault="00B70FD6" w:rsidP="00B70FD6">
            <w:pPr>
              <w:spacing w:line="276" w:lineRule="auto"/>
              <w:contextualSpacing/>
              <w:rPr>
                <w:rFonts w:ascii="Times New Roman" w:hAnsi="Times New Roman" w:cs="Times New Roman"/>
              </w:rPr>
            </w:pPr>
            <w:r>
              <w:rPr>
                <w:rFonts w:ascii="Times New Roman" w:hAnsi="Times New Roman" w:cs="Times New Roman"/>
              </w:rPr>
              <w:t>Г</w:t>
            </w:r>
            <w:r w:rsidRPr="00F562A8">
              <w:rPr>
                <w:rFonts w:ascii="Times New Roman" w:hAnsi="Times New Roman" w:cs="Times New Roman"/>
              </w:rPr>
              <w:t xml:space="preserve">лавный специалист отдела кадастровой оценки </w:t>
            </w:r>
          </w:p>
        </w:tc>
        <w:tc>
          <w:tcPr>
            <w:tcW w:w="1699" w:type="dxa"/>
            <w:shd w:val="clear" w:color="auto" w:fill="auto"/>
            <w:vAlign w:val="center"/>
          </w:tcPr>
          <w:p w14:paraId="10943B07" w14:textId="77777777" w:rsidR="00B70FD6" w:rsidRPr="00F562A8" w:rsidRDefault="00B70FD6" w:rsidP="00B70FD6">
            <w:pPr>
              <w:spacing w:line="276" w:lineRule="auto"/>
              <w:contextualSpacing/>
              <w:rPr>
                <w:rFonts w:ascii="Times New Roman" w:hAnsi="Times New Roman" w:cs="Times New Roman"/>
              </w:rPr>
            </w:pPr>
            <w:r w:rsidRPr="00F562A8">
              <w:rPr>
                <w:rFonts w:ascii="Times New Roman" w:hAnsi="Times New Roman" w:cs="Times New Roman"/>
              </w:rPr>
              <w:t>Коваленко Михаил Николаевич</w:t>
            </w:r>
          </w:p>
        </w:tc>
        <w:tc>
          <w:tcPr>
            <w:tcW w:w="3695" w:type="dxa"/>
            <w:vAlign w:val="center"/>
          </w:tcPr>
          <w:p w14:paraId="21A93504" w14:textId="77777777" w:rsidR="00B70FD6" w:rsidRPr="00F562A8" w:rsidRDefault="00B70FD6" w:rsidP="00B70FD6">
            <w:pPr>
              <w:spacing w:line="276" w:lineRule="auto"/>
              <w:contextualSpacing/>
              <w:rPr>
                <w:rFonts w:ascii="Times New Roman" w:hAnsi="Times New Roman" w:cs="Times New Roman"/>
              </w:rPr>
            </w:pPr>
            <w:r w:rsidRPr="00F562A8">
              <w:rPr>
                <w:rFonts w:ascii="Times New Roman" w:hAnsi="Times New Roman" w:cs="Times New Roman"/>
              </w:rPr>
              <w:t>Диплом о профессиональной переподготовке в сфере оценки стоимости предприятия (бизнеса), Автономная некоммерческая образовательная организация «Региональный Банковский Учебный Центр», диплом ПП-1 № 656950 от 29.07.2010 г.</w:t>
            </w:r>
          </w:p>
        </w:tc>
        <w:tc>
          <w:tcPr>
            <w:tcW w:w="1835" w:type="dxa"/>
            <w:vAlign w:val="center"/>
          </w:tcPr>
          <w:p w14:paraId="73639A24" w14:textId="77777777" w:rsidR="00B70FD6" w:rsidRPr="00F562A8" w:rsidRDefault="00B70FD6" w:rsidP="00B70FD6">
            <w:pPr>
              <w:spacing w:line="276" w:lineRule="auto"/>
              <w:contextualSpacing/>
              <w:jc w:val="center"/>
              <w:rPr>
                <w:rFonts w:ascii="Times New Roman" w:hAnsi="Times New Roman" w:cs="Times New Roman"/>
              </w:rPr>
            </w:pPr>
            <w:r w:rsidRPr="00F562A8">
              <w:rPr>
                <w:rFonts w:ascii="Times New Roman" w:hAnsi="Times New Roman" w:cs="Times New Roman"/>
              </w:rPr>
              <w:t>С 2010 года</w:t>
            </w:r>
          </w:p>
        </w:tc>
      </w:tr>
      <w:tr w:rsidR="00B70FD6" w:rsidRPr="00F562A8" w14:paraId="1D5A7509" w14:textId="77777777" w:rsidTr="00B70FD6">
        <w:tc>
          <w:tcPr>
            <w:tcW w:w="2122" w:type="dxa"/>
            <w:vAlign w:val="center"/>
          </w:tcPr>
          <w:p w14:paraId="302F1EFF" w14:textId="77777777" w:rsidR="00B70FD6" w:rsidRPr="00F562A8" w:rsidRDefault="00B70FD6" w:rsidP="00B70FD6">
            <w:pPr>
              <w:spacing w:line="276" w:lineRule="auto"/>
              <w:contextualSpacing/>
              <w:rPr>
                <w:rFonts w:ascii="Times New Roman" w:hAnsi="Times New Roman" w:cs="Times New Roman"/>
              </w:rPr>
            </w:pPr>
            <w:r>
              <w:rPr>
                <w:rFonts w:ascii="Times New Roman" w:hAnsi="Times New Roman" w:cs="Times New Roman"/>
              </w:rPr>
              <w:t>Г</w:t>
            </w:r>
            <w:r w:rsidRPr="00F562A8">
              <w:rPr>
                <w:rFonts w:ascii="Times New Roman" w:hAnsi="Times New Roman" w:cs="Times New Roman"/>
              </w:rPr>
              <w:t>лавный специалист отдела кадастровой оценки</w:t>
            </w:r>
          </w:p>
        </w:tc>
        <w:tc>
          <w:tcPr>
            <w:tcW w:w="1699" w:type="dxa"/>
            <w:vAlign w:val="center"/>
          </w:tcPr>
          <w:p w14:paraId="1AC4E22C" w14:textId="77777777" w:rsidR="00B70FD6" w:rsidRPr="00F562A8" w:rsidRDefault="00B70FD6" w:rsidP="00B70FD6">
            <w:pPr>
              <w:spacing w:line="276" w:lineRule="auto"/>
              <w:rPr>
                <w:rFonts w:ascii="Times New Roman" w:hAnsi="Times New Roman" w:cs="Times New Roman"/>
              </w:rPr>
            </w:pPr>
            <w:r w:rsidRPr="00F562A8">
              <w:rPr>
                <w:rFonts w:ascii="Times New Roman" w:hAnsi="Times New Roman" w:cs="Times New Roman"/>
              </w:rPr>
              <w:t>Кирсанова Наталия Викторовна</w:t>
            </w:r>
          </w:p>
        </w:tc>
        <w:tc>
          <w:tcPr>
            <w:tcW w:w="3695" w:type="dxa"/>
          </w:tcPr>
          <w:p w14:paraId="0E257B0B" w14:textId="77777777" w:rsidR="00B70FD6" w:rsidRPr="00F562A8" w:rsidRDefault="00B70FD6" w:rsidP="00B70FD6">
            <w:pPr>
              <w:spacing w:line="276" w:lineRule="auto"/>
              <w:rPr>
                <w:rFonts w:ascii="Times New Roman" w:hAnsi="Times New Roman" w:cs="Times New Roman"/>
              </w:rPr>
            </w:pPr>
            <w:r w:rsidRPr="00F562A8">
              <w:rPr>
                <w:rFonts w:ascii="Times New Roman" w:hAnsi="Times New Roman" w:cs="Times New Roman"/>
              </w:rPr>
              <w:t>Государственная академия повышения квалификации и переподготовки кадров для строительства и жилищно-коммунального комплекса России, диплом ПП № 686729 от 30.03.2008г.</w:t>
            </w:r>
          </w:p>
        </w:tc>
        <w:tc>
          <w:tcPr>
            <w:tcW w:w="1835" w:type="dxa"/>
            <w:vAlign w:val="center"/>
          </w:tcPr>
          <w:p w14:paraId="4EEE0C4B" w14:textId="77777777" w:rsidR="00B70FD6" w:rsidRPr="00F562A8" w:rsidRDefault="00B70FD6" w:rsidP="00B70FD6">
            <w:pPr>
              <w:spacing w:line="276" w:lineRule="auto"/>
              <w:jc w:val="center"/>
              <w:rPr>
                <w:rFonts w:ascii="Times New Roman" w:hAnsi="Times New Roman" w:cs="Times New Roman"/>
              </w:rPr>
            </w:pPr>
            <w:r w:rsidRPr="00F562A8">
              <w:rPr>
                <w:rFonts w:ascii="Times New Roman" w:hAnsi="Times New Roman" w:cs="Times New Roman"/>
              </w:rPr>
              <w:t>С 2002 года</w:t>
            </w:r>
          </w:p>
        </w:tc>
      </w:tr>
      <w:tr w:rsidR="00B70FD6" w:rsidRPr="00F562A8" w14:paraId="1FF373F1" w14:textId="77777777" w:rsidTr="00B70FD6">
        <w:tc>
          <w:tcPr>
            <w:tcW w:w="2122" w:type="dxa"/>
            <w:vAlign w:val="center"/>
          </w:tcPr>
          <w:p w14:paraId="3248A14D" w14:textId="77777777" w:rsidR="00B70FD6" w:rsidRPr="00F562A8" w:rsidRDefault="00B70FD6" w:rsidP="00B70FD6">
            <w:pPr>
              <w:spacing w:line="276" w:lineRule="auto"/>
              <w:contextualSpacing/>
              <w:rPr>
                <w:rFonts w:ascii="Times New Roman" w:hAnsi="Times New Roman" w:cs="Times New Roman"/>
              </w:rPr>
            </w:pPr>
            <w:r>
              <w:rPr>
                <w:rFonts w:ascii="Times New Roman" w:hAnsi="Times New Roman" w:cs="Times New Roman"/>
              </w:rPr>
              <w:t>Г</w:t>
            </w:r>
            <w:r w:rsidRPr="00F562A8">
              <w:rPr>
                <w:rFonts w:ascii="Times New Roman" w:hAnsi="Times New Roman" w:cs="Times New Roman"/>
              </w:rPr>
              <w:t>лавный специалист отдела кадастровой оценки</w:t>
            </w:r>
          </w:p>
        </w:tc>
        <w:tc>
          <w:tcPr>
            <w:tcW w:w="1699" w:type="dxa"/>
            <w:vAlign w:val="center"/>
          </w:tcPr>
          <w:p w14:paraId="2760E84E" w14:textId="77777777" w:rsidR="00B70FD6" w:rsidRPr="00F562A8" w:rsidRDefault="00B70FD6" w:rsidP="00B70FD6">
            <w:pPr>
              <w:spacing w:line="276" w:lineRule="auto"/>
              <w:rPr>
                <w:rFonts w:ascii="Times New Roman" w:hAnsi="Times New Roman" w:cs="Times New Roman"/>
                <w:lang w:val="en-US"/>
              </w:rPr>
            </w:pPr>
            <w:r w:rsidRPr="00F562A8">
              <w:rPr>
                <w:rFonts w:ascii="Times New Roman" w:hAnsi="Times New Roman" w:cs="Times New Roman"/>
              </w:rPr>
              <w:t>Немцова Елена Вячеславовна</w:t>
            </w:r>
          </w:p>
        </w:tc>
        <w:tc>
          <w:tcPr>
            <w:tcW w:w="3695" w:type="dxa"/>
          </w:tcPr>
          <w:p w14:paraId="4BBCD04D" w14:textId="77777777" w:rsidR="00B70FD6" w:rsidRPr="00F562A8" w:rsidRDefault="00B70FD6" w:rsidP="00B70FD6">
            <w:pPr>
              <w:spacing w:line="276" w:lineRule="auto"/>
              <w:rPr>
                <w:rFonts w:ascii="Times New Roman" w:hAnsi="Times New Roman" w:cs="Times New Roman"/>
              </w:rPr>
            </w:pPr>
            <w:r w:rsidRPr="00F562A8">
              <w:rPr>
                <w:rFonts w:ascii="Times New Roman" w:hAnsi="Times New Roman" w:cs="Times New Roman"/>
              </w:rPr>
              <w:t>Диплом о профессиональной переподготовке в сфере оценки стоимости предприятия (бизнеса), Автономная некоммерческая образовательная организация «Национальный   институт финансовых рынков и управления», диплом ПП-1 № 362408811267 от 21.02.2019г.</w:t>
            </w:r>
          </w:p>
        </w:tc>
        <w:tc>
          <w:tcPr>
            <w:tcW w:w="1835" w:type="dxa"/>
            <w:vAlign w:val="center"/>
          </w:tcPr>
          <w:p w14:paraId="258FFD41" w14:textId="77777777" w:rsidR="00B70FD6" w:rsidRPr="00F562A8" w:rsidRDefault="00B70FD6" w:rsidP="00B70FD6">
            <w:pPr>
              <w:spacing w:line="276" w:lineRule="auto"/>
              <w:jc w:val="center"/>
              <w:rPr>
                <w:rFonts w:ascii="Times New Roman" w:hAnsi="Times New Roman" w:cs="Times New Roman"/>
              </w:rPr>
            </w:pPr>
            <w:r w:rsidRPr="00F562A8">
              <w:rPr>
                <w:rFonts w:ascii="Times New Roman" w:hAnsi="Times New Roman" w:cs="Times New Roman"/>
              </w:rPr>
              <w:t>С 2006 года</w:t>
            </w:r>
          </w:p>
        </w:tc>
      </w:tr>
      <w:tr w:rsidR="00B70FD6" w:rsidRPr="00F562A8" w14:paraId="4C416B05" w14:textId="77777777" w:rsidTr="00B70FD6">
        <w:tc>
          <w:tcPr>
            <w:tcW w:w="2122" w:type="dxa"/>
            <w:vAlign w:val="center"/>
          </w:tcPr>
          <w:p w14:paraId="59B3A969" w14:textId="77777777" w:rsidR="00B70FD6" w:rsidRDefault="00B70FD6" w:rsidP="00B70FD6">
            <w:pPr>
              <w:spacing w:line="276" w:lineRule="auto"/>
              <w:contextualSpacing/>
              <w:rPr>
                <w:rFonts w:ascii="Times New Roman" w:hAnsi="Times New Roman" w:cs="Times New Roman"/>
              </w:rPr>
            </w:pPr>
            <w:r>
              <w:rPr>
                <w:rFonts w:ascii="Times New Roman" w:hAnsi="Times New Roman" w:cs="Times New Roman"/>
              </w:rPr>
              <w:t>Г</w:t>
            </w:r>
            <w:r w:rsidRPr="00F562A8">
              <w:rPr>
                <w:rFonts w:ascii="Times New Roman" w:hAnsi="Times New Roman" w:cs="Times New Roman"/>
              </w:rPr>
              <w:t>лавный специалист отдела кадастровой оценки</w:t>
            </w:r>
          </w:p>
        </w:tc>
        <w:tc>
          <w:tcPr>
            <w:tcW w:w="1699" w:type="dxa"/>
            <w:vAlign w:val="center"/>
          </w:tcPr>
          <w:p w14:paraId="5C76F836" w14:textId="77777777" w:rsidR="00B70FD6" w:rsidRPr="00F562A8" w:rsidRDefault="00B70FD6" w:rsidP="00B70FD6">
            <w:pPr>
              <w:spacing w:line="276" w:lineRule="auto"/>
              <w:rPr>
                <w:rFonts w:ascii="Times New Roman" w:hAnsi="Times New Roman" w:cs="Times New Roman"/>
              </w:rPr>
            </w:pPr>
            <w:r>
              <w:rPr>
                <w:rFonts w:ascii="Times New Roman" w:hAnsi="Times New Roman" w:cs="Times New Roman"/>
              </w:rPr>
              <w:t>Герасимова Надежда Александровна</w:t>
            </w:r>
          </w:p>
        </w:tc>
        <w:tc>
          <w:tcPr>
            <w:tcW w:w="3695" w:type="dxa"/>
          </w:tcPr>
          <w:p w14:paraId="5B1D0C01" w14:textId="77777777" w:rsidR="00B70FD6" w:rsidRPr="00F562A8" w:rsidRDefault="00B70FD6" w:rsidP="00B70FD6">
            <w:pPr>
              <w:spacing w:line="276" w:lineRule="auto"/>
              <w:rPr>
                <w:rFonts w:ascii="Times New Roman" w:hAnsi="Times New Roman" w:cs="Times New Roman"/>
              </w:rPr>
            </w:pPr>
            <w:r w:rsidRPr="00F562A8">
              <w:rPr>
                <w:rFonts w:ascii="Times New Roman" w:hAnsi="Times New Roman" w:cs="Times New Roman"/>
              </w:rPr>
              <w:t>Диплом о профессиональной переподготовке в сфере оценки стоимости предприятия (бизнеса), Автономная некоммерческая образовательная организация «Региональный Банковский Учебный Центр», диплом ПП № 362403079720 от 19.04.2016 г</w:t>
            </w:r>
          </w:p>
        </w:tc>
        <w:tc>
          <w:tcPr>
            <w:tcW w:w="1835" w:type="dxa"/>
            <w:vAlign w:val="center"/>
          </w:tcPr>
          <w:p w14:paraId="04625AC8" w14:textId="77777777" w:rsidR="00B70FD6" w:rsidRPr="00F562A8" w:rsidRDefault="00B70FD6" w:rsidP="00B70FD6">
            <w:pPr>
              <w:spacing w:line="276" w:lineRule="auto"/>
              <w:jc w:val="center"/>
              <w:rPr>
                <w:rFonts w:ascii="Times New Roman" w:hAnsi="Times New Roman" w:cs="Times New Roman"/>
              </w:rPr>
            </w:pPr>
            <w:r>
              <w:rPr>
                <w:rFonts w:ascii="Times New Roman" w:hAnsi="Times New Roman" w:cs="Times New Roman"/>
              </w:rPr>
              <w:t>С 2016 года</w:t>
            </w:r>
          </w:p>
        </w:tc>
      </w:tr>
      <w:tr w:rsidR="00E753EC" w:rsidRPr="00F562A8" w14:paraId="4DB045EB" w14:textId="77777777" w:rsidTr="00B70FD6">
        <w:tc>
          <w:tcPr>
            <w:tcW w:w="2122" w:type="dxa"/>
            <w:vAlign w:val="center"/>
          </w:tcPr>
          <w:p w14:paraId="699F8122" w14:textId="3A2651C6" w:rsidR="00E753EC" w:rsidRDefault="00E753EC" w:rsidP="00B70FD6">
            <w:pPr>
              <w:spacing w:line="276" w:lineRule="auto"/>
              <w:contextualSpacing/>
              <w:rPr>
                <w:rFonts w:ascii="Times New Roman" w:hAnsi="Times New Roman" w:cs="Times New Roman"/>
              </w:rPr>
            </w:pPr>
            <w:r>
              <w:rPr>
                <w:rFonts w:ascii="Times New Roman" w:hAnsi="Times New Roman" w:cs="Times New Roman"/>
              </w:rPr>
              <w:t>Г</w:t>
            </w:r>
            <w:r w:rsidRPr="00F562A8">
              <w:rPr>
                <w:rFonts w:ascii="Times New Roman" w:hAnsi="Times New Roman" w:cs="Times New Roman"/>
              </w:rPr>
              <w:t>лавный специалист отдела кадастровой оценки</w:t>
            </w:r>
          </w:p>
        </w:tc>
        <w:tc>
          <w:tcPr>
            <w:tcW w:w="1699" w:type="dxa"/>
            <w:vAlign w:val="center"/>
          </w:tcPr>
          <w:p w14:paraId="2729E931" w14:textId="79FE5B65" w:rsidR="00E753EC" w:rsidRDefault="00E753EC" w:rsidP="00B70FD6">
            <w:pPr>
              <w:spacing w:line="276" w:lineRule="auto"/>
              <w:rPr>
                <w:rFonts w:ascii="Times New Roman" w:hAnsi="Times New Roman" w:cs="Times New Roman"/>
              </w:rPr>
            </w:pPr>
            <w:r>
              <w:rPr>
                <w:rFonts w:ascii="Times New Roman" w:hAnsi="Times New Roman" w:cs="Times New Roman"/>
              </w:rPr>
              <w:t>Комова Галина Вячеславовна</w:t>
            </w:r>
          </w:p>
        </w:tc>
        <w:tc>
          <w:tcPr>
            <w:tcW w:w="3695" w:type="dxa"/>
          </w:tcPr>
          <w:p w14:paraId="49BF0540" w14:textId="77777777" w:rsidR="004948E2" w:rsidRPr="00AF452B" w:rsidRDefault="004948E2" w:rsidP="004948E2">
            <w:pPr>
              <w:spacing w:line="276" w:lineRule="auto"/>
              <w:rPr>
                <w:rFonts w:ascii="Times New Roman" w:hAnsi="Times New Roman" w:cs="Times New Roman"/>
              </w:rPr>
            </w:pPr>
            <w:r w:rsidRPr="00AF452B">
              <w:rPr>
                <w:rFonts w:ascii="Times New Roman" w:hAnsi="Times New Roman" w:cs="Times New Roman"/>
              </w:rPr>
              <w:t>Атономная образовательная организация «Институт менеджмента, маркетинга и финансов», экономика управления</w:t>
            </w:r>
          </w:p>
          <w:p w14:paraId="0DE3CF9A" w14:textId="4E17F4CB" w:rsidR="00E753EC" w:rsidRPr="00F562A8" w:rsidRDefault="004948E2" w:rsidP="00E753EC">
            <w:pPr>
              <w:spacing w:line="276" w:lineRule="auto"/>
              <w:rPr>
                <w:rFonts w:ascii="Times New Roman" w:hAnsi="Times New Roman" w:cs="Times New Roman"/>
              </w:rPr>
            </w:pPr>
            <w:r w:rsidRPr="00AF452B">
              <w:rPr>
                <w:rFonts w:ascii="Times New Roman" w:hAnsi="Times New Roman" w:cs="Times New Roman"/>
              </w:rPr>
              <w:t>Диплом АВБ № 0444377   17.07.2000</w:t>
            </w:r>
          </w:p>
        </w:tc>
        <w:tc>
          <w:tcPr>
            <w:tcW w:w="1835" w:type="dxa"/>
            <w:vAlign w:val="center"/>
          </w:tcPr>
          <w:p w14:paraId="779FEF67" w14:textId="79B9E9CC" w:rsidR="00E753EC" w:rsidRDefault="00E753EC" w:rsidP="00B70FD6">
            <w:pPr>
              <w:spacing w:line="276" w:lineRule="auto"/>
              <w:jc w:val="center"/>
              <w:rPr>
                <w:rFonts w:ascii="Times New Roman" w:hAnsi="Times New Roman" w:cs="Times New Roman"/>
              </w:rPr>
            </w:pPr>
            <w:r>
              <w:rPr>
                <w:rFonts w:ascii="Times New Roman" w:hAnsi="Times New Roman" w:cs="Times New Roman"/>
              </w:rPr>
              <w:t>С 2019</w:t>
            </w:r>
            <w:r w:rsidR="0063077A">
              <w:rPr>
                <w:rFonts w:ascii="Times New Roman" w:hAnsi="Times New Roman" w:cs="Times New Roman"/>
              </w:rPr>
              <w:t xml:space="preserve"> года</w:t>
            </w:r>
          </w:p>
        </w:tc>
      </w:tr>
    </w:tbl>
    <w:p w14:paraId="04B379C9" w14:textId="77777777" w:rsidR="00B70FD6" w:rsidRPr="00F562A8" w:rsidRDefault="00B70FD6" w:rsidP="00B70FD6">
      <w:pPr>
        <w:spacing w:line="276" w:lineRule="auto"/>
        <w:contextualSpacing/>
        <w:jc w:val="both"/>
        <w:rPr>
          <w:rFonts w:ascii="Times New Roman" w:hAnsi="Times New Roman" w:cs="Times New Roman"/>
          <w:sz w:val="24"/>
          <w:szCs w:val="24"/>
        </w:rPr>
      </w:pPr>
    </w:p>
    <w:p w14:paraId="7453B4C3" w14:textId="28030A9D" w:rsidR="00B70FD6" w:rsidRPr="0034660A" w:rsidRDefault="00B70FD6" w:rsidP="00B70FD6">
      <w:pPr>
        <w:spacing w:line="276" w:lineRule="auto"/>
        <w:ind w:firstLine="709"/>
        <w:contextualSpacing/>
        <w:jc w:val="both"/>
        <w:rPr>
          <w:rFonts w:ascii="Times New Roman" w:hAnsi="Times New Roman" w:cs="Times New Roman"/>
          <w:sz w:val="26"/>
          <w:szCs w:val="26"/>
        </w:rPr>
      </w:pPr>
      <w:r w:rsidRPr="0034660A">
        <w:rPr>
          <w:rFonts w:ascii="Times New Roman" w:hAnsi="Times New Roman" w:cs="Times New Roman"/>
          <w:sz w:val="26"/>
          <w:szCs w:val="26"/>
        </w:rPr>
        <w:t xml:space="preserve">Работники, непосредственно осуществившие определение </w:t>
      </w:r>
      <w:r w:rsidRPr="00F562A8">
        <w:rPr>
          <w:rFonts w:ascii="Times New Roman" w:hAnsi="Times New Roman" w:cs="Times New Roman"/>
          <w:sz w:val="26"/>
          <w:szCs w:val="26"/>
        </w:rPr>
        <w:t>государственной кадастровой оценк</w:t>
      </w:r>
      <w:r>
        <w:rPr>
          <w:rFonts w:ascii="Times New Roman" w:hAnsi="Times New Roman" w:cs="Times New Roman"/>
          <w:sz w:val="26"/>
          <w:szCs w:val="26"/>
        </w:rPr>
        <w:t>и</w:t>
      </w:r>
      <w:r w:rsidRPr="00F562A8">
        <w:rPr>
          <w:rFonts w:ascii="Times New Roman" w:hAnsi="Times New Roman" w:cs="Times New Roman"/>
          <w:sz w:val="26"/>
          <w:szCs w:val="26"/>
        </w:rPr>
        <w:t xml:space="preserve"> </w:t>
      </w:r>
      <w:r w:rsidR="00754F88">
        <w:rPr>
          <w:rFonts w:ascii="Times New Roman" w:hAnsi="Times New Roman" w:cs="Times New Roman"/>
          <w:sz w:val="26"/>
          <w:szCs w:val="26"/>
        </w:rPr>
        <w:t>земельных участков</w:t>
      </w:r>
      <w:r w:rsidRPr="00F562A8">
        <w:rPr>
          <w:rFonts w:ascii="Times New Roman" w:hAnsi="Times New Roman" w:cs="Times New Roman"/>
          <w:sz w:val="26"/>
          <w:szCs w:val="26"/>
        </w:rPr>
        <w:t xml:space="preserve"> на территории </w:t>
      </w:r>
      <w:r w:rsidRPr="0034660A">
        <w:rPr>
          <w:rFonts w:ascii="Times New Roman" w:hAnsi="Times New Roman" w:cs="Times New Roman"/>
          <w:sz w:val="26"/>
          <w:szCs w:val="26"/>
        </w:rPr>
        <w:t xml:space="preserve">Воронежской области и подписавшие Отчет, полностью соответствуют требованиям, установленным </w:t>
      </w:r>
      <w:r w:rsidRPr="00E32F50">
        <w:rPr>
          <w:rFonts w:ascii="Times New Roman" w:hAnsi="Times New Roman" w:cs="Times New Roman"/>
          <w:sz w:val="26"/>
          <w:szCs w:val="26"/>
        </w:rPr>
        <w:t>в ст. 10 Федерального закона №237-ФЗ от 03.07.2016г. «О государственной кадастровой оценке».</w:t>
      </w:r>
    </w:p>
    <w:p w14:paraId="4A4A8524" w14:textId="493F07EF" w:rsidR="00B70FD6" w:rsidRPr="0034660A" w:rsidRDefault="00B70FD6" w:rsidP="00B70FD6">
      <w:pPr>
        <w:spacing w:line="276" w:lineRule="auto"/>
        <w:contextualSpacing/>
        <w:jc w:val="right"/>
        <w:rPr>
          <w:rFonts w:ascii="Times New Roman" w:hAnsi="Times New Roman" w:cs="Times New Roman"/>
          <w:sz w:val="26"/>
          <w:szCs w:val="26"/>
        </w:rPr>
      </w:pPr>
      <w:r w:rsidRPr="0034660A">
        <w:rPr>
          <w:rFonts w:ascii="Times New Roman" w:hAnsi="Times New Roman" w:cs="Times New Roman"/>
          <w:sz w:val="26"/>
          <w:szCs w:val="26"/>
        </w:rPr>
        <w:t>Таблица 2.</w:t>
      </w:r>
      <w:r w:rsidR="00722202">
        <w:rPr>
          <w:rFonts w:ascii="Times New Roman" w:hAnsi="Times New Roman" w:cs="Times New Roman"/>
          <w:sz w:val="26"/>
          <w:szCs w:val="26"/>
        </w:rPr>
        <w:t>5</w:t>
      </w:r>
      <w:r w:rsidRPr="0034660A">
        <w:rPr>
          <w:rFonts w:ascii="Times New Roman" w:hAnsi="Times New Roman" w:cs="Times New Roman"/>
          <w:sz w:val="26"/>
          <w:szCs w:val="26"/>
        </w:rPr>
        <w:t>.2</w:t>
      </w:r>
    </w:p>
    <w:p w14:paraId="23A2F0DF" w14:textId="77777777" w:rsidR="00754F88" w:rsidRPr="00754F88" w:rsidRDefault="00754F88" w:rsidP="008D570C">
      <w:pPr>
        <w:spacing w:line="276" w:lineRule="auto"/>
        <w:contextualSpacing/>
        <w:jc w:val="center"/>
        <w:rPr>
          <w:rFonts w:ascii="Times New Roman" w:hAnsi="Times New Roman" w:cs="Times New Roman"/>
          <w:b/>
          <w:sz w:val="26"/>
          <w:szCs w:val="26"/>
        </w:rPr>
      </w:pPr>
      <w:r w:rsidRPr="0034660A">
        <w:rPr>
          <w:rFonts w:ascii="Times New Roman" w:hAnsi="Times New Roman" w:cs="Times New Roman"/>
          <w:b/>
          <w:sz w:val="26"/>
          <w:szCs w:val="26"/>
        </w:rPr>
        <w:t xml:space="preserve">Сведения об </w:t>
      </w:r>
      <w:r w:rsidRPr="00754F88">
        <w:rPr>
          <w:rFonts w:ascii="Times New Roman" w:hAnsi="Times New Roman" w:cs="Times New Roman"/>
          <w:b/>
          <w:sz w:val="26"/>
          <w:szCs w:val="26"/>
        </w:rPr>
        <w:t xml:space="preserve">иных работниках бюджетного учреждения, </w:t>
      </w:r>
    </w:p>
    <w:p w14:paraId="3CFF6963" w14:textId="77777777" w:rsidR="00754F88" w:rsidRPr="0034660A" w:rsidRDefault="00754F88" w:rsidP="00754F88">
      <w:pPr>
        <w:spacing w:line="276" w:lineRule="auto"/>
        <w:contextualSpacing/>
        <w:jc w:val="center"/>
        <w:rPr>
          <w:rFonts w:ascii="Times New Roman" w:hAnsi="Times New Roman" w:cs="Times New Roman"/>
          <w:b/>
          <w:sz w:val="26"/>
          <w:szCs w:val="26"/>
        </w:rPr>
      </w:pPr>
      <w:r w:rsidRPr="00754F88">
        <w:rPr>
          <w:rFonts w:ascii="Times New Roman" w:hAnsi="Times New Roman" w:cs="Times New Roman"/>
          <w:b/>
          <w:sz w:val="26"/>
          <w:szCs w:val="26"/>
        </w:rPr>
        <w:t>привлеченных к определению кадастровой стоимости</w:t>
      </w:r>
    </w:p>
    <w:tbl>
      <w:tblPr>
        <w:tblStyle w:val="ae"/>
        <w:tblpPr w:leftFromText="180" w:rightFromText="180" w:vertAnchor="text" w:tblpY="1"/>
        <w:tblOverlap w:val="never"/>
        <w:tblW w:w="9493" w:type="dxa"/>
        <w:tblLook w:val="04A0" w:firstRow="1" w:lastRow="0" w:firstColumn="1" w:lastColumn="0" w:noHBand="0" w:noVBand="1"/>
      </w:tblPr>
      <w:tblGrid>
        <w:gridCol w:w="3155"/>
        <w:gridCol w:w="1943"/>
        <w:gridCol w:w="4395"/>
      </w:tblGrid>
      <w:tr w:rsidR="00B70FD6" w:rsidRPr="00F562A8" w14:paraId="0890DD0D" w14:textId="77777777" w:rsidTr="00B70FD6">
        <w:tc>
          <w:tcPr>
            <w:tcW w:w="3155" w:type="dxa"/>
            <w:shd w:val="clear" w:color="auto" w:fill="auto"/>
            <w:vAlign w:val="center"/>
          </w:tcPr>
          <w:p w14:paraId="6C4BF421" w14:textId="77777777" w:rsidR="00B70FD6" w:rsidRPr="00F562A8" w:rsidRDefault="00B70FD6" w:rsidP="00B70FD6">
            <w:pPr>
              <w:spacing w:line="276" w:lineRule="auto"/>
              <w:contextualSpacing/>
              <w:rPr>
                <w:rFonts w:ascii="Times New Roman" w:hAnsi="Times New Roman" w:cs="Times New Roman"/>
                <w:b/>
                <w:sz w:val="22"/>
                <w:szCs w:val="22"/>
              </w:rPr>
            </w:pPr>
            <w:r w:rsidRPr="00F562A8">
              <w:rPr>
                <w:rFonts w:ascii="Times New Roman" w:hAnsi="Times New Roman" w:cs="Times New Roman"/>
                <w:b/>
                <w:sz w:val="22"/>
                <w:szCs w:val="22"/>
              </w:rPr>
              <w:t>Наименование должности</w:t>
            </w:r>
          </w:p>
        </w:tc>
        <w:tc>
          <w:tcPr>
            <w:tcW w:w="1943" w:type="dxa"/>
            <w:shd w:val="clear" w:color="auto" w:fill="auto"/>
            <w:vAlign w:val="center"/>
          </w:tcPr>
          <w:p w14:paraId="38E192F8" w14:textId="77777777" w:rsidR="00B70FD6" w:rsidRPr="00F562A8" w:rsidRDefault="00B70FD6" w:rsidP="00B70FD6">
            <w:pPr>
              <w:spacing w:line="276" w:lineRule="auto"/>
              <w:contextualSpacing/>
              <w:rPr>
                <w:rFonts w:ascii="Times New Roman" w:hAnsi="Times New Roman" w:cs="Times New Roman"/>
                <w:b/>
                <w:sz w:val="22"/>
                <w:szCs w:val="22"/>
              </w:rPr>
            </w:pPr>
            <w:r w:rsidRPr="00F562A8">
              <w:rPr>
                <w:rFonts w:ascii="Times New Roman" w:hAnsi="Times New Roman" w:cs="Times New Roman"/>
                <w:b/>
                <w:sz w:val="22"/>
                <w:szCs w:val="22"/>
              </w:rPr>
              <w:t>ФИО работника</w:t>
            </w:r>
          </w:p>
        </w:tc>
        <w:tc>
          <w:tcPr>
            <w:tcW w:w="4395" w:type="dxa"/>
            <w:vAlign w:val="center"/>
          </w:tcPr>
          <w:p w14:paraId="40D00D09" w14:textId="77777777" w:rsidR="00B70FD6" w:rsidRPr="00F562A8" w:rsidRDefault="00B70FD6" w:rsidP="00B70FD6">
            <w:pPr>
              <w:spacing w:line="276" w:lineRule="auto"/>
              <w:contextualSpacing/>
              <w:rPr>
                <w:rFonts w:ascii="Times New Roman" w:hAnsi="Times New Roman" w:cs="Times New Roman"/>
                <w:b/>
                <w:sz w:val="22"/>
                <w:szCs w:val="22"/>
              </w:rPr>
            </w:pPr>
            <w:r w:rsidRPr="00F562A8">
              <w:rPr>
                <w:rFonts w:ascii="Times New Roman" w:hAnsi="Times New Roman" w:cs="Times New Roman"/>
                <w:b/>
                <w:sz w:val="22"/>
                <w:szCs w:val="22"/>
              </w:rPr>
              <w:t>Наименование и реквизиты документа об образовании, подтверждающего получение профессиональных знаний</w:t>
            </w:r>
          </w:p>
        </w:tc>
      </w:tr>
      <w:tr w:rsidR="009F290B" w:rsidRPr="00F562A8" w14:paraId="4E3B7610" w14:textId="77777777" w:rsidTr="00B70FD6">
        <w:tc>
          <w:tcPr>
            <w:tcW w:w="3155" w:type="dxa"/>
            <w:shd w:val="clear" w:color="auto" w:fill="auto"/>
            <w:vAlign w:val="center"/>
          </w:tcPr>
          <w:p w14:paraId="729E3A71" w14:textId="2ECBA1CB" w:rsidR="009F290B" w:rsidRPr="00E62C26" w:rsidRDefault="009F290B" w:rsidP="009F290B">
            <w:pPr>
              <w:spacing w:line="276" w:lineRule="auto"/>
              <w:contextualSpacing/>
              <w:rPr>
                <w:rFonts w:ascii="Times New Roman" w:hAnsi="Times New Roman" w:cs="Times New Roman"/>
              </w:rPr>
            </w:pPr>
            <w:r w:rsidRPr="00E62C26">
              <w:rPr>
                <w:rFonts w:ascii="Times New Roman" w:hAnsi="Times New Roman" w:cs="Times New Roman"/>
                <w:sz w:val="22"/>
                <w:szCs w:val="22"/>
              </w:rPr>
              <w:t>Заместитель директора</w:t>
            </w:r>
          </w:p>
        </w:tc>
        <w:tc>
          <w:tcPr>
            <w:tcW w:w="1943" w:type="dxa"/>
            <w:shd w:val="clear" w:color="auto" w:fill="auto"/>
            <w:vAlign w:val="center"/>
          </w:tcPr>
          <w:p w14:paraId="3B3503CD" w14:textId="17D60435" w:rsidR="009F290B" w:rsidRPr="00E62C26" w:rsidRDefault="009F290B" w:rsidP="009F290B">
            <w:pPr>
              <w:spacing w:line="276" w:lineRule="auto"/>
              <w:contextualSpacing/>
              <w:rPr>
                <w:rFonts w:ascii="Times New Roman" w:hAnsi="Times New Roman" w:cs="Times New Roman"/>
                <w:sz w:val="22"/>
                <w:szCs w:val="22"/>
              </w:rPr>
            </w:pPr>
            <w:r w:rsidRPr="00E62C26">
              <w:rPr>
                <w:rFonts w:ascii="Times New Roman" w:hAnsi="Times New Roman" w:cs="Times New Roman"/>
                <w:sz w:val="22"/>
                <w:szCs w:val="22"/>
              </w:rPr>
              <w:t>Калагастова Ольга Александровна</w:t>
            </w:r>
          </w:p>
        </w:tc>
        <w:tc>
          <w:tcPr>
            <w:tcW w:w="4395" w:type="dxa"/>
            <w:vAlign w:val="center"/>
          </w:tcPr>
          <w:p w14:paraId="7BDFA7F6" w14:textId="086C113E" w:rsidR="009F290B" w:rsidRPr="00E62C26" w:rsidRDefault="009F290B" w:rsidP="009F290B">
            <w:pPr>
              <w:spacing w:line="276" w:lineRule="auto"/>
              <w:contextualSpacing/>
              <w:rPr>
                <w:rFonts w:ascii="Times New Roman" w:hAnsi="Times New Roman" w:cs="Times New Roman"/>
                <w:sz w:val="22"/>
                <w:szCs w:val="22"/>
              </w:rPr>
            </w:pPr>
            <w:r w:rsidRPr="00E62C26">
              <w:rPr>
                <w:rFonts w:ascii="Times New Roman" w:hAnsi="Times New Roman" w:cs="Times New Roman"/>
                <w:sz w:val="22"/>
                <w:szCs w:val="22"/>
              </w:rPr>
              <w:t xml:space="preserve">Диплом о высшем образовании выдан Воронежским государственным университетом, диплом АВС №0159676 от 26.06.1997 г. </w:t>
            </w:r>
          </w:p>
        </w:tc>
      </w:tr>
      <w:tr w:rsidR="00B70FD6" w:rsidRPr="00F562A8" w14:paraId="676EFBA8" w14:textId="77777777" w:rsidTr="00B70FD6">
        <w:tc>
          <w:tcPr>
            <w:tcW w:w="3155" w:type="dxa"/>
            <w:shd w:val="clear" w:color="auto" w:fill="auto"/>
            <w:vAlign w:val="center"/>
          </w:tcPr>
          <w:p w14:paraId="61644A1A" w14:textId="77777777" w:rsidR="00B70FD6" w:rsidRPr="00557A68" w:rsidRDefault="00B70FD6" w:rsidP="00B70FD6">
            <w:pPr>
              <w:spacing w:line="276" w:lineRule="auto"/>
              <w:contextualSpacing/>
              <w:rPr>
                <w:rFonts w:ascii="Times New Roman" w:hAnsi="Times New Roman" w:cs="Times New Roman"/>
                <w:sz w:val="22"/>
                <w:szCs w:val="22"/>
              </w:rPr>
            </w:pPr>
            <w:r w:rsidRPr="00557A68">
              <w:rPr>
                <w:rFonts w:ascii="Times New Roman" w:hAnsi="Times New Roman" w:cs="Times New Roman"/>
                <w:sz w:val="22"/>
                <w:szCs w:val="22"/>
              </w:rPr>
              <w:t>Начальник отдела мониторинга рынка недвижимости</w:t>
            </w:r>
          </w:p>
        </w:tc>
        <w:tc>
          <w:tcPr>
            <w:tcW w:w="1943" w:type="dxa"/>
            <w:shd w:val="clear" w:color="auto" w:fill="auto"/>
            <w:vAlign w:val="center"/>
          </w:tcPr>
          <w:p w14:paraId="5F7BBE6E" w14:textId="77777777" w:rsidR="00B70FD6" w:rsidRPr="00557A68" w:rsidRDefault="00B70FD6" w:rsidP="00B70FD6">
            <w:pPr>
              <w:spacing w:line="276" w:lineRule="auto"/>
              <w:contextualSpacing/>
              <w:rPr>
                <w:rFonts w:ascii="Times New Roman" w:hAnsi="Times New Roman" w:cs="Times New Roman"/>
                <w:sz w:val="22"/>
                <w:szCs w:val="22"/>
              </w:rPr>
            </w:pPr>
            <w:r w:rsidRPr="00557A68">
              <w:rPr>
                <w:rFonts w:ascii="Times New Roman" w:hAnsi="Times New Roman" w:cs="Times New Roman"/>
                <w:sz w:val="22"/>
                <w:szCs w:val="22"/>
              </w:rPr>
              <w:t>Латынина Ирина Александровна</w:t>
            </w:r>
          </w:p>
        </w:tc>
        <w:tc>
          <w:tcPr>
            <w:tcW w:w="4395" w:type="dxa"/>
            <w:vAlign w:val="center"/>
          </w:tcPr>
          <w:p w14:paraId="29456CE3" w14:textId="77777777" w:rsidR="00B70FD6" w:rsidRPr="00557A68" w:rsidRDefault="00B70FD6" w:rsidP="00B70FD6">
            <w:pPr>
              <w:spacing w:line="276" w:lineRule="auto"/>
              <w:rPr>
                <w:rFonts w:ascii="Times New Roman" w:hAnsi="Times New Roman" w:cs="Times New Roman"/>
                <w:sz w:val="22"/>
                <w:szCs w:val="22"/>
              </w:rPr>
            </w:pPr>
            <w:r w:rsidRPr="00557A68">
              <w:rPr>
                <w:rFonts w:ascii="Times New Roman" w:hAnsi="Times New Roman" w:cs="Times New Roman"/>
                <w:sz w:val="22"/>
                <w:szCs w:val="22"/>
              </w:rPr>
              <w:t>Диплом о профессиональной переподготовке в сфере оценки стоимости предприятия (бизнеса), Автономная некоммерческая образовательная организация «Национальный   институт финансовых рынков и управления», диплом ПП № 362408811259 от 21.02.2019 г.</w:t>
            </w:r>
          </w:p>
        </w:tc>
      </w:tr>
      <w:tr w:rsidR="00B70FD6" w:rsidRPr="00F562A8" w14:paraId="6F661475" w14:textId="77777777" w:rsidTr="00B70FD6">
        <w:tc>
          <w:tcPr>
            <w:tcW w:w="3155" w:type="dxa"/>
            <w:shd w:val="clear" w:color="auto" w:fill="auto"/>
            <w:vAlign w:val="center"/>
          </w:tcPr>
          <w:p w14:paraId="27B948E7" w14:textId="77777777" w:rsidR="00B70FD6" w:rsidRPr="00F562A8" w:rsidRDefault="00B70FD6" w:rsidP="00B70FD6">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 xml:space="preserve">Начальник отдела </w:t>
            </w:r>
            <w:r w:rsidRPr="00557A68">
              <w:rPr>
                <w:rFonts w:ascii="Times New Roman" w:hAnsi="Times New Roman" w:cs="Times New Roman"/>
                <w:sz w:val="22"/>
                <w:szCs w:val="22"/>
              </w:rPr>
              <w:t>картографических работ и информационных технологий</w:t>
            </w:r>
          </w:p>
        </w:tc>
        <w:tc>
          <w:tcPr>
            <w:tcW w:w="1943" w:type="dxa"/>
            <w:shd w:val="clear" w:color="auto" w:fill="auto"/>
            <w:vAlign w:val="center"/>
          </w:tcPr>
          <w:p w14:paraId="0A2E9CD7" w14:textId="77777777" w:rsidR="00B70FD6" w:rsidRPr="00F562A8" w:rsidRDefault="00B70FD6" w:rsidP="00B70FD6">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Комов Илья Анатольевич</w:t>
            </w:r>
          </w:p>
        </w:tc>
        <w:tc>
          <w:tcPr>
            <w:tcW w:w="4395" w:type="dxa"/>
            <w:vAlign w:val="center"/>
          </w:tcPr>
          <w:p w14:paraId="39438C31" w14:textId="77777777" w:rsidR="00B70FD6" w:rsidRPr="00F562A8" w:rsidRDefault="00B70FD6" w:rsidP="00B70FD6">
            <w:pPr>
              <w:spacing w:line="276" w:lineRule="auto"/>
              <w:rPr>
                <w:rFonts w:ascii="Times New Roman" w:hAnsi="Times New Roman" w:cs="Times New Roman"/>
                <w:sz w:val="22"/>
                <w:szCs w:val="22"/>
              </w:rPr>
            </w:pPr>
            <w:r w:rsidRPr="00F562A8">
              <w:rPr>
                <w:rFonts w:ascii="Times New Roman" w:hAnsi="Times New Roman" w:cs="Times New Roman"/>
                <w:sz w:val="22"/>
                <w:szCs w:val="22"/>
              </w:rPr>
              <w:t>Государственный диплом о высшем образовании «ВГАУ им. Глинки» по специальности «Инженер-Землеустроитель», диплом № ДВС 0892442 от 2001 г.</w:t>
            </w:r>
          </w:p>
        </w:tc>
      </w:tr>
      <w:tr w:rsidR="00B70FD6" w:rsidRPr="00F562A8" w14:paraId="496F1875" w14:textId="77777777" w:rsidTr="00B70FD6">
        <w:tc>
          <w:tcPr>
            <w:tcW w:w="3155" w:type="dxa"/>
            <w:shd w:val="clear" w:color="auto" w:fill="auto"/>
            <w:vAlign w:val="center"/>
          </w:tcPr>
          <w:p w14:paraId="0514C2B1" w14:textId="77777777" w:rsidR="00B70FD6" w:rsidRPr="00090BB0" w:rsidRDefault="00B70FD6" w:rsidP="00B70FD6">
            <w:pPr>
              <w:spacing w:line="276" w:lineRule="auto"/>
              <w:rPr>
                <w:rFonts w:ascii="Times New Roman" w:hAnsi="Times New Roman" w:cs="Times New Roman"/>
                <w:sz w:val="22"/>
                <w:szCs w:val="22"/>
              </w:rPr>
            </w:pPr>
            <w:r w:rsidRPr="00090BB0">
              <w:rPr>
                <w:rFonts w:ascii="Times New Roman" w:hAnsi="Times New Roman" w:cs="Times New Roman"/>
                <w:sz w:val="22"/>
                <w:szCs w:val="22"/>
              </w:rPr>
              <w:t xml:space="preserve">Ведущий оценщик отдела кадастровой оценки </w:t>
            </w:r>
          </w:p>
        </w:tc>
        <w:tc>
          <w:tcPr>
            <w:tcW w:w="1943" w:type="dxa"/>
            <w:shd w:val="clear" w:color="auto" w:fill="auto"/>
            <w:vAlign w:val="center"/>
          </w:tcPr>
          <w:p w14:paraId="087DA2C6" w14:textId="4FED7AFA" w:rsidR="00B70FD6" w:rsidRPr="00090BB0" w:rsidRDefault="00B70FD6" w:rsidP="00B70FD6">
            <w:pPr>
              <w:spacing w:line="276" w:lineRule="auto"/>
              <w:rPr>
                <w:rFonts w:ascii="Times New Roman" w:hAnsi="Times New Roman" w:cs="Times New Roman"/>
                <w:sz w:val="22"/>
                <w:szCs w:val="22"/>
              </w:rPr>
            </w:pPr>
            <w:r w:rsidRPr="00090BB0">
              <w:rPr>
                <w:rFonts w:ascii="Times New Roman" w:hAnsi="Times New Roman" w:cs="Times New Roman"/>
                <w:sz w:val="22"/>
                <w:szCs w:val="22"/>
              </w:rPr>
              <w:t>Мыцик Александра</w:t>
            </w:r>
          </w:p>
          <w:p w14:paraId="56DA2852" w14:textId="77777777" w:rsidR="00B70FD6" w:rsidRPr="00090BB0" w:rsidRDefault="00B70FD6" w:rsidP="00B70FD6">
            <w:pPr>
              <w:spacing w:line="276" w:lineRule="auto"/>
              <w:rPr>
                <w:rFonts w:ascii="Times New Roman" w:hAnsi="Times New Roman" w:cs="Times New Roman"/>
                <w:sz w:val="22"/>
                <w:szCs w:val="22"/>
              </w:rPr>
            </w:pPr>
            <w:r w:rsidRPr="00090BB0">
              <w:rPr>
                <w:rFonts w:ascii="Times New Roman" w:hAnsi="Times New Roman" w:cs="Times New Roman"/>
                <w:sz w:val="22"/>
                <w:szCs w:val="22"/>
              </w:rPr>
              <w:t>Викторовна</w:t>
            </w:r>
          </w:p>
        </w:tc>
        <w:tc>
          <w:tcPr>
            <w:tcW w:w="4395" w:type="dxa"/>
            <w:vAlign w:val="center"/>
          </w:tcPr>
          <w:p w14:paraId="0A49B9F1" w14:textId="77777777" w:rsidR="00B70FD6" w:rsidRPr="00557A68" w:rsidRDefault="00B70FD6" w:rsidP="00B70FD6">
            <w:pPr>
              <w:spacing w:line="276" w:lineRule="auto"/>
              <w:rPr>
                <w:rFonts w:ascii="Times New Roman" w:hAnsi="Times New Roman" w:cs="Times New Roman"/>
                <w:sz w:val="22"/>
                <w:szCs w:val="22"/>
              </w:rPr>
            </w:pPr>
            <w:r w:rsidRPr="002E09A2">
              <w:rPr>
                <w:rFonts w:ascii="Times New Roman" w:hAnsi="Times New Roman" w:cs="Times New Roman"/>
                <w:sz w:val="22"/>
                <w:szCs w:val="22"/>
              </w:rPr>
              <w:t>Диплом о профессиональной переподготовке по программе «оценочная деятельность», специализация «оценка ст</w:t>
            </w:r>
            <w:r>
              <w:rPr>
                <w:rFonts w:ascii="Times New Roman" w:hAnsi="Times New Roman" w:cs="Times New Roman"/>
                <w:sz w:val="22"/>
                <w:szCs w:val="22"/>
              </w:rPr>
              <w:t>оимости</w:t>
            </w:r>
            <w:r w:rsidRPr="002E09A2">
              <w:rPr>
                <w:rFonts w:ascii="Times New Roman" w:hAnsi="Times New Roman" w:cs="Times New Roman"/>
                <w:sz w:val="22"/>
                <w:szCs w:val="22"/>
              </w:rPr>
              <w:t xml:space="preserve"> предприятия (бизнеса)», Сибирский государственный университет путей сообщения, диплом ПП № 811889 от 20.04.2006 г</w:t>
            </w:r>
            <w:r>
              <w:rPr>
                <w:rFonts w:ascii="Times New Roman" w:hAnsi="Times New Roman" w:cs="Times New Roman"/>
                <w:sz w:val="22"/>
                <w:szCs w:val="22"/>
              </w:rPr>
              <w:t>.</w:t>
            </w:r>
          </w:p>
        </w:tc>
      </w:tr>
      <w:tr w:rsidR="00B70FD6" w:rsidRPr="00F562A8" w14:paraId="0A540030" w14:textId="77777777" w:rsidTr="00B70FD6">
        <w:tc>
          <w:tcPr>
            <w:tcW w:w="3155" w:type="dxa"/>
            <w:vAlign w:val="center"/>
          </w:tcPr>
          <w:p w14:paraId="460A2C67" w14:textId="76D09D1F" w:rsidR="00B70FD6" w:rsidRPr="00F562A8" w:rsidRDefault="00DE4040" w:rsidP="00B70FD6">
            <w:pPr>
              <w:spacing w:line="276" w:lineRule="auto"/>
              <w:contextualSpacing/>
              <w:rPr>
                <w:rFonts w:ascii="Times New Roman" w:hAnsi="Times New Roman" w:cs="Times New Roman"/>
                <w:sz w:val="22"/>
                <w:szCs w:val="22"/>
              </w:rPr>
            </w:pPr>
            <w:r>
              <w:rPr>
                <w:rFonts w:ascii="Times New Roman" w:hAnsi="Times New Roman" w:cs="Times New Roman"/>
                <w:sz w:val="22"/>
                <w:szCs w:val="22"/>
              </w:rPr>
              <w:t>Ведущий о</w:t>
            </w:r>
            <w:r w:rsidR="00B70FD6" w:rsidRPr="00F562A8">
              <w:rPr>
                <w:rFonts w:ascii="Times New Roman" w:hAnsi="Times New Roman" w:cs="Times New Roman"/>
                <w:sz w:val="22"/>
                <w:szCs w:val="22"/>
              </w:rPr>
              <w:t xml:space="preserve">ценщик отдела кадастровой оценки </w:t>
            </w:r>
          </w:p>
        </w:tc>
        <w:tc>
          <w:tcPr>
            <w:tcW w:w="1943" w:type="dxa"/>
            <w:vAlign w:val="center"/>
          </w:tcPr>
          <w:p w14:paraId="0F56347A" w14:textId="77777777" w:rsidR="00B70FD6" w:rsidRPr="00557A68" w:rsidRDefault="00B70FD6" w:rsidP="00B70FD6">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Герасимова Татьяна Михайловна</w:t>
            </w:r>
          </w:p>
        </w:tc>
        <w:tc>
          <w:tcPr>
            <w:tcW w:w="4395" w:type="dxa"/>
            <w:vAlign w:val="center"/>
          </w:tcPr>
          <w:p w14:paraId="7927E39D" w14:textId="77777777" w:rsidR="00B70FD6" w:rsidRPr="00F562A8" w:rsidRDefault="00B70FD6" w:rsidP="00B70FD6">
            <w:pPr>
              <w:spacing w:line="276" w:lineRule="auto"/>
              <w:contextualSpacing/>
              <w:rPr>
                <w:rFonts w:ascii="Times New Roman" w:hAnsi="Times New Roman" w:cs="Times New Roman"/>
                <w:sz w:val="22"/>
                <w:szCs w:val="22"/>
              </w:rPr>
            </w:pPr>
            <w:r w:rsidRPr="00557A68">
              <w:rPr>
                <w:rFonts w:ascii="Times New Roman" w:hAnsi="Times New Roman" w:cs="Times New Roman"/>
                <w:sz w:val="22"/>
                <w:szCs w:val="22"/>
              </w:rPr>
              <w:t>Государственный диплом о высшем образовании по специальности «Землеустройство и кадастры», выдан Воронежским Государственным Техническим Университетом (ВГТУ), квалификация «Магистр», диплом № 1036050090947 от 2019 г.</w:t>
            </w:r>
          </w:p>
        </w:tc>
      </w:tr>
      <w:tr w:rsidR="00B70FD6" w:rsidRPr="00F562A8" w14:paraId="27F3994C" w14:textId="77777777" w:rsidTr="00B70FD6">
        <w:tc>
          <w:tcPr>
            <w:tcW w:w="3155" w:type="dxa"/>
            <w:vAlign w:val="center"/>
          </w:tcPr>
          <w:p w14:paraId="5397F88B" w14:textId="6A06805F" w:rsidR="00B70FD6" w:rsidRPr="00FC22EA" w:rsidRDefault="00345D70" w:rsidP="00B70FD6">
            <w:pPr>
              <w:spacing w:line="276" w:lineRule="auto"/>
              <w:contextualSpacing/>
              <w:rPr>
                <w:rFonts w:ascii="Times New Roman" w:hAnsi="Times New Roman" w:cs="Times New Roman"/>
                <w:sz w:val="22"/>
                <w:szCs w:val="22"/>
              </w:rPr>
            </w:pPr>
            <w:r w:rsidRPr="00FC22EA">
              <w:rPr>
                <w:rFonts w:ascii="Times New Roman" w:hAnsi="Times New Roman" w:cs="Times New Roman"/>
                <w:sz w:val="22"/>
                <w:szCs w:val="22"/>
              </w:rPr>
              <w:t>Ведущий оценщик отдела определения кадастровой стоимости объектов недвижимости</w:t>
            </w:r>
          </w:p>
        </w:tc>
        <w:tc>
          <w:tcPr>
            <w:tcW w:w="1943" w:type="dxa"/>
            <w:vAlign w:val="center"/>
          </w:tcPr>
          <w:p w14:paraId="0826D4CD" w14:textId="77777777" w:rsidR="00B70FD6" w:rsidRPr="00FC22EA" w:rsidRDefault="00B70FD6" w:rsidP="00B70FD6">
            <w:pPr>
              <w:spacing w:line="276" w:lineRule="auto"/>
              <w:contextualSpacing/>
              <w:rPr>
                <w:rFonts w:ascii="Times New Roman" w:hAnsi="Times New Roman" w:cs="Times New Roman"/>
                <w:sz w:val="22"/>
                <w:szCs w:val="22"/>
              </w:rPr>
            </w:pPr>
            <w:r w:rsidRPr="00FC22EA">
              <w:rPr>
                <w:rFonts w:ascii="Times New Roman" w:hAnsi="Times New Roman" w:cs="Times New Roman"/>
                <w:sz w:val="22"/>
                <w:szCs w:val="22"/>
              </w:rPr>
              <w:t>Литвинчук Надежда Викторовна</w:t>
            </w:r>
          </w:p>
        </w:tc>
        <w:tc>
          <w:tcPr>
            <w:tcW w:w="4395" w:type="dxa"/>
            <w:vAlign w:val="center"/>
          </w:tcPr>
          <w:p w14:paraId="54BE69F4" w14:textId="77777777" w:rsidR="00B70FD6" w:rsidRPr="00FC22EA" w:rsidRDefault="00B70FD6" w:rsidP="00B70FD6">
            <w:pPr>
              <w:spacing w:line="276" w:lineRule="auto"/>
              <w:contextualSpacing/>
              <w:rPr>
                <w:rFonts w:ascii="Times New Roman" w:hAnsi="Times New Roman" w:cs="Times New Roman"/>
                <w:sz w:val="22"/>
                <w:szCs w:val="22"/>
              </w:rPr>
            </w:pPr>
            <w:r w:rsidRPr="00FC22EA">
              <w:rPr>
                <w:rFonts w:ascii="Times New Roman" w:hAnsi="Times New Roman" w:cs="Times New Roman"/>
                <w:color w:val="000000"/>
                <w:sz w:val="22"/>
                <w:szCs w:val="22"/>
              </w:rPr>
              <w:t>Диплом о высшем образовании по специальности «Землеустройство» от 22.06.2005 г. ВСВ №1023882, выдан ФГО УВПО «Новочеркасская государственная мелиоративная академия», квалификация инженер</w:t>
            </w:r>
          </w:p>
        </w:tc>
      </w:tr>
      <w:tr w:rsidR="004948E2" w:rsidRPr="00F562A8" w14:paraId="56152474" w14:textId="77777777" w:rsidTr="00B70FD6">
        <w:tc>
          <w:tcPr>
            <w:tcW w:w="3155" w:type="dxa"/>
            <w:vAlign w:val="center"/>
          </w:tcPr>
          <w:p w14:paraId="474CC26A" w14:textId="77777777" w:rsidR="004948E2" w:rsidRPr="00F562A8" w:rsidRDefault="004948E2" w:rsidP="004948E2">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 xml:space="preserve">Ведущий аналитик отдела кадастровой оценки </w:t>
            </w:r>
          </w:p>
        </w:tc>
        <w:tc>
          <w:tcPr>
            <w:tcW w:w="1943" w:type="dxa"/>
            <w:vAlign w:val="center"/>
          </w:tcPr>
          <w:p w14:paraId="66CB331F" w14:textId="77777777" w:rsidR="004948E2" w:rsidRPr="00F562A8" w:rsidRDefault="004948E2" w:rsidP="004948E2">
            <w:pPr>
              <w:spacing w:line="276" w:lineRule="auto"/>
              <w:contextualSpacing/>
              <w:rPr>
                <w:rFonts w:ascii="Times New Roman" w:hAnsi="Times New Roman" w:cs="Times New Roman"/>
                <w:sz w:val="22"/>
                <w:szCs w:val="22"/>
                <w:lang w:val="en-US"/>
              </w:rPr>
            </w:pPr>
            <w:r w:rsidRPr="00F562A8">
              <w:rPr>
                <w:rFonts w:ascii="Times New Roman" w:hAnsi="Times New Roman" w:cs="Times New Roman"/>
                <w:sz w:val="22"/>
                <w:szCs w:val="22"/>
              </w:rPr>
              <w:t>Галкин Сергей Андреевич</w:t>
            </w:r>
          </w:p>
        </w:tc>
        <w:tc>
          <w:tcPr>
            <w:tcW w:w="4395" w:type="dxa"/>
            <w:vAlign w:val="center"/>
          </w:tcPr>
          <w:p w14:paraId="1C752B91" w14:textId="46C2FCD1" w:rsidR="004948E2" w:rsidRPr="004948E2" w:rsidRDefault="004948E2" w:rsidP="004948E2">
            <w:pPr>
              <w:spacing w:line="276" w:lineRule="auto"/>
              <w:contextualSpacing/>
              <w:rPr>
                <w:rFonts w:ascii="Times New Roman" w:hAnsi="Times New Roman" w:cs="Times New Roman"/>
                <w:sz w:val="22"/>
                <w:szCs w:val="22"/>
              </w:rPr>
            </w:pPr>
            <w:r w:rsidRPr="004948E2">
              <w:rPr>
                <w:rFonts w:ascii="Times New Roman" w:hAnsi="Times New Roman" w:cs="Times New Roman"/>
                <w:sz w:val="22"/>
                <w:szCs w:val="22"/>
              </w:rPr>
              <w:t xml:space="preserve">Государственный диплом о высшем образовании по специальности «Землеустройство и кадастры», выдан Воронежским Государственным Техническим Университетом (ВГТУ), квалификация «Магистр», диплом № </w:t>
            </w:r>
            <w:r w:rsidRPr="004948E2">
              <w:rPr>
                <w:rFonts w:ascii="Times New Roman" w:hAnsi="Times New Roman" w:cs="Times New Roman"/>
                <w:sz w:val="24"/>
                <w:szCs w:val="24"/>
              </w:rPr>
              <w:t xml:space="preserve">103605 0-073149 </w:t>
            </w:r>
            <w:r w:rsidRPr="004948E2">
              <w:rPr>
                <w:rFonts w:ascii="Times New Roman" w:hAnsi="Times New Roman" w:cs="Times New Roman"/>
                <w:sz w:val="22"/>
                <w:szCs w:val="22"/>
              </w:rPr>
              <w:t>от 23.07.2021 г.</w:t>
            </w:r>
          </w:p>
        </w:tc>
      </w:tr>
      <w:tr w:rsidR="004948E2" w:rsidRPr="00F562A8" w14:paraId="4D94604C" w14:textId="77777777" w:rsidTr="00B70FD6">
        <w:tc>
          <w:tcPr>
            <w:tcW w:w="3155" w:type="dxa"/>
            <w:vAlign w:val="center"/>
          </w:tcPr>
          <w:p w14:paraId="04245AA0" w14:textId="054C7F56" w:rsidR="004948E2" w:rsidRPr="00F562A8" w:rsidRDefault="004948E2" w:rsidP="004948E2">
            <w:pPr>
              <w:spacing w:line="276" w:lineRule="auto"/>
              <w:contextualSpacing/>
              <w:rPr>
                <w:rFonts w:ascii="Times New Roman" w:hAnsi="Times New Roman" w:cs="Times New Roman"/>
                <w:sz w:val="22"/>
                <w:szCs w:val="22"/>
              </w:rPr>
            </w:pPr>
            <w:r>
              <w:rPr>
                <w:rFonts w:ascii="Times New Roman" w:hAnsi="Times New Roman" w:cs="Times New Roman"/>
                <w:sz w:val="22"/>
                <w:szCs w:val="22"/>
              </w:rPr>
              <w:t>Оценщик</w:t>
            </w:r>
            <w:r w:rsidRPr="00F562A8">
              <w:rPr>
                <w:rFonts w:ascii="Times New Roman" w:hAnsi="Times New Roman" w:cs="Times New Roman"/>
                <w:sz w:val="22"/>
                <w:szCs w:val="22"/>
              </w:rPr>
              <w:t xml:space="preserve"> отдела кадастровой оценки </w:t>
            </w:r>
          </w:p>
        </w:tc>
        <w:tc>
          <w:tcPr>
            <w:tcW w:w="1943" w:type="dxa"/>
            <w:vAlign w:val="center"/>
          </w:tcPr>
          <w:p w14:paraId="01B54F7F" w14:textId="77777777" w:rsidR="004948E2" w:rsidRPr="00F562A8" w:rsidRDefault="004948E2" w:rsidP="004948E2">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Хорпяков Илья Геннадьевич</w:t>
            </w:r>
          </w:p>
        </w:tc>
        <w:tc>
          <w:tcPr>
            <w:tcW w:w="4395" w:type="dxa"/>
            <w:vAlign w:val="center"/>
          </w:tcPr>
          <w:p w14:paraId="23B7646D" w14:textId="1111BC7D" w:rsidR="004948E2" w:rsidRPr="004948E2" w:rsidRDefault="004948E2" w:rsidP="004948E2">
            <w:pPr>
              <w:spacing w:line="276" w:lineRule="auto"/>
              <w:contextualSpacing/>
              <w:rPr>
                <w:rFonts w:ascii="Times New Roman" w:hAnsi="Times New Roman" w:cs="Times New Roman"/>
                <w:sz w:val="22"/>
                <w:szCs w:val="22"/>
              </w:rPr>
            </w:pPr>
            <w:r w:rsidRPr="004948E2">
              <w:rPr>
                <w:rFonts w:ascii="Times New Roman" w:hAnsi="Times New Roman" w:cs="Times New Roman"/>
                <w:sz w:val="22"/>
                <w:szCs w:val="22"/>
              </w:rPr>
              <w:t xml:space="preserve">Государственный диплом о высшем образовании по специальности «Землеустройство и кадастры», выдан Воронежским Государственным Техническим Университетом (ВГТУ), квалификация «Магистр», диплом № </w:t>
            </w:r>
            <w:r w:rsidRPr="004948E2">
              <w:rPr>
                <w:rFonts w:ascii="Times New Roman" w:hAnsi="Times New Roman" w:cs="Times New Roman"/>
                <w:sz w:val="24"/>
                <w:szCs w:val="24"/>
              </w:rPr>
              <w:t xml:space="preserve">103605 0080054 </w:t>
            </w:r>
            <w:r w:rsidRPr="004948E2">
              <w:rPr>
                <w:rFonts w:ascii="Times New Roman" w:hAnsi="Times New Roman" w:cs="Times New Roman"/>
                <w:sz w:val="22"/>
                <w:szCs w:val="22"/>
              </w:rPr>
              <w:t>от 16.07.2021 г.</w:t>
            </w:r>
          </w:p>
        </w:tc>
      </w:tr>
      <w:tr w:rsidR="00B70FD6" w:rsidRPr="00F562A8" w14:paraId="2D4F4B54" w14:textId="77777777" w:rsidTr="00B70FD6">
        <w:tc>
          <w:tcPr>
            <w:tcW w:w="3155" w:type="dxa"/>
            <w:vAlign w:val="center"/>
          </w:tcPr>
          <w:p w14:paraId="503F2504" w14:textId="77777777" w:rsidR="00B70FD6" w:rsidRPr="00F562A8" w:rsidRDefault="00B70FD6" w:rsidP="00B70FD6">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 xml:space="preserve">Главный специалист отдела </w:t>
            </w:r>
            <w:r w:rsidRPr="00F562A8">
              <w:rPr>
                <w:rFonts w:ascii="Times New Roman" w:hAnsi="Times New Roman" w:cs="Times New Roman"/>
                <w:color w:val="000000" w:themeColor="text1"/>
                <w:sz w:val="22"/>
                <w:szCs w:val="22"/>
              </w:rPr>
              <w:t>картографических работ и информационных технологий</w:t>
            </w:r>
          </w:p>
        </w:tc>
        <w:tc>
          <w:tcPr>
            <w:tcW w:w="1943" w:type="dxa"/>
            <w:vAlign w:val="center"/>
          </w:tcPr>
          <w:p w14:paraId="217BE964" w14:textId="77777777" w:rsidR="00B70FD6" w:rsidRPr="00F562A8" w:rsidRDefault="00B70FD6" w:rsidP="00B70FD6">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Дынкин Вадим Юрьевич</w:t>
            </w:r>
          </w:p>
        </w:tc>
        <w:tc>
          <w:tcPr>
            <w:tcW w:w="4395" w:type="dxa"/>
            <w:vAlign w:val="center"/>
          </w:tcPr>
          <w:p w14:paraId="29B55A20" w14:textId="77777777" w:rsidR="00B70FD6" w:rsidRPr="00F562A8" w:rsidRDefault="00B70FD6" w:rsidP="00B70FD6">
            <w:pPr>
              <w:spacing w:line="276" w:lineRule="auto"/>
              <w:rPr>
                <w:rFonts w:ascii="Times New Roman" w:hAnsi="Times New Roman" w:cs="Times New Roman"/>
                <w:sz w:val="22"/>
                <w:szCs w:val="22"/>
              </w:rPr>
            </w:pPr>
            <w:r w:rsidRPr="00F562A8">
              <w:rPr>
                <w:rFonts w:ascii="Times New Roman" w:hAnsi="Times New Roman" w:cs="Times New Roman"/>
                <w:color w:val="000000"/>
                <w:sz w:val="22"/>
                <w:szCs w:val="22"/>
              </w:rPr>
              <w:t xml:space="preserve">Государственный диплом о высшем образовании Ташкентский институт ордена Трудового красного знамени, по специальности </w:t>
            </w:r>
            <w:r w:rsidRPr="00F562A8">
              <w:rPr>
                <w:rFonts w:ascii="Times New Roman" w:hAnsi="Times New Roman" w:cs="Times New Roman"/>
                <w:sz w:val="22"/>
                <w:szCs w:val="22"/>
              </w:rPr>
              <w:t xml:space="preserve">Землеустрои-Тель, </w:t>
            </w:r>
            <w:r w:rsidRPr="00F562A8">
              <w:rPr>
                <w:rFonts w:ascii="Times New Roman" w:hAnsi="Times New Roman" w:cs="Times New Roman"/>
                <w:color w:val="000000"/>
                <w:sz w:val="22"/>
                <w:szCs w:val="22"/>
              </w:rPr>
              <w:t xml:space="preserve">диплом № </w:t>
            </w:r>
            <w:r w:rsidRPr="00F562A8">
              <w:rPr>
                <w:rFonts w:ascii="Times New Roman" w:hAnsi="Times New Roman" w:cs="Times New Roman"/>
                <w:sz w:val="22"/>
                <w:szCs w:val="22"/>
              </w:rPr>
              <w:t>ЗВ 850379 от 1987 г.</w:t>
            </w:r>
          </w:p>
        </w:tc>
      </w:tr>
      <w:tr w:rsidR="00B70FD6" w:rsidRPr="00F562A8" w14:paraId="2AE34E13" w14:textId="77777777" w:rsidTr="00B70FD6">
        <w:tc>
          <w:tcPr>
            <w:tcW w:w="3155" w:type="dxa"/>
            <w:vAlign w:val="center"/>
          </w:tcPr>
          <w:p w14:paraId="560996DA" w14:textId="77777777" w:rsidR="00B70FD6" w:rsidRPr="00F562A8" w:rsidRDefault="00B70FD6" w:rsidP="00B70FD6">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 xml:space="preserve">Аналитик отдела </w:t>
            </w:r>
            <w:r w:rsidRPr="00F562A8">
              <w:rPr>
                <w:rFonts w:ascii="Times New Roman" w:hAnsi="Times New Roman" w:cs="Times New Roman"/>
                <w:color w:val="000000" w:themeColor="text1"/>
                <w:sz w:val="22"/>
                <w:szCs w:val="22"/>
              </w:rPr>
              <w:t>картографических работ и информационных технологий</w:t>
            </w:r>
          </w:p>
        </w:tc>
        <w:tc>
          <w:tcPr>
            <w:tcW w:w="1943" w:type="dxa"/>
            <w:vAlign w:val="center"/>
          </w:tcPr>
          <w:p w14:paraId="48ED1205" w14:textId="77777777" w:rsidR="00B70FD6" w:rsidRPr="00F562A8" w:rsidRDefault="00B70FD6" w:rsidP="00B70FD6">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Шишкина Маргарита Алексеевна</w:t>
            </w:r>
          </w:p>
        </w:tc>
        <w:tc>
          <w:tcPr>
            <w:tcW w:w="4395" w:type="dxa"/>
            <w:vAlign w:val="center"/>
          </w:tcPr>
          <w:p w14:paraId="49D92813" w14:textId="77777777" w:rsidR="00B70FD6" w:rsidRPr="00F562A8" w:rsidRDefault="00B70FD6" w:rsidP="00B70FD6">
            <w:pPr>
              <w:spacing w:line="276" w:lineRule="auto"/>
              <w:rPr>
                <w:rFonts w:ascii="Times New Roman" w:hAnsi="Times New Roman" w:cs="Times New Roman"/>
                <w:sz w:val="22"/>
                <w:szCs w:val="22"/>
              </w:rPr>
            </w:pPr>
            <w:r w:rsidRPr="00F562A8">
              <w:rPr>
                <w:rFonts w:ascii="Times New Roman" w:hAnsi="Times New Roman" w:cs="Times New Roman"/>
                <w:color w:val="000000"/>
                <w:sz w:val="22"/>
                <w:szCs w:val="22"/>
              </w:rPr>
              <w:t xml:space="preserve">Государственный диплом о высшем образовании </w:t>
            </w:r>
            <w:r w:rsidRPr="00F562A8">
              <w:rPr>
                <w:rFonts w:ascii="Times New Roman" w:hAnsi="Times New Roman" w:cs="Times New Roman"/>
                <w:sz w:val="22"/>
                <w:szCs w:val="22"/>
              </w:rPr>
              <w:t xml:space="preserve">ВГТА, </w:t>
            </w:r>
            <w:r w:rsidRPr="00F562A8">
              <w:rPr>
                <w:rFonts w:ascii="Times New Roman" w:hAnsi="Times New Roman" w:cs="Times New Roman"/>
                <w:color w:val="000000"/>
                <w:sz w:val="22"/>
                <w:szCs w:val="22"/>
              </w:rPr>
              <w:t>по специальности и</w:t>
            </w:r>
            <w:r w:rsidRPr="00F562A8">
              <w:rPr>
                <w:rFonts w:ascii="Times New Roman" w:hAnsi="Times New Roman" w:cs="Times New Roman"/>
                <w:sz w:val="22"/>
                <w:szCs w:val="22"/>
              </w:rPr>
              <w:t xml:space="preserve">нженер, </w:t>
            </w:r>
            <w:r w:rsidRPr="00F562A8">
              <w:rPr>
                <w:rFonts w:ascii="Times New Roman" w:hAnsi="Times New Roman" w:cs="Times New Roman"/>
                <w:color w:val="000000"/>
                <w:sz w:val="22"/>
                <w:szCs w:val="22"/>
              </w:rPr>
              <w:t xml:space="preserve">диплом № </w:t>
            </w:r>
            <w:r w:rsidRPr="00F562A8">
              <w:rPr>
                <w:rFonts w:ascii="Times New Roman" w:hAnsi="Times New Roman" w:cs="Times New Roman"/>
                <w:sz w:val="22"/>
                <w:szCs w:val="22"/>
              </w:rPr>
              <w:t>БВС0095069 от 1997 г.</w:t>
            </w:r>
          </w:p>
        </w:tc>
      </w:tr>
      <w:tr w:rsidR="00B70FD6" w:rsidRPr="00F562A8" w14:paraId="4555A2F6" w14:textId="77777777" w:rsidTr="00B70FD6">
        <w:tc>
          <w:tcPr>
            <w:tcW w:w="3155" w:type="dxa"/>
            <w:vAlign w:val="center"/>
          </w:tcPr>
          <w:p w14:paraId="6D36FB54" w14:textId="77777777" w:rsidR="00B70FD6" w:rsidRPr="00F562A8" w:rsidRDefault="00B70FD6" w:rsidP="00B70FD6">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 xml:space="preserve">Аналитик отдела </w:t>
            </w:r>
            <w:r w:rsidRPr="00F562A8">
              <w:rPr>
                <w:rFonts w:ascii="Times New Roman" w:hAnsi="Times New Roman" w:cs="Times New Roman"/>
                <w:color w:val="000000" w:themeColor="text1"/>
                <w:sz w:val="22"/>
                <w:szCs w:val="22"/>
              </w:rPr>
              <w:t>картографических работ и информационных технологий</w:t>
            </w:r>
          </w:p>
        </w:tc>
        <w:tc>
          <w:tcPr>
            <w:tcW w:w="1943" w:type="dxa"/>
            <w:vAlign w:val="center"/>
          </w:tcPr>
          <w:p w14:paraId="7154A9D8" w14:textId="77777777" w:rsidR="00B70FD6" w:rsidRPr="00F562A8" w:rsidRDefault="00B70FD6" w:rsidP="00B70FD6">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Евлоева Яна Магометовна</w:t>
            </w:r>
          </w:p>
        </w:tc>
        <w:tc>
          <w:tcPr>
            <w:tcW w:w="4395" w:type="dxa"/>
            <w:vAlign w:val="center"/>
          </w:tcPr>
          <w:p w14:paraId="5804A5B3" w14:textId="77777777" w:rsidR="00B70FD6" w:rsidRPr="00F562A8" w:rsidRDefault="00B70FD6" w:rsidP="00B70FD6">
            <w:pPr>
              <w:spacing w:line="276" w:lineRule="auto"/>
              <w:rPr>
                <w:rFonts w:ascii="Times New Roman" w:hAnsi="Times New Roman" w:cs="Times New Roman"/>
                <w:sz w:val="22"/>
                <w:szCs w:val="22"/>
              </w:rPr>
            </w:pPr>
            <w:r w:rsidRPr="00F562A8">
              <w:rPr>
                <w:rFonts w:ascii="Times New Roman" w:hAnsi="Times New Roman" w:cs="Times New Roman"/>
                <w:color w:val="000000"/>
                <w:sz w:val="22"/>
                <w:szCs w:val="22"/>
              </w:rPr>
              <w:t xml:space="preserve">Государственный диплом о высшем образовании </w:t>
            </w:r>
            <w:r w:rsidRPr="00F562A8">
              <w:rPr>
                <w:rFonts w:ascii="Times New Roman" w:hAnsi="Times New Roman" w:cs="Times New Roman"/>
                <w:sz w:val="22"/>
                <w:szCs w:val="22"/>
              </w:rPr>
              <w:t xml:space="preserve">ВГАСИ, </w:t>
            </w:r>
            <w:r w:rsidRPr="00F562A8">
              <w:rPr>
                <w:rFonts w:ascii="Times New Roman" w:hAnsi="Times New Roman" w:cs="Times New Roman"/>
                <w:color w:val="000000"/>
                <w:sz w:val="22"/>
                <w:szCs w:val="22"/>
              </w:rPr>
              <w:t>по специальности и</w:t>
            </w:r>
            <w:r w:rsidRPr="00F562A8">
              <w:rPr>
                <w:rFonts w:ascii="Times New Roman" w:hAnsi="Times New Roman" w:cs="Times New Roman"/>
                <w:sz w:val="22"/>
                <w:szCs w:val="22"/>
              </w:rPr>
              <w:t xml:space="preserve">нженер экспертиза и управление недвижимостью, </w:t>
            </w:r>
            <w:r w:rsidRPr="00F562A8">
              <w:rPr>
                <w:rFonts w:ascii="Times New Roman" w:hAnsi="Times New Roman" w:cs="Times New Roman"/>
                <w:color w:val="000000"/>
                <w:sz w:val="22"/>
                <w:szCs w:val="22"/>
              </w:rPr>
              <w:t xml:space="preserve">диплом № </w:t>
            </w:r>
            <w:r w:rsidRPr="00F562A8">
              <w:rPr>
                <w:rFonts w:ascii="Times New Roman" w:hAnsi="Times New Roman" w:cs="Times New Roman"/>
                <w:sz w:val="22"/>
                <w:szCs w:val="22"/>
              </w:rPr>
              <w:t>103605 0060765 от 2015 г.</w:t>
            </w:r>
          </w:p>
        </w:tc>
      </w:tr>
      <w:tr w:rsidR="00B70FD6" w:rsidRPr="00F562A8" w14:paraId="6B37C37E" w14:textId="77777777" w:rsidTr="00B70FD6">
        <w:tc>
          <w:tcPr>
            <w:tcW w:w="3155" w:type="dxa"/>
            <w:vAlign w:val="center"/>
          </w:tcPr>
          <w:p w14:paraId="01599688" w14:textId="6A53D275" w:rsidR="00B70FD6" w:rsidRPr="00F562A8" w:rsidRDefault="00F67623" w:rsidP="00B70FD6">
            <w:pPr>
              <w:spacing w:line="276" w:lineRule="auto"/>
              <w:contextualSpacing/>
              <w:rPr>
                <w:rFonts w:ascii="Times New Roman" w:hAnsi="Times New Roman" w:cs="Times New Roman"/>
                <w:sz w:val="22"/>
                <w:szCs w:val="22"/>
              </w:rPr>
            </w:pPr>
            <w:r>
              <w:rPr>
                <w:rFonts w:ascii="Times New Roman" w:hAnsi="Times New Roman" w:cs="Times New Roman"/>
                <w:sz w:val="22"/>
                <w:szCs w:val="22"/>
              </w:rPr>
              <w:t>Главный специалист</w:t>
            </w:r>
            <w:r w:rsidR="00B70FD6" w:rsidRPr="00F562A8">
              <w:rPr>
                <w:rFonts w:ascii="Times New Roman" w:hAnsi="Times New Roman" w:cs="Times New Roman"/>
                <w:sz w:val="22"/>
                <w:szCs w:val="22"/>
              </w:rPr>
              <w:t xml:space="preserve"> отдела мониторинга рынка недвижимости</w:t>
            </w:r>
          </w:p>
        </w:tc>
        <w:tc>
          <w:tcPr>
            <w:tcW w:w="1943" w:type="dxa"/>
            <w:vAlign w:val="center"/>
          </w:tcPr>
          <w:p w14:paraId="64F086BE" w14:textId="77777777" w:rsidR="00B70FD6" w:rsidRPr="00F562A8" w:rsidRDefault="00B70FD6" w:rsidP="00B70FD6">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Астанина Лариса Сергеевна</w:t>
            </w:r>
          </w:p>
        </w:tc>
        <w:tc>
          <w:tcPr>
            <w:tcW w:w="4395" w:type="dxa"/>
            <w:vAlign w:val="center"/>
          </w:tcPr>
          <w:p w14:paraId="7A6E0EB9" w14:textId="77777777" w:rsidR="00B70FD6" w:rsidRPr="00F562A8" w:rsidRDefault="00B70FD6" w:rsidP="00B70FD6">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Диплом о профессиональной переподготовке в сфере оценки стоимости предприятия (бизнеса), Автономная некоммерческая образовательная организация «Национальный   институт финансовых рынков и управления», диплом ПП № 362408811259 от 21.02.2019 г.</w:t>
            </w:r>
          </w:p>
        </w:tc>
      </w:tr>
      <w:tr w:rsidR="00B70FD6" w:rsidRPr="00F562A8" w14:paraId="675888A4" w14:textId="77777777" w:rsidTr="00B70FD6">
        <w:tc>
          <w:tcPr>
            <w:tcW w:w="3155" w:type="dxa"/>
            <w:vAlign w:val="center"/>
          </w:tcPr>
          <w:p w14:paraId="5553B561" w14:textId="77777777" w:rsidR="00B70FD6" w:rsidRPr="00F562A8" w:rsidRDefault="00B70FD6" w:rsidP="00B70FD6">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Ведущий эксперт отдела мониторинга рынка недвижимости</w:t>
            </w:r>
          </w:p>
        </w:tc>
        <w:tc>
          <w:tcPr>
            <w:tcW w:w="1943" w:type="dxa"/>
            <w:vAlign w:val="center"/>
          </w:tcPr>
          <w:p w14:paraId="076226C7" w14:textId="77777777" w:rsidR="00B70FD6" w:rsidRPr="00F562A8" w:rsidRDefault="00B70FD6" w:rsidP="00B70FD6">
            <w:pPr>
              <w:spacing w:line="276" w:lineRule="auto"/>
              <w:contextualSpacing/>
              <w:rPr>
                <w:rFonts w:ascii="Times New Roman" w:hAnsi="Times New Roman" w:cs="Times New Roman"/>
                <w:sz w:val="22"/>
                <w:szCs w:val="22"/>
                <w:lang w:val="en-US"/>
              </w:rPr>
            </w:pPr>
            <w:r w:rsidRPr="00F562A8">
              <w:rPr>
                <w:rFonts w:ascii="Times New Roman" w:hAnsi="Times New Roman" w:cs="Times New Roman"/>
                <w:sz w:val="22"/>
                <w:szCs w:val="22"/>
              </w:rPr>
              <w:t>Кожина Елена Викторовна</w:t>
            </w:r>
          </w:p>
        </w:tc>
        <w:tc>
          <w:tcPr>
            <w:tcW w:w="4395" w:type="dxa"/>
            <w:vAlign w:val="center"/>
          </w:tcPr>
          <w:p w14:paraId="5B766048" w14:textId="77777777" w:rsidR="00B70FD6" w:rsidRPr="00F562A8" w:rsidRDefault="00B70FD6" w:rsidP="00B70FD6">
            <w:pPr>
              <w:spacing w:line="276" w:lineRule="auto"/>
              <w:contextualSpacing/>
              <w:rPr>
                <w:rFonts w:ascii="Times New Roman" w:hAnsi="Times New Roman" w:cs="Times New Roman"/>
                <w:sz w:val="22"/>
                <w:szCs w:val="22"/>
              </w:rPr>
            </w:pPr>
            <w:r w:rsidRPr="00F562A8">
              <w:rPr>
                <w:rFonts w:ascii="Times New Roman" w:hAnsi="Times New Roman" w:cs="Times New Roman"/>
                <w:sz w:val="22"/>
                <w:szCs w:val="22"/>
              </w:rPr>
              <w:t>Диплом о профессиональной переподготовке в сфере оценки стоимости предприятия (бизнеса), Автономная некоммерческая образовательная организация «Национальный   институт финансовых рынков и управления», диплом ПП № 362408811262 от 21.02.2019 г.</w:t>
            </w:r>
          </w:p>
        </w:tc>
      </w:tr>
      <w:tr w:rsidR="00B70FD6" w:rsidRPr="00F562A8" w14:paraId="1F07D3E9" w14:textId="77777777" w:rsidTr="00B70FD6">
        <w:tc>
          <w:tcPr>
            <w:tcW w:w="3155" w:type="dxa"/>
            <w:vAlign w:val="center"/>
          </w:tcPr>
          <w:p w14:paraId="4A7ED74A" w14:textId="72E8B32A" w:rsidR="00B70FD6" w:rsidRPr="00F562A8" w:rsidRDefault="004948E2" w:rsidP="00B70FD6">
            <w:pPr>
              <w:spacing w:line="276" w:lineRule="auto"/>
              <w:contextualSpacing/>
              <w:rPr>
                <w:rFonts w:ascii="Times New Roman" w:hAnsi="Times New Roman" w:cs="Times New Roman"/>
                <w:sz w:val="22"/>
                <w:szCs w:val="22"/>
              </w:rPr>
            </w:pPr>
            <w:r w:rsidRPr="004948E2">
              <w:rPr>
                <w:rFonts w:ascii="Times New Roman" w:hAnsi="Times New Roman" w:cs="Times New Roman"/>
                <w:sz w:val="22"/>
                <w:szCs w:val="22"/>
              </w:rPr>
              <w:t>Ведущий эксперт отдела мониторинга рынка недвижимости</w:t>
            </w:r>
          </w:p>
        </w:tc>
        <w:tc>
          <w:tcPr>
            <w:tcW w:w="1943" w:type="dxa"/>
            <w:vAlign w:val="center"/>
          </w:tcPr>
          <w:p w14:paraId="7F16184E" w14:textId="2445ADF0" w:rsidR="00B70FD6" w:rsidRPr="00F562A8" w:rsidRDefault="00F67623" w:rsidP="00B70FD6">
            <w:pPr>
              <w:spacing w:line="276" w:lineRule="auto"/>
              <w:contextualSpacing/>
              <w:rPr>
                <w:rFonts w:ascii="Times New Roman" w:hAnsi="Times New Roman" w:cs="Times New Roman"/>
                <w:sz w:val="22"/>
                <w:szCs w:val="22"/>
              </w:rPr>
            </w:pPr>
            <w:r>
              <w:rPr>
                <w:rFonts w:ascii="Times New Roman" w:hAnsi="Times New Roman" w:cs="Times New Roman"/>
                <w:sz w:val="22"/>
                <w:szCs w:val="22"/>
              </w:rPr>
              <w:t>Соловьева</w:t>
            </w:r>
            <w:r w:rsidR="00B70FD6" w:rsidRPr="00F562A8">
              <w:rPr>
                <w:rFonts w:ascii="Times New Roman" w:hAnsi="Times New Roman" w:cs="Times New Roman"/>
                <w:sz w:val="22"/>
                <w:szCs w:val="22"/>
              </w:rPr>
              <w:t xml:space="preserve"> Татьяна Александровна</w:t>
            </w:r>
          </w:p>
        </w:tc>
        <w:tc>
          <w:tcPr>
            <w:tcW w:w="4395" w:type="dxa"/>
            <w:vAlign w:val="center"/>
          </w:tcPr>
          <w:p w14:paraId="0DAF7428" w14:textId="77777777" w:rsidR="00B70FD6" w:rsidRPr="00F562A8" w:rsidRDefault="00B70FD6" w:rsidP="00B70FD6">
            <w:pPr>
              <w:spacing w:line="276" w:lineRule="auto"/>
              <w:contextualSpacing/>
              <w:rPr>
                <w:rFonts w:ascii="Times New Roman" w:hAnsi="Times New Roman" w:cs="Times New Roman"/>
                <w:sz w:val="22"/>
                <w:szCs w:val="22"/>
              </w:rPr>
            </w:pPr>
            <w:r w:rsidRPr="00F562A8">
              <w:rPr>
                <w:rFonts w:ascii="Times New Roman" w:hAnsi="Times New Roman" w:cs="Times New Roman"/>
                <w:color w:val="000000"/>
                <w:sz w:val="22"/>
                <w:szCs w:val="22"/>
              </w:rPr>
              <w:t xml:space="preserve">Государственный диплом о высшем образовании </w:t>
            </w:r>
            <w:r w:rsidRPr="00F562A8">
              <w:rPr>
                <w:rFonts w:ascii="Times New Roman" w:hAnsi="Times New Roman" w:cs="Times New Roman"/>
                <w:sz w:val="22"/>
                <w:szCs w:val="22"/>
              </w:rPr>
              <w:t xml:space="preserve">ВГТУ, </w:t>
            </w:r>
            <w:r w:rsidRPr="00F562A8">
              <w:rPr>
                <w:rFonts w:ascii="Times New Roman" w:hAnsi="Times New Roman" w:cs="Times New Roman"/>
                <w:color w:val="000000"/>
                <w:sz w:val="22"/>
                <w:szCs w:val="22"/>
              </w:rPr>
              <w:t>по специальности «</w:t>
            </w:r>
            <w:r w:rsidRPr="00F562A8">
              <w:rPr>
                <w:rFonts w:ascii="Times New Roman" w:hAnsi="Times New Roman" w:cs="Times New Roman"/>
                <w:sz w:val="22"/>
                <w:szCs w:val="22"/>
              </w:rPr>
              <w:t xml:space="preserve">Оценка объектов недвижимости», </w:t>
            </w:r>
            <w:r w:rsidRPr="00F562A8">
              <w:rPr>
                <w:rFonts w:ascii="Times New Roman" w:hAnsi="Times New Roman" w:cs="Times New Roman"/>
                <w:color w:val="000000"/>
                <w:sz w:val="22"/>
                <w:szCs w:val="22"/>
              </w:rPr>
              <w:t xml:space="preserve">диплом № </w:t>
            </w:r>
            <w:r w:rsidRPr="00F562A8">
              <w:rPr>
                <w:rFonts w:ascii="Times New Roman" w:hAnsi="Times New Roman" w:cs="Times New Roman"/>
                <w:sz w:val="22"/>
                <w:szCs w:val="22"/>
              </w:rPr>
              <w:t>101802 от 2018 г.</w:t>
            </w:r>
          </w:p>
        </w:tc>
      </w:tr>
    </w:tbl>
    <w:p w14:paraId="0A596006" w14:textId="77777777" w:rsidR="00B70FD6" w:rsidRPr="00F562A8" w:rsidRDefault="00B70FD6" w:rsidP="00B70FD6">
      <w:pPr>
        <w:spacing w:line="276" w:lineRule="auto"/>
        <w:jc w:val="right"/>
        <w:rPr>
          <w:rFonts w:ascii="Times New Roman" w:hAnsi="Times New Roman" w:cs="Times New Roman"/>
          <w:sz w:val="16"/>
          <w:szCs w:val="16"/>
        </w:rPr>
      </w:pPr>
    </w:p>
    <w:p w14:paraId="21C57982" w14:textId="76C642CD" w:rsidR="00B70FD6" w:rsidRPr="00E06397" w:rsidRDefault="00B70FD6" w:rsidP="00B70FD6">
      <w:pPr>
        <w:spacing w:line="276" w:lineRule="auto"/>
        <w:jc w:val="right"/>
        <w:rPr>
          <w:rFonts w:ascii="Times New Roman" w:hAnsi="Times New Roman" w:cs="Times New Roman"/>
          <w:sz w:val="26"/>
          <w:szCs w:val="26"/>
        </w:rPr>
      </w:pPr>
      <w:r w:rsidRPr="00E06397">
        <w:rPr>
          <w:rFonts w:ascii="Times New Roman" w:hAnsi="Times New Roman" w:cs="Times New Roman"/>
          <w:sz w:val="26"/>
          <w:szCs w:val="26"/>
        </w:rPr>
        <w:t>Таблица 2.</w:t>
      </w:r>
      <w:r w:rsidR="00722202">
        <w:rPr>
          <w:rFonts w:ascii="Times New Roman" w:hAnsi="Times New Roman" w:cs="Times New Roman"/>
          <w:sz w:val="26"/>
          <w:szCs w:val="26"/>
        </w:rPr>
        <w:t>5</w:t>
      </w:r>
      <w:r w:rsidRPr="00E06397">
        <w:rPr>
          <w:rFonts w:ascii="Times New Roman" w:hAnsi="Times New Roman" w:cs="Times New Roman"/>
          <w:sz w:val="26"/>
          <w:szCs w:val="26"/>
        </w:rPr>
        <w:t>.3</w:t>
      </w:r>
    </w:p>
    <w:p w14:paraId="2FD333F7" w14:textId="77777777" w:rsidR="00B70FD6" w:rsidRPr="00E06397" w:rsidRDefault="00B70FD6" w:rsidP="00B70FD6">
      <w:pPr>
        <w:spacing w:line="276" w:lineRule="auto"/>
        <w:contextualSpacing/>
        <w:jc w:val="center"/>
        <w:rPr>
          <w:rFonts w:ascii="Times New Roman" w:hAnsi="Times New Roman" w:cs="Times New Roman"/>
          <w:b/>
          <w:sz w:val="26"/>
          <w:szCs w:val="26"/>
        </w:rPr>
      </w:pPr>
      <w:r w:rsidRPr="00E06397">
        <w:rPr>
          <w:rFonts w:ascii="Times New Roman" w:hAnsi="Times New Roman" w:cs="Times New Roman"/>
          <w:b/>
          <w:sz w:val="26"/>
          <w:szCs w:val="26"/>
        </w:rPr>
        <w:t>Степень участия работников бюджетного учреждения в работе по определению кадастровой стоимости земельных участков</w:t>
      </w:r>
    </w:p>
    <w:tbl>
      <w:tblPr>
        <w:tblStyle w:val="18"/>
        <w:tblW w:w="9493" w:type="dxa"/>
        <w:tblLook w:val="04A0" w:firstRow="1" w:lastRow="0" w:firstColumn="1" w:lastColumn="0" w:noHBand="0" w:noVBand="1"/>
      </w:tblPr>
      <w:tblGrid>
        <w:gridCol w:w="3155"/>
        <w:gridCol w:w="1802"/>
        <w:gridCol w:w="4536"/>
      </w:tblGrid>
      <w:tr w:rsidR="00B70FD6" w:rsidRPr="00F562A8" w14:paraId="6DE86FB8" w14:textId="77777777" w:rsidTr="00B70FD6">
        <w:trPr>
          <w:trHeight w:val="263"/>
        </w:trPr>
        <w:tc>
          <w:tcPr>
            <w:tcW w:w="3155" w:type="dxa"/>
            <w:shd w:val="clear" w:color="auto" w:fill="auto"/>
            <w:vAlign w:val="center"/>
          </w:tcPr>
          <w:p w14:paraId="547D45FF" w14:textId="77777777" w:rsidR="00B70FD6" w:rsidRPr="00F562A8" w:rsidRDefault="00B70FD6" w:rsidP="00B70FD6">
            <w:pPr>
              <w:spacing w:line="276" w:lineRule="auto"/>
              <w:contextualSpacing/>
              <w:jc w:val="center"/>
              <w:rPr>
                <w:rFonts w:ascii="Times New Roman" w:hAnsi="Times New Roman" w:cs="Times New Roman"/>
                <w:b/>
              </w:rPr>
            </w:pPr>
            <w:r w:rsidRPr="00F562A8">
              <w:rPr>
                <w:rFonts w:ascii="Times New Roman" w:hAnsi="Times New Roman" w:cs="Times New Roman"/>
                <w:b/>
              </w:rPr>
              <w:t>Наименование должности</w:t>
            </w:r>
          </w:p>
        </w:tc>
        <w:tc>
          <w:tcPr>
            <w:tcW w:w="1802" w:type="dxa"/>
            <w:shd w:val="clear" w:color="auto" w:fill="auto"/>
            <w:vAlign w:val="center"/>
          </w:tcPr>
          <w:p w14:paraId="64F33B79" w14:textId="77777777" w:rsidR="00B70FD6" w:rsidRPr="00F562A8" w:rsidRDefault="00B70FD6" w:rsidP="00B70FD6">
            <w:pPr>
              <w:spacing w:line="276" w:lineRule="auto"/>
              <w:contextualSpacing/>
              <w:jc w:val="center"/>
              <w:rPr>
                <w:rFonts w:ascii="Times New Roman" w:hAnsi="Times New Roman" w:cs="Times New Roman"/>
                <w:b/>
              </w:rPr>
            </w:pPr>
            <w:r w:rsidRPr="00F562A8">
              <w:rPr>
                <w:rFonts w:ascii="Times New Roman" w:hAnsi="Times New Roman" w:cs="Times New Roman"/>
                <w:b/>
              </w:rPr>
              <w:t>ФИО работника</w:t>
            </w:r>
          </w:p>
        </w:tc>
        <w:tc>
          <w:tcPr>
            <w:tcW w:w="4536" w:type="dxa"/>
            <w:vAlign w:val="center"/>
          </w:tcPr>
          <w:p w14:paraId="623D8A1D" w14:textId="77777777" w:rsidR="00B70FD6" w:rsidRPr="00F562A8" w:rsidRDefault="00B70FD6" w:rsidP="00B70FD6">
            <w:pPr>
              <w:spacing w:line="276" w:lineRule="auto"/>
              <w:contextualSpacing/>
              <w:jc w:val="center"/>
              <w:rPr>
                <w:rFonts w:ascii="Times New Roman" w:hAnsi="Times New Roman" w:cs="Times New Roman"/>
                <w:b/>
              </w:rPr>
            </w:pPr>
            <w:r w:rsidRPr="00F562A8">
              <w:rPr>
                <w:rFonts w:ascii="Times New Roman" w:hAnsi="Times New Roman" w:cs="Times New Roman"/>
                <w:b/>
              </w:rPr>
              <w:t>Степень участия в работе</w:t>
            </w:r>
          </w:p>
        </w:tc>
      </w:tr>
      <w:tr w:rsidR="00604790" w:rsidRPr="00F562A8" w14:paraId="3E313909" w14:textId="77777777" w:rsidTr="00B70FD6">
        <w:trPr>
          <w:trHeight w:val="263"/>
        </w:trPr>
        <w:tc>
          <w:tcPr>
            <w:tcW w:w="3155" w:type="dxa"/>
            <w:shd w:val="clear" w:color="auto" w:fill="auto"/>
            <w:vAlign w:val="center"/>
          </w:tcPr>
          <w:p w14:paraId="7C010164" w14:textId="6B0626CB" w:rsidR="00604790" w:rsidRPr="00F562A8" w:rsidRDefault="00604790" w:rsidP="00604790">
            <w:pPr>
              <w:spacing w:line="276" w:lineRule="auto"/>
              <w:contextualSpacing/>
              <w:jc w:val="center"/>
              <w:rPr>
                <w:rFonts w:ascii="Times New Roman" w:hAnsi="Times New Roman" w:cs="Times New Roman"/>
                <w:b/>
              </w:rPr>
            </w:pPr>
            <w:r w:rsidRPr="00E62C26">
              <w:rPr>
                <w:rFonts w:ascii="Times New Roman" w:hAnsi="Times New Roman" w:cs="Times New Roman"/>
              </w:rPr>
              <w:t>Заместитель директора</w:t>
            </w:r>
          </w:p>
        </w:tc>
        <w:tc>
          <w:tcPr>
            <w:tcW w:w="1802" w:type="dxa"/>
            <w:shd w:val="clear" w:color="auto" w:fill="auto"/>
            <w:vAlign w:val="center"/>
          </w:tcPr>
          <w:p w14:paraId="4D9F40CE" w14:textId="660B33A7" w:rsidR="00604790" w:rsidRPr="00F562A8" w:rsidRDefault="00604790" w:rsidP="007553D1">
            <w:pPr>
              <w:spacing w:line="276" w:lineRule="auto"/>
              <w:contextualSpacing/>
              <w:rPr>
                <w:rFonts w:ascii="Times New Roman" w:hAnsi="Times New Roman" w:cs="Times New Roman"/>
                <w:b/>
              </w:rPr>
            </w:pPr>
            <w:r w:rsidRPr="00E62C26">
              <w:rPr>
                <w:rFonts w:ascii="Times New Roman" w:hAnsi="Times New Roman" w:cs="Times New Roman"/>
              </w:rPr>
              <w:t>Калагастова Ольга Александровна</w:t>
            </w:r>
          </w:p>
        </w:tc>
        <w:tc>
          <w:tcPr>
            <w:tcW w:w="4536" w:type="dxa"/>
            <w:vAlign w:val="center"/>
          </w:tcPr>
          <w:p w14:paraId="574A7F4E" w14:textId="56FBEF4B" w:rsidR="00604790" w:rsidRPr="00604790" w:rsidRDefault="00604790" w:rsidP="00604790">
            <w:pPr>
              <w:pStyle w:val="92"/>
              <w:tabs>
                <w:tab w:val="clear" w:pos="1134"/>
                <w:tab w:val="left" w:pos="892"/>
              </w:tabs>
              <w:spacing w:line="276" w:lineRule="auto"/>
              <w:ind w:left="41" w:firstLine="0"/>
              <w:jc w:val="both"/>
              <w:rPr>
                <w:rFonts w:eastAsiaTheme="minorEastAsia"/>
                <w:color w:val="auto"/>
                <w:spacing w:val="0"/>
                <w:lang w:eastAsia="en-US"/>
              </w:rPr>
            </w:pPr>
            <w:r w:rsidRPr="00604790">
              <w:rPr>
                <w:rFonts w:eastAsiaTheme="minorEastAsia"/>
                <w:color w:val="auto"/>
                <w:spacing w:val="0"/>
                <w:lang w:eastAsia="en-US"/>
              </w:rPr>
              <w:t>участие в разработке методологии кадастровой оценки</w:t>
            </w:r>
            <w:r w:rsidR="001A482C">
              <w:rPr>
                <w:rFonts w:eastAsiaTheme="minorEastAsia"/>
                <w:color w:val="auto"/>
                <w:spacing w:val="0"/>
                <w:lang w:eastAsia="en-US"/>
              </w:rPr>
              <w:t>;</w:t>
            </w:r>
          </w:p>
          <w:p w14:paraId="718609C2" w14:textId="112B36C9" w:rsidR="00604790" w:rsidRPr="00604790" w:rsidRDefault="007553D1" w:rsidP="007553D1">
            <w:pPr>
              <w:spacing w:line="276" w:lineRule="auto"/>
              <w:ind w:left="34"/>
              <w:contextualSpacing/>
              <w:rPr>
                <w:rFonts w:ascii="Times New Roman" w:hAnsi="Times New Roman" w:cs="Times New Roman"/>
              </w:rPr>
            </w:pPr>
            <w:r>
              <w:rPr>
                <w:rFonts w:ascii="Times New Roman" w:hAnsi="Times New Roman" w:cs="Times New Roman"/>
              </w:rPr>
              <w:t xml:space="preserve">- </w:t>
            </w:r>
            <w:r w:rsidR="00604790" w:rsidRPr="00604790">
              <w:rPr>
                <w:rFonts w:ascii="Times New Roman" w:hAnsi="Times New Roman" w:cs="Times New Roman"/>
              </w:rPr>
              <w:t>участие в проверке итогового отчета об итогах государственной кадастровой оценке</w:t>
            </w:r>
            <w:r w:rsidR="001A482C">
              <w:rPr>
                <w:rFonts w:ascii="Times New Roman" w:hAnsi="Times New Roman" w:cs="Times New Roman"/>
              </w:rPr>
              <w:t>.</w:t>
            </w:r>
          </w:p>
        </w:tc>
      </w:tr>
      <w:tr w:rsidR="00604790" w:rsidRPr="00F562A8" w14:paraId="2E9AB320" w14:textId="77777777" w:rsidTr="00B70FD6">
        <w:tc>
          <w:tcPr>
            <w:tcW w:w="3155" w:type="dxa"/>
            <w:vAlign w:val="center"/>
          </w:tcPr>
          <w:p w14:paraId="0528155F"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 xml:space="preserve">Начальник отдела </w:t>
            </w:r>
            <w:r w:rsidRPr="00F562A8">
              <w:rPr>
                <w:rFonts w:ascii="Times New Roman" w:hAnsi="Times New Roman" w:cs="Times New Roman"/>
                <w:color w:val="000000" w:themeColor="text1"/>
              </w:rPr>
              <w:t>картографических работ и информационных технологий</w:t>
            </w:r>
          </w:p>
        </w:tc>
        <w:tc>
          <w:tcPr>
            <w:tcW w:w="1802" w:type="dxa"/>
            <w:vAlign w:val="center"/>
          </w:tcPr>
          <w:p w14:paraId="6DC8891E"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Комов Илья Анатольевич</w:t>
            </w:r>
          </w:p>
        </w:tc>
        <w:tc>
          <w:tcPr>
            <w:tcW w:w="4536" w:type="dxa"/>
            <w:vAlign w:val="center"/>
          </w:tcPr>
          <w:p w14:paraId="41413929" w14:textId="77777777" w:rsidR="00604790" w:rsidRPr="00010445" w:rsidRDefault="00604790" w:rsidP="00604790">
            <w:pPr>
              <w:pStyle w:val="92"/>
              <w:tabs>
                <w:tab w:val="clear" w:pos="1134"/>
                <w:tab w:val="left" w:pos="892"/>
              </w:tabs>
              <w:spacing w:line="276" w:lineRule="auto"/>
              <w:ind w:left="41" w:firstLine="0"/>
              <w:jc w:val="both"/>
            </w:pPr>
            <w:r w:rsidRPr="00010445">
              <w:t>участие   в формирование базы геоданных, используемых для расчета значений ценообразующих факторов, характеризующих местоположение объектов недвижимости;</w:t>
            </w:r>
          </w:p>
          <w:p w14:paraId="7E3ABE12" w14:textId="77777777" w:rsidR="00604790" w:rsidRPr="00F562A8" w:rsidRDefault="00604790" w:rsidP="00604790">
            <w:pPr>
              <w:pStyle w:val="92"/>
              <w:tabs>
                <w:tab w:val="clear" w:pos="1134"/>
                <w:tab w:val="left" w:pos="892"/>
              </w:tabs>
              <w:spacing w:line="276" w:lineRule="auto"/>
              <w:ind w:left="41" w:firstLine="0"/>
              <w:jc w:val="both"/>
            </w:pPr>
            <w:r w:rsidRPr="00010445">
              <w:t>участие   в геопривязка</w:t>
            </w:r>
            <w:r w:rsidRPr="00F562A8">
              <w:t xml:space="preserve"> объектов кадастровой оценки.</w:t>
            </w:r>
          </w:p>
        </w:tc>
      </w:tr>
      <w:tr w:rsidR="00604790" w:rsidRPr="00F562A8" w14:paraId="17FFBEB4" w14:textId="77777777" w:rsidTr="00B70FD6">
        <w:tc>
          <w:tcPr>
            <w:tcW w:w="3155" w:type="dxa"/>
            <w:vAlign w:val="center"/>
          </w:tcPr>
          <w:p w14:paraId="7FD68C64"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Начальник отдела мониторинга рынка недвижимости</w:t>
            </w:r>
          </w:p>
        </w:tc>
        <w:tc>
          <w:tcPr>
            <w:tcW w:w="1802" w:type="dxa"/>
            <w:vAlign w:val="center"/>
          </w:tcPr>
          <w:p w14:paraId="64D4DA40"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Латынина Ирина Александровна</w:t>
            </w:r>
          </w:p>
        </w:tc>
        <w:tc>
          <w:tcPr>
            <w:tcW w:w="4536" w:type="dxa"/>
            <w:vAlign w:val="center"/>
          </w:tcPr>
          <w:p w14:paraId="54C5C841" w14:textId="77777777" w:rsidR="00604790" w:rsidRPr="00010445" w:rsidRDefault="00604790" w:rsidP="00604790">
            <w:pPr>
              <w:pStyle w:val="92"/>
              <w:tabs>
                <w:tab w:val="clear" w:pos="1134"/>
                <w:tab w:val="left" w:pos="892"/>
              </w:tabs>
              <w:spacing w:line="276" w:lineRule="auto"/>
              <w:ind w:left="41" w:firstLine="0"/>
              <w:jc w:val="both"/>
            </w:pPr>
            <w:r w:rsidRPr="00010445">
              <w:t>участие в мониторинге цен на рынке недвижимости;</w:t>
            </w:r>
          </w:p>
          <w:p w14:paraId="42A03AE2" w14:textId="77777777" w:rsidR="00604790" w:rsidRPr="00F562A8" w:rsidRDefault="00604790" w:rsidP="00604790">
            <w:pPr>
              <w:tabs>
                <w:tab w:val="left" w:pos="892"/>
              </w:tabs>
              <w:spacing w:line="276" w:lineRule="auto"/>
              <w:ind w:left="41"/>
              <w:contextualSpacing/>
              <w:jc w:val="both"/>
              <w:rPr>
                <w:rFonts w:ascii="Times New Roman" w:hAnsi="Times New Roman" w:cs="Times New Roman"/>
              </w:rPr>
            </w:pPr>
            <w:r w:rsidRPr="00010445">
              <w:rPr>
                <w:rFonts w:ascii="Times New Roman" w:hAnsi="Times New Roman" w:cs="Times New Roman"/>
              </w:rPr>
              <w:t xml:space="preserve">- </w:t>
            </w:r>
            <w:r w:rsidRPr="00010445">
              <w:rPr>
                <w:rFonts w:ascii="Times New Roman" w:eastAsia="Calibri" w:hAnsi="Times New Roman" w:cs="Times New Roman"/>
                <w:color w:val="00000A"/>
                <w:spacing w:val="-5"/>
                <w:lang w:eastAsia="ru-RU"/>
              </w:rPr>
              <w:t xml:space="preserve">участие в </w:t>
            </w:r>
            <w:r w:rsidRPr="00010445">
              <w:rPr>
                <w:rFonts w:ascii="Times New Roman" w:hAnsi="Times New Roman" w:cs="Times New Roman"/>
              </w:rPr>
              <w:t>сборе, обработке и анализе информации</w:t>
            </w:r>
            <w:r w:rsidRPr="00F562A8">
              <w:rPr>
                <w:rFonts w:ascii="Times New Roman" w:hAnsi="Times New Roman" w:cs="Times New Roman"/>
              </w:rPr>
              <w:t xml:space="preserve"> о рынке объектов недвижимости.</w:t>
            </w:r>
          </w:p>
        </w:tc>
      </w:tr>
      <w:tr w:rsidR="00604790" w:rsidRPr="00F562A8" w14:paraId="78F2C784" w14:textId="77777777" w:rsidTr="00B70FD6">
        <w:tc>
          <w:tcPr>
            <w:tcW w:w="3155" w:type="dxa"/>
            <w:shd w:val="clear" w:color="auto" w:fill="auto"/>
            <w:vAlign w:val="center"/>
          </w:tcPr>
          <w:p w14:paraId="4943C79F" w14:textId="181E042F" w:rsidR="00604790" w:rsidRPr="00F562A8" w:rsidRDefault="00604790" w:rsidP="00604790">
            <w:pPr>
              <w:spacing w:line="276" w:lineRule="auto"/>
              <w:contextualSpacing/>
              <w:rPr>
                <w:rFonts w:ascii="Times New Roman" w:hAnsi="Times New Roman" w:cs="Times New Roman"/>
              </w:rPr>
            </w:pPr>
            <w:r>
              <w:rPr>
                <w:rFonts w:ascii="Times New Roman" w:hAnsi="Times New Roman" w:cs="Times New Roman"/>
              </w:rPr>
              <w:t>Н</w:t>
            </w:r>
            <w:r w:rsidRPr="00F562A8">
              <w:rPr>
                <w:rFonts w:ascii="Times New Roman" w:hAnsi="Times New Roman" w:cs="Times New Roman"/>
              </w:rPr>
              <w:t xml:space="preserve">ачальник отдела </w:t>
            </w:r>
            <w:r>
              <w:rPr>
                <w:rFonts w:ascii="Times New Roman" w:hAnsi="Times New Roman" w:cs="Times New Roman"/>
              </w:rPr>
              <w:t>кадастровой оценки</w:t>
            </w:r>
            <w:r w:rsidRPr="00F562A8">
              <w:rPr>
                <w:rFonts w:ascii="Times New Roman" w:hAnsi="Times New Roman" w:cs="Times New Roman"/>
              </w:rPr>
              <w:t xml:space="preserve"> </w:t>
            </w:r>
          </w:p>
        </w:tc>
        <w:tc>
          <w:tcPr>
            <w:tcW w:w="1802" w:type="dxa"/>
            <w:shd w:val="clear" w:color="auto" w:fill="auto"/>
            <w:vAlign w:val="center"/>
          </w:tcPr>
          <w:p w14:paraId="484DFC7F"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Тихова Анна Вячеславовна</w:t>
            </w:r>
          </w:p>
        </w:tc>
        <w:tc>
          <w:tcPr>
            <w:tcW w:w="4536" w:type="dxa"/>
            <w:vAlign w:val="center"/>
          </w:tcPr>
          <w:p w14:paraId="72DC76E4" w14:textId="77777777" w:rsidR="00604790" w:rsidRPr="00F562A8" w:rsidRDefault="00604790" w:rsidP="00604790">
            <w:pPr>
              <w:spacing w:line="276" w:lineRule="auto"/>
              <w:contextualSpacing/>
              <w:jc w:val="both"/>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участие в разработке методологии</w:t>
            </w:r>
            <w:r w:rsidRPr="00F562A8">
              <w:rPr>
                <w:rFonts w:ascii="Times New Roman" w:hAnsi="Times New Roman" w:cs="Times New Roman"/>
              </w:rPr>
              <w:t xml:space="preserve"> </w:t>
            </w:r>
            <w:r w:rsidRPr="00F562A8">
              <w:rPr>
                <w:rFonts w:ascii="Times New Roman" w:eastAsia="Calibri" w:hAnsi="Times New Roman" w:cs="Times New Roman"/>
                <w:color w:val="00000A"/>
                <w:spacing w:val="-5"/>
                <w:lang w:eastAsia="ru-RU"/>
              </w:rPr>
              <w:t>оценки кадастровой стоимости объектов недвижимости;</w:t>
            </w:r>
          </w:p>
          <w:p w14:paraId="0EC9F21B"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w:t>
            </w:r>
            <w:r w:rsidRPr="00010445">
              <w:rPr>
                <w:rFonts w:ascii="Times New Roman" w:eastAsia="Calibri" w:hAnsi="Times New Roman" w:cs="Times New Roman"/>
                <w:color w:val="00000A"/>
                <w:spacing w:val="-5"/>
                <w:lang w:eastAsia="ru-RU"/>
              </w:rPr>
              <w:t>участие обработке перечня: сегментация, установление ВРИ, кода КЛАДР, группировка;</w:t>
            </w:r>
          </w:p>
          <w:p w14:paraId="7459B139" w14:textId="77777777" w:rsidR="00604790" w:rsidRPr="00F562A8"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сборе</w:t>
            </w:r>
            <w:r w:rsidRPr="00F562A8">
              <w:rPr>
                <w:rFonts w:ascii="Times New Roman" w:eastAsia="Calibri" w:hAnsi="Times New Roman" w:cs="Times New Roman"/>
                <w:color w:val="00000A"/>
                <w:spacing w:val="-5"/>
                <w:lang w:eastAsia="ru-RU"/>
              </w:rPr>
              <w:t xml:space="preserve"> ЦОФ;</w:t>
            </w:r>
          </w:p>
          <w:p w14:paraId="2FF0D97C" w14:textId="77777777" w:rsidR="00604790" w:rsidRPr="00F562A8" w:rsidRDefault="00604790" w:rsidP="00604790">
            <w:pPr>
              <w:spacing w:line="276" w:lineRule="auto"/>
              <w:contextualSpacing/>
              <w:jc w:val="both"/>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проверка результатов расчета КС;</w:t>
            </w:r>
          </w:p>
          <w:p w14:paraId="45D4349A" w14:textId="77777777" w:rsidR="00604790" w:rsidRPr="00F562A8"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составлении</w:t>
            </w:r>
            <w:r>
              <w:rPr>
                <w:rFonts w:ascii="Times New Roman" w:eastAsia="Calibri" w:hAnsi="Times New Roman" w:cs="Times New Roman"/>
                <w:color w:val="00000A"/>
                <w:spacing w:val="-5"/>
                <w:lang w:eastAsia="ru-RU"/>
              </w:rPr>
              <w:t xml:space="preserve"> </w:t>
            </w:r>
            <w:r w:rsidRPr="00F562A8">
              <w:rPr>
                <w:rFonts w:ascii="Times New Roman" w:eastAsia="Calibri" w:hAnsi="Times New Roman" w:cs="Times New Roman"/>
                <w:color w:val="00000A"/>
                <w:spacing w:val="-5"/>
                <w:lang w:eastAsia="ru-RU"/>
              </w:rPr>
              <w:t>отчета</w:t>
            </w:r>
            <w:r>
              <w:rPr>
                <w:rFonts w:ascii="Times New Roman" w:eastAsia="Calibri" w:hAnsi="Times New Roman" w:cs="Times New Roman"/>
                <w:color w:val="00000A"/>
                <w:spacing w:val="-5"/>
                <w:lang w:eastAsia="ru-RU"/>
              </w:rPr>
              <w:t xml:space="preserve"> и его итоговая проверка</w:t>
            </w:r>
            <w:r w:rsidRPr="00F562A8">
              <w:rPr>
                <w:rFonts w:ascii="Times New Roman" w:eastAsia="Calibri" w:hAnsi="Times New Roman" w:cs="Times New Roman"/>
                <w:color w:val="00000A"/>
                <w:spacing w:val="-5"/>
                <w:lang w:eastAsia="ru-RU"/>
              </w:rPr>
              <w:t>.</w:t>
            </w:r>
          </w:p>
        </w:tc>
      </w:tr>
      <w:tr w:rsidR="00604790" w:rsidRPr="00F562A8" w14:paraId="25B132FC" w14:textId="77777777" w:rsidTr="00B70FD6">
        <w:tc>
          <w:tcPr>
            <w:tcW w:w="3155" w:type="dxa"/>
            <w:shd w:val="clear" w:color="auto" w:fill="auto"/>
            <w:vAlign w:val="center"/>
          </w:tcPr>
          <w:p w14:paraId="14DD0F69" w14:textId="7590EB2D" w:rsidR="00604790" w:rsidRPr="00F562A8" w:rsidRDefault="00604790" w:rsidP="00604790">
            <w:pPr>
              <w:spacing w:line="276" w:lineRule="auto"/>
              <w:contextualSpacing/>
              <w:rPr>
                <w:rFonts w:ascii="Times New Roman" w:hAnsi="Times New Roman" w:cs="Times New Roman"/>
              </w:rPr>
            </w:pPr>
            <w:r>
              <w:rPr>
                <w:rFonts w:ascii="Times New Roman" w:hAnsi="Times New Roman" w:cs="Times New Roman"/>
              </w:rPr>
              <w:t>Г</w:t>
            </w:r>
            <w:r w:rsidRPr="00F562A8">
              <w:rPr>
                <w:rFonts w:ascii="Times New Roman" w:hAnsi="Times New Roman" w:cs="Times New Roman"/>
              </w:rPr>
              <w:t xml:space="preserve">лавный специалист отдела </w:t>
            </w:r>
            <w:r>
              <w:rPr>
                <w:rFonts w:ascii="Times New Roman" w:hAnsi="Times New Roman" w:cs="Times New Roman"/>
              </w:rPr>
              <w:t>кадастровой оценки</w:t>
            </w:r>
          </w:p>
        </w:tc>
        <w:tc>
          <w:tcPr>
            <w:tcW w:w="1802" w:type="dxa"/>
            <w:shd w:val="clear" w:color="auto" w:fill="auto"/>
            <w:vAlign w:val="center"/>
          </w:tcPr>
          <w:p w14:paraId="7FA4FDBE"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Коваленко Михаил Николаевич</w:t>
            </w:r>
          </w:p>
        </w:tc>
        <w:tc>
          <w:tcPr>
            <w:tcW w:w="4536" w:type="dxa"/>
            <w:vAlign w:val="center"/>
          </w:tcPr>
          <w:p w14:paraId="77A7509D" w14:textId="77777777"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участие в разработке методологии</w:t>
            </w:r>
            <w:r w:rsidRPr="00F562A8">
              <w:rPr>
                <w:rFonts w:ascii="Times New Roman" w:hAnsi="Times New Roman" w:cs="Times New Roman"/>
              </w:rPr>
              <w:t xml:space="preserve"> </w:t>
            </w:r>
            <w:r w:rsidRPr="00F562A8">
              <w:rPr>
                <w:rFonts w:ascii="Times New Roman" w:eastAsia="Calibri" w:hAnsi="Times New Roman" w:cs="Times New Roman"/>
                <w:color w:val="00000A"/>
                <w:spacing w:val="-5"/>
                <w:lang w:eastAsia="ru-RU"/>
              </w:rPr>
              <w:t>оценки кадастровой стоимости объектов недвижимости;</w:t>
            </w:r>
          </w:p>
          <w:p w14:paraId="68CC9B22"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w:t>
            </w:r>
            <w:r w:rsidRPr="00010445">
              <w:rPr>
                <w:rFonts w:ascii="Times New Roman" w:eastAsia="Calibri" w:hAnsi="Times New Roman" w:cs="Times New Roman"/>
                <w:color w:val="00000A"/>
                <w:spacing w:val="-5"/>
                <w:lang w:eastAsia="ru-RU"/>
              </w:rPr>
              <w:t>участие обработке перечня: сегментация, установление ВРИ, кода КЛАДР, группировка;</w:t>
            </w:r>
          </w:p>
          <w:p w14:paraId="0C684A2F" w14:textId="77777777" w:rsidR="00604790" w:rsidRPr="00F562A8"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w:t>
            </w:r>
            <w:r>
              <w:rPr>
                <w:rFonts w:ascii="Times New Roman" w:eastAsia="Calibri" w:hAnsi="Times New Roman" w:cs="Times New Roman"/>
                <w:color w:val="00000A"/>
                <w:spacing w:val="-5"/>
                <w:lang w:eastAsia="ru-RU"/>
              </w:rPr>
              <w:t xml:space="preserve"> </w:t>
            </w:r>
            <w:r w:rsidRPr="00F562A8">
              <w:rPr>
                <w:rFonts w:ascii="Times New Roman" w:eastAsia="Calibri" w:hAnsi="Times New Roman" w:cs="Times New Roman"/>
                <w:color w:val="00000A"/>
                <w:spacing w:val="-5"/>
                <w:lang w:eastAsia="ru-RU"/>
              </w:rPr>
              <w:t>сбор</w:t>
            </w:r>
            <w:r>
              <w:rPr>
                <w:rFonts w:ascii="Times New Roman" w:eastAsia="Calibri" w:hAnsi="Times New Roman" w:cs="Times New Roman"/>
                <w:color w:val="00000A"/>
                <w:spacing w:val="-5"/>
                <w:lang w:eastAsia="ru-RU"/>
              </w:rPr>
              <w:t>е</w:t>
            </w:r>
            <w:r w:rsidRPr="00F562A8">
              <w:rPr>
                <w:rFonts w:ascii="Times New Roman" w:eastAsia="Calibri" w:hAnsi="Times New Roman" w:cs="Times New Roman"/>
                <w:color w:val="00000A"/>
                <w:spacing w:val="-5"/>
                <w:lang w:eastAsia="ru-RU"/>
              </w:rPr>
              <w:t xml:space="preserve"> ЦОФ;</w:t>
            </w:r>
          </w:p>
          <w:p w14:paraId="17F2B6F5" w14:textId="77777777"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расчет КС;</w:t>
            </w:r>
          </w:p>
          <w:p w14:paraId="55618C3A"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xml:space="preserve">- анализ результатов </w:t>
            </w:r>
            <w:r w:rsidRPr="00010445">
              <w:rPr>
                <w:rFonts w:ascii="Times New Roman" w:eastAsia="Calibri" w:hAnsi="Times New Roman" w:cs="Times New Roman"/>
                <w:color w:val="00000A"/>
                <w:spacing w:val="-5"/>
                <w:lang w:eastAsia="ru-RU"/>
              </w:rPr>
              <w:t>расчета КС;</w:t>
            </w:r>
          </w:p>
          <w:p w14:paraId="1A4D61E4" w14:textId="125FB8D7" w:rsidR="00604790" w:rsidRPr="00F562A8"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составлении отчета</w:t>
            </w:r>
            <w:r w:rsidRPr="0030799E">
              <w:rPr>
                <w:rFonts w:ascii="Times New Roman" w:eastAsia="Calibri" w:hAnsi="Times New Roman" w:cs="Times New Roman"/>
                <w:color w:val="00000A"/>
                <w:spacing w:val="-5"/>
                <w:lang w:eastAsia="ru-RU"/>
              </w:rPr>
              <w:t xml:space="preserve"> об итогах</w:t>
            </w:r>
            <w:r w:rsidRPr="00F562A8">
              <w:rPr>
                <w:rFonts w:ascii="Times New Roman" w:eastAsia="Calibri" w:hAnsi="Times New Roman" w:cs="Times New Roman"/>
                <w:color w:val="00000A"/>
                <w:spacing w:val="-5"/>
                <w:lang w:eastAsia="ru-RU"/>
              </w:rPr>
              <w:t xml:space="preserve"> государственной кадастровой оценке.</w:t>
            </w:r>
          </w:p>
        </w:tc>
      </w:tr>
      <w:tr w:rsidR="00604790" w:rsidRPr="00F562A8" w14:paraId="4AE465C5" w14:textId="77777777" w:rsidTr="00B70FD6">
        <w:tc>
          <w:tcPr>
            <w:tcW w:w="3155" w:type="dxa"/>
            <w:vAlign w:val="center"/>
          </w:tcPr>
          <w:p w14:paraId="19FDA825" w14:textId="2010501B" w:rsidR="00604790" w:rsidRPr="00F562A8" w:rsidRDefault="00604790" w:rsidP="00604790">
            <w:pPr>
              <w:spacing w:line="276" w:lineRule="auto"/>
              <w:contextualSpacing/>
              <w:rPr>
                <w:rFonts w:ascii="Times New Roman" w:hAnsi="Times New Roman" w:cs="Times New Roman"/>
              </w:rPr>
            </w:pPr>
            <w:r>
              <w:rPr>
                <w:rFonts w:ascii="Times New Roman" w:hAnsi="Times New Roman" w:cs="Times New Roman"/>
              </w:rPr>
              <w:t>Г</w:t>
            </w:r>
            <w:r w:rsidRPr="00F562A8">
              <w:rPr>
                <w:rFonts w:ascii="Times New Roman" w:hAnsi="Times New Roman" w:cs="Times New Roman"/>
              </w:rPr>
              <w:t xml:space="preserve">лавный специалист отдела </w:t>
            </w:r>
            <w:r>
              <w:rPr>
                <w:rFonts w:ascii="Times New Roman" w:hAnsi="Times New Roman" w:cs="Times New Roman"/>
              </w:rPr>
              <w:t>кадастровой оценки</w:t>
            </w:r>
          </w:p>
        </w:tc>
        <w:tc>
          <w:tcPr>
            <w:tcW w:w="1802" w:type="dxa"/>
            <w:vAlign w:val="center"/>
          </w:tcPr>
          <w:p w14:paraId="33284891"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Кирсанова Наталия Викторовна</w:t>
            </w:r>
          </w:p>
        </w:tc>
        <w:tc>
          <w:tcPr>
            <w:tcW w:w="4536" w:type="dxa"/>
            <w:vAlign w:val="center"/>
          </w:tcPr>
          <w:p w14:paraId="2B74B433"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участие в разработке методологии</w:t>
            </w:r>
            <w:r w:rsidRPr="00F562A8">
              <w:rPr>
                <w:rFonts w:ascii="Times New Roman" w:hAnsi="Times New Roman" w:cs="Times New Roman"/>
              </w:rPr>
              <w:t xml:space="preserve"> </w:t>
            </w:r>
            <w:r w:rsidRPr="00F562A8">
              <w:rPr>
                <w:rFonts w:ascii="Times New Roman" w:eastAsia="Calibri" w:hAnsi="Times New Roman" w:cs="Times New Roman"/>
                <w:color w:val="00000A"/>
                <w:spacing w:val="-5"/>
                <w:lang w:eastAsia="ru-RU"/>
              </w:rPr>
              <w:t xml:space="preserve">оценки кадастровой стоимости объектов </w:t>
            </w:r>
            <w:r w:rsidRPr="00010445">
              <w:rPr>
                <w:rFonts w:ascii="Times New Roman" w:eastAsia="Calibri" w:hAnsi="Times New Roman" w:cs="Times New Roman"/>
                <w:color w:val="00000A"/>
                <w:spacing w:val="-5"/>
                <w:lang w:eastAsia="ru-RU"/>
              </w:rPr>
              <w:t>недвижимости;</w:t>
            </w:r>
          </w:p>
          <w:p w14:paraId="3731D3FB"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-участие обработке перечня: сегментация, установление ВРИ, кода КЛАДР, группировка;</w:t>
            </w:r>
          </w:p>
          <w:p w14:paraId="0D9E1AA7" w14:textId="77777777" w:rsidR="00604790" w:rsidRPr="00F562A8"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w:t>
            </w:r>
            <w:r>
              <w:rPr>
                <w:rFonts w:ascii="Times New Roman" w:eastAsia="Calibri" w:hAnsi="Times New Roman" w:cs="Times New Roman"/>
                <w:color w:val="00000A"/>
                <w:spacing w:val="-5"/>
                <w:lang w:eastAsia="ru-RU"/>
              </w:rPr>
              <w:t xml:space="preserve"> </w:t>
            </w:r>
            <w:r w:rsidRPr="00F562A8">
              <w:rPr>
                <w:rFonts w:ascii="Times New Roman" w:eastAsia="Calibri" w:hAnsi="Times New Roman" w:cs="Times New Roman"/>
                <w:color w:val="00000A"/>
                <w:spacing w:val="-5"/>
                <w:lang w:eastAsia="ru-RU"/>
              </w:rPr>
              <w:t>сбор</w:t>
            </w:r>
            <w:r>
              <w:rPr>
                <w:rFonts w:ascii="Times New Roman" w:eastAsia="Calibri" w:hAnsi="Times New Roman" w:cs="Times New Roman"/>
                <w:color w:val="00000A"/>
                <w:spacing w:val="-5"/>
                <w:lang w:eastAsia="ru-RU"/>
              </w:rPr>
              <w:t>е</w:t>
            </w:r>
            <w:r w:rsidRPr="00F562A8">
              <w:rPr>
                <w:rFonts w:ascii="Times New Roman" w:eastAsia="Calibri" w:hAnsi="Times New Roman" w:cs="Times New Roman"/>
                <w:color w:val="00000A"/>
                <w:spacing w:val="-5"/>
                <w:lang w:eastAsia="ru-RU"/>
              </w:rPr>
              <w:t xml:space="preserve"> ЦОФ;</w:t>
            </w:r>
          </w:p>
          <w:p w14:paraId="057143AD" w14:textId="77777777"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загрузка и выгрузка в АСОН необходимой информации для проведения расчетов КС;</w:t>
            </w:r>
          </w:p>
          <w:p w14:paraId="653DF081" w14:textId="77777777"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расчет КС;</w:t>
            </w:r>
          </w:p>
          <w:p w14:paraId="14406899" w14:textId="77777777"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анализ результатов расчета КС;</w:t>
            </w:r>
          </w:p>
          <w:p w14:paraId="05F95FFF" w14:textId="7D42BD22"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xml:space="preserve">- участие в </w:t>
            </w:r>
            <w:r w:rsidRPr="00010445">
              <w:rPr>
                <w:rFonts w:ascii="Times New Roman" w:eastAsia="Calibri" w:hAnsi="Times New Roman" w:cs="Times New Roman"/>
                <w:color w:val="00000A"/>
                <w:spacing w:val="-5"/>
                <w:lang w:eastAsia="ru-RU"/>
              </w:rPr>
              <w:t>составлении отчета об итогах государственной кадастровой</w:t>
            </w:r>
            <w:r w:rsidRPr="00F562A8">
              <w:rPr>
                <w:rFonts w:ascii="Times New Roman" w:eastAsia="Calibri" w:hAnsi="Times New Roman" w:cs="Times New Roman"/>
                <w:color w:val="00000A"/>
                <w:spacing w:val="-5"/>
                <w:lang w:eastAsia="ru-RU"/>
              </w:rPr>
              <w:t xml:space="preserve"> оценке.</w:t>
            </w:r>
          </w:p>
        </w:tc>
      </w:tr>
      <w:tr w:rsidR="00604790" w:rsidRPr="00F562A8" w14:paraId="214B8D53" w14:textId="77777777" w:rsidTr="00B70FD6">
        <w:tc>
          <w:tcPr>
            <w:tcW w:w="3155" w:type="dxa"/>
            <w:vAlign w:val="center"/>
          </w:tcPr>
          <w:p w14:paraId="37210FE2" w14:textId="593FBD52" w:rsidR="00604790" w:rsidRPr="00F562A8" w:rsidRDefault="00604790" w:rsidP="00604790">
            <w:pPr>
              <w:spacing w:line="276" w:lineRule="auto"/>
              <w:contextualSpacing/>
              <w:rPr>
                <w:rFonts w:ascii="Times New Roman" w:hAnsi="Times New Roman" w:cs="Times New Roman"/>
              </w:rPr>
            </w:pPr>
            <w:r>
              <w:rPr>
                <w:rFonts w:ascii="Times New Roman" w:hAnsi="Times New Roman" w:cs="Times New Roman"/>
              </w:rPr>
              <w:t>Г</w:t>
            </w:r>
            <w:r w:rsidRPr="00F562A8">
              <w:rPr>
                <w:rFonts w:ascii="Times New Roman" w:hAnsi="Times New Roman" w:cs="Times New Roman"/>
              </w:rPr>
              <w:t xml:space="preserve">лавный специалист отдела </w:t>
            </w:r>
            <w:r>
              <w:rPr>
                <w:rFonts w:ascii="Times New Roman" w:hAnsi="Times New Roman" w:cs="Times New Roman"/>
              </w:rPr>
              <w:t>кадастровой оценки</w:t>
            </w:r>
          </w:p>
        </w:tc>
        <w:tc>
          <w:tcPr>
            <w:tcW w:w="1802" w:type="dxa"/>
            <w:vAlign w:val="center"/>
          </w:tcPr>
          <w:p w14:paraId="0A6B185D"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Немцова Елена Вячеславовна</w:t>
            </w:r>
          </w:p>
        </w:tc>
        <w:tc>
          <w:tcPr>
            <w:tcW w:w="4536" w:type="dxa"/>
            <w:vAlign w:val="center"/>
          </w:tcPr>
          <w:p w14:paraId="4992514C"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участие в разработке методологии</w:t>
            </w:r>
            <w:r w:rsidRPr="00F562A8">
              <w:rPr>
                <w:rFonts w:ascii="Times New Roman" w:hAnsi="Times New Roman" w:cs="Times New Roman"/>
              </w:rPr>
              <w:t xml:space="preserve"> </w:t>
            </w:r>
            <w:r w:rsidRPr="00F562A8">
              <w:rPr>
                <w:rFonts w:ascii="Times New Roman" w:eastAsia="Calibri" w:hAnsi="Times New Roman" w:cs="Times New Roman"/>
                <w:color w:val="00000A"/>
                <w:spacing w:val="-5"/>
                <w:lang w:eastAsia="ru-RU"/>
              </w:rPr>
              <w:t xml:space="preserve">оценки кадастровой стоимости объектов </w:t>
            </w:r>
            <w:r w:rsidRPr="00010445">
              <w:rPr>
                <w:rFonts w:ascii="Times New Roman" w:eastAsia="Calibri" w:hAnsi="Times New Roman" w:cs="Times New Roman"/>
                <w:color w:val="00000A"/>
                <w:spacing w:val="-5"/>
                <w:lang w:eastAsia="ru-RU"/>
              </w:rPr>
              <w:t>недвижимости;</w:t>
            </w:r>
          </w:p>
          <w:p w14:paraId="0D459C37"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-участие</w:t>
            </w:r>
            <w:r>
              <w:rPr>
                <w:rFonts w:ascii="Times New Roman" w:eastAsia="Calibri" w:hAnsi="Times New Roman" w:cs="Times New Roman"/>
                <w:color w:val="00000A"/>
                <w:spacing w:val="-5"/>
                <w:lang w:eastAsia="ru-RU"/>
              </w:rPr>
              <w:t xml:space="preserve"> </w:t>
            </w:r>
            <w:r w:rsidRPr="00010445">
              <w:rPr>
                <w:rFonts w:ascii="Times New Roman" w:eastAsia="Calibri" w:hAnsi="Times New Roman" w:cs="Times New Roman"/>
                <w:color w:val="00000A"/>
                <w:spacing w:val="-5"/>
                <w:lang w:eastAsia="ru-RU"/>
              </w:rPr>
              <w:t>обработке перечня: сегментация, установление ВРИ, кода КЛАДР, группировка;</w:t>
            </w:r>
          </w:p>
          <w:p w14:paraId="4286A805" w14:textId="77777777" w:rsidR="00604790" w:rsidRPr="00F562A8"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сборе</w:t>
            </w:r>
            <w:r w:rsidRPr="00F562A8">
              <w:rPr>
                <w:rFonts w:ascii="Times New Roman" w:eastAsia="Calibri" w:hAnsi="Times New Roman" w:cs="Times New Roman"/>
                <w:color w:val="00000A"/>
                <w:spacing w:val="-5"/>
                <w:lang w:eastAsia="ru-RU"/>
              </w:rPr>
              <w:t xml:space="preserve"> ЦОФ;</w:t>
            </w:r>
          </w:p>
          <w:p w14:paraId="42E8B0F1" w14:textId="77777777"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расчет КС;</w:t>
            </w:r>
          </w:p>
          <w:p w14:paraId="73D8E151" w14:textId="77777777"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анализ результатов расчета КС;</w:t>
            </w:r>
          </w:p>
          <w:p w14:paraId="6248E379" w14:textId="045EC7ED" w:rsidR="00604790" w:rsidRPr="00F562A8" w:rsidRDefault="00604790" w:rsidP="00604790">
            <w:pPr>
              <w:spacing w:line="276" w:lineRule="auto"/>
              <w:contextualSpacing/>
              <w:jc w:val="both"/>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xml:space="preserve">- участие в </w:t>
            </w:r>
            <w:r w:rsidRPr="00010445">
              <w:rPr>
                <w:rFonts w:ascii="Times New Roman" w:eastAsia="Calibri" w:hAnsi="Times New Roman" w:cs="Times New Roman"/>
                <w:color w:val="00000A"/>
                <w:spacing w:val="-5"/>
                <w:lang w:eastAsia="ru-RU"/>
              </w:rPr>
              <w:t xml:space="preserve">составлении </w:t>
            </w:r>
            <w:r w:rsidRPr="00F562A8">
              <w:rPr>
                <w:rFonts w:ascii="Times New Roman" w:eastAsia="Calibri" w:hAnsi="Times New Roman" w:cs="Times New Roman"/>
                <w:color w:val="00000A"/>
                <w:spacing w:val="-5"/>
                <w:lang w:eastAsia="ru-RU"/>
              </w:rPr>
              <w:t>отчета об итогах государственной кадастровой оценке.</w:t>
            </w:r>
          </w:p>
        </w:tc>
      </w:tr>
      <w:tr w:rsidR="00604790" w:rsidRPr="00F562A8" w14:paraId="7D65DA13" w14:textId="77777777" w:rsidTr="00B70FD6">
        <w:tc>
          <w:tcPr>
            <w:tcW w:w="3155" w:type="dxa"/>
          </w:tcPr>
          <w:p w14:paraId="6A795FFF" w14:textId="77777777" w:rsidR="00604790" w:rsidRDefault="00604790" w:rsidP="00604790">
            <w:pPr>
              <w:spacing w:line="276" w:lineRule="auto"/>
              <w:contextualSpacing/>
              <w:rPr>
                <w:rFonts w:ascii="Times New Roman" w:hAnsi="Times New Roman" w:cs="Times New Roman"/>
              </w:rPr>
            </w:pPr>
          </w:p>
          <w:p w14:paraId="4D64B857" w14:textId="77777777" w:rsidR="00604790" w:rsidRDefault="00604790" w:rsidP="00604790">
            <w:pPr>
              <w:spacing w:line="276" w:lineRule="auto"/>
              <w:contextualSpacing/>
              <w:rPr>
                <w:rFonts w:ascii="Times New Roman" w:hAnsi="Times New Roman" w:cs="Times New Roman"/>
              </w:rPr>
            </w:pPr>
          </w:p>
          <w:p w14:paraId="2C00C15E" w14:textId="7817B012"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 xml:space="preserve">Главный специалист отдела </w:t>
            </w:r>
            <w:r>
              <w:rPr>
                <w:rFonts w:ascii="Times New Roman" w:hAnsi="Times New Roman" w:cs="Times New Roman"/>
              </w:rPr>
              <w:t>кадастровой оценки</w:t>
            </w:r>
          </w:p>
        </w:tc>
        <w:tc>
          <w:tcPr>
            <w:tcW w:w="1802" w:type="dxa"/>
          </w:tcPr>
          <w:p w14:paraId="3406EBDF" w14:textId="77777777" w:rsidR="00604790" w:rsidRPr="00F562A8" w:rsidRDefault="00604790" w:rsidP="00604790">
            <w:pPr>
              <w:spacing w:line="276" w:lineRule="auto"/>
              <w:contextualSpacing/>
              <w:rPr>
                <w:rFonts w:ascii="Times New Roman" w:hAnsi="Times New Roman" w:cs="Times New Roman"/>
              </w:rPr>
            </w:pPr>
          </w:p>
          <w:p w14:paraId="089390BF" w14:textId="77777777" w:rsidR="00604790" w:rsidRPr="00F562A8" w:rsidRDefault="00604790" w:rsidP="00604790">
            <w:pPr>
              <w:spacing w:line="276" w:lineRule="auto"/>
              <w:contextualSpacing/>
              <w:rPr>
                <w:rFonts w:ascii="Times New Roman" w:hAnsi="Times New Roman" w:cs="Times New Roman"/>
              </w:rPr>
            </w:pPr>
          </w:p>
          <w:p w14:paraId="2024B4D9"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Герасимова Надежда Александровна</w:t>
            </w:r>
          </w:p>
        </w:tc>
        <w:tc>
          <w:tcPr>
            <w:tcW w:w="4536" w:type="dxa"/>
            <w:vAlign w:val="center"/>
          </w:tcPr>
          <w:p w14:paraId="3B3AAAEB" w14:textId="77777777"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hAnsi="Times New Roman" w:cs="Times New Roman"/>
              </w:rPr>
              <w:t xml:space="preserve">- </w:t>
            </w:r>
            <w:r w:rsidRPr="00F562A8">
              <w:rPr>
                <w:rFonts w:ascii="Times New Roman" w:eastAsia="Calibri" w:hAnsi="Times New Roman" w:cs="Times New Roman"/>
                <w:color w:val="00000A"/>
                <w:spacing w:val="-5"/>
                <w:lang w:eastAsia="ru-RU"/>
              </w:rPr>
              <w:t>участие в разработке методологии</w:t>
            </w:r>
            <w:r w:rsidRPr="00F562A8">
              <w:rPr>
                <w:rFonts w:ascii="Times New Roman" w:hAnsi="Times New Roman" w:cs="Times New Roman"/>
              </w:rPr>
              <w:t xml:space="preserve"> </w:t>
            </w:r>
            <w:r w:rsidRPr="00F562A8">
              <w:rPr>
                <w:rFonts w:ascii="Times New Roman" w:eastAsia="Calibri" w:hAnsi="Times New Roman" w:cs="Times New Roman"/>
                <w:color w:val="00000A"/>
                <w:spacing w:val="-5"/>
                <w:lang w:eastAsia="ru-RU"/>
              </w:rPr>
              <w:t>оценки кадастровой стоимости объектов недвижимости;</w:t>
            </w:r>
          </w:p>
          <w:p w14:paraId="54BBDB27"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w:t>
            </w:r>
            <w:r w:rsidRPr="00010445">
              <w:rPr>
                <w:rFonts w:ascii="Times New Roman" w:eastAsia="Calibri" w:hAnsi="Times New Roman" w:cs="Times New Roman"/>
                <w:color w:val="00000A"/>
                <w:spacing w:val="-5"/>
                <w:lang w:eastAsia="ru-RU"/>
              </w:rPr>
              <w:t>участие обработке перечня: сегментация, установление ВРИ, кода КЛАДР, группировка;</w:t>
            </w:r>
          </w:p>
          <w:p w14:paraId="45D34295" w14:textId="77777777" w:rsidR="00604790" w:rsidRPr="00F562A8"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сборе</w:t>
            </w:r>
            <w:r w:rsidRPr="00F562A8">
              <w:rPr>
                <w:rFonts w:ascii="Times New Roman" w:eastAsia="Calibri" w:hAnsi="Times New Roman" w:cs="Times New Roman"/>
                <w:color w:val="00000A"/>
                <w:spacing w:val="-5"/>
                <w:lang w:eastAsia="ru-RU"/>
              </w:rPr>
              <w:t xml:space="preserve"> ЦОФ;</w:t>
            </w:r>
          </w:p>
          <w:p w14:paraId="54AE18AE" w14:textId="77777777"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расчет КС;</w:t>
            </w:r>
          </w:p>
          <w:p w14:paraId="35F5C126" w14:textId="77777777"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анализ результатов расчета КС;</w:t>
            </w:r>
          </w:p>
          <w:p w14:paraId="2FFFA4E6" w14:textId="43288B44" w:rsidR="00604790" w:rsidRPr="00F562A8" w:rsidRDefault="00604790" w:rsidP="00604790">
            <w:pPr>
              <w:spacing w:line="276" w:lineRule="auto"/>
              <w:contextualSpacing/>
              <w:jc w:val="both"/>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участие в состав</w:t>
            </w:r>
            <w:r w:rsidRPr="00010445">
              <w:rPr>
                <w:rFonts w:ascii="Times New Roman" w:eastAsia="Calibri" w:hAnsi="Times New Roman" w:cs="Times New Roman"/>
                <w:color w:val="00000A"/>
                <w:spacing w:val="-5"/>
                <w:lang w:eastAsia="ru-RU"/>
              </w:rPr>
              <w:t>лении отчета</w:t>
            </w:r>
            <w:r w:rsidRPr="00F562A8">
              <w:rPr>
                <w:rFonts w:ascii="Times New Roman" w:eastAsia="Calibri" w:hAnsi="Times New Roman" w:cs="Times New Roman"/>
                <w:color w:val="00000A"/>
                <w:spacing w:val="-5"/>
                <w:lang w:eastAsia="ru-RU"/>
              </w:rPr>
              <w:t xml:space="preserve"> об итогах государственной кадастровой оценке.</w:t>
            </w:r>
          </w:p>
        </w:tc>
      </w:tr>
      <w:tr w:rsidR="00604790" w:rsidRPr="00F562A8" w14:paraId="54E135B6" w14:textId="77777777" w:rsidTr="00B70FD6">
        <w:tc>
          <w:tcPr>
            <w:tcW w:w="3155" w:type="dxa"/>
          </w:tcPr>
          <w:p w14:paraId="476C18E4" w14:textId="77777777" w:rsidR="00604790" w:rsidRPr="00F562A8" w:rsidRDefault="00604790" w:rsidP="00604790">
            <w:pPr>
              <w:spacing w:line="276" w:lineRule="auto"/>
              <w:contextualSpacing/>
              <w:rPr>
                <w:rFonts w:ascii="Times New Roman" w:hAnsi="Times New Roman" w:cs="Times New Roman"/>
              </w:rPr>
            </w:pPr>
          </w:p>
          <w:p w14:paraId="1903C4C3" w14:textId="77777777" w:rsidR="00604790" w:rsidRPr="00F562A8" w:rsidRDefault="00604790" w:rsidP="00604790">
            <w:pPr>
              <w:spacing w:line="276" w:lineRule="auto"/>
              <w:contextualSpacing/>
              <w:rPr>
                <w:rFonts w:ascii="Times New Roman" w:hAnsi="Times New Roman" w:cs="Times New Roman"/>
              </w:rPr>
            </w:pPr>
          </w:p>
          <w:p w14:paraId="40A02FD3" w14:textId="5B5F29F1" w:rsidR="00604790"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 xml:space="preserve">Главный специалист отдела </w:t>
            </w:r>
            <w:r>
              <w:rPr>
                <w:rFonts w:ascii="Times New Roman" w:hAnsi="Times New Roman" w:cs="Times New Roman"/>
              </w:rPr>
              <w:t>кадастровой оценки</w:t>
            </w:r>
          </w:p>
        </w:tc>
        <w:tc>
          <w:tcPr>
            <w:tcW w:w="1802" w:type="dxa"/>
          </w:tcPr>
          <w:p w14:paraId="5C579A53" w14:textId="77777777" w:rsidR="00604790" w:rsidRPr="00F562A8" w:rsidRDefault="00604790" w:rsidP="00604790">
            <w:pPr>
              <w:spacing w:line="276" w:lineRule="auto"/>
              <w:contextualSpacing/>
              <w:jc w:val="center"/>
              <w:rPr>
                <w:rFonts w:ascii="Times New Roman" w:hAnsi="Times New Roman" w:cs="Times New Roman"/>
              </w:rPr>
            </w:pPr>
          </w:p>
          <w:p w14:paraId="27C858D7" w14:textId="77777777" w:rsidR="00604790" w:rsidRPr="00F562A8" w:rsidRDefault="00604790" w:rsidP="00604790">
            <w:pPr>
              <w:spacing w:line="276" w:lineRule="auto"/>
              <w:contextualSpacing/>
              <w:jc w:val="center"/>
              <w:rPr>
                <w:rFonts w:ascii="Times New Roman" w:hAnsi="Times New Roman" w:cs="Times New Roman"/>
              </w:rPr>
            </w:pPr>
          </w:p>
          <w:p w14:paraId="4C04FF28"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Комова Галина Вячеславовна</w:t>
            </w:r>
          </w:p>
        </w:tc>
        <w:tc>
          <w:tcPr>
            <w:tcW w:w="4536" w:type="dxa"/>
            <w:vAlign w:val="center"/>
          </w:tcPr>
          <w:p w14:paraId="76BD6D35"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разработке методологии</w:t>
            </w:r>
            <w:r w:rsidRPr="00010445">
              <w:rPr>
                <w:rFonts w:ascii="Times New Roman" w:hAnsi="Times New Roman" w:cs="Times New Roman"/>
              </w:rPr>
              <w:t xml:space="preserve"> </w:t>
            </w:r>
            <w:r w:rsidRPr="00010445">
              <w:rPr>
                <w:rFonts w:ascii="Times New Roman" w:eastAsia="Calibri" w:hAnsi="Times New Roman" w:cs="Times New Roman"/>
                <w:color w:val="00000A"/>
                <w:spacing w:val="-5"/>
                <w:lang w:eastAsia="ru-RU"/>
              </w:rPr>
              <w:t>оценки кадастровой стоимости объектов недвижимости;</w:t>
            </w:r>
          </w:p>
          <w:p w14:paraId="5C1375A0"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-участие обработке перечня: сегментация, установление ВРИ, кода КЛАДР, группировка;</w:t>
            </w:r>
          </w:p>
          <w:p w14:paraId="71946033"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сборе ЦОФ;</w:t>
            </w:r>
          </w:p>
          <w:p w14:paraId="643B8600"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загрузка и выгрузка в АСОН необходимой информации для проведения расчетов КС;</w:t>
            </w:r>
          </w:p>
          <w:p w14:paraId="5A90A968"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расчет КС;</w:t>
            </w:r>
          </w:p>
          <w:p w14:paraId="7ABFDAD6"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анализ результатов расчета КС;</w:t>
            </w:r>
          </w:p>
          <w:p w14:paraId="2D3B3EB3" w14:textId="77777777" w:rsidR="00604790" w:rsidRPr="00010445" w:rsidRDefault="00604790" w:rsidP="00604790">
            <w:pPr>
              <w:spacing w:line="276" w:lineRule="auto"/>
              <w:contextualSpacing/>
              <w:jc w:val="both"/>
              <w:rPr>
                <w:rFonts w:ascii="Times New Roman" w:hAnsi="Times New Roman" w:cs="Times New Roman"/>
              </w:rPr>
            </w:pPr>
            <w:r w:rsidRPr="00010445">
              <w:rPr>
                <w:rFonts w:ascii="Times New Roman" w:eastAsia="Calibri" w:hAnsi="Times New Roman" w:cs="Times New Roman"/>
                <w:color w:val="00000A"/>
                <w:spacing w:val="-5"/>
                <w:lang w:eastAsia="ru-RU"/>
              </w:rPr>
              <w:t xml:space="preserve"> - участие в составлении проекта отчета об итогах государственной кадастровой оценке.</w:t>
            </w:r>
          </w:p>
        </w:tc>
      </w:tr>
      <w:tr w:rsidR="00604790" w:rsidRPr="00F562A8" w14:paraId="24216328" w14:textId="77777777" w:rsidTr="00B70FD6">
        <w:tc>
          <w:tcPr>
            <w:tcW w:w="3155" w:type="dxa"/>
          </w:tcPr>
          <w:p w14:paraId="5ED67B68" w14:textId="77777777" w:rsidR="00604790" w:rsidRPr="00F562A8" w:rsidRDefault="00604790" w:rsidP="00604790">
            <w:pPr>
              <w:spacing w:line="276" w:lineRule="auto"/>
              <w:contextualSpacing/>
              <w:rPr>
                <w:rFonts w:ascii="Times New Roman" w:hAnsi="Times New Roman" w:cs="Times New Roman"/>
              </w:rPr>
            </w:pPr>
          </w:p>
          <w:p w14:paraId="65491B06" w14:textId="77777777" w:rsidR="00604790" w:rsidRPr="00F562A8" w:rsidRDefault="00604790" w:rsidP="00604790">
            <w:pPr>
              <w:spacing w:line="276" w:lineRule="auto"/>
              <w:contextualSpacing/>
              <w:rPr>
                <w:rFonts w:ascii="Times New Roman" w:hAnsi="Times New Roman" w:cs="Times New Roman"/>
              </w:rPr>
            </w:pPr>
          </w:p>
          <w:p w14:paraId="409E91A4" w14:textId="593ABB17" w:rsidR="00604790"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 xml:space="preserve">Ведущий оценщик отдела </w:t>
            </w:r>
            <w:r>
              <w:rPr>
                <w:rFonts w:ascii="Times New Roman" w:hAnsi="Times New Roman" w:cs="Times New Roman"/>
              </w:rPr>
              <w:t>кадастровой оценки</w:t>
            </w:r>
          </w:p>
        </w:tc>
        <w:tc>
          <w:tcPr>
            <w:tcW w:w="1802" w:type="dxa"/>
          </w:tcPr>
          <w:p w14:paraId="1E461FF7" w14:textId="77777777" w:rsidR="00604790" w:rsidRPr="00F562A8" w:rsidRDefault="00604790" w:rsidP="00604790">
            <w:pPr>
              <w:spacing w:line="276" w:lineRule="auto"/>
              <w:contextualSpacing/>
              <w:jc w:val="center"/>
              <w:rPr>
                <w:rFonts w:ascii="Times New Roman" w:hAnsi="Times New Roman" w:cs="Times New Roman"/>
              </w:rPr>
            </w:pPr>
          </w:p>
          <w:p w14:paraId="034502FA" w14:textId="77777777" w:rsidR="00604790" w:rsidRPr="00F562A8" w:rsidRDefault="00604790" w:rsidP="00604790">
            <w:pPr>
              <w:spacing w:line="276" w:lineRule="auto"/>
              <w:contextualSpacing/>
              <w:jc w:val="center"/>
              <w:rPr>
                <w:rFonts w:ascii="Times New Roman" w:hAnsi="Times New Roman" w:cs="Times New Roman"/>
              </w:rPr>
            </w:pPr>
          </w:p>
          <w:p w14:paraId="098FE5CC" w14:textId="77777777" w:rsidR="00604790" w:rsidRPr="00F562A8" w:rsidRDefault="00604790" w:rsidP="00604790">
            <w:pPr>
              <w:spacing w:line="276" w:lineRule="auto"/>
              <w:contextualSpacing/>
              <w:rPr>
                <w:rFonts w:ascii="Times New Roman" w:hAnsi="Times New Roman" w:cs="Times New Roman"/>
              </w:rPr>
            </w:pPr>
            <w:r>
              <w:rPr>
                <w:rFonts w:ascii="Times New Roman" w:hAnsi="Times New Roman" w:cs="Times New Roman"/>
              </w:rPr>
              <w:t>Мыцик Александра Викторовна</w:t>
            </w:r>
          </w:p>
        </w:tc>
        <w:tc>
          <w:tcPr>
            <w:tcW w:w="4536" w:type="dxa"/>
            <w:vAlign w:val="center"/>
          </w:tcPr>
          <w:p w14:paraId="706F86B2" w14:textId="77777777"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участие в разработке методологии</w:t>
            </w:r>
            <w:r w:rsidRPr="00F562A8">
              <w:rPr>
                <w:rFonts w:ascii="Times New Roman" w:hAnsi="Times New Roman" w:cs="Times New Roman"/>
              </w:rPr>
              <w:t xml:space="preserve"> </w:t>
            </w:r>
            <w:r w:rsidRPr="00F562A8">
              <w:rPr>
                <w:rFonts w:ascii="Times New Roman" w:eastAsia="Calibri" w:hAnsi="Times New Roman" w:cs="Times New Roman"/>
                <w:color w:val="00000A"/>
                <w:spacing w:val="-5"/>
                <w:lang w:eastAsia="ru-RU"/>
              </w:rPr>
              <w:t>оценки кадастровой стоимости объектов недвижимости;</w:t>
            </w:r>
          </w:p>
          <w:p w14:paraId="018F455B"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w:t>
            </w:r>
            <w:r w:rsidRPr="00010445">
              <w:rPr>
                <w:rFonts w:ascii="Times New Roman" w:eastAsia="Calibri" w:hAnsi="Times New Roman" w:cs="Times New Roman"/>
                <w:color w:val="00000A"/>
                <w:spacing w:val="-5"/>
                <w:lang w:eastAsia="ru-RU"/>
              </w:rPr>
              <w:t>участие обработке перечня: сегментация, установление ВРИ, кода КЛАДР, группировка;</w:t>
            </w:r>
          </w:p>
          <w:p w14:paraId="70647192"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сборе ЦОФ;</w:t>
            </w:r>
          </w:p>
          <w:p w14:paraId="5865F31D"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расчет КС;</w:t>
            </w:r>
          </w:p>
          <w:p w14:paraId="5A2C7554"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анализ результатов расчета КС;</w:t>
            </w:r>
          </w:p>
          <w:p w14:paraId="769DF087" w14:textId="05738414" w:rsidR="00604790" w:rsidRPr="00F562A8" w:rsidRDefault="00604790" w:rsidP="00604790">
            <w:pPr>
              <w:spacing w:line="276" w:lineRule="auto"/>
              <w:contextualSpacing/>
              <w:rPr>
                <w:rFonts w:ascii="Times New Roman" w:hAnsi="Times New Roman" w:cs="Times New Roman"/>
              </w:rPr>
            </w:pPr>
            <w:r w:rsidRPr="00010445">
              <w:rPr>
                <w:rFonts w:ascii="Times New Roman" w:eastAsia="Calibri" w:hAnsi="Times New Roman" w:cs="Times New Roman"/>
                <w:color w:val="00000A"/>
                <w:spacing w:val="-5"/>
                <w:lang w:eastAsia="ru-RU"/>
              </w:rPr>
              <w:t xml:space="preserve"> - участие в составлении отчета</w:t>
            </w:r>
            <w:r w:rsidRPr="00F562A8">
              <w:rPr>
                <w:rFonts w:ascii="Times New Roman" w:eastAsia="Calibri" w:hAnsi="Times New Roman" w:cs="Times New Roman"/>
                <w:color w:val="00000A"/>
                <w:spacing w:val="-5"/>
                <w:lang w:eastAsia="ru-RU"/>
              </w:rPr>
              <w:t xml:space="preserve"> об итогах государственной кадастровой оценке.</w:t>
            </w:r>
          </w:p>
        </w:tc>
      </w:tr>
      <w:tr w:rsidR="00604790" w:rsidRPr="00F562A8" w14:paraId="33B4BCE4" w14:textId="77777777" w:rsidTr="00B70FD6">
        <w:tc>
          <w:tcPr>
            <w:tcW w:w="3155" w:type="dxa"/>
            <w:vAlign w:val="center"/>
          </w:tcPr>
          <w:p w14:paraId="2FE5AF9A" w14:textId="3E1C0690" w:rsidR="00604790" w:rsidRPr="00F562A8" w:rsidRDefault="00604790" w:rsidP="00604790">
            <w:pPr>
              <w:spacing w:line="276" w:lineRule="auto"/>
              <w:contextualSpacing/>
              <w:rPr>
                <w:rFonts w:ascii="Times New Roman" w:hAnsi="Times New Roman" w:cs="Times New Roman"/>
              </w:rPr>
            </w:pPr>
            <w:r>
              <w:rPr>
                <w:rFonts w:ascii="Times New Roman" w:hAnsi="Times New Roman" w:cs="Times New Roman"/>
              </w:rPr>
              <w:t>Ведущий о</w:t>
            </w:r>
            <w:r w:rsidRPr="00F562A8">
              <w:rPr>
                <w:rFonts w:ascii="Times New Roman" w:hAnsi="Times New Roman" w:cs="Times New Roman"/>
              </w:rPr>
              <w:t xml:space="preserve">ценщик отдела </w:t>
            </w:r>
            <w:r>
              <w:rPr>
                <w:rFonts w:ascii="Times New Roman" w:hAnsi="Times New Roman" w:cs="Times New Roman"/>
              </w:rPr>
              <w:t>кадастровой оценки</w:t>
            </w:r>
          </w:p>
        </w:tc>
        <w:tc>
          <w:tcPr>
            <w:tcW w:w="1802" w:type="dxa"/>
            <w:vAlign w:val="center"/>
          </w:tcPr>
          <w:p w14:paraId="198E7805"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Герасимова Татьяна Михайловна</w:t>
            </w:r>
          </w:p>
        </w:tc>
        <w:tc>
          <w:tcPr>
            <w:tcW w:w="4536" w:type="dxa"/>
            <w:vAlign w:val="center"/>
          </w:tcPr>
          <w:p w14:paraId="099F1FD3" w14:textId="77777777"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участие в разработке методологии</w:t>
            </w:r>
            <w:r w:rsidRPr="00F562A8">
              <w:rPr>
                <w:rFonts w:ascii="Times New Roman" w:hAnsi="Times New Roman" w:cs="Times New Roman"/>
              </w:rPr>
              <w:t xml:space="preserve"> </w:t>
            </w:r>
            <w:r w:rsidRPr="00F562A8">
              <w:rPr>
                <w:rFonts w:ascii="Times New Roman" w:eastAsia="Calibri" w:hAnsi="Times New Roman" w:cs="Times New Roman"/>
                <w:color w:val="00000A"/>
                <w:spacing w:val="-5"/>
                <w:lang w:eastAsia="ru-RU"/>
              </w:rPr>
              <w:t>оценки кадастровой стоимости объектов недвижимости;</w:t>
            </w:r>
          </w:p>
          <w:p w14:paraId="3894AA7C"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w:t>
            </w:r>
            <w:r w:rsidRPr="00010445">
              <w:rPr>
                <w:rFonts w:ascii="Times New Roman" w:eastAsia="Calibri" w:hAnsi="Times New Roman" w:cs="Times New Roman"/>
                <w:color w:val="00000A"/>
                <w:spacing w:val="-5"/>
                <w:lang w:eastAsia="ru-RU"/>
              </w:rPr>
              <w:t>участие обработке перечня: сегментация, установление ВРИ, кода КЛАДР, группировка;</w:t>
            </w:r>
          </w:p>
          <w:p w14:paraId="3A5D1FCE" w14:textId="77777777" w:rsidR="00604790" w:rsidRPr="00F562A8"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сборе</w:t>
            </w:r>
            <w:r w:rsidRPr="00F562A8">
              <w:rPr>
                <w:rFonts w:ascii="Times New Roman" w:eastAsia="Calibri" w:hAnsi="Times New Roman" w:cs="Times New Roman"/>
                <w:color w:val="00000A"/>
                <w:spacing w:val="-5"/>
                <w:lang w:eastAsia="ru-RU"/>
              </w:rPr>
              <w:t xml:space="preserve"> ЦОФ;</w:t>
            </w:r>
          </w:p>
          <w:p w14:paraId="2199E3A0" w14:textId="77777777"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расчет КС;</w:t>
            </w:r>
          </w:p>
          <w:p w14:paraId="27BE3709"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анализ результа</w:t>
            </w:r>
            <w:r w:rsidRPr="00010445">
              <w:rPr>
                <w:rFonts w:ascii="Times New Roman" w:eastAsia="Calibri" w:hAnsi="Times New Roman" w:cs="Times New Roman"/>
                <w:color w:val="00000A"/>
                <w:spacing w:val="-5"/>
                <w:lang w:eastAsia="ru-RU"/>
              </w:rPr>
              <w:t>тов расчета КС;</w:t>
            </w:r>
          </w:p>
          <w:p w14:paraId="475219CE" w14:textId="0B97059B"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составлении отчета</w:t>
            </w:r>
            <w:r w:rsidRPr="00F562A8">
              <w:rPr>
                <w:rFonts w:ascii="Times New Roman" w:eastAsia="Calibri" w:hAnsi="Times New Roman" w:cs="Times New Roman"/>
                <w:color w:val="00000A"/>
                <w:spacing w:val="-5"/>
                <w:lang w:eastAsia="ru-RU"/>
              </w:rPr>
              <w:t xml:space="preserve"> об итогах государственной кадастровой оценке.</w:t>
            </w:r>
          </w:p>
        </w:tc>
      </w:tr>
      <w:tr w:rsidR="00604790" w:rsidRPr="00F562A8" w14:paraId="04618FA9" w14:textId="77777777" w:rsidTr="00B70FD6">
        <w:tc>
          <w:tcPr>
            <w:tcW w:w="3155" w:type="dxa"/>
            <w:vAlign w:val="center"/>
          </w:tcPr>
          <w:p w14:paraId="37BF547D" w14:textId="010119B9"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 xml:space="preserve">Ведущий оценщик отдела </w:t>
            </w:r>
            <w:r>
              <w:rPr>
                <w:rFonts w:ascii="Times New Roman" w:hAnsi="Times New Roman" w:cs="Times New Roman"/>
              </w:rPr>
              <w:t>кадастровой оценки</w:t>
            </w:r>
          </w:p>
        </w:tc>
        <w:tc>
          <w:tcPr>
            <w:tcW w:w="1802" w:type="dxa"/>
            <w:vAlign w:val="center"/>
          </w:tcPr>
          <w:p w14:paraId="42191B33"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Литвинчук Надежда Викторовна</w:t>
            </w:r>
          </w:p>
        </w:tc>
        <w:tc>
          <w:tcPr>
            <w:tcW w:w="4536" w:type="dxa"/>
            <w:vAlign w:val="center"/>
          </w:tcPr>
          <w:p w14:paraId="58353A8F"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010445">
              <w:rPr>
                <w:rFonts w:ascii="Times New Roman" w:hAnsi="Times New Roman" w:cs="Times New Roman"/>
              </w:rPr>
              <w:t xml:space="preserve"> - </w:t>
            </w:r>
            <w:r w:rsidRPr="00010445">
              <w:rPr>
                <w:rFonts w:ascii="Times New Roman" w:eastAsia="Calibri" w:hAnsi="Times New Roman" w:cs="Times New Roman"/>
                <w:color w:val="00000A"/>
                <w:spacing w:val="-5"/>
                <w:lang w:eastAsia="ru-RU"/>
              </w:rPr>
              <w:t>участие в разработке методологии</w:t>
            </w:r>
            <w:r w:rsidRPr="00010445">
              <w:rPr>
                <w:rFonts w:ascii="Times New Roman" w:hAnsi="Times New Roman" w:cs="Times New Roman"/>
              </w:rPr>
              <w:t xml:space="preserve"> </w:t>
            </w:r>
            <w:r w:rsidRPr="00010445">
              <w:rPr>
                <w:rFonts w:ascii="Times New Roman" w:eastAsia="Calibri" w:hAnsi="Times New Roman" w:cs="Times New Roman"/>
                <w:color w:val="00000A"/>
                <w:spacing w:val="-5"/>
                <w:lang w:eastAsia="ru-RU"/>
              </w:rPr>
              <w:t>оценки кадастровой стоимости объектов недвижимости;</w:t>
            </w:r>
          </w:p>
          <w:p w14:paraId="0D146149"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-участие обработке перечня: сегментация, установление ВРИ, кода КЛАДР, группировка;</w:t>
            </w:r>
          </w:p>
          <w:p w14:paraId="61E4DF1F"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сборе ЦОФ;</w:t>
            </w:r>
          </w:p>
          <w:p w14:paraId="24508B8B"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расчет КС;</w:t>
            </w:r>
          </w:p>
          <w:p w14:paraId="410620D3"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анализ результатов расчета КС;</w:t>
            </w:r>
          </w:p>
          <w:p w14:paraId="23260383" w14:textId="3BBEB6D8"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составлении отчета об итогах государственной кадастровой оценке.</w:t>
            </w:r>
          </w:p>
        </w:tc>
      </w:tr>
      <w:tr w:rsidR="00604790" w:rsidRPr="00F562A8" w14:paraId="2D2996CC" w14:textId="77777777" w:rsidTr="00B70FD6">
        <w:tc>
          <w:tcPr>
            <w:tcW w:w="3155" w:type="dxa"/>
            <w:vAlign w:val="center"/>
          </w:tcPr>
          <w:p w14:paraId="2DD0FC6B" w14:textId="3A665A48"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 xml:space="preserve">Ведущий аналитик отдела </w:t>
            </w:r>
            <w:r>
              <w:rPr>
                <w:rFonts w:ascii="Times New Roman" w:hAnsi="Times New Roman" w:cs="Times New Roman"/>
              </w:rPr>
              <w:t>кадастровой оценки</w:t>
            </w:r>
          </w:p>
        </w:tc>
        <w:tc>
          <w:tcPr>
            <w:tcW w:w="1802" w:type="dxa"/>
            <w:vAlign w:val="center"/>
          </w:tcPr>
          <w:p w14:paraId="45706D49"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Галкин Сергей Андреевич</w:t>
            </w:r>
          </w:p>
        </w:tc>
        <w:tc>
          <w:tcPr>
            <w:tcW w:w="4536" w:type="dxa"/>
            <w:vAlign w:val="center"/>
          </w:tcPr>
          <w:p w14:paraId="051D7040"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разработке методологии</w:t>
            </w:r>
            <w:r w:rsidRPr="00010445">
              <w:rPr>
                <w:rFonts w:ascii="Times New Roman" w:hAnsi="Times New Roman" w:cs="Times New Roman"/>
              </w:rPr>
              <w:t xml:space="preserve"> </w:t>
            </w:r>
            <w:r w:rsidRPr="00010445">
              <w:rPr>
                <w:rFonts w:ascii="Times New Roman" w:eastAsia="Calibri" w:hAnsi="Times New Roman" w:cs="Times New Roman"/>
                <w:color w:val="00000A"/>
                <w:spacing w:val="-5"/>
                <w:lang w:eastAsia="ru-RU"/>
              </w:rPr>
              <w:t>оценки кадастровой стоимости объектов недвижимости;</w:t>
            </w:r>
          </w:p>
          <w:p w14:paraId="5567FBD9"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-участие обработке перечня: сегментация, установление ВРИ, кода КЛАДР, группировка;</w:t>
            </w:r>
          </w:p>
          <w:p w14:paraId="1135A14E"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сборе ЦОФ;</w:t>
            </w:r>
          </w:p>
          <w:p w14:paraId="5179EF46"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расчет КС;</w:t>
            </w:r>
          </w:p>
          <w:p w14:paraId="4DDD2446"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анализ результатов расчета КС;</w:t>
            </w:r>
          </w:p>
          <w:p w14:paraId="37C57516" w14:textId="1E79446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составлении отчета об итогах государственной кадастровой оценке.</w:t>
            </w:r>
          </w:p>
        </w:tc>
      </w:tr>
      <w:tr w:rsidR="00604790" w:rsidRPr="00F562A8" w14:paraId="4F670253" w14:textId="77777777" w:rsidTr="00B70FD6">
        <w:tc>
          <w:tcPr>
            <w:tcW w:w="3155" w:type="dxa"/>
            <w:vAlign w:val="center"/>
          </w:tcPr>
          <w:p w14:paraId="2F8AE6BA" w14:textId="2728524E" w:rsidR="00604790" w:rsidRPr="00F562A8" w:rsidRDefault="00604790" w:rsidP="00604790">
            <w:pPr>
              <w:spacing w:line="276" w:lineRule="auto"/>
              <w:contextualSpacing/>
              <w:rPr>
                <w:rFonts w:ascii="Times New Roman" w:hAnsi="Times New Roman" w:cs="Times New Roman"/>
              </w:rPr>
            </w:pPr>
            <w:r>
              <w:rPr>
                <w:rFonts w:ascii="Times New Roman" w:hAnsi="Times New Roman" w:cs="Times New Roman"/>
              </w:rPr>
              <w:t>Оценщик</w:t>
            </w:r>
            <w:r w:rsidRPr="00F562A8">
              <w:rPr>
                <w:rFonts w:ascii="Times New Roman" w:hAnsi="Times New Roman" w:cs="Times New Roman"/>
              </w:rPr>
              <w:t xml:space="preserve"> отдела </w:t>
            </w:r>
            <w:r>
              <w:rPr>
                <w:rFonts w:ascii="Times New Roman" w:hAnsi="Times New Roman" w:cs="Times New Roman"/>
              </w:rPr>
              <w:t>кадастровой оценки</w:t>
            </w:r>
          </w:p>
        </w:tc>
        <w:tc>
          <w:tcPr>
            <w:tcW w:w="1802" w:type="dxa"/>
            <w:vAlign w:val="center"/>
          </w:tcPr>
          <w:p w14:paraId="7EC24682"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Хорпяков Илья Геннадьевич</w:t>
            </w:r>
          </w:p>
        </w:tc>
        <w:tc>
          <w:tcPr>
            <w:tcW w:w="4536" w:type="dxa"/>
            <w:vAlign w:val="center"/>
          </w:tcPr>
          <w:p w14:paraId="7E17DA5D"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разработке методологии</w:t>
            </w:r>
            <w:r w:rsidRPr="00010445">
              <w:rPr>
                <w:rFonts w:ascii="Times New Roman" w:hAnsi="Times New Roman" w:cs="Times New Roman"/>
              </w:rPr>
              <w:t xml:space="preserve"> </w:t>
            </w:r>
            <w:r w:rsidRPr="00010445">
              <w:rPr>
                <w:rFonts w:ascii="Times New Roman" w:eastAsia="Calibri" w:hAnsi="Times New Roman" w:cs="Times New Roman"/>
                <w:color w:val="00000A"/>
                <w:spacing w:val="-5"/>
                <w:lang w:eastAsia="ru-RU"/>
              </w:rPr>
              <w:t>оценки кадастровой стоимости объектов недвижимости;</w:t>
            </w:r>
          </w:p>
          <w:p w14:paraId="74212CC6"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-участие обработке перечня: сегментация, установление ВРИ, кода КЛАДР, группировка;</w:t>
            </w:r>
          </w:p>
          <w:p w14:paraId="37BFA609" w14:textId="77777777"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сборе ЦОФ;</w:t>
            </w:r>
          </w:p>
          <w:p w14:paraId="4E5175B8"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расчет КС;</w:t>
            </w:r>
          </w:p>
          <w:p w14:paraId="261DF481" w14:textId="77777777" w:rsidR="00604790" w:rsidRPr="00010445" w:rsidRDefault="00604790" w:rsidP="00604790">
            <w:pPr>
              <w:spacing w:line="276" w:lineRule="auto"/>
              <w:contextualSpacing/>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анализ результатов расчета КС;</w:t>
            </w:r>
          </w:p>
          <w:p w14:paraId="6639B87A" w14:textId="7CD7C2AE" w:rsidR="00604790" w:rsidRPr="00010445" w:rsidRDefault="00604790" w:rsidP="00604790">
            <w:pPr>
              <w:spacing w:line="276" w:lineRule="auto"/>
              <w:contextualSpacing/>
              <w:jc w:val="both"/>
              <w:rPr>
                <w:rFonts w:ascii="Times New Roman" w:eastAsia="Calibri" w:hAnsi="Times New Roman" w:cs="Times New Roman"/>
                <w:color w:val="00000A"/>
                <w:spacing w:val="-5"/>
                <w:lang w:eastAsia="ru-RU"/>
              </w:rPr>
            </w:pPr>
            <w:r w:rsidRPr="00010445">
              <w:rPr>
                <w:rFonts w:ascii="Times New Roman" w:eastAsia="Calibri" w:hAnsi="Times New Roman" w:cs="Times New Roman"/>
                <w:color w:val="00000A"/>
                <w:spacing w:val="-5"/>
                <w:lang w:eastAsia="ru-RU"/>
              </w:rPr>
              <w:t>- участие в составлении отчета об итогах государственной кадастровой оценке.</w:t>
            </w:r>
          </w:p>
        </w:tc>
      </w:tr>
      <w:tr w:rsidR="00604790" w:rsidRPr="00F562A8" w14:paraId="3FC1FA63" w14:textId="77777777" w:rsidTr="00B70FD6">
        <w:tc>
          <w:tcPr>
            <w:tcW w:w="3155" w:type="dxa"/>
            <w:vAlign w:val="center"/>
          </w:tcPr>
          <w:p w14:paraId="3DD11A78"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 xml:space="preserve">Главный специалист отдела </w:t>
            </w:r>
            <w:r w:rsidRPr="00F562A8">
              <w:rPr>
                <w:rFonts w:ascii="Times New Roman" w:hAnsi="Times New Roman" w:cs="Times New Roman"/>
                <w:color w:val="000000" w:themeColor="text1"/>
              </w:rPr>
              <w:t>картографических работ и информационных технологий</w:t>
            </w:r>
          </w:p>
        </w:tc>
        <w:tc>
          <w:tcPr>
            <w:tcW w:w="1802" w:type="dxa"/>
            <w:vAlign w:val="center"/>
          </w:tcPr>
          <w:p w14:paraId="19F15226"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Дынкин Вадим Юрьевич</w:t>
            </w:r>
          </w:p>
        </w:tc>
        <w:tc>
          <w:tcPr>
            <w:tcW w:w="4536" w:type="dxa"/>
            <w:vAlign w:val="center"/>
          </w:tcPr>
          <w:p w14:paraId="59E94C80" w14:textId="77777777" w:rsidR="00604790" w:rsidRPr="00F562A8" w:rsidRDefault="00604790" w:rsidP="00604790">
            <w:pPr>
              <w:pStyle w:val="92"/>
              <w:tabs>
                <w:tab w:val="clear" w:pos="1134"/>
                <w:tab w:val="left" w:pos="892"/>
              </w:tabs>
              <w:spacing w:line="276" w:lineRule="auto"/>
              <w:ind w:left="41" w:firstLine="0"/>
              <w:jc w:val="both"/>
            </w:pPr>
            <w:r w:rsidRPr="00F562A8">
              <w:t>формирование базы геоданных, используемых для расчета значений ценообразующих факторов, характеризующих местоположение объектов недвижимости;</w:t>
            </w:r>
          </w:p>
          <w:p w14:paraId="6628BC64" w14:textId="77777777"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геопривязка объектов кадастровой оценки;</w:t>
            </w:r>
          </w:p>
          <w:p w14:paraId="43D025C4"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 участие в создании схем оценочного зонирования.</w:t>
            </w:r>
          </w:p>
          <w:p w14:paraId="23459716"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 загрузка картографической информации в программный комплекс АСОН и вычисление значений ценообразующих факторов объектов аналогов и объектов оценки.</w:t>
            </w:r>
          </w:p>
        </w:tc>
      </w:tr>
      <w:tr w:rsidR="00604790" w:rsidRPr="00F562A8" w14:paraId="4357E27E" w14:textId="77777777" w:rsidTr="00B70FD6">
        <w:tc>
          <w:tcPr>
            <w:tcW w:w="3155" w:type="dxa"/>
            <w:vAlign w:val="center"/>
          </w:tcPr>
          <w:p w14:paraId="0FAF882D"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 xml:space="preserve">Аналитик отдела </w:t>
            </w:r>
            <w:r w:rsidRPr="00F562A8">
              <w:rPr>
                <w:rFonts w:ascii="Times New Roman" w:hAnsi="Times New Roman" w:cs="Times New Roman"/>
                <w:color w:val="000000" w:themeColor="text1"/>
              </w:rPr>
              <w:t>картографических работ и информационных технологий</w:t>
            </w:r>
          </w:p>
        </w:tc>
        <w:tc>
          <w:tcPr>
            <w:tcW w:w="1802" w:type="dxa"/>
            <w:vAlign w:val="center"/>
          </w:tcPr>
          <w:p w14:paraId="5C07E284"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Шишкина Маргарита Алексеевна</w:t>
            </w:r>
          </w:p>
        </w:tc>
        <w:tc>
          <w:tcPr>
            <w:tcW w:w="4536" w:type="dxa"/>
            <w:vAlign w:val="center"/>
          </w:tcPr>
          <w:p w14:paraId="3589B653" w14:textId="77777777" w:rsidR="00604790" w:rsidRPr="00F562A8" w:rsidRDefault="00604790" w:rsidP="00604790">
            <w:pPr>
              <w:pStyle w:val="92"/>
              <w:tabs>
                <w:tab w:val="clear" w:pos="1134"/>
                <w:tab w:val="left" w:pos="892"/>
              </w:tabs>
              <w:spacing w:line="276" w:lineRule="auto"/>
              <w:ind w:left="41" w:firstLine="0"/>
              <w:jc w:val="both"/>
            </w:pPr>
            <w:r w:rsidRPr="00F562A8">
              <w:t>формирование базы геоданных, используемых для расчета значений ценообразующих факторов, характеризующих местоположение объектов недвижимости;</w:t>
            </w:r>
          </w:p>
          <w:p w14:paraId="7F2455DB" w14:textId="77777777"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геопривязка объектов кадастровой оценки;</w:t>
            </w:r>
          </w:p>
          <w:p w14:paraId="2FFEAC3E"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 участие в создании схем оценочного зонирования.</w:t>
            </w:r>
          </w:p>
          <w:p w14:paraId="58229FC3"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 загрузка картографической информации в программный комплекс АСОН и вычисление значений ценообразующих факторов объектов аналогов и объектов оценки.</w:t>
            </w:r>
          </w:p>
        </w:tc>
      </w:tr>
      <w:tr w:rsidR="00604790" w:rsidRPr="00F562A8" w14:paraId="7F46A0A5" w14:textId="77777777" w:rsidTr="00B70FD6">
        <w:tc>
          <w:tcPr>
            <w:tcW w:w="3155" w:type="dxa"/>
            <w:vAlign w:val="center"/>
          </w:tcPr>
          <w:p w14:paraId="1D98CFC5"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 xml:space="preserve">Аналитик отдела </w:t>
            </w:r>
            <w:r w:rsidRPr="00F562A8">
              <w:rPr>
                <w:rFonts w:ascii="Times New Roman" w:hAnsi="Times New Roman" w:cs="Times New Roman"/>
                <w:color w:val="000000" w:themeColor="text1"/>
              </w:rPr>
              <w:t>картографических работ и информационных технологий</w:t>
            </w:r>
          </w:p>
        </w:tc>
        <w:tc>
          <w:tcPr>
            <w:tcW w:w="1802" w:type="dxa"/>
            <w:vAlign w:val="center"/>
          </w:tcPr>
          <w:p w14:paraId="0A6783CC"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hAnsi="Times New Roman" w:cs="Times New Roman"/>
              </w:rPr>
              <w:t>Евлоева Яна Магометовна</w:t>
            </w:r>
          </w:p>
        </w:tc>
        <w:tc>
          <w:tcPr>
            <w:tcW w:w="4536" w:type="dxa"/>
            <w:vAlign w:val="center"/>
          </w:tcPr>
          <w:p w14:paraId="4037EAAC" w14:textId="77777777" w:rsidR="00604790" w:rsidRPr="00F562A8" w:rsidRDefault="00604790" w:rsidP="00604790">
            <w:pPr>
              <w:pStyle w:val="92"/>
              <w:tabs>
                <w:tab w:val="clear" w:pos="1134"/>
                <w:tab w:val="left" w:pos="892"/>
              </w:tabs>
              <w:spacing w:line="276" w:lineRule="auto"/>
              <w:ind w:left="41" w:firstLine="0"/>
              <w:jc w:val="both"/>
            </w:pPr>
            <w:r w:rsidRPr="00F562A8">
              <w:t>формирование базы геоданных, используемых для расчета значений ценообразующих факторов, характеризующих местоположение объектов недвижимости;</w:t>
            </w:r>
          </w:p>
          <w:p w14:paraId="3C329FDA" w14:textId="77777777" w:rsidR="00604790" w:rsidRPr="00F562A8" w:rsidRDefault="00604790" w:rsidP="00604790">
            <w:pPr>
              <w:spacing w:line="276" w:lineRule="auto"/>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геопривязка объектов кадастровой оценки;</w:t>
            </w:r>
          </w:p>
          <w:p w14:paraId="7D2B4017" w14:textId="77777777" w:rsidR="00604790" w:rsidRPr="00F562A8" w:rsidRDefault="00604790" w:rsidP="00604790">
            <w:pPr>
              <w:spacing w:line="276" w:lineRule="auto"/>
              <w:contextualSpacing/>
              <w:rPr>
                <w:rFonts w:ascii="Times New Roman" w:hAnsi="Times New Roman" w:cs="Times New Roman"/>
              </w:rPr>
            </w:pPr>
            <w:r w:rsidRPr="00F562A8">
              <w:rPr>
                <w:rFonts w:ascii="Times New Roman" w:eastAsia="Calibri" w:hAnsi="Times New Roman" w:cs="Times New Roman"/>
                <w:color w:val="00000A"/>
                <w:spacing w:val="-5"/>
                <w:lang w:eastAsia="ru-RU"/>
              </w:rPr>
              <w:t>- формирование базы рыночных данных по продаже земельных участков, подготовка рыночных данных для моделирования.</w:t>
            </w:r>
          </w:p>
        </w:tc>
      </w:tr>
      <w:tr w:rsidR="00604790" w:rsidRPr="00F562A8" w14:paraId="34F620F5" w14:textId="77777777" w:rsidTr="00B70FD6">
        <w:tc>
          <w:tcPr>
            <w:tcW w:w="3155" w:type="dxa"/>
            <w:vAlign w:val="center"/>
          </w:tcPr>
          <w:p w14:paraId="538DE887" w14:textId="41B12867" w:rsidR="00604790" w:rsidRPr="004948E2" w:rsidRDefault="00604790" w:rsidP="00604790">
            <w:pPr>
              <w:spacing w:line="276" w:lineRule="auto"/>
              <w:contextualSpacing/>
              <w:rPr>
                <w:rFonts w:ascii="Times New Roman" w:hAnsi="Times New Roman" w:cs="Times New Roman"/>
              </w:rPr>
            </w:pPr>
            <w:r w:rsidRPr="004948E2">
              <w:rPr>
                <w:rFonts w:ascii="Times New Roman" w:hAnsi="Times New Roman" w:cs="Times New Roman"/>
              </w:rPr>
              <w:t>Главный специалист отдела мониторинга рынка недвижимости</w:t>
            </w:r>
          </w:p>
        </w:tc>
        <w:tc>
          <w:tcPr>
            <w:tcW w:w="1802" w:type="dxa"/>
            <w:vAlign w:val="center"/>
          </w:tcPr>
          <w:p w14:paraId="061E765D" w14:textId="5B38C0A7" w:rsidR="00604790" w:rsidRPr="004948E2" w:rsidRDefault="00604790" w:rsidP="00604790">
            <w:pPr>
              <w:spacing w:line="276" w:lineRule="auto"/>
              <w:contextualSpacing/>
              <w:rPr>
                <w:rFonts w:ascii="Times New Roman" w:hAnsi="Times New Roman" w:cs="Times New Roman"/>
              </w:rPr>
            </w:pPr>
            <w:r w:rsidRPr="004948E2">
              <w:rPr>
                <w:rFonts w:ascii="Times New Roman" w:hAnsi="Times New Roman" w:cs="Times New Roman"/>
              </w:rPr>
              <w:t>Астанина Лариса Сергеевна</w:t>
            </w:r>
          </w:p>
        </w:tc>
        <w:tc>
          <w:tcPr>
            <w:tcW w:w="4536" w:type="dxa"/>
            <w:vAlign w:val="center"/>
          </w:tcPr>
          <w:p w14:paraId="59AF6FCD" w14:textId="77777777" w:rsidR="00604790" w:rsidRPr="00F562A8" w:rsidRDefault="00604790" w:rsidP="00604790">
            <w:pPr>
              <w:pStyle w:val="92"/>
              <w:tabs>
                <w:tab w:val="clear" w:pos="1134"/>
                <w:tab w:val="left" w:pos="892"/>
              </w:tabs>
              <w:spacing w:line="276" w:lineRule="auto"/>
              <w:ind w:left="41" w:firstLine="0"/>
              <w:jc w:val="both"/>
            </w:pPr>
            <w:r w:rsidRPr="00F562A8">
              <w:t>мониторинг цен на рынке недвижимости;</w:t>
            </w:r>
          </w:p>
          <w:p w14:paraId="3A60F725" w14:textId="77777777" w:rsidR="00604790" w:rsidRPr="00F562A8" w:rsidRDefault="00604790" w:rsidP="00604790">
            <w:pPr>
              <w:pStyle w:val="92"/>
              <w:tabs>
                <w:tab w:val="clear" w:pos="1134"/>
                <w:tab w:val="left" w:pos="892"/>
              </w:tabs>
              <w:spacing w:line="276" w:lineRule="auto"/>
              <w:ind w:left="41" w:firstLine="0"/>
              <w:jc w:val="both"/>
            </w:pPr>
            <w:r w:rsidRPr="00F562A8">
              <w:t>сбор, обработка и анализ информации о рынке объектов недвижимости.</w:t>
            </w:r>
          </w:p>
        </w:tc>
      </w:tr>
      <w:tr w:rsidR="00604790" w:rsidRPr="00F562A8" w14:paraId="397FDA8F" w14:textId="77777777" w:rsidTr="00B70FD6">
        <w:tc>
          <w:tcPr>
            <w:tcW w:w="3155" w:type="dxa"/>
            <w:vAlign w:val="center"/>
          </w:tcPr>
          <w:p w14:paraId="615B1AAA" w14:textId="5BED32D9" w:rsidR="00604790" w:rsidRPr="004948E2" w:rsidRDefault="00604790" w:rsidP="00604790">
            <w:pPr>
              <w:spacing w:line="276" w:lineRule="auto"/>
              <w:contextualSpacing/>
              <w:rPr>
                <w:rFonts w:ascii="Times New Roman" w:hAnsi="Times New Roman" w:cs="Times New Roman"/>
              </w:rPr>
            </w:pPr>
            <w:r w:rsidRPr="004948E2">
              <w:rPr>
                <w:rFonts w:ascii="Times New Roman" w:hAnsi="Times New Roman" w:cs="Times New Roman"/>
              </w:rPr>
              <w:t>Ведущий эксперт отдела мониторинга рынка недвижимости</w:t>
            </w:r>
          </w:p>
        </w:tc>
        <w:tc>
          <w:tcPr>
            <w:tcW w:w="1802" w:type="dxa"/>
            <w:vAlign w:val="center"/>
          </w:tcPr>
          <w:p w14:paraId="7F1AC66B" w14:textId="4F5484D0" w:rsidR="00604790" w:rsidRPr="004948E2" w:rsidRDefault="00604790" w:rsidP="00604790">
            <w:pPr>
              <w:spacing w:line="276" w:lineRule="auto"/>
              <w:contextualSpacing/>
              <w:rPr>
                <w:rFonts w:ascii="Times New Roman" w:hAnsi="Times New Roman" w:cs="Times New Roman"/>
              </w:rPr>
            </w:pPr>
            <w:r w:rsidRPr="004948E2">
              <w:rPr>
                <w:rFonts w:ascii="Times New Roman" w:hAnsi="Times New Roman" w:cs="Times New Roman"/>
              </w:rPr>
              <w:t>Кожина Елена Викторовна</w:t>
            </w:r>
          </w:p>
        </w:tc>
        <w:tc>
          <w:tcPr>
            <w:tcW w:w="4536" w:type="dxa"/>
          </w:tcPr>
          <w:p w14:paraId="413AEED5" w14:textId="77777777" w:rsidR="00604790" w:rsidRPr="00F562A8" w:rsidRDefault="00604790" w:rsidP="00604790">
            <w:pPr>
              <w:pStyle w:val="92"/>
              <w:tabs>
                <w:tab w:val="clear" w:pos="1134"/>
                <w:tab w:val="left" w:pos="892"/>
              </w:tabs>
              <w:spacing w:line="276" w:lineRule="auto"/>
              <w:ind w:left="41" w:firstLine="0"/>
              <w:jc w:val="both"/>
            </w:pPr>
            <w:r w:rsidRPr="00F562A8">
              <w:t>мониторинг цен на рынке недвижимости;</w:t>
            </w:r>
          </w:p>
          <w:p w14:paraId="0CE933E1" w14:textId="77777777" w:rsidR="00604790" w:rsidRPr="00F562A8" w:rsidRDefault="00604790" w:rsidP="00604790">
            <w:pPr>
              <w:tabs>
                <w:tab w:val="left" w:pos="892"/>
              </w:tabs>
              <w:spacing w:line="276" w:lineRule="auto"/>
              <w:ind w:left="41"/>
              <w:contextualSpacing/>
              <w:rPr>
                <w:rFonts w:ascii="Times New Roman" w:eastAsia="Calibri" w:hAnsi="Times New Roman" w:cs="Times New Roman"/>
                <w:color w:val="00000A"/>
                <w:spacing w:val="-5"/>
                <w:lang w:eastAsia="ru-RU"/>
              </w:rPr>
            </w:pPr>
            <w:r w:rsidRPr="00F562A8">
              <w:rPr>
                <w:rFonts w:ascii="Times New Roman" w:eastAsia="Calibri" w:hAnsi="Times New Roman" w:cs="Times New Roman"/>
                <w:color w:val="00000A"/>
                <w:spacing w:val="-5"/>
                <w:lang w:eastAsia="ru-RU"/>
              </w:rPr>
              <w:t>-  сбор, обработка и анализ информации о рынке объектов недвижимости.</w:t>
            </w:r>
          </w:p>
          <w:p w14:paraId="6977F1B0" w14:textId="77777777" w:rsidR="00604790" w:rsidRPr="00F562A8" w:rsidRDefault="00604790" w:rsidP="00604790">
            <w:pPr>
              <w:tabs>
                <w:tab w:val="left" w:pos="892"/>
              </w:tabs>
              <w:spacing w:line="276" w:lineRule="auto"/>
              <w:ind w:left="41"/>
              <w:contextualSpacing/>
              <w:rPr>
                <w:rFonts w:ascii="Times New Roman" w:eastAsia="Calibri" w:hAnsi="Times New Roman" w:cs="Times New Roman"/>
                <w:color w:val="00000A"/>
                <w:spacing w:val="-5"/>
                <w:lang w:eastAsia="ru-RU"/>
              </w:rPr>
            </w:pPr>
            <w:r w:rsidRPr="00F562A8">
              <w:rPr>
                <w:rFonts w:ascii="Times New Roman" w:hAnsi="Times New Roman" w:cs="Times New Roman"/>
              </w:rPr>
              <w:t>- з</w:t>
            </w:r>
            <w:r w:rsidRPr="00F562A8">
              <w:rPr>
                <w:rFonts w:ascii="Times New Roman" w:eastAsia="Calibri" w:hAnsi="Times New Roman" w:cs="Times New Roman"/>
                <w:color w:val="00000A"/>
                <w:spacing w:val="-5"/>
                <w:lang w:eastAsia="ru-RU"/>
              </w:rPr>
              <w:t>агрузка в АСОН перечня объектов аналогов;</w:t>
            </w:r>
          </w:p>
        </w:tc>
      </w:tr>
      <w:tr w:rsidR="00604790" w:rsidRPr="00F562A8" w14:paraId="289E886E" w14:textId="77777777" w:rsidTr="00B70FD6">
        <w:tc>
          <w:tcPr>
            <w:tcW w:w="3155" w:type="dxa"/>
            <w:vAlign w:val="center"/>
          </w:tcPr>
          <w:p w14:paraId="78F06FD2" w14:textId="7CB187DF" w:rsidR="00604790" w:rsidRPr="004948E2" w:rsidRDefault="00604790" w:rsidP="00604790">
            <w:pPr>
              <w:spacing w:line="276" w:lineRule="auto"/>
              <w:contextualSpacing/>
              <w:rPr>
                <w:rFonts w:ascii="Times New Roman" w:hAnsi="Times New Roman" w:cs="Times New Roman"/>
              </w:rPr>
            </w:pPr>
            <w:r w:rsidRPr="004948E2">
              <w:rPr>
                <w:rFonts w:ascii="Times New Roman" w:hAnsi="Times New Roman" w:cs="Times New Roman"/>
              </w:rPr>
              <w:t>Ведущий эксперт отдела мониторинга рынка недвижимости</w:t>
            </w:r>
          </w:p>
        </w:tc>
        <w:tc>
          <w:tcPr>
            <w:tcW w:w="1802" w:type="dxa"/>
            <w:vAlign w:val="center"/>
          </w:tcPr>
          <w:p w14:paraId="3AFEBD41" w14:textId="5B33639B" w:rsidR="00604790" w:rsidRPr="004948E2" w:rsidRDefault="00604790" w:rsidP="00604790">
            <w:pPr>
              <w:spacing w:line="276" w:lineRule="auto"/>
              <w:contextualSpacing/>
              <w:rPr>
                <w:rFonts w:ascii="Times New Roman" w:hAnsi="Times New Roman" w:cs="Times New Roman"/>
              </w:rPr>
            </w:pPr>
            <w:r w:rsidRPr="004948E2">
              <w:rPr>
                <w:rFonts w:ascii="Times New Roman" w:hAnsi="Times New Roman" w:cs="Times New Roman"/>
              </w:rPr>
              <w:t>Соловьева Татьяна Александровна</w:t>
            </w:r>
          </w:p>
        </w:tc>
        <w:tc>
          <w:tcPr>
            <w:tcW w:w="4536" w:type="dxa"/>
          </w:tcPr>
          <w:p w14:paraId="59AF4B17" w14:textId="77777777" w:rsidR="00604790" w:rsidRPr="00F562A8" w:rsidRDefault="00604790" w:rsidP="00604790">
            <w:pPr>
              <w:pStyle w:val="92"/>
              <w:tabs>
                <w:tab w:val="clear" w:pos="1134"/>
                <w:tab w:val="left" w:pos="892"/>
              </w:tabs>
              <w:spacing w:line="276" w:lineRule="auto"/>
              <w:ind w:left="41" w:firstLine="0"/>
              <w:jc w:val="both"/>
            </w:pPr>
            <w:r w:rsidRPr="00F562A8">
              <w:t>мониторинг цен на рынке недвижимости;</w:t>
            </w:r>
          </w:p>
          <w:p w14:paraId="34E0A173" w14:textId="77777777" w:rsidR="00604790" w:rsidRPr="00F562A8" w:rsidRDefault="00604790" w:rsidP="00604790">
            <w:pPr>
              <w:pStyle w:val="92"/>
              <w:tabs>
                <w:tab w:val="clear" w:pos="1134"/>
                <w:tab w:val="left" w:pos="892"/>
              </w:tabs>
              <w:spacing w:line="276" w:lineRule="auto"/>
              <w:ind w:left="41" w:firstLine="0"/>
              <w:jc w:val="both"/>
            </w:pPr>
            <w:r w:rsidRPr="00F562A8">
              <w:t>сбор, обработка и анализ информации о рынке объектов недвижимости.</w:t>
            </w:r>
          </w:p>
        </w:tc>
      </w:tr>
    </w:tbl>
    <w:p w14:paraId="624D4C4A" w14:textId="01FA5024" w:rsidR="00B70FD6" w:rsidRDefault="00B70FD6" w:rsidP="006F6435">
      <w:pPr>
        <w:spacing w:after="0" w:line="276" w:lineRule="auto"/>
        <w:ind w:firstLine="708"/>
        <w:jc w:val="center"/>
        <w:rPr>
          <w:rFonts w:ascii="Times New Roman" w:hAnsi="Times New Roman" w:cs="Times New Roman"/>
          <w:b/>
          <w:sz w:val="26"/>
          <w:szCs w:val="26"/>
        </w:rPr>
      </w:pPr>
    </w:p>
    <w:p w14:paraId="3F989F80" w14:textId="7F9746EC" w:rsidR="000C3AEA" w:rsidRDefault="000C3AEA" w:rsidP="000C3AEA">
      <w:pPr>
        <w:pStyle w:val="20"/>
        <w:spacing w:line="276" w:lineRule="auto"/>
        <w:rPr>
          <w:rFonts w:cs="Times New Roman"/>
          <w:sz w:val="26"/>
        </w:rPr>
      </w:pPr>
      <w:bookmarkStart w:id="25" w:name="_Toc74301814"/>
      <w:bookmarkStart w:id="26" w:name="_Toc75965859"/>
      <w:bookmarkStart w:id="27" w:name="_Toc110506925"/>
      <w:r w:rsidRPr="00677D9E">
        <w:rPr>
          <w:rFonts w:cs="Times New Roman"/>
          <w:sz w:val="26"/>
        </w:rPr>
        <w:t>2.</w:t>
      </w:r>
      <w:r w:rsidR="00B24289">
        <w:rPr>
          <w:rFonts w:cs="Times New Roman"/>
          <w:sz w:val="26"/>
        </w:rPr>
        <w:t>6</w:t>
      </w:r>
      <w:r w:rsidRPr="00677D9E">
        <w:rPr>
          <w:rFonts w:cs="Times New Roman"/>
          <w:sz w:val="26"/>
        </w:rPr>
        <w:t>. Виды объектов недвижимости, в отношении которых проводится государственная кадастровая оценка</w:t>
      </w:r>
      <w:bookmarkEnd w:id="25"/>
      <w:bookmarkEnd w:id="26"/>
      <w:r>
        <w:rPr>
          <w:rFonts w:cs="Times New Roman"/>
          <w:sz w:val="26"/>
        </w:rPr>
        <w:t xml:space="preserve">, </w:t>
      </w:r>
      <w:r w:rsidRPr="00677D9E">
        <w:rPr>
          <w:rFonts w:cs="Times New Roman"/>
          <w:sz w:val="26"/>
        </w:rPr>
        <w:t>категории земель</w:t>
      </w:r>
      <w:bookmarkEnd w:id="27"/>
    </w:p>
    <w:p w14:paraId="5D2BC558" w14:textId="77777777" w:rsidR="000C3AEA" w:rsidRDefault="000C3AEA" w:rsidP="000C3AEA">
      <w:pPr>
        <w:spacing w:after="0" w:line="276" w:lineRule="auto"/>
        <w:ind w:firstLine="709"/>
        <w:jc w:val="both"/>
        <w:rPr>
          <w:rFonts w:ascii="Times New Roman" w:eastAsia="Times New Roman" w:hAnsi="Times New Roman" w:cs="Times New Roman"/>
          <w:spacing w:val="-5"/>
          <w:sz w:val="26"/>
          <w:szCs w:val="26"/>
        </w:rPr>
      </w:pPr>
    </w:p>
    <w:p w14:paraId="733EA49F" w14:textId="77777777" w:rsidR="000C3AEA" w:rsidRPr="00F562A8" w:rsidRDefault="000C3AEA" w:rsidP="000C3AEA">
      <w:pPr>
        <w:spacing w:after="0" w:line="276" w:lineRule="auto"/>
        <w:ind w:firstLine="709"/>
        <w:jc w:val="both"/>
        <w:rPr>
          <w:rFonts w:ascii="Times New Roman" w:eastAsia="Times New Roman" w:hAnsi="Times New Roman" w:cs="Times New Roman"/>
          <w:spacing w:val="-5"/>
          <w:sz w:val="26"/>
          <w:szCs w:val="26"/>
        </w:rPr>
      </w:pPr>
      <w:r w:rsidRPr="00F562A8">
        <w:rPr>
          <w:rFonts w:ascii="Times New Roman" w:eastAsia="Times New Roman" w:hAnsi="Times New Roman" w:cs="Times New Roman"/>
          <w:spacing w:val="-5"/>
          <w:sz w:val="26"/>
          <w:szCs w:val="26"/>
        </w:rPr>
        <w:t xml:space="preserve">Объектами оценки являются </w:t>
      </w:r>
      <w:r>
        <w:rPr>
          <w:rFonts w:ascii="Times New Roman" w:eastAsia="Times New Roman" w:hAnsi="Times New Roman" w:cs="Times New Roman"/>
          <w:spacing w:val="-5"/>
          <w:sz w:val="26"/>
          <w:szCs w:val="26"/>
        </w:rPr>
        <w:t xml:space="preserve">все </w:t>
      </w:r>
      <w:r w:rsidRPr="00F562A8">
        <w:rPr>
          <w:rFonts w:ascii="Times New Roman" w:eastAsia="Times New Roman" w:hAnsi="Times New Roman" w:cs="Times New Roman"/>
          <w:spacing w:val="-5"/>
          <w:sz w:val="26"/>
          <w:szCs w:val="26"/>
        </w:rPr>
        <w:t xml:space="preserve">земельные участки </w:t>
      </w:r>
      <w:r w:rsidRPr="007E7E1D">
        <w:rPr>
          <w:rFonts w:ascii="Times New Roman" w:hAnsi="Times New Roman" w:cs="Times New Roman"/>
          <w:sz w:val="26"/>
          <w:szCs w:val="26"/>
        </w:rPr>
        <w:t>учтённы</w:t>
      </w:r>
      <w:r>
        <w:rPr>
          <w:rFonts w:ascii="Times New Roman" w:hAnsi="Times New Roman" w:cs="Times New Roman"/>
          <w:sz w:val="26"/>
          <w:szCs w:val="26"/>
        </w:rPr>
        <w:t>е</w:t>
      </w:r>
      <w:r w:rsidRPr="007E7E1D">
        <w:rPr>
          <w:rFonts w:ascii="Times New Roman" w:hAnsi="Times New Roman" w:cs="Times New Roman"/>
          <w:sz w:val="26"/>
          <w:szCs w:val="26"/>
        </w:rPr>
        <w:t xml:space="preserve"> в Едином государственном реестре недвижимости земельных участков</w:t>
      </w:r>
      <w:r w:rsidRPr="00F562A8">
        <w:rPr>
          <w:rFonts w:ascii="Times New Roman" w:hAnsi="Times New Roman" w:cs="Times New Roman"/>
          <w:sz w:val="26"/>
          <w:szCs w:val="26"/>
        </w:rPr>
        <w:t>, расположенных на территории Воронежской области</w:t>
      </w:r>
      <w:r w:rsidRPr="00F562A8">
        <w:rPr>
          <w:rFonts w:ascii="Times New Roman" w:eastAsia="Times New Roman" w:hAnsi="Times New Roman" w:cs="Times New Roman"/>
          <w:spacing w:val="-5"/>
          <w:sz w:val="26"/>
          <w:szCs w:val="26"/>
        </w:rPr>
        <w:t>, сведения о которых содержатся в Едином государственном реестре недвижимости на дату проведения оценки (01.01.</w:t>
      </w:r>
      <w:r>
        <w:rPr>
          <w:rFonts w:ascii="Times New Roman" w:eastAsia="Times New Roman" w:hAnsi="Times New Roman" w:cs="Times New Roman"/>
          <w:spacing w:val="-5"/>
          <w:sz w:val="26"/>
          <w:szCs w:val="26"/>
        </w:rPr>
        <w:t>2022</w:t>
      </w:r>
      <w:r w:rsidRPr="00F562A8">
        <w:rPr>
          <w:rFonts w:ascii="Times New Roman" w:eastAsia="Times New Roman" w:hAnsi="Times New Roman" w:cs="Times New Roman"/>
          <w:spacing w:val="-5"/>
          <w:sz w:val="26"/>
          <w:szCs w:val="26"/>
        </w:rPr>
        <w:t>) в соответствии с Перечнем Объектов оценки.</w:t>
      </w:r>
    </w:p>
    <w:p w14:paraId="453E57EE" w14:textId="31577C57" w:rsidR="000C3AEA" w:rsidRDefault="000C3AEA" w:rsidP="000C3AEA">
      <w:pPr>
        <w:spacing w:after="0" w:line="276" w:lineRule="auto"/>
        <w:ind w:firstLine="709"/>
        <w:jc w:val="both"/>
        <w:rPr>
          <w:rFonts w:ascii="Times New Roman" w:eastAsia="Times New Roman" w:hAnsi="Times New Roman" w:cs="Times New Roman"/>
          <w:spacing w:val="-5"/>
          <w:sz w:val="26"/>
          <w:szCs w:val="26"/>
        </w:rPr>
      </w:pPr>
      <w:r w:rsidRPr="00F562A8">
        <w:rPr>
          <w:rFonts w:ascii="Times New Roman" w:eastAsia="Times New Roman" w:hAnsi="Times New Roman" w:cs="Times New Roman"/>
          <w:spacing w:val="-5"/>
          <w:sz w:val="26"/>
          <w:szCs w:val="26"/>
        </w:rPr>
        <w:t>Перечень объектов недвижимости, учтенных в Едином государственном реестре недвижимости Воронежской области на 01.01.</w:t>
      </w:r>
      <w:r>
        <w:rPr>
          <w:rFonts w:ascii="Times New Roman" w:eastAsia="Times New Roman" w:hAnsi="Times New Roman" w:cs="Times New Roman"/>
          <w:spacing w:val="-5"/>
          <w:sz w:val="26"/>
          <w:szCs w:val="26"/>
        </w:rPr>
        <w:t>2022</w:t>
      </w:r>
      <w:r w:rsidRPr="00F562A8">
        <w:rPr>
          <w:rFonts w:ascii="Times New Roman" w:eastAsia="Times New Roman" w:hAnsi="Times New Roman" w:cs="Times New Roman"/>
          <w:spacing w:val="-5"/>
          <w:sz w:val="26"/>
          <w:szCs w:val="26"/>
        </w:rPr>
        <w:t xml:space="preserve">, подлежащих государственной кадастровой оценке, </w:t>
      </w:r>
      <w:r w:rsidRPr="00ED4E6D">
        <w:rPr>
          <w:rFonts w:ascii="Times New Roman" w:eastAsia="Times New Roman" w:hAnsi="Times New Roman" w:cs="Times New Roman"/>
          <w:spacing w:val="-5"/>
          <w:sz w:val="26"/>
          <w:szCs w:val="26"/>
        </w:rPr>
        <w:t xml:space="preserve">приведен в Приложении </w:t>
      </w:r>
      <w:r>
        <w:rPr>
          <w:rFonts w:ascii="Times New Roman" w:eastAsia="Times New Roman" w:hAnsi="Times New Roman" w:cs="Times New Roman"/>
          <w:spacing w:val="-5"/>
          <w:sz w:val="26"/>
          <w:szCs w:val="26"/>
        </w:rPr>
        <w:t>1/</w:t>
      </w:r>
      <w:r w:rsidR="00B4210F">
        <w:rPr>
          <w:rFonts w:ascii="Times New Roman" w:eastAsia="Times New Roman" w:hAnsi="Times New Roman" w:cs="Times New Roman"/>
          <w:spacing w:val="-5"/>
          <w:sz w:val="26"/>
          <w:szCs w:val="26"/>
        </w:rPr>
        <w:t>1.3/</w:t>
      </w:r>
      <w:r w:rsidRPr="00ED4E6D">
        <w:rPr>
          <w:rFonts w:ascii="Times New Roman" w:eastAsia="Times New Roman" w:hAnsi="Times New Roman" w:cs="Times New Roman"/>
          <w:spacing w:val="-5"/>
          <w:sz w:val="26"/>
          <w:szCs w:val="26"/>
        </w:rPr>
        <w:t>1.3.2</w:t>
      </w:r>
    </w:p>
    <w:p w14:paraId="7AE1172B" w14:textId="77777777" w:rsidR="000C3AEA" w:rsidRDefault="000C3AEA" w:rsidP="006F6435">
      <w:pPr>
        <w:spacing w:after="0" w:line="276" w:lineRule="auto"/>
        <w:ind w:firstLine="708"/>
        <w:jc w:val="center"/>
        <w:rPr>
          <w:rFonts w:ascii="Times New Roman" w:hAnsi="Times New Roman" w:cs="Times New Roman"/>
          <w:b/>
          <w:sz w:val="26"/>
          <w:szCs w:val="26"/>
        </w:rPr>
      </w:pPr>
    </w:p>
    <w:p w14:paraId="13E70F18" w14:textId="40A2A0E6" w:rsidR="007B4874" w:rsidRDefault="007B4874" w:rsidP="007B4874">
      <w:pPr>
        <w:pStyle w:val="20"/>
        <w:spacing w:line="276" w:lineRule="auto"/>
        <w:rPr>
          <w:rFonts w:cs="Times New Roman"/>
          <w:sz w:val="26"/>
        </w:rPr>
      </w:pPr>
      <w:bookmarkStart w:id="28" w:name="_Toc110506926"/>
      <w:bookmarkStart w:id="29" w:name="_Toc20659539"/>
      <w:r w:rsidRPr="00677D9E">
        <w:rPr>
          <w:rFonts w:cs="Times New Roman"/>
          <w:sz w:val="26"/>
        </w:rPr>
        <w:t>2.</w:t>
      </w:r>
      <w:r w:rsidR="00B24289">
        <w:rPr>
          <w:rFonts w:cs="Times New Roman"/>
          <w:sz w:val="26"/>
        </w:rPr>
        <w:t>7</w:t>
      </w:r>
      <w:r w:rsidRPr="00677D9E">
        <w:rPr>
          <w:rFonts w:cs="Times New Roman"/>
          <w:sz w:val="26"/>
        </w:rPr>
        <w:t>. Сведения об общем количестве объектов недвижимости, содержащихся в перечне объектов недвижимости, подлежащих государственной кадастровой оценке (далее - перечень), а также о количестве объектов недвижимости, содержащихся в перечне, в разрезе видов объектов недвижимости, категорий земель</w:t>
      </w:r>
      <w:bookmarkEnd w:id="28"/>
    </w:p>
    <w:p w14:paraId="223AD5C0" w14:textId="77777777" w:rsidR="007B4874" w:rsidRDefault="007B4874" w:rsidP="007B4874">
      <w:pPr>
        <w:spacing w:after="0" w:line="276" w:lineRule="auto"/>
        <w:ind w:firstLine="709"/>
        <w:jc w:val="both"/>
        <w:rPr>
          <w:rFonts w:ascii="Times New Roman" w:eastAsia="Times New Roman" w:hAnsi="Times New Roman" w:cs="Times New Roman"/>
          <w:spacing w:val="-5"/>
          <w:sz w:val="26"/>
          <w:szCs w:val="26"/>
          <w:highlight w:val="yellow"/>
        </w:rPr>
      </w:pPr>
    </w:p>
    <w:p w14:paraId="4626EBE9" w14:textId="4539C293" w:rsidR="007B4874" w:rsidRPr="00985E57" w:rsidRDefault="007B4874" w:rsidP="007B4874">
      <w:pPr>
        <w:spacing w:after="0" w:line="276" w:lineRule="auto"/>
        <w:ind w:firstLine="709"/>
        <w:jc w:val="both"/>
        <w:rPr>
          <w:rFonts w:ascii="Times New Roman" w:eastAsia="Times New Roman" w:hAnsi="Times New Roman" w:cs="Times New Roman"/>
          <w:spacing w:val="-5"/>
          <w:sz w:val="26"/>
          <w:szCs w:val="26"/>
        </w:rPr>
      </w:pPr>
      <w:r w:rsidRPr="00985E57">
        <w:rPr>
          <w:rFonts w:ascii="Times New Roman" w:eastAsia="Times New Roman" w:hAnsi="Times New Roman" w:cs="Times New Roman"/>
          <w:spacing w:val="-5"/>
          <w:sz w:val="26"/>
          <w:szCs w:val="26"/>
        </w:rPr>
        <w:t>02.02.2022 письмом «Федеральной кадастровой службы государственной регистрации, кадастра и картографии» по Воронежской области (вх. № 10-00815/22 от 02.02.</w:t>
      </w:r>
      <w:r w:rsidRPr="004C6044">
        <w:rPr>
          <w:rFonts w:ascii="Times New Roman" w:eastAsia="Times New Roman" w:hAnsi="Times New Roman" w:cs="Times New Roman"/>
          <w:spacing w:val="-5"/>
          <w:sz w:val="26"/>
          <w:szCs w:val="26"/>
        </w:rPr>
        <w:t xml:space="preserve">2022 (Приложение </w:t>
      </w:r>
      <w:r>
        <w:rPr>
          <w:rFonts w:ascii="Times New Roman" w:eastAsia="Times New Roman" w:hAnsi="Times New Roman" w:cs="Times New Roman"/>
          <w:spacing w:val="-5"/>
          <w:sz w:val="26"/>
          <w:szCs w:val="26"/>
        </w:rPr>
        <w:t>1/</w:t>
      </w:r>
      <w:r w:rsidR="001C2B96">
        <w:rPr>
          <w:rFonts w:ascii="Times New Roman" w:eastAsia="Times New Roman" w:hAnsi="Times New Roman" w:cs="Times New Roman"/>
          <w:spacing w:val="-5"/>
          <w:sz w:val="26"/>
          <w:szCs w:val="26"/>
        </w:rPr>
        <w:t>1.3/</w:t>
      </w:r>
      <w:r w:rsidRPr="004C6044">
        <w:rPr>
          <w:rFonts w:ascii="Times New Roman" w:eastAsia="Times New Roman" w:hAnsi="Times New Roman" w:cs="Times New Roman"/>
          <w:spacing w:val="-5"/>
          <w:sz w:val="26"/>
          <w:szCs w:val="26"/>
        </w:rPr>
        <w:t xml:space="preserve">1.3.1) </w:t>
      </w:r>
      <w:r w:rsidRPr="00985E57">
        <w:rPr>
          <w:rFonts w:ascii="Times New Roman" w:eastAsia="Times New Roman" w:hAnsi="Times New Roman" w:cs="Times New Roman"/>
          <w:spacing w:val="-5"/>
          <w:sz w:val="26"/>
          <w:szCs w:val="26"/>
        </w:rPr>
        <w:t>был получен перечень земельных участков, подлежащих государственной кадастровой оценке категорий земель населенных пунктов, земель лесного фонда, земель водного фонда,</w:t>
      </w:r>
      <w:r>
        <w:rPr>
          <w:rFonts w:ascii="Times New Roman" w:eastAsia="Times New Roman" w:hAnsi="Times New Roman" w:cs="Times New Roman"/>
          <w:spacing w:val="-5"/>
          <w:sz w:val="26"/>
          <w:szCs w:val="26"/>
        </w:rPr>
        <w:t xml:space="preserve"> земли</w:t>
      </w:r>
      <w:r w:rsidRPr="00985E57">
        <w:rPr>
          <w:rFonts w:ascii="Times New Roman" w:eastAsia="Times New Roman" w:hAnsi="Times New Roman" w:cs="Times New Roman"/>
          <w:spacing w:val="-5"/>
          <w:sz w:val="26"/>
          <w:szCs w:val="26"/>
        </w:rPr>
        <w:t xml:space="preserve"> промышленности, энергетики, транспорта, земли обороны, безопасности и земли иного специального назначения</w:t>
      </w:r>
      <w:r>
        <w:rPr>
          <w:rFonts w:ascii="Times New Roman" w:eastAsia="Times New Roman" w:hAnsi="Times New Roman" w:cs="Times New Roman"/>
          <w:spacing w:val="-5"/>
          <w:sz w:val="26"/>
          <w:szCs w:val="26"/>
        </w:rPr>
        <w:t xml:space="preserve">, земель сельскохозяйственного назначения, земель особо охраняемых территорий, земель запаса и земель категория, которых не установлена </w:t>
      </w:r>
      <w:r w:rsidRPr="00985E57">
        <w:rPr>
          <w:rFonts w:ascii="Times New Roman" w:eastAsia="Times New Roman" w:hAnsi="Times New Roman" w:cs="Times New Roman"/>
          <w:spacing w:val="-5"/>
          <w:sz w:val="26"/>
          <w:szCs w:val="26"/>
        </w:rPr>
        <w:t>сформированный Росреестром по состоянию на 01.01.202</w:t>
      </w:r>
      <w:r>
        <w:rPr>
          <w:rFonts w:ascii="Times New Roman" w:eastAsia="Times New Roman" w:hAnsi="Times New Roman" w:cs="Times New Roman"/>
          <w:spacing w:val="-5"/>
          <w:sz w:val="26"/>
          <w:szCs w:val="26"/>
        </w:rPr>
        <w:t>2</w:t>
      </w:r>
      <w:r w:rsidRPr="00985E57">
        <w:rPr>
          <w:rFonts w:ascii="Times New Roman" w:eastAsia="Times New Roman" w:hAnsi="Times New Roman" w:cs="Times New Roman"/>
          <w:spacing w:val="-5"/>
          <w:sz w:val="26"/>
          <w:szCs w:val="26"/>
        </w:rPr>
        <w:t xml:space="preserve">.  Перечень земельных участков включает </w:t>
      </w:r>
      <w:r>
        <w:rPr>
          <w:rFonts w:ascii="Times New Roman" w:eastAsia="Times New Roman" w:hAnsi="Times New Roman" w:cs="Times New Roman"/>
          <w:spacing w:val="-5"/>
          <w:sz w:val="26"/>
          <w:szCs w:val="26"/>
        </w:rPr>
        <w:t>1 215 409</w:t>
      </w:r>
      <w:r w:rsidRPr="00985E57">
        <w:rPr>
          <w:rFonts w:ascii="Times New Roman" w:eastAsia="Times New Roman" w:hAnsi="Times New Roman" w:cs="Times New Roman"/>
          <w:spacing w:val="-5"/>
          <w:sz w:val="26"/>
          <w:szCs w:val="26"/>
        </w:rPr>
        <w:t xml:space="preserve"> объект недвижимости, в том числе </w:t>
      </w:r>
      <w:r>
        <w:rPr>
          <w:rFonts w:ascii="Times New Roman" w:eastAsia="Times New Roman" w:hAnsi="Times New Roman" w:cs="Times New Roman"/>
          <w:spacing w:val="-5"/>
          <w:sz w:val="26"/>
          <w:szCs w:val="26"/>
        </w:rPr>
        <w:t>12 486</w:t>
      </w:r>
      <w:r w:rsidRPr="00985E57">
        <w:rPr>
          <w:rFonts w:ascii="Times New Roman" w:eastAsia="Times New Roman" w:hAnsi="Times New Roman" w:cs="Times New Roman"/>
          <w:spacing w:val="-5"/>
          <w:sz w:val="26"/>
          <w:szCs w:val="26"/>
        </w:rPr>
        <w:t xml:space="preserve"> объектов недвижимости лесного фонда, 5</w:t>
      </w:r>
      <w:r>
        <w:rPr>
          <w:rFonts w:ascii="Times New Roman" w:eastAsia="Times New Roman" w:hAnsi="Times New Roman" w:cs="Times New Roman"/>
          <w:spacing w:val="-5"/>
          <w:sz w:val="26"/>
          <w:szCs w:val="26"/>
        </w:rPr>
        <w:t>7</w:t>
      </w:r>
      <w:r w:rsidRPr="00985E57">
        <w:rPr>
          <w:rFonts w:ascii="Times New Roman" w:eastAsia="Times New Roman" w:hAnsi="Times New Roman" w:cs="Times New Roman"/>
          <w:spacing w:val="-5"/>
          <w:sz w:val="26"/>
          <w:szCs w:val="26"/>
        </w:rPr>
        <w:t xml:space="preserve"> объектов водного фонда, </w:t>
      </w:r>
      <w:r>
        <w:rPr>
          <w:rFonts w:ascii="Times New Roman" w:eastAsia="Times New Roman" w:hAnsi="Times New Roman" w:cs="Times New Roman"/>
          <w:spacing w:val="-5"/>
          <w:sz w:val="26"/>
          <w:szCs w:val="26"/>
        </w:rPr>
        <w:t>913 144</w:t>
      </w:r>
      <w:r w:rsidRPr="00985E57">
        <w:rPr>
          <w:rFonts w:ascii="Times New Roman" w:eastAsia="Times New Roman" w:hAnsi="Times New Roman" w:cs="Times New Roman"/>
          <w:spacing w:val="-5"/>
          <w:sz w:val="26"/>
          <w:szCs w:val="26"/>
        </w:rPr>
        <w:t xml:space="preserve"> объектов категории земель населенных пунктов</w:t>
      </w:r>
      <w:r>
        <w:rPr>
          <w:rFonts w:ascii="Times New Roman" w:eastAsia="Times New Roman" w:hAnsi="Times New Roman" w:cs="Times New Roman"/>
          <w:spacing w:val="-5"/>
          <w:sz w:val="26"/>
          <w:szCs w:val="26"/>
        </w:rPr>
        <w:t>, 9 975 земли</w:t>
      </w:r>
      <w:r w:rsidRPr="00985E57">
        <w:rPr>
          <w:rFonts w:ascii="Times New Roman" w:eastAsia="Times New Roman" w:hAnsi="Times New Roman" w:cs="Times New Roman"/>
          <w:spacing w:val="-5"/>
          <w:sz w:val="26"/>
          <w:szCs w:val="26"/>
        </w:rPr>
        <w:t xml:space="preserve"> промышленности, энергетики, транспорта, земли обороны, безопасности и земли иного специального назначения</w:t>
      </w:r>
      <w:r>
        <w:rPr>
          <w:rFonts w:ascii="Times New Roman" w:eastAsia="Times New Roman" w:hAnsi="Times New Roman" w:cs="Times New Roman"/>
          <w:spacing w:val="-5"/>
          <w:sz w:val="26"/>
          <w:szCs w:val="26"/>
        </w:rPr>
        <w:t xml:space="preserve">, 279 544 объектов сельскохозяйственного назначения, 168 объектов </w:t>
      </w:r>
      <w:r w:rsidRPr="00026D9E">
        <w:rPr>
          <w:rFonts w:ascii="Times New Roman" w:eastAsia="Times New Roman" w:hAnsi="Times New Roman" w:cs="Times New Roman"/>
          <w:spacing w:val="-5"/>
          <w:sz w:val="26"/>
          <w:szCs w:val="26"/>
        </w:rPr>
        <w:t>особо охраняемых территорий и объектов</w:t>
      </w:r>
      <w:r>
        <w:rPr>
          <w:rFonts w:ascii="Times New Roman" w:eastAsia="Times New Roman" w:hAnsi="Times New Roman" w:cs="Times New Roman"/>
          <w:spacing w:val="-5"/>
          <w:sz w:val="26"/>
          <w:szCs w:val="26"/>
        </w:rPr>
        <w:t>, 12 объектов земель запаса, 23 объекта категория, которых не установлена,</w:t>
      </w:r>
      <w:r w:rsidRPr="00985E57">
        <w:rPr>
          <w:rFonts w:ascii="Times New Roman" w:eastAsia="Times New Roman" w:hAnsi="Times New Roman" w:cs="Times New Roman"/>
          <w:spacing w:val="-5"/>
          <w:sz w:val="26"/>
          <w:szCs w:val="26"/>
        </w:rPr>
        <w:t xml:space="preserve"> приведен в </w:t>
      </w:r>
      <w:r w:rsidRPr="00ED4E6D">
        <w:rPr>
          <w:rFonts w:ascii="Times New Roman" w:eastAsia="Times New Roman" w:hAnsi="Times New Roman" w:cs="Times New Roman"/>
          <w:spacing w:val="-5"/>
          <w:sz w:val="26"/>
          <w:szCs w:val="26"/>
        </w:rPr>
        <w:t xml:space="preserve">Приложении </w:t>
      </w:r>
      <w:r>
        <w:rPr>
          <w:rFonts w:ascii="Times New Roman" w:eastAsia="Times New Roman" w:hAnsi="Times New Roman" w:cs="Times New Roman"/>
          <w:spacing w:val="-5"/>
          <w:sz w:val="26"/>
          <w:szCs w:val="26"/>
        </w:rPr>
        <w:t>1/</w:t>
      </w:r>
      <w:r w:rsidR="00527771">
        <w:rPr>
          <w:rFonts w:ascii="Times New Roman" w:eastAsia="Times New Roman" w:hAnsi="Times New Roman" w:cs="Times New Roman"/>
          <w:spacing w:val="-5"/>
          <w:sz w:val="26"/>
          <w:szCs w:val="26"/>
        </w:rPr>
        <w:t>1.3/</w:t>
      </w:r>
      <w:r w:rsidRPr="00ED4E6D">
        <w:rPr>
          <w:rFonts w:ascii="Times New Roman" w:eastAsia="Times New Roman" w:hAnsi="Times New Roman" w:cs="Times New Roman"/>
          <w:spacing w:val="-5"/>
          <w:sz w:val="26"/>
          <w:szCs w:val="26"/>
        </w:rPr>
        <w:t>1.3.2</w:t>
      </w:r>
    </w:p>
    <w:p w14:paraId="5E351638" w14:textId="77777777" w:rsidR="007B4874" w:rsidRPr="00985E57" w:rsidRDefault="007B4874" w:rsidP="007B4874">
      <w:pPr>
        <w:spacing w:after="0" w:line="276" w:lineRule="auto"/>
        <w:ind w:firstLine="709"/>
        <w:jc w:val="both"/>
        <w:rPr>
          <w:rFonts w:ascii="Times New Roman" w:eastAsia="Times New Roman" w:hAnsi="Times New Roman" w:cs="Times New Roman"/>
          <w:spacing w:val="-5"/>
          <w:sz w:val="26"/>
          <w:szCs w:val="26"/>
        </w:rPr>
      </w:pPr>
      <w:r w:rsidRPr="00985E57">
        <w:rPr>
          <w:rFonts w:ascii="Times New Roman" w:eastAsia="Times New Roman" w:hAnsi="Times New Roman" w:cs="Times New Roman"/>
          <w:spacing w:val="-5"/>
          <w:sz w:val="26"/>
          <w:szCs w:val="26"/>
        </w:rPr>
        <w:t>Сотрудниками отделов кадастровой оценки и картографии ГБУ была проведена проверка предоставленного Перечня земельных участков, в ходе которой выявлено:</w:t>
      </w:r>
    </w:p>
    <w:p w14:paraId="35A2549C" w14:textId="77777777" w:rsidR="007B4874" w:rsidRPr="007E1E9E" w:rsidRDefault="007B4874" w:rsidP="007B4874">
      <w:pPr>
        <w:spacing w:after="0" w:line="276" w:lineRule="auto"/>
        <w:ind w:firstLine="709"/>
        <w:jc w:val="both"/>
        <w:rPr>
          <w:rFonts w:ascii="Times New Roman" w:eastAsia="Times New Roman" w:hAnsi="Times New Roman" w:cs="Times New Roman"/>
          <w:spacing w:val="-5"/>
          <w:sz w:val="26"/>
          <w:szCs w:val="26"/>
        </w:rPr>
      </w:pPr>
      <w:r w:rsidRPr="008C380E">
        <w:rPr>
          <w:rFonts w:ascii="Times New Roman" w:eastAsia="Times New Roman" w:hAnsi="Times New Roman" w:cs="Times New Roman"/>
          <w:spacing w:val="-5"/>
          <w:sz w:val="26"/>
          <w:szCs w:val="26"/>
        </w:rPr>
        <w:t xml:space="preserve">- </w:t>
      </w:r>
      <w:r w:rsidRPr="007E1E9E">
        <w:rPr>
          <w:rFonts w:ascii="Times New Roman" w:eastAsia="Times New Roman" w:hAnsi="Times New Roman" w:cs="Times New Roman"/>
          <w:spacing w:val="-5"/>
          <w:sz w:val="26"/>
          <w:szCs w:val="26"/>
        </w:rPr>
        <w:t>текстовая часть Перечня объектов недвижимости, представлена в формате XML-схемы, общее количество объектов недвижимости, включенных в Перечень – 1 215 409 земельных участков;</w:t>
      </w:r>
    </w:p>
    <w:p w14:paraId="2F94BE96" w14:textId="77777777" w:rsidR="007B4874" w:rsidRPr="007E1E9E" w:rsidRDefault="007B4874" w:rsidP="007B4874">
      <w:pPr>
        <w:spacing w:after="0" w:line="276" w:lineRule="auto"/>
        <w:ind w:firstLine="709"/>
        <w:jc w:val="both"/>
        <w:rPr>
          <w:rFonts w:ascii="Times New Roman" w:eastAsia="Times New Roman" w:hAnsi="Times New Roman" w:cs="Times New Roman"/>
          <w:spacing w:val="-5"/>
          <w:sz w:val="26"/>
          <w:szCs w:val="26"/>
        </w:rPr>
      </w:pPr>
      <w:r w:rsidRPr="007E1E9E">
        <w:rPr>
          <w:rFonts w:ascii="Times New Roman" w:eastAsia="Times New Roman" w:hAnsi="Times New Roman" w:cs="Times New Roman"/>
          <w:spacing w:val="-5"/>
          <w:sz w:val="26"/>
          <w:szCs w:val="26"/>
        </w:rPr>
        <w:t>- в Перечне содержатся сведения о земельном участке другого региона, с кадастровым номером 39:15:120819:21, в связи с чем ГБУ ВО «ЦГКО ВО» просит исключить вышеуказанный объект недвижимости из перечня объектов недвижимости, подлежащих государственной кадастровой оценке в 2022 в Воронежской области.</w:t>
      </w:r>
    </w:p>
    <w:p w14:paraId="78605921" w14:textId="77777777" w:rsidR="007B4874" w:rsidRPr="00CA10EB" w:rsidRDefault="007B4874" w:rsidP="007B4874">
      <w:pPr>
        <w:spacing w:after="0" w:line="276" w:lineRule="auto"/>
        <w:ind w:firstLine="709"/>
        <w:jc w:val="both"/>
        <w:rPr>
          <w:rFonts w:ascii="Times New Roman" w:eastAsia="Times New Roman" w:hAnsi="Times New Roman" w:cs="Times New Roman"/>
          <w:spacing w:val="-5"/>
          <w:sz w:val="26"/>
          <w:szCs w:val="26"/>
          <w:highlight w:val="yellow"/>
        </w:rPr>
      </w:pPr>
      <w:r w:rsidRPr="001562FD">
        <w:rPr>
          <w:rFonts w:ascii="Times New Roman" w:eastAsia="Times New Roman" w:hAnsi="Times New Roman" w:cs="Times New Roman"/>
          <w:spacing w:val="-5"/>
          <w:sz w:val="26"/>
          <w:szCs w:val="26"/>
        </w:rPr>
        <w:t>По результатам проверки Перечня подготовлено и направлено в адрес Росреестра Письмо от 04.03.2022 № 52/3-</w:t>
      </w:r>
      <w:r w:rsidRPr="00D94566">
        <w:rPr>
          <w:rFonts w:ascii="Times New Roman" w:eastAsia="Times New Roman" w:hAnsi="Times New Roman" w:cs="Times New Roman"/>
          <w:spacing w:val="-5"/>
          <w:sz w:val="26"/>
          <w:szCs w:val="26"/>
        </w:rPr>
        <w:t xml:space="preserve">11/426 (Приложение </w:t>
      </w:r>
      <w:r>
        <w:rPr>
          <w:rFonts w:ascii="Times New Roman" w:eastAsia="Times New Roman" w:hAnsi="Times New Roman" w:cs="Times New Roman"/>
          <w:spacing w:val="-5"/>
          <w:sz w:val="26"/>
          <w:szCs w:val="26"/>
        </w:rPr>
        <w:t>1/</w:t>
      </w:r>
      <w:r w:rsidRPr="00D94566">
        <w:rPr>
          <w:rFonts w:ascii="Times New Roman" w:eastAsia="Times New Roman" w:hAnsi="Times New Roman" w:cs="Times New Roman"/>
          <w:spacing w:val="-5"/>
          <w:sz w:val="26"/>
          <w:szCs w:val="26"/>
        </w:rPr>
        <w:t>1.3.1).</w:t>
      </w:r>
    </w:p>
    <w:p w14:paraId="2348429F" w14:textId="2FCF8C1B" w:rsidR="007B4874" w:rsidRPr="00237378" w:rsidRDefault="007B4874" w:rsidP="007B4874">
      <w:pPr>
        <w:spacing w:after="0" w:line="276" w:lineRule="auto"/>
        <w:ind w:firstLine="709"/>
        <w:jc w:val="both"/>
        <w:rPr>
          <w:rFonts w:ascii="Times New Roman" w:eastAsia="Times New Roman" w:hAnsi="Times New Roman" w:cs="Times New Roman"/>
          <w:spacing w:val="-5"/>
          <w:sz w:val="26"/>
          <w:szCs w:val="26"/>
        </w:rPr>
      </w:pPr>
      <w:r w:rsidRPr="00237378">
        <w:rPr>
          <w:rFonts w:ascii="Times New Roman" w:eastAsia="Times New Roman" w:hAnsi="Times New Roman" w:cs="Times New Roman"/>
          <w:spacing w:val="-5"/>
          <w:sz w:val="26"/>
          <w:szCs w:val="26"/>
        </w:rPr>
        <w:t>Письмом Управления Росреестра по Воронежской области (вх. № 10-04313/22 от 31.05.2022) (</w:t>
      </w:r>
      <w:r w:rsidRPr="00D94566">
        <w:rPr>
          <w:rFonts w:ascii="Times New Roman" w:eastAsia="Times New Roman" w:hAnsi="Times New Roman" w:cs="Times New Roman"/>
          <w:spacing w:val="-5"/>
          <w:sz w:val="26"/>
          <w:szCs w:val="26"/>
        </w:rPr>
        <w:t xml:space="preserve">Приложение </w:t>
      </w:r>
      <w:r>
        <w:rPr>
          <w:rFonts w:ascii="Times New Roman" w:eastAsia="Times New Roman" w:hAnsi="Times New Roman" w:cs="Times New Roman"/>
          <w:spacing w:val="-5"/>
          <w:sz w:val="26"/>
          <w:szCs w:val="26"/>
        </w:rPr>
        <w:t>1/</w:t>
      </w:r>
      <w:r w:rsidR="00527771">
        <w:rPr>
          <w:rFonts w:ascii="Times New Roman" w:eastAsia="Times New Roman" w:hAnsi="Times New Roman" w:cs="Times New Roman"/>
          <w:spacing w:val="-5"/>
          <w:sz w:val="26"/>
          <w:szCs w:val="26"/>
        </w:rPr>
        <w:t>1.3/</w:t>
      </w:r>
      <w:r w:rsidRPr="00D94566">
        <w:rPr>
          <w:rFonts w:ascii="Times New Roman" w:eastAsia="Times New Roman" w:hAnsi="Times New Roman" w:cs="Times New Roman"/>
          <w:spacing w:val="-5"/>
          <w:sz w:val="26"/>
          <w:szCs w:val="26"/>
        </w:rPr>
        <w:t>1.3.1</w:t>
      </w:r>
      <w:r w:rsidRPr="00237378">
        <w:rPr>
          <w:rFonts w:ascii="Times New Roman" w:eastAsia="Times New Roman" w:hAnsi="Times New Roman" w:cs="Times New Roman"/>
          <w:spacing w:val="-5"/>
          <w:sz w:val="26"/>
          <w:szCs w:val="26"/>
        </w:rPr>
        <w:t>)</w:t>
      </w:r>
      <w:r>
        <w:rPr>
          <w:rFonts w:ascii="Times New Roman" w:eastAsia="Times New Roman" w:hAnsi="Times New Roman" w:cs="Times New Roman"/>
          <w:spacing w:val="-5"/>
          <w:sz w:val="26"/>
          <w:szCs w:val="26"/>
        </w:rPr>
        <w:t xml:space="preserve"> </w:t>
      </w:r>
      <w:r w:rsidRPr="007E1E9E">
        <w:rPr>
          <w:rFonts w:ascii="Times New Roman" w:eastAsia="Times New Roman" w:hAnsi="Times New Roman" w:cs="Times New Roman"/>
          <w:spacing w:val="-5"/>
          <w:sz w:val="26"/>
          <w:szCs w:val="26"/>
        </w:rPr>
        <w:t>земельн</w:t>
      </w:r>
      <w:r>
        <w:rPr>
          <w:rFonts w:ascii="Times New Roman" w:eastAsia="Times New Roman" w:hAnsi="Times New Roman" w:cs="Times New Roman"/>
          <w:spacing w:val="-5"/>
          <w:sz w:val="26"/>
          <w:szCs w:val="26"/>
        </w:rPr>
        <w:t>ый</w:t>
      </w:r>
      <w:r w:rsidRPr="007E1E9E">
        <w:rPr>
          <w:rFonts w:ascii="Times New Roman" w:eastAsia="Times New Roman" w:hAnsi="Times New Roman" w:cs="Times New Roman"/>
          <w:spacing w:val="-5"/>
          <w:sz w:val="26"/>
          <w:szCs w:val="26"/>
        </w:rPr>
        <w:t xml:space="preserve"> участ</w:t>
      </w:r>
      <w:r>
        <w:rPr>
          <w:rFonts w:ascii="Times New Roman" w:eastAsia="Times New Roman" w:hAnsi="Times New Roman" w:cs="Times New Roman"/>
          <w:spacing w:val="-5"/>
          <w:sz w:val="26"/>
          <w:szCs w:val="26"/>
        </w:rPr>
        <w:t>о</w:t>
      </w:r>
      <w:r w:rsidRPr="007E1E9E">
        <w:rPr>
          <w:rFonts w:ascii="Times New Roman" w:eastAsia="Times New Roman" w:hAnsi="Times New Roman" w:cs="Times New Roman"/>
          <w:spacing w:val="-5"/>
          <w:sz w:val="26"/>
          <w:szCs w:val="26"/>
        </w:rPr>
        <w:t>к другого региона, с кадастровым номером 39:15:120819:21</w:t>
      </w:r>
      <w:r w:rsidRPr="00237378">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5"/>
          <w:sz w:val="26"/>
          <w:szCs w:val="26"/>
        </w:rPr>
        <w:t>исключен</w:t>
      </w:r>
      <w:r w:rsidRPr="00237378">
        <w:rPr>
          <w:rFonts w:ascii="Times New Roman" w:eastAsia="Times New Roman" w:hAnsi="Times New Roman" w:cs="Times New Roman"/>
          <w:spacing w:val="-5"/>
          <w:sz w:val="26"/>
          <w:szCs w:val="26"/>
        </w:rPr>
        <w:t>.</w:t>
      </w:r>
    </w:p>
    <w:p w14:paraId="26309C83" w14:textId="77777777" w:rsidR="007B4874" w:rsidRPr="002D6D3C" w:rsidRDefault="007B4874" w:rsidP="007B4874">
      <w:pPr>
        <w:spacing w:after="0" w:line="276" w:lineRule="auto"/>
        <w:ind w:firstLine="709"/>
        <w:jc w:val="both"/>
        <w:rPr>
          <w:rFonts w:ascii="Times New Roman" w:eastAsia="Times New Roman" w:hAnsi="Times New Roman" w:cs="Times New Roman"/>
          <w:spacing w:val="-5"/>
          <w:sz w:val="26"/>
          <w:szCs w:val="26"/>
        </w:rPr>
      </w:pPr>
      <w:r w:rsidRPr="002D6D3C">
        <w:rPr>
          <w:rFonts w:ascii="Times New Roman" w:eastAsia="Times New Roman" w:hAnsi="Times New Roman" w:cs="Times New Roman"/>
          <w:spacing w:val="-5"/>
          <w:sz w:val="26"/>
          <w:szCs w:val="26"/>
        </w:rPr>
        <w:t xml:space="preserve">Таким образом, в </w:t>
      </w:r>
      <w:r w:rsidRPr="00CB44A0">
        <w:rPr>
          <w:rFonts w:ascii="Times New Roman" w:eastAsia="Times New Roman" w:hAnsi="Times New Roman" w:cs="Times New Roman"/>
          <w:spacing w:val="-5"/>
          <w:sz w:val="26"/>
          <w:szCs w:val="26"/>
        </w:rPr>
        <w:t>соответствии с Письмом вх. № 10</w:t>
      </w:r>
      <w:r w:rsidRPr="00237378">
        <w:rPr>
          <w:rFonts w:ascii="Times New Roman" w:eastAsia="Times New Roman" w:hAnsi="Times New Roman" w:cs="Times New Roman"/>
          <w:spacing w:val="-5"/>
          <w:sz w:val="26"/>
          <w:szCs w:val="26"/>
        </w:rPr>
        <w:t>-04313/22 от 31.05.2022</w:t>
      </w:r>
      <w:r>
        <w:rPr>
          <w:rFonts w:ascii="Times New Roman" w:eastAsia="Times New Roman" w:hAnsi="Times New Roman" w:cs="Times New Roman"/>
          <w:spacing w:val="-5"/>
          <w:sz w:val="26"/>
          <w:szCs w:val="26"/>
        </w:rPr>
        <w:t xml:space="preserve"> </w:t>
      </w:r>
      <w:r w:rsidRPr="002D6D3C">
        <w:rPr>
          <w:rFonts w:ascii="Times New Roman" w:eastAsia="Times New Roman" w:hAnsi="Times New Roman" w:cs="Times New Roman"/>
          <w:spacing w:val="-5"/>
          <w:sz w:val="26"/>
          <w:szCs w:val="26"/>
        </w:rPr>
        <w:t xml:space="preserve">общее количество земельных участков категории </w:t>
      </w:r>
      <w:r w:rsidRPr="00985E57">
        <w:rPr>
          <w:rFonts w:ascii="Times New Roman" w:eastAsia="Times New Roman" w:hAnsi="Times New Roman" w:cs="Times New Roman"/>
          <w:spacing w:val="-5"/>
          <w:sz w:val="26"/>
          <w:szCs w:val="26"/>
        </w:rPr>
        <w:t>земель населенных пунктов, земель лесного фонда, земель водного фонда,</w:t>
      </w:r>
      <w:r>
        <w:rPr>
          <w:rFonts w:ascii="Times New Roman" w:eastAsia="Times New Roman" w:hAnsi="Times New Roman" w:cs="Times New Roman"/>
          <w:spacing w:val="-5"/>
          <w:sz w:val="26"/>
          <w:szCs w:val="26"/>
        </w:rPr>
        <w:t xml:space="preserve"> земли</w:t>
      </w:r>
      <w:r w:rsidRPr="00985E57">
        <w:rPr>
          <w:rFonts w:ascii="Times New Roman" w:eastAsia="Times New Roman" w:hAnsi="Times New Roman" w:cs="Times New Roman"/>
          <w:spacing w:val="-5"/>
          <w:sz w:val="26"/>
          <w:szCs w:val="26"/>
        </w:rPr>
        <w:t xml:space="preserve"> промышленности, энергетики, транспорта, земли обороны, безопасности и земли иного специального назначения</w:t>
      </w:r>
      <w:r>
        <w:rPr>
          <w:rFonts w:ascii="Times New Roman" w:eastAsia="Times New Roman" w:hAnsi="Times New Roman" w:cs="Times New Roman"/>
          <w:spacing w:val="-5"/>
          <w:sz w:val="26"/>
          <w:szCs w:val="26"/>
        </w:rPr>
        <w:t>, земель сельскохозяйственного назначения, земель особо охраняемых территорий, земель запаса и земель категория, которых не установлена</w:t>
      </w:r>
      <w:r w:rsidRPr="002D6D3C">
        <w:rPr>
          <w:rFonts w:ascii="Times New Roman" w:eastAsia="Times New Roman" w:hAnsi="Times New Roman" w:cs="Times New Roman"/>
          <w:spacing w:val="-5"/>
          <w:sz w:val="26"/>
          <w:szCs w:val="26"/>
        </w:rPr>
        <w:t xml:space="preserve"> составило </w:t>
      </w:r>
      <w:r>
        <w:rPr>
          <w:rFonts w:ascii="Times New Roman" w:eastAsia="Times New Roman" w:hAnsi="Times New Roman" w:cs="Times New Roman"/>
          <w:spacing w:val="-5"/>
          <w:sz w:val="26"/>
          <w:szCs w:val="26"/>
        </w:rPr>
        <w:t>1 215 408</w:t>
      </w:r>
      <w:r w:rsidRPr="002D6D3C">
        <w:rPr>
          <w:rFonts w:ascii="Times New Roman" w:eastAsia="Times New Roman" w:hAnsi="Times New Roman" w:cs="Times New Roman"/>
          <w:spacing w:val="-5"/>
          <w:sz w:val="26"/>
          <w:szCs w:val="26"/>
        </w:rPr>
        <w:t xml:space="preserve">, в том числе </w:t>
      </w:r>
      <w:r>
        <w:rPr>
          <w:rFonts w:ascii="Times New Roman" w:eastAsia="Times New Roman" w:hAnsi="Times New Roman" w:cs="Times New Roman"/>
          <w:spacing w:val="-5"/>
          <w:sz w:val="26"/>
          <w:szCs w:val="26"/>
        </w:rPr>
        <w:t>12 486</w:t>
      </w:r>
      <w:r w:rsidRPr="00985E57">
        <w:rPr>
          <w:rFonts w:ascii="Times New Roman" w:eastAsia="Times New Roman" w:hAnsi="Times New Roman" w:cs="Times New Roman"/>
          <w:spacing w:val="-5"/>
          <w:sz w:val="26"/>
          <w:szCs w:val="26"/>
        </w:rPr>
        <w:t xml:space="preserve"> объектов недвижимости лесного фонда, 5</w:t>
      </w:r>
      <w:r>
        <w:rPr>
          <w:rFonts w:ascii="Times New Roman" w:eastAsia="Times New Roman" w:hAnsi="Times New Roman" w:cs="Times New Roman"/>
          <w:spacing w:val="-5"/>
          <w:sz w:val="26"/>
          <w:szCs w:val="26"/>
        </w:rPr>
        <w:t>7</w:t>
      </w:r>
      <w:r w:rsidRPr="00985E57">
        <w:rPr>
          <w:rFonts w:ascii="Times New Roman" w:eastAsia="Times New Roman" w:hAnsi="Times New Roman" w:cs="Times New Roman"/>
          <w:spacing w:val="-5"/>
          <w:sz w:val="26"/>
          <w:szCs w:val="26"/>
        </w:rPr>
        <w:t xml:space="preserve"> объектов водного фонда, </w:t>
      </w:r>
      <w:r>
        <w:rPr>
          <w:rFonts w:ascii="Times New Roman" w:eastAsia="Times New Roman" w:hAnsi="Times New Roman" w:cs="Times New Roman"/>
          <w:spacing w:val="-5"/>
          <w:sz w:val="26"/>
          <w:szCs w:val="26"/>
        </w:rPr>
        <w:t>913 143</w:t>
      </w:r>
      <w:r w:rsidRPr="00985E57">
        <w:rPr>
          <w:rFonts w:ascii="Times New Roman" w:eastAsia="Times New Roman" w:hAnsi="Times New Roman" w:cs="Times New Roman"/>
          <w:spacing w:val="-5"/>
          <w:sz w:val="26"/>
          <w:szCs w:val="26"/>
        </w:rPr>
        <w:t xml:space="preserve"> объектов категории земель населенных пунктов</w:t>
      </w:r>
      <w:r>
        <w:rPr>
          <w:rFonts w:ascii="Times New Roman" w:eastAsia="Times New Roman" w:hAnsi="Times New Roman" w:cs="Times New Roman"/>
          <w:spacing w:val="-5"/>
          <w:sz w:val="26"/>
          <w:szCs w:val="26"/>
        </w:rPr>
        <w:t>, 9 975 земли</w:t>
      </w:r>
      <w:r w:rsidRPr="00985E57">
        <w:rPr>
          <w:rFonts w:ascii="Times New Roman" w:eastAsia="Times New Roman" w:hAnsi="Times New Roman" w:cs="Times New Roman"/>
          <w:spacing w:val="-5"/>
          <w:sz w:val="26"/>
          <w:szCs w:val="26"/>
        </w:rPr>
        <w:t xml:space="preserve"> промышленности, энергетики, транспорта, земли обороны, безопасности и земли иного специального назначения</w:t>
      </w:r>
      <w:r>
        <w:rPr>
          <w:rFonts w:ascii="Times New Roman" w:eastAsia="Times New Roman" w:hAnsi="Times New Roman" w:cs="Times New Roman"/>
          <w:spacing w:val="-5"/>
          <w:sz w:val="26"/>
          <w:szCs w:val="26"/>
        </w:rPr>
        <w:t xml:space="preserve">, 279 544 объектов сельскохозяйственного назначения, 168 объектов </w:t>
      </w:r>
      <w:r w:rsidRPr="00026D9E">
        <w:rPr>
          <w:rFonts w:ascii="Times New Roman" w:eastAsia="Times New Roman" w:hAnsi="Times New Roman" w:cs="Times New Roman"/>
          <w:spacing w:val="-5"/>
          <w:sz w:val="26"/>
          <w:szCs w:val="26"/>
        </w:rPr>
        <w:t>особо охраняемых территорий и объектов</w:t>
      </w:r>
      <w:r>
        <w:rPr>
          <w:rFonts w:ascii="Times New Roman" w:eastAsia="Times New Roman" w:hAnsi="Times New Roman" w:cs="Times New Roman"/>
          <w:spacing w:val="-5"/>
          <w:sz w:val="26"/>
          <w:szCs w:val="26"/>
        </w:rPr>
        <w:t>, 12 объектов земель запаса, 23 объекта категория, которых не установлена</w:t>
      </w:r>
      <w:r w:rsidRPr="002D6D3C">
        <w:rPr>
          <w:rFonts w:ascii="Times New Roman" w:eastAsia="Times New Roman" w:hAnsi="Times New Roman" w:cs="Times New Roman"/>
          <w:spacing w:val="-5"/>
          <w:sz w:val="26"/>
          <w:szCs w:val="26"/>
        </w:rPr>
        <w:t>.</w:t>
      </w:r>
    </w:p>
    <w:p w14:paraId="31F123C2" w14:textId="77777777" w:rsidR="007B4874" w:rsidRPr="002D6D3C" w:rsidRDefault="007B4874" w:rsidP="007B4874">
      <w:pPr>
        <w:spacing w:after="0" w:line="276" w:lineRule="auto"/>
        <w:ind w:firstLine="709"/>
        <w:jc w:val="both"/>
        <w:rPr>
          <w:rFonts w:ascii="Times New Roman" w:eastAsia="Times New Roman" w:hAnsi="Times New Roman" w:cs="Times New Roman"/>
          <w:spacing w:val="-5"/>
          <w:sz w:val="26"/>
          <w:szCs w:val="26"/>
        </w:rPr>
      </w:pPr>
      <w:r w:rsidRPr="002D6D3C">
        <w:rPr>
          <w:rFonts w:ascii="Times New Roman" w:eastAsia="Times New Roman" w:hAnsi="Times New Roman" w:cs="Times New Roman"/>
          <w:spacing w:val="-5"/>
          <w:sz w:val="26"/>
          <w:szCs w:val="26"/>
        </w:rPr>
        <w:t xml:space="preserve">В итоге был подготовлен окончательный перечень из </w:t>
      </w:r>
      <w:r w:rsidRPr="002D6D3C">
        <w:rPr>
          <w:rFonts w:ascii="Times New Roman" w:eastAsia="Times New Roman" w:hAnsi="Times New Roman" w:cs="Times New Roman"/>
          <w:b/>
          <w:spacing w:val="-5"/>
          <w:sz w:val="26"/>
          <w:szCs w:val="26"/>
        </w:rPr>
        <w:t>1 215 408</w:t>
      </w:r>
      <w:r w:rsidRPr="002D6D3C">
        <w:rPr>
          <w:rFonts w:ascii="Times New Roman" w:eastAsia="Times New Roman" w:hAnsi="Times New Roman" w:cs="Times New Roman"/>
          <w:spacing w:val="-5"/>
          <w:sz w:val="26"/>
          <w:szCs w:val="26"/>
        </w:rPr>
        <w:t xml:space="preserve"> объектов оценки.</w:t>
      </w:r>
    </w:p>
    <w:p w14:paraId="0AF59EF9" w14:textId="76FE2069" w:rsidR="007B4874" w:rsidRPr="0051252F" w:rsidRDefault="007B4874" w:rsidP="007B4874">
      <w:pPr>
        <w:spacing w:after="0" w:line="276" w:lineRule="auto"/>
        <w:ind w:firstLine="709"/>
        <w:jc w:val="both"/>
        <w:rPr>
          <w:rFonts w:ascii="Times New Roman" w:eastAsia="Times New Roman" w:hAnsi="Times New Roman" w:cs="Times New Roman"/>
          <w:spacing w:val="-5"/>
          <w:sz w:val="26"/>
          <w:szCs w:val="26"/>
        </w:rPr>
      </w:pPr>
      <w:r w:rsidRPr="002D6D3C">
        <w:rPr>
          <w:rFonts w:ascii="Times New Roman" w:eastAsia="Times New Roman" w:hAnsi="Times New Roman" w:cs="Times New Roman"/>
          <w:spacing w:val="-5"/>
          <w:sz w:val="26"/>
          <w:szCs w:val="26"/>
        </w:rPr>
        <w:t xml:space="preserve">Перечень объектов оценки в разрезе сегментов по состоянию на 01.01.2022 </w:t>
      </w:r>
      <w:r w:rsidRPr="00D94566">
        <w:rPr>
          <w:rFonts w:ascii="Times New Roman" w:eastAsia="Times New Roman" w:hAnsi="Times New Roman" w:cs="Times New Roman"/>
          <w:spacing w:val="-5"/>
          <w:sz w:val="26"/>
          <w:szCs w:val="26"/>
        </w:rPr>
        <w:t xml:space="preserve">приведен в Приложении </w:t>
      </w:r>
      <w:r>
        <w:rPr>
          <w:rFonts w:ascii="Times New Roman" w:eastAsia="Times New Roman" w:hAnsi="Times New Roman" w:cs="Times New Roman"/>
          <w:spacing w:val="-5"/>
          <w:sz w:val="26"/>
          <w:szCs w:val="26"/>
        </w:rPr>
        <w:t>1/</w:t>
      </w:r>
      <w:r w:rsidR="00527771">
        <w:rPr>
          <w:rFonts w:ascii="Times New Roman" w:eastAsia="Times New Roman" w:hAnsi="Times New Roman" w:cs="Times New Roman"/>
          <w:spacing w:val="-5"/>
          <w:sz w:val="26"/>
          <w:szCs w:val="26"/>
        </w:rPr>
        <w:t>1.3/</w:t>
      </w:r>
      <w:r w:rsidRPr="00D94566">
        <w:rPr>
          <w:rFonts w:ascii="Times New Roman" w:eastAsia="Times New Roman" w:hAnsi="Times New Roman" w:cs="Times New Roman"/>
          <w:spacing w:val="-5"/>
          <w:sz w:val="26"/>
          <w:szCs w:val="26"/>
        </w:rPr>
        <w:t>1.3.3</w:t>
      </w:r>
      <w:r>
        <w:rPr>
          <w:rFonts w:ascii="Times New Roman" w:eastAsia="Times New Roman" w:hAnsi="Times New Roman" w:cs="Times New Roman"/>
          <w:spacing w:val="-5"/>
          <w:sz w:val="26"/>
          <w:szCs w:val="26"/>
        </w:rPr>
        <w:t>.</w:t>
      </w:r>
    </w:p>
    <w:p w14:paraId="0BE0739A" w14:textId="77777777" w:rsidR="007B4874" w:rsidRDefault="007B4874" w:rsidP="007B4874">
      <w:pPr>
        <w:spacing w:after="0" w:line="276" w:lineRule="auto"/>
        <w:ind w:firstLine="709"/>
        <w:jc w:val="both"/>
        <w:rPr>
          <w:rFonts w:ascii="Times New Roman" w:hAnsi="Times New Roman" w:cs="Times New Roman"/>
          <w:sz w:val="16"/>
          <w:szCs w:val="16"/>
        </w:rPr>
      </w:pPr>
    </w:p>
    <w:p w14:paraId="3CBF96D0" w14:textId="2DEEC639" w:rsidR="007B4874" w:rsidRPr="00F562A8" w:rsidRDefault="007B4874" w:rsidP="007B4874">
      <w:pPr>
        <w:pStyle w:val="20"/>
        <w:spacing w:after="120"/>
        <w:rPr>
          <w:rFonts w:cs="Times New Roman"/>
          <w:sz w:val="26"/>
        </w:rPr>
      </w:pPr>
      <w:bookmarkStart w:id="30" w:name="_Toc110506927"/>
      <w:r w:rsidRPr="00F562A8">
        <w:rPr>
          <w:rFonts w:cs="Times New Roman"/>
          <w:sz w:val="26"/>
        </w:rPr>
        <w:t>2.</w:t>
      </w:r>
      <w:r w:rsidR="00B24289">
        <w:rPr>
          <w:rFonts w:cs="Times New Roman"/>
          <w:sz w:val="26"/>
        </w:rPr>
        <w:t>8</w:t>
      </w:r>
      <w:r w:rsidRPr="00F562A8">
        <w:rPr>
          <w:rFonts w:cs="Times New Roman"/>
          <w:sz w:val="26"/>
        </w:rPr>
        <w:t xml:space="preserve"> Дата, по состоянию на которую определена кадастровая стоимость объектов недвижимости</w:t>
      </w:r>
      <w:bookmarkEnd w:id="30"/>
    </w:p>
    <w:p w14:paraId="1D09886D" w14:textId="77777777" w:rsidR="007B4874" w:rsidRPr="0051252F" w:rsidRDefault="007B4874" w:rsidP="007B4874">
      <w:pPr>
        <w:spacing w:after="0" w:line="276" w:lineRule="auto"/>
        <w:ind w:firstLine="709"/>
        <w:jc w:val="both"/>
        <w:rPr>
          <w:rFonts w:ascii="Times New Roman" w:eastAsia="Times New Roman" w:hAnsi="Times New Roman" w:cs="Times New Roman"/>
          <w:spacing w:val="-5"/>
          <w:sz w:val="26"/>
          <w:szCs w:val="26"/>
        </w:rPr>
      </w:pPr>
      <w:r w:rsidRPr="0051252F">
        <w:rPr>
          <w:rFonts w:ascii="Times New Roman" w:eastAsia="Times New Roman" w:hAnsi="Times New Roman" w:cs="Times New Roman"/>
          <w:spacing w:val="-5"/>
          <w:sz w:val="26"/>
          <w:szCs w:val="26"/>
        </w:rPr>
        <w:t xml:space="preserve">В соответствии </w:t>
      </w:r>
      <w:r w:rsidRPr="004D36BE">
        <w:rPr>
          <w:rFonts w:ascii="Times New Roman" w:eastAsia="Times New Roman" w:hAnsi="Times New Roman" w:cs="Times New Roman"/>
          <w:spacing w:val="-5"/>
          <w:sz w:val="26"/>
          <w:szCs w:val="26"/>
        </w:rPr>
        <w:t xml:space="preserve">с п. 5 ст. 13 Федерального Закона от 03.07.2016 №237-ФЗ </w:t>
      </w:r>
      <w:r w:rsidRPr="004D36BE">
        <w:rPr>
          <w:rFonts w:ascii="Times New Roman" w:eastAsia="Times New Roman" w:hAnsi="Times New Roman" w:cs="Times New Roman"/>
          <w:spacing w:val="-5"/>
          <w:sz w:val="26"/>
          <w:szCs w:val="26"/>
        </w:rPr>
        <w:br/>
        <w:t>«О государственной кадастровой оценке» датой, по состоянию на которую осуществляется определение кадастровой стоимости при проведении</w:t>
      </w:r>
      <w:r w:rsidRPr="0051252F">
        <w:rPr>
          <w:rFonts w:ascii="Times New Roman" w:eastAsia="Times New Roman" w:hAnsi="Times New Roman" w:cs="Times New Roman"/>
          <w:spacing w:val="-5"/>
          <w:sz w:val="26"/>
          <w:szCs w:val="26"/>
        </w:rPr>
        <w:t xml:space="preserve"> государственной кадастровой оценки, является день, по состоянию на который сформирован перечень.</w:t>
      </w:r>
    </w:p>
    <w:p w14:paraId="11C36F6E" w14:textId="77777777" w:rsidR="007B4874" w:rsidRPr="0051252F" w:rsidRDefault="007B4874" w:rsidP="007B4874">
      <w:pPr>
        <w:spacing w:after="0" w:line="276" w:lineRule="auto"/>
        <w:ind w:firstLine="709"/>
        <w:jc w:val="both"/>
        <w:rPr>
          <w:rFonts w:ascii="Times New Roman" w:eastAsia="Times New Roman" w:hAnsi="Times New Roman" w:cs="Times New Roman"/>
          <w:spacing w:val="-5"/>
          <w:sz w:val="26"/>
          <w:szCs w:val="26"/>
        </w:rPr>
      </w:pPr>
      <w:r w:rsidRPr="0051252F">
        <w:rPr>
          <w:rFonts w:ascii="Times New Roman" w:eastAsia="Times New Roman" w:hAnsi="Times New Roman" w:cs="Times New Roman"/>
          <w:spacing w:val="-5"/>
          <w:sz w:val="26"/>
          <w:szCs w:val="26"/>
        </w:rPr>
        <w:t>Таким образом, датой определения кадастровой стоимости является 01.01.202</w:t>
      </w:r>
      <w:r>
        <w:rPr>
          <w:rFonts w:ascii="Times New Roman" w:eastAsia="Times New Roman" w:hAnsi="Times New Roman" w:cs="Times New Roman"/>
          <w:spacing w:val="-5"/>
          <w:sz w:val="26"/>
          <w:szCs w:val="26"/>
        </w:rPr>
        <w:t>2</w:t>
      </w:r>
      <w:r w:rsidRPr="0051252F">
        <w:rPr>
          <w:rFonts w:ascii="Times New Roman" w:eastAsia="Times New Roman" w:hAnsi="Times New Roman" w:cs="Times New Roman"/>
          <w:spacing w:val="-5"/>
          <w:sz w:val="26"/>
          <w:szCs w:val="26"/>
        </w:rPr>
        <w:t xml:space="preserve">. </w:t>
      </w:r>
    </w:p>
    <w:p w14:paraId="017736D8" w14:textId="2F1F10C9" w:rsidR="00754F88" w:rsidRPr="00F562A8" w:rsidRDefault="00754F88" w:rsidP="00754F88">
      <w:pPr>
        <w:pStyle w:val="20"/>
        <w:spacing w:line="276" w:lineRule="auto"/>
        <w:ind w:firstLine="709"/>
        <w:rPr>
          <w:rFonts w:cs="Times New Roman"/>
        </w:rPr>
      </w:pPr>
      <w:bookmarkStart w:id="31" w:name="_Toc110506928"/>
      <w:bookmarkEnd w:id="29"/>
      <w:r w:rsidRPr="00F562A8">
        <w:rPr>
          <w:rFonts w:cs="Times New Roman"/>
        </w:rPr>
        <w:t>2.</w:t>
      </w:r>
      <w:r w:rsidR="00B24289">
        <w:rPr>
          <w:rFonts w:cs="Times New Roman"/>
        </w:rPr>
        <w:t>9</w:t>
      </w:r>
      <w:r w:rsidRPr="00F562A8">
        <w:rPr>
          <w:rFonts w:cs="Times New Roman"/>
        </w:rPr>
        <w:t xml:space="preserve"> Сведения о допущениях, использованных при определении кадастровой стоимости</w:t>
      </w:r>
      <w:bookmarkEnd w:id="31"/>
    </w:p>
    <w:p w14:paraId="557FB111" w14:textId="2B6ACB4B" w:rsidR="00754F88" w:rsidRPr="00F562A8" w:rsidRDefault="00754F88" w:rsidP="00754F88">
      <w:pPr>
        <w:pStyle w:val="20"/>
        <w:spacing w:line="276" w:lineRule="auto"/>
        <w:ind w:firstLine="709"/>
        <w:rPr>
          <w:rFonts w:cs="Times New Roman"/>
        </w:rPr>
      </w:pPr>
      <w:bookmarkStart w:id="32" w:name="_Toc106353463"/>
      <w:bookmarkStart w:id="33" w:name="_Toc110506929"/>
      <w:r w:rsidRPr="00F562A8">
        <w:rPr>
          <w:rFonts w:cs="Times New Roman"/>
        </w:rPr>
        <w:t>2.</w:t>
      </w:r>
      <w:r w:rsidR="00B24289">
        <w:rPr>
          <w:rFonts w:cs="Times New Roman"/>
        </w:rPr>
        <w:t>9</w:t>
      </w:r>
      <w:r w:rsidRPr="00F562A8">
        <w:rPr>
          <w:rFonts w:cs="Times New Roman"/>
        </w:rPr>
        <w:t>.1. Общие допущения</w:t>
      </w:r>
      <w:bookmarkEnd w:id="32"/>
      <w:bookmarkEnd w:id="33"/>
    </w:p>
    <w:p w14:paraId="1EB8C6A6" w14:textId="77777777" w:rsidR="00754F88" w:rsidRPr="00F562A8" w:rsidRDefault="00754F88" w:rsidP="00754F88">
      <w:pPr>
        <w:spacing w:line="276" w:lineRule="auto"/>
        <w:rPr>
          <w:rFonts w:ascii="Times New Roman" w:hAnsi="Times New Roman" w:cs="Times New Roman"/>
          <w:sz w:val="16"/>
          <w:szCs w:val="16"/>
        </w:rPr>
      </w:pPr>
    </w:p>
    <w:p w14:paraId="31A99BB5" w14:textId="77777777" w:rsidR="00754F88" w:rsidRPr="00F562A8" w:rsidRDefault="00754F88" w:rsidP="00754F88">
      <w:pPr>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 данном разделе приводится перечень всех допущений и ограничительных условий, использованных при проведении работ по определению кадастровой стоимости объектов недвижимости:</w:t>
      </w:r>
    </w:p>
    <w:p w14:paraId="52C73A95" w14:textId="77777777" w:rsidR="00754F88" w:rsidRPr="00F562A8" w:rsidRDefault="00754F88" w:rsidP="00754F88">
      <w:pPr>
        <w:pStyle w:val="1-"/>
        <w:numPr>
          <w:ilvl w:val="0"/>
          <w:numId w:val="7"/>
        </w:numPr>
        <w:tabs>
          <w:tab w:val="left" w:pos="1134"/>
        </w:tabs>
        <w:spacing w:line="276" w:lineRule="auto"/>
        <w:ind w:left="0" w:firstLine="709"/>
        <w:rPr>
          <w:sz w:val="26"/>
          <w:szCs w:val="26"/>
        </w:rPr>
      </w:pPr>
      <w:bookmarkStart w:id="34" w:name="_Toc340258559"/>
      <w:r w:rsidRPr="00F562A8">
        <w:rPr>
          <w:sz w:val="26"/>
          <w:szCs w:val="26"/>
        </w:rPr>
        <w:t>Отчет выполнен в соответствии с нормативными документами о государственной кадастровой оценке и достоверен лишь в полном объёме и только для указанных в нём целей. Учреждение не несет ответственности за использование Отчета в иных целях.</w:t>
      </w:r>
    </w:p>
    <w:p w14:paraId="401F3913" w14:textId="77777777" w:rsidR="00754F88" w:rsidRPr="00F562A8" w:rsidRDefault="00754F88" w:rsidP="00754F88">
      <w:pPr>
        <w:pStyle w:val="1-"/>
        <w:numPr>
          <w:ilvl w:val="0"/>
          <w:numId w:val="7"/>
        </w:numPr>
        <w:tabs>
          <w:tab w:val="left" w:pos="1134"/>
        </w:tabs>
        <w:spacing w:line="276" w:lineRule="auto"/>
        <w:ind w:left="0" w:firstLine="709"/>
        <w:rPr>
          <w:sz w:val="26"/>
          <w:szCs w:val="26"/>
        </w:rPr>
      </w:pPr>
      <w:r w:rsidRPr="00F562A8">
        <w:rPr>
          <w:sz w:val="26"/>
          <w:szCs w:val="26"/>
        </w:rPr>
        <w:t>Использование Отчёта в целом, его фрагментов или цитат (предоставление информации третьим лицам) должно проводиться с соблюдением законодательства РФ в области охраны авторских прав.</w:t>
      </w:r>
    </w:p>
    <w:p w14:paraId="08DD6AAB" w14:textId="77777777" w:rsidR="00754F88" w:rsidRPr="00F562A8" w:rsidRDefault="00754F88" w:rsidP="00754F88">
      <w:pPr>
        <w:pStyle w:val="1-"/>
        <w:numPr>
          <w:ilvl w:val="0"/>
          <w:numId w:val="7"/>
        </w:numPr>
        <w:tabs>
          <w:tab w:val="left" w:pos="1134"/>
        </w:tabs>
        <w:spacing w:line="276" w:lineRule="auto"/>
        <w:ind w:left="0" w:firstLine="709"/>
        <w:rPr>
          <w:sz w:val="26"/>
          <w:szCs w:val="26"/>
        </w:rPr>
      </w:pPr>
      <w:r w:rsidRPr="00F562A8">
        <w:rPr>
          <w:sz w:val="26"/>
          <w:szCs w:val="26"/>
        </w:rPr>
        <w:t>Содержащиеся в Отчёте об итогах государственной кадастровой оценки анализ, мнения и заключения принадлежат Исполнителю и действительны строго в пределах ограничительных условий и допущений, являющихся частью Отчёта об итогах государственной кадастровой оценки.</w:t>
      </w:r>
    </w:p>
    <w:p w14:paraId="3151D0A7" w14:textId="77777777" w:rsidR="00754F88" w:rsidRPr="00F562A8" w:rsidRDefault="00754F88" w:rsidP="00754F88">
      <w:pPr>
        <w:pStyle w:val="1-"/>
        <w:numPr>
          <w:ilvl w:val="0"/>
          <w:numId w:val="7"/>
        </w:numPr>
        <w:tabs>
          <w:tab w:val="left" w:pos="1134"/>
        </w:tabs>
        <w:spacing w:line="276" w:lineRule="auto"/>
        <w:ind w:left="0" w:firstLine="709"/>
        <w:rPr>
          <w:sz w:val="26"/>
          <w:szCs w:val="26"/>
        </w:rPr>
      </w:pPr>
      <w:r w:rsidRPr="00F562A8">
        <w:rPr>
          <w:sz w:val="26"/>
          <w:szCs w:val="26"/>
        </w:rPr>
        <w:t>Исполнитель не принимает на себя ответственность за достоверность качественной и количественной информации, содержащейся в ЕГРН и отраженной в предоставленном Перечне Объектов оценки.</w:t>
      </w:r>
    </w:p>
    <w:p w14:paraId="2ABE68CA" w14:textId="77777777" w:rsidR="00754F88" w:rsidRPr="00F562A8" w:rsidRDefault="00754F88" w:rsidP="00754F88">
      <w:pPr>
        <w:pStyle w:val="1-"/>
        <w:numPr>
          <w:ilvl w:val="0"/>
          <w:numId w:val="7"/>
        </w:numPr>
        <w:tabs>
          <w:tab w:val="left" w:pos="1134"/>
        </w:tabs>
        <w:spacing w:line="276" w:lineRule="auto"/>
        <w:ind w:left="0" w:firstLine="709"/>
        <w:rPr>
          <w:sz w:val="26"/>
          <w:szCs w:val="26"/>
        </w:rPr>
      </w:pPr>
      <w:r w:rsidRPr="00F562A8">
        <w:rPr>
          <w:sz w:val="26"/>
          <w:szCs w:val="26"/>
        </w:rPr>
        <w:t>Исполнитель не проводил технических и иных специальных экспертиз (в том числе экологических) и исходил из предположения об отсутствии каких-либо скрытых фактов, влияющих на величину определяемой стоимости Объектов оценки, которые не содержались в составе переданной информации. На Исполнителе не лежит ответственность по обнаружению таких фактов, как и ответственность в случае их обнаружения.</w:t>
      </w:r>
    </w:p>
    <w:p w14:paraId="65C6EA38" w14:textId="77777777" w:rsidR="00754F88" w:rsidRPr="00F562A8" w:rsidRDefault="00754F88" w:rsidP="00754F88">
      <w:pPr>
        <w:pStyle w:val="1-"/>
        <w:numPr>
          <w:ilvl w:val="0"/>
          <w:numId w:val="7"/>
        </w:numPr>
        <w:tabs>
          <w:tab w:val="left" w:pos="1134"/>
        </w:tabs>
        <w:spacing w:line="276" w:lineRule="auto"/>
        <w:ind w:left="0" w:firstLine="709"/>
        <w:rPr>
          <w:sz w:val="26"/>
          <w:szCs w:val="26"/>
        </w:rPr>
      </w:pPr>
      <w:r w:rsidRPr="00F562A8">
        <w:rPr>
          <w:sz w:val="26"/>
          <w:szCs w:val="26"/>
        </w:rPr>
        <w:t>Исполнитель не несёт ответственности за юридическое описание имущественных прав на Объекты оценки. Объекты оценки и имущественные права на них рассматриваются свободными от каких-либо претензий или ограничений, за исключением земельных участков, расположенных в зонах особого режима использования.</w:t>
      </w:r>
    </w:p>
    <w:p w14:paraId="1B144235" w14:textId="77777777" w:rsidR="00754F88" w:rsidRPr="00F562A8" w:rsidRDefault="00754F88" w:rsidP="00754F88">
      <w:pPr>
        <w:pStyle w:val="1-"/>
        <w:numPr>
          <w:ilvl w:val="0"/>
          <w:numId w:val="7"/>
        </w:numPr>
        <w:tabs>
          <w:tab w:val="left" w:pos="1134"/>
        </w:tabs>
        <w:spacing w:line="276" w:lineRule="auto"/>
        <w:ind w:left="0" w:firstLine="709"/>
        <w:rPr>
          <w:sz w:val="26"/>
          <w:szCs w:val="26"/>
        </w:rPr>
      </w:pPr>
      <w:r w:rsidRPr="00F562A8">
        <w:rPr>
          <w:sz w:val="26"/>
          <w:szCs w:val="26"/>
        </w:rPr>
        <w:t>Определение кадастровой стоимости Объектов оценки базируется на предположении о том, что все оцениваемые Объекты принадлежат юридическим или физическим лицам на праве собственности.</w:t>
      </w:r>
    </w:p>
    <w:p w14:paraId="733CB940" w14:textId="77777777" w:rsidR="00754F88" w:rsidRPr="00F562A8" w:rsidRDefault="00754F88" w:rsidP="00754F88">
      <w:pPr>
        <w:pStyle w:val="1-"/>
        <w:numPr>
          <w:ilvl w:val="0"/>
          <w:numId w:val="7"/>
        </w:numPr>
        <w:tabs>
          <w:tab w:val="left" w:pos="1134"/>
        </w:tabs>
        <w:spacing w:line="276" w:lineRule="auto"/>
        <w:ind w:left="0" w:firstLine="709"/>
        <w:rPr>
          <w:sz w:val="26"/>
          <w:szCs w:val="26"/>
        </w:rPr>
      </w:pPr>
      <w:r w:rsidRPr="00F562A8">
        <w:rPr>
          <w:sz w:val="26"/>
          <w:szCs w:val="26"/>
        </w:rPr>
        <w:t>Осмотр объектов оценки при использовании методов массовой оценки не проводится.</w:t>
      </w:r>
    </w:p>
    <w:p w14:paraId="7B9BCFD2" w14:textId="77777777" w:rsidR="00754F88" w:rsidRPr="00F562A8" w:rsidRDefault="00754F88" w:rsidP="00754F88">
      <w:pPr>
        <w:pStyle w:val="1-"/>
        <w:numPr>
          <w:ilvl w:val="0"/>
          <w:numId w:val="7"/>
        </w:numPr>
        <w:tabs>
          <w:tab w:val="left" w:pos="1134"/>
        </w:tabs>
        <w:spacing w:line="276" w:lineRule="auto"/>
        <w:ind w:left="0" w:firstLine="709"/>
        <w:rPr>
          <w:sz w:val="26"/>
          <w:szCs w:val="26"/>
        </w:rPr>
      </w:pPr>
      <w:r w:rsidRPr="00F562A8">
        <w:rPr>
          <w:sz w:val="26"/>
          <w:szCs w:val="26"/>
        </w:rPr>
        <w:t xml:space="preserve">В рамках работ по государственной кадастровой оценке Учреждением не проводился анализ наиболее эффективного использования Объектов оценки, поскольку при массовой оценке объектов недвижимости определить наиболее эффективное использование индивидуально для каждого объекта не представляется возможным. Оценка объектов недвижимости проводится из допущения, что наиболее эффективное использование объектов оценки совпадает с разрешенным использованием или назначением объектов недвижимости, </w:t>
      </w:r>
      <w:bookmarkStart w:id="35" w:name="_Hlk40201131"/>
      <w:r w:rsidRPr="00F562A8">
        <w:rPr>
          <w:sz w:val="26"/>
          <w:szCs w:val="26"/>
        </w:rPr>
        <w:t>определенных (установленных) в отношении такого объекта недвижимости и содержащихся в ЕГРН по состоянию на дату определения кадастровой стоимости</w:t>
      </w:r>
      <w:bookmarkEnd w:id="35"/>
      <w:r w:rsidRPr="00F562A8">
        <w:rPr>
          <w:sz w:val="26"/>
          <w:szCs w:val="26"/>
        </w:rPr>
        <w:t>.</w:t>
      </w:r>
    </w:p>
    <w:p w14:paraId="2380A9FF" w14:textId="77777777" w:rsidR="00754F88" w:rsidRPr="00F562A8" w:rsidRDefault="00754F88" w:rsidP="00754F88">
      <w:pPr>
        <w:pStyle w:val="1-"/>
        <w:numPr>
          <w:ilvl w:val="0"/>
          <w:numId w:val="7"/>
        </w:numPr>
        <w:tabs>
          <w:tab w:val="left" w:pos="1134"/>
        </w:tabs>
        <w:spacing w:line="276" w:lineRule="auto"/>
        <w:ind w:left="0" w:firstLine="709"/>
        <w:rPr>
          <w:sz w:val="26"/>
          <w:szCs w:val="26"/>
        </w:rPr>
      </w:pPr>
      <w:r w:rsidRPr="00F562A8">
        <w:rPr>
          <w:sz w:val="26"/>
          <w:szCs w:val="26"/>
        </w:rPr>
        <w:t>Все иллюстративные материалы использованы в Отчёте исключительно в целях облегчения читателю визуального восприятия результатов оценки, поскольку нет обстоятельств, обязывающих Исполнителя приводить расширенные обзорные материалы (чертежи, планы, фотографии и др.).</w:t>
      </w:r>
    </w:p>
    <w:p w14:paraId="1A06551C" w14:textId="1B4B01F4" w:rsidR="00754F88" w:rsidRDefault="00754F88" w:rsidP="00754F88">
      <w:pPr>
        <w:pStyle w:val="1-"/>
        <w:numPr>
          <w:ilvl w:val="0"/>
          <w:numId w:val="7"/>
        </w:numPr>
        <w:tabs>
          <w:tab w:val="left" w:pos="1134"/>
        </w:tabs>
        <w:spacing w:line="276" w:lineRule="auto"/>
        <w:ind w:left="0" w:firstLine="709"/>
        <w:rPr>
          <w:sz w:val="26"/>
          <w:szCs w:val="26"/>
        </w:rPr>
      </w:pPr>
      <w:r w:rsidRPr="008F0EDD">
        <w:rPr>
          <w:sz w:val="26"/>
          <w:szCs w:val="26"/>
        </w:rPr>
        <w:t xml:space="preserve">Настоящий Отчет подготовлен с использованием программных продуктов Microsoft Word 2019 и Microsoft Excel 2019 64 - разрядные версии. С помощью указанных программ были сформированы текстовые файлы с расширением *.docx и табличные файлы с расширением *.xlsx. </w:t>
      </w:r>
      <w:r w:rsidR="00CD01E6" w:rsidRPr="008F0EDD">
        <w:rPr>
          <w:sz w:val="26"/>
          <w:szCs w:val="26"/>
        </w:rPr>
        <w:t xml:space="preserve">В соответствии с </w:t>
      </w:r>
      <w:r w:rsidR="00CD01E6" w:rsidRPr="00CD01E6">
        <w:rPr>
          <w:sz w:val="26"/>
          <w:szCs w:val="26"/>
        </w:rPr>
        <w:t>п. 3-5</w:t>
      </w:r>
      <w:r w:rsidR="00CD01E6" w:rsidRPr="008F0EDD">
        <w:rPr>
          <w:sz w:val="26"/>
          <w:szCs w:val="26"/>
        </w:rPr>
        <w:t xml:space="preserve"> Требований к Отчету</w:t>
      </w:r>
      <w:r w:rsidR="00CD01E6">
        <w:rPr>
          <w:sz w:val="26"/>
          <w:szCs w:val="26"/>
        </w:rPr>
        <w:t xml:space="preserve">, </w:t>
      </w:r>
      <w:r w:rsidR="00CD01E6" w:rsidRPr="00CD01E6">
        <w:rPr>
          <w:sz w:val="26"/>
          <w:szCs w:val="26"/>
        </w:rPr>
        <w:t xml:space="preserve">установленных </w:t>
      </w:r>
      <w:hyperlink r:id="rId47" w:history="1">
        <w:r w:rsidR="00CD01E6" w:rsidRPr="00CD01E6">
          <w:rPr>
            <w:sz w:val="26"/>
            <w:szCs w:val="26"/>
          </w:rPr>
          <w:t>приказом</w:t>
        </w:r>
      </w:hyperlink>
      <w:r w:rsidR="00CD01E6" w:rsidRPr="00CD01E6">
        <w:rPr>
          <w:sz w:val="26"/>
          <w:szCs w:val="26"/>
        </w:rPr>
        <w:t xml:space="preserve"> Росреестра от 6 августа 2020 г. № П/0284 "Об утверждении Требований к отчету об итогах государственной кадастровой оценки"</w:t>
      </w:r>
      <w:r w:rsidR="00CD01E6">
        <w:rPr>
          <w:sz w:val="26"/>
          <w:szCs w:val="26"/>
        </w:rPr>
        <w:t xml:space="preserve">, </w:t>
      </w:r>
      <w:r w:rsidR="00CD01E6" w:rsidRPr="008F0EDD">
        <w:rPr>
          <w:sz w:val="26"/>
          <w:szCs w:val="26"/>
        </w:rPr>
        <w:t xml:space="preserve">текстовые части, таблицы приложений к Отчету сформированы в формате Open Document для офисных приложений в версии, актуальной на дату составления Отчета, в связи с чем, с помощью программного продукта Libre Office все имеющиеся текстовые и табличные файлы в Отчете были преобразованы в формат Open Document с расширением для текстовых документов *.odt и табличных документов *.ods. </w:t>
      </w:r>
      <w:r w:rsidRPr="008F0EDD">
        <w:rPr>
          <w:sz w:val="26"/>
          <w:szCs w:val="26"/>
        </w:rPr>
        <w:t>При сохранении исходных файлов в формат Open Document появлялось предупреждение о содержании в исходных файлах возможностей, несовместимых с данным форматом. В Отчете могут быть представлены файлы как в форматах *.xls, *.xlsx, *.doc, *.docx, так и в форматах *.odt, *.ods. По причине возможности некорректного отображения некоторой информации в формате Open Document приоритетными необходимо считать файлы в формате *.xls, *.xlsx, *.doc, *.docx.</w:t>
      </w:r>
    </w:p>
    <w:p w14:paraId="7FFBD2DB" w14:textId="77777777" w:rsidR="00754F88" w:rsidRDefault="00754F88" w:rsidP="00754F88">
      <w:pPr>
        <w:pStyle w:val="1-"/>
        <w:numPr>
          <w:ilvl w:val="0"/>
          <w:numId w:val="0"/>
        </w:numPr>
        <w:tabs>
          <w:tab w:val="left" w:pos="1134"/>
        </w:tabs>
        <w:spacing w:line="276" w:lineRule="auto"/>
        <w:ind w:left="709"/>
        <w:rPr>
          <w:sz w:val="26"/>
          <w:szCs w:val="26"/>
        </w:rPr>
      </w:pPr>
    </w:p>
    <w:p w14:paraId="7AD52AE5" w14:textId="4D636254" w:rsidR="00754F88" w:rsidRPr="00F562A8" w:rsidRDefault="00754F88" w:rsidP="00754F88">
      <w:pPr>
        <w:pStyle w:val="20"/>
        <w:spacing w:line="276" w:lineRule="auto"/>
        <w:ind w:firstLine="709"/>
        <w:rPr>
          <w:rFonts w:cs="Times New Roman"/>
        </w:rPr>
      </w:pPr>
      <w:bookmarkStart w:id="36" w:name="_Toc436155401"/>
      <w:bookmarkStart w:id="37" w:name="_Toc23267571"/>
      <w:bookmarkStart w:id="38" w:name="_Toc106353464"/>
      <w:bookmarkStart w:id="39" w:name="_Toc110506930"/>
      <w:r w:rsidRPr="00F562A8">
        <w:rPr>
          <w:rFonts w:cs="Times New Roman"/>
        </w:rPr>
        <w:t>2.</w:t>
      </w:r>
      <w:r w:rsidR="00B24289">
        <w:rPr>
          <w:rFonts w:cs="Times New Roman"/>
        </w:rPr>
        <w:t>9</w:t>
      </w:r>
      <w:r w:rsidRPr="00F562A8">
        <w:rPr>
          <w:rFonts w:cs="Times New Roman"/>
        </w:rPr>
        <w:t xml:space="preserve">.2. Допущения, касающиеся качественных </w:t>
      </w:r>
      <w:bookmarkEnd w:id="34"/>
      <w:bookmarkEnd w:id="36"/>
      <w:bookmarkEnd w:id="37"/>
      <w:r w:rsidRPr="00F562A8">
        <w:rPr>
          <w:rFonts w:cs="Times New Roman"/>
        </w:rPr>
        <w:t>и количественных характеристик, а также геопривязки Объектов оценки</w:t>
      </w:r>
      <w:bookmarkEnd w:id="38"/>
      <w:bookmarkEnd w:id="39"/>
    </w:p>
    <w:p w14:paraId="5EDB7F76" w14:textId="77777777" w:rsidR="00754F88" w:rsidRPr="00F562A8" w:rsidRDefault="00754F88" w:rsidP="00754F88">
      <w:pPr>
        <w:spacing w:line="276" w:lineRule="auto"/>
        <w:rPr>
          <w:rFonts w:ascii="Times New Roman" w:hAnsi="Times New Roman" w:cs="Times New Roman"/>
          <w:sz w:val="16"/>
          <w:szCs w:val="16"/>
        </w:rPr>
      </w:pPr>
    </w:p>
    <w:p w14:paraId="25B5BDD7" w14:textId="77777777" w:rsidR="00754F88" w:rsidRPr="00DA6662" w:rsidRDefault="00754F88" w:rsidP="00754F88">
      <w:pPr>
        <w:pStyle w:val="1-"/>
        <w:numPr>
          <w:ilvl w:val="0"/>
          <w:numId w:val="7"/>
        </w:numPr>
        <w:tabs>
          <w:tab w:val="left" w:pos="1134"/>
        </w:tabs>
        <w:spacing w:line="276" w:lineRule="auto"/>
        <w:ind w:left="0" w:firstLine="709"/>
        <w:rPr>
          <w:sz w:val="26"/>
          <w:szCs w:val="26"/>
        </w:rPr>
      </w:pPr>
      <w:r w:rsidRPr="00DA6662">
        <w:rPr>
          <w:sz w:val="26"/>
          <w:szCs w:val="26"/>
        </w:rPr>
        <w:t>Возможные ошибки и опечатки в качественных и количественных характеристиках в исходном Перечне Объектов оценки не исправлялись по причине отсутствия прав у Исполнителя на внесение изменений в ЕГРН.</w:t>
      </w:r>
    </w:p>
    <w:p w14:paraId="4840B121" w14:textId="77777777" w:rsidR="00754F88" w:rsidRPr="00DA6662" w:rsidRDefault="00754F88" w:rsidP="00754F88">
      <w:pPr>
        <w:pStyle w:val="1-"/>
        <w:numPr>
          <w:ilvl w:val="0"/>
          <w:numId w:val="7"/>
        </w:numPr>
        <w:tabs>
          <w:tab w:val="left" w:pos="1134"/>
        </w:tabs>
        <w:spacing w:line="276" w:lineRule="auto"/>
        <w:ind w:left="0" w:firstLine="709"/>
        <w:rPr>
          <w:sz w:val="26"/>
          <w:szCs w:val="26"/>
        </w:rPr>
      </w:pPr>
      <w:r w:rsidRPr="00DA6662">
        <w:rPr>
          <w:sz w:val="26"/>
          <w:szCs w:val="26"/>
        </w:rPr>
        <w:t>Для идентификации Объектов оценки на территории Воронежской области (геопривязке) использовалась информация, содержащаяся в описании Объектов оценки (адрес, код ОКАТО, код КЛАДР, кадастровый квартал, кадастровый номер объекта недвижимости), а также геоинформационные слои, предоставленные Управлением Росреестра по Воронежской области. В случае выявления несоответствия адреса земельного участка описанию его местоположения (графическим данным) за основу принимался населенный пункт, в котором расположен земельный участок в соответствии с его графическими данными.</w:t>
      </w:r>
    </w:p>
    <w:p w14:paraId="74D81886" w14:textId="77777777" w:rsidR="00754F88" w:rsidRPr="00DA6662" w:rsidRDefault="00754F88" w:rsidP="00754F88">
      <w:pPr>
        <w:pStyle w:val="1-"/>
        <w:numPr>
          <w:ilvl w:val="0"/>
          <w:numId w:val="7"/>
        </w:numPr>
        <w:tabs>
          <w:tab w:val="left" w:pos="1134"/>
        </w:tabs>
        <w:spacing w:line="276" w:lineRule="auto"/>
        <w:ind w:left="0" w:firstLine="709"/>
        <w:rPr>
          <w:sz w:val="26"/>
          <w:szCs w:val="26"/>
        </w:rPr>
      </w:pPr>
      <w:r w:rsidRPr="00DA6662">
        <w:rPr>
          <w:sz w:val="26"/>
          <w:szCs w:val="26"/>
        </w:rPr>
        <w:t xml:space="preserve">Если в Перечне присутствовали объекты с отсутствующими или некорректными адресными характеристиками, что приводило к невозможности геопривязки, то в качестве характеристики местоположения Объектов оценки принималось местоположение кадастрового квартала либо кадастрового района. </w:t>
      </w:r>
    </w:p>
    <w:p w14:paraId="2131CF35" w14:textId="77777777" w:rsidR="00754F88" w:rsidRPr="00DA6662" w:rsidRDefault="00754F88" w:rsidP="00754F88">
      <w:pPr>
        <w:pStyle w:val="1-"/>
        <w:numPr>
          <w:ilvl w:val="0"/>
          <w:numId w:val="7"/>
        </w:numPr>
        <w:tabs>
          <w:tab w:val="left" w:pos="1134"/>
        </w:tabs>
        <w:spacing w:line="276" w:lineRule="auto"/>
        <w:ind w:left="0" w:firstLine="709"/>
        <w:rPr>
          <w:sz w:val="26"/>
          <w:szCs w:val="26"/>
        </w:rPr>
      </w:pPr>
      <w:r w:rsidRPr="00DA6662">
        <w:rPr>
          <w:sz w:val="26"/>
          <w:szCs w:val="26"/>
        </w:rPr>
        <w:t>Для объектов оценки в г. Воронеже и ГНП расчет значений ценообразующих факторов производился от земельного участка, в случае его отсутствия на публичной кадастровой карте - от кадастрового квартала. Для остальных населенных пунктов расчет значений ценообразующих факторов производился от центра населенного пункта.</w:t>
      </w:r>
    </w:p>
    <w:p w14:paraId="0EE6E7EB" w14:textId="77777777" w:rsidR="00754F88" w:rsidRPr="00DA6662" w:rsidRDefault="00754F88" w:rsidP="00754F88">
      <w:pPr>
        <w:pStyle w:val="1-"/>
        <w:numPr>
          <w:ilvl w:val="0"/>
          <w:numId w:val="7"/>
        </w:numPr>
        <w:tabs>
          <w:tab w:val="left" w:pos="1134"/>
        </w:tabs>
        <w:spacing w:line="276" w:lineRule="auto"/>
        <w:ind w:left="0" w:firstLine="709"/>
        <w:rPr>
          <w:sz w:val="26"/>
          <w:szCs w:val="26"/>
        </w:rPr>
      </w:pPr>
      <w:r w:rsidRPr="00DA6662">
        <w:rPr>
          <w:sz w:val="26"/>
          <w:szCs w:val="26"/>
        </w:rPr>
        <w:t>При проведении государственной кадастровой оценки Исполнитель исходил из допущения, что Объекты оценки являются типичными и схожими с объектами-аналогами, представленными на рынке, имеют схожие характеристики, что позволило провести группировку. Иными словами, при определении кадастровой стоимости не учитывались уникальные характеристики каждого конкретного Объекта оценки, если данные характеристики не были предоставлены в Перечне Объектов оценки.</w:t>
      </w:r>
    </w:p>
    <w:p w14:paraId="4B5BD6AC" w14:textId="77777777" w:rsidR="00754F88" w:rsidRPr="00DA6662" w:rsidRDefault="00754F88" w:rsidP="00754F88">
      <w:pPr>
        <w:pStyle w:val="1-"/>
        <w:numPr>
          <w:ilvl w:val="0"/>
          <w:numId w:val="7"/>
        </w:numPr>
        <w:tabs>
          <w:tab w:val="left" w:pos="1134"/>
        </w:tabs>
        <w:spacing w:line="276" w:lineRule="auto"/>
        <w:ind w:left="0" w:firstLine="709"/>
        <w:rPr>
          <w:sz w:val="26"/>
          <w:szCs w:val="26"/>
        </w:rPr>
      </w:pPr>
      <w:r w:rsidRPr="00DA6662">
        <w:rPr>
          <w:sz w:val="26"/>
          <w:szCs w:val="26"/>
        </w:rPr>
        <w:t xml:space="preserve"> Группировка земельных участков производилась в соответствии с их зарегистрированным в ЕГРН видом разрешенного использования.</w:t>
      </w:r>
    </w:p>
    <w:p w14:paraId="1D475615" w14:textId="77777777" w:rsidR="00754F88" w:rsidRPr="007355D9" w:rsidRDefault="00754F88" w:rsidP="00754F88">
      <w:pPr>
        <w:pStyle w:val="1-"/>
        <w:numPr>
          <w:ilvl w:val="0"/>
          <w:numId w:val="7"/>
        </w:numPr>
        <w:tabs>
          <w:tab w:val="left" w:pos="1134"/>
        </w:tabs>
        <w:spacing w:line="276" w:lineRule="auto"/>
        <w:ind w:left="0" w:firstLine="709"/>
        <w:rPr>
          <w:sz w:val="26"/>
          <w:szCs w:val="26"/>
        </w:rPr>
      </w:pPr>
      <w:r w:rsidRPr="007355D9">
        <w:rPr>
          <w:sz w:val="26"/>
          <w:szCs w:val="26"/>
        </w:rPr>
        <w:t>Согласно п. 60.1.1 Методических указаний о государственной кадастровой оценке группировка земельных участков группировка земельных участков жилой застройки, земельных участков, предназначенных для ведения садоводства и огородничества, для целей Указаний предполагает разделение земельных участков рассматриваемых сегментов в субъекте Российской Федерации на следующие группы:</w:t>
      </w:r>
    </w:p>
    <w:p w14:paraId="54BE360D" w14:textId="77777777" w:rsidR="00754F88" w:rsidRPr="007355D9" w:rsidRDefault="00754F88" w:rsidP="00C1026B">
      <w:pPr>
        <w:pStyle w:val="1-"/>
        <w:numPr>
          <w:ilvl w:val="0"/>
          <w:numId w:val="14"/>
        </w:numPr>
        <w:tabs>
          <w:tab w:val="left" w:pos="1134"/>
        </w:tabs>
        <w:spacing w:line="276" w:lineRule="auto"/>
        <w:rPr>
          <w:sz w:val="26"/>
          <w:szCs w:val="26"/>
        </w:rPr>
      </w:pPr>
      <w:bookmarkStart w:id="40" w:name="P639"/>
      <w:bookmarkEnd w:id="40"/>
      <w:r w:rsidRPr="007355D9">
        <w:rPr>
          <w:sz w:val="26"/>
          <w:szCs w:val="26"/>
        </w:rPr>
        <w:t>земельные участки, на которых расположены многоэтажные многоквартирные жилые дома;</w:t>
      </w:r>
    </w:p>
    <w:p w14:paraId="202C6312" w14:textId="77777777" w:rsidR="00754F88" w:rsidRPr="007355D9" w:rsidRDefault="00754F88" w:rsidP="00C1026B">
      <w:pPr>
        <w:pStyle w:val="1-"/>
        <w:numPr>
          <w:ilvl w:val="0"/>
          <w:numId w:val="14"/>
        </w:numPr>
        <w:tabs>
          <w:tab w:val="left" w:pos="1134"/>
        </w:tabs>
        <w:spacing w:line="276" w:lineRule="auto"/>
        <w:rPr>
          <w:sz w:val="26"/>
          <w:szCs w:val="26"/>
        </w:rPr>
      </w:pPr>
      <w:bookmarkStart w:id="41" w:name="P640"/>
      <w:bookmarkEnd w:id="41"/>
      <w:r w:rsidRPr="007355D9">
        <w:rPr>
          <w:sz w:val="26"/>
          <w:szCs w:val="26"/>
        </w:rPr>
        <w:t>земельные участки, на которых расположены среднеэтажные многоквартирные жилые дома;</w:t>
      </w:r>
    </w:p>
    <w:p w14:paraId="61E174EA" w14:textId="77777777" w:rsidR="00754F88" w:rsidRPr="007355D9" w:rsidRDefault="00754F88" w:rsidP="00C1026B">
      <w:pPr>
        <w:pStyle w:val="1-"/>
        <w:numPr>
          <w:ilvl w:val="0"/>
          <w:numId w:val="14"/>
        </w:numPr>
        <w:tabs>
          <w:tab w:val="left" w:pos="1134"/>
        </w:tabs>
        <w:spacing w:line="276" w:lineRule="auto"/>
        <w:rPr>
          <w:sz w:val="26"/>
          <w:szCs w:val="26"/>
        </w:rPr>
      </w:pPr>
      <w:r w:rsidRPr="007355D9">
        <w:rPr>
          <w:sz w:val="26"/>
          <w:szCs w:val="26"/>
        </w:rPr>
        <w:t>земельные участки, на которых расположены блокированные жилые дома;</w:t>
      </w:r>
    </w:p>
    <w:p w14:paraId="214F2ADF" w14:textId="77777777" w:rsidR="00754F88" w:rsidRPr="007355D9" w:rsidRDefault="00754F88" w:rsidP="00C1026B">
      <w:pPr>
        <w:pStyle w:val="1-"/>
        <w:numPr>
          <w:ilvl w:val="0"/>
          <w:numId w:val="14"/>
        </w:numPr>
        <w:tabs>
          <w:tab w:val="left" w:pos="1134"/>
        </w:tabs>
        <w:spacing w:line="276" w:lineRule="auto"/>
        <w:rPr>
          <w:sz w:val="26"/>
          <w:szCs w:val="26"/>
        </w:rPr>
      </w:pPr>
      <w:r w:rsidRPr="007355D9">
        <w:rPr>
          <w:sz w:val="26"/>
          <w:szCs w:val="26"/>
        </w:rPr>
        <w:t xml:space="preserve">земельные участки, на которых расположены многоквартирные жилые дома, не указанные в </w:t>
      </w:r>
      <w:hyperlink w:anchor="P639" w:history="1">
        <w:r w:rsidRPr="007355D9">
          <w:rPr>
            <w:sz w:val="26"/>
            <w:szCs w:val="26"/>
          </w:rPr>
          <w:t>подпунктах 1</w:t>
        </w:r>
      </w:hyperlink>
      <w:r w:rsidRPr="007355D9">
        <w:rPr>
          <w:sz w:val="26"/>
          <w:szCs w:val="26"/>
        </w:rPr>
        <w:t xml:space="preserve"> и </w:t>
      </w:r>
      <w:hyperlink w:anchor="P640" w:history="1">
        <w:r w:rsidRPr="007355D9">
          <w:rPr>
            <w:sz w:val="26"/>
            <w:szCs w:val="26"/>
          </w:rPr>
          <w:t>2</w:t>
        </w:r>
      </w:hyperlink>
      <w:r w:rsidRPr="007355D9">
        <w:rPr>
          <w:sz w:val="26"/>
          <w:szCs w:val="26"/>
        </w:rPr>
        <w:t xml:space="preserve"> настоящего пункта;</w:t>
      </w:r>
    </w:p>
    <w:p w14:paraId="752C7C22" w14:textId="77777777" w:rsidR="00754F88" w:rsidRPr="007355D9" w:rsidRDefault="00754F88" w:rsidP="00C1026B">
      <w:pPr>
        <w:pStyle w:val="1-"/>
        <w:numPr>
          <w:ilvl w:val="0"/>
          <w:numId w:val="14"/>
        </w:numPr>
        <w:tabs>
          <w:tab w:val="left" w:pos="1134"/>
        </w:tabs>
        <w:spacing w:line="276" w:lineRule="auto"/>
        <w:rPr>
          <w:sz w:val="26"/>
          <w:szCs w:val="26"/>
        </w:rPr>
      </w:pPr>
      <w:r w:rsidRPr="007355D9">
        <w:rPr>
          <w:sz w:val="26"/>
          <w:szCs w:val="26"/>
        </w:rPr>
        <w:t>земельные участки, на которых расположены индивидуальные жилые дома;</w:t>
      </w:r>
    </w:p>
    <w:p w14:paraId="46A31D5C" w14:textId="77777777" w:rsidR="00754F88" w:rsidRPr="007355D9" w:rsidRDefault="00754F88" w:rsidP="00C1026B">
      <w:pPr>
        <w:pStyle w:val="1-"/>
        <w:numPr>
          <w:ilvl w:val="0"/>
          <w:numId w:val="14"/>
        </w:numPr>
        <w:tabs>
          <w:tab w:val="left" w:pos="1134"/>
        </w:tabs>
        <w:spacing w:line="276" w:lineRule="auto"/>
        <w:rPr>
          <w:sz w:val="26"/>
          <w:szCs w:val="26"/>
        </w:rPr>
      </w:pPr>
      <w:r w:rsidRPr="007355D9">
        <w:rPr>
          <w:sz w:val="26"/>
          <w:szCs w:val="26"/>
        </w:rPr>
        <w:t>земельные участки, предназначенные для ведения личного подсобного хозяйства с правом застройки (приусадебные земельные участки);</w:t>
      </w:r>
    </w:p>
    <w:p w14:paraId="7AAA39BF" w14:textId="77777777" w:rsidR="00754F88" w:rsidRPr="007355D9" w:rsidRDefault="00754F88" w:rsidP="00C1026B">
      <w:pPr>
        <w:pStyle w:val="1-"/>
        <w:numPr>
          <w:ilvl w:val="0"/>
          <w:numId w:val="14"/>
        </w:numPr>
        <w:tabs>
          <w:tab w:val="left" w:pos="1134"/>
        </w:tabs>
        <w:spacing w:line="276" w:lineRule="auto"/>
        <w:rPr>
          <w:sz w:val="26"/>
          <w:szCs w:val="26"/>
        </w:rPr>
      </w:pPr>
      <w:r w:rsidRPr="007355D9">
        <w:rPr>
          <w:sz w:val="26"/>
          <w:szCs w:val="26"/>
        </w:rPr>
        <w:t>садовые земельные участки;</w:t>
      </w:r>
    </w:p>
    <w:p w14:paraId="6F7640BB" w14:textId="77777777" w:rsidR="00754F88" w:rsidRPr="007355D9" w:rsidRDefault="00754F88" w:rsidP="00C1026B">
      <w:pPr>
        <w:pStyle w:val="1-"/>
        <w:numPr>
          <w:ilvl w:val="0"/>
          <w:numId w:val="14"/>
        </w:numPr>
        <w:tabs>
          <w:tab w:val="left" w:pos="1134"/>
        </w:tabs>
        <w:spacing w:line="276" w:lineRule="auto"/>
        <w:rPr>
          <w:sz w:val="26"/>
          <w:szCs w:val="26"/>
        </w:rPr>
      </w:pPr>
      <w:r w:rsidRPr="007355D9">
        <w:rPr>
          <w:sz w:val="26"/>
          <w:szCs w:val="26"/>
        </w:rPr>
        <w:t>огородные земельные участки.</w:t>
      </w:r>
    </w:p>
    <w:p w14:paraId="269E38F3" w14:textId="77777777" w:rsidR="00754F88" w:rsidRPr="007355D9" w:rsidRDefault="00754F88" w:rsidP="00754F88">
      <w:pPr>
        <w:pStyle w:val="1-"/>
        <w:numPr>
          <w:ilvl w:val="0"/>
          <w:numId w:val="0"/>
        </w:numPr>
        <w:tabs>
          <w:tab w:val="left" w:pos="1134"/>
        </w:tabs>
        <w:spacing w:line="276" w:lineRule="auto"/>
        <w:ind w:firstLine="709"/>
        <w:rPr>
          <w:sz w:val="26"/>
          <w:szCs w:val="26"/>
        </w:rPr>
      </w:pPr>
      <w:r w:rsidRPr="007355D9">
        <w:rPr>
          <w:sz w:val="26"/>
          <w:szCs w:val="26"/>
        </w:rPr>
        <w:t>В случае идентичности ценообразующих факторов группы могут быть объединены.</w:t>
      </w:r>
    </w:p>
    <w:p w14:paraId="1EFB953A" w14:textId="77777777" w:rsidR="00754F88" w:rsidRPr="007355D9" w:rsidRDefault="00754F88" w:rsidP="00754F88">
      <w:pPr>
        <w:pStyle w:val="1-"/>
        <w:numPr>
          <w:ilvl w:val="0"/>
          <w:numId w:val="0"/>
        </w:numPr>
        <w:tabs>
          <w:tab w:val="left" w:pos="1134"/>
        </w:tabs>
        <w:spacing w:line="276" w:lineRule="auto"/>
        <w:ind w:firstLine="709"/>
        <w:rPr>
          <w:sz w:val="26"/>
          <w:szCs w:val="26"/>
        </w:rPr>
      </w:pPr>
      <w:r w:rsidRPr="007355D9">
        <w:rPr>
          <w:sz w:val="26"/>
          <w:szCs w:val="26"/>
        </w:rPr>
        <w:t>Согласно Приказу Федеральной службы государственной регистрации, кадастра и картографии от 10 ноября 2020 года № П/0412 «Об утверждении классификатора видов разрешенного использования земельных участков» для кода вида разрешенного использования земельных участков 2.2 «для ведения личного подсобного хозяйства (приусадебный земельный участок)» в описании вида разрешенного использования земельных участков указано, что для земельных участков с указанным видом разрешенного использования возможно размещение на участке следующих объектов:</w:t>
      </w:r>
    </w:p>
    <w:p w14:paraId="34988878" w14:textId="77777777" w:rsidR="00754F88" w:rsidRPr="007355D9" w:rsidRDefault="00754F88" w:rsidP="00C1026B">
      <w:pPr>
        <w:pStyle w:val="1-"/>
        <w:numPr>
          <w:ilvl w:val="0"/>
          <w:numId w:val="8"/>
        </w:numPr>
        <w:tabs>
          <w:tab w:val="left" w:pos="1134"/>
        </w:tabs>
        <w:spacing w:line="276" w:lineRule="auto"/>
        <w:ind w:left="0" w:firstLine="1069"/>
        <w:rPr>
          <w:sz w:val="26"/>
          <w:szCs w:val="26"/>
        </w:rPr>
      </w:pPr>
      <w:r w:rsidRPr="007355D9">
        <w:rPr>
          <w:sz w:val="26"/>
          <w:szCs w:val="26"/>
        </w:rPr>
        <w:t xml:space="preserve">размещение жилого дома, указанного в описании вида разрешенного использования с </w:t>
      </w:r>
      <w:hyperlink w:anchor="P130" w:history="1">
        <w:r w:rsidRPr="007355D9">
          <w:rPr>
            <w:sz w:val="26"/>
            <w:szCs w:val="26"/>
          </w:rPr>
          <w:t>кодом 2.1</w:t>
        </w:r>
      </w:hyperlink>
      <w:r w:rsidRPr="007355D9">
        <w:rPr>
          <w:sz w:val="26"/>
          <w:szCs w:val="26"/>
        </w:rPr>
        <w:t>;</w:t>
      </w:r>
    </w:p>
    <w:p w14:paraId="5AB8387C" w14:textId="77777777" w:rsidR="00754F88" w:rsidRPr="007355D9" w:rsidRDefault="00754F88" w:rsidP="00C1026B">
      <w:pPr>
        <w:pStyle w:val="1-"/>
        <w:numPr>
          <w:ilvl w:val="0"/>
          <w:numId w:val="8"/>
        </w:numPr>
        <w:tabs>
          <w:tab w:val="left" w:pos="1134"/>
        </w:tabs>
        <w:spacing w:line="276" w:lineRule="auto"/>
        <w:rPr>
          <w:sz w:val="26"/>
          <w:szCs w:val="26"/>
        </w:rPr>
      </w:pPr>
      <w:r w:rsidRPr="007355D9">
        <w:rPr>
          <w:sz w:val="26"/>
          <w:szCs w:val="26"/>
        </w:rPr>
        <w:t>производство сельскохозяйственной продукции;</w:t>
      </w:r>
    </w:p>
    <w:p w14:paraId="685BE588" w14:textId="77777777" w:rsidR="00754F88" w:rsidRPr="007355D9" w:rsidRDefault="00754F88" w:rsidP="00C1026B">
      <w:pPr>
        <w:pStyle w:val="1-"/>
        <w:numPr>
          <w:ilvl w:val="0"/>
          <w:numId w:val="8"/>
        </w:numPr>
        <w:tabs>
          <w:tab w:val="left" w:pos="1134"/>
        </w:tabs>
        <w:spacing w:line="276" w:lineRule="auto"/>
        <w:rPr>
          <w:sz w:val="26"/>
          <w:szCs w:val="26"/>
        </w:rPr>
      </w:pPr>
      <w:r w:rsidRPr="007355D9">
        <w:rPr>
          <w:sz w:val="26"/>
          <w:szCs w:val="26"/>
        </w:rPr>
        <w:t xml:space="preserve">размещение гаража и иных вспомогательных сооружений; </w:t>
      </w:r>
    </w:p>
    <w:p w14:paraId="28816F3F" w14:textId="77777777" w:rsidR="00754F88" w:rsidRPr="007355D9" w:rsidRDefault="00754F88" w:rsidP="00C1026B">
      <w:pPr>
        <w:pStyle w:val="1-"/>
        <w:numPr>
          <w:ilvl w:val="0"/>
          <w:numId w:val="8"/>
        </w:numPr>
        <w:tabs>
          <w:tab w:val="left" w:pos="1134"/>
        </w:tabs>
        <w:spacing w:line="276" w:lineRule="auto"/>
        <w:rPr>
          <w:sz w:val="26"/>
          <w:szCs w:val="26"/>
        </w:rPr>
      </w:pPr>
      <w:r w:rsidRPr="007355D9">
        <w:rPr>
          <w:sz w:val="26"/>
          <w:szCs w:val="26"/>
        </w:rPr>
        <w:t>содержание сельскохозяйственных животных.</w:t>
      </w:r>
    </w:p>
    <w:p w14:paraId="08957964" w14:textId="4F522D02" w:rsidR="00754F88" w:rsidRPr="007355D9" w:rsidRDefault="00754F88" w:rsidP="00754F88">
      <w:pPr>
        <w:pStyle w:val="1-"/>
        <w:numPr>
          <w:ilvl w:val="0"/>
          <w:numId w:val="0"/>
        </w:numPr>
        <w:tabs>
          <w:tab w:val="left" w:pos="1134"/>
        </w:tabs>
        <w:spacing w:line="276" w:lineRule="auto"/>
        <w:ind w:firstLine="709"/>
        <w:rPr>
          <w:sz w:val="26"/>
          <w:szCs w:val="26"/>
        </w:rPr>
      </w:pPr>
      <w:r w:rsidRPr="007355D9">
        <w:rPr>
          <w:sz w:val="26"/>
          <w:szCs w:val="26"/>
        </w:rPr>
        <w:t xml:space="preserve"> По своей сути, данный вид разрешенного использования практически повторяет вид использования 2.1. «для индивидуального жилищного строительства», поэтому в рамках данного отчета было принято решение объединить указанные виды использования в одну группу и проводить для них единый расчет. Т.е. </w:t>
      </w:r>
      <w:r w:rsidR="003E67B8">
        <w:rPr>
          <w:sz w:val="26"/>
          <w:szCs w:val="26"/>
        </w:rPr>
        <w:t xml:space="preserve">Расчет кадастровой стоимости земельных участков </w:t>
      </w:r>
      <w:r w:rsidRPr="007355D9">
        <w:rPr>
          <w:sz w:val="26"/>
          <w:szCs w:val="26"/>
        </w:rPr>
        <w:t xml:space="preserve">с кодами расчета видов использования: 02:010, 02:011, 02:013, 02:014, 02:020, 02:021, 02:030, 02:031 проводился с использованием единого метода расчета. </w:t>
      </w:r>
    </w:p>
    <w:p w14:paraId="0D2C6274" w14:textId="77777777" w:rsidR="00AE4F4B" w:rsidRPr="00AE4F4B" w:rsidRDefault="00AE4F4B" w:rsidP="00AE4F4B">
      <w:pPr>
        <w:pStyle w:val="1-"/>
        <w:numPr>
          <w:ilvl w:val="0"/>
          <w:numId w:val="0"/>
        </w:numPr>
        <w:tabs>
          <w:tab w:val="left" w:pos="1134"/>
        </w:tabs>
        <w:spacing w:line="276" w:lineRule="auto"/>
        <w:ind w:firstLine="709"/>
        <w:rPr>
          <w:sz w:val="26"/>
          <w:szCs w:val="26"/>
        </w:rPr>
      </w:pPr>
      <w:r w:rsidRPr="007355D9">
        <w:rPr>
          <w:sz w:val="26"/>
          <w:szCs w:val="26"/>
        </w:rPr>
        <w:t xml:space="preserve">Данное объединение </w:t>
      </w:r>
      <w:r w:rsidRPr="00AE4F4B">
        <w:rPr>
          <w:sz w:val="26"/>
          <w:szCs w:val="26"/>
        </w:rPr>
        <w:t>необходимо, чтобы избежать различия в УПКС для земельных участков, расположенных на одной улице и различающихся только видом разрешенного использования.</w:t>
      </w:r>
    </w:p>
    <w:p w14:paraId="7AC9B801" w14:textId="72E96788" w:rsidR="00AE4F4B" w:rsidRPr="00AE4F4B" w:rsidRDefault="00AE4F4B" w:rsidP="00AE4F4B">
      <w:pPr>
        <w:pStyle w:val="1-"/>
        <w:numPr>
          <w:ilvl w:val="0"/>
          <w:numId w:val="34"/>
        </w:numPr>
        <w:tabs>
          <w:tab w:val="left" w:pos="1134"/>
        </w:tabs>
        <w:spacing w:line="276" w:lineRule="auto"/>
        <w:ind w:left="0" w:firstLine="709"/>
        <w:rPr>
          <w:sz w:val="26"/>
          <w:szCs w:val="26"/>
        </w:rPr>
      </w:pPr>
      <w:r w:rsidRPr="00AE4F4B">
        <w:rPr>
          <w:sz w:val="26"/>
          <w:szCs w:val="26"/>
        </w:rPr>
        <w:t xml:space="preserve">Информация об Объектах оценки, стоимость которых установлена по решению суда (или комиссии по рассмотрению споров о результатах определения кадастровой стоимости), принималась по данным, содержащимся в ЕГРН по состоянию на дату определения кадастровой стоимости. При отсутствии в ЕГРН таких сведений, использовалась информация из иных источников (сведения об оспоренных объектах располагаются в Приложении </w:t>
      </w:r>
      <w:r w:rsidR="00C33E5F">
        <w:rPr>
          <w:sz w:val="26"/>
          <w:szCs w:val="26"/>
        </w:rPr>
        <w:t>1/</w:t>
      </w:r>
      <w:r w:rsidRPr="00AE4F4B">
        <w:rPr>
          <w:sz w:val="26"/>
          <w:szCs w:val="26"/>
        </w:rPr>
        <w:t>1.2</w:t>
      </w:r>
      <w:r w:rsidR="00F42443">
        <w:rPr>
          <w:sz w:val="26"/>
          <w:szCs w:val="26"/>
        </w:rPr>
        <w:t>/1.2.3</w:t>
      </w:r>
      <w:r w:rsidRPr="00AE4F4B">
        <w:rPr>
          <w:sz w:val="26"/>
          <w:szCs w:val="26"/>
        </w:rPr>
        <w:t xml:space="preserve"> настоящего отчета).</w:t>
      </w:r>
    </w:p>
    <w:p w14:paraId="27A50396" w14:textId="131F76EF" w:rsidR="00AE4F4B" w:rsidRPr="00AE4F4B" w:rsidRDefault="00AE4F4B" w:rsidP="00AE4F4B">
      <w:pPr>
        <w:pStyle w:val="1-"/>
        <w:numPr>
          <w:ilvl w:val="0"/>
          <w:numId w:val="34"/>
        </w:numPr>
        <w:tabs>
          <w:tab w:val="left" w:pos="1134"/>
        </w:tabs>
        <w:spacing w:line="276" w:lineRule="auto"/>
        <w:ind w:left="0" w:firstLine="709"/>
        <w:rPr>
          <w:sz w:val="26"/>
          <w:szCs w:val="26"/>
        </w:rPr>
      </w:pPr>
      <w:r w:rsidRPr="00AE4F4B">
        <w:rPr>
          <w:sz w:val="26"/>
          <w:szCs w:val="26"/>
        </w:rPr>
        <w:t xml:space="preserve">Для земельных участков группы 01:130, на которых расположены обособленные водные объекты, главным ценовым параметром для оценки кадастровой стоимости является площадь водоема (зеркало пруда). В связи с этим, площадь водоемов определялась визуально по космическим снимкам ПКК. При полном покрытии земельного </w:t>
      </w:r>
      <w:r w:rsidRPr="00C66FA3">
        <w:rPr>
          <w:sz w:val="26"/>
          <w:szCs w:val="26"/>
        </w:rPr>
        <w:t xml:space="preserve">участка водоемом, идентифицируемом по ПКК, площадь зеркала пруда принималась равной площади земельного участка. </w:t>
      </w:r>
      <w:r w:rsidR="00C66FA3" w:rsidRPr="00C66FA3">
        <w:rPr>
          <w:sz w:val="26"/>
          <w:szCs w:val="26"/>
        </w:rPr>
        <w:t xml:space="preserve">Скрин-образы </w:t>
      </w:r>
      <w:r w:rsidR="00417E84">
        <w:rPr>
          <w:sz w:val="26"/>
          <w:szCs w:val="26"/>
        </w:rPr>
        <w:t xml:space="preserve">площади </w:t>
      </w:r>
      <w:r w:rsidR="00C66FA3" w:rsidRPr="00C66FA3">
        <w:rPr>
          <w:sz w:val="26"/>
          <w:szCs w:val="26"/>
        </w:rPr>
        <w:t>водного зеркала</w:t>
      </w:r>
      <w:r w:rsidRPr="00C66FA3">
        <w:rPr>
          <w:sz w:val="26"/>
          <w:szCs w:val="26"/>
        </w:rPr>
        <w:t xml:space="preserve"> пруда приведены в приложении </w:t>
      </w:r>
      <w:r w:rsidR="00C66FA3" w:rsidRPr="00C66FA3">
        <w:rPr>
          <w:sz w:val="26"/>
          <w:szCs w:val="26"/>
        </w:rPr>
        <w:t>2</w:t>
      </w:r>
      <w:r w:rsidRPr="00C66FA3">
        <w:rPr>
          <w:sz w:val="26"/>
          <w:szCs w:val="26"/>
        </w:rPr>
        <w:t>/</w:t>
      </w:r>
      <w:r w:rsidR="00C66FA3" w:rsidRPr="00C66FA3">
        <w:rPr>
          <w:sz w:val="26"/>
          <w:szCs w:val="26"/>
        </w:rPr>
        <w:t>2.4/2.4.11.</w:t>
      </w:r>
    </w:p>
    <w:p w14:paraId="008769D6" w14:textId="397D1D3E" w:rsidR="00AE4F4B" w:rsidRPr="00AE4F4B" w:rsidRDefault="00AE4F4B" w:rsidP="00AE4F4B">
      <w:pPr>
        <w:pStyle w:val="1-"/>
        <w:numPr>
          <w:ilvl w:val="0"/>
          <w:numId w:val="34"/>
        </w:numPr>
        <w:tabs>
          <w:tab w:val="left" w:pos="1134"/>
        </w:tabs>
        <w:spacing w:line="276" w:lineRule="auto"/>
        <w:ind w:left="0" w:firstLine="709"/>
        <w:rPr>
          <w:sz w:val="26"/>
          <w:szCs w:val="26"/>
        </w:rPr>
      </w:pPr>
      <w:r w:rsidRPr="00AE4F4B">
        <w:rPr>
          <w:sz w:val="26"/>
          <w:szCs w:val="26"/>
        </w:rPr>
        <w:t>В рамках подготовки к проведению государственной кадастровой оценки Учреждением были направлены запросы о предоставлении недостающей информации об объектах недвижимости, необходимой для определения кадастровой стоимости, в федеральные органы власти, а также  организации, подведомственные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ценообразования и сметного нормирования в сфере градостроительной деятельности, в сфере земельных отношений, государственного мониторинга земель, изучения, использования, воспроизводства и охраны природных ресурсов, органы исполнительной власти субъекта Российской Федерации и органы местного самоуправления, а также в подведомственные им организации. Перечень запросов представлен в Приложении 1/1.</w:t>
      </w:r>
      <w:r w:rsidR="000527C8">
        <w:rPr>
          <w:sz w:val="26"/>
          <w:szCs w:val="26"/>
        </w:rPr>
        <w:t>2</w:t>
      </w:r>
      <w:r w:rsidR="00EE12ED">
        <w:rPr>
          <w:sz w:val="26"/>
          <w:szCs w:val="26"/>
        </w:rPr>
        <w:t>/1.2.1</w:t>
      </w:r>
      <w:r w:rsidRPr="00AE4F4B">
        <w:rPr>
          <w:sz w:val="26"/>
          <w:szCs w:val="26"/>
        </w:rPr>
        <w:t>.</w:t>
      </w:r>
    </w:p>
    <w:p w14:paraId="7465B072" w14:textId="77777777" w:rsidR="00754F88" w:rsidRPr="004F0767" w:rsidRDefault="00754F88" w:rsidP="003D478C">
      <w:pPr>
        <w:pStyle w:val="1-"/>
        <w:numPr>
          <w:ilvl w:val="0"/>
          <w:numId w:val="34"/>
        </w:numPr>
        <w:tabs>
          <w:tab w:val="left" w:pos="1134"/>
        </w:tabs>
        <w:spacing w:line="276" w:lineRule="auto"/>
        <w:ind w:left="0" w:firstLine="709"/>
        <w:rPr>
          <w:sz w:val="26"/>
          <w:szCs w:val="26"/>
        </w:rPr>
      </w:pPr>
      <w:r w:rsidRPr="004F0767">
        <w:rPr>
          <w:sz w:val="26"/>
          <w:szCs w:val="26"/>
        </w:rPr>
        <w:t>Графические значения ценообразующих факторов с признаком «расстояние» (например, расстояние от населенного пункта, в котором находится объект оценки, до областного центра, автодорог и т.д.) рассчитывались с использованием программы NextGIS QGIS</w:t>
      </w:r>
      <w:r w:rsidRPr="004F0767">
        <w:rPr>
          <w:sz w:val="26"/>
          <w:szCs w:val="26"/>
          <w:vertAlign w:val="superscript"/>
        </w:rPr>
        <w:footnoteReference w:id="1"/>
      </w:r>
    </w:p>
    <w:p w14:paraId="7C2EEE63" w14:textId="77777777" w:rsidR="00754F88" w:rsidRPr="004F0767" w:rsidRDefault="00754F88" w:rsidP="003D478C">
      <w:pPr>
        <w:pStyle w:val="1-"/>
        <w:numPr>
          <w:ilvl w:val="0"/>
          <w:numId w:val="29"/>
        </w:numPr>
        <w:tabs>
          <w:tab w:val="left" w:pos="1134"/>
        </w:tabs>
        <w:spacing w:line="276" w:lineRule="auto"/>
        <w:rPr>
          <w:sz w:val="26"/>
          <w:szCs w:val="26"/>
        </w:rPr>
      </w:pPr>
      <w:r w:rsidRPr="004F0767">
        <w:rPr>
          <w:sz w:val="26"/>
          <w:szCs w:val="26"/>
        </w:rPr>
        <w:t>гнп Близость к водным объектам: река, озеро, пруд и т.д.;</w:t>
      </w:r>
    </w:p>
    <w:p w14:paraId="2F7C383D" w14:textId="77777777" w:rsidR="00754F88" w:rsidRPr="004F0767" w:rsidRDefault="00754F88" w:rsidP="003D478C">
      <w:pPr>
        <w:pStyle w:val="1-"/>
        <w:numPr>
          <w:ilvl w:val="0"/>
          <w:numId w:val="29"/>
        </w:numPr>
        <w:tabs>
          <w:tab w:val="left" w:pos="1134"/>
        </w:tabs>
        <w:spacing w:line="276" w:lineRule="auto"/>
        <w:rPr>
          <w:sz w:val="26"/>
          <w:szCs w:val="26"/>
        </w:rPr>
      </w:pPr>
      <w:r w:rsidRPr="004F0767">
        <w:rPr>
          <w:sz w:val="26"/>
          <w:szCs w:val="26"/>
        </w:rPr>
        <w:t>гнп Расстояние до ближайшей автомобильной дороги населенного пункта;</w:t>
      </w:r>
    </w:p>
    <w:p w14:paraId="4B8641C5" w14:textId="77777777" w:rsidR="00754F88" w:rsidRPr="004F0767" w:rsidRDefault="00754F88" w:rsidP="003D478C">
      <w:pPr>
        <w:pStyle w:val="1-"/>
        <w:numPr>
          <w:ilvl w:val="0"/>
          <w:numId w:val="29"/>
        </w:numPr>
        <w:tabs>
          <w:tab w:val="left" w:pos="1134"/>
        </w:tabs>
        <w:spacing w:line="276" w:lineRule="auto"/>
        <w:rPr>
          <w:sz w:val="26"/>
          <w:szCs w:val="26"/>
        </w:rPr>
      </w:pPr>
      <w:r w:rsidRPr="004F0767">
        <w:rPr>
          <w:sz w:val="26"/>
          <w:szCs w:val="26"/>
        </w:rPr>
        <w:t>гнп Расстояние до ближайших ж/д вокзала, станции, платформы;</w:t>
      </w:r>
    </w:p>
    <w:p w14:paraId="7895F296" w14:textId="77777777" w:rsidR="00754F88" w:rsidRPr="004F0767" w:rsidRDefault="00754F88" w:rsidP="003D478C">
      <w:pPr>
        <w:pStyle w:val="1-"/>
        <w:numPr>
          <w:ilvl w:val="0"/>
          <w:numId w:val="29"/>
        </w:numPr>
        <w:tabs>
          <w:tab w:val="left" w:pos="1134"/>
        </w:tabs>
        <w:spacing w:line="276" w:lineRule="auto"/>
        <w:rPr>
          <w:sz w:val="26"/>
          <w:szCs w:val="26"/>
        </w:rPr>
      </w:pPr>
      <w:r w:rsidRPr="004F0767">
        <w:rPr>
          <w:sz w:val="26"/>
          <w:szCs w:val="26"/>
        </w:rPr>
        <w:t>гнп Расстояние до остановок общественного транспорта;</w:t>
      </w:r>
    </w:p>
    <w:p w14:paraId="2B886465" w14:textId="77777777" w:rsidR="00754F88" w:rsidRPr="004F0767" w:rsidRDefault="00754F88" w:rsidP="003D478C">
      <w:pPr>
        <w:pStyle w:val="1-"/>
        <w:numPr>
          <w:ilvl w:val="0"/>
          <w:numId w:val="29"/>
        </w:numPr>
        <w:tabs>
          <w:tab w:val="left" w:pos="1134"/>
        </w:tabs>
        <w:spacing w:line="276" w:lineRule="auto"/>
        <w:rPr>
          <w:sz w:val="26"/>
          <w:szCs w:val="26"/>
        </w:rPr>
      </w:pPr>
      <w:r w:rsidRPr="004F0767">
        <w:rPr>
          <w:sz w:val="26"/>
          <w:szCs w:val="26"/>
        </w:rPr>
        <w:t>гнп Расстояние объекта до историко-культурного центра;</w:t>
      </w:r>
    </w:p>
    <w:p w14:paraId="2A8052EE" w14:textId="77777777" w:rsidR="00754F88" w:rsidRPr="004F0767" w:rsidRDefault="00754F88" w:rsidP="003D478C">
      <w:pPr>
        <w:pStyle w:val="1-"/>
        <w:numPr>
          <w:ilvl w:val="0"/>
          <w:numId w:val="29"/>
        </w:numPr>
        <w:spacing w:line="276" w:lineRule="auto"/>
        <w:rPr>
          <w:sz w:val="26"/>
          <w:szCs w:val="26"/>
        </w:rPr>
      </w:pPr>
      <w:r w:rsidRPr="004F0767">
        <w:rPr>
          <w:sz w:val="26"/>
          <w:szCs w:val="26"/>
        </w:rPr>
        <w:t>гнп Расстояние объекта до локальных центров, отрицательно влияющих на стоимость объекта недвижимости;</w:t>
      </w:r>
    </w:p>
    <w:p w14:paraId="17FA3EF1" w14:textId="77777777" w:rsidR="00754F88" w:rsidRPr="004F0767" w:rsidRDefault="00754F88" w:rsidP="003D478C">
      <w:pPr>
        <w:pStyle w:val="1-"/>
        <w:numPr>
          <w:ilvl w:val="0"/>
          <w:numId w:val="29"/>
        </w:numPr>
        <w:tabs>
          <w:tab w:val="left" w:pos="1134"/>
        </w:tabs>
        <w:spacing w:line="276" w:lineRule="auto"/>
        <w:rPr>
          <w:sz w:val="26"/>
          <w:szCs w:val="26"/>
        </w:rPr>
      </w:pPr>
      <w:r w:rsidRPr="004F0767">
        <w:rPr>
          <w:sz w:val="26"/>
          <w:szCs w:val="26"/>
        </w:rPr>
        <w:t>гнп Расстояние объекта до локальных центров, положительно влияющих на стоимость объекта недвижимости;</w:t>
      </w:r>
    </w:p>
    <w:p w14:paraId="764D6C27" w14:textId="77777777" w:rsidR="00754F88" w:rsidRPr="004F0767" w:rsidRDefault="00754F88" w:rsidP="003D478C">
      <w:pPr>
        <w:pStyle w:val="1-"/>
        <w:numPr>
          <w:ilvl w:val="0"/>
          <w:numId w:val="29"/>
        </w:numPr>
        <w:tabs>
          <w:tab w:val="left" w:pos="1134"/>
        </w:tabs>
        <w:spacing w:line="276" w:lineRule="auto"/>
        <w:rPr>
          <w:sz w:val="26"/>
          <w:szCs w:val="26"/>
        </w:rPr>
      </w:pPr>
      <w:r w:rsidRPr="004F0767">
        <w:rPr>
          <w:sz w:val="26"/>
          <w:szCs w:val="26"/>
        </w:rPr>
        <w:t>гнп Расстояние объекта до общественно-делового центра;</w:t>
      </w:r>
    </w:p>
    <w:p w14:paraId="133B14BF" w14:textId="77777777" w:rsidR="00754F88" w:rsidRPr="004F0767" w:rsidRDefault="00754F88" w:rsidP="003D478C">
      <w:pPr>
        <w:pStyle w:val="1-"/>
        <w:numPr>
          <w:ilvl w:val="0"/>
          <w:numId w:val="29"/>
        </w:numPr>
        <w:tabs>
          <w:tab w:val="left" w:pos="1134"/>
        </w:tabs>
        <w:spacing w:line="276" w:lineRule="auto"/>
        <w:rPr>
          <w:sz w:val="26"/>
          <w:szCs w:val="26"/>
        </w:rPr>
      </w:pPr>
      <w:r w:rsidRPr="004F0767">
        <w:rPr>
          <w:sz w:val="26"/>
          <w:szCs w:val="26"/>
        </w:rPr>
        <w:t>гнп Расстояние объекта до центра населенного пункта;</w:t>
      </w:r>
    </w:p>
    <w:p w14:paraId="5C97B189" w14:textId="77777777" w:rsidR="00754F88" w:rsidRPr="004F0767" w:rsidRDefault="00754F88" w:rsidP="003D478C">
      <w:pPr>
        <w:pStyle w:val="1-"/>
        <w:numPr>
          <w:ilvl w:val="0"/>
          <w:numId w:val="29"/>
        </w:numPr>
        <w:tabs>
          <w:tab w:val="left" w:pos="1134"/>
        </w:tabs>
        <w:spacing w:line="276" w:lineRule="auto"/>
        <w:rPr>
          <w:sz w:val="26"/>
          <w:szCs w:val="26"/>
        </w:rPr>
      </w:pPr>
      <w:r w:rsidRPr="004F0767">
        <w:rPr>
          <w:sz w:val="26"/>
          <w:szCs w:val="26"/>
        </w:rPr>
        <w:t>гнп Центральная канализация;</w:t>
      </w:r>
    </w:p>
    <w:p w14:paraId="4282BFEB" w14:textId="77777777" w:rsidR="00754F88" w:rsidRPr="004F0767" w:rsidRDefault="00754F88" w:rsidP="003D478C">
      <w:pPr>
        <w:pStyle w:val="1-"/>
        <w:numPr>
          <w:ilvl w:val="0"/>
          <w:numId w:val="29"/>
        </w:numPr>
        <w:tabs>
          <w:tab w:val="left" w:pos="1134"/>
        </w:tabs>
        <w:spacing w:line="276" w:lineRule="auto"/>
        <w:rPr>
          <w:sz w:val="26"/>
          <w:szCs w:val="26"/>
        </w:rPr>
      </w:pPr>
      <w:r w:rsidRPr="004F0767">
        <w:rPr>
          <w:sz w:val="26"/>
          <w:szCs w:val="26"/>
        </w:rPr>
        <w:t>гнп Газоснабжение;</w:t>
      </w:r>
    </w:p>
    <w:p w14:paraId="2D096A79" w14:textId="77777777" w:rsidR="00754F88" w:rsidRPr="004F0767" w:rsidRDefault="00754F88" w:rsidP="003D478C">
      <w:pPr>
        <w:pStyle w:val="1-"/>
        <w:numPr>
          <w:ilvl w:val="0"/>
          <w:numId w:val="29"/>
        </w:numPr>
        <w:tabs>
          <w:tab w:val="left" w:pos="1134"/>
        </w:tabs>
        <w:spacing w:line="276" w:lineRule="auto"/>
        <w:rPr>
          <w:sz w:val="26"/>
          <w:szCs w:val="26"/>
        </w:rPr>
      </w:pPr>
      <w:r w:rsidRPr="004F0767">
        <w:rPr>
          <w:sz w:val="26"/>
          <w:szCs w:val="26"/>
        </w:rPr>
        <w:t>гнп Центральное водоснабжение;</w:t>
      </w:r>
    </w:p>
    <w:p w14:paraId="5D465E1A" w14:textId="77777777" w:rsidR="00754F88" w:rsidRPr="004F0767" w:rsidRDefault="00754F88" w:rsidP="003D478C">
      <w:pPr>
        <w:pStyle w:val="1-"/>
        <w:numPr>
          <w:ilvl w:val="0"/>
          <w:numId w:val="29"/>
        </w:numPr>
        <w:tabs>
          <w:tab w:val="left" w:pos="1134"/>
        </w:tabs>
        <w:spacing w:line="276" w:lineRule="auto"/>
        <w:rPr>
          <w:sz w:val="26"/>
          <w:szCs w:val="26"/>
        </w:rPr>
      </w:pPr>
      <w:r w:rsidRPr="004F0767">
        <w:rPr>
          <w:sz w:val="26"/>
          <w:szCs w:val="26"/>
        </w:rPr>
        <w:t>гнп Центральное теплоснабжение;</w:t>
      </w:r>
    </w:p>
    <w:p w14:paraId="6F94E37C" w14:textId="77777777" w:rsidR="00754F88" w:rsidRPr="004F0767" w:rsidRDefault="00754F88" w:rsidP="003D478C">
      <w:pPr>
        <w:pStyle w:val="1-"/>
        <w:numPr>
          <w:ilvl w:val="0"/>
          <w:numId w:val="29"/>
        </w:numPr>
        <w:tabs>
          <w:tab w:val="left" w:pos="1134"/>
        </w:tabs>
        <w:spacing w:line="276" w:lineRule="auto"/>
        <w:rPr>
          <w:sz w:val="26"/>
          <w:szCs w:val="26"/>
        </w:rPr>
      </w:pPr>
      <w:r w:rsidRPr="004F0767">
        <w:rPr>
          <w:sz w:val="26"/>
          <w:szCs w:val="26"/>
        </w:rPr>
        <w:t>гнп Центральное электроснабжение</w:t>
      </w:r>
    </w:p>
    <w:p w14:paraId="3DE7F64C" w14:textId="23A076B7" w:rsidR="00754F88" w:rsidRDefault="00754F88" w:rsidP="003D478C">
      <w:pPr>
        <w:pStyle w:val="1-"/>
        <w:numPr>
          <w:ilvl w:val="0"/>
          <w:numId w:val="34"/>
        </w:numPr>
        <w:tabs>
          <w:tab w:val="left" w:pos="1134"/>
        </w:tabs>
        <w:spacing w:line="276" w:lineRule="auto"/>
        <w:ind w:left="0" w:firstLine="709"/>
        <w:rPr>
          <w:sz w:val="26"/>
          <w:szCs w:val="26"/>
        </w:rPr>
      </w:pPr>
      <w:r w:rsidRPr="004F0767">
        <w:rPr>
          <w:sz w:val="26"/>
          <w:szCs w:val="26"/>
        </w:rPr>
        <w:t>В процессе анализа Перечня выявлены объекты с отсутствующей информацией о точном местоположении земельных участков, подлежащих государственной кадастровой оценке. Подобные объекты были выделены в самостоятельные группы с наименованием «</w:t>
      </w:r>
      <w:r w:rsidR="003F0568">
        <w:rPr>
          <w:sz w:val="26"/>
          <w:szCs w:val="26"/>
        </w:rPr>
        <w:t>УПКС</w:t>
      </w:r>
      <w:r w:rsidRPr="004F0767">
        <w:rPr>
          <w:sz w:val="26"/>
          <w:szCs w:val="26"/>
        </w:rPr>
        <w:t xml:space="preserve">». </w:t>
      </w:r>
    </w:p>
    <w:p w14:paraId="06E08AF8" w14:textId="77777777" w:rsidR="00754F88" w:rsidRPr="006C28BD" w:rsidRDefault="00754F88" w:rsidP="003D478C">
      <w:pPr>
        <w:pStyle w:val="1-"/>
        <w:numPr>
          <w:ilvl w:val="0"/>
          <w:numId w:val="34"/>
        </w:numPr>
        <w:tabs>
          <w:tab w:val="left" w:pos="1134"/>
        </w:tabs>
        <w:spacing w:line="276" w:lineRule="auto"/>
        <w:ind w:left="0" w:firstLine="709"/>
        <w:rPr>
          <w:sz w:val="26"/>
          <w:szCs w:val="26"/>
        </w:rPr>
      </w:pPr>
      <w:r w:rsidRPr="006C28BD">
        <w:rPr>
          <w:sz w:val="26"/>
          <w:szCs w:val="26"/>
        </w:rPr>
        <w:t xml:space="preserve">Согласно п. 2 </w:t>
      </w:r>
      <w:r>
        <w:rPr>
          <w:sz w:val="26"/>
          <w:szCs w:val="26"/>
        </w:rPr>
        <w:t>Указаний</w:t>
      </w:r>
      <w:r w:rsidRPr="006C28BD">
        <w:rPr>
          <w:sz w:val="26"/>
          <w:szCs w:val="26"/>
        </w:rPr>
        <w:t>, в качестве вида использования учитываются вид (виды) разрешенного использования, назначение или наименование объекта недвижимости, определенные (установленные) в отношении такого объекта недвижимости и содержащиеся в ЕГРН по состоянию на дату определения кадастровой стоимости.</w:t>
      </w:r>
    </w:p>
    <w:p w14:paraId="6F3FF8E6" w14:textId="77777777" w:rsidR="00754F88" w:rsidRPr="006C28BD" w:rsidRDefault="00754F88" w:rsidP="00754F88">
      <w:pPr>
        <w:pStyle w:val="ConsPlusNormal"/>
        <w:ind w:firstLine="540"/>
        <w:jc w:val="both"/>
        <w:rPr>
          <w:rFonts w:ascii="Times New Roman" w:hAnsi="Times New Roman" w:cs="Times New Roman"/>
          <w:sz w:val="26"/>
          <w:szCs w:val="26"/>
        </w:rPr>
      </w:pPr>
      <w:r w:rsidRPr="006C28BD">
        <w:rPr>
          <w:rFonts w:ascii="Times New Roman" w:hAnsi="Times New Roman" w:cs="Times New Roman"/>
          <w:sz w:val="26"/>
          <w:szCs w:val="26"/>
        </w:rPr>
        <w:t>При определении кадастровой стоимости объекта недвижимости бюджетное учреждение исходит из того, что использование такого объекта недвижимости в соответствии с его разрешенным использованием и назначением или наименованием может быть продолжено без нарушения требований земельного законодательства и законодательства в сфере градостроительной деятельности.</w:t>
      </w:r>
    </w:p>
    <w:p w14:paraId="043C813A" w14:textId="77777777" w:rsidR="00754F88" w:rsidRPr="006C28BD" w:rsidRDefault="00754F88" w:rsidP="00754F88">
      <w:pPr>
        <w:pStyle w:val="ConsPlusNormal"/>
        <w:ind w:firstLine="540"/>
        <w:jc w:val="both"/>
        <w:rPr>
          <w:rFonts w:ascii="Times New Roman" w:hAnsi="Times New Roman" w:cs="Times New Roman"/>
          <w:sz w:val="26"/>
          <w:szCs w:val="26"/>
        </w:rPr>
      </w:pPr>
      <w:r w:rsidRPr="006C28BD">
        <w:rPr>
          <w:rFonts w:ascii="Times New Roman" w:hAnsi="Times New Roman" w:cs="Times New Roman"/>
          <w:sz w:val="26"/>
          <w:szCs w:val="26"/>
        </w:rPr>
        <w:t xml:space="preserve">Определение кадастровой стоимости объекта недвижимости осуществляется на основе того из определенных (установленных) для него видов использования, который позволяет использовать его наиболее эффективно, что приводит к максимизации его стоимости (п. 8 </w:t>
      </w:r>
      <w:r>
        <w:rPr>
          <w:rFonts w:ascii="Times New Roman" w:hAnsi="Times New Roman" w:cs="Times New Roman"/>
          <w:sz w:val="26"/>
          <w:szCs w:val="26"/>
        </w:rPr>
        <w:t>Указаний</w:t>
      </w:r>
      <w:r w:rsidRPr="006C28BD">
        <w:rPr>
          <w:rFonts w:ascii="Times New Roman" w:hAnsi="Times New Roman" w:cs="Times New Roman"/>
          <w:sz w:val="26"/>
          <w:szCs w:val="26"/>
        </w:rPr>
        <w:t>).</w:t>
      </w:r>
    </w:p>
    <w:p w14:paraId="20363051" w14:textId="77777777" w:rsidR="00754F88" w:rsidRPr="006C28BD" w:rsidRDefault="00754F88" w:rsidP="00754F88">
      <w:pPr>
        <w:pStyle w:val="ConsPlusNormal"/>
        <w:ind w:firstLine="540"/>
        <w:jc w:val="both"/>
        <w:rPr>
          <w:rFonts w:ascii="Times New Roman" w:hAnsi="Times New Roman" w:cs="Times New Roman"/>
          <w:sz w:val="26"/>
          <w:szCs w:val="26"/>
        </w:rPr>
      </w:pPr>
      <w:r w:rsidRPr="006C28BD">
        <w:rPr>
          <w:rFonts w:ascii="Times New Roman" w:hAnsi="Times New Roman" w:cs="Times New Roman"/>
          <w:sz w:val="26"/>
          <w:szCs w:val="26"/>
        </w:rPr>
        <w:t xml:space="preserve">Согласно п. 11 </w:t>
      </w:r>
      <w:r>
        <w:rPr>
          <w:rFonts w:ascii="Times New Roman" w:hAnsi="Times New Roman" w:cs="Times New Roman"/>
          <w:sz w:val="26"/>
          <w:szCs w:val="26"/>
        </w:rPr>
        <w:t>Указаний</w:t>
      </w:r>
      <w:r w:rsidRPr="006C28BD">
        <w:rPr>
          <w:rFonts w:ascii="Times New Roman" w:hAnsi="Times New Roman" w:cs="Times New Roman"/>
          <w:sz w:val="26"/>
          <w:szCs w:val="26"/>
        </w:rPr>
        <w:t xml:space="preserve">, определение кадастровой стоимости осуществляется без учета обременений (ограничений) объекта недвижимости, за исключением ограничений прав на землю, возникающих в соответствии с земельным законодательством (в связи с установлением зон с особыми условиями использования территории, иными ограничениями, установленными в соответствии со </w:t>
      </w:r>
      <w:hyperlink r:id="rId48" w:history="1">
        <w:r w:rsidRPr="006C28BD">
          <w:rPr>
            <w:rFonts w:ascii="Times New Roman" w:hAnsi="Times New Roman" w:cs="Times New Roman"/>
            <w:sz w:val="26"/>
            <w:szCs w:val="26"/>
          </w:rPr>
          <w:t>статьей 56</w:t>
        </w:r>
      </w:hyperlink>
      <w:r w:rsidRPr="006C28BD">
        <w:rPr>
          <w:rFonts w:ascii="Times New Roman" w:hAnsi="Times New Roman" w:cs="Times New Roman"/>
          <w:sz w:val="26"/>
          <w:szCs w:val="26"/>
        </w:rPr>
        <w:t xml:space="preserve"> Земельного кодекса Российской Федерации).</w:t>
      </w:r>
    </w:p>
    <w:p w14:paraId="59E84746" w14:textId="77777777" w:rsidR="00754F88" w:rsidRPr="006C28BD" w:rsidRDefault="00754F88" w:rsidP="00754F88">
      <w:pPr>
        <w:pStyle w:val="ConsPlusNormal"/>
        <w:ind w:firstLine="540"/>
        <w:jc w:val="both"/>
        <w:rPr>
          <w:rFonts w:ascii="Times New Roman" w:hAnsi="Times New Roman" w:cs="Times New Roman"/>
          <w:sz w:val="26"/>
          <w:szCs w:val="26"/>
        </w:rPr>
      </w:pPr>
      <w:r w:rsidRPr="006C28BD">
        <w:rPr>
          <w:rFonts w:ascii="Times New Roman" w:hAnsi="Times New Roman" w:cs="Times New Roman"/>
          <w:sz w:val="26"/>
          <w:szCs w:val="26"/>
        </w:rPr>
        <w:t>Вместе с тем, анализируя результаты экспертных оценок, используя метод сравнения парных продаж, сделан вывод о том, что при проведении массовой оценки не представляется возможным объективно измерить влияние ограничений (обременений) на стоимость объекта оценки в каждом конкретном случае, поскольку отсутствует устойчивая зависимость (положительная/отрицательная) кадастровой стоимости от наличии ЗОУИТ. Учитывая вышеизложенное, влияние таких факторов при проведении ГКО не может быть достоверно определено (они не могут являться ценообразующим для целей кадастровой оценки), поскольку оценка такого влияния должна носить индивидуальный характер.</w:t>
      </w:r>
    </w:p>
    <w:p w14:paraId="3F033CF2" w14:textId="77777777" w:rsidR="00754F88" w:rsidRPr="006C28BD" w:rsidRDefault="00754F88" w:rsidP="00754F88">
      <w:pPr>
        <w:pStyle w:val="ConsPlusNormal"/>
        <w:ind w:firstLine="540"/>
        <w:jc w:val="both"/>
        <w:rPr>
          <w:rFonts w:ascii="Times New Roman" w:hAnsi="Times New Roman" w:cs="Times New Roman"/>
          <w:sz w:val="26"/>
          <w:szCs w:val="26"/>
        </w:rPr>
      </w:pPr>
      <w:r w:rsidRPr="006C28BD">
        <w:rPr>
          <w:rFonts w:ascii="Times New Roman" w:hAnsi="Times New Roman" w:cs="Times New Roman"/>
          <w:sz w:val="26"/>
          <w:szCs w:val="26"/>
        </w:rPr>
        <w:t>Также не представляется возможным достоверно установить степень влияния таких зон (ограничений) на возможность использования объектов оценки в каждом конкретном случае в соответствии с установленными видами разрешенного использования.</w:t>
      </w:r>
    </w:p>
    <w:p w14:paraId="7A45D4B2" w14:textId="77777777" w:rsidR="00754F88" w:rsidRPr="006C28BD" w:rsidRDefault="00754F88" w:rsidP="00754F88">
      <w:pPr>
        <w:pStyle w:val="ConsPlusNormal"/>
        <w:ind w:firstLine="540"/>
        <w:jc w:val="both"/>
        <w:rPr>
          <w:rFonts w:ascii="Times New Roman" w:hAnsi="Times New Roman" w:cs="Times New Roman"/>
          <w:sz w:val="26"/>
          <w:szCs w:val="26"/>
        </w:rPr>
      </w:pPr>
      <w:r w:rsidRPr="006C28BD">
        <w:rPr>
          <w:rFonts w:ascii="Times New Roman" w:hAnsi="Times New Roman" w:cs="Times New Roman"/>
          <w:sz w:val="26"/>
          <w:szCs w:val="26"/>
        </w:rPr>
        <w:t xml:space="preserve">В частности, это обусловлено рядом причин, таких как: </w:t>
      </w:r>
    </w:p>
    <w:p w14:paraId="63FDA720" w14:textId="77777777" w:rsidR="00754F88" w:rsidRPr="006C28BD" w:rsidRDefault="00754F88" w:rsidP="00754F88">
      <w:pPr>
        <w:pStyle w:val="ConsPlusNormal"/>
        <w:ind w:firstLine="540"/>
        <w:jc w:val="both"/>
        <w:rPr>
          <w:rFonts w:ascii="Times New Roman" w:hAnsi="Times New Roman" w:cs="Times New Roman"/>
          <w:sz w:val="26"/>
          <w:szCs w:val="26"/>
        </w:rPr>
      </w:pPr>
      <w:r w:rsidRPr="006C28BD">
        <w:rPr>
          <w:rFonts w:ascii="Times New Roman" w:hAnsi="Times New Roman" w:cs="Times New Roman"/>
          <w:sz w:val="26"/>
          <w:szCs w:val="26"/>
        </w:rPr>
        <w:t>- отсутствие в полном объеме в ЕРГН (иных доступных источниках) информации о границах, координатах и площадных характеристик зон с особыми условиями использования территории, предусмотренных ст. 105 ЗК РФ;</w:t>
      </w:r>
    </w:p>
    <w:p w14:paraId="15015736" w14:textId="77777777" w:rsidR="00754F88" w:rsidRPr="006C28BD" w:rsidRDefault="00754F88" w:rsidP="00754F88">
      <w:pPr>
        <w:pStyle w:val="ConsPlusNormal"/>
        <w:ind w:firstLine="540"/>
        <w:jc w:val="both"/>
        <w:rPr>
          <w:rFonts w:ascii="Times New Roman" w:hAnsi="Times New Roman" w:cs="Times New Roman"/>
          <w:sz w:val="26"/>
          <w:szCs w:val="26"/>
        </w:rPr>
      </w:pPr>
      <w:r w:rsidRPr="006C28BD">
        <w:rPr>
          <w:rFonts w:ascii="Times New Roman" w:hAnsi="Times New Roman" w:cs="Times New Roman"/>
          <w:sz w:val="26"/>
          <w:szCs w:val="26"/>
        </w:rPr>
        <w:t>-  отсутствие в сведениях о собранных объектах – аналогах информации об ограничениях, сервитутах ввиду нежелания продавцов уменьшать конкурентоспособность объекта продажи;</w:t>
      </w:r>
    </w:p>
    <w:p w14:paraId="6F7B6B43" w14:textId="77777777" w:rsidR="00754F88" w:rsidRPr="006C28BD" w:rsidRDefault="00754F88" w:rsidP="00754F88">
      <w:pPr>
        <w:pStyle w:val="ConsPlusNormal"/>
        <w:ind w:firstLine="540"/>
        <w:jc w:val="both"/>
        <w:rPr>
          <w:rFonts w:ascii="Times New Roman" w:hAnsi="Times New Roman" w:cs="Times New Roman"/>
          <w:sz w:val="26"/>
          <w:szCs w:val="26"/>
        </w:rPr>
      </w:pPr>
      <w:r w:rsidRPr="006C28BD">
        <w:rPr>
          <w:rFonts w:ascii="Times New Roman" w:hAnsi="Times New Roman" w:cs="Times New Roman"/>
          <w:sz w:val="26"/>
          <w:szCs w:val="26"/>
        </w:rPr>
        <w:t>-  отсутствие данных разрешительной и проектной документации (пятно застройки, градостроительный план, вид и состав планируемого к строительству объекта и пр.) в отношении земельных участков - объектов массовой оценки, предполагающих застройку, что не позволяет исключить альтернативное, полноценное использование земельных участков  (с учетом нормативов, определяющих размеры частей участков, необходимых для эксплуатации объектов застройки).</w:t>
      </w:r>
    </w:p>
    <w:p w14:paraId="6CCECF77" w14:textId="77777777" w:rsidR="00754F88" w:rsidRPr="00A778EC" w:rsidRDefault="00754F88" w:rsidP="00754F88">
      <w:pPr>
        <w:pStyle w:val="ConsPlusNormal"/>
        <w:ind w:firstLine="540"/>
        <w:jc w:val="both"/>
        <w:rPr>
          <w:rFonts w:ascii="Times New Roman" w:hAnsi="Times New Roman" w:cs="Times New Roman"/>
          <w:sz w:val="26"/>
          <w:szCs w:val="26"/>
        </w:rPr>
      </w:pPr>
      <w:r w:rsidRPr="006C28BD">
        <w:rPr>
          <w:rFonts w:ascii="Times New Roman" w:hAnsi="Times New Roman" w:cs="Times New Roman"/>
          <w:sz w:val="26"/>
          <w:szCs w:val="26"/>
        </w:rPr>
        <w:t>В этой связи</w:t>
      </w:r>
      <w:r>
        <w:rPr>
          <w:rFonts w:ascii="Times New Roman" w:hAnsi="Times New Roman" w:cs="Times New Roman"/>
          <w:sz w:val="26"/>
          <w:szCs w:val="26"/>
        </w:rPr>
        <w:t>,</w:t>
      </w:r>
      <w:r w:rsidRPr="006C28BD">
        <w:rPr>
          <w:rFonts w:ascii="Times New Roman" w:hAnsi="Times New Roman" w:cs="Times New Roman"/>
          <w:sz w:val="26"/>
          <w:szCs w:val="26"/>
        </w:rPr>
        <w:t xml:space="preserve"> в рамках настоящего Отчета следует считать, что земельные участки, имеющие ограничения (обременения), предусмотренные п. 11 </w:t>
      </w:r>
      <w:r>
        <w:rPr>
          <w:rFonts w:ascii="Times New Roman" w:hAnsi="Times New Roman" w:cs="Times New Roman"/>
          <w:sz w:val="26"/>
          <w:szCs w:val="26"/>
        </w:rPr>
        <w:t>Указаний</w:t>
      </w:r>
      <w:r w:rsidRPr="006C28BD">
        <w:rPr>
          <w:rFonts w:ascii="Times New Roman" w:hAnsi="Times New Roman" w:cs="Times New Roman"/>
          <w:sz w:val="26"/>
          <w:szCs w:val="26"/>
        </w:rPr>
        <w:t>, отсутствуют, а влияние таких ценообразующих факторов стремится к нулю, ввиду того что они одновременно могут являться как ценоповышающими, так и ценопонижающими. Таким образом, введение корректировок не требуется.</w:t>
      </w:r>
    </w:p>
    <w:p w14:paraId="54F9F83F" w14:textId="77777777" w:rsidR="00754F88" w:rsidRPr="004F0767" w:rsidRDefault="00754F88" w:rsidP="00754F88">
      <w:pPr>
        <w:pStyle w:val="1-"/>
        <w:numPr>
          <w:ilvl w:val="0"/>
          <w:numId w:val="0"/>
        </w:numPr>
        <w:tabs>
          <w:tab w:val="left" w:pos="1134"/>
        </w:tabs>
        <w:spacing w:line="276" w:lineRule="auto"/>
        <w:ind w:left="709"/>
        <w:rPr>
          <w:sz w:val="26"/>
          <w:szCs w:val="26"/>
        </w:rPr>
      </w:pPr>
    </w:p>
    <w:p w14:paraId="14B57802" w14:textId="787FCC11" w:rsidR="00754F88" w:rsidRPr="004F0767" w:rsidRDefault="00754F88" w:rsidP="00754F88">
      <w:pPr>
        <w:pStyle w:val="20"/>
        <w:spacing w:line="276" w:lineRule="auto"/>
        <w:ind w:firstLine="709"/>
        <w:rPr>
          <w:rFonts w:cs="Times New Roman"/>
          <w:sz w:val="26"/>
        </w:rPr>
      </w:pPr>
      <w:bookmarkStart w:id="42" w:name="_Toc340258560"/>
      <w:bookmarkStart w:id="43" w:name="_Toc436155402"/>
      <w:bookmarkStart w:id="44" w:name="_Toc23267572"/>
      <w:bookmarkStart w:id="45" w:name="_Toc106353465"/>
      <w:bookmarkStart w:id="46" w:name="_Toc110506931"/>
      <w:r w:rsidRPr="004F0767">
        <w:rPr>
          <w:rFonts w:cs="Times New Roman"/>
          <w:sz w:val="26"/>
        </w:rPr>
        <w:t>2.</w:t>
      </w:r>
      <w:r w:rsidR="00B24289">
        <w:rPr>
          <w:rFonts w:cs="Times New Roman"/>
          <w:sz w:val="26"/>
        </w:rPr>
        <w:t>9</w:t>
      </w:r>
      <w:r w:rsidRPr="004F0767">
        <w:rPr>
          <w:rFonts w:cs="Times New Roman"/>
          <w:sz w:val="26"/>
        </w:rPr>
        <w:t>.3. Допущения, касающиеся информации об объектах-аналогах</w:t>
      </w:r>
      <w:bookmarkEnd w:id="42"/>
      <w:bookmarkEnd w:id="43"/>
      <w:bookmarkEnd w:id="44"/>
      <w:bookmarkEnd w:id="45"/>
      <w:bookmarkEnd w:id="46"/>
    </w:p>
    <w:p w14:paraId="10C9A684" w14:textId="77777777" w:rsidR="00754F88" w:rsidRPr="004F0767" w:rsidRDefault="00754F88" w:rsidP="00754F88">
      <w:pPr>
        <w:pStyle w:val="1-"/>
        <w:numPr>
          <w:ilvl w:val="0"/>
          <w:numId w:val="0"/>
        </w:numPr>
        <w:tabs>
          <w:tab w:val="left" w:pos="1134"/>
        </w:tabs>
        <w:spacing w:line="276" w:lineRule="auto"/>
        <w:ind w:left="1287" w:hanging="360"/>
        <w:rPr>
          <w:sz w:val="16"/>
          <w:szCs w:val="16"/>
        </w:rPr>
      </w:pPr>
    </w:p>
    <w:p w14:paraId="2305DBDD" w14:textId="77777777" w:rsidR="00754F88" w:rsidRPr="004F0767" w:rsidRDefault="00754F88" w:rsidP="003D478C">
      <w:pPr>
        <w:pStyle w:val="1-"/>
        <w:numPr>
          <w:ilvl w:val="0"/>
          <w:numId w:val="35"/>
        </w:numPr>
        <w:tabs>
          <w:tab w:val="left" w:pos="1134"/>
        </w:tabs>
        <w:spacing w:line="276" w:lineRule="auto"/>
        <w:ind w:left="0" w:firstLine="709"/>
        <w:rPr>
          <w:sz w:val="26"/>
          <w:szCs w:val="26"/>
        </w:rPr>
      </w:pPr>
      <w:r w:rsidRPr="004F0767">
        <w:rPr>
          <w:sz w:val="26"/>
          <w:szCs w:val="26"/>
        </w:rPr>
        <w:t>Учреждение не гарантирует неизменность сведений, полученных при сборе рыночной информации, с течением времени и во всех возможных случаях сохраняет копии источников информации. Вместе с тем, рыночная информация, полученная Учреждением из указанных в Отчете источников, достоверность которых может быть доказана, считается достоверной для целей проведения государственной кадастровой оценки;</w:t>
      </w:r>
    </w:p>
    <w:p w14:paraId="32D072D2" w14:textId="77777777" w:rsidR="00754F88" w:rsidRPr="004F0767" w:rsidRDefault="00754F88" w:rsidP="003D478C">
      <w:pPr>
        <w:pStyle w:val="1-"/>
        <w:numPr>
          <w:ilvl w:val="0"/>
          <w:numId w:val="35"/>
        </w:numPr>
        <w:tabs>
          <w:tab w:val="left" w:pos="1134"/>
        </w:tabs>
        <w:spacing w:line="276" w:lineRule="auto"/>
        <w:ind w:left="0" w:firstLine="709"/>
        <w:rPr>
          <w:sz w:val="26"/>
          <w:szCs w:val="26"/>
        </w:rPr>
      </w:pPr>
      <w:r w:rsidRPr="004F0767">
        <w:rPr>
          <w:sz w:val="26"/>
          <w:szCs w:val="26"/>
        </w:rPr>
        <w:t>При сборе рыночной информации Учреждение не предполагает наличие каких-либо скрытых факторов, влияющих на величину стоимости объектов оценки. На Учреждении не лежит ответственность по не обнаружению подобных факторов;</w:t>
      </w:r>
    </w:p>
    <w:p w14:paraId="01D1AB59" w14:textId="77777777" w:rsidR="00754F88" w:rsidRPr="004F0767" w:rsidRDefault="00754F88" w:rsidP="003D478C">
      <w:pPr>
        <w:pStyle w:val="1-"/>
        <w:numPr>
          <w:ilvl w:val="0"/>
          <w:numId w:val="35"/>
        </w:numPr>
        <w:tabs>
          <w:tab w:val="left" w:pos="1134"/>
        </w:tabs>
        <w:spacing w:line="276" w:lineRule="auto"/>
        <w:ind w:left="0" w:firstLine="709"/>
        <w:rPr>
          <w:sz w:val="26"/>
          <w:szCs w:val="26"/>
        </w:rPr>
      </w:pPr>
      <w:r w:rsidRPr="004F0767">
        <w:rPr>
          <w:sz w:val="26"/>
          <w:szCs w:val="26"/>
        </w:rPr>
        <w:t>В случае уточнения характеристик продаваемых объектов недвижимости по телефону у продавца, Учреждение считает данную информацию достоверной и использует ее при проведении оценки;</w:t>
      </w:r>
    </w:p>
    <w:p w14:paraId="63A72CA1" w14:textId="77777777" w:rsidR="00754F88" w:rsidRPr="007355D9" w:rsidRDefault="00754F88" w:rsidP="003D478C">
      <w:pPr>
        <w:pStyle w:val="1-"/>
        <w:numPr>
          <w:ilvl w:val="0"/>
          <w:numId w:val="35"/>
        </w:numPr>
        <w:tabs>
          <w:tab w:val="left" w:pos="1134"/>
        </w:tabs>
        <w:spacing w:line="276" w:lineRule="auto"/>
        <w:ind w:left="0" w:firstLine="709"/>
        <w:rPr>
          <w:sz w:val="26"/>
          <w:szCs w:val="26"/>
        </w:rPr>
      </w:pPr>
      <w:r w:rsidRPr="007355D9">
        <w:rPr>
          <w:sz w:val="26"/>
          <w:szCs w:val="26"/>
        </w:rPr>
        <w:t>При расчёте значений ценообразующих факторов объектов-аналогов ГБУ использовал геоинформационные слои, переданные ДИЗО ВО.</w:t>
      </w:r>
    </w:p>
    <w:p w14:paraId="1F67F848" w14:textId="77777777" w:rsidR="00754F88" w:rsidRDefault="00754F88" w:rsidP="003D478C">
      <w:pPr>
        <w:pStyle w:val="1-"/>
        <w:numPr>
          <w:ilvl w:val="0"/>
          <w:numId w:val="35"/>
        </w:numPr>
        <w:tabs>
          <w:tab w:val="left" w:pos="1134"/>
        </w:tabs>
        <w:spacing w:line="276" w:lineRule="auto"/>
        <w:ind w:left="0" w:firstLine="709"/>
        <w:rPr>
          <w:sz w:val="26"/>
          <w:szCs w:val="26"/>
        </w:rPr>
      </w:pPr>
      <w:r w:rsidRPr="007355D9">
        <w:rPr>
          <w:sz w:val="26"/>
          <w:szCs w:val="26"/>
        </w:rPr>
        <w:t>Для описания исходной рыночной информации в разрезе ценообразующих</w:t>
      </w:r>
      <w:r w:rsidRPr="004F0767">
        <w:rPr>
          <w:sz w:val="26"/>
          <w:szCs w:val="26"/>
        </w:rPr>
        <w:t xml:space="preserve"> факторов, в случае отсутствия сведений о значениях ценообразующих факторов, для объектов-аналогов производилось наследование характеристик Объектов оценки.</w:t>
      </w:r>
    </w:p>
    <w:p w14:paraId="72AC99D3" w14:textId="77777777" w:rsidR="00754F88" w:rsidRPr="004F0767" w:rsidRDefault="00754F88" w:rsidP="003D478C">
      <w:pPr>
        <w:pStyle w:val="1-"/>
        <w:numPr>
          <w:ilvl w:val="0"/>
          <w:numId w:val="35"/>
        </w:numPr>
        <w:tabs>
          <w:tab w:val="left" w:pos="1134"/>
        </w:tabs>
        <w:spacing w:line="276" w:lineRule="auto"/>
        <w:ind w:left="0" w:firstLine="709"/>
        <w:rPr>
          <w:sz w:val="26"/>
          <w:szCs w:val="26"/>
        </w:rPr>
      </w:pPr>
      <w:r w:rsidRPr="002F1DB4">
        <w:rPr>
          <w:sz w:val="26"/>
          <w:szCs w:val="26"/>
        </w:rPr>
        <w:t>В связи с незначительным изменением рыночной конъюнктуры во II полугодии 2021 года, принято решение по всем сделкам с объектами недвижимости, содержащимися в Едином государственном реестре недвижимости за II полугодие 2021 года, датой совершения сделки считать 31.12.2021.</w:t>
      </w:r>
    </w:p>
    <w:p w14:paraId="62963248" w14:textId="77777777" w:rsidR="00754F88" w:rsidRPr="00762008" w:rsidRDefault="00754F88" w:rsidP="00754F88">
      <w:pPr>
        <w:pStyle w:val="1-"/>
        <w:numPr>
          <w:ilvl w:val="0"/>
          <w:numId w:val="0"/>
        </w:numPr>
        <w:tabs>
          <w:tab w:val="left" w:pos="1134"/>
        </w:tabs>
        <w:spacing w:line="276" w:lineRule="auto"/>
        <w:rPr>
          <w:sz w:val="16"/>
          <w:szCs w:val="16"/>
          <w:highlight w:val="yellow"/>
        </w:rPr>
      </w:pPr>
      <w:bookmarkStart w:id="47" w:name="_Toc436155404"/>
      <w:bookmarkStart w:id="48" w:name="_Toc23267574"/>
    </w:p>
    <w:p w14:paraId="3713CD19" w14:textId="19D24939" w:rsidR="00754F88" w:rsidRPr="004F0767" w:rsidRDefault="00754F88" w:rsidP="00754F88">
      <w:pPr>
        <w:pStyle w:val="20"/>
        <w:spacing w:line="276" w:lineRule="auto"/>
        <w:ind w:firstLine="709"/>
        <w:rPr>
          <w:rFonts w:cs="Times New Roman"/>
          <w:sz w:val="26"/>
        </w:rPr>
      </w:pPr>
      <w:bookmarkStart w:id="49" w:name="_Toc106353466"/>
      <w:bookmarkStart w:id="50" w:name="_Toc110506932"/>
      <w:r w:rsidRPr="004F0767">
        <w:rPr>
          <w:rFonts w:cs="Times New Roman"/>
          <w:sz w:val="26"/>
        </w:rPr>
        <w:t>2.</w:t>
      </w:r>
      <w:r w:rsidR="00B24289">
        <w:rPr>
          <w:rFonts w:cs="Times New Roman"/>
          <w:sz w:val="26"/>
        </w:rPr>
        <w:t>9</w:t>
      </w:r>
      <w:r w:rsidRPr="004F0767">
        <w:rPr>
          <w:rFonts w:cs="Times New Roman"/>
          <w:sz w:val="26"/>
        </w:rPr>
        <w:t xml:space="preserve">.4. Допущения, </w:t>
      </w:r>
      <w:bookmarkEnd w:id="47"/>
      <w:bookmarkEnd w:id="48"/>
      <w:r w:rsidRPr="004F0767">
        <w:rPr>
          <w:rFonts w:cs="Times New Roman"/>
          <w:sz w:val="26"/>
        </w:rPr>
        <w:t>касающиеся характеристик, методов (способов) определения кадастровой стоимости земельных участков и результатов оценки</w:t>
      </w:r>
      <w:bookmarkEnd w:id="49"/>
      <w:bookmarkEnd w:id="50"/>
    </w:p>
    <w:p w14:paraId="0DB002DD" w14:textId="77777777" w:rsidR="00754F88" w:rsidRPr="004F0767" w:rsidRDefault="00754F88" w:rsidP="00754F88">
      <w:pPr>
        <w:spacing w:line="240" w:lineRule="auto"/>
        <w:rPr>
          <w:rFonts w:ascii="Times New Roman" w:hAnsi="Times New Roman" w:cs="Times New Roman"/>
          <w:sz w:val="16"/>
          <w:szCs w:val="16"/>
        </w:rPr>
      </w:pPr>
    </w:p>
    <w:p w14:paraId="346A9667" w14:textId="77777777" w:rsidR="00754F88" w:rsidRPr="004F0767" w:rsidRDefault="00754F88" w:rsidP="003D478C">
      <w:pPr>
        <w:pStyle w:val="1-"/>
        <w:numPr>
          <w:ilvl w:val="0"/>
          <w:numId w:val="35"/>
        </w:numPr>
        <w:tabs>
          <w:tab w:val="left" w:pos="1134"/>
        </w:tabs>
        <w:spacing w:line="276" w:lineRule="auto"/>
        <w:ind w:left="0" w:firstLine="709"/>
        <w:rPr>
          <w:sz w:val="26"/>
          <w:szCs w:val="26"/>
        </w:rPr>
      </w:pPr>
      <w:r w:rsidRPr="004F0767">
        <w:rPr>
          <w:sz w:val="26"/>
          <w:szCs w:val="26"/>
        </w:rPr>
        <w:t>Расчёты, включая промежуточные, произведены в информационно-программном комплексе «Автоматизированная система оценки недвижимости (АСОН)». Итоговый результат (величина кадастровой стоимости) зависит от точности вычисления значений ценообразующих факторов моделей.</w:t>
      </w:r>
    </w:p>
    <w:p w14:paraId="7818B725" w14:textId="77777777" w:rsidR="00754F88" w:rsidRPr="004F0767" w:rsidRDefault="00754F88" w:rsidP="003D478C">
      <w:pPr>
        <w:pStyle w:val="1-"/>
        <w:numPr>
          <w:ilvl w:val="0"/>
          <w:numId w:val="35"/>
        </w:numPr>
        <w:tabs>
          <w:tab w:val="left" w:pos="1134"/>
        </w:tabs>
        <w:spacing w:line="276" w:lineRule="auto"/>
        <w:ind w:left="0" w:firstLine="709"/>
        <w:rPr>
          <w:sz w:val="26"/>
          <w:szCs w:val="26"/>
        </w:rPr>
      </w:pPr>
      <w:r w:rsidRPr="004F0767">
        <w:rPr>
          <w:sz w:val="26"/>
          <w:szCs w:val="26"/>
        </w:rPr>
        <w:t xml:space="preserve"> Итоговая величина стоимости объектов оценки выражена в рублях Российской Федерации. Все полученные результаты, включая промежуточные, округлялись до двух знаков после запятой (т.е. до копеек);</w:t>
      </w:r>
    </w:p>
    <w:p w14:paraId="6736FC74" w14:textId="77777777" w:rsidR="00754F88" w:rsidRDefault="00754F88" w:rsidP="003D478C">
      <w:pPr>
        <w:pStyle w:val="1-"/>
        <w:numPr>
          <w:ilvl w:val="0"/>
          <w:numId w:val="35"/>
        </w:numPr>
        <w:tabs>
          <w:tab w:val="left" w:pos="1134"/>
        </w:tabs>
        <w:spacing w:line="276" w:lineRule="auto"/>
        <w:ind w:left="0" w:firstLine="709"/>
        <w:rPr>
          <w:sz w:val="26"/>
          <w:szCs w:val="26"/>
        </w:rPr>
      </w:pPr>
      <w:r w:rsidRPr="007355D9">
        <w:rPr>
          <w:sz w:val="26"/>
          <w:szCs w:val="26"/>
        </w:rPr>
        <w:t xml:space="preserve"> </w:t>
      </w:r>
      <w:r>
        <w:rPr>
          <w:sz w:val="26"/>
          <w:szCs w:val="26"/>
        </w:rPr>
        <w:t>В предоставленном для оценки Перечне содержались объекты, имеющие вид разрешенного использования «болото». Приложение № 1 Методический указаний о государственной кадастровой оценке не содержит сегментацию и код расчета вида использования для земельных участков с аналогичным видом разрешенного использования. Учитывая вышеизложенное, указанным земельным участкам был присвоен код расчета вида использования 01:200 «</w:t>
      </w:r>
      <w:r w:rsidRPr="00B24164">
        <w:rPr>
          <w:sz w:val="26"/>
          <w:szCs w:val="26"/>
        </w:rPr>
        <w:t>Иной вид использования в сегменте "Сельскохозяйственное использование"</w:t>
      </w:r>
      <w:r>
        <w:rPr>
          <w:sz w:val="26"/>
          <w:szCs w:val="26"/>
        </w:rPr>
        <w:t>»</w:t>
      </w:r>
      <w:r w:rsidRPr="00B24164">
        <w:rPr>
          <w:sz w:val="26"/>
          <w:szCs w:val="26"/>
        </w:rPr>
        <w:t>, предусмотренный Методическими указаниями.</w:t>
      </w:r>
    </w:p>
    <w:p w14:paraId="437FCB47" w14:textId="77777777" w:rsidR="00754F88" w:rsidRPr="007355D9" w:rsidRDefault="00754F88" w:rsidP="003D478C">
      <w:pPr>
        <w:pStyle w:val="1-"/>
        <w:numPr>
          <w:ilvl w:val="0"/>
          <w:numId w:val="35"/>
        </w:numPr>
        <w:tabs>
          <w:tab w:val="left" w:pos="1134"/>
        </w:tabs>
        <w:spacing w:line="276" w:lineRule="auto"/>
        <w:ind w:left="0" w:firstLine="709"/>
        <w:rPr>
          <w:sz w:val="26"/>
          <w:szCs w:val="26"/>
        </w:rPr>
      </w:pPr>
      <w:r w:rsidRPr="007355D9">
        <w:rPr>
          <w:sz w:val="26"/>
          <w:szCs w:val="26"/>
        </w:rPr>
        <w:t xml:space="preserve">В рамках Отчета все полученные результаты не включают НДС (пп. 6 п. 2 ст. 146 НК РФ от 05.08.2000 № 117-ФЗ). </w:t>
      </w:r>
    </w:p>
    <w:p w14:paraId="18A6342B" w14:textId="77777777" w:rsidR="00754F88" w:rsidRPr="007355D9" w:rsidRDefault="00754F88" w:rsidP="003D478C">
      <w:pPr>
        <w:pStyle w:val="ab"/>
        <w:numPr>
          <w:ilvl w:val="0"/>
          <w:numId w:val="35"/>
        </w:numPr>
        <w:spacing w:after="0" w:line="276" w:lineRule="auto"/>
        <w:ind w:left="0" w:firstLine="851"/>
        <w:jc w:val="both"/>
        <w:rPr>
          <w:rFonts w:ascii="Times New Roman" w:eastAsiaTheme="minorEastAsia" w:hAnsi="Times New Roman" w:cs="Times New Roman"/>
          <w:color w:val="000000" w:themeColor="text1"/>
          <w:sz w:val="26"/>
          <w:szCs w:val="26"/>
        </w:rPr>
      </w:pPr>
      <w:r w:rsidRPr="007355D9">
        <w:rPr>
          <w:rFonts w:ascii="Times New Roman" w:eastAsiaTheme="minorEastAsia" w:hAnsi="Times New Roman" w:cs="Times New Roman"/>
          <w:color w:val="000000" w:themeColor="text1"/>
          <w:sz w:val="26"/>
          <w:szCs w:val="26"/>
        </w:rPr>
        <w:t xml:space="preserve">Расчет кадастровой стоимости объектов, отнесенных к группе «Благоустройство», проводился в соответствии с п. 44.2 Указаний в рамках затратного подхода, методом затрат на межевание и оформление прав на земельный участок. Расчет величины затрат на межевание и оформление прав земельные участки проведен на основании данных, предоставленных организациями, выполняющими межевание земельных участков, о средней стоимости затрат на межевание и оформление прав на земельный участок. </w:t>
      </w:r>
    </w:p>
    <w:p w14:paraId="3B2C1323" w14:textId="77777777" w:rsidR="00754F88" w:rsidRPr="007355D9" w:rsidRDefault="00754F88" w:rsidP="00754F88">
      <w:pPr>
        <w:pStyle w:val="ab"/>
        <w:spacing w:after="0" w:line="276" w:lineRule="auto"/>
        <w:ind w:left="0" w:firstLine="851"/>
        <w:jc w:val="both"/>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Кадастровая стоимость земельных участков указанной группы получена</w:t>
      </w:r>
      <w:r w:rsidRPr="007355D9">
        <w:rPr>
          <w:rFonts w:ascii="Times New Roman" w:eastAsiaTheme="minorEastAsia" w:hAnsi="Times New Roman" w:cs="Times New Roman"/>
          <w:color w:val="000000" w:themeColor="text1"/>
          <w:sz w:val="26"/>
          <w:szCs w:val="26"/>
        </w:rPr>
        <w:t xml:space="preserve"> как среднее значение предоставленных величин </w:t>
      </w:r>
      <w:r>
        <w:rPr>
          <w:rFonts w:ascii="Times New Roman" w:eastAsiaTheme="minorEastAsia" w:hAnsi="Times New Roman" w:cs="Times New Roman"/>
          <w:color w:val="000000" w:themeColor="text1"/>
          <w:sz w:val="26"/>
          <w:szCs w:val="26"/>
        </w:rPr>
        <w:t xml:space="preserve">затрат на межевание и оформление прав </w:t>
      </w:r>
      <w:r w:rsidRPr="007355D9">
        <w:rPr>
          <w:rFonts w:ascii="Times New Roman" w:eastAsiaTheme="minorEastAsia" w:hAnsi="Times New Roman" w:cs="Times New Roman"/>
          <w:color w:val="000000" w:themeColor="text1"/>
          <w:sz w:val="26"/>
          <w:szCs w:val="26"/>
        </w:rPr>
        <w:t>по всем организациям, за исключением земельных участков площадью свыше 1 000 000 кв.м.</w:t>
      </w:r>
    </w:p>
    <w:p w14:paraId="24E7046D" w14:textId="5C1CA621" w:rsidR="00754F88" w:rsidRPr="007355D9" w:rsidRDefault="00754F88" w:rsidP="00754F88">
      <w:pPr>
        <w:pStyle w:val="ab"/>
        <w:spacing w:after="0" w:line="276" w:lineRule="auto"/>
        <w:ind w:left="0" w:firstLine="851"/>
        <w:jc w:val="both"/>
        <w:rPr>
          <w:rFonts w:ascii="Times New Roman" w:eastAsiaTheme="minorEastAsia" w:hAnsi="Times New Roman" w:cs="Times New Roman"/>
          <w:color w:val="000000" w:themeColor="text1"/>
          <w:sz w:val="26"/>
          <w:szCs w:val="26"/>
        </w:rPr>
      </w:pPr>
      <w:r w:rsidRPr="007355D9">
        <w:rPr>
          <w:rFonts w:ascii="Times New Roman" w:eastAsiaTheme="minorEastAsia" w:hAnsi="Times New Roman" w:cs="Times New Roman"/>
          <w:color w:val="000000" w:themeColor="text1"/>
          <w:sz w:val="26"/>
          <w:szCs w:val="26"/>
        </w:rPr>
        <w:t xml:space="preserve">Для земельных участков </w:t>
      </w:r>
      <w:r>
        <w:rPr>
          <w:rFonts w:ascii="Times New Roman" w:eastAsiaTheme="minorEastAsia" w:hAnsi="Times New Roman" w:cs="Times New Roman"/>
          <w:color w:val="000000" w:themeColor="text1"/>
          <w:sz w:val="26"/>
          <w:szCs w:val="26"/>
        </w:rPr>
        <w:t xml:space="preserve">площадью </w:t>
      </w:r>
      <w:r w:rsidRPr="007355D9">
        <w:rPr>
          <w:rFonts w:ascii="Times New Roman" w:eastAsiaTheme="minorEastAsia" w:hAnsi="Times New Roman" w:cs="Times New Roman"/>
          <w:color w:val="000000" w:themeColor="text1"/>
          <w:sz w:val="26"/>
          <w:szCs w:val="26"/>
        </w:rPr>
        <w:t xml:space="preserve">свыше 1 000 000 кв.м </w:t>
      </w:r>
      <w:r>
        <w:rPr>
          <w:rFonts w:ascii="Times New Roman" w:eastAsiaTheme="minorEastAsia" w:hAnsi="Times New Roman" w:cs="Times New Roman"/>
          <w:color w:val="000000" w:themeColor="text1"/>
          <w:sz w:val="26"/>
          <w:szCs w:val="26"/>
        </w:rPr>
        <w:t xml:space="preserve"> </w:t>
      </w:r>
      <w:r w:rsidRPr="007355D9">
        <w:rPr>
          <w:rFonts w:ascii="Times New Roman" w:eastAsiaTheme="minorEastAsia" w:hAnsi="Times New Roman" w:cs="Times New Roman"/>
          <w:color w:val="000000" w:themeColor="text1"/>
          <w:sz w:val="26"/>
          <w:szCs w:val="26"/>
        </w:rPr>
        <w:t>величина затрат на межевание принята на основании данных</w:t>
      </w:r>
      <w:r>
        <w:rPr>
          <w:rFonts w:ascii="Times New Roman" w:eastAsiaTheme="minorEastAsia" w:hAnsi="Times New Roman" w:cs="Times New Roman"/>
          <w:color w:val="000000" w:themeColor="text1"/>
          <w:sz w:val="26"/>
          <w:szCs w:val="26"/>
        </w:rPr>
        <w:t>,</w:t>
      </w:r>
      <w:r w:rsidRPr="007355D9">
        <w:rPr>
          <w:rFonts w:ascii="Times New Roman" w:eastAsiaTheme="minorEastAsia" w:hAnsi="Times New Roman" w:cs="Times New Roman"/>
          <w:color w:val="000000" w:themeColor="text1"/>
          <w:sz w:val="26"/>
          <w:szCs w:val="26"/>
        </w:rPr>
        <w:t xml:space="preserve"> представленных «Научно-производственное предприятие «Компьютерные технологии» (Исх. №412/БЕА/22 от 21.04.2022). </w:t>
      </w:r>
      <w:r w:rsidR="003E67B8">
        <w:rPr>
          <w:rFonts w:ascii="Times New Roman" w:eastAsiaTheme="minorEastAsia" w:hAnsi="Times New Roman" w:cs="Times New Roman"/>
          <w:color w:val="000000" w:themeColor="text1"/>
          <w:sz w:val="26"/>
          <w:szCs w:val="26"/>
        </w:rPr>
        <w:t xml:space="preserve">Расчет кадастровой стоимости земельных участков </w:t>
      </w:r>
      <w:r w:rsidRPr="007355D9">
        <w:rPr>
          <w:rFonts w:ascii="Times New Roman" w:eastAsiaTheme="minorEastAsia" w:hAnsi="Times New Roman" w:cs="Times New Roman"/>
          <w:color w:val="000000" w:themeColor="text1"/>
          <w:sz w:val="26"/>
          <w:szCs w:val="26"/>
        </w:rPr>
        <w:t xml:space="preserve">площадью свыше 1 000 000 кв.м проводился по </w:t>
      </w:r>
      <w:r>
        <w:rPr>
          <w:rFonts w:ascii="Times New Roman" w:eastAsiaTheme="minorEastAsia" w:hAnsi="Times New Roman" w:cs="Times New Roman"/>
          <w:color w:val="000000" w:themeColor="text1"/>
          <w:sz w:val="26"/>
          <w:szCs w:val="26"/>
        </w:rPr>
        <w:t xml:space="preserve">следующей </w:t>
      </w:r>
      <w:r w:rsidRPr="007355D9">
        <w:rPr>
          <w:rFonts w:ascii="Times New Roman" w:eastAsiaTheme="minorEastAsia" w:hAnsi="Times New Roman" w:cs="Times New Roman"/>
          <w:color w:val="000000" w:themeColor="text1"/>
          <w:sz w:val="26"/>
          <w:szCs w:val="26"/>
        </w:rPr>
        <w:t xml:space="preserve">формуле: </w:t>
      </w:r>
      <w:r w:rsidR="00C935E5">
        <w:rPr>
          <w:rFonts w:ascii="Times New Roman" w:eastAsiaTheme="minorEastAsia" w:hAnsi="Times New Roman" w:cs="Times New Roman"/>
          <w:color w:val="000000" w:themeColor="text1"/>
          <w:sz w:val="26"/>
          <w:szCs w:val="26"/>
        </w:rPr>
        <w:t>0,34 * Площадь земельного участка + 34 110</w:t>
      </w:r>
      <w:r w:rsidRPr="007355D9">
        <w:rPr>
          <w:rFonts w:ascii="Times New Roman" w:eastAsiaTheme="minorEastAsia" w:hAnsi="Times New Roman" w:cs="Times New Roman"/>
          <w:color w:val="000000" w:themeColor="text1"/>
          <w:sz w:val="26"/>
          <w:szCs w:val="26"/>
        </w:rPr>
        <w:t>.</w:t>
      </w:r>
    </w:p>
    <w:p w14:paraId="4DA193DA" w14:textId="77777777" w:rsidR="00754F88" w:rsidRPr="00C811F0" w:rsidRDefault="00754F88" w:rsidP="003D478C">
      <w:pPr>
        <w:pStyle w:val="ab"/>
        <w:numPr>
          <w:ilvl w:val="0"/>
          <w:numId w:val="35"/>
        </w:numPr>
        <w:spacing w:after="0" w:line="276" w:lineRule="auto"/>
        <w:ind w:left="0" w:firstLine="851"/>
        <w:jc w:val="both"/>
        <w:rPr>
          <w:rFonts w:ascii="Times New Roman" w:eastAsiaTheme="minorEastAsia" w:hAnsi="Times New Roman" w:cs="Times New Roman"/>
          <w:color w:val="000000" w:themeColor="text1"/>
          <w:sz w:val="26"/>
          <w:szCs w:val="26"/>
        </w:rPr>
      </w:pPr>
      <w:r w:rsidRPr="00C811F0">
        <w:rPr>
          <w:rFonts w:ascii="Times New Roman" w:eastAsiaTheme="minorEastAsia" w:hAnsi="Times New Roman" w:cs="Times New Roman"/>
          <w:color w:val="000000" w:themeColor="text1"/>
          <w:sz w:val="26"/>
          <w:szCs w:val="26"/>
        </w:rPr>
        <w:t xml:space="preserve">Согласно части 1 статьи 14 Федерального закона от 03.07.2016 </w:t>
      </w:r>
      <w:r w:rsidRPr="00C811F0">
        <w:rPr>
          <w:rFonts w:ascii="Times New Roman" w:eastAsiaTheme="minorEastAsia" w:hAnsi="Times New Roman" w:cs="Times New Roman"/>
          <w:color w:val="000000" w:themeColor="text1"/>
          <w:sz w:val="26"/>
          <w:szCs w:val="26"/>
        </w:rPr>
        <w:br/>
        <w:t>№ 237-ФЗ «О государственной кадастровой оценке» (далее - Закон № 237-ФЗ), определение кадастровой стоимости осуществляется бюджетным учреждением в соответствии с Указаниями.</w:t>
      </w:r>
    </w:p>
    <w:p w14:paraId="4AB1EC42"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 xml:space="preserve">Согласно п. 9 Приказа Минэкономразвития России от 22.10.2010 № 508 «Об утверждении Федерального стандарта оценки "Определение кадастровой стоимости (ФСО N 4)», выбор подходов, методов и моделей для определения кадастровой стоимости осуществляется оценщиком и должен быть обоснован. </w:t>
      </w:r>
    </w:p>
    <w:p w14:paraId="26C1868E"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 xml:space="preserve">Пунктом 3 </w:t>
      </w:r>
      <w:r>
        <w:rPr>
          <w:rFonts w:ascii="Times New Roman" w:eastAsia="Times New Roman" w:hAnsi="Times New Roman" w:cs="Times New Roman"/>
          <w:sz w:val="26"/>
          <w:szCs w:val="26"/>
          <w:lang w:eastAsia="ru-RU"/>
        </w:rPr>
        <w:t>Указаний</w:t>
      </w:r>
      <w:r w:rsidRPr="007F1BC9">
        <w:rPr>
          <w:rFonts w:ascii="Times New Roman" w:eastAsia="Times New Roman" w:hAnsi="Times New Roman" w:cs="Times New Roman"/>
          <w:sz w:val="26"/>
          <w:szCs w:val="26"/>
          <w:lang w:eastAsia="ru-RU"/>
        </w:rPr>
        <w:t xml:space="preserve"> установлено, что при определении кадастровой стоимости используются методы массовой оценки,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При невозможности применения методов массовой оценки определение кадастровой стоимости осуществляется в рамках индивидуального расчета в отношении объектов недвижимости в соответствии с пунктом 49 </w:t>
      </w:r>
      <w:r>
        <w:rPr>
          <w:rFonts w:ascii="Times New Roman" w:eastAsia="Times New Roman" w:hAnsi="Times New Roman" w:cs="Times New Roman"/>
          <w:sz w:val="26"/>
          <w:szCs w:val="26"/>
          <w:lang w:eastAsia="ru-RU"/>
        </w:rPr>
        <w:t>Указаний</w:t>
      </w:r>
      <w:r w:rsidRPr="007F1BC9">
        <w:rPr>
          <w:rFonts w:ascii="Times New Roman" w:eastAsia="Times New Roman" w:hAnsi="Times New Roman" w:cs="Times New Roman"/>
          <w:sz w:val="26"/>
          <w:szCs w:val="26"/>
          <w:lang w:eastAsia="ru-RU"/>
        </w:rPr>
        <w:t>.</w:t>
      </w:r>
    </w:p>
    <w:p w14:paraId="6953C29C"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Для моделирования стоимости может быть использована методология любого из подходов к оценке (совокупность методов (последовательность процедур, позволяющая на основе существенной (оказывающей влияние на величину кадастровой стоимости) для данного метода информации определить стоимость объекта недвижимости в рамках одного из подходов к оценке), объединенных общей методологией): затратного, сравнительного или доходного.</w:t>
      </w:r>
    </w:p>
    <w:p w14:paraId="4D5DD062"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Метод индексации прошлых результатов является одним из методов определения кадастровой стоимости в рамках сравнительного подхода.</w:t>
      </w:r>
    </w:p>
    <w:p w14:paraId="23102728"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Выбор подхода или обоснованный отказ от его использования осуществляется исходя из особенностей вида разрешенного использования, назначения или наименования объектов недвижимости.</w:t>
      </w:r>
    </w:p>
    <w:p w14:paraId="3DBADE0E"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Применение методов массовой оценки для целей Указаний предполагает определение кадастровой стоимости путем группирования объектов недвижимости. При проведении массовой оценки используются сравнительный, и (или) затратный, и (или) доходный подходы к оценке.</w:t>
      </w:r>
    </w:p>
    <w:p w14:paraId="44E5A596"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 xml:space="preserve">В силу </w:t>
      </w:r>
      <w:r w:rsidRPr="003C4808">
        <w:rPr>
          <w:rFonts w:ascii="Times New Roman" w:eastAsia="Times New Roman" w:hAnsi="Times New Roman" w:cs="Times New Roman"/>
          <w:sz w:val="26"/>
          <w:szCs w:val="26"/>
          <w:lang w:eastAsia="ru-RU"/>
        </w:rPr>
        <w:t>пунктов 55, 56 Указаний</w:t>
      </w:r>
      <w:r w:rsidRPr="007F1BC9">
        <w:rPr>
          <w:rFonts w:ascii="Times New Roman" w:eastAsia="Times New Roman" w:hAnsi="Times New Roman" w:cs="Times New Roman"/>
          <w:sz w:val="26"/>
          <w:szCs w:val="26"/>
          <w:lang w:eastAsia="ru-RU"/>
        </w:rPr>
        <w:t>, для целей определения кадастровой стоимости объекты недвижимости, подлежащие оценке, могут быть объединены в группы (подгруппы) на основе сегментации объектов недвижимости.</w:t>
      </w:r>
    </w:p>
    <w:p w14:paraId="390E57EA"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Группировка объектов недвижимости основана на результатах анализа информации о рынке объектов недвижимости, модели оценки кадастровой стоимости, составе ценообразующих факторов и сведений о значениях ценообразующих факторов объектов недвижимости для каждого исследуемого объекта недвижимости.</w:t>
      </w:r>
    </w:p>
    <w:p w14:paraId="764F7F7A"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 xml:space="preserve">Подходы для проведения кадастровой оценки выбираются учреждением с учетом положений Приложения № 6 к </w:t>
      </w:r>
      <w:r>
        <w:rPr>
          <w:rFonts w:ascii="Times New Roman" w:eastAsia="Times New Roman" w:hAnsi="Times New Roman" w:cs="Times New Roman"/>
          <w:sz w:val="26"/>
          <w:szCs w:val="26"/>
          <w:lang w:eastAsia="ru-RU"/>
        </w:rPr>
        <w:t>Указаниям</w:t>
      </w:r>
      <w:r w:rsidRPr="007F1BC9">
        <w:rPr>
          <w:rFonts w:ascii="Times New Roman" w:eastAsia="Times New Roman" w:hAnsi="Times New Roman" w:cs="Times New Roman"/>
          <w:sz w:val="26"/>
          <w:szCs w:val="26"/>
          <w:lang w:eastAsia="ru-RU"/>
        </w:rPr>
        <w:t>.</w:t>
      </w:r>
    </w:p>
    <w:p w14:paraId="62DA527F"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 xml:space="preserve">Согласно </w:t>
      </w:r>
      <w:r>
        <w:rPr>
          <w:rFonts w:ascii="Times New Roman" w:eastAsia="Times New Roman" w:hAnsi="Times New Roman" w:cs="Times New Roman"/>
          <w:sz w:val="26"/>
          <w:szCs w:val="26"/>
          <w:lang w:eastAsia="ru-RU"/>
        </w:rPr>
        <w:t>Указаниям</w:t>
      </w:r>
      <w:r w:rsidRPr="007F1BC9">
        <w:rPr>
          <w:rFonts w:ascii="Times New Roman" w:eastAsia="Times New Roman" w:hAnsi="Times New Roman" w:cs="Times New Roman"/>
          <w:sz w:val="26"/>
          <w:szCs w:val="26"/>
          <w:lang w:eastAsia="ru-RU"/>
        </w:rPr>
        <w:t xml:space="preserve">, определение кадастровой стоимости земельных участков сельскохозяйственного назначения должно производиться с учетом особенностей сельскохозяйственного и агроклиматического районирования территории, в составе факторов стоимости учтено плодородие земельного участка, определяемое характеристиками почвенного слоя. В разрезе почвенных разновидностей определяется перечень сельскохозяйственных культур, возможных к выращиванию и наиболее эффективный севооборот, рассчитан валовый доход на единицу площади на основании нормативной урожайности сельскохозяйственной культуры и прогнозируемой цены ее реализации, после чего рассчитан удельный показатель земельной ренты, как среднеарифметическое значение удельных показателей земельной ренты, рассчитанной по каждой из сельскохозяйственных культур, вошедшей в севооборот. </w:t>
      </w:r>
    </w:p>
    <w:p w14:paraId="6C9BB09E"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Удельный показатель кадастровой стоимости для каждой почвенной разновидности в составе земельного участка рассчитывается путем деления удельного показателя земельной ренты почвенной разновидности на коэффициент капитализации. Таким образом, государственную кадастровую оценку земельных участков сельскохозяйственного назначения приоритетней проводить доходным подходом, с учетом агроклиматических особенностей и почвенных характеристик оцениваемых объектов.</w:t>
      </w:r>
    </w:p>
    <w:p w14:paraId="2BD39F7A"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 xml:space="preserve">Согласно пункту 54 </w:t>
      </w:r>
      <w:r>
        <w:rPr>
          <w:rFonts w:ascii="Times New Roman" w:eastAsia="Times New Roman" w:hAnsi="Times New Roman" w:cs="Times New Roman"/>
          <w:sz w:val="26"/>
          <w:szCs w:val="26"/>
          <w:lang w:eastAsia="ru-RU"/>
        </w:rPr>
        <w:t>Указаний</w:t>
      </w:r>
      <w:r w:rsidRPr="007F1BC9">
        <w:rPr>
          <w:rFonts w:ascii="Times New Roman" w:eastAsia="Times New Roman" w:hAnsi="Times New Roman" w:cs="Times New Roman"/>
          <w:sz w:val="26"/>
          <w:szCs w:val="26"/>
          <w:lang w:eastAsia="ru-RU"/>
        </w:rPr>
        <w:t>, в качестве исходных данных для моделирования, а также для установления кадастровой стоимости допускается использовать результаты иных оценок – отчетов об определении рыночной стоимости объектов недвижимости (в том числе выполненных по заказу самих правообладателей данных объектов недвижимости), а также заключений экспертов, подготовленных в ходе судопроизводства, в целях повышения достоверности результатов определения кадастровой стоимости, с обязательной индексацией этих результатов на дату определения кадастровой стоимости.</w:t>
      </w:r>
    </w:p>
    <w:p w14:paraId="7099CB62"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 xml:space="preserve">В силу п. 6 </w:t>
      </w:r>
      <w:r>
        <w:rPr>
          <w:rFonts w:ascii="Times New Roman" w:eastAsia="Times New Roman" w:hAnsi="Times New Roman" w:cs="Times New Roman"/>
          <w:sz w:val="26"/>
          <w:szCs w:val="26"/>
          <w:lang w:eastAsia="ru-RU"/>
        </w:rPr>
        <w:t>Указаний</w:t>
      </w:r>
      <w:r w:rsidRPr="007F1BC9">
        <w:rPr>
          <w:rFonts w:ascii="Times New Roman" w:eastAsia="Times New Roman" w:hAnsi="Times New Roman" w:cs="Times New Roman"/>
          <w:sz w:val="26"/>
          <w:szCs w:val="26"/>
          <w:lang w:eastAsia="ru-RU"/>
        </w:rPr>
        <w:t>, при определении кадастровой стоимости на базе рыночной стоимости кадастровая стоимость объекта недвижимости не может превышать величины его рыночной стоимости, определенной на ту же дату.</w:t>
      </w:r>
    </w:p>
    <w:p w14:paraId="571C540E"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На территории Воронежской области оспаривание результатов кадастровой оценки производится в соответствии со ст. 22 Закона № 237-ФЗ, ст. 24.18 Федерального закона от 29.07.1998 № 135-ФЗ «Об оценочной деятельности в Российской Федерации».</w:t>
      </w:r>
    </w:p>
    <w:p w14:paraId="74D174D3"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Регион к применению положений ст. 22.1 Закона № 237-ФЗ не перешел.</w:t>
      </w:r>
    </w:p>
    <w:p w14:paraId="227BB765"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Таким образом, отсутствуют результаты установления кадастровой стоимости равной рыночной на дату, на которую проводится государственная кадастровая оценка в рамках настоящего Отчета (01.01.2022).</w:t>
      </w:r>
    </w:p>
    <w:p w14:paraId="7F37512A"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В этой связи, проведение кадастровой оценки путем индексации результатов рыночной стоимости, определенной решениями суда или комиссии по рассмотрению споров о результатах определения кадастровой стоимости, этих результатов на дату определения кадастровой стоимости объектов является правом, а не обязанностью бюджетного учреждения.</w:t>
      </w:r>
    </w:p>
    <w:p w14:paraId="0831B04C"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Принимая во внимание особенности проанализированного массива рыночной информации об объектах – аналогах на дату оценки, руководствуясь принципом единства методологии проведения кадастровый оценки, учреждением принято решение не осуществлять группировку объектов оценки по признаку установления кадастровой стоимости объектов недвижимости равной рыночной судом или комиссиями  на различные даты в самостоятельный  сегмент (группу/подгруппу).</w:t>
      </w:r>
    </w:p>
    <w:p w14:paraId="754506C8"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 xml:space="preserve">Вместе с тем, в соответствии с пунктом 19 </w:t>
      </w:r>
      <w:r>
        <w:rPr>
          <w:rFonts w:ascii="Times New Roman" w:eastAsia="Times New Roman" w:hAnsi="Times New Roman" w:cs="Times New Roman"/>
          <w:sz w:val="26"/>
          <w:szCs w:val="26"/>
          <w:lang w:eastAsia="ru-RU"/>
        </w:rPr>
        <w:t>Указаний</w:t>
      </w:r>
      <w:r w:rsidRPr="007F1BC9">
        <w:rPr>
          <w:rFonts w:ascii="Times New Roman" w:eastAsia="Times New Roman" w:hAnsi="Times New Roman" w:cs="Times New Roman"/>
          <w:sz w:val="26"/>
          <w:szCs w:val="26"/>
          <w:lang w:eastAsia="ru-RU"/>
        </w:rPr>
        <w:t>, в рамках подготовки к проведению государственной кадастровой оценки бюджетным учреждением проведен сбор, обработка и учет информации об объектах недвижимости, кадастровая стоимость которых была установлена в размере рыночной стоимости по итогам судебного оспаривания результатов государственной кадастровой оценки и работы комиссий по рассмотрению споров о результатах определения кадастровой стоимости при департаменте имущественных и земельных отношений Воронежской области и при Управлении Росреестра по Воронежской области.</w:t>
      </w:r>
    </w:p>
    <w:p w14:paraId="7422292E"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Проведение государственной кадастровой оценки объектов недвижимости на основе принципов единства методологии определения кадастровой стоимости, непрерывности актуализации сведений, необходимых для определения кадастровой стоимости, независимости и открытости процедур государственной кадастровой оценки на каждом этапе их осуществления, экономической обоснованности и проверяемости результатов определения кадастровой стоимости призвано подтвердить достоверность кадастровой стоимости, оценка которой должна быть не произвольной и обеспечивать соотносимость (приближенность), насколько это возможно, результатов определения кадастровой стоимости с существующими рыночными реалиями.</w:t>
      </w:r>
    </w:p>
    <w:p w14:paraId="5D92B3BC" w14:textId="77777777" w:rsidR="00754F88" w:rsidRPr="007F1BC9"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Кроме того, государственная кадастровая оценка характеризуется коллизионным соотношением фискально-имущественных интересов, связанных с формированием доходной части бюджета соответствующего публично-правового образования, и экономических интересов налогоплательщиков (Постановление Конституционного Суда РФ от 11.07.2017 N 20-П).</w:t>
      </w:r>
    </w:p>
    <w:p w14:paraId="60060E09" w14:textId="77777777" w:rsidR="00754F88" w:rsidRDefault="00754F88" w:rsidP="00754F88">
      <w:pPr>
        <w:spacing w:after="0" w:line="276" w:lineRule="auto"/>
        <w:ind w:firstLine="709"/>
        <w:jc w:val="both"/>
        <w:rPr>
          <w:rFonts w:ascii="Times New Roman" w:eastAsia="Times New Roman" w:hAnsi="Times New Roman" w:cs="Times New Roman"/>
          <w:sz w:val="26"/>
          <w:szCs w:val="26"/>
          <w:lang w:eastAsia="ru-RU"/>
        </w:rPr>
      </w:pPr>
      <w:r w:rsidRPr="007F1BC9">
        <w:rPr>
          <w:rFonts w:ascii="Times New Roman" w:eastAsia="Times New Roman" w:hAnsi="Times New Roman" w:cs="Times New Roman"/>
          <w:sz w:val="26"/>
          <w:szCs w:val="26"/>
          <w:lang w:eastAsia="ru-RU"/>
        </w:rPr>
        <w:t>В целях выравнивания показателей кадастровой и рыночной стоимостей и минимизации случаев оспаривания результатов кадастровой оценки, при проведении государственной кадастровой оценки учреждением использованы в качестве объектов - аналогов результаты оценок, установленных по итогам оспаривания.</w:t>
      </w:r>
    </w:p>
    <w:p w14:paraId="635547D5" w14:textId="77777777" w:rsidR="00754F88" w:rsidRDefault="00754F88" w:rsidP="00754F88">
      <w:pPr>
        <w:spacing w:after="0" w:line="276" w:lineRule="auto"/>
        <w:ind w:firstLine="709"/>
        <w:jc w:val="both"/>
        <w:rPr>
          <w:rFonts w:ascii="Times New Roman" w:eastAsia="Times New Roman" w:hAnsi="Times New Roman" w:cs="Times New Roman"/>
          <w:sz w:val="26"/>
          <w:szCs w:val="26"/>
          <w:lang w:eastAsia="ru-RU"/>
        </w:rPr>
      </w:pPr>
    </w:p>
    <w:p w14:paraId="59B1AB0A" w14:textId="4CAC0DBE" w:rsidR="00754F88" w:rsidRPr="00016FAE" w:rsidRDefault="00754F88" w:rsidP="00754F88">
      <w:pPr>
        <w:pStyle w:val="3"/>
        <w:rPr>
          <w:sz w:val="26"/>
          <w:szCs w:val="26"/>
        </w:rPr>
      </w:pPr>
      <w:bookmarkStart w:id="51" w:name="_Toc110506933"/>
      <w:r w:rsidRPr="00016FAE">
        <w:rPr>
          <w:sz w:val="26"/>
          <w:szCs w:val="26"/>
        </w:rPr>
        <w:t>2.</w:t>
      </w:r>
      <w:r w:rsidR="00B24289">
        <w:rPr>
          <w:sz w:val="26"/>
          <w:szCs w:val="26"/>
        </w:rPr>
        <w:t>9</w:t>
      </w:r>
      <w:r w:rsidRPr="00016FAE">
        <w:rPr>
          <w:sz w:val="26"/>
          <w:szCs w:val="26"/>
        </w:rPr>
        <w:t>.4.1</w:t>
      </w:r>
      <w:r>
        <w:rPr>
          <w:sz w:val="26"/>
          <w:szCs w:val="26"/>
        </w:rPr>
        <w:t>.</w:t>
      </w:r>
      <w:r w:rsidRPr="00016FAE">
        <w:rPr>
          <w:sz w:val="26"/>
          <w:szCs w:val="26"/>
        </w:rPr>
        <w:t xml:space="preserve"> Допущения, касающиеся характеристик, методов (способов) определения кадастровой стоимости земельных участков</w:t>
      </w:r>
      <w:r>
        <w:rPr>
          <w:sz w:val="26"/>
          <w:szCs w:val="26"/>
        </w:rPr>
        <w:t>, отнесенных к группе СОД (коды расчета вида использования 13:011 и 13:021)</w:t>
      </w:r>
      <w:bookmarkEnd w:id="51"/>
    </w:p>
    <w:p w14:paraId="195B3F00" w14:textId="77777777" w:rsidR="00A84061" w:rsidRPr="00842697" w:rsidRDefault="00A84061" w:rsidP="00A84061">
      <w:pPr>
        <w:pStyle w:val="ab"/>
        <w:numPr>
          <w:ilvl w:val="0"/>
          <w:numId w:val="35"/>
        </w:numPr>
        <w:spacing w:before="120" w:after="0" w:line="276" w:lineRule="auto"/>
        <w:ind w:left="0" w:firstLine="709"/>
        <w:jc w:val="both"/>
        <w:rPr>
          <w:rFonts w:ascii="Times New Roman" w:eastAsia="Times New Roman" w:hAnsi="Times New Roman" w:cs="Times New Roman"/>
          <w:sz w:val="26"/>
          <w:szCs w:val="26"/>
          <w:lang w:eastAsia="ru-RU"/>
        </w:rPr>
      </w:pPr>
      <w:bookmarkStart w:id="52" w:name="_Toc75965875"/>
      <w:r w:rsidRPr="00CB4618">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объектов с </w:t>
      </w:r>
      <w:r w:rsidRPr="00CB4618">
        <w:rPr>
          <w:rFonts w:ascii="Times New Roman" w:eastAsia="Times New Roman" w:hAnsi="Times New Roman" w:cs="Times New Roman"/>
          <w:sz w:val="26"/>
          <w:szCs w:val="26"/>
          <w:lang w:eastAsia="ru-RU"/>
        </w:rPr>
        <w:t>код</w:t>
      </w:r>
      <w:r>
        <w:rPr>
          <w:rFonts w:ascii="Times New Roman" w:eastAsia="Times New Roman" w:hAnsi="Times New Roman" w:cs="Times New Roman"/>
          <w:sz w:val="26"/>
          <w:szCs w:val="26"/>
          <w:lang w:eastAsia="ru-RU"/>
        </w:rPr>
        <w:t xml:space="preserve">ами </w:t>
      </w:r>
      <w:r w:rsidRPr="00CB4618">
        <w:rPr>
          <w:rFonts w:ascii="Times New Roman" w:eastAsia="Times New Roman" w:hAnsi="Times New Roman" w:cs="Times New Roman"/>
          <w:sz w:val="26"/>
          <w:szCs w:val="26"/>
          <w:lang w:eastAsia="ru-RU"/>
        </w:rPr>
        <w:t xml:space="preserve">расчета </w:t>
      </w:r>
      <w:r>
        <w:rPr>
          <w:rFonts w:ascii="Times New Roman" w:eastAsia="Times New Roman" w:hAnsi="Times New Roman" w:cs="Times New Roman"/>
          <w:sz w:val="26"/>
          <w:szCs w:val="26"/>
          <w:lang w:eastAsia="ru-RU"/>
        </w:rPr>
        <w:t xml:space="preserve">вида использования </w:t>
      </w:r>
      <w:r w:rsidRPr="00CB4618">
        <w:rPr>
          <w:rFonts w:ascii="Times New Roman" w:eastAsia="Times New Roman" w:hAnsi="Times New Roman" w:cs="Times New Roman"/>
          <w:sz w:val="26"/>
          <w:szCs w:val="26"/>
          <w:lang w:eastAsia="ru-RU"/>
        </w:rPr>
        <w:t xml:space="preserve">13:011 и 13:021 использовались </w:t>
      </w:r>
      <w:r w:rsidRPr="00842697">
        <w:rPr>
          <w:rFonts w:ascii="Times New Roman" w:eastAsia="Times New Roman" w:hAnsi="Times New Roman" w:cs="Times New Roman"/>
          <w:sz w:val="26"/>
          <w:szCs w:val="26"/>
          <w:lang w:eastAsia="ru-RU"/>
        </w:rPr>
        <w:t>ценообразующие факторы, полученные от органов местного самоуправления, а также расчеты, выполненные сотрудниками учреждения с использованием полученных графических материалов.</w:t>
      </w:r>
    </w:p>
    <w:p w14:paraId="5C8C9E7E" w14:textId="77777777" w:rsidR="00A84061" w:rsidRPr="00611F76" w:rsidRDefault="00A84061" w:rsidP="00A84061">
      <w:pPr>
        <w:pStyle w:val="ab"/>
        <w:numPr>
          <w:ilvl w:val="0"/>
          <w:numId w:val="35"/>
        </w:numPr>
        <w:spacing w:before="120" w:after="0" w:line="276"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проведении расчетов объектов группы СОД использовался ценообразующий фактор – ИНДЕКС СОД, фактически представляющий собой отношение к тому или иному </w:t>
      </w:r>
      <w:r w:rsidRPr="00611F76">
        <w:rPr>
          <w:rFonts w:ascii="Times New Roman" w:eastAsia="Times New Roman" w:hAnsi="Times New Roman" w:cs="Times New Roman"/>
          <w:sz w:val="26"/>
          <w:szCs w:val="26"/>
          <w:lang w:eastAsia="ru-RU"/>
        </w:rPr>
        <w:t>садоводческ</w:t>
      </w:r>
      <w:r>
        <w:rPr>
          <w:rFonts w:ascii="Times New Roman" w:eastAsia="Times New Roman" w:hAnsi="Times New Roman" w:cs="Times New Roman"/>
          <w:sz w:val="26"/>
          <w:szCs w:val="26"/>
          <w:lang w:eastAsia="ru-RU"/>
        </w:rPr>
        <w:t>ому</w:t>
      </w:r>
      <w:r w:rsidRPr="00611F76">
        <w:rPr>
          <w:rFonts w:ascii="Times New Roman" w:eastAsia="Times New Roman" w:hAnsi="Times New Roman" w:cs="Times New Roman"/>
          <w:sz w:val="26"/>
          <w:szCs w:val="26"/>
          <w:lang w:eastAsia="ru-RU"/>
        </w:rPr>
        <w:t>, огородническ</w:t>
      </w:r>
      <w:r>
        <w:rPr>
          <w:rFonts w:ascii="Times New Roman" w:eastAsia="Times New Roman" w:hAnsi="Times New Roman" w:cs="Times New Roman"/>
          <w:sz w:val="26"/>
          <w:szCs w:val="26"/>
          <w:lang w:eastAsia="ru-RU"/>
        </w:rPr>
        <w:t>ому</w:t>
      </w:r>
      <w:r w:rsidRPr="00611F76">
        <w:rPr>
          <w:rFonts w:ascii="Times New Roman" w:eastAsia="Times New Roman" w:hAnsi="Times New Roman" w:cs="Times New Roman"/>
          <w:sz w:val="26"/>
          <w:szCs w:val="26"/>
          <w:lang w:eastAsia="ru-RU"/>
        </w:rPr>
        <w:t xml:space="preserve"> и дачн</w:t>
      </w:r>
      <w:r>
        <w:rPr>
          <w:rFonts w:ascii="Times New Roman" w:eastAsia="Times New Roman" w:hAnsi="Times New Roman" w:cs="Times New Roman"/>
          <w:sz w:val="26"/>
          <w:szCs w:val="26"/>
          <w:lang w:eastAsia="ru-RU"/>
        </w:rPr>
        <w:t>ому объединению.  ИНДЕКС СОД присваивался в соответствии со следующими допущениями:</w:t>
      </w:r>
    </w:p>
    <w:p w14:paraId="19A92A28" w14:textId="77777777" w:rsidR="00A84061" w:rsidRDefault="00A84061" w:rsidP="00A84061">
      <w:pPr>
        <w:pStyle w:val="ab"/>
        <w:numPr>
          <w:ilvl w:val="0"/>
          <w:numId w:val="36"/>
        </w:numPr>
        <w:jc w:val="both"/>
        <w:rPr>
          <w:rFonts w:ascii="Times New Roman" w:eastAsia="Times New Roman" w:hAnsi="Times New Roman" w:cs="Times New Roman"/>
          <w:color w:val="000000"/>
          <w:sz w:val="26"/>
          <w:szCs w:val="26"/>
          <w:lang w:eastAsia="ru-RU"/>
        </w:rPr>
      </w:pPr>
      <w:r>
        <w:rPr>
          <w:rFonts w:ascii="Times New Roman" w:hAnsi="Times New Roman" w:cs="Times New Roman"/>
          <w:sz w:val="26"/>
          <w:szCs w:val="26"/>
        </w:rPr>
        <w:t xml:space="preserve">В отншении </w:t>
      </w:r>
      <w:r w:rsidRPr="001203DA">
        <w:rPr>
          <w:rFonts w:ascii="Times New Roman" w:hAnsi="Times New Roman" w:cs="Times New Roman"/>
          <w:sz w:val="26"/>
          <w:szCs w:val="26"/>
        </w:rPr>
        <w:t>СНТ «Яблочко»</w:t>
      </w:r>
      <w:r>
        <w:rPr>
          <w:rFonts w:ascii="Times New Roman" w:hAnsi="Times New Roman" w:cs="Times New Roman"/>
          <w:sz w:val="26"/>
          <w:szCs w:val="26"/>
        </w:rPr>
        <w:t>, расположенного в г. Воронеж,</w:t>
      </w:r>
      <w:r w:rsidRPr="001203DA">
        <w:rPr>
          <w:rFonts w:ascii="Times New Roman" w:hAnsi="Times New Roman" w:cs="Times New Roman"/>
          <w:sz w:val="26"/>
          <w:szCs w:val="26"/>
        </w:rPr>
        <w:t xml:space="preserve"> </w:t>
      </w:r>
      <w:r>
        <w:rPr>
          <w:rFonts w:ascii="Times New Roman" w:hAnsi="Times New Roman" w:cs="Times New Roman"/>
          <w:sz w:val="26"/>
          <w:szCs w:val="26"/>
        </w:rPr>
        <w:t xml:space="preserve">органами местного самоуправления </w:t>
      </w:r>
      <w:r w:rsidRPr="001203DA">
        <w:rPr>
          <w:rFonts w:ascii="Times New Roman" w:hAnsi="Times New Roman" w:cs="Times New Roman"/>
          <w:sz w:val="26"/>
          <w:szCs w:val="26"/>
        </w:rPr>
        <w:t xml:space="preserve">не предоставлена информация </w:t>
      </w:r>
      <w:r>
        <w:rPr>
          <w:rFonts w:ascii="Times New Roman" w:hAnsi="Times New Roman" w:cs="Times New Roman"/>
          <w:sz w:val="26"/>
          <w:szCs w:val="26"/>
        </w:rPr>
        <w:t xml:space="preserve">о значениях ценообразующих факторов. Учитывая то, что </w:t>
      </w:r>
      <w:r w:rsidRPr="001203DA">
        <w:rPr>
          <w:rFonts w:ascii="Times New Roman" w:hAnsi="Times New Roman" w:cs="Times New Roman"/>
          <w:sz w:val="26"/>
          <w:szCs w:val="26"/>
        </w:rPr>
        <w:t>СНТ «Яблочко»</w:t>
      </w:r>
      <w:r>
        <w:rPr>
          <w:rFonts w:ascii="Times New Roman" w:hAnsi="Times New Roman" w:cs="Times New Roman"/>
          <w:sz w:val="26"/>
          <w:szCs w:val="26"/>
        </w:rPr>
        <w:t xml:space="preserve"> </w:t>
      </w:r>
      <w:r w:rsidRPr="001203DA">
        <w:rPr>
          <w:rFonts w:ascii="Times New Roman" w:hAnsi="Times New Roman" w:cs="Times New Roman"/>
          <w:sz w:val="26"/>
          <w:szCs w:val="26"/>
        </w:rPr>
        <w:t>находится в тех же кварталах, что и СНТ «Придонье»</w:t>
      </w:r>
      <w:r>
        <w:rPr>
          <w:rFonts w:ascii="Times New Roman" w:hAnsi="Times New Roman" w:cs="Times New Roman"/>
          <w:sz w:val="26"/>
          <w:szCs w:val="26"/>
        </w:rPr>
        <w:t>, ему присвоен</w:t>
      </w:r>
      <w:r w:rsidRPr="001203DA">
        <w:rPr>
          <w:rFonts w:ascii="Times New Roman" w:hAnsi="Times New Roman" w:cs="Times New Roman"/>
          <w:sz w:val="26"/>
          <w:szCs w:val="26"/>
        </w:rPr>
        <w:t xml:space="preserve"> </w:t>
      </w:r>
      <w:r>
        <w:rPr>
          <w:rFonts w:ascii="Times New Roman" w:hAnsi="Times New Roman" w:cs="Times New Roman"/>
          <w:sz w:val="26"/>
          <w:szCs w:val="26"/>
        </w:rPr>
        <w:t>ИНДЕКС СОД</w:t>
      </w:r>
      <w:r w:rsidRPr="001203DA">
        <w:rPr>
          <w:rFonts w:ascii="Times New Roman" w:hAnsi="Times New Roman" w:cs="Times New Roman"/>
          <w:sz w:val="26"/>
          <w:szCs w:val="26"/>
        </w:rPr>
        <w:t xml:space="preserve"> - </w:t>
      </w:r>
      <w:r w:rsidRPr="001203DA">
        <w:rPr>
          <w:rFonts w:ascii="Times New Roman" w:eastAsia="Times New Roman" w:hAnsi="Times New Roman" w:cs="Times New Roman"/>
          <w:color w:val="000000"/>
          <w:sz w:val="26"/>
          <w:szCs w:val="26"/>
          <w:lang w:eastAsia="ru-RU"/>
        </w:rPr>
        <w:t>Воронеж/ПРИДОНЬЕ.</w:t>
      </w:r>
    </w:p>
    <w:p w14:paraId="09C306F8" w14:textId="77777777" w:rsidR="00A84061" w:rsidRPr="001203DA" w:rsidRDefault="00A84061" w:rsidP="00A84061">
      <w:pPr>
        <w:pStyle w:val="ab"/>
        <w:numPr>
          <w:ilvl w:val="0"/>
          <w:numId w:val="36"/>
        </w:numPr>
        <w:jc w:val="both"/>
        <w:rPr>
          <w:rFonts w:ascii="Times New Roman" w:eastAsia="Times New Roman" w:hAnsi="Times New Roman" w:cs="Times New Roman"/>
          <w:color w:val="000000"/>
          <w:sz w:val="26"/>
          <w:szCs w:val="26"/>
          <w:lang w:eastAsia="ru-RU"/>
        </w:rPr>
      </w:pPr>
      <w:r>
        <w:rPr>
          <w:rFonts w:ascii="Times New Roman" w:hAnsi="Times New Roman" w:cs="Times New Roman"/>
          <w:sz w:val="26"/>
          <w:szCs w:val="26"/>
        </w:rPr>
        <w:t xml:space="preserve">В отншении </w:t>
      </w:r>
      <w:r w:rsidRPr="001203DA">
        <w:rPr>
          <w:rFonts w:ascii="Times New Roman" w:hAnsi="Times New Roman" w:cs="Times New Roman"/>
          <w:sz w:val="26"/>
          <w:szCs w:val="26"/>
        </w:rPr>
        <w:t>СНТ «Победа»</w:t>
      </w:r>
      <w:r>
        <w:rPr>
          <w:rFonts w:ascii="Times New Roman" w:hAnsi="Times New Roman" w:cs="Times New Roman"/>
          <w:sz w:val="26"/>
          <w:szCs w:val="26"/>
        </w:rPr>
        <w:t>, расположенном в</w:t>
      </w:r>
      <w:r w:rsidRPr="001203DA">
        <w:rPr>
          <w:rFonts w:ascii="Times New Roman" w:hAnsi="Times New Roman" w:cs="Times New Roman"/>
          <w:sz w:val="26"/>
          <w:szCs w:val="26"/>
        </w:rPr>
        <w:t xml:space="preserve"> Каширском районе</w:t>
      </w:r>
      <w:r>
        <w:rPr>
          <w:rFonts w:ascii="Times New Roman" w:hAnsi="Times New Roman" w:cs="Times New Roman"/>
          <w:sz w:val="26"/>
          <w:szCs w:val="26"/>
        </w:rPr>
        <w:t>,</w:t>
      </w:r>
      <w:r w:rsidRPr="001203DA">
        <w:rPr>
          <w:rFonts w:ascii="Times New Roman" w:hAnsi="Times New Roman" w:cs="Times New Roman"/>
          <w:sz w:val="26"/>
          <w:szCs w:val="26"/>
        </w:rPr>
        <w:t xml:space="preserve"> </w:t>
      </w:r>
      <w:r>
        <w:rPr>
          <w:rFonts w:ascii="Times New Roman" w:hAnsi="Times New Roman" w:cs="Times New Roman"/>
          <w:sz w:val="26"/>
          <w:szCs w:val="26"/>
        </w:rPr>
        <w:t xml:space="preserve">органами местного самоуправления </w:t>
      </w:r>
      <w:r w:rsidRPr="001203DA">
        <w:rPr>
          <w:rFonts w:ascii="Times New Roman" w:hAnsi="Times New Roman" w:cs="Times New Roman"/>
          <w:sz w:val="26"/>
          <w:szCs w:val="26"/>
        </w:rPr>
        <w:t xml:space="preserve">не предоставлена информация </w:t>
      </w:r>
      <w:r>
        <w:rPr>
          <w:rFonts w:ascii="Times New Roman" w:hAnsi="Times New Roman" w:cs="Times New Roman"/>
          <w:sz w:val="26"/>
          <w:szCs w:val="26"/>
        </w:rPr>
        <w:t>о значениях ценообразующих факторов.</w:t>
      </w:r>
      <w:r w:rsidRPr="001203DA">
        <w:rPr>
          <w:rFonts w:ascii="Times New Roman" w:hAnsi="Times New Roman" w:cs="Times New Roman"/>
          <w:sz w:val="26"/>
          <w:szCs w:val="26"/>
        </w:rPr>
        <w:t xml:space="preserve"> </w:t>
      </w:r>
      <w:r>
        <w:rPr>
          <w:rFonts w:ascii="Times New Roman" w:hAnsi="Times New Roman" w:cs="Times New Roman"/>
          <w:sz w:val="26"/>
          <w:szCs w:val="26"/>
        </w:rPr>
        <w:t xml:space="preserve">Учитывая то, что </w:t>
      </w:r>
      <w:r w:rsidRPr="001203DA">
        <w:rPr>
          <w:rFonts w:ascii="Times New Roman" w:hAnsi="Times New Roman" w:cs="Times New Roman"/>
          <w:sz w:val="26"/>
          <w:szCs w:val="26"/>
        </w:rPr>
        <w:t>СНТ «Победа»</w:t>
      </w:r>
      <w:r>
        <w:rPr>
          <w:rFonts w:ascii="Times New Roman" w:hAnsi="Times New Roman" w:cs="Times New Roman"/>
          <w:sz w:val="26"/>
          <w:szCs w:val="26"/>
        </w:rPr>
        <w:t xml:space="preserve"> </w:t>
      </w:r>
      <w:r w:rsidRPr="001203DA">
        <w:rPr>
          <w:rFonts w:ascii="Times New Roman" w:hAnsi="Times New Roman" w:cs="Times New Roman"/>
          <w:sz w:val="26"/>
          <w:szCs w:val="26"/>
        </w:rPr>
        <w:t>находится в тех же кварталах, что и СНТ «Рассвет» и СНТ «Содружество»</w:t>
      </w:r>
      <w:r>
        <w:rPr>
          <w:rFonts w:ascii="Times New Roman" w:hAnsi="Times New Roman" w:cs="Times New Roman"/>
          <w:sz w:val="26"/>
          <w:szCs w:val="26"/>
        </w:rPr>
        <w:t xml:space="preserve"> ему присвоен</w:t>
      </w:r>
      <w:r w:rsidRPr="001203DA">
        <w:rPr>
          <w:rFonts w:ascii="Times New Roman" w:hAnsi="Times New Roman" w:cs="Times New Roman"/>
          <w:sz w:val="26"/>
          <w:szCs w:val="26"/>
        </w:rPr>
        <w:t xml:space="preserve"> </w:t>
      </w:r>
      <w:r>
        <w:rPr>
          <w:rFonts w:ascii="Times New Roman" w:hAnsi="Times New Roman" w:cs="Times New Roman"/>
          <w:sz w:val="26"/>
          <w:szCs w:val="26"/>
        </w:rPr>
        <w:t>ИНДЕКС СОД</w:t>
      </w:r>
      <w:r w:rsidRPr="001203DA">
        <w:rPr>
          <w:rFonts w:ascii="Times New Roman" w:hAnsi="Times New Roman" w:cs="Times New Roman"/>
          <w:sz w:val="26"/>
          <w:szCs w:val="26"/>
        </w:rPr>
        <w:t xml:space="preserve">- </w:t>
      </w:r>
      <w:r w:rsidRPr="001203DA">
        <w:rPr>
          <w:rFonts w:ascii="Times New Roman" w:eastAsia="Times New Roman" w:hAnsi="Times New Roman" w:cs="Times New Roman"/>
          <w:color w:val="000000"/>
          <w:sz w:val="26"/>
          <w:szCs w:val="26"/>
          <w:lang w:eastAsia="ru-RU"/>
        </w:rPr>
        <w:t>Каширский/Рассвет/Содружество</w:t>
      </w:r>
      <w:r>
        <w:rPr>
          <w:rFonts w:ascii="Times New Roman" w:eastAsia="Times New Roman" w:hAnsi="Times New Roman" w:cs="Times New Roman"/>
          <w:color w:val="000000"/>
          <w:sz w:val="26"/>
          <w:szCs w:val="26"/>
          <w:lang w:eastAsia="ru-RU"/>
        </w:rPr>
        <w:t>.</w:t>
      </w:r>
    </w:p>
    <w:p w14:paraId="19EF01AE" w14:textId="77777777" w:rsidR="00A84061" w:rsidRPr="001203DA" w:rsidRDefault="00A84061" w:rsidP="00A84061">
      <w:pPr>
        <w:pStyle w:val="ab"/>
        <w:numPr>
          <w:ilvl w:val="0"/>
          <w:numId w:val="36"/>
        </w:numPr>
        <w:jc w:val="both"/>
        <w:rPr>
          <w:rFonts w:ascii="Times New Roman" w:eastAsia="Times New Roman" w:hAnsi="Times New Roman" w:cs="Times New Roman"/>
          <w:color w:val="000000"/>
          <w:sz w:val="26"/>
          <w:szCs w:val="26"/>
          <w:lang w:eastAsia="ru-RU"/>
        </w:rPr>
      </w:pPr>
      <w:r w:rsidRPr="001203DA">
        <w:rPr>
          <w:rFonts w:ascii="Times New Roman" w:hAnsi="Times New Roman" w:cs="Times New Roman"/>
          <w:sz w:val="26"/>
          <w:szCs w:val="26"/>
        </w:rPr>
        <w:t>СНТ «Сувенир» и СНТ «Сувенир-2»</w:t>
      </w:r>
      <w:r>
        <w:rPr>
          <w:rFonts w:ascii="Times New Roman" w:hAnsi="Times New Roman" w:cs="Times New Roman"/>
          <w:sz w:val="26"/>
          <w:szCs w:val="26"/>
        </w:rPr>
        <w:t xml:space="preserve">, расположенные в </w:t>
      </w:r>
      <w:r w:rsidRPr="001203DA">
        <w:rPr>
          <w:rFonts w:ascii="Times New Roman" w:hAnsi="Times New Roman" w:cs="Times New Roman"/>
          <w:sz w:val="26"/>
          <w:szCs w:val="26"/>
        </w:rPr>
        <w:t xml:space="preserve">г. Воронеже имеют идентичные </w:t>
      </w:r>
      <w:r>
        <w:rPr>
          <w:rFonts w:ascii="Times New Roman" w:hAnsi="Times New Roman" w:cs="Times New Roman"/>
          <w:sz w:val="26"/>
          <w:szCs w:val="26"/>
        </w:rPr>
        <w:t>ценообразующие факторы,</w:t>
      </w:r>
      <w:r w:rsidRPr="001203DA">
        <w:rPr>
          <w:rFonts w:ascii="Times New Roman" w:hAnsi="Times New Roman" w:cs="Times New Roman"/>
          <w:sz w:val="26"/>
          <w:szCs w:val="26"/>
        </w:rPr>
        <w:t xml:space="preserve"> </w:t>
      </w:r>
      <w:r>
        <w:rPr>
          <w:rFonts w:ascii="Times New Roman" w:hAnsi="Times New Roman" w:cs="Times New Roman"/>
          <w:sz w:val="26"/>
          <w:szCs w:val="26"/>
        </w:rPr>
        <w:t>п</w:t>
      </w:r>
      <w:r w:rsidRPr="001203DA">
        <w:rPr>
          <w:rFonts w:ascii="Times New Roman" w:hAnsi="Times New Roman" w:cs="Times New Roman"/>
          <w:sz w:val="26"/>
          <w:szCs w:val="26"/>
        </w:rPr>
        <w:t xml:space="preserve">оэтому </w:t>
      </w:r>
      <w:r>
        <w:rPr>
          <w:rFonts w:ascii="Times New Roman" w:hAnsi="Times New Roman" w:cs="Times New Roman"/>
          <w:sz w:val="26"/>
          <w:szCs w:val="26"/>
        </w:rPr>
        <w:t>им присвоен ИНДЕКС СОД</w:t>
      </w:r>
      <w:r w:rsidRPr="001203DA">
        <w:rPr>
          <w:rFonts w:ascii="Times New Roman" w:hAnsi="Times New Roman" w:cs="Times New Roman"/>
          <w:sz w:val="26"/>
          <w:szCs w:val="26"/>
        </w:rPr>
        <w:t xml:space="preserve"> - </w:t>
      </w:r>
      <w:r w:rsidRPr="001203DA">
        <w:rPr>
          <w:rFonts w:ascii="Times New Roman" w:eastAsia="Times New Roman" w:hAnsi="Times New Roman" w:cs="Times New Roman"/>
          <w:color w:val="000000"/>
          <w:sz w:val="26"/>
          <w:szCs w:val="26"/>
          <w:lang w:eastAsia="ru-RU"/>
        </w:rPr>
        <w:t>Воронеж/Сувенир/Сувенир-2</w:t>
      </w:r>
      <w:r>
        <w:rPr>
          <w:rFonts w:ascii="Times New Roman" w:eastAsia="Times New Roman" w:hAnsi="Times New Roman" w:cs="Times New Roman"/>
          <w:color w:val="000000"/>
          <w:sz w:val="26"/>
          <w:szCs w:val="26"/>
          <w:lang w:eastAsia="ru-RU"/>
        </w:rPr>
        <w:t>.</w:t>
      </w:r>
    </w:p>
    <w:p w14:paraId="012042C9" w14:textId="77777777" w:rsidR="00A84061" w:rsidRPr="001203DA" w:rsidRDefault="00A84061" w:rsidP="00A84061">
      <w:pPr>
        <w:pStyle w:val="ab"/>
        <w:numPr>
          <w:ilvl w:val="0"/>
          <w:numId w:val="36"/>
        </w:numPr>
        <w:jc w:val="both"/>
        <w:rPr>
          <w:rFonts w:ascii="Times New Roman" w:eastAsia="Times New Roman" w:hAnsi="Times New Roman" w:cs="Times New Roman"/>
          <w:color w:val="000000"/>
          <w:sz w:val="26"/>
          <w:szCs w:val="26"/>
          <w:lang w:eastAsia="ru-RU"/>
        </w:rPr>
      </w:pPr>
      <w:r w:rsidRPr="001203DA">
        <w:rPr>
          <w:rFonts w:ascii="Times New Roman" w:hAnsi="Times New Roman" w:cs="Times New Roman"/>
          <w:sz w:val="26"/>
          <w:szCs w:val="26"/>
        </w:rPr>
        <w:t>СНТ «Рассвет», СНТ «Содружество»</w:t>
      </w:r>
      <w:r>
        <w:rPr>
          <w:rFonts w:ascii="Times New Roman" w:hAnsi="Times New Roman" w:cs="Times New Roman"/>
          <w:sz w:val="26"/>
          <w:szCs w:val="26"/>
        </w:rPr>
        <w:t>, расположенные в</w:t>
      </w:r>
      <w:r w:rsidRPr="001203DA">
        <w:rPr>
          <w:rFonts w:ascii="Times New Roman" w:hAnsi="Times New Roman" w:cs="Times New Roman"/>
          <w:sz w:val="26"/>
          <w:szCs w:val="26"/>
        </w:rPr>
        <w:t xml:space="preserve"> Каширском районе</w:t>
      </w:r>
      <w:r>
        <w:rPr>
          <w:rFonts w:ascii="Times New Roman" w:hAnsi="Times New Roman" w:cs="Times New Roman"/>
          <w:sz w:val="26"/>
          <w:szCs w:val="26"/>
        </w:rPr>
        <w:t>,</w:t>
      </w:r>
      <w:r w:rsidRPr="001203DA">
        <w:rPr>
          <w:rFonts w:ascii="Times New Roman" w:hAnsi="Times New Roman" w:cs="Times New Roman"/>
          <w:sz w:val="26"/>
          <w:szCs w:val="26"/>
        </w:rPr>
        <w:t xml:space="preserve"> имеют идентичные </w:t>
      </w:r>
      <w:r>
        <w:rPr>
          <w:rFonts w:ascii="Times New Roman" w:hAnsi="Times New Roman" w:cs="Times New Roman"/>
          <w:sz w:val="26"/>
          <w:szCs w:val="26"/>
        </w:rPr>
        <w:t>ценообразующие факторы</w:t>
      </w:r>
      <w:r w:rsidRPr="001203DA">
        <w:rPr>
          <w:rFonts w:ascii="Times New Roman" w:hAnsi="Times New Roman" w:cs="Times New Roman"/>
          <w:sz w:val="26"/>
          <w:szCs w:val="26"/>
        </w:rPr>
        <w:t xml:space="preserve">, поэтому </w:t>
      </w:r>
      <w:r>
        <w:rPr>
          <w:rFonts w:ascii="Times New Roman" w:hAnsi="Times New Roman" w:cs="Times New Roman"/>
          <w:sz w:val="26"/>
          <w:szCs w:val="26"/>
        </w:rPr>
        <w:t>им присвоен ИНДЕКС СОД</w:t>
      </w:r>
      <w:r w:rsidRPr="001203DA">
        <w:rPr>
          <w:rFonts w:ascii="Times New Roman" w:hAnsi="Times New Roman" w:cs="Times New Roman"/>
          <w:sz w:val="26"/>
          <w:szCs w:val="26"/>
        </w:rPr>
        <w:t>-</w:t>
      </w:r>
      <w:r w:rsidRPr="001203DA">
        <w:rPr>
          <w:rFonts w:ascii="Times New Roman" w:hAnsi="Times New Roman" w:cs="Times New Roman"/>
          <w:color w:val="000000"/>
          <w:sz w:val="26"/>
          <w:szCs w:val="26"/>
        </w:rPr>
        <w:t xml:space="preserve"> </w:t>
      </w:r>
      <w:r w:rsidRPr="001203DA">
        <w:rPr>
          <w:rFonts w:ascii="Times New Roman" w:eastAsia="Times New Roman" w:hAnsi="Times New Roman" w:cs="Times New Roman"/>
          <w:color w:val="000000"/>
          <w:sz w:val="26"/>
          <w:szCs w:val="26"/>
          <w:lang w:eastAsia="ru-RU"/>
        </w:rPr>
        <w:t>Каширский/Рассвет/Содружество</w:t>
      </w:r>
      <w:r>
        <w:rPr>
          <w:rFonts w:ascii="Times New Roman" w:eastAsia="Times New Roman" w:hAnsi="Times New Roman" w:cs="Times New Roman"/>
          <w:color w:val="000000"/>
          <w:sz w:val="26"/>
          <w:szCs w:val="26"/>
          <w:lang w:eastAsia="ru-RU"/>
        </w:rPr>
        <w:t>.</w:t>
      </w:r>
    </w:p>
    <w:p w14:paraId="4DAED2F0" w14:textId="77777777" w:rsidR="00A84061" w:rsidRPr="001203DA" w:rsidRDefault="00A84061" w:rsidP="00A84061">
      <w:pPr>
        <w:pStyle w:val="ab"/>
        <w:numPr>
          <w:ilvl w:val="0"/>
          <w:numId w:val="36"/>
        </w:numPr>
        <w:jc w:val="both"/>
        <w:rPr>
          <w:rFonts w:ascii="Times New Roman" w:eastAsia="Times New Roman" w:hAnsi="Times New Roman" w:cs="Times New Roman"/>
          <w:color w:val="000000"/>
          <w:sz w:val="26"/>
          <w:szCs w:val="26"/>
          <w:lang w:eastAsia="ru-RU"/>
        </w:rPr>
      </w:pPr>
      <w:r w:rsidRPr="001203DA">
        <w:rPr>
          <w:rFonts w:ascii="Times New Roman" w:hAnsi="Times New Roman" w:cs="Times New Roman"/>
          <w:sz w:val="26"/>
          <w:szCs w:val="26"/>
        </w:rPr>
        <w:t>СНТ «Веретено»</w:t>
      </w:r>
      <w:r>
        <w:rPr>
          <w:rFonts w:ascii="Times New Roman" w:hAnsi="Times New Roman" w:cs="Times New Roman"/>
          <w:sz w:val="26"/>
          <w:szCs w:val="26"/>
        </w:rPr>
        <w:t>, расположенное в</w:t>
      </w:r>
      <w:r w:rsidRPr="001203DA">
        <w:rPr>
          <w:rFonts w:ascii="Times New Roman" w:hAnsi="Times New Roman" w:cs="Times New Roman"/>
          <w:sz w:val="26"/>
          <w:szCs w:val="26"/>
        </w:rPr>
        <w:t xml:space="preserve"> Каширском районе (</w:t>
      </w:r>
      <w:r>
        <w:rPr>
          <w:rFonts w:ascii="Times New Roman" w:eastAsia="Times New Roman" w:hAnsi="Times New Roman" w:cs="Times New Roman"/>
          <w:bCs/>
          <w:sz w:val="26"/>
          <w:szCs w:val="26"/>
          <w:lang w:eastAsia="ru-RU"/>
        </w:rPr>
        <w:t>п</w:t>
      </w:r>
      <w:r w:rsidRPr="001203DA">
        <w:rPr>
          <w:rFonts w:ascii="Times New Roman" w:eastAsia="Times New Roman" w:hAnsi="Times New Roman" w:cs="Times New Roman"/>
          <w:bCs/>
          <w:sz w:val="26"/>
          <w:szCs w:val="26"/>
          <w:lang w:eastAsia="ru-RU"/>
        </w:rPr>
        <w:t>рекращен</w:t>
      </w:r>
      <w:r>
        <w:rPr>
          <w:rFonts w:ascii="Times New Roman" w:eastAsia="Times New Roman" w:hAnsi="Times New Roman" w:cs="Times New Roman"/>
          <w:bCs/>
          <w:sz w:val="26"/>
          <w:szCs w:val="26"/>
          <w:lang w:eastAsia="ru-RU"/>
        </w:rPr>
        <w:t>а</w:t>
      </w:r>
      <w:r w:rsidRPr="001203DA">
        <w:rPr>
          <w:rFonts w:ascii="Times New Roman" w:eastAsia="Times New Roman" w:hAnsi="Times New Roman" w:cs="Times New Roman"/>
          <w:bCs/>
          <w:sz w:val="26"/>
          <w:szCs w:val="26"/>
          <w:lang w:eastAsia="ru-RU"/>
        </w:rPr>
        <w:t xml:space="preserve"> деятельност</w:t>
      </w:r>
      <w:r>
        <w:rPr>
          <w:rFonts w:ascii="Times New Roman" w:eastAsia="Times New Roman" w:hAnsi="Times New Roman" w:cs="Times New Roman"/>
          <w:bCs/>
          <w:sz w:val="26"/>
          <w:szCs w:val="26"/>
          <w:lang w:eastAsia="ru-RU"/>
        </w:rPr>
        <w:t>ь</w:t>
      </w:r>
      <w:r w:rsidRPr="001203DA">
        <w:rPr>
          <w:rFonts w:ascii="Times New Roman" w:eastAsia="Times New Roman" w:hAnsi="Times New Roman" w:cs="Times New Roman"/>
          <w:bCs/>
          <w:sz w:val="26"/>
          <w:szCs w:val="26"/>
          <w:lang w:eastAsia="ru-RU"/>
        </w:rPr>
        <w:t xml:space="preserve"> юридического лица</w:t>
      </w:r>
      <w:r>
        <w:rPr>
          <w:rFonts w:ascii="Times New Roman" w:eastAsia="Times New Roman" w:hAnsi="Times New Roman" w:cs="Times New Roman"/>
          <w:bCs/>
          <w:sz w:val="26"/>
          <w:szCs w:val="26"/>
          <w:lang w:eastAsia="ru-RU"/>
        </w:rPr>
        <w:t>,</w:t>
      </w:r>
      <w:r w:rsidRPr="001203DA">
        <w:rPr>
          <w:rFonts w:ascii="Times New Roman" w:eastAsia="Times New Roman" w:hAnsi="Times New Roman" w:cs="Times New Roman"/>
          <w:bCs/>
          <w:sz w:val="26"/>
          <w:szCs w:val="26"/>
          <w:lang w:eastAsia="ru-RU"/>
        </w:rPr>
        <w:t xml:space="preserve"> в связи с исключением из ЕГРЮЛ на основании п.2 ст.21.1 Федерального закона от 08.08</w:t>
      </w:r>
      <w:r w:rsidRPr="007244CF">
        <w:rPr>
          <w:rFonts w:ascii="Times New Roman" w:eastAsia="Times New Roman" w:hAnsi="Times New Roman" w:cs="Times New Roman"/>
          <w:bCs/>
          <w:sz w:val="26"/>
          <w:szCs w:val="26"/>
          <w:lang w:eastAsia="ru-RU"/>
        </w:rPr>
        <w:t>.2001 №129-ФЗ. Дата прекращения 29.05.2018</w:t>
      </w:r>
      <w:r w:rsidRPr="007244CF">
        <w:rPr>
          <w:rFonts w:ascii="Times New Roman" w:hAnsi="Times New Roman" w:cs="Times New Roman"/>
          <w:sz w:val="26"/>
          <w:szCs w:val="26"/>
        </w:rPr>
        <w:t xml:space="preserve">) находится в тех же кварталах, что и СНТ «Роса». Учитывая данное обстоятельнство ему присвоен </w:t>
      </w:r>
      <w:r>
        <w:rPr>
          <w:rFonts w:ascii="Times New Roman" w:hAnsi="Times New Roman" w:cs="Times New Roman"/>
          <w:sz w:val="26"/>
          <w:szCs w:val="26"/>
        </w:rPr>
        <w:t>ИНДЕКС СОД</w:t>
      </w:r>
      <w:r w:rsidRPr="007244CF">
        <w:rPr>
          <w:rFonts w:ascii="Times New Roman" w:hAnsi="Times New Roman" w:cs="Times New Roman"/>
          <w:sz w:val="26"/>
          <w:szCs w:val="26"/>
        </w:rPr>
        <w:t xml:space="preserve"> –</w:t>
      </w:r>
      <w:r w:rsidRPr="001203DA">
        <w:rPr>
          <w:rFonts w:ascii="Times New Roman" w:hAnsi="Times New Roman" w:cs="Times New Roman"/>
          <w:sz w:val="26"/>
          <w:szCs w:val="26"/>
        </w:rPr>
        <w:t xml:space="preserve"> СНТ.</w:t>
      </w:r>
    </w:p>
    <w:p w14:paraId="46DF2AB0" w14:textId="77777777" w:rsidR="00A84061" w:rsidRPr="00517845" w:rsidRDefault="00A84061" w:rsidP="00A84061">
      <w:pPr>
        <w:pStyle w:val="ab"/>
        <w:numPr>
          <w:ilvl w:val="0"/>
          <w:numId w:val="36"/>
        </w:numPr>
        <w:jc w:val="both"/>
        <w:rPr>
          <w:rFonts w:ascii="Times New Roman" w:eastAsia="Times New Roman" w:hAnsi="Times New Roman" w:cs="Times New Roman"/>
          <w:color w:val="000000"/>
          <w:sz w:val="26"/>
          <w:szCs w:val="26"/>
          <w:lang w:eastAsia="ru-RU"/>
        </w:rPr>
      </w:pPr>
      <w:r w:rsidRPr="001203DA">
        <w:rPr>
          <w:rFonts w:ascii="Times New Roman" w:eastAsia="Times New Roman" w:hAnsi="Times New Roman" w:cs="Times New Roman"/>
          <w:color w:val="000000"/>
          <w:sz w:val="26"/>
          <w:szCs w:val="26"/>
          <w:lang w:eastAsia="ru-RU"/>
        </w:rPr>
        <w:t>СНТ «Химмаш»</w:t>
      </w:r>
      <w:r>
        <w:rPr>
          <w:rFonts w:ascii="Times New Roman" w:eastAsia="Times New Roman" w:hAnsi="Times New Roman" w:cs="Times New Roman"/>
          <w:color w:val="000000"/>
          <w:sz w:val="26"/>
          <w:szCs w:val="26"/>
          <w:lang w:eastAsia="ru-RU"/>
        </w:rPr>
        <w:t xml:space="preserve">, расположенное в </w:t>
      </w:r>
      <w:r w:rsidRPr="001203DA">
        <w:rPr>
          <w:rFonts w:ascii="Times New Roman" w:eastAsia="Times New Roman" w:hAnsi="Times New Roman" w:cs="Times New Roman"/>
          <w:color w:val="000000"/>
          <w:sz w:val="26"/>
          <w:szCs w:val="26"/>
          <w:lang w:eastAsia="ru-RU"/>
        </w:rPr>
        <w:t>Борисоглебском районе</w:t>
      </w:r>
      <w:r>
        <w:rPr>
          <w:rFonts w:ascii="Times New Roman" w:eastAsia="Times New Roman" w:hAnsi="Times New Roman" w:cs="Times New Roman"/>
          <w:color w:val="000000"/>
          <w:sz w:val="26"/>
          <w:szCs w:val="26"/>
          <w:lang w:eastAsia="ru-RU"/>
        </w:rPr>
        <w:t>, л</w:t>
      </w:r>
      <w:r w:rsidRPr="001203DA">
        <w:rPr>
          <w:rFonts w:ascii="Times New Roman" w:eastAsia="Times New Roman" w:hAnsi="Times New Roman" w:cs="Times New Roman"/>
          <w:color w:val="000000"/>
          <w:sz w:val="26"/>
          <w:szCs w:val="26"/>
          <w:lang w:eastAsia="ru-RU"/>
        </w:rPr>
        <w:t>иквидирован</w:t>
      </w:r>
      <w:r>
        <w:rPr>
          <w:rFonts w:ascii="Times New Roman" w:eastAsia="Times New Roman" w:hAnsi="Times New Roman" w:cs="Times New Roman"/>
          <w:color w:val="000000"/>
          <w:sz w:val="26"/>
          <w:szCs w:val="26"/>
          <w:lang w:eastAsia="ru-RU"/>
        </w:rPr>
        <w:t>о</w:t>
      </w:r>
      <w:r w:rsidRPr="001203DA">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 xml:space="preserve"> </w:t>
      </w:r>
      <w:r w:rsidRPr="001203DA">
        <w:rPr>
          <w:rFonts w:ascii="Times New Roman" w:eastAsia="Times New Roman" w:hAnsi="Times New Roman" w:cs="Times New Roman"/>
          <w:color w:val="000000"/>
          <w:sz w:val="26"/>
          <w:szCs w:val="26"/>
          <w:lang w:eastAsia="ru-RU"/>
        </w:rPr>
        <w:t>правоприемником является СНТ Хоперские дали</w:t>
      </w:r>
      <w:r>
        <w:rPr>
          <w:rFonts w:ascii="Times New Roman" w:eastAsia="Times New Roman" w:hAnsi="Times New Roman" w:cs="Times New Roman"/>
          <w:color w:val="000000"/>
          <w:sz w:val="26"/>
          <w:szCs w:val="26"/>
          <w:lang w:eastAsia="ru-RU"/>
        </w:rPr>
        <w:t xml:space="preserve">. Учитывая </w:t>
      </w:r>
      <w:r w:rsidRPr="00517845">
        <w:rPr>
          <w:rFonts w:ascii="Times New Roman" w:eastAsia="Times New Roman" w:hAnsi="Times New Roman" w:cs="Times New Roman"/>
          <w:color w:val="000000"/>
          <w:sz w:val="26"/>
          <w:szCs w:val="26"/>
          <w:lang w:eastAsia="ru-RU"/>
        </w:rPr>
        <w:t xml:space="preserve">вышеизложенное, им присвоен </w:t>
      </w:r>
      <w:r>
        <w:rPr>
          <w:rFonts w:ascii="Times New Roman" w:hAnsi="Times New Roman" w:cs="Times New Roman"/>
          <w:sz w:val="26"/>
          <w:szCs w:val="26"/>
        </w:rPr>
        <w:t>ИНДЕКС СОД</w:t>
      </w:r>
      <w:r w:rsidRPr="00517845">
        <w:rPr>
          <w:rFonts w:ascii="Times New Roman" w:hAnsi="Times New Roman" w:cs="Times New Roman"/>
          <w:sz w:val="26"/>
          <w:szCs w:val="26"/>
        </w:rPr>
        <w:t>- Борисоглебский/Хоперские дали/Химмаш.</w:t>
      </w:r>
    </w:p>
    <w:p w14:paraId="7A757DA6" w14:textId="77777777" w:rsidR="00A84061" w:rsidRPr="00517845" w:rsidRDefault="00A84061" w:rsidP="00A84061">
      <w:pPr>
        <w:pStyle w:val="ab"/>
        <w:numPr>
          <w:ilvl w:val="0"/>
          <w:numId w:val="35"/>
        </w:numPr>
        <w:spacing w:before="120" w:after="0" w:line="276" w:lineRule="auto"/>
        <w:ind w:left="0" w:firstLine="709"/>
        <w:jc w:val="both"/>
        <w:rPr>
          <w:rFonts w:ascii="Times New Roman" w:eastAsia="Times New Roman" w:hAnsi="Times New Roman" w:cs="Times New Roman"/>
          <w:sz w:val="26"/>
          <w:szCs w:val="26"/>
          <w:lang w:eastAsia="ru-RU"/>
        </w:rPr>
      </w:pPr>
      <w:r w:rsidRPr="00517845">
        <w:rPr>
          <w:rFonts w:ascii="Times New Roman" w:eastAsia="Times New Roman" w:hAnsi="Times New Roman" w:cs="Times New Roman"/>
          <w:sz w:val="26"/>
          <w:szCs w:val="26"/>
          <w:lang w:eastAsia="ru-RU"/>
        </w:rPr>
        <w:t>В отношении ряда СОД объединений органами местного самоуправления не предоставлены ценообразующие факторы, поэтому значения ценообразующих факторов принимались равными значениям в соответствующих кварталах:</w:t>
      </w:r>
    </w:p>
    <w:p w14:paraId="08622FBC" w14:textId="77777777" w:rsidR="00A84061" w:rsidRPr="00517845" w:rsidRDefault="00A84061" w:rsidP="00A84061">
      <w:pPr>
        <w:pStyle w:val="ab"/>
        <w:numPr>
          <w:ilvl w:val="0"/>
          <w:numId w:val="36"/>
        </w:numPr>
        <w:jc w:val="both"/>
        <w:rPr>
          <w:rFonts w:ascii="Times New Roman" w:hAnsi="Times New Roman" w:cs="Times New Roman"/>
          <w:sz w:val="26"/>
          <w:szCs w:val="26"/>
        </w:rPr>
      </w:pPr>
      <w:r w:rsidRPr="00517845">
        <w:rPr>
          <w:rFonts w:ascii="Times New Roman" w:hAnsi="Times New Roman" w:cs="Times New Roman"/>
          <w:sz w:val="26"/>
          <w:szCs w:val="26"/>
        </w:rPr>
        <w:t xml:space="preserve">Для СТ «Горизонт Горожанское с/п», расположенного в Рамонском районе, приняты соответсвующими, расположенным в кварталах 36:25:6991000; 36:25:6945015. </w:t>
      </w:r>
    </w:p>
    <w:p w14:paraId="39CDFE76" w14:textId="77777777" w:rsidR="00A84061" w:rsidRPr="00517845" w:rsidRDefault="00A84061" w:rsidP="00A84061">
      <w:pPr>
        <w:pStyle w:val="ab"/>
        <w:numPr>
          <w:ilvl w:val="0"/>
          <w:numId w:val="36"/>
        </w:numPr>
        <w:jc w:val="both"/>
        <w:rPr>
          <w:rFonts w:ascii="Times New Roman" w:hAnsi="Times New Roman" w:cs="Times New Roman"/>
          <w:sz w:val="26"/>
          <w:szCs w:val="26"/>
        </w:rPr>
      </w:pPr>
      <w:r w:rsidRPr="00517845">
        <w:rPr>
          <w:rFonts w:ascii="Times New Roman" w:hAnsi="Times New Roman" w:cs="Times New Roman"/>
          <w:sz w:val="26"/>
          <w:szCs w:val="26"/>
        </w:rPr>
        <w:t>НСТ «Горизонт Рускогвоздевское с/п» в кварталах 36:25:6824000; 36:25:6826019.</w:t>
      </w:r>
    </w:p>
    <w:p w14:paraId="2EA7D36E" w14:textId="77777777" w:rsidR="00A84061" w:rsidRPr="00517845" w:rsidRDefault="00A84061" w:rsidP="00A84061">
      <w:pPr>
        <w:pStyle w:val="ab"/>
        <w:numPr>
          <w:ilvl w:val="0"/>
          <w:numId w:val="36"/>
        </w:numPr>
        <w:jc w:val="both"/>
        <w:rPr>
          <w:rFonts w:ascii="Times New Roman" w:hAnsi="Times New Roman" w:cs="Times New Roman"/>
          <w:sz w:val="26"/>
          <w:szCs w:val="26"/>
        </w:rPr>
      </w:pPr>
      <w:r w:rsidRPr="00517845">
        <w:rPr>
          <w:rFonts w:ascii="Times New Roman" w:hAnsi="Times New Roman" w:cs="Times New Roman"/>
          <w:sz w:val="26"/>
          <w:szCs w:val="26"/>
        </w:rPr>
        <w:t>ПСК «Дон Новоживотинновское с/п», расположенное в Рамонском районе, в кварталах 36:25:6985000; СНТ«Дон Скляевское с/п» в кварталах 36:25:6811000.</w:t>
      </w:r>
    </w:p>
    <w:p w14:paraId="7766DF46" w14:textId="77777777" w:rsidR="00A84061" w:rsidRPr="00517845" w:rsidRDefault="00A84061" w:rsidP="00A84061">
      <w:pPr>
        <w:pStyle w:val="ab"/>
        <w:numPr>
          <w:ilvl w:val="0"/>
          <w:numId w:val="36"/>
        </w:numPr>
        <w:jc w:val="both"/>
        <w:rPr>
          <w:rFonts w:ascii="Times New Roman" w:hAnsi="Times New Roman" w:cs="Times New Roman"/>
          <w:sz w:val="26"/>
          <w:szCs w:val="26"/>
        </w:rPr>
      </w:pPr>
      <w:r w:rsidRPr="00517845">
        <w:rPr>
          <w:rFonts w:ascii="Times New Roman" w:hAnsi="Times New Roman" w:cs="Times New Roman"/>
          <w:sz w:val="26"/>
          <w:szCs w:val="26"/>
        </w:rPr>
        <w:t>СТ «Донские зори Горожанское с/п», расположенное в Рамонском районе   в кварталах 36:25:6903000; СТ «Донские зори Скляевское с/п» в кварталах 36:25:6903000.</w:t>
      </w:r>
    </w:p>
    <w:p w14:paraId="40908919" w14:textId="77777777" w:rsidR="00A84061" w:rsidRPr="00F41E8C" w:rsidRDefault="00A84061" w:rsidP="00A84061">
      <w:pPr>
        <w:pStyle w:val="ab"/>
        <w:numPr>
          <w:ilvl w:val="0"/>
          <w:numId w:val="35"/>
        </w:numPr>
        <w:spacing w:before="120" w:after="0" w:line="276"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объектов-аналогов </w:t>
      </w:r>
      <w:r w:rsidRPr="00F11846">
        <w:rPr>
          <w:rFonts w:ascii="Times New Roman" w:eastAsia="Times New Roman" w:hAnsi="Times New Roman" w:cs="Times New Roman"/>
          <w:sz w:val="26"/>
          <w:szCs w:val="26"/>
          <w:lang w:eastAsia="ru-RU"/>
        </w:rPr>
        <w:t xml:space="preserve">«13:13:021:36:12:20.04.2021:34235206» и «13:13:021:36:12:20.04.2021:34235106» </w:t>
      </w:r>
      <w:r>
        <w:rPr>
          <w:rFonts w:ascii="Times New Roman" w:eastAsia="Times New Roman" w:hAnsi="Times New Roman" w:cs="Times New Roman"/>
          <w:sz w:val="26"/>
          <w:szCs w:val="26"/>
          <w:lang w:eastAsia="ru-RU"/>
        </w:rPr>
        <w:t xml:space="preserve">значения ценообразующих факторов приняты соответствующими значениям ценообразующих факторов объектов оценки - </w:t>
      </w:r>
      <w:r w:rsidRPr="00F11846">
        <w:rPr>
          <w:rFonts w:ascii="Times New Roman" w:eastAsia="Times New Roman" w:hAnsi="Times New Roman" w:cs="Times New Roman"/>
          <w:sz w:val="26"/>
          <w:szCs w:val="26"/>
          <w:lang w:eastAsia="ru-RU"/>
        </w:rPr>
        <w:t>36:12:6301000:405 и 36:12:6301000:29 соответственно.</w:t>
      </w:r>
    </w:p>
    <w:p w14:paraId="03E869EA" w14:textId="444A6CA9" w:rsidR="00A84061" w:rsidRDefault="00A84061" w:rsidP="00A84061">
      <w:pPr>
        <w:jc w:val="both"/>
      </w:pPr>
      <w:r w:rsidRPr="00F11846">
        <w:rPr>
          <w:rFonts w:ascii="Times New Roman" w:eastAsia="Times New Roman" w:hAnsi="Times New Roman" w:cs="Times New Roman"/>
          <w:sz w:val="26"/>
          <w:szCs w:val="26"/>
          <w:lang w:eastAsia="ru-RU"/>
        </w:rPr>
        <w:t>В СНТ «Оазис»</w:t>
      </w:r>
      <w:r>
        <w:rPr>
          <w:rFonts w:ascii="Times New Roman" w:eastAsia="Times New Roman" w:hAnsi="Times New Roman" w:cs="Times New Roman"/>
          <w:sz w:val="26"/>
          <w:szCs w:val="26"/>
          <w:lang w:eastAsia="ru-RU"/>
        </w:rPr>
        <w:t xml:space="preserve"> </w:t>
      </w:r>
      <w:r w:rsidRPr="00F11846">
        <w:rPr>
          <w:rFonts w:ascii="Times New Roman" w:eastAsia="Times New Roman" w:hAnsi="Times New Roman" w:cs="Times New Roman"/>
          <w:sz w:val="26"/>
          <w:szCs w:val="26"/>
          <w:lang w:eastAsia="ru-RU"/>
        </w:rPr>
        <w:t>Хохольск</w:t>
      </w:r>
      <w:r>
        <w:rPr>
          <w:rFonts w:ascii="Times New Roman" w:eastAsia="Times New Roman" w:hAnsi="Times New Roman" w:cs="Times New Roman"/>
          <w:sz w:val="26"/>
          <w:szCs w:val="26"/>
          <w:lang w:eastAsia="ru-RU"/>
        </w:rPr>
        <w:t>ого района</w:t>
      </w:r>
      <w:r w:rsidRPr="00F11846">
        <w:rPr>
          <w:rFonts w:ascii="Times New Roman" w:eastAsia="Times New Roman" w:hAnsi="Times New Roman" w:cs="Times New Roman"/>
          <w:sz w:val="26"/>
          <w:szCs w:val="26"/>
          <w:lang w:eastAsia="ru-RU"/>
        </w:rPr>
        <w:t>, «Учитель» Грибановск</w:t>
      </w:r>
      <w:r>
        <w:rPr>
          <w:rFonts w:ascii="Times New Roman" w:eastAsia="Times New Roman" w:hAnsi="Times New Roman" w:cs="Times New Roman"/>
          <w:sz w:val="26"/>
          <w:szCs w:val="26"/>
          <w:lang w:eastAsia="ru-RU"/>
        </w:rPr>
        <w:t>ого района,</w:t>
      </w:r>
      <w:r w:rsidRPr="00F11846">
        <w:rPr>
          <w:rFonts w:ascii="Times New Roman" w:eastAsia="Times New Roman" w:hAnsi="Times New Roman" w:cs="Times New Roman"/>
          <w:sz w:val="26"/>
          <w:szCs w:val="26"/>
          <w:lang w:eastAsia="ru-RU"/>
        </w:rPr>
        <w:t xml:space="preserve"> «Мебельщик»</w:t>
      </w:r>
      <w:r>
        <w:rPr>
          <w:rFonts w:ascii="Times New Roman" w:eastAsia="Times New Roman" w:hAnsi="Times New Roman" w:cs="Times New Roman"/>
          <w:sz w:val="26"/>
          <w:szCs w:val="26"/>
          <w:lang w:eastAsia="ru-RU"/>
        </w:rPr>
        <w:t xml:space="preserve"> </w:t>
      </w:r>
      <w:r w:rsidRPr="00F11846">
        <w:rPr>
          <w:rFonts w:ascii="Times New Roman" w:eastAsia="Times New Roman" w:hAnsi="Times New Roman" w:cs="Times New Roman"/>
          <w:sz w:val="26"/>
          <w:szCs w:val="26"/>
          <w:lang w:eastAsia="ru-RU"/>
        </w:rPr>
        <w:t>Грибановск</w:t>
      </w:r>
      <w:r>
        <w:rPr>
          <w:rFonts w:ascii="Times New Roman" w:eastAsia="Times New Roman" w:hAnsi="Times New Roman" w:cs="Times New Roman"/>
          <w:sz w:val="26"/>
          <w:szCs w:val="26"/>
          <w:lang w:eastAsia="ru-RU"/>
        </w:rPr>
        <w:t>ого района</w:t>
      </w:r>
      <w:r w:rsidRPr="00F11846">
        <w:rPr>
          <w:rFonts w:ascii="Times New Roman" w:eastAsia="Times New Roman" w:hAnsi="Times New Roman" w:cs="Times New Roman"/>
          <w:sz w:val="26"/>
          <w:szCs w:val="26"/>
          <w:lang w:eastAsia="ru-RU"/>
        </w:rPr>
        <w:t>, «Медик»</w:t>
      </w:r>
      <w:r>
        <w:rPr>
          <w:rFonts w:ascii="Times New Roman" w:eastAsia="Times New Roman" w:hAnsi="Times New Roman" w:cs="Times New Roman"/>
          <w:sz w:val="26"/>
          <w:szCs w:val="26"/>
          <w:lang w:eastAsia="ru-RU"/>
        </w:rPr>
        <w:t xml:space="preserve"> </w:t>
      </w:r>
      <w:r w:rsidRPr="00F11846">
        <w:rPr>
          <w:rFonts w:ascii="Times New Roman" w:eastAsia="Times New Roman" w:hAnsi="Times New Roman" w:cs="Times New Roman"/>
          <w:sz w:val="26"/>
          <w:szCs w:val="26"/>
          <w:lang w:eastAsia="ru-RU"/>
        </w:rPr>
        <w:t>Грибановск</w:t>
      </w:r>
      <w:r>
        <w:rPr>
          <w:rFonts w:ascii="Times New Roman" w:eastAsia="Times New Roman" w:hAnsi="Times New Roman" w:cs="Times New Roman"/>
          <w:sz w:val="26"/>
          <w:szCs w:val="26"/>
          <w:lang w:eastAsia="ru-RU"/>
        </w:rPr>
        <w:t xml:space="preserve">ого района значение ценообразующего факотра </w:t>
      </w:r>
      <w:r w:rsidRPr="00F11846">
        <w:rPr>
          <w:rFonts w:ascii="Times New Roman" w:eastAsia="Times New Roman" w:hAnsi="Times New Roman" w:cs="Times New Roman"/>
          <w:sz w:val="26"/>
          <w:szCs w:val="26"/>
          <w:lang w:eastAsia="ru-RU"/>
        </w:rPr>
        <w:t>СНП Расстояние от населенного пункта до центра субъекта РФ (г. Воронеж)</w:t>
      </w:r>
      <w:r>
        <w:rPr>
          <w:rFonts w:ascii="Times New Roman" w:eastAsia="Times New Roman" w:hAnsi="Times New Roman" w:cs="Times New Roman"/>
          <w:sz w:val="26"/>
          <w:szCs w:val="26"/>
          <w:lang w:eastAsia="ru-RU"/>
        </w:rPr>
        <w:t xml:space="preserve"> принято равным</w:t>
      </w:r>
      <w:r w:rsidRPr="00F11846">
        <w:rPr>
          <w:rFonts w:ascii="Times New Roman" w:eastAsia="Times New Roman" w:hAnsi="Times New Roman" w:cs="Times New Roman"/>
          <w:sz w:val="26"/>
          <w:szCs w:val="26"/>
          <w:lang w:eastAsia="ru-RU"/>
        </w:rPr>
        <w:t xml:space="preserve"> «_Расстояние до центра субъекта РФ (г. Воронеж)»</w:t>
      </w:r>
      <w:r>
        <w:rPr>
          <w:rFonts w:ascii="Times New Roman" w:eastAsia="Times New Roman" w:hAnsi="Times New Roman" w:cs="Times New Roman"/>
          <w:sz w:val="26"/>
          <w:szCs w:val="26"/>
          <w:lang w:eastAsia="ru-RU"/>
        </w:rPr>
        <w:t>.</w:t>
      </w:r>
    </w:p>
    <w:p w14:paraId="60C9B4A8" w14:textId="027781F0" w:rsidR="00B24289" w:rsidRPr="00DD1C8B" w:rsidRDefault="001A34D6" w:rsidP="00B24289">
      <w:pPr>
        <w:pStyle w:val="20"/>
        <w:spacing w:after="120" w:line="276" w:lineRule="auto"/>
        <w:rPr>
          <w:rFonts w:cs="Times New Roman"/>
          <w:sz w:val="26"/>
        </w:rPr>
      </w:pPr>
      <w:r>
        <w:rPr>
          <w:rFonts w:cs="Times New Roman"/>
          <w:sz w:val="26"/>
        </w:rPr>
        <w:br w:type="page"/>
      </w:r>
      <w:bookmarkStart w:id="53" w:name="_Toc75965864"/>
      <w:bookmarkStart w:id="54" w:name="_Toc110506934"/>
      <w:r w:rsidR="00B24289" w:rsidRPr="00DD1C8B">
        <w:rPr>
          <w:rFonts w:cs="Times New Roman"/>
          <w:sz w:val="26"/>
        </w:rPr>
        <w:t>2.</w:t>
      </w:r>
      <w:r w:rsidR="00DD1C8B" w:rsidRPr="00DD1C8B">
        <w:rPr>
          <w:rFonts w:cs="Times New Roman"/>
          <w:sz w:val="26"/>
        </w:rPr>
        <w:t>10</w:t>
      </w:r>
      <w:r w:rsidR="00B24289" w:rsidRPr="00DD1C8B">
        <w:rPr>
          <w:rFonts w:cs="Times New Roman"/>
          <w:sz w:val="26"/>
        </w:rPr>
        <w:t xml:space="preserve"> Мероприятия по определению кадастровой стоимости</w:t>
      </w:r>
      <w:bookmarkEnd w:id="53"/>
      <w:bookmarkEnd w:id="54"/>
    </w:p>
    <w:p w14:paraId="352473DD" w14:textId="77777777" w:rsidR="00B24289" w:rsidRPr="00DD1C8B" w:rsidRDefault="00B24289" w:rsidP="00B24289">
      <w:pPr>
        <w:spacing w:after="0" w:line="276" w:lineRule="auto"/>
        <w:ind w:firstLine="709"/>
        <w:jc w:val="both"/>
        <w:rPr>
          <w:rFonts w:ascii="Times New Roman" w:eastAsia="Times New Roman" w:hAnsi="Times New Roman" w:cs="Times New Roman"/>
          <w:spacing w:val="-5"/>
          <w:sz w:val="26"/>
          <w:szCs w:val="26"/>
        </w:rPr>
      </w:pPr>
      <w:r w:rsidRPr="00DD1C8B">
        <w:rPr>
          <w:rFonts w:ascii="Times New Roman" w:eastAsia="Times New Roman" w:hAnsi="Times New Roman" w:cs="Times New Roman"/>
          <w:spacing w:val="-5"/>
          <w:sz w:val="26"/>
          <w:szCs w:val="26"/>
        </w:rPr>
        <w:t>В соответствие с требованиями Указаний (п. 15), в процессе определения кадастровой стоимости оцениваемых объектов выполнены следующие мероприятия:</w:t>
      </w:r>
    </w:p>
    <w:p w14:paraId="527DAF2A" w14:textId="77777777" w:rsidR="00B24289" w:rsidRPr="00DD1C8B" w:rsidRDefault="00B24289" w:rsidP="00B24289">
      <w:pPr>
        <w:spacing w:after="0" w:line="276" w:lineRule="auto"/>
        <w:ind w:firstLine="709"/>
        <w:jc w:val="both"/>
        <w:rPr>
          <w:rFonts w:ascii="Times New Roman" w:eastAsia="Times New Roman" w:hAnsi="Times New Roman" w:cs="Times New Roman"/>
          <w:spacing w:val="-5"/>
          <w:sz w:val="26"/>
          <w:szCs w:val="26"/>
        </w:rPr>
      </w:pPr>
      <w:r w:rsidRPr="00DD1C8B">
        <w:rPr>
          <w:rFonts w:ascii="Times New Roman" w:eastAsia="Times New Roman" w:hAnsi="Times New Roman" w:cs="Times New Roman"/>
          <w:spacing w:val="-5"/>
          <w:sz w:val="26"/>
          <w:szCs w:val="26"/>
        </w:rPr>
        <w:t>определение ценообразующих факторов объектов недвижимости (далее - ценообразующие факторы);</w:t>
      </w:r>
    </w:p>
    <w:p w14:paraId="3AB5BBD8" w14:textId="77777777" w:rsidR="00B24289" w:rsidRPr="00DD1C8B" w:rsidRDefault="00B24289" w:rsidP="00B24289">
      <w:pPr>
        <w:spacing w:after="0" w:line="276" w:lineRule="auto"/>
        <w:ind w:firstLine="709"/>
        <w:jc w:val="both"/>
        <w:rPr>
          <w:rFonts w:ascii="Times New Roman" w:eastAsia="Times New Roman" w:hAnsi="Times New Roman" w:cs="Times New Roman"/>
          <w:spacing w:val="-5"/>
          <w:sz w:val="26"/>
          <w:szCs w:val="26"/>
        </w:rPr>
      </w:pPr>
      <w:r w:rsidRPr="00DD1C8B">
        <w:rPr>
          <w:rFonts w:ascii="Times New Roman" w:eastAsia="Times New Roman" w:hAnsi="Times New Roman" w:cs="Times New Roman"/>
          <w:spacing w:val="-5"/>
          <w:sz w:val="26"/>
          <w:szCs w:val="26"/>
        </w:rPr>
        <w:t>первичная группировка объектов недвижимости на основе сегментации объектов недвижимости, предусмотренной Указаниями;</w:t>
      </w:r>
    </w:p>
    <w:p w14:paraId="68F42249" w14:textId="77777777" w:rsidR="00B24289" w:rsidRPr="00DD1C8B" w:rsidRDefault="00B24289" w:rsidP="00B24289">
      <w:pPr>
        <w:spacing w:after="0" w:line="276" w:lineRule="auto"/>
        <w:ind w:firstLine="709"/>
        <w:jc w:val="both"/>
        <w:rPr>
          <w:rFonts w:ascii="Times New Roman" w:eastAsia="Times New Roman" w:hAnsi="Times New Roman" w:cs="Times New Roman"/>
          <w:spacing w:val="-5"/>
          <w:sz w:val="26"/>
          <w:szCs w:val="26"/>
        </w:rPr>
      </w:pPr>
      <w:r w:rsidRPr="00DD1C8B">
        <w:rPr>
          <w:rFonts w:ascii="Times New Roman" w:eastAsia="Times New Roman" w:hAnsi="Times New Roman" w:cs="Times New Roman"/>
          <w:spacing w:val="-5"/>
          <w:sz w:val="26"/>
          <w:szCs w:val="26"/>
        </w:rPr>
        <w:t>сбор сведений о значениях ценообразующих факторов;</w:t>
      </w:r>
    </w:p>
    <w:p w14:paraId="78D43C08" w14:textId="77777777" w:rsidR="00B24289" w:rsidRPr="00DD1C8B" w:rsidRDefault="00B24289" w:rsidP="00B24289">
      <w:pPr>
        <w:spacing w:after="0" w:line="276" w:lineRule="auto"/>
        <w:ind w:firstLine="709"/>
        <w:jc w:val="both"/>
        <w:rPr>
          <w:rFonts w:ascii="Times New Roman" w:eastAsia="Times New Roman" w:hAnsi="Times New Roman" w:cs="Times New Roman"/>
          <w:spacing w:val="-5"/>
          <w:sz w:val="26"/>
          <w:szCs w:val="26"/>
        </w:rPr>
      </w:pPr>
      <w:r w:rsidRPr="00DD1C8B">
        <w:rPr>
          <w:rFonts w:ascii="Times New Roman" w:eastAsia="Times New Roman" w:hAnsi="Times New Roman" w:cs="Times New Roman"/>
          <w:spacing w:val="-5"/>
          <w:sz w:val="26"/>
          <w:szCs w:val="26"/>
        </w:rPr>
        <w:t>сбор рыночной информации;</w:t>
      </w:r>
    </w:p>
    <w:p w14:paraId="0110063B" w14:textId="77777777" w:rsidR="00B24289" w:rsidRPr="00DD1C8B" w:rsidRDefault="00B24289" w:rsidP="00B24289">
      <w:pPr>
        <w:spacing w:after="0" w:line="276" w:lineRule="auto"/>
        <w:ind w:firstLine="709"/>
        <w:jc w:val="both"/>
        <w:rPr>
          <w:rFonts w:ascii="Times New Roman" w:eastAsia="Times New Roman" w:hAnsi="Times New Roman" w:cs="Times New Roman"/>
          <w:spacing w:val="-5"/>
          <w:sz w:val="26"/>
          <w:szCs w:val="26"/>
        </w:rPr>
      </w:pPr>
      <w:r w:rsidRPr="00DD1C8B">
        <w:rPr>
          <w:rFonts w:ascii="Times New Roman" w:eastAsia="Times New Roman" w:hAnsi="Times New Roman" w:cs="Times New Roman"/>
          <w:spacing w:val="-5"/>
          <w:sz w:val="26"/>
          <w:szCs w:val="26"/>
        </w:rPr>
        <w:t>группировка объектов недвижимости;</w:t>
      </w:r>
    </w:p>
    <w:p w14:paraId="5ECBBAB5" w14:textId="77777777" w:rsidR="00B24289" w:rsidRPr="00DD1C8B" w:rsidRDefault="00B24289" w:rsidP="00B24289">
      <w:pPr>
        <w:spacing w:after="0" w:line="276" w:lineRule="auto"/>
        <w:ind w:firstLine="709"/>
        <w:jc w:val="both"/>
        <w:rPr>
          <w:rFonts w:ascii="Times New Roman" w:eastAsia="Times New Roman" w:hAnsi="Times New Roman" w:cs="Times New Roman"/>
          <w:spacing w:val="-5"/>
          <w:sz w:val="26"/>
          <w:szCs w:val="26"/>
        </w:rPr>
      </w:pPr>
      <w:r w:rsidRPr="00DD1C8B">
        <w:rPr>
          <w:rFonts w:ascii="Times New Roman" w:eastAsia="Times New Roman" w:hAnsi="Times New Roman" w:cs="Times New Roman"/>
          <w:spacing w:val="-5"/>
          <w:sz w:val="26"/>
          <w:szCs w:val="26"/>
        </w:rPr>
        <w:t>построение модели оценки кадастровой стоимости и обоснование выбора вида модели оценки кадастровой стоимости;</w:t>
      </w:r>
    </w:p>
    <w:p w14:paraId="48C69137" w14:textId="77777777" w:rsidR="00B24289" w:rsidRPr="00DD1C8B" w:rsidRDefault="00B24289" w:rsidP="00B24289">
      <w:pPr>
        <w:spacing w:after="0" w:line="276" w:lineRule="auto"/>
        <w:ind w:firstLine="709"/>
        <w:jc w:val="both"/>
        <w:rPr>
          <w:rFonts w:ascii="Times New Roman" w:eastAsia="Times New Roman" w:hAnsi="Times New Roman" w:cs="Times New Roman"/>
          <w:spacing w:val="-5"/>
          <w:sz w:val="26"/>
          <w:szCs w:val="26"/>
        </w:rPr>
      </w:pPr>
      <w:r w:rsidRPr="00DD1C8B">
        <w:rPr>
          <w:rFonts w:ascii="Times New Roman" w:eastAsia="Times New Roman" w:hAnsi="Times New Roman" w:cs="Times New Roman"/>
          <w:spacing w:val="-5"/>
          <w:sz w:val="26"/>
          <w:szCs w:val="26"/>
        </w:rPr>
        <w:t>анализ качества модели оценки кадастровой стоимости;</w:t>
      </w:r>
    </w:p>
    <w:p w14:paraId="04BDB9A9" w14:textId="77777777" w:rsidR="00B24289" w:rsidRPr="00DD1C8B" w:rsidRDefault="00B24289" w:rsidP="00B24289">
      <w:pPr>
        <w:spacing w:after="0" w:line="276" w:lineRule="auto"/>
        <w:ind w:firstLine="709"/>
        <w:jc w:val="both"/>
        <w:rPr>
          <w:rFonts w:ascii="Times New Roman" w:eastAsia="Times New Roman" w:hAnsi="Times New Roman" w:cs="Times New Roman"/>
          <w:spacing w:val="-5"/>
          <w:sz w:val="26"/>
          <w:szCs w:val="26"/>
        </w:rPr>
      </w:pPr>
      <w:r w:rsidRPr="00DD1C8B">
        <w:rPr>
          <w:rFonts w:ascii="Times New Roman" w:eastAsia="Times New Roman" w:hAnsi="Times New Roman" w:cs="Times New Roman"/>
          <w:spacing w:val="-5"/>
          <w:sz w:val="26"/>
          <w:szCs w:val="26"/>
        </w:rPr>
        <w:t>расчет кадастровой стоимости, включая индивидуальные расчеты для объектов недвижимости, по которым невозможно выполнить определение кадастровой стоимости методами массовой оценки, а также в случаях, указанных в пункте 49 Указаний;</w:t>
      </w:r>
    </w:p>
    <w:p w14:paraId="7D88313A" w14:textId="77777777" w:rsidR="00B24289" w:rsidRPr="00DD1C8B" w:rsidRDefault="00B24289" w:rsidP="00B24289">
      <w:pPr>
        <w:spacing w:after="0" w:line="276" w:lineRule="auto"/>
        <w:ind w:firstLine="709"/>
        <w:jc w:val="both"/>
        <w:rPr>
          <w:rFonts w:ascii="Times New Roman" w:eastAsia="Times New Roman" w:hAnsi="Times New Roman" w:cs="Times New Roman"/>
          <w:spacing w:val="-5"/>
          <w:sz w:val="26"/>
          <w:szCs w:val="26"/>
        </w:rPr>
      </w:pPr>
      <w:r w:rsidRPr="00DD1C8B">
        <w:rPr>
          <w:rFonts w:ascii="Times New Roman" w:eastAsia="Times New Roman" w:hAnsi="Times New Roman" w:cs="Times New Roman"/>
          <w:spacing w:val="-5"/>
          <w:sz w:val="26"/>
          <w:szCs w:val="26"/>
        </w:rPr>
        <w:t>анализ результатов определения кадастровой стоимости;</w:t>
      </w:r>
    </w:p>
    <w:p w14:paraId="6CD57E0C" w14:textId="4E8884D8" w:rsidR="00B24289" w:rsidRDefault="00B24289" w:rsidP="00B24289">
      <w:pPr>
        <w:spacing w:after="0" w:line="276" w:lineRule="auto"/>
        <w:ind w:firstLine="709"/>
        <w:jc w:val="both"/>
      </w:pPr>
      <w:r w:rsidRPr="00DD1C8B">
        <w:rPr>
          <w:rFonts w:ascii="Times New Roman" w:eastAsia="Times New Roman" w:hAnsi="Times New Roman" w:cs="Times New Roman"/>
          <w:spacing w:val="-5"/>
          <w:sz w:val="26"/>
          <w:szCs w:val="26"/>
        </w:rPr>
        <w:t xml:space="preserve">составление отчета об итогах государственной кадастровой оценки в порядке, установленном </w:t>
      </w:r>
      <w:hyperlink r:id="rId49" w:history="1">
        <w:r w:rsidRPr="00DD1C8B">
          <w:rPr>
            <w:rFonts w:ascii="Times New Roman" w:eastAsia="Times New Roman" w:hAnsi="Times New Roman" w:cs="Times New Roman"/>
            <w:spacing w:val="-5"/>
            <w:sz w:val="26"/>
            <w:szCs w:val="26"/>
          </w:rPr>
          <w:t>приказом</w:t>
        </w:r>
      </w:hyperlink>
      <w:r w:rsidRPr="00DD1C8B">
        <w:rPr>
          <w:rFonts w:ascii="Times New Roman" w:eastAsia="Times New Roman" w:hAnsi="Times New Roman" w:cs="Times New Roman"/>
          <w:spacing w:val="-5"/>
          <w:sz w:val="26"/>
          <w:szCs w:val="26"/>
        </w:rPr>
        <w:t xml:space="preserve"> Росреестра от </w:t>
      </w:r>
      <w:r w:rsidR="00DD1C8B">
        <w:rPr>
          <w:rFonts w:ascii="Times New Roman" w:eastAsia="Times New Roman" w:hAnsi="Times New Roman" w:cs="Times New Roman"/>
          <w:spacing w:val="-5"/>
          <w:sz w:val="26"/>
          <w:szCs w:val="26"/>
        </w:rPr>
        <w:t>14</w:t>
      </w:r>
      <w:r w:rsidRPr="00DD1C8B">
        <w:rPr>
          <w:rFonts w:ascii="Times New Roman" w:eastAsia="Times New Roman" w:hAnsi="Times New Roman" w:cs="Times New Roman"/>
          <w:spacing w:val="-5"/>
          <w:sz w:val="26"/>
          <w:szCs w:val="26"/>
        </w:rPr>
        <w:t xml:space="preserve"> </w:t>
      </w:r>
      <w:r w:rsidR="00DD1C8B">
        <w:rPr>
          <w:rFonts w:ascii="Times New Roman" w:eastAsia="Times New Roman" w:hAnsi="Times New Roman" w:cs="Times New Roman"/>
          <w:spacing w:val="-5"/>
          <w:sz w:val="26"/>
          <w:szCs w:val="26"/>
        </w:rPr>
        <w:t>июня</w:t>
      </w:r>
      <w:r w:rsidRPr="00DD1C8B">
        <w:rPr>
          <w:rFonts w:ascii="Times New Roman" w:eastAsia="Times New Roman" w:hAnsi="Times New Roman" w:cs="Times New Roman"/>
          <w:spacing w:val="-5"/>
          <w:sz w:val="26"/>
          <w:szCs w:val="26"/>
        </w:rPr>
        <w:t xml:space="preserve"> 202</w:t>
      </w:r>
      <w:r w:rsidR="00DD1C8B">
        <w:rPr>
          <w:rFonts w:ascii="Times New Roman" w:eastAsia="Times New Roman" w:hAnsi="Times New Roman" w:cs="Times New Roman"/>
          <w:spacing w:val="-5"/>
          <w:sz w:val="26"/>
          <w:szCs w:val="26"/>
        </w:rPr>
        <w:t>2</w:t>
      </w:r>
      <w:r w:rsidRPr="00DD1C8B">
        <w:rPr>
          <w:rFonts w:ascii="Times New Roman" w:eastAsia="Times New Roman" w:hAnsi="Times New Roman" w:cs="Times New Roman"/>
          <w:spacing w:val="-5"/>
          <w:sz w:val="26"/>
          <w:szCs w:val="26"/>
        </w:rPr>
        <w:t xml:space="preserve"> г. № П/02</w:t>
      </w:r>
      <w:r w:rsidR="00DD1C8B">
        <w:rPr>
          <w:rFonts w:ascii="Times New Roman" w:eastAsia="Times New Roman" w:hAnsi="Times New Roman" w:cs="Times New Roman"/>
          <w:spacing w:val="-5"/>
          <w:sz w:val="26"/>
          <w:szCs w:val="26"/>
        </w:rPr>
        <w:t>25</w:t>
      </w:r>
      <w:r w:rsidRPr="00DD1C8B">
        <w:rPr>
          <w:rFonts w:ascii="Times New Roman" w:eastAsia="Times New Roman" w:hAnsi="Times New Roman" w:cs="Times New Roman"/>
          <w:spacing w:val="-5"/>
          <w:sz w:val="26"/>
          <w:szCs w:val="26"/>
        </w:rPr>
        <w:t xml:space="preserve"> "Об у</w:t>
      </w:r>
      <w:r w:rsidR="00DD1C8B">
        <w:rPr>
          <w:rFonts w:ascii="Times New Roman" w:eastAsia="Times New Roman" w:hAnsi="Times New Roman" w:cs="Times New Roman"/>
          <w:spacing w:val="-5"/>
          <w:sz w:val="26"/>
          <w:szCs w:val="26"/>
        </w:rPr>
        <w:t>становлении</w:t>
      </w:r>
      <w:r w:rsidRPr="00DD1C8B">
        <w:rPr>
          <w:rFonts w:ascii="Times New Roman" w:eastAsia="Times New Roman" w:hAnsi="Times New Roman" w:cs="Times New Roman"/>
          <w:spacing w:val="-5"/>
          <w:sz w:val="26"/>
          <w:szCs w:val="26"/>
        </w:rPr>
        <w:t xml:space="preserve"> Требований к отчету об итогах государственной кадастровой оценки".</w:t>
      </w:r>
    </w:p>
    <w:p w14:paraId="489DBF1E" w14:textId="77777777" w:rsidR="001A34D6" w:rsidRDefault="001A34D6">
      <w:pPr>
        <w:rPr>
          <w:rFonts w:ascii="Times New Roman" w:eastAsiaTheme="majorEastAsia" w:hAnsi="Times New Roman" w:cs="Times New Roman"/>
          <w:b/>
          <w:sz w:val="26"/>
          <w:szCs w:val="26"/>
        </w:rPr>
      </w:pPr>
    </w:p>
    <w:p w14:paraId="19826D7A" w14:textId="1EF8ECBC" w:rsidR="00DF1D2B" w:rsidRPr="0048123C" w:rsidRDefault="00B24289" w:rsidP="00B24289">
      <w:pPr>
        <w:pStyle w:val="20"/>
        <w:spacing w:line="276" w:lineRule="auto"/>
        <w:ind w:left="1347"/>
        <w:rPr>
          <w:rFonts w:cs="Times New Roman"/>
          <w:sz w:val="26"/>
        </w:rPr>
      </w:pPr>
      <w:bookmarkStart w:id="55" w:name="_Toc110506935"/>
      <w:r>
        <w:rPr>
          <w:rFonts w:cs="Times New Roman"/>
          <w:sz w:val="26"/>
        </w:rPr>
        <w:t>2.1</w:t>
      </w:r>
      <w:r w:rsidR="00DD1C8B">
        <w:rPr>
          <w:rFonts w:cs="Times New Roman"/>
          <w:sz w:val="26"/>
        </w:rPr>
        <w:t>1</w:t>
      </w:r>
      <w:r w:rsidR="00DF1D2B">
        <w:rPr>
          <w:rFonts w:cs="Times New Roman"/>
          <w:sz w:val="26"/>
        </w:rPr>
        <w:t xml:space="preserve"> </w:t>
      </w:r>
      <w:r w:rsidR="00DF1D2B" w:rsidRPr="0048123C">
        <w:rPr>
          <w:rFonts w:cs="Times New Roman"/>
          <w:sz w:val="26"/>
        </w:rPr>
        <w:t>Сведения и материалы, содержащие информацию, доступ к которой ограничен</w:t>
      </w:r>
      <w:bookmarkEnd w:id="52"/>
      <w:bookmarkEnd w:id="55"/>
    </w:p>
    <w:p w14:paraId="3BAE94B9" w14:textId="77777777" w:rsidR="00DF1D2B" w:rsidRPr="003F0DDD" w:rsidRDefault="00DF1D2B" w:rsidP="00DF1D2B">
      <w:pPr>
        <w:ind w:firstLine="851"/>
      </w:pPr>
    </w:p>
    <w:p w14:paraId="5FB191B8" w14:textId="77777777" w:rsidR="001516C7" w:rsidRPr="003F0DDD" w:rsidRDefault="001516C7" w:rsidP="001516C7">
      <w:pPr>
        <w:spacing w:after="0" w:line="276" w:lineRule="auto"/>
        <w:ind w:firstLine="709"/>
        <w:jc w:val="both"/>
        <w:rPr>
          <w:rFonts w:ascii="Times New Roman" w:eastAsia="Times New Roman" w:hAnsi="Times New Roman" w:cs="Times New Roman"/>
          <w:spacing w:val="-5"/>
          <w:sz w:val="26"/>
          <w:szCs w:val="26"/>
        </w:rPr>
      </w:pPr>
      <w:r w:rsidRPr="003F0DDD">
        <w:rPr>
          <w:rFonts w:ascii="Times New Roman" w:eastAsia="Times New Roman" w:hAnsi="Times New Roman" w:cs="Times New Roman"/>
          <w:spacing w:val="-5"/>
          <w:sz w:val="26"/>
          <w:szCs w:val="26"/>
        </w:rPr>
        <w:t>Сведения и материалы</w:t>
      </w:r>
      <w:r>
        <w:rPr>
          <w:rFonts w:ascii="Times New Roman" w:eastAsia="Times New Roman" w:hAnsi="Times New Roman" w:cs="Times New Roman"/>
          <w:spacing w:val="-5"/>
          <w:sz w:val="26"/>
          <w:szCs w:val="26"/>
        </w:rPr>
        <w:t xml:space="preserve">, содержащие информацию, доступ к которой ограничен федеральными законами, не включены в основную часть отчета и приложения к ней, а оформлены в виде отдельного приложения к основной части отчета в соответствии с требованиями к основной части отчета и требованиями к приложениям к основной части отчета, находятся в </w:t>
      </w:r>
      <w:r w:rsidRPr="001914A8">
        <w:rPr>
          <w:rFonts w:ascii="Times New Roman" w:eastAsia="Times New Roman" w:hAnsi="Times New Roman" w:cs="Times New Roman"/>
          <w:b/>
          <w:spacing w:val="-5"/>
          <w:sz w:val="26"/>
          <w:szCs w:val="26"/>
        </w:rPr>
        <w:t>Приложении 5</w:t>
      </w:r>
      <w:r w:rsidRPr="002C4A1C">
        <w:rPr>
          <w:rFonts w:ascii="Times New Roman" w:eastAsia="Times New Roman" w:hAnsi="Times New Roman" w:cs="Times New Roman"/>
          <w:spacing w:val="-5"/>
          <w:sz w:val="26"/>
          <w:szCs w:val="26"/>
        </w:rPr>
        <w:t>.</w:t>
      </w:r>
    </w:p>
    <w:p w14:paraId="240CC8DC" w14:textId="77777777" w:rsidR="00DF1D2B" w:rsidRPr="00762008" w:rsidRDefault="00DF1D2B" w:rsidP="00DF1D2B">
      <w:pPr>
        <w:pStyle w:val="1-"/>
        <w:numPr>
          <w:ilvl w:val="0"/>
          <w:numId w:val="0"/>
        </w:numPr>
        <w:tabs>
          <w:tab w:val="left" w:pos="1134"/>
        </w:tabs>
        <w:spacing w:line="276" w:lineRule="auto"/>
        <w:ind w:left="709"/>
        <w:rPr>
          <w:sz w:val="26"/>
          <w:szCs w:val="26"/>
          <w:highlight w:val="yellow"/>
        </w:rPr>
      </w:pPr>
    </w:p>
    <w:p w14:paraId="399AD159" w14:textId="77777777" w:rsidR="007D03C1" w:rsidRPr="00F562A8" w:rsidRDefault="007D03C1" w:rsidP="007D03C1">
      <w:pPr>
        <w:spacing w:line="240" w:lineRule="auto"/>
        <w:jc w:val="both"/>
        <w:rPr>
          <w:rFonts w:ascii="Times New Roman" w:hAnsi="Times New Roman" w:cs="Times New Roman"/>
          <w:sz w:val="16"/>
          <w:szCs w:val="16"/>
        </w:rPr>
      </w:pPr>
    </w:p>
    <w:p w14:paraId="43C94F3A" w14:textId="5A889309" w:rsidR="00C92425" w:rsidRPr="00F562A8" w:rsidRDefault="00C92425" w:rsidP="006F6435">
      <w:pPr>
        <w:pStyle w:val="10"/>
        <w:pageBreakBefore/>
        <w:spacing w:line="276" w:lineRule="auto"/>
        <w:rPr>
          <w:rFonts w:cs="Times New Roman"/>
        </w:rPr>
      </w:pPr>
      <w:bookmarkStart w:id="56" w:name="_Toc11769856"/>
      <w:bookmarkStart w:id="57" w:name="_Toc12440219"/>
      <w:bookmarkStart w:id="58" w:name="_Toc20659540"/>
      <w:bookmarkStart w:id="59" w:name="_Toc110506936"/>
      <w:r w:rsidRPr="00F562A8">
        <w:rPr>
          <w:rFonts w:cs="Times New Roman"/>
        </w:rPr>
        <w:t>3. РАСЧЕТНАЯ ГЛАВА</w:t>
      </w:r>
      <w:bookmarkEnd w:id="56"/>
      <w:bookmarkEnd w:id="57"/>
      <w:bookmarkEnd w:id="58"/>
      <w:bookmarkEnd w:id="59"/>
    </w:p>
    <w:p w14:paraId="278E1063" w14:textId="77777777" w:rsidR="00DB474C" w:rsidRPr="002F245A" w:rsidRDefault="00DB474C" w:rsidP="00DB474C">
      <w:pPr>
        <w:pStyle w:val="20"/>
        <w:spacing w:line="276" w:lineRule="auto"/>
        <w:rPr>
          <w:rFonts w:cs="Times New Roman"/>
          <w:color w:val="FF0000"/>
          <w:sz w:val="26"/>
        </w:rPr>
      </w:pPr>
      <w:bookmarkStart w:id="60" w:name="_Toc12440220"/>
      <w:bookmarkStart w:id="61" w:name="_Toc20659541"/>
      <w:bookmarkStart w:id="62" w:name="_Toc110506937"/>
      <w:bookmarkStart w:id="63" w:name="_Toc12440228"/>
      <w:bookmarkStart w:id="64" w:name="_Toc20659549"/>
      <w:r w:rsidRPr="002F245A">
        <w:rPr>
          <w:rFonts w:cs="Times New Roman"/>
          <w:sz w:val="26"/>
        </w:rPr>
        <w:t xml:space="preserve">3.1 Анализ информации о рынке объектов недвижимости, </w:t>
      </w:r>
      <w:r w:rsidRPr="002F245A">
        <w:rPr>
          <w:rFonts w:cs="Times New Roman"/>
          <w:sz w:val="26"/>
        </w:rPr>
        <w:br/>
        <w:t>а также анализ информации, не относящейся непосредственно к объектам недвижимости, но влияющей на их стоимость</w:t>
      </w:r>
      <w:bookmarkEnd w:id="60"/>
      <w:bookmarkEnd w:id="61"/>
      <w:bookmarkEnd w:id="62"/>
    </w:p>
    <w:p w14:paraId="1017607D" w14:textId="77777777" w:rsidR="00DB474C" w:rsidRPr="002F245A" w:rsidRDefault="00DB474C" w:rsidP="00DB474C">
      <w:pPr>
        <w:pStyle w:val="3"/>
        <w:spacing w:line="276" w:lineRule="auto"/>
        <w:rPr>
          <w:rFonts w:cs="Times New Roman"/>
          <w:b w:val="0"/>
          <w:color w:val="auto"/>
          <w:sz w:val="26"/>
          <w:szCs w:val="26"/>
        </w:rPr>
      </w:pPr>
      <w:bookmarkStart w:id="65" w:name="_Toc11769858"/>
      <w:bookmarkStart w:id="66" w:name="_Toc12440222"/>
      <w:bookmarkStart w:id="67" w:name="_Toc20659543"/>
      <w:bookmarkStart w:id="68" w:name="_Toc110506938"/>
      <w:r w:rsidRPr="002F245A">
        <w:rPr>
          <w:rFonts w:cs="Times New Roman"/>
          <w:color w:val="auto"/>
          <w:sz w:val="26"/>
          <w:szCs w:val="26"/>
        </w:rPr>
        <w:t>3.1.1 Анализ социально-экономического развития Российской Федерации</w:t>
      </w:r>
      <w:bookmarkEnd w:id="65"/>
      <w:bookmarkEnd w:id="66"/>
      <w:bookmarkEnd w:id="67"/>
      <w:bookmarkEnd w:id="68"/>
    </w:p>
    <w:p w14:paraId="6BDD4990" w14:textId="77777777" w:rsidR="00DB474C" w:rsidRPr="002F245A" w:rsidRDefault="00DB474C" w:rsidP="00DB474C">
      <w:pPr>
        <w:spacing w:before="120" w:after="0" w:line="276" w:lineRule="auto"/>
        <w:ind w:firstLine="709"/>
        <w:jc w:val="center"/>
        <w:rPr>
          <w:rFonts w:ascii="Times New Roman" w:hAnsi="Times New Roman" w:cs="Times New Roman"/>
          <w:i/>
          <w:sz w:val="26"/>
          <w:szCs w:val="26"/>
        </w:rPr>
      </w:pPr>
      <w:r>
        <w:rPr>
          <w:rFonts w:ascii="Times New Roman" w:hAnsi="Times New Roman" w:cs="Times New Roman"/>
          <w:i/>
          <w:sz w:val="26"/>
          <w:szCs w:val="26"/>
        </w:rPr>
        <w:t>Обзор</w:t>
      </w:r>
      <w:r w:rsidRPr="002F245A">
        <w:rPr>
          <w:rFonts w:ascii="Times New Roman" w:hAnsi="Times New Roman" w:cs="Times New Roman"/>
          <w:i/>
          <w:sz w:val="26"/>
          <w:szCs w:val="26"/>
        </w:rPr>
        <w:t xml:space="preserve"> геофизических показателей Российской Федерации</w:t>
      </w:r>
    </w:p>
    <w:p w14:paraId="235C1552" w14:textId="77777777" w:rsidR="00DB474C" w:rsidRPr="002F245A" w:rsidRDefault="00DB474C" w:rsidP="00DB474C">
      <w:pPr>
        <w:spacing w:after="0" w:line="276" w:lineRule="auto"/>
        <w:ind w:firstLine="709"/>
        <w:jc w:val="both"/>
        <w:rPr>
          <w:rFonts w:ascii="Times New Roman" w:hAnsi="Times New Roman" w:cs="Times New Roman"/>
          <w:i/>
          <w:sz w:val="26"/>
          <w:szCs w:val="26"/>
        </w:rPr>
      </w:pPr>
      <w:r w:rsidRPr="002F245A">
        <w:rPr>
          <w:rFonts w:ascii="Times New Roman" w:hAnsi="Times New Roman" w:cs="Times New Roman"/>
          <w:i/>
          <w:sz w:val="26"/>
          <w:szCs w:val="26"/>
        </w:rPr>
        <w:t xml:space="preserve">Географическое положение. </w:t>
      </w:r>
      <w:r w:rsidRPr="002F245A">
        <w:rPr>
          <w:rFonts w:ascii="Times New Roman" w:hAnsi="Times New Roman" w:cs="Times New Roman"/>
          <w:sz w:val="26"/>
          <w:szCs w:val="26"/>
        </w:rPr>
        <w:t>Территория Российской Федерации простирается на 10 тыс. км, проходя через 9 часовых поясов. В состав Российской Федерации входят 85 субъектов (22 республики, 9 краев, 46 областей, 1 автономная область и 4 автономных округа), включая города федерального значения Москву, Санкт-Петербург и Севастополь</w:t>
      </w:r>
      <w:r w:rsidRPr="002F245A">
        <w:rPr>
          <w:rStyle w:val="af2"/>
          <w:rFonts w:ascii="Times New Roman" w:hAnsi="Times New Roman" w:cs="Times New Roman"/>
          <w:sz w:val="26"/>
          <w:szCs w:val="26"/>
        </w:rPr>
        <w:footnoteReference w:id="2"/>
      </w:r>
      <w:r w:rsidRPr="002F245A">
        <w:rPr>
          <w:rFonts w:ascii="Times New Roman" w:hAnsi="Times New Roman" w:cs="Times New Roman"/>
          <w:sz w:val="26"/>
          <w:szCs w:val="26"/>
        </w:rPr>
        <w:t>. Общая протяженность границ России составляет 60 932 км. Из них на долю морских границ приходится 38 807 км (около 2/3), сухопутных — 22 125 км (в том числе 7616 км — по рекам и озерам). Северная и восточная границы морские, а западная и южная — преимущественно сухопутные. Большая протяженность государственных границ России определяется размерами ее территории и извилистостью очертаний береговых линий морей Северного Ледовитого, Тихого и Атлантического океанов, омывающих ее берега</w:t>
      </w:r>
      <w:r w:rsidRPr="002F245A">
        <w:rPr>
          <w:rStyle w:val="af2"/>
          <w:rFonts w:ascii="Times New Roman" w:hAnsi="Times New Roman" w:cs="Times New Roman"/>
          <w:sz w:val="26"/>
          <w:szCs w:val="26"/>
        </w:rPr>
        <w:footnoteReference w:id="3"/>
      </w:r>
      <w:r w:rsidRPr="002F245A">
        <w:rPr>
          <w:rFonts w:ascii="Times New Roman" w:hAnsi="Times New Roman" w:cs="Times New Roman"/>
          <w:sz w:val="26"/>
          <w:szCs w:val="26"/>
        </w:rPr>
        <w:t>.</w:t>
      </w:r>
    </w:p>
    <w:p w14:paraId="1EAAB5F2" w14:textId="77777777" w:rsidR="00DB474C" w:rsidRPr="002F245A" w:rsidRDefault="00DB474C" w:rsidP="00DB474C">
      <w:pPr>
        <w:spacing w:after="0" w:line="276" w:lineRule="auto"/>
        <w:ind w:firstLine="709"/>
        <w:jc w:val="both"/>
        <w:rPr>
          <w:rFonts w:ascii="Times New Roman" w:hAnsi="Times New Roman" w:cs="Times New Roman"/>
          <w:i/>
          <w:sz w:val="26"/>
          <w:szCs w:val="26"/>
        </w:rPr>
      </w:pPr>
      <w:r w:rsidRPr="002F245A">
        <w:rPr>
          <w:rFonts w:ascii="Times New Roman" w:hAnsi="Times New Roman" w:cs="Times New Roman"/>
          <w:i/>
          <w:sz w:val="26"/>
          <w:szCs w:val="26"/>
        </w:rPr>
        <w:t xml:space="preserve">Топографические и сейсмические особенности. </w:t>
      </w:r>
      <w:r w:rsidRPr="002F245A">
        <w:rPr>
          <w:rFonts w:ascii="Times New Roman" w:hAnsi="Times New Roman" w:cs="Times New Roman"/>
          <w:sz w:val="26"/>
          <w:szCs w:val="26"/>
        </w:rPr>
        <w:t>Территория Российской Федерации характеризуется умеренной сейсмичностью. Исключение составляют регионы Северного Кавказа, юга Сибири и Дальнего Востока, где интенсивность сейсмических сотрясений достигает 8–9 и 9–10 баллов по 12-балльной макросейсмической шкале. Определенную угрозу представляют и 6–7-балльные зоны в густозаселенной Европейской части России</w:t>
      </w:r>
      <w:r w:rsidRPr="002F245A">
        <w:rPr>
          <w:rStyle w:val="af2"/>
          <w:rFonts w:ascii="Times New Roman" w:hAnsi="Times New Roman" w:cs="Times New Roman"/>
          <w:sz w:val="26"/>
          <w:szCs w:val="26"/>
        </w:rPr>
        <w:footnoteReference w:id="4"/>
      </w:r>
      <w:r w:rsidRPr="002F245A">
        <w:rPr>
          <w:rFonts w:ascii="Times New Roman" w:hAnsi="Times New Roman" w:cs="Times New Roman"/>
          <w:sz w:val="26"/>
          <w:szCs w:val="26"/>
        </w:rPr>
        <w:t>. </w:t>
      </w:r>
    </w:p>
    <w:p w14:paraId="1612BF83" w14:textId="77777777" w:rsidR="00DB474C" w:rsidRPr="002F245A" w:rsidRDefault="00DB474C" w:rsidP="00DB474C">
      <w:pPr>
        <w:spacing w:after="0" w:line="276" w:lineRule="auto"/>
        <w:ind w:firstLine="709"/>
        <w:jc w:val="both"/>
        <w:rPr>
          <w:rFonts w:ascii="Times New Roman" w:hAnsi="Times New Roman" w:cs="Times New Roman"/>
          <w:i/>
          <w:sz w:val="26"/>
          <w:szCs w:val="26"/>
        </w:rPr>
      </w:pPr>
      <w:r w:rsidRPr="002F245A">
        <w:rPr>
          <w:rFonts w:ascii="Times New Roman" w:hAnsi="Times New Roman" w:cs="Times New Roman"/>
          <w:i/>
          <w:sz w:val="26"/>
          <w:szCs w:val="26"/>
        </w:rPr>
        <w:t xml:space="preserve">Природные ресурсы. </w:t>
      </w:r>
      <w:r w:rsidRPr="002F245A">
        <w:rPr>
          <w:rFonts w:ascii="Times New Roman" w:hAnsi="Times New Roman" w:cs="Times New Roman"/>
          <w:sz w:val="26"/>
          <w:szCs w:val="26"/>
          <w:shd w:val="clear" w:color="auto" w:fill="FFFFFF"/>
        </w:rPr>
        <w:t>Природно-ресурсный потенциал России составляет свыше 20% мировых запасов</w:t>
      </w:r>
      <w:r w:rsidRPr="002F245A">
        <w:rPr>
          <w:rStyle w:val="af2"/>
          <w:rFonts w:ascii="Times New Roman" w:hAnsi="Times New Roman" w:cs="Times New Roman"/>
          <w:sz w:val="26"/>
          <w:szCs w:val="26"/>
          <w:shd w:val="clear" w:color="auto" w:fill="FFFFFF"/>
        </w:rPr>
        <w:footnoteReference w:id="5"/>
      </w:r>
      <w:r w:rsidRPr="002F245A">
        <w:rPr>
          <w:rFonts w:ascii="Times New Roman" w:hAnsi="Times New Roman" w:cs="Times New Roman"/>
          <w:sz w:val="26"/>
          <w:szCs w:val="26"/>
          <w:shd w:val="clear" w:color="auto" w:fill="FFFFFF"/>
        </w:rPr>
        <w:t xml:space="preserve">. </w:t>
      </w:r>
      <w:r w:rsidRPr="002F245A">
        <w:rPr>
          <w:rFonts w:ascii="Times New Roman" w:hAnsi="Times New Roman" w:cs="Times New Roman"/>
          <w:sz w:val="26"/>
          <w:szCs w:val="26"/>
        </w:rPr>
        <w:t>В частности, имеются: крупные месторождения нефти, природного газа, каменного угля, калийных солей, никеля, олова, алюминиевого сырья, вольфрама, золота, платины, асбеста, графита, слюды и других полезных ископаемых</w:t>
      </w:r>
      <w:r w:rsidRPr="002F245A">
        <w:rPr>
          <w:rStyle w:val="af2"/>
          <w:rFonts w:ascii="Times New Roman" w:hAnsi="Times New Roman" w:cs="Times New Roman"/>
          <w:sz w:val="26"/>
          <w:szCs w:val="26"/>
        </w:rPr>
        <w:footnoteReference w:id="6"/>
      </w:r>
      <w:r w:rsidRPr="002F245A">
        <w:rPr>
          <w:rFonts w:ascii="Times New Roman" w:hAnsi="Times New Roman" w:cs="Times New Roman"/>
          <w:sz w:val="26"/>
          <w:szCs w:val="26"/>
        </w:rPr>
        <w:t>.</w:t>
      </w:r>
    </w:p>
    <w:p w14:paraId="6849B9B6" w14:textId="77777777" w:rsidR="00DB474C" w:rsidRDefault="00DB474C" w:rsidP="00DB474C">
      <w:pPr>
        <w:spacing w:line="276" w:lineRule="auto"/>
        <w:ind w:firstLine="709"/>
        <w:jc w:val="both"/>
        <w:rPr>
          <w:rFonts w:ascii="Times New Roman" w:hAnsi="Times New Roman" w:cs="Times New Roman"/>
          <w:sz w:val="26"/>
          <w:szCs w:val="26"/>
        </w:rPr>
      </w:pPr>
      <w:r w:rsidRPr="00FD1970">
        <w:rPr>
          <w:rFonts w:ascii="Times New Roman" w:hAnsi="Times New Roman" w:cs="Times New Roman"/>
          <w:i/>
          <w:sz w:val="26"/>
          <w:szCs w:val="26"/>
        </w:rPr>
        <w:t xml:space="preserve">Экология. </w:t>
      </w:r>
      <w:r w:rsidRPr="00FD1970">
        <w:rPr>
          <w:rFonts w:ascii="Times New Roman" w:hAnsi="Times New Roman" w:cs="Times New Roman"/>
          <w:sz w:val="26"/>
          <w:szCs w:val="26"/>
        </w:rPr>
        <w:t>В 2021 году количество зафиксированных в России случаев высокого и экстремально высокого загрязнения воздуха увеличилось на 23%, всего за год в стране было отмечено 406 таких инцидентов - подсчитала аналитическая служба международной аудиторско-консалтинговой сети FinExpertiza на основе данных Росгидромета. Второй год подряд число выявленных загрязнений демонстрирует рекордные значения - теперь уже как минимум за последние 17 лет. Если же рассматривать десятилетний период, то с 2011 года количество случаев высокого и экстремально высокого загрязнения выросло в шесть раз. Чаще всего от масштабных выбросов в атмосферу страдают Красноярский край, Самарская, Оренбургская и Иркутская области, а также Бурятия</w:t>
      </w:r>
      <w:r w:rsidRPr="00FD1970">
        <w:rPr>
          <w:rStyle w:val="af2"/>
          <w:rFonts w:ascii="Times New Roman" w:hAnsi="Times New Roman" w:cs="Times New Roman"/>
          <w:sz w:val="26"/>
          <w:szCs w:val="26"/>
        </w:rPr>
        <w:footnoteReference w:id="7"/>
      </w:r>
      <w:r w:rsidRPr="00FD1970">
        <w:rPr>
          <w:rFonts w:ascii="Times New Roman" w:hAnsi="Times New Roman" w:cs="Times New Roman"/>
          <w:sz w:val="26"/>
          <w:szCs w:val="26"/>
        </w:rPr>
        <w:t>.</w:t>
      </w:r>
    </w:p>
    <w:p w14:paraId="6F667300" w14:textId="77777777" w:rsidR="00DB474C" w:rsidRPr="007876F9" w:rsidRDefault="00DB474C" w:rsidP="00DB474C">
      <w:pPr>
        <w:spacing w:before="120" w:after="0" w:line="276" w:lineRule="auto"/>
        <w:ind w:firstLine="709"/>
        <w:jc w:val="center"/>
        <w:rPr>
          <w:rFonts w:ascii="Times New Roman" w:hAnsi="Times New Roman" w:cs="Times New Roman"/>
          <w:i/>
          <w:sz w:val="26"/>
          <w:szCs w:val="26"/>
        </w:rPr>
      </w:pPr>
      <w:r>
        <w:rPr>
          <w:rFonts w:ascii="Times New Roman" w:hAnsi="Times New Roman" w:cs="Times New Roman"/>
          <w:i/>
          <w:sz w:val="26"/>
          <w:szCs w:val="26"/>
        </w:rPr>
        <w:t>Обзор</w:t>
      </w:r>
      <w:r w:rsidRPr="007876F9">
        <w:rPr>
          <w:rFonts w:ascii="Times New Roman" w:hAnsi="Times New Roman" w:cs="Times New Roman"/>
          <w:i/>
          <w:sz w:val="26"/>
          <w:szCs w:val="26"/>
        </w:rPr>
        <w:t xml:space="preserve"> социальных показателей Российской Федерации</w:t>
      </w:r>
    </w:p>
    <w:p w14:paraId="4856B8D1" w14:textId="77777777" w:rsidR="00DB474C" w:rsidRDefault="00DB474C" w:rsidP="00DB474C">
      <w:pPr>
        <w:spacing w:after="0" w:line="276" w:lineRule="auto"/>
        <w:ind w:firstLine="709"/>
        <w:jc w:val="both"/>
        <w:rPr>
          <w:rFonts w:ascii="Times New Roman" w:hAnsi="Times New Roman" w:cs="Times New Roman"/>
          <w:sz w:val="26"/>
          <w:szCs w:val="26"/>
        </w:rPr>
      </w:pPr>
      <w:r w:rsidRPr="007876F9">
        <w:rPr>
          <w:rFonts w:ascii="Times New Roman" w:hAnsi="Times New Roman" w:cs="Times New Roman"/>
          <w:sz w:val="26"/>
          <w:szCs w:val="26"/>
        </w:rPr>
        <w:t xml:space="preserve">По оценке, </w:t>
      </w:r>
      <w:bookmarkStart w:id="69" w:name="_Hlk100239321"/>
      <w:r w:rsidRPr="007876F9">
        <w:rPr>
          <w:rFonts w:ascii="Times New Roman" w:hAnsi="Times New Roman" w:cs="Times New Roman"/>
          <w:i/>
          <w:sz w:val="26"/>
          <w:szCs w:val="26"/>
        </w:rPr>
        <w:t>численность постоянного населения</w:t>
      </w:r>
      <w:r w:rsidRPr="007876F9">
        <w:rPr>
          <w:rFonts w:ascii="Times New Roman" w:hAnsi="Times New Roman" w:cs="Times New Roman"/>
          <w:sz w:val="26"/>
          <w:szCs w:val="26"/>
        </w:rPr>
        <w:t xml:space="preserve"> Российской Федерации на 1 января 2022 г. составила 145,6 млн человек. С начала года численность населения сократилась на 612,8 тыс. человек, или на 0,42% </w:t>
      </w:r>
      <w:bookmarkEnd w:id="69"/>
      <w:r w:rsidRPr="007876F9">
        <w:rPr>
          <w:rFonts w:ascii="Times New Roman" w:hAnsi="Times New Roman" w:cs="Times New Roman"/>
          <w:sz w:val="26"/>
          <w:szCs w:val="26"/>
        </w:rPr>
        <w:t xml:space="preserve">(за аналогичный период предыдущего года - уменьшилась на 582,2 тыс. человек, или на 0,40%). Миграционный прирост на 41,2% компенсировал естественную убыль населения. В 2021 г. по сравнению с 2020 г. в России отмечалось снижение </w:t>
      </w:r>
      <w:r w:rsidRPr="007876F9">
        <w:rPr>
          <w:rFonts w:ascii="Times New Roman" w:hAnsi="Times New Roman" w:cs="Times New Roman"/>
          <w:i/>
          <w:sz w:val="26"/>
          <w:szCs w:val="26"/>
        </w:rPr>
        <w:t>числа родившихся</w:t>
      </w:r>
      <w:r w:rsidRPr="007876F9">
        <w:rPr>
          <w:rFonts w:ascii="Times New Roman" w:hAnsi="Times New Roman" w:cs="Times New Roman"/>
          <w:sz w:val="26"/>
          <w:szCs w:val="26"/>
        </w:rPr>
        <w:t xml:space="preserve"> (в 77 субъектах Российской Федерации) и увеличение </w:t>
      </w:r>
      <w:r w:rsidRPr="007876F9">
        <w:rPr>
          <w:rFonts w:ascii="Times New Roman" w:hAnsi="Times New Roman" w:cs="Times New Roman"/>
          <w:i/>
          <w:sz w:val="26"/>
          <w:szCs w:val="26"/>
        </w:rPr>
        <w:t>числа умерших</w:t>
      </w:r>
      <w:r w:rsidRPr="007876F9">
        <w:rPr>
          <w:rFonts w:ascii="Times New Roman" w:hAnsi="Times New Roman" w:cs="Times New Roman"/>
          <w:sz w:val="26"/>
          <w:szCs w:val="26"/>
        </w:rPr>
        <w:t xml:space="preserve"> (в 84 субъектах). В целом по стране в 2021 г. число умерших превысило число родившихся в 1,7 раза (в 2020 г. - в 1,5 раза), в 66 субъектах Российской Федерации это превышение составило 1,5-3,1 раза. </w:t>
      </w:r>
      <w:r w:rsidRPr="007876F9">
        <w:rPr>
          <w:rFonts w:ascii="Times New Roman" w:hAnsi="Times New Roman" w:cs="Times New Roman"/>
          <w:i/>
          <w:sz w:val="26"/>
          <w:szCs w:val="26"/>
        </w:rPr>
        <w:t>Естественный прирост населения</w:t>
      </w:r>
      <w:r w:rsidRPr="007876F9">
        <w:rPr>
          <w:rFonts w:ascii="Times New Roman" w:hAnsi="Times New Roman" w:cs="Times New Roman"/>
          <w:sz w:val="26"/>
          <w:szCs w:val="26"/>
        </w:rPr>
        <w:t xml:space="preserve"> в 2021 г. зафиксирован в 10 субъектах Российской Федерации (в 2020 г. - в 13 субъектах). За 2021 г. </w:t>
      </w:r>
      <w:r w:rsidRPr="007876F9">
        <w:rPr>
          <w:rFonts w:ascii="Times New Roman" w:hAnsi="Times New Roman" w:cs="Times New Roman"/>
          <w:i/>
          <w:sz w:val="26"/>
          <w:szCs w:val="26"/>
        </w:rPr>
        <w:t>число мигрантов</w:t>
      </w:r>
      <w:r w:rsidRPr="007876F9">
        <w:rPr>
          <w:rFonts w:ascii="Times New Roman" w:hAnsi="Times New Roman" w:cs="Times New Roman"/>
          <w:sz w:val="26"/>
          <w:szCs w:val="26"/>
        </w:rPr>
        <w:t>, переселившихся в пределах России, увеличилось на 68,8 тыс. человек, или на 1,9% по сравнению с предыдущим годом</w:t>
      </w:r>
      <w:r w:rsidRPr="007876F9">
        <w:rPr>
          <w:rStyle w:val="af2"/>
          <w:rFonts w:ascii="Times New Roman" w:hAnsi="Times New Roman" w:cs="Times New Roman"/>
          <w:sz w:val="26"/>
          <w:szCs w:val="26"/>
        </w:rPr>
        <w:footnoteReference w:id="8"/>
      </w:r>
      <w:r w:rsidRPr="007876F9">
        <w:rPr>
          <w:rFonts w:ascii="Times New Roman" w:hAnsi="Times New Roman" w:cs="Times New Roman"/>
          <w:sz w:val="26"/>
          <w:szCs w:val="26"/>
        </w:rPr>
        <w:t>.</w:t>
      </w:r>
    </w:p>
    <w:p w14:paraId="41FD0078" w14:textId="77777777" w:rsidR="00DB474C" w:rsidRPr="00B95840" w:rsidRDefault="00DB474C" w:rsidP="00DB474C">
      <w:pPr>
        <w:spacing w:after="0" w:line="276" w:lineRule="auto"/>
        <w:ind w:firstLine="709"/>
        <w:jc w:val="both"/>
        <w:rPr>
          <w:rFonts w:ascii="Times New Roman" w:hAnsi="Times New Roman" w:cs="Times New Roman"/>
          <w:i/>
          <w:sz w:val="26"/>
          <w:szCs w:val="26"/>
        </w:rPr>
      </w:pPr>
      <w:r w:rsidRPr="00B95840">
        <w:rPr>
          <w:rFonts w:ascii="Times New Roman" w:hAnsi="Times New Roman" w:cs="Times New Roman"/>
          <w:i/>
          <w:sz w:val="26"/>
          <w:szCs w:val="26"/>
        </w:rPr>
        <w:t>Реальные располагаемые денежные доходы</w:t>
      </w:r>
      <w:r w:rsidRPr="00B95840">
        <w:rPr>
          <w:rFonts w:ascii="Times New Roman" w:hAnsi="Times New Roman" w:cs="Times New Roman"/>
          <w:sz w:val="26"/>
          <w:szCs w:val="26"/>
        </w:rPr>
        <w:t xml:space="preserve"> (доходы за вычетом обязательных платежей, скорректированные на индекс потребительских цен), по оценке, в 2021 г. по сравнению с 2020 г. увеличились на 3,1%, в IV квартале 2021 г. по сравнению с соответствующим периодом предыдущего года - на 0,5%</w:t>
      </w:r>
      <w:r>
        <w:rPr>
          <w:rStyle w:val="af2"/>
          <w:rFonts w:ascii="Times New Roman" w:hAnsi="Times New Roman" w:cs="Times New Roman"/>
          <w:sz w:val="26"/>
          <w:szCs w:val="26"/>
        </w:rPr>
        <w:footnoteReference w:id="9"/>
      </w:r>
      <w:r w:rsidRPr="00B95840">
        <w:rPr>
          <w:rFonts w:ascii="Times New Roman" w:hAnsi="Times New Roman" w:cs="Times New Roman"/>
          <w:i/>
          <w:sz w:val="26"/>
          <w:szCs w:val="26"/>
        </w:rPr>
        <w:t>.</w:t>
      </w:r>
    </w:p>
    <w:p w14:paraId="2207CD91" w14:textId="77777777" w:rsidR="00DB474C" w:rsidRPr="007876F9" w:rsidRDefault="00DB474C" w:rsidP="00DB474C">
      <w:pPr>
        <w:spacing w:after="0" w:line="276" w:lineRule="auto"/>
        <w:ind w:firstLine="709"/>
        <w:jc w:val="both"/>
        <w:rPr>
          <w:rFonts w:ascii="Times New Roman" w:hAnsi="Times New Roman" w:cs="Times New Roman"/>
          <w:sz w:val="26"/>
          <w:szCs w:val="26"/>
        </w:rPr>
      </w:pPr>
      <w:r w:rsidRPr="007876F9">
        <w:rPr>
          <w:rFonts w:ascii="Times New Roman" w:hAnsi="Times New Roman" w:cs="Times New Roman"/>
          <w:i/>
          <w:sz w:val="26"/>
          <w:szCs w:val="26"/>
        </w:rPr>
        <w:t>Среднемесячная начисленная заработная</w:t>
      </w:r>
      <w:r w:rsidRPr="007876F9">
        <w:rPr>
          <w:rFonts w:ascii="Times New Roman" w:hAnsi="Times New Roman" w:cs="Times New Roman"/>
          <w:sz w:val="26"/>
          <w:szCs w:val="26"/>
        </w:rPr>
        <w:t xml:space="preserve"> плата работников организаций в 2021 г., по предварительным данным, составила 56545 рублей и по сравнению с 2020 г. выросла на 9,8%, в декабре 2021 г. - 77994 рубля и выросла по сравнению с соответствующим периодом предыдущего года на 12,3%</w:t>
      </w:r>
      <w:r w:rsidRPr="007876F9">
        <w:rPr>
          <w:rStyle w:val="af2"/>
          <w:rFonts w:ascii="Times New Roman" w:hAnsi="Times New Roman" w:cs="Times New Roman"/>
          <w:sz w:val="26"/>
          <w:szCs w:val="26"/>
        </w:rPr>
        <w:footnoteReference w:id="10"/>
      </w:r>
      <w:r w:rsidRPr="007876F9">
        <w:rPr>
          <w:rFonts w:ascii="Times New Roman" w:hAnsi="Times New Roman" w:cs="Times New Roman"/>
          <w:sz w:val="26"/>
          <w:szCs w:val="26"/>
        </w:rPr>
        <w:t>.</w:t>
      </w:r>
    </w:p>
    <w:p w14:paraId="20660294" w14:textId="77777777" w:rsidR="00DB474C" w:rsidRPr="007876F9" w:rsidRDefault="00DB474C" w:rsidP="00DB474C">
      <w:pPr>
        <w:spacing w:after="0" w:line="276" w:lineRule="auto"/>
        <w:ind w:firstLine="709"/>
        <w:jc w:val="both"/>
        <w:rPr>
          <w:rFonts w:ascii="Times New Roman" w:hAnsi="Times New Roman" w:cs="Times New Roman"/>
          <w:sz w:val="26"/>
          <w:szCs w:val="26"/>
        </w:rPr>
      </w:pPr>
      <w:r w:rsidRPr="007876F9">
        <w:rPr>
          <w:rFonts w:ascii="Times New Roman" w:hAnsi="Times New Roman" w:cs="Times New Roman"/>
          <w:sz w:val="26"/>
          <w:szCs w:val="26"/>
        </w:rPr>
        <w:t xml:space="preserve">В 2021 г. средний размер назначенных </w:t>
      </w:r>
      <w:r w:rsidRPr="007876F9">
        <w:rPr>
          <w:rFonts w:ascii="Times New Roman" w:hAnsi="Times New Roman" w:cs="Times New Roman"/>
          <w:i/>
          <w:sz w:val="26"/>
          <w:szCs w:val="26"/>
        </w:rPr>
        <w:t>пенсий</w:t>
      </w:r>
      <w:r w:rsidRPr="007876F9">
        <w:rPr>
          <w:rFonts w:ascii="Times New Roman" w:hAnsi="Times New Roman" w:cs="Times New Roman"/>
          <w:sz w:val="26"/>
          <w:szCs w:val="26"/>
        </w:rPr>
        <w:t xml:space="preserve"> составил 16642 рублей и по сравнению с 2020 г. увеличился на 11%</w:t>
      </w:r>
      <w:r w:rsidRPr="007876F9">
        <w:rPr>
          <w:rStyle w:val="af2"/>
          <w:rFonts w:ascii="Times New Roman" w:hAnsi="Times New Roman" w:cs="Times New Roman"/>
          <w:sz w:val="26"/>
          <w:szCs w:val="26"/>
        </w:rPr>
        <w:footnoteReference w:id="11"/>
      </w:r>
      <w:r w:rsidRPr="007876F9">
        <w:rPr>
          <w:rFonts w:ascii="Times New Roman" w:hAnsi="Times New Roman" w:cs="Times New Roman"/>
          <w:sz w:val="26"/>
          <w:szCs w:val="26"/>
        </w:rPr>
        <w:t>.</w:t>
      </w:r>
    </w:p>
    <w:p w14:paraId="047DA583" w14:textId="77777777" w:rsidR="00DB474C" w:rsidRPr="007876F9" w:rsidRDefault="00DB474C" w:rsidP="00DB474C">
      <w:pPr>
        <w:spacing w:after="0" w:line="276" w:lineRule="auto"/>
        <w:ind w:firstLine="709"/>
        <w:jc w:val="both"/>
        <w:rPr>
          <w:rFonts w:ascii="Times New Roman" w:hAnsi="Times New Roman" w:cs="Times New Roman"/>
          <w:sz w:val="26"/>
          <w:szCs w:val="26"/>
        </w:rPr>
      </w:pPr>
      <w:r w:rsidRPr="007876F9">
        <w:rPr>
          <w:rFonts w:ascii="Times New Roman" w:hAnsi="Times New Roman" w:cs="Times New Roman"/>
          <w:i/>
          <w:sz w:val="26"/>
          <w:szCs w:val="26"/>
        </w:rPr>
        <w:t>Уровень занятости</w:t>
      </w:r>
      <w:r w:rsidRPr="007876F9">
        <w:rPr>
          <w:rFonts w:ascii="Times New Roman" w:hAnsi="Times New Roman" w:cs="Times New Roman"/>
          <w:sz w:val="26"/>
          <w:szCs w:val="26"/>
        </w:rPr>
        <w:t xml:space="preserve"> населения (доля занятого населения в общей численности населения соответствующего возраста) в возрасте 15 лет и старше в декабре 2021 г. составил 60,0%</w:t>
      </w:r>
      <w:r w:rsidRPr="007876F9">
        <w:rPr>
          <w:rStyle w:val="af2"/>
          <w:rFonts w:ascii="Times New Roman" w:hAnsi="Times New Roman" w:cs="Times New Roman"/>
          <w:sz w:val="26"/>
          <w:szCs w:val="26"/>
        </w:rPr>
        <w:footnoteReference w:id="12"/>
      </w:r>
      <w:r w:rsidRPr="007876F9">
        <w:rPr>
          <w:rFonts w:ascii="Times New Roman" w:hAnsi="Times New Roman" w:cs="Times New Roman"/>
          <w:sz w:val="26"/>
          <w:szCs w:val="26"/>
        </w:rPr>
        <w:t>.</w:t>
      </w:r>
    </w:p>
    <w:p w14:paraId="6343397A" w14:textId="77777777" w:rsidR="00DB474C" w:rsidRPr="007876F9" w:rsidRDefault="00DB474C" w:rsidP="00DB474C">
      <w:pPr>
        <w:spacing w:after="0" w:line="276" w:lineRule="auto"/>
        <w:ind w:firstLine="709"/>
        <w:jc w:val="both"/>
        <w:rPr>
          <w:rFonts w:ascii="Times New Roman" w:hAnsi="Times New Roman" w:cs="Times New Roman"/>
          <w:sz w:val="26"/>
          <w:szCs w:val="26"/>
        </w:rPr>
      </w:pPr>
      <w:r w:rsidRPr="007876F9">
        <w:rPr>
          <w:rFonts w:ascii="Times New Roman" w:hAnsi="Times New Roman" w:cs="Times New Roman"/>
          <w:i/>
          <w:sz w:val="26"/>
          <w:szCs w:val="26"/>
        </w:rPr>
        <w:t>Уровень безработицы</w:t>
      </w:r>
      <w:r w:rsidRPr="007876F9">
        <w:rPr>
          <w:rFonts w:ascii="Times New Roman" w:hAnsi="Times New Roman" w:cs="Times New Roman"/>
          <w:sz w:val="26"/>
          <w:szCs w:val="26"/>
        </w:rPr>
        <w:t xml:space="preserve"> населения в возрасте 15 лет и старше в декабре 2021 г. составил 4,3% (без исключения сезонного фактора)</w:t>
      </w:r>
      <w:r w:rsidRPr="007876F9">
        <w:rPr>
          <w:rStyle w:val="af2"/>
          <w:rFonts w:ascii="Times New Roman" w:hAnsi="Times New Roman" w:cs="Times New Roman"/>
          <w:sz w:val="26"/>
          <w:szCs w:val="26"/>
        </w:rPr>
        <w:footnoteReference w:id="13"/>
      </w:r>
      <w:r w:rsidRPr="007876F9">
        <w:rPr>
          <w:rFonts w:ascii="Times New Roman" w:hAnsi="Times New Roman" w:cs="Times New Roman"/>
          <w:sz w:val="26"/>
          <w:szCs w:val="26"/>
        </w:rPr>
        <w:t>.</w:t>
      </w:r>
    </w:p>
    <w:p w14:paraId="2500E194" w14:textId="77777777" w:rsidR="00DB474C" w:rsidRPr="007876F9" w:rsidRDefault="00DB474C" w:rsidP="00DB474C">
      <w:pPr>
        <w:spacing w:before="120" w:after="0" w:line="276" w:lineRule="auto"/>
        <w:ind w:firstLine="709"/>
        <w:jc w:val="center"/>
        <w:rPr>
          <w:rFonts w:ascii="Times New Roman" w:hAnsi="Times New Roman" w:cs="Times New Roman"/>
          <w:i/>
          <w:sz w:val="26"/>
          <w:szCs w:val="26"/>
        </w:rPr>
      </w:pPr>
      <w:r>
        <w:rPr>
          <w:rFonts w:ascii="Times New Roman" w:hAnsi="Times New Roman" w:cs="Times New Roman"/>
          <w:i/>
          <w:sz w:val="26"/>
          <w:szCs w:val="26"/>
        </w:rPr>
        <w:t>Обзор</w:t>
      </w:r>
      <w:r w:rsidRPr="007876F9">
        <w:rPr>
          <w:rFonts w:ascii="Times New Roman" w:hAnsi="Times New Roman" w:cs="Times New Roman"/>
          <w:i/>
          <w:sz w:val="26"/>
          <w:szCs w:val="26"/>
        </w:rPr>
        <w:t xml:space="preserve"> экономических показателей Российской Федерации</w:t>
      </w:r>
    </w:p>
    <w:p w14:paraId="2DDA9F97" w14:textId="77777777" w:rsidR="00DB474C" w:rsidRPr="007876F9" w:rsidRDefault="00DB474C" w:rsidP="00DB474C">
      <w:pPr>
        <w:spacing w:after="0" w:line="276" w:lineRule="auto"/>
        <w:ind w:firstLine="709"/>
        <w:jc w:val="both"/>
        <w:rPr>
          <w:rFonts w:ascii="Times New Roman" w:hAnsi="Times New Roman" w:cs="Times New Roman"/>
          <w:sz w:val="26"/>
          <w:szCs w:val="26"/>
        </w:rPr>
      </w:pPr>
      <w:r w:rsidRPr="007876F9">
        <w:rPr>
          <w:rFonts w:ascii="Times New Roman" w:hAnsi="Times New Roman" w:cs="Times New Roman"/>
          <w:i/>
          <w:sz w:val="26"/>
          <w:szCs w:val="26"/>
        </w:rPr>
        <w:t>Объем валового внутреннего продукта (ВВП) России</w:t>
      </w:r>
      <w:r w:rsidRPr="007876F9">
        <w:rPr>
          <w:rFonts w:ascii="Times New Roman" w:hAnsi="Times New Roman" w:cs="Times New Roman"/>
          <w:sz w:val="26"/>
          <w:szCs w:val="26"/>
        </w:rPr>
        <w:t xml:space="preserve"> за 2021 г., по первой оценке, составил в текущих ценах 130795,3 млрд рублей. Индекс его физического объема относительно 2020 г. составил 104,7%. Индекс-дефлятор ВВП за 2021 г. по отношению к ценам 2020 г. составил 116,4%</w:t>
      </w:r>
      <w:r w:rsidRPr="007876F9">
        <w:rPr>
          <w:rStyle w:val="af2"/>
          <w:rFonts w:ascii="Times New Roman" w:hAnsi="Times New Roman" w:cs="Times New Roman"/>
          <w:sz w:val="26"/>
          <w:szCs w:val="26"/>
        </w:rPr>
        <w:footnoteReference w:id="14"/>
      </w:r>
      <w:r w:rsidRPr="007876F9">
        <w:rPr>
          <w:rFonts w:ascii="Times New Roman" w:hAnsi="Times New Roman" w:cs="Times New Roman"/>
          <w:sz w:val="26"/>
          <w:szCs w:val="26"/>
        </w:rPr>
        <w:t>.</w:t>
      </w:r>
    </w:p>
    <w:p w14:paraId="37293FDE" w14:textId="77777777" w:rsidR="00DB474C" w:rsidRPr="007876F9" w:rsidRDefault="00DB474C" w:rsidP="00DB474C">
      <w:pPr>
        <w:spacing w:after="0" w:line="276" w:lineRule="auto"/>
        <w:ind w:firstLine="709"/>
        <w:jc w:val="both"/>
        <w:rPr>
          <w:rFonts w:ascii="Times New Roman" w:hAnsi="Times New Roman" w:cs="Times New Roman"/>
          <w:sz w:val="26"/>
          <w:szCs w:val="26"/>
        </w:rPr>
      </w:pPr>
      <w:r w:rsidRPr="007876F9">
        <w:rPr>
          <w:rFonts w:ascii="Times New Roman" w:hAnsi="Times New Roman" w:cs="Times New Roman"/>
          <w:i/>
          <w:sz w:val="26"/>
          <w:szCs w:val="26"/>
        </w:rPr>
        <w:t xml:space="preserve">Индекс промышленного производства </w:t>
      </w:r>
      <w:r w:rsidRPr="007876F9">
        <w:rPr>
          <w:rFonts w:ascii="Times New Roman" w:hAnsi="Times New Roman" w:cs="Times New Roman"/>
          <w:sz w:val="26"/>
          <w:szCs w:val="26"/>
        </w:rPr>
        <w:t>в 2021 г. по сравнению с 2020 г. составил 105,3%, в декабре 2021 г. по сравнению с соответствующим периодом предыдущего года - 106,1%</w:t>
      </w:r>
      <w:r w:rsidRPr="007876F9">
        <w:rPr>
          <w:rStyle w:val="af2"/>
          <w:rFonts w:ascii="Times New Roman" w:hAnsi="Times New Roman" w:cs="Times New Roman"/>
          <w:sz w:val="26"/>
          <w:szCs w:val="26"/>
        </w:rPr>
        <w:footnoteReference w:id="15"/>
      </w:r>
      <w:r w:rsidRPr="007876F9">
        <w:rPr>
          <w:rFonts w:ascii="Times New Roman" w:hAnsi="Times New Roman" w:cs="Times New Roman"/>
          <w:sz w:val="26"/>
          <w:szCs w:val="26"/>
        </w:rPr>
        <w:t>.</w:t>
      </w:r>
    </w:p>
    <w:p w14:paraId="44840396" w14:textId="77777777" w:rsidR="00DB474C" w:rsidRPr="007876F9" w:rsidRDefault="00DB474C" w:rsidP="00DB474C">
      <w:pPr>
        <w:spacing w:after="0" w:line="276" w:lineRule="auto"/>
        <w:ind w:firstLine="709"/>
        <w:jc w:val="both"/>
        <w:rPr>
          <w:rFonts w:ascii="Times New Roman" w:hAnsi="Times New Roman" w:cs="Times New Roman"/>
          <w:sz w:val="26"/>
          <w:szCs w:val="26"/>
        </w:rPr>
      </w:pPr>
      <w:r w:rsidRPr="007876F9">
        <w:rPr>
          <w:rFonts w:ascii="Times New Roman" w:hAnsi="Times New Roman" w:cs="Times New Roman"/>
          <w:i/>
          <w:sz w:val="26"/>
          <w:szCs w:val="26"/>
        </w:rPr>
        <w:t>Объем производства продукции сельского хозяйства</w:t>
      </w:r>
      <w:r w:rsidRPr="007876F9">
        <w:rPr>
          <w:rFonts w:ascii="Times New Roman" w:hAnsi="Times New Roman" w:cs="Times New Roman"/>
          <w:sz w:val="26"/>
          <w:szCs w:val="26"/>
        </w:rPr>
        <w:t xml:space="preserve"> </w:t>
      </w:r>
      <w:r w:rsidRPr="007876F9">
        <w:rPr>
          <w:rFonts w:ascii="Times New Roman" w:hAnsi="Times New Roman" w:cs="Times New Roman"/>
          <w:i/>
          <w:sz w:val="26"/>
          <w:szCs w:val="26"/>
        </w:rPr>
        <w:t>всех сельхозпроизводителей</w:t>
      </w:r>
      <w:r w:rsidRPr="007876F9">
        <w:rPr>
          <w:rFonts w:ascii="Times New Roman" w:hAnsi="Times New Roman" w:cs="Times New Roman"/>
          <w:sz w:val="26"/>
          <w:szCs w:val="26"/>
        </w:rPr>
        <w:t xml:space="preserve"> (сельхозорганизации, крестьянские (фермерские) хозяйства, хозяйства населения) в 2021 г. в действующих ценах, по предварительной оценке, составил 7572,3 млрд рублей, в декабре 2021 г. - 272,5 млрд рублей</w:t>
      </w:r>
      <w:r w:rsidRPr="007876F9">
        <w:rPr>
          <w:rStyle w:val="af2"/>
          <w:rFonts w:ascii="Times New Roman" w:hAnsi="Times New Roman" w:cs="Times New Roman"/>
          <w:sz w:val="26"/>
          <w:szCs w:val="26"/>
        </w:rPr>
        <w:footnoteReference w:id="16"/>
      </w:r>
      <w:r w:rsidRPr="007876F9">
        <w:rPr>
          <w:rFonts w:ascii="Times New Roman" w:hAnsi="Times New Roman" w:cs="Times New Roman"/>
          <w:sz w:val="26"/>
          <w:szCs w:val="26"/>
        </w:rPr>
        <w:t>.</w:t>
      </w:r>
    </w:p>
    <w:p w14:paraId="178A6677" w14:textId="77777777" w:rsidR="00DB474C" w:rsidRPr="007876F9" w:rsidRDefault="00DB474C" w:rsidP="00DB474C">
      <w:pPr>
        <w:spacing w:after="0" w:line="276" w:lineRule="auto"/>
        <w:ind w:firstLine="709"/>
        <w:jc w:val="both"/>
        <w:rPr>
          <w:rFonts w:ascii="Times New Roman" w:hAnsi="Times New Roman" w:cs="Times New Roman"/>
          <w:sz w:val="26"/>
          <w:szCs w:val="26"/>
        </w:rPr>
      </w:pPr>
      <w:r w:rsidRPr="007876F9">
        <w:rPr>
          <w:rFonts w:ascii="Times New Roman" w:hAnsi="Times New Roman" w:cs="Times New Roman"/>
          <w:sz w:val="26"/>
          <w:szCs w:val="26"/>
        </w:rPr>
        <w:t xml:space="preserve">Объем работ, выполненных по виду деятельности </w:t>
      </w:r>
      <w:r w:rsidRPr="007876F9">
        <w:rPr>
          <w:rFonts w:ascii="Times New Roman" w:hAnsi="Times New Roman" w:cs="Times New Roman"/>
          <w:i/>
          <w:sz w:val="26"/>
          <w:szCs w:val="26"/>
        </w:rPr>
        <w:t>"Строительство"</w:t>
      </w:r>
      <w:r w:rsidRPr="007876F9">
        <w:rPr>
          <w:rFonts w:ascii="Times New Roman" w:hAnsi="Times New Roman" w:cs="Times New Roman"/>
          <w:sz w:val="26"/>
          <w:szCs w:val="26"/>
        </w:rPr>
        <w:t>, в 2021 г. составил 10791,6 млрд рублей, или 106,0% (в сопоставимых ценах) к уровню 2020 г., в декабре 2021 г. - 1538,1 млрд рублей, или 108,4% к соответствующему периоду предыдущего года</w:t>
      </w:r>
      <w:r w:rsidRPr="007876F9">
        <w:rPr>
          <w:rStyle w:val="af2"/>
          <w:rFonts w:ascii="Times New Roman" w:hAnsi="Times New Roman" w:cs="Times New Roman"/>
          <w:sz w:val="26"/>
          <w:szCs w:val="26"/>
        </w:rPr>
        <w:footnoteReference w:id="17"/>
      </w:r>
      <w:r w:rsidRPr="007876F9">
        <w:rPr>
          <w:rFonts w:ascii="Times New Roman" w:hAnsi="Times New Roman" w:cs="Times New Roman"/>
          <w:sz w:val="26"/>
          <w:szCs w:val="26"/>
        </w:rPr>
        <w:t>. Из числа введенных в действие в 2021 г. зданий 95,1% составляют здания жилого назначения</w:t>
      </w:r>
      <w:r w:rsidRPr="007876F9">
        <w:rPr>
          <w:rStyle w:val="af2"/>
          <w:rFonts w:ascii="Times New Roman" w:hAnsi="Times New Roman" w:cs="Times New Roman"/>
          <w:sz w:val="26"/>
          <w:szCs w:val="26"/>
        </w:rPr>
        <w:footnoteReference w:id="18"/>
      </w:r>
      <w:r w:rsidRPr="007876F9">
        <w:rPr>
          <w:rFonts w:ascii="Times New Roman" w:hAnsi="Times New Roman" w:cs="Times New Roman"/>
          <w:sz w:val="26"/>
          <w:szCs w:val="26"/>
        </w:rPr>
        <w:t>. В 2021 г. возведено 10,1 тыс. многоквартирных домов. Населением построено 373,4 тыс. жилых домов. Всего построено 1206,3 тыс. новых квартир. Общая площадь жилых помещений в построенных индивидуальными застройщиками жилых домах составила 49,1 млн кв. метров, или 53,0% от общего объема жилья, введенного в 2021 году</w:t>
      </w:r>
      <w:r w:rsidRPr="007876F9">
        <w:rPr>
          <w:rStyle w:val="af2"/>
          <w:rFonts w:ascii="Times New Roman" w:hAnsi="Times New Roman" w:cs="Times New Roman"/>
          <w:sz w:val="26"/>
          <w:szCs w:val="26"/>
        </w:rPr>
        <w:footnoteReference w:id="19"/>
      </w:r>
      <w:r w:rsidRPr="007876F9">
        <w:rPr>
          <w:rFonts w:ascii="Times New Roman" w:hAnsi="Times New Roman" w:cs="Times New Roman"/>
          <w:sz w:val="26"/>
          <w:szCs w:val="26"/>
        </w:rPr>
        <w:t>.</w:t>
      </w:r>
    </w:p>
    <w:p w14:paraId="338995F5" w14:textId="77777777" w:rsidR="00DB474C" w:rsidRPr="007876F9" w:rsidRDefault="00DB474C" w:rsidP="00DB474C">
      <w:pPr>
        <w:spacing w:after="0" w:line="276" w:lineRule="auto"/>
        <w:ind w:firstLine="709"/>
        <w:jc w:val="both"/>
        <w:rPr>
          <w:rFonts w:ascii="Times New Roman" w:hAnsi="Times New Roman" w:cs="Times New Roman"/>
          <w:sz w:val="26"/>
          <w:szCs w:val="26"/>
        </w:rPr>
      </w:pPr>
      <w:r w:rsidRPr="007876F9">
        <w:rPr>
          <w:rFonts w:ascii="Times New Roman" w:hAnsi="Times New Roman" w:cs="Times New Roman"/>
          <w:sz w:val="26"/>
          <w:szCs w:val="26"/>
        </w:rPr>
        <w:t xml:space="preserve">В 2021г. </w:t>
      </w:r>
      <w:r w:rsidRPr="007876F9">
        <w:rPr>
          <w:rFonts w:ascii="Times New Roman" w:hAnsi="Times New Roman" w:cs="Times New Roman"/>
          <w:i/>
          <w:sz w:val="26"/>
          <w:szCs w:val="26"/>
        </w:rPr>
        <w:t>грузооборот транспорта</w:t>
      </w:r>
      <w:r w:rsidRPr="007876F9">
        <w:rPr>
          <w:rFonts w:ascii="Times New Roman" w:hAnsi="Times New Roman" w:cs="Times New Roman"/>
          <w:sz w:val="26"/>
          <w:szCs w:val="26"/>
        </w:rPr>
        <w:t xml:space="preserve"> составил 5695,3 млрд. тонно-километров (на 5,3% </w:t>
      </w:r>
      <w:r>
        <w:rPr>
          <w:rFonts w:ascii="Times New Roman" w:hAnsi="Times New Roman" w:cs="Times New Roman"/>
          <w:sz w:val="26"/>
          <w:szCs w:val="26"/>
        </w:rPr>
        <w:t>больше</w:t>
      </w:r>
      <w:r w:rsidRPr="007876F9">
        <w:rPr>
          <w:rFonts w:ascii="Times New Roman" w:hAnsi="Times New Roman" w:cs="Times New Roman"/>
          <w:sz w:val="26"/>
          <w:szCs w:val="26"/>
        </w:rPr>
        <w:t xml:space="preserve"> к 2020г.), в том числе железнодорожного — 2639,4 млрд., автомобильного — 285,3 млрд., морского — 42,7 млрд., внутреннего водного — 65,7 млрд., воздушного — 9,2 млрд., трубопроводного — 2653,0 млрд. тонно-километров</w:t>
      </w:r>
      <w:r w:rsidRPr="007876F9">
        <w:rPr>
          <w:rStyle w:val="af2"/>
          <w:rFonts w:ascii="Times New Roman" w:hAnsi="Times New Roman" w:cs="Times New Roman"/>
          <w:sz w:val="26"/>
          <w:szCs w:val="26"/>
        </w:rPr>
        <w:footnoteReference w:id="20"/>
      </w:r>
      <w:r w:rsidRPr="007876F9">
        <w:rPr>
          <w:rFonts w:ascii="Times New Roman" w:hAnsi="Times New Roman" w:cs="Times New Roman"/>
          <w:sz w:val="26"/>
          <w:szCs w:val="26"/>
        </w:rPr>
        <w:t xml:space="preserve">. </w:t>
      </w:r>
      <w:r w:rsidRPr="007876F9">
        <w:rPr>
          <w:rFonts w:ascii="Times New Roman" w:hAnsi="Times New Roman" w:cs="Times New Roman"/>
          <w:i/>
          <w:sz w:val="26"/>
          <w:szCs w:val="26"/>
        </w:rPr>
        <w:t xml:space="preserve">Пассажирооборот транспорта </w:t>
      </w:r>
      <w:r w:rsidRPr="007876F9">
        <w:rPr>
          <w:rFonts w:ascii="Times New Roman" w:hAnsi="Times New Roman" w:cs="Times New Roman"/>
          <w:sz w:val="26"/>
          <w:szCs w:val="26"/>
        </w:rPr>
        <w:t>общего пользования в 2021г. составил 436,4 млрд. пасс.-километров (на 39,6% больше к 2020г.), в том числе железнодорожного — 104,2 млрд., автомобильного — 88,5 млрд., воздушного —243,3 млрд. пасс.-километров</w:t>
      </w:r>
      <w:r w:rsidRPr="007876F9">
        <w:rPr>
          <w:rStyle w:val="af2"/>
          <w:rFonts w:ascii="Times New Roman" w:hAnsi="Times New Roman" w:cs="Times New Roman"/>
          <w:sz w:val="26"/>
          <w:szCs w:val="26"/>
        </w:rPr>
        <w:footnoteReference w:id="21"/>
      </w:r>
      <w:r w:rsidRPr="007876F9">
        <w:rPr>
          <w:rFonts w:ascii="Times New Roman" w:hAnsi="Times New Roman" w:cs="Times New Roman"/>
          <w:sz w:val="26"/>
          <w:szCs w:val="26"/>
        </w:rPr>
        <w:t>.</w:t>
      </w:r>
    </w:p>
    <w:p w14:paraId="404AB0B8" w14:textId="77777777" w:rsidR="00DB474C" w:rsidRPr="007876F9" w:rsidRDefault="00DB474C" w:rsidP="00DB474C">
      <w:pPr>
        <w:spacing w:after="0" w:line="276" w:lineRule="auto"/>
        <w:ind w:firstLine="709"/>
        <w:jc w:val="both"/>
        <w:rPr>
          <w:rFonts w:ascii="Times New Roman" w:hAnsi="Times New Roman" w:cs="Times New Roman"/>
          <w:sz w:val="26"/>
          <w:szCs w:val="26"/>
        </w:rPr>
      </w:pPr>
      <w:r w:rsidRPr="007876F9">
        <w:rPr>
          <w:rFonts w:ascii="Times New Roman" w:hAnsi="Times New Roman" w:cs="Times New Roman"/>
          <w:i/>
          <w:sz w:val="26"/>
          <w:szCs w:val="26"/>
        </w:rPr>
        <w:t>Оборот розничной торговли</w:t>
      </w:r>
      <w:r w:rsidRPr="007876F9">
        <w:rPr>
          <w:rFonts w:ascii="Times New Roman" w:hAnsi="Times New Roman" w:cs="Times New Roman"/>
          <w:sz w:val="26"/>
          <w:szCs w:val="26"/>
        </w:rPr>
        <w:t xml:space="preserve"> в 2021 г. составил 39257,4 млрд рублей, или 107,3% (в сопоставимых ценах) к 2020 г., в декабре 2021 г. - 4160,6 млрд рублей, или 105,4% к уровню соответствующего периода предыдущего года. В 2021 г. оборот розничной торговли на 95,4% формировался торгующими организациями и индивидуальными предпринимателями, осуществляющими деятельность вне рынка, доля розничных рынков и ярмарок составила 4,6% (в 2020 г. - 95,3% и 4,7% соответственно), в декабре 2021 г. - 95,5% и 4,5% (в декабре 2020 г. - 95,3% и 4,7% соответственно)</w:t>
      </w:r>
      <w:r w:rsidRPr="007876F9">
        <w:rPr>
          <w:rStyle w:val="af2"/>
          <w:rFonts w:ascii="Times New Roman" w:hAnsi="Times New Roman" w:cs="Times New Roman"/>
          <w:sz w:val="26"/>
          <w:szCs w:val="26"/>
        </w:rPr>
        <w:footnoteReference w:id="22"/>
      </w:r>
      <w:r w:rsidRPr="007876F9">
        <w:rPr>
          <w:rFonts w:ascii="Times New Roman" w:hAnsi="Times New Roman" w:cs="Times New Roman"/>
          <w:sz w:val="26"/>
          <w:szCs w:val="26"/>
        </w:rPr>
        <w:t>.</w:t>
      </w:r>
    </w:p>
    <w:p w14:paraId="0C6A5F15" w14:textId="77777777" w:rsidR="00DB474C" w:rsidRPr="007876F9" w:rsidRDefault="00DB474C" w:rsidP="00DB474C">
      <w:pPr>
        <w:spacing w:after="0" w:line="276" w:lineRule="auto"/>
        <w:ind w:firstLine="709"/>
        <w:jc w:val="both"/>
        <w:rPr>
          <w:rFonts w:ascii="Times New Roman" w:hAnsi="Times New Roman" w:cs="Times New Roman"/>
          <w:sz w:val="26"/>
          <w:szCs w:val="26"/>
        </w:rPr>
      </w:pPr>
      <w:r w:rsidRPr="007876F9">
        <w:rPr>
          <w:rFonts w:ascii="Times New Roman" w:hAnsi="Times New Roman" w:cs="Times New Roman"/>
          <w:i/>
          <w:sz w:val="26"/>
          <w:szCs w:val="26"/>
        </w:rPr>
        <w:t>Оборот оптовой торговли</w:t>
      </w:r>
      <w:r w:rsidRPr="007876F9">
        <w:rPr>
          <w:rFonts w:ascii="Times New Roman" w:hAnsi="Times New Roman" w:cs="Times New Roman"/>
          <w:sz w:val="26"/>
          <w:szCs w:val="26"/>
        </w:rPr>
        <w:t xml:space="preserve"> в 2021 г. составил 110351,5 млрд рублей, или 109,4% (в сопоставимых ценах) к 2020 году. На долю субъектов малого предпринимательства приходилось 28,1% оборота оптовой торговли</w:t>
      </w:r>
      <w:r w:rsidRPr="007876F9">
        <w:rPr>
          <w:rStyle w:val="af2"/>
          <w:rFonts w:ascii="Times New Roman" w:hAnsi="Times New Roman" w:cs="Times New Roman"/>
          <w:sz w:val="26"/>
          <w:szCs w:val="26"/>
        </w:rPr>
        <w:footnoteReference w:id="23"/>
      </w:r>
      <w:r w:rsidRPr="007876F9">
        <w:rPr>
          <w:rFonts w:ascii="Times New Roman" w:hAnsi="Times New Roman" w:cs="Times New Roman"/>
          <w:sz w:val="26"/>
          <w:szCs w:val="26"/>
        </w:rPr>
        <w:t>.</w:t>
      </w:r>
    </w:p>
    <w:p w14:paraId="67CE731B" w14:textId="77777777" w:rsidR="00DB474C" w:rsidRPr="007876F9" w:rsidRDefault="00DB474C" w:rsidP="00DB474C">
      <w:pPr>
        <w:spacing w:after="0" w:line="276" w:lineRule="auto"/>
        <w:ind w:firstLine="709"/>
        <w:jc w:val="both"/>
        <w:rPr>
          <w:rFonts w:ascii="Times New Roman" w:hAnsi="Times New Roman" w:cs="Times New Roman"/>
          <w:sz w:val="26"/>
          <w:szCs w:val="26"/>
        </w:rPr>
      </w:pPr>
      <w:r w:rsidRPr="007876F9">
        <w:rPr>
          <w:rFonts w:ascii="Times New Roman" w:hAnsi="Times New Roman" w:cs="Times New Roman"/>
          <w:i/>
          <w:sz w:val="26"/>
          <w:szCs w:val="26"/>
        </w:rPr>
        <w:t>Оборот общественного питания</w:t>
      </w:r>
      <w:r w:rsidRPr="007876F9">
        <w:rPr>
          <w:rFonts w:ascii="Times New Roman" w:hAnsi="Times New Roman" w:cs="Times New Roman"/>
          <w:sz w:val="26"/>
          <w:szCs w:val="26"/>
        </w:rPr>
        <w:t xml:space="preserve"> в 2021 г. составил 1876,1 млрд рублей, или 123,5% (в сопоставимых ценах) к 2020 г., в декабре 2021 г. - 185,0 млрд рублей, или 117,4% к уровню соответствующего периода предыдущего года</w:t>
      </w:r>
      <w:r w:rsidRPr="007876F9">
        <w:rPr>
          <w:rStyle w:val="af2"/>
          <w:rFonts w:ascii="Times New Roman" w:hAnsi="Times New Roman" w:cs="Times New Roman"/>
          <w:sz w:val="26"/>
          <w:szCs w:val="26"/>
        </w:rPr>
        <w:footnoteReference w:id="24"/>
      </w:r>
      <w:r w:rsidRPr="007876F9">
        <w:rPr>
          <w:rFonts w:ascii="Times New Roman" w:hAnsi="Times New Roman" w:cs="Times New Roman"/>
          <w:sz w:val="26"/>
          <w:szCs w:val="26"/>
        </w:rPr>
        <w:t>.</w:t>
      </w:r>
    </w:p>
    <w:p w14:paraId="7622C1C6" w14:textId="77777777" w:rsidR="00DB474C" w:rsidRPr="007876F9" w:rsidRDefault="00DB474C" w:rsidP="00DB474C">
      <w:pPr>
        <w:spacing w:after="0" w:line="276" w:lineRule="auto"/>
        <w:ind w:firstLine="709"/>
        <w:jc w:val="both"/>
        <w:rPr>
          <w:rFonts w:ascii="Times New Roman" w:hAnsi="Times New Roman" w:cs="Times New Roman"/>
          <w:sz w:val="26"/>
          <w:szCs w:val="26"/>
        </w:rPr>
      </w:pPr>
      <w:r w:rsidRPr="007876F9">
        <w:rPr>
          <w:rFonts w:ascii="Times New Roman" w:hAnsi="Times New Roman" w:cs="Times New Roman"/>
          <w:i/>
          <w:sz w:val="26"/>
          <w:szCs w:val="26"/>
        </w:rPr>
        <w:t>Внешнеторговый оборот</w:t>
      </w:r>
      <w:r w:rsidRPr="007876F9">
        <w:rPr>
          <w:rFonts w:ascii="Times New Roman" w:hAnsi="Times New Roman" w:cs="Times New Roman"/>
          <w:sz w:val="26"/>
          <w:szCs w:val="26"/>
        </w:rPr>
        <w:t xml:space="preserve"> России, по данным Банка России (по методологии платежного баланса), в 2021 г. составил (в фактически действовавших ценах) 798,0 млрд долларов США (58769,3 млрд рублей), в том числе экспорт - 494,0 млрд долларов (36384,9 млрд рублей), импорт - 303,9 млрд долларов (22384,4 млрд рублей)</w:t>
      </w:r>
      <w:r w:rsidRPr="007876F9">
        <w:rPr>
          <w:rStyle w:val="af2"/>
          <w:rFonts w:ascii="Times New Roman" w:hAnsi="Times New Roman" w:cs="Times New Roman"/>
          <w:sz w:val="26"/>
          <w:szCs w:val="26"/>
        </w:rPr>
        <w:footnoteReference w:id="25"/>
      </w:r>
      <w:r w:rsidRPr="007876F9">
        <w:rPr>
          <w:rFonts w:ascii="Times New Roman" w:hAnsi="Times New Roman" w:cs="Times New Roman"/>
          <w:sz w:val="26"/>
          <w:szCs w:val="26"/>
        </w:rPr>
        <w:t>. В декабре 2021 г. внешнеторговый оборот России со странами дальнего зарубежья составил в текущих ценах 77,2 млрд долларов США (5691,1 млрд рублей) и по сравнению с соответствующим месяцем 2020 г. вырос на 45,1%, с государствами-участниками СНГ - 10,9 млрд долларов США (801,6 млрд рублей) и вырос на 40,6%</w:t>
      </w:r>
      <w:r w:rsidRPr="007876F9">
        <w:rPr>
          <w:rStyle w:val="af2"/>
          <w:rFonts w:ascii="Times New Roman" w:hAnsi="Times New Roman" w:cs="Times New Roman"/>
          <w:sz w:val="26"/>
          <w:szCs w:val="26"/>
        </w:rPr>
        <w:footnoteReference w:id="26"/>
      </w:r>
      <w:r w:rsidRPr="007876F9">
        <w:rPr>
          <w:rFonts w:ascii="Times New Roman" w:hAnsi="Times New Roman" w:cs="Times New Roman"/>
          <w:sz w:val="26"/>
          <w:szCs w:val="26"/>
        </w:rPr>
        <w:t>.</w:t>
      </w:r>
    </w:p>
    <w:p w14:paraId="2E70C982" w14:textId="77777777" w:rsidR="00DB474C" w:rsidRPr="007876F9" w:rsidRDefault="00DB474C" w:rsidP="00DB474C">
      <w:pPr>
        <w:spacing w:after="0" w:line="276" w:lineRule="auto"/>
        <w:ind w:firstLine="709"/>
        <w:jc w:val="both"/>
        <w:rPr>
          <w:rFonts w:ascii="Times New Roman" w:hAnsi="Times New Roman" w:cs="Times New Roman"/>
          <w:sz w:val="26"/>
          <w:szCs w:val="26"/>
        </w:rPr>
      </w:pPr>
      <w:r w:rsidRPr="007876F9">
        <w:rPr>
          <w:rFonts w:ascii="Times New Roman" w:hAnsi="Times New Roman" w:cs="Times New Roman"/>
          <w:sz w:val="26"/>
          <w:szCs w:val="26"/>
        </w:rPr>
        <w:t xml:space="preserve">Росстат подтвердил предварительную оценку потребительской </w:t>
      </w:r>
      <w:bookmarkStart w:id="70" w:name="_Hlk100241138"/>
      <w:r w:rsidRPr="007876F9">
        <w:rPr>
          <w:rFonts w:ascii="Times New Roman" w:hAnsi="Times New Roman" w:cs="Times New Roman"/>
          <w:i/>
          <w:sz w:val="26"/>
          <w:szCs w:val="26"/>
        </w:rPr>
        <w:t xml:space="preserve">инфляции </w:t>
      </w:r>
      <w:r w:rsidRPr="007876F9">
        <w:rPr>
          <w:rFonts w:ascii="Times New Roman" w:hAnsi="Times New Roman" w:cs="Times New Roman"/>
          <w:sz w:val="26"/>
          <w:szCs w:val="26"/>
        </w:rPr>
        <w:t>по итогам 2021 г. на уровне 8,39%</w:t>
      </w:r>
      <w:bookmarkEnd w:id="70"/>
      <w:r w:rsidRPr="007876F9">
        <w:rPr>
          <w:rFonts w:ascii="Times New Roman" w:hAnsi="Times New Roman" w:cs="Times New Roman"/>
          <w:sz w:val="26"/>
          <w:szCs w:val="26"/>
        </w:rPr>
        <w:t xml:space="preserve"> г/г. В помесячном выражении в декабре рост цен замедлился до 0,82% м/м (после 0,96% м/м в ноябре), в основном за счет ценовой динамики в сфере услуг (а именно – услуг зарубежного туризма)</w:t>
      </w:r>
      <w:r w:rsidRPr="007876F9">
        <w:rPr>
          <w:rStyle w:val="af2"/>
          <w:rFonts w:ascii="Times New Roman" w:hAnsi="Times New Roman" w:cs="Times New Roman"/>
          <w:sz w:val="26"/>
          <w:szCs w:val="26"/>
        </w:rPr>
        <w:footnoteReference w:id="27"/>
      </w:r>
      <w:r w:rsidRPr="007876F9">
        <w:rPr>
          <w:rFonts w:ascii="Times New Roman" w:hAnsi="Times New Roman" w:cs="Times New Roman"/>
          <w:sz w:val="26"/>
          <w:szCs w:val="26"/>
        </w:rPr>
        <w:t>.</w:t>
      </w:r>
    </w:p>
    <w:p w14:paraId="37EF4E61" w14:textId="77777777" w:rsidR="00DB474C" w:rsidRDefault="00DB474C" w:rsidP="00DB474C">
      <w:pPr>
        <w:spacing w:after="0" w:line="276" w:lineRule="auto"/>
        <w:ind w:firstLine="709"/>
        <w:jc w:val="both"/>
        <w:rPr>
          <w:rFonts w:ascii="Times New Roman" w:hAnsi="Times New Roman" w:cs="Times New Roman"/>
          <w:sz w:val="26"/>
          <w:szCs w:val="26"/>
        </w:rPr>
      </w:pPr>
      <w:r w:rsidRPr="007876F9">
        <w:rPr>
          <w:rFonts w:ascii="Times New Roman" w:hAnsi="Times New Roman" w:cs="Times New Roman"/>
          <w:sz w:val="26"/>
          <w:szCs w:val="26"/>
        </w:rPr>
        <w:t xml:space="preserve">Центральный банк Российской Федерации установил на 01.01.2022 следующий </w:t>
      </w:r>
      <w:r w:rsidRPr="007876F9">
        <w:rPr>
          <w:rFonts w:ascii="Times New Roman" w:hAnsi="Times New Roman" w:cs="Times New Roman"/>
          <w:i/>
          <w:sz w:val="26"/>
          <w:szCs w:val="26"/>
        </w:rPr>
        <w:t xml:space="preserve">курс </w:t>
      </w:r>
      <w:r w:rsidRPr="007876F9">
        <w:rPr>
          <w:rFonts w:ascii="Times New Roman" w:hAnsi="Times New Roman" w:cs="Times New Roman"/>
          <w:i/>
          <w:color w:val="333333"/>
          <w:sz w:val="26"/>
          <w:szCs w:val="26"/>
          <w:shd w:val="clear" w:color="auto" w:fill="FFFFFF"/>
        </w:rPr>
        <w:t>доллара</w:t>
      </w:r>
      <w:r w:rsidRPr="007876F9">
        <w:rPr>
          <w:rFonts w:ascii="Times New Roman" w:hAnsi="Times New Roman" w:cs="Times New Roman"/>
          <w:color w:val="333333"/>
          <w:sz w:val="26"/>
          <w:szCs w:val="26"/>
          <w:shd w:val="clear" w:color="auto" w:fill="FFFFFF"/>
        </w:rPr>
        <w:t xml:space="preserve"> США</w:t>
      </w:r>
      <w:r w:rsidRPr="007876F9">
        <w:rPr>
          <w:rFonts w:ascii="Times New Roman" w:hAnsi="Times New Roman" w:cs="Times New Roman"/>
          <w:sz w:val="26"/>
          <w:szCs w:val="26"/>
        </w:rPr>
        <w:t xml:space="preserve"> к рублю Российской Федерации без обязательств Банка России покупать или продавать указанные валюты по данному курсу – 74,29 руб</w:t>
      </w:r>
      <w:r w:rsidRPr="007876F9">
        <w:rPr>
          <w:rStyle w:val="af2"/>
          <w:rFonts w:ascii="Times New Roman" w:hAnsi="Times New Roman" w:cs="Times New Roman"/>
          <w:sz w:val="26"/>
          <w:szCs w:val="26"/>
        </w:rPr>
        <w:footnoteReference w:id="28"/>
      </w:r>
      <w:r w:rsidRPr="007876F9">
        <w:rPr>
          <w:rFonts w:ascii="Times New Roman" w:hAnsi="Times New Roman" w:cs="Times New Roman"/>
          <w:sz w:val="26"/>
          <w:szCs w:val="26"/>
        </w:rPr>
        <w:t xml:space="preserve">. Размер </w:t>
      </w:r>
      <w:r w:rsidRPr="007876F9">
        <w:rPr>
          <w:rFonts w:ascii="Times New Roman" w:hAnsi="Times New Roman" w:cs="Times New Roman"/>
          <w:i/>
          <w:sz w:val="26"/>
          <w:szCs w:val="26"/>
        </w:rPr>
        <w:t>ключевой ставки</w:t>
      </w:r>
      <w:r w:rsidRPr="007876F9">
        <w:rPr>
          <w:rFonts w:ascii="Times New Roman" w:hAnsi="Times New Roman" w:cs="Times New Roman"/>
          <w:sz w:val="26"/>
          <w:szCs w:val="26"/>
        </w:rPr>
        <w:t xml:space="preserve"> на 01.01.2021г. был установлен в размере 8,25%</w:t>
      </w:r>
      <w:r w:rsidRPr="007876F9">
        <w:rPr>
          <w:rStyle w:val="af2"/>
          <w:rFonts w:ascii="Times New Roman" w:hAnsi="Times New Roman" w:cs="Times New Roman"/>
          <w:sz w:val="26"/>
          <w:szCs w:val="26"/>
        </w:rPr>
        <w:footnoteReference w:id="29"/>
      </w:r>
      <w:r w:rsidRPr="007876F9">
        <w:rPr>
          <w:rFonts w:ascii="Times New Roman" w:hAnsi="Times New Roman" w:cs="Times New Roman"/>
          <w:sz w:val="26"/>
          <w:szCs w:val="26"/>
        </w:rPr>
        <w:t>.</w:t>
      </w:r>
    </w:p>
    <w:p w14:paraId="51618D44" w14:textId="77777777" w:rsidR="00606730" w:rsidRDefault="00606730" w:rsidP="00DB474C">
      <w:pPr>
        <w:spacing w:before="120" w:after="0" w:line="276" w:lineRule="auto"/>
        <w:ind w:firstLine="709"/>
        <w:jc w:val="center"/>
        <w:rPr>
          <w:rFonts w:ascii="Times New Roman" w:hAnsi="Times New Roman" w:cs="Times New Roman"/>
          <w:i/>
          <w:sz w:val="26"/>
          <w:szCs w:val="26"/>
        </w:rPr>
      </w:pPr>
    </w:p>
    <w:p w14:paraId="729EA405" w14:textId="3A4A59BD" w:rsidR="00DB474C" w:rsidRPr="002F245A" w:rsidRDefault="00DB474C" w:rsidP="00DB474C">
      <w:pPr>
        <w:spacing w:before="120" w:after="0" w:line="276" w:lineRule="auto"/>
        <w:ind w:firstLine="709"/>
        <w:jc w:val="center"/>
        <w:rPr>
          <w:rFonts w:ascii="Times New Roman" w:hAnsi="Times New Roman" w:cs="Times New Roman"/>
          <w:i/>
          <w:sz w:val="26"/>
          <w:szCs w:val="26"/>
        </w:rPr>
      </w:pPr>
      <w:r>
        <w:rPr>
          <w:rFonts w:ascii="Times New Roman" w:hAnsi="Times New Roman" w:cs="Times New Roman"/>
          <w:i/>
          <w:sz w:val="26"/>
          <w:szCs w:val="26"/>
        </w:rPr>
        <w:t>Обзор</w:t>
      </w:r>
      <w:r w:rsidRPr="002F245A">
        <w:rPr>
          <w:rFonts w:ascii="Times New Roman" w:hAnsi="Times New Roman" w:cs="Times New Roman"/>
          <w:i/>
          <w:sz w:val="26"/>
          <w:szCs w:val="26"/>
        </w:rPr>
        <w:t xml:space="preserve"> политической ситуации Российской Федерации</w:t>
      </w:r>
    </w:p>
    <w:p w14:paraId="4B074A47" w14:textId="77777777" w:rsidR="00DB474C" w:rsidRPr="0014128E" w:rsidRDefault="00DB474C" w:rsidP="00DB474C">
      <w:pPr>
        <w:spacing w:after="0" w:line="276" w:lineRule="auto"/>
        <w:ind w:firstLine="709"/>
        <w:jc w:val="both"/>
        <w:rPr>
          <w:rFonts w:ascii="Times New Roman" w:hAnsi="Times New Roman" w:cs="Times New Roman"/>
          <w:color w:val="000000"/>
          <w:sz w:val="26"/>
          <w:szCs w:val="26"/>
          <w:shd w:val="clear" w:color="auto" w:fill="FFFFFF"/>
        </w:rPr>
      </w:pPr>
      <w:r w:rsidRPr="0014128E">
        <w:rPr>
          <w:rFonts w:ascii="Times New Roman" w:hAnsi="Times New Roman" w:cs="Times New Roman"/>
          <w:i/>
          <w:sz w:val="26"/>
          <w:szCs w:val="26"/>
          <w:shd w:val="clear" w:color="auto" w:fill="FFFFFF"/>
        </w:rPr>
        <w:t>Внешняя политика в</w:t>
      </w:r>
      <w:r w:rsidRPr="0014128E">
        <w:rPr>
          <w:rFonts w:ascii="Times New Roman" w:hAnsi="Times New Roman" w:cs="Times New Roman"/>
          <w:color w:val="000000"/>
          <w:sz w:val="26"/>
          <w:szCs w:val="26"/>
          <w:shd w:val="clear" w:color="auto" w:fill="FFFFFF"/>
        </w:rPr>
        <w:t xml:space="preserve"> </w:t>
      </w:r>
      <w:r w:rsidRPr="0014128E">
        <w:rPr>
          <w:rFonts w:ascii="Times New Roman" w:hAnsi="Times New Roman" w:cs="Times New Roman"/>
          <w:i/>
          <w:color w:val="000000"/>
          <w:sz w:val="26"/>
          <w:szCs w:val="26"/>
          <w:shd w:val="clear" w:color="auto" w:fill="FFFFFF"/>
        </w:rPr>
        <w:t xml:space="preserve">2021 году. </w:t>
      </w:r>
      <w:r w:rsidRPr="0014128E">
        <w:rPr>
          <w:rFonts w:ascii="Times New Roman" w:hAnsi="Times New Roman" w:cs="Times New Roman"/>
          <w:color w:val="000000"/>
          <w:sz w:val="26"/>
          <w:szCs w:val="26"/>
          <w:shd w:val="clear" w:color="auto" w:fill="FFFFFF"/>
        </w:rPr>
        <w:t xml:space="preserve">Важным результатом работы в сфере поддержания стратегической стабильности стало продление на пять лет российско-американского Договора о мерах по дальнейшему сокращению и ограничению стратегических наступательных вооружений. </w:t>
      </w:r>
    </w:p>
    <w:p w14:paraId="71B9665F" w14:textId="77777777" w:rsidR="00DB474C" w:rsidRPr="0014128E" w:rsidRDefault="00DB474C" w:rsidP="00DB474C">
      <w:pPr>
        <w:spacing w:after="0" w:line="276" w:lineRule="auto"/>
        <w:ind w:firstLine="709"/>
        <w:jc w:val="both"/>
        <w:rPr>
          <w:rFonts w:ascii="Times New Roman" w:hAnsi="Times New Roman" w:cs="Times New Roman"/>
          <w:color w:val="000000"/>
          <w:sz w:val="26"/>
          <w:szCs w:val="26"/>
          <w:shd w:val="clear" w:color="auto" w:fill="FFFFFF"/>
        </w:rPr>
      </w:pPr>
      <w:r w:rsidRPr="0014128E">
        <w:rPr>
          <w:rFonts w:ascii="Times New Roman" w:hAnsi="Times New Roman" w:cs="Times New Roman"/>
          <w:color w:val="000000"/>
          <w:sz w:val="26"/>
          <w:szCs w:val="26"/>
          <w:shd w:val="clear" w:color="auto" w:fill="FFFFFF"/>
        </w:rPr>
        <w:t>Расширялось и двустороннее сотрудничество в области информационной безопасности: дан старт российско-американским консультациям по данной тематике, заключены межправительственные соглашения с </w:t>
      </w:r>
      <w:r w:rsidRPr="00F7410E">
        <w:rPr>
          <w:rFonts w:ascii="Times New Roman" w:hAnsi="Times New Roman" w:cs="Times New Roman"/>
          <w:sz w:val="26"/>
          <w:szCs w:val="26"/>
          <w:bdr w:val="none" w:sz="0" w:space="0" w:color="auto" w:frame="1"/>
          <w:shd w:val="clear" w:color="auto" w:fill="FFFFFF"/>
        </w:rPr>
        <w:t>Индонезией</w:t>
      </w:r>
      <w:r w:rsidRPr="0014128E">
        <w:rPr>
          <w:rFonts w:ascii="Times New Roman" w:hAnsi="Times New Roman" w:cs="Times New Roman"/>
          <w:color w:val="000000"/>
          <w:sz w:val="26"/>
          <w:szCs w:val="26"/>
          <w:shd w:val="clear" w:color="auto" w:fill="FFFFFF"/>
        </w:rPr>
        <w:t>, </w:t>
      </w:r>
      <w:r w:rsidRPr="00F7410E">
        <w:rPr>
          <w:rFonts w:ascii="Times New Roman" w:hAnsi="Times New Roman" w:cs="Times New Roman"/>
          <w:sz w:val="26"/>
          <w:szCs w:val="26"/>
          <w:bdr w:val="none" w:sz="0" w:space="0" w:color="auto" w:frame="1"/>
          <w:shd w:val="clear" w:color="auto" w:fill="FFFFFF"/>
        </w:rPr>
        <w:t>Ираном</w:t>
      </w:r>
      <w:r w:rsidRPr="0014128E">
        <w:rPr>
          <w:rFonts w:ascii="Times New Roman" w:hAnsi="Times New Roman" w:cs="Times New Roman"/>
          <w:color w:val="000000"/>
          <w:sz w:val="26"/>
          <w:szCs w:val="26"/>
          <w:shd w:val="clear" w:color="auto" w:fill="FFFFFF"/>
        </w:rPr>
        <w:t>, </w:t>
      </w:r>
      <w:r w:rsidRPr="00F7410E">
        <w:rPr>
          <w:rFonts w:ascii="Times New Roman" w:hAnsi="Times New Roman" w:cs="Times New Roman"/>
          <w:sz w:val="26"/>
          <w:szCs w:val="26"/>
          <w:bdr w:val="none" w:sz="0" w:space="0" w:color="auto" w:frame="1"/>
          <w:shd w:val="clear" w:color="auto" w:fill="FFFFFF"/>
        </w:rPr>
        <w:t>Киргизией</w:t>
      </w:r>
      <w:r w:rsidRPr="0014128E">
        <w:rPr>
          <w:rFonts w:ascii="Times New Roman" w:hAnsi="Times New Roman" w:cs="Times New Roman"/>
          <w:color w:val="000000"/>
          <w:sz w:val="26"/>
          <w:szCs w:val="26"/>
          <w:shd w:val="clear" w:color="auto" w:fill="FFFFFF"/>
        </w:rPr>
        <w:t>, </w:t>
      </w:r>
      <w:r w:rsidRPr="00F7410E">
        <w:rPr>
          <w:rFonts w:ascii="Times New Roman" w:hAnsi="Times New Roman" w:cs="Times New Roman"/>
          <w:sz w:val="26"/>
          <w:szCs w:val="26"/>
          <w:bdr w:val="none" w:sz="0" w:space="0" w:color="auto" w:frame="1"/>
          <w:shd w:val="clear" w:color="auto" w:fill="FFFFFF"/>
        </w:rPr>
        <w:t>Никарагуа</w:t>
      </w:r>
      <w:r w:rsidRPr="0014128E">
        <w:rPr>
          <w:rFonts w:ascii="Times New Roman" w:hAnsi="Times New Roman" w:cs="Times New Roman"/>
          <w:color w:val="000000"/>
          <w:sz w:val="26"/>
          <w:szCs w:val="26"/>
          <w:shd w:val="clear" w:color="auto" w:fill="FFFFFF"/>
        </w:rPr>
        <w:t> и </w:t>
      </w:r>
      <w:r w:rsidRPr="00F7410E">
        <w:rPr>
          <w:rFonts w:ascii="Times New Roman" w:hAnsi="Times New Roman" w:cs="Times New Roman"/>
          <w:sz w:val="26"/>
          <w:szCs w:val="26"/>
          <w:bdr w:val="none" w:sz="0" w:space="0" w:color="auto" w:frame="1"/>
          <w:shd w:val="clear" w:color="auto" w:fill="FFFFFF"/>
        </w:rPr>
        <w:t>Узбекистаном</w:t>
      </w:r>
      <w:r w:rsidRPr="0014128E">
        <w:rPr>
          <w:rFonts w:ascii="Times New Roman" w:hAnsi="Times New Roman" w:cs="Times New Roman"/>
          <w:color w:val="000000"/>
          <w:sz w:val="26"/>
          <w:szCs w:val="26"/>
          <w:shd w:val="clear" w:color="auto" w:fill="FFFFFF"/>
        </w:rPr>
        <w:t>, запущен диалог Россия-</w:t>
      </w:r>
      <w:r w:rsidRPr="00F7410E">
        <w:rPr>
          <w:rFonts w:ascii="Times New Roman" w:hAnsi="Times New Roman" w:cs="Times New Roman"/>
          <w:sz w:val="26"/>
          <w:szCs w:val="26"/>
          <w:bdr w:val="none" w:sz="0" w:space="0" w:color="auto" w:frame="1"/>
          <w:shd w:val="clear" w:color="auto" w:fill="FFFFFF"/>
        </w:rPr>
        <w:t>АСЕАН</w:t>
      </w:r>
      <w:r w:rsidRPr="0014128E">
        <w:rPr>
          <w:rFonts w:ascii="Times New Roman" w:hAnsi="Times New Roman" w:cs="Times New Roman"/>
          <w:color w:val="000000"/>
          <w:sz w:val="26"/>
          <w:szCs w:val="26"/>
          <w:shd w:val="clear" w:color="auto" w:fill="FFFFFF"/>
        </w:rPr>
        <w:t>.</w:t>
      </w:r>
    </w:p>
    <w:p w14:paraId="70994FE2" w14:textId="77777777" w:rsidR="00DB474C" w:rsidRPr="0014128E" w:rsidRDefault="00DB474C" w:rsidP="00DB474C">
      <w:pPr>
        <w:spacing w:after="0" w:line="276" w:lineRule="auto"/>
        <w:ind w:firstLine="709"/>
        <w:jc w:val="both"/>
        <w:rPr>
          <w:rFonts w:ascii="Times New Roman" w:hAnsi="Times New Roman" w:cs="Times New Roman"/>
          <w:color w:val="000000"/>
          <w:sz w:val="26"/>
          <w:szCs w:val="26"/>
          <w:shd w:val="clear" w:color="auto" w:fill="FFFFFF"/>
        </w:rPr>
      </w:pPr>
      <w:r w:rsidRPr="0014128E">
        <w:rPr>
          <w:rFonts w:ascii="Times New Roman" w:hAnsi="Times New Roman" w:cs="Times New Roman"/>
          <w:color w:val="000000"/>
          <w:sz w:val="26"/>
          <w:szCs w:val="26"/>
          <w:shd w:val="clear" w:color="auto" w:fill="FFFFFF"/>
        </w:rPr>
        <w:t>Укреплению международной безопасности способствовало принятие по инициативе России резолюции Генассамблеи ООН о неразмещении первыми оружия в космосе. Одобрен российский проект резолюции о мерах по обеспечению транспарентности и укреплению доверия в космической деятельности. Увеличилось до 30 число стран-участниц российской инициативы по предотвращению гонки вооружений в космическом пространстве.</w:t>
      </w:r>
    </w:p>
    <w:p w14:paraId="1FFEF2BD" w14:textId="77777777" w:rsidR="00E91C63" w:rsidRDefault="00DB474C" w:rsidP="00DB474C">
      <w:pPr>
        <w:pStyle w:val="af5"/>
        <w:shd w:val="clear" w:color="auto" w:fill="FFFFFF"/>
        <w:spacing w:before="0" w:beforeAutospacing="0" w:after="0" w:afterAutospacing="0" w:line="276" w:lineRule="auto"/>
        <w:jc w:val="both"/>
        <w:textAlignment w:val="baseline"/>
        <w:rPr>
          <w:color w:val="000000"/>
          <w:sz w:val="26"/>
          <w:szCs w:val="26"/>
        </w:rPr>
      </w:pPr>
      <w:r w:rsidRPr="0014128E">
        <w:rPr>
          <w:color w:val="000000"/>
          <w:sz w:val="26"/>
          <w:szCs w:val="26"/>
        </w:rPr>
        <w:t>Россия сыграла ключевую роль в запуске переговоров по восстановлению выполнения Совместного всеобъемлющего плана действий по урегулированию ситуации вокруг </w:t>
      </w:r>
      <w:r w:rsidRPr="00F7410E">
        <w:rPr>
          <w:rFonts w:eastAsiaTheme="majorEastAsia"/>
          <w:color w:val="000000"/>
          <w:sz w:val="26"/>
          <w:szCs w:val="26"/>
          <w:bdr w:val="none" w:sz="0" w:space="0" w:color="auto" w:frame="1"/>
        </w:rPr>
        <w:t>иранской ядерной программы</w:t>
      </w:r>
      <w:r w:rsidRPr="0014128E">
        <w:rPr>
          <w:color w:val="000000"/>
          <w:sz w:val="26"/>
          <w:szCs w:val="26"/>
        </w:rPr>
        <w:t> в его первоначальном виде без дополнений и изъятий.</w:t>
      </w:r>
      <w:r w:rsidR="00E91C63">
        <w:rPr>
          <w:color w:val="000000"/>
          <w:sz w:val="26"/>
          <w:szCs w:val="26"/>
        </w:rPr>
        <w:t xml:space="preserve"> </w:t>
      </w:r>
    </w:p>
    <w:p w14:paraId="74DCDC16" w14:textId="216AF9D4" w:rsidR="00DB474C" w:rsidRPr="0014128E" w:rsidRDefault="00DB474C" w:rsidP="00E91C63">
      <w:pPr>
        <w:pStyle w:val="af5"/>
        <w:shd w:val="clear" w:color="auto" w:fill="FFFFFF"/>
        <w:spacing w:before="0" w:beforeAutospacing="0" w:after="0" w:afterAutospacing="0" w:line="276" w:lineRule="auto"/>
        <w:ind w:firstLine="567"/>
        <w:jc w:val="both"/>
        <w:textAlignment w:val="baseline"/>
        <w:rPr>
          <w:color w:val="000000"/>
          <w:sz w:val="26"/>
          <w:szCs w:val="26"/>
        </w:rPr>
      </w:pPr>
      <w:r w:rsidRPr="0014128E">
        <w:rPr>
          <w:color w:val="000000"/>
          <w:sz w:val="26"/>
          <w:szCs w:val="26"/>
        </w:rPr>
        <w:t>Участие России в усилиях по разрешению конфликтов вносило вклад в поддержание региональной и международной безопасности.</w:t>
      </w:r>
    </w:p>
    <w:p w14:paraId="57F42709" w14:textId="77777777" w:rsidR="00DB474C" w:rsidRPr="0014128E" w:rsidRDefault="00DB474C" w:rsidP="00DB474C">
      <w:pPr>
        <w:spacing w:after="0" w:line="276" w:lineRule="auto"/>
        <w:ind w:firstLine="709"/>
        <w:jc w:val="both"/>
        <w:rPr>
          <w:rFonts w:ascii="Times New Roman" w:hAnsi="Times New Roman" w:cs="Times New Roman"/>
          <w:color w:val="000000"/>
          <w:sz w:val="26"/>
          <w:szCs w:val="26"/>
          <w:shd w:val="clear" w:color="auto" w:fill="FFFFFF"/>
        </w:rPr>
      </w:pPr>
      <w:r w:rsidRPr="0014128E">
        <w:rPr>
          <w:rFonts w:ascii="Times New Roman" w:hAnsi="Times New Roman" w:cs="Times New Roman"/>
          <w:color w:val="000000"/>
          <w:sz w:val="26"/>
          <w:szCs w:val="26"/>
          <w:shd w:val="clear" w:color="auto" w:fill="FFFFFF"/>
        </w:rPr>
        <w:t>Сохранение принципиального курса на обеспечение выполнения сторонами </w:t>
      </w:r>
      <w:r w:rsidRPr="00F7410E">
        <w:rPr>
          <w:rFonts w:ascii="Times New Roman" w:hAnsi="Times New Roman" w:cs="Times New Roman"/>
          <w:sz w:val="26"/>
          <w:szCs w:val="26"/>
          <w:bdr w:val="none" w:sz="0" w:space="0" w:color="auto" w:frame="1"/>
          <w:shd w:val="clear" w:color="auto" w:fill="FFFFFF"/>
        </w:rPr>
        <w:t>внутриукраинского противостояния</w:t>
      </w:r>
      <w:r w:rsidRPr="0014128E">
        <w:rPr>
          <w:rFonts w:ascii="Times New Roman" w:hAnsi="Times New Roman" w:cs="Times New Roman"/>
          <w:color w:val="000000"/>
          <w:sz w:val="26"/>
          <w:szCs w:val="26"/>
          <w:shd w:val="clear" w:color="auto" w:fill="FFFFFF"/>
        </w:rPr>
        <w:t xml:space="preserve"> минского «Комплекса мер» способствовало недопущению военной эскалации в Донбассе. </w:t>
      </w:r>
    </w:p>
    <w:p w14:paraId="4C8A659A" w14:textId="77777777" w:rsidR="00DB474C" w:rsidRPr="0014128E" w:rsidRDefault="00DB474C" w:rsidP="00DB474C">
      <w:pPr>
        <w:spacing w:after="0" w:line="276" w:lineRule="auto"/>
        <w:ind w:firstLine="709"/>
        <w:jc w:val="both"/>
        <w:rPr>
          <w:rFonts w:ascii="Times New Roman" w:hAnsi="Times New Roman" w:cs="Times New Roman"/>
          <w:color w:val="000000"/>
          <w:sz w:val="26"/>
          <w:szCs w:val="26"/>
          <w:shd w:val="clear" w:color="auto" w:fill="FFFFFF"/>
        </w:rPr>
      </w:pPr>
      <w:r w:rsidRPr="0014128E">
        <w:rPr>
          <w:rFonts w:ascii="Times New Roman" w:hAnsi="Times New Roman" w:cs="Times New Roman"/>
          <w:color w:val="000000"/>
          <w:sz w:val="26"/>
          <w:szCs w:val="26"/>
          <w:shd w:val="clear" w:color="auto" w:fill="FFFFFF"/>
        </w:rPr>
        <w:t>Россия энергично содействовала </w:t>
      </w:r>
      <w:r w:rsidRPr="00F7410E">
        <w:rPr>
          <w:rFonts w:ascii="Times New Roman" w:hAnsi="Times New Roman" w:cs="Times New Roman"/>
          <w:sz w:val="26"/>
          <w:szCs w:val="26"/>
          <w:bdr w:val="none" w:sz="0" w:space="0" w:color="auto" w:frame="1"/>
          <w:shd w:val="clear" w:color="auto" w:fill="FFFFFF"/>
        </w:rPr>
        <w:t>нормализации отношений</w:t>
      </w:r>
      <w:r w:rsidRPr="0014128E">
        <w:rPr>
          <w:rFonts w:ascii="Times New Roman" w:hAnsi="Times New Roman" w:cs="Times New Roman"/>
          <w:color w:val="000000"/>
          <w:sz w:val="26"/>
          <w:szCs w:val="26"/>
          <w:shd w:val="clear" w:color="auto" w:fill="FFFFFF"/>
        </w:rPr>
        <w:t> между Баку и Ереваном, включая решение таких задач, как создание двусторонней Комиссии по делимитации азербайджано-армянской границы с её последующей демаркацией, а также разблокирование экономических и транспортных связей на Южном Кавказе. </w:t>
      </w:r>
    </w:p>
    <w:p w14:paraId="74689CE9" w14:textId="77777777" w:rsidR="00DB474C" w:rsidRPr="0014128E" w:rsidRDefault="00DB474C" w:rsidP="00DB474C">
      <w:pPr>
        <w:spacing w:after="0" w:line="276" w:lineRule="auto"/>
        <w:ind w:firstLine="709"/>
        <w:jc w:val="both"/>
        <w:rPr>
          <w:rFonts w:ascii="Times New Roman" w:hAnsi="Times New Roman" w:cs="Times New Roman"/>
          <w:color w:val="000000"/>
          <w:sz w:val="26"/>
          <w:szCs w:val="26"/>
          <w:shd w:val="clear" w:color="auto" w:fill="FFFFFF"/>
        </w:rPr>
      </w:pPr>
      <w:r w:rsidRPr="0014128E">
        <w:rPr>
          <w:rFonts w:ascii="Times New Roman" w:hAnsi="Times New Roman" w:cs="Times New Roman"/>
          <w:color w:val="000000"/>
          <w:sz w:val="26"/>
          <w:szCs w:val="26"/>
          <w:shd w:val="clear" w:color="auto" w:fill="FFFFFF"/>
        </w:rPr>
        <w:t>Россия наладила рабочие контакты с представителями новых афганских властей. В координации с турецкими и иранскими партнёрами российские представители обеспечили ведущую роль «Астанинского формата» в урегулировании </w:t>
      </w:r>
      <w:r w:rsidRPr="00F7410E">
        <w:rPr>
          <w:rFonts w:ascii="Times New Roman" w:hAnsi="Times New Roman" w:cs="Times New Roman"/>
          <w:sz w:val="26"/>
          <w:szCs w:val="26"/>
          <w:bdr w:val="none" w:sz="0" w:space="0" w:color="auto" w:frame="1"/>
          <w:shd w:val="clear" w:color="auto" w:fill="FFFFFF"/>
        </w:rPr>
        <w:t>ситуации в Сирии</w:t>
      </w:r>
      <w:r w:rsidRPr="0014128E">
        <w:rPr>
          <w:rFonts w:ascii="Times New Roman" w:hAnsi="Times New Roman" w:cs="Times New Roman"/>
          <w:color w:val="000000"/>
          <w:sz w:val="26"/>
          <w:szCs w:val="26"/>
          <w:shd w:val="clear" w:color="auto" w:fill="FFFFFF"/>
        </w:rPr>
        <w:t>.</w:t>
      </w:r>
    </w:p>
    <w:p w14:paraId="6C5879EC" w14:textId="77777777" w:rsidR="00DB474C" w:rsidRPr="0014128E" w:rsidRDefault="00DB474C" w:rsidP="00DB474C">
      <w:pPr>
        <w:spacing w:after="0" w:line="276" w:lineRule="auto"/>
        <w:ind w:firstLine="709"/>
        <w:jc w:val="both"/>
        <w:rPr>
          <w:rFonts w:ascii="Times New Roman" w:hAnsi="Times New Roman" w:cs="Times New Roman"/>
          <w:color w:val="000000"/>
          <w:sz w:val="26"/>
          <w:szCs w:val="26"/>
          <w:shd w:val="clear" w:color="auto" w:fill="FFFFFF"/>
        </w:rPr>
      </w:pPr>
      <w:r w:rsidRPr="0014128E">
        <w:rPr>
          <w:rFonts w:ascii="Times New Roman" w:hAnsi="Times New Roman" w:cs="Times New Roman"/>
          <w:color w:val="000000"/>
          <w:sz w:val="26"/>
          <w:szCs w:val="26"/>
          <w:shd w:val="clear" w:color="auto" w:fill="FFFFFF"/>
        </w:rPr>
        <w:t>Приоритетом внешней политики России оставалось продвижение интеграционных проектов и сотрудничества на пространстве Большой Евразии.</w:t>
      </w:r>
    </w:p>
    <w:p w14:paraId="194A4680" w14:textId="77777777" w:rsidR="00DB474C" w:rsidRPr="0014128E" w:rsidRDefault="00DB474C" w:rsidP="00DB474C">
      <w:pPr>
        <w:spacing w:after="0" w:line="276" w:lineRule="auto"/>
        <w:ind w:firstLine="709"/>
        <w:jc w:val="both"/>
        <w:rPr>
          <w:rFonts w:ascii="Times New Roman" w:hAnsi="Times New Roman" w:cs="Times New Roman"/>
          <w:color w:val="000000"/>
          <w:sz w:val="26"/>
          <w:szCs w:val="26"/>
          <w:shd w:val="clear" w:color="auto" w:fill="FFFFFF"/>
        </w:rPr>
      </w:pPr>
      <w:r w:rsidRPr="0014128E">
        <w:rPr>
          <w:rFonts w:ascii="Times New Roman" w:hAnsi="Times New Roman" w:cs="Times New Roman"/>
          <w:color w:val="000000"/>
          <w:sz w:val="26"/>
          <w:szCs w:val="26"/>
          <w:shd w:val="clear" w:color="auto" w:fill="FFFFFF"/>
        </w:rPr>
        <w:t>4 ноября на заседании Высшего Государственного Совета Союзного государства России и </w:t>
      </w:r>
      <w:r w:rsidRPr="00F7410E">
        <w:rPr>
          <w:rFonts w:ascii="Times New Roman" w:hAnsi="Times New Roman" w:cs="Times New Roman"/>
          <w:sz w:val="26"/>
          <w:szCs w:val="26"/>
          <w:bdr w:val="none" w:sz="0" w:space="0" w:color="auto" w:frame="1"/>
          <w:shd w:val="clear" w:color="auto" w:fill="FFFFFF"/>
        </w:rPr>
        <w:t>Белоруссии</w:t>
      </w:r>
      <w:r w:rsidRPr="0014128E">
        <w:rPr>
          <w:rFonts w:ascii="Times New Roman" w:hAnsi="Times New Roman" w:cs="Times New Roman"/>
          <w:color w:val="000000"/>
          <w:sz w:val="26"/>
          <w:szCs w:val="26"/>
          <w:shd w:val="clear" w:color="auto" w:fill="FFFFFF"/>
        </w:rPr>
        <w:t> утверждены «Основные направления реализации положений Договора о создании Союзного государства на 2021-2023 годы» (включая 28 отраслевых программ), а также обновлённые Военная доктрина и Концепция миграционной политики Союзного государства.</w:t>
      </w:r>
    </w:p>
    <w:p w14:paraId="517F6867" w14:textId="77777777" w:rsidR="00DB474C" w:rsidRPr="0014128E" w:rsidRDefault="00DB474C" w:rsidP="00DB474C">
      <w:pPr>
        <w:spacing w:after="0" w:line="276" w:lineRule="auto"/>
        <w:ind w:firstLine="709"/>
        <w:jc w:val="both"/>
        <w:rPr>
          <w:rFonts w:ascii="Times New Roman" w:hAnsi="Times New Roman" w:cs="Times New Roman"/>
          <w:color w:val="000000"/>
          <w:sz w:val="26"/>
          <w:szCs w:val="26"/>
          <w:shd w:val="clear" w:color="auto" w:fill="FFFFFF"/>
        </w:rPr>
      </w:pPr>
      <w:r w:rsidRPr="0014128E">
        <w:rPr>
          <w:rFonts w:ascii="Times New Roman" w:hAnsi="Times New Roman" w:cs="Times New Roman"/>
          <w:color w:val="000000"/>
          <w:sz w:val="26"/>
          <w:szCs w:val="26"/>
          <w:shd w:val="clear" w:color="auto" w:fill="FFFFFF"/>
        </w:rPr>
        <w:t>Россия энергично развивала отношения и торгово-инвестиционные связи с государствами </w:t>
      </w:r>
      <w:r w:rsidRPr="00F7410E">
        <w:rPr>
          <w:rFonts w:ascii="Times New Roman" w:hAnsi="Times New Roman" w:cs="Times New Roman"/>
          <w:sz w:val="26"/>
          <w:szCs w:val="26"/>
          <w:bdr w:val="none" w:sz="0" w:space="0" w:color="auto" w:frame="1"/>
          <w:shd w:val="clear" w:color="auto" w:fill="FFFFFF"/>
        </w:rPr>
        <w:t>Азиатско-Тихоокеанского региона (АТР)</w:t>
      </w:r>
      <w:r w:rsidRPr="0014128E">
        <w:rPr>
          <w:rFonts w:ascii="Times New Roman" w:hAnsi="Times New Roman" w:cs="Times New Roman"/>
          <w:color w:val="000000"/>
          <w:sz w:val="26"/>
          <w:szCs w:val="26"/>
          <w:shd w:val="clear" w:color="auto" w:fill="FFFFFF"/>
        </w:rPr>
        <w:t>.</w:t>
      </w:r>
    </w:p>
    <w:p w14:paraId="1FD51156" w14:textId="77777777" w:rsidR="00DB474C" w:rsidRPr="0014128E" w:rsidRDefault="00DB474C" w:rsidP="00DB474C">
      <w:pPr>
        <w:spacing w:after="0" w:line="276" w:lineRule="auto"/>
        <w:ind w:firstLine="709"/>
        <w:jc w:val="both"/>
        <w:rPr>
          <w:rFonts w:ascii="Times New Roman" w:hAnsi="Times New Roman" w:cs="Times New Roman"/>
          <w:color w:val="000000"/>
          <w:sz w:val="26"/>
          <w:szCs w:val="26"/>
          <w:shd w:val="clear" w:color="auto" w:fill="FFFFFF"/>
        </w:rPr>
      </w:pPr>
      <w:r w:rsidRPr="0014128E">
        <w:rPr>
          <w:rFonts w:ascii="Times New Roman" w:hAnsi="Times New Roman" w:cs="Times New Roman"/>
          <w:color w:val="000000"/>
          <w:sz w:val="26"/>
          <w:szCs w:val="26"/>
          <w:shd w:val="clear" w:color="auto" w:fill="FFFFFF"/>
        </w:rPr>
        <w:t>Взаимовыгодный характер носили отношения России с государствами Ближнего Востока и Африки.</w:t>
      </w:r>
    </w:p>
    <w:p w14:paraId="4C06C285" w14:textId="77777777" w:rsidR="00DB474C" w:rsidRPr="0014128E" w:rsidRDefault="00DB474C" w:rsidP="00DB474C">
      <w:pPr>
        <w:spacing w:after="0" w:line="276" w:lineRule="auto"/>
        <w:ind w:firstLine="709"/>
        <w:jc w:val="both"/>
        <w:rPr>
          <w:rFonts w:ascii="Times New Roman" w:hAnsi="Times New Roman" w:cs="Times New Roman"/>
          <w:color w:val="000000"/>
          <w:sz w:val="26"/>
          <w:szCs w:val="26"/>
          <w:shd w:val="clear" w:color="auto" w:fill="FFFFFF"/>
        </w:rPr>
      </w:pPr>
      <w:r w:rsidRPr="0014128E">
        <w:rPr>
          <w:rFonts w:ascii="Times New Roman" w:hAnsi="Times New Roman" w:cs="Times New Roman"/>
          <w:color w:val="000000"/>
          <w:sz w:val="26"/>
          <w:szCs w:val="26"/>
          <w:shd w:val="clear" w:color="auto" w:fill="FFFFFF"/>
        </w:rPr>
        <w:t>Сотрудничество со странами Латинской Америки и Карибского бассейна охватывало широкий круг вопросов – от добычи природных ресурсов и энергетики до военно-технической и научно-технологической кооперации.</w:t>
      </w:r>
    </w:p>
    <w:p w14:paraId="3A613D96" w14:textId="77777777" w:rsidR="00DB474C" w:rsidRDefault="00DB474C" w:rsidP="00DB474C">
      <w:pPr>
        <w:spacing w:after="0" w:line="276" w:lineRule="auto"/>
        <w:ind w:firstLine="709"/>
        <w:jc w:val="both"/>
        <w:rPr>
          <w:rFonts w:ascii="Times New Roman" w:hAnsi="Times New Roman" w:cs="Times New Roman"/>
          <w:color w:val="000000"/>
          <w:sz w:val="26"/>
          <w:szCs w:val="26"/>
          <w:shd w:val="clear" w:color="auto" w:fill="FFFFFF"/>
        </w:rPr>
      </w:pPr>
      <w:r w:rsidRPr="0014128E">
        <w:rPr>
          <w:rFonts w:ascii="Times New Roman" w:hAnsi="Times New Roman" w:cs="Times New Roman"/>
          <w:color w:val="000000"/>
          <w:sz w:val="26"/>
          <w:szCs w:val="26"/>
          <w:shd w:val="clear" w:color="auto" w:fill="FFFFFF"/>
        </w:rPr>
        <w:t>Россия содействовала </w:t>
      </w:r>
      <w:r w:rsidRPr="00F7410E">
        <w:rPr>
          <w:rFonts w:ascii="Times New Roman" w:hAnsi="Times New Roman" w:cs="Times New Roman"/>
          <w:sz w:val="26"/>
          <w:szCs w:val="26"/>
          <w:bdr w:val="none" w:sz="0" w:space="0" w:color="auto" w:frame="1"/>
          <w:shd w:val="clear" w:color="auto" w:fill="FFFFFF"/>
        </w:rPr>
        <w:t>борьбе с пандемией COVID-19</w:t>
      </w:r>
      <w:r w:rsidRPr="0014128E">
        <w:rPr>
          <w:rFonts w:ascii="Times New Roman" w:hAnsi="Times New Roman" w:cs="Times New Roman"/>
          <w:color w:val="000000"/>
          <w:sz w:val="26"/>
          <w:szCs w:val="26"/>
          <w:shd w:val="clear" w:color="auto" w:fill="FFFFFF"/>
        </w:rPr>
        <w:t> и преодолению ее последствий. Обеспечена регистрация вакцины «Спутник V» в 71 стране, осуществлены поставки значительных объёмов отечественных вакцин за рубеж, достигнуты договорённости о локализации и расширении масштабов производства российских препаратов в различных регионах мира</w:t>
      </w:r>
      <w:r>
        <w:rPr>
          <w:rStyle w:val="af2"/>
          <w:rFonts w:ascii="Times New Roman" w:hAnsi="Times New Roman" w:cs="Times New Roman"/>
          <w:color w:val="000000"/>
          <w:sz w:val="26"/>
          <w:szCs w:val="26"/>
          <w:shd w:val="clear" w:color="auto" w:fill="FFFFFF"/>
        </w:rPr>
        <w:footnoteReference w:id="30"/>
      </w:r>
      <w:r w:rsidRPr="0014128E">
        <w:rPr>
          <w:rFonts w:ascii="Times New Roman" w:hAnsi="Times New Roman" w:cs="Times New Roman"/>
          <w:color w:val="000000"/>
          <w:sz w:val="26"/>
          <w:szCs w:val="26"/>
          <w:shd w:val="clear" w:color="auto" w:fill="FFFFFF"/>
        </w:rPr>
        <w:t>.</w:t>
      </w:r>
    </w:p>
    <w:p w14:paraId="3F847218" w14:textId="77777777" w:rsidR="00DB474C" w:rsidRPr="003E5889" w:rsidRDefault="00DB474C" w:rsidP="00DB474C">
      <w:pPr>
        <w:spacing w:after="0" w:line="276" w:lineRule="auto"/>
        <w:ind w:firstLine="709"/>
        <w:jc w:val="both"/>
        <w:rPr>
          <w:rFonts w:ascii="Times New Roman" w:hAnsi="Times New Roman" w:cs="Times New Roman"/>
          <w:sz w:val="26"/>
          <w:szCs w:val="26"/>
        </w:rPr>
      </w:pPr>
      <w:r w:rsidRPr="003E5889">
        <w:rPr>
          <w:rFonts w:ascii="Times New Roman" w:hAnsi="Times New Roman" w:cs="Times New Roman"/>
          <w:i/>
          <w:sz w:val="26"/>
          <w:szCs w:val="26"/>
          <w:shd w:val="clear" w:color="auto" w:fill="FFFFFF"/>
        </w:rPr>
        <w:t>Внутренняя политика в</w:t>
      </w:r>
      <w:r w:rsidRPr="003E5889">
        <w:rPr>
          <w:rFonts w:ascii="Times New Roman" w:hAnsi="Times New Roman" w:cs="Times New Roman"/>
          <w:i/>
          <w:sz w:val="26"/>
          <w:szCs w:val="26"/>
        </w:rPr>
        <w:t xml:space="preserve"> 2021 году</w:t>
      </w:r>
      <w:r w:rsidRPr="003E5889">
        <w:rPr>
          <w:rFonts w:ascii="Times New Roman" w:hAnsi="Times New Roman" w:cs="Times New Roman"/>
          <w:sz w:val="26"/>
          <w:szCs w:val="26"/>
        </w:rPr>
        <w:t xml:space="preserve">. </w:t>
      </w:r>
      <w:r w:rsidRPr="003E5889">
        <w:rPr>
          <w:rFonts w:ascii="Times New Roman" w:hAnsi="Times New Roman" w:cs="Times New Roman"/>
          <w:sz w:val="26"/>
          <w:szCs w:val="26"/>
          <w:shd w:val="clear" w:color="auto" w:fill="FFFFFF"/>
        </w:rPr>
        <w:t xml:space="preserve">2021 год был отмечен рядом резонансных событий в российской политике. Выборы в Государственную думу, вступление в силу новых законов, </w:t>
      </w:r>
      <w:r>
        <w:rPr>
          <w:rFonts w:ascii="Times New Roman" w:hAnsi="Times New Roman" w:cs="Times New Roman"/>
          <w:sz w:val="26"/>
          <w:szCs w:val="26"/>
          <w:shd w:val="clear" w:color="auto" w:fill="FFFFFF"/>
        </w:rPr>
        <w:t>разногласия</w:t>
      </w:r>
      <w:r w:rsidRPr="003E5889">
        <w:rPr>
          <w:rFonts w:ascii="Times New Roman" w:hAnsi="Times New Roman" w:cs="Times New Roman"/>
          <w:sz w:val="26"/>
          <w:szCs w:val="26"/>
          <w:shd w:val="clear" w:color="auto" w:fill="FFFFFF"/>
        </w:rPr>
        <w:t xml:space="preserve"> внутри оппозиции и многое другое</w:t>
      </w:r>
      <w:r w:rsidRPr="003E5889">
        <w:rPr>
          <w:rStyle w:val="af2"/>
          <w:rFonts w:ascii="Times New Roman" w:hAnsi="Times New Roman" w:cs="Times New Roman"/>
          <w:sz w:val="26"/>
          <w:szCs w:val="26"/>
        </w:rPr>
        <w:footnoteReference w:id="31"/>
      </w:r>
      <w:r w:rsidRPr="003E5889">
        <w:rPr>
          <w:rFonts w:ascii="Times New Roman" w:hAnsi="Times New Roman" w:cs="Times New Roman"/>
          <w:sz w:val="26"/>
          <w:szCs w:val="26"/>
        </w:rPr>
        <w:t>.</w:t>
      </w:r>
    </w:p>
    <w:p w14:paraId="5719CAF3" w14:textId="77777777" w:rsidR="00DB474C" w:rsidRPr="002F245A" w:rsidRDefault="00DB474C" w:rsidP="00DB474C">
      <w:pPr>
        <w:spacing w:before="120" w:after="0" w:line="276" w:lineRule="auto"/>
        <w:jc w:val="center"/>
        <w:rPr>
          <w:rFonts w:ascii="Times New Roman" w:hAnsi="Times New Roman" w:cs="Times New Roman"/>
          <w:b/>
          <w:i/>
          <w:sz w:val="26"/>
          <w:szCs w:val="26"/>
        </w:rPr>
      </w:pPr>
      <w:r w:rsidRPr="002F245A">
        <w:rPr>
          <w:rFonts w:ascii="Times New Roman" w:hAnsi="Times New Roman" w:cs="Times New Roman"/>
          <w:i/>
          <w:sz w:val="26"/>
          <w:szCs w:val="26"/>
        </w:rPr>
        <w:t>Выводы по основным экономическим, социальным, политическим и экологическим показателям Российской Федерации в 202</w:t>
      </w:r>
      <w:r>
        <w:rPr>
          <w:rFonts w:ascii="Times New Roman" w:hAnsi="Times New Roman" w:cs="Times New Roman"/>
          <w:i/>
          <w:sz w:val="26"/>
          <w:szCs w:val="26"/>
        </w:rPr>
        <w:t>1</w:t>
      </w:r>
      <w:r w:rsidRPr="002F245A">
        <w:rPr>
          <w:rFonts w:ascii="Times New Roman" w:hAnsi="Times New Roman" w:cs="Times New Roman"/>
          <w:i/>
          <w:sz w:val="26"/>
          <w:szCs w:val="26"/>
        </w:rPr>
        <w:t xml:space="preserve"> г.</w:t>
      </w:r>
    </w:p>
    <w:p w14:paraId="138BAA04" w14:textId="77777777" w:rsidR="00DB474C" w:rsidRPr="002F245A" w:rsidRDefault="00DB474C" w:rsidP="00DB474C">
      <w:pPr>
        <w:pStyle w:val="Standard"/>
        <w:spacing w:line="276" w:lineRule="auto"/>
        <w:ind w:firstLine="709"/>
        <w:jc w:val="both"/>
        <w:rPr>
          <w:kern w:val="0"/>
          <w:sz w:val="26"/>
          <w:szCs w:val="26"/>
          <w:shd w:val="clear" w:color="auto" w:fill="FFFFFF"/>
        </w:rPr>
      </w:pPr>
      <w:r w:rsidRPr="002F245A">
        <w:rPr>
          <w:kern w:val="0"/>
          <w:sz w:val="26"/>
          <w:szCs w:val="26"/>
          <w:shd w:val="clear" w:color="auto" w:fill="FFFFFF"/>
        </w:rPr>
        <w:t>В результате проведенного анализа социально-экономического состояния Российской Федерации за 202</w:t>
      </w:r>
      <w:r>
        <w:rPr>
          <w:kern w:val="0"/>
          <w:sz w:val="26"/>
          <w:szCs w:val="26"/>
          <w:shd w:val="clear" w:color="auto" w:fill="FFFFFF"/>
        </w:rPr>
        <w:t>1</w:t>
      </w:r>
      <w:r w:rsidRPr="002F245A">
        <w:rPr>
          <w:kern w:val="0"/>
          <w:sz w:val="26"/>
          <w:szCs w:val="26"/>
          <w:shd w:val="clear" w:color="auto" w:fill="FFFFFF"/>
        </w:rPr>
        <w:t>г. можно сделать следующие выводы:</w:t>
      </w:r>
    </w:p>
    <w:p w14:paraId="700617D8" w14:textId="77777777" w:rsidR="00DB474C" w:rsidRPr="002F245A" w:rsidRDefault="00DB474C" w:rsidP="00DB474C">
      <w:pPr>
        <w:pStyle w:val="Standard"/>
        <w:spacing w:line="276" w:lineRule="auto"/>
        <w:ind w:firstLine="709"/>
        <w:jc w:val="both"/>
        <w:rPr>
          <w:sz w:val="26"/>
          <w:szCs w:val="26"/>
        </w:rPr>
      </w:pPr>
      <w:r w:rsidRPr="002F245A">
        <w:rPr>
          <w:sz w:val="26"/>
          <w:szCs w:val="26"/>
        </w:rPr>
        <w:t xml:space="preserve">1) </w:t>
      </w:r>
      <w:r w:rsidRPr="007876F9">
        <w:rPr>
          <w:i/>
          <w:sz w:val="26"/>
          <w:szCs w:val="26"/>
        </w:rPr>
        <w:t>численность постоянного населения</w:t>
      </w:r>
      <w:r w:rsidRPr="007876F9">
        <w:rPr>
          <w:sz w:val="26"/>
          <w:szCs w:val="26"/>
        </w:rPr>
        <w:t xml:space="preserve"> Российской Федерации на 1 января 2022 г. составила 145,6 млн человек</w:t>
      </w:r>
      <w:r>
        <w:rPr>
          <w:sz w:val="26"/>
          <w:szCs w:val="26"/>
        </w:rPr>
        <w:t>, с</w:t>
      </w:r>
      <w:r w:rsidRPr="007876F9">
        <w:rPr>
          <w:sz w:val="26"/>
          <w:szCs w:val="26"/>
        </w:rPr>
        <w:t xml:space="preserve"> начала года численность населения сократилась на 612,8 тыс. человек, или на 0,42%</w:t>
      </w:r>
      <w:r>
        <w:rPr>
          <w:sz w:val="26"/>
          <w:szCs w:val="26"/>
        </w:rPr>
        <w:t>;</w:t>
      </w:r>
    </w:p>
    <w:p w14:paraId="34CDA2BE" w14:textId="77777777" w:rsidR="00DB474C" w:rsidRPr="002F245A" w:rsidRDefault="00DB474C" w:rsidP="00DB474C">
      <w:pPr>
        <w:pStyle w:val="Standard"/>
        <w:spacing w:line="276" w:lineRule="auto"/>
        <w:jc w:val="both"/>
        <w:rPr>
          <w:sz w:val="26"/>
          <w:szCs w:val="26"/>
        </w:rPr>
      </w:pPr>
      <w:r w:rsidRPr="002F245A">
        <w:rPr>
          <w:sz w:val="26"/>
          <w:szCs w:val="26"/>
        </w:rPr>
        <w:tab/>
        <w:t>2) в 202</w:t>
      </w:r>
      <w:r>
        <w:rPr>
          <w:sz w:val="26"/>
          <w:szCs w:val="26"/>
        </w:rPr>
        <w:t>1</w:t>
      </w:r>
      <w:r w:rsidRPr="002F245A">
        <w:rPr>
          <w:sz w:val="26"/>
          <w:szCs w:val="26"/>
        </w:rPr>
        <w:t xml:space="preserve">г. </w:t>
      </w:r>
      <w:r w:rsidRPr="002F245A">
        <w:rPr>
          <w:i/>
          <w:sz w:val="26"/>
          <w:szCs w:val="26"/>
        </w:rPr>
        <w:t>реальные располагаемые денежные доходы</w:t>
      </w:r>
      <w:r w:rsidRPr="002F245A">
        <w:rPr>
          <w:sz w:val="26"/>
          <w:szCs w:val="26"/>
        </w:rPr>
        <w:t xml:space="preserve"> </w:t>
      </w:r>
      <w:r>
        <w:rPr>
          <w:sz w:val="26"/>
          <w:szCs w:val="26"/>
        </w:rPr>
        <w:t>увеличилась</w:t>
      </w:r>
      <w:r w:rsidRPr="002F245A">
        <w:rPr>
          <w:sz w:val="26"/>
          <w:szCs w:val="26"/>
        </w:rPr>
        <w:t xml:space="preserve"> на 3,5% по сравнению с 20</w:t>
      </w:r>
      <w:r>
        <w:rPr>
          <w:sz w:val="26"/>
          <w:szCs w:val="26"/>
        </w:rPr>
        <w:t>20</w:t>
      </w:r>
      <w:r w:rsidRPr="002F245A">
        <w:rPr>
          <w:sz w:val="26"/>
          <w:szCs w:val="26"/>
        </w:rPr>
        <w:t xml:space="preserve">г., </w:t>
      </w:r>
      <w:r w:rsidRPr="002F245A">
        <w:rPr>
          <w:i/>
          <w:sz w:val="26"/>
          <w:szCs w:val="26"/>
        </w:rPr>
        <w:t>среднемесячная начисленная заработная плата</w:t>
      </w:r>
      <w:r w:rsidRPr="002F245A">
        <w:rPr>
          <w:sz w:val="26"/>
          <w:szCs w:val="26"/>
        </w:rPr>
        <w:t xml:space="preserve"> составила </w:t>
      </w:r>
      <w:r>
        <w:rPr>
          <w:sz w:val="26"/>
          <w:szCs w:val="26"/>
        </w:rPr>
        <w:t>56545</w:t>
      </w:r>
      <w:r w:rsidRPr="002F245A">
        <w:rPr>
          <w:sz w:val="26"/>
          <w:szCs w:val="26"/>
        </w:rPr>
        <w:t xml:space="preserve"> руб. и выросла на </w:t>
      </w:r>
      <w:r>
        <w:rPr>
          <w:sz w:val="26"/>
          <w:szCs w:val="26"/>
        </w:rPr>
        <w:t>9</w:t>
      </w:r>
      <w:r w:rsidRPr="002F245A">
        <w:rPr>
          <w:sz w:val="26"/>
          <w:szCs w:val="26"/>
        </w:rPr>
        <w:t>,</w:t>
      </w:r>
      <w:r>
        <w:rPr>
          <w:sz w:val="26"/>
          <w:szCs w:val="26"/>
        </w:rPr>
        <w:t>8</w:t>
      </w:r>
      <w:r w:rsidRPr="002F245A">
        <w:rPr>
          <w:sz w:val="26"/>
          <w:szCs w:val="26"/>
        </w:rPr>
        <w:t xml:space="preserve">%, </w:t>
      </w:r>
      <w:r w:rsidRPr="002F245A">
        <w:rPr>
          <w:i/>
          <w:sz w:val="26"/>
          <w:szCs w:val="26"/>
        </w:rPr>
        <w:t>средний размер назначенных пенсий</w:t>
      </w:r>
      <w:r w:rsidRPr="002F245A">
        <w:rPr>
          <w:sz w:val="26"/>
          <w:szCs w:val="26"/>
        </w:rPr>
        <w:t xml:space="preserve"> оставил </w:t>
      </w:r>
      <w:r>
        <w:rPr>
          <w:sz w:val="26"/>
          <w:szCs w:val="26"/>
        </w:rPr>
        <w:t>16642</w:t>
      </w:r>
      <w:r w:rsidRPr="002F245A">
        <w:rPr>
          <w:sz w:val="26"/>
          <w:szCs w:val="26"/>
        </w:rPr>
        <w:t xml:space="preserve"> руб. и по сравнению с 2020г. увеличился на </w:t>
      </w:r>
      <w:r>
        <w:rPr>
          <w:sz w:val="26"/>
          <w:szCs w:val="26"/>
        </w:rPr>
        <w:t>11</w:t>
      </w:r>
      <w:r w:rsidRPr="002F245A">
        <w:rPr>
          <w:sz w:val="26"/>
          <w:szCs w:val="26"/>
        </w:rPr>
        <w:t xml:space="preserve">%, </w:t>
      </w:r>
      <w:r w:rsidRPr="002F245A">
        <w:rPr>
          <w:i/>
          <w:sz w:val="26"/>
          <w:szCs w:val="26"/>
        </w:rPr>
        <w:t>уровень безработицы</w:t>
      </w:r>
      <w:r w:rsidRPr="002F245A">
        <w:rPr>
          <w:sz w:val="26"/>
          <w:szCs w:val="26"/>
        </w:rPr>
        <w:t xml:space="preserve"> составил </w:t>
      </w:r>
      <w:r>
        <w:rPr>
          <w:sz w:val="26"/>
          <w:szCs w:val="26"/>
        </w:rPr>
        <w:t>4,3</w:t>
      </w:r>
      <w:r w:rsidRPr="002F245A">
        <w:rPr>
          <w:sz w:val="26"/>
          <w:szCs w:val="26"/>
        </w:rPr>
        <w:t>%;</w:t>
      </w:r>
    </w:p>
    <w:p w14:paraId="4FE934CE" w14:textId="77777777" w:rsidR="00DB474C" w:rsidRPr="002F245A" w:rsidRDefault="00DB474C" w:rsidP="00DB474C">
      <w:pPr>
        <w:pStyle w:val="af5"/>
        <w:shd w:val="clear" w:color="auto" w:fill="FFFFFF"/>
        <w:spacing w:before="0" w:beforeAutospacing="0" w:after="0" w:afterAutospacing="0" w:line="276" w:lineRule="auto"/>
        <w:ind w:firstLine="708"/>
        <w:jc w:val="both"/>
        <w:rPr>
          <w:sz w:val="26"/>
          <w:szCs w:val="26"/>
        </w:rPr>
      </w:pPr>
      <w:r w:rsidRPr="002F245A">
        <w:rPr>
          <w:sz w:val="26"/>
          <w:szCs w:val="26"/>
        </w:rPr>
        <w:t xml:space="preserve">3) </w:t>
      </w:r>
      <w:r>
        <w:rPr>
          <w:i/>
          <w:sz w:val="26"/>
          <w:szCs w:val="26"/>
        </w:rPr>
        <w:t>объем</w:t>
      </w:r>
      <w:r w:rsidRPr="002F245A">
        <w:rPr>
          <w:i/>
          <w:sz w:val="26"/>
          <w:szCs w:val="26"/>
        </w:rPr>
        <w:t xml:space="preserve"> ВВП</w:t>
      </w:r>
      <w:r w:rsidRPr="002F245A">
        <w:rPr>
          <w:sz w:val="26"/>
          <w:szCs w:val="26"/>
        </w:rPr>
        <w:t xml:space="preserve"> </w:t>
      </w:r>
      <w:r>
        <w:rPr>
          <w:sz w:val="26"/>
          <w:szCs w:val="26"/>
        </w:rPr>
        <w:t>увеличился</w:t>
      </w:r>
      <w:r w:rsidRPr="002F245A">
        <w:rPr>
          <w:sz w:val="26"/>
          <w:szCs w:val="26"/>
        </w:rPr>
        <w:t xml:space="preserve"> на </w:t>
      </w:r>
      <w:r>
        <w:rPr>
          <w:sz w:val="26"/>
          <w:szCs w:val="26"/>
        </w:rPr>
        <w:t>4</w:t>
      </w:r>
      <w:r w:rsidRPr="002F245A">
        <w:rPr>
          <w:sz w:val="26"/>
          <w:szCs w:val="26"/>
        </w:rPr>
        <w:t>,</w:t>
      </w:r>
      <w:r>
        <w:rPr>
          <w:sz w:val="26"/>
          <w:szCs w:val="26"/>
        </w:rPr>
        <w:t>7</w:t>
      </w:r>
      <w:r w:rsidRPr="002F245A">
        <w:rPr>
          <w:sz w:val="26"/>
          <w:szCs w:val="26"/>
        </w:rPr>
        <w:t>% по сравнению с 20</w:t>
      </w:r>
      <w:r>
        <w:rPr>
          <w:sz w:val="26"/>
          <w:szCs w:val="26"/>
        </w:rPr>
        <w:t>20</w:t>
      </w:r>
      <w:r w:rsidRPr="002F245A">
        <w:rPr>
          <w:sz w:val="26"/>
          <w:szCs w:val="26"/>
        </w:rPr>
        <w:t xml:space="preserve">г., что связано с </w:t>
      </w:r>
      <w:r>
        <w:rPr>
          <w:sz w:val="26"/>
          <w:szCs w:val="26"/>
        </w:rPr>
        <w:t xml:space="preserve">ослаблением </w:t>
      </w:r>
      <w:r w:rsidRPr="002F245A">
        <w:rPr>
          <w:sz w:val="26"/>
          <w:szCs w:val="26"/>
        </w:rPr>
        <w:t>введенны</w:t>
      </w:r>
      <w:r>
        <w:rPr>
          <w:sz w:val="26"/>
          <w:szCs w:val="26"/>
        </w:rPr>
        <w:t>х</w:t>
      </w:r>
      <w:r w:rsidRPr="002F245A">
        <w:rPr>
          <w:sz w:val="26"/>
          <w:szCs w:val="26"/>
        </w:rPr>
        <w:t xml:space="preserve"> ограничительны</w:t>
      </w:r>
      <w:r>
        <w:rPr>
          <w:sz w:val="26"/>
          <w:szCs w:val="26"/>
        </w:rPr>
        <w:t>х</w:t>
      </w:r>
      <w:r w:rsidRPr="002F245A">
        <w:rPr>
          <w:sz w:val="26"/>
          <w:szCs w:val="26"/>
        </w:rPr>
        <w:t xml:space="preserve"> мер, направленны</w:t>
      </w:r>
      <w:r>
        <w:rPr>
          <w:sz w:val="26"/>
          <w:szCs w:val="26"/>
        </w:rPr>
        <w:t>х</w:t>
      </w:r>
      <w:r w:rsidRPr="002F245A">
        <w:rPr>
          <w:sz w:val="26"/>
          <w:szCs w:val="26"/>
        </w:rPr>
        <w:t xml:space="preserve"> на борьбу с коронавирусной инфекцией, и падением мирового спроса на энергоресурсы.</w:t>
      </w:r>
    </w:p>
    <w:p w14:paraId="409B9E40" w14:textId="77777777" w:rsidR="00DB474C" w:rsidRPr="002F245A" w:rsidRDefault="00DB474C" w:rsidP="00DB474C">
      <w:pPr>
        <w:pStyle w:val="Standard"/>
        <w:spacing w:line="276" w:lineRule="auto"/>
        <w:ind w:firstLine="709"/>
        <w:jc w:val="both"/>
        <w:rPr>
          <w:sz w:val="26"/>
          <w:szCs w:val="26"/>
        </w:rPr>
      </w:pPr>
      <w:r w:rsidRPr="002F245A">
        <w:rPr>
          <w:sz w:val="26"/>
          <w:szCs w:val="26"/>
        </w:rPr>
        <w:t xml:space="preserve">4) уровень </w:t>
      </w:r>
      <w:r w:rsidRPr="002F245A">
        <w:rPr>
          <w:i/>
          <w:sz w:val="26"/>
          <w:szCs w:val="26"/>
        </w:rPr>
        <w:t>промышленного производства</w:t>
      </w:r>
      <w:r w:rsidRPr="002F245A">
        <w:rPr>
          <w:sz w:val="26"/>
          <w:szCs w:val="26"/>
        </w:rPr>
        <w:t xml:space="preserve"> </w:t>
      </w:r>
      <w:r>
        <w:rPr>
          <w:sz w:val="26"/>
          <w:szCs w:val="26"/>
        </w:rPr>
        <w:t>увеличился</w:t>
      </w:r>
      <w:r w:rsidRPr="002F245A">
        <w:rPr>
          <w:sz w:val="26"/>
          <w:szCs w:val="26"/>
        </w:rPr>
        <w:t xml:space="preserve"> на </w:t>
      </w:r>
      <w:r>
        <w:rPr>
          <w:sz w:val="26"/>
          <w:szCs w:val="26"/>
        </w:rPr>
        <w:t>5,3</w:t>
      </w:r>
      <w:r w:rsidRPr="002F245A">
        <w:rPr>
          <w:sz w:val="26"/>
          <w:szCs w:val="26"/>
        </w:rPr>
        <w:t>%;</w:t>
      </w:r>
    </w:p>
    <w:p w14:paraId="2D12C7CE" w14:textId="77777777" w:rsidR="00DB474C" w:rsidRPr="002F245A" w:rsidRDefault="00DB474C" w:rsidP="00DB474C">
      <w:pPr>
        <w:pStyle w:val="Standard"/>
        <w:spacing w:line="276" w:lineRule="auto"/>
        <w:ind w:firstLine="709"/>
        <w:jc w:val="both"/>
        <w:rPr>
          <w:kern w:val="0"/>
          <w:sz w:val="26"/>
          <w:szCs w:val="26"/>
          <w:shd w:val="clear" w:color="auto" w:fill="FFFFFF"/>
        </w:rPr>
      </w:pPr>
      <w:r w:rsidRPr="002F245A">
        <w:rPr>
          <w:kern w:val="0"/>
          <w:sz w:val="26"/>
          <w:szCs w:val="26"/>
          <w:shd w:val="clear" w:color="auto" w:fill="FFFFFF"/>
        </w:rPr>
        <w:t>5)</w:t>
      </w:r>
      <w:r w:rsidRPr="002F245A">
        <w:rPr>
          <w:i/>
          <w:kern w:val="0"/>
          <w:sz w:val="26"/>
          <w:szCs w:val="26"/>
          <w:shd w:val="clear" w:color="auto" w:fill="FFFFFF"/>
        </w:rPr>
        <w:t xml:space="preserve"> производство продукции сельского хозяйства</w:t>
      </w:r>
      <w:r w:rsidRPr="002F245A">
        <w:rPr>
          <w:kern w:val="0"/>
          <w:sz w:val="26"/>
          <w:szCs w:val="26"/>
          <w:shd w:val="clear" w:color="auto" w:fill="FFFFFF"/>
        </w:rPr>
        <w:t xml:space="preserve"> в России в 202</w:t>
      </w:r>
      <w:r>
        <w:rPr>
          <w:kern w:val="0"/>
          <w:sz w:val="26"/>
          <w:szCs w:val="26"/>
          <w:shd w:val="clear" w:color="auto" w:fill="FFFFFF"/>
        </w:rPr>
        <w:t>1</w:t>
      </w:r>
      <w:r w:rsidRPr="002F245A">
        <w:rPr>
          <w:kern w:val="0"/>
          <w:sz w:val="26"/>
          <w:szCs w:val="26"/>
          <w:shd w:val="clear" w:color="auto" w:fill="FFFFFF"/>
        </w:rPr>
        <w:t xml:space="preserve"> году </w:t>
      </w:r>
      <w:r>
        <w:rPr>
          <w:kern w:val="0"/>
          <w:sz w:val="26"/>
          <w:szCs w:val="26"/>
          <w:shd w:val="clear" w:color="auto" w:fill="FFFFFF"/>
        </w:rPr>
        <w:t>уменьшилось на 0,9</w:t>
      </w:r>
      <w:r w:rsidRPr="002F245A">
        <w:rPr>
          <w:kern w:val="0"/>
          <w:sz w:val="26"/>
          <w:szCs w:val="26"/>
          <w:shd w:val="clear" w:color="auto" w:fill="FFFFFF"/>
        </w:rPr>
        <w:t>%;</w:t>
      </w:r>
    </w:p>
    <w:p w14:paraId="4487F969" w14:textId="77777777" w:rsidR="00DB474C" w:rsidRPr="00E91C63" w:rsidRDefault="00DB474C" w:rsidP="00DB474C">
      <w:pPr>
        <w:pStyle w:val="Standard"/>
        <w:spacing w:line="276" w:lineRule="auto"/>
        <w:ind w:firstLine="709"/>
        <w:jc w:val="both"/>
        <w:rPr>
          <w:kern w:val="0"/>
          <w:sz w:val="26"/>
          <w:szCs w:val="26"/>
        </w:rPr>
      </w:pPr>
      <w:r w:rsidRPr="002F245A">
        <w:rPr>
          <w:sz w:val="26"/>
          <w:szCs w:val="26"/>
        </w:rPr>
        <w:t xml:space="preserve">6) рост объема работ, выполненных по виду деятельности </w:t>
      </w:r>
      <w:r w:rsidRPr="002F245A">
        <w:rPr>
          <w:i/>
          <w:sz w:val="26"/>
          <w:szCs w:val="26"/>
        </w:rPr>
        <w:t>«строительство»,</w:t>
      </w:r>
      <w:r w:rsidRPr="002F245A">
        <w:rPr>
          <w:sz w:val="26"/>
          <w:szCs w:val="26"/>
        </w:rPr>
        <w:t xml:space="preserve"> составил </w:t>
      </w:r>
      <w:r>
        <w:rPr>
          <w:sz w:val="26"/>
          <w:szCs w:val="26"/>
        </w:rPr>
        <w:t>6,0</w:t>
      </w:r>
      <w:r w:rsidRPr="002F245A">
        <w:rPr>
          <w:sz w:val="26"/>
          <w:szCs w:val="26"/>
        </w:rPr>
        <w:t>% к уровню 20</w:t>
      </w:r>
      <w:r>
        <w:rPr>
          <w:sz w:val="26"/>
          <w:szCs w:val="26"/>
        </w:rPr>
        <w:t>20</w:t>
      </w:r>
      <w:r w:rsidRPr="002F245A">
        <w:rPr>
          <w:sz w:val="26"/>
          <w:szCs w:val="26"/>
        </w:rPr>
        <w:t xml:space="preserve">г., </w:t>
      </w:r>
      <w:r w:rsidRPr="002F245A">
        <w:rPr>
          <w:kern w:val="0"/>
          <w:sz w:val="26"/>
          <w:szCs w:val="26"/>
        </w:rPr>
        <w:t>из числа введенных в действие зданий 9</w:t>
      </w:r>
      <w:r>
        <w:rPr>
          <w:kern w:val="0"/>
          <w:sz w:val="26"/>
          <w:szCs w:val="26"/>
        </w:rPr>
        <w:t>5</w:t>
      </w:r>
      <w:r w:rsidRPr="002F245A">
        <w:rPr>
          <w:kern w:val="0"/>
          <w:sz w:val="26"/>
          <w:szCs w:val="26"/>
        </w:rPr>
        <w:t xml:space="preserve">,1% </w:t>
      </w:r>
      <w:r w:rsidRPr="00E91C63">
        <w:rPr>
          <w:kern w:val="0"/>
          <w:sz w:val="26"/>
          <w:szCs w:val="26"/>
        </w:rPr>
        <w:t>составляют здания жилого назначения;</w:t>
      </w:r>
    </w:p>
    <w:p w14:paraId="2F78073D" w14:textId="77777777" w:rsidR="00DB474C" w:rsidRPr="00E91C63" w:rsidRDefault="00DB474C" w:rsidP="00DB474C">
      <w:pPr>
        <w:pStyle w:val="Textbody"/>
        <w:spacing w:after="0" w:line="276" w:lineRule="auto"/>
        <w:ind w:firstLine="709"/>
        <w:jc w:val="both"/>
        <w:rPr>
          <w:rFonts w:ascii="Times New Roman" w:hAnsi="Times New Roman" w:cs="Times New Roman"/>
          <w:sz w:val="26"/>
          <w:szCs w:val="26"/>
          <w:lang w:val="ru-RU"/>
        </w:rPr>
      </w:pPr>
      <w:r w:rsidRPr="00E91C63">
        <w:rPr>
          <w:rStyle w:val="StrongEmphasis"/>
          <w:rFonts w:ascii="Times New Roman" w:hAnsi="Times New Roman" w:cs="Times New Roman"/>
          <w:b w:val="0"/>
          <w:kern w:val="0"/>
          <w:sz w:val="26"/>
          <w:szCs w:val="26"/>
          <w:shd w:val="clear" w:color="auto" w:fill="FFFFFF"/>
          <w:lang w:val="ru-RU"/>
        </w:rPr>
        <w:t>7) грузооборот и пассажирооборот транспорта увеличились на 5,3% и 39,6% соответственно;</w:t>
      </w:r>
    </w:p>
    <w:p w14:paraId="2ABA7DB0" w14:textId="77777777" w:rsidR="00DB474C" w:rsidRPr="00E91C63" w:rsidRDefault="00DB474C" w:rsidP="00DB474C">
      <w:pPr>
        <w:pStyle w:val="Textbody"/>
        <w:spacing w:after="0" w:line="276" w:lineRule="auto"/>
        <w:ind w:firstLine="709"/>
        <w:jc w:val="both"/>
        <w:rPr>
          <w:rStyle w:val="StrongEmphasis"/>
          <w:rFonts w:ascii="Times New Roman" w:hAnsi="Times New Roman" w:cs="Times New Roman"/>
          <w:b w:val="0"/>
          <w:bCs w:val="0"/>
          <w:sz w:val="26"/>
          <w:szCs w:val="26"/>
          <w:lang w:val="ru-RU"/>
        </w:rPr>
      </w:pPr>
      <w:r w:rsidRPr="00E91C63">
        <w:rPr>
          <w:rStyle w:val="StrongEmphasis"/>
          <w:rFonts w:ascii="Times New Roman" w:hAnsi="Times New Roman" w:cs="Times New Roman"/>
          <w:b w:val="0"/>
          <w:kern w:val="0"/>
          <w:sz w:val="26"/>
          <w:szCs w:val="26"/>
          <w:shd w:val="clear" w:color="auto" w:fill="FFFFFF"/>
          <w:lang w:val="ru-RU"/>
        </w:rPr>
        <w:t>8) оборот розничной торговли увеличился на 7,3%, оборот оптовой торговли увеличился на 9,4%;</w:t>
      </w:r>
    </w:p>
    <w:p w14:paraId="4F748A33" w14:textId="77777777" w:rsidR="00DB474C" w:rsidRPr="00E91C63" w:rsidRDefault="00DB474C" w:rsidP="00DB474C">
      <w:pPr>
        <w:spacing w:after="0" w:line="276" w:lineRule="auto"/>
        <w:ind w:firstLine="709"/>
        <w:jc w:val="both"/>
        <w:rPr>
          <w:rStyle w:val="StrongEmphasis"/>
          <w:rFonts w:ascii="Times New Roman" w:hAnsi="Times New Roman" w:cs="Times New Roman"/>
          <w:b w:val="0"/>
          <w:bCs w:val="0"/>
          <w:sz w:val="26"/>
          <w:szCs w:val="26"/>
          <w:lang w:eastAsia="ru-RU"/>
        </w:rPr>
      </w:pPr>
      <w:r w:rsidRPr="00E91C63">
        <w:rPr>
          <w:rFonts w:ascii="Times New Roman" w:hAnsi="Times New Roman" w:cs="Times New Roman"/>
          <w:sz w:val="26"/>
          <w:szCs w:val="26"/>
        </w:rPr>
        <w:t>9) в декабре 2020г. внешнеторговый</w:t>
      </w:r>
      <w:r w:rsidRPr="00E91C63">
        <w:rPr>
          <w:rFonts w:ascii="Times New Roman" w:hAnsi="Times New Roman" w:cs="Times New Roman"/>
          <w:i/>
          <w:sz w:val="26"/>
          <w:szCs w:val="26"/>
        </w:rPr>
        <w:t xml:space="preserve"> оборот России</w:t>
      </w:r>
      <w:r w:rsidRPr="00E91C63">
        <w:rPr>
          <w:rFonts w:ascii="Times New Roman" w:hAnsi="Times New Roman" w:cs="Times New Roman"/>
          <w:sz w:val="26"/>
          <w:szCs w:val="26"/>
        </w:rPr>
        <w:t xml:space="preserve"> со странами дальнего зарубежья увеличился на 45,1%, с государствами-участниками СНГ - увеличился на 40,6%;</w:t>
      </w:r>
    </w:p>
    <w:p w14:paraId="44E6A862" w14:textId="77777777" w:rsidR="00DB474C" w:rsidRPr="00E91C63" w:rsidRDefault="00DB474C" w:rsidP="00DB474C">
      <w:pPr>
        <w:pStyle w:val="Textbody"/>
        <w:spacing w:after="0" w:line="276" w:lineRule="auto"/>
        <w:ind w:firstLine="709"/>
        <w:rPr>
          <w:rFonts w:ascii="Times New Roman" w:hAnsi="Times New Roman" w:cs="Times New Roman"/>
          <w:sz w:val="26"/>
          <w:szCs w:val="26"/>
          <w:lang w:val="ru-RU"/>
        </w:rPr>
      </w:pPr>
      <w:r w:rsidRPr="00E91C63">
        <w:rPr>
          <w:rFonts w:ascii="Times New Roman" w:hAnsi="Times New Roman" w:cs="Times New Roman"/>
          <w:sz w:val="26"/>
          <w:szCs w:val="26"/>
          <w:lang w:val="ru-RU"/>
        </w:rPr>
        <w:t xml:space="preserve">10) </w:t>
      </w:r>
      <w:r w:rsidRPr="00E91C63">
        <w:rPr>
          <w:rFonts w:ascii="Times New Roman" w:hAnsi="Times New Roman" w:cs="Times New Roman"/>
          <w:i/>
          <w:sz w:val="26"/>
          <w:szCs w:val="26"/>
          <w:lang w:val="ru-RU"/>
        </w:rPr>
        <w:t xml:space="preserve">инфляция </w:t>
      </w:r>
      <w:r w:rsidRPr="00E91C63">
        <w:rPr>
          <w:rFonts w:ascii="Times New Roman" w:hAnsi="Times New Roman" w:cs="Times New Roman"/>
          <w:sz w:val="26"/>
          <w:szCs w:val="26"/>
          <w:lang w:val="ru-RU"/>
        </w:rPr>
        <w:t>по итогам 2021 г. на уровне 8,39%;</w:t>
      </w:r>
    </w:p>
    <w:p w14:paraId="5FD699FB" w14:textId="77777777" w:rsidR="00DB474C" w:rsidRPr="002F245A" w:rsidRDefault="00DB474C" w:rsidP="00DB474C">
      <w:pPr>
        <w:pStyle w:val="Standard"/>
        <w:tabs>
          <w:tab w:val="left" w:pos="6237"/>
        </w:tabs>
        <w:spacing w:line="276" w:lineRule="auto"/>
        <w:ind w:firstLine="709"/>
        <w:jc w:val="both"/>
        <w:rPr>
          <w:sz w:val="26"/>
          <w:szCs w:val="26"/>
        </w:rPr>
      </w:pPr>
      <w:r w:rsidRPr="00E91C63">
        <w:rPr>
          <w:kern w:val="0"/>
          <w:sz w:val="26"/>
          <w:szCs w:val="26"/>
        </w:rPr>
        <w:t xml:space="preserve">11) </w:t>
      </w:r>
      <w:r w:rsidRPr="00E91C63">
        <w:rPr>
          <w:sz w:val="26"/>
          <w:szCs w:val="26"/>
        </w:rPr>
        <w:t>на 01.01.2022г. регулятор</w:t>
      </w:r>
      <w:r w:rsidRPr="002F245A">
        <w:rPr>
          <w:sz w:val="26"/>
          <w:szCs w:val="26"/>
        </w:rPr>
        <w:t xml:space="preserve"> </w:t>
      </w:r>
      <w:r>
        <w:rPr>
          <w:sz w:val="26"/>
          <w:szCs w:val="26"/>
        </w:rPr>
        <w:t>установил</w:t>
      </w:r>
      <w:r w:rsidRPr="002F245A">
        <w:rPr>
          <w:sz w:val="26"/>
          <w:szCs w:val="26"/>
        </w:rPr>
        <w:t xml:space="preserve"> </w:t>
      </w:r>
      <w:r w:rsidRPr="002F245A">
        <w:rPr>
          <w:i/>
          <w:sz w:val="26"/>
          <w:szCs w:val="26"/>
        </w:rPr>
        <w:t>ключевую ставку</w:t>
      </w:r>
      <w:r w:rsidRPr="002F245A">
        <w:rPr>
          <w:sz w:val="26"/>
          <w:szCs w:val="26"/>
        </w:rPr>
        <w:t xml:space="preserve"> </w:t>
      </w:r>
      <w:r>
        <w:rPr>
          <w:sz w:val="26"/>
          <w:szCs w:val="26"/>
        </w:rPr>
        <w:t>на уровне</w:t>
      </w:r>
      <w:r w:rsidRPr="002F245A">
        <w:rPr>
          <w:sz w:val="26"/>
          <w:szCs w:val="26"/>
        </w:rPr>
        <w:t xml:space="preserve"> </w:t>
      </w:r>
      <w:r>
        <w:rPr>
          <w:sz w:val="26"/>
          <w:szCs w:val="26"/>
        </w:rPr>
        <w:t>8</w:t>
      </w:r>
      <w:r w:rsidRPr="002F245A">
        <w:rPr>
          <w:sz w:val="26"/>
          <w:szCs w:val="26"/>
        </w:rPr>
        <w:t>,25%;</w:t>
      </w:r>
    </w:p>
    <w:p w14:paraId="46DE1EFB" w14:textId="77777777" w:rsidR="00DB474C" w:rsidRPr="002F245A" w:rsidRDefault="00DB474C" w:rsidP="00DB474C">
      <w:pPr>
        <w:pStyle w:val="Standard"/>
        <w:spacing w:line="276" w:lineRule="auto"/>
        <w:ind w:firstLine="709"/>
        <w:jc w:val="both"/>
        <w:rPr>
          <w:kern w:val="0"/>
          <w:sz w:val="26"/>
          <w:szCs w:val="26"/>
          <w:shd w:val="clear" w:color="auto" w:fill="FFFFFF"/>
        </w:rPr>
      </w:pPr>
      <w:r w:rsidRPr="002F245A">
        <w:rPr>
          <w:sz w:val="26"/>
          <w:szCs w:val="26"/>
        </w:rPr>
        <w:t>12) что касаетс</w:t>
      </w:r>
      <w:r w:rsidRPr="002F245A">
        <w:rPr>
          <w:kern w:val="0"/>
          <w:sz w:val="26"/>
          <w:szCs w:val="26"/>
          <w:shd w:val="clear" w:color="auto" w:fill="FFFFFF"/>
        </w:rPr>
        <w:t xml:space="preserve">я </w:t>
      </w:r>
      <w:r w:rsidRPr="002F245A">
        <w:rPr>
          <w:i/>
          <w:kern w:val="0"/>
          <w:sz w:val="26"/>
          <w:szCs w:val="26"/>
          <w:shd w:val="clear" w:color="auto" w:fill="FFFFFF"/>
        </w:rPr>
        <w:t>внешней политики</w:t>
      </w:r>
      <w:r w:rsidRPr="002F245A">
        <w:rPr>
          <w:kern w:val="0"/>
          <w:sz w:val="26"/>
          <w:szCs w:val="26"/>
          <w:shd w:val="clear" w:color="auto" w:fill="FFFFFF"/>
        </w:rPr>
        <w:t>, то для России 202</w:t>
      </w:r>
      <w:r>
        <w:rPr>
          <w:kern w:val="0"/>
          <w:sz w:val="26"/>
          <w:szCs w:val="26"/>
          <w:shd w:val="clear" w:color="auto" w:fill="FFFFFF"/>
        </w:rPr>
        <w:t>1</w:t>
      </w:r>
      <w:r w:rsidRPr="002F245A">
        <w:rPr>
          <w:kern w:val="0"/>
          <w:sz w:val="26"/>
          <w:szCs w:val="26"/>
          <w:shd w:val="clear" w:color="auto" w:fill="FFFFFF"/>
        </w:rPr>
        <w:t>г. как и предыдущие года были не самыми простыми, все сохраняется условное противостояние Западу, а страны Европы пытаются внести коррективы в российскую политику и экономику; отечественная дипломатия уделяла основное внимание решению задач, связанных с созданием безопасных и благоприятных внешних условий для гармоничного внутреннего развития Российской Федерации;</w:t>
      </w:r>
    </w:p>
    <w:p w14:paraId="52575322" w14:textId="77777777" w:rsidR="00DB474C" w:rsidRPr="002F245A" w:rsidRDefault="00DB474C" w:rsidP="00DB474C">
      <w:pPr>
        <w:pStyle w:val="Standard"/>
        <w:spacing w:line="276" w:lineRule="auto"/>
        <w:ind w:firstLine="709"/>
        <w:jc w:val="both"/>
        <w:rPr>
          <w:sz w:val="26"/>
          <w:szCs w:val="26"/>
        </w:rPr>
      </w:pPr>
      <w:r w:rsidRPr="002F245A">
        <w:rPr>
          <w:sz w:val="26"/>
          <w:szCs w:val="26"/>
        </w:rPr>
        <w:t xml:space="preserve">13) что касается </w:t>
      </w:r>
      <w:r w:rsidRPr="002F245A">
        <w:rPr>
          <w:i/>
          <w:sz w:val="26"/>
          <w:szCs w:val="26"/>
        </w:rPr>
        <w:t>внутренней политики</w:t>
      </w:r>
      <w:r w:rsidRPr="002F245A">
        <w:rPr>
          <w:sz w:val="26"/>
          <w:szCs w:val="26"/>
        </w:rPr>
        <w:t xml:space="preserve">, то государство </w:t>
      </w:r>
      <w:r w:rsidRPr="002F245A">
        <w:rPr>
          <w:sz w:val="26"/>
          <w:szCs w:val="26"/>
          <w:shd w:val="clear" w:color="auto" w:fill="FFFFFF"/>
        </w:rPr>
        <w:t>работает в направлении достижения приоритетов и целей социально-экономического развития и обеспечения национальной безопасности Российской Федерации;</w:t>
      </w:r>
    </w:p>
    <w:p w14:paraId="7B1D11EB" w14:textId="6615ED23" w:rsidR="00DB474C" w:rsidRDefault="00DB474C" w:rsidP="00DB474C">
      <w:pPr>
        <w:pStyle w:val="Standard"/>
        <w:spacing w:line="276" w:lineRule="auto"/>
        <w:ind w:firstLine="709"/>
        <w:jc w:val="both"/>
        <w:rPr>
          <w:sz w:val="26"/>
          <w:szCs w:val="26"/>
        </w:rPr>
      </w:pPr>
      <w:bookmarkStart w:id="71" w:name="_Hlk100241625"/>
      <w:r w:rsidRPr="00C730C5">
        <w:rPr>
          <w:sz w:val="26"/>
          <w:szCs w:val="26"/>
        </w:rPr>
        <w:t>В 2021 году основное внимание экспертов было сфокусировано на теме восстановления экономики и Россия начала оправляться от вызванного пандемией прошлогоднего спада. Восстановление экономической активности в первой половине 2021 года вызвало рост торговли, превысивший допандемийный уровень. При этом уровень безработицы опустился ниже докризисных значений, бюджет стал профицитным, а реальные располагаемые доходы граждан вернулись к росту. Ускоренное восстановление показателей специалисты объясняют особенностями структуры российской экономики, а также новыми мерами властей по поддержке населения и бизнеса. Ключевым вызовом 2021 года эксперты называют рекордный за шесть лет рост инфляции.</w:t>
      </w:r>
      <w:bookmarkEnd w:id="71"/>
    </w:p>
    <w:p w14:paraId="723739F1" w14:textId="77777777" w:rsidR="00E91C63" w:rsidRDefault="00E91C63" w:rsidP="00DB474C">
      <w:pPr>
        <w:pStyle w:val="Standard"/>
        <w:spacing w:line="276" w:lineRule="auto"/>
        <w:ind w:firstLine="709"/>
        <w:jc w:val="both"/>
        <w:rPr>
          <w:sz w:val="26"/>
          <w:szCs w:val="26"/>
        </w:rPr>
      </w:pPr>
    </w:p>
    <w:p w14:paraId="25456B05" w14:textId="77777777" w:rsidR="00DB474C" w:rsidRPr="002F245A" w:rsidRDefault="00DB474C" w:rsidP="00DB474C">
      <w:pPr>
        <w:pStyle w:val="3"/>
        <w:spacing w:line="276" w:lineRule="auto"/>
        <w:rPr>
          <w:rFonts w:cs="Times New Roman"/>
          <w:color w:val="auto"/>
          <w:sz w:val="26"/>
          <w:szCs w:val="26"/>
        </w:rPr>
      </w:pPr>
      <w:bookmarkStart w:id="72" w:name="_Toc110506939"/>
      <w:r w:rsidRPr="002F245A">
        <w:rPr>
          <w:rFonts w:cs="Times New Roman"/>
          <w:color w:val="auto"/>
          <w:sz w:val="26"/>
          <w:szCs w:val="26"/>
        </w:rPr>
        <w:t>3.1.2 Анализ социально-экономического развития Воронежской области</w:t>
      </w:r>
      <w:bookmarkEnd w:id="72"/>
    </w:p>
    <w:p w14:paraId="73276206" w14:textId="77777777" w:rsidR="00DB474C" w:rsidRPr="002F245A" w:rsidRDefault="00DB474C" w:rsidP="00DB474C">
      <w:pPr>
        <w:spacing w:before="120" w:after="0" w:line="276" w:lineRule="auto"/>
        <w:ind w:firstLine="709"/>
        <w:jc w:val="center"/>
        <w:rPr>
          <w:rFonts w:ascii="Times New Roman" w:hAnsi="Times New Roman" w:cs="Times New Roman"/>
          <w:i/>
          <w:sz w:val="26"/>
          <w:szCs w:val="26"/>
        </w:rPr>
      </w:pPr>
      <w:r>
        <w:rPr>
          <w:rFonts w:ascii="Times New Roman" w:hAnsi="Times New Roman" w:cs="Times New Roman"/>
          <w:i/>
          <w:sz w:val="26"/>
          <w:szCs w:val="26"/>
        </w:rPr>
        <w:t>Обзор</w:t>
      </w:r>
      <w:r w:rsidRPr="002F245A">
        <w:rPr>
          <w:rFonts w:ascii="Times New Roman" w:hAnsi="Times New Roman" w:cs="Times New Roman"/>
          <w:i/>
          <w:sz w:val="26"/>
          <w:szCs w:val="26"/>
        </w:rPr>
        <w:t xml:space="preserve"> геофизических показателей Воронежской области</w:t>
      </w:r>
    </w:p>
    <w:p w14:paraId="48E87DC2" w14:textId="77777777" w:rsidR="00DB474C" w:rsidRPr="002F245A" w:rsidRDefault="00DB474C" w:rsidP="00DB474C">
      <w:pPr>
        <w:spacing w:after="0" w:line="276" w:lineRule="auto"/>
        <w:ind w:firstLine="709"/>
        <w:jc w:val="both"/>
        <w:rPr>
          <w:rFonts w:ascii="Times New Roman" w:hAnsi="Times New Roman" w:cs="Times New Roman"/>
          <w:i/>
          <w:sz w:val="26"/>
          <w:szCs w:val="26"/>
        </w:rPr>
      </w:pPr>
      <w:r w:rsidRPr="002F245A">
        <w:rPr>
          <w:rFonts w:ascii="Times New Roman" w:hAnsi="Times New Roman" w:cs="Times New Roman"/>
          <w:i/>
          <w:sz w:val="26"/>
          <w:szCs w:val="26"/>
        </w:rPr>
        <w:t>Географическое положение</w:t>
      </w:r>
      <w:r w:rsidRPr="00E91C63">
        <w:rPr>
          <w:rFonts w:ascii="Times New Roman" w:hAnsi="Times New Roman" w:cs="Times New Roman"/>
          <w:i/>
          <w:sz w:val="26"/>
          <w:szCs w:val="26"/>
        </w:rPr>
        <w:t xml:space="preserve">. </w:t>
      </w:r>
      <w:r w:rsidRPr="00E91C63">
        <w:rPr>
          <w:rStyle w:val="StrongEmphasis"/>
          <w:rFonts w:ascii="Times New Roman" w:hAnsi="Times New Roman" w:cs="Times New Roman"/>
          <w:b w:val="0"/>
          <w:sz w:val="26"/>
          <w:szCs w:val="26"/>
        </w:rPr>
        <w:t>Воронежская область</w:t>
      </w:r>
      <w:r w:rsidRPr="002F245A">
        <w:rPr>
          <w:rStyle w:val="StrongEmphasis"/>
          <w:rFonts w:ascii="Times New Roman" w:hAnsi="Times New Roman" w:cs="Times New Roman"/>
          <w:sz w:val="26"/>
          <w:szCs w:val="26"/>
        </w:rPr>
        <w:t xml:space="preserve"> </w:t>
      </w:r>
      <w:r w:rsidRPr="002F245A">
        <w:rPr>
          <w:rFonts w:ascii="Times New Roman" w:hAnsi="Times New Roman" w:cs="Times New Roman"/>
          <w:sz w:val="26"/>
          <w:szCs w:val="26"/>
        </w:rPr>
        <w:t>расположена на юго-западе Европейской части России между 49°34' и 52°06' северной широты и 38°09' и 42°54' восточной долготы. Площадь Воронежской области составляет 52 400 км</w:t>
      </w:r>
      <w:r w:rsidRPr="002F245A">
        <w:rPr>
          <w:rFonts w:ascii="Times New Roman" w:hAnsi="Times New Roman" w:cs="Times New Roman"/>
          <w:sz w:val="26"/>
          <w:szCs w:val="26"/>
          <w:vertAlign w:val="superscript"/>
        </w:rPr>
        <w:t>2</w:t>
      </w:r>
      <w:r w:rsidRPr="002F245A">
        <w:rPr>
          <w:rFonts w:ascii="Times New Roman" w:hAnsi="Times New Roman" w:cs="Times New Roman"/>
          <w:sz w:val="26"/>
          <w:szCs w:val="26"/>
        </w:rPr>
        <w:t>. Среди регионов-субъектов Российской Федерации область находится по размерам и площади на 54-м месте. С севера на юг Воронежская область протянулась на 278 километров, с запада на восток - на 354 километров. В состав области входят 32 административных района, 15 городов, 4 посёлка городского типа, 15 рабочих посёлков, 471 сельское поселение с общим числом 1 717 сельских населённых пунктов</w:t>
      </w:r>
      <w:r w:rsidRPr="002F245A">
        <w:rPr>
          <w:rStyle w:val="af2"/>
          <w:rFonts w:ascii="Times New Roman" w:hAnsi="Times New Roman" w:cs="Times New Roman"/>
          <w:sz w:val="26"/>
          <w:szCs w:val="26"/>
          <w:shd w:val="clear" w:color="auto" w:fill="FFFFFF"/>
        </w:rPr>
        <w:footnoteReference w:id="32"/>
      </w:r>
      <w:r w:rsidRPr="002F245A">
        <w:rPr>
          <w:rFonts w:ascii="Times New Roman" w:hAnsi="Times New Roman" w:cs="Times New Roman"/>
          <w:sz w:val="26"/>
          <w:szCs w:val="26"/>
          <w:shd w:val="clear" w:color="auto" w:fill="FFFFFF"/>
        </w:rPr>
        <w:t>.</w:t>
      </w:r>
    </w:p>
    <w:p w14:paraId="1A2D65CD" w14:textId="77777777" w:rsidR="00DB474C" w:rsidRPr="00E91C63" w:rsidRDefault="00DB474C" w:rsidP="00DB474C">
      <w:pPr>
        <w:pStyle w:val="Textbody"/>
        <w:spacing w:after="0" w:line="276" w:lineRule="auto"/>
        <w:ind w:firstLine="709"/>
        <w:jc w:val="both"/>
        <w:rPr>
          <w:rFonts w:ascii="Times New Roman" w:hAnsi="Times New Roman" w:cs="Times New Roman"/>
          <w:sz w:val="26"/>
          <w:szCs w:val="26"/>
          <w:lang w:val="ru-RU"/>
        </w:rPr>
      </w:pPr>
      <w:r w:rsidRPr="002F245A">
        <w:rPr>
          <w:rFonts w:ascii="Times New Roman" w:hAnsi="Times New Roman" w:cs="Times New Roman"/>
          <w:kern w:val="0"/>
          <w:sz w:val="26"/>
          <w:szCs w:val="26"/>
          <w:lang w:val="ru-RU"/>
        </w:rPr>
        <w:t xml:space="preserve">Воронежская область входит в состав Центрально-Чернозёмного экономического района. На севере её соседями являются Тамбовская область и Липецкая область, на западе - Курская область и Белгородская область. Соседское положение способствует формированию интенсивных связей между ними. На востоке Воронежская область граничит с Волгоградской областью и Саратовской областью, на юго-востоке - с Ростовской областью. На юго-западе проходит граница с Украиной (Луганская область). Территорию области пересекают важнейшие </w:t>
      </w:r>
      <w:r w:rsidRPr="00E91C63">
        <w:rPr>
          <w:rFonts w:ascii="Times New Roman" w:hAnsi="Times New Roman" w:cs="Times New Roman"/>
          <w:kern w:val="0"/>
          <w:sz w:val="26"/>
          <w:szCs w:val="26"/>
          <w:lang w:val="ru-RU"/>
        </w:rPr>
        <w:t>транзитные транспортные пути меридионального и широтного направлений, в том числе международного значения. Это кратчайший путь из промышленного Центра на Северный Кавказ и Украину.</w:t>
      </w:r>
    </w:p>
    <w:p w14:paraId="5AA739A5" w14:textId="77777777" w:rsidR="00DB474C" w:rsidRPr="00E91C63" w:rsidRDefault="00DB474C" w:rsidP="00DB474C">
      <w:pPr>
        <w:pStyle w:val="Standard"/>
        <w:spacing w:line="276" w:lineRule="auto"/>
        <w:ind w:firstLine="709"/>
        <w:jc w:val="both"/>
        <w:rPr>
          <w:rStyle w:val="StrongEmphasis"/>
          <w:b w:val="0"/>
          <w:kern w:val="0"/>
          <w:sz w:val="26"/>
          <w:szCs w:val="26"/>
        </w:rPr>
      </w:pPr>
      <w:r w:rsidRPr="00E91C63">
        <w:rPr>
          <w:rStyle w:val="StrongEmphasis"/>
          <w:b w:val="0"/>
          <w:i/>
          <w:kern w:val="0"/>
          <w:sz w:val="26"/>
          <w:szCs w:val="26"/>
        </w:rPr>
        <w:t xml:space="preserve">Административно-территориальное деление. </w:t>
      </w:r>
      <w:r w:rsidRPr="00E91C63">
        <w:rPr>
          <w:rStyle w:val="StrongEmphasis"/>
          <w:b w:val="0"/>
          <w:kern w:val="0"/>
          <w:sz w:val="26"/>
          <w:szCs w:val="26"/>
        </w:rPr>
        <w:t xml:space="preserve">Воронежская область - одна из 46 областей Российской Федерации (в числе 92 субъектов, помимо областей, 9 краёв, 1 автономная область, 21 республика, 4 автономных округов, 3 города). Воронежская область занимает приграничное положение, является центром Западного пограничного округа. Административный центр - </w:t>
      </w:r>
      <w:hyperlink r:id="rId50" w:history="1">
        <w:r w:rsidRPr="00E91C63">
          <w:rPr>
            <w:rStyle w:val="StrongEmphasis"/>
            <w:b w:val="0"/>
            <w:kern w:val="0"/>
            <w:sz w:val="26"/>
            <w:szCs w:val="26"/>
            <w:shd w:val="clear" w:color="auto" w:fill="FAFAFA"/>
          </w:rPr>
          <w:t>город Воронеж</w:t>
        </w:r>
      </w:hyperlink>
      <w:r w:rsidRPr="00E91C63">
        <w:rPr>
          <w:rStyle w:val="StrongEmphasis"/>
          <w:b w:val="0"/>
          <w:kern w:val="0"/>
          <w:sz w:val="26"/>
          <w:szCs w:val="26"/>
          <w:shd w:val="clear" w:color="auto" w:fill="FAFAFA"/>
          <w:vertAlign w:val="superscript"/>
        </w:rPr>
        <w:t>26</w:t>
      </w:r>
      <w:r w:rsidRPr="00E91C63">
        <w:rPr>
          <w:rStyle w:val="StrongEmphasis"/>
          <w:b w:val="0"/>
          <w:kern w:val="0"/>
          <w:sz w:val="26"/>
          <w:szCs w:val="26"/>
        </w:rPr>
        <w:t>.</w:t>
      </w:r>
    </w:p>
    <w:p w14:paraId="5C5B566A" w14:textId="34278479" w:rsidR="00DB474C" w:rsidRPr="002F245A" w:rsidRDefault="00CD59AB" w:rsidP="00DB474C">
      <w:pPr>
        <w:pStyle w:val="Standard"/>
        <w:spacing w:line="276" w:lineRule="auto"/>
        <w:ind w:firstLine="709"/>
        <w:jc w:val="both"/>
        <w:rPr>
          <w:i/>
          <w:kern w:val="0"/>
          <w:sz w:val="26"/>
          <w:szCs w:val="26"/>
        </w:rPr>
      </w:pPr>
      <w:r w:rsidRPr="002F245A">
        <w:rPr>
          <w:noProof/>
          <w:sz w:val="26"/>
          <w:szCs w:val="26"/>
          <w:lang w:eastAsia="ru-RU"/>
        </w:rPr>
        <w:drawing>
          <wp:anchor distT="0" distB="0" distL="114300" distR="114300" simplePos="0" relativeHeight="251659264" behindDoc="0" locked="0" layoutInCell="1" allowOverlap="1" wp14:anchorId="0464CA11" wp14:editId="7F6CEB1B">
            <wp:simplePos x="0" y="0"/>
            <wp:positionH relativeFrom="margin">
              <wp:posOffset>790575</wp:posOffset>
            </wp:positionH>
            <wp:positionV relativeFrom="paragraph">
              <wp:posOffset>227965</wp:posOffset>
            </wp:positionV>
            <wp:extent cx="4933950" cy="4781550"/>
            <wp:effectExtent l="0" t="0" r="9525" b="5715"/>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33950" cy="478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F1ACB" w14:textId="13F83575" w:rsidR="00DB474C" w:rsidRPr="00E91C63" w:rsidRDefault="00DB474C" w:rsidP="00DB474C">
      <w:pPr>
        <w:pStyle w:val="Standard"/>
        <w:spacing w:after="120" w:line="276" w:lineRule="auto"/>
        <w:ind w:firstLine="709"/>
        <w:rPr>
          <w:bCs/>
          <w:kern w:val="0"/>
        </w:rPr>
      </w:pPr>
      <w:r w:rsidRPr="00E91C63">
        <w:rPr>
          <w:rStyle w:val="StrongEmphasis"/>
          <w:b w:val="0"/>
          <w:kern w:val="0"/>
          <w:sz w:val="26"/>
          <w:szCs w:val="26"/>
        </w:rPr>
        <w:t>Рис. 3.1.2.1- Административно-территориальное деление на районы Воронежской области с</w:t>
      </w:r>
      <w:r w:rsidRPr="00E91C63">
        <w:rPr>
          <w:rStyle w:val="StrongEmphasis"/>
          <w:b w:val="0"/>
          <w:kern w:val="0"/>
        </w:rPr>
        <w:t xml:space="preserve"> </w:t>
      </w:r>
      <w:r w:rsidRPr="00E91C63">
        <w:rPr>
          <w:rStyle w:val="StrongEmphasis"/>
          <w:b w:val="0"/>
          <w:kern w:val="0"/>
          <w:sz w:val="26"/>
          <w:szCs w:val="26"/>
        </w:rPr>
        <w:t>указанием административных центров</w:t>
      </w:r>
      <w:r w:rsidRPr="00E91C63">
        <w:rPr>
          <w:rStyle w:val="StrongEmphasis"/>
          <w:b w:val="0"/>
          <w:kern w:val="0"/>
          <w:vertAlign w:val="superscript"/>
        </w:rPr>
        <w:t>28</w:t>
      </w:r>
    </w:p>
    <w:p w14:paraId="5983A201" w14:textId="77777777" w:rsidR="00DB474C" w:rsidRPr="00E91C63" w:rsidRDefault="00DB474C" w:rsidP="00DB474C">
      <w:pPr>
        <w:pStyle w:val="Textbody"/>
        <w:spacing w:after="0" w:line="276" w:lineRule="auto"/>
        <w:ind w:firstLine="709"/>
        <w:jc w:val="both"/>
        <w:rPr>
          <w:rFonts w:ascii="Times New Roman" w:hAnsi="Times New Roman" w:cs="Times New Roman"/>
          <w:lang w:val="ru-RU"/>
        </w:rPr>
      </w:pPr>
      <w:r w:rsidRPr="00E91C63">
        <w:rPr>
          <w:rStyle w:val="StrongEmphasis"/>
          <w:rFonts w:ascii="Times New Roman" w:hAnsi="Times New Roman" w:cs="Times New Roman"/>
          <w:b w:val="0"/>
          <w:kern w:val="0"/>
          <w:sz w:val="26"/>
          <w:szCs w:val="26"/>
          <w:lang w:val="ru-RU"/>
        </w:rPr>
        <w:t>В соответствии с Законом Воронежской области от 27.10.2006 года «Об административно-территориальном устройстве Воронежской области» территория области делится на 31 муниципальный район (Аннинский, Бобровский, Богучарский, Бутурлиновский, Верхнемамонский, Верхнехавский, Воробьёвский, Грибановский, Калачеевский, Каменский, Кантемировский, Каширский, Лискинский, Нижнедевицкий, Новоусманский, Новохопёрский, Ольховатский, Острогожский, Павловский, Панинский, Петропавловский, Поворинский, Подгоренский, Рамонский, Репьёвский, Россошанский, Семилукский, Таловский, Терновский, Хохольский, Эртильский), а так же Борисоглебский городской округ, Воронежский городской округ, городской округ город Нововоронеж. В составе Воронежской области - 15 городов (Воронеж, Бобров, Богучар, Борисоглебск, Бутурлиновка, Калач, Лиски, Нововоронеж, Новохопёрск, Острогожск, Павловск, Поворино, Россошь, Семилуки, Эртиль), 4 поселка городского типа (Анна, Грибановский, Каменка, Подгоренский), 17 районных поселков (Давыдовка, Елань-Коленовский, Кантемировка, Краснолесный, Латная, Нижний Кисляй, Новохопёрский, Ольховатка, Панино, Перелёшинский, Придонской, Рамонь, Сомово, Стрелица, Таловая, Хохольский, Шилово), более 1 850 сельских населенных пунктов</w:t>
      </w:r>
      <w:r w:rsidRPr="00E91C63">
        <w:rPr>
          <w:rStyle w:val="StrongEmphasis"/>
          <w:rFonts w:ascii="Times New Roman" w:hAnsi="Times New Roman" w:cs="Times New Roman"/>
          <w:b w:val="0"/>
          <w:kern w:val="0"/>
          <w:vertAlign w:val="superscript"/>
        </w:rPr>
        <w:footnoteReference w:id="33"/>
      </w:r>
      <w:r w:rsidRPr="00E91C63">
        <w:rPr>
          <w:rStyle w:val="StrongEmphasis"/>
          <w:rFonts w:ascii="Times New Roman" w:hAnsi="Times New Roman" w:cs="Times New Roman"/>
          <w:b w:val="0"/>
          <w:kern w:val="0"/>
          <w:lang w:val="ru-RU"/>
        </w:rPr>
        <w:t>.</w:t>
      </w:r>
    </w:p>
    <w:p w14:paraId="29EAEC69" w14:textId="77777777" w:rsidR="00DB474C" w:rsidRPr="00E91C63" w:rsidRDefault="00DB474C" w:rsidP="00DB474C">
      <w:pPr>
        <w:spacing w:after="0" w:line="276" w:lineRule="auto"/>
        <w:ind w:firstLine="709"/>
        <w:jc w:val="both"/>
        <w:rPr>
          <w:rFonts w:ascii="Times New Roman" w:hAnsi="Times New Roman" w:cs="Times New Roman"/>
          <w:i/>
          <w:sz w:val="26"/>
          <w:szCs w:val="26"/>
        </w:rPr>
      </w:pPr>
      <w:r w:rsidRPr="00E91C63">
        <w:rPr>
          <w:rFonts w:ascii="Times New Roman" w:hAnsi="Times New Roman" w:cs="Times New Roman"/>
          <w:i/>
          <w:sz w:val="26"/>
          <w:szCs w:val="26"/>
        </w:rPr>
        <w:t xml:space="preserve">Топографические и сейсмические особенности. </w:t>
      </w:r>
      <w:r w:rsidRPr="00E91C63">
        <w:rPr>
          <w:rStyle w:val="StrongEmphasis"/>
          <w:rFonts w:ascii="Times New Roman" w:hAnsi="Times New Roman" w:cs="Times New Roman"/>
          <w:b w:val="0"/>
          <w:sz w:val="26"/>
          <w:szCs w:val="26"/>
          <w:shd w:val="clear" w:color="auto" w:fill="FFFFFF"/>
        </w:rPr>
        <w:t xml:space="preserve">Воронежская область находится в центральной части Русской равнины. В её рельефе представлены три главных орографических элемента. На западе - Среднерусская возвышенность, на востоке - Калачская возвышенность и Окско-Донская равнина. Особенностью современного рельефа является множество оврагов. Три четверти территории покрыто плодородными чернозёмными почвами. </w:t>
      </w:r>
      <w:r w:rsidRPr="00E91C63">
        <w:rPr>
          <w:rFonts w:ascii="Times New Roman" w:hAnsi="Times New Roman" w:cs="Times New Roman"/>
          <w:sz w:val="26"/>
          <w:szCs w:val="26"/>
        </w:rPr>
        <w:t>Территория Воронежской области, как и основная территория Российской Федерации характеризуется умеренной сейсмичностью.</w:t>
      </w:r>
    </w:p>
    <w:p w14:paraId="347C4F23" w14:textId="77777777" w:rsidR="00DB474C" w:rsidRPr="00E91C63" w:rsidRDefault="00DB474C" w:rsidP="00DB474C">
      <w:pPr>
        <w:spacing w:after="0" w:line="276" w:lineRule="auto"/>
        <w:ind w:firstLine="709"/>
        <w:jc w:val="both"/>
        <w:rPr>
          <w:rFonts w:ascii="Times New Roman" w:hAnsi="Times New Roman" w:cs="Times New Roman"/>
          <w:sz w:val="26"/>
          <w:szCs w:val="26"/>
        </w:rPr>
      </w:pPr>
      <w:r w:rsidRPr="00E91C63">
        <w:rPr>
          <w:rFonts w:ascii="Times New Roman" w:hAnsi="Times New Roman" w:cs="Times New Roman"/>
          <w:i/>
          <w:sz w:val="26"/>
          <w:szCs w:val="26"/>
        </w:rPr>
        <w:t>Природные ресурсы</w:t>
      </w:r>
      <w:r w:rsidRPr="00E91C63">
        <w:rPr>
          <w:rStyle w:val="af2"/>
          <w:rFonts w:ascii="Times New Roman" w:hAnsi="Times New Roman" w:cs="Times New Roman"/>
          <w:i/>
          <w:sz w:val="24"/>
          <w:szCs w:val="24"/>
        </w:rPr>
        <w:footnoteReference w:id="34"/>
      </w:r>
      <w:r w:rsidRPr="00E91C63">
        <w:rPr>
          <w:rFonts w:ascii="Times New Roman" w:hAnsi="Times New Roman" w:cs="Times New Roman"/>
          <w:i/>
          <w:sz w:val="24"/>
          <w:szCs w:val="24"/>
        </w:rPr>
        <w:t xml:space="preserve">. </w:t>
      </w:r>
      <w:r w:rsidRPr="00E91C63">
        <w:rPr>
          <w:rFonts w:ascii="Times New Roman" w:hAnsi="Times New Roman" w:cs="Times New Roman"/>
          <w:sz w:val="26"/>
          <w:szCs w:val="26"/>
        </w:rPr>
        <w:t>В геологическом плане территория Воронежской области находится в юго-восточной части Воронежского кристаллического массива (ВКМ) – крупной докембрийской структуры платформенного типа. С докембрийскими образованиями юго-востока ВКМ связано интенсивное проявление сульфидоносного ультрамафит-мафитового магматизма, с которым связаны месторождения и многочисленные проявления сульфидно медноникелевых руд. С породами осадочного комплекса связаны многочисленные месторождения и проявления нерудных полезных ископаемых: кирпичное и цементное сырье, минеральные краски, пески формовочные и строительные и др., а также крупные бассейны пресных и минерализованных подземных вод.</w:t>
      </w:r>
      <w:r w:rsidRPr="00E91C63">
        <w:rPr>
          <w:rFonts w:ascii="Times New Roman" w:hAnsi="Times New Roman" w:cs="Times New Roman"/>
          <w:sz w:val="26"/>
          <w:szCs w:val="26"/>
        </w:rPr>
        <w:cr/>
        <w:t xml:space="preserve"> </w:t>
      </w:r>
      <w:r w:rsidRPr="00E91C63">
        <w:rPr>
          <w:rFonts w:ascii="Times New Roman" w:hAnsi="Times New Roman" w:cs="Times New Roman"/>
          <w:sz w:val="26"/>
          <w:szCs w:val="26"/>
        </w:rPr>
        <w:tab/>
        <w:t>Минеральные ресурсы Воронежской области представлены:</w:t>
      </w:r>
    </w:p>
    <w:p w14:paraId="1FF4C723" w14:textId="77777777" w:rsidR="00DB474C" w:rsidRPr="002F245A" w:rsidRDefault="00DB474C" w:rsidP="00DB474C">
      <w:pPr>
        <w:spacing w:after="0" w:line="276" w:lineRule="auto"/>
        <w:ind w:firstLine="709"/>
        <w:jc w:val="both"/>
        <w:rPr>
          <w:rFonts w:ascii="Times New Roman" w:hAnsi="Times New Roman" w:cs="Times New Roman"/>
          <w:sz w:val="26"/>
          <w:szCs w:val="26"/>
        </w:rPr>
      </w:pPr>
      <w:r w:rsidRPr="00E91C63">
        <w:rPr>
          <w:rFonts w:ascii="Times New Roman" w:hAnsi="Times New Roman" w:cs="Times New Roman"/>
          <w:sz w:val="26"/>
          <w:szCs w:val="26"/>
        </w:rPr>
        <w:t>-месторождения полезных ископаемых федерального значения: огнеупорные глины; охры глинистые; формовочные пески; мергель для цементной промышленности; бентонитовые глины; стекольные пески</w:t>
      </w:r>
      <w:r w:rsidRPr="002F245A">
        <w:rPr>
          <w:rFonts w:ascii="Times New Roman" w:hAnsi="Times New Roman" w:cs="Times New Roman"/>
          <w:sz w:val="26"/>
          <w:szCs w:val="26"/>
        </w:rPr>
        <w:t>; торф.</w:t>
      </w:r>
    </w:p>
    <w:p w14:paraId="0C883FE4" w14:textId="77777777" w:rsidR="00DB474C" w:rsidRPr="002F245A" w:rsidRDefault="00DB474C" w:rsidP="00DB474C">
      <w:pPr>
        <w:spacing w:after="0" w:line="276" w:lineRule="auto"/>
        <w:ind w:firstLine="709"/>
        <w:jc w:val="both"/>
        <w:rPr>
          <w:rFonts w:ascii="Times New Roman" w:hAnsi="Times New Roman" w:cs="Times New Roman"/>
          <w:sz w:val="26"/>
          <w:szCs w:val="26"/>
        </w:rPr>
      </w:pPr>
      <w:r w:rsidRPr="002F245A">
        <w:rPr>
          <w:rFonts w:ascii="Times New Roman" w:hAnsi="Times New Roman" w:cs="Times New Roman"/>
          <w:sz w:val="26"/>
          <w:szCs w:val="26"/>
        </w:rPr>
        <w:t xml:space="preserve">-месторождения общераспространенных полезных ископаемых областного значения: граниты (3 месторождения); мел (всего 12 месторождений); керамзитовое сырье (4 месторождения); пески строительные (85 месторождений); легкоплавкие глины и суглинки (61 месторождение); пески-отощители (2 месторождения); песчано-гравийный материал (3 месторождения); песчаники (2 месторождения); известняки (3 месторождения); сапропель. </w:t>
      </w:r>
    </w:p>
    <w:p w14:paraId="6207CDD1" w14:textId="77777777" w:rsidR="00DB474C" w:rsidRPr="002F245A" w:rsidRDefault="00DB474C" w:rsidP="00DB474C">
      <w:pPr>
        <w:spacing w:after="0" w:line="276" w:lineRule="auto"/>
        <w:ind w:firstLine="709"/>
        <w:jc w:val="both"/>
        <w:rPr>
          <w:rFonts w:ascii="Times New Roman" w:hAnsi="Times New Roman" w:cs="Times New Roman"/>
          <w:sz w:val="26"/>
          <w:szCs w:val="26"/>
        </w:rPr>
      </w:pPr>
      <w:r w:rsidRPr="002F245A">
        <w:rPr>
          <w:rFonts w:ascii="Times New Roman" w:hAnsi="Times New Roman" w:cs="Times New Roman"/>
          <w:sz w:val="26"/>
          <w:szCs w:val="26"/>
        </w:rPr>
        <w:t>На территории Воронежской области подземные воды приурочены к четырем основным водоносным комплексам (горизонтам), широко используемым для целей водоснабжения: неоген-четвертичному, турон-коньякскому, апт-сеноманскому и девонскому. В пределах Воронежской области широко распространены минеральные подземные воды. Разведаны и эксплуатируются Икорецкое, месторождение радоновых вод Лиски, Углянческое, Белая Горка, Бобровское месторождения. На базе использования местных минеральных вод развита сеть санаторно-лечебных учреждений.</w:t>
      </w:r>
    </w:p>
    <w:p w14:paraId="606FA969" w14:textId="77777777" w:rsidR="00DB474C" w:rsidRPr="002F245A" w:rsidRDefault="00DB474C" w:rsidP="00DB474C">
      <w:pPr>
        <w:spacing w:after="0" w:line="276" w:lineRule="auto"/>
        <w:ind w:firstLine="709"/>
        <w:jc w:val="both"/>
        <w:rPr>
          <w:rFonts w:ascii="Times New Roman" w:hAnsi="Times New Roman" w:cs="Times New Roman"/>
          <w:i/>
          <w:sz w:val="26"/>
          <w:szCs w:val="26"/>
        </w:rPr>
      </w:pPr>
      <w:r w:rsidRPr="002F245A">
        <w:rPr>
          <w:rFonts w:ascii="Times New Roman" w:hAnsi="Times New Roman" w:cs="Times New Roman"/>
          <w:i/>
          <w:sz w:val="26"/>
          <w:szCs w:val="26"/>
        </w:rPr>
        <w:t xml:space="preserve">Экология. </w:t>
      </w:r>
      <w:r w:rsidRPr="002F245A">
        <w:rPr>
          <w:rFonts w:ascii="Times New Roman" w:hAnsi="Times New Roman" w:cs="Times New Roman"/>
          <w:sz w:val="26"/>
          <w:szCs w:val="26"/>
          <w:lang w:eastAsia="ru-RU"/>
        </w:rPr>
        <w:t xml:space="preserve">Анализ состояния окружающей среды и природных ресурсов показывает, что территория Воронежской области по показателям уровня загрязнения по сравнению с соседними областями относится к умеренно загрязненной. В рамках государственной </w:t>
      </w:r>
      <w:hyperlink r:id="rId52" w:history="1">
        <w:r w:rsidRPr="002F245A">
          <w:rPr>
            <w:rFonts w:ascii="Times New Roman" w:hAnsi="Times New Roman" w:cs="Times New Roman"/>
            <w:sz w:val="26"/>
            <w:szCs w:val="26"/>
            <w:lang w:eastAsia="ru-RU"/>
          </w:rPr>
          <w:t>программы</w:t>
        </w:r>
      </w:hyperlink>
      <w:r w:rsidRPr="002F245A">
        <w:rPr>
          <w:rFonts w:ascii="Times New Roman" w:hAnsi="Times New Roman" w:cs="Times New Roman"/>
          <w:sz w:val="26"/>
          <w:szCs w:val="26"/>
          <w:lang w:eastAsia="ru-RU"/>
        </w:rPr>
        <w:t xml:space="preserve"> Воронежской области "Охрана окружающей среды и природные ресурсы" реализуются мероприятия, проводимые с целью: оздоровления водных объектов; минимизации воздействия на окружающую среду отходов производства и потребления; создания и охраны уникальных природных территорий; экологического воспитания и просвещения населения; охраны объектов животного и растительного мира</w:t>
      </w:r>
      <w:r w:rsidRPr="002F245A">
        <w:rPr>
          <w:rStyle w:val="af2"/>
          <w:rFonts w:ascii="Times New Roman" w:hAnsi="Times New Roman" w:cs="Times New Roman"/>
          <w:sz w:val="26"/>
          <w:szCs w:val="26"/>
          <w:lang w:eastAsia="ru-RU"/>
        </w:rPr>
        <w:footnoteReference w:id="35"/>
      </w:r>
      <w:r w:rsidRPr="002F245A">
        <w:rPr>
          <w:rFonts w:ascii="Times New Roman" w:hAnsi="Times New Roman" w:cs="Times New Roman"/>
          <w:sz w:val="26"/>
          <w:szCs w:val="26"/>
          <w:lang w:eastAsia="ru-RU"/>
        </w:rPr>
        <w:t>.</w:t>
      </w:r>
    </w:p>
    <w:p w14:paraId="36C2FCDC" w14:textId="77777777" w:rsidR="00DB474C" w:rsidRDefault="00DB474C" w:rsidP="00DB474C">
      <w:pPr>
        <w:pStyle w:val="Standard"/>
        <w:spacing w:line="276" w:lineRule="auto"/>
        <w:ind w:firstLine="709"/>
        <w:jc w:val="both"/>
        <w:rPr>
          <w:sz w:val="26"/>
          <w:szCs w:val="26"/>
        </w:rPr>
      </w:pPr>
      <w:r w:rsidRPr="005B458B">
        <w:rPr>
          <w:sz w:val="26"/>
          <w:szCs w:val="26"/>
        </w:rPr>
        <w:t>В декабре 2021 года по сравнению с предыдущим месяцем в Воронеже специалистами областного центра по гидрометеорологии и мониторингу окружающей среды было отмечено снижение загрязнения атмосферы пылью, при этом наблюдалось незначительное повышение в воздухе содержания диоксида азота. Загрязнение воздуха диоксидом серы, сажей, фенолом, формальдегидом, оксидом азота и углерода практически осталось на уровне предыдущего месяца и не превышало предельно допустимых показателей. Содержание в воздухе суммации диоксидов серы и азота не превышало предельно допустимые концентрации (ПДК). Наблюдение за качеством поверхностных вод в декабре осуществлялось на 3 водных объектах области: Воронежском водохранилище, реках Дон, Тихая Сосна. Кислородный режим обследованных водоемов был удовлетворительным. Содержание легкоокисляемых органических веществ превышало ПДК в пределах 1</w:t>
      </w:r>
      <w:r>
        <w:rPr>
          <w:sz w:val="26"/>
          <w:szCs w:val="26"/>
        </w:rPr>
        <w:t>,</w:t>
      </w:r>
      <w:r w:rsidRPr="005B458B">
        <w:rPr>
          <w:sz w:val="26"/>
          <w:szCs w:val="26"/>
        </w:rPr>
        <w:t>04–1</w:t>
      </w:r>
      <w:r>
        <w:rPr>
          <w:sz w:val="26"/>
          <w:szCs w:val="26"/>
        </w:rPr>
        <w:t>,</w:t>
      </w:r>
      <w:r w:rsidRPr="005B458B">
        <w:rPr>
          <w:sz w:val="26"/>
          <w:szCs w:val="26"/>
        </w:rPr>
        <w:t>8 раза практически во всех наблюдаемых створах, за исключением фонового створа реки Тихая Сосна. Максимальная концентрация отмечена во втором контрольном створе Воронежского водохранилища. Содержание трудноокисляемых органических веществ превышало ПДК в пределах 1</w:t>
      </w:r>
      <w:r>
        <w:rPr>
          <w:sz w:val="26"/>
          <w:szCs w:val="26"/>
        </w:rPr>
        <w:t>,</w:t>
      </w:r>
      <w:r w:rsidRPr="005B458B">
        <w:rPr>
          <w:sz w:val="26"/>
          <w:szCs w:val="26"/>
        </w:rPr>
        <w:t>4–2</w:t>
      </w:r>
      <w:r>
        <w:rPr>
          <w:sz w:val="26"/>
          <w:szCs w:val="26"/>
        </w:rPr>
        <w:t>,</w:t>
      </w:r>
      <w:r w:rsidRPr="005B458B">
        <w:rPr>
          <w:sz w:val="26"/>
          <w:szCs w:val="26"/>
        </w:rPr>
        <w:t>6 раза практически во всех наблюдаемых створах, за исключением фонового створа реки Тихая Сосна. Содержание нитритного азота превышало ПДК от 1</w:t>
      </w:r>
      <w:r>
        <w:rPr>
          <w:sz w:val="26"/>
          <w:szCs w:val="26"/>
        </w:rPr>
        <w:t>,</w:t>
      </w:r>
      <w:r w:rsidRPr="005B458B">
        <w:rPr>
          <w:sz w:val="26"/>
          <w:szCs w:val="26"/>
        </w:rPr>
        <w:t>4 до 2</w:t>
      </w:r>
      <w:r>
        <w:rPr>
          <w:sz w:val="26"/>
          <w:szCs w:val="26"/>
        </w:rPr>
        <w:t>,</w:t>
      </w:r>
      <w:r w:rsidRPr="005B458B">
        <w:rPr>
          <w:sz w:val="26"/>
          <w:szCs w:val="26"/>
        </w:rPr>
        <w:t>1 раза в створах реки Тихая Сосна, контрольных створах Воронежского водохранилища и реки Дон. Максимальная концентрация трудноокисляемых органических веществ и нитритного азота отмечена в контрольном створе реки Дон. Содержание нефтепродуктов превышало ПДК в 1</w:t>
      </w:r>
      <w:r>
        <w:rPr>
          <w:sz w:val="26"/>
          <w:szCs w:val="26"/>
        </w:rPr>
        <w:t>,</w:t>
      </w:r>
      <w:r w:rsidRPr="005B458B">
        <w:rPr>
          <w:sz w:val="26"/>
          <w:szCs w:val="26"/>
        </w:rPr>
        <w:t>4 раза в фоновом створе реки Дон и в 1</w:t>
      </w:r>
      <w:r>
        <w:rPr>
          <w:sz w:val="26"/>
          <w:szCs w:val="26"/>
        </w:rPr>
        <w:t>,</w:t>
      </w:r>
      <w:r w:rsidRPr="005B458B">
        <w:rPr>
          <w:sz w:val="26"/>
          <w:szCs w:val="26"/>
        </w:rPr>
        <w:t>8 раза – в контрольном створе Воронежского водохранилища. По данным наблюдений за радиационной обстановкой, средний уровень мощности экспозиционной дозы гамма-излучения в декабре не превышал регионально-установившегося фона и составил 0</w:t>
      </w:r>
      <w:r>
        <w:rPr>
          <w:sz w:val="26"/>
          <w:szCs w:val="26"/>
        </w:rPr>
        <w:t>,</w:t>
      </w:r>
      <w:r w:rsidRPr="005B458B">
        <w:rPr>
          <w:sz w:val="26"/>
          <w:szCs w:val="26"/>
        </w:rPr>
        <w:t>09-0</w:t>
      </w:r>
      <w:r>
        <w:rPr>
          <w:sz w:val="26"/>
          <w:szCs w:val="26"/>
        </w:rPr>
        <w:t>,</w:t>
      </w:r>
      <w:r w:rsidRPr="005B458B">
        <w:rPr>
          <w:sz w:val="26"/>
          <w:szCs w:val="26"/>
        </w:rPr>
        <w:t>14 мкЗв/ч</w:t>
      </w:r>
      <w:r>
        <w:rPr>
          <w:rStyle w:val="af2"/>
          <w:sz w:val="26"/>
          <w:szCs w:val="26"/>
        </w:rPr>
        <w:footnoteReference w:id="36"/>
      </w:r>
      <w:r w:rsidRPr="005B458B">
        <w:rPr>
          <w:sz w:val="26"/>
          <w:szCs w:val="26"/>
        </w:rPr>
        <w:t>.</w:t>
      </w:r>
    </w:p>
    <w:p w14:paraId="1BA160F1" w14:textId="77777777" w:rsidR="001410AB" w:rsidRDefault="001410AB" w:rsidP="00DB474C">
      <w:pPr>
        <w:spacing w:after="0" w:line="276" w:lineRule="auto"/>
        <w:ind w:firstLine="709"/>
        <w:jc w:val="center"/>
        <w:rPr>
          <w:rFonts w:ascii="Times New Roman" w:hAnsi="Times New Roman" w:cs="Times New Roman"/>
          <w:i/>
          <w:sz w:val="26"/>
          <w:szCs w:val="26"/>
        </w:rPr>
      </w:pPr>
    </w:p>
    <w:p w14:paraId="716B43FC" w14:textId="6075A0A9" w:rsidR="00DB474C" w:rsidRDefault="00DB474C" w:rsidP="00DB474C">
      <w:pPr>
        <w:spacing w:after="0" w:line="276" w:lineRule="auto"/>
        <w:ind w:firstLine="709"/>
        <w:jc w:val="center"/>
        <w:rPr>
          <w:rFonts w:ascii="Times New Roman" w:hAnsi="Times New Roman" w:cs="Times New Roman"/>
          <w:i/>
          <w:sz w:val="26"/>
          <w:szCs w:val="26"/>
        </w:rPr>
      </w:pPr>
      <w:r w:rsidRPr="002F245A">
        <w:rPr>
          <w:rFonts w:ascii="Times New Roman" w:hAnsi="Times New Roman" w:cs="Times New Roman"/>
          <w:i/>
          <w:sz w:val="26"/>
          <w:szCs w:val="26"/>
        </w:rPr>
        <w:t>Обзор социальных показателей Воронежской области</w:t>
      </w:r>
    </w:p>
    <w:p w14:paraId="3B1C0000" w14:textId="77777777" w:rsidR="00DB474C" w:rsidRDefault="00DB474C" w:rsidP="00DB474C">
      <w:pPr>
        <w:spacing w:after="0" w:line="276" w:lineRule="auto"/>
        <w:ind w:firstLine="708"/>
        <w:jc w:val="both"/>
        <w:rPr>
          <w:rFonts w:ascii="Times New Roman" w:hAnsi="Times New Roman" w:cs="Times New Roman"/>
          <w:sz w:val="26"/>
          <w:szCs w:val="26"/>
        </w:rPr>
      </w:pPr>
      <w:r w:rsidRPr="001410AB">
        <w:rPr>
          <w:rFonts w:ascii="Times New Roman" w:hAnsi="Times New Roman" w:cs="Times New Roman"/>
          <w:sz w:val="26"/>
          <w:szCs w:val="26"/>
        </w:rPr>
        <w:t xml:space="preserve">По оценке </w:t>
      </w:r>
      <w:r w:rsidRPr="001410AB">
        <w:rPr>
          <w:rStyle w:val="StrongEmphasis"/>
          <w:rFonts w:ascii="Times New Roman" w:hAnsi="Times New Roman" w:cs="Times New Roman"/>
          <w:b w:val="0"/>
          <w:sz w:val="26"/>
          <w:szCs w:val="26"/>
        </w:rPr>
        <w:t>Территориального органа Федеральной службы государственной статистики по Воронежской области</w:t>
      </w:r>
      <w:r w:rsidRPr="001410AB">
        <w:rPr>
          <w:rFonts w:ascii="Times New Roman" w:hAnsi="Times New Roman" w:cs="Times New Roman"/>
          <w:sz w:val="26"/>
          <w:szCs w:val="26"/>
        </w:rPr>
        <w:t xml:space="preserve"> численность постоянного населения области по состоянию на 1 января 2022 года составила 2305,6 тыс. человек, что на 18</w:t>
      </w:r>
      <w:r w:rsidRPr="002F245A">
        <w:rPr>
          <w:rFonts w:ascii="Times New Roman" w:hAnsi="Times New Roman" w:cs="Times New Roman"/>
          <w:sz w:val="26"/>
          <w:szCs w:val="26"/>
        </w:rPr>
        <w:t>,6 тыс. человек (или на 0,8%) ниже численности населения на начало 202</w:t>
      </w:r>
      <w:r>
        <w:rPr>
          <w:rFonts w:ascii="Times New Roman" w:hAnsi="Times New Roman" w:cs="Times New Roman"/>
          <w:sz w:val="26"/>
          <w:szCs w:val="26"/>
        </w:rPr>
        <w:t>1</w:t>
      </w:r>
      <w:r w:rsidRPr="002F245A">
        <w:rPr>
          <w:rFonts w:ascii="Times New Roman" w:hAnsi="Times New Roman" w:cs="Times New Roman"/>
          <w:sz w:val="26"/>
          <w:szCs w:val="26"/>
        </w:rPr>
        <w:t xml:space="preserve"> года.</w:t>
      </w:r>
    </w:p>
    <w:p w14:paraId="3C38D7BE" w14:textId="77777777" w:rsidR="00DB474C" w:rsidRDefault="00DB474C" w:rsidP="00DB474C">
      <w:pPr>
        <w:spacing w:after="0" w:line="276" w:lineRule="auto"/>
        <w:ind w:firstLine="708"/>
        <w:jc w:val="right"/>
        <w:rPr>
          <w:rFonts w:ascii="Times New Roman" w:hAnsi="Times New Roman" w:cs="Times New Roman"/>
          <w:sz w:val="26"/>
          <w:szCs w:val="26"/>
        </w:rPr>
      </w:pPr>
      <w:r>
        <w:rPr>
          <w:rFonts w:ascii="Times New Roman" w:hAnsi="Times New Roman" w:cs="Times New Roman"/>
          <w:sz w:val="26"/>
          <w:szCs w:val="26"/>
        </w:rPr>
        <w:t>Таблица 3.1.2.1</w:t>
      </w:r>
    </w:p>
    <w:p w14:paraId="6BB96265" w14:textId="77777777" w:rsidR="00DB474C" w:rsidRPr="000A40D3" w:rsidRDefault="00DB474C" w:rsidP="00DB474C">
      <w:pPr>
        <w:spacing w:after="0" w:line="276" w:lineRule="auto"/>
        <w:ind w:firstLine="708"/>
        <w:jc w:val="both"/>
        <w:rPr>
          <w:rFonts w:ascii="Times New Roman" w:hAnsi="Times New Roman" w:cs="Times New Roman"/>
          <w:sz w:val="26"/>
          <w:szCs w:val="26"/>
        </w:rPr>
      </w:pPr>
      <w:r w:rsidRPr="000A40D3">
        <w:rPr>
          <w:rFonts w:ascii="Times New Roman" w:hAnsi="Times New Roman" w:cs="Times New Roman"/>
          <w:sz w:val="26"/>
          <w:szCs w:val="26"/>
        </w:rPr>
        <w:t>Оценка численности постоянного населения Воронежской области</w:t>
      </w:r>
    </w:p>
    <w:p w14:paraId="4200BCBE" w14:textId="77777777" w:rsidR="00DB474C" w:rsidRPr="00666B8E" w:rsidRDefault="00DB474C" w:rsidP="00DB474C">
      <w:pPr>
        <w:spacing w:after="0" w:line="276" w:lineRule="auto"/>
        <w:ind w:firstLine="708"/>
        <w:jc w:val="center"/>
        <w:rPr>
          <w:rFonts w:ascii="Times New Roman" w:hAnsi="Times New Roman" w:cs="Times New Roman"/>
          <w:sz w:val="26"/>
          <w:szCs w:val="26"/>
        </w:rPr>
      </w:pPr>
      <w:r w:rsidRPr="000A40D3">
        <w:rPr>
          <w:rFonts w:ascii="Times New Roman" w:hAnsi="Times New Roman" w:cs="Times New Roman"/>
          <w:sz w:val="26"/>
          <w:szCs w:val="26"/>
        </w:rPr>
        <w:t>на 1 января 2022 года</w:t>
      </w:r>
      <w:r>
        <w:rPr>
          <w:rStyle w:val="af2"/>
          <w:rFonts w:ascii="Times New Roman" w:hAnsi="Times New Roman" w:cs="Times New Roman"/>
          <w:sz w:val="26"/>
          <w:szCs w:val="26"/>
        </w:rPr>
        <w:footnoteReference w:id="37"/>
      </w:r>
    </w:p>
    <w:tbl>
      <w:tblPr>
        <w:tblW w:w="9353" w:type="dxa"/>
        <w:tblLayout w:type="fixed"/>
        <w:tblCellMar>
          <w:left w:w="10" w:type="dxa"/>
          <w:right w:w="10" w:type="dxa"/>
        </w:tblCellMar>
        <w:tblLook w:val="0000" w:firstRow="0" w:lastRow="0" w:firstColumn="0" w:lastColumn="0" w:noHBand="0" w:noVBand="0"/>
      </w:tblPr>
      <w:tblGrid>
        <w:gridCol w:w="4358"/>
        <w:gridCol w:w="1593"/>
        <w:gridCol w:w="1701"/>
        <w:gridCol w:w="1701"/>
      </w:tblGrid>
      <w:tr w:rsidR="00DB474C" w:rsidRPr="00923500" w14:paraId="4C194A1F" w14:textId="77777777" w:rsidTr="00DB474C">
        <w:trPr>
          <w:cantSplit/>
          <w:trHeight w:hRule="exact" w:val="284"/>
          <w:tblHeader/>
        </w:trPr>
        <w:tc>
          <w:tcPr>
            <w:tcW w:w="4358"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bottom"/>
          </w:tcPr>
          <w:p w14:paraId="3155AF33" w14:textId="77777777" w:rsidR="00DB474C" w:rsidRPr="00923500" w:rsidRDefault="00DB474C" w:rsidP="00DB474C">
            <w:pPr>
              <w:pStyle w:val="TableContents"/>
              <w:spacing w:line="276" w:lineRule="auto"/>
              <w:rPr>
                <w:rFonts w:ascii="Times New Roman" w:hAnsi="Times New Roman" w:cs="Times New Roman"/>
                <w:b/>
                <w:sz w:val="22"/>
                <w:szCs w:val="22"/>
                <w:lang w:val="ru-RU"/>
              </w:rPr>
            </w:pPr>
          </w:p>
        </w:tc>
        <w:tc>
          <w:tcPr>
            <w:tcW w:w="1593"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F2EF9C4" w14:textId="77777777" w:rsidR="00DB474C" w:rsidRPr="00923500" w:rsidRDefault="00DB474C" w:rsidP="00DB474C">
            <w:pPr>
              <w:pStyle w:val="TableContents"/>
              <w:spacing w:line="276" w:lineRule="auto"/>
              <w:jc w:val="center"/>
              <w:rPr>
                <w:rFonts w:ascii="Times New Roman" w:hAnsi="Times New Roman" w:cs="Times New Roman"/>
                <w:b/>
                <w:sz w:val="22"/>
                <w:szCs w:val="22"/>
                <w:vertAlign w:val="superscript"/>
                <w:lang w:val="ru-RU"/>
              </w:rPr>
            </w:pPr>
            <w:r w:rsidRPr="00923500">
              <w:rPr>
                <w:rFonts w:ascii="Times New Roman" w:hAnsi="Times New Roman" w:cs="Times New Roman"/>
                <w:b/>
                <w:sz w:val="22"/>
                <w:szCs w:val="22"/>
                <w:lang w:val="ru-RU"/>
              </w:rPr>
              <w:t>Все</w:t>
            </w:r>
            <w:r w:rsidRPr="00923500">
              <w:rPr>
                <w:rFonts w:ascii="Times New Roman" w:hAnsi="Times New Roman" w:cs="Times New Roman"/>
                <w:b/>
                <w:sz w:val="22"/>
                <w:szCs w:val="22"/>
              </w:rPr>
              <w:t xml:space="preserve"> </w:t>
            </w:r>
            <w:r w:rsidRPr="00923500">
              <w:rPr>
                <w:rFonts w:ascii="Times New Roman" w:hAnsi="Times New Roman" w:cs="Times New Roman"/>
                <w:b/>
                <w:sz w:val="22"/>
                <w:szCs w:val="22"/>
                <w:lang w:val="ru-RU"/>
              </w:rPr>
              <w:t>население</w:t>
            </w:r>
            <w:r w:rsidRPr="00923500">
              <w:rPr>
                <w:rFonts w:ascii="Times New Roman" w:hAnsi="Times New Roman" w:cs="Times New Roman"/>
                <w:b/>
                <w:sz w:val="22"/>
                <w:szCs w:val="22"/>
              </w:rPr>
              <w:t>, (</w:t>
            </w:r>
            <w:r w:rsidRPr="00923500">
              <w:rPr>
                <w:rFonts w:ascii="Times New Roman" w:hAnsi="Times New Roman" w:cs="Times New Roman"/>
                <w:b/>
                <w:sz w:val="22"/>
                <w:szCs w:val="22"/>
                <w:lang w:val="ru-RU"/>
              </w:rPr>
              <w:t>человек</w:t>
            </w:r>
            <w:r w:rsidRPr="00923500">
              <w:rPr>
                <w:rFonts w:ascii="Times New Roman" w:hAnsi="Times New Roman" w:cs="Times New Roman"/>
                <w:b/>
                <w:sz w:val="22"/>
                <w:szCs w:val="22"/>
              </w:rPr>
              <w:t>)</w:t>
            </w:r>
          </w:p>
        </w:tc>
        <w:tc>
          <w:tcPr>
            <w:tcW w:w="340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8309D90" w14:textId="77777777" w:rsidR="00DB474C" w:rsidRPr="00923500" w:rsidRDefault="00DB474C" w:rsidP="00DB474C">
            <w:pPr>
              <w:pStyle w:val="TableContents"/>
              <w:spacing w:line="276" w:lineRule="auto"/>
              <w:jc w:val="center"/>
              <w:rPr>
                <w:rFonts w:ascii="Times New Roman" w:hAnsi="Times New Roman" w:cs="Times New Roman"/>
                <w:b/>
                <w:sz w:val="22"/>
                <w:szCs w:val="22"/>
                <w:lang w:val="ru-RU"/>
              </w:rPr>
            </w:pPr>
            <w:r w:rsidRPr="00923500">
              <w:rPr>
                <w:rFonts w:ascii="Times New Roman" w:hAnsi="Times New Roman" w:cs="Times New Roman"/>
                <w:b/>
                <w:sz w:val="22"/>
                <w:szCs w:val="22"/>
              </w:rPr>
              <w:t xml:space="preserve">В </w:t>
            </w:r>
            <w:r w:rsidRPr="00923500">
              <w:rPr>
                <w:rFonts w:ascii="Times New Roman" w:hAnsi="Times New Roman" w:cs="Times New Roman"/>
                <w:b/>
                <w:sz w:val="22"/>
                <w:szCs w:val="22"/>
                <w:lang w:val="ru-RU"/>
              </w:rPr>
              <w:t>том числе</w:t>
            </w:r>
          </w:p>
        </w:tc>
      </w:tr>
      <w:tr w:rsidR="00DB474C" w:rsidRPr="00923500" w14:paraId="7198117D" w14:textId="77777777" w:rsidTr="00DB474C">
        <w:trPr>
          <w:cantSplit/>
          <w:trHeight w:hRule="exact" w:val="429"/>
        </w:trPr>
        <w:tc>
          <w:tcPr>
            <w:tcW w:w="4358" w:type="dxa"/>
            <w:vMerge/>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bottom"/>
          </w:tcPr>
          <w:p w14:paraId="013D5292" w14:textId="77777777" w:rsidR="00DB474C" w:rsidRPr="00923500" w:rsidRDefault="00DB474C" w:rsidP="00DB474C">
            <w:pPr>
              <w:spacing w:line="276" w:lineRule="auto"/>
              <w:rPr>
                <w:rFonts w:ascii="Times New Roman" w:hAnsi="Times New Roman" w:cs="Times New Roman"/>
                <w:b/>
              </w:rPr>
            </w:pPr>
          </w:p>
        </w:tc>
        <w:tc>
          <w:tcPr>
            <w:tcW w:w="1593" w:type="dxa"/>
            <w:vMerge/>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8954D35" w14:textId="77777777" w:rsidR="00DB474C" w:rsidRPr="00923500" w:rsidRDefault="00DB474C" w:rsidP="00DB474C">
            <w:pPr>
              <w:spacing w:line="276" w:lineRule="auto"/>
              <w:rPr>
                <w:rFonts w:ascii="Times New Roman" w:hAnsi="Times New Roman" w:cs="Times New Roman"/>
                <w:b/>
              </w:rPr>
            </w:pP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2BFBD81" w14:textId="77777777" w:rsidR="00DB474C" w:rsidRPr="00923500" w:rsidRDefault="00DB474C" w:rsidP="00DB474C">
            <w:pPr>
              <w:pStyle w:val="TableContents"/>
              <w:spacing w:line="276" w:lineRule="auto"/>
              <w:jc w:val="center"/>
              <w:rPr>
                <w:rFonts w:ascii="Times New Roman" w:hAnsi="Times New Roman" w:cs="Times New Roman"/>
                <w:b/>
                <w:sz w:val="22"/>
                <w:szCs w:val="22"/>
                <w:lang w:val="ru-RU"/>
              </w:rPr>
            </w:pPr>
            <w:r w:rsidRPr="00923500">
              <w:rPr>
                <w:rFonts w:ascii="Times New Roman" w:hAnsi="Times New Roman" w:cs="Times New Roman"/>
                <w:b/>
                <w:sz w:val="22"/>
                <w:szCs w:val="22"/>
                <w:lang w:val="ru-RU"/>
              </w:rPr>
              <w:t>городское</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0D5B547" w14:textId="77777777" w:rsidR="00DB474C" w:rsidRPr="00923500" w:rsidRDefault="00DB474C" w:rsidP="00DB474C">
            <w:pPr>
              <w:pStyle w:val="TableContents"/>
              <w:spacing w:line="276" w:lineRule="auto"/>
              <w:jc w:val="center"/>
              <w:rPr>
                <w:rFonts w:ascii="Times New Roman" w:hAnsi="Times New Roman" w:cs="Times New Roman"/>
                <w:b/>
                <w:sz w:val="22"/>
                <w:szCs w:val="22"/>
                <w:lang w:val="ru-RU"/>
              </w:rPr>
            </w:pPr>
            <w:r w:rsidRPr="00923500">
              <w:rPr>
                <w:rFonts w:ascii="Times New Roman" w:hAnsi="Times New Roman" w:cs="Times New Roman"/>
                <w:b/>
                <w:sz w:val="22"/>
                <w:szCs w:val="22"/>
                <w:lang w:val="ru-RU"/>
              </w:rPr>
              <w:t>сельское</w:t>
            </w:r>
          </w:p>
        </w:tc>
      </w:tr>
      <w:tr w:rsidR="00DB474C" w:rsidRPr="00923500" w14:paraId="4AD79A7A"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tcPr>
          <w:p w14:paraId="71E3D371" w14:textId="77777777" w:rsidR="00DB474C" w:rsidRPr="00923500" w:rsidRDefault="00DB474C" w:rsidP="00DB474C">
            <w:pPr>
              <w:pStyle w:val="TableContents"/>
              <w:shd w:val="clear" w:color="auto" w:fill="FFFFFF"/>
              <w:spacing w:line="276" w:lineRule="auto"/>
              <w:rPr>
                <w:rFonts w:ascii="Times New Roman" w:hAnsi="Times New Roman" w:cs="Times New Roman"/>
                <w:sz w:val="22"/>
                <w:szCs w:val="22"/>
                <w:shd w:val="clear" w:color="auto" w:fill="FFFFFF"/>
                <w:lang w:val="ru-RU"/>
              </w:rPr>
            </w:pPr>
            <w:r w:rsidRPr="00923500">
              <w:rPr>
                <w:rFonts w:ascii="Times New Roman" w:hAnsi="Times New Roman" w:cs="Times New Roman"/>
                <w:sz w:val="22"/>
                <w:szCs w:val="22"/>
                <w:shd w:val="clear" w:color="auto" w:fill="FFFFFF"/>
                <w:lang w:val="ru-RU"/>
              </w:rPr>
              <w:t>Воронежская область</w:t>
            </w:r>
          </w:p>
        </w:tc>
        <w:tc>
          <w:tcPr>
            <w:tcW w:w="1593"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tcPr>
          <w:p w14:paraId="4C33955B" w14:textId="77777777" w:rsidR="00DB474C" w:rsidRPr="00923500" w:rsidRDefault="00DB474C" w:rsidP="00DB474C">
            <w:pPr>
              <w:pStyle w:val="TableContents"/>
              <w:spacing w:line="276" w:lineRule="auto"/>
              <w:jc w:val="right"/>
              <w:rPr>
                <w:rFonts w:ascii="Times New Roman" w:hAnsi="Times New Roman" w:cs="Times New Roman"/>
                <w:sz w:val="22"/>
                <w:szCs w:val="22"/>
                <w:shd w:val="clear" w:color="auto" w:fill="FFFFFF"/>
                <w:lang w:val="ru-RU"/>
              </w:rPr>
            </w:pPr>
            <w:r w:rsidRPr="00923500">
              <w:rPr>
                <w:rFonts w:ascii="Times New Roman" w:hAnsi="Times New Roman" w:cs="Times New Roman"/>
                <w:sz w:val="22"/>
                <w:szCs w:val="22"/>
              </w:rPr>
              <w:t>2287678</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1F58EE9" w14:textId="77777777" w:rsidR="00DB474C" w:rsidRPr="00923500" w:rsidRDefault="00DB474C" w:rsidP="00DB474C">
            <w:pPr>
              <w:pStyle w:val="TableContents"/>
              <w:spacing w:line="276" w:lineRule="auto"/>
              <w:jc w:val="right"/>
              <w:rPr>
                <w:rFonts w:ascii="Times New Roman" w:hAnsi="Times New Roman" w:cs="Times New Roman"/>
                <w:color w:val="C00000"/>
                <w:sz w:val="22"/>
                <w:szCs w:val="22"/>
                <w:lang w:val="ru-RU"/>
              </w:rPr>
            </w:pPr>
            <w:r w:rsidRPr="00923500">
              <w:rPr>
                <w:rFonts w:ascii="Times New Roman" w:hAnsi="Times New Roman" w:cs="Times New Roman"/>
                <w:sz w:val="22"/>
                <w:szCs w:val="22"/>
              </w:rPr>
              <w:t>1558117</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4786C17" w14:textId="77777777" w:rsidR="00DB474C" w:rsidRPr="00923500" w:rsidRDefault="00DB474C" w:rsidP="00DB474C">
            <w:pPr>
              <w:pStyle w:val="TableContents"/>
              <w:spacing w:line="276" w:lineRule="auto"/>
              <w:jc w:val="right"/>
              <w:rPr>
                <w:rFonts w:ascii="Times New Roman" w:hAnsi="Times New Roman" w:cs="Times New Roman"/>
                <w:color w:val="C00000"/>
                <w:sz w:val="22"/>
                <w:szCs w:val="22"/>
                <w:lang w:val="ru-RU"/>
              </w:rPr>
            </w:pPr>
            <w:r w:rsidRPr="00923500">
              <w:rPr>
                <w:rFonts w:ascii="Times New Roman" w:hAnsi="Times New Roman" w:cs="Times New Roman"/>
                <w:sz w:val="22"/>
                <w:szCs w:val="22"/>
              </w:rPr>
              <w:t>72956</w:t>
            </w:r>
            <w:r w:rsidRPr="00923500">
              <w:rPr>
                <w:rFonts w:ascii="Times New Roman" w:hAnsi="Times New Roman" w:cs="Times New Roman"/>
                <w:sz w:val="22"/>
                <w:szCs w:val="22"/>
                <w:lang w:val="ru-RU"/>
              </w:rPr>
              <w:t>1</w:t>
            </w:r>
          </w:p>
        </w:tc>
      </w:tr>
      <w:tr w:rsidR="00DB474C" w:rsidRPr="00923500" w14:paraId="3B013FB5"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C4E185B"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lang w:val="ru-RU"/>
              </w:rPr>
              <w:t>Городской округ- город Воронеж</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6B093352"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1048738</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5B02CFF1" w14:textId="77777777" w:rsidR="00DB474C" w:rsidRPr="00923500" w:rsidRDefault="00DB474C" w:rsidP="00DB474C">
            <w:pPr>
              <w:pStyle w:val="TableContents"/>
              <w:spacing w:line="276" w:lineRule="auto"/>
              <w:jc w:val="right"/>
              <w:rPr>
                <w:rFonts w:ascii="Times New Roman" w:hAnsi="Times New Roman" w:cs="Times New Roman"/>
                <w:color w:val="C00000"/>
                <w:sz w:val="22"/>
                <w:szCs w:val="22"/>
                <w:lang w:val="ru-RU"/>
              </w:rPr>
            </w:pPr>
            <w:r w:rsidRPr="00923500">
              <w:rPr>
                <w:rFonts w:ascii="Times New Roman" w:hAnsi="Times New Roman" w:cs="Times New Roman"/>
                <w:sz w:val="22"/>
                <w:szCs w:val="22"/>
              </w:rPr>
              <w:t>1048738</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15F033D5"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eastAsia="Arial" w:hAnsi="Times New Roman" w:cs="Times New Roman"/>
                <w:sz w:val="22"/>
                <w:szCs w:val="22"/>
              </w:rPr>
              <w:t xml:space="preserve">-    </w:t>
            </w:r>
          </w:p>
        </w:tc>
      </w:tr>
      <w:tr w:rsidR="00DB474C" w:rsidRPr="00923500" w14:paraId="3CE2FF79"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9F5C79D"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rPr>
              <w:t xml:space="preserve">г. </w:t>
            </w:r>
            <w:r w:rsidRPr="00923500">
              <w:rPr>
                <w:rFonts w:ascii="Times New Roman" w:hAnsi="Times New Roman" w:cs="Times New Roman"/>
                <w:sz w:val="22"/>
                <w:szCs w:val="22"/>
                <w:lang w:val="ru-RU"/>
              </w:rPr>
              <w:t>Воронеж</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4F7A91B"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1048738</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C1F26D5" w14:textId="77777777" w:rsidR="00DB474C" w:rsidRPr="00923500" w:rsidRDefault="00DB474C" w:rsidP="00DB474C">
            <w:pPr>
              <w:pStyle w:val="TableContents"/>
              <w:spacing w:line="276" w:lineRule="auto"/>
              <w:jc w:val="right"/>
              <w:rPr>
                <w:rFonts w:ascii="Times New Roman" w:hAnsi="Times New Roman" w:cs="Times New Roman"/>
                <w:color w:val="C00000"/>
                <w:sz w:val="22"/>
                <w:szCs w:val="22"/>
                <w:lang w:val="ru-RU"/>
              </w:rPr>
            </w:pPr>
            <w:r w:rsidRPr="00923500">
              <w:rPr>
                <w:rFonts w:ascii="Times New Roman" w:hAnsi="Times New Roman" w:cs="Times New Roman"/>
                <w:sz w:val="22"/>
                <w:szCs w:val="22"/>
              </w:rPr>
              <w:t>1048738</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622191CB"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eastAsia="Arial" w:hAnsi="Times New Roman" w:cs="Times New Roman"/>
                <w:sz w:val="22"/>
                <w:szCs w:val="22"/>
              </w:rPr>
              <w:t xml:space="preserve">-    </w:t>
            </w:r>
          </w:p>
        </w:tc>
      </w:tr>
      <w:tr w:rsidR="00DB474C" w:rsidRPr="00923500" w14:paraId="708C0FAB"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B6F9FEB"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lang w:val="ru-RU"/>
              </w:rPr>
              <w:t>Борисоглебский городской округ</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3456E7D8"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67741</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05090B7C"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57160</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70A487F"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10581</w:t>
            </w:r>
          </w:p>
        </w:tc>
      </w:tr>
      <w:tr w:rsidR="00DB474C" w:rsidRPr="00923500" w14:paraId="6FE7DC22"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84203AA"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rPr>
              <w:t xml:space="preserve">г. </w:t>
            </w:r>
            <w:r w:rsidRPr="00923500">
              <w:rPr>
                <w:rFonts w:ascii="Times New Roman" w:hAnsi="Times New Roman" w:cs="Times New Roman"/>
                <w:sz w:val="22"/>
                <w:szCs w:val="22"/>
                <w:lang w:val="ru-RU"/>
              </w:rPr>
              <w:t>Борисоглебск</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7936401"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57160</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5C704CA2"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57160</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5B38CD9F" w14:textId="77777777" w:rsidR="00DB474C" w:rsidRPr="00923500" w:rsidRDefault="00DB474C" w:rsidP="00DB474C">
            <w:pPr>
              <w:pStyle w:val="TableContents"/>
              <w:spacing w:line="276" w:lineRule="auto"/>
              <w:jc w:val="right"/>
              <w:rPr>
                <w:rFonts w:ascii="Times New Roman" w:hAnsi="Times New Roman" w:cs="Times New Roman"/>
                <w:color w:val="C00000"/>
                <w:sz w:val="22"/>
                <w:szCs w:val="22"/>
              </w:rPr>
            </w:pPr>
            <w:r w:rsidRPr="00923500">
              <w:rPr>
                <w:rFonts w:ascii="Times New Roman" w:eastAsia="Arial" w:hAnsi="Times New Roman" w:cs="Times New Roman"/>
                <w:sz w:val="22"/>
                <w:szCs w:val="22"/>
              </w:rPr>
              <w:t>-</w:t>
            </w:r>
          </w:p>
          <w:p w14:paraId="2D3546BF" w14:textId="77777777" w:rsidR="00DB474C" w:rsidRPr="00923500" w:rsidRDefault="00DB474C" w:rsidP="00DB474C">
            <w:pPr>
              <w:pStyle w:val="TableContents"/>
              <w:spacing w:line="276" w:lineRule="auto"/>
              <w:jc w:val="right"/>
              <w:rPr>
                <w:rFonts w:ascii="Times New Roman" w:hAnsi="Times New Roman" w:cs="Times New Roman"/>
                <w:color w:val="C00000"/>
                <w:sz w:val="22"/>
                <w:szCs w:val="22"/>
              </w:rPr>
            </w:pPr>
          </w:p>
        </w:tc>
      </w:tr>
      <w:tr w:rsidR="00DB474C" w:rsidRPr="00923500" w14:paraId="53C18FF4"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CF500E2"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lang w:val="ru-RU"/>
              </w:rPr>
              <w:t>Городской округ- город Нововоронеж</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E2FB3BE"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31313</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170F7178"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31313</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680BC38" w14:textId="77777777" w:rsidR="00DB474C" w:rsidRPr="00923500" w:rsidRDefault="00DB474C" w:rsidP="00DB474C">
            <w:pPr>
              <w:pStyle w:val="TableContents"/>
              <w:spacing w:line="276" w:lineRule="auto"/>
              <w:jc w:val="right"/>
              <w:rPr>
                <w:rFonts w:ascii="Times New Roman" w:hAnsi="Times New Roman" w:cs="Times New Roman"/>
                <w:color w:val="C00000"/>
                <w:sz w:val="22"/>
                <w:szCs w:val="22"/>
                <w:lang w:val="ru-RU"/>
              </w:rPr>
            </w:pPr>
            <w:r w:rsidRPr="00923500">
              <w:rPr>
                <w:rFonts w:ascii="Times New Roman" w:eastAsia="Arial" w:hAnsi="Times New Roman" w:cs="Times New Roman"/>
                <w:sz w:val="22"/>
                <w:szCs w:val="22"/>
              </w:rPr>
              <w:t>-</w:t>
            </w:r>
          </w:p>
        </w:tc>
      </w:tr>
      <w:tr w:rsidR="00DB474C" w:rsidRPr="00923500" w14:paraId="2AB78650"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3BC54CA"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rPr>
              <w:t xml:space="preserve">г. </w:t>
            </w:r>
            <w:r w:rsidRPr="00923500">
              <w:rPr>
                <w:rFonts w:ascii="Times New Roman" w:hAnsi="Times New Roman" w:cs="Times New Roman"/>
                <w:sz w:val="22"/>
                <w:szCs w:val="22"/>
                <w:lang w:val="ru-RU"/>
              </w:rPr>
              <w:t>Нововоронеж</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B0D985C"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31313</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39AC622" w14:textId="77777777" w:rsidR="00DB474C" w:rsidRPr="00923500" w:rsidRDefault="00DB474C" w:rsidP="00DB474C">
            <w:pPr>
              <w:pStyle w:val="TableContents"/>
              <w:spacing w:line="276" w:lineRule="auto"/>
              <w:jc w:val="right"/>
              <w:rPr>
                <w:rFonts w:ascii="Times New Roman" w:hAnsi="Times New Roman" w:cs="Times New Roman"/>
                <w:color w:val="C00000"/>
                <w:sz w:val="22"/>
                <w:szCs w:val="22"/>
                <w:lang w:val="ru-RU"/>
              </w:rPr>
            </w:pPr>
            <w:r w:rsidRPr="00923500">
              <w:rPr>
                <w:rFonts w:ascii="Times New Roman" w:hAnsi="Times New Roman" w:cs="Times New Roman"/>
                <w:sz w:val="22"/>
                <w:szCs w:val="22"/>
              </w:rPr>
              <w:t>31313</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3AFCF7C" w14:textId="77777777" w:rsidR="00DB474C" w:rsidRPr="00923500" w:rsidRDefault="00DB474C" w:rsidP="00DB474C">
            <w:pPr>
              <w:pStyle w:val="TableContents"/>
              <w:spacing w:line="276" w:lineRule="auto"/>
              <w:jc w:val="right"/>
              <w:rPr>
                <w:rFonts w:ascii="Times New Roman" w:hAnsi="Times New Roman" w:cs="Times New Roman"/>
                <w:color w:val="C00000"/>
                <w:sz w:val="22"/>
                <w:szCs w:val="22"/>
              </w:rPr>
            </w:pPr>
            <w:r w:rsidRPr="00923500">
              <w:rPr>
                <w:rFonts w:ascii="Times New Roman" w:eastAsia="Arial" w:hAnsi="Times New Roman" w:cs="Times New Roman"/>
                <w:sz w:val="22"/>
                <w:szCs w:val="22"/>
              </w:rPr>
              <w:t>-</w:t>
            </w:r>
          </w:p>
        </w:tc>
      </w:tr>
      <w:tr w:rsidR="00DB474C" w:rsidRPr="00923500" w14:paraId="5C895AA9"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DA882BA"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lang w:val="ru-RU"/>
              </w:rPr>
              <w:t>Аннинский 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4AC0758"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36965</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6A2726A"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15726</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510C363B"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21239</w:t>
            </w:r>
          </w:p>
        </w:tc>
      </w:tr>
      <w:tr w:rsidR="00DB474C" w:rsidRPr="00923500" w14:paraId="02FD7AAB"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C67EE72"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lang w:val="ru-RU"/>
              </w:rPr>
              <w:t>Бобровский</w:t>
            </w:r>
            <w:r w:rsidRPr="00923500">
              <w:rPr>
                <w:rFonts w:ascii="Times New Roman" w:hAnsi="Times New Roman" w:cs="Times New Roman"/>
                <w:sz w:val="22"/>
                <w:szCs w:val="22"/>
              </w:rPr>
              <w:t xml:space="preserve"> </w:t>
            </w:r>
            <w:r w:rsidRPr="00923500">
              <w:rPr>
                <w:rFonts w:ascii="Times New Roman" w:hAnsi="Times New Roman" w:cs="Times New Roman"/>
                <w:sz w:val="22"/>
                <w:szCs w:val="22"/>
                <w:lang w:val="ru-RU"/>
              </w:rPr>
              <w:t>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5A335837"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47898</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ECC16C9"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19592</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69310EE"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28306</w:t>
            </w:r>
          </w:p>
        </w:tc>
      </w:tr>
      <w:tr w:rsidR="00DB474C" w:rsidRPr="00923500" w14:paraId="597D73DF"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1579D81"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lang w:val="ru-RU"/>
              </w:rPr>
              <w:t>Богучарский</w:t>
            </w:r>
            <w:r w:rsidRPr="00923500">
              <w:rPr>
                <w:rFonts w:ascii="Times New Roman" w:hAnsi="Times New Roman" w:cs="Times New Roman"/>
                <w:sz w:val="22"/>
                <w:szCs w:val="22"/>
              </w:rPr>
              <w:t xml:space="preserve"> </w:t>
            </w:r>
            <w:r w:rsidRPr="00923500">
              <w:rPr>
                <w:rFonts w:ascii="Times New Roman" w:hAnsi="Times New Roman" w:cs="Times New Roman"/>
                <w:sz w:val="22"/>
                <w:szCs w:val="22"/>
                <w:lang w:val="ru-RU"/>
              </w:rPr>
              <w:t>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9423E3A"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3658</w:t>
            </w:r>
            <w:r w:rsidRPr="00923500">
              <w:rPr>
                <w:rFonts w:ascii="Times New Roman" w:hAnsi="Times New Roman" w:cs="Times New Roman"/>
                <w:sz w:val="22"/>
                <w:szCs w:val="22"/>
                <w:lang w:val="ru-RU"/>
              </w:rPr>
              <w:t>1</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6D59F1D0"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10905</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E9EA1FD" w14:textId="77777777" w:rsidR="00DB474C" w:rsidRPr="00923500" w:rsidRDefault="00DB474C" w:rsidP="00DB474C">
            <w:pPr>
              <w:pStyle w:val="TableContents"/>
              <w:spacing w:line="276" w:lineRule="auto"/>
              <w:jc w:val="right"/>
              <w:rPr>
                <w:rFonts w:ascii="Times New Roman" w:hAnsi="Times New Roman" w:cs="Times New Roman"/>
                <w:sz w:val="22"/>
                <w:szCs w:val="22"/>
              </w:rPr>
            </w:pPr>
            <w:r w:rsidRPr="00923500">
              <w:rPr>
                <w:rFonts w:ascii="Times New Roman" w:hAnsi="Times New Roman" w:cs="Times New Roman"/>
                <w:sz w:val="22"/>
                <w:szCs w:val="22"/>
              </w:rPr>
              <w:t>25676</w:t>
            </w:r>
          </w:p>
          <w:p w14:paraId="16B93045"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p>
        </w:tc>
      </w:tr>
      <w:tr w:rsidR="00DB474C" w:rsidRPr="00923500" w14:paraId="4671392A"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CD323AE"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lang w:val="ru-RU"/>
              </w:rPr>
              <w:t>Бутурлиновский 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0B0C92BF"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42894</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C665644"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26260</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D086756"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16634</w:t>
            </w:r>
          </w:p>
        </w:tc>
      </w:tr>
      <w:tr w:rsidR="00DB474C" w:rsidRPr="00923500" w14:paraId="443FB6B3"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0AAE1E5"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lang w:val="ru-RU"/>
              </w:rPr>
              <w:t>Верхнемамонский</w:t>
            </w:r>
            <w:r w:rsidRPr="00923500">
              <w:rPr>
                <w:rFonts w:ascii="Times New Roman" w:hAnsi="Times New Roman" w:cs="Times New Roman"/>
                <w:sz w:val="22"/>
                <w:szCs w:val="22"/>
              </w:rPr>
              <w:t xml:space="preserve"> </w:t>
            </w:r>
            <w:r w:rsidRPr="00923500">
              <w:rPr>
                <w:rFonts w:ascii="Times New Roman" w:hAnsi="Times New Roman" w:cs="Times New Roman"/>
                <w:sz w:val="22"/>
                <w:szCs w:val="22"/>
                <w:lang w:val="ru-RU"/>
              </w:rPr>
              <w:t>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36A8B54E"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18112</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01404423"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eastAsia="Arial" w:hAnsi="Times New Roman" w:cs="Times New Roman"/>
                <w:sz w:val="22"/>
                <w:szCs w:val="22"/>
              </w:rPr>
              <w:t>-</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1982A6A5"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18112</w:t>
            </w:r>
          </w:p>
        </w:tc>
      </w:tr>
      <w:tr w:rsidR="00DB474C" w:rsidRPr="00923500" w14:paraId="51A5DF33"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B50BD31"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rPr>
              <w:t xml:space="preserve">Верхнехавский </w:t>
            </w:r>
            <w:r w:rsidRPr="00923500">
              <w:rPr>
                <w:rFonts w:ascii="Times New Roman" w:hAnsi="Times New Roman" w:cs="Times New Roman"/>
                <w:sz w:val="22"/>
                <w:szCs w:val="22"/>
                <w:lang w:val="ru-RU"/>
              </w:rPr>
              <w:t>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376DFF6"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22422</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27AAE11"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eastAsia="Arial" w:hAnsi="Times New Roman" w:cs="Times New Roman"/>
                <w:sz w:val="22"/>
                <w:szCs w:val="22"/>
              </w:rPr>
              <w:t>-</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774A9E0"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22422</w:t>
            </w:r>
          </w:p>
        </w:tc>
      </w:tr>
      <w:tr w:rsidR="00DB474C" w:rsidRPr="00923500" w14:paraId="4BB01873"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37085DC"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rPr>
              <w:t xml:space="preserve">Воробьёвский </w:t>
            </w:r>
            <w:r w:rsidRPr="00923500">
              <w:rPr>
                <w:rFonts w:ascii="Times New Roman" w:hAnsi="Times New Roman" w:cs="Times New Roman"/>
                <w:sz w:val="22"/>
                <w:szCs w:val="22"/>
                <w:lang w:val="ru-RU"/>
              </w:rPr>
              <w:t>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6ECC3D0F"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15255</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C4F571F"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eastAsia="Arial" w:hAnsi="Times New Roman" w:cs="Times New Roman"/>
                <w:sz w:val="22"/>
                <w:szCs w:val="22"/>
              </w:rPr>
              <w:t>-</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ACDFEAC" w14:textId="77777777" w:rsidR="00DB474C" w:rsidRPr="00923500" w:rsidRDefault="00DB474C" w:rsidP="00DB474C">
            <w:pPr>
              <w:pStyle w:val="TableContents"/>
              <w:spacing w:line="276" w:lineRule="auto"/>
              <w:jc w:val="right"/>
              <w:rPr>
                <w:rFonts w:ascii="Times New Roman" w:hAnsi="Times New Roman" w:cs="Times New Roman"/>
                <w:sz w:val="22"/>
                <w:szCs w:val="22"/>
              </w:rPr>
            </w:pPr>
            <w:r w:rsidRPr="00923500">
              <w:rPr>
                <w:rFonts w:ascii="Times New Roman" w:hAnsi="Times New Roman" w:cs="Times New Roman"/>
                <w:sz w:val="22"/>
                <w:szCs w:val="22"/>
              </w:rPr>
              <w:t>15255</w:t>
            </w:r>
          </w:p>
        </w:tc>
      </w:tr>
      <w:tr w:rsidR="00DB474C" w:rsidRPr="00923500" w14:paraId="6EFFFC40"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DA6D94E"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lang w:val="ru-RU"/>
              </w:rPr>
              <w:t>Грибановский 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4EB63E5"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28600</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15642AE0"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14391</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3ECD8F51"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14209</w:t>
            </w:r>
          </w:p>
        </w:tc>
      </w:tr>
      <w:tr w:rsidR="00DB474C" w:rsidRPr="00923500" w14:paraId="5BC30F27"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D7D1DAE"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lang w:val="ru-RU"/>
              </w:rPr>
              <w:t>Калачеевский 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3E894EB"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47581</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3CA5ED30"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17445 3</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48920FB"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30136</w:t>
            </w:r>
          </w:p>
        </w:tc>
      </w:tr>
      <w:tr w:rsidR="00DB474C" w:rsidRPr="00923500" w14:paraId="10061C55"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529406E"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lang w:val="ru-RU"/>
              </w:rPr>
              <w:t>Каменский</w:t>
            </w:r>
            <w:r w:rsidRPr="00923500">
              <w:rPr>
                <w:rFonts w:ascii="Times New Roman" w:hAnsi="Times New Roman" w:cs="Times New Roman"/>
                <w:sz w:val="22"/>
                <w:szCs w:val="22"/>
              </w:rPr>
              <w:t xml:space="preserve"> </w:t>
            </w:r>
            <w:r w:rsidRPr="00923500">
              <w:rPr>
                <w:rFonts w:ascii="Times New Roman" w:hAnsi="Times New Roman" w:cs="Times New Roman"/>
                <w:sz w:val="22"/>
                <w:szCs w:val="22"/>
                <w:lang w:val="ru-RU"/>
              </w:rPr>
              <w:t>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A99A010"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17144</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29E796D"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7822</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4A52EED"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9322</w:t>
            </w:r>
          </w:p>
        </w:tc>
      </w:tr>
      <w:tr w:rsidR="00DB474C" w:rsidRPr="00923500" w14:paraId="537DEFB6"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579A160"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lang w:val="ru-RU"/>
              </w:rPr>
              <w:t>Кантемировский 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3630B811"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31731</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06123600"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10401</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03AE5EF8"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21330</w:t>
            </w:r>
          </w:p>
        </w:tc>
      </w:tr>
      <w:tr w:rsidR="00DB474C" w:rsidRPr="00923500" w14:paraId="410538F6"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1620BFC"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lang w:val="ru-RU"/>
              </w:rPr>
              <w:t>Каширский</w:t>
            </w:r>
            <w:r w:rsidRPr="00923500">
              <w:rPr>
                <w:rFonts w:ascii="Times New Roman" w:hAnsi="Times New Roman" w:cs="Times New Roman"/>
                <w:sz w:val="22"/>
                <w:szCs w:val="22"/>
              </w:rPr>
              <w:t xml:space="preserve"> </w:t>
            </w:r>
            <w:r w:rsidRPr="00923500">
              <w:rPr>
                <w:rFonts w:ascii="Times New Roman" w:hAnsi="Times New Roman" w:cs="Times New Roman"/>
                <w:sz w:val="22"/>
                <w:szCs w:val="22"/>
                <w:lang w:val="ru-RU"/>
              </w:rPr>
              <w:t>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972877B"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22533</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9C457B8"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eastAsia="Arial" w:hAnsi="Times New Roman" w:cs="Times New Roman"/>
                <w:sz w:val="22"/>
                <w:szCs w:val="22"/>
              </w:rPr>
              <w:t>-</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0C66061D"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22533</w:t>
            </w:r>
          </w:p>
        </w:tc>
      </w:tr>
      <w:tr w:rsidR="00DB474C" w:rsidRPr="00923500" w14:paraId="23666450"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0671894"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rPr>
              <w:t xml:space="preserve">Лискинский </w:t>
            </w:r>
            <w:r w:rsidRPr="00923500">
              <w:rPr>
                <w:rFonts w:ascii="Times New Roman" w:hAnsi="Times New Roman" w:cs="Times New Roman"/>
                <w:sz w:val="22"/>
                <w:szCs w:val="22"/>
                <w:lang w:val="ru-RU"/>
              </w:rPr>
              <w:t>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0E2685C3"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94311</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6E652D2"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56594</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D042758"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37717</w:t>
            </w:r>
          </w:p>
        </w:tc>
      </w:tr>
      <w:tr w:rsidR="00DB474C" w:rsidRPr="00923500" w14:paraId="795766B1"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A2328F4"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rPr>
              <w:t xml:space="preserve">Нижнедевицкий </w:t>
            </w:r>
            <w:r w:rsidRPr="00923500">
              <w:rPr>
                <w:rFonts w:ascii="Times New Roman" w:hAnsi="Times New Roman" w:cs="Times New Roman"/>
                <w:sz w:val="22"/>
                <w:szCs w:val="22"/>
                <w:lang w:val="ru-RU"/>
              </w:rPr>
              <w:t>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1E6F4F4"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17620</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34500617"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eastAsia="Arial" w:hAnsi="Times New Roman" w:cs="Times New Roman"/>
                <w:sz w:val="22"/>
                <w:szCs w:val="22"/>
              </w:rPr>
              <w:t>-</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D0664D6"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17620</w:t>
            </w:r>
          </w:p>
        </w:tc>
      </w:tr>
      <w:tr w:rsidR="00DB474C" w:rsidRPr="00923500" w14:paraId="7C8AD2AD"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90B855F"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rPr>
              <w:t xml:space="preserve">Новоусманский </w:t>
            </w:r>
            <w:r w:rsidRPr="00923500">
              <w:rPr>
                <w:rFonts w:ascii="Times New Roman" w:hAnsi="Times New Roman" w:cs="Times New Roman"/>
                <w:sz w:val="22"/>
                <w:szCs w:val="22"/>
                <w:lang w:val="ru-RU"/>
              </w:rPr>
              <w:t>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3A0844BC"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86554</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6A41B51D"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eastAsia="Arial" w:hAnsi="Times New Roman" w:cs="Times New Roman"/>
                <w:sz w:val="22"/>
                <w:szCs w:val="22"/>
              </w:rPr>
              <w:t>-</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5CE0B0C"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86554</w:t>
            </w:r>
          </w:p>
        </w:tc>
      </w:tr>
      <w:tr w:rsidR="00DB474C" w:rsidRPr="00923500" w14:paraId="5FFF6642"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4C138D8"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rPr>
              <w:t>Новохопёрский</w:t>
            </w:r>
            <w:r w:rsidRPr="00923500">
              <w:rPr>
                <w:rFonts w:ascii="Times New Roman" w:hAnsi="Times New Roman" w:cs="Times New Roman"/>
                <w:sz w:val="22"/>
                <w:szCs w:val="22"/>
                <w:lang w:val="ru-RU"/>
              </w:rPr>
              <w:t xml:space="preserve"> 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33AEBC5E"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36102</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517D2C67"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16776</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A1D457B"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19326</w:t>
            </w:r>
          </w:p>
        </w:tc>
      </w:tr>
      <w:tr w:rsidR="00DB474C" w:rsidRPr="00923500" w14:paraId="357CAC3B"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402E55D"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lang w:val="ru-RU"/>
              </w:rPr>
              <w:t>Ольховатский</w:t>
            </w:r>
            <w:r w:rsidRPr="00923500">
              <w:rPr>
                <w:rFonts w:ascii="Times New Roman" w:hAnsi="Times New Roman" w:cs="Times New Roman"/>
                <w:sz w:val="22"/>
                <w:szCs w:val="22"/>
              </w:rPr>
              <w:t xml:space="preserve"> </w:t>
            </w:r>
            <w:r w:rsidRPr="00923500">
              <w:rPr>
                <w:rFonts w:ascii="Times New Roman" w:hAnsi="Times New Roman" w:cs="Times New Roman"/>
                <w:sz w:val="22"/>
                <w:szCs w:val="22"/>
                <w:lang w:val="ru-RU"/>
              </w:rPr>
              <w:t>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5E26167F"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21681</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639EDAF"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3250</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76053D4"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18431</w:t>
            </w:r>
          </w:p>
        </w:tc>
      </w:tr>
      <w:tr w:rsidR="00DB474C" w:rsidRPr="00923500" w14:paraId="606892BF"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AE82077"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rPr>
              <w:t xml:space="preserve">Острогожский </w:t>
            </w:r>
            <w:r w:rsidRPr="00923500">
              <w:rPr>
                <w:rFonts w:ascii="Times New Roman" w:hAnsi="Times New Roman" w:cs="Times New Roman"/>
                <w:sz w:val="22"/>
                <w:szCs w:val="22"/>
                <w:lang w:val="ru-RU"/>
              </w:rPr>
              <w:t>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06321E38"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55008</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BBE0B88"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30974</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54CD3B4B"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24034</w:t>
            </w:r>
          </w:p>
        </w:tc>
      </w:tr>
      <w:tr w:rsidR="00DB474C" w:rsidRPr="00923500" w14:paraId="63614463"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6D295CF"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lang w:val="ru-RU"/>
              </w:rPr>
              <w:t>Павловский</w:t>
            </w:r>
            <w:r w:rsidRPr="00923500">
              <w:rPr>
                <w:rFonts w:ascii="Times New Roman" w:hAnsi="Times New Roman" w:cs="Times New Roman"/>
                <w:sz w:val="22"/>
                <w:szCs w:val="22"/>
              </w:rPr>
              <w:t xml:space="preserve"> </w:t>
            </w:r>
            <w:r w:rsidRPr="00923500">
              <w:rPr>
                <w:rFonts w:ascii="Times New Roman" w:hAnsi="Times New Roman" w:cs="Times New Roman"/>
                <w:sz w:val="22"/>
                <w:szCs w:val="22"/>
                <w:lang w:val="ru-RU"/>
              </w:rPr>
              <w:t>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7C9F9AB" w14:textId="77777777" w:rsidR="00DB474C" w:rsidRPr="00923500" w:rsidRDefault="00DB474C" w:rsidP="00DB474C">
            <w:pPr>
              <w:pStyle w:val="TableContents"/>
              <w:spacing w:line="276" w:lineRule="auto"/>
              <w:jc w:val="right"/>
              <w:rPr>
                <w:rFonts w:ascii="Times New Roman" w:hAnsi="Times New Roman" w:cs="Times New Roman"/>
                <w:sz w:val="22"/>
                <w:szCs w:val="22"/>
              </w:rPr>
            </w:pPr>
            <w:r w:rsidRPr="00923500">
              <w:rPr>
                <w:rFonts w:ascii="Times New Roman" w:hAnsi="Times New Roman" w:cs="Times New Roman"/>
                <w:sz w:val="22"/>
                <w:szCs w:val="22"/>
              </w:rPr>
              <w:t>51860</w:t>
            </w:r>
          </w:p>
          <w:p w14:paraId="1A7BFC4D"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18ACE19"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23813</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65114A6E"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28047</w:t>
            </w:r>
          </w:p>
        </w:tc>
      </w:tr>
      <w:tr w:rsidR="00DB474C" w:rsidRPr="00923500" w14:paraId="40C91226"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5896F6B"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rPr>
              <w:t xml:space="preserve">Панинский </w:t>
            </w:r>
            <w:r w:rsidRPr="00923500">
              <w:rPr>
                <w:rFonts w:ascii="Times New Roman" w:hAnsi="Times New Roman" w:cs="Times New Roman"/>
                <w:sz w:val="22"/>
                <w:szCs w:val="22"/>
                <w:lang w:val="ru-RU"/>
              </w:rPr>
              <w:t>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4843377"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24202</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EB71CAA"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8174</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51D3AE0D"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16028</w:t>
            </w:r>
          </w:p>
        </w:tc>
      </w:tr>
      <w:tr w:rsidR="00DB474C" w:rsidRPr="00923500" w14:paraId="0494BA9F"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CCA0515" w14:textId="77777777" w:rsidR="00DB474C" w:rsidRPr="00923500" w:rsidRDefault="00DB474C" w:rsidP="00DB474C">
            <w:pPr>
              <w:pStyle w:val="TableContents"/>
              <w:spacing w:line="276" w:lineRule="auto"/>
              <w:rPr>
                <w:rFonts w:ascii="Times New Roman" w:hAnsi="Times New Roman" w:cs="Times New Roman"/>
                <w:sz w:val="22"/>
                <w:szCs w:val="22"/>
              </w:rPr>
            </w:pPr>
            <w:r w:rsidRPr="00923500">
              <w:rPr>
                <w:rFonts w:ascii="Times New Roman" w:hAnsi="Times New Roman" w:cs="Times New Roman"/>
                <w:sz w:val="22"/>
                <w:szCs w:val="22"/>
                <w:lang w:val="ru-RU"/>
              </w:rPr>
              <w:t>Петропавловский</w:t>
            </w:r>
            <w:r w:rsidRPr="00923500">
              <w:rPr>
                <w:rFonts w:ascii="Times New Roman" w:hAnsi="Times New Roman" w:cs="Times New Roman"/>
                <w:sz w:val="22"/>
                <w:szCs w:val="22"/>
              </w:rPr>
              <w:t xml:space="preserve"> </w:t>
            </w:r>
            <w:r w:rsidRPr="00923500">
              <w:rPr>
                <w:rFonts w:ascii="Times New Roman" w:hAnsi="Times New Roman" w:cs="Times New Roman"/>
                <w:sz w:val="22"/>
                <w:szCs w:val="22"/>
                <w:lang w:val="ru-RU"/>
              </w:rPr>
              <w:t>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6D31E931"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16557</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ECBF2AA"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eastAsia="Arial" w:hAnsi="Times New Roman" w:cs="Times New Roman"/>
                <w:sz w:val="22"/>
                <w:szCs w:val="22"/>
              </w:rPr>
              <w:t>-</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612932F5"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16557</w:t>
            </w:r>
          </w:p>
        </w:tc>
      </w:tr>
      <w:tr w:rsidR="00DB474C" w:rsidRPr="00923500" w14:paraId="51E0C641"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8C82287"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lang w:val="ru-RU"/>
              </w:rPr>
              <w:t>Поворинский 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10E17ACC"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31070</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3530B136"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16666</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80B3AF0"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14404</w:t>
            </w:r>
          </w:p>
        </w:tc>
      </w:tr>
      <w:tr w:rsidR="00DB474C" w:rsidRPr="00923500" w14:paraId="4DA4EA69"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72286E0"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lang w:val="ru-RU"/>
              </w:rPr>
              <w:t>Подгоренский 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29D225B"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22945</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13BD4E0"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5501</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0F626AB9"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17444</w:t>
            </w:r>
          </w:p>
        </w:tc>
      </w:tr>
      <w:tr w:rsidR="00DB474C" w:rsidRPr="00923500" w14:paraId="6982A25A"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AC1A89E"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lang w:val="ru-RU"/>
              </w:rPr>
              <w:t>Рамонский 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026E9383"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37804</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671DC175"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8457</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B93A089"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29347</w:t>
            </w:r>
          </w:p>
        </w:tc>
      </w:tr>
      <w:tr w:rsidR="00DB474C" w:rsidRPr="00923500" w14:paraId="2CF4B88B"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39B36D4"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lang w:val="ru-RU"/>
              </w:rPr>
              <w:t>Репьёвский 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04933E95" w14:textId="77777777" w:rsidR="00DB474C" w:rsidRPr="00923500" w:rsidRDefault="00DB474C" w:rsidP="00DB474C">
            <w:pPr>
              <w:pStyle w:val="TableContents"/>
              <w:spacing w:line="276" w:lineRule="auto"/>
              <w:jc w:val="right"/>
              <w:rPr>
                <w:rFonts w:ascii="Times New Roman" w:hAnsi="Times New Roman" w:cs="Times New Roman"/>
                <w:sz w:val="22"/>
                <w:szCs w:val="22"/>
              </w:rPr>
            </w:pPr>
            <w:r w:rsidRPr="00923500">
              <w:rPr>
                <w:rFonts w:ascii="Times New Roman" w:hAnsi="Times New Roman" w:cs="Times New Roman"/>
                <w:sz w:val="22"/>
                <w:szCs w:val="22"/>
              </w:rPr>
              <w:t>15166</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1FD48C42" w14:textId="77777777" w:rsidR="00DB474C" w:rsidRPr="00923500" w:rsidRDefault="00DB474C" w:rsidP="00DB474C">
            <w:pPr>
              <w:pStyle w:val="TableContents"/>
              <w:spacing w:line="276" w:lineRule="auto"/>
              <w:jc w:val="right"/>
              <w:rPr>
                <w:rFonts w:ascii="Times New Roman" w:hAnsi="Times New Roman" w:cs="Times New Roman"/>
                <w:sz w:val="22"/>
                <w:szCs w:val="22"/>
              </w:rPr>
            </w:pPr>
            <w:r w:rsidRPr="00923500">
              <w:rPr>
                <w:rFonts w:ascii="Times New Roman" w:eastAsia="Arial" w:hAnsi="Times New Roman" w:cs="Times New Roman"/>
                <w:sz w:val="22"/>
                <w:szCs w:val="22"/>
              </w:rPr>
              <w:t>-</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3815874F"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15166</w:t>
            </w:r>
          </w:p>
        </w:tc>
      </w:tr>
      <w:tr w:rsidR="00DB474C" w:rsidRPr="00923500" w14:paraId="67787794"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35873FA"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lang w:val="ru-RU"/>
              </w:rPr>
              <w:t>Россошанский 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3366229A"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90171</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04A2D2F"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61849</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68B4499A"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28322</w:t>
            </w:r>
          </w:p>
        </w:tc>
      </w:tr>
      <w:tr w:rsidR="00DB474C" w:rsidRPr="00923500" w14:paraId="43588F19"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390526B"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lang w:val="ru-RU"/>
              </w:rPr>
              <w:t>Семилукский 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2B68AB2"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66947</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FF38E81"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38139</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DAEBB69"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28808</w:t>
            </w:r>
          </w:p>
        </w:tc>
      </w:tr>
      <w:tr w:rsidR="00DB474C" w:rsidRPr="00923500" w14:paraId="452D6AD2"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77697C3"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lang w:val="ru-RU"/>
              </w:rPr>
              <w:t>Таловский 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5BA8D9F9"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35877</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7BEFFE4"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10831</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56BD73E"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25046</w:t>
            </w:r>
          </w:p>
        </w:tc>
      </w:tr>
      <w:tr w:rsidR="00DB474C" w:rsidRPr="00923500" w14:paraId="3BDE0ADC"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A67D985"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lang w:val="ru-RU"/>
              </w:rPr>
              <w:t>Терновский 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D10BE58"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17475</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06634011"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eastAsia="Arial" w:hAnsi="Times New Roman" w:cs="Times New Roman"/>
                <w:sz w:val="22"/>
                <w:szCs w:val="22"/>
              </w:rPr>
              <w:t>-</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89D76A9"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17475</w:t>
            </w:r>
          </w:p>
        </w:tc>
      </w:tr>
      <w:tr w:rsidR="00DB474C" w:rsidRPr="00923500" w14:paraId="4EF51D2B"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0536F1D"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lang w:val="ru-RU"/>
              </w:rPr>
              <w:t>Хохольский 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BDA9988"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29585</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C40C2C1"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7706</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5B7C69D6"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21879</w:t>
            </w:r>
          </w:p>
        </w:tc>
      </w:tr>
      <w:tr w:rsidR="00DB474C" w:rsidRPr="00923500" w14:paraId="0BCBA33B" w14:textId="77777777" w:rsidTr="00DB474C">
        <w:trPr>
          <w:cantSplit/>
          <w:trHeight w:hRule="exact" w:val="284"/>
        </w:trPr>
        <w:tc>
          <w:tcPr>
            <w:tcW w:w="435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C6CE013" w14:textId="77777777" w:rsidR="00DB474C" w:rsidRPr="00923500" w:rsidRDefault="00DB474C" w:rsidP="00DB474C">
            <w:pPr>
              <w:pStyle w:val="TableContents"/>
              <w:spacing w:line="276" w:lineRule="auto"/>
              <w:rPr>
                <w:rFonts w:ascii="Times New Roman" w:hAnsi="Times New Roman" w:cs="Times New Roman"/>
                <w:sz w:val="22"/>
                <w:szCs w:val="22"/>
                <w:lang w:val="ru-RU"/>
              </w:rPr>
            </w:pPr>
            <w:r w:rsidRPr="00923500">
              <w:rPr>
                <w:rFonts w:ascii="Times New Roman" w:hAnsi="Times New Roman" w:cs="Times New Roman"/>
                <w:sz w:val="22"/>
                <w:szCs w:val="22"/>
                <w:lang w:val="ru-RU"/>
              </w:rPr>
              <w:t>Эртильский муниципальный район</w:t>
            </w:r>
          </w:p>
        </w:tc>
        <w:tc>
          <w:tcPr>
            <w:tcW w:w="15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67DD107E"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21235</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6CE9894"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9634</w:t>
            </w:r>
          </w:p>
        </w:tc>
        <w:tc>
          <w:tcPr>
            <w:tcW w:w="170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5EC02155" w14:textId="77777777" w:rsidR="00DB474C" w:rsidRPr="00923500" w:rsidRDefault="00DB474C" w:rsidP="00DB474C">
            <w:pPr>
              <w:pStyle w:val="TableContents"/>
              <w:spacing w:line="276" w:lineRule="auto"/>
              <w:jc w:val="right"/>
              <w:rPr>
                <w:rFonts w:ascii="Times New Roman" w:hAnsi="Times New Roman" w:cs="Times New Roman"/>
                <w:sz w:val="22"/>
                <w:szCs w:val="22"/>
                <w:lang w:val="ru-RU"/>
              </w:rPr>
            </w:pPr>
            <w:r w:rsidRPr="00923500">
              <w:rPr>
                <w:rFonts w:ascii="Times New Roman" w:hAnsi="Times New Roman" w:cs="Times New Roman"/>
                <w:sz w:val="22"/>
                <w:szCs w:val="22"/>
              </w:rPr>
              <w:t>11601</w:t>
            </w:r>
          </w:p>
        </w:tc>
      </w:tr>
    </w:tbl>
    <w:p w14:paraId="1E41D0BF" w14:textId="77777777" w:rsidR="00DB474C" w:rsidRPr="002F245A" w:rsidRDefault="00DB474C" w:rsidP="00DB474C">
      <w:pPr>
        <w:pStyle w:val="Standard"/>
        <w:spacing w:before="120" w:line="276" w:lineRule="auto"/>
        <w:ind w:firstLine="708"/>
        <w:jc w:val="both"/>
        <w:rPr>
          <w:kern w:val="0"/>
          <w:sz w:val="26"/>
          <w:szCs w:val="26"/>
        </w:rPr>
      </w:pPr>
      <w:r w:rsidRPr="002F245A">
        <w:rPr>
          <w:kern w:val="0"/>
          <w:sz w:val="26"/>
          <w:szCs w:val="26"/>
        </w:rPr>
        <w:t xml:space="preserve">По результатам </w:t>
      </w:r>
      <w:r w:rsidRPr="00006736">
        <w:rPr>
          <w:kern w:val="0"/>
          <w:sz w:val="26"/>
          <w:szCs w:val="26"/>
        </w:rPr>
        <w:t>таблицы 3.1.2.1</w:t>
      </w:r>
      <w:r w:rsidRPr="002F245A">
        <w:rPr>
          <w:kern w:val="0"/>
          <w:sz w:val="26"/>
          <w:szCs w:val="26"/>
        </w:rPr>
        <w:t xml:space="preserve"> видно, что самый малочисленный по населению муниципальный район Воронежской области - Репьевский (15 </w:t>
      </w:r>
      <w:r>
        <w:rPr>
          <w:kern w:val="0"/>
          <w:sz w:val="26"/>
          <w:szCs w:val="26"/>
        </w:rPr>
        <w:t>166</w:t>
      </w:r>
      <w:r w:rsidRPr="002F245A">
        <w:rPr>
          <w:kern w:val="0"/>
          <w:sz w:val="26"/>
          <w:szCs w:val="26"/>
        </w:rPr>
        <w:t xml:space="preserve"> человек), чуть больше населения в Воробьевском районе (</w:t>
      </w:r>
      <w:r w:rsidRPr="002F245A">
        <w:rPr>
          <w:rFonts w:eastAsia="Arial"/>
          <w:sz w:val="26"/>
          <w:szCs w:val="26"/>
        </w:rPr>
        <w:t xml:space="preserve">15 </w:t>
      </w:r>
      <w:r>
        <w:rPr>
          <w:rFonts w:eastAsia="Arial"/>
          <w:sz w:val="26"/>
          <w:szCs w:val="26"/>
        </w:rPr>
        <w:t>255</w:t>
      </w:r>
      <w:r w:rsidRPr="002F245A">
        <w:rPr>
          <w:kern w:val="0"/>
          <w:sz w:val="26"/>
          <w:szCs w:val="26"/>
        </w:rPr>
        <w:t xml:space="preserve"> человек), в Петропавловском районе 16 </w:t>
      </w:r>
      <w:r>
        <w:rPr>
          <w:kern w:val="0"/>
          <w:sz w:val="26"/>
          <w:szCs w:val="26"/>
        </w:rPr>
        <w:t>557</w:t>
      </w:r>
      <w:r w:rsidRPr="002F245A">
        <w:rPr>
          <w:kern w:val="0"/>
          <w:sz w:val="26"/>
          <w:szCs w:val="26"/>
        </w:rPr>
        <w:t xml:space="preserve"> человек, в Каменском- </w:t>
      </w:r>
      <w:r>
        <w:rPr>
          <w:rFonts w:eastAsia="Arial"/>
          <w:sz w:val="26"/>
          <w:szCs w:val="26"/>
        </w:rPr>
        <w:t>17 144</w:t>
      </w:r>
      <w:r w:rsidRPr="002F245A">
        <w:rPr>
          <w:kern w:val="0"/>
          <w:sz w:val="26"/>
          <w:szCs w:val="26"/>
        </w:rPr>
        <w:t xml:space="preserve"> человек. Самым большим районом по численности населения оказался Лискинский район (9</w:t>
      </w:r>
      <w:r>
        <w:rPr>
          <w:kern w:val="0"/>
          <w:sz w:val="26"/>
          <w:szCs w:val="26"/>
        </w:rPr>
        <w:t>4</w:t>
      </w:r>
      <w:r w:rsidRPr="002F245A">
        <w:rPr>
          <w:kern w:val="0"/>
          <w:sz w:val="26"/>
          <w:szCs w:val="26"/>
        </w:rPr>
        <w:t xml:space="preserve"> </w:t>
      </w:r>
      <w:r>
        <w:rPr>
          <w:kern w:val="0"/>
          <w:sz w:val="26"/>
          <w:szCs w:val="26"/>
        </w:rPr>
        <w:t>311</w:t>
      </w:r>
      <w:r w:rsidRPr="002F245A">
        <w:rPr>
          <w:kern w:val="0"/>
          <w:sz w:val="26"/>
          <w:szCs w:val="26"/>
        </w:rPr>
        <w:t xml:space="preserve"> человек), далее Россошанский район (9</w:t>
      </w:r>
      <w:r>
        <w:rPr>
          <w:kern w:val="0"/>
          <w:sz w:val="26"/>
          <w:szCs w:val="26"/>
        </w:rPr>
        <w:t>0</w:t>
      </w:r>
      <w:r w:rsidRPr="002F245A">
        <w:rPr>
          <w:kern w:val="0"/>
          <w:sz w:val="26"/>
          <w:szCs w:val="26"/>
        </w:rPr>
        <w:t xml:space="preserve"> </w:t>
      </w:r>
      <w:r>
        <w:rPr>
          <w:kern w:val="0"/>
          <w:sz w:val="26"/>
          <w:szCs w:val="26"/>
        </w:rPr>
        <w:t>171</w:t>
      </w:r>
      <w:r w:rsidRPr="002F245A">
        <w:rPr>
          <w:kern w:val="0"/>
          <w:sz w:val="26"/>
          <w:szCs w:val="26"/>
        </w:rPr>
        <w:t xml:space="preserve"> человек), на третьем месте Новоусманский район (</w:t>
      </w:r>
      <w:r w:rsidRPr="002F245A">
        <w:rPr>
          <w:rFonts w:eastAsia="Arial"/>
          <w:sz w:val="26"/>
          <w:szCs w:val="26"/>
        </w:rPr>
        <w:t xml:space="preserve">86 </w:t>
      </w:r>
      <w:r>
        <w:rPr>
          <w:rFonts w:eastAsia="Arial"/>
          <w:sz w:val="26"/>
          <w:szCs w:val="26"/>
        </w:rPr>
        <w:t>554</w:t>
      </w:r>
      <w:r w:rsidRPr="002F245A">
        <w:rPr>
          <w:kern w:val="0"/>
          <w:sz w:val="26"/>
          <w:szCs w:val="26"/>
        </w:rPr>
        <w:t xml:space="preserve"> человек).</w:t>
      </w:r>
    </w:p>
    <w:p w14:paraId="5DF1FFB5" w14:textId="77777777" w:rsidR="00DB474C" w:rsidRPr="00D5476D" w:rsidRDefault="00DB474C" w:rsidP="00DB474C">
      <w:pPr>
        <w:spacing w:after="0" w:line="276" w:lineRule="auto"/>
        <w:ind w:firstLine="709"/>
        <w:jc w:val="both"/>
        <w:rPr>
          <w:rFonts w:ascii="Times New Roman" w:hAnsi="Times New Roman" w:cs="Times New Roman"/>
          <w:sz w:val="26"/>
          <w:szCs w:val="26"/>
        </w:rPr>
      </w:pPr>
      <w:r w:rsidRPr="00E22D1F">
        <w:rPr>
          <w:rFonts w:ascii="Times New Roman" w:hAnsi="Times New Roman" w:cs="Times New Roman"/>
          <w:sz w:val="26"/>
          <w:szCs w:val="26"/>
        </w:rPr>
        <w:t xml:space="preserve">В течение года в области по-прежнему наблюдалась </w:t>
      </w:r>
      <w:r w:rsidRPr="00E22D1F">
        <w:rPr>
          <w:rFonts w:ascii="Times New Roman" w:hAnsi="Times New Roman" w:cs="Times New Roman"/>
          <w:i/>
          <w:sz w:val="26"/>
          <w:szCs w:val="26"/>
        </w:rPr>
        <w:t>естественная убыль населения</w:t>
      </w:r>
      <w:r w:rsidRPr="00E22D1F">
        <w:rPr>
          <w:rFonts w:ascii="Times New Roman" w:hAnsi="Times New Roman" w:cs="Times New Roman"/>
          <w:sz w:val="26"/>
          <w:szCs w:val="26"/>
        </w:rPr>
        <w:t>, которая увеличилась против 2020 года почти в 1</w:t>
      </w:r>
      <w:r>
        <w:rPr>
          <w:rFonts w:ascii="Times New Roman" w:hAnsi="Times New Roman" w:cs="Times New Roman"/>
          <w:sz w:val="26"/>
          <w:szCs w:val="26"/>
        </w:rPr>
        <w:t>,</w:t>
      </w:r>
      <w:r w:rsidRPr="00E22D1F">
        <w:rPr>
          <w:rFonts w:ascii="Times New Roman" w:hAnsi="Times New Roman" w:cs="Times New Roman"/>
          <w:sz w:val="26"/>
          <w:szCs w:val="26"/>
        </w:rPr>
        <w:t xml:space="preserve">5 раза. </w:t>
      </w:r>
      <w:r w:rsidRPr="00E22D1F">
        <w:rPr>
          <w:rFonts w:ascii="Times New Roman" w:hAnsi="Times New Roman" w:cs="Times New Roman"/>
          <w:i/>
          <w:sz w:val="26"/>
          <w:szCs w:val="26"/>
        </w:rPr>
        <w:t>Число родившихся</w:t>
      </w:r>
      <w:r w:rsidRPr="00E22D1F">
        <w:rPr>
          <w:rFonts w:ascii="Times New Roman" w:hAnsi="Times New Roman" w:cs="Times New Roman"/>
          <w:sz w:val="26"/>
          <w:szCs w:val="26"/>
        </w:rPr>
        <w:t xml:space="preserve"> снизилось на </w:t>
      </w:r>
      <w:r>
        <w:rPr>
          <w:rFonts w:ascii="Times New Roman" w:hAnsi="Times New Roman" w:cs="Times New Roman"/>
          <w:sz w:val="26"/>
          <w:szCs w:val="26"/>
        </w:rPr>
        <w:t>3%</w:t>
      </w:r>
      <w:r w:rsidRPr="00E22D1F">
        <w:rPr>
          <w:rFonts w:ascii="Times New Roman" w:hAnsi="Times New Roman" w:cs="Times New Roman"/>
          <w:sz w:val="26"/>
          <w:szCs w:val="26"/>
        </w:rPr>
        <w:t xml:space="preserve"> и составило 18</w:t>
      </w:r>
      <w:r>
        <w:rPr>
          <w:rFonts w:ascii="Times New Roman" w:hAnsi="Times New Roman" w:cs="Times New Roman"/>
          <w:sz w:val="26"/>
          <w:szCs w:val="26"/>
        </w:rPr>
        <w:t>,</w:t>
      </w:r>
      <w:r w:rsidRPr="00E22D1F">
        <w:rPr>
          <w:rFonts w:ascii="Times New Roman" w:hAnsi="Times New Roman" w:cs="Times New Roman"/>
          <w:sz w:val="26"/>
          <w:szCs w:val="26"/>
        </w:rPr>
        <w:t xml:space="preserve">6 тыс. младенцев. </w:t>
      </w:r>
      <w:r w:rsidRPr="00E22D1F">
        <w:rPr>
          <w:rFonts w:ascii="Times New Roman" w:hAnsi="Times New Roman" w:cs="Times New Roman"/>
          <w:i/>
          <w:sz w:val="26"/>
          <w:szCs w:val="26"/>
        </w:rPr>
        <w:t>Коэффициент рождаемости</w:t>
      </w:r>
      <w:r w:rsidRPr="00E22D1F">
        <w:rPr>
          <w:rFonts w:ascii="Times New Roman" w:hAnsi="Times New Roman" w:cs="Times New Roman"/>
          <w:sz w:val="26"/>
          <w:szCs w:val="26"/>
        </w:rPr>
        <w:t xml:space="preserve"> снизился с 8</w:t>
      </w:r>
      <w:r>
        <w:rPr>
          <w:rFonts w:ascii="Times New Roman" w:hAnsi="Times New Roman" w:cs="Times New Roman"/>
          <w:sz w:val="26"/>
          <w:szCs w:val="26"/>
        </w:rPr>
        <w:t>,</w:t>
      </w:r>
      <w:r w:rsidRPr="00E22D1F">
        <w:rPr>
          <w:rFonts w:ascii="Times New Roman" w:hAnsi="Times New Roman" w:cs="Times New Roman"/>
          <w:sz w:val="26"/>
          <w:szCs w:val="26"/>
        </w:rPr>
        <w:t>3 до 8</w:t>
      </w:r>
      <w:r>
        <w:rPr>
          <w:rFonts w:ascii="Times New Roman" w:hAnsi="Times New Roman" w:cs="Times New Roman"/>
          <w:sz w:val="26"/>
          <w:szCs w:val="26"/>
        </w:rPr>
        <w:t>,</w:t>
      </w:r>
      <w:r w:rsidRPr="00E22D1F">
        <w:rPr>
          <w:rFonts w:ascii="Times New Roman" w:hAnsi="Times New Roman" w:cs="Times New Roman"/>
          <w:sz w:val="26"/>
          <w:szCs w:val="26"/>
        </w:rPr>
        <w:t xml:space="preserve">1 промилле. </w:t>
      </w:r>
      <w:r w:rsidRPr="00E22D1F">
        <w:rPr>
          <w:rFonts w:ascii="Times New Roman" w:hAnsi="Times New Roman" w:cs="Times New Roman"/>
          <w:i/>
          <w:sz w:val="26"/>
          <w:szCs w:val="26"/>
        </w:rPr>
        <w:t>Смертность</w:t>
      </w:r>
      <w:r w:rsidRPr="00E22D1F">
        <w:rPr>
          <w:rFonts w:ascii="Times New Roman" w:hAnsi="Times New Roman" w:cs="Times New Roman"/>
          <w:sz w:val="26"/>
          <w:szCs w:val="26"/>
        </w:rPr>
        <w:t xml:space="preserve"> населения по сравнению с 2020 годом возросла на 21</w:t>
      </w:r>
      <w:r>
        <w:rPr>
          <w:rFonts w:ascii="Times New Roman" w:hAnsi="Times New Roman" w:cs="Times New Roman"/>
          <w:sz w:val="26"/>
          <w:szCs w:val="26"/>
        </w:rPr>
        <w:t>,</w:t>
      </w:r>
      <w:r w:rsidRPr="00E22D1F">
        <w:rPr>
          <w:rFonts w:ascii="Times New Roman" w:hAnsi="Times New Roman" w:cs="Times New Roman"/>
          <w:sz w:val="26"/>
          <w:szCs w:val="26"/>
        </w:rPr>
        <w:t>8</w:t>
      </w:r>
      <w:r>
        <w:rPr>
          <w:rFonts w:ascii="Times New Roman" w:hAnsi="Times New Roman" w:cs="Times New Roman"/>
          <w:sz w:val="26"/>
          <w:szCs w:val="26"/>
        </w:rPr>
        <w:t>%</w:t>
      </w:r>
      <w:r w:rsidRPr="00E22D1F">
        <w:rPr>
          <w:rFonts w:ascii="Times New Roman" w:hAnsi="Times New Roman" w:cs="Times New Roman"/>
          <w:sz w:val="26"/>
          <w:szCs w:val="26"/>
        </w:rPr>
        <w:t xml:space="preserve"> и составила 46</w:t>
      </w:r>
      <w:r>
        <w:rPr>
          <w:rFonts w:ascii="Times New Roman" w:hAnsi="Times New Roman" w:cs="Times New Roman"/>
          <w:sz w:val="26"/>
          <w:szCs w:val="26"/>
        </w:rPr>
        <w:t>,</w:t>
      </w:r>
      <w:r w:rsidRPr="00E22D1F">
        <w:rPr>
          <w:rFonts w:ascii="Times New Roman" w:hAnsi="Times New Roman" w:cs="Times New Roman"/>
          <w:sz w:val="26"/>
          <w:szCs w:val="26"/>
        </w:rPr>
        <w:t xml:space="preserve">5 тыс. человек. </w:t>
      </w:r>
      <w:r w:rsidRPr="00E22D1F">
        <w:rPr>
          <w:rFonts w:ascii="Times New Roman" w:hAnsi="Times New Roman" w:cs="Times New Roman"/>
          <w:i/>
          <w:sz w:val="26"/>
          <w:szCs w:val="26"/>
        </w:rPr>
        <w:t>Общий коэффициент смертности</w:t>
      </w:r>
      <w:r w:rsidRPr="00E22D1F">
        <w:rPr>
          <w:rFonts w:ascii="Times New Roman" w:hAnsi="Times New Roman" w:cs="Times New Roman"/>
          <w:sz w:val="26"/>
          <w:szCs w:val="26"/>
        </w:rPr>
        <w:t xml:space="preserve"> увеличился с 16</w:t>
      </w:r>
      <w:r>
        <w:rPr>
          <w:rFonts w:ascii="Times New Roman" w:hAnsi="Times New Roman" w:cs="Times New Roman"/>
          <w:sz w:val="26"/>
          <w:szCs w:val="26"/>
        </w:rPr>
        <w:t>,</w:t>
      </w:r>
      <w:r w:rsidRPr="00E22D1F">
        <w:rPr>
          <w:rFonts w:ascii="Times New Roman" w:hAnsi="Times New Roman" w:cs="Times New Roman"/>
          <w:sz w:val="26"/>
          <w:szCs w:val="26"/>
        </w:rPr>
        <w:t>5 до 20</w:t>
      </w:r>
      <w:r>
        <w:rPr>
          <w:rFonts w:ascii="Times New Roman" w:hAnsi="Times New Roman" w:cs="Times New Roman"/>
          <w:sz w:val="26"/>
          <w:szCs w:val="26"/>
        </w:rPr>
        <w:t>,</w:t>
      </w:r>
      <w:r w:rsidRPr="00E22D1F">
        <w:rPr>
          <w:rFonts w:ascii="Times New Roman" w:hAnsi="Times New Roman" w:cs="Times New Roman"/>
          <w:sz w:val="26"/>
          <w:szCs w:val="26"/>
        </w:rPr>
        <w:t xml:space="preserve">3 промилле. В возрасте до 1 года </w:t>
      </w:r>
      <w:r w:rsidRPr="00451D25">
        <w:rPr>
          <w:rFonts w:ascii="Times New Roman" w:hAnsi="Times New Roman" w:cs="Times New Roman"/>
          <w:sz w:val="26"/>
          <w:szCs w:val="26"/>
        </w:rPr>
        <w:t xml:space="preserve">умер 81 ребенок. </w:t>
      </w:r>
      <w:r w:rsidRPr="00451D25">
        <w:rPr>
          <w:rFonts w:ascii="Times New Roman" w:hAnsi="Times New Roman" w:cs="Times New Roman"/>
          <w:i/>
          <w:sz w:val="26"/>
          <w:szCs w:val="26"/>
        </w:rPr>
        <w:t>Коэффициент младенческой смертности</w:t>
      </w:r>
      <w:r w:rsidRPr="00451D25">
        <w:rPr>
          <w:rFonts w:ascii="Times New Roman" w:hAnsi="Times New Roman" w:cs="Times New Roman"/>
          <w:sz w:val="26"/>
          <w:szCs w:val="26"/>
        </w:rPr>
        <w:t xml:space="preserve"> возрос с 3,6 до 4,3 промилле</w:t>
      </w:r>
      <w:r w:rsidRPr="00451D25">
        <w:rPr>
          <w:rStyle w:val="af2"/>
          <w:rFonts w:ascii="Times New Roman" w:hAnsi="Times New Roman" w:cs="Times New Roman"/>
          <w:sz w:val="26"/>
          <w:szCs w:val="26"/>
        </w:rPr>
        <w:t xml:space="preserve"> </w:t>
      </w:r>
      <w:r w:rsidRPr="00451D25">
        <w:rPr>
          <w:rStyle w:val="af2"/>
          <w:rFonts w:ascii="Times New Roman" w:hAnsi="Times New Roman" w:cs="Times New Roman"/>
          <w:sz w:val="26"/>
          <w:szCs w:val="26"/>
        </w:rPr>
        <w:footnoteReference w:id="38"/>
      </w:r>
      <w:r w:rsidRPr="00451D25">
        <w:rPr>
          <w:rFonts w:ascii="Times New Roman" w:hAnsi="Times New Roman" w:cs="Times New Roman"/>
          <w:sz w:val="26"/>
          <w:szCs w:val="26"/>
        </w:rPr>
        <w:t xml:space="preserve">. </w:t>
      </w:r>
      <w:r w:rsidRPr="00451D25">
        <w:rPr>
          <w:rFonts w:ascii="Times New Roman" w:hAnsi="Times New Roman" w:cs="Times New Roman"/>
          <w:i/>
          <w:sz w:val="26"/>
          <w:szCs w:val="26"/>
        </w:rPr>
        <w:t>Миграционный прирост</w:t>
      </w:r>
      <w:r w:rsidRPr="00451D25">
        <w:rPr>
          <w:rFonts w:ascii="Times New Roman" w:hAnsi="Times New Roman" w:cs="Times New Roman"/>
          <w:sz w:val="26"/>
          <w:szCs w:val="26"/>
        </w:rPr>
        <w:t xml:space="preserve"> населения области по сравнению с 2020 годом увеличился в 11</w:t>
      </w:r>
      <w:r>
        <w:rPr>
          <w:rFonts w:ascii="Times New Roman" w:hAnsi="Times New Roman" w:cs="Times New Roman"/>
          <w:sz w:val="26"/>
          <w:szCs w:val="26"/>
        </w:rPr>
        <w:t>,</w:t>
      </w:r>
      <w:r w:rsidRPr="00451D25">
        <w:rPr>
          <w:rFonts w:ascii="Times New Roman" w:hAnsi="Times New Roman" w:cs="Times New Roman"/>
          <w:sz w:val="26"/>
          <w:szCs w:val="26"/>
        </w:rPr>
        <w:t>9 раза. Миграционный прирост из стран СНГ увеличился в 11</w:t>
      </w:r>
      <w:r>
        <w:rPr>
          <w:rFonts w:ascii="Times New Roman" w:hAnsi="Times New Roman" w:cs="Times New Roman"/>
          <w:sz w:val="26"/>
          <w:szCs w:val="26"/>
        </w:rPr>
        <w:t>,</w:t>
      </w:r>
      <w:r w:rsidRPr="00451D25">
        <w:rPr>
          <w:rFonts w:ascii="Times New Roman" w:hAnsi="Times New Roman" w:cs="Times New Roman"/>
          <w:sz w:val="26"/>
          <w:szCs w:val="26"/>
        </w:rPr>
        <w:t>7 раза. В общей численности прибывших наиболее значительный приток мигрантов наблюдался с Украины (23</w:t>
      </w:r>
      <w:r>
        <w:rPr>
          <w:rFonts w:ascii="Times New Roman" w:hAnsi="Times New Roman" w:cs="Times New Roman"/>
          <w:sz w:val="26"/>
          <w:szCs w:val="26"/>
        </w:rPr>
        <w:t>,</w:t>
      </w:r>
      <w:r w:rsidRPr="00451D25">
        <w:rPr>
          <w:rFonts w:ascii="Times New Roman" w:hAnsi="Times New Roman" w:cs="Times New Roman"/>
          <w:sz w:val="26"/>
          <w:szCs w:val="26"/>
        </w:rPr>
        <w:t>7%), из Казахстана (18</w:t>
      </w:r>
      <w:r>
        <w:rPr>
          <w:rFonts w:ascii="Times New Roman" w:hAnsi="Times New Roman" w:cs="Times New Roman"/>
          <w:sz w:val="26"/>
          <w:szCs w:val="26"/>
        </w:rPr>
        <w:t>,</w:t>
      </w:r>
      <w:r w:rsidRPr="00451D25">
        <w:rPr>
          <w:rFonts w:ascii="Times New Roman" w:hAnsi="Times New Roman" w:cs="Times New Roman"/>
          <w:sz w:val="26"/>
          <w:szCs w:val="26"/>
        </w:rPr>
        <w:t>2</w:t>
      </w:r>
      <w:r w:rsidRPr="00D5476D">
        <w:rPr>
          <w:rFonts w:ascii="Times New Roman" w:hAnsi="Times New Roman" w:cs="Times New Roman"/>
          <w:sz w:val="26"/>
          <w:szCs w:val="26"/>
        </w:rPr>
        <w:t>%), Таджикистана (16,5%), Туркмении (12,2%), Армении (9,5%) и Узбекистана (6,6%). В обмене мигрантами в пределах России число прибывших на 3,9% больше, чем выбывших</w:t>
      </w:r>
      <w:r w:rsidRPr="00D5476D">
        <w:rPr>
          <w:rStyle w:val="af2"/>
          <w:rFonts w:ascii="Times New Roman" w:hAnsi="Times New Roman" w:cs="Times New Roman"/>
          <w:sz w:val="26"/>
          <w:szCs w:val="26"/>
        </w:rPr>
        <w:footnoteReference w:id="39"/>
      </w:r>
      <w:r w:rsidRPr="00D5476D">
        <w:rPr>
          <w:rFonts w:ascii="Times New Roman" w:hAnsi="Times New Roman" w:cs="Times New Roman"/>
          <w:sz w:val="26"/>
          <w:szCs w:val="26"/>
        </w:rPr>
        <w:t>.</w:t>
      </w:r>
    </w:p>
    <w:p w14:paraId="27EBB82B" w14:textId="77777777" w:rsidR="00DB474C" w:rsidRPr="00D5476D" w:rsidRDefault="00DB474C" w:rsidP="00DB474C">
      <w:pPr>
        <w:spacing w:after="0" w:line="276" w:lineRule="auto"/>
        <w:ind w:firstLine="709"/>
        <w:jc w:val="both"/>
        <w:rPr>
          <w:rFonts w:ascii="Times New Roman" w:hAnsi="Times New Roman" w:cs="Times New Roman"/>
          <w:sz w:val="26"/>
          <w:szCs w:val="26"/>
        </w:rPr>
      </w:pPr>
      <w:r w:rsidRPr="00D5476D">
        <w:rPr>
          <w:rFonts w:ascii="Times New Roman" w:hAnsi="Times New Roman" w:cs="Times New Roman"/>
          <w:sz w:val="26"/>
          <w:szCs w:val="26"/>
        </w:rPr>
        <w:t xml:space="preserve">В 2021 году </w:t>
      </w:r>
      <w:r w:rsidRPr="00D5476D">
        <w:rPr>
          <w:rFonts w:ascii="Times New Roman" w:hAnsi="Times New Roman" w:cs="Times New Roman"/>
          <w:i/>
          <w:sz w:val="26"/>
          <w:szCs w:val="26"/>
        </w:rPr>
        <w:t>денежные доходы</w:t>
      </w:r>
      <w:r w:rsidRPr="00D5476D">
        <w:rPr>
          <w:rFonts w:ascii="Times New Roman" w:hAnsi="Times New Roman" w:cs="Times New Roman"/>
          <w:sz w:val="26"/>
          <w:szCs w:val="26"/>
        </w:rPr>
        <w:t xml:space="preserve"> населения области сложились в сумме 968,3 млрд рублей и увеличились по сравнению с 2020 годом на 8,7</w:t>
      </w:r>
      <w:r w:rsidRPr="00D5476D">
        <w:rPr>
          <w:rFonts w:ascii="Times New Roman" w:hAnsi="Times New Roman" w:cs="Times New Roman"/>
          <w:i/>
          <w:sz w:val="26"/>
          <w:szCs w:val="26"/>
        </w:rPr>
        <w:t>%. Ежемесячный среднедушевой денежный доход</w:t>
      </w:r>
      <w:r w:rsidRPr="00D5476D">
        <w:rPr>
          <w:rFonts w:ascii="Times New Roman" w:hAnsi="Times New Roman" w:cs="Times New Roman"/>
          <w:sz w:val="26"/>
          <w:szCs w:val="26"/>
        </w:rPr>
        <w:t xml:space="preserve"> за отчетный период составил 34999,6 рубля и увеличился по сравнению с предыдущим годом на 9,1%. </w:t>
      </w:r>
      <w:r w:rsidRPr="00D5476D">
        <w:rPr>
          <w:rFonts w:ascii="Times New Roman" w:hAnsi="Times New Roman" w:cs="Times New Roman"/>
          <w:i/>
          <w:sz w:val="26"/>
          <w:szCs w:val="26"/>
        </w:rPr>
        <w:t>Реальные денежные доходы</w:t>
      </w:r>
      <w:r w:rsidRPr="00D5476D">
        <w:rPr>
          <w:rFonts w:ascii="Times New Roman" w:hAnsi="Times New Roman" w:cs="Times New Roman"/>
          <w:sz w:val="26"/>
          <w:szCs w:val="26"/>
        </w:rPr>
        <w:t xml:space="preserve"> (денежные доходы, скорректированные на индекс потребительских цен) в 2021 году в целом по сравнению с предыдущим годом увеличились на 0,4%</w:t>
      </w:r>
      <w:r w:rsidRPr="00D5476D">
        <w:rPr>
          <w:rStyle w:val="af2"/>
          <w:rFonts w:ascii="Times New Roman" w:hAnsi="Times New Roman" w:cs="Times New Roman"/>
          <w:sz w:val="26"/>
          <w:szCs w:val="26"/>
        </w:rPr>
        <w:footnoteReference w:id="40"/>
      </w:r>
      <w:r w:rsidRPr="00D5476D">
        <w:rPr>
          <w:rFonts w:ascii="Times New Roman" w:hAnsi="Times New Roman" w:cs="Times New Roman"/>
          <w:sz w:val="26"/>
          <w:szCs w:val="26"/>
        </w:rPr>
        <w:t>.</w:t>
      </w:r>
    </w:p>
    <w:p w14:paraId="1905154D" w14:textId="77777777" w:rsidR="00DB474C" w:rsidRPr="00D5476D" w:rsidRDefault="00DB474C" w:rsidP="00DB474C">
      <w:pPr>
        <w:spacing w:after="0" w:line="276" w:lineRule="auto"/>
        <w:ind w:firstLine="709"/>
        <w:jc w:val="both"/>
        <w:rPr>
          <w:rFonts w:ascii="Times New Roman" w:hAnsi="Times New Roman" w:cs="Times New Roman"/>
          <w:sz w:val="26"/>
          <w:szCs w:val="26"/>
        </w:rPr>
      </w:pPr>
      <w:r w:rsidRPr="00D5476D">
        <w:rPr>
          <w:rFonts w:ascii="Times New Roman" w:hAnsi="Times New Roman" w:cs="Times New Roman"/>
          <w:i/>
          <w:sz w:val="26"/>
          <w:szCs w:val="26"/>
        </w:rPr>
        <w:t>Среднемесячная номинальная начисленная заработная плата</w:t>
      </w:r>
      <w:r w:rsidRPr="00D5476D">
        <w:rPr>
          <w:rFonts w:ascii="Times New Roman" w:hAnsi="Times New Roman" w:cs="Times New Roman"/>
          <w:sz w:val="26"/>
          <w:szCs w:val="26"/>
        </w:rPr>
        <w:t xml:space="preserve"> работника в 2021 году составила 40875,7 рубля, что на 12,3% больше, чем за 2020 год</w:t>
      </w:r>
      <w:r w:rsidRPr="00D5476D">
        <w:rPr>
          <w:rStyle w:val="af2"/>
          <w:rFonts w:ascii="Times New Roman" w:hAnsi="Times New Roman" w:cs="Times New Roman"/>
          <w:sz w:val="26"/>
          <w:szCs w:val="26"/>
        </w:rPr>
        <w:footnoteReference w:id="41"/>
      </w:r>
      <w:r w:rsidRPr="00D5476D">
        <w:rPr>
          <w:rFonts w:ascii="Times New Roman" w:hAnsi="Times New Roman" w:cs="Times New Roman"/>
          <w:sz w:val="26"/>
          <w:szCs w:val="26"/>
        </w:rPr>
        <w:t>.</w:t>
      </w:r>
    </w:p>
    <w:p w14:paraId="730EEFFB" w14:textId="77777777" w:rsidR="00DB474C" w:rsidRPr="00D5476D" w:rsidRDefault="00DB474C" w:rsidP="00DB474C">
      <w:pPr>
        <w:spacing w:after="0" w:line="276" w:lineRule="auto"/>
        <w:ind w:firstLine="709"/>
        <w:jc w:val="both"/>
        <w:rPr>
          <w:rFonts w:ascii="Times New Roman" w:hAnsi="Times New Roman" w:cs="Times New Roman"/>
          <w:sz w:val="26"/>
          <w:szCs w:val="26"/>
        </w:rPr>
      </w:pPr>
      <w:r w:rsidRPr="00D5476D">
        <w:rPr>
          <w:rFonts w:ascii="Times New Roman" w:hAnsi="Times New Roman" w:cs="Times New Roman"/>
          <w:sz w:val="26"/>
          <w:szCs w:val="26"/>
        </w:rPr>
        <w:t xml:space="preserve">По данным отделения Пенсионного фонда Российской Федерации по Воронежской области, на 1 января 2022 года средний размер назначенных </w:t>
      </w:r>
      <w:r w:rsidRPr="00D5476D">
        <w:rPr>
          <w:rFonts w:ascii="Times New Roman" w:hAnsi="Times New Roman" w:cs="Times New Roman"/>
          <w:i/>
          <w:sz w:val="26"/>
          <w:szCs w:val="26"/>
        </w:rPr>
        <w:t>пенсий</w:t>
      </w:r>
      <w:r w:rsidRPr="00D5476D">
        <w:rPr>
          <w:rFonts w:ascii="Times New Roman" w:hAnsi="Times New Roman" w:cs="Times New Roman"/>
          <w:sz w:val="26"/>
          <w:szCs w:val="26"/>
        </w:rPr>
        <w:t xml:space="preserve"> составил 15731,7 рубля и увеличился по сравнению с 1 января 2021 года на 7,2%. При этом реальный размер пенсий (с учетом изменения сводного индекса потребительских цен) уменьшился на 2,1%</w:t>
      </w:r>
      <w:r w:rsidRPr="00D5476D">
        <w:rPr>
          <w:rStyle w:val="af2"/>
          <w:rFonts w:ascii="Times New Roman" w:hAnsi="Times New Roman" w:cs="Times New Roman"/>
          <w:sz w:val="26"/>
          <w:szCs w:val="26"/>
        </w:rPr>
        <w:footnoteReference w:id="42"/>
      </w:r>
      <w:r w:rsidRPr="00D5476D">
        <w:rPr>
          <w:rFonts w:ascii="Times New Roman" w:hAnsi="Times New Roman" w:cs="Times New Roman"/>
          <w:sz w:val="26"/>
          <w:szCs w:val="26"/>
        </w:rPr>
        <w:t>.</w:t>
      </w:r>
    </w:p>
    <w:p w14:paraId="1F195530" w14:textId="77777777" w:rsidR="00DB474C" w:rsidRDefault="00DB474C" w:rsidP="00DB474C">
      <w:pPr>
        <w:spacing w:after="0" w:line="276" w:lineRule="auto"/>
        <w:ind w:firstLine="709"/>
        <w:jc w:val="both"/>
        <w:rPr>
          <w:rFonts w:ascii="Times New Roman" w:hAnsi="Times New Roman" w:cs="Times New Roman"/>
          <w:sz w:val="26"/>
          <w:szCs w:val="26"/>
        </w:rPr>
      </w:pPr>
      <w:r w:rsidRPr="00D5476D">
        <w:rPr>
          <w:rFonts w:ascii="Times New Roman" w:hAnsi="Times New Roman" w:cs="Times New Roman"/>
          <w:sz w:val="26"/>
          <w:szCs w:val="26"/>
        </w:rPr>
        <w:t xml:space="preserve">По итогам выборочного обследования рабочей силы в декабре 2021 года численность рабочей силы в возрасте 15 лет и старше составила 1194,4 тыс. человек, или 51,8% общей численности населения области, в том числе 1148 тыс. человек были заняты в экономике и 46,4 тыс. человек не имели занятия, но активно его искали и готовы были приступить к работе в течение недели (в соответствии с методологией Международной Организации Труда они классифицируются как безработные). По данным выборочного обследования рабочей силы, </w:t>
      </w:r>
      <w:r w:rsidRPr="00D5476D">
        <w:rPr>
          <w:rFonts w:ascii="Times New Roman" w:hAnsi="Times New Roman" w:cs="Times New Roman"/>
          <w:i/>
          <w:sz w:val="26"/>
          <w:szCs w:val="26"/>
        </w:rPr>
        <w:t>уровень занятости населения</w:t>
      </w:r>
      <w:r w:rsidRPr="00D5476D">
        <w:rPr>
          <w:rFonts w:ascii="Times New Roman" w:hAnsi="Times New Roman" w:cs="Times New Roman"/>
          <w:sz w:val="26"/>
          <w:szCs w:val="26"/>
        </w:rPr>
        <w:t xml:space="preserve"> (доля занятого населения в общей численности населения соответствующего возраста) в возрасте 15 лет и старше составил 58,1%. </w:t>
      </w:r>
      <w:r w:rsidRPr="00D5476D">
        <w:rPr>
          <w:rFonts w:ascii="Times New Roman" w:hAnsi="Times New Roman" w:cs="Times New Roman"/>
          <w:i/>
          <w:sz w:val="26"/>
          <w:szCs w:val="26"/>
        </w:rPr>
        <w:t>Уровень безработицы</w:t>
      </w:r>
      <w:r w:rsidRPr="00D5476D">
        <w:rPr>
          <w:rFonts w:ascii="Times New Roman" w:hAnsi="Times New Roman" w:cs="Times New Roman"/>
          <w:sz w:val="26"/>
          <w:szCs w:val="26"/>
        </w:rPr>
        <w:t xml:space="preserve"> населения в возрасте 15 лет и старше в декабре 2021 года составил 3,9%</w:t>
      </w:r>
      <w:r>
        <w:rPr>
          <w:rStyle w:val="af2"/>
          <w:rFonts w:ascii="Times New Roman" w:hAnsi="Times New Roman" w:cs="Times New Roman"/>
          <w:sz w:val="26"/>
          <w:szCs w:val="26"/>
        </w:rPr>
        <w:footnoteReference w:id="43"/>
      </w:r>
      <w:r w:rsidRPr="00D5476D">
        <w:rPr>
          <w:rFonts w:ascii="Times New Roman" w:hAnsi="Times New Roman" w:cs="Times New Roman"/>
          <w:sz w:val="26"/>
          <w:szCs w:val="26"/>
        </w:rPr>
        <w:t>.</w:t>
      </w:r>
    </w:p>
    <w:p w14:paraId="29E5E695" w14:textId="77777777" w:rsidR="00DB474C" w:rsidRPr="002F245A" w:rsidRDefault="00DB474C" w:rsidP="00DB474C">
      <w:pPr>
        <w:spacing w:before="120" w:after="0" w:line="276" w:lineRule="auto"/>
        <w:ind w:firstLine="709"/>
        <w:jc w:val="center"/>
        <w:rPr>
          <w:rFonts w:ascii="Times New Roman" w:hAnsi="Times New Roman" w:cs="Times New Roman"/>
          <w:i/>
          <w:sz w:val="26"/>
          <w:szCs w:val="26"/>
        </w:rPr>
      </w:pPr>
      <w:bookmarkStart w:id="73" w:name="_Toc5952871"/>
      <w:r w:rsidRPr="002F245A">
        <w:rPr>
          <w:rFonts w:ascii="Times New Roman" w:hAnsi="Times New Roman" w:cs="Times New Roman"/>
          <w:i/>
          <w:sz w:val="26"/>
          <w:szCs w:val="26"/>
        </w:rPr>
        <w:t>Обзор экономических показателей Воронежской области</w:t>
      </w:r>
      <w:bookmarkEnd w:id="73"/>
    </w:p>
    <w:p w14:paraId="73CBBB4A" w14:textId="77777777" w:rsidR="00DB474C" w:rsidRPr="00C477A1" w:rsidRDefault="00DB474C" w:rsidP="00DB474C">
      <w:pPr>
        <w:spacing w:after="0" w:line="276" w:lineRule="auto"/>
        <w:ind w:firstLine="709"/>
        <w:jc w:val="both"/>
        <w:rPr>
          <w:rFonts w:ascii="Times New Roman" w:hAnsi="Times New Roman" w:cs="Times New Roman"/>
          <w:i/>
          <w:sz w:val="26"/>
          <w:szCs w:val="26"/>
        </w:rPr>
      </w:pPr>
      <w:r w:rsidRPr="00C477A1">
        <w:rPr>
          <w:rFonts w:ascii="Times New Roman" w:hAnsi="Times New Roman" w:cs="Times New Roman"/>
          <w:sz w:val="26"/>
          <w:szCs w:val="26"/>
        </w:rPr>
        <w:t>Экономика Воронежской области по итогам 2021 года по ключевым показателям имеет разновекторную динамику.</w:t>
      </w:r>
    </w:p>
    <w:p w14:paraId="69DD0BED" w14:textId="77777777" w:rsidR="00DB474C" w:rsidRDefault="00DB474C" w:rsidP="00DB474C">
      <w:pPr>
        <w:spacing w:after="0" w:line="276" w:lineRule="auto"/>
        <w:ind w:firstLine="709"/>
        <w:jc w:val="both"/>
        <w:rPr>
          <w:rFonts w:ascii="Times New Roman" w:hAnsi="Times New Roman" w:cs="Times New Roman"/>
          <w:sz w:val="26"/>
          <w:szCs w:val="26"/>
        </w:rPr>
      </w:pPr>
      <w:r w:rsidRPr="005B79AA">
        <w:rPr>
          <w:rFonts w:ascii="Times New Roman" w:hAnsi="Times New Roman" w:cs="Times New Roman"/>
          <w:i/>
          <w:sz w:val="26"/>
          <w:szCs w:val="26"/>
        </w:rPr>
        <w:t>Промышленное производство</w:t>
      </w:r>
      <w:r w:rsidRPr="005B79AA">
        <w:rPr>
          <w:rFonts w:ascii="Times New Roman" w:hAnsi="Times New Roman" w:cs="Times New Roman"/>
          <w:sz w:val="26"/>
          <w:szCs w:val="26"/>
        </w:rPr>
        <w:t xml:space="preserve"> возросло на 4,8% к январю-декабрю 2020 года (в РФ – на 5,3%). Рост производства в целом по промышленности региона обеспечен положительной динамикой в обрабатывающих производствах – 105,1% (в РФ – 105%), добыче полезных ископаемых, где индекс производства составил 108,1% (в РФ – 104,8%), обеспечении электрической энергией, газом и паром; кондиционировании воздуха – 103,9% (в РФ – 106,8%), и водоснабжении, водоотведении, организации сбора и утилизации отходов, деятельности по ликвидации загрязнений – 101,4% (в РФ – 115,8%)</w:t>
      </w:r>
      <w:r>
        <w:rPr>
          <w:rStyle w:val="af2"/>
          <w:rFonts w:ascii="Times New Roman" w:hAnsi="Times New Roman" w:cs="Times New Roman"/>
          <w:sz w:val="26"/>
          <w:szCs w:val="26"/>
        </w:rPr>
        <w:footnoteReference w:id="44"/>
      </w:r>
      <w:r w:rsidRPr="005B79AA">
        <w:rPr>
          <w:rFonts w:ascii="Times New Roman" w:hAnsi="Times New Roman" w:cs="Times New Roman"/>
          <w:sz w:val="26"/>
          <w:szCs w:val="26"/>
        </w:rPr>
        <w:t xml:space="preserve">. </w:t>
      </w:r>
    </w:p>
    <w:p w14:paraId="601F81A6" w14:textId="77777777" w:rsidR="00DB474C" w:rsidRPr="0084017D" w:rsidRDefault="00DB474C" w:rsidP="00DB474C">
      <w:pPr>
        <w:spacing w:after="0" w:line="276" w:lineRule="auto"/>
        <w:ind w:firstLine="709"/>
        <w:jc w:val="both"/>
        <w:rPr>
          <w:rFonts w:ascii="Times New Roman" w:hAnsi="Times New Roman" w:cs="Times New Roman"/>
          <w:sz w:val="26"/>
          <w:szCs w:val="26"/>
        </w:rPr>
      </w:pPr>
      <w:r w:rsidRPr="002F245A">
        <w:rPr>
          <w:rFonts w:ascii="Times New Roman" w:hAnsi="Times New Roman" w:cs="Times New Roman"/>
          <w:sz w:val="26"/>
          <w:szCs w:val="26"/>
          <w:lang w:eastAsia="ru-RU"/>
        </w:rPr>
        <w:t>Воронежская область - один из крупнейших аграрных регионов Российской Федерации.</w:t>
      </w:r>
      <w:r>
        <w:rPr>
          <w:rFonts w:ascii="Times New Roman" w:hAnsi="Times New Roman" w:cs="Times New Roman"/>
          <w:sz w:val="26"/>
          <w:szCs w:val="26"/>
          <w:lang w:eastAsia="ru-RU"/>
        </w:rPr>
        <w:t xml:space="preserve"> </w:t>
      </w:r>
      <w:r w:rsidRPr="005B79AA">
        <w:rPr>
          <w:rFonts w:ascii="Times New Roman" w:hAnsi="Times New Roman" w:cs="Times New Roman"/>
          <w:sz w:val="26"/>
          <w:szCs w:val="26"/>
        </w:rPr>
        <w:t xml:space="preserve">Объем </w:t>
      </w:r>
      <w:r w:rsidRPr="005B79AA">
        <w:rPr>
          <w:rFonts w:ascii="Times New Roman" w:hAnsi="Times New Roman" w:cs="Times New Roman"/>
          <w:i/>
          <w:sz w:val="26"/>
          <w:szCs w:val="26"/>
        </w:rPr>
        <w:t>сельскохозяйственного производства</w:t>
      </w:r>
      <w:r w:rsidRPr="005B79AA">
        <w:rPr>
          <w:rFonts w:ascii="Times New Roman" w:hAnsi="Times New Roman" w:cs="Times New Roman"/>
          <w:sz w:val="26"/>
          <w:szCs w:val="26"/>
        </w:rPr>
        <w:t xml:space="preserve"> составил 97,1% к уровню 2020 года (в России – 99,1%). Вместе с тем производство основных видов продукции животноводства по сравнению с 2020 годом увеличилось: производство мяса - на 11,7%, молока – на 3,2%, яиц – на 0,6% (в среднем по России значения меньше – 100,3%, 100,2%, 100% соответственно). </w:t>
      </w:r>
      <w:r w:rsidRPr="0084017D">
        <w:rPr>
          <w:rFonts w:ascii="Times New Roman" w:hAnsi="Times New Roman" w:cs="Times New Roman"/>
          <w:sz w:val="26"/>
          <w:szCs w:val="26"/>
        </w:rPr>
        <w:t>В секторе сельхозорганизаций продолжается взятый курс на ускоренное развитие отрасли. Успешно развиваются молочный и мясной кластеры.</w:t>
      </w:r>
      <w:r>
        <w:rPr>
          <w:rFonts w:ascii="Times New Roman" w:hAnsi="Times New Roman" w:cs="Times New Roman"/>
          <w:sz w:val="26"/>
          <w:szCs w:val="26"/>
        </w:rPr>
        <w:t xml:space="preserve"> </w:t>
      </w:r>
      <w:r w:rsidRPr="005B79AA">
        <w:rPr>
          <w:rFonts w:ascii="Times New Roman" w:hAnsi="Times New Roman" w:cs="Times New Roman"/>
          <w:sz w:val="26"/>
          <w:szCs w:val="26"/>
        </w:rPr>
        <w:t xml:space="preserve">Важным фактором, стимулирующим развитие аграрного сектора экономики, является государственная поддержка. В 2021 году бюджетная поддержка сельхозпроизводителей, участвующих в реализации государственной программы Воронежской области «Развитие сельского хозяйства, производства пищевых продуктов и инфраструктуры агропродовольственного рынка» составила 8864,6 млн рублей (103,6% к уровню 2020 года), в том числе из </w:t>
      </w:r>
      <w:r w:rsidRPr="0084017D">
        <w:rPr>
          <w:rFonts w:ascii="Times New Roman" w:hAnsi="Times New Roman" w:cs="Times New Roman"/>
          <w:sz w:val="26"/>
          <w:szCs w:val="26"/>
        </w:rPr>
        <w:t>федерального бюджета - 6800,5 млн рублей, из областного бюджета - 2064,1 млн рублей</w:t>
      </w:r>
      <w:r>
        <w:rPr>
          <w:rStyle w:val="af2"/>
          <w:rFonts w:ascii="Times New Roman" w:hAnsi="Times New Roman" w:cs="Times New Roman"/>
          <w:sz w:val="26"/>
          <w:szCs w:val="26"/>
        </w:rPr>
        <w:footnoteReference w:id="45"/>
      </w:r>
      <w:r w:rsidRPr="0084017D">
        <w:rPr>
          <w:rFonts w:ascii="Times New Roman" w:hAnsi="Times New Roman" w:cs="Times New Roman"/>
          <w:sz w:val="26"/>
          <w:szCs w:val="26"/>
        </w:rPr>
        <w:t xml:space="preserve">. </w:t>
      </w:r>
    </w:p>
    <w:p w14:paraId="33BDB57E" w14:textId="77777777" w:rsidR="00DB474C" w:rsidRDefault="00DB474C" w:rsidP="00DB474C">
      <w:pPr>
        <w:spacing w:after="0" w:line="276" w:lineRule="auto"/>
        <w:ind w:firstLine="709"/>
        <w:jc w:val="both"/>
        <w:rPr>
          <w:rFonts w:ascii="Times New Roman" w:hAnsi="Times New Roman" w:cs="Times New Roman"/>
          <w:sz w:val="26"/>
          <w:szCs w:val="26"/>
        </w:rPr>
      </w:pPr>
      <w:r w:rsidRPr="005B79AA">
        <w:rPr>
          <w:rFonts w:ascii="Times New Roman" w:hAnsi="Times New Roman" w:cs="Times New Roman"/>
          <w:sz w:val="26"/>
          <w:szCs w:val="26"/>
        </w:rPr>
        <w:t xml:space="preserve">Тенденция замедления развития строительной отрасли региона, начавшаяся в 2020 году из-за резкого удорожания стройматериалов, продолжилась в 2021 году. </w:t>
      </w:r>
      <w:r w:rsidRPr="005B79AA">
        <w:rPr>
          <w:rFonts w:ascii="Times New Roman" w:hAnsi="Times New Roman" w:cs="Times New Roman"/>
          <w:i/>
          <w:sz w:val="26"/>
          <w:szCs w:val="26"/>
        </w:rPr>
        <w:t>В целом</w:t>
      </w:r>
      <w:r w:rsidRPr="005B79AA">
        <w:rPr>
          <w:rFonts w:ascii="Times New Roman" w:hAnsi="Times New Roman" w:cs="Times New Roman"/>
          <w:sz w:val="26"/>
          <w:szCs w:val="26"/>
        </w:rPr>
        <w:t>, объем работ, выполненных по виду деятельности «</w:t>
      </w:r>
      <w:r w:rsidRPr="005B79AA">
        <w:rPr>
          <w:rFonts w:ascii="Times New Roman" w:hAnsi="Times New Roman" w:cs="Times New Roman"/>
          <w:i/>
          <w:sz w:val="26"/>
          <w:szCs w:val="26"/>
        </w:rPr>
        <w:t>Строительство</w:t>
      </w:r>
      <w:r w:rsidRPr="005B79AA">
        <w:rPr>
          <w:rFonts w:ascii="Times New Roman" w:hAnsi="Times New Roman" w:cs="Times New Roman"/>
          <w:sz w:val="26"/>
          <w:szCs w:val="26"/>
        </w:rPr>
        <w:t xml:space="preserve">», снижен на 35,1% к соответствующему периоду 2020 года (в РФ - рост на 6%). Жилищное строительство в </w:t>
      </w:r>
      <w:r w:rsidRPr="00111613">
        <w:rPr>
          <w:rFonts w:ascii="Times New Roman" w:hAnsi="Times New Roman" w:cs="Times New Roman"/>
          <w:sz w:val="26"/>
          <w:szCs w:val="26"/>
        </w:rPr>
        <w:t xml:space="preserve">2021 году восстановило свои положительные значения. Объем </w:t>
      </w:r>
      <w:r w:rsidRPr="00111613">
        <w:rPr>
          <w:rFonts w:ascii="Times New Roman" w:hAnsi="Times New Roman" w:cs="Times New Roman"/>
          <w:i/>
          <w:sz w:val="26"/>
          <w:szCs w:val="26"/>
        </w:rPr>
        <w:t>жилищного строительства</w:t>
      </w:r>
      <w:r w:rsidRPr="00111613">
        <w:rPr>
          <w:rFonts w:ascii="Times New Roman" w:hAnsi="Times New Roman" w:cs="Times New Roman"/>
          <w:sz w:val="26"/>
          <w:szCs w:val="26"/>
        </w:rPr>
        <w:t xml:space="preserve"> составил 1864 тыс. кв. метров, что на 8,1% больше уровня 2020 года (в РФ – на 12,7%)</w:t>
      </w:r>
      <w:r w:rsidRPr="00111613">
        <w:rPr>
          <w:rStyle w:val="af2"/>
          <w:rFonts w:ascii="Times New Roman" w:hAnsi="Times New Roman" w:cs="Times New Roman"/>
          <w:sz w:val="26"/>
          <w:szCs w:val="26"/>
        </w:rPr>
        <w:footnoteReference w:id="46"/>
      </w:r>
      <w:r w:rsidRPr="00111613">
        <w:rPr>
          <w:rFonts w:ascii="Times New Roman" w:hAnsi="Times New Roman" w:cs="Times New Roman"/>
          <w:sz w:val="26"/>
          <w:szCs w:val="26"/>
        </w:rPr>
        <w:t xml:space="preserve">. </w:t>
      </w:r>
    </w:p>
    <w:p w14:paraId="0FE863BD" w14:textId="77777777" w:rsidR="00DB474C" w:rsidRPr="00283199" w:rsidRDefault="00DB474C" w:rsidP="00DB474C">
      <w:pPr>
        <w:spacing w:after="0" w:line="276" w:lineRule="auto"/>
        <w:ind w:firstLine="709"/>
        <w:jc w:val="both"/>
        <w:rPr>
          <w:rFonts w:ascii="Times New Roman" w:hAnsi="Times New Roman" w:cs="Times New Roman"/>
          <w:sz w:val="26"/>
          <w:szCs w:val="26"/>
        </w:rPr>
      </w:pPr>
      <w:r w:rsidRPr="00283199">
        <w:rPr>
          <w:rFonts w:ascii="Times New Roman" w:hAnsi="Times New Roman" w:cs="Times New Roman"/>
          <w:sz w:val="26"/>
          <w:szCs w:val="26"/>
        </w:rPr>
        <w:t>В 2021 году предприятиями автомобильного транспорта всех видов экономической деятельности (без субъектов малого предпринимательства) перевезено 34536</w:t>
      </w:r>
      <w:r>
        <w:rPr>
          <w:rFonts w:ascii="Times New Roman" w:hAnsi="Times New Roman" w:cs="Times New Roman"/>
          <w:sz w:val="26"/>
          <w:szCs w:val="26"/>
        </w:rPr>
        <w:t>,</w:t>
      </w:r>
      <w:r w:rsidRPr="00283199">
        <w:rPr>
          <w:rFonts w:ascii="Times New Roman" w:hAnsi="Times New Roman" w:cs="Times New Roman"/>
          <w:sz w:val="26"/>
          <w:szCs w:val="26"/>
        </w:rPr>
        <w:t>8 тыс. тонн грузов, что на 8</w:t>
      </w:r>
      <w:r>
        <w:rPr>
          <w:rFonts w:ascii="Times New Roman" w:hAnsi="Times New Roman" w:cs="Times New Roman"/>
          <w:sz w:val="26"/>
          <w:szCs w:val="26"/>
        </w:rPr>
        <w:t>,</w:t>
      </w:r>
      <w:r w:rsidRPr="00283199">
        <w:rPr>
          <w:rFonts w:ascii="Times New Roman" w:hAnsi="Times New Roman" w:cs="Times New Roman"/>
          <w:sz w:val="26"/>
          <w:szCs w:val="26"/>
        </w:rPr>
        <w:t>6</w:t>
      </w:r>
      <w:r>
        <w:rPr>
          <w:rFonts w:ascii="Times New Roman" w:hAnsi="Times New Roman" w:cs="Times New Roman"/>
          <w:sz w:val="26"/>
          <w:szCs w:val="26"/>
        </w:rPr>
        <w:t>%</w:t>
      </w:r>
      <w:r w:rsidRPr="00283199">
        <w:rPr>
          <w:rFonts w:ascii="Times New Roman" w:hAnsi="Times New Roman" w:cs="Times New Roman"/>
          <w:sz w:val="26"/>
          <w:szCs w:val="26"/>
        </w:rPr>
        <w:t xml:space="preserve"> больше, чем в 2020 году. </w:t>
      </w:r>
      <w:r w:rsidRPr="00283199">
        <w:rPr>
          <w:rFonts w:ascii="Times New Roman" w:hAnsi="Times New Roman" w:cs="Times New Roman"/>
          <w:i/>
          <w:sz w:val="26"/>
          <w:szCs w:val="26"/>
        </w:rPr>
        <w:t>Грузооборот</w:t>
      </w:r>
      <w:r w:rsidRPr="00283199">
        <w:rPr>
          <w:rFonts w:ascii="Times New Roman" w:hAnsi="Times New Roman" w:cs="Times New Roman"/>
          <w:sz w:val="26"/>
          <w:szCs w:val="26"/>
        </w:rPr>
        <w:t xml:space="preserve"> составил 2695</w:t>
      </w:r>
      <w:r>
        <w:rPr>
          <w:rFonts w:ascii="Times New Roman" w:hAnsi="Times New Roman" w:cs="Times New Roman"/>
          <w:sz w:val="26"/>
          <w:szCs w:val="26"/>
        </w:rPr>
        <w:t>,</w:t>
      </w:r>
      <w:r w:rsidRPr="00283199">
        <w:rPr>
          <w:rFonts w:ascii="Times New Roman" w:hAnsi="Times New Roman" w:cs="Times New Roman"/>
          <w:sz w:val="26"/>
          <w:szCs w:val="26"/>
        </w:rPr>
        <w:t>5 млн тонно-километров, что на 14</w:t>
      </w:r>
      <w:r>
        <w:rPr>
          <w:rFonts w:ascii="Times New Roman" w:hAnsi="Times New Roman" w:cs="Times New Roman"/>
          <w:sz w:val="26"/>
          <w:szCs w:val="26"/>
        </w:rPr>
        <w:t>,</w:t>
      </w:r>
      <w:r w:rsidRPr="00283199">
        <w:rPr>
          <w:rFonts w:ascii="Times New Roman" w:hAnsi="Times New Roman" w:cs="Times New Roman"/>
          <w:sz w:val="26"/>
          <w:szCs w:val="26"/>
        </w:rPr>
        <w:t>2</w:t>
      </w:r>
      <w:r>
        <w:rPr>
          <w:rFonts w:ascii="Times New Roman" w:hAnsi="Times New Roman" w:cs="Times New Roman"/>
          <w:sz w:val="26"/>
          <w:szCs w:val="26"/>
        </w:rPr>
        <w:t>%</w:t>
      </w:r>
      <w:r w:rsidRPr="00283199">
        <w:rPr>
          <w:rFonts w:ascii="Times New Roman" w:hAnsi="Times New Roman" w:cs="Times New Roman"/>
          <w:sz w:val="26"/>
          <w:szCs w:val="26"/>
        </w:rPr>
        <w:t xml:space="preserve"> больше, чем за 2020 год.</w:t>
      </w:r>
      <w:r>
        <w:rPr>
          <w:rFonts w:ascii="Times New Roman" w:hAnsi="Times New Roman" w:cs="Times New Roman"/>
          <w:sz w:val="26"/>
          <w:szCs w:val="26"/>
        </w:rPr>
        <w:t xml:space="preserve"> </w:t>
      </w:r>
      <w:r w:rsidRPr="00283199">
        <w:rPr>
          <w:rFonts w:ascii="Times New Roman" w:hAnsi="Times New Roman" w:cs="Times New Roman"/>
          <w:sz w:val="26"/>
          <w:szCs w:val="26"/>
        </w:rPr>
        <w:t>Автомобильным транспортом общего пользования в 2021 году перевезено 154</w:t>
      </w:r>
      <w:r>
        <w:rPr>
          <w:rFonts w:ascii="Times New Roman" w:hAnsi="Times New Roman" w:cs="Times New Roman"/>
          <w:sz w:val="26"/>
          <w:szCs w:val="26"/>
        </w:rPr>
        <w:t>,</w:t>
      </w:r>
      <w:r w:rsidRPr="00283199">
        <w:rPr>
          <w:rFonts w:ascii="Times New Roman" w:hAnsi="Times New Roman" w:cs="Times New Roman"/>
          <w:sz w:val="26"/>
          <w:szCs w:val="26"/>
        </w:rPr>
        <w:t>4 млн пассажиров, что на 0</w:t>
      </w:r>
      <w:r>
        <w:rPr>
          <w:rFonts w:ascii="Times New Roman" w:hAnsi="Times New Roman" w:cs="Times New Roman"/>
          <w:sz w:val="26"/>
          <w:szCs w:val="26"/>
        </w:rPr>
        <w:t>,</w:t>
      </w:r>
      <w:r w:rsidRPr="00283199">
        <w:rPr>
          <w:rFonts w:ascii="Times New Roman" w:hAnsi="Times New Roman" w:cs="Times New Roman"/>
          <w:sz w:val="26"/>
          <w:szCs w:val="26"/>
        </w:rPr>
        <w:t>8</w:t>
      </w:r>
      <w:r>
        <w:rPr>
          <w:rFonts w:ascii="Times New Roman" w:hAnsi="Times New Roman" w:cs="Times New Roman"/>
          <w:sz w:val="26"/>
          <w:szCs w:val="26"/>
        </w:rPr>
        <w:t>%</w:t>
      </w:r>
      <w:r w:rsidRPr="00283199">
        <w:rPr>
          <w:rFonts w:ascii="Times New Roman" w:hAnsi="Times New Roman" w:cs="Times New Roman"/>
          <w:sz w:val="26"/>
          <w:szCs w:val="26"/>
        </w:rPr>
        <w:t xml:space="preserve"> меньше, чем в 2020 году; </w:t>
      </w:r>
      <w:r w:rsidRPr="000E4694">
        <w:rPr>
          <w:rFonts w:ascii="Times New Roman" w:hAnsi="Times New Roman" w:cs="Times New Roman"/>
          <w:i/>
          <w:sz w:val="26"/>
          <w:szCs w:val="26"/>
        </w:rPr>
        <w:t>пассажирооборот</w:t>
      </w:r>
      <w:r w:rsidRPr="00283199">
        <w:rPr>
          <w:rFonts w:ascii="Times New Roman" w:hAnsi="Times New Roman" w:cs="Times New Roman"/>
          <w:sz w:val="26"/>
          <w:szCs w:val="26"/>
        </w:rPr>
        <w:t xml:space="preserve"> увеличился на 1</w:t>
      </w:r>
      <w:r>
        <w:rPr>
          <w:rFonts w:ascii="Times New Roman" w:hAnsi="Times New Roman" w:cs="Times New Roman"/>
          <w:sz w:val="26"/>
          <w:szCs w:val="26"/>
        </w:rPr>
        <w:t>,</w:t>
      </w:r>
      <w:r w:rsidRPr="00283199">
        <w:rPr>
          <w:rFonts w:ascii="Times New Roman" w:hAnsi="Times New Roman" w:cs="Times New Roman"/>
          <w:sz w:val="26"/>
          <w:szCs w:val="26"/>
        </w:rPr>
        <w:t>1</w:t>
      </w:r>
      <w:r>
        <w:rPr>
          <w:rFonts w:ascii="Times New Roman" w:hAnsi="Times New Roman" w:cs="Times New Roman"/>
          <w:sz w:val="26"/>
          <w:szCs w:val="26"/>
        </w:rPr>
        <w:t>%</w:t>
      </w:r>
      <w:r w:rsidRPr="00283199">
        <w:rPr>
          <w:rFonts w:ascii="Times New Roman" w:hAnsi="Times New Roman" w:cs="Times New Roman"/>
          <w:sz w:val="26"/>
          <w:szCs w:val="26"/>
        </w:rPr>
        <w:t xml:space="preserve"> и составил 1770</w:t>
      </w:r>
      <w:r>
        <w:rPr>
          <w:rFonts w:ascii="Times New Roman" w:hAnsi="Times New Roman" w:cs="Times New Roman"/>
          <w:sz w:val="26"/>
          <w:szCs w:val="26"/>
        </w:rPr>
        <w:t>,</w:t>
      </w:r>
      <w:r w:rsidRPr="00283199">
        <w:rPr>
          <w:rFonts w:ascii="Times New Roman" w:hAnsi="Times New Roman" w:cs="Times New Roman"/>
          <w:sz w:val="26"/>
          <w:szCs w:val="26"/>
        </w:rPr>
        <w:t>2 млн пассажиро-километров</w:t>
      </w:r>
      <w:r>
        <w:rPr>
          <w:rStyle w:val="af2"/>
          <w:rFonts w:ascii="Times New Roman" w:hAnsi="Times New Roman" w:cs="Times New Roman"/>
          <w:sz w:val="26"/>
          <w:szCs w:val="26"/>
        </w:rPr>
        <w:footnoteReference w:id="47"/>
      </w:r>
      <w:r w:rsidRPr="00283199">
        <w:rPr>
          <w:rFonts w:ascii="Times New Roman" w:hAnsi="Times New Roman" w:cs="Times New Roman"/>
          <w:sz w:val="26"/>
          <w:szCs w:val="26"/>
        </w:rPr>
        <w:t>.</w:t>
      </w:r>
    </w:p>
    <w:p w14:paraId="61470FA4" w14:textId="77777777" w:rsidR="00DB474C" w:rsidRPr="00111613" w:rsidRDefault="00DB474C" w:rsidP="00DB474C">
      <w:pPr>
        <w:spacing w:after="0" w:line="276" w:lineRule="auto"/>
        <w:ind w:firstLine="709"/>
        <w:jc w:val="both"/>
        <w:rPr>
          <w:rFonts w:ascii="Times New Roman" w:hAnsi="Times New Roman" w:cs="Times New Roman"/>
          <w:sz w:val="26"/>
          <w:szCs w:val="26"/>
        </w:rPr>
      </w:pPr>
      <w:r w:rsidRPr="00111613">
        <w:rPr>
          <w:rFonts w:ascii="Times New Roman" w:hAnsi="Times New Roman" w:cs="Times New Roman"/>
          <w:sz w:val="26"/>
          <w:szCs w:val="26"/>
        </w:rPr>
        <w:t xml:space="preserve">Потребительский спрос </w:t>
      </w:r>
      <w:r w:rsidRPr="00111613">
        <w:rPr>
          <w:rFonts w:ascii="Times New Roman" w:hAnsi="Times New Roman" w:cs="Times New Roman"/>
          <w:i/>
          <w:sz w:val="26"/>
          <w:szCs w:val="26"/>
        </w:rPr>
        <w:t>в сфере торговли и услуг</w:t>
      </w:r>
      <w:r w:rsidRPr="00111613">
        <w:rPr>
          <w:rFonts w:ascii="Times New Roman" w:hAnsi="Times New Roman" w:cs="Times New Roman"/>
          <w:sz w:val="26"/>
          <w:szCs w:val="26"/>
        </w:rPr>
        <w:t xml:space="preserve"> продолжил восстановительную динамику: оборот розничной торговли составил 106,8% к январю-декабрю 2020 года (в РФ - 107,3%), объем платных услуг, оказанных населению, – 109,4% (в РФ – 117,6%). В структуре оборота розничной торговли преобладают непродовольственные товары, их удельный вес составил более 57%, что практически соответствует структуре 2020 года. По последним данным в ноябре 2021 года объем продаж через Интернет по крупным и средним торгующим организациям составил 2120,4 млн рублей и увеличился по сравнению с ноябрем 2020 года в 1,7 раза. Доля онлайн-продаж в общем обороте розничной торговли этих организаций составила 8,1% против 5,5% годом ранее</w:t>
      </w:r>
      <w:r w:rsidRPr="00111613">
        <w:rPr>
          <w:rStyle w:val="af2"/>
          <w:rFonts w:ascii="Times New Roman" w:hAnsi="Times New Roman" w:cs="Times New Roman"/>
          <w:sz w:val="26"/>
          <w:szCs w:val="26"/>
        </w:rPr>
        <w:footnoteReference w:id="48"/>
      </w:r>
      <w:r w:rsidRPr="00111613">
        <w:rPr>
          <w:rFonts w:ascii="Times New Roman" w:hAnsi="Times New Roman" w:cs="Times New Roman"/>
          <w:sz w:val="26"/>
          <w:szCs w:val="26"/>
        </w:rPr>
        <w:t>.</w:t>
      </w:r>
    </w:p>
    <w:p w14:paraId="7E2FF971" w14:textId="77777777" w:rsidR="00DB474C" w:rsidRDefault="00DB474C" w:rsidP="00DB474C">
      <w:pPr>
        <w:spacing w:after="0" w:line="276" w:lineRule="auto"/>
        <w:ind w:firstLine="709"/>
        <w:jc w:val="both"/>
        <w:rPr>
          <w:rFonts w:ascii="Times New Roman" w:hAnsi="Times New Roman" w:cs="Times New Roman"/>
          <w:sz w:val="26"/>
          <w:szCs w:val="26"/>
        </w:rPr>
      </w:pPr>
      <w:r w:rsidRPr="00111613">
        <w:rPr>
          <w:rFonts w:ascii="Times New Roman" w:hAnsi="Times New Roman" w:cs="Times New Roman"/>
          <w:sz w:val="26"/>
          <w:szCs w:val="26"/>
        </w:rPr>
        <w:t xml:space="preserve">Среднегодовой </w:t>
      </w:r>
      <w:r w:rsidRPr="00111613">
        <w:rPr>
          <w:rFonts w:ascii="Times New Roman" w:hAnsi="Times New Roman" w:cs="Times New Roman"/>
          <w:i/>
          <w:sz w:val="26"/>
          <w:szCs w:val="26"/>
        </w:rPr>
        <w:t>индекс потребительских це</w:t>
      </w:r>
      <w:r w:rsidRPr="00111613">
        <w:rPr>
          <w:rFonts w:ascii="Times New Roman" w:hAnsi="Times New Roman" w:cs="Times New Roman"/>
          <w:sz w:val="26"/>
          <w:szCs w:val="26"/>
        </w:rPr>
        <w:t>н на товары и услуги по области за 12 месяцев 2021 года сложился 108,3% (по РФ – 106,7%). Наибольший вклад в уровень инфляции внес рост цен на продовольственные и непродовольственные товары. Рост цен на услуги населению в текущем году ниже уровня предыдущего года, и среднероссийских значений</w:t>
      </w:r>
      <w:r w:rsidRPr="00111613">
        <w:rPr>
          <w:rStyle w:val="af2"/>
          <w:rFonts w:ascii="Times New Roman" w:hAnsi="Times New Roman" w:cs="Times New Roman"/>
          <w:sz w:val="26"/>
          <w:szCs w:val="26"/>
        </w:rPr>
        <w:footnoteReference w:id="49"/>
      </w:r>
      <w:r w:rsidRPr="00111613">
        <w:rPr>
          <w:rFonts w:ascii="Times New Roman" w:hAnsi="Times New Roman" w:cs="Times New Roman"/>
          <w:sz w:val="26"/>
          <w:szCs w:val="26"/>
        </w:rPr>
        <w:t>.</w:t>
      </w:r>
    </w:p>
    <w:p w14:paraId="11814F5A" w14:textId="77777777" w:rsidR="00DB474C" w:rsidRPr="002F245A" w:rsidRDefault="00DB474C" w:rsidP="00DB474C">
      <w:pPr>
        <w:spacing w:before="120" w:after="0" w:line="276" w:lineRule="auto"/>
        <w:ind w:firstLine="709"/>
        <w:jc w:val="center"/>
        <w:rPr>
          <w:rFonts w:ascii="Times New Roman" w:hAnsi="Times New Roman" w:cs="Times New Roman"/>
          <w:i/>
          <w:sz w:val="26"/>
          <w:szCs w:val="26"/>
        </w:rPr>
      </w:pPr>
      <w:r w:rsidRPr="002F245A">
        <w:rPr>
          <w:rFonts w:ascii="Times New Roman" w:hAnsi="Times New Roman" w:cs="Times New Roman"/>
          <w:i/>
          <w:sz w:val="26"/>
          <w:szCs w:val="26"/>
        </w:rPr>
        <w:t>Обзор политической ситуации Воронежской области</w:t>
      </w:r>
    </w:p>
    <w:p w14:paraId="28CDE75E" w14:textId="77777777" w:rsidR="00DB474C" w:rsidRPr="002F245A" w:rsidRDefault="00DB474C" w:rsidP="00E91C63">
      <w:pPr>
        <w:pStyle w:val="a6"/>
        <w:spacing w:line="276" w:lineRule="auto"/>
        <w:ind w:firstLine="709"/>
        <w:jc w:val="both"/>
        <w:rPr>
          <w:sz w:val="26"/>
          <w:szCs w:val="26"/>
        </w:rPr>
      </w:pPr>
      <w:r w:rsidRPr="002F245A">
        <w:rPr>
          <w:sz w:val="26"/>
          <w:szCs w:val="26"/>
        </w:rPr>
        <w:t>Правительством Воронежской области проводится и реализуется множество региональных программ, которые направлены на улучшение качества жизни населения,</w:t>
      </w:r>
      <w:r>
        <w:rPr>
          <w:sz w:val="26"/>
          <w:szCs w:val="26"/>
        </w:rPr>
        <w:t xml:space="preserve"> </w:t>
      </w:r>
      <w:r w:rsidRPr="002F245A">
        <w:rPr>
          <w:sz w:val="26"/>
          <w:szCs w:val="26"/>
        </w:rPr>
        <w:t>на территории Воронежской области реализовалось 25 государственных программ, сгруппированных по следующим аналитическим блокам:</w:t>
      </w:r>
    </w:p>
    <w:p w14:paraId="7E31D969" w14:textId="77777777" w:rsidR="00DB474C" w:rsidRPr="002F245A" w:rsidRDefault="00DB474C" w:rsidP="00E91C63">
      <w:pPr>
        <w:pStyle w:val="a6"/>
        <w:spacing w:line="276" w:lineRule="auto"/>
        <w:ind w:firstLine="709"/>
        <w:jc w:val="both"/>
        <w:rPr>
          <w:sz w:val="26"/>
          <w:szCs w:val="26"/>
        </w:rPr>
      </w:pPr>
      <w:r w:rsidRPr="002F245A">
        <w:rPr>
          <w:sz w:val="26"/>
          <w:szCs w:val="26"/>
        </w:rPr>
        <w:t>I. «Новое качество жизни» – 14 госпрограмм («Развитие здравоохранения», «Развитие образования», «Социальная поддержка граждан», «Доступная среда», «Обеспечение доступным и комфортным жильем населения Воронежской области», «Обеспечение качественными жилищно-коммунальными услугами населения Воронежской области», «Содействие занятости населения», «Обеспечение общественного порядка и противодействие преступности», «Защита населения и территории Воронежской области от чрезвычайных ситуаций, обеспечение пожарной безопасности и безопасности людей на водных объектах», «Развитие культуры и туризма», «Охрана окружающей среды и природные ресурсы», «Государственная охрана объектов культурного наследия», «Развитие физической культуры и спорта», «Формирование современной городской среды Воронежской области»).</w:t>
      </w:r>
    </w:p>
    <w:p w14:paraId="596E904C" w14:textId="77777777" w:rsidR="00DB474C" w:rsidRPr="002F245A" w:rsidRDefault="00DB474C" w:rsidP="00E91C63">
      <w:pPr>
        <w:pStyle w:val="a6"/>
        <w:spacing w:line="276" w:lineRule="auto"/>
        <w:ind w:firstLine="709"/>
        <w:jc w:val="both"/>
        <w:rPr>
          <w:sz w:val="26"/>
          <w:szCs w:val="26"/>
        </w:rPr>
      </w:pPr>
      <w:r w:rsidRPr="002F245A">
        <w:rPr>
          <w:sz w:val="26"/>
          <w:szCs w:val="26"/>
        </w:rPr>
        <w:t>II. «Реальный сектор экономики» – 8 госпрограмм («Экономическое развитие и инновационная экономика», «Развитие предпринимательства и торговли», «Развитие промышленности и повышение ее конкурентоспособности», «Развитие транспортной системы», «Развитие сельского хозяйства, производства пищевых продуктов и инфраструктуры агропродовольственного рынка», «Развитие лесного хозяйства», «Информационное общество», «Энергоэффективность и развитие энергетики»).</w:t>
      </w:r>
    </w:p>
    <w:p w14:paraId="01A296E5" w14:textId="77777777" w:rsidR="00DB474C" w:rsidRPr="000A42D4" w:rsidRDefault="00DB474C" w:rsidP="00E91C63">
      <w:pPr>
        <w:pStyle w:val="a6"/>
        <w:spacing w:line="276" w:lineRule="auto"/>
        <w:ind w:firstLine="709"/>
        <w:jc w:val="both"/>
        <w:rPr>
          <w:sz w:val="26"/>
          <w:szCs w:val="26"/>
        </w:rPr>
      </w:pPr>
      <w:r w:rsidRPr="002F245A">
        <w:rPr>
          <w:sz w:val="26"/>
          <w:szCs w:val="26"/>
        </w:rPr>
        <w:t xml:space="preserve">III. «Эффективное управление» – 3 госпрограммы («Управление государственным имуществом», «Содействие развитию муниципальных образований и местного самоуправления», «Управление государственными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w:t>
      </w:r>
      <w:r w:rsidRPr="000A42D4">
        <w:rPr>
          <w:sz w:val="26"/>
          <w:szCs w:val="26"/>
        </w:rPr>
        <w:t>образований Воронежской области»).</w:t>
      </w:r>
    </w:p>
    <w:p w14:paraId="55837627" w14:textId="77777777" w:rsidR="00DB474C" w:rsidRDefault="00DB474C" w:rsidP="00E91C63">
      <w:pPr>
        <w:spacing w:after="0" w:line="276" w:lineRule="auto"/>
        <w:ind w:firstLine="709"/>
        <w:jc w:val="both"/>
        <w:rPr>
          <w:rFonts w:ascii="Times New Roman" w:hAnsi="Times New Roman" w:cs="Times New Roman"/>
          <w:sz w:val="26"/>
          <w:szCs w:val="26"/>
        </w:rPr>
      </w:pPr>
      <w:r w:rsidRPr="000A42D4">
        <w:rPr>
          <w:rFonts w:ascii="Times New Roman" w:hAnsi="Times New Roman" w:cs="Times New Roman"/>
          <w:sz w:val="26"/>
          <w:szCs w:val="26"/>
        </w:rPr>
        <w:t>За 2021 год консолидированный бюджет Воронежской области исполнен с профицитом +22 066,7 млн руб. Воронежская область входит в число субъектов с низкой долговой нагрузкой, показатель «государственный долг к налоговым и неналоговым доходам» по итогам 2021 года снизился до 14,9% (в 2020 году – 18,7%, в 2019 году – 32,6%, в 2015 году – 63,3%). Государственный долг Воронежской области на 1 января 2022 года составил 16 790,9 млн рублей и снизился на 876,3 млн рублей к уровню начала года. Сумма государственного долга полностью приходиться на бюджетные кредиты из федерального бюджета. Расходы областного бюджета на обслуживание государственного долга за 2021 год составили 17,9 млн руб. (за 2020 год 65,7 млн рублей)</w:t>
      </w:r>
      <w:r>
        <w:rPr>
          <w:rStyle w:val="af2"/>
          <w:rFonts w:ascii="Times New Roman" w:hAnsi="Times New Roman" w:cs="Times New Roman"/>
          <w:sz w:val="26"/>
          <w:szCs w:val="26"/>
        </w:rPr>
        <w:footnoteReference w:id="50"/>
      </w:r>
      <w:r>
        <w:rPr>
          <w:rFonts w:ascii="Times New Roman" w:hAnsi="Times New Roman" w:cs="Times New Roman"/>
          <w:sz w:val="26"/>
          <w:szCs w:val="26"/>
        </w:rPr>
        <w:t>.</w:t>
      </w:r>
    </w:p>
    <w:p w14:paraId="2F58A165" w14:textId="77777777" w:rsidR="00DB474C" w:rsidRPr="002F245A" w:rsidRDefault="00DB474C" w:rsidP="00DB474C">
      <w:pPr>
        <w:spacing w:before="120" w:after="0" w:line="276" w:lineRule="auto"/>
        <w:ind w:firstLine="709"/>
        <w:jc w:val="center"/>
        <w:rPr>
          <w:rFonts w:ascii="Times New Roman" w:hAnsi="Times New Roman" w:cs="Times New Roman"/>
          <w:bCs/>
          <w:i/>
          <w:sz w:val="26"/>
          <w:szCs w:val="26"/>
        </w:rPr>
      </w:pPr>
      <w:r w:rsidRPr="002F245A">
        <w:rPr>
          <w:rFonts w:ascii="Times New Roman" w:hAnsi="Times New Roman" w:cs="Times New Roman"/>
          <w:i/>
          <w:sz w:val="26"/>
          <w:szCs w:val="26"/>
        </w:rPr>
        <w:t>Выводы по основным экономическим, социальным, политическим и экологическим показателям Воронежской области в 202</w:t>
      </w:r>
      <w:r>
        <w:rPr>
          <w:rFonts w:ascii="Times New Roman" w:hAnsi="Times New Roman" w:cs="Times New Roman"/>
          <w:i/>
          <w:sz w:val="26"/>
          <w:szCs w:val="26"/>
        </w:rPr>
        <w:t>1</w:t>
      </w:r>
      <w:r w:rsidRPr="002F245A">
        <w:rPr>
          <w:rFonts w:ascii="Times New Roman" w:hAnsi="Times New Roman" w:cs="Times New Roman"/>
          <w:i/>
          <w:sz w:val="26"/>
          <w:szCs w:val="26"/>
        </w:rPr>
        <w:t>г.</w:t>
      </w:r>
    </w:p>
    <w:p w14:paraId="76345BDB" w14:textId="77777777" w:rsidR="00DB474C" w:rsidRPr="002F245A" w:rsidRDefault="00DB474C" w:rsidP="00DB474C">
      <w:pPr>
        <w:pStyle w:val="Standard"/>
        <w:spacing w:line="276" w:lineRule="auto"/>
        <w:ind w:firstLine="709"/>
        <w:jc w:val="both"/>
        <w:rPr>
          <w:kern w:val="0"/>
          <w:sz w:val="26"/>
          <w:szCs w:val="26"/>
          <w:shd w:val="clear" w:color="auto" w:fill="FFFFFF"/>
        </w:rPr>
      </w:pPr>
      <w:r w:rsidRPr="002F245A">
        <w:rPr>
          <w:kern w:val="0"/>
          <w:sz w:val="26"/>
          <w:szCs w:val="26"/>
          <w:shd w:val="clear" w:color="auto" w:fill="FFFFFF"/>
        </w:rPr>
        <w:t>В процессе анализа социально-экономического состояния Воронежской области за 202</w:t>
      </w:r>
      <w:r>
        <w:rPr>
          <w:kern w:val="0"/>
          <w:sz w:val="26"/>
          <w:szCs w:val="26"/>
          <w:shd w:val="clear" w:color="auto" w:fill="FFFFFF"/>
        </w:rPr>
        <w:t>1</w:t>
      </w:r>
      <w:r w:rsidRPr="002F245A">
        <w:rPr>
          <w:kern w:val="0"/>
          <w:sz w:val="26"/>
          <w:szCs w:val="26"/>
          <w:shd w:val="clear" w:color="auto" w:fill="FFFFFF"/>
        </w:rPr>
        <w:t>г. можно выявить следующие тенденции:</w:t>
      </w:r>
      <w:r w:rsidRPr="002F245A">
        <w:rPr>
          <w:rStyle w:val="11"/>
          <w:sz w:val="26"/>
          <w:szCs w:val="26"/>
        </w:rPr>
        <w:t xml:space="preserve"> </w:t>
      </w:r>
    </w:p>
    <w:p w14:paraId="51B4DB4A" w14:textId="77777777" w:rsidR="00DB474C" w:rsidRPr="002F245A" w:rsidRDefault="00DB474C" w:rsidP="00DB474C">
      <w:pPr>
        <w:pStyle w:val="Standard"/>
        <w:spacing w:line="276" w:lineRule="auto"/>
        <w:ind w:firstLine="709"/>
        <w:jc w:val="both"/>
        <w:rPr>
          <w:sz w:val="26"/>
          <w:szCs w:val="26"/>
        </w:rPr>
      </w:pPr>
      <w:r w:rsidRPr="002F245A">
        <w:rPr>
          <w:b/>
          <w:kern w:val="0"/>
          <w:sz w:val="26"/>
          <w:szCs w:val="26"/>
          <w:shd w:val="clear" w:color="auto" w:fill="FFFFFF"/>
        </w:rPr>
        <w:t>-</w:t>
      </w:r>
      <w:r w:rsidRPr="002F245A">
        <w:rPr>
          <w:rStyle w:val="StrongEmphasis"/>
          <w:sz w:val="26"/>
          <w:szCs w:val="26"/>
        </w:rPr>
        <w:t xml:space="preserve"> </w:t>
      </w:r>
      <w:r w:rsidRPr="001410AB">
        <w:rPr>
          <w:rStyle w:val="StrongEmphasis"/>
          <w:b w:val="0"/>
          <w:sz w:val="26"/>
          <w:szCs w:val="26"/>
        </w:rPr>
        <w:t>на 1 января 2022 г</w:t>
      </w:r>
      <w:r w:rsidRPr="001410AB">
        <w:rPr>
          <w:rStyle w:val="StrongEmphasis"/>
          <w:b w:val="0"/>
          <w:i/>
          <w:sz w:val="26"/>
          <w:szCs w:val="26"/>
        </w:rPr>
        <w:t>. численность населения</w:t>
      </w:r>
      <w:r w:rsidRPr="001410AB">
        <w:rPr>
          <w:rStyle w:val="StrongEmphasis"/>
          <w:b w:val="0"/>
          <w:sz w:val="26"/>
          <w:szCs w:val="26"/>
        </w:rPr>
        <w:t xml:space="preserve"> Воронежской области составила 2 287 678 чел.;</w:t>
      </w:r>
      <w:r w:rsidRPr="003507E2">
        <w:rPr>
          <w:rStyle w:val="StrongEmphasis"/>
          <w:sz w:val="26"/>
          <w:szCs w:val="26"/>
        </w:rPr>
        <w:t xml:space="preserve"> </w:t>
      </w:r>
      <w:r w:rsidRPr="003507E2">
        <w:rPr>
          <w:sz w:val="26"/>
          <w:szCs w:val="26"/>
        </w:rPr>
        <w:t>наблюдается</w:t>
      </w:r>
      <w:r w:rsidRPr="002F245A">
        <w:rPr>
          <w:b/>
          <w:sz w:val="26"/>
          <w:szCs w:val="26"/>
        </w:rPr>
        <w:t xml:space="preserve"> </w:t>
      </w:r>
      <w:r w:rsidRPr="002F245A">
        <w:rPr>
          <w:sz w:val="26"/>
          <w:szCs w:val="26"/>
        </w:rPr>
        <w:t>естественная убыль населения (по сравнению с 20</w:t>
      </w:r>
      <w:r>
        <w:rPr>
          <w:sz w:val="26"/>
          <w:szCs w:val="26"/>
        </w:rPr>
        <w:t>20</w:t>
      </w:r>
      <w:r w:rsidRPr="002F245A">
        <w:rPr>
          <w:sz w:val="26"/>
          <w:szCs w:val="26"/>
        </w:rPr>
        <w:t>г</w:t>
      </w:r>
      <w:r w:rsidRPr="00BE7ED4">
        <w:rPr>
          <w:color w:val="FF0000"/>
          <w:sz w:val="26"/>
          <w:szCs w:val="26"/>
        </w:rPr>
        <w:t xml:space="preserve">. </w:t>
      </w:r>
      <w:r w:rsidRPr="00826C03">
        <w:rPr>
          <w:sz w:val="26"/>
          <w:szCs w:val="26"/>
        </w:rPr>
        <w:t xml:space="preserve">увеличилась в 1,5 раза), </w:t>
      </w:r>
      <w:r w:rsidRPr="002F245A">
        <w:rPr>
          <w:sz w:val="26"/>
          <w:szCs w:val="26"/>
        </w:rPr>
        <w:t>миграционный прирост по сравнению с 20</w:t>
      </w:r>
      <w:r>
        <w:rPr>
          <w:sz w:val="26"/>
          <w:szCs w:val="26"/>
        </w:rPr>
        <w:t>20</w:t>
      </w:r>
      <w:r w:rsidRPr="002F245A">
        <w:rPr>
          <w:sz w:val="26"/>
          <w:szCs w:val="26"/>
        </w:rPr>
        <w:t xml:space="preserve"> годом у</w:t>
      </w:r>
      <w:r>
        <w:rPr>
          <w:sz w:val="26"/>
          <w:szCs w:val="26"/>
        </w:rPr>
        <w:t>величился</w:t>
      </w:r>
      <w:r w:rsidRPr="002F245A">
        <w:rPr>
          <w:sz w:val="26"/>
          <w:szCs w:val="26"/>
        </w:rPr>
        <w:t xml:space="preserve"> в 11,</w:t>
      </w:r>
      <w:r>
        <w:rPr>
          <w:sz w:val="26"/>
          <w:szCs w:val="26"/>
        </w:rPr>
        <w:t>9</w:t>
      </w:r>
      <w:r w:rsidRPr="002F245A">
        <w:rPr>
          <w:sz w:val="26"/>
          <w:szCs w:val="26"/>
        </w:rPr>
        <w:t xml:space="preserve"> раза;</w:t>
      </w:r>
    </w:p>
    <w:p w14:paraId="224D941B" w14:textId="77777777" w:rsidR="00DB474C" w:rsidRPr="002F245A" w:rsidRDefault="00DB474C" w:rsidP="00DB474C">
      <w:pPr>
        <w:pStyle w:val="Standard"/>
        <w:spacing w:line="276" w:lineRule="auto"/>
        <w:ind w:firstLine="709"/>
        <w:jc w:val="both"/>
        <w:rPr>
          <w:sz w:val="26"/>
          <w:szCs w:val="26"/>
        </w:rPr>
      </w:pPr>
      <w:r w:rsidRPr="002F245A">
        <w:rPr>
          <w:kern w:val="0"/>
          <w:sz w:val="26"/>
          <w:szCs w:val="26"/>
          <w:shd w:val="clear" w:color="auto" w:fill="FFFFFF"/>
        </w:rPr>
        <w:t>-</w:t>
      </w:r>
      <w:r w:rsidRPr="002F245A">
        <w:rPr>
          <w:i/>
          <w:sz w:val="26"/>
          <w:szCs w:val="26"/>
        </w:rPr>
        <w:t>денежные доходы</w:t>
      </w:r>
      <w:r w:rsidRPr="002F245A">
        <w:rPr>
          <w:sz w:val="26"/>
          <w:szCs w:val="26"/>
        </w:rPr>
        <w:t xml:space="preserve"> за 202</w:t>
      </w:r>
      <w:r>
        <w:rPr>
          <w:sz w:val="26"/>
          <w:szCs w:val="26"/>
        </w:rPr>
        <w:t>1</w:t>
      </w:r>
      <w:r w:rsidRPr="002F245A">
        <w:rPr>
          <w:sz w:val="26"/>
          <w:szCs w:val="26"/>
        </w:rPr>
        <w:t xml:space="preserve"> год по сравнению с соответствующим периодом 20</w:t>
      </w:r>
      <w:r>
        <w:rPr>
          <w:sz w:val="26"/>
          <w:szCs w:val="26"/>
        </w:rPr>
        <w:t>20</w:t>
      </w:r>
      <w:r w:rsidRPr="002F245A">
        <w:rPr>
          <w:sz w:val="26"/>
          <w:szCs w:val="26"/>
        </w:rPr>
        <w:t xml:space="preserve"> года у</w:t>
      </w:r>
      <w:r>
        <w:rPr>
          <w:sz w:val="26"/>
          <w:szCs w:val="26"/>
        </w:rPr>
        <w:t xml:space="preserve">величились </w:t>
      </w:r>
      <w:r w:rsidRPr="002F245A">
        <w:rPr>
          <w:sz w:val="26"/>
          <w:szCs w:val="26"/>
        </w:rPr>
        <w:t xml:space="preserve">на </w:t>
      </w:r>
      <w:r>
        <w:rPr>
          <w:sz w:val="26"/>
          <w:szCs w:val="26"/>
        </w:rPr>
        <w:t>8</w:t>
      </w:r>
      <w:r w:rsidRPr="002F245A">
        <w:rPr>
          <w:sz w:val="26"/>
          <w:szCs w:val="26"/>
        </w:rPr>
        <w:t>,</w:t>
      </w:r>
      <w:r>
        <w:rPr>
          <w:sz w:val="26"/>
          <w:szCs w:val="26"/>
        </w:rPr>
        <w:t>7</w:t>
      </w:r>
      <w:r w:rsidRPr="002F245A">
        <w:rPr>
          <w:sz w:val="26"/>
          <w:szCs w:val="26"/>
        </w:rPr>
        <w:t xml:space="preserve">%, </w:t>
      </w:r>
      <w:r w:rsidRPr="002F245A">
        <w:rPr>
          <w:i/>
          <w:sz w:val="26"/>
          <w:szCs w:val="26"/>
        </w:rPr>
        <w:t xml:space="preserve">реальные денежные доходы </w:t>
      </w:r>
      <w:r w:rsidRPr="002F245A">
        <w:rPr>
          <w:sz w:val="26"/>
          <w:szCs w:val="26"/>
        </w:rPr>
        <w:t>у</w:t>
      </w:r>
      <w:r>
        <w:rPr>
          <w:sz w:val="26"/>
          <w:szCs w:val="26"/>
        </w:rPr>
        <w:t>величились</w:t>
      </w:r>
      <w:r w:rsidRPr="002F245A">
        <w:rPr>
          <w:sz w:val="26"/>
          <w:szCs w:val="26"/>
        </w:rPr>
        <w:t xml:space="preserve"> на </w:t>
      </w:r>
      <w:r>
        <w:rPr>
          <w:sz w:val="26"/>
          <w:szCs w:val="26"/>
        </w:rPr>
        <w:t>0</w:t>
      </w:r>
      <w:r w:rsidRPr="002F245A">
        <w:rPr>
          <w:sz w:val="26"/>
          <w:szCs w:val="26"/>
        </w:rPr>
        <w:t>,</w:t>
      </w:r>
      <w:r>
        <w:rPr>
          <w:sz w:val="26"/>
          <w:szCs w:val="26"/>
        </w:rPr>
        <w:t>4</w:t>
      </w:r>
      <w:r w:rsidRPr="002F245A">
        <w:rPr>
          <w:sz w:val="26"/>
          <w:szCs w:val="26"/>
        </w:rPr>
        <w:t>%;</w:t>
      </w:r>
    </w:p>
    <w:p w14:paraId="15378AB5" w14:textId="77777777" w:rsidR="00DB474C" w:rsidRPr="002F245A" w:rsidRDefault="00DB474C" w:rsidP="00DB474C">
      <w:pPr>
        <w:pStyle w:val="Standard"/>
        <w:spacing w:line="276" w:lineRule="auto"/>
        <w:ind w:firstLine="709"/>
        <w:jc w:val="both"/>
        <w:rPr>
          <w:sz w:val="26"/>
          <w:szCs w:val="26"/>
        </w:rPr>
      </w:pPr>
      <w:r w:rsidRPr="002F245A">
        <w:rPr>
          <w:i/>
          <w:sz w:val="26"/>
          <w:szCs w:val="26"/>
        </w:rPr>
        <w:t>-среднемесячная номинальная начисленная заработная плата</w:t>
      </w:r>
      <w:r w:rsidRPr="002F245A">
        <w:rPr>
          <w:sz w:val="26"/>
          <w:szCs w:val="26"/>
        </w:rPr>
        <w:t xml:space="preserve"> </w:t>
      </w:r>
      <w:r w:rsidRPr="00D5476D">
        <w:rPr>
          <w:sz w:val="26"/>
          <w:szCs w:val="26"/>
        </w:rPr>
        <w:t>в 2021 году составила 40875,7 рубля, что на 12,3% больше, чем за 2020 год</w:t>
      </w:r>
      <w:r>
        <w:rPr>
          <w:sz w:val="26"/>
          <w:szCs w:val="26"/>
        </w:rPr>
        <w:t xml:space="preserve">, </w:t>
      </w:r>
      <w:r w:rsidRPr="002F245A">
        <w:rPr>
          <w:sz w:val="26"/>
          <w:szCs w:val="26"/>
        </w:rPr>
        <w:t xml:space="preserve">уровень </w:t>
      </w:r>
      <w:r w:rsidRPr="00826C03">
        <w:rPr>
          <w:i/>
          <w:sz w:val="26"/>
          <w:szCs w:val="26"/>
        </w:rPr>
        <w:t>реальной заработной платы</w:t>
      </w:r>
      <w:r w:rsidRPr="002F245A">
        <w:rPr>
          <w:sz w:val="26"/>
          <w:szCs w:val="26"/>
        </w:rPr>
        <w:t xml:space="preserve"> </w:t>
      </w:r>
      <w:r>
        <w:rPr>
          <w:sz w:val="26"/>
          <w:szCs w:val="26"/>
        </w:rPr>
        <w:t xml:space="preserve">в </w:t>
      </w:r>
      <w:r w:rsidRPr="002F245A">
        <w:rPr>
          <w:sz w:val="26"/>
          <w:szCs w:val="26"/>
        </w:rPr>
        <w:t>202</w:t>
      </w:r>
      <w:r>
        <w:rPr>
          <w:sz w:val="26"/>
          <w:szCs w:val="26"/>
        </w:rPr>
        <w:t>1</w:t>
      </w:r>
      <w:r w:rsidRPr="002F245A">
        <w:rPr>
          <w:sz w:val="26"/>
          <w:szCs w:val="26"/>
        </w:rPr>
        <w:t xml:space="preserve"> год</w:t>
      </w:r>
      <w:r>
        <w:rPr>
          <w:sz w:val="26"/>
          <w:szCs w:val="26"/>
        </w:rPr>
        <w:t>у</w:t>
      </w:r>
      <w:r w:rsidRPr="002F245A">
        <w:rPr>
          <w:sz w:val="26"/>
          <w:szCs w:val="26"/>
        </w:rPr>
        <w:t xml:space="preserve"> </w:t>
      </w:r>
      <w:r>
        <w:rPr>
          <w:sz w:val="26"/>
          <w:szCs w:val="26"/>
        </w:rPr>
        <w:t xml:space="preserve">увеличился на </w:t>
      </w:r>
      <w:r w:rsidRPr="002F245A">
        <w:rPr>
          <w:sz w:val="26"/>
          <w:szCs w:val="26"/>
        </w:rPr>
        <w:t>1,</w:t>
      </w:r>
      <w:r>
        <w:rPr>
          <w:sz w:val="26"/>
          <w:szCs w:val="26"/>
        </w:rPr>
        <w:t>8</w:t>
      </w:r>
      <w:r w:rsidRPr="002F245A">
        <w:rPr>
          <w:sz w:val="26"/>
          <w:szCs w:val="26"/>
        </w:rPr>
        <w:t>%;</w:t>
      </w:r>
    </w:p>
    <w:p w14:paraId="0ED0EC64" w14:textId="77777777" w:rsidR="00DB474C" w:rsidRPr="002F245A" w:rsidRDefault="00DB474C" w:rsidP="00DB474C">
      <w:pPr>
        <w:pStyle w:val="Standard"/>
        <w:spacing w:line="276" w:lineRule="auto"/>
        <w:ind w:firstLine="709"/>
        <w:jc w:val="both"/>
        <w:rPr>
          <w:sz w:val="26"/>
          <w:szCs w:val="26"/>
        </w:rPr>
      </w:pPr>
      <w:r w:rsidRPr="002F245A">
        <w:rPr>
          <w:sz w:val="26"/>
          <w:szCs w:val="26"/>
        </w:rPr>
        <w:t>-</w:t>
      </w:r>
      <w:r w:rsidRPr="002F245A">
        <w:rPr>
          <w:i/>
          <w:sz w:val="26"/>
          <w:szCs w:val="26"/>
        </w:rPr>
        <w:t>промышленное производство</w:t>
      </w:r>
      <w:r w:rsidRPr="002F245A">
        <w:rPr>
          <w:sz w:val="26"/>
          <w:szCs w:val="26"/>
          <w:lang w:eastAsia="ru-RU"/>
        </w:rPr>
        <w:t xml:space="preserve"> </w:t>
      </w:r>
      <w:r w:rsidRPr="002F245A">
        <w:rPr>
          <w:sz w:val="26"/>
          <w:szCs w:val="26"/>
        </w:rPr>
        <w:t xml:space="preserve">возросло на </w:t>
      </w:r>
      <w:r>
        <w:rPr>
          <w:sz w:val="26"/>
          <w:szCs w:val="26"/>
        </w:rPr>
        <w:t>4</w:t>
      </w:r>
      <w:r w:rsidRPr="002F245A">
        <w:rPr>
          <w:sz w:val="26"/>
          <w:szCs w:val="26"/>
        </w:rPr>
        <w:t>,8% к уровню 20</w:t>
      </w:r>
      <w:r>
        <w:rPr>
          <w:sz w:val="26"/>
          <w:szCs w:val="26"/>
        </w:rPr>
        <w:t>20</w:t>
      </w:r>
      <w:r w:rsidRPr="002F245A">
        <w:rPr>
          <w:sz w:val="26"/>
          <w:szCs w:val="26"/>
        </w:rPr>
        <w:t xml:space="preserve"> года (в РФ – </w:t>
      </w:r>
      <w:r>
        <w:rPr>
          <w:sz w:val="26"/>
          <w:szCs w:val="26"/>
        </w:rPr>
        <w:t>на 5</w:t>
      </w:r>
      <w:r w:rsidRPr="002F245A">
        <w:rPr>
          <w:sz w:val="26"/>
          <w:szCs w:val="26"/>
        </w:rPr>
        <w:t>,</w:t>
      </w:r>
      <w:r>
        <w:rPr>
          <w:sz w:val="26"/>
          <w:szCs w:val="26"/>
        </w:rPr>
        <w:t>3</w:t>
      </w:r>
      <w:r w:rsidRPr="002F245A">
        <w:rPr>
          <w:sz w:val="26"/>
          <w:szCs w:val="26"/>
        </w:rPr>
        <w:t>%);</w:t>
      </w:r>
    </w:p>
    <w:p w14:paraId="0009795F" w14:textId="77777777" w:rsidR="00DB474C" w:rsidRPr="002F245A" w:rsidRDefault="00DB474C" w:rsidP="00DB474C">
      <w:pPr>
        <w:pStyle w:val="Standard"/>
        <w:spacing w:line="276" w:lineRule="auto"/>
        <w:ind w:firstLine="709"/>
        <w:jc w:val="both"/>
        <w:rPr>
          <w:sz w:val="26"/>
          <w:szCs w:val="26"/>
        </w:rPr>
      </w:pPr>
      <w:r w:rsidRPr="002F245A">
        <w:rPr>
          <w:i/>
          <w:sz w:val="26"/>
          <w:szCs w:val="26"/>
        </w:rPr>
        <w:t>-объем сельскохозяйственного производства</w:t>
      </w:r>
      <w:r w:rsidRPr="002F245A">
        <w:rPr>
          <w:sz w:val="26"/>
          <w:szCs w:val="26"/>
        </w:rPr>
        <w:t xml:space="preserve"> снизился на </w:t>
      </w:r>
      <w:r>
        <w:rPr>
          <w:sz w:val="26"/>
          <w:szCs w:val="26"/>
        </w:rPr>
        <w:t>2</w:t>
      </w:r>
      <w:r w:rsidRPr="002F245A">
        <w:rPr>
          <w:sz w:val="26"/>
          <w:szCs w:val="26"/>
        </w:rPr>
        <w:t>,</w:t>
      </w:r>
      <w:r>
        <w:rPr>
          <w:sz w:val="26"/>
          <w:szCs w:val="26"/>
        </w:rPr>
        <w:t>9</w:t>
      </w:r>
      <w:r w:rsidRPr="002F245A">
        <w:rPr>
          <w:sz w:val="26"/>
          <w:szCs w:val="26"/>
        </w:rPr>
        <w:t xml:space="preserve">% к уровню прошлого года (в РФ - на </w:t>
      </w:r>
      <w:r>
        <w:rPr>
          <w:sz w:val="26"/>
          <w:szCs w:val="26"/>
        </w:rPr>
        <w:t>0</w:t>
      </w:r>
      <w:r w:rsidRPr="002F245A">
        <w:rPr>
          <w:sz w:val="26"/>
          <w:szCs w:val="26"/>
        </w:rPr>
        <w:t>,</w:t>
      </w:r>
      <w:r>
        <w:rPr>
          <w:sz w:val="26"/>
          <w:szCs w:val="26"/>
        </w:rPr>
        <w:t>9</w:t>
      </w:r>
      <w:r w:rsidRPr="002F245A">
        <w:rPr>
          <w:sz w:val="26"/>
          <w:szCs w:val="26"/>
        </w:rPr>
        <w:t>%);</w:t>
      </w:r>
    </w:p>
    <w:p w14:paraId="0681D81B" w14:textId="77777777" w:rsidR="00DB474C" w:rsidRPr="002F245A" w:rsidRDefault="00DB474C" w:rsidP="00DB474C">
      <w:pPr>
        <w:pStyle w:val="Standard"/>
        <w:spacing w:line="276" w:lineRule="auto"/>
        <w:ind w:firstLine="709"/>
        <w:jc w:val="both"/>
        <w:rPr>
          <w:sz w:val="26"/>
          <w:szCs w:val="26"/>
        </w:rPr>
      </w:pPr>
      <w:r w:rsidRPr="002F245A">
        <w:rPr>
          <w:sz w:val="26"/>
          <w:szCs w:val="26"/>
        </w:rPr>
        <w:t xml:space="preserve">-объем работ, выполненных по виду деятельности </w:t>
      </w:r>
      <w:r w:rsidRPr="002F245A">
        <w:rPr>
          <w:i/>
          <w:sz w:val="26"/>
          <w:szCs w:val="26"/>
        </w:rPr>
        <w:t>«строительство»,</w:t>
      </w:r>
      <w:r w:rsidRPr="002F245A">
        <w:rPr>
          <w:sz w:val="26"/>
          <w:szCs w:val="26"/>
        </w:rPr>
        <w:t xml:space="preserve"> с</w:t>
      </w:r>
      <w:r>
        <w:rPr>
          <w:sz w:val="26"/>
          <w:szCs w:val="26"/>
        </w:rPr>
        <w:t>нижен на</w:t>
      </w:r>
      <w:r w:rsidRPr="002F245A">
        <w:rPr>
          <w:sz w:val="26"/>
          <w:szCs w:val="26"/>
        </w:rPr>
        <w:t xml:space="preserve"> </w:t>
      </w:r>
      <w:r>
        <w:rPr>
          <w:sz w:val="26"/>
          <w:szCs w:val="26"/>
        </w:rPr>
        <w:t>35</w:t>
      </w:r>
      <w:r w:rsidRPr="002F245A">
        <w:rPr>
          <w:sz w:val="26"/>
          <w:szCs w:val="26"/>
        </w:rPr>
        <w:t>,1% к уровню 2</w:t>
      </w:r>
      <w:r>
        <w:rPr>
          <w:sz w:val="26"/>
          <w:szCs w:val="26"/>
        </w:rPr>
        <w:t>020</w:t>
      </w:r>
      <w:r w:rsidRPr="002F245A">
        <w:rPr>
          <w:sz w:val="26"/>
          <w:szCs w:val="26"/>
        </w:rPr>
        <w:t xml:space="preserve"> года (в РФ </w:t>
      </w:r>
      <w:r>
        <w:rPr>
          <w:sz w:val="26"/>
          <w:szCs w:val="26"/>
        </w:rPr>
        <w:t>–</w:t>
      </w:r>
      <w:r w:rsidRPr="002F245A">
        <w:rPr>
          <w:sz w:val="26"/>
          <w:szCs w:val="26"/>
        </w:rPr>
        <w:t xml:space="preserve"> </w:t>
      </w:r>
      <w:r>
        <w:rPr>
          <w:sz w:val="26"/>
          <w:szCs w:val="26"/>
        </w:rPr>
        <w:t>рост на 6</w:t>
      </w:r>
      <w:r w:rsidRPr="002F245A">
        <w:rPr>
          <w:sz w:val="26"/>
          <w:szCs w:val="26"/>
        </w:rPr>
        <w:t>%);</w:t>
      </w:r>
    </w:p>
    <w:p w14:paraId="3E4C25D4" w14:textId="77777777" w:rsidR="00DB474C" w:rsidRPr="002F245A" w:rsidRDefault="00DB474C" w:rsidP="00DB474C">
      <w:pPr>
        <w:pStyle w:val="Standard"/>
        <w:spacing w:line="276" w:lineRule="auto"/>
        <w:ind w:firstLine="709"/>
        <w:jc w:val="both"/>
        <w:rPr>
          <w:sz w:val="26"/>
          <w:szCs w:val="26"/>
        </w:rPr>
      </w:pPr>
      <w:r w:rsidRPr="002F245A">
        <w:rPr>
          <w:sz w:val="26"/>
          <w:szCs w:val="26"/>
        </w:rPr>
        <w:t>-</w:t>
      </w:r>
      <w:r w:rsidRPr="002F245A">
        <w:rPr>
          <w:i/>
          <w:sz w:val="26"/>
          <w:szCs w:val="26"/>
        </w:rPr>
        <w:t>грузооборот</w:t>
      </w:r>
      <w:r w:rsidRPr="002F245A">
        <w:rPr>
          <w:sz w:val="26"/>
          <w:szCs w:val="26"/>
        </w:rPr>
        <w:t xml:space="preserve"> транспорта увеличился на </w:t>
      </w:r>
      <w:r>
        <w:rPr>
          <w:sz w:val="26"/>
          <w:szCs w:val="26"/>
        </w:rPr>
        <w:t>14</w:t>
      </w:r>
      <w:r w:rsidRPr="002F245A">
        <w:rPr>
          <w:sz w:val="26"/>
          <w:szCs w:val="26"/>
        </w:rPr>
        <w:t>,</w:t>
      </w:r>
      <w:r>
        <w:rPr>
          <w:sz w:val="26"/>
          <w:szCs w:val="26"/>
        </w:rPr>
        <w:t>2</w:t>
      </w:r>
      <w:r w:rsidRPr="002F245A">
        <w:rPr>
          <w:sz w:val="26"/>
          <w:szCs w:val="26"/>
        </w:rPr>
        <w:t xml:space="preserve">%, </w:t>
      </w:r>
      <w:r w:rsidRPr="002F245A">
        <w:rPr>
          <w:i/>
          <w:sz w:val="26"/>
          <w:szCs w:val="26"/>
        </w:rPr>
        <w:t>пассажирооборот</w:t>
      </w:r>
      <w:r w:rsidRPr="002F245A">
        <w:rPr>
          <w:sz w:val="26"/>
          <w:szCs w:val="26"/>
        </w:rPr>
        <w:t xml:space="preserve"> транспорта </w:t>
      </w:r>
      <w:r>
        <w:rPr>
          <w:sz w:val="26"/>
          <w:szCs w:val="26"/>
        </w:rPr>
        <w:t>увеличился</w:t>
      </w:r>
      <w:r w:rsidRPr="002F245A">
        <w:rPr>
          <w:sz w:val="26"/>
          <w:szCs w:val="26"/>
        </w:rPr>
        <w:t xml:space="preserve"> на </w:t>
      </w:r>
      <w:r>
        <w:rPr>
          <w:sz w:val="26"/>
          <w:szCs w:val="26"/>
        </w:rPr>
        <w:t>1</w:t>
      </w:r>
      <w:r w:rsidRPr="002F245A">
        <w:rPr>
          <w:sz w:val="26"/>
          <w:szCs w:val="26"/>
        </w:rPr>
        <w:t>,</w:t>
      </w:r>
      <w:r>
        <w:rPr>
          <w:sz w:val="26"/>
          <w:szCs w:val="26"/>
        </w:rPr>
        <w:t>1</w:t>
      </w:r>
      <w:r w:rsidRPr="002F245A">
        <w:rPr>
          <w:sz w:val="26"/>
          <w:szCs w:val="26"/>
        </w:rPr>
        <w:t>%;</w:t>
      </w:r>
    </w:p>
    <w:p w14:paraId="0A5408FC" w14:textId="77777777" w:rsidR="00DB474C" w:rsidRPr="002F245A" w:rsidRDefault="00DB474C" w:rsidP="00DB474C">
      <w:pPr>
        <w:pStyle w:val="a7"/>
        <w:tabs>
          <w:tab w:val="left" w:pos="708"/>
        </w:tabs>
        <w:spacing w:line="276" w:lineRule="auto"/>
        <w:ind w:firstLine="709"/>
        <w:jc w:val="both"/>
        <w:rPr>
          <w:rFonts w:ascii="Times New Roman" w:hAnsi="Times New Roman" w:cs="Times New Roman"/>
          <w:color w:val="FF0000"/>
          <w:sz w:val="26"/>
          <w:szCs w:val="26"/>
        </w:rPr>
      </w:pPr>
      <w:r w:rsidRPr="002F245A">
        <w:rPr>
          <w:rFonts w:ascii="Times New Roman" w:hAnsi="Times New Roman" w:cs="Times New Roman"/>
          <w:sz w:val="26"/>
          <w:szCs w:val="26"/>
        </w:rPr>
        <w:t>-</w:t>
      </w:r>
      <w:r w:rsidRPr="002F245A">
        <w:rPr>
          <w:rFonts w:ascii="Times New Roman" w:hAnsi="Times New Roman" w:cs="Times New Roman"/>
          <w:sz w:val="26"/>
          <w:szCs w:val="26"/>
          <w:lang w:eastAsia="ru-RU"/>
        </w:rPr>
        <w:t>территория Воронежской области по показателям уровня загрязнения по сравнению с соседними областями по-прежнему относится к умеренно загрязненной;</w:t>
      </w:r>
    </w:p>
    <w:p w14:paraId="54E95A14" w14:textId="77777777" w:rsidR="00DB474C" w:rsidRPr="002F245A" w:rsidRDefault="00DB474C" w:rsidP="00DB474C">
      <w:pPr>
        <w:pStyle w:val="Standard"/>
        <w:spacing w:line="276" w:lineRule="auto"/>
        <w:ind w:firstLine="709"/>
        <w:jc w:val="both"/>
        <w:rPr>
          <w:sz w:val="26"/>
          <w:szCs w:val="26"/>
        </w:rPr>
      </w:pPr>
      <w:r w:rsidRPr="002F245A">
        <w:rPr>
          <w:sz w:val="26"/>
          <w:szCs w:val="26"/>
        </w:rPr>
        <w:t>-</w:t>
      </w:r>
      <w:r w:rsidRPr="0093308D">
        <w:rPr>
          <w:sz w:val="26"/>
          <w:szCs w:val="26"/>
        </w:rPr>
        <w:t xml:space="preserve"> </w:t>
      </w:r>
      <w:r>
        <w:rPr>
          <w:sz w:val="26"/>
          <w:szCs w:val="26"/>
        </w:rPr>
        <w:t>с</w:t>
      </w:r>
      <w:r w:rsidRPr="00111613">
        <w:rPr>
          <w:sz w:val="26"/>
          <w:szCs w:val="26"/>
        </w:rPr>
        <w:t xml:space="preserve">реднегодовой </w:t>
      </w:r>
      <w:r w:rsidRPr="00111613">
        <w:rPr>
          <w:i/>
          <w:sz w:val="26"/>
          <w:szCs w:val="26"/>
        </w:rPr>
        <w:t>индекс потребительских це</w:t>
      </w:r>
      <w:r w:rsidRPr="00111613">
        <w:rPr>
          <w:sz w:val="26"/>
          <w:szCs w:val="26"/>
        </w:rPr>
        <w:t>н на товары и услуги</w:t>
      </w:r>
      <w:r>
        <w:rPr>
          <w:sz w:val="26"/>
          <w:szCs w:val="26"/>
        </w:rPr>
        <w:t xml:space="preserve"> увеличился на 8,3% (по РФ- на 6,7%);</w:t>
      </w:r>
    </w:p>
    <w:p w14:paraId="17318364" w14:textId="77777777" w:rsidR="00DB474C" w:rsidRPr="002F245A" w:rsidRDefault="00DB474C" w:rsidP="00DB474C">
      <w:pPr>
        <w:pStyle w:val="Standard"/>
        <w:spacing w:line="276" w:lineRule="auto"/>
        <w:ind w:firstLine="709"/>
        <w:jc w:val="both"/>
        <w:rPr>
          <w:bCs/>
          <w:sz w:val="26"/>
          <w:szCs w:val="26"/>
        </w:rPr>
      </w:pPr>
      <w:r w:rsidRPr="002F245A">
        <w:rPr>
          <w:sz w:val="26"/>
          <w:szCs w:val="26"/>
        </w:rPr>
        <w:t>-</w:t>
      </w:r>
      <w:r w:rsidRPr="002F245A">
        <w:rPr>
          <w:bCs/>
          <w:sz w:val="26"/>
          <w:szCs w:val="26"/>
        </w:rPr>
        <w:t>правительством Воронежской области проводится и реализуется множество региональных программ, которые направлены на улучшение качества жизни населения.</w:t>
      </w:r>
    </w:p>
    <w:p w14:paraId="618A49CD" w14:textId="77777777" w:rsidR="00DB474C" w:rsidRDefault="00DB474C" w:rsidP="00DB474C">
      <w:pPr>
        <w:pStyle w:val="Standard"/>
        <w:spacing w:line="276" w:lineRule="auto"/>
        <w:ind w:firstLine="709"/>
        <w:jc w:val="both"/>
        <w:rPr>
          <w:sz w:val="26"/>
          <w:szCs w:val="26"/>
        </w:rPr>
      </w:pPr>
      <w:r w:rsidRPr="0093308D">
        <w:rPr>
          <w:sz w:val="26"/>
          <w:szCs w:val="26"/>
        </w:rPr>
        <w:t>Таким образом, в ключевых сферах реального сектора экономики Воронежской области отмечена позитивная динамика с опережением среднероссийских значений.</w:t>
      </w:r>
    </w:p>
    <w:p w14:paraId="113E1957" w14:textId="77777777" w:rsidR="00DB474C" w:rsidRDefault="00DB474C" w:rsidP="00DB474C"/>
    <w:p w14:paraId="165EC63F" w14:textId="77777777" w:rsidR="00DB474C" w:rsidRPr="002F245A" w:rsidRDefault="00DB474C" w:rsidP="00DB474C">
      <w:pPr>
        <w:pStyle w:val="3"/>
        <w:spacing w:line="276" w:lineRule="auto"/>
        <w:rPr>
          <w:rFonts w:cs="Times New Roman"/>
          <w:color w:val="auto"/>
          <w:sz w:val="26"/>
          <w:szCs w:val="26"/>
        </w:rPr>
      </w:pPr>
      <w:bookmarkStart w:id="74" w:name="_Toc110506940"/>
      <w:r w:rsidRPr="002F245A">
        <w:rPr>
          <w:rFonts w:cs="Times New Roman"/>
          <w:color w:val="auto"/>
          <w:sz w:val="26"/>
          <w:szCs w:val="26"/>
        </w:rPr>
        <w:t>3.1.3 Анализ рынка недвижимости Воронежской области</w:t>
      </w:r>
      <w:bookmarkEnd w:id="74"/>
    </w:p>
    <w:p w14:paraId="4CE815BC" w14:textId="77777777" w:rsidR="00DB474C" w:rsidRPr="002F245A" w:rsidRDefault="00DB474C" w:rsidP="00DB474C">
      <w:pPr>
        <w:pStyle w:val="3"/>
        <w:spacing w:line="276" w:lineRule="auto"/>
        <w:rPr>
          <w:rFonts w:cs="Times New Roman"/>
          <w:color w:val="auto"/>
          <w:sz w:val="26"/>
          <w:szCs w:val="26"/>
        </w:rPr>
      </w:pPr>
      <w:bookmarkStart w:id="75" w:name="_Toc110506941"/>
      <w:r w:rsidRPr="002F245A">
        <w:rPr>
          <w:rFonts w:cs="Times New Roman"/>
          <w:color w:val="auto"/>
          <w:sz w:val="26"/>
          <w:szCs w:val="26"/>
        </w:rPr>
        <w:t>3.1.3.1 Общая информация о развитии рынка недвижимости</w:t>
      </w:r>
      <w:bookmarkEnd w:id="75"/>
    </w:p>
    <w:p w14:paraId="7E96A5A2" w14:textId="77777777" w:rsidR="00DB474C" w:rsidRPr="002F245A" w:rsidRDefault="00DB474C" w:rsidP="00DB474C">
      <w:pPr>
        <w:pStyle w:val="Standard"/>
        <w:spacing w:line="276" w:lineRule="auto"/>
        <w:ind w:firstLine="709"/>
        <w:jc w:val="both"/>
        <w:rPr>
          <w:sz w:val="26"/>
          <w:szCs w:val="26"/>
        </w:rPr>
      </w:pPr>
      <w:r w:rsidRPr="002F245A">
        <w:rPr>
          <w:sz w:val="26"/>
          <w:szCs w:val="26"/>
        </w:rPr>
        <w:t>Рынок недвижимости представляет собой особый социальный институт, своеобразный механизм свободного (в идеале) эквивалентного обмена недвижимости на деньги. Деятельность такого механизма регламентируется и регулируется рядом правил, которые устанавливаются на государственном уровне.</w:t>
      </w:r>
    </w:p>
    <w:p w14:paraId="745D3DF8" w14:textId="77777777" w:rsidR="00DB474C" w:rsidRPr="002F245A" w:rsidRDefault="00DB474C" w:rsidP="00DB474C">
      <w:pPr>
        <w:pStyle w:val="Standard"/>
        <w:spacing w:line="276" w:lineRule="auto"/>
        <w:ind w:firstLine="709"/>
        <w:jc w:val="both"/>
        <w:rPr>
          <w:sz w:val="26"/>
          <w:szCs w:val="26"/>
        </w:rPr>
      </w:pPr>
      <w:r w:rsidRPr="002F245A">
        <w:rPr>
          <w:sz w:val="26"/>
          <w:szCs w:val="26"/>
        </w:rPr>
        <w:t>В структуре рынка недвижимости можно выделить такие подвиды, как первичный и вторичный рынки недвижимости. Первичный рынок – это сегмент, на котором объекты недвижимости выступают в качестве товаров впервые. Часто главным продавцом на таком рынке являются федеральные, региональные и муниципальные органы власти, а также компании – застройщики жилья (как жилой, так и нежилой недвижимости). Вторичный рынок недвижимости – это сегмент, на котором недвижимость выступает в роли товара, бывшего «в употреблении», то есть принадлежащего конкретному собственнику (в роли которого может выступать физическое или юридическое лицо).</w:t>
      </w:r>
    </w:p>
    <w:p w14:paraId="381F58B1" w14:textId="77777777" w:rsidR="00DB474C" w:rsidRPr="002F245A" w:rsidRDefault="00DB474C" w:rsidP="00DB474C">
      <w:pPr>
        <w:pStyle w:val="Standard"/>
        <w:spacing w:line="276" w:lineRule="auto"/>
        <w:ind w:firstLine="709"/>
        <w:jc w:val="both"/>
        <w:rPr>
          <w:sz w:val="26"/>
          <w:szCs w:val="26"/>
        </w:rPr>
      </w:pPr>
      <w:r w:rsidRPr="002F245A">
        <w:rPr>
          <w:sz w:val="26"/>
          <w:szCs w:val="26"/>
        </w:rPr>
        <w:t>Рынок недвижимости реализует несколько важных функций, среди которых ценообразующая, регулирующая, коммерческая, функция санирования, информационная, посредническая, стимулирующая, инвестиционная, социальная.</w:t>
      </w:r>
    </w:p>
    <w:p w14:paraId="259A530C" w14:textId="77777777" w:rsidR="00DB474C" w:rsidRPr="002F245A" w:rsidRDefault="00DB474C" w:rsidP="00DB474C">
      <w:pPr>
        <w:pStyle w:val="Standard"/>
        <w:spacing w:line="276" w:lineRule="auto"/>
        <w:ind w:firstLine="709"/>
        <w:jc w:val="both"/>
        <w:rPr>
          <w:sz w:val="26"/>
          <w:szCs w:val="26"/>
        </w:rPr>
      </w:pPr>
      <w:r w:rsidRPr="002F245A">
        <w:rPr>
          <w:sz w:val="26"/>
          <w:szCs w:val="26"/>
        </w:rPr>
        <w:t xml:space="preserve">Учитывая особенности функций, которые возложены на рынок недвижимости, можно определить круг его участников следующим образом: </w:t>
      </w:r>
    </w:p>
    <w:p w14:paraId="2C70B78C" w14:textId="77777777" w:rsidR="00DB474C" w:rsidRPr="002F245A" w:rsidRDefault="00DB474C" w:rsidP="00DB474C">
      <w:pPr>
        <w:pStyle w:val="Standard"/>
        <w:spacing w:line="276" w:lineRule="auto"/>
        <w:ind w:firstLine="708"/>
        <w:jc w:val="both"/>
        <w:rPr>
          <w:sz w:val="26"/>
          <w:szCs w:val="26"/>
        </w:rPr>
      </w:pPr>
      <w:r w:rsidRPr="002F245A">
        <w:rPr>
          <w:sz w:val="26"/>
          <w:szCs w:val="26"/>
        </w:rPr>
        <w:t xml:space="preserve">-продавцы (либо арендодатели) - ими могут быть как собственники имущества, так и уполномоченные лица на осуществление сделок с недвижимостью;  </w:t>
      </w:r>
    </w:p>
    <w:p w14:paraId="7B3E3492" w14:textId="77777777" w:rsidR="00DB474C" w:rsidRPr="002F245A" w:rsidRDefault="00DB474C" w:rsidP="00DB474C">
      <w:pPr>
        <w:pStyle w:val="Standard"/>
        <w:spacing w:line="276" w:lineRule="auto"/>
        <w:ind w:firstLine="708"/>
        <w:jc w:val="both"/>
        <w:rPr>
          <w:sz w:val="26"/>
          <w:szCs w:val="26"/>
        </w:rPr>
      </w:pPr>
      <w:r w:rsidRPr="002F245A">
        <w:rPr>
          <w:sz w:val="26"/>
          <w:szCs w:val="26"/>
        </w:rPr>
        <w:t xml:space="preserve">-покупатели (либо арендаторы) - такие лица так же могут действовать как лично, так и через представителей; </w:t>
      </w:r>
    </w:p>
    <w:p w14:paraId="1C73C685" w14:textId="77777777" w:rsidR="00DB474C" w:rsidRPr="002F245A" w:rsidRDefault="00DB474C" w:rsidP="00DB474C">
      <w:pPr>
        <w:pStyle w:val="Standard"/>
        <w:spacing w:line="276" w:lineRule="auto"/>
        <w:ind w:firstLine="708"/>
        <w:jc w:val="both"/>
        <w:rPr>
          <w:sz w:val="26"/>
          <w:szCs w:val="26"/>
        </w:rPr>
      </w:pPr>
      <w:r w:rsidRPr="002F245A">
        <w:rPr>
          <w:sz w:val="26"/>
          <w:szCs w:val="26"/>
        </w:rPr>
        <w:t xml:space="preserve">-профессиональные участники рынка недвижимости. </w:t>
      </w:r>
    </w:p>
    <w:p w14:paraId="20938B00" w14:textId="77777777" w:rsidR="00DB474C" w:rsidRPr="002F245A" w:rsidRDefault="00DB474C" w:rsidP="00DB474C">
      <w:pPr>
        <w:pStyle w:val="Standard"/>
        <w:spacing w:line="276" w:lineRule="auto"/>
        <w:ind w:firstLine="709"/>
        <w:jc w:val="both"/>
        <w:rPr>
          <w:sz w:val="26"/>
          <w:szCs w:val="26"/>
        </w:rPr>
      </w:pPr>
      <w:r w:rsidRPr="002F245A">
        <w:rPr>
          <w:sz w:val="26"/>
          <w:szCs w:val="26"/>
        </w:rPr>
        <w:t xml:space="preserve">Профессиональными участниками рынка недвижимости являются следующие </w:t>
      </w:r>
    </w:p>
    <w:p w14:paraId="574838B2" w14:textId="77777777" w:rsidR="00DB474C" w:rsidRPr="002F245A" w:rsidRDefault="00DB474C" w:rsidP="00DB474C">
      <w:pPr>
        <w:pStyle w:val="Standard"/>
        <w:spacing w:line="276" w:lineRule="auto"/>
        <w:jc w:val="both"/>
        <w:rPr>
          <w:sz w:val="26"/>
          <w:szCs w:val="26"/>
        </w:rPr>
      </w:pPr>
      <w:r w:rsidRPr="002F245A">
        <w:rPr>
          <w:sz w:val="26"/>
          <w:szCs w:val="26"/>
        </w:rPr>
        <w:t xml:space="preserve">лица: </w:t>
      </w:r>
    </w:p>
    <w:p w14:paraId="08B3D943" w14:textId="77777777" w:rsidR="00DB474C" w:rsidRPr="002F245A" w:rsidRDefault="00DB474C" w:rsidP="00DB474C">
      <w:pPr>
        <w:pStyle w:val="Standard"/>
        <w:spacing w:line="276" w:lineRule="auto"/>
        <w:ind w:firstLine="709"/>
        <w:jc w:val="both"/>
        <w:rPr>
          <w:sz w:val="26"/>
          <w:szCs w:val="26"/>
        </w:rPr>
      </w:pPr>
      <w:r w:rsidRPr="002F245A">
        <w:rPr>
          <w:sz w:val="26"/>
          <w:szCs w:val="26"/>
        </w:rPr>
        <w:t xml:space="preserve">-специалисты по оценке недвижимости, а также по инвентаризации земли и строений; </w:t>
      </w:r>
    </w:p>
    <w:p w14:paraId="76A29596" w14:textId="77777777" w:rsidR="00DB474C" w:rsidRPr="002F245A" w:rsidRDefault="00DB474C" w:rsidP="00DB474C">
      <w:pPr>
        <w:pStyle w:val="Standard"/>
        <w:spacing w:line="276" w:lineRule="auto"/>
        <w:ind w:firstLine="709"/>
        <w:jc w:val="both"/>
        <w:rPr>
          <w:sz w:val="26"/>
          <w:szCs w:val="26"/>
        </w:rPr>
      </w:pPr>
      <w:r w:rsidRPr="002F245A">
        <w:rPr>
          <w:sz w:val="26"/>
          <w:szCs w:val="26"/>
        </w:rPr>
        <w:t xml:space="preserve">-юристы, нотариусы, органы опеки и попечительства, а также органы, регистрирующие права на объекты недвижимости; </w:t>
      </w:r>
    </w:p>
    <w:p w14:paraId="565188D0" w14:textId="77777777" w:rsidR="00DB474C" w:rsidRPr="002F245A" w:rsidRDefault="00DB474C" w:rsidP="00DB474C">
      <w:pPr>
        <w:pStyle w:val="Standard"/>
        <w:spacing w:line="276" w:lineRule="auto"/>
        <w:ind w:firstLine="709"/>
        <w:jc w:val="both"/>
        <w:rPr>
          <w:sz w:val="26"/>
          <w:szCs w:val="26"/>
        </w:rPr>
      </w:pPr>
      <w:r w:rsidRPr="002F245A">
        <w:rPr>
          <w:sz w:val="26"/>
          <w:szCs w:val="26"/>
        </w:rPr>
        <w:t xml:space="preserve">-проектировщики, архитекторы, строители, специалисты по технической эксплуатации строительных объектов, участники градостроительного развития; </w:t>
      </w:r>
    </w:p>
    <w:p w14:paraId="10FA6E01" w14:textId="77777777" w:rsidR="00DB474C" w:rsidRPr="002F245A" w:rsidRDefault="00DB474C" w:rsidP="00DB474C">
      <w:pPr>
        <w:pStyle w:val="Standard"/>
        <w:spacing w:line="276" w:lineRule="auto"/>
        <w:ind w:firstLine="709"/>
        <w:jc w:val="both"/>
        <w:rPr>
          <w:sz w:val="26"/>
          <w:szCs w:val="26"/>
        </w:rPr>
      </w:pPr>
      <w:r w:rsidRPr="002F245A">
        <w:rPr>
          <w:sz w:val="26"/>
          <w:szCs w:val="26"/>
        </w:rPr>
        <w:t xml:space="preserve">-специалисты в сфере финансов и анализа рынка недвижимости (финансисты, аналитики, ипотечные кредиторы, страховые компании, девелоперы); </w:t>
      </w:r>
    </w:p>
    <w:p w14:paraId="725AD90D" w14:textId="77777777" w:rsidR="00DB474C" w:rsidRPr="002F245A" w:rsidRDefault="00DB474C" w:rsidP="00DB474C">
      <w:pPr>
        <w:pStyle w:val="Standard"/>
        <w:spacing w:line="276" w:lineRule="auto"/>
        <w:ind w:firstLine="709"/>
        <w:jc w:val="both"/>
        <w:rPr>
          <w:sz w:val="26"/>
          <w:szCs w:val="26"/>
        </w:rPr>
      </w:pPr>
      <w:r w:rsidRPr="002F245A">
        <w:rPr>
          <w:sz w:val="26"/>
          <w:szCs w:val="26"/>
        </w:rPr>
        <w:t xml:space="preserve">-управляющие объектами недвижимости; </w:t>
      </w:r>
    </w:p>
    <w:p w14:paraId="2245CCDF" w14:textId="77777777" w:rsidR="00DB474C" w:rsidRPr="002F245A" w:rsidRDefault="00DB474C" w:rsidP="00DB474C">
      <w:pPr>
        <w:pStyle w:val="Standard"/>
        <w:spacing w:line="276" w:lineRule="auto"/>
        <w:ind w:firstLine="709"/>
        <w:jc w:val="both"/>
        <w:rPr>
          <w:sz w:val="26"/>
          <w:szCs w:val="26"/>
        </w:rPr>
      </w:pPr>
      <w:r w:rsidRPr="002F245A">
        <w:rPr>
          <w:sz w:val="26"/>
          <w:szCs w:val="26"/>
        </w:rPr>
        <w:t xml:space="preserve">-риэлторы – лица, занимающиеся любыми законными операциями с недвижимостью; </w:t>
      </w:r>
    </w:p>
    <w:p w14:paraId="6AD1584E" w14:textId="77777777" w:rsidR="00DB474C" w:rsidRPr="002F245A" w:rsidRDefault="00DB474C" w:rsidP="00DB474C">
      <w:pPr>
        <w:pStyle w:val="Standard"/>
        <w:spacing w:line="276" w:lineRule="auto"/>
        <w:ind w:firstLine="709"/>
        <w:jc w:val="both"/>
        <w:rPr>
          <w:sz w:val="26"/>
          <w:szCs w:val="26"/>
        </w:rPr>
      </w:pPr>
      <w:r w:rsidRPr="002F245A">
        <w:rPr>
          <w:sz w:val="26"/>
          <w:szCs w:val="26"/>
        </w:rPr>
        <w:t>-члены профессиональных объединений участников рынка недвижимости.</w:t>
      </w:r>
    </w:p>
    <w:p w14:paraId="7C35AB9B" w14:textId="77777777" w:rsidR="00DB474C" w:rsidRPr="002F245A" w:rsidRDefault="00DB474C" w:rsidP="00DB474C">
      <w:pPr>
        <w:spacing w:after="0" w:line="276" w:lineRule="auto"/>
        <w:ind w:firstLine="709"/>
        <w:jc w:val="both"/>
        <w:rPr>
          <w:rFonts w:ascii="Times New Roman" w:hAnsi="Times New Roman" w:cs="Times New Roman"/>
          <w:sz w:val="26"/>
          <w:szCs w:val="26"/>
        </w:rPr>
      </w:pPr>
      <w:r w:rsidRPr="002F245A">
        <w:rPr>
          <w:rFonts w:ascii="Times New Roman" w:hAnsi="Times New Roman" w:cs="Times New Roman"/>
          <w:sz w:val="26"/>
          <w:szCs w:val="26"/>
        </w:rPr>
        <w:t xml:space="preserve">Проведение сделки не предусматривает обязательного участия всех перечисленных лиц, каждый объект недвижимости индивидуален, имеет свой набор обременений и в зависимости от этого требует наличия тех или иных специалистов рынка недвижимости. В любом случае каждый из таких участников должен быть квалифицированным специалистом, обладающим определенными знаниями и навыками, ведь именно от него может зависеть исход сделки в итоге. </w:t>
      </w:r>
    </w:p>
    <w:p w14:paraId="32056281" w14:textId="77777777" w:rsidR="00DB474C" w:rsidRPr="002F245A" w:rsidRDefault="00DB474C" w:rsidP="00DB474C">
      <w:pPr>
        <w:pStyle w:val="Standard"/>
        <w:spacing w:line="276" w:lineRule="auto"/>
        <w:ind w:firstLine="709"/>
        <w:jc w:val="both"/>
        <w:rPr>
          <w:sz w:val="26"/>
          <w:szCs w:val="26"/>
        </w:rPr>
      </w:pPr>
      <w:r w:rsidRPr="002F245A">
        <w:rPr>
          <w:sz w:val="26"/>
          <w:szCs w:val="26"/>
        </w:rPr>
        <w:t>Правовое регулирование рынка недвижимости, в том числе земельных отношений в Воронежской области осуществляется в соответствии с Конституцией Российской Федерации, Земельным кодексом Российской Федерации, Гражданским кодексом Российской Федерации, Градостроительным кодексом Российской Федерации, Федеральными законами и иными нормативными правовыми актами Российской Федерации, Уставом Воронежской области, законами Воронежской области, иными нормативными правовыми актами Воронежской области.</w:t>
      </w:r>
    </w:p>
    <w:p w14:paraId="13A0B8D2" w14:textId="77777777" w:rsidR="00DB474C" w:rsidRPr="002F245A" w:rsidRDefault="00DB474C" w:rsidP="00DB474C">
      <w:pPr>
        <w:pStyle w:val="Standard"/>
        <w:spacing w:line="276" w:lineRule="auto"/>
        <w:ind w:firstLine="709"/>
        <w:jc w:val="both"/>
        <w:rPr>
          <w:sz w:val="26"/>
          <w:szCs w:val="26"/>
        </w:rPr>
      </w:pPr>
      <w:r w:rsidRPr="002F245A">
        <w:rPr>
          <w:sz w:val="26"/>
          <w:szCs w:val="26"/>
        </w:rPr>
        <w:t>В соответствии с Конституцией РФ Правительство обладает широкими полномочиями по регулированию рынка недвижимости, которые во многом переданы Министерству экономического развития Российской Федерации (Минэкономразвития), Федеральной службе государственной регистрации кадастра и картографии (Росреестр), Федеральному агентству по управлению государственным имуществом (Росимущество) и их территориальным органам. Минэкономразвития России является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оценочной деятельности, земельных отношений (за исключением земель сельскохозяйственного назначения, а также перевода земель водного фонда и земель особо охраняемых территорий и объектов (в части, касающейся земель особо охраняемых природных территорий) в земли другой категории), государственного кадастра недвижимости, осуществления государственного кадастрового учета и кадастровой деятельности, государственной кадастровой оценки, государственного мониторинга земель (за исключением земель сельскохозяйственного назначения), государственной регистрации прав на недвижимое имущество, геодезии и картографии, создания и развития инфраструктуры пространственных данных Российской Федерации. Нормативно-правовое регулирование земельных отношений и государственного мониторинга земель в части земель сельскохозяйственного назначения осуществляет Минсельхоз России. Вопросы налогообложения недвижимого имущества регулируются Минфином России и подведомственной ему Федеральной налоговой службой. Нормативно-правовое регулирование по вопросам, регламентирующим создание и эксплуатацию объектов капитального строительства (в том числе жилого фонда) осуществляет Минстрой России, автодорожной и железнодорожной сетей - Минтранс России (Росавтодор, Росжелдор), по вопросам, регламентирующим сохранение лесного фонда, лесопользования и недропользования – Минприроды России (Рослесхоз, Роснедра). Органом исполнительной власти, непосредственно осуществляющим государственные функции по отношению к объектам недвижимого имущества, является Федеральная служба государственной регистрации, кадастра и картографии</w:t>
      </w:r>
      <w:r w:rsidRPr="002F245A">
        <w:rPr>
          <w:rStyle w:val="af2"/>
          <w:sz w:val="26"/>
          <w:szCs w:val="26"/>
        </w:rPr>
        <w:footnoteReference w:id="51"/>
      </w:r>
      <w:r w:rsidRPr="002F245A">
        <w:rPr>
          <w:sz w:val="26"/>
          <w:szCs w:val="26"/>
        </w:rPr>
        <w:t>.</w:t>
      </w:r>
    </w:p>
    <w:p w14:paraId="17DF0E7B" w14:textId="77777777" w:rsidR="00DB474C" w:rsidRPr="002F245A" w:rsidRDefault="00DB474C" w:rsidP="00DB474C">
      <w:pPr>
        <w:autoSpaceDE w:val="0"/>
        <w:autoSpaceDN w:val="0"/>
        <w:adjustRightInd w:val="0"/>
        <w:spacing w:after="0" w:line="276" w:lineRule="auto"/>
        <w:ind w:firstLine="709"/>
        <w:jc w:val="both"/>
        <w:rPr>
          <w:rFonts w:ascii="Times New Roman" w:hAnsi="Times New Roman" w:cs="Times New Roman"/>
          <w:sz w:val="24"/>
          <w:szCs w:val="24"/>
        </w:rPr>
      </w:pPr>
      <w:r w:rsidRPr="002F245A">
        <w:rPr>
          <w:rFonts w:ascii="Times New Roman" w:hAnsi="Times New Roman" w:cs="Times New Roman"/>
          <w:sz w:val="26"/>
          <w:szCs w:val="26"/>
        </w:rPr>
        <w:t>Основными исполнительные органами государственной власти Воронежской области, участвующими в регулировании рынка недвижимости, являются</w:t>
      </w:r>
      <w:r w:rsidRPr="002F245A">
        <w:rPr>
          <w:rStyle w:val="af2"/>
          <w:rFonts w:ascii="Times New Roman" w:hAnsi="Times New Roman" w:cs="Times New Roman"/>
          <w:sz w:val="24"/>
          <w:szCs w:val="24"/>
        </w:rPr>
        <w:footnoteReference w:id="52"/>
      </w:r>
      <w:r w:rsidRPr="002F245A">
        <w:rPr>
          <w:rFonts w:ascii="Times New Roman" w:hAnsi="Times New Roman" w:cs="Times New Roman"/>
          <w:sz w:val="24"/>
          <w:szCs w:val="24"/>
        </w:rPr>
        <w:t>:</w:t>
      </w:r>
    </w:p>
    <w:p w14:paraId="633B5561" w14:textId="77777777" w:rsidR="00DB474C" w:rsidRPr="002F245A" w:rsidRDefault="00DB474C" w:rsidP="00DB474C">
      <w:pPr>
        <w:autoSpaceDE w:val="0"/>
        <w:autoSpaceDN w:val="0"/>
        <w:adjustRightInd w:val="0"/>
        <w:spacing w:after="0" w:line="276" w:lineRule="auto"/>
        <w:ind w:firstLine="709"/>
        <w:jc w:val="both"/>
        <w:rPr>
          <w:rFonts w:ascii="Times New Roman" w:hAnsi="Times New Roman" w:cs="Times New Roman"/>
          <w:sz w:val="26"/>
          <w:szCs w:val="26"/>
          <w:shd w:val="clear" w:color="auto" w:fill="FFFFFF"/>
        </w:rPr>
      </w:pPr>
      <w:r w:rsidRPr="002F245A">
        <w:rPr>
          <w:rFonts w:ascii="Times New Roman" w:hAnsi="Times New Roman" w:cs="Times New Roman"/>
          <w:sz w:val="26"/>
          <w:szCs w:val="26"/>
          <w:shd w:val="clear" w:color="auto" w:fill="FFFFFF"/>
        </w:rPr>
        <w:t>-департамент имущественных и земельных отношений уполномочен осуществлять государственное управление в области приватизации, управления и распоряжения государственным имуществом и земельными ресурсами на территории Воронежской области в пределах своей компетенции, проведения государственной кадастровой оценки;</w:t>
      </w:r>
      <w:r w:rsidRPr="002F245A">
        <w:rPr>
          <w:rFonts w:ascii="Times New Roman" w:hAnsi="Times New Roman" w:cs="Times New Roman"/>
          <w:sz w:val="26"/>
          <w:szCs w:val="26"/>
        </w:rPr>
        <w:t xml:space="preserve"> также является уполномоченным органом субъекта Российской Федерации, которое наделяет полномочиями, связанными с определением кадастровой стоимости, бюджетное учреждение, созданное субъектом Российской Федерации;</w:t>
      </w:r>
    </w:p>
    <w:p w14:paraId="76475C20" w14:textId="77777777" w:rsidR="00DB474C" w:rsidRPr="002F245A" w:rsidRDefault="00DB474C" w:rsidP="00DB474C">
      <w:pPr>
        <w:autoSpaceDE w:val="0"/>
        <w:autoSpaceDN w:val="0"/>
        <w:adjustRightInd w:val="0"/>
        <w:spacing w:after="0" w:line="276" w:lineRule="auto"/>
        <w:ind w:firstLine="709"/>
        <w:jc w:val="both"/>
        <w:rPr>
          <w:rFonts w:ascii="Times New Roman" w:hAnsi="Times New Roman" w:cs="Times New Roman"/>
          <w:sz w:val="26"/>
          <w:szCs w:val="26"/>
        </w:rPr>
      </w:pPr>
      <w:r w:rsidRPr="002F245A">
        <w:rPr>
          <w:rFonts w:ascii="Times New Roman" w:hAnsi="Times New Roman" w:cs="Times New Roman"/>
          <w:sz w:val="26"/>
          <w:szCs w:val="26"/>
          <w:shd w:val="clear" w:color="auto" w:fill="FFFFFF"/>
        </w:rPr>
        <w:t>-департамент экономического развития Воронежской области, который уполномочен в сфере инновационной деятельности, обеспечивающий формирование и осуществление областной инновационной политики, осуществляющий функции по реализации государственной (областной) политики в сфере экономического развития, стратегического планирования, содействия развитию конкуренции, инвестиционной деятельности, международных и внешнеэкономических связей Воронежской области, ответственный за внедрение процедуры оценки регулирующего воздействия и выполняющий функции нормативно-правового, информационного и методического обеспечения оценки регулирующего воздействия;</w:t>
      </w:r>
    </w:p>
    <w:p w14:paraId="2AA63B6D" w14:textId="77777777" w:rsidR="00DB474C" w:rsidRPr="002F245A" w:rsidRDefault="00DB474C" w:rsidP="00DB474C">
      <w:pPr>
        <w:autoSpaceDE w:val="0"/>
        <w:autoSpaceDN w:val="0"/>
        <w:adjustRightInd w:val="0"/>
        <w:spacing w:after="0" w:line="276" w:lineRule="auto"/>
        <w:ind w:firstLine="709"/>
        <w:jc w:val="both"/>
        <w:rPr>
          <w:rFonts w:ascii="Times New Roman" w:hAnsi="Times New Roman" w:cs="Times New Roman"/>
          <w:sz w:val="26"/>
          <w:szCs w:val="26"/>
          <w:shd w:val="clear" w:color="auto" w:fill="FFFFFF"/>
        </w:rPr>
      </w:pPr>
      <w:r w:rsidRPr="002F245A">
        <w:rPr>
          <w:rFonts w:ascii="Times New Roman" w:hAnsi="Times New Roman" w:cs="Times New Roman"/>
          <w:sz w:val="26"/>
          <w:szCs w:val="26"/>
          <w:shd w:val="clear" w:color="auto" w:fill="FFFFFF"/>
        </w:rPr>
        <w:t>-государственная жилищная инспекция Воронежской области уполномочена на осуществление регионального государственного жилищного надзора;</w:t>
      </w:r>
    </w:p>
    <w:p w14:paraId="46428B8E" w14:textId="77777777" w:rsidR="00DB474C" w:rsidRPr="002F245A" w:rsidRDefault="00DB474C" w:rsidP="00DB474C">
      <w:pPr>
        <w:autoSpaceDE w:val="0"/>
        <w:autoSpaceDN w:val="0"/>
        <w:adjustRightInd w:val="0"/>
        <w:spacing w:after="0" w:line="276" w:lineRule="auto"/>
        <w:ind w:firstLine="709"/>
        <w:jc w:val="both"/>
        <w:rPr>
          <w:rFonts w:ascii="Times New Roman" w:hAnsi="Times New Roman" w:cs="Times New Roman"/>
          <w:sz w:val="26"/>
          <w:szCs w:val="26"/>
          <w:shd w:val="clear" w:color="auto" w:fill="FFFFFF"/>
        </w:rPr>
      </w:pPr>
      <w:r w:rsidRPr="002F245A">
        <w:rPr>
          <w:rFonts w:ascii="Times New Roman" w:hAnsi="Times New Roman" w:cs="Times New Roman"/>
          <w:sz w:val="26"/>
          <w:szCs w:val="26"/>
          <w:shd w:val="clear" w:color="auto" w:fill="FFFFFF"/>
        </w:rPr>
        <w:t>-управление архитектуры и градостроительства Воронежской области обеспечивает на территории Воронежской области разработку и реализацию государственной политики Воронежской области в сферах архитектуры и градостроительной деятельности, также является уполномоченным исполнительным органом государственной власти Воронежской области по вопросам административно-территориального устройства;</w:t>
      </w:r>
    </w:p>
    <w:p w14:paraId="01F0A0F4" w14:textId="77777777" w:rsidR="00DB474C" w:rsidRPr="002F245A" w:rsidRDefault="00DB474C" w:rsidP="00DB474C">
      <w:pPr>
        <w:autoSpaceDE w:val="0"/>
        <w:autoSpaceDN w:val="0"/>
        <w:adjustRightInd w:val="0"/>
        <w:spacing w:after="0" w:line="276" w:lineRule="auto"/>
        <w:ind w:firstLine="709"/>
        <w:jc w:val="both"/>
        <w:rPr>
          <w:rFonts w:ascii="Times New Roman" w:hAnsi="Times New Roman" w:cs="Times New Roman"/>
          <w:sz w:val="26"/>
          <w:szCs w:val="26"/>
          <w:shd w:val="clear" w:color="auto" w:fill="FFFFFF"/>
        </w:rPr>
      </w:pPr>
      <w:r w:rsidRPr="002F245A">
        <w:rPr>
          <w:rFonts w:ascii="Times New Roman" w:hAnsi="Times New Roman" w:cs="Times New Roman"/>
          <w:sz w:val="26"/>
          <w:szCs w:val="26"/>
          <w:shd w:val="clear" w:color="auto" w:fill="FFFFFF"/>
        </w:rPr>
        <w:t>- департамент жилищно-коммунального хозяйства и энергетики Воронежской области обеспечивает на территории Воронежской области разработку и реализацию государственной политики Воронежской области в сферах жилищно-коммунального хозяйства и энергетики;</w:t>
      </w:r>
    </w:p>
    <w:p w14:paraId="075B665E" w14:textId="77777777" w:rsidR="00DB474C" w:rsidRPr="002F245A" w:rsidRDefault="00DB474C" w:rsidP="00DB474C">
      <w:pPr>
        <w:autoSpaceDE w:val="0"/>
        <w:autoSpaceDN w:val="0"/>
        <w:adjustRightInd w:val="0"/>
        <w:spacing w:after="0" w:line="276" w:lineRule="auto"/>
        <w:ind w:firstLine="709"/>
        <w:jc w:val="both"/>
        <w:rPr>
          <w:rFonts w:ascii="Times New Roman" w:hAnsi="Times New Roman" w:cs="Times New Roman"/>
          <w:sz w:val="26"/>
          <w:szCs w:val="26"/>
          <w:shd w:val="clear" w:color="auto" w:fill="FFFFFF"/>
        </w:rPr>
      </w:pPr>
      <w:r w:rsidRPr="002F245A">
        <w:rPr>
          <w:rFonts w:ascii="Times New Roman" w:hAnsi="Times New Roman" w:cs="Times New Roman"/>
          <w:sz w:val="26"/>
          <w:szCs w:val="26"/>
          <w:shd w:val="clear" w:color="auto" w:fill="FFFFFF"/>
        </w:rPr>
        <w:t>-департамент строительной политики Воронежской области обеспечивает на территории Воронежской области разработку и реализацию государственной политики Воронежской области в сфере строительства и стройиндустрии Воронежской области.</w:t>
      </w:r>
    </w:p>
    <w:p w14:paraId="5872E0B1" w14:textId="77777777" w:rsidR="00DB474C" w:rsidRPr="002F245A" w:rsidRDefault="00DB474C" w:rsidP="00DB474C">
      <w:pPr>
        <w:autoSpaceDE w:val="0"/>
        <w:autoSpaceDN w:val="0"/>
        <w:adjustRightInd w:val="0"/>
        <w:spacing w:after="0" w:line="276" w:lineRule="auto"/>
        <w:ind w:firstLine="709"/>
        <w:jc w:val="both"/>
        <w:rPr>
          <w:rFonts w:ascii="Times New Roman" w:hAnsi="Times New Roman" w:cs="Times New Roman"/>
          <w:sz w:val="24"/>
          <w:szCs w:val="24"/>
          <w:shd w:val="clear" w:color="auto" w:fill="FFFFFF"/>
        </w:rPr>
      </w:pPr>
      <w:r w:rsidRPr="002F245A">
        <w:rPr>
          <w:rFonts w:ascii="Times New Roman" w:hAnsi="Times New Roman" w:cs="Times New Roman"/>
          <w:sz w:val="26"/>
          <w:szCs w:val="26"/>
          <w:shd w:val="clear" w:color="auto" w:fill="FFFFFF"/>
        </w:rPr>
        <w:t xml:space="preserve">Таким образом, согласно ст. 130 Гражданского Кодекса РФ,  к недвижимости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К недвижимым вещам относятся также подлежащие </w:t>
      </w:r>
      <w:r w:rsidRPr="002F245A">
        <w:rPr>
          <w:rFonts w:ascii="Times New Roman" w:hAnsi="Times New Roman" w:cs="Times New Roman"/>
          <w:sz w:val="26"/>
          <w:szCs w:val="26"/>
        </w:rPr>
        <w:t>государственной регистрации</w:t>
      </w:r>
      <w:r w:rsidRPr="002F245A">
        <w:rPr>
          <w:rFonts w:ascii="Times New Roman" w:hAnsi="Times New Roman" w:cs="Times New Roman"/>
          <w:sz w:val="26"/>
          <w:szCs w:val="26"/>
          <w:shd w:val="clear" w:color="auto" w:fill="FFFFFF"/>
        </w:rPr>
        <w:t xml:space="preserve"> воздушные и морские суда, суда внутреннего плавания; жилые и нежилые помещения, а также предназначенные для размещения транспортных средств части зданий или сооружений </w:t>
      </w:r>
      <w:r w:rsidRPr="002F245A">
        <w:rPr>
          <w:rFonts w:ascii="Times New Roman" w:hAnsi="Times New Roman" w:cs="Times New Roman"/>
          <w:sz w:val="26"/>
          <w:szCs w:val="26"/>
        </w:rPr>
        <w:t>(машино-места)</w:t>
      </w:r>
      <w:r w:rsidRPr="002F245A">
        <w:rPr>
          <w:rFonts w:ascii="Times New Roman" w:hAnsi="Times New Roman" w:cs="Times New Roman"/>
          <w:sz w:val="26"/>
          <w:szCs w:val="26"/>
          <w:shd w:val="clear" w:color="auto" w:fill="FFFFFF"/>
        </w:rPr>
        <w:t>, если границы таких помещений, частей зданий или сооружений описаны в установленном законодательством о государственном кадастровом учете порядке. Законом к недвижимым вещам может быть отнесено и иное имущество</w:t>
      </w:r>
      <w:r w:rsidRPr="002F245A">
        <w:rPr>
          <w:rStyle w:val="af2"/>
          <w:rFonts w:ascii="Times New Roman" w:hAnsi="Times New Roman" w:cs="Times New Roman"/>
          <w:sz w:val="24"/>
          <w:szCs w:val="24"/>
          <w:shd w:val="clear" w:color="auto" w:fill="FFFFFF"/>
        </w:rPr>
        <w:footnoteReference w:id="53"/>
      </w:r>
      <w:r w:rsidRPr="002F245A">
        <w:rPr>
          <w:rFonts w:ascii="Times New Roman" w:hAnsi="Times New Roman" w:cs="Times New Roman"/>
          <w:sz w:val="24"/>
          <w:szCs w:val="24"/>
          <w:shd w:val="clear" w:color="auto" w:fill="FFFFFF"/>
        </w:rPr>
        <w:t xml:space="preserve">. </w:t>
      </w:r>
    </w:p>
    <w:p w14:paraId="4A22CE24" w14:textId="77777777" w:rsidR="00DB474C" w:rsidRPr="002F245A" w:rsidRDefault="00DB474C" w:rsidP="00DB474C">
      <w:pPr>
        <w:autoSpaceDE w:val="0"/>
        <w:autoSpaceDN w:val="0"/>
        <w:adjustRightInd w:val="0"/>
        <w:spacing w:after="0" w:line="276" w:lineRule="auto"/>
        <w:ind w:firstLine="709"/>
        <w:jc w:val="both"/>
        <w:rPr>
          <w:rFonts w:ascii="Times New Roman" w:hAnsi="Times New Roman" w:cs="Times New Roman"/>
          <w:bCs/>
          <w:sz w:val="26"/>
          <w:szCs w:val="26"/>
        </w:rPr>
      </w:pPr>
      <w:r w:rsidRPr="002F245A">
        <w:rPr>
          <w:rFonts w:ascii="Times New Roman" w:hAnsi="Times New Roman" w:cs="Times New Roman"/>
          <w:sz w:val="26"/>
          <w:szCs w:val="26"/>
        </w:rPr>
        <w:t xml:space="preserve">В обзор </w:t>
      </w:r>
      <w:r w:rsidRPr="002F245A">
        <w:rPr>
          <w:rFonts w:ascii="Times New Roman" w:hAnsi="Times New Roman" w:cs="Times New Roman"/>
          <w:bCs/>
          <w:sz w:val="26"/>
          <w:szCs w:val="26"/>
        </w:rPr>
        <w:t xml:space="preserve">состояния рынка объектов недвижимости включаются анализ уровня цен в строительной отрасли, особенностей кредитования рынка недвижимости и его финансовых показателей, тарифов за пользование водо-, газо-, электро-, тепло- и иными видами снабжения, а также затрат на подключение к сетям инженерно-технического обеспечения. </w:t>
      </w:r>
    </w:p>
    <w:p w14:paraId="344B228E" w14:textId="77777777" w:rsidR="00DB474C" w:rsidRDefault="00DB474C" w:rsidP="00DB474C">
      <w:pPr>
        <w:pStyle w:val="Standard"/>
        <w:spacing w:line="276" w:lineRule="auto"/>
        <w:ind w:firstLine="709"/>
        <w:jc w:val="both"/>
        <w:rPr>
          <w:sz w:val="26"/>
          <w:szCs w:val="26"/>
        </w:rPr>
      </w:pPr>
      <w:r w:rsidRPr="00E0455F">
        <w:rPr>
          <w:i/>
          <w:sz w:val="26"/>
          <w:szCs w:val="26"/>
        </w:rPr>
        <w:t xml:space="preserve">Средняя фактическая стоимость 1 кв. метра общей площади жилых помещений </w:t>
      </w:r>
      <w:r w:rsidRPr="008534F9">
        <w:rPr>
          <w:sz w:val="26"/>
          <w:szCs w:val="26"/>
        </w:rPr>
        <w:t>во введенных в эксплуатацию жилых зданиях, построенных в 2021 году, составила 52787 рублей.</w:t>
      </w:r>
    </w:p>
    <w:p w14:paraId="41797582" w14:textId="77777777" w:rsidR="00DB474C" w:rsidRPr="002F245A" w:rsidRDefault="00DB474C" w:rsidP="00DB474C">
      <w:pPr>
        <w:pStyle w:val="Standard"/>
        <w:spacing w:line="276" w:lineRule="auto"/>
        <w:ind w:firstLine="709"/>
        <w:rPr>
          <w:bCs/>
          <w:i/>
          <w:sz w:val="26"/>
          <w:szCs w:val="26"/>
        </w:rPr>
      </w:pPr>
      <w:r w:rsidRPr="002F245A">
        <w:rPr>
          <w:bCs/>
          <w:i/>
          <w:sz w:val="26"/>
          <w:szCs w:val="26"/>
        </w:rPr>
        <w:t>Особенности кредитования рынка недвижимости</w:t>
      </w:r>
    </w:p>
    <w:p w14:paraId="6B9DC07C" w14:textId="77777777" w:rsidR="00DB474C" w:rsidRDefault="00DB474C" w:rsidP="00DB474C">
      <w:pPr>
        <w:pStyle w:val="Standard"/>
        <w:spacing w:line="276" w:lineRule="auto"/>
        <w:ind w:firstLine="709"/>
        <w:jc w:val="both"/>
        <w:rPr>
          <w:color w:val="000000"/>
          <w:sz w:val="26"/>
          <w:szCs w:val="26"/>
        </w:rPr>
      </w:pPr>
      <w:r w:rsidRPr="00CD592F">
        <w:rPr>
          <w:color w:val="000000"/>
          <w:sz w:val="26"/>
          <w:szCs w:val="26"/>
        </w:rPr>
        <w:t>По данным Банка России в декабре 2021 в Воронежской области объем ипотечных кредитов составил 8,043 млрд. рублей, при количестве - 3 018 шт. В процентах по отношению к ноябрю 2021 г. рост кол-ва на +33,90%, а объем на +40,37%. По сравнению с декабрём прошлого года, воронежцы меньше кредитов: 3018 шт. против 3194 шт. в декабре 2020 (-5,51%). Объем, наоборот, вырос: +22,35%.</w:t>
      </w:r>
    </w:p>
    <w:p w14:paraId="1DEE4119" w14:textId="77777777" w:rsidR="00DB474C" w:rsidRDefault="00DB474C" w:rsidP="00DB474C">
      <w:pPr>
        <w:pStyle w:val="Standard"/>
        <w:spacing w:line="276" w:lineRule="auto"/>
        <w:ind w:firstLine="709"/>
        <w:jc w:val="both"/>
        <w:rPr>
          <w:color w:val="000000"/>
          <w:sz w:val="26"/>
          <w:szCs w:val="26"/>
        </w:rPr>
      </w:pPr>
      <w:r w:rsidRPr="00CD592F">
        <w:rPr>
          <w:color w:val="000000"/>
          <w:sz w:val="26"/>
          <w:szCs w:val="26"/>
        </w:rPr>
        <w:t>Средняя величина займа составляет 2,665 млн. руб. (+4,83%. за месяц) Процентная ставка по ипотечным кредитам: 7,78% (самая высокая с апреля 2020). В дол</w:t>
      </w:r>
      <w:r>
        <w:rPr>
          <w:color w:val="000000"/>
          <w:sz w:val="26"/>
          <w:szCs w:val="26"/>
        </w:rPr>
        <w:t>е</w:t>
      </w:r>
      <w:r w:rsidRPr="00CD592F">
        <w:rPr>
          <w:color w:val="000000"/>
          <w:sz w:val="26"/>
          <w:szCs w:val="26"/>
        </w:rPr>
        <w:t>вках выросла до 6,19%. Средний срок ипотечного займа снизился до 21,4 лет.</w:t>
      </w:r>
    </w:p>
    <w:p w14:paraId="58440CDC" w14:textId="77777777" w:rsidR="00DB474C" w:rsidRDefault="00DB474C" w:rsidP="00DB474C">
      <w:pPr>
        <w:pStyle w:val="Standard"/>
        <w:spacing w:line="276" w:lineRule="auto"/>
        <w:ind w:firstLine="709"/>
        <w:jc w:val="both"/>
        <w:rPr>
          <w:color w:val="000000"/>
          <w:sz w:val="26"/>
          <w:szCs w:val="26"/>
        </w:rPr>
      </w:pPr>
      <w:r w:rsidRPr="00CD592F">
        <w:rPr>
          <w:color w:val="000000"/>
          <w:sz w:val="26"/>
          <w:szCs w:val="26"/>
        </w:rPr>
        <w:t>Объем ипотеки по ДДУ в декабре составил 40,46% от общего объема. В денежном эквиваленте в декабре застройщики на ипотеке заработали более 3,25 млрд. рублей. Средняя ставка ипотеки в рамках договоров долевого участия в декабре: 6,19%. По сравнению с ноябр</w:t>
      </w:r>
      <w:r>
        <w:rPr>
          <w:color w:val="000000"/>
          <w:sz w:val="26"/>
          <w:szCs w:val="26"/>
        </w:rPr>
        <w:t>е</w:t>
      </w:r>
      <w:r w:rsidRPr="00CD592F">
        <w:rPr>
          <w:color w:val="000000"/>
          <w:sz w:val="26"/>
          <w:szCs w:val="26"/>
        </w:rPr>
        <w:t>м 2021 г. количество договоров долевого участия выросло: +48,59%, а объем: +54,88%. Если сравнить с декабрём прошлого года, то объем вырос на +56,52%</w:t>
      </w:r>
      <w:r>
        <w:rPr>
          <w:rStyle w:val="af2"/>
          <w:color w:val="000000"/>
          <w:sz w:val="26"/>
          <w:szCs w:val="26"/>
        </w:rPr>
        <w:footnoteReference w:id="54"/>
      </w:r>
      <w:r w:rsidRPr="00CD592F">
        <w:rPr>
          <w:color w:val="000000"/>
          <w:sz w:val="26"/>
          <w:szCs w:val="26"/>
        </w:rPr>
        <w:t>.</w:t>
      </w:r>
    </w:p>
    <w:p w14:paraId="45AE3747" w14:textId="77777777" w:rsidR="00DB474C" w:rsidRPr="002F245A" w:rsidRDefault="00DB474C" w:rsidP="00DB474C">
      <w:pPr>
        <w:pStyle w:val="Standard"/>
        <w:spacing w:before="120" w:line="276" w:lineRule="auto"/>
        <w:rPr>
          <w:bCs/>
          <w:i/>
        </w:rPr>
      </w:pPr>
      <w:r w:rsidRPr="002F245A">
        <w:rPr>
          <w:bCs/>
          <w:i/>
          <w:sz w:val="26"/>
          <w:szCs w:val="26"/>
        </w:rPr>
        <w:t>Тарифы за пользование водо-, газо-, электро-, тепло- и иными видами снабжения</w:t>
      </w:r>
    </w:p>
    <w:p w14:paraId="478B7316" w14:textId="77777777" w:rsidR="00DB474C" w:rsidRPr="002F245A" w:rsidRDefault="00DB474C" w:rsidP="00DB474C">
      <w:pPr>
        <w:pStyle w:val="Standard"/>
        <w:spacing w:line="276" w:lineRule="auto"/>
        <w:ind w:firstLine="709"/>
        <w:jc w:val="both"/>
        <w:rPr>
          <w:sz w:val="26"/>
          <w:szCs w:val="26"/>
          <w:shd w:val="clear" w:color="auto" w:fill="FFFFFF"/>
        </w:rPr>
      </w:pPr>
      <w:r w:rsidRPr="002F245A">
        <w:rPr>
          <w:rFonts w:eastAsia="Calibri"/>
          <w:sz w:val="26"/>
          <w:szCs w:val="26"/>
          <w:lang w:eastAsia="en-US"/>
        </w:rPr>
        <w:t>Основная задача правительства как в целом страны, так и регионов, в том числе Воронежской области - повышение уровня и качества жизни населения.</w:t>
      </w:r>
      <w:r w:rsidRPr="002F245A">
        <w:rPr>
          <w:sz w:val="26"/>
          <w:szCs w:val="26"/>
        </w:rPr>
        <w:t xml:space="preserve"> Одним из важнейших направлений социально-экономического развития является реформирование и развитие жилищной сферы, создающей необходимые условия для жизнедеятельности человека. Ведущей отраслью в составе данной сферы выступает жилищно-коммунальное хозяйство, которое обеспечивает содержание жилищного фонда и доведение жилищно-коммунальных услуг до непосредственных потребителей. </w:t>
      </w:r>
      <w:r w:rsidRPr="002F245A">
        <w:rPr>
          <w:sz w:val="26"/>
          <w:szCs w:val="26"/>
          <w:shd w:val="clear" w:color="auto" w:fill="FFFFFF"/>
        </w:rPr>
        <w:t xml:space="preserve">Необходимость ежегодного пересмотра тарифов на коммунальные услуги обусловлена рядом факторов: ростом цен на энергоносители, увеличением ставок оплаты труда для работников соответствующих отраслей ЖКХ, ростом цен на ГСМ, строительные материалы, услуги сторонних организаций по обслуживанию оборудования и другими объективными причинами. В условиях рыночных отношений изменение тарифов на коммунальные услуги является неизбежным. </w:t>
      </w:r>
    </w:p>
    <w:p w14:paraId="4BCAFA18" w14:textId="77777777" w:rsidR="00DB474C" w:rsidRPr="00BE0641" w:rsidRDefault="00DB474C" w:rsidP="00DB474C">
      <w:pPr>
        <w:pStyle w:val="Standard"/>
        <w:spacing w:line="276" w:lineRule="auto"/>
        <w:ind w:firstLine="709"/>
        <w:jc w:val="both"/>
        <w:rPr>
          <w:sz w:val="26"/>
          <w:szCs w:val="26"/>
          <w:shd w:val="clear" w:color="auto" w:fill="FFFFFF"/>
        </w:rPr>
      </w:pPr>
      <w:r w:rsidRPr="002F245A">
        <w:rPr>
          <w:sz w:val="26"/>
          <w:szCs w:val="26"/>
        </w:rPr>
        <w:t xml:space="preserve">Согласно данным департамента государственного регулирования тарифов Воронежской области </w:t>
      </w:r>
      <w:r w:rsidRPr="002F245A">
        <w:rPr>
          <w:sz w:val="26"/>
          <w:szCs w:val="26"/>
          <w:shd w:val="clear" w:color="auto" w:fill="FFFFFF"/>
        </w:rPr>
        <w:t>с 01 июля 202</w:t>
      </w:r>
      <w:r>
        <w:rPr>
          <w:sz w:val="26"/>
          <w:szCs w:val="26"/>
          <w:shd w:val="clear" w:color="auto" w:fill="FFFFFF"/>
        </w:rPr>
        <w:t>1</w:t>
      </w:r>
      <w:r w:rsidRPr="002F245A">
        <w:rPr>
          <w:sz w:val="26"/>
          <w:szCs w:val="26"/>
          <w:shd w:val="clear" w:color="auto" w:fill="FFFFFF"/>
        </w:rPr>
        <w:t xml:space="preserve"> года осуществлено </w:t>
      </w:r>
      <w:r>
        <w:rPr>
          <w:sz w:val="26"/>
          <w:szCs w:val="26"/>
          <w:shd w:val="clear" w:color="auto" w:fill="FFFFFF"/>
        </w:rPr>
        <w:t xml:space="preserve">плановое </w:t>
      </w:r>
      <w:r w:rsidRPr="002F245A">
        <w:rPr>
          <w:sz w:val="26"/>
          <w:szCs w:val="26"/>
          <w:shd w:val="clear" w:color="auto" w:fill="FFFFFF"/>
        </w:rPr>
        <w:t xml:space="preserve">повышение тарифов на коммунальные услуги для населения Воронежской области. </w:t>
      </w:r>
      <w:r w:rsidRPr="00BE0641">
        <w:rPr>
          <w:rStyle w:val="af9"/>
          <w:rFonts w:eastAsiaTheme="majorEastAsia"/>
          <w:b w:val="0"/>
          <w:color w:val="242424"/>
          <w:sz w:val="26"/>
          <w:szCs w:val="26"/>
        </w:rPr>
        <w:t>На 2021 год распоряжением Правительства Российской Федерации от 31.10.2020 № 2827-р предельные индексы роста платы граждан установлены для Воронежской области с 01.07.2021 на уровне 4,0 %. Размер предельно допустимого отклонения от величины указанного индекса по отдельным муниципальным образованиям в 2021 году может составлять до 2%.</w:t>
      </w:r>
    </w:p>
    <w:p w14:paraId="44E94229" w14:textId="77777777" w:rsidR="00DB474C" w:rsidRPr="00BE0641" w:rsidRDefault="00DB474C" w:rsidP="00DB474C">
      <w:pPr>
        <w:pStyle w:val="af5"/>
        <w:shd w:val="clear" w:color="auto" w:fill="FFFFFF"/>
        <w:spacing w:before="0" w:beforeAutospacing="0" w:after="0" w:afterAutospacing="0" w:line="276" w:lineRule="auto"/>
        <w:ind w:firstLine="709"/>
        <w:jc w:val="both"/>
        <w:rPr>
          <w:color w:val="242424"/>
          <w:sz w:val="26"/>
          <w:szCs w:val="26"/>
        </w:rPr>
      </w:pPr>
      <w:r w:rsidRPr="00BE0641">
        <w:rPr>
          <w:color w:val="242424"/>
          <w:sz w:val="26"/>
          <w:szCs w:val="26"/>
        </w:rPr>
        <w:t>Данные ограничения установлены для совокупного платежа граждан за весь набор коммунальных услуг при сопоставимых условиях, то есть при одинаковом наборе и объеме предоставляемых услуг. Это означает, что рост платы за каждую конкретную коммунальную услугу может быть как выше, так и ниже установленных ограничений – при соблюдении допустимого прироста совокупного платежа за весь набор предоставляемых коммунальных услуг.</w:t>
      </w:r>
    </w:p>
    <w:p w14:paraId="439BF7C2" w14:textId="77777777" w:rsidR="00DB474C" w:rsidRPr="00BE0641" w:rsidRDefault="00DB474C" w:rsidP="00DB474C">
      <w:pPr>
        <w:pStyle w:val="af5"/>
        <w:shd w:val="clear" w:color="auto" w:fill="FFFFFF"/>
        <w:spacing w:before="0" w:beforeAutospacing="0" w:after="0" w:afterAutospacing="0" w:line="276" w:lineRule="auto"/>
        <w:ind w:firstLine="709"/>
        <w:jc w:val="both"/>
        <w:rPr>
          <w:color w:val="242424"/>
          <w:sz w:val="26"/>
          <w:szCs w:val="26"/>
        </w:rPr>
      </w:pPr>
      <w:r w:rsidRPr="00BE0641">
        <w:rPr>
          <w:color w:val="242424"/>
          <w:sz w:val="26"/>
          <w:szCs w:val="26"/>
        </w:rPr>
        <w:t xml:space="preserve">С 01.07.2021 года тарифы на </w:t>
      </w:r>
      <w:r w:rsidRPr="00BE0641">
        <w:rPr>
          <w:i/>
          <w:color w:val="242424"/>
          <w:sz w:val="26"/>
          <w:szCs w:val="26"/>
        </w:rPr>
        <w:t>электрическую энергию</w:t>
      </w:r>
      <w:r w:rsidRPr="00BE0641">
        <w:rPr>
          <w:color w:val="242424"/>
          <w:sz w:val="26"/>
          <w:szCs w:val="26"/>
        </w:rPr>
        <w:t xml:space="preserve"> установлены в следующих размерах с учетом НДС: для городского населения – 4 руб. 24 коп./кВт·ч; для городского населения, проживающего в домах с электроплитами, и сельского населения – 2 руб. 97коп./кВт·ч - с ростом тарифа 5 %.</w:t>
      </w:r>
    </w:p>
    <w:p w14:paraId="517CB7A6" w14:textId="77777777" w:rsidR="00DB474C" w:rsidRPr="00BE0641" w:rsidRDefault="00DB474C" w:rsidP="00DB474C">
      <w:pPr>
        <w:pStyle w:val="af5"/>
        <w:shd w:val="clear" w:color="auto" w:fill="FFFFFF"/>
        <w:spacing w:before="0" w:beforeAutospacing="0" w:after="0" w:afterAutospacing="0" w:line="276" w:lineRule="auto"/>
        <w:ind w:firstLine="709"/>
        <w:jc w:val="both"/>
        <w:rPr>
          <w:color w:val="242424"/>
          <w:sz w:val="26"/>
          <w:szCs w:val="26"/>
        </w:rPr>
      </w:pPr>
      <w:r w:rsidRPr="00BE0641">
        <w:rPr>
          <w:color w:val="242424"/>
          <w:sz w:val="26"/>
          <w:szCs w:val="26"/>
        </w:rPr>
        <w:t xml:space="preserve">Средневзвешенный тариф на </w:t>
      </w:r>
      <w:r w:rsidRPr="00BE0641">
        <w:rPr>
          <w:i/>
          <w:color w:val="242424"/>
          <w:sz w:val="26"/>
          <w:szCs w:val="26"/>
        </w:rPr>
        <w:t>тепловую энергию</w:t>
      </w:r>
      <w:r w:rsidRPr="00BE0641">
        <w:rPr>
          <w:color w:val="242424"/>
          <w:sz w:val="26"/>
          <w:szCs w:val="26"/>
        </w:rPr>
        <w:t xml:space="preserve"> на территории Воронежской области с 01.07.2021 года составляет 2189 руб. 76 коп./ Гкал (с учетом НДС) – с ростом 3,8 %.</w:t>
      </w:r>
    </w:p>
    <w:p w14:paraId="389E43E8" w14:textId="77777777" w:rsidR="00DB474C" w:rsidRPr="00BE0641" w:rsidRDefault="00DB474C" w:rsidP="00DB474C">
      <w:pPr>
        <w:pStyle w:val="af5"/>
        <w:shd w:val="clear" w:color="auto" w:fill="FFFFFF"/>
        <w:spacing w:before="0" w:beforeAutospacing="0" w:after="0" w:afterAutospacing="0" w:line="276" w:lineRule="auto"/>
        <w:ind w:firstLine="709"/>
        <w:jc w:val="both"/>
        <w:rPr>
          <w:color w:val="242424"/>
          <w:sz w:val="26"/>
          <w:szCs w:val="26"/>
        </w:rPr>
      </w:pPr>
      <w:r w:rsidRPr="00BE0641">
        <w:rPr>
          <w:color w:val="242424"/>
          <w:sz w:val="26"/>
          <w:szCs w:val="26"/>
        </w:rPr>
        <w:t xml:space="preserve">Средневзвешенный тариф по </w:t>
      </w:r>
      <w:r w:rsidRPr="00BE0641">
        <w:rPr>
          <w:i/>
          <w:color w:val="242424"/>
          <w:sz w:val="26"/>
          <w:szCs w:val="26"/>
        </w:rPr>
        <w:t>водоснабжению</w:t>
      </w:r>
      <w:r w:rsidRPr="00BE0641">
        <w:rPr>
          <w:color w:val="242424"/>
          <w:sz w:val="26"/>
          <w:szCs w:val="26"/>
        </w:rPr>
        <w:t xml:space="preserve"> на территории Воронежской области с 01.07.2021 года составляет 28 руб./ м3 (с учетом НДС).</w:t>
      </w:r>
    </w:p>
    <w:p w14:paraId="2A9FE4A3" w14:textId="77777777" w:rsidR="00DB474C" w:rsidRPr="00BE0641" w:rsidRDefault="00DB474C" w:rsidP="00DB474C">
      <w:pPr>
        <w:pStyle w:val="af5"/>
        <w:shd w:val="clear" w:color="auto" w:fill="FFFFFF"/>
        <w:spacing w:before="0" w:beforeAutospacing="0" w:after="0" w:afterAutospacing="0" w:line="276" w:lineRule="auto"/>
        <w:ind w:firstLine="709"/>
        <w:jc w:val="both"/>
        <w:rPr>
          <w:color w:val="242424"/>
          <w:sz w:val="26"/>
          <w:szCs w:val="26"/>
        </w:rPr>
      </w:pPr>
      <w:r w:rsidRPr="00BE0641">
        <w:rPr>
          <w:color w:val="242424"/>
          <w:sz w:val="26"/>
          <w:szCs w:val="26"/>
        </w:rPr>
        <w:t xml:space="preserve">Средневзвешенный тариф по </w:t>
      </w:r>
      <w:r w:rsidRPr="00BE0641">
        <w:rPr>
          <w:i/>
          <w:color w:val="242424"/>
          <w:sz w:val="26"/>
          <w:szCs w:val="26"/>
        </w:rPr>
        <w:t>водоотведению</w:t>
      </w:r>
      <w:r w:rsidRPr="00BE0641">
        <w:rPr>
          <w:color w:val="242424"/>
          <w:sz w:val="26"/>
          <w:szCs w:val="26"/>
        </w:rPr>
        <w:t xml:space="preserve"> на территории Воронежской области с 01.07.2021 года составляет 24 руб. 61 коп./ м3 (с учетом НДС). В среднем рост тарифов на водоотведение и водоснабжение составит не более 4%.</w:t>
      </w:r>
    </w:p>
    <w:p w14:paraId="53131462" w14:textId="77777777" w:rsidR="00DB474C" w:rsidRPr="00BE0641" w:rsidRDefault="00DB474C" w:rsidP="00DB474C">
      <w:pPr>
        <w:pStyle w:val="af5"/>
        <w:shd w:val="clear" w:color="auto" w:fill="FFFFFF"/>
        <w:spacing w:before="0" w:beforeAutospacing="0" w:after="0" w:afterAutospacing="0" w:line="276" w:lineRule="auto"/>
        <w:ind w:firstLine="709"/>
        <w:jc w:val="both"/>
        <w:rPr>
          <w:color w:val="242424"/>
          <w:sz w:val="26"/>
          <w:szCs w:val="26"/>
        </w:rPr>
      </w:pPr>
      <w:r w:rsidRPr="00BE0641">
        <w:rPr>
          <w:color w:val="242424"/>
          <w:sz w:val="26"/>
          <w:szCs w:val="26"/>
        </w:rPr>
        <w:t xml:space="preserve">Средневзвешенный тариф </w:t>
      </w:r>
      <w:r w:rsidRPr="00BE0641">
        <w:rPr>
          <w:i/>
          <w:color w:val="242424"/>
          <w:sz w:val="26"/>
          <w:szCs w:val="26"/>
        </w:rPr>
        <w:t>в сфере обращения с твердыми коммунальными отходами</w:t>
      </w:r>
      <w:r w:rsidRPr="00BE0641">
        <w:rPr>
          <w:color w:val="242424"/>
          <w:sz w:val="26"/>
          <w:szCs w:val="26"/>
        </w:rPr>
        <w:t xml:space="preserve"> на территории Воронежской области с 01.07.2021 года составляет 542 руб. 22 коп./ м3 – с ростом 2,55 %.</w:t>
      </w:r>
    </w:p>
    <w:p w14:paraId="1E01E545" w14:textId="77777777" w:rsidR="00DB474C" w:rsidRPr="00BE0641" w:rsidRDefault="00DB474C" w:rsidP="00DB474C">
      <w:pPr>
        <w:pStyle w:val="af5"/>
        <w:shd w:val="clear" w:color="auto" w:fill="FFFFFF"/>
        <w:spacing w:before="0" w:beforeAutospacing="0" w:after="0" w:afterAutospacing="0" w:line="276" w:lineRule="auto"/>
        <w:ind w:firstLine="709"/>
        <w:jc w:val="both"/>
        <w:rPr>
          <w:color w:val="242424"/>
          <w:sz w:val="26"/>
          <w:szCs w:val="26"/>
        </w:rPr>
      </w:pPr>
      <w:r w:rsidRPr="00BE0641">
        <w:rPr>
          <w:color w:val="242424"/>
          <w:sz w:val="26"/>
          <w:szCs w:val="26"/>
        </w:rPr>
        <w:t xml:space="preserve">Рост розничных цен на </w:t>
      </w:r>
      <w:r w:rsidRPr="00BE0641">
        <w:rPr>
          <w:i/>
          <w:color w:val="242424"/>
          <w:sz w:val="26"/>
          <w:szCs w:val="26"/>
        </w:rPr>
        <w:t>природный газ</w:t>
      </w:r>
      <w:r w:rsidRPr="00BE0641">
        <w:rPr>
          <w:color w:val="242424"/>
          <w:sz w:val="26"/>
          <w:szCs w:val="26"/>
        </w:rPr>
        <w:t>, реализуемый населению с 1 июля 2021 года, составит 3%.</w:t>
      </w:r>
    </w:p>
    <w:p w14:paraId="49C55099" w14:textId="77777777" w:rsidR="00DB474C" w:rsidRPr="00BE0641" w:rsidRDefault="00DB474C" w:rsidP="00DB474C">
      <w:pPr>
        <w:pStyle w:val="af5"/>
        <w:shd w:val="clear" w:color="auto" w:fill="FFFFFF"/>
        <w:spacing w:before="0" w:beforeAutospacing="0" w:after="0" w:afterAutospacing="0" w:line="276" w:lineRule="auto"/>
        <w:ind w:firstLine="709"/>
        <w:jc w:val="both"/>
        <w:rPr>
          <w:color w:val="242424"/>
          <w:sz w:val="26"/>
          <w:szCs w:val="26"/>
        </w:rPr>
      </w:pPr>
      <w:r w:rsidRPr="00BE0641">
        <w:rPr>
          <w:color w:val="242424"/>
          <w:sz w:val="26"/>
          <w:szCs w:val="26"/>
        </w:rPr>
        <w:t>Подробная информация о величине тарифа по каждой конкретной организации коммунального комплекса, обслуживающей территорию, опубликована на официальном сайте Департамента государственного регулирования тарифов Воронежской области http://urt.govvrn.ru/.ru в разделе «Тарифы и нормативы»</w:t>
      </w:r>
      <w:r>
        <w:rPr>
          <w:rStyle w:val="af2"/>
          <w:color w:val="242424"/>
          <w:sz w:val="26"/>
          <w:szCs w:val="26"/>
        </w:rPr>
        <w:footnoteReference w:id="55"/>
      </w:r>
      <w:r w:rsidRPr="00BE0641">
        <w:rPr>
          <w:color w:val="242424"/>
          <w:sz w:val="26"/>
          <w:szCs w:val="26"/>
        </w:rPr>
        <w:t>.</w:t>
      </w:r>
    </w:p>
    <w:p w14:paraId="31B1D0D4" w14:textId="77777777" w:rsidR="00DB474C" w:rsidRPr="002F245A" w:rsidRDefault="00DB474C" w:rsidP="00DB474C">
      <w:pPr>
        <w:pStyle w:val="af5"/>
        <w:shd w:val="clear" w:color="auto" w:fill="FFFFFF"/>
        <w:spacing w:before="120" w:beforeAutospacing="0" w:after="0" w:afterAutospacing="0" w:line="276" w:lineRule="auto"/>
        <w:ind w:firstLine="709"/>
        <w:jc w:val="center"/>
        <w:rPr>
          <w:bCs/>
          <w:i/>
          <w:sz w:val="26"/>
          <w:szCs w:val="26"/>
        </w:rPr>
      </w:pPr>
      <w:r w:rsidRPr="002F245A">
        <w:rPr>
          <w:bCs/>
          <w:i/>
          <w:sz w:val="26"/>
          <w:szCs w:val="26"/>
        </w:rPr>
        <w:t>Затраты на подключение к сетям инженерно-технического обеспечения</w:t>
      </w:r>
    </w:p>
    <w:p w14:paraId="0DA5274A" w14:textId="77777777" w:rsidR="00DB474C" w:rsidRPr="002F245A" w:rsidRDefault="00DB474C" w:rsidP="00DB474C">
      <w:pPr>
        <w:spacing w:after="0" w:line="276" w:lineRule="auto"/>
        <w:ind w:firstLine="709"/>
        <w:jc w:val="both"/>
        <w:rPr>
          <w:rFonts w:ascii="Times New Roman" w:hAnsi="Times New Roman" w:cs="Times New Roman"/>
          <w:sz w:val="26"/>
          <w:szCs w:val="26"/>
        </w:rPr>
      </w:pPr>
      <w:r w:rsidRPr="002F245A">
        <w:rPr>
          <w:rFonts w:ascii="Times New Roman" w:hAnsi="Times New Roman" w:cs="Times New Roman"/>
          <w:sz w:val="26"/>
          <w:szCs w:val="26"/>
          <w:shd w:val="clear" w:color="auto" w:fill="FFFFFF"/>
        </w:rPr>
        <w:t>Технологическое присоединение необходимо юридическим и физическим лицам, желающим получить возможность подключения вновь построенных объектов, не обеспеченных водоснабжением и водоотведением, — от построек на садово-дачных участках до магазинов, жилых домов, зданий и производственных сооружений, объектов культурно-развлекательного характера и социальной инфраструктуры.</w:t>
      </w:r>
      <w:r w:rsidRPr="002F245A">
        <w:rPr>
          <w:rFonts w:ascii="Times New Roman" w:hAnsi="Times New Roman" w:cs="Times New Roman"/>
          <w:sz w:val="26"/>
          <w:szCs w:val="26"/>
        </w:rPr>
        <w:t xml:space="preserve"> Вопросы технологического присоединения к сетям инженерно-технического обеспечения в Воронежской области регулирует Департамент жилищно-коммунального хозяйства и энергетики Воронежской области.</w:t>
      </w:r>
    </w:p>
    <w:p w14:paraId="13E1064C" w14:textId="77777777" w:rsidR="00DB474C" w:rsidRPr="002F245A" w:rsidRDefault="00DB474C" w:rsidP="00DB474C">
      <w:pPr>
        <w:pStyle w:val="af5"/>
        <w:shd w:val="clear" w:color="auto" w:fill="FFFFFF"/>
        <w:spacing w:before="0" w:beforeAutospacing="0" w:after="0" w:afterAutospacing="0" w:line="276" w:lineRule="auto"/>
        <w:ind w:firstLine="709"/>
        <w:jc w:val="both"/>
        <w:rPr>
          <w:sz w:val="26"/>
          <w:szCs w:val="26"/>
        </w:rPr>
      </w:pPr>
      <w:r w:rsidRPr="002F245A">
        <w:rPr>
          <w:sz w:val="26"/>
          <w:szCs w:val="26"/>
          <w:shd w:val="clear" w:color="auto" w:fill="FFFFFF"/>
        </w:rPr>
        <w:t xml:space="preserve">На территории городского округа город Воронеж присоединение энергопринимающих устройств физических и юридических лиц </w:t>
      </w:r>
      <w:r w:rsidRPr="002F245A">
        <w:rPr>
          <w:i/>
          <w:sz w:val="26"/>
          <w:szCs w:val="26"/>
          <w:shd w:val="clear" w:color="auto" w:fill="FFFFFF"/>
        </w:rPr>
        <w:t>к электрическим сетям</w:t>
      </w:r>
      <w:r w:rsidRPr="002F245A">
        <w:rPr>
          <w:sz w:val="26"/>
          <w:szCs w:val="26"/>
          <w:shd w:val="clear" w:color="auto" w:fill="FFFFFF"/>
        </w:rPr>
        <w:t xml:space="preserve"> осуществляется в соответствии с Постановлением Правительства Российской Федерации от 27.12.2004 № 861. Более подробная информация о тарифах представлена на сайтах электросетевых компаний, ссылки на которые представлены на портале правительства Воронежской области </w:t>
      </w:r>
      <w:r w:rsidRPr="002F245A">
        <w:rPr>
          <w:sz w:val="26"/>
          <w:szCs w:val="26"/>
          <w:vertAlign w:val="superscript"/>
        </w:rPr>
        <w:footnoteReference w:id="56"/>
      </w:r>
      <w:r w:rsidRPr="002F245A">
        <w:rPr>
          <w:sz w:val="26"/>
          <w:szCs w:val="26"/>
        </w:rPr>
        <w:t xml:space="preserve">. </w:t>
      </w:r>
      <w:r w:rsidRPr="002F245A">
        <w:rPr>
          <w:color w:val="000000"/>
          <w:sz w:val="26"/>
          <w:szCs w:val="26"/>
        </w:rPr>
        <w:t>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w:t>
      </w:r>
      <w:r w:rsidRPr="00F354FD">
        <w:rPr>
          <w:rStyle w:val="af9"/>
          <w:rFonts w:eastAsiaTheme="majorEastAsia"/>
          <w:b w:val="0"/>
          <w:color w:val="000000"/>
          <w:sz w:val="26"/>
          <w:szCs w:val="26"/>
          <w:bdr w:val="none" w:sz="0" w:space="0" w:color="auto" w:frame="1"/>
        </w:rPr>
        <w:t>не более 550 рублей</w:t>
      </w:r>
      <w:r w:rsidRPr="002F245A">
        <w:rPr>
          <w:color w:val="000000"/>
          <w:sz w:val="26"/>
          <w:szCs w:val="26"/>
        </w:rPr>
        <w:t> при присоединении заявителя, владеющего объектами, отнесенными к третьей категории надежности (по одному источнику электроснабжения) при одновременном соблюдении следующих условий «Правил технологического присоединения энергопринимающих устройств потребителей электрической энергии…», утвержденных Постановлением Правительства РФ от 27.12.2004 г. №861.</w:t>
      </w:r>
      <w:r w:rsidRPr="00E621DB">
        <w:rPr>
          <w:color w:val="000000"/>
          <w:sz w:val="26"/>
          <w:szCs w:val="26"/>
        </w:rPr>
        <w:t> </w:t>
      </w:r>
      <w:r w:rsidRPr="002F245A">
        <w:rPr>
          <w:sz w:val="26"/>
          <w:szCs w:val="26"/>
        </w:rPr>
        <w:t>Как правило, итоговый расчет производится после подачи заявки на технологическое присоединение при подготовке договора об осуществлении технологического присоединения</w:t>
      </w:r>
      <w:r w:rsidRPr="002F245A">
        <w:rPr>
          <w:rStyle w:val="af2"/>
          <w:sz w:val="26"/>
          <w:szCs w:val="26"/>
        </w:rPr>
        <w:footnoteReference w:id="57"/>
      </w:r>
      <w:r w:rsidRPr="002F245A">
        <w:rPr>
          <w:sz w:val="26"/>
          <w:szCs w:val="26"/>
        </w:rPr>
        <w:t>.</w:t>
      </w:r>
    </w:p>
    <w:p w14:paraId="3ABB3EDE" w14:textId="77777777" w:rsidR="00DB474C" w:rsidRPr="002F245A" w:rsidRDefault="00DB474C" w:rsidP="00DB474C">
      <w:pPr>
        <w:pStyle w:val="af5"/>
        <w:shd w:val="clear" w:color="auto" w:fill="FFFFFF"/>
        <w:spacing w:before="0" w:beforeAutospacing="0" w:after="0" w:afterAutospacing="0" w:line="276" w:lineRule="auto"/>
        <w:ind w:firstLine="709"/>
        <w:jc w:val="both"/>
        <w:rPr>
          <w:color w:val="242424"/>
          <w:sz w:val="26"/>
          <w:szCs w:val="26"/>
          <w:shd w:val="clear" w:color="auto" w:fill="FFFFFF"/>
        </w:rPr>
      </w:pPr>
      <w:r w:rsidRPr="002F245A">
        <w:rPr>
          <w:color w:val="242424"/>
          <w:sz w:val="26"/>
          <w:szCs w:val="26"/>
          <w:shd w:val="clear" w:color="auto" w:fill="FFFFFF"/>
        </w:rPr>
        <w:t xml:space="preserve">Присоединение объектов капитального строительства к централизованным системам теплоснабжения и горячего водоснабжения осуществляется в соответствии с Постановлением Правительства РФ от 16.04.2012 N 307, Постановлением Правительства РФ от 29.07.2013 N 642. Более подробную информацию, в том числе расчет предварительного размера платы за подключение, установленные тарифы, уточнение территориальной зоны деятельности, наличие свободной мощности, можно на сайте МКП «Воронежтеплосеть» и филиала ПАО «Квадра»  - «Воронежская  генерация» </w:t>
      </w:r>
      <w:r w:rsidRPr="007B7DEB">
        <w:rPr>
          <w:rStyle w:val="af2"/>
          <w:color w:val="242424"/>
        </w:rPr>
        <w:fldChar w:fldCharType="begin"/>
      </w:r>
      <w:r w:rsidRPr="007B7DEB">
        <w:rPr>
          <w:rStyle w:val="af2"/>
          <w:color w:val="242424"/>
        </w:rPr>
        <w:instrText xml:space="preserve"> HYPERLINK "http://www.quadra.ru/branches/branches/voronezh_generation/clients/)</w:instrText>
      </w:r>
      <w:r w:rsidRPr="007B7DEB">
        <w:rPr>
          <w:rStyle w:val="af2"/>
          <w:color w:val="242424"/>
          <w:sz w:val="26"/>
          <w:szCs w:val="26"/>
          <w:shd w:val="clear" w:color="auto" w:fill="FFFFFF"/>
        </w:rPr>
        <w:footnoteReference w:id="58"/>
      </w:r>
      <w:r w:rsidRPr="007B7DEB">
        <w:rPr>
          <w:rStyle w:val="af2"/>
          <w:color w:val="242424"/>
        </w:rPr>
        <w:instrText xml:space="preserve">" </w:instrText>
      </w:r>
      <w:r w:rsidRPr="007B7DEB">
        <w:rPr>
          <w:rStyle w:val="af2"/>
          <w:color w:val="242424"/>
        </w:rPr>
        <w:fldChar w:fldCharType="separate"/>
      </w:r>
      <w:r w:rsidRPr="007B7DEB">
        <w:rPr>
          <w:rStyle w:val="af2"/>
          <w:color w:val="242424"/>
        </w:rPr>
        <w:footnoteReference w:id="59"/>
      </w:r>
      <w:r w:rsidRPr="007B7DEB">
        <w:rPr>
          <w:rStyle w:val="af2"/>
          <w:color w:val="242424"/>
        </w:rPr>
        <w:fldChar w:fldCharType="end"/>
      </w:r>
      <w:r w:rsidRPr="007B7DEB">
        <w:rPr>
          <w:rStyle w:val="af2"/>
          <w:color w:val="242424"/>
        </w:rPr>
        <w:t>.</w:t>
      </w:r>
    </w:p>
    <w:p w14:paraId="3C679966" w14:textId="77777777" w:rsidR="00DB474C" w:rsidRDefault="00DB474C" w:rsidP="00DB474C">
      <w:pPr>
        <w:pStyle w:val="af5"/>
        <w:shd w:val="clear" w:color="auto" w:fill="FFFFFF"/>
        <w:spacing w:before="0" w:beforeAutospacing="0" w:after="0" w:afterAutospacing="0" w:line="276" w:lineRule="auto"/>
        <w:ind w:firstLine="709"/>
        <w:jc w:val="both"/>
        <w:rPr>
          <w:color w:val="242424"/>
          <w:sz w:val="26"/>
          <w:szCs w:val="26"/>
          <w:shd w:val="clear" w:color="auto" w:fill="FFFFFF"/>
        </w:rPr>
      </w:pPr>
      <w:r w:rsidRPr="002F245A">
        <w:rPr>
          <w:color w:val="242424"/>
          <w:sz w:val="26"/>
          <w:szCs w:val="26"/>
          <w:shd w:val="clear" w:color="auto" w:fill="FFFFFF"/>
        </w:rPr>
        <w:t>Присоединение объектов капитального строительства юридических и физических лиц к централизованным системам холодного водоснабжения и водоотведения осуществляется в соответствии с Правилами холодного водоснабжения и водоотведения, утвержденных Постановлением Правительства РФ от 29.07.2013 г. №644. Более подробную информацию, в том числе расчет предварительного размера платы за подключение, установленные тарифы, уточнение территориальной зоны деятельности, наличие свободной мощности, можно на сайте ООО «РВК-Воронеж»</w:t>
      </w:r>
      <w:r w:rsidRPr="002F245A">
        <w:rPr>
          <w:rStyle w:val="af2"/>
          <w:color w:val="242424"/>
          <w:sz w:val="26"/>
          <w:szCs w:val="26"/>
          <w:shd w:val="clear" w:color="auto" w:fill="FFFFFF"/>
        </w:rPr>
        <w:footnoteReference w:id="60"/>
      </w:r>
      <w:r w:rsidRPr="002F245A">
        <w:rPr>
          <w:color w:val="242424"/>
          <w:sz w:val="26"/>
          <w:szCs w:val="26"/>
          <w:shd w:val="clear" w:color="auto" w:fill="FFFFFF"/>
        </w:rPr>
        <w:t>.</w:t>
      </w:r>
    </w:p>
    <w:p w14:paraId="6D74B438" w14:textId="77777777" w:rsidR="00DB474C" w:rsidRPr="00E92F15" w:rsidRDefault="00DB474C" w:rsidP="00DB474C">
      <w:pPr>
        <w:pStyle w:val="28"/>
        <w:spacing w:after="0" w:line="276" w:lineRule="auto"/>
        <w:ind w:right="-2" w:firstLine="709"/>
        <w:jc w:val="center"/>
        <w:rPr>
          <w:rFonts w:ascii="Times New Roman" w:hAnsi="Times New Roman" w:cs="Times New Roman"/>
          <w:i/>
          <w:color w:val="1F3864" w:themeColor="accent1" w:themeShade="80"/>
          <w:sz w:val="26"/>
          <w:szCs w:val="26"/>
        </w:rPr>
      </w:pPr>
      <w:r w:rsidRPr="00E92F15">
        <w:rPr>
          <w:rFonts w:ascii="Times New Roman" w:hAnsi="Times New Roman" w:cs="Times New Roman"/>
          <w:i/>
          <w:sz w:val="26"/>
          <w:szCs w:val="26"/>
        </w:rPr>
        <w:t>Сбор сведений о рынке недвижимости</w:t>
      </w:r>
    </w:p>
    <w:p w14:paraId="3132C434" w14:textId="77777777" w:rsidR="00DB474C" w:rsidRPr="002F245A" w:rsidRDefault="00DB474C" w:rsidP="00DB474C">
      <w:pPr>
        <w:pStyle w:val="Standard"/>
        <w:spacing w:line="276" w:lineRule="auto"/>
        <w:ind w:firstLine="709"/>
        <w:jc w:val="both"/>
        <w:rPr>
          <w:rFonts w:eastAsia="Calibri"/>
          <w:sz w:val="26"/>
          <w:szCs w:val="26"/>
          <w:lang w:eastAsia="en-US"/>
        </w:rPr>
      </w:pPr>
      <w:r w:rsidRPr="002F245A">
        <w:rPr>
          <w:sz w:val="26"/>
          <w:szCs w:val="26"/>
        </w:rPr>
        <w:t xml:space="preserve">Исполнителем были собраны и проанализированы сведения о рынке недвижимости Воронежской области из периодических печатных изданий, сайтов </w:t>
      </w:r>
      <w:r w:rsidRPr="002F245A">
        <w:rPr>
          <w:rFonts w:eastAsia="Calibri"/>
          <w:sz w:val="26"/>
          <w:szCs w:val="26"/>
          <w:lang w:eastAsia="en-US"/>
        </w:rPr>
        <w:t>в информационно-телекоммуникационный сети «Интернет», данные о сделках от органов местного самоуправления, а также сведения от организаций, оказывающих услуги по сопровождению сделок с недвижимостью. В результате сбора рыночной информации Данная информация была проверена:</w:t>
      </w:r>
    </w:p>
    <w:p w14:paraId="039DBC1C" w14:textId="77777777" w:rsidR="00DB474C" w:rsidRPr="002F245A" w:rsidRDefault="00DB474C" w:rsidP="00DB474C">
      <w:pPr>
        <w:pStyle w:val="Standard"/>
        <w:spacing w:line="276" w:lineRule="auto"/>
        <w:ind w:firstLine="709"/>
        <w:jc w:val="both"/>
        <w:rPr>
          <w:rFonts w:eastAsia="Calibri"/>
          <w:sz w:val="26"/>
          <w:szCs w:val="26"/>
          <w:lang w:eastAsia="en-US"/>
        </w:rPr>
      </w:pPr>
      <w:r w:rsidRPr="002F245A">
        <w:rPr>
          <w:rFonts w:eastAsia="Calibri"/>
          <w:sz w:val="26"/>
          <w:szCs w:val="26"/>
          <w:lang w:eastAsia="en-US"/>
        </w:rPr>
        <w:t>-на полноту данных о необходимых характеристиках объектов недвижимости;</w:t>
      </w:r>
    </w:p>
    <w:p w14:paraId="55464102" w14:textId="77777777" w:rsidR="00DB474C" w:rsidRPr="002F245A" w:rsidRDefault="00DB474C" w:rsidP="00DB474C">
      <w:pPr>
        <w:pStyle w:val="Standard"/>
        <w:spacing w:line="276" w:lineRule="auto"/>
        <w:ind w:firstLine="709"/>
        <w:jc w:val="both"/>
        <w:rPr>
          <w:rFonts w:eastAsia="Calibri"/>
          <w:sz w:val="26"/>
          <w:szCs w:val="26"/>
          <w:lang w:eastAsia="en-US"/>
        </w:rPr>
      </w:pPr>
      <w:r w:rsidRPr="002F245A">
        <w:rPr>
          <w:rFonts w:eastAsia="Calibri"/>
          <w:sz w:val="26"/>
          <w:szCs w:val="26"/>
          <w:lang w:eastAsia="en-US"/>
        </w:rPr>
        <w:t>-на непротиворечивость информации;</w:t>
      </w:r>
    </w:p>
    <w:p w14:paraId="0338C478" w14:textId="77777777" w:rsidR="00DB474C" w:rsidRPr="002F245A" w:rsidRDefault="00DB474C" w:rsidP="00DB474C">
      <w:pPr>
        <w:pStyle w:val="Standard"/>
        <w:spacing w:line="276" w:lineRule="auto"/>
        <w:ind w:firstLine="708"/>
        <w:jc w:val="both"/>
        <w:rPr>
          <w:rFonts w:eastAsia="Calibri"/>
          <w:sz w:val="26"/>
          <w:szCs w:val="26"/>
          <w:lang w:eastAsia="en-US"/>
        </w:rPr>
      </w:pPr>
      <w:r w:rsidRPr="002F245A">
        <w:rPr>
          <w:rFonts w:eastAsia="Calibri"/>
          <w:sz w:val="26"/>
          <w:szCs w:val="26"/>
          <w:lang w:eastAsia="en-US"/>
        </w:rPr>
        <w:t>-отсутствие дублей.</w:t>
      </w:r>
    </w:p>
    <w:p w14:paraId="33D5E1CC" w14:textId="77777777" w:rsidR="00DB474C" w:rsidRDefault="00DB474C" w:rsidP="00DB474C">
      <w:pPr>
        <w:pStyle w:val="Standard"/>
        <w:spacing w:line="276" w:lineRule="auto"/>
        <w:ind w:firstLine="709"/>
        <w:jc w:val="both"/>
        <w:rPr>
          <w:sz w:val="26"/>
          <w:szCs w:val="26"/>
        </w:rPr>
      </w:pPr>
      <w:r w:rsidRPr="002F245A">
        <w:rPr>
          <w:sz w:val="26"/>
          <w:szCs w:val="26"/>
        </w:rPr>
        <w:t>Объекты-аналоги, по которым информация представлена некорректно, в дальнейшем не рассматривалась. В процессе анализа были исключены сведения о земельных участках, данные о которых были представлены не в полном объеме (например, отсутствуют необходимые сведения о площади, разрешенном использовании, цене предложения, или данные сведения некорректны).</w:t>
      </w:r>
    </w:p>
    <w:p w14:paraId="2F441D6A" w14:textId="77777777" w:rsidR="00DB474C" w:rsidRPr="00F24BF6" w:rsidRDefault="00DB474C" w:rsidP="00DB474C">
      <w:pPr>
        <w:spacing w:after="0" w:line="300" w:lineRule="auto"/>
        <w:ind w:firstLine="708"/>
        <w:jc w:val="both"/>
        <w:rPr>
          <w:rFonts w:ascii="Times New Roman" w:hAnsi="Times New Roman" w:cs="Times New Roman"/>
          <w:sz w:val="26"/>
          <w:szCs w:val="26"/>
        </w:rPr>
      </w:pPr>
      <w:r w:rsidRPr="00F24BF6">
        <w:rPr>
          <w:rFonts w:ascii="Times New Roman" w:hAnsi="Times New Roman" w:cs="Times New Roman"/>
          <w:sz w:val="26"/>
          <w:szCs w:val="26"/>
        </w:rPr>
        <w:t>В случае, если какие-либо из характеристик в объявлении не указаны, но объект можно идентифицировать (адрес, кадастровый номер), недостающие сведения черпаются из публичных источников: публичная кадастровая карта, сайт ГИС ЖКХ и пр.</w:t>
      </w:r>
      <w:r>
        <w:rPr>
          <w:rFonts w:ascii="Times New Roman" w:hAnsi="Times New Roman" w:cs="Times New Roman"/>
          <w:sz w:val="26"/>
          <w:szCs w:val="26"/>
        </w:rPr>
        <w:t xml:space="preserve"> </w:t>
      </w:r>
      <w:r w:rsidRPr="00F24BF6">
        <w:rPr>
          <w:rFonts w:ascii="Times New Roman" w:hAnsi="Times New Roman" w:cs="Times New Roman"/>
          <w:sz w:val="26"/>
          <w:szCs w:val="26"/>
        </w:rPr>
        <w:t>В случае, если в объявлении не указана площадь объекта, допускается уточнение площади и других характеристик по телефону, указанному в объявлении (на скриншоте объявления должен быть читаем телефон для связи).</w:t>
      </w:r>
    </w:p>
    <w:p w14:paraId="63292EDE" w14:textId="77777777" w:rsidR="00DB474C" w:rsidRPr="006C2B04" w:rsidRDefault="00DB474C" w:rsidP="00DB474C">
      <w:pPr>
        <w:pStyle w:val="Standard"/>
        <w:spacing w:line="276" w:lineRule="auto"/>
        <w:ind w:firstLine="709"/>
        <w:jc w:val="both"/>
        <w:rPr>
          <w:sz w:val="26"/>
          <w:szCs w:val="26"/>
        </w:rPr>
      </w:pPr>
      <w:r w:rsidRPr="006C2B04">
        <w:rPr>
          <w:sz w:val="26"/>
          <w:szCs w:val="26"/>
        </w:rPr>
        <w:t xml:space="preserve">По итогам проделанной работы было </w:t>
      </w:r>
      <w:r w:rsidRPr="00D56132">
        <w:rPr>
          <w:sz w:val="26"/>
          <w:szCs w:val="26"/>
        </w:rPr>
        <w:t>получено 73 13</w:t>
      </w:r>
      <w:r>
        <w:rPr>
          <w:sz w:val="26"/>
          <w:szCs w:val="26"/>
        </w:rPr>
        <w:t>6</w:t>
      </w:r>
      <w:r w:rsidRPr="00D56132">
        <w:rPr>
          <w:sz w:val="26"/>
          <w:szCs w:val="26"/>
        </w:rPr>
        <w:t xml:space="preserve"> </w:t>
      </w:r>
      <w:r>
        <w:rPr>
          <w:sz w:val="26"/>
          <w:szCs w:val="26"/>
        </w:rPr>
        <w:t>предложений (сделок)</w:t>
      </w:r>
      <w:r w:rsidRPr="006C2B04">
        <w:rPr>
          <w:sz w:val="26"/>
          <w:szCs w:val="26"/>
        </w:rPr>
        <w:t>, из них:</w:t>
      </w:r>
    </w:p>
    <w:p w14:paraId="3DF7DFCD" w14:textId="77777777" w:rsidR="00DB474C" w:rsidRPr="00EB3E6B" w:rsidRDefault="00DB474C" w:rsidP="00DB474C">
      <w:pPr>
        <w:pStyle w:val="Standard"/>
        <w:spacing w:line="276" w:lineRule="auto"/>
        <w:ind w:firstLine="709"/>
        <w:jc w:val="both"/>
        <w:rPr>
          <w:sz w:val="26"/>
          <w:szCs w:val="26"/>
        </w:rPr>
      </w:pPr>
      <w:r w:rsidRPr="00EB3E6B">
        <w:rPr>
          <w:sz w:val="26"/>
          <w:szCs w:val="26"/>
        </w:rPr>
        <w:t>-0,15% предложений (111 объектов) – сегмент «Отдых (рекреация)»;</w:t>
      </w:r>
    </w:p>
    <w:p w14:paraId="69519D8D" w14:textId="77777777" w:rsidR="00DB474C" w:rsidRPr="00EB3E6B" w:rsidRDefault="00DB474C" w:rsidP="00DB474C">
      <w:pPr>
        <w:pStyle w:val="Standard"/>
        <w:spacing w:line="276" w:lineRule="auto"/>
        <w:ind w:firstLine="709"/>
        <w:jc w:val="both"/>
        <w:rPr>
          <w:sz w:val="26"/>
          <w:szCs w:val="26"/>
        </w:rPr>
      </w:pPr>
      <w:r w:rsidRPr="00EB3E6B">
        <w:rPr>
          <w:sz w:val="26"/>
          <w:szCs w:val="26"/>
        </w:rPr>
        <w:t>-0,21% предложений (154 объекта) – сегмент «Общественное использование»</w:t>
      </w:r>
    </w:p>
    <w:p w14:paraId="7B162181" w14:textId="77777777" w:rsidR="00DB474C" w:rsidRPr="00EB3E6B" w:rsidRDefault="00DB474C" w:rsidP="00DB474C">
      <w:pPr>
        <w:pStyle w:val="Standard"/>
        <w:spacing w:line="276" w:lineRule="auto"/>
        <w:ind w:firstLine="709"/>
        <w:jc w:val="both"/>
        <w:rPr>
          <w:sz w:val="26"/>
          <w:szCs w:val="26"/>
        </w:rPr>
      </w:pPr>
      <w:r w:rsidRPr="00EB3E6B">
        <w:rPr>
          <w:sz w:val="26"/>
          <w:szCs w:val="26"/>
        </w:rPr>
        <w:t>-0,28%</w:t>
      </w:r>
      <w:r>
        <w:rPr>
          <w:sz w:val="26"/>
          <w:szCs w:val="26"/>
        </w:rPr>
        <w:t xml:space="preserve"> </w:t>
      </w:r>
      <w:r w:rsidRPr="00EB3E6B">
        <w:rPr>
          <w:sz w:val="26"/>
          <w:szCs w:val="26"/>
        </w:rPr>
        <w:t>предложений (207 объектов)- сегмент «Жилая застройка (среднеэтажная и многоэтажная)»</w:t>
      </w:r>
    </w:p>
    <w:p w14:paraId="1B1058A9" w14:textId="77777777" w:rsidR="00DB474C" w:rsidRPr="00EB3E6B" w:rsidRDefault="00DB474C" w:rsidP="00DB474C">
      <w:pPr>
        <w:pStyle w:val="Standard"/>
        <w:spacing w:line="276" w:lineRule="auto"/>
        <w:ind w:firstLine="709"/>
        <w:jc w:val="both"/>
        <w:rPr>
          <w:sz w:val="26"/>
          <w:szCs w:val="26"/>
        </w:rPr>
      </w:pPr>
      <w:r w:rsidRPr="00EB3E6B">
        <w:rPr>
          <w:sz w:val="26"/>
          <w:szCs w:val="26"/>
        </w:rPr>
        <w:t>-1,7</w:t>
      </w:r>
      <w:r>
        <w:rPr>
          <w:sz w:val="26"/>
          <w:szCs w:val="26"/>
        </w:rPr>
        <w:t>2</w:t>
      </w:r>
      <w:r w:rsidRPr="00EB3E6B">
        <w:rPr>
          <w:sz w:val="26"/>
          <w:szCs w:val="26"/>
        </w:rPr>
        <w:t>% предложений (1 26</w:t>
      </w:r>
      <w:r>
        <w:rPr>
          <w:sz w:val="26"/>
          <w:szCs w:val="26"/>
        </w:rPr>
        <w:t>1</w:t>
      </w:r>
      <w:r w:rsidRPr="00EB3E6B">
        <w:rPr>
          <w:sz w:val="26"/>
          <w:szCs w:val="26"/>
        </w:rPr>
        <w:t xml:space="preserve"> объект) – сегмент «Предпринимательство»;</w:t>
      </w:r>
    </w:p>
    <w:p w14:paraId="5D261C8A" w14:textId="77777777" w:rsidR="00DB474C" w:rsidRPr="00EB3E6B" w:rsidRDefault="00DB474C" w:rsidP="00DB474C">
      <w:pPr>
        <w:pStyle w:val="Standard"/>
        <w:spacing w:line="276" w:lineRule="auto"/>
        <w:ind w:firstLine="709"/>
        <w:jc w:val="both"/>
        <w:rPr>
          <w:sz w:val="26"/>
          <w:szCs w:val="26"/>
        </w:rPr>
      </w:pPr>
      <w:r w:rsidRPr="00EB3E6B">
        <w:rPr>
          <w:sz w:val="26"/>
          <w:szCs w:val="26"/>
        </w:rPr>
        <w:t>-4,28% предложений (3 130 объектов) – сегмент «Производственная деятельность».</w:t>
      </w:r>
    </w:p>
    <w:p w14:paraId="1A21CF79" w14:textId="77777777" w:rsidR="00DB474C" w:rsidRPr="00EB3E6B" w:rsidRDefault="00DB474C" w:rsidP="00DB474C">
      <w:pPr>
        <w:pStyle w:val="Standard"/>
        <w:spacing w:line="276" w:lineRule="auto"/>
        <w:ind w:firstLine="709"/>
        <w:jc w:val="both"/>
        <w:rPr>
          <w:sz w:val="26"/>
          <w:szCs w:val="26"/>
        </w:rPr>
      </w:pPr>
      <w:r w:rsidRPr="00EB3E6B">
        <w:rPr>
          <w:sz w:val="26"/>
          <w:szCs w:val="26"/>
        </w:rPr>
        <w:t>-5,51% предложений (4 031 объект) – сегмент «Транспорт»;</w:t>
      </w:r>
    </w:p>
    <w:p w14:paraId="1E2119AB" w14:textId="77777777" w:rsidR="00DB474C" w:rsidRPr="00EB3E6B" w:rsidRDefault="00DB474C" w:rsidP="00DB474C">
      <w:pPr>
        <w:pStyle w:val="Standard"/>
        <w:spacing w:line="276" w:lineRule="auto"/>
        <w:ind w:firstLine="709"/>
        <w:jc w:val="both"/>
        <w:rPr>
          <w:sz w:val="26"/>
          <w:szCs w:val="26"/>
        </w:rPr>
      </w:pPr>
      <w:r w:rsidRPr="00EB3E6B">
        <w:rPr>
          <w:sz w:val="26"/>
          <w:szCs w:val="26"/>
        </w:rPr>
        <w:t>-6,95% предложений (5 080 объектов) – сегмент «Сельскохозяйственное использование;</w:t>
      </w:r>
    </w:p>
    <w:p w14:paraId="76E27E40" w14:textId="77777777" w:rsidR="00DB474C" w:rsidRPr="00EB3E6B" w:rsidRDefault="00DB474C" w:rsidP="00DB474C">
      <w:pPr>
        <w:pStyle w:val="Standard"/>
        <w:spacing w:line="276" w:lineRule="auto"/>
        <w:ind w:firstLine="709"/>
        <w:jc w:val="both"/>
        <w:rPr>
          <w:sz w:val="26"/>
          <w:szCs w:val="26"/>
        </w:rPr>
      </w:pPr>
      <w:r w:rsidRPr="00EB3E6B">
        <w:rPr>
          <w:sz w:val="26"/>
          <w:szCs w:val="26"/>
        </w:rPr>
        <w:t>-80,89% предложений (59 162 объекта) - сегмент «Садоводство и огородничество, малоэтажная жилая застройка»;</w:t>
      </w:r>
    </w:p>
    <w:p w14:paraId="6A1241E0" w14:textId="3F46CDFC" w:rsidR="00DB474C" w:rsidRDefault="00DB474C" w:rsidP="00DB474C">
      <w:pPr>
        <w:pStyle w:val="Standard"/>
        <w:spacing w:line="276" w:lineRule="auto"/>
        <w:ind w:firstLine="708"/>
        <w:jc w:val="both"/>
        <w:rPr>
          <w:sz w:val="26"/>
          <w:szCs w:val="26"/>
        </w:rPr>
      </w:pPr>
      <w:r w:rsidRPr="006C2B04">
        <w:rPr>
          <w:sz w:val="26"/>
          <w:szCs w:val="26"/>
        </w:rPr>
        <w:t xml:space="preserve">Далее представлен анализ рыночной информации </w:t>
      </w:r>
      <w:r>
        <w:rPr>
          <w:sz w:val="26"/>
          <w:szCs w:val="26"/>
        </w:rPr>
        <w:t xml:space="preserve">в разрезе </w:t>
      </w:r>
      <w:r w:rsidRPr="006C2B04">
        <w:rPr>
          <w:sz w:val="26"/>
          <w:szCs w:val="26"/>
        </w:rPr>
        <w:t>по сегмент</w:t>
      </w:r>
      <w:r>
        <w:rPr>
          <w:sz w:val="26"/>
          <w:szCs w:val="26"/>
        </w:rPr>
        <w:t>ам</w:t>
      </w:r>
      <w:r w:rsidRPr="006C2B04">
        <w:rPr>
          <w:sz w:val="26"/>
          <w:szCs w:val="26"/>
        </w:rPr>
        <w:t>.</w:t>
      </w:r>
    </w:p>
    <w:p w14:paraId="1A59120B" w14:textId="77777777" w:rsidR="00E91C63" w:rsidRPr="006C2B04" w:rsidRDefault="00E91C63" w:rsidP="00DB474C">
      <w:pPr>
        <w:pStyle w:val="Standard"/>
        <w:spacing w:line="276" w:lineRule="auto"/>
        <w:ind w:firstLine="708"/>
        <w:jc w:val="both"/>
        <w:rPr>
          <w:sz w:val="26"/>
          <w:szCs w:val="26"/>
        </w:rPr>
      </w:pPr>
    </w:p>
    <w:p w14:paraId="59762C7A" w14:textId="77777777" w:rsidR="00DB474C" w:rsidRPr="00033509" w:rsidRDefault="00DB474C" w:rsidP="00DB474C">
      <w:pPr>
        <w:pStyle w:val="3"/>
        <w:rPr>
          <w:sz w:val="26"/>
          <w:szCs w:val="26"/>
        </w:rPr>
      </w:pPr>
      <w:bookmarkStart w:id="76" w:name="_Toc110506942"/>
      <w:r w:rsidRPr="00033509">
        <w:rPr>
          <w:sz w:val="26"/>
          <w:szCs w:val="26"/>
        </w:rPr>
        <w:t>3.1.3.2 Анализ рыночной информации по сегменту «</w:t>
      </w:r>
      <w:bookmarkStart w:id="77" w:name="_Hlk74229967"/>
      <w:r w:rsidRPr="00033509">
        <w:rPr>
          <w:sz w:val="26"/>
          <w:szCs w:val="26"/>
        </w:rPr>
        <w:t>Жилая застройка (среднеэтажная и многоэтажная)</w:t>
      </w:r>
      <w:bookmarkEnd w:id="77"/>
      <w:r w:rsidRPr="00033509">
        <w:rPr>
          <w:sz w:val="26"/>
          <w:szCs w:val="26"/>
        </w:rPr>
        <w:t>»</w:t>
      </w:r>
      <w:bookmarkEnd w:id="76"/>
    </w:p>
    <w:p w14:paraId="2595390F" w14:textId="77777777" w:rsidR="00DB474C" w:rsidRPr="005D5646" w:rsidRDefault="00DB474C" w:rsidP="00DB474C">
      <w:pPr>
        <w:spacing w:after="0" w:line="276" w:lineRule="auto"/>
        <w:ind w:firstLine="708"/>
        <w:contextualSpacing/>
        <w:jc w:val="both"/>
        <w:rPr>
          <w:rFonts w:ascii="Times New Roman" w:hAnsi="Times New Roman" w:cs="Times New Roman"/>
          <w:bCs/>
          <w:sz w:val="26"/>
          <w:szCs w:val="26"/>
        </w:rPr>
      </w:pPr>
      <w:r w:rsidRPr="002F245A">
        <w:rPr>
          <w:rFonts w:ascii="Times New Roman" w:hAnsi="Times New Roman" w:cs="Times New Roman"/>
          <w:sz w:val="26"/>
          <w:szCs w:val="26"/>
          <w:shd w:val="clear" w:color="auto" w:fill="FFFFFF"/>
        </w:rPr>
        <w:t>Воронежская область стабильно входит в тройку лидеров по объемам строящегося жилья в Центральном федеральном округе. По этому показателю регион уступает лишь Москве и Подмосковью</w:t>
      </w:r>
      <w:r w:rsidRPr="002F245A">
        <w:rPr>
          <w:rStyle w:val="af2"/>
          <w:rFonts w:ascii="Times New Roman" w:hAnsi="Times New Roman" w:cs="Times New Roman"/>
          <w:sz w:val="24"/>
          <w:szCs w:val="24"/>
          <w:shd w:val="clear" w:color="auto" w:fill="FFFFFF"/>
        </w:rPr>
        <w:footnoteReference w:id="61"/>
      </w:r>
      <w:r w:rsidRPr="002F245A">
        <w:rPr>
          <w:rFonts w:ascii="Times New Roman" w:hAnsi="Times New Roman" w:cs="Times New Roman"/>
          <w:sz w:val="24"/>
          <w:szCs w:val="24"/>
          <w:shd w:val="clear" w:color="auto" w:fill="FFFFFF"/>
        </w:rPr>
        <w:t>.  </w:t>
      </w:r>
      <w:r w:rsidRPr="002F245A">
        <w:rPr>
          <w:rFonts w:ascii="Times New Roman" w:hAnsi="Times New Roman" w:cs="Times New Roman"/>
          <w:sz w:val="26"/>
          <w:szCs w:val="26"/>
          <w:shd w:val="clear" w:color="auto" w:fill="FFFFFF"/>
        </w:rPr>
        <w:t xml:space="preserve">Основная часть горожан относится к областному центру-миллионнику Воронежу. Остальные города области – Борисоглебск, Россошь, Лиски и другие – довольно компактны, в каждом из них </w:t>
      </w:r>
      <w:r w:rsidRPr="005D5646">
        <w:rPr>
          <w:rFonts w:ascii="Times New Roman" w:hAnsi="Times New Roman" w:cs="Times New Roman"/>
          <w:sz w:val="26"/>
          <w:szCs w:val="26"/>
          <w:shd w:val="clear" w:color="auto" w:fill="FFFFFF"/>
        </w:rPr>
        <w:t>проживает менее 100 тысяч жителей.</w:t>
      </w:r>
    </w:p>
    <w:p w14:paraId="68BACE23" w14:textId="77777777" w:rsidR="00DB474C" w:rsidRPr="002F245A" w:rsidRDefault="00DB474C" w:rsidP="00DB474C">
      <w:pPr>
        <w:spacing w:after="0" w:line="276" w:lineRule="auto"/>
        <w:ind w:firstLine="708"/>
        <w:contextualSpacing/>
        <w:jc w:val="both"/>
        <w:rPr>
          <w:rFonts w:ascii="Times New Roman" w:hAnsi="Times New Roman" w:cs="Times New Roman"/>
          <w:sz w:val="26"/>
          <w:szCs w:val="26"/>
          <w:shd w:val="clear" w:color="auto" w:fill="FFFFFF"/>
        </w:rPr>
      </w:pPr>
      <w:r w:rsidRPr="005D5646">
        <w:rPr>
          <w:rFonts w:ascii="Times New Roman" w:hAnsi="Times New Roman" w:cs="Times New Roman"/>
          <w:sz w:val="26"/>
          <w:szCs w:val="26"/>
          <w:shd w:val="clear" w:color="auto" w:fill="FFFFFF"/>
        </w:rPr>
        <w:t>Рынок земельных участков сегмента «Жилая застройка (среднеэтажная и многоэтажная)» в Воронежской области не развит. Тем не менее, рынок жилой недвижимости развивается</w:t>
      </w:r>
      <w:r w:rsidRPr="002F245A">
        <w:rPr>
          <w:rFonts w:ascii="Times New Roman" w:hAnsi="Times New Roman" w:cs="Times New Roman"/>
          <w:sz w:val="26"/>
          <w:szCs w:val="26"/>
          <w:shd w:val="clear" w:color="auto" w:fill="FFFFFF"/>
        </w:rPr>
        <w:t xml:space="preserve"> активно, однако в районах области застройка в основном носит точечный характер. В сельской местности на многоквартирные дома приходится не более 20% от общего жилфонда. Больше всего граждан интересует недвижимость, находящаяся на территориях, граничащих со столицей региона, а также в самом г. Воронеж.</w:t>
      </w:r>
    </w:p>
    <w:p w14:paraId="6182FED0" w14:textId="77777777" w:rsidR="00DB474C" w:rsidRPr="002F245A" w:rsidRDefault="00DB474C" w:rsidP="00DB474C">
      <w:pPr>
        <w:pStyle w:val="ConsPlusNormal"/>
        <w:spacing w:line="276" w:lineRule="auto"/>
        <w:ind w:firstLine="540"/>
        <w:jc w:val="both"/>
        <w:rPr>
          <w:rFonts w:ascii="Times New Roman" w:hAnsi="Times New Roman" w:cs="Times New Roman"/>
          <w:sz w:val="26"/>
          <w:szCs w:val="26"/>
        </w:rPr>
      </w:pPr>
      <w:r w:rsidRPr="002F245A">
        <w:rPr>
          <w:rFonts w:ascii="Times New Roman" w:hAnsi="Times New Roman" w:cs="Times New Roman"/>
          <w:sz w:val="26"/>
          <w:szCs w:val="26"/>
        </w:rPr>
        <w:t>В Воронежской области реализуется государственная программа «Обеспечение доступным и комфортным жильем населения Воронежской области», утвержденная постановлением правительства Воронежской области от 29.10.2015 № 834. Сферой реализации государственной программы является развитие жилищного строительства и строительного комплекса Воронежской области. Ответственный исполнитель - департамент строительной политики Воронежской области. Целью Государственной программы является повышение качества жилищного обеспечения населения Воронежской области путем повышения доступности жилья.</w:t>
      </w:r>
    </w:p>
    <w:p w14:paraId="79765331" w14:textId="77777777" w:rsidR="00DB474C" w:rsidRDefault="00DB474C" w:rsidP="00DB474C">
      <w:pPr>
        <w:pStyle w:val="Standard"/>
        <w:spacing w:line="276" w:lineRule="auto"/>
        <w:ind w:firstLine="709"/>
        <w:jc w:val="both"/>
        <w:rPr>
          <w:shd w:val="clear" w:color="auto" w:fill="FFFFFF"/>
        </w:rPr>
      </w:pPr>
      <w:r w:rsidRPr="002F245A">
        <w:rPr>
          <w:sz w:val="26"/>
          <w:szCs w:val="26"/>
          <w:shd w:val="clear" w:color="auto" w:fill="FFFFFF"/>
        </w:rPr>
        <w:t>Ежегодно в Воронежской области вводится в эксплуатацию около 1 млн кв. м жилья, большей частью – эконом-класса. Рынок жилой недвижимости развивается активно, однако в районах области застройка в основном носит точечный характер. В сельской местности на многоквартирные дома приходится не более 20% от общего жилфонда. Больше всего граждан интересует недвижимость, находящаяся на территориях, граничащих со столицей региона</w:t>
      </w:r>
      <w:r w:rsidRPr="002F245A">
        <w:rPr>
          <w:rStyle w:val="af2"/>
          <w:shd w:val="clear" w:color="auto" w:fill="FFFFFF"/>
        </w:rPr>
        <w:footnoteReference w:id="62"/>
      </w:r>
      <w:r w:rsidRPr="002F245A">
        <w:rPr>
          <w:shd w:val="clear" w:color="auto" w:fill="FFFFFF"/>
        </w:rPr>
        <w:t>.</w:t>
      </w:r>
    </w:p>
    <w:p w14:paraId="4B6272A4" w14:textId="77777777" w:rsidR="00DB474C" w:rsidRPr="00102B36" w:rsidRDefault="00DB474C" w:rsidP="00DB474C">
      <w:pPr>
        <w:pStyle w:val="Standard"/>
        <w:spacing w:line="276" w:lineRule="auto"/>
        <w:ind w:firstLine="709"/>
        <w:jc w:val="both"/>
        <w:rPr>
          <w:color w:val="000000"/>
          <w:sz w:val="26"/>
          <w:szCs w:val="26"/>
        </w:rPr>
      </w:pPr>
      <w:r w:rsidRPr="00102B36">
        <w:rPr>
          <w:color w:val="000000"/>
          <w:sz w:val="26"/>
          <w:szCs w:val="26"/>
        </w:rPr>
        <w:t>Согласно данным аналитического отдела компании </w:t>
      </w:r>
      <w:hyperlink r:id="rId53" w:history="1">
        <w:r w:rsidRPr="00102B36">
          <w:rPr>
            <w:rStyle w:val="ad"/>
            <w:rFonts w:eastAsiaTheme="majorEastAsia"/>
            <w:color w:val="333333"/>
            <w:sz w:val="26"/>
            <w:szCs w:val="26"/>
          </w:rPr>
          <w:t>INFOLINE (vrx.ru)</w:t>
        </w:r>
      </w:hyperlink>
      <w:r w:rsidRPr="00102B36">
        <w:rPr>
          <w:color w:val="000000"/>
          <w:sz w:val="26"/>
          <w:szCs w:val="26"/>
        </w:rPr>
        <w:t> в декабре 2021 года цены на недвижимость в Воронеже выросли: +1,6% (+1158 руб./кв.м.). Сейчас жильё в Воронеже стоит в среднем 74 325 рублей за квадратный метр. Если посмотреть на декабрь прошлого года, то в 2020 году цены выросли на +2,3%. Тогда квадратный метр стоил 58 442 руб., что на 15 903 рублей меньше, чем сейчас (рост за год +27,2%).</w:t>
      </w:r>
    </w:p>
    <w:p w14:paraId="1AD4D087" w14:textId="77777777" w:rsidR="00DB474C" w:rsidRPr="00102B36" w:rsidRDefault="00DB474C" w:rsidP="00DB474C">
      <w:pPr>
        <w:pStyle w:val="Standard"/>
        <w:spacing w:line="276" w:lineRule="auto"/>
        <w:ind w:firstLine="709"/>
        <w:jc w:val="both"/>
        <w:rPr>
          <w:color w:val="000000"/>
          <w:sz w:val="26"/>
          <w:szCs w:val="26"/>
        </w:rPr>
      </w:pPr>
      <w:r w:rsidRPr="00102B36">
        <w:rPr>
          <w:color w:val="000000"/>
          <w:sz w:val="26"/>
          <w:szCs w:val="26"/>
        </w:rPr>
        <w:t xml:space="preserve">В </w:t>
      </w:r>
      <w:r w:rsidRPr="00102B36">
        <w:rPr>
          <w:i/>
          <w:color w:val="000000"/>
          <w:sz w:val="26"/>
          <w:szCs w:val="26"/>
        </w:rPr>
        <w:t>новостройках</w:t>
      </w:r>
      <w:r w:rsidRPr="00102B36">
        <w:rPr>
          <w:color w:val="000000"/>
          <w:sz w:val="26"/>
          <w:szCs w:val="26"/>
        </w:rPr>
        <w:t xml:space="preserve"> за декабрь средняя цена квадратного метра выросла на: +1,3% до 76 196 руб./кв.м. (+985 руб./кв.м.). В декабре 2020 цена составляла 59 866 руб./кв.м. (+27,3% за год).</w:t>
      </w:r>
    </w:p>
    <w:p w14:paraId="71508170" w14:textId="77777777" w:rsidR="00DB474C" w:rsidRPr="00102B36" w:rsidRDefault="00DB474C" w:rsidP="00DB474C">
      <w:pPr>
        <w:pStyle w:val="Standard"/>
        <w:spacing w:line="276" w:lineRule="auto"/>
        <w:ind w:firstLine="709"/>
        <w:jc w:val="both"/>
        <w:rPr>
          <w:color w:val="000000"/>
          <w:sz w:val="26"/>
          <w:szCs w:val="26"/>
        </w:rPr>
      </w:pPr>
      <w:r w:rsidRPr="001410AB">
        <w:rPr>
          <w:sz w:val="26"/>
          <w:szCs w:val="26"/>
        </w:rPr>
        <w:t>На </w:t>
      </w:r>
      <w:hyperlink r:id="rId54" w:history="1">
        <w:r w:rsidRPr="001410AB">
          <w:rPr>
            <w:rStyle w:val="ad"/>
            <w:rFonts w:eastAsiaTheme="majorEastAsia"/>
            <w:i/>
            <w:color w:val="auto"/>
            <w:sz w:val="26"/>
            <w:szCs w:val="26"/>
            <w:u w:val="none"/>
          </w:rPr>
          <w:t>вторичном рынке</w:t>
        </w:r>
      </w:hyperlink>
      <w:r w:rsidRPr="001410AB">
        <w:rPr>
          <w:sz w:val="26"/>
          <w:szCs w:val="26"/>
        </w:rPr>
        <w:t xml:space="preserve"> за декабрь </w:t>
      </w:r>
      <w:r w:rsidRPr="00102B36">
        <w:rPr>
          <w:color w:val="000000"/>
          <w:sz w:val="26"/>
          <w:szCs w:val="26"/>
        </w:rPr>
        <w:t>цена выросла: +1,5% (+1100 руб./кв.м) и остановилась на отметке – 73 228 руб./кв.м. В декабре 2020 цена составила 59 866 руб./кв.м. (+22,3% за год).</w:t>
      </w:r>
    </w:p>
    <w:p w14:paraId="3882A0F2" w14:textId="77777777" w:rsidR="00DB474C" w:rsidRDefault="00DB474C" w:rsidP="00E91C63">
      <w:pPr>
        <w:pStyle w:val="Standard"/>
        <w:spacing w:line="276" w:lineRule="auto"/>
        <w:ind w:firstLine="709"/>
        <w:rPr>
          <w:sz w:val="26"/>
          <w:szCs w:val="26"/>
          <w:shd w:val="clear" w:color="auto" w:fill="FFFFFF"/>
        </w:rPr>
      </w:pPr>
      <w:r w:rsidRPr="005D5646">
        <w:rPr>
          <w:noProof/>
          <w:lang w:eastAsia="ru-RU"/>
        </w:rPr>
        <w:drawing>
          <wp:inline distT="0" distB="0" distL="0" distR="0" wp14:anchorId="4528F705" wp14:editId="71FC2349">
            <wp:extent cx="3609975" cy="425546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7524" cy="4264366"/>
                    </a:xfrm>
                    <a:prstGeom prst="rect">
                      <a:avLst/>
                    </a:prstGeom>
                    <a:noFill/>
                    <a:ln>
                      <a:noFill/>
                    </a:ln>
                  </pic:spPr>
                </pic:pic>
              </a:graphicData>
            </a:graphic>
          </wp:inline>
        </w:drawing>
      </w:r>
    </w:p>
    <w:p w14:paraId="0665361D" w14:textId="77777777" w:rsidR="00DB474C" w:rsidRPr="00331E32" w:rsidRDefault="00DB474C" w:rsidP="00DB474C">
      <w:pPr>
        <w:pStyle w:val="Standard"/>
        <w:spacing w:line="276" w:lineRule="auto"/>
        <w:rPr>
          <w:sz w:val="26"/>
          <w:szCs w:val="26"/>
          <w:shd w:val="clear" w:color="auto" w:fill="FFFFFF"/>
        </w:rPr>
      </w:pPr>
      <w:r>
        <w:rPr>
          <w:sz w:val="26"/>
          <w:szCs w:val="26"/>
          <w:shd w:val="clear" w:color="auto" w:fill="FFFFFF"/>
        </w:rPr>
        <w:t>Рис.3.1.3.2.1 Индексы цен на жилую недвижимость (квартиры) в г. Воронеж в декабре 2021 года</w:t>
      </w:r>
      <w:r>
        <w:rPr>
          <w:rStyle w:val="af2"/>
          <w:sz w:val="26"/>
          <w:szCs w:val="26"/>
          <w:shd w:val="clear" w:color="auto" w:fill="FFFFFF"/>
        </w:rPr>
        <w:footnoteReference w:id="63"/>
      </w:r>
    </w:p>
    <w:p w14:paraId="70320282" w14:textId="77777777" w:rsidR="00E91C63" w:rsidRDefault="00E91C63" w:rsidP="00DB474C">
      <w:pPr>
        <w:spacing w:before="120" w:after="0" w:line="276" w:lineRule="auto"/>
        <w:jc w:val="center"/>
        <w:rPr>
          <w:rStyle w:val="af9"/>
          <w:rFonts w:ascii="Times New Roman" w:hAnsi="Times New Roman" w:cs="Times New Roman"/>
          <w:i/>
          <w:sz w:val="26"/>
          <w:szCs w:val="26"/>
        </w:rPr>
      </w:pPr>
    </w:p>
    <w:p w14:paraId="7B202380" w14:textId="77777777" w:rsidR="00606730" w:rsidRDefault="00606730" w:rsidP="00DB474C">
      <w:pPr>
        <w:spacing w:before="120" w:after="0" w:line="276" w:lineRule="auto"/>
        <w:jc w:val="center"/>
        <w:rPr>
          <w:rStyle w:val="af9"/>
          <w:rFonts w:ascii="Times New Roman" w:hAnsi="Times New Roman" w:cs="Times New Roman"/>
          <w:i/>
          <w:sz w:val="26"/>
          <w:szCs w:val="26"/>
        </w:rPr>
      </w:pPr>
    </w:p>
    <w:p w14:paraId="4131CB61" w14:textId="77777777" w:rsidR="00606730" w:rsidRDefault="00606730" w:rsidP="00DB474C">
      <w:pPr>
        <w:spacing w:before="120" w:after="0" w:line="276" w:lineRule="auto"/>
        <w:jc w:val="center"/>
        <w:rPr>
          <w:rStyle w:val="af9"/>
          <w:rFonts w:ascii="Times New Roman" w:hAnsi="Times New Roman" w:cs="Times New Roman"/>
          <w:i/>
          <w:sz w:val="26"/>
          <w:szCs w:val="26"/>
        </w:rPr>
      </w:pPr>
    </w:p>
    <w:p w14:paraId="73D9B3F9" w14:textId="1AFEEF5F" w:rsidR="00DB474C" w:rsidRPr="00E91C63" w:rsidRDefault="00DB474C" w:rsidP="00DB474C">
      <w:pPr>
        <w:spacing w:before="120" w:after="0" w:line="276" w:lineRule="auto"/>
        <w:jc w:val="center"/>
        <w:rPr>
          <w:rStyle w:val="af9"/>
          <w:rFonts w:ascii="Times New Roman" w:hAnsi="Times New Roman" w:cs="Times New Roman"/>
          <w:b w:val="0"/>
          <w:i/>
          <w:sz w:val="26"/>
          <w:szCs w:val="26"/>
        </w:rPr>
      </w:pPr>
      <w:r w:rsidRPr="00E91C63">
        <w:rPr>
          <w:rStyle w:val="af9"/>
          <w:rFonts w:ascii="Times New Roman" w:hAnsi="Times New Roman" w:cs="Times New Roman"/>
          <w:i/>
          <w:sz w:val="26"/>
          <w:szCs w:val="26"/>
        </w:rPr>
        <w:t>Собранная исполнителем рыночная информация</w:t>
      </w:r>
    </w:p>
    <w:p w14:paraId="01DA5591" w14:textId="77777777" w:rsidR="00DB474C" w:rsidRPr="002F245A" w:rsidRDefault="00DB474C" w:rsidP="00DB474C">
      <w:pPr>
        <w:spacing w:after="0" w:line="300" w:lineRule="auto"/>
        <w:ind w:firstLine="709"/>
        <w:jc w:val="both"/>
        <w:rPr>
          <w:rFonts w:ascii="Times New Roman" w:hAnsi="Times New Roman" w:cs="Times New Roman"/>
          <w:sz w:val="26"/>
          <w:szCs w:val="26"/>
        </w:rPr>
      </w:pPr>
      <w:r w:rsidRPr="002F245A">
        <w:rPr>
          <w:rFonts w:ascii="Times New Roman" w:hAnsi="Times New Roman" w:cs="Times New Roman"/>
          <w:color w:val="000000"/>
          <w:sz w:val="26"/>
          <w:szCs w:val="26"/>
        </w:rPr>
        <w:t>Для анализа рын</w:t>
      </w:r>
      <w:r>
        <w:rPr>
          <w:rFonts w:ascii="Times New Roman" w:hAnsi="Times New Roman" w:cs="Times New Roman"/>
          <w:color w:val="000000"/>
          <w:sz w:val="26"/>
          <w:szCs w:val="26"/>
        </w:rPr>
        <w:t>очной информации</w:t>
      </w:r>
      <w:r w:rsidRPr="002F245A">
        <w:rPr>
          <w:rFonts w:ascii="Times New Roman" w:hAnsi="Times New Roman" w:cs="Times New Roman"/>
          <w:color w:val="000000"/>
          <w:sz w:val="26"/>
          <w:szCs w:val="26"/>
        </w:rPr>
        <w:t xml:space="preserve"> </w:t>
      </w:r>
      <w:r w:rsidRPr="005F3FDE">
        <w:rPr>
          <w:rFonts w:ascii="Times New Roman" w:hAnsi="Times New Roman" w:cs="Times New Roman"/>
          <w:color w:val="000000"/>
          <w:sz w:val="26"/>
          <w:szCs w:val="26"/>
        </w:rPr>
        <w:t>по сегменту «Жилая застройка (среднеэтажная и многоэтажная)»</w:t>
      </w:r>
      <w:r w:rsidRPr="002F245A">
        <w:rPr>
          <w:rFonts w:ascii="Times New Roman" w:hAnsi="Times New Roman" w:cs="Times New Roman"/>
          <w:color w:val="000000"/>
          <w:sz w:val="26"/>
          <w:szCs w:val="26"/>
        </w:rPr>
        <w:t xml:space="preserve"> выполнен сбор информации о сделках и предложениях, представленных на первичном и вторичном рынках недвижимости Воронежской области</w:t>
      </w:r>
      <w:r w:rsidRPr="002F245A">
        <w:rPr>
          <w:rFonts w:ascii="Times New Roman" w:hAnsi="Times New Roman" w:cs="Times New Roman"/>
          <w:sz w:val="26"/>
          <w:szCs w:val="26"/>
        </w:rPr>
        <w:t xml:space="preserve">. </w:t>
      </w:r>
    </w:p>
    <w:p w14:paraId="301143C4" w14:textId="77777777" w:rsidR="00DB474C" w:rsidRPr="002F245A" w:rsidRDefault="00DB474C" w:rsidP="00DB474C">
      <w:pPr>
        <w:spacing w:after="0" w:line="276" w:lineRule="auto"/>
        <w:ind w:firstLine="708"/>
        <w:jc w:val="both"/>
        <w:rPr>
          <w:rFonts w:ascii="Times New Roman" w:hAnsi="Times New Roman" w:cs="Times New Roman"/>
          <w:sz w:val="26"/>
          <w:szCs w:val="26"/>
        </w:rPr>
      </w:pPr>
      <w:r w:rsidRPr="002F245A">
        <w:rPr>
          <w:rFonts w:ascii="Times New Roman" w:hAnsi="Times New Roman" w:cs="Times New Roman"/>
          <w:sz w:val="26"/>
          <w:szCs w:val="26"/>
        </w:rPr>
        <w:t>Первичный рынок недвижимости представляет собой свод информации о сделках, осуществленных органами местного самоуправления, заключенных по результатам проведения торгов на территории Воронежской области, а также данные Управления Росреестра по Воронежской области. Вторичный рынок представляет собой предложения по продаже, представленные на сайтах для размещения объявлений, в газетах и т.д.</w:t>
      </w:r>
    </w:p>
    <w:p w14:paraId="21617080" w14:textId="68C96C5D" w:rsidR="00DB474C" w:rsidRPr="002F245A" w:rsidRDefault="00DB474C" w:rsidP="00DB474C">
      <w:pPr>
        <w:spacing w:after="0" w:line="300" w:lineRule="auto"/>
        <w:ind w:firstLine="709"/>
        <w:jc w:val="both"/>
        <w:rPr>
          <w:rFonts w:ascii="Times New Roman" w:hAnsi="Times New Roman" w:cs="Times New Roman"/>
          <w:sz w:val="26"/>
          <w:szCs w:val="26"/>
        </w:rPr>
      </w:pPr>
      <w:r w:rsidRPr="002F245A">
        <w:rPr>
          <w:rFonts w:ascii="Times New Roman" w:hAnsi="Times New Roman" w:cs="Times New Roman"/>
          <w:sz w:val="26"/>
          <w:szCs w:val="26"/>
        </w:rPr>
        <w:t xml:space="preserve">Информация о предложениях (сделках) представлена в </w:t>
      </w:r>
      <w:r w:rsidR="007B7DEB" w:rsidRPr="002F245A">
        <w:rPr>
          <w:rFonts w:ascii="Times New Roman" w:hAnsi="Times New Roman" w:cs="Times New Roman"/>
          <w:sz w:val="26"/>
          <w:szCs w:val="26"/>
        </w:rPr>
        <w:t xml:space="preserve">Приложении </w:t>
      </w:r>
      <w:r w:rsidR="007B7DEB">
        <w:rPr>
          <w:rFonts w:ascii="Times New Roman" w:hAnsi="Times New Roman" w:cs="Times New Roman"/>
          <w:sz w:val="26"/>
          <w:szCs w:val="26"/>
        </w:rPr>
        <w:t>1/1.6/</w:t>
      </w:r>
      <w:r w:rsidR="007B7DEB" w:rsidRPr="00D15360">
        <w:rPr>
          <w:rFonts w:ascii="Times New Roman" w:hAnsi="Times New Roman" w:cs="Times New Roman"/>
          <w:sz w:val="26"/>
          <w:szCs w:val="26"/>
        </w:rPr>
        <w:t>1.6.2</w:t>
      </w:r>
      <w:r w:rsidR="007B7DEB">
        <w:rPr>
          <w:rFonts w:ascii="Times New Roman" w:hAnsi="Times New Roman" w:cs="Times New Roman"/>
          <w:sz w:val="26"/>
          <w:szCs w:val="26"/>
        </w:rPr>
        <w:t xml:space="preserve"> и Приложении 5</w:t>
      </w:r>
      <w:r w:rsidR="00E20613">
        <w:rPr>
          <w:rFonts w:ascii="Times New Roman" w:hAnsi="Times New Roman" w:cs="Times New Roman"/>
          <w:sz w:val="26"/>
          <w:szCs w:val="26"/>
        </w:rPr>
        <w:t>.</w:t>
      </w:r>
    </w:p>
    <w:p w14:paraId="3225B51E" w14:textId="77777777" w:rsidR="00DB474C" w:rsidRPr="00553C7C" w:rsidRDefault="00DB474C" w:rsidP="00DB474C">
      <w:pPr>
        <w:spacing w:after="0" w:line="300" w:lineRule="auto"/>
        <w:ind w:firstLine="709"/>
        <w:jc w:val="both"/>
        <w:rPr>
          <w:rFonts w:ascii="Times New Roman" w:hAnsi="Times New Roman" w:cs="Times New Roman"/>
          <w:sz w:val="26"/>
          <w:szCs w:val="26"/>
        </w:rPr>
      </w:pPr>
      <w:r w:rsidRPr="00553C7C">
        <w:rPr>
          <w:rFonts w:ascii="Times New Roman" w:hAnsi="Times New Roman" w:cs="Times New Roman"/>
          <w:sz w:val="26"/>
          <w:szCs w:val="26"/>
        </w:rPr>
        <w:t xml:space="preserve">Обзор рынка недвижимости 2 сегмента содержит информацию </w:t>
      </w:r>
      <w:r w:rsidRPr="009C2893">
        <w:rPr>
          <w:rFonts w:ascii="Times New Roman" w:hAnsi="Times New Roman" w:cs="Times New Roman"/>
          <w:sz w:val="26"/>
          <w:szCs w:val="26"/>
        </w:rPr>
        <w:t xml:space="preserve">о 207 </w:t>
      </w:r>
      <w:r w:rsidRPr="00553C7C">
        <w:rPr>
          <w:rFonts w:ascii="Times New Roman" w:hAnsi="Times New Roman" w:cs="Times New Roman"/>
          <w:sz w:val="26"/>
          <w:szCs w:val="26"/>
        </w:rPr>
        <w:t xml:space="preserve">предложениях (сделках) по Воронежской области. </w:t>
      </w:r>
    </w:p>
    <w:p w14:paraId="6BA218D6" w14:textId="77777777" w:rsidR="00DB474C" w:rsidRPr="00AD5D17" w:rsidRDefault="00DB474C" w:rsidP="00DB474C">
      <w:pPr>
        <w:spacing w:after="0" w:line="300" w:lineRule="auto"/>
        <w:ind w:firstLine="567"/>
        <w:jc w:val="both"/>
        <w:rPr>
          <w:rFonts w:ascii="Times New Roman" w:hAnsi="Times New Roman" w:cs="Times New Roman"/>
          <w:sz w:val="26"/>
          <w:szCs w:val="26"/>
        </w:rPr>
      </w:pPr>
      <w:r w:rsidRPr="002F245A">
        <w:rPr>
          <w:rFonts w:ascii="Times New Roman" w:hAnsi="Times New Roman" w:cs="Times New Roman"/>
          <w:sz w:val="26"/>
          <w:szCs w:val="26"/>
        </w:rPr>
        <w:t>Так как используемая рыночная информация неоднородна, в целях возможности ее сопоставления для дальнейшего анализа к ценам предложений (сделок) применены корректировки, описание которых представлено далее.</w:t>
      </w:r>
    </w:p>
    <w:p w14:paraId="449FBAE2"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торг</w:t>
      </w:r>
    </w:p>
    <w:p w14:paraId="3ED154BB" w14:textId="77777777" w:rsidR="00DB474C" w:rsidRDefault="00DB474C" w:rsidP="00DB474C">
      <w:pPr>
        <w:spacing w:after="0" w:line="300" w:lineRule="auto"/>
        <w:ind w:firstLine="708"/>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При продаже земельных участков на рынке недвижимости возможно снижение цены сделки за счет уторговывания. </w:t>
      </w:r>
      <w:r>
        <w:rPr>
          <w:rFonts w:ascii="Times New Roman" w:eastAsia="Times New Roman" w:hAnsi="Times New Roman" w:cs="Times New Roman"/>
          <w:sz w:val="26"/>
          <w:szCs w:val="26"/>
          <w:lang w:eastAsia="ru-RU"/>
        </w:rPr>
        <w:t xml:space="preserve">Так как в представленной рыночной выборке содержится информация и по предложениям, и по сделкам, удельные показатели цены предложения по продаже объектов-аналогов были скорректированы на тип сделки (скидка на торг). </w:t>
      </w:r>
      <w:r>
        <w:rPr>
          <w:rFonts w:ascii="Times New Roman" w:eastAsia="Calibri" w:hAnsi="Times New Roman" w:cs="Times New Roman"/>
          <w:sz w:val="26"/>
          <w:szCs w:val="26"/>
        </w:rPr>
        <w:t>Величина скидки на торг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56" w:history="1">
        <w:r w:rsidRPr="00E0455F">
          <w:rPr>
            <w:rStyle w:val="ad"/>
            <w:rFonts w:ascii="Times New Roman" w:hAnsi="Times New Roman" w:cs="Times New Roman"/>
            <w:sz w:val="26"/>
            <w:szCs w:val="26"/>
          </w:rPr>
          <w:t>https://statrielt.ru/</w:t>
        </w:r>
      </w:hyperlink>
      <w:r w:rsidRPr="00E0455F">
        <w:rPr>
          <w:rFonts w:ascii="Times New Roman" w:hAnsi="Times New Roman" w:cs="Times New Roman"/>
          <w:sz w:val="26"/>
          <w:szCs w:val="26"/>
        </w:rPr>
        <w:t>).</w:t>
      </w:r>
    </w:p>
    <w:p w14:paraId="7FAC6199" w14:textId="77777777" w:rsidR="00DB474C" w:rsidRDefault="00DB474C" w:rsidP="00DB474C">
      <w:pPr>
        <w:jc w:val="both"/>
      </w:pPr>
      <w:r w:rsidRPr="00376FBD">
        <w:rPr>
          <w:noProof/>
          <w:lang w:eastAsia="ru-RU"/>
        </w:rPr>
        <w:drawing>
          <wp:inline distT="0" distB="0" distL="0" distR="0" wp14:anchorId="4A87C93A" wp14:editId="563F893D">
            <wp:extent cx="5940425" cy="386969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869690"/>
                    </a:xfrm>
                    <a:prstGeom prst="rect">
                      <a:avLst/>
                    </a:prstGeom>
                  </pic:spPr>
                </pic:pic>
              </a:graphicData>
            </a:graphic>
          </wp:inline>
        </w:drawing>
      </w:r>
    </w:p>
    <w:p w14:paraId="1329185B" w14:textId="5097B93A" w:rsidR="00DB474C" w:rsidRDefault="00DB474C" w:rsidP="00DB474C">
      <w:pPr>
        <w:spacing w:after="0" w:line="300" w:lineRule="auto"/>
        <w:ind w:firstLine="567"/>
        <w:jc w:val="center"/>
        <w:rPr>
          <w:rFonts w:ascii="Times New Roman" w:eastAsia="Calibri" w:hAnsi="Times New Roman" w:cs="Times New Roman"/>
          <w:sz w:val="26"/>
          <w:szCs w:val="26"/>
        </w:rPr>
      </w:pPr>
      <w:r>
        <w:rPr>
          <w:rFonts w:ascii="Times New Roman" w:eastAsia="Calibri" w:hAnsi="Times New Roman" w:cs="Times New Roman"/>
          <w:sz w:val="26"/>
          <w:szCs w:val="26"/>
        </w:rPr>
        <w:t>Рис.3.1.3.2.2- Скидка на торг, уторгование при продаже земельных участков на 01.01.2022 года по данным некоммерческой организации «Ассоциация развития рынка недвижимости «СтатРиелт»</w:t>
      </w:r>
      <w:r w:rsidR="00E91C63">
        <w:rPr>
          <w:rStyle w:val="af2"/>
          <w:rFonts w:ascii="Times New Roman" w:eastAsia="Calibri" w:hAnsi="Times New Roman" w:cs="Times New Roman"/>
          <w:sz w:val="26"/>
          <w:szCs w:val="26"/>
        </w:rPr>
        <w:footnoteReference w:id="64"/>
      </w:r>
      <w:r>
        <w:rPr>
          <w:rFonts w:ascii="Times New Roman" w:eastAsia="Calibri" w:hAnsi="Times New Roman" w:cs="Times New Roman"/>
          <w:sz w:val="26"/>
          <w:szCs w:val="26"/>
        </w:rPr>
        <w:t xml:space="preserve"> </w:t>
      </w:r>
    </w:p>
    <w:p w14:paraId="2A981295" w14:textId="77777777" w:rsidR="00DB474C" w:rsidRDefault="00DB474C" w:rsidP="00DB474C">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В данном случае размер скидки на торг принимаем как для земель населенных пунктов под многоэтажную застройку, значения лежат в доверительном интервале от 0,9</w:t>
      </w:r>
      <w:r w:rsidRPr="00454C1B">
        <w:rPr>
          <w:rFonts w:ascii="Times New Roman" w:eastAsia="Calibri" w:hAnsi="Times New Roman" w:cs="Times New Roman"/>
          <w:sz w:val="26"/>
          <w:szCs w:val="26"/>
        </w:rPr>
        <w:t>2</w:t>
      </w:r>
      <w:r>
        <w:rPr>
          <w:rFonts w:ascii="Times New Roman" w:eastAsia="Calibri" w:hAnsi="Times New Roman" w:cs="Times New Roman"/>
          <w:sz w:val="26"/>
          <w:szCs w:val="26"/>
        </w:rPr>
        <w:t xml:space="preserve"> до 0,9</w:t>
      </w:r>
      <w:r w:rsidRPr="00D412EB">
        <w:rPr>
          <w:rFonts w:ascii="Times New Roman" w:eastAsia="Calibri" w:hAnsi="Times New Roman" w:cs="Times New Roman"/>
          <w:sz w:val="26"/>
          <w:szCs w:val="26"/>
        </w:rPr>
        <w:t>9</w:t>
      </w:r>
      <w:r>
        <w:rPr>
          <w:rFonts w:ascii="Times New Roman" w:eastAsia="Calibri" w:hAnsi="Times New Roman" w:cs="Times New Roman"/>
          <w:sz w:val="26"/>
          <w:szCs w:val="26"/>
        </w:rPr>
        <w:t xml:space="preserve"> и в среднем по РФ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9</w:t>
      </w:r>
      <w:r w:rsidRPr="000232F3">
        <w:rPr>
          <w:rFonts w:ascii="Times New Roman" w:eastAsia="Calibri" w:hAnsi="Times New Roman" w:cs="Times New Roman"/>
          <w:b/>
          <w:sz w:val="26"/>
          <w:szCs w:val="26"/>
        </w:rPr>
        <w:t>6</w:t>
      </w:r>
      <w:r>
        <w:rPr>
          <w:rFonts w:ascii="Times New Roman" w:eastAsia="Calibri" w:hAnsi="Times New Roman" w:cs="Times New Roman"/>
          <w:sz w:val="26"/>
          <w:szCs w:val="26"/>
        </w:rPr>
        <w:t xml:space="preserve"> (раздел «</w:t>
      </w:r>
      <w:r w:rsidRPr="00CB1B3C">
        <w:rPr>
          <w:rFonts w:ascii="Times New Roman" w:hAnsi="Times New Roman" w:cs="Times New Roman"/>
          <w:sz w:val="26"/>
          <w:szCs w:val="26"/>
        </w:rPr>
        <w:t>Скидка на торг, уторгование при продаже земельных участков на 01.</w:t>
      </w:r>
      <w:r>
        <w:rPr>
          <w:rFonts w:ascii="Times New Roman" w:hAnsi="Times New Roman" w:cs="Times New Roman"/>
          <w:sz w:val="26"/>
          <w:szCs w:val="26"/>
        </w:rPr>
        <w:t>01</w:t>
      </w:r>
      <w:r w:rsidRPr="00CB1B3C">
        <w:rPr>
          <w:rFonts w:ascii="Times New Roman" w:hAnsi="Times New Roman" w:cs="Times New Roman"/>
          <w:sz w:val="26"/>
          <w:szCs w:val="26"/>
        </w:rPr>
        <w:t>.202</w:t>
      </w:r>
      <w:r>
        <w:rPr>
          <w:rFonts w:ascii="Times New Roman" w:hAnsi="Times New Roman" w:cs="Times New Roman"/>
          <w:sz w:val="26"/>
          <w:szCs w:val="26"/>
        </w:rPr>
        <w:t>2</w:t>
      </w:r>
      <w:r w:rsidRPr="00CB1B3C">
        <w:rPr>
          <w:rFonts w:ascii="Times New Roman" w:hAnsi="Times New Roman" w:cs="Times New Roman"/>
          <w:sz w:val="26"/>
          <w:szCs w:val="26"/>
        </w:rPr>
        <w:t xml:space="preserve"> года</w:t>
      </w:r>
      <w:r>
        <w:rPr>
          <w:rFonts w:ascii="Times New Roman" w:hAnsi="Times New Roman" w:cs="Times New Roman"/>
          <w:sz w:val="26"/>
          <w:szCs w:val="26"/>
        </w:rPr>
        <w:t>»)</w:t>
      </w:r>
      <w:r>
        <w:rPr>
          <w:rFonts w:ascii="Times New Roman" w:eastAsia="Calibri" w:hAnsi="Times New Roman" w:cs="Times New Roman"/>
          <w:sz w:val="26"/>
          <w:szCs w:val="26"/>
        </w:rPr>
        <w:t>. Принято среднее значение диапазона.</w:t>
      </w:r>
    </w:p>
    <w:p w14:paraId="270DA876"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дату</w:t>
      </w:r>
    </w:p>
    <w:p w14:paraId="52047189" w14:textId="77777777" w:rsidR="00DB474C" w:rsidRDefault="00DB474C" w:rsidP="00DB474C">
      <w:pPr>
        <w:spacing w:after="0" w:line="300" w:lineRule="auto"/>
        <w:ind w:firstLine="708"/>
        <w:jc w:val="both"/>
        <w:rPr>
          <w:rFonts w:ascii="Times New Roman" w:hAnsi="Times New Roman" w:cs="Times New Roman"/>
          <w:b/>
          <w:sz w:val="26"/>
          <w:szCs w:val="26"/>
        </w:rPr>
      </w:pPr>
      <w:r>
        <w:rPr>
          <w:rFonts w:ascii="Times New Roman" w:hAnsi="Times New Roman" w:cs="Times New Roman"/>
          <w:sz w:val="26"/>
          <w:szCs w:val="26"/>
        </w:rPr>
        <w:t xml:space="preserve">Изменение рыночной конъюнктуры, условия которой могут сильно отразиться на стоимости объекта недвижимости, происходят с течением времени. </w:t>
      </w:r>
      <w:r>
        <w:rPr>
          <w:rFonts w:ascii="Times New Roman" w:eastAsia="Calibri" w:hAnsi="Times New Roman" w:cs="Times New Roman"/>
          <w:sz w:val="26"/>
          <w:szCs w:val="26"/>
        </w:rPr>
        <w:t xml:space="preserve">Корректировка на дату учитывает изменение цен на земельные участки за период с даты заключения сделки (предложения) с объектом-аналогом до даты проведения настоящей оценки. </w:t>
      </w:r>
    </w:p>
    <w:p w14:paraId="0F84773B" w14:textId="77777777" w:rsidR="00DB474C" w:rsidRDefault="00DB474C" w:rsidP="00DB474C">
      <w:pPr>
        <w:jc w:val="center"/>
      </w:pPr>
      <w:r w:rsidRPr="00376FBD">
        <w:rPr>
          <w:noProof/>
          <w:lang w:eastAsia="ru-RU"/>
        </w:rPr>
        <w:drawing>
          <wp:inline distT="0" distB="0" distL="0" distR="0" wp14:anchorId="5E80DAD3" wp14:editId="1057BF8D">
            <wp:extent cx="5940425" cy="3978910"/>
            <wp:effectExtent l="0" t="0" r="3175"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978910"/>
                    </a:xfrm>
                    <a:prstGeom prst="rect">
                      <a:avLst/>
                    </a:prstGeom>
                  </pic:spPr>
                </pic:pic>
              </a:graphicData>
            </a:graphic>
          </wp:inline>
        </w:drawing>
      </w:r>
    </w:p>
    <w:p w14:paraId="67DEB978" w14:textId="01D0F795" w:rsidR="00DB474C" w:rsidRDefault="00DB474C" w:rsidP="00DB474C">
      <w:pPr>
        <w:jc w:val="center"/>
        <w:rPr>
          <w:rFonts w:ascii="Times New Roman" w:eastAsia="Calibri" w:hAnsi="Times New Roman" w:cs="Times New Roman"/>
          <w:sz w:val="26"/>
          <w:szCs w:val="26"/>
        </w:rPr>
      </w:pPr>
      <w:r>
        <w:rPr>
          <w:rFonts w:ascii="Times New Roman" w:eastAsia="Calibri" w:hAnsi="Times New Roman" w:cs="Times New Roman"/>
          <w:sz w:val="26"/>
          <w:szCs w:val="26"/>
        </w:rPr>
        <w:t>Рис.3.1.3.2.3-</w:t>
      </w:r>
      <w:r w:rsidRPr="008C322D">
        <w:t xml:space="preserve"> </w:t>
      </w:r>
      <w:r w:rsidRPr="008C322D">
        <w:rPr>
          <w:rFonts w:ascii="Times New Roman" w:eastAsia="Calibri" w:hAnsi="Times New Roman" w:cs="Times New Roman"/>
          <w:sz w:val="26"/>
          <w:szCs w:val="26"/>
        </w:rPr>
        <w:t xml:space="preserve">Индексы изменения </w:t>
      </w:r>
      <w:r w:rsidRPr="00A67AF4">
        <w:rPr>
          <w:rFonts w:ascii="Times New Roman" w:eastAsia="Calibri" w:hAnsi="Times New Roman" w:cs="Times New Roman"/>
          <w:sz w:val="26"/>
          <w:szCs w:val="26"/>
        </w:rPr>
        <w:t>рыночных цен (в рублях) земельных участков по данным некоммерческой организации «Ассоциация развития рынка недвижимости «СтатРиелт»</w:t>
      </w:r>
      <w:r w:rsidR="00E91C63">
        <w:rPr>
          <w:rStyle w:val="af2"/>
          <w:rFonts w:ascii="Times New Roman" w:eastAsia="Calibri" w:hAnsi="Times New Roman" w:cs="Times New Roman"/>
          <w:sz w:val="26"/>
          <w:szCs w:val="26"/>
        </w:rPr>
        <w:footnoteReference w:id="65"/>
      </w:r>
    </w:p>
    <w:p w14:paraId="667E22C8" w14:textId="77777777" w:rsidR="00DB474C" w:rsidRDefault="00DB474C" w:rsidP="00DB474C">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был произведен расчет корректировок, значения представлены далее в таблице.</w:t>
      </w:r>
    </w:p>
    <w:p w14:paraId="10094BF8" w14:textId="77777777" w:rsidR="00DB474C" w:rsidRDefault="00DB474C" w:rsidP="00DB474C">
      <w:pPr>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3.1.3.2.1</w:t>
      </w:r>
    </w:p>
    <w:p w14:paraId="4FB41F7E" w14:textId="77777777" w:rsidR="00DB474C" w:rsidRPr="002F6E4F" w:rsidRDefault="00DB474C" w:rsidP="00DB474C">
      <w:pPr>
        <w:jc w:val="center"/>
        <w:rPr>
          <w:rFonts w:ascii="Times New Roman" w:eastAsia="Calibri" w:hAnsi="Times New Roman" w:cs="Times New Roman"/>
          <w:sz w:val="26"/>
          <w:szCs w:val="26"/>
        </w:rPr>
      </w:pPr>
      <w:r>
        <w:rPr>
          <w:rFonts w:ascii="Times New Roman" w:eastAsia="Calibri" w:hAnsi="Times New Roman" w:cs="Times New Roman"/>
          <w:sz w:val="26"/>
          <w:szCs w:val="26"/>
        </w:rPr>
        <w:t>Размер корректировок на дату, рассчитанных на каждое полугодие</w:t>
      </w:r>
    </w:p>
    <w:tbl>
      <w:tblPr>
        <w:tblStyle w:val="ae"/>
        <w:tblW w:w="4927" w:type="pct"/>
        <w:jc w:val="center"/>
        <w:tblLayout w:type="fixed"/>
        <w:tblLook w:val="04A0" w:firstRow="1" w:lastRow="0" w:firstColumn="1" w:lastColumn="0" w:noHBand="0" w:noVBand="1"/>
      </w:tblPr>
      <w:tblGrid>
        <w:gridCol w:w="1130"/>
        <w:gridCol w:w="993"/>
        <w:gridCol w:w="1558"/>
        <w:gridCol w:w="1558"/>
        <w:gridCol w:w="654"/>
        <w:gridCol w:w="622"/>
        <w:gridCol w:w="993"/>
        <w:gridCol w:w="1700"/>
      </w:tblGrid>
      <w:tr w:rsidR="00DB474C" w:rsidRPr="006640DC" w14:paraId="3015D0A8" w14:textId="77777777" w:rsidTr="00CD59AB">
        <w:trPr>
          <w:jc w:val="center"/>
        </w:trPr>
        <w:tc>
          <w:tcPr>
            <w:tcW w:w="614" w:type="pct"/>
            <w:vAlign w:val="center"/>
          </w:tcPr>
          <w:p w14:paraId="4C28F9AB" w14:textId="77777777" w:rsidR="00DB474C" w:rsidRPr="006640DC" w:rsidRDefault="00DB474C" w:rsidP="00CD59AB">
            <w:pPr>
              <w:jc w:val="center"/>
              <w:rPr>
                <w:rFonts w:ascii="Times New Roman" w:hAnsi="Times New Roman" w:cs="Times New Roman"/>
                <w:sz w:val="18"/>
                <w:szCs w:val="18"/>
              </w:rPr>
            </w:pPr>
            <w:r w:rsidRPr="006640DC">
              <w:rPr>
                <w:rFonts w:ascii="Times New Roman" w:hAnsi="Times New Roman" w:cs="Times New Roman"/>
                <w:sz w:val="18"/>
                <w:szCs w:val="18"/>
              </w:rPr>
              <w:t>к 01.0</w:t>
            </w:r>
            <w:r>
              <w:rPr>
                <w:rFonts w:ascii="Times New Roman" w:hAnsi="Times New Roman" w:cs="Times New Roman"/>
                <w:sz w:val="18"/>
                <w:szCs w:val="18"/>
              </w:rPr>
              <w:t>1</w:t>
            </w:r>
            <w:r w:rsidRPr="006640DC">
              <w:rPr>
                <w:rFonts w:ascii="Times New Roman" w:hAnsi="Times New Roman" w:cs="Times New Roman"/>
                <w:sz w:val="18"/>
                <w:szCs w:val="18"/>
              </w:rPr>
              <w:t>.202</w:t>
            </w:r>
            <w:r>
              <w:rPr>
                <w:rFonts w:ascii="Times New Roman" w:hAnsi="Times New Roman" w:cs="Times New Roman"/>
                <w:sz w:val="18"/>
                <w:szCs w:val="18"/>
              </w:rPr>
              <w:t>2</w:t>
            </w:r>
          </w:p>
        </w:tc>
        <w:tc>
          <w:tcPr>
            <w:tcW w:w="539" w:type="pct"/>
            <w:vAlign w:val="center"/>
          </w:tcPr>
          <w:p w14:paraId="5AFEE73E" w14:textId="77777777" w:rsidR="00DB474C" w:rsidRPr="006640DC" w:rsidRDefault="00DB474C" w:rsidP="00CD59AB">
            <w:pPr>
              <w:jc w:val="center"/>
              <w:rPr>
                <w:rFonts w:ascii="Times New Roman" w:hAnsi="Times New Roman" w:cs="Times New Roman"/>
                <w:sz w:val="18"/>
              </w:rPr>
            </w:pPr>
            <w:r w:rsidRPr="006640DC">
              <w:rPr>
                <w:rFonts w:ascii="Times New Roman" w:hAnsi="Times New Roman" w:cs="Times New Roman"/>
                <w:color w:val="000000"/>
                <w:sz w:val="18"/>
              </w:rPr>
              <w:t>торговые и офисные здания</w:t>
            </w:r>
          </w:p>
        </w:tc>
        <w:tc>
          <w:tcPr>
            <w:tcW w:w="846" w:type="pct"/>
            <w:vAlign w:val="center"/>
          </w:tcPr>
          <w:p w14:paraId="7FFA125B" w14:textId="77777777" w:rsidR="00DB474C" w:rsidRPr="006640DC" w:rsidRDefault="00DB474C" w:rsidP="00CD59AB">
            <w:pPr>
              <w:jc w:val="center"/>
              <w:rPr>
                <w:rFonts w:ascii="Times New Roman" w:hAnsi="Times New Roman" w:cs="Times New Roman"/>
                <w:sz w:val="18"/>
              </w:rPr>
            </w:pPr>
            <w:r>
              <w:rPr>
                <w:rFonts w:ascii="Times New Roman" w:hAnsi="Times New Roman" w:cs="Times New Roman"/>
                <w:color w:val="000000"/>
                <w:sz w:val="18"/>
              </w:rPr>
              <w:t>п</w:t>
            </w:r>
            <w:r w:rsidRPr="006640DC">
              <w:rPr>
                <w:rFonts w:ascii="Times New Roman" w:hAnsi="Times New Roman" w:cs="Times New Roman"/>
                <w:color w:val="000000"/>
                <w:sz w:val="18"/>
              </w:rPr>
              <w:t>ромышленности, транспорта, связи и иного специального назначения</w:t>
            </w:r>
          </w:p>
        </w:tc>
        <w:tc>
          <w:tcPr>
            <w:tcW w:w="846" w:type="pct"/>
            <w:vAlign w:val="center"/>
          </w:tcPr>
          <w:p w14:paraId="379F2F49" w14:textId="77777777" w:rsidR="00DB474C" w:rsidRPr="00EF51B1" w:rsidRDefault="00DB474C" w:rsidP="00CD59AB">
            <w:pPr>
              <w:jc w:val="center"/>
              <w:rPr>
                <w:rFonts w:ascii="Times New Roman" w:hAnsi="Times New Roman" w:cs="Times New Roman"/>
                <w:b/>
                <w:sz w:val="18"/>
              </w:rPr>
            </w:pPr>
            <w:r w:rsidRPr="00EF51B1">
              <w:rPr>
                <w:rFonts w:ascii="Times New Roman" w:hAnsi="Times New Roman" w:cs="Times New Roman"/>
                <w:b/>
                <w:color w:val="000000"/>
                <w:sz w:val="18"/>
              </w:rPr>
              <w:t>много-квартирное строительство</w:t>
            </w:r>
          </w:p>
        </w:tc>
        <w:tc>
          <w:tcPr>
            <w:tcW w:w="355" w:type="pct"/>
            <w:vAlign w:val="center"/>
          </w:tcPr>
          <w:p w14:paraId="70E5D1AB" w14:textId="77777777" w:rsidR="00DB474C" w:rsidRDefault="00DB474C" w:rsidP="00CD59AB">
            <w:pPr>
              <w:jc w:val="center"/>
              <w:rPr>
                <w:rFonts w:ascii="Times New Roman" w:hAnsi="Times New Roman" w:cs="Times New Roman"/>
                <w:color w:val="000000"/>
                <w:sz w:val="18"/>
              </w:rPr>
            </w:pPr>
            <w:r w:rsidRPr="006640DC">
              <w:rPr>
                <w:rFonts w:ascii="Times New Roman" w:hAnsi="Times New Roman" w:cs="Times New Roman"/>
                <w:color w:val="000000"/>
                <w:sz w:val="18"/>
              </w:rPr>
              <w:t>ИЖС</w:t>
            </w:r>
          </w:p>
          <w:p w14:paraId="3BA97845" w14:textId="77777777" w:rsidR="00DB474C" w:rsidRDefault="00DB474C" w:rsidP="00CD59AB">
            <w:pPr>
              <w:jc w:val="center"/>
              <w:rPr>
                <w:rFonts w:ascii="Times New Roman" w:hAnsi="Times New Roman" w:cs="Times New Roman"/>
                <w:color w:val="000000"/>
                <w:sz w:val="18"/>
              </w:rPr>
            </w:pPr>
            <w:r>
              <w:rPr>
                <w:rFonts w:ascii="Times New Roman" w:hAnsi="Times New Roman" w:cs="Times New Roman"/>
                <w:color w:val="000000"/>
                <w:sz w:val="18"/>
              </w:rPr>
              <w:t>и</w:t>
            </w:r>
          </w:p>
          <w:p w14:paraId="6F77BF50" w14:textId="77777777" w:rsidR="00DB474C" w:rsidRPr="006640DC" w:rsidRDefault="00DB474C" w:rsidP="00CD59AB">
            <w:pPr>
              <w:jc w:val="center"/>
              <w:rPr>
                <w:rFonts w:ascii="Times New Roman" w:hAnsi="Times New Roman" w:cs="Times New Roman"/>
                <w:sz w:val="18"/>
              </w:rPr>
            </w:pPr>
            <w:r w:rsidRPr="006640DC">
              <w:rPr>
                <w:rFonts w:ascii="Times New Roman" w:hAnsi="Times New Roman" w:cs="Times New Roman"/>
                <w:color w:val="000000"/>
                <w:sz w:val="18"/>
              </w:rPr>
              <w:t>ЛПХ</w:t>
            </w:r>
          </w:p>
        </w:tc>
        <w:tc>
          <w:tcPr>
            <w:tcW w:w="338" w:type="pct"/>
            <w:vAlign w:val="center"/>
          </w:tcPr>
          <w:p w14:paraId="5FF34E81" w14:textId="77777777" w:rsidR="00DB474C" w:rsidRPr="006640DC" w:rsidRDefault="00DB474C" w:rsidP="00CD59AB">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Н</w:t>
            </w:r>
            <w:r w:rsidRPr="006640DC">
              <w:rPr>
                <w:rFonts w:ascii="Times New Roman" w:hAnsi="Times New Roman" w:cs="Times New Roman"/>
                <w:color w:val="000000"/>
                <w:sz w:val="18"/>
              </w:rPr>
              <w:t>Т и ДНП</w:t>
            </w:r>
          </w:p>
        </w:tc>
        <w:tc>
          <w:tcPr>
            <w:tcW w:w="539" w:type="pct"/>
            <w:vAlign w:val="center"/>
          </w:tcPr>
          <w:p w14:paraId="1417A12E" w14:textId="77777777" w:rsidR="00DB474C" w:rsidRPr="006640DC" w:rsidRDefault="00DB474C" w:rsidP="00CD59AB">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/х</w:t>
            </w:r>
            <w:r w:rsidRPr="006640DC">
              <w:rPr>
                <w:rFonts w:ascii="Times New Roman" w:hAnsi="Times New Roman" w:cs="Times New Roman"/>
                <w:color w:val="000000"/>
                <w:sz w:val="18"/>
              </w:rPr>
              <w:t xml:space="preserve"> назна</w:t>
            </w:r>
            <w:r>
              <w:rPr>
                <w:rFonts w:ascii="Times New Roman" w:hAnsi="Times New Roman" w:cs="Times New Roman"/>
                <w:color w:val="000000"/>
                <w:sz w:val="18"/>
              </w:rPr>
              <w:t>-</w:t>
            </w:r>
            <w:r w:rsidRPr="006640DC">
              <w:rPr>
                <w:rFonts w:ascii="Times New Roman" w:hAnsi="Times New Roman" w:cs="Times New Roman"/>
                <w:color w:val="000000"/>
                <w:sz w:val="18"/>
              </w:rPr>
              <w:t>чения</w:t>
            </w:r>
          </w:p>
        </w:tc>
        <w:tc>
          <w:tcPr>
            <w:tcW w:w="923" w:type="pct"/>
            <w:vAlign w:val="center"/>
          </w:tcPr>
          <w:p w14:paraId="698F0DEB" w14:textId="77777777" w:rsidR="00DB474C" w:rsidRPr="006640DC" w:rsidRDefault="00DB474C" w:rsidP="00CD59AB">
            <w:pPr>
              <w:jc w:val="center"/>
              <w:rPr>
                <w:rFonts w:ascii="Times New Roman" w:hAnsi="Times New Roman" w:cs="Times New Roman"/>
                <w:sz w:val="18"/>
              </w:rPr>
            </w:pPr>
            <w:r w:rsidRPr="006640DC">
              <w:rPr>
                <w:rFonts w:ascii="Times New Roman" w:hAnsi="Times New Roman" w:cs="Times New Roman"/>
                <w:color w:val="000000"/>
                <w:sz w:val="18"/>
              </w:rPr>
              <w:t>сельскохозяйственного назначения с возможностью или перспективой строительства коммерческих зданий</w:t>
            </w:r>
          </w:p>
        </w:tc>
      </w:tr>
      <w:tr w:rsidR="00DB474C" w:rsidRPr="006640DC" w14:paraId="037ADD8C" w14:textId="77777777" w:rsidTr="00CD59AB">
        <w:trPr>
          <w:jc w:val="center"/>
        </w:trPr>
        <w:tc>
          <w:tcPr>
            <w:tcW w:w="614" w:type="pct"/>
            <w:vAlign w:val="center"/>
          </w:tcPr>
          <w:p w14:paraId="4FF2802B" w14:textId="77777777" w:rsidR="00DB474C" w:rsidRPr="006640DC" w:rsidRDefault="00DB474C" w:rsidP="00CD59AB">
            <w:pPr>
              <w:jc w:val="center"/>
              <w:rPr>
                <w:rFonts w:ascii="Times New Roman" w:hAnsi="Times New Roman" w:cs="Times New Roman"/>
              </w:rPr>
            </w:pPr>
            <w:r w:rsidRPr="006640DC">
              <w:rPr>
                <w:rFonts w:ascii="Times New Roman" w:hAnsi="Times New Roman" w:cs="Times New Roman"/>
                <w:color w:val="000000"/>
              </w:rPr>
              <w:t>01.01.2018 по 30.06.2018</w:t>
            </w:r>
          </w:p>
        </w:tc>
        <w:tc>
          <w:tcPr>
            <w:tcW w:w="539" w:type="pct"/>
            <w:vAlign w:val="center"/>
          </w:tcPr>
          <w:p w14:paraId="252BC1DF"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1AB95018"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0,99</w:t>
            </w:r>
          </w:p>
        </w:tc>
        <w:tc>
          <w:tcPr>
            <w:tcW w:w="846" w:type="pct"/>
            <w:vAlign w:val="center"/>
          </w:tcPr>
          <w:p w14:paraId="52427884" w14:textId="77777777" w:rsidR="00DB474C" w:rsidRPr="00DB264A" w:rsidRDefault="00DB474C" w:rsidP="00CD59AB">
            <w:pPr>
              <w:jc w:val="center"/>
              <w:rPr>
                <w:rFonts w:ascii="Times New Roman" w:hAnsi="Times New Roman" w:cs="Times New Roman"/>
                <w:b/>
              </w:rPr>
            </w:pPr>
            <w:r w:rsidRPr="00DB264A">
              <w:rPr>
                <w:rFonts w:ascii="Times New Roman" w:hAnsi="Times New Roman" w:cs="Times New Roman"/>
                <w:b/>
              </w:rPr>
              <w:t>1,31</w:t>
            </w:r>
          </w:p>
        </w:tc>
        <w:tc>
          <w:tcPr>
            <w:tcW w:w="355" w:type="pct"/>
            <w:vAlign w:val="center"/>
          </w:tcPr>
          <w:p w14:paraId="5B164AF3"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1,16</w:t>
            </w:r>
          </w:p>
        </w:tc>
        <w:tc>
          <w:tcPr>
            <w:tcW w:w="338" w:type="pct"/>
            <w:vAlign w:val="center"/>
          </w:tcPr>
          <w:p w14:paraId="014634CE"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1,14</w:t>
            </w:r>
          </w:p>
        </w:tc>
        <w:tc>
          <w:tcPr>
            <w:tcW w:w="539" w:type="pct"/>
            <w:vAlign w:val="center"/>
          </w:tcPr>
          <w:p w14:paraId="7D648538" w14:textId="77777777" w:rsidR="00DB474C" w:rsidRPr="00F22DF9" w:rsidRDefault="00DB474C" w:rsidP="00CD59AB">
            <w:pPr>
              <w:jc w:val="center"/>
              <w:rPr>
                <w:rFonts w:ascii="Times New Roman" w:hAnsi="Times New Roman" w:cs="Times New Roman"/>
                <w:b/>
              </w:rPr>
            </w:pPr>
            <w:r w:rsidRPr="00F22DF9">
              <w:rPr>
                <w:rFonts w:ascii="Times New Roman" w:hAnsi="Times New Roman" w:cs="Times New Roman"/>
              </w:rPr>
              <w:t>1,15</w:t>
            </w:r>
          </w:p>
        </w:tc>
        <w:tc>
          <w:tcPr>
            <w:tcW w:w="923" w:type="pct"/>
            <w:vAlign w:val="center"/>
          </w:tcPr>
          <w:p w14:paraId="1457B301"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1,11</w:t>
            </w:r>
          </w:p>
        </w:tc>
      </w:tr>
      <w:tr w:rsidR="00DB474C" w:rsidRPr="006640DC" w14:paraId="5CEC4125" w14:textId="77777777" w:rsidTr="00CD59AB">
        <w:trPr>
          <w:jc w:val="center"/>
        </w:trPr>
        <w:tc>
          <w:tcPr>
            <w:tcW w:w="614" w:type="pct"/>
            <w:vAlign w:val="center"/>
          </w:tcPr>
          <w:p w14:paraId="1B91EF78" w14:textId="77777777" w:rsidR="00DB474C" w:rsidRPr="006640DC" w:rsidRDefault="00DB474C" w:rsidP="00CD59AB">
            <w:pPr>
              <w:jc w:val="center"/>
              <w:rPr>
                <w:rFonts w:ascii="Times New Roman" w:hAnsi="Times New Roman" w:cs="Times New Roman"/>
              </w:rPr>
            </w:pPr>
            <w:r w:rsidRPr="006640DC">
              <w:rPr>
                <w:rFonts w:ascii="Times New Roman" w:hAnsi="Times New Roman" w:cs="Times New Roman"/>
                <w:color w:val="000000"/>
              </w:rPr>
              <w:t>01.07.2018 по 31.12.2018</w:t>
            </w:r>
          </w:p>
        </w:tc>
        <w:tc>
          <w:tcPr>
            <w:tcW w:w="539" w:type="pct"/>
            <w:vAlign w:val="center"/>
          </w:tcPr>
          <w:p w14:paraId="489C9D7E"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3B52CEE1"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0,99</w:t>
            </w:r>
          </w:p>
        </w:tc>
        <w:tc>
          <w:tcPr>
            <w:tcW w:w="846" w:type="pct"/>
            <w:vAlign w:val="center"/>
          </w:tcPr>
          <w:p w14:paraId="72D75AFD" w14:textId="77777777" w:rsidR="00DB474C" w:rsidRPr="00DB264A" w:rsidRDefault="00DB474C" w:rsidP="00CD59AB">
            <w:pPr>
              <w:jc w:val="center"/>
              <w:rPr>
                <w:rFonts w:ascii="Times New Roman" w:hAnsi="Times New Roman" w:cs="Times New Roman"/>
                <w:b/>
              </w:rPr>
            </w:pPr>
            <w:r w:rsidRPr="00DB264A">
              <w:rPr>
                <w:rFonts w:ascii="Times New Roman" w:hAnsi="Times New Roman" w:cs="Times New Roman"/>
                <w:b/>
              </w:rPr>
              <w:t>1,30</w:t>
            </w:r>
          </w:p>
        </w:tc>
        <w:tc>
          <w:tcPr>
            <w:tcW w:w="355" w:type="pct"/>
            <w:vAlign w:val="center"/>
          </w:tcPr>
          <w:p w14:paraId="4ACA802A"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1,17</w:t>
            </w:r>
          </w:p>
        </w:tc>
        <w:tc>
          <w:tcPr>
            <w:tcW w:w="338" w:type="pct"/>
            <w:vAlign w:val="center"/>
          </w:tcPr>
          <w:p w14:paraId="55A3A698"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1,15</w:t>
            </w:r>
          </w:p>
        </w:tc>
        <w:tc>
          <w:tcPr>
            <w:tcW w:w="539" w:type="pct"/>
            <w:vAlign w:val="center"/>
          </w:tcPr>
          <w:p w14:paraId="023AFF2C" w14:textId="77777777" w:rsidR="00DB474C" w:rsidRPr="00F22DF9" w:rsidRDefault="00DB474C" w:rsidP="00CD59AB">
            <w:pPr>
              <w:jc w:val="center"/>
              <w:rPr>
                <w:rFonts w:ascii="Times New Roman" w:hAnsi="Times New Roman" w:cs="Times New Roman"/>
                <w:b/>
              </w:rPr>
            </w:pPr>
            <w:r w:rsidRPr="00F22DF9">
              <w:rPr>
                <w:rFonts w:ascii="Times New Roman" w:hAnsi="Times New Roman" w:cs="Times New Roman"/>
              </w:rPr>
              <w:t>1,14</w:t>
            </w:r>
          </w:p>
        </w:tc>
        <w:tc>
          <w:tcPr>
            <w:tcW w:w="923" w:type="pct"/>
            <w:vAlign w:val="center"/>
          </w:tcPr>
          <w:p w14:paraId="2C5BE851"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1,13</w:t>
            </w:r>
          </w:p>
        </w:tc>
      </w:tr>
      <w:tr w:rsidR="00DB474C" w:rsidRPr="006640DC" w14:paraId="65CBECD1" w14:textId="77777777" w:rsidTr="00CD59AB">
        <w:trPr>
          <w:jc w:val="center"/>
        </w:trPr>
        <w:tc>
          <w:tcPr>
            <w:tcW w:w="614" w:type="pct"/>
            <w:vAlign w:val="center"/>
          </w:tcPr>
          <w:p w14:paraId="6E8C117D" w14:textId="77777777" w:rsidR="00DB474C" w:rsidRPr="006640DC" w:rsidRDefault="00DB474C" w:rsidP="00CD59AB">
            <w:pPr>
              <w:jc w:val="center"/>
              <w:rPr>
                <w:rFonts w:ascii="Times New Roman" w:hAnsi="Times New Roman" w:cs="Times New Roman"/>
              </w:rPr>
            </w:pPr>
            <w:r w:rsidRPr="006640DC">
              <w:rPr>
                <w:rFonts w:ascii="Times New Roman" w:hAnsi="Times New Roman" w:cs="Times New Roman"/>
                <w:color w:val="000000"/>
              </w:rPr>
              <w:t>01.01.2019 по 30.06.2019</w:t>
            </w:r>
          </w:p>
        </w:tc>
        <w:tc>
          <w:tcPr>
            <w:tcW w:w="539" w:type="pct"/>
            <w:vAlign w:val="center"/>
          </w:tcPr>
          <w:p w14:paraId="0E87DB94"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0CFF774A"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0,99</w:t>
            </w:r>
          </w:p>
        </w:tc>
        <w:tc>
          <w:tcPr>
            <w:tcW w:w="846" w:type="pct"/>
            <w:vAlign w:val="center"/>
          </w:tcPr>
          <w:p w14:paraId="3F90000A" w14:textId="77777777" w:rsidR="00DB474C" w:rsidRPr="00DB264A" w:rsidRDefault="00DB474C" w:rsidP="00CD59AB">
            <w:pPr>
              <w:jc w:val="center"/>
              <w:rPr>
                <w:rFonts w:ascii="Times New Roman" w:hAnsi="Times New Roman" w:cs="Times New Roman"/>
                <w:b/>
              </w:rPr>
            </w:pPr>
            <w:r w:rsidRPr="00DB264A">
              <w:rPr>
                <w:rFonts w:ascii="Times New Roman" w:hAnsi="Times New Roman" w:cs="Times New Roman"/>
                <w:b/>
              </w:rPr>
              <w:t>1,28</w:t>
            </w:r>
          </w:p>
        </w:tc>
        <w:tc>
          <w:tcPr>
            <w:tcW w:w="355" w:type="pct"/>
            <w:vAlign w:val="center"/>
          </w:tcPr>
          <w:p w14:paraId="125E5547"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1,17</w:t>
            </w:r>
          </w:p>
        </w:tc>
        <w:tc>
          <w:tcPr>
            <w:tcW w:w="338" w:type="pct"/>
            <w:vAlign w:val="center"/>
          </w:tcPr>
          <w:p w14:paraId="47FA4FDF"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1,15</w:t>
            </w:r>
          </w:p>
        </w:tc>
        <w:tc>
          <w:tcPr>
            <w:tcW w:w="539" w:type="pct"/>
            <w:vAlign w:val="center"/>
          </w:tcPr>
          <w:p w14:paraId="68D6F800" w14:textId="77777777" w:rsidR="00DB474C" w:rsidRPr="00F22DF9" w:rsidRDefault="00DB474C" w:rsidP="00CD59AB">
            <w:pPr>
              <w:jc w:val="center"/>
              <w:rPr>
                <w:rFonts w:ascii="Times New Roman" w:hAnsi="Times New Roman" w:cs="Times New Roman"/>
                <w:b/>
              </w:rPr>
            </w:pPr>
            <w:r w:rsidRPr="00F22DF9">
              <w:rPr>
                <w:rFonts w:ascii="Times New Roman" w:hAnsi="Times New Roman" w:cs="Times New Roman"/>
              </w:rPr>
              <w:t>1,12</w:t>
            </w:r>
          </w:p>
        </w:tc>
        <w:tc>
          <w:tcPr>
            <w:tcW w:w="923" w:type="pct"/>
            <w:vAlign w:val="center"/>
          </w:tcPr>
          <w:p w14:paraId="19F4F79C"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1,13</w:t>
            </w:r>
          </w:p>
        </w:tc>
      </w:tr>
      <w:tr w:rsidR="00DB474C" w:rsidRPr="006640DC" w14:paraId="16C3567F" w14:textId="77777777" w:rsidTr="00CD59AB">
        <w:trPr>
          <w:jc w:val="center"/>
        </w:trPr>
        <w:tc>
          <w:tcPr>
            <w:tcW w:w="614" w:type="pct"/>
            <w:vAlign w:val="center"/>
          </w:tcPr>
          <w:p w14:paraId="5B490343" w14:textId="77777777" w:rsidR="00DB474C" w:rsidRPr="006640DC" w:rsidRDefault="00DB474C" w:rsidP="00CD59AB">
            <w:pPr>
              <w:jc w:val="center"/>
              <w:rPr>
                <w:rFonts w:ascii="Times New Roman" w:hAnsi="Times New Roman" w:cs="Times New Roman"/>
              </w:rPr>
            </w:pPr>
            <w:r w:rsidRPr="006640DC">
              <w:rPr>
                <w:rFonts w:ascii="Times New Roman" w:hAnsi="Times New Roman" w:cs="Times New Roman"/>
                <w:color w:val="000000"/>
              </w:rPr>
              <w:t>01.07.2019 по 31.12.2019</w:t>
            </w:r>
          </w:p>
        </w:tc>
        <w:tc>
          <w:tcPr>
            <w:tcW w:w="539" w:type="pct"/>
            <w:vAlign w:val="center"/>
          </w:tcPr>
          <w:p w14:paraId="1B0F0C6A"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1,03</w:t>
            </w:r>
          </w:p>
        </w:tc>
        <w:tc>
          <w:tcPr>
            <w:tcW w:w="846" w:type="pct"/>
            <w:vAlign w:val="center"/>
          </w:tcPr>
          <w:p w14:paraId="2B5C07A4"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0,97</w:t>
            </w:r>
          </w:p>
        </w:tc>
        <w:tc>
          <w:tcPr>
            <w:tcW w:w="846" w:type="pct"/>
            <w:vAlign w:val="center"/>
          </w:tcPr>
          <w:p w14:paraId="049DDCD9" w14:textId="77777777" w:rsidR="00DB474C" w:rsidRPr="00DB264A" w:rsidRDefault="00DB474C" w:rsidP="00CD59AB">
            <w:pPr>
              <w:jc w:val="center"/>
              <w:rPr>
                <w:rFonts w:ascii="Times New Roman" w:hAnsi="Times New Roman" w:cs="Times New Roman"/>
                <w:b/>
              </w:rPr>
            </w:pPr>
            <w:r w:rsidRPr="00DB264A">
              <w:rPr>
                <w:rFonts w:ascii="Times New Roman" w:hAnsi="Times New Roman" w:cs="Times New Roman"/>
                <w:b/>
              </w:rPr>
              <w:t>1,24</w:t>
            </w:r>
          </w:p>
        </w:tc>
        <w:tc>
          <w:tcPr>
            <w:tcW w:w="355" w:type="pct"/>
            <w:vAlign w:val="center"/>
          </w:tcPr>
          <w:p w14:paraId="372E2223"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1,15</w:t>
            </w:r>
          </w:p>
        </w:tc>
        <w:tc>
          <w:tcPr>
            <w:tcW w:w="338" w:type="pct"/>
            <w:vAlign w:val="center"/>
          </w:tcPr>
          <w:p w14:paraId="7FE0601E"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1,13</w:t>
            </w:r>
          </w:p>
        </w:tc>
        <w:tc>
          <w:tcPr>
            <w:tcW w:w="539" w:type="pct"/>
            <w:vAlign w:val="center"/>
          </w:tcPr>
          <w:p w14:paraId="5DD46312" w14:textId="77777777" w:rsidR="00DB474C" w:rsidRPr="00F22DF9" w:rsidRDefault="00DB474C" w:rsidP="00CD59AB">
            <w:pPr>
              <w:jc w:val="center"/>
              <w:rPr>
                <w:rFonts w:ascii="Times New Roman" w:hAnsi="Times New Roman" w:cs="Times New Roman"/>
                <w:b/>
              </w:rPr>
            </w:pPr>
            <w:r w:rsidRPr="00F22DF9">
              <w:rPr>
                <w:rFonts w:ascii="Times New Roman" w:hAnsi="Times New Roman" w:cs="Times New Roman"/>
              </w:rPr>
              <w:t>1,08</w:t>
            </w:r>
          </w:p>
        </w:tc>
        <w:tc>
          <w:tcPr>
            <w:tcW w:w="923" w:type="pct"/>
            <w:vAlign w:val="center"/>
          </w:tcPr>
          <w:p w14:paraId="37E99344"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1,10</w:t>
            </w:r>
          </w:p>
        </w:tc>
      </w:tr>
      <w:tr w:rsidR="00DB474C" w:rsidRPr="006640DC" w14:paraId="14906068" w14:textId="77777777" w:rsidTr="00CD59AB">
        <w:trPr>
          <w:jc w:val="center"/>
        </w:trPr>
        <w:tc>
          <w:tcPr>
            <w:tcW w:w="614" w:type="pct"/>
            <w:vAlign w:val="center"/>
          </w:tcPr>
          <w:p w14:paraId="5EDA01DA" w14:textId="77777777" w:rsidR="00DB474C" w:rsidRPr="006640DC" w:rsidRDefault="00DB474C" w:rsidP="00CD59AB">
            <w:pPr>
              <w:jc w:val="center"/>
              <w:rPr>
                <w:rFonts w:ascii="Times New Roman" w:hAnsi="Times New Roman" w:cs="Times New Roman"/>
              </w:rPr>
            </w:pPr>
            <w:r w:rsidRPr="006640DC">
              <w:rPr>
                <w:rFonts w:ascii="Times New Roman" w:hAnsi="Times New Roman" w:cs="Times New Roman"/>
                <w:color w:val="000000"/>
              </w:rPr>
              <w:t>01.01.2020 по 30.06.2020</w:t>
            </w:r>
          </w:p>
        </w:tc>
        <w:tc>
          <w:tcPr>
            <w:tcW w:w="539" w:type="pct"/>
            <w:vAlign w:val="center"/>
          </w:tcPr>
          <w:p w14:paraId="6C85FF7B"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1,01</w:t>
            </w:r>
          </w:p>
        </w:tc>
        <w:tc>
          <w:tcPr>
            <w:tcW w:w="846" w:type="pct"/>
            <w:vAlign w:val="center"/>
          </w:tcPr>
          <w:p w14:paraId="6BA6F21D"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0,95</w:t>
            </w:r>
          </w:p>
        </w:tc>
        <w:tc>
          <w:tcPr>
            <w:tcW w:w="846" w:type="pct"/>
            <w:vAlign w:val="center"/>
          </w:tcPr>
          <w:p w14:paraId="7EA33A0B" w14:textId="77777777" w:rsidR="00DB474C" w:rsidRPr="00DB264A" w:rsidRDefault="00DB474C" w:rsidP="00CD59AB">
            <w:pPr>
              <w:jc w:val="center"/>
              <w:rPr>
                <w:rFonts w:ascii="Times New Roman" w:hAnsi="Times New Roman" w:cs="Times New Roman"/>
                <w:b/>
              </w:rPr>
            </w:pPr>
            <w:r w:rsidRPr="00DB264A">
              <w:rPr>
                <w:rFonts w:ascii="Times New Roman" w:hAnsi="Times New Roman" w:cs="Times New Roman"/>
                <w:b/>
              </w:rPr>
              <w:t>1,19</w:t>
            </w:r>
          </w:p>
        </w:tc>
        <w:tc>
          <w:tcPr>
            <w:tcW w:w="355" w:type="pct"/>
            <w:vAlign w:val="center"/>
          </w:tcPr>
          <w:p w14:paraId="56F6AD68"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1,14</w:t>
            </w:r>
          </w:p>
        </w:tc>
        <w:tc>
          <w:tcPr>
            <w:tcW w:w="338" w:type="pct"/>
            <w:vAlign w:val="center"/>
          </w:tcPr>
          <w:p w14:paraId="506760E5"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1,10</w:t>
            </w:r>
          </w:p>
        </w:tc>
        <w:tc>
          <w:tcPr>
            <w:tcW w:w="539" w:type="pct"/>
            <w:vAlign w:val="center"/>
          </w:tcPr>
          <w:p w14:paraId="28FD2389" w14:textId="77777777" w:rsidR="00DB474C" w:rsidRPr="00F22DF9" w:rsidRDefault="00DB474C" w:rsidP="00CD59AB">
            <w:pPr>
              <w:jc w:val="center"/>
              <w:rPr>
                <w:rFonts w:ascii="Times New Roman" w:hAnsi="Times New Roman" w:cs="Times New Roman"/>
                <w:b/>
              </w:rPr>
            </w:pPr>
            <w:r w:rsidRPr="00F22DF9">
              <w:rPr>
                <w:rFonts w:ascii="Times New Roman" w:hAnsi="Times New Roman" w:cs="Times New Roman"/>
              </w:rPr>
              <w:t>1,05</w:t>
            </w:r>
          </w:p>
        </w:tc>
        <w:tc>
          <w:tcPr>
            <w:tcW w:w="923" w:type="pct"/>
            <w:vAlign w:val="center"/>
          </w:tcPr>
          <w:p w14:paraId="1248F94B"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1,08</w:t>
            </w:r>
          </w:p>
        </w:tc>
      </w:tr>
      <w:tr w:rsidR="00DB474C" w:rsidRPr="006640DC" w14:paraId="38E73BDC" w14:textId="77777777" w:rsidTr="00CD59AB">
        <w:trPr>
          <w:jc w:val="center"/>
        </w:trPr>
        <w:tc>
          <w:tcPr>
            <w:tcW w:w="614" w:type="pct"/>
            <w:vAlign w:val="center"/>
          </w:tcPr>
          <w:p w14:paraId="01CF2511" w14:textId="77777777" w:rsidR="00DB474C" w:rsidRPr="006640DC" w:rsidRDefault="00DB474C" w:rsidP="00CD59AB">
            <w:pPr>
              <w:jc w:val="center"/>
              <w:rPr>
                <w:rFonts w:ascii="Times New Roman" w:hAnsi="Times New Roman" w:cs="Times New Roman"/>
              </w:rPr>
            </w:pPr>
            <w:r w:rsidRPr="006640DC">
              <w:rPr>
                <w:rFonts w:ascii="Times New Roman" w:hAnsi="Times New Roman" w:cs="Times New Roman"/>
                <w:color w:val="000000"/>
              </w:rPr>
              <w:t>01.07.2020 по 31.12.2020</w:t>
            </w:r>
          </w:p>
        </w:tc>
        <w:tc>
          <w:tcPr>
            <w:tcW w:w="539" w:type="pct"/>
            <w:vAlign w:val="center"/>
          </w:tcPr>
          <w:p w14:paraId="02CDA1E5"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1,05</w:t>
            </w:r>
          </w:p>
        </w:tc>
        <w:tc>
          <w:tcPr>
            <w:tcW w:w="846" w:type="pct"/>
            <w:vAlign w:val="center"/>
          </w:tcPr>
          <w:p w14:paraId="25C881D2"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0,98</w:t>
            </w:r>
          </w:p>
        </w:tc>
        <w:tc>
          <w:tcPr>
            <w:tcW w:w="846" w:type="pct"/>
            <w:vAlign w:val="center"/>
          </w:tcPr>
          <w:p w14:paraId="18292589" w14:textId="77777777" w:rsidR="00DB474C" w:rsidRPr="00DB264A" w:rsidRDefault="00DB474C" w:rsidP="00CD59AB">
            <w:pPr>
              <w:jc w:val="center"/>
              <w:rPr>
                <w:rFonts w:ascii="Times New Roman" w:hAnsi="Times New Roman" w:cs="Times New Roman"/>
                <w:b/>
              </w:rPr>
            </w:pPr>
            <w:r w:rsidRPr="00DB264A">
              <w:rPr>
                <w:rFonts w:ascii="Times New Roman" w:hAnsi="Times New Roman" w:cs="Times New Roman"/>
                <w:b/>
              </w:rPr>
              <w:t>1,17</w:t>
            </w:r>
          </w:p>
        </w:tc>
        <w:tc>
          <w:tcPr>
            <w:tcW w:w="355" w:type="pct"/>
            <w:vAlign w:val="center"/>
          </w:tcPr>
          <w:p w14:paraId="7D91B934"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1,11</w:t>
            </w:r>
          </w:p>
        </w:tc>
        <w:tc>
          <w:tcPr>
            <w:tcW w:w="338" w:type="pct"/>
            <w:vAlign w:val="center"/>
          </w:tcPr>
          <w:p w14:paraId="5A7B082F"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1,09</w:t>
            </w:r>
          </w:p>
        </w:tc>
        <w:tc>
          <w:tcPr>
            <w:tcW w:w="539" w:type="pct"/>
            <w:vAlign w:val="center"/>
          </w:tcPr>
          <w:p w14:paraId="3CF5DC80" w14:textId="77777777" w:rsidR="00DB474C" w:rsidRPr="00F22DF9" w:rsidRDefault="00DB474C" w:rsidP="00CD59AB">
            <w:pPr>
              <w:jc w:val="center"/>
              <w:rPr>
                <w:rFonts w:ascii="Times New Roman" w:hAnsi="Times New Roman" w:cs="Times New Roman"/>
                <w:b/>
              </w:rPr>
            </w:pPr>
            <w:r w:rsidRPr="00F22DF9">
              <w:rPr>
                <w:rFonts w:ascii="Times New Roman" w:hAnsi="Times New Roman" w:cs="Times New Roman"/>
              </w:rPr>
              <w:t>1,03</w:t>
            </w:r>
          </w:p>
        </w:tc>
        <w:tc>
          <w:tcPr>
            <w:tcW w:w="923" w:type="pct"/>
            <w:vAlign w:val="center"/>
          </w:tcPr>
          <w:p w14:paraId="3F18E3C8"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1,07</w:t>
            </w:r>
          </w:p>
        </w:tc>
      </w:tr>
      <w:tr w:rsidR="00DB474C" w:rsidRPr="006640DC" w14:paraId="5B224129" w14:textId="77777777" w:rsidTr="00CD59AB">
        <w:trPr>
          <w:jc w:val="center"/>
        </w:trPr>
        <w:tc>
          <w:tcPr>
            <w:tcW w:w="614" w:type="pct"/>
            <w:vAlign w:val="center"/>
          </w:tcPr>
          <w:p w14:paraId="19F03659" w14:textId="77777777" w:rsidR="00DB474C" w:rsidRPr="006640DC" w:rsidRDefault="00DB474C" w:rsidP="00CD59AB">
            <w:pPr>
              <w:jc w:val="center"/>
              <w:rPr>
                <w:rFonts w:ascii="Times New Roman" w:hAnsi="Times New Roman" w:cs="Times New Roman"/>
              </w:rPr>
            </w:pPr>
            <w:r w:rsidRPr="006640DC">
              <w:rPr>
                <w:rFonts w:ascii="Times New Roman" w:hAnsi="Times New Roman" w:cs="Times New Roman"/>
                <w:color w:val="000000"/>
              </w:rPr>
              <w:t>01.01.2021 по 30.06.2021</w:t>
            </w:r>
          </w:p>
        </w:tc>
        <w:tc>
          <w:tcPr>
            <w:tcW w:w="539" w:type="pct"/>
            <w:vAlign w:val="center"/>
          </w:tcPr>
          <w:p w14:paraId="2F61BC7D"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5388DE2D"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0,98</w:t>
            </w:r>
          </w:p>
        </w:tc>
        <w:tc>
          <w:tcPr>
            <w:tcW w:w="846" w:type="pct"/>
            <w:vAlign w:val="center"/>
          </w:tcPr>
          <w:p w14:paraId="44C04B39" w14:textId="77777777" w:rsidR="00DB474C" w:rsidRPr="00DB264A" w:rsidRDefault="00DB474C" w:rsidP="00CD59AB">
            <w:pPr>
              <w:jc w:val="center"/>
              <w:rPr>
                <w:rFonts w:ascii="Times New Roman" w:hAnsi="Times New Roman" w:cs="Times New Roman"/>
                <w:b/>
              </w:rPr>
            </w:pPr>
            <w:r w:rsidRPr="00DB264A">
              <w:rPr>
                <w:rFonts w:ascii="Times New Roman" w:hAnsi="Times New Roman" w:cs="Times New Roman"/>
                <w:b/>
              </w:rPr>
              <w:t>1,07</w:t>
            </w:r>
          </w:p>
        </w:tc>
        <w:tc>
          <w:tcPr>
            <w:tcW w:w="355" w:type="pct"/>
            <w:vAlign w:val="center"/>
          </w:tcPr>
          <w:p w14:paraId="2012B29C"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1,06</w:t>
            </w:r>
          </w:p>
        </w:tc>
        <w:tc>
          <w:tcPr>
            <w:tcW w:w="338" w:type="pct"/>
            <w:vAlign w:val="center"/>
          </w:tcPr>
          <w:p w14:paraId="085AC98A"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1,04</w:t>
            </w:r>
          </w:p>
        </w:tc>
        <w:tc>
          <w:tcPr>
            <w:tcW w:w="539" w:type="pct"/>
            <w:vAlign w:val="center"/>
          </w:tcPr>
          <w:p w14:paraId="1DF275D2" w14:textId="77777777" w:rsidR="00DB474C" w:rsidRPr="00F22DF9" w:rsidRDefault="00DB474C" w:rsidP="00CD59AB">
            <w:pPr>
              <w:jc w:val="center"/>
              <w:rPr>
                <w:rFonts w:ascii="Times New Roman" w:hAnsi="Times New Roman" w:cs="Times New Roman"/>
                <w:b/>
              </w:rPr>
            </w:pPr>
            <w:r w:rsidRPr="00F22DF9">
              <w:rPr>
                <w:rFonts w:ascii="Times New Roman" w:hAnsi="Times New Roman" w:cs="Times New Roman"/>
              </w:rPr>
              <w:t>1,01</w:t>
            </w:r>
          </w:p>
        </w:tc>
        <w:tc>
          <w:tcPr>
            <w:tcW w:w="923" w:type="pct"/>
            <w:vAlign w:val="center"/>
          </w:tcPr>
          <w:p w14:paraId="799EC616"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1,02</w:t>
            </w:r>
          </w:p>
        </w:tc>
      </w:tr>
      <w:tr w:rsidR="00DB474C" w:rsidRPr="006640DC" w14:paraId="2B6E8B16" w14:textId="77777777" w:rsidTr="00CD59AB">
        <w:trPr>
          <w:jc w:val="center"/>
        </w:trPr>
        <w:tc>
          <w:tcPr>
            <w:tcW w:w="614" w:type="pct"/>
            <w:vAlign w:val="center"/>
          </w:tcPr>
          <w:p w14:paraId="4C2AB5CF" w14:textId="77777777" w:rsidR="00DB474C" w:rsidRPr="006640DC" w:rsidRDefault="00DB474C" w:rsidP="00CD59AB">
            <w:pPr>
              <w:jc w:val="center"/>
              <w:rPr>
                <w:rFonts w:ascii="Times New Roman" w:hAnsi="Times New Roman" w:cs="Times New Roman"/>
              </w:rPr>
            </w:pPr>
            <w:r w:rsidRPr="006640DC">
              <w:rPr>
                <w:rFonts w:ascii="Times New Roman" w:hAnsi="Times New Roman" w:cs="Times New Roman"/>
                <w:color w:val="000000"/>
              </w:rPr>
              <w:t>01.07.2021 по 31.12.2021</w:t>
            </w:r>
          </w:p>
        </w:tc>
        <w:tc>
          <w:tcPr>
            <w:tcW w:w="539" w:type="pct"/>
            <w:vAlign w:val="center"/>
          </w:tcPr>
          <w:p w14:paraId="1D8D9FF7"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1,02</w:t>
            </w:r>
          </w:p>
        </w:tc>
        <w:tc>
          <w:tcPr>
            <w:tcW w:w="846" w:type="pct"/>
            <w:vAlign w:val="center"/>
          </w:tcPr>
          <w:p w14:paraId="5D3E916F"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0,98</w:t>
            </w:r>
          </w:p>
        </w:tc>
        <w:tc>
          <w:tcPr>
            <w:tcW w:w="846" w:type="pct"/>
            <w:vAlign w:val="center"/>
          </w:tcPr>
          <w:p w14:paraId="445E2CD6" w14:textId="77777777" w:rsidR="00DB474C" w:rsidRPr="00DB264A" w:rsidRDefault="00DB474C" w:rsidP="00CD59AB">
            <w:pPr>
              <w:jc w:val="center"/>
              <w:rPr>
                <w:rFonts w:ascii="Times New Roman" w:hAnsi="Times New Roman" w:cs="Times New Roman"/>
                <w:b/>
              </w:rPr>
            </w:pPr>
            <w:r w:rsidRPr="00DB264A">
              <w:rPr>
                <w:rFonts w:ascii="Times New Roman" w:hAnsi="Times New Roman" w:cs="Times New Roman"/>
                <w:b/>
              </w:rPr>
              <w:t>1,03</w:t>
            </w:r>
          </w:p>
        </w:tc>
        <w:tc>
          <w:tcPr>
            <w:tcW w:w="355" w:type="pct"/>
            <w:vAlign w:val="center"/>
          </w:tcPr>
          <w:p w14:paraId="6BEADB97"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1,04</w:t>
            </w:r>
          </w:p>
        </w:tc>
        <w:tc>
          <w:tcPr>
            <w:tcW w:w="338" w:type="pct"/>
            <w:vAlign w:val="center"/>
          </w:tcPr>
          <w:p w14:paraId="2BF7257F"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1,01</w:t>
            </w:r>
          </w:p>
        </w:tc>
        <w:tc>
          <w:tcPr>
            <w:tcW w:w="539" w:type="pct"/>
            <w:vAlign w:val="center"/>
          </w:tcPr>
          <w:p w14:paraId="43663382" w14:textId="77777777" w:rsidR="00DB474C" w:rsidRPr="00F22DF9" w:rsidRDefault="00DB474C" w:rsidP="00CD59AB">
            <w:pPr>
              <w:jc w:val="center"/>
              <w:rPr>
                <w:rFonts w:ascii="Times New Roman" w:hAnsi="Times New Roman" w:cs="Times New Roman"/>
                <w:b/>
              </w:rPr>
            </w:pPr>
            <w:r w:rsidRPr="00F22DF9">
              <w:rPr>
                <w:rFonts w:ascii="Times New Roman" w:hAnsi="Times New Roman" w:cs="Times New Roman"/>
              </w:rPr>
              <w:t>1,01</w:t>
            </w:r>
          </w:p>
        </w:tc>
        <w:tc>
          <w:tcPr>
            <w:tcW w:w="923" w:type="pct"/>
            <w:vAlign w:val="center"/>
          </w:tcPr>
          <w:p w14:paraId="42D2C8CF"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1,01</w:t>
            </w:r>
          </w:p>
        </w:tc>
      </w:tr>
    </w:tbl>
    <w:p w14:paraId="4ADA9552"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право</w:t>
      </w:r>
    </w:p>
    <w:p w14:paraId="3E9F4BD2" w14:textId="77777777" w:rsidR="00DB474C" w:rsidRDefault="00DB474C" w:rsidP="00DB474C">
      <w:pPr>
        <w:spacing w:after="0" w:line="300" w:lineRule="auto"/>
        <w:ind w:firstLine="567"/>
        <w:jc w:val="both"/>
        <w:rPr>
          <w:rFonts w:ascii="Times New Roman" w:hAnsi="Times New Roman" w:cs="Times New Roman"/>
          <w:sz w:val="26"/>
          <w:szCs w:val="26"/>
          <w:u w:val="single"/>
        </w:rPr>
      </w:pPr>
      <w:r>
        <w:rPr>
          <w:rFonts w:ascii="Times New Roman" w:hAnsi="Times New Roman" w:cs="Times New Roman"/>
          <w:sz w:val="26"/>
          <w:szCs w:val="26"/>
        </w:rPr>
        <w:t xml:space="preserve">В случае, если продается земельный участок, предоставленный в аренду, необходимо вносить корректировку на вид права. </w:t>
      </w:r>
      <w:r>
        <w:rPr>
          <w:rFonts w:ascii="Times New Roman" w:eastAsia="Calibri" w:hAnsi="Times New Roman" w:cs="Times New Roman"/>
          <w:sz w:val="26"/>
          <w:szCs w:val="26"/>
        </w:rPr>
        <w:t>Величина корректировки на право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59" w:history="1">
        <w:r w:rsidRPr="00A67AF4">
          <w:rPr>
            <w:rStyle w:val="ad"/>
            <w:rFonts w:ascii="Times New Roman" w:hAnsi="Times New Roman" w:cs="Times New Roman"/>
            <w:sz w:val="26"/>
            <w:szCs w:val="26"/>
          </w:rPr>
          <w:t>https://statrielt.ru/</w:t>
        </w:r>
      </w:hyperlink>
      <w:r w:rsidRPr="00A67AF4">
        <w:rPr>
          <w:rFonts w:ascii="Times New Roman" w:hAnsi="Times New Roman" w:cs="Times New Roman"/>
          <w:sz w:val="26"/>
          <w:szCs w:val="26"/>
        </w:rPr>
        <w:t>).</w:t>
      </w:r>
    </w:p>
    <w:p w14:paraId="002C99C0" w14:textId="77777777" w:rsidR="00DB474C" w:rsidRDefault="00DB474C" w:rsidP="00DB474C">
      <w:pPr>
        <w:jc w:val="center"/>
      </w:pPr>
      <w:r w:rsidRPr="00A2009E">
        <w:rPr>
          <w:noProof/>
          <w:lang w:eastAsia="ru-RU"/>
        </w:rPr>
        <w:drawing>
          <wp:inline distT="0" distB="0" distL="0" distR="0" wp14:anchorId="115C311C" wp14:editId="18D4AB15">
            <wp:extent cx="5940425" cy="4081780"/>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4081780"/>
                    </a:xfrm>
                    <a:prstGeom prst="rect">
                      <a:avLst/>
                    </a:prstGeom>
                  </pic:spPr>
                </pic:pic>
              </a:graphicData>
            </a:graphic>
          </wp:inline>
        </w:drawing>
      </w:r>
    </w:p>
    <w:p w14:paraId="4A1301CA" w14:textId="51D7A7D7" w:rsidR="00DB474C" w:rsidRPr="00A67AF4" w:rsidRDefault="00DB474C" w:rsidP="00DB474C">
      <w:pPr>
        <w:spacing w:after="0" w:line="30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Рис.3.1.3.2.4- Корректировка на право аренды земельного участка по отношению к собственному земельному участку на 01.01.2022 года по данным некоммерческой организации </w:t>
      </w:r>
      <w:r w:rsidRPr="00A67AF4">
        <w:rPr>
          <w:rFonts w:ascii="Times New Roman" w:eastAsia="Calibri" w:hAnsi="Times New Roman" w:cs="Times New Roman"/>
          <w:sz w:val="26"/>
          <w:szCs w:val="26"/>
        </w:rPr>
        <w:t>«Ассоциация развития рынка недвижимости «СтатРиелт»</w:t>
      </w:r>
      <w:r w:rsidR="00E91C63">
        <w:rPr>
          <w:rStyle w:val="af2"/>
          <w:rFonts w:ascii="Times New Roman" w:eastAsia="Calibri" w:hAnsi="Times New Roman" w:cs="Times New Roman"/>
          <w:sz w:val="26"/>
          <w:szCs w:val="26"/>
        </w:rPr>
        <w:footnoteReference w:id="66"/>
      </w:r>
    </w:p>
    <w:p w14:paraId="56386E36" w14:textId="77777777" w:rsidR="00DB474C" w:rsidRDefault="00DB474C" w:rsidP="00DB474C">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Так как данные коэффициенты выражают отношения удельных цен предложений земельных участков, находящихся на праве аренды, к удельным ценам предложений земельных участков, находящихся на праве собственности, применяются обратные корректировки, т.е.  при расчете удельного показателя рыночной стоимости необходимо делить на корректировку на право.</w:t>
      </w:r>
    </w:p>
    <w:p w14:paraId="4DE8EEF3" w14:textId="77777777" w:rsidR="00DB474C" w:rsidRPr="00227435" w:rsidRDefault="00DB474C" w:rsidP="00DB474C">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Согласно данным «СтатРиелт», размер корректировки на право аренды земельного участка, предоставленного сроком на 49 лет, по отношению к собственному земельному участку, для земельных участков под многоквартирное строительство лежит в доверительном интервале от 0,86 до 0,97 и в среднем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92</w:t>
      </w:r>
      <w:r>
        <w:rPr>
          <w:rFonts w:ascii="Times New Roman" w:eastAsia="Calibri" w:hAnsi="Times New Roman" w:cs="Times New Roman"/>
          <w:sz w:val="26"/>
          <w:szCs w:val="26"/>
        </w:rPr>
        <w:t xml:space="preserve"> (данные на 01.01.2022 года). Для целей оценки принято среднее значение диапазона. В случае, если земельный участок предоставлен в аренду на срок до 20 лет, то необходимо использовать поправку на срок аренды к корректировке на срок аренды на 49 лет. Таким образом корректировка равна: 0,92х0,83=</w:t>
      </w:r>
      <w:r w:rsidRPr="008C322D">
        <w:rPr>
          <w:rFonts w:ascii="Times New Roman" w:eastAsia="Calibri" w:hAnsi="Times New Roman" w:cs="Times New Roman"/>
          <w:b/>
          <w:sz w:val="26"/>
          <w:szCs w:val="26"/>
        </w:rPr>
        <w:t>0,</w:t>
      </w:r>
      <w:r>
        <w:rPr>
          <w:rFonts w:ascii="Times New Roman" w:eastAsia="Calibri" w:hAnsi="Times New Roman" w:cs="Times New Roman"/>
          <w:b/>
          <w:sz w:val="26"/>
          <w:szCs w:val="26"/>
        </w:rPr>
        <w:t>76</w:t>
      </w:r>
      <w:r>
        <w:rPr>
          <w:rFonts w:ascii="Times New Roman" w:eastAsia="Calibri" w:hAnsi="Times New Roman" w:cs="Times New Roman"/>
          <w:sz w:val="26"/>
          <w:szCs w:val="26"/>
        </w:rPr>
        <w:t>.</w:t>
      </w:r>
    </w:p>
    <w:p w14:paraId="7C23B83D"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Доля ЗУ</w:t>
      </w:r>
    </w:p>
    <w:p w14:paraId="016005CF" w14:textId="73C5A082" w:rsidR="00DB474C" w:rsidRDefault="00DB474C" w:rsidP="00DB474C">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Если в качестве объекта-аналога принято предложение (сделка) по продаже застроенного земельного участка, необходимо определить долю стоимости земельного участка в стоимости единого объекта недвижимости. В таком случае доля стоимости земельного участка для 2 сегмента принята на основании приложения №7 к Указаниям, где для многоквартирных домов рекомендовано 10-25% (принимаем корректировку </w:t>
      </w:r>
      <w:r w:rsidRPr="00227435">
        <w:rPr>
          <w:rFonts w:ascii="Times New Roman" w:eastAsia="Calibri" w:hAnsi="Times New Roman" w:cs="Times New Roman"/>
          <w:b/>
          <w:sz w:val="26"/>
          <w:szCs w:val="26"/>
        </w:rPr>
        <w:t>0,2</w:t>
      </w:r>
      <w:r>
        <w:rPr>
          <w:rFonts w:ascii="Times New Roman" w:eastAsia="Calibri" w:hAnsi="Times New Roman" w:cs="Times New Roman"/>
          <w:b/>
          <w:sz w:val="26"/>
          <w:szCs w:val="26"/>
        </w:rPr>
        <w:t>5</w:t>
      </w:r>
      <w:r>
        <w:rPr>
          <w:rFonts w:ascii="Times New Roman" w:eastAsia="Calibri" w:hAnsi="Times New Roman" w:cs="Times New Roman"/>
          <w:sz w:val="26"/>
          <w:szCs w:val="26"/>
        </w:rPr>
        <w:t>).</w:t>
      </w:r>
    </w:p>
    <w:p w14:paraId="648F23D1" w14:textId="02B5178D" w:rsidR="001D1C67" w:rsidRDefault="001D1C67" w:rsidP="001D1C67">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 xml:space="preserve">Корректировка на </w:t>
      </w:r>
      <w:r w:rsidR="00616BF7" w:rsidRPr="00616BF7">
        <w:rPr>
          <w:rFonts w:ascii="Times New Roman" w:hAnsi="Times New Roman" w:cs="Times New Roman"/>
          <w:i/>
          <w:sz w:val="26"/>
          <w:szCs w:val="26"/>
        </w:rPr>
        <w:t>разрешенное использование</w:t>
      </w:r>
    </w:p>
    <w:p w14:paraId="0962B897" w14:textId="25D99A84" w:rsidR="00616BF7" w:rsidRDefault="00616BF7" w:rsidP="00616BF7">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В связи с отсутствием по городу Воронежу и Воронежской области достаточного для построения моделей количества объектов аналогов по 2 сегменту «</w:t>
      </w:r>
      <w:r w:rsidRPr="005F3FDE">
        <w:rPr>
          <w:rFonts w:ascii="Times New Roman" w:hAnsi="Times New Roman" w:cs="Times New Roman"/>
          <w:color w:val="000000"/>
          <w:sz w:val="26"/>
          <w:szCs w:val="26"/>
        </w:rPr>
        <w:t>Жилая застройка (среднеэтажная и многоэтажная)</w:t>
      </w:r>
      <w:r>
        <w:rPr>
          <w:rFonts w:ascii="Times New Roman" w:hAnsi="Times New Roman" w:cs="Times New Roman"/>
          <w:sz w:val="26"/>
          <w:szCs w:val="26"/>
        </w:rPr>
        <w:t>», были взяты объекты аналоги из наиболее близкого по ценообразованию 4 сегмента «Предпринимательство».</w:t>
      </w:r>
    </w:p>
    <w:p w14:paraId="41B7817F" w14:textId="0FB53D34" w:rsidR="00616BF7" w:rsidRPr="00616BF7" w:rsidRDefault="00900D4C" w:rsidP="00616BF7">
      <w:pPr>
        <w:spacing w:after="0" w:line="276" w:lineRule="auto"/>
        <w:ind w:firstLine="709"/>
        <w:jc w:val="both"/>
        <w:rPr>
          <w:rFonts w:ascii="Times New Roman" w:eastAsia="Calibri" w:hAnsi="Times New Roman" w:cs="Times New Roman"/>
          <w:sz w:val="26"/>
          <w:szCs w:val="26"/>
        </w:rPr>
      </w:pPr>
      <w:r>
        <w:rPr>
          <w:rFonts w:ascii="Times New Roman" w:hAnsi="Times New Roman" w:cs="Times New Roman"/>
          <w:sz w:val="26"/>
          <w:szCs w:val="26"/>
        </w:rPr>
        <w:t>К</w:t>
      </w:r>
      <w:r w:rsidR="00616BF7">
        <w:rPr>
          <w:rFonts w:ascii="Times New Roman" w:hAnsi="Times New Roman" w:cs="Times New Roman"/>
          <w:sz w:val="26"/>
          <w:szCs w:val="26"/>
        </w:rPr>
        <w:t xml:space="preserve">оэффициент перехода от 4 сегмента ко 2 сегменту </w:t>
      </w:r>
      <w:r>
        <w:rPr>
          <w:rFonts w:ascii="Times New Roman" w:hAnsi="Times New Roman" w:cs="Times New Roman"/>
          <w:sz w:val="26"/>
          <w:szCs w:val="26"/>
        </w:rPr>
        <w:t xml:space="preserve">был расчитан </w:t>
      </w:r>
      <w:r w:rsidR="00616BF7">
        <w:rPr>
          <w:rFonts w:ascii="Times New Roman" w:hAnsi="Times New Roman" w:cs="Times New Roman"/>
          <w:sz w:val="26"/>
          <w:szCs w:val="26"/>
        </w:rPr>
        <w:t xml:space="preserve">на основании данных </w:t>
      </w:r>
      <w:r w:rsidR="00616BF7">
        <w:rPr>
          <w:rFonts w:ascii="Times New Roman" w:eastAsia="Calibri" w:hAnsi="Times New Roman" w:cs="Times New Roman"/>
          <w:sz w:val="26"/>
          <w:szCs w:val="26"/>
        </w:rPr>
        <w:t xml:space="preserve">о ценах предложений на рынке продаж взятых с сайтов бесплатных </w:t>
      </w:r>
      <w:r w:rsidR="00616BF7" w:rsidRPr="00616BF7">
        <w:rPr>
          <w:rFonts w:ascii="Times New Roman" w:eastAsia="Calibri" w:hAnsi="Times New Roman" w:cs="Times New Roman"/>
          <w:sz w:val="26"/>
          <w:szCs w:val="26"/>
        </w:rPr>
        <w:t xml:space="preserve">объявлений: </w:t>
      </w:r>
      <w:hyperlink r:id="rId61" w:history="1">
        <w:r w:rsidR="00616BF7" w:rsidRPr="00616BF7">
          <w:rPr>
            <w:rStyle w:val="ad"/>
            <w:rFonts w:ascii="Times New Roman" w:eastAsia="Calibri" w:hAnsi="Times New Roman" w:cs="Times New Roman"/>
            <w:color w:val="auto"/>
            <w:sz w:val="26"/>
            <w:szCs w:val="26"/>
            <w:u w:val="none"/>
          </w:rPr>
          <w:t>www.avito.ru</w:t>
        </w:r>
      </w:hyperlink>
      <w:r w:rsidR="00616BF7" w:rsidRPr="00616BF7">
        <w:rPr>
          <w:rFonts w:ascii="Times New Roman" w:eastAsia="Calibri" w:hAnsi="Times New Roman" w:cs="Times New Roman"/>
          <w:sz w:val="26"/>
          <w:szCs w:val="26"/>
        </w:rPr>
        <w:t xml:space="preserve">, </w:t>
      </w:r>
      <w:hyperlink r:id="rId62" w:history="1">
        <w:r w:rsidR="00616BF7" w:rsidRPr="00616BF7">
          <w:rPr>
            <w:rStyle w:val="ad"/>
            <w:rFonts w:ascii="Times New Roman" w:eastAsia="Calibri" w:hAnsi="Times New Roman" w:cs="Times New Roman"/>
            <w:color w:val="auto"/>
            <w:sz w:val="26"/>
            <w:szCs w:val="26"/>
            <w:u w:val="none"/>
          </w:rPr>
          <w:t>www.move.ru</w:t>
        </w:r>
      </w:hyperlink>
      <w:r w:rsidR="00616BF7" w:rsidRPr="00616BF7">
        <w:rPr>
          <w:rStyle w:val="ad"/>
          <w:color w:val="auto"/>
          <w:u w:val="none"/>
        </w:rPr>
        <w:t xml:space="preserve">, </w:t>
      </w:r>
      <w:hyperlink r:id="rId63" w:history="1">
        <w:r w:rsidR="00616BF7" w:rsidRPr="00616BF7">
          <w:rPr>
            <w:rStyle w:val="ad"/>
            <w:rFonts w:ascii="Times New Roman" w:eastAsia="Calibri" w:hAnsi="Times New Roman" w:cs="Times New Roman"/>
            <w:color w:val="auto"/>
            <w:sz w:val="26"/>
            <w:szCs w:val="26"/>
            <w:u w:val="none"/>
          </w:rPr>
          <w:t>www.vrx.ru</w:t>
        </w:r>
      </w:hyperlink>
      <w:r w:rsidR="00616BF7">
        <w:rPr>
          <w:rStyle w:val="ad"/>
          <w:rFonts w:eastAsia="Calibri"/>
          <w:color w:val="auto"/>
          <w:sz w:val="26"/>
          <w:szCs w:val="26"/>
          <w:u w:val="none"/>
        </w:rPr>
        <w:t xml:space="preserve">, </w:t>
      </w:r>
      <w:r w:rsidR="00616BF7" w:rsidRPr="00616BF7">
        <w:rPr>
          <w:rStyle w:val="ad"/>
          <w:rFonts w:ascii="Times New Roman" w:eastAsia="Calibri" w:hAnsi="Times New Roman" w:cs="Times New Roman"/>
          <w:color w:val="auto"/>
          <w:sz w:val="26"/>
          <w:szCs w:val="26"/>
          <w:u w:val="none"/>
        </w:rPr>
        <w:t>и сделок</w:t>
      </w:r>
      <w:r w:rsidR="00616BF7" w:rsidRPr="00616BF7">
        <w:rPr>
          <w:rStyle w:val="ad"/>
          <w:rFonts w:ascii="Times New Roman" w:hAnsi="Times New Roman" w:cs="Times New Roman"/>
          <w:color w:val="auto"/>
          <w:u w:val="none"/>
        </w:rPr>
        <w:t xml:space="preserve"> </w:t>
      </w:r>
      <w:r w:rsidR="00616BF7" w:rsidRPr="00616BF7">
        <w:rPr>
          <w:rStyle w:val="ad"/>
          <w:rFonts w:ascii="Times New Roman" w:hAnsi="Times New Roman" w:cs="Times New Roman"/>
          <w:color w:val="auto"/>
          <w:sz w:val="26"/>
          <w:szCs w:val="26"/>
          <w:u w:val="none"/>
        </w:rPr>
        <w:t>Росреестра</w:t>
      </w:r>
      <w:r w:rsidR="00616BF7" w:rsidRPr="00616BF7">
        <w:rPr>
          <w:rFonts w:ascii="Times New Roman" w:eastAsia="Calibri" w:hAnsi="Times New Roman" w:cs="Times New Roman"/>
          <w:sz w:val="26"/>
          <w:szCs w:val="26"/>
        </w:rPr>
        <w:t>.</w:t>
      </w:r>
    </w:p>
    <w:p w14:paraId="38171348" w14:textId="58C2B89C" w:rsidR="00900D4C" w:rsidRDefault="00616BF7" w:rsidP="00616BF7">
      <w:pPr>
        <w:spacing w:after="0" w:line="276" w:lineRule="auto"/>
        <w:ind w:firstLine="709"/>
        <w:jc w:val="both"/>
        <w:rPr>
          <w:rFonts w:ascii="Times New Roman" w:hAnsi="Times New Roman" w:cs="Times New Roman"/>
          <w:sz w:val="26"/>
          <w:szCs w:val="26"/>
        </w:rPr>
      </w:pPr>
      <w:r w:rsidRPr="00B15A1F">
        <w:rPr>
          <w:rFonts w:ascii="Times New Roman" w:hAnsi="Times New Roman" w:cs="Times New Roman"/>
          <w:i/>
          <w:sz w:val="26"/>
          <w:szCs w:val="26"/>
        </w:rPr>
        <w:t xml:space="preserve">Среднее значение коэффициента перехода </w:t>
      </w:r>
      <w:r w:rsidR="00B15A1F">
        <w:rPr>
          <w:rFonts w:ascii="Times New Roman" w:hAnsi="Times New Roman" w:cs="Times New Roman"/>
          <w:i/>
          <w:sz w:val="26"/>
          <w:szCs w:val="26"/>
        </w:rPr>
        <w:t>от 4 сегмента ко</w:t>
      </w:r>
      <w:r w:rsidRPr="00B15A1F">
        <w:rPr>
          <w:rFonts w:ascii="Times New Roman" w:hAnsi="Times New Roman" w:cs="Times New Roman"/>
          <w:i/>
          <w:sz w:val="26"/>
          <w:szCs w:val="26"/>
        </w:rPr>
        <w:t xml:space="preserve"> 2 сегмент</w:t>
      </w:r>
      <w:r w:rsidR="00B15A1F">
        <w:rPr>
          <w:rFonts w:ascii="Times New Roman" w:hAnsi="Times New Roman" w:cs="Times New Roman"/>
          <w:i/>
          <w:sz w:val="26"/>
          <w:szCs w:val="26"/>
        </w:rPr>
        <w:t>у</w:t>
      </w:r>
      <w:r w:rsidRPr="00B15A1F">
        <w:rPr>
          <w:rFonts w:ascii="Times New Roman" w:hAnsi="Times New Roman" w:cs="Times New Roman"/>
          <w:i/>
          <w:sz w:val="26"/>
          <w:szCs w:val="26"/>
        </w:rPr>
        <w:t xml:space="preserve"> рав</w:t>
      </w:r>
      <w:r w:rsidR="00900D4C" w:rsidRPr="00B15A1F">
        <w:rPr>
          <w:rFonts w:ascii="Times New Roman" w:hAnsi="Times New Roman" w:cs="Times New Roman"/>
          <w:i/>
          <w:sz w:val="26"/>
          <w:szCs w:val="26"/>
        </w:rPr>
        <w:t>н</w:t>
      </w:r>
      <w:r w:rsidR="003E0CB1">
        <w:rPr>
          <w:rFonts w:ascii="Times New Roman" w:hAnsi="Times New Roman" w:cs="Times New Roman"/>
          <w:i/>
          <w:sz w:val="26"/>
          <w:szCs w:val="26"/>
        </w:rPr>
        <w:t>о</w:t>
      </w:r>
      <w:r>
        <w:rPr>
          <w:rFonts w:ascii="Times New Roman" w:hAnsi="Times New Roman" w:cs="Times New Roman"/>
          <w:sz w:val="26"/>
          <w:szCs w:val="26"/>
        </w:rPr>
        <w:t xml:space="preserve"> </w:t>
      </w:r>
      <w:r w:rsidRPr="00900D4C">
        <w:rPr>
          <w:rFonts w:ascii="Times New Roman" w:hAnsi="Times New Roman" w:cs="Times New Roman"/>
          <w:b/>
          <w:sz w:val="26"/>
          <w:szCs w:val="26"/>
        </w:rPr>
        <w:t>0,93</w:t>
      </w:r>
      <w:r>
        <w:rPr>
          <w:rFonts w:ascii="Times New Roman" w:hAnsi="Times New Roman" w:cs="Times New Roman"/>
          <w:sz w:val="26"/>
          <w:szCs w:val="26"/>
        </w:rPr>
        <w:t>.</w:t>
      </w:r>
    </w:p>
    <w:p w14:paraId="0CA5CDEF" w14:textId="2B971458" w:rsidR="000B7118" w:rsidRPr="00B15A1F" w:rsidRDefault="000B7118" w:rsidP="00616BF7">
      <w:pPr>
        <w:spacing w:after="0" w:line="276" w:lineRule="auto"/>
        <w:ind w:firstLine="709"/>
        <w:jc w:val="both"/>
        <w:rPr>
          <w:rStyle w:val="60"/>
          <w:rFonts w:eastAsiaTheme="minorHAnsi"/>
        </w:rPr>
      </w:pPr>
      <w:r>
        <w:rPr>
          <w:rFonts w:ascii="Times New Roman" w:hAnsi="Times New Roman" w:cs="Times New Roman"/>
          <w:sz w:val="26"/>
          <w:szCs w:val="26"/>
        </w:rPr>
        <w:t xml:space="preserve">Так как рынок 4 сегмента, так </w:t>
      </w:r>
      <w:r w:rsidR="00B15A1F">
        <w:rPr>
          <w:rFonts w:ascii="Times New Roman" w:hAnsi="Times New Roman" w:cs="Times New Roman"/>
          <w:sz w:val="26"/>
          <w:szCs w:val="26"/>
        </w:rPr>
        <w:t>же,</w:t>
      </w:r>
      <w:r>
        <w:rPr>
          <w:rFonts w:ascii="Times New Roman" w:hAnsi="Times New Roman" w:cs="Times New Roman"/>
          <w:sz w:val="26"/>
          <w:szCs w:val="26"/>
        </w:rPr>
        <w:t xml:space="preserve"> как и рынок 2 сегмента по городу Воронежу и Воронежской области развит слабо, Уче</w:t>
      </w:r>
      <w:r w:rsidRPr="002F06CB">
        <w:rPr>
          <w:rFonts w:ascii="Times New Roman" w:hAnsi="Times New Roman" w:cs="Times New Roman"/>
          <w:sz w:val="26"/>
          <w:szCs w:val="26"/>
        </w:rPr>
        <w:t xml:space="preserve">реждением принято решение провести </w:t>
      </w:r>
      <w:r w:rsidR="00DC20E2">
        <w:rPr>
          <w:rFonts w:ascii="Times New Roman" w:hAnsi="Times New Roman" w:cs="Times New Roman"/>
          <w:sz w:val="26"/>
          <w:szCs w:val="26"/>
        </w:rPr>
        <w:t>добор аналогов</w:t>
      </w:r>
      <w:r w:rsidRPr="002F06CB">
        <w:rPr>
          <w:rFonts w:ascii="Times New Roman" w:hAnsi="Times New Roman" w:cs="Times New Roman"/>
          <w:sz w:val="26"/>
          <w:szCs w:val="26"/>
        </w:rPr>
        <w:t xml:space="preserve"> из наиболее распространенного сегмента рынка – 13 «</w:t>
      </w:r>
      <w:r w:rsidR="00B15A1F" w:rsidRPr="002F06CB">
        <w:rPr>
          <w:rFonts w:ascii="Times New Roman" w:hAnsi="Times New Roman" w:cs="Times New Roman"/>
          <w:sz w:val="26"/>
          <w:szCs w:val="26"/>
        </w:rPr>
        <w:t xml:space="preserve">Садоводство и </w:t>
      </w:r>
      <w:r w:rsidR="00B15A1F" w:rsidRPr="002F06CB">
        <w:rPr>
          <w:rFonts w:ascii="Times New Roman" w:hAnsi="Times New Roman"/>
          <w:bCs/>
          <w:sz w:val="26"/>
          <w:szCs w:val="26"/>
        </w:rPr>
        <w:t>огородничество, малоэтажная жилая застройка».</w:t>
      </w:r>
    </w:p>
    <w:p w14:paraId="5B759A9F" w14:textId="2CD5E975" w:rsidR="00B15A1F" w:rsidRPr="00616BF7" w:rsidRDefault="00B15A1F" w:rsidP="00B15A1F">
      <w:pPr>
        <w:spacing w:after="0" w:line="276" w:lineRule="auto"/>
        <w:ind w:firstLine="709"/>
        <w:jc w:val="both"/>
        <w:rPr>
          <w:rFonts w:ascii="Times New Roman" w:eastAsia="Calibri" w:hAnsi="Times New Roman" w:cs="Times New Roman"/>
          <w:sz w:val="26"/>
          <w:szCs w:val="26"/>
        </w:rPr>
      </w:pPr>
      <w:r>
        <w:rPr>
          <w:rFonts w:ascii="Times New Roman" w:hAnsi="Times New Roman" w:cs="Times New Roman"/>
          <w:sz w:val="26"/>
          <w:szCs w:val="26"/>
        </w:rPr>
        <w:t xml:space="preserve">Коэффициент перехода от 13 сегмента ко 2 сегменту был расчитан на основании данных </w:t>
      </w:r>
      <w:r>
        <w:rPr>
          <w:rFonts w:ascii="Times New Roman" w:eastAsia="Calibri" w:hAnsi="Times New Roman" w:cs="Times New Roman"/>
          <w:sz w:val="26"/>
          <w:szCs w:val="26"/>
        </w:rPr>
        <w:t xml:space="preserve">о </w:t>
      </w:r>
      <w:r w:rsidRPr="00B15A1F">
        <w:rPr>
          <w:rStyle w:val="ad"/>
          <w:rFonts w:ascii="Times New Roman" w:hAnsi="Times New Roman" w:cs="Times New Roman"/>
          <w:color w:val="auto"/>
          <w:sz w:val="26"/>
          <w:szCs w:val="26"/>
          <w:u w:val="none"/>
        </w:rPr>
        <w:t>сделках представленных</w:t>
      </w:r>
      <w:r>
        <w:rPr>
          <w:rStyle w:val="ad"/>
          <w:rFonts w:ascii="Times New Roman" w:hAnsi="Times New Roman" w:cs="Times New Roman"/>
          <w:color w:val="auto"/>
          <w:u w:val="none"/>
        </w:rPr>
        <w:t xml:space="preserve"> </w:t>
      </w:r>
      <w:r w:rsidRPr="00616BF7">
        <w:rPr>
          <w:rStyle w:val="ad"/>
          <w:rFonts w:ascii="Times New Roman" w:hAnsi="Times New Roman" w:cs="Times New Roman"/>
          <w:color w:val="auto"/>
          <w:sz w:val="26"/>
          <w:szCs w:val="26"/>
          <w:u w:val="none"/>
        </w:rPr>
        <w:t>Росреестр</w:t>
      </w:r>
      <w:r>
        <w:rPr>
          <w:rStyle w:val="ad"/>
          <w:rFonts w:ascii="Times New Roman" w:hAnsi="Times New Roman" w:cs="Times New Roman"/>
          <w:color w:val="auto"/>
          <w:sz w:val="26"/>
          <w:szCs w:val="26"/>
          <w:u w:val="none"/>
        </w:rPr>
        <w:t>ом</w:t>
      </w:r>
      <w:r w:rsidRPr="00616BF7">
        <w:rPr>
          <w:rFonts w:ascii="Times New Roman" w:eastAsia="Calibri" w:hAnsi="Times New Roman" w:cs="Times New Roman"/>
          <w:sz w:val="26"/>
          <w:szCs w:val="26"/>
        </w:rPr>
        <w:t>.</w:t>
      </w:r>
    </w:p>
    <w:p w14:paraId="046865D5" w14:textId="1B50ECD4" w:rsidR="00B15A1F" w:rsidRDefault="00B15A1F" w:rsidP="00B15A1F">
      <w:pPr>
        <w:spacing w:after="0" w:line="276" w:lineRule="auto"/>
        <w:ind w:firstLine="709"/>
        <w:jc w:val="both"/>
        <w:rPr>
          <w:rFonts w:ascii="Times New Roman" w:hAnsi="Times New Roman" w:cs="Times New Roman"/>
          <w:sz w:val="26"/>
          <w:szCs w:val="26"/>
        </w:rPr>
      </w:pPr>
      <w:r w:rsidRPr="00B15A1F">
        <w:rPr>
          <w:rFonts w:ascii="Times New Roman" w:hAnsi="Times New Roman" w:cs="Times New Roman"/>
          <w:i/>
          <w:sz w:val="26"/>
          <w:szCs w:val="26"/>
        </w:rPr>
        <w:t xml:space="preserve">Среднее значение коэффициента перехода </w:t>
      </w:r>
      <w:r>
        <w:rPr>
          <w:rFonts w:ascii="Times New Roman" w:hAnsi="Times New Roman" w:cs="Times New Roman"/>
          <w:i/>
          <w:sz w:val="26"/>
          <w:szCs w:val="26"/>
        </w:rPr>
        <w:t>от 13 сегмента ко</w:t>
      </w:r>
      <w:r w:rsidRPr="00B15A1F">
        <w:rPr>
          <w:rFonts w:ascii="Times New Roman" w:hAnsi="Times New Roman" w:cs="Times New Roman"/>
          <w:i/>
          <w:sz w:val="26"/>
          <w:szCs w:val="26"/>
        </w:rPr>
        <w:t xml:space="preserve"> 2 сегмент</w:t>
      </w:r>
      <w:r>
        <w:rPr>
          <w:rFonts w:ascii="Times New Roman" w:hAnsi="Times New Roman" w:cs="Times New Roman"/>
          <w:i/>
          <w:sz w:val="26"/>
          <w:szCs w:val="26"/>
        </w:rPr>
        <w:t>у</w:t>
      </w:r>
      <w:r w:rsidRPr="00B15A1F">
        <w:rPr>
          <w:rFonts w:ascii="Times New Roman" w:hAnsi="Times New Roman" w:cs="Times New Roman"/>
          <w:i/>
          <w:sz w:val="26"/>
          <w:szCs w:val="26"/>
        </w:rPr>
        <w:t xml:space="preserve"> равн</w:t>
      </w:r>
      <w:r w:rsidR="003E0CB1">
        <w:rPr>
          <w:rFonts w:ascii="Times New Roman" w:hAnsi="Times New Roman" w:cs="Times New Roman"/>
          <w:i/>
          <w:sz w:val="26"/>
          <w:szCs w:val="26"/>
        </w:rPr>
        <w:t>о</w:t>
      </w:r>
      <w:r>
        <w:rPr>
          <w:rFonts w:ascii="Times New Roman" w:hAnsi="Times New Roman" w:cs="Times New Roman"/>
          <w:sz w:val="26"/>
          <w:szCs w:val="26"/>
        </w:rPr>
        <w:t xml:space="preserve"> </w:t>
      </w:r>
      <w:r>
        <w:rPr>
          <w:rFonts w:ascii="Times New Roman" w:hAnsi="Times New Roman" w:cs="Times New Roman"/>
          <w:b/>
          <w:sz w:val="26"/>
          <w:szCs w:val="26"/>
        </w:rPr>
        <w:t>2,52</w:t>
      </w:r>
      <w:r w:rsidRPr="00B15A1F">
        <w:rPr>
          <w:rFonts w:ascii="Times New Roman" w:hAnsi="Times New Roman" w:cs="Times New Roman"/>
          <w:sz w:val="26"/>
          <w:szCs w:val="26"/>
        </w:rPr>
        <w:t>.</w:t>
      </w:r>
    </w:p>
    <w:p w14:paraId="2A40C383" w14:textId="5DA0670C" w:rsidR="00CF2190" w:rsidRDefault="00616BF7" w:rsidP="00CF2190">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Расчет коэффициент</w:t>
      </w:r>
      <w:r w:rsidR="000B7118">
        <w:rPr>
          <w:rFonts w:ascii="Times New Roman" w:hAnsi="Times New Roman" w:cs="Times New Roman"/>
          <w:sz w:val="26"/>
          <w:szCs w:val="26"/>
        </w:rPr>
        <w:t>ов</w:t>
      </w:r>
      <w:r>
        <w:rPr>
          <w:rFonts w:ascii="Times New Roman" w:hAnsi="Times New Roman" w:cs="Times New Roman"/>
          <w:sz w:val="26"/>
          <w:szCs w:val="26"/>
        </w:rPr>
        <w:t xml:space="preserve"> перехода</w:t>
      </w:r>
      <w:r w:rsidR="00900D4C">
        <w:rPr>
          <w:rFonts w:ascii="Times New Roman" w:hAnsi="Times New Roman" w:cs="Times New Roman"/>
          <w:sz w:val="26"/>
          <w:szCs w:val="26"/>
        </w:rPr>
        <w:t xml:space="preserve"> представлен в </w:t>
      </w:r>
      <w:r w:rsidR="00CF2190" w:rsidRPr="004743AD">
        <w:rPr>
          <w:rFonts w:ascii="Times New Roman" w:hAnsi="Times New Roman" w:cs="Times New Roman"/>
          <w:sz w:val="26"/>
          <w:szCs w:val="26"/>
        </w:rPr>
        <w:t xml:space="preserve">Приложении </w:t>
      </w:r>
      <w:r w:rsidR="00E20613">
        <w:rPr>
          <w:rFonts w:ascii="Times New Roman" w:hAnsi="Times New Roman" w:cs="Times New Roman"/>
          <w:sz w:val="26"/>
          <w:szCs w:val="26"/>
        </w:rPr>
        <w:t>1/</w:t>
      </w:r>
      <w:r w:rsidR="007B7DEB">
        <w:rPr>
          <w:rFonts w:ascii="Times New Roman" w:hAnsi="Times New Roman" w:cs="Times New Roman"/>
          <w:sz w:val="26"/>
          <w:szCs w:val="26"/>
        </w:rPr>
        <w:t>1.6/</w:t>
      </w:r>
      <w:r w:rsidR="00CF2190" w:rsidRPr="004743AD">
        <w:rPr>
          <w:rFonts w:ascii="Times New Roman" w:hAnsi="Times New Roman" w:cs="Times New Roman"/>
          <w:sz w:val="26"/>
          <w:szCs w:val="26"/>
        </w:rPr>
        <w:t>1.6.2</w:t>
      </w:r>
      <w:r w:rsidR="00E20613">
        <w:rPr>
          <w:rFonts w:ascii="Times New Roman" w:hAnsi="Times New Roman" w:cs="Times New Roman"/>
          <w:sz w:val="26"/>
          <w:szCs w:val="26"/>
        </w:rPr>
        <w:t>.</w:t>
      </w:r>
    </w:p>
    <w:p w14:paraId="5BCB7D3C" w14:textId="7B3BBD4C" w:rsidR="00DB474C" w:rsidRPr="003E35BC" w:rsidRDefault="00DB474C" w:rsidP="00DB474C">
      <w:pPr>
        <w:pStyle w:val="af5"/>
        <w:shd w:val="clear" w:color="auto" w:fill="FFFFFF"/>
        <w:spacing w:before="120" w:beforeAutospacing="0" w:after="0" w:afterAutospacing="0" w:line="276" w:lineRule="auto"/>
        <w:ind w:firstLine="709"/>
        <w:jc w:val="center"/>
        <w:rPr>
          <w:b/>
          <w:i/>
          <w:sz w:val="26"/>
          <w:szCs w:val="26"/>
        </w:rPr>
      </w:pPr>
      <w:r w:rsidRPr="003E35BC">
        <w:rPr>
          <w:b/>
          <w:i/>
          <w:sz w:val="26"/>
          <w:szCs w:val="26"/>
        </w:rPr>
        <w:t>Анализ рыночной информации</w:t>
      </w:r>
    </w:p>
    <w:p w14:paraId="289058FE" w14:textId="77777777" w:rsidR="00DB474C" w:rsidRPr="002F245A" w:rsidRDefault="00DB474C" w:rsidP="00DB474C">
      <w:pPr>
        <w:spacing w:before="120" w:after="0" w:line="276" w:lineRule="auto"/>
        <w:ind w:firstLine="567"/>
        <w:jc w:val="both"/>
        <w:rPr>
          <w:rFonts w:ascii="Times New Roman" w:hAnsi="Times New Roman" w:cs="Times New Roman"/>
          <w:b/>
          <w:sz w:val="26"/>
          <w:szCs w:val="26"/>
        </w:rPr>
      </w:pPr>
      <w:r w:rsidRPr="002F245A">
        <w:rPr>
          <w:rFonts w:ascii="Times New Roman" w:hAnsi="Times New Roman" w:cs="Times New Roman"/>
          <w:sz w:val="26"/>
          <w:szCs w:val="26"/>
        </w:rPr>
        <w:t xml:space="preserve">Далее представлена информация о предложениях (сделках) </w:t>
      </w:r>
      <w:r>
        <w:rPr>
          <w:rFonts w:ascii="Times New Roman" w:hAnsi="Times New Roman" w:cs="Times New Roman"/>
          <w:sz w:val="26"/>
          <w:szCs w:val="26"/>
        </w:rPr>
        <w:t>сегмента</w:t>
      </w:r>
      <w:r w:rsidRPr="002F245A">
        <w:rPr>
          <w:rFonts w:ascii="Times New Roman" w:hAnsi="Times New Roman" w:cs="Times New Roman"/>
          <w:sz w:val="26"/>
          <w:szCs w:val="26"/>
        </w:rPr>
        <w:t xml:space="preserve"> «</w:t>
      </w:r>
      <w:r w:rsidRPr="005F3FDE">
        <w:rPr>
          <w:rFonts w:ascii="Times New Roman" w:hAnsi="Times New Roman" w:cs="Times New Roman"/>
          <w:sz w:val="26"/>
          <w:szCs w:val="26"/>
        </w:rPr>
        <w:t>«Жилая застройка (среднеэтажная и многоэтажная)</w:t>
      </w:r>
      <w:r>
        <w:rPr>
          <w:rFonts w:ascii="Times New Roman" w:hAnsi="Times New Roman" w:cs="Times New Roman"/>
          <w:color w:val="000000"/>
          <w:sz w:val="26"/>
          <w:szCs w:val="26"/>
        </w:rPr>
        <w:t xml:space="preserve">» </w:t>
      </w:r>
      <w:r w:rsidRPr="002F245A">
        <w:rPr>
          <w:rFonts w:ascii="Times New Roman" w:hAnsi="Times New Roman" w:cs="Times New Roman"/>
          <w:sz w:val="26"/>
          <w:szCs w:val="26"/>
        </w:rPr>
        <w:t xml:space="preserve">на рынке недвижимости Воронежской области. </w:t>
      </w:r>
      <w:r>
        <w:rPr>
          <w:rFonts w:ascii="Times New Roman" w:hAnsi="Times New Roman" w:cs="Times New Roman"/>
          <w:sz w:val="26"/>
          <w:szCs w:val="26"/>
        </w:rPr>
        <w:t xml:space="preserve">Исполнителем собраны предложения (сделки) по продаже земельных участков для среднеэтажной и многоэтажной жилой застройки. </w:t>
      </w:r>
      <w:r w:rsidRPr="002F245A">
        <w:rPr>
          <w:rFonts w:ascii="Times New Roman" w:hAnsi="Times New Roman" w:cs="Times New Roman"/>
          <w:sz w:val="26"/>
          <w:szCs w:val="26"/>
        </w:rPr>
        <w:t>Наибольшее количество сосредоточено непосредственно в г.</w:t>
      </w:r>
      <w:r>
        <w:rPr>
          <w:rFonts w:ascii="Times New Roman" w:hAnsi="Times New Roman" w:cs="Times New Roman"/>
          <w:sz w:val="26"/>
          <w:szCs w:val="26"/>
        </w:rPr>
        <w:t>о.г.</w:t>
      </w:r>
      <w:r w:rsidRPr="002F245A">
        <w:rPr>
          <w:rFonts w:ascii="Times New Roman" w:hAnsi="Times New Roman" w:cs="Times New Roman"/>
          <w:sz w:val="26"/>
          <w:szCs w:val="26"/>
        </w:rPr>
        <w:t xml:space="preserve"> Воронеж </w:t>
      </w:r>
      <w:r>
        <w:rPr>
          <w:rFonts w:ascii="Times New Roman" w:hAnsi="Times New Roman" w:cs="Times New Roman"/>
          <w:sz w:val="26"/>
          <w:szCs w:val="26"/>
        </w:rPr>
        <w:t>–</w:t>
      </w:r>
      <w:r w:rsidRPr="002F245A">
        <w:rPr>
          <w:rFonts w:ascii="Times New Roman" w:hAnsi="Times New Roman" w:cs="Times New Roman"/>
          <w:sz w:val="26"/>
          <w:szCs w:val="26"/>
        </w:rPr>
        <w:t xml:space="preserve"> </w:t>
      </w:r>
      <w:r>
        <w:rPr>
          <w:rFonts w:ascii="Times New Roman" w:hAnsi="Times New Roman" w:cs="Times New Roman"/>
          <w:sz w:val="26"/>
          <w:szCs w:val="26"/>
        </w:rPr>
        <w:t>69,08</w:t>
      </w:r>
      <w:r w:rsidRPr="002F245A">
        <w:rPr>
          <w:rFonts w:ascii="Times New Roman" w:hAnsi="Times New Roman" w:cs="Times New Roman"/>
          <w:sz w:val="26"/>
          <w:szCs w:val="26"/>
        </w:rPr>
        <w:t>% от общего количества предложений (сделок) по региону.</w:t>
      </w:r>
    </w:p>
    <w:p w14:paraId="44B2C052" w14:textId="77777777" w:rsidR="00DB474C" w:rsidRPr="002F245A" w:rsidRDefault="00DB474C" w:rsidP="00DB474C">
      <w:pPr>
        <w:spacing w:after="0" w:line="276" w:lineRule="auto"/>
        <w:ind w:firstLine="708"/>
        <w:jc w:val="right"/>
        <w:rPr>
          <w:rFonts w:ascii="Times New Roman" w:hAnsi="Times New Roman" w:cs="Times New Roman"/>
          <w:sz w:val="26"/>
          <w:szCs w:val="26"/>
        </w:rPr>
      </w:pPr>
      <w:r w:rsidRPr="005D5A58">
        <w:rPr>
          <w:rFonts w:ascii="Times New Roman" w:hAnsi="Times New Roman" w:cs="Times New Roman"/>
          <w:sz w:val="26"/>
          <w:szCs w:val="26"/>
        </w:rPr>
        <w:t>Таблица 3.1.3.2.2</w:t>
      </w:r>
    </w:p>
    <w:p w14:paraId="1888DE89" w14:textId="77777777" w:rsidR="00DB474C" w:rsidRPr="002F245A" w:rsidRDefault="00DB474C" w:rsidP="00DB474C">
      <w:pPr>
        <w:spacing w:after="0" w:line="276" w:lineRule="auto"/>
        <w:ind w:firstLine="708"/>
        <w:jc w:val="center"/>
        <w:rPr>
          <w:rFonts w:ascii="Times New Roman" w:hAnsi="Times New Roman" w:cs="Times New Roman"/>
          <w:sz w:val="26"/>
          <w:szCs w:val="26"/>
        </w:rPr>
      </w:pPr>
      <w:r w:rsidRPr="002F245A">
        <w:rPr>
          <w:rFonts w:ascii="Times New Roman" w:hAnsi="Times New Roman" w:cs="Times New Roman"/>
          <w:sz w:val="26"/>
          <w:szCs w:val="26"/>
        </w:rPr>
        <w:t xml:space="preserve">Анализ рыночной информации </w:t>
      </w:r>
      <w:r>
        <w:rPr>
          <w:rFonts w:ascii="Times New Roman" w:hAnsi="Times New Roman" w:cs="Times New Roman"/>
          <w:sz w:val="26"/>
          <w:szCs w:val="26"/>
        </w:rPr>
        <w:t>сегмента</w:t>
      </w:r>
      <w:r w:rsidRPr="002F245A">
        <w:rPr>
          <w:rFonts w:ascii="Times New Roman" w:hAnsi="Times New Roman" w:cs="Times New Roman"/>
          <w:sz w:val="26"/>
          <w:szCs w:val="26"/>
        </w:rPr>
        <w:t xml:space="preserve"> </w:t>
      </w:r>
      <w:r w:rsidRPr="005F3FDE">
        <w:rPr>
          <w:rFonts w:ascii="Times New Roman" w:hAnsi="Times New Roman" w:cs="Times New Roman"/>
          <w:color w:val="000000"/>
          <w:sz w:val="26"/>
          <w:szCs w:val="26"/>
        </w:rPr>
        <w:t>«Жилая застройка (среднеэтажная и многоэтажная)</w:t>
      </w:r>
      <w:r>
        <w:rPr>
          <w:rFonts w:ascii="Times New Roman" w:hAnsi="Times New Roman" w:cs="Times New Roman"/>
          <w:color w:val="000000"/>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843"/>
        <w:gridCol w:w="1560"/>
        <w:gridCol w:w="2267"/>
        <w:gridCol w:w="1553"/>
      </w:tblGrid>
      <w:tr w:rsidR="00DB474C" w:rsidRPr="00CC394D" w14:paraId="5592B70C" w14:textId="77777777" w:rsidTr="00E91C63">
        <w:trPr>
          <w:trHeight w:val="521"/>
          <w:jc w:val="center"/>
        </w:trPr>
        <w:tc>
          <w:tcPr>
            <w:tcW w:w="1135" w:type="pct"/>
            <w:shd w:val="clear" w:color="auto" w:fill="auto"/>
            <w:noWrap/>
            <w:vAlign w:val="center"/>
          </w:tcPr>
          <w:p w14:paraId="55CDF1F4" w14:textId="77777777" w:rsidR="00DB474C" w:rsidRPr="00CC394D" w:rsidRDefault="00DB474C" w:rsidP="00DB474C">
            <w:pPr>
              <w:spacing w:after="0" w:line="240" w:lineRule="auto"/>
              <w:jc w:val="center"/>
              <w:rPr>
                <w:rFonts w:ascii="Times New Roman" w:eastAsia="Times New Roman" w:hAnsi="Times New Roman" w:cs="Times New Roman"/>
                <w:b/>
                <w:color w:val="000000" w:themeColor="text1"/>
                <w:lang w:eastAsia="ru-RU"/>
              </w:rPr>
            </w:pPr>
          </w:p>
        </w:tc>
        <w:tc>
          <w:tcPr>
            <w:tcW w:w="3034" w:type="pct"/>
            <w:gridSpan w:val="3"/>
            <w:shd w:val="clear" w:color="auto" w:fill="auto"/>
            <w:noWrap/>
            <w:vAlign w:val="center"/>
          </w:tcPr>
          <w:p w14:paraId="58C802B8" w14:textId="77777777" w:rsidR="00DB474C" w:rsidRPr="00CC394D" w:rsidRDefault="00DB474C" w:rsidP="00DB474C">
            <w:pPr>
              <w:spacing w:after="0" w:line="240" w:lineRule="auto"/>
              <w:jc w:val="center"/>
              <w:rPr>
                <w:rFonts w:ascii="Times New Roman" w:eastAsia="Times New Roman" w:hAnsi="Times New Roman" w:cs="Times New Roman"/>
                <w:b/>
                <w:color w:val="000000" w:themeColor="text1"/>
                <w:lang w:eastAsia="ru-RU"/>
              </w:rPr>
            </w:pPr>
            <w:r w:rsidRPr="00CC394D">
              <w:rPr>
                <w:rFonts w:ascii="Times New Roman" w:eastAsia="Times New Roman" w:hAnsi="Times New Roman" w:cs="Times New Roman"/>
                <w:b/>
                <w:color w:val="000000" w:themeColor="text1"/>
                <w:lang w:eastAsia="ru-RU"/>
              </w:rPr>
              <w:t>Удельный показатель рыночной стоимости, руб./кв.м</w:t>
            </w:r>
          </w:p>
        </w:tc>
        <w:tc>
          <w:tcPr>
            <w:tcW w:w="831" w:type="pct"/>
            <w:vMerge w:val="restart"/>
            <w:vAlign w:val="center"/>
          </w:tcPr>
          <w:p w14:paraId="0C1D27F6" w14:textId="77777777" w:rsidR="00DB474C" w:rsidRPr="00CC394D" w:rsidRDefault="00DB474C" w:rsidP="00DB474C">
            <w:pPr>
              <w:spacing w:after="0" w:line="240" w:lineRule="auto"/>
              <w:jc w:val="center"/>
              <w:rPr>
                <w:rFonts w:ascii="Times New Roman" w:eastAsia="Times New Roman" w:hAnsi="Times New Roman" w:cs="Times New Roman"/>
                <w:b/>
                <w:color w:val="000000" w:themeColor="text1"/>
                <w:lang w:eastAsia="ru-RU"/>
              </w:rPr>
            </w:pPr>
            <w:r w:rsidRPr="00CC394D">
              <w:rPr>
                <w:rFonts w:ascii="Times New Roman" w:eastAsia="Times New Roman" w:hAnsi="Times New Roman" w:cs="Times New Roman"/>
                <w:b/>
                <w:color w:val="000000" w:themeColor="text1"/>
                <w:lang w:eastAsia="ru-RU"/>
              </w:rPr>
              <w:t>Количество предложений (сделок)</w:t>
            </w:r>
          </w:p>
        </w:tc>
      </w:tr>
      <w:tr w:rsidR="00DB474C" w:rsidRPr="00CC394D" w14:paraId="351B26A8" w14:textId="77777777" w:rsidTr="00E91C63">
        <w:trPr>
          <w:trHeight w:val="551"/>
          <w:jc w:val="center"/>
        </w:trPr>
        <w:tc>
          <w:tcPr>
            <w:tcW w:w="1135" w:type="pct"/>
            <w:shd w:val="clear" w:color="auto" w:fill="auto"/>
            <w:noWrap/>
            <w:vAlign w:val="center"/>
            <w:hideMark/>
          </w:tcPr>
          <w:p w14:paraId="7885276A" w14:textId="77777777" w:rsidR="00DB474C" w:rsidRPr="003E35BC" w:rsidRDefault="00DB474C" w:rsidP="00DB474C">
            <w:pPr>
              <w:spacing w:after="0" w:line="240" w:lineRule="auto"/>
              <w:jc w:val="center"/>
              <w:rPr>
                <w:rFonts w:ascii="Times New Roman" w:eastAsia="Times New Roman" w:hAnsi="Times New Roman" w:cs="Times New Roman"/>
                <w:b/>
                <w:color w:val="000000" w:themeColor="text1"/>
                <w:lang w:eastAsia="ru-RU"/>
              </w:rPr>
            </w:pPr>
            <w:r w:rsidRPr="003E35BC">
              <w:rPr>
                <w:rFonts w:ascii="Times New Roman" w:eastAsia="Times New Roman" w:hAnsi="Times New Roman" w:cs="Times New Roman"/>
                <w:b/>
                <w:color w:val="000000" w:themeColor="text1"/>
                <w:lang w:eastAsia="ru-RU"/>
              </w:rPr>
              <w:t>Наименование района</w:t>
            </w:r>
          </w:p>
        </w:tc>
        <w:tc>
          <w:tcPr>
            <w:tcW w:w="986" w:type="pct"/>
            <w:shd w:val="clear" w:color="auto" w:fill="auto"/>
            <w:noWrap/>
            <w:vAlign w:val="center"/>
          </w:tcPr>
          <w:p w14:paraId="27460878" w14:textId="77777777" w:rsidR="00DB474C" w:rsidRPr="003E35BC" w:rsidRDefault="00DB474C" w:rsidP="00DB474C">
            <w:pPr>
              <w:spacing w:after="0" w:line="240" w:lineRule="auto"/>
              <w:jc w:val="center"/>
              <w:rPr>
                <w:rFonts w:ascii="Times New Roman" w:eastAsia="Times New Roman" w:hAnsi="Times New Roman" w:cs="Times New Roman"/>
                <w:b/>
                <w:color w:val="000000" w:themeColor="text1"/>
                <w:lang w:eastAsia="ru-RU"/>
              </w:rPr>
            </w:pPr>
            <w:r w:rsidRPr="003E35BC">
              <w:rPr>
                <w:rFonts w:ascii="Times New Roman" w:eastAsia="Times New Roman" w:hAnsi="Times New Roman" w:cs="Times New Roman"/>
                <w:b/>
                <w:color w:val="000000" w:themeColor="text1"/>
                <w:lang w:eastAsia="ru-RU"/>
              </w:rPr>
              <w:t>Минимальное значение</w:t>
            </w:r>
          </w:p>
        </w:tc>
        <w:tc>
          <w:tcPr>
            <w:tcW w:w="835" w:type="pct"/>
            <w:shd w:val="clear" w:color="auto" w:fill="auto"/>
            <w:noWrap/>
            <w:vAlign w:val="center"/>
          </w:tcPr>
          <w:p w14:paraId="44BF99EB" w14:textId="77777777" w:rsidR="00DB474C" w:rsidRPr="003E35BC" w:rsidRDefault="00DB474C" w:rsidP="00DB474C">
            <w:pPr>
              <w:spacing w:after="0" w:line="240" w:lineRule="auto"/>
              <w:jc w:val="center"/>
              <w:rPr>
                <w:rFonts w:ascii="Times New Roman" w:eastAsia="Times New Roman" w:hAnsi="Times New Roman" w:cs="Times New Roman"/>
                <w:b/>
                <w:color w:val="000000" w:themeColor="text1"/>
                <w:lang w:eastAsia="ru-RU"/>
              </w:rPr>
            </w:pPr>
            <w:r w:rsidRPr="003E35BC">
              <w:rPr>
                <w:rFonts w:ascii="Times New Roman" w:eastAsia="Times New Roman" w:hAnsi="Times New Roman" w:cs="Times New Roman"/>
                <w:b/>
                <w:color w:val="000000" w:themeColor="text1"/>
                <w:lang w:eastAsia="ru-RU"/>
              </w:rPr>
              <w:t>Среднее значение</w:t>
            </w:r>
          </w:p>
        </w:tc>
        <w:tc>
          <w:tcPr>
            <w:tcW w:w="1213" w:type="pct"/>
            <w:shd w:val="clear" w:color="auto" w:fill="auto"/>
            <w:noWrap/>
            <w:vAlign w:val="center"/>
          </w:tcPr>
          <w:p w14:paraId="05809A4D" w14:textId="77777777" w:rsidR="00DB474C" w:rsidRPr="003E35BC" w:rsidRDefault="00DB474C" w:rsidP="00DB474C">
            <w:pPr>
              <w:spacing w:after="0" w:line="240" w:lineRule="auto"/>
              <w:jc w:val="center"/>
              <w:rPr>
                <w:rFonts w:ascii="Times New Roman" w:eastAsia="Times New Roman" w:hAnsi="Times New Roman" w:cs="Times New Roman"/>
                <w:b/>
                <w:color w:val="000000" w:themeColor="text1"/>
                <w:lang w:eastAsia="ru-RU"/>
              </w:rPr>
            </w:pPr>
            <w:r w:rsidRPr="003E35BC">
              <w:rPr>
                <w:rFonts w:ascii="Times New Roman" w:eastAsia="Times New Roman" w:hAnsi="Times New Roman" w:cs="Times New Roman"/>
                <w:b/>
                <w:color w:val="000000" w:themeColor="text1"/>
                <w:lang w:eastAsia="ru-RU"/>
              </w:rPr>
              <w:t>Максимальное значение</w:t>
            </w:r>
          </w:p>
        </w:tc>
        <w:tc>
          <w:tcPr>
            <w:tcW w:w="831" w:type="pct"/>
            <w:vMerge/>
            <w:vAlign w:val="center"/>
          </w:tcPr>
          <w:p w14:paraId="31AC2BDA" w14:textId="77777777" w:rsidR="00DB474C" w:rsidRPr="003E35BC" w:rsidRDefault="00DB474C" w:rsidP="00DB474C">
            <w:pPr>
              <w:spacing w:after="0" w:line="240" w:lineRule="auto"/>
              <w:jc w:val="center"/>
              <w:rPr>
                <w:rFonts w:ascii="Times New Roman" w:eastAsia="Times New Roman" w:hAnsi="Times New Roman" w:cs="Times New Roman"/>
                <w:b/>
                <w:color w:val="000000" w:themeColor="text1"/>
                <w:lang w:eastAsia="ru-RU"/>
              </w:rPr>
            </w:pPr>
          </w:p>
        </w:tc>
      </w:tr>
      <w:tr w:rsidR="00DB474C" w:rsidRPr="00CC394D" w14:paraId="21442288" w14:textId="77777777" w:rsidTr="00E91C63">
        <w:trPr>
          <w:trHeight w:val="300"/>
          <w:jc w:val="center"/>
        </w:trPr>
        <w:tc>
          <w:tcPr>
            <w:tcW w:w="1135" w:type="pct"/>
            <w:shd w:val="clear" w:color="auto" w:fill="auto"/>
            <w:noWrap/>
            <w:vAlign w:val="bottom"/>
          </w:tcPr>
          <w:p w14:paraId="6DA6DA6A" w14:textId="77777777" w:rsidR="00DB474C" w:rsidRPr="003E35BC" w:rsidRDefault="00DB474C" w:rsidP="00DB474C">
            <w:pPr>
              <w:spacing w:after="0" w:line="240" w:lineRule="auto"/>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Бобровский</w:t>
            </w:r>
          </w:p>
        </w:tc>
        <w:tc>
          <w:tcPr>
            <w:tcW w:w="986" w:type="pct"/>
            <w:shd w:val="clear" w:color="auto" w:fill="auto"/>
            <w:noWrap/>
            <w:vAlign w:val="bottom"/>
          </w:tcPr>
          <w:p w14:paraId="3515F71D"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185,35</w:t>
            </w:r>
          </w:p>
        </w:tc>
        <w:tc>
          <w:tcPr>
            <w:tcW w:w="835" w:type="pct"/>
            <w:shd w:val="clear" w:color="auto" w:fill="auto"/>
            <w:noWrap/>
            <w:vAlign w:val="bottom"/>
          </w:tcPr>
          <w:p w14:paraId="26B5EEE0"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724,46</w:t>
            </w:r>
          </w:p>
        </w:tc>
        <w:tc>
          <w:tcPr>
            <w:tcW w:w="1213" w:type="pct"/>
            <w:shd w:val="clear" w:color="auto" w:fill="auto"/>
            <w:noWrap/>
            <w:vAlign w:val="bottom"/>
          </w:tcPr>
          <w:p w14:paraId="2C99CAF6"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1 036,29</w:t>
            </w:r>
          </w:p>
        </w:tc>
        <w:tc>
          <w:tcPr>
            <w:tcW w:w="831" w:type="pct"/>
            <w:vAlign w:val="bottom"/>
          </w:tcPr>
          <w:p w14:paraId="230C1310"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3</w:t>
            </w:r>
          </w:p>
        </w:tc>
      </w:tr>
      <w:tr w:rsidR="00DB474C" w:rsidRPr="00CC394D" w14:paraId="02303610" w14:textId="77777777" w:rsidTr="00E91C63">
        <w:trPr>
          <w:trHeight w:val="300"/>
          <w:jc w:val="center"/>
        </w:trPr>
        <w:tc>
          <w:tcPr>
            <w:tcW w:w="1135" w:type="pct"/>
            <w:shd w:val="clear" w:color="auto" w:fill="auto"/>
            <w:noWrap/>
            <w:vAlign w:val="bottom"/>
          </w:tcPr>
          <w:p w14:paraId="4DED8D74" w14:textId="77777777" w:rsidR="00DB474C" w:rsidRPr="003E35BC" w:rsidRDefault="00DB474C" w:rsidP="00DB474C">
            <w:pPr>
              <w:spacing w:after="0" w:line="240" w:lineRule="auto"/>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Борисоглебский</w:t>
            </w:r>
          </w:p>
        </w:tc>
        <w:tc>
          <w:tcPr>
            <w:tcW w:w="986" w:type="pct"/>
            <w:shd w:val="clear" w:color="auto" w:fill="auto"/>
            <w:noWrap/>
            <w:vAlign w:val="bottom"/>
          </w:tcPr>
          <w:p w14:paraId="2D587103"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697,34</w:t>
            </w:r>
          </w:p>
        </w:tc>
        <w:tc>
          <w:tcPr>
            <w:tcW w:w="835" w:type="pct"/>
            <w:shd w:val="clear" w:color="auto" w:fill="auto"/>
            <w:noWrap/>
            <w:vAlign w:val="bottom"/>
          </w:tcPr>
          <w:p w14:paraId="34F439B6"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894,29</w:t>
            </w:r>
          </w:p>
        </w:tc>
        <w:tc>
          <w:tcPr>
            <w:tcW w:w="1213" w:type="pct"/>
            <w:shd w:val="clear" w:color="auto" w:fill="auto"/>
            <w:noWrap/>
            <w:vAlign w:val="bottom"/>
          </w:tcPr>
          <w:p w14:paraId="1856C8BF"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1 091,24</w:t>
            </w:r>
          </w:p>
        </w:tc>
        <w:tc>
          <w:tcPr>
            <w:tcW w:w="831" w:type="pct"/>
            <w:vAlign w:val="bottom"/>
          </w:tcPr>
          <w:p w14:paraId="546001C1"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2</w:t>
            </w:r>
          </w:p>
        </w:tc>
      </w:tr>
      <w:tr w:rsidR="00DB474C" w:rsidRPr="00CC394D" w14:paraId="25E047B6" w14:textId="77777777" w:rsidTr="00E91C63">
        <w:trPr>
          <w:trHeight w:val="300"/>
          <w:jc w:val="center"/>
        </w:trPr>
        <w:tc>
          <w:tcPr>
            <w:tcW w:w="1135" w:type="pct"/>
            <w:shd w:val="clear" w:color="auto" w:fill="auto"/>
            <w:noWrap/>
            <w:vAlign w:val="bottom"/>
          </w:tcPr>
          <w:p w14:paraId="0E96BB56" w14:textId="77777777" w:rsidR="00DB474C" w:rsidRPr="003E35BC" w:rsidRDefault="00DB474C" w:rsidP="00DB474C">
            <w:pPr>
              <w:spacing w:after="0" w:line="240" w:lineRule="auto"/>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Лискинский</w:t>
            </w:r>
          </w:p>
        </w:tc>
        <w:tc>
          <w:tcPr>
            <w:tcW w:w="986" w:type="pct"/>
            <w:shd w:val="clear" w:color="auto" w:fill="auto"/>
            <w:noWrap/>
            <w:vAlign w:val="bottom"/>
          </w:tcPr>
          <w:p w14:paraId="479D9C93"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198,30</w:t>
            </w:r>
          </w:p>
        </w:tc>
        <w:tc>
          <w:tcPr>
            <w:tcW w:w="835" w:type="pct"/>
            <w:shd w:val="clear" w:color="auto" w:fill="auto"/>
            <w:noWrap/>
            <w:vAlign w:val="bottom"/>
          </w:tcPr>
          <w:p w14:paraId="048C8514"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2 051,67</w:t>
            </w:r>
          </w:p>
        </w:tc>
        <w:tc>
          <w:tcPr>
            <w:tcW w:w="1213" w:type="pct"/>
            <w:shd w:val="clear" w:color="auto" w:fill="auto"/>
            <w:noWrap/>
            <w:vAlign w:val="bottom"/>
          </w:tcPr>
          <w:p w14:paraId="1DDA034B"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3 020,75</w:t>
            </w:r>
          </w:p>
        </w:tc>
        <w:tc>
          <w:tcPr>
            <w:tcW w:w="831" w:type="pct"/>
            <w:vAlign w:val="bottom"/>
          </w:tcPr>
          <w:p w14:paraId="4FBD2278"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7</w:t>
            </w:r>
          </w:p>
        </w:tc>
      </w:tr>
      <w:tr w:rsidR="00DB474C" w:rsidRPr="00CC394D" w14:paraId="64300C21" w14:textId="77777777" w:rsidTr="00E91C63">
        <w:trPr>
          <w:trHeight w:val="300"/>
          <w:jc w:val="center"/>
        </w:trPr>
        <w:tc>
          <w:tcPr>
            <w:tcW w:w="1135" w:type="pct"/>
            <w:shd w:val="clear" w:color="auto" w:fill="auto"/>
            <w:noWrap/>
            <w:vAlign w:val="bottom"/>
          </w:tcPr>
          <w:p w14:paraId="282BDD19" w14:textId="77777777" w:rsidR="00DB474C" w:rsidRPr="003E35BC" w:rsidRDefault="00DB474C" w:rsidP="00DB474C">
            <w:pPr>
              <w:spacing w:after="0" w:line="240" w:lineRule="auto"/>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Новоусманский</w:t>
            </w:r>
          </w:p>
        </w:tc>
        <w:tc>
          <w:tcPr>
            <w:tcW w:w="986" w:type="pct"/>
            <w:shd w:val="clear" w:color="auto" w:fill="auto"/>
            <w:noWrap/>
            <w:vAlign w:val="bottom"/>
          </w:tcPr>
          <w:p w14:paraId="35CDC29A"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89,14</w:t>
            </w:r>
          </w:p>
        </w:tc>
        <w:tc>
          <w:tcPr>
            <w:tcW w:w="835" w:type="pct"/>
            <w:shd w:val="clear" w:color="auto" w:fill="auto"/>
            <w:noWrap/>
            <w:vAlign w:val="bottom"/>
          </w:tcPr>
          <w:p w14:paraId="31AF6277"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1 666,87</w:t>
            </w:r>
          </w:p>
        </w:tc>
        <w:tc>
          <w:tcPr>
            <w:tcW w:w="1213" w:type="pct"/>
            <w:shd w:val="clear" w:color="auto" w:fill="auto"/>
            <w:noWrap/>
            <w:vAlign w:val="bottom"/>
          </w:tcPr>
          <w:p w14:paraId="306144E0"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5 681,71</w:t>
            </w:r>
          </w:p>
        </w:tc>
        <w:tc>
          <w:tcPr>
            <w:tcW w:w="831" w:type="pct"/>
            <w:vAlign w:val="bottom"/>
          </w:tcPr>
          <w:p w14:paraId="1E9C1075"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26</w:t>
            </w:r>
          </w:p>
        </w:tc>
      </w:tr>
      <w:tr w:rsidR="00DB474C" w:rsidRPr="00CC394D" w14:paraId="31D383F0" w14:textId="77777777" w:rsidTr="00E91C63">
        <w:trPr>
          <w:trHeight w:val="300"/>
          <w:jc w:val="center"/>
        </w:trPr>
        <w:tc>
          <w:tcPr>
            <w:tcW w:w="1135" w:type="pct"/>
            <w:shd w:val="clear" w:color="auto" w:fill="auto"/>
            <w:noWrap/>
            <w:vAlign w:val="bottom"/>
          </w:tcPr>
          <w:p w14:paraId="224E2D99" w14:textId="77777777" w:rsidR="00DB474C" w:rsidRPr="003E35BC" w:rsidRDefault="00DB474C" w:rsidP="00DB474C">
            <w:pPr>
              <w:spacing w:after="0" w:line="240" w:lineRule="auto"/>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Рамонский</w:t>
            </w:r>
          </w:p>
        </w:tc>
        <w:tc>
          <w:tcPr>
            <w:tcW w:w="986" w:type="pct"/>
            <w:shd w:val="clear" w:color="auto" w:fill="auto"/>
            <w:noWrap/>
            <w:vAlign w:val="bottom"/>
          </w:tcPr>
          <w:p w14:paraId="2C3817BB"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13,40</w:t>
            </w:r>
          </w:p>
        </w:tc>
        <w:tc>
          <w:tcPr>
            <w:tcW w:w="835" w:type="pct"/>
            <w:shd w:val="clear" w:color="auto" w:fill="auto"/>
            <w:noWrap/>
            <w:vAlign w:val="bottom"/>
          </w:tcPr>
          <w:p w14:paraId="7EF32FE8"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2 051,85</w:t>
            </w:r>
          </w:p>
        </w:tc>
        <w:tc>
          <w:tcPr>
            <w:tcW w:w="1213" w:type="pct"/>
            <w:shd w:val="clear" w:color="auto" w:fill="auto"/>
            <w:noWrap/>
            <w:vAlign w:val="bottom"/>
          </w:tcPr>
          <w:p w14:paraId="5281C25A"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7 821,36</w:t>
            </w:r>
          </w:p>
        </w:tc>
        <w:tc>
          <w:tcPr>
            <w:tcW w:w="831" w:type="pct"/>
            <w:vAlign w:val="bottom"/>
          </w:tcPr>
          <w:p w14:paraId="5709E643"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13</w:t>
            </w:r>
          </w:p>
        </w:tc>
      </w:tr>
      <w:tr w:rsidR="00DB474C" w:rsidRPr="00CC394D" w14:paraId="425A7358" w14:textId="77777777" w:rsidTr="00E91C63">
        <w:trPr>
          <w:trHeight w:val="300"/>
          <w:jc w:val="center"/>
        </w:trPr>
        <w:tc>
          <w:tcPr>
            <w:tcW w:w="1135" w:type="pct"/>
            <w:shd w:val="clear" w:color="auto" w:fill="auto"/>
            <w:noWrap/>
            <w:vAlign w:val="bottom"/>
          </w:tcPr>
          <w:p w14:paraId="1A7961BC" w14:textId="77777777" w:rsidR="00DB474C" w:rsidRPr="003E35BC" w:rsidRDefault="00DB474C" w:rsidP="00DB474C">
            <w:pPr>
              <w:spacing w:after="0" w:line="240" w:lineRule="auto"/>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Россошанский</w:t>
            </w:r>
          </w:p>
        </w:tc>
        <w:tc>
          <w:tcPr>
            <w:tcW w:w="986" w:type="pct"/>
            <w:shd w:val="clear" w:color="auto" w:fill="auto"/>
            <w:noWrap/>
            <w:vAlign w:val="bottom"/>
          </w:tcPr>
          <w:p w14:paraId="3DA73114"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295,37</w:t>
            </w:r>
          </w:p>
        </w:tc>
        <w:tc>
          <w:tcPr>
            <w:tcW w:w="835" w:type="pct"/>
            <w:shd w:val="clear" w:color="auto" w:fill="auto"/>
            <w:noWrap/>
            <w:vAlign w:val="bottom"/>
          </w:tcPr>
          <w:p w14:paraId="5212A68E"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1 180,51</w:t>
            </w:r>
          </w:p>
        </w:tc>
        <w:tc>
          <w:tcPr>
            <w:tcW w:w="1213" w:type="pct"/>
            <w:shd w:val="clear" w:color="auto" w:fill="auto"/>
            <w:noWrap/>
            <w:vAlign w:val="bottom"/>
          </w:tcPr>
          <w:p w14:paraId="308C6AB5"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3 068,86</w:t>
            </w:r>
          </w:p>
        </w:tc>
        <w:tc>
          <w:tcPr>
            <w:tcW w:w="831" w:type="pct"/>
            <w:vAlign w:val="bottom"/>
          </w:tcPr>
          <w:p w14:paraId="15E6626B"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6</w:t>
            </w:r>
          </w:p>
        </w:tc>
      </w:tr>
      <w:tr w:rsidR="00DB474C" w:rsidRPr="00CC394D" w14:paraId="53AFACC0" w14:textId="77777777" w:rsidTr="00E91C63">
        <w:trPr>
          <w:trHeight w:val="300"/>
          <w:jc w:val="center"/>
        </w:trPr>
        <w:tc>
          <w:tcPr>
            <w:tcW w:w="1135" w:type="pct"/>
            <w:shd w:val="clear" w:color="auto" w:fill="auto"/>
            <w:noWrap/>
            <w:vAlign w:val="bottom"/>
          </w:tcPr>
          <w:p w14:paraId="2307D3F5" w14:textId="77777777" w:rsidR="00DB474C" w:rsidRPr="003E35BC" w:rsidRDefault="00DB474C" w:rsidP="00DB474C">
            <w:pPr>
              <w:spacing w:after="0" w:line="240" w:lineRule="auto"/>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Семилукский</w:t>
            </w:r>
          </w:p>
        </w:tc>
        <w:tc>
          <w:tcPr>
            <w:tcW w:w="986" w:type="pct"/>
            <w:shd w:val="clear" w:color="auto" w:fill="auto"/>
            <w:noWrap/>
            <w:vAlign w:val="bottom"/>
          </w:tcPr>
          <w:p w14:paraId="7E5B2170"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234,03</w:t>
            </w:r>
          </w:p>
        </w:tc>
        <w:tc>
          <w:tcPr>
            <w:tcW w:w="835" w:type="pct"/>
            <w:shd w:val="clear" w:color="auto" w:fill="auto"/>
            <w:noWrap/>
            <w:vAlign w:val="bottom"/>
          </w:tcPr>
          <w:p w14:paraId="091EB1D0"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1 485,65</w:t>
            </w:r>
          </w:p>
        </w:tc>
        <w:tc>
          <w:tcPr>
            <w:tcW w:w="1213" w:type="pct"/>
            <w:shd w:val="clear" w:color="auto" w:fill="auto"/>
            <w:noWrap/>
            <w:vAlign w:val="bottom"/>
          </w:tcPr>
          <w:p w14:paraId="7998303B"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2 827,50</w:t>
            </w:r>
          </w:p>
        </w:tc>
        <w:tc>
          <w:tcPr>
            <w:tcW w:w="831" w:type="pct"/>
            <w:vAlign w:val="bottom"/>
          </w:tcPr>
          <w:p w14:paraId="5E7F4610"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4</w:t>
            </w:r>
          </w:p>
        </w:tc>
      </w:tr>
      <w:tr w:rsidR="00DB474C" w:rsidRPr="00CC394D" w14:paraId="1BDCABB5" w14:textId="77777777" w:rsidTr="00E91C63">
        <w:trPr>
          <w:trHeight w:val="300"/>
          <w:jc w:val="center"/>
        </w:trPr>
        <w:tc>
          <w:tcPr>
            <w:tcW w:w="1135" w:type="pct"/>
            <w:shd w:val="clear" w:color="auto" w:fill="auto"/>
            <w:noWrap/>
            <w:vAlign w:val="bottom"/>
          </w:tcPr>
          <w:p w14:paraId="158332E5" w14:textId="77777777" w:rsidR="00DB474C" w:rsidRPr="003E35BC" w:rsidRDefault="00DB474C" w:rsidP="00DB474C">
            <w:pPr>
              <w:spacing w:after="0" w:line="240" w:lineRule="auto"/>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Хохольский</w:t>
            </w:r>
          </w:p>
        </w:tc>
        <w:tc>
          <w:tcPr>
            <w:tcW w:w="986" w:type="pct"/>
            <w:shd w:val="clear" w:color="auto" w:fill="auto"/>
            <w:noWrap/>
            <w:vAlign w:val="bottom"/>
          </w:tcPr>
          <w:p w14:paraId="6544394E"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365,99</w:t>
            </w:r>
          </w:p>
        </w:tc>
        <w:tc>
          <w:tcPr>
            <w:tcW w:w="835" w:type="pct"/>
            <w:shd w:val="clear" w:color="auto" w:fill="auto"/>
            <w:noWrap/>
            <w:vAlign w:val="bottom"/>
          </w:tcPr>
          <w:p w14:paraId="0557556F"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365,99</w:t>
            </w:r>
          </w:p>
        </w:tc>
        <w:tc>
          <w:tcPr>
            <w:tcW w:w="1213" w:type="pct"/>
            <w:shd w:val="clear" w:color="auto" w:fill="auto"/>
            <w:noWrap/>
            <w:vAlign w:val="bottom"/>
          </w:tcPr>
          <w:p w14:paraId="02752C9D"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365,99</w:t>
            </w:r>
          </w:p>
        </w:tc>
        <w:tc>
          <w:tcPr>
            <w:tcW w:w="831" w:type="pct"/>
            <w:vAlign w:val="bottom"/>
          </w:tcPr>
          <w:p w14:paraId="643D39BB"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1</w:t>
            </w:r>
          </w:p>
        </w:tc>
      </w:tr>
      <w:tr w:rsidR="00DB474C" w:rsidRPr="00CC394D" w14:paraId="2824FB88" w14:textId="77777777" w:rsidTr="00E91C63">
        <w:trPr>
          <w:trHeight w:val="300"/>
          <w:jc w:val="center"/>
        </w:trPr>
        <w:tc>
          <w:tcPr>
            <w:tcW w:w="1135" w:type="pct"/>
            <w:shd w:val="clear" w:color="auto" w:fill="auto"/>
            <w:noWrap/>
            <w:vAlign w:val="bottom"/>
          </w:tcPr>
          <w:p w14:paraId="7BB3F107" w14:textId="77777777" w:rsidR="00DB474C" w:rsidRPr="003E35BC" w:rsidRDefault="00DB474C" w:rsidP="00DB474C">
            <w:pPr>
              <w:spacing w:after="0" w:line="240" w:lineRule="auto"/>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г.о.г. Нововоронеж</w:t>
            </w:r>
          </w:p>
        </w:tc>
        <w:tc>
          <w:tcPr>
            <w:tcW w:w="986" w:type="pct"/>
            <w:shd w:val="clear" w:color="auto" w:fill="auto"/>
            <w:noWrap/>
            <w:vAlign w:val="bottom"/>
          </w:tcPr>
          <w:p w14:paraId="4132952D"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729,55</w:t>
            </w:r>
          </w:p>
        </w:tc>
        <w:tc>
          <w:tcPr>
            <w:tcW w:w="835" w:type="pct"/>
            <w:shd w:val="clear" w:color="auto" w:fill="auto"/>
            <w:noWrap/>
            <w:vAlign w:val="bottom"/>
          </w:tcPr>
          <w:p w14:paraId="4C91AE19"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1 628,19</w:t>
            </w:r>
          </w:p>
        </w:tc>
        <w:tc>
          <w:tcPr>
            <w:tcW w:w="1213" w:type="pct"/>
            <w:shd w:val="clear" w:color="auto" w:fill="auto"/>
            <w:noWrap/>
            <w:vAlign w:val="bottom"/>
          </w:tcPr>
          <w:p w14:paraId="0BD0CB41"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2 526,83</w:t>
            </w:r>
          </w:p>
        </w:tc>
        <w:tc>
          <w:tcPr>
            <w:tcW w:w="831" w:type="pct"/>
            <w:vAlign w:val="bottom"/>
          </w:tcPr>
          <w:p w14:paraId="64122BBE"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2</w:t>
            </w:r>
          </w:p>
        </w:tc>
      </w:tr>
      <w:tr w:rsidR="00DB474C" w:rsidRPr="00CC394D" w14:paraId="537E74A4" w14:textId="77777777" w:rsidTr="00E91C63">
        <w:trPr>
          <w:trHeight w:val="300"/>
          <w:jc w:val="center"/>
        </w:trPr>
        <w:tc>
          <w:tcPr>
            <w:tcW w:w="1135" w:type="pct"/>
            <w:shd w:val="clear" w:color="auto" w:fill="auto"/>
            <w:noWrap/>
            <w:vAlign w:val="bottom"/>
          </w:tcPr>
          <w:p w14:paraId="2DD24C47" w14:textId="77777777" w:rsidR="00DB474C" w:rsidRPr="003E35BC" w:rsidRDefault="00DB474C" w:rsidP="00DB474C">
            <w:pPr>
              <w:spacing w:after="0" w:line="240" w:lineRule="auto"/>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г.о.г. Воронеж</w:t>
            </w:r>
          </w:p>
        </w:tc>
        <w:tc>
          <w:tcPr>
            <w:tcW w:w="986" w:type="pct"/>
            <w:shd w:val="clear" w:color="auto" w:fill="auto"/>
            <w:noWrap/>
            <w:vAlign w:val="bottom"/>
          </w:tcPr>
          <w:p w14:paraId="77C4F849"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9,62</w:t>
            </w:r>
          </w:p>
        </w:tc>
        <w:tc>
          <w:tcPr>
            <w:tcW w:w="835" w:type="pct"/>
            <w:shd w:val="clear" w:color="auto" w:fill="auto"/>
            <w:noWrap/>
            <w:vAlign w:val="bottom"/>
          </w:tcPr>
          <w:p w14:paraId="5A760712"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7 172,69</w:t>
            </w:r>
          </w:p>
        </w:tc>
        <w:tc>
          <w:tcPr>
            <w:tcW w:w="1213" w:type="pct"/>
            <w:shd w:val="clear" w:color="auto" w:fill="auto"/>
            <w:noWrap/>
            <w:vAlign w:val="bottom"/>
          </w:tcPr>
          <w:p w14:paraId="7CFA35CC"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72 423,03</w:t>
            </w:r>
          </w:p>
        </w:tc>
        <w:tc>
          <w:tcPr>
            <w:tcW w:w="831" w:type="pct"/>
            <w:vAlign w:val="bottom"/>
          </w:tcPr>
          <w:p w14:paraId="25EEC168" w14:textId="77777777" w:rsidR="00DB474C" w:rsidRPr="003E35BC" w:rsidRDefault="00DB474C" w:rsidP="00DB474C">
            <w:pPr>
              <w:spacing w:after="0" w:line="240" w:lineRule="auto"/>
              <w:jc w:val="right"/>
              <w:rPr>
                <w:rFonts w:ascii="Times New Roman" w:eastAsia="Times New Roman" w:hAnsi="Times New Roman" w:cs="Times New Roman"/>
                <w:color w:val="000000" w:themeColor="text1"/>
                <w:lang w:eastAsia="ru-RU"/>
              </w:rPr>
            </w:pPr>
            <w:r w:rsidRPr="003E35BC">
              <w:rPr>
                <w:rFonts w:ascii="Times New Roman" w:hAnsi="Times New Roman" w:cs="Times New Roman"/>
                <w:color w:val="000000"/>
              </w:rPr>
              <w:t>143</w:t>
            </w:r>
          </w:p>
        </w:tc>
      </w:tr>
      <w:tr w:rsidR="00DB474C" w:rsidRPr="00CC394D" w14:paraId="0E1AC25A" w14:textId="77777777" w:rsidTr="00E91C63">
        <w:trPr>
          <w:trHeight w:val="300"/>
          <w:jc w:val="center"/>
        </w:trPr>
        <w:tc>
          <w:tcPr>
            <w:tcW w:w="1135" w:type="pct"/>
            <w:shd w:val="clear" w:color="auto" w:fill="auto"/>
            <w:noWrap/>
            <w:vAlign w:val="bottom"/>
          </w:tcPr>
          <w:p w14:paraId="354DAAD2" w14:textId="77777777" w:rsidR="00DB474C" w:rsidRPr="003E35BC" w:rsidRDefault="00DB474C" w:rsidP="00DB474C">
            <w:pPr>
              <w:spacing w:after="0" w:line="240" w:lineRule="auto"/>
              <w:rPr>
                <w:rFonts w:ascii="Times New Roman" w:eastAsia="Times New Roman" w:hAnsi="Times New Roman" w:cs="Times New Roman"/>
                <w:b/>
                <w:color w:val="000000" w:themeColor="text1"/>
                <w:lang w:eastAsia="ru-RU"/>
              </w:rPr>
            </w:pPr>
            <w:r w:rsidRPr="003E35BC">
              <w:rPr>
                <w:rFonts w:ascii="Times New Roman" w:hAnsi="Times New Roman" w:cs="Times New Roman"/>
                <w:b/>
                <w:color w:val="000000"/>
              </w:rPr>
              <w:t>Общий итог</w:t>
            </w:r>
          </w:p>
        </w:tc>
        <w:tc>
          <w:tcPr>
            <w:tcW w:w="986" w:type="pct"/>
            <w:shd w:val="clear" w:color="auto" w:fill="auto"/>
            <w:noWrap/>
            <w:vAlign w:val="bottom"/>
          </w:tcPr>
          <w:p w14:paraId="7F9EFBB3" w14:textId="77777777" w:rsidR="00DB474C" w:rsidRPr="003E35BC" w:rsidRDefault="00DB474C" w:rsidP="00DB474C">
            <w:pPr>
              <w:spacing w:after="0" w:line="240" w:lineRule="auto"/>
              <w:jc w:val="right"/>
              <w:rPr>
                <w:rFonts w:ascii="Times New Roman" w:eastAsia="Times New Roman" w:hAnsi="Times New Roman" w:cs="Times New Roman"/>
                <w:b/>
                <w:color w:val="000000" w:themeColor="text1"/>
                <w:lang w:eastAsia="ru-RU"/>
              </w:rPr>
            </w:pPr>
            <w:r w:rsidRPr="003E35BC">
              <w:rPr>
                <w:rFonts w:ascii="Times New Roman" w:hAnsi="Times New Roman" w:cs="Times New Roman"/>
                <w:b/>
                <w:color w:val="000000"/>
              </w:rPr>
              <w:t>9,62</w:t>
            </w:r>
          </w:p>
        </w:tc>
        <w:tc>
          <w:tcPr>
            <w:tcW w:w="835" w:type="pct"/>
            <w:shd w:val="clear" w:color="auto" w:fill="auto"/>
            <w:noWrap/>
            <w:vAlign w:val="bottom"/>
          </w:tcPr>
          <w:p w14:paraId="112AF1D3" w14:textId="77777777" w:rsidR="00DB474C" w:rsidRPr="003E35BC" w:rsidRDefault="00DB474C" w:rsidP="00DB474C">
            <w:pPr>
              <w:spacing w:after="0" w:line="240" w:lineRule="auto"/>
              <w:jc w:val="right"/>
              <w:rPr>
                <w:rFonts w:ascii="Times New Roman" w:eastAsia="Times New Roman" w:hAnsi="Times New Roman" w:cs="Times New Roman"/>
                <w:b/>
                <w:color w:val="000000" w:themeColor="text1"/>
                <w:lang w:eastAsia="ru-RU"/>
              </w:rPr>
            </w:pPr>
            <w:r w:rsidRPr="003E35BC">
              <w:rPr>
                <w:rFonts w:ascii="Times New Roman" w:hAnsi="Times New Roman" w:cs="Times New Roman"/>
                <w:b/>
                <w:color w:val="000000"/>
              </w:rPr>
              <w:t>5 462,22</w:t>
            </w:r>
          </w:p>
        </w:tc>
        <w:tc>
          <w:tcPr>
            <w:tcW w:w="1213" w:type="pct"/>
            <w:shd w:val="clear" w:color="auto" w:fill="auto"/>
            <w:noWrap/>
            <w:vAlign w:val="bottom"/>
          </w:tcPr>
          <w:p w14:paraId="378BDF6E" w14:textId="77777777" w:rsidR="00DB474C" w:rsidRPr="003E35BC" w:rsidRDefault="00DB474C" w:rsidP="00DB474C">
            <w:pPr>
              <w:spacing w:after="0" w:line="240" w:lineRule="auto"/>
              <w:jc w:val="right"/>
              <w:rPr>
                <w:rFonts w:ascii="Times New Roman" w:eastAsia="Times New Roman" w:hAnsi="Times New Roman" w:cs="Times New Roman"/>
                <w:b/>
                <w:color w:val="000000" w:themeColor="text1"/>
                <w:lang w:eastAsia="ru-RU"/>
              </w:rPr>
            </w:pPr>
            <w:r w:rsidRPr="003E35BC">
              <w:rPr>
                <w:rFonts w:ascii="Times New Roman" w:hAnsi="Times New Roman" w:cs="Times New Roman"/>
                <w:b/>
                <w:color w:val="000000"/>
              </w:rPr>
              <w:t>72 423,03</w:t>
            </w:r>
          </w:p>
        </w:tc>
        <w:tc>
          <w:tcPr>
            <w:tcW w:w="831" w:type="pct"/>
            <w:vAlign w:val="bottom"/>
          </w:tcPr>
          <w:p w14:paraId="0C074625" w14:textId="77777777" w:rsidR="00DB474C" w:rsidRPr="003E35BC" w:rsidRDefault="00DB474C" w:rsidP="00DB474C">
            <w:pPr>
              <w:spacing w:after="0" w:line="240" w:lineRule="auto"/>
              <w:jc w:val="right"/>
              <w:rPr>
                <w:rFonts w:ascii="Times New Roman" w:eastAsia="Times New Roman" w:hAnsi="Times New Roman" w:cs="Times New Roman"/>
                <w:b/>
                <w:color w:val="000000" w:themeColor="text1"/>
                <w:lang w:eastAsia="ru-RU"/>
              </w:rPr>
            </w:pPr>
            <w:r w:rsidRPr="003E35BC">
              <w:rPr>
                <w:rFonts w:ascii="Times New Roman" w:hAnsi="Times New Roman" w:cs="Times New Roman"/>
                <w:b/>
                <w:color w:val="000000"/>
              </w:rPr>
              <w:t>207</w:t>
            </w:r>
          </w:p>
        </w:tc>
      </w:tr>
    </w:tbl>
    <w:p w14:paraId="339EA00F" w14:textId="77777777" w:rsidR="00DB474C" w:rsidRDefault="00DB474C" w:rsidP="00DB474C">
      <w:pPr>
        <w:pStyle w:val="af5"/>
        <w:shd w:val="clear" w:color="auto" w:fill="FFFFFF"/>
        <w:spacing w:before="120" w:beforeAutospacing="0" w:after="0" w:afterAutospacing="0" w:line="276" w:lineRule="auto"/>
        <w:ind w:firstLine="709"/>
        <w:jc w:val="both"/>
        <w:rPr>
          <w:color w:val="000000"/>
          <w:sz w:val="26"/>
          <w:szCs w:val="26"/>
        </w:rPr>
      </w:pPr>
      <w:r>
        <w:rPr>
          <w:sz w:val="26"/>
          <w:szCs w:val="26"/>
        </w:rPr>
        <w:t xml:space="preserve">Рынок земельных участков сегмента </w:t>
      </w:r>
      <w:r w:rsidRPr="005F3FDE">
        <w:rPr>
          <w:color w:val="000000"/>
          <w:sz w:val="26"/>
          <w:szCs w:val="26"/>
        </w:rPr>
        <w:t>«Жилая застройка (среднеэтажная и многоэтажная)</w:t>
      </w:r>
      <w:r>
        <w:rPr>
          <w:color w:val="000000"/>
          <w:sz w:val="26"/>
          <w:szCs w:val="26"/>
        </w:rPr>
        <w:t>» развит слабо, основное количество предложений сосредоточено в административном центре региона г.о.г. Воронеж - 143 предложения (сделки). Среди районов области больше всего предложений (сделок) в Новоусманском районе – 26, что составляет 12,56% от общего количества. В большинстве районов Воронежской области рыночная информация по 2 сегменту не представлена.</w:t>
      </w:r>
    </w:p>
    <w:p w14:paraId="676F1D1D" w14:textId="77777777" w:rsidR="00DB474C" w:rsidRDefault="00DB474C" w:rsidP="00DB474C">
      <w:pPr>
        <w:spacing w:after="0" w:line="276" w:lineRule="auto"/>
        <w:ind w:firstLine="709"/>
        <w:jc w:val="both"/>
        <w:rPr>
          <w:rFonts w:ascii="Times New Roman" w:hAnsi="Times New Roman" w:cs="Times New Roman"/>
          <w:sz w:val="26"/>
          <w:szCs w:val="26"/>
        </w:rPr>
      </w:pPr>
      <w:r w:rsidRPr="009F75A2">
        <w:rPr>
          <w:rFonts w:ascii="Times New Roman" w:hAnsi="Times New Roman" w:cs="Times New Roman"/>
          <w:sz w:val="26"/>
          <w:szCs w:val="26"/>
        </w:rPr>
        <w:t>Средний удельный показатель рыночной стоимости по г.о.г. Воронеж составляет 7 172,69 руб./кв.м, диапазон цен обширен - от 9,62 до 72 423,03 руб./кв.м.  Наибольший средний удельный показатель рыночной стоимости среди районов Воронежской области (без учета г.о.г. Воронеж) сложился в Рамонском (</w:t>
      </w:r>
      <w:r w:rsidRPr="009F75A2">
        <w:rPr>
          <w:rFonts w:ascii="Times New Roman" w:hAnsi="Times New Roman" w:cs="Times New Roman"/>
          <w:color w:val="000000"/>
          <w:sz w:val="26"/>
          <w:szCs w:val="26"/>
        </w:rPr>
        <w:t xml:space="preserve">2 051,85 </w:t>
      </w:r>
      <w:r w:rsidRPr="009F75A2">
        <w:rPr>
          <w:rFonts w:ascii="Times New Roman" w:hAnsi="Times New Roman" w:cs="Times New Roman"/>
          <w:sz w:val="26"/>
          <w:szCs w:val="26"/>
        </w:rPr>
        <w:t>руб./кв.м) и Лискинском (</w:t>
      </w:r>
      <w:r w:rsidRPr="009F75A2">
        <w:rPr>
          <w:rFonts w:ascii="Times New Roman" w:hAnsi="Times New Roman" w:cs="Times New Roman"/>
          <w:color w:val="000000"/>
          <w:sz w:val="26"/>
          <w:szCs w:val="26"/>
        </w:rPr>
        <w:t xml:space="preserve">2 051,67 </w:t>
      </w:r>
      <w:r w:rsidRPr="009F75A2">
        <w:rPr>
          <w:rFonts w:ascii="Times New Roman" w:hAnsi="Times New Roman" w:cs="Times New Roman"/>
          <w:sz w:val="26"/>
          <w:szCs w:val="26"/>
        </w:rPr>
        <w:t>руб./кв.м)</w:t>
      </w:r>
      <w:r>
        <w:rPr>
          <w:rFonts w:ascii="Times New Roman" w:hAnsi="Times New Roman" w:cs="Times New Roman"/>
          <w:sz w:val="26"/>
          <w:szCs w:val="26"/>
        </w:rPr>
        <w:t xml:space="preserve"> районах</w:t>
      </w:r>
      <w:r w:rsidRPr="009F75A2">
        <w:rPr>
          <w:rFonts w:ascii="Times New Roman" w:hAnsi="Times New Roman" w:cs="Times New Roman"/>
          <w:sz w:val="26"/>
          <w:szCs w:val="26"/>
        </w:rPr>
        <w:t xml:space="preserve">. В целом величина удельного показателя рыночной стоимости в сегменте «Жилая застройка (среднеэтажная и многоэтажная)» лежит в диапазоне от </w:t>
      </w:r>
      <w:r>
        <w:rPr>
          <w:rFonts w:ascii="Times New Roman" w:hAnsi="Times New Roman" w:cs="Times New Roman"/>
          <w:sz w:val="26"/>
          <w:szCs w:val="26"/>
        </w:rPr>
        <w:t>9</w:t>
      </w:r>
      <w:r w:rsidRPr="009F75A2">
        <w:rPr>
          <w:rFonts w:ascii="Times New Roman" w:hAnsi="Times New Roman" w:cs="Times New Roman"/>
          <w:sz w:val="26"/>
          <w:szCs w:val="26"/>
        </w:rPr>
        <w:t>,</w:t>
      </w:r>
      <w:r>
        <w:rPr>
          <w:rFonts w:ascii="Times New Roman" w:hAnsi="Times New Roman" w:cs="Times New Roman"/>
          <w:sz w:val="26"/>
          <w:szCs w:val="26"/>
        </w:rPr>
        <w:t>6</w:t>
      </w:r>
      <w:r w:rsidRPr="009F75A2">
        <w:rPr>
          <w:rFonts w:ascii="Times New Roman" w:hAnsi="Times New Roman" w:cs="Times New Roman"/>
          <w:sz w:val="26"/>
          <w:szCs w:val="26"/>
        </w:rPr>
        <w:t>2 руб</w:t>
      </w:r>
      <w:r>
        <w:rPr>
          <w:rFonts w:ascii="Times New Roman" w:hAnsi="Times New Roman" w:cs="Times New Roman"/>
          <w:sz w:val="26"/>
          <w:szCs w:val="26"/>
        </w:rPr>
        <w:t>./</w:t>
      </w:r>
      <w:r w:rsidRPr="009F75A2">
        <w:rPr>
          <w:rFonts w:ascii="Times New Roman" w:hAnsi="Times New Roman" w:cs="Times New Roman"/>
          <w:sz w:val="26"/>
          <w:szCs w:val="26"/>
        </w:rPr>
        <w:t xml:space="preserve">кв.м (зафиксировано в </w:t>
      </w:r>
      <w:r>
        <w:rPr>
          <w:rFonts w:ascii="Times New Roman" w:hAnsi="Times New Roman" w:cs="Times New Roman"/>
          <w:sz w:val="26"/>
          <w:szCs w:val="26"/>
        </w:rPr>
        <w:t>г.о.г. Воронеж</w:t>
      </w:r>
      <w:r w:rsidRPr="009F75A2">
        <w:rPr>
          <w:rFonts w:ascii="Times New Roman" w:hAnsi="Times New Roman" w:cs="Times New Roman"/>
          <w:sz w:val="26"/>
          <w:szCs w:val="26"/>
        </w:rPr>
        <w:t xml:space="preserve">) до </w:t>
      </w:r>
      <w:r>
        <w:rPr>
          <w:rFonts w:ascii="Times New Roman" w:hAnsi="Times New Roman" w:cs="Times New Roman"/>
          <w:sz w:val="26"/>
          <w:szCs w:val="26"/>
        </w:rPr>
        <w:t>72 423,03</w:t>
      </w:r>
      <w:r w:rsidRPr="009F75A2">
        <w:rPr>
          <w:rFonts w:ascii="Times New Roman" w:hAnsi="Times New Roman" w:cs="Times New Roman"/>
          <w:sz w:val="26"/>
          <w:szCs w:val="26"/>
        </w:rPr>
        <w:t xml:space="preserve"> руб</w:t>
      </w:r>
      <w:r>
        <w:rPr>
          <w:rFonts w:ascii="Times New Roman" w:hAnsi="Times New Roman" w:cs="Times New Roman"/>
          <w:sz w:val="26"/>
          <w:szCs w:val="26"/>
        </w:rPr>
        <w:t>./</w:t>
      </w:r>
      <w:r w:rsidRPr="009F75A2">
        <w:rPr>
          <w:rFonts w:ascii="Times New Roman" w:hAnsi="Times New Roman" w:cs="Times New Roman"/>
          <w:sz w:val="26"/>
          <w:szCs w:val="26"/>
        </w:rPr>
        <w:t>кв.м</w:t>
      </w:r>
      <w:r w:rsidRPr="009F75A2">
        <w:rPr>
          <w:rFonts w:ascii="Times New Roman" w:hAnsi="Times New Roman" w:cs="Times New Roman"/>
          <w:sz w:val="26"/>
          <w:szCs w:val="26"/>
          <w:vertAlign w:val="superscript"/>
        </w:rPr>
        <w:t xml:space="preserve"> </w:t>
      </w:r>
      <w:r w:rsidRPr="009F75A2">
        <w:rPr>
          <w:rFonts w:ascii="Times New Roman" w:hAnsi="Times New Roman" w:cs="Times New Roman"/>
          <w:sz w:val="26"/>
          <w:szCs w:val="26"/>
        </w:rPr>
        <w:t>(зафиксировано в г.</w:t>
      </w:r>
      <w:r>
        <w:rPr>
          <w:rFonts w:ascii="Times New Roman" w:hAnsi="Times New Roman" w:cs="Times New Roman"/>
          <w:sz w:val="26"/>
          <w:szCs w:val="26"/>
        </w:rPr>
        <w:t>о.г.</w:t>
      </w:r>
      <w:r w:rsidRPr="009F75A2">
        <w:rPr>
          <w:rFonts w:ascii="Times New Roman" w:hAnsi="Times New Roman" w:cs="Times New Roman"/>
          <w:sz w:val="26"/>
          <w:szCs w:val="26"/>
        </w:rPr>
        <w:t xml:space="preserve"> Воронеж). Аналоги, стоимостные значения которых представляют собой экстремумы, для дальнейших целей оценки не используются.</w:t>
      </w:r>
    </w:p>
    <w:p w14:paraId="2CBCCE2F" w14:textId="77777777" w:rsidR="00DB474C" w:rsidRPr="00D4243C" w:rsidRDefault="00DB474C" w:rsidP="00DB474C">
      <w:pPr>
        <w:spacing w:after="0" w:line="276" w:lineRule="auto"/>
        <w:ind w:firstLine="709"/>
        <w:jc w:val="both"/>
        <w:rPr>
          <w:rStyle w:val="af9"/>
          <w:rFonts w:cs="Times New Roman"/>
          <w:b w:val="0"/>
          <w:bCs w:val="0"/>
          <w:sz w:val="26"/>
          <w:szCs w:val="26"/>
        </w:rPr>
      </w:pPr>
      <w:r w:rsidRPr="004643AA">
        <w:rPr>
          <w:rFonts w:ascii="Times New Roman" w:eastAsia="Times New Roman" w:hAnsi="Times New Roman" w:cs="Times New Roman"/>
          <w:sz w:val="26"/>
          <w:szCs w:val="26"/>
          <w:lang w:eastAsia="ru-RU"/>
        </w:rPr>
        <w:t xml:space="preserve">Таким образом, рыночная информация по </w:t>
      </w:r>
      <w:r w:rsidRPr="004643AA">
        <w:rPr>
          <w:rFonts w:ascii="Times New Roman" w:hAnsi="Times New Roman" w:cs="Times New Roman"/>
          <w:sz w:val="26"/>
          <w:szCs w:val="26"/>
        </w:rPr>
        <w:t xml:space="preserve">сегменту </w:t>
      </w:r>
      <w:r w:rsidRPr="002F245A">
        <w:rPr>
          <w:rFonts w:ascii="Times New Roman" w:hAnsi="Times New Roman" w:cs="Times New Roman"/>
          <w:sz w:val="26"/>
          <w:szCs w:val="26"/>
        </w:rPr>
        <w:t>«</w:t>
      </w:r>
      <w:r w:rsidRPr="005F3FDE">
        <w:rPr>
          <w:rFonts w:ascii="Times New Roman" w:hAnsi="Times New Roman" w:cs="Times New Roman"/>
          <w:sz w:val="26"/>
          <w:szCs w:val="26"/>
        </w:rPr>
        <w:t>«Жилая застройка (среднеэтажная и многоэтажная)</w:t>
      </w:r>
      <w:r>
        <w:rPr>
          <w:rFonts w:ascii="Times New Roman" w:hAnsi="Times New Roman" w:cs="Times New Roman"/>
          <w:color w:val="000000"/>
          <w:sz w:val="26"/>
          <w:szCs w:val="26"/>
        </w:rPr>
        <w:t xml:space="preserve">» </w:t>
      </w:r>
      <w:r w:rsidRPr="004643AA">
        <w:rPr>
          <w:rFonts w:ascii="Times New Roman" w:eastAsia="Times New Roman" w:hAnsi="Times New Roman" w:cs="Times New Roman"/>
          <w:sz w:val="26"/>
          <w:szCs w:val="26"/>
          <w:lang w:eastAsia="ru-RU"/>
        </w:rPr>
        <w:t>представлена лишь по ряду районов Воронежской области в количестве, недостаточном, чтобы представить полноценную картину рыночных значений.</w:t>
      </w:r>
    </w:p>
    <w:p w14:paraId="02A22E50" w14:textId="77777777" w:rsidR="00E91C63" w:rsidRDefault="00E91C63" w:rsidP="00DB474C">
      <w:pPr>
        <w:pStyle w:val="af5"/>
        <w:shd w:val="clear" w:color="auto" w:fill="FFFFFF"/>
        <w:spacing w:before="0" w:beforeAutospacing="0" w:after="0" w:afterAutospacing="0" w:line="276" w:lineRule="auto"/>
        <w:ind w:firstLine="709"/>
        <w:jc w:val="center"/>
        <w:rPr>
          <w:rStyle w:val="af9"/>
          <w:rFonts w:eastAsiaTheme="majorEastAsia"/>
          <w:b w:val="0"/>
          <w:i/>
          <w:sz w:val="26"/>
          <w:szCs w:val="26"/>
        </w:rPr>
      </w:pPr>
    </w:p>
    <w:p w14:paraId="623EA316" w14:textId="5CF6C9A2" w:rsidR="00DB474C" w:rsidRPr="00E91C63" w:rsidRDefault="00DB474C" w:rsidP="00DB474C">
      <w:pPr>
        <w:pStyle w:val="af5"/>
        <w:shd w:val="clear" w:color="auto" w:fill="FFFFFF"/>
        <w:spacing w:before="0" w:beforeAutospacing="0" w:after="0" w:afterAutospacing="0" w:line="276" w:lineRule="auto"/>
        <w:ind w:firstLine="709"/>
        <w:jc w:val="center"/>
        <w:rPr>
          <w:rStyle w:val="af9"/>
          <w:rFonts w:eastAsiaTheme="majorEastAsia"/>
          <w:b w:val="0"/>
          <w:i/>
          <w:sz w:val="26"/>
          <w:szCs w:val="26"/>
        </w:rPr>
      </w:pPr>
      <w:r w:rsidRPr="00E91C63">
        <w:rPr>
          <w:rStyle w:val="af9"/>
          <w:rFonts w:eastAsiaTheme="majorEastAsia"/>
          <w:b w:val="0"/>
          <w:i/>
          <w:sz w:val="26"/>
          <w:szCs w:val="26"/>
        </w:rPr>
        <w:t>Анализ ценообразующих факторов и ранжирование по степени их влияния на цены объектов недвижимости</w:t>
      </w:r>
    </w:p>
    <w:p w14:paraId="18035DCF" w14:textId="77777777" w:rsidR="00DB474C" w:rsidRPr="00E91C63" w:rsidRDefault="00DB474C" w:rsidP="00DB474C">
      <w:pPr>
        <w:spacing w:after="120" w:line="276" w:lineRule="auto"/>
        <w:ind w:firstLine="709"/>
        <w:jc w:val="both"/>
        <w:rPr>
          <w:rStyle w:val="af9"/>
          <w:rFonts w:ascii="Times New Roman" w:hAnsi="Times New Roman" w:cs="Times New Roman"/>
          <w:b w:val="0"/>
          <w:sz w:val="26"/>
          <w:szCs w:val="26"/>
        </w:rPr>
      </w:pPr>
      <w:r w:rsidRPr="00E91C63">
        <w:rPr>
          <w:rStyle w:val="af9"/>
          <w:rFonts w:ascii="Times New Roman" w:hAnsi="Times New Roman" w:cs="Times New Roman"/>
          <w:b w:val="0"/>
          <w:sz w:val="26"/>
          <w:szCs w:val="26"/>
        </w:rPr>
        <w:t>Количество факторов, оказывающих влияние на цены объектов, предлагаемых к продаже, весьма велико. Наиболее значимые из этих факторов обычно учитываются в процессе оценки в качестве параметров, по которым сопоставляются подобные объекты-аналоги, принимаются решения о необходимости корректировки цены, если объекты-аналоги по этим параметрам отличаются от объектов оценки. Далее приведены основные ценообразующие факторы, влияющие на стоимость квартир, по данным ООО «Информ-Оценка».</w:t>
      </w:r>
    </w:p>
    <w:p w14:paraId="5432875E" w14:textId="77777777" w:rsidR="00DB474C" w:rsidRDefault="00DB474C" w:rsidP="00E91C63">
      <w:pPr>
        <w:spacing w:after="120" w:line="276" w:lineRule="auto"/>
        <w:jc w:val="center"/>
        <w:rPr>
          <w:rStyle w:val="af9"/>
          <w:rFonts w:cs="Times New Roman"/>
          <w:b w:val="0"/>
          <w:bCs w:val="0"/>
          <w:sz w:val="26"/>
          <w:szCs w:val="26"/>
        </w:rPr>
      </w:pPr>
      <w:r w:rsidRPr="00D4243C">
        <w:rPr>
          <w:rStyle w:val="af9"/>
          <w:rFonts w:cs="Times New Roman"/>
          <w:b w:val="0"/>
          <w:bCs w:val="0"/>
          <w:noProof/>
          <w:sz w:val="26"/>
          <w:szCs w:val="26"/>
          <w:lang w:eastAsia="ru-RU"/>
        </w:rPr>
        <w:drawing>
          <wp:inline distT="0" distB="0" distL="0" distR="0" wp14:anchorId="31B4090A" wp14:editId="7885100B">
            <wp:extent cx="4340225" cy="1763927"/>
            <wp:effectExtent l="0" t="0" r="3175"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49890" cy="1767855"/>
                    </a:xfrm>
                    <a:prstGeom prst="rect">
                      <a:avLst/>
                    </a:prstGeom>
                  </pic:spPr>
                </pic:pic>
              </a:graphicData>
            </a:graphic>
          </wp:inline>
        </w:drawing>
      </w:r>
    </w:p>
    <w:p w14:paraId="318011B1" w14:textId="77777777" w:rsidR="00DB474C" w:rsidRPr="00E91C63" w:rsidRDefault="00DB474C" w:rsidP="00DB474C">
      <w:pPr>
        <w:spacing w:after="0" w:line="276" w:lineRule="auto"/>
        <w:ind w:firstLine="709"/>
        <w:jc w:val="center"/>
        <w:rPr>
          <w:rStyle w:val="af9"/>
          <w:rFonts w:ascii="Times New Roman" w:hAnsi="Times New Roman" w:cs="Times New Roman"/>
          <w:b w:val="0"/>
          <w:sz w:val="26"/>
          <w:szCs w:val="26"/>
        </w:rPr>
      </w:pPr>
      <w:r w:rsidRPr="00E91C63">
        <w:rPr>
          <w:rStyle w:val="af9"/>
          <w:rFonts w:ascii="Times New Roman" w:hAnsi="Times New Roman" w:cs="Times New Roman"/>
          <w:b w:val="0"/>
          <w:sz w:val="26"/>
          <w:szCs w:val="26"/>
        </w:rPr>
        <w:t>Рис.3.1.3.2.5 Ценообразующие факторы для земельных участков под МЖС</w:t>
      </w:r>
      <w:r w:rsidRPr="00E91C63">
        <w:rPr>
          <w:rStyle w:val="af2"/>
          <w:rFonts w:ascii="Times New Roman" w:hAnsi="Times New Roman" w:cs="Times New Roman"/>
          <w:b/>
          <w:sz w:val="26"/>
          <w:szCs w:val="26"/>
        </w:rPr>
        <w:footnoteReference w:id="67"/>
      </w:r>
    </w:p>
    <w:p w14:paraId="19338666" w14:textId="77777777" w:rsidR="00DB474C" w:rsidRPr="00E91C63" w:rsidRDefault="00DB474C" w:rsidP="00DB474C">
      <w:pPr>
        <w:spacing w:after="0" w:line="276" w:lineRule="auto"/>
        <w:ind w:firstLine="709"/>
        <w:jc w:val="both"/>
        <w:rPr>
          <w:rStyle w:val="af9"/>
          <w:rFonts w:ascii="Times New Roman" w:hAnsi="Times New Roman" w:cs="Times New Roman"/>
          <w:b w:val="0"/>
          <w:sz w:val="26"/>
          <w:szCs w:val="26"/>
        </w:rPr>
      </w:pPr>
      <w:r w:rsidRPr="00E91C63">
        <w:rPr>
          <w:rStyle w:val="af9"/>
          <w:rFonts w:ascii="Times New Roman" w:hAnsi="Times New Roman" w:cs="Times New Roman"/>
          <w:b w:val="0"/>
          <w:sz w:val="26"/>
          <w:szCs w:val="26"/>
        </w:rPr>
        <w:t>Данные факторы использованы для выделения основных ценообразующих факторов в исследуемом сегменте рынка, а также для идентификации сегмента рынка, к которому может быть отнесен объект оценки.</w:t>
      </w:r>
    </w:p>
    <w:p w14:paraId="68B7BB63" w14:textId="77777777" w:rsidR="00DB474C" w:rsidRDefault="00DB474C" w:rsidP="00DB474C">
      <w:pPr>
        <w:pStyle w:val="af5"/>
        <w:shd w:val="clear" w:color="auto" w:fill="FFFFFF"/>
        <w:spacing w:before="0" w:beforeAutospacing="0" w:after="0" w:afterAutospacing="0" w:line="276" w:lineRule="auto"/>
        <w:ind w:firstLine="709"/>
        <w:jc w:val="center"/>
        <w:rPr>
          <w:b/>
          <w:sz w:val="26"/>
          <w:szCs w:val="26"/>
        </w:rPr>
      </w:pPr>
    </w:p>
    <w:p w14:paraId="6B9CB7FA" w14:textId="77777777" w:rsidR="00DB474C" w:rsidRPr="002F245A" w:rsidRDefault="00DB474C" w:rsidP="00DB474C">
      <w:pPr>
        <w:pStyle w:val="3"/>
        <w:spacing w:line="276" w:lineRule="auto"/>
        <w:ind w:firstLine="709"/>
        <w:rPr>
          <w:rFonts w:cs="Times New Roman"/>
          <w:sz w:val="26"/>
          <w:szCs w:val="26"/>
        </w:rPr>
      </w:pPr>
      <w:bookmarkStart w:id="78" w:name="_Toc110506943"/>
      <w:r w:rsidRPr="002F245A">
        <w:rPr>
          <w:rFonts w:cs="Times New Roman"/>
          <w:sz w:val="26"/>
          <w:szCs w:val="26"/>
        </w:rPr>
        <w:t>3.1.3.3 Анализ рыночной информации по сегменту «Общественное использование»</w:t>
      </w:r>
      <w:bookmarkEnd w:id="78"/>
    </w:p>
    <w:p w14:paraId="764AEB0D" w14:textId="77777777" w:rsidR="00DB474C" w:rsidRPr="002F245A" w:rsidRDefault="00DB474C" w:rsidP="00DB474C">
      <w:pPr>
        <w:pStyle w:val="Textbody"/>
        <w:spacing w:after="0" w:line="276" w:lineRule="auto"/>
        <w:ind w:firstLine="709"/>
        <w:jc w:val="both"/>
        <w:rPr>
          <w:rFonts w:ascii="Times New Roman" w:hAnsi="Times New Roman" w:cs="Times New Roman"/>
          <w:sz w:val="26"/>
          <w:szCs w:val="26"/>
          <w:lang w:val="ru-RU"/>
        </w:rPr>
      </w:pPr>
      <w:r w:rsidRPr="002F245A">
        <w:rPr>
          <w:rFonts w:ascii="Times New Roman" w:hAnsi="Times New Roman" w:cs="Times New Roman"/>
          <w:sz w:val="26"/>
          <w:szCs w:val="26"/>
          <w:lang w:val="ru-RU"/>
        </w:rPr>
        <w:t xml:space="preserve">К сегменту «Общественное использование» относятся земельные участки со следующими видами разрешенного использования: коммунальное обслуживание, социальное обслуживание, бытовое обслуживание, здравоохранение, образование и просвещение, культурное развитие, религиозное использование, общественное управление, обеспечение научной деятельности, ветеринарное обслуживание, спорт, природно-познавательный туризм, обеспечение внутреннего правопорядка, историко-культурная деятельность. </w:t>
      </w:r>
      <w:r w:rsidRPr="002F245A">
        <w:rPr>
          <w:rFonts w:ascii="Times New Roman" w:eastAsia="Calibri" w:hAnsi="Times New Roman" w:cs="Times New Roman"/>
          <w:sz w:val="26"/>
          <w:szCs w:val="26"/>
          <w:lang w:val="ru-RU" w:eastAsia="en-US"/>
        </w:rPr>
        <w:t>Как правило, земельные участки данного сегмента тяготеют к крупнонаселенным пунктам и городам Воронежской области.</w:t>
      </w:r>
    </w:p>
    <w:p w14:paraId="33284E08" w14:textId="77777777" w:rsidR="00DB474C" w:rsidRPr="002F245A" w:rsidRDefault="00DB474C" w:rsidP="00DB474C">
      <w:pPr>
        <w:spacing w:after="0" w:line="276" w:lineRule="auto"/>
        <w:ind w:firstLine="709"/>
        <w:contextualSpacing/>
        <w:jc w:val="both"/>
        <w:rPr>
          <w:rFonts w:ascii="Times New Roman" w:hAnsi="Times New Roman" w:cs="Times New Roman"/>
          <w:sz w:val="26"/>
          <w:szCs w:val="26"/>
        </w:rPr>
      </w:pPr>
      <w:r w:rsidRPr="002F245A">
        <w:rPr>
          <w:rFonts w:ascii="Times New Roman" w:hAnsi="Times New Roman" w:cs="Times New Roman"/>
          <w:sz w:val="26"/>
          <w:szCs w:val="26"/>
        </w:rPr>
        <w:t>Согласно закону Воронежской Области «О стратегии социально-экономического развития Воронежской области до 2035 года» одной из стратегических целей развития региона является развитие</w:t>
      </w:r>
      <w:r w:rsidRPr="002F245A">
        <w:rPr>
          <w:rFonts w:ascii="Times New Roman" w:hAnsi="Times New Roman" w:cs="Times New Roman"/>
          <w:iCs/>
          <w:sz w:val="26"/>
          <w:szCs w:val="26"/>
        </w:rPr>
        <w:t xml:space="preserve"> экспортной деятельности хозяйствующих субъектов, расширение международного сотрудничества Воронежской области в секторах "новой экономики", ключевых сферах развития человеческого капитала (образование, культура, наука, здравоохранение, спорт).</w:t>
      </w:r>
    </w:p>
    <w:p w14:paraId="2C464992" w14:textId="77777777" w:rsidR="00DB474C" w:rsidRPr="002F245A" w:rsidRDefault="00DB474C" w:rsidP="00DB474C">
      <w:pPr>
        <w:autoSpaceDE w:val="0"/>
        <w:autoSpaceDN w:val="0"/>
        <w:adjustRightInd w:val="0"/>
        <w:spacing w:after="0" w:line="276" w:lineRule="auto"/>
        <w:ind w:firstLine="709"/>
        <w:jc w:val="both"/>
        <w:rPr>
          <w:rFonts w:ascii="Times New Roman" w:hAnsi="Times New Roman" w:cs="Times New Roman"/>
          <w:sz w:val="24"/>
          <w:szCs w:val="24"/>
        </w:rPr>
      </w:pPr>
      <w:r w:rsidRPr="002F245A">
        <w:rPr>
          <w:rFonts w:ascii="Times New Roman" w:hAnsi="Times New Roman" w:cs="Times New Roman"/>
          <w:sz w:val="26"/>
          <w:szCs w:val="26"/>
        </w:rPr>
        <w:t xml:space="preserve">Воронежская область в ЦФО занимает ведущие позиции по качеству высшего образования, что подтверждается национальными рейтингами. Система образования городского округа город Воронеж включает в себя 320 различных образовательных учреждений, в том числе: </w:t>
      </w:r>
      <w:r w:rsidRPr="002F245A">
        <w:rPr>
          <w:rFonts w:ascii="Times New Roman" w:hAnsi="Times New Roman" w:cs="Times New Roman"/>
          <w:sz w:val="26"/>
          <w:szCs w:val="26"/>
        </w:rPr>
        <w:sym w:font="Symbol" w:char="F02D"/>
      </w:r>
      <w:r w:rsidRPr="002F245A">
        <w:rPr>
          <w:rFonts w:ascii="Times New Roman" w:hAnsi="Times New Roman" w:cs="Times New Roman"/>
          <w:sz w:val="26"/>
          <w:szCs w:val="26"/>
        </w:rPr>
        <w:t xml:space="preserve"> 123 образовательных учреждения, реализующих программы общего образования, с числом обучающихся около 92 000 человек; </w:t>
      </w:r>
      <w:r w:rsidRPr="002F245A">
        <w:rPr>
          <w:rFonts w:ascii="Times New Roman" w:hAnsi="Times New Roman" w:cs="Times New Roman"/>
          <w:sz w:val="26"/>
          <w:szCs w:val="26"/>
        </w:rPr>
        <w:sym w:font="Symbol" w:char="F02D"/>
      </w:r>
      <w:r w:rsidRPr="002F245A">
        <w:rPr>
          <w:rFonts w:ascii="Times New Roman" w:hAnsi="Times New Roman" w:cs="Times New Roman"/>
          <w:sz w:val="26"/>
          <w:szCs w:val="26"/>
        </w:rPr>
        <w:t xml:space="preserve"> 180 дошкольных образовательных учреждений с количеством воспитанников около 50 000 человек; </w:t>
      </w:r>
      <w:r w:rsidRPr="002F245A">
        <w:rPr>
          <w:rFonts w:ascii="Times New Roman" w:hAnsi="Times New Roman" w:cs="Times New Roman"/>
          <w:sz w:val="26"/>
          <w:szCs w:val="26"/>
        </w:rPr>
        <w:sym w:font="Symbol" w:char="F02D"/>
      </w:r>
      <w:r w:rsidRPr="002F245A">
        <w:rPr>
          <w:rFonts w:ascii="Times New Roman" w:hAnsi="Times New Roman" w:cs="Times New Roman"/>
          <w:sz w:val="26"/>
          <w:szCs w:val="26"/>
        </w:rPr>
        <w:t xml:space="preserve"> 17 многопрофильных учреждений дополнительного образования детей, в которых занимается около 42 000 человек</w:t>
      </w:r>
      <w:r w:rsidRPr="002F245A">
        <w:rPr>
          <w:rStyle w:val="af2"/>
          <w:rFonts w:ascii="Times New Roman" w:hAnsi="Times New Roman" w:cs="Times New Roman"/>
          <w:sz w:val="26"/>
          <w:szCs w:val="26"/>
        </w:rPr>
        <w:footnoteReference w:id="68"/>
      </w:r>
      <w:r w:rsidRPr="002F245A">
        <w:rPr>
          <w:rFonts w:ascii="Times New Roman" w:hAnsi="Times New Roman" w:cs="Times New Roman"/>
          <w:sz w:val="26"/>
          <w:szCs w:val="26"/>
        </w:rPr>
        <w:t xml:space="preserve">. </w:t>
      </w:r>
      <w:r w:rsidRPr="002F245A">
        <w:rPr>
          <w:rFonts w:ascii="Times New Roman" w:hAnsi="Times New Roman" w:cs="Times New Roman"/>
          <w:sz w:val="26"/>
          <w:szCs w:val="26"/>
          <w:shd w:val="clear" w:color="auto" w:fill="FFFFFF"/>
        </w:rPr>
        <w:t>В г. Воронеж для поступления в средние профессиональные и высшие учебные заведения съезжаются со всего Черноземья. Всего в Воронеже 30 вузов, в рейтинге среди регионов Российской Федерации город занимает 5-е место</w:t>
      </w:r>
      <w:r w:rsidRPr="002F245A">
        <w:rPr>
          <w:rStyle w:val="af2"/>
          <w:rFonts w:ascii="Times New Roman" w:hAnsi="Times New Roman" w:cs="Times New Roman"/>
          <w:sz w:val="24"/>
          <w:szCs w:val="24"/>
          <w:shd w:val="clear" w:color="auto" w:fill="FFFFFF"/>
        </w:rPr>
        <w:footnoteReference w:id="69"/>
      </w:r>
      <w:r w:rsidRPr="002F245A">
        <w:rPr>
          <w:rFonts w:ascii="Times New Roman" w:hAnsi="Times New Roman" w:cs="Times New Roman"/>
          <w:sz w:val="24"/>
          <w:szCs w:val="24"/>
          <w:shd w:val="clear" w:color="auto" w:fill="FFFFFF"/>
        </w:rPr>
        <w:t>.</w:t>
      </w:r>
    </w:p>
    <w:p w14:paraId="1F813684" w14:textId="77777777" w:rsidR="00DB474C" w:rsidRPr="002F245A" w:rsidRDefault="00DB474C" w:rsidP="00DB474C">
      <w:pPr>
        <w:pStyle w:val="Standard"/>
        <w:spacing w:line="276" w:lineRule="auto"/>
        <w:ind w:firstLine="709"/>
        <w:jc w:val="both"/>
        <w:rPr>
          <w:sz w:val="26"/>
          <w:szCs w:val="26"/>
        </w:rPr>
      </w:pPr>
      <w:r w:rsidRPr="002F245A">
        <w:rPr>
          <w:sz w:val="26"/>
          <w:szCs w:val="26"/>
        </w:rPr>
        <w:t>Воронеж является культурным центром Воронежской области и Черноземья. В городе развивается театральное искусство, работают музеи, библиотеки, выставочные залы, действуют кинотеатры, филармония, цирк и зоопарк, обустроены 15 парков культуры и отдыха (городских садов).</w:t>
      </w:r>
    </w:p>
    <w:p w14:paraId="3B151C94" w14:textId="77777777" w:rsidR="00DB474C" w:rsidRPr="002F245A" w:rsidRDefault="00DB474C" w:rsidP="00DB474C">
      <w:pPr>
        <w:spacing w:after="0" w:line="276" w:lineRule="auto"/>
        <w:ind w:firstLine="709"/>
        <w:contextualSpacing/>
        <w:jc w:val="both"/>
        <w:rPr>
          <w:rFonts w:ascii="Times New Roman" w:eastAsia="Calibri" w:hAnsi="Times New Roman" w:cs="Times New Roman"/>
          <w:sz w:val="26"/>
          <w:szCs w:val="26"/>
        </w:rPr>
      </w:pPr>
      <w:r w:rsidRPr="002F245A">
        <w:rPr>
          <w:rFonts w:ascii="Times New Roman" w:eastAsia="Calibri" w:hAnsi="Times New Roman" w:cs="Times New Roman"/>
          <w:sz w:val="26"/>
          <w:szCs w:val="26"/>
        </w:rPr>
        <w:t xml:space="preserve">Расположение объектов, предназначенных для обеспечения здравоохранения, повсеместное, так как их число и расположение определяется в зависимости от численности обслуживаемого населения. </w:t>
      </w:r>
    </w:p>
    <w:p w14:paraId="33F61D34" w14:textId="77777777" w:rsidR="00DB474C" w:rsidRPr="002F245A" w:rsidRDefault="00DB474C" w:rsidP="00DB474C">
      <w:pPr>
        <w:spacing w:after="0" w:line="276" w:lineRule="auto"/>
        <w:ind w:firstLine="709"/>
        <w:contextualSpacing/>
        <w:jc w:val="both"/>
        <w:rPr>
          <w:rFonts w:ascii="Times New Roman" w:eastAsia="Calibri" w:hAnsi="Times New Roman" w:cs="Times New Roman"/>
          <w:sz w:val="26"/>
          <w:szCs w:val="26"/>
        </w:rPr>
      </w:pPr>
      <w:r w:rsidRPr="002F245A">
        <w:rPr>
          <w:rFonts w:ascii="Times New Roman" w:hAnsi="Times New Roman" w:cs="Times New Roman"/>
          <w:sz w:val="26"/>
          <w:szCs w:val="26"/>
          <w:shd w:val="clear" w:color="auto" w:fill="FFFFFF"/>
        </w:rPr>
        <w:t>Объекты спорта расположены в основном в городских и сельских населенных пунктах с наибольшей</w:t>
      </w:r>
      <w:r w:rsidRPr="002F245A">
        <w:rPr>
          <w:rFonts w:ascii="Times New Roman" w:eastAsia="Calibri" w:hAnsi="Times New Roman" w:cs="Times New Roman"/>
          <w:sz w:val="26"/>
          <w:szCs w:val="26"/>
        </w:rPr>
        <w:t xml:space="preserve"> численностью населения по региону. </w:t>
      </w:r>
    </w:p>
    <w:p w14:paraId="03CB19A7" w14:textId="77777777" w:rsidR="00DB474C" w:rsidRDefault="00DB474C" w:rsidP="00DB474C">
      <w:pPr>
        <w:spacing w:after="0" w:line="276" w:lineRule="auto"/>
        <w:ind w:firstLine="709"/>
        <w:contextualSpacing/>
        <w:jc w:val="both"/>
        <w:rPr>
          <w:rFonts w:ascii="Times New Roman" w:eastAsia="Calibri" w:hAnsi="Times New Roman" w:cs="Times New Roman"/>
          <w:sz w:val="26"/>
          <w:szCs w:val="26"/>
        </w:rPr>
      </w:pPr>
      <w:r w:rsidRPr="002F245A">
        <w:rPr>
          <w:rFonts w:ascii="Times New Roman" w:hAnsi="Times New Roman" w:cs="Times New Roman"/>
          <w:sz w:val="26"/>
          <w:szCs w:val="26"/>
        </w:rPr>
        <w:t xml:space="preserve">Объекты коммунально-бытового назначения - объекты коммунального хозяйства и объекты бытового обслуживания, предназначенные для проживания граждан, обслуживания населения, а также промышленных и иных объектов. К объектам бытового обслуживания относятся: мастерские и ателье, бани, прачечные и химчистки, парикмахерские, похоронные бюро. Что касается коммунального обслуживания, </w:t>
      </w:r>
      <w:r w:rsidRPr="002F245A">
        <w:rPr>
          <w:rFonts w:ascii="Times New Roman" w:eastAsia="Calibri" w:hAnsi="Times New Roman" w:cs="Times New Roman"/>
          <w:sz w:val="26"/>
          <w:szCs w:val="26"/>
        </w:rPr>
        <w:t>в некоторых сельских населенных пунктах нет общей водопроводной и канализационной системы, поэтому нет организаций, занимающихся обслуживанием этих систем. Расположение объектов, предназначенных для коммунального обслуживания, повсеместное, так как их число и расположение определяется в зависимости от численности обслуживаемого населения.</w:t>
      </w:r>
    </w:p>
    <w:p w14:paraId="21A3D344" w14:textId="77777777" w:rsidR="00DB474C" w:rsidRPr="00E91C63" w:rsidRDefault="00DB474C" w:rsidP="00DB474C">
      <w:pPr>
        <w:spacing w:before="120" w:after="0" w:line="276" w:lineRule="auto"/>
        <w:jc w:val="center"/>
        <w:rPr>
          <w:rStyle w:val="af9"/>
          <w:rFonts w:ascii="Times New Roman" w:hAnsi="Times New Roman" w:cs="Times New Roman"/>
          <w:i/>
          <w:sz w:val="26"/>
          <w:szCs w:val="26"/>
        </w:rPr>
      </w:pPr>
      <w:r w:rsidRPr="00E91C63">
        <w:rPr>
          <w:rStyle w:val="af9"/>
          <w:rFonts w:ascii="Times New Roman" w:hAnsi="Times New Roman" w:cs="Times New Roman"/>
          <w:i/>
          <w:sz w:val="26"/>
          <w:szCs w:val="26"/>
        </w:rPr>
        <w:t>Собранная исполнителем рыночная информация</w:t>
      </w:r>
    </w:p>
    <w:p w14:paraId="24ECA901" w14:textId="77777777" w:rsidR="00DB474C" w:rsidRPr="00432FB8" w:rsidRDefault="00DB474C" w:rsidP="00DB474C">
      <w:pPr>
        <w:spacing w:after="0" w:line="300" w:lineRule="auto"/>
        <w:ind w:firstLine="709"/>
        <w:jc w:val="both"/>
        <w:rPr>
          <w:rFonts w:ascii="Times New Roman" w:hAnsi="Times New Roman" w:cs="Times New Roman"/>
          <w:sz w:val="26"/>
          <w:szCs w:val="26"/>
        </w:rPr>
      </w:pPr>
      <w:r w:rsidRPr="00432FB8">
        <w:rPr>
          <w:rFonts w:ascii="Times New Roman" w:hAnsi="Times New Roman" w:cs="Times New Roman"/>
          <w:sz w:val="26"/>
          <w:szCs w:val="26"/>
        </w:rPr>
        <w:t xml:space="preserve">Для анализа рынка </w:t>
      </w:r>
      <w:r>
        <w:rPr>
          <w:rFonts w:ascii="Times New Roman" w:hAnsi="Times New Roman" w:cs="Times New Roman"/>
          <w:sz w:val="26"/>
          <w:szCs w:val="26"/>
        </w:rPr>
        <w:t>3</w:t>
      </w:r>
      <w:r w:rsidRPr="00432FB8">
        <w:rPr>
          <w:rFonts w:ascii="Times New Roman" w:hAnsi="Times New Roman" w:cs="Times New Roman"/>
          <w:sz w:val="26"/>
          <w:szCs w:val="26"/>
        </w:rPr>
        <w:t xml:space="preserve"> сегмента «</w:t>
      </w:r>
      <w:r>
        <w:rPr>
          <w:rFonts w:ascii="Times New Roman" w:hAnsi="Times New Roman" w:cs="Times New Roman"/>
          <w:sz w:val="26"/>
          <w:szCs w:val="26"/>
        </w:rPr>
        <w:t>Общественное использование</w:t>
      </w:r>
      <w:r w:rsidRPr="00432FB8">
        <w:rPr>
          <w:rFonts w:ascii="Times New Roman" w:hAnsi="Times New Roman" w:cs="Times New Roman"/>
          <w:sz w:val="26"/>
          <w:szCs w:val="26"/>
        </w:rPr>
        <w:t xml:space="preserve">» выполнен сбор информации о сделках и предложениях, представленных на первичном и вторичном рынках недвижимости Воронежской области. </w:t>
      </w:r>
    </w:p>
    <w:p w14:paraId="261C41EA" w14:textId="77777777" w:rsidR="00DB474C" w:rsidRPr="00432FB8" w:rsidRDefault="00DB474C" w:rsidP="00DB474C">
      <w:pPr>
        <w:spacing w:after="0" w:line="276" w:lineRule="auto"/>
        <w:ind w:firstLine="708"/>
        <w:jc w:val="both"/>
        <w:rPr>
          <w:rFonts w:ascii="Times New Roman" w:hAnsi="Times New Roman" w:cs="Times New Roman"/>
          <w:sz w:val="26"/>
          <w:szCs w:val="26"/>
        </w:rPr>
      </w:pPr>
      <w:r w:rsidRPr="00432FB8">
        <w:rPr>
          <w:rFonts w:ascii="Times New Roman" w:hAnsi="Times New Roman" w:cs="Times New Roman"/>
          <w:sz w:val="26"/>
          <w:szCs w:val="26"/>
        </w:rPr>
        <w:t>Первичный рынок недвижимости представляет собой свод информации о сделках, осуществленных органами местного самоуправления, заключенных по результатам проведения торгов на территории Воронежской области, а также данные Управления Росреестра по Воронежской области. Вторичный рынок представляет собой предложения по продаже, представленные на сайтах для размещения объявлений, в газетах и т.д.</w:t>
      </w:r>
    </w:p>
    <w:p w14:paraId="25196A7A" w14:textId="161D6693" w:rsidR="00DB474C" w:rsidRPr="00432FB8" w:rsidRDefault="00DB474C" w:rsidP="00DB474C">
      <w:pPr>
        <w:spacing w:after="0" w:line="300" w:lineRule="auto"/>
        <w:ind w:firstLine="709"/>
        <w:jc w:val="both"/>
        <w:rPr>
          <w:rFonts w:ascii="Times New Roman" w:hAnsi="Times New Roman" w:cs="Times New Roman"/>
          <w:sz w:val="26"/>
          <w:szCs w:val="26"/>
        </w:rPr>
      </w:pPr>
      <w:r w:rsidRPr="00432FB8">
        <w:rPr>
          <w:rFonts w:ascii="Times New Roman" w:hAnsi="Times New Roman" w:cs="Times New Roman"/>
          <w:sz w:val="26"/>
          <w:szCs w:val="26"/>
        </w:rPr>
        <w:t xml:space="preserve">Информация о предложениях (сделках) представлена в </w:t>
      </w:r>
      <w:r w:rsidR="007B7DEB" w:rsidRPr="002F245A">
        <w:rPr>
          <w:rFonts w:ascii="Times New Roman" w:hAnsi="Times New Roman" w:cs="Times New Roman"/>
          <w:sz w:val="26"/>
          <w:szCs w:val="26"/>
        </w:rPr>
        <w:t xml:space="preserve">Приложении </w:t>
      </w:r>
      <w:r w:rsidR="007B7DEB">
        <w:rPr>
          <w:rFonts w:ascii="Times New Roman" w:hAnsi="Times New Roman" w:cs="Times New Roman"/>
          <w:sz w:val="26"/>
          <w:szCs w:val="26"/>
        </w:rPr>
        <w:t>1/1.6/</w:t>
      </w:r>
      <w:r w:rsidR="007B7DEB" w:rsidRPr="00D15360">
        <w:rPr>
          <w:rFonts w:ascii="Times New Roman" w:hAnsi="Times New Roman" w:cs="Times New Roman"/>
          <w:sz w:val="26"/>
          <w:szCs w:val="26"/>
        </w:rPr>
        <w:t>1.6.2</w:t>
      </w:r>
      <w:r w:rsidR="007B7DEB">
        <w:rPr>
          <w:rFonts w:ascii="Times New Roman" w:hAnsi="Times New Roman" w:cs="Times New Roman"/>
          <w:sz w:val="26"/>
          <w:szCs w:val="26"/>
        </w:rPr>
        <w:t xml:space="preserve"> и Приложении 5.</w:t>
      </w:r>
      <w:r w:rsidRPr="00432FB8">
        <w:rPr>
          <w:rFonts w:ascii="Times New Roman" w:hAnsi="Times New Roman" w:cs="Times New Roman"/>
          <w:sz w:val="26"/>
          <w:szCs w:val="26"/>
        </w:rPr>
        <w:t xml:space="preserve"> </w:t>
      </w:r>
    </w:p>
    <w:p w14:paraId="5B169433" w14:textId="77777777" w:rsidR="00DB474C" w:rsidRPr="00793163" w:rsidRDefault="00DB474C" w:rsidP="00DB474C">
      <w:pPr>
        <w:spacing w:after="0" w:line="300" w:lineRule="auto"/>
        <w:ind w:firstLine="709"/>
        <w:jc w:val="both"/>
        <w:rPr>
          <w:rFonts w:ascii="Times New Roman" w:hAnsi="Times New Roman" w:cs="Times New Roman"/>
          <w:sz w:val="26"/>
          <w:szCs w:val="26"/>
        </w:rPr>
      </w:pPr>
      <w:r w:rsidRPr="00AD2968">
        <w:rPr>
          <w:rFonts w:ascii="Times New Roman" w:hAnsi="Times New Roman" w:cs="Times New Roman"/>
          <w:sz w:val="26"/>
          <w:szCs w:val="26"/>
        </w:rPr>
        <w:t xml:space="preserve">Рынок земельных участков </w:t>
      </w:r>
      <w:r>
        <w:rPr>
          <w:rFonts w:ascii="Times New Roman" w:hAnsi="Times New Roman" w:cs="Times New Roman"/>
          <w:sz w:val="26"/>
          <w:szCs w:val="26"/>
        </w:rPr>
        <w:t>3</w:t>
      </w:r>
      <w:r w:rsidRPr="00AD2968">
        <w:rPr>
          <w:rFonts w:ascii="Times New Roman" w:hAnsi="Times New Roman" w:cs="Times New Roman"/>
          <w:sz w:val="26"/>
          <w:szCs w:val="26"/>
        </w:rPr>
        <w:t xml:space="preserve"> сегмента по Воронежской области развит слабо.</w:t>
      </w:r>
      <w:r>
        <w:rPr>
          <w:rFonts w:ascii="Times New Roman" w:hAnsi="Times New Roman" w:cs="Times New Roman"/>
          <w:sz w:val="26"/>
          <w:szCs w:val="26"/>
        </w:rPr>
        <w:t xml:space="preserve"> </w:t>
      </w:r>
      <w:r w:rsidRPr="00793163">
        <w:rPr>
          <w:rFonts w:ascii="Times New Roman" w:hAnsi="Times New Roman" w:cs="Times New Roman"/>
          <w:sz w:val="26"/>
          <w:szCs w:val="26"/>
        </w:rPr>
        <w:t xml:space="preserve">Таким образом, на рынке недвижимости </w:t>
      </w:r>
      <w:r>
        <w:rPr>
          <w:rFonts w:ascii="Times New Roman" w:hAnsi="Times New Roman" w:cs="Times New Roman"/>
          <w:sz w:val="26"/>
          <w:szCs w:val="26"/>
        </w:rPr>
        <w:t>3</w:t>
      </w:r>
      <w:r w:rsidRPr="00793163">
        <w:rPr>
          <w:rFonts w:ascii="Times New Roman" w:hAnsi="Times New Roman" w:cs="Times New Roman"/>
          <w:sz w:val="26"/>
          <w:szCs w:val="26"/>
        </w:rPr>
        <w:t xml:space="preserve"> сегмента Воронежской области представлен</w:t>
      </w:r>
      <w:r w:rsidRPr="00D056FC">
        <w:rPr>
          <w:rFonts w:ascii="Times New Roman" w:hAnsi="Times New Roman" w:cs="Times New Roman"/>
          <w:sz w:val="26"/>
          <w:szCs w:val="26"/>
        </w:rPr>
        <w:t xml:space="preserve">о 154 предложений </w:t>
      </w:r>
      <w:r w:rsidRPr="00793163">
        <w:rPr>
          <w:rFonts w:ascii="Times New Roman" w:hAnsi="Times New Roman" w:cs="Times New Roman"/>
          <w:sz w:val="26"/>
          <w:szCs w:val="26"/>
        </w:rPr>
        <w:t xml:space="preserve">(сделок). </w:t>
      </w:r>
    </w:p>
    <w:p w14:paraId="0C40461E" w14:textId="77777777" w:rsidR="00DB474C" w:rsidRPr="00AE056E" w:rsidRDefault="00DB474C" w:rsidP="00DB474C">
      <w:pPr>
        <w:spacing w:after="0" w:line="276" w:lineRule="auto"/>
        <w:ind w:firstLine="567"/>
        <w:jc w:val="both"/>
        <w:rPr>
          <w:rFonts w:ascii="Times New Roman" w:hAnsi="Times New Roman" w:cs="Times New Roman"/>
          <w:sz w:val="26"/>
          <w:szCs w:val="26"/>
        </w:rPr>
      </w:pPr>
      <w:r w:rsidRPr="00AD2968">
        <w:rPr>
          <w:rFonts w:ascii="Times New Roman" w:hAnsi="Times New Roman" w:cs="Times New Roman"/>
          <w:sz w:val="26"/>
          <w:szCs w:val="26"/>
        </w:rPr>
        <w:t>Так как используемая рыночная информация неоднородна, в целях возможности ее сопоставления для дальнейшего анализа к ценам предложений (сделок) применены корректировки, описание которых представлено далее.</w:t>
      </w:r>
    </w:p>
    <w:p w14:paraId="18CE9B5B" w14:textId="77777777" w:rsidR="00DB474C" w:rsidRPr="00476A16" w:rsidRDefault="00DB474C" w:rsidP="00DB474C">
      <w:pPr>
        <w:spacing w:before="120" w:after="0" w:line="276" w:lineRule="auto"/>
        <w:jc w:val="center"/>
        <w:rPr>
          <w:rFonts w:ascii="Times New Roman" w:hAnsi="Times New Roman" w:cs="Times New Roman"/>
          <w:i/>
          <w:sz w:val="26"/>
          <w:szCs w:val="26"/>
        </w:rPr>
      </w:pPr>
      <w:r w:rsidRPr="00476A16">
        <w:rPr>
          <w:rFonts w:ascii="Times New Roman" w:hAnsi="Times New Roman" w:cs="Times New Roman"/>
          <w:i/>
          <w:sz w:val="26"/>
          <w:szCs w:val="26"/>
        </w:rPr>
        <w:t>Корректировка на торг</w:t>
      </w:r>
    </w:p>
    <w:p w14:paraId="492ABD36" w14:textId="77777777" w:rsidR="00DB474C" w:rsidRDefault="00DB474C" w:rsidP="00DB474C">
      <w:pPr>
        <w:spacing w:before="120" w:after="0" w:line="300" w:lineRule="auto"/>
        <w:ind w:firstLine="567"/>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При продаже земельных участков на рынке недвижимости возможно снижение цены сделки за счет уторговывания. </w:t>
      </w:r>
      <w:r>
        <w:rPr>
          <w:rFonts w:ascii="Times New Roman" w:eastAsia="Times New Roman" w:hAnsi="Times New Roman" w:cs="Times New Roman"/>
          <w:sz w:val="26"/>
          <w:szCs w:val="26"/>
          <w:lang w:eastAsia="ru-RU"/>
        </w:rPr>
        <w:t xml:space="preserve">Так как в представленной рыночной выборке содержится информация и по предложениям, и по сделкам, удельные показатели цены предложения по продаже объектов-аналогов были скорректированы на тип сделки (скидка на торг). </w:t>
      </w:r>
      <w:r>
        <w:rPr>
          <w:rFonts w:ascii="Times New Roman" w:eastAsia="Calibri" w:hAnsi="Times New Roman" w:cs="Times New Roman"/>
          <w:sz w:val="26"/>
          <w:szCs w:val="26"/>
        </w:rPr>
        <w:t>Величина скидки на торг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65" w:history="1">
        <w:r w:rsidRPr="00476A16">
          <w:rPr>
            <w:rStyle w:val="ad"/>
            <w:rFonts w:ascii="Times New Roman" w:hAnsi="Times New Roman" w:cs="Times New Roman"/>
            <w:sz w:val="26"/>
            <w:szCs w:val="26"/>
          </w:rPr>
          <w:t>https://statrielt.ru/</w:t>
        </w:r>
      </w:hyperlink>
      <w:r w:rsidRPr="00476A16">
        <w:rPr>
          <w:rFonts w:ascii="Times New Roman" w:hAnsi="Times New Roman" w:cs="Times New Roman"/>
          <w:sz w:val="26"/>
          <w:szCs w:val="26"/>
        </w:rPr>
        <w:t>).</w:t>
      </w:r>
    </w:p>
    <w:p w14:paraId="07A9A194" w14:textId="77777777" w:rsidR="00DB474C" w:rsidRDefault="00DB474C" w:rsidP="00DB474C">
      <w:pPr>
        <w:jc w:val="both"/>
      </w:pPr>
      <w:r w:rsidRPr="00376FBD">
        <w:rPr>
          <w:noProof/>
          <w:lang w:eastAsia="ru-RU"/>
        </w:rPr>
        <w:drawing>
          <wp:inline distT="0" distB="0" distL="0" distR="0" wp14:anchorId="379CC45D" wp14:editId="1425F9F5">
            <wp:extent cx="5940425" cy="3869690"/>
            <wp:effectExtent l="0" t="0" r="3175"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869690"/>
                    </a:xfrm>
                    <a:prstGeom prst="rect">
                      <a:avLst/>
                    </a:prstGeom>
                  </pic:spPr>
                </pic:pic>
              </a:graphicData>
            </a:graphic>
          </wp:inline>
        </w:drawing>
      </w:r>
    </w:p>
    <w:p w14:paraId="11A85FE5" w14:textId="71035858" w:rsidR="00DB474C" w:rsidRDefault="00DB474C" w:rsidP="00DB474C">
      <w:pPr>
        <w:spacing w:after="0" w:line="300" w:lineRule="auto"/>
        <w:ind w:firstLine="567"/>
        <w:jc w:val="center"/>
        <w:rPr>
          <w:rFonts w:ascii="Times New Roman" w:eastAsia="Calibri" w:hAnsi="Times New Roman" w:cs="Times New Roman"/>
          <w:sz w:val="26"/>
          <w:szCs w:val="26"/>
        </w:rPr>
      </w:pPr>
      <w:r>
        <w:rPr>
          <w:rFonts w:ascii="Times New Roman" w:eastAsia="Calibri" w:hAnsi="Times New Roman" w:cs="Times New Roman"/>
          <w:sz w:val="26"/>
          <w:szCs w:val="26"/>
        </w:rPr>
        <w:t>Рис.3.1.3.3.1- Скидка на торг, уторгование при продаже земельных участков на 01.01.2022 года по данным некоммерческой организации «Ассоциация развития рынка недвижимости «СтатРиелт»</w:t>
      </w:r>
      <w:r w:rsidR="00E91C63">
        <w:rPr>
          <w:rStyle w:val="af2"/>
          <w:rFonts w:ascii="Times New Roman" w:eastAsia="Calibri" w:hAnsi="Times New Roman" w:cs="Times New Roman"/>
          <w:sz w:val="26"/>
          <w:szCs w:val="26"/>
        </w:rPr>
        <w:footnoteReference w:id="70"/>
      </w:r>
    </w:p>
    <w:p w14:paraId="03737F5B" w14:textId="77777777" w:rsidR="00DB474C" w:rsidRDefault="00DB474C" w:rsidP="00DB474C">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данном случае размер скидки на торг принимаем как для земель населенных пунктов для смешанной коммерческой застройки, значения лежат в доверительном интервале от 0,90 до 0,97 и в среднем по РФ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94</w:t>
      </w:r>
      <w:r>
        <w:rPr>
          <w:rFonts w:ascii="Times New Roman" w:eastAsia="Calibri" w:hAnsi="Times New Roman" w:cs="Times New Roman"/>
          <w:sz w:val="26"/>
          <w:szCs w:val="26"/>
        </w:rPr>
        <w:t xml:space="preserve"> (раздел «</w:t>
      </w:r>
      <w:r w:rsidRPr="00CB1B3C">
        <w:rPr>
          <w:rFonts w:ascii="Times New Roman" w:hAnsi="Times New Roman" w:cs="Times New Roman"/>
          <w:sz w:val="26"/>
          <w:szCs w:val="26"/>
        </w:rPr>
        <w:t>Скидка на торг, уторгование при продаже земельных участков на 01.</w:t>
      </w:r>
      <w:r>
        <w:rPr>
          <w:rFonts w:ascii="Times New Roman" w:hAnsi="Times New Roman" w:cs="Times New Roman"/>
          <w:sz w:val="26"/>
          <w:szCs w:val="26"/>
        </w:rPr>
        <w:t>01</w:t>
      </w:r>
      <w:r w:rsidRPr="00CB1B3C">
        <w:rPr>
          <w:rFonts w:ascii="Times New Roman" w:hAnsi="Times New Roman" w:cs="Times New Roman"/>
          <w:sz w:val="26"/>
          <w:szCs w:val="26"/>
        </w:rPr>
        <w:t>.202</w:t>
      </w:r>
      <w:r>
        <w:rPr>
          <w:rFonts w:ascii="Times New Roman" w:hAnsi="Times New Roman" w:cs="Times New Roman"/>
          <w:sz w:val="26"/>
          <w:szCs w:val="26"/>
        </w:rPr>
        <w:t>2</w:t>
      </w:r>
      <w:r w:rsidRPr="00CB1B3C">
        <w:rPr>
          <w:rFonts w:ascii="Times New Roman" w:hAnsi="Times New Roman" w:cs="Times New Roman"/>
          <w:sz w:val="26"/>
          <w:szCs w:val="26"/>
        </w:rPr>
        <w:t xml:space="preserve"> года</w:t>
      </w:r>
      <w:r>
        <w:rPr>
          <w:rFonts w:ascii="Times New Roman" w:hAnsi="Times New Roman" w:cs="Times New Roman"/>
          <w:sz w:val="26"/>
          <w:szCs w:val="26"/>
        </w:rPr>
        <w:t>»)</w:t>
      </w:r>
      <w:r>
        <w:rPr>
          <w:rFonts w:ascii="Times New Roman" w:eastAsia="Calibri" w:hAnsi="Times New Roman" w:cs="Times New Roman"/>
          <w:sz w:val="26"/>
          <w:szCs w:val="26"/>
        </w:rPr>
        <w:t>. Принято среднее значение диапазона.</w:t>
      </w:r>
    </w:p>
    <w:p w14:paraId="00E96B27" w14:textId="77777777" w:rsidR="00DB474C" w:rsidRPr="00476A16" w:rsidRDefault="00DB474C" w:rsidP="00DB474C">
      <w:pPr>
        <w:spacing w:before="120" w:after="0" w:line="276" w:lineRule="auto"/>
        <w:jc w:val="center"/>
        <w:rPr>
          <w:rFonts w:ascii="Times New Roman" w:hAnsi="Times New Roman" w:cs="Times New Roman"/>
          <w:i/>
          <w:sz w:val="26"/>
          <w:szCs w:val="26"/>
        </w:rPr>
      </w:pPr>
      <w:r w:rsidRPr="00476A16">
        <w:rPr>
          <w:rFonts w:ascii="Times New Roman" w:hAnsi="Times New Roman" w:cs="Times New Roman"/>
          <w:i/>
          <w:sz w:val="26"/>
          <w:szCs w:val="26"/>
        </w:rPr>
        <w:t>Корректировка на дату</w:t>
      </w:r>
    </w:p>
    <w:p w14:paraId="15C06746" w14:textId="77777777" w:rsidR="00DB474C" w:rsidRDefault="00DB474C" w:rsidP="00DB474C">
      <w:pPr>
        <w:spacing w:after="0" w:line="300" w:lineRule="auto"/>
        <w:ind w:firstLine="708"/>
        <w:jc w:val="both"/>
        <w:rPr>
          <w:rFonts w:ascii="Times New Roman" w:hAnsi="Times New Roman" w:cs="Times New Roman"/>
          <w:b/>
          <w:sz w:val="26"/>
          <w:szCs w:val="26"/>
        </w:rPr>
      </w:pPr>
      <w:r>
        <w:rPr>
          <w:rFonts w:ascii="Times New Roman" w:hAnsi="Times New Roman" w:cs="Times New Roman"/>
          <w:sz w:val="26"/>
          <w:szCs w:val="26"/>
        </w:rPr>
        <w:t xml:space="preserve">Изменение рыночной конъюнктуры, условия которой могут сильно отразиться на стоимости объекта недвижимости, происходят с течением времени. </w:t>
      </w:r>
      <w:r>
        <w:rPr>
          <w:rFonts w:ascii="Times New Roman" w:eastAsia="Calibri" w:hAnsi="Times New Roman" w:cs="Times New Roman"/>
          <w:sz w:val="26"/>
          <w:szCs w:val="26"/>
        </w:rPr>
        <w:t xml:space="preserve">Корректировка на дату учитывает изменение цен на земельные участки за период с даты заключения сделки (предложения) с объектом-аналогом до даты проведения настоящей оценки. </w:t>
      </w:r>
    </w:p>
    <w:p w14:paraId="1146B370" w14:textId="77777777" w:rsidR="00DB474C" w:rsidRDefault="00DB474C" w:rsidP="00DB474C">
      <w:pPr>
        <w:jc w:val="center"/>
      </w:pPr>
      <w:r w:rsidRPr="00376FBD">
        <w:rPr>
          <w:noProof/>
          <w:lang w:eastAsia="ru-RU"/>
        </w:rPr>
        <w:drawing>
          <wp:inline distT="0" distB="0" distL="0" distR="0" wp14:anchorId="0FF2DB23" wp14:editId="72CD8ADB">
            <wp:extent cx="5940425" cy="3978910"/>
            <wp:effectExtent l="0" t="0" r="317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978910"/>
                    </a:xfrm>
                    <a:prstGeom prst="rect">
                      <a:avLst/>
                    </a:prstGeom>
                  </pic:spPr>
                </pic:pic>
              </a:graphicData>
            </a:graphic>
          </wp:inline>
        </w:drawing>
      </w:r>
    </w:p>
    <w:p w14:paraId="605E87D8" w14:textId="184147F2" w:rsidR="00DB474C" w:rsidRDefault="00DB474C" w:rsidP="00DB474C">
      <w:pPr>
        <w:jc w:val="center"/>
        <w:rPr>
          <w:rFonts w:ascii="Times New Roman" w:eastAsia="Calibri" w:hAnsi="Times New Roman" w:cs="Times New Roman"/>
          <w:sz w:val="26"/>
          <w:szCs w:val="26"/>
        </w:rPr>
      </w:pPr>
      <w:r>
        <w:rPr>
          <w:rFonts w:ascii="Times New Roman" w:eastAsia="Calibri" w:hAnsi="Times New Roman" w:cs="Times New Roman"/>
          <w:sz w:val="26"/>
          <w:szCs w:val="26"/>
        </w:rPr>
        <w:t>Рис.3.1.3.3.2-</w:t>
      </w:r>
      <w:r w:rsidRPr="008C322D">
        <w:t xml:space="preserve"> </w:t>
      </w:r>
      <w:r w:rsidRPr="008C322D">
        <w:rPr>
          <w:rFonts w:ascii="Times New Roman" w:eastAsia="Calibri" w:hAnsi="Times New Roman" w:cs="Times New Roman"/>
          <w:sz w:val="26"/>
          <w:szCs w:val="26"/>
        </w:rPr>
        <w:t>Индексы изменения рыночных цен (в рублях) земельных участков</w:t>
      </w:r>
      <w:r>
        <w:rPr>
          <w:rFonts w:ascii="Times New Roman" w:eastAsia="Calibri" w:hAnsi="Times New Roman" w:cs="Times New Roman"/>
          <w:sz w:val="26"/>
          <w:szCs w:val="26"/>
        </w:rPr>
        <w:t xml:space="preserve"> по данным некоммерческой организации «Ассоциация развития рынка недвижимости «СтатРиелт»</w:t>
      </w:r>
      <w:r w:rsidR="00E91C63">
        <w:rPr>
          <w:rStyle w:val="af2"/>
          <w:rFonts w:ascii="Times New Roman" w:eastAsia="Calibri" w:hAnsi="Times New Roman" w:cs="Times New Roman"/>
          <w:sz w:val="26"/>
          <w:szCs w:val="26"/>
        </w:rPr>
        <w:footnoteReference w:id="71"/>
      </w:r>
    </w:p>
    <w:p w14:paraId="258E5BD9" w14:textId="77777777" w:rsidR="00DB474C" w:rsidRDefault="00DB474C" w:rsidP="00DB474C">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был произведен расчет корректировок, значения представлены далее в таблице.</w:t>
      </w:r>
    </w:p>
    <w:p w14:paraId="6166650D" w14:textId="77777777" w:rsidR="00DB474C" w:rsidRDefault="00DB474C" w:rsidP="00DB474C">
      <w:pPr>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3.1.3.3.1</w:t>
      </w:r>
    </w:p>
    <w:p w14:paraId="303FA008" w14:textId="77777777" w:rsidR="00DB474C" w:rsidRPr="002F6E4F" w:rsidRDefault="00DB474C" w:rsidP="00DB474C">
      <w:pPr>
        <w:jc w:val="center"/>
        <w:rPr>
          <w:rFonts w:ascii="Times New Roman" w:eastAsia="Calibri" w:hAnsi="Times New Roman" w:cs="Times New Roman"/>
          <w:sz w:val="26"/>
          <w:szCs w:val="26"/>
        </w:rPr>
      </w:pPr>
      <w:r>
        <w:rPr>
          <w:rFonts w:ascii="Times New Roman" w:eastAsia="Calibri" w:hAnsi="Times New Roman" w:cs="Times New Roman"/>
          <w:sz w:val="26"/>
          <w:szCs w:val="26"/>
        </w:rPr>
        <w:t>Размер корректировок на дату, рассчитанных на каждое полугодие</w:t>
      </w:r>
    </w:p>
    <w:tbl>
      <w:tblPr>
        <w:tblStyle w:val="ae"/>
        <w:tblW w:w="4927" w:type="pct"/>
        <w:jc w:val="center"/>
        <w:tblLayout w:type="fixed"/>
        <w:tblLook w:val="04A0" w:firstRow="1" w:lastRow="0" w:firstColumn="1" w:lastColumn="0" w:noHBand="0" w:noVBand="1"/>
      </w:tblPr>
      <w:tblGrid>
        <w:gridCol w:w="1130"/>
        <w:gridCol w:w="993"/>
        <w:gridCol w:w="1558"/>
        <w:gridCol w:w="1558"/>
        <w:gridCol w:w="654"/>
        <w:gridCol w:w="622"/>
        <w:gridCol w:w="993"/>
        <w:gridCol w:w="1700"/>
      </w:tblGrid>
      <w:tr w:rsidR="00DB474C" w:rsidRPr="006640DC" w14:paraId="542E4CEB" w14:textId="77777777" w:rsidTr="00CD59AB">
        <w:trPr>
          <w:jc w:val="center"/>
        </w:trPr>
        <w:tc>
          <w:tcPr>
            <w:tcW w:w="614" w:type="pct"/>
            <w:vAlign w:val="center"/>
          </w:tcPr>
          <w:p w14:paraId="13EB137F" w14:textId="77777777" w:rsidR="00DB474C" w:rsidRPr="006640DC" w:rsidRDefault="00DB474C" w:rsidP="00CD59AB">
            <w:pPr>
              <w:jc w:val="center"/>
              <w:rPr>
                <w:rFonts w:ascii="Times New Roman" w:hAnsi="Times New Roman" w:cs="Times New Roman"/>
                <w:sz w:val="18"/>
                <w:szCs w:val="18"/>
              </w:rPr>
            </w:pPr>
            <w:r w:rsidRPr="006640DC">
              <w:rPr>
                <w:rFonts w:ascii="Times New Roman" w:hAnsi="Times New Roman" w:cs="Times New Roman"/>
                <w:sz w:val="18"/>
                <w:szCs w:val="18"/>
              </w:rPr>
              <w:t>к 01.0</w:t>
            </w:r>
            <w:r>
              <w:rPr>
                <w:rFonts w:ascii="Times New Roman" w:hAnsi="Times New Roman" w:cs="Times New Roman"/>
                <w:sz w:val="18"/>
                <w:szCs w:val="18"/>
              </w:rPr>
              <w:t>1</w:t>
            </w:r>
            <w:r w:rsidRPr="006640DC">
              <w:rPr>
                <w:rFonts w:ascii="Times New Roman" w:hAnsi="Times New Roman" w:cs="Times New Roman"/>
                <w:sz w:val="18"/>
                <w:szCs w:val="18"/>
              </w:rPr>
              <w:t>.202</w:t>
            </w:r>
            <w:r>
              <w:rPr>
                <w:rFonts w:ascii="Times New Roman" w:hAnsi="Times New Roman" w:cs="Times New Roman"/>
                <w:sz w:val="18"/>
                <w:szCs w:val="18"/>
              </w:rPr>
              <w:t>2</w:t>
            </w:r>
          </w:p>
        </w:tc>
        <w:tc>
          <w:tcPr>
            <w:tcW w:w="539" w:type="pct"/>
            <w:vAlign w:val="center"/>
          </w:tcPr>
          <w:p w14:paraId="3C57B8A4" w14:textId="77777777" w:rsidR="00DB474C" w:rsidRPr="00EF51B1" w:rsidRDefault="00DB474C" w:rsidP="00CD59AB">
            <w:pPr>
              <w:jc w:val="center"/>
              <w:rPr>
                <w:rFonts w:ascii="Times New Roman" w:hAnsi="Times New Roman" w:cs="Times New Roman"/>
                <w:b/>
                <w:sz w:val="18"/>
              </w:rPr>
            </w:pPr>
            <w:r w:rsidRPr="00EF51B1">
              <w:rPr>
                <w:rFonts w:ascii="Times New Roman" w:hAnsi="Times New Roman" w:cs="Times New Roman"/>
                <w:b/>
                <w:color w:val="000000"/>
                <w:sz w:val="18"/>
              </w:rPr>
              <w:t>торговые и офисные здания</w:t>
            </w:r>
          </w:p>
        </w:tc>
        <w:tc>
          <w:tcPr>
            <w:tcW w:w="846" w:type="pct"/>
            <w:vAlign w:val="center"/>
          </w:tcPr>
          <w:p w14:paraId="0C534CB0" w14:textId="77777777" w:rsidR="00DB474C" w:rsidRPr="006640DC" w:rsidRDefault="00DB474C" w:rsidP="00CD59AB">
            <w:pPr>
              <w:jc w:val="center"/>
              <w:rPr>
                <w:rFonts w:ascii="Times New Roman" w:hAnsi="Times New Roman" w:cs="Times New Roman"/>
                <w:sz w:val="18"/>
              </w:rPr>
            </w:pPr>
            <w:r>
              <w:rPr>
                <w:rFonts w:ascii="Times New Roman" w:hAnsi="Times New Roman" w:cs="Times New Roman"/>
                <w:color w:val="000000"/>
                <w:sz w:val="18"/>
              </w:rPr>
              <w:t>п</w:t>
            </w:r>
            <w:r w:rsidRPr="006640DC">
              <w:rPr>
                <w:rFonts w:ascii="Times New Roman" w:hAnsi="Times New Roman" w:cs="Times New Roman"/>
                <w:color w:val="000000"/>
                <w:sz w:val="18"/>
              </w:rPr>
              <w:t>ромышленности, транспорта, связи и иного специального назначения</w:t>
            </w:r>
          </w:p>
        </w:tc>
        <w:tc>
          <w:tcPr>
            <w:tcW w:w="846" w:type="pct"/>
            <w:vAlign w:val="center"/>
          </w:tcPr>
          <w:p w14:paraId="72B1BEFF" w14:textId="77777777" w:rsidR="00DB474C" w:rsidRPr="006640DC" w:rsidRDefault="00DB474C" w:rsidP="00CD59AB">
            <w:pPr>
              <w:jc w:val="center"/>
              <w:rPr>
                <w:rFonts w:ascii="Times New Roman" w:hAnsi="Times New Roman" w:cs="Times New Roman"/>
                <w:sz w:val="18"/>
              </w:rPr>
            </w:pPr>
            <w:r>
              <w:rPr>
                <w:rFonts w:ascii="Times New Roman" w:hAnsi="Times New Roman" w:cs="Times New Roman"/>
                <w:color w:val="000000"/>
                <w:sz w:val="18"/>
              </w:rPr>
              <w:t>м</w:t>
            </w:r>
            <w:r w:rsidRPr="006640DC">
              <w:rPr>
                <w:rFonts w:ascii="Times New Roman" w:hAnsi="Times New Roman" w:cs="Times New Roman"/>
                <w:color w:val="000000"/>
                <w:sz w:val="18"/>
              </w:rPr>
              <w:t>ного</w:t>
            </w:r>
            <w:r>
              <w:rPr>
                <w:rFonts w:ascii="Times New Roman" w:hAnsi="Times New Roman" w:cs="Times New Roman"/>
                <w:color w:val="000000"/>
                <w:sz w:val="18"/>
              </w:rPr>
              <w:t>-</w:t>
            </w:r>
            <w:r w:rsidRPr="006640DC">
              <w:rPr>
                <w:rFonts w:ascii="Times New Roman" w:hAnsi="Times New Roman" w:cs="Times New Roman"/>
                <w:color w:val="000000"/>
                <w:sz w:val="18"/>
              </w:rPr>
              <w:t>квартирное строительство</w:t>
            </w:r>
          </w:p>
        </w:tc>
        <w:tc>
          <w:tcPr>
            <w:tcW w:w="355" w:type="pct"/>
            <w:vAlign w:val="center"/>
          </w:tcPr>
          <w:p w14:paraId="27F92C48" w14:textId="77777777" w:rsidR="00DB474C" w:rsidRDefault="00DB474C" w:rsidP="00CD59AB">
            <w:pPr>
              <w:jc w:val="center"/>
              <w:rPr>
                <w:rFonts w:ascii="Times New Roman" w:hAnsi="Times New Roman" w:cs="Times New Roman"/>
                <w:color w:val="000000"/>
                <w:sz w:val="18"/>
              </w:rPr>
            </w:pPr>
            <w:r w:rsidRPr="006640DC">
              <w:rPr>
                <w:rFonts w:ascii="Times New Roman" w:hAnsi="Times New Roman" w:cs="Times New Roman"/>
                <w:color w:val="000000"/>
                <w:sz w:val="18"/>
              </w:rPr>
              <w:t>ИЖС</w:t>
            </w:r>
          </w:p>
          <w:p w14:paraId="1D249283" w14:textId="77777777" w:rsidR="00DB474C" w:rsidRDefault="00DB474C" w:rsidP="00CD59AB">
            <w:pPr>
              <w:jc w:val="center"/>
              <w:rPr>
                <w:rFonts w:ascii="Times New Roman" w:hAnsi="Times New Roman" w:cs="Times New Roman"/>
                <w:color w:val="000000"/>
                <w:sz w:val="18"/>
              </w:rPr>
            </w:pPr>
            <w:r>
              <w:rPr>
                <w:rFonts w:ascii="Times New Roman" w:hAnsi="Times New Roman" w:cs="Times New Roman"/>
                <w:color w:val="000000"/>
                <w:sz w:val="18"/>
              </w:rPr>
              <w:t>и</w:t>
            </w:r>
          </w:p>
          <w:p w14:paraId="1F156297" w14:textId="77777777" w:rsidR="00DB474C" w:rsidRPr="006640DC" w:rsidRDefault="00DB474C" w:rsidP="00CD59AB">
            <w:pPr>
              <w:jc w:val="center"/>
              <w:rPr>
                <w:rFonts w:ascii="Times New Roman" w:hAnsi="Times New Roman" w:cs="Times New Roman"/>
                <w:sz w:val="18"/>
              </w:rPr>
            </w:pPr>
            <w:r w:rsidRPr="006640DC">
              <w:rPr>
                <w:rFonts w:ascii="Times New Roman" w:hAnsi="Times New Roman" w:cs="Times New Roman"/>
                <w:color w:val="000000"/>
                <w:sz w:val="18"/>
              </w:rPr>
              <w:t>ЛПХ</w:t>
            </w:r>
          </w:p>
        </w:tc>
        <w:tc>
          <w:tcPr>
            <w:tcW w:w="338" w:type="pct"/>
            <w:vAlign w:val="center"/>
          </w:tcPr>
          <w:p w14:paraId="1273FAC6" w14:textId="77777777" w:rsidR="00DB474C" w:rsidRPr="006640DC" w:rsidRDefault="00DB474C" w:rsidP="00CD59AB">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Н</w:t>
            </w:r>
            <w:r w:rsidRPr="006640DC">
              <w:rPr>
                <w:rFonts w:ascii="Times New Roman" w:hAnsi="Times New Roman" w:cs="Times New Roman"/>
                <w:color w:val="000000"/>
                <w:sz w:val="18"/>
              </w:rPr>
              <w:t>Т и ДНП</w:t>
            </w:r>
          </w:p>
        </w:tc>
        <w:tc>
          <w:tcPr>
            <w:tcW w:w="539" w:type="pct"/>
            <w:vAlign w:val="center"/>
          </w:tcPr>
          <w:p w14:paraId="06682F16" w14:textId="77777777" w:rsidR="00DB474C" w:rsidRPr="006640DC" w:rsidRDefault="00DB474C" w:rsidP="00CD59AB">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/х</w:t>
            </w:r>
            <w:r w:rsidRPr="006640DC">
              <w:rPr>
                <w:rFonts w:ascii="Times New Roman" w:hAnsi="Times New Roman" w:cs="Times New Roman"/>
                <w:color w:val="000000"/>
                <w:sz w:val="18"/>
              </w:rPr>
              <w:t xml:space="preserve"> назна</w:t>
            </w:r>
            <w:r>
              <w:rPr>
                <w:rFonts w:ascii="Times New Roman" w:hAnsi="Times New Roman" w:cs="Times New Roman"/>
                <w:color w:val="000000"/>
                <w:sz w:val="18"/>
              </w:rPr>
              <w:t>-</w:t>
            </w:r>
            <w:r w:rsidRPr="006640DC">
              <w:rPr>
                <w:rFonts w:ascii="Times New Roman" w:hAnsi="Times New Roman" w:cs="Times New Roman"/>
                <w:color w:val="000000"/>
                <w:sz w:val="18"/>
              </w:rPr>
              <w:t>чения</w:t>
            </w:r>
          </w:p>
        </w:tc>
        <w:tc>
          <w:tcPr>
            <w:tcW w:w="923" w:type="pct"/>
            <w:vAlign w:val="center"/>
          </w:tcPr>
          <w:p w14:paraId="65E31876" w14:textId="77777777" w:rsidR="00DB474C" w:rsidRPr="006640DC" w:rsidRDefault="00DB474C" w:rsidP="00CD59AB">
            <w:pPr>
              <w:jc w:val="center"/>
              <w:rPr>
                <w:rFonts w:ascii="Times New Roman" w:hAnsi="Times New Roman" w:cs="Times New Roman"/>
                <w:sz w:val="18"/>
              </w:rPr>
            </w:pPr>
            <w:r w:rsidRPr="006640DC">
              <w:rPr>
                <w:rFonts w:ascii="Times New Roman" w:hAnsi="Times New Roman" w:cs="Times New Roman"/>
                <w:color w:val="000000"/>
                <w:sz w:val="18"/>
              </w:rPr>
              <w:t>сельскохозяйственного назначения с возможностью или перспективой строительства коммерческих зданий</w:t>
            </w:r>
          </w:p>
        </w:tc>
      </w:tr>
      <w:tr w:rsidR="00DB474C" w:rsidRPr="006640DC" w14:paraId="3099968C" w14:textId="77777777" w:rsidTr="00CD59AB">
        <w:trPr>
          <w:jc w:val="center"/>
        </w:trPr>
        <w:tc>
          <w:tcPr>
            <w:tcW w:w="614" w:type="pct"/>
            <w:vAlign w:val="center"/>
          </w:tcPr>
          <w:p w14:paraId="0F49BC59" w14:textId="77777777" w:rsidR="00DB474C" w:rsidRPr="006640DC" w:rsidRDefault="00DB474C" w:rsidP="00CD59AB">
            <w:pPr>
              <w:jc w:val="center"/>
              <w:rPr>
                <w:rFonts w:ascii="Times New Roman" w:hAnsi="Times New Roman" w:cs="Times New Roman"/>
              </w:rPr>
            </w:pPr>
            <w:r w:rsidRPr="006640DC">
              <w:rPr>
                <w:rFonts w:ascii="Times New Roman" w:hAnsi="Times New Roman" w:cs="Times New Roman"/>
                <w:color w:val="000000"/>
              </w:rPr>
              <w:t>01.01.2018 по 30.06.2018</w:t>
            </w:r>
          </w:p>
        </w:tc>
        <w:tc>
          <w:tcPr>
            <w:tcW w:w="539" w:type="pct"/>
            <w:vAlign w:val="center"/>
          </w:tcPr>
          <w:p w14:paraId="1ACB682B" w14:textId="77777777" w:rsidR="00DB474C" w:rsidRPr="009F1220" w:rsidRDefault="00DB474C" w:rsidP="00CD59AB">
            <w:pPr>
              <w:jc w:val="center"/>
              <w:rPr>
                <w:rFonts w:ascii="Times New Roman" w:hAnsi="Times New Roman" w:cs="Times New Roman"/>
                <w:b/>
              </w:rPr>
            </w:pPr>
            <w:r w:rsidRPr="009F1220">
              <w:rPr>
                <w:rFonts w:ascii="Times New Roman" w:hAnsi="Times New Roman" w:cs="Times New Roman"/>
                <w:b/>
              </w:rPr>
              <w:t>1,04</w:t>
            </w:r>
          </w:p>
        </w:tc>
        <w:tc>
          <w:tcPr>
            <w:tcW w:w="846" w:type="pct"/>
            <w:vAlign w:val="center"/>
          </w:tcPr>
          <w:p w14:paraId="0867F831"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0,99</w:t>
            </w:r>
          </w:p>
        </w:tc>
        <w:tc>
          <w:tcPr>
            <w:tcW w:w="846" w:type="pct"/>
            <w:vAlign w:val="center"/>
          </w:tcPr>
          <w:p w14:paraId="17A9169E"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1,31</w:t>
            </w:r>
          </w:p>
        </w:tc>
        <w:tc>
          <w:tcPr>
            <w:tcW w:w="355" w:type="pct"/>
            <w:vAlign w:val="center"/>
          </w:tcPr>
          <w:p w14:paraId="4CD56252"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1,16</w:t>
            </w:r>
          </w:p>
        </w:tc>
        <w:tc>
          <w:tcPr>
            <w:tcW w:w="338" w:type="pct"/>
            <w:vAlign w:val="center"/>
          </w:tcPr>
          <w:p w14:paraId="3129C319"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1,14</w:t>
            </w:r>
          </w:p>
        </w:tc>
        <w:tc>
          <w:tcPr>
            <w:tcW w:w="539" w:type="pct"/>
            <w:vAlign w:val="center"/>
          </w:tcPr>
          <w:p w14:paraId="2A2E71B9" w14:textId="77777777" w:rsidR="00DB474C" w:rsidRPr="00F22DF9" w:rsidRDefault="00DB474C" w:rsidP="00CD59AB">
            <w:pPr>
              <w:jc w:val="center"/>
              <w:rPr>
                <w:rFonts w:ascii="Times New Roman" w:hAnsi="Times New Roman" w:cs="Times New Roman"/>
                <w:b/>
              </w:rPr>
            </w:pPr>
            <w:r w:rsidRPr="00F22DF9">
              <w:rPr>
                <w:rFonts w:ascii="Times New Roman" w:hAnsi="Times New Roman" w:cs="Times New Roman"/>
              </w:rPr>
              <w:t>1,15</w:t>
            </w:r>
          </w:p>
        </w:tc>
        <w:tc>
          <w:tcPr>
            <w:tcW w:w="923" w:type="pct"/>
            <w:vAlign w:val="center"/>
          </w:tcPr>
          <w:p w14:paraId="52CD7F4D"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1,11</w:t>
            </w:r>
          </w:p>
        </w:tc>
      </w:tr>
      <w:tr w:rsidR="00DB474C" w:rsidRPr="006640DC" w14:paraId="317153C7" w14:textId="77777777" w:rsidTr="00CD59AB">
        <w:trPr>
          <w:jc w:val="center"/>
        </w:trPr>
        <w:tc>
          <w:tcPr>
            <w:tcW w:w="614" w:type="pct"/>
            <w:vAlign w:val="center"/>
          </w:tcPr>
          <w:p w14:paraId="0F315014" w14:textId="77777777" w:rsidR="00DB474C" w:rsidRPr="006640DC" w:rsidRDefault="00DB474C" w:rsidP="00CD59AB">
            <w:pPr>
              <w:jc w:val="center"/>
              <w:rPr>
                <w:rFonts w:ascii="Times New Roman" w:hAnsi="Times New Roman" w:cs="Times New Roman"/>
              </w:rPr>
            </w:pPr>
            <w:r w:rsidRPr="006640DC">
              <w:rPr>
                <w:rFonts w:ascii="Times New Roman" w:hAnsi="Times New Roman" w:cs="Times New Roman"/>
                <w:color w:val="000000"/>
              </w:rPr>
              <w:t>01.07.2018 по 31.12.2018</w:t>
            </w:r>
          </w:p>
        </w:tc>
        <w:tc>
          <w:tcPr>
            <w:tcW w:w="539" w:type="pct"/>
            <w:vAlign w:val="center"/>
          </w:tcPr>
          <w:p w14:paraId="71D9D339" w14:textId="77777777" w:rsidR="00DB474C" w:rsidRPr="009F1220" w:rsidRDefault="00DB474C" w:rsidP="00CD59AB">
            <w:pPr>
              <w:jc w:val="center"/>
              <w:rPr>
                <w:rFonts w:ascii="Times New Roman" w:hAnsi="Times New Roman" w:cs="Times New Roman"/>
                <w:b/>
              </w:rPr>
            </w:pPr>
            <w:r w:rsidRPr="009F1220">
              <w:rPr>
                <w:rFonts w:ascii="Times New Roman" w:hAnsi="Times New Roman" w:cs="Times New Roman"/>
                <w:b/>
              </w:rPr>
              <w:t>1,04</w:t>
            </w:r>
          </w:p>
        </w:tc>
        <w:tc>
          <w:tcPr>
            <w:tcW w:w="846" w:type="pct"/>
            <w:vAlign w:val="center"/>
          </w:tcPr>
          <w:p w14:paraId="4C89283E"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0,99</w:t>
            </w:r>
          </w:p>
        </w:tc>
        <w:tc>
          <w:tcPr>
            <w:tcW w:w="846" w:type="pct"/>
            <w:vAlign w:val="center"/>
          </w:tcPr>
          <w:p w14:paraId="44D9BA26"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1,30</w:t>
            </w:r>
          </w:p>
        </w:tc>
        <w:tc>
          <w:tcPr>
            <w:tcW w:w="355" w:type="pct"/>
            <w:vAlign w:val="center"/>
          </w:tcPr>
          <w:p w14:paraId="6FC725A9"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1,17</w:t>
            </w:r>
          </w:p>
        </w:tc>
        <w:tc>
          <w:tcPr>
            <w:tcW w:w="338" w:type="pct"/>
            <w:vAlign w:val="center"/>
          </w:tcPr>
          <w:p w14:paraId="45FCA6C6"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1,15</w:t>
            </w:r>
          </w:p>
        </w:tc>
        <w:tc>
          <w:tcPr>
            <w:tcW w:w="539" w:type="pct"/>
            <w:vAlign w:val="center"/>
          </w:tcPr>
          <w:p w14:paraId="0896E6CE" w14:textId="77777777" w:rsidR="00DB474C" w:rsidRPr="00F22DF9" w:rsidRDefault="00DB474C" w:rsidP="00CD59AB">
            <w:pPr>
              <w:jc w:val="center"/>
              <w:rPr>
                <w:rFonts w:ascii="Times New Roman" w:hAnsi="Times New Roman" w:cs="Times New Roman"/>
                <w:b/>
              </w:rPr>
            </w:pPr>
            <w:r w:rsidRPr="00F22DF9">
              <w:rPr>
                <w:rFonts w:ascii="Times New Roman" w:hAnsi="Times New Roman" w:cs="Times New Roman"/>
              </w:rPr>
              <w:t>1,14</w:t>
            </w:r>
          </w:p>
        </w:tc>
        <w:tc>
          <w:tcPr>
            <w:tcW w:w="923" w:type="pct"/>
            <w:vAlign w:val="center"/>
          </w:tcPr>
          <w:p w14:paraId="20211D64"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1,13</w:t>
            </w:r>
          </w:p>
        </w:tc>
      </w:tr>
      <w:tr w:rsidR="00DB474C" w:rsidRPr="006640DC" w14:paraId="660564B4" w14:textId="77777777" w:rsidTr="00CD59AB">
        <w:trPr>
          <w:jc w:val="center"/>
        </w:trPr>
        <w:tc>
          <w:tcPr>
            <w:tcW w:w="614" w:type="pct"/>
            <w:vAlign w:val="center"/>
          </w:tcPr>
          <w:p w14:paraId="63A7D9F3" w14:textId="77777777" w:rsidR="00DB474C" w:rsidRPr="006640DC" w:rsidRDefault="00DB474C" w:rsidP="00CD59AB">
            <w:pPr>
              <w:jc w:val="center"/>
              <w:rPr>
                <w:rFonts w:ascii="Times New Roman" w:hAnsi="Times New Roman" w:cs="Times New Roman"/>
              </w:rPr>
            </w:pPr>
            <w:r w:rsidRPr="006640DC">
              <w:rPr>
                <w:rFonts w:ascii="Times New Roman" w:hAnsi="Times New Roman" w:cs="Times New Roman"/>
                <w:color w:val="000000"/>
              </w:rPr>
              <w:t>01.01.2019 по 30.06.2019</w:t>
            </w:r>
          </w:p>
        </w:tc>
        <w:tc>
          <w:tcPr>
            <w:tcW w:w="539" w:type="pct"/>
            <w:vAlign w:val="center"/>
          </w:tcPr>
          <w:p w14:paraId="39612541" w14:textId="77777777" w:rsidR="00DB474C" w:rsidRPr="009F1220" w:rsidRDefault="00DB474C" w:rsidP="00CD59AB">
            <w:pPr>
              <w:jc w:val="center"/>
              <w:rPr>
                <w:rFonts w:ascii="Times New Roman" w:hAnsi="Times New Roman" w:cs="Times New Roman"/>
                <w:b/>
              </w:rPr>
            </w:pPr>
            <w:r w:rsidRPr="009F1220">
              <w:rPr>
                <w:rFonts w:ascii="Times New Roman" w:hAnsi="Times New Roman" w:cs="Times New Roman"/>
                <w:b/>
              </w:rPr>
              <w:t>1,04</w:t>
            </w:r>
          </w:p>
        </w:tc>
        <w:tc>
          <w:tcPr>
            <w:tcW w:w="846" w:type="pct"/>
            <w:vAlign w:val="center"/>
          </w:tcPr>
          <w:p w14:paraId="5EDF109E"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0,99</w:t>
            </w:r>
          </w:p>
        </w:tc>
        <w:tc>
          <w:tcPr>
            <w:tcW w:w="846" w:type="pct"/>
            <w:vAlign w:val="center"/>
          </w:tcPr>
          <w:p w14:paraId="2E8D6DB8"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1,28</w:t>
            </w:r>
          </w:p>
        </w:tc>
        <w:tc>
          <w:tcPr>
            <w:tcW w:w="355" w:type="pct"/>
            <w:vAlign w:val="center"/>
          </w:tcPr>
          <w:p w14:paraId="02B6EA0A"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1,17</w:t>
            </w:r>
          </w:p>
        </w:tc>
        <w:tc>
          <w:tcPr>
            <w:tcW w:w="338" w:type="pct"/>
            <w:vAlign w:val="center"/>
          </w:tcPr>
          <w:p w14:paraId="3E3D2BF8"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1,15</w:t>
            </w:r>
          </w:p>
        </w:tc>
        <w:tc>
          <w:tcPr>
            <w:tcW w:w="539" w:type="pct"/>
            <w:vAlign w:val="center"/>
          </w:tcPr>
          <w:p w14:paraId="4BCC94A0" w14:textId="77777777" w:rsidR="00DB474C" w:rsidRPr="00F22DF9" w:rsidRDefault="00DB474C" w:rsidP="00CD59AB">
            <w:pPr>
              <w:jc w:val="center"/>
              <w:rPr>
                <w:rFonts w:ascii="Times New Roman" w:hAnsi="Times New Roman" w:cs="Times New Roman"/>
                <w:b/>
              </w:rPr>
            </w:pPr>
            <w:r w:rsidRPr="00F22DF9">
              <w:rPr>
                <w:rFonts w:ascii="Times New Roman" w:hAnsi="Times New Roman" w:cs="Times New Roman"/>
              </w:rPr>
              <w:t>1,12</w:t>
            </w:r>
          </w:p>
        </w:tc>
        <w:tc>
          <w:tcPr>
            <w:tcW w:w="923" w:type="pct"/>
            <w:vAlign w:val="center"/>
          </w:tcPr>
          <w:p w14:paraId="026E8C34"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1,13</w:t>
            </w:r>
          </w:p>
        </w:tc>
      </w:tr>
      <w:tr w:rsidR="00DB474C" w:rsidRPr="006640DC" w14:paraId="115F5E09" w14:textId="77777777" w:rsidTr="00CD59AB">
        <w:trPr>
          <w:jc w:val="center"/>
        </w:trPr>
        <w:tc>
          <w:tcPr>
            <w:tcW w:w="614" w:type="pct"/>
            <w:vAlign w:val="center"/>
          </w:tcPr>
          <w:p w14:paraId="77F547F9" w14:textId="77777777" w:rsidR="00DB474C" w:rsidRPr="006640DC" w:rsidRDefault="00DB474C" w:rsidP="00CD59AB">
            <w:pPr>
              <w:jc w:val="center"/>
              <w:rPr>
                <w:rFonts w:ascii="Times New Roman" w:hAnsi="Times New Roman" w:cs="Times New Roman"/>
              </w:rPr>
            </w:pPr>
            <w:r w:rsidRPr="006640DC">
              <w:rPr>
                <w:rFonts w:ascii="Times New Roman" w:hAnsi="Times New Roman" w:cs="Times New Roman"/>
                <w:color w:val="000000"/>
              </w:rPr>
              <w:t>01.07.2019 по 31.12.2019</w:t>
            </w:r>
          </w:p>
        </w:tc>
        <w:tc>
          <w:tcPr>
            <w:tcW w:w="539" w:type="pct"/>
            <w:vAlign w:val="center"/>
          </w:tcPr>
          <w:p w14:paraId="17D71299" w14:textId="77777777" w:rsidR="00DB474C" w:rsidRPr="009F1220" w:rsidRDefault="00DB474C" w:rsidP="00CD59AB">
            <w:pPr>
              <w:jc w:val="center"/>
              <w:rPr>
                <w:rFonts w:ascii="Times New Roman" w:hAnsi="Times New Roman" w:cs="Times New Roman"/>
                <w:b/>
              </w:rPr>
            </w:pPr>
            <w:r w:rsidRPr="009F1220">
              <w:rPr>
                <w:rFonts w:ascii="Times New Roman" w:hAnsi="Times New Roman" w:cs="Times New Roman"/>
                <w:b/>
              </w:rPr>
              <w:t>1,03</w:t>
            </w:r>
          </w:p>
        </w:tc>
        <w:tc>
          <w:tcPr>
            <w:tcW w:w="846" w:type="pct"/>
            <w:vAlign w:val="center"/>
          </w:tcPr>
          <w:p w14:paraId="30F123DE"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0,97</w:t>
            </w:r>
          </w:p>
        </w:tc>
        <w:tc>
          <w:tcPr>
            <w:tcW w:w="846" w:type="pct"/>
            <w:vAlign w:val="center"/>
          </w:tcPr>
          <w:p w14:paraId="2DF9BC8A"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1,24</w:t>
            </w:r>
          </w:p>
        </w:tc>
        <w:tc>
          <w:tcPr>
            <w:tcW w:w="355" w:type="pct"/>
            <w:vAlign w:val="center"/>
          </w:tcPr>
          <w:p w14:paraId="60C2B925"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1,15</w:t>
            </w:r>
          </w:p>
        </w:tc>
        <w:tc>
          <w:tcPr>
            <w:tcW w:w="338" w:type="pct"/>
            <w:vAlign w:val="center"/>
          </w:tcPr>
          <w:p w14:paraId="2945B76E"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1,13</w:t>
            </w:r>
          </w:p>
        </w:tc>
        <w:tc>
          <w:tcPr>
            <w:tcW w:w="539" w:type="pct"/>
            <w:vAlign w:val="center"/>
          </w:tcPr>
          <w:p w14:paraId="729ABB84" w14:textId="77777777" w:rsidR="00DB474C" w:rsidRPr="00F22DF9" w:rsidRDefault="00DB474C" w:rsidP="00CD59AB">
            <w:pPr>
              <w:jc w:val="center"/>
              <w:rPr>
                <w:rFonts w:ascii="Times New Roman" w:hAnsi="Times New Roman" w:cs="Times New Roman"/>
                <w:b/>
              </w:rPr>
            </w:pPr>
            <w:r w:rsidRPr="00F22DF9">
              <w:rPr>
                <w:rFonts w:ascii="Times New Roman" w:hAnsi="Times New Roman" w:cs="Times New Roman"/>
              </w:rPr>
              <w:t>1,08</w:t>
            </w:r>
          </w:p>
        </w:tc>
        <w:tc>
          <w:tcPr>
            <w:tcW w:w="923" w:type="pct"/>
            <w:vAlign w:val="center"/>
          </w:tcPr>
          <w:p w14:paraId="3518BEE0"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1,10</w:t>
            </w:r>
          </w:p>
        </w:tc>
      </w:tr>
      <w:tr w:rsidR="00DB474C" w:rsidRPr="006640DC" w14:paraId="05602AFA" w14:textId="77777777" w:rsidTr="00CD59AB">
        <w:trPr>
          <w:jc w:val="center"/>
        </w:trPr>
        <w:tc>
          <w:tcPr>
            <w:tcW w:w="614" w:type="pct"/>
            <w:vAlign w:val="center"/>
          </w:tcPr>
          <w:p w14:paraId="12A73DC3" w14:textId="77777777" w:rsidR="00DB474C" w:rsidRPr="006640DC" w:rsidRDefault="00DB474C" w:rsidP="00CD59AB">
            <w:pPr>
              <w:jc w:val="center"/>
              <w:rPr>
                <w:rFonts w:ascii="Times New Roman" w:hAnsi="Times New Roman" w:cs="Times New Roman"/>
              </w:rPr>
            </w:pPr>
            <w:r w:rsidRPr="006640DC">
              <w:rPr>
                <w:rFonts w:ascii="Times New Roman" w:hAnsi="Times New Roman" w:cs="Times New Roman"/>
                <w:color w:val="000000"/>
              </w:rPr>
              <w:t>01.01.2020 по 30.06.2020</w:t>
            </w:r>
          </w:p>
        </w:tc>
        <w:tc>
          <w:tcPr>
            <w:tcW w:w="539" w:type="pct"/>
            <w:vAlign w:val="center"/>
          </w:tcPr>
          <w:p w14:paraId="34F9280C" w14:textId="77777777" w:rsidR="00DB474C" w:rsidRPr="009F1220" w:rsidRDefault="00DB474C" w:rsidP="00CD59AB">
            <w:pPr>
              <w:jc w:val="center"/>
              <w:rPr>
                <w:rFonts w:ascii="Times New Roman" w:hAnsi="Times New Roman" w:cs="Times New Roman"/>
                <w:b/>
              </w:rPr>
            </w:pPr>
            <w:r w:rsidRPr="009F1220">
              <w:rPr>
                <w:rFonts w:ascii="Times New Roman" w:hAnsi="Times New Roman" w:cs="Times New Roman"/>
                <w:b/>
              </w:rPr>
              <w:t>1,01</w:t>
            </w:r>
          </w:p>
        </w:tc>
        <w:tc>
          <w:tcPr>
            <w:tcW w:w="846" w:type="pct"/>
            <w:vAlign w:val="center"/>
          </w:tcPr>
          <w:p w14:paraId="558235C4"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0,95</w:t>
            </w:r>
          </w:p>
        </w:tc>
        <w:tc>
          <w:tcPr>
            <w:tcW w:w="846" w:type="pct"/>
            <w:vAlign w:val="center"/>
          </w:tcPr>
          <w:p w14:paraId="7F557F22"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1,19</w:t>
            </w:r>
          </w:p>
        </w:tc>
        <w:tc>
          <w:tcPr>
            <w:tcW w:w="355" w:type="pct"/>
            <w:vAlign w:val="center"/>
          </w:tcPr>
          <w:p w14:paraId="0DFB40E1"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1,14</w:t>
            </w:r>
          </w:p>
        </w:tc>
        <w:tc>
          <w:tcPr>
            <w:tcW w:w="338" w:type="pct"/>
            <w:vAlign w:val="center"/>
          </w:tcPr>
          <w:p w14:paraId="7AF49F39"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1,10</w:t>
            </w:r>
          </w:p>
        </w:tc>
        <w:tc>
          <w:tcPr>
            <w:tcW w:w="539" w:type="pct"/>
            <w:vAlign w:val="center"/>
          </w:tcPr>
          <w:p w14:paraId="158D4359" w14:textId="77777777" w:rsidR="00DB474C" w:rsidRPr="00F22DF9" w:rsidRDefault="00DB474C" w:rsidP="00CD59AB">
            <w:pPr>
              <w:jc w:val="center"/>
              <w:rPr>
                <w:rFonts w:ascii="Times New Roman" w:hAnsi="Times New Roman" w:cs="Times New Roman"/>
                <w:b/>
              </w:rPr>
            </w:pPr>
            <w:r w:rsidRPr="00F22DF9">
              <w:rPr>
                <w:rFonts w:ascii="Times New Roman" w:hAnsi="Times New Roman" w:cs="Times New Roman"/>
              </w:rPr>
              <w:t>1,05</w:t>
            </w:r>
          </w:p>
        </w:tc>
        <w:tc>
          <w:tcPr>
            <w:tcW w:w="923" w:type="pct"/>
            <w:vAlign w:val="center"/>
          </w:tcPr>
          <w:p w14:paraId="675D67B3"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1,08</w:t>
            </w:r>
          </w:p>
        </w:tc>
      </w:tr>
      <w:tr w:rsidR="00DB474C" w:rsidRPr="006640DC" w14:paraId="7607B8A4" w14:textId="77777777" w:rsidTr="00CD59AB">
        <w:trPr>
          <w:jc w:val="center"/>
        </w:trPr>
        <w:tc>
          <w:tcPr>
            <w:tcW w:w="614" w:type="pct"/>
            <w:vAlign w:val="center"/>
          </w:tcPr>
          <w:p w14:paraId="555D7057" w14:textId="77777777" w:rsidR="00DB474C" w:rsidRPr="006640DC" w:rsidRDefault="00DB474C" w:rsidP="00CD59AB">
            <w:pPr>
              <w:jc w:val="center"/>
              <w:rPr>
                <w:rFonts w:ascii="Times New Roman" w:hAnsi="Times New Roman" w:cs="Times New Roman"/>
              </w:rPr>
            </w:pPr>
            <w:r w:rsidRPr="006640DC">
              <w:rPr>
                <w:rFonts w:ascii="Times New Roman" w:hAnsi="Times New Roman" w:cs="Times New Roman"/>
                <w:color w:val="000000"/>
              </w:rPr>
              <w:t>01.07.2020 по 31.12.2020</w:t>
            </w:r>
          </w:p>
        </w:tc>
        <w:tc>
          <w:tcPr>
            <w:tcW w:w="539" w:type="pct"/>
            <w:vAlign w:val="center"/>
          </w:tcPr>
          <w:p w14:paraId="7CABAA4B" w14:textId="77777777" w:rsidR="00DB474C" w:rsidRPr="009F1220" w:rsidRDefault="00DB474C" w:rsidP="00CD59AB">
            <w:pPr>
              <w:jc w:val="center"/>
              <w:rPr>
                <w:rFonts w:ascii="Times New Roman" w:hAnsi="Times New Roman" w:cs="Times New Roman"/>
                <w:b/>
              </w:rPr>
            </w:pPr>
            <w:r w:rsidRPr="009F1220">
              <w:rPr>
                <w:rFonts w:ascii="Times New Roman" w:hAnsi="Times New Roman" w:cs="Times New Roman"/>
                <w:b/>
              </w:rPr>
              <w:t>1,05</w:t>
            </w:r>
          </w:p>
        </w:tc>
        <w:tc>
          <w:tcPr>
            <w:tcW w:w="846" w:type="pct"/>
            <w:vAlign w:val="center"/>
          </w:tcPr>
          <w:p w14:paraId="60B106A4"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0,98</w:t>
            </w:r>
          </w:p>
        </w:tc>
        <w:tc>
          <w:tcPr>
            <w:tcW w:w="846" w:type="pct"/>
            <w:vAlign w:val="center"/>
          </w:tcPr>
          <w:p w14:paraId="0258A41D"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1,17</w:t>
            </w:r>
          </w:p>
        </w:tc>
        <w:tc>
          <w:tcPr>
            <w:tcW w:w="355" w:type="pct"/>
            <w:vAlign w:val="center"/>
          </w:tcPr>
          <w:p w14:paraId="1D9C9A8B"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1,11</w:t>
            </w:r>
          </w:p>
        </w:tc>
        <w:tc>
          <w:tcPr>
            <w:tcW w:w="338" w:type="pct"/>
            <w:vAlign w:val="center"/>
          </w:tcPr>
          <w:p w14:paraId="1BE18E35"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1,09</w:t>
            </w:r>
          </w:p>
        </w:tc>
        <w:tc>
          <w:tcPr>
            <w:tcW w:w="539" w:type="pct"/>
            <w:vAlign w:val="center"/>
          </w:tcPr>
          <w:p w14:paraId="37194B37" w14:textId="77777777" w:rsidR="00DB474C" w:rsidRPr="00F22DF9" w:rsidRDefault="00DB474C" w:rsidP="00CD59AB">
            <w:pPr>
              <w:jc w:val="center"/>
              <w:rPr>
                <w:rFonts w:ascii="Times New Roman" w:hAnsi="Times New Roman" w:cs="Times New Roman"/>
                <w:b/>
              </w:rPr>
            </w:pPr>
            <w:r w:rsidRPr="00F22DF9">
              <w:rPr>
                <w:rFonts w:ascii="Times New Roman" w:hAnsi="Times New Roman" w:cs="Times New Roman"/>
              </w:rPr>
              <w:t>1,03</w:t>
            </w:r>
          </w:p>
        </w:tc>
        <w:tc>
          <w:tcPr>
            <w:tcW w:w="923" w:type="pct"/>
            <w:vAlign w:val="center"/>
          </w:tcPr>
          <w:p w14:paraId="60674D27"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1,07</w:t>
            </w:r>
          </w:p>
        </w:tc>
      </w:tr>
      <w:tr w:rsidR="00DB474C" w:rsidRPr="006640DC" w14:paraId="5685CD11" w14:textId="77777777" w:rsidTr="00CD59AB">
        <w:trPr>
          <w:jc w:val="center"/>
        </w:trPr>
        <w:tc>
          <w:tcPr>
            <w:tcW w:w="614" w:type="pct"/>
            <w:vAlign w:val="center"/>
          </w:tcPr>
          <w:p w14:paraId="214365DD" w14:textId="77777777" w:rsidR="00DB474C" w:rsidRPr="006640DC" w:rsidRDefault="00DB474C" w:rsidP="00CD59AB">
            <w:pPr>
              <w:jc w:val="center"/>
              <w:rPr>
                <w:rFonts w:ascii="Times New Roman" w:hAnsi="Times New Roman" w:cs="Times New Roman"/>
              </w:rPr>
            </w:pPr>
            <w:r w:rsidRPr="006640DC">
              <w:rPr>
                <w:rFonts w:ascii="Times New Roman" w:hAnsi="Times New Roman" w:cs="Times New Roman"/>
                <w:color w:val="000000"/>
              </w:rPr>
              <w:t>01.01.2021 по 30.06.2021</w:t>
            </w:r>
          </w:p>
        </w:tc>
        <w:tc>
          <w:tcPr>
            <w:tcW w:w="539" w:type="pct"/>
            <w:vAlign w:val="center"/>
          </w:tcPr>
          <w:p w14:paraId="31A7938C" w14:textId="77777777" w:rsidR="00DB474C" w:rsidRPr="009F1220" w:rsidRDefault="00DB474C" w:rsidP="00CD59AB">
            <w:pPr>
              <w:jc w:val="center"/>
              <w:rPr>
                <w:rFonts w:ascii="Times New Roman" w:hAnsi="Times New Roman" w:cs="Times New Roman"/>
                <w:b/>
              </w:rPr>
            </w:pPr>
            <w:r w:rsidRPr="009F1220">
              <w:rPr>
                <w:rFonts w:ascii="Times New Roman" w:hAnsi="Times New Roman" w:cs="Times New Roman"/>
                <w:b/>
              </w:rPr>
              <w:t>1,04</w:t>
            </w:r>
          </w:p>
        </w:tc>
        <w:tc>
          <w:tcPr>
            <w:tcW w:w="846" w:type="pct"/>
            <w:vAlign w:val="center"/>
          </w:tcPr>
          <w:p w14:paraId="04D4278C"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0,98</w:t>
            </w:r>
          </w:p>
        </w:tc>
        <w:tc>
          <w:tcPr>
            <w:tcW w:w="846" w:type="pct"/>
            <w:vAlign w:val="center"/>
          </w:tcPr>
          <w:p w14:paraId="59FDD67D"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1,07</w:t>
            </w:r>
          </w:p>
        </w:tc>
        <w:tc>
          <w:tcPr>
            <w:tcW w:w="355" w:type="pct"/>
            <w:vAlign w:val="center"/>
          </w:tcPr>
          <w:p w14:paraId="7A1A4ED3"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1,06</w:t>
            </w:r>
          </w:p>
        </w:tc>
        <w:tc>
          <w:tcPr>
            <w:tcW w:w="338" w:type="pct"/>
            <w:vAlign w:val="center"/>
          </w:tcPr>
          <w:p w14:paraId="5E4EF78D"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1,04</w:t>
            </w:r>
          </w:p>
        </w:tc>
        <w:tc>
          <w:tcPr>
            <w:tcW w:w="539" w:type="pct"/>
            <w:vAlign w:val="center"/>
          </w:tcPr>
          <w:p w14:paraId="167BC2A7" w14:textId="77777777" w:rsidR="00DB474C" w:rsidRPr="00F22DF9" w:rsidRDefault="00DB474C" w:rsidP="00CD59AB">
            <w:pPr>
              <w:jc w:val="center"/>
              <w:rPr>
                <w:rFonts w:ascii="Times New Roman" w:hAnsi="Times New Roman" w:cs="Times New Roman"/>
                <w:b/>
              </w:rPr>
            </w:pPr>
            <w:r w:rsidRPr="00F22DF9">
              <w:rPr>
                <w:rFonts w:ascii="Times New Roman" w:hAnsi="Times New Roman" w:cs="Times New Roman"/>
              </w:rPr>
              <w:t>1,01</w:t>
            </w:r>
          </w:p>
        </w:tc>
        <w:tc>
          <w:tcPr>
            <w:tcW w:w="923" w:type="pct"/>
            <w:vAlign w:val="center"/>
          </w:tcPr>
          <w:p w14:paraId="24E73FC2"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1,02</w:t>
            </w:r>
          </w:p>
        </w:tc>
      </w:tr>
      <w:tr w:rsidR="00DB474C" w:rsidRPr="006640DC" w14:paraId="1B05B0F8" w14:textId="77777777" w:rsidTr="00CD59AB">
        <w:trPr>
          <w:jc w:val="center"/>
        </w:trPr>
        <w:tc>
          <w:tcPr>
            <w:tcW w:w="614" w:type="pct"/>
            <w:vAlign w:val="center"/>
          </w:tcPr>
          <w:p w14:paraId="6618EBFA" w14:textId="77777777" w:rsidR="00DB474C" w:rsidRPr="006640DC" w:rsidRDefault="00DB474C" w:rsidP="00CD59AB">
            <w:pPr>
              <w:jc w:val="center"/>
              <w:rPr>
                <w:rFonts w:ascii="Times New Roman" w:hAnsi="Times New Roman" w:cs="Times New Roman"/>
              </w:rPr>
            </w:pPr>
            <w:r w:rsidRPr="006640DC">
              <w:rPr>
                <w:rFonts w:ascii="Times New Roman" w:hAnsi="Times New Roman" w:cs="Times New Roman"/>
                <w:color w:val="000000"/>
              </w:rPr>
              <w:t>01.07.2021 по 31.12.2021</w:t>
            </w:r>
          </w:p>
        </w:tc>
        <w:tc>
          <w:tcPr>
            <w:tcW w:w="539" w:type="pct"/>
            <w:vAlign w:val="center"/>
          </w:tcPr>
          <w:p w14:paraId="6521B7C0" w14:textId="77777777" w:rsidR="00DB474C" w:rsidRPr="009F1220" w:rsidRDefault="00DB474C" w:rsidP="00CD59AB">
            <w:pPr>
              <w:jc w:val="center"/>
              <w:rPr>
                <w:rFonts w:ascii="Times New Roman" w:hAnsi="Times New Roman" w:cs="Times New Roman"/>
                <w:b/>
              </w:rPr>
            </w:pPr>
            <w:r w:rsidRPr="009F1220">
              <w:rPr>
                <w:rFonts w:ascii="Times New Roman" w:hAnsi="Times New Roman" w:cs="Times New Roman"/>
                <w:b/>
              </w:rPr>
              <w:t>1,02</w:t>
            </w:r>
          </w:p>
        </w:tc>
        <w:tc>
          <w:tcPr>
            <w:tcW w:w="846" w:type="pct"/>
            <w:vAlign w:val="center"/>
          </w:tcPr>
          <w:p w14:paraId="59932A19"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0,98</w:t>
            </w:r>
          </w:p>
        </w:tc>
        <w:tc>
          <w:tcPr>
            <w:tcW w:w="846" w:type="pct"/>
            <w:vAlign w:val="center"/>
          </w:tcPr>
          <w:p w14:paraId="7DC2E9C1"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1,03</w:t>
            </w:r>
          </w:p>
        </w:tc>
        <w:tc>
          <w:tcPr>
            <w:tcW w:w="355" w:type="pct"/>
            <w:vAlign w:val="center"/>
          </w:tcPr>
          <w:p w14:paraId="398E87CD"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1,04</w:t>
            </w:r>
          </w:p>
        </w:tc>
        <w:tc>
          <w:tcPr>
            <w:tcW w:w="338" w:type="pct"/>
            <w:vAlign w:val="center"/>
          </w:tcPr>
          <w:p w14:paraId="2BFC9286"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1,01</w:t>
            </w:r>
          </w:p>
        </w:tc>
        <w:tc>
          <w:tcPr>
            <w:tcW w:w="539" w:type="pct"/>
            <w:vAlign w:val="center"/>
          </w:tcPr>
          <w:p w14:paraId="138DEA5C" w14:textId="77777777" w:rsidR="00DB474C" w:rsidRPr="00F22DF9" w:rsidRDefault="00DB474C" w:rsidP="00CD59AB">
            <w:pPr>
              <w:jc w:val="center"/>
              <w:rPr>
                <w:rFonts w:ascii="Times New Roman" w:hAnsi="Times New Roman" w:cs="Times New Roman"/>
                <w:b/>
              </w:rPr>
            </w:pPr>
            <w:r w:rsidRPr="00F22DF9">
              <w:rPr>
                <w:rFonts w:ascii="Times New Roman" w:hAnsi="Times New Roman" w:cs="Times New Roman"/>
              </w:rPr>
              <w:t>1,01</w:t>
            </w:r>
          </w:p>
        </w:tc>
        <w:tc>
          <w:tcPr>
            <w:tcW w:w="923" w:type="pct"/>
            <w:vAlign w:val="center"/>
          </w:tcPr>
          <w:p w14:paraId="4664906E" w14:textId="77777777" w:rsidR="00DB474C" w:rsidRPr="00F22DF9" w:rsidRDefault="00DB474C" w:rsidP="00CD59AB">
            <w:pPr>
              <w:jc w:val="center"/>
              <w:rPr>
                <w:rFonts w:ascii="Times New Roman" w:hAnsi="Times New Roman" w:cs="Times New Roman"/>
              </w:rPr>
            </w:pPr>
            <w:r w:rsidRPr="00F22DF9">
              <w:rPr>
                <w:rFonts w:ascii="Times New Roman" w:hAnsi="Times New Roman" w:cs="Times New Roman"/>
              </w:rPr>
              <w:t>1,01</w:t>
            </w:r>
          </w:p>
        </w:tc>
      </w:tr>
    </w:tbl>
    <w:p w14:paraId="4462C7E0" w14:textId="77777777" w:rsidR="00DB474C" w:rsidRPr="00476A16" w:rsidRDefault="00DB474C" w:rsidP="00DB474C">
      <w:pPr>
        <w:spacing w:before="120" w:after="0" w:line="276" w:lineRule="auto"/>
        <w:jc w:val="center"/>
        <w:rPr>
          <w:rFonts w:ascii="Times New Roman" w:hAnsi="Times New Roman" w:cs="Times New Roman"/>
          <w:i/>
          <w:sz w:val="26"/>
          <w:szCs w:val="26"/>
        </w:rPr>
      </w:pPr>
      <w:r w:rsidRPr="00476A16">
        <w:rPr>
          <w:rFonts w:ascii="Times New Roman" w:hAnsi="Times New Roman" w:cs="Times New Roman"/>
          <w:i/>
          <w:sz w:val="26"/>
          <w:szCs w:val="26"/>
        </w:rPr>
        <w:t>Корректировка на право</w:t>
      </w:r>
    </w:p>
    <w:p w14:paraId="1C9AB58B" w14:textId="77777777" w:rsidR="00DB474C" w:rsidRDefault="00DB474C" w:rsidP="00DB474C">
      <w:pPr>
        <w:spacing w:after="0" w:line="300" w:lineRule="auto"/>
        <w:ind w:firstLine="567"/>
        <w:jc w:val="both"/>
        <w:rPr>
          <w:rFonts w:ascii="Times New Roman" w:hAnsi="Times New Roman" w:cs="Times New Roman"/>
          <w:sz w:val="26"/>
          <w:szCs w:val="26"/>
          <w:u w:val="single"/>
        </w:rPr>
      </w:pPr>
      <w:r>
        <w:rPr>
          <w:rFonts w:ascii="Times New Roman" w:hAnsi="Times New Roman" w:cs="Times New Roman"/>
          <w:sz w:val="26"/>
          <w:szCs w:val="26"/>
        </w:rPr>
        <w:t xml:space="preserve">В случае, если продается земельный участок, предоставленный в аренду, необходимо вносить корректировку на вид права. </w:t>
      </w:r>
      <w:r>
        <w:rPr>
          <w:rFonts w:ascii="Times New Roman" w:eastAsia="Calibri" w:hAnsi="Times New Roman" w:cs="Times New Roman"/>
          <w:sz w:val="26"/>
          <w:szCs w:val="26"/>
        </w:rPr>
        <w:t>Величина корректировки на право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66" w:history="1">
        <w:r w:rsidRPr="00476A16">
          <w:rPr>
            <w:rStyle w:val="ad"/>
            <w:rFonts w:ascii="Times New Roman" w:hAnsi="Times New Roman" w:cs="Times New Roman"/>
            <w:sz w:val="26"/>
            <w:szCs w:val="26"/>
          </w:rPr>
          <w:t>https://statrielt.ru/</w:t>
        </w:r>
      </w:hyperlink>
      <w:r w:rsidRPr="00476A16">
        <w:rPr>
          <w:rFonts w:ascii="Times New Roman" w:hAnsi="Times New Roman" w:cs="Times New Roman"/>
          <w:sz w:val="26"/>
          <w:szCs w:val="26"/>
        </w:rPr>
        <w:t>).</w:t>
      </w:r>
    </w:p>
    <w:p w14:paraId="76334ED0" w14:textId="77777777" w:rsidR="00DB474C" w:rsidRDefault="00DB474C" w:rsidP="00DB474C">
      <w:pPr>
        <w:jc w:val="center"/>
      </w:pPr>
      <w:r w:rsidRPr="00A2009E">
        <w:rPr>
          <w:noProof/>
          <w:lang w:eastAsia="ru-RU"/>
        </w:rPr>
        <w:drawing>
          <wp:inline distT="0" distB="0" distL="0" distR="0" wp14:anchorId="5254D5CA" wp14:editId="1B9A8552">
            <wp:extent cx="5940425" cy="4081780"/>
            <wp:effectExtent l="0" t="0" r="3175"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4081780"/>
                    </a:xfrm>
                    <a:prstGeom prst="rect">
                      <a:avLst/>
                    </a:prstGeom>
                  </pic:spPr>
                </pic:pic>
              </a:graphicData>
            </a:graphic>
          </wp:inline>
        </w:drawing>
      </w:r>
    </w:p>
    <w:p w14:paraId="2963800B" w14:textId="3390E6A5" w:rsidR="00DB474C" w:rsidRPr="00D05389" w:rsidRDefault="00DB474C" w:rsidP="00DB474C">
      <w:pPr>
        <w:spacing w:after="0" w:line="30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Рис.3.1.3.3.3- Корректировка на право аренды земельного участка по отношению к собственному земельному участку на 01.01.2022 года по данным некоммерческой организации «Ассоциация развития рынка недвижимости «СтатРиелт»</w:t>
      </w:r>
      <w:r w:rsidR="00E91C63">
        <w:rPr>
          <w:rStyle w:val="af2"/>
          <w:rFonts w:ascii="Times New Roman" w:eastAsia="Calibri" w:hAnsi="Times New Roman" w:cs="Times New Roman"/>
          <w:sz w:val="26"/>
          <w:szCs w:val="26"/>
        </w:rPr>
        <w:footnoteReference w:id="72"/>
      </w:r>
    </w:p>
    <w:p w14:paraId="6933F0D9" w14:textId="77777777" w:rsidR="00DB474C" w:rsidRDefault="00DB474C" w:rsidP="00DB474C">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Так как данные коэффициенты выражают отношения удельных цен предложений земельных участков, находящихся на праве аренды, к удельным ценам предложений земельных участков, находящихся на праве собственности, применяются обратные корректировки, т.е.  при расчете удельного показателя рыночной стоимости необходимо делить на корректировку на право.</w:t>
      </w:r>
    </w:p>
    <w:p w14:paraId="08ABA048" w14:textId="77777777" w:rsidR="00DB474C" w:rsidRPr="00227435" w:rsidRDefault="00DB474C" w:rsidP="00DB474C">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Согласно данным «СтатРиелт», размер корректировки на право аренды земельного участка, предоставленного сроком на 49 лет, по отношению к собственному земельному участку, для земельных участков под размещение торговых, офисных, автосервисных и других общественных зданий лежит в доверительном интервале от 0,72 до 0,88 и в среднем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81</w:t>
      </w:r>
      <w:r>
        <w:rPr>
          <w:rFonts w:ascii="Times New Roman" w:eastAsia="Calibri" w:hAnsi="Times New Roman" w:cs="Times New Roman"/>
          <w:sz w:val="26"/>
          <w:szCs w:val="26"/>
        </w:rPr>
        <w:t xml:space="preserve"> (данные на 01.01.2022 года). Для целей оценки принято среднее значение диапазона. В случае, если земельный участок предоставлен в аренду на срок до 20 лет, то необходимо использовать поправку на срок аренды к корректировке на срок аренды на 49 лет. Таким образом корректировка равна: 0,81х0,83=</w:t>
      </w:r>
      <w:r w:rsidRPr="008C322D">
        <w:rPr>
          <w:rFonts w:ascii="Times New Roman" w:eastAsia="Calibri" w:hAnsi="Times New Roman" w:cs="Times New Roman"/>
          <w:b/>
          <w:sz w:val="26"/>
          <w:szCs w:val="26"/>
        </w:rPr>
        <w:t>0,</w:t>
      </w:r>
      <w:r>
        <w:rPr>
          <w:rFonts w:ascii="Times New Roman" w:eastAsia="Calibri" w:hAnsi="Times New Roman" w:cs="Times New Roman"/>
          <w:b/>
          <w:sz w:val="26"/>
          <w:szCs w:val="26"/>
        </w:rPr>
        <w:t>67</w:t>
      </w:r>
      <w:r>
        <w:rPr>
          <w:rFonts w:ascii="Times New Roman" w:eastAsia="Calibri" w:hAnsi="Times New Roman" w:cs="Times New Roman"/>
          <w:sz w:val="26"/>
          <w:szCs w:val="26"/>
        </w:rPr>
        <w:t>.</w:t>
      </w:r>
    </w:p>
    <w:p w14:paraId="6D6CC245" w14:textId="77777777" w:rsidR="00606730" w:rsidRDefault="00606730" w:rsidP="00DB474C">
      <w:pPr>
        <w:spacing w:before="120" w:after="0" w:line="276" w:lineRule="auto"/>
        <w:jc w:val="center"/>
        <w:rPr>
          <w:rFonts w:ascii="Times New Roman" w:hAnsi="Times New Roman" w:cs="Times New Roman"/>
          <w:i/>
          <w:sz w:val="26"/>
          <w:szCs w:val="26"/>
        </w:rPr>
      </w:pPr>
    </w:p>
    <w:p w14:paraId="3B30AFC4" w14:textId="2E542719" w:rsidR="00DB474C" w:rsidRPr="00476A16" w:rsidRDefault="00DB474C" w:rsidP="00DB474C">
      <w:pPr>
        <w:spacing w:before="120" w:after="0" w:line="276" w:lineRule="auto"/>
        <w:jc w:val="center"/>
        <w:rPr>
          <w:rFonts w:ascii="Times New Roman" w:hAnsi="Times New Roman" w:cs="Times New Roman"/>
          <w:i/>
          <w:sz w:val="26"/>
          <w:szCs w:val="26"/>
        </w:rPr>
      </w:pPr>
      <w:r w:rsidRPr="00476A16">
        <w:rPr>
          <w:rFonts w:ascii="Times New Roman" w:hAnsi="Times New Roman" w:cs="Times New Roman"/>
          <w:i/>
          <w:sz w:val="26"/>
          <w:szCs w:val="26"/>
        </w:rPr>
        <w:t>Доля ЗУ</w:t>
      </w:r>
    </w:p>
    <w:p w14:paraId="55D3C23A" w14:textId="0BAA6E21" w:rsidR="00DB474C" w:rsidRDefault="00DB474C" w:rsidP="00DB474C">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Если в качестве объекта-аналога принято предложение (сделка) по продаже застроенного земельного участка, необходимо определить долю стоимости земельного участка в стоимости единого объекта недвижимости. В таком случае доля стоимости земельного участка для 3 сегмента принята на основании приложения №7 к Указаниям, где для социальных объектов рекомендовано 20% (принимаем корректировку </w:t>
      </w:r>
      <w:r w:rsidRPr="00227435">
        <w:rPr>
          <w:rFonts w:ascii="Times New Roman" w:eastAsia="Calibri" w:hAnsi="Times New Roman" w:cs="Times New Roman"/>
          <w:b/>
          <w:sz w:val="26"/>
          <w:szCs w:val="26"/>
        </w:rPr>
        <w:t>0,2</w:t>
      </w:r>
      <w:r>
        <w:rPr>
          <w:rFonts w:ascii="Times New Roman" w:eastAsia="Calibri" w:hAnsi="Times New Roman" w:cs="Times New Roman"/>
          <w:b/>
          <w:sz w:val="26"/>
          <w:szCs w:val="26"/>
        </w:rPr>
        <w:t>0</w:t>
      </w:r>
      <w:r>
        <w:rPr>
          <w:rFonts w:ascii="Times New Roman" w:eastAsia="Calibri" w:hAnsi="Times New Roman" w:cs="Times New Roman"/>
          <w:sz w:val="26"/>
          <w:szCs w:val="26"/>
        </w:rPr>
        <w:t>).</w:t>
      </w:r>
    </w:p>
    <w:p w14:paraId="1C70BCE3" w14:textId="634BC41B" w:rsidR="004A0C0A" w:rsidRDefault="004A0C0A" w:rsidP="004A0C0A">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 xml:space="preserve">Корректировка на </w:t>
      </w:r>
      <w:r w:rsidRPr="00616BF7">
        <w:rPr>
          <w:rFonts w:ascii="Times New Roman" w:hAnsi="Times New Roman" w:cs="Times New Roman"/>
          <w:i/>
          <w:sz w:val="26"/>
          <w:szCs w:val="26"/>
        </w:rPr>
        <w:t>разрешенное использование</w:t>
      </w:r>
    </w:p>
    <w:p w14:paraId="2C0B2237" w14:textId="6E7D5494" w:rsidR="004A0C0A" w:rsidRDefault="004A0C0A" w:rsidP="004A0C0A">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В связи с отсутствием по городу Воронежу и Воронежской области достаточного для построения моделей количества объектов аналогов по 3 сегменту «</w:t>
      </w:r>
      <w:r>
        <w:rPr>
          <w:rFonts w:ascii="Times New Roman" w:hAnsi="Times New Roman" w:cs="Times New Roman"/>
          <w:color w:val="000000"/>
          <w:sz w:val="26"/>
          <w:szCs w:val="26"/>
        </w:rPr>
        <w:t>Общественное использование</w:t>
      </w:r>
      <w:r>
        <w:rPr>
          <w:rFonts w:ascii="Times New Roman" w:hAnsi="Times New Roman" w:cs="Times New Roman"/>
          <w:sz w:val="26"/>
          <w:szCs w:val="26"/>
        </w:rPr>
        <w:t>», были взяты объекты аналоги из наиболее близкого по ценообразованию 4 сегмента «Предпринимательство».</w:t>
      </w:r>
    </w:p>
    <w:p w14:paraId="422C51FA" w14:textId="125CDB76" w:rsidR="004A0C0A" w:rsidRPr="00616BF7" w:rsidRDefault="004A0C0A" w:rsidP="004A0C0A">
      <w:pPr>
        <w:spacing w:after="0" w:line="276" w:lineRule="auto"/>
        <w:ind w:firstLine="709"/>
        <w:jc w:val="both"/>
        <w:rPr>
          <w:rFonts w:ascii="Times New Roman" w:eastAsia="Calibri" w:hAnsi="Times New Roman" w:cs="Times New Roman"/>
          <w:sz w:val="26"/>
          <w:szCs w:val="26"/>
        </w:rPr>
      </w:pPr>
      <w:r>
        <w:rPr>
          <w:rFonts w:ascii="Times New Roman" w:hAnsi="Times New Roman" w:cs="Times New Roman"/>
          <w:sz w:val="26"/>
          <w:szCs w:val="26"/>
        </w:rPr>
        <w:t xml:space="preserve">Коэффициент </w:t>
      </w:r>
      <w:r w:rsidRPr="004A0C0A">
        <w:rPr>
          <w:rFonts w:ascii="Times New Roman" w:hAnsi="Times New Roman" w:cs="Times New Roman"/>
          <w:sz w:val="26"/>
          <w:szCs w:val="26"/>
        </w:rPr>
        <w:t xml:space="preserve">перехода от 4 сегмента к 3 сегменту был расчитан на основании данных </w:t>
      </w:r>
      <w:r w:rsidRPr="004A0C0A">
        <w:rPr>
          <w:rFonts w:ascii="Times New Roman" w:eastAsia="Calibri" w:hAnsi="Times New Roman" w:cs="Times New Roman"/>
          <w:sz w:val="26"/>
          <w:szCs w:val="26"/>
        </w:rPr>
        <w:t xml:space="preserve">о ценах предложений на рынке продаж взятых с сайтов бесплатных объявлений: </w:t>
      </w:r>
      <w:hyperlink r:id="rId67" w:history="1">
        <w:r w:rsidRPr="004A0C0A">
          <w:rPr>
            <w:rStyle w:val="ad"/>
            <w:rFonts w:ascii="Times New Roman" w:eastAsia="Calibri" w:hAnsi="Times New Roman" w:cs="Times New Roman"/>
            <w:color w:val="auto"/>
            <w:sz w:val="26"/>
            <w:szCs w:val="26"/>
            <w:u w:val="none"/>
          </w:rPr>
          <w:t>www.avito.ru</w:t>
        </w:r>
      </w:hyperlink>
      <w:r w:rsidRPr="004A0C0A">
        <w:rPr>
          <w:rFonts w:ascii="Times New Roman" w:eastAsia="Calibri" w:hAnsi="Times New Roman" w:cs="Times New Roman"/>
          <w:sz w:val="26"/>
          <w:szCs w:val="26"/>
        </w:rPr>
        <w:t xml:space="preserve">, </w:t>
      </w:r>
      <w:hyperlink r:id="rId68" w:history="1">
        <w:r w:rsidRPr="004A0C0A">
          <w:rPr>
            <w:rStyle w:val="ad"/>
            <w:rFonts w:ascii="Times New Roman" w:eastAsia="Calibri" w:hAnsi="Times New Roman" w:cs="Times New Roman"/>
            <w:color w:val="auto"/>
            <w:sz w:val="26"/>
            <w:szCs w:val="26"/>
            <w:u w:val="none"/>
          </w:rPr>
          <w:t>www.fgivo.ru</w:t>
        </w:r>
      </w:hyperlink>
      <w:r w:rsidRPr="004A0C0A">
        <w:rPr>
          <w:rStyle w:val="ad"/>
          <w:color w:val="auto"/>
          <w:u w:val="none"/>
        </w:rPr>
        <w:t xml:space="preserve">, </w:t>
      </w:r>
      <w:hyperlink r:id="rId69" w:history="1">
        <w:r w:rsidRPr="004A0C0A">
          <w:rPr>
            <w:rStyle w:val="ad"/>
            <w:rFonts w:ascii="Times New Roman" w:eastAsia="Calibri" w:hAnsi="Times New Roman" w:cs="Times New Roman"/>
            <w:color w:val="auto"/>
            <w:sz w:val="26"/>
            <w:szCs w:val="26"/>
            <w:u w:val="none"/>
          </w:rPr>
          <w:t>www.vrx.ru</w:t>
        </w:r>
      </w:hyperlink>
      <w:r w:rsidRPr="004A0C0A">
        <w:rPr>
          <w:rStyle w:val="ad"/>
          <w:rFonts w:eastAsia="Calibri"/>
          <w:color w:val="auto"/>
          <w:sz w:val="26"/>
          <w:szCs w:val="26"/>
          <w:u w:val="none"/>
        </w:rPr>
        <w:t xml:space="preserve">, </w:t>
      </w:r>
      <w:hyperlink r:id="rId70" w:history="1">
        <w:r w:rsidRPr="004A0C0A">
          <w:rPr>
            <w:rStyle w:val="ad"/>
            <w:rFonts w:ascii="Times New Roman" w:eastAsia="Calibri" w:hAnsi="Times New Roman" w:cs="Times New Roman"/>
            <w:color w:val="auto"/>
            <w:sz w:val="26"/>
            <w:szCs w:val="26"/>
            <w:u w:val="none"/>
          </w:rPr>
          <w:t>www.tvoyadres.ru</w:t>
        </w:r>
      </w:hyperlink>
      <w:r w:rsidRPr="004A0C0A">
        <w:rPr>
          <w:rStyle w:val="ad"/>
          <w:rFonts w:eastAsia="Calibri"/>
          <w:color w:val="auto"/>
          <w:sz w:val="26"/>
          <w:szCs w:val="26"/>
          <w:u w:val="none"/>
        </w:rPr>
        <w:t xml:space="preserve">, </w:t>
      </w:r>
      <w:hyperlink r:id="rId71" w:history="1">
        <w:r w:rsidRPr="004A0C0A">
          <w:rPr>
            <w:rStyle w:val="ad"/>
            <w:rFonts w:ascii="Times New Roman" w:eastAsia="Calibri" w:hAnsi="Times New Roman" w:cs="Times New Roman"/>
            <w:color w:val="auto"/>
            <w:sz w:val="26"/>
            <w:szCs w:val="26"/>
            <w:u w:val="none"/>
          </w:rPr>
          <w:t>www.multilisting.su</w:t>
        </w:r>
      </w:hyperlink>
      <w:r w:rsidRPr="004A0C0A">
        <w:rPr>
          <w:rStyle w:val="ad"/>
          <w:rFonts w:eastAsia="Calibri"/>
          <w:color w:val="auto"/>
          <w:sz w:val="26"/>
          <w:szCs w:val="26"/>
          <w:u w:val="none"/>
        </w:rPr>
        <w:t xml:space="preserve">, </w:t>
      </w:r>
      <w:hyperlink r:id="rId72" w:history="1">
        <w:r w:rsidRPr="004A0C0A">
          <w:rPr>
            <w:rStyle w:val="ad"/>
            <w:rFonts w:ascii="Times New Roman" w:eastAsia="Calibri" w:hAnsi="Times New Roman" w:cs="Times New Roman"/>
            <w:color w:val="auto"/>
            <w:sz w:val="26"/>
            <w:szCs w:val="26"/>
            <w:u w:val="none"/>
          </w:rPr>
          <w:t>www.torgi.gov.ru</w:t>
        </w:r>
      </w:hyperlink>
      <w:r w:rsidR="000E341E">
        <w:rPr>
          <w:rStyle w:val="ad"/>
          <w:rFonts w:ascii="Times New Roman" w:eastAsia="Calibri" w:hAnsi="Times New Roman" w:cs="Times New Roman"/>
          <w:color w:val="auto"/>
          <w:sz w:val="26"/>
          <w:szCs w:val="26"/>
          <w:u w:val="none"/>
        </w:rPr>
        <w:t>,</w:t>
      </w:r>
      <w:r w:rsidRPr="004A0C0A">
        <w:rPr>
          <w:rStyle w:val="ad"/>
          <w:rFonts w:eastAsia="Calibri"/>
          <w:color w:val="auto"/>
          <w:sz w:val="26"/>
          <w:szCs w:val="26"/>
          <w:u w:val="none"/>
        </w:rPr>
        <w:t xml:space="preserve"> </w:t>
      </w:r>
      <w:r w:rsidRPr="004A0C0A">
        <w:rPr>
          <w:rStyle w:val="ad"/>
          <w:rFonts w:ascii="Times New Roman" w:eastAsia="Calibri" w:hAnsi="Times New Roman" w:cs="Times New Roman"/>
          <w:color w:val="auto"/>
          <w:sz w:val="26"/>
          <w:szCs w:val="26"/>
          <w:u w:val="none"/>
        </w:rPr>
        <w:t>и сделок</w:t>
      </w:r>
      <w:r w:rsidRPr="004A0C0A">
        <w:rPr>
          <w:rStyle w:val="ad"/>
          <w:rFonts w:ascii="Times New Roman" w:hAnsi="Times New Roman" w:cs="Times New Roman"/>
          <w:color w:val="auto"/>
          <w:u w:val="none"/>
        </w:rPr>
        <w:t xml:space="preserve"> </w:t>
      </w:r>
      <w:r w:rsidRPr="00616BF7">
        <w:rPr>
          <w:rStyle w:val="ad"/>
          <w:rFonts w:ascii="Times New Roman" w:hAnsi="Times New Roman" w:cs="Times New Roman"/>
          <w:color w:val="auto"/>
          <w:sz w:val="26"/>
          <w:szCs w:val="26"/>
          <w:u w:val="none"/>
        </w:rPr>
        <w:t>Росреестра</w:t>
      </w:r>
      <w:r w:rsidRPr="00616BF7">
        <w:rPr>
          <w:rFonts w:ascii="Times New Roman" w:eastAsia="Calibri" w:hAnsi="Times New Roman" w:cs="Times New Roman"/>
          <w:sz w:val="26"/>
          <w:szCs w:val="26"/>
        </w:rPr>
        <w:t>.</w:t>
      </w:r>
    </w:p>
    <w:p w14:paraId="3951ADED" w14:textId="12C71E2F" w:rsidR="004A0C0A" w:rsidRDefault="004A0C0A" w:rsidP="004A0C0A">
      <w:pPr>
        <w:spacing w:after="0" w:line="276" w:lineRule="auto"/>
        <w:ind w:firstLine="709"/>
        <w:jc w:val="both"/>
        <w:rPr>
          <w:rFonts w:ascii="Times New Roman" w:hAnsi="Times New Roman" w:cs="Times New Roman"/>
          <w:sz w:val="26"/>
          <w:szCs w:val="26"/>
        </w:rPr>
      </w:pPr>
      <w:r w:rsidRPr="004A0C0A">
        <w:rPr>
          <w:rFonts w:ascii="Times New Roman" w:hAnsi="Times New Roman" w:cs="Times New Roman"/>
          <w:i/>
          <w:sz w:val="26"/>
          <w:szCs w:val="26"/>
        </w:rPr>
        <w:t xml:space="preserve">Среднее значение коэффициента перехода от 4 сегмента к </w:t>
      </w:r>
      <w:r w:rsidR="00A8484A">
        <w:rPr>
          <w:rFonts w:ascii="Times New Roman" w:hAnsi="Times New Roman" w:cs="Times New Roman"/>
          <w:i/>
          <w:sz w:val="26"/>
          <w:szCs w:val="26"/>
        </w:rPr>
        <w:t>3</w:t>
      </w:r>
      <w:r w:rsidRPr="004A0C0A">
        <w:rPr>
          <w:rFonts w:ascii="Times New Roman" w:hAnsi="Times New Roman" w:cs="Times New Roman"/>
          <w:i/>
          <w:sz w:val="26"/>
          <w:szCs w:val="26"/>
        </w:rPr>
        <w:t xml:space="preserve"> сегменту рав</w:t>
      </w:r>
      <w:r w:rsidR="00A8484A">
        <w:rPr>
          <w:rFonts w:ascii="Times New Roman" w:hAnsi="Times New Roman" w:cs="Times New Roman"/>
          <w:i/>
          <w:sz w:val="26"/>
          <w:szCs w:val="26"/>
        </w:rPr>
        <w:t>но</w:t>
      </w:r>
      <w:r>
        <w:rPr>
          <w:rFonts w:ascii="Times New Roman" w:hAnsi="Times New Roman" w:cs="Times New Roman"/>
          <w:sz w:val="26"/>
          <w:szCs w:val="26"/>
        </w:rPr>
        <w:t xml:space="preserve"> </w:t>
      </w:r>
      <w:r w:rsidRPr="00900D4C">
        <w:rPr>
          <w:rFonts w:ascii="Times New Roman" w:hAnsi="Times New Roman" w:cs="Times New Roman"/>
          <w:b/>
          <w:sz w:val="26"/>
          <w:szCs w:val="26"/>
        </w:rPr>
        <w:t>0,</w:t>
      </w:r>
      <w:r>
        <w:rPr>
          <w:rFonts w:ascii="Times New Roman" w:hAnsi="Times New Roman" w:cs="Times New Roman"/>
          <w:b/>
          <w:sz w:val="26"/>
          <w:szCs w:val="26"/>
        </w:rPr>
        <w:t>72</w:t>
      </w:r>
      <w:r>
        <w:rPr>
          <w:rFonts w:ascii="Times New Roman" w:hAnsi="Times New Roman" w:cs="Times New Roman"/>
          <w:sz w:val="26"/>
          <w:szCs w:val="26"/>
        </w:rPr>
        <w:t>.</w:t>
      </w:r>
    </w:p>
    <w:p w14:paraId="038D5E3D" w14:textId="7D8E1012" w:rsidR="00B671CF" w:rsidRDefault="004A0C0A" w:rsidP="004A0C0A">
      <w:pPr>
        <w:spacing w:after="0" w:line="276" w:lineRule="auto"/>
        <w:ind w:firstLine="709"/>
        <w:jc w:val="both"/>
        <w:rPr>
          <w:rFonts w:ascii="Times New Roman" w:hAnsi="Times New Roman"/>
          <w:bCs/>
          <w:sz w:val="26"/>
          <w:szCs w:val="26"/>
        </w:rPr>
      </w:pPr>
      <w:r>
        <w:rPr>
          <w:rFonts w:ascii="Times New Roman" w:hAnsi="Times New Roman" w:cs="Times New Roman"/>
          <w:sz w:val="26"/>
          <w:szCs w:val="26"/>
        </w:rPr>
        <w:t>Так как рынок 4 сегмента, так же, как и рынок 3 сегмента по городу Воронежу и Воронежской области развит слабо, Уче</w:t>
      </w:r>
      <w:r w:rsidRPr="002F06CB">
        <w:rPr>
          <w:rFonts w:ascii="Times New Roman" w:hAnsi="Times New Roman" w:cs="Times New Roman"/>
          <w:sz w:val="26"/>
          <w:szCs w:val="26"/>
        </w:rPr>
        <w:t xml:space="preserve">реждением принято решение провести </w:t>
      </w:r>
      <w:r w:rsidR="00DC20E2">
        <w:rPr>
          <w:rFonts w:ascii="Times New Roman" w:hAnsi="Times New Roman" w:cs="Times New Roman"/>
          <w:sz w:val="26"/>
          <w:szCs w:val="26"/>
        </w:rPr>
        <w:t>добор аналогов</w:t>
      </w:r>
      <w:r w:rsidRPr="002F06CB">
        <w:rPr>
          <w:rFonts w:ascii="Times New Roman" w:hAnsi="Times New Roman" w:cs="Times New Roman"/>
          <w:sz w:val="26"/>
          <w:szCs w:val="26"/>
        </w:rPr>
        <w:t xml:space="preserve"> из наиболее распространенного сегмента рынка – 13 «Садоводство и </w:t>
      </w:r>
      <w:r w:rsidRPr="002F06CB">
        <w:rPr>
          <w:rFonts w:ascii="Times New Roman" w:hAnsi="Times New Roman"/>
          <w:bCs/>
          <w:sz w:val="26"/>
          <w:szCs w:val="26"/>
        </w:rPr>
        <w:t>огородничество, малоэтажная жилая застройка».</w:t>
      </w:r>
    </w:p>
    <w:p w14:paraId="1C83833D" w14:textId="088F7BCF" w:rsidR="004A0C0A" w:rsidRDefault="004A0C0A" w:rsidP="004A0C0A">
      <w:pPr>
        <w:spacing w:after="0" w:line="276" w:lineRule="auto"/>
        <w:ind w:firstLine="709"/>
        <w:jc w:val="both"/>
        <w:rPr>
          <w:rFonts w:ascii="Times New Roman" w:eastAsia="Calibri" w:hAnsi="Times New Roman" w:cs="Times New Roman"/>
          <w:sz w:val="26"/>
          <w:szCs w:val="26"/>
        </w:rPr>
      </w:pPr>
      <w:r>
        <w:rPr>
          <w:rFonts w:ascii="Times New Roman" w:hAnsi="Times New Roman" w:cs="Times New Roman"/>
          <w:sz w:val="26"/>
          <w:szCs w:val="26"/>
        </w:rPr>
        <w:t xml:space="preserve">Коэффициент </w:t>
      </w:r>
      <w:r w:rsidRPr="004A0C0A">
        <w:rPr>
          <w:rFonts w:ascii="Times New Roman" w:hAnsi="Times New Roman" w:cs="Times New Roman"/>
          <w:sz w:val="26"/>
          <w:szCs w:val="26"/>
        </w:rPr>
        <w:t xml:space="preserve">перехода от </w:t>
      </w:r>
      <w:r>
        <w:rPr>
          <w:rFonts w:ascii="Times New Roman" w:hAnsi="Times New Roman" w:cs="Times New Roman"/>
          <w:sz w:val="26"/>
          <w:szCs w:val="26"/>
        </w:rPr>
        <w:t>13</w:t>
      </w:r>
      <w:r w:rsidRPr="004A0C0A">
        <w:rPr>
          <w:rFonts w:ascii="Times New Roman" w:hAnsi="Times New Roman" w:cs="Times New Roman"/>
          <w:sz w:val="26"/>
          <w:szCs w:val="26"/>
        </w:rPr>
        <w:t xml:space="preserve"> сегмента к 3 сегменту был расчитан на основании данных </w:t>
      </w:r>
      <w:r w:rsidRPr="004A0C0A">
        <w:rPr>
          <w:rFonts w:ascii="Times New Roman" w:eastAsia="Calibri" w:hAnsi="Times New Roman" w:cs="Times New Roman"/>
          <w:sz w:val="26"/>
          <w:szCs w:val="26"/>
        </w:rPr>
        <w:t xml:space="preserve">о ценах предложений на рынке продаж взятых с сайтов бесплатных объявлений: </w:t>
      </w:r>
      <w:hyperlink r:id="rId73" w:history="1">
        <w:r w:rsidRPr="004A0C0A">
          <w:rPr>
            <w:rStyle w:val="ad"/>
            <w:rFonts w:ascii="Times New Roman" w:eastAsia="Calibri" w:hAnsi="Times New Roman" w:cs="Times New Roman"/>
            <w:color w:val="auto"/>
            <w:sz w:val="26"/>
            <w:szCs w:val="26"/>
            <w:u w:val="none"/>
          </w:rPr>
          <w:t>www.fgivo.ru</w:t>
        </w:r>
      </w:hyperlink>
      <w:r w:rsidRPr="004A0C0A">
        <w:rPr>
          <w:rStyle w:val="ad"/>
          <w:color w:val="auto"/>
          <w:u w:val="none"/>
        </w:rPr>
        <w:t xml:space="preserve">, </w:t>
      </w:r>
      <w:hyperlink r:id="rId74" w:history="1">
        <w:r w:rsidRPr="004A0C0A">
          <w:rPr>
            <w:rStyle w:val="ad"/>
            <w:rFonts w:ascii="Times New Roman" w:eastAsia="Calibri" w:hAnsi="Times New Roman" w:cs="Times New Roman"/>
            <w:color w:val="auto"/>
            <w:sz w:val="26"/>
            <w:szCs w:val="26"/>
            <w:u w:val="none"/>
          </w:rPr>
          <w:t>www.torgi.gov.ru</w:t>
        </w:r>
      </w:hyperlink>
      <w:r w:rsidR="00893FB5">
        <w:rPr>
          <w:rStyle w:val="ad"/>
          <w:rFonts w:ascii="Times New Roman" w:eastAsia="Calibri" w:hAnsi="Times New Roman" w:cs="Times New Roman"/>
          <w:color w:val="auto"/>
          <w:sz w:val="26"/>
          <w:szCs w:val="26"/>
          <w:u w:val="none"/>
        </w:rPr>
        <w:t>,</w:t>
      </w:r>
      <w:r w:rsidRPr="004A0C0A">
        <w:rPr>
          <w:rStyle w:val="ad"/>
          <w:rFonts w:eastAsia="Calibri"/>
          <w:color w:val="auto"/>
          <w:sz w:val="26"/>
          <w:szCs w:val="26"/>
          <w:u w:val="none"/>
        </w:rPr>
        <w:t xml:space="preserve"> </w:t>
      </w:r>
      <w:r w:rsidRPr="004A0C0A">
        <w:rPr>
          <w:rStyle w:val="ad"/>
          <w:rFonts w:ascii="Times New Roman" w:eastAsia="Calibri" w:hAnsi="Times New Roman" w:cs="Times New Roman"/>
          <w:color w:val="auto"/>
          <w:sz w:val="26"/>
          <w:szCs w:val="26"/>
          <w:u w:val="none"/>
        </w:rPr>
        <w:t>и сделок</w:t>
      </w:r>
      <w:r w:rsidRPr="004A0C0A">
        <w:rPr>
          <w:rStyle w:val="ad"/>
          <w:rFonts w:ascii="Times New Roman" w:hAnsi="Times New Roman" w:cs="Times New Roman"/>
          <w:color w:val="auto"/>
          <w:u w:val="none"/>
        </w:rPr>
        <w:t xml:space="preserve"> </w:t>
      </w:r>
      <w:r w:rsidRPr="00616BF7">
        <w:rPr>
          <w:rStyle w:val="ad"/>
          <w:rFonts w:ascii="Times New Roman" w:hAnsi="Times New Roman" w:cs="Times New Roman"/>
          <w:color w:val="auto"/>
          <w:sz w:val="26"/>
          <w:szCs w:val="26"/>
          <w:u w:val="none"/>
        </w:rPr>
        <w:t>Росреестра</w:t>
      </w:r>
      <w:r w:rsidRPr="00616BF7">
        <w:rPr>
          <w:rFonts w:ascii="Times New Roman" w:eastAsia="Calibri" w:hAnsi="Times New Roman" w:cs="Times New Roman"/>
          <w:sz w:val="26"/>
          <w:szCs w:val="26"/>
        </w:rPr>
        <w:t>.</w:t>
      </w:r>
    </w:p>
    <w:p w14:paraId="5AA32D52" w14:textId="02A513E3" w:rsidR="004A0C0A" w:rsidRDefault="004A0C0A" w:rsidP="004A0C0A">
      <w:pPr>
        <w:spacing w:after="0" w:line="276" w:lineRule="auto"/>
        <w:ind w:firstLine="709"/>
        <w:jc w:val="both"/>
        <w:rPr>
          <w:rFonts w:ascii="Times New Roman" w:hAnsi="Times New Roman" w:cs="Times New Roman"/>
          <w:sz w:val="26"/>
          <w:szCs w:val="26"/>
        </w:rPr>
      </w:pPr>
      <w:r w:rsidRPr="00B15A1F">
        <w:rPr>
          <w:rFonts w:ascii="Times New Roman" w:hAnsi="Times New Roman" w:cs="Times New Roman"/>
          <w:i/>
          <w:sz w:val="26"/>
          <w:szCs w:val="26"/>
        </w:rPr>
        <w:t xml:space="preserve">Среднее значение коэффициента перехода </w:t>
      </w:r>
      <w:r>
        <w:rPr>
          <w:rFonts w:ascii="Times New Roman" w:hAnsi="Times New Roman" w:cs="Times New Roman"/>
          <w:i/>
          <w:sz w:val="26"/>
          <w:szCs w:val="26"/>
        </w:rPr>
        <w:t>от 13 сегмента к</w:t>
      </w:r>
      <w:r w:rsidRPr="00B15A1F">
        <w:rPr>
          <w:rFonts w:ascii="Times New Roman" w:hAnsi="Times New Roman" w:cs="Times New Roman"/>
          <w:i/>
          <w:sz w:val="26"/>
          <w:szCs w:val="26"/>
        </w:rPr>
        <w:t xml:space="preserve"> </w:t>
      </w:r>
      <w:r>
        <w:rPr>
          <w:rFonts w:ascii="Times New Roman" w:hAnsi="Times New Roman" w:cs="Times New Roman"/>
          <w:i/>
          <w:sz w:val="26"/>
          <w:szCs w:val="26"/>
        </w:rPr>
        <w:t>3</w:t>
      </w:r>
      <w:r w:rsidRPr="00B15A1F">
        <w:rPr>
          <w:rFonts w:ascii="Times New Roman" w:hAnsi="Times New Roman" w:cs="Times New Roman"/>
          <w:i/>
          <w:sz w:val="26"/>
          <w:szCs w:val="26"/>
        </w:rPr>
        <w:t xml:space="preserve"> сегмент</w:t>
      </w:r>
      <w:r>
        <w:rPr>
          <w:rFonts w:ascii="Times New Roman" w:hAnsi="Times New Roman" w:cs="Times New Roman"/>
          <w:i/>
          <w:sz w:val="26"/>
          <w:szCs w:val="26"/>
        </w:rPr>
        <w:t>у</w:t>
      </w:r>
      <w:r w:rsidRPr="00B15A1F">
        <w:rPr>
          <w:rFonts w:ascii="Times New Roman" w:hAnsi="Times New Roman" w:cs="Times New Roman"/>
          <w:i/>
          <w:sz w:val="26"/>
          <w:szCs w:val="26"/>
        </w:rPr>
        <w:t xml:space="preserve"> равн</w:t>
      </w:r>
      <w:r w:rsidR="00A8484A">
        <w:rPr>
          <w:rFonts w:ascii="Times New Roman" w:hAnsi="Times New Roman" w:cs="Times New Roman"/>
          <w:i/>
          <w:sz w:val="26"/>
          <w:szCs w:val="26"/>
        </w:rPr>
        <w:t>о</w:t>
      </w:r>
      <w:r>
        <w:rPr>
          <w:rFonts w:ascii="Times New Roman" w:hAnsi="Times New Roman" w:cs="Times New Roman"/>
          <w:sz w:val="26"/>
          <w:szCs w:val="26"/>
        </w:rPr>
        <w:t xml:space="preserve"> </w:t>
      </w:r>
      <w:r>
        <w:rPr>
          <w:rFonts w:ascii="Times New Roman" w:hAnsi="Times New Roman" w:cs="Times New Roman"/>
          <w:b/>
          <w:sz w:val="26"/>
          <w:szCs w:val="26"/>
        </w:rPr>
        <w:t>2,05</w:t>
      </w:r>
      <w:r w:rsidRPr="00B15A1F">
        <w:rPr>
          <w:rFonts w:ascii="Times New Roman" w:hAnsi="Times New Roman" w:cs="Times New Roman"/>
          <w:sz w:val="26"/>
          <w:szCs w:val="26"/>
        </w:rPr>
        <w:t>.</w:t>
      </w:r>
    </w:p>
    <w:p w14:paraId="47E6E5CB" w14:textId="380413C1" w:rsidR="00CF2190" w:rsidRDefault="004A0C0A" w:rsidP="00CF2190">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Расчет коэффициентов перехода представлен в </w:t>
      </w:r>
      <w:r w:rsidR="00CF2190" w:rsidRPr="004743AD">
        <w:rPr>
          <w:rFonts w:ascii="Times New Roman" w:hAnsi="Times New Roman" w:cs="Times New Roman"/>
          <w:sz w:val="26"/>
          <w:szCs w:val="26"/>
        </w:rPr>
        <w:t xml:space="preserve">Приложении </w:t>
      </w:r>
      <w:r w:rsidR="00E20613">
        <w:rPr>
          <w:rFonts w:ascii="Times New Roman" w:hAnsi="Times New Roman" w:cs="Times New Roman"/>
          <w:sz w:val="26"/>
          <w:szCs w:val="26"/>
        </w:rPr>
        <w:t>1/</w:t>
      </w:r>
      <w:r w:rsidR="007B7DEB">
        <w:rPr>
          <w:rFonts w:ascii="Times New Roman" w:hAnsi="Times New Roman" w:cs="Times New Roman"/>
          <w:sz w:val="26"/>
          <w:szCs w:val="26"/>
        </w:rPr>
        <w:t>1.6/</w:t>
      </w:r>
      <w:r w:rsidR="00CF2190" w:rsidRPr="004743AD">
        <w:rPr>
          <w:rFonts w:ascii="Times New Roman" w:hAnsi="Times New Roman" w:cs="Times New Roman"/>
          <w:sz w:val="26"/>
          <w:szCs w:val="26"/>
        </w:rPr>
        <w:t>1.6.2</w:t>
      </w:r>
      <w:r w:rsidR="00E20613">
        <w:rPr>
          <w:rFonts w:ascii="Times New Roman" w:hAnsi="Times New Roman" w:cs="Times New Roman"/>
          <w:sz w:val="26"/>
          <w:szCs w:val="26"/>
        </w:rPr>
        <w:t>.</w:t>
      </w:r>
    </w:p>
    <w:p w14:paraId="37CF049C" w14:textId="77777777" w:rsidR="00DB474C" w:rsidRPr="003E35BC" w:rsidRDefault="00DB474C" w:rsidP="00DB474C">
      <w:pPr>
        <w:pStyle w:val="af5"/>
        <w:shd w:val="clear" w:color="auto" w:fill="FFFFFF"/>
        <w:spacing w:before="120" w:beforeAutospacing="0" w:after="0" w:afterAutospacing="0" w:line="276" w:lineRule="auto"/>
        <w:ind w:firstLine="709"/>
        <w:jc w:val="center"/>
        <w:rPr>
          <w:b/>
          <w:i/>
          <w:sz w:val="26"/>
          <w:szCs w:val="26"/>
        </w:rPr>
      </w:pPr>
      <w:r w:rsidRPr="003E35BC">
        <w:rPr>
          <w:b/>
          <w:i/>
          <w:sz w:val="26"/>
          <w:szCs w:val="26"/>
        </w:rPr>
        <w:t>Анализ рыночной информации</w:t>
      </w:r>
    </w:p>
    <w:p w14:paraId="1BF0B0D6" w14:textId="77777777" w:rsidR="00DB474C" w:rsidRPr="002F245A" w:rsidRDefault="00DB474C" w:rsidP="00DB474C">
      <w:pPr>
        <w:spacing w:before="120" w:after="0" w:line="276" w:lineRule="auto"/>
        <w:ind w:firstLine="567"/>
        <w:jc w:val="both"/>
        <w:rPr>
          <w:rFonts w:ascii="Times New Roman" w:hAnsi="Times New Roman" w:cs="Times New Roman"/>
          <w:b/>
          <w:sz w:val="26"/>
          <w:szCs w:val="26"/>
        </w:rPr>
      </w:pPr>
      <w:r w:rsidRPr="002F245A">
        <w:rPr>
          <w:rFonts w:ascii="Times New Roman" w:hAnsi="Times New Roman" w:cs="Times New Roman"/>
          <w:sz w:val="26"/>
          <w:szCs w:val="26"/>
        </w:rPr>
        <w:t xml:space="preserve">Далее представлена информация о предложениях (сделках) </w:t>
      </w:r>
      <w:r>
        <w:rPr>
          <w:rFonts w:ascii="Times New Roman" w:hAnsi="Times New Roman" w:cs="Times New Roman"/>
          <w:sz w:val="26"/>
          <w:szCs w:val="26"/>
        </w:rPr>
        <w:t>сегмента</w:t>
      </w:r>
      <w:r w:rsidRPr="002F245A">
        <w:rPr>
          <w:rFonts w:ascii="Times New Roman" w:hAnsi="Times New Roman" w:cs="Times New Roman"/>
          <w:sz w:val="26"/>
          <w:szCs w:val="26"/>
        </w:rPr>
        <w:t xml:space="preserve"> «</w:t>
      </w:r>
      <w:r w:rsidRPr="005F3FDE">
        <w:rPr>
          <w:rFonts w:ascii="Times New Roman" w:hAnsi="Times New Roman" w:cs="Times New Roman"/>
          <w:sz w:val="26"/>
          <w:szCs w:val="26"/>
        </w:rPr>
        <w:t>«</w:t>
      </w:r>
      <w:r>
        <w:rPr>
          <w:rFonts w:ascii="Times New Roman" w:hAnsi="Times New Roman" w:cs="Times New Roman"/>
          <w:sz w:val="26"/>
          <w:szCs w:val="26"/>
        </w:rPr>
        <w:t>Общественное использование</w:t>
      </w:r>
      <w:r>
        <w:rPr>
          <w:rFonts w:ascii="Times New Roman" w:hAnsi="Times New Roman" w:cs="Times New Roman"/>
          <w:color w:val="000000"/>
          <w:sz w:val="26"/>
          <w:szCs w:val="26"/>
        </w:rPr>
        <w:t xml:space="preserve">» </w:t>
      </w:r>
      <w:r w:rsidRPr="002F245A">
        <w:rPr>
          <w:rFonts w:ascii="Times New Roman" w:hAnsi="Times New Roman" w:cs="Times New Roman"/>
          <w:sz w:val="26"/>
          <w:szCs w:val="26"/>
        </w:rPr>
        <w:t>на рынке недвижимости Воронежской области. Наибольшее количество сосредоточено непосредственно в г.</w:t>
      </w:r>
      <w:r>
        <w:rPr>
          <w:rFonts w:ascii="Times New Roman" w:hAnsi="Times New Roman" w:cs="Times New Roman"/>
          <w:sz w:val="26"/>
          <w:szCs w:val="26"/>
        </w:rPr>
        <w:t>о.г.</w:t>
      </w:r>
      <w:r w:rsidRPr="002F245A">
        <w:rPr>
          <w:rFonts w:ascii="Times New Roman" w:hAnsi="Times New Roman" w:cs="Times New Roman"/>
          <w:sz w:val="26"/>
          <w:szCs w:val="26"/>
        </w:rPr>
        <w:t xml:space="preserve"> Воронеж </w:t>
      </w:r>
      <w:r>
        <w:rPr>
          <w:rFonts w:ascii="Times New Roman" w:hAnsi="Times New Roman" w:cs="Times New Roman"/>
          <w:sz w:val="26"/>
          <w:szCs w:val="26"/>
        </w:rPr>
        <w:t>–</w:t>
      </w:r>
      <w:r w:rsidRPr="002F245A">
        <w:rPr>
          <w:rFonts w:ascii="Times New Roman" w:hAnsi="Times New Roman" w:cs="Times New Roman"/>
          <w:sz w:val="26"/>
          <w:szCs w:val="26"/>
        </w:rPr>
        <w:t xml:space="preserve"> </w:t>
      </w:r>
      <w:r>
        <w:rPr>
          <w:rFonts w:ascii="Times New Roman" w:hAnsi="Times New Roman" w:cs="Times New Roman"/>
          <w:sz w:val="26"/>
          <w:szCs w:val="26"/>
        </w:rPr>
        <w:t>48,05</w:t>
      </w:r>
      <w:r w:rsidRPr="002F245A">
        <w:rPr>
          <w:rFonts w:ascii="Times New Roman" w:hAnsi="Times New Roman" w:cs="Times New Roman"/>
          <w:sz w:val="26"/>
          <w:szCs w:val="26"/>
        </w:rPr>
        <w:t>% от общего количества предложений (сделок) по региону.</w:t>
      </w:r>
    </w:p>
    <w:p w14:paraId="7BBCC540" w14:textId="77777777" w:rsidR="00DB474C" w:rsidRPr="002F245A" w:rsidRDefault="00DB474C" w:rsidP="00DB474C">
      <w:pPr>
        <w:spacing w:after="0" w:line="276" w:lineRule="auto"/>
        <w:ind w:firstLine="708"/>
        <w:jc w:val="right"/>
        <w:rPr>
          <w:rFonts w:ascii="Times New Roman" w:hAnsi="Times New Roman" w:cs="Times New Roman"/>
          <w:sz w:val="26"/>
          <w:szCs w:val="26"/>
        </w:rPr>
      </w:pPr>
      <w:r w:rsidRPr="00E87C86">
        <w:rPr>
          <w:rFonts w:ascii="Times New Roman" w:hAnsi="Times New Roman" w:cs="Times New Roman"/>
          <w:sz w:val="26"/>
          <w:szCs w:val="26"/>
        </w:rPr>
        <w:t xml:space="preserve">Таблица </w:t>
      </w:r>
      <w:r w:rsidRPr="00966048">
        <w:rPr>
          <w:rFonts w:ascii="Times New Roman" w:hAnsi="Times New Roman" w:cs="Times New Roman"/>
          <w:sz w:val="26"/>
          <w:szCs w:val="26"/>
        </w:rPr>
        <w:t>3.1.3.3.2</w:t>
      </w:r>
    </w:p>
    <w:p w14:paraId="13E81B58" w14:textId="77777777" w:rsidR="00DB474C" w:rsidRDefault="00DB474C" w:rsidP="00DB474C">
      <w:pPr>
        <w:spacing w:after="0" w:line="300" w:lineRule="auto"/>
        <w:ind w:firstLine="567"/>
        <w:jc w:val="center"/>
        <w:rPr>
          <w:rFonts w:ascii="Times New Roman" w:eastAsia="Calibri" w:hAnsi="Times New Roman" w:cs="Times New Roman"/>
          <w:sz w:val="26"/>
          <w:szCs w:val="26"/>
        </w:rPr>
      </w:pPr>
      <w:r w:rsidRPr="00D056FC">
        <w:rPr>
          <w:rFonts w:ascii="Times New Roman" w:eastAsia="Calibri" w:hAnsi="Times New Roman" w:cs="Times New Roman"/>
          <w:sz w:val="26"/>
          <w:szCs w:val="26"/>
        </w:rPr>
        <w:t>Анализ рыночной информации по земельным участкам сегмента "Общественное использование"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843"/>
        <w:gridCol w:w="1560"/>
        <w:gridCol w:w="2267"/>
        <w:gridCol w:w="1553"/>
      </w:tblGrid>
      <w:tr w:rsidR="00DB474C" w:rsidRPr="00D803E2" w14:paraId="69B0C7E6" w14:textId="77777777" w:rsidTr="00E564BF">
        <w:trPr>
          <w:trHeight w:val="559"/>
          <w:jc w:val="center"/>
        </w:trPr>
        <w:tc>
          <w:tcPr>
            <w:tcW w:w="1135" w:type="pct"/>
            <w:shd w:val="clear" w:color="auto" w:fill="auto"/>
            <w:noWrap/>
            <w:vAlign w:val="center"/>
          </w:tcPr>
          <w:p w14:paraId="4A6DB272" w14:textId="77777777" w:rsidR="00DB474C" w:rsidRPr="00D803E2" w:rsidRDefault="00DB474C" w:rsidP="00DB474C">
            <w:pPr>
              <w:spacing w:after="0" w:line="240" w:lineRule="auto"/>
              <w:jc w:val="center"/>
              <w:rPr>
                <w:rFonts w:ascii="Times New Roman" w:eastAsia="Times New Roman" w:hAnsi="Times New Roman" w:cs="Times New Roman"/>
                <w:b/>
                <w:color w:val="000000" w:themeColor="text1"/>
                <w:lang w:eastAsia="ru-RU"/>
              </w:rPr>
            </w:pPr>
          </w:p>
        </w:tc>
        <w:tc>
          <w:tcPr>
            <w:tcW w:w="3034" w:type="pct"/>
            <w:gridSpan w:val="3"/>
            <w:shd w:val="clear" w:color="auto" w:fill="auto"/>
            <w:noWrap/>
            <w:vAlign w:val="center"/>
          </w:tcPr>
          <w:p w14:paraId="6D639115" w14:textId="77777777" w:rsidR="00DB474C" w:rsidRPr="00D803E2" w:rsidRDefault="00DB474C" w:rsidP="00DB474C">
            <w:pPr>
              <w:spacing w:after="0" w:line="240" w:lineRule="auto"/>
              <w:jc w:val="center"/>
              <w:rPr>
                <w:rFonts w:ascii="Times New Roman" w:eastAsia="Times New Roman" w:hAnsi="Times New Roman" w:cs="Times New Roman"/>
                <w:b/>
                <w:color w:val="000000" w:themeColor="text1"/>
                <w:lang w:eastAsia="ru-RU"/>
              </w:rPr>
            </w:pPr>
            <w:r w:rsidRPr="00D803E2">
              <w:rPr>
                <w:rFonts w:ascii="Times New Roman" w:eastAsia="Times New Roman" w:hAnsi="Times New Roman" w:cs="Times New Roman"/>
                <w:b/>
                <w:color w:val="000000" w:themeColor="text1"/>
                <w:lang w:eastAsia="ru-RU"/>
              </w:rPr>
              <w:t>Удельный показатель рыночной стоимости, руб./кв.м</w:t>
            </w:r>
          </w:p>
        </w:tc>
        <w:tc>
          <w:tcPr>
            <w:tcW w:w="831" w:type="pct"/>
            <w:vMerge w:val="restart"/>
            <w:vAlign w:val="center"/>
          </w:tcPr>
          <w:p w14:paraId="1FC1D262" w14:textId="77777777" w:rsidR="00DB474C" w:rsidRPr="00D803E2" w:rsidRDefault="00DB474C" w:rsidP="00DB474C">
            <w:pPr>
              <w:spacing w:after="0" w:line="240" w:lineRule="auto"/>
              <w:jc w:val="center"/>
              <w:rPr>
                <w:rFonts w:ascii="Times New Roman" w:eastAsia="Times New Roman" w:hAnsi="Times New Roman" w:cs="Times New Roman"/>
                <w:b/>
                <w:color w:val="000000" w:themeColor="text1"/>
                <w:lang w:eastAsia="ru-RU"/>
              </w:rPr>
            </w:pPr>
            <w:r w:rsidRPr="00D803E2">
              <w:rPr>
                <w:rFonts w:ascii="Times New Roman" w:eastAsia="Times New Roman" w:hAnsi="Times New Roman" w:cs="Times New Roman"/>
                <w:b/>
                <w:color w:val="000000" w:themeColor="text1"/>
                <w:lang w:eastAsia="ru-RU"/>
              </w:rPr>
              <w:t>Количество предложений (сделок)</w:t>
            </w:r>
          </w:p>
        </w:tc>
      </w:tr>
      <w:tr w:rsidR="00DB474C" w:rsidRPr="00D803E2" w14:paraId="61A9BA46" w14:textId="77777777" w:rsidTr="00E564BF">
        <w:trPr>
          <w:trHeight w:val="551"/>
          <w:jc w:val="center"/>
        </w:trPr>
        <w:tc>
          <w:tcPr>
            <w:tcW w:w="1135" w:type="pct"/>
            <w:shd w:val="clear" w:color="auto" w:fill="auto"/>
            <w:noWrap/>
            <w:vAlign w:val="center"/>
            <w:hideMark/>
          </w:tcPr>
          <w:p w14:paraId="3DF1BBA4" w14:textId="77777777" w:rsidR="00DB474C" w:rsidRPr="00D803E2" w:rsidRDefault="00DB474C" w:rsidP="00DB474C">
            <w:pPr>
              <w:spacing w:after="0" w:line="240" w:lineRule="auto"/>
              <w:jc w:val="center"/>
              <w:rPr>
                <w:rFonts w:ascii="Times New Roman" w:eastAsia="Times New Roman" w:hAnsi="Times New Roman" w:cs="Times New Roman"/>
                <w:b/>
                <w:color w:val="000000" w:themeColor="text1"/>
                <w:lang w:eastAsia="ru-RU"/>
              </w:rPr>
            </w:pPr>
            <w:r w:rsidRPr="00D803E2">
              <w:rPr>
                <w:rFonts w:ascii="Times New Roman" w:eastAsia="Times New Roman" w:hAnsi="Times New Roman" w:cs="Times New Roman"/>
                <w:b/>
                <w:color w:val="000000" w:themeColor="text1"/>
                <w:lang w:eastAsia="ru-RU"/>
              </w:rPr>
              <w:t>Наименование района</w:t>
            </w:r>
          </w:p>
        </w:tc>
        <w:tc>
          <w:tcPr>
            <w:tcW w:w="986" w:type="pct"/>
            <w:shd w:val="clear" w:color="auto" w:fill="auto"/>
            <w:noWrap/>
            <w:vAlign w:val="center"/>
          </w:tcPr>
          <w:p w14:paraId="7DB84A6E" w14:textId="77777777" w:rsidR="00DB474C" w:rsidRPr="00D803E2" w:rsidRDefault="00DB474C" w:rsidP="00DB474C">
            <w:pPr>
              <w:spacing w:after="0" w:line="240" w:lineRule="auto"/>
              <w:jc w:val="center"/>
              <w:rPr>
                <w:rFonts w:ascii="Times New Roman" w:eastAsia="Times New Roman" w:hAnsi="Times New Roman" w:cs="Times New Roman"/>
                <w:b/>
                <w:color w:val="000000" w:themeColor="text1"/>
                <w:lang w:eastAsia="ru-RU"/>
              </w:rPr>
            </w:pPr>
            <w:r w:rsidRPr="00D803E2">
              <w:rPr>
                <w:rFonts w:ascii="Times New Roman" w:eastAsia="Times New Roman" w:hAnsi="Times New Roman" w:cs="Times New Roman"/>
                <w:b/>
                <w:color w:val="000000" w:themeColor="text1"/>
                <w:lang w:eastAsia="ru-RU"/>
              </w:rPr>
              <w:t>Минимальное значение</w:t>
            </w:r>
          </w:p>
        </w:tc>
        <w:tc>
          <w:tcPr>
            <w:tcW w:w="835" w:type="pct"/>
            <w:shd w:val="clear" w:color="auto" w:fill="auto"/>
            <w:noWrap/>
            <w:vAlign w:val="center"/>
          </w:tcPr>
          <w:p w14:paraId="220C6595" w14:textId="77777777" w:rsidR="00DB474C" w:rsidRPr="00D803E2" w:rsidRDefault="00DB474C" w:rsidP="00DB474C">
            <w:pPr>
              <w:spacing w:after="0" w:line="240" w:lineRule="auto"/>
              <w:jc w:val="center"/>
              <w:rPr>
                <w:rFonts w:ascii="Times New Roman" w:eastAsia="Times New Roman" w:hAnsi="Times New Roman" w:cs="Times New Roman"/>
                <w:b/>
                <w:color w:val="000000" w:themeColor="text1"/>
                <w:lang w:eastAsia="ru-RU"/>
              </w:rPr>
            </w:pPr>
            <w:r w:rsidRPr="00D803E2">
              <w:rPr>
                <w:rFonts w:ascii="Times New Roman" w:eastAsia="Times New Roman" w:hAnsi="Times New Roman" w:cs="Times New Roman"/>
                <w:b/>
                <w:color w:val="000000" w:themeColor="text1"/>
                <w:lang w:eastAsia="ru-RU"/>
              </w:rPr>
              <w:t>Среднее значение</w:t>
            </w:r>
          </w:p>
        </w:tc>
        <w:tc>
          <w:tcPr>
            <w:tcW w:w="1213" w:type="pct"/>
            <w:shd w:val="clear" w:color="auto" w:fill="auto"/>
            <w:noWrap/>
            <w:vAlign w:val="center"/>
          </w:tcPr>
          <w:p w14:paraId="50A1D647" w14:textId="77777777" w:rsidR="00DB474C" w:rsidRPr="00D803E2" w:rsidRDefault="00DB474C" w:rsidP="00DB474C">
            <w:pPr>
              <w:spacing w:after="0" w:line="240" w:lineRule="auto"/>
              <w:jc w:val="center"/>
              <w:rPr>
                <w:rFonts w:ascii="Times New Roman" w:eastAsia="Times New Roman" w:hAnsi="Times New Roman" w:cs="Times New Roman"/>
                <w:b/>
                <w:color w:val="000000" w:themeColor="text1"/>
                <w:lang w:eastAsia="ru-RU"/>
              </w:rPr>
            </w:pPr>
            <w:r w:rsidRPr="00D803E2">
              <w:rPr>
                <w:rFonts w:ascii="Times New Roman" w:eastAsia="Times New Roman" w:hAnsi="Times New Roman" w:cs="Times New Roman"/>
                <w:b/>
                <w:color w:val="000000" w:themeColor="text1"/>
                <w:lang w:eastAsia="ru-RU"/>
              </w:rPr>
              <w:t>Максимальное значение</w:t>
            </w:r>
          </w:p>
        </w:tc>
        <w:tc>
          <w:tcPr>
            <w:tcW w:w="831" w:type="pct"/>
            <w:vMerge/>
            <w:vAlign w:val="center"/>
          </w:tcPr>
          <w:p w14:paraId="6BA630C4" w14:textId="77777777" w:rsidR="00DB474C" w:rsidRPr="00D803E2" w:rsidRDefault="00DB474C" w:rsidP="00DB474C">
            <w:pPr>
              <w:spacing w:after="0" w:line="240" w:lineRule="auto"/>
              <w:jc w:val="center"/>
              <w:rPr>
                <w:rFonts w:ascii="Times New Roman" w:eastAsia="Times New Roman" w:hAnsi="Times New Roman" w:cs="Times New Roman"/>
                <w:b/>
                <w:color w:val="000000" w:themeColor="text1"/>
                <w:lang w:eastAsia="ru-RU"/>
              </w:rPr>
            </w:pPr>
          </w:p>
        </w:tc>
      </w:tr>
      <w:tr w:rsidR="00DB474C" w:rsidRPr="00D803E2" w14:paraId="027F60C1" w14:textId="77777777" w:rsidTr="00E564BF">
        <w:trPr>
          <w:trHeight w:val="300"/>
          <w:jc w:val="center"/>
        </w:trPr>
        <w:tc>
          <w:tcPr>
            <w:tcW w:w="1135" w:type="pct"/>
            <w:shd w:val="clear" w:color="auto" w:fill="auto"/>
            <w:noWrap/>
            <w:vAlign w:val="bottom"/>
          </w:tcPr>
          <w:p w14:paraId="475BFEFF"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Аннинский</w:t>
            </w:r>
          </w:p>
        </w:tc>
        <w:tc>
          <w:tcPr>
            <w:tcW w:w="986" w:type="pct"/>
            <w:shd w:val="clear" w:color="auto" w:fill="auto"/>
            <w:noWrap/>
            <w:vAlign w:val="bottom"/>
          </w:tcPr>
          <w:p w14:paraId="2F52683C"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60,04</w:t>
            </w:r>
          </w:p>
        </w:tc>
        <w:tc>
          <w:tcPr>
            <w:tcW w:w="835" w:type="pct"/>
            <w:shd w:val="clear" w:color="auto" w:fill="auto"/>
            <w:noWrap/>
            <w:vAlign w:val="bottom"/>
          </w:tcPr>
          <w:p w14:paraId="07759958"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1 390,59</w:t>
            </w:r>
          </w:p>
        </w:tc>
        <w:tc>
          <w:tcPr>
            <w:tcW w:w="1213" w:type="pct"/>
            <w:shd w:val="clear" w:color="auto" w:fill="auto"/>
            <w:noWrap/>
            <w:vAlign w:val="bottom"/>
          </w:tcPr>
          <w:p w14:paraId="45888CC0"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2 721,13</w:t>
            </w:r>
          </w:p>
        </w:tc>
        <w:tc>
          <w:tcPr>
            <w:tcW w:w="831" w:type="pct"/>
            <w:vAlign w:val="bottom"/>
          </w:tcPr>
          <w:p w14:paraId="228C7C0A"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w:t>
            </w:r>
          </w:p>
        </w:tc>
      </w:tr>
      <w:tr w:rsidR="00DB474C" w:rsidRPr="00D803E2" w14:paraId="3E4875C9" w14:textId="77777777" w:rsidTr="00E564BF">
        <w:trPr>
          <w:trHeight w:val="300"/>
          <w:jc w:val="center"/>
        </w:trPr>
        <w:tc>
          <w:tcPr>
            <w:tcW w:w="1135" w:type="pct"/>
            <w:shd w:val="clear" w:color="auto" w:fill="auto"/>
            <w:noWrap/>
            <w:vAlign w:val="bottom"/>
          </w:tcPr>
          <w:p w14:paraId="6BAF8CC6"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Бобровский</w:t>
            </w:r>
          </w:p>
        </w:tc>
        <w:tc>
          <w:tcPr>
            <w:tcW w:w="986" w:type="pct"/>
            <w:shd w:val="clear" w:color="auto" w:fill="auto"/>
            <w:noWrap/>
            <w:vAlign w:val="bottom"/>
          </w:tcPr>
          <w:p w14:paraId="48B87EC5"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233,32</w:t>
            </w:r>
          </w:p>
        </w:tc>
        <w:tc>
          <w:tcPr>
            <w:tcW w:w="835" w:type="pct"/>
            <w:shd w:val="clear" w:color="auto" w:fill="auto"/>
            <w:noWrap/>
            <w:vAlign w:val="bottom"/>
          </w:tcPr>
          <w:p w14:paraId="68E41944"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447,08</w:t>
            </w:r>
          </w:p>
        </w:tc>
        <w:tc>
          <w:tcPr>
            <w:tcW w:w="1213" w:type="pct"/>
            <w:shd w:val="clear" w:color="auto" w:fill="auto"/>
            <w:noWrap/>
            <w:vAlign w:val="bottom"/>
          </w:tcPr>
          <w:p w14:paraId="11AA2D68"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660,84</w:t>
            </w:r>
          </w:p>
        </w:tc>
        <w:tc>
          <w:tcPr>
            <w:tcW w:w="831" w:type="pct"/>
            <w:vAlign w:val="bottom"/>
          </w:tcPr>
          <w:p w14:paraId="489CB13E"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w:t>
            </w:r>
          </w:p>
        </w:tc>
      </w:tr>
      <w:tr w:rsidR="00DB474C" w:rsidRPr="00D803E2" w14:paraId="7C1AF370" w14:textId="77777777" w:rsidTr="00E564BF">
        <w:trPr>
          <w:trHeight w:val="300"/>
          <w:jc w:val="center"/>
        </w:trPr>
        <w:tc>
          <w:tcPr>
            <w:tcW w:w="1135" w:type="pct"/>
            <w:shd w:val="clear" w:color="auto" w:fill="auto"/>
            <w:noWrap/>
            <w:vAlign w:val="bottom"/>
          </w:tcPr>
          <w:p w14:paraId="7CDB66D3"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Богучарский</w:t>
            </w:r>
          </w:p>
        </w:tc>
        <w:tc>
          <w:tcPr>
            <w:tcW w:w="986" w:type="pct"/>
            <w:shd w:val="clear" w:color="auto" w:fill="auto"/>
            <w:noWrap/>
            <w:vAlign w:val="bottom"/>
          </w:tcPr>
          <w:p w14:paraId="08049F72"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186,09</w:t>
            </w:r>
          </w:p>
        </w:tc>
        <w:tc>
          <w:tcPr>
            <w:tcW w:w="835" w:type="pct"/>
            <w:shd w:val="clear" w:color="auto" w:fill="auto"/>
            <w:noWrap/>
            <w:vAlign w:val="bottom"/>
          </w:tcPr>
          <w:p w14:paraId="34659661"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1 019,93</w:t>
            </w:r>
          </w:p>
        </w:tc>
        <w:tc>
          <w:tcPr>
            <w:tcW w:w="1213" w:type="pct"/>
            <w:shd w:val="clear" w:color="auto" w:fill="auto"/>
            <w:noWrap/>
            <w:vAlign w:val="bottom"/>
          </w:tcPr>
          <w:p w14:paraId="3846E965"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2 312,79</w:t>
            </w:r>
          </w:p>
        </w:tc>
        <w:tc>
          <w:tcPr>
            <w:tcW w:w="831" w:type="pct"/>
            <w:vAlign w:val="bottom"/>
          </w:tcPr>
          <w:p w14:paraId="13749F96"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4</w:t>
            </w:r>
          </w:p>
        </w:tc>
      </w:tr>
      <w:tr w:rsidR="00DB474C" w:rsidRPr="00D803E2" w14:paraId="66D6254D" w14:textId="77777777" w:rsidTr="00E564BF">
        <w:trPr>
          <w:trHeight w:val="300"/>
          <w:jc w:val="center"/>
        </w:trPr>
        <w:tc>
          <w:tcPr>
            <w:tcW w:w="1135" w:type="pct"/>
            <w:shd w:val="clear" w:color="auto" w:fill="auto"/>
            <w:noWrap/>
            <w:vAlign w:val="bottom"/>
          </w:tcPr>
          <w:p w14:paraId="30FA0780"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Борисоглебский</w:t>
            </w:r>
          </w:p>
        </w:tc>
        <w:tc>
          <w:tcPr>
            <w:tcW w:w="986" w:type="pct"/>
            <w:shd w:val="clear" w:color="auto" w:fill="auto"/>
            <w:noWrap/>
            <w:vAlign w:val="bottom"/>
          </w:tcPr>
          <w:p w14:paraId="02FE7E10"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50,11</w:t>
            </w:r>
          </w:p>
        </w:tc>
        <w:tc>
          <w:tcPr>
            <w:tcW w:w="835" w:type="pct"/>
            <w:shd w:val="clear" w:color="auto" w:fill="auto"/>
            <w:noWrap/>
            <w:vAlign w:val="bottom"/>
          </w:tcPr>
          <w:p w14:paraId="7836E701"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1 321,55</w:t>
            </w:r>
          </w:p>
        </w:tc>
        <w:tc>
          <w:tcPr>
            <w:tcW w:w="1213" w:type="pct"/>
            <w:shd w:val="clear" w:color="auto" w:fill="auto"/>
            <w:noWrap/>
            <w:vAlign w:val="bottom"/>
          </w:tcPr>
          <w:p w14:paraId="6D48FE3C"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2 451,78</w:t>
            </w:r>
          </w:p>
        </w:tc>
        <w:tc>
          <w:tcPr>
            <w:tcW w:w="831" w:type="pct"/>
            <w:vAlign w:val="bottom"/>
          </w:tcPr>
          <w:p w14:paraId="244E31B8"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11</w:t>
            </w:r>
          </w:p>
        </w:tc>
      </w:tr>
      <w:tr w:rsidR="00DB474C" w:rsidRPr="00D803E2" w14:paraId="6B7E9031" w14:textId="77777777" w:rsidTr="00E564BF">
        <w:trPr>
          <w:trHeight w:val="300"/>
          <w:jc w:val="center"/>
        </w:trPr>
        <w:tc>
          <w:tcPr>
            <w:tcW w:w="1135" w:type="pct"/>
            <w:shd w:val="clear" w:color="auto" w:fill="auto"/>
            <w:noWrap/>
            <w:vAlign w:val="bottom"/>
          </w:tcPr>
          <w:p w14:paraId="4061E36C"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Бутурлиновский</w:t>
            </w:r>
          </w:p>
        </w:tc>
        <w:tc>
          <w:tcPr>
            <w:tcW w:w="986" w:type="pct"/>
            <w:shd w:val="clear" w:color="auto" w:fill="auto"/>
            <w:noWrap/>
            <w:vAlign w:val="bottom"/>
          </w:tcPr>
          <w:p w14:paraId="065E8805"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71,78</w:t>
            </w:r>
          </w:p>
        </w:tc>
        <w:tc>
          <w:tcPr>
            <w:tcW w:w="835" w:type="pct"/>
            <w:shd w:val="clear" w:color="auto" w:fill="auto"/>
            <w:noWrap/>
            <w:vAlign w:val="bottom"/>
          </w:tcPr>
          <w:p w14:paraId="7394DCDD"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319,31</w:t>
            </w:r>
          </w:p>
        </w:tc>
        <w:tc>
          <w:tcPr>
            <w:tcW w:w="1213" w:type="pct"/>
            <w:shd w:val="clear" w:color="auto" w:fill="auto"/>
            <w:noWrap/>
            <w:vAlign w:val="bottom"/>
          </w:tcPr>
          <w:p w14:paraId="30E9FB34"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961,75</w:t>
            </w:r>
          </w:p>
        </w:tc>
        <w:tc>
          <w:tcPr>
            <w:tcW w:w="831" w:type="pct"/>
            <w:vAlign w:val="bottom"/>
          </w:tcPr>
          <w:p w14:paraId="1B56C98B"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6</w:t>
            </w:r>
          </w:p>
        </w:tc>
      </w:tr>
      <w:tr w:rsidR="00DB474C" w:rsidRPr="00D803E2" w14:paraId="5D7F8AC6" w14:textId="77777777" w:rsidTr="00E564BF">
        <w:trPr>
          <w:trHeight w:val="300"/>
          <w:jc w:val="center"/>
        </w:trPr>
        <w:tc>
          <w:tcPr>
            <w:tcW w:w="1135" w:type="pct"/>
            <w:shd w:val="clear" w:color="auto" w:fill="auto"/>
            <w:noWrap/>
            <w:vAlign w:val="bottom"/>
          </w:tcPr>
          <w:p w14:paraId="716E9891"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Верхнемамонский</w:t>
            </w:r>
          </w:p>
        </w:tc>
        <w:tc>
          <w:tcPr>
            <w:tcW w:w="986" w:type="pct"/>
            <w:shd w:val="clear" w:color="auto" w:fill="auto"/>
            <w:noWrap/>
            <w:vAlign w:val="bottom"/>
          </w:tcPr>
          <w:p w14:paraId="3ADFDAC0"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54,61</w:t>
            </w:r>
          </w:p>
        </w:tc>
        <w:tc>
          <w:tcPr>
            <w:tcW w:w="835" w:type="pct"/>
            <w:shd w:val="clear" w:color="auto" w:fill="auto"/>
            <w:noWrap/>
            <w:vAlign w:val="bottom"/>
          </w:tcPr>
          <w:p w14:paraId="38D7DD21"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79,31</w:t>
            </w:r>
          </w:p>
        </w:tc>
        <w:tc>
          <w:tcPr>
            <w:tcW w:w="1213" w:type="pct"/>
            <w:shd w:val="clear" w:color="auto" w:fill="auto"/>
            <w:noWrap/>
            <w:vAlign w:val="bottom"/>
          </w:tcPr>
          <w:p w14:paraId="4C4B0B9C"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104,00</w:t>
            </w:r>
          </w:p>
        </w:tc>
        <w:tc>
          <w:tcPr>
            <w:tcW w:w="831" w:type="pct"/>
            <w:vAlign w:val="bottom"/>
          </w:tcPr>
          <w:p w14:paraId="76094A97"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w:t>
            </w:r>
          </w:p>
        </w:tc>
      </w:tr>
      <w:tr w:rsidR="00DB474C" w:rsidRPr="00D803E2" w14:paraId="70C923B4" w14:textId="77777777" w:rsidTr="00E564BF">
        <w:trPr>
          <w:trHeight w:val="300"/>
          <w:jc w:val="center"/>
        </w:trPr>
        <w:tc>
          <w:tcPr>
            <w:tcW w:w="1135" w:type="pct"/>
            <w:shd w:val="clear" w:color="auto" w:fill="auto"/>
            <w:noWrap/>
            <w:vAlign w:val="bottom"/>
          </w:tcPr>
          <w:p w14:paraId="00FBBAF4"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Верхнехавский</w:t>
            </w:r>
          </w:p>
        </w:tc>
        <w:tc>
          <w:tcPr>
            <w:tcW w:w="986" w:type="pct"/>
            <w:shd w:val="clear" w:color="auto" w:fill="auto"/>
            <w:noWrap/>
            <w:vAlign w:val="bottom"/>
          </w:tcPr>
          <w:p w14:paraId="543FE121"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866,23</w:t>
            </w:r>
          </w:p>
        </w:tc>
        <w:tc>
          <w:tcPr>
            <w:tcW w:w="835" w:type="pct"/>
            <w:shd w:val="clear" w:color="auto" w:fill="auto"/>
            <w:noWrap/>
            <w:vAlign w:val="bottom"/>
          </w:tcPr>
          <w:p w14:paraId="31AC9B90"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866,23</w:t>
            </w:r>
          </w:p>
        </w:tc>
        <w:tc>
          <w:tcPr>
            <w:tcW w:w="1213" w:type="pct"/>
            <w:shd w:val="clear" w:color="auto" w:fill="auto"/>
            <w:noWrap/>
            <w:vAlign w:val="bottom"/>
          </w:tcPr>
          <w:p w14:paraId="45D8A9D2"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866,23</w:t>
            </w:r>
          </w:p>
        </w:tc>
        <w:tc>
          <w:tcPr>
            <w:tcW w:w="831" w:type="pct"/>
            <w:vAlign w:val="bottom"/>
          </w:tcPr>
          <w:p w14:paraId="23F7B435"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w:t>
            </w:r>
          </w:p>
        </w:tc>
      </w:tr>
      <w:tr w:rsidR="00DB474C" w:rsidRPr="00D803E2" w14:paraId="3970090E" w14:textId="77777777" w:rsidTr="00E564BF">
        <w:trPr>
          <w:trHeight w:val="300"/>
          <w:jc w:val="center"/>
        </w:trPr>
        <w:tc>
          <w:tcPr>
            <w:tcW w:w="1135" w:type="pct"/>
            <w:shd w:val="clear" w:color="auto" w:fill="auto"/>
            <w:noWrap/>
            <w:vAlign w:val="bottom"/>
          </w:tcPr>
          <w:p w14:paraId="6F6B910C"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Воробьевский</w:t>
            </w:r>
          </w:p>
        </w:tc>
        <w:tc>
          <w:tcPr>
            <w:tcW w:w="986" w:type="pct"/>
            <w:shd w:val="clear" w:color="auto" w:fill="auto"/>
            <w:noWrap/>
            <w:vAlign w:val="bottom"/>
          </w:tcPr>
          <w:p w14:paraId="0CA85F7D"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100,39</w:t>
            </w:r>
          </w:p>
        </w:tc>
        <w:tc>
          <w:tcPr>
            <w:tcW w:w="835" w:type="pct"/>
            <w:shd w:val="clear" w:color="auto" w:fill="auto"/>
            <w:noWrap/>
            <w:vAlign w:val="bottom"/>
          </w:tcPr>
          <w:p w14:paraId="32640811"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100,39</w:t>
            </w:r>
          </w:p>
        </w:tc>
        <w:tc>
          <w:tcPr>
            <w:tcW w:w="1213" w:type="pct"/>
            <w:shd w:val="clear" w:color="auto" w:fill="auto"/>
            <w:noWrap/>
            <w:vAlign w:val="bottom"/>
          </w:tcPr>
          <w:p w14:paraId="42963CDB"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100,39</w:t>
            </w:r>
          </w:p>
        </w:tc>
        <w:tc>
          <w:tcPr>
            <w:tcW w:w="831" w:type="pct"/>
            <w:vAlign w:val="bottom"/>
          </w:tcPr>
          <w:p w14:paraId="18A97EBE"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w:t>
            </w:r>
          </w:p>
        </w:tc>
      </w:tr>
      <w:tr w:rsidR="00DB474C" w:rsidRPr="00D803E2" w14:paraId="70AFA53C" w14:textId="77777777" w:rsidTr="00E564BF">
        <w:trPr>
          <w:trHeight w:val="300"/>
          <w:jc w:val="center"/>
        </w:trPr>
        <w:tc>
          <w:tcPr>
            <w:tcW w:w="1135" w:type="pct"/>
            <w:shd w:val="clear" w:color="auto" w:fill="auto"/>
            <w:noWrap/>
            <w:vAlign w:val="bottom"/>
          </w:tcPr>
          <w:p w14:paraId="1A18233F" w14:textId="77777777" w:rsidR="00DB474C" w:rsidRPr="00D803E2" w:rsidRDefault="00DB474C" w:rsidP="00DB474C">
            <w:pPr>
              <w:spacing w:after="0" w:line="240" w:lineRule="auto"/>
              <w:rPr>
                <w:rFonts w:ascii="Times New Roman" w:hAnsi="Times New Roman" w:cs="Times New Roman"/>
                <w:color w:val="000000"/>
              </w:rPr>
            </w:pPr>
            <w:r>
              <w:rPr>
                <w:rFonts w:ascii="Times New Roman" w:hAnsi="Times New Roman" w:cs="Times New Roman"/>
                <w:color w:val="000000"/>
              </w:rPr>
              <w:t>Грибановский</w:t>
            </w:r>
          </w:p>
        </w:tc>
        <w:tc>
          <w:tcPr>
            <w:tcW w:w="986" w:type="pct"/>
            <w:shd w:val="clear" w:color="auto" w:fill="auto"/>
            <w:noWrap/>
            <w:vAlign w:val="bottom"/>
          </w:tcPr>
          <w:p w14:paraId="2B0CF477" w14:textId="77777777" w:rsidR="00DB474C" w:rsidRPr="00D803E2" w:rsidRDefault="00DB474C" w:rsidP="00DB474C">
            <w:pPr>
              <w:spacing w:after="0" w:line="240" w:lineRule="auto"/>
              <w:jc w:val="right"/>
              <w:rPr>
                <w:rFonts w:ascii="Times New Roman" w:hAnsi="Times New Roman" w:cs="Times New Roman"/>
                <w:color w:val="000000"/>
              </w:rPr>
            </w:pPr>
            <w:r>
              <w:rPr>
                <w:rFonts w:ascii="Times New Roman" w:hAnsi="Times New Roman" w:cs="Times New Roman"/>
                <w:color w:val="000000"/>
              </w:rPr>
              <w:t>-</w:t>
            </w:r>
          </w:p>
        </w:tc>
        <w:tc>
          <w:tcPr>
            <w:tcW w:w="835" w:type="pct"/>
            <w:shd w:val="clear" w:color="auto" w:fill="auto"/>
            <w:noWrap/>
          </w:tcPr>
          <w:p w14:paraId="2B0B4522"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c>
          <w:tcPr>
            <w:tcW w:w="1213" w:type="pct"/>
            <w:shd w:val="clear" w:color="auto" w:fill="auto"/>
            <w:noWrap/>
          </w:tcPr>
          <w:p w14:paraId="6A680343"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c>
          <w:tcPr>
            <w:tcW w:w="831" w:type="pct"/>
          </w:tcPr>
          <w:p w14:paraId="33522058"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r>
      <w:tr w:rsidR="00DB474C" w:rsidRPr="00D803E2" w14:paraId="462CDB68" w14:textId="77777777" w:rsidTr="00E564BF">
        <w:trPr>
          <w:trHeight w:val="300"/>
          <w:jc w:val="center"/>
        </w:trPr>
        <w:tc>
          <w:tcPr>
            <w:tcW w:w="1135" w:type="pct"/>
            <w:shd w:val="clear" w:color="auto" w:fill="auto"/>
            <w:noWrap/>
            <w:vAlign w:val="bottom"/>
          </w:tcPr>
          <w:p w14:paraId="1D62E3C3"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Калачеевский</w:t>
            </w:r>
          </w:p>
        </w:tc>
        <w:tc>
          <w:tcPr>
            <w:tcW w:w="986" w:type="pct"/>
            <w:shd w:val="clear" w:color="auto" w:fill="auto"/>
            <w:noWrap/>
            <w:vAlign w:val="bottom"/>
          </w:tcPr>
          <w:p w14:paraId="75C87825"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493,74</w:t>
            </w:r>
          </w:p>
        </w:tc>
        <w:tc>
          <w:tcPr>
            <w:tcW w:w="835" w:type="pct"/>
            <w:shd w:val="clear" w:color="auto" w:fill="auto"/>
            <w:noWrap/>
            <w:vAlign w:val="bottom"/>
          </w:tcPr>
          <w:p w14:paraId="26B60826"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814,56</w:t>
            </w:r>
          </w:p>
        </w:tc>
        <w:tc>
          <w:tcPr>
            <w:tcW w:w="1213" w:type="pct"/>
            <w:shd w:val="clear" w:color="auto" w:fill="auto"/>
            <w:noWrap/>
            <w:vAlign w:val="bottom"/>
          </w:tcPr>
          <w:p w14:paraId="30635214"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1 135,37</w:t>
            </w:r>
          </w:p>
        </w:tc>
        <w:tc>
          <w:tcPr>
            <w:tcW w:w="831" w:type="pct"/>
            <w:vAlign w:val="bottom"/>
          </w:tcPr>
          <w:p w14:paraId="6D508C8C"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w:t>
            </w:r>
          </w:p>
        </w:tc>
      </w:tr>
      <w:tr w:rsidR="00DB474C" w:rsidRPr="00D803E2" w14:paraId="1B60946B" w14:textId="77777777" w:rsidTr="00E564BF">
        <w:trPr>
          <w:trHeight w:val="300"/>
          <w:jc w:val="center"/>
        </w:trPr>
        <w:tc>
          <w:tcPr>
            <w:tcW w:w="1135" w:type="pct"/>
            <w:shd w:val="clear" w:color="auto" w:fill="auto"/>
            <w:noWrap/>
            <w:vAlign w:val="bottom"/>
          </w:tcPr>
          <w:p w14:paraId="41EA0B0F" w14:textId="77777777" w:rsidR="00DB474C" w:rsidRPr="00D803E2" w:rsidRDefault="00DB474C" w:rsidP="00DB474C">
            <w:pPr>
              <w:spacing w:after="0" w:line="240" w:lineRule="auto"/>
              <w:rPr>
                <w:rFonts w:ascii="Times New Roman" w:hAnsi="Times New Roman" w:cs="Times New Roman"/>
                <w:color w:val="000000"/>
              </w:rPr>
            </w:pPr>
            <w:r w:rsidRPr="006F4730">
              <w:rPr>
                <w:rFonts w:ascii="Times New Roman" w:hAnsi="Times New Roman" w:cs="Times New Roman"/>
                <w:color w:val="000000"/>
              </w:rPr>
              <w:t>Каменский</w:t>
            </w:r>
          </w:p>
        </w:tc>
        <w:tc>
          <w:tcPr>
            <w:tcW w:w="986" w:type="pct"/>
            <w:shd w:val="clear" w:color="auto" w:fill="auto"/>
            <w:noWrap/>
            <w:vAlign w:val="bottom"/>
          </w:tcPr>
          <w:p w14:paraId="4AB715F7" w14:textId="77777777" w:rsidR="00DB474C" w:rsidRPr="00D803E2" w:rsidRDefault="00DB474C" w:rsidP="00DB474C">
            <w:pPr>
              <w:spacing w:after="0" w:line="240" w:lineRule="auto"/>
              <w:jc w:val="right"/>
              <w:rPr>
                <w:rFonts w:ascii="Times New Roman" w:hAnsi="Times New Roman" w:cs="Times New Roman"/>
                <w:color w:val="000000"/>
              </w:rPr>
            </w:pPr>
            <w:r>
              <w:rPr>
                <w:rFonts w:ascii="Times New Roman" w:hAnsi="Times New Roman" w:cs="Times New Roman"/>
                <w:color w:val="000000"/>
              </w:rPr>
              <w:t>-</w:t>
            </w:r>
          </w:p>
        </w:tc>
        <w:tc>
          <w:tcPr>
            <w:tcW w:w="835" w:type="pct"/>
            <w:shd w:val="clear" w:color="auto" w:fill="auto"/>
            <w:noWrap/>
          </w:tcPr>
          <w:p w14:paraId="6CD28490"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c>
          <w:tcPr>
            <w:tcW w:w="1213" w:type="pct"/>
            <w:shd w:val="clear" w:color="auto" w:fill="auto"/>
            <w:noWrap/>
          </w:tcPr>
          <w:p w14:paraId="63346E5D"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c>
          <w:tcPr>
            <w:tcW w:w="831" w:type="pct"/>
          </w:tcPr>
          <w:p w14:paraId="6D7ACEE8"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r>
      <w:tr w:rsidR="00DB474C" w:rsidRPr="00D803E2" w14:paraId="75B5018B" w14:textId="77777777" w:rsidTr="00E564BF">
        <w:trPr>
          <w:trHeight w:val="300"/>
          <w:jc w:val="center"/>
        </w:trPr>
        <w:tc>
          <w:tcPr>
            <w:tcW w:w="1135" w:type="pct"/>
            <w:shd w:val="clear" w:color="auto" w:fill="auto"/>
            <w:noWrap/>
            <w:vAlign w:val="bottom"/>
          </w:tcPr>
          <w:p w14:paraId="632A8358"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Кантемировский</w:t>
            </w:r>
          </w:p>
        </w:tc>
        <w:tc>
          <w:tcPr>
            <w:tcW w:w="986" w:type="pct"/>
            <w:shd w:val="clear" w:color="auto" w:fill="auto"/>
            <w:noWrap/>
            <w:vAlign w:val="bottom"/>
          </w:tcPr>
          <w:p w14:paraId="70FDA2D4"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267,54</w:t>
            </w:r>
          </w:p>
        </w:tc>
        <w:tc>
          <w:tcPr>
            <w:tcW w:w="835" w:type="pct"/>
            <w:shd w:val="clear" w:color="auto" w:fill="auto"/>
            <w:noWrap/>
            <w:vAlign w:val="bottom"/>
          </w:tcPr>
          <w:p w14:paraId="4D5C9361"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267,54</w:t>
            </w:r>
          </w:p>
        </w:tc>
        <w:tc>
          <w:tcPr>
            <w:tcW w:w="1213" w:type="pct"/>
            <w:shd w:val="clear" w:color="auto" w:fill="auto"/>
            <w:noWrap/>
            <w:vAlign w:val="bottom"/>
          </w:tcPr>
          <w:p w14:paraId="738ECD85"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267,54</w:t>
            </w:r>
          </w:p>
        </w:tc>
        <w:tc>
          <w:tcPr>
            <w:tcW w:w="831" w:type="pct"/>
            <w:vAlign w:val="bottom"/>
          </w:tcPr>
          <w:p w14:paraId="486F6CFD"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w:t>
            </w:r>
          </w:p>
        </w:tc>
      </w:tr>
      <w:tr w:rsidR="00DB474C" w:rsidRPr="00D803E2" w14:paraId="303FB471" w14:textId="77777777" w:rsidTr="00E564BF">
        <w:trPr>
          <w:trHeight w:val="300"/>
          <w:jc w:val="center"/>
        </w:trPr>
        <w:tc>
          <w:tcPr>
            <w:tcW w:w="1135" w:type="pct"/>
            <w:shd w:val="clear" w:color="auto" w:fill="auto"/>
            <w:noWrap/>
            <w:vAlign w:val="bottom"/>
          </w:tcPr>
          <w:p w14:paraId="3C093752"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Каширский</w:t>
            </w:r>
          </w:p>
        </w:tc>
        <w:tc>
          <w:tcPr>
            <w:tcW w:w="986" w:type="pct"/>
            <w:shd w:val="clear" w:color="auto" w:fill="auto"/>
            <w:noWrap/>
            <w:vAlign w:val="bottom"/>
          </w:tcPr>
          <w:p w14:paraId="489C0826"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50,48</w:t>
            </w:r>
          </w:p>
        </w:tc>
        <w:tc>
          <w:tcPr>
            <w:tcW w:w="835" w:type="pct"/>
            <w:shd w:val="clear" w:color="auto" w:fill="auto"/>
            <w:noWrap/>
            <w:vAlign w:val="bottom"/>
          </w:tcPr>
          <w:p w14:paraId="24F17EF6"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50,48</w:t>
            </w:r>
          </w:p>
        </w:tc>
        <w:tc>
          <w:tcPr>
            <w:tcW w:w="1213" w:type="pct"/>
            <w:shd w:val="clear" w:color="auto" w:fill="auto"/>
            <w:noWrap/>
            <w:vAlign w:val="bottom"/>
          </w:tcPr>
          <w:p w14:paraId="5FA05F15"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50,48</w:t>
            </w:r>
          </w:p>
        </w:tc>
        <w:tc>
          <w:tcPr>
            <w:tcW w:w="831" w:type="pct"/>
            <w:vAlign w:val="bottom"/>
          </w:tcPr>
          <w:p w14:paraId="266C9FEB"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w:t>
            </w:r>
          </w:p>
        </w:tc>
      </w:tr>
      <w:tr w:rsidR="00DB474C" w:rsidRPr="00D803E2" w14:paraId="2C2A6008" w14:textId="77777777" w:rsidTr="00E564BF">
        <w:trPr>
          <w:trHeight w:val="300"/>
          <w:jc w:val="center"/>
        </w:trPr>
        <w:tc>
          <w:tcPr>
            <w:tcW w:w="1135" w:type="pct"/>
            <w:shd w:val="clear" w:color="auto" w:fill="auto"/>
            <w:noWrap/>
            <w:vAlign w:val="bottom"/>
          </w:tcPr>
          <w:p w14:paraId="16FA2420"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Лискинский</w:t>
            </w:r>
          </w:p>
        </w:tc>
        <w:tc>
          <w:tcPr>
            <w:tcW w:w="986" w:type="pct"/>
            <w:shd w:val="clear" w:color="auto" w:fill="auto"/>
            <w:noWrap/>
            <w:vAlign w:val="bottom"/>
          </w:tcPr>
          <w:p w14:paraId="1548A7A2"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679,47</w:t>
            </w:r>
          </w:p>
        </w:tc>
        <w:tc>
          <w:tcPr>
            <w:tcW w:w="835" w:type="pct"/>
            <w:shd w:val="clear" w:color="auto" w:fill="auto"/>
            <w:noWrap/>
            <w:vAlign w:val="bottom"/>
          </w:tcPr>
          <w:p w14:paraId="1F53BAAF"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1 723,41</w:t>
            </w:r>
          </w:p>
        </w:tc>
        <w:tc>
          <w:tcPr>
            <w:tcW w:w="1213" w:type="pct"/>
            <w:shd w:val="clear" w:color="auto" w:fill="auto"/>
            <w:noWrap/>
            <w:vAlign w:val="bottom"/>
          </w:tcPr>
          <w:p w14:paraId="6A2D9454"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3 750,00</w:t>
            </w:r>
          </w:p>
        </w:tc>
        <w:tc>
          <w:tcPr>
            <w:tcW w:w="831" w:type="pct"/>
            <w:vAlign w:val="bottom"/>
          </w:tcPr>
          <w:p w14:paraId="71A042AA"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3</w:t>
            </w:r>
          </w:p>
        </w:tc>
      </w:tr>
      <w:tr w:rsidR="00DB474C" w:rsidRPr="00D803E2" w14:paraId="25DA94E8" w14:textId="77777777" w:rsidTr="00E564BF">
        <w:trPr>
          <w:trHeight w:val="300"/>
          <w:jc w:val="center"/>
        </w:trPr>
        <w:tc>
          <w:tcPr>
            <w:tcW w:w="1135" w:type="pct"/>
            <w:shd w:val="clear" w:color="auto" w:fill="auto"/>
            <w:noWrap/>
            <w:vAlign w:val="bottom"/>
          </w:tcPr>
          <w:p w14:paraId="70B2D883" w14:textId="77777777" w:rsidR="00DB474C" w:rsidRPr="00D803E2" w:rsidRDefault="00DB474C" w:rsidP="00DB474C">
            <w:pPr>
              <w:spacing w:after="0" w:line="240" w:lineRule="auto"/>
              <w:rPr>
                <w:rFonts w:ascii="Times New Roman" w:hAnsi="Times New Roman" w:cs="Times New Roman"/>
                <w:color w:val="000000"/>
              </w:rPr>
            </w:pPr>
            <w:r w:rsidRPr="006F4730">
              <w:rPr>
                <w:rFonts w:ascii="Times New Roman" w:hAnsi="Times New Roman" w:cs="Times New Roman"/>
                <w:color w:val="000000"/>
              </w:rPr>
              <w:t>Нижнедевицкий</w:t>
            </w:r>
          </w:p>
        </w:tc>
        <w:tc>
          <w:tcPr>
            <w:tcW w:w="986" w:type="pct"/>
            <w:shd w:val="clear" w:color="auto" w:fill="auto"/>
            <w:noWrap/>
            <w:vAlign w:val="bottom"/>
          </w:tcPr>
          <w:p w14:paraId="18290FFB" w14:textId="77777777" w:rsidR="00DB474C" w:rsidRPr="00D803E2" w:rsidRDefault="00DB474C" w:rsidP="00DB474C">
            <w:pPr>
              <w:spacing w:after="0" w:line="240" w:lineRule="auto"/>
              <w:jc w:val="right"/>
              <w:rPr>
                <w:rFonts w:ascii="Times New Roman" w:hAnsi="Times New Roman" w:cs="Times New Roman"/>
                <w:color w:val="000000"/>
              </w:rPr>
            </w:pPr>
            <w:r>
              <w:rPr>
                <w:rFonts w:ascii="Times New Roman" w:hAnsi="Times New Roman" w:cs="Times New Roman"/>
                <w:color w:val="000000"/>
              </w:rPr>
              <w:t>-</w:t>
            </w:r>
          </w:p>
        </w:tc>
        <w:tc>
          <w:tcPr>
            <w:tcW w:w="835" w:type="pct"/>
            <w:shd w:val="clear" w:color="auto" w:fill="auto"/>
            <w:noWrap/>
          </w:tcPr>
          <w:p w14:paraId="7A56C35B"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c>
          <w:tcPr>
            <w:tcW w:w="1213" w:type="pct"/>
            <w:shd w:val="clear" w:color="auto" w:fill="auto"/>
            <w:noWrap/>
          </w:tcPr>
          <w:p w14:paraId="6D917C95"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c>
          <w:tcPr>
            <w:tcW w:w="831" w:type="pct"/>
          </w:tcPr>
          <w:p w14:paraId="01654A28"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r>
      <w:tr w:rsidR="00DB474C" w:rsidRPr="00D803E2" w14:paraId="73876989" w14:textId="77777777" w:rsidTr="00E564BF">
        <w:trPr>
          <w:trHeight w:val="300"/>
          <w:jc w:val="center"/>
        </w:trPr>
        <w:tc>
          <w:tcPr>
            <w:tcW w:w="1135" w:type="pct"/>
            <w:shd w:val="clear" w:color="auto" w:fill="auto"/>
            <w:noWrap/>
            <w:vAlign w:val="bottom"/>
          </w:tcPr>
          <w:p w14:paraId="4D8F60D9"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Новоусманский</w:t>
            </w:r>
          </w:p>
        </w:tc>
        <w:tc>
          <w:tcPr>
            <w:tcW w:w="986" w:type="pct"/>
            <w:shd w:val="clear" w:color="auto" w:fill="auto"/>
            <w:noWrap/>
            <w:vAlign w:val="bottom"/>
          </w:tcPr>
          <w:p w14:paraId="10833EA3"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227,08</w:t>
            </w:r>
          </w:p>
        </w:tc>
        <w:tc>
          <w:tcPr>
            <w:tcW w:w="835" w:type="pct"/>
            <w:shd w:val="clear" w:color="auto" w:fill="auto"/>
            <w:noWrap/>
            <w:vAlign w:val="bottom"/>
          </w:tcPr>
          <w:p w14:paraId="1606AE43"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859,34</w:t>
            </w:r>
          </w:p>
        </w:tc>
        <w:tc>
          <w:tcPr>
            <w:tcW w:w="1213" w:type="pct"/>
            <w:shd w:val="clear" w:color="auto" w:fill="auto"/>
            <w:noWrap/>
            <w:vAlign w:val="bottom"/>
          </w:tcPr>
          <w:p w14:paraId="1957F8EA"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2 335,32</w:t>
            </w:r>
          </w:p>
        </w:tc>
        <w:tc>
          <w:tcPr>
            <w:tcW w:w="831" w:type="pct"/>
            <w:vAlign w:val="bottom"/>
          </w:tcPr>
          <w:p w14:paraId="5EF4E1CD"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7</w:t>
            </w:r>
          </w:p>
        </w:tc>
      </w:tr>
      <w:tr w:rsidR="00DB474C" w:rsidRPr="00D803E2" w14:paraId="7BF930C4" w14:textId="77777777" w:rsidTr="00E564BF">
        <w:trPr>
          <w:trHeight w:val="300"/>
          <w:jc w:val="center"/>
        </w:trPr>
        <w:tc>
          <w:tcPr>
            <w:tcW w:w="1135" w:type="pct"/>
            <w:shd w:val="clear" w:color="auto" w:fill="auto"/>
            <w:noWrap/>
            <w:vAlign w:val="bottom"/>
          </w:tcPr>
          <w:p w14:paraId="2CE89479"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Новохоперский</w:t>
            </w:r>
          </w:p>
        </w:tc>
        <w:tc>
          <w:tcPr>
            <w:tcW w:w="986" w:type="pct"/>
            <w:shd w:val="clear" w:color="auto" w:fill="auto"/>
            <w:noWrap/>
            <w:vAlign w:val="bottom"/>
          </w:tcPr>
          <w:p w14:paraId="7194A86A"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622,41</w:t>
            </w:r>
          </w:p>
        </w:tc>
        <w:tc>
          <w:tcPr>
            <w:tcW w:w="835" w:type="pct"/>
            <w:shd w:val="clear" w:color="auto" w:fill="auto"/>
            <w:noWrap/>
            <w:vAlign w:val="bottom"/>
          </w:tcPr>
          <w:p w14:paraId="6F0DEF21"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622,41</w:t>
            </w:r>
          </w:p>
        </w:tc>
        <w:tc>
          <w:tcPr>
            <w:tcW w:w="1213" w:type="pct"/>
            <w:shd w:val="clear" w:color="auto" w:fill="auto"/>
            <w:noWrap/>
            <w:vAlign w:val="bottom"/>
          </w:tcPr>
          <w:p w14:paraId="049BB250"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622,41</w:t>
            </w:r>
          </w:p>
        </w:tc>
        <w:tc>
          <w:tcPr>
            <w:tcW w:w="831" w:type="pct"/>
            <w:vAlign w:val="bottom"/>
          </w:tcPr>
          <w:p w14:paraId="64145B23"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w:t>
            </w:r>
          </w:p>
        </w:tc>
      </w:tr>
      <w:tr w:rsidR="00DB474C" w:rsidRPr="00D803E2" w14:paraId="15AA6F7C" w14:textId="77777777" w:rsidTr="00E564BF">
        <w:trPr>
          <w:trHeight w:val="300"/>
          <w:jc w:val="center"/>
        </w:trPr>
        <w:tc>
          <w:tcPr>
            <w:tcW w:w="1135" w:type="pct"/>
            <w:shd w:val="clear" w:color="auto" w:fill="auto"/>
            <w:noWrap/>
            <w:vAlign w:val="bottom"/>
          </w:tcPr>
          <w:p w14:paraId="21D0D45A"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Ольховатский</w:t>
            </w:r>
          </w:p>
        </w:tc>
        <w:tc>
          <w:tcPr>
            <w:tcW w:w="986" w:type="pct"/>
            <w:shd w:val="clear" w:color="auto" w:fill="auto"/>
            <w:noWrap/>
            <w:vAlign w:val="bottom"/>
          </w:tcPr>
          <w:p w14:paraId="636F51FE"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39,94</w:t>
            </w:r>
          </w:p>
        </w:tc>
        <w:tc>
          <w:tcPr>
            <w:tcW w:w="835" w:type="pct"/>
            <w:shd w:val="clear" w:color="auto" w:fill="auto"/>
            <w:noWrap/>
            <w:vAlign w:val="bottom"/>
          </w:tcPr>
          <w:p w14:paraId="40A95A2F"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94,77</w:t>
            </w:r>
          </w:p>
        </w:tc>
        <w:tc>
          <w:tcPr>
            <w:tcW w:w="1213" w:type="pct"/>
            <w:shd w:val="clear" w:color="auto" w:fill="auto"/>
            <w:noWrap/>
            <w:vAlign w:val="bottom"/>
          </w:tcPr>
          <w:p w14:paraId="3BF59FE8"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149,60</w:t>
            </w:r>
          </w:p>
        </w:tc>
        <w:tc>
          <w:tcPr>
            <w:tcW w:w="831" w:type="pct"/>
            <w:vAlign w:val="bottom"/>
          </w:tcPr>
          <w:p w14:paraId="59045129"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w:t>
            </w:r>
          </w:p>
        </w:tc>
      </w:tr>
      <w:tr w:rsidR="00DB474C" w:rsidRPr="00D803E2" w14:paraId="13B9D555" w14:textId="77777777" w:rsidTr="00E564BF">
        <w:trPr>
          <w:trHeight w:val="300"/>
          <w:jc w:val="center"/>
        </w:trPr>
        <w:tc>
          <w:tcPr>
            <w:tcW w:w="1135" w:type="pct"/>
            <w:shd w:val="clear" w:color="auto" w:fill="auto"/>
            <w:noWrap/>
            <w:vAlign w:val="bottom"/>
          </w:tcPr>
          <w:p w14:paraId="46839681"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Острогожский</w:t>
            </w:r>
          </w:p>
        </w:tc>
        <w:tc>
          <w:tcPr>
            <w:tcW w:w="986" w:type="pct"/>
            <w:shd w:val="clear" w:color="auto" w:fill="auto"/>
            <w:noWrap/>
            <w:vAlign w:val="bottom"/>
          </w:tcPr>
          <w:p w14:paraId="41319E04"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203,49</w:t>
            </w:r>
          </w:p>
        </w:tc>
        <w:tc>
          <w:tcPr>
            <w:tcW w:w="835" w:type="pct"/>
            <w:shd w:val="clear" w:color="auto" w:fill="auto"/>
            <w:noWrap/>
            <w:vAlign w:val="bottom"/>
          </w:tcPr>
          <w:p w14:paraId="2787E06A"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203,49</w:t>
            </w:r>
          </w:p>
        </w:tc>
        <w:tc>
          <w:tcPr>
            <w:tcW w:w="1213" w:type="pct"/>
            <w:shd w:val="clear" w:color="auto" w:fill="auto"/>
            <w:noWrap/>
            <w:vAlign w:val="bottom"/>
          </w:tcPr>
          <w:p w14:paraId="22B8F7A2"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203,49</w:t>
            </w:r>
          </w:p>
        </w:tc>
        <w:tc>
          <w:tcPr>
            <w:tcW w:w="831" w:type="pct"/>
            <w:vAlign w:val="bottom"/>
          </w:tcPr>
          <w:p w14:paraId="2D00D360"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w:t>
            </w:r>
          </w:p>
        </w:tc>
      </w:tr>
      <w:tr w:rsidR="00DB474C" w:rsidRPr="00D803E2" w14:paraId="7481D775" w14:textId="77777777" w:rsidTr="00E564BF">
        <w:trPr>
          <w:trHeight w:val="300"/>
          <w:jc w:val="center"/>
        </w:trPr>
        <w:tc>
          <w:tcPr>
            <w:tcW w:w="1135" w:type="pct"/>
            <w:shd w:val="clear" w:color="auto" w:fill="auto"/>
            <w:noWrap/>
            <w:vAlign w:val="bottom"/>
          </w:tcPr>
          <w:p w14:paraId="5B39CDFB"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Павловский</w:t>
            </w:r>
          </w:p>
        </w:tc>
        <w:tc>
          <w:tcPr>
            <w:tcW w:w="986" w:type="pct"/>
            <w:shd w:val="clear" w:color="auto" w:fill="auto"/>
            <w:noWrap/>
            <w:vAlign w:val="bottom"/>
          </w:tcPr>
          <w:p w14:paraId="53A0078D"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20,49</w:t>
            </w:r>
          </w:p>
        </w:tc>
        <w:tc>
          <w:tcPr>
            <w:tcW w:w="835" w:type="pct"/>
            <w:shd w:val="clear" w:color="auto" w:fill="auto"/>
            <w:noWrap/>
            <w:vAlign w:val="bottom"/>
          </w:tcPr>
          <w:p w14:paraId="3D4E7F3E"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579,09</w:t>
            </w:r>
          </w:p>
        </w:tc>
        <w:tc>
          <w:tcPr>
            <w:tcW w:w="1213" w:type="pct"/>
            <w:shd w:val="clear" w:color="auto" w:fill="auto"/>
            <w:noWrap/>
            <w:vAlign w:val="bottom"/>
          </w:tcPr>
          <w:p w14:paraId="07745142"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1 137,69</w:t>
            </w:r>
          </w:p>
        </w:tc>
        <w:tc>
          <w:tcPr>
            <w:tcW w:w="831" w:type="pct"/>
            <w:vAlign w:val="bottom"/>
          </w:tcPr>
          <w:p w14:paraId="145DFB64"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w:t>
            </w:r>
          </w:p>
        </w:tc>
      </w:tr>
      <w:tr w:rsidR="00DB474C" w:rsidRPr="00D803E2" w14:paraId="5C9D9B39" w14:textId="77777777" w:rsidTr="00E564BF">
        <w:trPr>
          <w:trHeight w:val="300"/>
          <w:jc w:val="center"/>
        </w:trPr>
        <w:tc>
          <w:tcPr>
            <w:tcW w:w="1135" w:type="pct"/>
            <w:shd w:val="clear" w:color="auto" w:fill="auto"/>
            <w:noWrap/>
            <w:vAlign w:val="bottom"/>
          </w:tcPr>
          <w:p w14:paraId="3433A32F"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Панинский</w:t>
            </w:r>
          </w:p>
        </w:tc>
        <w:tc>
          <w:tcPr>
            <w:tcW w:w="986" w:type="pct"/>
            <w:shd w:val="clear" w:color="auto" w:fill="auto"/>
            <w:noWrap/>
            <w:vAlign w:val="bottom"/>
          </w:tcPr>
          <w:p w14:paraId="3C080955"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83,48</w:t>
            </w:r>
          </w:p>
        </w:tc>
        <w:tc>
          <w:tcPr>
            <w:tcW w:w="835" w:type="pct"/>
            <w:shd w:val="clear" w:color="auto" w:fill="auto"/>
            <w:noWrap/>
            <w:vAlign w:val="bottom"/>
          </w:tcPr>
          <w:p w14:paraId="1B5AD1C1"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609,67</w:t>
            </w:r>
          </w:p>
        </w:tc>
        <w:tc>
          <w:tcPr>
            <w:tcW w:w="1213" w:type="pct"/>
            <w:shd w:val="clear" w:color="auto" w:fill="auto"/>
            <w:noWrap/>
            <w:vAlign w:val="bottom"/>
          </w:tcPr>
          <w:p w14:paraId="062DA4B8"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1 135,86</w:t>
            </w:r>
          </w:p>
        </w:tc>
        <w:tc>
          <w:tcPr>
            <w:tcW w:w="831" w:type="pct"/>
            <w:vAlign w:val="bottom"/>
          </w:tcPr>
          <w:p w14:paraId="2014E4E3"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w:t>
            </w:r>
          </w:p>
        </w:tc>
      </w:tr>
      <w:tr w:rsidR="00DB474C" w:rsidRPr="00D803E2" w14:paraId="0DAA823D" w14:textId="77777777" w:rsidTr="00E564BF">
        <w:trPr>
          <w:trHeight w:val="300"/>
          <w:jc w:val="center"/>
        </w:trPr>
        <w:tc>
          <w:tcPr>
            <w:tcW w:w="1135" w:type="pct"/>
            <w:shd w:val="clear" w:color="auto" w:fill="auto"/>
            <w:noWrap/>
            <w:vAlign w:val="bottom"/>
          </w:tcPr>
          <w:p w14:paraId="2558D3D8" w14:textId="77777777" w:rsidR="00DB474C" w:rsidRPr="00D803E2" w:rsidRDefault="00DB474C" w:rsidP="00DB474C">
            <w:pPr>
              <w:spacing w:after="0" w:line="240" w:lineRule="auto"/>
              <w:rPr>
                <w:rFonts w:ascii="Times New Roman" w:hAnsi="Times New Roman" w:cs="Times New Roman"/>
                <w:color w:val="000000"/>
              </w:rPr>
            </w:pPr>
            <w:r w:rsidRPr="006F4730">
              <w:rPr>
                <w:rFonts w:ascii="Times New Roman" w:hAnsi="Times New Roman" w:cs="Times New Roman"/>
                <w:color w:val="000000"/>
              </w:rPr>
              <w:t>Петропавловский</w:t>
            </w:r>
          </w:p>
        </w:tc>
        <w:tc>
          <w:tcPr>
            <w:tcW w:w="986" w:type="pct"/>
            <w:shd w:val="clear" w:color="auto" w:fill="auto"/>
            <w:noWrap/>
            <w:vAlign w:val="bottom"/>
          </w:tcPr>
          <w:p w14:paraId="5BC3BBCA" w14:textId="77777777" w:rsidR="00DB474C" w:rsidRPr="00D803E2" w:rsidRDefault="00DB474C" w:rsidP="00DB474C">
            <w:pPr>
              <w:spacing w:after="0" w:line="240" w:lineRule="auto"/>
              <w:jc w:val="right"/>
              <w:rPr>
                <w:rFonts w:ascii="Times New Roman" w:hAnsi="Times New Roman" w:cs="Times New Roman"/>
                <w:color w:val="000000"/>
              </w:rPr>
            </w:pPr>
            <w:r>
              <w:rPr>
                <w:rFonts w:ascii="Times New Roman" w:hAnsi="Times New Roman" w:cs="Times New Roman"/>
                <w:color w:val="000000"/>
              </w:rPr>
              <w:t>-</w:t>
            </w:r>
          </w:p>
        </w:tc>
        <w:tc>
          <w:tcPr>
            <w:tcW w:w="835" w:type="pct"/>
            <w:shd w:val="clear" w:color="auto" w:fill="auto"/>
            <w:noWrap/>
          </w:tcPr>
          <w:p w14:paraId="7F0828AB"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c>
          <w:tcPr>
            <w:tcW w:w="1213" w:type="pct"/>
            <w:shd w:val="clear" w:color="auto" w:fill="auto"/>
            <w:noWrap/>
          </w:tcPr>
          <w:p w14:paraId="770D24B9"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c>
          <w:tcPr>
            <w:tcW w:w="831" w:type="pct"/>
          </w:tcPr>
          <w:p w14:paraId="4E46D01B"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r>
      <w:tr w:rsidR="00DB474C" w:rsidRPr="00D803E2" w14:paraId="2DEB7F68" w14:textId="77777777" w:rsidTr="00E564BF">
        <w:trPr>
          <w:trHeight w:val="300"/>
          <w:jc w:val="center"/>
        </w:trPr>
        <w:tc>
          <w:tcPr>
            <w:tcW w:w="1135" w:type="pct"/>
            <w:shd w:val="clear" w:color="auto" w:fill="auto"/>
            <w:noWrap/>
            <w:vAlign w:val="bottom"/>
          </w:tcPr>
          <w:p w14:paraId="61531D40"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Поворинский</w:t>
            </w:r>
          </w:p>
        </w:tc>
        <w:tc>
          <w:tcPr>
            <w:tcW w:w="986" w:type="pct"/>
            <w:shd w:val="clear" w:color="auto" w:fill="auto"/>
            <w:noWrap/>
            <w:vAlign w:val="bottom"/>
          </w:tcPr>
          <w:p w14:paraId="4C95F7D7"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908,09</w:t>
            </w:r>
          </w:p>
        </w:tc>
        <w:tc>
          <w:tcPr>
            <w:tcW w:w="835" w:type="pct"/>
            <w:shd w:val="clear" w:color="auto" w:fill="auto"/>
            <w:noWrap/>
            <w:vAlign w:val="bottom"/>
          </w:tcPr>
          <w:p w14:paraId="3051D9E9"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908,09</w:t>
            </w:r>
          </w:p>
        </w:tc>
        <w:tc>
          <w:tcPr>
            <w:tcW w:w="1213" w:type="pct"/>
            <w:shd w:val="clear" w:color="auto" w:fill="auto"/>
            <w:noWrap/>
            <w:vAlign w:val="bottom"/>
          </w:tcPr>
          <w:p w14:paraId="4F217B36"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908,09</w:t>
            </w:r>
          </w:p>
        </w:tc>
        <w:tc>
          <w:tcPr>
            <w:tcW w:w="831" w:type="pct"/>
            <w:vAlign w:val="bottom"/>
          </w:tcPr>
          <w:p w14:paraId="5280AFF7"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w:t>
            </w:r>
          </w:p>
        </w:tc>
      </w:tr>
      <w:tr w:rsidR="00DB474C" w:rsidRPr="00D803E2" w14:paraId="792E4515" w14:textId="77777777" w:rsidTr="00E564BF">
        <w:trPr>
          <w:trHeight w:val="300"/>
          <w:jc w:val="center"/>
        </w:trPr>
        <w:tc>
          <w:tcPr>
            <w:tcW w:w="1135" w:type="pct"/>
            <w:shd w:val="clear" w:color="auto" w:fill="auto"/>
            <w:noWrap/>
            <w:vAlign w:val="bottom"/>
          </w:tcPr>
          <w:p w14:paraId="3E83891B"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Подгоренский</w:t>
            </w:r>
          </w:p>
        </w:tc>
        <w:tc>
          <w:tcPr>
            <w:tcW w:w="986" w:type="pct"/>
            <w:shd w:val="clear" w:color="auto" w:fill="auto"/>
            <w:noWrap/>
            <w:vAlign w:val="bottom"/>
          </w:tcPr>
          <w:p w14:paraId="572F9FDB"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10,20</w:t>
            </w:r>
          </w:p>
        </w:tc>
        <w:tc>
          <w:tcPr>
            <w:tcW w:w="835" w:type="pct"/>
            <w:shd w:val="clear" w:color="auto" w:fill="auto"/>
            <w:noWrap/>
            <w:vAlign w:val="bottom"/>
          </w:tcPr>
          <w:p w14:paraId="59148699"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10,20</w:t>
            </w:r>
          </w:p>
        </w:tc>
        <w:tc>
          <w:tcPr>
            <w:tcW w:w="1213" w:type="pct"/>
            <w:shd w:val="clear" w:color="auto" w:fill="auto"/>
            <w:noWrap/>
            <w:vAlign w:val="bottom"/>
          </w:tcPr>
          <w:p w14:paraId="037C86F5"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10,20</w:t>
            </w:r>
          </w:p>
        </w:tc>
        <w:tc>
          <w:tcPr>
            <w:tcW w:w="831" w:type="pct"/>
            <w:vAlign w:val="bottom"/>
          </w:tcPr>
          <w:p w14:paraId="5B5223A5"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w:t>
            </w:r>
          </w:p>
        </w:tc>
      </w:tr>
      <w:tr w:rsidR="00DB474C" w:rsidRPr="00D803E2" w14:paraId="5E67C8FA" w14:textId="77777777" w:rsidTr="00E564BF">
        <w:trPr>
          <w:trHeight w:val="300"/>
          <w:jc w:val="center"/>
        </w:trPr>
        <w:tc>
          <w:tcPr>
            <w:tcW w:w="1135" w:type="pct"/>
            <w:shd w:val="clear" w:color="auto" w:fill="auto"/>
            <w:noWrap/>
            <w:vAlign w:val="bottom"/>
          </w:tcPr>
          <w:p w14:paraId="7F1D3627"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Рамонский</w:t>
            </w:r>
          </w:p>
        </w:tc>
        <w:tc>
          <w:tcPr>
            <w:tcW w:w="986" w:type="pct"/>
            <w:shd w:val="clear" w:color="auto" w:fill="auto"/>
            <w:noWrap/>
            <w:vAlign w:val="bottom"/>
          </w:tcPr>
          <w:p w14:paraId="1EB37C5E"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210,65</w:t>
            </w:r>
          </w:p>
        </w:tc>
        <w:tc>
          <w:tcPr>
            <w:tcW w:w="835" w:type="pct"/>
            <w:shd w:val="clear" w:color="auto" w:fill="auto"/>
            <w:noWrap/>
            <w:vAlign w:val="bottom"/>
          </w:tcPr>
          <w:p w14:paraId="66B6E1E9"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1 294,36</w:t>
            </w:r>
          </w:p>
        </w:tc>
        <w:tc>
          <w:tcPr>
            <w:tcW w:w="1213" w:type="pct"/>
            <w:shd w:val="clear" w:color="auto" w:fill="auto"/>
            <w:noWrap/>
            <w:vAlign w:val="bottom"/>
          </w:tcPr>
          <w:p w14:paraId="11059797"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2 876,40</w:t>
            </w:r>
          </w:p>
        </w:tc>
        <w:tc>
          <w:tcPr>
            <w:tcW w:w="831" w:type="pct"/>
            <w:vAlign w:val="bottom"/>
          </w:tcPr>
          <w:p w14:paraId="1E953D92"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7</w:t>
            </w:r>
          </w:p>
        </w:tc>
      </w:tr>
      <w:tr w:rsidR="00DB474C" w:rsidRPr="00D803E2" w14:paraId="51310BA8" w14:textId="77777777" w:rsidTr="00E564BF">
        <w:trPr>
          <w:trHeight w:val="300"/>
          <w:jc w:val="center"/>
        </w:trPr>
        <w:tc>
          <w:tcPr>
            <w:tcW w:w="1135" w:type="pct"/>
            <w:shd w:val="clear" w:color="auto" w:fill="auto"/>
            <w:noWrap/>
            <w:vAlign w:val="bottom"/>
          </w:tcPr>
          <w:p w14:paraId="4E960ED6" w14:textId="77777777" w:rsidR="00DB474C" w:rsidRPr="00D803E2" w:rsidRDefault="00DB474C" w:rsidP="00DB474C">
            <w:pPr>
              <w:spacing w:after="0" w:line="240" w:lineRule="auto"/>
              <w:rPr>
                <w:rFonts w:ascii="Times New Roman" w:hAnsi="Times New Roman" w:cs="Times New Roman"/>
                <w:color w:val="000000"/>
              </w:rPr>
            </w:pPr>
            <w:r w:rsidRPr="006F4730">
              <w:rPr>
                <w:rFonts w:ascii="Times New Roman" w:hAnsi="Times New Roman" w:cs="Times New Roman"/>
                <w:color w:val="000000"/>
              </w:rPr>
              <w:t>Репьевский</w:t>
            </w:r>
          </w:p>
        </w:tc>
        <w:tc>
          <w:tcPr>
            <w:tcW w:w="986" w:type="pct"/>
            <w:shd w:val="clear" w:color="auto" w:fill="auto"/>
            <w:noWrap/>
            <w:vAlign w:val="bottom"/>
          </w:tcPr>
          <w:p w14:paraId="6DC416C9" w14:textId="77777777" w:rsidR="00DB474C" w:rsidRPr="00D803E2" w:rsidRDefault="00DB474C" w:rsidP="00DB474C">
            <w:pPr>
              <w:spacing w:after="0" w:line="240" w:lineRule="auto"/>
              <w:jc w:val="right"/>
              <w:rPr>
                <w:rFonts w:ascii="Times New Roman" w:hAnsi="Times New Roman" w:cs="Times New Roman"/>
                <w:color w:val="000000"/>
              </w:rPr>
            </w:pPr>
            <w:r>
              <w:rPr>
                <w:rFonts w:ascii="Times New Roman" w:hAnsi="Times New Roman" w:cs="Times New Roman"/>
                <w:color w:val="000000"/>
              </w:rPr>
              <w:t>-</w:t>
            </w:r>
          </w:p>
        </w:tc>
        <w:tc>
          <w:tcPr>
            <w:tcW w:w="835" w:type="pct"/>
            <w:shd w:val="clear" w:color="auto" w:fill="auto"/>
            <w:noWrap/>
          </w:tcPr>
          <w:p w14:paraId="16AAFE34"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c>
          <w:tcPr>
            <w:tcW w:w="1213" w:type="pct"/>
            <w:shd w:val="clear" w:color="auto" w:fill="auto"/>
            <w:noWrap/>
          </w:tcPr>
          <w:p w14:paraId="38E6DAFF"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c>
          <w:tcPr>
            <w:tcW w:w="831" w:type="pct"/>
          </w:tcPr>
          <w:p w14:paraId="0B6C34C4"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r>
      <w:tr w:rsidR="00DB474C" w:rsidRPr="00D803E2" w14:paraId="5120AA7C" w14:textId="77777777" w:rsidTr="00E564BF">
        <w:trPr>
          <w:trHeight w:val="300"/>
          <w:jc w:val="center"/>
        </w:trPr>
        <w:tc>
          <w:tcPr>
            <w:tcW w:w="1135" w:type="pct"/>
            <w:shd w:val="clear" w:color="auto" w:fill="auto"/>
            <w:noWrap/>
            <w:vAlign w:val="bottom"/>
          </w:tcPr>
          <w:p w14:paraId="61991EAB"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Россошанский</w:t>
            </w:r>
          </w:p>
        </w:tc>
        <w:tc>
          <w:tcPr>
            <w:tcW w:w="986" w:type="pct"/>
            <w:shd w:val="clear" w:color="auto" w:fill="auto"/>
            <w:noWrap/>
            <w:vAlign w:val="bottom"/>
          </w:tcPr>
          <w:p w14:paraId="4A3A82E0"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1 412,82</w:t>
            </w:r>
          </w:p>
        </w:tc>
        <w:tc>
          <w:tcPr>
            <w:tcW w:w="835" w:type="pct"/>
            <w:shd w:val="clear" w:color="auto" w:fill="auto"/>
            <w:noWrap/>
            <w:vAlign w:val="bottom"/>
          </w:tcPr>
          <w:p w14:paraId="41BBB5C6"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1 412,82</w:t>
            </w:r>
          </w:p>
        </w:tc>
        <w:tc>
          <w:tcPr>
            <w:tcW w:w="1213" w:type="pct"/>
            <w:shd w:val="clear" w:color="auto" w:fill="auto"/>
            <w:noWrap/>
            <w:vAlign w:val="bottom"/>
          </w:tcPr>
          <w:p w14:paraId="59394412"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1 412,82</w:t>
            </w:r>
          </w:p>
        </w:tc>
        <w:tc>
          <w:tcPr>
            <w:tcW w:w="831" w:type="pct"/>
            <w:vAlign w:val="bottom"/>
          </w:tcPr>
          <w:p w14:paraId="04F549E6"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w:t>
            </w:r>
          </w:p>
        </w:tc>
      </w:tr>
      <w:tr w:rsidR="00DB474C" w:rsidRPr="00D803E2" w14:paraId="6A853D8A" w14:textId="77777777" w:rsidTr="00E564BF">
        <w:trPr>
          <w:trHeight w:val="300"/>
          <w:jc w:val="center"/>
        </w:trPr>
        <w:tc>
          <w:tcPr>
            <w:tcW w:w="1135" w:type="pct"/>
            <w:shd w:val="clear" w:color="auto" w:fill="auto"/>
            <w:noWrap/>
            <w:vAlign w:val="bottom"/>
          </w:tcPr>
          <w:p w14:paraId="6D393E25"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Семилукский</w:t>
            </w:r>
          </w:p>
        </w:tc>
        <w:tc>
          <w:tcPr>
            <w:tcW w:w="986" w:type="pct"/>
            <w:shd w:val="clear" w:color="auto" w:fill="auto"/>
            <w:noWrap/>
            <w:vAlign w:val="bottom"/>
          </w:tcPr>
          <w:p w14:paraId="48120F3F"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2,33</w:t>
            </w:r>
          </w:p>
        </w:tc>
        <w:tc>
          <w:tcPr>
            <w:tcW w:w="835" w:type="pct"/>
            <w:shd w:val="clear" w:color="auto" w:fill="auto"/>
            <w:noWrap/>
            <w:vAlign w:val="bottom"/>
          </w:tcPr>
          <w:p w14:paraId="77DFBCD3"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665,01</w:t>
            </w:r>
          </w:p>
        </w:tc>
        <w:tc>
          <w:tcPr>
            <w:tcW w:w="1213" w:type="pct"/>
            <w:shd w:val="clear" w:color="auto" w:fill="auto"/>
            <w:noWrap/>
            <w:vAlign w:val="bottom"/>
          </w:tcPr>
          <w:p w14:paraId="5D5BDBCB"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2 350,37</w:t>
            </w:r>
          </w:p>
        </w:tc>
        <w:tc>
          <w:tcPr>
            <w:tcW w:w="831" w:type="pct"/>
            <w:vAlign w:val="bottom"/>
          </w:tcPr>
          <w:p w14:paraId="280BDF60"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8</w:t>
            </w:r>
          </w:p>
        </w:tc>
      </w:tr>
      <w:tr w:rsidR="00DB474C" w:rsidRPr="00D803E2" w14:paraId="419A96AE" w14:textId="77777777" w:rsidTr="00E564BF">
        <w:trPr>
          <w:trHeight w:val="300"/>
          <w:jc w:val="center"/>
        </w:trPr>
        <w:tc>
          <w:tcPr>
            <w:tcW w:w="1135" w:type="pct"/>
            <w:shd w:val="clear" w:color="auto" w:fill="auto"/>
            <w:noWrap/>
            <w:vAlign w:val="bottom"/>
          </w:tcPr>
          <w:p w14:paraId="1496C4E8"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Таловский</w:t>
            </w:r>
          </w:p>
        </w:tc>
        <w:tc>
          <w:tcPr>
            <w:tcW w:w="986" w:type="pct"/>
            <w:shd w:val="clear" w:color="auto" w:fill="auto"/>
            <w:noWrap/>
            <w:vAlign w:val="bottom"/>
          </w:tcPr>
          <w:p w14:paraId="770CAFBA"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29,35</w:t>
            </w:r>
          </w:p>
        </w:tc>
        <w:tc>
          <w:tcPr>
            <w:tcW w:w="835" w:type="pct"/>
            <w:shd w:val="clear" w:color="auto" w:fill="auto"/>
            <w:noWrap/>
            <w:vAlign w:val="bottom"/>
          </w:tcPr>
          <w:p w14:paraId="3CBE5C4B"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32,99</w:t>
            </w:r>
          </w:p>
        </w:tc>
        <w:tc>
          <w:tcPr>
            <w:tcW w:w="1213" w:type="pct"/>
            <w:shd w:val="clear" w:color="auto" w:fill="auto"/>
            <w:noWrap/>
            <w:vAlign w:val="bottom"/>
          </w:tcPr>
          <w:p w14:paraId="6DE78E79"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36,63</w:t>
            </w:r>
          </w:p>
        </w:tc>
        <w:tc>
          <w:tcPr>
            <w:tcW w:w="831" w:type="pct"/>
            <w:vAlign w:val="bottom"/>
          </w:tcPr>
          <w:p w14:paraId="6751A101"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w:t>
            </w:r>
          </w:p>
        </w:tc>
      </w:tr>
      <w:tr w:rsidR="00DB474C" w:rsidRPr="00D803E2" w14:paraId="0D36B6D8" w14:textId="77777777" w:rsidTr="00E564BF">
        <w:trPr>
          <w:trHeight w:val="300"/>
          <w:jc w:val="center"/>
        </w:trPr>
        <w:tc>
          <w:tcPr>
            <w:tcW w:w="1135" w:type="pct"/>
            <w:shd w:val="clear" w:color="auto" w:fill="auto"/>
            <w:noWrap/>
            <w:vAlign w:val="bottom"/>
          </w:tcPr>
          <w:p w14:paraId="62935997"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Терновский</w:t>
            </w:r>
          </w:p>
        </w:tc>
        <w:tc>
          <w:tcPr>
            <w:tcW w:w="986" w:type="pct"/>
            <w:shd w:val="clear" w:color="auto" w:fill="auto"/>
            <w:noWrap/>
            <w:vAlign w:val="bottom"/>
          </w:tcPr>
          <w:p w14:paraId="49E0E187"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270,13</w:t>
            </w:r>
          </w:p>
        </w:tc>
        <w:tc>
          <w:tcPr>
            <w:tcW w:w="835" w:type="pct"/>
            <w:shd w:val="clear" w:color="auto" w:fill="auto"/>
            <w:noWrap/>
            <w:vAlign w:val="bottom"/>
          </w:tcPr>
          <w:p w14:paraId="5338D28E"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270,13</w:t>
            </w:r>
          </w:p>
        </w:tc>
        <w:tc>
          <w:tcPr>
            <w:tcW w:w="1213" w:type="pct"/>
            <w:shd w:val="clear" w:color="auto" w:fill="auto"/>
            <w:noWrap/>
            <w:vAlign w:val="bottom"/>
          </w:tcPr>
          <w:p w14:paraId="45F27B9C"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270,13</w:t>
            </w:r>
          </w:p>
        </w:tc>
        <w:tc>
          <w:tcPr>
            <w:tcW w:w="831" w:type="pct"/>
            <w:vAlign w:val="bottom"/>
          </w:tcPr>
          <w:p w14:paraId="027CEA57"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w:t>
            </w:r>
          </w:p>
        </w:tc>
      </w:tr>
      <w:tr w:rsidR="00DB474C" w:rsidRPr="00D803E2" w14:paraId="304508C6" w14:textId="77777777" w:rsidTr="00E564BF">
        <w:trPr>
          <w:trHeight w:val="300"/>
          <w:jc w:val="center"/>
        </w:trPr>
        <w:tc>
          <w:tcPr>
            <w:tcW w:w="1135" w:type="pct"/>
            <w:shd w:val="clear" w:color="auto" w:fill="auto"/>
            <w:noWrap/>
            <w:vAlign w:val="bottom"/>
          </w:tcPr>
          <w:p w14:paraId="07112888"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Хохольский</w:t>
            </w:r>
          </w:p>
        </w:tc>
        <w:tc>
          <w:tcPr>
            <w:tcW w:w="986" w:type="pct"/>
            <w:shd w:val="clear" w:color="auto" w:fill="auto"/>
            <w:noWrap/>
            <w:vAlign w:val="bottom"/>
          </w:tcPr>
          <w:p w14:paraId="384CAC62"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30,98</w:t>
            </w:r>
          </w:p>
        </w:tc>
        <w:tc>
          <w:tcPr>
            <w:tcW w:w="835" w:type="pct"/>
            <w:shd w:val="clear" w:color="auto" w:fill="auto"/>
            <w:noWrap/>
            <w:vAlign w:val="bottom"/>
          </w:tcPr>
          <w:p w14:paraId="707E0504"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30,98</w:t>
            </w:r>
          </w:p>
        </w:tc>
        <w:tc>
          <w:tcPr>
            <w:tcW w:w="1213" w:type="pct"/>
            <w:shd w:val="clear" w:color="auto" w:fill="auto"/>
            <w:noWrap/>
            <w:vAlign w:val="bottom"/>
          </w:tcPr>
          <w:p w14:paraId="2D936676"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30,98</w:t>
            </w:r>
          </w:p>
        </w:tc>
        <w:tc>
          <w:tcPr>
            <w:tcW w:w="831" w:type="pct"/>
            <w:vAlign w:val="bottom"/>
          </w:tcPr>
          <w:p w14:paraId="0ACE8806"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w:t>
            </w:r>
          </w:p>
        </w:tc>
      </w:tr>
      <w:tr w:rsidR="00DB474C" w:rsidRPr="00D803E2" w14:paraId="5CE40053" w14:textId="77777777" w:rsidTr="00E564BF">
        <w:trPr>
          <w:trHeight w:val="300"/>
          <w:jc w:val="center"/>
        </w:trPr>
        <w:tc>
          <w:tcPr>
            <w:tcW w:w="1135" w:type="pct"/>
            <w:shd w:val="clear" w:color="auto" w:fill="auto"/>
            <w:noWrap/>
            <w:vAlign w:val="bottom"/>
          </w:tcPr>
          <w:p w14:paraId="636E6F6A"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Эртильский</w:t>
            </w:r>
          </w:p>
        </w:tc>
        <w:tc>
          <w:tcPr>
            <w:tcW w:w="986" w:type="pct"/>
            <w:shd w:val="clear" w:color="auto" w:fill="auto"/>
            <w:noWrap/>
            <w:vAlign w:val="bottom"/>
          </w:tcPr>
          <w:p w14:paraId="1EB52D65"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1,81</w:t>
            </w:r>
          </w:p>
        </w:tc>
        <w:tc>
          <w:tcPr>
            <w:tcW w:w="835" w:type="pct"/>
            <w:shd w:val="clear" w:color="auto" w:fill="auto"/>
            <w:noWrap/>
            <w:vAlign w:val="bottom"/>
          </w:tcPr>
          <w:p w14:paraId="279B4725"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104,21</w:t>
            </w:r>
          </w:p>
        </w:tc>
        <w:tc>
          <w:tcPr>
            <w:tcW w:w="1213" w:type="pct"/>
            <w:shd w:val="clear" w:color="auto" w:fill="auto"/>
            <w:noWrap/>
            <w:vAlign w:val="bottom"/>
          </w:tcPr>
          <w:p w14:paraId="0B052CEA"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404,44</w:t>
            </w:r>
          </w:p>
        </w:tc>
        <w:tc>
          <w:tcPr>
            <w:tcW w:w="831" w:type="pct"/>
            <w:vAlign w:val="bottom"/>
          </w:tcPr>
          <w:p w14:paraId="6098B1A5"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7</w:t>
            </w:r>
          </w:p>
        </w:tc>
      </w:tr>
      <w:tr w:rsidR="00DB474C" w:rsidRPr="00D803E2" w14:paraId="6404E6B1" w14:textId="77777777" w:rsidTr="00E564BF">
        <w:trPr>
          <w:trHeight w:val="300"/>
          <w:jc w:val="center"/>
        </w:trPr>
        <w:tc>
          <w:tcPr>
            <w:tcW w:w="1135" w:type="pct"/>
            <w:shd w:val="clear" w:color="auto" w:fill="auto"/>
            <w:noWrap/>
            <w:vAlign w:val="bottom"/>
          </w:tcPr>
          <w:p w14:paraId="31ED53E2" w14:textId="77777777" w:rsidR="00DB474C" w:rsidRPr="00D803E2" w:rsidRDefault="00DB474C" w:rsidP="00DB474C">
            <w:pPr>
              <w:spacing w:after="0" w:line="240" w:lineRule="auto"/>
              <w:rPr>
                <w:rFonts w:ascii="Times New Roman" w:hAnsi="Times New Roman" w:cs="Times New Roman"/>
                <w:color w:val="000000"/>
              </w:rPr>
            </w:pPr>
            <w:r w:rsidRPr="006F4730">
              <w:rPr>
                <w:rFonts w:ascii="Times New Roman" w:hAnsi="Times New Roman" w:cs="Times New Roman"/>
                <w:color w:val="000000"/>
              </w:rPr>
              <w:t>г.о.г. Нововоронеж</w:t>
            </w:r>
          </w:p>
        </w:tc>
        <w:tc>
          <w:tcPr>
            <w:tcW w:w="986" w:type="pct"/>
            <w:shd w:val="clear" w:color="auto" w:fill="auto"/>
            <w:noWrap/>
            <w:vAlign w:val="bottom"/>
          </w:tcPr>
          <w:p w14:paraId="78B7D5DF" w14:textId="77777777" w:rsidR="00DB474C" w:rsidRPr="00D803E2" w:rsidRDefault="00DB474C" w:rsidP="00DB474C">
            <w:pPr>
              <w:spacing w:after="0" w:line="240" w:lineRule="auto"/>
              <w:jc w:val="right"/>
              <w:rPr>
                <w:rFonts w:ascii="Times New Roman" w:hAnsi="Times New Roman" w:cs="Times New Roman"/>
                <w:color w:val="000000"/>
              </w:rPr>
            </w:pPr>
            <w:r>
              <w:rPr>
                <w:rFonts w:ascii="Times New Roman" w:hAnsi="Times New Roman" w:cs="Times New Roman"/>
                <w:color w:val="000000"/>
              </w:rPr>
              <w:t>-</w:t>
            </w:r>
          </w:p>
        </w:tc>
        <w:tc>
          <w:tcPr>
            <w:tcW w:w="835" w:type="pct"/>
            <w:shd w:val="clear" w:color="auto" w:fill="auto"/>
            <w:noWrap/>
          </w:tcPr>
          <w:p w14:paraId="3F94C4DF"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c>
          <w:tcPr>
            <w:tcW w:w="1213" w:type="pct"/>
            <w:shd w:val="clear" w:color="auto" w:fill="auto"/>
            <w:noWrap/>
          </w:tcPr>
          <w:p w14:paraId="49517867"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c>
          <w:tcPr>
            <w:tcW w:w="831" w:type="pct"/>
          </w:tcPr>
          <w:p w14:paraId="5584D5A4" w14:textId="77777777" w:rsidR="00DB474C" w:rsidRPr="00D803E2" w:rsidRDefault="00DB474C" w:rsidP="00DB474C">
            <w:pPr>
              <w:spacing w:after="0" w:line="240" w:lineRule="auto"/>
              <w:jc w:val="right"/>
              <w:rPr>
                <w:rFonts w:ascii="Times New Roman" w:hAnsi="Times New Roman" w:cs="Times New Roman"/>
                <w:color w:val="000000"/>
              </w:rPr>
            </w:pPr>
            <w:r w:rsidRPr="00E637FA">
              <w:rPr>
                <w:rFonts w:ascii="Times New Roman" w:hAnsi="Times New Roman" w:cs="Times New Roman"/>
                <w:color w:val="000000"/>
              </w:rPr>
              <w:t>-</w:t>
            </w:r>
          </w:p>
        </w:tc>
      </w:tr>
      <w:tr w:rsidR="00DB474C" w:rsidRPr="00D803E2" w14:paraId="1FDC52BE" w14:textId="77777777" w:rsidTr="00E564BF">
        <w:trPr>
          <w:trHeight w:val="300"/>
          <w:jc w:val="center"/>
        </w:trPr>
        <w:tc>
          <w:tcPr>
            <w:tcW w:w="1135" w:type="pct"/>
            <w:shd w:val="clear" w:color="auto" w:fill="auto"/>
            <w:noWrap/>
            <w:vAlign w:val="bottom"/>
          </w:tcPr>
          <w:p w14:paraId="2B1306A5" w14:textId="77777777" w:rsidR="00DB474C" w:rsidRPr="00D803E2" w:rsidRDefault="00DB474C" w:rsidP="00DB474C">
            <w:pPr>
              <w:spacing w:after="0" w:line="240" w:lineRule="auto"/>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г.о.г. Воронеж</w:t>
            </w:r>
          </w:p>
        </w:tc>
        <w:tc>
          <w:tcPr>
            <w:tcW w:w="986" w:type="pct"/>
            <w:shd w:val="clear" w:color="auto" w:fill="auto"/>
            <w:noWrap/>
            <w:vAlign w:val="bottom"/>
          </w:tcPr>
          <w:p w14:paraId="13F2A277"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65,62</w:t>
            </w:r>
          </w:p>
        </w:tc>
        <w:tc>
          <w:tcPr>
            <w:tcW w:w="835" w:type="pct"/>
            <w:shd w:val="clear" w:color="auto" w:fill="auto"/>
            <w:noWrap/>
            <w:vAlign w:val="bottom"/>
          </w:tcPr>
          <w:p w14:paraId="5E4F5D63"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6 354,98</w:t>
            </w:r>
          </w:p>
        </w:tc>
        <w:tc>
          <w:tcPr>
            <w:tcW w:w="1213" w:type="pct"/>
            <w:shd w:val="clear" w:color="auto" w:fill="auto"/>
            <w:noWrap/>
            <w:vAlign w:val="bottom"/>
          </w:tcPr>
          <w:p w14:paraId="25BE749C"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64 795,06</w:t>
            </w:r>
          </w:p>
        </w:tc>
        <w:tc>
          <w:tcPr>
            <w:tcW w:w="831" w:type="pct"/>
            <w:vAlign w:val="bottom"/>
          </w:tcPr>
          <w:p w14:paraId="168C4FC1" w14:textId="77777777" w:rsidR="00DB474C" w:rsidRPr="00D803E2" w:rsidRDefault="00DB474C" w:rsidP="00DB474C">
            <w:pPr>
              <w:spacing w:after="0" w:line="240" w:lineRule="auto"/>
              <w:jc w:val="right"/>
              <w:rPr>
                <w:rFonts w:ascii="Times New Roman" w:eastAsia="Times New Roman" w:hAnsi="Times New Roman" w:cs="Times New Roman"/>
                <w:color w:val="000000" w:themeColor="text1"/>
                <w:lang w:eastAsia="ru-RU"/>
              </w:rPr>
            </w:pPr>
            <w:r w:rsidRPr="00D803E2">
              <w:rPr>
                <w:rFonts w:ascii="Times New Roman" w:hAnsi="Times New Roman" w:cs="Times New Roman"/>
                <w:color w:val="000000"/>
              </w:rPr>
              <w:t>74</w:t>
            </w:r>
          </w:p>
        </w:tc>
      </w:tr>
      <w:tr w:rsidR="00DB474C" w:rsidRPr="00D803E2" w14:paraId="5A9B1D15" w14:textId="77777777" w:rsidTr="00E564BF">
        <w:trPr>
          <w:trHeight w:val="300"/>
          <w:jc w:val="center"/>
        </w:trPr>
        <w:tc>
          <w:tcPr>
            <w:tcW w:w="1135" w:type="pct"/>
            <w:shd w:val="clear" w:color="auto" w:fill="auto"/>
            <w:noWrap/>
            <w:vAlign w:val="bottom"/>
          </w:tcPr>
          <w:p w14:paraId="625EFC44" w14:textId="77777777" w:rsidR="00DB474C" w:rsidRPr="00D803E2" w:rsidRDefault="00DB474C" w:rsidP="00DB474C">
            <w:pPr>
              <w:spacing w:after="0" w:line="240" w:lineRule="auto"/>
              <w:rPr>
                <w:rFonts w:ascii="Times New Roman" w:eastAsia="Times New Roman" w:hAnsi="Times New Roman" w:cs="Times New Roman"/>
                <w:b/>
                <w:color w:val="000000" w:themeColor="text1"/>
                <w:lang w:eastAsia="ru-RU"/>
              </w:rPr>
            </w:pPr>
            <w:r w:rsidRPr="00D803E2">
              <w:rPr>
                <w:rFonts w:ascii="Times New Roman" w:hAnsi="Times New Roman" w:cs="Times New Roman"/>
                <w:b/>
                <w:color w:val="000000"/>
              </w:rPr>
              <w:t>Общий итог</w:t>
            </w:r>
          </w:p>
        </w:tc>
        <w:tc>
          <w:tcPr>
            <w:tcW w:w="986" w:type="pct"/>
            <w:shd w:val="clear" w:color="auto" w:fill="auto"/>
            <w:noWrap/>
            <w:vAlign w:val="bottom"/>
          </w:tcPr>
          <w:p w14:paraId="7100B436" w14:textId="77777777" w:rsidR="00DB474C" w:rsidRPr="00D803E2" w:rsidRDefault="00DB474C" w:rsidP="00DB474C">
            <w:pPr>
              <w:spacing w:after="0" w:line="240" w:lineRule="auto"/>
              <w:jc w:val="right"/>
              <w:rPr>
                <w:rFonts w:ascii="Times New Roman" w:eastAsia="Times New Roman" w:hAnsi="Times New Roman" w:cs="Times New Roman"/>
                <w:b/>
                <w:color w:val="000000" w:themeColor="text1"/>
                <w:lang w:eastAsia="ru-RU"/>
              </w:rPr>
            </w:pPr>
            <w:r w:rsidRPr="00D803E2">
              <w:rPr>
                <w:rFonts w:ascii="Times New Roman" w:hAnsi="Times New Roman" w:cs="Times New Roman"/>
                <w:b/>
                <w:color w:val="000000"/>
              </w:rPr>
              <w:t>1,81</w:t>
            </w:r>
          </w:p>
        </w:tc>
        <w:tc>
          <w:tcPr>
            <w:tcW w:w="835" w:type="pct"/>
            <w:shd w:val="clear" w:color="auto" w:fill="auto"/>
            <w:noWrap/>
            <w:vAlign w:val="bottom"/>
          </w:tcPr>
          <w:p w14:paraId="430E70F4" w14:textId="77777777" w:rsidR="00DB474C" w:rsidRPr="00D803E2" w:rsidRDefault="00DB474C" w:rsidP="00DB474C">
            <w:pPr>
              <w:spacing w:after="0" w:line="240" w:lineRule="auto"/>
              <w:jc w:val="right"/>
              <w:rPr>
                <w:rFonts w:ascii="Times New Roman" w:eastAsia="Times New Roman" w:hAnsi="Times New Roman" w:cs="Times New Roman"/>
                <w:b/>
                <w:color w:val="000000" w:themeColor="text1"/>
                <w:lang w:eastAsia="ru-RU"/>
              </w:rPr>
            </w:pPr>
            <w:r w:rsidRPr="00D803E2">
              <w:rPr>
                <w:rFonts w:ascii="Times New Roman" w:hAnsi="Times New Roman" w:cs="Times New Roman"/>
                <w:b/>
                <w:color w:val="000000"/>
              </w:rPr>
              <w:t>3 441,14</w:t>
            </w:r>
          </w:p>
        </w:tc>
        <w:tc>
          <w:tcPr>
            <w:tcW w:w="1213" w:type="pct"/>
            <w:shd w:val="clear" w:color="auto" w:fill="auto"/>
            <w:noWrap/>
            <w:vAlign w:val="bottom"/>
          </w:tcPr>
          <w:p w14:paraId="1C102BDE" w14:textId="77777777" w:rsidR="00DB474C" w:rsidRPr="00D803E2" w:rsidRDefault="00DB474C" w:rsidP="00DB474C">
            <w:pPr>
              <w:spacing w:after="0" w:line="240" w:lineRule="auto"/>
              <w:jc w:val="right"/>
              <w:rPr>
                <w:rFonts w:ascii="Times New Roman" w:eastAsia="Times New Roman" w:hAnsi="Times New Roman" w:cs="Times New Roman"/>
                <w:b/>
                <w:color w:val="000000" w:themeColor="text1"/>
                <w:lang w:eastAsia="ru-RU"/>
              </w:rPr>
            </w:pPr>
            <w:r w:rsidRPr="00D803E2">
              <w:rPr>
                <w:rFonts w:ascii="Times New Roman" w:hAnsi="Times New Roman" w:cs="Times New Roman"/>
                <w:b/>
                <w:color w:val="000000"/>
              </w:rPr>
              <w:t>64 795,06</w:t>
            </w:r>
          </w:p>
        </w:tc>
        <w:tc>
          <w:tcPr>
            <w:tcW w:w="831" w:type="pct"/>
            <w:vAlign w:val="bottom"/>
          </w:tcPr>
          <w:p w14:paraId="336F945A" w14:textId="77777777" w:rsidR="00DB474C" w:rsidRPr="00D803E2" w:rsidRDefault="00DB474C" w:rsidP="00DB474C">
            <w:pPr>
              <w:spacing w:after="0" w:line="240" w:lineRule="auto"/>
              <w:jc w:val="right"/>
              <w:rPr>
                <w:rFonts w:ascii="Times New Roman" w:eastAsia="Times New Roman" w:hAnsi="Times New Roman" w:cs="Times New Roman"/>
                <w:b/>
                <w:color w:val="000000" w:themeColor="text1"/>
                <w:lang w:eastAsia="ru-RU"/>
              </w:rPr>
            </w:pPr>
            <w:r w:rsidRPr="00D803E2">
              <w:rPr>
                <w:rFonts w:ascii="Times New Roman" w:hAnsi="Times New Roman" w:cs="Times New Roman"/>
                <w:b/>
                <w:color w:val="000000"/>
              </w:rPr>
              <w:t>154</w:t>
            </w:r>
          </w:p>
        </w:tc>
      </w:tr>
    </w:tbl>
    <w:p w14:paraId="0BB7870C" w14:textId="77777777" w:rsidR="00DB474C" w:rsidRDefault="00DB474C" w:rsidP="00DB474C">
      <w:pPr>
        <w:spacing w:before="120" w:after="0" w:line="276" w:lineRule="auto"/>
        <w:ind w:firstLine="567"/>
        <w:jc w:val="both"/>
        <w:rPr>
          <w:rFonts w:ascii="Times New Roman" w:hAnsi="Times New Roman" w:cs="Times New Roman"/>
          <w:sz w:val="26"/>
          <w:szCs w:val="26"/>
        </w:rPr>
      </w:pPr>
      <w:r>
        <w:rPr>
          <w:rFonts w:ascii="Times New Roman" w:hAnsi="Times New Roman" w:cs="Times New Roman"/>
          <w:sz w:val="26"/>
          <w:szCs w:val="26"/>
        </w:rPr>
        <w:t>Н</w:t>
      </w:r>
      <w:r w:rsidRPr="0075249D">
        <w:rPr>
          <w:rFonts w:ascii="Times New Roman" w:hAnsi="Times New Roman" w:cs="Times New Roman"/>
          <w:sz w:val="26"/>
          <w:szCs w:val="26"/>
        </w:rPr>
        <w:t xml:space="preserve">аибольшее количество предложений и сделок </w:t>
      </w:r>
      <w:r>
        <w:rPr>
          <w:rFonts w:ascii="Times New Roman" w:hAnsi="Times New Roman" w:cs="Times New Roman"/>
          <w:sz w:val="26"/>
          <w:szCs w:val="26"/>
        </w:rPr>
        <w:t xml:space="preserve">по продаже земельных участков 3 сегмента </w:t>
      </w:r>
      <w:r w:rsidRPr="0075249D">
        <w:rPr>
          <w:rFonts w:ascii="Times New Roman" w:hAnsi="Times New Roman" w:cs="Times New Roman"/>
          <w:sz w:val="26"/>
          <w:szCs w:val="26"/>
        </w:rPr>
        <w:t>среди районов Воронежской области (не считая г.</w:t>
      </w:r>
      <w:r>
        <w:rPr>
          <w:rFonts w:ascii="Times New Roman" w:hAnsi="Times New Roman" w:cs="Times New Roman"/>
          <w:sz w:val="26"/>
          <w:szCs w:val="26"/>
        </w:rPr>
        <w:t>о.г.</w:t>
      </w:r>
      <w:r w:rsidRPr="0075249D">
        <w:rPr>
          <w:rFonts w:ascii="Times New Roman" w:hAnsi="Times New Roman" w:cs="Times New Roman"/>
          <w:sz w:val="26"/>
          <w:szCs w:val="26"/>
        </w:rPr>
        <w:t xml:space="preserve"> Воронеж) представлено в</w:t>
      </w:r>
      <w:r>
        <w:rPr>
          <w:rFonts w:ascii="Times New Roman" w:hAnsi="Times New Roman" w:cs="Times New Roman"/>
          <w:sz w:val="26"/>
          <w:szCs w:val="26"/>
        </w:rPr>
        <w:t xml:space="preserve"> Борисоглебском районе- 11 предложений (сделок),</w:t>
      </w:r>
      <w:r w:rsidRPr="003E12A6">
        <w:rPr>
          <w:rFonts w:ascii="Times New Roman" w:hAnsi="Times New Roman" w:cs="Times New Roman"/>
          <w:sz w:val="26"/>
          <w:szCs w:val="26"/>
        </w:rPr>
        <w:t xml:space="preserve"> </w:t>
      </w:r>
      <w:r w:rsidRPr="0075249D">
        <w:rPr>
          <w:rFonts w:ascii="Times New Roman" w:hAnsi="Times New Roman" w:cs="Times New Roman"/>
          <w:sz w:val="26"/>
          <w:szCs w:val="26"/>
        </w:rPr>
        <w:t xml:space="preserve">что составляет </w:t>
      </w:r>
      <w:r>
        <w:rPr>
          <w:rFonts w:ascii="Times New Roman" w:hAnsi="Times New Roman" w:cs="Times New Roman"/>
          <w:sz w:val="26"/>
          <w:szCs w:val="26"/>
        </w:rPr>
        <w:t>7</w:t>
      </w:r>
      <w:r w:rsidRPr="0075249D">
        <w:rPr>
          <w:rFonts w:ascii="Times New Roman" w:hAnsi="Times New Roman" w:cs="Times New Roman"/>
          <w:sz w:val="26"/>
          <w:szCs w:val="26"/>
        </w:rPr>
        <w:t>,</w:t>
      </w:r>
      <w:r>
        <w:rPr>
          <w:rFonts w:ascii="Times New Roman" w:hAnsi="Times New Roman" w:cs="Times New Roman"/>
          <w:sz w:val="26"/>
          <w:szCs w:val="26"/>
        </w:rPr>
        <w:t>14</w:t>
      </w:r>
      <w:r w:rsidRPr="0075249D">
        <w:rPr>
          <w:rFonts w:ascii="Times New Roman" w:hAnsi="Times New Roman" w:cs="Times New Roman"/>
          <w:sz w:val="26"/>
          <w:szCs w:val="26"/>
        </w:rPr>
        <w:t xml:space="preserve">% от общего количества в </w:t>
      </w:r>
      <w:r>
        <w:rPr>
          <w:rFonts w:ascii="Times New Roman" w:hAnsi="Times New Roman" w:cs="Times New Roman"/>
          <w:sz w:val="26"/>
          <w:szCs w:val="26"/>
        </w:rPr>
        <w:t>сегменте. В Грибановском, Каменском, Нижнедевицком, Петропавловском, Репьевском, а также в г.о.г. Нововоронеж предложений (сделок) не представлено.</w:t>
      </w:r>
    </w:p>
    <w:p w14:paraId="1AC497BA" w14:textId="77777777" w:rsidR="00DB474C" w:rsidRDefault="00DB474C" w:rsidP="00DB474C">
      <w:pPr>
        <w:spacing w:after="0" w:line="276" w:lineRule="auto"/>
        <w:ind w:firstLine="709"/>
        <w:jc w:val="both"/>
        <w:rPr>
          <w:rFonts w:ascii="Times New Roman" w:hAnsi="Times New Roman" w:cs="Times New Roman"/>
          <w:sz w:val="26"/>
          <w:szCs w:val="26"/>
        </w:rPr>
      </w:pPr>
      <w:r w:rsidRPr="00511636">
        <w:rPr>
          <w:rFonts w:ascii="Times New Roman" w:hAnsi="Times New Roman" w:cs="Times New Roman"/>
          <w:sz w:val="26"/>
          <w:szCs w:val="26"/>
        </w:rPr>
        <w:t xml:space="preserve">Средний удельный показатель рыночной стоимости по г.о.г. Воронеж составляет </w:t>
      </w:r>
      <w:r>
        <w:rPr>
          <w:rFonts w:ascii="Times New Roman" w:hAnsi="Times New Roman" w:cs="Times New Roman"/>
          <w:sz w:val="26"/>
          <w:szCs w:val="26"/>
        </w:rPr>
        <w:t xml:space="preserve">6 354,98 </w:t>
      </w:r>
      <w:r w:rsidRPr="00511636">
        <w:rPr>
          <w:rFonts w:ascii="Times New Roman" w:hAnsi="Times New Roman" w:cs="Times New Roman"/>
          <w:sz w:val="26"/>
          <w:szCs w:val="26"/>
        </w:rPr>
        <w:t xml:space="preserve">руб./кв.м, диапазон цен обширен- от </w:t>
      </w:r>
      <w:r>
        <w:rPr>
          <w:rFonts w:ascii="Times New Roman" w:hAnsi="Times New Roman" w:cs="Times New Roman"/>
          <w:sz w:val="26"/>
          <w:szCs w:val="26"/>
        </w:rPr>
        <w:t>65,62</w:t>
      </w:r>
      <w:r w:rsidRPr="00511636">
        <w:rPr>
          <w:rFonts w:ascii="Times New Roman" w:hAnsi="Times New Roman" w:cs="Times New Roman"/>
          <w:sz w:val="26"/>
          <w:szCs w:val="26"/>
        </w:rPr>
        <w:t xml:space="preserve"> до </w:t>
      </w:r>
      <w:r>
        <w:rPr>
          <w:rFonts w:ascii="Times New Roman" w:hAnsi="Times New Roman" w:cs="Times New Roman"/>
          <w:sz w:val="26"/>
          <w:szCs w:val="26"/>
        </w:rPr>
        <w:t>64 795,06</w:t>
      </w:r>
      <w:r w:rsidRPr="00511636">
        <w:rPr>
          <w:rFonts w:ascii="Times New Roman" w:hAnsi="Times New Roman" w:cs="Times New Roman"/>
          <w:sz w:val="26"/>
          <w:szCs w:val="26"/>
        </w:rPr>
        <w:t xml:space="preserve"> руб./кв.м.  Наибольший средний удельный показатель рыночной стоимости среди районов Воронежской области (без учета г.о.г. Воронеж) сложился в</w:t>
      </w:r>
      <w:r>
        <w:rPr>
          <w:rFonts w:ascii="Times New Roman" w:hAnsi="Times New Roman" w:cs="Times New Roman"/>
          <w:sz w:val="26"/>
          <w:szCs w:val="26"/>
        </w:rPr>
        <w:t xml:space="preserve"> Лискинском районе в размере 1 723,41 </w:t>
      </w:r>
      <w:r w:rsidRPr="00511636">
        <w:rPr>
          <w:rFonts w:ascii="Times New Roman" w:hAnsi="Times New Roman" w:cs="Times New Roman"/>
          <w:sz w:val="26"/>
          <w:szCs w:val="26"/>
        </w:rPr>
        <w:t>руб./кв.м</w:t>
      </w:r>
      <w:r>
        <w:rPr>
          <w:rFonts w:ascii="Times New Roman" w:hAnsi="Times New Roman" w:cs="Times New Roman"/>
          <w:sz w:val="26"/>
          <w:szCs w:val="26"/>
        </w:rPr>
        <w:t xml:space="preserve">. </w:t>
      </w:r>
      <w:r w:rsidRPr="00511636">
        <w:rPr>
          <w:rFonts w:ascii="Times New Roman" w:hAnsi="Times New Roman" w:cs="Times New Roman"/>
          <w:sz w:val="26"/>
          <w:szCs w:val="26"/>
        </w:rPr>
        <w:t xml:space="preserve">В целом величина удельного показателя рыночной стоимости в </w:t>
      </w:r>
      <w:r>
        <w:rPr>
          <w:rFonts w:ascii="Times New Roman" w:hAnsi="Times New Roman" w:cs="Times New Roman"/>
          <w:sz w:val="26"/>
          <w:szCs w:val="26"/>
        </w:rPr>
        <w:t xml:space="preserve">сегменте «Общественное использование» </w:t>
      </w:r>
      <w:r w:rsidRPr="00511636">
        <w:rPr>
          <w:rFonts w:ascii="Times New Roman" w:hAnsi="Times New Roman" w:cs="Times New Roman"/>
          <w:sz w:val="26"/>
          <w:szCs w:val="26"/>
        </w:rPr>
        <w:t xml:space="preserve">лежит в диапазоне от </w:t>
      </w:r>
      <w:r>
        <w:rPr>
          <w:rFonts w:ascii="Times New Roman" w:hAnsi="Times New Roman" w:cs="Times New Roman"/>
          <w:sz w:val="26"/>
          <w:szCs w:val="26"/>
        </w:rPr>
        <w:t>1,81</w:t>
      </w:r>
      <w:r w:rsidRPr="00511636">
        <w:rPr>
          <w:rFonts w:ascii="Times New Roman" w:hAnsi="Times New Roman" w:cs="Times New Roman"/>
          <w:sz w:val="26"/>
          <w:szCs w:val="26"/>
        </w:rPr>
        <w:t xml:space="preserve"> руб./кв.м (зафиксировано в </w:t>
      </w:r>
      <w:r>
        <w:rPr>
          <w:rFonts w:ascii="Times New Roman" w:hAnsi="Times New Roman" w:cs="Times New Roman"/>
          <w:sz w:val="26"/>
          <w:szCs w:val="26"/>
        </w:rPr>
        <w:t>Эртиль</w:t>
      </w:r>
      <w:r w:rsidRPr="00511636">
        <w:rPr>
          <w:rFonts w:ascii="Times New Roman" w:hAnsi="Times New Roman" w:cs="Times New Roman"/>
          <w:sz w:val="26"/>
          <w:szCs w:val="26"/>
        </w:rPr>
        <w:t xml:space="preserve">ском районе) до </w:t>
      </w:r>
      <w:r>
        <w:rPr>
          <w:rFonts w:ascii="Times New Roman" w:hAnsi="Times New Roman" w:cs="Times New Roman"/>
          <w:sz w:val="26"/>
          <w:szCs w:val="26"/>
        </w:rPr>
        <w:t>64 795,06</w:t>
      </w:r>
      <w:r w:rsidRPr="00511636">
        <w:rPr>
          <w:rFonts w:ascii="Times New Roman" w:hAnsi="Times New Roman" w:cs="Times New Roman"/>
          <w:sz w:val="26"/>
          <w:szCs w:val="26"/>
        </w:rPr>
        <w:t xml:space="preserve"> руб./кв.м (зафиксировано в г.</w:t>
      </w:r>
      <w:r>
        <w:rPr>
          <w:rFonts w:ascii="Times New Roman" w:hAnsi="Times New Roman" w:cs="Times New Roman"/>
          <w:sz w:val="26"/>
          <w:szCs w:val="26"/>
        </w:rPr>
        <w:t xml:space="preserve">о.г. </w:t>
      </w:r>
      <w:r w:rsidRPr="00511636">
        <w:rPr>
          <w:rFonts w:ascii="Times New Roman" w:hAnsi="Times New Roman" w:cs="Times New Roman"/>
          <w:sz w:val="26"/>
          <w:szCs w:val="26"/>
        </w:rPr>
        <w:t>Воронеж).</w:t>
      </w:r>
      <w:r>
        <w:rPr>
          <w:rFonts w:ascii="Times New Roman" w:hAnsi="Times New Roman" w:cs="Times New Roman"/>
          <w:sz w:val="26"/>
          <w:szCs w:val="26"/>
        </w:rPr>
        <w:t xml:space="preserve"> Аналоги, стоимостные значения которых представляют собой экстремумы, для дальнейших целей оценки не используются.</w:t>
      </w:r>
    </w:p>
    <w:p w14:paraId="02FD6F2D" w14:textId="6D7E6385" w:rsidR="00DB474C" w:rsidRDefault="00DB474C" w:rsidP="00DB474C">
      <w:pPr>
        <w:spacing w:after="0" w:line="276" w:lineRule="auto"/>
        <w:ind w:firstLine="709"/>
        <w:jc w:val="both"/>
        <w:rPr>
          <w:rFonts w:ascii="Times New Roman" w:eastAsia="Times New Roman" w:hAnsi="Times New Roman" w:cs="Times New Roman"/>
          <w:sz w:val="26"/>
          <w:szCs w:val="26"/>
          <w:lang w:eastAsia="ru-RU"/>
        </w:rPr>
      </w:pPr>
      <w:r w:rsidRPr="004643AA">
        <w:rPr>
          <w:rFonts w:ascii="Times New Roman" w:eastAsia="Times New Roman" w:hAnsi="Times New Roman" w:cs="Times New Roman"/>
          <w:sz w:val="26"/>
          <w:szCs w:val="26"/>
          <w:lang w:eastAsia="ru-RU"/>
        </w:rPr>
        <w:t xml:space="preserve">Таким образом, рыночная информация по </w:t>
      </w:r>
      <w:r w:rsidRPr="004643AA">
        <w:rPr>
          <w:rFonts w:ascii="Times New Roman" w:hAnsi="Times New Roman" w:cs="Times New Roman"/>
          <w:sz w:val="26"/>
          <w:szCs w:val="26"/>
        </w:rPr>
        <w:t xml:space="preserve">сегменту </w:t>
      </w:r>
      <w:r w:rsidRPr="002F245A">
        <w:rPr>
          <w:rFonts w:ascii="Times New Roman" w:hAnsi="Times New Roman" w:cs="Times New Roman"/>
          <w:sz w:val="26"/>
          <w:szCs w:val="26"/>
        </w:rPr>
        <w:t>«</w:t>
      </w:r>
      <w:r w:rsidRPr="005F3FDE">
        <w:rPr>
          <w:rFonts w:ascii="Times New Roman" w:hAnsi="Times New Roman" w:cs="Times New Roman"/>
          <w:sz w:val="26"/>
          <w:szCs w:val="26"/>
        </w:rPr>
        <w:t>«</w:t>
      </w:r>
      <w:r>
        <w:rPr>
          <w:rFonts w:ascii="Times New Roman" w:hAnsi="Times New Roman" w:cs="Times New Roman"/>
          <w:sz w:val="26"/>
          <w:szCs w:val="26"/>
        </w:rPr>
        <w:t>Общественное использование</w:t>
      </w:r>
      <w:r>
        <w:rPr>
          <w:rFonts w:ascii="Times New Roman" w:hAnsi="Times New Roman" w:cs="Times New Roman"/>
          <w:color w:val="000000"/>
          <w:sz w:val="26"/>
          <w:szCs w:val="26"/>
        </w:rPr>
        <w:t xml:space="preserve">» </w:t>
      </w:r>
      <w:r w:rsidRPr="004643AA">
        <w:rPr>
          <w:rFonts w:ascii="Times New Roman" w:eastAsia="Times New Roman" w:hAnsi="Times New Roman" w:cs="Times New Roman"/>
          <w:sz w:val="26"/>
          <w:szCs w:val="26"/>
          <w:lang w:eastAsia="ru-RU"/>
        </w:rPr>
        <w:t>представлена лишь по ряду районов Воронежской области в количестве, недостаточном, чтобы представить полноценную картину рыночных значений.</w:t>
      </w:r>
    </w:p>
    <w:p w14:paraId="24BCE9F1" w14:textId="77777777" w:rsidR="00CF2190" w:rsidRPr="00394983" w:rsidRDefault="00CF2190" w:rsidP="00DB474C">
      <w:pPr>
        <w:spacing w:after="0" w:line="276" w:lineRule="auto"/>
        <w:ind w:firstLine="709"/>
        <w:jc w:val="both"/>
        <w:rPr>
          <w:rFonts w:ascii="Times New Roman" w:hAnsi="Times New Roman" w:cs="Times New Roman"/>
          <w:sz w:val="26"/>
          <w:szCs w:val="26"/>
        </w:rPr>
      </w:pPr>
    </w:p>
    <w:p w14:paraId="60FE83C0" w14:textId="77777777" w:rsidR="0066681B" w:rsidRPr="00432FB8" w:rsidRDefault="0066681B" w:rsidP="0066681B">
      <w:pPr>
        <w:pStyle w:val="3"/>
        <w:spacing w:line="276" w:lineRule="auto"/>
        <w:ind w:firstLine="708"/>
        <w:rPr>
          <w:rFonts w:cs="Times New Roman"/>
          <w:color w:val="auto"/>
          <w:sz w:val="26"/>
          <w:szCs w:val="26"/>
        </w:rPr>
      </w:pPr>
      <w:bookmarkStart w:id="79" w:name="_Toc110506944"/>
      <w:r w:rsidRPr="00432FB8">
        <w:rPr>
          <w:rFonts w:cs="Times New Roman"/>
          <w:color w:val="auto"/>
          <w:sz w:val="26"/>
          <w:szCs w:val="26"/>
        </w:rPr>
        <w:t>3.1.3.4 Анализ рыночной информации по сегменту «Предпринимательство»</w:t>
      </w:r>
      <w:bookmarkEnd w:id="79"/>
    </w:p>
    <w:p w14:paraId="1F1153AA" w14:textId="77777777" w:rsidR="0066681B" w:rsidRPr="00432FB8" w:rsidRDefault="0066681B" w:rsidP="0066681B">
      <w:pPr>
        <w:autoSpaceDE w:val="0"/>
        <w:autoSpaceDN w:val="0"/>
        <w:adjustRightInd w:val="0"/>
        <w:spacing w:after="0" w:line="276" w:lineRule="auto"/>
        <w:ind w:firstLine="708"/>
        <w:contextualSpacing/>
        <w:jc w:val="both"/>
        <w:rPr>
          <w:rFonts w:ascii="Times New Roman" w:eastAsia="TimesNewRomanPSMT" w:hAnsi="Times New Roman" w:cs="Times New Roman"/>
          <w:sz w:val="26"/>
          <w:szCs w:val="26"/>
        </w:rPr>
      </w:pPr>
      <w:r w:rsidRPr="00432FB8">
        <w:rPr>
          <w:rFonts w:ascii="Times New Roman" w:hAnsi="Times New Roman" w:cs="Times New Roman"/>
          <w:sz w:val="26"/>
          <w:szCs w:val="26"/>
        </w:rPr>
        <w:t xml:space="preserve">К сегменту «Предпринимательство» относятся объекты, которые предназначены для извлечения прибыли на основании торговой, банковской и иной предпринимательской деятельности. </w:t>
      </w:r>
      <w:r w:rsidRPr="00432FB8">
        <w:rPr>
          <w:rFonts w:ascii="Times New Roman" w:eastAsia="Times New Roman" w:hAnsi="Times New Roman" w:cs="Times New Roman"/>
          <w:sz w:val="26"/>
          <w:szCs w:val="26"/>
          <w:lang w:eastAsia="ru-RU"/>
        </w:rPr>
        <w:t xml:space="preserve">Большая часть объектов предпринимательства сосредоточена в областном центре, поэтому </w:t>
      </w:r>
      <w:r w:rsidRPr="00432FB8">
        <w:rPr>
          <w:rFonts w:ascii="Times New Roman" w:eastAsia="TimesNewRomanPSMT" w:hAnsi="Times New Roman" w:cs="Times New Roman"/>
          <w:sz w:val="26"/>
          <w:szCs w:val="26"/>
        </w:rPr>
        <w:t>основной   проблемой   в   сфере   рынка   розничной   торговли является диспропорция в доступности торговых объектов для жителей городов, поселков городского типа и сельских населенных пунктов.</w:t>
      </w:r>
    </w:p>
    <w:p w14:paraId="76C35E59" w14:textId="77777777" w:rsidR="0066681B" w:rsidRPr="00432FB8" w:rsidRDefault="0066681B" w:rsidP="0066681B">
      <w:pPr>
        <w:pStyle w:val="Textbody"/>
        <w:spacing w:after="0" w:line="276" w:lineRule="auto"/>
        <w:ind w:firstLine="709"/>
        <w:jc w:val="both"/>
        <w:rPr>
          <w:rFonts w:ascii="Times New Roman" w:hAnsi="Times New Roman" w:cs="Times New Roman"/>
          <w:iCs/>
          <w:sz w:val="26"/>
          <w:szCs w:val="26"/>
          <w:shd w:val="clear" w:color="auto" w:fill="FFFFFF"/>
          <w:lang w:val="ru-RU"/>
        </w:rPr>
      </w:pPr>
      <w:r w:rsidRPr="00432FB8">
        <w:rPr>
          <w:rFonts w:ascii="Times New Roman" w:eastAsia="Times New Roman" w:hAnsi="Times New Roman" w:cs="Times New Roman"/>
          <w:sz w:val="26"/>
          <w:szCs w:val="26"/>
          <w:lang w:val="ru-RU" w:eastAsia="ru-RU"/>
        </w:rPr>
        <w:t xml:space="preserve">В г. Воронеж функционируют порядка 35 значимых торговых объектов, оказывающих влияние на потребительское поведение жителей и формирующие основные покупательские потоки. </w:t>
      </w:r>
      <w:r w:rsidRPr="00432FB8">
        <w:rPr>
          <w:rFonts w:ascii="Times New Roman" w:hAnsi="Times New Roman" w:cs="Times New Roman"/>
          <w:sz w:val="26"/>
          <w:szCs w:val="26"/>
          <w:shd w:val="clear" w:color="auto" w:fill="FFFFFF"/>
          <w:lang w:val="ru-RU"/>
        </w:rPr>
        <w:t xml:space="preserve">Относительно географического распределения наибольшая концентрация качественной торговой недвижимости наблюдается в правобережной части города г. Воронеж. </w:t>
      </w:r>
      <w:r w:rsidRPr="00432FB8">
        <w:rPr>
          <w:rFonts w:ascii="Times New Roman" w:eastAsia="Times New Roman" w:hAnsi="Times New Roman" w:cs="Times New Roman"/>
          <w:sz w:val="26"/>
          <w:szCs w:val="26"/>
          <w:lang w:val="ru-RU" w:eastAsia="ru-RU"/>
        </w:rPr>
        <w:t xml:space="preserve">Сети заведений общественного питания в г. Воронеж развиваются повсеместно. </w:t>
      </w:r>
      <w:r w:rsidRPr="00432FB8">
        <w:rPr>
          <w:rFonts w:ascii="Times New Roman" w:hAnsi="Times New Roman" w:cs="Times New Roman"/>
          <w:sz w:val="26"/>
          <w:szCs w:val="26"/>
          <w:shd w:val="clear" w:color="auto" w:fill="FFFFFF"/>
          <w:lang w:val="ru-RU"/>
        </w:rPr>
        <w:t xml:space="preserve">Предложение объектов </w:t>
      </w:r>
      <w:r w:rsidRPr="00432FB8">
        <w:rPr>
          <w:rFonts w:ascii="Times New Roman" w:hAnsi="Times New Roman" w:cs="Times New Roman"/>
          <w:sz w:val="26"/>
          <w:szCs w:val="26"/>
          <w:shd w:val="clear" w:color="auto" w:fill="FFFFFF"/>
        </w:rPr>
        <w:t>street</w:t>
      </w:r>
      <w:r w:rsidRPr="00432FB8">
        <w:rPr>
          <w:rFonts w:ascii="Times New Roman" w:hAnsi="Times New Roman" w:cs="Times New Roman"/>
          <w:sz w:val="26"/>
          <w:szCs w:val="26"/>
          <w:shd w:val="clear" w:color="auto" w:fill="FFFFFF"/>
          <w:lang w:val="ru-RU"/>
        </w:rPr>
        <w:t>-</w:t>
      </w:r>
      <w:r w:rsidRPr="00432FB8">
        <w:rPr>
          <w:rFonts w:ascii="Times New Roman" w:hAnsi="Times New Roman" w:cs="Times New Roman"/>
          <w:sz w:val="26"/>
          <w:szCs w:val="26"/>
          <w:shd w:val="clear" w:color="auto" w:fill="FFFFFF"/>
        </w:rPr>
        <w:t>retail</w:t>
      </w:r>
      <w:r w:rsidRPr="00432FB8">
        <w:rPr>
          <w:rFonts w:ascii="Times New Roman" w:hAnsi="Times New Roman" w:cs="Times New Roman"/>
          <w:sz w:val="26"/>
          <w:szCs w:val="26"/>
          <w:shd w:val="clear" w:color="auto" w:fill="FFFFFF"/>
          <w:lang w:val="ru-RU"/>
        </w:rPr>
        <w:t xml:space="preserve"> (в пер. с англ. "уличная торговля") традиционно формируют встроено-пристроенные помещения коммерческого назначения, расположенные, как правило, на первых этажах жилых домов и общественных зданий первой линии основных проходных и проездных улиц, имеющие отдельный вход, хорошую обзорность и собственные витрины. Большинство помещений формата </w:t>
      </w:r>
      <w:r w:rsidRPr="00432FB8">
        <w:rPr>
          <w:rFonts w:ascii="Times New Roman" w:hAnsi="Times New Roman" w:cs="Times New Roman"/>
          <w:sz w:val="26"/>
          <w:szCs w:val="26"/>
          <w:shd w:val="clear" w:color="auto" w:fill="FFFFFF"/>
        </w:rPr>
        <w:t>street</w:t>
      </w:r>
      <w:r w:rsidRPr="00432FB8">
        <w:rPr>
          <w:rFonts w:ascii="Times New Roman" w:hAnsi="Times New Roman" w:cs="Times New Roman"/>
          <w:sz w:val="26"/>
          <w:szCs w:val="26"/>
          <w:shd w:val="clear" w:color="auto" w:fill="FFFFFF"/>
          <w:lang w:val="ru-RU"/>
        </w:rPr>
        <w:t>-</w:t>
      </w:r>
      <w:r w:rsidRPr="00432FB8">
        <w:rPr>
          <w:rFonts w:ascii="Times New Roman" w:hAnsi="Times New Roman" w:cs="Times New Roman"/>
          <w:sz w:val="26"/>
          <w:szCs w:val="26"/>
          <w:shd w:val="clear" w:color="auto" w:fill="FFFFFF"/>
        </w:rPr>
        <w:t>retail</w:t>
      </w:r>
      <w:r w:rsidRPr="00432FB8">
        <w:rPr>
          <w:rFonts w:ascii="Times New Roman" w:hAnsi="Times New Roman" w:cs="Times New Roman"/>
          <w:sz w:val="26"/>
          <w:szCs w:val="26"/>
          <w:shd w:val="clear" w:color="auto" w:fill="FFFFFF"/>
          <w:lang w:val="ru-RU"/>
        </w:rPr>
        <w:t xml:space="preserve"> имеют возможность для организации как офисов продаж, так и магазинов, поэтому их деление на торговые и офисные имеет достаточно условный характер. Поэтому встроенно-пристроенные помещения, хоть изначально и проектируются с учетом их функционального использования, зачастую предлагаются на рынке как коммерческие площади свободного назначения.</w:t>
      </w:r>
      <w:r w:rsidRPr="00432FB8">
        <w:rPr>
          <w:rFonts w:ascii="Times New Roman" w:hAnsi="Times New Roman" w:cs="Times New Roman"/>
          <w:iCs/>
          <w:sz w:val="26"/>
          <w:szCs w:val="26"/>
          <w:shd w:val="clear" w:color="auto" w:fill="FFFFFF"/>
          <w:lang w:val="ru-RU"/>
        </w:rPr>
        <w:t xml:space="preserve"> </w:t>
      </w:r>
    </w:p>
    <w:p w14:paraId="40076203" w14:textId="77777777" w:rsidR="0066681B" w:rsidRPr="00432FB8" w:rsidRDefault="0066681B" w:rsidP="0066681B">
      <w:pPr>
        <w:pStyle w:val="Textbody"/>
        <w:spacing w:after="0" w:line="276" w:lineRule="auto"/>
        <w:ind w:firstLine="709"/>
        <w:jc w:val="both"/>
        <w:rPr>
          <w:rFonts w:ascii="Times New Roman" w:hAnsi="Times New Roman" w:cs="Times New Roman"/>
          <w:bCs/>
          <w:shd w:val="clear" w:color="auto" w:fill="FFFFFF"/>
          <w:lang w:val="ru-RU"/>
        </w:rPr>
      </w:pPr>
      <w:r w:rsidRPr="00432FB8">
        <w:rPr>
          <w:rFonts w:ascii="Times New Roman" w:hAnsi="Times New Roman" w:cs="Times New Roman"/>
          <w:iCs/>
          <w:sz w:val="26"/>
          <w:szCs w:val="26"/>
          <w:shd w:val="clear" w:color="auto" w:fill="FFFFFF"/>
          <w:lang w:val="ru-RU"/>
        </w:rPr>
        <w:t>Департаментом предпринимательства и торговли Воронежской области разработана государственная программа Воронежской области «развитие предпринимательства и торговли». Также в рамках муниципальной программы «Экономическое развитие и инновационная экономика» (утверждена постановлением администрации городского округа город Воронеж от 24.12.2013 № 1279) реализуются мероприятия по имущественной поддержке субъектов малого и среднего предпринимательства</w:t>
      </w:r>
      <w:r w:rsidRPr="00432FB8">
        <w:rPr>
          <w:rStyle w:val="af2"/>
          <w:rFonts w:ascii="Times New Roman" w:hAnsi="Times New Roman" w:cs="Times New Roman"/>
          <w:bCs/>
          <w:shd w:val="clear" w:color="auto" w:fill="FFFFFF"/>
          <w:lang w:val="ru-RU"/>
        </w:rPr>
        <w:footnoteReference w:id="73"/>
      </w:r>
      <w:r w:rsidRPr="00432FB8">
        <w:rPr>
          <w:rFonts w:ascii="Times New Roman" w:hAnsi="Times New Roman" w:cs="Times New Roman"/>
          <w:bCs/>
          <w:shd w:val="clear" w:color="auto" w:fill="FFFFFF"/>
          <w:lang w:val="ru-RU"/>
        </w:rPr>
        <w:t>.</w:t>
      </w:r>
    </w:p>
    <w:p w14:paraId="7647D34B" w14:textId="77777777" w:rsidR="0066681B" w:rsidRPr="0067476F" w:rsidRDefault="0066681B" w:rsidP="0066681B">
      <w:pPr>
        <w:shd w:val="clear" w:color="auto" w:fill="FFFFFF"/>
        <w:spacing w:after="0" w:line="276" w:lineRule="auto"/>
        <w:ind w:firstLine="709"/>
        <w:jc w:val="both"/>
        <w:rPr>
          <w:rFonts w:ascii="Times New Roman" w:eastAsia="Times New Roman" w:hAnsi="Times New Roman" w:cs="Times New Roman"/>
          <w:color w:val="000000"/>
          <w:sz w:val="26"/>
          <w:szCs w:val="26"/>
          <w:lang w:eastAsia="ru-RU"/>
        </w:rPr>
      </w:pPr>
      <w:r w:rsidRPr="0067476F">
        <w:rPr>
          <w:rFonts w:ascii="Times New Roman" w:hAnsi="Times New Roman" w:cs="Times New Roman"/>
          <w:bCs/>
          <w:color w:val="000000"/>
          <w:sz w:val="26"/>
          <w:szCs w:val="26"/>
          <w:shd w:val="clear" w:color="auto" w:fill="FFFFFF"/>
        </w:rPr>
        <w:t>В прошлом году рынок коммерческой недвижимости испытал серьезные потрясения в связи с длительным локдауном: отрасль дважды столкнулась со значительным падением спроса — не только из-за привычных сезонных колебаний, но и по причине непредвиденной эпидемиологической обстановки. При этом снижение активности в коммерческом секторе на фоне пандемии оказалось даже более значительным по сравнению со спадом, обусловленным сезонным фактором, — и более продолжительным. Важно отметить, что на восстановление рынка также потребовалось время — к докризисным значениям спрос в отрасли вернулся лишь в феврале 2021 года. На текущий момент показатели в сегменте начинают постепенно расти</w:t>
      </w:r>
      <w:r>
        <w:rPr>
          <w:rStyle w:val="af2"/>
          <w:rFonts w:ascii="Times New Roman" w:hAnsi="Times New Roman" w:cs="Times New Roman"/>
          <w:bCs/>
          <w:color w:val="000000"/>
          <w:sz w:val="26"/>
          <w:szCs w:val="26"/>
          <w:shd w:val="clear" w:color="auto" w:fill="FFFFFF"/>
        </w:rPr>
        <w:footnoteReference w:id="74"/>
      </w:r>
      <w:r>
        <w:rPr>
          <w:rFonts w:ascii="Times New Roman" w:hAnsi="Times New Roman" w:cs="Times New Roman"/>
          <w:bCs/>
          <w:color w:val="000000"/>
          <w:sz w:val="26"/>
          <w:szCs w:val="26"/>
          <w:shd w:val="clear" w:color="auto" w:fill="FFFFFF"/>
        </w:rPr>
        <w:t>.</w:t>
      </w:r>
    </w:p>
    <w:p w14:paraId="3C81EC04" w14:textId="77777777" w:rsidR="0066681B" w:rsidRPr="00E378BB" w:rsidRDefault="0066681B" w:rsidP="0066681B">
      <w:pPr>
        <w:shd w:val="clear" w:color="auto" w:fill="FFFFFF"/>
        <w:spacing w:after="0" w:line="276" w:lineRule="auto"/>
        <w:ind w:firstLine="709"/>
        <w:jc w:val="both"/>
        <w:rPr>
          <w:rFonts w:ascii="Times New Roman" w:eastAsia="Times New Roman" w:hAnsi="Times New Roman" w:cs="Times New Roman"/>
          <w:color w:val="000000"/>
          <w:sz w:val="26"/>
          <w:szCs w:val="26"/>
          <w:lang w:eastAsia="ru-RU"/>
        </w:rPr>
      </w:pPr>
      <w:r w:rsidRPr="00E378BB">
        <w:rPr>
          <w:rFonts w:ascii="Times New Roman" w:eastAsia="Times New Roman" w:hAnsi="Times New Roman" w:cs="Times New Roman"/>
          <w:color w:val="000000"/>
          <w:sz w:val="26"/>
          <w:szCs w:val="26"/>
          <w:lang w:eastAsia="ru-RU"/>
        </w:rPr>
        <w:t>Несмотря на высокую численность населения, до 2010 года в Воронеже</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обеспеченность качественными торговыми площадями не превышала 35 кв. м на 1000</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жителей, что соответствовало показателю обеспеченности в таких городах, как Ангарск (240000 жителей), Южно-Сахалинск (197 000 жителей) или Саранск (298000 жителей).</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Потом начался бурный рост.</w:t>
      </w:r>
    </w:p>
    <w:p w14:paraId="5F483463" w14:textId="77777777" w:rsidR="0066681B" w:rsidRPr="00E378BB" w:rsidRDefault="0066681B" w:rsidP="0066681B">
      <w:pPr>
        <w:shd w:val="clear" w:color="auto" w:fill="FFFFFF"/>
        <w:spacing w:after="0" w:line="276" w:lineRule="auto"/>
        <w:ind w:firstLine="709"/>
        <w:jc w:val="both"/>
        <w:rPr>
          <w:rFonts w:ascii="Times New Roman" w:eastAsia="Times New Roman" w:hAnsi="Times New Roman" w:cs="Times New Roman"/>
          <w:color w:val="000000"/>
          <w:sz w:val="26"/>
          <w:szCs w:val="26"/>
          <w:lang w:eastAsia="ru-RU"/>
        </w:rPr>
      </w:pPr>
      <w:r w:rsidRPr="00E378BB">
        <w:rPr>
          <w:rFonts w:ascii="Times New Roman" w:eastAsia="Times New Roman" w:hAnsi="Times New Roman" w:cs="Times New Roman"/>
          <w:color w:val="000000"/>
          <w:sz w:val="26"/>
          <w:szCs w:val="26"/>
          <w:lang w:eastAsia="ru-RU"/>
        </w:rPr>
        <w:t xml:space="preserve">По оценкам Knight Frank по итогам 2021 года </w:t>
      </w:r>
      <w:r w:rsidRPr="00E378BB">
        <w:rPr>
          <w:rFonts w:ascii="Times New Roman" w:eastAsia="Times New Roman" w:hAnsi="Times New Roman" w:cs="Times New Roman"/>
          <w:i/>
          <w:sz w:val="26"/>
          <w:szCs w:val="26"/>
          <w:lang w:eastAsia="ru-RU"/>
        </w:rPr>
        <w:t xml:space="preserve">обеспеченность города Воронеж торговыми площадями </w:t>
      </w:r>
      <w:r w:rsidRPr="00E378BB">
        <w:rPr>
          <w:rFonts w:ascii="Times New Roman" w:eastAsia="Times New Roman" w:hAnsi="Times New Roman" w:cs="Times New Roman"/>
          <w:color w:val="000000"/>
          <w:sz w:val="26"/>
          <w:szCs w:val="26"/>
          <w:lang w:eastAsia="ru-RU"/>
        </w:rPr>
        <w:t>составила 524 кв.м. на 1000 жителей. По оценке Colliers, на</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конец 2021 года город Воронеж занимает шестое место среди городов-миллионников (за</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исключением Краснодара) по обеспеченности качественными торговыми площадями.</w:t>
      </w:r>
    </w:p>
    <w:p w14:paraId="700E991F" w14:textId="77777777" w:rsidR="0066681B" w:rsidRPr="00E378BB" w:rsidRDefault="0066681B" w:rsidP="0066681B">
      <w:pPr>
        <w:shd w:val="clear" w:color="auto" w:fill="FFFFFF"/>
        <w:spacing w:after="0" w:line="276" w:lineRule="auto"/>
        <w:ind w:firstLine="709"/>
        <w:jc w:val="both"/>
        <w:rPr>
          <w:rFonts w:ascii="Times New Roman" w:eastAsia="Times New Roman" w:hAnsi="Times New Roman" w:cs="Times New Roman"/>
          <w:color w:val="000000"/>
          <w:sz w:val="26"/>
          <w:szCs w:val="26"/>
          <w:lang w:eastAsia="ru-RU"/>
        </w:rPr>
      </w:pPr>
      <w:r w:rsidRPr="00E378BB">
        <w:rPr>
          <w:rFonts w:ascii="Times New Roman" w:eastAsia="Times New Roman" w:hAnsi="Times New Roman" w:cs="Times New Roman"/>
          <w:color w:val="000000"/>
          <w:sz w:val="26"/>
          <w:szCs w:val="26"/>
          <w:lang w:eastAsia="ru-RU"/>
        </w:rPr>
        <w:t>Предложение</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качественных</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торговых</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площадей</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формировать 23 профессиональных торговых центра общей арендопригодной торговой</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площадью 547,6 тыс. кв. м (GLA). Из них около 65% торговых площадей (347 тыс. кв. м,</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GLA) в форматных торговых центрах города приходится на ТОП-5 знаковых объекта: ТРЦ</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«Сити-парк «Град», МФК «Галерея Чижова», ТРЦ «Максимир», ТРК «Арена» и ТРЦ</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 xml:space="preserve">«Московский Проспект» крупнейших девелоперов торговой недвижимости города </w:t>
      </w:r>
      <w:r>
        <w:rPr>
          <w:rFonts w:ascii="Times New Roman" w:eastAsia="Times New Roman" w:hAnsi="Times New Roman" w:cs="Times New Roman"/>
          <w:color w:val="000000"/>
          <w:sz w:val="26"/>
          <w:szCs w:val="26"/>
          <w:lang w:eastAsia="ru-RU"/>
        </w:rPr>
        <w:t>–</w:t>
      </w:r>
      <w:r w:rsidRPr="00E378BB">
        <w:rPr>
          <w:rFonts w:ascii="Times New Roman" w:eastAsia="Times New Roman" w:hAnsi="Times New Roman" w:cs="Times New Roman"/>
          <w:color w:val="000000"/>
          <w:sz w:val="26"/>
          <w:szCs w:val="26"/>
          <w:lang w:eastAsia="ru-RU"/>
        </w:rPr>
        <w:t xml:space="preserve"> ГК</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Хамина (ООО "ВДК"), ООО "Талай", Ассоциация "Галерея Чижова".</w:t>
      </w:r>
    </w:p>
    <w:p w14:paraId="7B152E53" w14:textId="77777777" w:rsidR="0066681B" w:rsidRDefault="0066681B" w:rsidP="0066681B">
      <w:pPr>
        <w:shd w:val="clear" w:color="auto" w:fill="FFFFFF"/>
        <w:spacing w:after="0" w:line="276" w:lineRule="auto"/>
        <w:ind w:firstLine="709"/>
        <w:jc w:val="both"/>
        <w:rPr>
          <w:rFonts w:ascii="Times New Roman" w:eastAsia="Times New Roman" w:hAnsi="Times New Roman" w:cs="Times New Roman"/>
          <w:color w:val="000000"/>
          <w:sz w:val="26"/>
          <w:szCs w:val="26"/>
          <w:lang w:eastAsia="ru-RU"/>
        </w:rPr>
      </w:pPr>
      <w:r w:rsidRPr="00E378BB">
        <w:rPr>
          <w:rFonts w:ascii="Times New Roman" w:eastAsia="Times New Roman" w:hAnsi="Times New Roman" w:cs="Times New Roman"/>
          <w:color w:val="000000"/>
          <w:sz w:val="26"/>
          <w:szCs w:val="26"/>
          <w:lang w:eastAsia="ru-RU"/>
        </w:rPr>
        <w:t>Ко второму полугодию 2021 года обеспеченность качественными торговыми</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площадями в г. Воронеж достигла 495кв.м. на 1000 чел.</w:t>
      </w:r>
    </w:p>
    <w:p w14:paraId="769F0DED" w14:textId="77777777" w:rsidR="0066681B" w:rsidRPr="00E378BB" w:rsidRDefault="0066681B" w:rsidP="0066681B">
      <w:pPr>
        <w:shd w:val="clear" w:color="auto" w:fill="FFFFFF"/>
        <w:spacing w:after="0" w:line="276" w:lineRule="auto"/>
        <w:ind w:firstLine="708"/>
        <w:jc w:val="both"/>
        <w:rPr>
          <w:rFonts w:ascii="Times New Roman" w:eastAsia="Times New Roman" w:hAnsi="Times New Roman" w:cs="Times New Roman"/>
          <w:color w:val="000000"/>
          <w:sz w:val="26"/>
          <w:szCs w:val="26"/>
          <w:lang w:eastAsia="ru-RU"/>
        </w:rPr>
      </w:pPr>
      <w:r w:rsidRPr="00E378BB">
        <w:rPr>
          <w:rFonts w:ascii="Times New Roman" w:eastAsia="Times New Roman" w:hAnsi="Times New Roman" w:cs="Times New Roman"/>
          <w:color w:val="000000"/>
          <w:sz w:val="26"/>
          <w:szCs w:val="26"/>
          <w:lang w:eastAsia="ru-RU"/>
        </w:rPr>
        <w:t xml:space="preserve">Изменение потенциального спроса на аренду </w:t>
      </w:r>
      <w:r w:rsidRPr="00E378BB">
        <w:rPr>
          <w:rFonts w:ascii="Times New Roman" w:eastAsia="Times New Roman" w:hAnsi="Times New Roman" w:cs="Times New Roman"/>
          <w:i/>
          <w:color w:val="000000"/>
          <w:sz w:val="26"/>
          <w:szCs w:val="26"/>
          <w:lang w:eastAsia="ru-RU"/>
        </w:rPr>
        <w:t>офисов</w:t>
      </w:r>
      <w:r w:rsidRPr="00E378BB">
        <w:rPr>
          <w:rFonts w:ascii="Times New Roman" w:eastAsia="Times New Roman" w:hAnsi="Times New Roman" w:cs="Times New Roman"/>
          <w:color w:val="000000"/>
          <w:sz w:val="26"/>
          <w:szCs w:val="26"/>
          <w:lang w:eastAsia="ru-RU"/>
        </w:rPr>
        <w:t xml:space="preserve"> классов «А» и «B» по г.</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Воронеж в 2021 году относительно докризисного начала 2020 года составило +1%,</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а спрос в годовой динамике изменился на +53%10.</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Предложение качественных</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офисных площадей города формируют 60 офисных</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центров общей площадью</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0,57млн. кв. м. (0,36 млн. кв. м. GLA).</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Доля низкоклассных офисов (класс «С» и</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ниже) остается достаточно высокой и</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представлена в основном помещениями в</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зданиях бывших НИИ, административных</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корпусах промышленных предприятий, а</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также на первых этажах жилых домов. Однако</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недостатка качественных офисных</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площадей не наблюдается. В основном качественная</w:t>
      </w:r>
      <w:r>
        <w:rPr>
          <w:rFonts w:ascii="Times New Roman" w:eastAsia="Times New Roman" w:hAnsi="Times New Roman" w:cs="Times New Roman"/>
          <w:color w:val="000000"/>
          <w:sz w:val="26"/>
          <w:szCs w:val="26"/>
          <w:lang w:eastAsia="ru-RU"/>
        </w:rPr>
        <w:t xml:space="preserve"> </w:t>
      </w:r>
      <w:r w:rsidRPr="00E378BB">
        <w:rPr>
          <w:rFonts w:ascii="Times New Roman" w:eastAsia="Times New Roman" w:hAnsi="Times New Roman" w:cs="Times New Roman"/>
          <w:color w:val="000000"/>
          <w:sz w:val="26"/>
          <w:szCs w:val="26"/>
          <w:lang w:eastAsia="ru-RU"/>
        </w:rPr>
        <w:t>офисная недвижимость города представлена классом В.</w:t>
      </w:r>
    </w:p>
    <w:p w14:paraId="4EE62CF7" w14:textId="77777777" w:rsidR="0066681B" w:rsidRPr="0067476F" w:rsidRDefault="0066681B" w:rsidP="0066681B">
      <w:pPr>
        <w:shd w:val="clear" w:color="auto" w:fill="FFFFFF"/>
        <w:spacing w:after="0" w:line="276" w:lineRule="auto"/>
        <w:ind w:firstLine="708"/>
        <w:jc w:val="both"/>
        <w:rPr>
          <w:rFonts w:ascii="Times New Roman" w:eastAsia="Times New Roman" w:hAnsi="Times New Roman" w:cs="Times New Roman"/>
          <w:color w:val="000000"/>
          <w:sz w:val="26"/>
          <w:szCs w:val="26"/>
          <w:lang w:eastAsia="ru-RU"/>
        </w:rPr>
      </w:pPr>
      <w:r w:rsidRPr="00E378BB">
        <w:rPr>
          <w:rFonts w:ascii="Times New Roman" w:eastAsia="Times New Roman" w:hAnsi="Times New Roman" w:cs="Times New Roman"/>
          <w:color w:val="000000"/>
          <w:sz w:val="26"/>
          <w:szCs w:val="26"/>
          <w:lang w:eastAsia="ru-RU"/>
        </w:rPr>
        <w:t>В Центральном и Ленинском районах города Воронежа преобладают качественные офисные площади, в то время как, в Коминтерновском районе преобладают офисы класса С. В Левобережном районе города преобладают низкоклассные офисные площади, так как данные районы исторически развивались, как промышленные зоны города. При этом более половины качественных офисных площадей в профессиональных бизнес-центрах расположены на основных транспортных магистралях города: Московский пр-т, ул. 9 Января, пр-т Труда, пр-т Революции, ул. Кирова, ул. 20 лет Октября и ул. Ленина.</w:t>
      </w:r>
      <w:r>
        <w:rPr>
          <w:rFonts w:ascii="Times New Roman" w:eastAsia="Times New Roman" w:hAnsi="Times New Roman" w:cs="Times New Roman"/>
          <w:color w:val="000000"/>
          <w:sz w:val="26"/>
          <w:szCs w:val="26"/>
          <w:lang w:eastAsia="ru-RU"/>
        </w:rPr>
        <w:t xml:space="preserve"> </w:t>
      </w:r>
      <w:r w:rsidRPr="0067476F">
        <w:rPr>
          <w:rFonts w:ascii="Times New Roman" w:eastAsia="Times New Roman" w:hAnsi="Times New Roman" w:cs="Times New Roman"/>
          <w:color w:val="000000"/>
          <w:sz w:val="26"/>
          <w:szCs w:val="26"/>
          <w:lang w:eastAsia="ru-RU"/>
        </w:rPr>
        <w:t>Сложившаяся «кучность» предложения лишь увеличивает конкуренцию на</w:t>
      </w:r>
      <w:r>
        <w:rPr>
          <w:rFonts w:ascii="Times New Roman" w:eastAsia="Times New Roman" w:hAnsi="Times New Roman" w:cs="Times New Roman"/>
          <w:color w:val="000000"/>
          <w:sz w:val="26"/>
          <w:szCs w:val="26"/>
          <w:lang w:eastAsia="ru-RU"/>
        </w:rPr>
        <w:t xml:space="preserve"> </w:t>
      </w:r>
      <w:r w:rsidRPr="0067476F">
        <w:rPr>
          <w:rFonts w:ascii="Times New Roman" w:eastAsia="Times New Roman" w:hAnsi="Times New Roman" w:cs="Times New Roman"/>
          <w:color w:val="000000"/>
          <w:sz w:val="26"/>
          <w:szCs w:val="26"/>
          <w:lang w:eastAsia="ru-RU"/>
        </w:rPr>
        <w:t>локальных офисных субрынках города (например, в районе Цирка), что, в конечном счете,</w:t>
      </w:r>
      <w:r>
        <w:rPr>
          <w:rFonts w:ascii="Times New Roman" w:eastAsia="Times New Roman" w:hAnsi="Times New Roman" w:cs="Times New Roman"/>
          <w:color w:val="000000"/>
          <w:sz w:val="26"/>
          <w:szCs w:val="26"/>
          <w:lang w:eastAsia="ru-RU"/>
        </w:rPr>
        <w:t xml:space="preserve"> </w:t>
      </w:r>
      <w:r w:rsidRPr="0067476F">
        <w:rPr>
          <w:rFonts w:ascii="Times New Roman" w:eastAsia="Times New Roman" w:hAnsi="Times New Roman" w:cs="Times New Roman"/>
          <w:color w:val="000000"/>
          <w:sz w:val="26"/>
          <w:szCs w:val="26"/>
          <w:lang w:eastAsia="ru-RU"/>
        </w:rPr>
        <w:t>сказывается на доходности всех расположенных там офисных проектов.</w:t>
      </w:r>
    </w:p>
    <w:p w14:paraId="6F57E0E9" w14:textId="77777777" w:rsidR="0066681B" w:rsidRPr="00E378BB" w:rsidRDefault="0066681B" w:rsidP="0066681B">
      <w:pPr>
        <w:shd w:val="clear" w:color="auto" w:fill="FFFFFF"/>
        <w:spacing w:after="0" w:line="276" w:lineRule="auto"/>
        <w:ind w:firstLine="708"/>
        <w:jc w:val="both"/>
        <w:rPr>
          <w:rFonts w:ascii="Times New Roman" w:eastAsia="Times New Roman" w:hAnsi="Times New Roman" w:cs="Times New Roman"/>
          <w:color w:val="000000"/>
          <w:sz w:val="26"/>
          <w:szCs w:val="26"/>
          <w:lang w:eastAsia="ru-RU"/>
        </w:rPr>
      </w:pPr>
      <w:r w:rsidRPr="0067476F">
        <w:rPr>
          <w:rFonts w:ascii="Times New Roman" w:eastAsia="Times New Roman" w:hAnsi="Times New Roman" w:cs="Times New Roman"/>
          <w:color w:val="000000"/>
          <w:sz w:val="26"/>
          <w:szCs w:val="26"/>
          <w:lang w:eastAsia="ru-RU"/>
        </w:rPr>
        <w:t>В ближайшей перспективе новый виток в развитии офисного рынка Воронежа будет</w:t>
      </w:r>
      <w:r>
        <w:rPr>
          <w:rFonts w:ascii="Times New Roman" w:eastAsia="Times New Roman" w:hAnsi="Times New Roman" w:cs="Times New Roman"/>
          <w:color w:val="000000"/>
          <w:sz w:val="26"/>
          <w:szCs w:val="26"/>
          <w:lang w:eastAsia="ru-RU"/>
        </w:rPr>
        <w:t xml:space="preserve"> </w:t>
      </w:r>
      <w:r w:rsidRPr="0067476F">
        <w:rPr>
          <w:rFonts w:ascii="Times New Roman" w:eastAsia="Times New Roman" w:hAnsi="Times New Roman" w:cs="Times New Roman"/>
          <w:color w:val="000000"/>
          <w:sz w:val="26"/>
          <w:szCs w:val="26"/>
          <w:lang w:eastAsia="ru-RU"/>
        </w:rPr>
        <w:t>происходить в направлении формирования новых деловых районов вне административного</w:t>
      </w:r>
      <w:r>
        <w:rPr>
          <w:rFonts w:ascii="Times New Roman" w:eastAsia="Times New Roman" w:hAnsi="Times New Roman" w:cs="Times New Roman"/>
          <w:color w:val="000000"/>
          <w:sz w:val="26"/>
          <w:szCs w:val="26"/>
          <w:lang w:eastAsia="ru-RU"/>
        </w:rPr>
        <w:t xml:space="preserve"> </w:t>
      </w:r>
      <w:r w:rsidRPr="0067476F">
        <w:rPr>
          <w:rFonts w:ascii="Times New Roman" w:eastAsia="Times New Roman" w:hAnsi="Times New Roman" w:cs="Times New Roman"/>
          <w:color w:val="000000"/>
          <w:sz w:val="26"/>
          <w:szCs w:val="26"/>
          <w:lang w:eastAsia="ru-RU"/>
        </w:rPr>
        <w:t>центра города вдоль основных транспортных магистралей Коминтерновского и Советского</w:t>
      </w:r>
      <w:r>
        <w:rPr>
          <w:rFonts w:ascii="Times New Roman" w:eastAsia="Times New Roman" w:hAnsi="Times New Roman" w:cs="Times New Roman"/>
          <w:color w:val="000000"/>
          <w:sz w:val="26"/>
          <w:szCs w:val="26"/>
          <w:lang w:eastAsia="ru-RU"/>
        </w:rPr>
        <w:t xml:space="preserve"> </w:t>
      </w:r>
      <w:r w:rsidRPr="0067476F">
        <w:rPr>
          <w:rFonts w:ascii="Times New Roman" w:eastAsia="Times New Roman" w:hAnsi="Times New Roman" w:cs="Times New Roman"/>
          <w:color w:val="000000"/>
          <w:sz w:val="26"/>
          <w:szCs w:val="26"/>
          <w:lang w:eastAsia="ru-RU"/>
        </w:rPr>
        <w:t>районов, на Левом берегу города, а также вблизи спальных районов города. Классность</w:t>
      </w:r>
      <w:r>
        <w:rPr>
          <w:rFonts w:ascii="Times New Roman" w:eastAsia="Times New Roman" w:hAnsi="Times New Roman" w:cs="Times New Roman"/>
          <w:color w:val="000000"/>
          <w:sz w:val="26"/>
          <w:szCs w:val="26"/>
          <w:lang w:eastAsia="ru-RU"/>
        </w:rPr>
        <w:t xml:space="preserve"> </w:t>
      </w:r>
      <w:r w:rsidRPr="0067476F">
        <w:rPr>
          <w:rFonts w:ascii="Times New Roman" w:eastAsia="Times New Roman" w:hAnsi="Times New Roman" w:cs="Times New Roman"/>
          <w:color w:val="000000"/>
          <w:sz w:val="26"/>
          <w:szCs w:val="26"/>
          <w:lang w:eastAsia="ru-RU"/>
        </w:rPr>
        <w:t>недвижимости здесь будет соответствовать потребностям потенциальных арендаторов. Это</w:t>
      </w:r>
      <w:r>
        <w:rPr>
          <w:rFonts w:ascii="Times New Roman" w:eastAsia="Times New Roman" w:hAnsi="Times New Roman" w:cs="Times New Roman"/>
          <w:color w:val="000000"/>
          <w:sz w:val="26"/>
          <w:szCs w:val="26"/>
          <w:lang w:eastAsia="ru-RU"/>
        </w:rPr>
        <w:t xml:space="preserve"> </w:t>
      </w:r>
      <w:r w:rsidRPr="0067476F">
        <w:rPr>
          <w:rFonts w:ascii="Times New Roman" w:eastAsia="Times New Roman" w:hAnsi="Times New Roman" w:cs="Times New Roman"/>
          <w:color w:val="000000"/>
          <w:sz w:val="26"/>
          <w:szCs w:val="26"/>
          <w:lang w:eastAsia="ru-RU"/>
        </w:rPr>
        <w:t>должно</w:t>
      </w:r>
      <w:r>
        <w:rPr>
          <w:rFonts w:ascii="Times New Roman" w:eastAsia="Times New Roman" w:hAnsi="Times New Roman" w:cs="Times New Roman"/>
          <w:color w:val="000000"/>
          <w:sz w:val="26"/>
          <w:szCs w:val="26"/>
          <w:lang w:eastAsia="ru-RU"/>
        </w:rPr>
        <w:t xml:space="preserve"> </w:t>
      </w:r>
      <w:r w:rsidRPr="0067476F">
        <w:rPr>
          <w:rFonts w:ascii="Times New Roman" w:eastAsia="Times New Roman" w:hAnsi="Times New Roman" w:cs="Times New Roman"/>
          <w:color w:val="000000"/>
          <w:sz w:val="26"/>
          <w:szCs w:val="26"/>
          <w:lang w:eastAsia="ru-RU"/>
        </w:rPr>
        <w:t>сбалансировать</w:t>
      </w:r>
      <w:r>
        <w:rPr>
          <w:rFonts w:ascii="Times New Roman" w:eastAsia="Times New Roman" w:hAnsi="Times New Roman" w:cs="Times New Roman"/>
          <w:color w:val="000000"/>
          <w:sz w:val="26"/>
          <w:szCs w:val="26"/>
          <w:lang w:eastAsia="ru-RU"/>
        </w:rPr>
        <w:t xml:space="preserve"> </w:t>
      </w:r>
      <w:r w:rsidRPr="0067476F">
        <w:rPr>
          <w:rFonts w:ascii="Times New Roman" w:eastAsia="Times New Roman" w:hAnsi="Times New Roman" w:cs="Times New Roman"/>
          <w:color w:val="000000"/>
          <w:sz w:val="26"/>
          <w:szCs w:val="26"/>
          <w:lang w:eastAsia="ru-RU"/>
        </w:rPr>
        <w:t>недвижимости</w:t>
      </w:r>
      <w:r>
        <w:rPr>
          <w:rStyle w:val="af2"/>
          <w:rFonts w:ascii="Times New Roman" w:eastAsia="Times New Roman" w:hAnsi="Times New Roman" w:cs="Times New Roman"/>
          <w:color w:val="000000"/>
          <w:sz w:val="26"/>
          <w:szCs w:val="26"/>
          <w:lang w:eastAsia="ru-RU"/>
        </w:rPr>
        <w:footnoteReference w:id="75"/>
      </w:r>
      <w:r w:rsidRPr="0067476F">
        <w:rPr>
          <w:rFonts w:ascii="Times New Roman" w:eastAsia="Times New Roman" w:hAnsi="Times New Roman" w:cs="Times New Roman"/>
          <w:color w:val="000000"/>
          <w:sz w:val="26"/>
          <w:szCs w:val="26"/>
          <w:lang w:eastAsia="ru-RU"/>
        </w:rPr>
        <w:t>.</w:t>
      </w:r>
    </w:p>
    <w:p w14:paraId="195C3B0A" w14:textId="77777777" w:rsidR="0066681B" w:rsidRPr="00E564BF" w:rsidRDefault="0066681B" w:rsidP="0066681B">
      <w:pPr>
        <w:spacing w:before="120" w:after="0" w:line="276" w:lineRule="auto"/>
        <w:jc w:val="center"/>
        <w:rPr>
          <w:rStyle w:val="af9"/>
          <w:rFonts w:ascii="Times New Roman" w:hAnsi="Times New Roman" w:cs="Times New Roman"/>
          <w:b w:val="0"/>
          <w:i/>
          <w:sz w:val="26"/>
          <w:szCs w:val="26"/>
        </w:rPr>
      </w:pPr>
      <w:r w:rsidRPr="00E564BF">
        <w:rPr>
          <w:rStyle w:val="af9"/>
          <w:rFonts w:ascii="Times New Roman" w:hAnsi="Times New Roman" w:cs="Times New Roman"/>
          <w:i/>
          <w:sz w:val="26"/>
          <w:szCs w:val="26"/>
        </w:rPr>
        <w:t>Собранная исполнителем рыночная информация</w:t>
      </w:r>
    </w:p>
    <w:p w14:paraId="0251B3CC" w14:textId="77777777" w:rsidR="0066681B" w:rsidRPr="00432FB8" w:rsidRDefault="0066681B" w:rsidP="0066681B">
      <w:pPr>
        <w:spacing w:after="0" w:line="300" w:lineRule="auto"/>
        <w:ind w:firstLine="709"/>
        <w:jc w:val="both"/>
        <w:rPr>
          <w:rFonts w:ascii="Times New Roman" w:hAnsi="Times New Roman" w:cs="Times New Roman"/>
          <w:sz w:val="26"/>
          <w:szCs w:val="26"/>
        </w:rPr>
      </w:pPr>
      <w:r w:rsidRPr="00432FB8">
        <w:rPr>
          <w:rFonts w:ascii="Times New Roman" w:hAnsi="Times New Roman" w:cs="Times New Roman"/>
          <w:sz w:val="26"/>
          <w:szCs w:val="26"/>
        </w:rPr>
        <w:t xml:space="preserve">Для анализа рынка 4 сегмента «Предпринимательство» выполнен сбор информации о сделках и предложениях, представленных на первичном и вторичном рынках недвижимости Воронежской области. </w:t>
      </w:r>
    </w:p>
    <w:p w14:paraId="136B3F53" w14:textId="77777777" w:rsidR="0066681B" w:rsidRPr="00432FB8" w:rsidRDefault="0066681B" w:rsidP="0066681B">
      <w:pPr>
        <w:spacing w:after="0" w:line="276" w:lineRule="auto"/>
        <w:ind w:firstLine="708"/>
        <w:jc w:val="both"/>
        <w:rPr>
          <w:rFonts w:ascii="Times New Roman" w:hAnsi="Times New Roman" w:cs="Times New Roman"/>
          <w:sz w:val="26"/>
          <w:szCs w:val="26"/>
        </w:rPr>
      </w:pPr>
      <w:r w:rsidRPr="00432FB8">
        <w:rPr>
          <w:rFonts w:ascii="Times New Roman" w:hAnsi="Times New Roman" w:cs="Times New Roman"/>
          <w:sz w:val="26"/>
          <w:szCs w:val="26"/>
        </w:rPr>
        <w:t>Первичный рынок недвижимости представляет собой свод информации о сделках, осуществленных органами местного самоуправления, заключенных по результатам проведения торгов на территории Воронежской области, а также данные Управления Росреестра по Воронежской области. Вторичный рынок представляет собой предложения по продаже, представленные на сайтах для размещения объявлений, в газетах и т.д.</w:t>
      </w:r>
    </w:p>
    <w:p w14:paraId="14691F0F" w14:textId="035DDF60" w:rsidR="0066681B" w:rsidRPr="00432FB8" w:rsidRDefault="0066681B" w:rsidP="0066681B">
      <w:pPr>
        <w:spacing w:after="0" w:line="300" w:lineRule="auto"/>
        <w:ind w:firstLine="709"/>
        <w:jc w:val="both"/>
        <w:rPr>
          <w:rFonts w:ascii="Times New Roman" w:hAnsi="Times New Roman" w:cs="Times New Roman"/>
          <w:sz w:val="26"/>
          <w:szCs w:val="26"/>
        </w:rPr>
      </w:pPr>
      <w:r w:rsidRPr="00432FB8">
        <w:rPr>
          <w:rFonts w:ascii="Times New Roman" w:hAnsi="Times New Roman" w:cs="Times New Roman"/>
          <w:sz w:val="26"/>
          <w:szCs w:val="26"/>
        </w:rPr>
        <w:t xml:space="preserve">Информация о предложениях (сделках) представлена в </w:t>
      </w:r>
      <w:r w:rsidR="007B7DEB" w:rsidRPr="002F245A">
        <w:rPr>
          <w:rFonts w:ascii="Times New Roman" w:hAnsi="Times New Roman" w:cs="Times New Roman"/>
          <w:sz w:val="26"/>
          <w:szCs w:val="26"/>
        </w:rPr>
        <w:t xml:space="preserve">Приложении </w:t>
      </w:r>
      <w:r w:rsidR="007B7DEB">
        <w:rPr>
          <w:rFonts w:ascii="Times New Roman" w:hAnsi="Times New Roman" w:cs="Times New Roman"/>
          <w:sz w:val="26"/>
          <w:szCs w:val="26"/>
        </w:rPr>
        <w:t>1/1.6/</w:t>
      </w:r>
      <w:r w:rsidR="007B7DEB" w:rsidRPr="00D15360">
        <w:rPr>
          <w:rFonts w:ascii="Times New Roman" w:hAnsi="Times New Roman" w:cs="Times New Roman"/>
          <w:sz w:val="26"/>
          <w:szCs w:val="26"/>
        </w:rPr>
        <w:t>1.6.2</w:t>
      </w:r>
      <w:r w:rsidR="007B7DEB">
        <w:rPr>
          <w:rFonts w:ascii="Times New Roman" w:hAnsi="Times New Roman" w:cs="Times New Roman"/>
          <w:sz w:val="26"/>
          <w:szCs w:val="26"/>
        </w:rPr>
        <w:t xml:space="preserve"> и Приложении 5.</w:t>
      </w:r>
    </w:p>
    <w:p w14:paraId="1FD94D01" w14:textId="77777777" w:rsidR="0066681B" w:rsidRPr="00793163" w:rsidRDefault="0066681B" w:rsidP="0066681B">
      <w:pPr>
        <w:spacing w:after="0" w:line="300" w:lineRule="auto"/>
        <w:ind w:firstLine="709"/>
        <w:jc w:val="both"/>
        <w:rPr>
          <w:rFonts w:ascii="Times New Roman" w:hAnsi="Times New Roman" w:cs="Times New Roman"/>
          <w:sz w:val="26"/>
          <w:szCs w:val="26"/>
        </w:rPr>
      </w:pPr>
      <w:r w:rsidRPr="00AD2968">
        <w:rPr>
          <w:rFonts w:ascii="Times New Roman" w:hAnsi="Times New Roman" w:cs="Times New Roman"/>
          <w:sz w:val="26"/>
          <w:szCs w:val="26"/>
        </w:rPr>
        <w:t xml:space="preserve">Рынок земельных участков 4 сегмента по Воронежской области развит слабо. Был произведен сбор предложений (сделок) </w:t>
      </w:r>
      <w:r>
        <w:rPr>
          <w:rFonts w:ascii="Times New Roman" w:hAnsi="Times New Roman" w:cs="Times New Roman"/>
          <w:sz w:val="26"/>
          <w:szCs w:val="26"/>
        </w:rPr>
        <w:t xml:space="preserve">и </w:t>
      </w:r>
      <w:r w:rsidRPr="00AD2968">
        <w:rPr>
          <w:rFonts w:ascii="Times New Roman" w:hAnsi="Times New Roman" w:cs="Times New Roman"/>
          <w:sz w:val="26"/>
          <w:szCs w:val="26"/>
        </w:rPr>
        <w:t xml:space="preserve">по продаже </w:t>
      </w:r>
      <w:r>
        <w:rPr>
          <w:rFonts w:ascii="Times New Roman" w:hAnsi="Times New Roman" w:cs="Times New Roman"/>
          <w:sz w:val="26"/>
          <w:szCs w:val="26"/>
        </w:rPr>
        <w:t xml:space="preserve">земельных участков с расположенными на них </w:t>
      </w:r>
      <w:r w:rsidRPr="00AD2968">
        <w:rPr>
          <w:rFonts w:ascii="Times New Roman" w:hAnsi="Times New Roman" w:cs="Times New Roman"/>
          <w:sz w:val="26"/>
          <w:szCs w:val="26"/>
        </w:rPr>
        <w:t>объект</w:t>
      </w:r>
      <w:r>
        <w:rPr>
          <w:rFonts w:ascii="Times New Roman" w:hAnsi="Times New Roman" w:cs="Times New Roman"/>
          <w:sz w:val="26"/>
          <w:szCs w:val="26"/>
        </w:rPr>
        <w:t>ами</w:t>
      </w:r>
      <w:r w:rsidRPr="00AD2968">
        <w:rPr>
          <w:rFonts w:ascii="Times New Roman" w:hAnsi="Times New Roman" w:cs="Times New Roman"/>
          <w:sz w:val="26"/>
          <w:szCs w:val="26"/>
        </w:rPr>
        <w:t xml:space="preserve"> капитального строительства</w:t>
      </w:r>
      <w:r w:rsidRPr="00793163">
        <w:rPr>
          <w:rFonts w:ascii="Times New Roman" w:hAnsi="Times New Roman" w:cs="Times New Roman"/>
          <w:sz w:val="26"/>
          <w:szCs w:val="26"/>
        </w:rPr>
        <w:t xml:space="preserve">. Таким образом, на рынке недвижимости 4 сегмента Воронежской области </w:t>
      </w:r>
      <w:r w:rsidRPr="00BC0681">
        <w:rPr>
          <w:rFonts w:ascii="Times New Roman" w:hAnsi="Times New Roman" w:cs="Times New Roman"/>
          <w:sz w:val="26"/>
          <w:szCs w:val="26"/>
        </w:rPr>
        <w:t>представлено 1 26</w:t>
      </w:r>
      <w:r>
        <w:rPr>
          <w:rFonts w:ascii="Times New Roman" w:hAnsi="Times New Roman" w:cs="Times New Roman"/>
          <w:sz w:val="26"/>
          <w:szCs w:val="26"/>
        </w:rPr>
        <w:t>1</w:t>
      </w:r>
      <w:r w:rsidRPr="00BC0681">
        <w:rPr>
          <w:rFonts w:ascii="Times New Roman" w:hAnsi="Times New Roman" w:cs="Times New Roman"/>
          <w:sz w:val="26"/>
          <w:szCs w:val="26"/>
        </w:rPr>
        <w:t xml:space="preserve"> </w:t>
      </w:r>
      <w:r w:rsidRPr="00793163">
        <w:rPr>
          <w:rFonts w:ascii="Times New Roman" w:hAnsi="Times New Roman" w:cs="Times New Roman"/>
          <w:sz w:val="26"/>
          <w:szCs w:val="26"/>
        </w:rPr>
        <w:t>предложени</w:t>
      </w:r>
      <w:r>
        <w:rPr>
          <w:rFonts w:ascii="Times New Roman" w:hAnsi="Times New Roman" w:cs="Times New Roman"/>
          <w:sz w:val="26"/>
          <w:szCs w:val="26"/>
        </w:rPr>
        <w:t>е</w:t>
      </w:r>
      <w:r w:rsidRPr="00793163">
        <w:rPr>
          <w:rFonts w:ascii="Times New Roman" w:hAnsi="Times New Roman" w:cs="Times New Roman"/>
          <w:sz w:val="26"/>
          <w:szCs w:val="26"/>
        </w:rPr>
        <w:t xml:space="preserve"> (сделк</w:t>
      </w:r>
      <w:r>
        <w:rPr>
          <w:rFonts w:ascii="Times New Roman" w:hAnsi="Times New Roman" w:cs="Times New Roman"/>
          <w:sz w:val="26"/>
          <w:szCs w:val="26"/>
        </w:rPr>
        <w:t>а</w:t>
      </w:r>
      <w:r w:rsidRPr="00793163">
        <w:rPr>
          <w:rFonts w:ascii="Times New Roman" w:hAnsi="Times New Roman" w:cs="Times New Roman"/>
          <w:sz w:val="26"/>
          <w:szCs w:val="26"/>
        </w:rPr>
        <w:t xml:space="preserve">). </w:t>
      </w:r>
    </w:p>
    <w:p w14:paraId="6E6BEEEF" w14:textId="77777777" w:rsidR="0066681B" w:rsidRPr="00AD2968" w:rsidRDefault="0066681B" w:rsidP="0066681B">
      <w:pPr>
        <w:spacing w:after="0" w:line="276" w:lineRule="auto"/>
        <w:ind w:firstLine="567"/>
        <w:jc w:val="both"/>
        <w:rPr>
          <w:rFonts w:ascii="Times New Roman" w:hAnsi="Times New Roman" w:cs="Times New Roman"/>
          <w:sz w:val="26"/>
          <w:szCs w:val="26"/>
        </w:rPr>
      </w:pPr>
      <w:r w:rsidRPr="00AD2968">
        <w:rPr>
          <w:rFonts w:ascii="Times New Roman" w:hAnsi="Times New Roman" w:cs="Times New Roman"/>
          <w:sz w:val="26"/>
          <w:szCs w:val="26"/>
        </w:rPr>
        <w:t>Так как используемая рыночная информация неоднородна, в целях возможности ее сопоставления для дальнейшего анализа к ценам предложений (сделок) применены корректировки, описание которых представлено далее.</w:t>
      </w:r>
    </w:p>
    <w:p w14:paraId="3DBA4348" w14:textId="77777777" w:rsidR="0066681B" w:rsidRPr="00945FC1" w:rsidRDefault="0066681B" w:rsidP="0066681B">
      <w:pPr>
        <w:spacing w:before="120" w:after="0" w:line="276" w:lineRule="auto"/>
        <w:jc w:val="center"/>
        <w:rPr>
          <w:rFonts w:ascii="Times New Roman" w:hAnsi="Times New Roman" w:cs="Times New Roman"/>
          <w:i/>
          <w:sz w:val="26"/>
          <w:szCs w:val="26"/>
        </w:rPr>
      </w:pPr>
      <w:bookmarkStart w:id="80" w:name="_Hlk100738748"/>
      <w:r w:rsidRPr="00945FC1">
        <w:rPr>
          <w:rFonts w:ascii="Times New Roman" w:hAnsi="Times New Roman" w:cs="Times New Roman"/>
          <w:i/>
          <w:sz w:val="26"/>
          <w:szCs w:val="26"/>
        </w:rPr>
        <w:t>Корректировка на торг</w:t>
      </w:r>
    </w:p>
    <w:bookmarkEnd w:id="80"/>
    <w:p w14:paraId="2DB3EFC2" w14:textId="77777777" w:rsidR="0066681B" w:rsidRDefault="0066681B" w:rsidP="0066681B">
      <w:pPr>
        <w:spacing w:before="120" w:after="0" w:line="300" w:lineRule="auto"/>
        <w:ind w:firstLine="567"/>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При продаже земельных участков на рынке недвижимости возможно снижение цены сделки за счет уторговывания. </w:t>
      </w:r>
      <w:r>
        <w:rPr>
          <w:rFonts w:ascii="Times New Roman" w:eastAsia="Times New Roman" w:hAnsi="Times New Roman" w:cs="Times New Roman"/>
          <w:sz w:val="26"/>
          <w:szCs w:val="26"/>
          <w:lang w:eastAsia="ru-RU"/>
        </w:rPr>
        <w:t xml:space="preserve">Так как в представленной рыночной выборке содержится информация и по предложениям, и по сделкам, удельные показатели цены предложения по продаже объектов-аналогов были скорректированы на тип сделки (скидка на торг). </w:t>
      </w:r>
      <w:r>
        <w:rPr>
          <w:rFonts w:ascii="Times New Roman" w:eastAsia="Calibri" w:hAnsi="Times New Roman" w:cs="Times New Roman"/>
          <w:sz w:val="26"/>
          <w:szCs w:val="26"/>
        </w:rPr>
        <w:t>Величина скидки на торг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75" w:history="1">
        <w:r w:rsidRPr="00A67AF4">
          <w:rPr>
            <w:rStyle w:val="ad"/>
            <w:rFonts w:ascii="Times New Roman" w:hAnsi="Times New Roman" w:cs="Times New Roman"/>
            <w:sz w:val="26"/>
            <w:szCs w:val="26"/>
          </w:rPr>
          <w:t>https://statrielt.ru/</w:t>
        </w:r>
      </w:hyperlink>
      <w:r w:rsidRPr="00A67AF4">
        <w:rPr>
          <w:rFonts w:ascii="Times New Roman" w:hAnsi="Times New Roman" w:cs="Times New Roman"/>
          <w:sz w:val="26"/>
          <w:szCs w:val="26"/>
        </w:rPr>
        <w:t>).</w:t>
      </w:r>
    </w:p>
    <w:p w14:paraId="6B01ADB5" w14:textId="77777777" w:rsidR="0066681B" w:rsidRDefault="0066681B" w:rsidP="0066681B">
      <w:pPr>
        <w:jc w:val="center"/>
      </w:pPr>
      <w:r w:rsidRPr="00376FBD">
        <w:rPr>
          <w:noProof/>
          <w:lang w:eastAsia="ru-RU"/>
        </w:rPr>
        <w:drawing>
          <wp:inline distT="0" distB="0" distL="0" distR="0" wp14:anchorId="29783EEA" wp14:editId="051265FC">
            <wp:extent cx="5940425" cy="3869690"/>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869690"/>
                    </a:xfrm>
                    <a:prstGeom prst="rect">
                      <a:avLst/>
                    </a:prstGeom>
                  </pic:spPr>
                </pic:pic>
              </a:graphicData>
            </a:graphic>
          </wp:inline>
        </w:drawing>
      </w:r>
    </w:p>
    <w:p w14:paraId="3A71D67D" w14:textId="77777777" w:rsidR="0066681B" w:rsidRPr="00A67AF4" w:rsidRDefault="0066681B" w:rsidP="0066681B">
      <w:pPr>
        <w:spacing w:after="0" w:line="300" w:lineRule="auto"/>
        <w:ind w:firstLine="567"/>
        <w:jc w:val="center"/>
        <w:rPr>
          <w:rFonts w:ascii="Times New Roman" w:eastAsia="Calibri" w:hAnsi="Times New Roman" w:cs="Times New Roman"/>
          <w:sz w:val="26"/>
          <w:szCs w:val="26"/>
        </w:rPr>
      </w:pPr>
      <w:r>
        <w:rPr>
          <w:rFonts w:ascii="Times New Roman" w:eastAsia="Calibri" w:hAnsi="Times New Roman" w:cs="Times New Roman"/>
          <w:sz w:val="26"/>
          <w:szCs w:val="26"/>
        </w:rPr>
        <w:t>Рис.3.1.3.4.1- Скидка на торг, уторгование при продаже земельных участков на 01.01.2022 года по данным некоммерческой организации «Ассоциация развития рынка недвижимости «</w:t>
      </w:r>
      <w:r w:rsidRPr="00A67AF4">
        <w:rPr>
          <w:rFonts w:ascii="Times New Roman" w:eastAsia="Calibri" w:hAnsi="Times New Roman" w:cs="Times New Roman"/>
          <w:sz w:val="26"/>
          <w:szCs w:val="26"/>
        </w:rPr>
        <w:t>СтатРиелт»</w:t>
      </w:r>
      <w:r>
        <w:rPr>
          <w:rStyle w:val="af2"/>
          <w:rFonts w:ascii="Times New Roman" w:eastAsia="Calibri" w:hAnsi="Times New Roman" w:cs="Times New Roman"/>
          <w:sz w:val="26"/>
          <w:szCs w:val="26"/>
        </w:rPr>
        <w:footnoteReference w:id="76"/>
      </w:r>
    </w:p>
    <w:p w14:paraId="3C3E5C3E" w14:textId="77777777" w:rsidR="0066681B" w:rsidRPr="00650F12" w:rsidRDefault="0066681B" w:rsidP="0066681B">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данном случае размер скидки на торг принимаем как для земель населенных пунктов для смешанной коммерческой застройки, значения лежат в доверительном интервале от 0,90 до 0,97 и в среднем по РФ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94</w:t>
      </w:r>
      <w:r>
        <w:rPr>
          <w:rFonts w:ascii="Times New Roman" w:eastAsia="Calibri" w:hAnsi="Times New Roman" w:cs="Times New Roman"/>
          <w:sz w:val="26"/>
          <w:szCs w:val="26"/>
        </w:rPr>
        <w:t xml:space="preserve"> (раздел «</w:t>
      </w:r>
      <w:r w:rsidRPr="00CB1B3C">
        <w:rPr>
          <w:rFonts w:ascii="Times New Roman" w:hAnsi="Times New Roman" w:cs="Times New Roman"/>
          <w:sz w:val="26"/>
          <w:szCs w:val="26"/>
        </w:rPr>
        <w:t>Скидка на торг, уторгование при продаже земельных участков на 01.</w:t>
      </w:r>
      <w:r>
        <w:rPr>
          <w:rFonts w:ascii="Times New Roman" w:hAnsi="Times New Roman" w:cs="Times New Roman"/>
          <w:sz w:val="26"/>
          <w:szCs w:val="26"/>
        </w:rPr>
        <w:t>01</w:t>
      </w:r>
      <w:r w:rsidRPr="00CB1B3C">
        <w:rPr>
          <w:rFonts w:ascii="Times New Roman" w:hAnsi="Times New Roman" w:cs="Times New Roman"/>
          <w:sz w:val="26"/>
          <w:szCs w:val="26"/>
        </w:rPr>
        <w:t>.202</w:t>
      </w:r>
      <w:r>
        <w:rPr>
          <w:rFonts w:ascii="Times New Roman" w:hAnsi="Times New Roman" w:cs="Times New Roman"/>
          <w:sz w:val="26"/>
          <w:szCs w:val="26"/>
        </w:rPr>
        <w:t>2</w:t>
      </w:r>
      <w:r w:rsidRPr="00CB1B3C">
        <w:rPr>
          <w:rFonts w:ascii="Times New Roman" w:hAnsi="Times New Roman" w:cs="Times New Roman"/>
          <w:sz w:val="26"/>
          <w:szCs w:val="26"/>
        </w:rPr>
        <w:t xml:space="preserve"> года</w:t>
      </w:r>
      <w:r>
        <w:rPr>
          <w:rFonts w:ascii="Times New Roman" w:hAnsi="Times New Roman" w:cs="Times New Roman"/>
          <w:sz w:val="26"/>
          <w:szCs w:val="26"/>
        </w:rPr>
        <w:t>»)</w:t>
      </w:r>
      <w:r>
        <w:rPr>
          <w:rFonts w:ascii="Times New Roman" w:eastAsia="Calibri" w:hAnsi="Times New Roman" w:cs="Times New Roman"/>
          <w:sz w:val="26"/>
          <w:szCs w:val="26"/>
        </w:rPr>
        <w:t xml:space="preserve">. Принято среднее значение диапазона. </w:t>
      </w:r>
      <w:r w:rsidRPr="006164A1">
        <w:rPr>
          <w:rFonts w:ascii="Times New Roman" w:eastAsia="Calibri" w:hAnsi="Times New Roman" w:cs="Times New Roman"/>
          <w:sz w:val="26"/>
          <w:szCs w:val="26"/>
        </w:rPr>
        <w:t xml:space="preserve">Для земель лесного фонда, а также земель сельскохозяйственного назначения принимаем корректировку также </w:t>
      </w:r>
      <w:r w:rsidRPr="00BC0681">
        <w:rPr>
          <w:rFonts w:ascii="Times New Roman" w:eastAsia="Calibri" w:hAnsi="Times New Roman" w:cs="Times New Roman"/>
          <w:b/>
          <w:sz w:val="26"/>
          <w:szCs w:val="26"/>
        </w:rPr>
        <w:t>0,94</w:t>
      </w:r>
      <w:r w:rsidRPr="006164A1">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Для объектов, которые расположены на землях промышленности, значения лежат в доверительном интервале от 0,79 до 0,94 и в среднем по РФ составляет </w:t>
      </w:r>
      <w:r w:rsidRPr="00650F12">
        <w:rPr>
          <w:rFonts w:ascii="Times New Roman" w:eastAsia="Calibri" w:hAnsi="Times New Roman" w:cs="Times New Roman"/>
          <w:b/>
          <w:sz w:val="26"/>
          <w:szCs w:val="26"/>
        </w:rPr>
        <w:t>0,8</w:t>
      </w:r>
      <w:r>
        <w:rPr>
          <w:rFonts w:ascii="Times New Roman" w:eastAsia="Calibri" w:hAnsi="Times New Roman" w:cs="Times New Roman"/>
          <w:b/>
          <w:sz w:val="26"/>
          <w:szCs w:val="26"/>
        </w:rPr>
        <w:t>7</w:t>
      </w:r>
      <w:r w:rsidRPr="00650F12">
        <w:rPr>
          <w:rFonts w:ascii="Times New Roman" w:eastAsia="Calibri" w:hAnsi="Times New Roman" w:cs="Times New Roman"/>
          <w:sz w:val="26"/>
          <w:szCs w:val="26"/>
        </w:rPr>
        <w:t xml:space="preserve"> (также принято среднее значение диапазона).</w:t>
      </w:r>
    </w:p>
    <w:p w14:paraId="3F658067" w14:textId="77777777" w:rsidR="0066681B" w:rsidRPr="00945FC1" w:rsidRDefault="0066681B" w:rsidP="0066681B">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дату</w:t>
      </w:r>
    </w:p>
    <w:p w14:paraId="33FBCD01" w14:textId="77777777" w:rsidR="0066681B" w:rsidRDefault="0066681B" w:rsidP="0066681B">
      <w:pPr>
        <w:spacing w:after="0" w:line="300" w:lineRule="auto"/>
        <w:ind w:firstLine="708"/>
        <w:jc w:val="both"/>
        <w:rPr>
          <w:rFonts w:ascii="Times New Roman" w:hAnsi="Times New Roman" w:cs="Times New Roman"/>
          <w:b/>
          <w:sz w:val="26"/>
          <w:szCs w:val="26"/>
        </w:rPr>
      </w:pPr>
      <w:r>
        <w:rPr>
          <w:rFonts w:ascii="Times New Roman" w:hAnsi="Times New Roman" w:cs="Times New Roman"/>
          <w:sz w:val="26"/>
          <w:szCs w:val="26"/>
        </w:rPr>
        <w:t xml:space="preserve">Изменение рыночной конъюнктуры, условия которой могут сильно отразиться на стоимости объекта недвижимости, происходят с течением времени. </w:t>
      </w:r>
      <w:r>
        <w:rPr>
          <w:rFonts w:ascii="Times New Roman" w:eastAsia="Calibri" w:hAnsi="Times New Roman" w:cs="Times New Roman"/>
          <w:sz w:val="26"/>
          <w:szCs w:val="26"/>
        </w:rPr>
        <w:t xml:space="preserve">Корректировка на дату учитывает изменение цен на земельные участки за период с даты заключения сделки (предложения) с объектом-аналогом до даты проведения настоящей оценки. </w:t>
      </w:r>
    </w:p>
    <w:p w14:paraId="5DF4742E" w14:textId="77777777" w:rsidR="0066681B" w:rsidRDefault="0066681B" w:rsidP="0066681B">
      <w:pPr>
        <w:jc w:val="center"/>
      </w:pPr>
      <w:r w:rsidRPr="00376FBD">
        <w:rPr>
          <w:noProof/>
          <w:lang w:eastAsia="ru-RU"/>
        </w:rPr>
        <w:drawing>
          <wp:inline distT="0" distB="0" distL="0" distR="0" wp14:anchorId="2DDF3942" wp14:editId="67A4621B">
            <wp:extent cx="5940425" cy="3978910"/>
            <wp:effectExtent l="0" t="0" r="317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978910"/>
                    </a:xfrm>
                    <a:prstGeom prst="rect">
                      <a:avLst/>
                    </a:prstGeom>
                  </pic:spPr>
                </pic:pic>
              </a:graphicData>
            </a:graphic>
          </wp:inline>
        </w:drawing>
      </w:r>
    </w:p>
    <w:p w14:paraId="0619FA3B" w14:textId="77777777" w:rsidR="0066681B" w:rsidRDefault="0066681B" w:rsidP="0066681B">
      <w:pPr>
        <w:jc w:val="center"/>
        <w:rPr>
          <w:rFonts w:ascii="Times New Roman" w:eastAsia="Calibri" w:hAnsi="Times New Roman" w:cs="Times New Roman"/>
          <w:sz w:val="26"/>
          <w:szCs w:val="26"/>
        </w:rPr>
      </w:pPr>
      <w:r>
        <w:rPr>
          <w:rFonts w:ascii="Times New Roman" w:eastAsia="Calibri" w:hAnsi="Times New Roman" w:cs="Times New Roman"/>
          <w:sz w:val="26"/>
          <w:szCs w:val="26"/>
        </w:rPr>
        <w:t>Рис.3.1.3.4.2-</w:t>
      </w:r>
      <w:r w:rsidRPr="008C322D">
        <w:t xml:space="preserve"> </w:t>
      </w:r>
      <w:r w:rsidRPr="008C322D">
        <w:rPr>
          <w:rFonts w:ascii="Times New Roman" w:eastAsia="Calibri" w:hAnsi="Times New Roman" w:cs="Times New Roman"/>
          <w:sz w:val="26"/>
          <w:szCs w:val="26"/>
        </w:rPr>
        <w:t>Индексы изменения рыночных цен (в рублях) земельных участков</w:t>
      </w:r>
      <w:r>
        <w:rPr>
          <w:rFonts w:ascii="Times New Roman" w:eastAsia="Calibri" w:hAnsi="Times New Roman" w:cs="Times New Roman"/>
          <w:sz w:val="26"/>
          <w:szCs w:val="26"/>
        </w:rPr>
        <w:t xml:space="preserve"> по данным некоммерческой организации «Ассоциация развития рынка недвижимости «СтатРиелт»</w:t>
      </w:r>
      <w:r>
        <w:rPr>
          <w:rStyle w:val="af2"/>
          <w:rFonts w:ascii="Times New Roman" w:eastAsia="Calibri" w:hAnsi="Times New Roman" w:cs="Times New Roman"/>
          <w:sz w:val="26"/>
          <w:szCs w:val="26"/>
        </w:rPr>
        <w:footnoteReference w:id="77"/>
      </w:r>
    </w:p>
    <w:p w14:paraId="2DA16407" w14:textId="77777777" w:rsidR="0066681B" w:rsidRDefault="0066681B" w:rsidP="0066681B">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был произведен расчет корректировок, значения представлены далее в таблице.</w:t>
      </w:r>
    </w:p>
    <w:p w14:paraId="5BE68393" w14:textId="77777777" w:rsidR="00606730" w:rsidRDefault="00606730" w:rsidP="0066681B">
      <w:pPr>
        <w:jc w:val="right"/>
        <w:rPr>
          <w:rFonts w:ascii="Times New Roman" w:eastAsia="Calibri" w:hAnsi="Times New Roman" w:cs="Times New Roman"/>
          <w:sz w:val="26"/>
          <w:szCs w:val="26"/>
        </w:rPr>
      </w:pPr>
    </w:p>
    <w:p w14:paraId="3AA1C2A3" w14:textId="77777777" w:rsidR="00606730" w:rsidRDefault="00606730" w:rsidP="0066681B">
      <w:pPr>
        <w:jc w:val="right"/>
        <w:rPr>
          <w:rFonts w:ascii="Times New Roman" w:eastAsia="Calibri" w:hAnsi="Times New Roman" w:cs="Times New Roman"/>
          <w:sz w:val="26"/>
          <w:szCs w:val="26"/>
        </w:rPr>
      </w:pPr>
    </w:p>
    <w:p w14:paraId="3544D1E7" w14:textId="77777777" w:rsidR="00606730" w:rsidRDefault="00606730" w:rsidP="0066681B">
      <w:pPr>
        <w:jc w:val="right"/>
        <w:rPr>
          <w:rFonts w:ascii="Times New Roman" w:eastAsia="Calibri" w:hAnsi="Times New Roman" w:cs="Times New Roman"/>
          <w:sz w:val="26"/>
          <w:szCs w:val="26"/>
        </w:rPr>
      </w:pPr>
    </w:p>
    <w:p w14:paraId="23873C08" w14:textId="6AB4CDB7" w:rsidR="0066681B" w:rsidRDefault="0066681B" w:rsidP="0066681B">
      <w:pPr>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3.1.3.4.1</w:t>
      </w:r>
    </w:p>
    <w:p w14:paraId="1616D06E" w14:textId="77777777" w:rsidR="0066681B" w:rsidRPr="002F6E4F" w:rsidRDefault="0066681B" w:rsidP="0066681B">
      <w:pPr>
        <w:jc w:val="center"/>
        <w:rPr>
          <w:rFonts w:ascii="Times New Roman" w:eastAsia="Calibri" w:hAnsi="Times New Roman" w:cs="Times New Roman"/>
          <w:sz w:val="26"/>
          <w:szCs w:val="26"/>
        </w:rPr>
      </w:pPr>
      <w:r>
        <w:rPr>
          <w:rFonts w:ascii="Times New Roman" w:eastAsia="Calibri" w:hAnsi="Times New Roman" w:cs="Times New Roman"/>
          <w:sz w:val="26"/>
          <w:szCs w:val="26"/>
        </w:rPr>
        <w:t>Размер корректировок на дату, рассчитанных на каждое полугодие</w:t>
      </w:r>
    </w:p>
    <w:tbl>
      <w:tblPr>
        <w:tblStyle w:val="ae"/>
        <w:tblW w:w="4927" w:type="pct"/>
        <w:jc w:val="center"/>
        <w:tblLayout w:type="fixed"/>
        <w:tblLook w:val="04A0" w:firstRow="1" w:lastRow="0" w:firstColumn="1" w:lastColumn="0" w:noHBand="0" w:noVBand="1"/>
      </w:tblPr>
      <w:tblGrid>
        <w:gridCol w:w="1130"/>
        <w:gridCol w:w="993"/>
        <w:gridCol w:w="1558"/>
        <w:gridCol w:w="1558"/>
        <w:gridCol w:w="654"/>
        <w:gridCol w:w="622"/>
        <w:gridCol w:w="993"/>
        <w:gridCol w:w="1700"/>
      </w:tblGrid>
      <w:tr w:rsidR="0066681B" w:rsidRPr="006640DC" w14:paraId="000E61BE" w14:textId="77777777" w:rsidTr="00BC745E">
        <w:trPr>
          <w:jc w:val="center"/>
        </w:trPr>
        <w:tc>
          <w:tcPr>
            <w:tcW w:w="614" w:type="pct"/>
            <w:vAlign w:val="center"/>
          </w:tcPr>
          <w:p w14:paraId="0446D76B" w14:textId="77777777" w:rsidR="0066681B" w:rsidRPr="006640DC" w:rsidRDefault="0066681B" w:rsidP="00BC745E">
            <w:pPr>
              <w:jc w:val="center"/>
              <w:rPr>
                <w:rFonts w:ascii="Times New Roman" w:hAnsi="Times New Roman" w:cs="Times New Roman"/>
                <w:sz w:val="18"/>
                <w:szCs w:val="18"/>
              </w:rPr>
            </w:pPr>
            <w:r w:rsidRPr="006640DC">
              <w:rPr>
                <w:rFonts w:ascii="Times New Roman" w:hAnsi="Times New Roman" w:cs="Times New Roman"/>
                <w:sz w:val="18"/>
                <w:szCs w:val="18"/>
              </w:rPr>
              <w:t>к 01.0</w:t>
            </w:r>
            <w:r>
              <w:rPr>
                <w:rFonts w:ascii="Times New Roman" w:hAnsi="Times New Roman" w:cs="Times New Roman"/>
                <w:sz w:val="18"/>
                <w:szCs w:val="18"/>
              </w:rPr>
              <w:t>1</w:t>
            </w:r>
            <w:r w:rsidRPr="006640DC">
              <w:rPr>
                <w:rFonts w:ascii="Times New Roman" w:hAnsi="Times New Roman" w:cs="Times New Roman"/>
                <w:sz w:val="18"/>
                <w:szCs w:val="18"/>
              </w:rPr>
              <w:t>.202</w:t>
            </w:r>
            <w:r>
              <w:rPr>
                <w:rFonts w:ascii="Times New Roman" w:hAnsi="Times New Roman" w:cs="Times New Roman"/>
                <w:sz w:val="18"/>
                <w:szCs w:val="18"/>
              </w:rPr>
              <w:t>2</w:t>
            </w:r>
          </w:p>
        </w:tc>
        <w:tc>
          <w:tcPr>
            <w:tcW w:w="539" w:type="pct"/>
            <w:vAlign w:val="center"/>
          </w:tcPr>
          <w:p w14:paraId="2CC2D3FA" w14:textId="77777777" w:rsidR="0066681B" w:rsidRPr="00EF51B1" w:rsidRDefault="0066681B" w:rsidP="00BC745E">
            <w:pPr>
              <w:jc w:val="center"/>
              <w:rPr>
                <w:rFonts w:ascii="Times New Roman" w:hAnsi="Times New Roman" w:cs="Times New Roman"/>
                <w:b/>
                <w:sz w:val="18"/>
              </w:rPr>
            </w:pPr>
            <w:r w:rsidRPr="00EF51B1">
              <w:rPr>
                <w:rFonts w:ascii="Times New Roman" w:hAnsi="Times New Roman" w:cs="Times New Roman"/>
                <w:b/>
                <w:color w:val="000000"/>
                <w:sz w:val="18"/>
              </w:rPr>
              <w:t>торговые и офисные здания</w:t>
            </w:r>
          </w:p>
        </w:tc>
        <w:tc>
          <w:tcPr>
            <w:tcW w:w="846" w:type="pct"/>
            <w:vAlign w:val="center"/>
          </w:tcPr>
          <w:p w14:paraId="494AE8D3" w14:textId="77777777" w:rsidR="0066681B" w:rsidRPr="006640DC" w:rsidRDefault="0066681B" w:rsidP="00BC745E">
            <w:pPr>
              <w:jc w:val="center"/>
              <w:rPr>
                <w:rFonts w:ascii="Times New Roman" w:hAnsi="Times New Roman" w:cs="Times New Roman"/>
                <w:sz w:val="18"/>
              </w:rPr>
            </w:pPr>
            <w:r>
              <w:rPr>
                <w:rFonts w:ascii="Times New Roman" w:hAnsi="Times New Roman" w:cs="Times New Roman"/>
                <w:color w:val="000000"/>
                <w:sz w:val="18"/>
              </w:rPr>
              <w:t>п</w:t>
            </w:r>
            <w:r w:rsidRPr="006640DC">
              <w:rPr>
                <w:rFonts w:ascii="Times New Roman" w:hAnsi="Times New Roman" w:cs="Times New Roman"/>
                <w:color w:val="000000"/>
                <w:sz w:val="18"/>
              </w:rPr>
              <w:t>ромышленности, транспорта, связи и иного специального назначения</w:t>
            </w:r>
          </w:p>
        </w:tc>
        <w:tc>
          <w:tcPr>
            <w:tcW w:w="846" w:type="pct"/>
            <w:vAlign w:val="center"/>
          </w:tcPr>
          <w:p w14:paraId="59D2B9AC" w14:textId="77777777" w:rsidR="0066681B" w:rsidRPr="006640DC" w:rsidRDefault="0066681B" w:rsidP="00BC745E">
            <w:pPr>
              <w:jc w:val="center"/>
              <w:rPr>
                <w:rFonts w:ascii="Times New Roman" w:hAnsi="Times New Roman" w:cs="Times New Roman"/>
                <w:sz w:val="18"/>
              </w:rPr>
            </w:pPr>
            <w:r>
              <w:rPr>
                <w:rFonts w:ascii="Times New Roman" w:hAnsi="Times New Roman" w:cs="Times New Roman"/>
                <w:color w:val="000000"/>
                <w:sz w:val="18"/>
              </w:rPr>
              <w:t>м</w:t>
            </w:r>
            <w:r w:rsidRPr="006640DC">
              <w:rPr>
                <w:rFonts w:ascii="Times New Roman" w:hAnsi="Times New Roman" w:cs="Times New Roman"/>
                <w:color w:val="000000"/>
                <w:sz w:val="18"/>
              </w:rPr>
              <w:t>ного</w:t>
            </w:r>
            <w:r>
              <w:rPr>
                <w:rFonts w:ascii="Times New Roman" w:hAnsi="Times New Roman" w:cs="Times New Roman"/>
                <w:color w:val="000000"/>
                <w:sz w:val="18"/>
              </w:rPr>
              <w:t>-</w:t>
            </w:r>
            <w:r w:rsidRPr="006640DC">
              <w:rPr>
                <w:rFonts w:ascii="Times New Roman" w:hAnsi="Times New Roman" w:cs="Times New Roman"/>
                <w:color w:val="000000"/>
                <w:sz w:val="18"/>
              </w:rPr>
              <w:t>квартирное строительство</w:t>
            </w:r>
          </w:p>
        </w:tc>
        <w:tc>
          <w:tcPr>
            <w:tcW w:w="355" w:type="pct"/>
            <w:vAlign w:val="center"/>
          </w:tcPr>
          <w:p w14:paraId="0429DF38" w14:textId="77777777" w:rsidR="0066681B" w:rsidRDefault="0066681B" w:rsidP="00BC745E">
            <w:pPr>
              <w:rPr>
                <w:rFonts w:ascii="Times New Roman" w:hAnsi="Times New Roman" w:cs="Times New Roman"/>
                <w:color w:val="000000"/>
                <w:sz w:val="18"/>
              </w:rPr>
            </w:pPr>
            <w:r w:rsidRPr="006640DC">
              <w:rPr>
                <w:rFonts w:ascii="Times New Roman" w:hAnsi="Times New Roman" w:cs="Times New Roman"/>
                <w:color w:val="000000"/>
                <w:sz w:val="18"/>
              </w:rPr>
              <w:t>ИЖС</w:t>
            </w:r>
          </w:p>
          <w:p w14:paraId="556511C1" w14:textId="77777777" w:rsidR="0066681B" w:rsidRDefault="0066681B" w:rsidP="00BC745E">
            <w:pPr>
              <w:jc w:val="center"/>
              <w:rPr>
                <w:rFonts w:ascii="Times New Roman" w:hAnsi="Times New Roman" w:cs="Times New Roman"/>
                <w:color w:val="000000"/>
                <w:sz w:val="18"/>
              </w:rPr>
            </w:pPr>
            <w:r>
              <w:rPr>
                <w:rFonts w:ascii="Times New Roman" w:hAnsi="Times New Roman" w:cs="Times New Roman"/>
                <w:color w:val="000000"/>
                <w:sz w:val="18"/>
              </w:rPr>
              <w:t>и</w:t>
            </w:r>
          </w:p>
          <w:p w14:paraId="2166EB9D" w14:textId="77777777" w:rsidR="0066681B" w:rsidRPr="006640DC" w:rsidRDefault="0066681B" w:rsidP="00BC745E">
            <w:pPr>
              <w:rPr>
                <w:rFonts w:ascii="Times New Roman" w:hAnsi="Times New Roman" w:cs="Times New Roman"/>
                <w:sz w:val="18"/>
              </w:rPr>
            </w:pPr>
            <w:r w:rsidRPr="006640DC">
              <w:rPr>
                <w:rFonts w:ascii="Times New Roman" w:hAnsi="Times New Roman" w:cs="Times New Roman"/>
                <w:color w:val="000000"/>
                <w:sz w:val="18"/>
              </w:rPr>
              <w:t>ЛПХ</w:t>
            </w:r>
          </w:p>
        </w:tc>
        <w:tc>
          <w:tcPr>
            <w:tcW w:w="338" w:type="pct"/>
            <w:vAlign w:val="center"/>
          </w:tcPr>
          <w:p w14:paraId="046998FE" w14:textId="77777777" w:rsidR="0066681B" w:rsidRPr="006640DC" w:rsidRDefault="0066681B" w:rsidP="00BC745E">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Н</w:t>
            </w:r>
            <w:r w:rsidRPr="006640DC">
              <w:rPr>
                <w:rFonts w:ascii="Times New Roman" w:hAnsi="Times New Roman" w:cs="Times New Roman"/>
                <w:color w:val="000000"/>
                <w:sz w:val="18"/>
              </w:rPr>
              <w:t>Т и ДНП</w:t>
            </w:r>
          </w:p>
        </w:tc>
        <w:tc>
          <w:tcPr>
            <w:tcW w:w="539" w:type="pct"/>
            <w:vAlign w:val="center"/>
          </w:tcPr>
          <w:p w14:paraId="621EE92A" w14:textId="77777777" w:rsidR="0066681B" w:rsidRPr="006640DC" w:rsidRDefault="0066681B" w:rsidP="00BC745E">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/х</w:t>
            </w:r>
            <w:r w:rsidRPr="006640DC">
              <w:rPr>
                <w:rFonts w:ascii="Times New Roman" w:hAnsi="Times New Roman" w:cs="Times New Roman"/>
                <w:color w:val="000000"/>
                <w:sz w:val="18"/>
              </w:rPr>
              <w:t xml:space="preserve"> назна</w:t>
            </w:r>
            <w:r>
              <w:rPr>
                <w:rFonts w:ascii="Times New Roman" w:hAnsi="Times New Roman" w:cs="Times New Roman"/>
                <w:color w:val="000000"/>
                <w:sz w:val="18"/>
              </w:rPr>
              <w:t>-</w:t>
            </w:r>
            <w:r w:rsidRPr="006640DC">
              <w:rPr>
                <w:rFonts w:ascii="Times New Roman" w:hAnsi="Times New Roman" w:cs="Times New Roman"/>
                <w:color w:val="000000"/>
                <w:sz w:val="18"/>
              </w:rPr>
              <w:t>чения</w:t>
            </w:r>
          </w:p>
        </w:tc>
        <w:tc>
          <w:tcPr>
            <w:tcW w:w="923" w:type="pct"/>
            <w:vAlign w:val="center"/>
          </w:tcPr>
          <w:p w14:paraId="56E3E67E" w14:textId="77777777" w:rsidR="0066681B" w:rsidRPr="006640DC" w:rsidRDefault="0066681B" w:rsidP="00BC745E">
            <w:pPr>
              <w:jc w:val="center"/>
              <w:rPr>
                <w:rFonts w:ascii="Times New Roman" w:hAnsi="Times New Roman" w:cs="Times New Roman"/>
                <w:sz w:val="18"/>
              </w:rPr>
            </w:pPr>
            <w:r w:rsidRPr="006640DC">
              <w:rPr>
                <w:rFonts w:ascii="Times New Roman" w:hAnsi="Times New Roman" w:cs="Times New Roman"/>
                <w:color w:val="000000"/>
                <w:sz w:val="18"/>
              </w:rPr>
              <w:t>сельскохозяйственного назначения с возможностью или перспективой строительства коммерческих зданий</w:t>
            </w:r>
          </w:p>
        </w:tc>
      </w:tr>
      <w:tr w:rsidR="0066681B" w:rsidRPr="006640DC" w14:paraId="271CEBF0" w14:textId="77777777" w:rsidTr="00BC745E">
        <w:trPr>
          <w:jc w:val="center"/>
        </w:trPr>
        <w:tc>
          <w:tcPr>
            <w:tcW w:w="614" w:type="pct"/>
            <w:vAlign w:val="bottom"/>
          </w:tcPr>
          <w:p w14:paraId="42C87410" w14:textId="77777777" w:rsidR="0066681B" w:rsidRPr="006640DC" w:rsidRDefault="0066681B" w:rsidP="00BC745E">
            <w:pPr>
              <w:jc w:val="center"/>
              <w:rPr>
                <w:rFonts w:ascii="Times New Roman" w:hAnsi="Times New Roman" w:cs="Times New Roman"/>
              </w:rPr>
            </w:pPr>
            <w:r w:rsidRPr="006640DC">
              <w:rPr>
                <w:rFonts w:ascii="Times New Roman" w:hAnsi="Times New Roman" w:cs="Times New Roman"/>
                <w:color w:val="000000"/>
              </w:rPr>
              <w:t>01.01.2018 по 30.06.2018</w:t>
            </w:r>
          </w:p>
        </w:tc>
        <w:tc>
          <w:tcPr>
            <w:tcW w:w="539" w:type="pct"/>
            <w:vAlign w:val="bottom"/>
          </w:tcPr>
          <w:p w14:paraId="1F1972F1" w14:textId="77777777" w:rsidR="0066681B" w:rsidRPr="0063008C" w:rsidRDefault="0066681B" w:rsidP="00BC745E">
            <w:pPr>
              <w:jc w:val="center"/>
              <w:rPr>
                <w:rFonts w:ascii="Times New Roman" w:hAnsi="Times New Roman" w:cs="Times New Roman"/>
                <w:b/>
              </w:rPr>
            </w:pPr>
            <w:r w:rsidRPr="0063008C">
              <w:rPr>
                <w:rFonts w:ascii="Times New Roman" w:hAnsi="Times New Roman" w:cs="Times New Roman"/>
                <w:b/>
              </w:rPr>
              <w:t>1,04</w:t>
            </w:r>
          </w:p>
        </w:tc>
        <w:tc>
          <w:tcPr>
            <w:tcW w:w="846" w:type="pct"/>
            <w:vAlign w:val="bottom"/>
          </w:tcPr>
          <w:p w14:paraId="2E5B4298"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0,99</w:t>
            </w:r>
          </w:p>
        </w:tc>
        <w:tc>
          <w:tcPr>
            <w:tcW w:w="846" w:type="pct"/>
            <w:vAlign w:val="bottom"/>
          </w:tcPr>
          <w:p w14:paraId="7E16A026"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1,31</w:t>
            </w:r>
          </w:p>
        </w:tc>
        <w:tc>
          <w:tcPr>
            <w:tcW w:w="355" w:type="pct"/>
            <w:vAlign w:val="bottom"/>
          </w:tcPr>
          <w:p w14:paraId="450AD754"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1,16</w:t>
            </w:r>
          </w:p>
        </w:tc>
        <w:tc>
          <w:tcPr>
            <w:tcW w:w="338" w:type="pct"/>
            <w:vAlign w:val="bottom"/>
          </w:tcPr>
          <w:p w14:paraId="4BF37F5E"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1,14</w:t>
            </w:r>
          </w:p>
        </w:tc>
        <w:tc>
          <w:tcPr>
            <w:tcW w:w="539" w:type="pct"/>
            <w:vAlign w:val="bottom"/>
          </w:tcPr>
          <w:p w14:paraId="576A086C" w14:textId="77777777" w:rsidR="0066681B" w:rsidRPr="00F22DF9" w:rsidRDefault="0066681B" w:rsidP="00BC745E">
            <w:pPr>
              <w:jc w:val="center"/>
              <w:rPr>
                <w:rFonts w:ascii="Times New Roman" w:hAnsi="Times New Roman" w:cs="Times New Roman"/>
                <w:b/>
              </w:rPr>
            </w:pPr>
            <w:r w:rsidRPr="00F22DF9">
              <w:rPr>
                <w:rFonts w:ascii="Times New Roman" w:hAnsi="Times New Roman" w:cs="Times New Roman"/>
              </w:rPr>
              <w:t>1,15</w:t>
            </w:r>
          </w:p>
        </w:tc>
        <w:tc>
          <w:tcPr>
            <w:tcW w:w="923" w:type="pct"/>
            <w:vAlign w:val="bottom"/>
          </w:tcPr>
          <w:p w14:paraId="19D1F7D2"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1,11</w:t>
            </w:r>
          </w:p>
        </w:tc>
      </w:tr>
      <w:tr w:rsidR="0066681B" w:rsidRPr="006640DC" w14:paraId="1876531E" w14:textId="77777777" w:rsidTr="00BC745E">
        <w:trPr>
          <w:jc w:val="center"/>
        </w:trPr>
        <w:tc>
          <w:tcPr>
            <w:tcW w:w="614" w:type="pct"/>
            <w:vAlign w:val="bottom"/>
          </w:tcPr>
          <w:p w14:paraId="1B9415F4" w14:textId="77777777" w:rsidR="0066681B" w:rsidRPr="006640DC" w:rsidRDefault="0066681B" w:rsidP="00BC745E">
            <w:pPr>
              <w:jc w:val="center"/>
              <w:rPr>
                <w:rFonts w:ascii="Times New Roman" w:hAnsi="Times New Roman" w:cs="Times New Roman"/>
              </w:rPr>
            </w:pPr>
            <w:r w:rsidRPr="006640DC">
              <w:rPr>
                <w:rFonts w:ascii="Times New Roman" w:hAnsi="Times New Roman" w:cs="Times New Roman"/>
                <w:color w:val="000000"/>
              </w:rPr>
              <w:t>01.07.2018 по 31.12.2018</w:t>
            </w:r>
          </w:p>
        </w:tc>
        <w:tc>
          <w:tcPr>
            <w:tcW w:w="539" w:type="pct"/>
            <w:vAlign w:val="bottom"/>
          </w:tcPr>
          <w:p w14:paraId="1B1AFB39" w14:textId="77777777" w:rsidR="0066681B" w:rsidRPr="0063008C" w:rsidRDefault="0066681B" w:rsidP="00BC745E">
            <w:pPr>
              <w:jc w:val="center"/>
              <w:rPr>
                <w:rFonts w:ascii="Times New Roman" w:hAnsi="Times New Roman" w:cs="Times New Roman"/>
                <w:b/>
              </w:rPr>
            </w:pPr>
            <w:r w:rsidRPr="0063008C">
              <w:rPr>
                <w:rFonts w:ascii="Times New Roman" w:hAnsi="Times New Roman" w:cs="Times New Roman"/>
                <w:b/>
              </w:rPr>
              <w:t>1,04</w:t>
            </w:r>
          </w:p>
        </w:tc>
        <w:tc>
          <w:tcPr>
            <w:tcW w:w="846" w:type="pct"/>
            <w:vAlign w:val="bottom"/>
          </w:tcPr>
          <w:p w14:paraId="75247B6B"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0,99</w:t>
            </w:r>
          </w:p>
        </w:tc>
        <w:tc>
          <w:tcPr>
            <w:tcW w:w="846" w:type="pct"/>
            <w:vAlign w:val="bottom"/>
          </w:tcPr>
          <w:p w14:paraId="139F9D2D"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1,30</w:t>
            </w:r>
          </w:p>
        </w:tc>
        <w:tc>
          <w:tcPr>
            <w:tcW w:w="355" w:type="pct"/>
            <w:vAlign w:val="bottom"/>
          </w:tcPr>
          <w:p w14:paraId="6D5D9100"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1,17</w:t>
            </w:r>
          </w:p>
        </w:tc>
        <w:tc>
          <w:tcPr>
            <w:tcW w:w="338" w:type="pct"/>
            <w:vAlign w:val="bottom"/>
          </w:tcPr>
          <w:p w14:paraId="39909C0B"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1,15</w:t>
            </w:r>
          </w:p>
        </w:tc>
        <w:tc>
          <w:tcPr>
            <w:tcW w:w="539" w:type="pct"/>
            <w:vAlign w:val="bottom"/>
          </w:tcPr>
          <w:p w14:paraId="7BBF3353" w14:textId="77777777" w:rsidR="0066681B" w:rsidRPr="00F22DF9" w:rsidRDefault="0066681B" w:rsidP="00BC745E">
            <w:pPr>
              <w:jc w:val="center"/>
              <w:rPr>
                <w:rFonts w:ascii="Times New Roman" w:hAnsi="Times New Roman" w:cs="Times New Roman"/>
                <w:b/>
              </w:rPr>
            </w:pPr>
            <w:r w:rsidRPr="00F22DF9">
              <w:rPr>
                <w:rFonts w:ascii="Times New Roman" w:hAnsi="Times New Roman" w:cs="Times New Roman"/>
              </w:rPr>
              <w:t>1,14</w:t>
            </w:r>
          </w:p>
        </w:tc>
        <w:tc>
          <w:tcPr>
            <w:tcW w:w="923" w:type="pct"/>
            <w:vAlign w:val="bottom"/>
          </w:tcPr>
          <w:p w14:paraId="7120F57B"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1,13</w:t>
            </w:r>
          </w:p>
        </w:tc>
      </w:tr>
      <w:tr w:rsidR="0066681B" w:rsidRPr="006640DC" w14:paraId="4D7330A9" w14:textId="77777777" w:rsidTr="00BC745E">
        <w:trPr>
          <w:jc w:val="center"/>
        </w:trPr>
        <w:tc>
          <w:tcPr>
            <w:tcW w:w="614" w:type="pct"/>
            <w:vAlign w:val="bottom"/>
          </w:tcPr>
          <w:p w14:paraId="0E5F5AE0" w14:textId="77777777" w:rsidR="0066681B" w:rsidRPr="006640DC" w:rsidRDefault="0066681B" w:rsidP="00BC745E">
            <w:pPr>
              <w:jc w:val="center"/>
              <w:rPr>
                <w:rFonts w:ascii="Times New Roman" w:hAnsi="Times New Roman" w:cs="Times New Roman"/>
              </w:rPr>
            </w:pPr>
            <w:r w:rsidRPr="006640DC">
              <w:rPr>
                <w:rFonts w:ascii="Times New Roman" w:hAnsi="Times New Roman" w:cs="Times New Roman"/>
                <w:color w:val="000000"/>
              </w:rPr>
              <w:t>01.01.2019 по 30.06.2019</w:t>
            </w:r>
          </w:p>
        </w:tc>
        <w:tc>
          <w:tcPr>
            <w:tcW w:w="539" w:type="pct"/>
            <w:vAlign w:val="bottom"/>
          </w:tcPr>
          <w:p w14:paraId="7B2E06F5" w14:textId="77777777" w:rsidR="0066681B" w:rsidRPr="0063008C" w:rsidRDefault="0066681B" w:rsidP="00BC745E">
            <w:pPr>
              <w:jc w:val="center"/>
              <w:rPr>
                <w:rFonts w:ascii="Times New Roman" w:hAnsi="Times New Roman" w:cs="Times New Roman"/>
                <w:b/>
              </w:rPr>
            </w:pPr>
            <w:r w:rsidRPr="0063008C">
              <w:rPr>
                <w:rFonts w:ascii="Times New Roman" w:hAnsi="Times New Roman" w:cs="Times New Roman"/>
                <w:b/>
              </w:rPr>
              <w:t>1,04</w:t>
            </w:r>
          </w:p>
        </w:tc>
        <w:tc>
          <w:tcPr>
            <w:tcW w:w="846" w:type="pct"/>
            <w:vAlign w:val="bottom"/>
          </w:tcPr>
          <w:p w14:paraId="2FCDDF10"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0,99</w:t>
            </w:r>
          </w:p>
        </w:tc>
        <w:tc>
          <w:tcPr>
            <w:tcW w:w="846" w:type="pct"/>
            <w:vAlign w:val="bottom"/>
          </w:tcPr>
          <w:p w14:paraId="07F33E9C"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1,28</w:t>
            </w:r>
          </w:p>
        </w:tc>
        <w:tc>
          <w:tcPr>
            <w:tcW w:w="355" w:type="pct"/>
            <w:vAlign w:val="bottom"/>
          </w:tcPr>
          <w:p w14:paraId="19B59953"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1,17</w:t>
            </w:r>
          </w:p>
        </w:tc>
        <w:tc>
          <w:tcPr>
            <w:tcW w:w="338" w:type="pct"/>
            <w:vAlign w:val="bottom"/>
          </w:tcPr>
          <w:p w14:paraId="66C7D6E6"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1,15</w:t>
            </w:r>
          </w:p>
        </w:tc>
        <w:tc>
          <w:tcPr>
            <w:tcW w:w="539" w:type="pct"/>
            <w:vAlign w:val="bottom"/>
          </w:tcPr>
          <w:p w14:paraId="1B8C15EA" w14:textId="77777777" w:rsidR="0066681B" w:rsidRPr="00F22DF9" w:rsidRDefault="0066681B" w:rsidP="00BC745E">
            <w:pPr>
              <w:jc w:val="center"/>
              <w:rPr>
                <w:rFonts w:ascii="Times New Roman" w:hAnsi="Times New Roman" w:cs="Times New Roman"/>
                <w:b/>
              </w:rPr>
            </w:pPr>
            <w:r w:rsidRPr="00F22DF9">
              <w:rPr>
                <w:rFonts w:ascii="Times New Roman" w:hAnsi="Times New Roman" w:cs="Times New Roman"/>
              </w:rPr>
              <w:t>1,12</w:t>
            </w:r>
          </w:p>
        </w:tc>
        <w:tc>
          <w:tcPr>
            <w:tcW w:w="923" w:type="pct"/>
            <w:vAlign w:val="bottom"/>
          </w:tcPr>
          <w:p w14:paraId="68317C1C"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1,13</w:t>
            </w:r>
          </w:p>
        </w:tc>
      </w:tr>
      <w:tr w:rsidR="0066681B" w:rsidRPr="006640DC" w14:paraId="23B9EEC1" w14:textId="77777777" w:rsidTr="00BC745E">
        <w:trPr>
          <w:jc w:val="center"/>
        </w:trPr>
        <w:tc>
          <w:tcPr>
            <w:tcW w:w="614" w:type="pct"/>
            <w:vAlign w:val="bottom"/>
          </w:tcPr>
          <w:p w14:paraId="571EB236" w14:textId="77777777" w:rsidR="0066681B" w:rsidRPr="006640DC" w:rsidRDefault="0066681B" w:rsidP="00BC745E">
            <w:pPr>
              <w:jc w:val="center"/>
              <w:rPr>
                <w:rFonts w:ascii="Times New Roman" w:hAnsi="Times New Roman" w:cs="Times New Roman"/>
              </w:rPr>
            </w:pPr>
            <w:r w:rsidRPr="006640DC">
              <w:rPr>
                <w:rFonts w:ascii="Times New Roman" w:hAnsi="Times New Roman" w:cs="Times New Roman"/>
                <w:color w:val="000000"/>
              </w:rPr>
              <w:t>01.07.2019 по 31.12.2019</w:t>
            </w:r>
          </w:p>
        </w:tc>
        <w:tc>
          <w:tcPr>
            <w:tcW w:w="539" w:type="pct"/>
            <w:vAlign w:val="bottom"/>
          </w:tcPr>
          <w:p w14:paraId="4FA7B442" w14:textId="77777777" w:rsidR="0066681B" w:rsidRPr="0063008C" w:rsidRDefault="0066681B" w:rsidP="00BC745E">
            <w:pPr>
              <w:jc w:val="center"/>
              <w:rPr>
                <w:rFonts w:ascii="Times New Roman" w:hAnsi="Times New Roman" w:cs="Times New Roman"/>
                <w:b/>
              </w:rPr>
            </w:pPr>
            <w:r w:rsidRPr="0063008C">
              <w:rPr>
                <w:rFonts w:ascii="Times New Roman" w:hAnsi="Times New Roman" w:cs="Times New Roman"/>
                <w:b/>
              </w:rPr>
              <w:t>1,03</w:t>
            </w:r>
          </w:p>
        </w:tc>
        <w:tc>
          <w:tcPr>
            <w:tcW w:w="846" w:type="pct"/>
            <w:vAlign w:val="bottom"/>
          </w:tcPr>
          <w:p w14:paraId="6FBB1E5E"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0,97</w:t>
            </w:r>
          </w:p>
        </w:tc>
        <w:tc>
          <w:tcPr>
            <w:tcW w:w="846" w:type="pct"/>
            <w:vAlign w:val="bottom"/>
          </w:tcPr>
          <w:p w14:paraId="7888E68B"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1,24</w:t>
            </w:r>
          </w:p>
        </w:tc>
        <w:tc>
          <w:tcPr>
            <w:tcW w:w="355" w:type="pct"/>
            <w:vAlign w:val="bottom"/>
          </w:tcPr>
          <w:p w14:paraId="37016000"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1,15</w:t>
            </w:r>
          </w:p>
        </w:tc>
        <w:tc>
          <w:tcPr>
            <w:tcW w:w="338" w:type="pct"/>
            <w:vAlign w:val="bottom"/>
          </w:tcPr>
          <w:p w14:paraId="4ACCC36E"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1,13</w:t>
            </w:r>
          </w:p>
        </w:tc>
        <w:tc>
          <w:tcPr>
            <w:tcW w:w="539" w:type="pct"/>
            <w:vAlign w:val="bottom"/>
          </w:tcPr>
          <w:p w14:paraId="2C722E3A" w14:textId="77777777" w:rsidR="0066681B" w:rsidRPr="00F22DF9" w:rsidRDefault="0066681B" w:rsidP="00BC745E">
            <w:pPr>
              <w:jc w:val="center"/>
              <w:rPr>
                <w:rFonts w:ascii="Times New Roman" w:hAnsi="Times New Roman" w:cs="Times New Roman"/>
                <w:b/>
              </w:rPr>
            </w:pPr>
            <w:r w:rsidRPr="00F22DF9">
              <w:rPr>
                <w:rFonts w:ascii="Times New Roman" w:hAnsi="Times New Roman" w:cs="Times New Roman"/>
              </w:rPr>
              <w:t>1,08</w:t>
            </w:r>
          </w:p>
        </w:tc>
        <w:tc>
          <w:tcPr>
            <w:tcW w:w="923" w:type="pct"/>
            <w:vAlign w:val="bottom"/>
          </w:tcPr>
          <w:p w14:paraId="336423B0"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1,10</w:t>
            </w:r>
          </w:p>
        </w:tc>
      </w:tr>
      <w:tr w:rsidR="0066681B" w:rsidRPr="006640DC" w14:paraId="7B805CE0" w14:textId="77777777" w:rsidTr="00BC745E">
        <w:trPr>
          <w:jc w:val="center"/>
        </w:trPr>
        <w:tc>
          <w:tcPr>
            <w:tcW w:w="614" w:type="pct"/>
            <w:vAlign w:val="bottom"/>
          </w:tcPr>
          <w:p w14:paraId="2F093775" w14:textId="77777777" w:rsidR="0066681B" w:rsidRPr="006640DC" w:rsidRDefault="0066681B" w:rsidP="00BC745E">
            <w:pPr>
              <w:jc w:val="center"/>
              <w:rPr>
                <w:rFonts w:ascii="Times New Roman" w:hAnsi="Times New Roman" w:cs="Times New Roman"/>
              </w:rPr>
            </w:pPr>
            <w:r w:rsidRPr="006640DC">
              <w:rPr>
                <w:rFonts w:ascii="Times New Roman" w:hAnsi="Times New Roman" w:cs="Times New Roman"/>
                <w:color w:val="000000"/>
              </w:rPr>
              <w:t>01.01.2020 по 30.06.2020</w:t>
            </w:r>
          </w:p>
        </w:tc>
        <w:tc>
          <w:tcPr>
            <w:tcW w:w="539" w:type="pct"/>
            <w:vAlign w:val="bottom"/>
          </w:tcPr>
          <w:p w14:paraId="0FA15913" w14:textId="77777777" w:rsidR="0066681B" w:rsidRPr="0063008C" w:rsidRDefault="0066681B" w:rsidP="00BC745E">
            <w:pPr>
              <w:jc w:val="center"/>
              <w:rPr>
                <w:rFonts w:ascii="Times New Roman" w:hAnsi="Times New Roman" w:cs="Times New Roman"/>
                <w:b/>
              </w:rPr>
            </w:pPr>
            <w:r w:rsidRPr="0063008C">
              <w:rPr>
                <w:rFonts w:ascii="Times New Roman" w:hAnsi="Times New Roman" w:cs="Times New Roman"/>
                <w:b/>
              </w:rPr>
              <w:t>1,01</w:t>
            </w:r>
          </w:p>
        </w:tc>
        <w:tc>
          <w:tcPr>
            <w:tcW w:w="846" w:type="pct"/>
            <w:vAlign w:val="bottom"/>
          </w:tcPr>
          <w:p w14:paraId="3BE2F203"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0,95</w:t>
            </w:r>
          </w:p>
        </w:tc>
        <w:tc>
          <w:tcPr>
            <w:tcW w:w="846" w:type="pct"/>
            <w:vAlign w:val="bottom"/>
          </w:tcPr>
          <w:p w14:paraId="0C6B3B34"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1,19</w:t>
            </w:r>
          </w:p>
        </w:tc>
        <w:tc>
          <w:tcPr>
            <w:tcW w:w="355" w:type="pct"/>
            <w:vAlign w:val="bottom"/>
          </w:tcPr>
          <w:p w14:paraId="08CAF2C4"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1,14</w:t>
            </w:r>
          </w:p>
        </w:tc>
        <w:tc>
          <w:tcPr>
            <w:tcW w:w="338" w:type="pct"/>
            <w:vAlign w:val="bottom"/>
          </w:tcPr>
          <w:p w14:paraId="6CCFF782"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1,10</w:t>
            </w:r>
          </w:p>
        </w:tc>
        <w:tc>
          <w:tcPr>
            <w:tcW w:w="539" w:type="pct"/>
            <w:vAlign w:val="bottom"/>
          </w:tcPr>
          <w:p w14:paraId="015719CF" w14:textId="77777777" w:rsidR="0066681B" w:rsidRPr="00F22DF9" w:rsidRDefault="0066681B" w:rsidP="00BC745E">
            <w:pPr>
              <w:jc w:val="center"/>
              <w:rPr>
                <w:rFonts w:ascii="Times New Roman" w:hAnsi="Times New Roman" w:cs="Times New Roman"/>
                <w:b/>
              </w:rPr>
            </w:pPr>
            <w:r w:rsidRPr="00F22DF9">
              <w:rPr>
                <w:rFonts w:ascii="Times New Roman" w:hAnsi="Times New Roman" w:cs="Times New Roman"/>
              </w:rPr>
              <w:t>1,05</w:t>
            </w:r>
          </w:p>
        </w:tc>
        <w:tc>
          <w:tcPr>
            <w:tcW w:w="923" w:type="pct"/>
            <w:vAlign w:val="bottom"/>
          </w:tcPr>
          <w:p w14:paraId="0585DD1D"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1,08</w:t>
            </w:r>
          </w:p>
        </w:tc>
      </w:tr>
      <w:tr w:rsidR="0066681B" w:rsidRPr="006640DC" w14:paraId="3C7C0BB3" w14:textId="77777777" w:rsidTr="00BC745E">
        <w:trPr>
          <w:jc w:val="center"/>
        </w:trPr>
        <w:tc>
          <w:tcPr>
            <w:tcW w:w="614" w:type="pct"/>
            <w:vAlign w:val="bottom"/>
          </w:tcPr>
          <w:p w14:paraId="067803AF" w14:textId="77777777" w:rsidR="0066681B" w:rsidRPr="006640DC" w:rsidRDefault="0066681B" w:rsidP="00BC745E">
            <w:pPr>
              <w:jc w:val="center"/>
              <w:rPr>
                <w:rFonts w:ascii="Times New Roman" w:hAnsi="Times New Roman" w:cs="Times New Roman"/>
              </w:rPr>
            </w:pPr>
            <w:r w:rsidRPr="006640DC">
              <w:rPr>
                <w:rFonts w:ascii="Times New Roman" w:hAnsi="Times New Roman" w:cs="Times New Roman"/>
                <w:color w:val="000000"/>
              </w:rPr>
              <w:t>01.07.2020 по 31.12.2020</w:t>
            </w:r>
          </w:p>
        </w:tc>
        <w:tc>
          <w:tcPr>
            <w:tcW w:w="539" w:type="pct"/>
            <w:vAlign w:val="bottom"/>
          </w:tcPr>
          <w:p w14:paraId="45320001" w14:textId="77777777" w:rsidR="0066681B" w:rsidRPr="0063008C" w:rsidRDefault="0066681B" w:rsidP="00BC745E">
            <w:pPr>
              <w:jc w:val="center"/>
              <w:rPr>
                <w:rFonts w:ascii="Times New Roman" w:hAnsi="Times New Roman" w:cs="Times New Roman"/>
                <w:b/>
              </w:rPr>
            </w:pPr>
            <w:r w:rsidRPr="0063008C">
              <w:rPr>
                <w:rFonts w:ascii="Times New Roman" w:hAnsi="Times New Roman" w:cs="Times New Roman"/>
                <w:b/>
              </w:rPr>
              <w:t>1,05</w:t>
            </w:r>
          </w:p>
        </w:tc>
        <w:tc>
          <w:tcPr>
            <w:tcW w:w="846" w:type="pct"/>
            <w:vAlign w:val="bottom"/>
          </w:tcPr>
          <w:p w14:paraId="2A36FF61"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0,98</w:t>
            </w:r>
          </w:p>
        </w:tc>
        <w:tc>
          <w:tcPr>
            <w:tcW w:w="846" w:type="pct"/>
            <w:vAlign w:val="bottom"/>
          </w:tcPr>
          <w:p w14:paraId="1AEFFDFD"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1,17</w:t>
            </w:r>
          </w:p>
        </w:tc>
        <w:tc>
          <w:tcPr>
            <w:tcW w:w="355" w:type="pct"/>
            <w:vAlign w:val="bottom"/>
          </w:tcPr>
          <w:p w14:paraId="03EF8CE9"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1,11</w:t>
            </w:r>
          </w:p>
        </w:tc>
        <w:tc>
          <w:tcPr>
            <w:tcW w:w="338" w:type="pct"/>
            <w:vAlign w:val="bottom"/>
          </w:tcPr>
          <w:p w14:paraId="17FD6A63"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1,09</w:t>
            </w:r>
          </w:p>
        </w:tc>
        <w:tc>
          <w:tcPr>
            <w:tcW w:w="539" w:type="pct"/>
            <w:vAlign w:val="bottom"/>
          </w:tcPr>
          <w:p w14:paraId="6FE72417" w14:textId="77777777" w:rsidR="0066681B" w:rsidRPr="00F22DF9" w:rsidRDefault="0066681B" w:rsidP="00BC745E">
            <w:pPr>
              <w:jc w:val="center"/>
              <w:rPr>
                <w:rFonts w:ascii="Times New Roman" w:hAnsi="Times New Roman" w:cs="Times New Roman"/>
                <w:b/>
              </w:rPr>
            </w:pPr>
            <w:r w:rsidRPr="00F22DF9">
              <w:rPr>
                <w:rFonts w:ascii="Times New Roman" w:hAnsi="Times New Roman" w:cs="Times New Roman"/>
              </w:rPr>
              <w:t>1,03</w:t>
            </w:r>
          </w:p>
        </w:tc>
        <w:tc>
          <w:tcPr>
            <w:tcW w:w="923" w:type="pct"/>
            <w:vAlign w:val="bottom"/>
          </w:tcPr>
          <w:p w14:paraId="1160752D"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1,07</w:t>
            </w:r>
          </w:p>
        </w:tc>
      </w:tr>
      <w:tr w:rsidR="0066681B" w:rsidRPr="006640DC" w14:paraId="53441BB1" w14:textId="77777777" w:rsidTr="00BC745E">
        <w:trPr>
          <w:jc w:val="center"/>
        </w:trPr>
        <w:tc>
          <w:tcPr>
            <w:tcW w:w="614" w:type="pct"/>
            <w:vAlign w:val="bottom"/>
          </w:tcPr>
          <w:p w14:paraId="7DD9AF62" w14:textId="77777777" w:rsidR="0066681B" w:rsidRPr="006640DC" w:rsidRDefault="0066681B" w:rsidP="00BC745E">
            <w:pPr>
              <w:jc w:val="center"/>
              <w:rPr>
                <w:rFonts w:ascii="Times New Roman" w:hAnsi="Times New Roman" w:cs="Times New Roman"/>
              </w:rPr>
            </w:pPr>
            <w:r w:rsidRPr="006640DC">
              <w:rPr>
                <w:rFonts w:ascii="Times New Roman" w:hAnsi="Times New Roman" w:cs="Times New Roman"/>
                <w:color w:val="000000"/>
              </w:rPr>
              <w:t>01.01.2021 по 30.06.2021</w:t>
            </w:r>
          </w:p>
        </w:tc>
        <w:tc>
          <w:tcPr>
            <w:tcW w:w="539" w:type="pct"/>
            <w:vAlign w:val="bottom"/>
          </w:tcPr>
          <w:p w14:paraId="232A4F3E" w14:textId="77777777" w:rsidR="0066681B" w:rsidRPr="0063008C" w:rsidRDefault="0066681B" w:rsidP="00BC745E">
            <w:pPr>
              <w:jc w:val="center"/>
              <w:rPr>
                <w:rFonts w:ascii="Times New Roman" w:hAnsi="Times New Roman" w:cs="Times New Roman"/>
                <w:b/>
              </w:rPr>
            </w:pPr>
            <w:r w:rsidRPr="0063008C">
              <w:rPr>
                <w:rFonts w:ascii="Times New Roman" w:hAnsi="Times New Roman" w:cs="Times New Roman"/>
                <w:b/>
              </w:rPr>
              <w:t>1,04</w:t>
            </w:r>
          </w:p>
        </w:tc>
        <w:tc>
          <w:tcPr>
            <w:tcW w:w="846" w:type="pct"/>
            <w:vAlign w:val="bottom"/>
          </w:tcPr>
          <w:p w14:paraId="292ED51E"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0,98</w:t>
            </w:r>
          </w:p>
        </w:tc>
        <w:tc>
          <w:tcPr>
            <w:tcW w:w="846" w:type="pct"/>
            <w:vAlign w:val="bottom"/>
          </w:tcPr>
          <w:p w14:paraId="04B2A057"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1,07</w:t>
            </w:r>
          </w:p>
        </w:tc>
        <w:tc>
          <w:tcPr>
            <w:tcW w:w="355" w:type="pct"/>
            <w:vAlign w:val="bottom"/>
          </w:tcPr>
          <w:p w14:paraId="53BDE52C"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1,06</w:t>
            </w:r>
          </w:p>
        </w:tc>
        <w:tc>
          <w:tcPr>
            <w:tcW w:w="338" w:type="pct"/>
            <w:vAlign w:val="bottom"/>
          </w:tcPr>
          <w:p w14:paraId="370DB256"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1,04</w:t>
            </w:r>
          </w:p>
        </w:tc>
        <w:tc>
          <w:tcPr>
            <w:tcW w:w="539" w:type="pct"/>
            <w:vAlign w:val="bottom"/>
          </w:tcPr>
          <w:p w14:paraId="237F4F8E" w14:textId="77777777" w:rsidR="0066681B" w:rsidRPr="00F22DF9" w:rsidRDefault="0066681B" w:rsidP="00BC745E">
            <w:pPr>
              <w:jc w:val="center"/>
              <w:rPr>
                <w:rFonts w:ascii="Times New Roman" w:hAnsi="Times New Roman" w:cs="Times New Roman"/>
                <w:b/>
              </w:rPr>
            </w:pPr>
            <w:r w:rsidRPr="00F22DF9">
              <w:rPr>
                <w:rFonts w:ascii="Times New Roman" w:hAnsi="Times New Roman" w:cs="Times New Roman"/>
              </w:rPr>
              <w:t>1,01</w:t>
            </w:r>
          </w:p>
        </w:tc>
        <w:tc>
          <w:tcPr>
            <w:tcW w:w="923" w:type="pct"/>
            <w:vAlign w:val="bottom"/>
          </w:tcPr>
          <w:p w14:paraId="661BCAE8"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1,02</w:t>
            </w:r>
          </w:p>
        </w:tc>
      </w:tr>
      <w:tr w:rsidR="0066681B" w:rsidRPr="006640DC" w14:paraId="4050CB1F" w14:textId="77777777" w:rsidTr="00BC745E">
        <w:trPr>
          <w:jc w:val="center"/>
        </w:trPr>
        <w:tc>
          <w:tcPr>
            <w:tcW w:w="614" w:type="pct"/>
            <w:vAlign w:val="bottom"/>
          </w:tcPr>
          <w:p w14:paraId="76E74757" w14:textId="77777777" w:rsidR="0066681B" w:rsidRPr="006640DC" w:rsidRDefault="0066681B" w:rsidP="00BC745E">
            <w:pPr>
              <w:jc w:val="center"/>
              <w:rPr>
                <w:rFonts w:ascii="Times New Roman" w:hAnsi="Times New Roman" w:cs="Times New Roman"/>
              </w:rPr>
            </w:pPr>
            <w:r w:rsidRPr="006640DC">
              <w:rPr>
                <w:rFonts w:ascii="Times New Roman" w:hAnsi="Times New Roman" w:cs="Times New Roman"/>
                <w:color w:val="000000"/>
              </w:rPr>
              <w:t>01.07.2021 по 31.12.2021</w:t>
            </w:r>
          </w:p>
        </w:tc>
        <w:tc>
          <w:tcPr>
            <w:tcW w:w="539" w:type="pct"/>
            <w:vAlign w:val="bottom"/>
          </w:tcPr>
          <w:p w14:paraId="21A8BFFB" w14:textId="77777777" w:rsidR="0066681B" w:rsidRPr="0063008C" w:rsidRDefault="0066681B" w:rsidP="00BC745E">
            <w:pPr>
              <w:jc w:val="center"/>
              <w:rPr>
                <w:rFonts w:ascii="Times New Roman" w:hAnsi="Times New Roman" w:cs="Times New Roman"/>
                <w:b/>
              </w:rPr>
            </w:pPr>
            <w:r w:rsidRPr="0063008C">
              <w:rPr>
                <w:rFonts w:ascii="Times New Roman" w:hAnsi="Times New Roman" w:cs="Times New Roman"/>
                <w:b/>
              </w:rPr>
              <w:t>1,02</w:t>
            </w:r>
          </w:p>
        </w:tc>
        <w:tc>
          <w:tcPr>
            <w:tcW w:w="846" w:type="pct"/>
            <w:vAlign w:val="bottom"/>
          </w:tcPr>
          <w:p w14:paraId="61D9BEE6"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0,98</w:t>
            </w:r>
          </w:p>
        </w:tc>
        <w:tc>
          <w:tcPr>
            <w:tcW w:w="846" w:type="pct"/>
            <w:vAlign w:val="bottom"/>
          </w:tcPr>
          <w:p w14:paraId="797D58AA"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1,03</w:t>
            </w:r>
          </w:p>
        </w:tc>
        <w:tc>
          <w:tcPr>
            <w:tcW w:w="355" w:type="pct"/>
            <w:vAlign w:val="bottom"/>
          </w:tcPr>
          <w:p w14:paraId="58BF6D2A"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1,04</w:t>
            </w:r>
          </w:p>
        </w:tc>
        <w:tc>
          <w:tcPr>
            <w:tcW w:w="338" w:type="pct"/>
            <w:vAlign w:val="bottom"/>
          </w:tcPr>
          <w:p w14:paraId="42CBC464"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1,01</w:t>
            </w:r>
          </w:p>
        </w:tc>
        <w:tc>
          <w:tcPr>
            <w:tcW w:w="539" w:type="pct"/>
            <w:vAlign w:val="bottom"/>
          </w:tcPr>
          <w:p w14:paraId="1E3A0BE5" w14:textId="77777777" w:rsidR="0066681B" w:rsidRPr="00F22DF9" w:rsidRDefault="0066681B" w:rsidP="00BC745E">
            <w:pPr>
              <w:jc w:val="center"/>
              <w:rPr>
                <w:rFonts w:ascii="Times New Roman" w:hAnsi="Times New Roman" w:cs="Times New Roman"/>
                <w:b/>
              </w:rPr>
            </w:pPr>
            <w:r w:rsidRPr="00F22DF9">
              <w:rPr>
                <w:rFonts w:ascii="Times New Roman" w:hAnsi="Times New Roman" w:cs="Times New Roman"/>
              </w:rPr>
              <w:t>1,01</w:t>
            </w:r>
          </w:p>
        </w:tc>
        <w:tc>
          <w:tcPr>
            <w:tcW w:w="923" w:type="pct"/>
            <w:vAlign w:val="bottom"/>
          </w:tcPr>
          <w:p w14:paraId="33E70252" w14:textId="77777777" w:rsidR="0066681B" w:rsidRPr="00F22DF9" w:rsidRDefault="0066681B" w:rsidP="00BC745E">
            <w:pPr>
              <w:jc w:val="center"/>
              <w:rPr>
                <w:rFonts w:ascii="Times New Roman" w:hAnsi="Times New Roman" w:cs="Times New Roman"/>
              </w:rPr>
            </w:pPr>
            <w:r w:rsidRPr="00F22DF9">
              <w:rPr>
                <w:rFonts w:ascii="Times New Roman" w:hAnsi="Times New Roman" w:cs="Times New Roman"/>
              </w:rPr>
              <w:t>1,01</w:t>
            </w:r>
          </w:p>
        </w:tc>
      </w:tr>
    </w:tbl>
    <w:p w14:paraId="768D3B1A" w14:textId="77777777" w:rsidR="0066681B" w:rsidRPr="00945FC1" w:rsidRDefault="0066681B" w:rsidP="0066681B">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право</w:t>
      </w:r>
    </w:p>
    <w:p w14:paraId="2321424B" w14:textId="77777777" w:rsidR="0066681B" w:rsidRDefault="0066681B" w:rsidP="0066681B">
      <w:pPr>
        <w:spacing w:after="0" w:line="300" w:lineRule="auto"/>
        <w:ind w:firstLine="567"/>
        <w:jc w:val="both"/>
        <w:rPr>
          <w:rFonts w:ascii="Times New Roman" w:hAnsi="Times New Roman" w:cs="Times New Roman"/>
          <w:sz w:val="26"/>
          <w:szCs w:val="26"/>
          <w:u w:val="single"/>
        </w:rPr>
      </w:pPr>
      <w:r>
        <w:rPr>
          <w:rFonts w:ascii="Times New Roman" w:hAnsi="Times New Roman" w:cs="Times New Roman"/>
          <w:sz w:val="26"/>
          <w:szCs w:val="26"/>
        </w:rPr>
        <w:t xml:space="preserve">В случае, если продается земельный участок, предоставленный в аренду, необходимо вносить корректировку на вид права. </w:t>
      </w:r>
      <w:r>
        <w:rPr>
          <w:rFonts w:ascii="Times New Roman" w:eastAsia="Calibri" w:hAnsi="Times New Roman" w:cs="Times New Roman"/>
          <w:sz w:val="26"/>
          <w:szCs w:val="26"/>
        </w:rPr>
        <w:t>Величина корректировки на право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76" w:history="1">
        <w:r w:rsidRPr="00A67AF4">
          <w:rPr>
            <w:rStyle w:val="ad"/>
            <w:rFonts w:ascii="Times New Roman" w:hAnsi="Times New Roman" w:cs="Times New Roman"/>
            <w:sz w:val="26"/>
            <w:szCs w:val="26"/>
          </w:rPr>
          <w:t>https://statrielt.ru/</w:t>
        </w:r>
      </w:hyperlink>
      <w:r w:rsidRPr="00A67AF4">
        <w:rPr>
          <w:rFonts w:ascii="Times New Roman" w:hAnsi="Times New Roman" w:cs="Times New Roman"/>
          <w:sz w:val="26"/>
          <w:szCs w:val="26"/>
        </w:rPr>
        <w:t>).</w:t>
      </w:r>
    </w:p>
    <w:p w14:paraId="4DF8F5D0" w14:textId="77777777" w:rsidR="0066681B" w:rsidRDefault="0066681B" w:rsidP="0066681B">
      <w:pPr>
        <w:jc w:val="center"/>
      </w:pPr>
      <w:r w:rsidRPr="00A2009E">
        <w:rPr>
          <w:noProof/>
          <w:lang w:eastAsia="ru-RU"/>
        </w:rPr>
        <w:drawing>
          <wp:inline distT="0" distB="0" distL="0" distR="0" wp14:anchorId="28548A70" wp14:editId="4E4FC25A">
            <wp:extent cx="5940425" cy="4081780"/>
            <wp:effectExtent l="0" t="0" r="3175"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4081780"/>
                    </a:xfrm>
                    <a:prstGeom prst="rect">
                      <a:avLst/>
                    </a:prstGeom>
                  </pic:spPr>
                </pic:pic>
              </a:graphicData>
            </a:graphic>
          </wp:inline>
        </w:drawing>
      </w:r>
    </w:p>
    <w:p w14:paraId="62FAF9BD" w14:textId="77777777" w:rsidR="0066681B" w:rsidRPr="00A67AF4" w:rsidRDefault="0066681B" w:rsidP="0066681B">
      <w:pPr>
        <w:spacing w:after="0" w:line="30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Рис.3.1.3.4.3- Корректировка на право аренды земельного участка по отношению к собственному земельному участку </w:t>
      </w:r>
      <w:r w:rsidRPr="00A67AF4">
        <w:rPr>
          <w:rFonts w:ascii="Times New Roman" w:eastAsia="Calibri" w:hAnsi="Times New Roman" w:cs="Times New Roman"/>
          <w:sz w:val="26"/>
          <w:szCs w:val="26"/>
        </w:rPr>
        <w:t>на 01.01.2022 года по данным некоммерческой организации «Ассоциация развития рынка недвижимости «СтатРиелт»</w:t>
      </w:r>
      <w:r>
        <w:rPr>
          <w:rStyle w:val="af2"/>
          <w:rFonts w:ascii="Times New Roman" w:eastAsia="Calibri" w:hAnsi="Times New Roman" w:cs="Times New Roman"/>
          <w:sz w:val="26"/>
          <w:szCs w:val="26"/>
        </w:rPr>
        <w:footnoteReference w:id="78"/>
      </w:r>
    </w:p>
    <w:p w14:paraId="514BA4F2" w14:textId="77777777" w:rsidR="0066681B" w:rsidRDefault="0066681B" w:rsidP="0066681B">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Так как данные коэффициенты выражают отношения удельных цен предложений земельных участков, находящихся на праве аренды, к удельным ценам предложений земельных участков, находящихся на праве собственности, применяются обратные корректировки, т.е.  при расчете удельного показателя рыночной стоимости необходимо делить на корректировку на право.</w:t>
      </w:r>
    </w:p>
    <w:p w14:paraId="5E03B739" w14:textId="77777777" w:rsidR="0066681B" w:rsidRPr="00227435" w:rsidRDefault="0066681B" w:rsidP="0066681B">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Согласно данным «СтатРиелт», размер корректировки на право аренды земельного участка, предоставленного сроком на 49 лет, по отношению к собственному земельному участку, для земельных участков под размещение торговых, офисных, автосервисных и других общественных зданий лежит в доверительном интервале от 0,72 до 0,88 и в среднем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81</w:t>
      </w:r>
      <w:r>
        <w:rPr>
          <w:rFonts w:ascii="Times New Roman" w:eastAsia="Calibri" w:hAnsi="Times New Roman" w:cs="Times New Roman"/>
          <w:sz w:val="26"/>
          <w:szCs w:val="26"/>
        </w:rPr>
        <w:t xml:space="preserve"> (данные на 01.01.2022 года). Для целей оценки принято среднее значение диапазона. В случае, если земельный участок предоставлен в аренду на срок до 20 лет, то необходимо использовать поправку на срок аренды к корректировке на срок аренды на 49 лет. Таким образом корректировка равна: 0,81х0,83=</w:t>
      </w:r>
      <w:r w:rsidRPr="008C322D">
        <w:rPr>
          <w:rFonts w:ascii="Times New Roman" w:eastAsia="Calibri" w:hAnsi="Times New Roman" w:cs="Times New Roman"/>
          <w:b/>
          <w:sz w:val="26"/>
          <w:szCs w:val="26"/>
        </w:rPr>
        <w:t>0,</w:t>
      </w:r>
      <w:r>
        <w:rPr>
          <w:rFonts w:ascii="Times New Roman" w:eastAsia="Calibri" w:hAnsi="Times New Roman" w:cs="Times New Roman"/>
          <w:b/>
          <w:sz w:val="26"/>
          <w:szCs w:val="26"/>
        </w:rPr>
        <w:t>67</w:t>
      </w:r>
      <w:r>
        <w:rPr>
          <w:rFonts w:ascii="Times New Roman" w:eastAsia="Calibri" w:hAnsi="Times New Roman" w:cs="Times New Roman"/>
          <w:sz w:val="26"/>
          <w:szCs w:val="26"/>
        </w:rPr>
        <w:t>.</w:t>
      </w:r>
    </w:p>
    <w:p w14:paraId="1672E325" w14:textId="77777777" w:rsidR="00606730" w:rsidRDefault="00606730" w:rsidP="0066681B">
      <w:pPr>
        <w:spacing w:before="120" w:after="0" w:line="276" w:lineRule="auto"/>
        <w:jc w:val="center"/>
        <w:rPr>
          <w:rFonts w:ascii="Times New Roman" w:hAnsi="Times New Roman" w:cs="Times New Roman"/>
          <w:i/>
          <w:sz w:val="26"/>
          <w:szCs w:val="26"/>
        </w:rPr>
      </w:pPr>
    </w:p>
    <w:p w14:paraId="4F98E158" w14:textId="2C355E64" w:rsidR="0066681B" w:rsidRPr="00945FC1" w:rsidRDefault="0066681B" w:rsidP="0066681B">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Доля ЗУ</w:t>
      </w:r>
    </w:p>
    <w:p w14:paraId="3709CC6E" w14:textId="77777777" w:rsidR="0066681B" w:rsidRPr="00650F12" w:rsidRDefault="0066681B" w:rsidP="0066681B">
      <w:pPr>
        <w:spacing w:after="0" w:line="300" w:lineRule="auto"/>
        <w:ind w:firstLine="567"/>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Если в качестве объекта-аналога принято предложение (сделка) по продаже застроенного земельного участка, необходимо определить долю стоимости земельного участка в стоимости единого объекта недвижимости. В таком случае доля стоимости земельного участка для 4 сегмента принята на основании приложения №7 к Указаниям, где для торговых и торгово-развлекательных объектов рекомендовано 20-25% (принимаем корректировку </w:t>
      </w:r>
      <w:r w:rsidRPr="00227435">
        <w:rPr>
          <w:rFonts w:ascii="Times New Roman" w:eastAsia="Calibri" w:hAnsi="Times New Roman" w:cs="Times New Roman"/>
          <w:b/>
          <w:sz w:val="26"/>
          <w:szCs w:val="26"/>
        </w:rPr>
        <w:t>0,2</w:t>
      </w:r>
      <w:r>
        <w:rPr>
          <w:rFonts w:ascii="Times New Roman" w:eastAsia="Calibri" w:hAnsi="Times New Roman" w:cs="Times New Roman"/>
          <w:b/>
          <w:sz w:val="26"/>
          <w:szCs w:val="26"/>
        </w:rPr>
        <w:t>5</w:t>
      </w:r>
      <w:r>
        <w:rPr>
          <w:rFonts w:ascii="Times New Roman" w:eastAsia="Calibri" w:hAnsi="Times New Roman" w:cs="Times New Roman"/>
          <w:sz w:val="26"/>
          <w:szCs w:val="26"/>
        </w:rPr>
        <w:t>).</w:t>
      </w:r>
    </w:p>
    <w:p w14:paraId="1B894A95" w14:textId="77777777" w:rsidR="00516E3E" w:rsidRDefault="00516E3E" w:rsidP="00516E3E">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 xml:space="preserve">Корректировка на </w:t>
      </w:r>
      <w:r w:rsidRPr="00616BF7">
        <w:rPr>
          <w:rFonts w:ascii="Times New Roman" w:hAnsi="Times New Roman" w:cs="Times New Roman"/>
          <w:i/>
          <w:sz w:val="26"/>
          <w:szCs w:val="26"/>
        </w:rPr>
        <w:t>разрешенное использование</w:t>
      </w:r>
    </w:p>
    <w:p w14:paraId="7CFF09F8" w14:textId="1DF1B86B" w:rsidR="00516E3E" w:rsidRPr="00B15A1F" w:rsidRDefault="00516E3E" w:rsidP="00516E3E">
      <w:pPr>
        <w:spacing w:after="0" w:line="276" w:lineRule="auto"/>
        <w:ind w:firstLine="709"/>
        <w:jc w:val="both"/>
        <w:rPr>
          <w:rStyle w:val="60"/>
          <w:rFonts w:eastAsiaTheme="minorHAnsi"/>
        </w:rPr>
      </w:pPr>
      <w:r>
        <w:rPr>
          <w:rFonts w:ascii="Times New Roman" w:hAnsi="Times New Roman" w:cs="Times New Roman"/>
          <w:sz w:val="26"/>
          <w:szCs w:val="26"/>
        </w:rPr>
        <w:t xml:space="preserve">В связи с отсутствием по городу Воронежу и Воронежской области достаточного для построения моделей количества объектов аналогов </w:t>
      </w:r>
      <w:r w:rsidRPr="00C01A8F">
        <w:rPr>
          <w:rFonts w:ascii="Times New Roman" w:hAnsi="Times New Roman" w:cs="Times New Roman"/>
          <w:sz w:val="26"/>
          <w:szCs w:val="26"/>
        </w:rPr>
        <w:t>по 4 сегменту «</w:t>
      </w:r>
      <w:r w:rsidRPr="00C01A8F">
        <w:rPr>
          <w:rFonts w:ascii="Times New Roman" w:hAnsi="Times New Roman" w:cs="Times New Roman"/>
          <w:color w:val="000000"/>
          <w:sz w:val="26"/>
          <w:szCs w:val="26"/>
        </w:rPr>
        <w:t>Предпринимательство</w:t>
      </w:r>
      <w:r w:rsidRPr="00C01A8F">
        <w:rPr>
          <w:rFonts w:ascii="Times New Roman" w:hAnsi="Times New Roman" w:cs="Times New Roman"/>
          <w:sz w:val="26"/>
          <w:szCs w:val="26"/>
        </w:rPr>
        <w:t>», были взяты объекты аналоги из</w:t>
      </w:r>
      <w:r w:rsidRPr="002F06CB">
        <w:rPr>
          <w:rFonts w:ascii="Times New Roman" w:hAnsi="Times New Roman" w:cs="Times New Roman"/>
          <w:sz w:val="26"/>
          <w:szCs w:val="26"/>
        </w:rPr>
        <w:t xml:space="preserve"> наиболее распространенного сегмента рынка – 13 «Садоводство и </w:t>
      </w:r>
      <w:r w:rsidRPr="002F06CB">
        <w:rPr>
          <w:rFonts w:ascii="Times New Roman" w:hAnsi="Times New Roman"/>
          <w:bCs/>
          <w:sz w:val="26"/>
          <w:szCs w:val="26"/>
        </w:rPr>
        <w:t>огородничество, малоэтажная жилая застройка».</w:t>
      </w:r>
    </w:p>
    <w:p w14:paraId="5F2E791C" w14:textId="6AA82339" w:rsidR="00516E3E" w:rsidRPr="00616BF7" w:rsidRDefault="00516E3E" w:rsidP="00516E3E">
      <w:pPr>
        <w:spacing w:after="0" w:line="276" w:lineRule="auto"/>
        <w:ind w:firstLine="709"/>
        <w:jc w:val="both"/>
        <w:rPr>
          <w:rFonts w:ascii="Times New Roman" w:eastAsia="Calibri" w:hAnsi="Times New Roman" w:cs="Times New Roman"/>
          <w:sz w:val="26"/>
          <w:szCs w:val="26"/>
        </w:rPr>
      </w:pPr>
      <w:r>
        <w:rPr>
          <w:rFonts w:ascii="Times New Roman" w:hAnsi="Times New Roman" w:cs="Times New Roman"/>
          <w:sz w:val="26"/>
          <w:szCs w:val="26"/>
        </w:rPr>
        <w:t xml:space="preserve">Коэффициент </w:t>
      </w:r>
      <w:r w:rsidRPr="004A0C0A">
        <w:rPr>
          <w:rFonts w:ascii="Times New Roman" w:hAnsi="Times New Roman" w:cs="Times New Roman"/>
          <w:sz w:val="26"/>
          <w:szCs w:val="26"/>
        </w:rPr>
        <w:t xml:space="preserve">перехода от </w:t>
      </w:r>
      <w:r>
        <w:rPr>
          <w:rFonts w:ascii="Times New Roman" w:hAnsi="Times New Roman" w:cs="Times New Roman"/>
          <w:sz w:val="26"/>
          <w:szCs w:val="26"/>
        </w:rPr>
        <w:t>13</w:t>
      </w:r>
      <w:r w:rsidRPr="004A0C0A">
        <w:rPr>
          <w:rFonts w:ascii="Times New Roman" w:hAnsi="Times New Roman" w:cs="Times New Roman"/>
          <w:sz w:val="26"/>
          <w:szCs w:val="26"/>
        </w:rPr>
        <w:t xml:space="preserve"> сегмента к </w:t>
      </w:r>
      <w:r>
        <w:rPr>
          <w:rFonts w:ascii="Times New Roman" w:hAnsi="Times New Roman" w:cs="Times New Roman"/>
          <w:sz w:val="26"/>
          <w:szCs w:val="26"/>
        </w:rPr>
        <w:t>4</w:t>
      </w:r>
      <w:r w:rsidRPr="004A0C0A">
        <w:rPr>
          <w:rFonts w:ascii="Times New Roman" w:hAnsi="Times New Roman" w:cs="Times New Roman"/>
          <w:sz w:val="26"/>
          <w:szCs w:val="26"/>
        </w:rPr>
        <w:t xml:space="preserve"> сегменту был расчитан на основании данных </w:t>
      </w:r>
      <w:r w:rsidRPr="004A0C0A">
        <w:rPr>
          <w:rFonts w:ascii="Times New Roman" w:eastAsia="Calibri" w:hAnsi="Times New Roman" w:cs="Times New Roman"/>
          <w:sz w:val="26"/>
          <w:szCs w:val="26"/>
        </w:rPr>
        <w:t xml:space="preserve">о </w:t>
      </w:r>
      <w:r w:rsidRPr="00516E3E">
        <w:rPr>
          <w:rFonts w:ascii="Times New Roman" w:eastAsia="Calibri" w:hAnsi="Times New Roman" w:cs="Times New Roman"/>
          <w:sz w:val="26"/>
          <w:szCs w:val="26"/>
        </w:rPr>
        <w:t xml:space="preserve">ценах предложений на рынке продаж взятых с сайтов бесплатных объявлений: </w:t>
      </w:r>
      <w:r w:rsidRPr="00516E3E">
        <w:rPr>
          <w:rStyle w:val="ad"/>
          <w:rFonts w:ascii="Times New Roman" w:eastAsia="Calibri" w:hAnsi="Times New Roman" w:cs="Times New Roman"/>
          <w:color w:val="auto"/>
          <w:sz w:val="26"/>
          <w:szCs w:val="26"/>
          <w:u w:val="none"/>
        </w:rPr>
        <w:t>www.avito.ru, и сделок</w:t>
      </w:r>
      <w:r w:rsidRPr="004A0C0A">
        <w:rPr>
          <w:rStyle w:val="ad"/>
          <w:rFonts w:ascii="Times New Roman" w:hAnsi="Times New Roman" w:cs="Times New Roman"/>
          <w:color w:val="auto"/>
          <w:u w:val="none"/>
        </w:rPr>
        <w:t xml:space="preserve"> </w:t>
      </w:r>
      <w:r w:rsidRPr="00616BF7">
        <w:rPr>
          <w:rStyle w:val="ad"/>
          <w:rFonts w:ascii="Times New Roman" w:hAnsi="Times New Roman" w:cs="Times New Roman"/>
          <w:color w:val="auto"/>
          <w:sz w:val="26"/>
          <w:szCs w:val="26"/>
          <w:u w:val="none"/>
        </w:rPr>
        <w:t>Росреестра</w:t>
      </w:r>
      <w:r w:rsidRPr="00616BF7">
        <w:rPr>
          <w:rFonts w:ascii="Times New Roman" w:eastAsia="Calibri" w:hAnsi="Times New Roman" w:cs="Times New Roman"/>
          <w:sz w:val="26"/>
          <w:szCs w:val="26"/>
        </w:rPr>
        <w:t>.</w:t>
      </w:r>
    </w:p>
    <w:p w14:paraId="14E9177E" w14:textId="44F8A8AA" w:rsidR="00516E3E" w:rsidRDefault="00516E3E" w:rsidP="00516E3E">
      <w:pPr>
        <w:spacing w:after="0" w:line="276" w:lineRule="auto"/>
        <w:ind w:firstLine="709"/>
        <w:jc w:val="both"/>
        <w:rPr>
          <w:rFonts w:ascii="Times New Roman" w:hAnsi="Times New Roman" w:cs="Times New Roman"/>
          <w:sz w:val="26"/>
          <w:szCs w:val="26"/>
        </w:rPr>
      </w:pPr>
      <w:r w:rsidRPr="004A0C0A">
        <w:rPr>
          <w:rFonts w:ascii="Times New Roman" w:hAnsi="Times New Roman" w:cs="Times New Roman"/>
          <w:i/>
          <w:sz w:val="26"/>
          <w:szCs w:val="26"/>
        </w:rPr>
        <w:t xml:space="preserve">Среднее значение коэффициента перехода от </w:t>
      </w:r>
      <w:r>
        <w:rPr>
          <w:rFonts w:ascii="Times New Roman" w:hAnsi="Times New Roman" w:cs="Times New Roman"/>
          <w:i/>
          <w:sz w:val="26"/>
          <w:szCs w:val="26"/>
        </w:rPr>
        <w:t>13</w:t>
      </w:r>
      <w:r w:rsidRPr="004A0C0A">
        <w:rPr>
          <w:rFonts w:ascii="Times New Roman" w:hAnsi="Times New Roman" w:cs="Times New Roman"/>
          <w:i/>
          <w:sz w:val="26"/>
          <w:szCs w:val="26"/>
        </w:rPr>
        <w:t xml:space="preserve"> сегмента к </w:t>
      </w:r>
      <w:r>
        <w:rPr>
          <w:rFonts w:ascii="Times New Roman" w:hAnsi="Times New Roman" w:cs="Times New Roman"/>
          <w:i/>
          <w:sz w:val="26"/>
          <w:szCs w:val="26"/>
        </w:rPr>
        <w:t>4</w:t>
      </w:r>
      <w:r w:rsidRPr="004A0C0A">
        <w:rPr>
          <w:rFonts w:ascii="Times New Roman" w:hAnsi="Times New Roman" w:cs="Times New Roman"/>
          <w:i/>
          <w:sz w:val="26"/>
          <w:szCs w:val="26"/>
        </w:rPr>
        <w:t xml:space="preserve"> сегменту равн</w:t>
      </w:r>
      <w:r>
        <w:rPr>
          <w:rFonts w:ascii="Times New Roman" w:hAnsi="Times New Roman" w:cs="Times New Roman"/>
          <w:i/>
          <w:sz w:val="26"/>
          <w:szCs w:val="26"/>
        </w:rPr>
        <w:t>о</w:t>
      </w:r>
      <w:r>
        <w:rPr>
          <w:rFonts w:ascii="Times New Roman" w:hAnsi="Times New Roman" w:cs="Times New Roman"/>
          <w:sz w:val="26"/>
          <w:szCs w:val="26"/>
        </w:rPr>
        <w:t xml:space="preserve"> </w:t>
      </w:r>
      <w:r>
        <w:rPr>
          <w:rFonts w:ascii="Times New Roman" w:hAnsi="Times New Roman" w:cs="Times New Roman"/>
          <w:b/>
          <w:sz w:val="26"/>
          <w:szCs w:val="26"/>
        </w:rPr>
        <w:t>2,86</w:t>
      </w:r>
      <w:r>
        <w:rPr>
          <w:rFonts w:ascii="Times New Roman" w:hAnsi="Times New Roman" w:cs="Times New Roman"/>
          <w:sz w:val="26"/>
          <w:szCs w:val="26"/>
        </w:rPr>
        <w:t>.</w:t>
      </w:r>
    </w:p>
    <w:p w14:paraId="01C0310E" w14:textId="430E6520" w:rsidR="004743AD" w:rsidRDefault="006A79B0" w:rsidP="004743AD">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Расчет коэффициентов перехода представлен в </w:t>
      </w:r>
      <w:r w:rsidR="004743AD" w:rsidRPr="004743AD">
        <w:rPr>
          <w:rFonts w:ascii="Times New Roman" w:hAnsi="Times New Roman" w:cs="Times New Roman"/>
          <w:sz w:val="26"/>
          <w:szCs w:val="26"/>
        </w:rPr>
        <w:t xml:space="preserve">Приложении </w:t>
      </w:r>
      <w:r w:rsidR="00E20613">
        <w:rPr>
          <w:rFonts w:ascii="Times New Roman" w:hAnsi="Times New Roman" w:cs="Times New Roman"/>
          <w:sz w:val="26"/>
          <w:szCs w:val="26"/>
        </w:rPr>
        <w:t>1/</w:t>
      </w:r>
      <w:r w:rsidR="007B7DEB">
        <w:rPr>
          <w:rFonts w:ascii="Times New Roman" w:hAnsi="Times New Roman" w:cs="Times New Roman"/>
          <w:sz w:val="26"/>
          <w:szCs w:val="26"/>
        </w:rPr>
        <w:t>1.6/</w:t>
      </w:r>
      <w:r w:rsidR="004743AD" w:rsidRPr="004743AD">
        <w:rPr>
          <w:rFonts w:ascii="Times New Roman" w:hAnsi="Times New Roman" w:cs="Times New Roman"/>
          <w:sz w:val="26"/>
          <w:szCs w:val="26"/>
        </w:rPr>
        <w:t>1.6.2</w:t>
      </w:r>
    </w:p>
    <w:p w14:paraId="0DF45B2D" w14:textId="724F79CB" w:rsidR="0066681B" w:rsidRDefault="0066681B" w:rsidP="0066681B">
      <w:pPr>
        <w:pStyle w:val="af5"/>
        <w:shd w:val="clear" w:color="auto" w:fill="FFFFFF"/>
        <w:spacing w:before="120" w:beforeAutospacing="0" w:after="0" w:afterAutospacing="0" w:line="276" w:lineRule="auto"/>
        <w:ind w:firstLine="709"/>
        <w:jc w:val="center"/>
        <w:rPr>
          <w:b/>
          <w:i/>
          <w:sz w:val="26"/>
          <w:szCs w:val="26"/>
        </w:rPr>
      </w:pPr>
      <w:r w:rsidRPr="006164A1">
        <w:rPr>
          <w:b/>
          <w:i/>
          <w:sz w:val="26"/>
          <w:szCs w:val="26"/>
        </w:rPr>
        <w:t>Анализ рыночной информации</w:t>
      </w:r>
    </w:p>
    <w:p w14:paraId="725A7E33" w14:textId="77777777" w:rsidR="0066681B" w:rsidRPr="00B95452" w:rsidRDefault="0066681B" w:rsidP="0066681B">
      <w:pPr>
        <w:spacing w:before="120" w:after="0" w:line="276" w:lineRule="auto"/>
        <w:ind w:firstLine="567"/>
        <w:jc w:val="both"/>
        <w:rPr>
          <w:rFonts w:ascii="Times New Roman" w:hAnsi="Times New Roman" w:cs="Times New Roman"/>
          <w:b/>
          <w:color w:val="FF0000"/>
          <w:sz w:val="26"/>
          <w:szCs w:val="26"/>
        </w:rPr>
      </w:pPr>
      <w:r w:rsidRPr="00AD2968">
        <w:rPr>
          <w:rFonts w:ascii="Times New Roman" w:hAnsi="Times New Roman" w:cs="Times New Roman"/>
          <w:sz w:val="26"/>
          <w:szCs w:val="26"/>
        </w:rPr>
        <w:t>Далее представлена информация о предложениях (сделках) сегмента «Предпринимательство» на рынке недвижимости Воронежской области. Основное количество сосредоточено непосредственно в г.</w:t>
      </w:r>
      <w:r>
        <w:rPr>
          <w:rFonts w:ascii="Times New Roman" w:hAnsi="Times New Roman" w:cs="Times New Roman"/>
          <w:sz w:val="26"/>
          <w:szCs w:val="26"/>
        </w:rPr>
        <w:t>о.г.</w:t>
      </w:r>
      <w:r w:rsidRPr="00AD2968">
        <w:rPr>
          <w:rFonts w:ascii="Times New Roman" w:hAnsi="Times New Roman" w:cs="Times New Roman"/>
          <w:sz w:val="26"/>
          <w:szCs w:val="26"/>
        </w:rPr>
        <w:t xml:space="preserve"> Воронеж </w:t>
      </w:r>
      <w:r>
        <w:rPr>
          <w:rFonts w:ascii="Times New Roman" w:hAnsi="Times New Roman" w:cs="Times New Roman"/>
          <w:sz w:val="26"/>
          <w:szCs w:val="26"/>
        </w:rPr>
        <w:t>–</w:t>
      </w:r>
      <w:r w:rsidRPr="00AD2968">
        <w:rPr>
          <w:rFonts w:ascii="Times New Roman" w:hAnsi="Times New Roman" w:cs="Times New Roman"/>
          <w:sz w:val="26"/>
          <w:szCs w:val="26"/>
        </w:rPr>
        <w:t xml:space="preserve"> </w:t>
      </w:r>
      <w:r>
        <w:rPr>
          <w:rFonts w:ascii="Times New Roman" w:hAnsi="Times New Roman" w:cs="Times New Roman"/>
          <w:sz w:val="26"/>
          <w:szCs w:val="26"/>
        </w:rPr>
        <w:t>24,26</w:t>
      </w:r>
      <w:r w:rsidRPr="00AD2968">
        <w:rPr>
          <w:rFonts w:ascii="Times New Roman" w:hAnsi="Times New Roman" w:cs="Times New Roman"/>
          <w:sz w:val="26"/>
          <w:szCs w:val="26"/>
        </w:rPr>
        <w:t>% от общего количества предложений (сделок) по региону.</w:t>
      </w:r>
    </w:p>
    <w:p w14:paraId="14A854DB" w14:textId="77777777" w:rsidR="0066681B" w:rsidRPr="00FD203C" w:rsidRDefault="0066681B" w:rsidP="0066681B">
      <w:pPr>
        <w:spacing w:after="0" w:line="276" w:lineRule="auto"/>
        <w:ind w:firstLine="708"/>
        <w:jc w:val="right"/>
        <w:rPr>
          <w:rFonts w:ascii="Times New Roman" w:hAnsi="Times New Roman" w:cs="Times New Roman"/>
          <w:sz w:val="26"/>
          <w:szCs w:val="26"/>
        </w:rPr>
      </w:pPr>
      <w:r w:rsidRPr="00FD203C">
        <w:rPr>
          <w:rFonts w:ascii="Times New Roman" w:hAnsi="Times New Roman" w:cs="Times New Roman"/>
          <w:sz w:val="26"/>
          <w:szCs w:val="26"/>
        </w:rPr>
        <w:t xml:space="preserve">Таблица </w:t>
      </w:r>
      <w:r w:rsidRPr="003E138A">
        <w:rPr>
          <w:rFonts w:ascii="Times New Roman" w:hAnsi="Times New Roman" w:cs="Times New Roman"/>
          <w:sz w:val="26"/>
          <w:szCs w:val="26"/>
        </w:rPr>
        <w:t>3.1.3.4.2</w:t>
      </w:r>
    </w:p>
    <w:p w14:paraId="18CBFF72" w14:textId="77777777" w:rsidR="0066681B" w:rsidRPr="00AD2968" w:rsidRDefault="0066681B" w:rsidP="0066681B">
      <w:pPr>
        <w:spacing w:after="0" w:line="276" w:lineRule="auto"/>
        <w:ind w:firstLine="708"/>
        <w:jc w:val="center"/>
        <w:rPr>
          <w:rFonts w:ascii="Times New Roman" w:hAnsi="Times New Roman" w:cs="Times New Roman"/>
          <w:sz w:val="26"/>
          <w:szCs w:val="26"/>
        </w:rPr>
      </w:pPr>
      <w:r w:rsidRPr="00AD2968">
        <w:rPr>
          <w:rFonts w:ascii="Times New Roman" w:hAnsi="Times New Roman" w:cs="Times New Roman"/>
          <w:sz w:val="26"/>
          <w:szCs w:val="26"/>
        </w:rPr>
        <w:t xml:space="preserve">Анализ рыночной информации </w:t>
      </w:r>
      <w:r>
        <w:rPr>
          <w:rFonts w:ascii="Times New Roman" w:hAnsi="Times New Roman" w:cs="Times New Roman"/>
          <w:sz w:val="26"/>
          <w:szCs w:val="26"/>
        </w:rPr>
        <w:t xml:space="preserve">по земельным участкам </w:t>
      </w:r>
      <w:r w:rsidRPr="00AD2968">
        <w:rPr>
          <w:rFonts w:ascii="Times New Roman" w:hAnsi="Times New Roman" w:cs="Times New Roman"/>
          <w:sz w:val="26"/>
          <w:szCs w:val="26"/>
        </w:rPr>
        <w:t>сегмента «Предпринимательство»</w:t>
      </w:r>
      <w:r>
        <w:rPr>
          <w:rFonts w:ascii="Times New Roman" w:hAnsi="Times New Roman" w:cs="Times New Roman"/>
          <w:sz w:val="26"/>
          <w:szCs w:val="26"/>
        </w:rPr>
        <w:t xml:space="preserve"> </w:t>
      </w:r>
    </w:p>
    <w:tbl>
      <w:tblPr>
        <w:tblW w:w="91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842"/>
        <w:gridCol w:w="1843"/>
        <w:gridCol w:w="1985"/>
        <w:gridCol w:w="1545"/>
      </w:tblGrid>
      <w:tr w:rsidR="0066681B" w:rsidRPr="00E538C4" w14:paraId="23BE9ED1" w14:textId="77777777" w:rsidTr="00BC745E">
        <w:trPr>
          <w:trHeight w:val="539"/>
        </w:trPr>
        <w:tc>
          <w:tcPr>
            <w:tcW w:w="2127" w:type="dxa"/>
            <w:vMerge w:val="restart"/>
            <w:shd w:val="clear" w:color="auto" w:fill="auto"/>
            <w:vAlign w:val="center"/>
            <w:hideMark/>
          </w:tcPr>
          <w:p w14:paraId="6513807E" w14:textId="77777777" w:rsidR="0066681B" w:rsidRPr="00E538C4" w:rsidRDefault="0066681B" w:rsidP="00BC745E">
            <w:pPr>
              <w:spacing w:after="0" w:line="240" w:lineRule="auto"/>
              <w:jc w:val="center"/>
              <w:rPr>
                <w:rFonts w:ascii="Times New Roman" w:eastAsia="Times New Roman" w:hAnsi="Times New Roman" w:cs="Times New Roman"/>
                <w:b/>
                <w:color w:val="000000"/>
                <w:lang w:eastAsia="ru-RU"/>
              </w:rPr>
            </w:pPr>
            <w:r w:rsidRPr="00E538C4">
              <w:rPr>
                <w:rFonts w:ascii="Times New Roman" w:eastAsia="Times New Roman" w:hAnsi="Times New Roman" w:cs="Times New Roman"/>
                <w:b/>
                <w:color w:val="000000"/>
                <w:lang w:eastAsia="ru-RU"/>
              </w:rPr>
              <w:t>Наименование района</w:t>
            </w:r>
          </w:p>
        </w:tc>
        <w:tc>
          <w:tcPr>
            <w:tcW w:w="5670" w:type="dxa"/>
            <w:gridSpan w:val="3"/>
            <w:shd w:val="clear" w:color="auto" w:fill="auto"/>
            <w:vAlign w:val="center"/>
            <w:hideMark/>
          </w:tcPr>
          <w:p w14:paraId="383557F0" w14:textId="77777777" w:rsidR="0066681B" w:rsidRPr="00E538C4" w:rsidRDefault="0066681B" w:rsidP="00BC745E">
            <w:pPr>
              <w:spacing w:after="0" w:line="240" w:lineRule="auto"/>
              <w:jc w:val="center"/>
              <w:rPr>
                <w:rFonts w:ascii="Times New Roman" w:eastAsia="Times New Roman" w:hAnsi="Times New Roman" w:cs="Times New Roman"/>
                <w:b/>
                <w:color w:val="000000"/>
                <w:lang w:eastAsia="ru-RU"/>
              </w:rPr>
            </w:pPr>
            <w:r w:rsidRPr="00E538C4">
              <w:rPr>
                <w:rFonts w:ascii="Times New Roman" w:eastAsia="Times New Roman" w:hAnsi="Times New Roman" w:cs="Times New Roman"/>
                <w:b/>
                <w:color w:val="000000"/>
                <w:lang w:eastAsia="ru-RU"/>
              </w:rPr>
              <w:t>Удельный показатель рыночной стоимости, руб./кв.м</w:t>
            </w:r>
          </w:p>
        </w:tc>
        <w:tc>
          <w:tcPr>
            <w:tcW w:w="1402" w:type="dxa"/>
            <w:vMerge w:val="restart"/>
            <w:shd w:val="clear" w:color="auto" w:fill="auto"/>
            <w:vAlign w:val="center"/>
            <w:hideMark/>
          </w:tcPr>
          <w:p w14:paraId="717B56D2" w14:textId="77777777" w:rsidR="0066681B" w:rsidRPr="00E538C4" w:rsidRDefault="0066681B" w:rsidP="00BC745E">
            <w:pPr>
              <w:spacing w:after="0" w:line="240" w:lineRule="auto"/>
              <w:jc w:val="center"/>
              <w:rPr>
                <w:rFonts w:ascii="Times New Roman" w:eastAsia="Times New Roman" w:hAnsi="Times New Roman" w:cs="Times New Roman"/>
                <w:b/>
                <w:color w:val="000000"/>
                <w:lang w:eastAsia="ru-RU"/>
              </w:rPr>
            </w:pPr>
            <w:r w:rsidRPr="00E538C4">
              <w:rPr>
                <w:rFonts w:ascii="Times New Roman" w:eastAsia="Times New Roman" w:hAnsi="Times New Roman" w:cs="Times New Roman"/>
                <w:b/>
                <w:color w:val="000000"/>
                <w:lang w:eastAsia="ru-RU"/>
              </w:rPr>
              <w:t>Количество предложений (сделок)</w:t>
            </w:r>
          </w:p>
        </w:tc>
      </w:tr>
      <w:tr w:rsidR="0066681B" w:rsidRPr="00E538C4" w14:paraId="2FF84CA6" w14:textId="77777777" w:rsidTr="00BC745E">
        <w:trPr>
          <w:trHeight w:val="600"/>
        </w:trPr>
        <w:tc>
          <w:tcPr>
            <w:tcW w:w="2127" w:type="dxa"/>
            <w:vMerge/>
            <w:vAlign w:val="center"/>
            <w:hideMark/>
          </w:tcPr>
          <w:p w14:paraId="62DF7A63"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p>
        </w:tc>
        <w:tc>
          <w:tcPr>
            <w:tcW w:w="1842" w:type="dxa"/>
            <w:shd w:val="clear" w:color="auto" w:fill="auto"/>
            <w:noWrap/>
            <w:vAlign w:val="center"/>
            <w:hideMark/>
          </w:tcPr>
          <w:p w14:paraId="3267063A" w14:textId="77777777" w:rsidR="0066681B" w:rsidRPr="00E538C4" w:rsidRDefault="0066681B" w:rsidP="00BC745E">
            <w:pPr>
              <w:spacing w:after="0" w:line="240" w:lineRule="auto"/>
              <w:jc w:val="center"/>
              <w:rPr>
                <w:rFonts w:ascii="Times New Roman" w:eastAsia="Times New Roman" w:hAnsi="Times New Roman" w:cs="Times New Roman"/>
                <w:b/>
                <w:bCs/>
                <w:color w:val="000000"/>
                <w:lang w:eastAsia="ru-RU"/>
              </w:rPr>
            </w:pPr>
            <w:r w:rsidRPr="00E538C4">
              <w:rPr>
                <w:rFonts w:ascii="Times New Roman" w:eastAsia="Times New Roman" w:hAnsi="Times New Roman" w:cs="Times New Roman"/>
                <w:b/>
                <w:bCs/>
                <w:color w:val="000000"/>
                <w:lang w:eastAsia="ru-RU"/>
              </w:rPr>
              <w:t>Минимальное значение</w:t>
            </w:r>
          </w:p>
        </w:tc>
        <w:tc>
          <w:tcPr>
            <w:tcW w:w="1843" w:type="dxa"/>
            <w:shd w:val="clear" w:color="auto" w:fill="auto"/>
            <w:noWrap/>
            <w:vAlign w:val="center"/>
            <w:hideMark/>
          </w:tcPr>
          <w:p w14:paraId="3566A5E1" w14:textId="77777777" w:rsidR="0066681B" w:rsidRPr="00E538C4" w:rsidRDefault="0066681B" w:rsidP="00BC745E">
            <w:pPr>
              <w:spacing w:after="0" w:line="240" w:lineRule="auto"/>
              <w:jc w:val="center"/>
              <w:rPr>
                <w:rFonts w:ascii="Times New Roman" w:eastAsia="Times New Roman" w:hAnsi="Times New Roman" w:cs="Times New Roman"/>
                <w:b/>
                <w:bCs/>
                <w:color w:val="000000"/>
                <w:lang w:eastAsia="ru-RU"/>
              </w:rPr>
            </w:pPr>
            <w:r w:rsidRPr="00E538C4">
              <w:rPr>
                <w:rFonts w:ascii="Times New Roman" w:eastAsia="Times New Roman" w:hAnsi="Times New Roman" w:cs="Times New Roman"/>
                <w:b/>
                <w:bCs/>
                <w:color w:val="000000"/>
                <w:lang w:eastAsia="ru-RU"/>
              </w:rPr>
              <w:t>Среднее значение</w:t>
            </w:r>
          </w:p>
        </w:tc>
        <w:tc>
          <w:tcPr>
            <w:tcW w:w="1985" w:type="dxa"/>
            <w:shd w:val="clear" w:color="auto" w:fill="auto"/>
            <w:noWrap/>
            <w:vAlign w:val="center"/>
            <w:hideMark/>
          </w:tcPr>
          <w:p w14:paraId="3DF6752A" w14:textId="77777777" w:rsidR="0066681B" w:rsidRPr="00E538C4" w:rsidRDefault="0066681B" w:rsidP="00BC745E">
            <w:pPr>
              <w:spacing w:after="0" w:line="240" w:lineRule="auto"/>
              <w:jc w:val="center"/>
              <w:rPr>
                <w:rFonts w:ascii="Times New Roman" w:eastAsia="Times New Roman" w:hAnsi="Times New Roman" w:cs="Times New Roman"/>
                <w:b/>
                <w:bCs/>
                <w:color w:val="000000"/>
                <w:lang w:eastAsia="ru-RU"/>
              </w:rPr>
            </w:pPr>
            <w:r w:rsidRPr="00E538C4">
              <w:rPr>
                <w:rFonts w:ascii="Times New Roman" w:eastAsia="Times New Roman" w:hAnsi="Times New Roman" w:cs="Times New Roman"/>
                <w:b/>
                <w:bCs/>
                <w:color w:val="000000"/>
                <w:lang w:eastAsia="ru-RU"/>
              </w:rPr>
              <w:t>Максимальное значение</w:t>
            </w:r>
          </w:p>
        </w:tc>
        <w:tc>
          <w:tcPr>
            <w:tcW w:w="1402" w:type="dxa"/>
            <w:vMerge/>
            <w:vAlign w:val="center"/>
            <w:hideMark/>
          </w:tcPr>
          <w:p w14:paraId="32F9B097"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p>
        </w:tc>
      </w:tr>
      <w:tr w:rsidR="0066681B" w:rsidRPr="00E538C4" w14:paraId="2CC4D56F" w14:textId="77777777" w:rsidTr="00BC745E">
        <w:trPr>
          <w:trHeight w:val="300"/>
        </w:trPr>
        <w:tc>
          <w:tcPr>
            <w:tcW w:w="2127" w:type="dxa"/>
            <w:shd w:val="clear" w:color="auto" w:fill="auto"/>
            <w:noWrap/>
            <w:vAlign w:val="bottom"/>
            <w:hideMark/>
          </w:tcPr>
          <w:p w14:paraId="63A15432"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Аннинский</w:t>
            </w:r>
          </w:p>
        </w:tc>
        <w:tc>
          <w:tcPr>
            <w:tcW w:w="1842" w:type="dxa"/>
            <w:shd w:val="clear" w:color="auto" w:fill="auto"/>
            <w:noWrap/>
            <w:vAlign w:val="bottom"/>
          </w:tcPr>
          <w:p w14:paraId="3F27DE7A"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17,66</w:t>
            </w:r>
          </w:p>
        </w:tc>
        <w:tc>
          <w:tcPr>
            <w:tcW w:w="1843" w:type="dxa"/>
            <w:shd w:val="clear" w:color="auto" w:fill="auto"/>
            <w:noWrap/>
            <w:vAlign w:val="bottom"/>
          </w:tcPr>
          <w:p w14:paraId="778EBFC4"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1 329,67</w:t>
            </w:r>
          </w:p>
        </w:tc>
        <w:tc>
          <w:tcPr>
            <w:tcW w:w="1985" w:type="dxa"/>
            <w:shd w:val="clear" w:color="auto" w:fill="auto"/>
            <w:noWrap/>
            <w:vAlign w:val="bottom"/>
          </w:tcPr>
          <w:p w14:paraId="3A5FAD0D"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5 057,85</w:t>
            </w:r>
          </w:p>
        </w:tc>
        <w:tc>
          <w:tcPr>
            <w:tcW w:w="1402" w:type="dxa"/>
            <w:shd w:val="clear" w:color="auto" w:fill="auto"/>
            <w:noWrap/>
            <w:vAlign w:val="bottom"/>
            <w:hideMark/>
          </w:tcPr>
          <w:p w14:paraId="037EA677"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32</w:t>
            </w:r>
          </w:p>
        </w:tc>
      </w:tr>
      <w:tr w:rsidR="0066681B" w:rsidRPr="00E538C4" w14:paraId="15274D4C" w14:textId="77777777" w:rsidTr="00BC745E">
        <w:trPr>
          <w:trHeight w:val="300"/>
        </w:trPr>
        <w:tc>
          <w:tcPr>
            <w:tcW w:w="2127" w:type="dxa"/>
            <w:shd w:val="clear" w:color="auto" w:fill="auto"/>
            <w:noWrap/>
            <w:vAlign w:val="bottom"/>
            <w:hideMark/>
          </w:tcPr>
          <w:p w14:paraId="163CD1A1"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Бобровский</w:t>
            </w:r>
          </w:p>
        </w:tc>
        <w:tc>
          <w:tcPr>
            <w:tcW w:w="1842" w:type="dxa"/>
            <w:shd w:val="clear" w:color="auto" w:fill="auto"/>
            <w:noWrap/>
            <w:vAlign w:val="bottom"/>
          </w:tcPr>
          <w:p w14:paraId="3642B9D9"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27,90</w:t>
            </w:r>
          </w:p>
        </w:tc>
        <w:tc>
          <w:tcPr>
            <w:tcW w:w="1843" w:type="dxa"/>
            <w:shd w:val="clear" w:color="auto" w:fill="auto"/>
            <w:noWrap/>
            <w:vAlign w:val="bottom"/>
          </w:tcPr>
          <w:p w14:paraId="38E081B0"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1 891,62</w:t>
            </w:r>
          </w:p>
        </w:tc>
        <w:tc>
          <w:tcPr>
            <w:tcW w:w="1985" w:type="dxa"/>
            <w:shd w:val="clear" w:color="auto" w:fill="auto"/>
            <w:noWrap/>
            <w:vAlign w:val="bottom"/>
          </w:tcPr>
          <w:p w14:paraId="17DC1E32"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13 421,05</w:t>
            </w:r>
          </w:p>
        </w:tc>
        <w:tc>
          <w:tcPr>
            <w:tcW w:w="1402" w:type="dxa"/>
            <w:shd w:val="clear" w:color="auto" w:fill="auto"/>
            <w:noWrap/>
            <w:vAlign w:val="bottom"/>
            <w:hideMark/>
          </w:tcPr>
          <w:p w14:paraId="727F3529"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34</w:t>
            </w:r>
          </w:p>
        </w:tc>
      </w:tr>
      <w:tr w:rsidR="0066681B" w:rsidRPr="00E538C4" w14:paraId="12C8DD91" w14:textId="77777777" w:rsidTr="00BC745E">
        <w:trPr>
          <w:trHeight w:val="300"/>
        </w:trPr>
        <w:tc>
          <w:tcPr>
            <w:tcW w:w="2127" w:type="dxa"/>
            <w:shd w:val="clear" w:color="auto" w:fill="auto"/>
            <w:noWrap/>
            <w:vAlign w:val="bottom"/>
            <w:hideMark/>
          </w:tcPr>
          <w:p w14:paraId="1FCD2990"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Богучарский</w:t>
            </w:r>
          </w:p>
        </w:tc>
        <w:tc>
          <w:tcPr>
            <w:tcW w:w="1842" w:type="dxa"/>
            <w:shd w:val="clear" w:color="auto" w:fill="auto"/>
            <w:noWrap/>
            <w:vAlign w:val="bottom"/>
          </w:tcPr>
          <w:p w14:paraId="1CC041B2"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37,37</w:t>
            </w:r>
          </w:p>
        </w:tc>
        <w:tc>
          <w:tcPr>
            <w:tcW w:w="1843" w:type="dxa"/>
            <w:shd w:val="clear" w:color="auto" w:fill="auto"/>
            <w:noWrap/>
            <w:vAlign w:val="bottom"/>
          </w:tcPr>
          <w:p w14:paraId="16A50EFA"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1 809,10</w:t>
            </w:r>
          </w:p>
        </w:tc>
        <w:tc>
          <w:tcPr>
            <w:tcW w:w="1985" w:type="dxa"/>
            <w:shd w:val="clear" w:color="auto" w:fill="auto"/>
            <w:noWrap/>
            <w:vAlign w:val="bottom"/>
          </w:tcPr>
          <w:p w14:paraId="553C40F8"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14 857,14</w:t>
            </w:r>
          </w:p>
        </w:tc>
        <w:tc>
          <w:tcPr>
            <w:tcW w:w="1402" w:type="dxa"/>
            <w:shd w:val="clear" w:color="auto" w:fill="auto"/>
            <w:noWrap/>
            <w:vAlign w:val="bottom"/>
            <w:hideMark/>
          </w:tcPr>
          <w:p w14:paraId="0395541F"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35</w:t>
            </w:r>
          </w:p>
        </w:tc>
      </w:tr>
      <w:tr w:rsidR="0066681B" w:rsidRPr="00E538C4" w14:paraId="3725D24B" w14:textId="77777777" w:rsidTr="00BC745E">
        <w:trPr>
          <w:trHeight w:val="300"/>
        </w:trPr>
        <w:tc>
          <w:tcPr>
            <w:tcW w:w="2127" w:type="dxa"/>
            <w:shd w:val="clear" w:color="auto" w:fill="auto"/>
            <w:noWrap/>
            <w:vAlign w:val="bottom"/>
            <w:hideMark/>
          </w:tcPr>
          <w:p w14:paraId="3EE8AEE9"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Борисоглебский</w:t>
            </w:r>
          </w:p>
        </w:tc>
        <w:tc>
          <w:tcPr>
            <w:tcW w:w="1842" w:type="dxa"/>
            <w:shd w:val="clear" w:color="auto" w:fill="auto"/>
            <w:noWrap/>
            <w:vAlign w:val="bottom"/>
          </w:tcPr>
          <w:p w14:paraId="7F8AF310"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52,85</w:t>
            </w:r>
          </w:p>
        </w:tc>
        <w:tc>
          <w:tcPr>
            <w:tcW w:w="1843" w:type="dxa"/>
            <w:shd w:val="clear" w:color="auto" w:fill="auto"/>
            <w:noWrap/>
            <w:vAlign w:val="bottom"/>
          </w:tcPr>
          <w:p w14:paraId="109BA586"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4 647,80</w:t>
            </w:r>
          </w:p>
        </w:tc>
        <w:tc>
          <w:tcPr>
            <w:tcW w:w="1985" w:type="dxa"/>
            <w:shd w:val="clear" w:color="auto" w:fill="auto"/>
            <w:noWrap/>
            <w:vAlign w:val="bottom"/>
          </w:tcPr>
          <w:p w14:paraId="3E29D122"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33 482,80</w:t>
            </w:r>
          </w:p>
        </w:tc>
        <w:tc>
          <w:tcPr>
            <w:tcW w:w="1402" w:type="dxa"/>
            <w:shd w:val="clear" w:color="auto" w:fill="auto"/>
            <w:noWrap/>
            <w:vAlign w:val="bottom"/>
            <w:hideMark/>
          </w:tcPr>
          <w:p w14:paraId="6548DBD1"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31</w:t>
            </w:r>
          </w:p>
        </w:tc>
      </w:tr>
      <w:tr w:rsidR="0066681B" w:rsidRPr="00E538C4" w14:paraId="421609AB" w14:textId="77777777" w:rsidTr="00BC745E">
        <w:trPr>
          <w:trHeight w:val="300"/>
        </w:trPr>
        <w:tc>
          <w:tcPr>
            <w:tcW w:w="2127" w:type="dxa"/>
            <w:shd w:val="clear" w:color="auto" w:fill="auto"/>
            <w:noWrap/>
            <w:vAlign w:val="bottom"/>
            <w:hideMark/>
          </w:tcPr>
          <w:p w14:paraId="41015A44"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Бутурлиновский</w:t>
            </w:r>
          </w:p>
        </w:tc>
        <w:tc>
          <w:tcPr>
            <w:tcW w:w="1842" w:type="dxa"/>
            <w:shd w:val="clear" w:color="auto" w:fill="auto"/>
            <w:noWrap/>
            <w:vAlign w:val="bottom"/>
          </w:tcPr>
          <w:p w14:paraId="6BF0C66E"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41,12</w:t>
            </w:r>
          </w:p>
        </w:tc>
        <w:tc>
          <w:tcPr>
            <w:tcW w:w="1843" w:type="dxa"/>
            <w:shd w:val="clear" w:color="auto" w:fill="auto"/>
            <w:noWrap/>
            <w:vAlign w:val="bottom"/>
          </w:tcPr>
          <w:p w14:paraId="0EF9611A"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1 909,21</w:t>
            </w:r>
          </w:p>
        </w:tc>
        <w:tc>
          <w:tcPr>
            <w:tcW w:w="1985" w:type="dxa"/>
            <w:shd w:val="clear" w:color="auto" w:fill="auto"/>
            <w:noWrap/>
            <w:vAlign w:val="bottom"/>
          </w:tcPr>
          <w:p w14:paraId="100ECEBB"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7 968,75</w:t>
            </w:r>
          </w:p>
        </w:tc>
        <w:tc>
          <w:tcPr>
            <w:tcW w:w="1402" w:type="dxa"/>
            <w:shd w:val="clear" w:color="auto" w:fill="auto"/>
            <w:noWrap/>
            <w:vAlign w:val="bottom"/>
            <w:hideMark/>
          </w:tcPr>
          <w:p w14:paraId="231D9CD3"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31</w:t>
            </w:r>
          </w:p>
        </w:tc>
      </w:tr>
      <w:tr w:rsidR="0066681B" w:rsidRPr="00E538C4" w14:paraId="5C144141" w14:textId="77777777" w:rsidTr="00BC745E">
        <w:trPr>
          <w:trHeight w:val="300"/>
        </w:trPr>
        <w:tc>
          <w:tcPr>
            <w:tcW w:w="2127" w:type="dxa"/>
            <w:shd w:val="clear" w:color="auto" w:fill="auto"/>
            <w:noWrap/>
            <w:vAlign w:val="bottom"/>
            <w:hideMark/>
          </w:tcPr>
          <w:p w14:paraId="627DB5BE"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Верхнемамонский</w:t>
            </w:r>
          </w:p>
        </w:tc>
        <w:tc>
          <w:tcPr>
            <w:tcW w:w="1842" w:type="dxa"/>
            <w:shd w:val="clear" w:color="auto" w:fill="auto"/>
            <w:noWrap/>
            <w:vAlign w:val="bottom"/>
          </w:tcPr>
          <w:p w14:paraId="0BB224F3"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23,61</w:t>
            </w:r>
          </w:p>
        </w:tc>
        <w:tc>
          <w:tcPr>
            <w:tcW w:w="1843" w:type="dxa"/>
            <w:shd w:val="clear" w:color="auto" w:fill="auto"/>
            <w:noWrap/>
            <w:vAlign w:val="bottom"/>
          </w:tcPr>
          <w:p w14:paraId="4C403978"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3 826,81</w:t>
            </w:r>
          </w:p>
        </w:tc>
        <w:tc>
          <w:tcPr>
            <w:tcW w:w="1985" w:type="dxa"/>
            <w:shd w:val="clear" w:color="auto" w:fill="auto"/>
            <w:noWrap/>
            <w:vAlign w:val="bottom"/>
          </w:tcPr>
          <w:p w14:paraId="56E99D77"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16 276,60</w:t>
            </w:r>
          </w:p>
        </w:tc>
        <w:tc>
          <w:tcPr>
            <w:tcW w:w="1402" w:type="dxa"/>
            <w:shd w:val="clear" w:color="auto" w:fill="auto"/>
            <w:noWrap/>
            <w:vAlign w:val="bottom"/>
            <w:hideMark/>
          </w:tcPr>
          <w:p w14:paraId="5B4AB525"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11</w:t>
            </w:r>
          </w:p>
        </w:tc>
      </w:tr>
      <w:tr w:rsidR="0066681B" w:rsidRPr="00E538C4" w14:paraId="617E5CC0" w14:textId="77777777" w:rsidTr="00BC745E">
        <w:trPr>
          <w:trHeight w:val="300"/>
        </w:trPr>
        <w:tc>
          <w:tcPr>
            <w:tcW w:w="2127" w:type="dxa"/>
            <w:shd w:val="clear" w:color="auto" w:fill="auto"/>
            <w:noWrap/>
            <w:vAlign w:val="bottom"/>
            <w:hideMark/>
          </w:tcPr>
          <w:p w14:paraId="10183B46"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Верхнехавский</w:t>
            </w:r>
          </w:p>
        </w:tc>
        <w:tc>
          <w:tcPr>
            <w:tcW w:w="1842" w:type="dxa"/>
            <w:shd w:val="clear" w:color="auto" w:fill="auto"/>
            <w:noWrap/>
            <w:vAlign w:val="bottom"/>
          </w:tcPr>
          <w:p w14:paraId="0CA6AC0C"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139,36</w:t>
            </w:r>
          </w:p>
        </w:tc>
        <w:tc>
          <w:tcPr>
            <w:tcW w:w="1843" w:type="dxa"/>
            <w:shd w:val="clear" w:color="auto" w:fill="auto"/>
            <w:noWrap/>
            <w:vAlign w:val="bottom"/>
          </w:tcPr>
          <w:p w14:paraId="71230400"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2 143,26</w:t>
            </w:r>
          </w:p>
        </w:tc>
        <w:tc>
          <w:tcPr>
            <w:tcW w:w="1985" w:type="dxa"/>
            <w:shd w:val="clear" w:color="auto" w:fill="auto"/>
            <w:noWrap/>
            <w:vAlign w:val="bottom"/>
          </w:tcPr>
          <w:p w14:paraId="675D6451"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5 932,60</w:t>
            </w:r>
          </w:p>
        </w:tc>
        <w:tc>
          <w:tcPr>
            <w:tcW w:w="1402" w:type="dxa"/>
            <w:shd w:val="clear" w:color="auto" w:fill="auto"/>
            <w:noWrap/>
            <w:vAlign w:val="bottom"/>
            <w:hideMark/>
          </w:tcPr>
          <w:p w14:paraId="04DE5C0F"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11</w:t>
            </w:r>
          </w:p>
        </w:tc>
      </w:tr>
      <w:tr w:rsidR="0066681B" w:rsidRPr="00E538C4" w14:paraId="1A17D8A8" w14:textId="77777777" w:rsidTr="00BC745E">
        <w:trPr>
          <w:trHeight w:val="300"/>
        </w:trPr>
        <w:tc>
          <w:tcPr>
            <w:tcW w:w="2127" w:type="dxa"/>
            <w:shd w:val="clear" w:color="auto" w:fill="auto"/>
            <w:noWrap/>
            <w:vAlign w:val="bottom"/>
            <w:hideMark/>
          </w:tcPr>
          <w:p w14:paraId="47B91F85"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Воробьевский</w:t>
            </w:r>
          </w:p>
        </w:tc>
        <w:tc>
          <w:tcPr>
            <w:tcW w:w="1842" w:type="dxa"/>
            <w:shd w:val="clear" w:color="auto" w:fill="auto"/>
            <w:noWrap/>
            <w:vAlign w:val="bottom"/>
          </w:tcPr>
          <w:p w14:paraId="23FB0F21"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12,72</w:t>
            </w:r>
          </w:p>
        </w:tc>
        <w:tc>
          <w:tcPr>
            <w:tcW w:w="1843" w:type="dxa"/>
            <w:shd w:val="clear" w:color="auto" w:fill="auto"/>
            <w:noWrap/>
            <w:vAlign w:val="bottom"/>
          </w:tcPr>
          <w:p w14:paraId="71802859"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205,52</w:t>
            </w:r>
          </w:p>
        </w:tc>
        <w:tc>
          <w:tcPr>
            <w:tcW w:w="1985" w:type="dxa"/>
            <w:shd w:val="clear" w:color="auto" w:fill="auto"/>
            <w:noWrap/>
            <w:vAlign w:val="bottom"/>
          </w:tcPr>
          <w:p w14:paraId="5C98C37C"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388,44</w:t>
            </w:r>
          </w:p>
        </w:tc>
        <w:tc>
          <w:tcPr>
            <w:tcW w:w="1402" w:type="dxa"/>
            <w:shd w:val="clear" w:color="auto" w:fill="auto"/>
            <w:noWrap/>
            <w:vAlign w:val="bottom"/>
            <w:hideMark/>
          </w:tcPr>
          <w:p w14:paraId="6B904E47"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6</w:t>
            </w:r>
          </w:p>
        </w:tc>
      </w:tr>
      <w:tr w:rsidR="0066681B" w:rsidRPr="00E538C4" w14:paraId="667F233A" w14:textId="77777777" w:rsidTr="00BC745E">
        <w:trPr>
          <w:trHeight w:val="300"/>
        </w:trPr>
        <w:tc>
          <w:tcPr>
            <w:tcW w:w="2127" w:type="dxa"/>
            <w:shd w:val="clear" w:color="auto" w:fill="auto"/>
            <w:noWrap/>
            <w:vAlign w:val="bottom"/>
            <w:hideMark/>
          </w:tcPr>
          <w:p w14:paraId="1FDF5703"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 xml:space="preserve">Грибановский </w:t>
            </w:r>
          </w:p>
        </w:tc>
        <w:tc>
          <w:tcPr>
            <w:tcW w:w="1842" w:type="dxa"/>
            <w:shd w:val="clear" w:color="auto" w:fill="auto"/>
            <w:noWrap/>
            <w:vAlign w:val="bottom"/>
          </w:tcPr>
          <w:p w14:paraId="5619C77C"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93,42</w:t>
            </w:r>
          </w:p>
        </w:tc>
        <w:tc>
          <w:tcPr>
            <w:tcW w:w="1843" w:type="dxa"/>
            <w:shd w:val="clear" w:color="auto" w:fill="auto"/>
            <w:noWrap/>
            <w:vAlign w:val="bottom"/>
          </w:tcPr>
          <w:p w14:paraId="3606BF22"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3 298,86</w:t>
            </w:r>
          </w:p>
        </w:tc>
        <w:tc>
          <w:tcPr>
            <w:tcW w:w="1985" w:type="dxa"/>
            <w:shd w:val="clear" w:color="auto" w:fill="auto"/>
            <w:noWrap/>
            <w:vAlign w:val="bottom"/>
          </w:tcPr>
          <w:p w14:paraId="3BDF4216"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15 694,35</w:t>
            </w:r>
          </w:p>
        </w:tc>
        <w:tc>
          <w:tcPr>
            <w:tcW w:w="1402" w:type="dxa"/>
            <w:shd w:val="clear" w:color="auto" w:fill="auto"/>
            <w:noWrap/>
            <w:vAlign w:val="bottom"/>
            <w:hideMark/>
          </w:tcPr>
          <w:p w14:paraId="7EF70B72"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23</w:t>
            </w:r>
          </w:p>
        </w:tc>
      </w:tr>
      <w:tr w:rsidR="0066681B" w:rsidRPr="00E538C4" w14:paraId="5EAD4F9B" w14:textId="77777777" w:rsidTr="00BC745E">
        <w:trPr>
          <w:trHeight w:val="300"/>
        </w:trPr>
        <w:tc>
          <w:tcPr>
            <w:tcW w:w="2127" w:type="dxa"/>
            <w:shd w:val="clear" w:color="auto" w:fill="auto"/>
            <w:noWrap/>
            <w:vAlign w:val="bottom"/>
            <w:hideMark/>
          </w:tcPr>
          <w:p w14:paraId="36774A01"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Калачеевский</w:t>
            </w:r>
          </w:p>
        </w:tc>
        <w:tc>
          <w:tcPr>
            <w:tcW w:w="1842" w:type="dxa"/>
            <w:shd w:val="clear" w:color="auto" w:fill="auto"/>
            <w:noWrap/>
            <w:vAlign w:val="bottom"/>
          </w:tcPr>
          <w:p w14:paraId="195ECB5A"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16,61</w:t>
            </w:r>
          </w:p>
        </w:tc>
        <w:tc>
          <w:tcPr>
            <w:tcW w:w="1843" w:type="dxa"/>
            <w:shd w:val="clear" w:color="auto" w:fill="auto"/>
            <w:noWrap/>
            <w:vAlign w:val="bottom"/>
          </w:tcPr>
          <w:p w14:paraId="64ABFE01"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2 067,89</w:t>
            </w:r>
          </w:p>
        </w:tc>
        <w:tc>
          <w:tcPr>
            <w:tcW w:w="1985" w:type="dxa"/>
            <w:shd w:val="clear" w:color="auto" w:fill="auto"/>
            <w:noWrap/>
            <w:vAlign w:val="bottom"/>
          </w:tcPr>
          <w:p w14:paraId="353C630D"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11 147,67</w:t>
            </w:r>
          </w:p>
        </w:tc>
        <w:tc>
          <w:tcPr>
            <w:tcW w:w="1402" w:type="dxa"/>
            <w:shd w:val="clear" w:color="auto" w:fill="auto"/>
            <w:noWrap/>
            <w:vAlign w:val="bottom"/>
            <w:hideMark/>
          </w:tcPr>
          <w:p w14:paraId="68B0B8C5"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41</w:t>
            </w:r>
          </w:p>
        </w:tc>
      </w:tr>
      <w:tr w:rsidR="0066681B" w:rsidRPr="00E538C4" w14:paraId="1BF8634B" w14:textId="77777777" w:rsidTr="00BC745E">
        <w:trPr>
          <w:trHeight w:val="300"/>
        </w:trPr>
        <w:tc>
          <w:tcPr>
            <w:tcW w:w="2127" w:type="dxa"/>
            <w:shd w:val="clear" w:color="auto" w:fill="auto"/>
            <w:noWrap/>
            <w:vAlign w:val="bottom"/>
            <w:hideMark/>
          </w:tcPr>
          <w:p w14:paraId="39D3D8AE"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Каменский</w:t>
            </w:r>
          </w:p>
        </w:tc>
        <w:tc>
          <w:tcPr>
            <w:tcW w:w="1842" w:type="dxa"/>
            <w:shd w:val="clear" w:color="auto" w:fill="auto"/>
            <w:noWrap/>
            <w:vAlign w:val="bottom"/>
          </w:tcPr>
          <w:p w14:paraId="0F2C7038"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76,31</w:t>
            </w:r>
          </w:p>
        </w:tc>
        <w:tc>
          <w:tcPr>
            <w:tcW w:w="1843" w:type="dxa"/>
            <w:shd w:val="clear" w:color="auto" w:fill="auto"/>
            <w:noWrap/>
            <w:vAlign w:val="bottom"/>
          </w:tcPr>
          <w:p w14:paraId="36D9C220"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1 125,61</w:t>
            </w:r>
          </w:p>
        </w:tc>
        <w:tc>
          <w:tcPr>
            <w:tcW w:w="1985" w:type="dxa"/>
            <w:shd w:val="clear" w:color="auto" w:fill="auto"/>
            <w:noWrap/>
            <w:vAlign w:val="bottom"/>
          </w:tcPr>
          <w:p w14:paraId="5AF91ECA"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3 791,66</w:t>
            </w:r>
          </w:p>
        </w:tc>
        <w:tc>
          <w:tcPr>
            <w:tcW w:w="1402" w:type="dxa"/>
            <w:shd w:val="clear" w:color="auto" w:fill="auto"/>
            <w:noWrap/>
            <w:vAlign w:val="bottom"/>
            <w:hideMark/>
          </w:tcPr>
          <w:p w14:paraId="221F0B12"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6</w:t>
            </w:r>
          </w:p>
        </w:tc>
      </w:tr>
      <w:tr w:rsidR="0066681B" w:rsidRPr="00E538C4" w14:paraId="555EE215" w14:textId="77777777" w:rsidTr="00BC745E">
        <w:trPr>
          <w:trHeight w:val="300"/>
        </w:trPr>
        <w:tc>
          <w:tcPr>
            <w:tcW w:w="2127" w:type="dxa"/>
            <w:shd w:val="clear" w:color="auto" w:fill="auto"/>
            <w:noWrap/>
            <w:vAlign w:val="bottom"/>
            <w:hideMark/>
          </w:tcPr>
          <w:p w14:paraId="2305FF1A"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Кантемировский</w:t>
            </w:r>
          </w:p>
        </w:tc>
        <w:tc>
          <w:tcPr>
            <w:tcW w:w="1842" w:type="dxa"/>
            <w:shd w:val="clear" w:color="auto" w:fill="auto"/>
            <w:noWrap/>
            <w:vAlign w:val="bottom"/>
          </w:tcPr>
          <w:p w14:paraId="38184D88"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99,00</w:t>
            </w:r>
          </w:p>
        </w:tc>
        <w:tc>
          <w:tcPr>
            <w:tcW w:w="1843" w:type="dxa"/>
            <w:shd w:val="clear" w:color="auto" w:fill="auto"/>
            <w:noWrap/>
            <w:vAlign w:val="bottom"/>
          </w:tcPr>
          <w:p w14:paraId="17632004"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840,67</w:t>
            </w:r>
          </w:p>
        </w:tc>
        <w:tc>
          <w:tcPr>
            <w:tcW w:w="1985" w:type="dxa"/>
            <w:shd w:val="clear" w:color="auto" w:fill="auto"/>
            <w:noWrap/>
            <w:vAlign w:val="bottom"/>
          </w:tcPr>
          <w:p w14:paraId="50D0097A"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2 738,70</w:t>
            </w:r>
          </w:p>
        </w:tc>
        <w:tc>
          <w:tcPr>
            <w:tcW w:w="1402" w:type="dxa"/>
            <w:shd w:val="clear" w:color="auto" w:fill="auto"/>
            <w:noWrap/>
            <w:vAlign w:val="bottom"/>
            <w:hideMark/>
          </w:tcPr>
          <w:p w14:paraId="580866DC"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20</w:t>
            </w:r>
          </w:p>
        </w:tc>
      </w:tr>
      <w:tr w:rsidR="0066681B" w:rsidRPr="00E538C4" w14:paraId="23B79727" w14:textId="77777777" w:rsidTr="00BC745E">
        <w:trPr>
          <w:trHeight w:val="300"/>
        </w:trPr>
        <w:tc>
          <w:tcPr>
            <w:tcW w:w="2127" w:type="dxa"/>
            <w:shd w:val="clear" w:color="auto" w:fill="auto"/>
            <w:noWrap/>
            <w:vAlign w:val="bottom"/>
            <w:hideMark/>
          </w:tcPr>
          <w:p w14:paraId="34142981"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Каширский</w:t>
            </w:r>
          </w:p>
        </w:tc>
        <w:tc>
          <w:tcPr>
            <w:tcW w:w="1842" w:type="dxa"/>
            <w:shd w:val="clear" w:color="auto" w:fill="auto"/>
            <w:noWrap/>
            <w:vAlign w:val="bottom"/>
          </w:tcPr>
          <w:p w14:paraId="04890698"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29,74</w:t>
            </w:r>
          </w:p>
        </w:tc>
        <w:tc>
          <w:tcPr>
            <w:tcW w:w="1843" w:type="dxa"/>
            <w:shd w:val="clear" w:color="auto" w:fill="auto"/>
            <w:noWrap/>
            <w:vAlign w:val="bottom"/>
          </w:tcPr>
          <w:p w14:paraId="17CEA8B3"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2 446,33</w:t>
            </w:r>
          </w:p>
        </w:tc>
        <w:tc>
          <w:tcPr>
            <w:tcW w:w="1985" w:type="dxa"/>
            <w:shd w:val="clear" w:color="auto" w:fill="auto"/>
            <w:noWrap/>
            <w:vAlign w:val="bottom"/>
          </w:tcPr>
          <w:p w14:paraId="6E2A8655"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15 802,02</w:t>
            </w:r>
          </w:p>
        </w:tc>
        <w:tc>
          <w:tcPr>
            <w:tcW w:w="1402" w:type="dxa"/>
            <w:shd w:val="clear" w:color="auto" w:fill="auto"/>
            <w:noWrap/>
            <w:vAlign w:val="bottom"/>
            <w:hideMark/>
          </w:tcPr>
          <w:p w14:paraId="70706AA1"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20</w:t>
            </w:r>
          </w:p>
        </w:tc>
      </w:tr>
      <w:tr w:rsidR="0066681B" w:rsidRPr="00E538C4" w14:paraId="1B17D0B2" w14:textId="77777777" w:rsidTr="00BC745E">
        <w:trPr>
          <w:trHeight w:val="300"/>
        </w:trPr>
        <w:tc>
          <w:tcPr>
            <w:tcW w:w="2127" w:type="dxa"/>
            <w:shd w:val="clear" w:color="auto" w:fill="auto"/>
            <w:noWrap/>
            <w:vAlign w:val="bottom"/>
            <w:hideMark/>
          </w:tcPr>
          <w:p w14:paraId="552E85F6"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Лискинский</w:t>
            </w:r>
          </w:p>
        </w:tc>
        <w:tc>
          <w:tcPr>
            <w:tcW w:w="1842" w:type="dxa"/>
            <w:shd w:val="clear" w:color="auto" w:fill="auto"/>
            <w:noWrap/>
            <w:vAlign w:val="bottom"/>
          </w:tcPr>
          <w:p w14:paraId="74D6238D"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19,85</w:t>
            </w:r>
          </w:p>
        </w:tc>
        <w:tc>
          <w:tcPr>
            <w:tcW w:w="1843" w:type="dxa"/>
            <w:shd w:val="clear" w:color="auto" w:fill="auto"/>
            <w:noWrap/>
            <w:vAlign w:val="bottom"/>
          </w:tcPr>
          <w:p w14:paraId="561EDBB9"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2 735,97</w:t>
            </w:r>
          </w:p>
        </w:tc>
        <w:tc>
          <w:tcPr>
            <w:tcW w:w="1985" w:type="dxa"/>
            <w:shd w:val="clear" w:color="auto" w:fill="auto"/>
            <w:noWrap/>
            <w:vAlign w:val="bottom"/>
          </w:tcPr>
          <w:p w14:paraId="78E019A7"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17 000,00</w:t>
            </w:r>
          </w:p>
        </w:tc>
        <w:tc>
          <w:tcPr>
            <w:tcW w:w="1402" w:type="dxa"/>
            <w:shd w:val="clear" w:color="auto" w:fill="auto"/>
            <w:noWrap/>
            <w:vAlign w:val="bottom"/>
            <w:hideMark/>
          </w:tcPr>
          <w:p w14:paraId="48450684"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55</w:t>
            </w:r>
          </w:p>
        </w:tc>
      </w:tr>
      <w:tr w:rsidR="0066681B" w:rsidRPr="00E538C4" w14:paraId="2AB79521" w14:textId="77777777" w:rsidTr="00BC745E">
        <w:trPr>
          <w:trHeight w:val="300"/>
        </w:trPr>
        <w:tc>
          <w:tcPr>
            <w:tcW w:w="2127" w:type="dxa"/>
            <w:shd w:val="clear" w:color="auto" w:fill="auto"/>
            <w:noWrap/>
            <w:vAlign w:val="bottom"/>
            <w:hideMark/>
          </w:tcPr>
          <w:p w14:paraId="7BADEEDD"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Нижнедевицкий</w:t>
            </w:r>
          </w:p>
        </w:tc>
        <w:tc>
          <w:tcPr>
            <w:tcW w:w="1842" w:type="dxa"/>
            <w:shd w:val="clear" w:color="auto" w:fill="auto"/>
            <w:noWrap/>
            <w:vAlign w:val="bottom"/>
          </w:tcPr>
          <w:p w14:paraId="5AB188F2"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59,77</w:t>
            </w:r>
          </w:p>
        </w:tc>
        <w:tc>
          <w:tcPr>
            <w:tcW w:w="1843" w:type="dxa"/>
            <w:shd w:val="clear" w:color="auto" w:fill="auto"/>
            <w:noWrap/>
            <w:vAlign w:val="bottom"/>
          </w:tcPr>
          <w:p w14:paraId="67DFA512"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2 999,97</w:t>
            </w:r>
          </w:p>
        </w:tc>
        <w:tc>
          <w:tcPr>
            <w:tcW w:w="1985" w:type="dxa"/>
            <w:shd w:val="clear" w:color="auto" w:fill="auto"/>
            <w:noWrap/>
            <w:vAlign w:val="bottom"/>
          </w:tcPr>
          <w:p w14:paraId="09CC98BB"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16 022,23</w:t>
            </w:r>
          </w:p>
        </w:tc>
        <w:tc>
          <w:tcPr>
            <w:tcW w:w="1402" w:type="dxa"/>
            <w:shd w:val="clear" w:color="auto" w:fill="auto"/>
            <w:noWrap/>
            <w:vAlign w:val="bottom"/>
            <w:hideMark/>
          </w:tcPr>
          <w:p w14:paraId="090BF4B6"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24</w:t>
            </w:r>
          </w:p>
        </w:tc>
      </w:tr>
      <w:tr w:rsidR="0066681B" w:rsidRPr="00E538C4" w14:paraId="339C1AA3" w14:textId="77777777" w:rsidTr="00BC745E">
        <w:trPr>
          <w:trHeight w:val="300"/>
        </w:trPr>
        <w:tc>
          <w:tcPr>
            <w:tcW w:w="2127" w:type="dxa"/>
            <w:shd w:val="clear" w:color="auto" w:fill="auto"/>
            <w:noWrap/>
            <w:vAlign w:val="bottom"/>
            <w:hideMark/>
          </w:tcPr>
          <w:p w14:paraId="5FE0D081"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Новоусманский</w:t>
            </w:r>
          </w:p>
        </w:tc>
        <w:tc>
          <w:tcPr>
            <w:tcW w:w="1842" w:type="dxa"/>
            <w:shd w:val="clear" w:color="auto" w:fill="auto"/>
            <w:noWrap/>
            <w:vAlign w:val="bottom"/>
          </w:tcPr>
          <w:p w14:paraId="4EABC392"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54,33</w:t>
            </w:r>
          </w:p>
        </w:tc>
        <w:tc>
          <w:tcPr>
            <w:tcW w:w="1843" w:type="dxa"/>
            <w:shd w:val="clear" w:color="auto" w:fill="auto"/>
            <w:noWrap/>
            <w:vAlign w:val="bottom"/>
          </w:tcPr>
          <w:p w14:paraId="2E7AA8A8"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3 506,67</w:t>
            </w:r>
          </w:p>
        </w:tc>
        <w:tc>
          <w:tcPr>
            <w:tcW w:w="1985" w:type="dxa"/>
            <w:shd w:val="clear" w:color="auto" w:fill="auto"/>
            <w:noWrap/>
            <w:vAlign w:val="bottom"/>
          </w:tcPr>
          <w:p w14:paraId="32A50F19"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58 580,00</w:t>
            </w:r>
          </w:p>
        </w:tc>
        <w:tc>
          <w:tcPr>
            <w:tcW w:w="1402" w:type="dxa"/>
            <w:shd w:val="clear" w:color="auto" w:fill="auto"/>
            <w:noWrap/>
            <w:vAlign w:val="bottom"/>
            <w:hideMark/>
          </w:tcPr>
          <w:p w14:paraId="0140F24D"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97</w:t>
            </w:r>
          </w:p>
        </w:tc>
      </w:tr>
      <w:tr w:rsidR="0066681B" w:rsidRPr="00E538C4" w14:paraId="7B741B3D" w14:textId="77777777" w:rsidTr="00BC745E">
        <w:trPr>
          <w:trHeight w:val="300"/>
        </w:trPr>
        <w:tc>
          <w:tcPr>
            <w:tcW w:w="2127" w:type="dxa"/>
            <w:shd w:val="clear" w:color="auto" w:fill="auto"/>
            <w:noWrap/>
            <w:vAlign w:val="bottom"/>
            <w:hideMark/>
          </w:tcPr>
          <w:p w14:paraId="06B6AE92"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Новохоперский</w:t>
            </w:r>
          </w:p>
        </w:tc>
        <w:tc>
          <w:tcPr>
            <w:tcW w:w="1842" w:type="dxa"/>
            <w:shd w:val="clear" w:color="auto" w:fill="auto"/>
            <w:noWrap/>
            <w:vAlign w:val="bottom"/>
          </w:tcPr>
          <w:p w14:paraId="2953BD5E"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13,13</w:t>
            </w:r>
          </w:p>
        </w:tc>
        <w:tc>
          <w:tcPr>
            <w:tcW w:w="1843" w:type="dxa"/>
            <w:shd w:val="clear" w:color="auto" w:fill="auto"/>
            <w:noWrap/>
            <w:vAlign w:val="bottom"/>
          </w:tcPr>
          <w:p w14:paraId="0C948253"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3 116,33</w:t>
            </w:r>
          </w:p>
        </w:tc>
        <w:tc>
          <w:tcPr>
            <w:tcW w:w="1985" w:type="dxa"/>
            <w:shd w:val="clear" w:color="auto" w:fill="auto"/>
            <w:noWrap/>
            <w:vAlign w:val="bottom"/>
          </w:tcPr>
          <w:p w14:paraId="38586AB4"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57 047,30</w:t>
            </w:r>
          </w:p>
        </w:tc>
        <w:tc>
          <w:tcPr>
            <w:tcW w:w="1402" w:type="dxa"/>
            <w:shd w:val="clear" w:color="auto" w:fill="auto"/>
            <w:noWrap/>
            <w:vAlign w:val="bottom"/>
            <w:hideMark/>
          </w:tcPr>
          <w:p w14:paraId="33025498"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30</w:t>
            </w:r>
          </w:p>
        </w:tc>
      </w:tr>
      <w:tr w:rsidR="0066681B" w:rsidRPr="00E538C4" w14:paraId="581459D8" w14:textId="77777777" w:rsidTr="00BC745E">
        <w:trPr>
          <w:trHeight w:val="300"/>
        </w:trPr>
        <w:tc>
          <w:tcPr>
            <w:tcW w:w="2127" w:type="dxa"/>
            <w:shd w:val="clear" w:color="auto" w:fill="auto"/>
            <w:noWrap/>
            <w:vAlign w:val="bottom"/>
            <w:hideMark/>
          </w:tcPr>
          <w:p w14:paraId="3045F310"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Ольховатский</w:t>
            </w:r>
          </w:p>
        </w:tc>
        <w:tc>
          <w:tcPr>
            <w:tcW w:w="1842" w:type="dxa"/>
            <w:shd w:val="clear" w:color="auto" w:fill="auto"/>
            <w:noWrap/>
            <w:vAlign w:val="bottom"/>
          </w:tcPr>
          <w:p w14:paraId="068A890E"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124,08</w:t>
            </w:r>
          </w:p>
        </w:tc>
        <w:tc>
          <w:tcPr>
            <w:tcW w:w="1843" w:type="dxa"/>
            <w:shd w:val="clear" w:color="auto" w:fill="auto"/>
            <w:noWrap/>
            <w:vAlign w:val="bottom"/>
          </w:tcPr>
          <w:p w14:paraId="0BB88234"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2 142,93</w:t>
            </w:r>
          </w:p>
        </w:tc>
        <w:tc>
          <w:tcPr>
            <w:tcW w:w="1985" w:type="dxa"/>
            <w:shd w:val="clear" w:color="auto" w:fill="auto"/>
            <w:noWrap/>
            <w:vAlign w:val="bottom"/>
          </w:tcPr>
          <w:p w14:paraId="4067CD7F"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16 813,19</w:t>
            </w:r>
          </w:p>
        </w:tc>
        <w:tc>
          <w:tcPr>
            <w:tcW w:w="1402" w:type="dxa"/>
            <w:shd w:val="clear" w:color="auto" w:fill="auto"/>
            <w:noWrap/>
            <w:vAlign w:val="bottom"/>
            <w:hideMark/>
          </w:tcPr>
          <w:p w14:paraId="69435B59"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17</w:t>
            </w:r>
          </w:p>
        </w:tc>
      </w:tr>
      <w:tr w:rsidR="0066681B" w:rsidRPr="00E538C4" w14:paraId="43D82A88" w14:textId="77777777" w:rsidTr="00BC745E">
        <w:trPr>
          <w:trHeight w:val="300"/>
        </w:trPr>
        <w:tc>
          <w:tcPr>
            <w:tcW w:w="2127" w:type="dxa"/>
            <w:shd w:val="clear" w:color="auto" w:fill="auto"/>
            <w:noWrap/>
            <w:vAlign w:val="bottom"/>
            <w:hideMark/>
          </w:tcPr>
          <w:p w14:paraId="1FC79E9E"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Острогожский</w:t>
            </w:r>
          </w:p>
        </w:tc>
        <w:tc>
          <w:tcPr>
            <w:tcW w:w="1842" w:type="dxa"/>
            <w:shd w:val="clear" w:color="auto" w:fill="auto"/>
            <w:noWrap/>
            <w:vAlign w:val="bottom"/>
          </w:tcPr>
          <w:p w14:paraId="481CE37F"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134,41</w:t>
            </w:r>
          </w:p>
        </w:tc>
        <w:tc>
          <w:tcPr>
            <w:tcW w:w="1843" w:type="dxa"/>
            <w:shd w:val="clear" w:color="auto" w:fill="auto"/>
            <w:noWrap/>
            <w:vAlign w:val="bottom"/>
          </w:tcPr>
          <w:p w14:paraId="17505FA6"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2 125,83</w:t>
            </w:r>
          </w:p>
        </w:tc>
        <w:tc>
          <w:tcPr>
            <w:tcW w:w="1985" w:type="dxa"/>
            <w:shd w:val="clear" w:color="auto" w:fill="auto"/>
            <w:noWrap/>
            <w:vAlign w:val="bottom"/>
          </w:tcPr>
          <w:p w14:paraId="017214FC"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8 500,00</w:t>
            </w:r>
          </w:p>
        </w:tc>
        <w:tc>
          <w:tcPr>
            <w:tcW w:w="1402" w:type="dxa"/>
            <w:shd w:val="clear" w:color="auto" w:fill="auto"/>
            <w:noWrap/>
            <w:vAlign w:val="bottom"/>
            <w:hideMark/>
          </w:tcPr>
          <w:p w14:paraId="109BCB6F"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25</w:t>
            </w:r>
          </w:p>
        </w:tc>
      </w:tr>
      <w:tr w:rsidR="0066681B" w:rsidRPr="00E538C4" w14:paraId="5AD6FF83" w14:textId="77777777" w:rsidTr="00BC745E">
        <w:trPr>
          <w:trHeight w:val="300"/>
        </w:trPr>
        <w:tc>
          <w:tcPr>
            <w:tcW w:w="2127" w:type="dxa"/>
            <w:shd w:val="clear" w:color="auto" w:fill="auto"/>
            <w:noWrap/>
            <w:vAlign w:val="bottom"/>
            <w:hideMark/>
          </w:tcPr>
          <w:p w14:paraId="56E47424"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Павловский</w:t>
            </w:r>
          </w:p>
        </w:tc>
        <w:tc>
          <w:tcPr>
            <w:tcW w:w="1842" w:type="dxa"/>
            <w:shd w:val="clear" w:color="auto" w:fill="auto"/>
            <w:noWrap/>
            <w:vAlign w:val="bottom"/>
          </w:tcPr>
          <w:p w14:paraId="15486B3D"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22,22</w:t>
            </w:r>
          </w:p>
        </w:tc>
        <w:tc>
          <w:tcPr>
            <w:tcW w:w="1843" w:type="dxa"/>
            <w:shd w:val="clear" w:color="auto" w:fill="auto"/>
            <w:noWrap/>
            <w:vAlign w:val="bottom"/>
          </w:tcPr>
          <w:p w14:paraId="1646B4B1"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2 926,36</w:t>
            </w:r>
          </w:p>
        </w:tc>
        <w:tc>
          <w:tcPr>
            <w:tcW w:w="1985" w:type="dxa"/>
            <w:shd w:val="clear" w:color="auto" w:fill="auto"/>
            <w:noWrap/>
            <w:vAlign w:val="bottom"/>
          </w:tcPr>
          <w:p w14:paraId="318EA040"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38 155,56</w:t>
            </w:r>
          </w:p>
        </w:tc>
        <w:tc>
          <w:tcPr>
            <w:tcW w:w="1402" w:type="dxa"/>
            <w:shd w:val="clear" w:color="auto" w:fill="auto"/>
            <w:noWrap/>
            <w:vAlign w:val="bottom"/>
            <w:hideMark/>
          </w:tcPr>
          <w:p w14:paraId="47A688B2"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44</w:t>
            </w:r>
          </w:p>
        </w:tc>
      </w:tr>
      <w:tr w:rsidR="0066681B" w:rsidRPr="00E538C4" w14:paraId="050485E9" w14:textId="77777777" w:rsidTr="00BC745E">
        <w:trPr>
          <w:trHeight w:val="300"/>
        </w:trPr>
        <w:tc>
          <w:tcPr>
            <w:tcW w:w="2127" w:type="dxa"/>
            <w:shd w:val="clear" w:color="auto" w:fill="auto"/>
            <w:noWrap/>
            <w:vAlign w:val="bottom"/>
            <w:hideMark/>
          </w:tcPr>
          <w:p w14:paraId="05151F2F"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Панинский</w:t>
            </w:r>
          </w:p>
        </w:tc>
        <w:tc>
          <w:tcPr>
            <w:tcW w:w="1842" w:type="dxa"/>
            <w:shd w:val="clear" w:color="auto" w:fill="auto"/>
            <w:noWrap/>
            <w:vAlign w:val="bottom"/>
          </w:tcPr>
          <w:p w14:paraId="1659F258"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19,61</w:t>
            </w:r>
          </w:p>
        </w:tc>
        <w:tc>
          <w:tcPr>
            <w:tcW w:w="1843" w:type="dxa"/>
            <w:shd w:val="clear" w:color="auto" w:fill="auto"/>
            <w:noWrap/>
            <w:vAlign w:val="bottom"/>
          </w:tcPr>
          <w:p w14:paraId="13B2CA27"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733,54</w:t>
            </w:r>
          </w:p>
        </w:tc>
        <w:tc>
          <w:tcPr>
            <w:tcW w:w="1985" w:type="dxa"/>
            <w:shd w:val="clear" w:color="auto" w:fill="auto"/>
            <w:noWrap/>
            <w:vAlign w:val="bottom"/>
          </w:tcPr>
          <w:p w14:paraId="4D01E5C7"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3 351,46</w:t>
            </w:r>
          </w:p>
        </w:tc>
        <w:tc>
          <w:tcPr>
            <w:tcW w:w="1402" w:type="dxa"/>
            <w:shd w:val="clear" w:color="auto" w:fill="auto"/>
            <w:noWrap/>
            <w:vAlign w:val="bottom"/>
            <w:hideMark/>
          </w:tcPr>
          <w:p w14:paraId="5CD8D231"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23</w:t>
            </w:r>
          </w:p>
        </w:tc>
      </w:tr>
      <w:tr w:rsidR="0066681B" w:rsidRPr="00E538C4" w14:paraId="1807306D" w14:textId="77777777" w:rsidTr="00BC745E">
        <w:trPr>
          <w:trHeight w:val="300"/>
        </w:trPr>
        <w:tc>
          <w:tcPr>
            <w:tcW w:w="2127" w:type="dxa"/>
            <w:shd w:val="clear" w:color="auto" w:fill="auto"/>
            <w:noWrap/>
            <w:vAlign w:val="bottom"/>
            <w:hideMark/>
          </w:tcPr>
          <w:p w14:paraId="1991E289"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Петропавловский</w:t>
            </w:r>
          </w:p>
        </w:tc>
        <w:tc>
          <w:tcPr>
            <w:tcW w:w="1842" w:type="dxa"/>
            <w:shd w:val="clear" w:color="auto" w:fill="auto"/>
            <w:noWrap/>
            <w:vAlign w:val="bottom"/>
          </w:tcPr>
          <w:p w14:paraId="0CAC5FAA"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49,50</w:t>
            </w:r>
          </w:p>
        </w:tc>
        <w:tc>
          <w:tcPr>
            <w:tcW w:w="1843" w:type="dxa"/>
            <w:shd w:val="clear" w:color="auto" w:fill="auto"/>
            <w:noWrap/>
            <w:vAlign w:val="bottom"/>
          </w:tcPr>
          <w:p w14:paraId="4BDEB195"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925,80</w:t>
            </w:r>
          </w:p>
        </w:tc>
        <w:tc>
          <w:tcPr>
            <w:tcW w:w="1985" w:type="dxa"/>
            <w:shd w:val="clear" w:color="auto" w:fill="auto"/>
            <w:noWrap/>
            <w:vAlign w:val="bottom"/>
          </w:tcPr>
          <w:p w14:paraId="394F7D24"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2 397,00</w:t>
            </w:r>
          </w:p>
        </w:tc>
        <w:tc>
          <w:tcPr>
            <w:tcW w:w="1402" w:type="dxa"/>
            <w:shd w:val="clear" w:color="auto" w:fill="auto"/>
            <w:noWrap/>
            <w:vAlign w:val="bottom"/>
            <w:hideMark/>
          </w:tcPr>
          <w:p w14:paraId="3980AA04"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5</w:t>
            </w:r>
          </w:p>
        </w:tc>
      </w:tr>
      <w:tr w:rsidR="0066681B" w:rsidRPr="00E538C4" w14:paraId="13866288" w14:textId="77777777" w:rsidTr="00BC745E">
        <w:trPr>
          <w:trHeight w:val="300"/>
        </w:trPr>
        <w:tc>
          <w:tcPr>
            <w:tcW w:w="2127" w:type="dxa"/>
            <w:shd w:val="clear" w:color="auto" w:fill="auto"/>
            <w:noWrap/>
            <w:vAlign w:val="bottom"/>
            <w:hideMark/>
          </w:tcPr>
          <w:p w14:paraId="66D97852"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Поворинский</w:t>
            </w:r>
          </w:p>
        </w:tc>
        <w:tc>
          <w:tcPr>
            <w:tcW w:w="1842" w:type="dxa"/>
            <w:shd w:val="clear" w:color="auto" w:fill="auto"/>
            <w:noWrap/>
            <w:vAlign w:val="bottom"/>
          </w:tcPr>
          <w:p w14:paraId="3FE9E0DE"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60,83</w:t>
            </w:r>
          </w:p>
        </w:tc>
        <w:tc>
          <w:tcPr>
            <w:tcW w:w="1843" w:type="dxa"/>
            <w:shd w:val="clear" w:color="auto" w:fill="auto"/>
            <w:noWrap/>
            <w:vAlign w:val="bottom"/>
          </w:tcPr>
          <w:p w14:paraId="0A6480E4"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900,77</w:t>
            </w:r>
          </w:p>
        </w:tc>
        <w:tc>
          <w:tcPr>
            <w:tcW w:w="1985" w:type="dxa"/>
            <w:shd w:val="clear" w:color="auto" w:fill="auto"/>
            <w:noWrap/>
            <w:vAlign w:val="bottom"/>
          </w:tcPr>
          <w:p w14:paraId="4CB14EF1"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1 604,29</w:t>
            </w:r>
          </w:p>
        </w:tc>
        <w:tc>
          <w:tcPr>
            <w:tcW w:w="1402" w:type="dxa"/>
            <w:shd w:val="clear" w:color="auto" w:fill="auto"/>
            <w:noWrap/>
            <w:vAlign w:val="bottom"/>
            <w:hideMark/>
          </w:tcPr>
          <w:p w14:paraId="492E6285"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13</w:t>
            </w:r>
          </w:p>
        </w:tc>
      </w:tr>
      <w:tr w:rsidR="0066681B" w:rsidRPr="00E538C4" w14:paraId="09E2DEED" w14:textId="77777777" w:rsidTr="00BC745E">
        <w:trPr>
          <w:trHeight w:val="300"/>
        </w:trPr>
        <w:tc>
          <w:tcPr>
            <w:tcW w:w="2127" w:type="dxa"/>
            <w:shd w:val="clear" w:color="auto" w:fill="auto"/>
            <w:noWrap/>
            <w:vAlign w:val="bottom"/>
            <w:hideMark/>
          </w:tcPr>
          <w:p w14:paraId="257EC98F"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Подгоренский</w:t>
            </w:r>
          </w:p>
        </w:tc>
        <w:tc>
          <w:tcPr>
            <w:tcW w:w="1842" w:type="dxa"/>
            <w:shd w:val="clear" w:color="auto" w:fill="auto"/>
            <w:noWrap/>
            <w:vAlign w:val="bottom"/>
          </w:tcPr>
          <w:p w14:paraId="0C0737BD"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235,43</w:t>
            </w:r>
          </w:p>
        </w:tc>
        <w:tc>
          <w:tcPr>
            <w:tcW w:w="1843" w:type="dxa"/>
            <w:shd w:val="clear" w:color="auto" w:fill="auto"/>
            <w:noWrap/>
            <w:vAlign w:val="bottom"/>
          </w:tcPr>
          <w:p w14:paraId="0BF1F766"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813,92</w:t>
            </w:r>
          </w:p>
        </w:tc>
        <w:tc>
          <w:tcPr>
            <w:tcW w:w="1985" w:type="dxa"/>
            <w:shd w:val="clear" w:color="auto" w:fill="auto"/>
            <w:noWrap/>
            <w:vAlign w:val="bottom"/>
          </w:tcPr>
          <w:p w14:paraId="5CACBE33"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1 771,00</w:t>
            </w:r>
          </w:p>
        </w:tc>
        <w:tc>
          <w:tcPr>
            <w:tcW w:w="1402" w:type="dxa"/>
            <w:shd w:val="clear" w:color="auto" w:fill="auto"/>
            <w:noWrap/>
            <w:vAlign w:val="bottom"/>
            <w:hideMark/>
          </w:tcPr>
          <w:p w14:paraId="6A098291"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3</w:t>
            </w:r>
          </w:p>
        </w:tc>
      </w:tr>
      <w:tr w:rsidR="0066681B" w:rsidRPr="00E538C4" w14:paraId="301E94B4" w14:textId="77777777" w:rsidTr="00BC745E">
        <w:trPr>
          <w:trHeight w:val="300"/>
        </w:trPr>
        <w:tc>
          <w:tcPr>
            <w:tcW w:w="2127" w:type="dxa"/>
            <w:shd w:val="clear" w:color="auto" w:fill="auto"/>
            <w:noWrap/>
            <w:vAlign w:val="bottom"/>
            <w:hideMark/>
          </w:tcPr>
          <w:p w14:paraId="5F8EF34D"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Рамонский</w:t>
            </w:r>
          </w:p>
        </w:tc>
        <w:tc>
          <w:tcPr>
            <w:tcW w:w="1842" w:type="dxa"/>
            <w:shd w:val="clear" w:color="auto" w:fill="auto"/>
            <w:noWrap/>
            <w:vAlign w:val="bottom"/>
          </w:tcPr>
          <w:p w14:paraId="0A18BC93"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13,68</w:t>
            </w:r>
          </w:p>
        </w:tc>
        <w:tc>
          <w:tcPr>
            <w:tcW w:w="1843" w:type="dxa"/>
            <w:shd w:val="clear" w:color="auto" w:fill="auto"/>
            <w:noWrap/>
            <w:vAlign w:val="bottom"/>
          </w:tcPr>
          <w:p w14:paraId="72070095"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3 234,15</w:t>
            </w:r>
          </w:p>
        </w:tc>
        <w:tc>
          <w:tcPr>
            <w:tcW w:w="1985" w:type="dxa"/>
            <w:shd w:val="clear" w:color="auto" w:fill="auto"/>
            <w:noWrap/>
            <w:vAlign w:val="bottom"/>
          </w:tcPr>
          <w:p w14:paraId="11AE4247"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35 808,04</w:t>
            </w:r>
          </w:p>
        </w:tc>
        <w:tc>
          <w:tcPr>
            <w:tcW w:w="1402" w:type="dxa"/>
            <w:shd w:val="clear" w:color="auto" w:fill="auto"/>
            <w:noWrap/>
            <w:vAlign w:val="bottom"/>
            <w:hideMark/>
          </w:tcPr>
          <w:p w14:paraId="653151DE"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72</w:t>
            </w:r>
          </w:p>
        </w:tc>
      </w:tr>
      <w:tr w:rsidR="0066681B" w:rsidRPr="00E538C4" w14:paraId="670D8A73" w14:textId="77777777" w:rsidTr="00BC745E">
        <w:trPr>
          <w:trHeight w:val="300"/>
        </w:trPr>
        <w:tc>
          <w:tcPr>
            <w:tcW w:w="2127" w:type="dxa"/>
            <w:shd w:val="clear" w:color="auto" w:fill="auto"/>
            <w:noWrap/>
            <w:vAlign w:val="bottom"/>
            <w:hideMark/>
          </w:tcPr>
          <w:p w14:paraId="203B9C2D"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Репьевский</w:t>
            </w:r>
          </w:p>
        </w:tc>
        <w:tc>
          <w:tcPr>
            <w:tcW w:w="1842" w:type="dxa"/>
            <w:shd w:val="clear" w:color="auto" w:fill="auto"/>
            <w:noWrap/>
            <w:vAlign w:val="bottom"/>
          </w:tcPr>
          <w:p w14:paraId="29E33B92"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30,80</w:t>
            </w:r>
          </w:p>
        </w:tc>
        <w:tc>
          <w:tcPr>
            <w:tcW w:w="1843" w:type="dxa"/>
            <w:shd w:val="clear" w:color="auto" w:fill="auto"/>
            <w:noWrap/>
            <w:vAlign w:val="bottom"/>
          </w:tcPr>
          <w:p w14:paraId="0D7125FC"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1 054,03</w:t>
            </w:r>
          </w:p>
        </w:tc>
        <w:tc>
          <w:tcPr>
            <w:tcW w:w="1985" w:type="dxa"/>
            <w:shd w:val="clear" w:color="auto" w:fill="auto"/>
            <w:noWrap/>
            <w:vAlign w:val="bottom"/>
          </w:tcPr>
          <w:p w14:paraId="48CAF523"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5 275,86</w:t>
            </w:r>
          </w:p>
        </w:tc>
        <w:tc>
          <w:tcPr>
            <w:tcW w:w="1402" w:type="dxa"/>
            <w:shd w:val="clear" w:color="auto" w:fill="auto"/>
            <w:noWrap/>
            <w:vAlign w:val="bottom"/>
            <w:hideMark/>
          </w:tcPr>
          <w:p w14:paraId="2D2B0939"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17</w:t>
            </w:r>
          </w:p>
        </w:tc>
      </w:tr>
      <w:tr w:rsidR="0066681B" w:rsidRPr="00E538C4" w14:paraId="7502D6D1" w14:textId="77777777" w:rsidTr="00BC745E">
        <w:trPr>
          <w:trHeight w:val="300"/>
        </w:trPr>
        <w:tc>
          <w:tcPr>
            <w:tcW w:w="2127" w:type="dxa"/>
            <w:shd w:val="clear" w:color="auto" w:fill="auto"/>
            <w:noWrap/>
            <w:vAlign w:val="bottom"/>
            <w:hideMark/>
          </w:tcPr>
          <w:p w14:paraId="0D854734"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Россошанский</w:t>
            </w:r>
          </w:p>
        </w:tc>
        <w:tc>
          <w:tcPr>
            <w:tcW w:w="1842" w:type="dxa"/>
            <w:shd w:val="clear" w:color="auto" w:fill="auto"/>
            <w:noWrap/>
            <w:vAlign w:val="bottom"/>
          </w:tcPr>
          <w:p w14:paraId="4D095F2C"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25,76</w:t>
            </w:r>
          </w:p>
        </w:tc>
        <w:tc>
          <w:tcPr>
            <w:tcW w:w="1843" w:type="dxa"/>
            <w:shd w:val="clear" w:color="auto" w:fill="auto"/>
            <w:noWrap/>
            <w:vAlign w:val="bottom"/>
          </w:tcPr>
          <w:p w14:paraId="7B94E72F"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1 781,26</w:t>
            </w:r>
          </w:p>
        </w:tc>
        <w:tc>
          <w:tcPr>
            <w:tcW w:w="1985" w:type="dxa"/>
            <w:shd w:val="clear" w:color="auto" w:fill="auto"/>
            <w:noWrap/>
            <w:vAlign w:val="bottom"/>
          </w:tcPr>
          <w:p w14:paraId="1A75EBDD"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23 967,39</w:t>
            </w:r>
          </w:p>
        </w:tc>
        <w:tc>
          <w:tcPr>
            <w:tcW w:w="1402" w:type="dxa"/>
            <w:shd w:val="clear" w:color="auto" w:fill="auto"/>
            <w:noWrap/>
            <w:vAlign w:val="bottom"/>
            <w:hideMark/>
          </w:tcPr>
          <w:p w14:paraId="38E64571"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71</w:t>
            </w:r>
          </w:p>
        </w:tc>
      </w:tr>
      <w:tr w:rsidR="0066681B" w:rsidRPr="00E538C4" w14:paraId="1DE5A08D" w14:textId="77777777" w:rsidTr="00BC745E">
        <w:trPr>
          <w:trHeight w:val="300"/>
        </w:trPr>
        <w:tc>
          <w:tcPr>
            <w:tcW w:w="2127" w:type="dxa"/>
            <w:shd w:val="clear" w:color="auto" w:fill="auto"/>
            <w:noWrap/>
            <w:vAlign w:val="bottom"/>
            <w:hideMark/>
          </w:tcPr>
          <w:p w14:paraId="08F7F6CE"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Семилукский</w:t>
            </w:r>
          </w:p>
        </w:tc>
        <w:tc>
          <w:tcPr>
            <w:tcW w:w="1842" w:type="dxa"/>
            <w:shd w:val="clear" w:color="auto" w:fill="auto"/>
            <w:noWrap/>
            <w:vAlign w:val="bottom"/>
          </w:tcPr>
          <w:p w14:paraId="2BC3FF73"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97,68</w:t>
            </w:r>
          </w:p>
        </w:tc>
        <w:tc>
          <w:tcPr>
            <w:tcW w:w="1843" w:type="dxa"/>
            <w:shd w:val="clear" w:color="auto" w:fill="auto"/>
            <w:noWrap/>
            <w:vAlign w:val="bottom"/>
          </w:tcPr>
          <w:p w14:paraId="192BA49D"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2 537,68</w:t>
            </w:r>
          </w:p>
        </w:tc>
        <w:tc>
          <w:tcPr>
            <w:tcW w:w="1985" w:type="dxa"/>
            <w:shd w:val="clear" w:color="auto" w:fill="auto"/>
            <w:noWrap/>
            <w:vAlign w:val="bottom"/>
          </w:tcPr>
          <w:p w14:paraId="3A56D99A"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8 952,38</w:t>
            </w:r>
          </w:p>
        </w:tc>
        <w:tc>
          <w:tcPr>
            <w:tcW w:w="1402" w:type="dxa"/>
            <w:shd w:val="clear" w:color="auto" w:fill="auto"/>
            <w:noWrap/>
            <w:vAlign w:val="bottom"/>
            <w:hideMark/>
          </w:tcPr>
          <w:p w14:paraId="30E6B61F"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46</w:t>
            </w:r>
          </w:p>
        </w:tc>
      </w:tr>
      <w:tr w:rsidR="0066681B" w:rsidRPr="00E538C4" w14:paraId="1B2106E4" w14:textId="77777777" w:rsidTr="00BC745E">
        <w:trPr>
          <w:trHeight w:val="300"/>
        </w:trPr>
        <w:tc>
          <w:tcPr>
            <w:tcW w:w="2127" w:type="dxa"/>
            <w:shd w:val="clear" w:color="auto" w:fill="auto"/>
            <w:noWrap/>
            <w:vAlign w:val="bottom"/>
            <w:hideMark/>
          </w:tcPr>
          <w:p w14:paraId="0D4CFA2C"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Таловский</w:t>
            </w:r>
          </w:p>
        </w:tc>
        <w:tc>
          <w:tcPr>
            <w:tcW w:w="1842" w:type="dxa"/>
            <w:shd w:val="clear" w:color="auto" w:fill="auto"/>
            <w:noWrap/>
            <w:vAlign w:val="bottom"/>
          </w:tcPr>
          <w:p w14:paraId="5D261F42"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42,27</w:t>
            </w:r>
          </w:p>
        </w:tc>
        <w:tc>
          <w:tcPr>
            <w:tcW w:w="1843" w:type="dxa"/>
            <w:shd w:val="clear" w:color="auto" w:fill="auto"/>
            <w:noWrap/>
            <w:vAlign w:val="bottom"/>
          </w:tcPr>
          <w:p w14:paraId="1A8A0670"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1 329,99</w:t>
            </w:r>
          </w:p>
        </w:tc>
        <w:tc>
          <w:tcPr>
            <w:tcW w:w="1985" w:type="dxa"/>
            <w:shd w:val="clear" w:color="auto" w:fill="auto"/>
            <w:noWrap/>
            <w:vAlign w:val="bottom"/>
          </w:tcPr>
          <w:p w14:paraId="3C25B9E6"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4 595,56</w:t>
            </w:r>
          </w:p>
        </w:tc>
        <w:tc>
          <w:tcPr>
            <w:tcW w:w="1402" w:type="dxa"/>
            <w:shd w:val="clear" w:color="auto" w:fill="auto"/>
            <w:noWrap/>
            <w:vAlign w:val="bottom"/>
            <w:hideMark/>
          </w:tcPr>
          <w:p w14:paraId="0E5983C6"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31</w:t>
            </w:r>
          </w:p>
        </w:tc>
      </w:tr>
      <w:tr w:rsidR="0066681B" w:rsidRPr="00E538C4" w14:paraId="441F9A54" w14:textId="77777777" w:rsidTr="00BC745E">
        <w:trPr>
          <w:trHeight w:val="300"/>
        </w:trPr>
        <w:tc>
          <w:tcPr>
            <w:tcW w:w="2127" w:type="dxa"/>
            <w:shd w:val="clear" w:color="auto" w:fill="auto"/>
            <w:noWrap/>
            <w:vAlign w:val="bottom"/>
            <w:hideMark/>
          </w:tcPr>
          <w:p w14:paraId="5D122900"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Терновский</w:t>
            </w:r>
          </w:p>
        </w:tc>
        <w:tc>
          <w:tcPr>
            <w:tcW w:w="1842" w:type="dxa"/>
            <w:shd w:val="clear" w:color="auto" w:fill="auto"/>
            <w:noWrap/>
            <w:vAlign w:val="bottom"/>
          </w:tcPr>
          <w:p w14:paraId="1CBBCC7A"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76,50</w:t>
            </w:r>
          </w:p>
        </w:tc>
        <w:tc>
          <w:tcPr>
            <w:tcW w:w="1843" w:type="dxa"/>
            <w:shd w:val="clear" w:color="auto" w:fill="auto"/>
            <w:noWrap/>
            <w:vAlign w:val="bottom"/>
          </w:tcPr>
          <w:p w14:paraId="6BA0383D"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2 109,32</w:t>
            </w:r>
          </w:p>
        </w:tc>
        <w:tc>
          <w:tcPr>
            <w:tcW w:w="1985" w:type="dxa"/>
            <w:shd w:val="clear" w:color="auto" w:fill="auto"/>
            <w:noWrap/>
            <w:vAlign w:val="bottom"/>
          </w:tcPr>
          <w:p w14:paraId="7C9A66C8"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8 707,32</w:t>
            </w:r>
          </w:p>
        </w:tc>
        <w:tc>
          <w:tcPr>
            <w:tcW w:w="1402" w:type="dxa"/>
            <w:shd w:val="clear" w:color="auto" w:fill="auto"/>
            <w:noWrap/>
            <w:vAlign w:val="bottom"/>
            <w:hideMark/>
          </w:tcPr>
          <w:p w14:paraId="4A65F2C7"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15</w:t>
            </w:r>
          </w:p>
        </w:tc>
      </w:tr>
      <w:tr w:rsidR="0066681B" w:rsidRPr="00E538C4" w14:paraId="01185A5F" w14:textId="77777777" w:rsidTr="00BC745E">
        <w:trPr>
          <w:trHeight w:val="300"/>
        </w:trPr>
        <w:tc>
          <w:tcPr>
            <w:tcW w:w="2127" w:type="dxa"/>
            <w:shd w:val="clear" w:color="auto" w:fill="auto"/>
            <w:noWrap/>
            <w:vAlign w:val="bottom"/>
            <w:hideMark/>
          </w:tcPr>
          <w:p w14:paraId="0B7060C9"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Хохольский</w:t>
            </w:r>
          </w:p>
        </w:tc>
        <w:tc>
          <w:tcPr>
            <w:tcW w:w="1842" w:type="dxa"/>
            <w:shd w:val="clear" w:color="auto" w:fill="auto"/>
            <w:noWrap/>
            <w:vAlign w:val="bottom"/>
          </w:tcPr>
          <w:p w14:paraId="713DB172"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51,60</w:t>
            </w:r>
          </w:p>
        </w:tc>
        <w:tc>
          <w:tcPr>
            <w:tcW w:w="1843" w:type="dxa"/>
            <w:shd w:val="clear" w:color="auto" w:fill="auto"/>
            <w:noWrap/>
            <w:vAlign w:val="bottom"/>
          </w:tcPr>
          <w:p w14:paraId="66CD459E"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1 753,60</w:t>
            </w:r>
          </w:p>
        </w:tc>
        <w:tc>
          <w:tcPr>
            <w:tcW w:w="1985" w:type="dxa"/>
            <w:shd w:val="clear" w:color="auto" w:fill="auto"/>
            <w:noWrap/>
            <w:vAlign w:val="bottom"/>
          </w:tcPr>
          <w:p w14:paraId="6BF4AB1E"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13 442,00</w:t>
            </w:r>
          </w:p>
        </w:tc>
        <w:tc>
          <w:tcPr>
            <w:tcW w:w="1402" w:type="dxa"/>
            <w:shd w:val="clear" w:color="auto" w:fill="auto"/>
            <w:noWrap/>
            <w:vAlign w:val="bottom"/>
            <w:hideMark/>
          </w:tcPr>
          <w:p w14:paraId="24558D3E"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34</w:t>
            </w:r>
          </w:p>
        </w:tc>
      </w:tr>
      <w:tr w:rsidR="0066681B" w:rsidRPr="00E538C4" w14:paraId="6687FC38" w14:textId="77777777" w:rsidTr="00BC745E">
        <w:trPr>
          <w:trHeight w:val="300"/>
        </w:trPr>
        <w:tc>
          <w:tcPr>
            <w:tcW w:w="2127" w:type="dxa"/>
            <w:shd w:val="clear" w:color="auto" w:fill="auto"/>
            <w:noWrap/>
            <w:vAlign w:val="bottom"/>
            <w:hideMark/>
          </w:tcPr>
          <w:p w14:paraId="1E4F8FA2"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Эртильский</w:t>
            </w:r>
          </w:p>
        </w:tc>
        <w:tc>
          <w:tcPr>
            <w:tcW w:w="1842" w:type="dxa"/>
            <w:shd w:val="clear" w:color="auto" w:fill="auto"/>
            <w:noWrap/>
            <w:vAlign w:val="bottom"/>
          </w:tcPr>
          <w:p w14:paraId="6D45F844"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136,73</w:t>
            </w:r>
          </w:p>
        </w:tc>
        <w:tc>
          <w:tcPr>
            <w:tcW w:w="1843" w:type="dxa"/>
            <w:shd w:val="clear" w:color="auto" w:fill="auto"/>
            <w:noWrap/>
            <w:vAlign w:val="bottom"/>
          </w:tcPr>
          <w:p w14:paraId="305239CF"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2 057,25</w:t>
            </w:r>
          </w:p>
        </w:tc>
        <w:tc>
          <w:tcPr>
            <w:tcW w:w="1985" w:type="dxa"/>
            <w:shd w:val="clear" w:color="auto" w:fill="auto"/>
            <w:noWrap/>
            <w:vAlign w:val="bottom"/>
          </w:tcPr>
          <w:p w14:paraId="5D80880C"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5 378,93</w:t>
            </w:r>
          </w:p>
        </w:tc>
        <w:tc>
          <w:tcPr>
            <w:tcW w:w="1402" w:type="dxa"/>
            <w:shd w:val="clear" w:color="auto" w:fill="auto"/>
            <w:noWrap/>
            <w:vAlign w:val="bottom"/>
            <w:hideMark/>
          </w:tcPr>
          <w:p w14:paraId="26F02A00"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15</w:t>
            </w:r>
          </w:p>
        </w:tc>
      </w:tr>
      <w:tr w:rsidR="0066681B" w:rsidRPr="00E538C4" w14:paraId="2C3AAF10" w14:textId="77777777" w:rsidTr="00BC745E">
        <w:trPr>
          <w:trHeight w:val="300"/>
        </w:trPr>
        <w:tc>
          <w:tcPr>
            <w:tcW w:w="2127" w:type="dxa"/>
            <w:shd w:val="clear" w:color="auto" w:fill="auto"/>
            <w:noWrap/>
            <w:vAlign w:val="bottom"/>
            <w:hideMark/>
          </w:tcPr>
          <w:p w14:paraId="09E3CF5B"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г.о.г. Нововоронеж</w:t>
            </w:r>
          </w:p>
        </w:tc>
        <w:tc>
          <w:tcPr>
            <w:tcW w:w="1842" w:type="dxa"/>
            <w:shd w:val="clear" w:color="auto" w:fill="auto"/>
            <w:noWrap/>
            <w:vAlign w:val="bottom"/>
          </w:tcPr>
          <w:p w14:paraId="039695D4"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429,25</w:t>
            </w:r>
          </w:p>
        </w:tc>
        <w:tc>
          <w:tcPr>
            <w:tcW w:w="1843" w:type="dxa"/>
            <w:shd w:val="clear" w:color="auto" w:fill="auto"/>
            <w:noWrap/>
            <w:vAlign w:val="bottom"/>
          </w:tcPr>
          <w:p w14:paraId="42FE893B"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3 119,78</w:t>
            </w:r>
          </w:p>
        </w:tc>
        <w:tc>
          <w:tcPr>
            <w:tcW w:w="1985" w:type="dxa"/>
            <w:shd w:val="clear" w:color="auto" w:fill="auto"/>
            <w:noWrap/>
            <w:vAlign w:val="bottom"/>
          </w:tcPr>
          <w:p w14:paraId="39E38482"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11 856,95</w:t>
            </w:r>
          </w:p>
        </w:tc>
        <w:tc>
          <w:tcPr>
            <w:tcW w:w="1402" w:type="dxa"/>
            <w:shd w:val="clear" w:color="auto" w:fill="auto"/>
            <w:noWrap/>
            <w:vAlign w:val="bottom"/>
            <w:hideMark/>
          </w:tcPr>
          <w:p w14:paraId="685F5487"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17</w:t>
            </w:r>
          </w:p>
        </w:tc>
      </w:tr>
      <w:tr w:rsidR="0066681B" w:rsidRPr="00E538C4" w14:paraId="6F2BC408" w14:textId="77777777" w:rsidTr="00BC745E">
        <w:trPr>
          <w:trHeight w:val="300"/>
        </w:trPr>
        <w:tc>
          <w:tcPr>
            <w:tcW w:w="2127" w:type="dxa"/>
            <w:shd w:val="clear" w:color="auto" w:fill="auto"/>
            <w:noWrap/>
            <w:vAlign w:val="bottom"/>
            <w:hideMark/>
          </w:tcPr>
          <w:p w14:paraId="625AC17E" w14:textId="77777777" w:rsidR="0066681B" w:rsidRPr="00E538C4" w:rsidRDefault="0066681B" w:rsidP="00BC745E">
            <w:pPr>
              <w:spacing w:after="0" w:line="240" w:lineRule="auto"/>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г.о.г. Воронеж</w:t>
            </w:r>
          </w:p>
        </w:tc>
        <w:tc>
          <w:tcPr>
            <w:tcW w:w="1842" w:type="dxa"/>
            <w:shd w:val="clear" w:color="auto" w:fill="auto"/>
            <w:noWrap/>
            <w:vAlign w:val="bottom"/>
          </w:tcPr>
          <w:p w14:paraId="4EBDDFF4"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12,63</w:t>
            </w:r>
          </w:p>
        </w:tc>
        <w:tc>
          <w:tcPr>
            <w:tcW w:w="1843" w:type="dxa"/>
            <w:shd w:val="clear" w:color="auto" w:fill="auto"/>
            <w:noWrap/>
            <w:vAlign w:val="bottom"/>
          </w:tcPr>
          <w:p w14:paraId="65458408"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8 6</w:t>
            </w:r>
            <w:r>
              <w:rPr>
                <w:rFonts w:ascii="Times New Roman" w:hAnsi="Times New Roman" w:cs="Times New Roman"/>
                <w:color w:val="000000"/>
              </w:rPr>
              <w:t>96</w:t>
            </w:r>
            <w:r w:rsidRPr="00E538C4">
              <w:rPr>
                <w:rFonts w:ascii="Times New Roman" w:hAnsi="Times New Roman" w:cs="Times New Roman"/>
                <w:color w:val="000000"/>
              </w:rPr>
              <w:t>,</w:t>
            </w:r>
            <w:r>
              <w:rPr>
                <w:rFonts w:ascii="Times New Roman" w:hAnsi="Times New Roman" w:cs="Times New Roman"/>
                <w:color w:val="000000"/>
              </w:rPr>
              <w:t>27</w:t>
            </w:r>
          </w:p>
        </w:tc>
        <w:tc>
          <w:tcPr>
            <w:tcW w:w="1985" w:type="dxa"/>
            <w:shd w:val="clear" w:color="auto" w:fill="auto"/>
            <w:noWrap/>
            <w:vAlign w:val="bottom"/>
          </w:tcPr>
          <w:p w14:paraId="36E7126E"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hAnsi="Times New Roman" w:cs="Times New Roman"/>
                <w:color w:val="000000"/>
              </w:rPr>
              <w:t>87 903,04</w:t>
            </w:r>
          </w:p>
        </w:tc>
        <w:tc>
          <w:tcPr>
            <w:tcW w:w="1402" w:type="dxa"/>
            <w:shd w:val="clear" w:color="auto" w:fill="auto"/>
            <w:noWrap/>
            <w:vAlign w:val="bottom"/>
            <w:hideMark/>
          </w:tcPr>
          <w:p w14:paraId="59BAD289" w14:textId="77777777" w:rsidR="0066681B" w:rsidRPr="00E538C4" w:rsidRDefault="0066681B" w:rsidP="00BC745E">
            <w:pPr>
              <w:spacing w:after="0" w:line="240" w:lineRule="auto"/>
              <w:jc w:val="right"/>
              <w:rPr>
                <w:rFonts w:ascii="Times New Roman" w:eastAsia="Times New Roman" w:hAnsi="Times New Roman" w:cs="Times New Roman"/>
                <w:color w:val="000000"/>
                <w:lang w:eastAsia="ru-RU"/>
              </w:rPr>
            </w:pPr>
            <w:r w:rsidRPr="00E538C4">
              <w:rPr>
                <w:rFonts w:ascii="Times New Roman" w:eastAsia="Times New Roman" w:hAnsi="Times New Roman" w:cs="Times New Roman"/>
                <w:color w:val="000000"/>
                <w:lang w:eastAsia="ru-RU"/>
              </w:rPr>
              <w:t>30</w:t>
            </w:r>
            <w:r>
              <w:rPr>
                <w:rFonts w:ascii="Times New Roman" w:eastAsia="Times New Roman" w:hAnsi="Times New Roman" w:cs="Times New Roman"/>
                <w:color w:val="000000"/>
                <w:lang w:eastAsia="ru-RU"/>
              </w:rPr>
              <w:t>6</w:t>
            </w:r>
          </w:p>
        </w:tc>
      </w:tr>
      <w:tr w:rsidR="0066681B" w:rsidRPr="00E538C4" w14:paraId="3A4A8D09" w14:textId="77777777" w:rsidTr="00BC745E">
        <w:trPr>
          <w:trHeight w:val="300"/>
        </w:trPr>
        <w:tc>
          <w:tcPr>
            <w:tcW w:w="2127" w:type="dxa"/>
            <w:shd w:val="clear" w:color="auto" w:fill="auto"/>
            <w:noWrap/>
            <w:vAlign w:val="bottom"/>
            <w:hideMark/>
          </w:tcPr>
          <w:p w14:paraId="7D0C672E" w14:textId="77777777" w:rsidR="0066681B" w:rsidRPr="00E538C4" w:rsidRDefault="0066681B" w:rsidP="00BC745E">
            <w:pPr>
              <w:spacing w:after="0" w:line="240" w:lineRule="auto"/>
              <w:rPr>
                <w:rFonts w:ascii="Times New Roman" w:eastAsia="Times New Roman" w:hAnsi="Times New Roman" w:cs="Times New Roman"/>
                <w:b/>
                <w:color w:val="000000"/>
                <w:lang w:eastAsia="ru-RU"/>
              </w:rPr>
            </w:pPr>
            <w:r w:rsidRPr="00E538C4">
              <w:rPr>
                <w:rFonts w:ascii="Times New Roman" w:eastAsia="Times New Roman" w:hAnsi="Times New Roman" w:cs="Times New Roman"/>
                <w:b/>
                <w:color w:val="000000"/>
                <w:lang w:eastAsia="ru-RU"/>
              </w:rPr>
              <w:t>Общий итог</w:t>
            </w:r>
          </w:p>
        </w:tc>
        <w:tc>
          <w:tcPr>
            <w:tcW w:w="1842" w:type="dxa"/>
            <w:shd w:val="clear" w:color="auto" w:fill="auto"/>
            <w:noWrap/>
            <w:vAlign w:val="bottom"/>
          </w:tcPr>
          <w:p w14:paraId="5FDF4EB6" w14:textId="77777777" w:rsidR="0066681B" w:rsidRPr="00E538C4" w:rsidRDefault="0066681B" w:rsidP="00BC745E">
            <w:pPr>
              <w:spacing w:after="0" w:line="240" w:lineRule="auto"/>
              <w:jc w:val="right"/>
              <w:rPr>
                <w:rFonts w:ascii="Times New Roman" w:eastAsia="Times New Roman" w:hAnsi="Times New Roman" w:cs="Times New Roman"/>
                <w:b/>
                <w:color w:val="000000"/>
                <w:lang w:eastAsia="ru-RU"/>
              </w:rPr>
            </w:pPr>
            <w:r w:rsidRPr="00E538C4">
              <w:rPr>
                <w:rFonts w:ascii="Times New Roman" w:hAnsi="Times New Roman" w:cs="Times New Roman"/>
                <w:b/>
                <w:color w:val="000000"/>
              </w:rPr>
              <w:t>12,63</w:t>
            </w:r>
          </w:p>
        </w:tc>
        <w:tc>
          <w:tcPr>
            <w:tcW w:w="1843" w:type="dxa"/>
            <w:shd w:val="clear" w:color="auto" w:fill="auto"/>
            <w:noWrap/>
            <w:vAlign w:val="bottom"/>
          </w:tcPr>
          <w:p w14:paraId="14DB97D4" w14:textId="77777777" w:rsidR="0066681B" w:rsidRPr="00E538C4" w:rsidRDefault="0066681B" w:rsidP="00BC745E">
            <w:pPr>
              <w:spacing w:after="0" w:line="240" w:lineRule="auto"/>
              <w:jc w:val="right"/>
              <w:rPr>
                <w:rFonts w:ascii="Times New Roman" w:eastAsia="Times New Roman" w:hAnsi="Times New Roman" w:cs="Times New Roman"/>
                <w:b/>
                <w:color w:val="000000"/>
                <w:lang w:eastAsia="ru-RU"/>
              </w:rPr>
            </w:pPr>
            <w:r w:rsidRPr="00E538C4">
              <w:rPr>
                <w:rFonts w:ascii="Times New Roman" w:hAnsi="Times New Roman" w:cs="Times New Roman"/>
                <w:b/>
                <w:color w:val="000000"/>
              </w:rPr>
              <w:t>3 92</w:t>
            </w:r>
            <w:r>
              <w:rPr>
                <w:rFonts w:ascii="Times New Roman" w:hAnsi="Times New Roman" w:cs="Times New Roman"/>
                <w:b/>
                <w:color w:val="000000"/>
              </w:rPr>
              <w:t>9</w:t>
            </w:r>
            <w:r w:rsidRPr="00E538C4">
              <w:rPr>
                <w:rFonts w:ascii="Times New Roman" w:hAnsi="Times New Roman" w:cs="Times New Roman"/>
                <w:b/>
                <w:color w:val="000000"/>
              </w:rPr>
              <w:t>,</w:t>
            </w:r>
            <w:r>
              <w:rPr>
                <w:rFonts w:ascii="Times New Roman" w:hAnsi="Times New Roman" w:cs="Times New Roman"/>
                <w:b/>
                <w:color w:val="000000"/>
              </w:rPr>
              <w:t>44</w:t>
            </w:r>
          </w:p>
        </w:tc>
        <w:tc>
          <w:tcPr>
            <w:tcW w:w="1985" w:type="dxa"/>
            <w:shd w:val="clear" w:color="auto" w:fill="auto"/>
            <w:noWrap/>
            <w:vAlign w:val="bottom"/>
          </w:tcPr>
          <w:p w14:paraId="475C4F38" w14:textId="77777777" w:rsidR="0066681B" w:rsidRPr="00E538C4" w:rsidRDefault="0066681B" w:rsidP="00BC745E">
            <w:pPr>
              <w:spacing w:after="0" w:line="240" w:lineRule="auto"/>
              <w:jc w:val="right"/>
              <w:rPr>
                <w:rFonts w:ascii="Times New Roman" w:eastAsia="Times New Roman" w:hAnsi="Times New Roman" w:cs="Times New Roman"/>
                <w:b/>
                <w:color w:val="000000"/>
                <w:lang w:eastAsia="ru-RU"/>
              </w:rPr>
            </w:pPr>
            <w:r w:rsidRPr="00E538C4">
              <w:rPr>
                <w:rFonts w:ascii="Times New Roman" w:hAnsi="Times New Roman" w:cs="Times New Roman"/>
                <w:b/>
                <w:color w:val="000000"/>
              </w:rPr>
              <w:t>87 903,04</w:t>
            </w:r>
          </w:p>
        </w:tc>
        <w:tc>
          <w:tcPr>
            <w:tcW w:w="1402" w:type="dxa"/>
            <w:shd w:val="clear" w:color="auto" w:fill="auto"/>
            <w:noWrap/>
            <w:vAlign w:val="bottom"/>
            <w:hideMark/>
          </w:tcPr>
          <w:p w14:paraId="3B5801D1" w14:textId="77777777" w:rsidR="0066681B" w:rsidRPr="00E538C4" w:rsidRDefault="0066681B" w:rsidP="00BC745E">
            <w:pPr>
              <w:spacing w:after="0" w:line="240" w:lineRule="auto"/>
              <w:jc w:val="right"/>
              <w:rPr>
                <w:rFonts w:ascii="Times New Roman" w:eastAsia="Times New Roman" w:hAnsi="Times New Roman" w:cs="Times New Roman"/>
                <w:b/>
                <w:color w:val="000000"/>
                <w:lang w:eastAsia="ru-RU"/>
              </w:rPr>
            </w:pPr>
            <w:r w:rsidRPr="00E538C4">
              <w:rPr>
                <w:rFonts w:ascii="Times New Roman" w:eastAsia="Times New Roman" w:hAnsi="Times New Roman" w:cs="Times New Roman"/>
                <w:b/>
                <w:color w:val="000000"/>
                <w:lang w:eastAsia="ru-RU"/>
              </w:rPr>
              <w:t>126</w:t>
            </w:r>
            <w:r>
              <w:rPr>
                <w:rFonts w:ascii="Times New Roman" w:eastAsia="Times New Roman" w:hAnsi="Times New Roman" w:cs="Times New Roman"/>
                <w:b/>
                <w:color w:val="000000"/>
                <w:lang w:eastAsia="ru-RU"/>
              </w:rPr>
              <w:t>1</w:t>
            </w:r>
          </w:p>
        </w:tc>
      </w:tr>
    </w:tbl>
    <w:p w14:paraId="59117181" w14:textId="77777777" w:rsidR="0066681B" w:rsidRPr="00461413" w:rsidRDefault="0066681B" w:rsidP="0066681B">
      <w:pPr>
        <w:pStyle w:val="af5"/>
        <w:shd w:val="clear" w:color="auto" w:fill="FFFFFF"/>
        <w:spacing w:before="120" w:beforeAutospacing="0" w:after="0" w:afterAutospacing="0" w:line="276" w:lineRule="auto"/>
        <w:ind w:firstLine="709"/>
        <w:jc w:val="both"/>
        <w:rPr>
          <w:sz w:val="26"/>
          <w:szCs w:val="26"/>
        </w:rPr>
      </w:pPr>
      <w:r w:rsidRPr="00544599">
        <w:rPr>
          <w:sz w:val="26"/>
          <w:szCs w:val="26"/>
        </w:rPr>
        <w:t xml:space="preserve">Таким образом, наибольшее количество среди районов Воронежской области (не </w:t>
      </w:r>
      <w:r w:rsidRPr="00461413">
        <w:rPr>
          <w:sz w:val="26"/>
          <w:szCs w:val="26"/>
        </w:rPr>
        <w:t>считая г.</w:t>
      </w:r>
      <w:r>
        <w:rPr>
          <w:sz w:val="26"/>
          <w:szCs w:val="26"/>
        </w:rPr>
        <w:t>о.г.</w:t>
      </w:r>
      <w:r w:rsidRPr="00461413">
        <w:rPr>
          <w:sz w:val="26"/>
          <w:szCs w:val="26"/>
        </w:rPr>
        <w:t xml:space="preserve"> Воронеж) представлено Новоусманском районе- 97 предложений (сделок), что составляет 7,69% от общего количества в сегменте.</w:t>
      </w:r>
    </w:p>
    <w:p w14:paraId="0D3C3689" w14:textId="77777777" w:rsidR="0066681B" w:rsidRPr="006A7592" w:rsidRDefault="0066681B" w:rsidP="0066681B">
      <w:pPr>
        <w:spacing w:after="0" w:line="276" w:lineRule="auto"/>
        <w:ind w:firstLine="709"/>
        <w:jc w:val="both"/>
        <w:rPr>
          <w:rFonts w:ascii="Times New Roman" w:hAnsi="Times New Roman" w:cs="Times New Roman"/>
          <w:sz w:val="26"/>
          <w:szCs w:val="26"/>
        </w:rPr>
      </w:pPr>
      <w:r w:rsidRPr="00461413">
        <w:rPr>
          <w:rFonts w:ascii="Times New Roman" w:hAnsi="Times New Roman" w:cs="Times New Roman"/>
          <w:sz w:val="26"/>
          <w:szCs w:val="26"/>
        </w:rPr>
        <w:t>Средний удельный показатель рыночной стоимости по г.о.г. Воронеж составляет 8 6</w:t>
      </w:r>
      <w:r>
        <w:rPr>
          <w:rFonts w:ascii="Times New Roman" w:hAnsi="Times New Roman" w:cs="Times New Roman"/>
          <w:sz w:val="26"/>
          <w:szCs w:val="26"/>
        </w:rPr>
        <w:t>96</w:t>
      </w:r>
      <w:r w:rsidRPr="00461413">
        <w:rPr>
          <w:rFonts w:ascii="Times New Roman" w:hAnsi="Times New Roman" w:cs="Times New Roman"/>
          <w:sz w:val="26"/>
          <w:szCs w:val="26"/>
        </w:rPr>
        <w:t>,</w:t>
      </w:r>
      <w:r>
        <w:rPr>
          <w:rFonts w:ascii="Times New Roman" w:hAnsi="Times New Roman" w:cs="Times New Roman"/>
          <w:sz w:val="26"/>
          <w:szCs w:val="26"/>
        </w:rPr>
        <w:t>27</w:t>
      </w:r>
      <w:r w:rsidRPr="00461413">
        <w:rPr>
          <w:rFonts w:ascii="Times New Roman" w:hAnsi="Times New Roman" w:cs="Times New Roman"/>
          <w:sz w:val="26"/>
          <w:szCs w:val="26"/>
        </w:rPr>
        <w:t xml:space="preserve"> руб./кв.м, цены представлены в довольно широком диапазоне от 12,63 до 87 903,04 руб./кв.м.  Наибольший средний удельный показатель рыночной стоимости среди районов Воронежской области сложился в Борисоглебском городском округе в размере 4 647,80 руб./кв.м. В целом величина удельного показателя рыночной стоимости в сегменте «Предпринимательство» лежит в диапазоне от </w:t>
      </w:r>
      <w:r>
        <w:rPr>
          <w:rFonts w:ascii="Times New Roman" w:hAnsi="Times New Roman" w:cs="Times New Roman"/>
          <w:sz w:val="26"/>
          <w:szCs w:val="26"/>
        </w:rPr>
        <w:t>12,63</w:t>
      </w:r>
      <w:r w:rsidRPr="00461413">
        <w:rPr>
          <w:rFonts w:ascii="Times New Roman" w:hAnsi="Times New Roman" w:cs="Times New Roman"/>
          <w:sz w:val="26"/>
          <w:szCs w:val="26"/>
        </w:rPr>
        <w:t xml:space="preserve"> до</w:t>
      </w:r>
      <w:r>
        <w:rPr>
          <w:rFonts w:ascii="Times New Roman" w:hAnsi="Times New Roman" w:cs="Times New Roman"/>
          <w:sz w:val="26"/>
          <w:szCs w:val="26"/>
        </w:rPr>
        <w:t xml:space="preserve"> 87 903,04</w:t>
      </w:r>
      <w:r w:rsidRPr="00461413">
        <w:rPr>
          <w:rFonts w:ascii="Times New Roman" w:hAnsi="Times New Roman" w:cs="Times New Roman"/>
          <w:sz w:val="26"/>
          <w:szCs w:val="26"/>
        </w:rPr>
        <w:t xml:space="preserve"> руб./кв.м. Аналоги, стоимостные значения которых представляют собой экстремумы, для дальнейших целей оценки не используются.</w:t>
      </w:r>
    </w:p>
    <w:p w14:paraId="0884C6C0" w14:textId="77777777" w:rsidR="0066681B" w:rsidRDefault="0066681B" w:rsidP="0066681B">
      <w:pPr>
        <w:spacing w:after="0" w:line="276" w:lineRule="auto"/>
        <w:ind w:firstLine="709"/>
        <w:jc w:val="center"/>
        <w:rPr>
          <w:rStyle w:val="af9"/>
          <w:rFonts w:ascii="Times New Roman" w:hAnsi="Times New Roman" w:cs="Times New Roman"/>
          <w:b w:val="0"/>
          <w:i/>
          <w:sz w:val="26"/>
          <w:szCs w:val="26"/>
        </w:rPr>
      </w:pPr>
    </w:p>
    <w:p w14:paraId="68C9681F" w14:textId="77777777" w:rsidR="0066681B" w:rsidRPr="00E564BF" w:rsidRDefault="0066681B" w:rsidP="0066681B">
      <w:pPr>
        <w:spacing w:after="0" w:line="276" w:lineRule="auto"/>
        <w:ind w:firstLine="709"/>
        <w:jc w:val="center"/>
        <w:rPr>
          <w:rStyle w:val="af9"/>
          <w:rFonts w:ascii="Times New Roman" w:hAnsi="Times New Roman" w:cs="Times New Roman"/>
          <w:b w:val="0"/>
          <w:bCs w:val="0"/>
          <w:i/>
          <w:sz w:val="26"/>
          <w:szCs w:val="26"/>
        </w:rPr>
      </w:pPr>
      <w:r w:rsidRPr="00E564BF">
        <w:rPr>
          <w:rStyle w:val="af9"/>
          <w:rFonts w:ascii="Times New Roman" w:hAnsi="Times New Roman" w:cs="Times New Roman"/>
          <w:b w:val="0"/>
          <w:i/>
          <w:sz w:val="26"/>
          <w:szCs w:val="26"/>
        </w:rPr>
        <w:t>Анализ ценообразующих факторов и ранжирование по степени их влияния на цены объектов недвижимости</w:t>
      </w:r>
    </w:p>
    <w:p w14:paraId="11AC6C32" w14:textId="77777777" w:rsidR="0066681B" w:rsidRPr="00E564BF" w:rsidRDefault="0066681B" w:rsidP="0066681B">
      <w:pPr>
        <w:spacing w:after="120" w:line="276" w:lineRule="auto"/>
        <w:ind w:firstLine="709"/>
        <w:jc w:val="both"/>
        <w:rPr>
          <w:rFonts w:ascii="Times New Roman" w:hAnsi="Times New Roman" w:cs="Times New Roman"/>
          <w:b/>
          <w:sz w:val="26"/>
          <w:szCs w:val="26"/>
        </w:rPr>
      </w:pPr>
      <w:r w:rsidRPr="00E564BF">
        <w:rPr>
          <w:rStyle w:val="af9"/>
          <w:rFonts w:ascii="Times New Roman" w:hAnsi="Times New Roman" w:cs="Times New Roman"/>
          <w:b w:val="0"/>
          <w:sz w:val="26"/>
          <w:szCs w:val="26"/>
        </w:rPr>
        <w:t>Количество факторов, оказывающих влияние на цены объектов, предлагаемых к продаже, весьма велико. Наиболее значимые из этих факторов обычно учитываются в процессе оценки в качестве параметров, по которым сопоставляются подобные объекты-аналоги, принимаются решения о необходимости корректировки цены, если объекты-аналоги по этим параметрам отличаются от объектов оценки. Далее приведены основные ценообразующие факторы, влияющие на стоимость земельных участков под офисно-торговую застройку, по данным ООО «Информ-Оценка».</w:t>
      </w:r>
    </w:p>
    <w:p w14:paraId="1EBF621A" w14:textId="77777777" w:rsidR="0066681B" w:rsidRPr="00E564BF" w:rsidRDefault="0066681B" w:rsidP="0066681B">
      <w:pPr>
        <w:pStyle w:val="af5"/>
        <w:shd w:val="clear" w:color="auto" w:fill="FFFFFF"/>
        <w:spacing w:before="0" w:beforeAutospacing="0" w:after="0" w:afterAutospacing="0" w:line="276" w:lineRule="auto"/>
        <w:jc w:val="center"/>
        <w:rPr>
          <w:color w:val="242424"/>
          <w:sz w:val="26"/>
          <w:szCs w:val="26"/>
          <w:shd w:val="clear" w:color="auto" w:fill="FFFFFF"/>
        </w:rPr>
      </w:pPr>
      <w:r w:rsidRPr="00E564BF">
        <w:rPr>
          <w:noProof/>
          <w:color w:val="242424"/>
          <w:sz w:val="26"/>
          <w:szCs w:val="26"/>
          <w:shd w:val="clear" w:color="auto" w:fill="FFFFFF"/>
        </w:rPr>
        <w:drawing>
          <wp:inline distT="0" distB="0" distL="0" distR="0" wp14:anchorId="64DFE477" wp14:editId="7C4C870A">
            <wp:extent cx="4150101" cy="1832610"/>
            <wp:effectExtent l="0" t="0" r="3175"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55448" cy="1834971"/>
                    </a:xfrm>
                    <a:prstGeom prst="rect">
                      <a:avLst/>
                    </a:prstGeom>
                  </pic:spPr>
                </pic:pic>
              </a:graphicData>
            </a:graphic>
          </wp:inline>
        </w:drawing>
      </w:r>
    </w:p>
    <w:p w14:paraId="2F23522B" w14:textId="77777777" w:rsidR="0066681B" w:rsidRPr="00E564BF" w:rsidRDefault="0066681B" w:rsidP="0066681B">
      <w:pPr>
        <w:spacing w:after="0" w:line="276" w:lineRule="auto"/>
        <w:ind w:firstLine="709"/>
        <w:jc w:val="center"/>
        <w:rPr>
          <w:rStyle w:val="af9"/>
          <w:rFonts w:ascii="Times New Roman" w:hAnsi="Times New Roman" w:cs="Times New Roman"/>
          <w:b w:val="0"/>
          <w:sz w:val="26"/>
          <w:szCs w:val="26"/>
        </w:rPr>
      </w:pPr>
      <w:r w:rsidRPr="00E564BF">
        <w:rPr>
          <w:rStyle w:val="af9"/>
          <w:rFonts w:ascii="Times New Roman" w:hAnsi="Times New Roman" w:cs="Times New Roman"/>
          <w:b w:val="0"/>
          <w:sz w:val="26"/>
          <w:szCs w:val="26"/>
        </w:rPr>
        <w:t>Рис.3.1.3.4.4- Ценообразующие факторы для участков под офисно-торговую застройку</w:t>
      </w:r>
      <w:r w:rsidRPr="00E564BF">
        <w:rPr>
          <w:rStyle w:val="af2"/>
          <w:rFonts w:ascii="Times New Roman" w:hAnsi="Times New Roman" w:cs="Times New Roman"/>
          <w:b/>
          <w:sz w:val="26"/>
          <w:szCs w:val="26"/>
        </w:rPr>
        <w:footnoteReference w:id="79"/>
      </w:r>
    </w:p>
    <w:p w14:paraId="79140379" w14:textId="77777777" w:rsidR="0066681B" w:rsidRPr="00E533F0" w:rsidRDefault="0066681B" w:rsidP="0066681B">
      <w:pPr>
        <w:spacing w:after="0" w:line="276" w:lineRule="auto"/>
        <w:ind w:firstLine="709"/>
        <w:jc w:val="both"/>
        <w:rPr>
          <w:rStyle w:val="af9"/>
          <w:rFonts w:cs="Times New Roman"/>
          <w:b w:val="0"/>
          <w:bCs w:val="0"/>
          <w:sz w:val="26"/>
          <w:szCs w:val="26"/>
        </w:rPr>
      </w:pPr>
      <w:r w:rsidRPr="00E564BF">
        <w:rPr>
          <w:rStyle w:val="af9"/>
          <w:rFonts w:ascii="Times New Roman" w:hAnsi="Times New Roman" w:cs="Times New Roman"/>
          <w:b w:val="0"/>
          <w:sz w:val="26"/>
          <w:szCs w:val="26"/>
        </w:rPr>
        <w:t>Данные факторы использованы для выделения основных ценообразующих факторов в исследуемом сегменте рынка, а также для идентификации сегмента рынка, к которому может быть отнесен объект оценки.</w:t>
      </w:r>
    </w:p>
    <w:p w14:paraId="5AC879C8" w14:textId="77777777" w:rsidR="003E138A" w:rsidRPr="007B1FAB" w:rsidRDefault="003E138A" w:rsidP="00883FEB">
      <w:pPr>
        <w:pStyle w:val="Textbody"/>
        <w:spacing w:after="0" w:line="276" w:lineRule="auto"/>
        <w:ind w:firstLine="709"/>
        <w:jc w:val="both"/>
        <w:rPr>
          <w:rFonts w:cs="Times New Roman"/>
          <w:sz w:val="26"/>
          <w:szCs w:val="26"/>
          <w:lang w:val="ru-RU"/>
        </w:rPr>
      </w:pPr>
    </w:p>
    <w:p w14:paraId="1EF720EA" w14:textId="0FB62C26" w:rsidR="00DB474C" w:rsidRPr="002F245A" w:rsidRDefault="00DB474C" w:rsidP="00DB474C">
      <w:pPr>
        <w:pStyle w:val="3"/>
        <w:spacing w:line="276" w:lineRule="auto"/>
        <w:ind w:firstLine="709"/>
        <w:rPr>
          <w:rFonts w:cs="Times New Roman"/>
          <w:sz w:val="26"/>
          <w:szCs w:val="26"/>
        </w:rPr>
      </w:pPr>
      <w:bookmarkStart w:id="81" w:name="_Toc110506945"/>
      <w:r w:rsidRPr="002F245A">
        <w:rPr>
          <w:rFonts w:cs="Times New Roman"/>
          <w:sz w:val="26"/>
          <w:szCs w:val="26"/>
        </w:rPr>
        <w:t>3.1.3.5 Анализ рыночной информации по сегменту «Отдых (рекреация)»</w:t>
      </w:r>
      <w:bookmarkEnd w:id="81"/>
    </w:p>
    <w:p w14:paraId="09B661A4" w14:textId="77777777" w:rsidR="00DB474C" w:rsidRPr="007B7DEB" w:rsidRDefault="00DB474C" w:rsidP="00DB474C">
      <w:pPr>
        <w:pStyle w:val="Textbody"/>
        <w:spacing w:after="0" w:line="276" w:lineRule="auto"/>
        <w:ind w:firstLine="709"/>
        <w:jc w:val="both"/>
        <w:rPr>
          <w:rFonts w:ascii="Times New Roman" w:hAnsi="Times New Roman" w:cs="Times New Roman"/>
          <w:sz w:val="26"/>
          <w:szCs w:val="26"/>
          <w:lang w:val="ru-RU"/>
        </w:rPr>
      </w:pPr>
      <w:r w:rsidRPr="002F245A">
        <w:rPr>
          <w:rFonts w:ascii="Times New Roman" w:hAnsi="Times New Roman" w:cs="Times New Roman"/>
          <w:sz w:val="26"/>
          <w:szCs w:val="26"/>
          <w:lang w:val="ru-RU"/>
        </w:rPr>
        <w:t xml:space="preserve">К сегменту «Отдых (рекреация)» относятся земельные участки, которые предназначены для размещения передвижного жилья, гостиниц, санаторной </w:t>
      </w:r>
      <w:r w:rsidRPr="007B7DEB">
        <w:rPr>
          <w:rFonts w:ascii="Times New Roman" w:hAnsi="Times New Roman" w:cs="Times New Roman"/>
          <w:sz w:val="26"/>
          <w:szCs w:val="26"/>
          <w:lang w:val="ru-RU"/>
        </w:rPr>
        <w:t>деятельности, туристического обслуживания, спорта, охоты, рыбалки и т.д.</w:t>
      </w:r>
    </w:p>
    <w:p w14:paraId="34CC7FA2" w14:textId="77777777" w:rsidR="00DB474C" w:rsidRPr="007B7DEB" w:rsidRDefault="00DB474C" w:rsidP="00883FEB">
      <w:pPr>
        <w:pStyle w:val="Textbody"/>
        <w:spacing w:after="0" w:line="276" w:lineRule="auto"/>
        <w:ind w:firstLine="709"/>
        <w:jc w:val="both"/>
        <w:rPr>
          <w:rFonts w:ascii="Times New Roman" w:hAnsi="Times New Roman" w:cs="Times New Roman"/>
          <w:sz w:val="26"/>
          <w:szCs w:val="26"/>
          <w:lang w:val="ru-RU"/>
        </w:rPr>
      </w:pPr>
      <w:r w:rsidRPr="007B7DEB">
        <w:rPr>
          <w:rFonts w:ascii="Times New Roman" w:hAnsi="Times New Roman" w:cs="Times New Roman"/>
          <w:sz w:val="26"/>
          <w:szCs w:val="26"/>
          <w:lang w:val="ru-RU"/>
        </w:rPr>
        <w:t xml:space="preserve">Рекреационная сфера является неотъемлемой составляющей экономической системы, куда ежегодно </w:t>
      </w:r>
      <w:r w:rsidRPr="007B7DEB">
        <w:rPr>
          <w:rFonts w:ascii="Times New Roman" w:eastAsia="Calibri" w:hAnsi="Times New Roman" w:cs="Times New Roman"/>
          <w:sz w:val="26"/>
          <w:szCs w:val="26"/>
          <w:lang w:val="ru-RU" w:eastAsia="en-US"/>
        </w:rPr>
        <w:t xml:space="preserve">вовлекает значительные размеры рекреационных, трудовых, материальных ресурсов и технологий. </w:t>
      </w:r>
      <w:r w:rsidRPr="007B7DEB">
        <w:rPr>
          <w:rFonts w:ascii="Times New Roman" w:hAnsi="Times New Roman" w:cs="Times New Roman"/>
          <w:sz w:val="26"/>
          <w:szCs w:val="26"/>
          <w:lang w:val="ru-RU"/>
        </w:rPr>
        <w:t>Что касается Воронежской области, то регион недостаточно обеспечен объектами рекреационной инфраструктуры по сравнению с другими городами-миллионниками Российской Федерации. Тем не менее, в регионе наметилась тенденция развития данной сферы. Так, например, в законе Воронежской Области «О стратегии социально-экономического развития Воронежской области до 2035 года» одной из стратегических целей развития региона является  обеспечение реализации туристско-рекреационного потенциала (в том числе туристских объектов национального и мирового уровней), развитие инфраструктуры регионального туризма</w:t>
      </w:r>
      <w:r w:rsidRPr="007B7DEB">
        <w:rPr>
          <w:rFonts w:ascii="Times New Roman" w:hAnsi="Times New Roman" w:cs="Times New Roman"/>
          <w:sz w:val="26"/>
          <w:szCs w:val="26"/>
          <w:vertAlign w:val="superscript"/>
          <w:lang w:val="ru-RU"/>
        </w:rPr>
        <w:t>22</w:t>
      </w:r>
      <w:r w:rsidRPr="007B7DEB">
        <w:rPr>
          <w:rFonts w:ascii="Times New Roman" w:hAnsi="Times New Roman" w:cs="Times New Roman"/>
          <w:sz w:val="26"/>
          <w:szCs w:val="26"/>
          <w:lang w:val="ru-RU"/>
        </w:rPr>
        <w:t>. Для этих целей постановлением правительства Воронежской области от 18.12.2013г. №1119 утверждена государственная программа Воронежской области «Развитие культуры и туризма» (ред. от 26.11.2018г.). Подпрограмма 6 носит название «Развитие туризма и рекреации». Объем финансирования по подпрограмме всего составляет 62700,0 тыс. руб., источник финансирования- областной бюджет.</w:t>
      </w:r>
    </w:p>
    <w:p w14:paraId="24494664" w14:textId="77777777" w:rsidR="00DB474C" w:rsidRDefault="00DB474C" w:rsidP="00DB474C">
      <w:pPr>
        <w:autoSpaceDE w:val="0"/>
        <w:autoSpaceDN w:val="0"/>
        <w:adjustRightInd w:val="0"/>
        <w:spacing w:after="0" w:line="276" w:lineRule="auto"/>
        <w:ind w:firstLine="709"/>
        <w:jc w:val="both"/>
        <w:rPr>
          <w:rFonts w:ascii="Times New Roman" w:hAnsi="Times New Roman" w:cs="Times New Roman"/>
          <w:sz w:val="26"/>
          <w:szCs w:val="26"/>
        </w:rPr>
      </w:pPr>
      <w:r w:rsidRPr="007B7DEB">
        <w:rPr>
          <w:rFonts w:ascii="Times New Roman" w:hAnsi="Times New Roman" w:cs="Times New Roman"/>
          <w:sz w:val="26"/>
          <w:szCs w:val="26"/>
          <w:shd w:val="clear" w:color="auto" w:fill="FFFFFF"/>
        </w:rPr>
        <w:t>Развитая транспортная инфраструктура Воронежской области</w:t>
      </w:r>
      <w:r w:rsidRPr="002F245A">
        <w:rPr>
          <w:rFonts w:ascii="Times New Roman" w:hAnsi="Times New Roman" w:cs="Times New Roman"/>
          <w:sz w:val="26"/>
          <w:szCs w:val="26"/>
          <w:shd w:val="clear" w:color="auto" w:fill="FFFFFF"/>
        </w:rPr>
        <w:t>, наличие международного аэропорта </w:t>
      </w:r>
      <w:r w:rsidRPr="002F245A">
        <w:rPr>
          <w:rFonts w:ascii="Times New Roman" w:hAnsi="Times New Roman" w:cs="Times New Roman"/>
          <w:bCs/>
          <w:sz w:val="26"/>
          <w:szCs w:val="26"/>
          <w:shd w:val="clear" w:color="auto" w:fill="FFFFFF"/>
        </w:rPr>
        <w:t>"</w:t>
      </w:r>
      <w:r w:rsidRPr="002F245A">
        <w:rPr>
          <w:rFonts w:ascii="Times New Roman" w:hAnsi="Times New Roman" w:cs="Times New Roman"/>
          <w:sz w:val="26"/>
          <w:szCs w:val="26"/>
          <w:shd w:val="clear" w:color="auto" w:fill="FFFFFF"/>
        </w:rPr>
        <w:t>Воронеж" являются ключевыми конкурентными преимуществами и позволяют обеспечить прибытие и комфортное перемещение по территории Воронежской области туристов из разных регионов Российской Федерации, а также иностранных граждан.</w:t>
      </w:r>
      <w:r w:rsidRPr="002F245A">
        <w:rPr>
          <w:rFonts w:ascii="Times New Roman" w:hAnsi="Times New Roman" w:cs="Times New Roman"/>
          <w:sz w:val="26"/>
          <w:szCs w:val="26"/>
        </w:rPr>
        <w:t xml:space="preserve"> </w:t>
      </w:r>
      <w:r w:rsidRPr="002F245A">
        <w:rPr>
          <w:rFonts w:ascii="Times New Roman" w:hAnsi="Times New Roman" w:cs="Times New Roman"/>
          <w:sz w:val="26"/>
          <w:szCs w:val="26"/>
          <w:shd w:val="clear" w:color="auto" w:fill="FFFFFF"/>
        </w:rPr>
        <w:t xml:space="preserve">Одним из направлений увеличения туристической привлекательности региона считается повышение качества гостиничных услуг.  </w:t>
      </w:r>
      <w:r w:rsidRPr="002F245A">
        <w:rPr>
          <w:rFonts w:ascii="Times New Roman" w:hAnsi="Times New Roman" w:cs="Times New Roman"/>
          <w:sz w:val="26"/>
          <w:szCs w:val="26"/>
        </w:rPr>
        <w:t>За последние годы в Воронежской области значительно увеличилось количество гостиниц</w:t>
      </w:r>
      <w:r w:rsidRPr="002F245A">
        <w:rPr>
          <w:rFonts w:ascii="Times New Roman" w:hAnsi="Times New Roman" w:cs="Times New Roman"/>
          <w:b/>
          <w:sz w:val="26"/>
          <w:szCs w:val="26"/>
        </w:rPr>
        <w:t xml:space="preserve">. </w:t>
      </w:r>
      <w:r w:rsidRPr="001410AB">
        <w:rPr>
          <w:rStyle w:val="StrongEmphasis"/>
          <w:rFonts w:ascii="Times New Roman" w:hAnsi="Times New Roman" w:cs="Times New Roman"/>
          <w:b w:val="0"/>
          <w:sz w:val="26"/>
          <w:szCs w:val="26"/>
        </w:rPr>
        <w:t>Так как через Воронежскую область проходит крупная магистральная федеральная дорога "Дон" (М-4), а в широтном направлении - федеральная автодорога "Курск - Воронеж - Саратов" (А-144), в регионе есть множество объектов придорожного сервиса, которые в том числе предоставляют гостиничные услуги. Также</w:t>
      </w:r>
      <w:r w:rsidRPr="002F245A">
        <w:rPr>
          <w:rStyle w:val="StrongEmphasis"/>
          <w:rFonts w:ascii="Times New Roman" w:hAnsi="Times New Roman" w:cs="Times New Roman"/>
          <w:sz w:val="26"/>
          <w:szCs w:val="26"/>
        </w:rPr>
        <w:t xml:space="preserve"> </w:t>
      </w:r>
      <w:r w:rsidRPr="002F245A">
        <w:rPr>
          <w:rFonts w:ascii="Times New Roman" w:hAnsi="Times New Roman" w:cs="Times New Roman"/>
          <w:sz w:val="26"/>
          <w:szCs w:val="26"/>
        </w:rPr>
        <w:t>на территории региона функционируют множество баз отдыха, в основном они расположены в районах области, которые граничат с административным центром, а также расположены вблизи р. Воронеж и р. Дон.</w:t>
      </w:r>
    </w:p>
    <w:p w14:paraId="2A1E2A52" w14:textId="77777777" w:rsidR="00DB474C" w:rsidRPr="001410AB" w:rsidRDefault="00DB474C" w:rsidP="00DB474C">
      <w:pPr>
        <w:spacing w:before="120" w:after="0" w:line="276" w:lineRule="auto"/>
        <w:jc w:val="center"/>
        <w:rPr>
          <w:rStyle w:val="af9"/>
          <w:rFonts w:ascii="Times New Roman" w:hAnsi="Times New Roman" w:cs="Times New Roman"/>
          <w:b w:val="0"/>
          <w:i/>
          <w:sz w:val="26"/>
          <w:szCs w:val="26"/>
        </w:rPr>
      </w:pPr>
      <w:r w:rsidRPr="001410AB">
        <w:rPr>
          <w:rStyle w:val="af9"/>
          <w:rFonts w:ascii="Times New Roman" w:hAnsi="Times New Roman" w:cs="Times New Roman"/>
          <w:i/>
          <w:sz w:val="26"/>
          <w:szCs w:val="26"/>
        </w:rPr>
        <w:t>Собранная исполнителем рыночная информация</w:t>
      </w:r>
    </w:p>
    <w:p w14:paraId="624A43E9" w14:textId="77777777" w:rsidR="00DB474C" w:rsidRPr="00106560" w:rsidRDefault="00DB474C" w:rsidP="00DB474C">
      <w:pPr>
        <w:spacing w:after="0" w:line="300" w:lineRule="auto"/>
        <w:ind w:firstLine="709"/>
        <w:jc w:val="both"/>
        <w:rPr>
          <w:rFonts w:ascii="Times New Roman" w:hAnsi="Times New Roman" w:cs="Times New Roman"/>
          <w:sz w:val="26"/>
          <w:szCs w:val="26"/>
        </w:rPr>
      </w:pPr>
      <w:r w:rsidRPr="00106560">
        <w:rPr>
          <w:rFonts w:ascii="Times New Roman" w:hAnsi="Times New Roman" w:cs="Times New Roman"/>
          <w:sz w:val="26"/>
          <w:szCs w:val="26"/>
        </w:rPr>
        <w:t xml:space="preserve">Для анализа рынка </w:t>
      </w:r>
      <w:r>
        <w:rPr>
          <w:rFonts w:ascii="Times New Roman" w:hAnsi="Times New Roman" w:cs="Times New Roman"/>
          <w:sz w:val="26"/>
          <w:szCs w:val="26"/>
        </w:rPr>
        <w:t>объектов недвижимости</w:t>
      </w:r>
      <w:r w:rsidRPr="00106560">
        <w:rPr>
          <w:rFonts w:ascii="Times New Roman" w:hAnsi="Times New Roman" w:cs="Times New Roman"/>
          <w:sz w:val="26"/>
          <w:szCs w:val="26"/>
        </w:rPr>
        <w:t xml:space="preserve"> 5 сегмента «Отдых (рекреация)» выполнен сбор информации о сделках и предложения, представленных на первичном и вторичном рынках недвижимости Воронежской области. </w:t>
      </w:r>
    </w:p>
    <w:p w14:paraId="561C1D5B" w14:textId="77777777" w:rsidR="00DB474C" w:rsidRPr="00106560" w:rsidRDefault="00DB474C" w:rsidP="00DB474C">
      <w:pPr>
        <w:spacing w:after="0" w:line="276" w:lineRule="auto"/>
        <w:ind w:firstLine="708"/>
        <w:jc w:val="both"/>
        <w:rPr>
          <w:rFonts w:ascii="Times New Roman" w:hAnsi="Times New Roman" w:cs="Times New Roman"/>
          <w:sz w:val="26"/>
          <w:szCs w:val="26"/>
        </w:rPr>
      </w:pPr>
      <w:r w:rsidRPr="00106560">
        <w:rPr>
          <w:rFonts w:ascii="Times New Roman" w:hAnsi="Times New Roman" w:cs="Times New Roman"/>
          <w:sz w:val="26"/>
          <w:szCs w:val="26"/>
        </w:rPr>
        <w:t>Первичный рынок недвижимости представляет собой свод информации о сделках, осуществленных органами местного самоуправления, заключенных по результатам проведения торгов на территории Воронежской области, а также данные Управления Росреестра по Воронежской области. Вторичный рынок представляет собой предложения по продаже, представленные на сайтах для размещения объявлений, в газетах и т.д.</w:t>
      </w:r>
    </w:p>
    <w:p w14:paraId="0F9F127D" w14:textId="7A038671" w:rsidR="00DB474C" w:rsidRPr="00106560" w:rsidRDefault="00DB474C" w:rsidP="00DB474C">
      <w:pPr>
        <w:spacing w:after="0" w:line="300" w:lineRule="auto"/>
        <w:ind w:firstLine="709"/>
        <w:jc w:val="both"/>
        <w:rPr>
          <w:rFonts w:ascii="Times New Roman" w:hAnsi="Times New Roman" w:cs="Times New Roman"/>
          <w:sz w:val="26"/>
          <w:szCs w:val="26"/>
        </w:rPr>
      </w:pPr>
      <w:r w:rsidRPr="00106560">
        <w:rPr>
          <w:rFonts w:ascii="Times New Roman" w:hAnsi="Times New Roman" w:cs="Times New Roman"/>
          <w:sz w:val="26"/>
          <w:szCs w:val="26"/>
        </w:rPr>
        <w:t xml:space="preserve">Информация о предложениях (сделках) представлена в Приложении </w:t>
      </w:r>
      <w:r w:rsidR="007B7DEB" w:rsidRPr="002F245A">
        <w:rPr>
          <w:rFonts w:ascii="Times New Roman" w:hAnsi="Times New Roman" w:cs="Times New Roman"/>
          <w:sz w:val="26"/>
          <w:szCs w:val="26"/>
        </w:rPr>
        <w:t xml:space="preserve">Приложении </w:t>
      </w:r>
      <w:r w:rsidR="007B7DEB">
        <w:rPr>
          <w:rFonts w:ascii="Times New Roman" w:hAnsi="Times New Roman" w:cs="Times New Roman"/>
          <w:sz w:val="26"/>
          <w:szCs w:val="26"/>
        </w:rPr>
        <w:t>1/1.6/</w:t>
      </w:r>
      <w:r w:rsidR="007B7DEB" w:rsidRPr="00D15360">
        <w:rPr>
          <w:rFonts w:ascii="Times New Roman" w:hAnsi="Times New Roman" w:cs="Times New Roman"/>
          <w:sz w:val="26"/>
          <w:szCs w:val="26"/>
        </w:rPr>
        <w:t>1.6.2</w:t>
      </w:r>
      <w:r w:rsidR="007B7DEB">
        <w:rPr>
          <w:rFonts w:ascii="Times New Roman" w:hAnsi="Times New Roman" w:cs="Times New Roman"/>
          <w:sz w:val="26"/>
          <w:szCs w:val="26"/>
        </w:rPr>
        <w:t xml:space="preserve"> и Приложении 5.</w:t>
      </w:r>
    </w:p>
    <w:p w14:paraId="6495047F" w14:textId="77777777" w:rsidR="00DB474C" w:rsidRDefault="00DB474C" w:rsidP="00DB474C">
      <w:pPr>
        <w:spacing w:after="0" w:line="300" w:lineRule="auto"/>
        <w:ind w:firstLine="709"/>
        <w:jc w:val="both"/>
        <w:rPr>
          <w:rFonts w:ascii="Times New Roman" w:hAnsi="Times New Roman" w:cs="Times New Roman"/>
          <w:sz w:val="26"/>
          <w:szCs w:val="26"/>
        </w:rPr>
      </w:pPr>
      <w:r w:rsidRPr="004643AA">
        <w:rPr>
          <w:rFonts w:ascii="Times New Roman" w:hAnsi="Times New Roman" w:cs="Times New Roman"/>
          <w:sz w:val="26"/>
          <w:szCs w:val="26"/>
        </w:rPr>
        <w:t>Обзор рыночной информации 5 сегмента содержит информацию всего о</w:t>
      </w:r>
      <w:r>
        <w:rPr>
          <w:rFonts w:ascii="Times New Roman" w:hAnsi="Times New Roman" w:cs="Times New Roman"/>
          <w:sz w:val="26"/>
          <w:szCs w:val="26"/>
        </w:rPr>
        <w:t xml:space="preserve"> </w:t>
      </w:r>
      <w:r w:rsidRPr="00030770">
        <w:rPr>
          <w:rFonts w:ascii="Times New Roman" w:hAnsi="Times New Roman" w:cs="Times New Roman"/>
          <w:sz w:val="26"/>
          <w:szCs w:val="26"/>
        </w:rPr>
        <w:t>111</w:t>
      </w:r>
      <w:r w:rsidRPr="004643AA">
        <w:rPr>
          <w:rFonts w:ascii="Times New Roman" w:hAnsi="Times New Roman" w:cs="Times New Roman"/>
          <w:sz w:val="26"/>
          <w:szCs w:val="26"/>
        </w:rPr>
        <w:t xml:space="preserve"> предложениях (сделках) по Воронежской области. </w:t>
      </w:r>
    </w:p>
    <w:p w14:paraId="43DA7A17"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торг</w:t>
      </w:r>
    </w:p>
    <w:p w14:paraId="2F8AAB29" w14:textId="77777777" w:rsidR="00DB474C" w:rsidRDefault="00DB474C" w:rsidP="00DB474C">
      <w:pPr>
        <w:spacing w:before="120" w:after="0" w:line="300" w:lineRule="auto"/>
        <w:ind w:firstLine="567"/>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При продаже земельных участков на рынке недвижимости возможно снижение цены сделки за счет уторговывания. </w:t>
      </w:r>
      <w:r>
        <w:rPr>
          <w:rFonts w:ascii="Times New Roman" w:eastAsia="Times New Roman" w:hAnsi="Times New Roman" w:cs="Times New Roman"/>
          <w:sz w:val="26"/>
          <w:szCs w:val="26"/>
          <w:lang w:eastAsia="ru-RU"/>
        </w:rPr>
        <w:t xml:space="preserve">Так как в представленной рыночной выборке содержится информация и по предложениям, и по сделкам, удельные показатели цены предложения по продаже объектов-аналогов были скорректированы на тип сделки (скидка на торг). </w:t>
      </w:r>
      <w:r>
        <w:rPr>
          <w:rFonts w:ascii="Times New Roman" w:eastAsia="Calibri" w:hAnsi="Times New Roman" w:cs="Times New Roman"/>
          <w:sz w:val="26"/>
          <w:szCs w:val="26"/>
        </w:rPr>
        <w:t xml:space="preserve">Величина скидки на торг определена по результатам исследования рынка земельных участков, проведенного некоммерческой </w:t>
      </w:r>
      <w:r w:rsidRPr="00A67AF4">
        <w:rPr>
          <w:rFonts w:ascii="Times New Roman" w:eastAsia="Calibri" w:hAnsi="Times New Roman" w:cs="Times New Roman"/>
          <w:sz w:val="26"/>
          <w:szCs w:val="26"/>
        </w:rPr>
        <w:t>организацией «Ассоциация развития рынка недвижимости «СтатРиелт» (</w:t>
      </w:r>
      <w:hyperlink r:id="rId78" w:history="1">
        <w:r w:rsidRPr="00A67AF4">
          <w:rPr>
            <w:rStyle w:val="ad"/>
            <w:rFonts w:ascii="Times New Roman" w:hAnsi="Times New Roman" w:cs="Times New Roman"/>
            <w:sz w:val="26"/>
            <w:szCs w:val="26"/>
          </w:rPr>
          <w:t>https://statrielt.ru/</w:t>
        </w:r>
      </w:hyperlink>
      <w:r w:rsidRPr="00A67AF4">
        <w:rPr>
          <w:rFonts w:ascii="Times New Roman" w:hAnsi="Times New Roman" w:cs="Times New Roman"/>
          <w:sz w:val="26"/>
          <w:szCs w:val="26"/>
        </w:rPr>
        <w:t>).</w:t>
      </w:r>
    </w:p>
    <w:p w14:paraId="75D4FF76" w14:textId="77777777" w:rsidR="00DB474C" w:rsidRDefault="00DB474C" w:rsidP="00DB474C">
      <w:pPr>
        <w:jc w:val="both"/>
      </w:pPr>
      <w:r w:rsidRPr="00376FBD">
        <w:rPr>
          <w:noProof/>
          <w:lang w:eastAsia="ru-RU"/>
        </w:rPr>
        <w:drawing>
          <wp:inline distT="0" distB="0" distL="0" distR="0" wp14:anchorId="494618E9" wp14:editId="21368182">
            <wp:extent cx="5940425" cy="386969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869690"/>
                    </a:xfrm>
                    <a:prstGeom prst="rect">
                      <a:avLst/>
                    </a:prstGeom>
                  </pic:spPr>
                </pic:pic>
              </a:graphicData>
            </a:graphic>
          </wp:inline>
        </w:drawing>
      </w:r>
    </w:p>
    <w:p w14:paraId="07593B38" w14:textId="025546F5" w:rsidR="00DB474C" w:rsidRPr="00A67AF4" w:rsidRDefault="00DB474C" w:rsidP="00DB474C">
      <w:pPr>
        <w:spacing w:after="0" w:line="300" w:lineRule="auto"/>
        <w:ind w:firstLine="567"/>
        <w:jc w:val="center"/>
        <w:rPr>
          <w:rFonts w:ascii="Times New Roman" w:eastAsia="Calibri" w:hAnsi="Times New Roman" w:cs="Times New Roman"/>
          <w:sz w:val="26"/>
          <w:szCs w:val="26"/>
        </w:rPr>
      </w:pPr>
      <w:r>
        <w:rPr>
          <w:rFonts w:ascii="Times New Roman" w:eastAsia="Calibri" w:hAnsi="Times New Roman" w:cs="Times New Roman"/>
          <w:sz w:val="26"/>
          <w:szCs w:val="26"/>
        </w:rPr>
        <w:t>Рис.3.1.3.5.1- Скидка на торг, уторгование при продаже земельных участков на 01.01.2022 года по данным некоммерческой организации «Ассоциация развития рынка недвижимости «</w:t>
      </w:r>
      <w:r w:rsidRPr="00A67AF4">
        <w:rPr>
          <w:rFonts w:ascii="Times New Roman" w:eastAsia="Calibri" w:hAnsi="Times New Roman" w:cs="Times New Roman"/>
          <w:sz w:val="26"/>
          <w:szCs w:val="26"/>
        </w:rPr>
        <w:t>СтатРиелт»</w:t>
      </w:r>
      <w:r w:rsidR="00E564BF">
        <w:rPr>
          <w:rStyle w:val="af2"/>
          <w:rFonts w:ascii="Times New Roman" w:eastAsia="Calibri" w:hAnsi="Times New Roman" w:cs="Times New Roman"/>
          <w:sz w:val="26"/>
          <w:szCs w:val="26"/>
        </w:rPr>
        <w:footnoteReference w:id="80"/>
      </w:r>
    </w:p>
    <w:p w14:paraId="054195CF" w14:textId="77777777" w:rsidR="00DB474C" w:rsidRPr="00650F12" w:rsidRDefault="00DB474C" w:rsidP="00DB474C">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данном случае размер скидки на торг принимаем как для земель населенных пунктов для смешанной коммерческой застройки, значения лежат в доверительном интервале от 0,90 до 0,97 и в среднем по РФ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94</w:t>
      </w:r>
      <w:r>
        <w:rPr>
          <w:rFonts w:ascii="Times New Roman" w:eastAsia="Calibri" w:hAnsi="Times New Roman" w:cs="Times New Roman"/>
          <w:sz w:val="26"/>
          <w:szCs w:val="26"/>
        </w:rPr>
        <w:t xml:space="preserve"> (раздел «</w:t>
      </w:r>
      <w:r w:rsidRPr="00CB1B3C">
        <w:rPr>
          <w:rFonts w:ascii="Times New Roman" w:hAnsi="Times New Roman" w:cs="Times New Roman"/>
          <w:sz w:val="26"/>
          <w:szCs w:val="26"/>
        </w:rPr>
        <w:t>Скидка на торг, уторгование при продаже земельных участков на 01.</w:t>
      </w:r>
      <w:r>
        <w:rPr>
          <w:rFonts w:ascii="Times New Roman" w:hAnsi="Times New Roman" w:cs="Times New Roman"/>
          <w:sz w:val="26"/>
          <w:szCs w:val="26"/>
        </w:rPr>
        <w:t>01</w:t>
      </w:r>
      <w:r w:rsidRPr="00CB1B3C">
        <w:rPr>
          <w:rFonts w:ascii="Times New Roman" w:hAnsi="Times New Roman" w:cs="Times New Roman"/>
          <w:sz w:val="26"/>
          <w:szCs w:val="26"/>
        </w:rPr>
        <w:t>.202</w:t>
      </w:r>
      <w:r>
        <w:rPr>
          <w:rFonts w:ascii="Times New Roman" w:hAnsi="Times New Roman" w:cs="Times New Roman"/>
          <w:sz w:val="26"/>
          <w:szCs w:val="26"/>
        </w:rPr>
        <w:t>2</w:t>
      </w:r>
      <w:r w:rsidRPr="00CB1B3C">
        <w:rPr>
          <w:rFonts w:ascii="Times New Roman" w:hAnsi="Times New Roman" w:cs="Times New Roman"/>
          <w:sz w:val="26"/>
          <w:szCs w:val="26"/>
        </w:rPr>
        <w:t xml:space="preserve"> года</w:t>
      </w:r>
      <w:r>
        <w:rPr>
          <w:rFonts w:ascii="Times New Roman" w:hAnsi="Times New Roman" w:cs="Times New Roman"/>
          <w:sz w:val="26"/>
          <w:szCs w:val="26"/>
        </w:rPr>
        <w:t>»)</w:t>
      </w:r>
      <w:r>
        <w:rPr>
          <w:rFonts w:ascii="Times New Roman" w:eastAsia="Calibri" w:hAnsi="Times New Roman" w:cs="Times New Roman"/>
          <w:sz w:val="26"/>
          <w:szCs w:val="26"/>
        </w:rPr>
        <w:t xml:space="preserve">. Принято среднее значение диапазона. </w:t>
      </w:r>
    </w:p>
    <w:p w14:paraId="401CDE19"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дату</w:t>
      </w:r>
    </w:p>
    <w:p w14:paraId="2E812BE4" w14:textId="77777777" w:rsidR="00DB474C" w:rsidRDefault="00DB474C" w:rsidP="00DB474C">
      <w:pPr>
        <w:spacing w:after="0" w:line="300" w:lineRule="auto"/>
        <w:ind w:firstLine="708"/>
        <w:jc w:val="both"/>
        <w:rPr>
          <w:rFonts w:ascii="Times New Roman" w:hAnsi="Times New Roman" w:cs="Times New Roman"/>
          <w:b/>
          <w:sz w:val="26"/>
          <w:szCs w:val="26"/>
        </w:rPr>
      </w:pPr>
      <w:r>
        <w:rPr>
          <w:rFonts w:ascii="Times New Roman" w:hAnsi="Times New Roman" w:cs="Times New Roman"/>
          <w:sz w:val="26"/>
          <w:szCs w:val="26"/>
        </w:rPr>
        <w:t xml:space="preserve">Изменение рыночной конъюнктуры, условия которой могут сильно отразиться на стоимости объекта недвижимости, происходят с течением времени. </w:t>
      </w:r>
      <w:r>
        <w:rPr>
          <w:rFonts w:ascii="Times New Roman" w:eastAsia="Calibri" w:hAnsi="Times New Roman" w:cs="Times New Roman"/>
          <w:sz w:val="26"/>
          <w:szCs w:val="26"/>
        </w:rPr>
        <w:t xml:space="preserve">Корректировка на дату учитывает изменение цен на земельные участки за период с даты заключения сделки (предложения) с объектом-аналогом до даты проведения настоящей оценки. </w:t>
      </w:r>
    </w:p>
    <w:p w14:paraId="2C7D9642" w14:textId="77777777" w:rsidR="00DB474C" w:rsidRDefault="00DB474C" w:rsidP="00DB474C">
      <w:pPr>
        <w:jc w:val="center"/>
      </w:pPr>
      <w:r w:rsidRPr="00376FBD">
        <w:rPr>
          <w:noProof/>
          <w:lang w:eastAsia="ru-RU"/>
        </w:rPr>
        <w:drawing>
          <wp:inline distT="0" distB="0" distL="0" distR="0" wp14:anchorId="43130A0E" wp14:editId="4C758CE8">
            <wp:extent cx="5940425" cy="3978910"/>
            <wp:effectExtent l="0" t="0" r="317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978910"/>
                    </a:xfrm>
                    <a:prstGeom prst="rect">
                      <a:avLst/>
                    </a:prstGeom>
                  </pic:spPr>
                </pic:pic>
              </a:graphicData>
            </a:graphic>
          </wp:inline>
        </w:drawing>
      </w:r>
    </w:p>
    <w:p w14:paraId="68FA1FF1" w14:textId="357E1ABB" w:rsidR="00DB474C" w:rsidRDefault="00DB474C" w:rsidP="00DB474C">
      <w:pPr>
        <w:jc w:val="center"/>
        <w:rPr>
          <w:rFonts w:ascii="Times New Roman" w:eastAsia="Calibri" w:hAnsi="Times New Roman" w:cs="Times New Roman"/>
          <w:sz w:val="26"/>
          <w:szCs w:val="26"/>
        </w:rPr>
      </w:pPr>
      <w:r>
        <w:rPr>
          <w:rFonts w:ascii="Times New Roman" w:eastAsia="Calibri" w:hAnsi="Times New Roman" w:cs="Times New Roman"/>
          <w:sz w:val="26"/>
          <w:szCs w:val="26"/>
        </w:rPr>
        <w:t>Рис.3.1.3.5.2-</w:t>
      </w:r>
      <w:r w:rsidRPr="008C322D">
        <w:t xml:space="preserve"> </w:t>
      </w:r>
      <w:r w:rsidRPr="008C322D">
        <w:rPr>
          <w:rFonts w:ascii="Times New Roman" w:eastAsia="Calibri" w:hAnsi="Times New Roman" w:cs="Times New Roman"/>
          <w:sz w:val="26"/>
          <w:szCs w:val="26"/>
        </w:rPr>
        <w:t>Индексы изменения рыночных цен (в рублях) земельных участков</w:t>
      </w:r>
      <w:r>
        <w:rPr>
          <w:rFonts w:ascii="Times New Roman" w:eastAsia="Calibri" w:hAnsi="Times New Roman" w:cs="Times New Roman"/>
          <w:sz w:val="26"/>
          <w:szCs w:val="26"/>
        </w:rPr>
        <w:t xml:space="preserve"> по данным </w:t>
      </w:r>
      <w:r w:rsidRPr="00A67AF4">
        <w:rPr>
          <w:rFonts w:ascii="Times New Roman" w:eastAsia="Calibri" w:hAnsi="Times New Roman" w:cs="Times New Roman"/>
          <w:sz w:val="26"/>
          <w:szCs w:val="26"/>
        </w:rPr>
        <w:t>некоммерческой организации «Ассоциация развития рынка недвижимости «СтатРиелт»</w:t>
      </w:r>
      <w:r w:rsidR="00E564BF">
        <w:rPr>
          <w:rStyle w:val="af2"/>
          <w:rFonts w:ascii="Times New Roman" w:eastAsia="Calibri" w:hAnsi="Times New Roman" w:cs="Times New Roman"/>
          <w:sz w:val="26"/>
          <w:szCs w:val="26"/>
        </w:rPr>
        <w:footnoteReference w:id="81"/>
      </w:r>
    </w:p>
    <w:p w14:paraId="5EA842B5" w14:textId="77777777" w:rsidR="00DB474C" w:rsidRDefault="00DB474C" w:rsidP="00DB474C">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был произведен расчет корректировок, значения представлены далее в таблице.</w:t>
      </w:r>
    </w:p>
    <w:p w14:paraId="7813F1A4" w14:textId="0BF8161A" w:rsidR="00DB474C" w:rsidRDefault="00DB474C" w:rsidP="00DB474C">
      <w:pPr>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3.1.3.5.1</w:t>
      </w:r>
    </w:p>
    <w:p w14:paraId="302A2341" w14:textId="77777777" w:rsidR="00DB474C" w:rsidRPr="002F6E4F" w:rsidRDefault="00DB474C" w:rsidP="00DB474C">
      <w:pPr>
        <w:jc w:val="center"/>
        <w:rPr>
          <w:rFonts w:ascii="Times New Roman" w:eastAsia="Calibri" w:hAnsi="Times New Roman" w:cs="Times New Roman"/>
          <w:sz w:val="26"/>
          <w:szCs w:val="26"/>
        </w:rPr>
      </w:pPr>
      <w:r>
        <w:rPr>
          <w:rFonts w:ascii="Times New Roman" w:eastAsia="Calibri" w:hAnsi="Times New Roman" w:cs="Times New Roman"/>
          <w:sz w:val="26"/>
          <w:szCs w:val="26"/>
        </w:rPr>
        <w:t>Размер корректировок на дату, рассчитанных на каждое полугодие</w:t>
      </w:r>
    </w:p>
    <w:tbl>
      <w:tblPr>
        <w:tblStyle w:val="ae"/>
        <w:tblW w:w="4927" w:type="pct"/>
        <w:jc w:val="center"/>
        <w:tblLayout w:type="fixed"/>
        <w:tblLook w:val="04A0" w:firstRow="1" w:lastRow="0" w:firstColumn="1" w:lastColumn="0" w:noHBand="0" w:noVBand="1"/>
      </w:tblPr>
      <w:tblGrid>
        <w:gridCol w:w="1130"/>
        <w:gridCol w:w="993"/>
        <w:gridCol w:w="1558"/>
        <w:gridCol w:w="1558"/>
        <w:gridCol w:w="654"/>
        <w:gridCol w:w="622"/>
        <w:gridCol w:w="993"/>
        <w:gridCol w:w="1700"/>
      </w:tblGrid>
      <w:tr w:rsidR="00DB474C" w:rsidRPr="006640DC" w14:paraId="3A35E001" w14:textId="77777777" w:rsidTr="00DB474C">
        <w:trPr>
          <w:jc w:val="center"/>
        </w:trPr>
        <w:tc>
          <w:tcPr>
            <w:tcW w:w="614" w:type="pct"/>
            <w:vAlign w:val="center"/>
          </w:tcPr>
          <w:p w14:paraId="5B97460F" w14:textId="77777777" w:rsidR="00DB474C" w:rsidRPr="006640DC" w:rsidRDefault="00DB474C" w:rsidP="00DB474C">
            <w:pPr>
              <w:jc w:val="center"/>
              <w:rPr>
                <w:rFonts w:ascii="Times New Roman" w:hAnsi="Times New Roman" w:cs="Times New Roman"/>
                <w:sz w:val="18"/>
                <w:szCs w:val="18"/>
              </w:rPr>
            </w:pPr>
            <w:r w:rsidRPr="006640DC">
              <w:rPr>
                <w:rFonts w:ascii="Times New Roman" w:hAnsi="Times New Roman" w:cs="Times New Roman"/>
                <w:sz w:val="18"/>
                <w:szCs w:val="18"/>
              </w:rPr>
              <w:t>к 01.0</w:t>
            </w:r>
            <w:r>
              <w:rPr>
                <w:rFonts w:ascii="Times New Roman" w:hAnsi="Times New Roman" w:cs="Times New Roman"/>
                <w:sz w:val="18"/>
                <w:szCs w:val="18"/>
              </w:rPr>
              <w:t>1</w:t>
            </w:r>
            <w:r w:rsidRPr="006640DC">
              <w:rPr>
                <w:rFonts w:ascii="Times New Roman" w:hAnsi="Times New Roman" w:cs="Times New Roman"/>
                <w:sz w:val="18"/>
                <w:szCs w:val="18"/>
              </w:rPr>
              <w:t>.202</w:t>
            </w:r>
            <w:r>
              <w:rPr>
                <w:rFonts w:ascii="Times New Roman" w:hAnsi="Times New Roman" w:cs="Times New Roman"/>
                <w:sz w:val="18"/>
                <w:szCs w:val="18"/>
              </w:rPr>
              <w:t>2</w:t>
            </w:r>
          </w:p>
        </w:tc>
        <w:tc>
          <w:tcPr>
            <w:tcW w:w="539" w:type="pct"/>
            <w:vAlign w:val="center"/>
          </w:tcPr>
          <w:p w14:paraId="5567984C" w14:textId="77777777" w:rsidR="00DB474C" w:rsidRPr="00EF51B1" w:rsidRDefault="00DB474C" w:rsidP="00DB474C">
            <w:pPr>
              <w:jc w:val="center"/>
              <w:rPr>
                <w:rFonts w:ascii="Times New Roman" w:hAnsi="Times New Roman" w:cs="Times New Roman"/>
                <w:b/>
                <w:sz w:val="18"/>
              </w:rPr>
            </w:pPr>
            <w:r w:rsidRPr="00EF51B1">
              <w:rPr>
                <w:rFonts w:ascii="Times New Roman" w:hAnsi="Times New Roman" w:cs="Times New Roman"/>
                <w:b/>
                <w:color w:val="000000"/>
                <w:sz w:val="18"/>
              </w:rPr>
              <w:t>торговые и офисные здания</w:t>
            </w:r>
          </w:p>
        </w:tc>
        <w:tc>
          <w:tcPr>
            <w:tcW w:w="846" w:type="pct"/>
            <w:vAlign w:val="center"/>
          </w:tcPr>
          <w:p w14:paraId="024A7634" w14:textId="77777777" w:rsidR="00DB474C" w:rsidRPr="006640DC" w:rsidRDefault="00DB474C" w:rsidP="00DB474C">
            <w:pPr>
              <w:jc w:val="center"/>
              <w:rPr>
                <w:rFonts w:ascii="Times New Roman" w:hAnsi="Times New Roman" w:cs="Times New Roman"/>
                <w:sz w:val="18"/>
              </w:rPr>
            </w:pPr>
            <w:r>
              <w:rPr>
                <w:rFonts w:ascii="Times New Roman" w:hAnsi="Times New Roman" w:cs="Times New Roman"/>
                <w:color w:val="000000"/>
                <w:sz w:val="18"/>
              </w:rPr>
              <w:t>п</w:t>
            </w:r>
            <w:r w:rsidRPr="006640DC">
              <w:rPr>
                <w:rFonts w:ascii="Times New Roman" w:hAnsi="Times New Roman" w:cs="Times New Roman"/>
                <w:color w:val="000000"/>
                <w:sz w:val="18"/>
              </w:rPr>
              <w:t>ромышленности, транспорта, связи и иного специального назначения</w:t>
            </w:r>
          </w:p>
        </w:tc>
        <w:tc>
          <w:tcPr>
            <w:tcW w:w="846" w:type="pct"/>
            <w:vAlign w:val="center"/>
          </w:tcPr>
          <w:p w14:paraId="7DA54D27" w14:textId="77777777" w:rsidR="00DB474C" w:rsidRPr="006640DC" w:rsidRDefault="00DB474C" w:rsidP="00DB474C">
            <w:pPr>
              <w:jc w:val="center"/>
              <w:rPr>
                <w:rFonts w:ascii="Times New Roman" w:hAnsi="Times New Roman" w:cs="Times New Roman"/>
                <w:sz w:val="18"/>
              </w:rPr>
            </w:pPr>
            <w:r>
              <w:rPr>
                <w:rFonts w:ascii="Times New Roman" w:hAnsi="Times New Roman" w:cs="Times New Roman"/>
                <w:color w:val="000000"/>
                <w:sz w:val="18"/>
              </w:rPr>
              <w:t>м</w:t>
            </w:r>
            <w:r w:rsidRPr="006640DC">
              <w:rPr>
                <w:rFonts w:ascii="Times New Roman" w:hAnsi="Times New Roman" w:cs="Times New Roman"/>
                <w:color w:val="000000"/>
                <w:sz w:val="18"/>
              </w:rPr>
              <w:t>ного</w:t>
            </w:r>
            <w:r>
              <w:rPr>
                <w:rFonts w:ascii="Times New Roman" w:hAnsi="Times New Roman" w:cs="Times New Roman"/>
                <w:color w:val="000000"/>
                <w:sz w:val="18"/>
              </w:rPr>
              <w:t>-</w:t>
            </w:r>
            <w:r w:rsidRPr="006640DC">
              <w:rPr>
                <w:rFonts w:ascii="Times New Roman" w:hAnsi="Times New Roman" w:cs="Times New Roman"/>
                <w:color w:val="000000"/>
                <w:sz w:val="18"/>
              </w:rPr>
              <w:t>квартирное строительство</w:t>
            </w:r>
          </w:p>
        </w:tc>
        <w:tc>
          <w:tcPr>
            <w:tcW w:w="355" w:type="pct"/>
            <w:vAlign w:val="center"/>
          </w:tcPr>
          <w:p w14:paraId="498DCE13" w14:textId="77777777" w:rsidR="00DB474C" w:rsidRDefault="00DB474C" w:rsidP="00DB474C">
            <w:pPr>
              <w:rPr>
                <w:rFonts w:ascii="Times New Roman" w:hAnsi="Times New Roman" w:cs="Times New Roman"/>
                <w:color w:val="000000"/>
                <w:sz w:val="18"/>
              </w:rPr>
            </w:pPr>
            <w:r w:rsidRPr="006640DC">
              <w:rPr>
                <w:rFonts w:ascii="Times New Roman" w:hAnsi="Times New Roman" w:cs="Times New Roman"/>
                <w:color w:val="000000"/>
                <w:sz w:val="18"/>
              </w:rPr>
              <w:t>ИЖС</w:t>
            </w:r>
          </w:p>
          <w:p w14:paraId="602797E0" w14:textId="77777777" w:rsidR="00DB474C" w:rsidRDefault="00DB474C" w:rsidP="00DB474C">
            <w:pPr>
              <w:jc w:val="center"/>
              <w:rPr>
                <w:rFonts w:ascii="Times New Roman" w:hAnsi="Times New Roman" w:cs="Times New Roman"/>
                <w:color w:val="000000"/>
                <w:sz w:val="18"/>
              </w:rPr>
            </w:pPr>
            <w:r>
              <w:rPr>
                <w:rFonts w:ascii="Times New Roman" w:hAnsi="Times New Roman" w:cs="Times New Roman"/>
                <w:color w:val="000000"/>
                <w:sz w:val="18"/>
              </w:rPr>
              <w:t>и</w:t>
            </w:r>
          </w:p>
          <w:p w14:paraId="69FA5892" w14:textId="77777777" w:rsidR="00DB474C" w:rsidRPr="006640DC" w:rsidRDefault="00DB474C" w:rsidP="00DB474C">
            <w:pPr>
              <w:rPr>
                <w:rFonts w:ascii="Times New Roman" w:hAnsi="Times New Roman" w:cs="Times New Roman"/>
                <w:sz w:val="18"/>
              </w:rPr>
            </w:pPr>
            <w:r w:rsidRPr="006640DC">
              <w:rPr>
                <w:rFonts w:ascii="Times New Roman" w:hAnsi="Times New Roman" w:cs="Times New Roman"/>
                <w:color w:val="000000"/>
                <w:sz w:val="18"/>
              </w:rPr>
              <w:t>ЛПХ</w:t>
            </w:r>
          </w:p>
        </w:tc>
        <w:tc>
          <w:tcPr>
            <w:tcW w:w="338" w:type="pct"/>
            <w:vAlign w:val="center"/>
          </w:tcPr>
          <w:p w14:paraId="4424BDF8" w14:textId="77777777" w:rsidR="00DB474C" w:rsidRPr="006640DC" w:rsidRDefault="00DB474C" w:rsidP="00DB474C">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Н</w:t>
            </w:r>
            <w:r w:rsidRPr="006640DC">
              <w:rPr>
                <w:rFonts w:ascii="Times New Roman" w:hAnsi="Times New Roman" w:cs="Times New Roman"/>
                <w:color w:val="000000"/>
                <w:sz w:val="18"/>
              </w:rPr>
              <w:t>Т и ДНП</w:t>
            </w:r>
          </w:p>
        </w:tc>
        <w:tc>
          <w:tcPr>
            <w:tcW w:w="539" w:type="pct"/>
            <w:vAlign w:val="center"/>
          </w:tcPr>
          <w:p w14:paraId="5098A045" w14:textId="77777777" w:rsidR="00DB474C" w:rsidRPr="006640DC" w:rsidRDefault="00DB474C" w:rsidP="00DB474C">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/х</w:t>
            </w:r>
            <w:r w:rsidRPr="006640DC">
              <w:rPr>
                <w:rFonts w:ascii="Times New Roman" w:hAnsi="Times New Roman" w:cs="Times New Roman"/>
                <w:color w:val="000000"/>
                <w:sz w:val="18"/>
              </w:rPr>
              <w:t xml:space="preserve"> назна</w:t>
            </w:r>
            <w:r>
              <w:rPr>
                <w:rFonts w:ascii="Times New Roman" w:hAnsi="Times New Roman" w:cs="Times New Roman"/>
                <w:color w:val="000000"/>
                <w:sz w:val="18"/>
              </w:rPr>
              <w:t>-</w:t>
            </w:r>
            <w:r w:rsidRPr="006640DC">
              <w:rPr>
                <w:rFonts w:ascii="Times New Roman" w:hAnsi="Times New Roman" w:cs="Times New Roman"/>
                <w:color w:val="000000"/>
                <w:sz w:val="18"/>
              </w:rPr>
              <w:t>чения</w:t>
            </w:r>
          </w:p>
        </w:tc>
        <w:tc>
          <w:tcPr>
            <w:tcW w:w="923" w:type="pct"/>
            <w:vAlign w:val="center"/>
          </w:tcPr>
          <w:p w14:paraId="0A49545B" w14:textId="77777777" w:rsidR="00DB474C" w:rsidRPr="006640DC" w:rsidRDefault="00DB474C" w:rsidP="00DB474C">
            <w:pPr>
              <w:jc w:val="center"/>
              <w:rPr>
                <w:rFonts w:ascii="Times New Roman" w:hAnsi="Times New Roman" w:cs="Times New Roman"/>
                <w:sz w:val="18"/>
              </w:rPr>
            </w:pPr>
            <w:r w:rsidRPr="006640DC">
              <w:rPr>
                <w:rFonts w:ascii="Times New Roman" w:hAnsi="Times New Roman" w:cs="Times New Roman"/>
                <w:color w:val="000000"/>
                <w:sz w:val="18"/>
              </w:rPr>
              <w:t>сельскохозяйственного назначения с возможностью или перспективой строительства коммерческих зданий</w:t>
            </w:r>
          </w:p>
        </w:tc>
      </w:tr>
      <w:tr w:rsidR="00DB474C" w:rsidRPr="006640DC" w14:paraId="61E1F32E" w14:textId="77777777" w:rsidTr="00DB474C">
        <w:trPr>
          <w:jc w:val="center"/>
        </w:trPr>
        <w:tc>
          <w:tcPr>
            <w:tcW w:w="614" w:type="pct"/>
            <w:vAlign w:val="bottom"/>
          </w:tcPr>
          <w:p w14:paraId="3FDF6200"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01.01.2018 по 30.06.2018</w:t>
            </w:r>
          </w:p>
        </w:tc>
        <w:tc>
          <w:tcPr>
            <w:tcW w:w="539" w:type="pct"/>
            <w:vAlign w:val="bottom"/>
          </w:tcPr>
          <w:p w14:paraId="77BF7975" w14:textId="77777777" w:rsidR="00DB474C" w:rsidRPr="00AD3D43" w:rsidRDefault="00DB474C" w:rsidP="00DB474C">
            <w:pPr>
              <w:jc w:val="center"/>
              <w:rPr>
                <w:rFonts w:ascii="Times New Roman" w:hAnsi="Times New Roman" w:cs="Times New Roman"/>
                <w:b/>
              </w:rPr>
            </w:pPr>
            <w:r w:rsidRPr="00AD3D43">
              <w:rPr>
                <w:rFonts w:ascii="Times New Roman" w:hAnsi="Times New Roman" w:cs="Times New Roman"/>
                <w:b/>
              </w:rPr>
              <w:t>1,04</w:t>
            </w:r>
          </w:p>
        </w:tc>
        <w:tc>
          <w:tcPr>
            <w:tcW w:w="846" w:type="pct"/>
            <w:vAlign w:val="bottom"/>
          </w:tcPr>
          <w:p w14:paraId="07A36715"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0,99</w:t>
            </w:r>
          </w:p>
        </w:tc>
        <w:tc>
          <w:tcPr>
            <w:tcW w:w="846" w:type="pct"/>
            <w:vAlign w:val="bottom"/>
          </w:tcPr>
          <w:p w14:paraId="22B6418F"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1,31</w:t>
            </w:r>
          </w:p>
        </w:tc>
        <w:tc>
          <w:tcPr>
            <w:tcW w:w="355" w:type="pct"/>
            <w:vAlign w:val="bottom"/>
          </w:tcPr>
          <w:p w14:paraId="44FDD5E1"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1,16</w:t>
            </w:r>
          </w:p>
        </w:tc>
        <w:tc>
          <w:tcPr>
            <w:tcW w:w="338" w:type="pct"/>
            <w:vAlign w:val="bottom"/>
          </w:tcPr>
          <w:p w14:paraId="5902E4CA"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1,14</w:t>
            </w:r>
          </w:p>
        </w:tc>
        <w:tc>
          <w:tcPr>
            <w:tcW w:w="539" w:type="pct"/>
            <w:vAlign w:val="bottom"/>
          </w:tcPr>
          <w:p w14:paraId="5F10013B" w14:textId="77777777" w:rsidR="00DB474C" w:rsidRPr="00F22DF9" w:rsidRDefault="00DB474C" w:rsidP="00DB474C">
            <w:pPr>
              <w:jc w:val="center"/>
              <w:rPr>
                <w:rFonts w:ascii="Times New Roman" w:hAnsi="Times New Roman" w:cs="Times New Roman"/>
                <w:b/>
              </w:rPr>
            </w:pPr>
            <w:r w:rsidRPr="00F22DF9">
              <w:rPr>
                <w:rFonts w:ascii="Times New Roman" w:hAnsi="Times New Roman" w:cs="Times New Roman"/>
              </w:rPr>
              <w:t>1,15</w:t>
            </w:r>
          </w:p>
        </w:tc>
        <w:tc>
          <w:tcPr>
            <w:tcW w:w="923" w:type="pct"/>
            <w:vAlign w:val="bottom"/>
          </w:tcPr>
          <w:p w14:paraId="040C2B33"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1,11</w:t>
            </w:r>
          </w:p>
        </w:tc>
      </w:tr>
      <w:tr w:rsidR="00DB474C" w:rsidRPr="006640DC" w14:paraId="1620ABCB" w14:textId="77777777" w:rsidTr="00DB474C">
        <w:trPr>
          <w:jc w:val="center"/>
        </w:trPr>
        <w:tc>
          <w:tcPr>
            <w:tcW w:w="614" w:type="pct"/>
            <w:vAlign w:val="bottom"/>
          </w:tcPr>
          <w:p w14:paraId="343B19A2"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01.07.2018 по 31.12.2018</w:t>
            </w:r>
          </w:p>
        </w:tc>
        <w:tc>
          <w:tcPr>
            <w:tcW w:w="539" w:type="pct"/>
            <w:vAlign w:val="bottom"/>
          </w:tcPr>
          <w:p w14:paraId="5A53213C" w14:textId="77777777" w:rsidR="00DB474C" w:rsidRPr="00AD3D43" w:rsidRDefault="00DB474C" w:rsidP="00DB474C">
            <w:pPr>
              <w:jc w:val="center"/>
              <w:rPr>
                <w:rFonts w:ascii="Times New Roman" w:hAnsi="Times New Roman" w:cs="Times New Roman"/>
                <w:b/>
              </w:rPr>
            </w:pPr>
            <w:r w:rsidRPr="00AD3D43">
              <w:rPr>
                <w:rFonts w:ascii="Times New Roman" w:hAnsi="Times New Roman" w:cs="Times New Roman"/>
                <w:b/>
              </w:rPr>
              <w:t>1,04</w:t>
            </w:r>
          </w:p>
        </w:tc>
        <w:tc>
          <w:tcPr>
            <w:tcW w:w="846" w:type="pct"/>
            <w:vAlign w:val="bottom"/>
          </w:tcPr>
          <w:p w14:paraId="422EDC47"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0,99</w:t>
            </w:r>
          </w:p>
        </w:tc>
        <w:tc>
          <w:tcPr>
            <w:tcW w:w="846" w:type="pct"/>
            <w:vAlign w:val="bottom"/>
          </w:tcPr>
          <w:p w14:paraId="1AC575B3"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1,30</w:t>
            </w:r>
          </w:p>
        </w:tc>
        <w:tc>
          <w:tcPr>
            <w:tcW w:w="355" w:type="pct"/>
            <w:vAlign w:val="bottom"/>
          </w:tcPr>
          <w:p w14:paraId="244108B4"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1,17</w:t>
            </w:r>
          </w:p>
        </w:tc>
        <w:tc>
          <w:tcPr>
            <w:tcW w:w="338" w:type="pct"/>
            <w:vAlign w:val="bottom"/>
          </w:tcPr>
          <w:p w14:paraId="6DF7AF77"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1,15</w:t>
            </w:r>
          </w:p>
        </w:tc>
        <w:tc>
          <w:tcPr>
            <w:tcW w:w="539" w:type="pct"/>
            <w:vAlign w:val="bottom"/>
          </w:tcPr>
          <w:p w14:paraId="52134C69" w14:textId="77777777" w:rsidR="00DB474C" w:rsidRPr="00F22DF9" w:rsidRDefault="00DB474C" w:rsidP="00DB474C">
            <w:pPr>
              <w:jc w:val="center"/>
              <w:rPr>
                <w:rFonts w:ascii="Times New Roman" w:hAnsi="Times New Roman" w:cs="Times New Roman"/>
                <w:b/>
              </w:rPr>
            </w:pPr>
            <w:r w:rsidRPr="00F22DF9">
              <w:rPr>
                <w:rFonts w:ascii="Times New Roman" w:hAnsi="Times New Roman" w:cs="Times New Roman"/>
              </w:rPr>
              <w:t>1,14</w:t>
            </w:r>
          </w:p>
        </w:tc>
        <w:tc>
          <w:tcPr>
            <w:tcW w:w="923" w:type="pct"/>
            <w:vAlign w:val="bottom"/>
          </w:tcPr>
          <w:p w14:paraId="49672C70"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1,13</w:t>
            </w:r>
          </w:p>
        </w:tc>
      </w:tr>
      <w:tr w:rsidR="00DB474C" w:rsidRPr="006640DC" w14:paraId="27C107F5" w14:textId="77777777" w:rsidTr="00DB474C">
        <w:trPr>
          <w:jc w:val="center"/>
        </w:trPr>
        <w:tc>
          <w:tcPr>
            <w:tcW w:w="614" w:type="pct"/>
            <w:vAlign w:val="bottom"/>
          </w:tcPr>
          <w:p w14:paraId="7E6B3BD2"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01.01.2019 по 30.06.2019</w:t>
            </w:r>
          </w:p>
        </w:tc>
        <w:tc>
          <w:tcPr>
            <w:tcW w:w="539" w:type="pct"/>
            <w:vAlign w:val="bottom"/>
          </w:tcPr>
          <w:p w14:paraId="72E2E684" w14:textId="77777777" w:rsidR="00DB474C" w:rsidRPr="00AD3D43" w:rsidRDefault="00DB474C" w:rsidP="00DB474C">
            <w:pPr>
              <w:jc w:val="center"/>
              <w:rPr>
                <w:rFonts w:ascii="Times New Roman" w:hAnsi="Times New Roman" w:cs="Times New Roman"/>
                <w:b/>
              </w:rPr>
            </w:pPr>
            <w:r w:rsidRPr="00AD3D43">
              <w:rPr>
                <w:rFonts w:ascii="Times New Roman" w:hAnsi="Times New Roman" w:cs="Times New Roman"/>
                <w:b/>
              </w:rPr>
              <w:t>1,04</w:t>
            </w:r>
          </w:p>
        </w:tc>
        <w:tc>
          <w:tcPr>
            <w:tcW w:w="846" w:type="pct"/>
            <w:vAlign w:val="bottom"/>
          </w:tcPr>
          <w:p w14:paraId="05B24048"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0,99</w:t>
            </w:r>
          </w:p>
        </w:tc>
        <w:tc>
          <w:tcPr>
            <w:tcW w:w="846" w:type="pct"/>
            <w:vAlign w:val="bottom"/>
          </w:tcPr>
          <w:p w14:paraId="2258B40B"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1,28</w:t>
            </w:r>
          </w:p>
        </w:tc>
        <w:tc>
          <w:tcPr>
            <w:tcW w:w="355" w:type="pct"/>
            <w:vAlign w:val="bottom"/>
          </w:tcPr>
          <w:p w14:paraId="3FFFD214"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1,17</w:t>
            </w:r>
          </w:p>
        </w:tc>
        <w:tc>
          <w:tcPr>
            <w:tcW w:w="338" w:type="pct"/>
            <w:vAlign w:val="bottom"/>
          </w:tcPr>
          <w:p w14:paraId="542B1910"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1,15</w:t>
            </w:r>
          </w:p>
        </w:tc>
        <w:tc>
          <w:tcPr>
            <w:tcW w:w="539" w:type="pct"/>
            <w:vAlign w:val="bottom"/>
          </w:tcPr>
          <w:p w14:paraId="146D65D0" w14:textId="77777777" w:rsidR="00DB474C" w:rsidRPr="00F22DF9" w:rsidRDefault="00DB474C" w:rsidP="00DB474C">
            <w:pPr>
              <w:jc w:val="center"/>
              <w:rPr>
                <w:rFonts w:ascii="Times New Roman" w:hAnsi="Times New Roman" w:cs="Times New Roman"/>
                <w:b/>
              </w:rPr>
            </w:pPr>
            <w:r w:rsidRPr="00F22DF9">
              <w:rPr>
                <w:rFonts w:ascii="Times New Roman" w:hAnsi="Times New Roman" w:cs="Times New Roman"/>
              </w:rPr>
              <w:t>1,12</w:t>
            </w:r>
          </w:p>
        </w:tc>
        <w:tc>
          <w:tcPr>
            <w:tcW w:w="923" w:type="pct"/>
            <w:vAlign w:val="bottom"/>
          </w:tcPr>
          <w:p w14:paraId="43E79EB9"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1,13</w:t>
            </w:r>
          </w:p>
        </w:tc>
      </w:tr>
      <w:tr w:rsidR="00DB474C" w:rsidRPr="006640DC" w14:paraId="3399E217" w14:textId="77777777" w:rsidTr="00DB474C">
        <w:trPr>
          <w:jc w:val="center"/>
        </w:trPr>
        <w:tc>
          <w:tcPr>
            <w:tcW w:w="614" w:type="pct"/>
            <w:vAlign w:val="bottom"/>
          </w:tcPr>
          <w:p w14:paraId="335B194C"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01.07.2019 по 31.12.2019</w:t>
            </w:r>
          </w:p>
        </w:tc>
        <w:tc>
          <w:tcPr>
            <w:tcW w:w="539" w:type="pct"/>
            <w:vAlign w:val="bottom"/>
          </w:tcPr>
          <w:p w14:paraId="48E6438A" w14:textId="77777777" w:rsidR="00DB474C" w:rsidRPr="00AD3D43" w:rsidRDefault="00DB474C" w:rsidP="00DB474C">
            <w:pPr>
              <w:jc w:val="center"/>
              <w:rPr>
                <w:rFonts w:ascii="Times New Roman" w:hAnsi="Times New Roman" w:cs="Times New Roman"/>
                <w:b/>
              </w:rPr>
            </w:pPr>
            <w:r w:rsidRPr="00AD3D43">
              <w:rPr>
                <w:rFonts w:ascii="Times New Roman" w:hAnsi="Times New Roman" w:cs="Times New Roman"/>
                <w:b/>
              </w:rPr>
              <w:t>1,03</w:t>
            </w:r>
          </w:p>
        </w:tc>
        <w:tc>
          <w:tcPr>
            <w:tcW w:w="846" w:type="pct"/>
            <w:vAlign w:val="bottom"/>
          </w:tcPr>
          <w:p w14:paraId="44B9D12F"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0,97</w:t>
            </w:r>
          </w:p>
        </w:tc>
        <w:tc>
          <w:tcPr>
            <w:tcW w:w="846" w:type="pct"/>
            <w:vAlign w:val="bottom"/>
          </w:tcPr>
          <w:p w14:paraId="279ADFED"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1,24</w:t>
            </w:r>
          </w:p>
        </w:tc>
        <w:tc>
          <w:tcPr>
            <w:tcW w:w="355" w:type="pct"/>
            <w:vAlign w:val="bottom"/>
          </w:tcPr>
          <w:p w14:paraId="7B8D577E"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1,15</w:t>
            </w:r>
          </w:p>
        </w:tc>
        <w:tc>
          <w:tcPr>
            <w:tcW w:w="338" w:type="pct"/>
            <w:vAlign w:val="bottom"/>
          </w:tcPr>
          <w:p w14:paraId="78627927"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1,13</w:t>
            </w:r>
          </w:p>
        </w:tc>
        <w:tc>
          <w:tcPr>
            <w:tcW w:w="539" w:type="pct"/>
            <w:vAlign w:val="bottom"/>
          </w:tcPr>
          <w:p w14:paraId="74CEBB16" w14:textId="77777777" w:rsidR="00DB474C" w:rsidRPr="00F22DF9" w:rsidRDefault="00DB474C" w:rsidP="00DB474C">
            <w:pPr>
              <w:jc w:val="center"/>
              <w:rPr>
                <w:rFonts w:ascii="Times New Roman" w:hAnsi="Times New Roman" w:cs="Times New Roman"/>
                <w:b/>
              </w:rPr>
            </w:pPr>
            <w:r w:rsidRPr="00F22DF9">
              <w:rPr>
                <w:rFonts w:ascii="Times New Roman" w:hAnsi="Times New Roman" w:cs="Times New Roman"/>
              </w:rPr>
              <w:t>1,08</w:t>
            </w:r>
          </w:p>
        </w:tc>
        <w:tc>
          <w:tcPr>
            <w:tcW w:w="923" w:type="pct"/>
            <w:vAlign w:val="bottom"/>
          </w:tcPr>
          <w:p w14:paraId="39EC26D1"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1,10</w:t>
            </w:r>
          </w:p>
        </w:tc>
      </w:tr>
      <w:tr w:rsidR="00DB474C" w:rsidRPr="006640DC" w14:paraId="23CA8C6C" w14:textId="77777777" w:rsidTr="00DB474C">
        <w:trPr>
          <w:jc w:val="center"/>
        </w:trPr>
        <w:tc>
          <w:tcPr>
            <w:tcW w:w="614" w:type="pct"/>
            <w:vAlign w:val="bottom"/>
          </w:tcPr>
          <w:p w14:paraId="31834EBE"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01.01.2020 по 30.06.2020</w:t>
            </w:r>
          </w:p>
        </w:tc>
        <w:tc>
          <w:tcPr>
            <w:tcW w:w="539" w:type="pct"/>
            <w:vAlign w:val="bottom"/>
          </w:tcPr>
          <w:p w14:paraId="1570A651" w14:textId="77777777" w:rsidR="00DB474C" w:rsidRPr="00AD3D43" w:rsidRDefault="00DB474C" w:rsidP="00DB474C">
            <w:pPr>
              <w:jc w:val="center"/>
              <w:rPr>
                <w:rFonts w:ascii="Times New Roman" w:hAnsi="Times New Roman" w:cs="Times New Roman"/>
                <w:b/>
              </w:rPr>
            </w:pPr>
            <w:r w:rsidRPr="00AD3D43">
              <w:rPr>
                <w:rFonts w:ascii="Times New Roman" w:hAnsi="Times New Roman" w:cs="Times New Roman"/>
                <w:b/>
              </w:rPr>
              <w:t>1,01</w:t>
            </w:r>
          </w:p>
        </w:tc>
        <w:tc>
          <w:tcPr>
            <w:tcW w:w="846" w:type="pct"/>
            <w:vAlign w:val="bottom"/>
          </w:tcPr>
          <w:p w14:paraId="1DA93C5B"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0,95</w:t>
            </w:r>
          </w:p>
        </w:tc>
        <w:tc>
          <w:tcPr>
            <w:tcW w:w="846" w:type="pct"/>
            <w:vAlign w:val="bottom"/>
          </w:tcPr>
          <w:p w14:paraId="007D3B1D"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1,19</w:t>
            </w:r>
          </w:p>
        </w:tc>
        <w:tc>
          <w:tcPr>
            <w:tcW w:w="355" w:type="pct"/>
            <w:vAlign w:val="bottom"/>
          </w:tcPr>
          <w:p w14:paraId="5F518905"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1,14</w:t>
            </w:r>
          </w:p>
        </w:tc>
        <w:tc>
          <w:tcPr>
            <w:tcW w:w="338" w:type="pct"/>
            <w:vAlign w:val="bottom"/>
          </w:tcPr>
          <w:p w14:paraId="56027B94"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1,10</w:t>
            </w:r>
          </w:p>
        </w:tc>
        <w:tc>
          <w:tcPr>
            <w:tcW w:w="539" w:type="pct"/>
            <w:vAlign w:val="bottom"/>
          </w:tcPr>
          <w:p w14:paraId="384BBE40" w14:textId="77777777" w:rsidR="00DB474C" w:rsidRPr="00F22DF9" w:rsidRDefault="00DB474C" w:rsidP="00DB474C">
            <w:pPr>
              <w:jc w:val="center"/>
              <w:rPr>
                <w:rFonts w:ascii="Times New Roman" w:hAnsi="Times New Roman" w:cs="Times New Roman"/>
                <w:b/>
              </w:rPr>
            </w:pPr>
            <w:r w:rsidRPr="00F22DF9">
              <w:rPr>
                <w:rFonts w:ascii="Times New Roman" w:hAnsi="Times New Roman" w:cs="Times New Roman"/>
              </w:rPr>
              <w:t>1,05</w:t>
            </w:r>
          </w:p>
        </w:tc>
        <w:tc>
          <w:tcPr>
            <w:tcW w:w="923" w:type="pct"/>
            <w:vAlign w:val="bottom"/>
          </w:tcPr>
          <w:p w14:paraId="4CCE5CCA"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1,08</w:t>
            </w:r>
          </w:p>
        </w:tc>
      </w:tr>
      <w:tr w:rsidR="00DB474C" w:rsidRPr="006640DC" w14:paraId="3F9DEF1D" w14:textId="77777777" w:rsidTr="00DB474C">
        <w:trPr>
          <w:jc w:val="center"/>
        </w:trPr>
        <w:tc>
          <w:tcPr>
            <w:tcW w:w="614" w:type="pct"/>
            <w:vAlign w:val="bottom"/>
          </w:tcPr>
          <w:p w14:paraId="2C79D950"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01.07.2020 по 31.12.2020</w:t>
            </w:r>
          </w:p>
        </w:tc>
        <w:tc>
          <w:tcPr>
            <w:tcW w:w="539" w:type="pct"/>
            <w:vAlign w:val="bottom"/>
          </w:tcPr>
          <w:p w14:paraId="59928FE1" w14:textId="77777777" w:rsidR="00DB474C" w:rsidRPr="00AD3D43" w:rsidRDefault="00DB474C" w:rsidP="00DB474C">
            <w:pPr>
              <w:jc w:val="center"/>
              <w:rPr>
                <w:rFonts w:ascii="Times New Roman" w:hAnsi="Times New Roman" w:cs="Times New Roman"/>
                <w:b/>
              </w:rPr>
            </w:pPr>
            <w:r w:rsidRPr="00AD3D43">
              <w:rPr>
                <w:rFonts w:ascii="Times New Roman" w:hAnsi="Times New Roman" w:cs="Times New Roman"/>
                <w:b/>
              </w:rPr>
              <w:t>1,05</w:t>
            </w:r>
          </w:p>
        </w:tc>
        <w:tc>
          <w:tcPr>
            <w:tcW w:w="846" w:type="pct"/>
            <w:vAlign w:val="bottom"/>
          </w:tcPr>
          <w:p w14:paraId="66A67EF5"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0,98</w:t>
            </w:r>
          </w:p>
        </w:tc>
        <w:tc>
          <w:tcPr>
            <w:tcW w:w="846" w:type="pct"/>
            <w:vAlign w:val="bottom"/>
          </w:tcPr>
          <w:p w14:paraId="1C615D24"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1,17</w:t>
            </w:r>
          </w:p>
        </w:tc>
        <w:tc>
          <w:tcPr>
            <w:tcW w:w="355" w:type="pct"/>
            <w:vAlign w:val="bottom"/>
          </w:tcPr>
          <w:p w14:paraId="5E3EE347"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1,11</w:t>
            </w:r>
          </w:p>
        </w:tc>
        <w:tc>
          <w:tcPr>
            <w:tcW w:w="338" w:type="pct"/>
            <w:vAlign w:val="bottom"/>
          </w:tcPr>
          <w:p w14:paraId="2DA1F349"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1,09</w:t>
            </w:r>
          </w:p>
        </w:tc>
        <w:tc>
          <w:tcPr>
            <w:tcW w:w="539" w:type="pct"/>
            <w:vAlign w:val="bottom"/>
          </w:tcPr>
          <w:p w14:paraId="38FEFEDA" w14:textId="77777777" w:rsidR="00DB474C" w:rsidRPr="00F22DF9" w:rsidRDefault="00DB474C" w:rsidP="00DB474C">
            <w:pPr>
              <w:jc w:val="center"/>
              <w:rPr>
                <w:rFonts w:ascii="Times New Roman" w:hAnsi="Times New Roman" w:cs="Times New Roman"/>
                <w:b/>
              </w:rPr>
            </w:pPr>
            <w:r w:rsidRPr="00F22DF9">
              <w:rPr>
                <w:rFonts w:ascii="Times New Roman" w:hAnsi="Times New Roman" w:cs="Times New Roman"/>
              </w:rPr>
              <w:t>1,03</w:t>
            </w:r>
          </w:p>
        </w:tc>
        <w:tc>
          <w:tcPr>
            <w:tcW w:w="923" w:type="pct"/>
            <w:vAlign w:val="bottom"/>
          </w:tcPr>
          <w:p w14:paraId="2983C80A"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1,07</w:t>
            </w:r>
          </w:p>
        </w:tc>
      </w:tr>
      <w:tr w:rsidR="00DB474C" w:rsidRPr="006640DC" w14:paraId="59BD3448" w14:textId="77777777" w:rsidTr="00DB474C">
        <w:trPr>
          <w:jc w:val="center"/>
        </w:trPr>
        <w:tc>
          <w:tcPr>
            <w:tcW w:w="614" w:type="pct"/>
            <w:vAlign w:val="bottom"/>
          </w:tcPr>
          <w:p w14:paraId="28EB1051"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01.01.2021 по 30.06.2021</w:t>
            </w:r>
          </w:p>
        </w:tc>
        <w:tc>
          <w:tcPr>
            <w:tcW w:w="539" w:type="pct"/>
            <w:vAlign w:val="bottom"/>
          </w:tcPr>
          <w:p w14:paraId="5CDDB2AA" w14:textId="77777777" w:rsidR="00DB474C" w:rsidRPr="00AD3D43" w:rsidRDefault="00DB474C" w:rsidP="00DB474C">
            <w:pPr>
              <w:jc w:val="center"/>
              <w:rPr>
                <w:rFonts w:ascii="Times New Roman" w:hAnsi="Times New Roman" w:cs="Times New Roman"/>
                <w:b/>
              </w:rPr>
            </w:pPr>
            <w:r w:rsidRPr="00AD3D43">
              <w:rPr>
                <w:rFonts w:ascii="Times New Roman" w:hAnsi="Times New Roman" w:cs="Times New Roman"/>
                <w:b/>
              </w:rPr>
              <w:t>1,04</w:t>
            </w:r>
          </w:p>
        </w:tc>
        <w:tc>
          <w:tcPr>
            <w:tcW w:w="846" w:type="pct"/>
            <w:vAlign w:val="bottom"/>
          </w:tcPr>
          <w:p w14:paraId="401C0949"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0,98</w:t>
            </w:r>
          </w:p>
        </w:tc>
        <w:tc>
          <w:tcPr>
            <w:tcW w:w="846" w:type="pct"/>
            <w:vAlign w:val="bottom"/>
          </w:tcPr>
          <w:p w14:paraId="0E9D1415"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1,07</w:t>
            </w:r>
          </w:p>
        </w:tc>
        <w:tc>
          <w:tcPr>
            <w:tcW w:w="355" w:type="pct"/>
            <w:vAlign w:val="bottom"/>
          </w:tcPr>
          <w:p w14:paraId="3B1825F2"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1,06</w:t>
            </w:r>
          </w:p>
        </w:tc>
        <w:tc>
          <w:tcPr>
            <w:tcW w:w="338" w:type="pct"/>
            <w:vAlign w:val="bottom"/>
          </w:tcPr>
          <w:p w14:paraId="28749739"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1,04</w:t>
            </w:r>
          </w:p>
        </w:tc>
        <w:tc>
          <w:tcPr>
            <w:tcW w:w="539" w:type="pct"/>
            <w:vAlign w:val="bottom"/>
          </w:tcPr>
          <w:p w14:paraId="1BDA252D" w14:textId="77777777" w:rsidR="00DB474C" w:rsidRPr="00F22DF9" w:rsidRDefault="00DB474C" w:rsidP="00DB474C">
            <w:pPr>
              <w:jc w:val="center"/>
              <w:rPr>
                <w:rFonts w:ascii="Times New Roman" w:hAnsi="Times New Roman" w:cs="Times New Roman"/>
                <w:b/>
              </w:rPr>
            </w:pPr>
            <w:r w:rsidRPr="00F22DF9">
              <w:rPr>
                <w:rFonts w:ascii="Times New Roman" w:hAnsi="Times New Roman" w:cs="Times New Roman"/>
              </w:rPr>
              <w:t>1,01</w:t>
            </w:r>
          </w:p>
        </w:tc>
        <w:tc>
          <w:tcPr>
            <w:tcW w:w="923" w:type="pct"/>
            <w:vAlign w:val="bottom"/>
          </w:tcPr>
          <w:p w14:paraId="1AD0DD0E"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1,02</w:t>
            </w:r>
          </w:p>
        </w:tc>
      </w:tr>
      <w:tr w:rsidR="00DB474C" w:rsidRPr="006640DC" w14:paraId="49BB40CC" w14:textId="77777777" w:rsidTr="00DB474C">
        <w:trPr>
          <w:jc w:val="center"/>
        </w:trPr>
        <w:tc>
          <w:tcPr>
            <w:tcW w:w="614" w:type="pct"/>
            <w:vAlign w:val="bottom"/>
          </w:tcPr>
          <w:p w14:paraId="4A8B91F6"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01.07.2021 по 31.12.2021</w:t>
            </w:r>
          </w:p>
        </w:tc>
        <w:tc>
          <w:tcPr>
            <w:tcW w:w="539" w:type="pct"/>
            <w:vAlign w:val="bottom"/>
          </w:tcPr>
          <w:p w14:paraId="676B621B" w14:textId="77777777" w:rsidR="00DB474C" w:rsidRPr="00AD3D43" w:rsidRDefault="00DB474C" w:rsidP="00DB474C">
            <w:pPr>
              <w:jc w:val="center"/>
              <w:rPr>
                <w:rFonts w:ascii="Times New Roman" w:hAnsi="Times New Roman" w:cs="Times New Roman"/>
                <w:b/>
              </w:rPr>
            </w:pPr>
            <w:r w:rsidRPr="00AD3D43">
              <w:rPr>
                <w:rFonts w:ascii="Times New Roman" w:hAnsi="Times New Roman" w:cs="Times New Roman"/>
                <w:b/>
              </w:rPr>
              <w:t>1,02</w:t>
            </w:r>
          </w:p>
        </w:tc>
        <w:tc>
          <w:tcPr>
            <w:tcW w:w="846" w:type="pct"/>
            <w:vAlign w:val="bottom"/>
          </w:tcPr>
          <w:p w14:paraId="1D9F9A8D"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0,98</w:t>
            </w:r>
          </w:p>
        </w:tc>
        <w:tc>
          <w:tcPr>
            <w:tcW w:w="846" w:type="pct"/>
            <w:vAlign w:val="bottom"/>
          </w:tcPr>
          <w:p w14:paraId="0EF8C68D"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1,03</w:t>
            </w:r>
          </w:p>
        </w:tc>
        <w:tc>
          <w:tcPr>
            <w:tcW w:w="355" w:type="pct"/>
            <w:vAlign w:val="bottom"/>
          </w:tcPr>
          <w:p w14:paraId="78E5D2F4"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1,04</w:t>
            </w:r>
          </w:p>
        </w:tc>
        <w:tc>
          <w:tcPr>
            <w:tcW w:w="338" w:type="pct"/>
            <w:vAlign w:val="bottom"/>
          </w:tcPr>
          <w:p w14:paraId="23DAE2A3"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1,01</w:t>
            </w:r>
          </w:p>
        </w:tc>
        <w:tc>
          <w:tcPr>
            <w:tcW w:w="539" w:type="pct"/>
            <w:vAlign w:val="bottom"/>
          </w:tcPr>
          <w:p w14:paraId="1F3554C5" w14:textId="77777777" w:rsidR="00DB474C" w:rsidRPr="00F22DF9" w:rsidRDefault="00DB474C" w:rsidP="00DB474C">
            <w:pPr>
              <w:jc w:val="center"/>
              <w:rPr>
                <w:rFonts w:ascii="Times New Roman" w:hAnsi="Times New Roman" w:cs="Times New Roman"/>
                <w:b/>
              </w:rPr>
            </w:pPr>
            <w:r w:rsidRPr="00F22DF9">
              <w:rPr>
                <w:rFonts w:ascii="Times New Roman" w:hAnsi="Times New Roman" w:cs="Times New Roman"/>
              </w:rPr>
              <w:t>1,01</w:t>
            </w:r>
          </w:p>
        </w:tc>
        <w:tc>
          <w:tcPr>
            <w:tcW w:w="923" w:type="pct"/>
            <w:vAlign w:val="bottom"/>
          </w:tcPr>
          <w:p w14:paraId="5C01BCF7" w14:textId="77777777" w:rsidR="00DB474C" w:rsidRPr="00F22DF9" w:rsidRDefault="00DB474C" w:rsidP="00DB474C">
            <w:pPr>
              <w:jc w:val="center"/>
              <w:rPr>
                <w:rFonts w:ascii="Times New Roman" w:hAnsi="Times New Roman" w:cs="Times New Roman"/>
              </w:rPr>
            </w:pPr>
            <w:r w:rsidRPr="00F22DF9">
              <w:rPr>
                <w:rFonts w:ascii="Times New Roman" w:hAnsi="Times New Roman" w:cs="Times New Roman"/>
              </w:rPr>
              <w:t>1,01</w:t>
            </w:r>
          </w:p>
        </w:tc>
      </w:tr>
    </w:tbl>
    <w:p w14:paraId="2FB1AF9F"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право</w:t>
      </w:r>
    </w:p>
    <w:p w14:paraId="4EAB349D" w14:textId="77777777" w:rsidR="00DB474C" w:rsidRDefault="00DB474C" w:rsidP="00DB474C">
      <w:pPr>
        <w:spacing w:after="0" w:line="300" w:lineRule="auto"/>
        <w:ind w:firstLine="567"/>
        <w:jc w:val="both"/>
        <w:rPr>
          <w:rFonts w:ascii="Times New Roman" w:hAnsi="Times New Roman" w:cs="Times New Roman"/>
          <w:sz w:val="26"/>
          <w:szCs w:val="26"/>
          <w:u w:val="single"/>
        </w:rPr>
      </w:pPr>
      <w:r>
        <w:rPr>
          <w:rFonts w:ascii="Times New Roman" w:hAnsi="Times New Roman" w:cs="Times New Roman"/>
          <w:sz w:val="26"/>
          <w:szCs w:val="26"/>
        </w:rPr>
        <w:t xml:space="preserve">В случае, если продается земельный участок, предоставленный в аренду, необходимо вносить корректировку на вид права. </w:t>
      </w:r>
      <w:r>
        <w:rPr>
          <w:rFonts w:ascii="Times New Roman" w:eastAsia="Calibri" w:hAnsi="Times New Roman" w:cs="Times New Roman"/>
          <w:sz w:val="26"/>
          <w:szCs w:val="26"/>
        </w:rPr>
        <w:t>Величина корректировки на право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79" w:history="1">
        <w:r w:rsidRPr="00A67AF4">
          <w:rPr>
            <w:rStyle w:val="ad"/>
            <w:rFonts w:ascii="Times New Roman" w:hAnsi="Times New Roman" w:cs="Times New Roman"/>
            <w:sz w:val="26"/>
            <w:szCs w:val="26"/>
          </w:rPr>
          <w:t>https://statrielt.ru/</w:t>
        </w:r>
      </w:hyperlink>
      <w:r w:rsidRPr="00A67AF4">
        <w:rPr>
          <w:rFonts w:ascii="Times New Roman" w:hAnsi="Times New Roman" w:cs="Times New Roman"/>
          <w:sz w:val="26"/>
          <w:szCs w:val="26"/>
        </w:rPr>
        <w:t>).</w:t>
      </w:r>
    </w:p>
    <w:p w14:paraId="190E3A50" w14:textId="77777777" w:rsidR="00DB474C" w:rsidRDefault="00DB474C" w:rsidP="00DB474C">
      <w:pPr>
        <w:jc w:val="center"/>
      </w:pPr>
      <w:r w:rsidRPr="00A2009E">
        <w:rPr>
          <w:noProof/>
          <w:lang w:eastAsia="ru-RU"/>
        </w:rPr>
        <w:drawing>
          <wp:inline distT="0" distB="0" distL="0" distR="0" wp14:anchorId="54AB879B" wp14:editId="537E31A7">
            <wp:extent cx="5940425" cy="4081780"/>
            <wp:effectExtent l="0" t="0" r="3175"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4081780"/>
                    </a:xfrm>
                    <a:prstGeom prst="rect">
                      <a:avLst/>
                    </a:prstGeom>
                  </pic:spPr>
                </pic:pic>
              </a:graphicData>
            </a:graphic>
          </wp:inline>
        </w:drawing>
      </w:r>
    </w:p>
    <w:p w14:paraId="51DFC948" w14:textId="0C691757" w:rsidR="00DB474C" w:rsidRPr="00D05389" w:rsidRDefault="00DB474C" w:rsidP="00DB474C">
      <w:pPr>
        <w:spacing w:after="0" w:line="30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Рис.3.1.3.5.3- Корректировка на право аренды земельного участка по отношению к собственному земельному участку на 01.01.2022 года по данным некоммерческой организации «</w:t>
      </w:r>
      <w:r w:rsidRPr="00A67AF4">
        <w:rPr>
          <w:rFonts w:ascii="Times New Roman" w:eastAsia="Calibri" w:hAnsi="Times New Roman" w:cs="Times New Roman"/>
          <w:sz w:val="26"/>
          <w:szCs w:val="26"/>
        </w:rPr>
        <w:t>Ассоциация развития рынка недвижимости «СтатРиелт»</w:t>
      </w:r>
      <w:r w:rsidR="00E564BF">
        <w:rPr>
          <w:rStyle w:val="af2"/>
          <w:rFonts w:ascii="Times New Roman" w:eastAsia="Calibri" w:hAnsi="Times New Roman" w:cs="Times New Roman"/>
          <w:sz w:val="26"/>
          <w:szCs w:val="26"/>
        </w:rPr>
        <w:footnoteReference w:id="82"/>
      </w:r>
    </w:p>
    <w:p w14:paraId="1139AE2B" w14:textId="77777777" w:rsidR="00DB474C" w:rsidRDefault="00DB474C" w:rsidP="00DB474C">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Так как данные коэффициенты выражают отношения удельных цен предложений земельных участков, находящихся на праве аренды, к удельным ценам предложений земельных участков, находящихся на праве собственности, применяются обратные корректировки, т.е.  при расчете удельного показателя рыночной стоимости необходимо делить на корректировку на право.</w:t>
      </w:r>
    </w:p>
    <w:p w14:paraId="6CDB6762" w14:textId="77777777" w:rsidR="00DB474C" w:rsidRPr="00227435" w:rsidRDefault="00DB474C" w:rsidP="00DB474C">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Согласно данным «СтатРиелт», размер корректировки на право аренды земельного участка, предоставленного сроком на 49 лет, по отношению к собственному земельному участку, для земельных участков под размещение торговых, офисных, автосервисных и других общественных зданий лежит в доверительном интервале от 0,72 до 0,88 и в среднем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81</w:t>
      </w:r>
      <w:r>
        <w:rPr>
          <w:rFonts w:ascii="Times New Roman" w:eastAsia="Calibri" w:hAnsi="Times New Roman" w:cs="Times New Roman"/>
          <w:sz w:val="26"/>
          <w:szCs w:val="26"/>
        </w:rPr>
        <w:t xml:space="preserve"> (данные на 01.01.2022 года). Для целей оценки принято среднее значение диапазона. В случае, если земельный участок расположен на землях лесного фонда, принималось среднее значение диапазона для объектов для других целей (принимаем корректировку </w:t>
      </w:r>
      <w:r w:rsidRPr="00F933ED">
        <w:rPr>
          <w:rFonts w:ascii="Times New Roman" w:eastAsia="Calibri" w:hAnsi="Times New Roman" w:cs="Times New Roman"/>
          <w:b/>
          <w:sz w:val="26"/>
          <w:szCs w:val="26"/>
        </w:rPr>
        <w:t>0,7</w:t>
      </w:r>
      <w:r>
        <w:rPr>
          <w:rFonts w:ascii="Times New Roman" w:eastAsia="Calibri" w:hAnsi="Times New Roman" w:cs="Times New Roman"/>
          <w:b/>
          <w:sz w:val="26"/>
          <w:szCs w:val="26"/>
        </w:rPr>
        <w:t>9</w:t>
      </w:r>
      <w:r>
        <w:rPr>
          <w:rFonts w:ascii="Times New Roman" w:eastAsia="Calibri" w:hAnsi="Times New Roman" w:cs="Times New Roman"/>
          <w:sz w:val="26"/>
          <w:szCs w:val="26"/>
        </w:rPr>
        <w:t xml:space="preserve">), для земель сельскохозяйственного назначения-корректировка </w:t>
      </w:r>
      <w:r w:rsidRPr="00F933ED">
        <w:rPr>
          <w:rFonts w:ascii="Times New Roman" w:eastAsia="Calibri" w:hAnsi="Times New Roman" w:cs="Times New Roman"/>
          <w:b/>
          <w:sz w:val="26"/>
          <w:szCs w:val="26"/>
        </w:rPr>
        <w:t>0,7</w:t>
      </w:r>
      <w:r>
        <w:rPr>
          <w:rFonts w:ascii="Times New Roman" w:eastAsia="Calibri" w:hAnsi="Times New Roman" w:cs="Times New Roman"/>
          <w:b/>
          <w:sz w:val="26"/>
          <w:szCs w:val="26"/>
        </w:rPr>
        <w:t>3</w:t>
      </w:r>
      <w:r>
        <w:rPr>
          <w:rFonts w:ascii="Times New Roman" w:eastAsia="Calibri" w:hAnsi="Times New Roman" w:cs="Times New Roman"/>
          <w:sz w:val="26"/>
          <w:szCs w:val="26"/>
        </w:rPr>
        <w:t>.</w:t>
      </w:r>
    </w:p>
    <w:p w14:paraId="381A0A8C" w14:textId="14237BB0"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Доля ЗУ</w:t>
      </w:r>
    </w:p>
    <w:p w14:paraId="5A135EB8" w14:textId="77777777" w:rsidR="00DB474C" w:rsidRPr="007D4438" w:rsidRDefault="00DB474C" w:rsidP="00DB474C">
      <w:pPr>
        <w:spacing w:after="0" w:line="300" w:lineRule="auto"/>
        <w:ind w:firstLine="567"/>
        <w:jc w:val="both"/>
        <w:rPr>
          <w:rStyle w:val="af9"/>
          <w:rFonts w:eastAsia="Calibri" w:cs="Times New Roman"/>
          <w:b w:val="0"/>
          <w:bCs w:val="0"/>
          <w:sz w:val="26"/>
          <w:szCs w:val="26"/>
        </w:rPr>
      </w:pPr>
      <w:r>
        <w:rPr>
          <w:rFonts w:ascii="Times New Roman" w:eastAsia="Calibri" w:hAnsi="Times New Roman" w:cs="Times New Roman"/>
          <w:sz w:val="26"/>
          <w:szCs w:val="26"/>
        </w:rPr>
        <w:t xml:space="preserve">Если в качестве объекта-аналога принято предложение (сделка) по продаже застроенного земельного участка, необходимо определить долю стоимости земельного участка в стоимости единого объекта недвижимости. В таком случае доля стоимости земельного участка для 5 сегмента принята на основании приложения №7 к Указаниям, где для объектов временного проживания рекомендовано 15-20% (принимаем корректировку </w:t>
      </w:r>
      <w:r w:rsidRPr="00227435">
        <w:rPr>
          <w:rFonts w:ascii="Times New Roman" w:eastAsia="Calibri" w:hAnsi="Times New Roman" w:cs="Times New Roman"/>
          <w:b/>
          <w:sz w:val="26"/>
          <w:szCs w:val="26"/>
        </w:rPr>
        <w:t>0,2</w:t>
      </w:r>
      <w:r>
        <w:rPr>
          <w:rFonts w:ascii="Times New Roman" w:eastAsia="Calibri" w:hAnsi="Times New Roman" w:cs="Times New Roman"/>
          <w:b/>
          <w:sz w:val="26"/>
          <w:szCs w:val="26"/>
        </w:rPr>
        <w:t>0</w:t>
      </w:r>
      <w:r>
        <w:rPr>
          <w:rFonts w:ascii="Times New Roman" w:eastAsia="Calibri" w:hAnsi="Times New Roman" w:cs="Times New Roman"/>
          <w:sz w:val="26"/>
          <w:szCs w:val="26"/>
        </w:rPr>
        <w:t xml:space="preserve">), а для объектов санаторно-курортного назначения рекомендовано 20-30% (принимаем корректировку </w:t>
      </w:r>
      <w:r w:rsidRPr="00A66377">
        <w:rPr>
          <w:rFonts w:ascii="Times New Roman" w:eastAsia="Calibri" w:hAnsi="Times New Roman" w:cs="Times New Roman"/>
          <w:b/>
          <w:sz w:val="26"/>
          <w:szCs w:val="26"/>
        </w:rPr>
        <w:t>0,30</w:t>
      </w:r>
      <w:r>
        <w:rPr>
          <w:rFonts w:ascii="Times New Roman" w:eastAsia="Calibri" w:hAnsi="Times New Roman" w:cs="Times New Roman"/>
          <w:sz w:val="26"/>
          <w:szCs w:val="26"/>
        </w:rPr>
        <w:t>).</w:t>
      </w:r>
    </w:p>
    <w:p w14:paraId="6464C8E7" w14:textId="375C4957" w:rsidR="00516E3E" w:rsidRDefault="00516E3E" w:rsidP="00516E3E">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 xml:space="preserve">Корректировка на </w:t>
      </w:r>
      <w:r w:rsidRPr="00616BF7">
        <w:rPr>
          <w:rFonts w:ascii="Times New Roman" w:hAnsi="Times New Roman" w:cs="Times New Roman"/>
          <w:i/>
          <w:sz w:val="26"/>
          <w:szCs w:val="26"/>
        </w:rPr>
        <w:t>разрешенное использование</w:t>
      </w:r>
    </w:p>
    <w:p w14:paraId="5B8BEF58" w14:textId="04C292EA" w:rsidR="00DE68ED" w:rsidRDefault="00DE68ED" w:rsidP="00DE68ED">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В связи с отсутствием по городу Воронежу и Воронежской области достаточного для построения моделей количества объектов аналогов по 5 сегменту «</w:t>
      </w:r>
      <w:r>
        <w:rPr>
          <w:rFonts w:ascii="Times New Roman" w:hAnsi="Times New Roman" w:cs="Times New Roman"/>
          <w:color w:val="000000"/>
          <w:sz w:val="26"/>
          <w:szCs w:val="26"/>
        </w:rPr>
        <w:t>Отдых (рекреация)</w:t>
      </w:r>
      <w:r>
        <w:rPr>
          <w:rFonts w:ascii="Times New Roman" w:hAnsi="Times New Roman" w:cs="Times New Roman"/>
          <w:sz w:val="26"/>
          <w:szCs w:val="26"/>
        </w:rPr>
        <w:t xml:space="preserve">» группы расчета </w:t>
      </w:r>
      <w:r w:rsidRPr="00322A1B">
        <w:rPr>
          <w:rFonts w:ascii="Times New Roman" w:hAnsi="Times New Roman" w:cs="Times New Roman"/>
          <w:b/>
          <w:sz w:val="26"/>
          <w:szCs w:val="26"/>
        </w:rPr>
        <w:t>5 ГОСТИНИЦЫ/Воронеж, 5 ГОСТИНИЦЫ/ГНП, 5 ГОСТИНИЦЫ/СНП с кодом вида расчета 04:070</w:t>
      </w:r>
      <w:r>
        <w:rPr>
          <w:rFonts w:ascii="Times New Roman" w:hAnsi="Times New Roman" w:cs="Times New Roman"/>
          <w:sz w:val="26"/>
          <w:szCs w:val="26"/>
        </w:rPr>
        <w:t>, были взяты объекты аналоги из наиболее близкого по ценообразованию 4 сегмента «Предпринимательство».</w:t>
      </w:r>
    </w:p>
    <w:p w14:paraId="2269E49A" w14:textId="64A72B21" w:rsidR="00DE68ED" w:rsidRPr="00616BF7" w:rsidRDefault="00DE68ED" w:rsidP="00DE68ED">
      <w:pPr>
        <w:spacing w:after="0" w:line="276" w:lineRule="auto"/>
        <w:ind w:firstLine="709"/>
        <w:jc w:val="both"/>
        <w:rPr>
          <w:rFonts w:ascii="Times New Roman" w:eastAsia="Calibri" w:hAnsi="Times New Roman" w:cs="Times New Roman"/>
          <w:sz w:val="26"/>
          <w:szCs w:val="26"/>
        </w:rPr>
      </w:pPr>
      <w:r>
        <w:rPr>
          <w:rFonts w:ascii="Times New Roman" w:hAnsi="Times New Roman" w:cs="Times New Roman"/>
          <w:sz w:val="26"/>
          <w:szCs w:val="26"/>
        </w:rPr>
        <w:t xml:space="preserve">Коэффициент </w:t>
      </w:r>
      <w:r w:rsidRPr="004A0C0A">
        <w:rPr>
          <w:rFonts w:ascii="Times New Roman" w:hAnsi="Times New Roman" w:cs="Times New Roman"/>
          <w:sz w:val="26"/>
          <w:szCs w:val="26"/>
        </w:rPr>
        <w:t xml:space="preserve">перехода от 4 сегмента к </w:t>
      </w:r>
      <w:r>
        <w:rPr>
          <w:rFonts w:ascii="Times New Roman" w:hAnsi="Times New Roman" w:cs="Times New Roman"/>
          <w:sz w:val="26"/>
          <w:szCs w:val="26"/>
        </w:rPr>
        <w:t>5</w:t>
      </w:r>
      <w:r w:rsidRPr="004A0C0A">
        <w:rPr>
          <w:rFonts w:ascii="Times New Roman" w:hAnsi="Times New Roman" w:cs="Times New Roman"/>
          <w:sz w:val="26"/>
          <w:szCs w:val="26"/>
        </w:rPr>
        <w:t xml:space="preserve"> сегменту был расчитан на основании данных </w:t>
      </w:r>
      <w:r w:rsidRPr="004A0C0A">
        <w:rPr>
          <w:rFonts w:ascii="Times New Roman" w:eastAsia="Calibri" w:hAnsi="Times New Roman" w:cs="Times New Roman"/>
          <w:sz w:val="26"/>
          <w:szCs w:val="26"/>
        </w:rPr>
        <w:t xml:space="preserve">о ценах предложений на рынке продаж взятых с сайтов бесплатных объявлений: </w:t>
      </w:r>
      <w:hyperlink r:id="rId80" w:history="1">
        <w:r w:rsidRPr="004A0C0A">
          <w:rPr>
            <w:rStyle w:val="ad"/>
            <w:rFonts w:ascii="Times New Roman" w:eastAsia="Calibri" w:hAnsi="Times New Roman" w:cs="Times New Roman"/>
            <w:color w:val="auto"/>
            <w:sz w:val="26"/>
            <w:szCs w:val="26"/>
            <w:u w:val="none"/>
          </w:rPr>
          <w:t>www.avito.ru</w:t>
        </w:r>
      </w:hyperlink>
      <w:r w:rsidRPr="004A0C0A">
        <w:rPr>
          <w:rFonts w:ascii="Times New Roman" w:eastAsia="Calibri" w:hAnsi="Times New Roman" w:cs="Times New Roman"/>
          <w:sz w:val="26"/>
          <w:szCs w:val="26"/>
        </w:rPr>
        <w:t xml:space="preserve">, </w:t>
      </w:r>
      <w:hyperlink r:id="rId81" w:history="1">
        <w:r w:rsidRPr="004A0C0A">
          <w:rPr>
            <w:rStyle w:val="ad"/>
            <w:rFonts w:ascii="Times New Roman" w:eastAsia="Calibri" w:hAnsi="Times New Roman" w:cs="Times New Roman"/>
            <w:color w:val="auto"/>
            <w:sz w:val="26"/>
            <w:szCs w:val="26"/>
            <w:u w:val="none"/>
          </w:rPr>
          <w:t>www.fgivo.ru</w:t>
        </w:r>
      </w:hyperlink>
      <w:r w:rsidRPr="004A0C0A">
        <w:rPr>
          <w:rStyle w:val="ad"/>
          <w:color w:val="auto"/>
          <w:u w:val="none"/>
        </w:rPr>
        <w:t xml:space="preserve">, </w:t>
      </w:r>
      <w:hyperlink r:id="rId82" w:history="1">
        <w:r w:rsidRPr="004A0C0A">
          <w:rPr>
            <w:rStyle w:val="ad"/>
            <w:rFonts w:ascii="Times New Roman" w:eastAsia="Calibri" w:hAnsi="Times New Roman" w:cs="Times New Roman"/>
            <w:color w:val="auto"/>
            <w:sz w:val="26"/>
            <w:szCs w:val="26"/>
            <w:u w:val="none"/>
          </w:rPr>
          <w:t>www.vrx.ru</w:t>
        </w:r>
      </w:hyperlink>
      <w:r w:rsidRPr="004A0C0A">
        <w:rPr>
          <w:rStyle w:val="ad"/>
          <w:rFonts w:eastAsia="Calibri"/>
          <w:color w:val="auto"/>
          <w:sz w:val="26"/>
          <w:szCs w:val="26"/>
          <w:u w:val="none"/>
        </w:rPr>
        <w:t xml:space="preserve">, </w:t>
      </w:r>
      <w:hyperlink r:id="rId83" w:history="1">
        <w:r w:rsidRPr="004A0C0A">
          <w:rPr>
            <w:rStyle w:val="ad"/>
            <w:rFonts w:ascii="Times New Roman" w:eastAsia="Calibri" w:hAnsi="Times New Roman" w:cs="Times New Roman"/>
            <w:color w:val="auto"/>
            <w:sz w:val="26"/>
            <w:szCs w:val="26"/>
            <w:u w:val="none"/>
          </w:rPr>
          <w:t>www.tvoyadres.ru</w:t>
        </w:r>
      </w:hyperlink>
      <w:r w:rsidRPr="004A0C0A">
        <w:rPr>
          <w:rStyle w:val="ad"/>
          <w:rFonts w:eastAsia="Calibri"/>
          <w:color w:val="auto"/>
          <w:sz w:val="26"/>
          <w:szCs w:val="26"/>
          <w:u w:val="none"/>
        </w:rPr>
        <w:t xml:space="preserve">, </w:t>
      </w:r>
      <w:hyperlink r:id="rId84" w:history="1">
        <w:r w:rsidRPr="004A0C0A">
          <w:rPr>
            <w:rStyle w:val="ad"/>
            <w:rFonts w:ascii="Times New Roman" w:eastAsia="Calibri" w:hAnsi="Times New Roman" w:cs="Times New Roman"/>
            <w:color w:val="auto"/>
            <w:sz w:val="26"/>
            <w:szCs w:val="26"/>
            <w:u w:val="none"/>
          </w:rPr>
          <w:t>www.multilisting.su</w:t>
        </w:r>
      </w:hyperlink>
      <w:r w:rsidRPr="004A0C0A">
        <w:rPr>
          <w:rStyle w:val="ad"/>
          <w:rFonts w:eastAsia="Calibri"/>
          <w:color w:val="auto"/>
          <w:sz w:val="26"/>
          <w:szCs w:val="26"/>
          <w:u w:val="none"/>
        </w:rPr>
        <w:t xml:space="preserve">, </w:t>
      </w:r>
      <w:hyperlink r:id="rId85" w:history="1">
        <w:r w:rsidRPr="004A0C0A">
          <w:rPr>
            <w:rStyle w:val="ad"/>
            <w:rFonts w:ascii="Times New Roman" w:eastAsia="Calibri" w:hAnsi="Times New Roman" w:cs="Times New Roman"/>
            <w:color w:val="auto"/>
            <w:sz w:val="26"/>
            <w:szCs w:val="26"/>
            <w:u w:val="none"/>
          </w:rPr>
          <w:t>www.torgi.gov.ru</w:t>
        </w:r>
      </w:hyperlink>
      <w:r>
        <w:rPr>
          <w:rStyle w:val="ad"/>
          <w:rFonts w:ascii="Times New Roman" w:eastAsia="Calibri" w:hAnsi="Times New Roman" w:cs="Times New Roman"/>
          <w:color w:val="auto"/>
          <w:sz w:val="26"/>
          <w:szCs w:val="26"/>
          <w:u w:val="none"/>
        </w:rPr>
        <w:t>,</w:t>
      </w:r>
      <w:r w:rsidRPr="004A0C0A">
        <w:rPr>
          <w:rStyle w:val="ad"/>
          <w:rFonts w:eastAsia="Calibri"/>
          <w:color w:val="auto"/>
          <w:sz w:val="26"/>
          <w:szCs w:val="26"/>
          <w:u w:val="none"/>
        </w:rPr>
        <w:t xml:space="preserve"> </w:t>
      </w:r>
      <w:r w:rsidRPr="004A0C0A">
        <w:rPr>
          <w:rStyle w:val="ad"/>
          <w:rFonts w:ascii="Times New Roman" w:eastAsia="Calibri" w:hAnsi="Times New Roman" w:cs="Times New Roman"/>
          <w:color w:val="auto"/>
          <w:sz w:val="26"/>
          <w:szCs w:val="26"/>
          <w:u w:val="none"/>
        </w:rPr>
        <w:t>и сделок</w:t>
      </w:r>
      <w:r w:rsidRPr="004A0C0A">
        <w:rPr>
          <w:rStyle w:val="ad"/>
          <w:rFonts w:ascii="Times New Roman" w:hAnsi="Times New Roman" w:cs="Times New Roman"/>
          <w:color w:val="auto"/>
          <w:u w:val="none"/>
        </w:rPr>
        <w:t xml:space="preserve"> </w:t>
      </w:r>
      <w:r w:rsidRPr="00616BF7">
        <w:rPr>
          <w:rStyle w:val="ad"/>
          <w:rFonts w:ascii="Times New Roman" w:hAnsi="Times New Roman" w:cs="Times New Roman"/>
          <w:color w:val="auto"/>
          <w:sz w:val="26"/>
          <w:szCs w:val="26"/>
          <w:u w:val="none"/>
        </w:rPr>
        <w:t>Росреестра</w:t>
      </w:r>
      <w:r w:rsidRPr="00616BF7">
        <w:rPr>
          <w:rFonts w:ascii="Times New Roman" w:eastAsia="Calibri" w:hAnsi="Times New Roman" w:cs="Times New Roman"/>
          <w:sz w:val="26"/>
          <w:szCs w:val="26"/>
        </w:rPr>
        <w:t>.</w:t>
      </w:r>
    </w:p>
    <w:p w14:paraId="5373B56C" w14:textId="2009E02E" w:rsidR="00DE68ED" w:rsidRDefault="00DE68ED" w:rsidP="00DE68ED">
      <w:pPr>
        <w:spacing w:after="0" w:line="276" w:lineRule="auto"/>
        <w:ind w:firstLine="709"/>
        <w:jc w:val="both"/>
        <w:rPr>
          <w:rFonts w:ascii="Times New Roman" w:hAnsi="Times New Roman" w:cs="Times New Roman"/>
          <w:sz w:val="26"/>
          <w:szCs w:val="26"/>
        </w:rPr>
      </w:pPr>
      <w:r w:rsidRPr="004A0C0A">
        <w:rPr>
          <w:rFonts w:ascii="Times New Roman" w:hAnsi="Times New Roman" w:cs="Times New Roman"/>
          <w:i/>
          <w:sz w:val="26"/>
          <w:szCs w:val="26"/>
        </w:rPr>
        <w:t xml:space="preserve">Среднее значение коэффициента перехода от 4 сегмента к </w:t>
      </w:r>
      <w:r>
        <w:rPr>
          <w:rFonts w:ascii="Times New Roman" w:hAnsi="Times New Roman" w:cs="Times New Roman"/>
          <w:i/>
          <w:sz w:val="26"/>
          <w:szCs w:val="26"/>
        </w:rPr>
        <w:t>5</w:t>
      </w:r>
      <w:r w:rsidRPr="004A0C0A">
        <w:rPr>
          <w:rFonts w:ascii="Times New Roman" w:hAnsi="Times New Roman" w:cs="Times New Roman"/>
          <w:i/>
          <w:sz w:val="26"/>
          <w:szCs w:val="26"/>
        </w:rPr>
        <w:t xml:space="preserve"> сегменту рав</w:t>
      </w:r>
      <w:r>
        <w:rPr>
          <w:rFonts w:ascii="Times New Roman" w:hAnsi="Times New Roman" w:cs="Times New Roman"/>
          <w:i/>
          <w:sz w:val="26"/>
          <w:szCs w:val="26"/>
        </w:rPr>
        <w:t>но</w:t>
      </w:r>
      <w:r>
        <w:rPr>
          <w:rFonts w:ascii="Times New Roman" w:hAnsi="Times New Roman" w:cs="Times New Roman"/>
          <w:sz w:val="26"/>
          <w:szCs w:val="26"/>
        </w:rPr>
        <w:t xml:space="preserve"> </w:t>
      </w:r>
      <w:r w:rsidRPr="00900D4C">
        <w:rPr>
          <w:rFonts w:ascii="Times New Roman" w:hAnsi="Times New Roman" w:cs="Times New Roman"/>
          <w:b/>
          <w:sz w:val="26"/>
          <w:szCs w:val="26"/>
        </w:rPr>
        <w:t>0,</w:t>
      </w:r>
      <w:r>
        <w:rPr>
          <w:rFonts w:ascii="Times New Roman" w:hAnsi="Times New Roman" w:cs="Times New Roman"/>
          <w:b/>
          <w:sz w:val="26"/>
          <w:szCs w:val="26"/>
        </w:rPr>
        <w:t>95</w:t>
      </w:r>
      <w:r>
        <w:rPr>
          <w:rFonts w:ascii="Times New Roman" w:hAnsi="Times New Roman" w:cs="Times New Roman"/>
          <w:sz w:val="26"/>
          <w:szCs w:val="26"/>
        </w:rPr>
        <w:t>.</w:t>
      </w:r>
    </w:p>
    <w:p w14:paraId="1903C308" w14:textId="291F7628" w:rsidR="00DE68ED" w:rsidRPr="00B15A1F" w:rsidRDefault="00B671CF" w:rsidP="00DE68ED">
      <w:pPr>
        <w:spacing w:after="0" w:line="276" w:lineRule="auto"/>
        <w:ind w:firstLine="709"/>
        <w:jc w:val="both"/>
        <w:rPr>
          <w:rStyle w:val="60"/>
          <w:rFonts w:eastAsiaTheme="minorHAnsi"/>
        </w:rPr>
      </w:pPr>
      <w:r>
        <w:rPr>
          <w:rFonts w:ascii="Times New Roman" w:hAnsi="Times New Roman" w:cs="Times New Roman"/>
          <w:sz w:val="26"/>
          <w:szCs w:val="26"/>
        </w:rPr>
        <w:t xml:space="preserve">В связи с отсутствием по городу Воронежу и Воронежской области достаточного для построения моделей количества объектов аналогов по </w:t>
      </w:r>
      <w:r w:rsidRPr="00CC29F8">
        <w:rPr>
          <w:rFonts w:ascii="Times New Roman" w:hAnsi="Times New Roman" w:cs="Times New Roman"/>
          <w:b/>
          <w:sz w:val="26"/>
          <w:szCs w:val="26"/>
        </w:rPr>
        <w:t>5 сегменту «</w:t>
      </w:r>
      <w:r w:rsidRPr="00CC29F8">
        <w:rPr>
          <w:rFonts w:ascii="Times New Roman" w:hAnsi="Times New Roman" w:cs="Times New Roman"/>
          <w:b/>
          <w:color w:val="000000"/>
          <w:sz w:val="26"/>
          <w:szCs w:val="26"/>
        </w:rPr>
        <w:t>Отдых (рекреация)</w:t>
      </w:r>
      <w:r w:rsidRPr="00CC29F8">
        <w:rPr>
          <w:rFonts w:ascii="Times New Roman" w:hAnsi="Times New Roman" w:cs="Times New Roman"/>
          <w:b/>
          <w:sz w:val="26"/>
          <w:szCs w:val="26"/>
        </w:rPr>
        <w:t>»</w:t>
      </w:r>
      <w:r>
        <w:rPr>
          <w:rFonts w:ascii="Times New Roman" w:hAnsi="Times New Roman" w:cs="Times New Roman"/>
          <w:sz w:val="26"/>
          <w:szCs w:val="26"/>
        </w:rPr>
        <w:t xml:space="preserve">, </w:t>
      </w:r>
      <w:r w:rsidR="00DE68ED">
        <w:rPr>
          <w:rFonts w:ascii="Times New Roman" w:hAnsi="Times New Roman" w:cs="Times New Roman"/>
          <w:sz w:val="26"/>
          <w:szCs w:val="26"/>
        </w:rPr>
        <w:t>Уче</w:t>
      </w:r>
      <w:r w:rsidR="00DE68ED" w:rsidRPr="002F06CB">
        <w:rPr>
          <w:rFonts w:ascii="Times New Roman" w:hAnsi="Times New Roman" w:cs="Times New Roman"/>
          <w:sz w:val="26"/>
          <w:szCs w:val="26"/>
        </w:rPr>
        <w:t xml:space="preserve">реждением принято решение провести </w:t>
      </w:r>
      <w:r w:rsidR="00DC20E2">
        <w:rPr>
          <w:rFonts w:ascii="Times New Roman" w:hAnsi="Times New Roman" w:cs="Times New Roman"/>
          <w:sz w:val="26"/>
          <w:szCs w:val="26"/>
        </w:rPr>
        <w:t>добор аналогов</w:t>
      </w:r>
      <w:r w:rsidR="00DE68ED" w:rsidRPr="002F06CB">
        <w:rPr>
          <w:rFonts w:ascii="Times New Roman" w:hAnsi="Times New Roman" w:cs="Times New Roman"/>
          <w:sz w:val="26"/>
          <w:szCs w:val="26"/>
        </w:rPr>
        <w:t xml:space="preserve"> из наиболее распространенного сегмента рынка – 13 «Садоводство и </w:t>
      </w:r>
      <w:r w:rsidR="00DE68ED" w:rsidRPr="002F06CB">
        <w:rPr>
          <w:rFonts w:ascii="Times New Roman" w:hAnsi="Times New Roman"/>
          <w:bCs/>
          <w:sz w:val="26"/>
          <w:szCs w:val="26"/>
        </w:rPr>
        <w:t>огородничество, малоэтажная жилая застройка».</w:t>
      </w:r>
    </w:p>
    <w:p w14:paraId="7C9E4755" w14:textId="28B380D7" w:rsidR="00516E3E" w:rsidRPr="00616BF7" w:rsidRDefault="00516E3E" w:rsidP="00516E3E">
      <w:pPr>
        <w:spacing w:after="0" w:line="276" w:lineRule="auto"/>
        <w:ind w:firstLine="709"/>
        <w:jc w:val="both"/>
        <w:rPr>
          <w:rFonts w:ascii="Times New Roman" w:eastAsia="Calibri" w:hAnsi="Times New Roman" w:cs="Times New Roman"/>
          <w:sz w:val="26"/>
          <w:szCs w:val="26"/>
        </w:rPr>
      </w:pPr>
      <w:r>
        <w:rPr>
          <w:rFonts w:ascii="Times New Roman" w:hAnsi="Times New Roman" w:cs="Times New Roman"/>
          <w:sz w:val="26"/>
          <w:szCs w:val="26"/>
        </w:rPr>
        <w:t xml:space="preserve">Коэффициент </w:t>
      </w:r>
      <w:r w:rsidRPr="004A0C0A">
        <w:rPr>
          <w:rFonts w:ascii="Times New Roman" w:hAnsi="Times New Roman" w:cs="Times New Roman"/>
          <w:sz w:val="26"/>
          <w:szCs w:val="26"/>
        </w:rPr>
        <w:t xml:space="preserve">перехода от </w:t>
      </w:r>
      <w:r>
        <w:rPr>
          <w:rFonts w:ascii="Times New Roman" w:hAnsi="Times New Roman" w:cs="Times New Roman"/>
          <w:sz w:val="26"/>
          <w:szCs w:val="26"/>
        </w:rPr>
        <w:t>13</w:t>
      </w:r>
      <w:r w:rsidRPr="004A0C0A">
        <w:rPr>
          <w:rFonts w:ascii="Times New Roman" w:hAnsi="Times New Roman" w:cs="Times New Roman"/>
          <w:sz w:val="26"/>
          <w:szCs w:val="26"/>
        </w:rPr>
        <w:t xml:space="preserve"> сегмента к </w:t>
      </w:r>
      <w:r w:rsidR="006D6822">
        <w:rPr>
          <w:rFonts w:ascii="Times New Roman" w:hAnsi="Times New Roman" w:cs="Times New Roman"/>
          <w:sz w:val="26"/>
          <w:szCs w:val="26"/>
        </w:rPr>
        <w:t>5</w:t>
      </w:r>
      <w:r w:rsidRPr="004A0C0A">
        <w:rPr>
          <w:rFonts w:ascii="Times New Roman" w:hAnsi="Times New Roman" w:cs="Times New Roman"/>
          <w:sz w:val="26"/>
          <w:szCs w:val="26"/>
        </w:rPr>
        <w:t xml:space="preserve"> сегменту был расчитан на основании данных </w:t>
      </w:r>
      <w:r w:rsidRPr="004A0C0A">
        <w:rPr>
          <w:rFonts w:ascii="Times New Roman" w:eastAsia="Calibri" w:hAnsi="Times New Roman" w:cs="Times New Roman"/>
          <w:sz w:val="26"/>
          <w:szCs w:val="26"/>
        </w:rPr>
        <w:t xml:space="preserve">о </w:t>
      </w:r>
      <w:r w:rsidRPr="00516E3E">
        <w:rPr>
          <w:rFonts w:ascii="Times New Roman" w:eastAsia="Calibri" w:hAnsi="Times New Roman" w:cs="Times New Roman"/>
          <w:sz w:val="26"/>
          <w:szCs w:val="26"/>
        </w:rPr>
        <w:t xml:space="preserve">ценах предложений на рынке продаж взятых с сайтов бесплатных объявлений: </w:t>
      </w:r>
      <w:r w:rsidRPr="00516E3E">
        <w:rPr>
          <w:rStyle w:val="ad"/>
          <w:rFonts w:ascii="Times New Roman" w:eastAsia="Calibri" w:hAnsi="Times New Roman" w:cs="Times New Roman"/>
          <w:color w:val="auto"/>
          <w:sz w:val="26"/>
          <w:szCs w:val="26"/>
          <w:u w:val="none"/>
        </w:rPr>
        <w:t xml:space="preserve">www.avito.ru, </w:t>
      </w:r>
      <w:hyperlink r:id="rId86" w:history="1">
        <w:r w:rsidR="00C14088" w:rsidRPr="004A0C0A">
          <w:rPr>
            <w:rStyle w:val="ad"/>
            <w:rFonts w:ascii="Times New Roman" w:eastAsia="Calibri" w:hAnsi="Times New Roman" w:cs="Times New Roman"/>
            <w:color w:val="auto"/>
            <w:sz w:val="26"/>
            <w:szCs w:val="26"/>
            <w:u w:val="none"/>
          </w:rPr>
          <w:t>www.vrx.ru</w:t>
        </w:r>
      </w:hyperlink>
      <w:r w:rsidR="00C14088">
        <w:rPr>
          <w:rStyle w:val="ad"/>
          <w:rFonts w:eastAsia="Calibri"/>
          <w:color w:val="auto"/>
          <w:sz w:val="26"/>
          <w:szCs w:val="26"/>
          <w:u w:val="none"/>
        </w:rPr>
        <w:t xml:space="preserve">, </w:t>
      </w:r>
      <w:hyperlink r:id="rId87" w:history="1">
        <w:r w:rsidR="00C14088" w:rsidRPr="00C14088">
          <w:rPr>
            <w:rStyle w:val="ad"/>
            <w:rFonts w:ascii="Times New Roman" w:eastAsia="Calibri" w:hAnsi="Times New Roman" w:cs="Times New Roman"/>
            <w:color w:val="auto"/>
            <w:sz w:val="26"/>
            <w:szCs w:val="26"/>
            <w:u w:val="none"/>
          </w:rPr>
          <w:t>www.cmlt.ru</w:t>
        </w:r>
      </w:hyperlink>
      <w:r w:rsidR="00C14088" w:rsidRPr="00C14088">
        <w:rPr>
          <w:rStyle w:val="ad"/>
          <w:rFonts w:ascii="Times New Roman" w:eastAsia="Calibri" w:hAnsi="Times New Roman" w:cs="Times New Roman"/>
          <w:color w:val="auto"/>
          <w:sz w:val="26"/>
          <w:szCs w:val="26"/>
          <w:u w:val="none"/>
        </w:rPr>
        <w:t>, www.arrpro.ru</w:t>
      </w:r>
      <w:r w:rsidR="00C14088">
        <w:rPr>
          <w:rStyle w:val="ad"/>
          <w:rFonts w:ascii="Times New Roman" w:eastAsia="Calibri" w:hAnsi="Times New Roman" w:cs="Times New Roman"/>
          <w:color w:val="auto"/>
          <w:sz w:val="26"/>
          <w:szCs w:val="26"/>
          <w:u w:val="none"/>
        </w:rPr>
        <w:t xml:space="preserve">, </w:t>
      </w:r>
      <w:r w:rsidR="00C14088" w:rsidRPr="00C14088">
        <w:rPr>
          <w:rStyle w:val="ad"/>
          <w:rFonts w:ascii="Times New Roman" w:eastAsia="Calibri" w:hAnsi="Times New Roman" w:cs="Times New Roman"/>
          <w:color w:val="auto"/>
          <w:sz w:val="26"/>
          <w:szCs w:val="26"/>
          <w:u w:val="none"/>
        </w:rPr>
        <w:t>www</w:t>
      </w:r>
      <w:r w:rsidR="00C14088">
        <w:rPr>
          <w:rStyle w:val="ad"/>
          <w:rFonts w:ascii="Times New Roman" w:eastAsia="Calibri" w:hAnsi="Times New Roman" w:cs="Times New Roman"/>
          <w:color w:val="auto"/>
          <w:sz w:val="26"/>
          <w:szCs w:val="26"/>
          <w:u w:val="none"/>
        </w:rPr>
        <w:t>.</w:t>
      </w:r>
      <w:r w:rsidR="00C14088" w:rsidRPr="00C14088">
        <w:rPr>
          <w:rStyle w:val="ad"/>
          <w:rFonts w:ascii="Times New Roman" w:eastAsia="Calibri" w:hAnsi="Times New Roman" w:cs="Times New Roman"/>
          <w:color w:val="auto"/>
          <w:sz w:val="26"/>
          <w:szCs w:val="26"/>
          <w:u w:val="none"/>
        </w:rPr>
        <w:t>realty.yandex.ru</w:t>
      </w:r>
      <w:r w:rsidR="00C14088">
        <w:rPr>
          <w:rStyle w:val="ad"/>
          <w:rFonts w:ascii="Times New Roman" w:eastAsia="Calibri" w:hAnsi="Times New Roman" w:cs="Times New Roman"/>
          <w:color w:val="auto"/>
          <w:sz w:val="26"/>
          <w:szCs w:val="26"/>
          <w:u w:val="none"/>
        </w:rPr>
        <w:t xml:space="preserve"> </w:t>
      </w:r>
      <w:r w:rsidRPr="00516E3E">
        <w:rPr>
          <w:rStyle w:val="ad"/>
          <w:rFonts w:ascii="Times New Roman" w:eastAsia="Calibri" w:hAnsi="Times New Roman" w:cs="Times New Roman"/>
          <w:color w:val="auto"/>
          <w:sz w:val="26"/>
          <w:szCs w:val="26"/>
          <w:u w:val="none"/>
        </w:rPr>
        <w:t>и сделок</w:t>
      </w:r>
      <w:r w:rsidRPr="004A0C0A">
        <w:rPr>
          <w:rStyle w:val="ad"/>
          <w:rFonts w:ascii="Times New Roman" w:hAnsi="Times New Roman" w:cs="Times New Roman"/>
          <w:color w:val="auto"/>
          <w:u w:val="none"/>
        </w:rPr>
        <w:t xml:space="preserve"> </w:t>
      </w:r>
      <w:r w:rsidRPr="00616BF7">
        <w:rPr>
          <w:rStyle w:val="ad"/>
          <w:rFonts w:ascii="Times New Roman" w:hAnsi="Times New Roman" w:cs="Times New Roman"/>
          <w:color w:val="auto"/>
          <w:sz w:val="26"/>
          <w:szCs w:val="26"/>
          <w:u w:val="none"/>
        </w:rPr>
        <w:t>Росреестра</w:t>
      </w:r>
      <w:r w:rsidRPr="00616BF7">
        <w:rPr>
          <w:rFonts w:ascii="Times New Roman" w:eastAsia="Calibri" w:hAnsi="Times New Roman" w:cs="Times New Roman"/>
          <w:sz w:val="26"/>
          <w:szCs w:val="26"/>
        </w:rPr>
        <w:t>.</w:t>
      </w:r>
    </w:p>
    <w:p w14:paraId="5F23774C" w14:textId="6F631BF7" w:rsidR="00516E3E" w:rsidRDefault="00516E3E" w:rsidP="00516E3E">
      <w:pPr>
        <w:spacing w:after="0" w:line="276" w:lineRule="auto"/>
        <w:ind w:firstLine="709"/>
        <w:jc w:val="both"/>
        <w:rPr>
          <w:rFonts w:ascii="Times New Roman" w:hAnsi="Times New Roman" w:cs="Times New Roman"/>
          <w:sz w:val="26"/>
          <w:szCs w:val="26"/>
        </w:rPr>
      </w:pPr>
      <w:r w:rsidRPr="004A0C0A">
        <w:rPr>
          <w:rFonts w:ascii="Times New Roman" w:hAnsi="Times New Roman" w:cs="Times New Roman"/>
          <w:i/>
          <w:sz w:val="26"/>
          <w:szCs w:val="26"/>
        </w:rPr>
        <w:t xml:space="preserve">Среднее значение коэффициента перехода от </w:t>
      </w:r>
      <w:r>
        <w:rPr>
          <w:rFonts w:ascii="Times New Roman" w:hAnsi="Times New Roman" w:cs="Times New Roman"/>
          <w:i/>
          <w:sz w:val="26"/>
          <w:szCs w:val="26"/>
        </w:rPr>
        <w:t>13</w:t>
      </w:r>
      <w:r w:rsidRPr="004A0C0A">
        <w:rPr>
          <w:rFonts w:ascii="Times New Roman" w:hAnsi="Times New Roman" w:cs="Times New Roman"/>
          <w:i/>
          <w:sz w:val="26"/>
          <w:szCs w:val="26"/>
        </w:rPr>
        <w:t xml:space="preserve"> сегмента к </w:t>
      </w:r>
      <w:r w:rsidR="006D6822">
        <w:rPr>
          <w:rFonts w:ascii="Times New Roman" w:hAnsi="Times New Roman" w:cs="Times New Roman"/>
          <w:i/>
          <w:sz w:val="26"/>
          <w:szCs w:val="26"/>
        </w:rPr>
        <w:t>5</w:t>
      </w:r>
      <w:r w:rsidRPr="004A0C0A">
        <w:rPr>
          <w:rFonts w:ascii="Times New Roman" w:hAnsi="Times New Roman" w:cs="Times New Roman"/>
          <w:i/>
          <w:sz w:val="26"/>
          <w:szCs w:val="26"/>
        </w:rPr>
        <w:t xml:space="preserve"> сегменту равн</w:t>
      </w:r>
      <w:r>
        <w:rPr>
          <w:rFonts w:ascii="Times New Roman" w:hAnsi="Times New Roman" w:cs="Times New Roman"/>
          <w:i/>
          <w:sz w:val="26"/>
          <w:szCs w:val="26"/>
        </w:rPr>
        <w:t>о</w:t>
      </w:r>
      <w:r>
        <w:rPr>
          <w:rFonts w:ascii="Times New Roman" w:hAnsi="Times New Roman" w:cs="Times New Roman"/>
          <w:sz w:val="26"/>
          <w:szCs w:val="26"/>
        </w:rPr>
        <w:t xml:space="preserve"> </w:t>
      </w:r>
      <w:r w:rsidR="006D6822">
        <w:rPr>
          <w:rFonts w:ascii="Times New Roman" w:hAnsi="Times New Roman" w:cs="Times New Roman"/>
          <w:b/>
          <w:sz w:val="26"/>
          <w:szCs w:val="26"/>
        </w:rPr>
        <w:t>0,9</w:t>
      </w:r>
      <w:r w:rsidR="00DE68ED">
        <w:rPr>
          <w:rFonts w:ascii="Times New Roman" w:hAnsi="Times New Roman" w:cs="Times New Roman"/>
          <w:b/>
          <w:sz w:val="26"/>
          <w:szCs w:val="26"/>
        </w:rPr>
        <w:t>8</w:t>
      </w:r>
      <w:r>
        <w:rPr>
          <w:rFonts w:ascii="Times New Roman" w:hAnsi="Times New Roman" w:cs="Times New Roman"/>
          <w:sz w:val="26"/>
          <w:szCs w:val="26"/>
        </w:rPr>
        <w:t>.</w:t>
      </w:r>
    </w:p>
    <w:p w14:paraId="088598E7" w14:textId="11F47259" w:rsidR="006A79B0" w:rsidRDefault="006A79B0" w:rsidP="006A79B0">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Расчет коэффициентов перехода </w:t>
      </w:r>
      <w:r w:rsidRPr="004743AD">
        <w:rPr>
          <w:rFonts w:ascii="Times New Roman" w:hAnsi="Times New Roman" w:cs="Times New Roman"/>
          <w:sz w:val="26"/>
          <w:szCs w:val="26"/>
        </w:rPr>
        <w:t xml:space="preserve">представлен в Приложении </w:t>
      </w:r>
      <w:r w:rsidR="00E20613">
        <w:rPr>
          <w:rFonts w:ascii="Times New Roman" w:hAnsi="Times New Roman" w:cs="Times New Roman"/>
          <w:sz w:val="26"/>
          <w:szCs w:val="26"/>
        </w:rPr>
        <w:t>1/</w:t>
      </w:r>
      <w:r w:rsidR="007B7DEB">
        <w:rPr>
          <w:rFonts w:ascii="Times New Roman" w:hAnsi="Times New Roman" w:cs="Times New Roman"/>
          <w:sz w:val="26"/>
          <w:szCs w:val="26"/>
        </w:rPr>
        <w:t>1.6/</w:t>
      </w:r>
      <w:r w:rsidR="004743AD" w:rsidRPr="004743AD">
        <w:rPr>
          <w:rFonts w:ascii="Times New Roman" w:hAnsi="Times New Roman" w:cs="Times New Roman"/>
          <w:sz w:val="26"/>
          <w:szCs w:val="26"/>
        </w:rPr>
        <w:t>1.6.2</w:t>
      </w:r>
    </w:p>
    <w:p w14:paraId="3425AC16" w14:textId="09D02A69" w:rsidR="00DB474C" w:rsidRPr="007A733D" w:rsidRDefault="00DB474C" w:rsidP="00DB474C">
      <w:pPr>
        <w:spacing w:before="120" w:after="0" w:line="276" w:lineRule="auto"/>
        <w:ind w:firstLine="709"/>
        <w:jc w:val="center"/>
        <w:rPr>
          <w:rFonts w:ascii="Times New Roman" w:hAnsi="Times New Roman" w:cs="Times New Roman"/>
          <w:i/>
          <w:sz w:val="26"/>
          <w:szCs w:val="26"/>
        </w:rPr>
      </w:pPr>
      <w:r w:rsidRPr="007A733D">
        <w:rPr>
          <w:rFonts w:ascii="Times New Roman" w:hAnsi="Times New Roman" w:cs="Times New Roman"/>
          <w:i/>
          <w:sz w:val="26"/>
          <w:szCs w:val="26"/>
        </w:rPr>
        <w:t>Анализ рыночной информации</w:t>
      </w:r>
    </w:p>
    <w:p w14:paraId="24478968" w14:textId="77777777" w:rsidR="00DB474C" w:rsidRPr="00D67CB0" w:rsidRDefault="00DB474C" w:rsidP="00DB474C">
      <w:pPr>
        <w:spacing w:before="120" w:after="0" w:line="276" w:lineRule="auto"/>
        <w:ind w:firstLine="567"/>
        <w:jc w:val="both"/>
        <w:rPr>
          <w:rFonts w:ascii="Times New Roman" w:hAnsi="Times New Roman" w:cs="Times New Roman"/>
          <w:sz w:val="26"/>
          <w:szCs w:val="26"/>
        </w:rPr>
      </w:pPr>
      <w:r w:rsidRPr="00D67CB0">
        <w:rPr>
          <w:rFonts w:ascii="Times New Roman" w:hAnsi="Times New Roman" w:cs="Times New Roman"/>
          <w:sz w:val="26"/>
          <w:szCs w:val="26"/>
        </w:rPr>
        <w:t>Далее представлена информация о предложениях (сделках) сегмента «</w:t>
      </w:r>
      <w:r w:rsidRPr="00D67CB0">
        <w:rPr>
          <w:rFonts w:ascii="Times New Roman" w:eastAsia="Calibri" w:hAnsi="Times New Roman" w:cs="Times New Roman"/>
          <w:sz w:val="26"/>
          <w:szCs w:val="26"/>
        </w:rPr>
        <w:t>Отдых (рекреация)</w:t>
      </w:r>
      <w:r w:rsidRPr="00D67CB0">
        <w:rPr>
          <w:rFonts w:ascii="Times New Roman" w:hAnsi="Times New Roman" w:cs="Times New Roman"/>
          <w:sz w:val="26"/>
          <w:szCs w:val="26"/>
        </w:rPr>
        <w:t xml:space="preserve">» на рынке недвижимости Воронежской области. </w:t>
      </w:r>
    </w:p>
    <w:p w14:paraId="676F2435" w14:textId="77777777" w:rsidR="00DB474C" w:rsidRPr="00D67CB0" w:rsidRDefault="00DB474C" w:rsidP="00DB474C">
      <w:pPr>
        <w:pStyle w:val="Textbody"/>
        <w:spacing w:after="0" w:line="276" w:lineRule="auto"/>
        <w:ind w:firstLine="709"/>
        <w:jc w:val="both"/>
        <w:rPr>
          <w:rFonts w:ascii="Times New Roman" w:hAnsi="Times New Roman" w:cs="Times New Roman"/>
          <w:sz w:val="26"/>
          <w:szCs w:val="26"/>
          <w:lang w:val="ru-RU"/>
        </w:rPr>
      </w:pPr>
      <w:r w:rsidRPr="00D67CB0">
        <w:rPr>
          <w:rFonts w:ascii="Times New Roman" w:hAnsi="Times New Roman" w:cs="Times New Roman"/>
          <w:sz w:val="26"/>
          <w:szCs w:val="26"/>
          <w:lang w:val="ru-RU"/>
        </w:rPr>
        <w:t>Наибольшее количество сосредоточено непосредственно в г.о.г. Воронеж – 3</w:t>
      </w:r>
      <w:r>
        <w:rPr>
          <w:rFonts w:ascii="Times New Roman" w:hAnsi="Times New Roman" w:cs="Times New Roman"/>
          <w:sz w:val="26"/>
          <w:szCs w:val="26"/>
          <w:lang w:val="ru-RU"/>
        </w:rPr>
        <w:t>6,93</w:t>
      </w:r>
      <w:r w:rsidRPr="00D67CB0">
        <w:rPr>
          <w:rFonts w:ascii="Times New Roman" w:hAnsi="Times New Roman" w:cs="Times New Roman"/>
          <w:sz w:val="26"/>
          <w:szCs w:val="26"/>
          <w:lang w:val="ru-RU"/>
        </w:rPr>
        <w:t>% от общего количества предложений (сделок) по региону.</w:t>
      </w:r>
    </w:p>
    <w:p w14:paraId="2DCD05C2" w14:textId="41AECDB2" w:rsidR="00DB474C" w:rsidRPr="00D67CB0" w:rsidRDefault="00DB474C" w:rsidP="00DB474C">
      <w:pPr>
        <w:spacing w:after="0" w:line="276" w:lineRule="auto"/>
        <w:ind w:firstLine="708"/>
        <w:jc w:val="right"/>
        <w:rPr>
          <w:rFonts w:ascii="Times New Roman" w:hAnsi="Times New Roman" w:cs="Times New Roman"/>
          <w:sz w:val="26"/>
          <w:szCs w:val="26"/>
        </w:rPr>
      </w:pPr>
      <w:r w:rsidRPr="00D67CB0">
        <w:rPr>
          <w:rFonts w:ascii="Times New Roman" w:hAnsi="Times New Roman" w:cs="Times New Roman"/>
          <w:sz w:val="26"/>
          <w:szCs w:val="26"/>
        </w:rPr>
        <w:t xml:space="preserve">Таблица </w:t>
      </w:r>
      <w:r w:rsidRPr="00E86182">
        <w:rPr>
          <w:rFonts w:ascii="Times New Roman" w:hAnsi="Times New Roman" w:cs="Times New Roman"/>
          <w:sz w:val="26"/>
          <w:szCs w:val="26"/>
        </w:rPr>
        <w:t>3.1.3.5.2</w:t>
      </w:r>
    </w:p>
    <w:p w14:paraId="2D62AAA9" w14:textId="77777777" w:rsidR="00DB474C" w:rsidRPr="00D67CB0" w:rsidRDefault="00DB474C" w:rsidP="00DB474C">
      <w:pPr>
        <w:spacing w:after="0" w:line="276" w:lineRule="auto"/>
        <w:ind w:firstLine="708"/>
        <w:jc w:val="center"/>
        <w:rPr>
          <w:rFonts w:ascii="Times New Roman" w:hAnsi="Times New Roman" w:cs="Times New Roman"/>
          <w:sz w:val="26"/>
          <w:szCs w:val="26"/>
        </w:rPr>
      </w:pPr>
      <w:r w:rsidRPr="00D67CB0">
        <w:rPr>
          <w:rFonts w:ascii="Times New Roman" w:hAnsi="Times New Roman" w:cs="Times New Roman"/>
          <w:sz w:val="26"/>
          <w:szCs w:val="26"/>
        </w:rPr>
        <w:t>Анализ рыночной информации сегмента «Отдых (рекреация)»</w:t>
      </w:r>
    </w:p>
    <w:tbl>
      <w:tblPr>
        <w:tblW w:w="92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84"/>
        <w:gridCol w:w="1837"/>
        <w:gridCol w:w="1849"/>
        <w:gridCol w:w="1545"/>
      </w:tblGrid>
      <w:tr w:rsidR="00DB474C" w:rsidRPr="0045278C" w14:paraId="604AFA05" w14:textId="77777777" w:rsidTr="00E564BF">
        <w:trPr>
          <w:trHeight w:val="511"/>
        </w:trPr>
        <w:tc>
          <w:tcPr>
            <w:tcW w:w="2127" w:type="dxa"/>
            <w:vMerge w:val="restart"/>
            <w:shd w:val="clear" w:color="auto" w:fill="auto"/>
            <w:vAlign w:val="center"/>
            <w:hideMark/>
          </w:tcPr>
          <w:p w14:paraId="3D39DE4D" w14:textId="77777777" w:rsidR="00DB474C" w:rsidRPr="0045278C" w:rsidRDefault="00DB474C" w:rsidP="00DB474C">
            <w:pPr>
              <w:spacing w:after="0" w:line="240" w:lineRule="auto"/>
              <w:jc w:val="center"/>
              <w:rPr>
                <w:rFonts w:ascii="Times New Roman" w:eastAsia="Times New Roman" w:hAnsi="Times New Roman" w:cs="Times New Roman"/>
                <w:b/>
                <w:color w:val="000000"/>
                <w:lang w:eastAsia="ru-RU"/>
              </w:rPr>
            </w:pPr>
            <w:r w:rsidRPr="0045278C">
              <w:rPr>
                <w:rFonts w:ascii="Times New Roman" w:eastAsia="Times New Roman" w:hAnsi="Times New Roman" w:cs="Times New Roman"/>
                <w:b/>
                <w:color w:val="000000"/>
                <w:lang w:eastAsia="ru-RU"/>
              </w:rPr>
              <w:t>Наименование района</w:t>
            </w:r>
          </w:p>
        </w:tc>
        <w:tc>
          <w:tcPr>
            <w:tcW w:w="5670" w:type="dxa"/>
            <w:gridSpan w:val="3"/>
            <w:shd w:val="clear" w:color="auto" w:fill="auto"/>
            <w:vAlign w:val="center"/>
            <w:hideMark/>
          </w:tcPr>
          <w:p w14:paraId="7011FFB2" w14:textId="77777777" w:rsidR="00DB474C" w:rsidRPr="0045278C" w:rsidRDefault="00DB474C" w:rsidP="00DB474C">
            <w:pPr>
              <w:spacing w:after="0" w:line="240" w:lineRule="auto"/>
              <w:jc w:val="center"/>
              <w:rPr>
                <w:rFonts w:ascii="Times New Roman" w:eastAsia="Times New Roman" w:hAnsi="Times New Roman" w:cs="Times New Roman"/>
                <w:b/>
                <w:color w:val="000000"/>
                <w:lang w:eastAsia="ru-RU"/>
              </w:rPr>
            </w:pPr>
            <w:r w:rsidRPr="0045278C">
              <w:rPr>
                <w:rFonts w:ascii="Times New Roman" w:eastAsia="Times New Roman" w:hAnsi="Times New Roman" w:cs="Times New Roman"/>
                <w:b/>
                <w:color w:val="000000"/>
                <w:lang w:eastAsia="ru-RU"/>
              </w:rPr>
              <w:t>Удельный показатель рыночной стоимости, руб./кв.м</w:t>
            </w:r>
          </w:p>
        </w:tc>
        <w:tc>
          <w:tcPr>
            <w:tcW w:w="1415" w:type="dxa"/>
            <w:vMerge w:val="restart"/>
            <w:shd w:val="clear" w:color="auto" w:fill="auto"/>
            <w:vAlign w:val="center"/>
            <w:hideMark/>
          </w:tcPr>
          <w:p w14:paraId="7D8B33B1" w14:textId="77777777" w:rsidR="00DB474C" w:rsidRPr="0045278C" w:rsidRDefault="00DB474C" w:rsidP="00DB474C">
            <w:pPr>
              <w:spacing w:after="0" w:line="240" w:lineRule="auto"/>
              <w:jc w:val="center"/>
              <w:rPr>
                <w:rFonts w:ascii="Times New Roman" w:eastAsia="Times New Roman" w:hAnsi="Times New Roman" w:cs="Times New Roman"/>
                <w:b/>
                <w:color w:val="000000"/>
                <w:lang w:eastAsia="ru-RU"/>
              </w:rPr>
            </w:pPr>
            <w:r w:rsidRPr="0045278C">
              <w:rPr>
                <w:rFonts w:ascii="Times New Roman" w:eastAsia="Times New Roman" w:hAnsi="Times New Roman" w:cs="Times New Roman"/>
                <w:b/>
                <w:color w:val="000000"/>
                <w:lang w:eastAsia="ru-RU"/>
              </w:rPr>
              <w:t>Количество предложений (сделок)</w:t>
            </w:r>
          </w:p>
        </w:tc>
      </w:tr>
      <w:tr w:rsidR="00DB474C" w:rsidRPr="0045278C" w14:paraId="13BEAE7C" w14:textId="77777777" w:rsidTr="00E564BF">
        <w:trPr>
          <w:trHeight w:val="600"/>
        </w:trPr>
        <w:tc>
          <w:tcPr>
            <w:tcW w:w="2127" w:type="dxa"/>
            <w:vMerge/>
            <w:vAlign w:val="center"/>
            <w:hideMark/>
          </w:tcPr>
          <w:p w14:paraId="3766813C"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p>
        </w:tc>
        <w:tc>
          <w:tcPr>
            <w:tcW w:w="1984" w:type="dxa"/>
            <w:shd w:val="clear" w:color="auto" w:fill="auto"/>
            <w:noWrap/>
            <w:vAlign w:val="center"/>
            <w:hideMark/>
          </w:tcPr>
          <w:p w14:paraId="7278B874" w14:textId="77777777" w:rsidR="00DB474C" w:rsidRPr="0045278C" w:rsidRDefault="00DB474C" w:rsidP="00DB474C">
            <w:pPr>
              <w:spacing w:after="0" w:line="240" w:lineRule="auto"/>
              <w:jc w:val="center"/>
              <w:rPr>
                <w:rFonts w:ascii="Times New Roman" w:eastAsia="Times New Roman" w:hAnsi="Times New Roman" w:cs="Times New Roman"/>
                <w:b/>
                <w:bCs/>
                <w:color w:val="000000"/>
                <w:lang w:eastAsia="ru-RU"/>
              </w:rPr>
            </w:pPr>
            <w:r w:rsidRPr="0045278C">
              <w:rPr>
                <w:rFonts w:ascii="Times New Roman" w:eastAsia="Times New Roman" w:hAnsi="Times New Roman" w:cs="Times New Roman"/>
                <w:b/>
                <w:bCs/>
                <w:color w:val="000000"/>
                <w:lang w:eastAsia="ru-RU"/>
              </w:rPr>
              <w:t>Минимальное значение</w:t>
            </w:r>
          </w:p>
        </w:tc>
        <w:tc>
          <w:tcPr>
            <w:tcW w:w="1837" w:type="dxa"/>
            <w:shd w:val="clear" w:color="auto" w:fill="auto"/>
            <w:noWrap/>
            <w:vAlign w:val="center"/>
            <w:hideMark/>
          </w:tcPr>
          <w:p w14:paraId="1C493C4B" w14:textId="77777777" w:rsidR="00DB474C" w:rsidRPr="0045278C" w:rsidRDefault="00DB474C" w:rsidP="00DB474C">
            <w:pPr>
              <w:spacing w:after="0" w:line="240" w:lineRule="auto"/>
              <w:jc w:val="center"/>
              <w:rPr>
                <w:rFonts w:ascii="Times New Roman" w:eastAsia="Times New Roman" w:hAnsi="Times New Roman" w:cs="Times New Roman"/>
                <w:b/>
                <w:bCs/>
                <w:color w:val="000000"/>
                <w:lang w:eastAsia="ru-RU"/>
              </w:rPr>
            </w:pPr>
            <w:r w:rsidRPr="0045278C">
              <w:rPr>
                <w:rFonts w:ascii="Times New Roman" w:eastAsia="Times New Roman" w:hAnsi="Times New Roman" w:cs="Times New Roman"/>
                <w:b/>
                <w:bCs/>
                <w:color w:val="000000"/>
                <w:lang w:eastAsia="ru-RU"/>
              </w:rPr>
              <w:t>Среднее значение</w:t>
            </w:r>
          </w:p>
        </w:tc>
        <w:tc>
          <w:tcPr>
            <w:tcW w:w="1849" w:type="dxa"/>
            <w:shd w:val="clear" w:color="auto" w:fill="auto"/>
            <w:noWrap/>
            <w:vAlign w:val="center"/>
            <w:hideMark/>
          </w:tcPr>
          <w:p w14:paraId="409AD05A" w14:textId="77777777" w:rsidR="00DB474C" w:rsidRPr="0045278C" w:rsidRDefault="00DB474C" w:rsidP="00DB474C">
            <w:pPr>
              <w:spacing w:after="0" w:line="240" w:lineRule="auto"/>
              <w:jc w:val="center"/>
              <w:rPr>
                <w:rFonts w:ascii="Times New Roman" w:eastAsia="Times New Roman" w:hAnsi="Times New Roman" w:cs="Times New Roman"/>
                <w:b/>
                <w:bCs/>
                <w:color w:val="000000"/>
                <w:lang w:eastAsia="ru-RU"/>
              </w:rPr>
            </w:pPr>
            <w:r w:rsidRPr="0045278C">
              <w:rPr>
                <w:rFonts w:ascii="Times New Roman" w:eastAsia="Times New Roman" w:hAnsi="Times New Roman" w:cs="Times New Roman"/>
                <w:b/>
                <w:bCs/>
                <w:color w:val="000000"/>
                <w:lang w:eastAsia="ru-RU"/>
              </w:rPr>
              <w:t>Максимальное значение</w:t>
            </w:r>
          </w:p>
        </w:tc>
        <w:tc>
          <w:tcPr>
            <w:tcW w:w="1415" w:type="dxa"/>
            <w:vMerge/>
            <w:vAlign w:val="center"/>
            <w:hideMark/>
          </w:tcPr>
          <w:p w14:paraId="0E37F500"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p>
        </w:tc>
      </w:tr>
      <w:tr w:rsidR="00DB474C" w:rsidRPr="0045278C" w14:paraId="10FBBBCE" w14:textId="77777777" w:rsidTr="00E564BF">
        <w:trPr>
          <w:trHeight w:val="300"/>
        </w:trPr>
        <w:tc>
          <w:tcPr>
            <w:tcW w:w="2127" w:type="dxa"/>
            <w:shd w:val="clear" w:color="auto" w:fill="auto"/>
            <w:noWrap/>
            <w:vAlign w:val="bottom"/>
            <w:hideMark/>
          </w:tcPr>
          <w:p w14:paraId="15388857"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Аннинский</w:t>
            </w:r>
          </w:p>
        </w:tc>
        <w:tc>
          <w:tcPr>
            <w:tcW w:w="1984" w:type="dxa"/>
            <w:shd w:val="clear" w:color="auto" w:fill="auto"/>
            <w:noWrap/>
            <w:vAlign w:val="bottom"/>
            <w:hideMark/>
          </w:tcPr>
          <w:p w14:paraId="34D33B69"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120,18</w:t>
            </w:r>
          </w:p>
        </w:tc>
        <w:tc>
          <w:tcPr>
            <w:tcW w:w="1837" w:type="dxa"/>
            <w:shd w:val="clear" w:color="auto" w:fill="auto"/>
            <w:noWrap/>
            <w:vAlign w:val="bottom"/>
            <w:hideMark/>
          </w:tcPr>
          <w:p w14:paraId="269B01C3"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120,18</w:t>
            </w:r>
          </w:p>
        </w:tc>
        <w:tc>
          <w:tcPr>
            <w:tcW w:w="1849" w:type="dxa"/>
            <w:shd w:val="clear" w:color="auto" w:fill="auto"/>
            <w:noWrap/>
            <w:vAlign w:val="bottom"/>
            <w:hideMark/>
          </w:tcPr>
          <w:p w14:paraId="239F6EC8"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120,18</w:t>
            </w:r>
          </w:p>
        </w:tc>
        <w:tc>
          <w:tcPr>
            <w:tcW w:w="1415" w:type="dxa"/>
            <w:shd w:val="clear" w:color="auto" w:fill="auto"/>
            <w:noWrap/>
            <w:vAlign w:val="bottom"/>
            <w:hideMark/>
          </w:tcPr>
          <w:p w14:paraId="3669B970"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w:t>
            </w:r>
          </w:p>
        </w:tc>
      </w:tr>
      <w:tr w:rsidR="00DB474C" w:rsidRPr="0045278C" w14:paraId="1CAE0B48" w14:textId="77777777" w:rsidTr="00E564BF">
        <w:trPr>
          <w:trHeight w:val="300"/>
        </w:trPr>
        <w:tc>
          <w:tcPr>
            <w:tcW w:w="2127" w:type="dxa"/>
            <w:shd w:val="clear" w:color="auto" w:fill="auto"/>
            <w:noWrap/>
            <w:vAlign w:val="bottom"/>
            <w:hideMark/>
          </w:tcPr>
          <w:p w14:paraId="24609791"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Бобровский</w:t>
            </w:r>
          </w:p>
        </w:tc>
        <w:tc>
          <w:tcPr>
            <w:tcW w:w="1984" w:type="dxa"/>
            <w:shd w:val="clear" w:color="auto" w:fill="auto"/>
            <w:noWrap/>
            <w:vAlign w:val="bottom"/>
            <w:hideMark/>
          </w:tcPr>
          <w:p w14:paraId="28A36554"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4 356,90</w:t>
            </w:r>
          </w:p>
        </w:tc>
        <w:tc>
          <w:tcPr>
            <w:tcW w:w="1837" w:type="dxa"/>
            <w:shd w:val="clear" w:color="auto" w:fill="auto"/>
            <w:noWrap/>
            <w:vAlign w:val="bottom"/>
            <w:hideMark/>
          </w:tcPr>
          <w:p w14:paraId="1F72FE37"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4 356,90</w:t>
            </w:r>
          </w:p>
        </w:tc>
        <w:tc>
          <w:tcPr>
            <w:tcW w:w="1849" w:type="dxa"/>
            <w:shd w:val="clear" w:color="auto" w:fill="auto"/>
            <w:noWrap/>
            <w:vAlign w:val="bottom"/>
            <w:hideMark/>
          </w:tcPr>
          <w:p w14:paraId="198F4E63"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4 356,90</w:t>
            </w:r>
          </w:p>
        </w:tc>
        <w:tc>
          <w:tcPr>
            <w:tcW w:w="1415" w:type="dxa"/>
            <w:shd w:val="clear" w:color="auto" w:fill="auto"/>
            <w:noWrap/>
            <w:vAlign w:val="bottom"/>
            <w:hideMark/>
          </w:tcPr>
          <w:p w14:paraId="29BEED9B"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w:t>
            </w:r>
          </w:p>
        </w:tc>
      </w:tr>
      <w:tr w:rsidR="00DB474C" w:rsidRPr="0045278C" w14:paraId="699F0B24" w14:textId="77777777" w:rsidTr="00E564BF">
        <w:trPr>
          <w:trHeight w:val="300"/>
        </w:trPr>
        <w:tc>
          <w:tcPr>
            <w:tcW w:w="2127" w:type="dxa"/>
            <w:shd w:val="clear" w:color="auto" w:fill="auto"/>
            <w:noWrap/>
            <w:vAlign w:val="bottom"/>
            <w:hideMark/>
          </w:tcPr>
          <w:p w14:paraId="5BF396EE"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Богучарский</w:t>
            </w:r>
          </w:p>
        </w:tc>
        <w:tc>
          <w:tcPr>
            <w:tcW w:w="1984" w:type="dxa"/>
            <w:shd w:val="clear" w:color="auto" w:fill="auto"/>
            <w:noWrap/>
            <w:vAlign w:val="bottom"/>
            <w:hideMark/>
          </w:tcPr>
          <w:p w14:paraId="2AF21722"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3 609,38</w:t>
            </w:r>
          </w:p>
        </w:tc>
        <w:tc>
          <w:tcPr>
            <w:tcW w:w="1837" w:type="dxa"/>
            <w:shd w:val="clear" w:color="auto" w:fill="auto"/>
            <w:noWrap/>
            <w:vAlign w:val="bottom"/>
            <w:hideMark/>
          </w:tcPr>
          <w:p w14:paraId="246E31B2"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3 609,38</w:t>
            </w:r>
          </w:p>
        </w:tc>
        <w:tc>
          <w:tcPr>
            <w:tcW w:w="1849" w:type="dxa"/>
            <w:shd w:val="clear" w:color="auto" w:fill="auto"/>
            <w:noWrap/>
            <w:vAlign w:val="bottom"/>
            <w:hideMark/>
          </w:tcPr>
          <w:p w14:paraId="327531F0"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3 609,38</w:t>
            </w:r>
          </w:p>
        </w:tc>
        <w:tc>
          <w:tcPr>
            <w:tcW w:w="1415" w:type="dxa"/>
            <w:shd w:val="clear" w:color="auto" w:fill="auto"/>
            <w:noWrap/>
            <w:vAlign w:val="bottom"/>
            <w:hideMark/>
          </w:tcPr>
          <w:p w14:paraId="55098779"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w:t>
            </w:r>
          </w:p>
        </w:tc>
      </w:tr>
      <w:tr w:rsidR="00DB474C" w:rsidRPr="0045278C" w14:paraId="2C8FFB21" w14:textId="77777777" w:rsidTr="00E564BF">
        <w:trPr>
          <w:trHeight w:val="300"/>
        </w:trPr>
        <w:tc>
          <w:tcPr>
            <w:tcW w:w="2127" w:type="dxa"/>
            <w:shd w:val="clear" w:color="auto" w:fill="auto"/>
            <w:noWrap/>
            <w:vAlign w:val="bottom"/>
            <w:hideMark/>
          </w:tcPr>
          <w:p w14:paraId="157B4A49"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Борисоглебский</w:t>
            </w:r>
          </w:p>
        </w:tc>
        <w:tc>
          <w:tcPr>
            <w:tcW w:w="1984" w:type="dxa"/>
            <w:shd w:val="clear" w:color="auto" w:fill="auto"/>
            <w:noWrap/>
            <w:vAlign w:val="bottom"/>
            <w:hideMark/>
          </w:tcPr>
          <w:p w14:paraId="35DD7CB5"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4,35</w:t>
            </w:r>
          </w:p>
        </w:tc>
        <w:tc>
          <w:tcPr>
            <w:tcW w:w="1837" w:type="dxa"/>
            <w:shd w:val="clear" w:color="auto" w:fill="auto"/>
            <w:noWrap/>
            <w:vAlign w:val="bottom"/>
            <w:hideMark/>
          </w:tcPr>
          <w:p w14:paraId="0D05E959"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27,43</w:t>
            </w:r>
          </w:p>
        </w:tc>
        <w:tc>
          <w:tcPr>
            <w:tcW w:w="1849" w:type="dxa"/>
            <w:shd w:val="clear" w:color="auto" w:fill="auto"/>
            <w:noWrap/>
            <w:vAlign w:val="bottom"/>
            <w:hideMark/>
          </w:tcPr>
          <w:p w14:paraId="36D5BAA6"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48,88</w:t>
            </w:r>
          </w:p>
        </w:tc>
        <w:tc>
          <w:tcPr>
            <w:tcW w:w="1415" w:type="dxa"/>
            <w:shd w:val="clear" w:color="auto" w:fill="auto"/>
            <w:noWrap/>
            <w:vAlign w:val="bottom"/>
            <w:hideMark/>
          </w:tcPr>
          <w:p w14:paraId="40663870"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4</w:t>
            </w:r>
          </w:p>
        </w:tc>
      </w:tr>
      <w:tr w:rsidR="00DB474C" w:rsidRPr="0045278C" w14:paraId="163930AB" w14:textId="77777777" w:rsidTr="00E564BF">
        <w:trPr>
          <w:trHeight w:val="300"/>
        </w:trPr>
        <w:tc>
          <w:tcPr>
            <w:tcW w:w="2127" w:type="dxa"/>
            <w:shd w:val="clear" w:color="auto" w:fill="auto"/>
            <w:noWrap/>
            <w:vAlign w:val="bottom"/>
            <w:hideMark/>
          </w:tcPr>
          <w:p w14:paraId="2AA1DDAF"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Бутурлиновский</w:t>
            </w:r>
          </w:p>
        </w:tc>
        <w:tc>
          <w:tcPr>
            <w:tcW w:w="1984" w:type="dxa"/>
            <w:shd w:val="clear" w:color="auto" w:fill="auto"/>
            <w:noWrap/>
            <w:vAlign w:val="bottom"/>
            <w:hideMark/>
          </w:tcPr>
          <w:p w14:paraId="1EC23AFF"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37" w:type="dxa"/>
            <w:shd w:val="clear" w:color="auto" w:fill="auto"/>
            <w:noWrap/>
            <w:vAlign w:val="bottom"/>
            <w:hideMark/>
          </w:tcPr>
          <w:p w14:paraId="1C5E19DD"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49" w:type="dxa"/>
            <w:shd w:val="clear" w:color="auto" w:fill="auto"/>
            <w:noWrap/>
            <w:vAlign w:val="bottom"/>
            <w:hideMark/>
          </w:tcPr>
          <w:p w14:paraId="6112E2DD"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415" w:type="dxa"/>
            <w:shd w:val="clear" w:color="auto" w:fill="auto"/>
            <w:noWrap/>
            <w:vAlign w:val="bottom"/>
            <w:hideMark/>
          </w:tcPr>
          <w:p w14:paraId="2C961F3D"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r>
      <w:tr w:rsidR="00DB474C" w:rsidRPr="0045278C" w14:paraId="518EBF93" w14:textId="77777777" w:rsidTr="00E564BF">
        <w:trPr>
          <w:trHeight w:val="300"/>
        </w:trPr>
        <w:tc>
          <w:tcPr>
            <w:tcW w:w="2127" w:type="dxa"/>
            <w:shd w:val="clear" w:color="auto" w:fill="auto"/>
            <w:noWrap/>
            <w:vAlign w:val="bottom"/>
            <w:hideMark/>
          </w:tcPr>
          <w:p w14:paraId="2B0CCADE"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Верхнемамонский</w:t>
            </w:r>
          </w:p>
        </w:tc>
        <w:tc>
          <w:tcPr>
            <w:tcW w:w="1984" w:type="dxa"/>
            <w:shd w:val="clear" w:color="auto" w:fill="auto"/>
            <w:noWrap/>
            <w:vAlign w:val="bottom"/>
            <w:hideMark/>
          </w:tcPr>
          <w:p w14:paraId="24CF69B6"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913,50</w:t>
            </w:r>
          </w:p>
        </w:tc>
        <w:tc>
          <w:tcPr>
            <w:tcW w:w="1837" w:type="dxa"/>
            <w:shd w:val="clear" w:color="auto" w:fill="auto"/>
            <w:noWrap/>
            <w:vAlign w:val="bottom"/>
            <w:hideMark/>
          </w:tcPr>
          <w:p w14:paraId="44173466"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913,50</w:t>
            </w:r>
          </w:p>
        </w:tc>
        <w:tc>
          <w:tcPr>
            <w:tcW w:w="1849" w:type="dxa"/>
            <w:shd w:val="clear" w:color="auto" w:fill="auto"/>
            <w:noWrap/>
            <w:vAlign w:val="bottom"/>
            <w:hideMark/>
          </w:tcPr>
          <w:p w14:paraId="4941F942"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913,50</w:t>
            </w:r>
          </w:p>
        </w:tc>
        <w:tc>
          <w:tcPr>
            <w:tcW w:w="1415" w:type="dxa"/>
            <w:shd w:val="clear" w:color="auto" w:fill="auto"/>
            <w:noWrap/>
            <w:vAlign w:val="bottom"/>
            <w:hideMark/>
          </w:tcPr>
          <w:p w14:paraId="03042868"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w:t>
            </w:r>
          </w:p>
        </w:tc>
      </w:tr>
      <w:tr w:rsidR="00DB474C" w:rsidRPr="0045278C" w14:paraId="77D63985" w14:textId="77777777" w:rsidTr="00E564BF">
        <w:trPr>
          <w:trHeight w:val="300"/>
        </w:trPr>
        <w:tc>
          <w:tcPr>
            <w:tcW w:w="2127" w:type="dxa"/>
            <w:shd w:val="clear" w:color="auto" w:fill="auto"/>
            <w:noWrap/>
            <w:vAlign w:val="bottom"/>
            <w:hideMark/>
          </w:tcPr>
          <w:p w14:paraId="6C58412B"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Верхнехавский</w:t>
            </w:r>
          </w:p>
        </w:tc>
        <w:tc>
          <w:tcPr>
            <w:tcW w:w="1984" w:type="dxa"/>
            <w:shd w:val="clear" w:color="auto" w:fill="auto"/>
            <w:noWrap/>
            <w:vAlign w:val="bottom"/>
            <w:hideMark/>
          </w:tcPr>
          <w:p w14:paraId="10C90C81"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38,08</w:t>
            </w:r>
          </w:p>
        </w:tc>
        <w:tc>
          <w:tcPr>
            <w:tcW w:w="1837" w:type="dxa"/>
            <w:shd w:val="clear" w:color="auto" w:fill="auto"/>
            <w:noWrap/>
            <w:vAlign w:val="bottom"/>
            <w:hideMark/>
          </w:tcPr>
          <w:p w14:paraId="0BF16A56"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38,08</w:t>
            </w:r>
          </w:p>
        </w:tc>
        <w:tc>
          <w:tcPr>
            <w:tcW w:w="1849" w:type="dxa"/>
            <w:shd w:val="clear" w:color="auto" w:fill="auto"/>
            <w:noWrap/>
            <w:vAlign w:val="bottom"/>
            <w:hideMark/>
          </w:tcPr>
          <w:p w14:paraId="478924EE"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38,08</w:t>
            </w:r>
          </w:p>
        </w:tc>
        <w:tc>
          <w:tcPr>
            <w:tcW w:w="1415" w:type="dxa"/>
            <w:shd w:val="clear" w:color="auto" w:fill="auto"/>
            <w:noWrap/>
            <w:vAlign w:val="bottom"/>
            <w:hideMark/>
          </w:tcPr>
          <w:p w14:paraId="735AA76F"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w:t>
            </w:r>
          </w:p>
        </w:tc>
      </w:tr>
      <w:tr w:rsidR="00DB474C" w:rsidRPr="0045278C" w14:paraId="052A08C4" w14:textId="77777777" w:rsidTr="00E564BF">
        <w:trPr>
          <w:trHeight w:val="300"/>
        </w:trPr>
        <w:tc>
          <w:tcPr>
            <w:tcW w:w="2127" w:type="dxa"/>
            <w:shd w:val="clear" w:color="auto" w:fill="auto"/>
            <w:noWrap/>
            <w:vAlign w:val="bottom"/>
            <w:hideMark/>
          </w:tcPr>
          <w:p w14:paraId="7069883E"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Воробьевский</w:t>
            </w:r>
          </w:p>
        </w:tc>
        <w:tc>
          <w:tcPr>
            <w:tcW w:w="1984" w:type="dxa"/>
            <w:shd w:val="clear" w:color="auto" w:fill="auto"/>
            <w:noWrap/>
            <w:vAlign w:val="bottom"/>
            <w:hideMark/>
          </w:tcPr>
          <w:p w14:paraId="1B9CA624"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37" w:type="dxa"/>
            <w:shd w:val="clear" w:color="auto" w:fill="auto"/>
            <w:noWrap/>
            <w:vAlign w:val="bottom"/>
            <w:hideMark/>
          </w:tcPr>
          <w:p w14:paraId="639E710B"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49" w:type="dxa"/>
            <w:shd w:val="clear" w:color="auto" w:fill="auto"/>
            <w:noWrap/>
            <w:vAlign w:val="bottom"/>
            <w:hideMark/>
          </w:tcPr>
          <w:p w14:paraId="50639527"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415" w:type="dxa"/>
            <w:shd w:val="clear" w:color="auto" w:fill="auto"/>
            <w:noWrap/>
            <w:vAlign w:val="bottom"/>
            <w:hideMark/>
          </w:tcPr>
          <w:p w14:paraId="175DD110"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r>
      <w:tr w:rsidR="00DB474C" w:rsidRPr="0045278C" w14:paraId="6C288AA4" w14:textId="77777777" w:rsidTr="00E564BF">
        <w:trPr>
          <w:trHeight w:val="300"/>
        </w:trPr>
        <w:tc>
          <w:tcPr>
            <w:tcW w:w="2127" w:type="dxa"/>
            <w:shd w:val="clear" w:color="auto" w:fill="auto"/>
            <w:noWrap/>
            <w:vAlign w:val="bottom"/>
            <w:hideMark/>
          </w:tcPr>
          <w:p w14:paraId="389EF24A"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 xml:space="preserve">Грибановский </w:t>
            </w:r>
          </w:p>
        </w:tc>
        <w:tc>
          <w:tcPr>
            <w:tcW w:w="1984" w:type="dxa"/>
            <w:shd w:val="clear" w:color="auto" w:fill="auto"/>
            <w:noWrap/>
            <w:vAlign w:val="bottom"/>
            <w:hideMark/>
          </w:tcPr>
          <w:p w14:paraId="44C1C55E"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37" w:type="dxa"/>
            <w:shd w:val="clear" w:color="auto" w:fill="auto"/>
            <w:noWrap/>
            <w:vAlign w:val="bottom"/>
            <w:hideMark/>
          </w:tcPr>
          <w:p w14:paraId="58BD81BC"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49" w:type="dxa"/>
            <w:shd w:val="clear" w:color="auto" w:fill="auto"/>
            <w:noWrap/>
            <w:vAlign w:val="bottom"/>
            <w:hideMark/>
          </w:tcPr>
          <w:p w14:paraId="7926FA49"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415" w:type="dxa"/>
            <w:shd w:val="clear" w:color="auto" w:fill="auto"/>
            <w:noWrap/>
            <w:vAlign w:val="bottom"/>
            <w:hideMark/>
          </w:tcPr>
          <w:p w14:paraId="675CBF6C"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r>
      <w:tr w:rsidR="00DB474C" w:rsidRPr="0045278C" w14:paraId="13C7F3DC" w14:textId="77777777" w:rsidTr="00E564BF">
        <w:trPr>
          <w:trHeight w:val="300"/>
        </w:trPr>
        <w:tc>
          <w:tcPr>
            <w:tcW w:w="2127" w:type="dxa"/>
            <w:shd w:val="clear" w:color="auto" w:fill="auto"/>
            <w:noWrap/>
            <w:vAlign w:val="bottom"/>
            <w:hideMark/>
          </w:tcPr>
          <w:p w14:paraId="6A5BB1CF"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Калачеевский</w:t>
            </w:r>
          </w:p>
        </w:tc>
        <w:tc>
          <w:tcPr>
            <w:tcW w:w="1984" w:type="dxa"/>
            <w:shd w:val="clear" w:color="auto" w:fill="auto"/>
            <w:noWrap/>
            <w:vAlign w:val="bottom"/>
            <w:hideMark/>
          </w:tcPr>
          <w:p w14:paraId="5AC13255"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0,89</w:t>
            </w:r>
          </w:p>
        </w:tc>
        <w:tc>
          <w:tcPr>
            <w:tcW w:w="1837" w:type="dxa"/>
            <w:shd w:val="clear" w:color="auto" w:fill="auto"/>
            <w:noWrap/>
            <w:vAlign w:val="bottom"/>
            <w:hideMark/>
          </w:tcPr>
          <w:p w14:paraId="40B4C271"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6,70</w:t>
            </w:r>
          </w:p>
        </w:tc>
        <w:tc>
          <w:tcPr>
            <w:tcW w:w="1849" w:type="dxa"/>
            <w:shd w:val="clear" w:color="auto" w:fill="auto"/>
            <w:noWrap/>
            <w:vAlign w:val="bottom"/>
            <w:hideMark/>
          </w:tcPr>
          <w:p w14:paraId="7194418A"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12,51</w:t>
            </w:r>
          </w:p>
        </w:tc>
        <w:tc>
          <w:tcPr>
            <w:tcW w:w="1415" w:type="dxa"/>
            <w:shd w:val="clear" w:color="auto" w:fill="auto"/>
            <w:noWrap/>
            <w:vAlign w:val="bottom"/>
            <w:hideMark/>
          </w:tcPr>
          <w:p w14:paraId="5FA338D4"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2</w:t>
            </w:r>
          </w:p>
        </w:tc>
      </w:tr>
      <w:tr w:rsidR="00DB474C" w:rsidRPr="0045278C" w14:paraId="1EC15DA9" w14:textId="77777777" w:rsidTr="00E564BF">
        <w:trPr>
          <w:trHeight w:val="300"/>
        </w:trPr>
        <w:tc>
          <w:tcPr>
            <w:tcW w:w="2127" w:type="dxa"/>
            <w:shd w:val="clear" w:color="auto" w:fill="auto"/>
            <w:noWrap/>
            <w:vAlign w:val="bottom"/>
            <w:hideMark/>
          </w:tcPr>
          <w:p w14:paraId="78E30666"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Каменский</w:t>
            </w:r>
          </w:p>
        </w:tc>
        <w:tc>
          <w:tcPr>
            <w:tcW w:w="1984" w:type="dxa"/>
            <w:shd w:val="clear" w:color="auto" w:fill="auto"/>
            <w:noWrap/>
            <w:vAlign w:val="bottom"/>
            <w:hideMark/>
          </w:tcPr>
          <w:p w14:paraId="38798233"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37" w:type="dxa"/>
            <w:shd w:val="clear" w:color="auto" w:fill="auto"/>
            <w:noWrap/>
            <w:vAlign w:val="bottom"/>
            <w:hideMark/>
          </w:tcPr>
          <w:p w14:paraId="28849DD8"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49" w:type="dxa"/>
            <w:shd w:val="clear" w:color="auto" w:fill="auto"/>
            <w:noWrap/>
            <w:vAlign w:val="bottom"/>
            <w:hideMark/>
          </w:tcPr>
          <w:p w14:paraId="02A82D9B"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415" w:type="dxa"/>
            <w:shd w:val="clear" w:color="auto" w:fill="auto"/>
            <w:noWrap/>
            <w:vAlign w:val="bottom"/>
            <w:hideMark/>
          </w:tcPr>
          <w:p w14:paraId="08EA4763"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r>
      <w:tr w:rsidR="00DB474C" w:rsidRPr="0045278C" w14:paraId="09538B1C" w14:textId="77777777" w:rsidTr="00E564BF">
        <w:trPr>
          <w:trHeight w:val="300"/>
        </w:trPr>
        <w:tc>
          <w:tcPr>
            <w:tcW w:w="2127" w:type="dxa"/>
            <w:shd w:val="clear" w:color="auto" w:fill="auto"/>
            <w:noWrap/>
            <w:vAlign w:val="bottom"/>
            <w:hideMark/>
          </w:tcPr>
          <w:p w14:paraId="7B32EBCE"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Кантемировский</w:t>
            </w:r>
          </w:p>
        </w:tc>
        <w:tc>
          <w:tcPr>
            <w:tcW w:w="1984" w:type="dxa"/>
            <w:shd w:val="clear" w:color="auto" w:fill="auto"/>
            <w:noWrap/>
            <w:vAlign w:val="bottom"/>
            <w:hideMark/>
          </w:tcPr>
          <w:p w14:paraId="6B8D4378"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37" w:type="dxa"/>
            <w:shd w:val="clear" w:color="auto" w:fill="auto"/>
            <w:noWrap/>
            <w:vAlign w:val="bottom"/>
            <w:hideMark/>
          </w:tcPr>
          <w:p w14:paraId="25623DF8"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49" w:type="dxa"/>
            <w:shd w:val="clear" w:color="auto" w:fill="auto"/>
            <w:noWrap/>
            <w:vAlign w:val="bottom"/>
            <w:hideMark/>
          </w:tcPr>
          <w:p w14:paraId="44F011CF"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415" w:type="dxa"/>
            <w:shd w:val="clear" w:color="auto" w:fill="auto"/>
            <w:noWrap/>
            <w:vAlign w:val="bottom"/>
            <w:hideMark/>
          </w:tcPr>
          <w:p w14:paraId="48E80D50"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r>
      <w:tr w:rsidR="00DB474C" w:rsidRPr="0045278C" w14:paraId="0BBABBEC" w14:textId="77777777" w:rsidTr="00E564BF">
        <w:trPr>
          <w:trHeight w:val="300"/>
        </w:trPr>
        <w:tc>
          <w:tcPr>
            <w:tcW w:w="2127" w:type="dxa"/>
            <w:shd w:val="clear" w:color="auto" w:fill="auto"/>
            <w:noWrap/>
            <w:vAlign w:val="bottom"/>
            <w:hideMark/>
          </w:tcPr>
          <w:p w14:paraId="650C6ADD"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Каширский</w:t>
            </w:r>
          </w:p>
        </w:tc>
        <w:tc>
          <w:tcPr>
            <w:tcW w:w="1984" w:type="dxa"/>
            <w:shd w:val="clear" w:color="auto" w:fill="auto"/>
            <w:noWrap/>
            <w:vAlign w:val="bottom"/>
            <w:hideMark/>
          </w:tcPr>
          <w:p w14:paraId="286C9B3F"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37" w:type="dxa"/>
            <w:shd w:val="clear" w:color="auto" w:fill="auto"/>
            <w:noWrap/>
            <w:vAlign w:val="bottom"/>
            <w:hideMark/>
          </w:tcPr>
          <w:p w14:paraId="698C7622"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49" w:type="dxa"/>
            <w:shd w:val="clear" w:color="auto" w:fill="auto"/>
            <w:noWrap/>
            <w:vAlign w:val="bottom"/>
            <w:hideMark/>
          </w:tcPr>
          <w:p w14:paraId="4C9CE3AC"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415" w:type="dxa"/>
            <w:shd w:val="clear" w:color="auto" w:fill="auto"/>
            <w:noWrap/>
            <w:vAlign w:val="bottom"/>
            <w:hideMark/>
          </w:tcPr>
          <w:p w14:paraId="39D717D9"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r>
      <w:tr w:rsidR="00DB474C" w:rsidRPr="0045278C" w14:paraId="7AB84E8B" w14:textId="77777777" w:rsidTr="00E564BF">
        <w:trPr>
          <w:trHeight w:val="300"/>
        </w:trPr>
        <w:tc>
          <w:tcPr>
            <w:tcW w:w="2127" w:type="dxa"/>
            <w:shd w:val="clear" w:color="auto" w:fill="auto"/>
            <w:noWrap/>
            <w:vAlign w:val="bottom"/>
            <w:hideMark/>
          </w:tcPr>
          <w:p w14:paraId="15C80948"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Лискинский</w:t>
            </w:r>
          </w:p>
        </w:tc>
        <w:tc>
          <w:tcPr>
            <w:tcW w:w="1984" w:type="dxa"/>
            <w:shd w:val="clear" w:color="auto" w:fill="auto"/>
            <w:noWrap/>
            <w:vAlign w:val="bottom"/>
            <w:hideMark/>
          </w:tcPr>
          <w:p w14:paraId="3618B9A4"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455,71</w:t>
            </w:r>
          </w:p>
        </w:tc>
        <w:tc>
          <w:tcPr>
            <w:tcW w:w="1837" w:type="dxa"/>
            <w:shd w:val="clear" w:color="auto" w:fill="auto"/>
            <w:noWrap/>
            <w:vAlign w:val="bottom"/>
            <w:hideMark/>
          </w:tcPr>
          <w:p w14:paraId="6D96A20A"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3 743,46</w:t>
            </w:r>
          </w:p>
        </w:tc>
        <w:tc>
          <w:tcPr>
            <w:tcW w:w="1849" w:type="dxa"/>
            <w:shd w:val="clear" w:color="auto" w:fill="auto"/>
            <w:noWrap/>
            <w:vAlign w:val="bottom"/>
            <w:hideMark/>
          </w:tcPr>
          <w:p w14:paraId="46D35531"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7 031,20</w:t>
            </w:r>
          </w:p>
        </w:tc>
        <w:tc>
          <w:tcPr>
            <w:tcW w:w="1415" w:type="dxa"/>
            <w:shd w:val="clear" w:color="auto" w:fill="auto"/>
            <w:noWrap/>
            <w:vAlign w:val="bottom"/>
            <w:hideMark/>
          </w:tcPr>
          <w:p w14:paraId="34780082"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2</w:t>
            </w:r>
          </w:p>
        </w:tc>
      </w:tr>
      <w:tr w:rsidR="00DB474C" w:rsidRPr="0045278C" w14:paraId="5D59B0D6" w14:textId="77777777" w:rsidTr="00E564BF">
        <w:trPr>
          <w:trHeight w:val="300"/>
        </w:trPr>
        <w:tc>
          <w:tcPr>
            <w:tcW w:w="2127" w:type="dxa"/>
            <w:shd w:val="clear" w:color="auto" w:fill="auto"/>
            <w:noWrap/>
            <w:vAlign w:val="bottom"/>
            <w:hideMark/>
          </w:tcPr>
          <w:p w14:paraId="0BAA2A1A"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Нижнедевицкий</w:t>
            </w:r>
          </w:p>
        </w:tc>
        <w:tc>
          <w:tcPr>
            <w:tcW w:w="1984" w:type="dxa"/>
            <w:shd w:val="clear" w:color="auto" w:fill="auto"/>
            <w:noWrap/>
            <w:vAlign w:val="bottom"/>
            <w:hideMark/>
          </w:tcPr>
          <w:p w14:paraId="1A1DE7D0"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37" w:type="dxa"/>
            <w:shd w:val="clear" w:color="auto" w:fill="auto"/>
            <w:noWrap/>
            <w:vAlign w:val="bottom"/>
            <w:hideMark/>
          </w:tcPr>
          <w:p w14:paraId="0852CB2A"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49" w:type="dxa"/>
            <w:shd w:val="clear" w:color="auto" w:fill="auto"/>
            <w:noWrap/>
            <w:vAlign w:val="bottom"/>
            <w:hideMark/>
          </w:tcPr>
          <w:p w14:paraId="6B48D15D"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415" w:type="dxa"/>
            <w:shd w:val="clear" w:color="auto" w:fill="auto"/>
            <w:noWrap/>
            <w:vAlign w:val="bottom"/>
            <w:hideMark/>
          </w:tcPr>
          <w:p w14:paraId="6394C515"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r>
      <w:tr w:rsidR="00DB474C" w:rsidRPr="0045278C" w14:paraId="704FE6B0" w14:textId="77777777" w:rsidTr="00E564BF">
        <w:trPr>
          <w:trHeight w:val="300"/>
        </w:trPr>
        <w:tc>
          <w:tcPr>
            <w:tcW w:w="2127" w:type="dxa"/>
            <w:shd w:val="clear" w:color="auto" w:fill="auto"/>
            <w:noWrap/>
            <w:vAlign w:val="bottom"/>
            <w:hideMark/>
          </w:tcPr>
          <w:p w14:paraId="54E1E565"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Новоусманский</w:t>
            </w:r>
          </w:p>
        </w:tc>
        <w:tc>
          <w:tcPr>
            <w:tcW w:w="1984" w:type="dxa"/>
            <w:shd w:val="clear" w:color="auto" w:fill="auto"/>
            <w:noWrap/>
            <w:vAlign w:val="bottom"/>
            <w:hideMark/>
          </w:tcPr>
          <w:p w14:paraId="792A43DB"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35,85</w:t>
            </w:r>
          </w:p>
        </w:tc>
        <w:tc>
          <w:tcPr>
            <w:tcW w:w="1837" w:type="dxa"/>
            <w:shd w:val="clear" w:color="auto" w:fill="auto"/>
            <w:noWrap/>
            <w:vAlign w:val="bottom"/>
            <w:hideMark/>
          </w:tcPr>
          <w:p w14:paraId="657A2589"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1 135,09</w:t>
            </w:r>
          </w:p>
        </w:tc>
        <w:tc>
          <w:tcPr>
            <w:tcW w:w="1849" w:type="dxa"/>
            <w:shd w:val="clear" w:color="auto" w:fill="auto"/>
            <w:noWrap/>
            <w:vAlign w:val="bottom"/>
            <w:hideMark/>
          </w:tcPr>
          <w:p w14:paraId="19FEF813"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4 203,68</w:t>
            </w:r>
          </w:p>
        </w:tc>
        <w:tc>
          <w:tcPr>
            <w:tcW w:w="1415" w:type="dxa"/>
            <w:shd w:val="clear" w:color="auto" w:fill="auto"/>
            <w:noWrap/>
            <w:vAlign w:val="bottom"/>
            <w:hideMark/>
          </w:tcPr>
          <w:p w14:paraId="657FBBAE"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10</w:t>
            </w:r>
          </w:p>
        </w:tc>
      </w:tr>
      <w:tr w:rsidR="00DB474C" w:rsidRPr="0045278C" w14:paraId="7AADAB72" w14:textId="77777777" w:rsidTr="00E564BF">
        <w:trPr>
          <w:trHeight w:val="300"/>
        </w:trPr>
        <w:tc>
          <w:tcPr>
            <w:tcW w:w="2127" w:type="dxa"/>
            <w:shd w:val="clear" w:color="auto" w:fill="auto"/>
            <w:noWrap/>
            <w:vAlign w:val="bottom"/>
            <w:hideMark/>
          </w:tcPr>
          <w:p w14:paraId="4451DE08"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Новохоперский</w:t>
            </w:r>
          </w:p>
        </w:tc>
        <w:tc>
          <w:tcPr>
            <w:tcW w:w="1984" w:type="dxa"/>
            <w:shd w:val="clear" w:color="auto" w:fill="auto"/>
            <w:noWrap/>
            <w:vAlign w:val="bottom"/>
            <w:hideMark/>
          </w:tcPr>
          <w:p w14:paraId="13BFA88F"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37" w:type="dxa"/>
            <w:shd w:val="clear" w:color="auto" w:fill="auto"/>
            <w:noWrap/>
            <w:vAlign w:val="bottom"/>
            <w:hideMark/>
          </w:tcPr>
          <w:p w14:paraId="3AB22CA6"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49" w:type="dxa"/>
            <w:shd w:val="clear" w:color="auto" w:fill="auto"/>
            <w:noWrap/>
            <w:vAlign w:val="bottom"/>
            <w:hideMark/>
          </w:tcPr>
          <w:p w14:paraId="6067A6B5"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415" w:type="dxa"/>
            <w:shd w:val="clear" w:color="auto" w:fill="auto"/>
            <w:noWrap/>
            <w:vAlign w:val="bottom"/>
            <w:hideMark/>
          </w:tcPr>
          <w:p w14:paraId="037355C2"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r>
      <w:tr w:rsidR="00DB474C" w:rsidRPr="0045278C" w14:paraId="549D9E48" w14:textId="77777777" w:rsidTr="00E564BF">
        <w:trPr>
          <w:trHeight w:val="300"/>
        </w:trPr>
        <w:tc>
          <w:tcPr>
            <w:tcW w:w="2127" w:type="dxa"/>
            <w:shd w:val="clear" w:color="auto" w:fill="auto"/>
            <w:noWrap/>
            <w:vAlign w:val="bottom"/>
            <w:hideMark/>
          </w:tcPr>
          <w:p w14:paraId="7397288D"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Ольховатский</w:t>
            </w:r>
          </w:p>
        </w:tc>
        <w:tc>
          <w:tcPr>
            <w:tcW w:w="1984" w:type="dxa"/>
            <w:shd w:val="clear" w:color="auto" w:fill="auto"/>
            <w:noWrap/>
            <w:vAlign w:val="bottom"/>
            <w:hideMark/>
          </w:tcPr>
          <w:p w14:paraId="08FB980C"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37" w:type="dxa"/>
            <w:shd w:val="clear" w:color="auto" w:fill="auto"/>
            <w:noWrap/>
            <w:vAlign w:val="bottom"/>
            <w:hideMark/>
          </w:tcPr>
          <w:p w14:paraId="3704AA59"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49" w:type="dxa"/>
            <w:shd w:val="clear" w:color="auto" w:fill="auto"/>
            <w:noWrap/>
            <w:vAlign w:val="bottom"/>
            <w:hideMark/>
          </w:tcPr>
          <w:p w14:paraId="4907F5B1"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415" w:type="dxa"/>
            <w:shd w:val="clear" w:color="auto" w:fill="auto"/>
            <w:noWrap/>
            <w:vAlign w:val="bottom"/>
            <w:hideMark/>
          </w:tcPr>
          <w:p w14:paraId="51696D94"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r>
      <w:tr w:rsidR="00DB474C" w:rsidRPr="0045278C" w14:paraId="0EB96299" w14:textId="77777777" w:rsidTr="00E564BF">
        <w:trPr>
          <w:trHeight w:val="300"/>
        </w:trPr>
        <w:tc>
          <w:tcPr>
            <w:tcW w:w="2127" w:type="dxa"/>
            <w:shd w:val="clear" w:color="auto" w:fill="auto"/>
            <w:noWrap/>
            <w:vAlign w:val="bottom"/>
            <w:hideMark/>
          </w:tcPr>
          <w:p w14:paraId="3DCE0FFD"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Острогожский</w:t>
            </w:r>
          </w:p>
        </w:tc>
        <w:tc>
          <w:tcPr>
            <w:tcW w:w="1984" w:type="dxa"/>
            <w:shd w:val="clear" w:color="auto" w:fill="auto"/>
            <w:noWrap/>
            <w:vAlign w:val="bottom"/>
            <w:hideMark/>
          </w:tcPr>
          <w:p w14:paraId="254842F7"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30,59</w:t>
            </w:r>
          </w:p>
        </w:tc>
        <w:tc>
          <w:tcPr>
            <w:tcW w:w="1837" w:type="dxa"/>
            <w:shd w:val="clear" w:color="auto" w:fill="auto"/>
            <w:noWrap/>
            <w:vAlign w:val="bottom"/>
            <w:hideMark/>
          </w:tcPr>
          <w:p w14:paraId="603DC057"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310,83</w:t>
            </w:r>
          </w:p>
        </w:tc>
        <w:tc>
          <w:tcPr>
            <w:tcW w:w="1849" w:type="dxa"/>
            <w:shd w:val="clear" w:color="auto" w:fill="auto"/>
            <w:noWrap/>
            <w:vAlign w:val="bottom"/>
            <w:hideMark/>
          </w:tcPr>
          <w:p w14:paraId="3C08B5CD"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564,00</w:t>
            </w:r>
          </w:p>
        </w:tc>
        <w:tc>
          <w:tcPr>
            <w:tcW w:w="1415" w:type="dxa"/>
            <w:shd w:val="clear" w:color="auto" w:fill="auto"/>
            <w:noWrap/>
            <w:vAlign w:val="bottom"/>
            <w:hideMark/>
          </w:tcPr>
          <w:p w14:paraId="35335E67"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4</w:t>
            </w:r>
          </w:p>
        </w:tc>
      </w:tr>
      <w:tr w:rsidR="00DB474C" w:rsidRPr="0045278C" w14:paraId="6AEBAB96" w14:textId="77777777" w:rsidTr="00E564BF">
        <w:trPr>
          <w:trHeight w:val="300"/>
        </w:trPr>
        <w:tc>
          <w:tcPr>
            <w:tcW w:w="2127" w:type="dxa"/>
            <w:shd w:val="clear" w:color="auto" w:fill="auto"/>
            <w:noWrap/>
            <w:vAlign w:val="bottom"/>
            <w:hideMark/>
          </w:tcPr>
          <w:p w14:paraId="79083E80"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Павловский</w:t>
            </w:r>
          </w:p>
        </w:tc>
        <w:tc>
          <w:tcPr>
            <w:tcW w:w="1984" w:type="dxa"/>
            <w:shd w:val="clear" w:color="auto" w:fill="auto"/>
            <w:noWrap/>
            <w:vAlign w:val="bottom"/>
            <w:hideMark/>
          </w:tcPr>
          <w:p w14:paraId="4C52BA2C"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74,76</w:t>
            </w:r>
          </w:p>
        </w:tc>
        <w:tc>
          <w:tcPr>
            <w:tcW w:w="1837" w:type="dxa"/>
            <w:shd w:val="clear" w:color="auto" w:fill="auto"/>
            <w:noWrap/>
            <w:vAlign w:val="bottom"/>
            <w:hideMark/>
          </w:tcPr>
          <w:p w14:paraId="1CBD05A0"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3 112,95</w:t>
            </w:r>
          </w:p>
        </w:tc>
        <w:tc>
          <w:tcPr>
            <w:tcW w:w="1849" w:type="dxa"/>
            <w:shd w:val="clear" w:color="auto" w:fill="auto"/>
            <w:noWrap/>
            <w:vAlign w:val="bottom"/>
            <w:hideMark/>
          </w:tcPr>
          <w:p w14:paraId="1A8D8439"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7 628,48</w:t>
            </w:r>
          </w:p>
        </w:tc>
        <w:tc>
          <w:tcPr>
            <w:tcW w:w="1415" w:type="dxa"/>
            <w:shd w:val="clear" w:color="auto" w:fill="auto"/>
            <w:noWrap/>
            <w:vAlign w:val="bottom"/>
            <w:hideMark/>
          </w:tcPr>
          <w:p w14:paraId="421641EB"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4</w:t>
            </w:r>
          </w:p>
        </w:tc>
      </w:tr>
      <w:tr w:rsidR="00DB474C" w:rsidRPr="0045278C" w14:paraId="5A87CDAF" w14:textId="77777777" w:rsidTr="00E564BF">
        <w:trPr>
          <w:trHeight w:val="300"/>
        </w:trPr>
        <w:tc>
          <w:tcPr>
            <w:tcW w:w="2127" w:type="dxa"/>
            <w:shd w:val="clear" w:color="auto" w:fill="auto"/>
            <w:noWrap/>
            <w:vAlign w:val="bottom"/>
            <w:hideMark/>
          </w:tcPr>
          <w:p w14:paraId="6E2283D0"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Панинский</w:t>
            </w:r>
          </w:p>
        </w:tc>
        <w:tc>
          <w:tcPr>
            <w:tcW w:w="1984" w:type="dxa"/>
            <w:shd w:val="clear" w:color="auto" w:fill="auto"/>
            <w:noWrap/>
            <w:vAlign w:val="bottom"/>
            <w:hideMark/>
          </w:tcPr>
          <w:p w14:paraId="3D27B92D"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52,75</w:t>
            </w:r>
          </w:p>
        </w:tc>
        <w:tc>
          <w:tcPr>
            <w:tcW w:w="1837" w:type="dxa"/>
            <w:shd w:val="clear" w:color="auto" w:fill="auto"/>
            <w:noWrap/>
            <w:vAlign w:val="bottom"/>
            <w:hideMark/>
          </w:tcPr>
          <w:p w14:paraId="37F7BB81"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52,75</w:t>
            </w:r>
          </w:p>
        </w:tc>
        <w:tc>
          <w:tcPr>
            <w:tcW w:w="1849" w:type="dxa"/>
            <w:shd w:val="clear" w:color="auto" w:fill="auto"/>
            <w:noWrap/>
            <w:vAlign w:val="bottom"/>
            <w:hideMark/>
          </w:tcPr>
          <w:p w14:paraId="35E11AA2"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52,75</w:t>
            </w:r>
          </w:p>
        </w:tc>
        <w:tc>
          <w:tcPr>
            <w:tcW w:w="1415" w:type="dxa"/>
            <w:shd w:val="clear" w:color="auto" w:fill="auto"/>
            <w:noWrap/>
            <w:vAlign w:val="bottom"/>
            <w:hideMark/>
          </w:tcPr>
          <w:p w14:paraId="17C7795E"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w:t>
            </w:r>
          </w:p>
        </w:tc>
      </w:tr>
      <w:tr w:rsidR="00DB474C" w:rsidRPr="0045278C" w14:paraId="7A6184FD" w14:textId="77777777" w:rsidTr="00E564BF">
        <w:trPr>
          <w:trHeight w:val="300"/>
        </w:trPr>
        <w:tc>
          <w:tcPr>
            <w:tcW w:w="2127" w:type="dxa"/>
            <w:shd w:val="clear" w:color="auto" w:fill="auto"/>
            <w:noWrap/>
            <w:vAlign w:val="bottom"/>
            <w:hideMark/>
          </w:tcPr>
          <w:p w14:paraId="26EA97CE"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Петропавловский</w:t>
            </w:r>
          </w:p>
        </w:tc>
        <w:tc>
          <w:tcPr>
            <w:tcW w:w="1984" w:type="dxa"/>
            <w:shd w:val="clear" w:color="auto" w:fill="auto"/>
            <w:noWrap/>
            <w:vAlign w:val="bottom"/>
            <w:hideMark/>
          </w:tcPr>
          <w:p w14:paraId="10CE7C86"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1,29</w:t>
            </w:r>
          </w:p>
        </w:tc>
        <w:tc>
          <w:tcPr>
            <w:tcW w:w="1837" w:type="dxa"/>
            <w:shd w:val="clear" w:color="auto" w:fill="auto"/>
            <w:noWrap/>
            <w:vAlign w:val="bottom"/>
            <w:hideMark/>
          </w:tcPr>
          <w:p w14:paraId="5C8BED7B"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1,29</w:t>
            </w:r>
          </w:p>
        </w:tc>
        <w:tc>
          <w:tcPr>
            <w:tcW w:w="1849" w:type="dxa"/>
            <w:shd w:val="clear" w:color="auto" w:fill="auto"/>
            <w:noWrap/>
            <w:vAlign w:val="bottom"/>
            <w:hideMark/>
          </w:tcPr>
          <w:p w14:paraId="7F22687D"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1,29</w:t>
            </w:r>
          </w:p>
        </w:tc>
        <w:tc>
          <w:tcPr>
            <w:tcW w:w="1415" w:type="dxa"/>
            <w:shd w:val="clear" w:color="auto" w:fill="auto"/>
            <w:noWrap/>
            <w:vAlign w:val="bottom"/>
            <w:hideMark/>
          </w:tcPr>
          <w:p w14:paraId="660F7752"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w:t>
            </w:r>
          </w:p>
        </w:tc>
      </w:tr>
      <w:tr w:rsidR="00DB474C" w:rsidRPr="0045278C" w14:paraId="68A1F3A8" w14:textId="77777777" w:rsidTr="00E564BF">
        <w:trPr>
          <w:trHeight w:val="300"/>
        </w:trPr>
        <w:tc>
          <w:tcPr>
            <w:tcW w:w="2127" w:type="dxa"/>
            <w:shd w:val="clear" w:color="auto" w:fill="auto"/>
            <w:noWrap/>
            <w:vAlign w:val="bottom"/>
            <w:hideMark/>
          </w:tcPr>
          <w:p w14:paraId="0A37D5F3"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Поворинский</w:t>
            </w:r>
          </w:p>
        </w:tc>
        <w:tc>
          <w:tcPr>
            <w:tcW w:w="1984" w:type="dxa"/>
            <w:shd w:val="clear" w:color="auto" w:fill="auto"/>
            <w:noWrap/>
            <w:vAlign w:val="bottom"/>
            <w:hideMark/>
          </w:tcPr>
          <w:p w14:paraId="1B177E75"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37" w:type="dxa"/>
            <w:shd w:val="clear" w:color="auto" w:fill="auto"/>
            <w:noWrap/>
            <w:vAlign w:val="bottom"/>
            <w:hideMark/>
          </w:tcPr>
          <w:p w14:paraId="6F5B044D"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49" w:type="dxa"/>
            <w:shd w:val="clear" w:color="auto" w:fill="auto"/>
            <w:noWrap/>
            <w:vAlign w:val="bottom"/>
            <w:hideMark/>
          </w:tcPr>
          <w:p w14:paraId="11C0E7D9"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415" w:type="dxa"/>
            <w:shd w:val="clear" w:color="auto" w:fill="auto"/>
            <w:noWrap/>
            <w:vAlign w:val="bottom"/>
            <w:hideMark/>
          </w:tcPr>
          <w:p w14:paraId="308B3CA3"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r>
      <w:tr w:rsidR="00DB474C" w:rsidRPr="0045278C" w14:paraId="2E71C3E6" w14:textId="77777777" w:rsidTr="00E564BF">
        <w:trPr>
          <w:trHeight w:val="300"/>
        </w:trPr>
        <w:tc>
          <w:tcPr>
            <w:tcW w:w="2127" w:type="dxa"/>
            <w:shd w:val="clear" w:color="auto" w:fill="auto"/>
            <w:noWrap/>
            <w:vAlign w:val="bottom"/>
            <w:hideMark/>
          </w:tcPr>
          <w:p w14:paraId="280D67F2"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Подгоренский</w:t>
            </w:r>
          </w:p>
        </w:tc>
        <w:tc>
          <w:tcPr>
            <w:tcW w:w="1984" w:type="dxa"/>
            <w:shd w:val="clear" w:color="auto" w:fill="auto"/>
            <w:noWrap/>
            <w:vAlign w:val="bottom"/>
            <w:hideMark/>
          </w:tcPr>
          <w:p w14:paraId="255988AE"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30,39</w:t>
            </w:r>
          </w:p>
        </w:tc>
        <w:tc>
          <w:tcPr>
            <w:tcW w:w="1837" w:type="dxa"/>
            <w:shd w:val="clear" w:color="auto" w:fill="auto"/>
            <w:noWrap/>
            <w:vAlign w:val="bottom"/>
            <w:hideMark/>
          </w:tcPr>
          <w:p w14:paraId="76DD45E9"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30,39</w:t>
            </w:r>
          </w:p>
        </w:tc>
        <w:tc>
          <w:tcPr>
            <w:tcW w:w="1849" w:type="dxa"/>
            <w:shd w:val="clear" w:color="auto" w:fill="auto"/>
            <w:noWrap/>
            <w:vAlign w:val="bottom"/>
            <w:hideMark/>
          </w:tcPr>
          <w:p w14:paraId="21CFFF85"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30,39</w:t>
            </w:r>
          </w:p>
        </w:tc>
        <w:tc>
          <w:tcPr>
            <w:tcW w:w="1415" w:type="dxa"/>
            <w:shd w:val="clear" w:color="auto" w:fill="auto"/>
            <w:noWrap/>
            <w:vAlign w:val="bottom"/>
            <w:hideMark/>
          </w:tcPr>
          <w:p w14:paraId="438A5F2B"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w:t>
            </w:r>
          </w:p>
        </w:tc>
      </w:tr>
      <w:tr w:rsidR="00DB474C" w:rsidRPr="0045278C" w14:paraId="1BD6A5E2" w14:textId="77777777" w:rsidTr="00E564BF">
        <w:trPr>
          <w:trHeight w:val="300"/>
        </w:trPr>
        <w:tc>
          <w:tcPr>
            <w:tcW w:w="2127" w:type="dxa"/>
            <w:shd w:val="clear" w:color="auto" w:fill="auto"/>
            <w:noWrap/>
            <w:vAlign w:val="bottom"/>
            <w:hideMark/>
          </w:tcPr>
          <w:p w14:paraId="5D7508C6"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Рамонский</w:t>
            </w:r>
          </w:p>
        </w:tc>
        <w:tc>
          <w:tcPr>
            <w:tcW w:w="1984" w:type="dxa"/>
            <w:shd w:val="clear" w:color="auto" w:fill="auto"/>
            <w:noWrap/>
            <w:vAlign w:val="bottom"/>
            <w:hideMark/>
          </w:tcPr>
          <w:p w14:paraId="6DDE72F0"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1,80</w:t>
            </w:r>
          </w:p>
        </w:tc>
        <w:tc>
          <w:tcPr>
            <w:tcW w:w="1837" w:type="dxa"/>
            <w:shd w:val="clear" w:color="auto" w:fill="auto"/>
            <w:noWrap/>
            <w:vAlign w:val="bottom"/>
            <w:hideMark/>
          </w:tcPr>
          <w:p w14:paraId="09EC4752"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459,32</w:t>
            </w:r>
          </w:p>
        </w:tc>
        <w:tc>
          <w:tcPr>
            <w:tcW w:w="1849" w:type="dxa"/>
            <w:shd w:val="clear" w:color="auto" w:fill="auto"/>
            <w:noWrap/>
            <w:vAlign w:val="bottom"/>
            <w:hideMark/>
          </w:tcPr>
          <w:p w14:paraId="4878B815"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1 968,24</w:t>
            </w:r>
          </w:p>
        </w:tc>
        <w:tc>
          <w:tcPr>
            <w:tcW w:w="1415" w:type="dxa"/>
            <w:shd w:val="clear" w:color="auto" w:fill="auto"/>
            <w:noWrap/>
            <w:vAlign w:val="bottom"/>
            <w:hideMark/>
          </w:tcPr>
          <w:p w14:paraId="5A3AC64F"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26</w:t>
            </w:r>
          </w:p>
        </w:tc>
      </w:tr>
      <w:tr w:rsidR="00DB474C" w:rsidRPr="0045278C" w14:paraId="383F12BB" w14:textId="77777777" w:rsidTr="00E564BF">
        <w:trPr>
          <w:trHeight w:val="300"/>
        </w:trPr>
        <w:tc>
          <w:tcPr>
            <w:tcW w:w="2127" w:type="dxa"/>
            <w:shd w:val="clear" w:color="auto" w:fill="auto"/>
            <w:noWrap/>
            <w:vAlign w:val="bottom"/>
            <w:hideMark/>
          </w:tcPr>
          <w:p w14:paraId="14A69922"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Репьевский</w:t>
            </w:r>
          </w:p>
        </w:tc>
        <w:tc>
          <w:tcPr>
            <w:tcW w:w="1984" w:type="dxa"/>
            <w:shd w:val="clear" w:color="auto" w:fill="auto"/>
            <w:noWrap/>
            <w:vAlign w:val="bottom"/>
            <w:hideMark/>
          </w:tcPr>
          <w:p w14:paraId="564D7282"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37" w:type="dxa"/>
            <w:shd w:val="clear" w:color="auto" w:fill="auto"/>
            <w:noWrap/>
            <w:vAlign w:val="bottom"/>
            <w:hideMark/>
          </w:tcPr>
          <w:p w14:paraId="742ED82A"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49" w:type="dxa"/>
            <w:shd w:val="clear" w:color="auto" w:fill="auto"/>
            <w:noWrap/>
            <w:vAlign w:val="bottom"/>
            <w:hideMark/>
          </w:tcPr>
          <w:p w14:paraId="4427B586"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415" w:type="dxa"/>
            <w:shd w:val="clear" w:color="auto" w:fill="auto"/>
            <w:noWrap/>
            <w:vAlign w:val="bottom"/>
            <w:hideMark/>
          </w:tcPr>
          <w:p w14:paraId="426BAFAB"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r>
      <w:tr w:rsidR="00DB474C" w:rsidRPr="0045278C" w14:paraId="2D8EF82A" w14:textId="77777777" w:rsidTr="00E564BF">
        <w:trPr>
          <w:trHeight w:val="300"/>
        </w:trPr>
        <w:tc>
          <w:tcPr>
            <w:tcW w:w="2127" w:type="dxa"/>
            <w:shd w:val="clear" w:color="auto" w:fill="auto"/>
            <w:noWrap/>
            <w:vAlign w:val="bottom"/>
            <w:hideMark/>
          </w:tcPr>
          <w:p w14:paraId="66BE6114"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Россошанский</w:t>
            </w:r>
          </w:p>
        </w:tc>
        <w:tc>
          <w:tcPr>
            <w:tcW w:w="1984" w:type="dxa"/>
            <w:shd w:val="clear" w:color="auto" w:fill="auto"/>
            <w:noWrap/>
            <w:vAlign w:val="bottom"/>
            <w:hideMark/>
          </w:tcPr>
          <w:p w14:paraId="309F319B"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19,19</w:t>
            </w:r>
          </w:p>
        </w:tc>
        <w:tc>
          <w:tcPr>
            <w:tcW w:w="1837" w:type="dxa"/>
            <w:shd w:val="clear" w:color="auto" w:fill="auto"/>
            <w:noWrap/>
            <w:vAlign w:val="bottom"/>
            <w:hideMark/>
          </w:tcPr>
          <w:p w14:paraId="663ECC04"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2 290,20</w:t>
            </w:r>
          </w:p>
        </w:tc>
        <w:tc>
          <w:tcPr>
            <w:tcW w:w="1849" w:type="dxa"/>
            <w:shd w:val="clear" w:color="auto" w:fill="auto"/>
            <w:noWrap/>
            <w:vAlign w:val="bottom"/>
            <w:hideMark/>
          </w:tcPr>
          <w:p w14:paraId="1225A4F3"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7 120,50</w:t>
            </w:r>
          </w:p>
        </w:tc>
        <w:tc>
          <w:tcPr>
            <w:tcW w:w="1415" w:type="dxa"/>
            <w:shd w:val="clear" w:color="auto" w:fill="auto"/>
            <w:noWrap/>
            <w:vAlign w:val="bottom"/>
            <w:hideMark/>
          </w:tcPr>
          <w:p w14:paraId="4935BC8B"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4</w:t>
            </w:r>
          </w:p>
        </w:tc>
      </w:tr>
      <w:tr w:rsidR="00DB474C" w:rsidRPr="0045278C" w14:paraId="6F8955E7" w14:textId="77777777" w:rsidTr="00E564BF">
        <w:trPr>
          <w:trHeight w:val="300"/>
        </w:trPr>
        <w:tc>
          <w:tcPr>
            <w:tcW w:w="2127" w:type="dxa"/>
            <w:shd w:val="clear" w:color="auto" w:fill="auto"/>
            <w:noWrap/>
            <w:vAlign w:val="bottom"/>
            <w:hideMark/>
          </w:tcPr>
          <w:p w14:paraId="60D32AAA"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Семилукский</w:t>
            </w:r>
          </w:p>
        </w:tc>
        <w:tc>
          <w:tcPr>
            <w:tcW w:w="1984" w:type="dxa"/>
            <w:shd w:val="clear" w:color="auto" w:fill="auto"/>
            <w:noWrap/>
            <w:vAlign w:val="bottom"/>
            <w:hideMark/>
          </w:tcPr>
          <w:p w14:paraId="20189992"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24,94</w:t>
            </w:r>
          </w:p>
        </w:tc>
        <w:tc>
          <w:tcPr>
            <w:tcW w:w="1837" w:type="dxa"/>
            <w:shd w:val="clear" w:color="auto" w:fill="auto"/>
            <w:noWrap/>
            <w:vAlign w:val="bottom"/>
            <w:hideMark/>
          </w:tcPr>
          <w:p w14:paraId="6AC83966"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324,16</w:t>
            </w:r>
          </w:p>
        </w:tc>
        <w:tc>
          <w:tcPr>
            <w:tcW w:w="1849" w:type="dxa"/>
            <w:shd w:val="clear" w:color="auto" w:fill="auto"/>
            <w:noWrap/>
            <w:vAlign w:val="bottom"/>
            <w:hideMark/>
          </w:tcPr>
          <w:p w14:paraId="1E4EE336"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831,14</w:t>
            </w:r>
          </w:p>
        </w:tc>
        <w:tc>
          <w:tcPr>
            <w:tcW w:w="1415" w:type="dxa"/>
            <w:shd w:val="clear" w:color="auto" w:fill="auto"/>
            <w:noWrap/>
            <w:vAlign w:val="bottom"/>
            <w:hideMark/>
          </w:tcPr>
          <w:p w14:paraId="536F4A7C"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w:t>
            </w:r>
          </w:p>
        </w:tc>
      </w:tr>
      <w:tr w:rsidR="00DB474C" w:rsidRPr="0045278C" w14:paraId="75ACC666" w14:textId="77777777" w:rsidTr="00E564BF">
        <w:trPr>
          <w:trHeight w:val="300"/>
        </w:trPr>
        <w:tc>
          <w:tcPr>
            <w:tcW w:w="2127" w:type="dxa"/>
            <w:shd w:val="clear" w:color="auto" w:fill="auto"/>
            <w:noWrap/>
            <w:vAlign w:val="bottom"/>
            <w:hideMark/>
          </w:tcPr>
          <w:p w14:paraId="02B17D7A"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Таловский</w:t>
            </w:r>
          </w:p>
        </w:tc>
        <w:tc>
          <w:tcPr>
            <w:tcW w:w="1984" w:type="dxa"/>
            <w:shd w:val="clear" w:color="auto" w:fill="auto"/>
            <w:noWrap/>
            <w:vAlign w:val="bottom"/>
            <w:hideMark/>
          </w:tcPr>
          <w:p w14:paraId="6E275CDA"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37" w:type="dxa"/>
            <w:shd w:val="clear" w:color="auto" w:fill="auto"/>
            <w:noWrap/>
            <w:vAlign w:val="bottom"/>
            <w:hideMark/>
          </w:tcPr>
          <w:p w14:paraId="7722057D"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49" w:type="dxa"/>
            <w:shd w:val="clear" w:color="auto" w:fill="auto"/>
            <w:noWrap/>
            <w:vAlign w:val="bottom"/>
            <w:hideMark/>
          </w:tcPr>
          <w:p w14:paraId="6F398BB6"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415" w:type="dxa"/>
            <w:shd w:val="clear" w:color="auto" w:fill="auto"/>
            <w:noWrap/>
            <w:vAlign w:val="bottom"/>
            <w:hideMark/>
          </w:tcPr>
          <w:p w14:paraId="0DB1B656"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r>
      <w:tr w:rsidR="00DB474C" w:rsidRPr="0045278C" w14:paraId="39506C6A" w14:textId="77777777" w:rsidTr="00E564BF">
        <w:trPr>
          <w:trHeight w:val="300"/>
        </w:trPr>
        <w:tc>
          <w:tcPr>
            <w:tcW w:w="2127" w:type="dxa"/>
            <w:shd w:val="clear" w:color="auto" w:fill="auto"/>
            <w:noWrap/>
            <w:vAlign w:val="bottom"/>
            <w:hideMark/>
          </w:tcPr>
          <w:p w14:paraId="00442A00"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Терновский</w:t>
            </w:r>
          </w:p>
        </w:tc>
        <w:tc>
          <w:tcPr>
            <w:tcW w:w="1984" w:type="dxa"/>
            <w:shd w:val="clear" w:color="auto" w:fill="auto"/>
            <w:noWrap/>
            <w:vAlign w:val="bottom"/>
            <w:hideMark/>
          </w:tcPr>
          <w:p w14:paraId="520BE7B0"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37" w:type="dxa"/>
            <w:shd w:val="clear" w:color="auto" w:fill="auto"/>
            <w:noWrap/>
            <w:vAlign w:val="bottom"/>
            <w:hideMark/>
          </w:tcPr>
          <w:p w14:paraId="2DC432CA"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49" w:type="dxa"/>
            <w:shd w:val="clear" w:color="auto" w:fill="auto"/>
            <w:noWrap/>
            <w:vAlign w:val="bottom"/>
            <w:hideMark/>
          </w:tcPr>
          <w:p w14:paraId="5ADD4E2A"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415" w:type="dxa"/>
            <w:shd w:val="clear" w:color="auto" w:fill="auto"/>
            <w:noWrap/>
            <w:vAlign w:val="bottom"/>
            <w:hideMark/>
          </w:tcPr>
          <w:p w14:paraId="770C98D7"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r>
      <w:tr w:rsidR="00DB474C" w:rsidRPr="0045278C" w14:paraId="35286AD6" w14:textId="77777777" w:rsidTr="00E564BF">
        <w:trPr>
          <w:trHeight w:val="300"/>
        </w:trPr>
        <w:tc>
          <w:tcPr>
            <w:tcW w:w="2127" w:type="dxa"/>
            <w:shd w:val="clear" w:color="auto" w:fill="auto"/>
            <w:noWrap/>
            <w:vAlign w:val="bottom"/>
            <w:hideMark/>
          </w:tcPr>
          <w:p w14:paraId="5D5BDF2B"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Хохольский</w:t>
            </w:r>
          </w:p>
        </w:tc>
        <w:tc>
          <w:tcPr>
            <w:tcW w:w="1984" w:type="dxa"/>
            <w:shd w:val="clear" w:color="auto" w:fill="auto"/>
            <w:noWrap/>
            <w:vAlign w:val="bottom"/>
            <w:hideMark/>
          </w:tcPr>
          <w:p w14:paraId="288D6B76"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28,20</w:t>
            </w:r>
          </w:p>
        </w:tc>
        <w:tc>
          <w:tcPr>
            <w:tcW w:w="1837" w:type="dxa"/>
            <w:shd w:val="clear" w:color="auto" w:fill="auto"/>
            <w:noWrap/>
            <w:vAlign w:val="bottom"/>
            <w:hideMark/>
          </w:tcPr>
          <w:p w14:paraId="5460447D"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198,85</w:t>
            </w:r>
          </w:p>
        </w:tc>
        <w:tc>
          <w:tcPr>
            <w:tcW w:w="1849" w:type="dxa"/>
            <w:shd w:val="clear" w:color="auto" w:fill="auto"/>
            <w:noWrap/>
            <w:vAlign w:val="bottom"/>
            <w:hideMark/>
          </w:tcPr>
          <w:p w14:paraId="0C305936"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369,50</w:t>
            </w:r>
          </w:p>
        </w:tc>
        <w:tc>
          <w:tcPr>
            <w:tcW w:w="1415" w:type="dxa"/>
            <w:shd w:val="clear" w:color="auto" w:fill="auto"/>
            <w:noWrap/>
            <w:vAlign w:val="bottom"/>
            <w:hideMark/>
          </w:tcPr>
          <w:p w14:paraId="35DB3260"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2</w:t>
            </w:r>
          </w:p>
        </w:tc>
      </w:tr>
      <w:tr w:rsidR="00DB474C" w:rsidRPr="0045278C" w14:paraId="52C2089C" w14:textId="77777777" w:rsidTr="00E564BF">
        <w:trPr>
          <w:trHeight w:val="300"/>
        </w:trPr>
        <w:tc>
          <w:tcPr>
            <w:tcW w:w="2127" w:type="dxa"/>
            <w:shd w:val="clear" w:color="auto" w:fill="auto"/>
            <w:noWrap/>
            <w:vAlign w:val="bottom"/>
            <w:hideMark/>
          </w:tcPr>
          <w:p w14:paraId="6A97650A"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Эртильский</w:t>
            </w:r>
          </w:p>
        </w:tc>
        <w:tc>
          <w:tcPr>
            <w:tcW w:w="1984" w:type="dxa"/>
            <w:shd w:val="clear" w:color="auto" w:fill="auto"/>
            <w:noWrap/>
            <w:vAlign w:val="bottom"/>
            <w:hideMark/>
          </w:tcPr>
          <w:p w14:paraId="4D0C0D8B"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37" w:type="dxa"/>
            <w:shd w:val="clear" w:color="auto" w:fill="auto"/>
            <w:noWrap/>
            <w:vAlign w:val="bottom"/>
            <w:hideMark/>
          </w:tcPr>
          <w:p w14:paraId="62707053"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849" w:type="dxa"/>
            <w:shd w:val="clear" w:color="auto" w:fill="auto"/>
            <w:noWrap/>
            <w:vAlign w:val="bottom"/>
            <w:hideMark/>
          </w:tcPr>
          <w:p w14:paraId="0E921066"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c>
          <w:tcPr>
            <w:tcW w:w="1415" w:type="dxa"/>
            <w:shd w:val="clear" w:color="auto" w:fill="auto"/>
            <w:noWrap/>
            <w:vAlign w:val="bottom"/>
            <w:hideMark/>
          </w:tcPr>
          <w:p w14:paraId="148BD048"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w:t>
            </w:r>
          </w:p>
        </w:tc>
      </w:tr>
      <w:tr w:rsidR="00DB474C" w:rsidRPr="0045278C" w14:paraId="692E531F" w14:textId="77777777" w:rsidTr="00E564BF">
        <w:trPr>
          <w:trHeight w:val="300"/>
        </w:trPr>
        <w:tc>
          <w:tcPr>
            <w:tcW w:w="2127" w:type="dxa"/>
            <w:shd w:val="clear" w:color="auto" w:fill="auto"/>
            <w:noWrap/>
            <w:vAlign w:val="bottom"/>
            <w:hideMark/>
          </w:tcPr>
          <w:p w14:paraId="78D13A2F"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г.о.г. Нововоронеж</w:t>
            </w:r>
          </w:p>
        </w:tc>
        <w:tc>
          <w:tcPr>
            <w:tcW w:w="1984" w:type="dxa"/>
            <w:shd w:val="clear" w:color="auto" w:fill="auto"/>
            <w:noWrap/>
            <w:vAlign w:val="bottom"/>
            <w:hideMark/>
          </w:tcPr>
          <w:p w14:paraId="0DB22466"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1 110,84</w:t>
            </w:r>
          </w:p>
        </w:tc>
        <w:tc>
          <w:tcPr>
            <w:tcW w:w="1837" w:type="dxa"/>
            <w:shd w:val="clear" w:color="auto" w:fill="auto"/>
            <w:noWrap/>
            <w:vAlign w:val="bottom"/>
            <w:hideMark/>
          </w:tcPr>
          <w:p w14:paraId="062B1255"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1 110,84</w:t>
            </w:r>
          </w:p>
        </w:tc>
        <w:tc>
          <w:tcPr>
            <w:tcW w:w="1849" w:type="dxa"/>
            <w:shd w:val="clear" w:color="auto" w:fill="auto"/>
            <w:noWrap/>
            <w:vAlign w:val="bottom"/>
            <w:hideMark/>
          </w:tcPr>
          <w:p w14:paraId="3D6AFFFA"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1 110,84</w:t>
            </w:r>
          </w:p>
        </w:tc>
        <w:tc>
          <w:tcPr>
            <w:tcW w:w="1415" w:type="dxa"/>
            <w:shd w:val="clear" w:color="auto" w:fill="auto"/>
            <w:noWrap/>
            <w:vAlign w:val="bottom"/>
            <w:hideMark/>
          </w:tcPr>
          <w:p w14:paraId="4CEADD08"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1</w:t>
            </w:r>
          </w:p>
        </w:tc>
      </w:tr>
      <w:tr w:rsidR="00DB474C" w:rsidRPr="0045278C" w14:paraId="0369527F" w14:textId="77777777" w:rsidTr="00E564BF">
        <w:trPr>
          <w:trHeight w:val="300"/>
        </w:trPr>
        <w:tc>
          <w:tcPr>
            <w:tcW w:w="2127" w:type="dxa"/>
            <w:shd w:val="clear" w:color="auto" w:fill="auto"/>
            <w:noWrap/>
            <w:vAlign w:val="bottom"/>
            <w:hideMark/>
          </w:tcPr>
          <w:p w14:paraId="3137B696" w14:textId="77777777" w:rsidR="00DB474C" w:rsidRPr="0045278C" w:rsidRDefault="00DB474C" w:rsidP="00DB474C">
            <w:pPr>
              <w:spacing w:after="0" w:line="240" w:lineRule="auto"/>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г.о.г. Воронеж</w:t>
            </w:r>
          </w:p>
        </w:tc>
        <w:tc>
          <w:tcPr>
            <w:tcW w:w="1984" w:type="dxa"/>
            <w:shd w:val="clear" w:color="auto" w:fill="auto"/>
            <w:noWrap/>
            <w:vAlign w:val="bottom"/>
            <w:hideMark/>
          </w:tcPr>
          <w:p w14:paraId="416468AA"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98,70</w:t>
            </w:r>
          </w:p>
        </w:tc>
        <w:tc>
          <w:tcPr>
            <w:tcW w:w="1837" w:type="dxa"/>
            <w:shd w:val="clear" w:color="auto" w:fill="auto"/>
            <w:noWrap/>
            <w:vAlign w:val="bottom"/>
            <w:hideMark/>
          </w:tcPr>
          <w:p w14:paraId="4410293C"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6 328,22</w:t>
            </w:r>
          </w:p>
        </w:tc>
        <w:tc>
          <w:tcPr>
            <w:tcW w:w="1849" w:type="dxa"/>
            <w:shd w:val="clear" w:color="auto" w:fill="auto"/>
            <w:noWrap/>
            <w:vAlign w:val="bottom"/>
            <w:hideMark/>
          </w:tcPr>
          <w:p w14:paraId="3B0AB6B8"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39 104,00</w:t>
            </w:r>
          </w:p>
        </w:tc>
        <w:tc>
          <w:tcPr>
            <w:tcW w:w="1415" w:type="dxa"/>
            <w:shd w:val="clear" w:color="auto" w:fill="auto"/>
            <w:noWrap/>
            <w:vAlign w:val="bottom"/>
            <w:hideMark/>
          </w:tcPr>
          <w:p w14:paraId="2510751B" w14:textId="77777777" w:rsidR="00DB474C" w:rsidRPr="0045278C" w:rsidRDefault="00DB474C" w:rsidP="00DB474C">
            <w:pPr>
              <w:spacing w:after="0" w:line="240" w:lineRule="auto"/>
              <w:jc w:val="right"/>
              <w:rPr>
                <w:rFonts w:ascii="Times New Roman" w:eastAsia="Times New Roman" w:hAnsi="Times New Roman" w:cs="Times New Roman"/>
                <w:color w:val="000000"/>
                <w:lang w:eastAsia="ru-RU"/>
              </w:rPr>
            </w:pPr>
            <w:r w:rsidRPr="0045278C">
              <w:rPr>
                <w:rFonts w:ascii="Times New Roman" w:eastAsia="Times New Roman" w:hAnsi="Times New Roman" w:cs="Times New Roman"/>
                <w:color w:val="000000"/>
                <w:lang w:eastAsia="ru-RU"/>
              </w:rPr>
              <w:t>41</w:t>
            </w:r>
          </w:p>
        </w:tc>
      </w:tr>
      <w:tr w:rsidR="00DB474C" w:rsidRPr="0045278C" w14:paraId="6BF504E8" w14:textId="77777777" w:rsidTr="00E564BF">
        <w:trPr>
          <w:trHeight w:val="300"/>
        </w:trPr>
        <w:tc>
          <w:tcPr>
            <w:tcW w:w="2127" w:type="dxa"/>
            <w:shd w:val="clear" w:color="auto" w:fill="auto"/>
            <w:noWrap/>
            <w:vAlign w:val="bottom"/>
            <w:hideMark/>
          </w:tcPr>
          <w:p w14:paraId="7A8E82C3" w14:textId="77777777" w:rsidR="00DB474C" w:rsidRPr="00AF6859" w:rsidRDefault="00DB474C" w:rsidP="00DB474C">
            <w:pPr>
              <w:spacing w:after="0" w:line="240" w:lineRule="auto"/>
              <w:rPr>
                <w:rFonts w:ascii="Times New Roman" w:eastAsia="Times New Roman" w:hAnsi="Times New Roman" w:cs="Times New Roman"/>
                <w:b/>
                <w:color w:val="000000"/>
                <w:lang w:eastAsia="ru-RU"/>
              </w:rPr>
            </w:pPr>
            <w:r w:rsidRPr="00AF6859">
              <w:rPr>
                <w:rFonts w:ascii="Times New Roman" w:eastAsia="Times New Roman" w:hAnsi="Times New Roman" w:cs="Times New Roman"/>
                <w:b/>
                <w:color w:val="000000"/>
                <w:lang w:eastAsia="ru-RU"/>
              </w:rPr>
              <w:t>Общий итог</w:t>
            </w:r>
          </w:p>
        </w:tc>
        <w:tc>
          <w:tcPr>
            <w:tcW w:w="1984" w:type="dxa"/>
            <w:shd w:val="clear" w:color="auto" w:fill="auto"/>
            <w:noWrap/>
            <w:vAlign w:val="bottom"/>
            <w:hideMark/>
          </w:tcPr>
          <w:p w14:paraId="483B6E9F" w14:textId="77777777" w:rsidR="00DB474C" w:rsidRPr="00AF6859" w:rsidRDefault="00DB474C" w:rsidP="00DB474C">
            <w:pPr>
              <w:spacing w:after="0" w:line="240" w:lineRule="auto"/>
              <w:jc w:val="right"/>
              <w:rPr>
                <w:rFonts w:ascii="Times New Roman" w:eastAsia="Times New Roman" w:hAnsi="Times New Roman" w:cs="Times New Roman"/>
                <w:b/>
                <w:color w:val="000000"/>
                <w:lang w:eastAsia="ru-RU"/>
              </w:rPr>
            </w:pPr>
            <w:r w:rsidRPr="00AF6859">
              <w:rPr>
                <w:rFonts w:ascii="Times New Roman" w:eastAsia="Times New Roman" w:hAnsi="Times New Roman" w:cs="Times New Roman"/>
                <w:b/>
                <w:color w:val="000000"/>
                <w:lang w:eastAsia="ru-RU"/>
              </w:rPr>
              <w:t>0,89</w:t>
            </w:r>
          </w:p>
        </w:tc>
        <w:tc>
          <w:tcPr>
            <w:tcW w:w="1837" w:type="dxa"/>
            <w:shd w:val="clear" w:color="auto" w:fill="auto"/>
            <w:noWrap/>
            <w:vAlign w:val="bottom"/>
            <w:hideMark/>
          </w:tcPr>
          <w:p w14:paraId="2B0FA64D" w14:textId="77777777" w:rsidR="00DB474C" w:rsidRPr="00AF6859" w:rsidRDefault="00DB474C" w:rsidP="00DB474C">
            <w:pPr>
              <w:spacing w:after="0" w:line="240" w:lineRule="auto"/>
              <w:jc w:val="right"/>
              <w:rPr>
                <w:rFonts w:ascii="Times New Roman" w:eastAsia="Times New Roman" w:hAnsi="Times New Roman" w:cs="Times New Roman"/>
                <w:b/>
                <w:color w:val="000000"/>
                <w:lang w:eastAsia="ru-RU"/>
              </w:rPr>
            </w:pPr>
            <w:r w:rsidRPr="00AF6859">
              <w:rPr>
                <w:rFonts w:ascii="Times New Roman" w:eastAsia="Times New Roman" w:hAnsi="Times New Roman" w:cs="Times New Roman"/>
                <w:b/>
                <w:color w:val="000000"/>
                <w:lang w:eastAsia="ru-RU"/>
              </w:rPr>
              <w:t>2 926,30</w:t>
            </w:r>
          </w:p>
        </w:tc>
        <w:tc>
          <w:tcPr>
            <w:tcW w:w="1849" w:type="dxa"/>
            <w:shd w:val="clear" w:color="auto" w:fill="auto"/>
            <w:noWrap/>
            <w:vAlign w:val="bottom"/>
            <w:hideMark/>
          </w:tcPr>
          <w:p w14:paraId="126B97F7" w14:textId="77777777" w:rsidR="00DB474C" w:rsidRPr="00AF6859" w:rsidRDefault="00DB474C" w:rsidP="00DB474C">
            <w:pPr>
              <w:spacing w:after="0" w:line="240" w:lineRule="auto"/>
              <w:jc w:val="right"/>
              <w:rPr>
                <w:rFonts w:ascii="Times New Roman" w:eastAsia="Times New Roman" w:hAnsi="Times New Roman" w:cs="Times New Roman"/>
                <w:b/>
                <w:color w:val="000000"/>
                <w:lang w:eastAsia="ru-RU"/>
              </w:rPr>
            </w:pPr>
            <w:r w:rsidRPr="00AF6859">
              <w:rPr>
                <w:rFonts w:ascii="Times New Roman" w:eastAsia="Times New Roman" w:hAnsi="Times New Roman" w:cs="Times New Roman"/>
                <w:b/>
                <w:color w:val="000000"/>
                <w:lang w:eastAsia="ru-RU"/>
              </w:rPr>
              <w:t>39 104,00</w:t>
            </w:r>
          </w:p>
        </w:tc>
        <w:tc>
          <w:tcPr>
            <w:tcW w:w="1415" w:type="dxa"/>
            <w:shd w:val="clear" w:color="auto" w:fill="auto"/>
            <w:noWrap/>
            <w:vAlign w:val="bottom"/>
            <w:hideMark/>
          </w:tcPr>
          <w:p w14:paraId="44B196DA" w14:textId="77777777" w:rsidR="00DB474C" w:rsidRPr="00AF6859" w:rsidRDefault="00DB474C" w:rsidP="00DB474C">
            <w:pPr>
              <w:spacing w:after="0" w:line="240" w:lineRule="auto"/>
              <w:jc w:val="right"/>
              <w:rPr>
                <w:rFonts w:ascii="Times New Roman" w:eastAsia="Times New Roman" w:hAnsi="Times New Roman" w:cs="Times New Roman"/>
                <w:b/>
                <w:color w:val="000000"/>
                <w:lang w:eastAsia="ru-RU"/>
              </w:rPr>
            </w:pPr>
            <w:r w:rsidRPr="00AF6859">
              <w:rPr>
                <w:rFonts w:ascii="Times New Roman" w:eastAsia="Times New Roman" w:hAnsi="Times New Roman" w:cs="Times New Roman"/>
                <w:b/>
                <w:color w:val="000000"/>
                <w:lang w:eastAsia="ru-RU"/>
              </w:rPr>
              <w:t>111</w:t>
            </w:r>
          </w:p>
        </w:tc>
      </w:tr>
    </w:tbl>
    <w:p w14:paraId="7F3E3E88" w14:textId="77777777" w:rsidR="00DC20E2" w:rsidRDefault="00DC20E2" w:rsidP="00DB474C">
      <w:pPr>
        <w:spacing w:before="120" w:after="0" w:line="276" w:lineRule="auto"/>
        <w:ind w:firstLine="709"/>
        <w:jc w:val="both"/>
        <w:rPr>
          <w:rFonts w:ascii="Times New Roman" w:hAnsi="Times New Roman" w:cs="Times New Roman"/>
          <w:sz w:val="26"/>
          <w:szCs w:val="26"/>
        </w:rPr>
      </w:pPr>
    </w:p>
    <w:p w14:paraId="31CA1EB6" w14:textId="0142EB01" w:rsidR="00DB474C" w:rsidRDefault="00DB474C" w:rsidP="00DB474C">
      <w:pPr>
        <w:spacing w:before="120"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Н</w:t>
      </w:r>
      <w:r w:rsidRPr="00544599">
        <w:rPr>
          <w:rFonts w:ascii="Times New Roman" w:hAnsi="Times New Roman" w:cs="Times New Roman"/>
          <w:sz w:val="26"/>
          <w:szCs w:val="26"/>
        </w:rPr>
        <w:t>аибольшее количество среди районов Воронежской области (не считая г.</w:t>
      </w:r>
      <w:r>
        <w:rPr>
          <w:rFonts w:ascii="Times New Roman" w:hAnsi="Times New Roman" w:cs="Times New Roman"/>
          <w:sz w:val="26"/>
          <w:szCs w:val="26"/>
        </w:rPr>
        <w:t xml:space="preserve">о.г. </w:t>
      </w:r>
      <w:r w:rsidRPr="00544599">
        <w:rPr>
          <w:rFonts w:ascii="Times New Roman" w:hAnsi="Times New Roman" w:cs="Times New Roman"/>
          <w:sz w:val="26"/>
          <w:szCs w:val="26"/>
        </w:rPr>
        <w:t>Воронеж) представлено в</w:t>
      </w:r>
      <w:r>
        <w:rPr>
          <w:rFonts w:ascii="Times New Roman" w:hAnsi="Times New Roman" w:cs="Times New Roman"/>
          <w:sz w:val="26"/>
          <w:szCs w:val="26"/>
        </w:rPr>
        <w:t xml:space="preserve"> Рамонском районе- 26 предложений (сделок), что составляет 24,42% от общего количества в сегменте. В Бутурлиновском, Воробьевском, Грибановском, Каменском, Кантемировском, Каширском, Новохоперском, Ольховатском, Репьевском, Таловском, Терновском, а также в Эртильском районах объекты данного сегмента на рынке недвижимости не представлены.</w:t>
      </w:r>
    </w:p>
    <w:p w14:paraId="3208EB48" w14:textId="77777777" w:rsidR="00DB474C" w:rsidRPr="0045278C" w:rsidRDefault="00DB474C" w:rsidP="00DB474C">
      <w:pPr>
        <w:spacing w:after="0" w:line="276" w:lineRule="auto"/>
        <w:ind w:firstLine="709"/>
        <w:jc w:val="both"/>
        <w:rPr>
          <w:rFonts w:ascii="Times New Roman" w:hAnsi="Times New Roman" w:cs="Times New Roman"/>
          <w:sz w:val="26"/>
          <w:szCs w:val="26"/>
        </w:rPr>
      </w:pPr>
      <w:bookmarkStart w:id="82" w:name="_Hlk102573942"/>
      <w:r w:rsidRPr="00544599">
        <w:rPr>
          <w:rFonts w:ascii="Times New Roman" w:hAnsi="Times New Roman" w:cs="Times New Roman"/>
          <w:sz w:val="26"/>
          <w:szCs w:val="26"/>
        </w:rPr>
        <w:t>Средний удельный показатель рыночной стоимости по г.</w:t>
      </w:r>
      <w:r>
        <w:rPr>
          <w:rFonts w:ascii="Times New Roman" w:hAnsi="Times New Roman" w:cs="Times New Roman"/>
          <w:sz w:val="26"/>
          <w:szCs w:val="26"/>
        </w:rPr>
        <w:t>о.г.</w:t>
      </w:r>
      <w:r w:rsidRPr="00544599">
        <w:rPr>
          <w:rFonts w:ascii="Times New Roman" w:hAnsi="Times New Roman" w:cs="Times New Roman"/>
          <w:sz w:val="26"/>
          <w:szCs w:val="26"/>
        </w:rPr>
        <w:t xml:space="preserve"> Воронеж составляет </w:t>
      </w:r>
      <w:r>
        <w:rPr>
          <w:rFonts w:ascii="Times New Roman" w:hAnsi="Times New Roman" w:cs="Times New Roman"/>
          <w:sz w:val="26"/>
          <w:szCs w:val="26"/>
        </w:rPr>
        <w:t>6 328,22</w:t>
      </w:r>
      <w:r w:rsidRPr="00544599">
        <w:rPr>
          <w:rFonts w:ascii="Times New Roman" w:hAnsi="Times New Roman" w:cs="Times New Roman"/>
          <w:sz w:val="26"/>
          <w:szCs w:val="26"/>
        </w:rPr>
        <w:t xml:space="preserve"> руб./кв.м, цены представлены в довольно широком диапазоне от </w:t>
      </w:r>
      <w:r>
        <w:rPr>
          <w:rFonts w:ascii="Times New Roman" w:hAnsi="Times New Roman" w:cs="Times New Roman"/>
          <w:sz w:val="26"/>
          <w:szCs w:val="26"/>
        </w:rPr>
        <w:t>98,70</w:t>
      </w:r>
      <w:r w:rsidRPr="00544599">
        <w:rPr>
          <w:rFonts w:ascii="Times New Roman" w:hAnsi="Times New Roman" w:cs="Times New Roman"/>
          <w:sz w:val="26"/>
          <w:szCs w:val="26"/>
        </w:rPr>
        <w:t xml:space="preserve"> до </w:t>
      </w:r>
      <w:r>
        <w:rPr>
          <w:rFonts w:ascii="Times New Roman" w:hAnsi="Times New Roman" w:cs="Times New Roman"/>
          <w:sz w:val="26"/>
          <w:szCs w:val="26"/>
        </w:rPr>
        <w:t>39 104,00</w:t>
      </w:r>
      <w:r w:rsidRPr="00544599">
        <w:rPr>
          <w:rFonts w:ascii="Times New Roman" w:hAnsi="Times New Roman" w:cs="Times New Roman"/>
          <w:sz w:val="26"/>
          <w:szCs w:val="26"/>
        </w:rPr>
        <w:t xml:space="preserve"> руб./кв.м.  Наибольший средний удельный показатель рыночной стоимости среди районов Воронежской области сложился в </w:t>
      </w:r>
      <w:bookmarkEnd w:id="82"/>
      <w:r>
        <w:rPr>
          <w:rFonts w:ascii="Times New Roman" w:hAnsi="Times New Roman" w:cs="Times New Roman"/>
          <w:sz w:val="26"/>
          <w:szCs w:val="26"/>
        </w:rPr>
        <w:t xml:space="preserve">Бобровском районе </w:t>
      </w:r>
      <w:r w:rsidRPr="00544599">
        <w:rPr>
          <w:rFonts w:ascii="Times New Roman" w:hAnsi="Times New Roman" w:cs="Times New Roman"/>
          <w:sz w:val="26"/>
          <w:szCs w:val="26"/>
        </w:rPr>
        <w:t xml:space="preserve">в размере </w:t>
      </w:r>
      <w:r w:rsidRPr="0045278C">
        <w:rPr>
          <w:rFonts w:ascii="Times New Roman" w:eastAsia="Times New Roman" w:hAnsi="Times New Roman" w:cs="Times New Roman"/>
          <w:color w:val="000000"/>
          <w:sz w:val="26"/>
          <w:szCs w:val="26"/>
          <w:lang w:eastAsia="ru-RU"/>
        </w:rPr>
        <w:t>4 356,90</w:t>
      </w:r>
      <w:r>
        <w:rPr>
          <w:rFonts w:ascii="Times New Roman" w:eastAsia="Times New Roman" w:hAnsi="Times New Roman" w:cs="Times New Roman"/>
          <w:color w:val="000000"/>
          <w:lang w:eastAsia="ru-RU"/>
        </w:rPr>
        <w:t xml:space="preserve"> </w:t>
      </w:r>
      <w:r w:rsidRPr="00544599">
        <w:rPr>
          <w:rFonts w:ascii="Times New Roman" w:hAnsi="Times New Roman" w:cs="Times New Roman"/>
          <w:sz w:val="26"/>
          <w:szCs w:val="26"/>
        </w:rPr>
        <w:t xml:space="preserve">руб./кв.м. </w:t>
      </w:r>
      <w:bookmarkStart w:id="83" w:name="_Hlk102574131"/>
      <w:r w:rsidRPr="00544599">
        <w:rPr>
          <w:rFonts w:ascii="Times New Roman" w:hAnsi="Times New Roman" w:cs="Times New Roman"/>
          <w:sz w:val="26"/>
          <w:szCs w:val="26"/>
        </w:rPr>
        <w:t xml:space="preserve">В целом величина удельного показателя рыночной стоимости в сегменте «Предпринимательство» лежит в диапазоне от </w:t>
      </w:r>
      <w:r>
        <w:rPr>
          <w:rFonts w:ascii="Times New Roman" w:hAnsi="Times New Roman" w:cs="Times New Roman"/>
          <w:sz w:val="26"/>
          <w:szCs w:val="26"/>
        </w:rPr>
        <w:t>0,89 (зафиксировано в Калачеевском районе)</w:t>
      </w:r>
      <w:r w:rsidRPr="00544599">
        <w:rPr>
          <w:rFonts w:ascii="Times New Roman" w:hAnsi="Times New Roman" w:cs="Times New Roman"/>
          <w:sz w:val="26"/>
          <w:szCs w:val="26"/>
        </w:rPr>
        <w:t xml:space="preserve"> до </w:t>
      </w:r>
      <w:r>
        <w:rPr>
          <w:rFonts w:ascii="Times New Roman" w:hAnsi="Times New Roman" w:cs="Times New Roman"/>
          <w:sz w:val="26"/>
          <w:szCs w:val="26"/>
        </w:rPr>
        <w:t>39 104,00 (г.о.г. Воронеж)</w:t>
      </w:r>
      <w:r w:rsidRPr="00544599">
        <w:rPr>
          <w:rFonts w:ascii="Times New Roman" w:hAnsi="Times New Roman" w:cs="Times New Roman"/>
          <w:sz w:val="26"/>
          <w:szCs w:val="26"/>
        </w:rPr>
        <w:t xml:space="preserve"> ру</w:t>
      </w:r>
      <w:r>
        <w:rPr>
          <w:rFonts w:ascii="Times New Roman" w:hAnsi="Times New Roman" w:cs="Times New Roman"/>
          <w:sz w:val="26"/>
          <w:szCs w:val="26"/>
        </w:rPr>
        <w:t>б./</w:t>
      </w:r>
      <w:r w:rsidRPr="00544599">
        <w:rPr>
          <w:rFonts w:ascii="Times New Roman" w:hAnsi="Times New Roman" w:cs="Times New Roman"/>
          <w:sz w:val="26"/>
          <w:szCs w:val="26"/>
        </w:rPr>
        <w:t>кв.м.</w:t>
      </w:r>
      <w:r>
        <w:rPr>
          <w:rFonts w:ascii="Times New Roman" w:hAnsi="Times New Roman" w:cs="Times New Roman"/>
          <w:sz w:val="26"/>
          <w:szCs w:val="26"/>
        </w:rPr>
        <w:t xml:space="preserve"> Аналоги, стоимостные значения которых представляют собой экстремумы, для дальнейших целей оценки не используются.</w:t>
      </w:r>
      <w:bookmarkEnd w:id="83"/>
    </w:p>
    <w:p w14:paraId="1B3707B8" w14:textId="77777777" w:rsidR="00DB474C" w:rsidRDefault="00DB474C" w:rsidP="00DB474C">
      <w:pPr>
        <w:spacing w:after="0" w:line="276" w:lineRule="auto"/>
        <w:ind w:firstLine="709"/>
        <w:jc w:val="both"/>
        <w:rPr>
          <w:rFonts w:ascii="Times New Roman" w:eastAsia="Times New Roman" w:hAnsi="Times New Roman" w:cs="Times New Roman"/>
          <w:sz w:val="26"/>
          <w:szCs w:val="26"/>
          <w:lang w:eastAsia="ru-RU"/>
        </w:rPr>
      </w:pPr>
      <w:bookmarkStart w:id="84" w:name="_Hlk102574520"/>
      <w:r w:rsidRPr="004643AA">
        <w:rPr>
          <w:rFonts w:ascii="Times New Roman" w:eastAsia="Times New Roman" w:hAnsi="Times New Roman" w:cs="Times New Roman"/>
          <w:sz w:val="26"/>
          <w:szCs w:val="26"/>
          <w:lang w:eastAsia="ru-RU"/>
        </w:rPr>
        <w:t xml:space="preserve">Таким образом, рыночная информация по </w:t>
      </w:r>
      <w:r w:rsidRPr="004643AA">
        <w:rPr>
          <w:rFonts w:ascii="Times New Roman" w:hAnsi="Times New Roman" w:cs="Times New Roman"/>
          <w:sz w:val="26"/>
          <w:szCs w:val="26"/>
        </w:rPr>
        <w:t xml:space="preserve">сегменту «Отдых (рекреация)» </w:t>
      </w:r>
      <w:r w:rsidRPr="004643AA">
        <w:rPr>
          <w:rFonts w:ascii="Times New Roman" w:eastAsia="Times New Roman" w:hAnsi="Times New Roman" w:cs="Times New Roman"/>
          <w:sz w:val="26"/>
          <w:szCs w:val="26"/>
          <w:lang w:eastAsia="ru-RU"/>
        </w:rPr>
        <w:t>представлена лишь по ряду районов Воронежской области в количестве, недостаточном, чтобы представить полноценную картину рыночных значений.</w:t>
      </w:r>
      <w:bookmarkEnd w:id="84"/>
    </w:p>
    <w:p w14:paraId="292FDA2A" w14:textId="77777777" w:rsidR="00DB474C" w:rsidRPr="00A5705F" w:rsidRDefault="00DB474C" w:rsidP="00DB474C">
      <w:pPr>
        <w:spacing w:after="0" w:line="276" w:lineRule="auto"/>
        <w:ind w:firstLine="709"/>
        <w:jc w:val="both"/>
        <w:rPr>
          <w:rStyle w:val="af9"/>
          <w:rFonts w:cs="Times New Roman"/>
          <w:b w:val="0"/>
          <w:sz w:val="26"/>
          <w:szCs w:val="26"/>
        </w:rPr>
      </w:pPr>
    </w:p>
    <w:p w14:paraId="2BD13934" w14:textId="77777777" w:rsidR="00DB474C" w:rsidRPr="00E564BF" w:rsidRDefault="00DB474C" w:rsidP="00DB474C">
      <w:pPr>
        <w:spacing w:after="0" w:line="276" w:lineRule="auto"/>
        <w:ind w:firstLine="709"/>
        <w:jc w:val="center"/>
        <w:rPr>
          <w:rStyle w:val="af9"/>
          <w:rFonts w:ascii="Times New Roman" w:hAnsi="Times New Roman" w:cs="Times New Roman"/>
          <w:b w:val="0"/>
          <w:bCs w:val="0"/>
          <w:i/>
          <w:sz w:val="26"/>
          <w:szCs w:val="26"/>
        </w:rPr>
      </w:pPr>
      <w:r w:rsidRPr="00E564BF">
        <w:rPr>
          <w:rStyle w:val="af9"/>
          <w:rFonts w:ascii="Times New Roman" w:hAnsi="Times New Roman" w:cs="Times New Roman"/>
          <w:b w:val="0"/>
          <w:i/>
          <w:sz w:val="26"/>
          <w:szCs w:val="26"/>
        </w:rPr>
        <w:t>Анализ ценообразующих факторов и ранжирование по степени их влияния на цены объектов недвижимости</w:t>
      </w:r>
    </w:p>
    <w:p w14:paraId="148C3F5C" w14:textId="77777777" w:rsidR="00DB474C" w:rsidRPr="00E564BF" w:rsidRDefault="00DB474C" w:rsidP="00DB474C">
      <w:pPr>
        <w:spacing w:after="120" w:line="276" w:lineRule="auto"/>
        <w:ind w:firstLine="709"/>
        <w:jc w:val="both"/>
        <w:rPr>
          <w:rFonts w:ascii="Times New Roman" w:hAnsi="Times New Roman" w:cs="Times New Roman"/>
          <w:b/>
          <w:sz w:val="26"/>
          <w:szCs w:val="26"/>
        </w:rPr>
      </w:pPr>
      <w:r w:rsidRPr="00E564BF">
        <w:rPr>
          <w:rStyle w:val="af9"/>
          <w:rFonts w:ascii="Times New Roman" w:hAnsi="Times New Roman" w:cs="Times New Roman"/>
          <w:b w:val="0"/>
          <w:sz w:val="26"/>
          <w:szCs w:val="26"/>
        </w:rPr>
        <w:t>Количество факторов, оказывающих влияние на цены объектов, предлагаемых к продаже, весьма велико. Наиболее значимые из этих факторов обычно учитываются в процессе оценки в качестве параметров, по которым сопоставляются подобные объекты-аналоги, принимаются решения о необходимости корректировки цены, если объекты-аналоги по этим параметрам отличаются от объектов оценки. Далее приведены основные ценообразующие факторы, влияющие на стоимость земельных участков под объекты рекреации, по данным ООО «Информ-Оценка».</w:t>
      </w:r>
    </w:p>
    <w:p w14:paraId="63675A20" w14:textId="77777777" w:rsidR="00DB474C" w:rsidRPr="00E564BF" w:rsidRDefault="00DB474C" w:rsidP="00E564BF">
      <w:pPr>
        <w:spacing w:after="0" w:line="300" w:lineRule="auto"/>
        <w:jc w:val="center"/>
        <w:rPr>
          <w:rFonts w:ascii="Times New Roman" w:hAnsi="Times New Roman" w:cs="Times New Roman"/>
          <w:sz w:val="26"/>
          <w:szCs w:val="26"/>
        </w:rPr>
      </w:pPr>
      <w:r w:rsidRPr="00E564BF">
        <w:rPr>
          <w:rFonts w:ascii="Times New Roman" w:hAnsi="Times New Roman" w:cs="Times New Roman"/>
          <w:noProof/>
          <w:sz w:val="26"/>
          <w:szCs w:val="26"/>
          <w:lang w:eastAsia="ru-RU"/>
        </w:rPr>
        <w:drawing>
          <wp:inline distT="0" distB="0" distL="0" distR="0" wp14:anchorId="2B43C689" wp14:editId="14B37983">
            <wp:extent cx="4283075" cy="1879883"/>
            <wp:effectExtent l="0" t="0" r="3175" b="635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16618" cy="1894605"/>
                    </a:xfrm>
                    <a:prstGeom prst="rect">
                      <a:avLst/>
                    </a:prstGeom>
                  </pic:spPr>
                </pic:pic>
              </a:graphicData>
            </a:graphic>
          </wp:inline>
        </w:drawing>
      </w:r>
    </w:p>
    <w:p w14:paraId="0EF97630" w14:textId="77777777" w:rsidR="00DB474C" w:rsidRPr="00E564BF" w:rsidRDefault="00DB474C" w:rsidP="00DB474C">
      <w:pPr>
        <w:spacing w:after="0" w:line="276" w:lineRule="auto"/>
        <w:ind w:firstLine="709"/>
        <w:jc w:val="center"/>
        <w:rPr>
          <w:rStyle w:val="af9"/>
          <w:rFonts w:ascii="Times New Roman" w:hAnsi="Times New Roman" w:cs="Times New Roman"/>
          <w:b w:val="0"/>
          <w:sz w:val="26"/>
          <w:szCs w:val="26"/>
        </w:rPr>
      </w:pPr>
      <w:r w:rsidRPr="00E564BF">
        <w:rPr>
          <w:rStyle w:val="af9"/>
          <w:rFonts w:ascii="Times New Roman" w:hAnsi="Times New Roman" w:cs="Times New Roman"/>
          <w:b w:val="0"/>
          <w:sz w:val="26"/>
          <w:szCs w:val="26"/>
        </w:rPr>
        <w:t>Рис.3.1.3.5.4- Ценообразующие факторы для участков под объекты</w:t>
      </w:r>
    </w:p>
    <w:p w14:paraId="1337CCE2" w14:textId="77777777" w:rsidR="00DB474C" w:rsidRPr="00E564BF" w:rsidRDefault="00DB474C" w:rsidP="00DB474C">
      <w:pPr>
        <w:spacing w:after="0" w:line="276" w:lineRule="auto"/>
        <w:ind w:firstLine="709"/>
        <w:jc w:val="center"/>
        <w:rPr>
          <w:rStyle w:val="af9"/>
          <w:rFonts w:ascii="Times New Roman" w:hAnsi="Times New Roman" w:cs="Times New Roman"/>
          <w:b w:val="0"/>
          <w:sz w:val="26"/>
          <w:szCs w:val="26"/>
        </w:rPr>
      </w:pPr>
      <w:r w:rsidRPr="00E564BF">
        <w:rPr>
          <w:rStyle w:val="af9"/>
          <w:rFonts w:ascii="Times New Roman" w:hAnsi="Times New Roman" w:cs="Times New Roman"/>
          <w:b w:val="0"/>
          <w:sz w:val="26"/>
          <w:szCs w:val="26"/>
        </w:rPr>
        <w:t>рекреации</w:t>
      </w:r>
      <w:r w:rsidRPr="00E564BF">
        <w:rPr>
          <w:rStyle w:val="af2"/>
          <w:rFonts w:ascii="Times New Roman" w:hAnsi="Times New Roman" w:cs="Times New Roman"/>
          <w:b/>
          <w:sz w:val="26"/>
          <w:szCs w:val="26"/>
        </w:rPr>
        <w:footnoteReference w:id="83"/>
      </w:r>
    </w:p>
    <w:p w14:paraId="5EBBAB7A" w14:textId="4449644A" w:rsidR="00DB474C" w:rsidRPr="00E564BF" w:rsidRDefault="00DB474C" w:rsidP="00DB474C">
      <w:pPr>
        <w:spacing w:after="0" w:line="276" w:lineRule="auto"/>
        <w:ind w:firstLine="709"/>
        <w:jc w:val="both"/>
        <w:rPr>
          <w:rStyle w:val="af9"/>
          <w:rFonts w:ascii="Times New Roman" w:hAnsi="Times New Roman" w:cs="Times New Roman"/>
          <w:b w:val="0"/>
          <w:sz w:val="26"/>
          <w:szCs w:val="26"/>
        </w:rPr>
      </w:pPr>
      <w:r w:rsidRPr="00E564BF">
        <w:rPr>
          <w:rStyle w:val="af9"/>
          <w:rFonts w:ascii="Times New Roman" w:hAnsi="Times New Roman" w:cs="Times New Roman"/>
          <w:b w:val="0"/>
          <w:sz w:val="26"/>
          <w:szCs w:val="26"/>
        </w:rPr>
        <w:t>Данные факторы использованы для выделения основных ценообразующих факторов в исследуемом сегменте рынка, а также для идентификации сегмента рынка, к которому может быть отнесен объект оценки.</w:t>
      </w:r>
    </w:p>
    <w:p w14:paraId="4E995295" w14:textId="77777777" w:rsidR="00E564BF" w:rsidRPr="00E533F0" w:rsidRDefault="00E564BF" w:rsidP="00DB474C">
      <w:pPr>
        <w:spacing w:after="0" w:line="276" w:lineRule="auto"/>
        <w:ind w:firstLine="709"/>
        <w:jc w:val="both"/>
        <w:rPr>
          <w:rStyle w:val="af9"/>
          <w:rFonts w:cs="Times New Roman"/>
          <w:b w:val="0"/>
          <w:bCs w:val="0"/>
          <w:sz w:val="26"/>
          <w:szCs w:val="26"/>
        </w:rPr>
      </w:pPr>
    </w:p>
    <w:p w14:paraId="60AE5C0F" w14:textId="77777777" w:rsidR="00DB474C" w:rsidRPr="002F245A" w:rsidRDefault="00DB474C" w:rsidP="00DB474C">
      <w:pPr>
        <w:pStyle w:val="3"/>
        <w:spacing w:line="276" w:lineRule="auto"/>
        <w:ind w:firstLine="709"/>
        <w:rPr>
          <w:rFonts w:cs="Times New Roman"/>
          <w:sz w:val="26"/>
          <w:szCs w:val="26"/>
        </w:rPr>
      </w:pPr>
      <w:bookmarkStart w:id="85" w:name="_Toc110506946"/>
      <w:r w:rsidRPr="002F245A">
        <w:rPr>
          <w:rFonts w:cs="Times New Roman"/>
          <w:sz w:val="26"/>
          <w:szCs w:val="26"/>
        </w:rPr>
        <w:t>3.1.3.6 Анализ рыночной информации по сегменту «Производственная деятельность»</w:t>
      </w:r>
      <w:bookmarkEnd w:id="85"/>
    </w:p>
    <w:p w14:paraId="1C0E8524" w14:textId="77777777" w:rsidR="00DB474C" w:rsidRPr="002F245A" w:rsidRDefault="00DB474C" w:rsidP="00DB474C">
      <w:pPr>
        <w:pStyle w:val="Textbody"/>
        <w:spacing w:after="0" w:line="276" w:lineRule="auto"/>
        <w:ind w:firstLine="708"/>
        <w:jc w:val="both"/>
        <w:rPr>
          <w:rFonts w:ascii="Times New Roman" w:hAnsi="Times New Roman" w:cs="Times New Roman"/>
          <w:sz w:val="26"/>
          <w:szCs w:val="26"/>
          <w:lang w:val="ru-RU"/>
        </w:rPr>
      </w:pPr>
      <w:r w:rsidRPr="002F245A">
        <w:rPr>
          <w:rFonts w:ascii="Times New Roman" w:hAnsi="Times New Roman" w:cs="Times New Roman"/>
          <w:sz w:val="26"/>
          <w:szCs w:val="26"/>
          <w:lang w:val="ru-RU"/>
        </w:rPr>
        <w:t>К сегменту «Производственная деятельность» относятся земельные участки, предназначенные для: звероводства, птицеводства, хранения и переработки сельскохозяйственной продукции; обеспечения сельскохозяйственного производства, вооруженных сил, космической деятельности; недропользования; тяжелой, автомобилестроительной, легкой, фармацевтической, пищевой, нефтехимической, строительной, целлюлозно-бумажной промышленности; энергетики, связи, складов;  железнодорожного, автомобильного, водного, воздушного и трубопроводного транспорта; заготовки древесины; размещения объектов улично-дорожной сети, автомобильных дорог и пешеходных тротуаров в границах населенных пунктов, пешеходных переходов, площадей, проездов.</w:t>
      </w:r>
    </w:p>
    <w:p w14:paraId="741679CF" w14:textId="77777777" w:rsidR="00DB474C" w:rsidRDefault="00DB474C" w:rsidP="00DB474C">
      <w:pPr>
        <w:pStyle w:val="western"/>
        <w:spacing w:before="0" w:beforeAutospacing="0" w:after="0" w:line="276" w:lineRule="auto"/>
        <w:ind w:firstLine="709"/>
        <w:jc w:val="both"/>
        <w:rPr>
          <w:b w:val="0"/>
          <w:sz w:val="26"/>
          <w:szCs w:val="26"/>
        </w:rPr>
      </w:pPr>
      <w:r w:rsidRPr="00890D8C">
        <w:rPr>
          <w:b w:val="0"/>
          <w:sz w:val="26"/>
          <w:szCs w:val="26"/>
        </w:rPr>
        <w:t>По структуре хозяйства Воронежская область является индустриально-аграрной. В составе промышленности преобладают машиностроение, электроэнергетика, химическая индустрия и отрасли по переработке сельскохозяйственного сырья. На них приходится 4/5 общего объёма выпускаемой промышленной продукции. Отраслью специализации региона является пищевая промышленность (27%), 2-е место делят машиностроение и металлообработка (23%), 3-е место – электроэнергетика (18%)</w:t>
      </w:r>
      <w:r>
        <w:rPr>
          <w:b w:val="0"/>
          <w:sz w:val="26"/>
          <w:szCs w:val="26"/>
        </w:rPr>
        <w:t>.</w:t>
      </w:r>
    </w:p>
    <w:p w14:paraId="1D4C0232" w14:textId="77777777" w:rsidR="00DB474C" w:rsidRDefault="00DB474C" w:rsidP="00DB474C">
      <w:pPr>
        <w:pStyle w:val="western"/>
        <w:spacing w:before="0" w:beforeAutospacing="0" w:after="0" w:line="276" w:lineRule="auto"/>
        <w:ind w:firstLine="709"/>
        <w:jc w:val="both"/>
        <w:rPr>
          <w:b w:val="0"/>
          <w:sz w:val="26"/>
          <w:szCs w:val="26"/>
        </w:rPr>
      </w:pPr>
      <w:r w:rsidRPr="00890D8C">
        <w:rPr>
          <w:b w:val="0"/>
          <w:sz w:val="26"/>
          <w:szCs w:val="26"/>
        </w:rPr>
        <w:t>Рынок промышленно-складской недвижимости Воронежа представлен складскими помещениями цехами и ангарами, а также производственными корпусами,</w:t>
      </w:r>
      <w:r>
        <w:rPr>
          <w:b w:val="0"/>
          <w:sz w:val="26"/>
          <w:szCs w:val="26"/>
        </w:rPr>
        <w:t xml:space="preserve"> </w:t>
      </w:r>
      <w:r w:rsidRPr="00890D8C">
        <w:rPr>
          <w:b w:val="0"/>
          <w:sz w:val="26"/>
          <w:szCs w:val="26"/>
        </w:rPr>
        <w:t>расположенными в спальных районах и промышленных зонах города., позиционируемые в сегменте качественной недвижимости (классы А и В)20, но в большинстве случаев к современным производственно-складским зданиям</w:t>
      </w:r>
      <w:r>
        <w:rPr>
          <w:b w:val="0"/>
          <w:sz w:val="26"/>
          <w:szCs w:val="26"/>
        </w:rPr>
        <w:t xml:space="preserve"> </w:t>
      </w:r>
      <w:r w:rsidRPr="00890D8C">
        <w:rPr>
          <w:b w:val="0"/>
          <w:sz w:val="26"/>
          <w:szCs w:val="26"/>
        </w:rPr>
        <w:t>применяются более высокие требования</w:t>
      </w:r>
      <w:r>
        <w:rPr>
          <w:rStyle w:val="af2"/>
          <w:b w:val="0"/>
          <w:sz w:val="26"/>
          <w:szCs w:val="26"/>
        </w:rPr>
        <w:footnoteReference w:id="84"/>
      </w:r>
      <w:r w:rsidRPr="00890D8C">
        <w:rPr>
          <w:b w:val="0"/>
          <w:sz w:val="26"/>
          <w:szCs w:val="26"/>
        </w:rPr>
        <w:t xml:space="preserve">. </w:t>
      </w:r>
    </w:p>
    <w:p w14:paraId="07FD05B8" w14:textId="77777777" w:rsidR="00DB474C" w:rsidRPr="002F245A" w:rsidRDefault="00DB474C" w:rsidP="00DB474C">
      <w:pPr>
        <w:pStyle w:val="western"/>
        <w:spacing w:before="0" w:beforeAutospacing="0" w:after="0" w:line="276" w:lineRule="auto"/>
        <w:ind w:firstLine="709"/>
        <w:jc w:val="both"/>
        <w:rPr>
          <w:b w:val="0"/>
          <w:sz w:val="26"/>
          <w:szCs w:val="26"/>
        </w:rPr>
      </w:pPr>
      <w:r w:rsidRPr="002F245A">
        <w:rPr>
          <w:b w:val="0"/>
          <w:sz w:val="26"/>
          <w:szCs w:val="26"/>
        </w:rPr>
        <w:t xml:space="preserve">На территории Воронежской области созданы 5 индустриальных парков, на территории Новоусманского района создана особая экономическая зона, где </w:t>
      </w:r>
      <w:r w:rsidRPr="002F245A">
        <w:rPr>
          <w:b w:val="0"/>
          <w:sz w:val="26"/>
          <w:szCs w:val="26"/>
          <w:shd w:val="clear" w:color="auto" w:fill="FFFFFF"/>
        </w:rPr>
        <w:t>планируется развитие металлургического производства (в том числе для нужд авиастроения), химической промышленности, промышленности строительных материалов, производства оборудования для пищевой промышленности, тяжёлого машиностроения, энергетического машиностроения, электрохимической и кабельной промышленности, нефтегазового машиностроения, станкоинструментальной промышленности, судостроительного оборудования (в части судового комплектующего оборудования), радиоэлектронной промышленности, фармацевтической и медицинской промышленности, гражданского авиастроения, двигателестроения.</w:t>
      </w:r>
    </w:p>
    <w:p w14:paraId="10D1173F" w14:textId="77777777" w:rsidR="00DB474C" w:rsidRPr="002F245A" w:rsidRDefault="00DB474C" w:rsidP="00DB474C">
      <w:pPr>
        <w:shd w:val="clear" w:color="auto" w:fill="FFFFFF"/>
        <w:spacing w:after="0" w:line="276" w:lineRule="auto"/>
        <w:ind w:firstLine="709"/>
        <w:jc w:val="both"/>
        <w:rPr>
          <w:rFonts w:ascii="Times New Roman" w:eastAsia="Times New Roman" w:hAnsi="Times New Roman" w:cs="Times New Roman"/>
          <w:sz w:val="26"/>
          <w:szCs w:val="26"/>
          <w:lang w:eastAsia="ru-RU"/>
        </w:rPr>
      </w:pPr>
      <w:r w:rsidRPr="002F245A">
        <w:rPr>
          <w:rFonts w:ascii="Times New Roman" w:eastAsia="Times New Roman" w:hAnsi="Times New Roman" w:cs="Times New Roman"/>
          <w:sz w:val="26"/>
          <w:szCs w:val="26"/>
          <w:lang w:eastAsia="ru-RU"/>
        </w:rPr>
        <w:t>Теперь об </w:t>
      </w:r>
      <w:r w:rsidRPr="002F245A">
        <w:rPr>
          <w:rFonts w:ascii="Times New Roman" w:eastAsia="Times New Roman" w:hAnsi="Times New Roman" w:cs="Times New Roman"/>
          <w:bCs/>
          <w:sz w:val="26"/>
          <w:szCs w:val="26"/>
          <w:lang w:eastAsia="ru-RU"/>
        </w:rPr>
        <w:t>энергообеспеченности</w:t>
      </w:r>
      <w:r w:rsidRPr="002F245A">
        <w:rPr>
          <w:rFonts w:ascii="Times New Roman" w:eastAsia="Times New Roman" w:hAnsi="Times New Roman" w:cs="Times New Roman"/>
          <w:sz w:val="26"/>
          <w:szCs w:val="26"/>
          <w:lang w:eastAsia="ru-RU"/>
        </w:rPr>
        <w:t> в Воронежской области. До 2012 года регион относился к энергодефицитным регионам: основной поставщик электроэнергии в Воронежской области - Нововоронежская АЭС - ремонтировалась и объём производства энергии в области был очень низок. Однако, в 2012 году производство электроэнергии в Воронежской области увеличилось сразу в полтора раза, что позволило области покинуть группу энергодефицитных и стать лидером по абсолютному приросту энергодостаточности.</w:t>
      </w:r>
    </w:p>
    <w:p w14:paraId="40759697" w14:textId="77777777" w:rsidR="00DB474C" w:rsidRPr="002F245A" w:rsidRDefault="00DB474C" w:rsidP="00DB474C">
      <w:pPr>
        <w:pStyle w:val="Textbody"/>
        <w:spacing w:after="0" w:line="276" w:lineRule="auto"/>
        <w:ind w:firstLine="708"/>
        <w:jc w:val="both"/>
        <w:rPr>
          <w:rFonts w:ascii="Times New Roman" w:hAnsi="Times New Roman" w:cs="Times New Roman"/>
          <w:sz w:val="26"/>
          <w:szCs w:val="26"/>
          <w:shd w:val="clear" w:color="auto" w:fill="FFFFFF"/>
          <w:lang w:val="ru-RU"/>
        </w:rPr>
      </w:pPr>
      <w:r w:rsidRPr="002F245A">
        <w:rPr>
          <w:rFonts w:ascii="Times New Roman" w:hAnsi="Times New Roman" w:cs="Times New Roman"/>
          <w:sz w:val="26"/>
          <w:szCs w:val="26"/>
          <w:lang w:val="ru-RU"/>
        </w:rPr>
        <w:t xml:space="preserve">В соответствии с генеральным планом и картой градостроительного зонирования городского округа г. Воронеж зоны промышленности сосредоточены в отдельных районах Воронежа. Например, большие территории отведены под промышленное производство в Железнодорожном районе, где расположена </w:t>
      </w:r>
      <w:r w:rsidRPr="002F245A">
        <w:rPr>
          <w:rFonts w:ascii="Times New Roman" w:hAnsi="Times New Roman" w:cs="Times New Roman"/>
          <w:sz w:val="26"/>
          <w:szCs w:val="26"/>
          <w:shd w:val="clear" w:color="auto" w:fill="FFFFFF"/>
          <w:lang w:val="ru-RU"/>
        </w:rPr>
        <w:t>узловая</w:t>
      </w:r>
      <w:r w:rsidRPr="002F245A">
        <w:rPr>
          <w:rFonts w:ascii="Times New Roman" w:hAnsi="Times New Roman" w:cs="Times New Roman"/>
          <w:sz w:val="26"/>
          <w:szCs w:val="26"/>
          <w:shd w:val="clear" w:color="auto" w:fill="FFFFFF"/>
        </w:rPr>
        <w:t> </w:t>
      </w:r>
      <w:r w:rsidRPr="002F245A">
        <w:rPr>
          <w:rFonts w:ascii="Times New Roman" w:hAnsi="Times New Roman" w:cs="Times New Roman"/>
          <w:bCs/>
          <w:sz w:val="26"/>
          <w:szCs w:val="26"/>
          <w:shd w:val="clear" w:color="auto" w:fill="FFFFFF"/>
          <w:lang w:val="ru-RU"/>
        </w:rPr>
        <w:t>железнодорожная</w:t>
      </w:r>
      <w:r w:rsidRPr="002F245A">
        <w:rPr>
          <w:rFonts w:ascii="Times New Roman" w:hAnsi="Times New Roman" w:cs="Times New Roman"/>
          <w:sz w:val="26"/>
          <w:szCs w:val="26"/>
          <w:shd w:val="clear" w:color="auto" w:fill="FFFFFF"/>
        </w:rPr>
        <w:t> </w:t>
      </w:r>
      <w:r w:rsidRPr="002F245A">
        <w:rPr>
          <w:rFonts w:ascii="Times New Roman" w:hAnsi="Times New Roman" w:cs="Times New Roman"/>
          <w:sz w:val="26"/>
          <w:szCs w:val="26"/>
          <w:shd w:val="clear" w:color="auto" w:fill="FFFFFF"/>
          <w:lang w:val="ru-RU"/>
        </w:rPr>
        <w:t xml:space="preserve">станция «Отрожка», которая предназначена для остановок грузовых поездов и пригородных электропоездов. В Левобережном районе зоны промышленности сосредоточены в микрорайоне «ВАИ» вблизи авиационного завода, на выезде из г. Воронеж вблизи развязки трассы М4, в районе Вогрэсовского моста, на территории микрорайона «Машмет» есть земли, которые отведены под развитие промышленности. Также большое количество промышленных зон расположено на правом берегу г., Воронеж- например, в районе улиц </w:t>
      </w:r>
      <w:r>
        <w:rPr>
          <w:rFonts w:ascii="Times New Roman" w:hAnsi="Times New Roman" w:cs="Times New Roman"/>
          <w:sz w:val="26"/>
          <w:szCs w:val="26"/>
          <w:shd w:val="clear" w:color="auto" w:fill="FFFFFF"/>
          <w:lang w:val="ru-RU"/>
        </w:rPr>
        <w:t>п</w:t>
      </w:r>
      <w:r w:rsidRPr="002F245A">
        <w:rPr>
          <w:rFonts w:ascii="Times New Roman" w:hAnsi="Times New Roman" w:cs="Times New Roman"/>
          <w:sz w:val="26"/>
          <w:szCs w:val="26"/>
          <w:shd w:val="clear" w:color="auto" w:fill="FFFFFF"/>
          <w:lang w:val="ru-RU"/>
        </w:rPr>
        <w:t>р-т Труда, 9 Января, Пешестрелецкая, а также в районе ул. Солнечная, ул. Дорожная.</w:t>
      </w:r>
    </w:p>
    <w:p w14:paraId="7A1EFC5D" w14:textId="77777777" w:rsidR="00DB474C" w:rsidRPr="002F245A" w:rsidRDefault="00DB474C" w:rsidP="00DB474C">
      <w:pPr>
        <w:shd w:val="clear" w:color="auto" w:fill="FFFFFF"/>
        <w:spacing w:after="0" w:line="276" w:lineRule="auto"/>
        <w:ind w:firstLine="709"/>
        <w:jc w:val="both"/>
        <w:rPr>
          <w:rFonts w:ascii="Times New Roman" w:eastAsia="Times New Roman" w:hAnsi="Times New Roman" w:cs="Times New Roman"/>
          <w:sz w:val="26"/>
          <w:szCs w:val="26"/>
          <w:lang w:eastAsia="ru-RU"/>
        </w:rPr>
      </w:pPr>
      <w:r w:rsidRPr="002F245A">
        <w:rPr>
          <w:rFonts w:ascii="Times New Roman" w:eastAsia="Times New Roman" w:hAnsi="Times New Roman" w:cs="Times New Roman"/>
          <w:sz w:val="26"/>
          <w:szCs w:val="26"/>
          <w:lang w:eastAsia="ru-RU"/>
        </w:rPr>
        <w:t>Из недостатков развития промышленности на территории Воронежской области можно отметить неравномерность экономического развития территории области. </w:t>
      </w:r>
    </w:p>
    <w:p w14:paraId="11C47001" w14:textId="77777777" w:rsidR="00DB474C" w:rsidRDefault="00DB474C" w:rsidP="00DB474C">
      <w:pPr>
        <w:pStyle w:val="Textbody"/>
        <w:spacing w:after="0" w:line="276" w:lineRule="auto"/>
        <w:ind w:firstLine="708"/>
        <w:jc w:val="both"/>
        <w:rPr>
          <w:rFonts w:ascii="Times New Roman" w:hAnsi="Times New Roman" w:cs="Times New Roman"/>
          <w:sz w:val="26"/>
          <w:szCs w:val="26"/>
          <w:lang w:val="ru-RU"/>
        </w:rPr>
      </w:pPr>
      <w:r w:rsidRPr="002F245A">
        <w:rPr>
          <w:rFonts w:ascii="Times New Roman" w:hAnsi="Times New Roman" w:cs="Times New Roman"/>
          <w:sz w:val="26"/>
          <w:szCs w:val="26"/>
          <w:lang w:val="ru-RU"/>
        </w:rPr>
        <w:t>Согласно стратегии социально-экономического развития Воронежской области до 2035 года одной из стратегических позиций развития региона является повышение роли Воронежской области в национальной экономике, связанной с производством наукоемкой высокотехнологичной продукции в широко диверсифицированном спектре направлений промышленной деятельности (ракетно-космическая, радиоэлектронная, авиастроительная, химическая), опережающим развитием сектора информационно-коммуникационных технологий</w:t>
      </w:r>
      <w:r w:rsidRPr="002F245A">
        <w:rPr>
          <w:rStyle w:val="af2"/>
          <w:rFonts w:ascii="Times New Roman" w:hAnsi="Times New Roman" w:cs="Times New Roman"/>
          <w:sz w:val="26"/>
          <w:szCs w:val="26"/>
          <w:lang w:val="ru-RU"/>
        </w:rPr>
        <w:footnoteReference w:id="85"/>
      </w:r>
      <w:r w:rsidRPr="002F245A">
        <w:rPr>
          <w:rFonts w:ascii="Times New Roman" w:hAnsi="Times New Roman" w:cs="Times New Roman"/>
          <w:sz w:val="26"/>
          <w:szCs w:val="26"/>
          <w:lang w:val="ru-RU"/>
        </w:rPr>
        <w:t>.</w:t>
      </w:r>
    </w:p>
    <w:p w14:paraId="38097F5A" w14:textId="77777777" w:rsidR="00DB474C" w:rsidRPr="00E9736F" w:rsidRDefault="00DB474C" w:rsidP="00DB474C">
      <w:pPr>
        <w:pStyle w:val="Textbody"/>
        <w:spacing w:after="0" w:line="276" w:lineRule="auto"/>
        <w:ind w:firstLine="709"/>
        <w:jc w:val="both"/>
        <w:rPr>
          <w:rFonts w:ascii="Times New Roman" w:hAnsi="Times New Roman" w:cs="Times New Roman"/>
          <w:sz w:val="26"/>
          <w:szCs w:val="26"/>
          <w:lang w:val="ru-RU"/>
        </w:rPr>
      </w:pPr>
      <w:r w:rsidRPr="00E9736F">
        <w:rPr>
          <w:rFonts w:ascii="Times New Roman" w:hAnsi="Times New Roman" w:cs="Times New Roman"/>
          <w:sz w:val="26"/>
          <w:szCs w:val="26"/>
          <w:lang w:val="ru-RU"/>
        </w:rPr>
        <w:t xml:space="preserve">По данным </w:t>
      </w:r>
      <w:r w:rsidRPr="00E9736F">
        <w:rPr>
          <w:rFonts w:ascii="Times New Roman" w:hAnsi="Times New Roman" w:cs="Times New Roman"/>
          <w:sz w:val="26"/>
          <w:szCs w:val="26"/>
        </w:rPr>
        <w:t>Colliers</w:t>
      </w:r>
      <w:r w:rsidRPr="00E9736F">
        <w:rPr>
          <w:rFonts w:ascii="Times New Roman" w:hAnsi="Times New Roman" w:cs="Times New Roman"/>
          <w:sz w:val="26"/>
          <w:szCs w:val="26"/>
          <w:lang w:val="ru-RU"/>
        </w:rPr>
        <w:t xml:space="preserve"> на рынке города Воронеж в 2021 году наблюдается 82,3 тыс.кв.м. спроса производственно-складской недвижимости; уровень вакантности производственно</w:t>
      </w:r>
      <w:r>
        <w:rPr>
          <w:rFonts w:ascii="Times New Roman" w:hAnsi="Times New Roman" w:cs="Times New Roman"/>
          <w:sz w:val="26"/>
          <w:szCs w:val="26"/>
          <w:lang w:val="ru-RU"/>
        </w:rPr>
        <w:t>-</w:t>
      </w:r>
      <w:r w:rsidRPr="00E9736F">
        <w:rPr>
          <w:rFonts w:ascii="Times New Roman" w:hAnsi="Times New Roman" w:cs="Times New Roman"/>
          <w:sz w:val="26"/>
          <w:szCs w:val="26"/>
          <w:lang w:val="ru-RU"/>
        </w:rPr>
        <w:t xml:space="preserve">складской недвижимости 2,5%. Средние ставки аренды на качественные склады по городу Воронеж составили 5200 руб./кв.м. в год без НДС и </w:t>
      </w:r>
      <w:r w:rsidRPr="00E9736F">
        <w:rPr>
          <w:rFonts w:ascii="Times New Roman" w:hAnsi="Times New Roman" w:cs="Times New Roman"/>
          <w:sz w:val="26"/>
          <w:szCs w:val="26"/>
        </w:rPr>
        <w:t>OPEX</w:t>
      </w:r>
      <w:r w:rsidRPr="00E9736F">
        <w:rPr>
          <w:rFonts w:ascii="Times New Roman" w:hAnsi="Times New Roman" w:cs="Times New Roman"/>
          <w:sz w:val="26"/>
          <w:szCs w:val="26"/>
          <w:lang w:val="ru-RU"/>
        </w:rPr>
        <w:t>, что соответствует 120% от среднероссийского показателя</w:t>
      </w:r>
      <w:r>
        <w:rPr>
          <w:rStyle w:val="af2"/>
          <w:rFonts w:ascii="Times New Roman" w:hAnsi="Times New Roman" w:cs="Times New Roman"/>
          <w:sz w:val="26"/>
          <w:szCs w:val="26"/>
          <w:lang w:val="ru-RU"/>
        </w:rPr>
        <w:footnoteReference w:id="86"/>
      </w:r>
      <w:r w:rsidRPr="00E9736F">
        <w:rPr>
          <w:rFonts w:ascii="Times New Roman" w:hAnsi="Times New Roman" w:cs="Times New Roman"/>
          <w:sz w:val="26"/>
          <w:szCs w:val="26"/>
          <w:lang w:val="ru-RU"/>
        </w:rPr>
        <w:t>.</w:t>
      </w:r>
    </w:p>
    <w:p w14:paraId="5F6760E2" w14:textId="001F043F" w:rsidR="00DB474C" w:rsidRPr="007A733D" w:rsidRDefault="00DB474C" w:rsidP="00DB474C">
      <w:pPr>
        <w:spacing w:before="120" w:after="0" w:line="276" w:lineRule="auto"/>
        <w:jc w:val="center"/>
        <w:rPr>
          <w:rStyle w:val="af9"/>
          <w:rFonts w:ascii="Times New Roman" w:hAnsi="Times New Roman" w:cs="Times New Roman"/>
          <w:b w:val="0"/>
          <w:i/>
          <w:sz w:val="26"/>
          <w:szCs w:val="26"/>
        </w:rPr>
      </w:pPr>
      <w:r w:rsidRPr="007A733D">
        <w:rPr>
          <w:rStyle w:val="af9"/>
          <w:rFonts w:ascii="Times New Roman" w:hAnsi="Times New Roman" w:cs="Times New Roman"/>
          <w:b w:val="0"/>
          <w:i/>
          <w:sz w:val="26"/>
          <w:szCs w:val="26"/>
        </w:rPr>
        <w:t>Собранная исполнителем рыночная информация</w:t>
      </w:r>
    </w:p>
    <w:p w14:paraId="1BFC98FE" w14:textId="77777777" w:rsidR="00DB474C" w:rsidRPr="002F245A" w:rsidRDefault="00DB474C" w:rsidP="00DB474C">
      <w:pPr>
        <w:spacing w:after="0" w:line="300" w:lineRule="auto"/>
        <w:ind w:firstLine="709"/>
        <w:jc w:val="both"/>
        <w:rPr>
          <w:rFonts w:ascii="Times New Roman" w:hAnsi="Times New Roman" w:cs="Times New Roman"/>
          <w:sz w:val="26"/>
          <w:szCs w:val="26"/>
        </w:rPr>
      </w:pPr>
      <w:r w:rsidRPr="00E564BF">
        <w:rPr>
          <w:rFonts w:ascii="Times New Roman" w:hAnsi="Times New Roman" w:cs="Times New Roman"/>
          <w:color w:val="000000"/>
          <w:sz w:val="26"/>
          <w:szCs w:val="26"/>
        </w:rPr>
        <w:t>Для анализа рынка 6 сегмента «Производственная деятельность</w:t>
      </w:r>
      <w:r w:rsidRPr="002F245A">
        <w:rPr>
          <w:rFonts w:ascii="Times New Roman" w:hAnsi="Times New Roman" w:cs="Times New Roman"/>
          <w:color w:val="000000"/>
          <w:sz w:val="26"/>
          <w:szCs w:val="26"/>
        </w:rPr>
        <w:t>» выполнен сбор информации о сделках и предложениях, представленных на первичном и вторичном рынках недвижимости Воронежской области</w:t>
      </w:r>
      <w:r w:rsidRPr="002F245A">
        <w:rPr>
          <w:rFonts w:ascii="Times New Roman" w:hAnsi="Times New Roman" w:cs="Times New Roman"/>
          <w:sz w:val="26"/>
          <w:szCs w:val="26"/>
        </w:rPr>
        <w:t xml:space="preserve">. </w:t>
      </w:r>
    </w:p>
    <w:p w14:paraId="44860869" w14:textId="77777777" w:rsidR="00DB474C" w:rsidRPr="002F245A" w:rsidRDefault="00DB474C" w:rsidP="00DB474C">
      <w:pPr>
        <w:spacing w:after="0" w:line="276" w:lineRule="auto"/>
        <w:ind w:firstLine="708"/>
        <w:jc w:val="both"/>
        <w:rPr>
          <w:rFonts w:ascii="Times New Roman" w:hAnsi="Times New Roman" w:cs="Times New Roman"/>
          <w:sz w:val="26"/>
          <w:szCs w:val="26"/>
        </w:rPr>
      </w:pPr>
      <w:r w:rsidRPr="002F245A">
        <w:rPr>
          <w:rFonts w:ascii="Times New Roman" w:hAnsi="Times New Roman" w:cs="Times New Roman"/>
          <w:sz w:val="26"/>
          <w:szCs w:val="26"/>
        </w:rPr>
        <w:t>Первичный рынок недвижимости представляет собой свод информации о сделках, осуществленных органами местного самоуправления, заключенных по результатам проведения торгов на территории Воронежской области, а также данные Управления Росреестра по Воронежской области. Вторичный рынок представляет собой предложения по продаже, представленные на сайтах для размещения объявлений, в газетах и т.д.</w:t>
      </w:r>
    </w:p>
    <w:p w14:paraId="64FD9090" w14:textId="2726F6AD" w:rsidR="00DB474C" w:rsidRPr="002F245A" w:rsidRDefault="00DB474C" w:rsidP="00DB474C">
      <w:pPr>
        <w:spacing w:after="0" w:line="300" w:lineRule="auto"/>
        <w:ind w:firstLine="709"/>
        <w:jc w:val="both"/>
        <w:rPr>
          <w:rFonts w:ascii="Times New Roman" w:hAnsi="Times New Roman" w:cs="Times New Roman"/>
          <w:sz w:val="26"/>
          <w:szCs w:val="26"/>
        </w:rPr>
      </w:pPr>
      <w:r w:rsidRPr="002F245A">
        <w:rPr>
          <w:rFonts w:ascii="Times New Roman" w:hAnsi="Times New Roman" w:cs="Times New Roman"/>
          <w:sz w:val="26"/>
          <w:szCs w:val="26"/>
        </w:rPr>
        <w:t xml:space="preserve">Информация о предложениях (сделках) представлена в Приложении </w:t>
      </w:r>
      <w:r w:rsidR="00216603">
        <w:rPr>
          <w:rFonts w:ascii="Times New Roman" w:hAnsi="Times New Roman" w:cs="Times New Roman"/>
          <w:sz w:val="26"/>
          <w:szCs w:val="26"/>
        </w:rPr>
        <w:t>1/</w:t>
      </w:r>
      <w:r w:rsidR="00EB01B2">
        <w:rPr>
          <w:rFonts w:ascii="Times New Roman" w:hAnsi="Times New Roman" w:cs="Times New Roman"/>
          <w:sz w:val="26"/>
          <w:szCs w:val="26"/>
        </w:rPr>
        <w:t>1</w:t>
      </w:r>
      <w:r w:rsidR="007B7DEB">
        <w:rPr>
          <w:rFonts w:ascii="Times New Roman" w:hAnsi="Times New Roman" w:cs="Times New Roman"/>
          <w:sz w:val="26"/>
          <w:szCs w:val="26"/>
        </w:rPr>
        <w:t>.</w:t>
      </w:r>
      <w:r w:rsidR="00EB01B2">
        <w:rPr>
          <w:rFonts w:ascii="Times New Roman" w:hAnsi="Times New Roman" w:cs="Times New Roman"/>
          <w:sz w:val="26"/>
          <w:szCs w:val="26"/>
        </w:rPr>
        <w:t>6/</w:t>
      </w:r>
      <w:r w:rsidR="00D15360" w:rsidRPr="00D15360">
        <w:rPr>
          <w:rFonts w:ascii="Times New Roman" w:hAnsi="Times New Roman" w:cs="Times New Roman"/>
          <w:sz w:val="26"/>
          <w:szCs w:val="26"/>
        </w:rPr>
        <w:t>1.6.2</w:t>
      </w:r>
      <w:r w:rsidR="00606730">
        <w:rPr>
          <w:rFonts w:ascii="Times New Roman" w:hAnsi="Times New Roman" w:cs="Times New Roman"/>
          <w:sz w:val="26"/>
          <w:szCs w:val="26"/>
        </w:rPr>
        <w:t xml:space="preserve"> и Приложении 5.</w:t>
      </w:r>
    </w:p>
    <w:p w14:paraId="6E9FDE25" w14:textId="77777777" w:rsidR="00DB474C" w:rsidRPr="00553C7C" w:rsidRDefault="00DB474C" w:rsidP="00DB474C">
      <w:pPr>
        <w:spacing w:after="0" w:line="300" w:lineRule="auto"/>
        <w:ind w:firstLine="709"/>
        <w:jc w:val="both"/>
        <w:rPr>
          <w:rFonts w:ascii="Times New Roman" w:hAnsi="Times New Roman" w:cs="Times New Roman"/>
          <w:sz w:val="26"/>
          <w:szCs w:val="26"/>
        </w:rPr>
      </w:pPr>
      <w:r>
        <w:rPr>
          <w:rFonts w:ascii="Times New Roman" w:hAnsi="Times New Roman" w:cs="Times New Roman"/>
          <w:sz w:val="26"/>
          <w:szCs w:val="26"/>
        </w:rPr>
        <w:t>Обзор р</w:t>
      </w:r>
      <w:r w:rsidRPr="002F245A">
        <w:rPr>
          <w:rFonts w:ascii="Times New Roman" w:hAnsi="Times New Roman" w:cs="Times New Roman"/>
          <w:sz w:val="26"/>
          <w:szCs w:val="26"/>
        </w:rPr>
        <w:t>ынк</w:t>
      </w:r>
      <w:r>
        <w:rPr>
          <w:rFonts w:ascii="Times New Roman" w:hAnsi="Times New Roman" w:cs="Times New Roman"/>
          <w:sz w:val="26"/>
          <w:szCs w:val="26"/>
        </w:rPr>
        <w:t>а</w:t>
      </w:r>
      <w:r w:rsidRPr="002F245A">
        <w:rPr>
          <w:rFonts w:ascii="Times New Roman" w:hAnsi="Times New Roman" w:cs="Times New Roman"/>
          <w:sz w:val="26"/>
          <w:szCs w:val="26"/>
        </w:rPr>
        <w:t xml:space="preserve"> </w:t>
      </w:r>
      <w:r>
        <w:rPr>
          <w:rFonts w:ascii="Times New Roman" w:hAnsi="Times New Roman" w:cs="Times New Roman"/>
          <w:sz w:val="26"/>
          <w:szCs w:val="26"/>
        </w:rPr>
        <w:t xml:space="preserve">недвижимости </w:t>
      </w:r>
      <w:r w:rsidRPr="002F245A">
        <w:rPr>
          <w:rFonts w:ascii="Times New Roman" w:hAnsi="Times New Roman" w:cs="Times New Roman"/>
          <w:sz w:val="26"/>
          <w:szCs w:val="26"/>
        </w:rPr>
        <w:t xml:space="preserve">6 сегмента </w:t>
      </w:r>
      <w:r w:rsidRPr="00553C7C">
        <w:rPr>
          <w:rFonts w:ascii="Times New Roman" w:hAnsi="Times New Roman" w:cs="Times New Roman"/>
          <w:sz w:val="26"/>
          <w:szCs w:val="26"/>
        </w:rPr>
        <w:t xml:space="preserve">содержит информацию </w:t>
      </w:r>
      <w:r w:rsidRPr="00EF4714">
        <w:rPr>
          <w:rFonts w:ascii="Times New Roman" w:hAnsi="Times New Roman" w:cs="Times New Roman"/>
          <w:sz w:val="26"/>
          <w:szCs w:val="26"/>
        </w:rPr>
        <w:t>всего о 3</w:t>
      </w:r>
      <w:r>
        <w:rPr>
          <w:rFonts w:ascii="Times New Roman" w:hAnsi="Times New Roman" w:cs="Times New Roman"/>
          <w:sz w:val="26"/>
          <w:szCs w:val="26"/>
        </w:rPr>
        <w:t xml:space="preserve"> </w:t>
      </w:r>
      <w:r w:rsidRPr="00EF4714">
        <w:rPr>
          <w:rFonts w:ascii="Times New Roman" w:hAnsi="Times New Roman" w:cs="Times New Roman"/>
          <w:sz w:val="26"/>
          <w:szCs w:val="26"/>
        </w:rPr>
        <w:t xml:space="preserve">130 </w:t>
      </w:r>
      <w:r w:rsidRPr="00553C7C">
        <w:rPr>
          <w:rFonts w:ascii="Times New Roman" w:hAnsi="Times New Roman" w:cs="Times New Roman"/>
          <w:sz w:val="26"/>
          <w:szCs w:val="26"/>
        </w:rPr>
        <w:t>предложениях (сделках) по Воронежской области</w:t>
      </w:r>
    </w:p>
    <w:p w14:paraId="061A189F" w14:textId="77777777" w:rsidR="00DB474C" w:rsidRDefault="00DB474C" w:rsidP="00DB474C">
      <w:pPr>
        <w:spacing w:after="0" w:line="276" w:lineRule="auto"/>
        <w:ind w:firstLine="567"/>
        <w:jc w:val="both"/>
        <w:rPr>
          <w:rFonts w:ascii="Times New Roman" w:hAnsi="Times New Roman" w:cs="Times New Roman"/>
          <w:sz w:val="26"/>
          <w:szCs w:val="26"/>
        </w:rPr>
      </w:pPr>
      <w:r w:rsidRPr="002F245A">
        <w:rPr>
          <w:rFonts w:ascii="Times New Roman" w:hAnsi="Times New Roman" w:cs="Times New Roman"/>
          <w:sz w:val="26"/>
          <w:szCs w:val="26"/>
        </w:rPr>
        <w:t>Так как используемая рыночная информация неоднородна, в целях возможности ее сопоставления для дальнейшего анализа к ценам предложений (сделок) применены корректировки, описание которых представлено далее.</w:t>
      </w:r>
    </w:p>
    <w:p w14:paraId="322F43E2"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торг</w:t>
      </w:r>
    </w:p>
    <w:p w14:paraId="2120DDBA" w14:textId="211F8A0C" w:rsidR="00E564BF" w:rsidRDefault="00DB474C" w:rsidP="00E564BF">
      <w:pPr>
        <w:spacing w:before="120"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продаже земельных участков на рынке недвижимости возможно снижение цены сделки за счет уторговывания. </w:t>
      </w:r>
      <w:r>
        <w:rPr>
          <w:rFonts w:ascii="Times New Roman" w:eastAsia="Times New Roman" w:hAnsi="Times New Roman" w:cs="Times New Roman"/>
          <w:sz w:val="26"/>
          <w:szCs w:val="26"/>
          <w:lang w:eastAsia="ru-RU"/>
        </w:rPr>
        <w:t xml:space="preserve">Так как в представленной рыночной выборке содержится информация и по предложениям, и по сделкам, удельные показатели цены предложения по продаже объектов-аналогов были скорректированы на тип сделки (скидка на торг). </w:t>
      </w:r>
      <w:r>
        <w:rPr>
          <w:rFonts w:ascii="Times New Roman" w:eastAsia="Calibri" w:hAnsi="Times New Roman" w:cs="Times New Roman"/>
          <w:sz w:val="26"/>
          <w:szCs w:val="26"/>
        </w:rPr>
        <w:t>Величина скидки на торг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89" w:history="1">
        <w:r w:rsidRPr="00A67AF4">
          <w:rPr>
            <w:rStyle w:val="ad"/>
            <w:rFonts w:ascii="Times New Roman" w:hAnsi="Times New Roman" w:cs="Times New Roman"/>
            <w:sz w:val="26"/>
            <w:szCs w:val="26"/>
          </w:rPr>
          <w:t>https://statrielt.ru/</w:t>
        </w:r>
      </w:hyperlink>
      <w:r w:rsidRPr="00A67AF4">
        <w:rPr>
          <w:rFonts w:ascii="Times New Roman" w:hAnsi="Times New Roman" w:cs="Times New Roman"/>
          <w:sz w:val="26"/>
          <w:szCs w:val="26"/>
        </w:rPr>
        <w:t>).</w:t>
      </w:r>
    </w:p>
    <w:p w14:paraId="30927D2C" w14:textId="7ED8DA72" w:rsidR="00E564BF" w:rsidRDefault="00E564BF" w:rsidP="00E564BF">
      <w:pPr>
        <w:jc w:val="center"/>
        <w:rPr>
          <w:rFonts w:ascii="Times New Roman" w:eastAsia="Calibri" w:hAnsi="Times New Roman" w:cs="Times New Roman"/>
          <w:sz w:val="26"/>
          <w:szCs w:val="26"/>
        </w:rPr>
      </w:pPr>
      <w:r w:rsidRPr="00376FBD">
        <w:rPr>
          <w:noProof/>
          <w:lang w:eastAsia="ru-RU"/>
        </w:rPr>
        <w:drawing>
          <wp:inline distT="0" distB="0" distL="0" distR="0" wp14:anchorId="604142F8" wp14:editId="33A6CD52">
            <wp:extent cx="5939790" cy="3869276"/>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3869276"/>
                    </a:xfrm>
                    <a:prstGeom prst="rect">
                      <a:avLst/>
                    </a:prstGeom>
                  </pic:spPr>
                </pic:pic>
              </a:graphicData>
            </a:graphic>
          </wp:inline>
        </w:drawing>
      </w:r>
    </w:p>
    <w:p w14:paraId="02438C5E" w14:textId="5CA4926E" w:rsidR="00DB474C" w:rsidRDefault="00DB474C" w:rsidP="00E564BF">
      <w:pPr>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Рис.3.1.3.6.1- Скидка на торг, уторгование при продаже земельных участков на 01.01.2022 года по данным </w:t>
      </w:r>
      <w:r w:rsidRPr="00A67AF4">
        <w:rPr>
          <w:rFonts w:ascii="Times New Roman" w:eastAsia="Calibri" w:hAnsi="Times New Roman" w:cs="Times New Roman"/>
          <w:sz w:val="26"/>
          <w:szCs w:val="26"/>
        </w:rPr>
        <w:t>некоммерческой организации «Ассоциация развития рынка недвижимости «СтатРиелт»</w:t>
      </w:r>
      <w:r w:rsidR="00E564BF">
        <w:rPr>
          <w:rStyle w:val="af2"/>
          <w:rFonts w:ascii="Times New Roman" w:eastAsia="Calibri" w:hAnsi="Times New Roman" w:cs="Times New Roman"/>
          <w:sz w:val="26"/>
          <w:szCs w:val="26"/>
        </w:rPr>
        <w:footnoteReference w:id="87"/>
      </w:r>
    </w:p>
    <w:p w14:paraId="746CA360" w14:textId="77777777" w:rsidR="00DB474C" w:rsidRPr="00650F12" w:rsidRDefault="00DB474C" w:rsidP="00DB474C">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данном случае размер скидки на торг принимаем как для земель населенных пунктов для смешанной коммерческой застройки (в том числе складские, производственные), значения лежат в доверительном интервале от 0,90 до 0,97 и в среднем по РФ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94</w:t>
      </w:r>
      <w:r>
        <w:rPr>
          <w:rFonts w:ascii="Times New Roman" w:eastAsia="Calibri" w:hAnsi="Times New Roman" w:cs="Times New Roman"/>
          <w:sz w:val="26"/>
          <w:szCs w:val="26"/>
        </w:rPr>
        <w:t xml:space="preserve"> (раздел «</w:t>
      </w:r>
      <w:r w:rsidRPr="00CB1B3C">
        <w:rPr>
          <w:rFonts w:ascii="Times New Roman" w:hAnsi="Times New Roman" w:cs="Times New Roman"/>
          <w:sz w:val="26"/>
          <w:szCs w:val="26"/>
        </w:rPr>
        <w:t>Скидка на торг, уторгование при продаже земельных участков на 01.</w:t>
      </w:r>
      <w:r>
        <w:rPr>
          <w:rFonts w:ascii="Times New Roman" w:hAnsi="Times New Roman" w:cs="Times New Roman"/>
          <w:sz w:val="26"/>
          <w:szCs w:val="26"/>
        </w:rPr>
        <w:t>01</w:t>
      </w:r>
      <w:r w:rsidRPr="00CB1B3C">
        <w:rPr>
          <w:rFonts w:ascii="Times New Roman" w:hAnsi="Times New Roman" w:cs="Times New Roman"/>
          <w:sz w:val="26"/>
          <w:szCs w:val="26"/>
        </w:rPr>
        <w:t>.202</w:t>
      </w:r>
      <w:r>
        <w:rPr>
          <w:rFonts w:ascii="Times New Roman" w:hAnsi="Times New Roman" w:cs="Times New Roman"/>
          <w:sz w:val="26"/>
          <w:szCs w:val="26"/>
        </w:rPr>
        <w:t>2</w:t>
      </w:r>
      <w:r w:rsidRPr="00CB1B3C">
        <w:rPr>
          <w:rFonts w:ascii="Times New Roman" w:hAnsi="Times New Roman" w:cs="Times New Roman"/>
          <w:sz w:val="26"/>
          <w:szCs w:val="26"/>
        </w:rPr>
        <w:t xml:space="preserve"> года</w:t>
      </w:r>
      <w:r>
        <w:rPr>
          <w:rFonts w:ascii="Times New Roman" w:hAnsi="Times New Roman" w:cs="Times New Roman"/>
          <w:sz w:val="26"/>
          <w:szCs w:val="26"/>
        </w:rPr>
        <w:t>»)</w:t>
      </w:r>
      <w:r>
        <w:rPr>
          <w:rFonts w:ascii="Times New Roman" w:eastAsia="Calibri" w:hAnsi="Times New Roman" w:cs="Times New Roman"/>
          <w:sz w:val="26"/>
          <w:szCs w:val="26"/>
        </w:rPr>
        <w:t xml:space="preserve">. Принято среднее значение диапазона. Для объектов, которые расположены на землях промышленности, значения лежат в доверительном интервале от 0,79 до 0,94 и в среднем по РФ составляет </w:t>
      </w:r>
      <w:r w:rsidRPr="00650F12">
        <w:rPr>
          <w:rFonts w:ascii="Times New Roman" w:eastAsia="Calibri" w:hAnsi="Times New Roman" w:cs="Times New Roman"/>
          <w:b/>
          <w:sz w:val="26"/>
          <w:szCs w:val="26"/>
        </w:rPr>
        <w:t>0,8</w:t>
      </w:r>
      <w:r>
        <w:rPr>
          <w:rFonts w:ascii="Times New Roman" w:eastAsia="Calibri" w:hAnsi="Times New Roman" w:cs="Times New Roman"/>
          <w:b/>
          <w:sz w:val="26"/>
          <w:szCs w:val="26"/>
        </w:rPr>
        <w:t>7</w:t>
      </w:r>
      <w:r w:rsidRPr="00650F12">
        <w:rPr>
          <w:rFonts w:ascii="Times New Roman" w:eastAsia="Calibri" w:hAnsi="Times New Roman" w:cs="Times New Roman"/>
          <w:sz w:val="26"/>
          <w:szCs w:val="26"/>
        </w:rPr>
        <w:t xml:space="preserve"> (также принято среднее значение диапазона)</w:t>
      </w:r>
      <w:r>
        <w:rPr>
          <w:rFonts w:ascii="Times New Roman" w:eastAsia="Calibri" w:hAnsi="Times New Roman" w:cs="Times New Roman"/>
          <w:sz w:val="26"/>
          <w:szCs w:val="26"/>
        </w:rPr>
        <w:t xml:space="preserve">, если на землях сельскохозяйственного назначения- среднее значение корректировки </w:t>
      </w:r>
      <w:r w:rsidRPr="001A76BE">
        <w:rPr>
          <w:rFonts w:ascii="Times New Roman" w:eastAsia="Calibri" w:hAnsi="Times New Roman" w:cs="Times New Roman"/>
          <w:b/>
          <w:sz w:val="26"/>
          <w:szCs w:val="26"/>
        </w:rPr>
        <w:t>0,8</w:t>
      </w:r>
      <w:r>
        <w:rPr>
          <w:rFonts w:ascii="Times New Roman" w:eastAsia="Calibri" w:hAnsi="Times New Roman" w:cs="Times New Roman"/>
          <w:b/>
          <w:sz w:val="26"/>
          <w:szCs w:val="26"/>
        </w:rPr>
        <w:t>3</w:t>
      </w:r>
      <w:r>
        <w:rPr>
          <w:rFonts w:ascii="Times New Roman" w:eastAsia="Calibri" w:hAnsi="Times New Roman" w:cs="Times New Roman"/>
          <w:sz w:val="26"/>
          <w:szCs w:val="26"/>
        </w:rPr>
        <w:t>.</w:t>
      </w:r>
    </w:p>
    <w:p w14:paraId="06C480AF"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дату</w:t>
      </w:r>
    </w:p>
    <w:p w14:paraId="3B8965DC" w14:textId="77777777" w:rsidR="00DB474C" w:rsidRDefault="00DB474C" w:rsidP="00DB474C">
      <w:pPr>
        <w:spacing w:after="0" w:line="300" w:lineRule="auto"/>
        <w:ind w:firstLine="708"/>
        <w:jc w:val="both"/>
        <w:rPr>
          <w:rFonts w:ascii="Times New Roman" w:hAnsi="Times New Roman" w:cs="Times New Roman"/>
          <w:b/>
          <w:sz w:val="26"/>
          <w:szCs w:val="26"/>
        </w:rPr>
      </w:pPr>
      <w:r>
        <w:rPr>
          <w:rFonts w:ascii="Times New Roman" w:hAnsi="Times New Roman" w:cs="Times New Roman"/>
          <w:sz w:val="26"/>
          <w:szCs w:val="26"/>
        </w:rPr>
        <w:t xml:space="preserve">Изменение рыночной конъюнктуры, условия которой могут сильно отразиться на стоимости объекта недвижимости, происходят с течением времени. </w:t>
      </w:r>
      <w:r>
        <w:rPr>
          <w:rFonts w:ascii="Times New Roman" w:eastAsia="Calibri" w:hAnsi="Times New Roman" w:cs="Times New Roman"/>
          <w:sz w:val="26"/>
          <w:szCs w:val="26"/>
        </w:rPr>
        <w:t xml:space="preserve">Корректировка на дату учитывает изменение цен на земельные участки за период с даты заключения сделки (предложения) с объектом-аналогом до даты проведения настоящей оценки. </w:t>
      </w:r>
    </w:p>
    <w:p w14:paraId="211569D0" w14:textId="77777777" w:rsidR="00DB474C" w:rsidRDefault="00DB474C" w:rsidP="00DB474C">
      <w:pPr>
        <w:jc w:val="center"/>
      </w:pPr>
      <w:r w:rsidRPr="00376FBD">
        <w:rPr>
          <w:noProof/>
          <w:lang w:eastAsia="ru-RU"/>
        </w:rPr>
        <w:drawing>
          <wp:inline distT="0" distB="0" distL="0" distR="0" wp14:anchorId="747D4113" wp14:editId="04365930">
            <wp:extent cx="5940425" cy="3978910"/>
            <wp:effectExtent l="0" t="0" r="3175" b="254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978910"/>
                    </a:xfrm>
                    <a:prstGeom prst="rect">
                      <a:avLst/>
                    </a:prstGeom>
                  </pic:spPr>
                </pic:pic>
              </a:graphicData>
            </a:graphic>
          </wp:inline>
        </w:drawing>
      </w:r>
    </w:p>
    <w:p w14:paraId="4D890F94" w14:textId="335665FE" w:rsidR="00DB474C" w:rsidRDefault="00DB474C" w:rsidP="00DB474C">
      <w:pPr>
        <w:jc w:val="center"/>
        <w:rPr>
          <w:rFonts w:ascii="Times New Roman" w:eastAsia="Calibri" w:hAnsi="Times New Roman" w:cs="Times New Roman"/>
          <w:sz w:val="26"/>
          <w:szCs w:val="26"/>
        </w:rPr>
      </w:pPr>
      <w:r>
        <w:rPr>
          <w:rFonts w:ascii="Times New Roman" w:eastAsia="Calibri" w:hAnsi="Times New Roman" w:cs="Times New Roman"/>
          <w:sz w:val="26"/>
          <w:szCs w:val="26"/>
        </w:rPr>
        <w:t>Рис.3.1.3.6.2-</w:t>
      </w:r>
      <w:r w:rsidRPr="008C322D">
        <w:t xml:space="preserve"> </w:t>
      </w:r>
      <w:r w:rsidRPr="008C322D">
        <w:rPr>
          <w:rFonts w:ascii="Times New Roman" w:eastAsia="Calibri" w:hAnsi="Times New Roman" w:cs="Times New Roman"/>
          <w:sz w:val="26"/>
          <w:szCs w:val="26"/>
        </w:rPr>
        <w:t>Индексы изменения рыночных цен (в рублях) земельных участков</w:t>
      </w:r>
      <w:r>
        <w:rPr>
          <w:rFonts w:ascii="Times New Roman" w:eastAsia="Calibri" w:hAnsi="Times New Roman" w:cs="Times New Roman"/>
          <w:sz w:val="26"/>
          <w:szCs w:val="26"/>
        </w:rPr>
        <w:t xml:space="preserve"> по данным </w:t>
      </w:r>
      <w:r w:rsidRPr="00A67AF4">
        <w:rPr>
          <w:rFonts w:ascii="Times New Roman" w:eastAsia="Calibri" w:hAnsi="Times New Roman" w:cs="Times New Roman"/>
          <w:sz w:val="26"/>
          <w:szCs w:val="26"/>
        </w:rPr>
        <w:t>некоммерческой организации «Ассоциация развития рынка недвижимости «СтатРиелт»</w:t>
      </w:r>
      <w:r w:rsidR="00E564BF">
        <w:rPr>
          <w:rStyle w:val="af2"/>
          <w:rFonts w:ascii="Times New Roman" w:eastAsia="Calibri" w:hAnsi="Times New Roman" w:cs="Times New Roman"/>
          <w:sz w:val="26"/>
          <w:szCs w:val="26"/>
        </w:rPr>
        <w:footnoteReference w:id="88"/>
      </w:r>
    </w:p>
    <w:p w14:paraId="1E277164" w14:textId="77777777" w:rsidR="00DB474C" w:rsidRDefault="00DB474C" w:rsidP="00DB474C">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был произведен расчет корректировок, значения представлены далее в таблице.</w:t>
      </w:r>
    </w:p>
    <w:p w14:paraId="6A35CDE3" w14:textId="6C5933C4" w:rsidR="00DB474C" w:rsidRDefault="00DB474C" w:rsidP="00DB474C">
      <w:pPr>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3.1.3.6.1</w:t>
      </w:r>
    </w:p>
    <w:p w14:paraId="2D285F06" w14:textId="77777777" w:rsidR="00DB474C" w:rsidRPr="002F6E4F" w:rsidRDefault="00DB474C" w:rsidP="00DB474C">
      <w:pPr>
        <w:jc w:val="center"/>
        <w:rPr>
          <w:rFonts w:ascii="Times New Roman" w:eastAsia="Calibri" w:hAnsi="Times New Roman" w:cs="Times New Roman"/>
          <w:sz w:val="26"/>
          <w:szCs w:val="26"/>
        </w:rPr>
      </w:pPr>
      <w:r>
        <w:rPr>
          <w:rFonts w:ascii="Times New Roman" w:eastAsia="Calibri" w:hAnsi="Times New Roman" w:cs="Times New Roman"/>
          <w:sz w:val="26"/>
          <w:szCs w:val="26"/>
        </w:rPr>
        <w:t>Размер корректировок на дату, рассчитанных на каждое полугодие</w:t>
      </w:r>
    </w:p>
    <w:tbl>
      <w:tblPr>
        <w:tblStyle w:val="ae"/>
        <w:tblW w:w="4927" w:type="pct"/>
        <w:jc w:val="center"/>
        <w:tblLayout w:type="fixed"/>
        <w:tblLook w:val="04A0" w:firstRow="1" w:lastRow="0" w:firstColumn="1" w:lastColumn="0" w:noHBand="0" w:noVBand="1"/>
      </w:tblPr>
      <w:tblGrid>
        <w:gridCol w:w="1130"/>
        <w:gridCol w:w="993"/>
        <w:gridCol w:w="1558"/>
        <w:gridCol w:w="1558"/>
        <w:gridCol w:w="654"/>
        <w:gridCol w:w="622"/>
        <w:gridCol w:w="993"/>
        <w:gridCol w:w="1700"/>
      </w:tblGrid>
      <w:tr w:rsidR="00DB474C" w:rsidRPr="006640DC" w14:paraId="0AD02475" w14:textId="77777777" w:rsidTr="00DB474C">
        <w:trPr>
          <w:jc w:val="center"/>
        </w:trPr>
        <w:tc>
          <w:tcPr>
            <w:tcW w:w="614" w:type="pct"/>
            <w:vAlign w:val="center"/>
          </w:tcPr>
          <w:p w14:paraId="00D22FB1" w14:textId="77777777" w:rsidR="00DB474C" w:rsidRPr="006640DC" w:rsidRDefault="00DB474C" w:rsidP="00DB474C">
            <w:pPr>
              <w:jc w:val="center"/>
              <w:rPr>
                <w:rFonts w:ascii="Times New Roman" w:hAnsi="Times New Roman" w:cs="Times New Roman"/>
                <w:sz w:val="18"/>
                <w:szCs w:val="18"/>
              </w:rPr>
            </w:pPr>
            <w:r w:rsidRPr="006640DC">
              <w:rPr>
                <w:rFonts w:ascii="Times New Roman" w:hAnsi="Times New Roman" w:cs="Times New Roman"/>
                <w:sz w:val="18"/>
                <w:szCs w:val="18"/>
              </w:rPr>
              <w:t>к 01.0</w:t>
            </w:r>
            <w:r>
              <w:rPr>
                <w:rFonts w:ascii="Times New Roman" w:hAnsi="Times New Roman" w:cs="Times New Roman"/>
                <w:sz w:val="18"/>
                <w:szCs w:val="18"/>
              </w:rPr>
              <w:t>1</w:t>
            </w:r>
            <w:r w:rsidRPr="006640DC">
              <w:rPr>
                <w:rFonts w:ascii="Times New Roman" w:hAnsi="Times New Roman" w:cs="Times New Roman"/>
                <w:sz w:val="18"/>
                <w:szCs w:val="18"/>
              </w:rPr>
              <w:t>.202</w:t>
            </w:r>
            <w:r>
              <w:rPr>
                <w:rFonts w:ascii="Times New Roman" w:hAnsi="Times New Roman" w:cs="Times New Roman"/>
                <w:sz w:val="18"/>
                <w:szCs w:val="18"/>
              </w:rPr>
              <w:t>2</w:t>
            </w:r>
          </w:p>
        </w:tc>
        <w:tc>
          <w:tcPr>
            <w:tcW w:w="539" w:type="pct"/>
            <w:vAlign w:val="center"/>
          </w:tcPr>
          <w:p w14:paraId="1A7C49DB" w14:textId="77777777" w:rsidR="00DB474C" w:rsidRPr="006640DC" w:rsidRDefault="00DB474C" w:rsidP="00DB474C">
            <w:pPr>
              <w:jc w:val="center"/>
              <w:rPr>
                <w:rFonts w:ascii="Times New Roman" w:hAnsi="Times New Roman" w:cs="Times New Roman"/>
                <w:sz w:val="18"/>
              </w:rPr>
            </w:pPr>
            <w:r w:rsidRPr="006640DC">
              <w:rPr>
                <w:rFonts w:ascii="Times New Roman" w:hAnsi="Times New Roman" w:cs="Times New Roman"/>
                <w:color w:val="000000"/>
                <w:sz w:val="18"/>
              </w:rPr>
              <w:t>торговые и офисные здания</w:t>
            </w:r>
          </w:p>
        </w:tc>
        <w:tc>
          <w:tcPr>
            <w:tcW w:w="846" w:type="pct"/>
            <w:vAlign w:val="center"/>
          </w:tcPr>
          <w:p w14:paraId="2D2A2503" w14:textId="77777777" w:rsidR="00DB474C" w:rsidRPr="00815D40" w:rsidRDefault="00DB474C" w:rsidP="00DB474C">
            <w:pPr>
              <w:jc w:val="center"/>
              <w:rPr>
                <w:rFonts w:ascii="Times New Roman" w:hAnsi="Times New Roman" w:cs="Times New Roman"/>
                <w:b/>
                <w:sz w:val="18"/>
              </w:rPr>
            </w:pPr>
            <w:r w:rsidRPr="00815D40">
              <w:rPr>
                <w:rFonts w:ascii="Times New Roman" w:hAnsi="Times New Roman" w:cs="Times New Roman"/>
                <w:b/>
                <w:color w:val="000000"/>
                <w:sz w:val="18"/>
              </w:rPr>
              <w:t>промышленности, транспорта, связи и иного специального назначения</w:t>
            </w:r>
          </w:p>
        </w:tc>
        <w:tc>
          <w:tcPr>
            <w:tcW w:w="846" w:type="pct"/>
            <w:vAlign w:val="center"/>
          </w:tcPr>
          <w:p w14:paraId="44DAA9E3" w14:textId="77777777" w:rsidR="00DB474C" w:rsidRPr="006640DC" w:rsidRDefault="00DB474C" w:rsidP="00DB474C">
            <w:pPr>
              <w:jc w:val="center"/>
              <w:rPr>
                <w:rFonts w:ascii="Times New Roman" w:hAnsi="Times New Roman" w:cs="Times New Roman"/>
                <w:sz w:val="18"/>
              </w:rPr>
            </w:pPr>
            <w:r>
              <w:rPr>
                <w:rFonts w:ascii="Times New Roman" w:hAnsi="Times New Roman" w:cs="Times New Roman"/>
                <w:color w:val="000000"/>
                <w:sz w:val="18"/>
              </w:rPr>
              <w:t>м</w:t>
            </w:r>
            <w:r w:rsidRPr="006640DC">
              <w:rPr>
                <w:rFonts w:ascii="Times New Roman" w:hAnsi="Times New Roman" w:cs="Times New Roman"/>
                <w:color w:val="000000"/>
                <w:sz w:val="18"/>
              </w:rPr>
              <w:t>ного</w:t>
            </w:r>
            <w:r>
              <w:rPr>
                <w:rFonts w:ascii="Times New Roman" w:hAnsi="Times New Roman" w:cs="Times New Roman"/>
                <w:color w:val="000000"/>
                <w:sz w:val="18"/>
              </w:rPr>
              <w:t>-</w:t>
            </w:r>
            <w:r w:rsidRPr="006640DC">
              <w:rPr>
                <w:rFonts w:ascii="Times New Roman" w:hAnsi="Times New Roman" w:cs="Times New Roman"/>
                <w:color w:val="000000"/>
                <w:sz w:val="18"/>
              </w:rPr>
              <w:t>квартирное строительство</w:t>
            </w:r>
          </w:p>
        </w:tc>
        <w:tc>
          <w:tcPr>
            <w:tcW w:w="355" w:type="pct"/>
            <w:vAlign w:val="center"/>
          </w:tcPr>
          <w:p w14:paraId="13B437BB" w14:textId="77777777" w:rsidR="00DB474C" w:rsidRDefault="00DB474C" w:rsidP="00DB474C">
            <w:pPr>
              <w:rPr>
                <w:rFonts w:ascii="Times New Roman" w:hAnsi="Times New Roman" w:cs="Times New Roman"/>
                <w:color w:val="000000"/>
                <w:sz w:val="18"/>
              </w:rPr>
            </w:pPr>
            <w:r w:rsidRPr="006640DC">
              <w:rPr>
                <w:rFonts w:ascii="Times New Roman" w:hAnsi="Times New Roman" w:cs="Times New Roman"/>
                <w:color w:val="000000"/>
                <w:sz w:val="18"/>
              </w:rPr>
              <w:t>ИЖС</w:t>
            </w:r>
          </w:p>
          <w:p w14:paraId="03CABD08" w14:textId="77777777" w:rsidR="00DB474C" w:rsidRDefault="00DB474C" w:rsidP="00DB474C">
            <w:pPr>
              <w:jc w:val="center"/>
              <w:rPr>
                <w:rFonts w:ascii="Times New Roman" w:hAnsi="Times New Roman" w:cs="Times New Roman"/>
                <w:color w:val="000000"/>
                <w:sz w:val="18"/>
              </w:rPr>
            </w:pPr>
            <w:r>
              <w:rPr>
                <w:rFonts w:ascii="Times New Roman" w:hAnsi="Times New Roman" w:cs="Times New Roman"/>
                <w:color w:val="000000"/>
                <w:sz w:val="18"/>
              </w:rPr>
              <w:t>и</w:t>
            </w:r>
          </w:p>
          <w:p w14:paraId="13C282F2" w14:textId="77777777" w:rsidR="00DB474C" w:rsidRPr="006640DC" w:rsidRDefault="00DB474C" w:rsidP="00DB474C">
            <w:pPr>
              <w:rPr>
                <w:rFonts w:ascii="Times New Roman" w:hAnsi="Times New Roman" w:cs="Times New Roman"/>
                <w:sz w:val="18"/>
              </w:rPr>
            </w:pPr>
            <w:r w:rsidRPr="006640DC">
              <w:rPr>
                <w:rFonts w:ascii="Times New Roman" w:hAnsi="Times New Roman" w:cs="Times New Roman"/>
                <w:color w:val="000000"/>
                <w:sz w:val="18"/>
              </w:rPr>
              <w:t>ЛПХ</w:t>
            </w:r>
          </w:p>
        </w:tc>
        <w:tc>
          <w:tcPr>
            <w:tcW w:w="338" w:type="pct"/>
            <w:vAlign w:val="center"/>
          </w:tcPr>
          <w:p w14:paraId="282649BE" w14:textId="77777777" w:rsidR="00DB474C" w:rsidRPr="006640DC" w:rsidRDefault="00DB474C" w:rsidP="00DB474C">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Н</w:t>
            </w:r>
            <w:r w:rsidRPr="006640DC">
              <w:rPr>
                <w:rFonts w:ascii="Times New Roman" w:hAnsi="Times New Roman" w:cs="Times New Roman"/>
                <w:color w:val="000000"/>
                <w:sz w:val="18"/>
              </w:rPr>
              <w:t>Т и ДНП</w:t>
            </w:r>
          </w:p>
        </w:tc>
        <w:tc>
          <w:tcPr>
            <w:tcW w:w="539" w:type="pct"/>
            <w:vAlign w:val="center"/>
          </w:tcPr>
          <w:p w14:paraId="5FE7D0F8" w14:textId="77777777" w:rsidR="00DB474C" w:rsidRPr="006640DC" w:rsidRDefault="00DB474C" w:rsidP="00DB474C">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/х</w:t>
            </w:r>
            <w:r w:rsidRPr="006640DC">
              <w:rPr>
                <w:rFonts w:ascii="Times New Roman" w:hAnsi="Times New Roman" w:cs="Times New Roman"/>
                <w:color w:val="000000"/>
                <w:sz w:val="18"/>
              </w:rPr>
              <w:t xml:space="preserve"> назна</w:t>
            </w:r>
            <w:r>
              <w:rPr>
                <w:rFonts w:ascii="Times New Roman" w:hAnsi="Times New Roman" w:cs="Times New Roman"/>
                <w:color w:val="000000"/>
                <w:sz w:val="18"/>
              </w:rPr>
              <w:t>-</w:t>
            </w:r>
            <w:r w:rsidRPr="006640DC">
              <w:rPr>
                <w:rFonts w:ascii="Times New Roman" w:hAnsi="Times New Roman" w:cs="Times New Roman"/>
                <w:color w:val="000000"/>
                <w:sz w:val="18"/>
              </w:rPr>
              <w:t>чения</w:t>
            </w:r>
          </w:p>
        </w:tc>
        <w:tc>
          <w:tcPr>
            <w:tcW w:w="923" w:type="pct"/>
            <w:vAlign w:val="center"/>
          </w:tcPr>
          <w:p w14:paraId="5B4896DB" w14:textId="77777777" w:rsidR="00DB474C" w:rsidRPr="006640DC" w:rsidRDefault="00DB474C" w:rsidP="00DB474C">
            <w:pPr>
              <w:jc w:val="center"/>
              <w:rPr>
                <w:rFonts w:ascii="Times New Roman" w:hAnsi="Times New Roman" w:cs="Times New Roman"/>
                <w:sz w:val="18"/>
              </w:rPr>
            </w:pPr>
            <w:r w:rsidRPr="006640DC">
              <w:rPr>
                <w:rFonts w:ascii="Times New Roman" w:hAnsi="Times New Roman" w:cs="Times New Roman"/>
                <w:color w:val="000000"/>
                <w:sz w:val="18"/>
              </w:rPr>
              <w:t>сельскохозяйственного назначения с возможностью или перспективой строительства коммерческих зданий</w:t>
            </w:r>
          </w:p>
        </w:tc>
      </w:tr>
      <w:tr w:rsidR="00DB474C" w:rsidRPr="006640DC" w14:paraId="23A20792" w14:textId="77777777" w:rsidTr="00606730">
        <w:trPr>
          <w:jc w:val="center"/>
        </w:trPr>
        <w:tc>
          <w:tcPr>
            <w:tcW w:w="614" w:type="pct"/>
            <w:vAlign w:val="bottom"/>
          </w:tcPr>
          <w:p w14:paraId="6E134842"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01.01.2018 по 30.06.2018</w:t>
            </w:r>
          </w:p>
        </w:tc>
        <w:tc>
          <w:tcPr>
            <w:tcW w:w="539" w:type="pct"/>
            <w:vAlign w:val="center"/>
          </w:tcPr>
          <w:p w14:paraId="74C80F2C"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39FB0D49" w14:textId="77777777" w:rsidR="00DB474C" w:rsidRPr="005960AF" w:rsidRDefault="00DB474C" w:rsidP="00606730">
            <w:pPr>
              <w:jc w:val="center"/>
              <w:rPr>
                <w:rFonts w:ascii="Times New Roman" w:hAnsi="Times New Roman" w:cs="Times New Roman"/>
                <w:b/>
              </w:rPr>
            </w:pPr>
            <w:r w:rsidRPr="005960AF">
              <w:rPr>
                <w:rFonts w:ascii="Times New Roman" w:hAnsi="Times New Roman" w:cs="Times New Roman"/>
                <w:b/>
              </w:rPr>
              <w:t>0,99</w:t>
            </w:r>
          </w:p>
        </w:tc>
        <w:tc>
          <w:tcPr>
            <w:tcW w:w="846" w:type="pct"/>
            <w:vAlign w:val="center"/>
          </w:tcPr>
          <w:p w14:paraId="6F397E90"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1,31</w:t>
            </w:r>
          </w:p>
        </w:tc>
        <w:tc>
          <w:tcPr>
            <w:tcW w:w="355" w:type="pct"/>
            <w:vAlign w:val="center"/>
          </w:tcPr>
          <w:p w14:paraId="0BB93A60"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1,16</w:t>
            </w:r>
          </w:p>
        </w:tc>
        <w:tc>
          <w:tcPr>
            <w:tcW w:w="338" w:type="pct"/>
            <w:vAlign w:val="center"/>
          </w:tcPr>
          <w:p w14:paraId="5C012341"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1,14</w:t>
            </w:r>
          </w:p>
        </w:tc>
        <w:tc>
          <w:tcPr>
            <w:tcW w:w="539" w:type="pct"/>
            <w:vAlign w:val="center"/>
          </w:tcPr>
          <w:p w14:paraId="32B25F2A" w14:textId="77777777" w:rsidR="00DB474C" w:rsidRPr="00F22DF9" w:rsidRDefault="00DB474C" w:rsidP="00606730">
            <w:pPr>
              <w:jc w:val="center"/>
              <w:rPr>
                <w:rFonts w:ascii="Times New Roman" w:hAnsi="Times New Roman" w:cs="Times New Roman"/>
                <w:b/>
              </w:rPr>
            </w:pPr>
            <w:r w:rsidRPr="00F22DF9">
              <w:rPr>
                <w:rFonts w:ascii="Times New Roman" w:hAnsi="Times New Roman" w:cs="Times New Roman"/>
              </w:rPr>
              <w:t>1,15</w:t>
            </w:r>
          </w:p>
        </w:tc>
        <w:tc>
          <w:tcPr>
            <w:tcW w:w="923" w:type="pct"/>
            <w:vAlign w:val="center"/>
          </w:tcPr>
          <w:p w14:paraId="7FF98CF8"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1,11</w:t>
            </w:r>
          </w:p>
        </w:tc>
      </w:tr>
      <w:tr w:rsidR="00DB474C" w:rsidRPr="006640DC" w14:paraId="5C3B5EC6" w14:textId="77777777" w:rsidTr="00606730">
        <w:trPr>
          <w:jc w:val="center"/>
        </w:trPr>
        <w:tc>
          <w:tcPr>
            <w:tcW w:w="614" w:type="pct"/>
            <w:vAlign w:val="bottom"/>
          </w:tcPr>
          <w:p w14:paraId="1A094116"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01.07.2018 по 31.12.2018</w:t>
            </w:r>
          </w:p>
        </w:tc>
        <w:tc>
          <w:tcPr>
            <w:tcW w:w="539" w:type="pct"/>
            <w:vAlign w:val="center"/>
          </w:tcPr>
          <w:p w14:paraId="7012A2AF"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15F80E89" w14:textId="77777777" w:rsidR="00DB474C" w:rsidRPr="005960AF" w:rsidRDefault="00DB474C" w:rsidP="00606730">
            <w:pPr>
              <w:jc w:val="center"/>
              <w:rPr>
                <w:rFonts w:ascii="Times New Roman" w:hAnsi="Times New Roman" w:cs="Times New Roman"/>
                <w:b/>
              </w:rPr>
            </w:pPr>
            <w:r w:rsidRPr="005960AF">
              <w:rPr>
                <w:rFonts w:ascii="Times New Roman" w:hAnsi="Times New Roman" w:cs="Times New Roman"/>
                <w:b/>
              </w:rPr>
              <w:t>0,99</w:t>
            </w:r>
          </w:p>
        </w:tc>
        <w:tc>
          <w:tcPr>
            <w:tcW w:w="846" w:type="pct"/>
            <w:vAlign w:val="center"/>
          </w:tcPr>
          <w:p w14:paraId="68525417"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1,30</w:t>
            </w:r>
          </w:p>
        </w:tc>
        <w:tc>
          <w:tcPr>
            <w:tcW w:w="355" w:type="pct"/>
            <w:vAlign w:val="center"/>
          </w:tcPr>
          <w:p w14:paraId="3970EAA5"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1,17</w:t>
            </w:r>
          </w:p>
        </w:tc>
        <w:tc>
          <w:tcPr>
            <w:tcW w:w="338" w:type="pct"/>
            <w:vAlign w:val="center"/>
          </w:tcPr>
          <w:p w14:paraId="3BE6922F"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1,15</w:t>
            </w:r>
          </w:p>
        </w:tc>
        <w:tc>
          <w:tcPr>
            <w:tcW w:w="539" w:type="pct"/>
            <w:vAlign w:val="center"/>
          </w:tcPr>
          <w:p w14:paraId="1782F18A" w14:textId="77777777" w:rsidR="00DB474C" w:rsidRPr="00F22DF9" w:rsidRDefault="00DB474C" w:rsidP="00606730">
            <w:pPr>
              <w:jc w:val="center"/>
              <w:rPr>
                <w:rFonts w:ascii="Times New Roman" w:hAnsi="Times New Roman" w:cs="Times New Roman"/>
                <w:b/>
              </w:rPr>
            </w:pPr>
            <w:r w:rsidRPr="00F22DF9">
              <w:rPr>
                <w:rFonts w:ascii="Times New Roman" w:hAnsi="Times New Roman" w:cs="Times New Roman"/>
              </w:rPr>
              <w:t>1,14</w:t>
            </w:r>
          </w:p>
        </w:tc>
        <w:tc>
          <w:tcPr>
            <w:tcW w:w="923" w:type="pct"/>
            <w:vAlign w:val="center"/>
          </w:tcPr>
          <w:p w14:paraId="1578F428"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1,13</w:t>
            </w:r>
          </w:p>
        </w:tc>
      </w:tr>
      <w:tr w:rsidR="00DB474C" w:rsidRPr="006640DC" w14:paraId="7EA10631" w14:textId="77777777" w:rsidTr="00606730">
        <w:trPr>
          <w:jc w:val="center"/>
        </w:trPr>
        <w:tc>
          <w:tcPr>
            <w:tcW w:w="614" w:type="pct"/>
            <w:vAlign w:val="bottom"/>
          </w:tcPr>
          <w:p w14:paraId="6CAFAD44"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01.01.2019 по 30.06.2019</w:t>
            </w:r>
          </w:p>
        </w:tc>
        <w:tc>
          <w:tcPr>
            <w:tcW w:w="539" w:type="pct"/>
            <w:vAlign w:val="center"/>
          </w:tcPr>
          <w:p w14:paraId="2A96F3A7"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7C0E2182" w14:textId="77777777" w:rsidR="00DB474C" w:rsidRPr="005960AF" w:rsidRDefault="00DB474C" w:rsidP="00606730">
            <w:pPr>
              <w:jc w:val="center"/>
              <w:rPr>
                <w:rFonts w:ascii="Times New Roman" w:hAnsi="Times New Roman" w:cs="Times New Roman"/>
                <w:b/>
              </w:rPr>
            </w:pPr>
            <w:r w:rsidRPr="005960AF">
              <w:rPr>
                <w:rFonts w:ascii="Times New Roman" w:hAnsi="Times New Roman" w:cs="Times New Roman"/>
                <w:b/>
              </w:rPr>
              <w:t>0,99</w:t>
            </w:r>
          </w:p>
        </w:tc>
        <w:tc>
          <w:tcPr>
            <w:tcW w:w="846" w:type="pct"/>
            <w:vAlign w:val="center"/>
          </w:tcPr>
          <w:p w14:paraId="4528823F"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1,28</w:t>
            </w:r>
          </w:p>
        </w:tc>
        <w:tc>
          <w:tcPr>
            <w:tcW w:w="355" w:type="pct"/>
            <w:vAlign w:val="center"/>
          </w:tcPr>
          <w:p w14:paraId="3E1974D7"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1,17</w:t>
            </w:r>
          </w:p>
        </w:tc>
        <w:tc>
          <w:tcPr>
            <w:tcW w:w="338" w:type="pct"/>
            <w:vAlign w:val="center"/>
          </w:tcPr>
          <w:p w14:paraId="71A440A8"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1,15</w:t>
            </w:r>
          </w:p>
        </w:tc>
        <w:tc>
          <w:tcPr>
            <w:tcW w:w="539" w:type="pct"/>
            <w:vAlign w:val="center"/>
          </w:tcPr>
          <w:p w14:paraId="45516418" w14:textId="77777777" w:rsidR="00DB474C" w:rsidRPr="00F22DF9" w:rsidRDefault="00DB474C" w:rsidP="00606730">
            <w:pPr>
              <w:jc w:val="center"/>
              <w:rPr>
                <w:rFonts w:ascii="Times New Roman" w:hAnsi="Times New Roman" w:cs="Times New Roman"/>
                <w:b/>
              </w:rPr>
            </w:pPr>
            <w:r w:rsidRPr="00F22DF9">
              <w:rPr>
                <w:rFonts w:ascii="Times New Roman" w:hAnsi="Times New Roman" w:cs="Times New Roman"/>
              </w:rPr>
              <w:t>1,12</w:t>
            </w:r>
          </w:p>
        </w:tc>
        <w:tc>
          <w:tcPr>
            <w:tcW w:w="923" w:type="pct"/>
            <w:vAlign w:val="center"/>
          </w:tcPr>
          <w:p w14:paraId="5E79B852"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1,13</w:t>
            </w:r>
          </w:p>
        </w:tc>
      </w:tr>
      <w:tr w:rsidR="00DB474C" w:rsidRPr="006640DC" w14:paraId="57903264" w14:textId="77777777" w:rsidTr="00606730">
        <w:trPr>
          <w:jc w:val="center"/>
        </w:trPr>
        <w:tc>
          <w:tcPr>
            <w:tcW w:w="614" w:type="pct"/>
            <w:vAlign w:val="bottom"/>
          </w:tcPr>
          <w:p w14:paraId="02776EEE"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01.07.2019 по 31.12.2019</w:t>
            </w:r>
          </w:p>
        </w:tc>
        <w:tc>
          <w:tcPr>
            <w:tcW w:w="539" w:type="pct"/>
            <w:vAlign w:val="center"/>
          </w:tcPr>
          <w:p w14:paraId="3AE74DF1"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1,03</w:t>
            </w:r>
          </w:p>
        </w:tc>
        <w:tc>
          <w:tcPr>
            <w:tcW w:w="846" w:type="pct"/>
            <w:vAlign w:val="center"/>
          </w:tcPr>
          <w:p w14:paraId="56A5FA35" w14:textId="77777777" w:rsidR="00DB474C" w:rsidRPr="005960AF" w:rsidRDefault="00DB474C" w:rsidP="00606730">
            <w:pPr>
              <w:jc w:val="center"/>
              <w:rPr>
                <w:rFonts w:ascii="Times New Roman" w:hAnsi="Times New Roman" w:cs="Times New Roman"/>
                <w:b/>
              </w:rPr>
            </w:pPr>
            <w:r w:rsidRPr="005960AF">
              <w:rPr>
                <w:rFonts w:ascii="Times New Roman" w:hAnsi="Times New Roman" w:cs="Times New Roman"/>
                <w:b/>
              </w:rPr>
              <w:t>0,97</w:t>
            </w:r>
          </w:p>
        </w:tc>
        <w:tc>
          <w:tcPr>
            <w:tcW w:w="846" w:type="pct"/>
            <w:vAlign w:val="center"/>
          </w:tcPr>
          <w:p w14:paraId="387CA410"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1,24</w:t>
            </w:r>
          </w:p>
        </w:tc>
        <w:tc>
          <w:tcPr>
            <w:tcW w:w="355" w:type="pct"/>
            <w:vAlign w:val="center"/>
          </w:tcPr>
          <w:p w14:paraId="20AEC75E"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1,15</w:t>
            </w:r>
          </w:p>
        </w:tc>
        <w:tc>
          <w:tcPr>
            <w:tcW w:w="338" w:type="pct"/>
            <w:vAlign w:val="center"/>
          </w:tcPr>
          <w:p w14:paraId="6C23148C"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1,13</w:t>
            </w:r>
          </w:p>
        </w:tc>
        <w:tc>
          <w:tcPr>
            <w:tcW w:w="539" w:type="pct"/>
            <w:vAlign w:val="center"/>
          </w:tcPr>
          <w:p w14:paraId="18D82FEE" w14:textId="77777777" w:rsidR="00DB474C" w:rsidRPr="00F22DF9" w:rsidRDefault="00DB474C" w:rsidP="00606730">
            <w:pPr>
              <w:jc w:val="center"/>
              <w:rPr>
                <w:rFonts w:ascii="Times New Roman" w:hAnsi="Times New Roman" w:cs="Times New Roman"/>
                <w:b/>
              </w:rPr>
            </w:pPr>
            <w:r w:rsidRPr="00F22DF9">
              <w:rPr>
                <w:rFonts w:ascii="Times New Roman" w:hAnsi="Times New Roman" w:cs="Times New Roman"/>
              </w:rPr>
              <w:t>1,08</w:t>
            </w:r>
          </w:p>
        </w:tc>
        <w:tc>
          <w:tcPr>
            <w:tcW w:w="923" w:type="pct"/>
            <w:vAlign w:val="center"/>
          </w:tcPr>
          <w:p w14:paraId="38B374AF"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1,10</w:t>
            </w:r>
          </w:p>
        </w:tc>
      </w:tr>
      <w:tr w:rsidR="00DB474C" w:rsidRPr="006640DC" w14:paraId="2A8D698C" w14:textId="77777777" w:rsidTr="00606730">
        <w:trPr>
          <w:jc w:val="center"/>
        </w:trPr>
        <w:tc>
          <w:tcPr>
            <w:tcW w:w="614" w:type="pct"/>
            <w:vAlign w:val="bottom"/>
          </w:tcPr>
          <w:p w14:paraId="51EA17D8"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01.01.2020 по 30.06.2020</w:t>
            </w:r>
          </w:p>
        </w:tc>
        <w:tc>
          <w:tcPr>
            <w:tcW w:w="539" w:type="pct"/>
            <w:vAlign w:val="center"/>
          </w:tcPr>
          <w:p w14:paraId="1CA19A6E"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1,01</w:t>
            </w:r>
          </w:p>
        </w:tc>
        <w:tc>
          <w:tcPr>
            <w:tcW w:w="846" w:type="pct"/>
            <w:vAlign w:val="center"/>
          </w:tcPr>
          <w:p w14:paraId="7EAE2315" w14:textId="77777777" w:rsidR="00DB474C" w:rsidRPr="005960AF" w:rsidRDefault="00DB474C" w:rsidP="00606730">
            <w:pPr>
              <w:jc w:val="center"/>
              <w:rPr>
                <w:rFonts w:ascii="Times New Roman" w:hAnsi="Times New Roman" w:cs="Times New Roman"/>
                <w:b/>
              </w:rPr>
            </w:pPr>
            <w:r w:rsidRPr="005960AF">
              <w:rPr>
                <w:rFonts w:ascii="Times New Roman" w:hAnsi="Times New Roman" w:cs="Times New Roman"/>
                <w:b/>
              </w:rPr>
              <w:t>0,95</w:t>
            </w:r>
          </w:p>
        </w:tc>
        <w:tc>
          <w:tcPr>
            <w:tcW w:w="846" w:type="pct"/>
            <w:vAlign w:val="center"/>
          </w:tcPr>
          <w:p w14:paraId="7984D483"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1,19</w:t>
            </w:r>
          </w:p>
        </w:tc>
        <w:tc>
          <w:tcPr>
            <w:tcW w:w="355" w:type="pct"/>
            <w:vAlign w:val="center"/>
          </w:tcPr>
          <w:p w14:paraId="77D99767"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1,14</w:t>
            </w:r>
          </w:p>
        </w:tc>
        <w:tc>
          <w:tcPr>
            <w:tcW w:w="338" w:type="pct"/>
            <w:vAlign w:val="center"/>
          </w:tcPr>
          <w:p w14:paraId="71924752"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1,10</w:t>
            </w:r>
          </w:p>
        </w:tc>
        <w:tc>
          <w:tcPr>
            <w:tcW w:w="539" w:type="pct"/>
            <w:vAlign w:val="center"/>
          </w:tcPr>
          <w:p w14:paraId="13C70D34" w14:textId="77777777" w:rsidR="00DB474C" w:rsidRPr="00F22DF9" w:rsidRDefault="00DB474C" w:rsidP="00606730">
            <w:pPr>
              <w:jc w:val="center"/>
              <w:rPr>
                <w:rFonts w:ascii="Times New Roman" w:hAnsi="Times New Roman" w:cs="Times New Roman"/>
                <w:b/>
              </w:rPr>
            </w:pPr>
            <w:r w:rsidRPr="00F22DF9">
              <w:rPr>
                <w:rFonts w:ascii="Times New Roman" w:hAnsi="Times New Roman" w:cs="Times New Roman"/>
              </w:rPr>
              <w:t>1,05</w:t>
            </w:r>
          </w:p>
        </w:tc>
        <w:tc>
          <w:tcPr>
            <w:tcW w:w="923" w:type="pct"/>
            <w:vAlign w:val="center"/>
          </w:tcPr>
          <w:p w14:paraId="56523378"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1,08</w:t>
            </w:r>
          </w:p>
        </w:tc>
      </w:tr>
      <w:tr w:rsidR="00DB474C" w:rsidRPr="006640DC" w14:paraId="6D987646" w14:textId="77777777" w:rsidTr="00606730">
        <w:trPr>
          <w:jc w:val="center"/>
        </w:trPr>
        <w:tc>
          <w:tcPr>
            <w:tcW w:w="614" w:type="pct"/>
            <w:vAlign w:val="bottom"/>
          </w:tcPr>
          <w:p w14:paraId="0E16E95E"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01.07.2020 по 31.12.2020</w:t>
            </w:r>
          </w:p>
        </w:tc>
        <w:tc>
          <w:tcPr>
            <w:tcW w:w="539" w:type="pct"/>
            <w:vAlign w:val="center"/>
          </w:tcPr>
          <w:p w14:paraId="200375E5"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1,05</w:t>
            </w:r>
          </w:p>
        </w:tc>
        <w:tc>
          <w:tcPr>
            <w:tcW w:w="846" w:type="pct"/>
            <w:vAlign w:val="center"/>
          </w:tcPr>
          <w:p w14:paraId="3FCE9541" w14:textId="77777777" w:rsidR="00DB474C" w:rsidRPr="005960AF" w:rsidRDefault="00DB474C" w:rsidP="00606730">
            <w:pPr>
              <w:jc w:val="center"/>
              <w:rPr>
                <w:rFonts w:ascii="Times New Roman" w:hAnsi="Times New Roman" w:cs="Times New Roman"/>
                <w:b/>
              </w:rPr>
            </w:pPr>
            <w:r w:rsidRPr="005960AF">
              <w:rPr>
                <w:rFonts w:ascii="Times New Roman" w:hAnsi="Times New Roman" w:cs="Times New Roman"/>
                <w:b/>
              </w:rPr>
              <w:t>0,98</w:t>
            </w:r>
          </w:p>
        </w:tc>
        <w:tc>
          <w:tcPr>
            <w:tcW w:w="846" w:type="pct"/>
            <w:vAlign w:val="center"/>
          </w:tcPr>
          <w:p w14:paraId="7340A7E4"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1,17</w:t>
            </w:r>
          </w:p>
        </w:tc>
        <w:tc>
          <w:tcPr>
            <w:tcW w:w="355" w:type="pct"/>
            <w:vAlign w:val="center"/>
          </w:tcPr>
          <w:p w14:paraId="1275C866"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1,11</w:t>
            </w:r>
          </w:p>
        </w:tc>
        <w:tc>
          <w:tcPr>
            <w:tcW w:w="338" w:type="pct"/>
            <w:vAlign w:val="center"/>
          </w:tcPr>
          <w:p w14:paraId="4B959A31"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1,09</w:t>
            </w:r>
          </w:p>
        </w:tc>
        <w:tc>
          <w:tcPr>
            <w:tcW w:w="539" w:type="pct"/>
            <w:vAlign w:val="center"/>
          </w:tcPr>
          <w:p w14:paraId="454918ED" w14:textId="77777777" w:rsidR="00DB474C" w:rsidRPr="00F22DF9" w:rsidRDefault="00DB474C" w:rsidP="00606730">
            <w:pPr>
              <w:jc w:val="center"/>
              <w:rPr>
                <w:rFonts w:ascii="Times New Roman" w:hAnsi="Times New Roman" w:cs="Times New Roman"/>
                <w:b/>
              </w:rPr>
            </w:pPr>
            <w:r w:rsidRPr="00F22DF9">
              <w:rPr>
                <w:rFonts w:ascii="Times New Roman" w:hAnsi="Times New Roman" w:cs="Times New Roman"/>
              </w:rPr>
              <w:t>1,03</w:t>
            </w:r>
          </w:p>
        </w:tc>
        <w:tc>
          <w:tcPr>
            <w:tcW w:w="923" w:type="pct"/>
            <w:vAlign w:val="center"/>
          </w:tcPr>
          <w:p w14:paraId="204E0EBF"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1,07</w:t>
            </w:r>
          </w:p>
        </w:tc>
      </w:tr>
      <w:tr w:rsidR="00DB474C" w:rsidRPr="006640DC" w14:paraId="69CB66AE" w14:textId="77777777" w:rsidTr="00606730">
        <w:trPr>
          <w:jc w:val="center"/>
        </w:trPr>
        <w:tc>
          <w:tcPr>
            <w:tcW w:w="614" w:type="pct"/>
            <w:vAlign w:val="bottom"/>
          </w:tcPr>
          <w:p w14:paraId="0CFE40D0"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01.01.2021 по 30.06.2021</w:t>
            </w:r>
          </w:p>
        </w:tc>
        <w:tc>
          <w:tcPr>
            <w:tcW w:w="539" w:type="pct"/>
            <w:vAlign w:val="center"/>
          </w:tcPr>
          <w:p w14:paraId="110915E6"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2499E416" w14:textId="77777777" w:rsidR="00DB474C" w:rsidRPr="005960AF" w:rsidRDefault="00DB474C" w:rsidP="00606730">
            <w:pPr>
              <w:jc w:val="center"/>
              <w:rPr>
                <w:rFonts w:ascii="Times New Roman" w:hAnsi="Times New Roman" w:cs="Times New Roman"/>
                <w:b/>
              </w:rPr>
            </w:pPr>
            <w:r w:rsidRPr="005960AF">
              <w:rPr>
                <w:rFonts w:ascii="Times New Roman" w:hAnsi="Times New Roman" w:cs="Times New Roman"/>
                <w:b/>
              </w:rPr>
              <w:t>0,98</w:t>
            </w:r>
          </w:p>
        </w:tc>
        <w:tc>
          <w:tcPr>
            <w:tcW w:w="846" w:type="pct"/>
            <w:vAlign w:val="center"/>
          </w:tcPr>
          <w:p w14:paraId="3ECFD711"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1,07</w:t>
            </w:r>
          </w:p>
        </w:tc>
        <w:tc>
          <w:tcPr>
            <w:tcW w:w="355" w:type="pct"/>
            <w:vAlign w:val="center"/>
          </w:tcPr>
          <w:p w14:paraId="467A6E0F"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1,06</w:t>
            </w:r>
          </w:p>
        </w:tc>
        <w:tc>
          <w:tcPr>
            <w:tcW w:w="338" w:type="pct"/>
            <w:vAlign w:val="center"/>
          </w:tcPr>
          <w:p w14:paraId="61DD08D8"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1,04</w:t>
            </w:r>
          </w:p>
        </w:tc>
        <w:tc>
          <w:tcPr>
            <w:tcW w:w="539" w:type="pct"/>
            <w:vAlign w:val="center"/>
          </w:tcPr>
          <w:p w14:paraId="77A926AC" w14:textId="77777777" w:rsidR="00DB474C" w:rsidRPr="00F22DF9" w:rsidRDefault="00DB474C" w:rsidP="00606730">
            <w:pPr>
              <w:jc w:val="center"/>
              <w:rPr>
                <w:rFonts w:ascii="Times New Roman" w:hAnsi="Times New Roman" w:cs="Times New Roman"/>
                <w:b/>
              </w:rPr>
            </w:pPr>
            <w:r w:rsidRPr="00F22DF9">
              <w:rPr>
                <w:rFonts w:ascii="Times New Roman" w:hAnsi="Times New Roman" w:cs="Times New Roman"/>
              </w:rPr>
              <w:t>1,01</w:t>
            </w:r>
          </w:p>
        </w:tc>
        <w:tc>
          <w:tcPr>
            <w:tcW w:w="923" w:type="pct"/>
            <w:vAlign w:val="center"/>
          </w:tcPr>
          <w:p w14:paraId="2F3D9D61"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1,02</w:t>
            </w:r>
          </w:p>
        </w:tc>
      </w:tr>
      <w:tr w:rsidR="00DB474C" w:rsidRPr="006640DC" w14:paraId="30A8784A" w14:textId="77777777" w:rsidTr="00606730">
        <w:trPr>
          <w:jc w:val="center"/>
        </w:trPr>
        <w:tc>
          <w:tcPr>
            <w:tcW w:w="614" w:type="pct"/>
            <w:vAlign w:val="bottom"/>
          </w:tcPr>
          <w:p w14:paraId="3B2F1640"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01.07.2021 по 31.12.2021</w:t>
            </w:r>
          </w:p>
        </w:tc>
        <w:tc>
          <w:tcPr>
            <w:tcW w:w="539" w:type="pct"/>
            <w:vAlign w:val="center"/>
          </w:tcPr>
          <w:p w14:paraId="18756474"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1,02</w:t>
            </w:r>
          </w:p>
        </w:tc>
        <w:tc>
          <w:tcPr>
            <w:tcW w:w="846" w:type="pct"/>
            <w:vAlign w:val="center"/>
          </w:tcPr>
          <w:p w14:paraId="6A9B6964" w14:textId="77777777" w:rsidR="00DB474C" w:rsidRPr="005960AF" w:rsidRDefault="00DB474C" w:rsidP="00606730">
            <w:pPr>
              <w:jc w:val="center"/>
              <w:rPr>
                <w:rFonts w:ascii="Times New Roman" w:hAnsi="Times New Roman" w:cs="Times New Roman"/>
                <w:b/>
              </w:rPr>
            </w:pPr>
            <w:r w:rsidRPr="005960AF">
              <w:rPr>
                <w:rFonts w:ascii="Times New Roman" w:hAnsi="Times New Roman" w:cs="Times New Roman"/>
                <w:b/>
              </w:rPr>
              <w:t>0,98</w:t>
            </w:r>
          </w:p>
        </w:tc>
        <w:tc>
          <w:tcPr>
            <w:tcW w:w="846" w:type="pct"/>
            <w:vAlign w:val="center"/>
          </w:tcPr>
          <w:p w14:paraId="67270475"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1,03</w:t>
            </w:r>
          </w:p>
        </w:tc>
        <w:tc>
          <w:tcPr>
            <w:tcW w:w="355" w:type="pct"/>
            <w:vAlign w:val="center"/>
          </w:tcPr>
          <w:p w14:paraId="5EE2E241"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1,04</w:t>
            </w:r>
          </w:p>
        </w:tc>
        <w:tc>
          <w:tcPr>
            <w:tcW w:w="338" w:type="pct"/>
            <w:vAlign w:val="center"/>
          </w:tcPr>
          <w:p w14:paraId="410ECB14"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1,01</w:t>
            </w:r>
          </w:p>
        </w:tc>
        <w:tc>
          <w:tcPr>
            <w:tcW w:w="539" w:type="pct"/>
            <w:vAlign w:val="center"/>
          </w:tcPr>
          <w:p w14:paraId="6F919495" w14:textId="77777777" w:rsidR="00DB474C" w:rsidRPr="00F22DF9" w:rsidRDefault="00DB474C" w:rsidP="00606730">
            <w:pPr>
              <w:jc w:val="center"/>
              <w:rPr>
                <w:rFonts w:ascii="Times New Roman" w:hAnsi="Times New Roman" w:cs="Times New Roman"/>
                <w:b/>
              </w:rPr>
            </w:pPr>
            <w:r w:rsidRPr="00F22DF9">
              <w:rPr>
                <w:rFonts w:ascii="Times New Roman" w:hAnsi="Times New Roman" w:cs="Times New Roman"/>
              </w:rPr>
              <w:t>1,01</w:t>
            </w:r>
          </w:p>
        </w:tc>
        <w:tc>
          <w:tcPr>
            <w:tcW w:w="923" w:type="pct"/>
            <w:vAlign w:val="center"/>
          </w:tcPr>
          <w:p w14:paraId="3EFDFB8F" w14:textId="77777777" w:rsidR="00DB474C" w:rsidRPr="00F22DF9" w:rsidRDefault="00DB474C" w:rsidP="00606730">
            <w:pPr>
              <w:jc w:val="center"/>
              <w:rPr>
                <w:rFonts w:ascii="Times New Roman" w:hAnsi="Times New Roman" w:cs="Times New Roman"/>
              </w:rPr>
            </w:pPr>
            <w:r w:rsidRPr="00F22DF9">
              <w:rPr>
                <w:rFonts w:ascii="Times New Roman" w:hAnsi="Times New Roman" w:cs="Times New Roman"/>
              </w:rPr>
              <w:t>1,01</w:t>
            </w:r>
          </w:p>
        </w:tc>
      </w:tr>
    </w:tbl>
    <w:p w14:paraId="4A1B7278"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право</w:t>
      </w:r>
    </w:p>
    <w:p w14:paraId="1A03394B" w14:textId="77777777" w:rsidR="00DB474C" w:rsidRDefault="00DB474C" w:rsidP="00DB474C">
      <w:pPr>
        <w:spacing w:after="0" w:line="300" w:lineRule="auto"/>
        <w:ind w:firstLine="567"/>
        <w:jc w:val="both"/>
        <w:rPr>
          <w:rFonts w:ascii="Times New Roman" w:hAnsi="Times New Roman" w:cs="Times New Roman"/>
          <w:sz w:val="26"/>
          <w:szCs w:val="26"/>
          <w:u w:val="single"/>
        </w:rPr>
      </w:pPr>
      <w:r>
        <w:rPr>
          <w:rFonts w:ascii="Times New Roman" w:hAnsi="Times New Roman" w:cs="Times New Roman"/>
          <w:sz w:val="26"/>
          <w:szCs w:val="26"/>
        </w:rPr>
        <w:t xml:space="preserve">В случае, если продается земельный участок, предоставленный в аренду, необходимо вносить корректировку на вид права. </w:t>
      </w:r>
      <w:r>
        <w:rPr>
          <w:rFonts w:ascii="Times New Roman" w:eastAsia="Calibri" w:hAnsi="Times New Roman" w:cs="Times New Roman"/>
          <w:sz w:val="26"/>
          <w:szCs w:val="26"/>
        </w:rPr>
        <w:t>Величина корректировки на право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90" w:history="1">
        <w:r w:rsidRPr="00A67AF4">
          <w:rPr>
            <w:rStyle w:val="ad"/>
            <w:rFonts w:ascii="Times New Roman" w:hAnsi="Times New Roman" w:cs="Times New Roman"/>
            <w:sz w:val="26"/>
            <w:szCs w:val="26"/>
          </w:rPr>
          <w:t>https://statrielt.ru/</w:t>
        </w:r>
      </w:hyperlink>
      <w:r w:rsidRPr="00A67AF4">
        <w:rPr>
          <w:rFonts w:ascii="Times New Roman" w:hAnsi="Times New Roman" w:cs="Times New Roman"/>
          <w:sz w:val="26"/>
          <w:szCs w:val="26"/>
        </w:rPr>
        <w:t>).</w:t>
      </w:r>
    </w:p>
    <w:p w14:paraId="08B9A19B" w14:textId="77777777" w:rsidR="00DB474C" w:rsidRDefault="00DB474C" w:rsidP="00DB474C">
      <w:pPr>
        <w:jc w:val="center"/>
      </w:pPr>
      <w:r w:rsidRPr="00A2009E">
        <w:rPr>
          <w:noProof/>
          <w:lang w:eastAsia="ru-RU"/>
        </w:rPr>
        <w:drawing>
          <wp:inline distT="0" distB="0" distL="0" distR="0" wp14:anchorId="34082D7A" wp14:editId="38C56D26">
            <wp:extent cx="5940425" cy="4081780"/>
            <wp:effectExtent l="0" t="0" r="3175"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4081780"/>
                    </a:xfrm>
                    <a:prstGeom prst="rect">
                      <a:avLst/>
                    </a:prstGeom>
                  </pic:spPr>
                </pic:pic>
              </a:graphicData>
            </a:graphic>
          </wp:inline>
        </w:drawing>
      </w:r>
    </w:p>
    <w:p w14:paraId="547962FE" w14:textId="48194D71" w:rsidR="00DB474C" w:rsidRPr="00A67AF4" w:rsidRDefault="00DB474C" w:rsidP="00DB474C">
      <w:pPr>
        <w:spacing w:after="0" w:line="30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Рис.3.1.3.6.3- Корректировка на право аренды земельного участка по отношению к собственному земельному </w:t>
      </w:r>
      <w:r w:rsidRPr="00A67AF4">
        <w:rPr>
          <w:rFonts w:ascii="Times New Roman" w:eastAsia="Calibri" w:hAnsi="Times New Roman" w:cs="Times New Roman"/>
          <w:sz w:val="26"/>
          <w:szCs w:val="26"/>
        </w:rPr>
        <w:t>участку на 01.01.2022 года по данным некоммерческой организации «Ассоциация развития рынка недвижимости «СтатРиелт»</w:t>
      </w:r>
      <w:r w:rsidR="00E564BF">
        <w:rPr>
          <w:rStyle w:val="af2"/>
          <w:rFonts w:ascii="Times New Roman" w:eastAsia="Calibri" w:hAnsi="Times New Roman" w:cs="Times New Roman"/>
          <w:sz w:val="26"/>
          <w:szCs w:val="26"/>
        </w:rPr>
        <w:footnoteReference w:id="89"/>
      </w:r>
    </w:p>
    <w:p w14:paraId="10CB5231" w14:textId="77777777" w:rsidR="008B670B" w:rsidRDefault="008B670B" w:rsidP="00DB474C">
      <w:pPr>
        <w:spacing w:after="0" w:line="300" w:lineRule="auto"/>
        <w:ind w:firstLine="708"/>
        <w:jc w:val="both"/>
        <w:rPr>
          <w:rFonts w:ascii="Times New Roman" w:eastAsia="Calibri" w:hAnsi="Times New Roman" w:cs="Times New Roman"/>
          <w:sz w:val="26"/>
          <w:szCs w:val="26"/>
        </w:rPr>
      </w:pPr>
    </w:p>
    <w:p w14:paraId="4FD78024" w14:textId="579F2E98" w:rsidR="00DB474C" w:rsidRDefault="00DB474C" w:rsidP="00DB474C">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Так как данные коэффициенты выражают отношения удельных цен предложений земельных участков, находящихся на праве аренды, к удельным ценам предложений земельных участков, находящихся на праве собственности, применяются обратные корректировки, т.е.  при расчете удельного показателя рыночной стоимости необходимо делить на корректировку на право.</w:t>
      </w:r>
    </w:p>
    <w:p w14:paraId="195BC510" w14:textId="77777777" w:rsidR="00DB474C" w:rsidRPr="00227435" w:rsidRDefault="00DB474C" w:rsidP="00DB474C">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Согласно данным «СтатРиелт», размер корректировки на право аренды земельного участка, предоставленного сроком на 49 лет, по отношению к собственному земельному участку, для земельных участков производственного и складского назначения лежит в доверительном интервале от 0,75 до 0,94 и в среднем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85</w:t>
      </w:r>
      <w:r>
        <w:rPr>
          <w:rFonts w:ascii="Times New Roman" w:eastAsia="Calibri" w:hAnsi="Times New Roman" w:cs="Times New Roman"/>
          <w:sz w:val="26"/>
          <w:szCs w:val="26"/>
        </w:rPr>
        <w:t xml:space="preserve"> (данные на 01.01.2022 года). Для целей оценки принято среднее значение диапазона. </w:t>
      </w:r>
    </w:p>
    <w:p w14:paraId="70A3C470"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Доля ЗУ</w:t>
      </w:r>
    </w:p>
    <w:p w14:paraId="55B3DD6B" w14:textId="77777777" w:rsidR="00DB474C" w:rsidRDefault="00DB474C" w:rsidP="00DB474C">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Если в качестве объекта-аналога принято предложение (сделка) по продаже застроенного земельного участка, необходимо определить долю стоимости земельного участка в стоимости единого объекта недвижимости. В таком случае доля стоимости земельного участка для 6 сегмента принята на основании приложения №7 к Указаниям, где для объектов производственного назначения рекомендовано 5-15% (принимаем корректировку </w:t>
      </w:r>
      <w:r w:rsidRPr="00227435">
        <w:rPr>
          <w:rFonts w:ascii="Times New Roman" w:eastAsia="Calibri" w:hAnsi="Times New Roman" w:cs="Times New Roman"/>
          <w:b/>
          <w:sz w:val="26"/>
          <w:szCs w:val="26"/>
        </w:rPr>
        <w:t>0,</w:t>
      </w:r>
      <w:r>
        <w:rPr>
          <w:rFonts w:ascii="Times New Roman" w:eastAsia="Calibri" w:hAnsi="Times New Roman" w:cs="Times New Roman"/>
          <w:b/>
          <w:sz w:val="26"/>
          <w:szCs w:val="26"/>
        </w:rPr>
        <w:t>15</w:t>
      </w:r>
      <w:r>
        <w:rPr>
          <w:rFonts w:ascii="Times New Roman" w:eastAsia="Calibri" w:hAnsi="Times New Roman" w:cs="Times New Roman"/>
          <w:sz w:val="26"/>
          <w:szCs w:val="26"/>
        </w:rPr>
        <w:t>).</w:t>
      </w:r>
    </w:p>
    <w:p w14:paraId="2BA4DECF" w14:textId="77777777" w:rsidR="007D3DC7" w:rsidRDefault="007D3DC7" w:rsidP="007D3DC7">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 xml:space="preserve">Корректировка на </w:t>
      </w:r>
      <w:r w:rsidRPr="00616BF7">
        <w:rPr>
          <w:rFonts w:ascii="Times New Roman" w:hAnsi="Times New Roman" w:cs="Times New Roman"/>
          <w:i/>
          <w:sz w:val="26"/>
          <w:szCs w:val="26"/>
        </w:rPr>
        <w:t>разрешенное использование</w:t>
      </w:r>
    </w:p>
    <w:p w14:paraId="0BFA2AC6" w14:textId="49BEB965" w:rsidR="007D3DC7" w:rsidRPr="00B15A1F" w:rsidRDefault="007D3DC7" w:rsidP="007D3DC7">
      <w:pPr>
        <w:spacing w:after="0" w:line="276" w:lineRule="auto"/>
        <w:ind w:firstLine="709"/>
        <w:jc w:val="both"/>
        <w:rPr>
          <w:rStyle w:val="60"/>
          <w:rFonts w:eastAsiaTheme="minorHAnsi"/>
        </w:rPr>
      </w:pPr>
      <w:r>
        <w:rPr>
          <w:rFonts w:ascii="Times New Roman" w:hAnsi="Times New Roman" w:cs="Times New Roman"/>
          <w:sz w:val="26"/>
          <w:szCs w:val="26"/>
        </w:rPr>
        <w:t xml:space="preserve">В связи с отсутствием по городу Воронежу и Воронежской области достаточного для построения моделей количества объектов аналогов по 6 сегменту </w:t>
      </w:r>
      <w:r w:rsidR="008037FA">
        <w:rPr>
          <w:rFonts w:ascii="Times New Roman" w:hAnsi="Times New Roman" w:cs="Times New Roman"/>
          <w:sz w:val="26"/>
          <w:szCs w:val="26"/>
        </w:rPr>
        <w:t>«</w:t>
      </w:r>
      <w:r w:rsidR="008037FA">
        <w:rPr>
          <w:rFonts w:ascii="Times New Roman" w:hAnsi="Times New Roman" w:cs="Times New Roman"/>
          <w:color w:val="000000"/>
          <w:sz w:val="26"/>
          <w:szCs w:val="26"/>
        </w:rPr>
        <w:t>Производственная деятельность</w:t>
      </w:r>
      <w:r w:rsidR="008037FA">
        <w:rPr>
          <w:rFonts w:ascii="Times New Roman" w:hAnsi="Times New Roman" w:cs="Times New Roman"/>
          <w:sz w:val="26"/>
          <w:szCs w:val="26"/>
        </w:rPr>
        <w:t>»</w:t>
      </w:r>
      <w:r>
        <w:rPr>
          <w:rFonts w:ascii="Times New Roman" w:hAnsi="Times New Roman" w:cs="Times New Roman"/>
          <w:sz w:val="26"/>
          <w:szCs w:val="26"/>
        </w:rPr>
        <w:t xml:space="preserve">, были взяты объекты аналоги </w:t>
      </w:r>
      <w:r w:rsidRPr="002F06CB">
        <w:rPr>
          <w:rFonts w:ascii="Times New Roman" w:hAnsi="Times New Roman" w:cs="Times New Roman"/>
          <w:sz w:val="26"/>
          <w:szCs w:val="26"/>
        </w:rPr>
        <w:t xml:space="preserve">из наиболее распространенного сегмента рынка – 13 «Садоводство и </w:t>
      </w:r>
      <w:r w:rsidRPr="002F06CB">
        <w:rPr>
          <w:rFonts w:ascii="Times New Roman" w:hAnsi="Times New Roman"/>
          <w:bCs/>
          <w:sz w:val="26"/>
          <w:szCs w:val="26"/>
        </w:rPr>
        <w:t>огородничество, малоэтажная жилая застройка».</w:t>
      </w:r>
    </w:p>
    <w:p w14:paraId="19543A9F" w14:textId="589CEDE5" w:rsidR="007D3DC7" w:rsidRPr="00616BF7" w:rsidRDefault="007D3DC7" w:rsidP="007D3DC7">
      <w:pPr>
        <w:spacing w:after="0" w:line="276" w:lineRule="auto"/>
        <w:ind w:firstLine="709"/>
        <w:jc w:val="both"/>
        <w:rPr>
          <w:rFonts w:ascii="Times New Roman" w:eastAsia="Calibri" w:hAnsi="Times New Roman" w:cs="Times New Roman"/>
          <w:sz w:val="26"/>
          <w:szCs w:val="26"/>
        </w:rPr>
      </w:pPr>
      <w:r>
        <w:rPr>
          <w:rFonts w:ascii="Times New Roman" w:hAnsi="Times New Roman" w:cs="Times New Roman"/>
          <w:sz w:val="26"/>
          <w:szCs w:val="26"/>
        </w:rPr>
        <w:t xml:space="preserve">Коэффициент </w:t>
      </w:r>
      <w:r w:rsidRPr="004A0C0A">
        <w:rPr>
          <w:rFonts w:ascii="Times New Roman" w:hAnsi="Times New Roman" w:cs="Times New Roman"/>
          <w:sz w:val="26"/>
          <w:szCs w:val="26"/>
        </w:rPr>
        <w:t xml:space="preserve">перехода от </w:t>
      </w:r>
      <w:r>
        <w:rPr>
          <w:rFonts w:ascii="Times New Roman" w:hAnsi="Times New Roman" w:cs="Times New Roman"/>
          <w:sz w:val="26"/>
          <w:szCs w:val="26"/>
        </w:rPr>
        <w:t>13</w:t>
      </w:r>
      <w:r w:rsidRPr="004A0C0A">
        <w:rPr>
          <w:rFonts w:ascii="Times New Roman" w:hAnsi="Times New Roman" w:cs="Times New Roman"/>
          <w:sz w:val="26"/>
          <w:szCs w:val="26"/>
        </w:rPr>
        <w:t xml:space="preserve"> сегмента к </w:t>
      </w:r>
      <w:r>
        <w:rPr>
          <w:rFonts w:ascii="Times New Roman" w:hAnsi="Times New Roman" w:cs="Times New Roman"/>
          <w:sz w:val="26"/>
          <w:szCs w:val="26"/>
        </w:rPr>
        <w:t>6</w:t>
      </w:r>
      <w:r w:rsidRPr="004A0C0A">
        <w:rPr>
          <w:rFonts w:ascii="Times New Roman" w:hAnsi="Times New Roman" w:cs="Times New Roman"/>
          <w:sz w:val="26"/>
          <w:szCs w:val="26"/>
        </w:rPr>
        <w:t xml:space="preserve"> сегменту был расчитан на основании данных </w:t>
      </w:r>
      <w:r w:rsidRPr="004A0C0A">
        <w:rPr>
          <w:rFonts w:ascii="Times New Roman" w:eastAsia="Calibri" w:hAnsi="Times New Roman" w:cs="Times New Roman"/>
          <w:sz w:val="26"/>
          <w:szCs w:val="26"/>
        </w:rPr>
        <w:t xml:space="preserve">о ценах предложений на рынке продаж взятых с сайтов бесплатных объявлений: </w:t>
      </w:r>
      <w:hyperlink r:id="rId91" w:history="1">
        <w:r w:rsidRPr="004A0C0A">
          <w:rPr>
            <w:rStyle w:val="ad"/>
            <w:rFonts w:ascii="Times New Roman" w:eastAsia="Calibri" w:hAnsi="Times New Roman" w:cs="Times New Roman"/>
            <w:color w:val="auto"/>
            <w:sz w:val="26"/>
            <w:szCs w:val="26"/>
            <w:u w:val="none"/>
          </w:rPr>
          <w:t>www.vrx.ru</w:t>
        </w:r>
      </w:hyperlink>
      <w:r w:rsidRPr="004A0C0A">
        <w:rPr>
          <w:rStyle w:val="ad"/>
          <w:rFonts w:eastAsia="Calibri"/>
          <w:color w:val="auto"/>
          <w:sz w:val="26"/>
          <w:szCs w:val="26"/>
          <w:u w:val="none"/>
        </w:rPr>
        <w:t xml:space="preserve">, </w:t>
      </w:r>
      <w:r w:rsidRPr="004A0C0A">
        <w:rPr>
          <w:rStyle w:val="ad"/>
          <w:rFonts w:ascii="Times New Roman" w:eastAsia="Calibri" w:hAnsi="Times New Roman" w:cs="Times New Roman"/>
          <w:color w:val="auto"/>
          <w:sz w:val="26"/>
          <w:szCs w:val="26"/>
          <w:u w:val="none"/>
        </w:rPr>
        <w:t>и сделок</w:t>
      </w:r>
      <w:r w:rsidRPr="004A0C0A">
        <w:rPr>
          <w:rStyle w:val="ad"/>
          <w:rFonts w:ascii="Times New Roman" w:hAnsi="Times New Roman" w:cs="Times New Roman"/>
          <w:color w:val="auto"/>
          <w:u w:val="none"/>
        </w:rPr>
        <w:t xml:space="preserve"> </w:t>
      </w:r>
      <w:r w:rsidRPr="00616BF7">
        <w:rPr>
          <w:rStyle w:val="ad"/>
          <w:rFonts w:ascii="Times New Roman" w:hAnsi="Times New Roman" w:cs="Times New Roman"/>
          <w:color w:val="auto"/>
          <w:sz w:val="26"/>
          <w:szCs w:val="26"/>
          <w:u w:val="none"/>
        </w:rPr>
        <w:t>Росреестра</w:t>
      </w:r>
      <w:r w:rsidRPr="00616BF7">
        <w:rPr>
          <w:rFonts w:ascii="Times New Roman" w:eastAsia="Calibri" w:hAnsi="Times New Roman" w:cs="Times New Roman"/>
          <w:sz w:val="26"/>
          <w:szCs w:val="26"/>
        </w:rPr>
        <w:t>.</w:t>
      </w:r>
    </w:p>
    <w:p w14:paraId="4F59A06E" w14:textId="27A6BCA5" w:rsidR="007D3DC7" w:rsidRDefault="007D3DC7" w:rsidP="007D3DC7">
      <w:pPr>
        <w:spacing w:after="0" w:line="276" w:lineRule="auto"/>
        <w:ind w:firstLine="709"/>
        <w:jc w:val="both"/>
        <w:rPr>
          <w:rFonts w:ascii="Times New Roman" w:hAnsi="Times New Roman" w:cs="Times New Roman"/>
          <w:sz w:val="26"/>
          <w:szCs w:val="26"/>
        </w:rPr>
      </w:pPr>
      <w:r w:rsidRPr="004A0C0A">
        <w:rPr>
          <w:rFonts w:ascii="Times New Roman" w:hAnsi="Times New Roman" w:cs="Times New Roman"/>
          <w:i/>
          <w:sz w:val="26"/>
          <w:szCs w:val="26"/>
        </w:rPr>
        <w:t xml:space="preserve">Среднее значение коэффициента перехода от </w:t>
      </w:r>
      <w:r>
        <w:rPr>
          <w:rFonts w:ascii="Times New Roman" w:hAnsi="Times New Roman" w:cs="Times New Roman"/>
          <w:i/>
          <w:sz w:val="26"/>
          <w:szCs w:val="26"/>
        </w:rPr>
        <w:t>13</w:t>
      </w:r>
      <w:r w:rsidRPr="004A0C0A">
        <w:rPr>
          <w:rFonts w:ascii="Times New Roman" w:hAnsi="Times New Roman" w:cs="Times New Roman"/>
          <w:i/>
          <w:sz w:val="26"/>
          <w:szCs w:val="26"/>
        </w:rPr>
        <w:t xml:space="preserve"> сегмента к </w:t>
      </w:r>
      <w:r>
        <w:rPr>
          <w:rFonts w:ascii="Times New Roman" w:hAnsi="Times New Roman" w:cs="Times New Roman"/>
          <w:i/>
          <w:sz w:val="26"/>
          <w:szCs w:val="26"/>
        </w:rPr>
        <w:t>6</w:t>
      </w:r>
      <w:r w:rsidRPr="004A0C0A">
        <w:rPr>
          <w:rFonts w:ascii="Times New Roman" w:hAnsi="Times New Roman" w:cs="Times New Roman"/>
          <w:i/>
          <w:sz w:val="26"/>
          <w:szCs w:val="26"/>
        </w:rPr>
        <w:t xml:space="preserve"> сегменту равн</w:t>
      </w:r>
      <w:r>
        <w:rPr>
          <w:rFonts w:ascii="Times New Roman" w:hAnsi="Times New Roman" w:cs="Times New Roman"/>
          <w:i/>
          <w:sz w:val="26"/>
          <w:szCs w:val="26"/>
        </w:rPr>
        <w:t>о</w:t>
      </w:r>
      <w:r>
        <w:rPr>
          <w:rFonts w:ascii="Times New Roman" w:hAnsi="Times New Roman" w:cs="Times New Roman"/>
          <w:sz w:val="26"/>
          <w:szCs w:val="26"/>
        </w:rPr>
        <w:t xml:space="preserve"> </w:t>
      </w:r>
      <w:r>
        <w:rPr>
          <w:rFonts w:ascii="Times New Roman" w:hAnsi="Times New Roman" w:cs="Times New Roman"/>
          <w:b/>
          <w:sz w:val="26"/>
          <w:szCs w:val="26"/>
        </w:rPr>
        <w:t>1,60</w:t>
      </w:r>
      <w:r>
        <w:rPr>
          <w:rFonts w:ascii="Times New Roman" w:hAnsi="Times New Roman" w:cs="Times New Roman"/>
          <w:sz w:val="26"/>
          <w:szCs w:val="26"/>
        </w:rPr>
        <w:t>.</w:t>
      </w:r>
    </w:p>
    <w:p w14:paraId="5F4D8DF3" w14:textId="3172D67F" w:rsidR="001E594A" w:rsidRPr="00B15A1F" w:rsidRDefault="001E594A" w:rsidP="001E594A">
      <w:pPr>
        <w:spacing w:after="0" w:line="276" w:lineRule="auto"/>
        <w:ind w:firstLine="709"/>
        <w:jc w:val="both"/>
        <w:rPr>
          <w:rStyle w:val="60"/>
          <w:rFonts w:eastAsiaTheme="minorHAnsi"/>
        </w:rPr>
      </w:pPr>
      <w:r w:rsidRPr="00D7794F">
        <w:rPr>
          <w:rFonts w:ascii="Times New Roman" w:hAnsi="Times New Roman" w:cs="Times New Roman"/>
          <w:b/>
          <w:i/>
          <w:sz w:val="26"/>
          <w:szCs w:val="26"/>
        </w:rPr>
        <w:t>Для расчетных групп 6 Производство: АЗС-ПС/Воронеж, АЗС-ПС/ГНП, АЗС-ПС/СНП МС (коды вида расчета 04:095, 04:098, 04:099)</w:t>
      </w:r>
      <w:r w:rsidRPr="00D7794F">
        <w:rPr>
          <w:rFonts w:ascii="Times New Roman" w:hAnsi="Times New Roman" w:cs="Times New Roman"/>
          <w:b/>
          <w:sz w:val="26"/>
          <w:szCs w:val="26"/>
        </w:rPr>
        <w:t xml:space="preserve"> </w:t>
      </w:r>
      <w:r>
        <w:rPr>
          <w:rFonts w:ascii="Times New Roman" w:hAnsi="Times New Roman" w:cs="Times New Roman"/>
          <w:sz w:val="26"/>
          <w:szCs w:val="26"/>
        </w:rPr>
        <w:t>были взяты объекты аналоги из наиболее близкого по ценообразованию 4 сегмента «Предпринимательство»</w:t>
      </w:r>
      <w:r w:rsidRPr="002F06CB">
        <w:rPr>
          <w:rFonts w:ascii="Times New Roman" w:hAnsi="Times New Roman"/>
          <w:bCs/>
          <w:sz w:val="26"/>
          <w:szCs w:val="26"/>
        </w:rPr>
        <w:t>.</w:t>
      </w:r>
    </w:p>
    <w:p w14:paraId="3D4B8416" w14:textId="1589C063" w:rsidR="001E594A" w:rsidRPr="00616BF7" w:rsidRDefault="001E594A" w:rsidP="001E594A">
      <w:pPr>
        <w:spacing w:after="0" w:line="276" w:lineRule="auto"/>
        <w:ind w:firstLine="709"/>
        <w:jc w:val="both"/>
        <w:rPr>
          <w:rFonts w:ascii="Times New Roman" w:eastAsia="Calibri" w:hAnsi="Times New Roman" w:cs="Times New Roman"/>
          <w:sz w:val="26"/>
          <w:szCs w:val="26"/>
        </w:rPr>
      </w:pPr>
      <w:r>
        <w:rPr>
          <w:rFonts w:ascii="Times New Roman" w:hAnsi="Times New Roman" w:cs="Times New Roman"/>
          <w:sz w:val="26"/>
          <w:szCs w:val="26"/>
        </w:rPr>
        <w:t xml:space="preserve">Коэффициент </w:t>
      </w:r>
      <w:r w:rsidRPr="004A0C0A">
        <w:rPr>
          <w:rFonts w:ascii="Times New Roman" w:hAnsi="Times New Roman" w:cs="Times New Roman"/>
          <w:sz w:val="26"/>
          <w:szCs w:val="26"/>
        </w:rPr>
        <w:t xml:space="preserve">перехода от </w:t>
      </w:r>
      <w:r>
        <w:rPr>
          <w:rFonts w:ascii="Times New Roman" w:hAnsi="Times New Roman" w:cs="Times New Roman"/>
          <w:sz w:val="26"/>
          <w:szCs w:val="26"/>
        </w:rPr>
        <w:t>4</w:t>
      </w:r>
      <w:r w:rsidRPr="004A0C0A">
        <w:rPr>
          <w:rFonts w:ascii="Times New Roman" w:hAnsi="Times New Roman" w:cs="Times New Roman"/>
          <w:sz w:val="26"/>
          <w:szCs w:val="26"/>
        </w:rPr>
        <w:t xml:space="preserve"> сегмента к </w:t>
      </w:r>
      <w:r>
        <w:rPr>
          <w:rFonts w:ascii="Times New Roman" w:hAnsi="Times New Roman" w:cs="Times New Roman"/>
          <w:sz w:val="26"/>
          <w:szCs w:val="26"/>
        </w:rPr>
        <w:t>6</w:t>
      </w:r>
      <w:r w:rsidRPr="004A0C0A">
        <w:rPr>
          <w:rFonts w:ascii="Times New Roman" w:hAnsi="Times New Roman" w:cs="Times New Roman"/>
          <w:sz w:val="26"/>
          <w:szCs w:val="26"/>
        </w:rPr>
        <w:t xml:space="preserve"> сегменту</w:t>
      </w:r>
      <w:r>
        <w:rPr>
          <w:rFonts w:ascii="Times New Roman" w:hAnsi="Times New Roman" w:cs="Times New Roman"/>
          <w:sz w:val="26"/>
          <w:szCs w:val="26"/>
        </w:rPr>
        <w:t xml:space="preserve"> с кодами вида расчета 04:095, 04:098, 04:099,</w:t>
      </w:r>
      <w:r w:rsidRPr="004A0C0A">
        <w:rPr>
          <w:rFonts w:ascii="Times New Roman" w:hAnsi="Times New Roman" w:cs="Times New Roman"/>
          <w:sz w:val="26"/>
          <w:szCs w:val="26"/>
        </w:rPr>
        <w:t xml:space="preserve"> был расчитан на основании данных </w:t>
      </w:r>
      <w:r w:rsidRPr="004A0C0A">
        <w:rPr>
          <w:rFonts w:ascii="Times New Roman" w:eastAsia="Calibri" w:hAnsi="Times New Roman" w:cs="Times New Roman"/>
          <w:sz w:val="26"/>
          <w:szCs w:val="26"/>
        </w:rPr>
        <w:t>о ценах предложений на рынке продаж взятых с сайтов бесплатных объявлений:</w:t>
      </w:r>
      <w:r w:rsidRPr="00616BF7">
        <w:rPr>
          <w:rFonts w:ascii="Times New Roman" w:eastAsia="Calibri" w:hAnsi="Times New Roman" w:cs="Times New Roman"/>
          <w:sz w:val="26"/>
          <w:szCs w:val="26"/>
        </w:rPr>
        <w:t xml:space="preserve"> </w:t>
      </w:r>
      <w:hyperlink r:id="rId92" w:history="1">
        <w:r w:rsidRPr="00616BF7">
          <w:rPr>
            <w:rStyle w:val="ad"/>
            <w:rFonts w:ascii="Times New Roman" w:eastAsia="Calibri" w:hAnsi="Times New Roman" w:cs="Times New Roman"/>
            <w:color w:val="auto"/>
            <w:sz w:val="26"/>
            <w:szCs w:val="26"/>
            <w:u w:val="none"/>
          </w:rPr>
          <w:t>www.avito.ru</w:t>
        </w:r>
      </w:hyperlink>
      <w:r w:rsidRPr="00616BF7">
        <w:rPr>
          <w:rFonts w:ascii="Times New Roman" w:eastAsia="Calibri" w:hAnsi="Times New Roman" w:cs="Times New Roman"/>
          <w:sz w:val="26"/>
          <w:szCs w:val="26"/>
        </w:rPr>
        <w:t xml:space="preserve">, </w:t>
      </w:r>
      <w:hyperlink r:id="rId93" w:history="1">
        <w:r w:rsidRPr="00616BF7">
          <w:rPr>
            <w:rStyle w:val="ad"/>
            <w:rFonts w:ascii="Times New Roman" w:eastAsia="Calibri" w:hAnsi="Times New Roman" w:cs="Times New Roman"/>
            <w:color w:val="auto"/>
            <w:sz w:val="26"/>
            <w:szCs w:val="26"/>
            <w:u w:val="none"/>
          </w:rPr>
          <w:t>www.vrx.ru</w:t>
        </w:r>
      </w:hyperlink>
      <w:r>
        <w:rPr>
          <w:rStyle w:val="ad"/>
          <w:rFonts w:eastAsia="Calibri"/>
          <w:color w:val="auto"/>
          <w:sz w:val="26"/>
          <w:szCs w:val="26"/>
          <w:u w:val="none"/>
        </w:rPr>
        <w:t xml:space="preserve">, </w:t>
      </w:r>
      <w:r w:rsidRPr="00616BF7">
        <w:rPr>
          <w:rStyle w:val="ad"/>
          <w:rFonts w:ascii="Times New Roman" w:eastAsia="Calibri" w:hAnsi="Times New Roman" w:cs="Times New Roman"/>
          <w:color w:val="auto"/>
          <w:sz w:val="26"/>
          <w:szCs w:val="26"/>
          <w:u w:val="none"/>
        </w:rPr>
        <w:t>и сделок</w:t>
      </w:r>
      <w:r w:rsidRPr="00616BF7">
        <w:rPr>
          <w:rStyle w:val="ad"/>
          <w:rFonts w:ascii="Times New Roman" w:hAnsi="Times New Roman" w:cs="Times New Roman"/>
          <w:color w:val="auto"/>
          <w:u w:val="none"/>
        </w:rPr>
        <w:t xml:space="preserve"> </w:t>
      </w:r>
      <w:r w:rsidRPr="00616BF7">
        <w:rPr>
          <w:rStyle w:val="ad"/>
          <w:rFonts w:ascii="Times New Roman" w:hAnsi="Times New Roman" w:cs="Times New Roman"/>
          <w:color w:val="auto"/>
          <w:sz w:val="26"/>
          <w:szCs w:val="26"/>
          <w:u w:val="none"/>
        </w:rPr>
        <w:t>Росреестра</w:t>
      </w:r>
      <w:r w:rsidRPr="00616BF7">
        <w:rPr>
          <w:rFonts w:ascii="Times New Roman" w:eastAsia="Calibri" w:hAnsi="Times New Roman" w:cs="Times New Roman"/>
          <w:sz w:val="26"/>
          <w:szCs w:val="26"/>
        </w:rPr>
        <w:t>.</w:t>
      </w:r>
    </w:p>
    <w:p w14:paraId="15170D8C" w14:textId="6A009CDB" w:rsidR="001E594A" w:rsidRDefault="001E594A" w:rsidP="001E594A">
      <w:pPr>
        <w:spacing w:after="0" w:line="276" w:lineRule="auto"/>
        <w:ind w:firstLine="709"/>
        <w:jc w:val="both"/>
        <w:rPr>
          <w:rFonts w:ascii="Times New Roman" w:hAnsi="Times New Roman" w:cs="Times New Roman"/>
          <w:sz w:val="26"/>
          <w:szCs w:val="26"/>
        </w:rPr>
      </w:pPr>
      <w:r w:rsidRPr="004A0C0A">
        <w:rPr>
          <w:rFonts w:ascii="Times New Roman" w:hAnsi="Times New Roman" w:cs="Times New Roman"/>
          <w:i/>
          <w:sz w:val="26"/>
          <w:szCs w:val="26"/>
        </w:rPr>
        <w:t xml:space="preserve">Среднее значение коэффициента перехода от </w:t>
      </w:r>
      <w:r>
        <w:rPr>
          <w:rFonts w:ascii="Times New Roman" w:hAnsi="Times New Roman" w:cs="Times New Roman"/>
          <w:i/>
          <w:sz w:val="26"/>
          <w:szCs w:val="26"/>
        </w:rPr>
        <w:t>4</w:t>
      </w:r>
      <w:r w:rsidRPr="004A0C0A">
        <w:rPr>
          <w:rFonts w:ascii="Times New Roman" w:hAnsi="Times New Roman" w:cs="Times New Roman"/>
          <w:i/>
          <w:sz w:val="26"/>
          <w:szCs w:val="26"/>
        </w:rPr>
        <w:t xml:space="preserve"> сегмента к </w:t>
      </w:r>
      <w:r>
        <w:rPr>
          <w:rFonts w:ascii="Times New Roman" w:hAnsi="Times New Roman" w:cs="Times New Roman"/>
          <w:i/>
          <w:sz w:val="26"/>
          <w:szCs w:val="26"/>
        </w:rPr>
        <w:t>6</w:t>
      </w:r>
      <w:r w:rsidRPr="004A0C0A">
        <w:rPr>
          <w:rFonts w:ascii="Times New Roman" w:hAnsi="Times New Roman" w:cs="Times New Roman"/>
          <w:i/>
          <w:sz w:val="26"/>
          <w:szCs w:val="26"/>
        </w:rPr>
        <w:t xml:space="preserve"> сегменту</w:t>
      </w:r>
      <w:r w:rsidRPr="001E594A">
        <w:rPr>
          <w:rFonts w:ascii="Times New Roman" w:hAnsi="Times New Roman" w:cs="Times New Roman"/>
          <w:sz w:val="26"/>
          <w:szCs w:val="26"/>
        </w:rPr>
        <w:t xml:space="preserve"> </w:t>
      </w:r>
      <w:r>
        <w:rPr>
          <w:rFonts w:ascii="Times New Roman" w:hAnsi="Times New Roman" w:cs="Times New Roman"/>
          <w:sz w:val="26"/>
          <w:szCs w:val="26"/>
        </w:rPr>
        <w:t xml:space="preserve">группы </w:t>
      </w:r>
      <w:r w:rsidRPr="00D94396">
        <w:rPr>
          <w:rFonts w:ascii="Times New Roman" w:hAnsi="Times New Roman" w:cs="Times New Roman"/>
          <w:b/>
          <w:i/>
          <w:sz w:val="26"/>
          <w:szCs w:val="26"/>
        </w:rPr>
        <w:t>Производство: АЗС-ПС/Воронеж, АЗС-ПС/ГНП, АЗС-ПС/СНП МС</w:t>
      </w:r>
      <w:r w:rsidRPr="004A0C0A">
        <w:rPr>
          <w:rFonts w:ascii="Times New Roman" w:hAnsi="Times New Roman" w:cs="Times New Roman"/>
          <w:i/>
          <w:sz w:val="26"/>
          <w:szCs w:val="26"/>
        </w:rPr>
        <w:t xml:space="preserve"> равн</w:t>
      </w:r>
      <w:r w:rsidR="00D7794F">
        <w:rPr>
          <w:rFonts w:ascii="Times New Roman" w:hAnsi="Times New Roman" w:cs="Times New Roman"/>
          <w:i/>
          <w:sz w:val="26"/>
          <w:szCs w:val="26"/>
        </w:rPr>
        <w:t>о</w:t>
      </w:r>
      <w:r>
        <w:rPr>
          <w:rFonts w:ascii="Times New Roman" w:hAnsi="Times New Roman" w:cs="Times New Roman"/>
          <w:sz w:val="26"/>
          <w:szCs w:val="26"/>
        </w:rPr>
        <w:t xml:space="preserve"> </w:t>
      </w:r>
      <w:r>
        <w:rPr>
          <w:rFonts w:ascii="Times New Roman" w:hAnsi="Times New Roman" w:cs="Times New Roman"/>
          <w:b/>
          <w:sz w:val="26"/>
          <w:szCs w:val="26"/>
        </w:rPr>
        <w:t>0,86</w:t>
      </w:r>
      <w:r>
        <w:rPr>
          <w:rFonts w:ascii="Times New Roman" w:hAnsi="Times New Roman" w:cs="Times New Roman"/>
          <w:sz w:val="26"/>
          <w:szCs w:val="26"/>
        </w:rPr>
        <w:t>.</w:t>
      </w:r>
    </w:p>
    <w:p w14:paraId="11F6512A" w14:textId="47E6EDF0" w:rsidR="008037FA" w:rsidRPr="00B15A1F" w:rsidRDefault="007E5309" w:rsidP="008037FA">
      <w:pPr>
        <w:spacing w:after="0" w:line="276" w:lineRule="auto"/>
        <w:ind w:firstLine="709"/>
        <w:jc w:val="both"/>
        <w:rPr>
          <w:rStyle w:val="60"/>
          <w:rFonts w:eastAsiaTheme="minorHAnsi"/>
        </w:rPr>
      </w:pPr>
      <w:r>
        <w:rPr>
          <w:rFonts w:ascii="Times New Roman" w:hAnsi="Times New Roman" w:cs="Times New Roman"/>
          <w:sz w:val="26"/>
          <w:szCs w:val="26"/>
        </w:rPr>
        <w:t xml:space="preserve">Так как рынок 4 сегмента, так же, как и рынок </w:t>
      </w:r>
      <w:r w:rsidR="00D7794F">
        <w:rPr>
          <w:rFonts w:ascii="Times New Roman" w:hAnsi="Times New Roman" w:cs="Times New Roman"/>
          <w:sz w:val="26"/>
          <w:szCs w:val="26"/>
        </w:rPr>
        <w:t>6 сегмента</w:t>
      </w:r>
      <w:r>
        <w:rPr>
          <w:rFonts w:ascii="Times New Roman" w:hAnsi="Times New Roman" w:cs="Times New Roman"/>
          <w:sz w:val="26"/>
          <w:szCs w:val="26"/>
        </w:rPr>
        <w:t xml:space="preserve"> </w:t>
      </w:r>
      <w:r w:rsidR="00D7794F">
        <w:rPr>
          <w:rFonts w:ascii="Times New Roman" w:hAnsi="Times New Roman" w:cs="Times New Roman"/>
          <w:sz w:val="26"/>
          <w:szCs w:val="26"/>
        </w:rPr>
        <w:t xml:space="preserve">с кодами вида расчета 04:095, 04:098, 04:099 </w:t>
      </w:r>
      <w:r>
        <w:rPr>
          <w:rFonts w:ascii="Times New Roman" w:hAnsi="Times New Roman" w:cs="Times New Roman"/>
          <w:sz w:val="26"/>
          <w:szCs w:val="26"/>
        </w:rPr>
        <w:t>по городу Воронежу и Воронежской области развит слабо, Уче</w:t>
      </w:r>
      <w:r w:rsidRPr="002F06CB">
        <w:rPr>
          <w:rFonts w:ascii="Times New Roman" w:hAnsi="Times New Roman" w:cs="Times New Roman"/>
          <w:sz w:val="26"/>
          <w:szCs w:val="26"/>
        </w:rPr>
        <w:t xml:space="preserve">реждением принято решение провести </w:t>
      </w:r>
      <w:r w:rsidR="00DC20E2">
        <w:rPr>
          <w:rFonts w:ascii="Times New Roman" w:hAnsi="Times New Roman" w:cs="Times New Roman"/>
          <w:sz w:val="26"/>
          <w:szCs w:val="26"/>
        </w:rPr>
        <w:t>добор аналогов</w:t>
      </w:r>
      <w:r w:rsidRPr="002F06CB">
        <w:rPr>
          <w:rFonts w:ascii="Times New Roman" w:hAnsi="Times New Roman" w:cs="Times New Roman"/>
          <w:sz w:val="26"/>
          <w:szCs w:val="26"/>
        </w:rPr>
        <w:t xml:space="preserve"> из наиболее распространенного сегмента</w:t>
      </w:r>
      <w:r w:rsidR="00D7794F">
        <w:rPr>
          <w:rFonts w:ascii="Times New Roman" w:hAnsi="Times New Roman" w:cs="Times New Roman"/>
          <w:sz w:val="26"/>
          <w:szCs w:val="26"/>
        </w:rPr>
        <w:t xml:space="preserve"> </w:t>
      </w:r>
      <w:r w:rsidR="008037FA" w:rsidRPr="002F06CB">
        <w:rPr>
          <w:rFonts w:ascii="Times New Roman" w:hAnsi="Times New Roman" w:cs="Times New Roman"/>
          <w:sz w:val="26"/>
          <w:szCs w:val="26"/>
        </w:rPr>
        <w:t xml:space="preserve">– 13 «Садоводство и </w:t>
      </w:r>
      <w:r w:rsidR="008037FA" w:rsidRPr="002F06CB">
        <w:rPr>
          <w:rFonts w:ascii="Times New Roman" w:hAnsi="Times New Roman"/>
          <w:bCs/>
          <w:sz w:val="26"/>
          <w:szCs w:val="26"/>
        </w:rPr>
        <w:t>огородничество, малоэтажная жилая застройка».</w:t>
      </w:r>
    </w:p>
    <w:p w14:paraId="7BAC0EFE" w14:textId="2C67C484" w:rsidR="008037FA" w:rsidRPr="00616BF7" w:rsidRDefault="008037FA" w:rsidP="008037FA">
      <w:pPr>
        <w:spacing w:after="0" w:line="276" w:lineRule="auto"/>
        <w:ind w:firstLine="709"/>
        <w:jc w:val="both"/>
        <w:rPr>
          <w:rFonts w:ascii="Times New Roman" w:eastAsia="Calibri" w:hAnsi="Times New Roman" w:cs="Times New Roman"/>
          <w:sz w:val="26"/>
          <w:szCs w:val="26"/>
        </w:rPr>
      </w:pPr>
      <w:r>
        <w:rPr>
          <w:rFonts w:ascii="Times New Roman" w:hAnsi="Times New Roman" w:cs="Times New Roman"/>
          <w:sz w:val="26"/>
          <w:szCs w:val="26"/>
        </w:rPr>
        <w:t xml:space="preserve">Коэффициент </w:t>
      </w:r>
      <w:r w:rsidRPr="004A0C0A">
        <w:rPr>
          <w:rFonts w:ascii="Times New Roman" w:hAnsi="Times New Roman" w:cs="Times New Roman"/>
          <w:sz w:val="26"/>
          <w:szCs w:val="26"/>
        </w:rPr>
        <w:t xml:space="preserve">перехода от </w:t>
      </w:r>
      <w:r>
        <w:rPr>
          <w:rFonts w:ascii="Times New Roman" w:hAnsi="Times New Roman" w:cs="Times New Roman"/>
          <w:sz w:val="26"/>
          <w:szCs w:val="26"/>
        </w:rPr>
        <w:t>13</w:t>
      </w:r>
      <w:r w:rsidRPr="004A0C0A">
        <w:rPr>
          <w:rFonts w:ascii="Times New Roman" w:hAnsi="Times New Roman" w:cs="Times New Roman"/>
          <w:sz w:val="26"/>
          <w:szCs w:val="26"/>
        </w:rPr>
        <w:t xml:space="preserve"> сегмента к </w:t>
      </w:r>
      <w:r>
        <w:rPr>
          <w:rFonts w:ascii="Times New Roman" w:hAnsi="Times New Roman" w:cs="Times New Roman"/>
          <w:sz w:val="26"/>
          <w:szCs w:val="26"/>
        </w:rPr>
        <w:t>6</w:t>
      </w:r>
      <w:r w:rsidRPr="004A0C0A">
        <w:rPr>
          <w:rFonts w:ascii="Times New Roman" w:hAnsi="Times New Roman" w:cs="Times New Roman"/>
          <w:sz w:val="26"/>
          <w:szCs w:val="26"/>
        </w:rPr>
        <w:t xml:space="preserve"> сегменту</w:t>
      </w:r>
      <w:r>
        <w:rPr>
          <w:rFonts w:ascii="Times New Roman" w:hAnsi="Times New Roman" w:cs="Times New Roman"/>
          <w:sz w:val="26"/>
          <w:szCs w:val="26"/>
        </w:rPr>
        <w:t xml:space="preserve"> с кодами вида расчета 04:095, 04:098, 04:099,</w:t>
      </w:r>
      <w:r w:rsidRPr="004A0C0A">
        <w:rPr>
          <w:rFonts w:ascii="Times New Roman" w:hAnsi="Times New Roman" w:cs="Times New Roman"/>
          <w:sz w:val="26"/>
          <w:szCs w:val="26"/>
        </w:rPr>
        <w:t xml:space="preserve"> был расчитан на основании данных </w:t>
      </w:r>
      <w:r w:rsidRPr="004A0C0A">
        <w:rPr>
          <w:rFonts w:ascii="Times New Roman" w:eastAsia="Calibri" w:hAnsi="Times New Roman" w:cs="Times New Roman"/>
          <w:sz w:val="26"/>
          <w:szCs w:val="26"/>
        </w:rPr>
        <w:t>о ценах предложений на рынке продаж взятых с сайтов бесплатных объявлений:</w:t>
      </w:r>
      <w:r w:rsidRPr="00616BF7">
        <w:rPr>
          <w:rFonts w:ascii="Times New Roman" w:eastAsia="Calibri" w:hAnsi="Times New Roman" w:cs="Times New Roman"/>
          <w:sz w:val="26"/>
          <w:szCs w:val="26"/>
        </w:rPr>
        <w:t xml:space="preserve"> </w:t>
      </w:r>
      <w:hyperlink r:id="rId94" w:history="1">
        <w:r w:rsidRPr="001E594A">
          <w:rPr>
            <w:rStyle w:val="ad"/>
            <w:rFonts w:ascii="Times New Roman" w:eastAsia="Calibri" w:hAnsi="Times New Roman" w:cs="Times New Roman"/>
            <w:color w:val="auto"/>
            <w:sz w:val="26"/>
            <w:szCs w:val="26"/>
            <w:u w:val="none"/>
          </w:rPr>
          <w:t>www.avito.ru</w:t>
        </w:r>
      </w:hyperlink>
      <w:r w:rsidRPr="001E594A">
        <w:rPr>
          <w:rFonts w:ascii="Times New Roman" w:eastAsia="Calibri" w:hAnsi="Times New Roman" w:cs="Times New Roman"/>
          <w:sz w:val="26"/>
          <w:szCs w:val="26"/>
        </w:rPr>
        <w:t xml:space="preserve">, </w:t>
      </w:r>
      <w:hyperlink r:id="rId95" w:history="1">
        <w:r w:rsidR="001E594A" w:rsidRPr="001E594A">
          <w:rPr>
            <w:rStyle w:val="ad"/>
            <w:rFonts w:ascii="Times New Roman" w:eastAsia="Calibri" w:hAnsi="Times New Roman" w:cs="Times New Roman"/>
            <w:color w:val="auto"/>
            <w:sz w:val="26"/>
            <w:szCs w:val="26"/>
            <w:u w:val="none"/>
          </w:rPr>
          <w:t>www.vrx.ru</w:t>
        </w:r>
      </w:hyperlink>
      <w:r w:rsidRPr="001E594A">
        <w:rPr>
          <w:rStyle w:val="ad"/>
          <w:rFonts w:eastAsia="Calibri"/>
          <w:color w:val="auto"/>
          <w:sz w:val="26"/>
          <w:szCs w:val="26"/>
          <w:u w:val="none"/>
        </w:rPr>
        <w:t xml:space="preserve">, </w:t>
      </w:r>
      <w:r w:rsidRPr="001E594A">
        <w:rPr>
          <w:rStyle w:val="ad"/>
          <w:rFonts w:ascii="Times New Roman" w:eastAsia="Calibri" w:hAnsi="Times New Roman" w:cs="Times New Roman"/>
          <w:color w:val="auto"/>
          <w:sz w:val="26"/>
          <w:szCs w:val="26"/>
          <w:u w:val="none"/>
        </w:rPr>
        <w:t xml:space="preserve">и </w:t>
      </w:r>
      <w:r w:rsidRPr="00616BF7">
        <w:rPr>
          <w:rStyle w:val="ad"/>
          <w:rFonts w:ascii="Times New Roman" w:eastAsia="Calibri" w:hAnsi="Times New Roman" w:cs="Times New Roman"/>
          <w:color w:val="auto"/>
          <w:sz w:val="26"/>
          <w:szCs w:val="26"/>
          <w:u w:val="none"/>
        </w:rPr>
        <w:t>сделок</w:t>
      </w:r>
      <w:r w:rsidRPr="00616BF7">
        <w:rPr>
          <w:rStyle w:val="ad"/>
          <w:rFonts w:ascii="Times New Roman" w:hAnsi="Times New Roman" w:cs="Times New Roman"/>
          <w:color w:val="auto"/>
          <w:u w:val="none"/>
        </w:rPr>
        <w:t xml:space="preserve"> </w:t>
      </w:r>
      <w:r w:rsidRPr="00616BF7">
        <w:rPr>
          <w:rStyle w:val="ad"/>
          <w:rFonts w:ascii="Times New Roman" w:hAnsi="Times New Roman" w:cs="Times New Roman"/>
          <w:color w:val="auto"/>
          <w:sz w:val="26"/>
          <w:szCs w:val="26"/>
          <w:u w:val="none"/>
        </w:rPr>
        <w:t>Росреестра</w:t>
      </w:r>
      <w:r w:rsidRPr="00616BF7">
        <w:rPr>
          <w:rFonts w:ascii="Times New Roman" w:eastAsia="Calibri" w:hAnsi="Times New Roman" w:cs="Times New Roman"/>
          <w:sz w:val="26"/>
          <w:szCs w:val="26"/>
        </w:rPr>
        <w:t>.</w:t>
      </w:r>
    </w:p>
    <w:p w14:paraId="571B654F" w14:textId="7A3768CD" w:rsidR="008037FA" w:rsidRDefault="008037FA" w:rsidP="008037FA">
      <w:pPr>
        <w:spacing w:after="0" w:line="276" w:lineRule="auto"/>
        <w:ind w:firstLine="709"/>
        <w:jc w:val="both"/>
        <w:rPr>
          <w:rFonts w:ascii="Times New Roman" w:hAnsi="Times New Roman" w:cs="Times New Roman"/>
          <w:sz w:val="26"/>
          <w:szCs w:val="26"/>
        </w:rPr>
      </w:pPr>
      <w:r w:rsidRPr="004A0C0A">
        <w:rPr>
          <w:rFonts w:ascii="Times New Roman" w:hAnsi="Times New Roman" w:cs="Times New Roman"/>
          <w:i/>
          <w:sz w:val="26"/>
          <w:szCs w:val="26"/>
        </w:rPr>
        <w:t xml:space="preserve">Среднее значение коэффициента перехода от </w:t>
      </w:r>
      <w:r>
        <w:rPr>
          <w:rFonts w:ascii="Times New Roman" w:hAnsi="Times New Roman" w:cs="Times New Roman"/>
          <w:i/>
          <w:sz w:val="26"/>
          <w:szCs w:val="26"/>
        </w:rPr>
        <w:t>13</w:t>
      </w:r>
      <w:r w:rsidRPr="004A0C0A">
        <w:rPr>
          <w:rFonts w:ascii="Times New Roman" w:hAnsi="Times New Roman" w:cs="Times New Roman"/>
          <w:i/>
          <w:sz w:val="26"/>
          <w:szCs w:val="26"/>
        </w:rPr>
        <w:t xml:space="preserve"> сегмента к </w:t>
      </w:r>
      <w:r>
        <w:rPr>
          <w:rFonts w:ascii="Times New Roman" w:hAnsi="Times New Roman" w:cs="Times New Roman"/>
          <w:i/>
          <w:sz w:val="26"/>
          <w:szCs w:val="26"/>
        </w:rPr>
        <w:t>6</w:t>
      </w:r>
      <w:r w:rsidRPr="004A0C0A">
        <w:rPr>
          <w:rFonts w:ascii="Times New Roman" w:hAnsi="Times New Roman" w:cs="Times New Roman"/>
          <w:i/>
          <w:sz w:val="26"/>
          <w:szCs w:val="26"/>
        </w:rPr>
        <w:t xml:space="preserve"> сегменту</w:t>
      </w:r>
      <w:r w:rsidR="001E594A" w:rsidRPr="001E594A">
        <w:rPr>
          <w:rFonts w:ascii="Times New Roman" w:hAnsi="Times New Roman" w:cs="Times New Roman"/>
          <w:sz w:val="26"/>
          <w:szCs w:val="26"/>
        </w:rPr>
        <w:t xml:space="preserve"> </w:t>
      </w:r>
      <w:r w:rsidR="001E594A">
        <w:rPr>
          <w:rFonts w:ascii="Times New Roman" w:hAnsi="Times New Roman" w:cs="Times New Roman"/>
          <w:sz w:val="26"/>
          <w:szCs w:val="26"/>
        </w:rPr>
        <w:t xml:space="preserve">группы </w:t>
      </w:r>
      <w:r w:rsidR="001E594A" w:rsidRPr="00D94396">
        <w:rPr>
          <w:rFonts w:ascii="Times New Roman" w:hAnsi="Times New Roman" w:cs="Times New Roman"/>
          <w:b/>
          <w:i/>
          <w:sz w:val="26"/>
          <w:szCs w:val="26"/>
        </w:rPr>
        <w:t>Производство: АЗС-ПС/Воронеж, АЗС-ПС/ГНП, АЗС-ПС/СНП МС</w:t>
      </w:r>
      <w:r w:rsidR="001E594A" w:rsidRPr="004A0C0A">
        <w:rPr>
          <w:rFonts w:ascii="Times New Roman" w:hAnsi="Times New Roman" w:cs="Times New Roman"/>
          <w:i/>
          <w:sz w:val="26"/>
          <w:szCs w:val="26"/>
        </w:rPr>
        <w:t xml:space="preserve"> равн</w:t>
      </w:r>
      <w:r w:rsidR="00D7794F">
        <w:rPr>
          <w:rFonts w:ascii="Times New Roman" w:hAnsi="Times New Roman" w:cs="Times New Roman"/>
          <w:i/>
          <w:sz w:val="26"/>
          <w:szCs w:val="26"/>
        </w:rPr>
        <w:t>о</w:t>
      </w:r>
      <w:r w:rsidRPr="004A0C0A">
        <w:rPr>
          <w:rFonts w:ascii="Times New Roman" w:hAnsi="Times New Roman" w:cs="Times New Roman"/>
          <w:i/>
          <w:sz w:val="26"/>
          <w:szCs w:val="26"/>
        </w:rPr>
        <w:t xml:space="preserve"> </w:t>
      </w:r>
      <w:r w:rsidR="001E594A">
        <w:rPr>
          <w:rFonts w:ascii="Times New Roman" w:hAnsi="Times New Roman" w:cs="Times New Roman"/>
          <w:b/>
          <w:sz w:val="26"/>
          <w:szCs w:val="26"/>
        </w:rPr>
        <w:t>2,34</w:t>
      </w:r>
      <w:r>
        <w:rPr>
          <w:rFonts w:ascii="Times New Roman" w:hAnsi="Times New Roman" w:cs="Times New Roman"/>
          <w:sz w:val="26"/>
          <w:szCs w:val="26"/>
        </w:rPr>
        <w:t>.</w:t>
      </w:r>
    </w:p>
    <w:p w14:paraId="563DCAE4" w14:textId="7FA6E0D7" w:rsidR="004743AD" w:rsidRDefault="007D3DC7" w:rsidP="004743AD">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Расчет коэффициентов перехода представлен в </w:t>
      </w:r>
      <w:r w:rsidR="004743AD" w:rsidRPr="004743AD">
        <w:rPr>
          <w:rFonts w:ascii="Times New Roman" w:hAnsi="Times New Roman" w:cs="Times New Roman"/>
          <w:sz w:val="26"/>
          <w:szCs w:val="26"/>
        </w:rPr>
        <w:t xml:space="preserve">Приложении </w:t>
      </w:r>
      <w:r w:rsidR="00216603">
        <w:rPr>
          <w:rFonts w:ascii="Times New Roman" w:hAnsi="Times New Roman" w:cs="Times New Roman"/>
          <w:sz w:val="26"/>
          <w:szCs w:val="26"/>
        </w:rPr>
        <w:t>1/</w:t>
      </w:r>
      <w:r w:rsidR="008009AF">
        <w:rPr>
          <w:rFonts w:ascii="Times New Roman" w:hAnsi="Times New Roman" w:cs="Times New Roman"/>
          <w:sz w:val="26"/>
          <w:szCs w:val="26"/>
        </w:rPr>
        <w:t>1.6/</w:t>
      </w:r>
      <w:r w:rsidR="004743AD" w:rsidRPr="004743AD">
        <w:rPr>
          <w:rFonts w:ascii="Times New Roman" w:hAnsi="Times New Roman" w:cs="Times New Roman"/>
          <w:sz w:val="26"/>
          <w:szCs w:val="26"/>
        </w:rPr>
        <w:t>1.6.2</w:t>
      </w:r>
    </w:p>
    <w:p w14:paraId="70423EE4" w14:textId="3851C097" w:rsidR="00DB474C" w:rsidRPr="007A733D" w:rsidRDefault="00DB474C" w:rsidP="00DB474C">
      <w:pPr>
        <w:spacing w:before="120" w:after="0" w:line="276" w:lineRule="auto"/>
        <w:ind w:firstLine="567"/>
        <w:jc w:val="center"/>
        <w:rPr>
          <w:rFonts w:ascii="Times New Roman" w:eastAsia="Calibri" w:hAnsi="Times New Roman" w:cs="Times New Roman"/>
          <w:i/>
          <w:sz w:val="26"/>
          <w:szCs w:val="26"/>
        </w:rPr>
      </w:pPr>
      <w:r w:rsidRPr="007A733D">
        <w:rPr>
          <w:rFonts w:ascii="Times New Roman" w:eastAsia="Calibri" w:hAnsi="Times New Roman" w:cs="Times New Roman"/>
          <w:i/>
          <w:sz w:val="26"/>
          <w:szCs w:val="26"/>
        </w:rPr>
        <w:t>Анализ рыночной информации</w:t>
      </w:r>
    </w:p>
    <w:p w14:paraId="387395AF" w14:textId="77777777" w:rsidR="00DB474C" w:rsidRPr="00B63D7C" w:rsidRDefault="00DB474C" w:rsidP="00DB474C">
      <w:pPr>
        <w:spacing w:before="120" w:after="0" w:line="276" w:lineRule="auto"/>
        <w:ind w:firstLine="567"/>
        <w:jc w:val="both"/>
        <w:rPr>
          <w:rFonts w:ascii="Times New Roman" w:hAnsi="Times New Roman" w:cs="Times New Roman"/>
          <w:sz w:val="26"/>
          <w:szCs w:val="26"/>
        </w:rPr>
      </w:pPr>
      <w:r w:rsidRPr="00B63D7C">
        <w:rPr>
          <w:rFonts w:ascii="Times New Roman" w:hAnsi="Times New Roman" w:cs="Times New Roman"/>
          <w:sz w:val="26"/>
          <w:szCs w:val="26"/>
        </w:rPr>
        <w:t>Далее представлена информация о предложениях (сделках) сегмента «</w:t>
      </w:r>
      <w:r w:rsidRPr="00B63D7C">
        <w:rPr>
          <w:rFonts w:ascii="Times New Roman" w:eastAsia="Calibri" w:hAnsi="Times New Roman" w:cs="Times New Roman"/>
          <w:sz w:val="26"/>
          <w:szCs w:val="26"/>
        </w:rPr>
        <w:t>Производственная деятельность</w:t>
      </w:r>
      <w:r w:rsidRPr="00B63D7C">
        <w:rPr>
          <w:rFonts w:ascii="Times New Roman" w:hAnsi="Times New Roman" w:cs="Times New Roman"/>
          <w:sz w:val="26"/>
          <w:szCs w:val="26"/>
        </w:rPr>
        <w:t xml:space="preserve">» на рынке недвижимости Воронежской области. </w:t>
      </w:r>
    </w:p>
    <w:p w14:paraId="454220EF" w14:textId="77777777" w:rsidR="00DB474C" w:rsidRPr="00C35EDE" w:rsidRDefault="00DB474C" w:rsidP="00DB474C">
      <w:pPr>
        <w:pStyle w:val="Textbody"/>
        <w:spacing w:after="0" w:line="276" w:lineRule="auto"/>
        <w:ind w:firstLine="709"/>
        <w:jc w:val="both"/>
        <w:rPr>
          <w:rFonts w:ascii="Times New Roman" w:hAnsi="Times New Roman" w:cs="Times New Roman"/>
          <w:sz w:val="26"/>
          <w:szCs w:val="26"/>
          <w:lang w:val="ru-RU"/>
        </w:rPr>
      </w:pPr>
      <w:r w:rsidRPr="00C35EDE">
        <w:rPr>
          <w:rFonts w:ascii="Times New Roman" w:hAnsi="Times New Roman" w:cs="Times New Roman"/>
          <w:sz w:val="26"/>
          <w:szCs w:val="26"/>
          <w:lang w:val="ru-RU"/>
        </w:rPr>
        <w:t>Если говорить о</w:t>
      </w:r>
      <w:r>
        <w:rPr>
          <w:rFonts w:ascii="Times New Roman" w:hAnsi="Times New Roman" w:cs="Times New Roman"/>
          <w:sz w:val="26"/>
          <w:szCs w:val="26"/>
          <w:lang w:val="ru-RU"/>
        </w:rPr>
        <w:t xml:space="preserve"> земельных участках</w:t>
      </w:r>
      <w:r w:rsidRPr="00C35EDE">
        <w:rPr>
          <w:rFonts w:ascii="Times New Roman" w:hAnsi="Times New Roman" w:cs="Times New Roman"/>
          <w:sz w:val="26"/>
          <w:szCs w:val="26"/>
          <w:lang w:val="ru-RU"/>
        </w:rPr>
        <w:t xml:space="preserve"> </w:t>
      </w:r>
      <w:r>
        <w:rPr>
          <w:rFonts w:ascii="Times New Roman" w:hAnsi="Times New Roman" w:cs="Times New Roman"/>
          <w:sz w:val="26"/>
          <w:szCs w:val="26"/>
          <w:lang w:val="ru-RU"/>
        </w:rPr>
        <w:t xml:space="preserve">для </w:t>
      </w:r>
      <w:r w:rsidRPr="00C35EDE">
        <w:rPr>
          <w:rFonts w:ascii="Times New Roman" w:hAnsi="Times New Roman" w:cs="Times New Roman"/>
          <w:sz w:val="26"/>
          <w:szCs w:val="26"/>
          <w:lang w:val="ru-RU"/>
        </w:rPr>
        <w:t>объект</w:t>
      </w:r>
      <w:r>
        <w:rPr>
          <w:rFonts w:ascii="Times New Roman" w:hAnsi="Times New Roman" w:cs="Times New Roman"/>
          <w:sz w:val="26"/>
          <w:szCs w:val="26"/>
          <w:lang w:val="ru-RU"/>
        </w:rPr>
        <w:t>ов</w:t>
      </w:r>
      <w:r w:rsidRPr="00C35EDE">
        <w:rPr>
          <w:rFonts w:ascii="Times New Roman" w:hAnsi="Times New Roman" w:cs="Times New Roman"/>
          <w:sz w:val="26"/>
          <w:szCs w:val="26"/>
          <w:lang w:val="ru-RU"/>
        </w:rPr>
        <w:t xml:space="preserve"> придорожного сервиса, то наибольшее количество сосредоточено непосредственно в г.о.г. Воронеж – 2</w:t>
      </w:r>
      <w:r>
        <w:rPr>
          <w:rFonts w:ascii="Times New Roman" w:hAnsi="Times New Roman" w:cs="Times New Roman"/>
          <w:sz w:val="26"/>
          <w:szCs w:val="26"/>
          <w:lang w:val="ru-RU"/>
        </w:rPr>
        <w:t>4,66</w:t>
      </w:r>
      <w:r w:rsidRPr="00C35EDE">
        <w:rPr>
          <w:rFonts w:ascii="Times New Roman" w:hAnsi="Times New Roman" w:cs="Times New Roman"/>
          <w:sz w:val="26"/>
          <w:szCs w:val="26"/>
          <w:lang w:val="ru-RU"/>
        </w:rPr>
        <w:t>% от общего количества предложений (сделок) по региону.</w:t>
      </w:r>
    </w:p>
    <w:p w14:paraId="14F639CF" w14:textId="77777777" w:rsidR="00DB474C" w:rsidRPr="00FD203C" w:rsidRDefault="00DB474C" w:rsidP="00DB474C">
      <w:pPr>
        <w:spacing w:after="0" w:line="276" w:lineRule="auto"/>
        <w:ind w:firstLine="708"/>
        <w:jc w:val="right"/>
        <w:rPr>
          <w:rFonts w:ascii="Times New Roman" w:hAnsi="Times New Roman" w:cs="Times New Roman"/>
          <w:sz w:val="26"/>
          <w:szCs w:val="26"/>
        </w:rPr>
      </w:pPr>
      <w:r w:rsidRPr="00FD203C">
        <w:rPr>
          <w:rFonts w:ascii="Times New Roman" w:hAnsi="Times New Roman" w:cs="Times New Roman"/>
          <w:sz w:val="26"/>
          <w:szCs w:val="26"/>
        </w:rPr>
        <w:t>Таблица 3.1.3.6.</w:t>
      </w:r>
      <w:r>
        <w:rPr>
          <w:rFonts w:ascii="Times New Roman" w:hAnsi="Times New Roman" w:cs="Times New Roman"/>
          <w:sz w:val="26"/>
          <w:szCs w:val="26"/>
        </w:rPr>
        <w:t>2</w:t>
      </w:r>
    </w:p>
    <w:p w14:paraId="45146A87" w14:textId="77777777" w:rsidR="00DB474C" w:rsidRPr="00C35EDE" w:rsidRDefault="00DB474C" w:rsidP="00DB474C">
      <w:pPr>
        <w:spacing w:after="0" w:line="276" w:lineRule="auto"/>
        <w:ind w:firstLine="708"/>
        <w:jc w:val="center"/>
        <w:rPr>
          <w:rFonts w:ascii="Times New Roman" w:hAnsi="Times New Roman" w:cs="Times New Roman"/>
          <w:sz w:val="26"/>
          <w:szCs w:val="26"/>
        </w:rPr>
      </w:pPr>
      <w:r w:rsidRPr="00C35EDE">
        <w:rPr>
          <w:rFonts w:ascii="Times New Roman" w:hAnsi="Times New Roman" w:cs="Times New Roman"/>
          <w:sz w:val="26"/>
          <w:szCs w:val="26"/>
        </w:rPr>
        <w:t xml:space="preserve">Анализ рыночной информации по </w:t>
      </w:r>
      <w:r>
        <w:rPr>
          <w:rFonts w:ascii="Times New Roman" w:hAnsi="Times New Roman" w:cs="Times New Roman"/>
          <w:sz w:val="26"/>
          <w:szCs w:val="26"/>
        </w:rPr>
        <w:t xml:space="preserve">земельным участкам для объектов </w:t>
      </w:r>
      <w:r w:rsidRPr="00C35EDE">
        <w:rPr>
          <w:rFonts w:ascii="Times New Roman" w:hAnsi="Times New Roman" w:cs="Times New Roman"/>
          <w:sz w:val="26"/>
          <w:szCs w:val="26"/>
        </w:rPr>
        <w:t>придорожного сервиса</w:t>
      </w:r>
    </w:p>
    <w:tbl>
      <w:tblPr>
        <w:tblW w:w="92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268"/>
        <w:gridCol w:w="1580"/>
        <w:gridCol w:w="1822"/>
        <w:gridCol w:w="1545"/>
      </w:tblGrid>
      <w:tr w:rsidR="00DB474C" w:rsidRPr="00E93855" w14:paraId="6BDF1E70" w14:textId="77777777" w:rsidTr="00E564BF">
        <w:trPr>
          <w:trHeight w:val="489"/>
        </w:trPr>
        <w:tc>
          <w:tcPr>
            <w:tcW w:w="2127" w:type="dxa"/>
            <w:vMerge w:val="restart"/>
            <w:shd w:val="clear" w:color="auto" w:fill="auto"/>
            <w:vAlign w:val="center"/>
            <w:hideMark/>
          </w:tcPr>
          <w:p w14:paraId="3B479CF4" w14:textId="77777777" w:rsidR="00DB474C" w:rsidRPr="00E93855" w:rsidRDefault="00DB474C" w:rsidP="00DB474C">
            <w:pPr>
              <w:spacing w:after="0" w:line="240" w:lineRule="auto"/>
              <w:jc w:val="center"/>
              <w:rPr>
                <w:rFonts w:ascii="Times New Roman" w:eastAsia="Times New Roman" w:hAnsi="Times New Roman" w:cs="Times New Roman"/>
                <w:b/>
                <w:color w:val="000000"/>
                <w:lang w:eastAsia="ru-RU"/>
              </w:rPr>
            </w:pPr>
            <w:r w:rsidRPr="00E93855">
              <w:rPr>
                <w:rFonts w:ascii="Times New Roman" w:eastAsia="Times New Roman" w:hAnsi="Times New Roman" w:cs="Times New Roman"/>
                <w:b/>
                <w:color w:val="000000"/>
                <w:lang w:eastAsia="ru-RU"/>
              </w:rPr>
              <w:t>Наименование района</w:t>
            </w:r>
          </w:p>
        </w:tc>
        <w:tc>
          <w:tcPr>
            <w:tcW w:w="5670" w:type="dxa"/>
            <w:gridSpan w:val="3"/>
            <w:shd w:val="clear" w:color="auto" w:fill="auto"/>
            <w:vAlign w:val="center"/>
            <w:hideMark/>
          </w:tcPr>
          <w:p w14:paraId="455D034C" w14:textId="77777777" w:rsidR="00DB474C" w:rsidRPr="00E93855" w:rsidRDefault="00DB474C" w:rsidP="00DB474C">
            <w:pPr>
              <w:spacing w:after="0" w:line="240" w:lineRule="auto"/>
              <w:jc w:val="center"/>
              <w:rPr>
                <w:rFonts w:ascii="Times New Roman" w:eastAsia="Times New Roman" w:hAnsi="Times New Roman" w:cs="Times New Roman"/>
                <w:b/>
                <w:color w:val="000000"/>
                <w:lang w:eastAsia="ru-RU"/>
              </w:rPr>
            </w:pPr>
            <w:r w:rsidRPr="00E93855">
              <w:rPr>
                <w:rFonts w:ascii="Times New Roman" w:eastAsia="Times New Roman" w:hAnsi="Times New Roman" w:cs="Times New Roman"/>
                <w:b/>
                <w:color w:val="000000"/>
                <w:lang w:eastAsia="ru-RU"/>
              </w:rPr>
              <w:t>Удельный показатель рыночной стоимости, руб./кв.м</w:t>
            </w:r>
          </w:p>
        </w:tc>
        <w:tc>
          <w:tcPr>
            <w:tcW w:w="1442" w:type="dxa"/>
            <w:vMerge w:val="restart"/>
            <w:shd w:val="clear" w:color="auto" w:fill="auto"/>
            <w:vAlign w:val="center"/>
            <w:hideMark/>
          </w:tcPr>
          <w:p w14:paraId="1C545F77" w14:textId="77777777" w:rsidR="00DB474C" w:rsidRPr="00E93855" w:rsidRDefault="00DB474C" w:rsidP="00DB474C">
            <w:pPr>
              <w:spacing w:after="0" w:line="240" w:lineRule="auto"/>
              <w:jc w:val="center"/>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 xml:space="preserve">Количество </w:t>
            </w:r>
            <w:r w:rsidRPr="00E93855">
              <w:rPr>
                <w:rFonts w:ascii="Times New Roman" w:eastAsia="Times New Roman" w:hAnsi="Times New Roman" w:cs="Times New Roman"/>
                <w:b/>
                <w:color w:val="000000"/>
                <w:lang w:eastAsia="ru-RU"/>
              </w:rPr>
              <w:t>предложений (сделок)</w:t>
            </w:r>
          </w:p>
        </w:tc>
      </w:tr>
      <w:tr w:rsidR="00DB474C" w:rsidRPr="00E93855" w14:paraId="716AE388" w14:textId="77777777" w:rsidTr="00E564BF">
        <w:trPr>
          <w:trHeight w:val="600"/>
        </w:trPr>
        <w:tc>
          <w:tcPr>
            <w:tcW w:w="2127" w:type="dxa"/>
            <w:vMerge/>
            <w:vAlign w:val="center"/>
            <w:hideMark/>
          </w:tcPr>
          <w:p w14:paraId="699F9018"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p>
        </w:tc>
        <w:tc>
          <w:tcPr>
            <w:tcW w:w="2268" w:type="dxa"/>
            <w:shd w:val="clear" w:color="auto" w:fill="auto"/>
            <w:noWrap/>
            <w:vAlign w:val="center"/>
            <w:hideMark/>
          </w:tcPr>
          <w:p w14:paraId="2967C7A8" w14:textId="77777777" w:rsidR="00DB474C" w:rsidRPr="00E93855" w:rsidRDefault="00DB474C" w:rsidP="00DB474C">
            <w:pPr>
              <w:spacing w:after="0" w:line="240" w:lineRule="auto"/>
              <w:jc w:val="center"/>
              <w:rPr>
                <w:rFonts w:ascii="Times New Roman" w:eastAsia="Times New Roman" w:hAnsi="Times New Roman" w:cs="Times New Roman"/>
                <w:b/>
                <w:bCs/>
                <w:color w:val="000000"/>
                <w:lang w:eastAsia="ru-RU"/>
              </w:rPr>
            </w:pPr>
            <w:r w:rsidRPr="00E93855">
              <w:rPr>
                <w:rFonts w:ascii="Times New Roman" w:eastAsia="Times New Roman" w:hAnsi="Times New Roman" w:cs="Times New Roman"/>
                <w:b/>
                <w:bCs/>
                <w:color w:val="000000"/>
                <w:lang w:eastAsia="ru-RU"/>
              </w:rPr>
              <w:t>Минимальное значение</w:t>
            </w:r>
          </w:p>
        </w:tc>
        <w:tc>
          <w:tcPr>
            <w:tcW w:w="1580" w:type="dxa"/>
            <w:shd w:val="clear" w:color="auto" w:fill="auto"/>
            <w:noWrap/>
            <w:vAlign w:val="center"/>
            <w:hideMark/>
          </w:tcPr>
          <w:p w14:paraId="0D6330D5" w14:textId="77777777" w:rsidR="00DB474C" w:rsidRPr="00E93855" w:rsidRDefault="00DB474C" w:rsidP="00DB474C">
            <w:pPr>
              <w:spacing w:after="0" w:line="240" w:lineRule="auto"/>
              <w:jc w:val="center"/>
              <w:rPr>
                <w:rFonts w:ascii="Times New Roman" w:eastAsia="Times New Roman" w:hAnsi="Times New Roman" w:cs="Times New Roman"/>
                <w:b/>
                <w:bCs/>
                <w:color w:val="000000"/>
                <w:lang w:eastAsia="ru-RU"/>
              </w:rPr>
            </w:pPr>
            <w:r w:rsidRPr="00E93855">
              <w:rPr>
                <w:rFonts w:ascii="Times New Roman" w:eastAsia="Times New Roman" w:hAnsi="Times New Roman" w:cs="Times New Roman"/>
                <w:b/>
                <w:bCs/>
                <w:color w:val="000000"/>
                <w:lang w:eastAsia="ru-RU"/>
              </w:rPr>
              <w:t>Среднее значение</w:t>
            </w:r>
          </w:p>
        </w:tc>
        <w:tc>
          <w:tcPr>
            <w:tcW w:w="1822" w:type="dxa"/>
            <w:shd w:val="clear" w:color="auto" w:fill="auto"/>
            <w:noWrap/>
            <w:vAlign w:val="center"/>
            <w:hideMark/>
          </w:tcPr>
          <w:p w14:paraId="315502B8" w14:textId="77777777" w:rsidR="00DB474C" w:rsidRPr="00E93855" w:rsidRDefault="00DB474C" w:rsidP="00DB474C">
            <w:pPr>
              <w:spacing w:after="0" w:line="240" w:lineRule="auto"/>
              <w:jc w:val="center"/>
              <w:rPr>
                <w:rFonts w:ascii="Times New Roman" w:eastAsia="Times New Roman" w:hAnsi="Times New Roman" w:cs="Times New Roman"/>
                <w:b/>
                <w:bCs/>
                <w:color w:val="000000"/>
                <w:lang w:eastAsia="ru-RU"/>
              </w:rPr>
            </w:pPr>
            <w:r w:rsidRPr="00E93855">
              <w:rPr>
                <w:rFonts w:ascii="Times New Roman" w:eastAsia="Times New Roman" w:hAnsi="Times New Roman" w:cs="Times New Roman"/>
                <w:b/>
                <w:bCs/>
                <w:color w:val="000000"/>
                <w:lang w:eastAsia="ru-RU"/>
              </w:rPr>
              <w:t>Максимальное значение</w:t>
            </w:r>
          </w:p>
        </w:tc>
        <w:tc>
          <w:tcPr>
            <w:tcW w:w="1442" w:type="dxa"/>
            <w:vMerge/>
            <w:vAlign w:val="center"/>
            <w:hideMark/>
          </w:tcPr>
          <w:p w14:paraId="25560E2F"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p>
        </w:tc>
      </w:tr>
      <w:tr w:rsidR="00DB474C" w:rsidRPr="00E93855" w14:paraId="0AAD27A6" w14:textId="77777777" w:rsidTr="00E564BF">
        <w:trPr>
          <w:trHeight w:val="300"/>
        </w:trPr>
        <w:tc>
          <w:tcPr>
            <w:tcW w:w="2127" w:type="dxa"/>
            <w:shd w:val="clear" w:color="auto" w:fill="auto"/>
            <w:noWrap/>
            <w:vAlign w:val="bottom"/>
            <w:hideMark/>
          </w:tcPr>
          <w:p w14:paraId="2CA7DD08"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Аннинский</w:t>
            </w:r>
          </w:p>
        </w:tc>
        <w:tc>
          <w:tcPr>
            <w:tcW w:w="2268" w:type="dxa"/>
            <w:shd w:val="clear" w:color="auto" w:fill="auto"/>
            <w:noWrap/>
            <w:vAlign w:val="bottom"/>
            <w:hideMark/>
          </w:tcPr>
          <w:p w14:paraId="3ED742DD"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331,27</w:t>
            </w:r>
          </w:p>
        </w:tc>
        <w:tc>
          <w:tcPr>
            <w:tcW w:w="1580" w:type="dxa"/>
            <w:shd w:val="clear" w:color="auto" w:fill="auto"/>
            <w:noWrap/>
            <w:vAlign w:val="bottom"/>
            <w:hideMark/>
          </w:tcPr>
          <w:p w14:paraId="632CF2A6"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331,27</w:t>
            </w:r>
          </w:p>
        </w:tc>
        <w:tc>
          <w:tcPr>
            <w:tcW w:w="1822" w:type="dxa"/>
            <w:shd w:val="clear" w:color="auto" w:fill="auto"/>
            <w:noWrap/>
            <w:vAlign w:val="bottom"/>
            <w:hideMark/>
          </w:tcPr>
          <w:p w14:paraId="4E65A664"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331,27</w:t>
            </w:r>
          </w:p>
        </w:tc>
        <w:tc>
          <w:tcPr>
            <w:tcW w:w="1442" w:type="dxa"/>
            <w:shd w:val="clear" w:color="auto" w:fill="auto"/>
            <w:noWrap/>
            <w:vAlign w:val="bottom"/>
            <w:hideMark/>
          </w:tcPr>
          <w:p w14:paraId="2CAD2D3C"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w:t>
            </w:r>
          </w:p>
        </w:tc>
      </w:tr>
      <w:tr w:rsidR="00DB474C" w:rsidRPr="00E93855" w14:paraId="653625A0" w14:textId="77777777" w:rsidTr="00E564BF">
        <w:trPr>
          <w:trHeight w:val="300"/>
        </w:trPr>
        <w:tc>
          <w:tcPr>
            <w:tcW w:w="2127" w:type="dxa"/>
            <w:shd w:val="clear" w:color="auto" w:fill="auto"/>
            <w:noWrap/>
            <w:vAlign w:val="bottom"/>
            <w:hideMark/>
          </w:tcPr>
          <w:p w14:paraId="2FD6BE68"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Бобровский</w:t>
            </w:r>
          </w:p>
        </w:tc>
        <w:tc>
          <w:tcPr>
            <w:tcW w:w="2268" w:type="dxa"/>
            <w:shd w:val="clear" w:color="auto" w:fill="auto"/>
            <w:noWrap/>
            <w:vAlign w:val="bottom"/>
            <w:hideMark/>
          </w:tcPr>
          <w:p w14:paraId="5C5370F9"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11,66</w:t>
            </w:r>
          </w:p>
        </w:tc>
        <w:tc>
          <w:tcPr>
            <w:tcW w:w="1580" w:type="dxa"/>
            <w:shd w:val="clear" w:color="auto" w:fill="auto"/>
            <w:noWrap/>
            <w:vAlign w:val="bottom"/>
            <w:hideMark/>
          </w:tcPr>
          <w:p w14:paraId="0821EE75"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354,59</w:t>
            </w:r>
          </w:p>
        </w:tc>
        <w:tc>
          <w:tcPr>
            <w:tcW w:w="1822" w:type="dxa"/>
            <w:shd w:val="clear" w:color="auto" w:fill="auto"/>
            <w:noWrap/>
            <w:vAlign w:val="bottom"/>
            <w:hideMark/>
          </w:tcPr>
          <w:p w14:paraId="18C5A47F"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700,00</w:t>
            </w:r>
          </w:p>
        </w:tc>
        <w:tc>
          <w:tcPr>
            <w:tcW w:w="1442" w:type="dxa"/>
            <w:shd w:val="clear" w:color="auto" w:fill="auto"/>
            <w:noWrap/>
            <w:vAlign w:val="bottom"/>
            <w:hideMark/>
          </w:tcPr>
          <w:p w14:paraId="71445322"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5</w:t>
            </w:r>
          </w:p>
        </w:tc>
      </w:tr>
      <w:tr w:rsidR="00DB474C" w:rsidRPr="00E93855" w14:paraId="3F0B11BF" w14:textId="77777777" w:rsidTr="00E564BF">
        <w:trPr>
          <w:trHeight w:val="300"/>
        </w:trPr>
        <w:tc>
          <w:tcPr>
            <w:tcW w:w="2127" w:type="dxa"/>
            <w:shd w:val="clear" w:color="auto" w:fill="auto"/>
            <w:noWrap/>
            <w:vAlign w:val="bottom"/>
            <w:hideMark/>
          </w:tcPr>
          <w:p w14:paraId="694E6914"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Богучарский</w:t>
            </w:r>
          </w:p>
        </w:tc>
        <w:tc>
          <w:tcPr>
            <w:tcW w:w="2268" w:type="dxa"/>
            <w:shd w:val="clear" w:color="auto" w:fill="auto"/>
            <w:noWrap/>
            <w:vAlign w:val="bottom"/>
            <w:hideMark/>
          </w:tcPr>
          <w:p w14:paraId="00220B12"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58,80</w:t>
            </w:r>
          </w:p>
        </w:tc>
        <w:tc>
          <w:tcPr>
            <w:tcW w:w="1580" w:type="dxa"/>
            <w:shd w:val="clear" w:color="auto" w:fill="auto"/>
            <w:noWrap/>
            <w:vAlign w:val="bottom"/>
            <w:hideMark/>
          </w:tcPr>
          <w:p w14:paraId="350F6D1C"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1 157,80</w:t>
            </w:r>
          </w:p>
        </w:tc>
        <w:tc>
          <w:tcPr>
            <w:tcW w:w="1822" w:type="dxa"/>
            <w:shd w:val="clear" w:color="auto" w:fill="auto"/>
            <w:noWrap/>
            <w:vAlign w:val="bottom"/>
            <w:hideMark/>
          </w:tcPr>
          <w:p w14:paraId="2BD98E29"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4 982,36</w:t>
            </w:r>
          </w:p>
        </w:tc>
        <w:tc>
          <w:tcPr>
            <w:tcW w:w="1442" w:type="dxa"/>
            <w:shd w:val="clear" w:color="auto" w:fill="auto"/>
            <w:noWrap/>
            <w:vAlign w:val="bottom"/>
            <w:hideMark/>
          </w:tcPr>
          <w:p w14:paraId="542F8B97"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7</w:t>
            </w:r>
          </w:p>
        </w:tc>
      </w:tr>
      <w:tr w:rsidR="00DB474C" w:rsidRPr="00E93855" w14:paraId="138E45F9" w14:textId="77777777" w:rsidTr="00E564BF">
        <w:trPr>
          <w:trHeight w:val="300"/>
        </w:trPr>
        <w:tc>
          <w:tcPr>
            <w:tcW w:w="2127" w:type="dxa"/>
            <w:shd w:val="clear" w:color="auto" w:fill="auto"/>
            <w:noWrap/>
            <w:vAlign w:val="bottom"/>
            <w:hideMark/>
          </w:tcPr>
          <w:p w14:paraId="26B4A9D3"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Борисоглебский</w:t>
            </w:r>
          </w:p>
        </w:tc>
        <w:tc>
          <w:tcPr>
            <w:tcW w:w="2268" w:type="dxa"/>
            <w:shd w:val="clear" w:color="auto" w:fill="auto"/>
            <w:noWrap/>
            <w:vAlign w:val="bottom"/>
            <w:hideMark/>
          </w:tcPr>
          <w:p w14:paraId="7BE3CA88"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12,90</w:t>
            </w:r>
          </w:p>
        </w:tc>
        <w:tc>
          <w:tcPr>
            <w:tcW w:w="1580" w:type="dxa"/>
            <w:shd w:val="clear" w:color="auto" w:fill="auto"/>
            <w:noWrap/>
            <w:vAlign w:val="bottom"/>
            <w:hideMark/>
          </w:tcPr>
          <w:p w14:paraId="6CDDBD2A"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2 998,14</w:t>
            </w:r>
          </w:p>
        </w:tc>
        <w:tc>
          <w:tcPr>
            <w:tcW w:w="1822" w:type="dxa"/>
            <w:shd w:val="clear" w:color="auto" w:fill="auto"/>
            <w:noWrap/>
            <w:vAlign w:val="bottom"/>
            <w:hideMark/>
          </w:tcPr>
          <w:p w14:paraId="11AED48B"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6 502,58</w:t>
            </w:r>
          </w:p>
        </w:tc>
        <w:tc>
          <w:tcPr>
            <w:tcW w:w="1442" w:type="dxa"/>
            <w:shd w:val="clear" w:color="auto" w:fill="auto"/>
            <w:noWrap/>
            <w:vAlign w:val="bottom"/>
            <w:hideMark/>
          </w:tcPr>
          <w:p w14:paraId="7B1C9BB4"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9</w:t>
            </w:r>
          </w:p>
        </w:tc>
      </w:tr>
      <w:tr w:rsidR="00DB474C" w:rsidRPr="00E93855" w14:paraId="32D559AF" w14:textId="77777777" w:rsidTr="00E564BF">
        <w:trPr>
          <w:trHeight w:val="300"/>
        </w:trPr>
        <w:tc>
          <w:tcPr>
            <w:tcW w:w="2127" w:type="dxa"/>
            <w:shd w:val="clear" w:color="auto" w:fill="auto"/>
            <w:noWrap/>
            <w:vAlign w:val="bottom"/>
            <w:hideMark/>
          </w:tcPr>
          <w:p w14:paraId="541F256B"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Бутурлиновский</w:t>
            </w:r>
          </w:p>
        </w:tc>
        <w:tc>
          <w:tcPr>
            <w:tcW w:w="2268" w:type="dxa"/>
            <w:shd w:val="clear" w:color="auto" w:fill="auto"/>
            <w:noWrap/>
            <w:vAlign w:val="bottom"/>
            <w:hideMark/>
          </w:tcPr>
          <w:p w14:paraId="49EB4A0B"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333,62</w:t>
            </w:r>
          </w:p>
        </w:tc>
        <w:tc>
          <w:tcPr>
            <w:tcW w:w="1580" w:type="dxa"/>
            <w:shd w:val="clear" w:color="auto" w:fill="auto"/>
            <w:noWrap/>
            <w:vAlign w:val="bottom"/>
            <w:hideMark/>
          </w:tcPr>
          <w:p w14:paraId="62846F78"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1 146,90</w:t>
            </w:r>
          </w:p>
        </w:tc>
        <w:tc>
          <w:tcPr>
            <w:tcW w:w="1822" w:type="dxa"/>
            <w:shd w:val="clear" w:color="auto" w:fill="auto"/>
            <w:noWrap/>
            <w:vAlign w:val="bottom"/>
            <w:hideMark/>
          </w:tcPr>
          <w:p w14:paraId="0DB548E1"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2 325,60</w:t>
            </w:r>
          </w:p>
        </w:tc>
        <w:tc>
          <w:tcPr>
            <w:tcW w:w="1442" w:type="dxa"/>
            <w:shd w:val="clear" w:color="auto" w:fill="auto"/>
            <w:noWrap/>
            <w:vAlign w:val="bottom"/>
            <w:hideMark/>
          </w:tcPr>
          <w:p w14:paraId="7EB9A3FF"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3</w:t>
            </w:r>
          </w:p>
        </w:tc>
      </w:tr>
      <w:tr w:rsidR="00DB474C" w:rsidRPr="00E93855" w14:paraId="2C9B0E82" w14:textId="77777777" w:rsidTr="00E564BF">
        <w:trPr>
          <w:trHeight w:val="300"/>
        </w:trPr>
        <w:tc>
          <w:tcPr>
            <w:tcW w:w="2127" w:type="dxa"/>
            <w:shd w:val="clear" w:color="auto" w:fill="auto"/>
            <w:noWrap/>
            <w:vAlign w:val="bottom"/>
            <w:hideMark/>
          </w:tcPr>
          <w:p w14:paraId="3DDE65B7"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Верхнемамонский</w:t>
            </w:r>
          </w:p>
        </w:tc>
        <w:tc>
          <w:tcPr>
            <w:tcW w:w="2268" w:type="dxa"/>
            <w:shd w:val="clear" w:color="auto" w:fill="auto"/>
            <w:noWrap/>
            <w:vAlign w:val="bottom"/>
            <w:hideMark/>
          </w:tcPr>
          <w:p w14:paraId="17F100D7"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20,88</w:t>
            </w:r>
          </w:p>
        </w:tc>
        <w:tc>
          <w:tcPr>
            <w:tcW w:w="1580" w:type="dxa"/>
            <w:shd w:val="clear" w:color="auto" w:fill="auto"/>
            <w:noWrap/>
            <w:vAlign w:val="bottom"/>
            <w:hideMark/>
          </w:tcPr>
          <w:p w14:paraId="13B9E60A"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427,14</w:t>
            </w:r>
          </w:p>
        </w:tc>
        <w:tc>
          <w:tcPr>
            <w:tcW w:w="1822" w:type="dxa"/>
            <w:shd w:val="clear" w:color="auto" w:fill="auto"/>
            <w:noWrap/>
            <w:vAlign w:val="bottom"/>
            <w:hideMark/>
          </w:tcPr>
          <w:p w14:paraId="5DBACE5F"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864,47</w:t>
            </w:r>
          </w:p>
        </w:tc>
        <w:tc>
          <w:tcPr>
            <w:tcW w:w="1442" w:type="dxa"/>
            <w:shd w:val="clear" w:color="auto" w:fill="auto"/>
            <w:noWrap/>
            <w:vAlign w:val="bottom"/>
            <w:hideMark/>
          </w:tcPr>
          <w:p w14:paraId="628BE9F4"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5</w:t>
            </w:r>
          </w:p>
        </w:tc>
      </w:tr>
      <w:tr w:rsidR="00DB474C" w:rsidRPr="00E93855" w14:paraId="5264B940" w14:textId="77777777" w:rsidTr="00E564BF">
        <w:trPr>
          <w:trHeight w:val="300"/>
        </w:trPr>
        <w:tc>
          <w:tcPr>
            <w:tcW w:w="2127" w:type="dxa"/>
            <w:shd w:val="clear" w:color="auto" w:fill="auto"/>
            <w:noWrap/>
            <w:vAlign w:val="bottom"/>
            <w:hideMark/>
          </w:tcPr>
          <w:p w14:paraId="53885509"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Верхнехавский</w:t>
            </w:r>
          </w:p>
        </w:tc>
        <w:tc>
          <w:tcPr>
            <w:tcW w:w="2268" w:type="dxa"/>
            <w:shd w:val="clear" w:color="auto" w:fill="auto"/>
            <w:noWrap/>
            <w:vAlign w:val="bottom"/>
            <w:hideMark/>
          </w:tcPr>
          <w:p w14:paraId="303322DF"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266,27</w:t>
            </w:r>
          </w:p>
        </w:tc>
        <w:tc>
          <w:tcPr>
            <w:tcW w:w="1580" w:type="dxa"/>
            <w:shd w:val="clear" w:color="auto" w:fill="auto"/>
            <w:noWrap/>
            <w:vAlign w:val="bottom"/>
            <w:hideMark/>
          </w:tcPr>
          <w:p w14:paraId="34CD8E5E"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562,33</w:t>
            </w:r>
          </w:p>
        </w:tc>
        <w:tc>
          <w:tcPr>
            <w:tcW w:w="1822" w:type="dxa"/>
            <w:shd w:val="clear" w:color="auto" w:fill="auto"/>
            <w:noWrap/>
            <w:vAlign w:val="bottom"/>
            <w:hideMark/>
          </w:tcPr>
          <w:p w14:paraId="4CDB7F52"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858,38</w:t>
            </w:r>
          </w:p>
        </w:tc>
        <w:tc>
          <w:tcPr>
            <w:tcW w:w="1442" w:type="dxa"/>
            <w:shd w:val="clear" w:color="auto" w:fill="auto"/>
            <w:noWrap/>
            <w:vAlign w:val="bottom"/>
            <w:hideMark/>
          </w:tcPr>
          <w:p w14:paraId="1BB03818"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w:t>
            </w:r>
          </w:p>
        </w:tc>
      </w:tr>
      <w:tr w:rsidR="00DB474C" w:rsidRPr="00E93855" w14:paraId="43693D03" w14:textId="77777777" w:rsidTr="00E564BF">
        <w:trPr>
          <w:trHeight w:val="300"/>
        </w:trPr>
        <w:tc>
          <w:tcPr>
            <w:tcW w:w="2127" w:type="dxa"/>
            <w:shd w:val="clear" w:color="auto" w:fill="auto"/>
            <w:noWrap/>
            <w:vAlign w:val="bottom"/>
            <w:hideMark/>
          </w:tcPr>
          <w:p w14:paraId="7D239F7E"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Воробьевский</w:t>
            </w:r>
          </w:p>
        </w:tc>
        <w:tc>
          <w:tcPr>
            <w:tcW w:w="2268" w:type="dxa"/>
            <w:shd w:val="clear" w:color="auto" w:fill="auto"/>
            <w:noWrap/>
            <w:vAlign w:val="bottom"/>
            <w:hideMark/>
          </w:tcPr>
          <w:p w14:paraId="5AAA9D68"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580" w:type="dxa"/>
            <w:shd w:val="clear" w:color="auto" w:fill="auto"/>
            <w:noWrap/>
            <w:vAlign w:val="bottom"/>
            <w:hideMark/>
          </w:tcPr>
          <w:p w14:paraId="5E6589B4"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822" w:type="dxa"/>
            <w:shd w:val="clear" w:color="auto" w:fill="auto"/>
            <w:noWrap/>
            <w:vAlign w:val="bottom"/>
            <w:hideMark/>
          </w:tcPr>
          <w:p w14:paraId="78609FF2"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442" w:type="dxa"/>
            <w:shd w:val="clear" w:color="auto" w:fill="auto"/>
            <w:noWrap/>
            <w:vAlign w:val="bottom"/>
            <w:hideMark/>
          </w:tcPr>
          <w:p w14:paraId="2DE4F3C9"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r>
      <w:tr w:rsidR="00DB474C" w:rsidRPr="00E93855" w14:paraId="7D347EDB" w14:textId="77777777" w:rsidTr="00E564BF">
        <w:trPr>
          <w:trHeight w:val="300"/>
        </w:trPr>
        <w:tc>
          <w:tcPr>
            <w:tcW w:w="2127" w:type="dxa"/>
            <w:shd w:val="clear" w:color="auto" w:fill="auto"/>
            <w:noWrap/>
            <w:vAlign w:val="bottom"/>
            <w:hideMark/>
          </w:tcPr>
          <w:p w14:paraId="37567182"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 xml:space="preserve">Грибановский </w:t>
            </w:r>
          </w:p>
        </w:tc>
        <w:tc>
          <w:tcPr>
            <w:tcW w:w="2268" w:type="dxa"/>
            <w:shd w:val="clear" w:color="auto" w:fill="auto"/>
            <w:noWrap/>
            <w:vAlign w:val="bottom"/>
            <w:hideMark/>
          </w:tcPr>
          <w:p w14:paraId="0A4D64C4"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198,51</w:t>
            </w:r>
          </w:p>
        </w:tc>
        <w:tc>
          <w:tcPr>
            <w:tcW w:w="1580" w:type="dxa"/>
            <w:shd w:val="clear" w:color="auto" w:fill="auto"/>
            <w:noWrap/>
            <w:vAlign w:val="bottom"/>
            <w:hideMark/>
          </w:tcPr>
          <w:p w14:paraId="561F7331"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198,51</w:t>
            </w:r>
          </w:p>
        </w:tc>
        <w:tc>
          <w:tcPr>
            <w:tcW w:w="1822" w:type="dxa"/>
            <w:shd w:val="clear" w:color="auto" w:fill="auto"/>
            <w:noWrap/>
            <w:vAlign w:val="bottom"/>
            <w:hideMark/>
          </w:tcPr>
          <w:p w14:paraId="0F92FD4A"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198,51</w:t>
            </w:r>
          </w:p>
        </w:tc>
        <w:tc>
          <w:tcPr>
            <w:tcW w:w="1442" w:type="dxa"/>
            <w:shd w:val="clear" w:color="auto" w:fill="auto"/>
            <w:noWrap/>
            <w:vAlign w:val="bottom"/>
            <w:hideMark/>
          </w:tcPr>
          <w:p w14:paraId="150BB53C"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w:t>
            </w:r>
          </w:p>
        </w:tc>
      </w:tr>
      <w:tr w:rsidR="00DB474C" w:rsidRPr="00E93855" w14:paraId="7C08D9C4" w14:textId="77777777" w:rsidTr="00E564BF">
        <w:trPr>
          <w:trHeight w:val="300"/>
        </w:trPr>
        <w:tc>
          <w:tcPr>
            <w:tcW w:w="2127" w:type="dxa"/>
            <w:shd w:val="clear" w:color="auto" w:fill="auto"/>
            <w:noWrap/>
            <w:vAlign w:val="bottom"/>
            <w:hideMark/>
          </w:tcPr>
          <w:p w14:paraId="61F3A360"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Калачеевский</w:t>
            </w:r>
          </w:p>
        </w:tc>
        <w:tc>
          <w:tcPr>
            <w:tcW w:w="2268" w:type="dxa"/>
            <w:shd w:val="clear" w:color="auto" w:fill="auto"/>
            <w:noWrap/>
            <w:vAlign w:val="bottom"/>
            <w:hideMark/>
          </w:tcPr>
          <w:p w14:paraId="5ACF719D"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580" w:type="dxa"/>
            <w:shd w:val="clear" w:color="auto" w:fill="auto"/>
            <w:noWrap/>
            <w:vAlign w:val="bottom"/>
            <w:hideMark/>
          </w:tcPr>
          <w:p w14:paraId="634688C6"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822" w:type="dxa"/>
            <w:shd w:val="clear" w:color="auto" w:fill="auto"/>
            <w:noWrap/>
            <w:vAlign w:val="bottom"/>
            <w:hideMark/>
          </w:tcPr>
          <w:p w14:paraId="23F9ED9F"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442" w:type="dxa"/>
            <w:shd w:val="clear" w:color="auto" w:fill="auto"/>
            <w:noWrap/>
            <w:vAlign w:val="bottom"/>
            <w:hideMark/>
          </w:tcPr>
          <w:p w14:paraId="461DB07F"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r>
      <w:tr w:rsidR="00DB474C" w:rsidRPr="00E93855" w14:paraId="5328B8AA" w14:textId="77777777" w:rsidTr="00E564BF">
        <w:trPr>
          <w:trHeight w:val="300"/>
        </w:trPr>
        <w:tc>
          <w:tcPr>
            <w:tcW w:w="2127" w:type="dxa"/>
            <w:shd w:val="clear" w:color="auto" w:fill="auto"/>
            <w:noWrap/>
            <w:vAlign w:val="bottom"/>
            <w:hideMark/>
          </w:tcPr>
          <w:p w14:paraId="7A97280A"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Каменский</w:t>
            </w:r>
          </w:p>
        </w:tc>
        <w:tc>
          <w:tcPr>
            <w:tcW w:w="2268" w:type="dxa"/>
            <w:shd w:val="clear" w:color="auto" w:fill="auto"/>
            <w:noWrap/>
            <w:vAlign w:val="bottom"/>
            <w:hideMark/>
          </w:tcPr>
          <w:p w14:paraId="13E800F2"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2 039,43</w:t>
            </w:r>
          </w:p>
        </w:tc>
        <w:tc>
          <w:tcPr>
            <w:tcW w:w="1580" w:type="dxa"/>
            <w:shd w:val="clear" w:color="auto" w:fill="auto"/>
            <w:noWrap/>
            <w:vAlign w:val="bottom"/>
            <w:hideMark/>
          </w:tcPr>
          <w:p w14:paraId="4678FA63"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2 039,43</w:t>
            </w:r>
          </w:p>
        </w:tc>
        <w:tc>
          <w:tcPr>
            <w:tcW w:w="1822" w:type="dxa"/>
            <w:shd w:val="clear" w:color="auto" w:fill="auto"/>
            <w:noWrap/>
            <w:vAlign w:val="bottom"/>
            <w:hideMark/>
          </w:tcPr>
          <w:p w14:paraId="2A2A83D4"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2 039,43</w:t>
            </w:r>
          </w:p>
        </w:tc>
        <w:tc>
          <w:tcPr>
            <w:tcW w:w="1442" w:type="dxa"/>
            <w:shd w:val="clear" w:color="auto" w:fill="auto"/>
            <w:noWrap/>
            <w:vAlign w:val="bottom"/>
            <w:hideMark/>
          </w:tcPr>
          <w:p w14:paraId="3C102A04"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w:t>
            </w:r>
          </w:p>
        </w:tc>
      </w:tr>
      <w:tr w:rsidR="00DB474C" w:rsidRPr="00E93855" w14:paraId="74B67384" w14:textId="77777777" w:rsidTr="00E564BF">
        <w:trPr>
          <w:trHeight w:val="300"/>
        </w:trPr>
        <w:tc>
          <w:tcPr>
            <w:tcW w:w="2127" w:type="dxa"/>
            <w:shd w:val="clear" w:color="auto" w:fill="auto"/>
            <w:noWrap/>
            <w:vAlign w:val="bottom"/>
            <w:hideMark/>
          </w:tcPr>
          <w:p w14:paraId="5C412A19"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Кантемировский</w:t>
            </w:r>
          </w:p>
        </w:tc>
        <w:tc>
          <w:tcPr>
            <w:tcW w:w="2268" w:type="dxa"/>
            <w:shd w:val="clear" w:color="auto" w:fill="auto"/>
            <w:noWrap/>
            <w:vAlign w:val="bottom"/>
            <w:hideMark/>
          </w:tcPr>
          <w:p w14:paraId="4AF8E0D7"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481,63</w:t>
            </w:r>
          </w:p>
        </w:tc>
        <w:tc>
          <w:tcPr>
            <w:tcW w:w="1580" w:type="dxa"/>
            <w:shd w:val="clear" w:color="auto" w:fill="auto"/>
            <w:noWrap/>
            <w:vAlign w:val="bottom"/>
            <w:hideMark/>
          </w:tcPr>
          <w:p w14:paraId="48D67730"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481,63</w:t>
            </w:r>
          </w:p>
        </w:tc>
        <w:tc>
          <w:tcPr>
            <w:tcW w:w="1822" w:type="dxa"/>
            <w:shd w:val="clear" w:color="auto" w:fill="auto"/>
            <w:noWrap/>
            <w:vAlign w:val="bottom"/>
            <w:hideMark/>
          </w:tcPr>
          <w:p w14:paraId="66A75988"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481,63</w:t>
            </w:r>
          </w:p>
        </w:tc>
        <w:tc>
          <w:tcPr>
            <w:tcW w:w="1442" w:type="dxa"/>
            <w:shd w:val="clear" w:color="auto" w:fill="auto"/>
            <w:noWrap/>
            <w:vAlign w:val="bottom"/>
            <w:hideMark/>
          </w:tcPr>
          <w:p w14:paraId="3D22A23B"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w:t>
            </w:r>
          </w:p>
        </w:tc>
      </w:tr>
      <w:tr w:rsidR="00DB474C" w:rsidRPr="00E93855" w14:paraId="241C687D" w14:textId="77777777" w:rsidTr="00E564BF">
        <w:trPr>
          <w:trHeight w:val="300"/>
        </w:trPr>
        <w:tc>
          <w:tcPr>
            <w:tcW w:w="2127" w:type="dxa"/>
            <w:shd w:val="clear" w:color="auto" w:fill="auto"/>
            <w:noWrap/>
            <w:vAlign w:val="bottom"/>
            <w:hideMark/>
          </w:tcPr>
          <w:p w14:paraId="167A971A"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Каширский</w:t>
            </w:r>
          </w:p>
        </w:tc>
        <w:tc>
          <w:tcPr>
            <w:tcW w:w="2268" w:type="dxa"/>
            <w:shd w:val="clear" w:color="auto" w:fill="auto"/>
            <w:noWrap/>
            <w:vAlign w:val="bottom"/>
            <w:hideMark/>
          </w:tcPr>
          <w:p w14:paraId="78037591"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266,25</w:t>
            </w:r>
          </w:p>
        </w:tc>
        <w:tc>
          <w:tcPr>
            <w:tcW w:w="1580" w:type="dxa"/>
            <w:shd w:val="clear" w:color="auto" w:fill="auto"/>
            <w:noWrap/>
            <w:vAlign w:val="bottom"/>
            <w:hideMark/>
          </w:tcPr>
          <w:p w14:paraId="37C23390"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5 781,69</w:t>
            </w:r>
          </w:p>
        </w:tc>
        <w:tc>
          <w:tcPr>
            <w:tcW w:w="1822" w:type="dxa"/>
            <w:shd w:val="clear" w:color="auto" w:fill="auto"/>
            <w:noWrap/>
            <w:vAlign w:val="bottom"/>
            <w:hideMark/>
          </w:tcPr>
          <w:p w14:paraId="3040E6C4"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20 394,00</w:t>
            </w:r>
          </w:p>
        </w:tc>
        <w:tc>
          <w:tcPr>
            <w:tcW w:w="1442" w:type="dxa"/>
            <w:shd w:val="clear" w:color="auto" w:fill="auto"/>
            <w:noWrap/>
            <w:vAlign w:val="bottom"/>
            <w:hideMark/>
          </w:tcPr>
          <w:p w14:paraId="44E1C3AC"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8</w:t>
            </w:r>
          </w:p>
        </w:tc>
      </w:tr>
      <w:tr w:rsidR="00DB474C" w:rsidRPr="00E93855" w14:paraId="46F290B6" w14:textId="77777777" w:rsidTr="00E564BF">
        <w:trPr>
          <w:trHeight w:val="300"/>
        </w:trPr>
        <w:tc>
          <w:tcPr>
            <w:tcW w:w="2127" w:type="dxa"/>
            <w:shd w:val="clear" w:color="auto" w:fill="auto"/>
            <w:noWrap/>
            <w:vAlign w:val="bottom"/>
            <w:hideMark/>
          </w:tcPr>
          <w:p w14:paraId="70E1566E"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Лискинский</w:t>
            </w:r>
          </w:p>
        </w:tc>
        <w:tc>
          <w:tcPr>
            <w:tcW w:w="2268" w:type="dxa"/>
            <w:shd w:val="clear" w:color="auto" w:fill="auto"/>
            <w:noWrap/>
            <w:vAlign w:val="bottom"/>
            <w:hideMark/>
          </w:tcPr>
          <w:p w14:paraId="0FBD9DB2"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177,66</w:t>
            </w:r>
          </w:p>
        </w:tc>
        <w:tc>
          <w:tcPr>
            <w:tcW w:w="1580" w:type="dxa"/>
            <w:shd w:val="clear" w:color="auto" w:fill="auto"/>
            <w:noWrap/>
            <w:vAlign w:val="bottom"/>
            <w:hideMark/>
          </w:tcPr>
          <w:p w14:paraId="78576025"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3 321,26</w:t>
            </w:r>
          </w:p>
        </w:tc>
        <w:tc>
          <w:tcPr>
            <w:tcW w:w="1822" w:type="dxa"/>
            <w:shd w:val="clear" w:color="auto" w:fill="auto"/>
            <w:noWrap/>
            <w:vAlign w:val="bottom"/>
            <w:hideMark/>
          </w:tcPr>
          <w:p w14:paraId="4B106B45"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9 800,00</w:t>
            </w:r>
          </w:p>
        </w:tc>
        <w:tc>
          <w:tcPr>
            <w:tcW w:w="1442" w:type="dxa"/>
            <w:shd w:val="clear" w:color="auto" w:fill="auto"/>
            <w:noWrap/>
            <w:vAlign w:val="bottom"/>
            <w:hideMark/>
          </w:tcPr>
          <w:p w14:paraId="4FF00B69"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12</w:t>
            </w:r>
          </w:p>
        </w:tc>
      </w:tr>
      <w:tr w:rsidR="00DB474C" w:rsidRPr="00E93855" w14:paraId="01DD8C0E" w14:textId="77777777" w:rsidTr="00E564BF">
        <w:trPr>
          <w:trHeight w:val="300"/>
        </w:trPr>
        <w:tc>
          <w:tcPr>
            <w:tcW w:w="2127" w:type="dxa"/>
            <w:shd w:val="clear" w:color="auto" w:fill="auto"/>
            <w:noWrap/>
            <w:vAlign w:val="bottom"/>
            <w:hideMark/>
          </w:tcPr>
          <w:p w14:paraId="62A68097"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Нижнедевицкий</w:t>
            </w:r>
          </w:p>
        </w:tc>
        <w:tc>
          <w:tcPr>
            <w:tcW w:w="2268" w:type="dxa"/>
            <w:shd w:val="clear" w:color="auto" w:fill="auto"/>
            <w:noWrap/>
            <w:vAlign w:val="bottom"/>
            <w:hideMark/>
          </w:tcPr>
          <w:p w14:paraId="289FFEF8"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580" w:type="dxa"/>
            <w:shd w:val="clear" w:color="auto" w:fill="auto"/>
            <w:noWrap/>
            <w:vAlign w:val="bottom"/>
            <w:hideMark/>
          </w:tcPr>
          <w:p w14:paraId="1D0528F7"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822" w:type="dxa"/>
            <w:shd w:val="clear" w:color="auto" w:fill="auto"/>
            <w:noWrap/>
            <w:vAlign w:val="bottom"/>
            <w:hideMark/>
          </w:tcPr>
          <w:p w14:paraId="6A016066"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442" w:type="dxa"/>
            <w:shd w:val="clear" w:color="auto" w:fill="auto"/>
            <w:noWrap/>
            <w:vAlign w:val="bottom"/>
            <w:hideMark/>
          </w:tcPr>
          <w:p w14:paraId="51DC0CA2"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r>
      <w:tr w:rsidR="00DB474C" w:rsidRPr="00E93855" w14:paraId="27DB1372" w14:textId="77777777" w:rsidTr="00E564BF">
        <w:trPr>
          <w:trHeight w:val="300"/>
        </w:trPr>
        <w:tc>
          <w:tcPr>
            <w:tcW w:w="2127" w:type="dxa"/>
            <w:shd w:val="clear" w:color="auto" w:fill="auto"/>
            <w:noWrap/>
            <w:vAlign w:val="bottom"/>
            <w:hideMark/>
          </w:tcPr>
          <w:p w14:paraId="2B52A976"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Новоусманский</w:t>
            </w:r>
          </w:p>
        </w:tc>
        <w:tc>
          <w:tcPr>
            <w:tcW w:w="2268" w:type="dxa"/>
            <w:shd w:val="clear" w:color="auto" w:fill="auto"/>
            <w:noWrap/>
            <w:vAlign w:val="bottom"/>
            <w:hideMark/>
          </w:tcPr>
          <w:p w14:paraId="1D3BEC70"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7,86</w:t>
            </w:r>
          </w:p>
        </w:tc>
        <w:tc>
          <w:tcPr>
            <w:tcW w:w="1580" w:type="dxa"/>
            <w:shd w:val="clear" w:color="auto" w:fill="auto"/>
            <w:noWrap/>
            <w:vAlign w:val="bottom"/>
            <w:hideMark/>
          </w:tcPr>
          <w:p w14:paraId="1EEA43A1"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1 665,80</w:t>
            </w:r>
          </w:p>
        </w:tc>
        <w:tc>
          <w:tcPr>
            <w:tcW w:w="1822" w:type="dxa"/>
            <w:shd w:val="clear" w:color="auto" w:fill="auto"/>
            <w:noWrap/>
            <w:vAlign w:val="bottom"/>
            <w:hideMark/>
          </w:tcPr>
          <w:p w14:paraId="1C314125"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12 295,35</w:t>
            </w:r>
          </w:p>
        </w:tc>
        <w:tc>
          <w:tcPr>
            <w:tcW w:w="1442" w:type="dxa"/>
            <w:shd w:val="clear" w:color="auto" w:fill="auto"/>
            <w:noWrap/>
            <w:vAlign w:val="bottom"/>
            <w:hideMark/>
          </w:tcPr>
          <w:p w14:paraId="289CF120"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35</w:t>
            </w:r>
          </w:p>
        </w:tc>
      </w:tr>
      <w:tr w:rsidR="00DB474C" w:rsidRPr="00E93855" w14:paraId="297FE5EC" w14:textId="77777777" w:rsidTr="00E564BF">
        <w:trPr>
          <w:trHeight w:val="300"/>
        </w:trPr>
        <w:tc>
          <w:tcPr>
            <w:tcW w:w="2127" w:type="dxa"/>
            <w:shd w:val="clear" w:color="auto" w:fill="auto"/>
            <w:noWrap/>
            <w:vAlign w:val="bottom"/>
            <w:hideMark/>
          </w:tcPr>
          <w:p w14:paraId="1A85C672"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Новохоперский</w:t>
            </w:r>
          </w:p>
        </w:tc>
        <w:tc>
          <w:tcPr>
            <w:tcW w:w="2268" w:type="dxa"/>
            <w:shd w:val="clear" w:color="auto" w:fill="auto"/>
            <w:noWrap/>
            <w:vAlign w:val="bottom"/>
            <w:hideMark/>
          </w:tcPr>
          <w:p w14:paraId="191AC893"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11,05</w:t>
            </w:r>
          </w:p>
        </w:tc>
        <w:tc>
          <w:tcPr>
            <w:tcW w:w="1580" w:type="dxa"/>
            <w:shd w:val="clear" w:color="auto" w:fill="auto"/>
            <w:noWrap/>
            <w:vAlign w:val="bottom"/>
            <w:hideMark/>
          </w:tcPr>
          <w:p w14:paraId="338D7BFB"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332,20</w:t>
            </w:r>
          </w:p>
        </w:tc>
        <w:tc>
          <w:tcPr>
            <w:tcW w:w="1822" w:type="dxa"/>
            <w:shd w:val="clear" w:color="auto" w:fill="auto"/>
            <w:noWrap/>
            <w:vAlign w:val="bottom"/>
            <w:hideMark/>
          </w:tcPr>
          <w:p w14:paraId="55DA1816"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653,34</w:t>
            </w:r>
          </w:p>
        </w:tc>
        <w:tc>
          <w:tcPr>
            <w:tcW w:w="1442" w:type="dxa"/>
            <w:shd w:val="clear" w:color="auto" w:fill="auto"/>
            <w:noWrap/>
            <w:vAlign w:val="bottom"/>
            <w:hideMark/>
          </w:tcPr>
          <w:p w14:paraId="2ADADDE8"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w:t>
            </w:r>
          </w:p>
        </w:tc>
      </w:tr>
      <w:tr w:rsidR="00DB474C" w:rsidRPr="00E93855" w14:paraId="3AE8C7CD" w14:textId="77777777" w:rsidTr="00E564BF">
        <w:trPr>
          <w:trHeight w:val="300"/>
        </w:trPr>
        <w:tc>
          <w:tcPr>
            <w:tcW w:w="2127" w:type="dxa"/>
            <w:shd w:val="clear" w:color="auto" w:fill="auto"/>
            <w:noWrap/>
            <w:vAlign w:val="bottom"/>
            <w:hideMark/>
          </w:tcPr>
          <w:p w14:paraId="2AA46401"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Ольховатский</w:t>
            </w:r>
          </w:p>
        </w:tc>
        <w:tc>
          <w:tcPr>
            <w:tcW w:w="2268" w:type="dxa"/>
            <w:shd w:val="clear" w:color="auto" w:fill="auto"/>
            <w:noWrap/>
            <w:vAlign w:val="bottom"/>
            <w:hideMark/>
          </w:tcPr>
          <w:p w14:paraId="7F9D48F6"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1,01</w:t>
            </w:r>
          </w:p>
        </w:tc>
        <w:tc>
          <w:tcPr>
            <w:tcW w:w="1580" w:type="dxa"/>
            <w:shd w:val="clear" w:color="auto" w:fill="auto"/>
            <w:noWrap/>
            <w:vAlign w:val="bottom"/>
            <w:hideMark/>
          </w:tcPr>
          <w:p w14:paraId="5004F3F6"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206,83</w:t>
            </w:r>
          </w:p>
        </w:tc>
        <w:tc>
          <w:tcPr>
            <w:tcW w:w="1822" w:type="dxa"/>
            <w:shd w:val="clear" w:color="auto" w:fill="auto"/>
            <w:noWrap/>
            <w:vAlign w:val="bottom"/>
            <w:hideMark/>
          </w:tcPr>
          <w:p w14:paraId="6910021A"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552,04</w:t>
            </w:r>
          </w:p>
        </w:tc>
        <w:tc>
          <w:tcPr>
            <w:tcW w:w="1442" w:type="dxa"/>
            <w:shd w:val="clear" w:color="auto" w:fill="auto"/>
            <w:noWrap/>
            <w:vAlign w:val="bottom"/>
            <w:hideMark/>
          </w:tcPr>
          <w:p w14:paraId="262D8234"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5</w:t>
            </w:r>
          </w:p>
        </w:tc>
      </w:tr>
      <w:tr w:rsidR="00DB474C" w:rsidRPr="00E93855" w14:paraId="3DE2093E" w14:textId="77777777" w:rsidTr="00E564BF">
        <w:trPr>
          <w:trHeight w:val="300"/>
        </w:trPr>
        <w:tc>
          <w:tcPr>
            <w:tcW w:w="2127" w:type="dxa"/>
            <w:shd w:val="clear" w:color="auto" w:fill="auto"/>
            <w:noWrap/>
            <w:vAlign w:val="bottom"/>
            <w:hideMark/>
          </w:tcPr>
          <w:p w14:paraId="0F45E52F"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Острогожский</w:t>
            </w:r>
          </w:p>
        </w:tc>
        <w:tc>
          <w:tcPr>
            <w:tcW w:w="2268" w:type="dxa"/>
            <w:shd w:val="clear" w:color="auto" w:fill="auto"/>
            <w:noWrap/>
            <w:vAlign w:val="bottom"/>
            <w:hideMark/>
          </w:tcPr>
          <w:p w14:paraId="0775EA29"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12,38</w:t>
            </w:r>
          </w:p>
        </w:tc>
        <w:tc>
          <w:tcPr>
            <w:tcW w:w="1580" w:type="dxa"/>
            <w:shd w:val="clear" w:color="auto" w:fill="auto"/>
            <w:noWrap/>
            <w:vAlign w:val="bottom"/>
            <w:hideMark/>
          </w:tcPr>
          <w:p w14:paraId="51A4CF35"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17,71</w:t>
            </w:r>
          </w:p>
        </w:tc>
        <w:tc>
          <w:tcPr>
            <w:tcW w:w="1822" w:type="dxa"/>
            <w:shd w:val="clear" w:color="auto" w:fill="auto"/>
            <w:noWrap/>
            <w:vAlign w:val="bottom"/>
            <w:hideMark/>
          </w:tcPr>
          <w:p w14:paraId="3AADF374"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23,04</w:t>
            </w:r>
          </w:p>
        </w:tc>
        <w:tc>
          <w:tcPr>
            <w:tcW w:w="1442" w:type="dxa"/>
            <w:shd w:val="clear" w:color="auto" w:fill="auto"/>
            <w:noWrap/>
            <w:vAlign w:val="bottom"/>
            <w:hideMark/>
          </w:tcPr>
          <w:p w14:paraId="3E6182C1"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w:t>
            </w:r>
          </w:p>
        </w:tc>
      </w:tr>
      <w:tr w:rsidR="00DB474C" w:rsidRPr="00E93855" w14:paraId="5EAC5A3A" w14:textId="77777777" w:rsidTr="00E564BF">
        <w:trPr>
          <w:trHeight w:val="300"/>
        </w:trPr>
        <w:tc>
          <w:tcPr>
            <w:tcW w:w="2127" w:type="dxa"/>
            <w:shd w:val="clear" w:color="auto" w:fill="auto"/>
            <w:noWrap/>
            <w:vAlign w:val="bottom"/>
            <w:hideMark/>
          </w:tcPr>
          <w:p w14:paraId="23897547"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Павловский</w:t>
            </w:r>
          </w:p>
        </w:tc>
        <w:tc>
          <w:tcPr>
            <w:tcW w:w="2268" w:type="dxa"/>
            <w:shd w:val="clear" w:color="auto" w:fill="auto"/>
            <w:noWrap/>
            <w:vAlign w:val="bottom"/>
            <w:hideMark/>
          </w:tcPr>
          <w:p w14:paraId="6B64F1E4"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282,65</w:t>
            </w:r>
          </w:p>
        </w:tc>
        <w:tc>
          <w:tcPr>
            <w:tcW w:w="1580" w:type="dxa"/>
            <w:shd w:val="clear" w:color="auto" w:fill="auto"/>
            <w:noWrap/>
            <w:vAlign w:val="bottom"/>
            <w:hideMark/>
          </w:tcPr>
          <w:p w14:paraId="1AA0B483"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2 396,48</w:t>
            </w:r>
          </w:p>
        </w:tc>
        <w:tc>
          <w:tcPr>
            <w:tcW w:w="1822" w:type="dxa"/>
            <w:shd w:val="clear" w:color="auto" w:fill="auto"/>
            <w:noWrap/>
            <w:vAlign w:val="bottom"/>
            <w:hideMark/>
          </w:tcPr>
          <w:p w14:paraId="2239C2A9"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8 079,60</w:t>
            </w:r>
          </w:p>
        </w:tc>
        <w:tc>
          <w:tcPr>
            <w:tcW w:w="1442" w:type="dxa"/>
            <w:shd w:val="clear" w:color="auto" w:fill="auto"/>
            <w:noWrap/>
            <w:vAlign w:val="bottom"/>
            <w:hideMark/>
          </w:tcPr>
          <w:p w14:paraId="1CED824C"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4</w:t>
            </w:r>
          </w:p>
        </w:tc>
      </w:tr>
      <w:tr w:rsidR="00DB474C" w:rsidRPr="00E93855" w14:paraId="3CDA663D" w14:textId="77777777" w:rsidTr="00E564BF">
        <w:trPr>
          <w:trHeight w:val="300"/>
        </w:trPr>
        <w:tc>
          <w:tcPr>
            <w:tcW w:w="2127" w:type="dxa"/>
            <w:shd w:val="clear" w:color="auto" w:fill="auto"/>
            <w:noWrap/>
            <w:vAlign w:val="bottom"/>
            <w:hideMark/>
          </w:tcPr>
          <w:p w14:paraId="150E3AE4"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Панинский</w:t>
            </w:r>
          </w:p>
        </w:tc>
        <w:tc>
          <w:tcPr>
            <w:tcW w:w="2268" w:type="dxa"/>
            <w:shd w:val="clear" w:color="auto" w:fill="auto"/>
            <w:noWrap/>
            <w:vAlign w:val="bottom"/>
            <w:hideMark/>
          </w:tcPr>
          <w:p w14:paraId="5DF5EBCF"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580" w:type="dxa"/>
            <w:shd w:val="clear" w:color="auto" w:fill="auto"/>
            <w:noWrap/>
            <w:vAlign w:val="bottom"/>
            <w:hideMark/>
          </w:tcPr>
          <w:p w14:paraId="3E6439C5"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822" w:type="dxa"/>
            <w:shd w:val="clear" w:color="auto" w:fill="auto"/>
            <w:noWrap/>
            <w:vAlign w:val="bottom"/>
            <w:hideMark/>
          </w:tcPr>
          <w:p w14:paraId="2608FEAE"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442" w:type="dxa"/>
            <w:shd w:val="clear" w:color="auto" w:fill="auto"/>
            <w:noWrap/>
            <w:vAlign w:val="bottom"/>
            <w:hideMark/>
          </w:tcPr>
          <w:p w14:paraId="421F10F5"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r>
      <w:tr w:rsidR="00DB474C" w:rsidRPr="00E93855" w14:paraId="19E413ED" w14:textId="77777777" w:rsidTr="00E564BF">
        <w:trPr>
          <w:trHeight w:val="300"/>
        </w:trPr>
        <w:tc>
          <w:tcPr>
            <w:tcW w:w="2127" w:type="dxa"/>
            <w:shd w:val="clear" w:color="auto" w:fill="auto"/>
            <w:noWrap/>
            <w:vAlign w:val="bottom"/>
            <w:hideMark/>
          </w:tcPr>
          <w:p w14:paraId="219106D5"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Петропавловский</w:t>
            </w:r>
          </w:p>
        </w:tc>
        <w:tc>
          <w:tcPr>
            <w:tcW w:w="2268" w:type="dxa"/>
            <w:shd w:val="clear" w:color="auto" w:fill="auto"/>
            <w:noWrap/>
            <w:vAlign w:val="bottom"/>
            <w:hideMark/>
          </w:tcPr>
          <w:p w14:paraId="53BFD698"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779,15</w:t>
            </w:r>
          </w:p>
        </w:tc>
        <w:tc>
          <w:tcPr>
            <w:tcW w:w="1580" w:type="dxa"/>
            <w:shd w:val="clear" w:color="auto" w:fill="auto"/>
            <w:noWrap/>
            <w:vAlign w:val="bottom"/>
            <w:hideMark/>
          </w:tcPr>
          <w:p w14:paraId="01986E6C"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2 387,80</w:t>
            </w:r>
          </w:p>
        </w:tc>
        <w:tc>
          <w:tcPr>
            <w:tcW w:w="1822" w:type="dxa"/>
            <w:shd w:val="clear" w:color="auto" w:fill="auto"/>
            <w:noWrap/>
            <w:vAlign w:val="bottom"/>
            <w:hideMark/>
          </w:tcPr>
          <w:p w14:paraId="4FD0D99C"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5 597,15</w:t>
            </w:r>
          </w:p>
        </w:tc>
        <w:tc>
          <w:tcPr>
            <w:tcW w:w="1442" w:type="dxa"/>
            <w:shd w:val="clear" w:color="auto" w:fill="auto"/>
            <w:noWrap/>
            <w:vAlign w:val="bottom"/>
            <w:hideMark/>
          </w:tcPr>
          <w:p w14:paraId="1A390E3E"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3</w:t>
            </w:r>
          </w:p>
        </w:tc>
      </w:tr>
      <w:tr w:rsidR="00DB474C" w:rsidRPr="00E93855" w14:paraId="6C49FBD5" w14:textId="77777777" w:rsidTr="00E564BF">
        <w:trPr>
          <w:trHeight w:val="300"/>
        </w:trPr>
        <w:tc>
          <w:tcPr>
            <w:tcW w:w="2127" w:type="dxa"/>
            <w:shd w:val="clear" w:color="auto" w:fill="auto"/>
            <w:noWrap/>
            <w:vAlign w:val="bottom"/>
            <w:hideMark/>
          </w:tcPr>
          <w:p w14:paraId="5DDD35CD"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Поворинский</w:t>
            </w:r>
          </w:p>
        </w:tc>
        <w:tc>
          <w:tcPr>
            <w:tcW w:w="2268" w:type="dxa"/>
            <w:shd w:val="clear" w:color="auto" w:fill="auto"/>
            <w:noWrap/>
            <w:vAlign w:val="bottom"/>
            <w:hideMark/>
          </w:tcPr>
          <w:p w14:paraId="0A65D6FD"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45,94</w:t>
            </w:r>
          </w:p>
        </w:tc>
        <w:tc>
          <w:tcPr>
            <w:tcW w:w="1580" w:type="dxa"/>
            <w:shd w:val="clear" w:color="auto" w:fill="auto"/>
            <w:noWrap/>
            <w:vAlign w:val="bottom"/>
            <w:hideMark/>
          </w:tcPr>
          <w:p w14:paraId="7FF54F65"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150,29</w:t>
            </w:r>
          </w:p>
        </w:tc>
        <w:tc>
          <w:tcPr>
            <w:tcW w:w="1822" w:type="dxa"/>
            <w:shd w:val="clear" w:color="auto" w:fill="auto"/>
            <w:noWrap/>
            <w:vAlign w:val="bottom"/>
            <w:hideMark/>
          </w:tcPr>
          <w:p w14:paraId="00F3CB55"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198,24</w:t>
            </w:r>
          </w:p>
        </w:tc>
        <w:tc>
          <w:tcPr>
            <w:tcW w:w="1442" w:type="dxa"/>
            <w:shd w:val="clear" w:color="auto" w:fill="auto"/>
            <w:noWrap/>
            <w:vAlign w:val="bottom"/>
            <w:hideMark/>
          </w:tcPr>
          <w:p w14:paraId="23CC3640"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4</w:t>
            </w:r>
          </w:p>
        </w:tc>
      </w:tr>
      <w:tr w:rsidR="00DB474C" w:rsidRPr="00E93855" w14:paraId="7CFDFB30" w14:textId="77777777" w:rsidTr="00E564BF">
        <w:trPr>
          <w:trHeight w:val="300"/>
        </w:trPr>
        <w:tc>
          <w:tcPr>
            <w:tcW w:w="2127" w:type="dxa"/>
            <w:shd w:val="clear" w:color="auto" w:fill="auto"/>
            <w:noWrap/>
            <w:vAlign w:val="bottom"/>
            <w:hideMark/>
          </w:tcPr>
          <w:p w14:paraId="6D4F03C3"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Подгоренский</w:t>
            </w:r>
          </w:p>
        </w:tc>
        <w:tc>
          <w:tcPr>
            <w:tcW w:w="2268" w:type="dxa"/>
            <w:shd w:val="clear" w:color="auto" w:fill="auto"/>
            <w:noWrap/>
            <w:vAlign w:val="bottom"/>
            <w:hideMark/>
          </w:tcPr>
          <w:p w14:paraId="0B504F4C"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1 191,91</w:t>
            </w:r>
          </w:p>
        </w:tc>
        <w:tc>
          <w:tcPr>
            <w:tcW w:w="1580" w:type="dxa"/>
            <w:shd w:val="clear" w:color="auto" w:fill="auto"/>
            <w:noWrap/>
            <w:vAlign w:val="bottom"/>
            <w:hideMark/>
          </w:tcPr>
          <w:p w14:paraId="22FEC90A"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1 191,91</w:t>
            </w:r>
          </w:p>
        </w:tc>
        <w:tc>
          <w:tcPr>
            <w:tcW w:w="1822" w:type="dxa"/>
            <w:shd w:val="clear" w:color="auto" w:fill="auto"/>
            <w:noWrap/>
            <w:vAlign w:val="bottom"/>
            <w:hideMark/>
          </w:tcPr>
          <w:p w14:paraId="2373417A"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1 191,91</w:t>
            </w:r>
          </w:p>
        </w:tc>
        <w:tc>
          <w:tcPr>
            <w:tcW w:w="1442" w:type="dxa"/>
            <w:shd w:val="clear" w:color="auto" w:fill="auto"/>
            <w:noWrap/>
            <w:vAlign w:val="bottom"/>
            <w:hideMark/>
          </w:tcPr>
          <w:p w14:paraId="17A3ABAE"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w:t>
            </w:r>
          </w:p>
        </w:tc>
      </w:tr>
      <w:tr w:rsidR="00DB474C" w:rsidRPr="00E93855" w14:paraId="4291BA22" w14:textId="77777777" w:rsidTr="00E564BF">
        <w:trPr>
          <w:trHeight w:val="300"/>
        </w:trPr>
        <w:tc>
          <w:tcPr>
            <w:tcW w:w="2127" w:type="dxa"/>
            <w:shd w:val="clear" w:color="auto" w:fill="auto"/>
            <w:noWrap/>
            <w:vAlign w:val="bottom"/>
            <w:hideMark/>
          </w:tcPr>
          <w:p w14:paraId="369A5D7E"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Рамонский</w:t>
            </w:r>
          </w:p>
        </w:tc>
        <w:tc>
          <w:tcPr>
            <w:tcW w:w="2268" w:type="dxa"/>
            <w:shd w:val="clear" w:color="auto" w:fill="auto"/>
            <w:noWrap/>
            <w:vAlign w:val="bottom"/>
            <w:hideMark/>
          </w:tcPr>
          <w:p w14:paraId="5B018AC1"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40,42</w:t>
            </w:r>
          </w:p>
        </w:tc>
        <w:tc>
          <w:tcPr>
            <w:tcW w:w="1580" w:type="dxa"/>
            <w:shd w:val="clear" w:color="auto" w:fill="auto"/>
            <w:noWrap/>
            <w:vAlign w:val="bottom"/>
            <w:hideMark/>
          </w:tcPr>
          <w:p w14:paraId="6535021A"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1 165,17</w:t>
            </w:r>
          </w:p>
        </w:tc>
        <w:tc>
          <w:tcPr>
            <w:tcW w:w="1822" w:type="dxa"/>
            <w:shd w:val="clear" w:color="auto" w:fill="auto"/>
            <w:noWrap/>
            <w:vAlign w:val="bottom"/>
            <w:hideMark/>
          </w:tcPr>
          <w:p w14:paraId="3D9E802E"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8 140,84</w:t>
            </w:r>
          </w:p>
        </w:tc>
        <w:tc>
          <w:tcPr>
            <w:tcW w:w="1442" w:type="dxa"/>
            <w:shd w:val="clear" w:color="auto" w:fill="auto"/>
            <w:noWrap/>
            <w:vAlign w:val="bottom"/>
            <w:hideMark/>
          </w:tcPr>
          <w:p w14:paraId="04A82B4C"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26</w:t>
            </w:r>
          </w:p>
        </w:tc>
      </w:tr>
      <w:tr w:rsidR="00DB474C" w:rsidRPr="00E93855" w14:paraId="2B1A88F0" w14:textId="77777777" w:rsidTr="00E564BF">
        <w:trPr>
          <w:trHeight w:val="300"/>
        </w:trPr>
        <w:tc>
          <w:tcPr>
            <w:tcW w:w="2127" w:type="dxa"/>
            <w:shd w:val="clear" w:color="auto" w:fill="auto"/>
            <w:noWrap/>
            <w:vAlign w:val="bottom"/>
            <w:hideMark/>
          </w:tcPr>
          <w:p w14:paraId="6B9E74AE"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Репьевский</w:t>
            </w:r>
          </w:p>
        </w:tc>
        <w:tc>
          <w:tcPr>
            <w:tcW w:w="2268" w:type="dxa"/>
            <w:shd w:val="clear" w:color="auto" w:fill="auto"/>
            <w:noWrap/>
            <w:vAlign w:val="bottom"/>
            <w:hideMark/>
          </w:tcPr>
          <w:p w14:paraId="38EF183E"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522,14</w:t>
            </w:r>
          </w:p>
        </w:tc>
        <w:tc>
          <w:tcPr>
            <w:tcW w:w="1580" w:type="dxa"/>
            <w:shd w:val="clear" w:color="auto" w:fill="auto"/>
            <w:noWrap/>
            <w:vAlign w:val="bottom"/>
            <w:hideMark/>
          </w:tcPr>
          <w:p w14:paraId="4781E50E"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522,14</w:t>
            </w:r>
          </w:p>
        </w:tc>
        <w:tc>
          <w:tcPr>
            <w:tcW w:w="1822" w:type="dxa"/>
            <w:shd w:val="clear" w:color="auto" w:fill="auto"/>
            <w:noWrap/>
            <w:vAlign w:val="bottom"/>
            <w:hideMark/>
          </w:tcPr>
          <w:p w14:paraId="5D3D1E74"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522,14</w:t>
            </w:r>
          </w:p>
        </w:tc>
        <w:tc>
          <w:tcPr>
            <w:tcW w:w="1442" w:type="dxa"/>
            <w:shd w:val="clear" w:color="auto" w:fill="auto"/>
            <w:noWrap/>
            <w:vAlign w:val="bottom"/>
            <w:hideMark/>
          </w:tcPr>
          <w:p w14:paraId="0CC63637"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w:t>
            </w:r>
          </w:p>
        </w:tc>
      </w:tr>
      <w:tr w:rsidR="00DB474C" w:rsidRPr="00E93855" w14:paraId="65B5CD3B" w14:textId="77777777" w:rsidTr="00E564BF">
        <w:trPr>
          <w:trHeight w:val="300"/>
        </w:trPr>
        <w:tc>
          <w:tcPr>
            <w:tcW w:w="2127" w:type="dxa"/>
            <w:shd w:val="clear" w:color="auto" w:fill="auto"/>
            <w:noWrap/>
            <w:vAlign w:val="bottom"/>
            <w:hideMark/>
          </w:tcPr>
          <w:p w14:paraId="3404386E"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Россошанский</w:t>
            </w:r>
          </w:p>
        </w:tc>
        <w:tc>
          <w:tcPr>
            <w:tcW w:w="2268" w:type="dxa"/>
            <w:shd w:val="clear" w:color="auto" w:fill="auto"/>
            <w:noWrap/>
            <w:vAlign w:val="bottom"/>
            <w:hideMark/>
          </w:tcPr>
          <w:p w14:paraId="20F59440"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148,42</w:t>
            </w:r>
          </w:p>
        </w:tc>
        <w:tc>
          <w:tcPr>
            <w:tcW w:w="1580" w:type="dxa"/>
            <w:shd w:val="clear" w:color="auto" w:fill="auto"/>
            <w:noWrap/>
            <w:vAlign w:val="bottom"/>
            <w:hideMark/>
          </w:tcPr>
          <w:p w14:paraId="08452F40"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3 406,07</w:t>
            </w:r>
          </w:p>
        </w:tc>
        <w:tc>
          <w:tcPr>
            <w:tcW w:w="1822" w:type="dxa"/>
            <w:shd w:val="clear" w:color="auto" w:fill="auto"/>
            <w:noWrap/>
            <w:vAlign w:val="bottom"/>
            <w:hideMark/>
          </w:tcPr>
          <w:p w14:paraId="61324F1D"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23 973,94</w:t>
            </w:r>
          </w:p>
        </w:tc>
        <w:tc>
          <w:tcPr>
            <w:tcW w:w="1442" w:type="dxa"/>
            <w:shd w:val="clear" w:color="auto" w:fill="auto"/>
            <w:noWrap/>
            <w:vAlign w:val="bottom"/>
            <w:hideMark/>
          </w:tcPr>
          <w:p w14:paraId="6211F375"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10</w:t>
            </w:r>
          </w:p>
        </w:tc>
      </w:tr>
      <w:tr w:rsidR="00DB474C" w:rsidRPr="00E93855" w14:paraId="1AB39BD4" w14:textId="77777777" w:rsidTr="00E564BF">
        <w:trPr>
          <w:trHeight w:val="300"/>
        </w:trPr>
        <w:tc>
          <w:tcPr>
            <w:tcW w:w="2127" w:type="dxa"/>
            <w:shd w:val="clear" w:color="auto" w:fill="auto"/>
            <w:noWrap/>
            <w:vAlign w:val="bottom"/>
            <w:hideMark/>
          </w:tcPr>
          <w:p w14:paraId="0A8F48B2"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Семилукский</w:t>
            </w:r>
          </w:p>
        </w:tc>
        <w:tc>
          <w:tcPr>
            <w:tcW w:w="2268" w:type="dxa"/>
            <w:shd w:val="clear" w:color="auto" w:fill="auto"/>
            <w:noWrap/>
            <w:vAlign w:val="bottom"/>
            <w:hideMark/>
          </w:tcPr>
          <w:p w14:paraId="35E49C99"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9,61</w:t>
            </w:r>
          </w:p>
        </w:tc>
        <w:tc>
          <w:tcPr>
            <w:tcW w:w="1580" w:type="dxa"/>
            <w:shd w:val="clear" w:color="auto" w:fill="auto"/>
            <w:noWrap/>
            <w:vAlign w:val="bottom"/>
            <w:hideMark/>
          </w:tcPr>
          <w:p w14:paraId="1E585B72"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911,82</w:t>
            </w:r>
          </w:p>
        </w:tc>
        <w:tc>
          <w:tcPr>
            <w:tcW w:w="1822" w:type="dxa"/>
            <w:shd w:val="clear" w:color="auto" w:fill="auto"/>
            <w:noWrap/>
            <w:vAlign w:val="bottom"/>
            <w:hideMark/>
          </w:tcPr>
          <w:p w14:paraId="3EB8F14A"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3 602,06</w:t>
            </w:r>
          </w:p>
        </w:tc>
        <w:tc>
          <w:tcPr>
            <w:tcW w:w="1442" w:type="dxa"/>
            <w:shd w:val="clear" w:color="auto" w:fill="auto"/>
            <w:noWrap/>
            <w:vAlign w:val="bottom"/>
            <w:hideMark/>
          </w:tcPr>
          <w:p w14:paraId="580D8BA8"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5</w:t>
            </w:r>
          </w:p>
        </w:tc>
      </w:tr>
      <w:tr w:rsidR="00DB474C" w:rsidRPr="00E93855" w14:paraId="4A53D8AF" w14:textId="77777777" w:rsidTr="00E564BF">
        <w:trPr>
          <w:trHeight w:val="300"/>
        </w:trPr>
        <w:tc>
          <w:tcPr>
            <w:tcW w:w="2127" w:type="dxa"/>
            <w:shd w:val="clear" w:color="auto" w:fill="auto"/>
            <w:noWrap/>
            <w:vAlign w:val="bottom"/>
            <w:hideMark/>
          </w:tcPr>
          <w:p w14:paraId="776DC7CA"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Таловский</w:t>
            </w:r>
          </w:p>
        </w:tc>
        <w:tc>
          <w:tcPr>
            <w:tcW w:w="2268" w:type="dxa"/>
            <w:shd w:val="clear" w:color="auto" w:fill="auto"/>
            <w:noWrap/>
            <w:vAlign w:val="bottom"/>
            <w:hideMark/>
          </w:tcPr>
          <w:p w14:paraId="49967DED"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580" w:type="dxa"/>
            <w:shd w:val="clear" w:color="auto" w:fill="auto"/>
            <w:noWrap/>
            <w:vAlign w:val="bottom"/>
            <w:hideMark/>
          </w:tcPr>
          <w:p w14:paraId="2D69DC84"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822" w:type="dxa"/>
            <w:shd w:val="clear" w:color="auto" w:fill="auto"/>
            <w:noWrap/>
            <w:vAlign w:val="bottom"/>
            <w:hideMark/>
          </w:tcPr>
          <w:p w14:paraId="513D919D"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442" w:type="dxa"/>
            <w:shd w:val="clear" w:color="auto" w:fill="auto"/>
            <w:noWrap/>
            <w:vAlign w:val="bottom"/>
            <w:hideMark/>
          </w:tcPr>
          <w:p w14:paraId="42080FD3"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r>
      <w:tr w:rsidR="00DB474C" w:rsidRPr="00E93855" w14:paraId="307900C8" w14:textId="77777777" w:rsidTr="00E564BF">
        <w:trPr>
          <w:trHeight w:val="300"/>
        </w:trPr>
        <w:tc>
          <w:tcPr>
            <w:tcW w:w="2127" w:type="dxa"/>
            <w:shd w:val="clear" w:color="auto" w:fill="auto"/>
            <w:noWrap/>
            <w:vAlign w:val="bottom"/>
            <w:hideMark/>
          </w:tcPr>
          <w:p w14:paraId="0DAC92E9"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Терновский</w:t>
            </w:r>
          </w:p>
        </w:tc>
        <w:tc>
          <w:tcPr>
            <w:tcW w:w="2268" w:type="dxa"/>
            <w:shd w:val="clear" w:color="auto" w:fill="auto"/>
            <w:noWrap/>
            <w:vAlign w:val="bottom"/>
            <w:hideMark/>
          </w:tcPr>
          <w:p w14:paraId="308CA640"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580" w:type="dxa"/>
            <w:shd w:val="clear" w:color="auto" w:fill="auto"/>
            <w:noWrap/>
            <w:vAlign w:val="bottom"/>
            <w:hideMark/>
          </w:tcPr>
          <w:p w14:paraId="1ED2A22B"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822" w:type="dxa"/>
            <w:shd w:val="clear" w:color="auto" w:fill="auto"/>
            <w:noWrap/>
            <w:vAlign w:val="bottom"/>
            <w:hideMark/>
          </w:tcPr>
          <w:p w14:paraId="11A418F3"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c>
          <w:tcPr>
            <w:tcW w:w="1442" w:type="dxa"/>
            <w:shd w:val="clear" w:color="auto" w:fill="auto"/>
            <w:noWrap/>
            <w:vAlign w:val="bottom"/>
            <w:hideMark/>
          </w:tcPr>
          <w:p w14:paraId="5F5DE723"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w:t>
            </w:r>
          </w:p>
        </w:tc>
      </w:tr>
      <w:tr w:rsidR="00DB474C" w:rsidRPr="00E93855" w14:paraId="7153BB36" w14:textId="77777777" w:rsidTr="00E564BF">
        <w:trPr>
          <w:trHeight w:val="300"/>
        </w:trPr>
        <w:tc>
          <w:tcPr>
            <w:tcW w:w="2127" w:type="dxa"/>
            <w:shd w:val="clear" w:color="auto" w:fill="auto"/>
            <w:noWrap/>
            <w:vAlign w:val="bottom"/>
            <w:hideMark/>
          </w:tcPr>
          <w:p w14:paraId="2D1FD50B"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Хохольский</w:t>
            </w:r>
          </w:p>
        </w:tc>
        <w:tc>
          <w:tcPr>
            <w:tcW w:w="2268" w:type="dxa"/>
            <w:shd w:val="clear" w:color="auto" w:fill="auto"/>
            <w:noWrap/>
            <w:vAlign w:val="bottom"/>
            <w:hideMark/>
          </w:tcPr>
          <w:p w14:paraId="393CDF6A"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132,28</w:t>
            </w:r>
          </w:p>
        </w:tc>
        <w:tc>
          <w:tcPr>
            <w:tcW w:w="1580" w:type="dxa"/>
            <w:shd w:val="clear" w:color="auto" w:fill="auto"/>
            <w:noWrap/>
            <w:vAlign w:val="bottom"/>
            <w:hideMark/>
          </w:tcPr>
          <w:p w14:paraId="6F53A5DE"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1 735,07</w:t>
            </w:r>
          </w:p>
        </w:tc>
        <w:tc>
          <w:tcPr>
            <w:tcW w:w="1822" w:type="dxa"/>
            <w:shd w:val="clear" w:color="auto" w:fill="auto"/>
            <w:noWrap/>
            <w:vAlign w:val="bottom"/>
            <w:hideMark/>
          </w:tcPr>
          <w:p w14:paraId="770F36F9"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4 666,66</w:t>
            </w:r>
          </w:p>
        </w:tc>
        <w:tc>
          <w:tcPr>
            <w:tcW w:w="1442" w:type="dxa"/>
            <w:shd w:val="clear" w:color="auto" w:fill="auto"/>
            <w:noWrap/>
            <w:vAlign w:val="bottom"/>
            <w:hideMark/>
          </w:tcPr>
          <w:p w14:paraId="1DBCDC14"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11</w:t>
            </w:r>
          </w:p>
        </w:tc>
      </w:tr>
      <w:tr w:rsidR="00DB474C" w:rsidRPr="00E93855" w14:paraId="4EBCD23B" w14:textId="77777777" w:rsidTr="00E564BF">
        <w:trPr>
          <w:trHeight w:val="300"/>
        </w:trPr>
        <w:tc>
          <w:tcPr>
            <w:tcW w:w="2127" w:type="dxa"/>
            <w:shd w:val="clear" w:color="auto" w:fill="auto"/>
            <w:noWrap/>
            <w:vAlign w:val="bottom"/>
            <w:hideMark/>
          </w:tcPr>
          <w:p w14:paraId="3441FF8D"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Эртильский</w:t>
            </w:r>
          </w:p>
        </w:tc>
        <w:tc>
          <w:tcPr>
            <w:tcW w:w="2268" w:type="dxa"/>
            <w:shd w:val="clear" w:color="auto" w:fill="auto"/>
            <w:noWrap/>
            <w:vAlign w:val="bottom"/>
            <w:hideMark/>
          </w:tcPr>
          <w:p w14:paraId="62F5A4A7"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49,00</w:t>
            </w:r>
          </w:p>
        </w:tc>
        <w:tc>
          <w:tcPr>
            <w:tcW w:w="1580" w:type="dxa"/>
            <w:shd w:val="clear" w:color="auto" w:fill="auto"/>
            <w:noWrap/>
            <w:vAlign w:val="bottom"/>
            <w:hideMark/>
          </w:tcPr>
          <w:p w14:paraId="04BA921C"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749,95</w:t>
            </w:r>
          </w:p>
        </w:tc>
        <w:tc>
          <w:tcPr>
            <w:tcW w:w="1822" w:type="dxa"/>
            <w:shd w:val="clear" w:color="auto" w:fill="auto"/>
            <w:noWrap/>
            <w:vAlign w:val="bottom"/>
            <w:hideMark/>
          </w:tcPr>
          <w:p w14:paraId="0483DDD2"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1 957,81</w:t>
            </w:r>
          </w:p>
        </w:tc>
        <w:tc>
          <w:tcPr>
            <w:tcW w:w="1442" w:type="dxa"/>
            <w:shd w:val="clear" w:color="auto" w:fill="auto"/>
            <w:noWrap/>
            <w:vAlign w:val="bottom"/>
            <w:hideMark/>
          </w:tcPr>
          <w:p w14:paraId="51E163C1"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3</w:t>
            </w:r>
          </w:p>
        </w:tc>
      </w:tr>
      <w:tr w:rsidR="00DB474C" w:rsidRPr="00E93855" w14:paraId="5B90E7F0" w14:textId="77777777" w:rsidTr="00E564BF">
        <w:trPr>
          <w:trHeight w:val="300"/>
        </w:trPr>
        <w:tc>
          <w:tcPr>
            <w:tcW w:w="2127" w:type="dxa"/>
            <w:shd w:val="clear" w:color="auto" w:fill="auto"/>
            <w:noWrap/>
            <w:vAlign w:val="bottom"/>
            <w:hideMark/>
          </w:tcPr>
          <w:p w14:paraId="3CDA0996"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г.о.г. Нововоронеж</w:t>
            </w:r>
          </w:p>
        </w:tc>
        <w:tc>
          <w:tcPr>
            <w:tcW w:w="2268" w:type="dxa"/>
            <w:shd w:val="clear" w:color="auto" w:fill="auto"/>
            <w:noWrap/>
            <w:vAlign w:val="bottom"/>
            <w:hideMark/>
          </w:tcPr>
          <w:p w14:paraId="13AE8567"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14 700,00</w:t>
            </w:r>
          </w:p>
        </w:tc>
        <w:tc>
          <w:tcPr>
            <w:tcW w:w="1580" w:type="dxa"/>
            <w:shd w:val="clear" w:color="auto" w:fill="auto"/>
            <w:noWrap/>
            <w:vAlign w:val="bottom"/>
            <w:hideMark/>
          </w:tcPr>
          <w:p w14:paraId="294085F4"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14 700,00</w:t>
            </w:r>
          </w:p>
        </w:tc>
        <w:tc>
          <w:tcPr>
            <w:tcW w:w="1822" w:type="dxa"/>
            <w:shd w:val="clear" w:color="auto" w:fill="auto"/>
            <w:noWrap/>
            <w:vAlign w:val="bottom"/>
            <w:hideMark/>
          </w:tcPr>
          <w:p w14:paraId="2B5FAAB3"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14 700,00</w:t>
            </w:r>
          </w:p>
        </w:tc>
        <w:tc>
          <w:tcPr>
            <w:tcW w:w="1442" w:type="dxa"/>
            <w:shd w:val="clear" w:color="auto" w:fill="auto"/>
            <w:noWrap/>
            <w:vAlign w:val="bottom"/>
            <w:hideMark/>
          </w:tcPr>
          <w:p w14:paraId="10244C54"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w:t>
            </w:r>
          </w:p>
        </w:tc>
      </w:tr>
      <w:tr w:rsidR="00DB474C" w:rsidRPr="00E93855" w14:paraId="197635DA" w14:textId="77777777" w:rsidTr="00E564BF">
        <w:trPr>
          <w:trHeight w:val="300"/>
        </w:trPr>
        <w:tc>
          <w:tcPr>
            <w:tcW w:w="2127" w:type="dxa"/>
            <w:shd w:val="clear" w:color="auto" w:fill="auto"/>
            <w:noWrap/>
            <w:vAlign w:val="bottom"/>
            <w:hideMark/>
          </w:tcPr>
          <w:p w14:paraId="611ECF95" w14:textId="77777777" w:rsidR="00DB474C" w:rsidRPr="00E93855" w:rsidRDefault="00DB474C" w:rsidP="00DB474C">
            <w:pPr>
              <w:spacing w:after="0" w:line="240" w:lineRule="auto"/>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г.о.г. Воронеж</w:t>
            </w:r>
          </w:p>
        </w:tc>
        <w:tc>
          <w:tcPr>
            <w:tcW w:w="2268" w:type="dxa"/>
            <w:shd w:val="clear" w:color="auto" w:fill="auto"/>
            <w:noWrap/>
            <w:vAlign w:val="bottom"/>
            <w:hideMark/>
          </w:tcPr>
          <w:p w14:paraId="760E6875"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156,60</w:t>
            </w:r>
          </w:p>
        </w:tc>
        <w:tc>
          <w:tcPr>
            <w:tcW w:w="1580" w:type="dxa"/>
            <w:shd w:val="clear" w:color="auto" w:fill="auto"/>
            <w:noWrap/>
            <w:vAlign w:val="bottom"/>
            <w:hideMark/>
          </w:tcPr>
          <w:p w14:paraId="21CA4ED6"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9 324,44</w:t>
            </w:r>
          </w:p>
        </w:tc>
        <w:tc>
          <w:tcPr>
            <w:tcW w:w="1822" w:type="dxa"/>
            <w:shd w:val="clear" w:color="auto" w:fill="auto"/>
            <w:noWrap/>
            <w:vAlign w:val="bottom"/>
            <w:hideMark/>
          </w:tcPr>
          <w:p w14:paraId="693F24CE"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67 296,14</w:t>
            </w:r>
          </w:p>
        </w:tc>
        <w:tc>
          <w:tcPr>
            <w:tcW w:w="1442" w:type="dxa"/>
            <w:shd w:val="clear" w:color="auto" w:fill="auto"/>
            <w:noWrap/>
            <w:vAlign w:val="bottom"/>
            <w:hideMark/>
          </w:tcPr>
          <w:p w14:paraId="3673F476" w14:textId="77777777" w:rsidR="00DB474C" w:rsidRPr="00E93855" w:rsidRDefault="00DB474C" w:rsidP="00DB474C">
            <w:pPr>
              <w:spacing w:after="0" w:line="240" w:lineRule="auto"/>
              <w:jc w:val="right"/>
              <w:rPr>
                <w:rFonts w:ascii="Times New Roman" w:eastAsia="Times New Roman" w:hAnsi="Times New Roman" w:cs="Times New Roman"/>
                <w:color w:val="000000"/>
                <w:lang w:eastAsia="ru-RU"/>
              </w:rPr>
            </w:pPr>
            <w:r w:rsidRPr="00E93855">
              <w:rPr>
                <w:rFonts w:ascii="Times New Roman" w:eastAsia="Times New Roman" w:hAnsi="Times New Roman" w:cs="Times New Roman"/>
                <w:color w:val="000000"/>
                <w:lang w:eastAsia="ru-RU"/>
              </w:rPr>
              <w:t>55</w:t>
            </w:r>
          </w:p>
        </w:tc>
      </w:tr>
      <w:tr w:rsidR="00DB474C" w:rsidRPr="00E93855" w14:paraId="4A9D08C4" w14:textId="77777777" w:rsidTr="00E564BF">
        <w:trPr>
          <w:trHeight w:val="300"/>
        </w:trPr>
        <w:tc>
          <w:tcPr>
            <w:tcW w:w="2127" w:type="dxa"/>
            <w:shd w:val="clear" w:color="auto" w:fill="auto"/>
            <w:noWrap/>
            <w:vAlign w:val="bottom"/>
            <w:hideMark/>
          </w:tcPr>
          <w:p w14:paraId="66FC9DA5" w14:textId="77777777" w:rsidR="00DB474C" w:rsidRPr="00E93855" w:rsidRDefault="00DB474C" w:rsidP="00DB474C">
            <w:pPr>
              <w:spacing w:after="0" w:line="240" w:lineRule="auto"/>
              <w:rPr>
                <w:rFonts w:ascii="Times New Roman" w:eastAsia="Times New Roman" w:hAnsi="Times New Roman" w:cs="Times New Roman"/>
                <w:b/>
                <w:color w:val="000000"/>
                <w:lang w:eastAsia="ru-RU"/>
              </w:rPr>
            </w:pPr>
            <w:r w:rsidRPr="00E93855">
              <w:rPr>
                <w:rFonts w:ascii="Times New Roman" w:eastAsia="Times New Roman" w:hAnsi="Times New Roman" w:cs="Times New Roman"/>
                <w:b/>
                <w:color w:val="000000"/>
                <w:lang w:eastAsia="ru-RU"/>
              </w:rPr>
              <w:t>Общий итог</w:t>
            </w:r>
          </w:p>
        </w:tc>
        <w:tc>
          <w:tcPr>
            <w:tcW w:w="2268" w:type="dxa"/>
            <w:shd w:val="clear" w:color="auto" w:fill="auto"/>
            <w:noWrap/>
            <w:vAlign w:val="bottom"/>
            <w:hideMark/>
          </w:tcPr>
          <w:p w14:paraId="0438BEA7" w14:textId="77777777" w:rsidR="00DB474C" w:rsidRPr="00E93855" w:rsidRDefault="00DB474C" w:rsidP="00DB474C">
            <w:pPr>
              <w:spacing w:after="0" w:line="240" w:lineRule="auto"/>
              <w:jc w:val="right"/>
              <w:rPr>
                <w:rFonts w:ascii="Times New Roman" w:eastAsia="Times New Roman" w:hAnsi="Times New Roman" w:cs="Times New Roman"/>
                <w:b/>
                <w:color w:val="000000"/>
                <w:lang w:eastAsia="ru-RU"/>
              </w:rPr>
            </w:pPr>
            <w:r w:rsidRPr="00E93855">
              <w:rPr>
                <w:rFonts w:ascii="Times New Roman" w:eastAsia="Times New Roman" w:hAnsi="Times New Roman" w:cs="Times New Roman"/>
                <w:b/>
                <w:color w:val="000000"/>
                <w:lang w:eastAsia="ru-RU"/>
              </w:rPr>
              <w:t>1,01</w:t>
            </w:r>
          </w:p>
        </w:tc>
        <w:tc>
          <w:tcPr>
            <w:tcW w:w="1580" w:type="dxa"/>
            <w:shd w:val="clear" w:color="auto" w:fill="auto"/>
            <w:noWrap/>
            <w:vAlign w:val="bottom"/>
            <w:hideMark/>
          </w:tcPr>
          <w:p w14:paraId="0FF6BBE0" w14:textId="77777777" w:rsidR="00DB474C" w:rsidRPr="00E93855" w:rsidRDefault="00DB474C" w:rsidP="00DB474C">
            <w:pPr>
              <w:spacing w:after="0" w:line="240" w:lineRule="auto"/>
              <w:jc w:val="right"/>
              <w:rPr>
                <w:rFonts w:ascii="Times New Roman" w:eastAsia="Times New Roman" w:hAnsi="Times New Roman" w:cs="Times New Roman"/>
                <w:b/>
                <w:color w:val="000000"/>
                <w:lang w:eastAsia="ru-RU"/>
              </w:rPr>
            </w:pPr>
            <w:r w:rsidRPr="00E93855">
              <w:rPr>
                <w:rFonts w:ascii="Times New Roman" w:eastAsia="Times New Roman" w:hAnsi="Times New Roman" w:cs="Times New Roman"/>
                <w:b/>
                <w:color w:val="000000"/>
                <w:lang w:eastAsia="ru-RU"/>
              </w:rPr>
              <w:t>3 720,26</w:t>
            </w:r>
          </w:p>
        </w:tc>
        <w:tc>
          <w:tcPr>
            <w:tcW w:w="1822" w:type="dxa"/>
            <w:shd w:val="clear" w:color="auto" w:fill="auto"/>
            <w:noWrap/>
            <w:vAlign w:val="bottom"/>
            <w:hideMark/>
          </w:tcPr>
          <w:p w14:paraId="0792447D" w14:textId="77777777" w:rsidR="00DB474C" w:rsidRPr="00E93855" w:rsidRDefault="00DB474C" w:rsidP="00DB474C">
            <w:pPr>
              <w:spacing w:after="0" w:line="240" w:lineRule="auto"/>
              <w:jc w:val="right"/>
              <w:rPr>
                <w:rFonts w:ascii="Times New Roman" w:eastAsia="Times New Roman" w:hAnsi="Times New Roman" w:cs="Times New Roman"/>
                <w:b/>
                <w:color w:val="000000"/>
                <w:lang w:eastAsia="ru-RU"/>
              </w:rPr>
            </w:pPr>
            <w:r w:rsidRPr="00E93855">
              <w:rPr>
                <w:rFonts w:ascii="Times New Roman" w:eastAsia="Times New Roman" w:hAnsi="Times New Roman" w:cs="Times New Roman"/>
                <w:b/>
                <w:color w:val="000000"/>
                <w:lang w:eastAsia="ru-RU"/>
              </w:rPr>
              <w:t>67 296,14</w:t>
            </w:r>
          </w:p>
        </w:tc>
        <w:tc>
          <w:tcPr>
            <w:tcW w:w="1442" w:type="dxa"/>
            <w:shd w:val="clear" w:color="auto" w:fill="auto"/>
            <w:noWrap/>
            <w:vAlign w:val="bottom"/>
            <w:hideMark/>
          </w:tcPr>
          <w:p w14:paraId="115A2729" w14:textId="77777777" w:rsidR="00DB474C" w:rsidRPr="00E93855" w:rsidRDefault="00DB474C" w:rsidP="00DB474C">
            <w:pPr>
              <w:spacing w:after="0" w:line="240" w:lineRule="auto"/>
              <w:jc w:val="right"/>
              <w:rPr>
                <w:rFonts w:ascii="Times New Roman" w:eastAsia="Times New Roman" w:hAnsi="Times New Roman" w:cs="Times New Roman"/>
                <w:b/>
                <w:color w:val="000000"/>
                <w:lang w:eastAsia="ru-RU"/>
              </w:rPr>
            </w:pPr>
            <w:r w:rsidRPr="00E93855">
              <w:rPr>
                <w:rFonts w:ascii="Times New Roman" w:eastAsia="Times New Roman" w:hAnsi="Times New Roman" w:cs="Times New Roman"/>
                <w:b/>
                <w:color w:val="000000"/>
                <w:lang w:eastAsia="ru-RU"/>
              </w:rPr>
              <w:t>223</w:t>
            </w:r>
          </w:p>
        </w:tc>
      </w:tr>
    </w:tbl>
    <w:p w14:paraId="05661BE0" w14:textId="77777777" w:rsidR="00DB474C" w:rsidRDefault="00DB474C" w:rsidP="00DB474C">
      <w:pPr>
        <w:spacing w:before="120"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Наибольшее количество земельных участков, предназначенных для объектов придорожного сервиса, среди районов области представлено в Новоусманском районе- 35 предложений (сделок), что составляет 15,69% от общего количества по данному разрешенному использованию. Нет рыночной информации по Воробьевскому, Калачеевскому, Нижнедевицкому, Панинскому, Таловскому, а также Терновскому районах.</w:t>
      </w:r>
    </w:p>
    <w:p w14:paraId="39481D98" w14:textId="77777777" w:rsidR="00DB474C" w:rsidRDefault="00DB474C" w:rsidP="00DB474C">
      <w:pPr>
        <w:spacing w:before="120" w:after="0" w:line="300" w:lineRule="auto"/>
        <w:ind w:firstLine="567"/>
        <w:jc w:val="both"/>
        <w:rPr>
          <w:rFonts w:ascii="Times New Roman" w:hAnsi="Times New Roman" w:cs="Times New Roman"/>
          <w:sz w:val="26"/>
          <w:szCs w:val="26"/>
        </w:rPr>
      </w:pPr>
      <w:r w:rsidRPr="00FF062C">
        <w:rPr>
          <w:rFonts w:ascii="Times New Roman" w:eastAsia="Times New Roman" w:hAnsi="Times New Roman" w:cs="Times New Roman"/>
          <w:sz w:val="26"/>
          <w:szCs w:val="26"/>
          <w:lang w:eastAsia="ru-RU"/>
        </w:rPr>
        <w:t xml:space="preserve">Средний удельный показатель рыночной стоимости по г.о.г. Воронеж составляет </w:t>
      </w:r>
      <w:r>
        <w:rPr>
          <w:rFonts w:ascii="Times New Roman" w:eastAsia="Times New Roman" w:hAnsi="Times New Roman" w:cs="Times New Roman"/>
          <w:sz w:val="26"/>
          <w:szCs w:val="26"/>
          <w:lang w:eastAsia="ru-RU"/>
        </w:rPr>
        <w:t>9 324,44</w:t>
      </w:r>
      <w:r w:rsidRPr="00FF062C">
        <w:rPr>
          <w:rFonts w:ascii="Times New Roman" w:eastAsia="Times New Roman" w:hAnsi="Times New Roman" w:cs="Times New Roman"/>
          <w:sz w:val="26"/>
          <w:szCs w:val="26"/>
          <w:lang w:eastAsia="ru-RU"/>
        </w:rPr>
        <w:t xml:space="preserve"> </w:t>
      </w:r>
      <w:r w:rsidRPr="00FF062C">
        <w:rPr>
          <w:rFonts w:ascii="Times New Roman" w:hAnsi="Times New Roman" w:cs="Times New Roman"/>
          <w:sz w:val="26"/>
          <w:szCs w:val="26"/>
        </w:rPr>
        <w:t>руб./кв.</w:t>
      </w:r>
      <w:r w:rsidRPr="00544599">
        <w:rPr>
          <w:rFonts w:ascii="Times New Roman" w:hAnsi="Times New Roman" w:cs="Times New Roman"/>
          <w:sz w:val="26"/>
          <w:szCs w:val="26"/>
        </w:rPr>
        <w:t>м,</w:t>
      </w:r>
      <w:r>
        <w:rPr>
          <w:rFonts w:ascii="Times New Roman" w:hAnsi="Times New Roman" w:cs="Times New Roman"/>
          <w:sz w:val="26"/>
          <w:szCs w:val="26"/>
        </w:rPr>
        <w:t xml:space="preserve"> цены представлены в диапазоне от 156,60 до 67 296,14</w:t>
      </w:r>
      <w:r w:rsidRPr="00FF062C">
        <w:rPr>
          <w:rFonts w:ascii="Times New Roman" w:hAnsi="Times New Roman" w:cs="Times New Roman"/>
          <w:sz w:val="26"/>
          <w:szCs w:val="26"/>
        </w:rPr>
        <w:t xml:space="preserve"> руб./кв.</w:t>
      </w:r>
      <w:r w:rsidRPr="00544599">
        <w:rPr>
          <w:rFonts w:ascii="Times New Roman" w:hAnsi="Times New Roman" w:cs="Times New Roman"/>
          <w:sz w:val="26"/>
          <w:szCs w:val="26"/>
        </w:rPr>
        <w:t>м</w:t>
      </w:r>
      <w:r>
        <w:rPr>
          <w:rFonts w:ascii="Times New Roman" w:hAnsi="Times New Roman" w:cs="Times New Roman"/>
          <w:sz w:val="26"/>
          <w:szCs w:val="26"/>
        </w:rPr>
        <w:t>. Наибольший средний удельный показатель рыночной стоимости зафиксирован в г.о.г. Нововоронеж- 14 700 руб./кв.м. В целом цены лежат в диапазоне от 1,01 до 67 296,14 руб./кв.м.</w:t>
      </w:r>
    </w:p>
    <w:p w14:paraId="1EA4130F" w14:textId="77777777" w:rsidR="00DB474C" w:rsidRDefault="00DB474C" w:rsidP="00DB474C">
      <w:pPr>
        <w:spacing w:after="0" w:line="276"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Что касается земельных участков производственного назначения (производственно-складских и складских объектов недвижимости), всего представлено 2 907 предложений (сделок). Традиционно наибольшее количество зафиксировано предложений в г.о.г. Воронеж- 22,87% от общего количества.</w:t>
      </w:r>
    </w:p>
    <w:p w14:paraId="7A9D3ED5" w14:textId="77777777" w:rsidR="007A733D" w:rsidRDefault="007A733D" w:rsidP="00DB474C">
      <w:pPr>
        <w:spacing w:after="0" w:line="276" w:lineRule="auto"/>
        <w:ind w:firstLine="708"/>
        <w:jc w:val="right"/>
        <w:rPr>
          <w:rFonts w:ascii="Times New Roman" w:hAnsi="Times New Roman" w:cs="Times New Roman"/>
          <w:sz w:val="26"/>
          <w:szCs w:val="26"/>
        </w:rPr>
      </w:pPr>
    </w:p>
    <w:p w14:paraId="401CDAB5" w14:textId="77777777" w:rsidR="007A733D" w:rsidRDefault="007A733D" w:rsidP="00DB474C">
      <w:pPr>
        <w:spacing w:after="0" w:line="276" w:lineRule="auto"/>
        <w:ind w:firstLine="708"/>
        <w:jc w:val="right"/>
        <w:rPr>
          <w:rFonts w:ascii="Times New Roman" w:hAnsi="Times New Roman" w:cs="Times New Roman"/>
          <w:sz w:val="26"/>
          <w:szCs w:val="26"/>
        </w:rPr>
      </w:pPr>
    </w:p>
    <w:p w14:paraId="32B3A6D2" w14:textId="5080BA7D" w:rsidR="007A733D" w:rsidRDefault="007A733D" w:rsidP="00DB474C">
      <w:pPr>
        <w:spacing w:after="0" w:line="276" w:lineRule="auto"/>
        <w:ind w:firstLine="708"/>
        <w:jc w:val="right"/>
        <w:rPr>
          <w:rFonts w:ascii="Times New Roman" w:hAnsi="Times New Roman" w:cs="Times New Roman"/>
          <w:sz w:val="26"/>
          <w:szCs w:val="26"/>
        </w:rPr>
      </w:pPr>
    </w:p>
    <w:p w14:paraId="757F2227" w14:textId="294E1CB8" w:rsidR="00606730" w:rsidRDefault="00606730" w:rsidP="00DB474C">
      <w:pPr>
        <w:spacing w:after="0" w:line="276" w:lineRule="auto"/>
        <w:ind w:firstLine="708"/>
        <w:jc w:val="right"/>
        <w:rPr>
          <w:rFonts w:ascii="Times New Roman" w:hAnsi="Times New Roman" w:cs="Times New Roman"/>
          <w:sz w:val="26"/>
          <w:szCs w:val="26"/>
        </w:rPr>
      </w:pPr>
    </w:p>
    <w:p w14:paraId="34B07DB6" w14:textId="77777777" w:rsidR="00606730" w:rsidRDefault="00606730" w:rsidP="00DB474C">
      <w:pPr>
        <w:spacing w:after="0" w:line="276" w:lineRule="auto"/>
        <w:ind w:firstLine="708"/>
        <w:jc w:val="right"/>
        <w:rPr>
          <w:rFonts w:ascii="Times New Roman" w:hAnsi="Times New Roman" w:cs="Times New Roman"/>
          <w:sz w:val="26"/>
          <w:szCs w:val="26"/>
        </w:rPr>
      </w:pPr>
    </w:p>
    <w:p w14:paraId="57D93055" w14:textId="77777777" w:rsidR="007A733D" w:rsidRDefault="007A733D" w:rsidP="00DB474C">
      <w:pPr>
        <w:spacing w:after="0" w:line="276" w:lineRule="auto"/>
        <w:ind w:firstLine="708"/>
        <w:jc w:val="right"/>
        <w:rPr>
          <w:rFonts w:ascii="Times New Roman" w:hAnsi="Times New Roman" w:cs="Times New Roman"/>
          <w:sz w:val="26"/>
          <w:szCs w:val="26"/>
        </w:rPr>
      </w:pPr>
    </w:p>
    <w:p w14:paraId="177BDAD4" w14:textId="311398C9" w:rsidR="00DB474C" w:rsidRPr="00FD203C" w:rsidRDefault="00DB474C" w:rsidP="00DB474C">
      <w:pPr>
        <w:spacing w:after="0" w:line="276" w:lineRule="auto"/>
        <w:ind w:firstLine="708"/>
        <w:jc w:val="right"/>
        <w:rPr>
          <w:rFonts w:ascii="Times New Roman" w:hAnsi="Times New Roman" w:cs="Times New Roman"/>
          <w:sz w:val="26"/>
          <w:szCs w:val="26"/>
        </w:rPr>
      </w:pPr>
      <w:r w:rsidRPr="00FD203C">
        <w:rPr>
          <w:rFonts w:ascii="Times New Roman" w:hAnsi="Times New Roman" w:cs="Times New Roman"/>
          <w:sz w:val="26"/>
          <w:szCs w:val="26"/>
        </w:rPr>
        <w:t xml:space="preserve">Таблица </w:t>
      </w:r>
      <w:r w:rsidRPr="005D5A58">
        <w:rPr>
          <w:rFonts w:ascii="Times New Roman" w:hAnsi="Times New Roman" w:cs="Times New Roman"/>
          <w:sz w:val="26"/>
          <w:szCs w:val="26"/>
        </w:rPr>
        <w:t>3.1.3.6.3</w:t>
      </w:r>
    </w:p>
    <w:p w14:paraId="0586A939" w14:textId="77777777" w:rsidR="00DB474C" w:rsidRPr="00AD1011" w:rsidRDefault="00DB474C" w:rsidP="00DB474C">
      <w:pPr>
        <w:spacing w:after="0" w:line="276" w:lineRule="auto"/>
        <w:ind w:firstLine="708"/>
        <w:jc w:val="center"/>
        <w:rPr>
          <w:rFonts w:ascii="Times New Roman" w:hAnsi="Times New Roman" w:cs="Times New Roman"/>
          <w:sz w:val="26"/>
          <w:szCs w:val="26"/>
        </w:rPr>
      </w:pPr>
      <w:r w:rsidRPr="00C35EDE">
        <w:rPr>
          <w:rFonts w:ascii="Times New Roman" w:hAnsi="Times New Roman" w:cs="Times New Roman"/>
          <w:sz w:val="26"/>
          <w:szCs w:val="26"/>
        </w:rPr>
        <w:t xml:space="preserve">Анализ рыночной информации </w:t>
      </w:r>
      <w:r>
        <w:rPr>
          <w:rFonts w:ascii="Times New Roman" w:hAnsi="Times New Roman" w:cs="Times New Roman"/>
          <w:sz w:val="26"/>
          <w:szCs w:val="26"/>
        </w:rPr>
        <w:t xml:space="preserve">земельных участков производственного </w:t>
      </w:r>
      <w:r>
        <w:rPr>
          <w:rFonts w:ascii="Times New Roman" w:eastAsia="Times New Roman" w:hAnsi="Times New Roman" w:cs="Times New Roman"/>
          <w:sz w:val="26"/>
          <w:szCs w:val="26"/>
          <w:lang w:eastAsia="ru-RU"/>
        </w:rPr>
        <w:t xml:space="preserve">(производственно-складского и складского) </w:t>
      </w:r>
      <w:r>
        <w:rPr>
          <w:rFonts w:ascii="Times New Roman" w:hAnsi="Times New Roman" w:cs="Times New Roman"/>
          <w:sz w:val="26"/>
          <w:szCs w:val="26"/>
        </w:rPr>
        <w:t>назначения</w:t>
      </w: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1984"/>
        <w:gridCol w:w="1844"/>
        <w:gridCol w:w="1719"/>
        <w:gridCol w:w="1695"/>
      </w:tblGrid>
      <w:tr w:rsidR="00DB474C" w:rsidRPr="00AD1011" w14:paraId="3FEFE45E" w14:textId="77777777" w:rsidTr="00E564BF">
        <w:trPr>
          <w:trHeight w:val="439"/>
        </w:trPr>
        <w:tc>
          <w:tcPr>
            <w:tcW w:w="2109" w:type="dxa"/>
            <w:vMerge w:val="restart"/>
            <w:shd w:val="clear" w:color="auto" w:fill="auto"/>
            <w:vAlign w:val="center"/>
            <w:hideMark/>
          </w:tcPr>
          <w:p w14:paraId="1A1697A5" w14:textId="77777777" w:rsidR="00DB474C" w:rsidRPr="00AD1011" w:rsidRDefault="00DB474C" w:rsidP="00DB474C">
            <w:pPr>
              <w:spacing w:after="0" w:line="240" w:lineRule="auto"/>
              <w:jc w:val="center"/>
              <w:rPr>
                <w:rFonts w:ascii="Times New Roman" w:eastAsia="Times New Roman" w:hAnsi="Times New Roman" w:cs="Times New Roman"/>
                <w:b/>
                <w:color w:val="000000"/>
                <w:lang w:eastAsia="ru-RU"/>
              </w:rPr>
            </w:pPr>
            <w:r w:rsidRPr="00AD1011">
              <w:rPr>
                <w:rFonts w:ascii="Times New Roman" w:eastAsia="Times New Roman" w:hAnsi="Times New Roman" w:cs="Times New Roman"/>
                <w:b/>
                <w:color w:val="000000"/>
                <w:lang w:eastAsia="ru-RU"/>
              </w:rPr>
              <w:t>Наименование района</w:t>
            </w:r>
          </w:p>
        </w:tc>
        <w:tc>
          <w:tcPr>
            <w:tcW w:w="5546" w:type="dxa"/>
            <w:gridSpan w:val="3"/>
            <w:shd w:val="clear" w:color="auto" w:fill="auto"/>
            <w:vAlign w:val="center"/>
            <w:hideMark/>
          </w:tcPr>
          <w:p w14:paraId="6FC467A9" w14:textId="77777777" w:rsidR="00DB474C" w:rsidRPr="00AD1011" w:rsidRDefault="00DB474C" w:rsidP="00DB474C">
            <w:pPr>
              <w:spacing w:after="0" w:line="240" w:lineRule="auto"/>
              <w:jc w:val="center"/>
              <w:rPr>
                <w:rFonts w:ascii="Times New Roman" w:eastAsia="Times New Roman" w:hAnsi="Times New Roman" w:cs="Times New Roman"/>
                <w:b/>
                <w:color w:val="000000"/>
                <w:lang w:eastAsia="ru-RU"/>
              </w:rPr>
            </w:pPr>
            <w:r w:rsidRPr="00AD1011">
              <w:rPr>
                <w:rFonts w:ascii="Times New Roman" w:eastAsia="Times New Roman" w:hAnsi="Times New Roman" w:cs="Times New Roman"/>
                <w:b/>
                <w:color w:val="000000"/>
                <w:lang w:eastAsia="ru-RU"/>
              </w:rPr>
              <w:t>Удельный показатель рыночной стоимости, руб./кв.м</w:t>
            </w:r>
          </w:p>
        </w:tc>
        <w:tc>
          <w:tcPr>
            <w:tcW w:w="1695" w:type="dxa"/>
            <w:vMerge w:val="restart"/>
            <w:shd w:val="clear" w:color="auto" w:fill="auto"/>
            <w:vAlign w:val="center"/>
            <w:hideMark/>
          </w:tcPr>
          <w:p w14:paraId="5CC9AC9D" w14:textId="77777777" w:rsidR="00DB474C" w:rsidRPr="00AD1011" w:rsidRDefault="00DB474C" w:rsidP="00DB474C">
            <w:pPr>
              <w:spacing w:after="0" w:line="240" w:lineRule="auto"/>
              <w:jc w:val="center"/>
              <w:rPr>
                <w:rFonts w:ascii="Times New Roman" w:eastAsia="Times New Roman" w:hAnsi="Times New Roman" w:cs="Times New Roman"/>
                <w:color w:val="000000"/>
                <w:lang w:eastAsia="ru-RU"/>
              </w:rPr>
            </w:pPr>
            <w:r w:rsidRPr="00AD1011">
              <w:rPr>
                <w:rFonts w:ascii="Times New Roman" w:eastAsia="Times New Roman" w:hAnsi="Times New Roman" w:cs="Times New Roman"/>
                <w:b/>
                <w:color w:val="000000"/>
                <w:lang w:eastAsia="ru-RU"/>
              </w:rPr>
              <w:t>Количество предложений (сделок</w:t>
            </w:r>
            <w:r w:rsidRPr="00AD1011">
              <w:rPr>
                <w:rFonts w:ascii="Times New Roman" w:eastAsia="Times New Roman" w:hAnsi="Times New Roman" w:cs="Times New Roman"/>
                <w:color w:val="000000"/>
                <w:lang w:eastAsia="ru-RU"/>
              </w:rPr>
              <w:t>)</w:t>
            </w:r>
          </w:p>
        </w:tc>
      </w:tr>
      <w:tr w:rsidR="00DB474C" w:rsidRPr="00AD1011" w14:paraId="257CF9D9" w14:textId="77777777" w:rsidTr="00E564BF">
        <w:trPr>
          <w:trHeight w:val="600"/>
        </w:trPr>
        <w:tc>
          <w:tcPr>
            <w:tcW w:w="2109" w:type="dxa"/>
            <w:vMerge/>
            <w:vAlign w:val="center"/>
            <w:hideMark/>
          </w:tcPr>
          <w:p w14:paraId="7118C21D"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p>
        </w:tc>
        <w:tc>
          <w:tcPr>
            <w:tcW w:w="1984" w:type="dxa"/>
            <w:shd w:val="clear" w:color="auto" w:fill="auto"/>
            <w:noWrap/>
            <w:vAlign w:val="center"/>
            <w:hideMark/>
          </w:tcPr>
          <w:p w14:paraId="5DDBB5D0" w14:textId="77777777" w:rsidR="00DB474C" w:rsidRPr="00AD1011" w:rsidRDefault="00DB474C" w:rsidP="00DB474C">
            <w:pPr>
              <w:spacing w:after="0" w:line="240" w:lineRule="auto"/>
              <w:jc w:val="center"/>
              <w:rPr>
                <w:rFonts w:ascii="Times New Roman" w:eastAsia="Times New Roman" w:hAnsi="Times New Roman" w:cs="Times New Roman"/>
                <w:b/>
                <w:bCs/>
                <w:color w:val="000000"/>
                <w:lang w:eastAsia="ru-RU"/>
              </w:rPr>
            </w:pPr>
            <w:r w:rsidRPr="00AD1011">
              <w:rPr>
                <w:rFonts w:ascii="Times New Roman" w:eastAsia="Times New Roman" w:hAnsi="Times New Roman" w:cs="Times New Roman"/>
                <w:b/>
                <w:bCs/>
                <w:color w:val="000000"/>
                <w:lang w:eastAsia="ru-RU"/>
              </w:rPr>
              <w:t>Минимальное значение</w:t>
            </w:r>
          </w:p>
        </w:tc>
        <w:tc>
          <w:tcPr>
            <w:tcW w:w="1844" w:type="dxa"/>
            <w:shd w:val="clear" w:color="auto" w:fill="auto"/>
            <w:noWrap/>
            <w:vAlign w:val="center"/>
            <w:hideMark/>
          </w:tcPr>
          <w:p w14:paraId="50DAE053" w14:textId="77777777" w:rsidR="00DB474C" w:rsidRPr="00AD1011" w:rsidRDefault="00DB474C" w:rsidP="00DB474C">
            <w:pPr>
              <w:spacing w:after="0" w:line="240" w:lineRule="auto"/>
              <w:jc w:val="center"/>
              <w:rPr>
                <w:rFonts w:ascii="Times New Roman" w:eastAsia="Times New Roman" w:hAnsi="Times New Roman" w:cs="Times New Roman"/>
                <w:b/>
                <w:bCs/>
                <w:color w:val="000000"/>
                <w:lang w:eastAsia="ru-RU"/>
              </w:rPr>
            </w:pPr>
            <w:r w:rsidRPr="00AD1011">
              <w:rPr>
                <w:rFonts w:ascii="Times New Roman" w:eastAsia="Times New Roman" w:hAnsi="Times New Roman" w:cs="Times New Roman"/>
                <w:b/>
                <w:bCs/>
                <w:color w:val="000000"/>
                <w:lang w:eastAsia="ru-RU"/>
              </w:rPr>
              <w:t>Среднее значение</w:t>
            </w:r>
          </w:p>
        </w:tc>
        <w:tc>
          <w:tcPr>
            <w:tcW w:w="1718" w:type="dxa"/>
            <w:shd w:val="clear" w:color="auto" w:fill="auto"/>
            <w:noWrap/>
            <w:vAlign w:val="center"/>
            <w:hideMark/>
          </w:tcPr>
          <w:p w14:paraId="77DCC257" w14:textId="77777777" w:rsidR="00DB474C" w:rsidRPr="00AD1011" w:rsidRDefault="00DB474C" w:rsidP="00DB474C">
            <w:pPr>
              <w:spacing w:after="0" w:line="240" w:lineRule="auto"/>
              <w:jc w:val="center"/>
              <w:rPr>
                <w:rFonts w:ascii="Times New Roman" w:eastAsia="Times New Roman" w:hAnsi="Times New Roman" w:cs="Times New Roman"/>
                <w:b/>
                <w:bCs/>
                <w:color w:val="000000"/>
                <w:lang w:eastAsia="ru-RU"/>
              </w:rPr>
            </w:pPr>
            <w:r w:rsidRPr="00AD1011">
              <w:rPr>
                <w:rFonts w:ascii="Times New Roman" w:eastAsia="Times New Roman" w:hAnsi="Times New Roman" w:cs="Times New Roman"/>
                <w:b/>
                <w:bCs/>
                <w:color w:val="000000"/>
                <w:lang w:eastAsia="ru-RU"/>
              </w:rPr>
              <w:t>Максимальное значение</w:t>
            </w:r>
          </w:p>
        </w:tc>
        <w:tc>
          <w:tcPr>
            <w:tcW w:w="1695" w:type="dxa"/>
            <w:vMerge/>
            <w:vAlign w:val="center"/>
            <w:hideMark/>
          </w:tcPr>
          <w:p w14:paraId="6B187CE9"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p>
        </w:tc>
      </w:tr>
      <w:tr w:rsidR="00DB474C" w:rsidRPr="00AD1011" w14:paraId="0BF8BC86" w14:textId="77777777" w:rsidTr="00E564BF">
        <w:trPr>
          <w:trHeight w:val="300"/>
        </w:trPr>
        <w:tc>
          <w:tcPr>
            <w:tcW w:w="2109" w:type="dxa"/>
            <w:shd w:val="clear" w:color="auto" w:fill="auto"/>
            <w:noWrap/>
            <w:vAlign w:val="bottom"/>
            <w:hideMark/>
          </w:tcPr>
          <w:p w14:paraId="4689AF68"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Аннинский</w:t>
            </w:r>
          </w:p>
        </w:tc>
        <w:tc>
          <w:tcPr>
            <w:tcW w:w="1984" w:type="dxa"/>
            <w:shd w:val="clear" w:color="auto" w:fill="auto"/>
            <w:noWrap/>
            <w:vAlign w:val="bottom"/>
            <w:hideMark/>
          </w:tcPr>
          <w:p w14:paraId="2B1AFDC0"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3,59</w:t>
            </w:r>
          </w:p>
        </w:tc>
        <w:tc>
          <w:tcPr>
            <w:tcW w:w="1844" w:type="dxa"/>
            <w:shd w:val="clear" w:color="auto" w:fill="auto"/>
            <w:noWrap/>
            <w:vAlign w:val="bottom"/>
            <w:hideMark/>
          </w:tcPr>
          <w:p w14:paraId="458587D7"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219,44</w:t>
            </w:r>
          </w:p>
        </w:tc>
        <w:tc>
          <w:tcPr>
            <w:tcW w:w="1718" w:type="dxa"/>
            <w:shd w:val="clear" w:color="auto" w:fill="auto"/>
            <w:noWrap/>
            <w:vAlign w:val="bottom"/>
            <w:hideMark/>
          </w:tcPr>
          <w:p w14:paraId="2EB91BD2"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3 062,50</w:t>
            </w:r>
          </w:p>
        </w:tc>
        <w:tc>
          <w:tcPr>
            <w:tcW w:w="1695" w:type="dxa"/>
            <w:shd w:val="clear" w:color="auto" w:fill="auto"/>
            <w:noWrap/>
            <w:vAlign w:val="bottom"/>
            <w:hideMark/>
          </w:tcPr>
          <w:p w14:paraId="0E6D2387"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49</w:t>
            </w:r>
          </w:p>
        </w:tc>
      </w:tr>
      <w:tr w:rsidR="00DB474C" w:rsidRPr="00AD1011" w14:paraId="71987164" w14:textId="77777777" w:rsidTr="00E564BF">
        <w:trPr>
          <w:trHeight w:val="300"/>
        </w:trPr>
        <w:tc>
          <w:tcPr>
            <w:tcW w:w="2109" w:type="dxa"/>
            <w:shd w:val="clear" w:color="auto" w:fill="auto"/>
            <w:noWrap/>
            <w:vAlign w:val="bottom"/>
            <w:hideMark/>
          </w:tcPr>
          <w:p w14:paraId="60652949"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Бобровский</w:t>
            </w:r>
          </w:p>
        </w:tc>
        <w:tc>
          <w:tcPr>
            <w:tcW w:w="1984" w:type="dxa"/>
            <w:shd w:val="clear" w:color="auto" w:fill="auto"/>
            <w:noWrap/>
            <w:vAlign w:val="bottom"/>
            <w:hideMark/>
          </w:tcPr>
          <w:p w14:paraId="23EDAFBC"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5,84</w:t>
            </w:r>
          </w:p>
        </w:tc>
        <w:tc>
          <w:tcPr>
            <w:tcW w:w="1844" w:type="dxa"/>
            <w:shd w:val="clear" w:color="auto" w:fill="auto"/>
            <w:noWrap/>
            <w:vAlign w:val="bottom"/>
            <w:hideMark/>
          </w:tcPr>
          <w:p w14:paraId="707B8D72"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236,89</w:t>
            </w:r>
          </w:p>
        </w:tc>
        <w:tc>
          <w:tcPr>
            <w:tcW w:w="1718" w:type="dxa"/>
            <w:shd w:val="clear" w:color="auto" w:fill="auto"/>
            <w:noWrap/>
            <w:vAlign w:val="bottom"/>
            <w:hideMark/>
          </w:tcPr>
          <w:p w14:paraId="4EEE3990"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1 568,16</w:t>
            </w:r>
          </w:p>
        </w:tc>
        <w:tc>
          <w:tcPr>
            <w:tcW w:w="1695" w:type="dxa"/>
            <w:shd w:val="clear" w:color="auto" w:fill="auto"/>
            <w:noWrap/>
            <w:vAlign w:val="bottom"/>
            <w:hideMark/>
          </w:tcPr>
          <w:p w14:paraId="24231990"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89</w:t>
            </w:r>
          </w:p>
        </w:tc>
      </w:tr>
      <w:tr w:rsidR="00DB474C" w:rsidRPr="00AD1011" w14:paraId="2EC4E4D3" w14:textId="77777777" w:rsidTr="00E564BF">
        <w:trPr>
          <w:trHeight w:val="300"/>
        </w:trPr>
        <w:tc>
          <w:tcPr>
            <w:tcW w:w="2109" w:type="dxa"/>
            <w:shd w:val="clear" w:color="auto" w:fill="auto"/>
            <w:noWrap/>
            <w:vAlign w:val="bottom"/>
            <w:hideMark/>
          </w:tcPr>
          <w:p w14:paraId="0042FF7F"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Богучарский</w:t>
            </w:r>
          </w:p>
        </w:tc>
        <w:tc>
          <w:tcPr>
            <w:tcW w:w="1984" w:type="dxa"/>
            <w:shd w:val="clear" w:color="auto" w:fill="auto"/>
            <w:noWrap/>
            <w:vAlign w:val="bottom"/>
            <w:hideMark/>
          </w:tcPr>
          <w:p w14:paraId="2550497C"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6,39</w:t>
            </w:r>
          </w:p>
        </w:tc>
        <w:tc>
          <w:tcPr>
            <w:tcW w:w="1844" w:type="dxa"/>
            <w:shd w:val="clear" w:color="auto" w:fill="auto"/>
            <w:noWrap/>
            <w:vAlign w:val="bottom"/>
            <w:hideMark/>
          </w:tcPr>
          <w:p w14:paraId="141FE32E"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327,69</w:t>
            </w:r>
          </w:p>
        </w:tc>
        <w:tc>
          <w:tcPr>
            <w:tcW w:w="1718" w:type="dxa"/>
            <w:shd w:val="clear" w:color="auto" w:fill="auto"/>
            <w:noWrap/>
            <w:vAlign w:val="bottom"/>
            <w:hideMark/>
          </w:tcPr>
          <w:p w14:paraId="265B285D"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2 481,02</w:t>
            </w:r>
          </w:p>
        </w:tc>
        <w:tc>
          <w:tcPr>
            <w:tcW w:w="1695" w:type="dxa"/>
            <w:shd w:val="clear" w:color="auto" w:fill="auto"/>
            <w:noWrap/>
            <w:vAlign w:val="bottom"/>
            <w:hideMark/>
          </w:tcPr>
          <w:p w14:paraId="12284AA9"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67</w:t>
            </w:r>
          </w:p>
        </w:tc>
      </w:tr>
      <w:tr w:rsidR="00DB474C" w:rsidRPr="00AD1011" w14:paraId="73BD6DAE" w14:textId="77777777" w:rsidTr="00E564BF">
        <w:trPr>
          <w:trHeight w:val="300"/>
        </w:trPr>
        <w:tc>
          <w:tcPr>
            <w:tcW w:w="2109" w:type="dxa"/>
            <w:shd w:val="clear" w:color="auto" w:fill="auto"/>
            <w:noWrap/>
            <w:vAlign w:val="bottom"/>
            <w:hideMark/>
          </w:tcPr>
          <w:p w14:paraId="528B4BAB"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Борисоглебский</w:t>
            </w:r>
          </w:p>
        </w:tc>
        <w:tc>
          <w:tcPr>
            <w:tcW w:w="1984" w:type="dxa"/>
            <w:shd w:val="clear" w:color="auto" w:fill="auto"/>
            <w:noWrap/>
            <w:vAlign w:val="bottom"/>
            <w:hideMark/>
          </w:tcPr>
          <w:p w14:paraId="44E2B0DE"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2,68</w:t>
            </w:r>
          </w:p>
        </w:tc>
        <w:tc>
          <w:tcPr>
            <w:tcW w:w="1844" w:type="dxa"/>
            <w:shd w:val="clear" w:color="auto" w:fill="auto"/>
            <w:noWrap/>
            <w:vAlign w:val="bottom"/>
            <w:hideMark/>
          </w:tcPr>
          <w:p w14:paraId="47A81502"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403,10</w:t>
            </w:r>
          </w:p>
        </w:tc>
        <w:tc>
          <w:tcPr>
            <w:tcW w:w="1718" w:type="dxa"/>
            <w:shd w:val="clear" w:color="auto" w:fill="auto"/>
            <w:noWrap/>
            <w:vAlign w:val="bottom"/>
            <w:hideMark/>
          </w:tcPr>
          <w:p w14:paraId="163AB7D5"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4 472,93</w:t>
            </w:r>
          </w:p>
        </w:tc>
        <w:tc>
          <w:tcPr>
            <w:tcW w:w="1695" w:type="dxa"/>
            <w:shd w:val="clear" w:color="auto" w:fill="auto"/>
            <w:noWrap/>
            <w:vAlign w:val="bottom"/>
            <w:hideMark/>
          </w:tcPr>
          <w:p w14:paraId="65AB3281"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59</w:t>
            </w:r>
          </w:p>
        </w:tc>
      </w:tr>
      <w:tr w:rsidR="00DB474C" w:rsidRPr="00AD1011" w14:paraId="02DACBD0" w14:textId="77777777" w:rsidTr="00E564BF">
        <w:trPr>
          <w:trHeight w:val="300"/>
        </w:trPr>
        <w:tc>
          <w:tcPr>
            <w:tcW w:w="2109" w:type="dxa"/>
            <w:shd w:val="clear" w:color="auto" w:fill="auto"/>
            <w:noWrap/>
            <w:vAlign w:val="bottom"/>
            <w:hideMark/>
          </w:tcPr>
          <w:p w14:paraId="45259EDA"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Бутурлиновский</w:t>
            </w:r>
          </w:p>
        </w:tc>
        <w:tc>
          <w:tcPr>
            <w:tcW w:w="1984" w:type="dxa"/>
            <w:shd w:val="clear" w:color="auto" w:fill="auto"/>
            <w:noWrap/>
            <w:vAlign w:val="bottom"/>
            <w:hideMark/>
          </w:tcPr>
          <w:p w14:paraId="4F4BE7BD"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2,73</w:t>
            </w:r>
          </w:p>
        </w:tc>
        <w:tc>
          <w:tcPr>
            <w:tcW w:w="1844" w:type="dxa"/>
            <w:shd w:val="clear" w:color="auto" w:fill="auto"/>
            <w:noWrap/>
            <w:vAlign w:val="bottom"/>
            <w:hideMark/>
          </w:tcPr>
          <w:p w14:paraId="2E060FA2"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3 579,70</w:t>
            </w:r>
          </w:p>
        </w:tc>
        <w:tc>
          <w:tcPr>
            <w:tcW w:w="1718" w:type="dxa"/>
            <w:shd w:val="clear" w:color="auto" w:fill="auto"/>
            <w:noWrap/>
            <w:vAlign w:val="bottom"/>
            <w:hideMark/>
          </w:tcPr>
          <w:p w14:paraId="399288C0"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88 279,22</w:t>
            </w:r>
          </w:p>
        </w:tc>
        <w:tc>
          <w:tcPr>
            <w:tcW w:w="1695" w:type="dxa"/>
            <w:shd w:val="clear" w:color="auto" w:fill="auto"/>
            <w:noWrap/>
            <w:vAlign w:val="bottom"/>
            <w:hideMark/>
          </w:tcPr>
          <w:p w14:paraId="459511DB"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27</w:t>
            </w:r>
          </w:p>
        </w:tc>
      </w:tr>
      <w:tr w:rsidR="00DB474C" w:rsidRPr="00AD1011" w14:paraId="26E91E95" w14:textId="77777777" w:rsidTr="00E564BF">
        <w:trPr>
          <w:trHeight w:val="300"/>
        </w:trPr>
        <w:tc>
          <w:tcPr>
            <w:tcW w:w="2109" w:type="dxa"/>
            <w:shd w:val="clear" w:color="auto" w:fill="auto"/>
            <w:noWrap/>
            <w:vAlign w:val="bottom"/>
            <w:hideMark/>
          </w:tcPr>
          <w:p w14:paraId="1EC9A875"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Верхнемамонский</w:t>
            </w:r>
          </w:p>
        </w:tc>
        <w:tc>
          <w:tcPr>
            <w:tcW w:w="1984" w:type="dxa"/>
            <w:shd w:val="clear" w:color="auto" w:fill="auto"/>
            <w:noWrap/>
            <w:vAlign w:val="bottom"/>
            <w:hideMark/>
          </w:tcPr>
          <w:p w14:paraId="39504555"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3,65</w:t>
            </w:r>
          </w:p>
        </w:tc>
        <w:tc>
          <w:tcPr>
            <w:tcW w:w="1844" w:type="dxa"/>
            <w:shd w:val="clear" w:color="auto" w:fill="auto"/>
            <w:noWrap/>
            <w:vAlign w:val="bottom"/>
            <w:hideMark/>
          </w:tcPr>
          <w:p w14:paraId="57809A88"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341,81</w:t>
            </w:r>
          </w:p>
        </w:tc>
        <w:tc>
          <w:tcPr>
            <w:tcW w:w="1718" w:type="dxa"/>
            <w:shd w:val="clear" w:color="auto" w:fill="auto"/>
            <w:noWrap/>
            <w:vAlign w:val="bottom"/>
            <w:hideMark/>
          </w:tcPr>
          <w:p w14:paraId="7BB52646"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3 744,41</w:t>
            </w:r>
          </w:p>
        </w:tc>
        <w:tc>
          <w:tcPr>
            <w:tcW w:w="1695" w:type="dxa"/>
            <w:shd w:val="clear" w:color="auto" w:fill="auto"/>
            <w:noWrap/>
            <w:vAlign w:val="bottom"/>
            <w:hideMark/>
          </w:tcPr>
          <w:p w14:paraId="6F8A4795"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19</w:t>
            </w:r>
          </w:p>
        </w:tc>
      </w:tr>
      <w:tr w:rsidR="00DB474C" w:rsidRPr="00AD1011" w14:paraId="5ECBE8FB" w14:textId="77777777" w:rsidTr="00E564BF">
        <w:trPr>
          <w:trHeight w:val="300"/>
        </w:trPr>
        <w:tc>
          <w:tcPr>
            <w:tcW w:w="2109" w:type="dxa"/>
            <w:shd w:val="clear" w:color="auto" w:fill="auto"/>
            <w:noWrap/>
            <w:vAlign w:val="bottom"/>
            <w:hideMark/>
          </w:tcPr>
          <w:p w14:paraId="584712EB"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Верхнехавский</w:t>
            </w:r>
          </w:p>
        </w:tc>
        <w:tc>
          <w:tcPr>
            <w:tcW w:w="1984" w:type="dxa"/>
            <w:shd w:val="clear" w:color="auto" w:fill="auto"/>
            <w:noWrap/>
            <w:vAlign w:val="bottom"/>
            <w:hideMark/>
          </w:tcPr>
          <w:p w14:paraId="39ADA494"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4,37</w:t>
            </w:r>
          </w:p>
        </w:tc>
        <w:tc>
          <w:tcPr>
            <w:tcW w:w="1844" w:type="dxa"/>
            <w:shd w:val="clear" w:color="auto" w:fill="auto"/>
            <w:noWrap/>
            <w:vAlign w:val="bottom"/>
            <w:hideMark/>
          </w:tcPr>
          <w:p w14:paraId="558F881F"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90,63</w:t>
            </w:r>
          </w:p>
        </w:tc>
        <w:tc>
          <w:tcPr>
            <w:tcW w:w="1718" w:type="dxa"/>
            <w:shd w:val="clear" w:color="auto" w:fill="auto"/>
            <w:noWrap/>
            <w:vAlign w:val="bottom"/>
            <w:hideMark/>
          </w:tcPr>
          <w:p w14:paraId="7E65FC9A"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803,61</w:t>
            </w:r>
          </w:p>
        </w:tc>
        <w:tc>
          <w:tcPr>
            <w:tcW w:w="1695" w:type="dxa"/>
            <w:shd w:val="clear" w:color="auto" w:fill="auto"/>
            <w:noWrap/>
            <w:vAlign w:val="bottom"/>
            <w:hideMark/>
          </w:tcPr>
          <w:p w14:paraId="29989D01"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32</w:t>
            </w:r>
          </w:p>
        </w:tc>
      </w:tr>
      <w:tr w:rsidR="00DB474C" w:rsidRPr="00AD1011" w14:paraId="30636BE9" w14:textId="77777777" w:rsidTr="00E564BF">
        <w:trPr>
          <w:trHeight w:val="300"/>
        </w:trPr>
        <w:tc>
          <w:tcPr>
            <w:tcW w:w="2109" w:type="dxa"/>
            <w:shd w:val="clear" w:color="auto" w:fill="auto"/>
            <w:noWrap/>
            <w:vAlign w:val="bottom"/>
            <w:hideMark/>
          </w:tcPr>
          <w:p w14:paraId="4FB5D92C"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Воробьевский</w:t>
            </w:r>
          </w:p>
        </w:tc>
        <w:tc>
          <w:tcPr>
            <w:tcW w:w="1984" w:type="dxa"/>
            <w:shd w:val="clear" w:color="auto" w:fill="auto"/>
            <w:noWrap/>
            <w:vAlign w:val="bottom"/>
            <w:hideMark/>
          </w:tcPr>
          <w:p w14:paraId="0E594DB8"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1,39</w:t>
            </w:r>
          </w:p>
        </w:tc>
        <w:tc>
          <w:tcPr>
            <w:tcW w:w="1844" w:type="dxa"/>
            <w:shd w:val="clear" w:color="auto" w:fill="auto"/>
            <w:noWrap/>
            <w:vAlign w:val="bottom"/>
            <w:hideMark/>
          </w:tcPr>
          <w:p w14:paraId="1307526E"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44,86</w:t>
            </w:r>
          </w:p>
        </w:tc>
        <w:tc>
          <w:tcPr>
            <w:tcW w:w="1718" w:type="dxa"/>
            <w:shd w:val="clear" w:color="auto" w:fill="auto"/>
            <w:noWrap/>
            <w:vAlign w:val="bottom"/>
            <w:hideMark/>
          </w:tcPr>
          <w:p w14:paraId="1AF1FD7C"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321,26</w:t>
            </w:r>
          </w:p>
        </w:tc>
        <w:tc>
          <w:tcPr>
            <w:tcW w:w="1695" w:type="dxa"/>
            <w:shd w:val="clear" w:color="auto" w:fill="auto"/>
            <w:noWrap/>
            <w:vAlign w:val="bottom"/>
            <w:hideMark/>
          </w:tcPr>
          <w:p w14:paraId="50964860"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12</w:t>
            </w:r>
          </w:p>
        </w:tc>
      </w:tr>
      <w:tr w:rsidR="00DB474C" w:rsidRPr="00AD1011" w14:paraId="7983ED25" w14:textId="77777777" w:rsidTr="00E564BF">
        <w:trPr>
          <w:trHeight w:val="300"/>
        </w:trPr>
        <w:tc>
          <w:tcPr>
            <w:tcW w:w="2109" w:type="dxa"/>
            <w:shd w:val="clear" w:color="auto" w:fill="auto"/>
            <w:noWrap/>
            <w:vAlign w:val="bottom"/>
            <w:hideMark/>
          </w:tcPr>
          <w:p w14:paraId="712F85BC"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 xml:space="preserve">Грибановский </w:t>
            </w:r>
          </w:p>
        </w:tc>
        <w:tc>
          <w:tcPr>
            <w:tcW w:w="1984" w:type="dxa"/>
            <w:shd w:val="clear" w:color="auto" w:fill="auto"/>
            <w:noWrap/>
            <w:vAlign w:val="bottom"/>
            <w:hideMark/>
          </w:tcPr>
          <w:p w14:paraId="472A7110"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1,68</w:t>
            </w:r>
          </w:p>
        </w:tc>
        <w:tc>
          <w:tcPr>
            <w:tcW w:w="1844" w:type="dxa"/>
            <w:shd w:val="clear" w:color="auto" w:fill="auto"/>
            <w:noWrap/>
            <w:vAlign w:val="bottom"/>
            <w:hideMark/>
          </w:tcPr>
          <w:p w14:paraId="42403EB7"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92,09</w:t>
            </w:r>
          </w:p>
        </w:tc>
        <w:tc>
          <w:tcPr>
            <w:tcW w:w="1718" w:type="dxa"/>
            <w:shd w:val="clear" w:color="auto" w:fill="auto"/>
            <w:noWrap/>
            <w:vAlign w:val="bottom"/>
            <w:hideMark/>
          </w:tcPr>
          <w:p w14:paraId="35B2CC65"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441,00</w:t>
            </w:r>
          </w:p>
        </w:tc>
        <w:tc>
          <w:tcPr>
            <w:tcW w:w="1695" w:type="dxa"/>
            <w:shd w:val="clear" w:color="auto" w:fill="auto"/>
            <w:noWrap/>
            <w:vAlign w:val="bottom"/>
            <w:hideMark/>
          </w:tcPr>
          <w:p w14:paraId="27581755"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18</w:t>
            </w:r>
          </w:p>
        </w:tc>
      </w:tr>
      <w:tr w:rsidR="00DB474C" w:rsidRPr="00AD1011" w14:paraId="2562312A" w14:textId="77777777" w:rsidTr="00E564BF">
        <w:trPr>
          <w:trHeight w:val="300"/>
        </w:trPr>
        <w:tc>
          <w:tcPr>
            <w:tcW w:w="2109" w:type="dxa"/>
            <w:shd w:val="clear" w:color="auto" w:fill="auto"/>
            <w:noWrap/>
            <w:vAlign w:val="bottom"/>
            <w:hideMark/>
          </w:tcPr>
          <w:p w14:paraId="552D9967"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Калачеевский</w:t>
            </w:r>
          </w:p>
        </w:tc>
        <w:tc>
          <w:tcPr>
            <w:tcW w:w="1984" w:type="dxa"/>
            <w:shd w:val="clear" w:color="auto" w:fill="auto"/>
            <w:noWrap/>
            <w:vAlign w:val="bottom"/>
            <w:hideMark/>
          </w:tcPr>
          <w:p w14:paraId="5162F316"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2,27</w:t>
            </w:r>
          </w:p>
        </w:tc>
        <w:tc>
          <w:tcPr>
            <w:tcW w:w="1844" w:type="dxa"/>
            <w:shd w:val="clear" w:color="auto" w:fill="auto"/>
            <w:noWrap/>
            <w:vAlign w:val="bottom"/>
            <w:hideMark/>
          </w:tcPr>
          <w:p w14:paraId="5C1477B2"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552,72</w:t>
            </w:r>
          </w:p>
        </w:tc>
        <w:tc>
          <w:tcPr>
            <w:tcW w:w="1718" w:type="dxa"/>
            <w:shd w:val="clear" w:color="auto" w:fill="auto"/>
            <w:noWrap/>
            <w:vAlign w:val="bottom"/>
            <w:hideMark/>
          </w:tcPr>
          <w:p w14:paraId="1840C64D"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9 059,25</w:t>
            </w:r>
          </w:p>
        </w:tc>
        <w:tc>
          <w:tcPr>
            <w:tcW w:w="1695" w:type="dxa"/>
            <w:shd w:val="clear" w:color="auto" w:fill="auto"/>
            <w:noWrap/>
            <w:vAlign w:val="bottom"/>
            <w:hideMark/>
          </w:tcPr>
          <w:p w14:paraId="08043B43"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70</w:t>
            </w:r>
          </w:p>
        </w:tc>
      </w:tr>
      <w:tr w:rsidR="00DB474C" w:rsidRPr="00AD1011" w14:paraId="4E1BC19D" w14:textId="77777777" w:rsidTr="00E564BF">
        <w:trPr>
          <w:trHeight w:val="300"/>
        </w:trPr>
        <w:tc>
          <w:tcPr>
            <w:tcW w:w="2109" w:type="dxa"/>
            <w:shd w:val="clear" w:color="auto" w:fill="auto"/>
            <w:noWrap/>
            <w:vAlign w:val="bottom"/>
            <w:hideMark/>
          </w:tcPr>
          <w:p w14:paraId="4304D819"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Каменский</w:t>
            </w:r>
          </w:p>
        </w:tc>
        <w:tc>
          <w:tcPr>
            <w:tcW w:w="1984" w:type="dxa"/>
            <w:shd w:val="clear" w:color="auto" w:fill="auto"/>
            <w:noWrap/>
            <w:vAlign w:val="bottom"/>
            <w:hideMark/>
          </w:tcPr>
          <w:p w14:paraId="2BE307A2"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5,97</w:t>
            </w:r>
          </w:p>
        </w:tc>
        <w:tc>
          <w:tcPr>
            <w:tcW w:w="1844" w:type="dxa"/>
            <w:shd w:val="clear" w:color="auto" w:fill="auto"/>
            <w:noWrap/>
            <w:vAlign w:val="bottom"/>
            <w:hideMark/>
          </w:tcPr>
          <w:p w14:paraId="3FA88F71"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516,69</w:t>
            </w:r>
          </w:p>
        </w:tc>
        <w:tc>
          <w:tcPr>
            <w:tcW w:w="1718" w:type="dxa"/>
            <w:shd w:val="clear" w:color="auto" w:fill="auto"/>
            <w:noWrap/>
            <w:vAlign w:val="bottom"/>
            <w:hideMark/>
          </w:tcPr>
          <w:p w14:paraId="4093C7BB"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2 041,66</w:t>
            </w:r>
          </w:p>
        </w:tc>
        <w:tc>
          <w:tcPr>
            <w:tcW w:w="1695" w:type="dxa"/>
            <w:shd w:val="clear" w:color="auto" w:fill="auto"/>
            <w:noWrap/>
            <w:vAlign w:val="bottom"/>
            <w:hideMark/>
          </w:tcPr>
          <w:p w14:paraId="00621712"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10</w:t>
            </w:r>
          </w:p>
        </w:tc>
      </w:tr>
      <w:tr w:rsidR="00DB474C" w:rsidRPr="00AD1011" w14:paraId="21BA89AB" w14:textId="77777777" w:rsidTr="00E564BF">
        <w:trPr>
          <w:trHeight w:val="300"/>
        </w:trPr>
        <w:tc>
          <w:tcPr>
            <w:tcW w:w="2109" w:type="dxa"/>
            <w:shd w:val="clear" w:color="auto" w:fill="auto"/>
            <w:noWrap/>
            <w:vAlign w:val="bottom"/>
            <w:hideMark/>
          </w:tcPr>
          <w:p w14:paraId="19DF8718"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Кантемировский</w:t>
            </w:r>
          </w:p>
        </w:tc>
        <w:tc>
          <w:tcPr>
            <w:tcW w:w="1984" w:type="dxa"/>
            <w:shd w:val="clear" w:color="auto" w:fill="auto"/>
            <w:noWrap/>
            <w:vAlign w:val="bottom"/>
            <w:hideMark/>
          </w:tcPr>
          <w:p w14:paraId="2F4E6A87"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1,79</w:t>
            </w:r>
          </w:p>
        </w:tc>
        <w:tc>
          <w:tcPr>
            <w:tcW w:w="1844" w:type="dxa"/>
            <w:shd w:val="clear" w:color="auto" w:fill="auto"/>
            <w:noWrap/>
            <w:vAlign w:val="bottom"/>
            <w:hideMark/>
          </w:tcPr>
          <w:p w14:paraId="6E598978"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119,17</w:t>
            </w:r>
          </w:p>
        </w:tc>
        <w:tc>
          <w:tcPr>
            <w:tcW w:w="1718" w:type="dxa"/>
            <w:shd w:val="clear" w:color="auto" w:fill="auto"/>
            <w:noWrap/>
            <w:vAlign w:val="bottom"/>
            <w:hideMark/>
          </w:tcPr>
          <w:p w14:paraId="7BFBA4EB"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921,20</w:t>
            </w:r>
          </w:p>
        </w:tc>
        <w:tc>
          <w:tcPr>
            <w:tcW w:w="1695" w:type="dxa"/>
            <w:shd w:val="clear" w:color="auto" w:fill="auto"/>
            <w:noWrap/>
            <w:vAlign w:val="bottom"/>
            <w:hideMark/>
          </w:tcPr>
          <w:p w14:paraId="7FF2D3F6"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28</w:t>
            </w:r>
          </w:p>
        </w:tc>
      </w:tr>
      <w:tr w:rsidR="00DB474C" w:rsidRPr="00AD1011" w14:paraId="3483E7EA" w14:textId="77777777" w:rsidTr="00E564BF">
        <w:trPr>
          <w:trHeight w:val="300"/>
        </w:trPr>
        <w:tc>
          <w:tcPr>
            <w:tcW w:w="2109" w:type="dxa"/>
            <w:shd w:val="clear" w:color="auto" w:fill="auto"/>
            <w:noWrap/>
            <w:vAlign w:val="bottom"/>
            <w:hideMark/>
          </w:tcPr>
          <w:p w14:paraId="0C401DFF"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Каширский</w:t>
            </w:r>
          </w:p>
        </w:tc>
        <w:tc>
          <w:tcPr>
            <w:tcW w:w="1984" w:type="dxa"/>
            <w:shd w:val="clear" w:color="auto" w:fill="auto"/>
            <w:noWrap/>
            <w:vAlign w:val="bottom"/>
            <w:hideMark/>
          </w:tcPr>
          <w:p w14:paraId="12CB6DF2"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3,45</w:t>
            </w:r>
          </w:p>
        </w:tc>
        <w:tc>
          <w:tcPr>
            <w:tcW w:w="1844" w:type="dxa"/>
            <w:shd w:val="clear" w:color="auto" w:fill="auto"/>
            <w:noWrap/>
            <w:vAlign w:val="bottom"/>
            <w:hideMark/>
          </w:tcPr>
          <w:p w14:paraId="21459A22"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207,71</w:t>
            </w:r>
          </w:p>
        </w:tc>
        <w:tc>
          <w:tcPr>
            <w:tcW w:w="1718" w:type="dxa"/>
            <w:shd w:val="clear" w:color="auto" w:fill="auto"/>
            <w:noWrap/>
            <w:vAlign w:val="bottom"/>
            <w:hideMark/>
          </w:tcPr>
          <w:p w14:paraId="0636CD31"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2 548,00</w:t>
            </w:r>
          </w:p>
        </w:tc>
        <w:tc>
          <w:tcPr>
            <w:tcW w:w="1695" w:type="dxa"/>
            <w:shd w:val="clear" w:color="auto" w:fill="auto"/>
            <w:noWrap/>
            <w:vAlign w:val="bottom"/>
            <w:hideMark/>
          </w:tcPr>
          <w:p w14:paraId="7F6A852C"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26</w:t>
            </w:r>
          </w:p>
        </w:tc>
      </w:tr>
      <w:tr w:rsidR="00DB474C" w:rsidRPr="00AD1011" w14:paraId="4487A820" w14:textId="77777777" w:rsidTr="00E564BF">
        <w:trPr>
          <w:trHeight w:val="300"/>
        </w:trPr>
        <w:tc>
          <w:tcPr>
            <w:tcW w:w="2109" w:type="dxa"/>
            <w:shd w:val="clear" w:color="auto" w:fill="auto"/>
            <w:noWrap/>
            <w:vAlign w:val="bottom"/>
            <w:hideMark/>
          </w:tcPr>
          <w:p w14:paraId="4364CA75"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Лискинский</w:t>
            </w:r>
          </w:p>
        </w:tc>
        <w:tc>
          <w:tcPr>
            <w:tcW w:w="1984" w:type="dxa"/>
            <w:shd w:val="clear" w:color="auto" w:fill="auto"/>
            <w:noWrap/>
            <w:vAlign w:val="bottom"/>
            <w:hideMark/>
          </w:tcPr>
          <w:p w14:paraId="0CB7CB2A"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3,02</w:t>
            </w:r>
          </w:p>
        </w:tc>
        <w:tc>
          <w:tcPr>
            <w:tcW w:w="1844" w:type="dxa"/>
            <w:shd w:val="clear" w:color="auto" w:fill="auto"/>
            <w:noWrap/>
            <w:vAlign w:val="bottom"/>
            <w:hideMark/>
          </w:tcPr>
          <w:p w14:paraId="01F9C9E0"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496,71</w:t>
            </w:r>
          </w:p>
        </w:tc>
        <w:tc>
          <w:tcPr>
            <w:tcW w:w="1718" w:type="dxa"/>
            <w:shd w:val="clear" w:color="auto" w:fill="auto"/>
            <w:noWrap/>
            <w:vAlign w:val="bottom"/>
            <w:hideMark/>
          </w:tcPr>
          <w:p w14:paraId="66C25204"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2 878,75</w:t>
            </w:r>
          </w:p>
        </w:tc>
        <w:tc>
          <w:tcPr>
            <w:tcW w:w="1695" w:type="dxa"/>
            <w:shd w:val="clear" w:color="auto" w:fill="auto"/>
            <w:noWrap/>
            <w:vAlign w:val="bottom"/>
            <w:hideMark/>
          </w:tcPr>
          <w:p w14:paraId="47D153C6"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67</w:t>
            </w:r>
          </w:p>
        </w:tc>
      </w:tr>
      <w:tr w:rsidR="00DB474C" w:rsidRPr="00AD1011" w14:paraId="08C584E9" w14:textId="77777777" w:rsidTr="00E564BF">
        <w:trPr>
          <w:trHeight w:val="300"/>
        </w:trPr>
        <w:tc>
          <w:tcPr>
            <w:tcW w:w="2109" w:type="dxa"/>
            <w:shd w:val="clear" w:color="auto" w:fill="auto"/>
            <w:noWrap/>
            <w:vAlign w:val="bottom"/>
            <w:hideMark/>
          </w:tcPr>
          <w:p w14:paraId="23499B42"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Нижнедевицкий</w:t>
            </w:r>
          </w:p>
        </w:tc>
        <w:tc>
          <w:tcPr>
            <w:tcW w:w="1984" w:type="dxa"/>
            <w:shd w:val="clear" w:color="auto" w:fill="auto"/>
            <w:noWrap/>
            <w:vAlign w:val="bottom"/>
            <w:hideMark/>
          </w:tcPr>
          <w:p w14:paraId="59D5FF54"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3,74</w:t>
            </w:r>
          </w:p>
        </w:tc>
        <w:tc>
          <w:tcPr>
            <w:tcW w:w="1844" w:type="dxa"/>
            <w:shd w:val="clear" w:color="auto" w:fill="auto"/>
            <w:noWrap/>
            <w:vAlign w:val="bottom"/>
            <w:hideMark/>
          </w:tcPr>
          <w:p w14:paraId="01B116E1"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205,50</w:t>
            </w:r>
          </w:p>
        </w:tc>
        <w:tc>
          <w:tcPr>
            <w:tcW w:w="1718" w:type="dxa"/>
            <w:shd w:val="clear" w:color="auto" w:fill="auto"/>
            <w:noWrap/>
            <w:vAlign w:val="bottom"/>
            <w:hideMark/>
          </w:tcPr>
          <w:p w14:paraId="01C775A8"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823,21</w:t>
            </w:r>
          </w:p>
        </w:tc>
        <w:tc>
          <w:tcPr>
            <w:tcW w:w="1695" w:type="dxa"/>
            <w:shd w:val="clear" w:color="auto" w:fill="auto"/>
            <w:noWrap/>
            <w:vAlign w:val="bottom"/>
            <w:hideMark/>
          </w:tcPr>
          <w:p w14:paraId="5BF95F2F"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26</w:t>
            </w:r>
          </w:p>
        </w:tc>
      </w:tr>
      <w:tr w:rsidR="00DB474C" w:rsidRPr="00AD1011" w14:paraId="4B345151" w14:textId="77777777" w:rsidTr="00E564BF">
        <w:trPr>
          <w:trHeight w:val="300"/>
        </w:trPr>
        <w:tc>
          <w:tcPr>
            <w:tcW w:w="2109" w:type="dxa"/>
            <w:shd w:val="clear" w:color="auto" w:fill="auto"/>
            <w:noWrap/>
            <w:vAlign w:val="bottom"/>
            <w:hideMark/>
          </w:tcPr>
          <w:p w14:paraId="1C888DA1"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Новоусманский</w:t>
            </w:r>
          </w:p>
        </w:tc>
        <w:tc>
          <w:tcPr>
            <w:tcW w:w="1984" w:type="dxa"/>
            <w:shd w:val="clear" w:color="auto" w:fill="auto"/>
            <w:noWrap/>
            <w:vAlign w:val="bottom"/>
            <w:hideMark/>
          </w:tcPr>
          <w:p w14:paraId="3DAE08B2"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1,98</w:t>
            </w:r>
          </w:p>
        </w:tc>
        <w:tc>
          <w:tcPr>
            <w:tcW w:w="1844" w:type="dxa"/>
            <w:shd w:val="clear" w:color="auto" w:fill="auto"/>
            <w:noWrap/>
            <w:vAlign w:val="bottom"/>
            <w:hideMark/>
          </w:tcPr>
          <w:p w14:paraId="589058C6"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846,85</w:t>
            </w:r>
          </w:p>
        </w:tc>
        <w:tc>
          <w:tcPr>
            <w:tcW w:w="1718" w:type="dxa"/>
            <w:shd w:val="clear" w:color="auto" w:fill="auto"/>
            <w:noWrap/>
            <w:vAlign w:val="bottom"/>
            <w:hideMark/>
          </w:tcPr>
          <w:p w14:paraId="34AA820A"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26 596,77</w:t>
            </w:r>
          </w:p>
        </w:tc>
        <w:tc>
          <w:tcPr>
            <w:tcW w:w="1695" w:type="dxa"/>
            <w:shd w:val="clear" w:color="auto" w:fill="auto"/>
            <w:noWrap/>
            <w:vAlign w:val="bottom"/>
            <w:hideMark/>
          </w:tcPr>
          <w:p w14:paraId="0C4B98DF"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303</w:t>
            </w:r>
          </w:p>
        </w:tc>
      </w:tr>
      <w:tr w:rsidR="00DB474C" w:rsidRPr="00AD1011" w14:paraId="6893FF89" w14:textId="77777777" w:rsidTr="00E564BF">
        <w:trPr>
          <w:trHeight w:val="300"/>
        </w:trPr>
        <w:tc>
          <w:tcPr>
            <w:tcW w:w="2109" w:type="dxa"/>
            <w:shd w:val="clear" w:color="auto" w:fill="auto"/>
            <w:noWrap/>
            <w:vAlign w:val="bottom"/>
            <w:hideMark/>
          </w:tcPr>
          <w:p w14:paraId="31207402"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Новохоперский</w:t>
            </w:r>
          </w:p>
        </w:tc>
        <w:tc>
          <w:tcPr>
            <w:tcW w:w="1984" w:type="dxa"/>
            <w:shd w:val="clear" w:color="auto" w:fill="auto"/>
            <w:noWrap/>
            <w:vAlign w:val="bottom"/>
            <w:hideMark/>
          </w:tcPr>
          <w:p w14:paraId="450F3390"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2,05</w:t>
            </w:r>
          </w:p>
        </w:tc>
        <w:tc>
          <w:tcPr>
            <w:tcW w:w="1844" w:type="dxa"/>
            <w:shd w:val="clear" w:color="auto" w:fill="auto"/>
            <w:noWrap/>
            <w:vAlign w:val="bottom"/>
            <w:hideMark/>
          </w:tcPr>
          <w:p w14:paraId="7339F60C"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2 329,98</w:t>
            </w:r>
          </w:p>
        </w:tc>
        <w:tc>
          <w:tcPr>
            <w:tcW w:w="1718" w:type="dxa"/>
            <w:shd w:val="clear" w:color="auto" w:fill="auto"/>
            <w:noWrap/>
            <w:vAlign w:val="bottom"/>
            <w:hideMark/>
          </w:tcPr>
          <w:p w14:paraId="11A1294B"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103 712,30</w:t>
            </w:r>
          </w:p>
        </w:tc>
        <w:tc>
          <w:tcPr>
            <w:tcW w:w="1695" w:type="dxa"/>
            <w:shd w:val="clear" w:color="auto" w:fill="auto"/>
            <w:noWrap/>
            <w:vAlign w:val="bottom"/>
            <w:hideMark/>
          </w:tcPr>
          <w:p w14:paraId="6EB9CA55"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60</w:t>
            </w:r>
          </w:p>
        </w:tc>
      </w:tr>
      <w:tr w:rsidR="00DB474C" w:rsidRPr="00AD1011" w14:paraId="4520A615" w14:textId="77777777" w:rsidTr="00E564BF">
        <w:trPr>
          <w:trHeight w:val="300"/>
        </w:trPr>
        <w:tc>
          <w:tcPr>
            <w:tcW w:w="2109" w:type="dxa"/>
            <w:shd w:val="clear" w:color="auto" w:fill="auto"/>
            <w:noWrap/>
            <w:vAlign w:val="bottom"/>
            <w:hideMark/>
          </w:tcPr>
          <w:p w14:paraId="10BF10E6"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Ольховатский</w:t>
            </w:r>
          </w:p>
        </w:tc>
        <w:tc>
          <w:tcPr>
            <w:tcW w:w="1984" w:type="dxa"/>
            <w:shd w:val="clear" w:color="auto" w:fill="auto"/>
            <w:noWrap/>
            <w:vAlign w:val="bottom"/>
            <w:hideMark/>
          </w:tcPr>
          <w:p w14:paraId="0CF81123"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3,17</w:t>
            </w:r>
          </w:p>
        </w:tc>
        <w:tc>
          <w:tcPr>
            <w:tcW w:w="1844" w:type="dxa"/>
            <w:shd w:val="clear" w:color="auto" w:fill="auto"/>
            <w:noWrap/>
            <w:vAlign w:val="bottom"/>
            <w:hideMark/>
          </w:tcPr>
          <w:p w14:paraId="23B62D6E"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1 343,47</w:t>
            </w:r>
          </w:p>
        </w:tc>
        <w:tc>
          <w:tcPr>
            <w:tcW w:w="1718" w:type="dxa"/>
            <w:shd w:val="clear" w:color="auto" w:fill="auto"/>
            <w:noWrap/>
            <w:vAlign w:val="bottom"/>
            <w:hideMark/>
          </w:tcPr>
          <w:p w14:paraId="1EF993E7"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35 132,08</w:t>
            </w:r>
          </w:p>
        </w:tc>
        <w:tc>
          <w:tcPr>
            <w:tcW w:w="1695" w:type="dxa"/>
            <w:shd w:val="clear" w:color="auto" w:fill="auto"/>
            <w:noWrap/>
            <w:vAlign w:val="bottom"/>
            <w:hideMark/>
          </w:tcPr>
          <w:p w14:paraId="67ABCE92"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32</w:t>
            </w:r>
          </w:p>
        </w:tc>
      </w:tr>
      <w:tr w:rsidR="00DB474C" w:rsidRPr="00AD1011" w14:paraId="028D69EF" w14:textId="77777777" w:rsidTr="00E564BF">
        <w:trPr>
          <w:trHeight w:val="300"/>
        </w:trPr>
        <w:tc>
          <w:tcPr>
            <w:tcW w:w="2109" w:type="dxa"/>
            <w:shd w:val="clear" w:color="auto" w:fill="auto"/>
            <w:noWrap/>
            <w:vAlign w:val="bottom"/>
            <w:hideMark/>
          </w:tcPr>
          <w:p w14:paraId="109054D0"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Острогожский</w:t>
            </w:r>
          </w:p>
        </w:tc>
        <w:tc>
          <w:tcPr>
            <w:tcW w:w="1984" w:type="dxa"/>
            <w:shd w:val="clear" w:color="auto" w:fill="auto"/>
            <w:noWrap/>
            <w:vAlign w:val="bottom"/>
            <w:hideMark/>
          </w:tcPr>
          <w:p w14:paraId="0C127998"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4,90</w:t>
            </w:r>
          </w:p>
        </w:tc>
        <w:tc>
          <w:tcPr>
            <w:tcW w:w="1844" w:type="dxa"/>
            <w:shd w:val="clear" w:color="auto" w:fill="auto"/>
            <w:noWrap/>
            <w:vAlign w:val="bottom"/>
            <w:hideMark/>
          </w:tcPr>
          <w:p w14:paraId="3BCF8161"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444,24</w:t>
            </w:r>
          </w:p>
        </w:tc>
        <w:tc>
          <w:tcPr>
            <w:tcW w:w="1718" w:type="dxa"/>
            <w:shd w:val="clear" w:color="auto" w:fill="auto"/>
            <w:noWrap/>
            <w:vAlign w:val="bottom"/>
            <w:hideMark/>
          </w:tcPr>
          <w:p w14:paraId="22A332D1"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4 186,41</w:t>
            </w:r>
          </w:p>
        </w:tc>
        <w:tc>
          <w:tcPr>
            <w:tcW w:w="1695" w:type="dxa"/>
            <w:shd w:val="clear" w:color="auto" w:fill="auto"/>
            <w:noWrap/>
            <w:vAlign w:val="bottom"/>
            <w:hideMark/>
          </w:tcPr>
          <w:p w14:paraId="69E147D3"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41</w:t>
            </w:r>
          </w:p>
        </w:tc>
      </w:tr>
      <w:tr w:rsidR="00DB474C" w:rsidRPr="00AD1011" w14:paraId="26CD1F16" w14:textId="77777777" w:rsidTr="00E564BF">
        <w:trPr>
          <w:trHeight w:val="300"/>
        </w:trPr>
        <w:tc>
          <w:tcPr>
            <w:tcW w:w="2109" w:type="dxa"/>
            <w:shd w:val="clear" w:color="auto" w:fill="auto"/>
            <w:noWrap/>
            <w:vAlign w:val="bottom"/>
            <w:hideMark/>
          </w:tcPr>
          <w:p w14:paraId="0625A81B"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Павловский</w:t>
            </w:r>
          </w:p>
        </w:tc>
        <w:tc>
          <w:tcPr>
            <w:tcW w:w="1984" w:type="dxa"/>
            <w:shd w:val="clear" w:color="auto" w:fill="auto"/>
            <w:noWrap/>
            <w:vAlign w:val="bottom"/>
            <w:hideMark/>
          </w:tcPr>
          <w:p w14:paraId="6DAEC2B7"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1,48</w:t>
            </w:r>
          </w:p>
        </w:tc>
        <w:tc>
          <w:tcPr>
            <w:tcW w:w="1844" w:type="dxa"/>
            <w:shd w:val="clear" w:color="auto" w:fill="auto"/>
            <w:noWrap/>
            <w:vAlign w:val="bottom"/>
            <w:hideMark/>
          </w:tcPr>
          <w:p w14:paraId="6470CC12"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5 672,28</w:t>
            </w:r>
          </w:p>
        </w:tc>
        <w:tc>
          <w:tcPr>
            <w:tcW w:w="1718" w:type="dxa"/>
            <w:shd w:val="clear" w:color="auto" w:fill="auto"/>
            <w:noWrap/>
            <w:vAlign w:val="bottom"/>
            <w:hideMark/>
          </w:tcPr>
          <w:p w14:paraId="5651CB4B"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252 607,90</w:t>
            </w:r>
          </w:p>
        </w:tc>
        <w:tc>
          <w:tcPr>
            <w:tcW w:w="1695" w:type="dxa"/>
            <w:shd w:val="clear" w:color="auto" w:fill="auto"/>
            <w:noWrap/>
            <w:vAlign w:val="bottom"/>
            <w:hideMark/>
          </w:tcPr>
          <w:p w14:paraId="1AF0E6A6"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83</w:t>
            </w:r>
          </w:p>
        </w:tc>
      </w:tr>
      <w:tr w:rsidR="00DB474C" w:rsidRPr="00AD1011" w14:paraId="3F4ACF37" w14:textId="77777777" w:rsidTr="00E564BF">
        <w:trPr>
          <w:trHeight w:val="300"/>
        </w:trPr>
        <w:tc>
          <w:tcPr>
            <w:tcW w:w="2109" w:type="dxa"/>
            <w:shd w:val="clear" w:color="auto" w:fill="auto"/>
            <w:noWrap/>
            <w:vAlign w:val="bottom"/>
            <w:hideMark/>
          </w:tcPr>
          <w:p w14:paraId="262E4BFC"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Панинский</w:t>
            </w:r>
          </w:p>
        </w:tc>
        <w:tc>
          <w:tcPr>
            <w:tcW w:w="1984" w:type="dxa"/>
            <w:shd w:val="clear" w:color="auto" w:fill="auto"/>
            <w:noWrap/>
            <w:vAlign w:val="bottom"/>
            <w:hideMark/>
          </w:tcPr>
          <w:p w14:paraId="5925D6D7"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3,94</w:t>
            </w:r>
          </w:p>
        </w:tc>
        <w:tc>
          <w:tcPr>
            <w:tcW w:w="1844" w:type="dxa"/>
            <w:shd w:val="clear" w:color="auto" w:fill="auto"/>
            <w:noWrap/>
            <w:vAlign w:val="bottom"/>
            <w:hideMark/>
          </w:tcPr>
          <w:p w14:paraId="1BAFDD36"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192,96</w:t>
            </w:r>
          </w:p>
        </w:tc>
        <w:tc>
          <w:tcPr>
            <w:tcW w:w="1718" w:type="dxa"/>
            <w:shd w:val="clear" w:color="auto" w:fill="auto"/>
            <w:noWrap/>
            <w:vAlign w:val="bottom"/>
            <w:hideMark/>
          </w:tcPr>
          <w:p w14:paraId="44C611B2"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1 271,53</w:t>
            </w:r>
          </w:p>
        </w:tc>
        <w:tc>
          <w:tcPr>
            <w:tcW w:w="1695" w:type="dxa"/>
            <w:shd w:val="clear" w:color="auto" w:fill="auto"/>
            <w:noWrap/>
            <w:vAlign w:val="bottom"/>
            <w:hideMark/>
          </w:tcPr>
          <w:p w14:paraId="7DA1B287"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33</w:t>
            </w:r>
          </w:p>
        </w:tc>
      </w:tr>
      <w:tr w:rsidR="00DB474C" w:rsidRPr="00AD1011" w14:paraId="5EF99AC8" w14:textId="77777777" w:rsidTr="00E564BF">
        <w:trPr>
          <w:trHeight w:val="300"/>
        </w:trPr>
        <w:tc>
          <w:tcPr>
            <w:tcW w:w="2109" w:type="dxa"/>
            <w:shd w:val="clear" w:color="auto" w:fill="auto"/>
            <w:noWrap/>
            <w:vAlign w:val="bottom"/>
            <w:hideMark/>
          </w:tcPr>
          <w:p w14:paraId="33FC59A8"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Петропавловский</w:t>
            </w:r>
          </w:p>
        </w:tc>
        <w:tc>
          <w:tcPr>
            <w:tcW w:w="1984" w:type="dxa"/>
            <w:shd w:val="clear" w:color="auto" w:fill="auto"/>
            <w:noWrap/>
            <w:vAlign w:val="bottom"/>
            <w:hideMark/>
          </w:tcPr>
          <w:p w14:paraId="7308525A"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1,86</w:t>
            </w:r>
          </w:p>
        </w:tc>
        <w:tc>
          <w:tcPr>
            <w:tcW w:w="1844" w:type="dxa"/>
            <w:shd w:val="clear" w:color="auto" w:fill="auto"/>
            <w:noWrap/>
            <w:vAlign w:val="bottom"/>
            <w:hideMark/>
          </w:tcPr>
          <w:p w14:paraId="214C3C1C"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139,89</w:t>
            </w:r>
          </w:p>
        </w:tc>
        <w:tc>
          <w:tcPr>
            <w:tcW w:w="1718" w:type="dxa"/>
            <w:shd w:val="clear" w:color="auto" w:fill="auto"/>
            <w:noWrap/>
            <w:vAlign w:val="bottom"/>
            <w:hideMark/>
          </w:tcPr>
          <w:p w14:paraId="04AAC9EE"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4 118,04</w:t>
            </w:r>
          </w:p>
        </w:tc>
        <w:tc>
          <w:tcPr>
            <w:tcW w:w="1695" w:type="dxa"/>
            <w:shd w:val="clear" w:color="auto" w:fill="auto"/>
            <w:noWrap/>
            <w:vAlign w:val="bottom"/>
            <w:hideMark/>
          </w:tcPr>
          <w:p w14:paraId="27115514"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38</w:t>
            </w:r>
          </w:p>
        </w:tc>
      </w:tr>
      <w:tr w:rsidR="00DB474C" w:rsidRPr="00AD1011" w14:paraId="15916452" w14:textId="77777777" w:rsidTr="00E564BF">
        <w:trPr>
          <w:trHeight w:val="300"/>
        </w:trPr>
        <w:tc>
          <w:tcPr>
            <w:tcW w:w="2109" w:type="dxa"/>
            <w:shd w:val="clear" w:color="auto" w:fill="auto"/>
            <w:noWrap/>
            <w:vAlign w:val="bottom"/>
            <w:hideMark/>
          </w:tcPr>
          <w:p w14:paraId="28B3E58A"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Поворинский</w:t>
            </w:r>
          </w:p>
        </w:tc>
        <w:tc>
          <w:tcPr>
            <w:tcW w:w="1984" w:type="dxa"/>
            <w:shd w:val="clear" w:color="auto" w:fill="auto"/>
            <w:noWrap/>
            <w:vAlign w:val="bottom"/>
            <w:hideMark/>
          </w:tcPr>
          <w:p w14:paraId="1879B4C7"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2,54</w:t>
            </w:r>
          </w:p>
        </w:tc>
        <w:tc>
          <w:tcPr>
            <w:tcW w:w="1844" w:type="dxa"/>
            <w:shd w:val="clear" w:color="auto" w:fill="auto"/>
            <w:noWrap/>
            <w:vAlign w:val="bottom"/>
            <w:hideMark/>
          </w:tcPr>
          <w:p w14:paraId="10190160"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213,94</w:t>
            </w:r>
          </w:p>
        </w:tc>
        <w:tc>
          <w:tcPr>
            <w:tcW w:w="1718" w:type="dxa"/>
            <w:shd w:val="clear" w:color="auto" w:fill="auto"/>
            <w:noWrap/>
            <w:vAlign w:val="bottom"/>
            <w:hideMark/>
          </w:tcPr>
          <w:p w14:paraId="2A567381"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985,29</w:t>
            </w:r>
          </w:p>
        </w:tc>
        <w:tc>
          <w:tcPr>
            <w:tcW w:w="1695" w:type="dxa"/>
            <w:shd w:val="clear" w:color="auto" w:fill="auto"/>
            <w:noWrap/>
            <w:vAlign w:val="bottom"/>
            <w:hideMark/>
          </w:tcPr>
          <w:p w14:paraId="5199D51C"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18</w:t>
            </w:r>
          </w:p>
        </w:tc>
      </w:tr>
      <w:tr w:rsidR="00DB474C" w:rsidRPr="00AD1011" w14:paraId="30C10B9F" w14:textId="77777777" w:rsidTr="00E564BF">
        <w:trPr>
          <w:trHeight w:val="300"/>
        </w:trPr>
        <w:tc>
          <w:tcPr>
            <w:tcW w:w="2109" w:type="dxa"/>
            <w:shd w:val="clear" w:color="auto" w:fill="auto"/>
            <w:noWrap/>
            <w:vAlign w:val="bottom"/>
            <w:hideMark/>
          </w:tcPr>
          <w:p w14:paraId="05C26CC4"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Подгоренский</w:t>
            </w:r>
          </w:p>
        </w:tc>
        <w:tc>
          <w:tcPr>
            <w:tcW w:w="1984" w:type="dxa"/>
            <w:shd w:val="clear" w:color="auto" w:fill="auto"/>
            <w:noWrap/>
            <w:vAlign w:val="bottom"/>
            <w:hideMark/>
          </w:tcPr>
          <w:p w14:paraId="0ED35FEA"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5,73</w:t>
            </w:r>
          </w:p>
        </w:tc>
        <w:tc>
          <w:tcPr>
            <w:tcW w:w="1844" w:type="dxa"/>
            <w:shd w:val="clear" w:color="auto" w:fill="auto"/>
            <w:noWrap/>
            <w:vAlign w:val="bottom"/>
            <w:hideMark/>
          </w:tcPr>
          <w:p w14:paraId="5E135D23"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251,12</w:t>
            </w:r>
          </w:p>
        </w:tc>
        <w:tc>
          <w:tcPr>
            <w:tcW w:w="1718" w:type="dxa"/>
            <w:shd w:val="clear" w:color="auto" w:fill="auto"/>
            <w:noWrap/>
            <w:vAlign w:val="bottom"/>
            <w:hideMark/>
          </w:tcPr>
          <w:p w14:paraId="27E8EC58"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1 030,25</w:t>
            </w:r>
          </w:p>
        </w:tc>
        <w:tc>
          <w:tcPr>
            <w:tcW w:w="1695" w:type="dxa"/>
            <w:shd w:val="clear" w:color="auto" w:fill="auto"/>
            <w:noWrap/>
            <w:vAlign w:val="bottom"/>
            <w:hideMark/>
          </w:tcPr>
          <w:p w14:paraId="2DBFC3A3"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20</w:t>
            </w:r>
          </w:p>
        </w:tc>
      </w:tr>
      <w:tr w:rsidR="00DB474C" w:rsidRPr="00AD1011" w14:paraId="48054B95" w14:textId="77777777" w:rsidTr="00E564BF">
        <w:trPr>
          <w:trHeight w:val="300"/>
        </w:trPr>
        <w:tc>
          <w:tcPr>
            <w:tcW w:w="2109" w:type="dxa"/>
            <w:shd w:val="clear" w:color="auto" w:fill="auto"/>
            <w:noWrap/>
            <w:vAlign w:val="bottom"/>
            <w:hideMark/>
          </w:tcPr>
          <w:p w14:paraId="78E7B092"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Рамонский</w:t>
            </w:r>
          </w:p>
        </w:tc>
        <w:tc>
          <w:tcPr>
            <w:tcW w:w="1984" w:type="dxa"/>
            <w:shd w:val="clear" w:color="auto" w:fill="auto"/>
            <w:noWrap/>
            <w:vAlign w:val="bottom"/>
            <w:hideMark/>
          </w:tcPr>
          <w:p w14:paraId="6B6DBAC3"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0,45</w:t>
            </w:r>
          </w:p>
        </w:tc>
        <w:tc>
          <w:tcPr>
            <w:tcW w:w="1844" w:type="dxa"/>
            <w:shd w:val="clear" w:color="auto" w:fill="auto"/>
            <w:noWrap/>
            <w:vAlign w:val="bottom"/>
            <w:hideMark/>
          </w:tcPr>
          <w:p w14:paraId="6BA2B011"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331,64</w:t>
            </w:r>
          </w:p>
        </w:tc>
        <w:tc>
          <w:tcPr>
            <w:tcW w:w="1718" w:type="dxa"/>
            <w:shd w:val="clear" w:color="auto" w:fill="auto"/>
            <w:noWrap/>
            <w:vAlign w:val="bottom"/>
            <w:hideMark/>
          </w:tcPr>
          <w:p w14:paraId="5B49654D"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22 099,00</w:t>
            </w:r>
          </w:p>
        </w:tc>
        <w:tc>
          <w:tcPr>
            <w:tcW w:w="1695" w:type="dxa"/>
            <w:shd w:val="clear" w:color="auto" w:fill="auto"/>
            <w:noWrap/>
            <w:vAlign w:val="bottom"/>
            <w:hideMark/>
          </w:tcPr>
          <w:p w14:paraId="29C00ED2"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593</w:t>
            </w:r>
          </w:p>
        </w:tc>
      </w:tr>
      <w:tr w:rsidR="00DB474C" w:rsidRPr="00AD1011" w14:paraId="503DC85C" w14:textId="77777777" w:rsidTr="00E564BF">
        <w:trPr>
          <w:trHeight w:val="300"/>
        </w:trPr>
        <w:tc>
          <w:tcPr>
            <w:tcW w:w="2109" w:type="dxa"/>
            <w:shd w:val="clear" w:color="auto" w:fill="auto"/>
            <w:noWrap/>
            <w:vAlign w:val="bottom"/>
            <w:hideMark/>
          </w:tcPr>
          <w:p w14:paraId="0E315CF0"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Репьевский</w:t>
            </w:r>
          </w:p>
        </w:tc>
        <w:tc>
          <w:tcPr>
            <w:tcW w:w="1984" w:type="dxa"/>
            <w:shd w:val="clear" w:color="auto" w:fill="auto"/>
            <w:noWrap/>
            <w:vAlign w:val="bottom"/>
            <w:hideMark/>
          </w:tcPr>
          <w:p w14:paraId="16C71372"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2,62</w:t>
            </w:r>
          </w:p>
        </w:tc>
        <w:tc>
          <w:tcPr>
            <w:tcW w:w="1844" w:type="dxa"/>
            <w:shd w:val="clear" w:color="auto" w:fill="auto"/>
            <w:noWrap/>
            <w:vAlign w:val="bottom"/>
            <w:hideMark/>
          </w:tcPr>
          <w:p w14:paraId="6E41AEFD"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131,14</w:t>
            </w:r>
          </w:p>
        </w:tc>
        <w:tc>
          <w:tcPr>
            <w:tcW w:w="1718" w:type="dxa"/>
            <w:shd w:val="clear" w:color="auto" w:fill="auto"/>
            <w:noWrap/>
            <w:vAlign w:val="bottom"/>
            <w:hideMark/>
          </w:tcPr>
          <w:p w14:paraId="68E3110D"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559,61</w:t>
            </w:r>
          </w:p>
        </w:tc>
        <w:tc>
          <w:tcPr>
            <w:tcW w:w="1695" w:type="dxa"/>
            <w:shd w:val="clear" w:color="auto" w:fill="auto"/>
            <w:noWrap/>
            <w:vAlign w:val="bottom"/>
            <w:hideMark/>
          </w:tcPr>
          <w:p w14:paraId="6A120459"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14</w:t>
            </w:r>
          </w:p>
        </w:tc>
      </w:tr>
      <w:tr w:rsidR="00DB474C" w:rsidRPr="00AD1011" w14:paraId="2A3E5B26" w14:textId="77777777" w:rsidTr="00E564BF">
        <w:trPr>
          <w:trHeight w:val="300"/>
        </w:trPr>
        <w:tc>
          <w:tcPr>
            <w:tcW w:w="2109" w:type="dxa"/>
            <w:shd w:val="clear" w:color="auto" w:fill="auto"/>
            <w:noWrap/>
            <w:vAlign w:val="bottom"/>
            <w:hideMark/>
          </w:tcPr>
          <w:p w14:paraId="6D3C5F30"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Россошанский</w:t>
            </w:r>
          </w:p>
        </w:tc>
        <w:tc>
          <w:tcPr>
            <w:tcW w:w="1984" w:type="dxa"/>
            <w:shd w:val="clear" w:color="auto" w:fill="auto"/>
            <w:noWrap/>
            <w:vAlign w:val="bottom"/>
            <w:hideMark/>
          </w:tcPr>
          <w:p w14:paraId="401CB89C"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1,60</w:t>
            </w:r>
          </w:p>
        </w:tc>
        <w:tc>
          <w:tcPr>
            <w:tcW w:w="1844" w:type="dxa"/>
            <w:shd w:val="clear" w:color="auto" w:fill="auto"/>
            <w:noWrap/>
            <w:vAlign w:val="bottom"/>
            <w:hideMark/>
          </w:tcPr>
          <w:p w14:paraId="28E32266"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496,59</w:t>
            </w:r>
          </w:p>
        </w:tc>
        <w:tc>
          <w:tcPr>
            <w:tcW w:w="1718" w:type="dxa"/>
            <w:shd w:val="clear" w:color="auto" w:fill="auto"/>
            <w:noWrap/>
            <w:vAlign w:val="bottom"/>
            <w:hideMark/>
          </w:tcPr>
          <w:p w14:paraId="2CAB61D9"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4 106,67</w:t>
            </w:r>
          </w:p>
        </w:tc>
        <w:tc>
          <w:tcPr>
            <w:tcW w:w="1695" w:type="dxa"/>
            <w:shd w:val="clear" w:color="auto" w:fill="auto"/>
            <w:noWrap/>
            <w:vAlign w:val="bottom"/>
            <w:hideMark/>
          </w:tcPr>
          <w:p w14:paraId="45D57D8D"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57</w:t>
            </w:r>
          </w:p>
        </w:tc>
      </w:tr>
      <w:tr w:rsidR="00DB474C" w:rsidRPr="00AD1011" w14:paraId="02E27B6F" w14:textId="77777777" w:rsidTr="00E564BF">
        <w:trPr>
          <w:trHeight w:val="300"/>
        </w:trPr>
        <w:tc>
          <w:tcPr>
            <w:tcW w:w="2109" w:type="dxa"/>
            <w:shd w:val="clear" w:color="auto" w:fill="auto"/>
            <w:noWrap/>
            <w:vAlign w:val="bottom"/>
            <w:hideMark/>
          </w:tcPr>
          <w:p w14:paraId="353B7AE0"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Семилукский</w:t>
            </w:r>
          </w:p>
        </w:tc>
        <w:tc>
          <w:tcPr>
            <w:tcW w:w="1984" w:type="dxa"/>
            <w:shd w:val="clear" w:color="auto" w:fill="auto"/>
            <w:noWrap/>
            <w:vAlign w:val="bottom"/>
            <w:hideMark/>
          </w:tcPr>
          <w:p w14:paraId="45E5B473"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2,93</w:t>
            </w:r>
          </w:p>
        </w:tc>
        <w:tc>
          <w:tcPr>
            <w:tcW w:w="1844" w:type="dxa"/>
            <w:shd w:val="clear" w:color="auto" w:fill="auto"/>
            <w:noWrap/>
            <w:vAlign w:val="bottom"/>
            <w:hideMark/>
          </w:tcPr>
          <w:p w14:paraId="184867C9"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398,03</w:t>
            </w:r>
          </w:p>
        </w:tc>
        <w:tc>
          <w:tcPr>
            <w:tcW w:w="1718" w:type="dxa"/>
            <w:shd w:val="clear" w:color="auto" w:fill="auto"/>
            <w:noWrap/>
            <w:vAlign w:val="bottom"/>
            <w:hideMark/>
          </w:tcPr>
          <w:p w14:paraId="2CC252DA"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8 985,67</w:t>
            </w:r>
          </w:p>
        </w:tc>
        <w:tc>
          <w:tcPr>
            <w:tcW w:w="1695" w:type="dxa"/>
            <w:shd w:val="clear" w:color="auto" w:fill="auto"/>
            <w:noWrap/>
            <w:vAlign w:val="bottom"/>
            <w:hideMark/>
          </w:tcPr>
          <w:p w14:paraId="35F13DF4"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180</w:t>
            </w:r>
          </w:p>
        </w:tc>
      </w:tr>
      <w:tr w:rsidR="00DB474C" w:rsidRPr="00AD1011" w14:paraId="4E2D9BED" w14:textId="77777777" w:rsidTr="00E564BF">
        <w:trPr>
          <w:trHeight w:val="300"/>
        </w:trPr>
        <w:tc>
          <w:tcPr>
            <w:tcW w:w="2109" w:type="dxa"/>
            <w:shd w:val="clear" w:color="auto" w:fill="auto"/>
            <w:noWrap/>
            <w:vAlign w:val="bottom"/>
            <w:hideMark/>
          </w:tcPr>
          <w:p w14:paraId="45A5F0DE"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Таловский</w:t>
            </w:r>
          </w:p>
        </w:tc>
        <w:tc>
          <w:tcPr>
            <w:tcW w:w="1984" w:type="dxa"/>
            <w:shd w:val="clear" w:color="auto" w:fill="auto"/>
            <w:noWrap/>
            <w:vAlign w:val="bottom"/>
            <w:hideMark/>
          </w:tcPr>
          <w:p w14:paraId="0A16608D"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2,90</w:t>
            </w:r>
          </w:p>
        </w:tc>
        <w:tc>
          <w:tcPr>
            <w:tcW w:w="1844" w:type="dxa"/>
            <w:shd w:val="clear" w:color="auto" w:fill="auto"/>
            <w:noWrap/>
            <w:vAlign w:val="bottom"/>
            <w:hideMark/>
          </w:tcPr>
          <w:p w14:paraId="1782BAEC"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119,65</w:t>
            </w:r>
          </w:p>
        </w:tc>
        <w:tc>
          <w:tcPr>
            <w:tcW w:w="1718" w:type="dxa"/>
            <w:shd w:val="clear" w:color="auto" w:fill="auto"/>
            <w:noWrap/>
            <w:vAlign w:val="bottom"/>
            <w:hideMark/>
          </w:tcPr>
          <w:p w14:paraId="0D499DF8"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951,92</w:t>
            </w:r>
          </w:p>
        </w:tc>
        <w:tc>
          <w:tcPr>
            <w:tcW w:w="1695" w:type="dxa"/>
            <w:shd w:val="clear" w:color="auto" w:fill="auto"/>
            <w:noWrap/>
            <w:vAlign w:val="bottom"/>
            <w:hideMark/>
          </w:tcPr>
          <w:p w14:paraId="5C3DE957"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36</w:t>
            </w:r>
          </w:p>
        </w:tc>
      </w:tr>
      <w:tr w:rsidR="00DB474C" w:rsidRPr="00AD1011" w14:paraId="096F23B1" w14:textId="77777777" w:rsidTr="00E564BF">
        <w:trPr>
          <w:trHeight w:val="300"/>
        </w:trPr>
        <w:tc>
          <w:tcPr>
            <w:tcW w:w="2109" w:type="dxa"/>
            <w:shd w:val="clear" w:color="auto" w:fill="auto"/>
            <w:noWrap/>
            <w:vAlign w:val="bottom"/>
            <w:hideMark/>
          </w:tcPr>
          <w:p w14:paraId="46C3AD76"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Терновский</w:t>
            </w:r>
          </w:p>
        </w:tc>
        <w:tc>
          <w:tcPr>
            <w:tcW w:w="1984" w:type="dxa"/>
            <w:shd w:val="clear" w:color="auto" w:fill="auto"/>
            <w:noWrap/>
            <w:vAlign w:val="bottom"/>
            <w:hideMark/>
          </w:tcPr>
          <w:p w14:paraId="5BE263F4"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3,08</w:t>
            </w:r>
          </w:p>
        </w:tc>
        <w:tc>
          <w:tcPr>
            <w:tcW w:w="1844" w:type="dxa"/>
            <w:shd w:val="clear" w:color="auto" w:fill="auto"/>
            <w:noWrap/>
            <w:vAlign w:val="bottom"/>
            <w:hideMark/>
          </w:tcPr>
          <w:p w14:paraId="17216A8C"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21,76</w:t>
            </w:r>
          </w:p>
        </w:tc>
        <w:tc>
          <w:tcPr>
            <w:tcW w:w="1718" w:type="dxa"/>
            <w:shd w:val="clear" w:color="auto" w:fill="auto"/>
            <w:noWrap/>
            <w:vAlign w:val="bottom"/>
            <w:hideMark/>
          </w:tcPr>
          <w:p w14:paraId="78014DB4"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118,55</w:t>
            </w:r>
          </w:p>
        </w:tc>
        <w:tc>
          <w:tcPr>
            <w:tcW w:w="1695" w:type="dxa"/>
            <w:shd w:val="clear" w:color="auto" w:fill="auto"/>
            <w:noWrap/>
            <w:vAlign w:val="bottom"/>
            <w:hideMark/>
          </w:tcPr>
          <w:p w14:paraId="650EF237"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9</w:t>
            </w:r>
          </w:p>
        </w:tc>
      </w:tr>
      <w:tr w:rsidR="00DB474C" w:rsidRPr="00AD1011" w14:paraId="63E21B91" w14:textId="77777777" w:rsidTr="00E564BF">
        <w:trPr>
          <w:trHeight w:val="300"/>
        </w:trPr>
        <w:tc>
          <w:tcPr>
            <w:tcW w:w="2109" w:type="dxa"/>
            <w:shd w:val="clear" w:color="auto" w:fill="auto"/>
            <w:noWrap/>
            <w:vAlign w:val="bottom"/>
            <w:hideMark/>
          </w:tcPr>
          <w:p w14:paraId="07B8EC82"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Хохольский</w:t>
            </w:r>
          </w:p>
        </w:tc>
        <w:tc>
          <w:tcPr>
            <w:tcW w:w="1984" w:type="dxa"/>
            <w:shd w:val="clear" w:color="auto" w:fill="auto"/>
            <w:noWrap/>
            <w:vAlign w:val="bottom"/>
            <w:hideMark/>
          </w:tcPr>
          <w:p w14:paraId="5C55FB56"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2,58</w:t>
            </w:r>
          </w:p>
        </w:tc>
        <w:tc>
          <w:tcPr>
            <w:tcW w:w="1844" w:type="dxa"/>
            <w:shd w:val="clear" w:color="auto" w:fill="auto"/>
            <w:noWrap/>
            <w:vAlign w:val="bottom"/>
            <w:hideMark/>
          </w:tcPr>
          <w:p w14:paraId="6997F05A"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898,27</w:t>
            </w:r>
          </w:p>
        </w:tc>
        <w:tc>
          <w:tcPr>
            <w:tcW w:w="1718" w:type="dxa"/>
            <w:shd w:val="clear" w:color="auto" w:fill="auto"/>
            <w:noWrap/>
            <w:vAlign w:val="bottom"/>
            <w:hideMark/>
          </w:tcPr>
          <w:p w14:paraId="04EC8BEF"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46 575,80</w:t>
            </w:r>
          </w:p>
        </w:tc>
        <w:tc>
          <w:tcPr>
            <w:tcW w:w="1695" w:type="dxa"/>
            <w:shd w:val="clear" w:color="auto" w:fill="auto"/>
            <w:noWrap/>
            <w:vAlign w:val="bottom"/>
            <w:hideMark/>
          </w:tcPr>
          <w:p w14:paraId="01C0FE22"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68</w:t>
            </w:r>
          </w:p>
        </w:tc>
      </w:tr>
      <w:tr w:rsidR="00DB474C" w:rsidRPr="00AD1011" w14:paraId="488B80B7" w14:textId="77777777" w:rsidTr="00E564BF">
        <w:trPr>
          <w:trHeight w:val="300"/>
        </w:trPr>
        <w:tc>
          <w:tcPr>
            <w:tcW w:w="2109" w:type="dxa"/>
            <w:shd w:val="clear" w:color="auto" w:fill="auto"/>
            <w:noWrap/>
            <w:vAlign w:val="bottom"/>
            <w:hideMark/>
          </w:tcPr>
          <w:p w14:paraId="744872E0"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Эртильский</w:t>
            </w:r>
          </w:p>
        </w:tc>
        <w:tc>
          <w:tcPr>
            <w:tcW w:w="1984" w:type="dxa"/>
            <w:shd w:val="clear" w:color="auto" w:fill="auto"/>
            <w:noWrap/>
            <w:vAlign w:val="bottom"/>
            <w:hideMark/>
          </w:tcPr>
          <w:p w14:paraId="1A6BED1E"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3,87</w:t>
            </w:r>
          </w:p>
        </w:tc>
        <w:tc>
          <w:tcPr>
            <w:tcW w:w="1844" w:type="dxa"/>
            <w:shd w:val="clear" w:color="auto" w:fill="auto"/>
            <w:noWrap/>
            <w:vAlign w:val="bottom"/>
            <w:hideMark/>
          </w:tcPr>
          <w:p w14:paraId="3974678C"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1 079,34</w:t>
            </w:r>
          </w:p>
        </w:tc>
        <w:tc>
          <w:tcPr>
            <w:tcW w:w="1718" w:type="dxa"/>
            <w:shd w:val="clear" w:color="auto" w:fill="auto"/>
            <w:noWrap/>
            <w:vAlign w:val="bottom"/>
            <w:hideMark/>
          </w:tcPr>
          <w:p w14:paraId="41B542EC"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20 254,51</w:t>
            </w:r>
          </w:p>
        </w:tc>
        <w:tc>
          <w:tcPr>
            <w:tcW w:w="1695" w:type="dxa"/>
            <w:shd w:val="clear" w:color="auto" w:fill="auto"/>
            <w:noWrap/>
            <w:vAlign w:val="bottom"/>
            <w:hideMark/>
          </w:tcPr>
          <w:p w14:paraId="61D52223"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25</w:t>
            </w:r>
          </w:p>
        </w:tc>
      </w:tr>
      <w:tr w:rsidR="00DB474C" w:rsidRPr="00AD1011" w14:paraId="189C754F" w14:textId="77777777" w:rsidTr="00E564BF">
        <w:trPr>
          <w:trHeight w:val="300"/>
        </w:trPr>
        <w:tc>
          <w:tcPr>
            <w:tcW w:w="2109" w:type="dxa"/>
            <w:shd w:val="clear" w:color="auto" w:fill="auto"/>
            <w:noWrap/>
            <w:vAlign w:val="bottom"/>
            <w:hideMark/>
          </w:tcPr>
          <w:p w14:paraId="2AD5CAD1"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г.о.г. Нововоронеж</w:t>
            </w:r>
          </w:p>
        </w:tc>
        <w:tc>
          <w:tcPr>
            <w:tcW w:w="1984" w:type="dxa"/>
            <w:shd w:val="clear" w:color="auto" w:fill="auto"/>
            <w:noWrap/>
            <w:vAlign w:val="bottom"/>
            <w:hideMark/>
          </w:tcPr>
          <w:p w14:paraId="66D281B3"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34,09</w:t>
            </w:r>
          </w:p>
        </w:tc>
        <w:tc>
          <w:tcPr>
            <w:tcW w:w="1844" w:type="dxa"/>
            <w:shd w:val="clear" w:color="auto" w:fill="auto"/>
            <w:noWrap/>
            <w:vAlign w:val="bottom"/>
            <w:hideMark/>
          </w:tcPr>
          <w:p w14:paraId="34C69EB3"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399,03</w:t>
            </w:r>
          </w:p>
        </w:tc>
        <w:tc>
          <w:tcPr>
            <w:tcW w:w="1718" w:type="dxa"/>
            <w:shd w:val="clear" w:color="auto" w:fill="auto"/>
            <w:noWrap/>
            <w:vAlign w:val="bottom"/>
            <w:hideMark/>
          </w:tcPr>
          <w:p w14:paraId="42C2F75E"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1 447,64</w:t>
            </w:r>
          </w:p>
        </w:tc>
        <w:tc>
          <w:tcPr>
            <w:tcW w:w="1695" w:type="dxa"/>
            <w:shd w:val="clear" w:color="auto" w:fill="auto"/>
            <w:noWrap/>
            <w:vAlign w:val="bottom"/>
            <w:hideMark/>
          </w:tcPr>
          <w:p w14:paraId="4C98AFC8"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33</w:t>
            </w:r>
          </w:p>
        </w:tc>
      </w:tr>
      <w:tr w:rsidR="00DB474C" w:rsidRPr="00AD1011" w14:paraId="06A58251" w14:textId="77777777" w:rsidTr="00E564BF">
        <w:trPr>
          <w:trHeight w:val="300"/>
        </w:trPr>
        <w:tc>
          <w:tcPr>
            <w:tcW w:w="2109" w:type="dxa"/>
            <w:shd w:val="clear" w:color="auto" w:fill="auto"/>
            <w:noWrap/>
            <w:vAlign w:val="bottom"/>
            <w:hideMark/>
          </w:tcPr>
          <w:p w14:paraId="454D0F85" w14:textId="77777777" w:rsidR="00DB474C" w:rsidRPr="00AD1011" w:rsidRDefault="00DB474C" w:rsidP="00DB474C">
            <w:pPr>
              <w:spacing w:after="0" w:line="240" w:lineRule="auto"/>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г.о.г. Воронеж</w:t>
            </w:r>
          </w:p>
        </w:tc>
        <w:tc>
          <w:tcPr>
            <w:tcW w:w="1984" w:type="dxa"/>
            <w:shd w:val="clear" w:color="auto" w:fill="auto"/>
            <w:noWrap/>
            <w:vAlign w:val="bottom"/>
            <w:hideMark/>
          </w:tcPr>
          <w:p w14:paraId="38594785"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3,29</w:t>
            </w:r>
          </w:p>
        </w:tc>
        <w:tc>
          <w:tcPr>
            <w:tcW w:w="1844" w:type="dxa"/>
            <w:shd w:val="clear" w:color="auto" w:fill="auto"/>
            <w:noWrap/>
            <w:vAlign w:val="bottom"/>
            <w:hideMark/>
          </w:tcPr>
          <w:p w14:paraId="541989DD"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6 544,26</w:t>
            </w:r>
          </w:p>
        </w:tc>
        <w:tc>
          <w:tcPr>
            <w:tcW w:w="1718" w:type="dxa"/>
            <w:shd w:val="clear" w:color="auto" w:fill="auto"/>
            <w:noWrap/>
            <w:vAlign w:val="bottom"/>
            <w:hideMark/>
          </w:tcPr>
          <w:p w14:paraId="72CAC73D"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322 245,36</w:t>
            </w:r>
          </w:p>
        </w:tc>
        <w:tc>
          <w:tcPr>
            <w:tcW w:w="1695" w:type="dxa"/>
            <w:shd w:val="clear" w:color="auto" w:fill="auto"/>
            <w:noWrap/>
            <w:vAlign w:val="bottom"/>
            <w:hideMark/>
          </w:tcPr>
          <w:p w14:paraId="684A54D6" w14:textId="77777777" w:rsidR="00DB474C" w:rsidRPr="00AD1011" w:rsidRDefault="00DB474C" w:rsidP="00DB474C">
            <w:pPr>
              <w:spacing w:after="0" w:line="240" w:lineRule="auto"/>
              <w:jc w:val="right"/>
              <w:rPr>
                <w:rFonts w:ascii="Times New Roman" w:eastAsia="Times New Roman" w:hAnsi="Times New Roman" w:cs="Times New Roman"/>
                <w:color w:val="000000"/>
                <w:lang w:eastAsia="ru-RU"/>
              </w:rPr>
            </w:pPr>
            <w:r w:rsidRPr="00AD1011">
              <w:rPr>
                <w:rFonts w:ascii="Times New Roman" w:eastAsia="Times New Roman" w:hAnsi="Times New Roman" w:cs="Times New Roman"/>
                <w:color w:val="000000"/>
                <w:lang w:eastAsia="ru-RU"/>
              </w:rPr>
              <w:t>665</w:t>
            </w:r>
          </w:p>
        </w:tc>
      </w:tr>
      <w:tr w:rsidR="00DB474C" w:rsidRPr="00AD1011" w14:paraId="2350A46A" w14:textId="77777777" w:rsidTr="00E564BF">
        <w:trPr>
          <w:trHeight w:val="300"/>
        </w:trPr>
        <w:tc>
          <w:tcPr>
            <w:tcW w:w="2109" w:type="dxa"/>
            <w:shd w:val="clear" w:color="auto" w:fill="auto"/>
            <w:noWrap/>
            <w:vAlign w:val="bottom"/>
            <w:hideMark/>
          </w:tcPr>
          <w:p w14:paraId="16851879" w14:textId="77777777" w:rsidR="00DB474C" w:rsidRPr="00AD1011" w:rsidRDefault="00DB474C" w:rsidP="00DB474C">
            <w:pPr>
              <w:spacing w:after="0" w:line="240" w:lineRule="auto"/>
              <w:rPr>
                <w:rFonts w:ascii="Times New Roman" w:eastAsia="Times New Roman" w:hAnsi="Times New Roman" w:cs="Times New Roman"/>
                <w:b/>
                <w:color w:val="000000"/>
                <w:lang w:eastAsia="ru-RU"/>
              </w:rPr>
            </w:pPr>
            <w:r w:rsidRPr="00AD1011">
              <w:rPr>
                <w:rFonts w:ascii="Times New Roman" w:eastAsia="Times New Roman" w:hAnsi="Times New Roman" w:cs="Times New Roman"/>
                <w:b/>
                <w:color w:val="000000"/>
                <w:lang w:eastAsia="ru-RU"/>
              </w:rPr>
              <w:t>Общий итог</w:t>
            </w:r>
          </w:p>
        </w:tc>
        <w:tc>
          <w:tcPr>
            <w:tcW w:w="1984" w:type="dxa"/>
            <w:shd w:val="clear" w:color="auto" w:fill="auto"/>
            <w:noWrap/>
            <w:vAlign w:val="bottom"/>
            <w:hideMark/>
          </w:tcPr>
          <w:p w14:paraId="0B089288" w14:textId="77777777" w:rsidR="00DB474C" w:rsidRPr="00AD1011" w:rsidRDefault="00DB474C" w:rsidP="00DB474C">
            <w:pPr>
              <w:spacing w:after="0" w:line="240" w:lineRule="auto"/>
              <w:jc w:val="right"/>
              <w:rPr>
                <w:rFonts w:ascii="Times New Roman" w:eastAsia="Times New Roman" w:hAnsi="Times New Roman" w:cs="Times New Roman"/>
                <w:b/>
                <w:color w:val="000000"/>
                <w:lang w:eastAsia="ru-RU"/>
              </w:rPr>
            </w:pPr>
            <w:r w:rsidRPr="00AD1011">
              <w:rPr>
                <w:rFonts w:ascii="Times New Roman" w:eastAsia="Times New Roman" w:hAnsi="Times New Roman" w:cs="Times New Roman"/>
                <w:b/>
                <w:color w:val="000000"/>
                <w:lang w:eastAsia="ru-RU"/>
              </w:rPr>
              <w:t>0,45</w:t>
            </w:r>
          </w:p>
        </w:tc>
        <w:tc>
          <w:tcPr>
            <w:tcW w:w="1844" w:type="dxa"/>
            <w:shd w:val="clear" w:color="auto" w:fill="auto"/>
            <w:noWrap/>
            <w:vAlign w:val="bottom"/>
            <w:hideMark/>
          </w:tcPr>
          <w:p w14:paraId="62EA2433" w14:textId="77777777" w:rsidR="00DB474C" w:rsidRPr="00AD1011" w:rsidRDefault="00DB474C" w:rsidP="00DB474C">
            <w:pPr>
              <w:spacing w:after="0" w:line="240" w:lineRule="auto"/>
              <w:jc w:val="right"/>
              <w:rPr>
                <w:rFonts w:ascii="Times New Roman" w:eastAsia="Times New Roman" w:hAnsi="Times New Roman" w:cs="Times New Roman"/>
                <w:b/>
                <w:color w:val="000000"/>
                <w:lang w:eastAsia="ru-RU"/>
              </w:rPr>
            </w:pPr>
            <w:r w:rsidRPr="00AD1011">
              <w:rPr>
                <w:rFonts w:ascii="Times New Roman" w:eastAsia="Times New Roman" w:hAnsi="Times New Roman" w:cs="Times New Roman"/>
                <w:b/>
                <w:color w:val="000000"/>
                <w:lang w:eastAsia="ru-RU"/>
              </w:rPr>
              <w:t>2 057,83</w:t>
            </w:r>
          </w:p>
        </w:tc>
        <w:tc>
          <w:tcPr>
            <w:tcW w:w="1718" w:type="dxa"/>
            <w:shd w:val="clear" w:color="auto" w:fill="auto"/>
            <w:noWrap/>
            <w:vAlign w:val="bottom"/>
            <w:hideMark/>
          </w:tcPr>
          <w:p w14:paraId="4B7BAC97" w14:textId="77777777" w:rsidR="00DB474C" w:rsidRPr="00AD1011" w:rsidRDefault="00DB474C" w:rsidP="00DB474C">
            <w:pPr>
              <w:spacing w:after="0" w:line="240" w:lineRule="auto"/>
              <w:jc w:val="right"/>
              <w:rPr>
                <w:rFonts w:ascii="Times New Roman" w:eastAsia="Times New Roman" w:hAnsi="Times New Roman" w:cs="Times New Roman"/>
                <w:b/>
                <w:color w:val="000000"/>
                <w:lang w:eastAsia="ru-RU"/>
              </w:rPr>
            </w:pPr>
            <w:r w:rsidRPr="00AD1011">
              <w:rPr>
                <w:rFonts w:ascii="Times New Roman" w:eastAsia="Times New Roman" w:hAnsi="Times New Roman" w:cs="Times New Roman"/>
                <w:b/>
                <w:color w:val="000000"/>
                <w:lang w:eastAsia="ru-RU"/>
              </w:rPr>
              <w:t>322 245,36</w:t>
            </w:r>
          </w:p>
        </w:tc>
        <w:tc>
          <w:tcPr>
            <w:tcW w:w="1695" w:type="dxa"/>
            <w:shd w:val="clear" w:color="auto" w:fill="auto"/>
            <w:noWrap/>
            <w:vAlign w:val="bottom"/>
            <w:hideMark/>
          </w:tcPr>
          <w:p w14:paraId="6299048E" w14:textId="77777777" w:rsidR="00DB474C" w:rsidRPr="00AD1011" w:rsidRDefault="00DB474C" w:rsidP="00DB474C">
            <w:pPr>
              <w:spacing w:after="0" w:line="240" w:lineRule="auto"/>
              <w:jc w:val="right"/>
              <w:rPr>
                <w:rFonts w:ascii="Times New Roman" w:eastAsia="Times New Roman" w:hAnsi="Times New Roman" w:cs="Times New Roman"/>
                <w:b/>
                <w:color w:val="000000"/>
                <w:lang w:eastAsia="ru-RU"/>
              </w:rPr>
            </w:pPr>
            <w:r w:rsidRPr="00AD1011">
              <w:rPr>
                <w:rFonts w:ascii="Times New Roman" w:eastAsia="Times New Roman" w:hAnsi="Times New Roman" w:cs="Times New Roman"/>
                <w:b/>
                <w:color w:val="000000"/>
                <w:lang w:eastAsia="ru-RU"/>
              </w:rPr>
              <w:t>2907</w:t>
            </w:r>
          </w:p>
        </w:tc>
      </w:tr>
    </w:tbl>
    <w:p w14:paraId="67C02E67" w14:textId="77777777" w:rsidR="00DB474C" w:rsidRDefault="00DB474C" w:rsidP="00DB474C">
      <w:pPr>
        <w:tabs>
          <w:tab w:val="left" w:pos="6255"/>
        </w:tabs>
        <w:spacing w:before="120" w:after="0" w:line="276" w:lineRule="auto"/>
        <w:ind w:firstLine="567"/>
        <w:jc w:val="both"/>
        <w:rPr>
          <w:rFonts w:ascii="Times New Roman" w:hAnsi="Times New Roman" w:cs="Times New Roman"/>
          <w:sz w:val="26"/>
          <w:szCs w:val="26"/>
        </w:rPr>
      </w:pPr>
      <w:bookmarkStart w:id="86" w:name="_Hlk102574871"/>
      <w:r>
        <w:rPr>
          <w:rFonts w:ascii="Times New Roman" w:hAnsi="Times New Roman" w:cs="Times New Roman"/>
          <w:sz w:val="26"/>
          <w:szCs w:val="26"/>
        </w:rPr>
        <w:t>Н</w:t>
      </w:r>
      <w:r w:rsidRPr="00544599">
        <w:rPr>
          <w:rFonts w:ascii="Times New Roman" w:hAnsi="Times New Roman" w:cs="Times New Roman"/>
          <w:sz w:val="26"/>
          <w:szCs w:val="26"/>
        </w:rPr>
        <w:t>аибольшее количество среди районов Воронежской области (не считая г.</w:t>
      </w:r>
      <w:r>
        <w:rPr>
          <w:rFonts w:ascii="Times New Roman" w:hAnsi="Times New Roman" w:cs="Times New Roman"/>
          <w:sz w:val="26"/>
          <w:szCs w:val="26"/>
        </w:rPr>
        <w:t>о.г.</w:t>
      </w:r>
      <w:r w:rsidRPr="00544599">
        <w:rPr>
          <w:rFonts w:ascii="Times New Roman" w:hAnsi="Times New Roman" w:cs="Times New Roman"/>
          <w:sz w:val="26"/>
          <w:szCs w:val="26"/>
        </w:rPr>
        <w:t xml:space="preserve"> Воронеж) представлено в</w:t>
      </w:r>
      <w:bookmarkEnd w:id="86"/>
      <w:r>
        <w:rPr>
          <w:rFonts w:ascii="Times New Roman" w:hAnsi="Times New Roman" w:cs="Times New Roman"/>
          <w:sz w:val="26"/>
          <w:szCs w:val="26"/>
        </w:rPr>
        <w:t xml:space="preserve"> Рамонском районе - 593 предложения (сделки), что составляет 20,4% от общего количества. Наименьшее количество предложений (сделок) представлено в Терновском районе - 9.</w:t>
      </w:r>
    </w:p>
    <w:p w14:paraId="52C11296" w14:textId="77777777" w:rsidR="00DB474C" w:rsidRPr="00A66653" w:rsidRDefault="00DB474C" w:rsidP="00DB474C">
      <w:pPr>
        <w:spacing w:after="0" w:line="276" w:lineRule="auto"/>
        <w:ind w:firstLine="709"/>
        <w:jc w:val="both"/>
        <w:rPr>
          <w:rFonts w:ascii="Times New Roman" w:hAnsi="Times New Roman" w:cs="Times New Roman"/>
          <w:sz w:val="26"/>
          <w:szCs w:val="26"/>
        </w:rPr>
      </w:pPr>
      <w:r w:rsidRPr="00544599">
        <w:rPr>
          <w:rFonts w:ascii="Times New Roman" w:hAnsi="Times New Roman" w:cs="Times New Roman"/>
          <w:sz w:val="26"/>
          <w:szCs w:val="26"/>
        </w:rPr>
        <w:t>Средний удельный показатель рыночной стоимости по г.</w:t>
      </w:r>
      <w:r>
        <w:rPr>
          <w:rFonts w:ascii="Times New Roman" w:hAnsi="Times New Roman" w:cs="Times New Roman"/>
          <w:sz w:val="26"/>
          <w:szCs w:val="26"/>
        </w:rPr>
        <w:t>о.г.</w:t>
      </w:r>
      <w:r w:rsidRPr="00544599">
        <w:rPr>
          <w:rFonts w:ascii="Times New Roman" w:hAnsi="Times New Roman" w:cs="Times New Roman"/>
          <w:sz w:val="26"/>
          <w:szCs w:val="26"/>
        </w:rPr>
        <w:t xml:space="preserve"> Воронеж составляет </w:t>
      </w:r>
      <w:r>
        <w:rPr>
          <w:rFonts w:ascii="Times New Roman" w:hAnsi="Times New Roman" w:cs="Times New Roman"/>
          <w:sz w:val="26"/>
          <w:szCs w:val="26"/>
        </w:rPr>
        <w:t>6 544,26</w:t>
      </w:r>
      <w:r w:rsidRPr="00544599">
        <w:rPr>
          <w:rFonts w:ascii="Times New Roman" w:hAnsi="Times New Roman" w:cs="Times New Roman"/>
          <w:sz w:val="26"/>
          <w:szCs w:val="26"/>
        </w:rPr>
        <w:t xml:space="preserve"> руб./кв.м, цены представлены в довольно широком диапазоне от </w:t>
      </w:r>
      <w:r>
        <w:rPr>
          <w:rFonts w:ascii="Times New Roman" w:hAnsi="Times New Roman" w:cs="Times New Roman"/>
          <w:sz w:val="26"/>
          <w:szCs w:val="26"/>
        </w:rPr>
        <w:t>3,29</w:t>
      </w:r>
      <w:r w:rsidRPr="00544599">
        <w:rPr>
          <w:rFonts w:ascii="Times New Roman" w:hAnsi="Times New Roman" w:cs="Times New Roman"/>
          <w:sz w:val="26"/>
          <w:szCs w:val="26"/>
        </w:rPr>
        <w:t xml:space="preserve"> до </w:t>
      </w:r>
      <w:r>
        <w:rPr>
          <w:rFonts w:ascii="Times New Roman" w:hAnsi="Times New Roman" w:cs="Times New Roman"/>
          <w:sz w:val="26"/>
          <w:szCs w:val="26"/>
        </w:rPr>
        <w:t>322 245,36</w:t>
      </w:r>
      <w:r w:rsidRPr="00544599">
        <w:rPr>
          <w:rFonts w:ascii="Times New Roman" w:hAnsi="Times New Roman" w:cs="Times New Roman"/>
          <w:sz w:val="26"/>
          <w:szCs w:val="26"/>
        </w:rPr>
        <w:t xml:space="preserve"> руб./кв.м.  Наибольший средний удельный показатель рыночной стоимости среди районов Воронежской области сложился в</w:t>
      </w:r>
      <w:r>
        <w:rPr>
          <w:rFonts w:ascii="Times New Roman" w:hAnsi="Times New Roman" w:cs="Times New Roman"/>
          <w:sz w:val="26"/>
          <w:szCs w:val="26"/>
        </w:rPr>
        <w:t xml:space="preserve"> Павловском районе в размере 5 672,28 </w:t>
      </w:r>
      <w:r w:rsidRPr="00544599">
        <w:rPr>
          <w:rFonts w:ascii="Times New Roman" w:hAnsi="Times New Roman" w:cs="Times New Roman"/>
          <w:sz w:val="26"/>
          <w:szCs w:val="26"/>
        </w:rPr>
        <w:t>руб./кв.м</w:t>
      </w:r>
      <w:r>
        <w:rPr>
          <w:rFonts w:ascii="Times New Roman" w:hAnsi="Times New Roman" w:cs="Times New Roman"/>
          <w:sz w:val="26"/>
          <w:szCs w:val="26"/>
        </w:rPr>
        <w:t xml:space="preserve">. </w:t>
      </w:r>
      <w:r w:rsidRPr="00544599">
        <w:rPr>
          <w:rFonts w:ascii="Times New Roman" w:hAnsi="Times New Roman" w:cs="Times New Roman"/>
          <w:sz w:val="26"/>
          <w:szCs w:val="26"/>
        </w:rPr>
        <w:t xml:space="preserve">В целом величина удельного показателя рыночной стоимости </w:t>
      </w:r>
      <w:r>
        <w:rPr>
          <w:rFonts w:ascii="Times New Roman" w:hAnsi="Times New Roman" w:cs="Times New Roman"/>
          <w:sz w:val="26"/>
          <w:szCs w:val="26"/>
        </w:rPr>
        <w:t xml:space="preserve">по объектам производственного назначения </w:t>
      </w:r>
      <w:r w:rsidRPr="00544599">
        <w:rPr>
          <w:rFonts w:ascii="Times New Roman" w:hAnsi="Times New Roman" w:cs="Times New Roman"/>
          <w:sz w:val="26"/>
          <w:szCs w:val="26"/>
        </w:rPr>
        <w:t xml:space="preserve">лежит в диапазоне от </w:t>
      </w:r>
      <w:r>
        <w:rPr>
          <w:rFonts w:ascii="Times New Roman" w:hAnsi="Times New Roman" w:cs="Times New Roman"/>
          <w:sz w:val="26"/>
          <w:szCs w:val="26"/>
        </w:rPr>
        <w:t>0</w:t>
      </w:r>
      <w:r w:rsidRPr="00544599">
        <w:rPr>
          <w:rFonts w:ascii="Times New Roman" w:hAnsi="Times New Roman" w:cs="Times New Roman"/>
          <w:sz w:val="26"/>
          <w:szCs w:val="26"/>
        </w:rPr>
        <w:t>,</w:t>
      </w:r>
      <w:r>
        <w:rPr>
          <w:rFonts w:ascii="Times New Roman" w:hAnsi="Times New Roman" w:cs="Times New Roman"/>
          <w:sz w:val="26"/>
          <w:szCs w:val="26"/>
        </w:rPr>
        <w:t>4</w:t>
      </w:r>
      <w:r w:rsidRPr="00544599">
        <w:rPr>
          <w:rFonts w:ascii="Times New Roman" w:hAnsi="Times New Roman" w:cs="Times New Roman"/>
          <w:sz w:val="26"/>
          <w:szCs w:val="26"/>
        </w:rPr>
        <w:t xml:space="preserve">5 до </w:t>
      </w:r>
      <w:r>
        <w:rPr>
          <w:rFonts w:ascii="Times New Roman" w:hAnsi="Times New Roman" w:cs="Times New Roman"/>
          <w:sz w:val="26"/>
          <w:szCs w:val="26"/>
        </w:rPr>
        <w:t>322 245,36</w:t>
      </w:r>
      <w:r w:rsidRPr="00BF3831">
        <w:rPr>
          <w:rFonts w:ascii="Times New Roman" w:hAnsi="Times New Roman" w:cs="Times New Roman"/>
          <w:sz w:val="26"/>
          <w:szCs w:val="26"/>
        </w:rPr>
        <w:t xml:space="preserve"> </w:t>
      </w:r>
      <w:r w:rsidRPr="00544599">
        <w:rPr>
          <w:rFonts w:ascii="Times New Roman" w:hAnsi="Times New Roman" w:cs="Times New Roman"/>
          <w:sz w:val="26"/>
          <w:szCs w:val="26"/>
        </w:rPr>
        <w:t>руб./кв.м</w:t>
      </w:r>
      <w:r>
        <w:rPr>
          <w:rFonts w:ascii="Times New Roman" w:hAnsi="Times New Roman" w:cs="Times New Roman"/>
          <w:sz w:val="26"/>
          <w:szCs w:val="26"/>
        </w:rPr>
        <w:t>. Аналоги, стоимостные значения которых представляют собой экстремумы, для дальнейших целей оценки не используются.</w:t>
      </w:r>
    </w:p>
    <w:p w14:paraId="2F2F52AB" w14:textId="77777777" w:rsidR="001410AB" w:rsidRDefault="001410AB" w:rsidP="00DB474C">
      <w:pPr>
        <w:spacing w:after="0" w:line="276" w:lineRule="auto"/>
        <w:ind w:firstLine="709"/>
        <w:jc w:val="center"/>
        <w:rPr>
          <w:rStyle w:val="af9"/>
          <w:rFonts w:ascii="Times New Roman" w:hAnsi="Times New Roman" w:cs="Times New Roman"/>
          <w:b w:val="0"/>
          <w:i/>
          <w:sz w:val="26"/>
          <w:szCs w:val="26"/>
        </w:rPr>
      </w:pPr>
    </w:p>
    <w:p w14:paraId="53F2F748" w14:textId="3C0BE3CF" w:rsidR="00DB474C" w:rsidRPr="00E564BF" w:rsidRDefault="00DB474C" w:rsidP="00DB474C">
      <w:pPr>
        <w:spacing w:after="0" w:line="276" w:lineRule="auto"/>
        <w:ind w:firstLine="709"/>
        <w:jc w:val="center"/>
        <w:rPr>
          <w:rStyle w:val="af9"/>
          <w:rFonts w:ascii="Times New Roman" w:hAnsi="Times New Roman" w:cs="Times New Roman"/>
          <w:b w:val="0"/>
          <w:bCs w:val="0"/>
          <w:i/>
          <w:sz w:val="26"/>
          <w:szCs w:val="26"/>
        </w:rPr>
      </w:pPr>
      <w:r w:rsidRPr="00E564BF">
        <w:rPr>
          <w:rStyle w:val="af9"/>
          <w:rFonts w:ascii="Times New Roman" w:hAnsi="Times New Roman" w:cs="Times New Roman"/>
          <w:b w:val="0"/>
          <w:i/>
          <w:sz w:val="26"/>
          <w:szCs w:val="26"/>
        </w:rPr>
        <w:t>Анализ ценообразующих факторов и ранжирование по степени их влияния на цены объектов недвижимости</w:t>
      </w:r>
    </w:p>
    <w:p w14:paraId="2B05697D" w14:textId="77777777" w:rsidR="00DB474C" w:rsidRPr="00E564BF" w:rsidRDefault="00DB474C" w:rsidP="00DB474C">
      <w:pPr>
        <w:spacing w:after="120" w:line="276" w:lineRule="auto"/>
        <w:ind w:firstLine="709"/>
        <w:jc w:val="both"/>
        <w:rPr>
          <w:rFonts w:ascii="Times New Roman" w:hAnsi="Times New Roman" w:cs="Times New Roman"/>
          <w:sz w:val="26"/>
          <w:szCs w:val="26"/>
        </w:rPr>
      </w:pPr>
      <w:r w:rsidRPr="00E564BF">
        <w:rPr>
          <w:rStyle w:val="af9"/>
          <w:rFonts w:ascii="Times New Roman" w:hAnsi="Times New Roman" w:cs="Times New Roman"/>
          <w:b w:val="0"/>
          <w:sz w:val="26"/>
          <w:szCs w:val="26"/>
        </w:rPr>
        <w:t>Количество факторов, оказывающих влияние на цены объектов, предлагаемых к продаже, весьма велико. Наиболее значимые из этих факторов обычно учитываются в процессе оценки в качестве параметров, по которым сопоставляются подобные объекты-аналоги, принимаются решения о необходимости корректировки цены, если объекты-аналоги по этим параметрам отличаются от объектов оценки. Далее приведены основные ценообразующие факторы, влияющие на стоимость земельных участков производственного назначения, по данным ООО «Информ-Оценка».</w:t>
      </w:r>
    </w:p>
    <w:p w14:paraId="09AC9C35" w14:textId="77777777" w:rsidR="00DB474C" w:rsidRDefault="00DB474C" w:rsidP="00E564BF">
      <w:pPr>
        <w:spacing w:after="0" w:line="300" w:lineRule="auto"/>
        <w:jc w:val="center"/>
        <w:rPr>
          <w:rFonts w:ascii="Times New Roman" w:eastAsia="Calibri" w:hAnsi="Times New Roman" w:cs="Times New Roman"/>
          <w:sz w:val="26"/>
          <w:szCs w:val="26"/>
          <w:u w:val="single"/>
        </w:rPr>
      </w:pPr>
      <w:r w:rsidRPr="007D4438">
        <w:rPr>
          <w:rFonts w:ascii="Times New Roman" w:eastAsia="Calibri" w:hAnsi="Times New Roman" w:cs="Times New Roman"/>
          <w:noProof/>
          <w:sz w:val="26"/>
          <w:szCs w:val="26"/>
          <w:u w:val="single"/>
          <w:lang w:eastAsia="ru-RU"/>
        </w:rPr>
        <w:drawing>
          <wp:inline distT="0" distB="0" distL="0" distR="0" wp14:anchorId="08F91DC1" wp14:editId="318AB016">
            <wp:extent cx="4635500" cy="2869005"/>
            <wp:effectExtent l="0" t="0" r="0" b="762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648274" cy="2876911"/>
                    </a:xfrm>
                    <a:prstGeom prst="rect">
                      <a:avLst/>
                    </a:prstGeom>
                  </pic:spPr>
                </pic:pic>
              </a:graphicData>
            </a:graphic>
          </wp:inline>
        </w:drawing>
      </w:r>
    </w:p>
    <w:p w14:paraId="3DF14EC8" w14:textId="77777777" w:rsidR="00DB474C" w:rsidRDefault="00DB474C" w:rsidP="00E564BF">
      <w:pPr>
        <w:spacing w:after="0" w:line="300" w:lineRule="auto"/>
        <w:jc w:val="center"/>
        <w:rPr>
          <w:rFonts w:ascii="Times New Roman" w:eastAsia="Calibri" w:hAnsi="Times New Roman" w:cs="Times New Roman"/>
          <w:sz w:val="26"/>
          <w:szCs w:val="26"/>
          <w:u w:val="single"/>
          <w:lang w:val="en-US"/>
        </w:rPr>
      </w:pPr>
      <w:r w:rsidRPr="007D4438">
        <w:rPr>
          <w:rFonts w:ascii="Times New Roman" w:eastAsia="Calibri" w:hAnsi="Times New Roman" w:cs="Times New Roman"/>
          <w:noProof/>
          <w:sz w:val="26"/>
          <w:szCs w:val="26"/>
          <w:u w:val="single"/>
          <w:lang w:eastAsia="ru-RU"/>
        </w:rPr>
        <w:drawing>
          <wp:inline distT="0" distB="0" distL="0" distR="0" wp14:anchorId="404D157C" wp14:editId="409829D9">
            <wp:extent cx="4759325" cy="2111807"/>
            <wp:effectExtent l="0" t="0" r="3175" b="3175"/>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89474" cy="2125185"/>
                    </a:xfrm>
                    <a:prstGeom prst="rect">
                      <a:avLst/>
                    </a:prstGeom>
                  </pic:spPr>
                </pic:pic>
              </a:graphicData>
            </a:graphic>
          </wp:inline>
        </w:drawing>
      </w:r>
    </w:p>
    <w:p w14:paraId="6D682AF7" w14:textId="77777777" w:rsidR="00DB474C" w:rsidRPr="00E564BF" w:rsidRDefault="00DB474C" w:rsidP="00DB474C">
      <w:pPr>
        <w:spacing w:after="0" w:line="300" w:lineRule="auto"/>
        <w:jc w:val="center"/>
        <w:rPr>
          <w:rStyle w:val="af9"/>
          <w:rFonts w:ascii="Times New Roman" w:hAnsi="Times New Roman" w:cs="Times New Roman"/>
          <w:b w:val="0"/>
          <w:sz w:val="26"/>
          <w:szCs w:val="26"/>
        </w:rPr>
      </w:pPr>
      <w:r w:rsidRPr="00E564BF">
        <w:rPr>
          <w:rStyle w:val="af9"/>
          <w:rFonts w:ascii="Times New Roman" w:hAnsi="Times New Roman" w:cs="Times New Roman"/>
          <w:b w:val="0"/>
          <w:sz w:val="26"/>
          <w:szCs w:val="26"/>
        </w:rPr>
        <w:t>Рис.3.1.3.6.4- Ценообразующие факторы для участков под индустриальную застройку и объекты придорожного сервиса</w:t>
      </w:r>
      <w:r w:rsidRPr="00E564BF">
        <w:rPr>
          <w:rStyle w:val="af2"/>
          <w:rFonts w:ascii="Times New Roman" w:hAnsi="Times New Roman" w:cs="Times New Roman"/>
          <w:bCs/>
          <w:sz w:val="26"/>
          <w:szCs w:val="26"/>
        </w:rPr>
        <w:footnoteReference w:id="90"/>
      </w:r>
    </w:p>
    <w:p w14:paraId="1A3EB2D6" w14:textId="77777777" w:rsidR="001410AB" w:rsidRDefault="001410AB" w:rsidP="00DB474C">
      <w:pPr>
        <w:spacing w:after="0" w:line="276" w:lineRule="auto"/>
        <w:ind w:firstLine="709"/>
        <w:jc w:val="both"/>
        <w:rPr>
          <w:rStyle w:val="af9"/>
          <w:rFonts w:ascii="Times New Roman" w:hAnsi="Times New Roman" w:cs="Times New Roman"/>
          <w:b w:val="0"/>
          <w:sz w:val="26"/>
          <w:szCs w:val="26"/>
        </w:rPr>
      </w:pPr>
    </w:p>
    <w:p w14:paraId="50453D8A" w14:textId="0515392A" w:rsidR="00DB474C" w:rsidRDefault="00DB474C" w:rsidP="00DB474C">
      <w:pPr>
        <w:spacing w:after="0" w:line="276" w:lineRule="auto"/>
        <w:ind w:firstLine="709"/>
        <w:jc w:val="both"/>
        <w:rPr>
          <w:rStyle w:val="af9"/>
          <w:rFonts w:ascii="Times New Roman" w:hAnsi="Times New Roman" w:cs="Times New Roman"/>
          <w:b w:val="0"/>
          <w:sz w:val="26"/>
          <w:szCs w:val="26"/>
        </w:rPr>
      </w:pPr>
      <w:r w:rsidRPr="00E564BF">
        <w:rPr>
          <w:rStyle w:val="af9"/>
          <w:rFonts w:ascii="Times New Roman" w:hAnsi="Times New Roman" w:cs="Times New Roman"/>
          <w:b w:val="0"/>
          <w:sz w:val="26"/>
          <w:szCs w:val="26"/>
        </w:rPr>
        <w:t>Данные факторы использованы для выделения основных ценообразующих факторов в исследуемом сегменте рынка, а также для идентификации сегмента рынка, к которому может быть отнесен объект оценки.</w:t>
      </w:r>
    </w:p>
    <w:p w14:paraId="5599DFA5" w14:textId="0B25A0AD" w:rsidR="001410AB" w:rsidRDefault="001410AB" w:rsidP="00DB474C">
      <w:pPr>
        <w:spacing w:after="0" w:line="276" w:lineRule="auto"/>
        <w:ind w:firstLine="709"/>
        <w:jc w:val="both"/>
        <w:rPr>
          <w:rFonts w:ascii="Times New Roman" w:hAnsi="Times New Roman" w:cs="Times New Roman"/>
          <w:b/>
          <w:sz w:val="26"/>
          <w:szCs w:val="26"/>
        </w:rPr>
      </w:pPr>
    </w:p>
    <w:p w14:paraId="0B56C20F" w14:textId="77777777" w:rsidR="00DB474C" w:rsidRPr="00FB50E8" w:rsidRDefault="00DB474C" w:rsidP="00DB474C">
      <w:pPr>
        <w:pStyle w:val="3"/>
        <w:spacing w:line="276" w:lineRule="auto"/>
        <w:rPr>
          <w:rFonts w:cs="Times New Roman"/>
          <w:color w:val="auto"/>
          <w:sz w:val="26"/>
          <w:szCs w:val="26"/>
        </w:rPr>
      </w:pPr>
      <w:bookmarkStart w:id="87" w:name="_Toc110506947"/>
      <w:r w:rsidRPr="00FB50E8">
        <w:rPr>
          <w:rFonts w:cs="Times New Roman"/>
          <w:color w:val="auto"/>
          <w:sz w:val="26"/>
          <w:szCs w:val="26"/>
        </w:rPr>
        <w:t>3.1.3.7 Анализ рыночной информации по сегменту «Транспорт»</w:t>
      </w:r>
      <w:bookmarkEnd w:id="87"/>
    </w:p>
    <w:p w14:paraId="1A5F74A5" w14:textId="77777777" w:rsidR="00DB474C" w:rsidRPr="00FB50E8" w:rsidRDefault="00DB474C" w:rsidP="00DB474C">
      <w:pPr>
        <w:pStyle w:val="Textbody"/>
        <w:spacing w:after="0" w:line="276" w:lineRule="auto"/>
        <w:ind w:firstLine="709"/>
        <w:jc w:val="both"/>
        <w:rPr>
          <w:rFonts w:ascii="Times New Roman" w:hAnsi="Times New Roman" w:cs="Times New Roman"/>
          <w:sz w:val="26"/>
          <w:szCs w:val="26"/>
          <w:lang w:val="ru-RU"/>
        </w:rPr>
      </w:pPr>
      <w:r w:rsidRPr="00FB50E8">
        <w:rPr>
          <w:rFonts w:ascii="Times New Roman" w:hAnsi="Times New Roman" w:cs="Times New Roman"/>
          <w:sz w:val="26"/>
          <w:szCs w:val="26"/>
          <w:lang w:val="ru-RU"/>
        </w:rPr>
        <w:t>К сегменту «Транспорт» относятся земельные участки, предназначенные для размещения объектов гаражного значения, объектов для обслуживания автотранспорта, стоянок (парковок) и т.д.</w:t>
      </w:r>
    </w:p>
    <w:p w14:paraId="5B0AA473" w14:textId="77777777" w:rsidR="00DB474C" w:rsidRPr="00FB50E8" w:rsidRDefault="00DB474C" w:rsidP="00DB474C">
      <w:pPr>
        <w:pStyle w:val="paragraph"/>
        <w:shd w:val="clear" w:color="auto" w:fill="FFFFFF"/>
        <w:spacing w:before="0" w:beforeAutospacing="0" w:after="0" w:afterAutospacing="0" w:line="276" w:lineRule="auto"/>
        <w:ind w:firstLine="708"/>
        <w:jc w:val="both"/>
        <w:rPr>
          <w:rStyle w:val="af9"/>
          <w:rFonts w:eastAsiaTheme="majorEastAsia"/>
          <w:b w:val="0"/>
          <w:bCs w:val="0"/>
          <w:sz w:val="26"/>
          <w:szCs w:val="26"/>
        </w:rPr>
      </w:pPr>
      <w:r w:rsidRPr="00FB50E8">
        <w:rPr>
          <w:sz w:val="26"/>
          <w:szCs w:val="26"/>
          <w:shd w:val="clear" w:color="auto" w:fill="FFFFFF"/>
        </w:rPr>
        <w:t>Эксперты аналитического агентства «АВТОСТАТ» выяснили, что на 1 тысячу жителей в России приходится 309 </w:t>
      </w:r>
      <w:hyperlink r:id="rId98" w:tgtFrame="_blank" w:history="1">
        <w:r w:rsidRPr="00E564BF">
          <w:rPr>
            <w:sz w:val="26"/>
            <w:szCs w:val="26"/>
          </w:rPr>
          <w:t>легковых автомобилей</w:t>
        </w:r>
      </w:hyperlink>
      <w:r w:rsidRPr="00FB50E8">
        <w:rPr>
          <w:sz w:val="26"/>
          <w:szCs w:val="26"/>
        </w:rPr>
        <w:t xml:space="preserve"> (по состоянию на 01.07.2020)</w:t>
      </w:r>
      <w:r w:rsidRPr="00FB50E8">
        <w:rPr>
          <w:sz w:val="26"/>
          <w:szCs w:val="26"/>
          <w:shd w:val="clear" w:color="auto" w:fill="FFFFFF"/>
        </w:rPr>
        <w:t>. Т</w:t>
      </w:r>
      <w:r w:rsidRPr="00FB50E8">
        <w:rPr>
          <w:sz w:val="26"/>
          <w:szCs w:val="26"/>
        </w:rPr>
        <w:t>ак, больше всего легковых машин на 1000 жителей зарегистрировано в Краснодаре. Имея население в 1 млн 022 тыс. человек и парк в 355 тыс. единиц, в столице Кубани показатель обеспеченности автомобилями на середину года составил 347 штук. В Самаре (331 шт.) легковым автомобилем в среднем обладает каждый третий житель. В Санкт-Петербурге и Воронеже на тысячу жителей приходится 317 и 315 машин соответственно. А вот в Тольятти этот показатель такой же, как в среднем по РФ – 309 штук. Столица Дагестана в этом рейтинге имеет наименьшую обеспеченность автомобилями – 155 на 1000 человек. И это практически вдвое меньше, чем в Екатеринбурге (305 шт.), Саратове (304 шт.), Казани (301 шт.) или Красноярске (300 шт.). В остальных представленных городах обеспеченность автомобилями еще ниже. В этот перечень попадает и Москва, обладающая наибольшей численностью населения и крупнейшим автопарком. В российской столице на 1 тысячу жителей приходится 287 легковых машин</w:t>
      </w:r>
      <w:r w:rsidRPr="00FB50E8">
        <w:rPr>
          <w:rStyle w:val="af2"/>
          <w:sz w:val="26"/>
          <w:szCs w:val="26"/>
        </w:rPr>
        <w:footnoteReference w:id="91"/>
      </w:r>
      <w:r w:rsidRPr="00FB50E8">
        <w:rPr>
          <w:sz w:val="26"/>
          <w:szCs w:val="26"/>
        </w:rPr>
        <w:t>.</w:t>
      </w:r>
    </w:p>
    <w:p w14:paraId="64A5705F" w14:textId="66B9AC60" w:rsidR="007A733D" w:rsidRDefault="007A733D" w:rsidP="00DB474C">
      <w:pPr>
        <w:spacing w:before="120" w:after="0" w:line="276" w:lineRule="auto"/>
        <w:jc w:val="center"/>
        <w:rPr>
          <w:rStyle w:val="af9"/>
          <w:rFonts w:ascii="Times New Roman" w:hAnsi="Times New Roman" w:cs="Times New Roman"/>
          <w:b w:val="0"/>
          <w:i/>
          <w:sz w:val="26"/>
          <w:szCs w:val="26"/>
        </w:rPr>
      </w:pPr>
    </w:p>
    <w:p w14:paraId="7C16CDD7" w14:textId="77777777" w:rsidR="001A34D6" w:rsidRDefault="001A34D6" w:rsidP="00DB474C">
      <w:pPr>
        <w:spacing w:before="120" w:after="0" w:line="276" w:lineRule="auto"/>
        <w:jc w:val="center"/>
        <w:rPr>
          <w:rStyle w:val="af9"/>
          <w:rFonts w:ascii="Times New Roman" w:hAnsi="Times New Roman" w:cs="Times New Roman"/>
          <w:b w:val="0"/>
          <w:i/>
          <w:sz w:val="26"/>
          <w:szCs w:val="26"/>
        </w:rPr>
      </w:pPr>
    </w:p>
    <w:p w14:paraId="4253A6B2" w14:textId="42201A80" w:rsidR="00DB474C" w:rsidRPr="007A733D" w:rsidRDefault="00DB474C" w:rsidP="00DB474C">
      <w:pPr>
        <w:spacing w:before="120" w:after="0" w:line="276" w:lineRule="auto"/>
        <w:jc w:val="center"/>
        <w:rPr>
          <w:rStyle w:val="af9"/>
          <w:rFonts w:ascii="Times New Roman" w:hAnsi="Times New Roman" w:cs="Times New Roman"/>
          <w:b w:val="0"/>
          <w:i/>
          <w:sz w:val="26"/>
          <w:szCs w:val="26"/>
        </w:rPr>
      </w:pPr>
      <w:r w:rsidRPr="007A733D">
        <w:rPr>
          <w:rStyle w:val="af9"/>
          <w:rFonts w:ascii="Times New Roman" w:hAnsi="Times New Roman" w:cs="Times New Roman"/>
          <w:b w:val="0"/>
          <w:i/>
          <w:sz w:val="26"/>
          <w:szCs w:val="26"/>
        </w:rPr>
        <w:t>Собранная исполнителем рыночная информация</w:t>
      </w:r>
    </w:p>
    <w:p w14:paraId="1E2EC91E" w14:textId="77777777" w:rsidR="00DB474C" w:rsidRPr="00FB50E8" w:rsidRDefault="00DB474C" w:rsidP="00DB474C">
      <w:pPr>
        <w:spacing w:after="0" w:line="300" w:lineRule="auto"/>
        <w:ind w:firstLine="709"/>
        <w:jc w:val="both"/>
        <w:rPr>
          <w:rFonts w:ascii="Times New Roman" w:hAnsi="Times New Roman" w:cs="Times New Roman"/>
          <w:sz w:val="26"/>
          <w:szCs w:val="26"/>
        </w:rPr>
      </w:pPr>
      <w:r w:rsidRPr="00FB50E8">
        <w:rPr>
          <w:rFonts w:ascii="Times New Roman" w:hAnsi="Times New Roman" w:cs="Times New Roman"/>
          <w:sz w:val="26"/>
          <w:szCs w:val="26"/>
        </w:rPr>
        <w:t xml:space="preserve">Для анализа рынка </w:t>
      </w:r>
      <w:r>
        <w:rPr>
          <w:rFonts w:ascii="Times New Roman" w:hAnsi="Times New Roman" w:cs="Times New Roman"/>
          <w:sz w:val="26"/>
          <w:szCs w:val="26"/>
        </w:rPr>
        <w:t>недвижимости</w:t>
      </w:r>
      <w:r w:rsidRPr="00FB50E8">
        <w:rPr>
          <w:rFonts w:ascii="Times New Roman" w:hAnsi="Times New Roman" w:cs="Times New Roman"/>
          <w:sz w:val="26"/>
          <w:szCs w:val="26"/>
        </w:rPr>
        <w:t xml:space="preserve"> 7 сегмента «Транспорт» выполнен сбор информации о сделках и предложениях, представленных на первичном и вторичном рынках недвижимости Воронежской области. </w:t>
      </w:r>
    </w:p>
    <w:p w14:paraId="03E63E32" w14:textId="77777777" w:rsidR="00DB474C" w:rsidRPr="00FB50E8" w:rsidRDefault="00DB474C" w:rsidP="00DB474C">
      <w:pPr>
        <w:spacing w:after="0" w:line="276" w:lineRule="auto"/>
        <w:ind w:firstLine="708"/>
        <w:jc w:val="both"/>
        <w:rPr>
          <w:rFonts w:ascii="Times New Roman" w:hAnsi="Times New Roman" w:cs="Times New Roman"/>
          <w:sz w:val="26"/>
          <w:szCs w:val="26"/>
        </w:rPr>
      </w:pPr>
      <w:r w:rsidRPr="00FB50E8">
        <w:rPr>
          <w:rFonts w:ascii="Times New Roman" w:hAnsi="Times New Roman" w:cs="Times New Roman"/>
          <w:sz w:val="26"/>
          <w:szCs w:val="26"/>
        </w:rPr>
        <w:t>Первичный рынок недвижимости представляет собой свод информации о сделках, осуществленных органами местного самоуправления, заключенных по результатам проведения торгов на территории Воронежской области, а также данные Управления Росреестра по Воронежской области. Вторичный рынок представляет собой предложения по продаже, представленные на сайтах для размещения объявлений, в газетах и т.д.</w:t>
      </w:r>
    </w:p>
    <w:p w14:paraId="022939F0" w14:textId="4E8671C6" w:rsidR="00606730" w:rsidRDefault="00DB474C" w:rsidP="00DB474C">
      <w:pPr>
        <w:spacing w:after="0" w:line="300" w:lineRule="auto"/>
        <w:ind w:firstLine="709"/>
        <w:jc w:val="both"/>
        <w:rPr>
          <w:rFonts w:ascii="Times New Roman" w:hAnsi="Times New Roman" w:cs="Times New Roman"/>
          <w:sz w:val="26"/>
          <w:szCs w:val="26"/>
        </w:rPr>
      </w:pPr>
      <w:r w:rsidRPr="00FB50E8">
        <w:rPr>
          <w:rFonts w:ascii="Times New Roman" w:hAnsi="Times New Roman" w:cs="Times New Roman"/>
          <w:sz w:val="26"/>
          <w:szCs w:val="26"/>
        </w:rPr>
        <w:t xml:space="preserve">Информация о предложениях (сделках) представлена в </w:t>
      </w:r>
      <w:r w:rsidR="008009AF" w:rsidRPr="008009AF">
        <w:rPr>
          <w:rFonts w:ascii="Times New Roman" w:hAnsi="Times New Roman" w:cs="Times New Roman"/>
          <w:sz w:val="26"/>
          <w:szCs w:val="26"/>
        </w:rPr>
        <w:t>Приложении 1/1.6/1.6.2 и Приложении 5</w:t>
      </w:r>
      <w:r w:rsidR="00606730">
        <w:rPr>
          <w:rFonts w:ascii="Times New Roman" w:hAnsi="Times New Roman" w:cs="Times New Roman"/>
          <w:sz w:val="26"/>
          <w:szCs w:val="26"/>
        </w:rPr>
        <w:t>.</w:t>
      </w:r>
    </w:p>
    <w:p w14:paraId="401F8B4D" w14:textId="29642697" w:rsidR="00DB474C" w:rsidRPr="0023703B" w:rsidRDefault="00DB474C" w:rsidP="00DB474C">
      <w:pPr>
        <w:spacing w:after="0" w:line="300" w:lineRule="auto"/>
        <w:ind w:firstLine="709"/>
        <w:jc w:val="both"/>
        <w:rPr>
          <w:rFonts w:ascii="Times New Roman" w:hAnsi="Times New Roman" w:cs="Times New Roman"/>
          <w:sz w:val="26"/>
          <w:szCs w:val="26"/>
        </w:rPr>
      </w:pPr>
      <w:r w:rsidRPr="0023703B">
        <w:rPr>
          <w:rFonts w:ascii="Times New Roman" w:hAnsi="Times New Roman" w:cs="Times New Roman"/>
          <w:sz w:val="26"/>
          <w:szCs w:val="26"/>
        </w:rPr>
        <w:t xml:space="preserve">Рынок земельных участков развит недостаточно, был произведен сбор предложений (сделок) по продаже </w:t>
      </w:r>
      <w:r>
        <w:rPr>
          <w:rFonts w:ascii="Times New Roman" w:hAnsi="Times New Roman" w:cs="Times New Roman"/>
          <w:sz w:val="26"/>
          <w:szCs w:val="26"/>
        </w:rPr>
        <w:t xml:space="preserve">земельных участков с расположенными на них </w:t>
      </w:r>
      <w:r w:rsidRPr="0023703B">
        <w:rPr>
          <w:rFonts w:ascii="Times New Roman" w:hAnsi="Times New Roman" w:cs="Times New Roman"/>
          <w:sz w:val="26"/>
          <w:szCs w:val="26"/>
        </w:rPr>
        <w:t>объект</w:t>
      </w:r>
      <w:r>
        <w:rPr>
          <w:rFonts w:ascii="Times New Roman" w:hAnsi="Times New Roman" w:cs="Times New Roman"/>
          <w:sz w:val="26"/>
          <w:szCs w:val="26"/>
        </w:rPr>
        <w:t>ами</w:t>
      </w:r>
      <w:r w:rsidRPr="0023703B">
        <w:rPr>
          <w:rFonts w:ascii="Times New Roman" w:hAnsi="Times New Roman" w:cs="Times New Roman"/>
          <w:sz w:val="26"/>
          <w:szCs w:val="26"/>
        </w:rPr>
        <w:t xml:space="preserve"> капитального строительства</w:t>
      </w:r>
      <w:r>
        <w:rPr>
          <w:rFonts w:ascii="Times New Roman" w:hAnsi="Times New Roman" w:cs="Times New Roman"/>
          <w:sz w:val="26"/>
          <w:szCs w:val="26"/>
        </w:rPr>
        <w:t xml:space="preserve"> </w:t>
      </w:r>
      <w:r w:rsidRPr="0023703B">
        <w:rPr>
          <w:rFonts w:ascii="Times New Roman" w:hAnsi="Times New Roman" w:cs="Times New Roman"/>
          <w:sz w:val="26"/>
          <w:szCs w:val="26"/>
        </w:rPr>
        <w:t>-</w:t>
      </w:r>
      <w:r>
        <w:rPr>
          <w:rFonts w:ascii="Times New Roman" w:hAnsi="Times New Roman" w:cs="Times New Roman"/>
          <w:sz w:val="26"/>
          <w:szCs w:val="26"/>
        </w:rPr>
        <w:t xml:space="preserve"> </w:t>
      </w:r>
      <w:r w:rsidRPr="0023703B">
        <w:rPr>
          <w:rFonts w:ascii="Times New Roman" w:hAnsi="Times New Roman" w:cs="Times New Roman"/>
          <w:sz w:val="26"/>
          <w:szCs w:val="26"/>
        </w:rPr>
        <w:t>гараж</w:t>
      </w:r>
      <w:r>
        <w:rPr>
          <w:rFonts w:ascii="Times New Roman" w:hAnsi="Times New Roman" w:cs="Times New Roman"/>
          <w:sz w:val="26"/>
          <w:szCs w:val="26"/>
        </w:rPr>
        <w:t>ами</w:t>
      </w:r>
      <w:r w:rsidRPr="0023703B">
        <w:rPr>
          <w:rFonts w:ascii="Times New Roman" w:hAnsi="Times New Roman" w:cs="Times New Roman"/>
          <w:sz w:val="26"/>
          <w:szCs w:val="26"/>
        </w:rPr>
        <w:t xml:space="preserve">. Таким образом, </w:t>
      </w:r>
      <w:r>
        <w:rPr>
          <w:rFonts w:ascii="Times New Roman" w:hAnsi="Times New Roman" w:cs="Times New Roman"/>
          <w:sz w:val="26"/>
          <w:szCs w:val="26"/>
        </w:rPr>
        <w:t xml:space="preserve">на </w:t>
      </w:r>
      <w:r w:rsidRPr="0023703B">
        <w:rPr>
          <w:rFonts w:ascii="Times New Roman" w:hAnsi="Times New Roman" w:cs="Times New Roman"/>
          <w:sz w:val="26"/>
          <w:szCs w:val="26"/>
        </w:rPr>
        <w:t xml:space="preserve">рынке недвижимости 7 сегмента Воронежской области </w:t>
      </w:r>
      <w:r w:rsidRPr="00DF6724">
        <w:rPr>
          <w:rFonts w:ascii="Times New Roman" w:hAnsi="Times New Roman" w:cs="Times New Roman"/>
          <w:sz w:val="26"/>
          <w:szCs w:val="26"/>
        </w:rPr>
        <w:t xml:space="preserve">представлено 4 031 предложений </w:t>
      </w:r>
      <w:r w:rsidRPr="0023703B">
        <w:rPr>
          <w:rFonts w:ascii="Times New Roman" w:hAnsi="Times New Roman" w:cs="Times New Roman"/>
          <w:sz w:val="26"/>
          <w:szCs w:val="26"/>
        </w:rPr>
        <w:t xml:space="preserve">(сделок). </w:t>
      </w:r>
    </w:p>
    <w:p w14:paraId="152FD2EE" w14:textId="77777777" w:rsidR="00DB474C" w:rsidRPr="00D05672" w:rsidRDefault="00DB474C" w:rsidP="00DB474C">
      <w:pPr>
        <w:spacing w:after="0" w:line="276" w:lineRule="auto"/>
        <w:ind w:firstLine="567"/>
        <w:jc w:val="both"/>
        <w:rPr>
          <w:rFonts w:ascii="Times New Roman" w:hAnsi="Times New Roman" w:cs="Times New Roman"/>
          <w:sz w:val="26"/>
          <w:szCs w:val="26"/>
        </w:rPr>
      </w:pPr>
      <w:r w:rsidRPr="00D05672">
        <w:rPr>
          <w:rFonts w:ascii="Times New Roman" w:hAnsi="Times New Roman" w:cs="Times New Roman"/>
          <w:sz w:val="26"/>
          <w:szCs w:val="26"/>
        </w:rPr>
        <w:t>Так как используемая рыночная информация неоднородна, в целях возможности ее сопоставления для дальнейшего анализа к ценам предложений (сделок) применены корректировки, описание которых представлено далее.</w:t>
      </w:r>
    </w:p>
    <w:p w14:paraId="66BBB2A6"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торг</w:t>
      </w:r>
    </w:p>
    <w:p w14:paraId="49C1815E" w14:textId="77777777" w:rsidR="00DB474C" w:rsidRDefault="00DB474C" w:rsidP="00DB474C">
      <w:pPr>
        <w:spacing w:before="120" w:after="0" w:line="300" w:lineRule="auto"/>
        <w:ind w:firstLine="567"/>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При продаже земельных участков на рынке недвижимости возможно снижение цены сделки за счет уторговывания. </w:t>
      </w:r>
      <w:r>
        <w:rPr>
          <w:rFonts w:ascii="Times New Roman" w:eastAsia="Times New Roman" w:hAnsi="Times New Roman" w:cs="Times New Roman"/>
          <w:sz w:val="26"/>
          <w:szCs w:val="26"/>
          <w:lang w:eastAsia="ru-RU"/>
        </w:rPr>
        <w:t xml:space="preserve">Так как в представленной рыночной выборке содержится информация и по предложениям, и по сделкам, удельные показатели цены предложения по продаже объектов-аналогов были скорректированы на тип сделки (скидка на торг). </w:t>
      </w:r>
      <w:r>
        <w:rPr>
          <w:rFonts w:ascii="Times New Roman" w:eastAsia="Calibri" w:hAnsi="Times New Roman" w:cs="Times New Roman"/>
          <w:sz w:val="26"/>
          <w:szCs w:val="26"/>
        </w:rPr>
        <w:t>Величина скидки на торг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99" w:history="1">
        <w:r w:rsidRPr="00A67AF4">
          <w:rPr>
            <w:rStyle w:val="ad"/>
            <w:rFonts w:ascii="Times New Roman" w:hAnsi="Times New Roman" w:cs="Times New Roman"/>
            <w:sz w:val="26"/>
            <w:szCs w:val="26"/>
          </w:rPr>
          <w:t>https://statrielt.ru/</w:t>
        </w:r>
      </w:hyperlink>
      <w:r w:rsidRPr="00A67AF4">
        <w:rPr>
          <w:rFonts w:ascii="Times New Roman" w:hAnsi="Times New Roman" w:cs="Times New Roman"/>
          <w:sz w:val="26"/>
          <w:szCs w:val="26"/>
        </w:rPr>
        <w:t>).</w:t>
      </w:r>
    </w:p>
    <w:p w14:paraId="1F8CBEAE" w14:textId="77777777" w:rsidR="00DB474C" w:rsidRDefault="00DB474C" w:rsidP="00DB474C">
      <w:pPr>
        <w:jc w:val="both"/>
      </w:pPr>
      <w:r w:rsidRPr="00376FBD">
        <w:rPr>
          <w:noProof/>
          <w:lang w:eastAsia="ru-RU"/>
        </w:rPr>
        <w:drawing>
          <wp:inline distT="0" distB="0" distL="0" distR="0" wp14:anchorId="2ECC3675" wp14:editId="6B52025D">
            <wp:extent cx="5940425" cy="386969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869690"/>
                    </a:xfrm>
                    <a:prstGeom prst="rect">
                      <a:avLst/>
                    </a:prstGeom>
                  </pic:spPr>
                </pic:pic>
              </a:graphicData>
            </a:graphic>
          </wp:inline>
        </w:drawing>
      </w:r>
    </w:p>
    <w:p w14:paraId="757BD048" w14:textId="7045896C" w:rsidR="00DB474C" w:rsidRDefault="00DB474C" w:rsidP="00DB474C">
      <w:pPr>
        <w:spacing w:after="0" w:line="300" w:lineRule="auto"/>
        <w:ind w:firstLine="567"/>
        <w:jc w:val="center"/>
        <w:rPr>
          <w:rFonts w:ascii="Times New Roman" w:eastAsia="Calibri" w:hAnsi="Times New Roman" w:cs="Times New Roman"/>
          <w:sz w:val="26"/>
          <w:szCs w:val="26"/>
        </w:rPr>
      </w:pPr>
      <w:r>
        <w:rPr>
          <w:rFonts w:ascii="Times New Roman" w:eastAsia="Calibri" w:hAnsi="Times New Roman" w:cs="Times New Roman"/>
          <w:sz w:val="26"/>
          <w:szCs w:val="26"/>
        </w:rPr>
        <w:t>Рис.3.1.3.7.1- Скидка на торг, уторгование при продаже земельных участков на 01.01.2022 года по данным некоммерческой организации «Ассоциация развития рынка недвижимости «</w:t>
      </w:r>
      <w:r w:rsidRPr="00A67AF4">
        <w:rPr>
          <w:rFonts w:ascii="Times New Roman" w:eastAsia="Calibri" w:hAnsi="Times New Roman" w:cs="Times New Roman"/>
          <w:sz w:val="26"/>
          <w:szCs w:val="26"/>
        </w:rPr>
        <w:t>СтатРиелт»</w:t>
      </w:r>
      <w:r w:rsidR="00E564BF">
        <w:rPr>
          <w:rStyle w:val="af2"/>
          <w:rFonts w:ascii="Times New Roman" w:eastAsia="Calibri" w:hAnsi="Times New Roman" w:cs="Times New Roman"/>
          <w:sz w:val="26"/>
          <w:szCs w:val="26"/>
        </w:rPr>
        <w:footnoteReference w:id="92"/>
      </w:r>
    </w:p>
    <w:p w14:paraId="29F24767" w14:textId="77777777" w:rsidR="00DB474C" w:rsidRPr="00650F12" w:rsidRDefault="00DB474C" w:rsidP="00DB474C">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данном случае размер скидки на торг принимаем как для земель населенных пунктов для смешанной коммерческой застройки (в том числе коммунальной, складской, производственной) значения лежат в доверительном интервале от 0,90 до 0,97 и в среднем по РФ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94</w:t>
      </w:r>
      <w:r>
        <w:rPr>
          <w:rFonts w:ascii="Times New Roman" w:eastAsia="Calibri" w:hAnsi="Times New Roman" w:cs="Times New Roman"/>
          <w:sz w:val="26"/>
          <w:szCs w:val="26"/>
        </w:rPr>
        <w:t xml:space="preserve"> (раздел «</w:t>
      </w:r>
      <w:r w:rsidRPr="00CB1B3C">
        <w:rPr>
          <w:rFonts w:ascii="Times New Roman" w:hAnsi="Times New Roman" w:cs="Times New Roman"/>
          <w:sz w:val="26"/>
          <w:szCs w:val="26"/>
        </w:rPr>
        <w:t>Скидка на торг, уторгование при продаже земельных участков на 01.</w:t>
      </w:r>
      <w:r>
        <w:rPr>
          <w:rFonts w:ascii="Times New Roman" w:hAnsi="Times New Roman" w:cs="Times New Roman"/>
          <w:sz w:val="26"/>
          <w:szCs w:val="26"/>
        </w:rPr>
        <w:t>01</w:t>
      </w:r>
      <w:r w:rsidRPr="00CB1B3C">
        <w:rPr>
          <w:rFonts w:ascii="Times New Roman" w:hAnsi="Times New Roman" w:cs="Times New Roman"/>
          <w:sz w:val="26"/>
          <w:szCs w:val="26"/>
        </w:rPr>
        <w:t>.202</w:t>
      </w:r>
      <w:r>
        <w:rPr>
          <w:rFonts w:ascii="Times New Roman" w:hAnsi="Times New Roman" w:cs="Times New Roman"/>
          <w:sz w:val="26"/>
          <w:szCs w:val="26"/>
        </w:rPr>
        <w:t>2</w:t>
      </w:r>
      <w:r w:rsidRPr="00CB1B3C">
        <w:rPr>
          <w:rFonts w:ascii="Times New Roman" w:hAnsi="Times New Roman" w:cs="Times New Roman"/>
          <w:sz w:val="26"/>
          <w:szCs w:val="26"/>
        </w:rPr>
        <w:t xml:space="preserve"> года</w:t>
      </w:r>
      <w:r>
        <w:rPr>
          <w:rFonts w:ascii="Times New Roman" w:hAnsi="Times New Roman" w:cs="Times New Roman"/>
          <w:sz w:val="26"/>
          <w:szCs w:val="26"/>
        </w:rPr>
        <w:t>»)</w:t>
      </w:r>
      <w:r>
        <w:rPr>
          <w:rFonts w:ascii="Times New Roman" w:eastAsia="Calibri" w:hAnsi="Times New Roman" w:cs="Times New Roman"/>
          <w:sz w:val="26"/>
          <w:szCs w:val="26"/>
        </w:rPr>
        <w:t xml:space="preserve">. Принято среднее значение диапазона. Для объектов, которые расположены на землях промышленности, значения лежат в доверительном интервале от 0,79 до 0,94 и в среднем по РФ составляет </w:t>
      </w:r>
      <w:r w:rsidRPr="00650F12">
        <w:rPr>
          <w:rFonts w:ascii="Times New Roman" w:eastAsia="Calibri" w:hAnsi="Times New Roman" w:cs="Times New Roman"/>
          <w:b/>
          <w:sz w:val="26"/>
          <w:szCs w:val="26"/>
        </w:rPr>
        <w:t>0,8</w:t>
      </w:r>
      <w:r>
        <w:rPr>
          <w:rFonts w:ascii="Times New Roman" w:eastAsia="Calibri" w:hAnsi="Times New Roman" w:cs="Times New Roman"/>
          <w:b/>
          <w:sz w:val="26"/>
          <w:szCs w:val="26"/>
        </w:rPr>
        <w:t>7</w:t>
      </w:r>
      <w:r w:rsidRPr="00650F12">
        <w:rPr>
          <w:rFonts w:ascii="Times New Roman" w:eastAsia="Calibri" w:hAnsi="Times New Roman" w:cs="Times New Roman"/>
          <w:sz w:val="26"/>
          <w:szCs w:val="26"/>
        </w:rPr>
        <w:t xml:space="preserve"> (также принято среднее значение диапазона).</w:t>
      </w:r>
    </w:p>
    <w:p w14:paraId="4EAA0DF6"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дату</w:t>
      </w:r>
    </w:p>
    <w:p w14:paraId="6CE68482" w14:textId="77777777" w:rsidR="00DB474C" w:rsidRDefault="00DB474C" w:rsidP="00DB474C">
      <w:pPr>
        <w:spacing w:after="0" w:line="300" w:lineRule="auto"/>
        <w:ind w:firstLine="708"/>
        <w:jc w:val="both"/>
        <w:rPr>
          <w:rFonts w:ascii="Times New Roman" w:hAnsi="Times New Roman" w:cs="Times New Roman"/>
          <w:b/>
          <w:sz w:val="26"/>
          <w:szCs w:val="26"/>
        </w:rPr>
      </w:pPr>
      <w:r>
        <w:rPr>
          <w:rFonts w:ascii="Times New Roman" w:hAnsi="Times New Roman" w:cs="Times New Roman"/>
          <w:sz w:val="26"/>
          <w:szCs w:val="26"/>
        </w:rPr>
        <w:t xml:space="preserve">Изменение рыночной конъюнктуры, условия которой могут сильно отразиться на стоимости объекта недвижимости, происходят с течением времени. </w:t>
      </w:r>
      <w:r>
        <w:rPr>
          <w:rFonts w:ascii="Times New Roman" w:eastAsia="Calibri" w:hAnsi="Times New Roman" w:cs="Times New Roman"/>
          <w:sz w:val="26"/>
          <w:szCs w:val="26"/>
        </w:rPr>
        <w:t xml:space="preserve">Корректировка на дату учитывает изменение цен на земельные участки за период с даты заключения сделки (предложения) с объектом-аналогом до даты проведения настоящей оценки. </w:t>
      </w:r>
    </w:p>
    <w:p w14:paraId="62766FE0" w14:textId="77777777" w:rsidR="00DB474C" w:rsidRDefault="00DB474C" w:rsidP="00DB474C">
      <w:pPr>
        <w:jc w:val="center"/>
      </w:pPr>
      <w:r w:rsidRPr="00376FBD">
        <w:rPr>
          <w:noProof/>
          <w:lang w:eastAsia="ru-RU"/>
        </w:rPr>
        <w:drawing>
          <wp:inline distT="0" distB="0" distL="0" distR="0" wp14:anchorId="44319E26" wp14:editId="3E8CF517">
            <wp:extent cx="5940425" cy="3978910"/>
            <wp:effectExtent l="0" t="0" r="3175" b="254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978910"/>
                    </a:xfrm>
                    <a:prstGeom prst="rect">
                      <a:avLst/>
                    </a:prstGeom>
                  </pic:spPr>
                </pic:pic>
              </a:graphicData>
            </a:graphic>
          </wp:inline>
        </w:drawing>
      </w:r>
    </w:p>
    <w:p w14:paraId="74AEDFEE" w14:textId="6E3ED0A0" w:rsidR="00DB474C" w:rsidRDefault="00DB474C" w:rsidP="00DB474C">
      <w:pPr>
        <w:jc w:val="center"/>
        <w:rPr>
          <w:rFonts w:ascii="Times New Roman" w:eastAsia="Calibri" w:hAnsi="Times New Roman" w:cs="Times New Roman"/>
          <w:sz w:val="26"/>
          <w:szCs w:val="26"/>
        </w:rPr>
      </w:pPr>
      <w:r>
        <w:rPr>
          <w:rFonts w:ascii="Times New Roman" w:eastAsia="Calibri" w:hAnsi="Times New Roman" w:cs="Times New Roman"/>
          <w:sz w:val="26"/>
          <w:szCs w:val="26"/>
        </w:rPr>
        <w:t>Рис.3.1.3.7.2-</w:t>
      </w:r>
      <w:r w:rsidRPr="008C322D">
        <w:t xml:space="preserve"> </w:t>
      </w:r>
      <w:r w:rsidRPr="008C322D">
        <w:rPr>
          <w:rFonts w:ascii="Times New Roman" w:eastAsia="Calibri" w:hAnsi="Times New Roman" w:cs="Times New Roman"/>
          <w:sz w:val="26"/>
          <w:szCs w:val="26"/>
        </w:rPr>
        <w:t>Индексы изменения рыночных цен (в рублях) земельных участков</w:t>
      </w:r>
      <w:r>
        <w:rPr>
          <w:rFonts w:ascii="Times New Roman" w:eastAsia="Calibri" w:hAnsi="Times New Roman" w:cs="Times New Roman"/>
          <w:sz w:val="26"/>
          <w:szCs w:val="26"/>
        </w:rPr>
        <w:t xml:space="preserve"> по данным некоммерческой организации «Ассоциация развития рынка недвижимости «</w:t>
      </w:r>
      <w:r w:rsidRPr="00A67AF4">
        <w:rPr>
          <w:rFonts w:ascii="Times New Roman" w:eastAsia="Calibri" w:hAnsi="Times New Roman" w:cs="Times New Roman"/>
          <w:sz w:val="26"/>
          <w:szCs w:val="26"/>
        </w:rPr>
        <w:t>СтатРиелт»</w:t>
      </w:r>
      <w:r w:rsidR="00216603">
        <w:rPr>
          <w:rStyle w:val="af2"/>
          <w:rFonts w:ascii="Times New Roman" w:eastAsia="Calibri" w:hAnsi="Times New Roman" w:cs="Times New Roman"/>
          <w:sz w:val="26"/>
          <w:szCs w:val="26"/>
        </w:rPr>
        <w:footnoteReference w:id="93"/>
      </w:r>
      <w:r w:rsidRPr="00A67AF4">
        <w:rPr>
          <w:rFonts w:ascii="Times New Roman" w:eastAsia="Calibri" w:hAnsi="Times New Roman" w:cs="Times New Roman"/>
          <w:sz w:val="26"/>
          <w:szCs w:val="26"/>
        </w:rPr>
        <w:t xml:space="preserve"> </w:t>
      </w:r>
    </w:p>
    <w:p w14:paraId="73D19B74" w14:textId="77777777" w:rsidR="00DB474C" w:rsidRDefault="00DB474C" w:rsidP="00DB474C">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был произведен расчет корректировок, значения представлены далее в таблице.</w:t>
      </w:r>
    </w:p>
    <w:p w14:paraId="4B45A3DB" w14:textId="77777777" w:rsidR="00DB474C" w:rsidRDefault="00DB474C" w:rsidP="00DB474C">
      <w:pPr>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3.1.3.7.1</w:t>
      </w:r>
    </w:p>
    <w:p w14:paraId="49ABE5FE" w14:textId="77777777" w:rsidR="00DB474C" w:rsidRPr="002F6E4F" w:rsidRDefault="00DB474C" w:rsidP="00DB474C">
      <w:pPr>
        <w:jc w:val="center"/>
        <w:rPr>
          <w:rFonts w:ascii="Times New Roman" w:eastAsia="Calibri" w:hAnsi="Times New Roman" w:cs="Times New Roman"/>
          <w:sz w:val="26"/>
          <w:szCs w:val="26"/>
        </w:rPr>
      </w:pPr>
      <w:r>
        <w:rPr>
          <w:rFonts w:ascii="Times New Roman" w:eastAsia="Calibri" w:hAnsi="Times New Roman" w:cs="Times New Roman"/>
          <w:sz w:val="26"/>
          <w:szCs w:val="26"/>
        </w:rPr>
        <w:t>Размер корректировок на дату, рассчитанных на каждое полугодие</w:t>
      </w:r>
    </w:p>
    <w:tbl>
      <w:tblPr>
        <w:tblStyle w:val="ae"/>
        <w:tblW w:w="4927" w:type="pct"/>
        <w:jc w:val="center"/>
        <w:tblLayout w:type="fixed"/>
        <w:tblLook w:val="04A0" w:firstRow="1" w:lastRow="0" w:firstColumn="1" w:lastColumn="0" w:noHBand="0" w:noVBand="1"/>
      </w:tblPr>
      <w:tblGrid>
        <w:gridCol w:w="1130"/>
        <w:gridCol w:w="993"/>
        <w:gridCol w:w="1558"/>
        <w:gridCol w:w="1558"/>
        <w:gridCol w:w="654"/>
        <w:gridCol w:w="622"/>
        <w:gridCol w:w="993"/>
        <w:gridCol w:w="1700"/>
      </w:tblGrid>
      <w:tr w:rsidR="00DB474C" w:rsidRPr="006640DC" w14:paraId="40AAEB79" w14:textId="77777777" w:rsidTr="00DB474C">
        <w:trPr>
          <w:jc w:val="center"/>
        </w:trPr>
        <w:tc>
          <w:tcPr>
            <w:tcW w:w="614" w:type="pct"/>
            <w:vAlign w:val="center"/>
          </w:tcPr>
          <w:p w14:paraId="62A32E84" w14:textId="77777777" w:rsidR="00DB474C" w:rsidRPr="006640DC" w:rsidRDefault="00DB474C" w:rsidP="00DB474C">
            <w:pPr>
              <w:jc w:val="center"/>
              <w:rPr>
                <w:rFonts w:ascii="Times New Roman" w:hAnsi="Times New Roman" w:cs="Times New Roman"/>
                <w:sz w:val="18"/>
                <w:szCs w:val="18"/>
              </w:rPr>
            </w:pPr>
            <w:r w:rsidRPr="006640DC">
              <w:rPr>
                <w:rFonts w:ascii="Times New Roman" w:hAnsi="Times New Roman" w:cs="Times New Roman"/>
                <w:sz w:val="18"/>
                <w:szCs w:val="18"/>
              </w:rPr>
              <w:t>к 01.0</w:t>
            </w:r>
            <w:r>
              <w:rPr>
                <w:rFonts w:ascii="Times New Roman" w:hAnsi="Times New Roman" w:cs="Times New Roman"/>
                <w:sz w:val="18"/>
                <w:szCs w:val="18"/>
              </w:rPr>
              <w:t>1</w:t>
            </w:r>
            <w:r w:rsidRPr="006640DC">
              <w:rPr>
                <w:rFonts w:ascii="Times New Roman" w:hAnsi="Times New Roman" w:cs="Times New Roman"/>
                <w:sz w:val="18"/>
                <w:szCs w:val="18"/>
              </w:rPr>
              <w:t>.202</w:t>
            </w:r>
            <w:r>
              <w:rPr>
                <w:rFonts w:ascii="Times New Roman" w:hAnsi="Times New Roman" w:cs="Times New Roman"/>
                <w:sz w:val="18"/>
                <w:szCs w:val="18"/>
              </w:rPr>
              <w:t>2</w:t>
            </w:r>
          </w:p>
        </w:tc>
        <w:tc>
          <w:tcPr>
            <w:tcW w:w="539" w:type="pct"/>
            <w:vAlign w:val="center"/>
          </w:tcPr>
          <w:p w14:paraId="293C77B7" w14:textId="77777777" w:rsidR="00DB474C" w:rsidRPr="006640DC" w:rsidRDefault="00DB474C" w:rsidP="00DB474C">
            <w:pPr>
              <w:jc w:val="center"/>
              <w:rPr>
                <w:rFonts w:ascii="Times New Roman" w:hAnsi="Times New Roman" w:cs="Times New Roman"/>
                <w:sz w:val="18"/>
              </w:rPr>
            </w:pPr>
            <w:r w:rsidRPr="006640DC">
              <w:rPr>
                <w:rFonts w:ascii="Times New Roman" w:hAnsi="Times New Roman" w:cs="Times New Roman"/>
                <w:color w:val="000000"/>
                <w:sz w:val="18"/>
              </w:rPr>
              <w:t>торговые и офисные здания</w:t>
            </w:r>
          </w:p>
        </w:tc>
        <w:tc>
          <w:tcPr>
            <w:tcW w:w="846" w:type="pct"/>
            <w:vAlign w:val="center"/>
          </w:tcPr>
          <w:p w14:paraId="0FC96154" w14:textId="77777777" w:rsidR="00DB474C" w:rsidRPr="000C60BE" w:rsidRDefault="00DB474C" w:rsidP="00DB474C">
            <w:pPr>
              <w:jc w:val="center"/>
              <w:rPr>
                <w:rFonts w:ascii="Times New Roman" w:hAnsi="Times New Roman" w:cs="Times New Roman"/>
                <w:b/>
                <w:sz w:val="18"/>
              </w:rPr>
            </w:pPr>
            <w:r w:rsidRPr="000C60BE">
              <w:rPr>
                <w:rFonts w:ascii="Times New Roman" w:hAnsi="Times New Roman" w:cs="Times New Roman"/>
                <w:b/>
                <w:color w:val="000000"/>
                <w:sz w:val="18"/>
              </w:rPr>
              <w:t>промышленности, транспорта, связи и иного специального назначения</w:t>
            </w:r>
          </w:p>
        </w:tc>
        <w:tc>
          <w:tcPr>
            <w:tcW w:w="846" w:type="pct"/>
            <w:vAlign w:val="center"/>
          </w:tcPr>
          <w:p w14:paraId="3BA78FAF" w14:textId="77777777" w:rsidR="00DB474C" w:rsidRPr="006640DC" w:rsidRDefault="00DB474C" w:rsidP="00DB474C">
            <w:pPr>
              <w:jc w:val="center"/>
              <w:rPr>
                <w:rFonts w:ascii="Times New Roman" w:hAnsi="Times New Roman" w:cs="Times New Roman"/>
                <w:sz w:val="18"/>
              </w:rPr>
            </w:pPr>
            <w:r>
              <w:rPr>
                <w:rFonts w:ascii="Times New Roman" w:hAnsi="Times New Roman" w:cs="Times New Roman"/>
                <w:color w:val="000000"/>
                <w:sz w:val="18"/>
              </w:rPr>
              <w:t>м</w:t>
            </w:r>
            <w:r w:rsidRPr="006640DC">
              <w:rPr>
                <w:rFonts w:ascii="Times New Roman" w:hAnsi="Times New Roman" w:cs="Times New Roman"/>
                <w:color w:val="000000"/>
                <w:sz w:val="18"/>
              </w:rPr>
              <w:t>ного</w:t>
            </w:r>
            <w:r>
              <w:rPr>
                <w:rFonts w:ascii="Times New Roman" w:hAnsi="Times New Roman" w:cs="Times New Roman"/>
                <w:color w:val="000000"/>
                <w:sz w:val="18"/>
              </w:rPr>
              <w:t>-</w:t>
            </w:r>
            <w:r w:rsidRPr="006640DC">
              <w:rPr>
                <w:rFonts w:ascii="Times New Roman" w:hAnsi="Times New Roman" w:cs="Times New Roman"/>
                <w:color w:val="000000"/>
                <w:sz w:val="18"/>
              </w:rPr>
              <w:t>квартирное строительство</w:t>
            </w:r>
          </w:p>
        </w:tc>
        <w:tc>
          <w:tcPr>
            <w:tcW w:w="355" w:type="pct"/>
            <w:vAlign w:val="center"/>
          </w:tcPr>
          <w:p w14:paraId="264000F2" w14:textId="77777777" w:rsidR="00DB474C" w:rsidRDefault="00DB474C" w:rsidP="00DB474C">
            <w:pPr>
              <w:rPr>
                <w:rFonts w:ascii="Times New Roman" w:hAnsi="Times New Roman" w:cs="Times New Roman"/>
                <w:color w:val="000000"/>
                <w:sz w:val="18"/>
              </w:rPr>
            </w:pPr>
            <w:r w:rsidRPr="006640DC">
              <w:rPr>
                <w:rFonts w:ascii="Times New Roman" w:hAnsi="Times New Roman" w:cs="Times New Roman"/>
                <w:color w:val="000000"/>
                <w:sz w:val="18"/>
              </w:rPr>
              <w:t>ИЖС</w:t>
            </w:r>
          </w:p>
          <w:p w14:paraId="00710BA0" w14:textId="77777777" w:rsidR="00DB474C" w:rsidRDefault="00DB474C" w:rsidP="00DB474C">
            <w:pPr>
              <w:jc w:val="center"/>
              <w:rPr>
                <w:rFonts w:ascii="Times New Roman" w:hAnsi="Times New Roman" w:cs="Times New Roman"/>
                <w:color w:val="000000"/>
                <w:sz w:val="18"/>
              </w:rPr>
            </w:pPr>
            <w:r>
              <w:rPr>
                <w:rFonts w:ascii="Times New Roman" w:hAnsi="Times New Roman" w:cs="Times New Roman"/>
                <w:color w:val="000000"/>
                <w:sz w:val="18"/>
              </w:rPr>
              <w:t>и</w:t>
            </w:r>
          </w:p>
          <w:p w14:paraId="0BD7A616" w14:textId="77777777" w:rsidR="00DB474C" w:rsidRPr="006640DC" w:rsidRDefault="00DB474C" w:rsidP="00DB474C">
            <w:pPr>
              <w:rPr>
                <w:rFonts w:ascii="Times New Roman" w:hAnsi="Times New Roman" w:cs="Times New Roman"/>
                <w:sz w:val="18"/>
              </w:rPr>
            </w:pPr>
            <w:r w:rsidRPr="006640DC">
              <w:rPr>
                <w:rFonts w:ascii="Times New Roman" w:hAnsi="Times New Roman" w:cs="Times New Roman"/>
                <w:color w:val="000000"/>
                <w:sz w:val="18"/>
              </w:rPr>
              <w:t>ЛПХ</w:t>
            </w:r>
          </w:p>
        </w:tc>
        <w:tc>
          <w:tcPr>
            <w:tcW w:w="338" w:type="pct"/>
            <w:vAlign w:val="center"/>
          </w:tcPr>
          <w:p w14:paraId="6B0B4CDE" w14:textId="77777777" w:rsidR="00DB474C" w:rsidRPr="006640DC" w:rsidRDefault="00DB474C" w:rsidP="00DB474C">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Н</w:t>
            </w:r>
            <w:r w:rsidRPr="006640DC">
              <w:rPr>
                <w:rFonts w:ascii="Times New Roman" w:hAnsi="Times New Roman" w:cs="Times New Roman"/>
                <w:color w:val="000000"/>
                <w:sz w:val="18"/>
              </w:rPr>
              <w:t>Т и ДНП</w:t>
            </w:r>
          </w:p>
        </w:tc>
        <w:tc>
          <w:tcPr>
            <w:tcW w:w="539" w:type="pct"/>
            <w:vAlign w:val="center"/>
          </w:tcPr>
          <w:p w14:paraId="2B90D2CE" w14:textId="77777777" w:rsidR="00DB474C" w:rsidRPr="006640DC" w:rsidRDefault="00DB474C" w:rsidP="00DB474C">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/х</w:t>
            </w:r>
            <w:r w:rsidRPr="006640DC">
              <w:rPr>
                <w:rFonts w:ascii="Times New Roman" w:hAnsi="Times New Roman" w:cs="Times New Roman"/>
                <w:color w:val="000000"/>
                <w:sz w:val="18"/>
              </w:rPr>
              <w:t xml:space="preserve"> назна</w:t>
            </w:r>
            <w:r>
              <w:rPr>
                <w:rFonts w:ascii="Times New Roman" w:hAnsi="Times New Roman" w:cs="Times New Roman"/>
                <w:color w:val="000000"/>
                <w:sz w:val="18"/>
              </w:rPr>
              <w:t>-</w:t>
            </w:r>
            <w:r w:rsidRPr="006640DC">
              <w:rPr>
                <w:rFonts w:ascii="Times New Roman" w:hAnsi="Times New Roman" w:cs="Times New Roman"/>
                <w:color w:val="000000"/>
                <w:sz w:val="18"/>
              </w:rPr>
              <w:t>чения</w:t>
            </w:r>
          </w:p>
        </w:tc>
        <w:tc>
          <w:tcPr>
            <w:tcW w:w="923" w:type="pct"/>
            <w:vAlign w:val="center"/>
          </w:tcPr>
          <w:p w14:paraId="6DF3E527" w14:textId="77777777" w:rsidR="00DB474C" w:rsidRPr="006640DC" w:rsidRDefault="00DB474C" w:rsidP="00DB474C">
            <w:pPr>
              <w:jc w:val="center"/>
              <w:rPr>
                <w:rFonts w:ascii="Times New Roman" w:hAnsi="Times New Roman" w:cs="Times New Roman"/>
                <w:sz w:val="18"/>
              </w:rPr>
            </w:pPr>
            <w:r w:rsidRPr="006640DC">
              <w:rPr>
                <w:rFonts w:ascii="Times New Roman" w:hAnsi="Times New Roman" w:cs="Times New Roman"/>
                <w:color w:val="000000"/>
                <w:sz w:val="18"/>
              </w:rPr>
              <w:t>сельскохозяйственного назначения с возможностью или перспективой строительства коммерческих зданий</w:t>
            </w:r>
          </w:p>
        </w:tc>
      </w:tr>
      <w:tr w:rsidR="00DB474C" w:rsidRPr="006640DC" w14:paraId="771D1EAE" w14:textId="77777777" w:rsidTr="008009AF">
        <w:trPr>
          <w:jc w:val="center"/>
        </w:trPr>
        <w:tc>
          <w:tcPr>
            <w:tcW w:w="614" w:type="pct"/>
            <w:vAlign w:val="bottom"/>
          </w:tcPr>
          <w:p w14:paraId="781866C8"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01.01.2018 по 30.06.2018</w:t>
            </w:r>
          </w:p>
        </w:tc>
        <w:tc>
          <w:tcPr>
            <w:tcW w:w="539" w:type="pct"/>
            <w:vAlign w:val="center"/>
          </w:tcPr>
          <w:p w14:paraId="5B2C0116"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4232A1B4" w14:textId="77777777" w:rsidR="00DB474C" w:rsidRPr="000C60BE" w:rsidRDefault="00DB474C" w:rsidP="008009AF">
            <w:pPr>
              <w:jc w:val="center"/>
              <w:rPr>
                <w:rFonts w:ascii="Times New Roman" w:hAnsi="Times New Roman" w:cs="Times New Roman"/>
                <w:b/>
              </w:rPr>
            </w:pPr>
            <w:r w:rsidRPr="000C60BE">
              <w:rPr>
                <w:rFonts w:ascii="Times New Roman" w:hAnsi="Times New Roman" w:cs="Times New Roman"/>
                <w:b/>
              </w:rPr>
              <w:t>0,99</w:t>
            </w:r>
          </w:p>
        </w:tc>
        <w:tc>
          <w:tcPr>
            <w:tcW w:w="846" w:type="pct"/>
            <w:vAlign w:val="center"/>
          </w:tcPr>
          <w:p w14:paraId="2B7241C5"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1,31</w:t>
            </w:r>
          </w:p>
        </w:tc>
        <w:tc>
          <w:tcPr>
            <w:tcW w:w="355" w:type="pct"/>
            <w:vAlign w:val="center"/>
          </w:tcPr>
          <w:p w14:paraId="5951F210"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1,16</w:t>
            </w:r>
          </w:p>
        </w:tc>
        <w:tc>
          <w:tcPr>
            <w:tcW w:w="338" w:type="pct"/>
            <w:vAlign w:val="center"/>
          </w:tcPr>
          <w:p w14:paraId="37C0454D"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1,14</w:t>
            </w:r>
          </w:p>
        </w:tc>
        <w:tc>
          <w:tcPr>
            <w:tcW w:w="539" w:type="pct"/>
            <w:vAlign w:val="center"/>
          </w:tcPr>
          <w:p w14:paraId="662F6D9E" w14:textId="77777777" w:rsidR="00DB474C" w:rsidRPr="00F22DF9" w:rsidRDefault="00DB474C" w:rsidP="008009AF">
            <w:pPr>
              <w:jc w:val="center"/>
              <w:rPr>
                <w:rFonts w:ascii="Times New Roman" w:hAnsi="Times New Roman" w:cs="Times New Roman"/>
                <w:b/>
              </w:rPr>
            </w:pPr>
            <w:r w:rsidRPr="00F22DF9">
              <w:rPr>
                <w:rFonts w:ascii="Times New Roman" w:hAnsi="Times New Roman" w:cs="Times New Roman"/>
              </w:rPr>
              <w:t>1,15</w:t>
            </w:r>
          </w:p>
        </w:tc>
        <w:tc>
          <w:tcPr>
            <w:tcW w:w="923" w:type="pct"/>
            <w:vAlign w:val="center"/>
          </w:tcPr>
          <w:p w14:paraId="448D2DA6"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1,11</w:t>
            </w:r>
          </w:p>
        </w:tc>
      </w:tr>
      <w:tr w:rsidR="00DB474C" w:rsidRPr="006640DC" w14:paraId="068510DA" w14:textId="77777777" w:rsidTr="008009AF">
        <w:trPr>
          <w:jc w:val="center"/>
        </w:trPr>
        <w:tc>
          <w:tcPr>
            <w:tcW w:w="614" w:type="pct"/>
            <w:vAlign w:val="bottom"/>
          </w:tcPr>
          <w:p w14:paraId="332EF033"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01.07.2018 по 31.12.2018</w:t>
            </w:r>
          </w:p>
        </w:tc>
        <w:tc>
          <w:tcPr>
            <w:tcW w:w="539" w:type="pct"/>
            <w:vAlign w:val="center"/>
          </w:tcPr>
          <w:p w14:paraId="2AC19917"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601AC28C" w14:textId="77777777" w:rsidR="00DB474C" w:rsidRPr="000C60BE" w:rsidRDefault="00DB474C" w:rsidP="008009AF">
            <w:pPr>
              <w:jc w:val="center"/>
              <w:rPr>
                <w:rFonts w:ascii="Times New Roman" w:hAnsi="Times New Roman" w:cs="Times New Roman"/>
                <w:b/>
              </w:rPr>
            </w:pPr>
            <w:r w:rsidRPr="000C60BE">
              <w:rPr>
                <w:rFonts w:ascii="Times New Roman" w:hAnsi="Times New Roman" w:cs="Times New Roman"/>
                <w:b/>
              </w:rPr>
              <w:t>0,99</w:t>
            </w:r>
          </w:p>
        </w:tc>
        <w:tc>
          <w:tcPr>
            <w:tcW w:w="846" w:type="pct"/>
            <w:vAlign w:val="center"/>
          </w:tcPr>
          <w:p w14:paraId="7DA661BA"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1,30</w:t>
            </w:r>
          </w:p>
        </w:tc>
        <w:tc>
          <w:tcPr>
            <w:tcW w:w="355" w:type="pct"/>
            <w:vAlign w:val="center"/>
          </w:tcPr>
          <w:p w14:paraId="730019D9"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1,17</w:t>
            </w:r>
          </w:p>
        </w:tc>
        <w:tc>
          <w:tcPr>
            <w:tcW w:w="338" w:type="pct"/>
            <w:vAlign w:val="center"/>
          </w:tcPr>
          <w:p w14:paraId="65EC8EA5"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1,15</w:t>
            </w:r>
          </w:p>
        </w:tc>
        <w:tc>
          <w:tcPr>
            <w:tcW w:w="539" w:type="pct"/>
            <w:vAlign w:val="center"/>
          </w:tcPr>
          <w:p w14:paraId="3F2930AD" w14:textId="77777777" w:rsidR="00DB474C" w:rsidRPr="00F22DF9" w:rsidRDefault="00DB474C" w:rsidP="008009AF">
            <w:pPr>
              <w:jc w:val="center"/>
              <w:rPr>
                <w:rFonts w:ascii="Times New Roman" w:hAnsi="Times New Roman" w:cs="Times New Roman"/>
                <w:b/>
              </w:rPr>
            </w:pPr>
            <w:r w:rsidRPr="00F22DF9">
              <w:rPr>
                <w:rFonts w:ascii="Times New Roman" w:hAnsi="Times New Roman" w:cs="Times New Roman"/>
              </w:rPr>
              <w:t>1,14</w:t>
            </w:r>
          </w:p>
        </w:tc>
        <w:tc>
          <w:tcPr>
            <w:tcW w:w="923" w:type="pct"/>
            <w:vAlign w:val="center"/>
          </w:tcPr>
          <w:p w14:paraId="2A3D236F"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1,13</w:t>
            </w:r>
          </w:p>
        </w:tc>
      </w:tr>
      <w:tr w:rsidR="00DB474C" w:rsidRPr="006640DC" w14:paraId="4967F442" w14:textId="77777777" w:rsidTr="008009AF">
        <w:trPr>
          <w:jc w:val="center"/>
        </w:trPr>
        <w:tc>
          <w:tcPr>
            <w:tcW w:w="614" w:type="pct"/>
            <w:vAlign w:val="bottom"/>
          </w:tcPr>
          <w:p w14:paraId="39E41F29"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01.01.2019 по 30.06.2019</w:t>
            </w:r>
          </w:p>
        </w:tc>
        <w:tc>
          <w:tcPr>
            <w:tcW w:w="539" w:type="pct"/>
            <w:vAlign w:val="center"/>
          </w:tcPr>
          <w:p w14:paraId="7F8C48EC"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43D68E8E" w14:textId="77777777" w:rsidR="00DB474C" w:rsidRPr="000C60BE" w:rsidRDefault="00DB474C" w:rsidP="008009AF">
            <w:pPr>
              <w:jc w:val="center"/>
              <w:rPr>
                <w:rFonts w:ascii="Times New Roman" w:hAnsi="Times New Roman" w:cs="Times New Roman"/>
                <w:b/>
              </w:rPr>
            </w:pPr>
            <w:r w:rsidRPr="000C60BE">
              <w:rPr>
                <w:rFonts w:ascii="Times New Roman" w:hAnsi="Times New Roman" w:cs="Times New Roman"/>
                <w:b/>
              </w:rPr>
              <w:t>0,99</w:t>
            </w:r>
          </w:p>
        </w:tc>
        <w:tc>
          <w:tcPr>
            <w:tcW w:w="846" w:type="pct"/>
            <w:vAlign w:val="center"/>
          </w:tcPr>
          <w:p w14:paraId="1927AB24"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1,28</w:t>
            </w:r>
          </w:p>
        </w:tc>
        <w:tc>
          <w:tcPr>
            <w:tcW w:w="355" w:type="pct"/>
            <w:vAlign w:val="center"/>
          </w:tcPr>
          <w:p w14:paraId="21DD377B"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1,17</w:t>
            </w:r>
          </w:p>
        </w:tc>
        <w:tc>
          <w:tcPr>
            <w:tcW w:w="338" w:type="pct"/>
            <w:vAlign w:val="center"/>
          </w:tcPr>
          <w:p w14:paraId="3EA63463"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1,15</w:t>
            </w:r>
          </w:p>
        </w:tc>
        <w:tc>
          <w:tcPr>
            <w:tcW w:w="539" w:type="pct"/>
            <w:vAlign w:val="center"/>
          </w:tcPr>
          <w:p w14:paraId="0934977B" w14:textId="77777777" w:rsidR="00DB474C" w:rsidRPr="00F22DF9" w:rsidRDefault="00DB474C" w:rsidP="008009AF">
            <w:pPr>
              <w:jc w:val="center"/>
              <w:rPr>
                <w:rFonts w:ascii="Times New Roman" w:hAnsi="Times New Roman" w:cs="Times New Roman"/>
                <w:b/>
              </w:rPr>
            </w:pPr>
            <w:r w:rsidRPr="00F22DF9">
              <w:rPr>
                <w:rFonts w:ascii="Times New Roman" w:hAnsi="Times New Roman" w:cs="Times New Roman"/>
              </w:rPr>
              <w:t>1,12</w:t>
            </w:r>
          </w:p>
        </w:tc>
        <w:tc>
          <w:tcPr>
            <w:tcW w:w="923" w:type="pct"/>
            <w:vAlign w:val="center"/>
          </w:tcPr>
          <w:p w14:paraId="41A3F12C"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1,13</w:t>
            </w:r>
          </w:p>
        </w:tc>
      </w:tr>
      <w:tr w:rsidR="00DB474C" w:rsidRPr="006640DC" w14:paraId="11746AAC" w14:textId="77777777" w:rsidTr="008009AF">
        <w:trPr>
          <w:jc w:val="center"/>
        </w:trPr>
        <w:tc>
          <w:tcPr>
            <w:tcW w:w="614" w:type="pct"/>
            <w:vAlign w:val="bottom"/>
          </w:tcPr>
          <w:p w14:paraId="3412688F"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01.07.2019 по 31.12.2019</w:t>
            </w:r>
          </w:p>
        </w:tc>
        <w:tc>
          <w:tcPr>
            <w:tcW w:w="539" w:type="pct"/>
            <w:vAlign w:val="center"/>
          </w:tcPr>
          <w:p w14:paraId="414214F5"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1,03</w:t>
            </w:r>
          </w:p>
        </w:tc>
        <w:tc>
          <w:tcPr>
            <w:tcW w:w="846" w:type="pct"/>
            <w:vAlign w:val="center"/>
          </w:tcPr>
          <w:p w14:paraId="1F2AE122" w14:textId="77777777" w:rsidR="00DB474C" w:rsidRPr="000C60BE" w:rsidRDefault="00DB474C" w:rsidP="008009AF">
            <w:pPr>
              <w:jc w:val="center"/>
              <w:rPr>
                <w:rFonts w:ascii="Times New Roman" w:hAnsi="Times New Roman" w:cs="Times New Roman"/>
                <w:b/>
              </w:rPr>
            </w:pPr>
            <w:r w:rsidRPr="000C60BE">
              <w:rPr>
                <w:rFonts w:ascii="Times New Roman" w:hAnsi="Times New Roman" w:cs="Times New Roman"/>
                <w:b/>
              </w:rPr>
              <w:t>0,97</w:t>
            </w:r>
          </w:p>
        </w:tc>
        <w:tc>
          <w:tcPr>
            <w:tcW w:w="846" w:type="pct"/>
            <w:vAlign w:val="center"/>
          </w:tcPr>
          <w:p w14:paraId="4B0B9EEE"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1,24</w:t>
            </w:r>
          </w:p>
        </w:tc>
        <w:tc>
          <w:tcPr>
            <w:tcW w:w="355" w:type="pct"/>
            <w:vAlign w:val="center"/>
          </w:tcPr>
          <w:p w14:paraId="17DCF88A"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1,15</w:t>
            </w:r>
          </w:p>
        </w:tc>
        <w:tc>
          <w:tcPr>
            <w:tcW w:w="338" w:type="pct"/>
            <w:vAlign w:val="center"/>
          </w:tcPr>
          <w:p w14:paraId="13378513"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1,13</w:t>
            </w:r>
          </w:p>
        </w:tc>
        <w:tc>
          <w:tcPr>
            <w:tcW w:w="539" w:type="pct"/>
            <w:vAlign w:val="center"/>
          </w:tcPr>
          <w:p w14:paraId="53F8F38E" w14:textId="77777777" w:rsidR="00DB474C" w:rsidRPr="00F22DF9" w:rsidRDefault="00DB474C" w:rsidP="008009AF">
            <w:pPr>
              <w:jc w:val="center"/>
              <w:rPr>
                <w:rFonts w:ascii="Times New Roman" w:hAnsi="Times New Roman" w:cs="Times New Roman"/>
                <w:b/>
              </w:rPr>
            </w:pPr>
            <w:r w:rsidRPr="00F22DF9">
              <w:rPr>
                <w:rFonts w:ascii="Times New Roman" w:hAnsi="Times New Roman" w:cs="Times New Roman"/>
              </w:rPr>
              <w:t>1,08</w:t>
            </w:r>
          </w:p>
        </w:tc>
        <w:tc>
          <w:tcPr>
            <w:tcW w:w="923" w:type="pct"/>
            <w:vAlign w:val="center"/>
          </w:tcPr>
          <w:p w14:paraId="10A47DA2"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1,10</w:t>
            </w:r>
          </w:p>
        </w:tc>
      </w:tr>
      <w:tr w:rsidR="00DB474C" w:rsidRPr="006640DC" w14:paraId="11798119" w14:textId="77777777" w:rsidTr="008009AF">
        <w:trPr>
          <w:jc w:val="center"/>
        </w:trPr>
        <w:tc>
          <w:tcPr>
            <w:tcW w:w="614" w:type="pct"/>
            <w:vAlign w:val="bottom"/>
          </w:tcPr>
          <w:p w14:paraId="3A2D1284"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01.01.2020 по 30.06.2020</w:t>
            </w:r>
          </w:p>
        </w:tc>
        <w:tc>
          <w:tcPr>
            <w:tcW w:w="539" w:type="pct"/>
            <w:vAlign w:val="center"/>
          </w:tcPr>
          <w:p w14:paraId="6E2C171C"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1,01</w:t>
            </w:r>
          </w:p>
        </w:tc>
        <w:tc>
          <w:tcPr>
            <w:tcW w:w="846" w:type="pct"/>
            <w:vAlign w:val="center"/>
          </w:tcPr>
          <w:p w14:paraId="2C7F801D" w14:textId="77777777" w:rsidR="00DB474C" w:rsidRPr="000C60BE" w:rsidRDefault="00DB474C" w:rsidP="008009AF">
            <w:pPr>
              <w:jc w:val="center"/>
              <w:rPr>
                <w:rFonts w:ascii="Times New Roman" w:hAnsi="Times New Roman" w:cs="Times New Roman"/>
                <w:b/>
              </w:rPr>
            </w:pPr>
            <w:r w:rsidRPr="000C60BE">
              <w:rPr>
                <w:rFonts w:ascii="Times New Roman" w:hAnsi="Times New Roman" w:cs="Times New Roman"/>
                <w:b/>
              </w:rPr>
              <w:t>0,95</w:t>
            </w:r>
          </w:p>
        </w:tc>
        <w:tc>
          <w:tcPr>
            <w:tcW w:w="846" w:type="pct"/>
            <w:vAlign w:val="center"/>
          </w:tcPr>
          <w:p w14:paraId="3262A497"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1,19</w:t>
            </w:r>
          </w:p>
        </w:tc>
        <w:tc>
          <w:tcPr>
            <w:tcW w:w="355" w:type="pct"/>
            <w:vAlign w:val="center"/>
          </w:tcPr>
          <w:p w14:paraId="0D50F659"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1,14</w:t>
            </w:r>
          </w:p>
        </w:tc>
        <w:tc>
          <w:tcPr>
            <w:tcW w:w="338" w:type="pct"/>
            <w:vAlign w:val="center"/>
          </w:tcPr>
          <w:p w14:paraId="76075E5D"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1,10</w:t>
            </w:r>
          </w:p>
        </w:tc>
        <w:tc>
          <w:tcPr>
            <w:tcW w:w="539" w:type="pct"/>
            <w:vAlign w:val="center"/>
          </w:tcPr>
          <w:p w14:paraId="13BC122B" w14:textId="77777777" w:rsidR="00DB474C" w:rsidRPr="00F22DF9" w:rsidRDefault="00DB474C" w:rsidP="008009AF">
            <w:pPr>
              <w:jc w:val="center"/>
              <w:rPr>
                <w:rFonts w:ascii="Times New Roman" w:hAnsi="Times New Roman" w:cs="Times New Roman"/>
                <w:b/>
              </w:rPr>
            </w:pPr>
            <w:r w:rsidRPr="00F22DF9">
              <w:rPr>
                <w:rFonts w:ascii="Times New Roman" w:hAnsi="Times New Roman" w:cs="Times New Roman"/>
              </w:rPr>
              <w:t>1,05</w:t>
            </w:r>
          </w:p>
        </w:tc>
        <w:tc>
          <w:tcPr>
            <w:tcW w:w="923" w:type="pct"/>
            <w:vAlign w:val="center"/>
          </w:tcPr>
          <w:p w14:paraId="3111C32E"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1,08</w:t>
            </w:r>
          </w:p>
        </w:tc>
      </w:tr>
      <w:tr w:rsidR="00DB474C" w:rsidRPr="006640DC" w14:paraId="28FE54F1" w14:textId="77777777" w:rsidTr="008009AF">
        <w:trPr>
          <w:jc w:val="center"/>
        </w:trPr>
        <w:tc>
          <w:tcPr>
            <w:tcW w:w="614" w:type="pct"/>
            <w:vAlign w:val="bottom"/>
          </w:tcPr>
          <w:p w14:paraId="7D5A5732"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01.07.2020 по 31.12.2020</w:t>
            </w:r>
          </w:p>
        </w:tc>
        <w:tc>
          <w:tcPr>
            <w:tcW w:w="539" w:type="pct"/>
            <w:vAlign w:val="center"/>
          </w:tcPr>
          <w:p w14:paraId="0DD0256F"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1,05</w:t>
            </w:r>
          </w:p>
        </w:tc>
        <w:tc>
          <w:tcPr>
            <w:tcW w:w="846" w:type="pct"/>
            <w:vAlign w:val="center"/>
          </w:tcPr>
          <w:p w14:paraId="0538C801" w14:textId="77777777" w:rsidR="00DB474C" w:rsidRPr="000C60BE" w:rsidRDefault="00DB474C" w:rsidP="008009AF">
            <w:pPr>
              <w:jc w:val="center"/>
              <w:rPr>
                <w:rFonts w:ascii="Times New Roman" w:hAnsi="Times New Roman" w:cs="Times New Roman"/>
                <w:b/>
              </w:rPr>
            </w:pPr>
            <w:r w:rsidRPr="000C60BE">
              <w:rPr>
                <w:rFonts w:ascii="Times New Roman" w:hAnsi="Times New Roman" w:cs="Times New Roman"/>
                <w:b/>
              </w:rPr>
              <w:t>0,98</w:t>
            </w:r>
          </w:p>
        </w:tc>
        <w:tc>
          <w:tcPr>
            <w:tcW w:w="846" w:type="pct"/>
            <w:vAlign w:val="center"/>
          </w:tcPr>
          <w:p w14:paraId="6E5D7613"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1,17</w:t>
            </w:r>
          </w:p>
        </w:tc>
        <w:tc>
          <w:tcPr>
            <w:tcW w:w="355" w:type="pct"/>
            <w:vAlign w:val="center"/>
          </w:tcPr>
          <w:p w14:paraId="12879B16"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1,11</w:t>
            </w:r>
          </w:p>
        </w:tc>
        <w:tc>
          <w:tcPr>
            <w:tcW w:w="338" w:type="pct"/>
            <w:vAlign w:val="center"/>
          </w:tcPr>
          <w:p w14:paraId="775548EC"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1,09</w:t>
            </w:r>
          </w:p>
        </w:tc>
        <w:tc>
          <w:tcPr>
            <w:tcW w:w="539" w:type="pct"/>
            <w:vAlign w:val="center"/>
          </w:tcPr>
          <w:p w14:paraId="1DDB6CD7" w14:textId="77777777" w:rsidR="00DB474C" w:rsidRPr="00F22DF9" w:rsidRDefault="00DB474C" w:rsidP="008009AF">
            <w:pPr>
              <w:jc w:val="center"/>
              <w:rPr>
                <w:rFonts w:ascii="Times New Roman" w:hAnsi="Times New Roman" w:cs="Times New Roman"/>
                <w:b/>
              </w:rPr>
            </w:pPr>
            <w:r w:rsidRPr="00F22DF9">
              <w:rPr>
                <w:rFonts w:ascii="Times New Roman" w:hAnsi="Times New Roman" w:cs="Times New Roman"/>
              </w:rPr>
              <w:t>1,03</w:t>
            </w:r>
          </w:p>
        </w:tc>
        <w:tc>
          <w:tcPr>
            <w:tcW w:w="923" w:type="pct"/>
            <w:vAlign w:val="center"/>
          </w:tcPr>
          <w:p w14:paraId="05EB2530"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1,07</w:t>
            </w:r>
          </w:p>
        </w:tc>
      </w:tr>
      <w:tr w:rsidR="00DB474C" w:rsidRPr="006640DC" w14:paraId="2AF7847E" w14:textId="77777777" w:rsidTr="008009AF">
        <w:trPr>
          <w:jc w:val="center"/>
        </w:trPr>
        <w:tc>
          <w:tcPr>
            <w:tcW w:w="614" w:type="pct"/>
            <w:vAlign w:val="bottom"/>
          </w:tcPr>
          <w:p w14:paraId="400D655C"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01.01.2021 по 30.06.2021</w:t>
            </w:r>
          </w:p>
        </w:tc>
        <w:tc>
          <w:tcPr>
            <w:tcW w:w="539" w:type="pct"/>
            <w:vAlign w:val="center"/>
          </w:tcPr>
          <w:p w14:paraId="5CF66305"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7341A688" w14:textId="77777777" w:rsidR="00DB474C" w:rsidRPr="000C60BE" w:rsidRDefault="00DB474C" w:rsidP="008009AF">
            <w:pPr>
              <w:jc w:val="center"/>
              <w:rPr>
                <w:rFonts w:ascii="Times New Roman" w:hAnsi="Times New Roman" w:cs="Times New Roman"/>
                <w:b/>
              </w:rPr>
            </w:pPr>
            <w:r w:rsidRPr="000C60BE">
              <w:rPr>
                <w:rFonts w:ascii="Times New Roman" w:hAnsi="Times New Roman" w:cs="Times New Roman"/>
                <w:b/>
              </w:rPr>
              <w:t>0,98</w:t>
            </w:r>
          </w:p>
        </w:tc>
        <w:tc>
          <w:tcPr>
            <w:tcW w:w="846" w:type="pct"/>
            <w:vAlign w:val="center"/>
          </w:tcPr>
          <w:p w14:paraId="389EA8F1"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1,07</w:t>
            </w:r>
          </w:p>
        </w:tc>
        <w:tc>
          <w:tcPr>
            <w:tcW w:w="355" w:type="pct"/>
            <w:vAlign w:val="center"/>
          </w:tcPr>
          <w:p w14:paraId="39C3F101"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1,06</w:t>
            </w:r>
          </w:p>
        </w:tc>
        <w:tc>
          <w:tcPr>
            <w:tcW w:w="338" w:type="pct"/>
            <w:vAlign w:val="center"/>
          </w:tcPr>
          <w:p w14:paraId="2D0189D5"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1,04</w:t>
            </w:r>
          </w:p>
        </w:tc>
        <w:tc>
          <w:tcPr>
            <w:tcW w:w="539" w:type="pct"/>
            <w:vAlign w:val="center"/>
          </w:tcPr>
          <w:p w14:paraId="2F117B62" w14:textId="77777777" w:rsidR="00DB474C" w:rsidRPr="00F22DF9" w:rsidRDefault="00DB474C" w:rsidP="008009AF">
            <w:pPr>
              <w:jc w:val="center"/>
              <w:rPr>
                <w:rFonts w:ascii="Times New Roman" w:hAnsi="Times New Roman" w:cs="Times New Roman"/>
                <w:b/>
              </w:rPr>
            </w:pPr>
            <w:r w:rsidRPr="00F22DF9">
              <w:rPr>
                <w:rFonts w:ascii="Times New Roman" w:hAnsi="Times New Roman" w:cs="Times New Roman"/>
              </w:rPr>
              <w:t>1,01</w:t>
            </w:r>
          </w:p>
        </w:tc>
        <w:tc>
          <w:tcPr>
            <w:tcW w:w="923" w:type="pct"/>
            <w:vAlign w:val="center"/>
          </w:tcPr>
          <w:p w14:paraId="4CB7319F"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1,02</w:t>
            </w:r>
          </w:p>
        </w:tc>
      </w:tr>
      <w:tr w:rsidR="00DB474C" w:rsidRPr="006640DC" w14:paraId="1448D0C8" w14:textId="77777777" w:rsidTr="008009AF">
        <w:trPr>
          <w:jc w:val="center"/>
        </w:trPr>
        <w:tc>
          <w:tcPr>
            <w:tcW w:w="614" w:type="pct"/>
            <w:vAlign w:val="bottom"/>
          </w:tcPr>
          <w:p w14:paraId="74A2A68B"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01.07.2021 по 31.12.2021</w:t>
            </w:r>
          </w:p>
        </w:tc>
        <w:tc>
          <w:tcPr>
            <w:tcW w:w="539" w:type="pct"/>
            <w:vAlign w:val="center"/>
          </w:tcPr>
          <w:p w14:paraId="1EDC1B5C"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1,02</w:t>
            </w:r>
          </w:p>
        </w:tc>
        <w:tc>
          <w:tcPr>
            <w:tcW w:w="846" w:type="pct"/>
            <w:vAlign w:val="center"/>
          </w:tcPr>
          <w:p w14:paraId="7D124B72" w14:textId="77777777" w:rsidR="00DB474C" w:rsidRPr="000C60BE" w:rsidRDefault="00DB474C" w:rsidP="008009AF">
            <w:pPr>
              <w:jc w:val="center"/>
              <w:rPr>
                <w:rFonts w:ascii="Times New Roman" w:hAnsi="Times New Roman" w:cs="Times New Roman"/>
                <w:b/>
              </w:rPr>
            </w:pPr>
            <w:r w:rsidRPr="000C60BE">
              <w:rPr>
                <w:rFonts w:ascii="Times New Roman" w:hAnsi="Times New Roman" w:cs="Times New Roman"/>
                <w:b/>
              </w:rPr>
              <w:t>0,98</w:t>
            </w:r>
          </w:p>
        </w:tc>
        <w:tc>
          <w:tcPr>
            <w:tcW w:w="846" w:type="pct"/>
            <w:vAlign w:val="center"/>
          </w:tcPr>
          <w:p w14:paraId="41E54901"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1,03</w:t>
            </w:r>
          </w:p>
        </w:tc>
        <w:tc>
          <w:tcPr>
            <w:tcW w:w="355" w:type="pct"/>
            <w:vAlign w:val="center"/>
          </w:tcPr>
          <w:p w14:paraId="142E771E"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1,04</w:t>
            </w:r>
          </w:p>
        </w:tc>
        <w:tc>
          <w:tcPr>
            <w:tcW w:w="338" w:type="pct"/>
            <w:vAlign w:val="center"/>
          </w:tcPr>
          <w:p w14:paraId="559C85E0"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1,01</w:t>
            </w:r>
          </w:p>
        </w:tc>
        <w:tc>
          <w:tcPr>
            <w:tcW w:w="539" w:type="pct"/>
            <w:vAlign w:val="center"/>
          </w:tcPr>
          <w:p w14:paraId="70C8C341" w14:textId="77777777" w:rsidR="00DB474C" w:rsidRPr="00F22DF9" w:rsidRDefault="00DB474C" w:rsidP="008009AF">
            <w:pPr>
              <w:jc w:val="center"/>
              <w:rPr>
                <w:rFonts w:ascii="Times New Roman" w:hAnsi="Times New Roman" w:cs="Times New Roman"/>
                <w:b/>
              </w:rPr>
            </w:pPr>
            <w:r w:rsidRPr="00F22DF9">
              <w:rPr>
                <w:rFonts w:ascii="Times New Roman" w:hAnsi="Times New Roman" w:cs="Times New Roman"/>
              </w:rPr>
              <w:t>1,01</w:t>
            </w:r>
          </w:p>
        </w:tc>
        <w:tc>
          <w:tcPr>
            <w:tcW w:w="923" w:type="pct"/>
            <w:vAlign w:val="center"/>
          </w:tcPr>
          <w:p w14:paraId="60F78F7E"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1,01</w:t>
            </w:r>
          </w:p>
        </w:tc>
      </w:tr>
    </w:tbl>
    <w:p w14:paraId="487E53BC"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право</w:t>
      </w:r>
    </w:p>
    <w:p w14:paraId="315F2D49" w14:textId="77777777" w:rsidR="00DB474C" w:rsidRDefault="00DB474C" w:rsidP="00DB474C">
      <w:pPr>
        <w:spacing w:after="0" w:line="300" w:lineRule="auto"/>
        <w:ind w:firstLine="567"/>
        <w:jc w:val="both"/>
        <w:rPr>
          <w:rFonts w:ascii="Times New Roman" w:hAnsi="Times New Roman" w:cs="Times New Roman"/>
          <w:sz w:val="26"/>
          <w:szCs w:val="26"/>
          <w:u w:val="single"/>
        </w:rPr>
      </w:pPr>
      <w:r>
        <w:rPr>
          <w:rFonts w:ascii="Times New Roman" w:hAnsi="Times New Roman" w:cs="Times New Roman"/>
          <w:sz w:val="26"/>
          <w:szCs w:val="26"/>
        </w:rPr>
        <w:t xml:space="preserve">В случае, если продается земельный участок, предоставленный в аренду, необходимо вносить корректировку на вид права. </w:t>
      </w:r>
      <w:r>
        <w:rPr>
          <w:rFonts w:ascii="Times New Roman" w:eastAsia="Calibri" w:hAnsi="Times New Roman" w:cs="Times New Roman"/>
          <w:sz w:val="26"/>
          <w:szCs w:val="26"/>
        </w:rPr>
        <w:t>Величина корректировки на право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w:t>
      </w:r>
      <w:r w:rsidRPr="00A67AF4">
        <w:rPr>
          <w:rFonts w:ascii="Times New Roman" w:eastAsia="Calibri" w:hAnsi="Times New Roman" w:cs="Times New Roman"/>
          <w:sz w:val="26"/>
          <w:szCs w:val="26"/>
        </w:rPr>
        <w:t>» (</w:t>
      </w:r>
      <w:hyperlink r:id="rId100" w:history="1">
        <w:r w:rsidRPr="00A67AF4">
          <w:rPr>
            <w:rStyle w:val="ad"/>
            <w:rFonts w:ascii="Times New Roman" w:hAnsi="Times New Roman" w:cs="Times New Roman"/>
            <w:sz w:val="26"/>
            <w:szCs w:val="26"/>
          </w:rPr>
          <w:t>https://statrielt.ru/</w:t>
        </w:r>
      </w:hyperlink>
      <w:r w:rsidRPr="00A67AF4">
        <w:rPr>
          <w:rFonts w:ascii="Times New Roman" w:hAnsi="Times New Roman" w:cs="Times New Roman"/>
          <w:sz w:val="26"/>
          <w:szCs w:val="26"/>
        </w:rPr>
        <w:t>).</w:t>
      </w:r>
    </w:p>
    <w:p w14:paraId="2B592921" w14:textId="77777777" w:rsidR="00DB474C" w:rsidRDefault="00DB474C" w:rsidP="00DB474C">
      <w:pPr>
        <w:jc w:val="center"/>
      </w:pPr>
      <w:r w:rsidRPr="00A2009E">
        <w:rPr>
          <w:noProof/>
          <w:lang w:eastAsia="ru-RU"/>
        </w:rPr>
        <w:drawing>
          <wp:inline distT="0" distB="0" distL="0" distR="0" wp14:anchorId="40A352AA" wp14:editId="54A71F65">
            <wp:extent cx="5940425" cy="4081780"/>
            <wp:effectExtent l="0" t="0" r="3175"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4081780"/>
                    </a:xfrm>
                    <a:prstGeom prst="rect">
                      <a:avLst/>
                    </a:prstGeom>
                  </pic:spPr>
                </pic:pic>
              </a:graphicData>
            </a:graphic>
          </wp:inline>
        </w:drawing>
      </w:r>
    </w:p>
    <w:p w14:paraId="168BA823" w14:textId="59227E16" w:rsidR="00DB474C" w:rsidRPr="00D05389" w:rsidRDefault="00DB474C" w:rsidP="00DB474C">
      <w:pPr>
        <w:spacing w:after="0" w:line="30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Рис.3.1.3.7.3- Корректировка на право аренды земельного участка по отношению к собственному земельному участку на 01.01.2022 года по данным некоммерческой </w:t>
      </w:r>
      <w:r w:rsidRPr="00A67AF4">
        <w:rPr>
          <w:rFonts w:ascii="Times New Roman" w:eastAsia="Calibri" w:hAnsi="Times New Roman" w:cs="Times New Roman"/>
          <w:sz w:val="26"/>
          <w:szCs w:val="26"/>
        </w:rPr>
        <w:t>организации «Ассоциация развития рынка недвижимости «СтатРиелт»</w:t>
      </w:r>
      <w:r w:rsidR="00E564BF">
        <w:rPr>
          <w:rStyle w:val="af2"/>
          <w:rFonts w:ascii="Times New Roman" w:eastAsia="Calibri" w:hAnsi="Times New Roman" w:cs="Times New Roman"/>
          <w:sz w:val="26"/>
          <w:szCs w:val="26"/>
        </w:rPr>
        <w:footnoteReference w:id="94"/>
      </w:r>
    </w:p>
    <w:p w14:paraId="06BE15B1" w14:textId="77777777" w:rsidR="00DB474C" w:rsidRDefault="00DB474C" w:rsidP="00DB474C">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Так как данные коэффициенты выражают отношения удельных цен предложений земельных участков, находящихся на праве аренды, к удельным ценам предложений земельных участков, находящихся на праве собственности, применяются обратные корректировки, т.е.  при расчете удельного показателя рыночной стоимости необходимо делить на корректировку на право.</w:t>
      </w:r>
    </w:p>
    <w:p w14:paraId="4552EC03" w14:textId="77777777" w:rsidR="00DB474C" w:rsidRPr="00227435" w:rsidRDefault="00DB474C" w:rsidP="00DB474C">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Согласно данным «СтатРиелт», размер корректировки на право аренды земельного участка, предоставленного сроком на 49 лет, по отношению к собственному земельному участку, для земельных участков складского, назначения, объектов инженерной и транспортной инфраструктуры значение лежит в доверительном интервале от 0,75 до 0,94 и в среднем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85</w:t>
      </w:r>
      <w:r>
        <w:rPr>
          <w:rFonts w:ascii="Times New Roman" w:eastAsia="Calibri" w:hAnsi="Times New Roman" w:cs="Times New Roman"/>
          <w:sz w:val="26"/>
          <w:szCs w:val="26"/>
        </w:rPr>
        <w:t xml:space="preserve"> (данные на 01.01.2022 года). Для целей оценки принято среднее значение диапазона. В случае, если земельный участок предоставлен в аренду на срок до 20 лет, то необходимо использовать поправку на срок аренды к корректировке на срок аренды на 49 лет. Таким образом корректировка равна: 0,85х0,83=</w:t>
      </w:r>
      <w:r w:rsidRPr="008C322D">
        <w:rPr>
          <w:rFonts w:ascii="Times New Roman" w:eastAsia="Calibri" w:hAnsi="Times New Roman" w:cs="Times New Roman"/>
          <w:b/>
          <w:sz w:val="26"/>
          <w:szCs w:val="26"/>
        </w:rPr>
        <w:t>0,</w:t>
      </w:r>
      <w:r>
        <w:rPr>
          <w:rFonts w:ascii="Times New Roman" w:eastAsia="Calibri" w:hAnsi="Times New Roman" w:cs="Times New Roman"/>
          <w:b/>
          <w:sz w:val="26"/>
          <w:szCs w:val="26"/>
        </w:rPr>
        <w:t>71</w:t>
      </w:r>
      <w:r>
        <w:rPr>
          <w:rFonts w:ascii="Times New Roman" w:eastAsia="Calibri" w:hAnsi="Times New Roman" w:cs="Times New Roman"/>
          <w:sz w:val="26"/>
          <w:szCs w:val="26"/>
        </w:rPr>
        <w:t>.</w:t>
      </w:r>
    </w:p>
    <w:p w14:paraId="1934F839"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Доля ЗУ</w:t>
      </w:r>
    </w:p>
    <w:p w14:paraId="202360FA" w14:textId="77777777" w:rsidR="00DB474C" w:rsidRDefault="00DB474C" w:rsidP="00DB474C">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Если в качестве объекта-аналога принято предложение (сделка) по продаже застроенного земельного участка, необходимо определить долю стоимости земельного участка в стоимости единого объекта недвижимости. В таком случае доля стоимости земельного участка для 7 сегмента принята на основании приложения №7 к Указаниям, где для объектов хранения индивидуального автотранспорта рекомендовано 15-30% (принимаем корректировку </w:t>
      </w:r>
      <w:r w:rsidRPr="00227435">
        <w:rPr>
          <w:rFonts w:ascii="Times New Roman" w:eastAsia="Calibri" w:hAnsi="Times New Roman" w:cs="Times New Roman"/>
          <w:b/>
          <w:sz w:val="26"/>
          <w:szCs w:val="26"/>
        </w:rPr>
        <w:t>0,</w:t>
      </w:r>
      <w:r>
        <w:rPr>
          <w:rFonts w:ascii="Times New Roman" w:eastAsia="Calibri" w:hAnsi="Times New Roman" w:cs="Times New Roman"/>
          <w:b/>
          <w:sz w:val="26"/>
          <w:szCs w:val="26"/>
        </w:rPr>
        <w:t>30</w:t>
      </w:r>
      <w:r>
        <w:rPr>
          <w:rFonts w:ascii="Times New Roman" w:eastAsia="Calibri" w:hAnsi="Times New Roman" w:cs="Times New Roman"/>
          <w:sz w:val="26"/>
          <w:szCs w:val="26"/>
        </w:rPr>
        <w:t>).</w:t>
      </w:r>
    </w:p>
    <w:p w14:paraId="084C0820" w14:textId="77777777" w:rsidR="00DB474C" w:rsidRPr="007A733D" w:rsidRDefault="00DB474C" w:rsidP="00DB474C">
      <w:pPr>
        <w:spacing w:before="120" w:after="0" w:line="276" w:lineRule="auto"/>
        <w:ind w:firstLine="567"/>
        <w:jc w:val="center"/>
        <w:rPr>
          <w:rFonts w:ascii="Times New Roman" w:eastAsia="Calibri" w:hAnsi="Times New Roman" w:cs="Times New Roman"/>
          <w:i/>
          <w:sz w:val="26"/>
          <w:szCs w:val="26"/>
        </w:rPr>
      </w:pPr>
      <w:r w:rsidRPr="007A733D">
        <w:rPr>
          <w:rFonts w:ascii="Times New Roman" w:eastAsia="Calibri" w:hAnsi="Times New Roman" w:cs="Times New Roman"/>
          <w:i/>
          <w:sz w:val="26"/>
          <w:szCs w:val="26"/>
        </w:rPr>
        <w:t>Анализ рыночной информации</w:t>
      </w:r>
    </w:p>
    <w:p w14:paraId="67E07B08" w14:textId="77777777" w:rsidR="00DB474C" w:rsidRPr="00572862" w:rsidRDefault="00DB474C" w:rsidP="00DB474C">
      <w:pPr>
        <w:spacing w:before="120" w:after="0" w:line="276" w:lineRule="auto"/>
        <w:ind w:firstLine="567"/>
        <w:jc w:val="both"/>
        <w:rPr>
          <w:rFonts w:ascii="Times New Roman" w:hAnsi="Times New Roman" w:cs="Times New Roman"/>
          <w:b/>
          <w:sz w:val="26"/>
          <w:szCs w:val="26"/>
        </w:rPr>
      </w:pPr>
      <w:r w:rsidRPr="00572862">
        <w:rPr>
          <w:rFonts w:ascii="Times New Roman" w:hAnsi="Times New Roman" w:cs="Times New Roman"/>
          <w:sz w:val="26"/>
          <w:szCs w:val="26"/>
        </w:rPr>
        <w:t>Далее представлена информация о предложениях (сделках) сегмента «Транспорт» на рынке недвижимости Воронежской области. Наибольшее количество сосредоточено непосредственно в г.</w:t>
      </w:r>
      <w:r>
        <w:rPr>
          <w:rFonts w:ascii="Times New Roman" w:hAnsi="Times New Roman" w:cs="Times New Roman"/>
          <w:sz w:val="26"/>
          <w:szCs w:val="26"/>
        </w:rPr>
        <w:t>о.г.</w:t>
      </w:r>
      <w:r w:rsidRPr="00572862">
        <w:rPr>
          <w:rFonts w:ascii="Times New Roman" w:hAnsi="Times New Roman" w:cs="Times New Roman"/>
          <w:sz w:val="26"/>
          <w:szCs w:val="26"/>
        </w:rPr>
        <w:t xml:space="preserve"> Воронеж - </w:t>
      </w:r>
      <w:r>
        <w:rPr>
          <w:rFonts w:ascii="Times New Roman" w:hAnsi="Times New Roman" w:cs="Times New Roman"/>
          <w:sz w:val="26"/>
          <w:szCs w:val="26"/>
        </w:rPr>
        <w:t>25</w:t>
      </w:r>
      <w:r w:rsidRPr="00572862">
        <w:rPr>
          <w:rFonts w:ascii="Times New Roman" w:hAnsi="Times New Roman" w:cs="Times New Roman"/>
          <w:sz w:val="26"/>
          <w:szCs w:val="26"/>
        </w:rPr>
        <w:t>,</w:t>
      </w:r>
      <w:r>
        <w:rPr>
          <w:rFonts w:ascii="Times New Roman" w:hAnsi="Times New Roman" w:cs="Times New Roman"/>
          <w:sz w:val="26"/>
          <w:szCs w:val="26"/>
        </w:rPr>
        <w:t>45</w:t>
      </w:r>
      <w:r w:rsidRPr="00572862">
        <w:rPr>
          <w:rFonts w:ascii="Times New Roman" w:hAnsi="Times New Roman" w:cs="Times New Roman"/>
          <w:sz w:val="26"/>
          <w:szCs w:val="26"/>
        </w:rPr>
        <w:t>% от общего количества предложений (сделок) по региону.</w:t>
      </w:r>
    </w:p>
    <w:p w14:paraId="29DCBFB8" w14:textId="77777777" w:rsidR="00DB474C" w:rsidRPr="00FD203C" w:rsidRDefault="00DB474C" w:rsidP="00DB474C">
      <w:pPr>
        <w:spacing w:after="0" w:line="276" w:lineRule="auto"/>
        <w:ind w:firstLine="708"/>
        <w:jc w:val="right"/>
        <w:rPr>
          <w:rFonts w:ascii="Times New Roman" w:hAnsi="Times New Roman" w:cs="Times New Roman"/>
          <w:sz w:val="26"/>
          <w:szCs w:val="26"/>
        </w:rPr>
      </w:pPr>
      <w:r w:rsidRPr="00FD203C">
        <w:rPr>
          <w:rFonts w:ascii="Times New Roman" w:hAnsi="Times New Roman" w:cs="Times New Roman"/>
          <w:sz w:val="26"/>
          <w:szCs w:val="26"/>
        </w:rPr>
        <w:t xml:space="preserve">Таблица </w:t>
      </w:r>
      <w:r w:rsidRPr="005D5A58">
        <w:rPr>
          <w:rFonts w:ascii="Times New Roman" w:hAnsi="Times New Roman" w:cs="Times New Roman"/>
          <w:sz w:val="26"/>
          <w:szCs w:val="26"/>
        </w:rPr>
        <w:t>3.1.3.7.2</w:t>
      </w:r>
    </w:p>
    <w:p w14:paraId="14B3B935" w14:textId="77777777" w:rsidR="00DB474C" w:rsidRPr="00572862" w:rsidRDefault="00DB474C" w:rsidP="00DB474C">
      <w:pPr>
        <w:spacing w:after="0" w:line="276" w:lineRule="auto"/>
        <w:ind w:firstLine="708"/>
        <w:jc w:val="center"/>
        <w:rPr>
          <w:rFonts w:ascii="Times New Roman" w:hAnsi="Times New Roman" w:cs="Times New Roman"/>
          <w:sz w:val="26"/>
          <w:szCs w:val="26"/>
        </w:rPr>
      </w:pPr>
      <w:r w:rsidRPr="00572862">
        <w:rPr>
          <w:rFonts w:ascii="Times New Roman" w:hAnsi="Times New Roman" w:cs="Times New Roman"/>
          <w:sz w:val="26"/>
          <w:szCs w:val="26"/>
        </w:rPr>
        <w:t>Анализ рыночной информации сегмента «Транспорт»</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856"/>
        <w:gridCol w:w="1608"/>
        <w:gridCol w:w="2209"/>
        <w:gridCol w:w="1553"/>
      </w:tblGrid>
      <w:tr w:rsidR="00DB474C" w:rsidRPr="00286B03" w14:paraId="5093E2DF" w14:textId="77777777" w:rsidTr="001410AB">
        <w:trPr>
          <w:trHeight w:val="591"/>
        </w:trPr>
        <w:tc>
          <w:tcPr>
            <w:tcW w:w="2119" w:type="dxa"/>
            <w:vMerge w:val="restart"/>
            <w:shd w:val="clear" w:color="auto" w:fill="auto"/>
            <w:vAlign w:val="center"/>
            <w:hideMark/>
          </w:tcPr>
          <w:p w14:paraId="4DD4E50B" w14:textId="77777777" w:rsidR="00DB474C" w:rsidRPr="00286B03" w:rsidRDefault="00DB474C" w:rsidP="00DB474C">
            <w:pPr>
              <w:spacing w:after="0" w:line="240" w:lineRule="auto"/>
              <w:jc w:val="center"/>
              <w:rPr>
                <w:rFonts w:ascii="Times New Roman" w:eastAsia="Times New Roman" w:hAnsi="Times New Roman" w:cs="Times New Roman"/>
                <w:b/>
                <w:color w:val="000000"/>
                <w:lang w:eastAsia="ru-RU"/>
              </w:rPr>
            </w:pPr>
            <w:r w:rsidRPr="00286B03">
              <w:rPr>
                <w:rFonts w:ascii="Times New Roman" w:eastAsia="Times New Roman" w:hAnsi="Times New Roman" w:cs="Times New Roman"/>
                <w:b/>
                <w:color w:val="000000"/>
                <w:lang w:eastAsia="ru-RU"/>
              </w:rPr>
              <w:t>Наименование района</w:t>
            </w:r>
          </w:p>
        </w:tc>
        <w:tc>
          <w:tcPr>
            <w:tcW w:w="5673" w:type="dxa"/>
            <w:gridSpan w:val="3"/>
            <w:shd w:val="clear" w:color="auto" w:fill="auto"/>
            <w:vAlign w:val="center"/>
            <w:hideMark/>
          </w:tcPr>
          <w:p w14:paraId="7B63B913" w14:textId="77777777" w:rsidR="00DB474C" w:rsidRPr="00286B03" w:rsidRDefault="00DB474C" w:rsidP="00DB474C">
            <w:pPr>
              <w:spacing w:after="0" w:line="240" w:lineRule="auto"/>
              <w:jc w:val="center"/>
              <w:rPr>
                <w:rFonts w:ascii="Times New Roman" w:eastAsia="Times New Roman" w:hAnsi="Times New Roman" w:cs="Times New Roman"/>
                <w:b/>
                <w:color w:val="000000"/>
                <w:lang w:eastAsia="ru-RU"/>
              </w:rPr>
            </w:pPr>
            <w:r w:rsidRPr="00286B03">
              <w:rPr>
                <w:rFonts w:ascii="Times New Roman" w:eastAsia="Times New Roman" w:hAnsi="Times New Roman" w:cs="Times New Roman"/>
                <w:b/>
                <w:color w:val="000000"/>
                <w:lang w:eastAsia="ru-RU"/>
              </w:rPr>
              <w:t>Удельный показатель рыночной стоимости, руб./кв.м</w:t>
            </w:r>
          </w:p>
        </w:tc>
        <w:tc>
          <w:tcPr>
            <w:tcW w:w="1553" w:type="dxa"/>
            <w:vMerge w:val="restart"/>
            <w:shd w:val="clear" w:color="auto" w:fill="auto"/>
            <w:vAlign w:val="center"/>
            <w:hideMark/>
          </w:tcPr>
          <w:p w14:paraId="3BC00530" w14:textId="77777777" w:rsidR="00DB474C" w:rsidRPr="00286B03" w:rsidRDefault="00DB474C" w:rsidP="00DB474C">
            <w:pPr>
              <w:spacing w:after="0" w:line="240" w:lineRule="auto"/>
              <w:jc w:val="center"/>
              <w:rPr>
                <w:rFonts w:ascii="Times New Roman" w:eastAsia="Times New Roman" w:hAnsi="Times New Roman" w:cs="Times New Roman"/>
                <w:b/>
                <w:color w:val="000000"/>
                <w:lang w:eastAsia="ru-RU"/>
              </w:rPr>
            </w:pPr>
            <w:r w:rsidRPr="00286B03">
              <w:rPr>
                <w:rFonts w:ascii="Times New Roman" w:eastAsia="Times New Roman" w:hAnsi="Times New Roman" w:cs="Times New Roman"/>
                <w:b/>
                <w:color w:val="000000"/>
                <w:lang w:eastAsia="ru-RU"/>
              </w:rPr>
              <w:t>Количество предложений (сделок)</w:t>
            </w:r>
          </w:p>
        </w:tc>
      </w:tr>
      <w:tr w:rsidR="00DB474C" w:rsidRPr="00286B03" w14:paraId="014528A6" w14:textId="77777777" w:rsidTr="001410AB">
        <w:trPr>
          <w:trHeight w:val="600"/>
        </w:trPr>
        <w:tc>
          <w:tcPr>
            <w:tcW w:w="2119" w:type="dxa"/>
            <w:vMerge/>
            <w:vAlign w:val="center"/>
            <w:hideMark/>
          </w:tcPr>
          <w:p w14:paraId="54735615"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p>
        </w:tc>
        <w:tc>
          <w:tcPr>
            <w:tcW w:w="1856" w:type="dxa"/>
            <w:shd w:val="clear" w:color="auto" w:fill="auto"/>
            <w:noWrap/>
            <w:vAlign w:val="center"/>
            <w:hideMark/>
          </w:tcPr>
          <w:p w14:paraId="67BA51FF" w14:textId="77777777" w:rsidR="00DB474C" w:rsidRPr="00286B03" w:rsidRDefault="00DB474C" w:rsidP="00DB474C">
            <w:pPr>
              <w:spacing w:after="0" w:line="240" w:lineRule="auto"/>
              <w:jc w:val="center"/>
              <w:rPr>
                <w:rFonts w:ascii="Times New Roman" w:eastAsia="Times New Roman" w:hAnsi="Times New Roman" w:cs="Times New Roman"/>
                <w:b/>
                <w:bCs/>
                <w:color w:val="000000"/>
                <w:lang w:eastAsia="ru-RU"/>
              </w:rPr>
            </w:pPr>
            <w:r w:rsidRPr="00286B03">
              <w:rPr>
                <w:rFonts w:ascii="Times New Roman" w:eastAsia="Times New Roman" w:hAnsi="Times New Roman" w:cs="Times New Roman"/>
                <w:b/>
                <w:bCs/>
                <w:color w:val="000000"/>
                <w:lang w:eastAsia="ru-RU"/>
              </w:rPr>
              <w:t>Минимальное значение</w:t>
            </w:r>
          </w:p>
        </w:tc>
        <w:tc>
          <w:tcPr>
            <w:tcW w:w="1608" w:type="dxa"/>
            <w:shd w:val="clear" w:color="auto" w:fill="auto"/>
            <w:noWrap/>
            <w:vAlign w:val="center"/>
            <w:hideMark/>
          </w:tcPr>
          <w:p w14:paraId="71E892D4" w14:textId="77777777" w:rsidR="00DB474C" w:rsidRPr="00286B03" w:rsidRDefault="00DB474C" w:rsidP="00DB474C">
            <w:pPr>
              <w:spacing w:after="0" w:line="240" w:lineRule="auto"/>
              <w:jc w:val="center"/>
              <w:rPr>
                <w:rFonts w:ascii="Times New Roman" w:eastAsia="Times New Roman" w:hAnsi="Times New Roman" w:cs="Times New Roman"/>
                <w:b/>
                <w:bCs/>
                <w:color w:val="000000"/>
                <w:lang w:eastAsia="ru-RU"/>
              </w:rPr>
            </w:pPr>
            <w:r w:rsidRPr="00286B03">
              <w:rPr>
                <w:rFonts w:ascii="Times New Roman" w:eastAsia="Times New Roman" w:hAnsi="Times New Roman" w:cs="Times New Roman"/>
                <w:b/>
                <w:bCs/>
                <w:color w:val="000000"/>
                <w:lang w:eastAsia="ru-RU"/>
              </w:rPr>
              <w:t>Среднее значение</w:t>
            </w:r>
          </w:p>
        </w:tc>
        <w:tc>
          <w:tcPr>
            <w:tcW w:w="2209" w:type="dxa"/>
            <w:shd w:val="clear" w:color="auto" w:fill="auto"/>
            <w:noWrap/>
            <w:vAlign w:val="center"/>
            <w:hideMark/>
          </w:tcPr>
          <w:p w14:paraId="0255BE23" w14:textId="77777777" w:rsidR="00DB474C" w:rsidRPr="00286B03" w:rsidRDefault="00DB474C" w:rsidP="00DB474C">
            <w:pPr>
              <w:spacing w:after="0" w:line="240" w:lineRule="auto"/>
              <w:jc w:val="center"/>
              <w:rPr>
                <w:rFonts w:ascii="Times New Roman" w:eastAsia="Times New Roman" w:hAnsi="Times New Roman" w:cs="Times New Roman"/>
                <w:b/>
                <w:bCs/>
                <w:color w:val="000000"/>
                <w:lang w:eastAsia="ru-RU"/>
              </w:rPr>
            </w:pPr>
            <w:r w:rsidRPr="00286B03">
              <w:rPr>
                <w:rFonts w:ascii="Times New Roman" w:eastAsia="Times New Roman" w:hAnsi="Times New Roman" w:cs="Times New Roman"/>
                <w:b/>
                <w:bCs/>
                <w:color w:val="000000"/>
                <w:lang w:eastAsia="ru-RU"/>
              </w:rPr>
              <w:t>Максимальное значение</w:t>
            </w:r>
          </w:p>
        </w:tc>
        <w:tc>
          <w:tcPr>
            <w:tcW w:w="1553" w:type="dxa"/>
            <w:vMerge/>
            <w:vAlign w:val="center"/>
            <w:hideMark/>
          </w:tcPr>
          <w:p w14:paraId="2E6C0694"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p>
        </w:tc>
      </w:tr>
      <w:tr w:rsidR="00DB474C" w:rsidRPr="00286B03" w14:paraId="7128EEDA" w14:textId="77777777" w:rsidTr="001410AB">
        <w:trPr>
          <w:trHeight w:val="300"/>
        </w:trPr>
        <w:tc>
          <w:tcPr>
            <w:tcW w:w="2119" w:type="dxa"/>
            <w:shd w:val="clear" w:color="auto" w:fill="auto"/>
            <w:noWrap/>
            <w:vAlign w:val="bottom"/>
            <w:hideMark/>
          </w:tcPr>
          <w:p w14:paraId="55351A5B"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Аннинский</w:t>
            </w:r>
          </w:p>
        </w:tc>
        <w:tc>
          <w:tcPr>
            <w:tcW w:w="1856" w:type="dxa"/>
            <w:shd w:val="clear" w:color="auto" w:fill="auto"/>
            <w:noWrap/>
            <w:vAlign w:val="bottom"/>
            <w:hideMark/>
          </w:tcPr>
          <w:p w14:paraId="7140FBC9"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54,87</w:t>
            </w:r>
          </w:p>
        </w:tc>
        <w:tc>
          <w:tcPr>
            <w:tcW w:w="1608" w:type="dxa"/>
            <w:shd w:val="clear" w:color="auto" w:fill="auto"/>
            <w:noWrap/>
            <w:vAlign w:val="bottom"/>
            <w:hideMark/>
          </w:tcPr>
          <w:p w14:paraId="65083472"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1 405,72</w:t>
            </w:r>
          </w:p>
        </w:tc>
        <w:tc>
          <w:tcPr>
            <w:tcW w:w="2209" w:type="dxa"/>
            <w:shd w:val="clear" w:color="auto" w:fill="auto"/>
            <w:noWrap/>
            <w:vAlign w:val="bottom"/>
            <w:hideMark/>
          </w:tcPr>
          <w:p w14:paraId="06D0DEF2"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3 772,70</w:t>
            </w:r>
          </w:p>
        </w:tc>
        <w:tc>
          <w:tcPr>
            <w:tcW w:w="1553" w:type="dxa"/>
            <w:shd w:val="clear" w:color="auto" w:fill="auto"/>
            <w:noWrap/>
            <w:vAlign w:val="bottom"/>
            <w:hideMark/>
          </w:tcPr>
          <w:p w14:paraId="1605A21D"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31</w:t>
            </w:r>
          </w:p>
        </w:tc>
      </w:tr>
      <w:tr w:rsidR="00DB474C" w:rsidRPr="00286B03" w14:paraId="12D380C4" w14:textId="77777777" w:rsidTr="001410AB">
        <w:trPr>
          <w:trHeight w:val="300"/>
        </w:trPr>
        <w:tc>
          <w:tcPr>
            <w:tcW w:w="2119" w:type="dxa"/>
            <w:shd w:val="clear" w:color="auto" w:fill="auto"/>
            <w:noWrap/>
            <w:vAlign w:val="bottom"/>
            <w:hideMark/>
          </w:tcPr>
          <w:p w14:paraId="4A600380"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Бобровский</w:t>
            </w:r>
          </w:p>
        </w:tc>
        <w:tc>
          <w:tcPr>
            <w:tcW w:w="1856" w:type="dxa"/>
            <w:shd w:val="clear" w:color="auto" w:fill="auto"/>
            <w:noWrap/>
            <w:vAlign w:val="bottom"/>
            <w:hideMark/>
          </w:tcPr>
          <w:p w14:paraId="60732B53"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190,57</w:t>
            </w:r>
          </w:p>
        </w:tc>
        <w:tc>
          <w:tcPr>
            <w:tcW w:w="1608" w:type="dxa"/>
            <w:shd w:val="clear" w:color="auto" w:fill="auto"/>
            <w:noWrap/>
            <w:vAlign w:val="bottom"/>
            <w:hideMark/>
          </w:tcPr>
          <w:p w14:paraId="3D520996"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1 801,16</w:t>
            </w:r>
          </w:p>
        </w:tc>
        <w:tc>
          <w:tcPr>
            <w:tcW w:w="2209" w:type="dxa"/>
            <w:shd w:val="clear" w:color="auto" w:fill="auto"/>
            <w:noWrap/>
            <w:vAlign w:val="bottom"/>
            <w:hideMark/>
          </w:tcPr>
          <w:p w14:paraId="0F4691B1"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5 237,04</w:t>
            </w:r>
          </w:p>
        </w:tc>
        <w:tc>
          <w:tcPr>
            <w:tcW w:w="1553" w:type="dxa"/>
            <w:shd w:val="clear" w:color="auto" w:fill="auto"/>
            <w:noWrap/>
            <w:vAlign w:val="bottom"/>
            <w:hideMark/>
          </w:tcPr>
          <w:p w14:paraId="214FF0BF"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91</w:t>
            </w:r>
          </w:p>
        </w:tc>
      </w:tr>
      <w:tr w:rsidR="00DB474C" w:rsidRPr="00286B03" w14:paraId="7F5A5B80" w14:textId="77777777" w:rsidTr="001410AB">
        <w:trPr>
          <w:trHeight w:val="300"/>
        </w:trPr>
        <w:tc>
          <w:tcPr>
            <w:tcW w:w="2119" w:type="dxa"/>
            <w:shd w:val="clear" w:color="auto" w:fill="auto"/>
            <w:noWrap/>
            <w:vAlign w:val="bottom"/>
            <w:hideMark/>
          </w:tcPr>
          <w:p w14:paraId="56FFAD94"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Богучарский</w:t>
            </w:r>
          </w:p>
        </w:tc>
        <w:tc>
          <w:tcPr>
            <w:tcW w:w="1856" w:type="dxa"/>
            <w:shd w:val="clear" w:color="auto" w:fill="auto"/>
            <w:noWrap/>
            <w:vAlign w:val="bottom"/>
            <w:hideMark/>
          </w:tcPr>
          <w:p w14:paraId="29B2E075"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10,10</w:t>
            </w:r>
          </w:p>
        </w:tc>
        <w:tc>
          <w:tcPr>
            <w:tcW w:w="1608" w:type="dxa"/>
            <w:shd w:val="clear" w:color="auto" w:fill="auto"/>
            <w:noWrap/>
            <w:vAlign w:val="bottom"/>
            <w:hideMark/>
          </w:tcPr>
          <w:p w14:paraId="4E59AC3D"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1 529,09</w:t>
            </w:r>
          </w:p>
        </w:tc>
        <w:tc>
          <w:tcPr>
            <w:tcW w:w="2209" w:type="dxa"/>
            <w:shd w:val="clear" w:color="auto" w:fill="auto"/>
            <w:noWrap/>
            <w:vAlign w:val="bottom"/>
            <w:hideMark/>
          </w:tcPr>
          <w:p w14:paraId="613181CA"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7 578,13</w:t>
            </w:r>
          </w:p>
        </w:tc>
        <w:tc>
          <w:tcPr>
            <w:tcW w:w="1553" w:type="dxa"/>
            <w:shd w:val="clear" w:color="auto" w:fill="auto"/>
            <w:noWrap/>
            <w:vAlign w:val="bottom"/>
            <w:hideMark/>
          </w:tcPr>
          <w:p w14:paraId="434D1639"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90</w:t>
            </w:r>
          </w:p>
        </w:tc>
      </w:tr>
      <w:tr w:rsidR="00DB474C" w:rsidRPr="00286B03" w14:paraId="1CD5F067" w14:textId="77777777" w:rsidTr="001410AB">
        <w:trPr>
          <w:trHeight w:val="300"/>
        </w:trPr>
        <w:tc>
          <w:tcPr>
            <w:tcW w:w="2119" w:type="dxa"/>
            <w:shd w:val="clear" w:color="auto" w:fill="auto"/>
            <w:noWrap/>
            <w:vAlign w:val="bottom"/>
            <w:hideMark/>
          </w:tcPr>
          <w:p w14:paraId="487532B0"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Борисоглебский</w:t>
            </w:r>
          </w:p>
        </w:tc>
        <w:tc>
          <w:tcPr>
            <w:tcW w:w="1856" w:type="dxa"/>
            <w:shd w:val="clear" w:color="auto" w:fill="auto"/>
            <w:noWrap/>
            <w:vAlign w:val="bottom"/>
            <w:hideMark/>
          </w:tcPr>
          <w:p w14:paraId="53266713"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152,80</w:t>
            </w:r>
          </w:p>
        </w:tc>
        <w:tc>
          <w:tcPr>
            <w:tcW w:w="1608" w:type="dxa"/>
            <w:shd w:val="clear" w:color="auto" w:fill="auto"/>
            <w:noWrap/>
            <w:vAlign w:val="bottom"/>
            <w:hideMark/>
          </w:tcPr>
          <w:p w14:paraId="034D1547"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2 565,20</w:t>
            </w:r>
          </w:p>
        </w:tc>
        <w:tc>
          <w:tcPr>
            <w:tcW w:w="2209" w:type="dxa"/>
            <w:shd w:val="clear" w:color="auto" w:fill="auto"/>
            <w:noWrap/>
            <w:vAlign w:val="bottom"/>
            <w:hideMark/>
          </w:tcPr>
          <w:p w14:paraId="3F36024F"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8 206,20</w:t>
            </w:r>
          </w:p>
        </w:tc>
        <w:tc>
          <w:tcPr>
            <w:tcW w:w="1553" w:type="dxa"/>
            <w:shd w:val="clear" w:color="auto" w:fill="auto"/>
            <w:noWrap/>
            <w:vAlign w:val="bottom"/>
            <w:hideMark/>
          </w:tcPr>
          <w:p w14:paraId="16036F6A"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133</w:t>
            </w:r>
          </w:p>
        </w:tc>
      </w:tr>
      <w:tr w:rsidR="00DB474C" w:rsidRPr="00286B03" w14:paraId="3DF5D826" w14:textId="77777777" w:rsidTr="001410AB">
        <w:trPr>
          <w:trHeight w:val="300"/>
        </w:trPr>
        <w:tc>
          <w:tcPr>
            <w:tcW w:w="2119" w:type="dxa"/>
            <w:shd w:val="clear" w:color="auto" w:fill="auto"/>
            <w:noWrap/>
            <w:vAlign w:val="bottom"/>
            <w:hideMark/>
          </w:tcPr>
          <w:p w14:paraId="5674706A"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Бутурлиновский</w:t>
            </w:r>
          </w:p>
        </w:tc>
        <w:tc>
          <w:tcPr>
            <w:tcW w:w="1856" w:type="dxa"/>
            <w:shd w:val="clear" w:color="auto" w:fill="auto"/>
            <w:noWrap/>
            <w:vAlign w:val="bottom"/>
            <w:hideMark/>
          </w:tcPr>
          <w:p w14:paraId="4C0979E9"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33,66</w:t>
            </w:r>
          </w:p>
        </w:tc>
        <w:tc>
          <w:tcPr>
            <w:tcW w:w="1608" w:type="dxa"/>
            <w:shd w:val="clear" w:color="auto" w:fill="auto"/>
            <w:noWrap/>
            <w:vAlign w:val="bottom"/>
            <w:hideMark/>
          </w:tcPr>
          <w:p w14:paraId="2296AC99"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1 180,29</w:t>
            </w:r>
          </w:p>
        </w:tc>
        <w:tc>
          <w:tcPr>
            <w:tcW w:w="2209" w:type="dxa"/>
            <w:shd w:val="clear" w:color="auto" w:fill="auto"/>
            <w:noWrap/>
            <w:vAlign w:val="bottom"/>
            <w:hideMark/>
          </w:tcPr>
          <w:p w14:paraId="096831F7"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4 839,12</w:t>
            </w:r>
          </w:p>
        </w:tc>
        <w:tc>
          <w:tcPr>
            <w:tcW w:w="1553" w:type="dxa"/>
            <w:shd w:val="clear" w:color="auto" w:fill="auto"/>
            <w:noWrap/>
            <w:vAlign w:val="bottom"/>
            <w:hideMark/>
          </w:tcPr>
          <w:p w14:paraId="7D519609"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67</w:t>
            </w:r>
          </w:p>
        </w:tc>
      </w:tr>
      <w:tr w:rsidR="00DB474C" w:rsidRPr="00286B03" w14:paraId="17C86E37" w14:textId="77777777" w:rsidTr="001410AB">
        <w:trPr>
          <w:trHeight w:val="300"/>
        </w:trPr>
        <w:tc>
          <w:tcPr>
            <w:tcW w:w="2119" w:type="dxa"/>
            <w:shd w:val="clear" w:color="auto" w:fill="auto"/>
            <w:noWrap/>
            <w:vAlign w:val="bottom"/>
            <w:hideMark/>
          </w:tcPr>
          <w:p w14:paraId="1B71ED78"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Верхнемамонский</w:t>
            </w:r>
          </w:p>
        </w:tc>
        <w:tc>
          <w:tcPr>
            <w:tcW w:w="1856" w:type="dxa"/>
            <w:shd w:val="clear" w:color="auto" w:fill="auto"/>
            <w:noWrap/>
            <w:vAlign w:val="bottom"/>
            <w:hideMark/>
          </w:tcPr>
          <w:p w14:paraId="7CAFC8E4"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101,00</w:t>
            </w:r>
          </w:p>
        </w:tc>
        <w:tc>
          <w:tcPr>
            <w:tcW w:w="1608" w:type="dxa"/>
            <w:shd w:val="clear" w:color="auto" w:fill="auto"/>
            <w:noWrap/>
            <w:vAlign w:val="bottom"/>
            <w:hideMark/>
          </w:tcPr>
          <w:p w14:paraId="7EBACAC9"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1 335,82</w:t>
            </w:r>
          </w:p>
        </w:tc>
        <w:tc>
          <w:tcPr>
            <w:tcW w:w="2209" w:type="dxa"/>
            <w:shd w:val="clear" w:color="auto" w:fill="auto"/>
            <w:noWrap/>
            <w:vAlign w:val="bottom"/>
            <w:hideMark/>
          </w:tcPr>
          <w:p w14:paraId="5F0279E1"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4 083,34</w:t>
            </w:r>
          </w:p>
        </w:tc>
        <w:tc>
          <w:tcPr>
            <w:tcW w:w="1553" w:type="dxa"/>
            <w:shd w:val="clear" w:color="auto" w:fill="auto"/>
            <w:noWrap/>
            <w:vAlign w:val="bottom"/>
            <w:hideMark/>
          </w:tcPr>
          <w:p w14:paraId="7D0A8620"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30</w:t>
            </w:r>
          </w:p>
        </w:tc>
      </w:tr>
      <w:tr w:rsidR="00DB474C" w:rsidRPr="00286B03" w14:paraId="1D8F766A" w14:textId="77777777" w:rsidTr="001410AB">
        <w:trPr>
          <w:trHeight w:val="300"/>
        </w:trPr>
        <w:tc>
          <w:tcPr>
            <w:tcW w:w="2119" w:type="dxa"/>
            <w:shd w:val="clear" w:color="auto" w:fill="auto"/>
            <w:noWrap/>
            <w:vAlign w:val="bottom"/>
            <w:hideMark/>
          </w:tcPr>
          <w:p w14:paraId="7F38FFBB"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Верхнехавский</w:t>
            </w:r>
          </w:p>
        </w:tc>
        <w:tc>
          <w:tcPr>
            <w:tcW w:w="1856" w:type="dxa"/>
            <w:shd w:val="clear" w:color="auto" w:fill="auto"/>
            <w:noWrap/>
            <w:vAlign w:val="bottom"/>
            <w:hideMark/>
          </w:tcPr>
          <w:p w14:paraId="48B79B46"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109,92</w:t>
            </w:r>
          </w:p>
        </w:tc>
        <w:tc>
          <w:tcPr>
            <w:tcW w:w="1608" w:type="dxa"/>
            <w:shd w:val="clear" w:color="auto" w:fill="auto"/>
            <w:noWrap/>
            <w:vAlign w:val="bottom"/>
            <w:hideMark/>
          </w:tcPr>
          <w:p w14:paraId="46CCAD76"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1 282,40</w:t>
            </w:r>
          </w:p>
        </w:tc>
        <w:tc>
          <w:tcPr>
            <w:tcW w:w="2209" w:type="dxa"/>
            <w:shd w:val="clear" w:color="auto" w:fill="auto"/>
            <w:noWrap/>
            <w:vAlign w:val="bottom"/>
            <w:hideMark/>
          </w:tcPr>
          <w:p w14:paraId="35276A53"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5 711,54</w:t>
            </w:r>
          </w:p>
        </w:tc>
        <w:tc>
          <w:tcPr>
            <w:tcW w:w="1553" w:type="dxa"/>
            <w:shd w:val="clear" w:color="auto" w:fill="auto"/>
            <w:noWrap/>
            <w:vAlign w:val="bottom"/>
            <w:hideMark/>
          </w:tcPr>
          <w:p w14:paraId="4426BF8E"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19</w:t>
            </w:r>
          </w:p>
        </w:tc>
      </w:tr>
      <w:tr w:rsidR="00DB474C" w:rsidRPr="00286B03" w14:paraId="6AE82A01" w14:textId="77777777" w:rsidTr="001410AB">
        <w:trPr>
          <w:trHeight w:val="300"/>
        </w:trPr>
        <w:tc>
          <w:tcPr>
            <w:tcW w:w="2119" w:type="dxa"/>
            <w:shd w:val="clear" w:color="auto" w:fill="auto"/>
            <w:noWrap/>
            <w:vAlign w:val="bottom"/>
            <w:hideMark/>
          </w:tcPr>
          <w:p w14:paraId="23BE9375"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Воробьевский</w:t>
            </w:r>
          </w:p>
        </w:tc>
        <w:tc>
          <w:tcPr>
            <w:tcW w:w="1856" w:type="dxa"/>
            <w:shd w:val="clear" w:color="auto" w:fill="auto"/>
            <w:noWrap/>
            <w:vAlign w:val="bottom"/>
            <w:hideMark/>
          </w:tcPr>
          <w:p w14:paraId="612BA5E6"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41,06</w:t>
            </w:r>
          </w:p>
        </w:tc>
        <w:tc>
          <w:tcPr>
            <w:tcW w:w="1608" w:type="dxa"/>
            <w:shd w:val="clear" w:color="auto" w:fill="auto"/>
            <w:noWrap/>
            <w:vAlign w:val="bottom"/>
            <w:hideMark/>
          </w:tcPr>
          <w:p w14:paraId="628863CF"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222,62</w:t>
            </w:r>
          </w:p>
        </w:tc>
        <w:tc>
          <w:tcPr>
            <w:tcW w:w="2209" w:type="dxa"/>
            <w:shd w:val="clear" w:color="auto" w:fill="auto"/>
            <w:noWrap/>
            <w:vAlign w:val="bottom"/>
            <w:hideMark/>
          </w:tcPr>
          <w:p w14:paraId="2569F4B0"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404,17</w:t>
            </w:r>
          </w:p>
        </w:tc>
        <w:tc>
          <w:tcPr>
            <w:tcW w:w="1553" w:type="dxa"/>
            <w:shd w:val="clear" w:color="auto" w:fill="auto"/>
            <w:noWrap/>
            <w:vAlign w:val="bottom"/>
            <w:hideMark/>
          </w:tcPr>
          <w:p w14:paraId="6CDCBA68"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w:t>
            </w:r>
          </w:p>
        </w:tc>
      </w:tr>
      <w:tr w:rsidR="00DB474C" w:rsidRPr="00286B03" w14:paraId="65855135" w14:textId="77777777" w:rsidTr="001410AB">
        <w:trPr>
          <w:trHeight w:val="300"/>
        </w:trPr>
        <w:tc>
          <w:tcPr>
            <w:tcW w:w="2119" w:type="dxa"/>
            <w:shd w:val="clear" w:color="auto" w:fill="auto"/>
            <w:noWrap/>
            <w:vAlign w:val="bottom"/>
            <w:hideMark/>
          </w:tcPr>
          <w:p w14:paraId="67A05CE0"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 xml:space="preserve">Грибановский </w:t>
            </w:r>
          </w:p>
        </w:tc>
        <w:tc>
          <w:tcPr>
            <w:tcW w:w="1856" w:type="dxa"/>
            <w:shd w:val="clear" w:color="auto" w:fill="auto"/>
            <w:noWrap/>
            <w:vAlign w:val="bottom"/>
            <w:hideMark/>
          </w:tcPr>
          <w:p w14:paraId="0E17E89A"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139,59</w:t>
            </w:r>
          </w:p>
        </w:tc>
        <w:tc>
          <w:tcPr>
            <w:tcW w:w="1608" w:type="dxa"/>
            <w:shd w:val="clear" w:color="auto" w:fill="auto"/>
            <w:noWrap/>
            <w:vAlign w:val="bottom"/>
            <w:hideMark/>
          </w:tcPr>
          <w:p w14:paraId="46430CA6"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863,06</w:t>
            </w:r>
          </w:p>
        </w:tc>
        <w:tc>
          <w:tcPr>
            <w:tcW w:w="2209" w:type="dxa"/>
            <w:shd w:val="clear" w:color="auto" w:fill="auto"/>
            <w:noWrap/>
            <w:vAlign w:val="bottom"/>
            <w:hideMark/>
          </w:tcPr>
          <w:p w14:paraId="154918B2"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2 279,50</w:t>
            </w:r>
          </w:p>
        </w:tc>
        <w:tc>
          <w:tcPr>
            <w:tcW w:w="1553" w:type="dxa"/>
            <w:shd w:val="clear" w:color="auto" w:fill="auto"/>
            <w:noWrap/>
            <w:vAlign w:val="bottom"/>
            <w:hideMark/>
          </w:tcPr>
          <w:p w14:paraId="304516B8"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13</w:t>
            </w:r>
          </w:p>
        </w:tc>
      </w:tr>
      <w:tr w:rsidR="00DB474C" w:rsidRPr="00286B03" w14:paraId="65E46EF8" w14:textId="77777777" w:rsidTr="001410AB">
        <w:trPr>
          <w:trHeight w:val="300"/>
        </w:trPr>
        <w:tc>
          <w:tcPr>
            <w:tcW w:w="2119" w:type="dxa"/>
            <w:shd w:val="clear" w:color="auto" w:fill="auto"/>
            <w:noWrap/>
            <w:vAlign w:val="bottom"/>
            <w:hideMark/>
          </w:tcPr>
          <w:p w14:paraId="46893937"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Калачеевский</w:t>
            </w:r>
          </w:p>
        </w:tc>
        <w:tc>
          <w:tcPr>
            <w:tcW w:w="1856" w:type="dxa"/>
            <w:shd w:val="clear" w:color="auto" w:fill="auto"/>
            <w:noWrap/>
            <w:vAlign w:val="bottom"/>
            <w:hideMark/>
          </w:tcPr>
          <w:p w14:paraId="1964E074"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37,69</w:t>
            </w:r>
          </w:p>
        </w:tc>
        <w:tc>
          <w:tcPr>
            <w:tcW w:w="1608" w:type="dxa"/>
            <w:shd w:val="clear" w:color="auto" w:fill="auto"/>
            <w:noWrap/>
            <w:vAlign w:val="bottom"/>
            <w:hideMark/>
          </w:tcPr>
          <w:p w14:paraId="4E038414"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854,01</w:t>
            </w:r>
          </w:p>
        </w:tc>
        <w:tc>
          <w:tcPr>
            <w:tcW w:w="2209" w:type="dxa"/>
            <w:shd w:val="clear" w:color="auto" w:fill="auto"/>
            <w:noWrap/>
            <w:vAlign w:val="bottom"/>
            <w:hideMark/>
          </w:tcPr>
          <w:p w14:paraId="77EEC71B"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6 060,00</w:t>
            </w:r>
          </w:p>
        </w:tc>
        <w:tc>
          <w:tcPr>
            <w:tcW w:w="1553" w:type="dxa"/>
            <w:shd w:val="clear" w:color="auto" w:fill="auto"/>
            <w:noWrap/>
            <w:vAlign w:val="bottom"/>
            <w:hideMark/>
          </w:tcPr>
          <w:p w14:paraId="1E5960D4"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70</w:t>
            </w:r>
          </w:p>
        </w:tc>
      </w:tr>
      <w:tr w:rsidR="00DB474C" w:rsidRPr="00286B03" w14:paraId="44D01AC2" w14:textId="77777777" w:rsidTr="001410AB">
        <w:trPr>
          <w:trHeight w:val="300"/>
        </w:trPr>
        <w:tc>
          <w:tcPr>
            <w:tcW w:w="2119" w:type="dxa"/>
            <w:shd w:val="clear" w:color="auto" w:fill="auto"/>
            <w:noWrap/>
            <w:vAlign w:val="bottom"/>
            <w:hideMark/>
          </w:tcPr>
          <w:p w14:paraId="078204A7"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Каменский</w:t>
            </w:r>
          </w:p>
        </w:tc>
        <w:tc>
          <w:tcPr>
            <w:tcW w:w="1856" w:type="dxa"/>
            <w:shd w:val="clear" w:color="auto" w:fill="auto"/>
            <w:noWrap/>
            <w:vAlign w:val="bottom"/>
            <w:hideMark/>
          </w:tcPr>
          <w:p w14:paraId="21F92501"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86,36</w:t>
            </w:r>
          </w:p>
        </w:tc>
        <w:tc>
          <w:tcPr>
            <w:tcW w:w="1608" w:type="dxa"/>
            <w:shd w:val="clear" w:color="auto" w:fill="auto"/>
            <w:noWrap/>
            <w:vAlign w:val="bottom"/>
            <w:hideMark/>
          </w:tcPr>
          <w:p w14:paraId="6E0D62E3"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878,57</w:t>
            </w:r>
          </w:p>
        </w:tc>
        <w:tc>
          <w:tcPr>
            <w:tcW w:w="2209" w:type="dxa"/>
            <w:shd w:val="clear" w:color="auto" w:fill="auto"/>
            <w:noWrap/>
            <w:vAlign w:val="bottom"/>
            <w:hideMark/>
          </w:tcPr>
          <w:p w14:paraId="1297A244"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2 033,87</w:t>
            </w:r>
          </w:p>
        </w:tc>
        <w:tc>
          <w:tcPr>
            <w:tcW w:w="1553" w:type="dxa"/>
            <w:shd w:val="clear" w:color="auto" w:fill="auto"/>
            <w:noWrap/>
            <w:vAlign w:val="bottom"/>
            <w:hideMark/>
          </w:tcPr>
          <w:p w14:paraId="5E38D1A9"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43</w:t>
            </w:r>
          </w:p>
        </w:tc>
      </w:tr>
      <w:tr w:rsidR="00DB474C" w:rsidRPr="00286B03" w14:paraId="48339930" w14:textId="77777777" w:rsidTr="001410AB">
        <w:trPr>
          <w:trHeight w:val="300"/>
        </w:trPr>
        <w:tc>
          <w:tcPr>
            <w:tcW w:w="2119" w:type="dxa"/>
            <w:shd w:val="clear" w:color="auto" w:fill="auto"/>
            <w:noWrap/>
            <w:vAlign w:val="bottom"/>
            <w:hideMark/>
          </w:tcPr>
          <w:p w14:paraId="7E9F608F"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Кантемировский</w:t>
            </w:r>
          </w:p>
        </w:tc>
        <w:tc>
          <w:tcPr>
            <w:tcW w:w="1856" w:type="dxa"/>
            <w:shd w:val="clear" w:color="auto" w:fill="auto"/>
            <w:noWrap/>
            <w:vAlign w:val="bottom"/>
            <w:hideMark/>
          </w:tcPr>
          <w:p w14:paraId="43485738"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40,40</w:t>
            </w:r>
          </w:p>
        </w:tc>
        <w:tc>
          <w:tcPr>
            <w:tcW w:w="1608" w:type="dxa"/>
            <w:shd w:val="clear" w:color="auto" w:fill="auto"/>
            <w:noWrap/>
            <w:vAlign w:val="bottom"/>
            <w:hideMark/>
          </w:tcPr>
          <w:p w14:paraId="4946D031"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1 246,28</w:t>
            </w:r>
          </w:p>
        </w:tc>
        <w:tc>
          <w:tcPr>
            <w:tcW w:w="2209" w:type="dxa"/>
            <w:shd w:val="clear" w:color="auto" w:fill="auto"/>
            <w:noWrap/>
            <w:vAlign w:val="bottom"/>
            <w:hideMark/>
          </w:tcPr>
          <w:p w14:paraId="3CADC144"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4 030,25</w:t>
            </w:r>
          </w:p>
        </w:tc>
        <w:tc>
          <w:tcPr>
            <w:tcW w:w="1553" w:type="dxa"/>
            <w:shd w:val="clear" w:color="auto" w:fill="auto"/>
            <w:noWrap/>
            <w:vAlign w:val="bottom"/>
            <w:hideMark/>
          </w:tcPr>
          <w:p w14:paraId="70DC22E5"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35</w:t>
            </w:r>
          </w:p>
        </w:tc>
      </w:tr>
      <w:tr w:rsidR="00DB474C" w:rsidRPr="00286B03" w14:paraId="6D85CFB8" w14:textId="77777777" w:rsidTr="001410AB">
        <w:trPr>
          <w:trHeight w:val="300"/>
        </w:trPr>
        <w:tc>
          <w:tcPr>
            <w:tcW w:w="2119" w:type="dxa"/>
            <w:shd w:val="clear" w:color="auto" w:fill="auto"/>
            <w:noWrap/>
            <w:vAlign w:val="bottom"/>
            <w:hideMark/>
          </w:tcPr>
          <w:p w14:paraId="7E8892C9"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Каширский</w:t>
            </w:r>
          </w:p>
        </w:tc>
        <w:tc>
          <w:tcPr>
            <w:tcW w:w="1856" w:type="dxa"/>
            <w:shd w:val="clear" w:color="auto" w:fill="auto"/>
            <w:noWrap/>
            <w:vAlign w:val="bottom"/>
            <w:hideMark/>
          </w:tcPr>
          <w:p w14:paraId="58742CBE"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232,71</w:t>
            </w:r>
          </w:p>
        </w:tc>
        <w:tc>
          <w:tcPr>
            <w:tcW w:w="1608" w:type="dxa"/>
            <w:shd w:val="clear" w:color="auto" w:fill="auto"/>
            <w:noWrap/>
            <w:vAlign w:val="bottom"/>
            <w:hideMark/>
          </w:tcPr>
          <w:p w14:paraId="7BE55B72"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600,10</w:t>
            </w:r>
          </w:p>
        </w:tc>
        <w:tc>
          <w:tcPr>
            <w:tcW w:w="2209" w:type="dxa"/>
            <w:shd w:val="clear" w:color="auto" w:fill="auto"/>
            <w:noWrap/>
            <w:vAlign w:val="bottom"/>
            <w:hideMark/>
          </w:tcPr>
          <w:p w14:paraId="28F2303B"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1 402,77</w:t>
            </w:r>
          </w:p>
        </w:tc>
        <w:tc>
          <w:tcPr>
            <w:tcW w:w="1553" w:type="dxa"/>
            <w:shd w:val="clear" w:color="auto" w:fill="auto"/>
            <w:noWrap/>
            <w:vAlign w:val="bottom"/>
            <w:hideMark/>
          </w:tcPr>
          <w:p w14:paraId="6E311F2C"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4</w:t>
            </w:r>
          </w:p>
        </w:tc>
      </w:tr>
      <w:tr w:rsidR="00DB474C" w:rsidRPr="00286B03" w14:paraId="47F2F57C" w14:textId="77777777" w:rsidTr="001410AB">
        <w:trPr>
          <w:trHeight w:val="300"/>
        </w:trPr>
        <w:tc>
          <w:tcPr>
            <w:tcW w:w="2119" w:type="dxa"/>
            <w:shd w:val="clear" w:color="auto" w:fill="auto"/>
            <w:noWrap/>
            <w:vAlign w:val="bottom"/>
            <w:hideMark/>
          </w:tcPr>
          <w:p w14:paraId="417EC60C"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Лискинский</w:t>
            </w:r>
          </w:p>
        </w:tc>
        <w:tc>
          <w:tcPr>
            <w:tcW w:w="1856" w:type="dxa"/>
            <w:shd w:val="clear" w:color="auto" w:fill="auto"/>
            <w:noWrap/>
            <w:vAlign w:val="bottom"/>
            <w:hideMark/>
          </w:tcPr>
          <w:p w14:paraId="37808C1B"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10,83</w:t>
            </w:r>
          </w:p>
        </w:tc>
        <w:tc>
          <w:tcPr>
            <w:tcW w:w="1608" w:type="dxa"/>
            <w:shd w:val="clear" w:color="auto" w:fill="auto"/>
            <w:noWrap/>
            <w:vAlign w:val="bottom"/>
            <w:hideMark/>
          </w:tcPr>
          <w:p w14:paraId="598BC82A"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2 297,29</w:t>
            </w:r>
          </w:p>
        </w:tc>
        <w:tc>
          <w:tcPr>
            <w:tcW w:w="2209" w:type="dxa"/>
            <w:shd w:val="clear" w:color="auto" w:fill="auto"/>
            <w:noWrap/>
            <w:vAlign w:val="bottom"/>
            <w:hideMark/>
          </w:tcPr>
          <w:p w14:paraId="628AE3B9"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12 946,15</w:t>
            </w:r>
          </w:p>
        </w:tc>
        <w:tc>
          <w:tcPr>
            <w:tcW w:w="1553" w:type="dxa"/>
            <w:shd w:val="clear" w:color="auto" w:fill="auto"/>
            <w:noWrap/>
            <w:vAlign w:val="bottom"/>
            <w:hideMark/>
          </w:tcPr>
          <w:p w14:paraId="054F22B4"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651</w:t>
            </w:r>
          </w:p>
        </w:tc>
      </w:tr>
      <w:tr w:rsidR="00DB474C" w:rsidRPr="00286B03" w14:paraId="16AAF018" w14:textId="77777777" w:rsidTr="001410AB">
        <w:trPr>
          <w:trHeight w:val="300"/>
        </w:trPr>
        <w:tc>
          <w:tcPr>
            <w:tcW w:w="2119" w:type="dxa"/>
            <w:shd w:val="clear" w:color="auto" w:fill="auto"/>
            <w:noWrap/>
            <w:vAlign w:val="bottom"/>
            <w:hideMark/>
          </w:tcPr>
          <w:p w14:paraId="4EC06253"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Нижнедевицкий</w:t>
            </w:r>
          </w:p>
        </w:tc>
        <w:tc>
          <w:tcPr>
            <w:tcW w:w="1856" w:type="dxa"/>
            <w:shd w:val="clear" w:color="auto" w:fill="auto"/>
            <w:noWrap/>
            <w:vAlign w:val="bottom"/>
            <w:hideMark/>
          </w:tcPr>
          <w:p w14:paraId="4588E08B"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150,00</w:t>
            </w:r>
          </w:p>
        </w:tc>
        <w:tc>
          <w:tcPr>
            <w:tcW w:w="1608" w:type="dxa"/>
            <w:shd w:val="clear" w:color="auto" w:fill="auto"/>
            <w:noWrap/>
            <w:vAlign w:val="bottom"/>
            <w:hideMark/>
          </w:tcPr>
          <w:p w14:paraId="2F1B1EE5"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1 173,45</w:t>
            </w:r>
          </w:p>
        </w:tc>
        <w:tc>
          <w:tcPr>
            <w:tcW w:w="2209" w:type="dxa"/>
            <w:shd w:val="clear" w:color="auto" w:fill="auto"/>
            <w:noWrap/>
            <w:vAlign w:val="bottom"/>
            <w:hideMark/>
          </w:tcPr>
          <w:p w14:paraId="3E7D0E55"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2 852,94</w:t>
            </w:r>
          </w:p>
        </w:tc>
        <w:tc>
          <w:tcPr>
            <w:tcW w:w="1553" w:type="dxa"/>
            <w:shd w:val="clear" w:color="auto" w:fill="auto"/>
            <w:noWrap/>
            <w:vAlign w:val="bottom"/>
            <w:hideMark/>
          </w:tcPr>
          <w:p w14:paraId="5E9BB63B"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7</w:t>
            </w:r>
          </w:p>
        </w:tc>
      </w:tr>
      <w:tr w:rsidR="00DB474C" w:rsidRPr="00286B03" w14:paraId="14589D64" w14:textId="77777777" w:rsidTr="001410AB">
        <w:trPr>
          <w:trHeight w:val="300"/>
        </w:trPr>
        <w:tc>
          <w:tcPr>
            <w:tcW w:w="2119" w:type="dxa"/>
            <w:shd w:val="clear" w:color="auto" w:fill="auto"/>
            <w:noWrap/>
            <w:vAlign w:val="bottom"/>
            <w:hideMark/>
          </w:tcPr>
          <w:p w14:paraId="36C98975"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Новоусманский</w:t>
            </w:r>
          </w:p>
        </w:tc>
        <w:tc>
          <w:tcPr>
            <w:tcW w:w="1856" w:type="dxa"/>
            <w:shd w:val="clear" w:color="auto" w:fill="auto"/>
            <w:noWrap/>
            <w:vAlign w:val="bottom"/>
            <w:hideMark/>
          </w:tcPr>
          <w:p w14:paraId="6CAB24F1"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19,19</w:t>
            </w:r>
          </w:p>
        </w:tc>
        <w:tc>
          <w:tcPr>
            <w:tcW w:w="1608" w:type="dxa"/>
            <w:shd w:val="clear" w:color="auto" w:fill="auto"/>
            <w:noWrap/>
            <w:vAlign w:val="bottom"/>
            <w:hideMark/>
          </w:tcPr>
          <w:p w14:paraId="7CB530C7"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2 442,44</w:t>
            </w:r>
          </w:p>
        </w:tc>
        <w:tc>
          <w:tcPr>
            <w:tcW w:w="2209" w:type="dxa"/>
            <w:shd w:val="clear" w:color="auto" w:fill="auto"/>
            <w:noWrap/>
            <w:vAlign w:val="bottom"/>
            <w:hideMark/>
          </w:tcPr>
          <w:p w14:paraId="4E1D2C9E"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10 725,00</w:t>
            </w:r>
          </w:p>
        </w:tc>
        <w:tc>
          <w:tcPr>
            <w:tcW w:w="1553" w:type="dxa"/>
            <w:shd w:val="clear" w:color="auto" w:fill="auto"/>
            <w:noWrap/>
            <w:vAlign w:val="bottom"/>
            <w:hideMark/>
          </w:tcPr>
          <w:p w14:paraId="504579A5"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290</w:t>
            </w:r>
          </w:p>
        </w:tc>
      </w:tr>
      <w:tr w:rsidR="00DB474C" w:rsidRPr="00286B03" w14:paraId="3ECD4E41" w14:textId="77777777" w:rsidTr="001410AB">
        <w:trPr>
          <w:trHeight w:val="300"/>
        </w:trPr>
        <w:tc>
          <w:tcPr>
            <w:tcW w:w="2119" w:type="dxa"/>
            <w:shd w:val="clear" w:color="auto" w:fill="auto"/>
            <w:noWrap/>
            <w:vAlign w:val="bottom"/>
            <w:hideMark/>
          </w:tcPr>
          <w:p w14:paraId="269AAEC4"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Новохоперский</w:t>
            </w:r>
          </w:p>
        </w:tc>
        <w:tc>
          <w:tcPr>
            <w:tcW w:w="1856" w:type="dxa"/>
            <w:shd w:val="clear" w:color="auto" w:fill="auto"/>
            <w:noWrap/>
            <w:vAlign w:val="bottom"/>
            <w:hideMark/>
          </w:tcPr>
          <w:p w14:paraId="172F59D7"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183,73</w:t>
            </w:r>
          </w:p>
        </w:tc>
        <w:tc>
          <w:tcPr>
            <w:tcW w:w="1608" w:type="dxa"/>
            <w:shd w:val="clear" w:color="auto" w:fill="auto"/>
            <w:noWrap/>
            <w:vAlign w:val="bottom"/>
            <w:hideMark/>
          </w:tcPr>
          <w:p w14:paraId="0E964F45"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1 237,65</w:t>
            </w:r>
          </w:p>
        </w:tc>
        <w:tc>
          <w:tcPr>
            <w:tcW w:w="2209" w:type="dxa"/>
            <w:shd w:val="clear" w:color="auto" w:fill="auto"/>
            <w:noWrap/>
            <w:vAlign w:val="bottom"/>
            <w:hideMark/>
          </w:tcPr>
          <w:p w14:paraId="376BCC74"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8 575,00</w:t>
            </w:r>
          </w:p>
        </w:tc>
        <w:tc>
          <w:tcPr>
            <w:tcW w:w="1553" w:type="dxa"/>
            <w:shd w:val="clear" w:color="auto" w:fill="auto"/>
            <w:noWrap/>
            <w:vAlign w:val="bottom"/>
            <w:hideMark/>
          </w:tcPr>
          <w:p w14:paraId="3D8F556F"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18</w:t>
            </w:r>
          </w:p>
        </w:tc>
      </w:tr>
      <w:tr w:rsidR="00DB474C" w:rsidRPr="00286B03" w14:paraId="5B43E29C" w14:textId="77777777" w:rsidTr="001410AB">
        <w:trPr>
          <w:trHeight w:val="300"/>
        </w:trPr>
        <w:tc>
          <w:tcPr>
            <w:tcW w:w="2119" w:type="dxa"/>
            <w:shd w:val="clear" w:color="auto" w:fill="auto"/>
            <w:noWrap/>
            <w:vAlign w:val="bottom"/>
            <w:hideMark/>
          </w:tcPr>
          <w:p w14:paraId="653FDFAA"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Ольховатский</w:t>
            </w:r>
          </w:p>
        </w:tc>
        <w:tc>
          <w:tcPr>
            <w:tcW w:w="1856" w:type="dxa"/>
            <w:shd w:val="clear" w:color="auto" w:fill="auto"/>
            <w:noWrap/>
            <w:vAlign w:val="bottom"/>
            <w:hideMark/>
          </w:tcPr>
          <w:p w14:paraId="5E74649B"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25,64</w:t>
            </w:r>
          </w:p>
        </w:tc>
        <w:tc>
          <w:tcPr>
            <w:tcW w:w="1608" w:type="dxa"/>
            <w:shd w:val="clear" w:color="auto" w:fill="auto"/>
            <w:noWrap/>
            <w:vAlign w:val="bottom"/>
            <w:hideMark/>
          </w:tcPr>
          <w:p w14:paraId="32448512"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1 937,45</w:t>
            </w:r>
          </w:p>
        </w:tc>
        <w:tc>
          <w:tcPr>
            <w:tcW w:w="2209" w:type="dxa"/>
            <w:shd w:val="clear" w:color="auto" w:fill="auto"/>
            <w:noWrap/>
            <w:vAlign w:val="bottom"/>
            <w:hideMark/>
          </w:tcPr>
          <w:p w14:paraId="09B1D98F"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7 372,00</w:t>
            </w:r>
          </w:p>
        </w:tc>
        <w:tc>
          <w:tcPr>
            <w:tcW w:w="1553" w:type="dxa"/>
            <w:shd w:val="clear" w:color="auto" w:fill="auto"/>
            <w:noWrap/>
            <w:vAlign w:val="bottom"/>
            <w:hideMark/>
          </w:tcPr>
          <w:p w14:paraId="06F40A82"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38</w:t>
            </w:r>
          </w:p>
        </w:tc>
      </w:tr>
      <w:tr w:rsidR="00DB474C" w:rsidRPr="00286B03" w14:paraId="74E80ED0" w14:textId="77777777" w:rsidTr="001410AB">
        <w:trPr>
          <w:trHeight w:val="300"/>
        </w:trPr>
        <w:tc>
          <w:tcPr>
            <w:tcW w:w="2119" w:type="dxa"/>
            <w:shd w:val="clear" w:color="auto" w:fill="auto"/>
            <w:noWrap/>
            <w:vAlign w:val="bottom"/>
            <w:hideMark/>
          </w:tcPr>
          <w:p w14:paraId="56595C27"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Острогожский</w:t>
            </w:r>
          </w:p>
        </w:tc>
        <w:tc>
          <w:tcPr>
            <w:tcW w:w="1856" w:type="dxa"/>
            <w:shd w:val="clear" w:color="auto" w:fill="auto"/>
            <w:noWrap/>
            <w:vAlign w:val="bottom"/>
            <w:hideMark/>
          </w:tcPr>
          <w:p w14:paraId="3D312A12"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136,77</w:t>
            </w:r>
          </w:p>
        </w:tc>
        <w:tc>
          <w:tcPr>
            <w:tcW w:w="1608" w:type="dxa"/>
            <w:shd w:val="clear" w:color="auto" w:fill="auto"/>
            <w:noWrap/>
            <w:vAlign w:val="bottom"/>
            <w:hideMark/>
          </w:tcPr>
          <w:p w14:paraId="2227CF94"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1 836,71</w:t>
            </w:r>
          </w:p>
        </w:tc>
        <w:tc>
          <w:tcPr>
            <w:tcW w:w="2209" w:type="dxa"/>
            <w:shd w:val="clear" w:color="auto" w:fill="auto"/>
            <w:noWrap/>
            <w:vAlign w:val="bottom"/>
            <w:hideMark/>
          </w:tcPr>
          <w:p w14:paraId="6C532ED7"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5 816,25</w:t>
            </w:r>
          </w:p>
        </w:tc>
        <w:tc>
          <w:tcPr>
            <w:tcW w:w="1553" w:type="dxa"/>
            <w:shd w:val="clear" w:color="auto" w:fill="auto"/>
            <w:noWrap/>
            <w:vAlign w:val="bottom"/>
            <w:hideMark/>
          </w:tcPr>
          <w:p w14:paraId="4E38D249"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116</w:t>
            </w:r>
          </w:p>
        </w:tc>
      </w:tr>
      <w:tr w:rsidR="00DB474C" w:rsidRPr="00286B03" w14:paraId="76D439CC" w14:textId="77777777" w:rsidTr="001410AB">
        <w:trPr>
          <w:trHeight w:val="300"/>
        </w:trPr>
        <w:tc>
          <w:tcPr>
            <w:tcW w:w="2119" w:type="dxa"/>
            <w:shd w:val="clear" w:color="auto" w:fill="auto"/>
            <w:noWrap/>
            <w:vAlign w:val="bottom"/>
            <w:hideMark/>
          </w:tcPr>
          <w:p w14:paraId="058D28AB"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Павловский</w:t>
            </w:r>
          </w:p>
        </w:tc>
        <w:tc>
          <w:tcPr>
            <w:tcW w:w="1856" w:type="dxa"/>
            <w:shd w:val="clear" w:color="auto" w:fill="auto"/>
            <w:noWrap/>
            <w:vAlign w:val="bottom"/>
            <w:hideMark/>
          </w:tcPr>
          <w:p w14:paraId="135DD934"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12,25</w:t>
            </w:r>
          </w:p>
        </w:tc>
        <w:tc>
          <w:tcPr>
            <w:tcW w:w="1608" w:type="dxa"/>
            <w:shd w:val="clear" w:color="auto" w:fill="auto"/>
            <w:noWrap/>
            <w:vAlign w:val="bottom"/>
            <w:hideMark/>
          </w:tcPr>
          <w:p w14:paraId="12625265"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1 519,43</w:t>
            </w:r>
          </w:p>
        </w:tc>
        <w:tc>
          <w:tcPr>
            <w:tcW w:w="2209" w:type="dxa"/>
            <w:shd w:val="clear" w:color="auto" w:fill="auto"/>
            <w:noWrap/>
            <w:vAlign w:val="bottom"/>
            <w:hideMark/>
          </w:tcPr>
          <w:p w14:paraId="60FFB080"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12 625,00</w:t>
            </w:r>
          </w:p>
        </w:tc>
        <w:tc>
          <w:tcPr>
            <w:tcW w:w="1553" w:type="dxa"/>
            <w:shd w:val="clear" w:color="auto" w:fill="auto"/>
            <w:noWrap/>
            <w:vAlign w:val="bottom"/>
            <w:hideMark/>
          </w:tcPr>
          <w:p w14:paraId="4C230719"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60</w:t>
            </w:r>
          </w:p>
        </w:tc>
      </w:tr>
      <w:tr w:rsidR="00DB474C" w:rsidRPr="00286B03" w14:paraId="2ACFFA11" w14:textId="77777777" w:rsidTr="001410AB">
        <w:trPr>
          <w:trHeight w:val="300"/>
        </w:trPr>
        <w:tc>
          <w:tcPr>
            <w:tcW w:w="2119" w:type="dxa"/>
            <w:shd w:val="clear" w:color="auto" w:fill="auto"/>
            <w:noWrap/>
            <w:vAlign w:val="bottom"/>
            <w:hideMark/>
          </w:tcPr>
          <w:p w14:paraId="46BA40A5"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Панинский</w:t>
            </w:r>
          </w:p>
        </w:tc>
        <w:tc>
          <w:tcPr>
            <w:tcW w:w="1856" w:type="dxa"/>
            <w:shd w:val="clear" w:color="auto" w:fill="auto"/>
            <w:noWrap/>
            <w:vAlign w:val="bottom"/>
            <w:hideMark/>
          </w:tcPr>
          <w:p w14:paraId="724EC564"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42,09</w:t>
            </w:r>
          </w:p>
        </w:tc>
        <w:tc>
          <w:tcPr>
            <w:tcW w:w="1608" w:type="dxa"/>
            <w:shd w:val="clear" w:color="auto" w:fill="auto"/>
            <w:noWrap/>
            <w:vAlign w:val="bottom"/>
            <w:hideMark/>
          </w:tcPr>
          <w:p w14:paraId="52F78A28"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860,51</w:t>
            </w:r>
          </w:p>
        </w:tc>
        <w:tc>
          <w:tcPr>
            <w:tcW w:w="2209" w:type="dxa"/>
            <w:shd w:val="clear" w:color="auto" w:fill="auto"/>
            <w:noWrap/>
            <w:vAlign w:val="bottom"/>
            <w:hideMark/>
          </w:tcPr>
          <w:p w14:paraId="7D7C120B"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1 818,16</w:t>
            </w:r>
          </w:p>
        </w:tc>
        <w:tc>
          <w:tcPr>
            <w:tcW w:w="1553" w:type="dxa"/>
            <w:shd w:val="clear" w:color="auto" w:fill="auto"/>
            <w:noWrap/>
            <w:vAlign w:val="bottom"/>
            <w:hideMark/>
          </w:tcPr>
          <w:p w14:paraId="1BCD3752"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13</w:t>
            </w:r>
          </w:p>
        </w:tc>
      </w:tr>
      <w:tr w:rsidR="00DB474C" w:rsidRPr="00286B03" w14:paraId="091F8A99" w14:textId="77777777" w:rsidTr="001410AB">
        <w:trPr>
          <w:trHeight w:val="300"/>
        </w:trPr>
        <w:tc>
          <w:tcPr>
            <w:tcW w:w="2119" w:type="dxa"/>
            <w:shd w:val="clear" w:color="auto" w:fill="auto"/>
            <w:noWrap/>
            <w:vAlign w:val="bottom"/>
            <w:hideMark/>
          </w:tcPr>
          <w:p w14:paraId="07B91746"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Петропавловский</w:t>
            </w:r>
          </w:p>
        </w:tc>
        <w:tc>
          <w:tcPr>
            <w:tcW w:w="1856" w:type="dxa"/>
            <w:shd w:val="clear" w:color="auto" w:fill="auto"/>
            <w:noWrap/>
            <w:vAlign w:val="bottom"/>
            <w:hideMark/>
          </w:tcPr>
          <w:p w14:paraId="62BE9BA3"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141,67</w:t>
            </w:r>
          </w:p>
        </w:tc>
        <w:tc>
          <w:tcPr>
            <w:tcW w:w="1608" w:type="dxa"/>
            <w:shd w:val="clear" w:color="auto" w:fill="auto"/>
            <w:noWrap/>
            <w:vAlign w:val="bottom"/>
            <w:hideMark/>
          </w:tcPr>
          <w:p w14:paraId="4565B9CB"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687,96</w:t>
            </w:r>
          </w:p>
        </w:tc>
        <w:tc>
          <w:tcPr>
            <w:tcW w:w="2209" w:type="dxa"/>
            <w:shd w:val="clear" w:color="auto" w:fill="auto"/>
            <w:noWrap/>
            <w:vAlign w:val="bottom"/>
            <w:hideMark/>
          </w:tcPr>
          <w:p w14:paraId="6A958B11"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1 709,63</w:t>
            </w:r>
          </w:p>
        </w:tc>
        <w:tc>
          <w:tcPr>
            <w:tcW w:w="1553" w:type="dxa"/>
            <w:shd w:val="clear" w:color="auto" w:fill="auto"/>
            <w:noWrap/>
            <w:vAlign w:val="bottom"/>
            <w:hideMark/>
          </w:tcPr>
          <w:p w14:paraId="060501B7"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9</w:t>
            </w:r>
          </w:p>
        </w:tc>
      </w:tr>
      <w:tr w:rsidR="00DB474C" w:rsidRPr="00286B03" w14:paraId="4D79C827" w14:textId="77777777" w:rsidTr="001410AB">
        <w:trPr>
          <w:trHeight w:val="300"/>
        </w:trPr>
        <w:tc>
          <w:tcPr>
            <w:tcW w:w="2119" w:type="dxa"/>
            <w:shd w:val="clear" w:color="auto" w:fill="auto"/>
            <w:noWrap/>
            <w:vAlign w:val="bottom"/>
            <w:hideMark/>
          </w:tcPr>
          <w:p w14:paraId="1A14BD24"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Поворинский</w:t>
            </w:r>
          </w:p>
        </w:tc>
        <w:tc>
          <w:tcPr>
            <w:tcW w:w="1856" w:type="dxa"/>
            <w:shd w:val="clear" w:color="auto" w:fill="auto"/>
            <w:noWrap/>
            <w:vAlign w:val="bottom"/>
            <w:hideMark/>
          </w:tcPr>
          <w:p w14:paraId="28A8D257"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11,64</w:t>
            </w:r>
          </w:p>
        </w:tc>
        <w:tc>
          <w:tcPr>
            <w:tcW w:w="1608" w:type="dxa"/>
            <w:shd w:val="clear" w:color="auto" w:fill="auto"/>
            <w:noWrap/>
            <w:vAlign w:val="bottom"/>
            <w:hideMark/>
          </w:tcPr>
          <w:p w14:paraId="6F9A1949"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948,14</w:t>
            </w:r>
          </w:p>
        </w:tc>
        <w:tc>
          <w:tcPr>
            <w:tcW w:w="2209" w:type="dxa"/>
            <w:shd w:val="clear" w:color="auto" w:fill="auto"/>
            <w:noWrap/>
            <w:vAlign w:val="bottom"/>
            <w:hideMark/>
          </w:tcPr>
          <w:p w14:paraId="05C902E1"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2 895,46</w:t>
            </w:r>
          </w:p>
        </w:tc>
        <w:tc>
          <w:tcPr>
            <w:tcW w:w="1553" w:type="dxa"/>
            <w:shd w:val="clear" w:color="auto" w:fill="auto"/>
            <w:noWrap/>
            <w:vAlign w:val="bottom"/>
            <w:hideMark/>
          </w:tcPr>
          <w:p w14:paraId="0B8020DF"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62</w:t>
            </w:r>
          </w:p>
        </w:tc>
      </w:tr>
      <w:tr w:rsidR="00DB474C" w:rsidRPr="00286B03" w14:paraId="3FE20674" w14:textId="77777777" w:rsidTr="001410AB">
        <w:trPr>
          <w:trHeight w:val="300"/>
        </w:trPr>
        <w:tc>
          <w:tcPr>
            <w:tcW w:w="2119" w:type="dxa"/>
            <w:shd w:val="clear" w:color="auto" w:fill="auto"/>
            <w:noWrap/>
            <w:vAlign w:val="bottom"/>
            <w:hideMark/>
          </w:tcPr>
          <w:p w14:paraId="54006266"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Подгоренский</w:t>
            </w:r>
          </w:p>
        </w:tc>
        <w:tc>
          <w:tcPr>
            <w:tcW w:w="1856" w:type="dxa"/>
            <w:shd w:val="clear" w:color="auto" w:fill="auto"/>
            <w:noWrap/>
            <w:vAlign w:val="bottom"/>
            <w:hideMark/>
          </w:tcPr>
          <w:p w14:paraId="2DCBC1EA"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126,93</w:t>
            </w:r>
          </w:p>
        </w:tc>
        <w:tc>
          <w:tcPr>
            <w:tcW w:w="1608" w:type="dxa"/>
            <w:shd w:val="clear" w:color="auto" w:fill="auto"/>
            <w:noWrap/>
            <w:vAlign w:val="bottom"/>
            <w:hideMark/>
          </w:tcPr>
          <w:p w14:paraId="7CDB0632"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851,78</w:t>
            </w:r>
          </w:p>
        </w:tc>
        <w:tc>
          <w:tcPr>
            <w:tcW w:w="2209" w:type="dxa"/>
            <w:shd w:val="clear" w:color="auto" w:fill="auto"/>
            <w:noWrap/>
            <w:vAlign w:val="bottom"/>
            <w:hideMark/>
          </w:tcPr>
          <w:p w14:paraId="7989A459"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3 171,15</w:t>
            </w:r>
          </w:p>
        </w:tc>
        <w:tc>
          <w:tcPr>
            <w:tcW w:w="1553" w:type="dxa"/>
            <w:shd w:val="clear" w:color="auto" w:fill="auto"/>
            <w:noWrap/>
            <w:vAlign w:val="bottom"/>
            <w:hideMark/>
          </w:tcPr>
          <w:p w14:paraId="3072D1A9"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74</w:t>
            </w:r>
          </w:p>
        </w:tc>
      </w:tr>
      <w:tr w:rsidR="00DB474C" w:rsidRPr="00286B03" w14:paraId="21FE2F7B" w14:textId="77777777" w:rsidTr="001410AB">
        <w:trPr>
          <w:trHeight w:val="300"/>
        </w:trPr>
        <w:tc>
          <w:tcPr>
            <w:tcW w:w="2119" w:type="dxa"/>
            <w:shd w:val="clear" w:color="auto" w:fill="auto"/>
            <w:noWrap/>
            <w:vAlign w:val="bottom"/>
            <w:hideMark/>
          </w:tcPr>
          <w:p w14:paraId="5D1E639C"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Рамонский</w:t>
            </w:r>
          </w:p>
        </w:tc>
        <w:tc>
          <w:tcPr>
            <w:tcW w:w="1856" w:type="dxa"/>
            <w:shd w:val="clear" w:color="auto" w:fill="auto"/>
            <w:noWrap/>
            <w:vAlign w:val="bottom"/>
            <w:hideMark/>
          </w:tcPr>
          <w:p w14:paraId="71E03ED8"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163,73</w:t>
            </w:r>
          </w:p>
        </w:tc>
        <w:tc>
          <w:tcPr>
            <w:tcW w:w="1608" w:type="dxa"/>
            <w:shd w:val="clear" w:color="auto" w:fill="auto"/>
            <w:noWrap/>
            <w:vAlign w:val="bottom"/>
            <w:hideMark/>
          </w:tcPr>
          <w:p w14:paraId="42D7E93E"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1 732,61</w:t>
            </w:r>
          </w:p>
        </w:tc>
        <w:tc>
          <w:tcPr>
            <w:tcW w:w="2209" w:type="dxa"/>
            <w:shd w:val="clear" w:color="auto" w:fill="auto"/>
            <w:noWrap/>
            <w:vAlign w:val="bottom"/>
            <w:hideMark/>
          </w:tcPr>
          <w:p w14:paraId="701BC444"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8 333,33</w:t>
            </w:r>
          </w:p>
        </w:tc>
        <w:tc>
          <w:tcPr>
            <w:tcW w:w="1553" w:type="dxa"/>
            <w:shd w:val="clear" w:color="auto" w:fill="auto"/>
            <w:noWrap/>
            <w:vAlign w:val="bottom"/>
            <w:hideMark/>
          </w:tcPr>
          <w:p w14:paraId="74454F40"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123</w:t>
            </w:r>
          </w:p>
        </w:tc>
      </w:tr>
      <w:tr w:rsidR="00DB474C" w:rsidRPr="00286B03" w14:paraId="6D5A6516" w14:textId="77777777" w:rsidTr="001410AB">
        <w:trPr>
          <w:trHeight w:val="300"/>
        </w:trPr>
        <w:tc>
          <w:tcPr>
            <w:tcW w:w="2119" w:type="dxa"/>
            <w:shd w:val="clear" w:color="auto" w:fill="auto"/>
            <w:noWrap/>
            <w:vAlign w:val="bottom"/>
            <w:hideMark/>
          </w:tcPr>
          <w:p w14:paraId="2F704472"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Репьевский</w:t>
            </w:r>
          </w:p>
        </w:tc>
        <w:tc>
          <w:tcPr>
            <w:tcW w:w="1856" w:type="dxa"/>
            <w:shd w:val="clear" w:color="auto" w:fill="auto"/>
            <w:noWrap/>
            <w:vAlign w:val="bottom"/>
            <w:hideMark/>
          </w:tcPr>
          <w:p w14:paraId="00FE9D30"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67,30</w:t>
            </w:r>
          </w:p>
        </w:tc>
        <w:tc>
          <w:tcPr>
            <w:tcW w:w="1608" w:type="dxa"/>
            <w:shd w:val="clear" w:color="auto" w:fill="auto"/>
            <w:noWrap/>
            <w:vAlign w:val="bottom"/>
            <w:hideMark/>
          </w:tcPr>
          <w:p w14:paraId="42E0F0C3"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425,65</w:t>
            </w:r>
          </w:p>
        </w:tc>
        <w:tc>
          <w:tcPr>
            <w:tcW w:w="2209" w:type="dxa"/>
            <w:shd w:val="clear" w:color="auto" w:fill="auto"/>
            <w:noWrap/>
            <w:vAlign w:val="bottom"/>
            <w:hideMark/>
          </w:tcPr>
          <w:p w14:paraId="4A8136C4"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890,91</w:t>
            </w:r>
          </w:p>
        </w:tc>
        <w:tc>
          <w:tcPr>
            <w:tcW w:w="1553" w:type="dxa"/>
            <w:shd w:val="clear" w:color="auto" w:fill="auto"/>
            <w:noWrap/>
            <w:vAlign w:val="bottom"/>
            <w:hideMark/>
          </w:tcPr>
          <w:p w14:paraId="5A1EDEE9"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7</w:t>
            </w:r>
          </w:p>
        </w:tc>
      </w:tr>
      <w:tr w:rsidR="00DB474C" w:rsidRPr="00286B03" w14:paraId="6203D1F8" w14:textId="77777777" w:rsidTr="001410AB">
        <w:trPr>
          <w:trHeight w:val="300"/>
        </w:trPr>
        <w:tc>
          <w:tcPr>
            <w:tcW w:w="2119" w:type="dxa"/>
            <w:shd w:val="clear" w:color="auto" w:fill="auto"/>
            <w:noWrap/>
            <w:vAlign w:val="bottom"/>
            <w:hideMark/>
          </w:tcPr>
          <w:p w14:paraId="3FE4F208"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Россошанский</w:t>
            </w:r>
          </w:p>
        </w:tc>
        <w:tc>
          <w:tcPr>
            <w:tcW w:w="1856" w:type="dxa"/>
            <w:shd w:val="clear" w:color="auto" w:fill="auto"/>
            <w:noWrap/>
            <w:vAlign w:val="bottom"/>
            <w:hideMark/>
          </w:tcPr>
          <w:p w14:paraId="4D25EC41"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38,84</w:t>
            </w:r>
          </w:p>
        </w:tc>
        <w:tc>
          <w:tcPr>
            <w:tcW w:w="1608" w:type="dxa"/>
            <w:shd w:val="clear" w:color="auto" w:fill="auto"/>
            <w:noWrap/>
            <w:vAlign w:val="bottom"/>
            <w:hideMark/>
          </w:tcPr>
          <w:p w14:paraId="42E5612A"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2 237,03</w:t>
            </w:r>
          </w:p>
        </w:tc>
        <w:tc>
          <w:tcPr>
            <w:tcW w:w="2209" w:type="dxa"/>
            <w:shd w:val="clear" w:color="auto" w:fill="auto"/>
            <w:noWrap/>
            <w:vAlign w:val="bottom"/>
            <w:hideMark/>
          </w:tcPr>
          <w:p w14:paraId="74CD6325"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14 428,57</w:t>
            </w:r>
          </w:p>
        </w:tc>
        <w:tc>
          <w:tcPr>
            <w:tcW w:w="1553" w:type="dxa"/>
            <w:shd w:val="clear" w:color="auto" w:fill="auto"/>
            <w:noWrap/>
            <w:vAlign w:val="bottom"/>
            <w:hideMark/>
          </w:tcPr>
          <w:p w14:paraId="066168F2"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353</w:t>
            </w:r>
          </w:p>
        </w:tc>
      </w:tr>
      <w:tr w:rsidR="00DB474C" w:rsidRPr="00286B03" w14:paraId="24C01F52" w14:textId="77777777" w:rsidTr="001410AB">
        <w:trPr>
          <w:trHeight w:val="300"/>
        </w:trPr>
        <w:tc>
          <w:tcPr>
            <w:tcW w:w="2119" w:type="dxa"/>
            <w:shd w:val="clear" w:color="auto" w:fill="auto"/>
            <w:noWrap/>
            <w:vAlign w:val="bottom"/>
            <w:hideMark/>
          </w:tcPr>
          <w:p w14:paraId="479B10ED"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Семилукский</w:t>
            </w:r>
          </w:p>
        </w:tc>
        <w:tc>
          <w:tcPr>
            <w:tcW w:w="1856" w:type="dxa"/>
            <w:shd w:val="clear" w:color="auto" w:fill="auto"/>
            <w:noWrap/>
            <w:vAlign w:val="bottom"/>
            <w:hideMark/>
          </w:tcPr>
          <w:p w14:paraId="22E53B47"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86,63</w:t>
            </w:r>
          </w:p>
        </w:tc>
        <w:tc>
          <w:tcPr>
            <w:tcW w:w="1608" w:type="dxa"/>
            <w:shd w:val="clear" w:color="auto" w:fill="auto"/>
            <w:noWrap/>
            <w:vAlign w:val="bottom"/>
            <w:hideMark/>
          </w:tcPr>
          <w:p w14:paraId="4F1FCAD7"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2 558,16</w:t>
            </w:r>
          </w:p>
        </w:tc>
        <w:tc>
          <w:tcPr>
            <w:tcW w:w="2209" w:type="dxa"/>
            <w:shd w:val="clear" w:color="auto" w:fill="auto"/>
            <w:noWrap/>
            <w:vAlign w:val="bottom"/>
            <w:hideMark/>
          </w:tcPr>
          <w:p w14:paraId="11B56EDA"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15 150,00</w:t>
            </w:r>
          </w:p>
        </w:tc>
        <w:tc>
          <w:tcPr>
            <w:tcW w:w="1553" w:type="dxa"/>
            <w:shd w:val="clear" w:color="auto" w:fill="auto"/>
            <w:noWrap/>
            <w:vAlign w:val="bottom"/>
            <w:hideMark/>
          </w:tcPr>
          <w:p w14:paraId="786A6560"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344</w:t>
            </w:r>
          </w:p>
        </w:tc>
      </w:tr>
      <w:tr w:rsidR="00DB474C" w:rsidRPr="00286B03" w14:paraId="0621620A" w14:textId="77777777" w:rsidTr="001410AB">
        <w:trPr>
          <w:trHeight w:val="300"/>
        </w:trPr>
        <w:tc>
          <w:tcPr>
            <w:tcW w:w="2119" w:type="dxa"/>
            <w:shd w:val="clear" w:color="auto" w:fill="auto"/>
            <w:noWrap/>
            <w:vAlign w:val="bottom"/>
            <w:hideMark/>
          </w:tcPr>
          <w:p w14:paraId="797E419C"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Таловский</w:t>
            </w:r>
          </w:p>
        </w:tc>
        <w:tc>
          <w:tcPr>
            <w:tcW w:w="1856" w:type="dxa"/>
            <w:shd w:val="clear" w:color="auto" w:fill="auto"/>
            <w:noWrap/>
            <w:vAlign w:val="bottom"/>
            <w:hideMark/>
          </w:tcPr>
          <w:p w14:paraId="7BA8000B"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70,63</w:t>
            </w:r>
          </w:p>
        </w:tc>
        <w:tc>
          <w:tcPr>
            <w:tcW w:w="1608" w:type="dxa"/>
            <w:shd w:val="clear" w:color="auto" w:fill="auto"/>
            <w:noWrap/>
            <w:vAlign w:val="bottom"/>
            <w:hideMark/>
          </w:tcPr>
          <w:p w14:paraId="7716A84B"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851,81</w:t>
            </w:r>
          </w:p>
        </w:tc>
        <w:tc>
          <w:tcPr>
            <w:tcW w:w="2209" w:type="dxa"/>
            <w:shd w:val="clear" w:color="auto" w:fill="auto"/>
            <w:noWrap/>
            <w:vAlign w:val="bottom"/>
            <w:hideMark/>
          </w:tcPr>
          <w:p w14:paraId="3B4340A7"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2 940,00</w:t>
            </w:r>
          </w:p>
        </w:tc>
        <w:tc>
          <w:tcPr>
            <w:tcW w:w="1553" w:type="dxa"/>
            <w:shd w:val="clear" w:color="auto" w:fill="auto"/>
            <w:noWrap/>
            <w:vAlign w:val="bottom"/>
            <w:hideMark/>
          </w:tcPr>
          <w:p w14:paraId="1E1426CE"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24</w:t>
            </w:r>
          </w:p>
        </w:tc>
      </w:tr>
      <w:tr w:rsidR="00DB474C" w:rsidRPr="00286B03" w14:paraId="3BC9735A" w14:textId="77777777" w:rsidTr="001410AB">
        <w:trPr>
          <w:trHeight w:val="300"/>
        </w:trPr>
        <w:tc>
          <w:tcPr>
            <w:tcW w:w="2119" w:type="dxa"/>
            <w:shd w:val="clear" w:color="auto" w:fill="auto"/>
            <w:noWrap/>
            <w:vAlign w:val="bottom"/>
            <w:hideMark/>
          </w:tcPr>
          <w:p w14:paraId="49BACBC2"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Терновский</w:t>
            </w:r>
          </w:p>
        </w:tc>
        <w:tc>
          <w:tcPr>
            <w:tcW w:w="1856" w:type="dxa"/>
            <w:shd w:val="clear" w:color="auto" w:fill="auto"/>
            <w:noWrap/>
            <w:vAlign w:val="bottom"/>
            <w:hideMark/>
          </w:tcPr>
          <w:p w14:paraId="1E27BF2D"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202,08</w:t>
            </w:r>
          </w:p>
        </w:tc>
        <w:tc>
          <w:tcPr>
            <w:tcW w:w="1608" w:type="dxa"/>
            <w:shd w:val="clear" w:color="auto" w:fill="auto"/>
            <w:noWrap/>
            <w:vAlign w:val="bottom"/>
            <w:hideMark/>
          </w:tcPr>
          <w:p w14:paraId="75DDD1D3"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305,32</w:t>
            </w:r>
          </w:p>
        </w:tc>
        <w:tc>
          <w:tcPr>
            <w:tcW w:w="2209" w:type="dxa"/>
            <w:shd w:val="clear" w:color="auto" w:fill="auto"/>
            <w:noWrap/>
            <w:vAlign w:val="bottom"/>
            <w:hideMark/>
          </w:tcPr>
          <w:p w14:paraId="59C7797F"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408,56</w:t>
            </w:r>
          </w:p>
        </w:tc>
        <w:tc>
          <w:tcPr>
            <w:tcW w:w="1553" w:type="dxa"/>
            <w:shd w:val="clear" w:color="auto" w:fill="auto"/>
            <w:noWrap/>
            <w:vAlign w:val="bottom"/>
            <w:hideMark/>
          </w:tcPr>
          <w:p w14:paraId="548CE210"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w:t>
            </w:r>
          </w:p>
        </w:tc>
      </w:tr>
      <w:tr w:rsidR="00DB474C" w:rsidRPr="00286B03" w14:paraId="2BEAAE47" w14:textId="77777777" w:rsidTr="001410AB">
        <w:trPr>
          <w:trHeight w:val="300"/>
        </w:trPr>
        <w:tc>
          <w:tcPr>
            <w:tcW w:w="2119" w:type="dxa"/>
            <w:shd w:val="clear" w:color="auto" w:fill="auto"/>
            <w:noWrap/>
            <w:vAlign w:val="bottom"/>
            <w:hideMark/>
          </w:tcPr>
          <w:p w14:paraId="3A5B20FB"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Хохольский</w:t>
            </w:r>
          </w:p>
        </w:tc>
        <w:tc>
          <w:tcPr>
            <w:tcW w:w="1856" w:type="dxa"/>
            <w:shd w:val="clear" w:color="auto" w:fill="auto"/>
            <w:noWrap/>
            <w:vAlign w:val="bottom"/>
            <w:hideMark/>
          </w:tcPr>
          <w:p w14:paraId="550D1C7E"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16,39</w:t>
            </w:r>
          </w:p>
        </w:tc>
        <w:tc>
          <w:tcPr>
            <w:tcW w:w="1608" w:type="dxa"/>
            <w:shd w:val="clear" w:color="auto" w:fill="auto"/>
            <w:noWrap/>
            <w:vAlign w:val="bottom"/>
            <w:hideMark/>
          </w:tcPr>
          <w:p w14:paraId="730AE968"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1 358,59</w:t>
            </w:r>
          </w:p>
        </w:tc>
        <w:tc>
          <w:tcPr>
            <w:tcW w:w="2209" w:type="dxa"/>
            <w:shd w:val="clear" w:color="auto" w:fill="auto"/>
            <w:noWrap/>
            <w:vAlign w:val="bottom"/>
            <w:hideMark/>
          </w:tcPr>
          <w:p w14:paraId="04A9409B"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6 029,85</w:t>
            </w:r>
          </w:p>
        </w:tc>
        <w:tc>
          <w:tcPr>
            <w:tcW w:w="1553" w:type="dxa"/>
            <w:shd w:val="clear" w:color="auto" w:fill="auto"/>
            <w:noWrap/>
            <w:vAlign w:val="bottom"/>
            <w:hideMark/>
          </w:tcPr>
          <w:p w14:paraId="6C203DAB"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64</w:t>
            </w:r>
          </w:p>
        </w:tc>
      </w:tr>
      <w:tr w:rsidR="00DB474C" w:rsidRPr="00286B03" w14:paraId="6443194B" w14:textId="77777777" w:rsidTr="001410AB">
        <w:trPr>
          <w:trHeight w:val="300"/>
        </w:trPr>
        <w:tc>
          <w:tcPr>
            <w:tcW w:w="2119" w:type="dxa"/>
            <w:shd w:val="clear" w:color="auto" w:fill="auto"/>
            <w:noWrap/>
            <w:vAlign w:val="bottom"/>
            <w:hideMark/>
          </w:tcPr>
          <w:p w14:paraId="652C95A9"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Эртильский</w:t>
            </w:r>
          </w:p>
        </w:tc>
        <w:tc>
          <w:tcPr>
            <w:tcW w:w="1856" w:type="dxa"/>
            <w:shd w:val="clear" w:color="auto" w:fill="auto"/>
            <w:noWrap/>
            <w:vAlign w:val="bottom"/>
            <w:hideMark/>
          </w:tcPr>
          <w:p w14:paraId="7A765340"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20,39</w:t>
            </w:r>
          </w:p>
        </w:tc>
        <w:tc>
          <w:tcPr>
            <w:tcW w:w="1608" w:type="dxa"/>
            <w:shd w:val="clear" w:color="auto" w:fill="auto"/>
            <w:noWrap/>
            <w:vAlign w:val="bottom"/>
            <w:hideMark/>
          </w:tcPr>
          <w:p w14:paraId="2864BCCE"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730,81</w:t>
            </w:r>
          </w:p>
        </w:tc>
        <w:tc>
          <w:tcPr>
            <w:tcW w:w="2209" w:type="dxa"/>
            <w:shd w:val="clear" w:color="auto" w:fill="auto"/>
            <w:noWrap/>
            <w:vAlign w:val="bottom"/>
            <w:hideMark/>
          </w:tcPr>
          <w:p w14:paraId="3BABFCBC"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1 950,78</w:t>
            </w:r>
          </w:p>
        </w:tc>
        <w:tc>
          <w:tcPr>
            <w:tcW w:w="1553" w:type="dxa"/>
            <w:shd w:val="clear" w:color="auto" w:fill="auto"/>
            <w:noWrap/>
            <w:vAlign w:val="bottom"/>
            <w:hideMark/>
          </w:tcPr>
          <w:p w14:paraId="500B803A"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16</w:t>
            </w:r>
          </w:p>
        </w:tc>
      </w:tr>
      <w:tr w:rsidR="00DB474C" w:rsidRPr="00286B03" w14:paraId="076C40C1" w14:textId="77777777" w:rsidTr="001410AB">
        <w:trPr>
          <w:trHeight w:val="300"/>
        </w:trPr>
        <w:tc>
          <w:tcPr>
            <w:tcW w:w="2119" w:type="dxa"/>
            <w:shd w:val="clear" w:color="auto" w:fill="auto"/>
            <w:noWrap/>
            <w:vAlign w:val="bottom"/>
            <w:hideMark/>
          </w:tcPr>
          <w:p w14:paraId="7D2E457B"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г.о.г. Нововоронеж</w:t>
            </w:r>
          </w:p>
        </w:tc>
        <w:tc>
          <w:tcPr>
            <w:tcW w:w="1856" w:type="dxa"/>
            <w:shd w:val="clear" w:color="auto" w:fill="auto"/>
            <w:noWrap/>
            <w:vAlign w:val="bottom"/>
            <w:hideMark/>
          </w:tcPr>
          <w:p w14:paraId="732C8DD2"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46,42</w:t>
            </w:r>
          </w:p>
        </w:tc>
        <w:tc>
          <w:tcPr>
            <w:tcW w:w="1608" w:type="dxa"/>
            <w:shd w:val="clear" w:color="auto" w:fill="auto"/>
            <w:noWrap/>
            <w:vAlign w:val="bottom"/>
            <w:hideMark/>
          </w:tcPr>
          <w:p w14:paraId="0F49A129"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1 351,46</w:t>
            </w:r>
          </w:p>
        </w:tc>
        <w:tc>
          <w:tcPr>
            <w:tcW w:w="2209" w:type="dxa"/>
            <w:shd w:val="clear" w:color="auto" w:fill="auto"/>
            <w:noWrap/>
            <w:vAlign w:val="bottom"/>
            <w:hideMark/>
          </w:tcPr>
          <w:p w14:paraId="16B85CB7"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4 317,22</w:t>
            </w:r>
          </w:p>
        </w:tc>
        <w:tc>
          <w:tcPr>
            <w:tcW w:w="1553" w:type="dxa"/>
            <w:shd w:val="clear" w:color="auto" w:fill="auto"/>
            <w:noWrap/>
            <w:vAlign w:val="bottom"/>
            <w:hideMark/>
          </w:tcPr>
          <w:p w14:paraId="39C9A283"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106</w:t>
            </w:r>
          </w:p>
        </w:tc>
      </w:tr>
      <w:tr w:rsidR="00DB474C" w:rsidRPr="00286B03" w14:paraId="4297955C" w14:textId="77777777" w:rsidTr="001410AB">
        <w:trPr>
          <w:trHeight w:val="300"/>
        </w:trPr>
        <w:tc>
          <w:tcPr>
            <w:tcW w:w="2119" w:type="dxa"/>
            <w:shd w:val="clear" w:color="auto" w:fill="auto"/>
            <w:noWrap/>
            <w:vAlign w:val="bottom"/>
            <w:hideMark/>
          </w:tcPr>
          <w:p w14:paraId="5EFCD253" w14:textId="77777777" w:rsidR="00DB474C" w:rsidRPr="00286B03" w:rsidRDefault="00DB474C" w:rsidP="00DB474C">
            <w:pPr>
              <w:spacing w:after="0" w:line="240" w:lineRule="auto"/>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г.о.г. Воронеж</w:t>
            </w:r>
          </w:p>
        </w:tc>
        <w:tc>
          <w:tcPr>
            <w:tcW w:w="1856" w:type="dxa"/>
            <w:shd w:val="clear" w:color="auto" w:fill="auto"/>
            <w:noWrap/>
            <w:vAlign w:val="bottom"/>
            <w:hideMark/>
          </w:tcPr>
          <w:p w14:paraId="241DAC6C"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63,15</w:t>
            </w:r>
          </w:p>
        </w:tc>
        <w:tc>
          <w:tcPr>
            <w:tcW w:w="1608" w:type="dxa"/>
            <w:shd w:val="clear" w:color="auto" w:fill="auto"/>
            <w:noWrap/>
            <w:vAlign w:val="bottom"/>
            <w:hideMark/>
          </w:tcPr>
          <w:p w14:paraId="216C5ECA"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4 607,46</w:t>
            </w:r>
          </w:p>
        </w:tc>
        <w:tc>
          <w:tcPr>
            <w:tcW w:w="2209" w:type="dxa"/>
            <w:shd w:val="clear" w:color="auto" w:fill="auto"/>
            <w:noWrap/>
            <w:vAlign w:val="bottom"/>
            <w:hideMark/>
          </w:tcPr>
          <w:p w14:paraId="557D1DA9"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30 053,37</w:t>
            </w:r>
          </w:p>
        </w:tc>
        <w:tc>
          <w:tcPr>
            <w:tcW w:w="1553" w:type="dxa"/>
            <w:shd w:val="clear" w:color="auto" w:fill="auto"/>
            <w:noWrap/>
            <w:vAlign w:val="bottom"/>
            <w:hideMark/>
          </w:tcPr>
          <w:p w14:paraId="3BE7B1AA" w14:textId="77777777" w:rsidR="00DB474C" w:rsidRPr="00286B03" w:rsidRDefault="00DB474C" w:rsidP="00DB474C">
            <w:pPr>
              <w:spacing w:after="0" w:line="240" w:lineRule="auto"/>
              <w:jc w:val="right"/>
              <w:rPr>
                <w:rFonts w:ascii="Times New Roman" w:eastAsia="Times New Roman" w:hAnsi="Times New Roman" w:cs="Times New Roman"/>
                <w:color w:val="000000"/>
                <w:lang w:eastAsia="ru-RU"/>
              </w:rPr>
            </w:pPr>
            <w:r w:rsidRPr="00286B03">
              <w:rPr>
                <w:rFonts w:ascii="Times New Roman" w:eastAsia="Times New Roman" w:hAnsi="Times New Roman" w:cs="Times New Roman"/>
                <w:color w:val="000000"/>
                <w:lang w:eastAsia="ru-RU"/>
              </w:rPr>
              <w:t>1026</w:t>
            </w:r>
          </w:p>
        </w:tc>
      </w:tr>
      <w:tr w:rsidR="00DB474C" w:rsidRPr="00286B03" w14:paraId="1C727005" w14:textId="77777777" w:rsidTr="001410AB">
        <w:trPr>
          <w:trHeight w:val="300"/>
        </w:trPr>
        <w:tc>
          <w:tcPr>
            <w:tcW w:w="2119" w:type="dxa"/>
            <w:shd w:val="clear" w:color="auto" w:fill="auto"/>
            <w:noWrap/>
            <w:vAlign w:val="bottom"/>
            <w:hideMark/>
          </w:tcPr>
          <w:p w14:paraId="4C49B2A7" w14:textId="77777777" w:rsidR="00DB474C" w:rsidRPr="00286B03" w:rsidRDefault="00DB474C" w:rsidP="00DB474C">
            <w:pPr>
              <w:spacing w:after="0" w:line="240" w:lineRule="auto"/>
              <w:rPr>
                <w:rFonts w:ascii="Times New Roman" w:eastAsia="Times New Roman" w:hAnsi="Times New Roman" w:cs="Times New Roman"/>
                <w:b/>
                <w:color w:val="000000"/>
                <w:lang w:eastAsia="ru-RU"/>
              </w:rPr>
            </w:pPr>
            <w:r w:rsidRPr="00286B03">
              <w:rPr>
                <w:rFonts w:ascii="Times New Roman" w:eastAsia="Times New Roman" w:hAnsi="Times New Roman" w:cs="Times New Roman"/>
                <w:b/>
                <w:color w:val="000000"/>
                <w:lang w:eastAsia="ru-RU"/>
              </w:rPr>
              <w:t>Общий итог</w:t>
            </w:r>
          </w:p>
        </w:tc>
        <w:tc>
          <w:tcPr>
            <w:tcW w:w="1856" w:type="dxa"/>
            <w:shd w:val="clear" w:color="auto" w:fill="auto"/>
            <w:noWrap/>
            <w:vAlign w:val="bottom"/>
            <w:hideMark/>
          </w:tcPr>
          <w:p w14:paraId="42578E67" w14:textId="77777777" w:rsidR="00DB474C" w:rsidRPr="00286B03" w:rsidRDefault="00DB474C" w:rsidP="00DB474C">
            <w:pPr>
              <w:spacing w:after="0" w:line="240" w:lineRule="auto"/>
              <w:jc w:val="right"/>
              <w:rPr>
                <w:rFonts w:ascii="Times New Roman" w:eastAsia="Times New Roman" w:hAnsi="Times New Roman" w:cs="Times New Roman"/>
                <w:b/>
                <w:color w:val="000000"/>
                <w:lang w:eastAsia="ru-RU"/>
              </w:rPr>
            </w:pPr>
            <w:r w:rsidRPr="00286B03">
              <w:rPr>
                <w:rFonts w:ascii="Times New Roman" w:eastAsia="Times New Roman" w:hAnsi="Times New Roman" w:cs="Times New Roman"/>
                <w:b/>
                <w:color w:val="000000"/>
                <w:lang w:eastAsia="ru-RU"/>
              </w:rPr>
              <w:t>10,10</w:t>
            </w:r>
          </w:p>
        </w:tc>
        <w:tc>
          <w:tcPr>
            <w:tcW w:w="1608" w:type="dxa"/>
            <w:shd w:val="clear" w:color="auto" w:fill="auto"/>
            <w:noWrap/>
            <w:vAlign w:val="bottom"/>
            <w:hideMark/>
          </w:tcPr>
          <w:p w14:paraId="33FEE82D" w14:textId="77777777" w:rsidR="00DB474C" w:rsidRPr="00286B03" w:rsidRDefault="00DB474C" w:rsidP="00DB474C">
            <w:pPr>
              <w:spacing w:after="0" w:line="240" w:lineRule="auto"/>
              <w:jc w:val="right"/>
              <w:rPr>
                <w:rFonts w:ascii="Times New Roman" w:eastAsia="Times New Roman" w:hAnsi="Times New Roman" w:cs="Times New Roman"/>
                <w:b/>
                <w:color w:val="000000"/>
                <w:lang w:eastAsia="ru-RU"/>
              </w:rPr>
            </w:pPr>
            <w:r w:rsidRPr="00286B03">
              <w:rPr>
                <w:rFonts w:ascii="Times New Roman" w:eastAsia="Times New Roman" w:hAnsi="Times New Roman" w:cs="Times New Roman"/>
                <w:b/>
                <w:color w:val="000000"/>
                <w:lang w:eastAsia="ru-RU"/>
              </w:rPr>
              <w:t>2 632,69</w:t>
            </w:r>
          </w:p>
        </w:tc>
        <w:tc>
          <w:tcPr>
            <w:tcW w:w="2209" w:type="dxa"/>
            <w:shd w:val="clear" w:color="auto" w:fill="auto"/>
            <w:noWrap/>
            <w:vAlign w:val="bottom"/>
            <w:hideMark/>
          </w:tcPr>
          <w:p w14:paraId="551DC942" w14:textId="77777777" w:rsidR="00DB474C" w:rsidRPr="00286B03" w:rsidRDefault="00DB474C" w:rsidP="00DB474C">
            <w:pPr>
              <w:spacing w:after="0" w:line="240" w:lineRule="auto"/>
              <w:jc w:val="right"/>
              <w:rPr>
                <w:rFonts w:ascii="Times New Roman" w:eastAsia="Times New Roman" w:hAnsi="Times New Roman" w:cs="Times New Roman"/>
                <w:b/>
                <w:color w:val="000000"/>
                <w:lang w:eastAsia="ru-RU"/>
              </w:rPr>
            </w:pPr>
            <w:r w:rsidRPr="00286B03">
              <w:rPr>
                <w:rFonts w:ascii="Times New Roman" w:eastAsia="Times New Roman" w:hAnsi="Times New Roman" w:cs="Times New Roman"/>
                <w:b/>
                <w:color w:val="000000"/>
                <w:lang w:eastAsia="ru-RU"/>
              </w:rPr>
              <w:t>30 053,37</w:t>
            </w:r>
          </w:p>
        </w:tc>
        <w:tc>
          <w:tcPr>
            <w:tcW w:w="1553" w:type="dxa"/>
            <w:shd w:val="clear" w:color="auto" w:fill="auto"/>
            <w:noWrap/>
            <w:vAlign w:val="bottom"/>
            <w:hideMark/>
          </w:tcPr>
          <w:p w14:paraId="72BECAAE" w14:textId="77777777" w:rsidR="00DB474C" w:rsidRPr="00286B03" w:rsidRDefault="00DB474C" w:rsidP="00DB474C">
            <w:pPr>
              <w:spacing w:after="0" w:line="240" w:lineRule="auto"/>
              <w:jc w:val="right"/>
              <w:rPr>
                <w:rFonts w:ascii="Times New Roman" w:eastAsia="Times New Roman" w:hAnsi="Times New Roman" w:cs="Times New Roman"/>
                <w:b/>
                <w:color w:val="000000"/>
                <w:lang w:eastAsia="ru-RU"/>
              </w:rPr>
            </w:pPr>
            <w:r w:rsidRPr="00286B03">
              <w:rPr>
                <w:rFonts w:ascii="Times New Roman" w:eastAsia="Times New Roman" w:hAnsi="Times New Roman" w:cs="Times New Roman"/>
                <w:b/>
                <w:color w:val="000000"/>
                <w:lang w:eastAsia="ru-RU"/>
              </w:rPr>
              <w:t>4031</w:t>
            </w:r>
          </w:p>
        </w:tc>
      </w:tr>
    </w:tbl>
    <w:p w14:paraId="09E0A058" w14:textId="77777777" w:rsidR="00BF7BAE" w:rsidRDefault="00BF7BAE" w:rsidP="00DB474C">
      <w:pPr>
        <w:spacing w:before="120" w:after="0" w:line="276" w:lineRule="auto"/>
        <w:ind w:firstLine="567"/>
        <w:jc w:val="both"/>
        <w:rPr>
          <w:rFonts w:ascii="Times New Roman" w:hAnsi="Times New Roman" w:cs="Times New Roman"/>
          <w:sz w:val="26"/>
          <w:szCs w:val="26"/>
        </w:rPr>
      </w:pPr>
    </w:p>
    <w:p w14:paraId="6D403E90" w14:textId="0C288771" w:rsidR="00DB474C" w:rsidRDefault="00DB474C" w:rsidP="00DB474C">
      <w:pPr>
        <w:spacing w:before="120" w:after="0" w:line="276" w:lineRule="auto"/>
        <w:ind w:firstLine="567"/>
        <w:jc w:val="both"/>
        <w:rPr>
          <w:rFonts w:ascii="Times New Roman" w:hAnsi="Times New Roman" w:cs="Times New Roman"/>
          <w:sz w:val="26"/>
          <w:szCs w:val="26"/>
        </w:rPr>
      </w:pPr>
      <w:r>
        <w:rPr>
          <w:rFonts w:ascii="Times New Roman" w:hAnsi="Times New Roman" w:cs="Times New Roman"/>
          <w:sz w:val="26"/>
          <w:szCs w:val="26"/>
        </w:rPr>
        <w:t>Н</w:t>
      </w:r>
      <w:r w:rsidRPr="001E2611">
        <w:rPr>
          <w:rFonts w:ascii="Times New Roman" w:hAnsi="Times New Roman" w:cs="Times New Roman"/>
          <w:sz w:val="26"/>
          <w:szCs w:val="26"/>
        </w:rPr>
        <w:t>аибольшее количество среди районов Воронежской области (не считая г.</w:t>
      </w:r>
      <w:r>
        <w:rPr>
          <w:rFonts w:ascii="Times New Roman" w:hAnsi="Times New Roman" w:cs="Times New Roman"/>
          <w:sz w:val="26"/>
          <w:szCs w:val="26"/>
        </w:rPr>
        <w:t>о.г.</w:t>
      </w:r>
      <w:r w:rsidRPr="001E2611">
        <w:rPr>
          <w:rFonts w:ascii="Times New Roman" w:hAnsi="Times New Roman" w:cs="Times New Roman"/>
          <w:sz w:val="26"/>
          <w:szCs w:val="26"/>
        </w:rPr>
        <w:t xml:space="preserve"> Воронеж) представлено в </w:t>
      </w:r>
      <w:r>
        <w:rPr>
          <w:rFonts w:ascii="Times New Roman" w:hAnsi="Times New Roman" w:cs="Times New Roman"/>
          <w:sz w:val="26"/>
          <w:szCs w:val="26"/>
        </w:rPr>
        <w:t>Лискинском района- 651 предложение (сделка), что составляет 16,15% от общего количества в сегменте; в Россошанском</w:t>
      </w:r>
      <w:r w:rsidRPr="001E2611">
        <w:rPr>
          <w:rFonts w:ascii="Times New Roman" w:hAnsi="Times New Roman" w:cs="Times New Roman"/>
          <w:sz w:val="26"/>
          <w:szCs w:val="26"/>
        </w:rPr>
        <w:t xml:space="preserve"> районе- </w:t>
      </w:r>
      <w:r>
        <w:rPr>
          <w:rFonts w:ascii="Times New Roman" w:hAnsi="Times New Roman" w:cs="Times New Roman"/>
          <w:sz w:val="26"/>
          <w:szCs w:val="26"/>
        </w:rPr>
        <w:t>353</w:t>
      </w:r>
      <w:r w:rsidRPr="001E2611">
        <w:rPr>
          <w:rFonts w:ascii="Times New Roman" w:hAnsi="Times New Roman" w:cs="Times New Roman"/>
          <w:sz w:val="26"/>
          <w:szCs w:val="26"/>
        </w:rPr>
        <w:t xml:space="preserve"> предложени</w:t>
      </w:r>
      <w:r>
        <w:rPr>
          <w:rFonts w:ascii="Times New Roman" w:hAnsi="Times New Roman" w:cs="Times New Roman"/>
          <w:sz w:val="26"/>
          <w:szCs w:val="26"/>
        </w:rPr>
        <w:t>я</w:t>
      </w:r>
      <w:r w:rsidRPr="001E2611">
        <w:rPr>
          <w:rFonts w:ascii="Times New Roman" w:hAnsi="Times New Roman" w:cs="Times New Roman"/>
          <w:sz w:val="26"/>
          <w:szCs w:val="26"/>
        </w:rPr>
        <w:t xml:space="preserve"> (сделк</w:t>
      </w:r>
      <w:r>
        <w:rPr>
          <w:rFonts w:ascii="Times New Roman" w:hAnsi="Times New Roman" w:cs="Times New Roman"/>
          <w:sz w:val="26"/>
          <w:szCs w:val="26"/>
        </w:rPr>
        <w:t>и</w:t>
      </w:r>
      <w:r w:rsidRPr="001E2611">
        <w:rPr>
          <w:rFonts w:ascii="Times New Roman" w:hAnsi="Times New Roman" w:cs="Times New Roman"/>
          <w:sz w:val="26"/>
          <w:szCs w:val="26"/>
        </w:rPr>
        <w:t>)</w:t>
      </w:r>
      <w:r>
        <w:rPr>
          <w:rFonts w:ascii="Times New Roman" w:hAnsi="Times New Roman" w:cs="Times New Roman"/>
          <w:sz w:val="26"/>
          <w:szCs w:val="26"/>
        </w:rPr>
        <w:t xml:space="preserve"> - 8</w:t>
      </w:r>
      <w:r w:rsidRPr="001E2611">
        <w:rPr>
          <w:rFonts w:ascii="Times New Roman" w:hAnsi="Times New Roman" w:cs="Times New Roman"/>
          <w:sz w:val="26"/>
          <w:szCs w:val="26"/>
        </w:rPr>
        <w:t>,</w:t>
      </w:r>
      <w:r>
        <w:rPr>
          <w:rFonts w:ascii="Times New Roman" w:hAnsi="Times New Roman" w:cs="Times New Roman"/>
          <w:sz w:val="26"/>
          <w:szCs w:val="26"/>
        </w:rPr>
        <w:t>76</w:t>
      </w:r>
      <w:r w:rsidRPr="001E2611">
        <w:rPr>
          <w:rFonts w:ascii="Times New Roman" w:hAnsi="Times New Roman" w:cs="Times New Roman"/>
          <w:sz w:val="26"/>
          <w:szCs w:val="26"/>
        </w:rPr>
        <w:t>% от общего количества в сегменте</w:t>
      </w:r>
      <w:r>
        <w:rPr>
          <w:rFonts w:ascii="Times New Roman" w:hAnsi="Times New Roman" w:cs="Times New Roman"/>
          <w:sz w:val="26"/>
          <w:szCs w:val="26"/>
        </w:rPr>
        <w:t>;</w:t>
      </w:r>
      <w:r w:rsidRPr="00F27797">
        <w:rPr>
          <w:rFonts w:ascii="Times New Roman" w:hAnsi="Times New Roman" w:cs="Times New Roman"/>
          <w:sz w:val="26"/>
          <w:szCs w:val="26"/>
        </w:rPr>
        <w:t xml:space="preserve"> </w:t>
      </w:r>
      <w:r w:rsidRPr="001E2611">
        <w:rPr>
          <w:rFonts w:ascii="Times New Roman" w:hAnsi="Times New Roman" w:cs="Times New Roman"/>
          <w:sz w:val="26"/>
          <w:szCs w:val="26"/>
        </w:rPr>
        <w:t xml:space="preserve">в </w:t>
      </w:r>
      <w:r>
        <w:rPr>
          <w:rFonts w:ascii="Times New Roman" w:hAnsi="Times New Roman" w:cs="Times New Roman"/>
          <w:sz w:val="26"/>
          <w:szCs w:val="26"/>
        </w:rPr>
        <w:t>Семилукском</w:t>
      </w:r>
      <w:r w:rsidRPr="001E2611">
        <w:rPr>
          <w:rFonts w:ascii="Times New Roman" w:hAnsi="Times New Roman" w:cs="Times New Roman"/>
          <w:sz w:val="26"/>
          <w:szCs w:val="26"/>
        </w:rPr>
        <w:t xml:space="preserve"> районе</w:t>
      </w:r>
      <w:r>
        <w:rPr>
          <w:rFonts w:ascii="Times New Roman" w:hAnsi="Times New Roman" w:cs="Times New Roman"/>
          <w:sz w:val="26"/>
          <w:szCs w:val="26"/>
        </w:rPr>
        <w:t xml:space="preserve"> - 344</w:t>
      </w:r>
      <w:r w:rsidRPr="001E2611">
        <w:rPr>
          <w:rFonts w:ascii="Times New Roman" w:hAnsi="Times New Roman" w:cs="Times New Roman"/>
          <w:sz w:val="26"/>
          <w:szCs w:val="26"/>
        </w:rPr>
        <w:t xml:space="preserve"> предложени</w:t>
      </w:r>
      <w:r>
        <w:rPr>
          <w:rFonts w:ascii="Times New Roman" w:hAnsi="Times New Roman" w:cs="Times New Roman"/>
          <w:sz w:val="26"/>
          <w:szCs w:val="26"/>
        </w:rPr>
        <w:t>я</w:t>
      </w:r>
      <w:r w:rsidRPr="001E2611">
        <w:rPr>
          <w:rFonts w:ascii="Times New Roman" w:hAnsi="Times New Roman" w:cs="Times New Roman"/>
          <w:sz w:val="26"/>
          <w:szCs w:val="26"/>
        </w:rPr>
        <w:t xml:space="preserve"> (сделк</w:t>
      </w:r>
      <w:r>
        <w:rPr>
          <w:rFonts w:ascii="Times New Roman" w:hAnsi="Times New Roman" w:cs="Times New Roman"/>
          <w:sz w:val="26"/>
          <w:szCs w:val="26"/>
        </w:rPr>
        <w:t>и</w:t>
      </w:r>
      <w:r w:rsidRPr="001E2611">
        <w:rPr>
          <w:rFonts w:ascii="Times New Roman" w:hAnsi="Times New Roman" w:cs="Times New Roman"/>
          <w:sz w:val="26"/>
          <w:szCs w:val="26"/>
        </w:rPr>
        <w:t xml:space="preserve">)- </w:t>
      </w:r>
      <w:r>
        <w:rPr>
          <w:rFonts w:ascii="Times New Roman" w:hAnsi="Times New Roman" w:cs="Times New Roman"/>
          <w:sz w:val="26"/>
          <w:szCs w:val="26"/>
        </w:rPr>
        <w:t>8</w:t>
      </w:r>
      <w:r w:rsidRPr="001E2611">
        <w:rPr>
          <w:rFonts w:ascii="Times New Roman" w:hAnsi="Times New Roman" w:cs="Times New Roman"/>
          <w:sz w:val="26"/>
          <w:szCs w:val="26"/>
        </w:rPr>
        <w:t>,</w:t>
      </w:r>
      <w:r>
        <w:rPr>
          <w:rFonts w:ascii="Times New Roman" w:hAnsi="Times New Roman" w:cs="Times New Roman"/>
          <w:sz w:val="26"/>
          <w:szCs w:val="26"/>
        </w:rPr>
        <w:t>53</w:t>
      </w:r>
      <w:r w:rsidRPr="001E2611">
        <w:rPr>
          <w:rFonts w:ascii="Times New Roman" w:hAnsi="Times New Roman" w:cs="Times New Roman"/>
          <w:sz w:val="26"/>
          <w:szCs w:val="26"/>
        </w:rPr>
        <w:t>%</w:t>
      </w:r>
      <w:r>
        <w:rPr>
          <w:rFonts w:ascii="Times New Roman" w:hAnsi="Times New Roman" w:cs="Times New Roman"/>
          <w:sz w:val="26"/>
          <w:szCs w:val="26"/>
        </w:rPr>
        <w:t>.</w:t>
      </w:r>
      <w:r w:rsidRPr="001E2611">
        <w:rPr>
          <w:rFonts w:ascii="Times New Roman" w:hAnsi="Times New Roman" w:cs="Times New Roman"/>
          <w:sz w:val="26"/>
          <w:szCs w:val="26"/>
        </w:rPr>
        <w:t xml:space="preserve"> Такая тенденция объясняется тем, что в данных районах расположены крупные города, где довольно большой транспортный поток.</w:t>
      </w:r>
      <w:r>
        <w:rPr>
          <w:rFonts w:ascii="Times New Roman" w:hAnsi="Times New Roman" w:cs="Times New Roman"/>
          <w:sz w:val="26"/>
          <w:szCs w:val="26"/>
        </w:rPr>
        <w:t xml:space="preserve"> Наименьшее количество представлено в Терновском и в Воробьевском районах – по 2 предложения (сделки).</w:t>
      </w:r>
    </w:p>
    <w:p w14:paraId="54AD16D8" w14:textId="59B89895" w:rsidR="00DB474C" w:rsidRDefault="00DB474C" w:rsidP="00DB474C">
      <w:pPr>
        <w:spacing w:after="0" w:line="276" w:lineRule="auto"/>
        <w:ind w:firstLine="709"/>
        <w:jc w:val="both"/>
        <w:rPr>
          <w:rFonts w:ascii="Times New Roman" w:hAnsi="Times New Roman" w:cs="Times New Roman"/>
          <w:sz w:val="26"/>
          <w:szCs w:val="26"/>
        </w:rPr>
      </w:pPr>
      <w:r w:rsidRPr="001E2611">
        <w:rPr>
          <w:rFonts w:ascii="Times New Roman" w:hAnsi="Times New Roman" w:cs="Times New Roman"/>
          <w:sz w:val="26"/>
          <w:szCs w:val="26"/>
        </w:rPr>
        <w:t xml:space="preserve">Средний удельный показатель рыночной стоимости по г.о.г. Воронеж составляет </w:t>
      </w:r>
      <w:r>
        <w:rPr>
          <w:rFonts w:ascii="Times New Roman" w:hAnsi="Times New Roman" w:cs="Times New Roman"/>
          <w:sz w:val="26"/>
          <w:szCs w:val="26"/>
        </w:rPr>
        <w:t>4 607,46</w:t>
      </w:r>
      <w:r w:rsidRPr="001E2611">
        <w:rPr>
          <w:rFonts w:ascii="Times New Roman" w:hAnsi="Times New Roman" w:cs="Times New Roman"/>
          <w:sz w:val="26"/>
          <w:szCs w:val="26"/>
        </w:rPr>
        <w:t xml:space="preserve"> руб./кв.м, цены представлены в довольно широком диапазоне от </w:t>
      </w:r>
      <w:r>
        <w:rPr>
          <w:rFonts w:ascii="Times New Roman" w:hAnsi="Times New Roman" w:cs="Times New Roman"/>
          <w:sz w:val="26"/>
          <w:szCs w:val="26"/>
        </w:rPr>
        <w:t>63,15</w:t>
      </w:r>
      <w:r w:rsidRPr="001E2611">
        <w:rPr>
          <w:rFonts w:ascii="Times New Roman" w:hAnsi="Times New Roman" w:cs="Times New Roman"/>
          <w:sz w:val="26"/>
          <w:szCs w:val="26"/>
        </w:rPr>
        <w:t xml:space="preserve"> до </w:t>
      </w:r>
      <w:r>
        <w:rPr>
          <w:rFonts w:ascii="Times New Roman" w:hAnsi="Times New Roman" w:cs="Times New Roman"/>
          <w:sz w:val="26"/>
          <w:szCs w:val="26"/>
        </w:rPr>
        <w:t>30 053,37</w:t>
      </w:r>
      <w:r w:rsidRPr="001E2611">
        <w:rPr>
          <w:rFonts w:ascii="Times New Roman" w:hAnsi="Times New Roman" w:cs="Times New Roman"/>
          <w:sz w:val="26"/>
          <w:szCs w:val="26"/>
        </w:rPr>
        <w:t xml:space="preserve"> руб./кв.м.  Наибольший средний удельный показатель рыночной стоимости среди районов Воронежской области сложился в Борисоглебском</w:t>
      </w:r>
      <w:r>
        <w:rPr>
          <w:rFonts w:ascii="Times New Roman" w:hAnsi="Times New Roman" w:cs="Times New Roman"/>
          <w:sz w:val="26"/>
          <w:szCs w:val="26"/>
        </w:rPr>
        <w:t xml:space="preserve"> городском округе</w:t>
      </w:r>
      <w:r w:rsidRPr="001E2611">
        <w:rPr>
          <w:rFonts w:ascii="Times New Roman" w:hAnsi="Times New Roman" w:cs="Times New Roman"/>
          <w:sz w:val="26"/>
          <w:szCs w:val="26"/>
        </w:rPr>
        <w:t xml:space="preserve"> в размере </w:t>
      </w:r>
      <w:r>
        <w:rPr>
          <w:rFonts w:ascii="Times New Roman" w:hAnsi="Times New Roman" w:cs="Times New Roman"/>
          <w:sz w:val="26"/>
          <w:szCs w:val="26"/>
        </w:rPr>
        <w:t>2 565,20</w:t>
      </w:r>
      <w:r w:rsidRPr="001E2611">
        <w:rPr>
          <w:rFonts w:ascii="Times New Roman" w:hAnsi="Times New Roman" w:cs="Times New Roman"/>
          <w:sz w:val="26"/>
          <w:szCs w:val="26"/>
        </w:rPr>
        <w:t xml:space="preserve"> руб./кв.м. В целом величина удельного показателя рыночной стоимости в сегменте «Транспорт» лежит в диапазоне от </w:t>
      </w:r>
      <w:r>
        <w:rPr>
          <w:rFonts w:ascii="Times New Roman" w:hAnsi="Times New Roman" w:cs="Times New Roman"/>
          <w:sz w:val="26"/>
          <w:szCs w:val="26"/>
        </w:rPr>
        <w:t>10,10</w:t>
      </w:r>
      <w:r w:rsidRPr="001E2611">
        <w:rPr>
          <w:rFonts w:ascii="Times New Roman" w:hAnsi="Times New Roman" w:cs="Times New Roman"/>
          <w:sz w:val="26"/>
          <w:szCs w:val="26"/>
        </w:rPr>
        <w:t xml:space="preserve"> (зафиксировано в </w:t>
      </w:r>
      <w:r>
        <w:rPr>
          <w:rFonts w:ascii="Times New Roman" w:hAnsi="Times New Roman" w:cs="Times New Roman"/>
          <w:sz w:val="26"/>
          <w:szCs w:val="26"/>
        </w:rPr>
        <w:t>Богучарском</w:t>
      </w:r>
      <w:r w:rsidRPr="001E2611">
        <w:rPr>
          <w:rFonts w:ascii="Times New Roman" w:hAnsi="Times New Roman" w:cs="Times New Roman"/>
          <w:sz w:val="26"/>
          <w:szCs w:val="26"/>
        </w:rPr>
        <w:t xml:space="preserve"> районе) до </w:t>
      </w:r>
      <w:r>
        <w:rPr>
          <w:rFonts w:ascii="Times New Roman" w:hAnsi="Times New Roman" w:cs="Times New Roman"/>
          <w:sz w:val="26"/>
          <w:szCs w:val="26"/>
        </w:rPr>
        <w:t>30 053,27</w:t>
      </w:r>
      <w:r w:rsidRPr="001E2611">
        <w:rPr>
          <w:rFonts w:ascii="Times New Roman" w:hAnsi="Times New Roman" w:cs="Times New Roman"/>
          <w:sz w:val="26"/>
          <w:szCs w:val="26"/>
        </w:rPr>
        <w:t xml:space="preserve"> руб./кв.м (г.о.г. Воронеж)</w:t>
      </w:r>
      <w:r>
        <w:rPr>
          <w:rFonts w:ascii="Times New Roman" w:hAnsi="Times New Roman" w:cs="Times New Roman"/>
          <w:sz w:val="26"/>
          <w:szCs w:val="26"/>
        </w:rPr>
        <w:t>. Аналоги, стоимостные значения которых представляют собой экстремумы, для дальнейших целей оценки не используются.</w:t>
      </w:r>
    </w:p>
    <w:p w14:paraId="19C26AB1" w14:textId="77777777" w:rsidR="00E564BF" w:rsidRPr="00ED353F" w:rsidRDefault="00E564BF" w:rsidP="00DB474C">
      <w:pPr>
        <w:spacing w:after="0" w:line="276" w:lineRule="auto"/>
        <w:ind w:firstLine="709"/>
        <w:jc w:val="both"/>
        <w:rPr>
          <w:rFonts w:ascii="Times New Roman" w:hAnsi="Times New Roman" w:cs="Times New Roman"/>
          <w:sz w:val="26"/>
          <w:szCs w:val="26"/>
        </w:rPr>
      </w:pPr>
    </w:p>
    <w:p w14:paraId="0F52321D" w14:textId="77777777" w:rsidR="00DB474C" w:rsidRPr="007F5144" w:rsidRDefault="00DB474C" w:rsidP="00DB474C">
      <w:pPr>
        <w:pStyle w:val="3"/>
        <w:spacing w:line="276" w:lineRule="auto"/>
        <w:rPr>
          <w:rFonts w:cs="Times New Roman"/>
          <w:sz w:val="26"/>
          <w:szCs w:val="26"/>
        </w:rPr>
      </w:pPr>
      <w:bookmarkStart w:id="88" w:name="_Toc110506948"/>
      <w:r w:rsidRPr="002F245A">
        <w:rPr>
          <w:rFonts w:cs="Times New Roman"/>
          <w:sz w:val="26"/>
          <w:szCs w:val="26"/>
        </w:rPr>
        <w:t>3.1.3.8 Анализ рыночной информации по сегменту «</w:t>
      </w:r>
      <w:bookmarkStart w:id="89" w:name="_Hlk42771072"/>
      <w:r w:rsidRPr="002F245A">
        <w:rPr>
          <w:rFonts w:cs="Times New Roman"/>
          <w:sz w:val="26"/>
          <w:szCs w:val="26"/>
        </w:rPr>
        <w:t>Садоводство и огородничество, малоэтажная жилая застройка</w:t>
      </w:r>
      <w:bookmarkEnd w:id="89"/>
      <w:r w:rsidRPr="002F245A">
        <w:rPr>
          <w:rFonts w:cs="Times New Roman"/>
          <w:sz w:val="26"/>
          <w:szCs w:val="26"/>
        </w:rPr>
        <w:t>»</w:t>
      </w:r>
      <w:bookmarkEnd w:id="88"/>
    </w:p>
    <w:p w14:paraId="5F594D9D" w14:textId="77777777" w:rsidR="00DB474C" w:rsidRPr="002F245A" w:rsidRDefault="00DB474C" w:rsidP="00DB474C">
      <w:pPr>
        <w:pStyle w:val="Textbody"/>
        <w:spacing w:after="0" w:line="276" w:lineRule="auto"/>
        <w:ind w:firstLine="709"/>
        <w:jc w:val="both"/>
        <w:rPr>
          <w:rFonts w:ascii="Times New Roman" w:hAnsi="Times New Roman" w:cs="Times New Roman"/>
          <w:sz w:val="26"/>
          <w:szCs w:val="26"/>
          <w:shd w:val="clear" w:color="auto" w:fill="FFFFFF"/>
          <w:lang w:val="ru-RU"/>
        </w:rPr>
      </w:pPr>
      <w:r w:rsidRPr="002F245A">
        <w:rPr>
          <w:rFonts w:ascii="Times New Roman" w:hAnsi="Times New Roman" w:cs="Times New Roman"/>
          <w:sz w:val="26"/>
          <w:szCs w:val="26"/>
          <w:shd w:val="clear" w:color="auto" w:fill="FFFFFF"/>
          <w:lang w:val="ru-RU"/>
        </w:rPr>
        <w:t>Еще совсем недавно загородный дом воспринимался как летняя дача, обязательными атрибутами которой были, например, близость леса или реки. С ростом благосостояния и развитием личного транспорта отношение к загородному дому изменилось, изменился и облик покупателя.</w:t>
      </w:r>
      <w:r w:rsidRPr="002F245A">
        <w:rPr>
          <w:rFonts w:ascii="Times New Roman" w:hAnsi="Times New Roman" w:cs="Times New Roman"/>
          <w:sz w:val="26"/>
          <w:szCs w:val="26"/>
          <w:shd w:val="clear" w:color="auto" w:fill="FFFFFF"/>
        </w:rPr>
        <w:t> </w:t>
      </w:r>
      <w:r w:rsidRPr="002F245A">
        <w:rPr>
          <w:rFonts w:ascii="Times New Roman" w:hAnsi="Times New Roman" w:cs="Times New Roman"/>
          <w:sz w:val="26"/>
          <w:szCs w:val="26"/>
          <w:shd w:val="clear" w:color="auto" w:fill="FFFFFF"/>
          <w:lang w:val="ru-RU"/>
        </w:rPr>
        <w:t>Изменилось назначение загородного жилья, оно стало играть дублирующую роль второго дома.</w:t>
      </w:r>
      <w:r w:rsidRPr="002F245A">
        <w:rPr>
          <w:rFonts w:ascii="Times New Roman" w:hAnsi="Times New Roman" w:cs="Times New Roman"/>
          <w:sz w:val="26"/>
          <w:szCs w:val="26"/>
          <w:shd w:val="clear" w:color="auto" w:fill="FFFFFF"/>
        </w:rPr>
        <w:t> </w:t>
      </w:r>
      <w:r w:rsidRPr="002F245A">
        <w:rPr>
          <w:rFonts w:ascii="Times New Roman" w:hAnsi="Times New Roman" w:cs="Times New Roman"/>
          <w:sz w:val="26"/>
          <w:szCs w:val="26"/>
          <w:shd w:val="clear" w:color="auto" w:fill="FFFFFF"/>
          <w:lang w:val="ru-RU"/>
        </w:rPr>
        <w:t>Множество объектов индивидуального жилищного строительства встречаются также и в самом г. Воронеж, в каждом из районов города есть так называемый частный сектор.</w:t>
      </w:r>
    </w:p>
    <w:p w14:paraId="00035A07" w14:textId="77777777" w:rsidR="00DB474C" w:rsidRPr="002F245A" w:rsidRDefault="00DB474C" w:rsidP="00DB474C">
      <w:pPr>
        <w:pStyle w:val="Textbody"/>
        <w:spacing w:after="0" w:line="276" w:lineRule="auto"/>
        <w:ind w:firstLine="709"/>
        <w:jc w:val="both"/>
        <w:rPr>
          <w:rFonts w:ascii="Times New Roman" w:hAnsi="Times New Roman" w:cs="Times New Roman"/>
          <w:lang w:val="ru-RU"/>
        </w:rPr>
      </w:pPr>
      <w:r w:rsidRPr="002F245A">
        <w:rPr>
          <w:rFonts w:ascii="Times New Roman" w:hAnsi="Times New Roman" w:cs="Times New Roman"/>
          <w:sz w:val="26"/>
          <w:szCs w:val="26"/>
          <w:shd w:val="clear" w:color="auto" w:fill="FFFFFF"/>
          <w:lang w:val="ru-RU"/>
        </w:rPr>
        <w:t>Основными критериями стали наличие хороших подъездных дорог, транспортная доступность, наличие коммуникаций (газ, водоснабжение, канализация), близость инфраструктуры (маркет, аптека, детские учреждения), качество строительства (наибольшим преимуществом пользуются кирпичные строения). При этом на стоимость дома влияет близость к облцентру, поскольку такие дома могут использоваться всесезонно для постоянного проживания</w:t>
      </w:r>
      <w:r w:rsidRPr="002F245A">
        <w:rPr>
          <w:rStyle w:val="af2"/>
          <w:rFonts w:ascii="Times New Roman" w:hAnsi="Times New Roman" w:cs="Times New Roman"/>
          <w:shd w:val="clear" w:color="auto" w:fill="FFFFFF"/>
          <w:lang w:val="ru-RU"/>
        </w:rPr>
        <w:footnoteReference w:id="95"/>
      </w:r>
      <w:r w:rsidRPr="002F245A">
        <w:rPr>
          <w:rFonts w:ascii="Times New Roman" w:hAnsi="Times New Roman" w:cs="Times New Roman"/>
          <w:shd w:val="clear" w:color="auto" w:fill="FFFFFF"/>
          <w:lang w:val="ru-RU"/>
        </w:rPr>
        <w:t>.</w:t>
      </w:r>
    </w:p>
    <w:p w14:paraId="1BA177CA" w14:textId="77777777" w:rsidR="00DB474C" w:rsidRPr="002F245A" w:rsidRDefault="00DB474C" w:rsidP="00DB474C">
      <w:pPr>
        <w:pStyle w:val="Textbody"/>
        <w:spacing w:after="0" w:line="276" w:lineRule="auto"/>
        <w:ind w:firstLine="709"/>
        <w:jc w:val="both"/>
        <w:rPr>
          <w:rFonts w:ascii="Times New Roman" w:hAnsi="Times New Roman" w:cs="Times New Roman"/>
          <w:shd w:val="clear" w:color="auto" w:fill="FFFFFF"/>
          <w:lang w:val="ru-RU"/>
        </w:rPr>
      </w:pPr>
      <w:r w:rsidRPr="002F245A">
        <w:rPr>
          <w:rFonts w:ascii="Times New Roman" w:hAnsi="Times New Roman" w:cs="Times New Roman"/>
          <w:sz w:val="26"/>
          <w:szCs w:val="26"/>
          <w:shd w:val="clear" w:color="auto" w:fill="FFFFFF"/>
          <w:lang w:val="ru-RU"/>
        </w:rPr>
        <w:t>Загородная и малоэтажная недвижимость в Воронежской области занимают значительную долю всего рынка жилья. Наиболее привлекательные для застройщиков и покупателей поселки обычно располагаются рядом с крупными магистралями московского (трасса М4) или тамбовского направления. Также привлекательны для инвестиций территории вблизи пригородов столицы региона – это р.п. Рамонь, с. Новая Усмань, г. Семилуки. Покупатели дач, коттеджей и участков часто ориентируются на наличие поблизости водоемов с пляжами, лодочными станциями и живописные виды окрестностей. Примечательно, что жилья эконом-класса в коттеджных поселках немного. Недорогое жилье встречается на территории садоводств либо среди старой застройки в частном секторе</w:t>
      </w:r>
      <w:r w:rsidRPr="002F245A">
        <w:rPr>
          <w:rStyle w:val="af2"/>
          <w:rFonts w:ascii="Times New Roman" w:hAnsi="Times New Roman" w:cs="Times New Roman"/>
          <w:shd w:val="clear" w:color="auto" w:fill="FFFFFF"/>
          <w:lang w:val="ru-RU"/>
        </w:rPr>
        <w:footnoteReference w:id="96"/>
      </w:r>
      <w:r w:rsidRPr="002F245A">
        <w:rPr>
          <w:rFonts w:ascii="Times New Roman" w:hAnsi="Times New Roman" w:cs="Times New Roman"/>
          <w:shd w:val="clear" w:color="auto" w:fill="FFFFFF"/>
          <w:lang w:val="ru-RU"/>
        </w:rPr>
        <w:t>.</w:t>
      </w:r>
    </w:p>
    <w:p w14:paraId="1C7D5189" w14:textId="77777777" w:rsidR="00DB474C" w:rsidRPr="002F245A" w:rsidRDefault="00DB474C" w:rsidP="00DB474C">
      <w:pPr>
        <w:pStyle w:val="af5"/>
        <w:shd w:val="clear" w:color="auto" w:fill="FFFFFF"/>
        <w:spacing w:before="0" w:beforeAutospacing="0" w:after="0" w:afterAutospacing="0" w:line="276" w:lineRule="auto"/>
        <w:ind w:firstLine="709"/>
        <w:jc w:val="both"/>
        <w:textAlignment w:val="baseline"/>
        <w:rPr>
          <w:color w:val="0A0A0A"/>
          <w:sz w:val="26"/>
          <w:szCs w:val="26"/>
        </w:rPr>
      </w:pPr>
      <w:r w:rsidRPr="002F245A">
        <w:rPr>
          <w:color w:val="0A0A0A"/>
          <w:sz w:val="26"/>
          <w:szCs w:val="26"/>
        </w:rPr>
        <w:t xml:space="preserve">На фоне пандемии и подорожания городской недвижимости спрос на покупку земельных участков </w:t>
      </w:r>
      <w:r>
        <w:rPr>
          <w:color w:val="0A0A0A"/>
          <w:sz w:val="26"/>
          <w:szCs w:val="26"/>
        </w:rPr>
        <w:t xml:space="preserve">и жилых домов </w:t>
      </w:r>
      <w:r w:rsidRPr="002F245A">
        <w:rPr>
          <w:color w:val="0A0A0A"/>
          <w:sz w:val="26"/>
          <w:szCs w:val="26"/>
        </w:rPr>
        <w:t xml:space="preserve">в России вырос на 43%. Такие данные следуют из исследования «Авито-Недвижимость». Аналогичная ситуация прослеживается и в Воронежской области. </w:t>
      </w:r>
      <w:r w:rsidRPr="002F245A">
        <w:rPr>
          <w:color w:val="0A0A0A"/>
          <w:sz w:val="26"/>
          <w:szCs w:val="26"/>
          <w:shd w:val="clear" w:color="auto" w:fill="FFFFFF"/>
        </w:rPr>
        <w:t xml:space="preserve">Популярности покупки </w:t>
      </w:r>
      <w:r>
        <w:rPr>
          <w:color w:val="0A0A0A"/>
          <w:sz w:val="26"/>
          <w:szCs w:val="26"/>
          <w:shd w:val="clear" w:color="auto" w:fill="FFFFFF"/>
        </w:rPr>
        <w:t>данных объектов</w:t>
      </w:r>
      <w:r w:rsidRPr="002F245A">
        <w:rPr>
          <w:color w:val="0A0A0A"/>
          <w:sz w:val="26"/>
          <w:szCs w:val="26"/>
          <w:shd w:val="clear" w:color="auto" w:fill="FFFFFF"/>
        </w:rPr>
        <w:t xml:space="preserve"> способствует и экономическая ситуация: курс рубля последние несколько месяцев 2020г. показывал отрицательную динамику, реальные доходы граждан сокращались, и потребность в сохранении уже накопленного капитала в виде инвестиций в недвижимость стала как никогда актуальной. При этом на рынке городских квартир уже не первый месяц фиксируется значительный рост цен: в категориях как первичного, так и вторичного жилья. На этом фоне приобретение земли под последующее самостоятельное строительство многим видится более доступным вариантом</w:t>
      </w:r>
      <w:r w:rsidRPr="002F245A">
        <w:rPr>
          <w:color w:val="0A0A0A"/>
          <w:sz w:val="26"/>
          <w:szCs w:val="26"/>
        </w:rPr>
        <w:t>. Повышенной востребованности участков под ИЖС способствовали и другие факторы, например, программа «Сельская ипотека», которая была запущена в России в начале этого года, а также целый ряд изменений, связанных с условиями получения материнского капитала. Рост спроса (III квартал 2020г. к III кварталу 2019г.) на участки ИЖС Воронежской области составил 49%</w:t>
      </w:r>
      <w:r w:rsidRPr="002F245A">
        <w:rPr>
          <w:rStyle w:val="af2"/>
          <w:color w:val="0A0A0A"/>
          <w:sz w:val="26"/>
          <w:szCs w:val="26"/>
        </w:rPr>
        <w:footnoteReference w:id="97"/>
      </w:r>
      <w:r w:rsidRPr="002F245A">
        <w:rPr>
          <w:color w:val="0A0A0A"/>
          <w:sz w:val="26"/>
          <w:szCs w:val="26"/>
        </w:rPr>
        <w:t>.</w:t>
      </w:r>
    </w:p>
    <w:p w14:paraId="0EADAB35" w14:textId="77777777" w:rsidR="00DB474C" w:rsidRPr="007A733D" w:rsidRDefault="00DB474C" w:rsidP="00DB474C">
      <w:pPr>
        <w:spacing w:before="120" w:after="0" w:line="276" w:lineRule="auto"/>
        <w:jc w:val="center"/>
        <w:rPr>
          <w:rStyle w:val="af9"/>
          <w:rFonts w:ascii="Times New Roman" w:hAnsi="Times New Roman" w:cs="Times New Roman"/>
          <w:b w:val="0"/>
          <w:i/>
          <w:sz w:val="26"/>
          <w:szCs w:val="26"/>
        </w:rPr>
      </w:pPr>
      <w:r w:rsidRPr="007A733D">
        <w:rPr>
          <w:rStyle w:val="af9"/>
          <w:rFonts w:ascii="Times New Roman" w:hAnsi="Times New Roman" w:cs="Times New Roman"/>
          <w:b w:val="0"/>
          <w:i/>
          <w:sz w:val="26"/>
          <w:szCs w:val="26"/>
        </w:rPr>
        <w:t>Собранная исполнителем рыночная информация</w:t>
      </w:r>
    </w:p>
    <w:p w14:paraId="378DD573" w14:textId="77777777" w:rsidR="00DB474C" w:rsidRPr="002F245A" w:rsidRDefault="00DB474C" w:rsidP="00DB474C">
      <w:pPr>
        <w:spacing w:after="0" w:line="300" w:lineRule="auto"/>
        <w:ind w:firstLine="709"/>
        <w:jc w:val="both"/>
        <w:rPr>
          <w:rFonts w:ascii="Times New Roman" w:hAnsi="Times New Roman" w:cs="Times New Roman"/>
          <w:sz w:val="26"/>
          <w:szCs w:val="26"/>
        </w:rPr>
      </w:pPr>
      <w:r w:rsidRPr="002F245A">
        <w:rPr>
          <w:rFonts w:ascii="Times New Roman" w:hAnsi="Times New Roman" w:cs="Times New Roman"/>
          <w:color w:val="000000"/>
          <w:sz w:val="26"/>
          <w:szCs w:val="26"/>
        </w:rPr>
        <w:t xml:space="preserve">Для анализа рынка </w:t>
      </w:r>
      <w:r>
        <w:rPr>
          <w:rFonts w:ascii="Times New Roman" w:hAnsi="Times New Roman" w:cs="Times New Roman"/>
          <w:color w:val="000000"/>
          <w:sz w:val="26"/>
          <w:szCs w:val="26"/>
        </w:rPr>
        <w:t>сегмента</w:t>
      </w:r>
      <w:r w:rsidRPr="002F245A">
        <w:rPr>
          <w:rFonts w:ascii="Times New Roman" w:hAnsi="Times New Roman" w:cs="Times New Roman"/>
          <w:color w:val="000000"/>
          <w:sz w:val="26"/>
          <w:szCs w:val="26"/>
        </w:rPr>
        <w:t xml:space="preserve"> «</w:t>
      </w:r>
      <w:r w:rsidRPr="008E2774">
        <w:rPr>
          <w:rFonts w:ascii="Times New Roman" w:hAnsi="Times New Roman" w:cs="Times New Roman"/>
          <w:color w:val="000000"/>
          <w:sz w:val="26"/>
          <w:szCs w:val="26"/>
        </w:rPr>
        <w:t>Садоводство и огородничество, малоэтажная жилая застройка</w:t>
      </w:r>
      <w:r w:rsidRPr="002F245A">
        <w:rPr>
          <w:rFonts w:ascii="Times New Roman" w:hAnsi="Times New Roman" w:cs="Times New Roman"/>
          <w:sz w:val="26"/>
          <w:szCs w:val="26"/>
        </w:rPr>
        <w:t xml:space="preserve">» </w:t>
      </w:r>
      <w:r w:rsidRPr="002F245A">
        <w:rPr>
          <w:rFonts w:ascii="Times New Roman" w:hAnsi="Times New Roman" w:cs="Times New Roman"/>
          <w:color w:val="000000"/>
          <w:sz w:val="26"/>
          <w:szCs w:val="26"/>
        </w:rPr>
        <w:t>выполнен сбор информации о сделках и предложениях</w:t>
      </w:r>
      <w:r>
        <w:rPr>
          <w:rFonts w:ascii="Times New Roman" w:hAnsi="Times New Roman" w:cs="Times New Roman"/>
          <w:color w:val="000000"/>
          <w:sz w:val="26"/>
          <w:szCs w:val="26"/>
        </w:rPr>
        <w:t>,</w:t>
      </w:r>
      <w:r w:rsidRPr="002F245A">
        <w:rPr>
          <w:rFonts w:ascii="Times New Roman" w:hAnsi="Times New Roman" w:cs="Times New Roman"/>
          <w:color w:val="000000"/>
          <w:sz w:val="26"/>
          <w:szCs w:val="26"/>
        </w:rPr>
        <w:t xml:space="preserve"> представленных на первичном и вторичном рынках недвижимости Воронежской области</w:t>
      </w:r>
      <w:r w:rsidRPr="002F245A">
        <w:rPr>
          <w:rFonts w:ascii="Times New Roman" w:hAnsi="Times New Roman" w:cs="Times New Roman"/>
          <w:sz w:val="26"/>
          <w:szCs w:val="26"/>
        </w:rPr>
        <w:t xml:space="preserve">. </w:t>
      </w:r>
    </w:p>
    <w:p w14:paraId="57428005" w14:textId="77777777" w:rsidR="00DB474C" w:rsidRPr="002F245A" w:rsidRDefault="00DB474C" w:rsidP="00DB474C">
      <w:pPr>
        <w:spacing w:after="0" w:line="276" w:lineRule="auto"/>
        <w:ind w:firstLine="708"/>
        <w:jc w:val="both"/>
        <w:rPr>
          <w:rFonts w:ascii="Times New Roman" w:hAnsi="Times New Roman" w:cs="Times New Roman"/>
          <w:sz w:val="26"/>
          <w:szCs w:val="26"/>
        </w:rPr>
      </w:pPr>
      <w:r w:rsidRPr="002F245A">
        <w:rPr>
          <w:rFonts w:ascii="Times New Roman" w:hAnsi="Times New Roman" w:cs="Times New Roman"/>
          <w:sz w:val="26"/>
          <w:szCs w:val="26"/>
        </w:rPr>
        <w:t>Первичный рынок недвижимости представляет собой свод информации о сделках, осуществленных органами местного самоуправления, заключенных по результатам проведения торгов на территории Воронежской области, а также данные Управления Росреестра по Воронежской области. Вторичный рынок представляет собой предложения по продаже, представленные на сайтах для размещения объявлений, в газетах и т.д.</w:t>
      </w:r>
    </w:p>
    <w:p w14:paraId="2D361CE1" w14:textId="14AE6956" w:rsidR="00DB474C" w:rsidRPr="002F245A" w:rsidRDefault="00DB474C" w:rsidP="00DB474C">
      <w:pPr>
        <w:spacing w:after="0" w:line="300" w:lineRule="auto"/>
        <w:ind w:firstLine="709"/>
        <w:jc w:val="both"/>
        <w:rPr>
          <w:rFonts w:ascii="Times New Roman" w:hAnsi="Times New Roman" w:cs="Times New Roman"/>
          <w:sz w:val="26"/>
          <w:szCs w:val="26"/>
        </w:rPr>
      </w:pPr>
      <w:r w:rsidRPr="002F245A">
        <w:rPr>
          <w:rFonts w:ascii="Times New Roman" w:hAnsi="Times New Roman" w:cs="Times New Roman"/>
          <w:sz w:val="26"/>
          <w:szCs w:val="26"/>
        </w:rPr>
        <w:t xml:space="preserve">Информация о предложениях (сделках) представлена в </w:t>
      </w:r>
      <w:r w:rsidR="008009AF" w:rsidRPr="002F245A">
        <w:rPr>
          <w:rFonts w:ascii="Times New Roman" w:hAnsi="Times New Roman" w:cs="Times New Roman"/>
          <w:sz w:val="26"/>
          <w:szCs w:val="26"/>
        </w:rPr>
        <w:t xml:space="preserve">Приложении </w:t>
      </w:r>
      <w:r w:rsidR="008009AF">
        <w:rPr>
          <w:rFonts w:ascii="Times New Roman" w:hAnsi="Times New Roman" w:cs="Times New Roman"/>
          <w:sz w:val="26"/>
          <w:szCs w:val="26"/>
        </w:rPr>
        <w:t>1/1.6/</w:t>
      </w:r>
      <w:r w:rsidR="008009AF" w:rsidRPr="00D15360">
        <w:rPr>
          <w:rFonts w:ascii="Times New Roman" w:hAnsi="Times New Roman" w:cs="Times New Roman"/>
          <w:sz w:val="26"/>
          <w:szCs w:val="26"/>
        </w:rPr>
        <w:t>1.6.2</w:t>
      </w:r>
      <w:r w:rsidR="008009AF">
        <w:rPr>
          <w:rFonts w:ascii="Times New Roman" w:hAnsi="Times New Roman" w:cs="Times New Roman"/>
          <w:sz w:val="26"/>
          <w:szCs w:val="26"/>
        </w:rPr>
        <w:t xml:space="preserve"> и Приложении 5.</w:t>
      </w:r>
    </w:p>
    <w:p w14:paraId="0FFEAE25" w14:textId="77777777" w:rsidR="00DB474C" w:rsidRDefault="00DB474C" w:rsidP="00DB474C">
      <w:pPr>
        <w:pStyle w:val="Textbody"/>
        <w:spacing w:after="0" w:line="276" w:lineRule="auto"/>
        <w:ind w:firstLine="709"/>
        <w:jc w:val="both"/>
        <w:rPr>
          <w:rFonts w:ascii="Times New Roman" w:hAnsi="Times New Roman" w:cs="Times New Roman"/>
          <w:sz w:val="26"/>
          <w:szCs w:val="26"/>
          <w:lang w:val="ru-RU"/>
        </w:rPr>
      </w:pPr>
      <w:r>
        <w:rPr>
          <w:rFonts w:ascii="Times New Roman" w:hAnsi="Times New Roman" w:cs="Times New Roman"/>
          <w:sz w:val="26"/>
          <w:szCs w:val="26"/>
          <w:lang w:val="ru-RU"/>
        </w:rPr>
        <w:t>Для</w:t>
      </w:r>
      <w:r w:rsidRPr="002F245A">
        <w:rPr>
          <w:rFonts w:ascii="Times New Roman" w:hAnsi="Times New Roman" w:cs="Times New Roman"/>
          <w:sz w:val="26"/>
          <w:szCs w:val="26"/>
          <w:lang w:val="ru-RU"/>
        </w:rPr>
        <w:t xml:space="preserve"> </w:t>
      </w:r>
      <w:r>
        <w:rPr>
          <w:rFonts w:ascii="Times New Roman" w:hAnsi="Times New Roman" w:cs="Times New Roman"/>
          <w:sz w:val="26"/>
          <w:szCs w:val="26"/>
          <w:lang w:val="ru-RU"/>
        </w:rPr>
        <w:t xml:space="preserve">сегмента </w:t>
      </w:r>
      <w:r w:rsidRPr="002F245A">
        <w:rPr>
          <w:rFonts w:ascii="Times New Roman" w:hAnsi="Times New Roman" w:cs="Times New Roman"/>
          <w:sz w:val="26"/>
          <w:szCs w:val="26"/>
          <w:lang w:val="ru-RU"/>
        </w:rPr>
        <w:t>«</w:t>
      </w:r>
      <w:r w:rsidRPr="008E2774">
        <w:rPr>
          <w:rFonts w:ascii="Times New Roman" w:hAnsi="Times New Roman" w:cs="Times New Roman"/>
          <w:color w:val="000000"/>
          <w:sz w:val="26"/>
          <w:szCs w:val="26"/>
          <w:lang w:val="ru-RU"/>
        </w:rPr>
        <w:t>Садоводство и огородничество, малоэтажная жилая застройка</w:t>
      </w:r>
      <w:r>
        <w:rPr>
          <w:rFonts w:ascii="Times New Roman" w:hAnsi="Times New Roman" w:cs="Times New Roman"/>
          <w:sz w:val="26"/>
          <w:szCs w:val="26"/>
          <w:lang w:val="ru-RU"/>
        </w:rPr>
        <w:t xml:space="preserve"> анализ рынка недвижимости проведен по следующим направлениям: </w:t>
      </w:r>
    </w:p>
    <w:p w14:paraId="386B8314" w14:textId="77777777" w:rsidR="00DB474C" w:rsidRDefault="00DB474C" w:rsidP="00DB474C">
      <w:pPr>
        <w:pStyle w:val="Textbody"/>
        <w:spacing w:after="0" w:line="276" w:lineRule="auto"/>
        <w:ind w:firstLine="709"/>
        <w:jc w:val="both"/>
        <w:rPr>
          <w:rFonts w:ascii="Times New Roman" w:hAnsi="Times New Roman" w:cs="Times New Roman"/>
          <w:sz w:val="26"/>
          <w:szCs w:val="26"/>
          <w:lang w:val="ru-RU"/>
        </w:rPr>
      </w:pPr>
      <w:r>
        <w:rPr>
          <w:rFonts w:ascii="Times New Roman" w:hAnsi="Times New Roman" w:cs="Times New Roman"/>
          <w:sz w:val="26"/>
          <w:szCs w:val="26"/>
          <w:lang w:val="ru-RU"/>
        </w:rPr>
        <w:t>-земельные участки для малоэтажных многоквартирных жилых домов;</w:t>
      </w:r>
    </w:p>
    <w:p w14:paraId="0F90749B" w14:textId="77777777" w:rsidR="00DB474C" w:rsidRDefault="00DB474C" w:rsidP="00DB474C">
      <w:pPr>
        <w:pStyle w:val="Textbody"/>
        <w:spacing w:after="0" w:line="276" w:lineRule="auto"/>
        <w:ind w:firstLine="709"/>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-земельные участки </w:t>
      </w:r>
      <w:r w:rsidRPr="002F245A">
        <w:rPr>
          <w:rFonts w:ascii="Times New Roman" w:hAnsi="Times New Roman" w:cs="Times New Roman"/>
          <w:sz w:val="26"/>
          <w:szCs w:val="26"/>
          <w:lang w:val="ru-RU"/>
        </w:rPr>
        <w:t>для индивидуального жилищного строительства</w:t>
      </w:r>
      <w:r>
        <w:rPr>
          <w:rFonts w:ascii="Times New Roman" w:hAnsi="Times New Roman" w:cs="Times New Roman"/>
          <w:sz w:val="26"/>
          <w:szCs w:val="26"/>
          <w:lang w:val="ru-RU"/>
        </w:rPr>
        <w:t xml:space="preserve"> и </w:t>
      </w:r>
      <w:r w:rsidRPr="002F245A">
        <w:rPr>
          <w:rFonts w:ascii="Times New Roman" w:hAnsi="Times New Roman" w:cs="Times New Roman"/>
          <w:sz w:val="26"/>
          <w:szCs w:val="26"/>
          <w:lang w:val="ru-RU"/>
        </w:rPr>
        <w:t>ведения личного подсобного хозяйства</w:t>
      </w:r>
      <w:r>
        <w:rPr>
          <w:rFonts w:ascii="Times New Roman" w:hAnsi="Times New Roman" w:cs="Times New Roman"/>
          <w:sz w:val="26"/>
          <w:szCs w:val="26"/>
          <w:lang w:val="ru-RU"/>
        </w:rPr>
        <w:t>;</w:t>
      </w:r>
      <w:r w:rsidRPr="002F245A">
        <w:rPr>
          <w:rFonts w:ascii="Times New Roman" w:hAnsi="Times New Roman" w:cs="Times New Roman"/>
          <w:sz w:val="26"/>
          <w:szCs w:val="26"/>
          <w:lang w:val="ru-RU"/>
        </w:rPr>
        <w:t xml:space="preserve"> </w:t>
      </w:r>
    </w:p>
    <w:p w14:paraId="33D605B9" w14:textId="77777777" w:rsidR="00DB474C" w:rsidRPr="00B95452" w:rsidRDefault="00DB474C" w:rsidP="00DB474C">
      <w:pPr>
        <w:pStyle w:val="Textbody"/>
        <w:spacing w:after="0" w:line="276" w:lineRule="auto"/>
        <w:ind w:firstLine="709"/>
        <w:jc w:val="both"/>
        <w:rPr>
          <w:rFonts w:ascii="Times New Roman" w:hAnsi="Times New Roman" w:cs="Times New Roman"/>
          <w:sz w:val="26"/>
          <w:szCs w:val="26"/>
          <w:lang w:val="ru-RU"/>
        </w:rPr>
      </w:pPr>
      <w:r>
        <w:rPr>
          <w:rFonts w:ascii="Times New Roman" w:hAnsi="Times New Roman" w:cs="Times New Roman"/>
          <w:sz w:val="26"/>
          <w:szCs w:val="26"/>
          <w:lang w:val="ru-RU"/>
        </w:rPr>
        <w:t>-земельные участки для садоводства и огородничества.</w:t>
      </w:r>
    </w:p>
    <w:p w14:paraId="34A65284" w14:textId="77777777" w:rsidR="00DB474C" w:rsidRPr="002F245A" w:rsidRDefault="00DB474C" w:rsidP="00DB474C">
      <w:pPr>
        <w:spacing w:after="0" w:line="300" w:lineRule="auto"/>
        <w:ind w:firstLine="709"/>
        <w:jc w:val="both"/>
        <w:rPr>
          <w:rFonts w:ascii="Times New Roman" w:hAnsi="Times New Roman" w:cs="Times New Roman"/>
          <w:sz w:val="26"/>
          <w:szCs w:val="26"/>
        </w:rPr>
      </w:pPr>
      <w:r>
        <w:rPr>
          <w:rFonts w:ascii="Times New Roman" w:hAnsi="Times New Roman" w:cs="Times New Roman"/>
          <w:sz w:val="26"/>
          <w:szCs w:val="26"/>
        </w:rPr>
        <w:t>Обзор р</w:t>
      </w:r>
      <w:r w:rsidRPr="002F245A">
        <w:rPr>
          <w:rFonts w:ascii="Times New Roman" w:hAnsi="Times New Roman" w:cs="Times New Roman"/>
          <w:sz w:val="26"/>
          <w:szCs w:val="26"/>
        </w:rPr>
        <w:t>ынк</w:t>
      </w:r>
      <w:r>
        <w:rPr>
          <w:rFonts w:ascii="Times New Roman" w:hAnsi="Times New Roman" w:cs="Times New Roman"/>
          <w:sz w:val="26"/>
          <w:szCs w:val="26"/>
        </w:rPr>
        <w:t>а</w:t>
      </w:r>
      <w:r w:rsidRPr="002F245A">
        <w:rPr>
          <w:rFonts w:ascii="Times New Roman" w:hAnsi="Times New Roman" w:cs="Times New Roman"/>
          <w:sz w:val="26"/>
          <w:szCs w:val="26"/>
        </w:rPr>
        <w:t xml:space="preserve"> </w:t>
      </w:r>
      <w:r>
        <w:rPr>
          <w:rFonts w:ascii="Times New Roman" w:hAnsi="Times New Roman" w:cs="Times New Roman"/>
          <w:sz w:val="26"/>
          <w:szCs w:val="26"/>
        </w:rPr>
        <w:t>недвижимости</w:t>
      </w:r>
      <w:r w:rsidRPr="002F245A">
        <w:rPr>
          <w:rFonts w:ascii="Times New Roman" w:hAnsi="Times New Roman" w:cs="Times New Roman"/>
          <w:sz w:val="26"/>
          <w:szCs w:val="26"/>
        </w:rPr>
        <w:t xml:space="preserve"> </w:t>
      </w:r>
      <w:r>
        <w:rPr>
          <w:rFonts w:ascii="Times New Roman" w:hAnsi="Times New Roman" w:cs="Times New Roman"/>
          <w:sz w:val="26"/>
          <w:szCs w:val="26"/>
        </w:rPr>
        <w:t>13 сегмента</w:t>
      </w:r>
      <w:r w:rsidRPr="002F245A">
        <w:rPr>
          <w:rFonts w:ascii="Times New Roman" w:hAnsi="Times New Roman" w:cs="Times New Roman"/>
          <w:sz w:val="26"/>
          <w:szCs w:val="26"/>
        </w:rPr>
        <w:t xml:space="preserve"> содержит информацию о </w:t>
      </w:r>
      <w:r w:rsidRPr="00877931">
        <w:rPr>
          <w:rFonts w:ascii="Times New Roman" w:hAnsi="Times New Roman" w:cs="Times New Roman"/>
          <w:sz w:val="26"/>
          <w:szCs w:val="26"/>
        </w:rPr>
        <w:t xml:space="preserve">59 162 </w:t>
      </w:r>
      <w:r w:rsidRPr="002F245A">
        <w:rPr>
          <w:rFonts w:ascii="Times New Roman" w:hAnsi="Times New Roman" w:cs="Times New Roman"/>
          <w:sz w:val="26"/>
          <w:szCs w:val="26"/>
        </w:rPr>
        <w:t xml:space="preserve">предложениях (сделках) по Воронежской области. </w:t>
      </w:r>
    </w:p>
    <w:p w14:paraId="6BB8504B" w14:textId="77777777" w:rsidR="00DB474C" w:rsidRPr="002F245A" w:rsidRDefault="00DB474C" w:rsidP="00DB474C">
      <w:pPr>
        <w:spacing w:after="0" w:line="276" w:lineRule="auto"/>
        <w:ind w:firstLine="567"/>
        <w:jc w:val="both"/>
        <w:rPr>
          <w:rFonts w:ascii="Times New Roman" w:hAnsi="Times New Roman" w:cs="Times New Roman"/>
          <w:sz w:val="26"/>
          <w:szCs w:val="26"/>
        </w:rPr>
      </w:pPr>
      <w:r w:rsidRPr="002F245A">
        <w:rPr>
          <w:rFonts w:ascii="Times New Roman" w:hAnsi="Times New Roman" w:cs="Times New Roman"/>
          <w:sz w:val="26"/>
          <w:szCs w:val="26"/>
        </w:rPr>
        <w:t>Так как используемая рыночная информация неоднородна, в целях возможности ее сопоставления для дальнейшего анализа к ценам предложений (сделок) применены корректировки, описание которых представлено далее.</w:t>
      </w:r>
    </w:p>
    <w:p w14:paraId="18ED2BE2"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торг</w:t>
      </w:r>
    </w:p>
    <w:p w14:paraId="5DB94076" w14:textId="77777777" w:rsidR="00DB474C" w:rsidRDefault="00DB474C" w:rsidP="00DB474C">
      <w:pPr>
        <w:spacing w:before="120" w:after="0" w:line="300" w:lineRule="auto"/>
        <w:ind w:firstLine="567"/>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При продаже земельных участков на рынке недвижимости возможно снижение цены сделки за счет уторговывания. </w:t>
      </w:r>
      <w:r>
        <w:rPr>
          <w:rFonts w:ascii="Times New Roman" w:eastAsia="Times New Roman" w:hAnsi="Times New Roman" w:cs="Times New Roman"/>
          <w:sz w:val="26"/>
          <w:szCs w:val="26"/>
          <w:lang w:eastAsia="ru-RU"/>
        </w:rPr>
        <w:t xml:space="preserve">Так как в представленной рыночной выборке содержится информация и по предложениям, и по сделкам, удельные показатели цены предложения по продаже объектов-аналогов были скорректированы на тип сделки (скидка на торг). </w:t>
      </w:r>
      <w:r>
        <w:rPr>
          <w:rFonts w:ascii="Times New Roman" w:eastAsia="Calibri" w:hAnsi="Times New Roman" w:cs="Times New Roman"/>
          <w:sz w:val="26"/>
          <w:szCs w:val="26"/>
        </w:rPr>
        <w:t>Величина скидки на торг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101" w:history="1">
        <w:r w:rsidRPr="00A67AF4">
          <w:rPr>
            <w:rStyle w:val="ad"/>
            <w:rFonts w:ascii="Times New Roman" w:hAnsi="Times New Roman" w:cs="Times New Roman"/>
            <w:sz w:val="26"/>
            <w:szCs w:val="26"/>
          </w:rPr>
          <w:t>https://statrielt.ru/</w:t>
        </w:r>
      </w:hyperlink>
      <w:r w:rsidRPr="00A67AF4">
        <w:rPr>
          <w:rFonts w:ascii="Times New Roman" w:hAnsi="Times New Roman" w:cs="Times New Roman"/>
          <w:sz w:val="26"/>
          <w:szCs w:val="26"/>
        </w:rPr>
        <w:t>).</w:t>
      </w:r>
    </w:p>
    <w:p w14:paraId="26EAD406" w14:textId="77777777" w:rsidR="00DB474C" w:rsidRDefault="00DB474C" w:rsidP="00DB474C">
      <w:pPr>
        <w:jc w:val="both"/>
      </w:pPr>
      <w:r w:rsidRPr="00376FBD">
        <w:rPr>
          <w:noProof/>
          <w:lang w:eastAsia="ru-RU"/>
        </w:rPr>
        <w:drawing>
          <wp:inline distT="0" distB="0" distL="0" distR="0" wp14:anchorId="2A6C4527" wp14:editId="16A5AC62">
            <wp:extent cx="5940425" cy="3869690"/>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869690"/>
                    </a:xfrm>
                    <a:prstGeom prst="rect">
                      <a:avLst/>
                    </a:prstGeom>
                  </pic:spPr>
                </pic:pic>
              </a:graphicData>
            </a:graphic>
          </wp:inline>
        </w:drawing>
      </w:r>
    </w:p>
    <w:p w14:paraId="19D4A5E6" w14:textId="34E29D0F" w:rsidR="00DB474C" w:rsidRDefault="00DB474C" w:rsidP="00E564BF">
      <w:pPr>
        <w:spacing w:after="0" w:line="300" w:lineRule="auto"/>
        <w:ind w:firstLine="567"/>
        <w:jc w:val="center"/>
        <w:rPr>
          <w:rFonts w:ascii="Times New Roman" w:eastAsia="Calibri" w:hAnsi="Times New Roman" w:cs="Times New Roman"/>
          <w:sz w:val="26"/>
          <w:szCs w:val="26"/>
        </w:rPr>
      </w:pPr>
      <w:r>
        <w:rPr>
          <w:rFonts w:ascii="Times New Roman" w:eastAsia="Calibri" w:hAnsi="Times New Roman" w:cs="Times New Roman"/>
          <w:sz w:val="26"/>
          <w:szCs w:val="26"/>
        </w:rPr>
        <w:t>Рис.3.1.3.8.1- Скидка на торг, уторгование при продаже земельных участков на 01.01.2022 года по данным некоммерческой организации «Ассоциация развития рынка недвижимости «</w:t>
      </w:r>
      <w:r w:rsidRPr="00A67AF4">
        <w:rPr>
          <w:rFonts w:ascii="Times New Roman" w:eastAsia="Calibri" w:hAnsi="Times New Roman" w:cs="Times New Roman"/>
          <w:sz w:val="26"/>
          <w:szCs w:val="26"/>
        </w:rPr>
        <w:t>СтатРиелт»</w:t>
      </w:r>
      <w:r>
        <w:rPr>
          <w:rStyle w:val="af2"/>
          <w:rFonts w:ascii="Times New Roman" w:eastAsia="Calibri" w:hAnsi="Times New Roman" w:cs="Times New Roman"/>
          <w:sz w:val="26"/>
          <w:szCs w:val="26"/>
        </w:rPr>
        <w:footnoteReference w:id="98"/>
      </w:r>
    </w:p>
    <w:p w14:paraId="0DED397B" w14:textId="77777777" w:rsidR="00DB474C" w:rsidRPr="00650F12" w:rsidRDefault="00DB474C" w:rsidP="00DB474C">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данном случае размер скидки на торг принимаем для земель населенных пунктов под ИЖС, ЛПХ, ДНП и СНТ, значения лежат в доверительном интервале от 0,91 до 0,95 и в среднем по РФ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93</w:t>
      </w:r>
      <w:r>
        <w:rPr>
          <w:rFonts w:ascii="Times New Roman" w:eastAsia="Calibri" w:hAnsi="Times New Roman" w:cs="Times New Roman"/>
          <w:sz w:val="26"/>
          <w:szCs w:val="26"/>
        </w:rPr>
        <w:t xml:space="preserve"> (раздел «</w:t>
      </w:r>
      <w:r w:rsidRPr="00CB1B3C">
        <w:rPr>
          <w:rFonts w:ascii="Times New Roman" w:hAnsi="Times New Roman" w:cs="Times New Roman"/>
          <w:sz w:val="26"/>
          <w:szCs w:val="26"/>
        </w:rPr>
        <w:t>Скидка на торг, уторгование при продаже земельных участков на 01.</w:t>
      </w:r>
      <w:r>
        <w:rPr>
          <w:rFonts w:ascii="Times New Roman" w:hAnsi="Times New Roman" w:cs="Times New Roman"/>
          <w:sz w:val="26"/>
          <w:szCs w:val="26"/>
        </w:rPr>
        <w:t>01</w:t>
      </w:r>
      <w:r w:rsidRPr="00CB1B3C">
        <w:rPr>
          <w:rFonts w:ascii="Times New Roman" w:hAnsi="Times New Roman" w:cs="Times New Roman"/>
          <w:sz w:val="26"/>
          <w:szCs w:val="26"/>
        </w:rPr>
        <w:t>.202</w:t>
      </w:r>
      <w:r>
        <w:rPr>
          <w:rFonts w:ascii="Times New Roman" w:hAnsi="Times New Roman" w:cs="Times New Roman"/>
          <w:sz w:val="26"/>
          <w:szCs w:val="26"/>
        </w:rPr>
        <w:t>2</w:t>
      </w:r>
      <w:r w:rsidRPr="00CB1B3C">
        <w:rPr>
          <w:rFonts w:ascii="Times New Roman" w:hAnsi="Times New Roman" w:cs="Times New Roman"/>
          <w:sz w:val="26"/>
          <w:szCs w:val="26"/>
        </w:rPr>
        <w:t xml:space="preserve"> года</w:t>
      </w:r>
      <w:r>
        <w:rPr>
          <w:rFonts w:ascii="Times New Roman" w:hAnsi="Times New Roman" w:cs="Times New Roman"/>
          <w:sz w:val="26"/>
          <w:szCs w:val="26"/>
        </w:rPr>
        <w:t>»)</w:t>
      </w:r>
      <w:r>
        <w:rPr>
          <w:rFonts w:ascii="Times New Roman" w:eastAsia="Calibri" w:hAnsi="Times New Roman" w:cs="Times New Roman"/>
          <w:sz w:val="26"/>
          <w:szCs w:val="26"/>
        </w:rPr>
        <w:t xml:space="preserve">. Принято среднее значение диапазона. Для объектов ДНП и СНТ, которые расположены на землях сельскохозяйственного назначения, значения лежат в доверительном интервале от 0,88 до 0,95 и в среднем по РФ составляет </w:t>
      </w:r>
      <w:r w:rsidRPr="00650F12">
        <w:rPr>
          <w:rFonts w:ascii="Times New Roman" w:eastAsia="Calibri" w:hAnsi="Times New Roman" w:cs="Times New Roman"/>
          <w:b/>
          <w:sz w:val="26"/>
          <w:szCs w:val="26"/>
        </w:rPr>
        <w:t>0,</w:t>
      </w:r>
      <w:r>
        <w:rPr>
          <w:rFonts w:ascii="Times New Roman" w:eastAsia="Calibri" w:hAnsi="Times New Roman" w:cs="Times New Roman"/>
          <w:b/>
          <w:sz w:val="26"/>
          <w:szCs w:val="26"/>
        </w:rPr>
        <w:t>92</w:t>
      </w:r>
      <w:r w:rsidRPr="00650F12">
        <w:rPr>
          <w:rFonts w:ascii="Times New Roman" w:eastAsia="Calibri" w:hAnsi="Times New Roman" w:cs="Times New Roman"/>
          <w:sz w:val="26"/>
          <w:szCs w:val="26"/>
        </w:rPr>
        <w:t xml:space="preserve"> (также принято среднее значение диапазона).</w:t>
      </w:r>
    </w:p>
    <w:p w14:paraId="60C2DDC0"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дату</w:t>
      </w:r>
    </w:p>
    <w:p w14:paraId="2EC20630" w14:textId="77777777" w:rsidR="00DB474C" w:rsidRDefault="00DB474C" w:rsidP="00DB474C">
      <w:pPr>
        <w:spacing w:after="0" w:line="300" w:lineRule="auto"/>
        <w:ind w:firstLine="708"/>
        <w:jc w:val="both"/>
        <w:rPr>
          <w:rFonts w:ascii="Times New Roman" w:hAnsi="Times New Roman" w:cs="Times New Roman"/>
          <w:b/>
          <w:sz w:val="26"/>
          <w:szCs w:val="26"/>
        </w:rPr>
      </w:pPr>
      <w:r>
        <w:rPr>
          <w:rFonts w:ascii="Times New Roman" w:hAnsi="Times New Roman" w:cs="Times New Roman"/>
          <w:sz w:val="26"/>
          <w:szCs w:val="26"/>
        </w:rPr>
        <w:t xml:space="preserve">Изменение рыночной конъюнктуры, условия которой могут сильно отразиться на стоимости объекта недвижимости, происходят с течением времени. </w:t>
      </w:r>
      <w:r>
        <w:rPr>
          <w:rFonts w:ascii="Times New Roman" w:eastAsia="Calibri" w:hAnsi="Times New Roman" w:cs="Times New Roman"/>
          <w:sz w:val="26"/>
          <w:szCs w:val="26"/>
        </w:rPr>
        <w:t xml:space="preserve">Корректировка на дату учитывает изменение цен на земельные участки за период с даты заключения сделки (предложения) с объектом-аналогом до даты проведения настоящей оценки. </w:t>
      </w:r>
    </w:p>
    <w:p w14:paraId="64742771" w14:textId="77777777" w:rsidR="00DB474C" w:rsidRDefault="00DB474C" w:rsidP="00DB474C">
      <w:pPr>
        <w:jc w:val="center"/>
      </w:pPr>
      <w:r w:rsidRPr="00376FBD">
        <w:rPr>
          <w:noProof/>
          <w:lang w:eastAsia="ru-RU"/>
        </w:rPr>
        <w:drawing>
          <wp:inline distT="0" distB="0" distL="0" distR="0" wp14:anchorId="6CD2DC74" wp14:editId="70603876">
            <wp:extent cx="5940425" cy="3978910"/>
            <wp:effectExtent l="0" t="0" r="3175" b="254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978910"/>
                    </a:xfrm>
                    <a:prstGeom prst="rect">
                      <a:avLst/>
                    </a:prstGeom>
                  </pic:spPr>
                </pic:pic>
              </a:graphicData>
            </a:graphic>
          </wp:inline>
        </w:drawing>
      </w:r>
    </w:p>
    <w:p w14:paraId="571A093E" w14:textId="0CA4DD90" w:rsidR="00DB474C" w:rsidRDefault="00DB474C" w:rsidP="00DB474C">
      <w:pPr>
        <w:jc w:val="center"/>
        <w:rPr>
          <w:rFonts w:ascii="Times New Roman" w:eastAsia="Calibri" w:hAnsi="Times New Roman" w:cs="Times New Roman"/>
          <w:sz w:val="26"/>
          <w:szCs w:val="26"/>
        </w:rPr>
      </w:pPr>
      <w:r>
        <w:rPr>
          <w:rFonts w:ascii="Times New Roman" w:eastAsia="Calibri" w:hAnsi="Times New Roman" w:cs="Times New Roman"/>
          <w:sz w:val="26"/>
          <w:szCs w:val="26"/>
        </w:rPr>
        <w:t>Рис.3.1.3.8.2-</w:t>
      </w:r>
      <w:r w:rsidRPr="008C322D">
        <w:t xml:space="preserve"> </w:t>
      </w:r>
      <w:r w:rsidRPr="008C322D">
        <w:rPr>
          <w:rFonts w:ascii="Times New Roman" w:eastAsia="Calibri" w:hAnsi="Times New Roman" w:cs="Times New Roman"/>
          <w:sz w:val="26"/>
          <w:szCs w:val="26"/>
        </w:rPr>
        <w:t>Индексы изменения рыночных цен (в рублях) земельных участков</w:t>
      </w:r>
      <w:r>
        <w:rPr>
          <w:rFonts w:ascii="Times New Roman" w:eastAsia="Calibri" w:hAnsi="Times New Roman" w:cs="Times New Roman"/>
          <w:sz w:val="26"/>
          <w:szCs w:val="26"/>
        </w:rPr>
        <w:t xml:space="preserve"> по данным некоммерческой организации «Ассоциация развития рынка недвижимости «</w:t>
      </w:r>
      <w:r w:rsidRPr="00A67AF4">
        <w:rPr>
          <w:rFonts w:ascii="Times New Roman" w:eastAsia="Calibri" w:hAnsi="Times New Roman" w:cs="Times New Roman"/>
          <w:sz w:val="26"/>
          <w:szCs w:val="26"/>
        </w:rPr>
        <w:t>СтатРиелт»</w:t>
      </w:r>
      <w:r w:rsidR="001410AB">
        <w:rPr>
          <w:rStyle w:val="af2"/>
          <w:rFonts w:ascii="Times New Roman" w:eastAsia="Calibri" w:hAnsi="Times New Roman" w:cs="Times New Roman"/>
          <w:sz w:val="26"/>
          <w:szCs w:val="26"/>
        </w:rPr>
        <w:footnoteReference w:id="99"/>
      </w:r>
      <w:r w:rsidRPr="00A67AF4">
        <w:rPr>
          <w:rFonts w:ascii="Times New Roman" w:eastAsia="Calibri" w:hAnsi="Times New Roman" w:cs="Times New Roman"/>
          <w:sz w:val="26"/>
          <w:szCs w:val="26"/>
        </w:rPr>
        <w:t xml:space="preserve"> </w:t>
      </w:r>
    </w:p>
    <w:p w14:paraId="1CE17EA5" w14:textId="77777777" w:rsidR="00DB474C" w:rsidRDefault="00DB474C" w:rsidP="00DB474C">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был произведен расчет корректировок, значения представлены далее в таблице.</w:t>
      </w:r>
    </w:p>
    <w:p w14:paraId="11C441BB" w14:textId="77777777" w:rsidR="00DB474C" w:rsidRDefault="00DB474C" w:rsidP="00DB474C">
      <w:pPr>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3.1.3.8.1</w:t>
      </w:r>
    </w:p>
    <w:p w14:paraId="311A68D8" w14:textId="77777777" w:rsidR="00DB474C" w:rsidRPr="002F6E4F" w:rsidRDefault="00DB474C" w:rsidP="00DB474C">
      <w:pPr>
        <w:jc w:val="center"/>
        <w:rPr>
          <w:rFonts w:ascii="Times New Roman" w:eastAsia="Calibri" w:hAnsi="Times New Roman" w:cs="Times New Roman"/>
          <w:sz w:val="26"/>
          <w:szCs w:val="26"/>
        </w:rPr>
      </w:pPr>
      <w:r>
        <w:rPr>
          <w:rFonts w:ascii="Times New Roman" w:eastAsia="Calibri" w:hAnsi="Times New Roman" w:cs="Times New Roman"/>
          <w:sz w:val="26"/>
          <w:szCs w:val="26"/>
        </w:rPr>
        <w:t>Размер корректировок на дату, рассчитанных на каждое полугодие</w:t>
      </w:r>
    </w:p>
    <w:tbl>
      <w:tblPr>
        <w:tblStyle w:val="ae"/>
        <w:tblW w:w="4927" w:type="pct"/>
        <w:jc w:val="center"/>
        <w:tblLayout w:type="fixed"/>
        <w:tblLook w:val="04A0" w:firstRow="1" w:lastRow="0" w:firstColumn="1" w:lastColumn="0" w:noHBand="0" w:noVBand="1"/>
      </w:tblPr>
      <w:tblGrid>
        <w:gridCol w:w="1130"/>
        <w:gridCol w:w="993"/>
        <w:gridCol w:w="1558"/>
        <w:gridCol w:w="1416"/>
        <w:gridCol w:w="796"/>
        <w:gridCol w:w="622"/>
        <w:gridCol w:w="993"/>
        <w:gridCol w:w="1700"/>
      </w:tblGrid>
      <w:tr w:rsidR="00DB474C" w:rsidRPr="006640DC" w14:paraId="0F382F94" w14:textId="77777777" w:rsidTr="00F36E6C">
        <w:trPr>
          <w:jc w:val="center"/>
        </w:trPr>
        <w:tc>
          <w:tcPr>
            <w:tcW w:w="614" w:type="pct"/>
            <w:vAlign w:val="center"/>
          </w:tcPr>
          <w:p w14:paraId="5D34EC00" w14:textId="77777777" w:rsidR="00DB474C" w:rsidRPr="006640DC" w:rsidRDefault="00DB474C" w:rsidP="00F36E6C">
            <w:pPr>
              <w:jc w:val="center"/>
              <w:rPr>
                <w:rFonts w:ascii="Times New Roman" w:hAnsi="Times New Roman" w:cs="Times New Roman"/>
                <w:sz w:val="18"/>
                <w:szCs w:val="18"/>
              </w:rPr>
            </w:pPr>
            <w:r w:rsidRPr="006640DC">
              <w:rPr>
                <w:rFonts w:ascii="Times New Roman" w:hAnsi="Times New Roman" w:cs="Times New Roman"/>
                <w:sz w:val="18"/>
                <w:szCs w:val="18"/>
              </w:rPr>
              <w:t>к 01.0</w:t>
            </w:r>
            <w:r>
              <w:rPr>
                <w:rFonts w:ascii="Times New Roman" w:hAnsi="Times New Roman" w:cs="Times New Roman"/>
                <w:sz w:val="18"/>
                <w:szCs w:val="18"/>
              </w:rPr>
              <w:t>1</w:t>
            </w:r>
            <w:r w:rsidRPr="006640DC">
              <w:rPr>
                <w:rFonts w:ascii="Times New Roman" w:hAnsi="Times New Roman" w:cs="Times New Roman"/>
                <w:sz w:val="18"/>
                <w:szCs w:val="18"/>
              </w:rPr>
              <w:t>.202</w:t>
            </w:r>
            <w:r>
              <w:rPr>
                <w:rFonts w:ascii="Times New Roman" w:hAnsi="Times New Roman" w:cs="Times New Roman"/>
                <w:sz w:val="18"/>
                <w:szCs w:val="18"/>
              </w:rPr>
              <w:t>2</w:t>
            </w:r>
          </w:p>
        </w:tc>
        <w:tc>
          <w:tcPr>
            <w:tcW w:w="539" w:type="pct"/>
            <w:vAlign w:val="center"/>
          </w:tcPr>
          <w:p w14:paraId="524EAB6B" w14:textId="77777777" w:rsidR="00DB474C" w:rsidRPr="006640DC" w:rsidRDefault="00DB474C" w:rsidP="00F36E6C">
            <w:pPr>
              <w:jc w:val="center"/>
              <w:rPr>
                <w:rFonts w:ascii="Times New Roman" w:hAnsi="Times New Roman" w:cs="Times New Roman"/>
                <w:sz w:val="18"/>
              </w:rPr>
            </w:pPr>
            <w:r w:rsidRPr="006640DC">
              <w:rPr>
                <w:rFonts w:ascii="Times New Roman" w:hAnsi="Times New Roman" w:cs="Times New Roman"/>
                <w:color w:val="000000"/>
                <w:sz w:val="18"/>
              </w:rPr>
              <w:t>торговые и офисные здания</w:t>
            </w:r>
          </w:p>
        </w:tc>
        <w:tc>
          <w:tcPr>
            <w:tcW w:w="846" w:type="pct"/>
            <w:vAlign w:val="center"/>
          </w:tcPr>
          <w:p w14:paraId="2F130588" w14:textId="77777777" w:rsidR="00DB474C" w:rsidRPr="006640DC" w:rsidRDefault="00DB474C" w:rsidP="00F36E6C">
            <w:pPr>
              <w:jc w:val="center"/>
              <w:rPr>
                <w:rFonts w:ascii="Times New Roman" w:hAnsi="Times New Roman" w:cs="Times New Roman"/>
                <w:sz w:val="18"/>
              </w:rPr>
            </w:pPr>
            <w:r>
              <w:rPr>
                <w:rFonts w:ascii="Times New Roman" w:hAnsi="Times New Roman" w:cs="Times New Roman"/>
                <w:color w:val="000000"/>
                <w:sz w:val="18"/>
              </w:rPr>
              <w:t>п</w:t>
            </w:r>
            <w:r w:rsidRPr="006640DC">
              <w:rPr>
                <w:rFonts w:ascii="Times New Roman" w:hAnsi="Times New Roman" w:cs="Times New Roman"/>
                <w:color w:val="000000"/>
                <w:sz w:val="18"/>
              </w:rPr>
              <w:t>ромышленности, транспорта, связи и иного специального назначения</w:t>
            </w:r>
          </w:p>
        </w:tc>
        <w:tc>
          <w:tcPr>
            <w:tcW w:w="769" w:type="pct"/>
            <w:vAlign w:val="center"/>
          </w:tcPr>
          <w:p w14:paraId="07C80E32" w14:textId="77777777" w:rsidR="00DB474C" w:rsidRPr="006640DC" w:rsidRDefault="00DB474C" w:rsidP="00F36E6C">
            <w:pPr>
              <w:jc w:val="center"/>
              <w:rPr>
                <w:rFonts w:ascii="Times New Roman" w:hAnsi="Times New Roman" w:cs="Times New Roman"/>
                <w:sz w:val="18"/>
              </w:rPr>
            </w:pPr>
            <w:r>
              <w:rPr>
                <w:rFonts w:ascii="Times New Roman" w:hAnsi="Times New Roman" w:cs="Times New Roman"/>
                <w:color w:val="000000"/>
                <w:sz w:val="18"/>
              </w:rPr>
              <w:t>м</w:t>
            </w:r>
            <w:r w:rsidRPr="006640DC">
              <w:rPr>
                <w:rFonts w:ascii="Times New Roman" w:hAnsi="Times New Roman" w:cs="Times New Roman"/>
                <w:color w:val="000000"/>
                <w:sz w:val="18"/>
              </w:rPr>
              <w:t>ного</w:t>
            </w:r>
            <w:r>
              <w:rPr>
                <w:rFonts w:ascii="Times New Roman" w:hAnsi="Times New Roman" w:cs="Times New Roman"/>
                <w:color w:val="000000"/>
                <w:sz w:val="18"/>
              </w:rPr>
              <w:t>-</w:t>
            </w:r>
            <w:r w:rsidRPr="006640DC">
              <w:rPr>
                <w:rFonts w:ascii="Times New Roman" w:hAnsi="Times New Roman" w:cs="Times New Roman"/>
                <w:color w:val="000000"/>
                <w:sz w:val="18"/>
              </w:rPr>
              <w:t>квартирное строительство</w:t>
            </w:r>
          </w:p>
        </w:tc>
        <w:tc>
          <w:tcPr>
            <w:tcW w:w="432" w:type="pct"/>
            <w:vAlign w:val="center"/>
          </w:tcPr>
          <w:p w14:paraId="20D55B33" w14:textId="77777777" w:rsidR="00DB474C" w:rsidRPr="00FB2E2C" w:rsidRDefault="00DB474C" w:rsidP="00F36E6C">
            <w:pPr>
              <w:jc w:val="center"/>
              <w:rPr>
                <w:rFonts w:ascii="Times New Roman" w:hAnsi="Times New Roman" w:cs="Times New Roman"/>
                <w:b/>
                <w:color w:val="000000"/>
                <w:sz w:val="18"/>
              </w:rPr>
            </w:pPr>
            <w:r w:rsidRPr="00FB2E2C">
              <w:rPr>
                <w:rFonts w:ascii="Times New Roman" w:hAnsi="Times New Roman" w:cs="Times New Roman"/>
                <w:b/>
                <w:color w:val="000000"/>
                <w:sz w:val="18"/>
              </w:rPr>
              <w:t>ИЖС</w:t>
            </w:r>
          </w:p>
          <w:p w14:paraId="34186E7F" w14:textId="77777777" w:rsidR="00DB474C" w:rsidRPr="00FB2E2C" w:rsidRDefault="00DB474C" w:rsidP="00F36E6C">
            <w:pPr>
              <w:jc w:val="center"/>
              <w:rPr>
                <w:rFonts w:ascii="Times New Roman" w:hAnsi="Times New Roman" w:cs="Times New Roman"/>
                <w:b/>
                <w:color w:val="000000"/>
                <w:sz w:val="18"/>
              </w:rPr>
            </w:pPr>
            <w:r w:rsidRPr="00FB2E2C">
              <w:rPr>
                <w:rFonts w:ascii="Times New Roman" w:hAnsi="Times New Roman" w:cs="Times New Roman"/>
                <w:b/>
                <w:color w:val="000000"/>
                <w:sz w:val="18"/>
              </w:rPr>
              <w:t>и</w:t>
            </w:r>
          </w:p>
          <w:p w14:paraId="2853D61B" w14:textId="77777777" w:rsidR="00DB474C" w:rsidRPr="00FB2E2C" w:rsidRDefault="00DB474C" w:rsidP="00F36E6C">
            <w:pPr>
              <w:jc w:val="center"/>
              <w:rPr>
                <w:rFonts w:ascii="Times New Roman" w:hAnsi="Times New Roman" w:cs="Times New Roman"/>
                <w:b/>
                <w:sz w:val="18"/>
              </w:rPr>
            </w:pPr>
            <w:r w:rsidRPr="00FB2E2C">
              <w:rPr>
                <w:rFonts w:ascii="Times New Roman" w:hAnsi="Times New Roman" w:cs="Times New Roman"/>
                <w:b/>
                <w:color w:val="000000"/>
                <w:sz w:val="18"/>
              </w:rPr>
              <w:t>ЛПХ</w:t>
            </w:r>
          </w:p>
        </w:tc>
        <w:tc>
          <w:tcPr>
            <w:tcW w:w="338" w:type="pct"/>
            <w:vAlign w:val="center"/>
          </w:tcPr>
          <w:p w14:paraId="334986BA" w14:textId="77777777" w:rsidR="00DB474C" w:rsidRPr="00FB2E2C" w:rsidRDefault="00DB474C" w:rsidP="00F36E6C">
            <w:pPr>
              <w:jc w:val="center"/>
              <w:rPr>
                <w:rFonts w:ascii="Times New Roman" w:hAnsi="Times New Roman" w:cs="Times New Roman"/>
                <w:b/>
                <w:sz w:val="18"/>
              </w:rPr>
            </w:pPr>
            <w:r w:rsidRPr="00FB2E2C">
              <w:rPr>
                <w:rFonts w:ascii="Times New Roman" w:hAnsi="Times New Roman" w:cs="Times New Roman"/>
                <w:b/>
                <w:color w:val="000000"/>
                <w:sz w:val="18"/>
              </w:rPr>
              <w:t>СНТ и ДНП</w:t>
            </w:r>
          </w:p>
        </w:tc>
        <w:tc>
          <w:tcPr>
            <w:tcW w:w="539" w:type="pct"/>
            <w:vAlign w:val="center"/>
          </w:tcPr>
          <w:p w14:paraId="26C25AE6" w14:textId="77777777" w:rsidR="00DB474C" w:rsidRPr="006640DC" w:rsidRDefault="00DB474C" w:rsidP="00F36E6C">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/х</w:t>
            </w:r>
            <w:r w:rsidRPr="006640DC">
              <w:rPr>
                <w:rFonts w:ascii="Times New Roman" w:hAnsi="Times New Roman" w:cs="Times New Roman"/>
                <w:color w:val="000000"/>
                <w:sz w:val="18"/>
              </w:rPr>
              <w:t xml:space="preserve"> назна</w:t>
            </w:r>
            <w:r>
              <w:rPr>
                <w:rFonts w:ascii="Times New Roman" w:hAnsi="Times New Roman" w:cs="Times New Roman"/>
                <w:color w:val="000000"/>
                <w:sz w:val="18"/>
              </w:rPr>
              <w:t>-</w:t>
            </w:r>
            <w:r w:rsidRPr="006640DC">
              <w:rPr>
                <w:rFonts w:ascii="Times New Roman" w:hAnsi="Times New Roman" w:cs="Times New Roman"/>
                <w:color w:val="000000"/>
                <w:sz w:val="18"/>
              </w:rPr>
              <w:t>чения</w:t>
            </w:r>
          </w:p>
        </w:tc>
        <w:tc>
          <w:tcPr>
            <w:tcW w:w="923" w:type="pct"/>
            <w:vAlign w:val="center"/>
          </w:tcPr>
          <w:p w14:paraId="0925EE6B" w14:textId="77777777" w:rsidR="00DB474C" w:rsidRPr="006640DC" w:rsidRDefault="00DB474C" w:rsidP="00F36E6C">
            <w:pPr>
              <w:jc w:val="center"/>
              <w:rPr>
                <w:rFonts w:ascii="Times New Roman" w:hAnsi="Times New Roman" w:cs="Times New Roman"/>
                <w:sz w:val="18"/>
              </w:rPr>
            </w:pPr>
            <w:r w:rsidRPr="006640DC">
              <w:rPr>
                <w:rFonts w:ascii="Times New Roman" w:hAnsi="Times New Roman" w:cs="Times New Roman"/>
                <w:color w:val="000000"/>
                <w:sz w:val="18"/>
              </w:rPr>
              <w:t>сельскохозяйственного назначения с возможностью или перспективой строительства коммерческих зданий</w:t>
            </w:r>
          </w:p>
        </w:tc>
      </w:tr>
      <w:tr w:rsidR="00DB474C" w:rsidRPr="006640DC" w14:paraId="0942348C" w14:textId="77777777" w:rsidTr="00F36E6C">
        <w:trPr>
          <w:jc w:val="center"/>
        </w:trPr>
        <w:tc>
          <w:tcPr>
            <w:tcW w:w="614" w:type="pct"/>
            <w:vAlign w:val="center"/>
          </w:tcPr>
          <w:p w14:paraId="7985F6C9" w14:textId="77777777" w:rsidR="00DB474C" w:rsidRPr="006640DC" w:rsidRDefault="00DB474C" w:rsidP="00F36E6C">
            <w:pPr>
              <w:jc w:val="center"/>
              <w:rPr>
                <w:rFonts w:ascii="Times New Roman" w:hAnsi="Times New Roman" w:cs="Times New Roman"/>
              </w:rPr>
            </w:pPr>
            <w:r w:rsidRPr="006640DC">
              <w:rPr>
                <w:rFonts w:ascii="Times New Roman" w:hAnsi="Times New Roman" w:cs="Times New Roman"/>
                <w:color w:val="000000"/>
              </w:rPr>
              <w:t>01.01.2018 по 30.06.2018</w:t>
            </w:r>
          </w:p>
        </w:tc>
        <w:tc>
          <w:tcPr>
            <w:tcW w:w="539" w:type="pct"/>
            <w:vAlign w:val="center"/>
          </w:tcPr>
          <w:p w14:paraId="23597BCD"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3AEF27D6"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0,99</w:t>
            </w:r>
          </w:p>
        </w:tc>
        <w:tc>
          <w:tcPr>
            <w:tcW w:w="769" w:type="pct"/>
            <w:vAlign w:val="center"/>
          </w:tcPr>
          <w:p w14:paraId="03D817B6"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1,31</w:t>
            </w:r>
          </w:p>
        </w:tc>
        <w:tc>
          <w:tcPr>
            <w:tcW w:w="432" w:type="pct"/>
            <w:vAlign w:val="center"/>
          </w:tcPr>
          <w:p w14:paraId="141241DD" w14:textId="77777777" w:rsidR="00DB474C" w:rsidRPr="00FB2E2C" w:rsidRDefault="00DB474C" w:rsidP="00F36E6C">
            <w:pPr>
              <w:jc w:val="center"/>
              <w:rPr>
                <w:rFonts w:ascii="Times New Roman" w:hAnsi="Times New Roman" w:cs="Times New Roman"/>
                <w:b/>
              </w:rPr>
            </w:pPr>
            <w:r w:rsidRPr="00FB2E2C">
              <w:rPr>
                <w:rFonts w:ascii="Times New Roman" w:hAnsi="Times New Roman" w:cs="Times New Roman"/>
                <w:b/>
              </w:rPr>
              <w:t>1,16</w:t>
            </w:r>
          </w:p>
        </w:tc>
        <w:tc>
          <w:tcPr>
            <w:tcW w:w="338" w:type="pct"/>
            <w:vAlign w:val="center"/>
          </w:tcPr>
          <w:p w14:paraId="1B757D3A" w14:textId="77777777" w:rsidR="00DB474C" w:rsidRPr="00FB2E2C" w:rsidRDefault="00DB474C" w:rsidP="00F36E6C">
            <w:pPr>
              <w:jc w:val="center"/>
              <w:rPr>
                <w:rFonts w:ascii="Times New Roman" w:hAnsi="Times New Roman" w:cs="Times New Roman"/>
                <w:b/>
              </w:rPr>
            </w:pPr>
            <w:r w:rsidRPr="00FB2E2C">
              <w:rPr>
                <w:rFonts w:ascii="Times New Roman" w:hAnsi="Times New Roman" w:cs="Times New Roman"/>
                <w:b/>
              </w:rPr>
              <w:t>1,14</w:t>
            </w:r>
          </w:p>
        </w:tc>
        <w:tc>
          <w:tcPr>
            <w:tcW w:w="539" w:type="pct"/>
            <w:vAlign w:val="center"/>
          </w:tcPr>
          <w:p w14:paraId="0551C78E" w14:textId="77777777" w:rsidR="00DB474C" w:rsidRPr="00F22DF9" w:rsidRDefault="00DB474C" w:rsidP="00F36E6C">
            <w:pPr>
              <w:jc w:val="center"/>
              <w:rPr>
                <w:rFonts w:ascii="Times New Roman" w:hAnsi="Times New Roman" w:cs="Times New Roman"/>
                <w:b/>
              </w:rPr>
            </w:pPr>
            <w:r w:rsidRPr="00F22DF9">
              <w:rPr>
                <w:rFonts w:ascii="Times New Roman" w:hAnsi="Times New Roman" w:cs="Times New Roman"/>
              </w:rPr>
              <w:t>1,15</w:t>
            </w:r>
          </w:p>
        </w:tc>
        <w:tc>
          <w:tcPr>
            <w:tcW w:w="923" w:type="pct"/>
            <w:vAlign w:val="center"/>
          </w:tcPr>
          <w:p w14:paraId="2D614FE1"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1,11</w:t>
            </w:r>
          </w:p>
        </w:tc>
      </w:tr>
      <w:tr w:rsidR="00DB474C" w:rsidRPr="006640DC" w14:paraId="6E719A92" w14:textId="77777777" w:rsidTr="00F36E6C">
        <w:trPr>
          <w:jc w:val="center"/>
        </w:trPr>
        <w:tc>
          <w:tcPr>
            <w:tcW w:w="614" w:type="pct"/>
            <w:vAlign w:val="center"/>
          </w:tcPr>
          <w:p w14:paraId="4BE68F1D" w14:textId="77777777" w:rsidR="00DB474C" w:rsidRPr="006640DC" w:rsidRDefault="00DB474C" w:rsidP="00F36E6C">
            <w:pPr>
              <w:jc w:val="center"/>
              <w:rPr>
                <w:rFonts w:ascii="Times New Roman" w:hAnsi="Times New Roman" w:cs="Times New Roman"/>
              </w:rPr>
            </w:pPr>
            <w:r w:rsidRPr="006640DC">
              <w:rPr>
                <w:rFonts w:ascii="Times New Roman" w:hAnsi="Times New Roman" w:cs="Times New Roman"/>
                <w:color w:val="000000"/>
              </w:rPr>
              <w:t>01.07.2018 по 31.12.2018</w:t>
            </w:r>
          </w:p>
        </w:tc>
        <w:tc>
          <w:tcPr>
            <w:tcW w:w="539" w:type="pct"/>
            <w:vAlign w:val="center"/>
          </w:tcPr>
          <w:p w14:paraId="670D2479"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7E3D2718"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0,99</w:t>
            </w:r>
          </w:p>
        </w:tc>
        <w:tc>
          <w:tcPr>
            <w:tcW w:w="769" w:type="pct"/>
            <w:vAlign w:val="center"/>
          </w:tcPr>
          <w:p w14:paraId="0B11CE90"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1,30</w:t>
            </w:r>
          </w:p>
        </w:tc>
        <w:tc>
          <w:tcPr>
            <w:tcW w:w="432" w:type="pct"/>
            <w:vAlign w:val="center"/>
          </w:tcPr>
          <w:p w14:paraId="452E341E" w14:textId="77777777" w:rsidR="00DB474C" w:rsidRPr="00FB2E2C" w:rsidRDefault="00DB474C" w:rsidP="00F36E6C">
            <w:pPr>
              <w:jc w:val="center"/>
              <w:rPr>
                <w:rFonts w:ascii="Times New Roman" w:hAnsi="Times New Roman" w:cs="Times New Roman"/>
                <w:b/>
              </w:rPr>
            </w:pPr>
            <w:r w:rsidRPr="00FB2E2C">
              <w:rPr>
                <w:rFonts w:ascii="Times New Roman" w:hAnsi="Times New Roman" w:cs="Times New Roman"/>
                <w:b/>
              </w:rPr>
              <w:t>1,17</w:t>
            </w:r>
          </w:p>
        </w:tc>
        <w:tc>
          <w:tcPr>
            <w:tcW w:w="338" w:type="pct"/>
            <w:vAlign w:val="center"/>
          </w:tcPr>
          <w:p w14:paraId="18923985" w14:textId="77777777" w:rsidR="00DB474C" w:rsidRPr="00FB2E2C" w:rsidRDefault="00DB474C" w:rsidP="00F36E6C">
            <w:pPr>
              <w:jc w:val="center"/>
              <w:rPr>
                <w:rFonts w:ascii="Times New Roman" w:hAnsi="Times New Roman" w:cs="Times New Roman"/>
                <w:b/>
              </w:rPr>
            </w:pPr>
            <w:r w:rsidRPr="00FB2E2C">
              <w:rPr>
                <w:rFonts w:ascii="Times New Roman" w:hAnsi="Times New Roman" w:cs="Times New Roman"/>
                <w:b/>
              </w:rPr>
              <w:t>1,15</w:t>
            </w:r>
          </w:p>
        </w:tc>
        <w:tc>
          <w:tcPr>
            <w:tcW w:w="539" w:type="pct"/>
            <w:vAlign w:val="center"/>
          </w:tcPr>
          <w:p w14:paraId="3CB555E5" w14:textId="77777777" w:rsidR="00DB474C" w:rsidRPr="00F22DF9" w:rsidRDefault="00DB474C" w:rsidP="00F36E6C">
            <w:pPr>
              <w:jc w:val="center"/>
              <w:rPr>
                <w:rFonts w:ascii="Times New Roman" w:hAnsi="Times New Roman" w:cs="Times New Roman"/>
                <w:b/>
              </w:rPr>
            </w:pPr>
            <w:r w:rsidRPr="00F22DF9">
              <w:rPr>
                <w:rFonts w:ascii="Times New Roman" w:hAnsi="Times New Roman" w:cs="Times New Roman"/>
              </w:rPr>
              <w:t>1,14</w:t>
            </w:r>
          </w:p>
        </w:tc>
        <w:tc>
          <w:tcPr>
            <w:tcW w:w="923" w:type="pct"/>
            <w:vAlign w:val="center"/>
          </w:tcPr>
          <w:p w14:paraId="13ACFCF9"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1,13</w:t>
            </w:r>
          </w:p>
        </w:tc>
      </w:tr>
      <w:tr w:rsidR="00DB474C" w:rsidRPr="006640DC" w14:paraId="4677EFE2" w14:textId="77777777" w:rsidTr="00F36E6C">
        <w:trPr>
          <w:jc w:val="center"/>
        </w:trPr>
        <w:tc>
          <w:tcPr>
            <w:tcW w:w="614" w:type="pct"/>
            <w:vAlign w:val="center"/>
          </w:tcPr>
          <w:p w14:paraId="1743C322" w14:textId="77777777" w:rsidR="00DB474C" w:rsidRPr="006640DC" w:rsidRDefault="00DB474C" w:rsidP="00F36E6C">
            <w:pPr>
              <w:jc w:val="center"/>
              <w:rPr>
                <w:rFonts w:ascii="Times New Roman" w:hAnsi="Times New Roman" w:cs="Times New Roman"/>
              </w:rPr>
            </w:pPr>
            <w:r w:rsidRPr="006640DC">
              <w:rPr>
                <w:rFonts w:ascii="Times New Roman" w:hAnsi="Times New Roman" w:cs="Times New Roman"/>
                <w:color w:val="000000"/>
              </w:rPr>
              <w:t>01.01.2019 по 30.06.2019</w:t>
            </w:r>
          </w:p>
        </w:tc>
        <w:tc>
          <w:tcPr>
            <w:tcW w:w="539" w:type="pct"/>
            <w:vAlign w:val="center"/>
          </w:tcPr>
          <w:p w14:paraId="1DA1BF01"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6129400F"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0,99</w:t>
            </w:r>
          </w:p>
        </w:tc>
        <w:tc>
          <w:tcPr>
            <w:tcW w:w="769" w:type="pct"/>
            <w:vAlign w:val="center"/>
          </w:tcPr>
          <w:p w14:paraId="068B7038"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1,28</w:t>
            </w:r>
          </w:p>
        </w:tc>
        <w:tc>
          <w:tcPr>
            <w:tcW w:w="432" w:type="pct"/>
            <w:vAlign w:val="center"/>
          </w:tcPr>
          <w:p w14:paraId="2E5CD5FB" w14:textId="77777777" w:rsidR="00DB474C" w:rsidRPr="00FB2E2C" w:rsidRDefault="00DB474C" w:rsidP="00F36E6C">
            <w:pPr>
              <w:jc w:val="center"/>
              <w:rPr>
                <w:rFonts w:ascii="Times New Roman" w:hAnsi="Times New Roman" w:cs="Times New Roman"/>
                <w:b/>
              </w:rPr>
            </w:pPr>
            <w:r w:rsidRPr="00FB2E2C">
              <w:rPr>
                <w:rFonts w:ascii="Times New Roman" w:hAnsi="Times New Roman" w:cs="Times New Roman"/>
                <w:b/>
              </w:rPr>
              <w:t>1,17</w:t>
            </w:r>
          </w:p>
        </w:tc>
        <w:tc>
          <w:tcPr>
            <w:tcW w:w="338" w:type="pct"/>
            <w:vAlign w:val="center"/>
          </w:tcPr>
          <w:p w14:paraId="3A89DC85" w14:textId="77777777" w:rsidR="00DB474C" w:rsidRPr="00FB2E2C" w:rsidRDefault="00DB474C" w:rsidP="00F36E6C">
            <w:pPr>
              <w:jc w:val="center"/>
              <w:rPr>
                <w:rFonts w:ascii="Times New Roman" w:hAnsi="Times New Roman" w:cs="Times New Roman"/>
                <w:b/>
              </w:rPr>
            </w:pPr>
            <w:r w:rsidRPr="00FB2E2C">
              <w:rPr>
                <w:rFonts w:ascii="Times New Roman" w:hAnsi="Times New Roman" w:cs="Times New Roman"/>
                <w:b/>
              </w:rPr>
              <w:t>1,15</w:t>
            </w:r>
          </w:p>
        </w:tc>
        <w:tc>
          <w:tcPr>
            <w:tcW w:w="539" w:type="pct"/>
            <w:vAlign w:val="center"/>
          </w:tcPr>
          <w:p w14:paraId="55DDA817" w14:textId="77777777" w:rsidR="00DB474C" w:rsidRPr="00F22DF9" w:rsidRDefault="00DB474C" w:rsidP="00F36E6C">
            <w:pPr>
              <w:jc w:val="center"/>
              <w:rPr>
                <w:rFonts w:ascii="Times New Roman" w:hAnsi="Times New Roman" w:cs="Times New Roman"/>
                <w:b/>
              </w:rPr>
            </w:pPr>
            <w:r w:rsidRPr="00F22DF9">
              <w:rPr>
                <w:rFonts w:ascii="Times New Roman" w:hAnsi="Times New Roman" w:cs="Times New Roman"/>
              </w:rPr>
              <w:t>1,12</w:t>
            </w:r>
          </w:p>
        </w:tc>
        <w:tc>
          <w:tcPr>
            <w:tcW w:w="923" w:type="pct"/>
            <w:vAlign w:val="center"/>
          </w:tcPr>
          <w:p w14:paraId="33866907"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1,13</w:t>
            </w:r>
          </w:p>
        </w:tc>
      </w:tr>
      <w:tr w:rsidR="00DB474C" w:rsidRPr="006640DC" w14:paraId="20BC2D55" w14:textId="77777777" w:rsidTr="00F36E6C">
        <w:trPr>
          <w:jc w:val="center"/>
        </w:trPr>
        <w:tc>
          <w:tcPr>
            <w:tcW w:w="614" w:type="pct"/>
            <w:vAlign w:val="center"/>
          </w:tcPr>
          <w:p w14:paraId="023A8FBD" w14:textId="77777777" w:rsidR="00DB474C" w:rsidRPr="006640DC" w:rsidRDefault="00DB474C" w:rsidP="00F36E6C">
            <w:pPr>
              <w:jc w:val="center"/>
              <w:rPr>
                <w:rFonts w:ascii="Times New Roman" w:hAnsi="Times New Roman" w:cs="Times New Roman"/>
              </w:rPr>
            </w:pPr>
            <w:r w:rsidRPr="006640DC">
              <w:rPr>
                <w:rFonts w:ascii="Times New Roman" w:hAnsi="Times New Roman" w:cs="Times New Roman"/>
                <w:color w:val="000000"/>
              </w:rPr>
              <w:t>01.07.2019 по 31.12.2019</w:t>
            </w:r>
          </w:p>
        </w:tc>
        <w:tc>
          <w:tcPr>
            <w:tcW w:w="539" w:type="pct"/>
            <w:vAlign w:val="center"/>
          </w:tcPr>
          <w:p w14:paraId="1BA908F3"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1,03</w:t>
            </w:r>
          </w:p>
        </w:tc>
        <w:tc>
          <w:tcPr>
            <w:tcW w:w="846" w:type="pct"/>
            <w:vAlign w:val="center"/>
          </w:tcPr>
          <w:p w14:paraId="3EC90A1A"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0,97</w:t>
            </w:r>
          </w:p>
        </w:tc>
        <w:tc>
          <w:tcPr>
            <w:tcW w:w="769" w:type="pct"/>
            <w:vAlign w:val="center"/>
          </w:tcPr>
          <w:p w14:paraId="41955E4A"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1,24</w:t>
            </w:r>
          </w:p>
        </w:tc>
        <w:tc>
          <w:tcPr>
            <w:tcW w:w="432" w:type="pct"/>
            <w:vAlign w:val="center"/>
          </w:tcPr>
          <w:p w14:paraId="1A4F045E" w14:textId="77777777" w:rsidR="00DB474C" w:rsidRPr="00FB2E2C" w:rsidRDefault="00DB474C" w:rsidP="00F36E6C">
            <w:pPr>
              <w:jc w:val="center"/>
              <w:rPr>
                <w:rFonts w:ascii="Times New Roman" w:hAnsi="Times New Roman" w:cs="Times New Roman"/>
                <w:b/>
              </w:rPr>
            </w:pPr>
            <w:r w:rsidRPr="00FB2E2C">
              <w:rPr>
                <w:rFonts w:ascii="Times New Roman" w:hAnsi="Times New Roman" w:cs="Times New Roman"/>
                <w:b/>
              </w:rPr>
              <w:t>1,15</w:t>
            </w:r>
          </w:p>
        </w:tc>
        <w:tc>
          <w:tcPr>
            <w:tcW w:w="338" w:type="pct"/>
            <w:vAlign w:val="center"/>
          </w:tcPr>
          <w:p w14:paraId="64674890" w14:textId="77777777" w:rsidR="00DB474C" w:rsidRPr="00FB2E2C" w:rsidRDefault="00DB474C" w:rsidP="00F36E6C">
            <w:pPr>
              <w:jc w:val="center"/>
              <w:rPr>
                <w:rFonts w:ascii="Times New Roman" w:hAnsi="Times New Roman" w:cs="Times New Roman"/>
                <w:b/>
              </w:rPr>
            </w:pPr>
            <w:r w:rsidRPr="00FB2E2C">
              <w:rPr>
                <w:rFonts w:ascii="Times New Roman" w:hAnsi="Times New Roman" w:cs="Times New Roman"/>
                <w:b/>
              </w:rPr>
              <w:t>1,13</w:t>
            </w:r>
          </w:p>
        </w:tc>
        <w:tc>
          <w:tcPr>
            <w:tcW w:w="539" w:type="pct"/>
            <w:vAlign w:val="center"/>
          </w:tcPr>
          <w:p w14:paraId="6957A1EA" w14:textId="77777777" w:rsidR="00DB474C" w:rsidRPr="00F22DF9" w:rsidRDefault="00DB474C" w:rsidP="00F36E6C">
            <w:pPr>
              <w:jc w:val="center"/>
              <w:rPr>
                <w:rFonts w:ascii="Times New Roman" w:hAnsi="Times New Roman" w:cs="Times New Roman"/>
                <w:b/>
              </w:rPr>
            </w:pPr>
            <w:r w:rsidRPr="00F22DF9">
              <w:rPr>
                <w:rFonts w:ascii="Times New Roman" w:hAnsi="Times New Roman" w:cs="Times New Roman"/>
              </w:rPr>
              <w:t>1,08</w:t>
            </w:r>
          </w:p>
        </w:tc>
        <w:tc>
          <w:tcPr>
            <w:tcW w:w="923" w:type="pct"/>
            <w:vAlign w:val="center"/>
          </w:tcPr>
          <w:p w14:paraId="61EB7389"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1,10</w:t>
            </w:r>
          </w:p>
        </w:tc>
      </w:tr>
      <w:tr w:rsidR="00DB474C" w:rsidRPr="006640DC" w14:paraId="6D4C5DB4" w14:textId="77777777" w:rsidTr="00F36E6C">
        <w:trPr>
          <w:jc w:val="center"/>
        </w:trPr>
        <w:tc>
          <w:tcPr>
            <w:tcW w:w="614" w:type="pct"/>
            <w:vAlign w:val="center"/>
          </w:tcPr>
          <w:p w14:paraId="6E23D232" w14:textId="77777777" w:rsidR="00DB474C" w:rsidRPr="006640DC" w:rsidRDefault="00DB474C" w:rsidP="00F36E6C">
            <w:pPr>
              <w:jc w:val="center"/>
              <w:rPr>
                <w:rFonts w:ascii="Times New Roman" w:hAnsi="Times New Roman" w:cs="Times New Roman"/>
              </w:rPr>
            </w:pPr>
            <w:r w:rsidRPr="006640DC">
              <w:rPr>
                <w:rFonts w:ascii="Times New Roman" w:hAnsi="Times New Roman" w:cs="Times New Roman"/>
                <w:color w:val="000000"/>
              </w:rPr>
              <w:t>01.01.2020 по 30.06.2020</w:t>
            </w:r>
          </w:p>
        </w:tc>
        <w:tc>
          <w:tcPr>
            <w:tcW w:w="539" w:type="pct"/>
            <w:vAlign w:val="center"/>
          </w:tcPr>
          <w:p w14:paraId="6F43AA78"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1,01</w:t>
            </w:r>
          </w:p>
        </w:tc>
        <w:tc>
          <w:tcPr>
            <w:tcW w:w="846" w:type="pct"/>
            <w:vAlign w:val="center"/>
          </w:tcPr>
          <w:p w14:paraId="11EFA36D"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0,95</w:t>
            </w:r>
          </w:p>
        </w:tc>
        <w:tc>
          <w:tcPr>
            <w:tcW w:w="769" w:type="pct"/>
            <w:vAlign w:val="center"/>
          </w:tcPr>
          <w:p w14:paraId="315D3A61"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1,19</w:t>
            </w:r>
          </w:p>
        </w:tc>
        <w:tc>
          <w:tcPr>
            <w:tcW w:w="432" w:type="pct"/>
            <w:vAlign w:val="center"/>
          </w:tcPr>
          <w:p w14:paraId="60957467" w14:textId="77777777" w:rsidR="00DB474C" w:rsidRPr="00FB2E2C" w:rsidRDefault="00DB474C" w:rsidP="00F36E6C">
            <w:pPr>
              <w:jc w:val="center"/>
              <w:rPr>
                <w:rFonts w:ascii="Times New Roman" w:hAnsi="Times New Roman" w:cs="Times New Roman"/>
                <w:b/>
              </w:rPr>
            </w:pPr>
            <w:r w:rsidRPr="00FB2E2C">
              <w:rPr>
                <w:rFonts w:ascii="Times New Roman" w:hAnsi="Times New Roman" w:cs="Times New Roman"/>
                <w:b/>
              </w:rPr>
              <w:t>1,14</w:t>
            </w:r>
          </w:p>
        </w:tc>
        <w:tc>
          <w:tcPr>
            <w:tcW w:w="338" w:type="pct"/>
            <w:vAlign w:val="center"/>
          </w:tcPr>
          <w:p w14:paraId="609F731A" w14:textId="77777777" w:rsidR="00DB474C" w:rsidRPr="00FB2E2C" w:rsidRDefault="00DB474C" w:rsidP="00F36E6C">
            <w:pPr>
              <w:jc w:val="center"/>
              <w:rPr>
                <w:rFonts w:ascii="Times New Roman" w:hAnsi="Times New Roman" w:cs="Times New Roman"/>
                <w:b/>
              </w:rPr>
            </w:pPr>
            <w:r w:rsidRPr="00FB2E2C">
              <w:rPr>
                <w:rFonts w:ascii="Times New Roman" w:hAnsi="Times New Roman" w:cs="Times New Roman"/>
                <w:b/>
              </w:rPr>
              <w:t>1,10</w:t>
            </w:r>
          </w:p>
        </w:tc>
        <w:tc>
          <w:tcPr>
            <w:tcW w:w="539" w:type="pct"/>
            <w:vAlign w:val="center"/>
          </w:tcPr>
          <w:p w14:paraId="600F848F" w14:textId="77777777" w:rsidR="00DB474C" w:rsidRPr="00F22DF9" w:rsidRDefault="00DB474C" w:rsidP="00F36E6C">
            <w:pPr>
              <w:jc w:val="center"/>
              <w:rPr>
                <w:rFonts w:ascii="Times New Roman" w:hAnsi="Times New Roman" w:cs="Times New Roman"/>
                <w:b/>
              </w:rPr>
            </w:pPr>
            <w:r w:rsidRPr="00F22DF9">
              <w:rPr>
                <w:rFonts w:ascii="Times New Roman" w:hAnsi="Times New Roman" w:cs="Times New Roman"/>
              </w:rPr>
              <w:t>1,05</w:t>
            </w:r>
          </w:p>
        </w:tc>
        <w:tc>
          <w:tcPr>
            <w:tcW w:w="923" w:type="pct"/>
            <w:vAlign w:val="center"/>
          </w:tcPr>
          <w:p w14:paraId="4E5D532A"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1,08</w:t>
            </w:r>
          </w:p>
        </w:tc>
      </w:tr>
      <w:tr w:rsidR="00DB474C" w:rsidRPr="006640DC" w14:paraId="0222DD1A" w14:textId="77777777" w:rsidTr="00F36E6C">
        <w:trPr>
          <w:jc w:val="center"/>
        </w:trPr>
        <w:tc>
          <w:tcPr>
            <w:tcW w:w="614" w:type="pct"/>
            <w:vAlign w:val="center"/>
          </w:tcPr>
          <w:p w14:paraId="25B3AE5D" w14:textId="77777777" w:rsidR="00DB474C" w:rsidRPr="006640DC" w:rsidRDefault="00DB474C" w:rsidP="00F36E6C">
            <w:pPr>
              <w:jc w:val="center"/>
              <w:rPr>
                <w:rFonts w:ascii="Times New Roman" w:hAnsi="Times New Roman" w:cs="Times New Roman"/>
              </w:rPr>
            </w:pPr>
            <w:r w:rsidRPr="006640DC">
              <w:rPr>
                <w:rFonts w:ascii="Times New Roman" w:hAnsi="Times New Roman" w:cs="Times New Roman"/>
                <w:color w:val="000000"/>
              </w:rPr>
              <w:t>01.07.2020 по 31.12.2020</w:t>
            </w:r>
          </w:p>
        </w:tc>
        <w:tc>
          <w:tcPr>
            <w:tcW w:w="539" w:type="pct"/>
            <w:vAlign w:val="center"/>
          </w:tcPr>
          <w:p w14:paraId="7934F5E1"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1,05</w:t>
            </w:r>
          </w:p>
        </w:tc>
        <w:tc>
          <w:tcPr>
            <w:tcW w:w="846" w:type="pct"/>
            <w:vAlign w:val="center"/>
          </w:tcPr>
          <w:p w14:paraId="7FC9BF9B"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0,98</w:t>
            </w:r>
          </w:p>
        </w:tc>
        <w:tc>
          <w:tcPr>
            <w:tcW w:w="769" w:type="pct"/>
            <w:vAlign w:val="center"/>
          </w:tcPr>
          <w:p w14:paraId="79C89BB6"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1,17</w:t>
            </w:r>
          </w:p>
        </w:tc>
        <w:tc>
          <w:tcPr>
            <w:tcW w:w="432" w:type="pct"/>
            <w:vAlign w:val="center"/>
          </w:tcPr>
          <w:p w14:paraId="200A7F71" w14:textId="77777777" w:rsidR="00DB474C" w:rsidRPr="00FB2E2C" w:rsidRDefault="00DB474C" w:rsidP="00F36E6C">
            <w:pPr>
              <w:jc w:val="center"/>
              <w:rPr>
                <w:rFonts w:ascii="Times New Roman" w:hAnsi="Times New Roman" w:cs="Times New Roman"/>
                <w:b/>
              </w:rPr>
            </w:pPr>
            <w:r w:rsidRPr="00FB2E2C">
              <w:rPr>
                <w:rFonts w:ascii="Times New Roman" w:hAnsi="Times New Roman" w:cs="Times New Roman"/>
                <w:b/>
              </w:rPr>
              <w:t>1,11</w:t>
            </w:r>
          </w:p>
        </w:tc>
        <w:tc>
          <w:tcPr>
            <w:tcW w:w="338" w:type="pct"/>
            <w:vAlign w:val="center"/>
          </w:tcPr>
          <w:p w14:paraId="4DC7E24C" w14:textId="77777777" w:rsidR="00DB474C" w:rsidRPr="00FB2E2C" w:rsidRDefault="00DB474C" w:rsidP="00F36E6C">
            <w:pPr>
              <w:jc w:val="center"/>
              <w:rPr>
                <w:rFonts w:ascii="Times New Roman" w:hAnsi="Times New Roman" w:cs="Times New Roman"/>
                <w:b/>
              </w:rPr>
            </w:pPr>
            <w:r w:rsidRPr="00FB2E2C">
              <w:rPr>
                <w:rFonts w:ascii="Times New Roman" w:hAnsi="Times New Roman" w:cs="Times New Roman"/>
                <w:b/>
              </w:rPr>
              <w:t>1,09</w:t>
            </w:r>
          </w:p>
        </w:tc>
        <w:tc>
          <w:tcPr>
            <w:tcW w:w="539" w:type="pct"/>
            <w:vAlign w:val="center"/>
          </w:tcPr>
          <w:p w14:paraId="08416C0F" w14:textId="77777777" w:rsidR="00DB474C" w:rsidRPr="00F22DF9" w:rsidRDefault="00DB474C" w:rsidP="00F36E6C">
            <w:pPr>
              <w:jc w:val="center"/>
              <w:rPr>
                <w:rFonts w:ascii="Times New Roman" w:hAnsi="Times New Roman" w:cs="Times New Roman"/>
                <w:b/>
              </w:rPr>
            </w:pPr>
            <w:r w:rsidRPr="00F22DF9">
              <w:rPr>
                <w:rFonts w:ascii="Times New Roman" w:hAnsi="Times New Roman" w:cs="Times New Roman"/>
              </w:rPr>
              <w:t>1,03</w:t>
            </w:r>
          </w:p>
        </w:tc>
        <w:tc>
          <w:tcPr>
            <w:tcW w:w="923" w:type="pct"/>
            <w:vAlign w:val="center"/>
          </w:tcPr>
          <w:p w14:paraId="50DB24E2"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1,07</w:t>
            </w:r>
          </w:p>
        </w:tc>
      </w:tr>
      <w:tr w:rsidR="00DB474C" w:rsidRPr="006640DC" w14:paraId="70CE59B6" w14:textId="77777777" w:rsidTr="00F36E6C">
        <w:trPr>
          <w:jc w:val="center"/>
        </w:trPr>
        <w:tc>
          <w:tcPr>
            <w:tcW w:w="614" w:type="pct"/>
            <w:vAlign w:val="center"/>
          </w:tcPr>
          <w:p w14:paraId="0E88F09C" w14:textId="77777777" w:rsidR="00DB474C" w:rsidRPr="006640DC" w:rsidRDefault="00DB474C" w:rsidP="00F36E6C">
            <w:pPr>
              <w:jc w:val="center"/>
              <w:rPr>
                <w:rFonts w:ascii="Times New Roman" w:hAnsi="Times New Roman" w:cs="Times New Roman"/>
              </w:rPr>
            </w:pPr>
            <w:r w:rsidRPr="006640DC">
              <w:rPr>
                <w:rFonts w:ascii="Times New Roman" w:hAnsi="Times New Roman" w:cs="Times New Roman"/>
                <w:color w:val="000000"/>
              </w:rPr>
              <w:t>01.01.2021 по 30.06.2021</w:t>
            </w:r>
          </w:p>
        </w:tc>
        <w:tc>
          <w:tcPr>
            <w:tcW w:w="539" w:type="pct"/>
            <w:vAlign w:val="center"/>
          </w:tcPr>
          <w:p w14:paraId="36835310"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671654BE"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0,98</w:t>
            </w:r>
          </w:p>
        </w:tc>
        <w:tc>
          <w:tcPr>
            <w:tcW w:w="769" w:type="pct"/>
            <w:vAlign w:val="center"/>
          </w:tcPr>
          <w:p w14:paraId="5EBDE53F"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1,07</w:t>
            </w:r>
          </w:p>
        </w:tc>
        <w:tc>
          <w:tcPr>
            <w:tcW w:w="432" w:type="pct"/>
            <w:vAlign w:val="center"/>
          </w:tcPr>
          <w:p w14:paraId="36109521" w14:textId="77777777" w:rsidR="00DB474C" w:rsidRPr="00FB2E2C" w:rsidRDefault="00DB474C" w:rsidP="00F36E6C">
            <w:pPr>
              <w:jc w:val="center"/>
              <w:rPr>
                <w:rFonts w:ascii="Times New Roman" w:hAnsi="Times New Roman" w:cs="Times New Roman"/>
                <w:b/>
              </w:rPr>
            </w:pPr>
            <w:r w:rsidRPr="00FB2E2C">
              <w:rPr>
                <w:rFonts w:ascii="Times New Roman" w:hAnsi="Times New Roman" w:cs="Times New Roman"/>
                <w:b/>
              </w:rPr>
              <w:t>1,06</w:t>
            </w:r>
          </w:p>
        </w:tc>
        <w:tc>
          <w:tcPr>
            <w:tcW w:w="338" w:type="pct"/>
            <w:vAlign w:val="center"/>
          </w:tcPr>
          <w:p w14:paraId="3535D467" w14:textId="77777777" w:rsidR="00DB474C" w:rsidRPr="00FB2E2C" w:rsidRDefault="00DB474C" w:rsidP="00F36E6C">
            <w:pPr>
              <w:jc w:val="center"/>
              <w:rPr>
                <w:rFonts w:ascii="Times New Roman" w:hAnsi="Times New Roman" w:cs="Times New Roman"/>
                <w:b/>
              </w:rPr>
            </w:pPr>
            <w:r w:rsidRPr="00FB2E2C">
              <w:rPr>
                <w:rFonts w:ascii="Times New Roman" w:hAnsi="Times New Roman" w:cs="Times New Roman"/>
                <w:b/>
              </w:rPr>
              <w:t>1,04</w:t>
            </w:r>
          </w:p>
        </w:tc>
        <w:tc>
          <w:tcPr>
            <w:tcW w:w="539" w:type="pct"/>
            <w:vAlign w:val="center"/>
          </w:tcPr>
          <w:p w14:paraId="6D223CD8" w14:textId="77777777" w:rsidR="00DB474C" w:rsidRPr="00F22DF9" w:rsidRDefault="00DB474C" w:rsidP="00F36E6C">
            <w:pPr>
              <w:jc w:val="center"/>
              <w:rPr>
                <w:rFonts w:ascii="Times New Roman" w:hAnsi="Times New Roman" w:cs="Times New Roman"/>
                <w:b/>
              </w:rPr>
            </w:pPr>
            <w:r w:rsidRPr="00F22DF9">
              <w:rPr>
                <w:rFonts w:ascii="Times New Roman" w:hAnsi="Times New Roman" w:cs="Times New Roman"/>
              </w:rPr>
              <w:t>1,01</w:t>
            </w:r>
          </w:p>
        </w:tc>
        <w:tc>
          <w:tcPr>
            <w:tcW w:w="923" w:type="pct"/>
            <w:vAlign w:val="center"/>
          </w:tcPr>
          <w:p w14:paraId="55852AF8"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1,02</w:t>
            </w:r>
          </w:p>
        </w:tc>
      </w:tr>
      <w:tr w:rsidR="00DB474C" w:rsidRPr="006640DC" w14:paraId="7F4C7118" w14:textId="77777777" w:rsidTr="00F36E6C">
        <w:trPr>
          <w:jc w:val="center"/>
        </w:trPr>
        <w:tc>
          <w:tcPr>
            <w:tcW w:w="614" w:type="pct"/>
            <w:vAlign w:val="center"/>
          </w:tcPr>
          <w:p w14:paraId="3754915B" w14:textId="77777777" w:rsidR="00DB474C" w:rsidRPr="006640DC" w:rsidRDefault="00DB474C" w:rsidP="00F36E6C">
            <w:pPr>
              <w:jc w:val="center"/>
              <w:rPr>
                <w:rFonts w:ascii="Times New Roman" w:hAnsi="Times New Roman" w:cs="Times New Roman"/>
              </w:rPr>
            </w:pPr>
            <w:r w:rsidRPr="006640DC">
              <w:rPr>
                <w:rFonts w:ascii="Times New Roman" w:hAnsi="Times New Roman" w:cs="Times New Roman"/>
                <w:color w:val="000000"/>
              </w:rPr>
              <w:t>01.07.2021 по 31.12.2021</w:t>
            </w:r>
          </w:p>
        </w:tc>
        <w:tc>
          <w:tcPr>
            <w:tcW w:w="539" w:type="pct"/>
            <w:vAlign w:val="center"/>
          </w:tcPr>
          <w:p w14:paraId="42591BD0"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1,02</w:t>
            </w:r>
          </w:p>
        </w:tc>
        <w:tc>
          <w:tcPr>
            <w:tcW w:w="846" w:type="pct"/>
            <w:vAlign w:val="center"/>
          </w:tcPr>
          <w:p w14:paraId="6F8CC68A"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0,98</w:t>
            </w:r>
          </w:p>
        </w:tc>
        <w:tc>
          <w:tcPr>
            <w:tcW w:w="769" w:type="pct"/>
            <w:vAlign w:val="center"/>
          </w:tcPr>
          <w:p w14:paraId="06A97D05"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1,03</w:t>
            </w:r>
          </w:p>
        </w:tc>
        <w:tc>
          <w:tcPr>
            <w:tcW w:w="432" w:type="pct"/>
            <w:vAlign w:val="center"/>
          </w:tcPr>
          <w:p w14:paraId="2F2DD70C" w14:textId="77777777" w:rsidR="00DB474C" w:rsidRPr="00FB2E2C" w:rsidRDefault="00DB474C" w:rsidP="00F36E6C">
            <w:pPr>
              <w:jc w:val="center"/>
              <w:rPr>
                <w:rFonts w:ascii="Times New Roman" w:hAnsi="Times New Roman" w:cs="Times New Roman"/>
                <w:b/>
              </w:rPr>
            </w:pPr>
            <w:r w:rsidRPr="00FB2E2C">
              <w:rPr>
                <w:rFonts w:ascii="Times New Roman" w:hAnsi="Times New Roman" w:cs="Times New Roman"/>
                <w:b/>
              </w:rPr>
              <w:t>1,04</w:t>
            </w:r>
          </w:p>
        </w:tc>
        <w:tc>
          <w:tcPr>
            <w:tcW w:w="338" w:type="pct"/>
            <w:vAlign w:val="center"/>
          </w:tcPr>
          <w:p w14:paraId="0C9FC3F9" w14:textId="77777777" w:rsidR="00DB474C" w:rsidRPr="00FB2E2C" w:rsidRDefault="00DB474C" w:rsidP="00F36E6C">
            <w:pPr>
              <w:jc w:val="center"/>
              <w:rPr>
                <w:rFonts w:ascii="Times New Roman" w:hAnsi="Times New Roman" w:cs="Times New Roman"/>
                <w:b/>
              </w:rPr>
            </w:pPr>
            <w:r w:rsidRPr="00FB2E2C">
              <w:rPr>
                <w:rFonts w:ascii="Times New Roman" w:hAnsi="Times New Roman" w:cs="Times New Roman"/>
                <w:b/>
              </w:rPr>
              <w:t>1,01</w:t>
            </w:r>
          </w:p>
        </w:tc>
        <w:tc>
          <w:tcPr>
            <w:tcW w:w="539" w:type="pct"/>
            <w:vAlign w:val="center"/>
          </w:tcPr>
          <w:p w14:paraId="682DEE69" w14:textId="77777777" w:rsidR="00DB474C" w:rsidRPr="00F22DF9" w:rsidRDefault="00DB474C" w:rsidP="00F36E6C">
            <w:pPr>
              <w:jc w:val="center"/>
              <w:rPr>
                <w:rFonts w:ascii="Times New Roman" w:hAnsi="Times New Roman" w:cs="Times New Roman"/>
                <w:b/>
              </w:rPr>
            </w:pPr>
            <w:r w:rsidRPr="00F22DF9">
              <w:rPr>
                <w:rFonts w:ascii="Times New Roman" w:hAnsi="Times New Roman" w:cs="Times New Roman"/>
              </w:rPr>
              <w:t>1,01</w:t>
            </w:r>
          </w:p>
        </w:tc>
        <w:tc>
          <w:tcPr>
            <w:tcW w:w="923" w:type="pct"/>
            <w:vAlign w:val="center"/>
          </w:tcPr>
          <w:p w14:paraId="452032DF" w14:textId="77777777" w:rsidR="00DB474C" w:rsidRPr="00F22DF9" w:rsidRDefault="00DB474C" w:rsidP="00F36E6C">
            <w:pPr>
              <w:jc w:val="center"/>
              <w:rPr>
                <w:rFonts w:ascii="Times New Roman" w:hAnsi="Times New Roman" w:cs="Times New Roman"/>
              </w:rPr>
            </w:pPr>
            <w:r w:rsidRPr="00F22DF9">
              <w:rPr>
                <w:rFonts w:ascii="Times New Roman" w:hAnsi="Times New Roman" w:cs="Times New Roman"/>
              </w:rPr>
              <w:t>1,01</w:t>
            </w:r>
          </w:p>
        </w:tc>
      </w:tr>
    </w:tbl>
    <w:p w14:paraId="329BAEFD" w14:textId="77777777" w:rsidR="00DB474C" w:rsidRPr="00945FC1" w:rsidRDefault="00DB474C" w:rsidP="00DB474C">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Доля ЗУ</w:t>
      </w:r>
    </w:p>
    <w:p w14:paraId="1994F0C3" w14:textId="77777777" w:rsidR="00DB474C" w:rsidRDefault="00DB474C" w:rsidP="00DB474C">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Если в качестве объекта-аналога принято предложение (сделка) по продаже застроенного земельного участка, необходимо определить долю стоимости земельного участка в стоимости единого объекта недвижимости. В таком случае доля стоимости земельного участка для 13 сегмента принята на основании приложения №7 к Указаниям, где для малоэтажного жилья, индивидуальных домов, садовых домов рекомендовано 20-30% (принимаем корректировку </w:t>
      </w:r>
      <w:r w:rsidRPr="00227435">
        <w:rPr>
          <w:rFonts w:ascii="Times New Roman" w:eastAsia="Calibri" w:hAnsi="Times New Roman" w:cs="Times New Roman"/>
          <w:b/>
          <w:sz w:val="26"/>
          <w:szCs w:val="26"/>
        </w:rPr>
        <w:t>0,</w:t>
      </w:r>
      <w:r>
        <w:rPr>
          <w:rFonts w:ascii="Times New Roman" w:eastAsia="Calibri" w:hAnsi="Times New Roman" w:cs="Times New Roman"/>
          <w:b/>
          <w:sz w:val="26"/>
          <w:szCs w:val="26"/>
        </w:rPr>
        <w:t>30</w:t>
      </w:r>
      <w:r>
        <w:rPr>
          <w:rFonts w:ascii="Times New Roman" w:eastAsia="Calibri" w:hAnsi="Times New Roman" w:cs="Times New Roman"/>
          <w:sz w:val="26"/>
          <w:szCs w:val="26"/>
        </w:rPr>
        <w:t>).</w:t>
      </w:r>
    </w:p>
    <w:p w14:paraId="01E51BF2" w14:textId="77777777" w:rsidR="00DB474C" w:rsidRPr="007A733D" w:rsidRDefault="00DB474C" w:rsidP="00DB474C">
      <w:pPr>
        <w:spacing w:before="120" w:after="0" w:line="276" w:lineRule="auto"/>
        <w:jc w:val="center"/>
        <w:rPr>
          <w:rFonts w:ascii="Times New Roman" w:eastAsia="Calibri" w:hAnsi="Times New Roman" w:cs="Times New Roman"/>
          <w:i/>
          <w:sz w:val="26"/>
          <w:szCs w:val="26"/>
        </w:rPr>
      </w:pPr>
      <w:r w:rsidRPr="007A733D">
        <w:rPr>
          <w:rFonts w:ascii="Times New Roman" w:eastAsia="Calibri" w:hAnsi="Times New Roman" w:cs="Times New Roman"/>
          <w:i/>
          <w:sz w:val="26"/>
          <w:szCs w:val="26"/>
        </w:rPr>
        <w:t>Анализ рыночной информации</w:t>
      </w:r>
    </w:p>
    <w:p w14:paraId="4D6DC1BE" w14:textId="77777777" w:rsidR="00DB474C" w:rsidRPr="00895461" w:rsidRDefault="00DB474C" w:rsidP="00DB474C">
      <w:pPr>
        <w:spacing w:before="120" w:after="0" w:line="276" w:lineRule="auto"/>
        <w:ind w:firstLine="567"/>
        <w:jc w:val="both"/>
        <w:rPr>
          <w:rFonts w:ascii="Times New Roman" w:hAnsi="Times New Roman" w:cs="Times New Roman"/>
          <w:sz w:val="26"/>
          <w:szCs w:val="26"/>
        </w:rPr>
      </w:pPr>
      <w:r w:rsidRPr="00895461">
        <w:rPr>
          <w:rFonts w:ascii="Times New Roman" w:hAnsi="Times New Roman" w:cs="Times New Roman"/>
          <w:sz w:val="26"/>
          <w:szCs w:val="26"/>
        </w:rPr>
        <w:t xml:space="preserve">Далее представлена информация о предложениях (сделках) </w:t>
      </w:r>
      <w:r>
        <w:rPr>
          <w:rFonts w:ascii="Times New Roman" w:hAnsi="Times New Roman" w:cs="Times New Roman"/>
          <w:sz w:val="26"/>
          <w:szCs w:val="26"/>
        </w:rPr>
        <w:t>сегмента</w:t>
      </w:r>
      <w:r w:rsidRPr="00895461">
        <w:rPr>
          <w:rFonts w:ascii="Times New Roman" w:hAnsi="Times New Roman" w:cs="Times New Roman"/>
          <w:sz w:val="26"/>
          <w:szCs w:val="26"/>
        </w:rPr>
        <w:t xml:space="preserve"> «</w:t>
      </w:r>
      <w:r w:rsidRPr="008E2774">
        <w:rPr>
          <w:rFonts w:ascii="Times New Roman" w:eastAsia="Calibri" w:hAnsi="Times New Roman" w:cs="Times New Roman"/>
          <w:sz w:val="26"/>
          <w:szCs w:val="26"/>
        </w:rPr>
        <w:t>Жилая застройка (среднеэтажная и многоэтажная)</w:t>
      </w:r>
      <w:r w:rsidRPr="00895461">
        <w:rPr>
          <w:rFonts w:ascii="Times New Roman" w:hAnsi="Times New Roman" w:cs="Times New Roman"/>
          <w:sz w:val="26"/>
          <w:szCs w:val="26"/>
        </w:rPr>
        <w:t xml:space="preserve">» на рынке недвижимости Воронежской области. </w:t>
      </w:r>
    </w:p>
    <w:p w14:paraId="06AE8406" w14:textId="77777777" w:rsidR="00DB474C" w:rsidRPr="00895461" w:rsidRDefault="00DB474C" w:rsidP="00DB474C">
      <w:pPr>
        <w:pStyle w:val="Textbody"/>
        <w:spacing w:after="0" w:line="276" w:lineRule="auto"/>
        <w:ind w:firstLine="709"/>
        <w:jc w:val="both"/>
        <w:rPr>
          <w:rFonts w:ascii="Times New Roman" w:hAnsi="Times New Roman" w:cs="Times New Roman"/>
          <w:sz w:val="26"/>
          <w:szCs w:val="26"/>
          <w:lang w:val="ru-RU"/>
        </w:rPr>
      </w:pPr>
      <w:r w:rsidRPr="002A586A">
        <w:rPr>
          <w:rFonts w:ascii="Times New Roman" w:hAnsi="Times New Roman" w:cs="Times New Roman"/>
          <w:sz w:val="26"/>
          <w:szCs w:val="26"/>
          <w:lang w:val="ru-RU"/>
        </w:rPr>
        <w:t>Если говорить о земельных участках, расположенных на земельных участках для индивидуального жилищного строительства и ведения личного подсобного хозяйства, то непосредственно</w:t>
      </w:r>
      <w:r w:rsidRPr="00895461">
        <w:rPr>
          <w:rFonts w:ascii="Times New Roman" w:hAnsi="Times New Roman" w:cs="Times New Roman"/>
          <w:sz w:val="26"/>
          <w:szCs w:val="26"/>
          <w:lang w:val="ru-RU"/>
        </w:rPr>
        <w:t xml:space="preserve"> в г.</w:t>
      </w:r>
      <w:r>
        <w:rPr>
          <w:rFonts w:ascii="Times New Roman" w:hAnsi="Times New Roman" w:cs="Times New Roman"/>
          <w:sz w:val="26"/>
          <w:szCs w:val="26"/>
          <w:lang w:val="ru-RU"/>
        </w:rPr>
        <w:t>о.г.</w:t>
      </w:r>
      <w:r w:rsidRPr="00895461">
        <w:rPr>
          <w:rFonts w:ascii="Times New Roman" w:hAnsi="Times New Roman" w:cs="Times New Roman"/>
          <w:sz w:val="26"/>
          <w:szCs w:val="26"/>
          <w:lang w:val="ru-RU"/>
        </w:rPr>
        <w:t xml:space="preserve"> Воронеж </w:t>
      </w:r>
      <w:r>
        <w:rPr>
          <w:rFonts w:ascii="Times New Roman" w:hAnsi="Times New Roman" w:cs="Times New Roman"/>
          <w:sz w:val="26"/>
          <w:szCs w:val="26"/>
          <w:lang w:val="ru-RU"/>
        </w:rPr>
        <w:t>сосредоточено</w:t>
      </w:r>
      <w:r w:rsidRPr="00895461">
        <w:rPr>
          <w:rFonts w:ascii="Times New Roman" w:hAnsi="Times New Roman" w:cs="Times New Roman"/>
          <w:sz w:val="26"/>
          <w:szCs w:val="26"/>
          <w:lang w:val="ru-RU"/>
        </w:rPr>
        <w:t xml:space="preserve"> </w:t>
      </w:r>
      <w:r>
        <w:rPr>
          <w:rFonts w:ascii="Times New Roman" w:hAnsi="Times New Roman" w:cs="Times New Roman"/>
          <w:sz w:val="26"/>
          <w:szCs w:val="26"/>
          <w:lang w:val="ru-RU"/>
        </w:rPr>
        <w:t>7</w:t>
      </w:r>
      <w:r w:rsidRPr="00895461">
        <w:rPr>
          <w:rFonts w:ascii="Times New Roman" w:hAnsi="Times New Roman" w:cs="Times New Roman"/>
          <w:sz w:val="26"/>
          <w:szCs w:val="26"/>
          <w:lang w:val="ru-RU"/>
        </w:rPr>
        <w:t>,</w:t>
      </w:r>
      <w:r>
        <w:rPr>
          <w:rFonts w:ascii="Times New Roman" w:hAnsi="Times New Roman" w:cs="Times New Roman"/>
          <w:sz w:val="26"/>
          <w:szCs w:val="26"/>
          <w:lang w:val="ru-RU"/>
        </w:rPr>
        <w:t>96</w:t>
      </w:r>
      <w:r w:rsidRPr="00895461">
        <w:rPr>
          <w:rFonts w:ascii="Times New Roman" w:hAnsi="Times New Roman" w:cs="Times New Roman"/>
          <w:sz w:val="26"/>
          <w:szCs w:val="26"/>
          <w:lang w:val="ru-RU"/>
        </w:rPr>
        <w:t>% от общего количества предложений (сделок) по региону.</w:t>
      </w:r>
    </w:p>
    <w:p w14:paraId="700B972B" w14:textId="77777777" w:rsidR="00DB474C" w:rsidRPr="00FD203C" w:rsidRDefault="00DB474C" w:rsidP="00DB474C">
      <w:pPr>
        <w:spacing w:after="0" w:line="276" w:lineRule="auto"/>
        <w:ind w:firstLine="708"/>
        <w:jc w:val="right"/>
        <w:rPr>
          <w:rFonts w:ascii="Times New Roman" w:hAnsi="Times New Roman" w:cs="Times New Roman"/>
          <w:sz w:val="26"/>
          <w:szCs w:val="26"/>
        </w:rPr>
      </w:pPr>
      <w:r w:rsidRPr="005D5A58">
        <w:rPr>
          <w:rFonts w:ascii="Times New Roman" w:hAnsi="Times New Roman" w:cs="Times New Roman"/>
          <w:sz w:val="26"/>
          <w:szCs w:val="26"/>
        </w:rPr>
        <w:t>Таблица 3.1.3.8.2</w:t>
      </w:r>
    </w:p>
    <w:p w14:paraId="07B34748" w14:textId="77777777" w:rsidR="00DB474C" w:rsidRPr="00B95452" w:rsidRDefault="00DB474C" w:rsidP="00DB474C">
      <w:pPr>
        <w:spacing w:after="0" w:line="276" w:lineRule="auto"/>
        <w:jc w:val="center"/>
        <w:rPr>
          <w:rFonts w:ascii="Times New Roman" w:hAnsi="Times New Roman" w:cs="Times New Roman"/>
          <w:color w:val="FF0000"/>
          <w:sz w:val="26"/>
          <w:szCs w:val="26"/>
        </w:rPr>
      </w:pPr>
      <w:r w:rsidRPr="00895461">
        <w:rPr>
          <w:rFonts w:ascii="Times New Roman" w:hAnsi="Times New Roman" w:cs="Times New Roman"/>
          <w:sz w:val="26"/>
          <w:szCs w:val="26"/>
        </w:rPr>
        <w:t>Анализ рыночной информации по земельны</w:t>
      </w:r>
      <w:r>
        <w:rPr>
          <w:rFonts w:ascii="Times New Roman" w:hAnsi="Times New Roman" w:cs="Times New Roman"/>
          <w:sz w:val="26"/>
          <w:szCs w:val="26"/>
        </w:rPr>
        <w:t>м</w:t>
      </w:r>
      <w:r w:rsidRPr="00895461">
        <w:rPr>
          <w:rFonts w:ascii="Times New Roman" w:hAnsi="Times New Roman" w:cs="Times New Roman"/>
          <w:sz w:val="26"/>
          <w:szCs w:val="26"/>
        </w:rPr>
        <w:t xml:space="preserve"> участка</w:t>
      </w:r>
      <w:r>
        <w:rPr>
          <w:rFonts w:ascii="Times New Roman" w:hAnsi="Times New Roman" w:cs="Times New Roman"/>
          <w:sz w:val="26"/>
          <w:szCs w:val="26"/>
        </w:rPr>
        <w:t>м</w:t>
      </w:r>
      <w:r w:rsidRPr="00895461">
        <w:rPr>
          <w:rFonts w:ascii="Times New Roman" w:hAnsi="Times New Roman" w:cs="Times New Roman"/>
          <w:sz w:val="26"/>
          <w:szCs w:val="26"/>
        </w:rPr>
        <w:t xml:space="preserve"> для индивидуального жилищного строительства и ведения личного подсобного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852"/>
        <w:gridCol w:w="1717"/>
        <w:gridCol w:w="2101"/>
        <w:gridCol w:w="1553"/>
      </w:tblGrid>
      <w:tr w:rsidR="00DB474C" w:rsidRPr="00A81EF1" w14:paraId="724CFADB" w14:textId="77777777" w:rsidTr="00DB474C">
        <w:trPr>
          <w:trHeight w:val="497"/>
        </w:trPr>
        <w:tc>
          <w:tcPr>
            <w:tcW w:w="1135" w:type="pct"/>
            <w:vMerge w:val="restart"/>
            <w:shd w:val="clear" w:color="auto" w:fill="auto"/>
            <w:vAlign w:val="center"/>
            <w:hideMark/>
          </w:tcPr>
          <w:p w14:paraId="03C255F9" w14:textId="77777777" w:rsidR="00DB474C" w:rsidRPr="00A81EF1" w:rsidRDefault="00DB474C" w:rsidP="00DB474C">
            <w:pPr>
              <w:spacing w:after="0" w:line="240" w:lineRule="auto"/>
              <w:jc w:val="center"/>
              <w:rPr>
                <w:rFonts w:ascii="Times New Roman" w:eastAsia="Times New Roman" w:hAnsi="Times New Roman" w:cs="Times New Roman"/>
                <w:b/>
                <w:color w:val="000000"/>
                <w:lang w:eastAsia="ru-RU"/>
              </w:rPr>
            </w:pPr>
            <w:r w:rsidRPr="00A81EF1">
              <w:rPr>
                <w:rFonts w:ascii="Times New Roman" w:eastAsia="Times New Roman" w:hAnsi="Times New Roman" w:cs="Times New Roman"/>
                <w:b/>
                <w:color w:val="000000"/>
                <w:lang w:eastAsia="ru-RU"/>
              </w:rPr>
              <w:t>Наименование района</w:t>
            </w:r>
          </w:p>
        </w:tc>
        <w:tc>
          <w:tcPr>
            <w:tcW w:w="3034" w:type="pct"/>
            <w:gridSpan w:val="3"/>
            <w:shd w:val="clear" w:color="auto" w:fill="auto"/>
            <w:vAlign w:val="center"/>
            <w:hideMark/>
          </w:tcPr>
          <w:p w14:paraId="5168E981" w14:textId="77777777" w:rsidR="00DB474C" w:rsidRPr="00A81EF1" w:rsidRDefault="00DB474C" w:rsidP="00DB474C">
            <w:pPr>
              <w:spacing w:after="0" w:line="240" w:lineRule="auto"/>
              <w:jc w:val="center"/>
              <w:rPr>
                <w:rFonts w:ascii="Times New Roman" w:eastAsia="Times New Roman" w:hAnsi="Times New Roman" w:cs="Times New Roman"/>
                <w:b/>
                <w:color w:val="000000"/>
                <w:lang w:eastAsia="ru-RU"/>
              </w:rPr>
            </w:pPr>
            <w:r w:rsidRPr="00A81EF1">
              <w:rPr>
                <w:rFonts w:ascii="Times New Roman" w:eastAsia="Times New Roman" w:hAnsi="Times New Roman" w:cs="Times New Roman"/>
                <w:b/>
                <w:color w:val="000000"/>
                <w:lang w:eastAsia="ru-RU"/>
              </w:rPr>
              <w:t>Удельный показатель рыночной стоимости, руб./кв.м</w:t>
            </w:r>
          </w:p>
        </w:tc>
        <w:tc>
          <w:tcPr>
            <w:tcW w:w="831" w:type="pct"/>
            <w:vMerge w:val="restart"/>
            <w:shd w:val="clear" w:color="auto" w:fill="auto"/>
            <w:vAlign w:val="center"/>
            <w:hideMark/>
          </w:tcPr>
          <w:p w14:paraId="40D2CE9C" w14:textId="77777777" w:rsidR="00DB474C" w:rsidRPr="00A81EF1" w:rsidRDefault="00DB474C" w:rsidP="00DB474C">
            <w:pPr>
              <w:spacing w:after="0" w:line="240" w:lineRule="auto"/>
              <w:jc w:val="center"/>
              <w:rPr>
                <w:rFonts w:ascii="Times New Roman" w:eastAsia="Times New Roman" w:hAnsi="Times New Roman" w:cs="Times New Roman"/>
                <w:b/>
                <w:color w:val="000000"/>
                <w:lang w:eastAsia="ru-RU"/>
              </w:rPr>
            </w:pPr>
            <w:r w:rsidRPr="00A81EF1">
              <w:rPr>
                <w:rFonts w:ascii="Times New Roman" w:eastAsia="Times New Roman" w:hAnsi="Times New Roman" w:cs="Times New Roman"/>
                <w:b/>
                <w:color w:val="000000"/>
                <w:lang w:eastAsia="ru-RU"/>
              </w:rPr>
              <w:t>Количество предложений (сделок)</w:t>
            </w:r>
          </w:p>
        </w:tc>
      </w:tr>
      <w:tr w:rsidR="00DB474C" w:rsidRPr="00A81EF1" w14:paraId="7F06FFEA" w14:textId="77777777" w:rsidTr="00DB474C">
        <w:trPr>
          <w:trHeight w:val="600"/>
        </w:trPr>
        <w:tc>
          <w:tcPr>
            <w:tcW w:w="1135" w:type="pct"/>
            <w:vMerge/>
            <w:vAlign w:val="center"/>
            <w:hideMark/>
          </w:tcPr>
          <w:p w14:paraId="0E4088A4"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p>
        </w:tc>
        <w:tc>
          <w:tcPr>
            <w:tcW w:w="991" w:type="pct"/>
            <w:shd w:val="clear" w:color="auto" w:fill="auto"/>
            <w:noWrap/>
            <w:vAlign w:val="center"/>
            <w:hideMark/>
          </w:tcPr>
          <w:p w14:paraId="5CC6B067" w14:textId="77777777" w:rsidR="00DB474C" w:rsidRPr="00A81EF1" w:rsidRDefault="00DB474C" w:rsidP="00DB474C">
            <w:pPr>
              <w:spacing w:after="0" w:line="240" w:lineRule="auto"/>
              <w:jc w:val="center"/>
              <w:rPr>
                <w:rFonts w:ascii="Times New Roman" w:eastAsia="Times New Roman" w:hAnsi="Times New Roman" w:cs="Times New Roman"/>
                <w:b/>
                <w:bCs/>
                <w:color w:val="000000"/>
                <w:lang w:eastAsia="ru-RU"/>
              </w:rPr>
            </w:pPr>
            <w:r w:rsidRPr="00A81EF1">
              <w:rPr>
                <w:rFonts w:ascii="Times New Roman" w:eastAsia="Times New Roman" w:hAnsi="Times New Roman" w:cs="Times New Roman"/>
                <w:b/>
                <w:bCs/>
                <w:color w:val="000000"/>
                <w:lang w:eastAsia="ru-RU"/>
              </w:rPr>
              <w:t>Минимальное значение</w:t>
            </w:r>
          </w:p>
        </w:tc>
        <w:tc>
          <w:tcPr>
            <w:tcW w:w="919" w:type="pct"/>
            <w:shd w:val="clear" w:color="auto" w:fill="auto"/>
            <w:noWrap/>
            <w:vAlign w:val="center"/>
            <w:hideMark/>
          </w:tcPr>
          <w:p w14:paraId="4D6A3B6E" w14:textId="77777777" w:rsidR="00DB474C" w:rsidRPr="00A81EF1" w:rsidRDefault="00DB474C" w:rsidP="00DB474C">
            <w:pPr>
              <w:spacing w:after="0" w:line="240" w:lineRule="auto"/>
              <w:jc w:val="center"/>
              <w:rPr>
                <w:rFonts w:ascii="Times New Roman" w:eastAsia="Times New Roman" w:hAnsi="Times New Roman" w:cs="Times New Roman"/>
                <w:b/>
                <w:bCs/>
                <w:color w:val="000000"/>
                <w:lang w:eastAsia="ru-RU"/>
              </w:rPr>
            </w:pPr>
            <w:r w:rsidRPr="00A81EF1">
              <w:rPr>
                <w:rFonts w:ascii="Times New Roman" w:eastAsia="Times New Roman" w:hAnsi="Times New Roman" w:cs="Times New Roman"/>
                <w:b/>
                <w:bCs/>
                <w:color w:val="000000"/>
                <w:lang w:eastAsia="ru-RU"/>
              </w:rPr>
              <w:t>Среднее значение</w:t>
            </w:r>
          </w:p>
        </w:tc>
        <w:tc>
          <w:tcPr>
            <w:tcW w:w="1123" w:type="pct"/>
            <w:shd w:val="clear" w:color="auto" w:fill="auto"/>
            <w:noWrap/>
            <w:vAlign w:val="center"/>
            <w:hideMark/>
          </w:tcPr>
          <w:p w14:paraId="7F76C6E5" w14:textId="77777777" w:rsidR="00DB474C" w:rsidRPr="00A81EF1" w:rsidRDefault="00DB474C" w:rsidP="00DB474C">
            <w:pPr>
              <w:spacing w:after="0" w:line="240" w:lineRule="auto"/>
              <w:jc w:val="center"/>
              <w:rPr>
                <w:rFonts w:ascii="Times New Roman" w:eastAsia="Times New Roman" w:hAnsi="Times New Roman" w:cs="Times New Roman"/>
                <w:b/>
                <w:bCs/>
                <w:color w:val="000000"/>
                <w:lang w:eastAsia="ru-RU"/>
              </w:rPr>
            </w:pPr>
            <w:r w:rsidRPr="00A81EF1">
              <w:rPr>
                <w:rFonts w:ascii="Times New Roman" w:eastAsia="Times New Roman" w:hAnsi="Times New Roman" w:cs="Times New Roman"/>
                <w:b/>
                <w:bCs/>
                <w:color w:val="000000"/>
                <w:lang w:eastAsia="ru-RU"/>
              </w:rPr>
              <w:t>Максимальное значение</w:t>
            </w:r>
          </w:p>
        </w:tc>
        <w:tc>
          <w:tcPr>
            <w:tcW w:w="831" w:type="pct"/>
            <w:vMerge/>
            <w:vAlign w:val="center"/>
            <w:hideMark/>
          </w:tcPr>
          <w:p w14:paraId="0AB93A87"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p>
        </w:tc>
      </w:tr>
      <w:tr w:rsidR="00DB474C" w:rsidRPr="00A81EF1" w14:paraId="39A2D2BD" w14:textId="77777777" w:rsidTr="00DB474C">
        <w:trPr>
          <w:trHeight w:val="300"/>
        </w:trPr>
        <w:tc>
          <w:tcPr>
            <w:tcW w:w="1135" w:type="pct"/>
            <w:shd w:val="clear" w:color="auto" w:fill="auto"/>
            <w:noWrap/>
            <w:vAlign w:val="bottom"/>
            <w:hideMark/>
          </w:tcPr>
          <w:p w14:paraId="4A94C106"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Аннинский</w:t>
            </w:r>
          </w:p>
        </w:tc>
        <w:tc>
          <w:tcPr>
            <w:tcW w:w="991" w:type="pct"/>
            <w:shd w:val="clear" w:color="auto" w:fill="auto"/>
            <w:noWrap/>
            <w:vAlign w:val="bottom"/>
            <w:hideMark/>
          </w:tcPr>
          <w:p w14:paraId="47BDD753"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5,31</w:t>
            </w:r>
          </w:p>
        </w:tc>
        <w:tc>
          <w:tcPr>
            <w:tcW w:w="919" w:type="pct"/>
            <w:shd w:val="clear" w:color="auto" w:fill="auto"/>
            <w:noWrap/>
            <w:vAlign w:val="bottom"/>
            <w:hideMark/>
          </w:tcPr>
          <w:p w14:paraId="58FA6451"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144,00</w:t>
            </w:r>
          </w:p>
        </w:tc>
        <w:tc>
          <w:tcPr>
            <w:tcW w:w="1123" w:type="pct"/>
            <w:shd w:val="clear" w:color="auto" w:fill="auto"/>
            <w:noWrap/>
            <w:vAlign w:val="bottom"/>
            <w:hideMark/>
          </w:tcPr>
          <w:p w14:paraId="18E7571D"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2 635,83</w:t>
            </w:r>
          </w:p>
        </w:tc>
        <w:tc>
          <w:tcPr>
            <w:tcW w:w="831" w:type="pct"/>
            <w:shd w:val="clear" w:color="auto" w:fill="auto"/>
            <w:noWrap/>
            <w:vAlign w:val="bottom"/>
            <w:hideMark/>
          </w:tcPr>
          <w:p w14:paraId="7E05A549"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736</w:t>
            </w:r>
          </w:p>
        </w:tc>
      </w:tr>
      <w:tr w:rsidR="00DB474C" w:rsidRPr="00A81EF1" w14:paraId="756E8766" w14:textId="77777777" w:rsidTr="00DB474C">
        <w:trPr>
          <w:trHeight w:val="300"/>
        </w:trPr>
        <w:tc>
          <w:tcPr>
            <w:tcW w:w="1135" w:type="pct"/>
            <w:shd w:val="clear" w:color="auto" w:fill="auto"/>
            <w:noWrap/>
            <w:vAlign w:val="bottom"/>
            <w:hideMark/>
          </w:tcPr>
          <w:p w14:paraId="367B61D2"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Бобровский</w:t>
            </w:r>
          </w:p>
        </w:tc>
        <w:tc>
          <w:tcPr>
            <w:tcW w:w="991" w:type="pct"/>
            <w:shd w:val="clear" w:color="auto" w:fill="auto"/>
            <w:noWrap/>
            <w:vAlign w:val="bottom"/>
            <w:hideMark/>
          </w:tcPr>
          <w:p w14:paraId="366481DE"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2,93</w:t>
            </w:r>
          </w:p>
        </w:tc>
        <w:tc>
          <w:tcPr>
            <w:tcW w:w="919" w:type="pct"/>
            <w:shd w:val="clear" w:color="auto" w:fill="auto"/>
            <w:noWrap/>
            <w:vAlign w:val="bottom"/>
            <w:hideMark/>
          </w:tcPr>
          <w:p w14:paraId="48D6ED8D"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206,86</w:t>
            </w:r>
          </w:p>
        </w:tc>
        <w:tc>
          <w:tcPr>
            <w:tcW w:w="1123" w:type="pct"/>
            <w:shd w:val="clear" w:color="auto" w:fill="auto"/>
            <w:noWrap/>
            <w:vAlign w:val="bottom"/>
            <w:hideMark/>
          </w:tcPr>
          <w:p w14:paraId="78641422"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5 125,61</w:t>
            </w:r>
          </w:p>
        </w:tc>
        <w:tc>
          <w:tcPr>
            <w:tcW w:w="831" w:type="pct"/>
            <w:shd w:val="clear" w:color="auto" w:fill="auto"/>
            <w:noWrap/>
            <w:vAlign w:val="bottom"/>
            <w:hideMark/>
          </w:tcPr>
          <w:p w14:paraId="32655B5B"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1417</w:t>
            </w:r>
          </w:p>
        </w:tc>
      </w:tr>
      <w:tr w:rsidR="00DB474C" w:rsidRPr="00A81EF1" w14:paraId="202C372E" w14:textId="77777777" w:rsidTr="00DB474C">
        <w:trPr>
          <w:trHeight w:val="300"/>
        </w:trPr>
        <w:tc>
          <w:tcPr>
            <w:tcW w:w="1135" w:type="pct"/>
            <w:shd w:val="clear" w:color="auto" w:fill="auto"/>
            <w:noWrap/>
            <w:vAlign w:val="bottom"/>
            <w:hideMark/>
          </w:tcPr>
          <w:p w14:paraId="2C4D4FFD"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Богучарский</w:t>
            </w:r>
          </w:p>
        </w:tc>
        <w:tc>
          <w:tcPr>
            <w:tcW w:w="991" w:type="pct"/>
            <w:shd w:val="clear" w:color="auto" w:fill="auto"/>
            <w:noWrap/>
            <w:vAlign w:val="bottom"/>
            <w:hideMark/>
          </w:tcPr>
          <w:p w14:paraId="2D02612C"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5,87</w:t>
            </w:r>
          </w:p>
        </w:tc>
        <w:tc>
          <w:tcPr>
            <w:tcW w:w="919" w:type="pct"/>
            <w:shd w:val="clear" w:color="auto" w:fill="auto"/>
            <w:noWrap/>
            <w:vAlign w:val="bottom"/>
            <w:hideMark/>
          </w:tcPr>
          <w:p w14:paraId="4F569AAB"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222,97</w:t>
            </w:r>
          </w:p>
        </w:tc>
        <w:tc>
          <w:tcPr>
            <w:tcW w:w="1123" w:type="pct"/>
            <w:shd w:val="clear" w:color="auto" w:fill="auto"/>
            <w:noWrap/>
            <w:vAlign w:val="bottom"/>
            <w:hideMark/>
          </w:tcPr>
          <w:p w14:paraId="4878691D"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6 459,63</w:t>
            </w:r>
          </w:p>
        </w:tc>
        <w:tc>
          <w:tcPr>
            <w:tcW w:w="831" w:type="pct"/>
            <w:shd w:val="clear" w:color="auto" w:fill="auto"/>
            <w:noWrap/>
            <w:vAlign w:val="bottom"/>
            <w:hideMark/>
          </w:tcPr>
          <w:p w14:paraId="4E6552F4"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723</w:t>
            </w:r>
          </w:p>
        </w:tc>
      </w:tr>
      <w:tr w:rsidR="00DB474C" w:rsidRPr="00A81EF1" w14:paraId="519CFDC3" w14:textId="77777777" w:rsidTr="00DB474C">
        <w:trPr>
          <w:trHeight w:val="300"/>
        </w:trPr>
        <w:tc>
          <w:tcPr>
            <w:tcW w:w="1135" w:type="pct"/>
            <w:shd w:val="clear" w:color="auto" w:fill="auto"/>
            <w:noWrap/>
            <w:vAlign w:val="bottom"/>
            <w:hideMark/>
          </w:tcPr>
          <w:p w14:paraId="5B4D9FB3"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Борисоглебский</w:t>
            </w:r>
          </w:p>
        </w:tc>
        <w:tc>
          <w:tcPr>
            <w:tcW w:w="991" w:type="pct"/>
            <w:shd w:val="clear" w:color="auto" w:fill="auto"/>
            <w:noWrap/>
            <w:vAlign w:val="bottom"/>
            <w:hideMark/>
          </w:tcPr>
          <w:p w14:paraId="4BF47483"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5,89</w:t>
            </w:r>
          </w:p>
        </w:tc>
        <w:tc>
          <w:tcPr>
            <w:tcW w:w="919" w:type="pct"/>
            <w:shd w:val="clear" w:color="auto" w:fill="auto"/>
            <w:noWrap/>
            <w:vAlign w:val="bottom"/>
            <w:hideMark/>
          </w:tcPr>
          <w:p w14:paraId="7C26A14C"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736,44</w:t>
            </w:r>
          </w:p>
        </w:tc>
        <w:tc>
          <w:tcPr>
            <w:tcW w:w="1123" w:type="pct"/>
            <w:shd w:val="clear" w:color="auto" w:fill="auto"/>
            <w:noWrap/>
            <w:vAlign w:val="bottom"/>
            <w:hideMark/>
          </w:tcPr>
          <w:p w14:paraId="7106ED66"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19 950,00</w:t>
            </w:r>
          </w:p>
        </w:tc>
        <w:tc>
          <w:tcPr>
            <w:tcW w:w="831" w:type="pct"/>
            <w:shd w:val="clear" w:color="auto" w:fill="auto"/>
            <w:noWrap/>
            <w:vAlign w:val="bottom"/>
            <w:hideMark/>
          </w:tcPr>
          <w:p w14:paraId="31CE4795"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1025</w:t>
            </w:r>
          </w:p>
        </w:tc>
      </w:tr>
      <w:tr w:rsidR="00DB474C" w:rsidRPr="00A81EF1" w14:paraId="6C78E27F" w14:textId="77777777" w:rsidTr="00DB474C">
        <w:trPr>
          <w:trHeight w:val="300"/>
        </w:trPr>
        <w:tc>
          <w:tcPr>
            <w:tcW w:w="1135" w:type="pct"/>
            <w:shd w:val="clear" w:color="auto" w:fill="auto"/>
            <w:noWrap/>
            <w:vAlign w:val="bottom"/>
            <w:hideMark/>
          </w:tcPr>
          <w:p w14:paraId="0EC00B7E"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Бутурлиновский</w:t>
            </w:r>
          </w:p>
        </w:tc>
        <w:tc>
          <w:tcPr>
            <w:tcW w:w="991" w:type="pct"/>
            <w:shd w:val="clear" w:color="auto" w:fill="auto"/>
            <w:noWrap/>
            <w:vAlign w:val="bottom"/>
            <w:hideMark/>
          </w:tcPr>
          <w:p w14:paraId="78859898"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6,36</w:t>
            </w:r>
          </w:p>
        </w:tc>
        <w:tc>
          <w:tcPr>
            <w:tcW w:w="919" w:type="pct"/>
            <w:shd w:val="clear" w:color="auto" w:fill="auto"/>
            <w:noWrap/>
            <w:vAlign w:val="bottom"/>
            <w:hideMark/>
          </w:tcPr>
          <w:p w14:paraId="383BE56C"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192,24</w:t>
            </w:r>
          </w:p>
        </w:tc>
        <w:tc>
          <w:tcPr>
            <w:tcW w:w="1123" w:type="pct"/>
            <w:shd w:val="clear" w:color="auto" w:fill="auto"/>
            <w:noWrap/>
            <w:vAlign w:val="bottom"/>
            <w:hideMark/>
          </w:tcPr>
          <w:p w14:paraId="6CDD30C8"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3 379,71</w:t>
            </w:r>
          </w:p>
        </w:tc>
        <w:tc>
          <w:tcPr>
            <w:tcW w:w="831" w:type="pct"/>
            <w:shd w:val="clear" w:color="auto" w:fill="auto"/>
            <w:noWrap/>
            <w:vAlign w:val="bottom"/>
            <w:hideMark/>
          </w:tcPr>
          <w:p w14:paraId="7CA54C9B"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768</w:t>
            </w:r>
          </w:p>
        </w:tc>
      </w:tr>
      <w:tr w:rsidR="00DB474C" w:rsidRPr="00A81EF1" w14:paraId="0744EE3C" w14:textId="77777777" w:rsidTr="00DB474C">
        <w:trPr>
          <w:trHeight w:val="300"/>
        </w:trPr>
        <w:tc>
          <w:tcPr>
            <w:tcW w:w="1135" w:type="pct"/>
            <w:shd w:val="clear" w:color="auto" w:fill="auto"/>
            <w:noWrap/>
            <w:vAlign w:val="bottom"/>
            <w:hideMark/>
          </w:tcPr>
          <w:p w14:paraId="74961CA4"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Верхнемамонский</w:t>
            </w:r>
          </w:p>
        </w:tc>
        <w:tc>
          <w:tcPr>
            <w:tcW w:w="991" w:type="pct"/>
            <w:shd w:val="clear" w:color="auto" w:fill="auto"/>
            <w:noWrap/>
            <w:vAlign w:val="bottom"/>
            <w:hideMark/>
          </w:tcPr>
          <w:p w14:paraId="3DD5BF2E"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5,48</w:t>
            </w:r>
          </w:p>
        </w:tc>
        <w:tc>
          <w:tcPr>
            <w:tcW w:w="919" w:type="pct"/>
            <w:shd w:val="clear" w:color="auto" w:fill="auto"/>
            <w:noWrap/>
            <w:vAlign w:val="bottom"/>
            <w:hideMark/>
          </w:tcPr>
          <w:p w14:paraId="4C142E70"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133,84</w:t>
            </w:r>
          </w:p>
        </w:tc>
        <w:tc>
          <w:tcPr>
            <w:tcW w:w="1123" w:type="pct"/>
            <w:shd w:val="clear" w:color="auto" w:fill="auto"/>
            <w:noWrap/>
            <w:vAlign w:val="bottom"/>
            <w:hideMark/>
          </w:tcPr>
          <w:p w14:paraId="3D4659A7"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3 319,28</w:t>
            </w:r>
          </w:p>
        </w:tc>
        <w:tc>
          <w:tcPr>
            <w:tcW w:w="831" w:type="pct"/>
            <w:shd w:val="clear" w:color="auto" w:fill="auto"/>
            <w:noWrap/>
            <w:vAlign w:val="bottom"/>
            <w:hideMark/>
          </w:tcPr>
          <w:p w14:paraId="4EEA22C6"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529</w:t>
            </w:r>
          </w:p>
        </w:tc>
      </w:tr>
      <w:tr w:rsidR="00DB474C" w:rsidRPr="00A81EF1" w14:paraId="65F93070" w14:textId="77777777" w:rsidTr="00DB474C">
        <w:trPr>
          <w:trHeight w:val="300"/>
        </w:trPr>
        <w:tc>
          <w:tcPr>
            <w:tcW w:w="1135" w:type="pct"/>
            <w:shd w:val="clear" w:color="auto" w:fill="auto"/>
            <w:noWrap/>
            <w:vAlign w:val="bottom"/>
            <w:hideMark/>
          </w:tcPr>
          <w:p w14:paraId="7A742146"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Верхнехавский</w:t>
            </w:r>
          </w:p>
        </w:tc>
        <w:tc>
          <w:tcPr>
            <w:tcW w:w="991" w:type="pct"/>
            <w:shd w:val="clear" w:color="auto" w:fill="auto"/>
            <w:noWrap/>
            <w:vAlign w:val="bottom"/>
            <w:hideMark/>
          </w:tcPr>
          <w:p w14:paraId="542D8472"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5,30</w:t>
            </w:r>
          </w:p>
        </w:tc>
        <w:tc>
          <w:tcPr>
            <w:tcW w:w="919" w:type="pct"/>
            <w:shd w:val="clear" w:color="auto" w:fill="auto"/>
            <w:noWrap/>
            <w:vAlign w:val="bottom"/>
            <w:hideMark/>
          </w:tcPr>
          <w:p w14:paraId="713EF9BB"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195,36</w:t>
            </w:r>
          </w:p>
        </w:tc>
        <w:tc>
          <w:tcPr>
            <w:tcW w:w="1123" w:type="pct"/>
            <w:shd w:val="clear" w:color="auto" w:fill="auto"/>
            <w:noWrap/>
            <w:vAlign w:val="bottom"/>
            <w:hideMark/>
          </w:tcPr>
          <w:p w14:paraId="17FF5F7D"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3 960,57</w:t>
            </w:r>
          </w:p>
        </w:tc>
        <w:tc>
          <w:tcPr>
            <w:tcW w:w="831" w:type="pct"/>
            <w:shd w:val="clear" w:color="auto" w:fill="auto"/>
            <w:noWrap/>
            <w:vAlign w:val="bottom"/>
            <w:hideMark/>
          </w:tcPr>
          <w:p w14:paraId="3AFF0F42"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957</w:t>
            </w:r>
          </w:p>
        </w:tc>
      </w:tr>
      <w:tr w:rsidR="00DB474C" w:rsidRPr="00A81EF1" w14:paraId="1A059BA1" w14:textId="77777777" w:rsidTr="00DB474C">
        <w:trPr>
          <w:trHeight w:val="300"/>
        </w:trPr>
        <w:tc>
          <w:tcPr>
            <w:tcW w:w="1135" w:type="pct"/>
            <w:shd w:val="clear" w:color="auto" w:fill="auto"/>
            <w:noWrap/>
            <w:vAlign w:val="bottom"/>
            <w:hideMark/>
          </w:tcPr>
          <w:p w14:paraId="23C4343F"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Воробьевский</w:t>
            </w:r>
          </w:p>
        </w:tc>
        <w:tc>
          <w:tcPr>
            <w:tcW w:w="991" w:type="pct"/>
            <w:shd w:val="clear" w:color="auto" w:fill="auto"/>
            <w:noWrap/>
            <w:vAlign w:val="bottom"/>
            <w:hideMark/>
          </w:tcPr>
          <w:p w14:paraId="39151C85"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6,04</w:t>
            </w:r>
          </w:p>
        </w:tc>
        <w:tc>
          <w:tcPr>
            <w:tcW w:w="919" w:type="pct"/>
            <w:shd w:val="clear" w:color="auto" w:fill="auto"/>
            <w:noWrap/>
            <w:vAlign w:val="bottom"/>
            <w:hideMark/>
          </w:tcPr>
          <w:p w14:paraId="79F3E6AA"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64,91</w:t>
            </w:r>
          </w:p>
        </w:tc>
        <w:tc>
          <w:tcPr>
            <w:tcW w:w="1123" w:type="pct"/>
            <w:shd w:val="clear" w:color="auto" w:fill="auto"/>
            <w:noWrap/>
            <w:vAlign w:val="bottom"/>
            <w:hideMark/>
          </w:tcPr>
          <w:p w14:paraId="1CE50B7C"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1 110,00</w:t>
            </w:r>
          </w:p>
        </w:tc>
        <w:tc>
          <w:tcPr>
            <w:tcW w:w="831" w:type="pct"/>
            <w:shd w:val="clear" w:color="auto" w:fill="auto"/>
            <w:noWrap/>
            <w:vAlign w:val="bottom"/>
            <w:hideMark/>
          </w:tcPr>
          <w:p w14:paraId="19F6541D"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180</w:t>
            </w:r>
          </w:p>
        </w:tc>
      </w:tr>
      <w:tr w:rsidR="00DB474C" w:rsidRPr="00A81EF1" w14:paraId="767FE07A" w14:textId="77777777" w:rsidTr="00DB474C">
        <w:trPr>
          <w:trHeight w:val="300"/>
        </w:trPr>
        <w:tc>
          <w:tcPr>
            <w:tcW w:w="1135" w:type="pct"/>
            <w:shd w:val="clear" w:color="auto" w:fill="auto"/>
            <w:noWrap/>
            <w:vAlign w:val="bottom"/>
            <w:hideMark/>
          </w:tcPr>
          <w:p w14:paraId="643020B7"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 xml:space="preserve">Грибановский </w:t>
            </w:r>
          </w:p>
        </w:tc>
        <w:tc>
          <w:tcPr>
            <w:tcW w:w="991" w:type="pct"/>
            <w:shd w:val="clear" w:color="auto" w:fill="auto"/>
            <w:noWrap/>
            <w:vAlign w:val="bottom"/>
            <w:hideMark/>
          </w:tcPr>
          <w:p w14:paraId="2563F349"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3,18</w:t>
            </w:r>
          </w:p>
        </w:tc>
        <w:tc>
          <w:tcPr>
            <w:tcW w:w="919" w:type="pct"/>
            <w:shd w:val="clear" w:color="auto" w:fill="auto"/>
            <w:noWrap/>
            <w:vAlign w:val="bottom"/>
            <w:hideMark/>
          </w:tcPr>
          <w:p w14:paraId="0678F317"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224,29</w:t>
            </w:r>
          </w:p>
        </w:tc>
        <w:tc>
          <w:tcPr>
            <w:tcW w:w="1123" w:type="pct"/>
            <w:shd w:val="clear" w:color="auto" w:fill="auto"/>
            <w:noWrap/>
            <w:vAlign w:val="bottom"/>
            <w:hideMark/>
          </w:tcPr>
          <w:p w14:paraId="69127C57"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3 931,04</w:t>
            </w:r>
          </w:p>
        </w:tc>
        <w:tc>
          <w:tcPr>
            <w:tcW w:w="831" w:type="pct"/>
            <w:shd w:val="clear" w:color="auto" w:fill="auto"/>
            <w:noWrap/>
            <w:vAlign w:val="bottom"/>
            <w:hideMark/>
          </w:tcPr>
          <w:p w14:paraId="0538FE49"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431</w:t>
            </w:r>
          </w:p>
        </w:tc>
      </w:tr>
      <w:tr w:rsidR="00DB474C" w:rsidRPr="00A81EF1" w14:paraId="694095E6" w14:textId="77777777" w:rsidTr="00DB474C">
        <w:trPr>
          <w:trHeight w:val="300"/>
        </w:trPr>
        <w:tc>
          <w:tcPr>
            <w:tcW w:w="1135" w:type="pct"/>
            <w:shd w:val="clear" w:color="auto" w:fill="auto"/>
            <w:noWrap/>
            <w:vAlign w:val="bottom"/>
            <w:hideMark/>
          </w:tcPr>
          <w:p w14:paraId="22D39DBC"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Калачеевский</w:t>
            </w:r>
          </w:p>
        </w:tc>
        <w:tc>
          <w:tcPr>
            <w:tcW w:w="991" w:type="pct"/>
            <w:shd w:val="clear" w:color="auto" w:fill="auto"/>
            <w:noWrap/>
            <w:vAlign w:val="bottom"/>
            <w:hideMark/>
          </w:tcPr>
          <w:p w14:paraId="2B57010D"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5,58</w:t>
            </w:r>
          </w:p>
        </w:tc>
        <w:tc>
          <w:tcPr>
            <w:tcW w:w="919" w:type="pct"/>
            <w:shd w:val="clear" w:color="auto" w:fill="auto"/>
            <w:noWrap/>
            <w:vAlign w:val="bottom"/>
            <w:hideMark/>
          </w:tcPr>
          <w:p w14:paraId="43D01BB3"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385,32</w:t>
            </w:r>
          </w:p>
        </w:tc>
        <w:tc>
          <w:tcPr>
            <w:tcW w:w="1123" w:type="pct"/>
            <w:shd w:val="clear" w:color="auto" w:fill="auto"/>
            <w:noWrap/>
            <w:vAlign w:val="bottom"/>
            <w:hideMark/>
          </w:tcPr>
          <w:p w14:paraId="21C382E9"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6 013,97</w:t>
            </w:r>
          </w:p>
        </w:tc>
        <w:tc>
          <w:tcPr>
            <w:tcW w:w="831" w:type="pct"/>
            <w:shd w:val="clear" w:color="auto" w:fill="auto"/>
            <w:noWrap/>
            <w:vAlign w:val="bottom"/>
            <w:hideMark/>
          </w:tcPr>
          <w:p w14:paraId="6481F929"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632</w:t>
            </w:r>
          </w:p>
        </w:tc>
      </w:tr>
      <w:tr w:rsidR="00DB474C" w:rsidRPr="00A81EF1" w14:paraId="03CD7875" w14:textId="77777777" w:rsidTr="00DB474C">
        <w:trPr>
          <w:trHeight w:val="300"/>
        </w:trPr>
        <w:tc>
          <w:tcPr>
            <w:tcW w:w="1135" w:type="pct"/>
            <w:shd w:val="clear" w:color="auto" w:fill="auto"/>
            <w:noWrap/>
            <w:vAlign w:val="bottom"/>
            <w:hideMark/>
          </w:tcPr>
          <w:p w14:paraId="6DC389FE"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Каменский</w:t>
            </w:r>
          </w:p>
        </w:tc>
        <w:tc>
          <w:tcPr>
            <w:tcW w:w="991" w:type="pct"/>
            <w:shd w:val="clear" w:color="auto" w:fill="auto"/>
            <w:noWrap/>
            <w:vAlign w:val="bottom"/>
            <w:hideMark/>
          </w:tcPr>
          <w:p w14:paraId="0191D5A1"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5,38</w:t>
            </w:r>
          </w:p>
        </w:tc>
        <w:tc>
          <w:tcPr>
            <w:tcW w:w="919" w:type="pct"/>
            <w:shd w:val="clear" w:color="auto" w:fill="auto"/>
            <w:noWrap/>
            <w:vAlign w:val="bottom"/>
            <w:hideMark/>
          </w:tcPr>
          <w:p w14:paraId="52BD3ACF"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147,66</w:t>
            </w:r>
          </w:p>
        </w:tc>
        <w:tc>
          <w:tcPr>
            <w:tcW w:w="1123" w:type="pct"/>
            <w:shd w:val="clear" w:color="auto" w:fill="auto"/>
            <w:noWrap/>
            <w:vAlign w:val="bottom"/>
            <w:hideMark/>
          </w:tcPr>
          <w:p w14:paraId="4085EF51"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1 067,45</w:t>
            </w:r>
          </w:p>
        </w:tc>
        <w:tc>
          <w:tcPr>
            <w:tcW w:w="831" w:type="pct"/>
            <w:shd w:val="clear" w:color="auto" w:fill="auto"/>
            <w:noWrap/>
            <w:vAlign w:val="bottom"/>
            <w:hideMark/>
          </w:tcPr>
          <w:p w14:paraId="6D3ACCBE"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200</w:t>
            </w:r>
          </w:p>
        </w:tc>
      </w:tr>
      <w:tr w:rsidR="00DB474C" w:rsidRPr="00A81EF1" w14:paraId="032662EA" w14:textId="77777777" w:rsidTr="00DB474C">
        <w:trPr>
          <w:trHeight w:val="300"/>
        </w:trPr>
        <w:tc>
          <w:tcPr>
            <w:tcW w:w="1135" w:type="pct"/>
            <w:shd w:val="clear" w:color="auto" w:fill="auto"/>
            <w:noWrap/>
            <w:vAlign w:val="bottom"/>
            <w:hideMark/>
          </w:tcPr>
          <w:p w14:paraId="7C92D57A"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Кантемировский</w:t>
            </w:r>
          </w:p>
        </w:tc>
        <w:tc>
          <w:tcPr>
            <w:tcW w:w="991" w:type="pct"/>
            <w:shd w:val="clear" w:color="auto" w:fill="auto"/>
            <w:noWrap/>
            <w:vAlign w:val="bottom"/>
            <w:hideMark/>
          </w:tcPr>
          <w:p w14:paraId="28149345"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5,36</w:t>
            </w:r>
          </w:p>
        </w:tc>
        <w:tc>
          <w:tcPr>
            <w:tcW w:w="919" w:type="pct"/>
            <w:shd w:val="clear" w:color="auto" w:fill="auto"/>
            <w:noWrap/>
            <w:vAlign w:val="bottom"/>
            <w:hideMark/>
          </w:tcPr>
          <w:p w14:paraId="386291E9"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152,48</w:t>
            </w:r>
          </w:p>
        </w:tc>
        <w:tc>
          <w:tcPr>
            <w:tcW w:w="1123" w:type="pct"/>
            <w:shd w:val="clear" w:color="auto" w:fill="auto"/>
            <w:noWrap/>
            <w:vAlign w:val="bottom"/>
            <w:hideMark/>
          </w:tcPr>
          <w:p w14:paraId="38847B4D"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3 884,76</w:t>
            </w:r>
          </w:p>
        </w:tc>
        <w:tc>
          <w:tcPr>
            <w:tcW w:w="831" w:type="pct"/>
            <w:shd w:val="clear" w:color="auto" w:fill="auto"/>
            <w:noWrap/>
            <w:vAlign w:val="bottom"/>
            <w:hideMark/>
          </w:tcPr>
          <w:p w14:paraId="4D7B02C7"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253</w:t>
            </w:r>
          </w:p>
        </w:tc>
      </w:tr>
      <w:tr w:rsidR="00DB474C" w:rsidRPr="00A81EF1" w14:paraId="0ED34345" w14:textId="77777777" w:rsidTr="00DB474C">
        <w:trPr>
          <w:trHeight w:val="300"/>
        </w:trPr>
        <w:tc>
          <w:tcPr>
            <w:tcW w:w="1135" w:type="pct"/>
            <w:shd w:val="clear" w:color="auto" w:fill="auto"/>
            <w:noWrap/>
            <w:vAlign w:val="bottom"/>
            <w:hideMark/>
          </w:tcPr>
          <w:p w14:paraId="72AD5D95"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Каширский</w:t>
            </w:r>
          </w:p>
        </w:tc>
        <w:tc>
          <w:tcPr>
            <w:tcW w:w="991" w:type="pct"/>
            <w:shd w:val="clear" w:color="auto" w:fill="auto"/>
            <w:noWrap/>
            <w:vAlign w:val="bottom"/>
            <w:hideMark/>
          </w:tcPr>
          <w:p w14:paraId="7FEC0E45"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5,65</w:t>
            </w:r>
          </w:p>
        </w:tc>
        <w:tc>
          <w:tcPr>
            <w:tcW w:w="919" w:type="pct"/>
            <w:shd w:val="clear" w:color="auto" w:fill="auto"/>
            <w:noWrap/>
            <w:vAlign w:val="bottom"/>
            <w:hideMark/>
          </w:tcPr>
          <w:p w14:paraId="1DEC68A0"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242,20</w:t>
            </w:r>
          </w:p>
        </w:tc>
        <w:tc>
          <w:tcPr>
            <w:tcW w:w="1123" w:type="pct"/>
            <w:shd w:val="clear" w:color="auto" w:fill="auto"/>
            <w:noWrap/>
            <w:vAlign w:val="bottom"/>
            <w:hideMark/>
          </w:tcPr>
          <w:p w14:paraId="117689D6"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3 762,71</w:t>
            </w:r>
          </w:p>
        </w:tc>
        <w:tc>
          <w:tcPr>
            <w:tcW w:w="831" w:type="pct"/>
            <w:shd w:val="clear" w:color="auto" w:fill="auto"/>
            <w:noWrap/>
            <w:vAlign w:val="bottom"/>
            <w:hideMark/>
          </w:tcPr>
          <w:p w14:paraId="0B9283B4"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1009</w:t>
            </w:r>
          </w:p>
        </w:tc>
      </w:tr>
      <w:tr w:rsidR="00DB474C" w:rsidRPr="00A81EF1" w14:paraId="174BE790" w14:textId="77777777" w:rsidTr="00DB474C">
        <w:trPr>
          <w:trHeight w:val="300"/>
        </w:trPr>
        <w:tc>
          <w:tcPr>
            <w:tcW w:w="1135" w:type="pct"/>
            <w:shd w:val="clear" w:color="auto" w:fill="auto"/>
            <w:noWrap/>
            <w:vAlign w:val="bottom"/>
            <w:hideMark/>
          </w:tcPr>
          <w:p w14:paraId="59C86E5B"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Лискинский</w:t>
            </w:r>
          </w:p>
        </w:tc>
        <w:tc>
          <w:tcPr>
            <w:tcW w:w="991" w:type="pct"/>
            <w:shd w:val="clear" w:color="auto" w:fill="auto"/>
            <w:noWrap/>
            <w:vAlign w:val="bottom"/>
            <w:hideMark/>
          </w:tcPr>
          <w:p w14:paraId="793E6D0D"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3,20</w:t>
            </w:r>
          </w:p>
        </w:tc>
        <w:tc>
          <w:tcPr>
            <w:tcW w:w="919" w:type="pct"/>
            <w:shd w:val="clear" w:color="auto" w:fill="auto"/>
            <w:noWrap/>
            <w:vAlign w:val="bottom"/>
            <w:hideMark/>
          </w:tcPr>
          <w:p w14:paraId="6AEA7D50"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362,46</w:t>
            </w:r>
          </w:p>
        </w:tc>
        <w:tc>
          <w:tcPr>
            <w:tcW w:w="1123" w:type="pct"/>
            <w:shd w:val="clear" w:color="auto" w:fill="auto"/>
            <w:noWrap/>
            <w:vAlign w:val="bottom"/>
            <w:hideMark/>
          </w:tcPr>
          <w:p w14:paraId="40D64DFD"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8 417,27</w:t>
            </w:r>
          </w:p>
        </w:tc>
        <w:tc>
          <w:tcPr>
            <w:tcW w:w="831" w:type="pct"/>
            <w:shd w:val="clear" w:color="auto" w:fill="auto"/>
            <w:noWrap/>
            <w:vAlign w:val="bottom"/>
            <w:hideMark/>
          </w:tcPr>
          <w:p w14:paraId="787ABA59"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2144</w:t>
            </w:r>
          </w:p>
        </w:tc>
      </w:tr>
      <w:tr w:rsidR="00DB474C" w:rsidRPr="00A81EF1" w14:paraId="6B17D16D" w14:textId="77777777" w:rsidTr="00DB474C">
        <w:trPr>
          <w:trHeight w:val="300"/>
        </w:trPr>
        <w:tc>
          <w:tcPr>
            <w:tcW w:w="1135" w:type="pct"/>
            <w:shd w:val="clear" w:color="auto" w:fill="auto"/>
            <w:noWrap/>
            <w:vAlign w:val="bottom"/>
            <w:hideMark/>
          </w:tcPr>
          <w:p w14:paraId="55FF4345"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Нижнедевицкий</w:t>
            </w:r>
          </w:p>
        </w:tc>
        <w:tc>
          <w:tcPr>
            <w:tcW w:w="991" w:type="pct"/>
            <w:shd w:val="clear" w:color="auto" w:fill="auto"/>
            <w:noWrap/>
            <w:vAlign w:val="bottom"/>
            <w:hideMark/>
          </w:tcPr>
          <w:p w14:paraId="3CC4A49A"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2,35</w:t>
            </w:r>
          </w:p>
        </w:tc>
        <w:tc>
          <w:tcPr>
            <w:tcW w:w="919" w:type="pct"/>
            <w:shd w:val="clear" w:color="auto" w:fill="auto"/>
            <w:noWrap/>
            <w:vAlign w:val="bottom"/>
            <w:hideMark/>
          </w:tcPr>
          <w:p w14:paraId="5EEB8F6B"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283,28</w:t>
            </w:r>
          </w:p>
        </w:tc>
        <w:tc>
          <w:tcPr>
            <w:tcW w:w="1123" w:type="pct"/>
            <w:shd w:val="clear" w:color="auto" w:fill="auto"/>
            <w:noWrap/>
            <w:vAlign w:val="bottom"/>
            <w:hideMark/>
          </w:tcPr>
          <w:p w14:paraId="0DE9F628"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5 262,33</w:t>
            </w:r>
          </w:p>
        </w:tc>
        <w:tc>
          <w:tcPr>
            <w:tcW w:w="831" w:type="pct"/>
            <w:shd w:val="clear" w:color="auto" w:fill="auto"/>
            <w:noWrap/>
            <w:vAlign w:val="bottom"/>
            <w:hideMark/>
          </w:tcPr>
          <w:p w14:paraId="639520CA"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500</w:t>
            </w:r>
          </w:p>
        </w:tc>
      </w:tr>
      <w:tr w:rsidR="00DB474C" w:rsidRPr="00A81EF1" w14:paraId="0C7341B8" w14:textId="77777777" w:rsidTr="00DB474C">
        <w:trPr>
          <w:trHeight w:val="300"/>
        </w:trPr>
        <w:tc>
          <w:tcPr>
            <w:tcW w:w="1135" w:type="pct"/>
            <w:shd w:val="clear" w:color="auto" w:fill="auto"/>
            <w:noWrap/>
            <w:vAlign w:val="bottom"/>
            <w:hideMark/>
          </w:tcPr>
          <w:p w14:paraId="0BCA3FF5"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Новоусманский</w:t>
            </w:r>
          </w:p>
        </w:tc>
        <w:tc>
          <w:tcPr>
            <w:tcW w:w="991" w:type="pct"/>
            <w:shd w:val="clear" w:color="auto" w:fill="auto"/>
            <w:noWrap/>
            <w:vAlign w:val="bottom"/>
            <w:hideMark/>
          </w:tcPr>
          <w:p w14:paraId="69044922"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4,21</w:t>
            </w:r>
          </w:p>
        </w:tc>
        <w:tc>
          <w:tcPr>
            <w:tcW w:w="919" w:type="pct"/>
            <w:shd w:val="clear" w:color="auto" w:fill="auto"/>
            <w:noWrap/>
            <w:vAlign w:val="bottom"/>
            <w:hideMark/>
          </w:tcPr>
          <w:p w14:paraId="647680DB"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741,82</w:t>
            </w:r>
          </w:p>
        </w:tc>
        <w:tc>
          <w:tcPr>
            <w:tcW w:w="1123" w:type="pct"/>
            <w:shd w:val="clear" w:color="auto" w:fill="auto"/>
            <w:noWrap/>
            <w:vAlign w:val="bottom"/>
            <w:hideMark/>
          </w:tcPr>
          <w:p w14:paraId="313A33CA"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22 208,44</w:t>
            </w:r>
          </w:p>
        </w:tc>
        <w:tc>
          <w:tcPr>
            <w:tcW w:w="831" w:type="pct"/>
            <w:shd w:val="clear" w:color="auto" w:fill="auto"/>
            <w:noWrap/>
            <w:vAlign w:val="bottom"/>
            <w:hideMark/>
          </w:tcPr>
          <w:p w14:paraId="20E1AB3F"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7879</w:t>
            </w:r>
          </w:p>
        </w:tc>
      </w:tr>
      <w:tr w:rsidR="00DB474C" w:rsidRPr="00A81EF1" w14:paraId="1158A8EF" w14:textId="77777777" w:rsidTr="00DB474C">
        <w:trPr>
          <w:trHeight w:val="300"/>
        </w:trPr>
        <w:tc>
          <w:tcPr>
            <w:tcW w:w="1135" w:type="pct"/>
            <w:shd w:val="clear" w:color="auto" w:fill="auto"/>
            <w:noWrap/>
            <w:vAlign w:val="bottom"/>
            <w:hideMark/>
          </w:tcPr>
          <w:p w14:paraId="3CACDB4D"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Новохоперский</w:t>
            </w:r>
          </w:p>
        </w:tc>
        <w:tc>
          <w:tcPr>
            <w:tcW w:w="991" w:type="pct"/>
            <w:shd w:val="clear" w:color="auto" w:fill="auto"/>
            <w:noWrap/>
            <w:vAlign w:val="bottom"/>
            <w:hideMark/>
          </w:tcPr>
          <w:p w14:paraId="4E66004C"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5,60</w:t>
            </w:r>
          </w:p>
        </w:tc>
        <w:tc>
          <w:tcPr>
            <w:tcW w:w="919" w:type="pct"/>
            <w:shd w:val="clear" w:color="auto" w:fill="auto"/>
            <w:noWrap/>
            <w:vAlign w:val="bottom"/>
            <w:hideMark/>
          </w:tcPr>
          <w:p w14:paraId="3A264FF5"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175,99</w:t>
            </w:r>
          </w:p>
        </w:tc>
        <w:tc>
          <w:tcPr>
            <w:tcW w:w="1123" w:type="pct"/>
            <w:shd w:val="clear" w:color="auto" w:fill="auto"/>
            <w:noWrap/>
            <w:vAlign w:val="bottom"/>
            <w:hideMark/>
          </w:tcPr>
          <w:p w14:paraId="6AD63681"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3 538,46</w:t>
            </w:r>
          </w:p>
        </w:tc>
        <w:tc>
          <w:tcPr>
            <w:tcW w:w="831" w:type="pct"/>
            <w:shd w:val="clear" w:color="auto" w:fill="auto"/>
            <w:noWrap/>
            <w:vAlign w:val="bottom"/>
            <w:hideMark/>
          </w:tcPr>
          <w:p w14:paraId="36F5DE29"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510</w:t>
            </w:r>
          </w:p>
        </w:tc>
      </w:tr>
      <w:tr w:rsidR="00DB474C" w:rsidRPr="00A81EF1" w14:paraId="3589E768" w14:textId="77777777" w:rsidTr="00DB474C">
        <w:trPr>
          <w:trHeight w:val="300"/>
        </w:trPr>
        <w:tc>
          <w:tcPr>
            <w:tcW w:w="1135" w:type="pct"/>
            <w:shd w:val="clear" w:color="auto" w:fill="auto"/>
            <w:noWrap/>
            <w:vAlign w:val="bottom"/>
            <w:hideMark/>
          </w:tcPr>
          <w:p w14:paraId="11558ABB"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Ольховатский</w:t>
            </w:r>
          </w:p>
        </w:tc>
        <w:tc>
          <w:tcPr>
            <w:tcW w:w="991" w:type="pct"/>
            <w:shd w:val="clear" w:color="auto" w:fill="auto"/>
            <w:noWrap/>
            <w:vAlign w:val="bottom"/>
            <w:hideMark/>
          </w:tcPr>
          <w:p w14:paraId="19B7DA5D"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6,21</w:t>
            </w:r>
          </w:p>
        </w:tc>
        <w:tc>
          <w:tcPr>
            <w:tcW w:w="919" w:type="pct"/>
            <w:shd w:val="clear" w:color="auto" w:fill="auto"/>
            <w:noWrap/>
            <w:vAlign w:val="bottom"/>
            <w:hideMark/>
          </w:tcPr>
          <w:p w14:paraId="3D40DEA1"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195,14</w:t>
            </w:r>
          </w:p>
        </w:tc>
        <w:tc>
          <w:tcPr>
            <w:tcW w:w="1123" w:type="pct"/>
            <w:shd w:val="clear" w:color="auto" w:fill="auto"/>
            <w:noWrap/>
            <w:vAlign w:val="bottom"/>
            <w:hideMark/>
          </w:tcPr>
          <w:p w14:paraId="7CA98CD8"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2 567,06</w:t>
            </w:r>
          </w:p>
        </w:tc>
        <w:tc>
          <w:tcPr>
            <w:tcW w:w="831" w:type="pct"/>
            <w:shd w:val="clear" w:color="auto" w:fill="auto"/>
            <w:noWrap/>
            <w:vAlign w:val="bottom"/>
            <w:hideMark/>
          </w:tcPr>
          <w:p w14:paraId="0F8D29D1"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417</w:t>
            </w:r>
          </w:p>
        </w:tc>
      </w:tr>
      <w:tr w:rsidR="00DB474C" w:rsidRPr="00A81EF1" w14:paraId="15039647" w14:textId="77777777" w:rsidTr="00DB474C">
        <w:trPr>
          <w:trHeight w:val="300"/>
        </w:trPr>
        <w:tc>
          <w:tcPr>
            <w:tcW w:w="1135" w:type="pct"/>
            <w:shd w:val="clear" w:color="auto" w:fill="auto"/>
            <w:noWrap/>
            <w:vAlign w:val="bottom"/>
            <w:hideMark/>
          </w:tcPr>
          <w:p w14:paraId="067F4844"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Острогожский</w:t>
            </w:r>
          </w:p>
        </w:tc>
        <w:tc>
          <w:tcPr>
            <w:tcW w:w="991" w:type="pct"/>
            <w:shd w:val="clear" w:color="auto" w:fill="auto"/>
            <w:noWrap/>
            <w:vAlign w:val="bottom"/>
            <w:hideMark/>
          </w:tcPr>
          <w:p w14:paraId="5C04171E"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5,30</w:t>
            </w:r>
          </w:p>
        </w:tc>
        <w:tc>
          <w:tcPr>
            <w:tcW w:w="919" w:type="pct"/>
            <w:shd w:val="clear" w:color="auto" w:fill="auto"/>
            <w:noWrap/>
            <w:vAlign w:val="bottom"/>
            <w:hideMark/>
          </w:tcPr>
          <w:p w14:paraId="23F7BF81"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282,87</w:t>
            </w:r>
          </w:p>
        </w:tc>
        <w:tc>
          <w:tcPr>
            <w:tcW w:w="1123" w:type="pct"/>
            <w:shd w:val="clear" w:color="auto" w:fill="auto"/>
            <w:noWrap/>
            <w:vAlign w:val="bottom"/>
            <w:hideMark/>
          </w:tcPr>
          <w:p w14:paraId="727A7706"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12 763,64</w:t>
            </w:r>
          </w:p>
        </w:tc>
        <w:tc>
          <w:tcPr>
            <w:tcW w:w="831" w:type="pct"/>
            <w:shd w:val="clear" w:color="auto" w:fill="auto"/>
            <w:noWrap/>
            <w:vAlign w:val="bottom"/>
            <w:hideMark/>
          </w:tcPr>
          <w:p w14:paraId="5F35261A"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989</w:t>
            </w:r>
          </w:p>
        </w:tc>
      </w:tr>
      <w:tr w:rsidR="00DB474C" w:rsidRPr="00A81EF1" w14:paraId="60A116DA" w14:textId="77777777" w:rsidTr="00DB474C">
        <w:trPr>
          <w:trHeight w:val="300"/>
        </w:trPr>
        <w:tc>
          <w:tcPr>
            <w:tcW w:w="1135" w:type="pct"/>
            <w:shd w:val="clear" w:color="auto" w:fill="auto"/>
            <w:noWrap/>
            <w:vAlign w:val="bottom"/>
            <w:hideMark/>
          </w:tcPr>
          <w:p w14:paraId="45A8EBAC"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Павловский</w:t>
            </w:r>
          </w:p>
        </w:tc>
        <w:tc>
          <w:tcPr>
            <w:tcW w:w="991" w:type="pct"/>
            <w:shd w:val="clear" w:color="auto" w:fill="auto"/>
            <w:noWrap/>
            <w:vAlign w:val="bottom"/>
            <w:hideMark/>
          </w:tcPr>
          <w:p w14:paraId="7C660311"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5,30</w:t>
            </w:r>
          </w:p>
        </w:tc>
        <w:tc>
          <w:tcPr>
            <w:tcW w:w="919" w:type="pct"/>
            <w:shd w:val="clear" w:color="auto" w:fill="auto"/>
            <w:noWrap/>
            <w:vAlign w:val="bottom"/>
            <w:hideMark/>
          </w:tcPr>
          <w:p w14:paraId="70909E5B"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317,94</w:t>
            </w:r>
          </w:p>
        </w:tc>
        <w:tc>
          <w:tcPr>
            <w:tcW w:w="1123" w:type="pct"/>
            <w:shd w:val="clear" w:color="auto" w:fill="auto"/>
            <w:noWrap/>
            <w:vAlign w:val="bottom"/>
            <w:hideMark/>
          </w:tcPr>
          <w:p w14:paraId="7717FA92"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7 939,86</w:t>
            </w:r>
          </w:p>
        </w:tc>
        <w:tc>
          <w:tcPr>
            <w:tcW w:w="831" w:type="pct"/>
            <w:shd w:val="clear" w:color="auto" w:fill="auto"/>
            <w:noWrap/>
            <w:vAlign w:val="bottom"/>
            <w:hideMark/>
          </w:tcPr>
          <w:p w14:paraId="6DF4BA6F"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947</w:t>
            </w:r>
          </w:p>
        </w:tc>
      </w:tr>
      <w:tr w:rsidR="00DB474C" w:rsidRPr="00A81EF1" w14:paraId="46F54910" w14:textId="77777777" w:rsidTr="00DB474C">
        <w:trPr>
          <w:trHeight w:val="300"/>
        </w:trPr>
        <w:tc>
          <w:tcPr>
            <w:tcW w:w="1135" w:type="pct"/>
            <w:shd w:val="clear" w:color="auto" w:fill="auto"/>
            <w:noWrap/>
            <w:vAlign w:val="bottom"/>
            <w:hideMark/>
          </w:tcPr>
          <w:p w14:paraId="1EF6A401"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Панинский</w:t>
            </w:r>
          </w:p>
        </w:tc>
        <w:tc>
          <w:tcPr>
            <w:tcW w:w="991" w:type="pct"/>
            <w:shd w:val="clear" w:color="auto" w:fill="auto"/>
            <w:noWrap/>
            <w:vAlign w:val="bottom"/>
            <w:hideMark/>
          </w:tcPr>
          <w:p w14:paraId="76FE8909"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6,12</w:t>
            </w:r>
          </w:p>
        </w:tc>
        <w:tc>
          <w:tcPr>
            <w:tcW w:w="919" w:type="pct"/>
            <w:shd w:val="clear" w:color="auto" w:fill="auto"/>
            <w:noWrap/>
            <w:vAlign w:val="bottom"/>
            <w:hideMark/>
          </w:tcPr>
          <w:p w14:paraId="1DDC13D6"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125,06</w:t>
            </w:r>
          </w:p>
        </w:tc>
        <w:tc>
          <w:tcPr>
            <w:tcW w:w="1123" w:type="pct"/>
            <w:shd w:val="clear" w:color="auto" w:fill="auto"/>
            <w:noWrap/>
            <w:vAlign w:val="bottom"/>
            <w:hideMark/>
          </w:tcPr>
          <w:p w14:paraId="1EF1AC12"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2 202,19</w:t>
            </w:r>
          </w:p>
        </w:tc>
        <w:tc>
          <w:tcPr>
            <w:tcW w:w="831" w:type="pct"/>
            <w:shd w:val="clear" w:color="auto" w:fill="auto"/>
            <w:noWrap/>
            <w:vAlign w:val="bottom"/>
            <w:hideMark/>
          </w:tcPr>
          <w:p w14:paraId="3862F246"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452</w:t>
            </w:r>
          </w:p>
        </w:tc>
      </w:tr>
      <w:tr w:rsidR="00DB474C" w:rsidRPr="00A81EF1" w14:paraId="4415880C" w14:textId="77777777" w:rsidTr="00DB474C">
        <w:trPr>
          <w:trHeight w:val="300"/>
        </w:trPr>
        <w:tc>
          <w:tcPr>
            <w:tcW w:w="1135" w:type="pct"/>
            <w:shd w:val="clear" w:color="auto" w:fill="auto"/>
            <w:noWrap/>
            <w:vAlign w:val="bottom"/>
            <w:hideMark/>
          </w:tcPr>
          <w:p w14:paraId="4B00B84A"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Петропавловский</w:t>
            </w:r>
          </w:p>
        </w:tc>
        <w:tc>
          <w:tcPr>
            <w:tcW w:w="991" w:type="pct"/>
            <w:shd w:val="clear" w:color="auto" w:fill="auto"/>
            <w:noWrap/>
            <w:vAlign w:val="bottom"/>
            <w:hideMark/>
          </w:tcPr>
          <w:p w14:paraId="75AAC1AD"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5,30</w:t>
            </w:r>
          </w:p>
        </w:tc>
        <w:tc>
          <w:tcPr>
            <w:tcW w:w="919" w:type="pct"/>
            <w:shd w:val="clear" w:color="auto" w:fill="auto"/>
            <w:noWrap/>
            <w:vAlign w:val="bottom"/>
            <w:hideMark/>
          </w:tcPr>
          <w:p w14:paraId="32D4FF09"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183,55</w:t>
            </w:r>
          </w:p>
        </w:tc>
        <w:tc>
          <w:tcPr>
            <w:tcW w:w="1123" w:type="pct"/>
            <w:shd w:val="clear" w:color="auto" w:fill="auto"/>
            <w:noWrap/>
            <w:vAlign w:val="bottom"/>
            <w:hideMark/>
          </w:tcPr>
          <w:p w14:paraId="3048D968"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2 915,00</w:t>
            </w:r>
          </w:p>
        </w:tc>
        <w:tc>
          <w:tcPr>
            <w:tcW w:w="831" w:type="pct"/>
            <w:shd w:val="clear" w:color="auto" w:fill="auto"/>
            <w:noWrap/>
            <w:vAlign w:val="bottom"/>
            <w:hideMark/>
          </w:tcPr>
          <w:p w14:paraId="75C93C27"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292</w:t>
            </w:r>
          </w:p>
        </w:tc>
      </w:tr>
      <w:tr w:rsidR="00DB474C" w:rsidRPr="00A81EF1" w14:paraId="7AE137EF" w14:textId="77777777" w:rsidTr="00DB474C">
        <w:trPr>
          <w:trHeight w:val="300"/>
        </w:trPr>
        <w:tc>
          <w:tcPr>
            <w:tcW w:w="1135" w:type="pct"/>
            <w:shd w:val="clear" w:color="auto" w:fill="auto"/>
            <w:noWrap/>
            <w:vAlign w:val="bottom"/>
            <w:hideMark/>
          </w:tcPr>
          <w:p w14:paraId="09111326"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Поворинский</w:t>
            </w:r>
          </w:p>
        </w:tc>
        <w:tc>
          <w:tcPr>
            <w:tcW w:w="991" w:type="pct"/>
            <w:shd w:val="clear" w:color="auto" w:fill="auto"/>
            <w:noWrap/>
            <w:vAlign w:val="bottom"/>
            <w:hideMark/>
          </w:tcPr>
          <w:p w14:paraId="6F1843A9"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5,89</w:t>
            </w:r>
          </w:p>
        </w:tc>
        <w:tc>
          <w:tcPr>
            <w:tcW w:w="919" w:type="pct"/>
            <w:shd w:val="clear" w:color="auto" w:fill="auto"/>
            <w:noWrap/>
            <w:vAlign w:val="bottom"/>
            <w:hideMark/>
          </w:tcPr>
          <w:p w14:paraId="10E8A6B4"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348,53</w:t>
            </w:r>
          </w:p>
        </w:tc>
        <w:tc>
          <w:tcPr>
            <w:tcW w:w="1123" w:type="pct"/>
            <w:shd w:val="clear" w:color="auto" w:fill="auto"/>
            <w:noWrap/>
            <w:vAlign w:val="bottom"/>
            <w:hideMark/>
          </w:tcPr>
          <w:p w14:paraId="4850080E"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9 859,96</w:t>
            </w:r>
          </w:p>
        </w:tc>
        <w:tc>
          <w:tcPr>
            <w:tcW w:w="831" w:type="pct"/>
            <w:shd w:val="clear" w:color="auto" w:fill="auto"/>
            <w:noWrap/>
            <w:vAlign w:val="bottom"/>
            <w:hideMark/>
          </w:tcPr>
          <w:p w14:paraId="4151D18F"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296</w:t>
            </w:r>
          </w:p>
        </w:tc>
      </w:tr>
      <w:tr w:rsidR="00DB474C" w:rsidRPr="00A81EF1" w14:paraId="3EC8129C" w14:textId="77777777" w:rsidTr="00DB474C">
        <w:trPr>
          <w:trHeight w:val="300"/>
        </w:trPr>
        <w:tc>
          <w:tcPr>
            <w:tcW w:w="1135" w:type="pct"/>
            <w:shd w:val="clear" w:color="auto" w:fill="auto"/>
            <w:noWrap/>
            <w:vAlign w:val="bottom"/>
            <w:hideMark/>
          </w:tcPr>
          <w:p w14:paraId="2D2BB5A0"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Подгоренский</w:t>
            </w:r>
          </w:p>
        </w:tc>
        <w:tc>
          <w:tcPr>
            <w:tcW w:w="991" w:type="pct"/>
            <w:shd w:val="clear" w:color="auto" w:fill="auto"/>
            <w:noWrap/>
            <w:vAlign w:val="bottom"/>
            <w:hideMark/>
          </w:tcPr>
          <w:p w14:paraId="00E380E3"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5,64</w:t>
            </w:r>
          </w:p>
        </w:tc>
        <w:tc>
          <w:tcPr>
            <w:tcW w:w="919" w:type="pct"/>
            <w:shd w:val="clear" w:color="auto" w:fill="auto"/>
            <w:noWrap/>
            <w:vAlign w:val="bottom"/>
            <w:hideMark/>
          </w:tcPr>
          <w:p w14:paraId="32D43C10"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105,25</w:t>
            </w:r>
          </w:p>
        </w:tc>
        <w:tc>
          <w:tcPr>
            <w:tcW w:w="1123" w:type="pct"/>
            <w:shd w:val="clear" w:color="auto" w:fill="auto"/>
            <w:noWrap/>
            <w:vAlign w:val="bottom"/>
            <w:hideMark/>
          </w:tcPr>
          <w:p w14:paraId="1311031D"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2 674,42</w:t>
            </w:r>
          </w:p>
        </w:tc>
        <w:tc>
          <w:tcPr>
            <w:tcW w:w="831" w:type="pct"/>
            <w:shd w:val="clear" w:color="auto" w:fill="auto"/>
            <w:noWrap/>
            <w:vAlign w:val="bottom"/>
            <w:hideMark/>
          </w:tcPr>
          <w:p w14:paraId="0EB13196"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349</w:t>
            </w:r>
          </w:p>
        </w:tc>
      </w:tr>
      <w:tr w:rsidR="00DB474C" w:rsidRPr="00A81EF1" w14:paraId="78DE6F82" w14:textId="77777777" w:rsidTr="00DB474C">
        <w:trPr>
          <w:trHeight w:val="300"/>
        </w:trPr>
        <w:tc>
          <w:tcPr>
            <w:tcW w:w="1135" w:type="pct"/>
            <w:shd w:val="clear" w:color="auto" w:fill="auto"/>
            <w:noWrap/>
            <w:vAlign w:val="bottom"/>
            <w:hideMark/>
          </w:tcPr>
          <w:p w14:paraId="1C7EB4F7"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Рамонский</w:t>
            </w:r>
          </w:p>
        </w:tc>
        <w:tc>
          <w:tcPr>
            <w:tcW w:w="991" w:type="pct"/>
            <w:shd w:val="clear" w:color="auto" w:fill="auto"/>
            <w:noWrap/>
            <w:vAlign w:val="bottom"/>
            <w:hideMark/>
          </w:tcPr>
          <w:p w14:paraId="43F1320F"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5,30</w:t>
            </w:r>
          </w:p>
        </w:tc>
        <w:tc>
          <w:tcPr>
            <w:tcW w:w="919" w:type="pct"/>
            <w:shd w:val="clear" w:color="auto" w:fill="auto"/>
            <w:noWrap/>
            <w:vAlign w:val="bottom"/>
            <w:hideMark/>
          </w:tcPr>
          <w:p w14:paraId="171A4A7C"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948,51</w:t>
            </w:r>
          </w:p>
        </w:tc>
        <w:tc>
          <w:tcPr>
            <w:tcW w:w="1123" w:type="pct"/>
            <w:shd w:val="clear" w:color="auto" w:fill="auto"/>
            <w:noWrap/>
            <w:vAlign w:val="bottom"/>
            <w:hideMark/>
          </w:tcPr>
          <w:p w14:paraId="66A83323"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43 156,22</w:t>
            </w:r>
          </w:p>
        </w:tc>
        <w:tc>
          <w:tcPr>
            <w:tcW w:w="831" w:type="pct"/>
            <w:shd w:val="clear" w:color="auto" w:fill="auto"/>
            <w:noWrap/>
            <w:vAlign w:val="bottom"/>
            <w:hideMark/>
          </w:tcPr>
          <w:p w14:paraId="5DBEB97A"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8243</w:t>
            </w:r>
          </w:p>
        </w:tc>
      </w:tr>
      <w:tr w:rsidR="00DB474C" w:rsidRPr="00A81EF1" w14:paraId="5CA0A4D1" w14:textId="77777777" w:rsidTr="00DB474C">
        <w:trPr>
          <w:trHeight w:val="300"/>
        </w:trPr>
        <w:tc>
          <w:tcPr>
            <w:tcW w:w="1135" w:type="pct"/>
            <w:shd w:val="clear" w:color="auto" w:fill="auto"/>
            <w:noWrap/>
            <w:vAlign w:val="bottom"/>
            <w:hideMark/>
          </w:tcPr>
          <w:p w14:paraId="0868C78A"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Репьевский</w:t>
            </w:r>
          </w:p>
        </w:tc>
        <w:tc>
          <w:tcPr>
            <w:tcW w:w="991" w:type="pct"/>
            <w:shd w:val="clear" w:color="auto" w:fill="auto"/>
            <w:noWrap/>
            <w:vAlign w:val="bottom"/>
            <w:hideMark/>
          </w:tcPr>
          <w:p w14:paraId="36BBAF9B"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5,30</w:t>
            </w:r>
          </w:p>
        </w:tc>
        <w:tc>
          <w:tcPr>
            <w:tcW w:w="919" w:type="pct"/>
            <w:shd w:val="clear" w:color="auto" w:fill="auto"/>
            <w:noWrap/>
            <w:vAlign w:val="bottom"/>
            <w:hideMark/>
          </w:tcPr>
          <w:p w14:paraId="594CA92B"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95,67</w:t>
            </w:r>
          </w:p>
        </w:tc>
        <w:tc>
          <w:tcPr>
            <w:tcW w:w="1123" w:type="pct"/>
            <w:shd w:val="clear" w:color="auto" w:fill="auto"/>
            <w:noWrap/>
            <w:vAlign w:val="bottom"/>
            <w:hideMark/>
          </w:tcPr>
          <w:p w14:paraId="6D02CAFB"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3 245,98</w:t>
            </w:r>
          </w:p>
        </w:tc>
        <w:tc>
          <w:tcPr>
            <w:tcW w:w="831" w:type="pct"/>
            <w:shd w:val="clear" w:color="auto" w:fill="auto"/>
            <w:noWrap/>
            <w:vAlign w:val="bottom"/>
            <w:hideMark/>
          </w:tcPr>
          <w:p w14:paraId="1F3202C3"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262</w:t>
            </w:r>
          </w:p>
        </w:tc>
      </w:tr>
      <w:tr w:rsidR="00DB474C" w:rsidRPr="00A81EF1" w14:paraId="151B1312" w14:textId="77777777" w:rsidTr="00DB474C">
        <w:trPr>
          <w:trHeight w:val="300"/>
        </w:trPr>
        <w:tc>
          <w:tcPr>
            <w:tcW w:w="1135" w:type="pct"/>
            <w:shd w:val="clear" w:color="auto" w:fill="auto"/>
            <w:noWrap/>
            <w:vAlign w:val="bottom"/>
            <w:hideMark/>
          </w:tcPr>
          <w:p w14:paraId="19DFC5B0"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Россошанский</w:t>
            </w:r>
          </w:p>
        </w:tc>
        <w:tc>
          <w:tcPr>
            <w:tcW w:w="991" w:type="pct"/>
            <w:shd w:val="clear" w:color="auto" w:fill="auto"/>
            <w:noWrap/>
            <w:vAlign w:val="bottom"/>
            <w:hideMark/>
          </w:tcPr>
          <w:p w14:paraId="38AFA9A9"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4,57</w:t>
            </w:r>
          </w:p>
        </w:tc>
        <w:tc>
          <w:tcPr>
            <w:tcW w:w="919" w:type="pct"/>
            <w:shd w:val="clear" w:color="auto" w:fill="auto"/>
            <w:noWrap/>
            <w:vAlign w:val="bottom"/>
            <w:hideMark/>
          </w:tcPr>
          <w:p w14:paraId="460C7F20"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412,55</w:t>
            </w:r>
          </w:p>
        </w:tc>
        <w:tc>
          <w:tcPr>
            <w:tcW w:w="1123" w:type="pct"/>
            <w:shd w:val="clear" w:color="auto" w:fill="auto"/>
            <w:noWrap/>
            <w:vAlign w:val="bottom"/>
            <w:hideMark/>
          </w:tcPr>
          <w:p w14:paraId="6875DA72"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10 758,62</w:t>
            </w:r>
          </w:p>
        </w:tc>
        <w:tc>
          <w:tcPr>
            <w:tcW w:w="831" w:type="pct"/>
            <w:shd w:val="clear" w:color="auto" w:fill="auto"/>
            <w:noWrap/>
            <w:vAlign w:val="bottom"/>
            <w:hideMark/>
          </w:tcPr>
          <w:p w14:paraId="0C4A2FDE"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1400</w:t>
            </w:r>
          </w:p>
        </w:tc>
      </w:tr>
      <w:tr w:rsidR="00DB474C" w:rsidRPr="00A81EF1" w14:paraId="4F4582AC" w14:textId="77777777" w:rsidTr="00DB474C">
        <w:trPr>
          <w:trHeight w:val="300"/>
        </w:trPr>
        <w:tc>
          <w:tcPr>
            <w:tcW w:w="1135" w:type="pct"/>
            <w:shd w:val="clear" w:color="auto" w:fill="auto"/>
            <w:noWrap/>
            <w:vAlign w:val="bottom"/>
            <w:hideMark/>
          </w:tcPr>
          <w:p w14:paraId="4AB74E97"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Семилукский</w:t>
            </w:r>
          </w:p>
        </w:tc>
        <w:tc>
          <w:tcPr>
            <w:tcW w:w="991" w:type="pct"/>
            <w:shd w:val="clear" w:color="auto" w:fill="auto"/>
            <w:noWrap/>
            <w:vAlign w:val="bottom"/>
            <w:hideMark/>
          </w:tcPr>
          <w:p w14:paraId="754EC168"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5,30</w:t>
            </w:r>
          </w:p>
        </w:tc>
        <w:tc>
          <w:tcPr>
            <w:tcW w:w="919" w:type="pct"/>
            <w:shd w:val="clear" w:color="auto" w:fill="auto"/>
            <w:noWrap/>
            <w:vAlign w:val="bottom"/>
            <w:hideMark/>
          </w:tcPr>
          <w:p w14:paraId="695EA8B7"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345,45</w:t>
            </w:r>
          </w:p>
        </w:tc>
        <w:tc>
          <w:tcPr>
            <w:tcW w:w="1123" w:type="pct"/>
            <w:shd w:val="clear" w:color="auto" w:fill="auto"/>
            <w:noWrap/>
            <w:vAlign w:val="bottom"/>
            <w:hideMark/>
          </w:tcPr>
          <w:p w14:paraId="6F7B7115"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19 000,00</w:t>
            </w:r>
          </w:p>
        </w:tc>
        <w:tc>
          <w:tcPr>
            <w:tcW w:w="831" w:type="pct"/>
            <w:shd w:val="clear" w:color="auto" w:fill="auto"/>
            <w:noWrap/>
            <w:vAlign w:val="bottom"/>
            <w:hideMark/>
          </w:tcPr>
          <w:p w14:paraId="6DAE3574"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4764</w:t>
            </w:r>
          </w:p>
        </w:tc>
      </w:tr>
      <w:tr w:rsidR="00DB474C" w:rsidRPr="00A81EF1" w14:paraId="241E7B7B" w14:textId="77777777" w:rsidTr="00DB474C">
        <w:trPr>
          <w:trHeight w:val="300"/>
        </w:trPr>
        <w:tc>
          <w:tcPr>
            <w:tcW w:w="1135" w:type="pct"/>
            <w:shd w:val="clear" w:color="auto" w:fill="auto"/>
            <w:noWrap/>
            <w:vAlign w:val="bottom"/>
            <w:hideMark/>
          </w:tcPr>
          <w:p w14:paraId="38B2F11A"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Таловский</w:t>
            </w:r>
          </w:p>
        </w:tc>
        <w:tc>
          <w:tcPr>
            <w:tcW w:w="991" w:type="pct"/>
            <w:shd w:val="clear" w:color="auto" w:fill="auto"/>
            <w:noWrap/>
            <w:vAlign w:val="bottom"/>
            <w:hideMark/>
          </w:tcPr>
          <w:p w14:paraId="43D84C82"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5,30</w:t>
            </w:r>
          </w:p>
        </w:tc>
        <w:tc>
          <w:tcPr>
            <w:tcW w:w="919" w:type="pct"/>
            <w:shd w:val="clear" w:color="auto" w:fill="auto"/>
            <w:noWrap/>
            <w:vAlign w:val="bottom"/>
            <w:hideMark/>
          </w:tcPr>
          <w:p w14:paraId="5BFBFDCD"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115,69</w:t>
            </w:r>
          </w:p>
        </w:tc>
        <w:tc>
          <w:tcPr>
            <w:tcW w:w="1123" w:type="pct"/>
            <w:shd w:val="clear" w:color="auto" w:fill="auto"/>
            <w:noWrap/>
            <w:vAlign w:val="bottom"/>
            <w:hideMark/>
          </w:tcPr>
          <w:p w14:paraId="6D4494DC"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3 547,43</w:t>
            </w:r>
          </w:p>
        </w:tc>
        <w:tc>
          <w:tcPr>
            <w:tcW w:w="831" w:type="pct"/>
            <w:shd w:val="clear" w:color="auto" w:fill="auto"/>
            <w:noWrap/>
            <w:vAlign w:val="bottom"/>
            <w:hideMark/>
          </w:tcPr>
          <w:p w14:paraId="7B0FB1A2"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515</w:t>
            </w:r>
          </w:p>
        </w:tc>
      </w:tr>
      <w:tr w:rsidR="00DB474C" w:rsidRPr="00A81EF1" w14:paraId="3430EDDC" w14:textId="77777777" w:rsidTr="00DB474C">
        <w:trPr>
          <w:trHeight w:val="300"/>
        </w:trPr>
        <w:tc>
          <w:tcPr>
            <w:tcW w:w="1135" w:type="pct"/>
            <w:shd w:val="clear" w:color="auto" w:fill="auto"/>
            <w:noWrap/>
            <w:vAlign w:val="bottom"/>
            <w:hideMark/>
          </w:tcPr>
          <w:p w14:paraId="4073D940"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Терновский</w:t>
            </w:r>
          </w:p>
        </w:tc>
        <w:tc>
          <w:tcPr>
            <w:tcW w:w="991" w:type="pct"/>
            <w:shd w:val="clear" w:color="auto" w:fill="auto"/>
            <w:noWrap/>
            <w:vAlign w:val="bottom"/>
            <w:hideMark/>
          </w:tcPr>
          <w:p w14:paraId="3762559A"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5,30</w:t>
            </w:r>
          </w:p>
        </w:tc>
        <w:tc>
          <w:tcPr>
            <w:tcW w:w="919" w:type="pct"/>
            <w:shd w:val="clear" w:color="auto" w:fill="auto"/>
            <w:noWrap/>
            <w:vAlign w:val="bottom"/>
            <w:hideMark/>
          </w:tcPr>
          <w:p w14:paraId="527AB742"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161,88</w:t>
            </w:r>
          </w:p>
        </w:tc>
        <w:tc>
          <w:tcPr>
            <w:tcW w:w="1123" w:type="pct"/>
            <w:shd w:val="clear" w:color="auto" w:fill="auto"/>
            <w:noWrap/>
            <w:vAlign w:val="bottom"/>
            <w:hideMark/>
          </w:tcPr>
          <w:p w14:paraId="48D52F4D"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3 071,25</w:t>
            </w:r>
          </w:p>
        </w:tc>
        <w:tc>
          <w:tcPr>
            <w:tcW w:w="831" w:type="pct"/>
            <w:shd w:val="clear" w:color="auto" w:fill="auto"/>
            <w:noWrap/>
            <w:vAlign w:val="bottom"/>
            <w:hideMark/>
          </w:tcPr>
          <w:p w14:paraId="35846C06"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215</w:t>
            </w:r>
          </w:p>
        </w:tc>
      </w:tr>
      <w:tr w:rsidR="00DB474C" w:rsidRPr="00A81EF1" w14:paraId="1DA6D78B" w14:textId="77777777" w:rsidTr="00DB474C">
        <w:trPr>
          <w:trHeight w:val="300"/>
        </w:trPr>
        <w:tc>
          <w:tcPr>
            <w:tcW w:w="1135" w:type="pct"/>
            <w:shd w:val="clear" w:color="auto" w:fill="auto"/>
            <w:noWrap/>
            <w:vAlign w:val="bottom"/>
            <w:hideMark/>
          </w:tcPr>
          <w:p w14:paraId="5421D5EE"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Хохольский</w:t>
            </w:r>
          </w:p>
        </w:tc>
        <w:tc>
          <w:tcPr>
            <w:tcW w:w="991" w:type="pct"/>
            <w:shd w:val="clear" w:color="auto" w:fill="auto"/>
            <w:noWrap/>
            <w:vAlign w:val="bottom"/>
            <w:hideMark/>
          </w:tcPr>
          <w:p w14:paraId="3118F077"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5,30</w:t>
            </w:r>
          </w:p>
        </w:tc>
        <w:tc>
          <w:tcPr>
            <w:tcW w:w="919" w:type="pct"/>
            <w:shd w:val="clear" w:color="auto" w:fill="auto"/>
            <w:noWrap/>
            <w:vAlign w:val="bottom"/>
            <w:hideMark/>
          </w:tcPr>
          <w:p w14:paraId="24CDD960"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220,86</w:t>
            </w:r>
          </w:p>
        </w:tc>
        <w:tc>
          <w:tcPr>
            <w:tcW w:w="1123" w:type="pct"/>
            <w:shd w:val="clear" w:color="auto" w:fill="auto"/>
            <w:noWrap/>
            <w:vAlign w:val="bottom"/>
            <w:hideMark/>
          </w:tcPr>
          <w:p w14:paraId="0819110B"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5 200,00</w:t>
            </w:r>
          </w:p>
        </w:tc>
        <w:tc>
          <w:tcPr>
            <w:tcW w:w="831" w:type="pct"/>
            <w:shd w:val="clear" w:color="auto" w:fill="auto"/>
            <w:noWrap/>
            <w:vAlign w:val="bottom"/>
            <w:hideMark/>
          </w:tcPr>
          <w:p w14:paraId="44AF8C51"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1835</w:t>
            </w:r>
          </w:p>
        </w:tc>
      </w:tr>
      <w:tr w:rsidR="00DB474C" w:rsidRPr="00A81EF1" w14:paraId="231C3C56" w14:textId="77777777" w:rsidTr="00DB474C">
        <w:trPr>
          <w:trHeight w:val="300"/>
        </w:trPr>
        <w:tc>
          <w:tcPr>
            <w:tcW w:w="1135" w:type="pct"/>
            <w:shd w:val="clear" w:color="auto" w:fill="auto"/>
            <w:noWrap/>
            <w:vAlign w:val="bottom"/>
            <w:hideMark/>
          </w:tcPr>
          <w:p w14:paraId="24A7BA5A"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Эртильский</w:t>
            </w:r>
          </w:p>
        </w:tc>
        <w:tc>
          <w:tcPr>
            <w:tcW w:w="991" w:type="pct"/>
            <w:shd w:val="clear" w:color="auto" w:fill="auto"/>
            <w:noWrap/>
            <w:vAlign w:val="bottom"/>
            <w:hideMark/>
          </w:tcPr>
          <w:p w14:paraId="51A4D3C7"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5,89</w:t>
            </w:r>
          </w:p>
        </w:tc>
        <w:tc>
          <w:tcPr>
            <w:tcW w:w="919" w:type="pct"/>
            <w:shd w:val="clear" w:color="auto" w:fill="auto"/>
            <w:noWrap/>
            <w:vAlign w:val="bottom"/>
            <w:hideMark/>
          </w:tcPr>
          <w:p w14:paraId="3B5D6544"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127,64</w:t>
            </w:r>
          </w:p>
        </w:tc>
        <w:tc>
          <w:tcPr>
            <w:tcW w:w="1123" w:type="pct"/>
            <w:shd w:val="clear" w:color="auto" w:fill="auto"/>
            <w:noWrap/>
            <w:vAlign w:val="bottom"/>
            <w:hideMark/>
          </w:tcPr>
          <w:p w14:paraId="0902B1BB"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4 553,58</w:t>
            </w:r>
          </w:p>
        </w:tc>
        <w:tc>
          <w:tcPr>
            <w:tcW w:w="831" w:type="pct"/>
            <w:shd w:val="clear" w:color="auto" w:fill="auto"/>
            <w:noWrap/>
            <w:vAlign w:val="bottom"/>
            <w:hideMark/>
          </w:tcPr>
          <w:p w14:paraId="4769061C"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344</w:t>
            </w:r>
          </w:p>
        </w:tc>
      </w:tr>
      <w:tr w:rsidR="00DB474C" w:rsidRPr="00A81EF1" w14:paraId="6612B129" w14:textId="77777777" w:rsidTr="00DB474C">
        <w:trPr>
          <w:trHeight w:val="300"/>
        </w:trPr>
        <w:tc>
          <w:tcPr>
            <w:tcW w:w="1135" w:type="pct"/>
            <w:shd w:val="clear" w:color="auto" w:fill="auto"/>
            <w:noWrap/>
            <w:vAlign w:val="bottom"/>
            <w:hideMark/>
          </w:tcPr>
          <w:p w14:paraId="0D4372C2"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г.о.г. Нововоронеж</w:t>
            </w:r>
          </w:p>
        </w:tc>
        <w:tc>
          <w:tcPr>
            <w:tcW w:w="991" w:type="pct"/>
            <w:shd w:val="clear" w:color="auto" w:fill="auto"/>
            <w:noWrap/>
            <w:vAlign w:val="bottom"/>
            <w:hideMark/>
          </w:tcPr>
          <w:p w14:paraId="6F9622D6"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6,94</w:t>
            </w:r>
          </w:p>
        </w:tc>
        <w:tc>
          <w:tcPr>
            <w:tcW w:w="919" w:type="pct"/>
            <w:shd w:val="clear" w:color="auto" w:fill="auto"/>
            <w:noWrap/>
            <w:vAlign w:val="bottom"/>
            <w:hideMark/>
          </w:tcPr>
          <w:p w14:paraId="6DC36BF1"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468,84</w:t>
            </w:r>
          </w:p>
        </w:tc>
        <w:tc>
          <w:tcPr>
            <w:tcW w:w="1123" w:type="pct"/>
            <w:shd w:val="clear" w:color="auto" w:fill="auto"/>
            <w:noWrap/>
            <w:vAlign w:val="bottom"/>
            <w:hideMark/>
          </w:tcPr>
          <w:p w14:paraId="7D10F4A8"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6 361,70</w:t>
            </w:r>
          </w:p>
        </w:tc>
        <w:tc>
          <w:tcPr>
            <w:tcW w:w="831" w:type="pct"/>
            <w:shd w:val="clear" w:color="auto" w:fill="auto"/>
            <w:noWrap/>
            <w:vAlign w:val="bottom"/>
            <w:hideMark/>
          </w:tcPr>
          <w:p w14:paraId="0E86D7D5"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311</w:t>
            </w:r>
          </w:p>
        </w:tc>
      </w:tr>
      <w:tr w:rsidR="00DB474C" w:rsidRPr="00A81EF1" w14:paraId="2B555CEB" w14:textId="77777777" w:rsidTr="00DB474C">
        <w:trPr>
          <w:trHeight w:val="300"/>
        </w:trPr>
        <w:tc>
          <w:tcPr>
            <w:tcW w:w="1135" w:type="pct"/>
            <w:shd w:val="clear" w:color="auto" w:fill="auto"/>
            <w:noWrap/>
            <w:vAlign w:val="bottom"/>
            <w:hideMark/>
          </w:tcPr>
          <w:p w14:paraId="7623673B" w14:textId="77777777" w:rsidR="00DB474C" w:rsidRPr="00A81EF1" w:rsidRDefault="00DB474C" w:rsidP="00DB474C">
            <w:pPr>
              <w:spacing w:after="0" w:line="240" w:lineRule="auto"/>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г.о.г. Воронеж</w:t>
            </w:r>
          </w:p>
        </w:tc>
        <w:tc>
          <w:tcPr>
            <w:tcW w:w="991" w:type="pct"/>
            <w:shd w:val="clear" w:color="auto" w:fill="auto"/>
            <w:noWrap/>
            <w:vAlign w:val="bottom"/>
            <w:hideMark/>
          </w:tcPr>
          <w:p w14:paraId="473C2D82"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14,61</w:t>
            </w:r>
          </w:p>
        </w:tc>
        <w:tc>
          <w:tcPr>
            <w:tcW w:w="919" w:type="pct"/>
            <w:shd w:val="clear" w:color="auto" w:fill="auto"/>
            <w:noWrap/>
            <w:vAlign w:val="bottom"/>
            <w:hideMark/>
          </w:tcPr>
          <w:p w14:paraId="6AAA9D6E"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3 392,19</w:t>
            </w:r>
          </w:p>
        </w:tc>
        <w:tc>
          <w:tcPr>
            <w:tcW w:w="1123" w:type="pct"/>
            <w:shd w:val="clear" w:color="auto" w:fill="auto"/>
            <w:noWrap/>
            <w:vAlign w:val="bottom"/>
            <w:hideMark/>
          </w:tcPr>
          <w:p w14:paraId="2E66708F"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49 950,00</w:t>
            </w:r>
          </w:p>
        </w:tc>
        <w:tc>
          <w:tcPr>
            <w:tcW w:w="831" w:type="pct"/>
            <w:shd w:val="clear" w:color="auto" w:fill="auto"/>
            <w:noWrap/>
            <w:vAlign w:val="bottom"/>
            <w:hideMark/>
          </w:tcPr>
          <w:p w14:paraId="2AF8F17F" w14:textId="77777777" w:rsidR="00DB474C" w:rsidRPr="00A81EF1" w:rsidRDefault="00DB474C" w:rsidP="00DB474C">
            <w:pPr>
              <w:spacing w:after="0" w:line="240" w:lineRule="auto"/>
              <w:jc w:val="right"/>
              <w:rPr>
                <w:rFonts w:ascii="Times New Roman" w:eastAsia="Times New Roman" w:hAnsi="Times New Roman" w:cs="Times New Roman"/>
                <w:color w:val="000000"/>
                <w:lang w:eastAsia="ru-RU"/>
              </w:rPr>
            </w:pPr>
            <w:r w:rsidRPr="00A81EF1">
              <w:rPr>
                <w:rFonts w:ascii="Times New Roman" w:eastAsia="Times New Roman" w:hAnsi="Times New Roman" w:cs="Times New Roman"/>
                <w:color w:val="000000"/>
                <w:lang w:eastAsia="ru-RU"/>
              </w:rPr>
              <w:t>3590</w:t>
            </w:r>
          </w:p>
        </w:tc>
      </w:tr>
      <w:tr w:rsidR="00DB474C" w:rsidRPr="00A81EF1" w14:paraId="52AF3070" w14:textId="77777777" w:rsidTr="00DB474C">
        <w:trPr>
          <w:trHeight w:val="300"/>
        </w:trPr>
        <w:tc>
          <w:tcPr>
            <w:tcW w:w="1135" w:type="pct"/>
            <w:shd w:val="clear" w:color="auto" w:fill="auto"/>
            <w:noWrap/>
            <w:vAlign w:val="bottom"/>
            <w:hideMark/>
          </w:tcPr>
          <w:p w14:paraId="04DA7DAA" w14:textId="77777777" w:rsidR="00DB474C" w:rsidRPr="00A81EF1" w:rsidRDefault="00DB474C" w:rsidP="00DB474C">
            <w:pPr>
              <w:spacing w:after="0" w:line="240" w:lineRule="auto"/>
              <w:rPr>
                <w:rFonts w:ascii="Times New Roman" w:eastAsia="Times New Roman" w:hAnsi="Times New Roman" w:cs="Times New Roman"/>
                <w:b/>
                <w:color w:val="000000"/>
                <w:lang w:eastAsia="ru-RU"/>
              </w:rPr>
            </w:pPr>
            <w:r w:rsidRPr="00A81EF1">
              <w:rPr>
                <w:rFonts w:ascii="Times New Roman" w:eastAsia="Times New Roman" w:hAnsi="Times New Roman" w:cs="Times New Roman"/>
                <w:b/>
                <w:color w:val="000000"/>
                <w:lang w:eastAsia="ru-RU"/>
              </w:rPr>
              <w:t>Общий итог</w:t>
            </w:r>
          </w:p>
        </w:tc>
        <w:tc>
          <w:tcPr>
            <w:tcW w:w="991" w:type="pct"/>
            <w:shd w:val="clear" w:color="auto" w:fill="auto"/>
            <w:noWrap/>
            <w:vAlign w:val="bottom"/>
            <w:hideMark/>
          </w:tcPr>
          <w:p w14:paraId="4D139183" w14:textId="77777777" w:rsidR="00DB474C" w:rsidRPr="00A81EF1" w:rsidRDefault="00DB474C" w:rsidP="00DB474C">
            <w:pPr>
              <w:spacing w:after="0" w:line="240" w:lineRule="auto"/>
              <w:jc w:val="right"/>
              <w:rPr>
                <w:rFonts w:ascii="Times New Roman" w:eastAsia="Times New Roman" w:hAnsi="Times New Roman" w:cs="Times New Roman"/>
                <w:b/>
                <w:color w:val="000000"/>
                <w:lang w:eastAsia="ru-RU"/>
              </w:rPr>
            </w:pPr>
            <w:r w:rsidRPr="00A81EF1">
              <w:rPr>
                <w:rFonts w:ascii="Times New Roman" w:eastAsia="Times New Roman" w:hAnsi="Times New Roman" w:cs="Times New Roman"/>
                <w:b/>
                <w:color w:val="000000"/>
                <w:lang w:eastAsia="ru-RU"/>
              </w:rPr>
              <w:t>2,35</w:t>
            </w:r>
          </w:p>
        </w:tc>
        <w:tc>
          <w:tcPr>
            <w:tcW w:w="919" w:type="pct"/>
            <w:shd w:val="clear" w:color="auto" w:fill="auto"/>
            <w:noWrap/>
            <w:vAlign w:val="bottom"/>
            <w:hideMark/>
          </w:tcPr>
          <w:p w14:paraId="02C2359F" w14:textId="77777777" w:rsidR="00DB474C" w:rsidRPr="00A81EF1" w:rsidRDefault="00DB474C" w:rsidP="00DB474C">
            <w:pPr>
              <w:spacing w:after="0" w:line="240" w:lineRule="auto"/>
              <w:jc w:val="right"/>
              <w:rPr>
                <w:rFonts w:ascii="Times New Roman" w:eastAsia="Times New Roman" w:hAnsi="Times New Roman" w:cs="Times New Roman"/>
                <w:b/>
                <w:color w:val="000000"/>
                <w:lang w:eastAsia="ru-RU"/>
              </w:rPr>
            </w:pPr>
            <w:r w:rsidRPr="00A81EF1">
              <w:rPr>
                <w:rFonts w:ascii="Times New Roman" w:eastAsia="Times New Roman" w:hAnsi="Times New Roman" w:cs="Times New Roman"/>
                <w:b/>
                <w:color w:val="000000"/>
                <w:lang w:eastAsia="ru-RU"/>
              </w:rPr>
              <w:t>733,36</w:t>
            </w:r>
          </w:p>
        </w:tc>
        <w:tc>
          <w:tcPr>
            <w:tcW w:w="1123" w:type="pct"/>
            <w:shd w:val="clear" w:color="auto" w:fill="auto"/>
            <w:noWrap/>
            <w:vAlign w:val="bottom"/>
            <w:hideMark/>
          </w:tcPr>
          <w:p w14:paraId="6F8FBEDE" w14:textId="77777777" w:rsidR="00DB474C" w:rsidRPr="00A81EF1" w:rsidRDefault="00DB474C" w:rsidP="00DB474C">
            <w:pPr>
              <w:spacing w:after="0" w:line="240" w:lineRule="auto"/>
              <w:jc w:val="right"/>
              <w:rPr>
                <w:rFonts w:ascii="Times New Roman" w:eastAsia="Times New Roman" w:hAnsi="Times New Roman" w:cs="Times New Roman"/>
                <w:b/>
                <w:color w:val="000000"/>
                <w:lang w:eastAsia="ru-RU"/>
              </w:rPr>
            </w:pPr>
            <w:r w:rsidRPr="00A81EF1">
              <w:rPr>
                <w:rFonts w:ascii="Times New Roman" w:eastAsia="Times New Roman" w:hAnsi="Times New Roman" w:cs="Times New Roman"/>
                <w:b/>
                <w:color w:val="000000"/>
                <w:lang w:eastAsia="ru-RU"/>
              </w:rPr>
              <w:t>49 950,00</w:t>
            </w:r>
          </w:p>
        </w:tc>
        <w:tc>
          <w:tcPr>
            <w:tcW w:w="831" w:type="pct"/>
            <w:shd w:val="clear" w:color="auto" w:fill="auto"/>
            <w:noWrap/>
            <w:vAlign w:val="bottom"/>
            <w:hideMark/>
          </w:tcPr>
          <w:p w14:paraId="789A4DFF" w14:textId="77777777" w:rsidR="00DB474C" w:rsidRPr="00A81EF1" w:rsidRDefault="00DB474C" w:rsidP="00DB474C">
            <w:pPr>
              <w:spacing w:after="0" w:line="240" w:lineRule="auto"/>
              <w:jc w:val="right"/>
              <w:rPr>
                <w:rFonts w:ascii="Times New Roman" w:eastAsia="Times New Roman" w:hAnsi="Times New Roman" w:cs="Times New Roman"/>
                <w:b/>
                <w:color w:val="000000"/>
                <w:lang w:eastAsia="ru-RU"/>
              </w:rPr>
            </w:pPr>
            <w:r w:rsidRPr="00A81EF1">
              <w:rPr>
                <w:rFonts w:ascii="Times New Roman" w:eastAsia="Times New Roman" w:hAnsi="Times New Roman" w:cs="Times New Roman"/>
                <w:b/>
                <w:color w:val="000000"/>
                <w:lang w:eastAsia="ru-RU"/>
              </w:rPr>
              <w:t>45114</w:t>
            </w:r>
          </w:p>
        </w:tc>
      </w:tr>
    </w:tbl>
    <w:p w14:paraId="25E21BD2" w14:textId="77777777" w:rsidR="00DB474C" w:rsidRDefault="00DB474C" w:rsidP="00DB474C">
      <w:pPr>
        <w:spacing w:before="120" w:after="0" w:line="276" w:lineRule="auto"/>
        <w:ind w:firstLine="708"/>
        <w:jc w:val="both"/>
        <w:rPr>
          <w:rFonts w:ascii="Times New Roman" w:hAnsi="Times New Roman" w:cs="Times New Roman"/>
          <w:sz w:val="26"/>
          <w:szCs w:val="26"/>
        </w:rPr>
      </w:pPr>
      <w:r>
        <w:rPr>
          <w:rFonts w:ascii="Times New Roman" w:hAnsi="Times New Roman" w:cs="Times New Roman"/>
          <w:sz w:val="26"/>
          <w:szCs w:val="26"/>
        </w:rPr>
        <w:t>Н</w:t>
      </w:r>
      <w:r w:rsidRPr="002A3183">
        <w:rPr>
          <w:rFonts w:ascii="Times New Roman" w:hAnsi="Times New Roman" w:cs="Times New Roman"/>
          <w:sz w:val="26"/>
          <w:szCs w:val="26"/>
        </w:rPr>
        <w:t xml:space="preserve">аибольшее количество среди районов Воронежской области представлено в </w:t>
      </w:r>
      <w:r>
        <w:rPr>
          <w:rFonts w:ascii="Times New Roman" w:hAnsi="Times New Roman" w:cs="Times New Roman"/>
          <w:sz w:val="26"/>
          <w:szCs w:val="26"/>
        </w:rPr>
        <w:t>Рамонском</w:t>
      </w:r>
      <w:r w:rsidRPr="002A3183">
        <w:rPr>
          <w:rFonts w:ascii="Times New Roman" w:hAnsi="Times New Roman" w:cs="Times New Roman"/>
          <w:sz w:val="26"/>
          <w:szCs w:val="26"/>
        </w:rPr>
        <w:t xml:space="preserve"> районе- </w:t>
      </w:r>
      <w:r>
        <w:rPr>
          <w:rFonts w:ascii="Times New Roman" w:hAnsi="Times New Roman" w:cs="Times New Roman"/>
          <w:sz w:val="26"/>
          <w:szCs w:val="26"/>
        </w:rPr>
        <w:t>8 243</w:t>
      </w:r>
      <w:r w:rsidRPr="002A3183">
        <w:rPr>
          <w:rFonts w:ascii="Times New Roman" w:hAnsi="Times New Roman" w:cs="Times New Roman"/>
          <w:sz w:val="26"/>
          <w:szCs w:val="26"/>
        </w:rPr>
        <w:t xml:space="preserve"> предложения (сделки), что составляет </w:t>
      </w:r>
      <w:r>
        <w:rPr>
          <w:rFonts w:ascii="Times New Roman" w:hAnsi="Times New Roman" w:cs="Times New Roman"/>
          <w:sz w:val="26"/>
          <w:szCs w:val="26"/>
        </w:rPr>
        <w:t>18</w:t>
      </w:r>
      <w:r w:rsidRPr="002A3183">
        <w:rPr>
          <w:rFonts w:ascii="Times New Roman" w:hAnsi="Times New Roman" w:cs="Times New Roman"/>
          <w:sz w:val="26"/>
          <w:szCs w:val="26"/>
        </w:rPr>
        <w:t>,</w:t>
      </w:r>
      <w:r>
        <w:rPr>
          <w:rFonts w:ascii="Times New Roman" w:hAnsi="Times New Roman" w:cs="Times New Roman"/>
          <w:sz w:val="26"/>
          <w:szCs w:val="26"/>
        </w:rPr>
        <w:t>27</w:t>
      </w:r>
      <w:r w:rsidRPr="002A3183">
        <w:rPr>
          <w:rFonts w:ascii="Times New Roman" w:hAnsi="Times New Roman" w:cs="Times New Roman"/>
          <w:sz w:val="26"/>
          <w:szCs w:val="26"/>
        </w:rPr>
        <w:t xml:space="preserve">% от общего количества в сегменте; в </w:t>
      </w:r>
      <w:r>
        <w:rPr>
          <w:rFonts w:ascii="Times New Roman" w:hAnsi="Times New Roman" w:cs="Times New Roman"/>
          <w:sz w:val="26"/>
          <w:szCs w:val="26"/>
        </w:rPr>
        <w:t>Новоусманском</w:t>
      </w:r>
      <w:r w:rsidRPr="002A3183">
        <w:rPr>
          <w:rFonts w:ascii="Times New Roman" w:hAnsi="Times New Roman" w:cs="Times New Roman"/>
          <w:sz w:val="26"/>
          <w:szCs w:val="26"/>
        </w:rPr>
        <w:t xml:space="preserve"> районе представлено </w:t>
      </w:r>
      <w:r>
        <w:rPr>
          <w:rFonts w:ascii="Times New Roman" w:hAnsi="Times New Roman" w:cs="Times New Roman"/>
          <w:sz w:val="26"/>
          <w:szCs w:val="26"/>
        </w:rPr>
        <w:t>7 879</w:t>
      </w:r>
      <w:r w:rsidRPr="002A3183">
        <w:rPr>
          <w:rFonts w:ascii="Times New Roman" w:hAnsi="Times New Roman" w:cs="Times New Roman"/>
          <w:sz w:val="26"/>
          <w:szCs w:val="26"/>
        </w:rPr>
        <w:t xml:space="preserve"> предложени</w:t>
      </w:r>
      <w:r>
        <w:rPr>
          <w:rFonts w:ascii="Times New Roman" w:hAnsi="Times New Roman" w:cs="Times New Roman"/>
          <w:sz w:val="26"/>
          <w:szCs w:val="26"/>
        </w:rPr>
        <w:t>й</w:t>
      </w:r>
      <w:r w:rsidRPr="002A3183">
        <w:rPr>
          <w:rFonts w:ascii="Times New Roman" w:hAnsi="Times New Roman" w:cs="Times New Roman"/>
          <w:sz w:val="26"/>
          <w:szCs w:val="26"/>
        </w:rPr>
        <w:t xml:space="preserve"> (сдел</w:t>
      </w:r>
      <w:r>
        <w:rPr>
          <w:rFonts w:ascii="Times New Roman" w:hAnsi="Times New Roman" w:cs="Times New Roman"/>
          <w:sz w:val="26"/>
          <w:szCs w:val="26"/>
        </w:rPr>
        <w:t>ок</w:t>
      </w:r>
      <w:r w:rsidRPr="002A3183">
        <w:rPr>
          <w:rFonts w:ascii="Times New Roman" w:hAnsi="Times New Roman" w:cs="Times New Roman"/>
          <w:sz w:val="26"/>
          <w:szCs w:val="26"/>
        </w:rPr>
        <w:t xml:space="preserve">)- </w:t>
      </w:r>
      <w:r>
        <w:rPr>
          <w:rFonts w:ascii="Times New Roman" w:hAnsi="Times New Roman" w:cs="Times New Roman"/>
          <w:sz w:val="26"/>
          <w:szCs w:val="26"/>
        </w:rPr>
        <w:t>17</w:t>
      </w:r>
      <w:r w:rsidRPr="002A3183">
        <w:rPr>
          <w:rFonts w:ascii="Times New Roman" w:hAnsi="Times New Roman" w:cs="Times New Roman"/>
          <w:sz w:val="26"/>
          <w:szCs w:val="26"/>
        </w:rPr>
        <w:t>,</w:t>
      </w:r>
      <w:r>
        <w:rPr>
          <w:rFonts w:ascii="Times New Roman" w:hAnsi="Times New Roman" w:cs="Times New Roman"/>
          <w:sz w:val="26"/>
          <w:szCs w:val="26"/>
        </w:rPr>
        <w:t>46</w:t>
      </w:r>
      <w:r w:rsidRPr="002A3183">
        <w:rPr>
          <w:rFonts w:ascii="Times New Roman" w:hAnsi="Times New Roman" w:cs="Times New Roman"/>
          <w:sz w:val="26"/>
          <w:szCs w:val="26"/>
        </w:rPr>
        <w:t xml:space="preserve">% от общего количества. Наименьшее количество предложений (сделок) в данном случае представлено в </w:t>
      </w:r>
      <w:r>
        <w:rPr>
          <w:rFonts w:ascii="Times New Roman" w:hAnsi="Times New Roman" w:cs="Times New Roman"/>
          <w:sz w:val="26"/>
          <w:szCs w:val="26"/>
        </w:rPr>
        <w:t>Воробьевском районе</w:t>
      </w:r>
      <w:r w:rsidRPr="002A3183">
        <w:rPr>
          <w:rFonts w:ascii="Times New Roman" w:hAnsi="Times New Roman" w:cs="Times New Roman"/>
          <w:sz w:val="26"/>
          <w:szCs w:val="26"/>
        </w:rPr>
        <w:t xml:space="preserve"> (</w:t>
      </w:r>
      <w:r>
        <w:rPr>
          <w:rFonts w:ascii="Times New Roman" w:hAnsi="Times New Roman" w:cs="Times New Roman"/>
          <w:sz w:val="26"/>
          <w:szCs w:val="26"/>
        </w:rPr>
        <w:t>180</w:t>
      </w:r>
      <w:r w:rsidRPr="002A3183">
        <w:rPr>
          <w:rFonts w:ascii="Times New Roman" w:hAnsi="Times New Roman" w:cs="Times New Roman"/>
          <w:sz w:val="26"/>
          <w:szCs w:val="26"/>
        </w:rPr>
        <w:t xml:space="preserve"> предложени</w:t>
      </w:r>
      <w:r>
        <w:rPr>
          <w:rFonts w:ascii="Times New Roman" w:hAnsi="Times New Roman" w:cs="Times New Roman"/>
          <w:sz w:val="26"/>
          <w:szCs w:val="26"/>
        </w:rPr>
        <w:t>й</w:t>
      </w:r>
      <w:r w:rsidRPr="002A3183">
        <w:rPr>
          <w:rFonts w:ascii="Times New Roman" w:hAnsi="Times New Roman" w:cs="Times New Roman"/>
          <w:sz w:val="26"/>
          <w:szCs w:val="26"/>
        </w:rPr>
        <w:t>).</w:t>
      </w:r>
    </w:p>
    <w:p w14:paraId="6E5206AD" w14:textId="77777777" w:rsidR="00DB474C" w:rsidRPr="002A3183" w:rsidRDefault="00DB474C" w:rsidP="00DB474C">
      <w:pPr>
        <w:spacing w:after="0" w:line="276" w:lineRule="auto"/>
        <w:ind w:firstLine="709"/>
        <w:jc w:val="both"/>
        <w:rPr>
          <w:rFonts w:ascii="Times New Roman" w:hAnsi="Times New Roman" w:cs="Times New Roman"/>
          <w:sz w:val="26"/>
          <w:szCs w:val="26"/>
        </w:rPr>
      </w:pPr>
      <w:r w:rsidRPr="002A3183">
        <w:rPr>
          <w:rFonts w:ascii="Times New Roman" w:hAnsi="Times New Roman" w:cs="Times New Roman"/>
          <w:sz w:val="26"/>
          <w:szCs w:val="26"/>
        </w:rPr>
        <w:t>Средний удельный показатель рыночной стоимости по г.</w:t>
      </w:r>
      <w:r>
        <w:rPr>
          <w:rFonts w:ascii="Times New Roman" w:hAnsi="Times New Roman" w:cs="Times New Roman"/>
          <w:sz w:val="26"/>
          <w:szCs w:val="26"/>
        </w:rPr>
        <w:t>о.г.</w:t>
      </w:r>
      <w:r w:rsidRPr="002A3183">
        <w:rPr>
          <w:rFonts w:ascii="Times New Roman" w:hAnsi="Times New Roman" w:cs="Times New Roman"/>
          <w:sz w:val="26"/>
          <w:szCs w:val="26"/>
        </w:rPr>
        <w:t xml:space="preserve"> Воронеж составляет </w:t>
      </w:r>
      <w:r>
        <w:rPr>
          <w:rFonts w:ascii="Times New Roman" w:hAnsi="Times New Roman" w:cs="Times New Roman"/>
          <w:sz w:val="26"/>
          <w:szCs w:val="26"/>
        </w:rPr>
        <w:t>3 392,19</w:t>
      </w:r>
      <w:r w:rsidRPr="002A3183">
        <w:rPr>
          <w:rFonts w:ascii="Times New Roman" w:hAnsi="Times New Roman" w:cs="Times New Roman"/>
          <w:sz w:val="26"/>
          <w:szCs w:val="26"/>
        </w:rPr>
        <w:t xml:space="preserve"> руб./кв.м, диапазон цен обширен- от </w:t>
      </w:r>
      <w:r>
        <w:rPr>
          <w:rFonts w:ascii="Times New Roman" w:hAnsi="Times New Roman" w:cs="Times New Roman"/>
          <w:sz w:val="26"/>
          <w:szCs w:val="26"/>
        </w:rPr>
        <w:t>14,61</w:t>
      </w:r>
      <w:r w:rsidRPr="002A3183">
        <w:rPr>
          <w:rFonts w:ascii="Times New Roman" w:hAnsi="Times New Roman" w:cs="Times New Roman"/>
          <w:sz w:val="26"/>
          <w:szCs w:val="26"/>
        </w:rPr>
        <w:t xml:space="preserve"> до </w:t>
      </w:r>
      <w:r>
        <w:rPr>
          <w:rFonts w:ascii="Times New Roman" w:hAnsi="Times New Roman" w:cs="Times New Roman"/>
          <w:sz w:val="26"/>
          <w:szCs w:val="26"/>
        </w:rPr>
        <w:t>49 950,0</w:t>
      </w:r>
      <w:r w:rsidRPr="002A3183">
        <w:rPr>
          <w:rFonts w:ascii="Times New Roman" w:hAnsi="Times New Roman" w:cs="Times New Roman"/>
          <w:sz w:val="26"/>
          <w:szCs w:val="26"/>
        </w:rPr>
        <w:t xml:space="preserve"> руб./кв.м.  Наибольший средний удельный показатель рыночной стоимости среди районов Воронежской области сложился в Рамонском районе в размере </w:t>
      </w:r>
      <w:r>
        <w:rPr>
          <w:rFonts w:ascii="Times New Roman" w:hAnsi="Times New Roman" w:cs="Times New Roman"/>
          <w:sz w:val="26"/>
          <w:szCs w:val="26"/>
        </w:rPr>
        <w:t>948,51</w:t>
      </w:r>
      <w:r w:rsidRPr="002A3183">
        <w:rPr>
          <w:rFonts w:ascii="Times New Roman" w:hAnsi="Times New Roman" w:cs="Times New Roman"/>
          <w:sz w:val="26"/>
          <w:szCs w:val="26"/>
        </w:rPr>
        <w:t xml:space="preserve"> руб./кв.м. В целом величина удельного показателя рыночной стоимости по объектам</w:t>
      </w:r>
      <w:r w:rsidRPr="00895461">
        <w:rPr>
          <w:rFonts w:ascii="Times New Roman" w:hAnsi="Times New Roman" w:cs="Times New Roman"/>
          <w:sz w:val="26"/>
          <w:szCs w:val="26"/>
        </w:rPr>
        <w:t>, расположенны</w:t>
      </w:r>
      <w:r>
        <w:rPr>
          <w:rFonts w:ascii="Times New Roman" w:hAnsi="Times New Roman" w:cs="Times New Roman"/>
          <w:sz w:val="26"/>
          <w:szCs w:val="26"/>
        </w:rPr>
        <w:t>м</w:t>
      </w:r>
      <w:r w:rsidRPr="00895461">
        <w:rPr>
          <w:rFonts w:ascii="Times New Roman" w:hAnsi="Times New Roman" w:cs="Times New Roman"/>
          <w:sz w:val="26"/>
          <w:szCs w:val="26"/>
        </w:rPr>
        <w:t xml:space="preserve"> на земельных участках для индивидуального </w:t>
      </w:r>
      <w:r w:rsidRPr="002A3183">
        <w:rPr>
          <w:rFonts w:ascii="Times New Roman" w:hAnsi="Times New Roman" w:cs="Times New Roman"/>
          <w:sz w:val="26"/>
          <w:szCs w:val="26"/>
        </w:rPr>
        <w:t xml:space="preserve">жилищного строительства и ведения личного подсобного хозяйства, лежит в диапазоне от </w:t>
      </w:r>
      <w:r>
        <w:rPr>
          <w:rFonts w:ascii="Times New Roman" w:hAnsi="Times New Roman" w:cs="Times New Roman"/>
          <w:sz w:val="26"/>
          <w:szCs w:val="26"/>
        </w:rPr>
        <w:t>2,35</w:t>
      </w:r>
      <w:r w:rsidRPr="002A3183">
        <w:rPr>
          <w:rFonts w:ascii="Times New Roman" w:hAnsi="Times New Roman" w:cs="Times New Roman"/>
          <w:sz w:val="26"/>
          <w:szCs w:val="26"/>
        </w:rPr>
        <w:t xml:space="preserve"> руб./кв.м</w:t>
      </w:r>
      <w:r>
        <w:rPr>
          <w:rFonts w:ascii="Times New Roman" w:hAnsi="Times New Roman" w:cs="Times New Roman"/>
          <w:sz w:val="26"/>
          <w:szCs w:val="26"/>
        </w:rPr>
        <w:t xml:space="preserve"> </w:t>
      </w:r>
      <w:r w:rsidRPr="002A3183">
        <w:rPr>
          <w:rFonts w:ascii="Times New Roman" w:hAnsi="Times New Roman" w:cs="Times New Roman"/>
          <w:sz w:val="26"/>
          <w:szCs w:val="26"/>
        </w:rPr>
        <w:t xml:space="preserve">(зафиксировано в </w:t>
      </w:r>
      <w:r>
        <w:rPr>
          <w:rFonts w:ascii="Times New Roman" w:hAnsi="Times New Roman" w:cs="Times New Roman"/>
          <w:sz w:val="26"/>
          <w:szCs w:val="26"/>
        </w:rPr>
        <w:t>Нижнедевицком</w:t>
      </w:r>
      <w:r w:rsidRPr="002A3183">
        <w:rPr>
          <w:rFonts w:ascii="Times New Roman" w:hAnsi="Times New Roman" w:cs="Times New Roman"/>
          <w:sz w:val="26"/>
          <w:szCs w:val="26"/>
        </w:rPr>
        <w:t xml:space="preserve"> районе) до </w:t>
      </w:r>
      <w:r>
        <w:rPr>
          <w:rFonts w:ascii="Times New Roman" w:hAnsi="Times New Roman" w:cs="Times New Roman"/>
          <w:sz w:val="26"/>
          <w:szCs w:val="26"/>
        </w:rPr>
        <w:t>49 950,0</w:t>
      </w:r>
      <w:r w:rsidRPr="002A3183">
        <w:rPr>
          <w:rFonts w:ascii="Times New Roman" w:hAnsi="Times New Roman" w:cs="Times New Roman"/>
          <w:sz w:val="26"/>
          <w:szCs w:val="26"/>
        </w:rPr>
        <w:t xml:space="preserve"> руб./кв.м (зафиксировано в г.</w:t>
      </w:r>
      <w:r>
        <w:rPr>
          <w:rFonts w:ascii="Times New Roman" w:hAnsi="Times New Roman" w:cs="Times New Roman"/>
          <w:sz w:val="26"/>
          <w:szCs w:val="26"/>
        </w:rPr>
        <w:t>о.г.</w:t>
      </w:r>
      <w:r w:rsidRPr="002A3183">
        <w:rPr>
          <w:rFonts w:ascii="Times New Roman" w:hAnsi="Times New Roman" w:cs="Times New Roman"/>
          <w:sz w:val="26"/>
          <w:szCs w:val="26"/>
        </w:rPr>
        <w:t xml:space="preserve"> Воронеж).</w:t>
      </w:r>
      <w:r>
        <w:rPr>
          <w:rFonts w:ascii="Times New Roman" w:hAnsi="Times New Roman" w:cs="Times New Roman"/>
          <w:sz w:val="26"/>
          <w:szCs w:val="26"/>
        </w:rPr>
        <w:t xml:space="preserve"> Аналоги, стоимостные значения которых представляют собой экстремумы, для дальнейших целей оценки не используются.</w:t>
      </w:r>
    </w:p>
    <w:p w14:paraId="5BD70E50" w14:textId="77777777" w:rsidR="00DB474C" w:rsidRPr="00895461" w:rsidRDefault="00DB474C" w:rsidP="00DB474C">
      <w:pPr>
        <w:pStyle w:val="Textbody"/>
        <w:spacing w:after="0" w:line="276" w:lineRule="auto"/>
        <w:ind w:firstLine="709"/>
        <w:jc w:val="both"/>
        <w:rPr>
          <w:rFonts w:ascii="Times New Roman" w:hAnsi="Times New Roman" w:cs="Times New Roman"/>
          <w:sz w:val="26"/>
          <w:szCs w:val="26"/>
          <w:lang w:val="ru-RU"/>
        </w:rPr>
      </w:pPr>
      <w:r w:rsidRPr="00895461">
        <w:rPr>
          <w:rFonts w:ascii="Times New Roman" w:hAnsi="Times New Roman" w:cs="Times New Roman"/>
          <w:sz w:val="26"/>
          <w:szCs w:val="26"/>
          <w:lang w:val="ru-RU"/>
        </w:rPr>
        <w:t xml:space="preserve">Если говорить о </w:t>
      </w:r>
      <w:r w:rsidRPr="00FA6BB0">
        <w:rPr>
          <w:rFonts w:ascii="Times New Roman" w:hAnsi="Times New Roman" w:cs="Times New Roman"/>
          <w:sz w:val="26"/>
          <w:szCs w:val="26"/>
          <w:lang w:val="ru-RU"/>
        </w:rPr>
        <w:t xml:space="preserve">садовых </w:t>
      </w:r>
      <w:r>
        <w:rPr>
          <w:rFonts w:ascii="Times New Roman" w:hAnsi="Times New Roman" w:cs="Times New Roman"/>
          <w:sz w:val="26"/>
          <w:szCs w:val="26"/>
          <w:lang w:val="ru-RU"/>
        </w:rPr>
        <w:t>и дачных земельных участков</w:t>
      </w:r>
      <w:r w:rsidRPr="00FA6BB0">
        <w:rPr>
          <w:rFonts w:ascii="Times New Roman" w:hAnsi="Times New Roman" w:cs="Times New Roman"/>
          <w:sz w:val="26"/>
          <w:szCs w:val="26"/>
          <w:lang w:val="ru-RU"/>
        </w:rPr>
        <w:t xml:space="preserve">, то </w:t>
      </w:r>
      <w:r w:rsidRPr="00895461">
        <w:rPr>
          <w:rFonts w:ascii="Times New Roman" w:hAnsi="Times New Roman" w:cs="Times New Roman"/>
          <w:sz w:val="26"/>
          <w:szCs w:val="26"/>
          <w:lang w:val="ru-RU"/>
        </w:rPr>
        <w:t>непосредственно в г.</w:t>
      </w:r>
      <w:r>
        <w:rPr>
          <w:rFonts w:ascii="Times New Roman" w:hAnsi="Times New Roman" w:cs="Times New Roman"/>
          <w:sz w:val="26"/>
          <w:szCs w:val="26"/>
          <w:lang w:val="ru-RU"/>
        </w:rPr>
        <w:t>о.г.</w:t>
      </w:r>
      <w:r w:rsidRPr="00895461">
        <w:rPr>
          <w:rFonts w:ascii="Times New Roman" w:hAnsi="Times New Roman" w:cs="Times New Roman"/>
          <w:sz w:val="26"/>
          <w:szCs w:val="26"/>
          <w:lang w:val="ru-RU"/>
        </w:rPr>
        <w:t xml:space="preserve"> Воронеж </w:t>
      </w:r>
      <w:r>
        <w:rPr>
          <w:rFonts w:ascii="Times New Roman" w:hAnsi="Times New Roman" w:cs="Times New Roman"/>
          <w:sz w:val="26"/>
          <w:szCs w:val="26"/>
          <w:lang w:val="ru-RU"/>
        </w:rPr>
        <w:t>сосредоточено 26,02</w:t>
      </w:r>
      <w:r w:rsidRPr="00895461">
        <w:rPr>
          <w:rFonts w:ascii="Times New Roman" w:hAnsi="Times New Roman" w:cs="Times New Roman"/>
          <w:sz w:val="26"/>
          <w:szCs w:val="26"/>
          <w:lang w:val="ru-RU"/>
        </w:rPr>
        <w:t>% от общего количества предложений (сделок) по региону.</w:t>
      </w:r>
    </w:p>
    <w:p w14:paraId="3BB0EDD5" w14:textId="77777777" w:rsidR="001410AB" w:rsidRDefault="001410AB" w:rsidP="00DB474C">
      <w:pPr>
        <w:spacing w:after="0" w:line="276" w:lineRule="auto"/>
        <w:ind w:firstLine="708"/>
        <w:jc w:val="right"/>
        <w:rPr>
          <w:rFonts w:ascii="Times New Roman" w:hAnsi="Times New Roman" w:cs="Times New Roman"/>
          <w:sz w:val="26"/>
          <w:szCs w:val="26"/>
        </w:rPr>
      </w:pPr>
    </w:p>
    <w:p w14:paraId="672454B9" w14:textId="77777777" w:rsidR="001A34D6" w:rsidRDefault="001A34D6" w:rsidP="00DB474C">
      <w:pPr>
        <w:spacing w:after="0" w:line="276" w:lineRule="auto"/>
        <w:ind w:firstLine="708"/>
        <w:jc w:val="right"/>
        <w:rPr>
          <w:rFonts w:ascii="Times New Roman" w:hAnsi="Times New Roman" w:cs="Times New Roman"/>
          <w:sz w:val="26"/>
          <w:szCs w:val="26"/>
        </w:rPr>
      </w:pPr>
    </w:p>
    <w:p w14:paraId="7ABFFB27" w14:textId="77777777" w:rsidR="001A34D6" w:rsidRDefault="001A34D6" w:rsidP="00DB474C">
      <w:pPr>
        <w:spacing w:after="0" w:line="276" w:lineRule="auto"/>
        <w:ind w:firstLine="708"/>
        <w:jc w:val="right"/>
        <w:rPr>
          <w:rFonts w:ascii="Times New Roman" w:hAnsi="Times New Roman" w:cs="Times New Roman"/>
          <w:sz w:val="26"/>
          <w:szCs w:val="26"/>
        </w:rPr>
      </w:pPr>
    </w:p>
    <w:p w14:paraId="644CE974" w14:textId="77D3285A" w:rsidR="00DB474C" w:rsidRPr="00FD203C" w:rsidRDefault="00DB474C" w:rsidP="00DB474C">
      <w:pPr>
        <w:spacing w:after="0" w:line="276" w:lineRule="auto"/>
        <w:ind w:firstLine="708"/>
        <w:jc w:val="right"/>
        <w:rPr>
          <w:rFonts w:ascii="Times New Roman" w:hAnsi="Times New Roman" w:cs="Times New Roman"/>
          <w:sz w:val="26"/>
          <w:szCs w:val="26"/>
        </w:rPr>
      </w:pPr>
      <w:r w:rsidRPr="00FD203C">
        <w:rPr>
          <w:rFonts w:ascii="Times New Roman" w:hAnsi="Times New Roman" w:cs="Times New Roman"/>
          <w:sz w:val="26"/>
          <w:szCs w:val="26"/>
        </w:rPr>
        <w:t xml:space="preserve">Таблица </w:t>
      </w:r>
      <w:r w:rsidRPr="005D5A58">
        <w:rPr>
          <w:rFonts w:ascii="Times New Roman" w:hAnsi="Times New Roman" w:cs="Times New Roman"/>
          <w:sz w:val="26"/>
          <w:szCs w:val="26"/>
        </w:rPr>
        <w:t>3.1.3.8.3</w:t>
      </w:r>
    </w:p>
    <w:p w14:paraId="75A4F189" w14:textId="77777777" w:rsidR="00DB474C" w:rsidRDefault="00DB474C" w:rsidP="00DB474C">
      <w:pPr>
        <w:ind w:firstLine="708"/>
        <w:jc w:val="center"/>
        <w:rPr>
          <w:rFonts w:ascii="Times New Roman" w:hAnsi="Times New Roman" w:cs="Times New Roman"/>
          <w:sz w:val="26"/>
          <w:szCs w:val="26"/>
        </w:rPr>
      </w:pPr>
      <w:r w:rsidRPr="00895461">
        <w:rPr>
          <w:rFonts w:ascii="Times New Roman" w:hAnsi="Times New Roman" w:cs="Times New Roman"/>
          <w:sz w:val="26"/>
          <w:szCs w:val="26"/>
        </w:rPr>
        <w:t>Анализ рыночной информации</w:t>
      </w:r>
      <w:r>
        <w:rPr>
          <w:rFonts w:ascii="Times New Roman" w:hAnsi="Times New Roman" w:cs="Times New Roman"/>
          <w:sz w:val="26"/>
          <w:szCs w:val="26"/>
        </w:rPr>
        <w:t xml:space="preserve"> по объектам, расположенных на садовых и дачных земельных участках (садовым и дачным домам)</w:t>
      </w:r>
    </w:p>
    <w:tbl>
      <w:tblPr>
        <w:tblW w:w="5000" w:type="pct"/>
        <w:tblLayout w:type="fixed"/>
        <w:tblLook w:val="04A0" w:firstRow="1" w:lastRow="0" w:firstColumn="1" w:lastColumn="0" w:noHBand="0" w:noVBand="1"/>
      </w:tblPr>
      <w:tblGrid>
        <w:gridCol w:w="2121"/>
        <w:gridCol w:w="1856"/>
        <w:gridCol w:w="1717"/>
        <w:gridCol w:w="2097"/>
        <w:gridCol w:w="1553"/>
      </w:tblGrid>
      <w:tr w:rsidR="00DB474C" w:rsidRPr="00E54E0E" w14:paraId="4E754F0E" w14:textId="77777777" w:rsidTr="00DB474C">
        <w:trPr>
          <w:trHeight w:val="556"/>
        </w:trPr>
        <w:tc>
          <w:tcPr>
            <w:tcW w:w="11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D31246" w14:textId="77777777" w:rsidR="00DB474C" w:rsidRPr="00E54E0E" w:rsidRDefault="00DB474C" w:rsidP="00DB474C">
            <w:pPr>
              <w:spacing w:after="0" w:line="240" w:lineRule="auto"/>
              <w:jc w:val="center"/>
              <w:rPr>
                <w:rFonts w:ascii="Times New Roman" w:eastAsia="Times New Roman" w:hAnsi="Times New Roman" w:cs="Times New Roman"/>
                <w:b/>
                <w:color w:val="000000"/>
                <w:lang w:eastAsia="ru-RU"/>
              </w:rPr>
            </w:pPr>
            <w:r w:rsidRPr="00E54E0E">
              <w:rPr>
                <w:rFonts w:ascii="Times New Roman" w:eastAsia="Times New Roman" w:hAnsi="Times New Roman" w:cs="Times New Roman"/>
                <w:b/>
                <w:color w:val="000000"/>
                <w:lang w:eastAsia="ru-RU"/>
              </w:rPr>
              <w:t>Наименование района</w:t>
            </w:r>
          </w:p>
        </w:tc>
        <w:tc>
          <w:tcPr>
            <w:tcW w:w="3034" w:type="pct"/>
            <w:gridSpan w:val="3"/>
            <w:tcBorders>
              <w:top w:val="single" w:sz="4" w:space="0" w:color="auto"/>
              <w:left w:val="nil"/>
              <w:bottom w:val="single" w:sz="4" w:space="0" w:color="auto"/>
              <w:right w:val="single" w:sz="4" w:space="0" w:color="auto"/>
            </w:tcBorders>
            <w:shd w:val="clear" w:color="auto" w:fill="auto"/>
            <w:vAlign w:val="center"/>
            <w:hideMark/>
          </w:tcPr>
          <w:p w14:paraId="6370EADC" w14:textId="77777777" w:rsidR="00DB474C" w:rsidRPr="00E54E0E" w:rsidRDefault="00DB474C" w:rsidP="00DB474C">
            <w:pPr>
              <w:spacing w:after="0" w:line="240" w:lineRule="auto"/>
              <w:jc w:val="center"/>
              <w:rPr>
                <w:rFonts w:ascii="Times New Roman" w:eastAsia="Times New Roman" w:hAnsi="Times New Roman" w:cs="Times New Roman"/>
                <w:b/>
                <w:color w:val="000000"/>
                <w:lang w:eastAsia="ru-RU"/>
              </w:rPr>
            </w:pPr>
            <w:r w:rsidRPr="00E54E0E">
              <w:rPr>
                <w:rFonts w:ascii="Times New Roman" w:eastAsia="Times New Roman" w:hAnsi="Times New Roman" w:cs="Times New Roman"/>
                <w:b/>
                <w:color w:val="000000"/>
                <w:lang w:eastAsia="ru-RU"/>
              </w:rPr>
              <w:t>Удельный показатель рыночной стоимости, руб./кв.м</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EED52E" w14:textId="77777777" w:rsidR="00DB474C" w:rsidRPr="00E54E0E" w:rsidRDefault="00DB474C" w:rsidP="00DB474C">
            <w:pPr>
              <w:spacing w:after="0" w:line="240" w:lineRule="auto"/>
              <w:jc w:val="center"/>
              <w:rPr>
                <w:rFonts w:ascii="Times New Roman" w:eastAsia="Times New Roman" w:hAnsi="Times New Roman" w:cs="Times New Roman"/>
                <w:b/>
                <w:color w:val="000000"/>
                <w:lang w:eastAsia="ru-RU"/>
              </w:rPr>
            </w:pPr>
            <w:r w:rsidRPr="00E54E0E">
              <w:rPr>
                <w:rFonts w:ascii="Times New Roman" w:eastAsia="Times New Roman" w:hAnsi="Times New Roman" w:cs="Times New Roman"/>
                <w:b/>
                <w:color w:val="000000"/>
                <w:lang w:eastAsia="ru-RU"/>
              </w:rPr>
              <w:t>Количество предложений (сделок)</w:t>
            </w:r>
          </w:p>
        </w:tc>
      </w:tr>
      <w:tr w:rsidR="00DB474C" w:rsidRPr="00E54E0E" w14:paraId="58F0D1D9" w14:textId="77777777" w:rsidTr="00DB474C">
        <w:trPr>
          <w:trHeight w:val="780"/>
        </w:trPr>
        <w:tc>
          <w:tcPr>
            <w:tcW w:w="1135" w:type="pct"/>
            <w:vMerge/>
            <w:tcBorders>
              <w:top w:val="single" w:sz="4" w:space="0" w:color="auto"/>
              <w:left w:val="single" w:sz="4" w:space="0" w:color="auto"/>
              <w:bottom w:val="single" w:sz="4" w:space="0" w:color="auto"/>
              <w:right w:val="single" w:sz="4" w:space="0" w:color="auto"/>
            </w:tcBorders>
            <w:vAlign w:val="center"/>
            <w:hideMark/>
          </w:tcPr>
          <w:p w14:paraId="0566A3FB"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p>
        </w:tc>
        <w:tc>
          <w:tcPr>
            <w:tcW w:w="993" w:type="pct"/>
            <w:tcBorders>
              <w:top w:val="nil"/>
              <w:left w:val="nil"/>
              <w:bottom w:val="single" w:sz="4" w:space="0" w:color="auto"/>
              <w:right w:val="single" w:sz="4" w:space="0" w:color="auto"/>
            </w:tcBorders>
            <w:shd w:val="clear" w:color="auto" w:fill="auto"/>
            <w:noWrap/>
            <w:vAlign w:val="center"/>
            <w:hideMark/>
          </w:tcPr>
          <w:p w14:paraId="4DAD8A22" w14:textId="77777777" w:rsidR="00DB474C" w:rsidRPr="00E54E0E" w:rsidRDefault="00DB474C" w:rsidP="00DB474C">
            <w:pPr>
              <w:spacing w:after="0" w:line="240" w:lineRule="auto"/>
              <w:jc w:val="center"/>
              <w:rPr>
                <w:rFonts w:ascii="Times New Roman" w:eastAsia="Times New Roman" w:hAnsi="Times New Roman" w:cs="Times New Roman"/>
                <w:b/>
                <w:bCs/>
                <w:color w:val="000000"/>
                <w:lang w:eastAsia="ru-RU"/>
              </w:rPr>
            </w:pPr>
            <w:r w:rsidRPr="00E54E0E">
              <w:rPr>
                <w:rFonts w:ascii="Times New Roman" w:eastAsia="Times New Roman" w:hAnsi="Times New Roman" w:cs="Times New Roman"/>
                <w:b/>
                <w:bCs/>
                <w:color w:val="000000"/>
                <w:lang w:eastAsia="ru-RU"/>
              </w:rPr>
              <w:t>Минимальное значение</w:t>
            </w:r>
          </w:p>
        </w:tc>
        <w:tc>
          <w:tcPr>
            <w:tcW w:w="919" w:type="pct"/>
            <w:tcBorders>
              <w:top w:val="nil"/>
              <w:left w:val="nil"/>
              <w:bottom w:val="single" w:sz="4" w:space="0" w:color="auto"/>
              <w:right w:val="single" w:sz="4" w:space="0" w:color="auto"/>
            </w:tcBorders>
            <w:shd w:val="clear" w:color="auto" w:fill="auto"/>
            <w:noWrap/>
            <w:vAlign w:val="center"/>
            <w:hideMark/>
          </w:tcPr>
          <w:p w14:paraId="15990BCD" w14:textId="77777777" w:rsidR="00DB474C" w:rsidRPr="00E54E0E" w:rsidRDefault="00DB474C" w:rsidP="00DB474C">
            <w:pPr>
              <w:spacing w:after="0" w:line="240" w:lineRule="auto"/>
              <w:jc w:val="center"/>
              <w:rPr>
                <w:rFonts w:ascii="Times New Roman" w:eastAsia="Times New Roman" w:hAnsi="Times New Roman" w:cs="Times New Roman"/>
                <w:b/>
                <w:bCs/>
                <w:color w:val="000000"/>
                <w:lang w:eastAsia="ru-RU"/>
              </w:rPr>
            </w:pPr>
            <w:r w:rsidRPr="00E54E0E">
              <w:rPr>
                <w:rFonts w:ascii="Times New Roman" w:eastAsia="Times New Roman" w:hAnsi="Times New Roman" w:cs="Times New Roman"/>
                <w:b/>
                <w:bCs/>
                <w:color w:val="000000"/>
                <w:lang w:eastAsia="ru-RU"/>
              </w:rPr>
              <w:t>Среднее значение</w:t>
            </w:r>
          </w:p>
        </w:tc>
        <w:tc>
          <w:tcPr>
            <w:tcW w:w="1122" w:type="pct"/>
            <w:tcBorders>
              <w:top w:val="nil"/>
              <w:left w:val="nil"/>
              <w:bottom w:val="single" w:sz="4" w:space="0" w:color="auto"/>
              <w:right w:val="single" w:sz="4" w:space="0" w:color="auto"/>
            </w:tcBorders>
            <w:shd w:val="clear" w:color="auto" w:fill="auto"/>
            <w:noWrap/>
            <w:vAlign w:val="center"/>
            <w:hideMark/>
          </w:tcPr>
          <w:p w14:paraId="2B667BF5" w14:textId="77777777" w:rsidR="00DB474C" w:rsidRPr="00E54E0E" w:rsidRDefault="00DB474C" w:rsidP="00DB474C">
            <w:pPr>
              <w:spacing w:after="0" w:line="240" w:lineRule="auto"/>
              <w:jc w:val="center"/>
              <w:rPr>
                <w:rFonts w:ascii="Times New Roman" w:eastAsia="Times New Roman" w:hAnsi="Times New Roman" w:cs="Times New Roman"/>
                <w:b/>
                <w:bCs/>
                <w:color w:val="000000"/>
                <w:lang w:eastAsia="ru-RU"/>
              </w:rPr>
            </w:pPr>
            <w:r w:rsidRPr="00E54E0E">
              <w:rPr>
                <w:rFonts w:ascii="Times New Roman" w:eastAsia="Times New Roman" w:hAnsi="Times New Roman" w:cs="Times New Roman"/>
                <w:b/>
                <w:bCs/>
                <w:color w:val="000000"/>
                <w:lang w:eastAsia="ru-RU"/>
              </w:rPr>
              <w:t>Максимальное значение</w:t>
            </w:r>
          </w:p>
        </w:tc>
        <w:tc>
          <w:tcPr>
            <w:tcW w:w="831" w:type="pct"/>
            <w:vMerge/>
            <w:tcBorders>
              <w:top w:val="single" w:sz="4" w:space="0" w:color="auto"/>
              <w:left w:val="single" w:sz="4" w:space="0" w:color="auto"/>
              <w:bottom w:val="single" w:sz="4" w:space="0" w:color="auto"/>
              <w:right w:val="single" w:sz="4" w:space="0" w:color="auto"/>
            </w:tcBorders>
            <w:vAlign w:val="center"/>
            <w:hideMark/>
          </w:tcPr>
          <w:p w14:paraId="15AE4098"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p>
        </w:tc>
      </w:tr>
      <w:tr w:rsidR="00DB474C" w:rsidRPr="00E54E0E" w14:paraId="598BD36E"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29AF4860"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Аннинский</w:t>
            </w:r>
          </w:p>
        </w:tc>
        <w:tc>
          <w:tcPr>
            <w:tcW w:w="993" w:type="pct"/>
            <w:tcBorders>
              <w:top w:val="nil"/>
              <w:left w:val="nil"/>
              <w:bottom w:val="single" w:sz="4" w:space="0" w:color="auto"/>
              <w:right w:val="single" w:sz="4" w:space="0" w:color="auto"/>
            </w:tcBorders>
            <w:shd w:val="clear" w:color="auto" w:fill="auto"/>
            <w:noWrap/>
            <w:vAlign w:val="bottom"/>
            <w:hideMark/>
          </w:tcPr>
          <w:p w14:paraId="44785CD9"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14,53</w:t>
            </w:r>
          </w:p>
        </w:tc>
        <w:tc>
          <w:tcPr>
            <w:tcW w:w="919" w:type="pct"/>
            <w:tcBorders>
              <w:top w:val="nil"/>
              <w:left w:val="nil"/>
              <w:bottom w:val="single" w:sz="4" w:space="0" w:color="auto"/>
              <w:right w:val="single" w:sz="4" w:space="0" w:color="auto"/>
            </w:tcBorders>
            <w:shd w:val="clear" w:color="auto" w:fill="auto"/>
            <w:noWrap/>
            <w:vAlign w:val="bottom"/>
            <w:hideMark/>
          </w:tcPr>
          <w:p w14:paraId="588EBFBB"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155,32</w:t>
            </w:r>
          </w:p>
        </w:tc>
        <w:tc>
          <w:tcPr>
            <w:tcW w:w="1122" w:type="pct"/>
            <w:tcBorders>
              <w:top w:val="nil"/>
              <w:left w:val="nil"/>
              <w:bottom w:val="single" w:sz="4" w:space="0" w:color="auto"/>
              <w:right w:val="single" w:sz="4" w:space="0" w:color="auto"/>
            </w:tcBorders>
            <w:shd w:val="clear" w:color="auto" w:fill="auto"/>
            <w:noWrap/>
            <w:vAlign w:val="bottom"/>
            <w:hideMark/>
          </w:tcPr>
          <w:p w14:paraId="775E4D09"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893,01</w:t>
            </w:r>
          </w:p>
        </w:tc>
        <w:tc>
          <w:tcPr>
            <w:tcW w:w="831" w:type="pct"/>
            <w:tcBorders>
              <w:top w:val="nil"/>
              <w:left w:val="nil"/>
              <w:bottom w:val="single" w:sz="4" w:space="0" w:color="auto"/>
              <w:right w:val="single" w:sz="4" w:space="0" w:color="auto"/>
            </w:tcBorders>
            <w:shd w:val="clear" w:color="auto" w:fill="auto"/>
            <w:noWrap/>
            <w:vAlign w:val="bottom"/>
            <w:hideMark/>
          </w:tcPr>
          <w:p w14:paraId="77BE45E1"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13</w:t>
            </w:r>
          </w:p>
        </w:tc>
      </w:tr>
      <w:tr w:rsidR="00DB474C" w:rsidRPr="00E54E0E" w14:paraId="06B1D051"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643B0531"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Бобровский</w:t>
            </w:r>
          </w:p>
        </w:tc>
        <w:tc>
          <w:tcPr>
            <w:tcW w:w="993" w:type="pct"/>
            <w:tcBorders>
              <w:top w:val="nil"/>
              <w:left w:val="nil"/>
              <w:bottom w:val="single" w:sz="4" w:space="0" w:color="auto"/>
              <w:right w:val="single" w:sz="4" w:space="0" w:color="auto"/>
            </w:tcBorders>
            <w:shd w:val="clear" w:color="auto" w:fill="auto"/>
            <w:noWrap/>
            <w:vAlign w:val="bottom"/>
            <w:hideMark/>
          </w:tcPr>
          <w:p w14:paraId="474307A9"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23,00</w:t>
            </w:r>
          </w:p>
        </w:tc>
        <w:tc>
          <w:tcPr>
            <w:tcW w:w="919" w:type="pct"/>
            <w:tcBorders>
              <w:top w:val="nil"/>
              <w:left w:val="nil"/>
              <w:bottom w:val="single" w:sz="4" w:space="0" w:color="auto"/>
              <w:right w:val="single" w:sz="4" w:space="0" w:color="auto"/>
            </w:tcBorders>
            <w:shd w:val="clear" w:color="auto" w:fill="auto"/>
            <w:noWrap/>
            <w:vAlign w:val="bottom"/>
            <w:hideMark/>
          </w:tcPr>
          <w:p w14:paraId="7189B695"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131,00</w:t>
            </w:r>
          </w:p>
        </w:tc>
        <w:tc>
          <w:tcPr>
            <w:tcW w:w="1122" w:type="pct"/>
            <w:tcBorders>
              <w:top w:val="nil"/>
              <w:left w:val="nil"/>
              <w:bottom w:val="single" w:sz="4" w:space="0" w:color="auto"/>
              <w:right w:val="single" w:sz="4" w:space="0" w:color="auto"/>
            </w:tcBorders>
            <w:shd w:val="clear" w:color="auto" w:fill="auto"/>
            <w:noWrap/>
            <w:vAlign w:val="bottom"/>
            <w:hideMark/>
          </w:tcPr>
          <w:p w14:paraId="4B2E6A50"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421,63</w:t>
            </w:r>
          </w:p>
        </w:tc>
        <w:tc>
          <w:tcPr>
            <w:tcW w:w="831" w:type="pct"/>
            <w:tcBorders>
              <w:top w:val="nil"/>
              <w:left w:val="nil"/>
              <w:bottom w:val="single" w:sz="4" w:space="0" w:color="auto"/>
              <w:right w:val="single" w:sz="4" w:space="0" w:color="auto"/>
            </w:tcBorders>
            <w:shd w:val="clear" w:color="auto" w:fill="auto"/>
            <w:noWrap/>
            <w:vAlign w:val="bottom"/>
            <w:hideMark/>
          </w:tcPr>
          <w:p w14:paraId="4EB16663"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8</w:t>
            </w:r>
          </w:p>
        </w:tc>
      </w:tr>
      <w:tr w:rsidR="00DB474C" w:rsidRPr="00E54E0E" w14:paraId="42715797"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6E915990"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Богучарский</w:t>
            </w:r>
          </w:p>
        </w:tc>
        <w:tc>
          <w:tcPr>
            <w:tcW w:w="993" w:type="pct"/>
            <w:tcBorders>
              <w:top w:val="nil"/>
              <w:left w:val="nil"/>
              <w:bottom w:val="single" w:sz="4" w:space="0" w:color="auto"/>
              <w:right w:val="single" w:sz="4" w:space="0" w:color="auto"/>
            </w:tcBorders>
            <w:shd w:val="clear" w:color="auto" w:fill="auto"/>
            <w:noWrap/>
            <w:vAlign w:val="bottom"/>
            <w:hideMark/>
          </w:tcPr>
          <w:p w14:paraId="5925D49C"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c>
          <w:tcPr>
            <w:tcW w:w="919" w:type="pct"/>
            <w:tcBorders>
              <w:top w:val="nil"/>
              <w:left w:val="nil"/>
              <w:bottom w:val="single" w:sz="4" w:space="0" w:color="auto"/>
              <w:right w:val="single" w:sz="4" w:space="0" w:color="auto"/>
            </w:tcBorders>
            <w:shd w:val="clear" w:color="auto" w:fill="auto"/>
            <w:noWrap/>
            <w:vAlign w:val="bottom"/>
            <w:hideMark/>
          </w:tcPr>
          <w:p w14:paraId="1B5A42B6"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c>
          <w:tcPr>
            <w:tcW w:w="1122" w:type="pct"/>
            <w:tcBorders>
              <w:top w:val="nil"/>
              <w:left w:val="nil"/>
              <w:bottom w:val="single" w:sz="4" w:space="0" w:color="auto"/>
              <w:right w:val="single" w:sz="4" w:space="0" w:color="auto"/>
            </w:tcBorders>
            <w:shd w:val="clear" w:color="auto" w:fill="auto"/>
            <w:noWrap/>
            <w:vAlign w:val="bottom"/>
            <w:hideMark/>
          </w:tcPr>
          <w:p w14:paraId="70BDF204"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c>
          <w:tcPr>
            <w:tcW w:w="831" w:type="pct"/>
            <w:tcBorders>
              <w:top w:val="nil"/>
              <w:left w:val="nil"/>
              <w:bottom w:val="single" w:sz="4" w:space="0" w:color="auto"/>
              <w:right w:val="single" w:sz="4" w:space="0" w:color="auto"/>
            </w:tcBorders>
            <w:shd w:val="clear" w:color="auto" w:fill="auto"/>
            <w:noWrap/>
            <w:vAlign w:val="bottom"/>
            <w:hideMark/>
          </w:tcPr>
          <w:p w14:paraId="41FA829B"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r>
      <w:tr w:rsidR="00DB474C" w:rsidRPr="00E54E0E" w14:paraId="0AE6D113"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113A092F"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Борисоглебский</w:t>
            </w:r>
          </w:p>
        </w:tc>
        <w:tc>
          <w:tcPr>
            <w:tcW w:w="993" w:type="pct"/>
            <w:tcBorders>
              <w:top w:val="nil"/>
              <w:left w:val="nil"/>
              <w:bottom w:val="single" w:sz="4" w:space="0" w:color="auto"/>
              <w:right w:val="single" w:sz="4" w:space="0" w:color="auto"/>
            </w:tcBorders>
            <w:shd w:val="clear" w:color="auto" w:fill="auto"/>
            <w:noWrap/>
            <w:vAlign w:val="bottom"/>
            <w:hideMark/>
          </w:tcPr>
          <w:p w14:paraId="7A7F14EE"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5,20</w:t>
            </w:r>
          </w:p>
        </w:tc>
        <w:tc>
          <w:tcPr>
            <w:tcW w:w="919" w:type="pct"/>
            <w:tcBorders>
              <w:top w:val="nil"/>
              <w:left w:val="nil"/>
              <w:bottom w:val="single" w:sz="4" w:space="0" w:color="auto"/>
              <w:right w:val="single" w:sz="4" w:space="0" w:color="auto"/>
            </w:tcBorders>
            <w:shd w:val="clear" w:color="auto" w:fill="auto"/>
            <w:noWrap/>
            <w:vAlign w:val="bottom"/>
            <w:hideMark/>
          </w:tcPr>
          <w:p w14:paraId="7852EBE3"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129,77</w:t>
            </w:r>
          </w:p>
        </w:tc>
        <w:tc>
          <w:tcPr>
            <w:tcW w:w="1122" w:type="pct"/>
            <w:tcBorders>
              <w:top w:val="nil"/>
              <w:left w:val="nil"/>
              <w:bottom w:val="single" w:sz="4" w:space="0" w:color="auto"/>
              <w:right w:val="single" w:sz="4" w:space="0" w:color="auto"/>
            </w:tcBorders>
            <w:shd w:val="clear" w:color="auto" w:fill="auto"/>
            <w:noWrap/>
            <w:vAlign w:val="bottom"/>
            <w:hideMark/>
          </w:tcPr>
          <w:p w14:paraId="2030665E"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1 453,33</w:t>
            </w:r>
          </w:p>
        </w:tc>
        <w:tc>
          <w:tcPr>
            <w:tcW w:w="831" w:type="pct"/>
            <w:tcBorders>
              <w:top w:val="nil"/>
              <w:left w:val="nil"/>
              <w:bottom w:val="single" w:sz="4" w:space="0" w:color="auto"/>
              <w:right w:val="single" w:sz="4" w:space="0" w:color="auto"/>
            </w:tcBorders>
            <w:shd w:val="clear" w:color="auto" w:fill="auto"/>
            <w:noWrap/>
            <w:vAlign w:val="bottom"/>
            <w:hideMark/>
          </w:tcPr>
          <w:p w14:paraId="7BD3E435"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236</w:t>
            </w:r>
          </w:p>
        </w:tc>
      </w:tr>
      <w:tr w:rsidR="00DB474C" w:rsidRPr="00E54E0E" w14:paraId="24F13E6D"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53EF7747"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Бутурлиновский</w:t>
            </w:r>
          </w:p>
        </w:tc>
        <w:tc>
          <w:tcPr>
            <w:tcW w:w="993" w:type="pct"/>
            <w:tcBorders>
              <w:top w:val="nil"/>
              <w:left w:val="nil"/>
              <w:bottom w:val="single" w:sz="4" w:space="0" w:color="auto"/>
              <w:right w:val="single" w:sz="4" w:space="0" w:color="auto"/>
            </w:tcBorders>
            <w:shd w:val="clear" w:color="auto" w:fill="auto"/>
            <w:noWrap/>
            <w:vAlign w:val="bottom"/>
            <w:hideMark/>
          </w:tcPr>
          <w:p w14:paraId="24BFD389"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6,50</w:t>
            </w:r>
          </w:p>
        </w:tc>
        <w:tc>
          <w:tcPr>
            <w:tcW w:w="919" w:type="pct"/>
            <w:tcBorders>
              <w:top w:val="nil"/>
              <w:left w:val="nil"/>
              <w:bottom w:val="single" w:sz="4" w:space="0" w:color="auto"/>
              <w:right w:val="single" w:sz="4" w:space="0" w:color="auto"/>
            </w:tcBorders>
            <w:shd w:val="clear" w:color="auto" w:fill="auto"/>
            <w:noWrap/>
            <w:vAlign w:val="bottom"/>
            <w:hideMark/>
          </w:tcPr>
          <w:p w14:paraId="6E22E218"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36,85</w:t>
            </w:r>
          </w:p>
        </w:tc>
        <w:tc>
          <w:tcPr>
            <w:tcW w:w="1122" w:type="pct"/>
            <w:tcBorders>
              <w:top w:val="nil"/>
              <w:left w:val="nil"/>
              <w:bottom w:val="single" w:sz="4" w:space="0" w:color="auto"/>
              <w:right w:val="single" w:sz="4" w:space="0" w:color="auto"/>
            </w:tcBorders>
            <w:shd w:val="clear" w:color="auto" w:fill="auto"/>
            <w:noWrap/>
            <w:vAlign w:val="bottom"/>
            <w:hideMark/>
          </w:tcPr>
          <w:p w14:paraId="4B489CD1"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84,83</w:t>
            </w:r>
          </w:p>
        </w:tc>
        <w:tc>
          <w:tcPr>
            <w:tcW w:w="831" w:type="pct"/>
            <w:tcBorders>
              <w:top w:val="nil"/>
              <w:left w:val="nil"/>
              <w:bottom w:val="single" w:sz="4" w:space="0" w:color="auto"/>
              <w:right w:val="single" w:sz="4" w:space="0" w:color="auto"/>
            </w:tcBorders>
            <w:shd w:val="clear" w:color="auto" w:fill="auto"/>
            <w:noWrap/>
            <w:vAlign w:val="bottom"/>
            <w:hideMark/>
          </w:tcPr>
          <w:p w14:paraId="3BB4DF8F"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12</w:t>
            </w:r>
          </w:p>
        </w:tc>
      </w:tr>
      <w:tr w:rsidR="00DB474C" w:rsidRPr="00E54E0E" w14:paraId="52B99C7C"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55F4AE64"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Верхнемамонский</w:t>
            </w:r>
          </w:p>
        </w:tc>
        <w:tc>
          <w:tcPr>
            <w:tcW w:w="993" w:type="pct"/>
            <w:tcBorders>
              <w:top w:val="nil"/>
              <w:left w:val="nil"/>
              <w:bottom w:val="single" w:sz="4" w:space="0" w:color="auto"/>
              <w:right w:val="single" w:sz="4" w:space="0" w:color="auto"/>
            </w:tcBorders>
            <w:shd w:val="clear" w:color="auto" w:fill="auto"/>
            <w:noWrap/>
            <w:vAlign w:val="bottom"/>
            <w:hideMark/>
          </w:tcPr>
          <w:p w14:paraId="26D32785"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c>
          <w:tcPr>
            <w:tcW w:w="919" w:type="pct"/>
            <w:tcBorders>
              <w:top w:val="nil"/>
              <w:left w:val="nil"/>
              <w:bottom w:val="single" w:sz="4" w:space="0" w:color="auto"/>
              <w:right w:val="single" w:sz="4" w:space="0" w:color="auto"/>
            </w:tcBorders>
            <w:shd w:val="clear" w:color="auto" w:fill="auto"/>
            <w:noWrap/>
            <w:vAlign w:val="bottom"/>
            <w:hideMark/>
          </w:tcPr>
          <w:p w14:paraId="0D9FD018"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c>
          <w:tcPr>
            <w:tcW w:w="1122" w:type="pct"/>
            <w:tcBorders>
              <w:top w:val="nil"/>
              <w:left w:val="nil"/>
              <w:bottom w:val="single" w:sz="4" w:space="0" w:color="auto"/>
              <w:right w:val="single" w:sz="4" w:space="0" w:color="auto"/>
            </w:tcBorders>
            <w:shd w:val="clear" w:color="auto" w:fill="auto"/>
            <w:noWrap/>
            <w:vAlign w:val="bottom"/>
            <w:hideMark/>
          </w:tcPr>
          <w:p w14:paraId="46FED3BA"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c>
          <w:tcPr>
            <w:tcW w:w="831" w:type="pct"/>
            <w:tcBorders>
              <w:top w:val="nil"/>
              <w:left w:val="nil"/>
              <w:bottom w:val="single" w:sz="4" w:space="0" w:color="auto"/>
              <w:right w:val="single" w:sz="4" w:space="0" w:color="auto"/>
            </w:tcBorders>
            <w:shd w:val="clear" w:color="auto" w:fill="auto"/>
            <w:noWrap/>
            <w:vAlign w:val="bottom"/>
            <w:hideMark/>
          </w:tcPr>
          <w:p w14:paraId="390D6A73"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r>
      <w:tr w:rsidR="00DB474C" w:rsidRPr="00E54E0E" w14:paraId="7BF07902"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35B531AA"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Верхнехавский</w:t>
            </w:r>
          </w:p>
        </w:tc>
        <w:tc>
          <w:tcPr>
            <w:tcW w:w="993" w:type="pct"/>
            <w:tcBorders>
              <w:top w:val="nil"/>
              <w:left w:val="nil"/>
              <w:bottom w:val="single" w:sz="4" w:space="0" w:color="auto"/>
              <w:right w:val="single" w:sz="4" w:space="0" w:color="auto"/>
            </w:tcBorders>
            <w:shd w:val="clear" w:color="auto" w:fill="auto"/>
            <w:noWrap/>
            <w:vAlign w:val="bottom"/>
            <w:hideMark/>
          </w:tcPr>
          <w:p w14:paraId="033F20D3"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8,66</w:t>
            </w:r>
          </w:p>
        </w:tc>
        <w:tc>
          <w:tcPr>
            <w:tcW w:w="919" w:type="pct"/>
            <w:tcBorders>
              <w:top w:val="nil"/>
              <w:left w:val="nil"/>
              <w:bottom w:val="single" w:sz="4" w:space="0" w:color="auto"/>
              <w:right w:val="single" w:sz="4" w:space="0" w:color="auto"/>
            </w:tcBorders>
            <w:shd w:val="clear" w:color="auto" w:fill="auto"/>
            <w:noWrap/>
            <w:vAlign w:val="bottom"/>
            <w:hideMark/>
          </w:tcPr>
          <w:p w14:paraId="27DAFEDE"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157,25</w:t>
            </w:r>
          </w:p>
        </w:tc>
        <w:tc>
          <w:tcPr>
            <w:tcW w:w="1122" w:type="pct"/>
            <w:tcBorders>
              <w:top w:val="nil"/>
              <w:left w:val="nil"/>
              <w:bottom w:val="single" w:sz="4" w:space="0" w:color="auto"/>
              <w:right w:val="single" w:sz="4" w:space="0" w:color="auto"/>
            </w:tcBorders>
            <w:shd w:val="clear" w:color="auto" w:fill="auto"/>
            <w:noWrap/>
            <w:vAlign w:val="bottom"/>
            <w:hideMark/>
          </w:tcPr>
          <w:p w14:paraId="177057AE"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2 080,00</w:t>
            </w:r>
          </w:p>
        </w:tc>
        <w:tc>
          <w:tcPr>
            <w:tcW w:w="831" w:type="pct"/>
            <w:tcBorders>
              <w:top w:val="nil"/>
              <w:left w:val="nil"/>
              <w:bottom w:val="single" w:sz="4" w:space="0" w:color="auto"/>
              <w:right w:val="single" w:sz="4" w:space="0" w:color="auto"/>
            </w:tcBorders>
            <w:shd w:val="clear" w:color="auto" w:fill="auto"/>
            <w:noWrap/>
            <w:vAlign w:val="bottom"/>
            <w:hideMark/>
          </w:tcPr>
          <w:p w14:paraId="4BE06E33"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232</w:t>
            </w:r>
          </w:p>
        </w:tc>
      </w:tr>
      <w:tr w:rsidR="00DB474C" w:rsidRPr="00E54E0E" w14:paraId="50B74F00"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535F43CD"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Воробьевский</w:t>
            </w:r>
          </w:p>
        </w:tc>
        <w:tc>
          <w:tcPr>
            <w:tcW w:w="993" w:type="pct"/>
            <w:tcBorders>
              <w:top w:val="nil"/>
              <w:left w:val="nil"/>
              <w:bottom w:val="single" w:sz="4" w:space="0" w:color="auto"/>
              <w:right w:val="single" w:sz="4" w:space="0" w:color="auto"/>
            </w:tcBorders>
            <w:shd w:val="clear" w:color="auto" w:fill="auto"/>
            <w:noWrap/>
            <w:vAlign w:val="bottom"/>
            <w:hideMark/>
          </w:tcPr>
          <w:p w14:paraId="08B8F5E7"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c>
          <w:tcPr>
            <w:tcW w:w="919" w:type="pct"/>
            <w:tcBorders>
              <w:top w:val="nil"/>
              <w:left w:val="nil"/>
              <w:bottom w:val="single" w:sz="4" w:space="0" w:color="auto"/>
              <w:right w:val="single" w:sz="4" w:space="0" w:color="auto"/>
            </w:tcBorders>
            <w:shd w:val="clear" w:color="auto" w:fill="auto"/>
            <w:noWrap/>
            <w:vAlign w:val="bottom"/>
            <w:hideMark/>
          </w:tcPr>
          <w:p w14:paraId="3ABE5E02"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c>
          <w:tcPr>
            <w:tcW w:w="1122" w:type="pct"/>
            <w:tcBorders>
              <w:top w:val="nil"/>
              <w:left w:val="nil"/>
              <w:bottom w:val="single" w:sz="4" w:space="0" w:color="auto"/>
              <w:right w:val="single" w:sz="4" w:space="0" w:color="auto"/>
            </w:tcBorders>
            <w:shd w:val="clear" w:color="auto" w:fill="auto"/>
            <w:noWrap/>
            <w:vAlign w:val="bottom"/>
            <w:hideMark/>
          </w:tcPr>
          <w:p w14:paraId="34294A52"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c>
          <w:tcPr>
            <w:tcW w:w="831" w:type="pct"/>
            <w:tcBorders>
              <w:top w:val="nil"/>
              <w:left w:val="nil"/>
              <w:bottom w:val="single" w:sz="4" w:space="0" w:color="auto"/>
              <w:right w:val="single" w:sz="4" w:space="0" w:color="auto"/>
            </w:tcBorders>
            <w:shd w:val="clear" w:color="auto" w:fill="auto"/>
            <w:noWrap/>
            <w:vAlign w:val="bottom"/>
            <w:hideMark/>
          </w:tcPr>
          <w:p w14:paraId="2F14EC3B"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r>
      <w:tr w:rsidR="00DB474C" w:rsidRPr="00E54E0E" w14:paraId="672455AE"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235E9C5A"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 xml:space="preserve">Грибановский </w:t>
            </w:r>
          </w:p>
        </w:tc>
        <w:tc>
          <w:tcPr>
            <w:tcW w:w="993" w:type="pct"/>
            <w:tcBorders>
              <w:top w:val="nil"/>
              <w:left w:val="nil"/>
              <w:bottom w:val="single" w:sz="4" w:space="0" w:color="auto"/>
              <w:right w:val="single" w:sz="4" w:space="0" w:color="auto"/>
            </w:tcBorders>
            <w:shd w:val="clear" w:color="auto" w:fill="auto"/>
            <w:noWrap/>
            <w:vAlign w:val="bottom"/>
            <w:hideMark/>
          </w:tcPr>
          <w:p w14:paraId="7FA0EB01"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7,74</w:t>
            </w:r>
          </w:p>
        </w:tc>
        <w:tc>
          <w:tcPr>
            <w:tcW w:w="919" w:type="pct"/>
            <w:tcBorders>
              <w:top w:val="nil"/>
              <w:left w:val="nil"/>
              <w:bottom w:val="single" w:sz="4" w:space="0" w:color="auto"/>
              <w:right w:val="single" w:sz="4" w:space="0" w:color="auto"/>
            </w:tcBorders>
            <w:shd w:val="clear" w:color="auto" w:fill="auto"/>
            <w:noWrap/>
            <w:vAlign w:val="bottom"/>
            <w:hideMark/>
          </w:tcPr>
          <w:p w14:paraId="5B647C0C"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46,28</w:t>
            </w:r>
          </w:p>
        </w:tc>
        <w:tc>
          <w:tcPr>
            <w:tcW w:w="1122" w:type="pct"/>
            <w:tcBorders>
              <w:top w:val="nil"/>
              <w:left w:val="nil"/>
              <w:bottom w:val="single" w:sz="4" w:space="0" w:color="auto"/>
              <w:right w:val="single" w:sz="4" w:space="0" w:color="auto"/>
            </w:tcBorders>
            <w:shd w:val="clear" w:color="auto" w:fill="auto"/>
            <w:noWrap/>
            <w:vAlign w:val="bottom"/>
            <w:hideMark/>
          </w:tcPr>
          <w:p w14:paraId="38F7CDC6"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127,19</w:t>
            </w:r>
          </w:p>
        </w:tc>
        <w:tc>
          <w:tcPr>
            <w:tcW w:w="831" w:type="pct"/>
            <w:tcBorders>
              <w:top w:val="nil"/>
              <w:left w:val="nil"/>
              <w:bottom w:val="single" w:sz="4" w:space="0" w:color="auto"/>
              <w:right w:val="single" w:sz="4" w:space="0" w:color="auto"/>
            </w:tcBorders>
            <w:shd w:val="clear" w:color="auto" w:fill="auto"/>
            <w:noWrap/>
            <w:vAlign w:val="bottom"/>
            <w:hideMark/>
          </w:tcPr>
          <w:p w14:paraId="159DF09C"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5</w:t>
            </w:r>
          </w:p>
        </w:tc>
      </w:tr>
      <w:tr w:rsidR="00DB474C" w:rsidRPr="00E54E0E" w14:paraId="5804EE31"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77F7D936"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Калачеевский</w:t>
            </w:r>
          </w:p>
        </w:tc>
        <w:tc>
          <w:tcPr>
            <w:tcW w:w="993" w:type="pct"/>
            <w:tcBorders>
              <w:top w:val="nil"/>
              <w:left w:val="nil"/>
              <w:bottom w:val="single" w:sz="4" w:space="0" w:color="auto"/>
              <w:right w:val="single" w:sz="4" w:space="0" w:color="auto"/>
            </w:tcBorders>
            <w:shd w:val="clear" w:color="auto" w:fill="auto"/>
            <w:noWrap/>
            <w:vAlign w:val="bottom"/>
            <w:hideMark/>
          </w:tcPr>
          <w:p w14:paraId="7A54E71F"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8,66</w:t>
            </w:r>
          </w:p>
        </w:tc>
        <w:tc>
          <w:tcPr>
            <w:tcW w:w="919" w:type="pct"/>
            <w:tcBorders>
              <w:top w:val="nil"/>
              <w:left w:val="nil"/>
              <w:bottom w:val="single" w:sz="4" w:space="0" w:color="auto"/>
              <w:right w:val="single" w:sz="4" w:space="0" w:color="auto"/>
            </w:tcBorders>
            <w:shd w:val="clear" w:color="auto" w:fill="auto"/>
            <w:noWrap/>
            <w:vAlign w:val="bottom"/>
            <w:hideMark/>
          </w:tcPr>
          <w:p w14:paraId="26338FDE"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65,93</w:t>
            </w:r>
          </w:p>
        </w:tc>
        <w:tc>
          <w:tcPr>
            <w:tcW w:w="1122" w:type="pct"/>
            <w:tcBorders>
              <w:top w:val="nil"/>
              <w:left w:val="nil"/>
              <w:bottom w:val="single" w:sz="4" w:space="0" w:color="auto"/>
              <w:right w:val="single" w:sz="4" w:space="0" w:color="auto"/>
            </w:tcBorders>
            <w:shd w:val="clear" w:color="auto" w:fill="auto"/>
            <w:noWrap/>
            <w:vAlign w:val="bottom"/>
            <w:hideMark/>
          </w:tcPr>
          <w:p w14:paraId="2322F804"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421,67</w:t>
            </w:r>
          </w:p>
        </w:tc>
        <w:tc>
          <w:tcPr>
            <w:tcW w:w="831" w:type="pct"/>
            <w:tcBorders>
              <w:top w:val="nil"/>
              <w:left w:val="nil"/>
              <w:bottom w:val="single" w:sz="4" w:space="0" w:color="auto"/>
              <w:right w:val="single" w:sz="4" w:space="0" w:color="auto"/>
            </w:tcBorders>
            <w:shd w:val="clear" w:color="auto" w:fill="auto"/>
            <w:noWrap/>
            <w:vAlign w:val="bottom"/>
            <w:hideMark/>
          </w:tcPr>
          <w:p w14:paraId="0F91660E"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27</w:t>
            </w:r>
          </w:p>
        </w:tc>
      </w:tr>
      <w:tr w:rsidR="00DB474C" w:rsidRPr="00E54E0E" w14:paraId="79EE08C6"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5032B61A"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Каменский</w:t>
            </w:r>
          </w:p>
        </w:tc>
        <w:tc>
          <w:tcPr>
            <w:tcW w:w="993" w:type="pct"/>
            <w:tcBorders>
              <w:top w:val="nil"/>
              <w:left w:val="nil"/>
              <w:bottom w:val="single" w:sz="4" w:space="0" w:color="auto"/>
              <w:right w:val="single" w:sz="4" w:space="0" w:color="auto"/>
            </w:tcBorders>
            <w:shd w:val="clear" w:color="auto" w:fill="auto"/>
            <w:noWrap/>
            <w:vAlign w:val="bottom"/>
            <w:hideMark/>
          </w:tcPr>
          <w:p w14:paraId="4480D74A"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15,41</w:t>
            </w:r>
          </w:p>
        </w:tc>
        <w:tc>
          <w:tcPr>
            <w:tcW w:w="919" w:type="pct"/>
            <w:tcBorders>
              <w:top w:val="nil"/>
              <w:left w:val="nil"/>
              <w:bottom w:val="single" w:sz="4" w:space="0" w:color="auto"/>
              <w:right w:val="single" w:sz="4" w:space="0" w:color="auto"/>
            </w:tcBorders>
            <w:shd w:val="clear" w:color="auto" w:fill="auto"/>
            <w:noWrap/>
            <w:vAlign w:val="bottom"/>
            <w:hideMark/>
          </w:tcPr>
          <w:p w14:paraId="1DD0158A"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78,71</w:t>
            </w:r>
          </w:p>
        </w:tc>
        <w:tc>
          <w:tcPr>
            <w:tcW w:w="1122" w:type="pct"/>
            <w:tcBorders>
              <w:top w:val="nil"/>
              <w:left w:val="nil"/>
              <w:bottom w:val="single" w:sz="4" w:space="0" w:color="auto"/>
              <w:right w:val="single" w:sz="4" w:space="0" w:color="auto"/>
            </w:tcBorders>
            <w:shd w:val="clear" w:color="auto" w:fill="auto"/>
            <w:noWrap/>
            <w:vAlign w:val="bottom"/>
            <w:hideMark/>
          </w:tcPr>
          <w:p w14:paraId="52D718F0"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127,17</w:t>
            </w:r>
          </w:p>
        </w:tc>
        <w:tc>
          <w:tcPr>
            <w:tcW w:w="831" w:type="pct"/>
            <w:tcBorders>
              <w:top w:val="nil"/>
              <w:left w:val="nil"/>
              <w:bottom w:val="single" w:sz="4" w:space="0" w:color="auto"/>
              <w:right w:val="single" w:sz="4" w:space="0" w:color="auto"/>
            </w:tcBorders>
            <w:shd w:val="clear" w:color="auto" w:fill="auto"/>
            <w:noWrap/>
            <w:vAlign w:val="bottom"/>
            <w:hideMark/>
          </w:tcPr>
          <w:p w14:paraId="20E485CF"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8</w:t>
            </w:r>
          </w:p>
        </w:tc>
      </w:tr>
      <w:tr w:rsidR="00DB474C" w:rsidRPr="00E54E0E" w14:paraId="27183707"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3BD38512"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Кантемировский</w:t>
            </w:r>
          </w:p>
        </w:tc>
        <w:tc>
          <w:tcPr>
            <w:tcW w:w="993" w:type="pct"/>
            <w:tcBorders>
              <w:top w:val="nil"/>
              <w:left w:val="nil"/>
              <w:bottom w:val="single" w:sz="4" w:space="0" w:color="auto"/>
              <w:right w:val="single" w:sz="4" w:space="0" w:color="auto"/>
            </w:tcBorders>
            <w:shd w:val="clear" w:color="auto" w:fill="auto"/>
            <w:noWrap/>
            <w:vAlign w:val="bottom"/>
            <w:hideMark/>
          </w:tcPr>
          <w:p w14:paraId="3CA4E82B"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165,68</w:t>
            </w:r>
          </w:p>
        </w:tc>
        <w:tc>
          <w:tcPr>
            <w:tcW w:w="919" w:type="pct"/>
            <w:tcBorders>
              <w:top w:val="nil"/>
              <w:left w:val="nil"/>
              <w:bottom w:val="single" w:sz="4" w:space="0" w:color="auto"/>
              <w:right w:val="single" w:sz="4" w:space="0" w:color="auto"/>
            </w:tcBorders>
            <w:shd w:val="clear" w:color="auto" w:fill="auto"/>
            <w:noWrap/>
            <w:vAlign w:val="bottom"/>
            <w:hideMark/>
          </w:tcPr>
          <w:p w14:paraId="1D6B914A"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238,49</w:t>
            </w:r>
          </w:p>
        </w:tc>
        <w:tc>
          <w:tcPr>
            <w:tcW w:w="1122" w:type="pct"/>
            <w:tcBorders>
              <w:top w:val="nil"/>
              <w:left w:val="nil"/>
              <w:bottom w:val="single" w:sz="4" w:space="0" w:color="auto"/>
              <w:right w:val="single" w:sz="4" w:space="0" w:color="auto"/>
            </w:tcBorders>
            <w:shd w:val="clear" w:color="auto" w:fill="auto"/>
            <w:noWrap/>
            <w:vAlign w:val="bottom"/>
            <w:hideMark/>
          </w:tcPr>
          <w:p w14:paraId="42B18B4A"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311,29</w:t>
            </w:r>
          </w:p>
        </w:tc>
        <w:tc>
          <w:tcPr>
            <w:tcW w:w="831" w:type="pct"/>
            <w:tcBorders>
              <w:top w:val="nil"/>
              <w:left w:val="nil"/>
              <w:bottom w:val="single" w:sz="4" w:space="0" w:color="auto"/>
              <w:right w:val="single" w:sz="4" w:space="0" w:color="auto"/>
            </w:tcBorders>
            <w:shd w:val="clear" w:color="auto" w:fill="auto"/>
            <w:noWrap/>
            <w:vAlign w:val="bottom"/>
            <w:hideMark/>
          </w:tcPr>
          <w:p w14:paraId="303973B2"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w:t>
            </w:r>
          </w:p>
        </w:tc>
      </w:tr>
      <w:tr w:rsidR="00DB474C" w:rsidRPr="00E54E0E" w14:paraId="0FDF3B82"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6703C655"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Каширский</w:t>
            </w:r>
          </w:p>
        </w:tc>
        <w:tc>
          <w:tcPr>
            <w:tcW w:w="993" w:type="pct"/>
            <w:tcBorders>
              <w:top w:val="nil"/>
              <w:left w:val="nil"/>
              <w:bottom w:val="single" w:sz="4" w:space="0" w:color="auto"/>
              <w:right w:val="single" w:sz="4" w:space="0" w:color="auto"/>
            </w:tcBorders>
            <w:shd w:val="clear" w:color="auto" w:fill="auto"/>
            <w:noWrap/>
            <w:vAlign w:val="bottom"/>
            <w:hideMark/>
          </w:tcPr>
          <w:p w14:paraId="16DC8CF6"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5,20</w:t>
            </w:r>
          </w:p>
        </w:tc>
        <w:tc>
          <w:tcPr>
            <w:tcW w:w="919" w:type="pct"/>
            <w:tcBorders>
              <w:top w:val="nil"/>
              <w:left w:val="nil"/>
              <w:bottom w:val="single" w:sz="4" w:space="0" w:color="auto"/>
              <w:right w:val="single" w:sz="4" w:space="0" w:color="auto"/>
            </w:tcBorders>
            <w:shd w:val="clear" w:color="auto" w:fill="auto"/>
            <w:noWrap/>
            <w:vAlign w:val="bottom"/>
            <w:hideMark/>
          </w:tcPr>
          <w:p w14:paraId="26188A4B"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172,99</w:t>
            </w:r>
          </w:p>
        </w:tc>
        <w:tc>
          <w:tcPr>
            <w:tcW w:w="1122" w:type="pct"/>
            <w:tcBorders>
              <w:top w:val="nil"/>
              <w:left w:val="nil"/>
              <w:bottom w:val="single" w:sz="4" w:space="0" w:color="auto"/>
              <w:right w:val="single" w:sz="4" w:space="0" w:color="auto"/>
            </w:tcBorders>
            <w:shd w:val="clear" w:color="auto" w:fill="auto"/>
            <w:noWrap/>
            <w:vAlign w:val="bottom"/>
            <w:hideMark/>
          </w:tcPr>
          <w:p w14:paraId="167E1952"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3 591,43</w:t>
            </w:r>
          </w:p>
        </w:tc>
        <w:tc>
          <w:tcPr>
            <w:tcW w:w="831" w:type="pct"/>
            <w:tcBorders>
              <w:top w:val="nil"/>
              <w:left w:val="nil"/>
              <w:bottom w:val="single" w:sz="4" w:space="0" w:color="auto"/>
              <w:right w:val="single" w:sz="4" w:space="0" w:color="auto"/>
            </w:tcBorders>
            <w:shd w:val="clear" w:color="auto" w:fill="auto"/>
            <w:noWrap/>
            <w:vAlign w:val="bottom"/>
            <w:hideMark/>
          </w:tcPr>
          <w:p w14:paraId="7E9E097F"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683</w:t>
            </w:r>
          </w:p>
        </w:tc>
      </w:tr>
      <w:tr w:rsidR="00DB474C" w:rsidRPr="00E54E0E" w14:paraId="356DFF22"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01FAB323"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Лискинский</w:t>
            </w:r>
          </w:p>
        </w:tc>
        <w:tc>
          <w:tcPr>
            <w:tcW w:w="993" w:type="pct"/>
            <w:tcBorders>
              <w:top w:val="nil"/>
              <w:left w:val="nil"/>
              <w:bottom w:val="single" w:sz="4" w:space="0" w:color="auto"/>
              <w:right w:val="single" w:sz="4" w:space="0" w:color="auto"/>
            </w:tcBorders>
            <w:shd w:val="clear" w:color="auto" w:fill="auto"/>
            <w:noWrap/>
            <w:vAlign w:val="bottom"/>
            <w:hideMark/>
          </w:tcPr>
          <w:p w14:paraId="09B6EF14"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8,18</w:t>
            </w:r>
          </w:p>
        </w:tc>
        <w:tc>
          <w:tcPr>
            <w:tcW w:w="919" w:type="pct"/>
            <w:tcBorders>
              <w:top w:val="nil"/>
              <w:left w:val="nil"/>
              <w:bottom w:val="single" w:sz="4" w:space="0" w:color="auto"/>
              <w:right w:val="single" w:sz="4" w:space="0" w:color="auto"/>
            </w:tcBorders>
            <w:shd w:val="clear" w:color="auto" w:fill="auto"/>
            <w:noWrap/>
            <w:vAlign w:val="bottom"/>
            <w:hideMark/>
          </w:tcPr>
          <w:p w14:paraId="49FE8FEF"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181,02</w:t>
            </w:r>
          </w:p>
        </w:tc>
        <w:tc>
          <w:tcPr>
            <w:tcW w:w="1122" w:type="pct"/>
            <w:tcBorders>
              <w:top w:val="nil"/>
              <w:left w:val="nil"/>
              <w:bottom w:val="single" w:sz="4" w:space="0" w:color="auto"/>
              <w:right w:val="single" w:sz="4" w:space="0" w:color="auto"/>
            </w:tcBorders>
            <w:shd w:val="clear" w:color="auto" w:fill="auto"/>
            <w:noWrap/>
            <w:vAlign w:val="bottom"/>
            <w:hideMark/>
          </w:tcPr>
          <w:p w14:paraId="45E4A11A"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1 567,24</w:t>
            </w:r>
          </w:p>
        </w:tc>
        <w:tc>
          <w:tcPr>
            <w:tcW w:w="831" w:type="pct"/>
            <w:tcBorders>
              <w:top w:val="nil"/>
              <w:left w:val="nil"/>
              <w:bottom w:val="single" w:sz="4" w:space="0" w:color="auto"/>
              <w:right w:val="single" w:sz="4" w:space="0" w:color="auto"/>
            </w:tcBorders>
            <w:shd w:val="clear" w:color="auto" w:fill="auto"/>
            <w:noWrap/>
            <w:vAlign w:val="bottom"/>
            <w:hideMark/>
          </w:tcPr>
          <w:p w14:paraId="6F053277"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396</w:t>
            </w:r>
          </w:p>
        </w:tc>
      </w:tr>
      <w:tr w:rsidR="00DB474C" w:rsidRPr="00E54E0E" w14:paraId="47D96C73"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57E19796"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Нижнедевицкий</w:t>
            </w:r>
          </w:p>
        </w:tc>
        <w:tc>
          <w:tcPr>
            <w:tcW w:w="993" w:type="pct"/>
            <w:tcBorders>
              <w:top w:val="nil"/>
              <w:left w:val="nil"/>
              <w:bottom w:val="single" w:sz="4" w:space="0" w:color="auto"/>
              <w:right w:val="single" w:sz="4" w:space="0" w:color="auto"/>
            </w:tcBorders>
            <w:shd w:val="clear" w:color="auto" w:fill="auto"/>
            <w:noWrap/>
            <w:vAlign w:val="bottom"/>
            <w:hideMark/>
          </w:tcPr>
          <w:p w14:paraId="04814657"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184,12</w:t>
            </w:r>
          </w:p>
        </w:tc>
        <w:tc>
          <w:tcPr>
            <w:tcW w:w="919" w:type="pct"/>
            <w:tcBorders>
              <w:top w:val="nil"/>
              <w:left w:val="nil"/>
              <w:bottom w:val="single" w:sz="4" w:space="0" w:color="auto"/>
              <w:right w:val="single" w:sz="4" w:space="0" w:color="auto"/>
            </w:tcBorders>
            <w:shd w:val="clear" w:color="auto" w:fill="auto"/>
            <w:noWrap/>
            <w:vAlign w:val="bottom"/>
            <w:hideMark/>
          </w:tcPr>
          <w:p w14:paraId="6E7419D8"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184,12</w:t>
            </w:r>
          </w:p>
        </w:tc>
        <w:tc>
          <w:tcPr>
            <w:tcW w:w="1122" w:type="pct"/>
            <w:tcBorders>
              <w:top w:val="nil"/>
              <w:left w:val="nil"/>
              <w:bottom w:val="single" w:sz="4" w:space="0" w:color="auto"/>
              <w:right w:val="single" w:sz="4" w:space="0" w:color="auto"/>
            </w:tcBorders>
            <w:shd w:val="clear" w:color="auto" w:fill="auto"/>
            <w:noWrap/>
            <w:vAlign w:val="bottom"/>
            <w:hideMark/>
          </w:tcPr>
          <w:p w14:paraId="7710740B"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184,12</w:t>
            </w:r>
          </w:p>
        </w:tc>
        <w:tc>
          <w:tcPr>
            <w:tcW w:w="831" w:type="pct"/>
            <w:tcBorders>
              <w:top w:val="nil"/>
              <w:left w:val="nil"/>
              <w:bottom w:val="single" w:sz="4" w:space="0" w:color="auto"/>
              <w:right w:val="single" w:sz="4" w:space="0" w:color="auto"/>
            </w:tcBorders>
            <w:shd w:val="clear" w:color="auto" w:fill="auto"/>
            <w:noWrap/>
            <w:vAlign w:val="bottom"/>
            <w:hideMark/>
          </w:tcPr>
          <w:p w14:paraId="4D40BE82"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w:t>
            </w:r>
          </w:p>
        </w:tc>
      </w:tr>
      <w:tr w:rsidR="00DB474C" w:rsidRPr="00E54E0E" w14:paraId="22409AD6"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7B224ED7"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Новоусманский</w:t>
            </w:r>
          </w:p>
        </w:tc>
        <w:tc>
          <w:tcPr>
            <w:tcW w:w="993" w:type="pct"/>
            <w:tcBorders>
              <w:top w:val="nil"/>
              <w:left w:val="nil"/>
              <w:bottom w:val="single" w:sz="4" w:space="0" w:color="auto"/>
              <w:right w:val="single" w:sz="4" w:space="0" w:color="auto"/>
            </w:tcBorders>
            <w:shd w:val="clear" w:color="auto" w:fill="auto"/>
            <w:noWrap/>
            <w:vAlign w:val="bottom"/>
            <w:hideMark/>
          </w:tcPr>
          <w:p w14:paraId="6E3790DA"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6,30</w:t>
            </w:r>
          </w:p>
        </w:tc>
        <w:tc>
          <w:tcPr>
            <w:tcW w:w="919" w:type="pct"/>
            <w:tcBorders>
              <w:top w:val="nil"/>
              <w:left w:val="nil"/>
              <w:bottom w:val="single" w:sz="4" w:space="0" w:color="auto"/>
              <w:right w:val="single" w:sz="4" w:space="0" w:color="auto"/>
            </w:tcBorders>
            <w:shd w:val="clear" w:color="auto" w:fill="auto"/>
            <w:noWrap/>
            <w:vAlign w:val="bottom"/>
            <w:hideMark/>
          </w:tcPr>
          <w:p w14:paraId="64BCFA0C"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449,58</w:t>
            </w:r>
          </w:p>
        </w:tc>
        <w:tc>
          <w:tcPr>
            <w:tcW w:w="1122" w:type="pct"/>
            <w:tcBorders>
              <w:top w:val="nil"/>
              <w:left w:val="nil"/>
              <w:bottom w:val="single" w:sz="4" w:space="0" w:color="auto"/>
              <w:right w:val="single" w:sz="4" w:space="0" w:color="auto"/>
            </w:tcBorders>
            <w:shd w:val="clear" w:color="auto" w:fill="auto"/>
            <w:noWrap/>
            <w:vAlign w:val="bottom"/>
            <w:hideMark/>
          </w:tcPr>
          <w:p w14:paraId="40D18C21"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4 160,00</w:t>
            </w:r>
          </w:p>
        </w:tc>
        <w:tc>
          <w:tcPr>
            <w:tcW w:w="831" w:type="pct"/>
            <w:tcBorders>
              <w:top w:val="nil"/>
              <w:left w:val="nil"/>
              <w:bottom w:val="single" w:sz="4" w:space="0" w:color="auto"/>
              <w:right w:val="single" w:sz="4" w:space="0" w:color="auto"/>
            </w:tcBorders>
            <w:shd w:val="clear" w:color="auto" w:fill="auto"/>
            <w:noWrap/>
            <w:vAlign w:val="bottom"/>
            <w:hideMark/>
          </w:tcPr>
          <w:p w14:paraId="41F9ABCC"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925</w:t>
            </w:r>
          </w:p>
        </w:tc>
      </w:tr>
      <w:tr w:rsidR="00DB474C" w:rsidRPr="00E54E0E" w14:paraId="36742AB9"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2380C289"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Новохоперский</w:t>
            </w:r>
          </w:p>
        </w:tc>
        <w:tc>
          <w:tcPr>
            <w:tcW w:w="993" w:type="pct"/>
            <w:tcBorders>
              <w:top w:val="nil"/>
              <w:left w:val="nil"/>
              <w:bottom w:val="single" w:sz="4" w:space="0" w:color="auto"/>
              <w:right w:val="single" w:sz="4" w:space="0" w:color="auto"/>
            </w:tcBorders>
            <w:shd w:val="clear" w:color="auto" w:fill="auto"/>
            <w:noWrap/>
            <w:vAlign w:val="bottom"/>
            <w:hideMark/>
          </w:tcPr>
          <w:p w14:paraId="1DB3BD7D"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11,67</w:t>
            </w:r>
          </w:p>
        </w:tc>
        <w:tc>
          <w:tcPr>
            <w:tcW w:w="919" w:type="pct"/>
            <w:tcBorders>
              <w:top w:val="nil"/>
              <w:left w:val="nil"/>
              <w:bottom w:val="single" w:sz="4" w:space="0" w:color="auto"/>
              <w:right w:val="single" w:sz="4" w:space="0" w:color="auto"/>
            </w:tcBorders>
            <w:shd w:val="clear" w:color="auto" w:fill="auto"/>
            <w:noWrap/>
            <w:vAlign w:val="bottom"/>
            <w:hideMark/>
          </w:tcPr>
          <w:p w14:paraId="13793556"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70,08</w:t>
            </w:r>
          </w:p>
        </w:tc>
        <w:tc>
          <w:tcPr>
            <w:tcW w:w="1122" w:type="pct"/>
            <w:tcBorders>
              <w:top w:val="nil"/>
              <w:left w:val="nil"/>
              <w:bottom w:val="single" w:sz="4" w:space="0" w:color="auto"/>
              <w:right w:val="single" w:sz="4" w:space="0" w:color="auto"/>
            </w:tcBorders>
            <w:shd w:val="clear" w:color="auto" w:fill="auto"/>
            <w:noWrap/>
            <w:vAlign w:val="bottom"/>
            <w:hideMark/>
          </w:tcPr>
          <w:p w14:paraId="2BFFDE50"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128,02</w:t>
            </w:r>
          </w:p>
        </w:tc>
        <w:tc>
          <w:tcPr>
            <w:tcW w:w="831" w:type="pct"/>
            <w:tcBorders>
              <w:top w:val="nil"/>
              <w:left w:val="nil"/>
              <w:bottom w:val="single" w:sz="4" w:space="0" w:color="auto"/>
              <w:right w:val="single" w:sz="4" w:space="0" w:color="auto"/>
            </w:tcBorders>
            <w:shd w:val="clear" w:color="auto" w:fill="auto"/>
            <w:noWrap/>
            <w:vAlign w:val="bottom"/>
            <w:hideMark/>
          </w:tcPr>
          <w:p w14:paraId="12007423"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9</w:t>
            </w:r>
          </w:p>
        </w:tc>
      </w:tr>
      <w:tr w:rsidR="00DB474C" w:rsidRPr="00E54E0E" w14:paraId="1EDBAD5B"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2197C40A"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Ольховатский</w:t>
            </w:r>
          </w:p>
        </w:tc>
        <w:tc>
          <w:tcPr>
            <w:tcW w:w="993" w:type="pct"/>
            <w:tcBorders>
              <w:top w:val="nil"/>
              <w:left w:val="nil"/>
              <w:bottom w:val="single" w:sz="4" w:space="0" w:color="auto"/>
              <w:right w:val="single" w:sz="4" w:space="0" w:color="auto"/>
            </w:tcBorders>
            <w:shd w:val="clear" w:color="auto" w:fill="auto"/>
            <w:noWrap/>
            <w:vAlign w:val="bottom"/>
            <w:hideMark/>
          </w:tcPr>
          <w:p w14:paraId="56487C63"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22,60</w:t>
            </w:r>
          </w:p>
        </w:tc>
        <w:tc>
          <w:tcPr>
            <w:tcW w:w="919" w:type="pct"/>
            <w:tcBorders>
              <w:top w:val="nil"/>
              <w:left w:val="nil"/>
              <w:bottom w:val="single" w:sz="4" w:space="0" w:color="auto"/>
              <w:right w:val="single" w:sz="4" w:space="0" w:color="auto"/>
            </w:tcBorders>
            <w:shd w:val="clear" w:color="auto" w:fill="auto"/>
            <w:noWrap/>
            <w:vAlign w:val="bottom"/>
            <w:hideMark/>
          </w:tcPr>
          <w:p w14:paraId="35D8CA1E"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35,79</w:t>
            </w:r>
          </w:p>
        </w:tc>
        <w:tc>
          <w:tcPr>
            <w:tcW w:w="1122" w:type="pct"/>
            <w:tcBorders>
              <w:top w:val="nil"/>
              <w:left w:val="nil"/>
              <w:bottom w:val="single" w:sz="4" w:space="0" w:color="auto"/>
              <w:right w:val="single" w:sz="4" w:space="0" w:color="auto"/>
            </w:tcBorders>
            <w:shd w:val="clear" w:color="auto" w:fill="auto"/>
            <w:noWrap/>
            <w:vAlign w:val="bottom"/>
            <w:hideMark/>
          </w:tcPr>
          <w:p w14:paraId="58CEA6CE"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58,50</w:t>
            </w:r>
          </w:p>
        </w:tc>
        <w:tc>
          <w:tcPr>
            <w:tcW w:w="831" w:type="pct"/>
            <w:tcBorders>
              <w:top w:val="nil"/>
              <w:left w:val="nil"/>
              <w:bottom w:val="single" w:sz="4" w:space="0" w:color="auto"/>
              <w:right w:val="single" w:sz="4" w:space="0" w:color="auto"/>
            </w:tcBorders>
            <w:shd w:val="clear" w:color="auto" w:fill="auto"/>
            <w:noWrap/>
            <w:vAlign w:val="bottom"/>
            <w:hideMark/>
          </w:tcPr>
          <w:p w14:paraId="0AE218BC"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5</w:t>
            </w:r>
          </w:p>
        </w:tc>
      </w:tr>
      <w:tr w:rsidR="00DB474C" w:rsidRPr="00E54E0E" w14:paraId="37183745"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6C96335A"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Острогожский</w:t>
            </w:r>
          </w:p>
        </w:tc>
        <w:tc>
          <w:tcPr>
            <w:tcW w:w="993" w:type="pct"/>
            <w:tcBorders>
              <w:top w:val="nil"/>
              <w:left w:val="nil"/>
              <w:bottom w:val="single" w:sz="4" w:space="0" w:color="auto"/>
              <w:right w:val="single" w:sz="4" w:space="0" w:color="auto"/>
            </w:tcBorders>
            <w:shd w:val="clear" w:color="auto" w:fill="auto"/>
            <w:noWrap/>
            <w:vAlign w:val="bottom"/>
            <w:hideMark/>
          </w:tcPr>
          <w:p w14:paraId="593D05D8"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11,00</w:t>
            </w:r>
          </w:p>
        </w:tc>
        <w:tc>
          <w:tcPr>
            <w:tcW w:w="919" w:type="pct"/>
            <w:tcBorders>
              <w:top w:val="nil"/>
              <w:left w:val="nil"/>
              <w:bottom w:val="single" w:sz="4" w:space="0" w:color="auto"/>
              <w:right w:val="single" w:sz="4" w:space="0" w:color="auto"/>
            </w:tcBorders>
            <w:shd w:val="clear" w:color="auto" w:fill="auto"/>
            <w:noWrap/>
            <w:vAlign w:val="bottom"/>
            <w:hideMark/>
          </w:tcPr>
          <w:p w14:paraId="15161CF1"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535,57</w:t>
            </w:r>
          </w:p>
        </w:tc>
        <w:tc>
          <w:tcPr>
            <w:tcW w:w="1122" w:type="pct"/>
            <w:tcBorders>
              <w:top w:val="nil"/>
              <w:left w:val="nil"/>
              <w:bottom w:val="single" w:sz="4" w:space="0" w:color="auto"/>
              <w:right w:val="single" w:sz="4" w:space="0" w:color="auto"/>
            </w:tcBorders>
            <w:shd w:val="clear" w:color="auto" w:fill="auto"/>
            <w:noWrap/>
            <w:vAlign w:val="bottom"/>
            <w:hideMark/>
          </w:tcPr>
          <w:p w14:paraId="0C610B7E"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2 537,43</w:t>
            </w:r>
          </w:p>
        </w:tc>
        <w:tc>
          <w:tcPr>
            <w:tcW w:w="831" w:type="pct"/>
            <w:tcBorders>
              <w:top w:val="nil"/>
              <w:left w:val="nil"/>
              <w:bottom w:val="single" w:sz="4" w:space="0" w:color="auto"/>
              <w:right w:val="single" w:sz="4" w:space="0" w:color="auto"/>
            </w:tcBorders>
            <w:shd w:val="clear" w:color="auto" w:fill="auto"/>
            <w:noWrap/>
            <w:vAlign w:val="bottom"/>
            <w:hideMark/>
          </w:tcPr>
          <w:p w14:paraId="02028E42"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19</w:t>
            </w:r>
          </w:p>
        </w:tc>
      </w:tr>
      <w:tr w:rsidR="00DB474C" w:rsidRPr="00E54E0E" w14:paraId="2DE25317"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370D1BE0"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Павловский</w:t>
            </w:r>
          </w:p>
        </w:tc>
        <w:tc>
          <w:tcPr>
            <w:tcW w:w="993" w:type="pct"/>
            <w:tcBorders>
              <w:top w:val="nil"/>
              <w:left w:val="nil"/>
              <w:bottom w:val="single" w:sz="4" w:space="0" w:color="auto"/>
              <w:right w:val="single" w:sz="4" w:space="0" w:color="auto"/>
            </w:tcBorders>
            <w:shd w:val="clear" w:color="auto" w:fill="auto"/>
            <w:noWrap/>
            <w:vAlign w:val="bottom"/>
            <w:hideMark/>
          </w:tcPr>
          <w:p w14:paraId="0CF327A3"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6,04</w:t>
            </w:r>
          </w:p>
        </w:tc>
        <w:tc>
          <w:tcPr>
            <w:tcW w:w="919" w:type="pct"/>
            <w:tcBorders>
              <w:top w:val="nil"/>
              <w:left w:val="nil"/>
              <w:bottom w:val="single" w:sz="4" w:space="0" w:color="auto"/>
              <w:right w:val="single" w:sz="4" w:space="0" w:color="auto"/>
            </w:tcBorders>
            <w:shd w:val="clear" w:color="auto" w:fill="auto"/>
            <w:noWrap/>
            <w:vAlign w:val="bottom"/>
            <w:hideMark/>
          </w:tcPr>
          <w:p w14:paraId="674441B9"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149,04</w:t>
            </w:r>
          </w:p>
        </w:tc>
        <w:tc>
          <w:tcPr>
            <w:tcW w:w="1122" w:type="pct"/>
            <w:tcBorders>
              <w:top w:val="nil"/>
              <w:left w:val="nil"/>
              <w:bottom w:val="single" w:sz="4" w:space="0" w:color="auto"/>
              <w:right w:val="single" w:sz="4" w:space="0" w:color="auto"/>
            </w:tcBorders>
            <w:shd w:val="clear" w:color="auto" w:fill="auto"/>
            <w:noWrap/>
            <w:vAlign w:val="bottom"/>
            <w:hideMark/>
          </w:tcPr>
          <w:p w14:paraId="409A482C"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1 087,82</w:t>
            </w:r>
          </w:p>
        </w:tc>
        <w:tc>
          <w:tcPr>
            <w:tcW w:w="831" w:type="pct"/>
            <w:tcBorders>
              <w:top w:val="nil"/>
              <w:left w:val="nil"/>
              <w:bottom w:val="single" w:sz="4" w:space="0" w:color="auto"/>
              <w:right w:val="single" w:sz="4" w:space="0" w:color="auto"/>
            </w:tcBorders>
            <w:shd w:val="clear" w:color="auto" w:fill="auto"/>
            <w:noWrap/>
            <w:vAlign w:val="bottom"/>
            <w:hideMark/>
          </w:tcPr>
          <w:p w14:paraId="79CFA463"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116</w:t>
            </w:r>
          </w:p>
        </w:tc>
      </w:tr>
      <w:tr w:rsidR="00DB474C" w:rsidRPr="00E54E0E" w14:paraId="3CF869C7"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5E9A6D33"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Панинский</w:t>
            </w:r>
          </w:p>
        </w:tc>
        <w:tc>
          <w:tcPr>
            <w:tcW w:w="993" w:type="pct"/>
            <w:tcBorders>
              <w:top w:val="nil"/>
              <w:left w:val="nil"/>
              <w:bottom w:val="single" w:sz="4" w:space="0" w:color="auto"/>
              <w:right w:val="single" w:sz="4" w:space="0" w:color="auto"/>
            </w:tcBorders>
            <w:shd w:val="clear" w:color="auto" w:fill="auto"/>
            <w:noWrap/>
            <w:vAlign w:val="bottom"/>
            <w:hideMark/>
          </w:tcPr>
          <w:p w14:paraId="655C212E"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13,46</w:t>
            </w:r>
          </w:p>
        </w:tc>
        <w:tc>
          <w:tcPr>
            <w:tcW w:w="919" w:type="pct"/>
            <w:tcBorders>
              <w:top w:val="nil"/>
              <w:left w:val="nil"/>
              <w:bottom w:val="single" w:sz="4" w:space="0" w:color="auto"/>
              <w:right w:val="single" w:sz="4" w:space="0" w:color="auto"/>
            </w:tcBorders>
            <w:shd w:val="clear" w:color="auto" w:fill="auto"/>
            <w:noWrap/>
            <w:vAlign w:val="bottom"/>
            <w:hideMark/>
          </w:tcPr>
          <w:p w14:paraId="1A71D1E2"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44,28</w:t>
            </w:r>
          </w:p>
        </w:tc>
        <w:tc>
          <w:tcPr>
            <w:tcW w:w="1122" w:type="pct"/>
            <w:tcBorders>
              <w:top w:val="nil"/>
              <w:left w:val="nil"/>
              <w:bottom w:val="single" w:sz="4" w:space="0" w:color="auto"/>
              <w:right w:val="single" w:sz="4" w:space="0" w:color="auto"/>
            </w:tcBorders>
            <w:shd w:val="clear" w:color="auto" w:fill="auto"/>
            <w:noWrap/>
            <w:vAlign w:val="bottom"/>
            <w:hideMark/>
          </w:tcPr>
          <w:p w14:paraId="1B8D7B5C"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272,50</w:t>
            </w:r>
          </w:p>
        </w:tc>
        <w:tc>
          <w:tcPr>
            <w:tcW w:w="831" w:type="pct"/>
            <w:tcBorders>
              <w:top w:val="nil"/>
              <w:left w:val="nil"/>
              <w:bottom w:val="single" w:sz="4" w:space="0" w:color="auto"/>
              <w:right w:val="single" w:sz="4" w:space="0" w:color="auto"/>
            </w:tcBorders>
            <w:shd w:val="clear" w:color="auto" w:fill="auto"/>
            <w:noWrap/>
            <w:vAlign w:val="bottom"/>
            <w:hideMark/>
          </w:tcPr>
          <w:p w14:paraId="1DC22B00"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46</w:t>
            </w:r>
          </w:p>
        </w:tc>
      </w:tr>
      <w:tr w:rsidR="00DB474C" w:rsidRPr="00E54E0E" w14:paraId="68F41016"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20FEDBC6"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Петропавловский</w:t>
            </w:r>
          </w:p>
        </w:tc>
        <w:tc>
          <w:tcPr>
            <w:tcW w:w="993" w:type="pct"/>
            <w:tcBorders>
              <w:top w:val="nil"/>
              <w:left w:val="nil"/>
              <w:bottom w:val="single" w:sz="4" w:space="0" w:color="auto"/>
              <w:right w:val="single" w:sz="4" w:space="0" w:color="auto"/>
            </w:tcBorders>
            <w:shd w:val="clear" w:color="auto" w:fill="auto"/>
            <w:noWrap/>
            <w:vAlign w:val="bottom"/>
            <w:hideMark/>
          </w:tcPr>
          <w:p w14:paraId="6C4204A8"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86,38</w:t>
            </w:r>
          </w:p>
        </w:tc>
        <w:tc>
          <w:tcPr>
            <w:tcW w:w="919" w:type="pct"/>
            <w:tcBorders>
              <w:top w:val="nil"/>
              <w:left w:val="nil"/>
              <w:bottom w:val="single" w:sz="4" w:space="0" w:color="auto"/>
              <w:right w:val="single" w:sz="4" w:space="0" w:color="auto"/>
            </w:tcBorders>
            <w:shd w:val="clear" w:color="auto" w:fill="auto"/>
            <w:noWrap/>
            <w:vAlign w:val="bottom"/>
            <w:hideMark/>
          </w:tcPr>
          <w:p w14:paraId="3BB9970B"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86,38</w:t>
            </w:r>
          </w:p>
        </w:tc>
        <w:tc>
          <w:tcPr>
            <w:tcW w:w="1122" w:type="pct"/>
            <w:tcBorders>
              <w:top w:val="nil"/>
              <w:left w:val="nil"/>
              <w:bottom w:val="single" w:sz="4" w:space="0" w:color="auto"/>
              <w:right w:val="single" w:sz="4" w:space="0" w:color="auto"/>
            </w:tcBorders>
            <w:shd w:val="clear" w:color="auto" w:fill="auto"/>
            <w:noWrap/>
            <w:vAlign w:val="bottom"/>
            <w:hideMark/>
          </w:tcPr>
          <w:p w14:paraId="59E45E21"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86,38</w:t>
            </w:r>
          </w:p>
        </w:tc>
        <w:tc>
          <w:tcPr>
            <w:tcW w:w="831" w:type="pct"/>
            <w:tcBorders>
              <w:top w:val="nil"/>
              <w:left w:val="nil"/>
              <w:bottom w:val="single" w:sz="4" w:space="0" w:color="auto"/>
              <w:right w:val="single" w:sz="4" w:space="0" w:color="auto"/>
            </w:tcBorders>
            <w:shd w:val="clear" w:color="auto" w:fill="auto"/>
            <w:noWrap/>
            <w:vAlign w:val="bottom"/>
            <w:hideMark/>
          </w:tcPr>
          <w:p w14:paraId="28FC0FBA"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w:t>
            </w:r>
          </w:p>
        </w:tc>
      </w:tr>
      <w:tr w:rsidR="00DB474C" w:rsidRPr="00E54E0E" w14:paraId="54F64451"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7619FAB3"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Поворинский</w:t>
            </w:r>
          </w:p>
        </w:tc>
        <w:tc>
          <w:tcPr>
            <w:tcW w:w="993" w:type="pct"/>
            <w:tcBorders>
              <w:top w:val="nil"/>
              <w:left w:val="nil"/>
              <w:bottom w:val="single" w:sz="4" w:space="0" w:color="auto"/>
              <w:right w:val="single" w:sz="4" w:space="0" w:color="auto"/>
            </w:tcBorders>
            <w:shd w:val="clear" w:color="auto" w:fill="auto"/>
            <w:noWrap/>
            <w:vAlign w:val="bottom"/>
            <w:hideMark/>
          </w:tcPr>
          <w:p w14:paraId="5DB395A5"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21,80</w:t>
            </w:r>
          </w:p>
        </w:tc>
        <w:tc>
          <w:tcPr>
            <w:tcW w:w="919" w:type="pct"/>
            <w:tcBorders>
              <w:top w:val="nil"/>
              <w:left w:val="nil"/>
              <w:bottom w:val="single" w:sz="4" w:space="0" w:color="auto"/>
              <w:right w:val="single" w:sz="4" w:space="0" w:color="auto"/>
            </w:tcBorders>
            <w:shd w:val="clear" w:color="auto" w:fill="auto"/>
            <w:noWrap/>
            <w:vAlign w:val="bottom"/>
            <w:hideMark/>
          </w:tcPr>
          <w:p w14:paraId="4D80B514"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27,25</w:t>
            </w:r>
          </w:p>
        </w:tc>
        <w:tc>
          <w:tcPr>
            <w:tcW w:w="1122" w:type="pct"/>
            <w:tcBorders>
              <w:top w:val="nil"/>
              <w:left w:val="nil"/>
              <w:bottom w:val="single" w:sz="4" w:space="0" w:color="auto"/>
              <w:right w:val="single" w:sz="4" w:space="0" w:color="auto"/>
            </w:tcBorders>
            <w:shd w:val="clear" w:color="auto" w:fill="auto"/>
            <w:noWrap/>
            <w:vAlign w:val="bottom"/>
            <w:hideMark/>
          </w:tcPr>
          <w:p w14:paraId="5DAFADCF"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32,70</w:t>
            </w:r>
          </w:p>
        </w:tc>
        <w:tc>
          <w:tcPr>
            <w:tcW w:w="831" w:type="pct"/>
            <w:tcBorders>
              <w:top w:val="nil"/>
              <w:left w:val="nil"/>
              <w:bottom w:val="single" w:sz="4" w:space="0" w:color="auto"/>
              <w:right w:val="single" w:sz="4" w:space="0" w:color="auto"/>
            </w:tcBorders>
            <w:shd w:val="clear" w:color="auto" w:fill="auto"/>
            <w:noWrap/>
            <w:vAlign w:val="bottom"/>
            <w:hideMark/>
          </w:tcPr>
          <w:p w14:paraId="37ABCD78"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w:t>
            </w:r>
          </w:p>
        </w:tc>
      </w:tr>
      <w:tr w:rsidR="00DB474C" w:rsidRPr="00E54E0E" w14:paraId="519AF620"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06A7BB75"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Подгоренский</w:t>
            </w:r>
          </w:p>
        </w:tc>
        <w:tc>
          <w:tcPr>
            <w:tcW w:w="993" w:type="pct"/>
            <w:tcBorders>
              <w:top w:val="nil"/>
              <w:left w:val="nil"/>
              <w:bottom w:val="single" w:sz="4" w:space="0" w:color="auto"/>
              <w:right w:val="single" w:sz="4" w:space="0" w:color="auto"/>
            </w:tcBorders>
            <w:shd w:val="clear" w:color="auto" w:fill="auto"/>
            <w:noWrap/>
            <w:vAlign w:val="bottom"/>
            <w:hideMark/>
          </w:tcPr>
          <w:p w14:paraId="6BCF3DC9"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69,11</w:t>
            </w:r>
          </w:p>
        </w:tc>
        <w:tc>
          <w:tcPr>
            <w:tcW w:w="919" w:type="pct"/>
            <w:tcBorders>
              <w:top w:val="nil"/>
              <w:left w:val="nil"/>
              <w:bottom w:val="single" w:sz="4" w:space="0" w:color="auto"/>
              <w:right w:val="single" w:sz="4" w:space="0" w:color="auto"/>
            </w:tcBorders>
            <w:shd w:val="clear" w:color="auto" w:fill="auto"/>
            <w:noWrap/>
            <w:vAlign w:val="bottom"/>
            <w:hideMark/>
          </w:tcPr>
          <w:p w14:paraId="08823066"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69,11</w:t>
            </w:r>
          </w:p>
        </w:tc>
        <w:tc>
          <w:tcPr>
            <w:tcW w:w="1122" w:type="pct"/>
            <w:tcBorders>
              <w:top w:val="nil"/>
              <w:left w:val="nil"/>
              <w:bottom w:val="single" w:sz="4" w:space="0" w:color="auto"/>
              <w:right w:val="single" w:sz="4" w:space="0" w:color="auto"/>
            </w:tcBorders>
            <w:shd w:val="clear" w:color="auto" w:fill="auto"/>
            <w:noWrap/>
            <w:vAlign w:val="bottom"/>
            <w:hideMark/>
          </w:tcPr>
          <w:p w14:paraId="05876D95"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69,11</w:t>
            </w:r>
          </w:p>
        </w:tc>
        <w:tc>
          <w:tcPr>
            <w:tcW w:w="831" w:type="pct"/>
            <w:tcBorders>
              <w:top w:val="nil"/>
              <w:left w:val="nil"/>
              <w:bottom w:val="single" w:sz="4" w:space="0" w:color="auto"/>
              <w:right w:val="single" w:sz="4" w:space="0" w:color="auto"/>
            </w:tcBorders>
            <w:shd w:val="clear" w:color="auto" w:fill="auto"/>
            <w:noWrap/>
            <w:vAlign w:val="bottom"/>
            <w:hideMark/>
          </w:tcPr>
          <w:p w14:paraId="3783AD45"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w:t>
            </w:r>
          </w:p>
        </w:tc>
      </w:tr>
      <w:tr w:rsidR="00DB474C" w:rsidRPr="00E54E0E" w14:paraId="34255720"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40E0FD18"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Рамонский</w:t>
            </w:r>
          </w:p>
        </w:tc>
        <w:tc>
          <w:tcPr>
            <w:tcW w:w="993" w:type="pct"/>
            <w:tcBorders>
              <w:top w:val="nil"/>
              <w:left w:val="nil"/>
              <w:bottom w:val="single" w:sz="4" w:space="0" w:color="auto"/>
              <w:right w:val="single" w:sz="4" w:space="0" w:color="auto"/>
            </w:tcBorders>
            <w:shd w:val="clear" w:color="auto" w:fill="auto"/>
            <w:noWrap/>
            <w:vAlign w:val="bottom"/>
            <w:hideMark/>
          </w:tcPr>
          <w:p w14:paraId="125A68E6"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5,76</w:t>
            </w:r>
          </w:p>
        </w:tc>
        <w:tc>
          <w:tcPr>
            <w:tcW w:w="919" w:type="pct"/>
            <w:tcBorders>
              <w:top w:val="nil"/>
              <w:left w:val="nil"/>
              <w:bottom w:val="single" w:sz="4" w:space="0" w:color="auto"/>
              <w:right w:val="single" w:sz="4" w:space="0" w:color="auto"/>
            </w:tcBorders>
            <w:shd w:val="clear" w:color="auto" w:fill="auto"/>
            <w:noWrap/>
            <w:vAlign w:val="bottom"/>
            <w:hideMark/>
          </w:tcPr>
          <w:p w14:paraId="3176F79A"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474,83</w:t>
            </w:r>
          </w:p>
        </w:tc>
        <w:tc>
          <w:tcPr>
            <w:tcW w:w="1122" w:type="pct"/>
            <w:tcBorders>
              <w:top w:val="nil"/>
              <w:left w:val="nil"/>
              <w:bottom w:val="single" w:sz="4" w:space="0" w:color="auto"/>
              <w:right w:val="single" w:sz="4" w:space="0" w:color="auto"/>
            </w:tcBorders>
            <w:shd w:val="clear" w:color="auto" w:fill="auto"/>
            <w:noWrap/>
            <w:vAlign w:val="bottom"/>
            <w:hideMark/>
          </w:tcPr>
          <w:p w14:paraId="3C05A3B1"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13 242,85</w:t>
            </w:r>
          </w:p>
        </w:tc>
        <w:tc>
          <w:tcPr>
            <w:tcW w:w="831" w:type="pct"/>
            <w:tcBorders>
              <w:top w:val="nil"/>
              <w:left w:val="nil"/>
              <w:bottom w:val="single" w:sz="4" w:space="0" w:color="auto"/>
              <w:right w:val="single" w:sz="4" w:space="0" w:color="auto"/>
            </w:tcBorders>
            <w:shd w:val="clear" w:color="auto" w:fill="auto"/>
            <w:noWrap/>
            <w:vAlign w:val="bottom"/>
            <w:hideMark/>
          </w:tcPr>
          <w:p w14:paraId="3F65817C"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3879</w:t>
            </w:r>
          </w:p>
        </w:tc>
      </w:tr>
      <w:tr w:rsidR="00DB474C" w:rsidRPr="00E54E0E" w14:paraId="5CC44C5D"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178C41BE"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Репьевский</w:t>
            </w:r>
          </w:p>
        </w:tc>
        <w:tc>
          <w:tcPr>
            <w:tcW w:w="993" w:type="pct"/>
            <w:tcBorders>
              <w:top w:val="nil"/>
              <w:left w:val="nil"/>
              <w:bottom w:val="single" w:sz="4" w:space="0" w:color="auto"/>
              <w:right w:val="single" w:sz="4" w:space="0" w:color="auto"/>
            </w:tcBorders>
            <w:shd w:val="clear" w:color="auto" w:fill="auto"/>
            <w:noWrap/>
            <w:vAlign w:val="bottom"/>
            <w:hideMark/>
          </w:tcPr>
          <w:p w14:paraId="7AC2C4B3"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37,44</w:t>
            </w:r>
          </w:p>
        </w:tc>
        <w:tc>
          <w:tcPr>
            <w:tcW w:w="919" w:type="pct"/>
            <w:tcBorders>
              <w:top w:val="nil"/>
              <w:left w:val="nil"/>
              <w:bottom w:val="single" w:sz="4" w:space="0" w:color="auto"/>
              <w:right w:val="single" w:sz="4" w:space="0" w:color="auto"/>
            </w:tcBorders>
            <w:shd w:val="clear" w:color="auto" w:fill="auto"/>
            <w:noWrap/>
            <w:vAlign w:val="bottom"/>
            <w:hideMark/>
          </w:tcPr>
          <w:p w14:paraId="1D010D73"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37,44</w:t>
            </w:r>
          </w:p>
        </w:tc>
        <w:tc>
          <w:tcPr>
            <w:tcW w:w="1122" w:type="pct"/>
            <w:tcBorders>
              <w:top w:val="nil"/>
              <w:left w:val="nil"/>
              <w:bottom w:val="single" w:sz="4" w:space="0" w:color="auto"/>
              <w:right w:val="single" w:sz="4" w:space="0" w:color="auto"/>
            </w:tcBorders>
            <w:shd w:val="clear" w:color="auto" w:fill="auto"/>
            <w:noWrap/>
            <w:vAlign w:val="bottom"/>
            <w:hideMark/>
          </w:tcPr>
          <w:p w14:paraId="4C6DC985"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37,44</w:t>
            </w:r>
          </w:p>
        </w:tc>
        <w:tc>
          <w:tcPr>
            <w:tcW w:w="831" w:type="pct"/>
            <w:tcBorders>
              <w:top w:val="nil"/>
              <w:left w:val="nil"/>
              <w:bottom w:val="single" w:sz="4" w:space="0" w:color="auto"/>
              <w:right w:val="single" w:sz="4" w:space="0" w:color="auto"/>
            </w:tcBorders>
            <w:shd w:val="clear" w:color="auto" w:fill="auto"/>
            <w:noWrap/>
            <w:vAlign w:val="bottom"/>
            <w:hideMark/>
          </w:tcPr>
          <w:p w14:paraId="2AD8DDDE"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w:t>
            </w:r>
          </w:p>
        </w:tc>
      </w:tr>
      <w:tr w:rsidR="00DB474C" w:rsidRPr="00E54E0E" w14:paraId="26FC4BBE"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71B266E5"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Россошанский</w:t>
            </w:r>
          </w:p>
        </w:tc>
        <w:tc>
          <w:tcPr>
            <w:tcW w:w="993" w:type="pct"/>
            <w:tcBorders>
              <w:top w:val="nil"/>
              <w:left w:val="nil"/>
              <w:bottom w:val="single" w:sz="4" w:space="0" w:color="auto"/>
              <w:right w:val="single" w:sz="4" w:space="0" w:color="auto"/>
            </w:tcBorders>
            <w:shd w:val="clear" w:color="auto" w:fill="auto"/>
            <w:noWrap/>
            <w:vAlign w:val="bottom"/>
            <w:hideMark/>
          </w:tcPr>
          <w:p w14:paraId="64225A99"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6,24</w:t>
            </w:r>
          </w:p>
        </w:tc>
        <w:tc>
          <w:tcPr>
            <w:tcW w:w="919" w:type="pct"/>
            <w:tcBorders>
              <w:top w:val="nil"/>
              <w:left w:val="nil"/>
              <w:bottom w:val="single" w:sz="4" w:space="0" w:color="auto"/>
              <w:right w:val="single" w:sz="4" w:space="0" w:color="auto"/>
            </w:tcBorders>
            <w:shd w:val="clear" w:color="auto" w:fill="auto"/>
            <w:noWrap/>
            <w:vAlign w:val="bottom"/>
            <w:hideMark/>
          </w:tcPr>
          <w:p w14:paraId="14FA7FB8"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112,80</w:t>
            </w:r>
          </w:p>
        </w:tc>
        <w:tc>
          <w:tcPr>
            <w:tcW w:w="1122" w:type="pct"/>
            <w:tcBorders>
              <w:top w:val="nil"/>
              <w:left w:val="nil"/>
              <w:bottom w:val="single" w:sz="4" w:space="0" w:color="auto"/>
              <w:right w:val="single" w:sz="4" w:space="0" w:color="auto"/>
            </w:tcBorders>
            <w:shd w:val="clear" w:color="auto" w:fill="auto"/>
            <w:noWrap/>
            <w:vAlign w:val="bottom"/>
            <w:hideMark/>
          </w:tcPr>
          <w:p w14:paraId="69026B0A"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683,72</w:t>
            </w:r>
          </w:p>
        </w:tc>
        <w:tc>
          <w:tcPr>
            <w:tcW w:w="831" w:type="pct"/>
            <w:tcBorders>
              <w:top w:val="nil"/>
              <w:left w:val="nil"/>
              <w:bottom w:val="single" w:sz="4" w:space="0" w:color="auto"/>
              <w:right w:val="single" w:sz="4" w:space="0" w:color="auto"/>
            </w:tcBorders>
            <w:shd w:val="clear" w:color="auto" w:fill="auto"/>
            <w:noWrap/>
            <w:vAlign w:val="bottom"/>
            <w:hideMark/>
          </w:tcPr>
          <w:p w14:paraId="1CD15D7D"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153</w:t>
            </w:r>
          </w:p>
        </w:tc>
      </w:tr>
      <w:tr w:rsidR="00DB474C" w:rsidRPr="00E54E0E" w14:paraId="2B8D403D"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37F28EDE"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Семилукский</w:t>
            </w:r>
          </w:p>
        </w:tc>
        <w:tc>
          <w:tcPr>
            <w:tcW w:w="993" w:type="pct"/>
            <w:tcBorders>
              <w:top w:val="nil"/>
              <w:left w:val="nil"/>
              <w:bottom w:val="single" w:sz="4" w:space="0" w:color="auto"/>
              <w:right w:val="single" w:sz="4" w:space="0" w:color="auto"/>
            </w:tcBorders>
            <w:shd w:val="clear" w:color="auto" w:fill="auto"/>
            <w:noWrap/>
            <w:vAlign w:val="bottom"/>
            <w:hideMark/>
          </w:tcPr>
          <w:p w14:paraId="6F5FA221"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5,35</w:t>
            </w:r>
          </w:p>
        </w:tc>
        <w:tc>
          <w:tcPr>
            <w:tcW w:w="919" w:type="pct"/>
            <w:tcBorders>
              <w:top w:val="nil"/>
              <w:left w:val="nil"/>
              <w:bottom w:val="single" w:sz="4" w:space="0" w:color="auto"/>
              <w:right w:val="single" w:sz="4" w:space="0" w:color="auto"/>
            </w:tcBorders>
            <w:shd w:val="clear" w:color="auto" w:fill="auto"/>
            <w:noWrap/>
            <w:vAlign w:val="bottom"/>
            <w:hideMark/>
          </w:tcPr>
          <w:p w14:paraId="42DBB0C4"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272,45</w:t>
            </w:r>
          </w:p>
        </w:tc>
        <w:tc>
          <w:tcPr>
            <w:tcW w:w="1122" w:type="pct"/>
            <w:tcBorders>
              <w:top w:val="nil"/>
              <w:left w:val="nil"/>
              <w:bottom w:val="single" w:sz="4" w:space="0" w:color="auto"/>
              <w:right w:val="single" w:sz="4" w:space="0" w:color="auto"/>
            </w:tcBorders>
            <w:shd w:val="clear" w:color="auto" w:fill="auto"/>
            <w:noWrap/>
            <w:vAlign w:val="bottom"/>
            <w:hideMark/>
          </w:tcPr>
          <w:p w14:paraId="011934E3"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13 386,00</w:t>
            </w:r>
          </w:p>
        </w:tc>
        <w:tc>
          <w:tcPr>
            <w:tcW w:w="831" w:type="pct"/>
            <w:tcBorders>
              <w:top w:val="nil"/>
              <w:left w:val="nil"/>
              <w:bottom w:val="single" w:sz="4" w:space="0" w:color="auto"/>
              <w:right w:val="single" w:sz="4" w:space="0" w:color="auto"/>
            </w:tcBorders>
            <w:shd w:val="clear" w:color="auto" w:fill="auto"/>
            <w:noWrap/>
            <w:vAlign w:val="bottom"/>
            <w:hideMark/>
          </w:tcPr>
          <w:p w14:paraId="3F0E883C"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2309</w:t>
            </w:r>
          </w:p>
        </w:tc>
      </w:tr>
      <w:tr w:rsidR="00DB474C" w:rsidRPr="00E54E0E" w14:paraId="300C16FA"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64E62C50"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Таловский</w:t>
            </w:r>
          </w:p>
        </w:tc>
        <w:tc>
          <w:tcPr>
            <w:tcW w:w="993" w:type="pct"/>
            <w:tcBorders>
              <w:top w:val="nil"/>
              <w:left w:val="nil"/>
              <w:bottom w:val="single" w:sz="4" w:space="0" w:color="auto"/>
              <w:right w:val="single" w:sz="4" w:space="0" w:color="auto"/>
            </w:tcBorders>
            <w:shd w:val="clear" w:color="auto" w:fill="auto"/>
            <w:noWrap/>
            <w:vAlign w:val="bottom"/>
            <w:hideMark/>
          </w:tcPr>
          <w:p w14:paraId="6D3EF631"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21,80</w:t>
            </w:r>
          </w:p>
        </w:tc>
        <w:tc>
          <w:tcPr>
            <w:tcW w:w="919" w:type="pct"/>
            <w:tcBorders>
              <w:top w:val="nil"/>
              <w:left w:val="nil"/>
              <w:bottom w:val="single" w:sz="4" w:space="0" w:color="auto"/>
              <w:right w:val="single" w:sz="4" w:space="0" w:color="auto"/>
            </w:tcBorders>
            <w:shd w:val="clear" w:color="auto" w:fill="auto"/>
            <w:noWrap/>
            <w:vAlign w:val="bottom"/>
            <w:hideMark/>
          </w:tcPr>
          <w:p w14:paraId="23779CAE"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43,67</w:t>
            </w:r>
          </w:p>
        </w:tc>
        <w:tc>
          <w:tcPr>
            <w:tcW w:w="1122" w:type="pct"/>
            <w:tcBorders>
              <w:top w:val="nil"/>
              <w:left w:val="nil"/>
              <w:bottom w:val="single" w:sz="4" w:space="0" w:color="auto"/>
              <w:right w:val="single" w:sz="4" w:space="0" w:color="auto"/>
            </w:tcBorders>
            <w:shd w:val="clear" w:color="auto" w:fill="auto"/>
            <w:noWrap/>
            <w:vAlign w:val="bottom"/>
            <w:hideMark/>
          </w:tcPr>
          <w:p w14:paraId="3EC281D3"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52,52</w:t>
            </w:r>
          </w:p>
        </w:tc>
        <w:tc>
          <w:tcPr>
            <w:tcW w:w="831" w:type="pct"/>
            <w:tcBorders>
              <w:top w:val="nil"/>
              <w:left w:val="nil"/>
              <w:bottom w:val="single" w:sz="4" w:space="0" w:color="auto"/>
              <w:right w:val="single" w:sz="4" w:space="0" w:color="auto"/>
            </w:tcBorders>
            <w:shd w:val="clear" w:color="auto" w:fill="auto"/>
            <w:noWrap/>
            <w:vAlign w:val="bottom"/>
            <w:hideMark/>
          </w:tcPr>
          <w:p w14:paraId="46FB417C"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7</w:t>
            </w:r>
          </w:p>
        </w:tc>
      </w:tr>
      <w:tr w:rsidR="00DB474C" w:rsidRPr="00E54E0E" w14:paraId="6308D48E"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5ADA41FF"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Терновский</w:t>
            </w:r>
          </w:p>
        </w:tc>
        <w:tc>
          <w:tcPr>
            <w:tcW w:w="993" w:type="pct"/>
            <w:tcBorders>
              <w:top w:val="nil"/>
              <w:left w:val="nil"/>
              <w:bottom w:val="single" w:sz="4" w:space="0" w:color="auto"/>
              <w:right w:val="single" w:sz="4" w:space="0" w:color="auto"/>
            </w:tcBorders>
            <w:shd w:val="clear" w:color="auto" w:fill="auto"/>
            <w:noWrap/>
            <w:vAlign w:val="bottom"/>
            <w:hideMark/>
          </w:tcPr>
          <w:p w14:paraId="0222B0ED"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c>
          <w:tcPr>
            <w:tcW w:w="919" w:type="pct"/>
            <w:tcBorders>
              <w:top w:val="nil"/>
              <w:left w:val="nil"/>
              <w:bottom w:val="single" w:sz="4" w:space="0" w:color="auto"/>
              <w:right w:val="single" w:sz="4" w:space="0" w:color="auto"/>
            </w:tcBorders>
            <w:shd w:val="clear" w:color="auto" w:fill="auto"/>
            <w:noWrap/>
            <w:vAlign w:val="bottom"/>
            <w:hideMark/>
          </w:tcPr>
          <w:p w14:paraId="07EA2D0C"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c>
          <w:tcPr>
            <w:tcW w:w="1122" w:type="pct"/>
            <w:tcBorders>
              <w:top w:val="nil"/>
              <w:left w:val="nil"/>
              <w:bottom w:val="single" w:sz="4" w:space="0" w:color="auto"/>
              <w:right w:val="single" w:sz="4" w:space="0" w:color="auto"/>
            </w:tcBorders>
            <w:shd w:val="clear" w:color="auto" w:fill="auto"/>
            <w:noWrap/>
            <w:vAlign w:val="bottom"/>
            <w:hideMark/>
          </w:tcPr>
          <w:p w14:paraId="3DCEDAA3"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c>
          <w:tcPr>
            <w:tcW w:w="831" w:type="pct"/>
            <w:tcBorders>
              <w:top w:val="nil"/>
              <w:left w:val="nil"/>
              <w:bottom w:val="single" w:sz="4" w:space="0" w:color="auto"/>
              <w:right w:val="single" w:sz="4" w:space="0" w:color="auto"/>
            </w:tcBorders>
            <w:shd w:val="clear" w:color="auto" w:fill="auto"/>
            <w:noWrap/>
            <w:vAlign w:val="bottom"/>
            <w:hideMark/>
          </w:tcPr>
          <w:p w14:paraId="43A66F4E"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r>
      <w:tr w:rsidR="00DB474C" w:rsidRPr="00E54E0E" w14:paraId="73BA49C4"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64CF47E4"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Хохольский</w:t>
            </w:r>
          </w:p>
        </w:tc>
        <w:tc>
          <w:tcPr>
            <w:tcW w:w="993" w:type="pct"/>
            <w:tcBorders>
              <w:top w:val="nil"/>
              <w:left w:val="nil"/>
              <w:bottom w:val="single" w:sz="4" w:space="0" w:color="auto"/>
              <w:right w:val="single" w:sz="4" w:space="0" w:color="auto"/>
            </w:tcBorders>
            <w:shd w:val="clear" w:color="auto" w:fill="auto"/>
            <w:noWrap/>
            <w:vAlign w:val="bottom"/>
            <w:hideMark/>
          </w:tcPr>
          <w:p w14:paraId="7F05DCC7"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10,52</w:t>
            </w:r>
          </w:p>
        </w:tc>
        <w:tc>
          <w:tcPr>
            <w:tcW w:w="919" w:type="pct"/>
            <w:tcBorders>
              <w:top w:val="nil"/>
              <w:left w:val="nil"/>
              <w:bottom w:val="single" w:sz="4" w:space="0" w:color="auto"/>
              <w:right w:val="single" w:sz="4" w:space="0" w:color="auto"/>
            </w:tcBorders>
            <w:shd w:val="clear" w:color="auto" w:fill="auto"/>
            <w:noWrap/>
            <w:vAlign w:val="bottom"/>
            <w:hideMark/>
          </w:tcPr>
          <w:p w14:paraId="1EF3AE2A"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235,90</w:t>
            </w:r>
          </w:p>
        </w:tc>
        <w:tc>
          <w:tcPr>
            <w:tcW w:w="1122" w:type="pct"/>
            <w:tcBorders>
              <w:top w:val="nil"/>
              <w:left w:val="nil"/>
              <w:bottom w:val="single" w:sz="4" w:space="0" w:color="auto"/>
              <w:right w:val="single" w:sz="4" w:space="0" w:color="auto"/>
            </w:tcBorders>
            <w:shd w:val="clear" w:color="auto" w:fill="auto"/>
            <w:noWrap/>
            <w:vAlign w:val="bottom"/>
            <w:hideMark/>
          </w:tcPr>
          <w:p w14:paraId="056D3C15"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1 788,89</w:t>
            </w:r>
          </w:p>
        </w:tc>
        <w:tc>
          <w:tcPr>
            <w:tcW w:w="831" w:type="pct"/>
            <w:tcBorders>
              <w:top w:val="nil"/>
              <w:left w:val="nil"/>
              <w:bottom w:val="single" w:sz="4" w:space="0" w:color="auto"/>
              <w:right w:val="single" w:sz="4" w:space="0" w:color="auto"/>
            </w:tcBorders>
            <w:shd w:val="clear" w:color="auto" w:fill="auto"/>
            <w:noWrap/>
            <w:vAlign w:val="bottom"/>
            <w:hideMark/>
          </w:tcPr>
          <w:p w14:paraId="4AA6954B"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793</w:t>
            </w:r>
          </w:p>
        </w:tc>
      </w:tr>
      <w:tr w:rsidR="00DB474C" w:rsidRPr="00E54E0E" w14:paraId="76653595"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4CACD725"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Эртильский</w:t>
            </w:r>
          </w:p>
        </w:tc>
        <w:tc>
          <w:tcPr>
            <w:tcW w:w="993" w:type="pct"/>
            <w:tcBorders>
              <w:top w:val="nil"/>
              <w:left w:val="nil"/>
              <w:bottom w:val="single" w:sz="4" w:space="0" w:color="auto"/>
              <w:right w:val="single" w:sz="4" w:space="0" w:color="auto"/>
            </w:tcBorders>
            <w:shd w:val="clear" w:color="auto" w:fill="auto"/>
            <w:noWrap/>
            <w:vAlign w:val="bottom"/>
            <w:hideMark/>
          </w:tcPr>
          <w:p w14:paraId="1DC6727F"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c>
          <w:tcPr>
            <w:tcW w:w="919" w:type="pct"/>
            <w:tcBorders>
              <w:top w:val="nil"/>
              <w:left w:val="nil"/>
              <w:bottom w:val="single" w:sz="4" w:space="0" w:color="auto"/>
              <w:right w:val="single" w:sz="4" w:space="0" w:color="auto"/>
            </w:tcBorders>
            <w:shd w:val="clear" w:color="auto" w:fill="auto"/>
            <w:noWrap/>
            <w:vAlign w:val="bottom"/>
            <w:hideMark/>
          </w:tcPr>
          <w:p w14:paraId="6123339F"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c>
          <w:tcPr>
            <w:tcW w:w="1122" w:type="pct"/>
            <w:tcBorders>
              <w:top w:val="nil"/>
              <w:left w:val="nil"/>
              <w:bottom w:val="single" w:sz="4" w:space="0" w:color="auto"/>
              <w:right w:val="single" w:sz="4" w:space="0" w:color="auto"/>
            </w:tcBorders>
            <w:shd w:val="clear" w:color="auto" w:fill="auto"/>
            <w:noWrap/>
            <w:vAlign w:val="bottom"/>
            <w:hideMark/>
          </w:tcPr>
          <w:p w14:paraId="1E805187"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c>
          <w:tcPr>
            <w:tcW w:w="831" w:type="pct"/>
            <w:tcBorders>
              <w:top w:val="nil"/>
              <w:left w:val="nil"/>
              <w:bottom w:val="single" w:sz="4" w:space="0" w:color="auto"/>
              <w:right w:val="single" w:sz="4" w:space="0" w:color="auto"/>
            </w:tcBorders>
            <w:shd w:val="clear" w:color="auto" w:fill="auto"/>
            <w:noWrap/>
            <w:vAlign w:val="bottom"/>
            <w:hideMark/>
          </w:tcPr>
          <w:p w14:paraId="3BC457B3"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w:t>
            </w:r>
          </w:p>
        </w:tc>
      </w:tr>
      <w:tr w:rsidR="00DB474C" w:rsidRPr="00E54E0E" w14:paraId="5E78C9C1"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23C580E1"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г.о.г. Нововоронеж</w:t>
            </w:r>
          </w:p>
        </w:tc>
        <w:tc>
          <w:tcPr>
            <w:tcW w:w="993" w:type="pct"/>
            <w:tcBorders>
              <w:top w:val="nil"/>
              <w:left w:val="nil"/>
              <w:bottom w:val="single" w:sz="4" w:space="0" w:color="auto"/>
              <w:right w:val="single" w:sz="4" w:space="0" w:color="auto"/>
            </w:tcBorders>
            <w:shd w:val="clear" w:color="auto" w:fill="auto"/>
            <w:noWrap/>
            <w:vAlign w:val="bottom"/>
            <w:hideMark/>
          </w:tcPr>
          <w:p w14:paraId="6AEDF301"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10,90</w:t>
            </w:r>
          </w:p>
        </w:tc>
        <w:tc>
          <w:tcPr>
            <w:tcW w:w="919" w:type="pct"/>
            <w:tcBorders>
              <w:top w:val="nil"/>
              <w:left w:val="nil"/>
              <w:bottom w:val="single" w:sz="4" w:space="0" w:color="auto"/>
              <w:right w:val="single" w:sz="4" w:space="0" w:color="auto"/>
            </w:tcBorders>
            <w:shd w:val="clear" w:color="auto" w:fill="auto"/>
            <w:noWrap/>
            <w:vAlign w:val="bottom"/>
            <w:hideMark/>
          </w:tcPr>
          <w:p w14:paraId="45906134"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238,31</w:t>
            </w:r>
          </w:p>
        </w:tc>
        <w:tc>
          <w:tcPr>
            <w:tcW w:w="1122" w:type="pct"/>
            <w:tcBorders>
              <w:top w:val="nil"/>
              <w:left w:val="nil"/>
              <w:bottom w:val="single" w:sz="4" w:space="0" w:color="auto"/>
              <w:right w:val="single" w:sz="4" w:space="0" w:color="auto"/>
            </w:tcBorders>
            <w:shd w:val="clear" w:color="auto" w:fill="auto"/>
            <w:noWrap/>
            <w:vAlign w:val="bottom"/>
            <w:hideMark/>
          </w:tcPr>
          <w:p w14:paraId="4EEDDAD6"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1 469,58</w:t>
            </w:r>
          </w:p>
        </w:tc>
        <w:tc>
          <w:tcPr>
            <w:tcW w:w="831" w:type="pct"/>
            <w:tcBorders>
              <w:top w:val="nil"/>
              <w:left w:val="nil"/>
              <w:bottom w:val="single" w:sz="4" w:space="0" w:color="auto"/>
              <w:right w:val="single" w:sz="4" w:space="0" w:color="auto"/>
            </w:tcBorders>
            <w:shd w:val="clear" w:color="auto" w:fill="auto"/>
            <w:noWrap/>
            <w:vAlign w:val="bottom"/>
            <w:hideMark/>
          </w:tcPr>
          <w:p w14:paraId="15F12082"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378</w:t>
            </w:r>
          </w:p>
        </w:tc>
      </w:tr>
      <w:tr w:rsidR="00DB474C" w:rsidRPr="00E54E0E" w14:paraId="2774FBD0"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5AE0E999" w14:textId="77777777" w:rsidR="00DB474C" w:rsidRPr="00E54E0E" w:rsidRDefault="00DB474C" w:rsidP="00DB474C">
            <w:pPr>
              <w:spacing w:after="0" w:line="240" w:lineRule="auto"/>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г.о.г. Воронеж</w:t>
            </w:r>
          </w:p>
        </w:tc>
        <w:tc>
          <w:tcPr>
            <w:tcW w:w="993" w:type="pct"/>
            <w:tcBorders>
              <w:top w:val="nil"/>
              <w:left w:val="nil"/>
              <w:bottom w:val="single" w:sz="4" w:space="0" w:color="auto"/>
              <w:right w:val="single" w:sz="4" w:space="0" w:color="auto"/>
            </w:tcBorders>
            <w:shd w:val="clear" w:color="auto" w:fill="auto"/>
            <w:noWrap/>
            <w:vAlign w:val="bottom"/>
            <w:hideMark/>
          </w:tcPr>
          <w:p w14:paraId="016E6F6C"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11,75</w:t>
            </w:r>
          </w:p>
        </w:tc>
        <w:tc>
          <w:tcPr>
            <w:tcW w:w="919" w:type="pct"/>
            <w:tcBorders>
              <w:top w:val="nil"/>
              <w:left w:val="nil"/>
              <w:bottom w:val="single" w:sz="4" w:space="0" w:color="auto"/>
              <w:right w:val="single" w:sz="4" w:space="0" w:color="auto"/>
            </w:tcBorders>
            <w:shd w:val="clear" w:color="auto" w:fill="auto"/>
            <w:noWrap/>
            <w:vAlign w:val="bottom"/>
            <w:hideMark/>
          </w:tcPr>
          <w:p w14:paraId="04B537BD"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626,21</w:t>
            </w:r>
          </w:p>
        </w:tc>
        <w:tc>
          <w:tcPr>
            <w:tcW w:w="1122" w:type="pct"/>
            <w:tcBorders>
              <w:top w:val="nil"/>
              <w:left w:val="nil"/>
              <w:bottom w:val="single" w:sz="4" w:space="0" w:color="auto"/>
              <w:right w:val="single" w:sz="4" w:space="0" w:color="auto"/>
            </w:tcBorders>
            <w:shd w:val="clear" w:color="auto" w:fill="auto"/>
            <w:noWrap/>
            <w:vAlign w:val="bottom"/>
            <w:hideMark/>
          </w:tcPr>
          <w:p w14:paraId="3727F54D"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15 136,00</w:t>
            </w:r>
          </w:p>
        </w:tc>
        <w:tc>
          <w:tcPr>
            <w:tcW w:w="831" w:type="pct"/>
            <w:tcBorders>
              <w:top w:val="nil"/>
              <w:left w:val="nil"/>
              <w:bottom w:val="single" w:sz="4" w:space="0" w:color="auto"/>
              <w:right w:val="single" w:sz="4" w:space="0" w:color="auto"/>
            </w:tcBorders>
            <w:shd w:val="clear" w:color="auto" w:fill="auto"/>
            <w:noWrap/>
            <w:vAlign w:val="bottom"/>
            <w:hideMark/>
          </w:tcPr>
          <w:p w14:paraId="12FA4D52" w14:textId="77777777" w:rsidR="00DB474C" w:rsidRPr="00E54E0E" w:rsidRDefault="00DB474C" w:rsidP="00DB474C">
            <w:pPr>
              <w:spacing w:after="0" w:line="240" w:lineRule="auto"/>
              <w:jc w:val="right"/>
              <w:rPr>
                <w:rFonts w:ascii="Times New Roman" w:eastAsia="Times New Roman" w:hAnsi="Times New Roman" w:cs="Times New Roman"/>
                <w:color w:val="000000"/>
                <w:lang w:eastAsia="ru-RU"/>
              </w:rPr>
            </w:pPr>
            <w:r w:rsidRPr="00E54E0E">
              <w:rPr>
                <w:rFonts w:ascii="Times New Roman" w:eastAsia="Times New Roman" w:hAnsi="Times New Roman" w:cs="Times New Roman"/>
                <w:color w:val="000000"/>
                <w:lang w:eastAsia="ru-RU"/>
              </w:rPr>
              <w:t>3611</w:t>
            </w:r>
          </w:p>
        </w:tc>
      </w:tr>
      <w:tr w:rsidR="00DB474C" w:rsidRPr="00E54E0E" w14:paraId="43A9E051" w14:textId="77777777" w:rsidTr="00DB474C">
        <w:trPr>
          <w:trHeight w:val="300"/>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4DED16CE" w14:textId="77777777" w:rsidR="00DB474C" w:rsidRPr="00E54E0E" w:rsidRDefault="00DB474C" w:rsidP="00DB474C">
            <w:pPr>
              <w:spacing w:after="0" w:line="240" w:lineRule="auto"/>
              <w:rPr>
                <w:rFonts w:ascii="Times New Roman" w:eastAsia="Times New Roman" w:hAnsi="Times New Roman" w:cs="Times New Roman"/>
                <w:b/>
                <w:color w:val="000000"/>
                <w:lang w:eastAsia="ru-RU"/>
              </w:rPr>
            </w:pPr>
            <w:r w:rsidRPr="00E54E0E">
              <w:rPr>
                <w:rFonts w:ascii="Times New Roman" w:eastAsia="Times New Roman" w:hAnsi="Times New Roman" w:cs="Times New Roman"/>
                <w:b/>
                <w:color w:val="000000"/>
                <w:lang w:eastAsia="ru-RU"/>
              </w:rPr>
              <w:t>Общий итог</w:t>
            </w:r>
          </w:p>
        </w:tc>
        <w:tc>
          <w:tcPr>
            <w:tcW w:w="993" w:type="pct"/>
            <w:tcBorders>
              <w:top w:val="nil"/>
              <w:left w:val="nil"/>
              <w:bottom w:val="single" w:sz="4" w:space="0" w:color="auto"/>
              <w:right w:val="single" w:sz="4" w:space="0" w:color="auto"/>
            </w:tcBorders>
            <w:shd w:val="clear" w:color="auto" w:fill="auto"/>
            <w:noWrap/>
            <w:vAlign w:val="bottom"/>
            <w:hideMark/>
          </w:tcPr>
          <w:p w14:paraId="1B90B82D" w14:textId="77777777" w:rsidR="00DB474C" w:rsidRPr="00E54E0E" w:rsidRDefault="00DB474C" w:rsidP="00DB474C">
            <w:pPr>
              <w:spacing w:after="0" w:line="240" w:lineRule="auto"/>
              <w:jc w:val="right"/>
              <w:rPr>
                <w:rFonts w:ascii="Times New Roman" w:eastAsia="Times New Roman" w:hAnsi="Times New Roman" w:cs="Times New Roman"/>
                <w:b/>
                <w:color w:val="000000"/>
                <w:lang w:eastAsia="ru-RU"/>
              </w:rPr>
            </w:pPr>
            <w:r w:rsidRPr="00E54E0E">
              <w:rPr>
                <w:rFonts w:ascii="Times New Roman" w:eastAsia="Times New Roman" w:hAnsi="Times New Roman" w:cs="Times New Roman"/>
                <w:b/>
                <w:color w:val="000000"/>
                <w:lang w:eastAsia="ru-RU"/>
              </w:rPr>
              <w:t>5,20</w:t>
            </w:r>
          </w:p>
        </w:tc>
        <w:tc>
          <w:tcPr>
            <w:tcW w:w="919" w:type="pct"/>
            <w:tcBorders>
              <w:top w:val="nil"/>
              <w:left w:val="nil"/>
              <w:bottom w:val="single" w:sz="4" w:space="0" w:color="auto"/>
              <w:right w:val="single" w:sz="4" w:space="0" w:color="auto"/>
            </w:tcBorders>
            <w:shd w:val="clear" w:color="auto" w:fill="auto"/>
            <w:noWrap/>
            <w:vAlign w:val="bottom"/>
            <w:hideMark/>
          </w:tcPr>
          <w:p w14:paraId="19F659F0" w14:textId="77777777" w:rsidR="00DB474C" w:rsidRPr="00E54E0E" w:rsidRDefault="00DB474C" w:rsidP="00DB474C">
            <w:pPr>
              <w:spacing w:after="0" w:line="240" w:lineRule="auto"/>
              <w:jc w:val="right"/>
              <w:rPr>
                <w:rFonts w:ascii="Times New Roman" w:eastAsia="Times New Roman" w:hAnsi="Times New Roman" w:cs="Times New Roman"/>
                <w:b/>
                <w:color w:val="000000"/>
                <w:lang w:eastAsia="ru-RU"/>
              </w:rPr>
            </w:pPr>
            <w:r w:rsidRPr="00E54E0E">
              <w:rPr>
                <w:rFonts w:ascii="Times New Roman" w:eastAsia="Times New Roman" w:hAnsi="Times New Roman" w:cs="Times New Roman"/>
                <w:b/>
                <w:color w:val="000000"/>
                <w:lang w:eastAsia="ru-RU"/>
              </w:rPr>
              <w:t>413,39</w:t>
            </w:r>
          </w:p>
        </w:tc>
        <w:tc>
          <w:tcPr>
            <w:tcW w:w="1122" w:type="pct"/>
            <w:tcBorders>
              <w:top w:val="nil"/>
              <w:left w:val="nil"/>
              <w:bottom w:val="single" w:sz="4" w:space="0" w:color="auto"/>
              <w:right w:val="single" w:sz="4" w:space="0" w:color="auto"/>
            </w:tcBorders>
            <w:shd w:val="clear" w:color="auto" w:fill="auto"/>
            <w:noWrap/>
            <w:vAlign w:val="bottom"/>
            <w:hideMark/>
          </w:tcPr>
          <w:p w14:paraId="1AE4F986" w14:textId="77777777" w:rsidR="00DB474C" w:rsidRPr="00E54E0E" w:rsidRDefault="00DB474C" w:rsidP="00DB474C">
            <w:pPr>
              <w:spacing w:after="0" w:line="240" w:lineRule="auto"/>
              <w:jc w:val="right"/>
              <w:rPr>
                <w:rFonts w:ascii="Times New Roman" w:eastAsia="Times New Roman" w:hAnsi="Times New Roman" w:cs="Times New Roman"/>
                <w:b/>
                <w:color w:val="000000"/>
                <w:lang w:eastAsia="ru-RU"/>
              </w:rPr>
            </w:pPr>
            <w:r w:rsidRPr="00E54E0E">
              <w:rPr>
                <w:rFonts w:ascii="Times New Roman" w:eastAsia="Times New Roman" w:hAnsi="Times New Roman" w:cs="Times New Roman"/>
                <w:b/>
                <w:color w:val="000000"/>
                <w:lang w:eastAsia="ru-RU"/>
              </w:rPr>
              <w:t>15 136,00</w:t>
            </w:r>
          </w:p>
        </w:tc>
        <w:tc>
          <w:tcPr>
            <w:tcW w:w="831" w:type="pct"/>
            <w:tcBorders>
              <w:top w:val="nil"/>
              <w:left w:val="nil"/>
              <w:bottom w:val="single" w:sz="4" w:space="0" w:color="auto"/>
              <w:right w:val="single" w:sz="4" w:space="0" w:color="auto"/>
            </w:tcBorders>
            <w:shd w:val="clear" w:color="auto" w:fill="auto"/>
            <w:noWrap/>
            <w:vAlign w:val="bottom"/>
            <w:hideMark/>
          </w:tcPr>
          <w:p w14:paraId="5D453908" w14:textId="77777777" w:rsidR="00DB474C" w:rsidRPr="00E54E0E" w:rsidRDefault="00DB474C" w:rsidP="00DB474C">
            <w:pPr>
              <w:spacing w:after="0" w:line="240" w:lineRule="auto"/>
              <w:jc w:val="right"/>
              <w:rPr>
                <w:rFonts w:ascii="Times New Roman" w:eastAsia="Times New Roman" w:hAnsi="Times New Roman" w:cs="Times New Roman"/>
                <w:b/>
                <w:color w:val="000000"/>
                <w:lang w:eastAsia="ru-RU"/>
              </w:rPr>
            </w:pPr>
            <w:r w:rsidRPr="00E54E0E">
              <w:rPr>
                <w:rFonts w:ascii="Times New Roman" w:eastAsia="Times New Roman" w:hAnsi="Times New Roman" w:cs="Times New Roman"/>
                <w:b/>
                <w:color w:val="000000"/>
                <w:lang w:eastAsia="ru-RU"/>
              </w:rPr>
              <w:t>13878</w:t>
            </w:r>
          </w:p>
        </w:tc>
      </w:tr>
    </w:tbl>
    <w:p w14:paraId="670F594B" w14:textId="77777777" w:rsidR="00DB474C" w:rsidRDefault="00DB474C" w:rsidP="00DB474C">
      <w:pPr>
        <w:spacing w:before="120"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Н</w:t>
      </w:r>
      <w:r w:rsidRPr="00AE5EEE">
        <w:rPr>
          <w:rFonts w:ascii="Times New Roman" w:hAnsi="Times New Roman" w:cs="Times New Roman"/>
          <w:sz w:val="26"/>
          <w:szCs w:val="26"/>
        </w:rPr>
        <w:t xml:space="preserve">аибольшее количество среди районов Воронежской области представлено в Рамонском районе- </w:t>
      </w:r>
      <w:r>
        <w:rPr>
          <w:rFonts w:ascii="Times New Roman" w:hAnsi="Times New Roman" w:cs="Times New Roman"/>
          <w:sz w:val="26"/>
          <w:szCs w:val="26"/>
        </w:rPr>
        <w:t>3 879</w:t>
      </w:r>
      <w:r w:rsidRPr="00AE5EEE">
        <w:rPr>
          <w:rFonts w:ascii="Times New Roman" w:hAnsi="Times New Roman" w:cs="Times New Roman"/>
          <w:sz w:val="26"/>
          <w:szCs w:val="26"/>
        </w:rPr>
        <w:t xml:space="preserve"> предложений (сделок), что составляет </w:t>
      </w:r>
      <w:r>
        <w:rPr>
          <w:rFonts w:ascii="Times New Roman" w:hAnsi="Times New Roman" w:cs="Times New Roman"/>
          <w:sz w:val="26"/>
          <w:szCs w:val="26"/>
        </w:rPr>
        <w:t>27,95</w:t>
      </w:r>
      <w:r w:rsidRPr="00AE5EEE">
        <w:rPr>
          <w:rFonts w:ascii="Times New Roman" w:hAnsi="Times New Roman" w:cs="Times New Roman"/>
          <w:sz w:val="26"/>
          <w:szCs w:val="26"/>
        </w:rPr>
        <w:t xml:space="preserve">% от общего количества; в </w:t>
      </w:r>
      <w:r>
        <w:rPr>
          <w:rFonts w:ascii="Times New Roman" w:hAnsi="Times New Roman" w:cs="Times New Roman"/>
          <w:sz w:val="26"/>
          <w:szCs w:val="26"/>
        </w:rPr>
        <w:t>Семилукском</w:t>
      </w:r>
      <w:r w:rsidRPr="00AE5EEE">
        <w:rPr>
          <w:rFonts w:ascii="Times New Roman" w:hAnsi="Times New Roman" w:cs="Times New Roman"/>
          <w:sz w:val="26"/>
          <w:szCs w:val="26"/>
        </w:rPr>
        <w:t xml:space="preserve"> районе представлено </w:t>
      </w:r>
      <w:r>
        <w:rPr>
          <w:rFonts w:ascii="Times New Roman" w:hAnsi="Times New Roman" w:cs="Times New Roman"/>
          <w:sz w:val="26"/>
          <w:szCs w:val="26"/>
        </w:rPr>
        <w:t>2 309</w:t>
      </w:r>
      <w:r w:rsidRPr="00AE5EEE">
        <w:rPr>
          <w:rFonts w:ascii="Times New Roman" w:hAnsi="Times New Roman" w:cs="Times New Roman"/>
          <w:sz w:val="26"/>
          <w:szCs w:val="26"/>
        </w:rPr>
        <w:t xml:space="preserve"> предложени</w:t>
      </w:r>
      <w:r>
        <w:rPr>
          <w:rFonts w:ascii="Times New Roman" w:hAnsi="Times New Roman" w:cs="Times New Roman"/>
          <w:sz w:val="26"/>
          <w:szCs w:val="26"/>
        </w:rPr>
        <w:t>й</w:t>
      </w:r>
      <w:r w:rsidRPr="00AE5EEE">
        <w:rPr>
          <w:rFonts w:ascii="Times New Roman" w:hAnsi="Times New Roman" w:cs="Times New Roman"/>
          <w:sz w:val="26"/>
          <w:szCs w:val="26"/>
        </w:rPr>
        <w:t xml:space="preserve"> (сдел</w:t>
      </w:r>
      <w:r>
        <w:rPr>
          <w:rFonts w:ascii="Times New Roman" w:hAnsi="Times New Roman" w:cs="Times New Roman"/>
          <w:sz w:val="26"/>
          <w:szCs w:val="26"/>
        </w:rPr>
        <w:t>ок</w:t>
      </w:r>
      <w:r w:rsidRPr="00AE5EEE">
        <w:rPr>
          <w:rFonts w:ascii="Times New Roman" w:hAnsi="Times New Roman" w:cs="Times New Roman"/>
          <w:sz w:val="26"/>
          <w:szCs w:val="26"/>
        </w:rPr>
        <w:t>)- 1</w:t>
      </w:r>
      <w:r>
        <w:rPr>
          <w:rFonts w:ascii="Times New Roman" w:hAnsi="Times New Roman" w:cs="Times New Roman"/>
          <w:sz w:val="26"/>
          <w:szCs w:val="26"/>
        </w:rPr>
        <w:t>6</w:t>
      </w:r>
      <w:r w:rsidRPr="00AE5EEE">
        <w:rPr>
          <w:rFonts w:ascii="Times New Roman" w:hAnsi="Times New Roman" w:cs="Times New Roman"/>
          <w:sz w:val="26"/>
          <w:szCs w:val="26"/>
        </w:rPr>
        <w:t>,</w:t>
      </w:r>
      <w:r>
        <w:rPr>
          <w:rFonts w:ascii="Times New Roman" w:hAnsi="Times New Roman" w:cs="Times New Roman"/>
          <w:sz w:val="26"/>
          <w:szCs w:val="26"/>
        </w:rPr>
        <w:t>64</w:t>
      </w:r>
      <w:r w:rsidRPr="00AE5EEE">
        <w:rPr>
          <w:rFonts w:ascii="Times New Roman" w:hAnsi="Times New Roman" w:cs="Times New Roman"/>
          <w:sz w:val="26"/>
          <w:szCs w:val="26"/>
        </w:rPr>
        <w:t xml:space="preserve">% от общего количества, в </w:t>
      </w:r>
      <w:r>
        <w:rPr>
          <w:rFonts w:ascii="Times New Roman" w:hAnsi="Times New Roman" w:cs="Times New Roman"/>
          <w:sz w:val="26"/>
          <w:szCs w:val="26"/>
        </w:rPr>
        <w:t>Новоусманском</w:t>
      </w:r>
      <w:r w:rsidRPr="00AE5EEE">
        <w:rPr>
          <w:rFonts w:ascii="Times New Roman" w:hAnsi="Times New Roman" w:cs="Times New Roman"/>
          <w:sz w:val="26"/>
          <w:szCs w:val="26"/>
        </w:rPr>
        <w:t xml:space="preserve">- </w:t>
      </w:r>
      <w:r>
        <w:rPr>
          <w:rFonts w:ascii="Times New Roman" w:hAnsi="Times New Roman" w:cs="Times New Roman"/>
          <w:sz w:val="26"/>
          <w:szCs w:val="26"/>
        </w:rPr>
        <w:t>925</w:t>
      </w:r>
      <w:r w:rsidRPr="00AE5EEE">
        <w:rPr>
          <w:rFonts w:ascii="Times New Roman" w:hAnsi="Times New Roman" w:cs="Times New Roman"/>
          <w:sz w:val="26"/>
          <w:szCs w:val="26"/>
        </w:rPr>
        <w:t xml:space="preserve"> предложений (сделок)</w:t>
      </w:r>
      <w:r>
        <w:rPr>
          <w:rFonts w:ascii="Times New Roman" w:hAnsi="Times New Roman" w:cs="Times New Roman"/>
          <w:sz w:val="26"/>
          <w:szCs w:val="26"/>
        </w:rPr>
        <w:t xml:space="preserve"> -</w:t>
      </w:r>
      <w:r w:rsidRPr="00AE5EEE">
        <w:rPr>
          <w:rFonts w:ascii="Times New Roman" w:hAnsi="Times New Roman" w:cs="Times New Roman"/>
          <w:sz w:val="26"/>
          <w:szCs w:val="26"/>
        </w:rPr>
        <w:t xml:space="preserve"> </w:t>
      </w:r>
      <w:r>
        <w:rPr>
          <w:rFonts w:ascii="Times New Roman" w:hAnsi="Times New Roman" w:cs="Times New Roman"/>
          <w:sz w:val="26"/>
          <w:szCs w:val="26"/>
        </w:rPr>
        <w:t>6</w:t>
      </w:r>
      <w:r w:rsidRPr="00AE5EEE">
        <w:rPr>
          <w:rFonts w:ascii="Times New Roman" w:hAnsi="Times New Roman" w:cs="Times New Roman"/>
          <w:sz w:val="26"/>
          <w:szCs w:val="26"/>
        </w:rPr>
        <w:t>,</w:t>
      </w:r>
      <w:r>
        <w:rPr>
          <w:rFonts w:ascii="Times New Roman" w:hAnsi="Times New Roman" w:cs="Times New Roman"/>
          <w:sz w:val="26"/>
          <w:szCs w:val="26"/>
        </w:rPr>
        <w:t>65</w:t>
      </w:r>
      <w:r w:rsidRPr="00AE5EEE">
        <w:rPr>
          <w:rFonts w:ascii="Times New Roman" w:hAnsi="Times New Roman" w:cs="Times New Roman"/>
          <w:sz w:val="26"/>
          <w:szCs w:val="26"/>
        </w:rPr>
        <w:t>%</w:t>
      </w:r>
      <w:r w:rsidRPr="008433F7">
        <w:rPr>
          <w:rFonts w:ascii="Times New Roman" w:hAnsi="Times New Roman" w:cs="Times New Roman"/>
          <w:sz w:val="26"/>
          <w:szCs w:val="26"/>
        </w:rPr>
        <w:t xml:space="preserve">. Всего по одному предложению (сделке) представлено в данном случае в </w:t>
      </w:r>
      <w:r>
        <w:rPr>
          <w:rFonts w:ascii="Times New Roman" w:hAnsi="Times New Roman" w:cs="Times New Roman"/>
          <w:sz w:val="26"/>
          <w:szCs w:val="26"/>
        </w:rPr>
        <w:t>Нижнедевицком, Петропавловском, Подгоренском</w:t>
      </w:r>
      <w:r w:rsidRPr="008433F7">
        <w:rPr>
          <w:rFonts w:ascii="Times New Roman" w:hAnsi="Times New Roman" w:cs="Times New Roman"/>
          <w:sz w:val="26"/>
          <w:szCs w:val="26"/>
        </w:rPr>
        <w:t xml:space="preserve"> и </w:t>
      </w:r>
      <w:r>
        <w:rPr>
          <w:rFonts w:ascii="Times New Roman" w:hAnsi="Times New Roman" w:cs="Times New Roman"/>
          <w:sz w:val="26"/>
          <w:szCs w:val="26"/>
        </w:rPr>
        <w:t>Репьевском</w:t>
      </w:r>
      <w:r w:rsidRPr="008433F7">
        <w:rPr>
          <w:rFonts w:ascii="Times New Roman" w:hAnsi="Times New Roman" w:cs="Times New Roman"/>
          <w:sz w:val="26"/>
          <w:szCs w:val="26"/>
        </w:rPr>
        <w:t xml:space="preserve"> районах. В </w:t>
      </w:r>
      <w:r>
        <w:rPr>
          <w:rFonts w:ascii="Times New Roman" w:hAnsi="Times New Roman" w:cs="Times New Roman"/>
          <w:sz w:val="26"/>
          <w:szCs w:val="26"/>
        </w:rPr>
        <w:t xml:space="preserve">Богучарском, Верхнемамонском, Воробьевском, Терновском, а также Эртильском районах </w:t>
      </w:r>
      <w:r w:rsidRPr="008433F7">
        <w:rPr>
          <w:rFonts w:ascii="Times New Roman" w:hAnsi="Times New Roman" w:cs="Times New Roman"/>
          <w:sz w:val="26"/>
          <w:szCs w:val="26"/>
        </w:rPr>
        <w:t xml:space="preserve">области предложений (сделок) по продаже дачных </w:t>
      </w:r>
      <w:r>
        <w:rPr>
          <w:rFonts w:ascii="Times New Roman" w:hAnsi="Times New Roman" w:cs="Times New Roman"/>
          <w:sz w:val="26"/>
          <w:szCs w:val="26"/>
        </w:rPr>
        <w:t xml:space="preserve">и садовых участков </w:t>
      </w:r>
      <w:r w:rsidRPr="008433F7">
        <w:rPr>
          <w:rFonts w:ascii="Times New Roman" w:hAnsi="Times New Roman" w:cs="Times New Roman"/>
          <w:sz w:val="26"/>
          <w:szCs w:val="26"/>
        </w:rPr>
        <w:t>не представлено.</w:t>
      </w:r>
    </w:p>
    <w:p w14:paraId="52E1723A" w14:textId="77777777" w:rsidR="00DB474C" w:rsidRDefault="00DB474C" w:rsidP="00DB474C">
      <w:pPr>
        <w:spacing w:after="0" w:line="276" w:lineRule="auto"/>
        <w:ind w:firstLine="709"/>
        <w:jc w:val="both"/>
        <w:rPr>
          <w:rFonts w:ascii="Times New Roman" w:hAnsi="Times New Roman" w:cs="Times New Roman"/>
          <w:sz w:val="26"/>
          <w:szCs w:val="26"/>
        </w:rPr>
      </w:pPr>
      <w:r w:rsidRPr="008433F7">
        <w:rPr>
          <w:rFonts w:ascii="Times New Roman" w:hAnsi="Times New Roman" w:cs="Times New Roman"/>
          <w:sz w:val="26"/>
          <w:szCs w:val="26"/>
        </w:rPr>
        <w:t>Средний удельный показатель рыночной стоимости по г.</w:t>
      </w:r>
      <w:r>
        <w:rPr>
          <w:rFonts w:ascii="Times New Roman" w:hAnsi="Times New Roman" w:cs="Times New Roman"/>
          <w:sz w:val="26"/>
          <w:szCs w:val="26"/>
        </w:rPr>
        <w:t>о.г.</w:t>
      </w:r>
      <w:r w:rsidRPr="008433F7">
        <w:rPr>
          <w:rFonts w:ascii="Times New Roman" w:hAnsi="Times New Roman" w:cs="Times New Roman"/>
          <w:sz w:val="26"/>
          <w:szCs w:val="26"/>
        </w:rPr>
        <w:t xml:space="preserve"> Воронеж составляет </w:t>
      </w:r>
      <w:r>
        <w:rPr>
          <w:rFonts w:ascii="Times New Roman" w:hAnsi="Times New Roman" w:cs="Times New Roman"/>
          <w:sz w:val="26"/>
          <w:szCs w:val="26"/>
        </w:rPr>
        <w:t>626,21</w:t>
      </w:r>
      <w:r w:rsidRPr="008433F7">
        <w:rPr>
          <w:rFonts w:ascii="Times New Roman" w:hAnsi="Times New Roman" w:cs="Times New Roman"/>
          <w:sz w:val="26"/>
          <w:szCs w:val="26"/>
        </w:rPr>
        <w:t xml:space="preserve"> руб./кв.м, диапазон цен обширен- от </w:t>
      </w:r>
      <w:r>
        <w:rPr>
          <w:rFonts w:ascii="Times New Roman" w:hAnsi="Times New Roman" w:cs="Times New Roman"/>
          <w:sz w:val="26"/>
          <w:szCs w:val="26"/>
        </w:rPr>
        <w:t>11,75</w:t>
      </w:r>
      <w:r w:rsidRPr="008433F7">
        <w:rPr>
          <w:rFonts w:ascii="Times New Roman" w:hAnsi="Times New Roman" w:cs="Times New Roman"/>
          <w:sz w:val="26"/>
          <w:szCs w:val="26"/>
        </w:rPr>
        <w:t xml:space="preserve"> до</w:t>
      </w:r>
      <w:r>
        <w:rPr>
          <w:rFonts w:ascii="Times New Roman" w:hAnsi="Times New Roman" w:cs="Times New Roman"/>
          <w:sz w:val="26"/>
          <w:szCs w:val="26"/>
        </w:rPr>
        <w:t xml:space="preserve"> 15 136,00</w:t>
      </w:r>
      <w:r w:rsidRPr="008433F7">
        <w:rPr>
          <w:rFonts w:ascii="Times New Roman" w:hAnsi="Times New Roman" w:cs="Times New Roman"/>
          <w:sz w:val="26"/>
          <w:szCs w:val="26"/>
        </w:rPr>
        <w:t xml:space="preserve"> руб./кв.м.  Наибольший средний удельный показатель рыночной стоимости среди районов Воронежской области сложился в </w:t>
      </w:r>
      <w:r>
        <w:rPr>
          <w:rFonts w:ascii="Times New Roman" w:hAnsi="Times New Roman" w:cs="Times New Roman"/>
          <w:sz w:val="26"/>
          <w:szCs w:val="26"/>
        </w:rPr>
        <w:t>Острогожском</w:t>
      </w:r>
      <w:r w:rsidRPr="008433F7">
        <w:rPr>
          <w:rFonts w:ascii="Times New Roman" w:hAnsi="Times New Roman" w:cs="Times New Roman"/>
          <w:sz w:val="26"/>
          <w:szCs w:val="26"/>
        </w:rPr>
        <w:t xml:space="preserve"> районе в размере </w:t>
      </w:r>
      <w:r>
        <w:rPr>
          <w:rFonts w:ascii="Times New Roman" w:hAnsi="Times New Roman" w:cs="Times New Roman"/>
          <w:sz w:val="26"/>
          <w:szCs w:val="26"/>
        </w:rPr>
        <w:t>535,57</w:t>
      </w:r>
      <w:r w:rsidRPr="008433F7">
        <w:rPr>
          <w:rFonts w:ascii="Times New Roman" w:hAnsi="Times New Roman" w:cs="Times New Roman"/>
          <w:sz w:val="26"/>
          <w:szCs w:val="26"/>
        </w:rPr>
        <w:t xml:space="preserve"> руб./кв.м. В целом величина удельного показателя рыночной стоимости по садовым домам лежит в диапазоне от </w:t>
      </w:r>
      <w:r>
        <w:rPr>
          <w:rFonts w:ascii="Times New Roman" w:hAnsi="Times New Roman" w:cs="Times New Roman"/>
          <w:sz w:val="26"/>
          <w:szCs w:val="26"/>
        </w:rPr>
        <w:t>5</w:t>
      </w:r>
      <w:r w:rsidRPr="008433F7">
        <w:rPr>
          <w:rFonts w:ascii="Times New Roman" w:hAnsi="Times New Roman" w:cs="Times New Roman"/>
          <w:sz w:val="26"/>
          <w:szCs w:val="26"/>
        </w:rPr>
        <w:t>,</w:t>
      </w:r>
      <w:r>
        <w:rPr>
          <w:rFonts w:ascii="Times New Roman" w:hAnsi="Times New Roman" w:cs="Times New Roman"/>
          <w:sz w:val="26"/>
          <w:szCs w:val="26"/>
        </w:rPr>
        <w:t>2</w:t>
      </w:r>
      <w:r w:rsidRPr="008433F7">
        <w:rPr>
          <w:rFonts w:ascii="Times New Roman" w:hAnsi="Times New Roman" w:cs="Times New Roman"/>
          <w:sz w:val="26"/>
          <w:szCs w:val="26"/>
        </w:rPr>
        <w:t>0 руб</w:t>
      </w:r>
      <w:r>
        <w:rPr>
          <w:rFonts w:ascii="Times New Roman" w:hAnsi="Times New Roman" w:cs="Times New Roman"/>
          <w:sz w:val="26"/>
          <w:szCs w:val="26"/>
        </w:rPr>
        <w:t>./</w:t>
      </w:r>
      <w:r w:rsidRPr="008433F7">
        <w:rPr>
          <w:rFonts w:ascii="Times New Roman" w:hAnsi="Times New Roman" w:cs="Times New Roman"/>
          <w:sz w:val="26"/>
          <w:szCs w:val="26"/>
        </w:rPr>
        <w:t xml:space="preserve">кв.м (зафиксировано в </w:t>
      </w:r>
      <w:r>
        <w:rPr>
          <w:rFonts w:ascii="Times New Roman" w:hAnsi="Times New Roman" w:cs="Times New Roman"/>
          <w:sz w:val="26"/>
          <w:szCs w:val="26"/>
        </w:rPr>
        <w:t>Борисоглебском</w:t>
      </w:r>
      <w:r w:rsidRPr="008433F7">
        <w:rPr>
          <w:rFonts w:ascii="Times New Roman" w:hAnsi="Times New Roman" w:cs="Times New Roman"/>
          <w:sz w:val="26"/>
          <w:szCs w:val="26"/>
        </w:rPr>
        <w:t xml:space="preserve"> районе) до </w:t>
      </w:r>
      <w:r>
        <w:rPr>
          <w:rFonts w:ascii="Times New Roman" w:hAnsi="Times New Roman" w:cs="Times New Roman"/>
          <w:sz w:val="26"/>
          <w:szCs w:val="26"/>
        </w:rPr>
        <w:t>15 136,00</w:t>
      </w:r>
      <w:r w:rsidRPr="008433F7">
        <w:rPr>
          <w:rFonts w:ascii="Times New Roman" w:hAnsi="Times New Roman" w:cs="Times New Roman"/>
          <w:sz w:val="26"/>
          <w:szCs w:val="26"/>
        </w:rPr>
        <w:t xml:space="preserve"> руб</w:t>
      </w:r>
      <w:r>
        <w:rPr>
          <w:rFonts w:ascii="Times New Roman" w:hAnsi="Times New Roman" w:cs="Times New Roman"/>
          <w:sz w:val="26"/>
          <w:szCs w:val="26"/>
        </w:rPr>
        <w:t>./</w:t>
      </w:r>
      <w:r w:rsidRPr="008433F7">
        <w:rPr>
          <w:rFonts w:ascii="Times New Roman" w:hAnsi="Times New Roman" w:cs="Times New Roman"/>
          <w:sz w:val="26"/>
          <w:szCs w:val="26"/>
        </w:rPr>
        <w:t>кв.м</w:t>
      </w:r>
      <w:r w:rsidRPr="008433F7">
        <w:rPr>
          <w:rFonts w:ascii="Times New Roman" w:hAnsi="Times New Roman" w:cs="Times New Roman"/>
          <w:sz w:val="26"/>
          <w:szCs w:val="26"/>
          <w:vertAlign w:val="superscript"/>
        </w:rPr>
        <w:t xml:space="preserve"> </w:t>
      </w:r>
      <w:r w:rsidRPr="008433F7">
        <w:rPr>
          <w:rFonts w:ascii="Times New Roman" w:hAnsi="Times New Roman" w:cs="Times New Roman"/>
          <w:sz w:val="26"/>
          <w:szCs w:val="26"/>
        </w:rPr>
        <w:t xml:space="preserve">(зафиксировано в </w:t>
      </w:r>
      <w:r>
        <w:rPr>
          <w:rFonts w:ascii="Times New Roman" w:hAnsi="Times New Roman" w:cs="Times New Roman"/>
          <w:sz w:val="26"/>
          <w:szCs w:val="26"/>
        </w:rPr>
        <w:t>г.о.г. Воронеж</w:t>
      </w:r>
      <w:r w:rsidRPr="008433F7">
        <w:rPr>
          <w:rFonts w:ascii="Times New Roman" w:hAnsi="Times New Roman" w:cs="Times New Roman"/>
          <w:sz w:val="26"/>
          <w:szCs w:val="26"/>
        </w:rPr>
        <w:t>).</w:t>
      </w:r>
      <w:r>
        <w:rPr>
          <w:rFonts w:ascii="Times New Roman" w:hAnsi="Times New Roman" w:cs="Times New Roman"/>
          <w:sz w:val="26"/>
          <w:szCs w:val="26"/>
        </w:rPr>
        <w:t xml:space="preserve"> Аналоги, стоимостные значения которых представляют собой экстремумы, для дальнейших целей оценки не используются.</w:t>
      </w:r>
    </w:p>
    <w:p w14:paraId="2DE80F10" w14:textId="77777777" w:rsidR="00DB474C" w:rsidRPr="00D128B8" w:rsidRDefault="00DB474C" w:rsidP="00DB474C">
      <w:pPr>
        <w:pStyle w:val="Textbody"/>
        <w:spacing w:after="0" w:line="276" w:lineRule="auto"/>
        <w:ind w:firstLine="709"/>
        <w:jc w:val="both"/>
        <w:rPr>
          <w:rFonts w:ascii="Times New Roman" w:hAnsi="Times New Roman" w:cs="Times New Roman"/>
          <w:sz w:val="26"/>
          <w:szCs w:val="26"/>
          <w:lang w:val="ru-RU"/>
        </w:rPr>
      </w:pPr>
      <w:r w:rsidRPr="00D128B8">
        <w:rPr>
          <w:rFonts w:ascii="Times New Roman" w:hAnsi="Times New Roman" w:cs="Times New Roman"/>
          <w:sz w:val="26"/>
          <w:szCs w:val="26"/>
          <w:lang w:val="ru-RU"/>
        </w:rPr>
        <w:t xml:space="preserve">Если говорить о малоэтажной жилой застройке, непосредственно в г.о.г. Воронеж </w:t>
      </w:r>
      <w:r>
        <w:rPr>
          <w:rFonts w:ascii="Times New Roman" w:hAnsi="Times New Roman" w:cs="Times New Roman"/>
          <w:sz w:val="26"/>
          <w:szCs w:val="26"/>
          <w:lang w:val="ru-RU"/>
        </w:rPr>
        <w:t>сосредоточено</w:t>
      </w:r>
      <w:r w:rsidRPr="00D128B8">
        <w:rPr>
          <w:rFonts w:ascii="Times New Roman" w:hAnsi="Times New Roman" w:cs="Times New Roman"/>
          <w:sz w:val="26"/>
          <w:szCs w:val="26"/>
          <w:lang w:val="ru-RU"/>
        </w:rPr>
        <w:t xml:space="preserve"> </w:t>
      </w:r>
      <w:r>
        <w:rPr>
          <w:rFonts w:ascii="Times New Roman" w:hAnsi="Times New Roman" w:cs="Times New Roman"/>
          <w:sz w:val="26"/>
          <w:szCs w:val="26"/>
          <w:lang w:val="ru-RU"/>
        </w:rPr>
        <w:t>9</w:t>
      </w:r>
      <w:r w:rsidRPr="00D128B8">
        <w:rPr>
          <w:rFonts w:ascii="Times New Roman" w:hAnsi="Times New Roman" w:cs="Times New Roman"/>
          <w:sz w:val="26"/>
          <w:szCs w:val="26"/>
          <w:lang w:val="ru-RU"/>
        </w:rPr>
        <w:t>,</w:t>
      </w:r>
      <w:r>
        <w:rPr>
          <w:rFonts w:ascii="Times New Roman" w:hAnsi="Times New Roman" w:cs="Times New Roman"/>
          <w:sz w:val="26"/>
          <w:szCs w:val="26"/>
          <w:lang w:val="ru-RU"/>
        </w:rPr>
        <w:t>41</w:t>
      </w:r>
      <w:r w:rsidRPr="00D128B8">
        <w:rPr>
          <w:rFonts w:ascii="Times New Roman" w:hAnsi="Times New Roman" w:cs="Times New Roman"/>
          <w:sz w:val="26"/>
          <w:szCs w:val="26"/>
          <w:lang w:val="ru-RU"/>
        </w:rPr>
        <w:t>% от общего количества предложений (сделок) по региону.</w:t>
      </w:r>
    </w:p>
    <w:p w14:paraId="3A96932F" w14:textId="77777777" w:rsidR="00DB474C" w:rsidRPr="00FD203C" w:rsidRDefault="00DB474C" w:rsidP="00DB474C">
      <w:pPr>
        <w:spacing w:after="0" w:line="276" w:lineRule="auto"/>
        <w:ind w:firstLine="708"/>
        <w:jc w:val="right"/>
        <w:rPr>
          <w:rFonts w:ascii="Times New Roman" w:hAnsi="Times New Roman" w:cs="Times New Roman"/>
          <w:sz w:val="26"/>
          <w:szCs w:val="26"/>
        </w:rPr>
      </w:pPr>
      <w:r w:rsidRPr="00FD203C">
        <w:rPr>
          <w:rFonts w:ascii="Times New Roman" w:hAnsi="Times New Roman" w:cs="Times New Roman"/>
          <w:sz w:val="26"/>
          <w:szCs w:val="26"/>
        </w:rPr>
        <w:t xml:space="preserve">Таблица </w:t>
      </w:r>
      <w:r w:rsidRPr="005D5A58">
        <w:rPr>
          <w:rFonts w:ascii="Times New Roman" w:hAnsi="Times New Roman" w:cs="Times New Roman"/>
          <w:sz w:val="26"/>
          <w:szCs w:val="26"/>
        </w:rPr>
        <w:t>3.1.3.8.4</w:t>
      </w:r>
    </w:p>
    <w:p w14:paraId="3D9938A8" w14:textId="77777777" w:rsidR="00DB474C" w:rsidRDefault="00DB474C" w:rsidP="00DB474C">
      <w:pPr>
        <w:spacing w:after="0" w:line="276" w:lineRule="auto"/>
        <w:ind w:firstLine="709"/>
        <w:jc w:val="center"/>
        <w:rPr>
          <w:rFonts w:ascii="Times New Roman" w:hAnsi="Times New Roman" w:cs="Times New Roman"/>
          <w:sz w:val="26"/>
          <w:szCs w:val="26"/>
        </w:rPr>
      </w:pPr>
      <w:r w:rsidRPr="00AA0E67">
        <w:rPr>
          <w:rFonts w:ascii="Times New Roman" w:hAnsi="Times New Roman" w:cs="Times New Roman"/>
          <w:sz w:val="26"/>
          <w:szCs w:val="26"/>
        </w:rPr>
        <w:t>Анализ рыночной информации по земельным участкам для малоэтажной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856"/>
        <w:gridCol w:w="1717"/>
        <w:gridCol w:w="2097"/>
        <w:gridCol w:w="1553"/>
      </w:tblGrid>
      <w:tr w:rsidR="00DB474C" w:rsidRPr="00AA0E67" w14:paraId="52CE38E7" w14:textId="77777777" w:rsidTr="00D15360">
        <w:trPr>
          <w:trHeight w:val="525"/>
        </w:trPr>
        <w:tc>
          <w:tcPr>
            <w:tcW w:w="1135" w:type="pct"/>
            <w:vMerge w:val="restart"/>
            <w:shd w:val="clear" w:color="auto" w:fill="auto"/>
            <w:vAlign w:val="center"/>
            <w:hideMark/>
          </w:tcPr>
          <w:p w14:paraId="3A1F62EB" w14:textId="77777777" w:rsidR="00DB474C" w:rsidRPr="00AA0E67" w:rsidRDefault="00DB474C" w:rsidP="00DB474C">
            <w:pPr>
              <w:spacing w:after="0" w:line="240" w:lineRule="auto"/>
              <w:jc w:val="center"/>
              <w:rPr>
                <w:rFonts w:ascii="Times New Roman" w:eastAsia="Times New Roman" w:hAnsi="Times New Roman" w:cs="Times New Roman"/>
                <w:b/>
                <w:color w:val="000000"/>
                <w:lang w:eastAsia="ru-RU"/>
              </w:rPr>
            </w:pPr>
            <w:r w:rsidRPr="00AA0E67">
              <w:rPr>
                <w:rFonts w:ascii="Times New Roman" w:eastAsia="Times New Roman" w:hAnsi="Times New Roman" w:cs="Times New Roman"/>
                <w:b/>
                <w:color w:val="000000"/>
                <w:lang w:eastAsia="ru-RU"/>
              </w:rPr>
              <w:t>Наименование района</w:t>
            </w:r>
          </w:p>
        </w:tc>
        <w:tc>
          <w:tcPr>
            <w:tcW w:w="3034" w:type="pct"/>
            <w:gridSpan w:val="3"/>
            <w:shd w:val="clear" w:color="auto" w:fill="auto"/>
            <w:vAlign w:val="center"/>
            <w:hideMark/>
          </w:tcPr>
          <w:p w14:paraId="61229BB3" w14:textId="77777777" w:rsidR="00DB474C" w:rsidRPr="00AA0E67" w:rsidRDefault="00DB474C" w:rsidP="00DB474C">
            <w:pPr>
              <w:spacing w:after="0" w:line="240" w:lineRule="auto"/>
              <w:jc w:val="center"/>
              <w:rPr>
                <w:rFonts w:ascii="Times New Roman" w:eastAsia="Times New Roman" w:hAnsi="Times New Roman" w:cs="Times New Roman"/>
                <w:b/>
                <w:color w:val="000000"/>
                <w:lang w:eastAsia="ru-RU"/>
              </w:rPr>
            </w:pPr>
            <w:r w:rsidRPr="00AA0E67">
              <w:rPr>
                <w:rFonts w:ascii="Times New Roman" w:eastAsia="Times New Roman" w:hAnsi="Times New Roman" w:cs="Times New Roman"/>
                <w:b/>
                <w:color w:val="000000"/>
                <w:lang w:eastAsia="ru-RU"/>
              </w:rPr>
              <w:t>Удельный показатель рыночной стоимости, руб./кв.м</w:t>
            </w:r>
          </w:p>
        </w:tc>
        <w:tc>
          <w:tcPr>
            <w:tcW w:w="831" w:type="pct"/>
            <w:vMerge w:val="restart"/>
            <w:shd w:val="clear" w:color="auto" w:fill="auto"/>
            <w:vAlign w:val="center"/>
            <w:hideMark/>
          </w:tcPr>
          <w:p w14:paraId="07BC0310" w14:textId="77777777" w:rsidR="00DB474C" w:rsidRPr="00AA0E67" w:rsidRDefault="00DB474C" w:rsidP="00DB474C">
            <w:pPr>
              <w:spacing w:after="0" w:line="240" w:lineRule="auto"/>
              <w:jc w:val="center"/>
              <w:rPr>
                <w:rFonts w:ascii="Times New Roman" w:eastAsia="Times New Roman" w:hAnsi="Times New Roman" w:cs="Times New Roman"/>
                <w:b/>
                <w:color w:val="000000"/>
                <w:lang w:eastAsia="ru-RU"/>
              </w:rPr>
            </w:pPr>
            <w:r w:rsidRPr="00AA0E67">
              <w:rPr>
                <w:rFonts w:ascii="Times New Roman" w:eastAsia="Times New Roman" w:hAnsi="Times New Roman" w:cs="Times New Roman"/>
                <w:b/>
                <w:color w:val="000000"/>
                <w:lang w:eastAsia="ru-RU"/>
              </w:rPr>
              <w:t>Количество предложений (сделок)</w:t>
            </w:r>
          </w:p>
        </w:tc>
      </w:tr>
      <w:tr w:rsidR="00DB474C" w:rsidRPr="00AA0E67" w14:paraId="21F6313D" w14:textId="77777777" w:rsidTr="00D15360">
        <w:trPr>
          <w:trHeight w:val="600"/>
        </w:trPr>
        <w:tc>
          <w:tcPr>
            <w:tcW w:w="1135" w:type="pct"/>
            <w:vMerge/>
            <w:vAlign w:val="center"/>
            <w:hideMark/>
          </w:tcPr>
          <w:p w14:paraId="4C69E9AF"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p>
        </w:tc>
        <w:tc>
          <w:tcPr>
            <w:tcW w:w="993" w:type="pct"/>
            <w:shd w:val="clear" w:color="auto" w:fill="auto"/>
            <w:noWrap/>
            <w:vAlign w:val="center"/>
            <w:hideMark/>
          </w:tcPr>
          <w:p w14:paraId="1636AA68" w14:textId="77777777" w:rsidR="00DB474C" w:rsidRPr="00AA0E67" w:rsidRDefault="00DB474C" w:rsidP="00DB474C">
            <w:pPr>
              <w:spacing w:after="0" w:line="240" w:lineRule="auto"/>
              <w:jc w:val="center"/>
              <w:rPr>
                <w:rFonts w:ascii="Times New Roman" w:eastAsia="Times New Roman" w:hAnsi="Times New Roman" w:cs="Times New Roman"/>
                <w:b/>
                <w:bCs/>
                <w:color w:val="000000"/>
                <w:lang w:eastAsia="ru-RU"/>
              </w:rPr>
            </w:pPr>
            <w:r w:rsidRPr="00AA0E67">
              <w:rPr>
                <w:rFonts w:ascii="Times New Roman" w:eastAsia="Times New Roman" w:hAnsi="Times New Roman" w:cs="Times New Roman"/>
                <w:b/>
                <w:bCs/>
                <w:color w:val="000000"/>
                <w:lang w:eastAsia="ru-RU"/>
              </w:rPr>
              <w:t>Минимальное значение</w:t>
            </w:r>
          </w:p>
        </w:tc>
        <w:tc>
          <w:tcPr>
            <w:tcW w:w="919" w:type="pct"/>
            <w:shd w:val="clear" w:color="auto" w:fill="auto"/>
            <w:noWrap/>
            <w:vAlign w:val="center"/>
            <w:hideMark/>
          </w:tcPr>
          <w:p w14:paraId="4A34045D" w14:textId="77777777" w:rsidR="00DB474C" w:rsidRPr="00AA0E67" w:rsidRDefault="00DB474C" w:rsidP="00DB474C">
            <w:pPr>
              <w:spacing w:after="0" w:line="240" w:lineRule="auto"/>
              <w:jc w:val="center"/>
              <w:rPr>
                <w:rFonts w:ascii="Times New Roman" w:eastAsia="Times New Roman" w:hAnsi="Times New Roman" w:cs="Times New Roman"/>
                <w:b/>
                <w:bCs/>
                <w:color w:val="000000"/>
                <w:lang w:eastAsia="ru-RU"/>
              </w:rPr>
            </w:pPr>
            <w:r w:rsidRPr="00AA0E67">
              <w:rPr>
                <w:rFonts w:ascii="Times New Roman" w:eastAsia="Times New Roman" w:hAnsi="Times New Roman" w:cs="Times New Roman"/>
                <w:b/>
                <w:bCs/>
                <w:color w:val="000000"/>
                <w:lang w:eastAsia="ru-RU"/>
              </w:rPr>
              <w:t>Среднее значение</w:t>
            </w:r>
          </w:p>
        </w:tc>
        <w:tc>
          <w:tcPr>
            <w:tcW w:w="1122" w:type="pct"/>
            <w:shd w:val="clear" w:color="auto" w:fill="auto"/>
            <w:noWrap/>
            <w:vAlign w:val="center"/>
            <w:hideMark/>
          </w:tcPr>
          <w:p w14:paraId="4898408C" w14:textId="77777777" w:rsidR="00DB474C" w:rsidRPr="00AA0E67" w:rsidRDefault="00DB474C" w:rsidP="00DB474C">
            <w:pPr>
              <w:spacing w:after="0" w:line="240" w:lineRule="auto"/>
              <w:jc w:val="center"/>
              <w:rPr>
                <w:rFonts w:ascii="Times New Roman" w:eastAsia="Times New Roman" w:hAnsi="Times New Roman" w:cs="Times New Roman"/>
                <w:b/>
                <w:bCs/>
                <w:color w:val="000000"/>
                <w:lang w:eastAsia="ru-RU"/>
              </w:rPr>
            </w:pPr>
            <w:r w:rsidRPr="00AA0E67">
              <w:rPr>
                <w:rFonts w:ascii="Times New Roman" w:eastAsia="Times New Roman" w:hAnsi="Times New Roman" w:cs="Times New Roman"/>
                <w:b/>
                <w:bCs/>
                <w:color w:val="000000"/>
                <w:lang w:eastAsia="ru-RU"/>
              </w:rPr>
              <w:t>Максимальное значение</w:t>
            </w:r>
          </w:p>
        </w:tc>
        <w:tc>
          <w:tcPr>
            <w:tcW w:w="831" w:type="pct"/>
            <w:vMerge/>
            <w:vAlign w:val="center"/>
            <w:hideMark/>
          </w:tcPr>
          <w:p w14:paraId="13F10FC2"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p>
        </w:tc>
      </w:tr>
      <w:tr w:rsidR="00DB474C" w:rsidRPr="00AA0E67" w14:paraId="13282893" w14:textId="77777777" w:rsidTr="00D15360">
        <w:trPr>
          <w:trHeight w:val="300"/>
        </w:trPr>
        <w:tc>
          <w:tcPr>
            <w:tcW w:w="1135" w:type="pct"/>
            <w:shd w:val="clear" w:color="auto" w:fill="auto"/>
            <w:noWrap/>
            <w:vAlign w:val="bottom"/>
            <w:hideMark/>
          </w:tcPr>
          <w:p w14:paraId="7CCBA7A1"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Аннинский</w:t>
            </w:r>
          </w:p>
        </w:tc>
        <w:tc>
          <w:tcPr>
            <w:tcW w:w="993" w:type="pct"/>
            <w:shd w:val="clear" w:color="auto" w:fill="auto"/>
            <w:noWrap/>
            <w:vAlign w:val="bottom"/>
            <w:hideMark/>
          </w:tcPr>
          <w:p w14:paraId="2BEACDB7"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27,43</w:t>
            </w:r>
          </w:p>
        </w:tc>
        <w:tc>
          <w:tcPr>
            <w:tcW w:w="919" w:type="pct"/>
            <w:shd w:val="clear" w:color="auto" w:fill="auto"/>
            <w:noWrap/>
            <w:vAlign w:val="bottom"/>
            <w:hideMark/>
          </w:tcPr>
          <w:p w14:paraId="69E2B3A1"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1 060,89</w:t>
            </w:r>
          </w:p>
        </w:tc>
        <w:tc>
          <w:tcPr>
            <w:tcW w:w="1122" w:type="pct"/>
            <w:shd w:val="clear" w:color="auto" w:fill="auto"/>
            <w:noWrap/>
            <w:vAlign w:val="bottom"/>
            <w:hideMark/>
          </w:tcPr>
          <w:p w14:paraId="391212A3"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2 094,34</w:t>
            </w:r>
          </w:p>
        </w:tc>
        <w:tc>
          <w:tcPr>
            <w:tcW w:w="831" w:type="pct"/>
            <w:shd w:val="clear" w:color="auto" w:fill="auto"/>
            <w:noWrap/>
            <w:vAlign w:val="bottom"/>
            <w:hideMark/>
          </w:tcPr>
          <w:p w14:paraId="0561C751"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2</w:t>
            </w:r>
          </w:p>
        </w:tc>
      </w:tr>
      <w:tr w:rsidR="00DB474C" w:rsidRPr="00AA0E67" w14:paraId="2183D58E" w14:textId="77777777" w:rsidTr="00D15360">
        <w:trPr>
          <w:trHeight w:val="300"/>
        </w:trPr>
        <w:tc>
          <w:tcPr>
            <w:tcW w:w="1135" w:type="pct"/>
            <w:shd w:val="clear" w:color="auto" w:fill="auto"/>
            <w:noWrap/>
            <w:vAlign w:val="bottom"/>
            <w:hideMark/>
          </w:tcPr>
          <w:p w14:paraId="06A94115"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Бобровский</w:t>
            </w:r>
          </w:p>
        </w:tc>
        <w:tc>
          <w:tcPr>
            <w:tcW w:w="993" w:type="pct"/>
            <w:shd w:val="clear" w:color="auto" w:fill="auto"/>
            <w:noWrap/>
            <w:vAlign w:val="bottom"/>
            <w:hideMark/>
          </w:tcPr>
          <w:p w14:paraId="26328684"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7B5F3F28"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1006CD22"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6FF83E88"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74331E12" w14:textId="77777777" w:rsidTr="00D15360">
        <w:trPr>
          <w:trHeight w:val="300"/>
        </w:trPr>
        <w:tc>
          <w:tcPr>
            <w:tcW w:w="1135" w:type="pct"/>
            <w:shd w:val="clear" w:color="auto" w:fill="auto"/>
            <w:noWrap/>
            <w:vAlign w:val="bottom"/>
            <w:hideMark/>
          </w:tcPr>
          <w:p w14:paraId="59A45CA9"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Богучарский</w:t>
            </w:r>
          </w:p>
        </w:tc>
        <w:tc>
          <w:tcPr>
            <w:tcW w:w="993" w:type="pct"/>
            <w:shd w:val="clear" w:color="auto" w:fill="auto"/>
            <w:noWrap/>
            <w:vAlign w:val="bottom"/>
            <w:hideMark/>
          </w:tcPr>
          <w:p w14:paraId="1183A274"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01FBF491"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39E20989"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2F94A2B7"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453F4B9F" w14:textId="77777777" w:rsidTr="00D15360">
        <w:trPr>
          <w:trHeight w:val="300"/>
        </w:trPr>
        <w:tc>
          <w:tcPr>
            <w:tcW w:w="1135" w:type="pct"/>
            <w:shd w:val="clear" w:color="auto" w:fill="auto"/>
            <w:noWrap/>
            <w:vAlign w:val="bottom"/>
            <w:hideMark/>
          </w:tcPr>
          <w:p w14:paraId="68157F57"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Борисоглебский</w:t>
            </w:r>
          </w:p>
        </w:tc>
        <w:tc>
          <w:tcPr>
            <w:tcW w:w="993" w:type="pct"/>
            <w:shd w:val="clear" w:color="auto" w:fill="auto"/>
            <w:noWrap/>
            <w:vAlign w:val="bottom"/>
            <w:hideMark/>
          </w:tcPr>
          <w:p w14:paraId="1BC30E8A"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204,80</w:t>
            </w:r>
          </w:p>
        </w:tc>
        <w:tc>
          <w:tcPr>
            <w:tcW w:w="919" w:type="pct"/>
            <w:shd w:val="clear" w:color="auto" w:fill="auto"/>
            <w:noWrap/>
            <w:vAlign w:val="bottom"/>
            <w:hideMark/>
          </w:tcPr>
          <w:p w14:paraId="2511871F"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585,80</w:t>
            </w:r>
          </w:p>
        </w:tc>
        <w:tc>
          <w:tcPr>
            <w:tcW w:w="1122" w:type="pct"/>
            <w:shd w:val="clear" w:color="auto" w:fill="auto"/>
            <w:noWrap/>
            <w:vAlign w:val="bottom"/>
            <w:hideMark/>
          </w:tcPr>
          <w:p w14:paraId="2C797293"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1 703,30</w:t>
            </w:r>
          </w:p>
        </w:tc>
        <w:tc>
          <w:tcPr>
            <w:tcW w:w="831" w:type="pct"/>
            <w:shd w:val="clear" w:color="auto" w:fill="auto"/>
            <w:noWrap/>
            <w:vAlign w:val="bottom"/>
            <w:hideMark/>
          </w:tcPr>
          <w:p w14:paraId="4A2D41BA"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7</w:t>
            </w:r>
          </w:p>
        </w:tc>
      </w:tr>
      <w:tr w:rsidR="00DB474C" w:rsidRPr="00AA0E67" w14:paraId="3A1B9221" w14:textId="77777777" w:rsidTr="00D15360">
        <w:trPr>
          <w:trHeight w:val="300"/>
        </w:trPr>
        <w:tc>
          <w:tcPr>
            <w:tcW w:w="1135" w:type="pct"/>
            <w:shd w:val="clear" w:color="auto" w:fill="auto"/>
            <w:noWrap/>
            <w:vAlign w:val="bottom"/>
            <w:hideMark/>
          </w:tcPr>
          <w:p w14:paraId="2844DE71"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Бутурлиновский</w:t>
            </w:r>
          </w:p>
        </w:tc>
        <w:tc>
          <w:tcPr>
            <w:tcW w:w="993" w:type="pct"/>
            <w:shd w:val="clear" w:color="auto" w:fill="auto"/>
            <w:noWrap/>
            <w:vAlign w:val="bottom"/>
            <w:hideMark/>
          </w:tcPr>
          <w:p w14:paraId="75165A0F"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42,75</w:t>
            </w:r>
          </w:p>
        </w:tc>
        <w:tc>
          <w:tcPr>
            <w:tcW w:w="919" w:type="pct"/>
            <w:shd w:val="clear" w:color="auto" w:fill="auto"/>
            <w:noWrap/>
            <w:vAlign w:val="bottom"/>
            <w:hideMark/>
          </w:tcPr>
          <w:p w14:paraId="7589D673"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72,15</w:t>
            </w:r>
          </w:p>
        </w:tc>
        <w:tc>
          <w:tcPr>
            <w:tcW w:w="1122" w:type="pct"/>
            <w:shd w:val="clear" w:color="auto" w:fill="auto"/>
            <w:noWrap/>
            <w:vAlign w:val="bottom"/>
            <w:hideMark/>
          </w:tcPr>
          <w:p w14:paraId="43F4F449"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122,36</w:t>
            </w:r>
          </w:p>
        </w:tc>
        <w:tc>
          <w:tcPr>
            <w:tcW w:w="831" w:type="pct"/>
            <w:shd w:val="clear" w:color="auto" w:fill="auto"/>
            <w:noWrap/>
            <w:vAlign w:val="bottom"/>
            <w:hideMark/>
          </w:tcPr>
          <w:p w14:paraId="274C6DC3"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4</w:t>
            </w:r>
          </w:p>
        </w:tc>
      </w:tr>
      <w:tr w:rsidR="00DB474C" w:rsidRPr="00AA0E67" w14:paraId="290CA19C" w14:textId="77777777" w:rsidTr="00D15360">
        <w:trPr>
          <w:trHeight w:val="300"/>
        </w:trPr>
        <w:tc>
          <w:tcPr>
            <w:tcW w:w="1135" w:type="pct"/>
            <w:shd w:val="clear" w:color="auto" w:fill="auto"/>
            <w:noWrap/>
            <w:vAlign w:val="bottom"/>
            <w:hideMark/>
          </w:tcPr>
          <w:p w14:paraId="4EC1CFFB"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Верхнемамонский</w:t>
            </w:r>
          </w:p>
        </w:tc>
        <w:tc>
          <w:tcPr>
            <w:tcW w:w="993" w:type="pct"/>
            <w:shd w:val="clear" w:color="auto" w:fill="auto"/>
            <w:noWrap/>
            <w:vAlign w:val="bottom"/>
            <w:hideMark/>
          </w:tcPr>
          <w:p w14:paraId="7C54C1C6"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5A9AB0DB"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7B7F98FF"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691D6DDD"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12DECEA7" w14:textId="77777777" w:rsidTr="00D15360">
        <w:trPr>
          <w:trHeight w:val="300"/>
        </w:trPr>
        <w:tc>
          <w:tcPr>
            <w:tcW w:w="1135" w:type="pct"/>
            <w:shd w:val="clear" w:color="auto" w:fill="auto"/>
            <w:noWrap/>
            <w:vAlign w:val="bottom"/>
            <w:hideMark/>
          </w:tcPr>
          <w:p w14:paraId="64A0ADD8"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Верхнехавский</w:t>
            </w:r>
          </w:p>
        </w:tc>
        <w:tc>
          <w:tcPr>
            <w:tcW w:w="993" w:type="pct"/>
            <w:shd w:val="clear" w:color="auto" w:fill="auto"/>
            <w:noWrap/>
            <w:vAlign w:val="bottom"/>
            <w:hideMark/>
          </w:tcPr>
          <w:p w14:paraId="033A1EF3"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67C1FDD5"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1833BF02"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1433660D"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701807BF" w14:textId="77777777" w:rsidTr="00D15360">
        <w:trPr>
          <w:trHeight w:val="300"/>
        </w:trPr>
        <w:tc>
          <w:tcPr>
            <w:tcW w:w="1135" w:type="pct"/>
            <w:shd w:val="clear" w:color="auto" w:fill="auto"/>
            <w:noWrap/>
            <w:vAlign w:val="bottom"/>
            <w:hideMark/>
          </w:tcPr>
          <w:p w14:paraId="08AA8C8D"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Воробьевский</w:t>
            </w:r>
          </w:p>
        </w:tc>
        <w:tc>
          <w:tcPr>
            <w:tcW w:w="993" w:type="pct"/>
            <w:shd w:val="clear" w:color="auto" w:fill="auto"/>
            <w:noWrap/>
            <w:vAlign w:val="bottom"/>
            <w:hideMark/>
          </w:tcPr>
          <w:p w14:paraId="11DEB353"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2792302D"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2E4EEA97"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248A7E32"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54A1AFFD" w14:textId="77777777" w:rsidTr="00D15360">
        <w:trPr>
          <w:trHeight w:val="300"/>
        </w:trPr>
        <w:tc>
          <w:tcPr>
            <w:tcW w:w="1135" w:type="pct"/>
            <w:shd w:val="clear" w:color="auto" w:fill="auto"/>
            <w:noWrap/>
            <w:vAlign w:val="bottom"/>
            <w:hideMark/>
          </w:tcPr>
          <w:p w14:paraId="64EE2471"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 xml:space="preserve">Грибановский </w:t>
            </w:r>
          </w:p>
        </w:tc>
        <w:tc>
          <w:tcPr>
            <w:tcW w:w="993" w:type="pct"/>
            <w:shd w:val="clear" w:color="auto" w:fill="auto"/>
            <w:noWrap/>
            <w:vAlign w:val="bottom"/>
            <w:hideMark/>
          </w:tcPr>
          <w:p w14:paraId="1EF8FF36"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51636D45"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6E63C1D0"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040F28ED"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05CBED6C" w14:textId="77777777" w:rsidTr="00D15360">
        <w:trPr>
          <w:trHeight w:val="300"/>
        </w:trPr>
        <w:tc>
          <w:tcPr>
            <w:tcW w:w="1135" w:type="pct"/>
            <w:shd w:val="clear" w:color="auto" w:fill="auto"/>
            <w:noWrap/>
            <w:vAlign w:val="bottom"/>
            <w:hideMark/>
          </w:tcPr>
          <w:p w14:paraId="59E956F9"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Калачеевский</w:t>
            </w:r>
          </w:p>
        </w:tc>
        <w:tc>
          <w:tcPr>
            <w:tcW w:w="993" w:type="pct"/>
            <w:shd w:val="clear" w:color="auto" w:fill="auto"/>
            <w:noWrap/>
            <w:vAlign w:val="bottom"/>
            <w:hideMark/>
          </w:tcPr>
          <w:p w14:paraId="67BA7508"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7728A74B"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6DA6DDF5"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359DE7A1"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6BC20E55" w14:textId="77777777" w:rsidTr="00D15360">
        <w:trPr>
          <w:trHeight w:val="300"/>
        </w:trPr>
        <w:tc>
          <w:tcPr>
            <w:tcW w:w="1135" w:type="pct"/>
            <w:shd w:val="clear" w:color="auto" w:fill="auto"/>
            <w:noWrap/>
            <w:vAlign w:val="bottom"/>
            <w:hideMark/>
          </w:tcPr>
          <w:p w14:paraId="7B600B38"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Каменский</w:t>
            </w:r>
          </w:p>
        </w:tc>
        <w:tc>
          <w:tcPr>
            <w:tcW w:w="993" w:type="pct"/>
            <w:shd w:val="clear" w:color="auto" w:fill="auto"/>
            <w:noWrap/>
            <w:vAlign w:val="bottom"/>
            <w:hideMark/>
          </w:tcPr>
          <w:p w14:paraId="2E9B4C05"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16C02C38"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656D0FFF"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240B978F"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3E7E7B2D" w14:textId="77777777" w:rsidTr="00D15360">
        <w:trPr>
          <w:trHeight w:val="300"/>
        </w:trPr>
        <w:tc>
          <w:tcPr>
            <w:tcW w:w="1135" w:type="pct"/>
            <w:shd w:val="clear" w:color="auto" w:fill="auto"/>
            <w:noWrap/>
            <w:vAlign w:val="bottom"/>
            <w:hideMark/>
          </w:tcPr>
          <w:p w14:paraId="0EACB45D"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Кантемировский</w:t>
            </w:r>
          </w:p>
        </w:tc>
        <w:tc>
          <w:tcPr>
            <w:tcW w:w="993" w:type="pct"/>
            <w:shd w:val="clear" w:color="auto" w:fill="auto"/>
            <w:noWrap/>
            <w:vAlign w:val="bottom"/>
            <w:hideMark/>
          </w:tcPr>
          <w:p w14:paraId="12901367"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3C451210"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40D2B9C4"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6F2D78C1"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7C477437" w14:textId="77777777" w:rsidTr="00D15360">
        <w:trPr>
          <w:trHeight w:val="300"/>
        </w:trPr>
        <w:tc>
          <w:tcPr>
            <w:tcW w:w="1135" w:type="pct"/>
            <w:shd w:val="clear" w:color="auto" w:fill="auto"/>
            <w:noWrap/>
            <w:vAlign w:val="bottom"/>
            <w:hideMark/>
          </w:tcPr>
          <w:p w14:paraId="154838F4"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Каширский</w:t>
            </w:r>
          </w:p>
        </w:tc>
        <w:tc>
          <w:tcPr>
            <w:tcW w:w="993" w:type="pct"/>
            <w:shd w:val="clear" w:color="auto" w:fill="auto"/>
            <w:noWrap/>
            <w:vAlign w:val="bottom"/>
            <w:hideMark/>
          </w:tcPr>
          <w:p w14:paraId="0EBDA6AF"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570,00</w:t>
            </w:r>
          </w:p>
        </w:tc>
        <w:tc>
          <w:tcPr>
            <w:tcW w:w="919" w:type="pct"/>
            <w:shd w:val="clear" w:color="auto" w:fill="auto"/>
            <w:noWrap/>
            <w:vAlign w:val="bottom"/>
            <w:hideMark/>
          </w:tcPr>
          <w:p w14:paraId="1CB04A56"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570,00</w:t>
            </w:r>
          </w:p>
        </w:tc>
        <w:tc>
          <w:tcPr>
            <w:tcW w:w="1122" w:type="pct"/>
            <w:shd w:val="clear" w:color="auto" w:fill="auto"/>
            <w:noWrap/>
            <w:vAlign w:val="bottom"/>
            <w:hideMark/>
          </w:tcPr>
          <w:p w14:paraId="32209903"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570,00</w:t>
            </w:r>
          </w:p>
        </w:tc>
        <w:tc>
          <w:tcPr>
            <w:tcW w:w="831" w:type="pct"/>
            <w:shd w:val="clear" w:color="auto" w:fill="auto"/>
            <w:noWrap/>
            <w:vAlign w:val="bottom"/>
            <w:hideMark/>
          </w:tcPr>
          <w:p w14:paraId="279AE4C7"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w:t>
            </w:r>
          </w:p>
        </w:tc>
      </w:tr>
      <w:tr w:rsidR="00DB474C" w:rsidRPr="00AA0E67" w14:paraId="01DE7E50" w14:textId="77777777" w:rsidTr="00D15360">
        <w:trPr>
          <w:trHeight w:val="300"/>
        </w:trPr>
        <w:tc>
          <w:tcPr>
            <w:tcW w:w="1135" w:type="pct"/>
            <w:shd w:val="clear" w:color="auto" w:fill="auto"/>
            <w:noWrap/>
            <w:vAlign w:val="bottom"/>
            <w:hideMark/>
          </w:tcPr>
          <w:p w14:paraId="5C425E96"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Лискинский</w:t>
            </w:r>
          </w:p>
        </w:tc>
        <w:tc>
          <w:tcPr>
            <w:tcW w:w="993" w:type="pct"/>
            <w:shd w:val="clear" w:color="auto" w:fill="auto"/>
            <w:noWrap/>
            <w:vAlign w:val="bottom"/>
            <w:hideMark/>
          </w:tcPr>
          <w:p w14:paraId="79337D07"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14,38</w:t>
            </w:r>
          </w:p>
        </w:tc>
        <w:tc>
          <w:tcPr>
            <w:tcW w:w="919" w:type="pct"/>
            <w:shd w:val="clear" w:color="auto" w:fill="auto"/>
            <w:noWrap/>
            <w:vAlign w:val="bottom"/>
            <w:hideMark/>
          </w:tcPr>
          <w:p w14:paraId="47505BE5"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949,83</w:t>
            </w:r>
          </w:p>
        </w:tc>
        <w:tc>
          <w:tcPr>
            <w:tcW w:w="1122" w:type="pct"/>
            <w:shd w:val="clear" w:color="auto" w:fill="auto"/>
            <w:noWrap/>
            <w:vAlign w:val="bottom"/>
            <w:hideMark/>
          </w:tcPr>
          <w:p w14:paraId="70E23ED3"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1 452,05</w:t>
            </w:r>
          </w:p>
        </w:tc>
        <w:tc>
          <w:tcPr>
            <w:tcW w:w="831" w:type="pct"/>
            <w:shd w:val="clear" w:color="auto" w:fill="auto"/>
            <w:noWrap/>
            <w:vAlign w:val="bottom"/>
            <w:hideMark/>
          </w:tcPr>
          <w:p w14:paraId="32910E4D"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13</w:t>
            </w:r>
          </w:p>
        </w:tc>
      </w:tr>
      <w:tr w:rsidR="00DB474C" w:rsidRPr="00AA0E67" w14:paraId="73F72512" w14:textId="77777777" w:rsidTr="00D15360">
        <w:trPr>
          <w:trHeight w:val="300"/>
        </w:trPr>
        <w:tc>
          <w:tcPr>
            <w:tcW w:w="1135" w:type="pct"/>
            <w:shd w:val="clear" w:color="auto" w:fill="auto"/>
            <w:noWrap/>
            <w:vAlign w:val="bottom"/>
            <w:hideMark/>
          </w:tcPr>
          <w:p w14:paraId="4FA06A79"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Нижнедевицкий</w:t>
            </w:r>
          </w:p>
        </w:tc>
        <w:tc>
          <w:tcPr>
            <w:tcW w:w="993" w:type="pct"/>
            <w:shd w:val="clear" w:color="auto" w:fill="auto"/>
            <w:noWrap/>
            <w:vAlign w:val="bottom"/>
            <w:hideMark/>
          </w:tcPr>
          <w:p w14:paraId="582192A1"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1B02FFD6"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5D1D63F2"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4B902563"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6E2E8CD0" w14:textId="77777777" w:rsidTr="00D15360">
        <w:trPr>
          <w:trHeight w:val="300"/>
        </w:trPr>
        <w:tc>
          <w:tcPr>
            <w:tcW w:w="1135" w:type="pct"/>
            <w:shd w:val="clear" w:color="auto" w:fill="auto"/>
            <w:noWrap/>
            <w:vAlign w:val="bottom"/>
            <w:hideMark/>
          </w:tcPr>
          <w:p w14:paraId="6B562922"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Новоусманский</w:t>
            </w:r>
          </w:p>
        </w:tc>
        <w:tc>
          <w:tcPr>
            <w:tcW w:w="993" w:type="pct"/>
            <w:shd w:val="clear" w:color="auto" w:fill="auto"/>
            <w:noWrap/>
            <w:vAlign w:val="bottom"/>
            <w:hideMark/>
          </w:tcPr>
          <w:p w14:paraId="6374F875"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14,03</w:t>
            </w:r>
          </w:p>
        </w:tc>
        <w:tc>
          <w:tcPr>
            <w:tcW w:w="919" w:type="pct"/>
            <w:shd w:val="clear" w:color="auto" w:fill="auto"/>
            <w:noWrap/>
            <w:vAlign w:val="bottom"/>
            <w:hideMark/>
          </w:tcPr>
          <w:p w14:paraId="196C8B21"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689,35</w:t>
            </w:r>
          </w:p>
        </w:tc>
        <w:tc>
          <w:tcPr>
            <w:tcW w:w="1122" w:type="pct"/>
            <w:shd w:val="clear" w:color="auto" w:fill="auto"/>
            <w:noWrap/>
            <w:vAlign w:val="bottom"/>
            <w:hideMark/>
          </w:tcPr>
          <w:p w14:paraId="742236AB"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2 674,70</w:t>
            </w:r>
          </w:p>
        </w:tc>
        <w:tc>
          <w:tcPr>
            <w:tcW w:w="831" w:type="pct"/>
            <w:shd w:val="clear" w:color="auto" w:fill="auto"/>
            <w:noWrap/>
            <w:vAlign w:val="bottom"/>
            <w:hideMark/>
          </w:tcPr>
          <w:p w14:paraId="5F983B79"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99</w:t>
            </w:r>
          </w:p>
        </w:tc>
      </w:tr>
      <w:tr w:rsidR="00DB474C" w:rsidRPr="00AA0E67" w14:paraId="77E9FC4A" w14:textId="77777777" w:rsidTr="00D15360">
        <w:trPr>
          <w:trHeight w:val="300"/>
        </w:trPr>
        <w:tc>
          <w:tcPr>
            <w:tcW w:w="1135" w:type="pct"/>
            <w:shd w:val="clear" w:color="auto" w:fill="auto"/>
            <w:noWrap/>
            <w:vAlign w:val="bottom"/>
            <w:hideMark/>
          </w:tcPr>
          <w:p w14:paraId="0ADCEB12"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Новохоперский</w:t>
            </w:r>
          </w:p>
        </w:tc>
        <w:tc>
          <w:tcPr>
            <w:tcW w:w="993" w:type="pct"/>
            <w:shd w:val="clear" w:color="auto" w:fill="auto"/>
            <w:noWrap/>
            <w:vAlign w:val="bottom"/>
            <w:hideMark/>
          </w:tcPr>
          <w:p w14:paraId="5832CD68"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98,81</w:t>
            </w:r>
          </w:p>
        </w:tc>
        <w:tc>
          <w:tcPr>
            <w:tcW w:w="919" w:type="pct"/>
            <w:shd w:val="clear" w:color="auto" w:fill="auto"/>
            <w:noWrap/>
            <w:vAlign w:val="bottom"/>
            <w:hideMark/>
          </w:tcPr>
          <w:p w14:paraId="2FFEEDA4"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98,81</w:t>
            </w:r>
          </w:p>
        </w:tc>
        <w:tc>
          <w:tcPr>
            <w:tcW w:w="1122" w:type="pct"/>
            <w:shd w:val="clear" w:color="auto" w:fill="auto"/>
            <w:noWrap/>
            <w:vAlign w:val="bottom"/>
            <w:hideMark/>
          </w:tcPr>
          <w:p w14:paraId="61EF84C4"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98,81</w:t>
            </w:r>
          </w:p>
        </w:tc>
        <w:tc>
          <w:tcPr>
            <w:tcW w:w="831" w:type="pct"/>
            <w:shd w:val="clear" w:color="auto" w:fill="auto"/>
            <w:noWrap/>
            <w:vAlign w:val="bottom"/>
            <w:hideMark/>
          </w:tcPr>
          <w:p w14:paraId="3CC54B63"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w:t>
            </w:r>
          </w:p>
        </w:tc>
      </w:tr>
      <w:tr w:rsidR="00DB474C" w:rsidRPr="00AA0E67" w14:paraId="211E58B0" w14:textId="77777777" w:rsidTr="00D15360">
        <w:trPr>
          <w:trHeight w:val="300"/>
        </w:trPr>
        <w:tc>
          <w:tcPr>
            <w:tcW w:w="1135" w:type="pct"/>
            <w:shd w:val="clear" w:color="auto" w:fill="auto"/>
            <w:noWrap/>
            <w:vAlign w:val="bottom"/>
            <w:hideMark/>
          </w:tcPr>
          <w:p w14:paraId="66808F3A"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Ольховатский</w:t>
            </w:r>
          </w:p>
        </w:tc>
        <w:tc>
          <w:tcPr>
            <w:tcW w:w="993" w:type="pct"/>
            <w:shd w:val="clear" w:color="auto" w:fill="auto"/>
            <w:noWrap/>
            <w:vAlign w:val="bottom"/>
            <w:hideMark/>
          </w:tcPr>
          <w:p w14:paraId="6D039715"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3DC7F9DD"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3BC9693A"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38D6BD06"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590CB810" w14:textId="77777777" w:rsidTr="00D15360">
        <w:trPr>
          <w:trHeight w:val="300"/>
        </w:trPr>
        <w:tc>
          <w:tcPr>
            <w:tcW w:w="1135" w:type="pct"/>
            <w:shd w:val="clear" w:color="auto" w:fill="auto"/>
            <w:noWrap/>
            <w:vAlign w:val="bottom"/>
            <w:hideMark/>
          </w:tcPr>
          <w:p w14:paraId="243D12AF"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Острогожский</w:t>
            </w:r>
          </w:p>
        </w:tc>
        <w:tc>
          <w:tcPr>
            <w:tcW w:w="993" w:type="pct"/>
            <w:shd w:val="clear" w:color="auto" w:fill="auto"/>
            <w:noWrap/>
            <w:vAlign w:val="bottom"/>
            <w:hideMark/>
          </w:tcPr>
          <w:p w14:paraId="560286A2"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39F3E47F"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5C91A856"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5AF3E107"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4F17C772" w14:textId="77777777" w:rsidTr="00D15360">
        <w:trPr>
          <w:trHeight w:val="300"/>
        </w:trPr>
        <w:tc>
          <w:tcPr>
            <w:tcW w:w="1135" w:type="pct"/>
            <w:shd w:val="clear" w:color="auto" w:fill="auto"/>
            <w:noWrap/>
            <w:vAlign w:val="bottom"/>
            <w:hideMark/>
          </w:tcPr>
          <w:p w14:paraId="57FE1494"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Павловский</w:t>
            </w:r>
          </w:p>
        </w:tc>
        <w:tc>
          <w:tcPr>
            <w:tcW w:w="993" w:type="pct"/>
            <w:shd w:val="clear" w:color="auto" w:fill="auto"/>
            <w:noWrap/>
            <w:vAlign w:val="bottom"/>
            <w:hideMark/>
          </w:tcPr>
          <w:p w14:paraId="496858A4"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431D747A"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5C0A518C"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12E750E9"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4E1CED7B" w14:textId="77777777" w:rsidTr="00D15360">
        <w:trPr>
          <w:trHeight w:val="300"/>
        </w:trPr>
        <w:tc>
          <w:tcPr>
            <w:tcW w:w="1135" w:type="pct"/>
            <w:shd w:val="clear" w:color="auto" w:fill="auto"/>
            <w:noWrap/>
            <w:vAlign w:val="bottom"/>
            <w:hideMark/>
          </w:tcPr>
          <w:p w14:paraId="5E4B4138"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Панинский</w:t>
            </w:r>
          </w:p>
        </w:tc>
        <w:tc>
          <w:tcPr>
            <w:tcW w:w="993" w:type="pct"/>
            <w:shd w:val="clear" w:color="auto" w:fill="auto"/>
            <w:noWrap/>
            <w:vAlign w:val="bottom"/>
            <w:hideMark/>
          </w:tcPr>
          <w:p w14:paraId="0811F543"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134,12</w:t>
            </w:r>
          </w:p>
        </w:tc>
        <w:tc>
          <w:tcPr>
            <w:tcW w:w="919" w:type="pct"/>
            <w:shd w:val="clear" w:color="auto" w:fill="auto"/>
            <w:noWrap/>
            <w:vAlign w:val="bottom"/>
            <w:hideMark/>
          </w:tcPr>
          <w:p w14:paraId="33FABEBE"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227,43</w:t>
            </w:r>
          </w:p>
        </w:tc>
        <w:tc>
          <w:tcPr>
            <w:tcW w:w="1122" w:type="pct"/>
            <w:shd w:val="clear" w:color="auto" w:fill="auto"/>
            <w:noWrap/>
            <w:vAlign w:val="bottom"/>
            <w:hideMark/>
          </w:tcPr>
          <w:p w14:paraId="357449BA"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375,45</w:t>
            </w:r>
          </w:p>
        </w:tc>
        <w:tc>
          <w:tcPr>
            <w:tcW w:w="831" w:type="pct"/>
            <w:shd w:val="clear" w:color="auto" w:fill="auto"/>
            <w:noWrap/>
            <w:vAlign w:val="bottom"/>
            <w:hideMark/>
          </w:tcPr>
          <w:p w14:paraId="493D4215"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4</w:t>
            </w:r>
          </w:p>
        </w:tc>
      </w:tr>
      <w:tr w:rsidR="00DB474C" w:rsidRPr="00AA0E67" w14:paraId="25B8CC41" w14:textId="77777777" w:rsidTr="00D15360">
        <w:trPr>
          <w:trHeight w:val="300"/>
        </w:trPr>
        <w:tc>
          <w:tcPr>
            <w:tcW w:w="1135" w:type="pct"/>
            <w:shd w:val="clear" w:color="auto" w:fill="auto"/>
            <w:noWrap/>
            <w:vAlign w:val="bottom"/>
            <w:hideMark/>
          </w:tcPr>
          <w:p w14:paraId="46CF56F5"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Петропавловский</w:t>
            </w:r>
          </w:p>
        </w:tc>
        <w:tc>
          <w:tcPr>
            <w:tcW w:w="993" w:type="pct"/>
            <w:shd w:val="clear" w:color="auto" w:fill="auto"/>
            <w:noWrap/>
            <w:vAlign w:val="bottom"/>
            <w:hideMark/>
          </w:tcPr>
          <w:p w14:paraId="1B47D597"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2DD9BA81"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14D4A6A1"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3D093812"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36BB73FC" w14:textId="77777777" w:rsidTr="00D15360">
        <w:trPr>
          <w:trHeight w:val="300"/>
        </w:trPr>
        <w:tc>
          <w:tcPr>
            <w:tcW w:w="1135" w:type="pct"/>
            <w:shd w:val="clear" w:color="auto" w:fill="auto"/>
            <w:noWrap/>
            <w:vAlign w:val="bottom"/>
            <w:hideMark/>
          </w:tcPr>
          <w:p w14:paraId="3D80988E"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Поворинский</w:t>
            </w:r>
          </w:p>
        </w:tc>
        <w:tc>
          <w:tcPr>
            <w:tcW w:w="993" w:type="pct"/>
            <w:shd w:val="clear" w:color="auto" w:fill="auto"/>
            <w:noWrap/>
            <w:vAlign w:val="bottom"/>
            <w:hideMark/>
          </w:tcPr>
          <w:p w14:paraId="0969493E"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272B9835"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4E7AE412"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5B8C76EE"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2923362A" w14:textId="77777777" w:rsidTr="00D15360">
        <w:trPr>
          <w:trHeight w:val="300"/>
        </w:trPr>
        <w:tc>
          <w:tcPr>
            <w:tcW w:w="1135" w:type="pct"/>
            <w:shd w:val="clear" w:color="auto" w:fill="auto"/>
            <w:noWrap/>
            <w:vAlign w:val="bottom"/>
            <w:hideMark/>
          </w:tcPr>
          <w:p w14:paraId="505D571F"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Подгоренский</w:t>
            </w:r>
          </w:p>
        </w:tc>
        <w:tc>
          <w:tcPr>
            <w:tcW w:w="993" w:type="pct"/>
            <w:shd w:val="clear" w:color="auto" w:fill="auto"/>
            <w:noWrap/>
            <w:vAlign w:val="bottom"/>
            <w:hideMark/>
          </w:tcPr>
          <w:p w14:paraId="27E43287"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78733EF4"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784315A4"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40A23049"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04F07296" w14:textId="77777777" w:rsidTr="00D15360">
        <w:trPr>
          <w:trHeight w:val="300"/>
        </w:trPr>
        <w:tc>
          <w:tcPr>
            <w:tcW w:w="1135" w:type="pct"/>
            <w:shd w:val="clear" w:color="auto" w:fill="auto"/>
            <w:noWrap/>
            <w:vAlign w:val="bottom"/>
            <w:hideMark/>
          </w:tcPr>
          <w:p w14:paraId="46E1B456"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Рамонский</w:t>
            </w:r>
          </w:p>
        </w:tc>
        <w:tc>
          <w:tcPr>
            <w:tcW w:w="993" w:type="pct"/>
            <w:shd w:val="clear" w:color="auto" w:fill="auto"/>
            <w:noWrap/>
            <w:vAlign w:val="bottom"/>
            <w:hideMark/>
          </w:tcPr>
          <w:p w14:paraId="5BD0213B"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60,76</w:t>
            </w:r>
          </w:p>
        </w:tc>
        <w:tc>
          <w:tcPr>
            <w:tcW w:w="919" w:type="pct"/>
            <w:shd w:val="clear" w:color="auto" w:fill="auto"/>
            <w:noWrap/>
            <w:vAlign w:val="bottom"/>
            <w:hideMark/>
          </w:tcPr>
          <w:p w14:paraId="5A97B40A"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1 979,31</w:t>
            </w:r>
          </w:p>
        </w:tc>
        <w:tc>
          <w:tcPr>
            <w:tcW w:w="1122" w:type="pct"/>
            <w:shd w:val="clear" w:color="auto" w:fill="auto"/>
            <w:noWrap/>
            <w:vAlign w:val="bottom"/>
            <w:hideMark/>
          </w:tcPr>
          <w:p w14:paraId="08E2DB26"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10 845,37</w:t>
            </w:r>
          </w:p>
        </w:tc>
        <w:tc>
          <w:tcPr>
            <w:tcW w:w="831" w:type="pct"/>
            <w:shd w:val="clear" w:color="auto" w:fill="auto"/>
            <w:noWrap/>
            <w:vAlign w:val="bottom"/>
            <w:hideMark/>
          </w:tcPr>
          <w:p w14:paraId="01FDE96C"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7</w:t>
            </w:r>
          </w:p>
        </w:tc>
      </w:tr>
      <w:tr w:rsidR="00DB474C" w:rsidRPr="00AA0E67" w14:paraId="6CBE32D8" w14:textId="77777777" w:rsidTr="00D15360">
        <w:trPr>
          <w:trHeight w:val="300"/>
        </w:trPr>
        <w:tc>
          <w:tcPr>
            <w:tcW w:w="1135" w:type="pct"/>
            <w:shd w:val="clear" w:color="auto" w:fill="auto"/>
            <w:noWrap/>
            <w:vAlign w:val="bottom"/>
            <w:hideMark/>
          </w:tcPr>
          <w:p w14:paraId="17688744"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Репьевский</w:t>
            </w:r>
          </w:p>
        </w:tc>
        <w:tc>
          <w:tcPr>
            <w:tcW w:w="993" w:type="pct"/>
            <w:shd w:val="clear" w:color="auto" w:fill="auto"/>
            <w:noWrap/>
            <w:vAlign w:val="bottom"/>
            <w:hideMark/>
          </w:tcPr>
          <w:p w14:paraId="2019EA9A"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1D49D54D"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3488A169"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78A4FE56"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7632237D" w14:textId="77777777" w:rsidTr="00D15360">
        <w:trPr>
          <w:trHeight w:val="300"/>
        </w:trPr>
        <w:tc>
          <w:tcPr>
            <w:tcW w:w="1135" w:type="pct"/>
            <w:shd w:val="clear" w:color="auto" w:fill="auto"/>
            <w:noWrap/>
            <w:vAlign w:val="bottom"/>
            <w:hideMark/>
          </w:tcPr>
          <w:p w14:paraId="57B18BF7"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Россошанский</w:t>
            </w:r>
          </w:p>
        </w:tc>
        <w:tc>
          <w:tcPr>
            <w:tcW w:w="993" w:type="pct"/>
            <w:shd w:val="clear" w:color="auto" w:fill="auto"/>
            <w:noWrap/>
            <w:vAlign w:val="bottom"/>
            <w:hideMark/>
          </w:tcPr>
          <w:p w14:paraId="51537A8A"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0A90EAFC"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749379C5"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58B36B8F"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7E2BEA1D" w14:textId="77777777" w:rsidTr="00D15360">
        <w:trPr>
          <w:trHeight w:val="300"/>
        </w:trPr>
        <w:tc>
          <w:tcPr>
            <w:tcW w:w="1135" w:type="pct"/>
            <w:shd w:val="clear" w:color="auto" w:fill="auto"/>
            <w:noWrap/>
            <w:vAlign w:val="bottom"/>
            <w:hideMark/>
          </w:tcPr>
          <w:p w14:paraId="7C886ABE"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Семилукский</w:t>
            </w:r>
          </w:p>
        </w:tc>
        <w:tc>
          <w:tcPr>
            <w:tcW w:w="993" w:type="pct"/>
            <w:shd w:val="clear" w:color="auto" w:fill="auto"/>
            <w:noWrap/>
            <w:vAlign w:val="bottom"/>
            <w:hideMark/>
          </w:tcPr>
          <w:p w14:paraId="1873F070"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24,48</w:t>
            </w:r>
          </w:p>
        </w:tc>
        <w:tc>
          <w:tcPr>
            <w:tcW w:w="919" w:type="pct"/>
            <w:shd w:val="clear" w:color="auto" w:fill="auto"/>
            <w:noWrap/>
            <w:vAlign w:val="bottom"/>
            <w:hideMark/>
          </w:tcPr>
          <w:p w14:paraId="32DBC471"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458,09</w:t>
            </w:r>
          </w:p>
        </w:tc>
        <w:tc>
          <w:tcPr>
            <w:tcW w:w="1122" w:type="pct"/>
            <w:shd w:val="clear" w:color="auto" w:fill="auto"/>
            <w:noWrap/>
            <w:vAlign w:val="bottom"/>
            <w:hideMark/>
          </w:tcPr>
          <w:p w14:paraId="340BEF07"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1 300,44</w:t>
            </w:r>
          </w:p>
        </w:tc>
        <w:tc>
          <w:tcPr>
            <w:tcW w:w="831" w:type="pct"/>
            <w:shd w:val="clear" w:color="auto" w:fill="auto"/>
            <w:noWrap/>
            <w:vAlign w:val="bottom"/>
            <w:hideMark/>
          </w:tcPr>
          <w:p w14:paraId="48DDC06D"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5</w:t>
            </w:r>
          </w:p>
        </w:tc>
      </w:tr>
      <w:tr w:rsidR="00DB474C" w:rsidRPr="00AA0E67" w14:paraId="3D0446CA" w14:textId="77777777" w:rsidTr="00D15360">
        <w:trPr>
          <w:trHeight w:val="300"/>
        </w:trPr>
        <w:tc>
          <w:tcPr>
            <w:tcW w:w="1135" w:type="pct"/>
            <w:shd w:val="clear" w:color="auto" w:fill="auto"/>
            <w:noWrap/>
            <w:vAlign w:val="bottom"/>
            <w:hideMark/>
          </w:tcPr>
          <w:p w14:paraId="75C1568A"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Таловский</w:t>
            </w:r>
          </w:p>
        </w:tc>
        <w:tc>
          <w:tcPr>
            <w:tcW w:w="993" w:type="pct"/>
            <w:shd w:val="clear" w:color="auto" w:fill="auto"/>
            <w:noWrap/>
            <w:vAlign w:val="bottom"/>
            <w:hideMark/>
          </w:tcPr>
          <w:p w14:paraId="1521DDA7"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4F410A56"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0D3667B4"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7B350B6D"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287E9A63" w14:textId="77777777" w:rsidTr="00D15360">
        <w:trPr>
          <w:trHeight w:val="300"/>
        </w:trPr>
        <w:tc>
          <w:tcPr>
            <w:tcW w:w="1135" w:type="pct"/>
            <w:shd w:val="clear" w:color="auto" w:fill="auto"/>
            <w:noWrap/>
            <w:vAlign w:val="bottom"/>
            <w:hideMark/>
          </w:tcPr>
          <w:p w14:paraId="681C8654"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Терновский</w:t>
            </w:r>
          </w:p>
        </w:tc>
        <w:tc>
          <w:tcPr>
            <w:tcW w:w="993" w:type="pct"/>
            <w:shd w:val="clear" w:color="auto" w:fill="auto"/>
            <w:noWrap/>
            <w:vAlign w:val="bottom"/>
            <w:hideMark/>
          </w:tcPr>
          <w:p w14:paraId="295A2147"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01BB75B1"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0F9EB310"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56482349"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03271DD3" w14:textId="77777777" w:rsidTr="00D15360">
        <w:trPr>
          <w:trHeight w:val="300"/>
        </w:trPr>
        <w:tc>
          <w:tcPr>
            <w:tcW w:w="1135" w:type="pct"/>
            <w:shd w:val="clear" w:color="auto" w:fill="auto"/>
            <w:noWrap/>
            <w:vAlign w:val="bottom"/>
            <w:hideMark/>
          </w:tcPr>
          <w:p w14:paraId="1BF58CE7"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Хохольский</w:t>
            </w:r>
          </w:p>
        </w:tc>
        <w:tc>
          <w:tcPr>
            <w:tcW w:w="993" w:type="pct"/>
            <w:shd w:val="clear" w:color="auto" w:fill="auto"/>
            <w:noWrap/>
            <w:vAlign w:val="bottom"/>
            <w:hideMark/>
          </w:tcPr>
          <w:p w14:paraId="362B3197"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52,00</w:t>
            </w:r>
          </w:p>
        </w:tc>
        <w:tc>
          <w:tcPr>
            <w:tcW w:w="919" w:type="pct"/>
            <w:shd w:val="clear" w:color="auto" w:fill="auto"/>
            <w:noWrap/>
            <w:vAlign w:val="bottom"/>
            <w:hideMark/>
          </w:tcPr>
          <w:p w14:paraId="321A461F"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193,40</w:t>
            </w:r>
          </w:p>
        </w:tc>
        <w:tc>
          <w:tcPr>
            <w:tcW w:w="1122" w:type="pct"/>
            <w:shd w:val="clear" w:color="auto" w:fill="auto"/>
            <w:noWrap/>
            <w:vAlign w:val="bottom"/>
            <w:hideMark/>
          </w:tcPr>
          <w:p w14:paraId="3500EC0E"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319,20</w:t>
            </w:r>
          </w:p>
        </w:tc>
        <w:tc>
          <w:tcPr>
            <w:tcW w:w="831" w:type="pct"/>
            <w:shd w:val="clear" w:color="auto" w:fill="auto"/>
            <w:noWrap/>
            <w:vAlign w:val="bottom"/>
            <w:hideMark/>
          </w:tcPr>
          <w:p w14:paraId="7F6C91ED"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6</w:t>
            </w:r>
          </w:p>
        </w:tc>
      </w:tr>
      <w:tr w:rsidR="00DB474C" w:rsidRPr="00AA0E67" w14:paraId="078DB1C4" w14:textId="77777777" w:rsidTr="00D15360">
        <w:trPr>
          <w:trHeight w:val="300"/>
        </w:trPr>
        <w:tc>
          <w:tcPr>
            <w:tcW w:w="1135" w:type="pct"/>
            <w:shd w:val="clear" w:color="auto" w:fill="auto"/>
            <w:noWrap/>
            <w:vAlign w:val="bottom"/>
            <w:hideMark/>
          </w:tcPr>
          <w:p w14:paraId="0EAFCA59"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Эртильский</w:t>
            </w:r>
          </w:p>
        </w:tc>
        <w:tc>
          <w:tcPr>
            <w:tcW w:w="993" w:type="pct"/>
            <w:shd w:val="clear" w:color="auto" w:fill="auto"/>
            <w:noWrap/>
            <w:vAlign w:val="bottom"/>
            <w:hideMark/>
          </w:tcPr>
          <w:p w14:paraId="08F26FA3"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919" w:type="pct"/>
            <w:shd w:val="clear" w:color="auto" w:fill="auto"/>
            <w:noWrap/>
            <w:vAlign w:val="bottom"/>
            <w:hideMark/>
          </w:tcPr>
          <w:p w14:paraId="57B16647"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1122" w:type="pct"/>
            <w:shd w:val="clear" w:color="auto" w:fill="auto"/>
            <w:noWrap/>
            <w:vAlign w:val="bottom"/>
            <w:hideMark/>
          </w:tcPr>
          <w:p w14:paraId="4BAD961F"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c>
          <w:tcPr>
            <w:tcW w:w="831" w:type="pct"/>
            <w:shd w:val="clear" w:color="auto" w:fill="auto"/>
            <w:noWrap/>
            <w:vAlign w:val="bottom"/>
            <w:hideMark/>
          </w:tcPr>
          <w:p w14:paraId="5D65056B"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w:t>
            </w:r>
          </w:p>
        </w:tc>
      </w:tr>
      <w:tr w:rsidR="00DB474C" w:rsidRPr="00AA0E67" w14:paraId="701FFC7F" w14:textId="77777777" w:rsidTr="00D15360">
        <w:trPr>
          <w:trHeight w:val="300"/>
        </w:trPr>
        <w:tc>
          <w:tcPr>
            <w:tcW w:w="1135" w:type="pct"/>
            <w:shd w:val="clear" w:color="auto" w:fill="auto"/>
            <w:noWrap/>
            <w:vAlign w:val="bottom"/>
            <w:hideMark/>
          </w:tcPr>
          <w:p w14:paraId="61E96226"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г.о.г. Нововоронеж</w:t>
            </w:r>
          </w:p>
        </w:tc>
        <w:tc>
          <w:tcPr>
            <w:tcW w:w="993" w:type="pct"/>
            <w:shd w:val="clear" w:color="auto" w:fill="auto"/>
            <w:noWrap/>
            <w:vAlign w:val="bottom"/>
            <w:hideMark/>
          </w:tcPr>
          <w:p w14:paraId="5167439D"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143,94</w:t>
            </w:r>
          </w:p>
        </w:tc>
        <w:tc>
          <w:tcPr>
            <w:tcW w:w="919" w:type="pct"/>
            <w:shd w:val="clear" w:color="auto" w:fill="auto"/>
            <w:noWrap/>
            <w:vAlign w:val="bottom"/>
            <w:hideMark/>
          </w:tcPr>
          <w:p w14:paraId="0199C8E3"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342,12</w:t>
            </w:r>
          </w:p>
        </w:tc>
        <w:tc>
          <w:tcPr>
            <w:tcW w:w="1122" w:type="pct"/>
            <w:shd w:val="clear" w:color="auto" w:fill="auto"/>
            <w:noWrap/>
            <w:vAlign w:val="bottom"/>
            <w:hideMark/>
          </w:tcPr>
          <w:p w14:paraId="03BC60B2"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819,00</w:t>
            </w:r>
          </w:p>
        </w:tc>
        <w:tc>
          <w:tcPr>
            <w:tcW w:w="831" w:type="pct"/>
            <w:shd w:val="clear" w:color="auto" w:fill="auto"/>
            <w:noWrap/>
            <w:vAlign w:val="bottom"/>
            <w:hideMark/>
          </w:tcPr>
          <w:p w14:paraId="6CD630EE"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5</w:t>
            </w:r>
          </w:p>
        </w:tc>
      </w:tr>
      <w:tr w:rsidR="00DB474C" w:rsidRPr="00AA0E67" w14:paraId="50C767DA" w14:textId="77777777" w:rsidTr="00D15360">
        <w:trPr>
          <w:trHeight w:val="300"/>
        </w:trPr>
        <w:tc>
          <w:tcPr>
            <w:tcW w:w="1135" w:type="pct"/>
            <w:shd w:val="clear" w:color="auto" w:fill="auto"/>
            <w:noWrap/>
            <w:vAlign w:val="bottom"/>
            <w:hideMark/>
          </w:tcPr>
          <w:p w14:paraId="16269398" w14:textId="77777777" w:rsidR="00DB474C" w:rsidRPr="00AA0E67" w:rsidRDefault="00DB474C" w:rsidP="00DB474C">
            <w:pPr>
              <w:spacing w:after="0" w:line="240" w:lineRule="auto"/>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г.о.г. Воронеж</w:t>
            </w:r>
          </w:p>
        </w:tc>
        <w:tc>
          <w:tcPr>
            <w:tcW w:w="993" w:type="pct"/>
            <w:shd w:val="clear" w:color="auto" w:fill="auto"/>
            <w:noWrap/>
            <w:vAlign w:val="bottom"/>
            <w:hideMark/>
          </w:tcPr>
          <w:p w14:paraId="60F8E0A5"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306,18</w:t>
            </w:r>
          </w:p>
        </w:tc>
        <w:tc>
          <w:tcPr>
            <w:tcW w:w="919" w:type="pct"/>
            <w:shd w:val="clear" w:color="auto" w:fill="auto"/>
            <w:noWrap/>
            <w:vAlign w:val="bottom"/>
            <w:hideMark/>
          </w:tcPr>
          <w:p w14:paraId="46CEFD25"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10 379,29</w:t>
            </w:r>
          </w:p>
        </w:tc>
        <w:tc>
          <w:tcPr>
            <w:tcW w:w="1122" w:type="pct"/>
            <w:shd w:val="clear" w:color="auto" w:fill="auto"/>
            <w:noWrap/>
            <w:vAlign w:val="bottom"/>
            <w:hideMark/>
          </w:tcPr>
          <w:p w14:paraId="0DD2612A"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38 360,66</w:t>
            </w:r>
          </w:p>
        </w:tc>
        <w:tc>
          <w:tcPr>
            <w:tcW w:w="831" w:type="pct"/>
            <w:shd w:val="clear" w:color="auto" w:fill="auto"/>
            <w:noWrap/>
            <w:vAlign w:val="bottom"/>
            <w:hideMark/>
          </w:tcPr>
          <w:p w14:paraId="5AE6513D" w14:textId="77777777" w:rsidR="00DB474C" w:rsidRPr="00AA0E67" w:rsidRDefault="00DB474C" w:rsidP="00DB474C">
            <w:pPr>
              <w:spacing w:after="0" w:line="240" w:lineRule="auto"/>
              <w:jc w:val="right"/>
              <w:rPr>
                <w:rFonts w:ascii="Times New Roman" w:eastAsia="Times New Roman" w:hAnsi="Times New Roman" w:cs="Times New Roman"/>
                <w:color w:val="000000"/>
                <w:lang w:eastAsia="ru-RU"/>
              </w:rPr>
            </w:pPr>
            <w:r w:rsidRPr="00AA0E67">
              <w:rPr>
                <w:rFonts w:ascii="Times New Roman" w:eastAsia="Times New Roman" w:hAnsi="Times New Roman" w:cs="Times New Roman"/>
                <w:color w:val="000000"/>
                <w:lang w:eastAsia="ru-RU"/>
              </w:rPr>
              <w:t>16</w:t>
            </w:r>
          </w:p>
        </w:tc>
      </w:tr>
      <w:tr w:rsidR="00DB474C" w:rsidRPr="00AA0E67" w14:paraId="7BD4F4C1" w14:textId="77777777" w:rsidTr="00D15360">
        <w:trPr>
          <w:trHeight w:val="300"/>
        </w:trPr>
        <w:tc>
          <w:tcPr>
            <w:tcW w:w="1135" w:type="pct"/>
            <w:shd w:val="clear" w:color="auto" w:fill="auto"/>
            <w:noWrap/>
            <w:vAlign w:val="bottom"/>
            <w:hideMark/>
          </w:tcPr>
          <w:p w14:paraId="0CE7F61B" w14:textId="77777777" w:rsidR="00DB474C" w:rsidRPr="00AA0E67" w:rsidRDefault="00DB474C" w:rsidP="00DB474C">
            <w:pPr>
              <w:spacing w:after="0" w:line="240" w:lineRule="auto"/>
              <w:rPr>
                <w:rFonts w:ascii="Times New Roman" w:eastAsia="Times New Roman" w:hAnsi="Times New Roman" w:cs="Times New Roman"/>
                <w:b/>
                <w:color w:val="000000"/>
                <w:lang w:eastAsia="ru-RU"/>
              </w:rPr>
            </w:pPr>
            <w:r w:rsidRPr="00AA0E67">
              <w:rPr>
                <w:rFonts w:ascii="Times New Roman" w:eastAsia="Times New Roman" w:hAnsi="Times New Roman" w:cs="Times New Roman"/>
                <w:b/>
                <w:color w:val="000000"/>
                <w:lang w:eastAsia="ru-RU"/>
              </w:rPr>
              <w:t>Общий итог</w:t>
            </w:r>
          </w:p>
        </w:tc>
        <w:tc>
          <w:tcPr>
            <w:tcW w:w="993" w:type="pct"/>
            <w:shd w:val="clear" w:color="auto" w:fill="auto"/>
            <w:noWrap/>
            <w:vAlign w:val="bottom"/>
            <w:hideMark/>
          </w:tcPr>
          <w:p w14:paraId="39D93077" w14:textId="77777777" w:rsidR="00DB474C" w:rsidRPr="00AA0E67" w:rsidRDefault="00DB474C" w:rsidP="00DB474C">
            <w:pPr>
              <w:spacing w:after="0" w:line="240" w:lineRule="auto"/>
              <w:jc w:val="right"/>
              <w:rPr>
                <w:rFonts w:ascii="Times New Roman" w:eastAsia="Times New Roman" w:hAnsi="Times New Roman" w:cs="Times New Roman"/>
                <w:b/>
                <w:color w:val="000000"/>
                <w:lang w:eastAsia="ru-RU"/>
              </w:rPr>
            </w:pPr>
            <w:r w:rsidRPr="00AA0E67">
              <w:rPr>
                <w:rFonts w:ascii="Times New Roman" w:eastAsia="Times New Roman" w:hAnsi="Times New Roman" w:cs="Times New Roman"/>
                <w:b/>
                <w:color w:val="000000"/>
                <w:lang w:eastAsia="ru-RU"/>
              </w:rPr>
              <w:t>14,03</w:t>
            </w:r>
          </w:p>
        </w:tc>
        <w:tc>
          <w:tcPr>
            <w:tcW w:w="919" w:type="pct"/>
            <w:shd w:val="clear" w:color="auto" w:fill="auto"/>
            <w:noWrap/>
            <w:vAlign w:val="bottom"/>
            <w:hideMark/>
          </w:tcPr>
          <w:p w14:paraId="5C252A15" w14:textId="77777777" w:rsidR="00DB474C" w:rsidRPr="00AA0E67" w:rsidRDefault="00DB474C" w:rsidP="00DB474C">
            <w:pPr>
              <w:spacing w:after="0" w:line="240" w:lineRule="auto"/>
              <w:jc w:val="right"/>
              <w:rPr>
                <w:rFonts w:ascii="Times New Roman" w:eastAsia="Times New Roman" w:hAnsi="Times New Roman" w:cs="Times New Roman"/>
                <w:b/>
                <w:color w:val="000000"/>
                <w:lang w:eastAsia="ru-RU"/>
              </w:rPr>
            </w:pPr>
            <w:r w:rsidRPr="00AA0E67">
              <w:rPr>
                <w:rFonts w:ascii="Times New Roman" w:eastAsia="Times New Roman" w:hAnsi="Times New Roman" w:cs="Times New Roman"/>
                <w:b/>
                <w:color w:val="000000"/>
                <w:lang w:eastAsia="ru-RU"/>
              </w:rPr>
              <w:t>1 610,40</w:t>
            </w:r>
          </w:p>
        </w:tc>
        <w:tc>
          <w:tcPr>
            <w:tcW w:w="1122" w:type="pct"/>
            <w:shd w:val="clear" w:color="auto" w:fill="auto"/>
            <w:noWrap/>
            <w:vAlign w:val="bottom"/>
            <w:hideMark/>
          </w:tcPr>
          <w:p w14:paraId="18CC5434" w14:textId="77777777" w:rsidR="00DB474C" w:rsidRPr="00AA0E67" w:rsidRDefault="00DB474C" w:rsidP="00DB474C">
            <w:pPr>
              <w:spacing w:after="0" w:line="240" w:lineRule="auto"/>
              <w:jc w:val="right"/>
              <w:rPr>
                <w:rFonts w:ascii="Times New Roman" w:eastAsia="Times New Roman" w:hAnsi="Times New Roman" w:cs="Times New Roman"/>
                <w:b/>
                <w:color w:val="000000"/>
                <w:lang w:eastAsia="ru-RU"/>
              </w:rPr>
            </w:pPr>
            <w:r w:rsidRPr="00AA0E67">
              <w:rPr>
                <w:rFonts w:ascii="Times New Roman" w:eastAsia="Times New Roman" w:hAnsi="Times New Roman" w:cs="Times New Roman"/>
                <w:b/>
                <w:color w:val="000000"/>
                <w:lang w:eastAsia="ru-RU"/>
              </w:rPr>
              <w:t>38 360,66</w:t>
            </w:r>
          </w:p>
        </w:tc>
        <w:tc>
          <w:tcPr>
            <w:tcW w:w="831" w:type="pct"/>
            <w:shd w:val="clear" w:color="auto" w:fill="auto"/>
            <w:noWrap/>
            <w:vAlign w:val="bottom"/>
            <w:hideMark/>
          </w:tcPr>
          <w:p w14:paraId="71C709EE" w14:textId="77777777" w:rsidR="00DB474C" w:rsidRPr="00AA0E67" w:rsidRDefault="00DB474C" w:rsidP="00DB474C">
            <w:pPr>
              <w:spacing w:after="0" w:line="240" w:lineRule="auto"/>
              <w:jc w:val="right"/>
              <w:rPr>
                <w:rFonts w:ascii="Times New Roman" w:eastAsia="Times New Roman" w:hAnsi="Times New Roman" w:cs="Times New Roman"/>
                <w:b/>
                <w:color w:val="000000"/>
                <w:lang w:eastAsia="ru-RU"/>
              </w:rPr>
            </w:pPr>
            <w:r w:rsidRPr="00AA0E67">
              <w:rPr>
                <w:rFonts w:ascii="Times New Roman" w:eastAsia="Times New Roman" w:hAnsi="Times New Roman" w:cs="Times New Roman"/>
                <w:b/>
                <w:color w:val="000000"/>
                <w:lang w:eastAsia="ru-RU"/>
              </w:rPr>
              <w:t>170</w:t>
            </w:r>
          </w:p>
        </w:tc>
      </w:tr>
    </w:tbl>
    <w:p w14:paraId="33BE95B6" w14:textId="77777777" w:rsidR="00DB474C" w:rsidRDefault="00DB474C" w:rsidP="00DB474C">
      <w:pPr>
        <w:spacing w:before="120" w:after="0" w:line="276" w:lineRule="auto"/>
        <w:ind w:firstLine="708"/>
        <w:jc w:val="both"/>
        <w:rPr>
          <w:rFonts w:ascii="Times New Roman" w:hAnsi="Times New Roman" w:cs="Times New Roman"/>
          <w:sz w:val="26"/>
          <w:szCs w:val="26"/>
        </w:rPr>
      </w:pPr>
      <w:r>
        <w:rPr>
          <w:rFonts w:ascii="Times New Roman" w:hAnsi="Times New Roman" w:cs="Times New Roman"/>
          <w:sz w:val="26"/>
          <w:szCs w:val="26"/>
        </w:rPr>
        <w:t>Н</w:t>
      </w:r>
      <w:r w:rsidRPr="00D128B8">
        <w:rPr>
          <w:rFonts w:ascii="Times New Roman" w:hAnsi="Times New Roman" w:cs="Times New Roman"/>
          <w:sz w:val="26"/>
          <w:szCs w:val="26"/>
        </w:rPr>
        <w:t xml:space="preserve">аибольшее количество среди районов Воронежской области представлено в </w:t>
      </w:r>
      <w:r>
        <w:rPr>
          <w:rFonts w:ascii="Times New Roman" w:hAnsi="Times New Roman" w:cs="Times New Roman"/>
          <w:sz w:val="26"/>
          <w:szCs w:val="26"/>
        </w:rPr>
        <w:t>Новоусманском</w:t>
      </w:r>
      <w:r w:rsidRPr="00D128B8">
        <w:rPr>
          <w:rFonts w:ascii="Times New Roman" w:hAnsi="Times New Roman" w:cs="Times New Roman"/>
          <w:sz w:val="26"/>
          <w:szCs w:val="26"/>
        </w:rPr>
        <w:t xml:space="preserve"> районе</w:t>
      </w:r>
      <w:r>
        <w:rPr>
          <w:rFonts w:ascii="Times New Roman" w:hAnsi="Times New Roman" w:cs="Times New Roman"/>
          <w:sz w:val="26"/>
          <w:szCs w:val="26"/>
        </w:rPr>
        <w:t xml:space="preserve"> </w:t>
      </w:r>
      <w:r w:rsidRPr="00D128B8">
        <w:rPr>
          <w:rFonts w:ascii="Times New Roman" w:hAnsi="Times New Roman" w:cs="Times New Roman"/>
          <w:sz w:val="26"/>
          <w:szCs w:val="26"/>
        </w:rPr>
        <w:t xml:space="preserve">- </w:t>
      </w:r>
      <w:r>
        <w:rPr>
          <w:rFonts w:ascii="Times New Roman" w:hAnsi="Times New Roman" w:cs="Times New Roman"/>
          <w:sz w:val="26"/>
          <w:szCs w:val="26"/>
        </w:rPr>
        <w:t>99</w:t>
      </w:r>
      <w:r w:rsidRPr="00D128B8">
        <w:rPr>
          <w:rFonts w:ascii="Times New Roman" w:hAnsi="Times New Roman" w:cs="Times New Roman"/>
          <w:sz w:val="26"/>
          <w:szCs w:val="26"/>
        </w:rPr>
        <w:t xml:space="preserve"> предложений (сделки), что составляет </w:t>
      </w:r>
      <w:r>
        <w:rPr>
          <w:rFonts w:ascii="Times New Roman" w:hAnsi="Times New Roman" w:cs="Times New Roman"/>
          <w:sz w:val="26"/>
          <w:szCs w:val="26"/>
        </w:rPr>
        <w:t>58,23</w:t>
      </w:r>
      <w:r w:rsidRPr="00D128B8">
        <w:rPr>
          <w:rFonts w:ascii="Times New Roman" w:hAnsi="Times New Roman" w:cs="Times New Roman"/>
          <w:sz w:val="26"/>
          <w:szCs w:val="26"/>
        </w:rPr>
        <w:t xml:space="preserve">% от общего количества в </w:t>
      </w:r>
      <w:r w:rsidRPr="00493B9E">
        <w:rPr>
          <w:rFonts w:ascii="Times New Roman" w:hAnsi="Times New Roman" w:cs="Times New Roman"/>
          <w:sz w:val="26"/>
          <w:szCs w:val="26"/>
        </w:rPr>
        <w:t>сегменте</w:t>
      </w:r>
      <w:r>
        <w:rPr>
          <w:rFonts w:ascii="Times New Roman" w:hAnsi="Times New Roman" w:cs="Times New Roman"/>
          <w:sz w:val="26"/>
          <w:szCs w:val="26"/>
        </w:rPr>
        <w:t>. В ряде районов области предложений и сделок по продаже земельных участков для малоэтажной жилой застройки не представлено.</w:t>
      </w:r>
    </w:p>
    <w:p w14:paraId="31823BDD" w14:textId="77777777" w:rsidR="00DB474C" w:rsidRPr="00F705DE" w:rsidRDefault="00DB474C" w:rsidP="00DB474C">
      <w:pPr>
        <w:spacing w:after="0" w:line="276" w:lineRule="auto"/>
        <w:ind w:firstLine="709"/>
        <w:jc w:val="both"/>
        <w:rPr>
          <w:rFonts w:ascii="Times New Roman" w:hAnsi="Times New Roman" w:cs="Times New Roman"/>
          <w:sz w:val="26"/>
          <w:szCs w:val="26"/>
        </w:rPr>
      </w:pPr>
      <w:r w:rsidRPr="00493B9E">
        <w:rPr>
          <w:rFonts w:ascii="Times New Roman" w:hAnsi="Times New Roman" w:cs="Times New Roman"/>
          <w:sz w:val="26"/>
          <w:szCs w:val="26"/>
        </w:rPr>
        <w:t>Средний удельный показатель рыночной стоимости по г.</w:t>
      </w:r>
      <w:r>
        <w:rPr>
          <w:rFonts w:ascii="Times New Roman" w:hAnsi="Times New Roman" w:cs="Times New Roman"/>
          <w:sz w:val="26"/>
          <w:szCs w:val="26"/>
        </w:rPr>
        <w:t>о.г.</w:t>
      </w:r>
      <w:r w:rsidRPr="00493B9E">
        <w:rPr>
          <w:rFonts w:ascii="Times New Roman" w:hAnsi="Times New Roman" w:cs="Times New Roman"/>
          <w:sz w:val="26"/>
          <w:szCs w:val="26"/>
        </w:rPr>
        <w:t xml:space="preserve"> Воронеж составляет </w:t>
      </w:r>
      <w:r>
        <w:rPr>
          <w:rFonts w:ascii="Times New Roman" w:hAnsi="Times New Roman" w:cs="Times New Roman"/>
          <w:sz w:val="26"/>
          <w:szCs w:val="26"/>
        </w:rPr>
        <w:t>10 379,29</w:t>
      </w:r>
      <w:r w:rsidRPr="00493B9E">
        <w:rPr>
          <w:rFonts w:ascii="Times New Roman" w:hAnsi="Times New Roman" w:cs="Times New Roman"/>
          <w:sz w:val="26"/>
          <w:szCs w:val="26"/>
        </w:rPr>
        <w:t xml:space="preserve"> руб./кв.м, диапазон цен обширен</w:t>
      </w:r>
      <w:r>
        <w:rPr>
          <w:rFonts w:ascii="Times New Roman" w:hAnsi="Times New Roman" w:cs="Times New Roman"/>
          <w:sz w:val="26"/>
          <w:szCs w:val="26"/>
        </w:rPr>
        <w:t xml:space="preserve"> </w:t>
      </w:r>
      <w:r w:rsidRPr="00493B9E">
        <w:rPr>
          <w:rFonts w:ascii="Times New Roman" w:hAnsi="Times New Roman" w:cs="Times New Roman"/>
          <w:sz w:val="26"/>
          <w:szCs w:val="26"/>
        </w:rPr>
        <w:t xml:space="preserve">- от </w:t>
      </w:r>
      <w:r>
        <w:rPr>
          <w:rFonts w:ascii="Times New Roman" w:hAnsi="Times New Roman" w:cs="Times New Roman"/>
          <w:sz w:val="26"/>
          <w:szCs w:val="26"/>
        </w:rPr>
        <w:t>306,18</w:t>
      </w:r>
      <w:r w:rsidRPr="00493B9E">
        <w:rPr>
          <w:rFonts w:ascii="Times New Roman" w:hAnsi="Times New Roman" w:cs="Times New Roman"/>
          <w:sz w:val="26"/>
          <w:szCs w:val="26"/>
        </w:rPr>
        <w:t xml:space="preserve"> до </w:t>
      </w:r>
      <w:r>
        <w:rPr>
          <w:rFonts w:ascii="Times New Roman" w:hAnsi="Times New Roman" w:cs="Times New Roman"/>
          <w:sz w:val="26"/>
          <w:szCs w:val="26"/>
        </w:rPr>
        <w:t>38 360,66</w:t>
      </w:r>
      <w:r w:rsidRPr="00493B9E">
        <w:rPr>
          <w:rFonts w:ascii="Times New Roman" w:hAnsi="Times New Roman" w:cs="Times New Roman"/>
          <w:sz w:val="26"/>
          <w:szCs w:val="26"/>
        </w:rPr>
        <w:t xml:space="preserve"> руб./кв.м.  Наибольший средний удельный показатель рыночной стоимости среди районов Воронежской области сложился в </w:t>
      </w:r>
      <w:r>
        <w:rPr>
          <w:rFonts w:ascii="Times New Roman" w:hAnsi="Times New Roman" w:cs="Times New Roman"/>
          <w:sz w:val="26"/>
          <w:szCs w:val="26"/>
        </w:rPr>
        <w:t>Рамонском</w:t>
      </w:r>
      <w:r w:rsidRPr="00493B9E">
        <w:rPr>
          <w:rFonts w:ascii="Times New Roman" w:hAnsi="Times New Roman" w:cs="Times New Roman"/>
          <w:sz w:val="26"/>
          <w:szCs w:val="26"/>
        </w:rPr>
        <w:t xml:space="preserve"> районе в размере </w:t>
      </w:r>
      <w:r>
        <w:rPr>
          <w:rFonts w:ascii="Times New Roman" w:hAnsi="Times New Roman" w:cs="Times New Roman"/>
          <w:sz w:val="26"/>
          <w:szCs w:val="26"/>
        </w:rPr>
        <w:t>1 979,31</w:t>
      </w:r>
      <w:r w:rsidRPr="00493B9E">
        <w:rPr>
          <w:rFonts w:ascii="Times New Roman" w:hAnsi="Times New Roman" w:cs="Times New Roman"/>
          <w:sz w:val="26"/>
          <w:szCs w:val="26"/>
        </w:rPr>
        <w:t xml:space="preserve"> </w:t>
      </w:r>
      <w:r w:rsidRPr="00F705DE">
        <w:rPr>
          <w:rFonts w:ascii="Times New Roman" w:hAnsi="Times New Roman" w:cs="Times New Roman"/>
          <w:sz w:val="26"/>
          <w:szCs w:val="26"/>
        </w:rPr>
        <w:t>руб./</w:t>
      </w:r>
      <w:r w:rsidRPr="00493B9E">
        <w:rPr>
          <w:rFonts w:ascii="Times New Roman" w:hAnsi="Times New Roman" w:cs="Times New Roman"/>
          <w:sz w:val="26"/>
          <w:szCs w:val="26"/>
        </w:rPr>
        <w:t>кв.м</w:t>
      </w:r>
      <w:r w:rsidRPr="00F705DE">
        <w:rPr>
          <w:rFonts w:ascii="Times New Roman" w:hAnsi="Times New Roman" w:cs="Times New Roman"/>
          <w:sz w:val="26"/>
          <w:szCs w:val="26"/>
        </w:rPr>
        <w:t xml:space="preserve">. В целом величина удельного показателя рыночной стоимости по объектам (квартирам), расположенным в малоэтажной жилой застройке, лежит в диапазоне от </w:t>
      </w:r>
      <w:r>
        <w:rPr>
          <w:rFonts w:ascii="Times New Roman" w:hAnsi="Times New Roman" w:cs="Times New Roman"/>
          <w:sz w:val="26"/>
          <w:szCs w:val="26"/>
        </w:rPr>
        <w:t xml:space="preserve">14,03 </w:t>
      </w:r>
      <w:r w:rsidRPr="00F705DE">
        <w:rPr>
          <w:rFonts w:ascii="Times New Roman" w:hAnsi="Times New Roman" w:cs="Times New Roman"/>
          <w:sz w:val="26"/>
          <w:szCs w:val="26"/>
        </w:rPr>
        <w:t>руб</w:t>
      </w:r>
      <w:r w:rsidRPr="00493B9E">
        <w:rPr>
          <w:rFonts w:ascii="Times New Roman" w:hAnsi="Times New Roman" w:cs="Times New Roman"/>
          <w:sz w:val="26"/>
          <w:szCs w:val="26"/>
        </w:rPr>
        <w:t>./кв.м</w:t>
      </w:r>
      <w:r w:rsidRPr="00F705DE">
        <w:rPr>
          <w:rFonts w:ascii="Times New Roman" w:hAnsi="Times New Roman" w:cs="Times New Roman"/>
          <w:sz w:val="26"/>
          <w:szCs w:val="26"/>
        </w:rPr>
        <w:t xml:space="preserve"> (зафиксировано в </w:t>
      </w:r>
      <w:r>
        <w:rPr>
          <w:rFonts w:ascii="Times New Roman" w:hAnsi="Times New Roman" w:cs="Times New Roman"/>
          <w:sz w:val="26"/>
          <w:szCs w:val="26"/>
        </w:rPr>
        <w:t>Новоусманском</w:t>
      </w:r>
      <w:r w:rsidRPr="00F705DE">
        <w:rPr>
          <w:rFonts w:ascii="Times New Roman" w:hAnsi="Times New Roman" w:cs="Times New Roman"/>
          <w:sz w:val="26"/>
          <w:szCs w:val="26"/>
        </w:rPr>
        <w:t xml:space="preserve"> районе) до </w:t>
      </w:r>
      <w:r>
        <w:rPr>
          <w:rFonts w:ascii="Times New Roman" w:hAnsi="Times New Roman" w:cs="Times New Roman"/>
          <w:sz w:val="26"/>
          <w:szCs w:val="26"/>
        </w:rPr>
        <w:t>38 360,66</w:t>
      </w:r>
      <w:r w:rsidRPr="00F705DE">
        <w:rPr>
          <w:rFonts w:ascii="Times New Roman" w:hAnsi="Times New Roman" w:cs="Times New Roman"/>
          <w:sz w:val="26"/>
          <w:szCs w:val="26"/>
        </w:rPr>
        <w:t xml:space="preserve"> руб</w:t>
      </w:r>
      <w:r w:rsidRPr="00493B9E">
        <w:rPr>
          <w:rFonts w:ascii="Times New Roman" w:hAnsi="Times New Roman" w:cs="Times New Roman"/>
          <w:sz w:val="26"/>
          <w:szCs w:val="26"/>
        </w:rPr>
        <w:t>./кв.м</w:t>
      </w:r>
      <w:r w:rsidRPr="00F705DE">
        <w:rPr>
          <w:rFonts w:ascii="Times New Roman" w:hAnsi="Times New Roman" w:cs="Times New Roman"/>
          <w:sz w:val="26"/>
          <w:szCs w:val="26"/>
        </w:rPr>
        <w:t xml:space="preserve"> (зафиксировано в г.</w:t>
      </w:r>
      <w:r>
        <w:rPr>
          <w:rFonts w:ascii="Times New Roman" w:hAnsi="Times New Roman" w:cs="Times New Roman"/>
          <w:sz w:val="26"/>
          <w:szCs w:val="26"/>
        </w:rPr>
        <w:t>о.г.</w:t>
      </w:r>
      <w:r w:rsidRPr="00F705DE">
        <w:rPr>
          <w:rFonts w:ascii="Times New Roman" w:hAnsi="Times New Roman" w:cs="Times New Roman"/>
          <w:sz w:val="26"/>
          <w:szCs w:val="26"/>
        </w:rPr>
        <w:t xml:space="preserve"> Воронеж).</w:t>
      </w:r>
      <w:r>
        <w:rPr>
          <w:rFonts w:ascii="Times New Roman" w:hAnsi="Times New Roman" w:cs="Times New Roman"/>
          <w:sz w:val="26"/>
          <w:szCs w:val="26"/>
        </w:rPr>
        <w:t xml:space="preserve"> Аналоги, стоимостные значения которых представляют собой экстремумы, для дальнейших целей оценки не используются.</w:t>
      </w:r>
    </w:p>
    <w:p w14:paraId="6C3F5178" w14:textId="77777777" w:rsidR="00DB474C" w:rsidRPr="0060164A" w:rsidRDefault="00DB474C" w:rsidP="00DB474C">
      <w:pPr>
        <w:spacing w:after="0" w:line="276" w:lineRule="auto"/>
        <w:ind w:firstLine="709"/>
        <w:jc w:val="both"/>
        <w:rPr>
          <w:rFonts w:ascii="Times New Roman" w:eastAsia="Times New Roman" w:hAnsi="Times New Roman" w:cs="Times New Roman"/>
          <w:sz w:val="26"/>
          <w:szCs w:val="26"/>
          <w:lang w:eastAsia="ru-RU"/>
        </w:rPr>
      </w:pPr>
      <w:r w:rsidRPr="004951DE">
        <w:rPr>
          <w:rFonts w:ascii="Times New Roman" w:eastAsia="Times New Roman" w:hAnsi="Times New Roman" w:cs="Times New Roman"/>
          <w:sz w:val="26"/>
          <w:szCs w:val="26"/>
          <w:lang w:eastAsia="ru-RU"/>
        </w:rPr>
        <w:t>На основании представленной рыночной информации можно сделать вывод о том, что рынок сегмента «Садоводство и огородничество, малоэтажная жилая застройка» в Воронежской области развит</w:t>
      </w:r>
      <w:r>
        <w:rPr>
          <w:rFonts w:ascii="Times New Roman" w:eastAsia="Times New Roman" w:hAnsi="Times New Roman" w:cs="Times New Roman"/>
          <w:sz w:val="26"/>
          <w:szCs w:val="26"/>
          <w:lang w:eastAsia="ru-RU"/>
        </w:rPr>
        <w:t xml:space="preserve">, в особенности </w:t>
      </w:r>
      <w:r w:rsidRPr="004951DE">
        <w:rPr>
          <w:rFonts w:ascii="Times New Roman" w:eastAsia="Times New Roman" w:hAnsi="Times New Roman" w:cs="Times New Roman"/>
          <w:sz w:val="26"/>
          <w:szCs w:val="26"/>
          <w:lang w:eastAsia="ru-RU"/>
        </w:rPr>
        <w:t>в крупных городах региона и населенных пунктах, которые находятся в непосредственной близости от г.о.г. Воронеж.</w:t>
      </w:r>
    </w:p>
    <w:p w14:paraId="72801512" w14:textId="77777777" w:rsidR="00D15360" w:rsidRDefault="00D15360" w:rsidP="00DB474C">
      <w:pPr>
        <w:spacing w:after="0" w:line="276" w:lineRule="auto"/>
        <w:ind w:firstLine="709"/>
        <w:jc w:val="center"/>
        <w:rPr>
          <w:rStyle w:val="af9"/>
          <w:rFonts w:ascii="Times New Roman" w:hAnsi="Times New Roman" w:cs="Times New Roman"/>
          <w:b w:val="0"/>
          <w:i/>
          <w:sz w:val="26"/>
          <w:szCs w:val="26"/>
        </w:rPr>
      </w:pPr>
    </w:p>
    <w:p w14:paraId="54254DAC" w14:textId="1BB7BAA5" w:rsidR="00DB474C" w:rsidRPr="00DB474C" w:rsidRDefault="00DB474C" w:rsidP="00DB474C">
      <w:pPr>
        <w:spacing w:after="0" w:line="276" w:lineRule="auto"/>
        <w:ind w:firstLine="709"/>
        <w:jc w:val="center"/>
        <w:rPr>
          <w:rStyle w:val="af9"/>
          <w:rFonts w:ascii="Times New Roman" w:hAnsi="Times New Roman" w:cs="Times New Roman"/>
          <w:b w:val="0"/>
          <w:bCs w:val="0"/>
          <w:i/>
          <w:sz w:val="26"/>
          <w:szCs w:val="26"/>
        </w:rPr>
      </w:pPr>
      <w:r w:rsidRPr="00DB474C">
        <w:rPr>
          <w:rStyle w:val="af9"/>
          <w:rFonts w:ascii="Times New Roman" w:hAnsi="Times New Roman" w:cs="Times New Roman"/>
          <w:b w:val="0"/>
          <w:i/>
          <w:sz w:val="26"/>
          <w:szCs w:val="26"/>
        </w:rPr>
        <w:t>Анализ ценообразующих факторов и ранжирование по степени их влияния на цены объектов недвижимости</w:t>
      </w:r>
    </w:p>
    <w:p w14:paraId="36219AAC" w14:textId="77777777" w:rsidR="00DB474C" w:rsidRPr="00DB474C" w:rsidRDefault="00DB474C" w:rsidP="00DB474C">
      <w:pPr>
        <w:spacing w:line="276" w:lineRule="auto"/>
        <w:ind w:firstLine="709"/>
        <w:jc w:val="both"/>
        <w:rPr>
          <w:rStyle w:val="af9"/>
          <w:rFonts w:ascii="Times New Roman" w:hAnsi="Times New Roman" w:cs="Times New Roman"/>
          <w:b w:val="0"/>
          <w:bCs w:val="0"/>
          <w:sz w:val="26"/>
          <w:szCs w:val="26"/>
        </w:rPr>
      </w:pPr>
      <w:r w:rsidRPr="00DB474C">
        <w:rPr>
          <w:rStyle w:val="af9"/>
          <w:rFonts w:ascii="Times New Roman" w:hAnsi="Times New Roman" w:cs="Times New Roman"/>
          <w:b w:val="0"/>
          <w:sz w:val="26"/>
          <w:szCs w:val="26"/>
        </w:rPr>
        <w:t>Количество факторов, оказывающих влияние на цены объектов, предлагаемых к продаже, весьма велико. Наиболее значимые из этих факторов обычно учитываются в процессе оценки в качестве параметров, по которым сопоставляются подобные объекты-аналоги, принимаются решения о необходимости корректировки цены, если объекты-аналоги по этим параметрам отличаются от объектов оценки. Далее приведены основные ценообразующие факторы, влияющие на стоимость земельных участков под индивидуальное жилищное строительство, по данным ООО «Информ-Оценка».</w:t>
      </w:r>
    </w:p>
    <w:p w14:paraId="4237947F" w14:textId="77777777" w:rsidR="00DB474C" w:rsidRDefault="00DB474C" w:rsidP="00DB474C">
      <w:pPr>
        <w:spacing w:after="0" w:line="300" w:lineRule="auto"/>
        <w:jc w:val="center"/>
        <w:rPr>
          <w:rFonts w:ascii="Times New Roman" w:eastAsia="Calibri" w:hAnsi="Times New Roman" w:cs="Times New Roman"/>
          <w:sz w:val="26"/>
          <w:szCs w:val="26"/>
          <w:u w:val="single"/>
        </w:rPr>
      </w:pPr>
      <w:r w:rsidRPr="00D9785B">
        <w:rPr>
          <w:rFonts w:ascii="Times New Roman" w:eastAsia="Calibri" w:hAnsi="Times New Roman" w:cs="Times New Roman"/>
          <w:noProof/>
          <w:sz w:val="26"/>
          <w:szCs w:val="26"/>
          <w:u w:val="single"/>
          <w:lang w:eastAsia="ru-RU"/>
        </w:rPr>
        <w:drawing>
          <wp:inline distT="0" distB="0" distL="0" distR="0" wp14:anchorId="3662FD7B" wp14:editId="2DBDCB65">
            <wp:extent cx="4645025" cy="1918586"/>
            <wp:effectExtent l="0" t="0" r="3175" b="5715"/>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670769" cy="1929219"/>
                    </a:xfrm>
                    <a:prstGeom prst="rect">
                      <a:avLst/>
                    </a:prstGeom>
                  </pic:spPr>
                </pic:pic>
              </a:graphicData>
            </a:graphic>
          </wp:inline>
        </w:drawing>
      </w:r>
    </w:p>
    <w:p w14:paraId="6948A812" w14:textId="49402C17" w:rsidR="00DB474C" w:rsidRPr="00DB474C" w:rsidRDefault="00DB474C" w:rsidP="00DB474C">
      <w:pPr>
        <w:jc w:val="center"/>
        <w:rPr>
          <w:rFonts w:ascii="Times New Roman" w:hAnsi="Times New Roman"/>
          <w:bCs/>
        </w:rPr>
      </w:pPr>
      <w:r w:rsidRPr="00AF047F">
        <w:rPr>
          <w:rFonts w:ascii="Times New Roman" w:hAnsi="Times New Roman"/>
          <w:bCs/>
          <w:sz w:val="26"/>
          <w:szCs w:val="26"/>
        </w:rPr>
        <w:t>Рис.3.1.3.8.3- Ценообразующие факторы для участков под ИЖС</w:t>
      </w:r>
      <w:r w:rsidR="00AF047F" w:rsidRPr="00E74A74">
        <w:rPr>
          <w:rStyle w:val="af2"/>
          <w:rFonts w:ascii="Times New Roman" w:hAnsi="Times New Roman" w:cs="Times New Roman"/>
          <w:sz w:val="26"/>
          <w:szCs w:val="26"/>
          <w:shd w:val="clear" w:color="auto" w:fill="FAFAFA"/>
        </w:rPr>
        <w:footnoteReference w:id="100"/>
      </w:r>
    </w:p>
    <w:p w14:paraId="2364B5E0" w14:textId="46ACA4E1" w:rsidR="00DB474C" w:rsidRDefault="00DB474C" w:rsidP="00DB474C">
      <w:pPr>
        <w:spacing w:line="276" w:lineRule="auto"/>
        <w:ind w:firstLine="709"/>
        <w:jc w:val="both"/>
        <w:rPr>
          <w:rFonts w:ascii="Times New Roman" w:hAnsi="Times New Roman"/>
          <w:bCs/>
          <w:sz w:val="26"/>
          <w:szCs w:val="26"/>
        </w:rPr>
      </w:pPr>
      <w:r w:rsidRPr="00DB474C">
        <w:rPr>
          <w:rFonts w:ascii="Times New Roman" w:hAnsi="Times New Roman"/>
          <w:bCs/>
          <w:sz w:val="26"/>
          <w:szCs w:val="26"/>
        </w:rPr>
        <w:t>Данные факторы использованы для выделения основных ценообразующих факторов в исследуемом сегменте рынка, а также для идентификации сегмента рынка, к которому может быть отнесен объект оценки.</w:t>
      </w:r>
    </w:p>
    <w:p w14:paraId="120CC483" w14:textId="77777777" w:rsidR="00AF047F" w:rsidRPr="00591722" w:rsidRDefault="00AF047F" w:rsidP="00110348">
      <w:pPr>
        <w:pStyle w:val="Textbody"/>
        <w:spacing w:after="0" w:line="276" w:lineRule="auto"/>
        <w:ind w:firstLine="709"/>
        <w:jc w:val="both"/>
        <w:rPr>
          <w:rFonts w:cs="Times New Roman"/>
          <w:sz w:val="26"/>
          <w:szCs w:val="26"/>
          <w:lang w:val="ru-RU"/>
        </w:rPr>
      </w:pPr>
    </w:p>
    <w:p w14:paraId="69A20519" w14:textId="3DE840DA" w:rsidR="00DB474C" w:rsidRPr="00BE7AFF" w:rsidRDefault="00DB474C" w:rsidP="00DB474C">
      <w:pPr>
        <w:pStyle w:val="3"/>
        <w:spacing w:line="276" w:lineRule="auto"/>
        <w:rPr>
          <w:rFonts w:cs="Times New Roman"/>
          <w:sz w:val="26"/>
          <w:szCs w:val="26"/>
        </w:rPr>
      </w:pPr>
      <w:bookmarkStart w:id="90" w:name="_Toc110506949"/>
      <w:r w:rsidRPr="00BE7AFF">
        <w:rPr>
          <w:rFonts w:cs="Times New Roman"/>
          <w:sz w:val="26"/>
          <w:szCs w:val="26"/>
        </w:rPr>
        <w:t>3.1.3.9 Анализ рыночной информации по сегменту «Сельскохозяйственное использование»</w:t>
      </w:r>
      <w:bookmarkEnd w:id="90"/>
    </w:p>
    <w:p w14:paraId="07AA8F2A" w14:textId="77777777" w:rsidR="00DB474C" w:rsidRPr="00E74A74" w:rsidRDefault="00DB474C" w:rsidP="00DB474C">
      <w:pPr>
        <w:pStyle w:val="Textbody"/>
        <w:spacing w:after="0" w:line="276" w:lineRule="auto"/>
        <w:ind w:firstLine="709"/>
        <w:jc w:val="both"/>
        <w:rPr>
          <w:rFonts w:ascii="Times New Roman" w:hAnsi="Times New Roman" w:cs="Times New Roman"/>
          <w:sz w:val="26"/>
          <w:szCs w:val="26"/>
          <w:lang w:val="ru-RU"/>
        </w:rPr>
      </w:pPr>
      <w:r w:rsidRPr="00E74A74">
        <w:rPr>
          <w:rFonts w:ascii="Times New Roman" w:hAnsi="Times New Roman" w:cs="Times New Roman"/>
          <w:sz w:val="26"/>
          <w:szCs w:val="26"/>
          <w:lang w:val="ru-RU"/>
        </w:rPr>
        <w:t>В соответствии с Приложением №1 Указаний к сегменту «Сельскохозяйственное использование» относятся объекты, которые предназначены для растениеводства, животноводства, пчеловодства, рыбоводства, питомников и т.д.</w:t>
      </w:r>
    </w:p>
    <w:p w14:paraId="3542F422" w14:textId="77777777" w:rsidR="00DB474C" w:rsidRDefault="00DB474C" w:rsidP="00DB474C">
      <w:pPr>
        <w:spacing w:after="0" w:line="276" w:lineRule="auto"/>
        <w:ind w:firstLine="708"/>
        <w:jc w:val="both"/>
        <w:rPr>
          <w:rFonts w:ascii="Times New Roman" w:hAnsi="Times New Roman" w:cs="Times New Roman"/>
          <w:sz w:val="26"/>
          <w:szCs w:val="26"/>
          <w:shd w:val="clear" w:color="auto" w:fill="FAFAFA"/>
        </w:rPr>
      </w:pPr>
      <w:r w:rsidRPr="00E74A74">
        <w:rPr>
          <w:rFonts w:ascii="Times New Roman" w:hAnsi="Times New Roman" w:cs="Times New Roman"/>
          <w:sz w:val="26"/>
          <w:szCs w:val="26"/>
          <w:shd w:val="clear" w:color="auto" w:fill="FAFAFA"/>
        </w:rPr>
        <w:t>Агропромышленный комплекс (АПК) Воронежской области — это один из наиболее крупных региональных отраслевых комплексов России. По объемам производства многих сельскохозяйственных культур Воронежская область занимает ведущие позиции в Центрально-Черноземном Регионе (ЦЧР) и Центральном Федеральном Округе (ЦФО). В сравнении с АПК других российских регионов, показатели Воронежской области существенно превышают общероссийские (подробн</w:t>
      </w:r>
      <w:r>
        <w:rPr>
          <w:rFonts w:ascii="Times New Roman" w:hAnsi="Times New Roman" w:cs="Times New Roman"/>
          <w:sz w:val="26"/>
          <w:szCs w:val="26"/>
          <w:shd w:val="clear" w:color="auto" w:fill="FAFAFA"/>
        </w:rPr>
        <w:t>ее</w:t>
      </w:r>
      <w:r w:rsidRPr="00E74A74">
        <w:rPr>
          <w:rFonts w:ascii="Times New Roman" w:hAnsi="Times New Roman" w:cs="Times New Roman"/>
          <w:sz w:val="26"/>
          <w:szCs w:val="26"/>
          <w:shd w:val="clear" w:color="auto" w:fill="FAFAFA"/>
        </w:rPr>
        <w:t xml:space="preserve"> в п. 3.1.</w:t>
      </w:r>
      <w:r>
        <w:rPr>
          <w:rFonts w:ascii="Times New Roman" w:hAnsi="Times New Roman" w:cs="Times New Roman"/>
          <w:sz w:val="26"/>
          <w:szCs w:val="26"/>
          <w:shd w:val="clear" w:color="auto" w:fill="FAFAFA"/>
        </w:rPr>
        <w:t xml:space="preserve">3). </w:t>
      </w:r>
      <w:r w:rsidRPr="00E74A74">
        <w:rPr>
          <w:rFonts w:ascii="Times New Roman" w:hAnsi="Times New Roman" w:cs="Times New Roman"/>
          <w:sz w:val="26"/>
          <w:szCs w:val="26"/>
          <w:shd w:val="clear" w:color="auto" w:fill="FAFAFA"/>
        </w:rPr>
        <w:t>При этом основной вклад в сельскохозяйственное производство региона вносят такие крупные производственные объединения, как ГК «Агроэко», ГК «ЭкоНива-АПК Холдинг», ГК «Молвест», Верхнехавский агрохолдинг и другие известные воронежские производители сельхозпродукции</w:t>
      </w:r>
      <w:r w:rsidRPr="00E74A74">
        <w:rPr>
          <w:rStyle w:val="af2"/>
          <w:rFonts w:ascii="Times New Roman" w:hAnsi="Times New Roman" w:cs="Times New Roman"/>
          <w:sz w:val="26"/>
          <w:szCs w:val="26"/>
          <w:shd w:val="clear" w:color="auto" w:fill="FAFAFA"/>
        </w:rPr>
        <w:footnoteReference w:id="101"/>
      </w:r>
      <w:r w:rsidRPr="00E74A74">
        <w:rPr>
          <w:rFonts w:ascii="Times New Roman" w:hAnsi="Times New Roman" w:cs="Times New Roman"/>
          <w:sz w:val="26"/>
          <w:szCs w:val="26"/>
          <w:shd w:val="clear" w:color="auto" w:fill="FAFAFA"/>
        </w:rPr>
        <w:t>.</w:t>
      </w:r>
    </w:p>
    <w:p w14:paraId="649C86D4" w14:textId="77777777" w:rsidR="00DB474C" w:rsidRPr="005551DB" w:rsidRDefault="00DB474C" w:rsidP="00DB474C">
      <w:pPr>
        <w:pStyle w:val="Textbody"/>
        <w:spacing w:after="0" w:line="300" w:lineRule="auto"/>
        <w:ind w:firstLine="709"/>
        <w:jc w:val="both"/>
        <w:rPr>
          <w:rStyle w:val="af9"/>
          <w:rFonts w:cs="Times New Roman"/>
          <w:b w:val="0"/>
          <w:bCs w:val="0"/>
          <w:sz w:val="26"/>
          <w:szCs w:val="26"/>
          <w:lang w:val="ru-RU"/>
        </w:rPr>
      </w:pPr>
      <w:r w:rsidRPr="00E74A74">
        <w:rPr>
          <w:rFonts w:ascii="Times New Roman" w:hAnsi="Times New Roman" w:cs="Times New Roman"/>
          <w:sz w:val="26"/>
          <w:szCs w:val="26"/>
          <w:lang w:val="ru-RU"/>
        </w:rPr>
        <w:t xml:space="preserve">Воронежская область располагает одним из самых высоких потенциалов плодородия земель в стране, благодаря чему, в расчете на единицу площади, здесь производится продукции сельского хозяйства значительно больше, чем в других регионах страны. </w:t>
      </w:r>
      <w:r w:rsidRPr="00E74A74">
        <w:rPr>
          <w:rFonts w:ascii="Times New Roman" w:eastAsia="Calibri" w:hAnsi="Times New Roman" w:cs="Times New Roman"/>
          <w:sz w:val="26"/>
          <w:szCs w:val="26"/>
          <w:lang w:val="ru-RU" w:eastAsia="en-US"/>
        </w:rPr>
        <w:t>Расположение земель различных категорий (растениеводство, животноводство) сельскохозяйственного использования зависит от состава почв, от их плодородности и от других факторов</w:t>
      </w:r>
      <w:r>
        <w:rPr>
          <w:rFonts w:ascii="Times New Roman" w:hAnsi="Times New Roman" w:cs="Times New Roman"/>
          <w:sz w:val="26"/>
          <w:szCs w:val="26"/>
          <w:lang w:val="ru-RU"/>
        </w:rPr>
        <w:t>.</w:t>
      </w:r>
      <w:r w:rsidRPr="00E74A74">
        <w:rPr>
          <w:rFonts w:ascii="Times New Roman" w:hAnsi="Times New Roman" w:cs="Times New Roman"/>
          <w:sz w:val="26"/>
          <w:szCs w:val="26"/>
          <w:lang w:val="ru-RU"/>
        </w:rPr>
        <w:t xml:space="preserve"> Почвенный покров области неоднороден. Широкая расчлененность водоразделов овражно-балочной системой привела к размыву и смыву почв, расположенных на склонах. На территории области преобладающее развитие получили почвы черноземного типа, которые являются зональными и с севера на юг 64 чередуются в таком порядке: выщелоченные и типичные (43%), обыкновенные (30%), южные (5%). </w:t>
      </w:r>
    </w:p>
    <w:p w14:paraId="63ED61FC" w14:textId="77777777" w:rsidR="00DB474C" w:rsidRPr="007A733D" w:rsidRDefault="00DB474C" w:rsidP="00DB474C">
      <w:pPr>
        <w:spacing w:before="120" w:after="0" w:line="276" w:lineRule="auto"/>
        <w:jc w:val="center"/>
        <w:rPr>
          <w:rStyle w:val="af9"/>
          <w:rFonts w:ascii="Times New Roman" w:hAnsi="Times New Roman" w:cs="Times New Roman"/>
          <w:b w:val="0"/>
          <w:i/>
          <w:sz w:val="26"/>
          <w:szCs w:val="26"/>
        </w:rPr>
      </w:pPr>
      <w:r w:rsidRPr="007A733D">
        <w:rPr>
          <w:rStyle w:val="af9"/>
          <w:rFonts w:ascii="Times New Roman" w:hAnsi="Times New Roman" w:cs="Times New Roman"/>
          <w:b w:val="0"/>
          <w:i/>
          <w:sz w:val="26"/>
          <w:szCs w:val="26"/>
        </w:rPr>
        <w:t>Собранная исполнителем рыночная информация</w:t>
      </w:r>
    </w:p>
    <w:p w14:paraId="24D4DAC3" w14:textId="77777777" w:rsidR="00DB474C" w:rsidRPr="002F245A" w:rsidRDefault="00DB474C" w:rsidP="00DB474C">
      <w:pPr>
        <w:spacing w:after="0" w:line="300" w:lineRule="auto"/>
        <w:ind w:firstLine="709"/>
        <w:jc w:val="both"/>
        <w:rPr>
          <w:rFonts w:ascii="Times New Roman" w:hAnsi="Times New Roman" w:cs="Times New Roman"/>
          <w:sz w:val="26"/>
          <w:szCs w:val="26"/>
        </w:rPr>
      </w:pPr>
      <w:r w:rsidRPr="002F245A">
        <w:rPr>
          <w:rFonts w:ascii="Times New Roman" w:hAnsi="Times New Roman" w:cs="Times New Roman"/>
          <w:color w:val="000000"/>
          <w:sz w:val="26"/>
          <w:szCs w:val="26"/>
        </w:rPr>
        <w:t xml:space="preserve">Для анализа рынка </w:t>
      </w:r>
      <w:r>
        <w:rPr>
          <w:rFonts w:ascii="Times New Roman" w:hAnsi="Times New Roman" w:cs="Times New Roman"/>
          <w:color w:val="000000"/>
          <w:sz w:val="26"/>
          <w:szCs w:val="26"/>
        </w:rPr>
        <w:t>сегмента</w:t>
      </w:r>
      <w:r w:rsidRPr="002F245A">
        <w:rPr>
          <w:rFonts w:ascii="Times New Roman" w:hAnsi="Times New Roman" w:cs="Times New Roman"/>
          <w:color w:val="000000"/>
          <w:sz w:val="26"/>
          <w:szCs w:val="26"/>
        </w:rPr>
        <w:t xml:space="preserve"> «</w:t>
      </w:r>
      <w:r>
        <w:rPr>
          <w:rFonts w:ascii="Times New Roman" w:hAnsi="Times New Roman" w:cs="Times New Roman"/>
          <w:color w:val="000000"/>
          <w:sz w:val="26"/>
          <w:szCs w:val="26"/>
        </w:rPr>
        <w:t>Сельскохозяйственное использование</w:t>
      </w:r>
      <w:r w:rsidRPr="002F245A">
        <w:rPr>
          <w:rFonts w:ascii="Times New Roman" w:hAnsi="Times New Roman" w:cs="Times New Roman"/>
          <w:sz w:val="26"/>
          <w:szCs w:val="26"/>
        </w:rPr>
        <w:t xml:space="preserve">» </w:t>
      </w:r>
      <w:r w:rsidRPr="002F245A">
        <w:rPr>
          <w:rFonts w:ascii="Times New Roman" w:hAnsi="Times New Roman" w:cs="Times New Roman"/>
          <w:color w:val="000000"/>
          <w:sz w:val="26"/>
          <w:szCs w:val="26"/>
        </w:rPr>
        <w:t>выполнен сбор информации о сделках и предложениях</w:t>
      </w:r>
      <w:r>
        <w:rPr>
          <w:rFonts w:ascii="Times New Roman" w:hAnsi="Times New Roman" w:cs="Times New Roman"/>
          <w:color w:val="000000"/>
          <w:sz w:val="26"/>
          <w:szCs w:val="26"/>
        </w:rPr>
        <w:t>,</w:t>
      </w:r>
      <w:r w:rsidRPr="002F245A">
        <w:rPr>
          <w:rFonts w:ascii="Times New Roman" w:hAnsi="Times New Roman" w:cs="Times New Roman"/>
          <w:color w:val="000000"/>
          <w:sz w:val="26"/>
          <w:szCs w:val="26"/>
        </w:rPr>
        <w:t xml:space="preserve"> представленных на первичном и вторичном рынках недвижимости Воронежской области</w:t>
      </w:r>
      <w:r w:rsidRPr="002F245A">
        <w:rPr>
          <w:rFonts w:ascii="Times New Roman" w:hAnsi="Times New Roman" w:cs="Times New Roman"/>
          <w:sz w:val="26"/>
          <w:szCs w:val="26"/>
        </w:rPr>
        <w:t xml:space="preserve">. </w:t>
      </w:r>
    </w:p>
    <w:p w14:paraId="14D938FE" w14:textId="77777777" w:rsidR="00DB474C" w:rsidRPr="002F245A" w:rsidRDefault="00DB474C" w:rsidP="00DB474C">
      <w:pPr>
        <w:spacing w:after="0" w:line="276" w:lineRule="auto"/>
        <w:ind w:firstLine="708"/>
        <w:jc w:val="both"/>
        <w:rPr>
          <w:rFonts w:ascii="Times New Roman" w:hAnsi="Times New Roman" w:cs="Times New Roman"/>
          <w:sz w:val="26"/>
          <w:szCs w:val="26"/>
        </w:rPr>
      </w:pPr>
      <w:r w:rsidRPr="002F245A">
        <w:rPr>
          <w:rFonts w:ascii="Times New Roman" w:hAnsi="Times New Roman" w:cs="Times New Roman"/>
          <w:sz w:val="26"/>
          <w:szCs w:val="26"/>
        </w:rPr>
        <w:t>Первичный рынок недвижимости представляет собой свод информации о сделках, осуществленных органами местного самоуправления, заключенных по результатам проведения торгов на территории Воронежской области, а также данные Управления Росреестра по Воронежской области. Вторичный рынок представляет собой предложения по продаже, представленные на сайтах для размещения объявлений, в газетах и т.д.</w:t>
      </w:r>
    </w:p>
    <w:p w14:paraId="6C6C2D0E" w14:textId="47F0243E" w:rsidR="00DB474C" w:rsidRPr="002F245A" w:rsidRDefault="00DB474C" w:rsidP="00DB474C">
      <w:pPr>
        <w:spacing w:after="0" w:line="300" w:lineRule="auto"/>
        <w:ind w:firstLine="709"/>
        <w:jc w:val="both"/>
        <w:rPr>
          <w:rFonts w:ascii="Times New Roman" w:hAnsi="Times New Roman" w:cs="Times New Roman"/>
          <w:sz w:val="26"/>
          <w:szCs w:val="26"/>
        </w:rPr>
      </w:pPr>
      <w:r w:rsidRPr="002F245A">
        <w:rPr>
          <w:rFonts w:ascii="Times New Roman" w:hAnsi="Times New Roman" w:cs="Times New Roman"/>
          <w:sz w:val="26"/>
          <w:szCs w:val="26"/>
        </w:rPr>
        <w:t xml:space="preserve">Информация о предложениях (сделках) представлена в </w:t>
      </w:r>
      <w:r w:rsidR="008009AF">
        <w:rPr>
          <w:rFonts w:ascii="Times New Roman" w:hAnsi="Times New Roman" w:cs="Times New Roman"/>
          <w:sz w:val="26"/>
          <w:szCs w:val="26"/>
        </w:rPr>
        <w:t>1/1.6/</w:t>
      </w:r>
      <w:r w:rsidR="008009AF" w:rsidRPr="00D15360">
        <w:rPr>
          <w:rFonts w:ascii="Times New Roman" w:hAnsi="Times New Roman" w:cs="Times New Roman"/>
          <w:sz w:val="26"/>
          <w:szCs w:val="26"/>
        </w:rPr>
        <w:t>1.6.2</w:t>
      </w:r>
      <w:r w:rsidR="008009AF">
        <w:rPr>
          <w:rFonts w:ascii="Times New Roman" w:hAnsi="Times New Roman" w:cs="Times New Roman"/>
          <w:sz w:val="26"/>
          <w:szCs w:val="26"/>
        </w:rPr>
        <w:t xml:space="preserve"> и Приложении 5.</w:t>
      </w:r>
    </w:p>
    <w:p w14:paraId="0D09688D" w14:textId="77777777" w:rsidR="00DB474C" w:rsidRPr="002F245A" w:rsidRDefault="00DB474C" w:rsidP="00DB474C">
      <w:pPr>
        <w:spacing w:after="0" w:line="300" w:lineRule="auto"/>
        <w:ind w:firstLine="709"/>
        <w:jc w:val="both"/>
        <w:rPr>
          <w:rFonts w:ascii="Times New Roman" w:hAnsi="Times New Roman" w:cs="Times New Roman"/>
          <w:sz w:val="26"/>
          <w:szCs w:val="26"/>
        </w:rPr>
      </w:pPr>
      <w:r>
        <w:rPr>
          <w:rFonts w:ascii="Times New Roman" w:hAnsi="Times New Roman" w:cs="Times New Roman"/>
          <w:sz w:val="26"/>
          <w:szCs w:val="26"/>
        </w:rPr>
        <w:t>Обзор р</w:t>
      </w:r>
      <w:r w:rsidRPr="002F245A">
        <w:rPr>
          <w:rFonts w:ascii="Times New Roman" w:hAnsi="Times New Roman" w:cs="Times New Roman"/>
          <w:sz w:val="26"/>
          <w:szCs w:val="26"/>
        </w:rPr>
        <w:t>ынк</w:t>
      </w:r>
      <w:r>
        <w:rPr>
          <w:rFonts w:ascii="Times New Roman" w:hAnsi="Times New Roman" w:cs="Times New Roman"/>
          <w:sz w:val="26"/>
          <w:szCs w:val="26"/>
        </w:rPr>
        <w:t>а</w:t>
      </w:r>
      <w:r w:rsidRPr="002F245A">
        <w:rPr>
          <w:rFonts w:ascii="Times New Roman" w:hAnsi="Times New Roman" w:cs="Times New Roman"/>
          <w:sz w:val="26"/>
          <w:szCs w:val="26"/>
        </w:rPr>
        <w:t xml:space="preserve"> </w:t>
      </w:r>
      <w:r>
        <w:rPr>
          <w:rFonts w:ascii="Times New Roman" w:hAnsi="Times New Roman" w:cs="Times New Roman"/>
          <w:sz w:val="26"/>
          <w:szCs w:val="26"/>
        </w:rPr>
        <w:t>недвижимости</w:t>
      </w:r>
      <w:r w:rsidRPr="002F245A">
        <w:rPr>
          <w:rFonts w:ascii="Times New Roman" w:hAnsi="Times New Roman" w:cs="Times New Roman"/>
          <w:sz w:val="26"/>
          <w:szCs w:val="26"/>
        </w:rPr>
        <w:t xml:space="preserve"> </w:t>
      </w:r>
      <w:r>
        <w:rPr>
          <w:rFonts w:ascii="Times New Roman" w:hAnsi="Times New Roman" w:cs="Times New Roman"/>
          <w:sz w:val="26"/>
          <w:szCs w:val="26"/>
        </w:rPr>
        <w:t>1 сегмента</w:t>
      </w:r>
      <w:r w:rsidRPr="002F245A">
        <w:rPr>
          <w:rFonts w:ascii="Times New Roman" w:hAnsi="Times New Roman" w:cs="Times New Roman"/>
          <w:sz w:val="26"/>
          <w:szCs w:val="26"/>
        </w:rPr>
        <w:t xml:space="preserve"> содержит информацию о </w:t>
      </w:r>
      <w:r>
        <w:rPr>
          <w:rFonts w:ascii="Times New Roman" w:hAnsi="Times New Roman" w:cs="Times New Roman"/>
          <w:sz w:val="26"/>
          <w:szCs w:val="26"/>
        </w:rPr>
        <w:t>5 080</w:t>
      </w:r>
      <w:r w:rsidRPr="00877931">
        <w:rPr>
          <w:rFonts w:ascii="Times New Roman" w:hAnsi="Times New Roman" w:cs="Times New Roman"/>
          <w:sz w:val="26"/>
          <w:szCs w:val="26"/>
        </w:rPr>
        <w:t xml:space="preserve"> </w:t>
      </w:r>
      <w:r w:rsidRPr="002F245A">
        <w:rPr>
          <w:rFonts w:ascii="Times New Roman" w:hAnsi="Times New Roman" w:cs="Times New Roman"/>
          <w:sz w:val="26"/>
          <w:szCs w:val="26"/>
        </w:rPr>
        <w:t xml:space="preserve">предложениях (сделках) по Воронежской области. </w:t>
      </w:r>
    </w:p>
    <w:p w14:paraId="3CFCA371" w14:textId="77777777" w:rsidR="00DB474C" w:rsidRDefault="00DB474C" w:rsidP="00DB474C">
      <w:pPr>
        <w:spacing w:after="0" w:line="276" w:lineRule="auto"/>
        <w:ind w:firstLine="567"/>
        <w:jc w:val="both"/>
        <w:rPr>
          <w:rFonts w:ascii="Times New Roman" w:hAnsi="Times New Roman" w:cs="Times New Roman"/>
          <w:sz w:val="26"/>
          <w:szCs w:val="26"/>
        </w:rPr>
      </w:pPr>
      <w:r w:rsidRPr="002F245A">
        <w:rPr>
          <w:rFonts w:ascii="Times New Roman" w:hAnsi="Times New Roman" w:cs="Times New Roman"/>
          <w:sz w:val="26"/>
          <w:szCs w:val="26"/>
        </w:rPr>
        <w:t>Так как используемая рыночная информация неоднородна, в целях возможности ее сопоставления для дальнейшего анализа к ценам предложений (сделок) применены корректировки, описание которых представлено далее.</w:t>
      </w:r>
    </w:p>
    <w:p w14:paraId="4317050F" w14:textId="77777777" w:rsidR="00DB474C" w:rsidRPr="007A733D" w:rsidRDefault="00DB474C" w:rsidP="00DB474C">
      <w:pPr>
        <w:spacing w:before="120" w:after="0" w:line="276" w:lineRule="auto"/>
        <w:jc w:val="center"/>
        <w:rPr>
          <w:rFonts w:eastAsia="Calibri" w:cs="Times New Roman"/>
          <w:b/>
          <w:i/>
          <w:sz w:val="26"/>
          <w:szCs w:val="26"/>
        </w:rPr>
      </w:pPr>
      <w:bookmarkStart w:id="91" w:name="_Toc106353484"/>
      <w:bookmarkStart w:id="92" w:name="_Toc106538930"/>
      <w:bookmarkStart w:id="93" w:name="_Toc106610318"/>
      <w:bookmarkStart w:id="94" w:name="_Toc106642059"/>
      <w:bookmarkStart w:id="95" w:name="_Toc108441237"/>
      <w:bookmarkStart w:id="96" w:name="_Toc108534870"/>
      <w:bookmarkStart w:id="97" w:name="_Toc110506950"/>
      <w:r w:rsidRPr="007A733D">
        <w:rPr>
          <w:rStyle w:val="21"/>
          <w:b w:val="0"/>
          <w:i/>
          <w:sz w:val="26"/>
        </w:rPr>
        <w:t>Корректировка на торг</w:t>
      </w:r>
      <w:bookmarkEnd w:id="91"/>
      <w:bookmarkEnd w:id="92"/>
      <w:bookmarkEnd w:id="93"/>
      <w:bookmarkEnd w:id="94"/>
      <w:bookmarkEnd w:id="95"/>
      <w:bookmarkEnd w:id="96"/>
      <w:bookmarkEnd w:id="97"/>
    </w:p>
    <w:p w14:paraId="6529F693" w14:textId="77777777" w:rsidR="00DB474C" w:rsidRDefault="00DB474C" w:rsidP="00DB474C">
      <w:pPr>
        <w:spacing w:after="0" w:line="300" w:lineRule="auto"/>
        <w:ind w:firstLine="567"/>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При продаже земельных участков на рынке недвижимости возможно снижение цены сделки за счет уторговывания. </w:t>
      </w:r>
      <w:r>
        <w:rPr>
          <w:rFonts w:ascii="Times New Roman" w:eastAsia="Times New Roman" w:hAnsi="Times New Roman" w:cs="Times New Roman"/>
          <w:sz w:val="26"/>
          <w:szCs w:val="26"/>
          <w:lang w:eastAsia="ru-RU"/>
        </w:rPr>
        <w:t xml:space="preserve">Так как в представленной рыночной выборке содержится информация и по предложениям, и по сделкам, удельные показатели цены предложения по продаже объектов-аналогов были скорректированы на тип сделки (скидка на торг). </w:t>
      </w:r>
      <w:r>
        <w:rPr>
          <w:rFonts w:ascii="Times New Roman" w:eastAsia="Calibri" w:hAnsi="Times New Roman" w:cs="Times New Roman"/>
          <w:sz w:val="26"/>
          <w:szCs w:val="26"/>
        </w:rPr>
        <w:t>Величина скидки на торг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103" w:history="1">
        <w:r>
          <w:rPr>
            <w:rStyle w:val="ad"/>
            <w:rFonts w:cs="Times New Roman"/>
            <w:sz w:val="26"/>
            <w:szCs w:val="26"/>
          </w:rPr>
          <w:t>https://statrielt.ru/</w:t>
        </w:r>
      </w:hyperlink>
      <w:r>
        <w:rPr>
          <w:rFonts w:ascii="Times New Roman" w:hAnsi="Times New Roman" w:cs="Times New Roman"/>
          <w:sz w:val="26"/>
          <w:szCs w:val="26"/>
        </w:rPr>
        <w:t>).</w:t>
      </w:r>
    </w:p>
    <w:p w14:paraId="15E55559" w14:textId="77777777" w:rsidR="00DB474C" w:rsidRDefault="00DB474C" w:rsidP="00DB474C">
      <w:pPr>
        <w:jc w:val="center"/>
      </w:pPr>
      <w:r w:rsidRPr="00376FBD">
        <w:rPr>
          <w:noProof/>
          <w:lang w:eastAsia="ru-RU"/>
        </w:rPr>
        <w:drawing>
          <wp:inline distT="0" distB="0" distL="0" distR="0" wp14:anchorId="230951E0" wp14:editId="3796BEE4">
            <wp:extent cx="5940425" cy="3869690"/>
            <wp:effectExtent l="0" t="0" r="3175"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869690"/>
                    </a:xfrm>
                    <a:prstGeom prst="rect">
                      <a:avLst/>
                    </a:prstGeom>
                  </pic:spPr>
                </pic:pic>
              </a:graphicData>
            </a:graphic>
          </wp:inline>
        </w:drawing>
      </w:r>
    </w:p>
    <w:p w14:paraId="1A07F90C" w14:textId="19AF25EC" w:rsidR="00DB474C" w:rsidRPr="00376FBD" w:rsidRDefault="00DB474C" w:rsidP="00DB474C">
      <w:pPr>
        <w:spacing w:after="0" w:line="300" w:lineRule="auto"/>
        <w:ind w:firstLine="567"/>
        <w:jc w:val="center"/>
        <w:rPr>
          <w:rFonts w:ascii="Times New Roman" w:eastAsia="Calibri" w:hAnsi="Times New Roman" w:cs="Times New Roman"/>
          <w:sz w:val="26"/>
          <w:szCs w:val="26"/>
        </w:rPr>
      </w:pPr>
      <w:bookmarkStart w:id="98" w:name="_Hlk68784150"/>
      <w:r>
        <w:rPr>
          <w:rFonts w:ascii="Times New Roman" w:eastAsia="Calibri" w:hAnsi="Times New Roman" w:cs="Times New Roman"/>
          <w:sz w:val="26"/>
          <w:szCs w:val="26"/>
        </w:rPr>
        <w:t>Рис.3.1.3.9.1- Скидка на торг, уторгование при продаже земельных участков на 01.</w:t>
      </w:r>
      <w:r w:rsidRPr="00376FBD">
        <w:rPr>
          <w:rFonts w:ascii="Times New Roman" w:eastAsia="Calibri" w:hAnsi="Times New Roman" w:cs="Times New Roman"/>
          <w:sz w:val="26"/>
          <w:szCs w:val="26"/>
        </w:rPr>
        <w:t>01</w:t>
      </w:r>
      <w:r>
        <w:rPr>
          <w:rFonts w:ascii="Times New Roman" w:eastAsia="Calibri" w:hAnsi="Times New Roman" w:cs="Times New Roman"/>
          <w:sz w:val="26"/>
          <w:szCs w:val="26"/>
        </w:rPr>
        <w:t>.202</w:t>
      </w:r>
      <w:r w:rsidRPr="00376FBD">
        <w:rPr>
          <w:rFonts w:ascii="Times New Roman" w:eastAsia="Calibri" w:hAnsi="Times New Roman" w:cs="Times New Roman"/>
          <w:sz w:val="26"/>
          <w:szCs w:val="26"/>
        </w:rPr>
        <w:t>2</w:t>
      </w:r>
      <w:r>
        <w:rPr>
          <w:rFonts w:ascii="Times New Roman" w:eastAsia="Calibri" w:hAnsi="Times New Roman" w:cs="Times New Roman"/>
          <w:sz w:val="26"/>
          <w:szCs w:val="26"/>
        </w:rPr>
        <w:t xml:space="preserve"> года по данным некоммерческой организации «Ассоциация развития рынка недвижимости «СтатРиелт</w:t>
      </w:r>
      <w:r w:rsidRPr="00D94DF7">
        <w:rPr>
          <w:rFonts w:ascii="Times New Roman" w:eastAsia="Calibri" w:hAnsi="Times New Roman" w:cs="Times New Roman"/>
          <w:sz w:val="26"/>
          <w:szCs w:val="26"/>
        </w:rPr>
        <w:t>»</w:t>
      </w:r>
      <w:r w:rsidR="00AF047F">
        <w:rPr>
          <w:rStyle w:val="af2"/>
          <w:rFonts w:ascii="Times New Roman" w:eastAsia="Calibri" w:hAnsi="Times New Roman" w:cs="Times New Roman"/>
          <w:sz w:val="26"/>
          <w:szCs w:val="26"/>
        </w:rPr>
        <w:footnoteReference w:id="102"/>
      </w:r>
      <w:bookmarkEnd w:id="98"/>
    </w:p>
    <w:p w14:paraId="3EEA004D" w14:textId="77777777" w:rsidR="00DB474C" w:rsidRDefault="00DB474C" w:rsidP="00DB474C">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В данном случае размер скидки на торг принимаем как для земель сельскохозяйственного назначения, значения лежат в доверительном интервале от 0,7</w:t>
      </w:r>
      <w:r w:rsidRPr="00376FBD">
        <w:rPr>
          <w:rFonts w:ascii="Times New Roman" w:eastAsia="Calibri" w:hAnsi="Times New Roman" w:cs="Times New Roman"/>
          <w:sz w:val="26"/>
          <w:szCs w:val="26"/>
        </w:rPr>
        <w:t>2</w:t>
      </w:r>
      <w:r>
        <w:rPr>
          <w:rFonts w:ascii="Times New Roman" w:eastAsia="Calibri" w:hAnsi="Times New Roman" w:cs="Times New Roman"/>
          <w:sz w:val="26"/>
          <w:szCs w:val="26"/>
        </w:rPr>
        <w:t xml:space="preserve"> до 0,9</w:t>
      </w:r>
      <w:r w:rsidRPr="00376FBD">
        <w:rPr>
          <w:rFonts w:ascii="Times New Roman" w:eastAsia="Calibri" w:hAnsi="Times New Roman" w:cs="Times New Roman"/>
          <w:sz w:val="26"/>
          <w:szCs w:val="26"/>
        </w:rPr>
        <w:t>3</w:t>
      </w:r>
      <w:r>
        <w:rPr>
          <w:rFonts w:ascii="Times New Roman" w:eastAsia="Calibri" w:hAnsi="Times New Roman" w:cs="Times New Roman"/>
          <w:sz w:val="26"/>
          <w:szCs w:val="26"/>
        </w:rPr>
        <w:t xml:space="preserve"> и в среднем по РФ составляет </w:t>
      </w:r>
      <w:r w:rsidRPr="00D05389">
        <w:rPr>
          <w:rFonts w:ascii="Times New Roman" w:eastAsia="Calibri" w:hAnsi="Times New Roman" w:cs="Times New Roman"/>
          <w:b/>
          <w:sz w:val="26"/>
          <w:szCs w:val="26"/>
        </w:rPr>
        <w:t>0,8</w:t>
      </w:r>
      <w:r w:rsidRPr="00376FBD">
        <w:rPr>
          <w:rFonts w:ascii="Times New Roman" w:eastAsia="Calibri" w:hAnsi="Times New Roman" w:cs="Times New Roman"/>
          <w:b/>
          <w:sz w:val="26"/>
          <w:szCs w:val="26"/>
        </w:rPr>
        <w:t>3</w:t>
      </w:r>
      <w:r>
        <w:rPr>
          <w:rFonts w:ascii="Times New Roman" w:eastAsia="Calibri" w:hAnsi="Times New Roman" w:cs="Times New Roman"/>
          <w:sz w:val="26"/>
          <w:szCs w:val="26"/>
        </w:rPr>
        <w:t xml:space="preserve"> (раздел «</w:t>
      </w:r>
      <w:r w:rsidRPr="00CB1B3C">
        <w:rPr>
          <w:rFonts w:ascii="Times New Roman" w:hAnsi="Times New Roman" w:cs="Times New Roman"/>
          <w:sz w:val="26"/>
          <w:szCs w:val="26"/>
        </w:rPr>
        <w:t>Скидка на торг, уторгование при продаже земельных участков на 01.</w:t>
      </w:r>
      <w:r w:rsidRPr="00376FBD">
        <w:rPr>
          <w:rFonts w:ascii="Times New Roman" w:hAnsi="Times New Roman" w:cs="Times New Roman"/>
          <w:sz w:val="26"/>
          <w:szCs w:val="26"/>
        </w:rPr>
        <w:t>01</w:t>
      </w:r>
      <w:r w:rsidRPr="00CB1B3C">
        <w:rPr>
          <w:rFonts w:ascii="Times New Roman" w:hAnsi="Times New Roman" w:cs="Times New Roman"/>
          <w:sz w:val="26"/>
          <w:szCs w:val="26"/>
        </w:rPr>
        <w:t>.20</w:t>
      </w:r>
      <w:r w:rsidRPr="00376FBD">
        <w:rPr>
          <w:rFonts w:ascii="Times New Roman" w:hAnsi="Times New Roman" w:cs="Times New Roman"/>
          <w:sz w:val="26"/>
          <w:szCs w:val="26"/>
        </w:rPr>
        <w:t>2</w:t>
      </w:r>
      <w:r>
        <w:rPr>
          <w:rFonts w:ascii="Times New Roman" w:hAnsi="Times New Roman" w:cs="Times New Roman"/>
          <w:sz w:val="26"/>
          <w:szCs w:val="26"/>
        </w:rPr>
        <w:t>2</w:t>
      </w:r>
      <w:r w:rsidRPr="00CB1B3C">
        <w:rPr>
          <w:rFonts w:ascii="Times New Roman" w:hAnsi="Times New Roman" w:cs="Times New Roman"/>
          <w:sz w:val="26"/>
          <w:szCs w:val="26"/>
        </w:rPr>
        <w:t xml:space="preserve"> года</w:t>
      </w:r>
      <w:r>
        <w:rPr>
          <w:rFonts w:ascii="Times New Roman" w:hAnsi="Times New Roman" w:cs="Times New Roman"/>
          <w:sz w:val="26"/>
          <w:szCs w:val="26"/>
        </w:rPr>
        <w:t>»)</w:t>
      </w:r>
      <w:r>
        <w:rPr>
          <w:rFonts w:ascii="Times New Roman" w:eastAsia="Calibri" w:hAnsi="Times New Roman" w:cs="Times New Roman"/>
          <w:sz w:val="26"/>
          <w:szCs w:val="26"/>
        </w:rPr>
        <w:t>. Принято среднее значение диапазона.</w:t>
      </w:r>
    </w:p>
    <w:p w14:paraId="321A53A1" w14:textId="77777777" w:rsidR="00DB474C" w:rsidRPr="00BE7AFF" w:rsidRDefault="00DB474C" w:rsidP="00DB474C">
      <w:pPr>
        <w:spacing w:before="120" w:after="0" w:line="276" w:lineRule="auto"/>
        <w:jc w:val="center"/>
        <w:rPr>
          <w:rFonts w:ascii="Times New Roman" w:hAnsi="Times New Roman" w:cs="Times New Roman"/>
          <w:i/>
          <w:sz w:val="26"/>
          <w:szCs w:val="26"/>
        </w:rPr>
      </w:pPr>
      <w:r w:rsidRPr="00BE7AFF">
        <w:rPr>
          <w:rFonts w:ascii="Times New Roman" w:hAnsi="Times New Roman" w:cs="Times New Roman"/>
          <w:i/>
          <w:sz w:val="26"/>
          <w:szCs w:val="26"/>
        </w:rPr>
        <w:t>Корректировка на дату</w:t>
      </w:r>
    </w:p>
    <w:p w14:paraId="3707102B" w14:textId="77777777" w:rsidR="00DB474C" w:rsidRDefault="00DB474C" w:rsidP="00DB474C">
      <w:pPr>
        <w:spacing w:after="0" w:line="300" w:lineRule="auto"/>
        <w:ind w:firstLine="708"/>
        <w:jc w:val="both"/>
        <w:rPr>
          <w:rFonts w:ascii="Times New Roman" w:hAnsi="Times New Roman" w:cs="Times New Roman"/>
          <w:b/>
          <w:sz w:val="26"/>
          <w:szCs w:val="26"/>
        </w:rPr>
      </w:pPr>
      <w:r>
        <w:rPr>
          <w:rFonts w:ascii="Times New Roman" w:hAnsi="Times New Roman" w:cs="Times New Roman"/>
          <w:sz w:val="26"/>
          <w:szCs w:val="26"/>
        </w:rPr>
        <w:t xml:space="preserve">Изменение рыночной конъюнктуры, условия которой могут сильно отразиться на стоимости объекта недвижимости, происходят с течением времени. </w:t>
      </w:r>
      <w:r>
        <w:rPr>
          <w:rFonts w:ascii="Times New Roman" w:eastAsia="Calibri" w:hAnsi="Times New Roman" w:cs="Times New Roman"/>
          <w:sz w:val="26"/>
          <w:szCs w:val="26"/>
        </w:rPr>
        <w:t xml:space="preserve">Корректировка на дату учитывает изменение цен на земельные участки за период с даты заключения сделки (предложения) с объектом-аналогом до даты проведения настоящей оценки. </w:t>
      </w:r>
    </w:p>
    <w:p w14:paraId="250422CE" w14:textId="77777777" w:rsidR="00DB474C" w:rsidRDefault="00DB474C" w:rsidP="00DB474C">
      <w:pPr>
        <w:jc w:val="center"/>
      </w:pPr>
      <w:r w:rsidRPr="00376FBD">
        <w:rPr>
          <w:noProof/>
          <w:lang w:eastAsia="ru-RU"/>
        </w:rPr>
        <w:drawing>
          <wp:inline distT="0" distB="0" distL="0" distR="0" wp14:anchorId="2D25F35E" wp14:editId="23F61C04">
            <wp:extent cx="5940425" cy="3978910"/>
            <wp:effectExtent l="0" t="0" r="3175" b="254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978910"/>
                    </a:xfrm>
                    <a:prstGeom prst="rect">
                      <a:avLst/>
                    </a:prstGeom>
                  </pic:spPr>
                </pic:pic>
              </a:graphicData>
            </a:graphic>
          </wp:inline>
        </w:drawing>
      </w:r>
    </w:p>
    <w:p w14:paraId="2AB802DE" w14:textId="68498295" w:rsidR="00DB474C" w:rsidRDefault="00DB474C" w:rsidP="00DB474C">
      <w:pPr>
        <w:jc w:val="center"/>
        <w:rPr>
          <w:rFonts w:ascii="Times New Roman" w:eastAsia="Calibri" w:hAnsi="Times New Roman" w:cs="Times New Roman"/>
          <w:sz w:val="26"/>
          <w:szCs w:val="26"/>
        </w:rPr>
      </w:pPr>
      <w:r>
        <w:rPr>
          <w:rFonts w:ascii="Times New Roman" w:eastAsia="Calibri" w:hAnsi="Times New Roman" w:cs="Times New Roman"/>
          <w:sz w:val="26"/>
          <w:szCs w:val="26"/>
        </w:rPr>
        <w:t>Рис.3.1.3.9.2-</w:t>
      </w:r>
      <w:r w:rsidRPr="008C322D">
        <w:t xml:space="preserve"> </w:t>
      </w:r>
      <w:r w:rsidRPr="008C322D">
        <w:rPr>
          <w:rFonts w:ascii="Times New Roman" w:eastAsia="Calibri" w:hAnsi="Times New Roman" w:cs="Times New Roman"/>
          <w:sz w:val="26"/>
          <w:szCs w:val="26"/>
        </w:rPr>
        <w:t>Индексы изменения рыночных цен (в рублях) земельных участков</w:t>
      </w:r>
      <w:r>
        <w:rPr>
          <w:rFonts w:ascii="Times New Roman" w:eastAsia="Calibri" w:hAnsi="Times New Roman" w:cs="Times New Roman"/>
          <w:sz w:val="26"/>
          <w:szCs w:val="26"/>
        </w:rPr>
        <w:t xml:space="preserve"> по данным некоммерческой организации «Ассоциация развития рынка недвижимости «СтатРиелт»</w:t>
      </w:r>
      <w:r w:rsidR="00AF047F">
        <w:rPr>
          <w:rStyle w:val="af2"/>
          <w:rFonts w:ascii="Times New Roman" w:eastAsia="Calibri" w:hAnsi="Times New Roman" w:cs="Times New Roman"/>
          <w:sz w:val="26"/>
          <w:szCs w:val="26"/>
        </w:rPr>
        <w:footnoteReference w:id="103"/>
      </w:r>
    </w:p>
    <w:p w14:paraId="7052C3CE" w14:textId="77777777" w:rsidR="00DB474C" w:rsidRDefault="00DB474C" w:rsidP="00DB474C">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был произведен расчет корректировок, значения представлены далее в таблице.</w:t>
      </w:r>
    </w:p>
    <w:p w14:paraId="322EA8C7" w14:textId="77777777" w:rsidR="00DB474C" w:rsidRDefault="00DB474C" w:rsidP="00DB474C">
      <w:pPr>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3.1.3.9.1</w:t>
      </w:r>
    </w:p>
    <w:p w14:paraId="430DA658" w14:textId="77777777" w:rsidR="00DB474C" w:rsidRPr="002F6E4F" w:rsidRDefault="00DB474C" w:rsidP="00DB474C">
      <w:pPr>
        <w:jc w:val="center"/>
        <w:rPr>
          <w:rFonts w:ascii="Times New Roman" w:eastAsia="Calibri" w:hAnsi="Times New Roman" w:cs="Times New Roman"/>
          <w:sz w:val="26"/>
          <w:szCs w:val="26"/>
        </w:rPr>
      </w:pPr>
      <w:r>
        <w:rPr>
          <w:rFonts w:ascii="Times New Roman" w:eastAsia="Calibri" w:hAnsi="Times New Roman" w:cs="Times New Roman"/>
          <w:sz w:val="26"/>
          <w:szCs w:val="26"/>
        </w:rPr>
        <w:t>Размер корректировок на дату, рассчитанных на каждое полугодие</w:t>
      </w:r>
    </w:p>
    <w:tbl>
      <w:tblPr>
        <w:tblStyle w:val="ae"/>
        <w:tblW w:w="4927" w:type="pct"/>
        <w:jc w:val="center"/>
        <w:tblLayout w:type="fixed"/>
        <w:tblLook w:val="04A0" w:firstRow="1" w:lastRow="0" w:firstColumn="1" w:lastColumn="0" w:noHBand="0" w:noVBand="1"/>
      </w:tblPr>
      <w:tblGrid>
        <w:gridCol w:w="1130"/>
        <w:gridCol w:w="993"/>
        <w:gridCol w:w="1558"/>
        <w:gridCol w:w="1558"/>
        <w:gridCol w:w="654"/>
        <w:gridCol w:w="622"/>
        <w:gridCol w:w="993"/>
        <w:gridCol w:w="1700"/>
      </w:tblGrid>
      <w:tr w:rsidR="00DB474C" w:rsidRPr="006640DC" w14:paraId="0B94646D" w14:textId="77777777" w:rsidTr="00DB474C">
        <w:trPr>
          <w:jc w:val="center"/>
        </w:trPr>
        <w:tc>
          <w:tcPr>
            <w:tcW w:w="614" w:type="pct"/>
            <w:vAlign w:val="center"/>
          </w:tcPr>
          <w:p w14:paraId="7DB365D1" w14:textId="77777777" w:rsidR="00DB474C" w:rsidRPr="006640DC" w:rsidRDefault="00DB474C" w:rsidP="00DB474C">
            <w:pPr>
              <w:jc w:val="center"/>
              <w:rPr>
                <w:rFonts w:ascii="Times New Roman" w:hAnsi="Times New Roman" w:cs="Times New Roman"/>
                <w:sz w:val="18"/>
                <w:szCs w:val="18"/>
              </w:rPr>
            </w:pPr>
            <w:r w:rsidRPr="006640DC">
              <w:rPr>
                <w:rFonts w:ascii="Times New Roman" w:hAnsi="Times New Roman" w:cs="Times New Roman"/>
                <w:sz w:val="18"/>
                <w:szCs w:val="18"/>
              </w:rPr>
              <w:t>к 01.0</w:t>
            </w:r>
            <w:r>
              <w:rPr>
                <w:rFonts w:ascii="Times New Roman" w:hAnsi="Times New Roman" w:cs="Times New Roman"/>
                <w:sz w:val="18"/>
                <w:szCs w:val="18"/>
              </w:rPr>
              <w:t>1</w:t>
            </w:r>
            <w:r w:rsidRPr="006640DC">
              <w:rPr>
                <w:rFonts w:ascii="Times New Roman" w:hAnsi="Times New Roman" w:cs="Times New Roman"/>
                <w:sz w:val="18"/>
                <w:szCs w:val="18"/>
              </w:rPr>
              <w:t>.202</w:t>
            </w:r>
            <w:r>
              <w:rPr>
                <w:rFonts w:ascii="Times New Roman" w:hAnsi="Times New Roman" w:cs="Times New Roman"/>
                <w:sz w:val="18"/>
                <w:szCs w:val="18"/>
              </w:rPr>
              <w:t>2</w:t>
            </w:r>
          </w:p>
        </w:tc>
        <w:tc>
          <w:tcPr>
            <w:tcW w:w="539" w:type="pct"/>
            <w:vAlign w:val="center"/>
          </w:tcPr>
          <w:p w14:paraId="6655F9AF" w14:textId="77777777" w:rsidR="00DB474C" w:rsidRPr="006640DC" w:rsidRDefault="00DB474C" w:rsidP="00DB474C">
            <w:pPr>
              <w:jc w:val="center"/>
              <w:rPr>
                <w:rFonts w:ascii="Times New Roman" w:hAnsi="Times New Roman" w:cs="Times New Roman"/>
                <w:sz w:val="18"/>
              </w:rPr>
            </w:pPr>
            <w:r w:rsidRPr="006640DC">
              <w:rPr>
                <w:rFonts w:ascii="Times New Roman" w:hAnsi="Times New Roman" w:cs="Times New Roman"/>
                <w:color w:val="000000"/>
                <w:sz w:val="18"/>
              </w:rPr>
              <w:t>торговые и офисные здания</w:t>
            </w:r>
          </w:p>
        </w:tc>
        <w:tc>
          <w:tcPr>
            <w:tcW w:w="846" w:type="pct"/>
            <w:vAlign w:val="center"/>
          </w:tcPr>
          <w:p w14:paraId="0B58AB09" w14:textId="77777777" w:rsidR="00DB474C" w:rsidRPr="006640DC" w:rsidRDefault="00DB474C" w:rsidP="00DB474C">
            <w:pPr>
              <w:jc w:val="center"/>
              <w:rPr>
                <w:rFonts w:ascii="Times New Roman" w:hAnsi="Times New Roman" w:cs="Times New Roman"/>
                <w:sz w:val="18"/>
              </w:rPr>
            </w:pPr>
            <w:r>
              <w:rPr>
                <w:rFonts w:ascii="Times New Roman" w:hAnsi="Times New Roman" w:cs="Times New Roman"/>
                <w:color w:val="000000"/>
                <w:sz w:val="18"/>
              </w:rPr>
              <w:t>п</w:t>
            </w:r>
            <w:r w:rsidRPr="006640DC">
              <w:rPr>
                <w:rFonts w:ascii="Times New Roman" w:hAnsi="Times New Roman" w:cs="Times New Roman"/>
                <w:color w:val="000000"/>
                <w:sz w:val="18"/>
              </w:rPr>
              <w:t>ромышленности, транспорта, связи и иного специального назначения</w:t>
            </w:r>
          </w:p>
        </w:tc>
        <w:tc>
          <w:tcPr>
            <w:tcW w:w="846" w:type="pct"/>
            <w:vAlign w:val="center"/>
          </w:tcPr>
          <w:p w14:paraId="63A6206E" w14:textId="77777777" w:rsidR="00DB474C" w:rsidRPr="006640DC" w:rsidRDefault="00DB474C" w:rsidP="00DB474C">
            <w:pPr>
              <w:jc w:val="center"/>
              <w:rPr>
                <w:rFonts w:ascii="Times New Roman" w:hAnsi="Times New Roman" w:cs="Times New Roman"/>
                <w:sz w:val="18"/>
              </w:rPr>
            </w:pPr>
            <w:r>
              <w:rPr>
                <w:rFonts w:ascii="Times New Roman" w:hAnsi="Times New Roman" w:cs="Times New Roman"/>
                <w:color w:val="000000"/>
                <w:sz w:val="18"/>
              </w:rPr>
              <w:t>м</w:t>
            </w:r>
            <w:r w:rsidRPr="006640DC">
              <w:rPr>
                <w:rFonts w:ascii="Times New Roman" w:hAnsi="Times New Roman" w:cs="Times New Roman"/>
                <w:color w:val="000000"/>
                <w:sz w:val="18"/>
              </w:rPr>
              <w:t>ного</w:t>
            </w:r>
            <w:r>
              <w:rPr>
                <w:rFonts w:ascii="Times New Roman" w:hAnsi="Times New Roman" w:cs="Times New Roman"/>
                <w:color w:val="000000"/>
                <w:sz w:val="18"/>
              </w:rPr>
              <w:t>-</w:t>
            </w:r>
            <w:r w:rsidRPr="006640DC">
              <w:rPr>
                <w:rFonts w:ascii="Times New Roman" w:hAnsi="Times New Roman" w:cs="Times New Roman"/>
                <w:color w:val="000000"/>
                <w:sz w:val="18"/>
              </w:rPr>
              <w:t>квартирное строительство</w:t>
            </w:r>
          </w:p>
        </w:tc>
        <w:tc>
          <w:tcPr>
            <w:tcW w:w="355" w:type="pct"/>
            <w:vAlign w:val="center"/>
          </w:tcPr>
          <w:p w14:paraId="77370395" w14:textId="77777777" w:rsidR="00DB474C" w:rsidRDefault="00DB474C" w:rsidP="00DB474C">
            <w:pPr>
              <w:rPr>
                <w:rFonts w:ascii="Times New Roman" w:hAnsi="Times New Roman" w:cs="Times New Roman"/>
                <w:color w:val="000000"/>
                <w:sz w:val="18"/>
              </w:rPr>
            </w:pPr>
            <w:r w:rsidRPr="006640DC">
              <w:rPr>
                <w:rFonts w:ascii="Times New Roman" w:hAnsi="Times New Roman" w:cs="Times New Roman"/>
                <w:color w:val="000000"/>
                <w:sz w:val="18"/>
              </w:rPr>
              <w:t>ИЖС</w:t>
            </w:r>
          </w:p>
          <w:p w14:paraId="1491735A" w14:textId="77777777" w:rsidR="00DB474C" w:rsidRDefault="00DB474C" w:rsidP="00DB474C">
            <w:pPr>
              <w:jc w:val="center"/>
              <w:rPr>
                <w:rFonts w:ascii="Times New Roman" w:hAnsi="Times New Roman" w:cs="Times New Roman"/>
                <w:color w:val="000000"/>
                <w:sz w:val="18"/>
              </w:rPr>
            </w:pPr>
            <w:r>
              <w:rPr>
                <w:rFonts w:ascii="Times New Roman" w:hAnsi="Times New Roman" w:cs="Times New Roman"/>
                <w:color w:val="000000"/>
                <w:sz w:val="18"/>
              </w:rPr>
              <w:t>и</w:t>
            </w:r>
          </w:p>
          <w:p w14:paraId="2B02FFDD" w14:textId="77777777" w:rsidR="00DB474C" w:rsidRPr="006640DC" w:rsidRDefault="00DB474C" w:rsidP="00DB474C">
            <w:pPr>
              <w:rPr>
                <w:rFonts w:ascii="Times New Roman" w:hAnsi="Times New Roman" w:cs="Times New Roman"/>
                <w:sz w:val="18"/>
              </w:rPr>
            </w:pPr>
            <w:r w:rsidRPr="006640DC">
              <w:rPr>
                <w:rFonts w:ascii="Times New Roman" w:hAnsi="Times New Roman" w:cs="Times New Roman"/>
                <w:color w:val="000000"/>
                <w:sz w:val="18"/>
              </w:rPr>
              <w:t>ЛПХ</w:t>
            </w:r>
          </w:p>
        </w:tc>
        <w:tc>
          <w:tcPr>
            <w:tcW w:w="338" w:type="pct"/>
            <w:vAlign w:val="center"/>
          </w:tcPr>
          <w:p w14:paraId="2D1E95A8" w14:textId="77777777" w:rsidR="00DB474C" w:rsidRPr="006640DC" w:rsidRDefault="00DB474C" w:rsidP="00DB474C">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Н</w:t>
            </w:r>
            <w:r w:rsidRPr="006640DC">
              <w:rPr>
                <w:rFonts w:ascii="Times New Roman" w:hAnsi="Times New Roman" w:cs="Times New Roman"/>
                <w:color w:val="000000"/>
                <w:sz w:val="18"/>
              </w:rPr>
              <w:t>Т и ДНП</w:t>
            </w:r>
          </w:p>
        </w:tc>
        <w:tc>
          <w:tcPr>
            <w:tcW w:w="539" w:type="pct"/>
            <w:vAlign w:val="center"/>
          </w:tcPr>
          <w:p w14:paraId="096015BE" w14:textId="77777777" w:rsidR="00DB474C" w:rsidRPr="00EF51B1" w:rsidRDefault="00DB474C" w:rsidP="00DB474C">
            <w:pPr>
              <w:jc w:val="center"/>
              <w:rPr>
                <w:rFonts w:ascii="Times New Roman" w:hAnsi="Times New Roman" w:cs="Times New Roman"/>
                <w:b/>
                <w:sz w:val="18"/>
              </w:rPr>
            </w:pPr>
            <w:r w:rsidRPr="00EF51B1">
              <w:rPr>
                <w:rFonts w:ascii="Times New Roman" w:hAnsi="Times New Roman" w:cs="Times New Roman"/>
                <w:b/>
                <w:color w:val="000000"/>
                <w:sz w:val="18"/>
              </w:rPr>
              <w:t>С/х назна-чения</w:t>
            </w:r>
          </w:p>
        </w:tc>
        <w:tc>
          <w:tcPr>
            <w:tcW w:w="923" w:type="pct"/>
            <w:vAlign w:val="center"/>
          </w:tcPr>
          <w:p w14:paraId="462EC6FB" w14:textId="77777777" w:rsidR="00DB474C" w:rsidRPr="006640DC" w:rsidRDefault="00DB474C" w:rsidP="00DB474C">
            <w:pPr>
              <w:jc w:val="center"/>
              <w:rPr>
                <w:rFonts w:ascii="Times New Roman" w:hAnsi="Times New Roman" w:cs="Times New Roman"/>
                <w:sz w:val="18"/>
              </w:rPr>
            </w:pPr>
            <w:r w:rsidRPr="006640DC">
              <w:rPr>
                <w:rFonts w:ascii="Times New Roman" w:hAnsi="Times New Roman" w:cs="Times New Roman"/>
                <w:color w:val="000000"/>
                <w:sz w:val="18"/>
              </w:rPr>
              <w:t>сельскохозяйственного назначения с возможностью или перспективой строительства коммерческих зданий</w:t>
            </w:r>
          </w:p>
        </w:tc>
      </w:tr>
      <w:tr w:rsidR="00DB474C" w:rsidRPr="006640DC" w14:paraId="27A07FF4" w14:textId="77777777" w:rsidTr="008009AF">
        <w:trPr>
          <w:jc w:val="center"/>
        </w:trPr>
        <w:tc>
          <w:tcPr>
            <w:tcW w:w="614" w:type="pct"/>
            <w:vAlign w:val="bottom"/>
          </w:tcPr>
          <w:p w14:paraId="56DD69E3"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01.01.2018 по 30.06.2018</w:t>
            </w:r>
          </w:p>
        </w:tc>
        <w:tc>
          <w:tcPr>
            <w:tcW w:w="539" w:type="pct"/>
            <w:vAlign w:val="center"/>
          </w:tcPr>
          <w:p w14:paraId="0733FD77"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708F6318"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0,99</w:t>
            </w:r>
          </w:p>
        </w:tc>
        <w:tc>
          <w:tcPr>
            <w:tcW w:w="846" w:type="pct"/>
            <w:vAlign w:val="center"/>
          </w:tcPr>
          <w:p w14:paraId="47D977A5"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1,31</w:t>
            </w:r>
          </w:p>
        </w:tc>
        <w:tc>
          <w:tcPr>
            <w:tcW w:w="355" w:type="pct"/>
            <w:vAlign w:val="center"/>
          </w:tcPr>
          <w:p w14:paraId="7CCFCC61"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1,16</w:t>
            </w:r>
          </w:p>
        </w:tc>
        <w:tc>
          <w:tcPr>
            <w:tcW w:w="338" w:type="pct"/>
            <w:vAlign w:val="center"/>
          </w:tcPr>
          <w:p w14:paraId="4AE0A477"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1,14</w:t>
            </w:r>
          </w:p>
        </w:tc>
        <w:tc>
          <w:tcPr>
            <w:tcW w:w="539" w:type="pct"/>
            <w:vAlign w:val="center"/>
          </w:tcPr>
          <w:p w14:paraId="2712538E" w14:textId="77777777" w:rsidR="00DB474C" w:rsidRPr="00A2009E" w:rsidRDefault="00DB474C" w:rsidP="008009AF">
            <w:pPr>
              <w:jc w:val="center"/>
              <w:rPr>
                <w:rFonts w:ascii="Times New Roman" w:hAnsi="Times New Roman" w:cs="Times New Roman"/>
                <w:b/>
              </w:rPr>
            </w:pPr>
            <w:r w:rsidRPr="00A2009E">
              <w:rPr>
                <w:rFonts w:ascii="Times New Roman" w:hAnsi="Times New Roman" w:cs="Times New Roman"/>
                <w:b/>
              </w:rPr>
              <w:t>1,15</w:t>
            </w:r>
          </w:p>
        </w:tc>
        <w:tc>
          <w:tcPr>
            <w:tcW w:w="923" w:type="pct"/>
            <w:vAlign w:val="center"/>
          </w:tcPr>
          <w:p w14:paraId="051C3EC3"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1,11</w:t>
            </w:r>
          </w:p>
        </w:tc>
      </w:tr>
      <w:tr w:rsidR="00DB474C" w:rsidRPr="006640DC" w14:paraId="78D49CC0" w14:textId="77777777" w:rsidTr="008009AF">
        <w:trPr>
          <w:jc w:val="center"/>
        </w:trPr>
        <w:tc>
          <w:tcPr>
            <w:tcW w:w="614" w:type="pct"/>
            <w:vAlign w:val="bottom"/>
          </w:tcPr>
          <w:p w14:paraId="5359878F"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01.07.2018 по 31.12.2018</w:t>
            </w:r>
          </w:p>
        </w:tc>
        <w:tc>
          <w:tcPr>
            <w:tcW w:w="539" w:type="pct"/>
            <w:vAlign w:val="center"/>
          </w:tcPr>
          <w:p w14:paraId="2CB26393"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52A2C416"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0,99</w:t>
            </w:r>
          </w:p>
        </w:tc>
        <w:tc>
          <w:tcPr>
            <w:tcW w:w="846" w:type="pct"/>
            <w:vAlign w:val="center"/>
          </w:tcPr>
          <w:p w14:paraId="494956FC"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1,30</w:t>
            </w:r>
          </w:p>
        </w:tc>
        <w:tc>
          <w:tcPr>
            <w:tcW w:w="355" w:type="pct"/>
            <w:vAlign w:val="center"/>
          </w:tcPr>
          <w:p w14:paraId="1D9AD6F8"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1,17</w:t>
            </w:r>
          </w:p>
        </w:tc>
        <w:tc>
          <w:tcPr>
            <w:tcW w:w="338" w:type="pct"/>
            <w:vAlign w:val="center"/>
          </w:tcPr>
          <w:p w14:paraId="58359E44"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1,15</w:t>
            </w:r>
          </w:p>
        </w:tc>
        <w:tc>
          <w:tcPr>
            <w:tcW w:w="539" w:type="pct"/>
            <w:vAlign w:val="center"/>
          </w:tcPr>
          <w:p w14:paraId="1C057D0F" w14:textId="77777777" w:rsidR="00DB474C" w:rsidRPr="00A2009E" w:rsidRDefault="00DB474C" w:rsidP="008009AF">
            <w:pPr>
              <w:jc w:val="center"/>
              <w:rPr>
                <w:rFonts w:ascii="Times New Roman" w:hAnsi="Times New Roman" w:cs="Times New Roman"/>
                <w:b/>
              </w:rPr>
            </w:pPr>
            <w:r w:rsidRPr="00A2009E">
              <w:rPr>
                <w:rFonts w:ascii="Times New Roman" w:hAnsi="Times New Roman" w:cs="Times New Roman"/>
                <w:b/>
              </w:rPr>
              <w:t>1,14</w:t>
            </w:r>
          </w:p>
        </w:tc>
        <w:tc>
          <w:tcPr>
            <w:tcW w:w="923" w:type="pct"/>
            <w:vAlign w:val="center"/>
          </w:tcPr>
          <w:p w14:paraId="199B6093"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1,13</w:t>
            </w:r>
          </w:p>
        </w:tc>
      </w:tr>
      <w:tr w:rsidR="00DB474C" w:rsidRPr="006640DC" w14:paraId="1ED5316D" w14:textId="77777777" w:rsidTr="008009AF">
        <w:trPr>
          <w:jc w:val="center"/>
        </w:trPr>
        <w:tc>
          <w:tcPr>
            <w:tcW w:w="614" w:type="pct"/>
            <w:vAlign w:val="bottom"/>
          </w:tcPr>
          <w:p w14:paraId="0F8E582E"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01.01.2019 по 30.06.2019</w:t>
            </w:r>
          </w:p>
        </w:tc>
        <w:tc>
          <w:tcPr>
            <w:tcW w:w="539" w:type="pct"/>
            <w:vAlign w:val="center"/>
          </w:tcPr>
          <w:p w14:paraId="62D99BE0"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513DBEEF"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0,99</w:t>
            </w:r>
          </w:p>
        </w:tc>
        <w:tc>
          <w:tcPr>
            <w:tcW w:w="846" w:type="pct"/>
            <w:vAlign w:val="center"/>
          </w:tcPr>
          <w:p w14:paraId="48D2B981"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1,28</w:t>
            </w:r>
          </w:p>
        </w:tc>
        <w:tc>
          <w:tcPr>
            <w:tcW w:w="355" w:type="pct"/>
            <w:vAlign w:val="center"/>
          </w:tcPr>
          <w:p w14:paraId="57236C2B"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1,17</w:t>
            </w:r>
          </w:p>
        </w:tc>
        <w:tc>
          <w:tcPr>
            <w:tcW w:w="338" w:type="pct"/>
            <w:vAlign w:val="center"/>
          </w:tcPr>
          <w:p w14:paraId="04F99374"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1,15</w:t>
            </w:r>
          </w:p>
        </w:tc>
        <w:tc>
          <w:tcPr>
            <w:tcW w:w="539" w:type="pct"/>
            <w:vAlign w:val="center"/>
          </w:tcPr>
          <w:p w14:paraId="759A76D8" w14:textId="77777777" w:rsidR="00DB474C" w:rsidRPr="00A2009E" w:rsidRDefault="00DB474C" w:rsidP="008009AF">
            <w:pPr>
              <w:jc w:val="center"/>
              <w:rPr>
                <w:rFonts w:ascii="Times New Roman" w:hAnsi="Times New Roman" w:cs="Times New Roman"/>
                <w:b/>
              </w:rPr>
            </w:pPr>
            <w:r w:rsidRPr="00A2009E">
              <w:rPr>
                <w:rFonts w:ascii="Times New Roman" w:hAnsi="Times New Roman" w:cs="Times New Roman"/>
                <w:b/>
              </w:rPr>
              <w:t>1,12</w:t>
            </w:r>
          </w:p>
        </w:tc>
        <w:tc>
          <w:tcPr>
            <w:tcW w:w="923" w:type="pct"/>
            <w:vAlign w:val="center"/>
          </w:tcPr>
          <w:p w14:paraId="41CE3507"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1,13</w:t>
            </w:r>
          </w:p>
        </w:tc>
      </w:tr>
      <w:tr w:rsidR="00DB474C" w:rsidRPr="006640DC" w14:paraId="4F19342F" w14:textId="77777777" w:rsidTr="008009AF">
        <w:trPr>
          <w:jc w:val="center"/>
        </w:trPr>
        <w:tc>
          <w:tcPr>
            <w:tcW w:w="614" w:type="pct"/>
            <w:vAlign w:val="bottom"/>
          </w:tcPr>
          <w:p w14:paraId="73D5DAF1"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01.07.2019 по 31.12.2019</w:t>
            </w:r>
          </w:p>
        </w:tc>
        <w:tc>
          <w:tcPr>
            <w:tcW w:w="539" w:type="pct"/>
            <w:vAlign w:val="center"/>
          </w:tcPr>
          <w:p w14:paraId="6E3D402A"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1,03</w:t>
            </w:r>
          </w:p>
        </w:tc>
        <w:tc>
          <w:tcPr>
            <w:tcW w:w="846" w:type="pct"/>
            <w:vAlign w:val="center"/>
          </w:tcPr>
          <w:p w14:paraId="3ED38BC3"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0,97</w:t>
            </w:r>
          </w:p>
        </w:tc>
        <w:tc>
          <w:tcPr>
            <w:tcW w:w="846" w:type="pct"/>
            <w:vAlign w:val="center"/>
          </w:tcPr>
          <w:p w14:paraId="54A57F19"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1,24</w:t>
            </w:r>
          </w:p>
        </w:tc>
        <w:tc>
          <w:tcPr>
            <w:tcW w:w="355" w:type="pct"/>
            <w:vAlign w:val="center"/>
          </w:tcPr>
          <w:p w14:paraId="6C09B1F4"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1,15</w:t>
            </w:r>
          </w:p>
        </w:tc>
        <w:tc>
          <w:tcPr>
            <w:tcW w:w="338" w:type="pct"/>
            <w:vAlign w:val="center"/>
          </w:tcPr>
          <w:p w14:paraId="4AFCCF9B"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1,13</w:t>
            </w:r>
          </w:p>
        </w:tc>
        <w:tc>
          <w:tcPr>
            <w:tcW w:w="539" w:type="pct"/>
            <w:vAlign w:val="center"/>
          </w:tcPr>
          <w:p w14:paraId="5FB551C9" w14:textId="77777777" w:rsidR="00DB474C" w:rsidRPr="00A2009E" w:rsidRDefault="00DB474C" w:rsidP="008009AF">
            <w:pPr>
              <w:jc w:val="center"/>
              <w:rPr>
                <w:rFonts w:ascii="Times New Roman" w:hAnsi="Times New Roman" w:cs="Times New Roman"/>
                <w:b/>
              </w:rPr>
            </w:pPr>
            <w:r w:rsidRPr="00A2009E">
              <w:rPr>
                <w:rFonts w:ascii="Times New Roman" w:hAnsi="Times New Roman" w:cs="Times New Roman"/>
                <w:b/>
              </w:rPr>
              <w:t>1,08</w:t>
            </w:r>
          </w:p>
        </w:tc>
        <w:tc>
          <w:tcPr>
            <w:tcW w:w="923" w:type="pct"/>
            <w:vAlign w:val="center"/>
          </w:tcPr>
          <w:p w14:paraId="4A0F7C1D"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1,10</w:t>
            </w:r>
          </w:p>
        </w:tc>
      </w:tr>
      <w:tr w:rsidR="00DB474C" w:rsidRPr="006640DC" w14:paraId="021F72A9" w14:textId="77777777" w:rsidTr="008009AF">
        <w:trPr>
          <w:jc w:val="center"/>
        </w:trPr>
        <w:tc>
          <w:tcPr>
            <w:tcW w:w="614" w:type="pct"/>
            <w:vAlign w:val="bottom"/>
          </w:tcPr>
          <w:p w14:paraId="14F3CC23"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01.01.2020 по 30.06.2020</w:t>
            </w:r>
          </w:p>
        </w:tc>
        <w:tc>
          <w:tcPr>
            <w:tcW w:w="539" w:type="pct"/>
            <w:vAlign w:val="center"/>
          </w:tcPr>
          <w:p w14:paraId="67EB251E"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1,01</w:t>
            </w:r>
          </w:p>
        </w:tc>
        <w:tc>
          <w:tcPr>
            <w:tcW w:w="846" w:type="pct"/>
            <w:vAlign w:val="center"/>
          </w:tcPr>
          <w:p w14:paraId="42FBD7E6"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0,95</w:t>
            </w:r>
          </w:p>
        </w:tc>
        <w:tc>
          <w:tcPr>
            <w:tcW w:w="846" w:type="pct"/>
            <w:vAlign w:val="center"/>
          </w:tcPr>
          <w:p w14:paraId="529670E3"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1,19</w:t>
            </w:r>
          </w:p>
        </w:tc>
        <w:tc>
          <w:tcPr>
            <w:tcW w:w="355" w:type="pct"/>
            <w:vAlign w:val="center"/>
          </w:tcPr>
          <w:p w14:paraId="7075A89A"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1,14</w:t>
            </w:r>
          </w:p>
        </w:tc>
        <w:tc>
          <w:tcPr>
            <w:tcW w:w="338" w:type="pct"/>
            <w:vAlign w:val="center"/>
          </w:tcPr>
          <w:p w14:paraId="6CD20A9D"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1,10</w:t>
            </w:r>
          </w:p>
        </w:tc>
        <w:tc>
          <w:tcPr>
            <w:tcW w:w="539" w:type="pct"/>
            <w:vAlign w:val="center"/>
          </w:tcPr>
          <w:p w14:paraId="50EE0DD0" w14:textId="77777777" w:rsidR="00DB474C" w:rsidRPr="00A2009E" w:rsidRDefault="00DB474C" w:rsidP="008009AF">
            <w:pPr>
              <w:jc w:val="center"/>
              <w:rPr>
                <w:rFonts w:ascii="Times New Roman" w:hAnsi="Times New Roman" w:cs="Times New Roman"/>
                <w:b/>
              </w:rPr>
            </w:pPr>
            <w:r w:rsidRPr="00A2009E">
              <w:rPr>
                <w:rFonts w:ascii="Times New Roman" w:hAnsi="Times New Roman" w:cs="Times New Roman"/>
                <w:b/>
              </w:rPr>
              <w:t>1,05</w:t>
            </w:r>
          </w:p>
        </w:tc>
        <w:tc>
          <w:tcPr>
            <w:tcW w:w="923" w:type="pct"/>
            <w:vAlign w:val="center"/>
          </w:tcPr>
          <w:p w14:paraId="5794CA3D"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1,08</w:t>
            </w:r>
          </w:p>
        </w:tc>
      </w:tr>
      <w:tr w:rsidR="00DB474C" w:rsidRPr="006640DC" w14:paraId="07DA5994" w14:textId="77777777" w:rsidTr="008009AF">
        <w:trPr>
          <w:jc w:val="center"/>
        </w:trPr>
        <w:tc>
          <w:tcPr>
            <w:tcW w:w="614" w:type="pct"/>
            <w:vAlign w:val="bottom"/>
          </w:tcPr>
          <w:p w14:paraId="0B7E7179"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01.07.2020 по 31.12.2020</w:t>
            </w:r>
          </w:p>
        </w:tc>
        <w:tc>
          <w:tcPr>
            <w:tcW w:w="539" w:type="pct"/>
            <w:vAlign w:val="center"/>
          </w:tcPr>
          <w:p w14:paraId="0CD3EBA8"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1,05</w:t>
            </w:r>
          </w:p>
        </w:tc>
        <w:tc>
          <w:tcPr>
            <w:tcW w:w="846" w:type="pct"/>
            <w:vAlign w:val="center"/>
          </w:tcPr>
          <w:p w14:paraId="39043515"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0,98</w:t>
            </w:r>
          </w:p>
        </w:tc>
        <w:tc>
          <w:tcPr>
            <w:tcW w:w="846" w:type="pct"/>
            <w:vAlign w:val="center"/>
          </w:tcPr>
          <w:p w14:paraId="717545E3"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1,17</w:t>
            </w:r>
          </w:p>
        </w:tc>
        <w:tc>
          <w:tcPr>
            <w:tcW w:w="355" w:type="pct"/>
            <w:vAlign w:val="center"/>
          </w:tcPr>
          <w:p w14:paraId="3B0717EA"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1,11</w:t>
            </w:r>
          </w:p>
        </w:tc>
        <w:tc>
          <w:tcPr>
            <w:tcW w:w="338" w:type="pct"/>
            <w:vAlign w:val="center"/>
          </w:tcPr>
          <w:p w14:paraId="1A2D4EFE"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1,09</w:t>
            </w:r>
          </w:p>
        </w:tc>
        <w:tc>
          <w:tcPr>
            <w:tcW w:w="539" w:type="pct"/>
            <w:vAlign w:val="center"/>
          </w:tcPr>
          <w:p w14:paraId="573C17BA" w14:textId="77777777" w:rsidR="00DB474C" w:rsidRPr="00A2009E" w:rsidRDefault="00DB474C" w:rsidP="008009AF">
            <w:pPr>
              <w:jc w:val="center"/>
              <w:rPr>
                <w:rFonts w:ascii="Times New Roman" w:hAnsi="Times New Roman" w:cs="Times New Roman"/>
                <w:b/>
              </w:rPr>
            </w:pPr>
            <w:r w:rsidRPr="00A2009E">
              <w:rPr>
                <w:rFonts w:ascii="Times New Roman" w:hAnsi="Times New Roman" w:cs="Times New Roman"/>
                <w:b/>
              </w:rPr>
              <w:t>1,03</w:t>
            </w:r>
          </w:p>
        </w:tc>
        <w:tc>
          <w:tcPr>
            <w:tcW w:w="923" w:type="pct"/>
            <w:vAlign w:val="center"/>
          </w:tcPr>
          <w:p w14:paraId="37670FEA"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1,07</w:t>
            </w:r>
          </w:p>
        </w:tc>
      </w:tr>
      <w:tr w:rsidR="00DB474C" w:rsidRPr="006640DC" w14:paraId="3A985BD9" w14:textId="77777777" w:rsidTr="008009AF">
        <w:trPr>
          <w:jc w:val="center"/>
        </w:trPr>
        <w:tc>
          <w:tcPr>
            <w:tcW w:w="614" w:type="pct"/>
            <w:vAlign w:val="bottom"/>
          </w:tcPr>
          <w:p w14:paraId="5EAB46E0"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01.01.2021 по 30.06.2021</w:t>
            </w:r>
          </w:p>
        </w:tc>
        <w:tc>
          <w:tcPr>
            <w:tcW w:w="539" w:type="pct"/>
            <w:vAlign w:val="center"/>
          </w:tcPr>
          <w:p w14:paraId="6BCADD7C"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609FBD47"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0,98</w:t>
            </w:r>
          </w:p>
        </w:tc>
        <w:tc>
          <w:tcPr>
            <w:tcW w:w="846" w:type="pct"/>
            <w:vAlign w:val="center"/>
          </w:tcPr>
          <w:p w14:paraId="6B2D47E6"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1,07</w:t>
            </w:r>
          </w:p>
        </w:tc>
        <w:tc>
          <w:tcPr>
            <w:tcW w:w="355" w:type="pct"/>
            <w:vAlign w:val="center"/>
          </w:tcPr>
          <w:p w14:paraId="432C2D1A"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1,06</w:t>
            </w:r>
          </w:p>
        </w:tc>
        <w:tc>
          <w:tcPr>
            <w:tcW w:w="338" w:type="pct"/>
            <w:vAlign w:val="center"/>
          </w:tcPr>
          <w:p w14:paraId="10CB23AD"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1,04</w:t>
            </w:r>
          </w:p>
        </w:tc>
        <w:tc>
          <w:tcPr>
            <w:tcW w:w="539" w:type="pct"/>
            <w:vAlign w:val="center"/>
          </w:tcPr>
          <w:p w14:paraId="5C246688" w14:textId="77777777" w:rsidR="00DB474C" w:rsidRPr="00A2009E" w:rsidRDefault="00DB474C" w:rsidP="008009AF">
            <w:pPr>
              <w:jc w:val="center"/>
              <w:rPr>
                <w:rFonts w:ascii="Times New Roman" w:hAnsi="Times New Roman" w:cs="Times New Roman"/>
                <w:b/>
              </w:rPr>
            </w:pPr>
            <w:r w:rsidRPr="00A2009E">
              <w:rPr>
                <w:rFonts w:ascii="Times New Roman" w:hAnsi="Times New Roman" w:cs="Times New Roman"/>
                <w:b/>
              </w:rPr>
              <w:t>1,01</w:t>
            </w:r>
          </w:p>
        </w:tc>
        <w:tc>
          <w:tcPr>
            <w:tcW w:w="923" w:type="pct"/>
            <w:vAlign w:val="center"/>
          </w:tcPr>
          <w:p w14:paraId="7B7E6291"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1,02</w:t>
            </w:r>
          </w:p>
        </w:tc>
      </w:tr>
      <w:tr w:rsidR="00DB474C" w:rsidRPr="006640DC" w14:paraId="7DCBE307" w14:textId="77777777" w:rsidTr="008009AF">
        <w:trPr>
          <w:jc w:val="center"/>
        </w:trPr>
        <w:tc>
          <w:tcPr>
            <w:tcW w:w="614" w:type="pct"/>
            <w:vAlign w:val="bottom"/>
          </w:tcPr>
          <w:p w14:paraId="02086163" w14:textId="77777777" w:rsidR="00DB474C" w:rsidRPr="006640DC" w:rsidRDefault="00DB474C" w:rsidP="00DB474C">
            <w:pPr>
              <w:jc w:val="center"/>
              <w:rPr>
                <w:rFonts w:ascii="Times New Roman" w:hAnsi="Times New Roman" w:cs="Times New Roman"/>
              </w:rPr>
            </w:pPr>
            <w:r w:rsidRPr="006640DC">
              <w:rPr>
                <w:rFonts w:ascii="Times New Roman" w:hAnsi="Times New Roman" w:cs="Times New Roman"/>
                <w:color w:val="000000"/>
              </w:rPr>
              <w:t>01.07.2021 по 31.12.2021</w:t>
            </w:r>
          </w:p>
        </w:tc>
        <w:tc>
          <w:tcPr>
            <w:tcW w:w="539" w:type="pct"/>
            <w:vAlign w:val="center"/>
          </w:tcPr>
          <w:p w14:paraId="168CC65E"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1,02</w:t>
            </w:r>
          </w:p>
        </w:tc>
        <w:tc>
          <w:tcPr>
            <w:tcW w:w="846" w:type="pct"/>
            <w:vAlign w:val="center"/>
          </w:tcPr>
          <w:p w14:paraId="31A2CEDB"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0,98</w:t>
            </w:r>
          </w:p>
        </w:tc>
        <w:tc>
          <w:tcPr>
            <w:tcW w:w="846" w:type="pct"/>
            <w:vAlign w:val="center"/>
          </w:tcPr>
          <w:p w14:paraId="4DE675B5"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1,03</w:t>
            </w:r>
          </w:p>
        </w:tc>
        <w:tc>
          <w:tcPr>
            <w:tcW w:w="355" w:type="pct"/>
            <w:vAlign w:val="center"/>
          </w:tcPr>
          <w:p w14:paraId="1D3E8BE7"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1,04</w:t>
            </w:r>
          </w:p>
        </w:tc>
        <w:tc>
          <w:tcPr>
            <w:tcW w:w="338" w:type="pct"/>
            <w:vAlign w:val="center"/>
          </w:tcPr>
          <w:p w14:paraId="0389ED05"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1,01</w:t>
            </w:r>
          </w:p>
        </w:tc>
        <w:tc>
          <w:tcPr>
            <w:tcW w:w="539" w:type="pct"/>
            <w:vAlign w:val="center"/>
          </w:tcPr>
          <w:p w14:paraId="5D5692F6" w14:textId="77777777" w:rsidR="00DB474C" w:rsidRPr="00A2009E" w:rsidRDefault="00DB474C" w:rsidP="008009AF">
            <w:pPr>
              <w:jc w:val="center"/>
              <w:rPr>
                <w:rFonts w:ascii="Times New Roman" w:hAnsi="Times New Roman" w:cs="Times New Roman"/>
                <w:b/>
              </w:rPr>
            </w:pPr>
            <w:r w:rsidRPr="00A2009E">
              <w:rPr>
                <w:rFonts w:ascii="Times New Roman" w:hAnsi="Times New Roman" w:cs="Times New Roman"/>
                <w:b/>
              </w:rPr>
              <w:t>1,01</w:t>
            </w:r>
          </w:p>
        </w:tc>
        <w:tc>
          <w:tcPr>
            <w:tcW w:w="923" w:type="pct"/>
            <w:vAlign w:val="center"/>
          </w:tcPr>
          <w:p w14:paraId="5D50BF68" w14:textId="77777777" w:rsidR="00DB474C" w:rsidRPr="00F22DF9" w:rsidRDefault="00DB474C" w:rsidP="008009AF">
            <w:pPr>
              <w:jc w:val="center"/>
              <w:rPr>
                <w:rFonts w:ascii="Times New Roman" w:hAnsi="Times New Roman" w:cs="Times New Roman"/>
              </w:rPr>
            </w:pPr>
            <w:r w:rsidRPr="00F22DF9">
              <w:rPr>
                <w:rFonts w:ascii="Times New Roman" w:hAnsi="Times New Roman" w:cs="Times New Roman"/>
              </w:rPr>
              <w:t>1,01</w:t>
            </w:r>
          </w:p>
        </w:tc>
      </w:tr>
    </w:tbl>
    <w:p w14:paraId="11D1731D" w14:textId="77777777" w:rsidR="00DB474C" w:rsidRPr="00BE7AFF" w:rsidRDefault="00DB474C" w:rsidP="00DB474C">
      <w:pPr>
        <w:spacing w:before="120" w:after="0" w:line="276" w:lineRule="auto"/>
        <w:jc w:val="center"/>
        <w:rPr>
          <w:rFonts w:ascii="Times New Roman" w:hAnsi="Times New Roman" w:cs="Times New Roman"/>
          <w:i/>
          <w:sz w:val="26"/>
          <w:szCs w:val="26"/>
        </w:rPr>
      </w:pPr>
      <w:r w:rsidRPr="00BE7AFF">
        <w:rPr>
          <w:rFonts w:ascii="Times New Roman" w:hAnsi="Times New Roman" w:cs="Times New Roman"/>
          <w:i/>
          <w:sz w:val="26"/>
          <w:szCs w:val="26"/>
        </w:rPr>
        <w:t>Корректировка на право</w:t>
      </w:r>
    </w:p>
    <w:p w14:paraId="2B39E4D8" w14:textId="77777777" w:rsidR="00DB474C" w:rsidRDefault="00DB474C" w:rsidP="00DB474C">
      <w:pPr>
        <w:spacing w:after="0" w:line="300" w:lineRule="auto"/>
        <w:ind w:firstLine="567"/>
        <w:jc w:val="both"/>
        <w:rPr>
          <w:rFonts w:ascii="Times New Roman" w:hAnsi="Times New Roman" w:cs="Times New Roman"/>
          <w:sz w:val="26"/>
          <w:szCs w:val="26"/>
          <w:u w:val="single"/>
        </w:rPr>
      </w:pPr>
      <w:r>
        <w:rPr>
          <w:rFonts w:ascii="Times New Roman" w:hAnsi="Times New Roman" w:cs="Times New Roman"/>
          <w:sz w:val="26"/>
          <w:szCs w:val="26"/>
        </w:rPr>
        <w:t xml:space="preserve">В случае, если продается земельный участок, предоставленный в аренду, необходимо вносить корректировку на вид права. </w:t>
      </w:r>
      <w:r>
        <w:rPr>
          <w:rFonts w:ascii="Times New Roman" w:eastAsia="Calibri" w:hAnsi="Times New Roman" w:cs="Times New Roman"/>
          <w:sz w:val="26"/>
          <w:szCs w:val="26"/>
        </w:rPr>
        <w:t>Величина корректировки на право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104" w:history="1">
        <w:r w:rsidRPr="00BE7AFF">
          <w:rPr>
            <w:rStyle w:val="ad"/>
            <w:rFonts w:ascii="Times New Roman" w:hAnsi="Times New Roman" w:cs="Times New Roman"/>
            <w:sz w:val="26"/>
            <w:szCs w:val="26"/>
          </w:rPr>
          <w:t>https://statrielt.ru/</w:t>
        </w:r>
      </w:hyperlink>
      <w:r w:rsidRPr="00BE7AFF">
        <w:rPr>
          <w:rFonts w:ascii="Times New Roman" w:hAnsi="Times New Roman" w:cs="Times New Roman"/>
          <w:sz w:val="26"/>
          <w:szCs w:val="26"/>
        </w:rPr>
        <w:t>).</w:t>
      </w:r>
    </w:p>
    <w:p w14:paraId="670D0CFB" w14:textId="77777777" w:rsidR="00DB474C" w:rsidRDefault="00DB474C" w:rsidP="00DB474C">
      <w:pPr>
        <w:jc w:val="center"/>
      </w:pPr>
      <w:r w:rsidRPr="00A2009E">
        <w:rPr>
          <w:noProof/>
          <w:lang w:eastAsia="ru-RU"/>
        </w:rPr>
        <w:drawing>
          <wp:inline distT="0" distB="0" distL="0" distR="0" wp14:anchorId="339D8824" wp14:editId="3D7C99E1">
            <wp:extent cx="5940425" cy="4081780"/>
            <wp:effectExtent l="0" t="0" r="3175"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4081780"/>
                    </a:xfrm>
                    <a:prstGeom prst="rect">
                      <a:avLst/>
                    </a:prstGeom>
                  </pic:spPr>
                </pic:pic>
              </a:graphicData>
            </a:graphic>
          </wp:inline>
        </w:drawing>
      </w:r>
    </w:p>
    <w:p w14:paraId="7AB7E334" w14:textId="3DC4B574" w:rsidR="00DB474C" w:rsidRPr="00D05389" w:rsidRDefault="00DB474C" w:rsidP="00DB474C">
      <w:pPr>
        <w:spacing w:after="0" w:line="30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Рис.3.1.3.9.3- Корректировка на право аренды земельного участка по отношению к собственному земельному участку на 01.01.2022 года по данным некоммерческой организации «Ассоциация развития рынка недвижимости «СтатРиелт»</w:t>
      </w:r>
      <w:r w:rsidR="00AF047F">
        <w:rPr>
          <w:rStyle w:val="af2"/>
          <w:rFonts w:ascii="Times New Roman" w:eastAsia="Calibri" w:hAnsi="Times New Roman" w:cs="Times New Roman"/>
          <w:sz w:val="26"/>
          <w:szCs w:val="26"/>
        </w:rPr>
        <w:footnoteReference w:id="104"/>
      </w:r>
      <w:r>
        <w:rPr>
          <w:rFonts w:ascii="Times New Roman" w:eastAsia="Calibri" w:hAnsi="Times New Roman" w:cs="Times New Roman"/>
          <w:sz w:val="26"/>
          <w:szCs w:val="26"/>
        </w:rPr>
        <w:t xml:space="preserve"> </w:t>
      </w:r>
    </w:p>
    <w:p w14:paraId="7B9442EA" w14:textId="77777777" w:rsidR="00DB474C" w:rsidRDefault="00DB474C" w:rsidP="00DB474C">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Так как данные коэффициенты выражают отношения удельных цен предложений земельных участков, находящихся на праве аренды, к удельным ценам предложений земельных участков, находящихся на праве собственности, применяются обратные корректировки, т.е.  при расчете удельного показателя рыночной стоимости необходимо делить на корректировку на право.</w:t>
      </w:r>
    </w:p>
    <w:p w14:paraId="01D8031F" w14:textId="77777777" w:rsidR="00DB474C" w:rsidRPr="00227435" w:rsidRDefault="00DB474C" w:rsidP="00DB474C">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Согласно данным «СтатРиелт», размер корректировки на право аренды земельного участка, предоставленного сроком на 49 лет, по отношению к собственному земельному участку, для земельных участков сельскохозяйственного назначения лежит в доверительном интервале от 0,56 до 0,88 и в среднем составляет </w:t>
      </w:r>
      <w:r w:rsidRPr="00D05389">
        <w:rPr>
          <w:rFonts w:ascii="Times New Roman" w:eastAsia="Calibri" w:hAnsi="Times New Roman" w:cs="Times New Roman"/>
          <w:b/>
          <w:sz w:val="26"/>
          <w:szCs w:val="26"/>
        </w:rPr>
        <w:t>0,7</w:t>
      </w:r>
      <w:r>
        <w:rPr>
          <w:rFonts w:ascii="Times New Roman" w:eastAsia="Calibri" w:hAnsi="Times New Roman" w:cs="Times New Roman"/>
          <w:b/>
          <w:sz w:val="26"/>
          <w:szCs w:val="26"/>
        </w:rPr>
        <w:t>3</w:t>
      </w:r>
      <w:r>
        <w:rPr>
          <w:rFonts w:ascii="Times New Roman" w:eastAsia="Calibri" w:hAnsi="Times New Roman" w:cs="Times New Roman"/>
          <w:sz w:val="26"/>
          <w:szCs w:val="26"/>
        </w:rPr>
        <w:t xml:space="preserve"> (данные на 01.01.2022 года). Для целей оценки принято среднее значение диапазона. В случае, если земельный участок предоставлен в аренду на срок до 20 лет, то необходимо использовать поправку на срок аренды к корректировке на срок аренды на 49 лет. Таким образом корректировка равна: 0,73х0,83=</w:t>
      </w:r>
      <w:r w:rsidRPr="008C322D">
        <w:rPr>
          <w:rFonts w:ascii="Times New Roman" w:eastAsia="Calibri" w:hAnsi="Times New Roman" w:cs="Times New Roman"/>
          <w:b/>
          <w:sz w:val="26"/>
          <w:szCs w:val="26"/>
        </w:rPr>
        <w:t>0,6</w:t>
      </w:r>
      <w:r>
        <w:rPr>
          <w:rFonts w:ascii="Times New Roman" w:eastAsia="Calibri" w:hAnsi="Times New Roman" w:cs="Times New Roman"/>
          <w:b/>
          <w:sz w:val="26"/>
          <w:szCs w:val="26"/>
        </w:rPr>
        <w:t>1</w:t>
      </w:r>
      <w:r>
        <w:rPr>
          <w:rFonts w:ascii="Times New Roman" w:eastAsia="Calibri" w:hAnsi="Times New Roman" w:cs="Times New Roman"/>
          <w:sz w:val="26"/>
          <w:szCs w:val="26"/>
        </w:rPr>
        <w:t>.</w:t>
      </w:r>
    </w:p>
    <w:p w14:paraId="56FC7654" w14:textId="77777777" w:rsidR="00DB474C" w:rsidRPr="00BE7AFF" w:rsidRDefault="00DB474C" w:rsidP="00DB474C">
      <w:pPr>
        <w:spacing w:before="120" w:after="0" w:line="276" w:lineRule="auto"/>
        <w:jc w:val="center"/>
        <w:rPr>
          <w:rFonts w:ascii="Times New Roman" w:hAnsi="Times New Roman" w:cs="Times New Roman"/>
          <w:i/>
          <w:sz w:val="26"/>
          <w:szCs w:val="26"/>
        </w:rPr>
      </w:pPr>
      <w:r w:rsidRPr="00BE7AFF">
        <w:rPr>
          <w:rFonts w:ascii="Times New Roman" w:hAnsi="Times New Roman" w:cs="Times New Roman"/>
          <w:i/>
          <w:sz w:val="26"/>
          <w:szCs w:val="26"/>
        </w:rPr>
        <w:t>Доля ЗУ</w:t>
      </w:r>
    </w:p>
    <w:p w14:paraId="2E546BF4" w14:textId="77777777" w:rsidR="00DB474C" w:rsidRPr="00D94DF7" w:rsidRDefault="00DB474C" w:rsidP="00DB474C">
      <w:pPr>
        <w:spacing w:after="0" w:line="300" w:lineRule="auto"/>
        <w:ind w:firstLine="567"/>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Если в качестве объекта-аналога принято предложение (сделка) по продаже застроенного земельного участка, необходимо определить долю стоимости земельного участка в стоимости единого объекта недвижимости. В таком случае доля стоимости земельного участка для 1 сегмента принята на основании приложения №7 к Указаниям, где для прочих объектов рекомендовано 20% (принимаем корректировку </w:t>
      </w:r>
      <w:r w:rsidRPr="00227435">
        <w:rPr>
          <w:rFonts w:ascii="Times New Roman" w:eastAsia="Calibri" w:hAnsi="Times New Roman" w:cs="Times New Roman"/>
          <w:b/>
          <w:sz w:val="26"/>
          <w:szCs w:val="26"/>
        </w:rPr>
        <w:t>0,2</w:t>
      </w:r>
      <w:r>
        <w:rPr>
          <w:rFonts w:ascii="Times New Roman" w:eastAsia="Calibri" w:hAnsi="Times New Roman" w:cs="Times New Roman"/>
          <w:sz w:val="26"/>
          <w:szCs w:val="26"/>
        </w:rPr>
        <w:t>).</w:t>
      </w:r>
    </w:p>
    <w:p w14:paraId="77BE4EA6" w14:textId="77777777" w:rsidR="00DB474C" w:rsidRPr="007A733D" w:rsidRDefault="00DB474C" w:rsidP="00DB474C">
      <w:pPr>
        <w:spacing w:before="120" w:after="0" w:line="276" w:lineRule="auto"/>
        <w:jc w:val="center"/>
        <w:rPr>
          <w:rFonts w:ascii="Times New Roman" w:eastAsia="Calibri" w:hAnsi="Times New Roman" w:cs="Times New Roman"/>
          <w:i/>
          <w:sz w:val="26"/>
          <w:szCs w:val="26"/>
        </w:rPr>
      </w:pPr>
      <w:r w:rsidRPr="007A733D">
        <w:rPr>
          <w:rFonts w:ascii="Times New Roman" w:eastAsia="Calibri" w:hAnsi="Times New Roman" w:cs="Times New Roman"/>
          <w:i/>
          <w:sz w:val="26"/>
          <w:szCs w:val="26"/>
        </w:rPr>
        <w:t>Анализ рыночной информации</w:t>
      </w:r>
    </w:p>
    <w:p w14:paraId="5ADC1C6E" w14:textId="77777777" w:rsidR="00DB474C" w:rsidRPr="00895461" w:rsidRDefault="00DB474C" w:rsidP="00DB474C">
      <w:pPr>
        <w:spacing w:before="120" w:after="0" w:line="276" w:lineRule="auto"/>
        <w:ind w:firstLine="567"/>
        <w:jc w:val="both"/>
        <w:rPr>
          <w:rFonts w:ascii="Times New Roman" w:hAnsi="Times New Roman" w:cs="Times New Roman"/>
          <w:sz w:val="26"/>
          <w:szCs w:val="26"/>
        </w:rPr>
      </w:pPr>
      <w:r w:rsidRPr="00895461">
        <w:rPr>
          <w:rFonts w:ascii="Times New Roman" w:hAnsi="Times New Roman" w:cs="Times New Roman"/>
          <w:sz w:val="26"/>
          <w:szCs w:val="26"/>
        </w:rPr>
        <w:t xml:space="preserve">Далее представлена информация о предложениях (сделках) </w:t>
      </w:r>
      <w:r>
        <w:rPr>
          <w:rFonts w:ascii="Times New Roman" w:hAnsi="Times New Roman" w:cs="Times New Roman"/>
          <w:sz w:val="26"/>
          <w:szCs w:val="26"/>
        </w:rPr>
        <w:t>сегмента</w:t>
      </w:r>
      <w:r w:rsidRPr="00895461">
        <w:rPr>
          <w:rFonts w:ascii="Times New Roman" w:hAnsi="Times New Roman" w:cs="Times New Roman"/>
          <w:sz w:val="26"/>
          <w:szCs w:val="26"/>
        </w:rPr>
        <w:t xml:space="preserve"> «</w:t>
      </w:r>
      <w:r>
        <w:rPr>
          <w:rFonts w:ascii="Times New Roman" w:eastAsia="Calibri" w:hAnsi="Times New Roman" w:cs="Times New Roman"/>
          <w:sz w:val="26"/>
          <w:szCs w:val="26"/>
        </w:rPr>
        <w:t>Сельскохозяйственное использование</w:t>
      </w:r>
      <w:r w:rsidRPr="00895461">
        <w:rPr>
          <w:rFonts w:ascii="Times New Roman" w:hAnsi="Times New Roman" w:cs="Times New Roman"/>
          <w:sz w:val="26"/>
          <w:szCs w:val="26"/>
        </w:rPr>
        <w:t>»» на рынке недвижимости Воронежской области.</w:t>
      </w:r>
      <w:r>
        <w:rPr>
          <w:rFonts w:ascii="Times New Roman" w:hAnsi="Times New Roman" w:cs="Times New Roman"/>
          <w:sz w:val="26"/>
          <w:szCs w:val="26"/>
        </w:rPr>
        <w:t xml:space="preserve"> Н</w:t>
      </w:r>
      <w:r w:rsidRPr="00895461">
        <w:rPr>
          <w:rFonts w:ascii="Times New Roman" w:hAnsi="Times New Roman" w:cs="Times New Roman"/>
          <w:sz w:val="26"/>
          <w:szCs w:val="26"/>
        </w:rPr>
        <w:t>епосредственно в г.</w:t>
      </w:r>
      <w:r>
        <w:rPr>
          <w:rFonts w:ascii="Times New Roman" w:hAnsi="Times New Roman" w:cs="Times New Roman"/>
          <w:sz w:val="26"/>
          <w:szCs w:val="26"/>
        </w:rPr>
        <w:t>о.г.</w:t>
      </w:r>
      <w:r w:rsidRPr="00895461">
        <w:rPr>
          <w:rFonts w:ascii="Times New Roman" w:hAnsi="Times New Roman" w:cs="Times New Roman"/>
          <w:sz w:val="26"/>
          <w:szCs w:val="26"/>
        </w:rPr>
        <w:t xml:space="preserve"> Воронеж </w:t>
      </w:r>
      <w:r>
        <w:rPr>
          <w:rFonts w:ascii="Times New Roman" w:hAnsi="Times New Roman" w:cs="Times New Roman"/>
          <w:sz w:val="26"/>
          <w:szCs w:val="26"/>
        </w:rPr>
        <w:t>представлено</w:t>
      </w:r>
      <w:r w:rsidRPr="00895461">
        <w:rPr>
          <w:rFonts w:ascii="Times New Roman" w:hAnsi="Times New Roman" w:cs="Times New Roman"/>
          <w:sz w:val="26"/>
          <w:szCs w:val="26"/>
        </w:rPr>
        <w:t xml:space="preserve"> </w:t>
      </w:r>
      <w:r>
        <w:rPr>
          <w:rFonts w:ascii="Times New Roman" w:hAnsi="Times New Roman" w:cs="Times New Roman"/>
          <w:sz w:val="26"/>
          <w:szCs w:val="26"/>
        </w:rPr>
        <w:t>1,97</w:t>
      </w:r>
      <w:r w:rsidRPr="00895461">
        <w:rPr>
          <w:rFonts w:ascii="Times New Roman" w:hAnsi="Times New Roman" w:cs="Times New Roman"/>
          <w:sz w:val="26"/>
          <w:szCs w:val="26"/>
        </w:rPr>
        <w:t>% от общего количества предложений (сделок) по региону.</w:t>
      </w:r>
    </w:p>
    <w:p w14:paraId="493B97FA" w14:textId="77777777" w:rsidR="00DB474C" w:rsidRPr="00FD203C" w:rsidRDefault="00DB474C" w:rsidP="00DB474C">
      <w:pPr>
        <w:spacing w:after="0" w:line="276" w:lineRule="auto"/>
        <w:ind w:firstLine="708"/>
        <w:jc w:val="right"/>
        <w:rPr>
          <w:rFonts w:ascii="Times New Roman" w:hAnsi="Times New Roman" w:cs="Times New Roman"/>
          <w:sz w:val="26"/>
          <w:szCs w:val="26"/>
        </w:rPr>
      </w:pPr>
      <w:r w:rsidRPr="00FD203C">
        <w:rPr>
          <w:rFonts w:ascii="Times New Roman" w:hAnsi="Times New Roman" w:cs="Times New Roman"/>
          <w:sz w:val="26"/>
          <w:szCs w:val="26"/>
        </w:rPr>
        <w:t xml:space="preserve">Таблица </w:t>
      </w:r>
      <w:r w:rsidRPr="005D5A58">
        <w:rPr>
          <w:rFonts w:ascii="Times New Roman" w:hAnsi="Times New Roman" w:cs="Times New Roman"/>
          <w:sz w:val="26"/>
          <w:szCs w:val="26"/>
        </w:rPr>
        <w:t>3.1.3.9.2</w:t>
      </w:r>
    </w:p>
    <w:p w14:paraId="0E4240DE" w14:textId="77777777" w:rsidR="00DB474C" w:rsidRDefault="00DB474C" w:rsidP="00DB474C">
      <w:pPr>
        <w:pStyle w:val="af5"/>
        <w:shd w:val="clear" w:color="auto" w:fill="FFFFFF"/>
        <w:spacing w:before="0" w:beforeAutospacing="0" w:after="0" w:afterAutospacing="0" w:line="276" w:lineRule="auto"/>
        <w:ind w:firstLine="709"/>
        <w:jc w:val="center"/>
        <w:rPr>
          <w:rFonts w:eastAsiaTheme="minorHAnsi"/>
          <w:sz w:val="26"/>
          <w:szCs w:val="26"/>
          <w:lang w:eastAsia="en-US"/>
        </w:rPr>
      </w:pPr>
      <w:r w:rsidRPr="002F66C5">
        <w:rPr>
          <w:rFonts w:eastAsiaTheme="minorHAnsi"/>
          <w:sz w:val="26"/>
          <w:szCs w:val="26"/>
          <w:lang w:eastAsia="en-US"/>
        </w:rPr>
        <w:t>Анализ рыночной информации по земельным участкам сегмента "Сельскохозяйственное использование"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858"/>
        <w:gridCol w:w="1717"/>
        <w:gridCol w:w="2097"/>
        <w:gridCol w:w="1551"/>
      </w:tblGrid>
      <w:tr w:rsidR="00DB474C" w:rsidRPr="002F66C5" w14:paraId="59590818" w14:textId="77777777" w:rsidTr="00DB474C">
        <w:trPr>
          <w:trHeight w:val="413"/>
        </w:trPr>
        <w:tc>
          <w:tcPr>
            <w:tcW w:w="1135" w:type="pct"/>
            <w:vMerge w:val="restart"/>
            <w:shd w:val="clear" w:color="auto" w:fill="auto"/>
            <w:vAlign w:val="center"/>
            <w:hideMark/>
          </w:tcPr>
          <w:p w14:paraId="1EBF3F78" w14:textId="77777777" w:rsidR="00DB474C" w:rsidRPr="002F66C5" w:rsidRDefault="00DB474C" w:rsidP="00DB474C">
            <w:pPr>
              <w:spacing w:after="0" w:line="240" w:lineRule="auto"/>
              <w:jc w:val="center"/>
              <w:rPr>
                <w:rFonts w:ascii="Times New Roman" w:eastAsia="Times New Roman" w:hAnsi="Times New Roman" w:cs="Times New Roman"/>
                <w:b/>
                <w:lang w:eastAsia="ru-RU"/>
              </w:rPr>
            </w:pPr>
            <w:r w:rsidRPr="002F66C5">
              <w:rPr>
                <w:rFonts w:ascii="Times New Roman" w:eastAsia="Times New Roman" w:hAnsi="Times New Roman" w:cs="Times New Roman"/>
                <w:b/>
                <w:lang w:eastAsia="ru-RU"/>
              </w:rPr>
              <w:t>Наименование района</w:t>
            </w:r>
          </w:p>
        </w:tc>
        <w:tc>
          <w:tcPr>
            <w:tcW w:w="3035" w:type="pct"/>
            <w:gridSpan w:val="3"/>
            <w:shd w:val="clear" w:color="auto" w:fill="auto"/>
            <w:vAlign w:val="center"/>
            <w:hideMark/>
          </w:tcPr>
          <w:p w14:paraId="29F2A8A0" w14:textId="77777777" w:rsidR="00DB474C" w:rsidRPr="002F66C5" w:rsidRDefault="00DB474C" w:rsidP="00DB474C">
            <w:pPr>
              <w:spacing w:after="0" w:line="240" w:lineRule="auto"/>
              <w:jc w:val="center"/>
              <w:rPr>
                <w:rFonts w:ascii="Times New Roman" w:eastAsia="Times New Roman" w:hAnsi="Times New Roman" w:cs="Times New Roman"/>
                <w:b/>
                <w:lang w:eastAsia="ru-RU"/>
              </w:rPr>
            </w:pPr>
            <w:r w:rsidRPr="002F66C5">
              <w:rPr>
                <w:rFonts w:ascii="Times New Roman" w:eastAsia="Times New Roman" w:hAnsi="Times New Roman" w:cs="Times New Roman"/>
                <w:b/>
                <w:lang w:eastAsia="ru-RU"/>
              </w:rPr>
              <w:t>Удельный показатель рыночной стоимости, руб./кв.м</w:t>
            </w:r>
          </w:p>
        </w:tc>
        <w:tc>
          <w:tcPr>
            <w:tcW w:w="830" w:type="pct"/>
            <w:vMerge w:val="restart"/>
            <w:shd w:val="clear" w:color="auto" w:fill="auto"/>
            <w:vAlign w:val="center"/>
            <w:hideMark/>
          </w:tcPr>
          <w:p w14:paraId="5D3BC748" w14:textId="77777777" w:rsidR="00DB474C" w:rsidRPr="002F66C5" w:rsidRDefault="00DB474C" w:rsidP="00DB474C">
            <w:pPr>
              <w:spacing w:after="0" w:line="240" w:lineRule="auto"/>
              <w:jc w:val="center"/>
              <w:rPr>
                <w:rFonts w:ascii="Times New Roman" w:eastAsia="Times New Roman" w:hAnsi="Times New Roman" w:cs="Times New Roman"/>
                <w:b/>
                <w:lang w:eastAsia="ru-RU"/>
              </w:rPr>
            </w:pPr>
            <w:r w:rsidRPr="002F66C5">
              <w:rPr>
                <w:rFonts w:ascii="Times New Roman" w:eastAsia="Times New Roman" w:hAnsi="Times New Roman" w:cs="Times New Roman"/>
                <w:b/>
                <w:lang w:eastAsia="ru-RU"/>
              </w:rPr>
              <w:t>Количество предложений (сделок)</w:t>
            </w:r>
          </w:p>
        </w:tc>
      </w:tr>
      <w:tr w:rsidR="00DB474C" w:rsidRPr="002F66C5" w14:paraId="165402E5" w14:textId="77777777" w:rsidTr="00DB474C">
        <w:trPr>
          <w:trHeight w:val="600"/>
        </w:trPr>
        <w:tc>
          <w:tcPr>
            <w:tcW w:w="1135" w:type="pct"/>
            <w:vMerge/>
            <w:vAlign w:val="center"/>
            <w:hideMark/>
          </w:tcPr>
          <w:p w14:paraId="479872FC" w14:textId="77777777" w:rsidR="00DB474C" w:rsidRPr="002F66C5" w:rsidRDefault="00DB474C" w:rsidP="00DB474C">
            <w:pPr>
              <w:spacing w:after="0" w:line="240" w:lineRule="auto"/>
              <w:rPr>
                <w:rFonts w:ascii="Times New Roman" w:eastAsia="Times New Roman" w:hAnsi="Times New Roman" w:cs="Times New Roman"/>
                <w:lang w:eastAsia="ru-RU"/>
              </w:rPr>
            </w:pPr>
          </w:p>
        </w:tc>
        <w:tc>
          <w:tcPr>
            <w:tcW w:w="994" w:type="pct"/>
            <w:shd w:val="clear" w:color="auto" w:fill="auto"/>
            <w:noWrap/>
            <w:vAlign w:val="center"/>
            <w:hideMark/>
          </w:tcPr>
          <w:p w14:paraId="3E800776" w14:textId="77777777" w:rsidR="00DB474C" w:rsidRPr="002F66C5" w:rsidRDefault="00DB474C" w:rsidP="00DB474C">
            <w:pPr>
              <w:spacing w:after="0" w:line="240" w:lineRule="auto"/>
              <w:jc w:val="center"/>
              <w:rPr>
                <w:rFonts w:ascii="Times New Roman" w:eastAsia="Times New Roman" w:hAnsi="Times New Roman" w:cs="Times New Roman"/>
                <w:b/>
                <w:bCs/>
                <w:lang w:eastAsia="ru-RU"/>
              </w:rPr>
            </w:pPr>
            <w:r w:rsidRPr="002F66C5">
              <w:rPr>
                <w:rFonts w:ascii="Times New Roman" w:eastAsia="Times New Roman" w:hAnsi="Times New Roman" w:cs="Times New Roman"/>
                <w:b/>
                <w:bCs/>
                <w:lang w:eastAsia="ru-RU"/>
              </w:rPr>
              <w:t>Минимальное значение</w:t>
            </w:r>
          </w:p>
        </w:tc>
        <w:tc>
          <w:tcPr>
            <w:tcW w:w="919" w:type="pct"/>
            <w:shd w:val="clear" w:color="auto" w:fill="auto"/>
            <w:noWrap/>
            <w:vAlign w:val="center"/>
            <w:hideMark/>
          </w:tcPr>
          <w:p w14:paraId="50AB1282" w14:textId="77777777" w:rsidR="00DB474C" w:rsidRPr="002F66C5" w:rsidRDefault="00DB474C" w:rsidP="00DB474C">
            <w:pPr>
              <w:spacing w:after="0" w:line="240" w:lineRule="auto"/>
              <w:jc w:val="center"/>
              <w:rPr>
                <w:rFonts w:ascii="Times New Roman" w:eastAsia="Times New Roman" w:hAnsi="Times New Roman" w:cs="Times New Roman"/>
                <w:b/>
                <w:bCs/>
                <w:lang w:eastAsia="ru-RU"/>
              </w:rPr>
            </w:pPr>
            <w:r w:rsidRPr="002F66C5">
              <w:rPr>
                <w:rFonts w:ascii="Times New Roman" w:eastAsia="Times New Roman" w:hAnsi="Times New Roman" w:cs="Times New Roman"/>
                <w:b/>
                <w:bCs/>
                <w:lang w:eastAsia="ru-RU"/>
              </w:rPr>
              <w:t>Среднее значение</w:t>
            </w:r>
          </w:p>
        </w:tc>
        <w:tc>
          <w:tcPr>
            <w:tcW w:w="1122" w:type="pct"/>
            <w:shd w:val="clear" w:color="auto" w:fill="auto"/>
            <w:noWrap/>
            <w:vAlign w:val="center"/>
            <w:hideMark/>
          </w:tcPr>
          <w:p w14:paraId="4DF1DA7F" w14:textId="77777777" w:rsidR="00DB474C" w:rsidRPr="002F66C5" w:rsidRDefault="00DB474C" w:rsidP="00DB474C">
            <w:pPr>
              <w:spacing w:after="0" w:line="240" w:lineRule="auto"/>
              <w:jc w:val="center"/>
              <w:rPr>
                <w:rFonts w:ascii="Times New Roman" w:eastAsia="Times New Roman" w:hAnsi="Times New Roman" w:cs="Times New Roman"/>
                <w:b/>
                <w:bCs/>
                <w:lang w:eastAsia="ru-RU"/>
              </w:rPr>
            </w:pPr>
            <w:r w:rsidRPr="002F66C5">
              <w:rPr>
                <w:rFonts w:ascii="Times New Roman" w:eastAsia="Times New Roman" w:hAnsi="Times New Roman" w:cs="Times New Roman"/>
                <w:b/>
                <w:bCs/>
                <w:lang w:eastAsia="ru-RU"/>
              </w:rPr>
              <w:t>Максимальное значение</w:t>
            </w:r>
          </w:p>
        </w:tc>
        <w:tc>
          <w:tcPr>
            <w:tcW w:w="830" w:type="pct"/>
            <w:vMerge/>
            <w:vAlign w:val="center"/>
            <w:hideMark/>
          </w:tcPr>
          <w:p w14:paraId="525808BC" w14:textId="77777777" w:rsidR="00DB474C" w:rsidRPr="002F66C5" w:rsidRDefault="00DB474C" w:rsidP="00DB474C">
            <w:pPr>
              <w:spacing w:after="0" w:line="240" w:lineRule="auto"/>
              <w:rPr>
                <w:rFonts w:ascii="Times New Roman" w:eastAsia="Times New Roman" w:hAnsi="Times New Roman" w:cs="Times New Roman"/>
                <w:lang w:eastAsia="ru-RU"/>
              </w:rPr>
            </w:pPr>
          </w:p>
        </w:tc>
      </w:tr>
      <w:tr w:rsidR="00DB474C" w:rsidRPr="002F66C5" w14:paraId="58971CBE" w14:textId="77777777" w:rsidTr="00DB474C">
        <w:trPr>
          <w:trHeight w:val="300"/>
        </w:trPr>
        <w:tc>
          <w:tcPr>
            <w:tcW w:w="1135" w:type="pct"/>
            <w:shd w:val="clear" w:color="auto" w:fill="auto"/>
            <w:noWrap/>
            <w:vAlign w:val="bottom"/>
            <w:hideMark/>
          </w:tcPr>
          <w:p w14:paraId="2FFFC291"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Аннинский</w:t>
            </w:r>
          </w:p>
        </w:tc>
        <w:tc>
          <w:tcPr>
            <w:tcW w:w="994" w:type="pct"/>
            <w:shd w:val="clear" w:color="auto" w:fill="auto"/>
            <w:noWrap/>
            <w:vAlign w:val="bottom"/>
            <w:hideMark/>
          </w:tcPr>
          <w:p w14:paraId="01D7F112"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0,67</w:t>
            </w:r>
          </w:p>
        </w:tc>
        <w:tc>
          <w:tcPr>
            <w:tcW w:w="919" w:type="pct"/>
            <w:shd w:val="clear" w:color="auto" w:fill="auto"/>
            <w:noWrap/>
            <w:vAlign w:val="bottom"/>
            <w:hideMark/>
          </w:tcPr>
          <w:p w14:paraId="54480273"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15,82</w:t>
            </w:r>
          </w:p>
        </w:tc>
        <w:tc>
          <w:tcPr>
            <w:tcW w:w="1122" w:type="pct"/>
            <w:shd w:val="clear" w:color="auto" w:fill="auto"/>
            <w:noWrap/>
            <w:vAlign w:val="bottom"/>
            <w:hideMark/>
          </w:tcPr>
          <w:p w14:paraId="6992D77C"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2 225,85</w:t>
            </w:r>
          </w:p>
        </w:tc>
        <w:tc>
          <w:tcPr>
            <w:tcW w:w="830" w:type="pct"/>
            <w:shd w:val="clear" w:color="auto" w:fill="auto"/>
            <w:noWrap/>
            <w:vAlign w:val="bottom"/>
            <w:hideMark/>
          </w:tcPr>
          <w:p w14:paraId="41619B7F"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292</w:t>
            </w:r>
          </w:p>
        </w:tc>
      </w:tr>
      <w:tr w:rsidR="00DB474C" w:rsidRPr="002F66C5" w14:paraId="046146F6" w14:textId="77777777" w:rsidTr="00DB474C">
        <w:trPr>
          <w:trHeight w:val="300"/>
        </w:trPr>
        <w:tc>
          <w:tcPr>
            <w:tcW w:w="1135" w:type="pct"/>
            <w:shd w:val="clear" w:color="auto" w:fill="auto"/>
            <w:noWrap/>
            <w:vAlign w:val="bottom"/>
            <w:hideMark/>
          </w:tcPr>
          <w:p w14:paraId="38369B69"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Бобровский</w:t>
            </w:r>
          </w:p>
        </w:tc>
        <w:tc>
          <w:tcPr>
            <w:tcW w:w="994" w:type="pct"/>
            <w:shd w:val="clear" w:color="auto" w:fill="auto"/>
            <w:noWrap/>
            <w:vAlign w:val="bottom"/>
            <w:hideMark/>
          </w:tcPr>
          <w:p w14:paraId="21F4E4B0"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0,31</w:t>
            </w:r>
          </w:p>
        </w:tc>
        <w:tc>
          <w:tcPr>
            <w:tcW w:w="919" w:type="pct"/>
            <w:shd w:val="clear" w:color="auto" w:fill="auto"/>
            <w:noWrap/>
            <w:vAlign w:val="bottom"/>
            <w:hideMark/>
          </w:tcPr>
          <w:p w14:paraId="4AF5E9BC"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12,49</w:t>
            </w:r>
          </w:p>
        </w:tc>
        <w:tc>
          <w:tcPr>
            <w:tcW w:w="1122" w:type="pct"/>
            <w:shd w:val="clear" w:color="auto" w:fill="auto"/>
            <w:noWrap/>
            <w:vAlign w:val="bottom"/>
            <w:hideMark/>
          </w:tcPr>
          <w:p w14:paraId="5714BB2B"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81,10</w:t>
            </w:r>
          </w:p>
        </w:tc>
        <w:tc>
          <w:tcPr>
            <w:tcW w:w="830" w:type="pct"/>
            <w:shd w:val="clear" w:color="auto" w:fill="auto"/>
            <w:noWrap/>
            <w:vAlign w:val="bottom"/>
            <w:hideMark/>
          </w:tcPr>
          <w:p w14:paraId="515D53B6"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102</w:t>
            </w:r>
          </w:p>
        </w:tc>
      </w:tr>
      <w:tr w:rsidR="00DB474C" w:rsidRPr="002F66C5" w14:paraId="3C43062C" w14:textId="77777777" w:rsidTr="00DB474C">
        <w:trPr>
          <w:trHeight w:val="300"/>
        </w:trPr>
        <w:tc>
          <w:tcPr>
            <w:tcW w:w="1135" w:type="pct"/>
            <w:shd w:val="clear" w:color="auto" w:fill="auto"/>
            <w:noWrap/>
            <w:vAlign w:val="bottom"/>
            <w:hideMark/>
          </w:tcPr>
          <w:p w14:paraId="22EBF6AE"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Богучарский</w:t>
            </w:r>
          </w:p>
        </w:tc>
        <w:tc>
          <w:tcPr>
            <w:tcW w:w="994" w:type="pct"/>
            <w:shd w:val="clear" w:color="auto" w:fill="auto"/>
            <w:noWrap/>
            <w:vAlign w:val="bottom"/>
            <w:hideMark/>
          </w:tcPr>
          <w:p w14:paraId="5163243D"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0,04</w:t>
            </w:r>
          </w:p>
        </w:tc>
        <w:tc>
          <w:tcPr>
            <w:tcW w:w="919" w:type="pct"/>
            <w:shd w:val="clear" w:color="auto" w:fill="auto"/>
            <w:noWrap/>
            <w:vAlign w:val="bottom"/>
            <w:hideMark/>
          </w:tcPr>
          <w:p w14:paraId="63720662"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18,59</w:t>
            </w:r>
          </w:p>
        </w:tc>
        <w:tc>
          <w:tcPr>
            <w:tcW w:w="1122" w:type="pct"/>
            <w:shd w:val="clear" w:color="auto" w:fill="auto"/>
            <w:noWrap/>
            <w:vAlign w:val="bottom"/>
            <w:hideMark/>
          </w:tcPr>
          <w:p w14:paraId="286BCFB8"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311,57</w:t>
            </w:r>
          </w:p>
        </w:tc>
        <w:tc>
          <w:tcPr>
            <w:tcW w:w="830" w:type="pct"/>
            <w:shd w:val="clear" w:color="auto" w:fill="auto"/>
            <w:noWrap/>
            <w:vAlign w:val="bottom"/>
            <w:hideMark/>
          </w:tcPr>
          <w:p w14:paraId="4B0C91D2"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237</w:t>
            </w:r>
          </w:p>
        </w:tc>
      </w:tr>
      <w:tr w:rsidR="00DB474C" w:rsidRPr="002F66C5" w14:paraId="0AB8A132" w14:textId="77777777" w:rsidTr="00DB474C">
        <w:trPr>
          <w:trHeight w:val="300"/>
        </w:trPr>
        <w:tc>
          <w:tcPr>
            <w:tcW w:w="1135" w:type="pct"/>
            <w:shd w:val="clear" w:color="auto" w:fill="auto"/>
            <w:noWrap/>
            <w:vAlign w:val="bottom"/>
            <w:hideMark/>
          </w:tcPr>
          <w:p w14:paraId="72509A80"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Борисоглебский</w:t>
            </w:r>
          </w:p>
        </w:tc>
        <w:tc>
          <w:tcPr>
            <w:tcW w:w="994" w:type="pct"/>
            <w:shd w:val="clear" w:color="auto" w:fill="auto"/>
            <w:noWrap/>
            <w:vAlign w:val="bottom"/>
            <w:hideMark/>
          </w:tcPr>
          <w:p w14:paraId="19441C82"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1,27</w:t>
            </w:r>
          </w:p>
        </w:tc>
        <w:tc>
          <w:tcPr>
            <w:tcW w:w="919" w:type="pct"/>
            <w:shd w:val="clear" w:color="auto" w:fill="auto"/>
            <w:noWrap/>
            <w:vAlign w:val="bottom"/>
            <w:hideMark/>
          </w:tcPr>
          <w:p w14:paraId="65067261"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7,95</w:t>
            </w:r>
          </w:p>
        </w:tc>
        <w:tc>
          <w:tcPr>
            <w:tcW w:w="1122" w:type="pct"/>
            <w:shd w:val="clear" w:color="auto" w:fill="auto"/>
            <w:noWrap/>
            <w:vAlign w:val="bottom"/>
            <w:hideMark/>
          </w:tcPr>
          <w:p w14:paraId="435ED432"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137,58</w:t>
            </w:r>
          </w:p>
        </w:tc>
        <w:tc>
          <w:tcPr>
            <w:tcW w:w="830" w:type="pct"/>
            <w:shd w:val="clear" w:color="auto" w:fill="auto"/>
            <w:noWrap/>
            <w:vAlign w:val="bottom"/>
            <w:hideMark/>
          </w:tcPr>
          <w:p w14:paraId="27FF5DA7"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74</w:t>
            </w:r>
          </w:p>
        </w:tc>
      </w:tr>
      <w:tr w:rsidR="00DB474C" w:rsidRPr="002F66C5" w14:paraId="0C1FE4E0" w14:textId="77777777" w:rsidTr="00DB474C">
        <w:trPr>
          <w:trHeight w:val="300"/>
        </w:trPr>
        <w:tc>
          <w:tcPr>
            <w:tcW w:w="1135" w:type="pct"/>
            <w:shd w:val="clear" w:color="auto" w:fill="auto"/>
            <w:noWrap/>
            <w:vAlign w:val="bottom"/>
            <w:hideMark/>
          </w:tcPr>
          <w:p w14:paraId="680CA040"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Бутурлиновский</w:t>
            </w:r>
          </w:p>
        </w:tc>
        <w:tc>
          <w:tcPr>
            <w:tcW w:w="994" w:type="pct"/>
            <w:shd w:val="clear" w:color="auto" w:fill="auto"/>
            <w:noWrap/>
            <w:vAlign w:val="bottom"/>
            <w:hideMark/>
          </w:tcPr>
          <w:p w14:paraId="476CB415"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1,80</w:t>
            </w:r>
          </w:p>
        </w:tc>
        <w:tc>
          <w:tcPr>
            <w:tcW w:w="919" w:type="pct"/>
            <w:shd w:val="clear" w:color="auto" w:fill="auto"/>
            <w:noWrap/>
            <w:vAlign w:val="bottom"/>
            <w:hideMark/>
          </w:tcPr>
          <w:p w14:paraId="304554A2"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27,31</w:t>
            </w:r>
          </w:p>
        </w:tc>
        <w:tc>
          <w:tcPr>
            <w:tcW w:w="1122" w:type="pct"/>
            <w:shd w:val="clear" w:color="auto" w:fill="auto"/>
            <w:noWrap/>
            <w:vAlign w:val="bottom"/>
            <w:hideMark/>
          </w:tcPr>
          <w:p w14:paraId="6ECC9DDF"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1 624,94</w:t>
            </w:r>
          </w:p>
        </w:tc>
        <w:tc>
          <w:tcPr>
            <w:tcW w:w="830" w:type="pct"/>
            <w:shd w:val="clear" w:color="auto" w:fill="auto"/>
            <w:noWrap/>
            <w:vAlign w:val="bottom"/>
            <w:hideMark/>
          </w:tcPr>
          <w:p w14:paraId="3AD157BE"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82</w:t>
            </w:r>
          </w:p>
        </w:tc>
      </w:tr>
      <w:tr w:rsidR="00DB474C" w:rsidRPr="002F66C5" w14:paraId="4A4BC04B" w14:textId="77777777" w:rsidTr="00DB474C">
        <w:trPr>
          <w:trHeight w:val="300"/>
        </w:trPr>
        <w:tc>
          <w:tcPr>
            <w:tcW w:w="1135" w:type="pct"/>
            <w:shd w:val="clear" w:color="auto" w:fill="auto"/>
            <w:noWrap/>
            <w:vAlign w:val="bottom"/>
            <w:hideMark/>
          </w:tcPr>
          <w:p w14:paraId="3E9C187A"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Верхнемамонский</w:t>
            </w:r>
          </w:p>
        </w:tc>
        <w:tc>
          <w:tcPr>
            <w:tcW w:w="994" w:type="pct"/>
            <w:shd w:val="clear" w:color="auto" w:fill="auto"/>
            <w:noWrap/>
            <w:vAlign w:val="bottom"/>
            <w:hideMark/>
          </w:tcPr>
          <w:p w14:paraId="0563D585"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1,22</w:t>
            </w:r>
          </w:p>
        </w:tc>
        <w:tc>
          <w:tcPr>
            <w:tcW w:w="919" w:type="pct"/>
            <w:shd w:val="clear" w:color="auto" w:fill="auto"/>
            <w:noWrap/>
            <w:vAlign w:val="bottom"/>
            <w:hideMark/>
          </w:tcPr>
          <w:p w14:paraId="6202F095"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26,81</w:t>
            </w:r>
          </w:p>
        </w:tc>
        <w:tc>
          <w:tcPr>
            <w:tcW w:w="1122" w:type="pct"/>
            <w:shd w:val="clear" w:color="auto" w:fill="auto"/>
            <w:noWrap/>
            <w:vAlign w:val="bottom"/>
            <w:hideMark/>
          </w:tcPr>
          <w:p w14:paraId="25D476D9"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759,96</w:t>
            </w:r>
          </w:p>
        </w:tc>
        <w:tc>
          <w:tcPr>
            <w:tcW w:w="830" w:type="pct"/>
            <w:shd w:val="clear" w:color="auto" w:fill="auto"/>
            <w:noWrap/>
            <w:vAlign w:val="bottom"/>
            <w:hideMark/>
          </w:tcPr>
          <w:p w14:paraId="62E019D4"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91</w:t>
            </w:r>
          </w:p>
        </w:tc>
      </w:tr>
      <w:tr w:rsidR="00DB474C" w:rsidRPr="002F66C5" w14:paraId="33952246" w14:textId="77777777" w:rsidTr="00DB474C">
        <w:trPr>
          <w:trHeight w:val="300"/>
        </w:trPr>
        <w:tc>
          <w:tcPr>
            <w:tcW w:w="1135" w:type="pct"/>
            <w:shd w:val="clear" w:color="auto" w:fill="auto"/>
            <w:noWrap/>
            <w:vAlign w:val="bottom"/>
            <w:hideMark/>
          </w:tcPr>
          <w:p w14:paraId="571CD4C3"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Верхнехавский</w:t>
            </w:r>
          </w:p>
        </w:tc>
        <w:tc>
          <w:tcPr>
            <w:tcW w:w="994" w:type="pct"/>
            <w:shd w:val="clear" w:color="auto" w:fill="auto"/>
            <w:noWrap/>
            <w:vAlign w:val="bottom"/>
            <w:hideMark/>
          </w:tcPr>
          <w:p w14:paraId="081B1CAD"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0,13</w:t>
            </w:r>
          </w:p>
        </w:tc>
        <w:tc>
          <w:tcPr>
            <w:tcW w:w="919" w:type="pct"/>
            <w:shd w:val="clear" w:color="auto" w:fill="auto"/>
            <w:noWrap/>
            <w:vAlign w:val="bottom"/>
            <w:hideMark/>
          </w:tcPr>
          <w:p w14:paraId="1327D88A"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7,56</w:t>
            </w:r>
          </w:p>
        </w:tc>
        <w:tc>
          <w:tcPr>
            <w:tcW w:w="1122" w:type="pct"/>
            <w:shd w:val="clear" w:color="auto" w:fill="auto"/>
            <w:noWrap/>
            <w:vAlign w:val="bottom"/>
            <w:hideMark/>
          </w:tcPr>
          <w:p w14:paraId="7AAAE8BE"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67,34</w:t>
            </w:r>
          </w:p>
        </w:tc>
        <w:tc>
          <w:tcPr>
            <w:tcW w:w="830" w:type="pct"/>
            <w:shd w:val="clear" w:color="auto" w:fill="auto"/>
            <w:noWrap/>
            <w:vAlign w:val="bottom"/>
            <w:hideMark/>
          </w:tcPr>
          <w:p w14:paraId="09AFAD39"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103</w:t>
            </w:r>
          </w:p>
        </w:tc>
      </w:tr>
      <w:tr w:rsidR="00DB474C" w:rsidRPr="002F66C5" w14:paraId="02EEE2FA" w14:textId="77777777" w:rsidTr="00DB474C">
        <w:trPr>
          <w:trHeight w:val="300"/>
        </w:trPr>
        <w:tc>
          <w:tcPr>
            <w:tcW w:w="1135" w:type="pct"/>
            <w:shd w:val="clear" w:color="auto" w:fill="auto"/>
            <w:noWrap/>
            <w:vAlign w:val="bottom"/>
            <w:hideMark/>
          </w:tcPr>
          <w:p w14:paraId="7B50A49A"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Воробьевский</w:t>
            </w:r>
          </w:p>
        </w:tc>
        <w:tc>
          <w:tcPr>
            <w:tcW w:w="994" w:type="pct"/>
            <w:shd w:val="clear" w:color="auto" w:fill="auto"/>
            <w:noWrap/>
            <w:vAlign w:val="bottom"/>
            <w:hideMark/>
          </w:tcPr>
          <w:p w14:paraId="5FC7AB98"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0,19</w:t>
            </w:r>
          </w:p>
        </w:tc>
        <w:tc>
          <w:tcPr>
            <w:tcW w:w="919" w:type="pct"/>
            <w:shd w:val="clear" w:color="auto" w:fill="auto"/>
            <w:noWrap/>
            <w:vAlign w:val="bottom"/>
            <w:hideMark/>
          </w:tcPr>
          <w:p w14:paraId="0A0EC59B"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154,91</w:t>
            </w:r>
          </w:p>
        </w:tc>
        <w:tc>
          <w:tcPr>
            <w:tcW w:w="1122" w:type="pct"/>
            <w:shd w:val="clear" w:color="auto" w:fill="auto"/>
            <w:noWrap/>
            <w:vAlign w:val="bottom"/>
            <w:hideMark/>
          </w:tcPr>
          <w:p w14:paraId="73BF878C"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1 884,48</w:t>
            </w:r>
          </w:p>
        </w:tc>
        <w:tc>
          <w:tcPr>
            <w:tcW w:w="830" w:type="pct"/>
            <w:shd w:val="clear" w:color="auto" w:fill="auto"/>
            <w:noWrap/>
            <w:vAlign w:val="bottom"/>
            <w:hideMark/>
          </w:tcPr>
          <w:p w14:paraId="15C00790"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98</w:t>
            </w:r>
          </w:p>
        </w:tc>
      </w:tr>
      <w:tr w:rsidR="00DB474C" w:rsidRPr="002F66C5" w14:paraId="4967CD53" w14:textId="77777777" w:rsidTr="00DB474C">
        <w:trPr>
          <w:trHeight w:val="300"/>
        </w:trPr>
        <w:tc>
          <w:tcPr>
            <w:tcW w:w="1135" w:type="pct"/>
            <w:shd w:val="clear" w:color="auto" w:fill="auto"/>
            <w:noWrap/>
            <w:vAlign w:val="bottom"/>
            <w:hideMark/>
          </w:tcPr>
          <w:p w14:paraId="2186451F"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 xml:space="preserve">Грибановский </w:t>
            </w:r>
          </w:p>
        </w:tc>
        <w:tc>
          <w:tcPr>
            <w:tcW w:w="994" w:type="pct"/>
            <w:shd w:val="clear" w:color="auto" w:fill="auto"/>
            <w:noWrap/>
            <w:vAlign w:val="bottom"/>
            <w:hideMark/>
          </w:tcPr>
          <w:p w14:paraId="371687DD"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0,34</w:t>
            </w:r>
          </w:p>
        </w:tc>
        <w:tc>
          <w:tcPr>
            <w:tcW w:w="919" w:type="pct"/>
            <w:shd w:val="clear" w:color="auto" w:fill="auto"/>
            <w:noWrap/>
            <w:vAlign w:val="bottom"/>
            <w:hideMark/>
          </w:tcPr>
          <w:p w14:paraId="7666EC58"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10,68</w:t>
            </w:r>
          </w:p>
        </w:tc>
        <w:tc>
          <w:tcPr>
            <w:tcW w:w="1122" w:type="pct"/>
            <w:shd w:val="clear" w:color="auto" w:fill="auto"/>
            <w:noWrap/>
            <w:vAlign w:val="bottom"/>
            <w:hideMark/>
          </w:tcPr>
          <w:p w14:paraId="6585DB9C"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79,37</w:t>
            </w:r>
          </w:p>
        </w:tc>
        <w:tc>
          <w:tcPr>
            <w:tcW w:w="830" w:type="pct"/>
            <w:shd w:val="clear" w:color="auto" w:fill="auto"/>
            <w:noWrap/>
            <w:vAlign w:val="bottom"/>
            <w:hideMark/>
          </w:tcPr>
          <w:p w14:paraId="5B46E263"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91</w:t>
            </w:r>
          </w:p>
        </w:tc>
      </w:tr>
      <w:tr w:rsidR="00DB474C" w:rsidRPr="002F66C5" w14:paraId="320BAE76" w14:textId="77777777" w:rsidTr="00DB474C">
        <w:trPr>
          <w:trHeight w:val="300"/>
        </w:trPr>
        <w:tc>
          <w:tcPr>
            <w:tcW w:w="1135" w:type="pct"/>
            <w:shd w:val="clear" w:color="auto" w:fill="auto"/>
            <w:noWrap/>
            <w:vAlign w:val="bottom"/>
            <w:hideMark/>
          </w:tcPr>
          <w:p w14:paraId="2E3CCF6E"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Калачеевский</w:t>
            </w:r>
          </w:p>
        </w:tc>
        <w:tc>
          <w:tcPr>
            <w:tcW w:w="994" w:type="pct"/>
            <w:shd w:val="clear" w:color="auto" w:fill="auto"/>
            <w:noWrap/>
            <w:vAlign w:val="bottom"/>
            <w:hideMark/>
          </w:tcPr>
          <w:p w14:paraId="6DEE867A"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0,06</w:t>
            </w:r>
          </w:p>
        </w:tc>
        <w:tc>
          <w:tcPr>
            <w:tcW w:w="919" w:type="pct"/>
            <w:shd w:val="clear" w:color="auto" w:fill="auto"/>
            <w:noWrap/>
            <w:vAlign w:val="bottom"/>
            <w:hideMark/>
          </w:tcPr>
          <w:p w14:paraId="72A9D627"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4,09</w:t>
            </w:r>
          </w:p>
        </w:tc>
        <w:tc>
          <w:tcPr>
            <w:tcW w:w="1122" w:type="pct"/>
            <w:shd w:val="clear" w:color="auto" w:fill="auto"/>
            <w:noWrap/>
            <w:vAlign w:val="bottom"/>
            <w:hideMark/>
          </w:tcPr>
          <w:p w14:paraId="78897C4B"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183,77</w:t>
            </w:r>
          </w:p>
        </w:tc>
        <w:tc>
          <w:tcPr>
            <w:tcW w:w="830" w:type="pct"/>
            <w:shd w:val="clear" w:color="auto" w:fill="auto"/>
            <w:noWrap/>
            <w:vAlign w:val="bottom"/>
            <w:hideMark/>
          </w:tcPr>
          <w:p w14:paraId="4D723943"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521</w:t>
            </w:r>
          </w:p>
        </w:tc>
      </w:tr>
      <w:tr w:rsidR="00DB474C" w:rsidRPr="002F66C5" w14:paraId="43586979" w14:textId="77777777" w:rsidTr="00DB474C">
        <w:trPr>
          <w:trHeight w:val="300"/>
        </w:trPr>
        <w:tc>
          <w:tcPr>
            <w:tcW w:w="1135" w:type="pct"/>
            <w:shd w:val="clear" w:color="auto" w:fill="auto"/>
            <w:noWrap/>
            <w:vAlign w:val="bottom"/>
            <w:hideMark/>
          </w:tcPr>
          <w:p w14:paraId="0530A6A8"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Каменский</w:t>
            </w:r>
          </w:p>
        </w:tc>
        <w:tc>
          <w:tcPr>
            <w:tcW w:w="994" w:type="pct"/>
            <w:shd w:val="clear" w:color="auto" w:fill="auto"/>
            <w:noWrap/>
            <w:vAlign w:val="bottom"/>
            <w:hideMark/>
          </w:tcPr>
          <w:p w14:paraId="367640F1"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0,61</w:t>
            </w:r>
          </w:p>
        </w:tc>
        <w:tc>
          <w:tcPr>
            <w:tcW w:w="919" w:type="pct"/>
            <w:shd w:val="clear" w:color="auto" w:fill="auto"/>
            <w:noWrap/>
            <w:vAlign w:val="bottom"/>
            <w:hideMark/>
          </w:tcPr>
          <w:p w14:paraId="71A62315"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4,74</w:t>
            </w:r>
          </w:p>
        </w:tc>
        <w:tc>
          <w:tcPr>
            <w:tcW w:w="1122" w:type="pct"/>
            <w:shd w:val="clear" w:color="auto" w:fill="auto"/>
            <w:noWrap/>
            <w:vAlign w:val="bottom"/>
            <w:hideMark/>
          </w:tcPr>
          <w:p w14:paraId="0D9CCC0D"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76,71</w:t>
            </w:r>
          </w:p>
        </w:tc>
        <w:tc>
          <w:tcPr>
            <w:tcW w:w="830" w:type="pct"/>
            <w:shd w:val="clear" w:color="auto" w:fill="auto"/>
            <w:noWrap/>
            <w:vAlign w:val="bottom"/>
            <w:hideMark/>
          </w:tcPr>
          <w:p w14:paraId="534CC618"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86</w:t>
            </w:r>
          </w:p>
        </w:tc>
      </w:tr>
      <w:tr w:rsidR="00DB474C" w:rsidRPr="002F66C5" w14:paraId="62D8F897" w14:textId="77777777" w:rsidTr="00DB474C">
        <w:trPr>
          <w:trHeight w:val="300"/>
        </w:trPr>
        <w:tc>
          <w:tcPr>
            <w:tcW w:w="1135" w:type="pct"/>
            <w:shd w:val="clear" w:color="auto" w:fill="auto"/>
            <w:noWrap/>
            <w:vAlign w:val="bottom"/>
            <w:hideMark/>
          </w:tcPr>
          <w:p w14:paraId="31D3303C"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Кантемировский</w:t>
            </w:r>
          </w:p>
        </w:tc>
        <w:tc>
          <w:tcPr>
            <w:tcW w:w="994" w:type="pct"/>
            <w:shd w:val="clear" w:color="auto" w:fill="auto"/>
            <w:noWrap/>
            <w:vAlign w:val="bottom"/>
            <w:hideMark/>
          </w:tcPr>
          <w:p w14:paraId="0DEE2925"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0,40</w:t>
            </w:r>
          </w:p>
        </w:tc>
        <w:tc>
          <w:tcPr>
            <w:tcW w:w="919" w:type="pct"/>
            <w:shd w:val="clear" w:color="auto" w:fill="auto"/>
            <w:noWrap/>
            <w:vAlign w:val="bottom"/>
            <w:hideMark/>
          </w:tcPr>
          <w:p w14:paraId="04AD1E87"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41,71</w:t>
            </w:r>
          </w:p>
        </w:tc>
        <w:tc>
          <w:tcPr>
            <w:tcW w:w="1122" w:type="pct"/>
            <w:shd w:val="clear" w:color="auto" w:fill="auto"/>
            <w:noWrap/>
            <w:vAlign w:val="bottom"/>
            <w:hideMark/>
          </w:tcPr>
          <w:p w14:paraId="0078C95C"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2 976,80</w:t>
            </w:r>
          </w:p>
        </w:tc>
        <w:tc>
          <w:tcPr>
            <w:tcW w:w="830" w:type="pct"/>
            <w:shd w:val="clear" w:color="auto" w:fill="auto"/>
            <w:noWrap/>
            <w:vAlign w:val="bottom"/>
            <w:hideMark/>
          </w:tcPr>
          <w:p w14:paraId="34D17742"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82</w:t>
            </w:r>
          </w:p>
        </w:tc>
      </w:tr>
      <w:tr w:rsidR="00DB474C" w:rsidRPr="002F66C5" w14:paraId="69256E03" w14:textId="77777777" w:rsidTr="00DB474C">
        <w:trPr>
          <w:trHeight w:val="300"/>
        </w:trPr>
        <w:tc>
          <w:tcPr>
            <w:tcW w:w="1135" w:type="pct"/>
            <w:shd w:val="clear" w:color="auto" w:fill="auto"/>
            <w:noWrap/>
            <w:vAlign w:val="bottom"/>
            <w:hideMark/>
          </w:tcPr>
          <w:p w14:paraId="38C5A77D"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Каширский</w:t>
            </w:r>
          </w:p>
        </w:tc>
        <w:tc>
          <w:tcPr>
            <w:tcW w:w="994" w:type="pct"/>
            <w:shd w:val="clear" w:color="auto" w:fill="auto"/>
            <w:noWrap/>
            <w:vAlign w:val="bottom"/>
            <w:hideMark/>
          </w:tcPr>
          <w:p w14:paraId="11B7347D"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0,01</w:t>
            </w:r>
          </w:p>
        </w:tc>
        <w:tc>
          <w:tcPr>
            <w:tcW w:w="919" w:type="pct"/>
            <w:shd w:val="clear" w:color="auto" w:fill="auto"/>
            <w:noWrap/>
            <w:vAlign w:val="bottom"/>
            <w:hideMark/>
          </w:tcPr>
          <w:p w14:paraId="3C655D3A"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13,75</w:t>
            </w:r>
          </w:p>
        </w:tc>
        <w:tc>
          <w:tcPr>
            <w:tcW w:w="1122" w:type="pct"/>
            <w:shd w:val="clear" w:color="auto" w:fill="auto"/>
            <w:noWrap/>
            <w:vAlign w:val="bottom"/>
            <w:hideMark/>
          </w:tcPr>
          <w:p w14:paraId="17B64E4B"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212,05</w:t>
            </w:r>
          </w:p>
        </w:tc>
        <w:tc>
          <w:tcPr>
            <w:tcW w:w="830" w:type="pct"/>
            <w:shd w:val="clear" w:color="auto" w:fill="auto"/>
            <w:noWrap/>
            <w:vAlign w:val="bottom"/>
            <w:hideMark/>
          </w:tcPr>
          <w:p w14:paraId="47E64D04"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232</w:t>
            </w:r>
          </w:p>
        </w:tc>
      </w:tr>
      <w:tr w:rsidR="00DB474C" w:rsidRPr="002F66C5" w14:paraId="6E4BCF1F" w14:textId="77777777" w:rsidTr="00DB474C">
        <w:trPr>
          <w:trHeight w:val="300"/>
        </w:trPr>
        <w:tc>
          <w:tcPr>
            <w:tcW w:w="1135" w:type="pct"/>
            <w:shd w:val="clear" w:color="auto" w:fill="auto"/>
            <w:noWrap/>
            <w:vAlign w:val="bottom"/>
            <w:hideMark/>
          </w:tcPr>
          <w:p w14:paraId="5BFA67F1"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Лискинский</w:t>
            </w:r>
          </w:p>
        </w:tc>
        <w:tc>
          <w:tcPr>
            <w:tcW w:w="994" w:type="pct"/>
            <w:shd w:val="clear" w:color="auto" w:fill="auto"/>
            <w:noWrap/>
            <w:vAlign w:val="bottom"/>
            <w:hideMark/>
          </w:tcPr>
          <w:p w14:paraId="3072763F"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1,81</w:t>
            </w:r>
          </w:p>
        </w:tc>
        <w:tc>
          <w:tcPr>
            <w:tcW w:w="919" w:type="pct"/>
            <w:shd w:val="clear" w:color="auto" w:fill="auto"/>
            <w:noWrap/>
            <w:vAlign w:val="bottom"/>
            <w:hideMark/>
          </w:tcPr>
          <w:p w14:paraId="322F25BB"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6,07</w:t>
            </w:r>
          </w:p>
        </w:tc>
        <w:tc>
          <w:tcPr>
            <w:tcW w:w="1122" w:type="pct"/>
            <w:shd w:val="clear" w:color="auto" w:fill="auto"/>
            <w:noWrap/>
            <w:vAlign w:val="bottom"/>
            <w:hideMark/>
          </w:tcPr>
          <w:p w14:paraId="55C73E6A"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168,18</w:t>
            </w:r>
          </w:p>
        </w:tc>
        <w:tc>
          <w:tcPr>
            <w:tcW w:w="830" w:type="pct"/>
            <w:shd w:val="clear" w:color="auto" w:fill="auto"/>
            <w:noWrap/>
            <w:vAlign w:val="bottom"/>
            <w:hideMark/>
          </w:tcPr>
          <w:p w14:paraId="57B24D49"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137</w:t>
            </w:r>
          </w:p>
        </w:tc>
      </w:tr>
      <w:tr w:rsidR="00DB474C" w:rsidRPr="002F66C5" w14:paraId="5466DC0D" w14:textId="77777777" w:rsidTr="00DB474C">
        <w:trPr>
          <w:trHeight w:val="300"/>
        </w:trPr>
        <w:tc>
          <w:tcPr>
            <w:tcW w:w="1135" w:type="pct"/>
            <w:shd w:val="clear" w:color="auto" w:fill="auto"/>
            <w:noWrap/>
            <w:vAlign w:val="bottom"/>
            <w:hideMark/>
          </w:tcPr>
          <w:p w14:paraId="6D55BDCA"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Нижнедевицкий</w:t>
            </w:r>
          </w:p>
        </w:tc>
        <w:tc>
          <w:tcPr>
            <w:tcW w:w="994" w:type="pct"/>
            <w:shd w:val="clear" w:color="auto" w:fill="auto"/>
            <w:noWrap/>
            <w:vAlign w:val="bottom"/>
            <w:hideMark/>
          </w:tcPr>
          <w:p w14:paraId="0D5ECD05"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0,56</w:t>
            </w:r>
          </w:p>
        </w:tc>
        <w:tc>
          <w:tcPr>
            <w:tcW w:w="919" w:type="pct"/>
            <w:shd w:val="clear" w:color="auto" w:fill="auto"/>
            <w:noWrap/>
            <w:vAlign w:val="bottom"/>
            <w:hideMark/>
          </w:tcPr>
          <w:p w14:paraId="08EBFC2E"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8,47</w:t>
            </w:r>
          </w:p>
        </w:tc>
        <w:tc>
          <w:tcPr>
            <w:tcW w:w="1122" w:type="pct"/>
            <w:shd w:val="clear" w:color="auto" w:fill="auto"/>
            <w:noWrap/>
            <w:vAlign w:val="bottom"/>
            <w:hideMark/>
          </w:tcPr>
          <w:p w14:paraId="60362F80"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212,54</w:t>
            </w:r>
          </w:p>
        </w:tc>
        <w:tc>
          <w:tcPr>
            <w:tcW w:w="830" w:type="pct"/>
            <w:shd w:val="clear" w:color="auto" w:fill="auto"/>
            <w:noWrap/>
            <w:vAlign w:val="bottom"/>
            <w:hideMark/>
          </w:tcPr>
          <w:p w14:paraId="19C92395"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120</w:t>
            </w:r>
          </w:p>
        </w:tc>
      </w:tr>
      <w:tr w:rsidR="00DB474C" w:rsidRPr="002F66C5" w14:paraId="5061FBF9" w14:textId="77777777" w:rsidTr="00DB474C">
        <w:trPr>
          <w:trHeight w:val="300"/>
        </w:trPr>
        <w:tc>
          <w:tcPr>
            <w:tcW w:w="1135" w:type="pct"/>
            <w:shd w:val="clear" w:color="auto" w:fill="auto"/>
            <w:noWrap/>
            <w:vAlign w:val="bottom"/>
            <w:hideMark/>
          </w:tcPr>
          <w:p w14:paraId="0914BF29"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Новоусманский</w:t>
            </w:r>
          </w:p>
        </w:tc>
        <w:tc>
          <w:tcPr>
            <w:tcW w:w="994" w:type="pct"/>
            <w:shd w:val="clear" w:color="auto" w:fill="auto"/>
            <w:noWrap/>
            <w:vAlign w:val="bottom"/>
            <w:hideMark/>
          </w:tcPr>
          <w:p w14:paraId="7BF6329A"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1,57</w:t>
            </w:r>
          </w:p>
        </w:tc>
        <w:tc>
          <w:tcPr>
            <w:tcW w:w="919" w:type="pct"/>
            <w:shd w:val="clear" w:color="auto" w:fill="auto"/>
            <w:noWrap/>
            <w:vAlign w:val="bottom"/>
            <w:hideMark/>
          </w:tcPr>
          <w:p w14:paraId="2F002C51"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124,93</w:t>
            </w:r>
          </w:p>
        </w:tc>
        <w:tc>
          <w:tcPr>
            <w:tcW w:w="1122" w:type="pct"/>
            <w:shd w:val="clear" w:color="auto" w:fill="auto"/>
            <w:noWrap/>
            <w:vAlign w:val="bottom"/>
            <w:hideMark/>
          </w:tcPr>
          <w:p w14:paraId="34B0E855"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5 557,66</w:t>
            </w:r>
          </w:p>
        </w:tc>
        <w:tc>
          <w:tcPr>
            <w:tcW w:w="830" w:type="pct"/>
            <w:shd w:val="clear" w:color="auto" w:fill="auto"/>
            <w:noWrap/>
            <w:vAlign w:val="bottom"/>
            <w:hideMark/>
          </w:tcPr>
          <w:p w14:paraId="01CDD49B"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236</w:t>
            </w:r>
          </w:p>
        </w:tc>
      </w:tr>
      <w:tr w:rsidR="00DB474C" w:rsidRPr="002F66C5" w14:paraId="392C502A" w14:textId="77777777" w:rsidTr="00DB474C">
        <w:trPr>
          <w:trHeight w:val="300"/>
        </w:trPr>
        <w:tc>
          <w:tcPr>
            <w:tcW w:w="1135" w:type="pct"/>
            <w:shd w:val="clear" w:color="auto" w:fill="auto"/>
            <w:noWrap/>
            <w:vAlign w:val="bottom"/>
            <w:hideMark/>
          </w:tcPr>
          <w:p w14:paraId="5A0C6C1B"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Новохоперский</w:t>
            </w:r>
          </w:p>
        </w:tc>
        <w:tc>
          <w:tcPr>
            <w:tcW w:w="994" w:type="pct"/>
            <w:shd w:val="clear" w:color="auto" w:fill="auto"/>
            <w:noWrap/>
            <w:vAlign w:val="bottom"/>
            <w:hideMark/>
          </w:tcPr>
          <w:p w14:paraId="299C20D3"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0,51</w:t>
            </w:r>
          </w:p>
        </w:tc>
        <w:tc>
          <w:tcPr>
            <w:tcW w:w="919" w:type="pct"/>
            <w:shd w:val="clear" w:color="auto" w:fill="auto"/>
            <w:noWrap/>
            <w:vAlign w:val="bottom"/>
            <w:hideMark/>
          </w:tcPr>
          <w:p w14:paraId="65A41066"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62,20</w:t>
            </w:r>
          </w:p>
        </w:tc>
        <w:tc>
          <w:tcPr>
            <w:tcW w:w="1122" w:type="pct"/>
            <w:shd w:val="clear" w:color="auto" w:fill="auto"/>
            <w:noWrap/>
            <w:vAlign w:val="bottom"/>
            <w:hideMark/>
          </w:tcPr>
          <w:p w14:paraId="6215F969"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9 175,95</w:t>
            </w:r>
          </w:p>
        </w:tc>
        <w:tc>
          <w:tcPr>
            <w:tcW w:w="830" w:type="pct"/>
            <w:shd w:val="clear" w:color="auto" w:fill="auto"/>
            <w:noWrap/>
            <w:vAlign w:val="bottom"/>
            <w:hideMark/>
          </w:tcPr>
          <w:p w14:paraId="000E219E"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169</w:t>
            </w:r>
          </w:p>
        </w:tc>
      </w:tr>
      <w:tr w:rsidR="00DB474C" w:rsidRPr="002F66C5" w14:paraId="4D51F416" w14:textId="77777777" w:rsidTr="00DB474C">
        <w:trPr>
          <w:trHeight w:val="300"/>
        </w:trPr>
        <w:tc>
          <w:tcPr>
            <w:tcW w:w="1135" w:type="pct"/>
            <w:shd w:val="clear" w:color="auto" w:fill="auto"/>
            <w:noWrap/>
            <w:vAlign w:val="bottom"/>
            <w:hideMark/>
          </w:tcPr>
          <w:p w14:paraId="740C23B6"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Ольховатский</w:t>
            </w:r>
          </w:p>
        </w:tc>
        <w:tc>
          <w:tcPr>
            <w:tcW w:w="994" w:type="pct"/>
            <w:shd w:val="clear" w:color="auto" w:fill="auto"/>
            <w:noWrap/>
            <w:vAlign w:val="bottom"/>
            <w:hideMark/>
          </w:tcPr>
          <w:p w14:paraId="10C2FD66"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0,90</w:t>
            </w:r>
          </w:p>
        </w:tc>
        <w:tc>
          <w:tcPr>
            <w:tcW w:w="919" w:type="pct"/>
            <w:shd w:val="clear" w:color="auto" w:fill="auto"/>
            <w:noWrap/>
            <w:vAlign w:val="bottom"/>
            <w:hideMark/>
          </w:tcPr>
          <w:p w14:paraId="237FE455"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6,74</w:t>
            </w:r>
          </w:p>
        </w:tc>
        <w:tc>
          <w:tcPr>
            <w:tcW w:w="1122" w:type="pct"/>
            <w:shd w:val="clear" w:color="auto" w:fill="auto"/>
            <w:noWrap/>
            <w:vAlign w:val="bottom"/>
            <w:hideMark/>
          </w:tcPr>
          <w:p w14:paraId="7C676625"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142,26</w:t>
            </w:r>
          </w:p>
        </w:tc>
        <w:tc>
          <w:tcPr>
            <w:tcW w:w="830" w:type="pct"/>
            <w:shd w:val="clear" w:color="auto" w:fill="auto"/>
            <w:noWrap/>
            <w:vAlign w:val="bottom"/>
            <w:hideMark/>
          </w:tcPr>
          <w:p w14:paraId="25C68E68"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89</w:t>
            </w:r>
          </w:p>
        </w:tc>
      </w:tr>
      <w:tr w:rsidR="00DB474C" w:rsidRPr="002F66C5" w14:paraId="7C0D007F" w14:textId="77777777" w:rsidTr="00DB474C">
        <w:trPr>
          <w:trHeight w:val="300"/>
        </w:trPr>
        <w:tc>
          <w:tcPr>
            <w:tcW w:w="1135" w:type="pct"/>
            <w:shd w:val="clear" w:color="auto" w:fill="auto"/>
            <w:noWrap/>
            <w:vAlign w:val="bottom"/>
            <w:hideMark/>
          </w:tcPr>
          <w:p w14:paraId="5C0DD4B2"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Острогожский</w:t>
            </w:r>
          </w:p>
        </w:tc>
        <w:tc>
          <w:tcPr>
            <w:tcW w:w="994" w:type="pct"/>
            <w:shd w:val="clear" w:color="auto" w:fill="auto"/>
            <w:noWrap/>
            <w:vAlign w:val="bottom"/>
            <w:hideMark/>
          </w:tcPr>
          <w:p w14:paraId="19A58F4D"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0,66</w:t>
            </w:r>
          </w:p>
        </w:tc>
        <w:tc>
          <w:tcPr>
            <w:tcW w:w="919" w:type="pct"/>
            <w:shd w:val="clear" w:color="auto" w:fill="auto"/>
            <w:noWrap/>
            <w:vAlign w:val="bottom"/>
            <w:hideMark/>
          </w:tcPr>
          <w:p w14:paraId="7F774041"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8,01</w:t>
            </w:r>
          </w:p>
        </w:tc>
        <w:tc>
          <w:tcPr>
            <w:tcW w:w="1122" w:type="pct"/>
            <w:shd w:val="clear" w:color="auto" w:fill="auto"/>
            <w:noWrap/>
            <w:vAlign w:val="bottom"/>
            <w:hideMark/>
          </w:tcPr>
          <w:p w14:paraId="1CE9022A"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49,57</w:t>
            </w:r>
          </w:p>
        </w:tc>
        <w:tc>
          <w:tcPr>
            <w:tcW w:w="830" w:type="pct"/>
            <w:shd w:val="clear" w:color="auto" w:fill="auto"/>
            <w:noWrap/>
            <w:vAlign w:val="bottom"/>
            <w:hideMark/>
          </w:tcPr>
          <w:p w14:paraId="3204C52C"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36</w:t>
            </w:r>
          </w:p>
        </w:tc>
      </w:tr>
      <w:tr w:rsidR="00DB474C" w:rsidRPr="002F66C5" w14:paraId="1620516F" w14:textId="77777777" w:rsidTr="00DB474C">
        <w:trPr>
          <w:trHeight w:val="300"/>
        </w:trPr>
        <w:tc>
          <w:tcPr>
            <w:tcW w:w="1135" w:type="pct"/>
            <w:shd w:val="clear" w:color="auto" w:fill="auto"/>
            <w:noWrap/>
            <w:vAlign w:val="bottom"/>
            <w:hideMark/>
          </w:tcPr>
          <w:p w14:paraId="19D90E56"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Павловский</w:t>
            </w:r>
          </w:p>
        </w:tc>
        <w:tc>
          <w:tcPr>
            <w:tcW w:w="994" w:type="pct"/>
            <w:shd w:val="clear" w:color="auto" w:fill="auto"/>
            <w:noWrap/>
            <w:vAlign w:val="bottom"/>
            <w:hideMark/>
          </w:tcPr>
          <w:p w14:paraId="3707B902"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0,78</w:t>
            </w:r>
          </w:p>
        </w:tc>
        <w:tc>
          <w:tcPr>
            <w:tcW w:w="919" w:type="pct"/>
            <w:shd w:val="clear" w:color="auto" w:fill="auto"/>
            <w:noWrap/>
            <w:vAlign w:val="bottom"/>
            <w:hideMark/>
          </w:tcPr>
          <w:p w14:paraId="3E514B4E"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69,93</w:t>
            </w:r>
          </w:p>
        </w:tc>
        <w:tc>
          <w:tcPr>
            <w:tcW w:w="1122" w:type="pct"/>
            <w:shd w:val="clear" w:color="auto" w:fill="auto"/>
            <w:noWrap/>
            <w:vAlign w:val="bottom"/>
            <w:hideMark/>
          </w:tcPr>
          <w:p w14:paraId="4FC2D769"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1 998,77</w:t>
            </w:r>
          </w:p>
        </w:tc>
        <w:tc>
          <w:tcPr>
            <w:tcW w:w="830" w:type="pct"/>
            <w:shd w:val="clear" w:color="auto" w:fill="auto"/>
            <w:noWrap/>
            <w:vAlign w:val="bottom"/>
            <w:hideMark/>
          </w:tcPr>
          <w:p w14:paraId="00CEBC74"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76</w:t>
            </w:r>
          </w:p>
        </w:tc>
      </w:tr>
      <w:tr w:rsidR="00DB474C" w:rsidRPr="002F66C5" w14:paraId="168AD4A7" w14:textId="77777777" w:rsidTr="00DB474C">
        <w:trPr>
          <w:trHeight w:val="300"/>
        </w:trPr>
        <w:tc>
          <w:tcPr>
            <w:tcW w:w="1135" w:type="pct"/>
            <w:shd w:val="clear" w:color="auto" w:fill="auto"/>
            <w:noWrap/>
            <w:vAlign w:val="bottom"/>
            <w:hideMark/>
          </w:tcPr>
          <w:p w14:paraId="70E0D801"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Панинский</w:t>
            </w:r>
          </w:p>
        </w:tc>
        <w:tc>
          <w:tcPr>
            <w:tcW w:w="994" w:type="pct"/>
            <w:shd w:val="clear" w:color="auto" w:fill="auto"/>
            <w:noWrap/>
            <w:vAlign w:val="bottom"/>
            <w:hideMark/>
          </w:tcPr>
          <w:p w14:paraId="7CCB8B0B"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0,54</w:t>
            </w:r>
          </w:p>
        </w:tc>
        <w:tc>
          <w:tcPr>
            <w:tcW w:w="919" w:type="pct"/>
            <w:shd w:val="clear" w:color="auto" w:fill="auto"/>
            <w:noWrap/>
            <w:vAlign w:val="bottom"/>
            <w:hideMark/>
          </w:tcPr>
          <w:p w14:paraId="27A22427"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8,61</w:t>
            </w:r>
          </w:p>
        </w:tc>
        <w:tc>
          <w:tcPr>
            <w:tcW w:w="1122" w:type="pct"/>
            <w:shd w:val="clear" w:color="auto" w:fill="auto"/>
            <w:noWrap/>
            <w:vAlign w:val="bottom"/>
            <w:hideMark/>
          </w:tcPr>
          <w:p w14:paraId="1251A916"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329,68</w:t>
            </w:r>
          </w:p>
        </w:tc>
        <w:tc>
          <w:tcPr>
            <w:tcW w:w="830" w:type="pct"/>
            <w:shd w:val="clear" w:color="auto" w:fill="auto"/>
            <w:noWrap/>
            <w:vAlign w:val="bottom"/>
            <w:hideMark/>
          </w:tcPr>
          <w:p w14:paraId="61D07E51"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199</w:t>
            </w:r>
          </w:p>
        </w:tc>
      </w:tr>
      <w:tr w:rsidR="00DB474C" w:rsidRPr="002F66C5" w14:paraId="4B297DB8" w14:textId="77777777" w:rsidTr="00DB474C">
        <w:trPr>
          <w:trHeight w:val="300"/>
        </w:trPr>
        <w:tc>
          <w:tcPr>
            <w:tcW w:w="1135" w:type="pct"/>
            <w:shd w:val="clear" w:color="auto" w:fill="auto"/>
            <w:noWrap/>
            <w:vAlign w:val="bottom"/>
            <w:hideMark/>
          </w:tcPr>
          <w:p w14:paraId="670CBB5F"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Петропавловский</w:t>
            </w:r>
          </w:p>
        </w:tc>
        <w:tc>
          <w:tcPr>
            <w:tcW w:w="994" w:type="pct"/>
            <w:shd w:val="clear" w:color="auto" w:fill="auto"/>
            <w:noWrap/>
            <w:vAlign w:val="bottom"/>
            <w:hideMark/>
          </w:tcPr>
          <w:p w14:paraId="6E7D07E5"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0,10</w:t>
            </w:r>
          </w:p>
        </w:tc>
        <w:tc>
          <w:tcPr>
            <w:tcW w:w="919" w:type="pct"/>
            <w:shd w:val="clear" w:color="auto" w:fill="auto"/>
            <w:noWrap/>
            <w:vAlign w:val="bottom"/>
            <w:hideMark/>
          </w:tcPr>
          <w:p w14:paraId="4DA4DAF8"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6,94</w:t>
            </w:r>
          </w:p>
        </w:tc>
        <w:tc>
          <w:tcPr>
            <w:tcW w:w="1122" w:type="pct"/>
            <w:shd w:val="clear" w:color="auto" w:fill="auto"/>
            <w:noWrap/>
            <w:vAlign w:val="bottom"/>
            <w:hideMark/>
          </w:tcPr>
          <w:p w14:paraId="487142D2"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61,96</w:t>
            </w:r>
          </w:p>
        </w:tc>
        <w:tc>
          <w:tcPr>
            <w:tcW w:w="830" w:type="pct"/>
            <w:shd w:val="clear" w:color="auto" w:fill="auto"/>
            <w:noWrap/>
            <w:vAlign w:val="bottom"/>
            <w:hideMark/>
          </w:tcPr>
          <w:p w14:paraId="3C1D4D41"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66</w:t>
            </w:r>
          </w:p>
        </w:tc>
      </w:tr>
      <w:tr w:rsidR="00DB474C" w:rsidRPr="002F66C5" w14:paraId="1240BCF6" w14:textId="77777777" w:rsidTr="00DB474C">
        <w:trPr>
          <w:trHeight w:val="300"/>
        </w:trPr>
        <w:tc>
          <w:tcPr>
            <w:tcW w:w="1135" w:type="pct"/>
            <w:shd w:val="clear" w:color="auto" w:fill="auto"/>
            <w:noWrap/>
            <w:vAlign w:val="bottom"/>
            <w:hideMark/>
          </w:tcPr>
          <w:p w14:paraId="11C8E426"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Поворинский</w:t>
            </w:r>
          </w:p>
        </w:tc>
        <w:tc>
          <w:tcPr>
            <w:tcW w:w="994" w:type="pct"/>
            <w:shd w:val="clear" w:color="auto" w:fill="auto"/>
            <w:noWrap/>
            <w:vAlign w:val="bottom"/>
            <w:hideMark/>
          </w:tcPr>
          <w:p w14:paraId="62E53349"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1,49</w:t>
            </w:r>
          </w:p>
        </w:tc>
        <w:tc>
          <w:tcPr>
            <w:tcW w:w="919" w:type="pct"/>
            <w:shd w:val="clear" w:color="auto" w:fill="auto"/>
            <w:noWrap/>
            <w:vAlign w:val="bottom"/>
            <w:hideMark/>
          </w:tcPr>
          <w:p w14:paraId="0DED5B2D"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16,74</w:t>
            </w:r>
          </w:p>
        </w:tc>
        <w:tc>
          <w:tcPr>
            <w:tcW w:w="1122" w:type="pct"/>
            <w:shd w:val="clear" w:color="auto" w:fill="auto"/>
            <w:noWrap/>
            <w:vAlign w:val="bottom"/>
            <w:hideMark/>
          </w:tcPr>
          <w:p w14:paraId="65CF9726"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627,89</w:t>
            </w:r>
          </w:p>
        </w:tc>
        <w:tc>
          <w:tcPr>
            <w:tcW w:w="830" w:type="pct"/>
            <w:shd w:val="clear" w:color="auto" w:fill="auto"/>
            <w:noWrap/>
            <w:vAlign w:val="bottom"/>
            <w:hideMark/>
          </w:tcPr>
          <w:p w14:paraId="67E689C8"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163</w:t>
            </w:r>
          </w:p>
        </w:tc>
      </w:tr>
      <w:tr w:rsidR="00DB474C" w:rsidRPr="002F66C5" w14:paraId="3CBB50E1" w14:textId="77777777" w:rsidTr="00DB474C">
        <w:trPr>
          <w:trHeight w:val="300"/>
        </w:trPr>
        <w:tc>
          <w:tcPr>
            <w:tcW w:w="1135" w:type="pct"/>
            <w:shd w:val="clear" w:color="auto" w:fill="auto"/>
            <w:noWrap/>
            <w:vAlign w:val="bottom"/>
            <w:hideMark/>
          </w:tcPr>
          <w:p w14:paraId="589DF425"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Подгоренский</w:t>
            </w:r>
          </w:p>
        </w:tc>
        <w:tc>
          <w:tcPr>
            <w:tcW w:w="994" w:type="pct"/>
            <w:shd w:val="clear" w:color="auto" w:fill="auto"/>
            <w:noWrap/>
            <w:vAlign w:val="bottom"/>
            <w:hideMark/>
          </w:tcPr>
          <w:p w14:paraId="3EAC13EC"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0,05</w:t>
            </w:r>
          </w:p>
        </w:tc>
        <w:tc>
          <w:tcPr>
            <w:tcW w:w="919" w:type="pct"/>
            <w:shd w:val="clear" w:color="auto" w:fill="auto"/>
            <w:noWrap/>
            <w:vAlign w:val="bottom"/>
            <w:hideMark/>
          </w:tcPr>
          <w:p w14:paraId="6A850E76"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23,19</w:t>
            </w:r>
          </w:p>
        </w:tc>
        <w:tc>
          <w:tcPr>
            <w:tcW w:w="1122" w:type="pct"/>
            <w:shd w:val="clear" w:color="auto" w:fill="auto"/>
            <w:noWrap/>
            <w:vAlign w:val="bottom"/>
            <w:hideMark/>
          </w:tcPr>
          <w:p w14:paraId="0D88BAE2"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279,62</w:t>
            </w:r>
          </w:p>
        </w:tc>
        <w:tc>
          <w:tcPr>
            <w:tcW w:w="830" w:type="pct"/>
            <w:shd w:val="clear" w:color="auto" w:fill="auto"/>
            <w:noWrap/>
            <w:vAlign w:val="bottom"/>
            <w:hideMark/>
          </w:tcPr>
          <w:p w14:paraId="517626CC"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39</w:t>
            </w:r>
          </w:p>
        </w:tc>
      </w:tr>
      <w:tr w:rsidR="00DB474C" w:rsidRPr="002F66C5" w14:paraId="1A8A2085" w14:textId="77777777" w:rsidTr="00DB474C">
        <w:trPr>
          <w:trHeight w:val="300"/>
        </w:trPr>
        <w:tc>
          <w:tcPr>
            <w:tcW w:w="1135" w:type="pct"/>
            <w:shd w:val="clear" w:color="auto" w:fill="auto"/>
            <w:noWrap/>
            <w:vAlign w:val="bottom"/>
            <w:hideMark/>
          </w:tcPr>
          <w:p w14:paraId="791A895F"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Рамонский</w:t>
            </w:r>
          </w:p>
        </w:tc>
        <w:tc>
          <w:tcPr>
            <w:tcW w:w="994" w:type="pct"/>
            <w:shd w:val="clear" w:color="auto" w:fill="auto"/>
            <w:noWrap/>
            <w:vAlign w:val="bottom"/>
            <w:hideMark/>
          </w:tcPr>
          <w:p w14:paraId="0A150637"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0,36</w:t>
            </w:r>
          </w:p>
        </w:tc>
        <w:tc>
          <w:tcPr>
            <w:tcW w:w="919" w:type="pct"/>
            <w:shd w:val="clear" w:color="auto" w:fill="auto"/>
            <w:noWrap/>
            <w:vAlign w:val="bottom"/>
            <w:hideMark/>
          </w:tcPr>
          <w:p w14:paraId="639C1377"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127,93</w:t>
            </w:r>
          </w:p>
        </w:tc>
        <w:tc>
          <w:tcPr>
            <w:tcW w:w="1122" w:type="pct"/>
            <w:shd w:val="clear" w:color="auto" w:fill="auto"/>
            <w:noWrap/>
            <w:vAlign w:val="bottom"/>
            <w:hideMark/>
          </w:tcPr>
          <w:p w14:paraId="75A3B1DD"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5 050,25</w:t>
            </w:r>
          </w:p>
        </w:tc>
        <w:tc>
          <w:tcPr>
            <w:tcW w:w="830" w:type="pct"/>
            <w:shd w:val="clear" w:color="auto" w:fill="auto"/>
            <w:noWrap/>
            <w:vAlign w:val="bottom"/>
            <w:hideMark/>
          </w:tcPr>
          <w:p w14:paraId="23EB723C"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269</w:t>
            </w:r>
          </w:p>
        </w:tc>
      </w:tr>
      <w:tr w:rsidR="00DB474C" w:rsidRPr="002F66C5" w14:paraId="163AE91C" w14:textId="77777777" w:rsidTr="00DB474C">
        <w:trPr>
          <w:trHeight w:val="300"/>
        </w:trPr>
        <w:tc>
          <w:tcPr>
            <w:tcW w:w="1135" w:type="pct"/>
            <w:shd w:val="clear" w:color="auto" w:fill="auto"/>
            <w:noWrap/>
            <w:vAlign w:val="bottom"/>
            <w:hideMark/>
          </w:tcPr>
          <w:p w14:paraId="400E550D"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Репьевский</w:t>
            </w:r>
          </w:p>
        </w:tc>
        <w:tc>
          <w:tcPr>
            <w:tcW w:w="994" w:type="pct"/>
            <w:shd w:val="clear" w:color="auto" w:fill="auto"/>
            <w:noWrap/>
            <w:vAlign w:val="bottom"/>
            <w:hideMark/>
          </w:tcPr>
          <w:p w14:paraId="00E1992F"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1,05</w:t>
            </w:r>
          </w:p>
        </w:tc>
        <w:tc>
          <w:tcPr>
            <w:tcW w:w="919" w:type="pct"/>
            <w:shd w:val="clear" w:color="auto" w:fill="auto"/>
            <w:noWrap/>
            <w:vAlign w:val="bottom"/>
            <w:hideMark/>
          </w:tcPr>
          <w:p w14:paraId="69BE6229"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25,60</w:t>
            </w:r>
          </w:p>
        </w:tc>
        <w:tc>
          <w:tcPr>
            <w:tcW w:w="1122" w:type="pct"/>
            <w:shd w:val="clear" w:color="auto" w:fill="auto"/>
            <w:noWrap/>
            <w:vAlign w:val="bottom"/>
            <w:hideMark/>
          </w:tcPr>
          <w:p w14:paraId="47C8A0AD"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1 221,90</w:t>
            </w:r>
          </w:p>
        </w:tc>
        <w:tc>
          <w:tcPr>
            <w:tcW w:w="830" w:type="pct"/>
            <w:shd w:val="clear" w:color="auto" w:fill="auto"/>
            <w:noWrap/>
            <w:vAlign w:val="bottom"/>
            <w:hideMark/>
          </w:tcPr>
          <w:p w14:paraId="76C8F3B9"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68</w:t>
            </w:r>
          </w:p>
        </w:tc>
      </w:tr>
      <w:tr w:rsidR="00DB474C" w:rsidRPr="002F66C5" w14:paraId="2ADB92DF" w14:textId="77777777" w:rsidTr="00DB474C">
        <w:trPr>
          <w:trHeight w:val="300"/>
        </w:trPr>
        <w:tc>
          <w:tcPr>
            <w:tcW w:w="1135" w:type="pct"/>
            <w:shd w:val="clear" w:color="auto" w:fill="auto"/>
            <w:noWrap/>
            <w:vAlign w:val="bottom"/>
            <w:hideMark/>
          </w:tcPr>
          <w:p w14:paraId="6D0D9609"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Россошанский</w:t>
            </w:r>
          </w:p>
        </w:tc>
        <w:tc>
          <w:tcPr>
            <w:tcW w:w="994" w:type="pct"/>
            <w:shd w:val="clear" w:color="auto" w:fill="auto"/>
            <w:noWrap/>
            <w:vAlign w:val="bottom"/>
            <w:hideMark/>
          </w:tcPr>
          <w:p w14:paraId="3D41C052"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0,17</w:t>
            </w:r>
          </w:p>
        </w:tc>
        <w:tc>
          <w:tcPr>
            <w:tcW w:w="919" w:type="pct"/>
            <w:shd w:val="clear" w:color="auto" w:fill="auto"/>
            <w:noWrap/>
            <w:vAlign w:val="bottom"/>
            <w:hideMark/>
          </w:tcPr>
          <w:p w14:paraId="1E7BD6BE"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13,98</w:t>
            </w:r>
          </w:p>
        </w:tc>
        <w:tc>
          <w:tcPr>
            <w:tcW w:w="1122" w:type="pct"/>
            <w:shd w:val="clear" w:color="auto" w:fill="auto"/>
            <w:noWrap/>
            <w:vAlign w:val="bottom"/>
            <w:hideMark/>
          </w:tcPr>
          <w:p w14:paraId="0FE9FF68"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544,40</w:t>
            </w:r>
          </w:p>
        </w:tc>
        <w:tc>
          <w:tcPr>
            <w:tcW w:w="830" w:type="pct"/>
            <w:shd w:val="clear" w:color="auto" w:fill="auto"/>
            <w:noWrap/>
            <w:vAlign w:val="bottom"/>
            <w:hideMark/>
          </w:tcPr>
          <w:p w14:paraId="1EF7FE18"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89</w:t>
            </w:r>
          </w:p>
        </w:tc>
      </w:tr>
      <w:tr w:rsidR="00DB474C" w:rsidRPr="002F66C5" w14:paraId="61C1B084" w14:textId="77777777" w:rsidTr="00DB474C">
        <w:trPr>
          <w:trHeight w:val="300"/>
        </w:trPr>
        <w:tc>
          <w:tcPr>
            <w:tcW w:w="1135" w:type="pct"/>
            <w:shd w:val="clear" w:color="auto" w:fill="auto"/>
            <w:noWrap/>
            <w:vAlign w:val="bottom"/>
            <w:hideMark/>
          </w:tcPr>
          <w:p w14:paraId="449E38AC"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Семилукский</w:t>
            </w:r>
          </w:p>
        </w:tc>
        <w:tc>
          <w:tcPr>
            <w:tcW w:w="994" w:type="pct"/>
            <w:shd w:val="clear" w:color="auto" w:fill="auto"/>
            <w:noWrap/>
            <w:vAlign w:val="bottom"/>
            <w:hideMark/>
          </w:tcPr>
          <w:p w14:paraId="04F0F927"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0,22</w:t>
            </w:r>
          </w:p>
        </w:tc>
        <w:tc>
          <w:tcPr>
            <w:tcW w:w="919" w:type="pct"/>
            <w:shd w:val="clear" w:color="auto" w:fill="auto"/>
            <w:noWrap/>
            <w:vAlign w:val="bottom"/>
            <w:hideMark/>
          </w:tcPr>
          <w:p w14:paraId="2B92F867"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79,17</w:t>
            </w:r>
          </w:p>
        </w:tc>
        <w:tc>
          <w:tcPr>
            <w:tcW w:w="1122" w:type="pct"/>
            <w:shd w:val="clear" w:color="auto" w:fill="auto"/>
            <w:noWrap/>
            <w:vAlign w:val="bottom"/>
            <w:hideMark/>
          </w:tcPr>
          <w:p w14:paraId="405059D7"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8 553,25</w:t>
            </w:r>
          </w:p>
        </w:tc>
        <w:tc>
          <w:tcPr>
            <w:tcW w:w="830" w:type="pct"/>
            <w:shd w:val="clear" w:color="auto" w:fill="auto"/>
            <w:noWrap/>
            <w:vAlign w:val="bottom"/>
            <w:hideMark/>
          </w:tcPr>
          <w:p w14:paraId="65935F73"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477</w:t>
            </w:r>
          </w:p>
        </w:tc>
      </w:tr>
      <w:tr w:rsidR="00DB474C" w:rsidRPr="002F66C5" w14:paraId="14ACC0F3" w14:textId="77777777" w:rsidTr="00DB474C">
        <w:trPr>
          <w:trHeight w:val="300"/>
        </w:trPr>
        <w:tc>
          <w:tcPr>
            <w:tcW w:w="1135" w:type="pct"/>
            <w:shd w:val="clear" w:color="auto" w:fill="auto"/>
            <w:noWrap/>
            <w:vAlign w:val="bottom"/>
            <w:hideMark/>
          </w:tcPr>
          <w:p w14:paraId="5E9DADD0"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Таловский</w:t>
            </w:r>
          </w:p>
        </w:tc>
        <w:tc>
          <w:tcPr>
            <w:tcW w:w="994" w:type="pct"/>
            <w:shd w:val="clear" w:color="auto" w:fill="auto"/>
            <w:noWrap/>
            <w:vAlign w:val="bottom"/>
            <w:hideMark/>
          </w:tcPr>
          <w:p w14:paraId="6221FA0C"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0,20</w:t>
            </w:r>
          </w:p>
        </w:tc>
        <w:tc>
          <w:tcPr>
            <w:tcW w:w="919" w:type="pct"/>
            <w:shd w:val="clear" w:color="auto" w:fill="auto"/>
            <w:noWrap/>
            <w:vAlign w:val="bottom"/>
            <w:hideMark/>
          </w:tcPr>
          <w:p w14:paraId="4C82975E"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9,60</w:t>
            </w:r>
          </w:p>
        </w:tc>
        <w:tc>
          <w:tcPr>
            <w:tcW w:w="1122" w:type="pct"/>
            <w:shd w:val="clear" w:color="auto" w:fill="auto"/>
            <w:noWrap/>
            <w:vAlign w:val="bottom"/>
            <w:hideMark/>
          </w:tcPr>
          <w:p w14:paraId="48F5D866"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284,38</w:t>
            </w:r>
          </w:p>
        </w:tc>
        <w:tc>
          <w:tcPr>
            <w:tcW w:w="830" w:type="pct"/>
            <w:shd w:val="clear" w:color="auto" w:fill="auto"/>
            <w:noWrap/>
            <w:vAlign w:val="bottom"/>
            <w:hideMark/>
          </w:tcPr>
          <w:p w14:paraId="1A7BA66F"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207</w:t>
            </w:r>
          </w:p>
        </w:tc>
      </w:tr>
      <w:tr w:rsidR="00DB474C" w:rsidRPr="002F66C5" w14:paraId="71CE9359" w14:textId="77777777" w:rsidTr="00DB474C">
        <w:trPr>
          <w:trHeight w:val="300"/>
        </w:trPr>
        <w:tc>
          <w:tcPr>
            <w:tcW w:w="1135" w:type="pct"/>
            <w:shd w:val="clear" w:color="auto" w:fill="auto"/>
            <w:noWrap/>
            <w:vAlign w:val="bottom"/>
            <w:hideMark/>
          </w:tcPr>
          <w:p w14:paraId="4272EED6"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Терновский</w:t>
            </w:r>
          </w:p>
        </w:tc>
        <w:tc>
          <w:tcPr>
            <w:tcW w:w="994" w:type="pct"/>
            <w:shd w:val="clear" w:color="auto" w:fill="auto"/>
            <w:noWrap/>
            <w:vAlign w:val="bottom"/>
            <w:hideMark/>
          </w:tcPr>
          <w:p w14:paraId="4E41694C"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0,47</w:t>
            </w:r>
          </w:p>
        </w:tc>
        <w:tc>
          <w:tcPr>
            <w:tcW w:w="919" w:type="pct"/>
            <w:shd w:val="clear" w:color="auto" w:fill="auto"/>
            <w:noWrap/>
            <w:vAlign w:val="bottom"/>
            <w:hideMark/>
          </w:tcPr>
          <w:p w14:paraId="3E71757B"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7,52</w:t>
            </w:r>
          </w:p>
        </w:tc>
        <w:tc>
          <w:tcPr>
            <w:tcW w:w="1122" w:type="pct"/>
            <w:shd w:val="clear" w:color="auto" w:fill="auto"/>
            <w:noWrap/>
            <w:vAlign w:val="bottom"/>
            <w:hideMark/>
          </w:tcPr>
          <w:p w14:paraId="21B4C69A"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78,95</w:t>
            </w:r>
          </w:p>
        </w:tc>
        <w:tc>
          <w:tcPr>
            <w:tcW w:w="830" w:type="pct"/>
            <w:shd w:val="clear" w:color="auto" w:fill="auto"/>
            <w:noWrap/>
            <w:vAlign w:val="bottom"/>
            <w:hideMark/>
          </w:tcPr>
          <w:p w14:paraId="2F33D066"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74</w:t>
            </w:r>
          </w:p>
        </w:tc>
      </w:tr>
      <w:tr w:rsidR="00DB474C" w:rsidRPr="002F66C5" w14:paraId="44D666F4" w14:textId="77777777" w:rsidTr="00DB474C">
        <w:trPr>
          <w:trHeight w:val="300"/>
        </w:trPr>
        <w:tc>
          <w:tcPr>
            <w:tcW w:w="1135" w:type="pct"/>
            <w:shd w:val="clear" w:color="auto" w:fill="auto"/>
            <w:noWrap/>
            <w:vAlign w:val="bottom"/>
            <w:hideMark/>
          </w:tcPr>
          <w:p w14:paraId="1CF7A350"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Хохольский</w:t>
            </w:r>
          </w:p>
        </w:tc>
        <w:tc>
          <w:tcPr>
            <w:tcW w:w="994" w:type="pct"/>
            <w:shd w:val="clear" w:color="auto" w:fill="auto"/>
            <w:noWrap/>
            <w:vAlign w:val="bottom"/>
            <w:hideMark/>
          </w:tcPr>
          <w:p w14:paraId="6340EFC7"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1,19</w:t>
            </w:r>
          </w:p>
        </w:tc>
        <w:tc>
          <w:tcPr>
            <w:tcW w:w="919" w:type="pct"/>
            <w:shd w:val="clear" w:color="auto" w:fill="auto"/>
            <w:noWrap/>
            <w:vAlign w:val="bottom"/>
            <w:hideMark/>
          </w:tcPr>
          <w:p w14:paraId="4D3B9C94"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32,95</w:t>
            </w:r>
          </w:p>
        </w:tc>
        <w:tc>
          <w:tcPr>
            <w:tcW w:w="1122" w:type="pct"/>
            <w:shd w:val="clear" w:color="auto" w:fill="auto"/>
            <w:noWrap/>
            <w:vAlign w:val="bottom"/>
            <w:hideMark/>
          </w:tcPr>
          <w:p w14:paraId="02F2BA34"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576,98</w:t>
            </w:r>
          </w:p>
        </w:tc>
        <w:tc>
          <w:tcPr>
            <w:tcW w:w="830" w:type="pct"/>
            <w:shd w:val="clear" w:color="auto" w:fill="auto"/>
            <w:noWrap/>
            <w:vAlign w:val="bottom"/>
            <w:hideMark/>
          </w:tcPr>
          <w:p w14:paraId="34DE079A"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227</w:t>
            </w:r>
          </w:p>
        </w:tc>
      </w:tr>
      <w:tr w:rsidR="00DB474C" w:rsidRPr="002F66C5" w14:paraId="7F455BCB" w14:textId="77777777" w:rsidTr="00DB474C">
        <w:trPr>
          <w:trHeight w:val="300"/>
        </w:trPr>
        <w:tc>
          <w:tcPr>
            <w:tcW w:w="1135" w:type="pct"/>
            <w:shd w:val="clear" w:color="auto" w:fill="auto"/>
            <w:noWrap/>
            <w:vAlign w:val="bottom"/>
            <w:hideMark/>
          </w:tcPr>
          <w:p w14:paraId="70387E79"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Эртильский</w:t>
            </w:r>
          </w:p>
        </w:tc>
        <w:tc>
          <w:tcPr>
            <w:tcW w:w="994" w:type="pct"/>
            <w:shd w:val="clear" w:color="auto" w:fill="auto"/>
            <w:noWrap/>
            <w:vAlign w:val="bottom"/>
            <w:hideMark/>
          </w:tcPr>
          <w:p w14:paraId="4258CE02"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0,30</w:t>
            </w:r>
          </w:p>
        </w:tc>
        <w:tc>
          <w:tcPr>
            <w:tcW w:w="919" w:type="pct"/>
            <w:shd w:val="clear" w:color="auto" w:fill="auto"/>
            <w:noWrap/>
            <w:vAlign w:val="bottom"/>
            <w:hideMark/>
          </w:tcPr>
          <w:p w14:paraId="63E40BD9"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16,45</w:t>
            </w:r>
          </w:p>
        </w:tc>
        <w:tc>
          <w:tcPr>
            <w:tcW w:w="1122" w:type="pct"/>
            <w:shd w:val="clear" w:color="auto" w:fill="auto"/>
            <w:noWrap/>
            <w:vAlign w:val="bottom"/>
            <w:hideMark/>
          </w:tcPr>
          <w:p w14:paraId="3EA77DF7"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565,43</w:t>
            </w:r>
          </w:p>
        </w:tc>
        <w:tc>
          <w:tcPr>
            <w:tcW w:w="830" w:type="pct"/>
            <w:shd w:val="clear" w:color="auto" w:fill="auto"/>
            <w:noWrap/>
            <w:vAlign w:val="bottom"/>
            <w:hideMark/>
          </w:tcPr>
          <w:p w14:paraId="3A98496B"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146</w:t>
            </w:r>
          </w:p>
        </w:tc>
      </w:tr>
      <w:tr w:rsidR="00DB474C" w:rsidRPr="002F66C5" w14:paraId="58B6729D" w14:textId="77777777" w:rsidTr="00DB474C">
        <w:trPr>
          <w:trHeight w:val="300"/>
        </w:trPr>
        <w:tc>
          <w:tcPr>
            <w:tcW w:w="1135" w:type="pct"/>
            <w:shd w:val="clear" w:color="auto" w:fill="auto"/>
            <w:noWrap/>
            <w:vAlign w:val="bottom"/>
            <w:hideMark/>
          </w:tcPr>
          <w:p w14:paraId="22DF775B"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г.о.г. Нововоронеж</w:t>
            </w:r>
          </w:p>
        </w:tc>
        <w:tc>
          <w:tcPr>
            <w:tcW w:w="994" w:type="pct"/>
            <w:shd w:val="clear" w:color="auto" w:fill="auto"/>
            <w:noWrap/>
            <w:vAlign w:val="bottom"/>
            <w:hideMark/>
          </w:tcPr>
          <w:p w14:paraId="71F2943B"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47,79</w:t>
            </w:r>
          </w:p>
        </w:tc>
        <w:tc>
          <w:tcPr>
            <w:tcW w:w="919" w:type="pct"/>
            <w:shd w:val="clear" w:color="auto" w:fill="auto"/>
            <w:noWrap/>
            <w:vAlign w:val="bottom"/>
            <w:hideMark/>
          </w:tcPr>
          <w:p w14:paraId="022D81CA"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50,33</w:t>
            </w:r>
          </w:p>
        </w:tc>
        <w:tc>
          <w:tcPr>
            <w:tcW w:w="1122" w:type="pct"/>
            <w:shd w:val="clear" w:color="auto" w:fill="auto"/>
            <w:noWrap/>
            <w:vAlign w:val="bottom"/>
            <w:hideMark/>
          </w:tcPr>
          <w:p w14:paraId="26D8DAA8"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52,87</w:t>
            </w:r>
          </w:p>
        </w:tc>
        <w:tc>
          <w:tcPr>
            <w:tcW w:w="830" w:type="pct"/>
            <w:shd w:val="clear" w:color="auto" w:fill="auto"/>
            <w:noWrap/>
            <w:vAlign w:val="bottom"/>
            <w:hideMark/>
          </w:tcPr>
          <w:p w14:paraId="68492251"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2</w:t>
            </w:r>
          </w:p>
        </w:tc>
      </w:tr>
      <w:tr w:rsidR="00DB474C" w:rsidRPr="002F66C5" w14:paraId="7F72C642" w14:textId="77777777" w:rsidTr="00DB474C">
        <w:trPr>
          <w:trHeight w:val="300"/>
        </w:trPr>
        <w:tc>
          <w:tcPr>
            <w:tcW w:w="1135" w:type="pct"/>
            <w:shd w:val="clear" w:color="auto" w:fill="auto"/>
            <w:noWrap/>
            <w:vAlign w:val="bottom"/>
            <w:hideMark/>
          </w:tcPr>
          <w:p w14:paraId="6A57CE2B" w14:textId="77777777" w:rsidR="00DB474C" w:rsidRPr="002F66C5" w:rsidRDefault="00DB474C" w:rsidP="00DB474C">
            <w:pPr>
              <w:spacing w:after="0" w:line="240" w:lineRule="auto"/>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г.о.г. Воронеж</w:t>
            </w:r>
          </w:p>
        </w:tc>
        <w:tc>
          <w:tcPr>
            <w:tcW w:w="994" w:type="pct"/>
            <w:shd w:val="clear" w:color="auto" w:fill="auto"/>
            <w:noWrap/>
            <w:vAlign w:val="bottom"/>
            <w:hideMark/>
          </w:tcPr>
          <w:p w14:paraId="458D3F5B"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6,97</w:t>
            </w:r>
          </w:p>
        </w:tc>
        <w:tc>
          <w:tcPr>
            <w:tcW w:w="919" w:type="pct"/>
            <w:shd w:val="clear" w:color="auto" w:fill="auto"/>
            <w:noWrap/>
            <w:vAlign w:val="bottom"/>
            <w:hideMark/>
          </w:tcPr>
          <w:p w14:paraId="56C469F0"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1 968,34</w:t>
            </w:r>
          </w:p>
        </w:tc>
        <w:tc>
          <w:tcPr>
            <w:tcW w:w="1122" w:type="pct"/>
            <w:shd w:val="clear" w:color="auto" w:fill="auto"/>
            <w:noWrap/>
            <w:vAlign w:val="bottom"/>
            <w:hideMark/>
          </w:tcPr>
          <w:p w14:paraId="4820FAE6"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6 859,32</w:t>
            </w:r>
          </w:p>
        </w:tc>
        <w:tc>
          <w:tcPr>
            <w:tcW w:w="830" w:type="pct"/>
            <w:shd w:val="clear" w:color="auto" w:fill="auto"/>
            <w:noWrap/>
            <w:vAlign w:val="bottom"/>
            <w:hideMark/>
          </w:tcPr>
          <w:p w14:paraId="344613CF" w14:textId="77777777" w:rsidR="00DB474C" w:rsidRPr="002F66C5" w:rsidRDefault="00DB474C" w:rsidP="00DB474C">
            <w:pPr>
              <w:spacing w:after="0" w:line="240" w:lineRule="auto"/>
              <w:jc w:val="right"/>
              <w:rPr>
                <w:rFonts w:ascii="Times New Roman" w:eastAsia="Times New Roman" w:hAnsi="Times New Roman" w:cs="Times New Roman"/>
                <w:lang w:eastAsia="ru-RU"/>
              </w:rPr>
            </w:pPr>
            <w:r w:rsidRPr="002F66C5">
              <w:rPr>
                <w:rFonts w:ascii="Times New Roman" w:eastAsia="Times New Roman" w:hAnsi="Times New Roman" w:cs="Times New Roman"/>
                <w:lang w:eastAsia="ru-RU"/>
              </w:rPr>
              <w:t>100</w:t>
            </w:r>
          </w:p>
        </w:tc>
      </w:tr>
      <w:tr w:rsidR="00DB474C" w:rsidRPr="002F66C5" w14:paraId="354DE742" w14:textId="77777777" w:rsidTr="00DB474C">
        <w:trPr>
          <w:trHeight w:val="300"/>
        </w:trPr>
        <w:tc>
          <w:tcPr>
            <w:tcW w:w="1135" w:type="pct"/>
            <w:shd w:val="clear" w:color="auto" w:fill="auto"/>
            <w:noWrap/>
            <w:vAlign w:val="bottom"/>
            <w:hideMark/>
          </w:tcPr>
          <w:p w14:paraId="712CDEEA" w14:textId="77777777" w:rsidR="00DB474C" w:rsidRPr="002F66C5" w:rsidRDefault="00DB474C" w:rsidP="00DB474C">
            <w:pPr>
              <w:spacing w:after="0" w:line="240" w:lineRule="auto"/>
              <w:rPr>
                <w:rFonts w:ascii="Times New Roman" w:eastAsia="Times New Roman" w:hAnsi="Times New Roman" w:cs="Times New Roman"/>
                <w:b/>
                <w:lang w:eastAsia="ru-RU"/>
              </w:rPr>
            </w:pPr>
            <w:r w:rsidRPr="002F66C5">
              <w:rPr>
                <w:rFonts w:ascii="Times New Roman" w:eastAsia="Times New Roman" w:hAnsi="Times New Roman" w:cs="Times New Roman"/>
                <w:b/>
                <w:lang w:eastAsia="ru-RU"/>
              </w:rPr>
              <w:t>Общий итог</w:t>
            </w:r>
          </w:p>
        </w:tc>
        <w:tc>
          <w:tcPr>
            <w:tcW w:w="994" w:type="pct"/>
            <w:shd w:val="clear" w:color="auto" w:fill="auto"/>
            <w:noWrap/>
            <w:vAlign w:val="bottom"/>
            <w:hideMark/>
          </w:tcPr>
          <w:p w14:paraId="6170AA78" w14:textId="77777777" w:rsidR="00DB474C" w:rsidRPr="002F66C5" w:rsidRDefault="00DB474C" w:rsidP="00DB474C">
            <w:pPr>
              <w:spacing w:after="0" w:line="240" w:lineRule="auto"/>
              <w:jc w:val="right"/>
              <w:rPr>
                <w:rFonts w:ascii="Times New Roman" w:eastAsia="Times New Roman" w:hAnsi="Times New Roman" w:cs="Times New Roman"/>
                <w:b/>
                <w:lang w:eastAsia="ru-RU"/>
              </w:rPr>
            </w:pPr>
            <w:r w:rsidRPr="002F66C5">
              <w:rPr>
                <w:rFonts w:ascii="Times New Roman" w:eastAsia="Times New Roman" w:hAnsi="Times New Roman" w:cs="Times New Roman"/>
                <w:b/>
                <w:lang w:eastAsia="ru-RU"/>
              </w:rPr>
              <w:t>0,01</w:t>
            </w:r>
          </w:p>
        </w:tc>
        <w:tc>
          <w:tcPr>
            <w:tcW w:w="919" w:type="pct"/>
            <w:shd w:val="clear" w:color="auto" w:fill="auto"/>
            <w:noWrap/>
            <w:vAlign w:val="bottom"/>
            <w:hideMark/>
          </w:tcPr>
          <w:p w14:paraId="3A48BA5A" w14:textId="77777777" w:rsidR="00DB474C" w:rsidRPr="002F66C5" w:rsidRDefault="00DB474C" w:rsidP="00DB474C">
            <w:pPr>
              <w:spacing w:after="0" w:line="240" w:lineRule="auto"/>
              <w:jc w:val="right"/>
              <w:rPr>
                <w:rFonts w:ascii="Times New Roman" w:eastAsia="Times New Roman" w:hAnsi="Times New Roman" w:cs="Times New Roman"/>
                <w:b/>
                <w:lang w:eastAsia="ru-RU"/>
              </w:rPr>
            </w:pPr>
            <w:r w:rsidRPr="002F66C5">
              <w:rPr>
                <w:rFonts w:ascii="Times New Roman" w:eastAsia="Times New Roman" w:hAnsi="Times New Roman" w:cs="Times New Roman"/>
                <w:b/>
                <w:lang w:eastAsia="ru-RU"/>
              </w:rPr>
              <w:t>74,81</w:t>
            </w:r>
          </w:p>
        </w:tc>
        <w:tc>
          <w:tcPr>
            <w:tcW w:w="1122" w:type="pct"/>
            <w:shd w:val="clear" w:color="auto" w:fill="auto"/>
            <w:noWrap/>
            <w:vAlign w:val="bottom"/>
            <w:hideMark/>
          </w:tcPr>
          <w:p w14:paraId="1321D2BC" w14:textId="77777777" w:rsidR="00DB474C" w:rsidRPr="002F66C5" w:rsidRDefault="00DB474C" w:rsidP="00DB474C">
            <w:pPr>
              <w:spacing w:after="0" w:line="240" w:lineRule="auto"/>
              <w:jc w:val="right"/>
              <w:rPr>
                <w:rFonts w:ascii="Times New Roman" w:eastAsia="Times New Roman" w:hAnsi="Times New Roman" w:cs="Times New Roman"/>
                <w:b/>
                <w:lang w:eastAsia="ru-RU"/>
              </w:rPr>
            </w:pPr>
            <w:r w:rsidRPr="002F66C5">
              <w:rPr>
                <w:rFonts w:ascii="Times New Roman" w:eastAsia="Times New Roman" w:hAnsi="Times New Roman" w:cs="Times New Roman"/>
                <w:b/>
                <w:lang w:eastAsia="ru-RU"/>
              </w:rPr>
              <w:t>9 175,95</w:t>
            </w:r>
          </w:p>
        </w:tc>
        <w:tc>
          <w:tcPr>
            <w:tcW w:w="830" w:type="pct"/>
            <w:shd w:val="clear" w:color="auto" w:fill="auto"/>
            <w:noWrap/>
            <w:vAlign w:val="bottom"/>
            <w:hideMark/>
          </w:tcPr>
          <w:p w14:paraId="139E2714" w14:textId="77777777" w:rsidR="00DB474C" w:rsidRPr="002F66C5" w:rsidRDefault="00DB474C" w:rsidP="00DB474C">
            <w:pPr>
              <w:spacing w:after="0" w:line="240" w:lineRule="auto"/>
              <w:jc w:val="right"/>
              <w:rPr>
                <w:rFonts w:ascii="Times New Roman" w:eastAsia="Times New Roman" w:hAnsi="Times New Roman" w:cs="Times New Roman"/>
                <w:b/>
                <w:lang w:eastAsia="ru-RU"/>
              </w:rPr>
            </w:pPr>
            <w:r w:rsidRPr="002F66C5">
              <w:rPr>
                <w:rFonts w:ascii="Times New Roman" w:eastAsia="Times New Roman" w:hAnsi="Times New Roman" w:cs="Times New Roman"/>
                <w:b/>
                <w:lang w:eastAsia="ru-RU"/>
              </w:rPr>
              <w:t>5080</w:t>
            </w:r>
          </w:p>
        </w:tc>
      </w:tr>
    </w:tbl>
    <w:p w14:paraId="08ADA346" w14:textId="77777777" w:rsidR="00DB474C" w:rsidRDefault="00DB474C" w:rsidP="00DB474C">
      <w:pPr>
        <w:pStyle w:val="af5"/>
        <w:shd w:val="clear" w:color="auto" w:fill="FFFFFF"/>
        <w:spacing w:before="120" w:beforeAutospacing="0" w:after="0" w:afterAutospacing="0" w:line="276" w:lineRule="auto"/>
        <w:ind w:firstLine="709"/>
        <w:jc w:val="both"/>
        <w:rPr>
          <w:sz w:val="26"/>
          <w:szCs w:val="26"/>
        </w:rPr>
      </w:pPr>
      <w:r>
        <w:rPr>
          <w:sz w:val="26"/>
          <w:szCs w:val="26"/>
        </w:rPr>
        <w:t>Н</w:t>
      </w:r>
      <w:r w:rsidRPr="002A3183">
        <w:rPr>
          <w:sz w:val="26"/>
          <w:szCs w:val="26"/>
        </w:rPr>
        <w:t>аибольшее количество среди районов Воронежской</w:t>
      </w:r>
      <w:r>
        <w:rPr>
          <w:sz w:val="26"/>
          <w:szCs w:val="26"/>
        </w:rPr>
        <w:t xml:space="preserve"> области </w:t>
      </w:r>
      <w:r w:rsidRPr="002A3183">
        <w:rPr>
          <w:sz w:val="26"/>
          <w:szCs w:val="26"/>
        </w:rPr>
        <w:t xml:space="preserve">представлено в </w:t>
      </w:r>
      <w:r>
        <w:rPr>
          <w:sz w:val="26"/>
          <w:szCs w:val="26"/>
        </w:rPr>
        <w:t>Калачеевском</w:t>
      </w:r>
      <w:r w:rsidRPr="002A3183">
        <w:rPr>
          <w:sz w:val="26"/>
          <w:szCs w:val="26"/>
        </w:rPr>
        <w:t xml:space="preserve"> районе- </w:t>
      </w:r>
      <w:r>
        <w:rPr>
          <w:sz w:val="26"/>
          <w:szCs w:val="26"/>
        </w:rPr>
        <w:t>521</w:t>
      </w:r>
      <w:r w:rsidRPr="002A3183">
        <w:rPr>
          <w:sz w:val="26"/>
          <w:szCs w:val="26"/>
        </w:rPr>
        <w:t xml:space="preserve"> предложени</w:t>
      </w:r>
      <w:r>
        <w:rPr>
          <w:sz w:val="26"/>
          <w:szCs w:val="26"/>
        </w:rPr>
        <w:t>е</w:t>
      </w:r>
      <w:r w:rsidRPr="002A3183">
        <w:rPr>
          <w:sz w:val="26"/>
          <w:szCs w:val="26"/>
        </w:rPr>
        <w:t xml:space="preserve"> (сделк</w:t>
      </w:r>
      <w:r>
        <w:rPr>
          <w:sz w:val="26"/>
          <w:szCs w:val="26"/>
        </w:rPr>
        <w:t>а</w:t>
      </w:r>
      <w:r w:rsidRPr="002A3183">
        <w:rPr>
          <w:sz w:val="26"/>
          <w:szCs w:val="26"/>
        </w:rPr>
        <w:t xml:space="preserve">), что составляет </w:t>
      </w:r>
      <w:r>
        <w:rPr>
          <w:sz w:val="26"/>
          <w:szCs w:val="26"/>
        </w:rPr>
        <w:t>10,26</w:t>
      </w:r>
      <w:r w:rsidRPr="002A3183">
        <w:rPr>
          <w:sz w:val="26"/>
          <w:szCs w:val="26"/>
        </w:rPr>
        <w:t xml:space="preserve">% от общего количества в сегменте; в </w:t>
      </w:r>
      <w:r>
        <w:rPr>
          <w:sz w:val="26"/>
          <w:szCs w:val="26"/>
        </w:rPr>
        <w:t>Семилукском</w:t>
      </w:r>
      <w:r w:rsidRPr="002A3183">
        <w:rPr>
          <w:sz w:val="26"/>
          <w:szCs w:val="26"/>
        </w:rPr>
        <w:t xml:space="preserve"> районе представлено </w:t>
      </w:r>
      <w:r>
        <w:rPr>
          <w:sz w:val="26"/>
          <w:szCs w:val="26"/>
        </w:rPr>
        <w:t>477</w:t>
      </w:r>
      <w:r w:rsidRPr="002A3183">
        <w:rPr>
          <w:sz w:val="26"/>
          <w:szCs w:val="26"/>
        </w:rPr>
        <w:t xml:space="preserve"> предложени</w:t>
      </w:r>
      <w:r>
        <w:rPr>
          <w:sz w:val="26"/>
          <w:szCs w:val="26"/>
        </w:rPr>
        <w:t>й</w:t>
      </w:r>
      <w:r w:rsidRPr="002A3183">
        <w:rPr>
          <w:sz w:val="26"/>
          <w:szCs w:val="26"/>
        </w:rPr>
        <w:t xml:space="preserve"> (сдел</w:t>
      </w:r>
      <w:r>
        <w:rPr>
          <w:sz w:val="26"/>
          <w:szCs w:val="26"/>
        </w:rPr>
        <w:t>ок</w:t>
      </w:r>
      <w:r w:rsidRPr="002A3183">
        <w:rPr>
          <w:sz w:val="26"/>
          <w:szCs w:val="26"/>
        </w:rPr>
        <w:t xml:space="preserve">)- </w:t>
      </w:r>
      <w:r>
        <w:rPr>
          <w:sz w:val="26"/>
          <w:szCs w:val="26"/>
        </w:rPr>
        <w:t>9,39</w:t>
      </w:r>
      <w:r w:rsidRPr="002A3183">
        <w:rPr>
          <w:sz w:val="26"/>
          <w:szCs w:val="26"/>
        </w:rPr>
        <w:t>% от общего количества. Наименьшее количество предложений (сделок) в данном случае представлено в г.о.г. Нововоронеж (2 предложения).</w:t>
      </w:r>
    </w:p>
    <w:p w14:paraId="085D752C" w14:textId="7FED3C47" w:rsidR="00DB474C" w:rsidRDefault="00DB474C" w:rsidP="00DB474C">
      <w:pPr>
        <w:spacing w:after="0" w:line="276" w:lineRule="auto"/>
        <w:ind w:firstLine="709"/>
        <w:jc w:val="both"/>
        <w:rPr>
          <w:rFonts w:ascii="Times New Roman" w:hAnsi="Times New Roman" w:cs="Times New Roman"/>
          <w:sz w:val="26"/>
          <w:szCs w:val="26"/>
        </w:rPr>
      </w:pPr>
      <w:r w:rsidRPr="00D07AED">
        <w:rPr>
          <w:rFonts w:ascii="Times New Roman" w:hAnsi="Times New Roman" w:cs="Times New Roman"/>
          <w:sz w:val="26"/>
          <w:szCs w:val="26"/>
        </w:rPr>
        <w:t xml:space="preserve">По г.о.г. Воронеж диапазон цен обширен - от 6,97 до 6 859,32 руб./кв.м. В целом величина удельного показателя рыночной стоимости по объектам, расположенным на земельных участках для сельскохозяйственного использования лежит в диапазоне от 0,01 руб./кв.м (зафиксировано в Каширксом районе) до 9 175,95 руб./кв.м (зафиксировано Новохоперском районе). </w:t>
      </w:r>
      <w:r>
        <w:rPr>
          <w:rFonts w:ascii="Times New Roman" w:hAnsi="Times New Roman" w:cs="Times New Roman"/>
          <w:sz w:val="26"/>
          <w:szCs w:val="26"/>
        </w:rPr>
        <w:t>На рынке недвижимости данного сегмента отмечена неравномерность величины цены предложения (сделки) по некоторым районам области, что не дает представить полноценную картину стоимости. Большое количество экстремальных значений не дает возможности исключить их из анализа, тем не менее, а</w:t>
      </w:r>
      <w:r w:rsidRPr="00D07AED">
        <w:rPr>
          <w:rFonts w:ascii="Times New Roman" w:hAnsi="Times New Roman" w:cs="Times New Roman"/>
          <w:sz w:val="26"/>
          <w:szCs w:val="26"/>
        </w:rPr>
        <w:t>налоги, стоимостные значения которых представляют собой экстремумы, для дальнейших целей оценки не используются.</w:t>
      </w:r>
    </w:p>
    <w:p w14:paraId="20114D9F" w14:textId="77777777" w:rsidR="001A34D6" w:rsidRDefault="001A34D6">
      <w:pPr>
        <w:rPr>
          <w:rFonts w:ascii="Times New Roman" w:eastAsiaTheme="majorEastAsia" w:hAnsi="Times New Roman" w:cs="Times New Roman"/>
          <w:b/>
          <w:iCs/>
          <w:sz w:val="26"/>
          <w:szCs w:val="20"/>
          <w:lang w:eastAsia="ru-RU"/>
        </w:rPr>
      </w:pPr>
      <w:bookmarkStart w:id="99" w:name="_Toc14102065"/>
      <w:bookmarkStart w:id="100" w:name="_Toc51837398"/>
      <w:r>
        <w:rPr>
          <w:rFonts w:cs="Times New Roman"/>
          <w:iCs/>
          <w:sz w:val="26"/>
          <w:szCs w:val="20"/>
          <w:lang w:eastAsia="ru-RU"/>
        </w:rPr>
        <w:br w:type="page"/>
      </w:r>
    </w:p>
    <w:p w14:paraId="5E782653" w14:textId="51BCD67B" w:rsidR="000B0C76" w:rsidRPr="00F562A8" w:rsidRDefault="000B0C76" w:rsidP="000B0C76">
      <w:pPr>
        <w:pStyle w:val="20"/>
        <w:spacing w:line="276" w:lineRule="auto"/>
        <w:ind w:left="1003"/>
        <w:rPr>
          <w:rFonts w:cs="Times New Roman"/>
          <w:iCs/>
          <w:sz w:val="26"/>
          <w:szCs w:val="20"/>
          <w:lang w:eastAsia="ru-RU"/>
        </w:rPr>
      </w:pPr>
      <w:bookmarkStart w:id="101" w:name="_Toc110506951"/>
      <w:r w:rsidRPr="00F562A8">
        <w:rPr>
          <w:rFonts w:cs="Times New Roman"/>
          <w:iCs/>
          <w:sz w:val="26"/>
          <w:szCs w:val="20"/>
          <w:lang w:eastAsia="ru-RU"/>
        </w:rPr>
        <w:t>3.2. Описание и обоснование подходов к выбору объекта недвижимости</w:t>
      </w:r>
      <w:r w:rsidR="0006178C">
        <w:rPr>
          <w:rFonts w:cs="Times New Roman"/>
          <w:iCs/>
          <w:sz w:val="26"/>
          <w:szCs w:val="20"/>
          <w:lang w:eastAsia="ru-RU"/>
        </w:rPr>
        <w:t>, основные характеристики вида использования которого (в том числе физические) соответствуют спросу и предложению в соответствующем сегменте рынка,</w:t>
      </w:r>
      <w:r w:rsidRPr="00F562A8">
        <w:rPr>
          <w:rFonts w:cs="Times New Roman"/>
          <w:iCs/>
          <w:sz w:val="26"/>
          <w:szCs w:val="20"/>
          <w:lang w:eastAsia="ru-RU"/>
        </w:rPr>
        <w:t xml:space="preserve"> в целях проведения оценочного зонирования</w:t>
      </w:r>
      <w:bookmarkEnd w:id="99"/>
      <w:bookmarkEnd w:id="100"/>
      <w:bookmarkEnd w:id="101"/>
    </w:p>
    <w:p w14:paraId="4263246E" w14:textId="77777777" w:rsidR="000B0C76" w:rsidRPr="00F562A8" w:rsidRDefault="000B0C76" w:rsidP="000B0C76">
      <w:pPr>
        <w:spacing w:line="276" w:lineRule="auto"/>
        <w:rPr>
          <w:rFonts w:ascii="Times New Roman" w:hAnsi="Times New Roman" w:cs="Times New Roman"/>
          <w:sz w:val="16"/>
          <w:szCs w:val="16"/>
        </w:rPr>
      </w:pPr>
    </w:p>
    <w:p w14:paraId="70796779" w14:textId="77777777" w:rsidR="000B0C76" w:rsidRPr="00F562A8" w:rsidRDefault="000B0C76" w:rsidP="000B0C76">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соответствии с разделом </w:t>
      </w:r>
      <w:r w:rsidRPr="00F562A8">
        <w:rPr>
          <w:rFonts w:ascii="Times New Roman" w:hAnsi="Times New Roman" w:cs="Times New Roman"/>
          <w:sz w:val="26"/>
          <w:szCs w:val="26"/>
          <w:lang w:val="en-US"/>
        </w:rPr>
        <w:t>VI</w:t>
      </w:r>
      <w:r w:rsidRPr="00F562A8">
        <w:rPr>
          <w:rFonts w:ascii="Times New Roman" w:hAnsi="Times New Roman" w:cs="Times New Roman"/>
          <w:sz w:val="26"/>
          <w:szCs w:val="26"/>
        </w:rPr>
        <w:t xml:space="preserve"> Указаний в процессе определения кадастровой стоимости земельных участков </w:t>
      </w:r>
      <w:r>
        <w:rPr>
          <w:rFonts w:ascii="Times New Roman" w:hAnsi="Times New Roman" w:cs="Times New Roman"/>
          <w:sz w:val="26"/>
          <w:szCs w:val="26"/>
        </w:rPr>
        <w:t>Учреждением</w:t>
      </w:r>
      <w:r w:rsidRPr="00F562A8">
        <w:rPr>
          <w:rFonts w:ascii="Times New Roman" w:hAnsi="Times New Roman" w:cs="Times New Roman"/>
          <w:sz w:val="26"/>
          <w:szCs w:val="26"/>
        </w:rPr>
        <w:t xml:space="preserve"> проводится оценочное зонирование, предусматривающее разделение территории, на которой проводится государственная кадастровая оценка, на ценовые зоны. Оценочное зонирование проводится только в отношении тех сегментов рынка недвижимости, по которым существует достаточная рыночная информация.</w:t>
      </w:r>
    </w:p>
    <w:p w14:paraId="7C839326" w14:textId="77777777" w:rsidR="000B0C76" w:rsidRPr="00F562A8" w:rsidRDefault="000B0C76" w:rsidP="000B0C76">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
    <w:p w14:paraId="5EB1254B" w14:textId="77777777" w:rsidR="000B0C76" w:rsidRPr="008E6974" w:rsidRDefault="000B0C76" w:rsidP="000B0C76">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По итогам оценочного зонирования устанавливаются ценовые зоны и удельные показатели средних рыночных цен и величин затрат на создание объектов недвижимости в расчете на единицу площади, объема, иной характеристики типовых объектов недвижимости (земельных участков и (или) других объектов </w:t>
      </w:r>
      <w:r w:rsidRPr="008E6974">
        <w:rPr>
          <w:rFonts w:ascii="Times New Roman" w:hAnsi="Times New Roman" w:cs="Times New Roman"/>
          <w:sz w:val="26"/>
          <w:szCs w:val="26"/>
        </w:rPr>
        <w:t>недвижимости) в ценовых зонах в разрезе видов использования.</w:t>
      </w:r>
    </w:p>
    <w:p w14:paraId="4CF09E43" w14:textId="77777777" w:rsidR="000B0C76" w:rsidRPr="00F562A8" w:rsidRDefault="000B0C76" w:rsidP="000B0C76">
      <w:pPr>
        <w:autoSpaceDE w:val="0"/>
        <w:autoSpaceDN w:val="0"/>
        <w:adjustRightInd w:val="0"/>
        <w:spacing w:after="0" w:line="276" w:lineRule="auto"/>
        <w:ind w:firstLine="709"/>
        <w:jc w:val="both"/>
        <w:rPr>
          <w:rFonts w:ascii="Times New Roman" w:hAnsi="Times New Roman" w:cs="Times New Roman"/>
          <w:sz w:val="26"/>
          <w:szCs w:val="26"/>
        </w:rPr>
      </w:pPr>
      <w:r w:rsidRPr="008E6974">
        <w:rPr>
          <w:rFonts w:ascii="Times New Roman" w:hAnsi="Times New Roman" w:cs="Times New Roman"/>
          <w:sz w:val="26"/>
          <w:szCs w:val="26"/>
        </w:rPr>
        <w:t>Согласно п. 36 Указаний, ценовая зона - часть территории, в границах которой определены близкие по значению</w:t>
      </w:r>
      <w:r w:rsidRPr="00F562A8">
        <w:rPr>
          <w:rFonts w:ascii="Times New Roman" w:hAnsi="Times New Roman" w:cs="Times New Roman"/>
          <w:sz w:val="26"/>
          <w:szCs w:val="26"/>
        </w:rPr>
        <w:t xml:space="preserve"> удельные показатели средних рыночных цен типовых объектов недвижимости.</w:t>
      </w:r>
    </w:p>
    <w:p w14:paraId="45F45F62" w14:textId="77777777" w:rsidR="000B0C76" w:rsidRPr="00F562A8" w:rsidRDefault="000B0C76" w:rsidP="000B0C76">
      <w:pPr>
        <w:autoSpaceDE w:val="0"/>
        <w:autoSpaceDN w:val="0"/>
        <w:adjustRightInd w:val="0"/>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Типовой объект недвижимости является объектом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w:t>
      </w:r>
    </w:p>
    <w:p w14:paraId="4AFC13C9" w14:textId="77777777" w:rsidR="000B0C76" w:rsidRPr="00F562A8" w:rsidRDefault="000B0C76" w:rsidP="000B0C76">
      <w:pPr>
        <w:autoSpaceDE w:val="0"/>
        <w:autoSpaceDN w:val="0"/>
        <w:adjustRightInd w:val="0"/>
        <w:spacing w:after="0" w:line="276" w:lineRule="auto"/>
        <w:ind w:firstLine="709"/>
        <w:jc w:val="both"/>
        <w:rPr>
          <w:rFonts w:ascii="Times New Roman" w:hAnsi="Times New Roman" w:cs="Times New Roman"/>
          <w:sz w:val="26"/>
          <w:szCs w:val="26"/>
        </w:rPr>
      </w:pPr>
      <w:r w:rsidRPr="007264BA">
        <w:rPr>
          <w:rFonts w:ascii="Times New Roman" w:hAnsi="Times New Roman" w:cs="Times New Roman"/>
          <w:sz w:val="26"/>
          <w:szCs w:val="26"/>
        </w:rPr>
        <w:t>Основные физические и иные характеристики типового объекта недвижимости (в том числе местоположение в границах ценовой зоны, вид использования, площадь, объем, расположение относительно транспортных коммуникаций, степень подключения к объектам инженерной инфраструктуры, состояние и возраст основных зданий и сооружений, а также другие его характеристики) должны быть описаны с учетом состояния соответствующего сегмента рынка на основе рыночной и иной информации по сделкам (предложениям) с аналогичными объектами недвижимости на соответствующей территории.</w:t>
      </w:r>
    </w:p>
    <w:p w14:paraId="438FD00C" w14:textId="77777777" w:rsidR="000B0C76" w:rsidRPr="00F562A8" w:rsidRDefault="000B0C76" w:rsidP="000B0C76">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w:t>
      </w:r>
      <w:r w:rsidRPr="008E6974">
        <w:rPr>
          <w:rFonts w:ascii="Times New Roman" w:hAnsi="Times New Roman" w:cs="Times New Roman"/>
          <w:sz w:val="26"/>
          <w:szCs w:val="26"/>
        </w:rPr>
        <w:t>соответствии с п. 37 Указаний оценочное</w:t>
      </w:r>
      <w:r w:rsidRPr="00F562A8">
        <w:rPr>
          <w:rFonts w:ascii="Times New Roman" w:hAnsi="Times New Roman" w:cs="Times New Roman"/>
          <w:sz w:val="26"/>
          <w:szCs w:val="26"/>
        </w:rPr>
        <w:t xml:space="preserve"> зонирование заключается в систематизации на дату определения кадастровой стоимости рыночной информации о сделках (предложениях) с типовыми объектами недвижимости, исходя из их местоположения и вида использования с учетом существующего и перспективного развития, а также затрат на создание указанных объектов недвижимости.</w:t>
      </w:r>
    </w:p>
    <w:p w14:paraId="7F2D47E1" w14:textId="77777777" w:rsidR="000B0C76" w:rsidRPr="00C41D4B" w:rsidRDefault="000B0C76" w:rsidP="000B0C76">
      <w:pPr>
        <w:spacing w:after="120" w:line="276" w:lineRule="auto"/>
        <w:ind w:firstLine="708"/>
        <w:contextualSpacing/>
        <w:jc w:val="both"/>
        <w:rPr>
          <w:rFonts w:ascii="Times New Roman" w:hAnsi="Times New Roman" w:cs="Times New Roman"/>
          <w:sz w:val="26"/>
          <w:szCs w:val="26"/>
        </w:rPr>
      </w:pPr>
      <w:r w:rsidRPr="00F562A8">
        <w:rPr>
          <w:rFonts w:ascii="Times New Roman" w:eastAsia="Calibri" w:hAnsi="Times New Roman" w:cs="Times New Roman"/>
          <w:sz w:val="26"/>
          <w:szCs w:val="26"/>
        </w:rPr>
        <w:t xml:space="preserve">Для проведения оценочного зонирования </w:t>
      </w:r>
      <w:r>
        <w:rPr>
          <w:rFonts w:ascii="Times New Roman" w:eastAsia="Calibri" w:hAnsi="Times New Roman" w:cs="Times New Roman"/>
          <w:sz w:val="26"/>
          <w:szCs w:val="26"/>
        </w:rPr>
        <w:t>Учреждением</w:t>
      </w:r>
      <w:r w:rsidRPr="00F562A8">
        <w:rPr>
          <w:rFonts w:ascii="Times New Roman" w:eastAsia="Calibri" w:hAnsi="Times New Roman" w:cs="Times New Roman"/>
          <w:sz w:val="26"/>
          <w:szCs w:val="26"/>
        </w:rPr>
        <w:t xml:space="preserve">, помимо рыночной информации, так же использовались карты градостроительного зонирования территории Правил землепользования и застройки, установленных на территории муниципальных образований Воронежской области на дату определения кадастровой стоимости и сами Правила землепользования и застройки, отражающие административно-территориальное деление, границы населенных пунктов, сведения об утвержденных документах территориального планирования и правилах землепользования и застройки,  сведения о территориальных зонах, территориях общего пользования, в том числе дорожно-транспортной инфраструктуре. В составе </w:t>
      </w:r>
      <w:r w:rsidRPr="00C41D4B">
        <w:rPr>
          <w:rFonts w:ascii="Times New Roman" w:hAnsi="Times New Roman" w:cs="Times New Roman"/>
          <w:sz w:val="26"/>
          <w:szCs w:val="26"/>
        </w:rPr>
        <w:t>сведений, содержащихся в Перечне, присутствует информация о территориальных зонах, расположенных на территории населенных пунктов Воронежской области.</w:t>
      </w:r>
    </w:p>
    <w:p w14:paraId="605462E2" w14:textId="77777777" w:rsidR="00C41D4B" w:rsidRPr="00C41D4B" w:rsidRDefault="00C41D4B" w:rsidP="00C41D4B">
      <w:pPr>
        <w:spacing w:after="0" w:line="276" w:lineRule="auto"/>
        <w:ind w:firstLine="709"/>
        <w:contextualSpacing/>
        <w:jc w:val="both"/>
        <w:rPr>
          <w:rFonts w:ascii="Times New Roman" w:hAnsi="Times New Roman" w:cs="Times New Roman"/>
          <w:sz w:val="26"/>
          <w:szCs w:val="26"/>
        </w:rPr>
      </w:pPr>
      <w:r w:rsidRPr="00C41D4B">
        <w:rPr>
          <w:rFonts w:ascii="Times New Roman" w:hAnsi="Times New Roman" w:cs="Times New Roman"/>
          <w:sz w:val="26"/>
          <w:szCs w:val="26"/>
        </w:rPr>
        <w:t xml:space="preserve">В ходе проведенного анализа рынка было выявлено достаточное количество предложений о продаже земельных участков из сегментов 1 «Сельскохозяйственное использование», 4 «Предпринимательство», 6 «Производственная деятельность, 7 «Транспорт», и 13 «Садоводство и огородничество, малоэтажная жилая застройка», позволяющих провести ценовое зонирование по указанным сегментам. </w:t>
      </w:r>
    </w:p>
    <w:p w14:paraId="294E6044" w14:textId="77777777" w:rsidR="000B0C76" w:rsidRPr="00F562A8" w:rsidRDefault="000B0C76" w:rsidP="000B0C76">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Оценочное зонирование в населенных пунктах с неразвитым рынком недвижимости проведено путем объединения одного или нескольких населенных пунктов в одну ценовую зону.</w:t>
      </w:r>
    </w:p>
    <w:p w14:paraId="3ECFD231" w14:textId="77777777" w:rsidR="000B0C76" w:rsidRPr="00F562A8" w:rsidRDefault="000B0C76" w:rsidP="000B0C76">
      <w:pPr>
        <w:autoSpaceDE w:val="0"/>
        <w:autoSpaceDN w:val="0"/>
        <w:adjustRightInd w:val="0"/>
        <w:spacing w:after="0" w:line="276" w:lineRule="auto"/>
        <w:ind w:firstLine="709"/>
        <w:jc w:val="both"/>
        <w:rPr>
          <w:rFonts w:ascii="Times New Roman" w:hAnsi="Times New Roman" w:cs="Times New Roman"/>
          <w:sz w:val="26"/>
          <w:szCs w:val="26"/>
        </w:rPr>
      </w:pPr>
      <w:r w:rsidRPr="007264BA">
        <w:rPr>
          <w:rFonts w:ascii="Times New Roman" w:hAnsi="Times New Roman" w:cs="Times New Roman"/>
          <w:sz w:val="26"/>
          <w:szCs w:val="26"/>
        </w:rPr>
        <w:t xml:space="preserve">Далее в составе каждой выделенной ценовой зоны </w:t>
      </w:r>
      <w:r>
        <w:rPr>
          <w:rFonts w:ascii="Times New Roman" w:hAnsi="Times New Roman" w:cs="Times New Roman"/>
          <w:sz w:val="26"/>
          <w:szCs w:val="26"/>
        </w:rPr>
        <w:t>Учреждением</w:t>
      </w:r>
      <w:r w:rsidRPr="00F562A8">
        <w:rPr>
          <w:rFonts w:ascii="Times New Roman" w:hAnsi="Times New Roman" w:cs="Times New Roman"/>
          <w:sz w:val="26"/>
          <w:szCs w:val="26"/>
        </w:rPr>
        <w:t xml:space="preserve"> определялись характеристики типового объекта недвижимости исходя из наиболее распространенных видов использования, основных разрешенных видов использования, то есть тех видов использования, предельные размеры и иные параметры которых соответствуют правилам землепользования и застройки.</w:t>
      </w:r>
    </w:p>
    <w:p w14:paraId="45BF7233" w14:textId="77777777" w:rsidR="000B0C76" w:rsidRPr="00F562A8" w:rsidRDefault="000B0C76" w:rsidP="000B0C76">
      <w:pPr>
        <w:autoSpaceDE w:val="0"/>
        <w:autoSpaceDN w:val="0"/>
        <w:adjustRightInd w:val="0"/>
        <w:spacing w:after="120" w:line="276" w:lineRule="auto"/>
        <w:ind w:firstLine="708"/>
        <w:contextualSpacing/>
        <w:jc w:val="both"/>
        <w:rPr>
          <w:rFonts w:ascii="Times New Roman" w:eastAsia="Calibri" w:hAnsi="Times New Roman" w:cs="Times New Roman"/>
          <w:sz w:val="26"/>
          <w:szCs w:val="26"/>
        </w:rPr>
      </w:pPr>
      <w:r w:rsidRPr="00F562A8">
        <w:rPr>
          <w:rFonts w:ascii="Times New Roman" w:eastAsia="Calibri" w:hAnsi="Times New Roman" w:cs="Times New Roman"/>
          <w:sz w:val="26"/>
          <w:szCs w:val="26"/>
        </w:rPr>
        <w:t xml:space="preserve">При определении принадлежности типовых объектов к ценовым зонам так же было учтено положение Указаний, устанавливающее, что отличие удельных показателей средних рыночных цен в расчете на единицу площади типовых объектов, расположенных в различных ценовых зонах, должно быть не менее 10% </w:t>
      </w:r>
      <w:r w:rsidRPr="008E6974">
        <w:rPr>
          <w:rFonts w:ascii="Times New Roman" w:eastAsia="Calibri" w:hAnsi="Times New Roman" w:cs="Times New Roman"/>
          <w:sz w:val="26"/>
          <w:szCs w:val="26"/>
        </w:rPr>
        <w:t>(п.40.3 Указаний).</w:t>
      </w:r>
    </w:p>
    <w:p w14:paraId="5C8CE48B" w14:textId="77777777" w:rsidR="000B0C76" w:rsidRPr="00F562A8" w:rsidRDefault="000B0C76" w:rsidP="000B0C76">
      <w:pPr>
        <w:autoSpaceDE w:val="0"/>
        <w:autoSpaceDN w:val="0"/>
        <w:adjustRightInd w:val="0"/>
        <w:spacing w:after="0" w:line="276" w:lineRule="auto"/>
        <w:ind w:firstLine="709"/>
        <w:contextualSpacing/>
        <w:jc w:val="both"/>
        <w:rPr>
          <w:rFonts w:ascii="Times New Roman" w:eastAsia="Calibri" w:hAnsi="Times New Roman" w:cs="Times New Roman"/>
          <w:sz w:val="26"/>
          <w:szCs w:val="26"/>
        </w:rPr>
      </w:pPr>
      <w:r w:rsidRPr="00F562A8">
        <w:rPr>
          <w:rFonts w:ascii="Times New Roman" w:eastAsia="Calibri" w:hAnsi="Times New Roman" w:cs="Times New Roman"/>
          <w:sz w:val="26"/>
          <w:szCs w:val="26"/>
        </w:rPr>
        <w:t>Основной подход к определению средней рыночной цены типового объекта в рамках оценочного зонирования основан на обобщении рыночных цен на земельные участки в рамках выделенных ценовых зон. Показатели средней рыночной цены типового объекта были определены в рамках применения сравнительного подхода на основе цен аналогов, сложившихся на рынке недвижимости конкретного района. В качестве аналогов из общей выборки информации были выбраны объекты наиболее широко представленные и характерные для соответствующего района, и у которых набор количественных и качественных характеристик в наибольшей степени соответствовал типовым характеристикам объектов оценки.</w:t>
      </w:r>
    </w:p>
    <w:p w14:paraId="2428966B" w14:textId="77777777" w:rsidR="000B0C76" w:rsidRPr="00F562A8" w:rsidRDefault="000B0C76" w:rsidP="000B0C76">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 качестве характеристик были приняты ценообразующие факторы, выявленные в ходе проведения анализа рынка земельных участков Воронежской области. Основными факторами, напрямую влияющими на стоимость, являются площадь земельного участка и наличие коммуникаций.</w:t>
      </w:r>
    </w:p>
    <w:p w14:paraId="441F4C41" w14:textId="77777777" w:rsidR="000B0C76" w:rsidRDefault="000B0C76" w:rsidP="000B0C76">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Далее будет представлено описание ценовых зон по каждому из сегментов.</w:t>
      </w:r>
    </w:p>
    <w:p w14:paraId="4CB63498" w14:textId="77777777" w:rsidR="001A34D6" w:rsidRDefault="001A34D6" w:rsidP="000B0C76">
      <w:pPr>
        <w:spacing w:before="120" w:after="0" w:line="276" w:lineRule="auto"/>
        <w:jc w:val="center"/>
        <w:rPr>
          <w:rFonts w:ascii="Times New Roman" w:hAnsi="Times New Roman" w:cs="Times New Roman"/>
          <w:i/>
          <w:sz w:val="26"/>
          <w:szCs w:val="26"/>
        </w:rPr>
      </w:pPr>
    </w:p>
    <w:p w14:paraId="4E89E8E7" w14:textId="77777777" w:rsidR="001A34D6" w:rsidRDefault="001A34D6" w:rsidP="000B0C76">
      <w:pPr>
        <w:spacing w:before="120" w:after="0" w:line="276" w:lineRule="auto"/>
        <w:jc w:val="center"/>
        <w:rPr>
          <w:rFonts w:ascii="Times New Roman" w:hAnsi="Times New Roman" w:cs="Times New Roman"/>
          <w:i/>
          <w:sz w:val="26"/>
          <w:szCs w:val="26"/>
        </w:rPr>
      </w:pPr>
    </w:p>
    <w:p w14:paraId="7FBD3B17" w14:textId="050C93AC" w:rsidR="000B0C76" w:rsidRPr="00F562A8" w:rsidRDefault="000B0C76" w:rsidP="000B0C76">
      <w:pPr>
        <w:spacing w:before="120" w:after="0" w:line="276" w:lineRule="auto"/>
        <w:jc w:val="center"/>
        <w:rPr>
          <w:rFonts w:ascii="Times New Roman" w:hAnsi="Times New Roman" w:cs="Times New Roman"/>
          <w:i/>
          <w:sz w:val="26"/>
          <w:szCs w:val="26"/>
        </w:rPr>
      </w:pPr>
      <w:r w:rsidRPr="00F562A8">
        <w:rPr>
          <w:rFonts w:ascii="Times New Roman" w:hAnsi="Times New Roman" w:cs="Times New Roman"/>
          <w:i/>
          <w:sz w:val="26"/>
          <w:szCs w:val="26"/>
        </w:rPr>
        <w:t xml:space="preserve">Описание схемы оценочного зонирования Воронежской области </w:t>
      </w:r>
      <w:r w:rsidRPr="00F562A8">
        <w:rPr>
          <w:rFonts w:ascii="Times New Roman" w:hAnsi="Times New Roman" w:cs="Times New Roman"/>
          <w:i/>
          <w:sz w:val="26"/>
          <w:szCs w:val="26"/>
        </w:rPr>
        <w:br/>
        <w:t xml:space="preserve">по сегменту </w:t>
      </w:r>
      <w:r>
        <w:rPr>
          <w:rFonts w:ascii="Times New Roman" w:hAnsi="Times New Roman" w:cs="Times New Roman"/>
          <w:i/>
          <w:sz w:val="26"/>
          <w:szCs w:val="26"/>
        </w:rPr>
        <w:t>1</w:t>
      </w:r>
      <w:r w:rsidRPr="00F562A8">
        <w:rPr>
          <w:rFonts w:ascii="Times New Roman" w:hAnsi="Times New Roman" w:cs="Times New Roman"/>
          <w:i/>
          <w:sz w:val="26"/>
          <w:szCs w:val="26"/>
        </w:rPr>
        <w:t xml:space="preserve"> «</w:t>
      </w:r>
      <w:r>
        <w:rPr>
          <w:rFonts w:ascii="Times New Roman" w:hAnsi="Times New Roman" w:cs="Times New Roman"/>
          <w:i/>
          <w:sz w:val="26"/>
          <w:szCs w:val="26"/>
        </w:rPr>
        <w:t>Сельскохозяйственное использование</w:t>
      </w:r>
      <w:r w:rsidRPr="00F562A8">
        <w:rPr>
          <w:rFonts w:ascii="Times New Roman" w:hAnsi="Times New Roman" w:cs="Times New Roman"/>
          <w:i/>
          <w:sz w:val="26"/>
          <w:szCs w:val="26"/>
        </w:rPr>
        <w:t>»</w:t>
      </w:r>
    </w:p>
    <w:p w14:paraId="1990EDA0" w14:textId="77777777" w:rsidR="000B0C76" w:rsidRDefault="000B0C76" w:rsidP="000B0C76">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проведения оценочного зонирования Учреждением был проведен анализ распределения рыночной информации сегмента </w:t>
      </w:r>
      <w:r>
        <w:rPr>
          <w:rFonts w:ascii="Times New Roman" w:hAnsi="Times New Roman" w:cs="Times New Roman"/>
          <w:sz w:val="26"/>
          <w:szCs w:val="26"/>
        </w:rPr>
        <w:t>1</w:t>
      </w:r>
      <w:r w:rsidRPr="00F562A8">
        <w:rPr>
          <w:rFonts w:ascii="Times New Roman" w:hAnsi="Times New Roman" w:cs="Times New Roman"/>
          <w:sz w:val="26"/>
          <w:szCs w:val="26"/>
        </w:rPr>
        <w:t xml:space="preserve"> «</w:t>
      </w:r>
      <w:r>
        <w:rPr>
          <w:rFonts w:ascii="Times New Roman" w:hAnsi="Times New Roman" w:cs="Times New Roman"/>
          <w:sz w:val="26"/>
          <w:szCs w:val="26"/>
        </w:rPr>
        <w:t>Сельскохозяйственное использование</w:t>
      </w:r>
      <w:r w:rsidRPr="00F562A8">
        <w:rPr>
          <w:rFonts w:ascii="Times New Roman" w:hAnsi="Times New Roman" w:cs="Times New Roman"/>
          <w:sz w:val="26"/>
          <w:szCs w:val="26"/>
        </w:rPr>
        <w:t xml:space="preserve">». </w:t>
      </w:r>
    </w:p>
    <w:p w14:paraId="67F8C7CC" w14:textId="77777777" w:rsidR="000B0C76" w:rsidRPr="00935BD9" w:rsidRDefault="000B0C76" w:rsidP="000B0C76">
      <w:pPr>
        <w:spacing w:after="120" w:line="276" w:lineRule="auto"/>
        <w:ind w:firstLine="567"/>
        <w:jc w:val="center"/>
        <w:rPr>
          <w:rFonts w:ascii="Times New Roman" w:hAnsi="Times New Roman" w:cs="Times New Roman"/>
          <w:sz w:val="28"/>
          <w:szCs w:val="28"/>
        </w:rPr>
      </w:pPr>
      <w:r w:rsidRPr="00935BD9">
        <w:rPr>
          <w:rFonts w:ascii="Times New Roman" w:hAnsi="Times New Roman" w:cs="Times New Roman"/>
          <w:sz w:val="28"/>
          <w:szCs w:val="28"/>
        </w:rPr>
        <w:t>Расчет рыночной стоимости типовых земельных участков.</w:t>
      </w:r>
    </w:p>
    <w:p w14:paraId="4E15D18C" w14:textId="77777777" w:rsidR="000B0C76" w:rsidRPr="007264BA" w:rsidRDefault="000B0C76" w:rsidP="000B0C76">
      <w:pPr>
        <w:suppressAutoHyphens/>
        <w:autoSpaceDN w:val="0"/>
        <w:spacing w:after="0" w:line="276" w:lineRule="auto"/>
        <w:ind w:firstLine="567"/>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eastAsia="ru-RU"/>
        </w:rPr>
        <w:t>При проведении анализа рыночных цен выбран типовой объект со следующими характеристиками:</w:t>
      </w:r>
    </w:p>
    <w:p w14:paraId="3614CC0A" w14:textId="77777777" w:rsidR="000B0C76" w:rsidRPr="007264BA" w:rsidRDefault="000B0C76" w:rsidP="000B0C76">
      <w:pPr>
        <w:numPr>
          <w:ilvl w:val="0"/>
          <w:numId w:val="30"/>
        </w:numPr>
        <w:suppressAutoHyphens/>
        <w:autoSpaceDN w:val="0"/>
        <w:spacing w:after="0" w:line="276" w:lineRule="auto"/>
        <w:ind w:left="1418" w:firstLine="0"/>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eastAsia="ru-RU"/>
        </w:rPr>
        <w:t>Тип (вид) объектов недвижимости– земельный участок.</w:t>
      </w:r>
    </w:p>
    <w:p w14:paraId="56E46FDA" w14:textId="77777777" w:rsidR="000B0C76" w:rsidRPr="007264BA" w:rsidRDefault="000B0C76" w:rsidP="000B0C76">
      <w:pPr>
        <w:numPr>
          <w:ilvl w:val="0"/>
          <w:numId w:val="30"/>
        </w:numPr>
        <w:suppressAutoHyphens/>
        <w:autoSpaceDN w:val="0"/>
        <w:spacing w:after="0" w:line="276" w:lineRule="auto"/>
        <w:ind w:left="1418" w:firstLine="0"/>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eastAsia="ru-RU"/>
        </w:rPr>
        <w:t>Вид использования–</w:t>
      </w:r>
      <w:r>
        <w:rPr>
          <w:rFonts w:ascii="Times New Roman" w:eastAsia="Times New Roman" w:hAnsi="Times New Roman" w:cs="Times New Roman"/>
          <w:sz w:val="26"/>
          <w:szCs w:val="26"/>
          <w:lang w:eastAsia="ru-RU"/>
        </w:rPr>
        <w:t>сельскохозяйственное использование</w:t>
      </w:r>
      <w:r w:rsidRPr="007264BA">
        <w:rPr>
          <w:rFonts w:ascii="Times New Roman" w:eastAsia="Times New Roman" w:hAnsi="Times New Roman" w:cs="Times New Roman"/>
          <w:sz w:val="26"/>
          <w:szCs w:val="26"/>
          <w:lang w:eastAsia="ru-RU"/>
        </w:rPr>
        <w:t>.</w:t>
      </w:r>
    </w:p>
    <w:p w14:paraId="14A3DE55" w14:textId="77777777" w:rsidR="000B0C76" w:rsidRDefault="000B0C76" w:rsidP="000B0C76">
      <w:pPr>
        <w:numPr>
          <w:ilvl w:val="0"/>
          <w:numId w:val="30"/>
        </w:numPr>
        <w:suppressAutoHyphens/>
        <w:autoSpaceDN w:val="0"/>
        <w:spacing w:after="0" w:line="276" w:lineRule="auto"/>
        <w:ind w:left="1418" w:firstLine="0"/>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val="en-US" w:eastAsia="ru-RU"/>
        </w:rPr>
        <w:t>Имущественные права - собственность</w:t>
      </w:r>
      <w:r w:rsidRPr="007264BA">
        <w:rPr>
          <w:rFonts w:ascii="Times New Roman" w:eastAsia="Times New Roman" w:hAnsi="Times New Roman" w:cs="Times New Roman"/>
          <w:sz w:val="26"/>
          <w:szCs w:val="26"/>
          <w:lang w:eastAsia="ru-RU"/>
        </w:rPr>
        <w:t>.</w:t>
      </w:r>
    </w:p>
    <w:p w14:paraId="6D951813" w14:textId="77777777" w:rsidR="000B0C76" w:rsidRPr="007264BA" w:rsidRDefault="000B0C76" w:rsidP="000B0C76">
      <w:pPr>
        <w:suppressAutoHyphens/>
        <w:autoSpaceDN w:val="0"/>
        <w:spacing w:after="0" w:line="240" w:lineRule="auto"/>
        <w:ind w:left="1418"/>
        <w:jc w:val="both"/>
        <w:textAlignment w:val="baseline"/>
        <w:rPr>
          <w:rFonts w:ascii="Times New Roman" w:eastAsia="Times New Roman" w:hAnsi="Times New Roman" w:cs="Times New Roman"/>
          <w:sz w:val="26"/>
          <w:szCs w:val="26"/>
          <w:lang w:eastAsia="ru-RU"/>
        </w:rPr>
      </w:pPr>
    </w:p>
    <w:p w14:paraId="0BC98FC2" w14:textId="77777777" w:rsidR="000B0C76" w:rsidRPr="007264BA" w:rsidRDefault="000B0C76" w:rsidP="000B0C76">
      <w:pPr>
        <w:tabs>
          <w:tab w:val="right" w:pos="9072"/>
        </w:tabs>
        <w:suppressAutoHyphens/>
        <w:autoSpaceDN w:val="0"/>
        <w:spacing w:after="120" w:line="276" w:lineRule="auto"/>
        <w:ind w:firstLine="567"/>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eastAsia="ru-RU"/>
        </w:rPr>
        <w:t xml:space="preserve">Для сопоставимости был введен ряд корректирующих коэффициентов. </w:t>
      </w:r>
    </w:p>
    <w:p w14:paraId="4E9CCCE2" w14:textId="77777777" w:rsidR="000B0C76" w:rsidRPr="00BE7AFF" w:rsidRDefault="000B0C76" w:rsidP="000B0C76">
      <w:pPr>
        <w:spacing w:before="120" w:after="0" w:line="276" w:lineRule="auto"/>
        <w:jc w:val="center"/>
        <w:rPr>
          <w:rFonts w:eastAsia="Calibri" w:cs="Times New Roman"/>
          <w:i/>
          <w:sz w:val="26"/>
          <w:szCs w:val="26"/>
        </w:rPr>
      </w:pPr>
      <w:bookmarkStart w:id="102" w:name="_Toc106610320"/>
      <w:bookmarkStart w:id="103" w:name="_Toc108441239"/>
      <w:bookmarkStart w:id="104" w:name="_Toc108534872"/>
      <w:bookmarkStart w:id="105" w:name="_Toc110506952"/>
      <w:r w:rsidRPr="00BE7AFF">
        <w:rPr>
          <w:rStyle w:val="21"/>
          <w:i/>
          <w:sz w:val="26"/>
        </w:rPr>
        <w:t>Корректировка на торг</w:t>
      </w:r>
      <w:bookmarkEnd w:id="102"/>
      <w:bookmarkEnd w:id="103"/>
      <w:bookmarkEnd w:id="104"/>
      <w:bookmarkEnd w:id="105"/>
    </w:p>
    <w:p w14:paraId="706CD7E9" w14:textId="77777777" w:rsidR="000B0C76" w:rsidRDefault="000B0C76" w:rsidP="000B0C76">
      <w:pPr>
        <w:spacing w:after="0" w:line="300" w:lineRule="auto"/>
        <w:ind w:firstLine="567"/>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При продаже земельных участков на рынке недвижимости возможно снижение цены сделки за счет уторговывания. </w:t>
      </w:r>
      <w:r>
        <w:rPr>
          <w:rFonts w:ascii="Times New Roman" w:eastAsia="Times New Roman" w:hAnsi="Times New Roman" w:cs="Times New Roman"/>
          <w:sz w:val="26"/>
          <w:szCs w:val="26"/>
          <w:lang w:eastAsia="ru-RU"/>
        </w:rPr>
        <w:t xml:space="preserve">Так как в представленной рыночной выборке содержится информация и по предложениям, и по сделкам, удельные показатели цены предложения по продаже объектов-аналогов были скорректированы на тип сделки (скидка на торг). </w:t>
      </w:r>
      <w:r>
        <w:rPr>
          <w:rFonts w:ascii="Times New Roman" w:eastAsia="Calibri" w:hAnsi="Times New Roman" w:cs="Times New Roman"/>
          <w:sz w:val="26"/>
          <w:szCs w:val="26"/>
        </w:rPr>
        <w:t>Величина скидки на торг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105" w:history="1">
        <w:r>
          <w:rPr>
            <w:rStyle w:val="ad"/>
            <w:rFonts w:cs="Times New Roman"/>
            <w:szCs w:val="26"/>
          </w:rPr>
          <w:t>https://statrielt.ru/</w:t>
        </w:r>
      </w:hyperlink>
      <w:r>
        <w:rPr>
          <w:rFonts w:ascii="Times New Roman" w:hAnsi="Times New Roman" w:cs="Times New Roman"/>
          <w:sz w:val="26"/>
          <w:szCs w:val="26"/>
        </w:rPr>
        <w:t>).</w:t>
      </w:r>
    </w:p>
    <w:p w14:paraId="1AA3EF5F" w14:textId="77777777" w:rsidR="000B0C76" w:rsidRDefault="000B0C76" w:rsidP="000B0C76">
      <w:pPr>
        <w:jc w:val="center"/>
      </w:pPr>
      <w:r w:rsidRPr="00376FBD">
        <w:rPr>
          <w:noProof/>
          <w:lang w:eastAsia="ru-RU"/>
        </w:rPr>
        <w:drawing>
          <wp:inline distT="0" distB="0" distL="0" distR="0" wp14:anchorId="3BB0F00F" wp14:editId="0DF65594">
            <wp:extent cx="5940425" cy="3869690"/>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869690"/>
                    </a:xfrm>
                    <a:prstGeom prst="rect">
                      <a:avLst/>
                    </a:prstGeom>
                  </pic:spPr>
                </pic:pic>
              </a:graphicData>
            </a:graphic>
          </wp:inline>
        </w:drawing>
      </w:r>
    </w:p>
    <w:p w14:paraId="1E22CE61" w14:textId="67CC9454" w:rsidR="000B0C76" w:rsidRPr="00376FBD" w:rsidRDefault="000B0C76" w:rsidP="000B0C76">
      <w:pPr>
        <w:spacing w:after="0" w:line="300" w:lineRule="auto"/>
        <w:ind w:firstLine="567"/>
        <w:jc w:val="center"/>
        <w:rPr>
          <w:rFonts w:ascii="Times New Roman" w:eastAsia="Calibri" w:hAnsi="Times New Roman" w:cs="Times New Roman"/>
          <w:sz w:val="26"/>
          <w:szCs w:val="26"/>
        </w:rPr>
      </w:pPr>
      <w:r>
        <w:rPr>
          <w:rFonts w:ascii="Times New Roman" w:eastAsia="Calibri" w:hAnsi="Times New Roman" w:cs="Times New Roman"/>
          <w:sz w:val="26"/>
          <w:szCs w:val="26"/>
        </w:rPr>
        <w:t>Рис.3.2.1 - Скидка на торг, уторгование при продаже земельных участков на 01.</w:t>
      </w:r>
      <w:r w:rsidRPr="00376FBD">
        <w:rPr>
          <w:rFonts w:ascii="Times New Roman" w:eastAsia="Calibri" w:hAnsi="Times New Roman" w:cs="Times New Roman"/>
          <w:sz w:val="26"/>
          <w:szCs w:val="26"/>
        </w:rPr>
        <w:t>01</w:t>
      </w:r>
      <w:r>
        <w:rPr>
          <w:rFonts w:ascii="Times New Roman" w:eastAsia="Calibri" w:hAnsi="Times New Roman" w:cs="Times New Roman"/>
          <w:sz w:val="26"/>
          <w:szCs w:val="26"/>
        </w:rPr>
        <w:t>.202</w:t>
      </w:r>
      <w:r w:rsidRPr="00376FBD">
        <w:rPr>
          <w:rFonts w:ascii="Times New Roman" w:eastAsia="Calibri" w:hAnsi="Times New Roman" w:cs="Times New Roman"/>
          <w:sz w:val="26"/>
          <w:szCs w:val="26"/>
        </w:rPr>
        <w:t>2</w:t>
      </w:r>
      <w:r>
        <w:rPr>
          <w:rFonts w:ascii="Times New Roman" w:eastAsia="Calibri" w:hAnsi="Times New Roman" w:cs="Times New Roman"/>
          <w:sz w:val="26"/>
          <w:szCs w:val="26"/>
        </w:rPr>
        <w:t xml:space="preserve"> года по данным некоммерческой организации «Ассоциация развития рынка недвижимости «СтатРиелт</w:t>
      </w:r>
      <w:r w:rsidRPr="00D94DF7">
        <w:rPr>
          <w:rFonts w:ascii="Times New Roman" w:eastAsia="Calibri" w:hAnsi="Times New Roman" w:cs="Times New Roman"/>
          <w:sz w:val="26"/>
          <w:szCs w:val="26"/>
        </w:rPr>
        <w:t>»</w:t>
      </w:r>
      <w:r>
        <w:rPr>
          <w:rStyle w:val="af2"/>
          <w:rFonts w:ascii="Times New Roman" w:eastAsia="Calibri" w:hAnsi="Times New Roman" w:cs="Times New Roman"/>
          <w:sz w:val="26"/>
          <w:szCs w:val="26"/>
        </w:rPr>
        <w:footnoteReference w:id="105"/>
      </w:r>
    </w:p>
    <w:p w14:paraId="385421ED" w14:textId="77777777" w:rsidR="000B0C76" w:rsidRDefault="000B0C76" w:rsidP="000B0C76">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В данном случае размер скидки на торг принимаем как для земель сельскохозяйственного назначения, значения лежат в доверительном интервале от 0,7</w:t>
      </w:r>
      <w:r w:rsidRPr="00376FBD">
        <w:rPr>
          <w:rFonts w:ascii="Times New Roman" w:eastAsia="Calibri" w:hAnsi="Times New Roman" w:cs="Times New Roman"/>
          <w:sz w:val="26"/>
          <w:szCs w:val="26"/>
        </w:rPr>
        <w:t>2</w:t>
      </w:r>
      <w:r>
        <w:rPr>
          <w:rFonts w:ascii="Times New Roman" w:eastAsia="Calibri" w:hAnsi="Times New Roman" w:cs="Times New Roman"/>
          <w:sz w:val="26"/>
          <w:szCs w:val="26"/>
        </w:rPr>
        <w:t xml:space="preserve"> до 0,9</w:t>
      </w:r>
      <w:r w:rsidRPr="00376FBD">
        <w:rPr>
          <w:rFonts w:ascii="Times New Roman" w:eastAsia="Calibri" w:hAnsi="Times New Roman" w:cs="Times New Roman"/>
          <w:sz w:val="26"/>
          <w:szCs w:val="26"/>
        </w:rPr>
        <w:t>3</w:t>
      </w:r>
      <w:r>
        <w:rPr>
          <w:rFonts w:ascii="Times New Roman" w:eastAsia="Calibri" w:hAnsi="Times New Roman" w:cs="Times New Roman"/>
          <w:sz w:val="26"/>
          <w:szCs w:val="26"/>
        </w:rPr>
        <w:t xml:space="preserve"> и в среднем по РФ составляет </w:t>
      </w:r>
      <w:r w:rsidRPr="00D05389">
        <w:rPr>
          <w:rFonts w:ascii="Times New Roman" w:eastAsia="Calibri" w:hAnsi="Times New Roman" w:cs="Times New Roman"/>
          <w:b/>
          <w:sz w:val="26"/>
          <w:szCs w:val="26"/>
        </w:rPr>
        <w:t>0,8</w:t>
      </w:r>
      <w:r w:rsidRPr="00376FBD">
        <w:rPr>
          <w:rFonts w:ascii="Times New Roman" w:eastAsia="Calibri" w:hAnsi="Times New Roman" w:cs="Times New Roman"/>
          <w:b/>
          <w:sz w:val="26"/>
          <w:szCs w:val="26"/>
        </w:rPr>
        <w:t>3</w:t>
      </w:r>
      <w:r>
        <w:rPr>
          <w:rFonts w:ascii="Times New Roman" w:eastAsia="Calibri" w:hAnsi="Times New Roman" w:cs="Times New Roman"/>
          <w:sz w:val="26"/>
          <w:szCs w:val="26"/>
        </w:rPr>
        <w:t xml:space="preserve"> (раздел «</w:t>
      </w:r>
      <w:r w:rsidRPr="00CB1B3C">
        <w:rPr>
          <w:rFonts w:ascii="Times New Roman" w:hAnsi="Times New Roman" w:cs="Times New Roman"/>
          <w:sz w:val="26"/>
          <w:szCs w:val="26"/>
        </w:rPr>
        <w:t>Скидка на торг, уторгование при продаже земельных участков на 01.</w:t>
      </w:r>
      <w:r w:rsidRPr="00376FBD">
        <w:rPr>
          <w:rFonts w:ascii="Times New Roman" w:hAnsi="Times New Roman" w:cs="Times New Roman"/>
          <w:sz w:val="26"/>
          <w:szCs w:val="26"/>
        </w:rPr>
        <w:t>01</w:t>
      </w:r>
      <w:r w:rsidRPr="00CB1B3C">
        <w:rPr>
          <w:rFonts w:ascii="Times New Roman" w:hAnsi="Times New Roman" w:cs="Times New Roman"/>
          <w:sz w:val="26"/>
          <w:szCs w:val="26"/>
        </w:rPr>
        <w:t>.20</w:t>
      </w:r>
      <w:r w:rsidRPr="00376FBD">
        <w:rPr>
          <w:rFonts w:ascii="Times New Roman" w:hAnsi="Times New Roman" w:cs="Times New Roman"/>
          <w:sz w:val="26"/>
          <w:szCs w:val="26"/>
        </w:rPr>
        <w:t>2</w:t>
      </w:r>
      <w:r>
        <w:rPr>
          <w:rFonts w:ascii="Times New Roman" w:hAnsi="Times New Roman" w:cs="Times New Roman"/>
          <w:sz w:val="26"/>
          <w:szCs w:val="26"/>
        </w:rPr>
        <w:t>2</w:t>
      </w:r>
      <w:r w:rsidRPr="00CB1B3C">
        <w:rPr>
          <w:rFonts w:ascii="Times New Roman" w:hAnsi="Times New Roman" w:cs="Times New Roman"/>
          <w:sz w:val="26"/>
          <w:szCs w:val="26"/>
        </w:rPr>
        <w:t xml:space="preserve"> года</w:t>
      </w:r>
      <w:r>
        <w:rPr>
          <w:rFonts w:ascii="Times New Roman" w:hAnsi="Times New Roman" w:cs="Times New Roman"/>
          <w:sz w:val="26"/>
          <w:szCs w:val="26"/>
        </w:rPr>
        <w:t>»)</w:t>
      </w:r>
      <w:r>
        <w:rPr>
          <w:rFonts w:ascii="Times New Roman" w:eastAsia="Calibri" w:hAnsi="Times New Roman" w:cs="Times New Roman"/>
          <w:sz w:val="26"/>
          <w:szCs w:val="26"/>
        </w:rPr>
        <w:t>. Принято среднее значение диапазона.</w:t>
      </w:r>
    </w:p>
    <w:p w14:paraId="0EA64DE7" w14:textId="77777777" w:rsidR="000B0C76" w:rsidRPr="00BE7AFF" w:rsidRDefault="000B0C76" w:rsidP="000B0C76">
      <w:pPr>
        <w:spacing w:before="120" w:after="0" w:line="276" w:lineRule="auto"/>
        <w:jc w:val="center"/>
        <w:rPr>
          <w:rFonts w:ascii="Times New Roman" w:hAnsi="Times New Roman" w:cs="Times New Roman"/>
          <w:i/>
          <w:sz w:val="26"/>
          <w:szCs w:val="26"/>
        </w:rPr>
      </w:pPr>
      <w:r w:rsidRPr="00BE7AFF">
        <w:rPr>
          <w:rFonts w:ascii="Times New Roman" w:hAnsi="Times New Roman" w:cs="Times New Roman"/>
          <w:i/>
          <w:sz w:val="26"/>
          <w:szCs w:val="26"/>
        </w:rPr>
        <w:t>Корректировка на дату</w:t>
      </w:r>
    </w:p>
    <w:p w14:paraId="1D07515D" w14:textId="77777777" w:rsidR="000B0C76" w:rsidRDefault="000B0C76" w:rsidP="000B0C76">
      <w:pPr>
        <w:spacing w:after="0" w:line="300" w:lineRule="auto"/>
        <w:ind w:firstLine="708"/>
        <w:jc w:val="both"/>
        <w:rPr>
          <w:rFonts w:ascii="Times New Roman" w:hAnsi="Times New Roman" w:cs="Times New Roman"/>
          <w:b/>
          <w:sz w:val="26"/>
          <w:szCs w:val="26"/>
        </w:rPr>
      </w:pPr>
      <w:r>
        <w:rPr>
          <w:rFonts w:ascii="Times New Roman" w:hAnsi="Times New Roman" w:cs="Times New Roman"/>
          <w:sz w:val="26"/>
          <w:szCs w:val="26"/>
        </w:rPr>
        <w:t xml:space="preserve">Изменение рыночной конъюнктуры, условия которой могут сильно отразиться на стоимости объекта недвижимости, происходят с течением времени. </w:t>
      </w:r>
      <w:r>
        <w:rPr>
          <w:rFonts w:ascii="Times New Roman" w:eastAsia="Calibri" w:hAnsi="Times New Roman" w:cs="Times New Roman"/>
          <w:sz w:val="26"/>
          <w:szCs w:val="26"/>
        </w:rPr>
        <w:t xml:space="preserve">Корректировка на дату учитывает изменение цен на земельные участки за период с даты заключения сделки (предложения) с объектом-аналогом до даты проведения настоящей оценки. </w:t>
      </w:r>
    </w:p>
    <w:p w14:paraId="3CC92A56" w14:textId="77777777" w:rsidR="000B0C76" w:rsidRDefault="000B0C76" w:rsidP="000B0C76">
      <w:pPr>
        <w:jc w:val="center"/>
      </w:pPr>
      <w:r w:rsidRPr="00376FBD">
        <w:rPr>
          <w:noProof/>
          <w:lang w:eastAsia="ru-RU"/>
        </w:rPr>
        <w:drawing>
          <wp:inline distT="0" distB="0" distL="0" distR="0" wp14:anchorId="3E3DD858" wp14:editId="65A1900B">
            <wp:extent cx="5940425" cy="3978910"/>
            <wp:effectExtent l="0" t="0" r="3175"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978910"/>
                    </a:xfrm>
                    <a:prstGeom prst="rect">
                      <a:avLst/>
                    </a:prstGeom>
                  </pic:spPr>
                </pic:pic>
              </a:graphicData>
            </a:graphic>
          </wp:inline>
        </w:drawing>
      </w:r>
    </w:p>
    <w:p w14:paraId="0C69FF02" w14:textId="5E1C8A12" w:rsidR="000B0C76" w:rsidRDefault="000B0C76" w:rsidP="000B0C76">
      <w:pPr>
        <w:jc w:val="center"/>
        <w:rPr>
          <w:rFonts w:ascii="Times New Roman" w:eastAsia="Calibri" w:hAnsi="Times New Roman" w:cs="Times New Roman"/>
          <w:sz w:val="26"/>
          <w:szCs w:val="26"/>
        </w:rPr>
      </w:pPr>
      <w:r>
        <w:rPr>
          <w:rFonts w:ascii="Times New Roman" w:eastAsia="Calibri" w:hAnsi="Times New Roman" w:cs="Times New Roman"/>
          <w:sz w:val="26"/>
          <w:szCs w:val="26"/>
        </w:rPr>
        <w:t>Рис.3.2.2-</w:t>
      </w:r>
      <w:r w:rsidRPr="008C322D">
        <w:t xml:space="preserve"> </w:t>
      </w:r>
      <w:r w:rsidRPr="008C322D">
        <w:rPr>
          <w:rFonts w:ascii="Times New Roman" w:eastAsia="Calibri" w:hAnsi="Times New Roman" w:cs="Times New Roman"/>
          <w:sz w:val="26"/>
          <w:szCs w:val="26"/>
        </w:rPr>
        <w:t>Индексы изменения рыночных цен (в рублях) земельных участков</w:t>
      </w:r>
      <w:r>
        <w:rPr>
          <w:rFonts w:ascii="Times New Roman" w:eastAsia="Calibri" w:hAnsi="Times New Roman" w:cs="Times New Roman"/>
          <w:sz w:val="26"/>
          <w:szCs w:val="26"/>
        </w:rPr>
        <w:t xml:space="preserve"> по данным некоммерческой организации «Ассоциация развития рынка недвижимости «СтатРиелт»</w:t>
      </w:r>
      <w:r>
        <w:rPr>
          <w:rStyle w:val="af2"/>
          <w:rFonts w:ascii="Times New Roman" w:eastAsia="Calibri" w:hAnsi="Times New Roman" w:cs="Times New Roman"/>
          <w:sz w:val="26"/>
          <w:szCs w:val="26"/>
        </w:rPr>
        <w:footnoteReference w:id="106"/>
      </w:r>
      <w:r>
        <w:rPr>
          <w:rFonts w:ascii="Times New Roman" w:eastAsia="Calibri" w:hAnsi="Times New Roman" w:cs="Times New Roman"/>
          <w:sz w:val="26"/>
          <w:szCs w:val="26"/>
        </w:rPr>
        <w:t xml:space="preserve"> </w:t>
      </w:r>
    </w:p>
    <w:p w14:paraId="5968BA6E" w14:textId="77777777" w:rsidR="000B0C76" w:rsidRDefault="000B0C76" w:rsidP="000B0C76">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был произведен расчет корректировок, значения представлены далее в таблице.</w:t>
      </w:r>
    </w:p>
    <w:p w14:paraId="21C4EB79" w14:textId="77777777" w:rsidR="000B0C76" w:rsidRDefault="000B0C76" w:rsidP="000B0C76">
      <w:pPr>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3.2.1</w:t>
      </w:r>
    </w:p>
    <w:p w14:paraId="1A8A4ECF" w14:textId="77777777" w:rsidR="000B0C76" w:rsidRPr="002F6E4F" w:rsidRDefault="000B0C76" w:rsidP="000B0C76">
      <w:pPr>
        <w:jc w:val="center"/>
        <w:rPr>
          <w:rFonts w:ascii="Times New Roman" w:eastAsia="Calibri" w:hAnsi="Times New Roman" w:cs="Times New Roman"/>
          <w:sz w:val="26"/>
          <w:szCs w:val="26"/>
        </w:rPr>
      </w:pPr>
      <w:r>
        <w:rPr>
          <w:rFonts w:ascii="Times New Roman" w:eastAsia="Calibri" w:hAnsi="Times New Roman" w:cs="Times New Roman"/>
          <w:sz w:val="26"/>
          <w:szCs w:val="26"/>
        </w:rPr>
        <w:t>Размер корректировок на дату, рассчитанных на каждое полугодие</w:t>
      </w:r>
    </w:p>
    <w:tbl>
      <w:tblPr>
        <w:tblStyle w:val="ae"/>
        <w:tblW w:w="4927" w:type="pct"/>
        <w:jc w:val="center"/>
        <w:tblLayout w:type="fixed"/>
        <w:tblLook w:val="04A0" w:firstRow="1" w:lastRow="0" w:firstColumn="1" w:lastColumn="0" w:noHBand="0" w:noVBand="1"/>
      </w:tblPr>
      <w:tblGrid>
        <w:gridCol w:w="1130"/>
        <w:gridCol w:w="993"/>
        <w:gridCol w:w="1558"/>
        <w:gridCol w:w="1558"/>
        <w:gridCol w:w="654"/>
        <w:gridCol w:w="622"/>
        <w:gridCol w:w="993"/>
        <w:gridCol w:w="1700"/>
      </w:tblGrid>
      <w:tr w:rsidR="000B0C76" w:rsidRPr="00E6223E" w14:paraId="53E78412" w14:textId="77777777" w:rsidTr="00E6223E">
        <w:trPr>
          <w:jc w:val="center"/>
        </w:trPr>
        <w:tc>
          <w:tcPr>
            <w:tcW w:w="614" w:type="pct"/>
            <w:vAlign w:val="center"/>
          </w:tcPr>
          <w:p w14:paraId="46FE2A79" w14:textId="77777777" w:rsidR="000B0C76" w:rsidRPr="00E6223E" w:rsidRDefault="000B0C76" w:rsidP="00E6223E">
            <w:pPr>
              <w:jc w:val="center"/>
              <w:rPr>
                <w:rFonts w:ascii="Times New Roman" w:hAnsi="Times New Roman" w:cs="Times New Roman"/>
                <w:szCs w:val="18"/>
              </w:rPr>
            </w:pPr>
            <w:r w:rsidRPr="00E6223E">
              <w:rPr>
                <w:rFonts w:ascii="Times New Roman" w:hAnsi="Times New Roman" w:cs="Times New Roman"/>
                <w:szCs w:val="18"/>
              </w:rPr>
              <w:t>к 01.01.2022</w:t>
            </w:r>
          </w:p>
        </w:tc>
        <w:tc>
          <w:tcPr>
            <w:tcW w:w="539" w:type="pct"/>
            <w:vAlign w:val="center"/>
          </w:tcPr>
          <w:p w14:paraId="1FB0448B"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color w:val="000000"/>
              </w:rPr>
              <w:t>торговые и офисные здания</w:t>
            </w:r>
          </w:p>
        </w:tc>
        <w:tc>
          <w:tcPr>
            <w:tcW w:w="846" w:type="pct"/>
            <w:vAlign w:val="center"/>
          </w:tcPr>
          <w:p w14:paraId="48424124"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color w:val="000000"/>
              </w:rPr>
              <w:t>промышленности, транспорта, связи и иного специального назначения</w:t>
            </w:r>
          </w:p>
        </w:tc>
        <w:tc>
          <w:tcPr>
            <w:tcW w:w="846" w:type="pct"/>
            <w:vAlign w:val="center"/>
          </w:tcPr>
          <w:p w14:paraId="30C9E835"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color w:val="000000"/>
              </w:rPr>
              <w:t>много-квартирное строительство</w:t>
            </w:r>
          </w:p>
        </w:tc>
        <w:tc>
          <w:tcPr>
            <w:tcW w:w="355" w:type="pct"/>
            <w:vAlign w:val="center"/>
          </w:tcPr>
          <w:p w14:paraId="4CDE02D5" w14:textId="77777777" w:rsidR="000B0C76" w:rsidRPr="00E6223E" w:rsidRDefault="000B0C76" w:rsidP="00E6223E">
            <w:pPr>
              <w:jc w:val="center"/>
              <w:rPr>
                <w:rFonts w:ascii="Times New Roman" w:hAnsi="Times New Roman" w:cs="Times New Roman"/>
                <w:color w:val="000000"/>
              </w:rPr>
            </w:pPr>
            <w:r w:rsidRPr="00E6223E">
              <w:rPr>
                <w:rFonts w:ascii="Times New Roman" w:hAnsi="Times New Roman" w:cs="Times New Roman"/>
                <w:color w:val="000000"/>
              </w:rPr>
              <w:t>ИЖС</w:t>
            </w:r>
          </w:p>
          <w:p w14:paraId="7C1F8D73" w14:textId="77777777" w:rsidR="000B0C76" w:rsidRPr="00E6223E" w:rsidRDefault="000B0C76" w:rsidP="00E6223E">
            <w:pPr>
              <w:jc w:val="center"/>
              <w:rPr>
                <w:rFonts w:ascii="Times New Roman" w:hAnsi="Times New Roman" w:cs="Times New Roman"/>
                <w:color w:val="000000"/>
              </w:rPr>
            </w:pPr>
            <w:r w:rsidRPr="00E6223E">
              <w:rPr>
                <w:rFonts w:ascii="Times New Roman" w:hAnsi="Times New Roman" w:cs="Times New Roman"/>
                <w:color w:val="000000"/>
              </w:rPr>
              <w:t>и</w:t>
            </w:r>
          </w:p>
          <w:p w14:paraId="61828071"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color w:val="000000"/>
              </w:rPr>
              <w:t>ЛПХ</w:t>
            </w:r>
          </w:p>
        </w:tc>
        <w:tc>
          <w:tcPr>
            <w:tcW w:w="338" w:type="pct"/>
            <w:vAlign w:val="center"/>
          </w:tcPr>
          <w:p w14:paraId="66865F11"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color w:val="000000"/>
              </w:rPr>
              <w:t>СНТ и ДНП</w:t>
            </w:r>
          </w:p>
        </w:tc>
        <w:tc>
          <w:tcPr>
            <w:tcW w:w="539" w:type="pct"/>
            <w:vAlign w:val="center"/>
          </w:tcPr>
          <w:p w14:paraId="4BF9FE38" w14:textId="77777777" w:rsidR="000B0C76" w:rsidRPr="00E6223E" w:rsidRDefault="000B0C76" w:rsidP="00E6223E">
            <w:pPr>
              <w:jc w:val="center"/>
              <w:rPr>
                <w:rFonts w:ascii="Times New Roman" w:hAnsi="Times New Roman" w:cs="Times New Roman"/>
                <w:b/>
              </w:rPr>
            </w:pPr>
            <w:r w:rsidRPr="00E6223E">
              <w:rPr>
                <w:rFonts w:ascii="Times New Roman" w:hAnsi="Times New Roman" w:cs="Times New Roman"/>
                <w:b/>
                <w:color w:val="000000"/>
              </w:rPr>
              <w:t>С/х назна-чения</w:t>
            </w:r>
          </w:p>
        </w:tc>
        <w:tc>
          <w:tcPr>
            <w:tcW w:w="923" w:type="pct"/>
            <w:vAlign w:val="center"/>
          </w:tcPr>
          <w:p w14:paraId="509A8B86"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color w:val="000000"/>
              </w:rPr>
              <w:t>сельскохозяйственного назначения с возможностью или перспективой строительства коммерческих зданий</w:t>
            </w:r>
          </w:p>
        </w:tc>
      </w:tr>
      <w:tr w:rsidR="000B0C76" w:rsidRPr="00E6223E" w14:paraId="2782023B" w14:textId="77777777" w:rsidTr="00E6223E">
        <w:trPr>
          <w:jc w:val="center"/>
        </w:trPr>
        <w:tc>
          <w:tcPr>
            <w:tcW w:w="614" w:type="pct"/>
            <w:vAlign w:val="center"/>
          </w:tcPr>
          <w:p w14:paraId="73C2920F"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color w:val="000000"/>
              </w:rPr>
              <w:t>01.01.2018 по 30.06.2018</w:t>
            </w:r>
          </w:p>
        </w:tc>
        <w:tc>
          <w:tcPr>
            <w:tcW w:w="539" w:type="pct"/>
            <w:vAlign w:val="center"/>
          </w:tcPr>
          <w:p w14:paraId="0A6A3C65"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1,04</w:t>
            </w:r>
          </w:p>
        </w:tc>
        <w:tc>
          <w:tcPr>
            <w:tcW w:w="846" w:type="pct"/>
            <w:vAlign w:val="center"/>
          </w:tcPr>
          <w:p w14:paraId="289B9462"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0,99</w:t>
            </w:r>
          </w:p>
        </w:tc>
        <w:tc>
          <w:tcPr>
            <w:tcW w:w="846" w:type="pct"/>
            <w:vAlign w:val="center"/>
          </w:tcPr>
          <w:p w14:paraId="73983516"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1,31</w:t>
            </w:r>
          </w:p>
        </w:tc>
        <w:tc>
          <w:tcPr>
            <w:tcW w:w="355" w:type="pct"/>
            <w:vAlign w:val="center"/>
          </w:tcPr>
          <w:p w14:paraId="313983C1"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1,16</w:t>
            </w:r>
          </w:p>
        </w:tc>
        <w:tc>
          <w:tcPr>
            <w:tcW w:w="338" w:type="pct"/>
            <w:vAlign w:val="center"/>
          </w:tcPr>
          <w:p w14:paraId="06805936"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1,14</w:t>
            </w:r>
          </w:p>
        </w:tc>
        <w:tc>
          <w:tcPr>
            <w:tcW w:w="539" w:type="pct"/>
            <w:vAlign w:val="center"/>
          </w:tcPr>
          <w:p w14:paraId="04EB14C8" w14:textId="77777777" w:rsidR="000B0C76" w:rsidRPr="00E6223E" w:rsidRDefault="000B0C76" w:rsidP="00E6223E">
            <w:pPr>
              <w:jc w:val="center"/>
              <w:rPr>
                <w:rFonts w:ascii="Times New Roman" w:hAnsi="Times New Roman" w:cs="Times New Roman"/>
                <w:b/>
              </w:rPr>
            </w:pPr>
            <w:r w:rsidRPr="00E6223E">
              <w:rPr>
                <w:rFonts w:ascii="Times New Roman" w:hAnsi="Times New Roman" w:cs="Times New Roman"/>
                <w:b/>
              </w:rPr>
              <w:t>1,15</w:t>
            </w:r>
          </w:p>
        </w:tc>
        <w:tc>
          <w:tcPr>
            <w:tcW w:w="923" w:type="pct"/>
            <w:vAlign w:val="center"/>
          </w:tcPr>
          <w:p w14:paraId="4988FDEB"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1,11</w:t>
            </w:r>
          </w:p>
        </w:tc>
      </w:tr>
      <w:tr w:rsidR="000B0C76" w:rsidRPr="00E6223E" w14:paraId="10D607EA" w14:textId="77777777" w:rsidTr="00E6223E">
        <w:trPr>
          <w:jc w:val="center"/>
        </w:trPr>
        <w:tc>
          <w:tcPr>
            <w:tcW w:w="614" w:type="pct"/>
            <w:vAlign w:val="center"/>
          </w:tcPr>
          <w:p w14:paraId="419C4D74"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color w:val="000000"/>
              </w:rPr>
              <w:t>01.07.2018 по 31.12.2018</w:t>
            </w:r>
          </w:p>
        </w:tc>
        <w:tc>
          <w:tcPr>
            <w:tcW w:w="539" w:type="pct"/>
            <w:vAlign w:val="center"/>
          </w:tcPr>
          <w:p w14:paraId="24542193"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1,04</w:t>
            </w:r>
          </w:p>
        </w:tc>
        <w:tc>
          <w:tcPr>
            <w:tcW w:w="846" w:type="pct"/>
            <w:vAlign w:val="center"/>
          </w:tcPr>
          <w:p w14:paraId="4A98D45A"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0,99</w:t>
            </w:r>
          </w:p>
        </w:tc>
        <w:tc>
          <w:tcPr>
            <w:tcW w:w="846" w:type="pct"/>
            <w:vAlign w:val="center"/>
          </w:tcPr>
          <w:p w14:paraId="64175344"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1,30</w:t>
            </w:r>
          </w:p>
        </w:tc>
        <w:tc>
          <w:tcPr>
            <w:tcW w:w="355" w:type="pct"/>
            <w:vAlign w:val="center"/>
          </w:tcPr>
          <w:p w14:paraId="6DE237FC"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1,17</w:t>
            </w:r>
          </w:p>
        </w:tc>
        <w:tc>
          <w:tcPr>
            <w:tcW w:w="338" w:type="pct"/>
            <w:vAlign w:val="center"/>
          </w:tcPr>
          <w:p w14:paraId="1A8AA80C"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1,15</w:t>
            </w:r>
          </w:p>
        </w:tc>
        <w:tc>
          <w:tcPr>
            <w:tcW w:w="539" w:type="pct"/>
            <w:vAlign w:val="center"/>
          </w:tcPr>
          <w:p w14:paraId="545DA49B" w14:textId="77777777" w:rsidR="000B0C76" w:rsidRPr="00E6223E" w:rsidRDefault="000B0C76" w:rsidP="00E6223E">
            <w:pPr>
              <w:jc w:val="center"/>
              <w:rPr>
                <w:rFonts w:ascii="Times New Roman" w:hAnsi="Times New Roman" w:cs="Times New Roman"/>
                <w:b/>
              </w:rPr>
            </w:pPr>
            <w:r w:rsidRPr="00E6223E">
              <w:rPr>
                <w:rFonts w:ascii="Times New Roman" w:hAnsi="Times New Roman" w:cs="Times New Roman"/>
                <w:b/>
              </w:rPr>
              <w:t>1,14</w:t>
            </w:r>
          </w:p>
        </w:tc>
        <w:tc>
          <w:tcPr>
            <w:tcW w:w="923" w:type="pct"/>
            <w:vAlign w:val="center"/>
          </w:tcPr>
          <w:p w14:paraId="2780BCC1"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1,13</w:t>
            </w:r>
          </w:p>
        </w:tc>
      </w:tr>
      <w:tr w:rsidR="000B0C76" w:rsidRPr="00E6223E" w14:paraId="47D1B144" w14:textId="77777777" w:rsidTr="00E6223E">
        <w:trPr>
          <w:jc w:val="center"/>
        </w:trPr>
        <w:tc>
          <w:tcPr>
            <w:tcW w:w="614" w:type="pct"/>
            <w:vAlign w:val="center"/>
          </w:tcPr>
          <w:p w14:paraId="7DFA60A4"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color w:val="000000"/>
              </w:rPr>
              <w:t>01.01.2019 по 30.06.2019</w:t>
            </w:r>
          </w:p>
        </w:tc>
        <w:tc>
          <w:tcPr>
            <w:tcW w:w="539" w:type="pct"/>
            <w:vAlign w:val="center"/>
          </w:tcPr>
          <w:p w14:paraId="095A5C1B"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1,04</w:t>
            </w:r>
          </w:p>
        </w:tc>
        <w:tc>
          <w:tcPr>
            <w:tcW w:w="846" w:type="pct"/>
            <w:vAlign w:val="center"/>
          </w:tcPr>
          <w:p w14:paraId="6A8C3A45"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0,99</w:t>
            </w:r>
          </w:p>
        </w:tc>
        <w:tc>
          <w:tcPr>
            <w:tcW w:w="846" w:type="pct"/>
            <w:vAlign w:val="center"/>
          </w:tcPr>
          <w:p w14:paraId="20A44754"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1,28</w:t>
            </w:r>
          </w:p>
        </w:tc>
        <w:tc>
          <w:tcPr>
            <w:tcW w:w="355" w:type="pct"/>
            <w:vAlign w:val="center"/>
          </w:tcPr>
          <w:p w14:paraId="59512852"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1,17</w:t>
            </w:r>
          </w:p>
        </w:tc>
        <w:tc>
          <w:tcPr>
            <w:tcW w:w="338" w:type="pct"/>
            <w:vAlign w:val="center"/>
          </w:tcPr>
          <w:p w14:paraId="1984C495"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1,15</w:t>
            </w:r>
          </w:p>
        </w:tc>
        <w:tc>
          <w:tcPr>
            <w:tcW w:w="539" w:type="pct"/>
            <w:vAlign w:val="center"/>
          </w:tcPr>
          <w:p w14:paraId="15764619" w14:textId="77777777" w:rsidR="000B0C76" w:rsidRPr="00E6223E" w:rsidRDefault="000B0C76" w:rsidP="00E6223E">
            <w:pPr>
              <w:jc w:val="center"/>
              <w:rPr>
                <w:rFonts w:ascii="Times New Roman" w:hAnsi="Times New Roman" w:cs="Times New Roman"/>
                <w:b/>
              </w:rPr>
            </w:pPr>
            <w:r w:rsidRPr="00E6223E">
              <w:rPr>
                <w:rFonts w:ascii="Times New Roman" w:hAnsi="Times New Roman" w:cs="Times New Roman"/>
                <w:b/>
              </w:rPr>
              <w:t>1,12</w:t>
            </w:r>
          </w:p>
        </w:tc>
        <w:tc>
          <w:tcPr>
            <w:tcW w:w="923" w:type="pct"/>
            <w:vAlign w:val="center"/>
          </w:tcPr>
          <w:p w14:paraId="756BE8DF"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1,13</w:t>
            </w:r>
          </w:p>
        </w:tc>
      </w:tr>
      <w:tr w:rsidR="000B0C76" w:rsidRPr="00E6223E" w14:paraId="1ED44EB5" w14:textId="77777777" w:rsidTr="00E6223E">
        <w:trPr>
          <w:jc w:val="center"/>
        </w:trPr>
        <w:tc>
          <w:tcPr>
            <w:tcW w:w="614" w:type="pct"/>
            <w:vAlign w:val="center"/>
          </w:tcPr>
          <w:p w14:paraId="528A5A17"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color w:val="000000"/>
              </w:rPr>
              <w:t>01.07.2019 по 31.12.2019</w:t>
            </w:r>
          </w:p>
        </w:tc>
        <w:tc>
          <w:tcPr>
            <w:tcW w:w="539" w:type="pct"/>
            <w:vAlign w:val="center"/>
          </w:tcPr>
          <w:p w14:paraId="20AEFCC6"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1,03</w:t>
            </w:r>
          </w:p>
        </w:tc>
        <w:tc>
          <w:tcPr>
            <w:tcW w:w="846" w:type="pct"/>
            <w:vAlign w:val="center"/>
          </w:tcPr>
          <w:p w14:paraId="7423F84A"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0,97</w:t>
            </w:r>
          </w:p>
        </w:tc>
        <w:tc>
          <w:tcPr>
            <w:tcW w:w="846" w:type="pct"/>
            <w:vAlign w:val="center"/>
          </w:tcPr>
          <w:p w14:paraId="22F93036"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1,24</w:t>
            </w:r>
          </w:p>
        </w:tc>
        <w:tc>
          <w:tcPr>
            <w:tcW w:w="355" w:type="pct"/>
            <w:vAlign w:val="center"/>
          </w:tcPr>
          <w:p w14:paraId="4CBB4EE0"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1,15</w:t>
            </w:r>
          </w:p>
        </w:tc>
        <w:tc>
          <w:tcPr>
            <w:tcW w:w="338" w:type="pct"/>
            <w:vAlign w:val="center"/>
          </w:tcPr>
          <w:p w14:paraId="48CDB740"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1,13</w:t>
            </w:r>
          </w:p>
        </w:tc>
        <w:tc>
          <w:tcPr>
            <w:tcW w:w="539" w:type="pct"/>
            <w:vAlign w:val="center"/>
          </w:tcPr>
          <w:p w14:paraId="16FBDDDB" w14:textId="77777777" w:rsidR="000B0C76" w:rsidRPr="00E6223E" w:rsidRDefault="000B0C76" w:rsidP="00E6223E">
            <w:pPr>
              <w:jc w:val="center"/>
              <w:rPr>
                <w:rFonts w:ascii="Times New Roman" w:hAnsi="Times New Roman" w:cs="Times New Roman"/>
                <w:b/>
              </w:rPr>
            </w:pPr>
            <w:r w:rsidRPr="00E6223E">
              <w:rPr>
                <w:rFonts w:ascii="Times New Roman" w:hAnsi="Times New Roman" w:cs="Times New Roman"/>
                <w:b/>
              </w:rPr>
              <w:t>1,08</w:t>
            </w:r>
          </w:p>
        </w:tc>
        <w:tc>
          <w:tcPr>
            <w:tcW w:w="923" w:type="pct"/>
            <w:vAlign w:val="center"/>
          </w:tcPr>
          <w:p w14:paraId="577AD899"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1,10</w:t>
            </w:r>
          </w:p>
        </w:tc>
      </w:tr>
      <w:tr w:rsidR="000B0C76" w:rsidRPr="00E6223E" w14:paraId="197AC74A" w14:textId="77777777" w:rsidTr="00E6223E">
        <w:trPr>
          <w:jc w:val="center"/>
        </w:trPr>
        <w:tc>
          <w:tcPr>
            <w:tcW w:w="614" w:type="pct"/>
            <w:vAlign w:val="center"/>
          </w:tcPr>
          <w:p w14:paraId="51DC4986"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color w:val="000000"/>
              </w:rPr>
              <w:t>01.01.2020 по 30.06.2020</w:t>
            </w:r>
          </w:p>
        </w:tc>
        <w:tc>
          <w:tcPr>
            <w:tcW w:w="539" w:type="pct"/>
            <w:vAlign w:val="center"/>
          </w:tcPr>
          <w:p w14:paraId="0AFD765F"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1,01</w:t>
            </w:r>
          </w:p>
        </w:tc>
        <w:tc>
          <w:tcPr>
            <w:tcW w:w="846" w:type="pct"/>
            <w:vAlign w:val="center"/>
          </w:tcPr>
          <w:p w14:paraId="38B2C213"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0,95</w:t>
            </w:r>
          </w:p>
        </w:tc>
        <w:tc>
          <w:tcPr>
            <w:tcW w:w="846" w:type="pct"/>
            <w:vAlign w:val="center"/>
          </w:tcPr>
          <w:p w14:paraId="3CCC2925"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1,19</w:t>
            </w:r>
          </w:p>
        </w:tc>
        <w:tc>
          <w:tcPr>
            <w:tcW w:w="355" w:type="pct"/>
            <w:vAlign w:val="center"/>
          </w:tcPr>
          <w:p w14:paraId="7F534CE6"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1,14</w:t>
            </w:r>
          </w:p>
        </w:tc>
        <w:tc>
          <w:tcPr>
            <w:tcW w:w="338" w:type="pct"/>
            <w:vAlign w:val="center"/>
          </w:tcPr>
          <w:p w14:paraId="39BA194D"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1,10</w:t>
            </w:r>
          </w:p>
        </w:tc>
        <w:tc>
          <w:tcPr>
            <w:tcW w:w="539" w:type="pct"/>
            <w:vAlign w:val="center"/>
          </w:tcPr>
          <w:p w14:paraId="336981A8" w14:textId="77777777" w:rsidR="000B0C76" w:rsidRPr="00E6223E" w:rsidRDefault="000B0C76" w:rsidP="00E6223E">
            <w:pPr>
              <w:jc w:val="center"/>
              <w:rPr>
                <w:rFonts w:ascii="Times New Roman" w:hAnsi="Times New Roman" w:cs="Times New Roman"/>
                <w:b/>
              </w:rPr>
            </w:pPr>
            <w:r w:rsidRPr="00E6223E">
              <w:rPr>
                <w:rFonts w:ascii="Times New Roman" w:hAnsi="Times New Roman" w:cs="Times New Roman"/>
                <w:b/>
              </w:rPr>
              <w:t>1,05</w:t>
            </w:r>
          </w:p>
        </w:tc>
        <w:tc>
          <w:tcPr>
            <w:tcW w:w="923" w:type="pct"/>
            <w:vAlign w:val="center"/>
          </w:tcPr>
          <w:p w14:paraId="719FC5F9"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1,08</w:t>
            </w:r>
          </w:p>
        </w:tc>
      </w:tr>
      <w:tr w:rsidR="000B0C76" w:rsidRPr="00E6223E" w14:paraId="4DD14E4D" w14:textId="77777777" w:rsidTr="00E6223E">
        <w:trPr>
          <w:jc w:val="center"/>
        </w:trPr>
        <w:tc>
          <w:tcPr>
            <w:tcW w:w="614" w:type="pct"/>
            <w:vAlign w:val="center"/>
          </w:tcPr>
          <w:p w14:paraId="163C0FAB"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color w:val="000000"/>
              </w:rPr>
              <w:t>01.07.2020 по 31.12.2020</w:t>
            </w:r>
          </w:p>
        </w:tc>
        <w:tc>
          <w:tcPr>
            <w:tcW w:w="539" w:type="pct"/>
            <w:vAlign w:val="center"/>
          </w:tcPr>
          <w:p w14:paraId="1931C5ED"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1,05</w:t>
            </w:r>
          </w:p>
        </w:tc>
        <w:tc>
          <w:tcPr>
            <w:tcW w:w="846" w:type="pct"/>
            <w:vAlign w:val="center"/>
          </w:tcPr>
          <w:p w14:paraId="2582CE6B"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0,98</w:t>
            </w:r>
          </w:p>
        </w:tc>
        <w:tc>
          <w:tcPr>
            <w:tcW w:w="846" w:type="pct"/>
            <w:vAlign w:val="center"/>
          </w:tcPr>
          <w:p w14:paraId="2635B6FD"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1,17</w:t>
            </w:r>
          </w:p>
        </w:tc>
        <w:tc>
          <w:tcPr>
            <w:tcW w:w="355" w:type="pct"/>
            <w:vAlign w:val="center"/>
          </w:tcPr>
          <w:p w14:paraId="75B9D2C3"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1,11</w:t>
            </w:r>
          </w:p>
        </w:tc>
        <w:tc>
          <w:tcPr>
            <w:tcW w:w="338" w:type="pct"/>
            <w:vAlign w:val="center"/>
          </w:tcPr>
          <w:p w14:paraId="74D76E49"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1,09</w:t>
            </w:r>
          </w:p>
        </w:tc>
        <w:tc>
          <w:tcPr>
            <w:tcW w:w="539" w:type="pct"/>
            <w:vAlign w:val="center"/>
          </w:tcPr>
          <w:p w14:paraId="07AED2A5" w14:textId="77777777" w:rsidR="000B0C76" w:rsidRPr="00E6223E" w:rsidRDefault="000B0C76" w:rsidP="00E6223E">
            <w:pPr>
              <w:jc w:val="center"/>
              <w:rPr>
                <w:rFonts w:ascii="Times New Roman" w:hAnsi="Times New Roman" w:cs="Times New Roman"/>
                <w:b/>
              </w:rPr>
            </w:pPr>
            <w:r w:rsidRPr="00E6223E">
              <w:rPr>
                <w:rFonts w:ascii="Times New Roman" w:hAnsi="Times New Roman" w:cs="Times New Roman"/>
                <w:b/>
              </w:rPr>
              <w:t>1,03</w:t>
            </w:r>
          </w:p>
        </w:tc>
        <w:tc>
          <w:tcPr>
            <w:tcW w:w="923" w:type="pct"/>
            <w:vAlign w:val="center"/>
          </w:tcPr>
          <w:p w14:paraId="58D3BB9D"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1,07</w:t>
            </w:r>
          </w:p>
        </w:tc>
      </w:tr>
      <w:tr w:rsidR="000B0C76" w:rsidRPr="00E6223E" w14:paraId="47993DCE" w14:textId="77777777" w:rsidTr="00E6223E">
        <w:trPr>
          <w:jc w:val="center"/>
        </w:trPr>
        <w:tc>
          <w:tcPr>
            <w:tcW w:w="614" w:type="pct"/>
            <w:vAlign w:val="center"/>
          </w:tcPr>
          <w:p w14:paraId="71B5B8C3"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color w:val="000000"/>
              </w:rPr>
              <w:t>01.01.2021 по 30.06.2021</w:t>
            </w:r>
          </w:p>
        </w:tc>
        <w:tc>
          <w:tcPr>
            <w:tcW w:w="539" w:type="pct"/>
            <w:vAlign w:val="center"/>
          </w:tcPr>
          <w:p w14:paraId="637DF40B"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1,04</w:t>
            </w:r>
          </w:p>
        </w:tc>
        <w:tc>
          <w:tcPr>
            <w:tcW w:w="846" w:type="pct"/>
            <w:vAlign w:val="center"/>
          </w:tcPr>
          <w:p w14:paraId="720836B7"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0,98</w:t>
            </w:r>
          </w:p>
        </w:tc>
        <w:tc>
          <w:tcPr>
            <w:tcW w:w="846" w:type="pct"/>
            <w:vAlign w:val="center"/>
          </w:tcPr>
          <w:p w14:paraId="4027F9D3"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1,07</w:t>
            </w:r>
          </w:p>
        </w:tc>
        <w:tc>
          <w:tcPr>
            <w:tcW w:w="355" w:type="pct"/>
            <w:vAlign w:val="center"/>
          </w:tcPr>
          <w:p w14:paraId="58A7EA7E"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1,06</w:t>
            </w:r>
          </w:p>
        </w:tc>
        <w:tc>
          <w:tcPr>
            <w:tcW w:w="338" w:type="pct"/>
            <w:vAlign w:val="center"/>
          </w:tcPr>
          <w:p w14:paraId="3CDBD19E"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1,04</w:t>
            </w:r>
          </w:p>
        </w:tc>
        <w:tc>
          <w:tcPr>
            <w:tcW w:w="539" w:type="pct"/>
            <w:vAlign w:val="center"/>
          </w:tcPr>
          <w:p w14:paraId="58057F2D" w14:textId="77777777" w:rsidR="000B0C76" w:rsidRPr="00E6223E" w:rsidRDefault="000B0C76" w:rsidP="00E6223E">
            <w:pPr>
              <w:jc w:val="center"/>
              <w:rPr>
                <w:rFonts w:ascii="Times New Roman" w:hAnsi="Times New Roman" w:cs="Times New Roman"/>
                <w:b/>
              </w:rPr>
            </w:pPr>
            <w:r w:rsidRPr="00E6223E">
              <w:rPr>
                <w:rFonts w:ascii="Times New Roman" w:hAnsi="Times New Roman" w:cs="Times New Roman"/>
                <w:b/>
              </w:rPr>
              <w:t>1,01</w:t>
            </w:r>
          </w:p>
        </w:tc>
        <w:tc>
          <w:tcPr>
            <w:tcW w:w="923" w:type="pct"/>
            <w:vAlign w:val="center"/>
          </w:tcPr>
          <w:p w14:paraId="65ECC6F3"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1,02</w:t>
            </w:r>
          </w:p>
        </w:tc>
      </w:tr>
      <w:tr w:rsidR="000B0C76" w:rsidRPr="00E6223E" w14:paraId="4DAEA161" w14:textId="77777777" w:rsidTr="00E6223E">
        <w:trPr>
          <w:jc w:val="center"/>
        </w:trPr>
        <w:tc>
          <w:tcPr>
            <w:tcW w:w="614" w:type="pct"/>
            <w:vAlign w:val="center"/>
          </w:tcPr>
          <w:p w14:paraId="5CE4E665"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color w:val="000000"/>
              </w:rPr>
              <w:t>01.07.2021 по 31.12.2021</w:t>
            </w:r>
          </w:p>
        </w:tc>
        <w:tc>
          <w:tcPr>
            <w:tcW w:w="539" w:type="pct"/>
            <w:vAlign w:val="center"/>
          </w:tcPr>
          <w:p w14:paraId="5467935F"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1,02</w:t>
            </w:r>
          </w:p>
        </w:tc>
        <w:tc>
          <w:tcPr>
            <w:tcW w:w="846" w:type="pct"/>
            <w:vAlign w:val="center"/>
          </w:tcPr>
          <w:p w14:paraId="248D85D2"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0,98</w:t>
            </w:r>
          </w:p>
        </w:tc>
        <w:tc>
          <w:tcPr>
            <w:tcW w:w="846" w:type="pct"/>
            <w:vAlign w:val="center"/>
          </w:tcPr>
          <w:p w14:paraId="645388C0"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1,03</w:t>
            </w:r>
          </w:p>
        </w:tc>
        <w:tc>
          <w:tcPr>
            <w:tcW w:w="355" w:type="pct"/>
            <w:vAlign w:val="center"/>
          </w:tcPr>
          <w:p w14:paraId="73B2282E"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1,04</w:t>
            </w:r>
          </w:p>
        </w:tc>
        <w:tc>
          <w:tcPr>
            <w:tcW w:w="338" w:type="pct"/>
            <w:vAlign w:val="center"/>
          </w:tcPr>
          <w:p w14:paraId="14BC6546"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1,01</w:t>
            </w:r>
          </w:p>
        </w:tc>
        <w:tc>
          <w:tcPr>
            <w:tcW w:w="539" w:type="pct"/>
            <w:vAlign w:val="center"/>
          </w:tcPr>
          <w:p w14:paraId="1A85EBF3" w14:textId="77777777" w:rsidR="000B0C76" w:rsidRPr="00E6223E" w:rsidRDefault="000B0C76" w:rsidP="00E6223E">
            <w:pPr>
              <w:jc w:val="center"/>
              <w:rPr>
                <w:rFonts w:ascii="Times New Roman" w:hAnsi="Times New Roman" w:cs="Times New Roman"/>
                <w:b/>
              </w:rPr>
            </w:pPr>
            <w:r w:rsidRPr="00E6223E">
              <w:rPr>
                <w:rFonts w:ascii="Times New Roman" w:hAnsi="Times New Roman" w:cs="Times New Roman"/>
                <w:b/>
              </w:rPr>
              <w:t>1,01</w:t>
            </w:r>
          </w:p>
        </w:tc>
        <w:tc>
          <w:tcPr>
            <w:tcW w:w="923" w:type="pct"/>
            <w:vAlign w:val="center"/>
          </w:tcPr>
          <w:p w14:paraId="1EB981A0" w14:textId="77777777" w:rsidR="000B0C76" w:rsidRPr="00E6223E" w:rsidRDefault="000B0C76" w:rsidP="00E6223E">
            <w:pPr>
              <w:jc w:val="center"/>
              <w:rPr>
                <w:rFonts w:ascii="Times New Roman" w:hAnsi="Times New Roman" w:cs="Times New Roman"/>
              </w:rPr>
            </w:pPr>
            <w:r w:rsidRPr="00E6223E">
              <w:rPr>
                <w:rFonts w:ascii="Times New Roman" w:hAnsi="Times New Roman" w:cs="Times New Roman"/>
              </w:rPr>
              <w:t>1,01</w:t>
            </w:r>
          </w:p>
        </w:tc>
      </w:tr>
    </w:tbl>
    <w:p w14:paraId="3F71E04D" w14:textId="77777777" w:rsidR="000B0C76" w:rsidRPr="00BE7AFF" w:rsidRDefault="000B0C76" w:rsidP="000B0C76">
      <w:pPr>
        <w:spacing w:before="120" w:after="0" w:line="276" w:lineRule="auto"/>
        <w:jc w:val="center"/>
        <w:rPr>
          <w:rFonts w:ascii="Times New Roman" w:hAnsi="Times New Roman" w:cs="Times New Roman"/>
          <w:i/>
          <w:sz w:val="26"/>
          <w:szCs w:val="26"/>
        </w:rPr>
      </w:pPr>
      <w:r w:rsidRPr="00BE7AFF">
        <w:rPr>
          <w:rFonts w:ascii="Times New Roman" w:hAnsi="Times New Roman" w:cs="Times New Roman"/>
          <w:i/>
          <w:sz w:val="26"/>
          <w:szCs w:val="26"/>
        </w:rPr>
        <w:t>Корректировка на право</w:t>
      </w:r>
    </w:p>
    <w:p w14:paraId="0EB6D08E" w14:textId="77777777" w:rsidR="000B0C76" w:rsidRDefault="000B0C76" w:rsidP="000B0C76">
      <w:pPr>
        <w:spacing w:after="0" w:line="300" w:lineRule="auto"/>
        <w:ind w:firstLine="567"/>
        <w:jc w:val="both"/>
        <w:rPr>
          <w:rFonts w:ascii="Times New Roman" w:hAnsi="Times New Roman" w:cs="Times New Roman"/>
          <w:sz w:val="26"/>
          <w:szCs w:val="26"/>
          <w:u w:val="single"/>
        </w:rPr>
      </w:pPr>
      <w:r>
        <w:rPr>
          <w:rFonts w:ascii="Times New Roman" w:hAnsi="Times New Roman" w:cs="Times New Roman"/>
          <w:sz w:val="26"/>
          <w:szCs w:val="26"/>
        </w:rPr>
        <w:t xml:space="preserve">В случае, если продается земельный участок, предоставленный в аренду, необходимо вносить корректировку на вид права. </w:t>
      </w:r>
      <w:r>
        <w:rPr>
          <w:rFonts w:ascii="Times New Roman" w:eastAsia="Calibri" w:hAnsi="Times New Roman" w:cs="Times New Roman"/>
          <w:sz w:val="26"/>
          <w:szCs w:val="26"/>
        </w:rPr>
        <w:t>Величина корректировки на право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106" w:history="1">
        <w:r w:rsidRPr="00BE7AFF">
          <w:rPr>
            <w:rStyle w:val="ad"/>
            <w:rFonts w:cs="Times New Roman"/>
            <w:szCs w:val="26"/>
          </w:rPr>
          <w:t>https://statrielt.ru/</w:t>
        </w:r>
      </w:hyperlink>
      <w:r w:rsidRPr="00BE7AFF">
        <w:rPr>
          <w:rFonts w:ascii="Times New Roman" w:hAnsi="Times New Roman" w:cs="Times New Roman"/>
          <w:sz w:val="26"/>
          <w:szCs w:val="26"/>
        </w:rPr>
        <w:t>).</w:t>
      </w:r>
    </w:p>
    <w:p w14:paraId="166B7E40" w14:textId="77777777" w:rsidR="000B0C76" w:rsidRDefault="000B0C76" w:rsidP="000B0C76">
      <w:pPr>
        <w:jc w:val="center"/>
      </w:pPr>
      <w:r w:rsidRPr="00A2009E">
        <w:rPr>
          <w:noProof/>
          <w:lang w:eastAsia="ru-RU"/>
        </w:rPr>
        <w:drawing>
          <wp:inline distT="0" distB="0" distL="0" distR="0" wp14:anchorId="021FDB4E" wp14:editId="1B2CE2A1">
            <wp:extent cx="5940425" cy="4081780"/>
            <wp:effectExtent l="0" t="0" r="3175"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4081780"/>
                    </a:xfrm>
                    <a:prstGeom prst="rect">
                      <a:avLst/>
                    </a:prstGeom>
                  </pic:spPr>
                </pic:pic>
              </a:graphicData>
            </a:graphic>
          </wp:inline>
        </w:drawing>
      </w:r>
    </w:p>
    <w:p w14:paraId="34D72C9A" w14:textId="46F278E4" w:rsidR="000B0C76" w:rsidRPr="00D05389" w:rsidRDefault="000B0C76" w:rsidP="000B0C76">
      <w:pPr>
        <w:spacing w:after="0" w:line="30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Рис.3.2.3- Корректировка на право аренды земельного участка по отношению к собственному земельному участку на 01.01.2022 года по данным некоммерческой организации «Ассоциация развития рынка недвижимости «СтатРиелт»</w:t>
      </w:r>
      <w:r>
        <w:rPr>
          <w:rStyle w:val="af2"/>
          <w:rFonts w:ascii="Times New Roman" w:eastAsia="Calibri" w:hAnsi="Times New Roman" w:cs="Times New Roman"/>
          <w:sz w:val="26"/>
          <w:szCs w:val="26"/>
        </w:rPr>
        <w:footnoteReference w:id="107"/>
      </w:r>
      <w:r>
        <w:rPr>
          <w:rFonts w:ascii="Times New Roman" w:eastAsia="Calibri" w:hAnsi="Times New Roman" w:cs="Times New Roman"/>
          <w:sz w:val="26"/>
          <w:szCs w:val="26"/>
        </w:rPr>
        <w:t xml:space="preserve"> </w:t>
      </w:r>
    </w:p>
    <w:p w14:paraId="3DD6D122" w14:textId="77777777" w:rsidR="000B0C76" w:rsidRDefault="000B0C76" w:rsidP="000B0C76">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Так как данные коэффициенты выражают отношения удельных цен предложений земельных участков, находящихся на праве аренды, к удельным ценам предложений земельных участков, находящихся на праве собственности, применяются обратные корректировки, т.е.  при расчете удельного показателя рыночной стоимости необходимо делить на корректировку на право.</w:t>
      </w:r>
    </w:p>
    <w:p w14:paraId="7521E03D" w14:textId="77777777" w:rsidR="000B0C76" w:rsidRPr="00227435" w:rsidRDefault="000B0C76" w:rsidP="000B0C76">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Согласно данным «СтатРиелт», размер корректировки на право аренды земельного участка, предоставленного сроком на 49 лет, по отношению к собственному земельному участку, для земельных участков сельскохозяйственного назначения лежит в доверительном интервале от 0,56 до 0,88 и в среднем составляет </w:t>
      </w:r>
      <w:r w:rsidRPr="00D05389">
        <w:rPr>
          <w:rFonts w:ascii="Times New Roman" w:eastAsia="Calibri" w:hAnsi="Times New Roman" w:cs="Times New Roman"/>
          <w:b/>
          <w:sz w:val="26"/>
          <w:szCs w:val="26"/>
        </w:rPr>
        <w:t>0,7</w:t>
      </w:r>
      <w:r>
        <w:rPr>
          <w:rFonts w:ascii="Times New Roman" w:eastAsia="Calibri" w:hAnsi="Times New Roman" w:cs="Times New Roman"/>
          <w:b/>
          <w:sz w:val="26"/>
          <w:szCs w:val="26"/>
        </w:rPr>
        <w:t>3</w:t>
      </w:r>
      <w:r>
        <w:rPr>
          <w:rFonts w:ascii="Times New Roman" w:eastAsia="Calibri" w:hAnsi="Times New Roman" w:cs="Times New Roman"/>
          <w:sz w:val="26"/>
          <w:szCs w:val="26"/>
        </w:rPr>
        <w:t xml:space="preserve"> (данные на 01.01.2022 года). Для целей оценки принято среднее значение диапазона. В случае, если земельный участок предоставлен в аренду на срок до 20 лет, то необходимо использовать поправку на срок аренды к корректировке на срок аренды на 49 лет. Таким образом корректировка равна: 0,73х0,83=</w:t>
      </w:r>
      <w:r w:rsidRPr="008C322D">
        <w:rPr>
          <w:rFonts w:ascii="Times New Roman" w:eastAsia="Calibri" w:hAnsi="Times New Roman" w:cs="Times New Roman"/>
          <w:b/>
          <w:sz w:val="26"/>
          <w:szCs w:val="26"/>
        </w:rPr>
        <w:t>0,6</w:t>
      </w:r>
      <w:r>
        <w:rPr>
          <w:rFonts w:ascii="Times New Roman" w:eastAsia="Calibri" w:hAnsi="Times New Roman" w:cs="Times New Roman"/>
          <w:b/>
          <w:sz w:val="26"/>
          <w:szCs w:val="26"/>
        </w:rPr>
        <w:t>1</w:t>
      </w:r>
      <w:r>
        <w:rPr>
          <w:rFonts w:ascii="Times New Roman" w:eastAsia="Calibri" w:hAnsi="Times New Roman" w:cs="Times New Roman"/>
          <w:sz w:val="26"/>
          <w:szCs w:val="26"/>
        </w:rPr>
        <w:t>.</w:t>
      </w:r>
    </w:p>
    <w:p w14:paraId="3394ABC3" w14:textId="1BB8C155" w:rsidR="000B0C76" w:rsidRDefault="000B0C76" w:rsidP="000B0C76">
      <w:pPr>
        <w:spacing w:before="120" w:after="0" w:line="276" w:lineRule="auto"/>
        <w:jc w:val="center"/>
        <w:rPr>
          <w:rFonts w:ascii="Times New Roman" w:hAnsi="Times New Roman" w:cs="Times New Roman"/>
          <w:i/>
          <w:sz w:val="26"/>
          <w:szCs w:val="26"/>
        </w:rPr>
      </w:pPr>
    </w:p>
    <w:p w14:paraId="19DDA46F" w14:textId="77777777" w:rsidR="001A34D6" w:rsidRDefault="001A34D6" w:rsidP="000B0C76">
      <w:pPr>
        <w:spacing w:before="120" w:after="0" w:line="276" w:lineRule="auto"/>
        <w:jc w:val="center"/>
        <w:rPr>
          <w:rFonts w:ascii="Times New Roman" w:hAnsi="Times New Roman" w:cs="Times New Roman"/>
          <w:i/>
          <w:sz w:val="26"/>
          <w:szCs w:val="26"/>
        </w:rPr>
      </w:pPr>
    </w:p>
    <w:p w14:paraId="2FA46AAA" w14:textId="5F149493" w:rsidR="000B0C76" w:rsidRPr="00BE7AFF" w:rsidRDefault="000B0C76" w:rsidP="000B0C76">
      <w:pPr>
        <w:spacing w:before="120" w:after="0" w:line="276" w:lineRule="auto"/>
        <w:jc w:val="center"/>
        <w:rPr>
          <w:rFonts w:ascii="Times New Roman" w:hAnsi="Times New Roman" w:cs="Times New Roman"/>
          <w:i/>
          <w:sz w:val="26"/>
          <w:szCs w:val="26"/>
        </w:rPr>
      </w:pPr>
      <w:r w:rsidRPr="00BE7AFF">
        <w:rPr>
          <w:rFonts w:ascii="Times New Roman" w:hAnsi="Times New Roman" w:cs="Times New Roman"/>
          <w:i/>
          <w:sz w:val="26"/>
          <w:szCs w:val="26"/>
        </w:rPr>
        <w:t>Доля ЗУ</w:t>
      </w:r>
    </w:p>
    <w:p w14:paraId="519CC1D1" w14:textId="77777777" w:rsidR="000B0C76" w:rsidRPr="00D94DF7" w:rsidRDefault="000B0C76" w:rsidP="000B0C76">
      <w:pPr>
        <w:spacing w:after="0" w:line="300" w:lineRule="auto"/>
        <w:ind w:firstLine="567"/>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Если в качестве объекта-аналога принято предложение (сделка) по продаже застроенного земельного участка, необходимо определить долю стоимости земельного участка в стоимости единого объекта недвижимости. В таком случае доля стоимости земельного участка для 1 сегмента принята на основании приложения №7 к Указаниям, где для прочих объектов рекомендовано 20% (принимаем корректировку </w:t>
      </w:r>
      <w:r w:rsidRPr="00227435">
        <w:rPr>
          <w:rFonts w:ascii="Times New Roman" w:eastAsia="Calibri" w:hAnsi="Times New Roman" w:cs="Times New Roman"/>
          <w:b/>
          <w:sz w:val="26"/>
          <w:szCs w:val="26"/>
        </w:rPr>
        <w:t>0,2</w:t>
      </w:r>
      <w:r>
        <w:rPr>
          <w:rFonts w:ascii="Times New Roman" w:eastAsia="Calibri" w:hAnsi="Times New Roman" w:cs="Times New Roman"/>
          <w:sz w:val="26"/>
          <w:szCs w:val="26"/>
        </w:rPr>
        <w:t>).</w:t>
      </w:r>
    </w:p>
    <w:p w14:paraId="05C44266" w14:textId="77777777" w:rsidR="000B0C76" w:rsidRDefault="000B0C76" w:rsidP="000B0C76">
      <w:pPr>
        <w:spacing w:after="0" w:line="300"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В таблице ниже приведено распределение рыночной информации и значения удельных показателей рыночной стоимости земельных участков сегмента </w:t>
      </w:r>
      <w:r>
        <w:rPr>
          <w:rFonts w:ascii="Times New Roman" w:hAnsi="Times New Roman" w:cs="Times New Roman"/>
          <w:sz w:val="26"/>
          <w:szCs w:val="26"/>
        </w:rPr>
        <w:t>1 «Сельскохозяйственное использование»</w:t>
      </w:r>
    </w:p>
    <w:p w14:paraId="553403DE" w14:textId="77777777" w:rsidR="000B0C76" w:rsidRDefault="000B0C76" w:rsidP="000B0C76">
      <w:pPr>
        <w:spacing w:after="0" w:line="300" w:lineRule="auto"/>
        <w:ind w:firstLine="567"/>
        <w:jc w:val="right"/>
        <w:rPr>
          <w:rFonts w:ascii="Times New Roman" w:hAnsi="Times New Roman" w:cs="Times New Roman"/>
          <w:sz w:val="26"/>
          <w:szCs w:val="26"/>
        </w:rPr>
      </w:pPr>
      <w:r>
        <w:rPr>
          <w:rFonts w:ascii="Times New Roman" w:hAnsi="Times New Roman" w:cs="Times New Roman"/>
          <w:sz w:val="26"/>
          <w:szCs w:val="26"/>
        </w:rPr>
        <w:t>Таблица 3.2.2</w:t>
      </w:r>
    </w:p>
    <w:p w14:paraId="47853A0F" w14:textId="77777777" w:rsidR="000B0C76" w:rsidRPr="00F562A8" w:rsidRDefault="000B0C76" w:rsidP="000B0C76">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Распределение рыночной информации и значения удельных показателей рыночной стоимости земельных участков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527"/>
        <w:gridCol w:w="1826"/>
        <w:gridCol w:w="2186"/>
        <w:gridCol w:w="709"/>
      </w:tblGrid>
      <w:tr w:rsidR="000B0C76" w:rsidRPr="00E6223E" w14:paraId="7CE7A82B" w14:textId="77777777" w:rsidTr="000B0C76">
        <w:trPr>
          <w:trHeight w:val="825"/>
        </w:trPr>
        <w:tc>
          <w:tcPr>
            <w:tcW w:w="2103" w:type="dxa"/>
            <w:shd w:val="clear" w:color="auto" w:fill="auto"/>
            <w:noWrap/>
            <w:vAlign w:val="center"/>
            <w:hideMark/>
          </w:tcPr>
          <w:p w14:paraId="5D112631" w14:textId="77777777" w:rsidR="000B0C76" w:rsidRPr="00E6223E" w:rsidRDefault="000B0C76" w:rsidP="000B0C76">
            <w:pPr>
              <w:spacing w:after="0" w:line="240" w:lineRule="auto"/>
              <w:jc w:val="center"/>
              <w:rPr>
                <w:rFonts w:ascii="Times New Roman" w:eastAsia="Times New Roman" w:hAnsi="Times New Roman" w:cs="Times New Roman"/>
                <w:color w:val="000000"/>
                <w:lang w:eastAsia="ru-RU"/>
              </w:rPr>
            </w:pPr>
            <w:r w:rsidRPr="00E6223E">
              <w:rPr>
                <w:rFonts w:ascii="Times New Roman" w:eastAsia="Times New Roman" w:hAnsi="Times New Roman" w:cs="Times New Roman"/>
                <w:bCs/>
                <w:color w:val="000000"/>
                <w:lang w:eastAsia="ru-RU"/>
              </w:rPr>
              <w:t>Наименование района</w:t>
            </w:r>
          </w:p>
        </w:tc>
        <w:tc>
          <w:tcPr>
            <w:tcW w:w="2527" w:type="dxa"/>
            <w:shd w:val="clear" w:color="auto" w:fill="auto"/>
            <w:noWrap/>
            <w:vAlign w:val="center"/>
            <w:hideMark/>
          </w:tcPr>
          <w:p w14:paraId="75F31059" w14:textId="77777777" w:rsidR="000B0C76" w:rsidRPr="00E6223E" w:rsidRDefault="000B0C76" w:rsidP="000B0C76">
            <w:pPr>
              <w:spacing w:after="0" w:line="240" w:lineRule="auto"/>
              <w:jc w:val="center"/>
              <w:rPr>
                <w:rFonts w:ascii="Times New Roman" w:eastAsia="Times New Roman" w:hAnsi="Times New Roman" w:cs="Times New Roman"/>
                <w:color w:val="000000"/>
                <w:lang w:eastAsia="ru-RU"/>
              </w:rPr>
            </w:pPr>
            <w:r w:rsidRPr="00E6223E">
              <w:rPr>
                <w:rFonts w:ascii="Times New Roman" w:eastAsia="Times New Roman" w:hAnsi="Times New Roman" w:cs="Times New Roman"/>
                <w:bCs/>
                <w:color w:val="000000"/>
                <w:lang w:eastAsia="ru-RU"/>
              </w:rPr>
              <w:t>Минимальное значение УПРС, руб./кв.м</w:t>
            </w:r>
          </w:p>
        </w:tc>
        <w:tc>
          <w:tcPr>
            <w:tcW w:w="1826" w:type="dxa"/>
            <w:shd w:val="clear" w:color="auto" w:fill="auto"/>
            <w:noWrap/>
            <w:vAlign w:val="center"/>
            <w:hideMark/>
          </w:tcPr>
          <w:p w14:paraId="08C70B6A" w14:textId="77777777" w:rsidR="000B0C76" w:rsidRPr="00E6223E" w:rsidRDefault="000B0C76" w:rsidP="000B0C76">
            <w:pPr>
              <w:spacing w:after="0" w:line="240" w:lineRule="auto"/>
              <w:ind w:right="-259"/>
              <w:rPr>
                <w:rFonts w:ascii="Times New Roman" w:eastAsia="Times New Roman" w:hAnsi="Times New Roman" w:cs="Times New Roman"/>
                <w:color w:val="000000"/>
                <w:lang w:eastAsia="ru-RU"/>
              </w:rPr>
            </w:pPr>
            <w:r w:rsidRPr="00E6223E">
              <w:rPr>
                <w:rFonts w:ascii="Times New Roman" w:eastAsia="Times New Roman" w:hAnsi="Times New Roman" w:cs="Times New Roman"/>
                <w:bCs/>
                <w:color w:val="000000"/>
                <w:lang w:eastAsia="ru-RU"/>
              </w:rPr>
              <w:t>Среднее значение УПРС, руб./кв.м</w:t>
            </w:r>
          </w:p>
        </w:tc>
        <w:tc>
          <w:tcPr>
            <w:tcW w:w="2186" w:type="dxa"/>
            <w:shd w:val="clear" w:color="auto" w:fill="auto"/>
            <w:noWrap/>
            <w:vAlign w:val="center"/>
            <w:hideMark/>
          </w:tcPr>
          <w:p w14:paraId="570D9655" w14:textId="77777777" w:rsidR="000B0C76" w:rsidRPr="00E6223E" w:rsidRDefault="000B0C76" w:rsidP="000B0C76">
            <w:pPr>
              <w:spacing w:after="0" w:line="240" w:lineRule="auto"/>
              <w:jc w:val="center"/>
              <w:rPr>
                <w:rFonts w:ascii="Times New Roman" w:eastAsia="Times New Roman" w:hAnsi="Times New Roman" w:cs="Times New Roman"/>
                <w:color w:val="000000"/>
                <w:lang w:eastAsia="ru-RU"/>
              </w:rPr>
            </w:pPr>
            <w:r w:rsidRPr="00E6223E">
              <w:rPr>
                <w:rFonts w:ascii="Times New Roman" w:eastAsia="Times New Roman" w:hAnsi="Times New Roman" w:cs="Times New Roman"/>
                <w:bCs/>
                <w:color w:val="000000"/>
                <w:lang w:eastAsia="ru-RU"/>
              </w:rPr>
              <w:t>Максимальное значение УПРС, руб./кв.м</w:t>
            </w:r>
          </w:p>
        </w:tc>
        <w:tc>
          <w:tcPr>
            <w:tcW w:w="709" w:type="dxa"/>
            <w:vAlign w:val="center"/>
          </w:tcPr>
          <w:p w14:paraId="3F4D16E4" w14:textId="77777777" w:rsidR="000B0C76" w:rsidRPr="00E6223E" w:rsidRDefault="000B0C76" w:rsidP="000B0C76">
            <w:pPr>
              <w:spacing w:after="0" w:line="240" w:lineRule="auto"/>
              <w:jc w:val="center"/>
              <w:rPr>
                <w:rFonts w:ascii="Times New Roman" w:eastAsia="Times New Roman" w:hAnsi="Times New Roman" w:cs="Times New Roman"/>
                <w:bCs/>
                <w:color w:val="000000"/>
                <w:lang w:eastAsia="ru-RU"/>
              </w:rPr>
            </w:pPr>
            <w:r w:rsidRPr="00E6223E">
              <w:rPr>
                <w:rFonts w:ascii="Times New Roman" w:eastAsia="Times New Roman" w:hAnsi="Times New Roman" w:cs="Times New Roman"/>
                <w:bCs/>
                <w:color w:val="000000"/>
                <w:lang w:eastAsia="ru-RU"/>
              </w:rPr>
              <w:t>№</w:t>
            </w:r>
          </w:p>
          <w:p w14:paraId="0B7404C5" w14:textId="77777777" w:rsidR="000B0C76" w:rsidRPr="00E6223E" w:rsidRDefault="000B0C76" w:rsidP="000B0C76">
            <w:pPr>
              <w:spacing w:after="0" w:line="240" w:lineRule="auto"/>
              <w:jc w:val="center"/>
              <w:rPr>
                <w:rFonts w:ascii="Times New Roman" w:eastAsia="Times New Roman" w:hAnsi="Times New Roman" w:cs="Times New Roman"/>
                <w:bCs/>
                <w:color w:val="000000"/>
                <w:lang w:eastAsia="ru-RU"/>
              </w:rPr>
            </w:pPr>
            <w:r w:rsidRPr="00E6223E">
              <w:rPr>
                <w:rFonts w:ascii="Times New Roman" w:eastAsia="Times New Roman" w:hAnsi="Times New Roman" w:cs="Times New Roman"/>
                <w:bCs/>
                <w:color w:val="000000"/>
                <w:lang w:eastAsia="ru-RU"/>
              </w:rPr>
              <w:t>зоны</w:t>
            </w:r>
          </w:p>
        </w:tc>
      </w:tr>
      <w:tr w:rsidR="000B0C76" w:rsidRPr="00E6223E" w14:paraId="0C1EEBA7" w14:textId="77777777" w:rsidTr="000B0C76">
        <w:trPr>
          <w:trHeight w:val="300"/>
        </w:trPr>
        <w:tc>
          <w:tcPr>
            <w:tcW w:w="2103" w:type="dxa"/>
            <w:shd w:val="clear" w:color="auto" w:fill="auto"/>
            <w:noWrap/>
            <w:vAlign w:val="center"/>
          </w:tcPr>
          <w:p w14:paraId="5E2B7913"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г.о.г. Воронеж</w:t>
            </w:r>
          </w:p>
        </w:tc>
        <w:tc>
          <w:tcPr>
            <w:tcW w:w="2527" w:type="dxa"/>
            <w:shd w:val="clear" w:color="auto" w:fill="auto"/>
            <w:noWrap/>
            <w:vAlign w:val="center"/>
          </w:tcPr>
          <w:p w14:paraId="44D0A6B1"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7,57</w:t>
            </w:r>
          </w:p>
        </w:tc>
        <w:tc>
          <w:tcPr>
            <w:tcW w:w="1826" w:type="dxa"/>
            <w:shd w:val="clear" w:color="auto" w:fill="auto"/>
            <w:noWrap/>
            <w:vAlign w:val="center"/>
          </w:tcPr>
          <w:p w14:paraId="1397B782"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11,37</w:t>
            </w:r>
          </w:p>
        </w:tc>
        <w:tc>
          <w:tcPr>
            <w:tcW w:w="2186" w:type="dxa"/>
            <w:shd w:val="clear" w:color="auto" w:fill="auto"/>
            <w:noWrap/>
            <w:vAlign w:val="center"/>
          </w:tcPr>
          <w:p w14:paraId="3E67BC96"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13,79</w:t>
            </w:r>
          </w:p>
        </w:tc>
        <w:tc>
          <w:tcPr>
            <w:tcW w:w="709" w:type="dxa"/>
            <w:vAlign w:val="center"/>
          </w:tcPr>
          <w:p w14:paraId="2CBA8F79"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1</w:t>
            </w:r>
          </w:p>
        </w:tc>
      </w:tr>
      <w:tr w:rsidR="000B0C76" w:rsidRPr="00E6223E" w14:paraId="6B7293AE" w14:textId="77777777" w:rsidTr="000B0C76">
        <w:trPr>
          <w:trHeight w:val="300"/>
        </w:trPr>
        <w:tc>
          <w:tcPr>
            <w:tcW w:w="2103" w:type="dxa"/>
            <w:shd w:val="clear" w:color="auto" w:fill="auto"/>
            <w:noWrap/>
            <w:vAlign w:val="center"/>
            <w:hideMark/>
          </w:tcPr>
          <w:p w14:paraId="19431F37"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Верхнехавский</w:t>
            </w:r>
          </w:p>
        </w:tc>
        <w:tc>
          <w:tcPr>
            <w:tcW w:w="2527" w:type="dxa"/>
            <w:shd w:val="clear" w:color="auto" w:fill="auto"/>
            <w:noWrap/>
            <w:vAlign w:val="center"/>
            <w:hideMark/>
          </w:tcPr>
          <w:p w14:paraId="3F1147A3"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4,73</w:t>
            </w:r>
          </w:p>
        </w:tc>
        <w:tc>
          <w:tcPr>
            <w:tcW w:w="1826" w:type="dxa"/>
            <w:shd w:val="clear" w:color="auto" w:fill="auto"/>
            <w:noWrap/>
            <w:vAlign w:val="center"/>
            <w:hideMark/>
          </w:tcPr>
          <w:p w14:paraId="14F61D12"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8,12</w:t>
            </w:r>
          </w:p>
        </w:tc>
        <w:tc>
          <w:tcPr>
            <w:tcW w:w="2186" w:type="dxa"/>
            <w:shd w:val="clear" w:color="auto" w:fill="auto"/>
            <w:noWrap/>
            <w:vAlign w:val="center"/>
            <w:hideMark/>
          </w:tcPr>
          <w:p w14:paraId="40C601BF"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11,14</w:t>
            </w:r>
          </w:p>
        </w:tc>
        <w:tc>
          <w:tcPr>
            <w:tcW w:w="709" w:type="dxa"/>
            <w:vAlign w:val="center"/>
          </w:tcPr>
          <w:p w14:paraId="073DDDCC"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w:t>
            </w:r>
          </w:p>
        </w:tc>
      </w:tr>
      <w:tr w:rsidR="000B0C76" w:rsidRPr="00E6223E" w14:paraId="188F8E23" w14:textId="77777777" w:rsidTr="000B0C76">
        <w:trPr>
          <w:trHeight w:val="300"/>
        </w:trPr>
        <w:tc>
          <w:tcPr>
            <w:tcW w:w="2103" w:type="dxa"/>
            <w:shd w:val="clear" w:color="auto" w:fill="auto"/>
            <w:noWrap/>
            <w:vAlign w:val="center"/>
            <w:hideMark/>
          </w:tcPr>
          <w:p w14:paraId="2598595F"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Эртильский</w:t>
            </w:r>
          </w:p>
        </w:tc>
        <w:tc>
          <w:tcPr>
            <w:tcW w:w="2527" w:type="dxa"/>
            <w:shd w:val="clear" w:color="auto" w:fill="auto"/>
            <w:noWrap/>
            <w:vAlign w:val="center"/>
            <w:hideMark/>
          </w:tcPr>
          <w:p w14:paraId="60A95F5C"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4,83</w:t>
            </w:r>
          </w:p>
        </w:tc>
        <w:tc>
          <w:tcPr>
            <w:tcW w:w="1826" w:type="dxa"/>
            <w:shd w:val="clear" w:color="auto" w:fill="auto"/>
            <w:noWrap/>
            <w:vAlign w:val="center"/>
            <w:hideMark/>
          </w:tcPr>
          <w:p w14:paraId="5CBC420F"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7,36</w:t>
            </w:r>
          </w:p>
        </w:tc>
        <w:tc>
          <w:tcPr>
            <w:tcW w:w="2186" w:type="dxa"/>
            <w:shd w:val="clear" w:color="auto" w:fill="auto"/>
            <w:noWrap/>
            <w:vAlign w:val="center"/>
            <w:hideMark/>
          </w:tcPr>
          <w:p w14:paraId="3D3F1A08"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10,14</w:t>
            </w:r>
          </w:p>
        </w:tc>
        <w:tc>
          <w:tcPr>
            <w:tcW w:w="709" w:type="dxa"/>
            <w:vAlign w:val="center"/>
          </w:tcPr>
          <w:p w14:paraId="38D683EB"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w:t>
            </w:r>
          </w:p>
        </w:tc>
      </w:tr>
      <w:tr w:rsidR="000B0C76" w:rsidRPr="00E6223E" w14:paraId="665F1FC4" w14:textId="77777777" w:rsidTr="000B0C76">
        <w:trPr>
          <w:trHeight w:val="300"/>
        </w:trPr>
        <w:tc>
          <w:tcPr>
            <w:tcW w:w="2103" w:type="dxa"/>
            <w:shd w:val="clear" w:color="auto" w:fill="auto"/>
            <w:noWrap/>
            <w:vAlign w:val="center"/>
            <w:hideMark/>
          </w:tcPr>
          <w:p w14:paraId="564C9E4B"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Бобровский</w:t>
            </w:r>
          </w:p>
        </w:tc>
        <w:tc>
          <w:tcPr>
            <w:tcW w:w="2527" w:type="dxa"/>
            <w:shd w:val="clear" w:color="auto" w:fill="auto"/>
            <w:noWrap/>
            <w:vAlign w:val="center"/>
            <w:hideMark/>
          </w:tcPr>
          <w:p w14:paraId="54618B52"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3,12</w:t>
            </w:r>
          </w:p>
        </w:tc>
        <w:tc>
          <w:tcPr>
            <w:tcW w:w="1826" w:type="dxa"/>
            <w:shd w:val="clear" w:color="auto" w:fill="auto"/>
            <w:noWrap/>
            <w:vAlign w:val="center"/>
            <w:hideMark/>
          </w:tcPr>
          <w:p w14:paraId="3D2AAE18"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6,32</w:t>
            </w:r>
          </w:p>
        </w:tc>
        <w:tc>
          <w:tcPr>
            <w:tcW w:w="2186" w:type="dxa"/>
            <w:shd w:val="clear" w:color="auto" w:fill="auto"/>
            <w:noWrap/>
            <w:vAlign w:val="center"/>
            <w:hideMark/>
          </w:tcPr>
          <w:p w14:paraId="29659860"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9,99</w:t>
            </w:r>
          </w:p>
        </w:tc>
        <w:tc>
          <w:tcPr>
            <w:tcW w:w="709" w:type="dxa"/>
            <w:vAlign w:val="center"/>
          </w:tcPr>
          <w:p w14:paraId="3993638E"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w:t>
            </w:r>
          </w:p>
        </w:tc>
      </w:tr>
      <w:tr w:rsidR="000B0C76" w:rsidRPr="00E6223E" w14:paraId="76145DF5" w14:textId="77777777" w:rsidTr="000B0C76">
        <w:trPr>
          <w:trHeight w:val="300"/>
        </w:trPr>
        <w:tc>
          <w:tcPr>
            <w:tcW w:w="2103" w:type="dxa"/>
            <w:shd w:val="clear" w:color="auto" w:fill="auto"/>
            <w:noWrap/>
            <w:vAlign w:val="center"/>
            <w:hideMark/>
          </w:tcPr>
          <w:p w14:paraId="6A529298"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Панинский</w:t>
            </w:r>
          </w:p>
        </w:tc>
        <w:tc>
          <w:tcPr>
            <w:tcW w:w="2527" w:type="dxa"/>
            <w:shd w:val="clear" w:color="auto" w:fill="auto"/>
            <w:noWrap/>
            <w:vAlign w:val="center"/>
            <w:hideMark/>
          </w:tcPr>
          <w:p w14:paraId="7CCEBCBD"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4,72</w:t>
            </w:r>
          </w:p>
        </w:tc>
        <w:tc>
          <w:tcPr>
            <w:tcW w:w="1826" w:type="dxa"/>
            <w:shd w:val="clear" w:color="auto" w:fill="auto"/>
            <w:noWrap/>
            <w:vAlign w:val="center"/>
            <w:hideMark/>
          </w:tcPr>
          <w:p w14:paraId="222B919A"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6,23</w:t>
            </w:r>
          </w:p>
        </w:tc>
        <w:tc>
          <w:tcPr>
            <w:tcW w:w="2186" w:type="dxa"/>
            <w:shd w:val="clear" w:color="auto" w:fill="auto"/>
            <w:noWrap/>
            <w:vAlign w:val="center"/>
            <w:hideMark/>
          </w:tcPr>
          <w:p w14:paraId="7C7D8CFF"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10,10</w:t>
            </w:r>
          </w:p>
        </w:tc>
        <w:tc>
          <w:tcPr>
            <w:tcW w:w="709" w:type="dxa"/>
            <w:vAlign w:val="center"/>
          </w:tcPr>
          <w:p w14:paraId="7796FA7C"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w:t>
            </w:r>
          </w:p>
        </w:tc>
      </w:tr>
      <w:tr w:rsidR="000B0C76" w:rsidRPr="00E6223E" w14:paraId="797BF866" w14:textId="77777777" w:rsidTr="000B0C76">
        <w:trPr>
          <w:trHeight w:val="300"/>
        </w:trPr>
        <w:tc>
          <w:tcPr>
            <w:tcW w:w="2103" w:type="dxa"/>
            <w:shd w:val="clear" w:color="auto" w:fill="auto"/>
            <w:noWrap/>
            <w:vAlign w:val="center"/>
            <w:hideMark/>
          </w:tcPr>
          <w:p w14:paraId="06656409"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Семилукский</w:t>
            </w:r>
          </w:p>
        </w:tc>
        <w:tc>
          <w:tcPr>
            <w:tcW w:w="2527" w:type="dxa"/>
            <w:shd w:val="clear" w:color="auto" w:fill="auto"/>
            <w:noWrap/>
            <w:vAlign w:val="center"/>
            <w:hideMark/>
          </w:tcPr>
          <w:p w14:paraId="7ABB73A0"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3,38</w:t>
            </w:r>
          </w:p>
        </w:tc>
        <w:tc>
          <w:tcPr>
            <w:tcW w:w="1826" w:type="dxa"/>
            <w:shd w:val="clear" w:color="auto" w:fill="auto"/>
            <w:noWrap/>
            <w:vAlign w:val="center"/>
            <w:hideMark/>
          </w:tcPr>
          <w:p w14:paraId="044FB079"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6,07</w:t>
            </w:r>
          </w:p>
        </w:tc>
        <w:tc>
          <w:tcPr>
            <w:tcW w:w="2186" w:type="dxa"/>
            <w:shd w:val="clear" w:color="auto" w:fill="auto"/>
            <w:noWrap/>
            <w:vAlign w:val="center"/>
            <w:hideMark/>
          </w:tcPr>
          <w:p w14:paraId="0031C271"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10,65</w:t>
            </w:r>
          </w:p>
        </w:tc>
        <w:tc>
          <w:tcPr>
            <w:tcW w:w="709" w:type="dxa"/>
            <w:vAlign w:val="center"/>
          </w:tcPr>
          <w:p w14:paraId="0FFD0A2C"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w:t>
            </w:r>
          </w:p>
        </w:tc>
      </w:tr>
      <w:tr w:rsidR="000B0C76" w:rsidRPr="00E6223E" w14:paraId="14E259D8" w14:textId="77777777" w:rsidTr="000B0C76">
        <w:trPr>
          <w:trHeight w:val="300"/>
        </w:trPr>
        <w:tc>
          <w:tcPr>
            <w:tcW w:w="2103" w:type="dxa"/>
            <w:shd w:val="clear" w:color="auto" w:fill="auto"/>
            <w:noWrap/>
            <w:vAlign w:val="center"/>
            <w:hideMark/>
          </w:tcPr>
          <w:p w14:paraId="23F55507"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Хохольский</w:t>
            </w:r>
          </w:p>
        </w:tc>
        <w:tc>
          <w:tcPr>
            <w:tcW w:w="2527" w:type="dxa"/>
            <w:shd w:val="clear" w:color="auto" w:fill="auto"/>
            <w:noWrap/>
            <w:vAlign w:val="center"/>
            <w:hideMark/>
          </w:tcPr>
          <w:p w14:paraId="15CBAFDB"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2,10</w:t>
            </w:r>
          </w:p>
        </w:tc>
        <w:tc>
          <w:tcPr>
            <w:tcW w:w="1826" w:type="dxa"/>
            <w:shd w:val="clear" w:color="auto" w:fill="auto"/>
            <w:noWrap/>
            <w:vAlign w:val="center"/>
            <w:hideMark/>
          </w:tcPr>
          <w:p w14:paraId="422634E2"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5,93</w:t>
            </w:r>
          </w:p>
        </w:tc>
        <w:tc>
          <w:tcPr>
            <w:tcW w:w="2186" w:type="dxa"/>
            <w:shd w:val="clear" w:color="auto" w:fill="auto"/>
            <w:noWrap/>
            <w:vAlign w:val="center"/>
            <w:hideMark/>
          </w:tcPr>
          <w:p w14:paraId="4EC79126"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9,58</w:t>
            </w:r>
          </w:p>
        </w:tc>
        <w:tc>
          <w:tcPr>
            <w:tcW w:w="709" w:type="dxa"/>
            <w:vAlign w:val="center"/>
          </w:tcPr>
          <w:p w14:paraId="591850D8"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w:t>
            </w:r>
          </w:p>
        </w:tc>
      </w:tr>
      <w:tr w:rsidR="000B0C76" w:rsidRPr="00E6223E" w14:paraId="16AEEC1B" w14:textId="77777777" w:rsidTr="000B0C76">
        <w:trPr>
          <w:trHeight w:val="300"/>
        </w:trPr>
        <w:tc>
          <w:tcPr>
            <w:tcW w:w="2103" w:type="dxa"/>
            <w:shd w:val="clear" w:color="auto" w:fill="auto"/>
            <w:noWrap/>
            <w:vAlign w:val="center"/>
            <w:hideMark/>
          </w:tcPr>
          <w:p w14:paraId="4A9D721C"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Каширский</w:t>
            </w:r>
          </w:p>
        </w:tc>
        <w:tc>
          <w:tcPr>
            <w:tcW w:w="2527" w:type="dxa"/>
            <w:shd w:val="clear" w:color="auto" w:fill="auto"/>
            <w:noWrap/>
            <w:vAlign w:val="center"/>
            <w:hideMark/>
          </w:tcPr>
          <w:p w14:paraId="152F7052"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2,80</w:t>
            </w:r>
          </w:p>
        </w:tc>
        <w:tc>
          <w:tcPr>
            <w:tcW w:w="1826" w:type="dxa"/>
            <w:shd w:val="clear" w:color="auto" w:fill="auto"/>
            <w:noWrap/>
            <w:vAlign w:val="center"/>
            <w:hideMark/>
          </w:tcPr>
          <w:p w14:paraId="57F4AC97"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5,78</w:t>
            </w:r>
          </w:p>
        </w:tc>
        <w:tc>
          <w:tcPr>
            <w:tcW w:w="2186" w:type="dxa"/>
            <w:shd w:val="clear" w:color="auto" w:fill="auto"/>
            <w:noWrap/>
            <w:vAlign w:val="center"/>
            <w:hideMark/>
          </w:tcPr>
          <w:p w14:paraId="608DFC8A"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10,89</w:t>
            </w:r>
          </w:p>
        </w:tc>
        <w:tc>
          <w:tcPr>
            <w:tcW w:w="709" w:type="dxa"/>
            <w:vAlign w:val="center"/>
          </w:tcPr>
          <w:p w14:paraId="421E1240"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w:t>
            </w:r>
          </w:p>
        </w:tc>
      </w:tr>
      <w:tr w:rsidR="000B0C76" w:rsidRPr="00E6223E" w14:paraId="2DABFE8C" w14:textId="77777777" w:rsidTr="000B0C76">
        <w:trPr>
          <w:trHeight w:val="300"/>
        </w:trPr>
        <w:tc>
          <w:tcPr>
            <w:tcW w:w="2103" w:type="dxa"/>
            <w:shd w:val="clear" w:color="auto" w:fill="auto"/>
            <w:noWrap/>
            <w:vAlign w:val="center"/>
            <w:hideMark/>
          </w:tcPr>
          <w:p w14:paraId="4FA48CE4"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Аннинский</w:t>
            </w:r>
          </w:p>
        </w:tc>
        <w:tc>
          <w:tcPr>
            <w:tcW w:w="2527" w:type="dxa"/>
            <w:shd w:val="clear" w:color="auto" w:fill="auto"/>
            <w:noWrap/>
            <w:vAlign w:val="center"/>
            <w:hideMark/>
          </w:tcPr>
          <w:p w14:paraId="76BDF2CC"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3,92</w:t>
            </w:r>
          </w:p>
        </w:tc>
        <w:tc>
          <w:tcPr>
            <w:tcW w:w="1826" w:type="dxa"/>
            <w:shd w:val="clear" w:color="auto" w:fill="auto"/>
            <w:noWrap/>
            <w:vAlign w:val="center"/>
            <w:hideMark/>
          </w:tcPr>
          <w:p w14:paraId="7018727E"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5,68</w:t>
            </w:r>
          </w:p>
        </w:tc>
        <w:tc>
          <w:tcPr>
            <w:tcW w:w="2186" w:type="dxa"/>
            <w:shd w:val="clear" w:color="auto" w:fill="auto"/>
            <w:noWrap/>
            <w:vAlign w:val="center"/>
            <w:hideMark/>
          </w:tcPr>
          <w:p w14:paraId="74ED4BAC"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8,97</w:t>
            </w:r>
          </w:p>
        </w:tc>
        <w:tc>
          <w:tcPr>
            <w:tcW w:w="709" w:type="dxa"/>
            <w:vAlign w:val="center"/>
          </w:tcPr>
          <w:p w14:paraId="4E7D0815"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w:t>
            </w:r>
          </w:p>
        </w:tc>
      </w:tr>
      <w:tr w:rsidR="000B0C76" w:rsidRPr="00E6223E" w14:paraId="43FD52B0" w14:textId="77777777" w:rsidTr="000B0C76">
        <w:trPr>
          <w:trHeight w:val="300"/>
        </w:trPr>
        <w:tc>
          <w:tcPr>
            <w:tcW w:w="2103" w:type="dxa"/>
            <w:shd w:val="clear" w:color="auto" w:fill="auto"/>
            <w:noWrap/>
            <w:vAlign w:val="center"/>
            <w:hideMark/>
          </w:tcPr>
          <w:p w14:paraId="3A51106F"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Нижнедевицкий</w:t>
            </w:r>
          </w:p>
        </w:tc>
        <w:tc>
          <w:tcPr>
            <w:tcW w:w="2527" w:type="dxa"/>
            <w:shd w:val="clear" w:color="auto" w:fill="auto"/>
            <w:noWrap/>
            <w:vAlign w:val="center"/>
            <w:hideMark/>
          </w:tcPr>
          <w:p w14:paraId="52F0486A"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4,31</w:t>
            </w:r>
          </w:p>
        </w:tc>
        <w:tc>
          <w:tcPr>
            <w:tcW w:w="1826" w:type="dxa"/>
            <w:shd w:val="clear" w:color="auto" w:fill="auto"/>
            <w:noWrap/>
            <w:vAlign w:val="center"/>
            <w:hideMark/>
          </w:tcPr>
          <w:p w14:paraId="6716FF65"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5,49</w:t>
            </w:r>
          </w:p>
        </w:tc>
        <w:tc>
          <w:tcPr>
            <w:tcW w:w="2186" w:type="dxa"/>
            <w:shd w:val="clear" w:color="auto" w:fill="auto"/>
            <w:noWrap/>
            <w:vAlign w:val="center"/>
            <w:hideMark/>
          </w:tcPr>
          <w:p w14:paraId="7850AD50"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8,85</w:t>
            </w:r>
          </w:p>
        </w:tc>
        <w:tc>
          <w:tcPr>
            <w:tcW w:w="709" w:type="dxa"/>
            <w:vAlign w:val="center"/>
          </w:tcPr>
          <w:p w14:paraId="4A15DE48"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w:t>
            </w:r>
          </w:p>
        </w:tc>
      </w:tr>
      <w:tr w:rsidR="000B0C76" w:rsidRPr="00E6223E" w14:paraId="069363F0" w14:textId="77777777" w:rsidTr="000B0C76">
        <w:trPr>
          <w:trHeight w:val="300"/>
        </w:trPr>
        <w:tc>
          <w:tcPr>
            <w:tcW w:w="2103" w:type="dxa"/>
            <w:shd w:val="clear" w:color="auto" w:fill="auto"/>
            <w:noWrap/>
            <w:vAlign w:val="center"/>
            <w:hideMark/>
          </w:tcPr>
          <w:p w14:paraId="6859FE4E"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Бутурлиновский</w:t>
            </w:r>
          </w:p>
        </w:tc>
        <w:tc>
          <w:tcPr>
            <w:tcW w:w="2527" w:type="dxa"/>
            <w:shd w:val="clear" w:color="auto" w:fill="auto"/>
            <w:noWrap/>
            <w:vAlign w:val="center"/>
            <w:hideMark/>
          </w:tcPr>
          <w:p w14:paraId="5F7DE467"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3,57</w:t>
            </w:r>
          </w:p>
        </w:tc>
        <w:tc>
          <w:tcPr>
            <w:tcW w:w="1826" w:type="dxa"/>
            <w:shd w:val="clear" w:color="auto" w:fill="auto"/>
            <w:noWrap/>
            <w:vAlign w:val="center"/>
            <w:hideMark/>
          </w:tcPr>
          <w:p w14:paraId="7BB03D19"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5,37</w:t>
            </w:r>
          </w:p>
        </w:tc>
        <w:tc>
          <w:tcPr>
            <w:tcW w:w="2186" w:type="dxa"/>
            <w:shd w:val="clear" w:color="auto" w:fill="auto"/>
            <w:noWrap/>
            <w:vAlign w:val="center"/>
            <w:hideMark/>
          </w:tcPr>
          <w:p w14:paraId="3324E7B0"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7,84</w:t>
            </w:r>
          </w:p>
        </w:tc>
        <w:tc>
          <w:tcPr>
            <w:tcW w:w="709" w:type="dxa"/>
            <w:vAlign w:val="center"/>
          </w:tcPr>
          <w:p w14:paraId="29D90B4D"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w:t>
            </w:r>
          </w:p>
        </w:tc>
      </w:tr>
      <w:tr w:rsidR="000B0C76" w:rsidRPr="00E6223E" w14:paraId="5CCDB0B1" w14:textId="77777777" w:rsidTr="000B0C76">
        <w:trPr>
          <w:trHeight w:val="300"/>
        </w:trPr>
        <w:tc>
          <w:tcPr>
            <w:tcW w:w="2103" w:type="dxa"/>
            <w:shd w:val="clear" w:color="auto" w:fill="auto"/>
            <w:noWrap/>
            <w:vAlign w:val="center"/>
            <w:hideMark/>
          </w:tcPr>
          <w:p w14:paraId="5F6DB54B"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Новоусманский</w:t>
            </w:r>
          </w:p>
        </w:tc>
        <w:tc>
          <w:tcPr>
            <w:tcW w:w="2527" w:type="dxa"/>
            <w:shd w:val="clear" w:color="auto" w:fill="auto"/>
            <w:noWrap/>
            <w:vAlign w:val="center"/>
            <w:hideMark/>
          </w:tcPr>
          <w:p w14:paraId="0ED0E68D"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2,68</w:t>
            </w:r>
          </w:p>
        </w:tc>
        <w:tc>
          <w:tcPr>
            <w:tcW w:w="1826" w:type="dxa"/>
            <w:shd w:val="clear" w:color="auto" w:fill="auto"/>
            <w:noWrap/>
            <w:vAlign w:val="center"/>
            <w:hideMark/>
          </w:tcPr>
          <w:p w14:paraId="7F295CB3"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5,35</w:t>
            </w:r>
          </w:p>
        </w:tc>
        <w:tc>
          <w:tcPr>
            <w:tcW w:w="2186" w:type="dxa"/>
            <w:shd w:val="clear" w:color="auto" w:fill="auto"/>
            <w:noWrap/>
            <w:vAlign w:val="center"/>
            <w:hideMark/>
          </w:tcPr>
          <w:p w14:paraId="70D6490B"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10,21</w:t>
            </w:r>
          </w:p>
        </w:tc>
        <w:tc>
          <w:tcPr>
            <w:tcW w:w="709" w:type="dxa"/>
            <w:vAlign w:val="center"/>
          </w:tcPr>
          <w:p w14:paraId="67BD1B50"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w:t>
            </w:r>
          </w:p>
        </w:tc>
      </w:tr>
      <w:tr w:rsidR="000B0C76" w:rsidRPr="00E6223E" w14:paraId="5363020C" w14:textId="77777777" w:rsidTr="000B0C76">
        <w:trPr>
          <w:trHeight w:val="300"/>
        </w:trPr>
        <w:tc>
          <w:tcPr>
            <w:tcW w:w="2103" w:type="dxa"/>
            <w:shd w:val="clear" w:color="auto" w:fill="auto"/>
            <w:noWrap/>
            <w:vAlign w:val="center"/>
            <w:hideMark/>
          </w:tcPr>
          <w:p w14:paraId="5A004DF7"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Рамонский</w:t>
            </w:r>
          </w:p>
        </w:tc>
        <w:tc>
          <w:tcPr>
            <w:tcW w:w="2527" w:type="dxa"/>
            <w:shd w:val="clear" w:color="auto" w:fill="auto"/>
            <w:noWrap/>
            <w:vAlign w:val="center"/>
            <w:hideMark/>
          </w:tcPr>
          <w:p w14:paraId="58BBEA80"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2,02</w:t>
            </w:r>
          </w:p>
        </w:tc>
        <w:tc>
          <w:tcPr>
            <w:tcW w:w="1826" w:type="dxa"/>
            <w:shd w:val="clear" w:color="auto" w:fill="auto"/>
            <w:noWrap/>
            <w:vAlign w:val="center"/>
            <w:hideMark/>
          </w:tcPr>
          <w:p w14:paraId="3C200E50"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4,99</w:t>
            </w:r>
          </w:p>
        </w:tc>
        <w:tc>
          <w:tcPr>
            <w:tcW w:w="2186" w:type="dxa"/>
            <w:shd w:val="clear" w:color="auto" w:fill="auto"/>
            <w:noWrap/>
            <w:vAlign w:val="center"/>
            <w:hideMark/>
          </w:tcPr>
          <w:p w14:paraId="34D1D66D"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9,70</w:t>
            </w:r>
          </w:p>
        </w:tc>
        <w:tc>
          <w:tcPr>
            <w:tcW w:w="709" w:type="dxa"/>
            <w:vAlign w:val="center"/>
          </w:tcPr>
          <w:p w14:paraId="711BD263"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w:t>
            </w:r>
          </w:p>
        </w:tc>
      </w:tr>
      <w:tr w:rsidR="000B0C76" w:rsidRPr="00E6223E" w14:paraId="56CBA142" w14:textId="77777777" w:rsidTr="000B0C76">
        <w:trPr>
          <w:trHeight w:val="300"/>
        </w:trPr>
        <w:tc>
          <w:tcPr>
            <w:tcW w:w="2103" w:type="dxa"/>
            <w:shd w:val="clear" w:color="auto" w:fill="auto"/>
            <w:noWrap/>
            <w:vAlign w:val="center"/>
            <w:hideMark/>
          </w:tcPr>
          <w:p w14:paraId="1852575C"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Терновский</w:t>
            </w:r>
          </w:p>
        </w:tc>
        <w:tc>
          <w:tcPr>
            <w:tcW w:w="2527" w:type="dxa"/>
            <w:shd w:val="clear" w:color="auto" w:fill="auto"/>
            <w:noWrap/>
            <w:vAlign w:val="center"/>
            <w:hideMark/>
          </w:tcPr>
          <w:p w14:paraId="29EE2576"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3,20</w:t>
            </w:r>
          </w:p>
        </w:tc>
        <w:tc>
          <w:tcPr>
            <w:tcW w:w="1826" w:type="dxa"/>
            <w:shd w:val="clear" w:color="auto" w:fill="auto"/>
            <w:noWrap/>
            <w:vAlign w:val="center"/>
            <w:hideMark/>
          </w:tcPr>
          <w:p w14:paraId="301FECD2"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4,83</w:t>
            </w:r>
          </w:p>
        </w:tc>
        <w:tc>
          <w:tcPr>
            <w:tcW w:w="2186" w:type="dxa"/>
            <w:shd w:val="clear" w:color="auto" w:fill="auto"/>
            <w:noWrap/>
            <w:vAlign w:val="center"/>
            <w:hideMark/>
          </w:tcPr>
          <w:p w14:paraId="53CCFCAB"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7,27</w:t>
            </w:r>
          </w:p>
        </w:tc>
        <w:tc>
          <w:tcPr>
            <w:tcW w:w="709" w:type="dxa"/>
            <w:vAlign w:val="center"/>
          </w:tcPr>
          <w:p w14:paraId="7A0617CA"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w:t>
            </w:r>
          </w:p>
        </w:tc>
      </w:tr>
      <w:tr w:rsidR="000B0C76" w:rsidRPr="00E6223E" w14:paraId="501EC22D" w14:textId="77777777" w:rsidTr="000B0C76">
        <w:trPr>
          <w:trHeight w:val="300"/>
        </w:trPr>
        <w:tc>
          <w:tcPr>
            <w:tcW w:w="2103" w:type="dxa"/>
            <w:shd w:val="clear" w:color="auto" w:fill="auto"/>
            <w:noWrap/>
            <w:vAlign w:val="center"/>
            <w:hideMark/>
          </w:tcPr>
          <w:p w14:paraId="5CF64B00"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Репьевский</w:t>
            </w:r>
          </w:p>
        </w:tc>
        <w:tc>
          <w:tcPr>
            <w:tcW w:w="2527" w:type="dxa"/>
            <w:shd w:val="clear" w:color="auto" w:fill="auto"/>
            <w:noWrap/>
            <w:vAlign w:val="center"/>
            <w:hideMark/>
          </w:tcPr>
          <w:p w14:paraId="6FA819A9"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2,87</w:t>
            </w:r>
          </w:p>
        </w:tc>
        <w:tc>
          <w:tcPr>
            <w:tcW w:w="1826" w:type="dxa"/>
            <w:shd w:val="clear" w:color="auto" w:fill="auto"/>
            <w:noWrap/>
            <w:vAlign w:val="center"/>
            <w:hideMark/>
          </w:tcPr>
          <w:p w14:paraId="1EED605B"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4,74</w:t>
            </w:r>
          </w:p>
        </w:tc>
        <w:tc>
          <w:tcPr>
            <w:tcW w:w="2186" w:type="dxa"/>
            <w:shd w:val="clear" w:color="auto" w:fill="auto"/>
            <w:noWrap/>
            <w:vAlign w:val="center"/>
            <w:hideMark/>
          </w:tcPr>
          <w:p w14:paraId="1396558F"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10,10</w:t>
            </w:r>
          </w:p>
        </w:tc>
        <w:tc>
          <w:tcPr>
            <w:tcW w:w="709" w:type="dxa"/>
            <w:vAlign w:val="center"/>
          </w:tcPr>
          <w:p w14:paraId="095D01E7"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w:t>
            </w:r>
          </w:p>
        </w:tc>
      </w:tr>
      <w:tr w:rsidR="000B0C76" w:rsidRPr="00E6223E" w14:paraId="706348E2" w14:textId="77777777" w:rsidTr="000B0C76">
        <w:trPr>
          <w:trHeight w:val="300"/>
        </w:trPr>
        <w:tc>
          <w:tcPr>
            <w:tcW w:w="2103" w:type="dxa"/>
            <w:shd w:val="clear" w:color="auto" w:fill="auto"/>
            <w:noWrap/>
            <w:vAlign w:val="center"/>
            <w:hideMark/>
          </w:tcPr>
          <w:p w14:paraId="470C0839"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Кантемировский</w:t>
            </w:r>
          </w:p>
        </w:tc>
        <w:tc>
          <w:tcPr>
            <w:tcW w:w="2527" w:type="dxa"/>
            <w:shd w:val="clear" w:color="auto" w:fill="auto"/>
            <w:noWrap/>
            <w:vAlign w:val="center"/>
            <w:hideMark/>
          </w:tcPr>
          <w:p w14:paraId="33A43E50"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2,39</w:t>
            </w:r>
          </w:p>
        </w:tc>
        <w:tc>
          <w:tcPr>
            <w:tcW w:w="1826" w:type="dxa"/>
            <w:shd w:val="clear" w:color="auto" w:fill="auto"/>
            <w:noWrap/>
            <w:vAlign w:val="center"/>
            <w:hideMark/>
          </w:tcPr>
          <w:p w14:paraId="3EF7411B"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4,61</w:t>
            </w:r>
          </w:p>
        </w:tc>
        <w:tc>
          <w:tcPr>
            <w:tcW w:w="2186" w:type="dxa"/>
            <w:shd w:val="clear" w:color="auto" w:fill="auto"/>
            <w:noWrap/>
            <w:vAlign w:val="center"/>
            <w:hideMark/>
          </w:tcPr>
          <w:p w14:paraId="2E896B92"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7,24</w:t>
            </w:r>
          </w:p>
        </w:tc>
        <w:tc>
          <w:tcPr>
            <w:tcW w:w="709" w:type="dxa"/>
            <w:vAlign w:val="center"/>
          </w:tcPr>
          <w:p w14:paraId="68F093CF"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w:t>
            </w:r>
          </w:p>
        </w:tc>
      </w:tr>
      <w:tr w:rsidR="000B0C76" w:rsidRPr="00E6223E" w14:paraId="6EB38517" w14:textId="77777777" w:rsidTr="000B0C76">
        <w:trPr>
          <w:trHeight w:val="300"/>
        </w:trPr>
        <w:tc>
          <w:tcPr>
            <w:tcW w:w="2103" w:type="dxa"/>
            <w:shd w:val="clear" w:color="auto" w:fill="auto"/>
            <w:noWrap/>
            <w:vAlign w:val="center"/>
            <w:hideMark/>
          </w:tcPr>
          <w:p w14:paraId="2BEFFA64"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Острогожский</w:t>
            </w:r>
          </w:p>
        </w:tc>
        <w:tc>
          <w:tcPr>
            <w:tcW w:w="2527" w:type="dxa"/>
            <w:shd w:val="clear" w:color="auto" w:fill="auto"/>
            <w:noWrap/>
            <w:vAlign w:val="center"/>
            <w:hideMark/>
          </w:tcPr>
          <w:p w14:paraId="3065A492"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2,86</w:t>
            </w:r>
          </w:p>
        </w:tc>
        <w:tc>
          <w:tcPr>
            <w:tcW w:w="1826" w:type="dxa"/>
            <w:shd w:val="clear" w:color="auto" w:fill="auto"/>
            <w:noWrap/>
            <w:vAlign w:val="center"/>
            <w:hideMark/>
          </w:tcPr>
          <w:p w14:paraId="46675180"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4,38</w:t>
            </w:r>
          </w:p>
        </w:tc>
        <w:tc>
          <w:tcPr>
            <w:tcW w:w="2186" w:type="dxa"/>
            <w:shd w:val="clear" w:color="auto" w:fill="auto"/>
            <w:noWrap/>
            <w:vAlign w:val="center"/>
            <w:hideMark/>
          </w:tcPr>
          <w:p w14:paraId="04AE7AE3"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5,67</w:t>
            </w:r>
          </w:p>
        </w:tc>
        <w:tc>
          <w:tcPr>
            <w:tcW w:w="709" w:type="dxa"/>
            <w:vAlign w:val="center"/>
          </w:tcPr>
          <w:p w14:paraId="34AD12B5"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w:t>
            </w:r>
          </w:p>
        </w:tc>
      </w:tr>
      <w:tr w:rsidR="000B0C76" w:rsidRPr="00E6223E" w14:paraId="026B6420" w14:textId="77777777" w:rsidTr="000B0C76">
        <w:trPr>
          <w:trHeight w:val="300"/>
        </w:trPr>
        <w:tc>
          <w:tcPr>
            <w:tcW w:w="2103" w:type="dxa"/>
            <w:shd w:val="clear" w:color="auto" w:fill="auto"/>
            <w:noWrap/>
            <w:vAlign w:val="center"/>
            <w:hideMark/>
          </w:tcPr>
          <w:p w14:paraId="7805AD4D"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Воробьевский</w:t>
            </w:r>
          </w:p>
        </w:tc>
        <w:tc>
          <w:tcPr>
            <w:tcW w:w="2527" w:type="dxa"/>
            <w:shd w:val="clear" w:color="auto" w:fill="auto"/>
            <w:noWrap/>
            <w:vAlign w:val="center"/>
            <w:hideMark/>
          </w:tcPr>
          <w:p w14:paraId="0CD65D2F"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2,93</w:t>
            </w:r>
          </w:p>
        </w:tc>
        <w:tc>
          <w:tcPr>
            <w:tcW w:w="1826" w:type="dxa"/>
            <w:shd w:val="clear" w:color="auto" w:fill="auto"/>
            <w:noWrap/>
            <w:vAlign w:val="center"/>
            <w:hideMark/>
          </w:tcPr>
          <w:p w14:paraId="16C19171"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4,14</w:t>
            </w:r>
          </w:p>
        </w:tc>
        <w:tc>
          <w:tcPr>
            <w:tcW w:w="2186" w:type="dxa"/>
            <w:shd w:val="clear" w:color="auto" w:fill="auto"/>
            <w:noWrap/>
            <w:vAlign w:val="center"/>
            <w:hideMark/>
          </w:tcPr>
          <w:p w14:paraId="1AF56CD3"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8,22</w:t>
            </w:r>
          </w:p>
        </w:tc>
        <w:tc>
          <w:tcPr>
            <w:tcW w:w="709" w:type="dxa"/>
            <w:vAlign w:val="center"/>
          </w:tcPr>
          <w:p w14:paraId="545CAD26"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w:t>
            </w:r>
          </w:p>
        </w:tc>
      </w:tr>
      <w:tr w:rsidR="000B0C76" w:rsidRPr="00E6223E" w14:paraId="0A0E29BC" w14:textId="77777777" w:rsidTr="000B0C76">
        <w:trPr>
          <w:trHeight w:val="300"/>
        </w:trPr>
        <w:tc>
          <w:tcPr>
            <w:tcW w:w="2103" w:type="dxa"/>
            <w:shd w:val="clear" w:color="auto" w:fill="auto"/>
            <w:noWrap/>
            <w:vAlign w:val="center"/>
            <w:hideMark/>
          </w:tcPr>
          <w:p w14:paraId="6CECC084"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Павловский</w:t>
            </w:r>
          </w:p>
        </w:tc>
        <w:tc>
          <w:tcPr>
            <w:tcW w:w="2527" w:type="dxa"/>
            <w:shd w:val="clear" w:color="auto" w:fill="auto"/>
            <w:noWrap/>
            <w:vAlign w:val="center"/>
            <w:hideMark/>
          </w:tcPr>
          <w:p w14:paraId="51A27E31"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2,28</w:t>
            </w:r>
          </w:p>
        </w:tc>
        <w:tc>
          <w:tcPr>
            <w:tcW w:w="1826" w:type="dxa"/>
            <w:shd w:val="clear" w:color="auto" w:fill="auto"/>
            <w:noWrap/>
            <w:vAlign w:val="center"/>
            <w:hideMark/>
          </w:tcPr>
          <w:p w14:paraId="61D0007B"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4,06</w:t>
            </w:r>
          </w:p>
        </w:tc>
        <w:tc>
          <w:tcPr>
            <w:tcW w:w="2186" w:type="dxa"/>
            <w:shd w:val="clear" w:color="auto" w:fill="auto"/>
            <w:noWrap/>
            <w:vAlign w:val="center"/>
            <w:hideMark/>
          </w:tcPr>
          <w:p w14:paraId="03AF50FE"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7,76</w:t>
            </w:r>
          </w:p>
        </w:tc>
        <w:tc>
          <w:tcPr>
            <w:tcW w:w="709" w:type="dxa"/>
            <w:vAlign w:val="center"/>
          </w:tcPr>
          <w:p w14:paraId="77C2DFBC"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w:t>
            </w:r>
          </w:p>
        </w:tc>
      </w:tr>
      <w:tr w:rsidR="000B0C76" w:rsidRPr="00E6223E" w14:paraId="5522CF8E" w14:textId="77777777" w:rsidTr="000B0C76">
        <w:trPr>
          <w:trHeight w:val="300"/>
        </w:trPr>
        <w:tc>
          <w:tcPr>
            <w:tcW w:w="2103" w:type="dxa"/>
            <w:shd w:val="clear" w:color="auto" w:fill="auto"/>
            <w:noWrap/>
            <w:vAlign w:val="center"/>
            <w:hideMark/>
          </w:tcPr>
          <w:p w14:paraId="5C63BD47"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Каменский</w:t>
            </w:r>
          </w:p>
        </w:tc>
        <w:tc>
          <w:tcPr>
            <w:tcW w:w="2527" w:type="dxa"/>
            <w:shd w:val="clear" w:color="auto" w:fill="auto"/>
            <w:noWrap/>
            <w:vAlign w:val="center"/>
            <w:hideMark/>
          </w:tcPr>
          <w:p w14:paraId="79613E88"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2,43</w:t>
            </w:r>
          </w:p>
        </w:tc>
        <w:tc>
          <w:tcPr>
            <w:tcW w:w="1826" w:type="dxa"/>
            <w:shd w:val="clear" w:color="auto" w:fill="auto"/>
            <w:noWrap/>
            <w:vAlign w:val="center"/>
            <w:hideMark/>
          </w:tcPr>
          <w:p w14:paraId="22A8DD45"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4,06</w:t>
            </w:r>
          </w:p>
        </w:tc>
        <w:tc>
          <w:tcPr>
            <w:tcW w:w="2186" w:type="dxa"/>
            <w:shd w:val="clear" w:color="auto" w:fill="auto"/>
            <w:noWrap/>
            <w:vAlign w:val="center"/>
            <w:hideMark/>
          </w:tcPr>
          <w:p w14:paraId="433D6F44"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6,36</w:t>
            </w:r>
          </w:p>
        </w:tc>
        <w:tc>
          <w:tcPr>
            <w:tcW w:w="709" w:type="dxa"/>
            <w:vAlign w:val="center"/>
          </w:tcPr>
          <w:p w14:paraId="26E25D52"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w:t>
            </w:r>
          </w:p>
        </w:tc>
      </w:tr>
      <w:tr w:rsidR="000B0C76" w:rsidRPr="00E6223E" w14:paraId="0CB0B80B" w14:textId="77777777" w:rsidTr="000B0C76">
        <w:trPr>
          <w:trHeight w:val="300"/>
        </w:trPr>
        <w:tc>
          <w:tcPr>
            <w:tcW w:w="2103" w:type="dxa"/>
            <w:shd w:val="clear" w:color="auto" w:fill="auto"/>
            <w:noWrap/>
            <w:vAlign w:val="center"/>
            <w:hideMark/>
          </w:tcPr>
          <w:p w14:paraId="33816057"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Таловский</w:t>
            </w:r>
          </w:p>
        </w:tc>
        <w:tc>
          <w:tcPr>
            <w:tcW w:w="2527" w:type="dxa"/>
            <w:shd w:val="clear" w:color="auto" w:fill="auto"/>
            <w:noWrap/>
            <w:vAlign w:val="center"/>
            <w:hideMark/>
          </w:tcPr>
          <w:p w14:paraId="0559B6B6"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3,02</w:t>
            </w:r>
          </w:p>
        </w:tc>
        <w:tc>
          <w:tcPr>
            <w:tcW w:w="1826" w:type="dxa"/>
            <w:shd w:val="clear" w:color="auto" w:fill="auto"/>
            <w:noWrap/>
            <w:vAlign w:val="center"/>
            <w:hideMark/>
          </w:tcPr>
          <w:p w14:paraId="5DC31412"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4,01</w:t>
            </w:r>
          </w:p>
        </w:tc>
        <w:tc>
          <w:tcPr>
            <w:tcW w:w="2186" w:type="dxa"/>
            <w:shd w:val="clear" w:color="auto" w:fill="auto"/>
            <w:noWrap/>
            <w:vAlign w:val="center"/>
            <w:hideMark/>
          </w:tcPr>
          <w:p w14:paraId="1FE5D9F9"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10,24</w:t>
            </w:r>
          </w:p>
        </w:tc>
        <w:tc>
          <w:tcPr>
            <w:tcW w:w="709" w:type="dxa"/>
            <w:vAlign w:val="center"/>
          </w:tcPr>
          <w:p w14:paraId="4FE7DA5B"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w:t>
            </w:r>
          </w:p>
        </w:tc>
      </w:tr>
      <w:tr w:rsidR="000B0C76" w:rsidRPr="00E6223E" w14:paraId="47DCDFC1" w14:textId="77777777" w:rsidTr="000B0C76">
        <w:trPr>
          <w:trHeight w:val="300"/>
        </w:trPr>
        <w:tc>
          <w:tcPr>
            <w:tcW w:w="2103" w:type="dxa"/>
            <w:shd w:val="clear" w:color="auto" w:fill="auto"/>
            <w:noWrap/>
            <w:vAlign w:val="center"/>
            <w:hideMark/>
          </w:tcPr>
          <w:p w14:paraId="72912F72"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Поворинский</w:t>
            </w:r>
          </w:p>
        </w:tc>
        <w:tc>
          <w:tcPr>
            <w:tcW w:w="2527" w:type="dxa"/>
            <w:shd w:val="clear" w:color="auto" w:fill="auto"/>
            <w:noWrap/>
            <w:vAlign w:val="center"/>
            <w:hideMark/>
          </w:tcPr>
          <w:p w14:paraId="46D6241F"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2,53</w:t>
            </w:r>
          </w:p>
        </w:tc>
        <w:tc>
          <w:tcPr>
            <w:tcW w:w="1826" w:type="dxa"/>
            <w:shd w:val="clear" w:color="auto" w:fill="auto"/>
            <w:noWrap/>
            <w:vAlign w:val="center"/>
            <w:hideMark/>
          </w:tcPr>
          <w:p w14:paraId="20348EE8"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3,73</w:t>
            </w:r>
          </w:p>
        </w:tc>
        <w:tc>
          <w:tcPr>
            <w:tcW w:w="2186" w:type="dxa"/>
            <w:shd w:val="clear" w:color="auto" w:fill="auto"/>
            <w:noWrap/>
            <w:vAlign w:val="center"/>
            <w:hideMark/>
          </w:tcPr>
          <w:p w14:paraId="1B5B255D"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8,57</w:t>
            </w:r>
          </w:p>
        </w:tc>
        <w:tc>
          <w:tcPr>
            <w:tcW w:w="709" w:type="dxa"/>
            <w:vAlign w:val="center"/>
          </w:tcPr>
          <w:p w14:paraId="12B5146A"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w:t>
            </w:r>
          </w:p>
        </w:tc>
      </w:tr>
      <w:tr w:rsidR="000B0C76" w:rsidRPr="00E6223E" w14:paraId="3D437E28" w14:textId="77777777" w:rsidTr="000B0C76">
        <w:trPr>
          <w:trHeight w:val="300"/>
        </w:trPr>
        <w:tc>
          <w:tcPr>
            <w:tcW w:w="2103" w:type="dxa"/>
            <w:shd w:val="clear" w:color="auto" w:fill="auto"/>
            <w:noWrap/>
            <w:vAlign w:val="center"/>
            <w:hideMark/>
          </w:tcPr>
          <w:p w14:paraId="7F80C042"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Борисоглебский ГО</w:t>
            </w:r>
          </w:p>
        </w:tc>
        <w:tc>
          <w:tcPr>
            <w:tcW w:w="2527" w:type="dxa"/>
            <w:shd w:val="clear" w:color="auto" w:fill="auto"/>
            <w:noWrap/>
            <w:vAlign w:val="center"/>
            <w:hideMark/>
          </w:tcPr>
          <w:p w14:paraId="095C9951"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2,27</w:t>
            </w:r>
          </w:p>
        </w:tc>
        <w:tc>
          <w:tcPr>
            <w:tcW w:w="1826" w:type="dxa"/>
            <w:shd w:val="clear" w:color="auto" w:fill="auto"/>
            <w:noWrap/>
            <w:vAlign w:val="center"/>
            <w:hideMark/>
          </w:tcPr>
          <w:p w14:paraId="40727D49"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3,70</w:t>
            </w:r>
          </w:p>
        </w:tc>
        <w:tc>
          <w:tcPr>
            <w:tcW w:w="2186" w:type="dxa"/>
            <w:shd w:val="clear" w:color="auto" w:fill="auto"/>
            <w:noWrap/>
            <w:vAlign w:val="center"/>
            <w:hideMark/>
          </w:tcPr>
          <w:p w14:paraId="033D3097"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7,83</w:t>
            </w:r>
          </w:p>
        </w:tc>
        <w:tc>
          <w:tcPr>
            <w:tcW w:w="709" w:type="dxa"/>
            <w:vAlign w:val="center"/>
          </w:tcPr>
          <w:p w14:paraId="5D7DC6E1"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w:t>
            </w:r>
          </w:p>
        </w:tc>
      </w:tr>
      <w:tr w:rsidR="000B0C76" w:rsidRPr="00E6223E" w14:paraId="670EB70A" w14:textId="77777777" w:rsidTr="000B0C76">
        <w:trPr>
          <w:trHeight w:val="300"/>
        </w:trPr>
        <w:tc>
          <w:tcPr>
            <w:tcW w:w="2103" w:type="dxa"/>
            <w:shd w:val="clear" w:color="auto" w:fill="auto"/>
            <w:noWrap/>
            <w:vAlign w:val="center"/>
            <w:hideMark/>
          </w:tcPr>
          <w:p w14:paraId="614B9BE5"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Лискинский</w:t>
            </w:r>
          </w:p>
        </w:tc>
        <w:tc>
          <w:tcPr>
            <w:tcW w:w="2527" w:type="dxa"/>
            <w:shd w:val="clear" w:color="auto" w:fill="auto"/>
            <w:noWrap/>
            <w:vAlign w:val="center"/>
            <w:hideMark/>
          </w:tcPr>
          <w:p w14:paraId="2CA89874"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2,56</w:t>
            </w:r>
          </w:p>
        </w:tc>
        <w:tc>
          <w:tcPr>
            <w:tcW w:w="1826" w:type="dxa"/>
            <w:shd w:val="clear" w:color="auto" w:fill="auto"/>
            <w:noWrap/>
            <w:vAlign w:val="center"/>
            <w:hideMark/>
          </w:tcPr>
          <w:p w14:paraId="5AED6212"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3,64</w:t>
            </w:r>
          </w:p>
        </w:tc>
        <w:tc>
          <w:tcPr>
            <w:tcW w:w="2186" w:type="dxa"/>
            <w:shd w:val="clear" w:color="auto" w:fill="auto"/>
            <w:noWrap/>
            <w:vAlign w:val="center"/>
            <w:hideMark/>
          </w:tcPr>
          <w:p w14:paraId="5FD834C3"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8,38</w:t>
            </w:r>
          </w:p>
        </w:tc>
        <w:tc>
          <w:tcPr>
            <w:tcW w:w="709" w:type="dxa"/>
            <w:vAlign w:val="center"/>
          </w:tcPr>
          <w:p w14:paraId="046D1015"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w:t>
            </w:r>
          </w:p>
        </w:tc>
      </w:tr>
      <w:tr w:rsidR="000B0C76" w:rsidRPr="00E6223E" w14:paraId="71C2189C" w14:textId="77777777" w:rsidTr="000B0C76">
        <w:trPr>
          <w:trHeight w:val="300"/>
        </w:trPr>
        <w:tc>
          <w:tcPr>
            <w:tcW w:w="2103" w:type="dxa"/>
            <w:shd w:val="clear" w:color="auto" w:fill="auto"/>
            <w:noWrap/>
            <w:vAlign w:val="center"/>
            <w:hideMark/>
          </w:tcPr>
          <w:p w14:paraId="3A90EA6D"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 xml:space="preserve">Грибановский </w:t>
            </w:r>
          </w:p>
        </w:tc>
        <w:tc>
          <w:tcPr>
            <w:tcW w:w="2527" w:type="dxa"/>
            <w:shd w:val="clear" w:color="auto" w:fill="auto"/>
            <w:noWrap/>
            <w:vAlign w:val="center"/>
            <w:hideMark/>
          </w:tcPr>
          <w:p w14:paraId="647E31BC"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2,06</w:t>
            </w:r>
          </w:p>
        </w:tc>
        <w:tc>
          <w:tcPr>
            <w:tcW w:w="1826" w:type="dxa"/>
            <w:shd w:val="clear" w:color="auto" w:fill="auto"/>
            <w:noWrap/>
            <w:vAlign w:val="center"/>
            <w:hideMark/>
          </w:tcPr>
          <w:p w14:paraId="5846E6D7"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3,62</w:t>
            </w:r>
          </w:p>
        </w:tc>
        <w:tc>
          <w:tcPr>
            <w:tcW w:w="2186" w:type="dxa"/>
            <w:shd w:val="clear" w:color="auto" w:fill="auto"/>
            <w:noWrap/>
            <w:vAlign w:val="center"/>
            <w:hideMark/>
          </w:tcPr>
          <w:p w14:paraId="3312B560"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8,52</w:t>
            </w:r>
          </w:p>
        </w:tc>
        <w:tc>
          <w:tcPr>
            <w:tcW w:w="709" w:type="dxa"/>
            <w:vAlign w:val="center"/>
          </w:tcPr>
          <w:p w14:paraId="6FC4F399"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w:t>
            </w:r>
          </w:p>
        </w:tc>
      </w:tr>
      <w:tr w:rsidR="000B0C76" w:rsidRPr="00E6223E" w14:paraId="33A76013" w14:textId="77777777" w:rsidTr="000B0C76">
        <w:trPr>
          <w:trHeight w:val="300"/>
        </w:trPr>
        <w:tc>
          <w:tcPr>
            <w:tcW w:w="2103" w:type="dxa"/>
            <w:shd w:val="clear" w:color="auto" w:fill="auto"/>
            <w:noWrap/>
            <w:vAlign w:val="center"/>
            <w:hideMark/>
          </w:tcPr>
          <w:p w14:paraId="3E370565"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Подгоренский</w:t>
            </w:r>
          </w:p>
        </w:tc>
        <w:tc>
          <w:tcPr>
            <w:tcW w:w="2527" w:type="dxa"/>
            <w:shd w:val="clear" w:color="auto" w:fill="auto"/>
            <w:noWrap/>
            <w:vAlign w:val="center"/>
            <w:hideMark/>
          </w:tcPr>
          <w:p w14:paraId="5FD6BCBF"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2,37</w:t>
            </w:r>
          </w:p>
        </w:tc>
        <w:tc>
          <w:tcPr>
            <w:tcW w:w="1826" w:type="dxa"/>
            <w:shd w:val="clear" w:color="auto" w:fill="auto"/>
            <w:noWrap/>
            <w:vAlign w:val="center"/>
            <w:hideMark/>
          </w:tcPr>
          <w:p w14:paraId="4C13C90C"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3,54</w:t>
            </w:r>
          </w:p>
        </w:tc>
        <w:tc>
          <w:tcPr>
            <w:tcW w:w="2186" w:type="dxa"/>
            <w:shd w:val="clear" w:color="auto" w:fill="auto"/>
            <w:noWrap/>
            <w:vAlign w:val="center"/>
            <w:hideMark/>
          </w:tcPr>
          <w:p w14:paraId="2E14AD26"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5,14</w:t>
            </w:r>
          </w:p>
        </w:tc>
        <w:tc>
          <w:tcPr>
            <w:tcW w:w="709" w:type="dxa"/>
            <w:vAlign w:val="center"/>
          </w:tcPr>
          <w:p w14:paraId="6A4351D6"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w:t>
            </w:r>
          </w:p>
        </w:tc>
      </w:tr>
      <w:tr w:rsidR="000B0C76" w:rsidRPr="00E6223E" w14:paraId="04A7CE3F" w14:textId="77777777" w:rsidTr="000B0C76">
        <w:trPr>
          <w:trHeight w:val="300"/>
        </w:trPr>
        <w:tc>
          <w:tcPr>
            <w:tcW w:w="2103" w:type="dxa"/>
            <w:shd w:val="clear" w:color="auto" w:fill="auto"/>
            <w:noWrap/>
            <w:vAlign w:val="center"/>
            <w:hideMark/>
          </w:tcPr>
          <w:p w14:paraId="371D90DE"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Верхнемамонский</w:t>
            </w:r>
          </w:p>
        </w:tc>
        <w:tc>
          <w:tcPr>
            <w:tcW w:w="2527" w:type="dxa"/>
            <w:shd w:val="clear" w:color="auto" w:fill="auto"/>
            <w:noWrap/>
            <w:vAlign w:val="center"/>
            <w:hideMark/>
          </w:tcPr>
          <w:p w14:paraId="044B77EF"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1,67</w:t>
            </w:r>
          </w:p>
        </w:tc>
        <w:tc>
          <w:tcPr>
            <w:tcW w:w="1826" w:type="dxa"/>
            <w:shd w:val="clear" w:color="auto" w:fill="auto"/>
            <w:noWrap/>
            <w:vAlign w:val="center"/>
            <w:hideMark/>
          </w:tcPr>
          <w:p w14:paraId="5E44B2C9"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3,15</w:t>
            </w:r>
          </w:p>
        </w:tc>
        <w:tc>
          <w:tcPr>
            <w:tcW w:w="2186" w:type="dxa"/>
            <w:shd w:val="clear" w:color="auto" w:fill="auto"/>
            <w:noWrap/>
            <w:vAlign w:val="center"/>
            <w:hideMark/>
          </w:tcPr>
          <w:p w14:paraId="0C8BB43F"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6,00</w:t>
            </w:r>
          </w:p>
        </w:tc>
        <w:tc>
          <w:tcPr>
            <w:tcW w:w="709" w:type="dxa"/>
            <w:vAlign w:val="center"/>
          </w:tcPr>
          <w:p w14:paraId="668E8597"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w:t>
            </w:r>
          </w:p>
        </w:tc>
      </w:tr>
      <w:tr w:rsidR="000B0C76" w:rsidRPr="00E6223E" w14:paraId="567EE5A9" w14:textId="77777777" w:rsidTr="000B0C76">
        <w:trPr>
          <w:trHeight w:val="300"/>
        </w:trPr>
        <w:tc>
          <w:tcPr>
            <w:tcW w:w="2103" w:type="dxa"/>
            <w:shd w:val="clear" w:color="auto" w:fill="auto"/>
            <w:noWrap/>
            <w:vAlign w:val="center"/>
            <w:hideMark/>
          </w:tcPr>
          <w:p w14:paraId="349FF8F1"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Россошанский</w:t>
            </w:r>
          </w:p>
        </w:tc>
        <w:tc>
          <w:tcPr>
            <w:tcW w:w="2527" w:type="dxa"/>
            <w:shd w:val="clear" w:color="auto" w:fill="auto"/>
            <w:noWrap/>
            <w:vAlign w:val="center"/>
            <w:hideMark/>
          </w:tcPr>
          <w:p w14:paraId="781DF5E9"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1,67</w:t>
            </w:r>
          </w:p>
        </w:tc>
        <w:tc>
          <w:tcPr>
            <w:tcW w:w="1826" w:type="dxa"/>
            <w:shd w:val="clear" w:color="auto" w:fill="auto"/>
            <w:noWrap/>
            <w:vAlign w:val="center"/>
            <w:hideMark/>
          </w:tcPr>
          <w:p w14:paraId="306FECF9"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3,14</w:t>
            </w:r>
          </w:p>
        </w:tc>
        <w:tc>
          <w:tcPr>
            <w:tcW w:w="2186" w:type="dxa"/>
            <w:shd w:val="clear" w:color="auto" w:fill="auto"/>
            <w:noWrap/>
            <w:vAlign w:val="center"/>
            <w:hideMark/>
          </w:tcPr>
          <w:p w14:paraId="50E2D3B7"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5,26</w:t>
            </w:r>
          </w:p>
        </w:tc>
        <w:tc>
          <w:tcPr>
            <w:tcW w:w="709" w:type="dxa"/>
            <w:vAlign w:val="center"/>
          </w:tcPr>
          <w:p w14:paraId="28E0E35B"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w:t>
            </w:r>
          </w:p>
        </w:tc>
      </w:tr>
      <w:tr w:rsidR="000B0C76" w:rsidRPr="00E6223E" w14:paraId="697B1C5C" w14:textId="77777777" w:rsidTr="000B0C76">
        <w:trPr>
          <w:trHeight w:val="300"/>
        </w:trPr>
        <w:tc>
          <w:tcPr>
            <w:tcW w:w="2103" w:type="dxa"/>
            <w:shd w:val="clear" w:color="auto" w:fill="auto"/>
            <w:noWrap/>
            <w:vAlign w:val="center"/>
            <w:hideMark/>
          </w:tcPr>
          <w:p w14:paraId="5D3D68CC"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Калачеевский</w:t>
            </w:r>
          </w:p>
        </w:tc>
        <w:tc>
          <w:tcPr>
            <w:tcW w:w="2527" w:type="dxa"/>
            <w:shd w:val="clear" w:color="auto" w:fill="auto"/>
            <w:noWrap/>
            <w:vAlign w:val="center"/>
            <w:hideMark/>
          </w:tcPr>
          <w:p w14:paraId="17EA433D"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2,49</w:t>
            </w:r>
          </w:p>
        </w:tc>
        <w:tc>
          <w:tcPr>
            <w:tcW w:w="1826" w:type="dxa"/>
            <w:shd w:val="clear" w:color="auto" w:fill="auto"/>
            <w:noWrap/>
            <w:vAlign w:val="center"/>
            <w:hideMark/>
          </w:tcPr>
          <w:p w14:paraId="11222892"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3,09</w:t>
            </w:r>
          </w:p>
        </w:tc>
        <w:tc>
          <w:tcPr>
            <w:tcW w:w="2186" w:type="dxa"/>
            <w:shd w:val="clear" w:color="auto" w:fill="auto"/>
            <w:noWrap/>
            <w:vAlign w:val="center"/>
            <w:hideMark/>
          </w:tcPr>
          <w:p w14:paraId="667B1F5C"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9,24</w:t>
            </w:r>
          </w:p>
        </w:tc>
        <w:tc>
          <w:tcPr>
            <w:tcW w:w="709" w:type="dxa"/>
            <w:vAlign w:val="center"/>
          </w:tcPr>
          <w:p w14:paraId="1C6F00B7"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w:t>
            </w:r>
          </w:p>
        </w:tc>
      </w:tr>
      <w:tr w:rsidR="000B0C76" w:rsidRPr="00E6223E" w14:paraId="48A7A821" w14:textId="77777777" w:rsidTr="000B0C76">
        <w:trPr>
          <w:trHeight w:val="300"/>
        </w:trPr>
        <w:tc>
          <w:tcPr>
            <w:tcW w:w="2103" w:type="dxa"/>
            <w:shd w:val="clear" w:color="auto" w:fill="auto"/>
            <w:noWrap/>
            <w:vAlign w:val="center"/>
            <w:hideMark/>
          </w:tcPr>
          <w:p w14:paraId="32FBD1E2"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Ольховатский</w:t>
            </w:r>
          </w:p>
        </w:tc>
        <w:tc>
          <w:tcPr>
            <w:tcW w:w="2527" w:type="dxa"/>
            <w:shd w:val="clear" w:color="auto" w:fill="auto"/>
            <w:noWrap/>
            <w:vAlign w:val="center"/>
            <w:hideMark/>
          </w:tcPr>
          <w:p w14:paraId="01AFAA7D"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2,10</w:t>
            </w:r>
          </w:p>
        </w:tc>
        <w:tc>
          <w:tcPr>
            <w:tcW w:w="1826" w:type="dxa"/>
            <w:shd w:val="clear" w:color="auto" w:fill="auto"/>
            <w:noWrap/>
            <w:vAlign w:val="center"/>
            <w:hideMark/>
          </w:tcPr>
          <w:p w14:paraId="4B2C39A7"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3,00</w:t>
            </w:r>
          </w:p>
        </w:tc>
        <w:tc>
          <w:tcPr>
            <w:tcW w:w="2186" w:type="dxa"/>
            <w:shd w:val="clear" w:color="auto" w:fill="auto"/>
            <w:noWrap/>
            <w:vAlign w:val="center"/>
            <w:hideMark/>
          </w:tcPr>
          <w:p w14:paraId="7AAC9701"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4,50</w:t>
            </w:r>
          </w:p>
        </w:tc>
        <w:tc>
          <w:tcPr>
            <w:tcW w:w="709" w:type="dxa"/>
            <w:vAlign w:val="center"/>
          </w:tcPr>
          <w:p w14:paraId="4A2A0251"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w:t>
            </w:r>
          </w:p>
        </w:tc>
      </w:tr>
      <w:tr w:rsidR="000B0C76" w:rsidRPr="00E6223E" w14:paraId="51126E8E" w14:textId="77777777" w:rsidTr="000B0C76">
        <w:trPr>
          <w:trHeight w:val="300"/>
        </w:trPr>
        <w:tc>
          <w:tcPr>
            <w:tcW w:w="2103" w:type="dxa"/>
            <w:shd w:val="clear" w:color="auto" w:fill="auto"/>
            <w:noWrap/>
            <w:vAlign w:val="center"/>
            <w:hideMark/>
          </w:tcPr>
          <w:p w14:paraId="62E9D77F"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Петропавловский</w:t>
            </w:r>
          </w:p>
        </w:tc>
        <w:tc>
          <w:tcPr>
            <w:tcW w:w="2527" w:type="dxa"/>
            <w:shd w:val="clear" w:color="auto" w:fill="auto"/>
            <w:noWrap/>
            <w:vAlign w:val="center"/>
            <w:hideMark/>
          </w:tcPr>
          <w:p w14:paraId="3FFD175A"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1,19</w:t>
            </w:r>
          </w:p>
        </w:tc>
        <w:tc>
          <w:tcPr>
            <w:tcW w:w="1826" w:type="dxa"/>
            <w:shd w:val="clear" w:color="auto" w:fill="auto"/>
            <w:noWrap/>
            <w:vAlign w:val="center"/>
            <w:hideMark/>
          </w:tcPr>
          <w:p w14:paraId="6B75A6F8"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2,85</w:t>
            </w:r>
          </w:p>
        </w:tc>
        <w:tc>
          <w:tcPr>
            <w:tcW w:w="2186" w:type="dxa"/>
            <w:shd w:val="clear" w:color="auto" w:fill="auto"/>
            <w:noWrap/>
            <w:vAlign w:val="center"/>
            <w:hideMark/>
          </w:tcPr>
          <w:p w14:paraId="1B9358AE"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7,12</w:t>
            </w:r>
          </w:p>
        </w:tc>
        <w:tc>
          <w:tcPr>
            <w:tcW w:w="709" w:type="dxa"/>
            <w:vAlign w:val="center"/>
          </w:tcPr>
          <w:p w14:paraId="7EBDC3EE"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w:t>
            </w:r>
          </w:p>
        </w:tc>
      </w:tr>
      <w:tr w:rsidR="000B0C76" w:rsidRPr="00E6223E" w14:paraId="5BA26A76" w14:textId="77777777" w:rsidTr="000B0C76">
        <w:trPr>
          <w:trHeight w:val="300"/>
        </w:trPr>
        <w:tc>
          <w:tcPr>
            <w:tcW w:w="2103" w:type="dxa"/>
            <w:shd w:val="clear" w:color="auto" w:fill="auto"/>
            <w:noWrap/>
            <w:vAlign w:val="center"/>
            <w:hideMark/>
          </w:tcPr>
          <w:p w14:paraId="4B282968"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Новохоперский</w:t>
            </w:r>
          </w:p>
        </w:tc>
        <w:tc>
          <w:tcPr>
            <w:tcW w:w="2527" w:type="dxa"/>
            <w:shd w:val="clear" w:color="auto" w:fill="auto"/>
            <w:noWrap/>
            <w:vAlign w:val="center"/>
            <w:hideMark/>
          </w:tcPr>
          <w:p w14:paraId="5EC9633B"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1,49</w:t>
            </w:r>
          </w:p>
        </w:tc>
        <w:tc>
          <w:tcPr>
            <w:tcW w:w="1826" w:type="dxa"/>
            <w:shd w:val="clear" w:color="auto" w:fill="auto"/>
            <w:noWrap/>
            <w:vAlign w:val="center"/>
            <w:hideMark/>
          </w:tcPr>
          <w:p w14:paraId="6EF0B036"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2,78</w:t>
            </w:r>
          </w:p>
        </w:tc>
        <w:tc>
          <w:tcPr>
            <w:tcW w:w="2186" w:type="dxa"/>
            <w:shd w:val="clear" w:color="auto" w:fill="auto"/>
            <w:noWrap/>
            <w:vAlign w:val="center"/>
            <w:hideMark/>
          </w:tcPr>
          <w:p w14:paraId="22A50965"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8,41</w:t>
            </w:r>
          </w:p>
        </w:tc>
        <w:tc>
          <w:tcPr>
            <w:tcW w:w="709" w:type="dxa"/>
            <w:vAlign w:val="center"/>
          </w:tcPr>
          <w:p w14:paraId="3066323F"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w:t>
            </w:r>
          </w:p>
        </w:tc>
      </w:tr>
      <w:tr w:rsidR="000B0C76" w:rsidRPr="00E6223E" w14:paraId="60B0D64D" w14:textId="77777777" w:rsidTr="000B0C76">
        <w:trPr>
          <w:trHeight w:val="300"/>
        </w:trPr>
        <w:tc>
          <w:tcPr>
            <w:tcW w:w="2103" w:type="dxa"/>
            <w:shd w:val="clear" w:color="auto" w:fill="auto"/>
            <w:noWrap/>
            <w:vAlign w:val="center"/>
            <w:hideMark/>
          </w:tcPr>
          <w:p w14:paraId="00DB06F7"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Богучарский</w:t>
            </w:r>
          </w:p>
        </w:tc>
        <w:tc>
          <w:tcPr>
            <w:tcW w:w="2527" w:type="dxa"/>
            <w:shd w:val="clear" w:color="auto" w:fill="auto"/>
            <w:noWrap/>
            <w:vAlign w:val="center"/>
          </w:tcPr>
          <w:p w14:paraId="6DA6D9E4"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1,32</w:t>
            </w:r>
          </w:p>
        </w:tc>
        <w:tc>
          <w:tcPr>
            <w:tcW w:w="1826" w:type="dxa"/>
            <w:shd w:val="clear" w:color="auto" w:fill="auto"/>
            <w:noWrap/>
            <w:vAlign w:val="center"/>
          </w:tcPr>
          <w:p w14:paraId="3501E775"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2,55</w:t>
            </w:r>
          </w:p>
        </w:tc>
        <w:tc>
          <w:tcPr>
            <w:tcW w:w="2186" w:type="dxa"/>
            <w:shd w:val="clear" w:color="auto" w:fill="auto"/>
            <w:noWrap/>
            <w:vAlign w:val="center"/>
          </w:tcPr>
          <w:p w14:paraId="25193A9D"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4,83</w:t>
            </w:r>
          </w:p>
        </w:tc>
        <w:tc>
          <w:tcPr>
            <w:tcW w:w="709" w:type="dxa"/>
            <w:vAlign w:val="center"/>
          </w:tcPr>
          <w:p w14:paraId="53EA5AF9"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4</w:t>
            </w:r>
          </w:p>
        </w:tc>
      </w:tr>
      <w:tr w:rsidR="000B0C76" w:rsidRPr="00E6223E" w14:paraId="60629B20" w14:textId="77777777" w:rsidTr="000B0C76">
        <w:trPr>
          <w:trHeight w:val="300"/>
        </w:trPr>
        <w:tc>
          <w:tcPr>
            <w:tcW w:w="2103" w:type="dxa"/>
            <w:shd w:val="clear" w:color="auto" w:fill="auto"/>
            <w:noWrap/>
            <w:vAlign w:val="center"/>
            <w:hideMark/>
          </w:tcPr>
          <w:p w14:paraId="7B1A2BA0" w14:textId="77777777" w:rsidR="000B0C76" w:rsidRPr="00E6223E" w:rsidRDefault="000B0C76" w:rsidP="000B0C76">
            <w:pPr>
              <w:spacing w:after="0" w:line="240" w:lineRule="auto"/>
              <w:rPr>
                <w:rFonts w:ascii="Times New Roman" w:eastAsia="Times New Roman" w:hAnsi="Times New Roman" w:cs="Times New Roman"/>
                <w:color w:val="000000"/>
                <w:lang w:eastAsia="ru-RU"/>
              </w:rPr>
            </w:pPr>
            <w:r w:rsidRPr="00E6223E">
              <w:rPr>
                <w:rFonts w:ascii="Times New Roman" w:hAnsi="Times New Roman" w:cs="Times New Roman"/>
                <w:color w:val="000000"/>
              </w:rPr>
              <w:t>г.о.г. Нововоронеж</w:t>
            </w:r>
          </w:p>
        </w:tc>
        <w:tc>
          <w:tcPr>
            <w:tcW w:w="2527" w:type="dxa"/>
            <w:shd w:val="clear" w:color="auto" w:fill="auto"/>
            <w:noWrap/>
            <w:vAlign w:val="bottom"/>
            <w:hideMark/>
          </w:tcPr>
          <w:p w14:paraId="3608894B"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w:t>
            </w:r>
          </w:p>
        </w:tc>
        <w:tc>
          <w:tcPr>
            <w:tcW w:w="1826" w:type="dxa"/>
            <w:shd w:val="clear" w:color="auto" w:fill="auto"/>
            <w:noWrap/>
            <w:vAlign w:val="bottom"/>
            <w:hideMark/>
          </w:tcPr>
          <w:p w14:paraId="0087D8F1"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w:t>
            </w:r>
          </w:p>
        </w:tc>
        <w:tc>
          <w:tcPr>
            <w:tcW w:w="2186" w:type="dxa"/>
            <w:shd w:val="clear" w:color="auto" w:fill="auto"/>
            <w:noWrap/>
            <w:vAlign w:val="bottom"/>
            <w:hideMark/>
          </w:tcPr>
          <w:p w14:paraId="769A4F18"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w:t>
            </w:r>
          </w:p>
        </w:tc>
        <w:tc>
          <w:tcPr>
            <w:tcW w:w="709" w:type="dxa"/>
            <w:vAlign w:val="center"/>
          </w:tcPr>
          <w:p w14:paraId="18D938BE" w14:textId="77777777" w:rsidR="000B0C76" w:rsidRPr="00E6223E" w:rsidRDefault="000B0C76" w:rsidP="000B0C76">
            <w:pPr>
              <w:spacing w:after="0" w:line="240" w:lineRule="auto"/>
              <w:jc w:val="right"/>
              <w:rPr>
                <w:rFonts w:ascii="Times New Roman" w:eastAsia="Times New Roman" w:hAnsi="Times New Roman" w:cs="Times New Roman"/>
                <w:color w:val="000000"/>
                <w:lang w:eastAsia="ru-RU"/>
              </w:rPr>
            </w:pPr>
            <w:r w:rsidRPr="00E6223E">
              <w:rPr>
                <w:rFonts w:ascii="Times New Roman" w:hAnsi="Times New Roman" w:cs="Times New Roman"/>
                <w:color w:val="000000"/>
              </w:rPr>
              <w:t> </w:t>
            </w:r>
          </w:p>
        </w:tc>
      </w:tr>
    </w:tbl>
    <w:p w14:paraId="41E60D1E" w14:textId="77777777" w:rsidR="000B0C76" w:rsidRPr="00F562A8" w:rsidRDefault="000B0C76" w:rsidP="000B0C76">
      <w:pPr>
        <w:spacing w:before="120"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указанного сегмента рынка была </w:t>
      </w:r>
      <w:r w:rsidRPr="00926C8A">
        <w:rPr>
          <w:rFonts w:ascii="Times New Roman" w:hAnsi="Times New Roman" w:cs="Times New Roman"/>
          <w:sz w:val="26"/>
          <w:szCs w:val="26"/>
        </w:rPr>
        <w:t>выделено 4 ценовы</w:t>
      </w:r>
      <w:r>
        <w:rPr>
          <w:rFonts w:ascii="Times New Roman" w:hAnsi="Times New Roman" w:cs="Times New Roman"/>
          <w:sz w:val="26"/>
          <w:szCs w:val="26"/>
        </w:rPr>
        <w:t>е</w:t>
      </w:r>
      <w:r w:rsidRPr="00926C8A">
        <w:rPr>
          <w:rFonts w:ascii="Times New Roman" w:hAnsi="Times New Roman" w:cs="Times New Roman"/>
          <w:sz w:val="26"/>
          <w:szCs w:val="26"/>
        </w:rPr>
        <w:t xml:space="preserve"> </w:t>
      </w:r>
      <w:r w:rsidRPr="00F562A8">
        <w:rPr>
          <w:rFonts w:ascii="Times New Roman" w:hAnsi="Times New Roman" w:cs="Times New Roman"/>
          <w:sz w:val="26"/>
          <w:szCs w:val="26"/>
        </w:rPr>
        <w:t>зон</w:t>
      </w:r>
      <w:r>
        <w:rPr>
          <w:rFonts w:ascii="Times New Roman" w:hAnsi="Times New Roman" w:cs="Times New Roman"/>
          <w:sz w:val="26"/>
          <w:szCs w:val="26"/>
        </w:rPr>
        <w:t>ы</w:t>
      </w:r>
      <w:r w:rsidRPr="00F562A8">
        <w:rPr>
          <w:rFonts w:ascii="Times New Roman" w:hAnsi="Times New Roman" w:cs="Times New Roman"/>
          <w:sz w:val="26"/>
          <w:szCs w:val="26"/>
        </w:rPr>
        <w:t xml:space="preserve">, значения удельных показателей рыночной стоимости земельных участков сегмента </w:t>
      </w:r>
      <w:r>
        <w:rPr>
          <w:rFonts w:ascii="Times New Roman" w:hAnsi="Times New Roman" w:cs="Times New Roman"/>
          <w:sz w:val="26"/>
          <w:szCs w:val="26"/>
        </w:rPr>
        <w:t>1</w:t>
      </w:r>
      <w:r w:rsidRPr="00F562A8">
        <w:rPr>
          <w:rFonts w:ascii="Times New Roman" w:hAnsi="Times New Roman" w:cs="Times New Roman"/>
          <w:sz w:val="26"/>
          <w:szCs w:val="26"/>
        </w:rPr>
        <w:t xml:space="preserve"> «</w:t>
      </w:r>
      <w:r>
        <w:rPr>
          <w:rFonts w:ascii="Times New Roman" w:hAnsi="Times New Roman" w:cs="Times New Roman"/>
          <w:sz w:val="26"/>
          <w:szCs w:val="26"/>
        </w:rPr>
        <w:t>Сельскохозяйственное использование</w:t>
      </w:r>
      <w:r w:rsidRPr="00F562A8">
        <w:rPr>
          <w:rFonts w:ascii="Times New Roman" w:hAnsi="Times New Roman" w:cs="Times New Roman"/>
          <w:sz w:val="26"/>
          <w:szCs w:val="26"/>
        </w:rPr>
        <w:t xml:space="preserve">» для </w:t>
      </w:r>
      <w:r>
        <w:rPr>
          <w:rFonts w:ascii="Times New Roman" w:hAnsi="Times New Roman" w:cs="Times New Roman"/>
          <w:sz w:val="26"/>
          <w:szCs w:val="26"/>
        </w:rPr>
        <w:t>ценовых зон</w:t>
      </w:r>
      <w:r w:rsidRPr="00F562A8">
        <w:rPr>
          <w:rFonts w:ascii="Times New Roman" w:hAnsi="Times New Roman" w:cs="Times New Roman"/>
          <w:sz w:val="26"/>
          <w:szCs w:val="26"/>
        </w:rPr>
        <w:t xml:space="preserve"> представлены в таблице 3.2.</w:t>
      </w:r>
      <w:r>
        <w:rPr>
          <w:rFonts w:ascii="Times New Roman" w:hAnsi="Times New Roman" w:cs="Times New Roman"/>
          <w:sz w:val="26"/>
          <w:szCs w:val="26"/>
        </w:rPr>
        <w:t>3</w:t>
      </w:r>
    </w:p>
    <w:p w14:paraId="3192005B" w14:textId="77777777" w:rsidR="000B0C76" w:rsidRPr="00F562A8" w:rsidRDefault="000B0C76" w:rsidP="000B0C76">
      <w:pPr>
        <w:spacing w:after="0" w:line="276" w:lineRule="auto"/>
        <w:ind w:firstLine="709"/>
        <w:jc w:val="right"/>
        <w:rPr>
          <w:rFonts w:ascii="Times New Roman" w:hAnsi="Times New Roman" w:cs="Times New Roman"/>
          <w:sz w:val="26"/>
          <w:szCs w:val="26"/>
        </w:rPr>
      </w:pPr>
      <w:r w:rsidRPr="00F562A8">
        <w:rPr>
          <w:rFonts w:ascii="Times New Roman" w:hAnsi="Times New Roman" w:cs="Times New Roman"/>
          <w:sz w:val="26"/>
          <w:szCs w:val="26"/>
        </w:rPr>
        <w:t>Таблица 3.2.</w:t>
      </w:r>
      <w:r>
        <w:rPr>
          <w:rFonts w:ascii="Times New Roman" w:hAnsi="Times New Roman" w:cs="Times New Roman"/>
          <w:sz w:val="26"/>
          <w:szCs w:val="26"/>
        </w:rPr>
        <w:t>3</w:t>
      </w:r>
    </w:p>
    <w:p w14:paraId="49246F56" w14:textId="77777777" w:rsidR="000B0C76" w:rsidRPr="00F562A8" w:rsidRDefault="000B0C76" w:rsidP="000B0C76">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Удельные показатели рыночной стоимости, руб./м</w:t>
      </w:r>
      <w:r w:rsidRPr="00F562A8">
        <w:rPr>
          <w:rFonts w:ascii="Times New Roman" w:hAnsi="Times New Roman" w:cs="Times New Roman"/>
          <w:sz w:val="26"/>
          <w:szCs w:val="26"/>
          <w:vertAlign w:val="superscript"/>
        </w:rPr>
        <w:t>2</w:t>
      </w:r>
    </w:p>
    <w:tbl>
      <w:tblPr>
        <w:tblStyle w:val="ae"/>
        <w:tblW w:w="0" w:type="auto"/>
        <w:tblLook w:val="04A0" w:firstRow="1" w:lastRow="0" w:firstColumn="1" w:lastColumn="0" w:noHBand="0" w:noVBand="1"/>
      </w:tblPr>
      <w:tblGrid>
        <w:gridCol w:w="1979"/>
        <w:gridCol w:w="2410"/>
        <w:gridCol w:w="2268"/>
        <w:gridCol w:w="2687"/>
      </w:tblGrid>
      <w:tr w:rsidR="000B0C76" w:rsidRPr="008009AF" w14:paraId="2A14A765" w14:textId="77777777" w:rsidTr="000B0C76">
        <w:tc>
          <w:tcPr>
            <w:tcW w:w="1980" w:type="dxa"/>
            <w:vMerge w:val="restart"/>
          </w:tcPr>
          <w:p w14:paraId="15D00CA3"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sz w:val="22"/>
                <w:szCs w:val="22"/>
              </w:rPr>
              <w:t>№ ценовой зоны</w:t>
            </w:r>
          </w:p>
        </w:tc>
        <w:tc>
          <w:tcPr>
            <w:tcW w:w="7365" w:type="dxa"/>
            <w:gridSpan w:val="3"/>
          </w:tcPr>
          <w:p w14:paraId="69818D3F" w14:textId="77777777" w:rsidR="000B0C76" w:rsidRPr="008009AF" w:rsidRDefault="000B0C76" w:rsidP="000B0C76">
            <w:pPr>
              <w:spacing w:line="276" w:lineRule="auto"/>
              <w:jc w:val="center"/>
              <w:rPr>
                <w:rFonts w:ascii="Times New Roman" w:hAnsi="Times New Roman" w:cs="Times New Roman"/>
                <w:sz w:val="22"/>
                <w:szCs w:val="22"/>
                <w:vertAlign w:val="superscript"/>
              </w:rPr>
            </w:pPr>
            <w:r w:rsidRPr="008009AF">
              <w:rPr>
                <w:rFonts w:ascii="Times New Roman" w:hAnsi="Times New Roman" w:cs="Times New Roman"/>
                <w:sz w:val="22"/>
                <w:szCs w:val="22"/>
              </w:rPr>
              <w:t>Удельный показатель рыночной стоимости, руб./м</w:t>
            </w:r>
            <w:r w:rsidRPr="008009AF">
              <w:rPr>
                <w:rFonts w:ascii="Times New Roman" w:hAnsi="Times New Roman" w:cs="Times New Roman"/>
                <w:sz w:val="22"/>
                <w:szCs w:val="22"/>
                <w:vertAlign w:val="superscript"/>
              </w:rPr>
              <w:t>2</w:t>
            </w:r>
          </w:p>
        </w:tc>
      </w:tr>
      <w:tr w:rsidR="000B0C76" w:rsidRPr="008009AF" w14:paraId="31F0316E" w14:textId="77777777" w:rsidTr="000B0C76">
        <w:tc>
          <w:tcPr>
            <w:tcW w:w="1980" w:type="dxa"/>
            <w:vMerge/>
          </w:tcPr>
          <w:p w14:paraId="75668AAE" w14:textId="77777777" w:rsidR="000B0C76" w:rsidRPr="008009AF" w:rsidRDefault="000B0C76" w:rsidP="000B0C76">
            <w:pPr>
              <w:spacing w:line="276" w:lineRule="auto"/>
              <w:jc w:val="right"/>
              <w:rPr>
                <w:rFonts w:ascii="Times New Roman" w:hAnsi="Times New Roman" w:cs="Times New Roman"/>
                <w:sz w:val="22"/>
                <w:szCs w:val="22"/>
              </w:rPr>
            </w:pPr>
          </w:p>
        </w:tc>
        <w:tc>
          <w:tcPr>
            <w:tcW w:w="2410" w:type="dxa"/>
          </w:tcPr>
          <w:p w14:paraId="79E32FDE"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sz w:val="22"/>
                <w:szCs w:val="22"/>
              </w:rPr>
              <w:t>минимальный</w:t>
            </w:r>
          </w:p>
        </w:tc>
        <w:tc>
          <w:tcPr>
            <w:tcW w:w="2268" w:type="dxa"/>
          </w:tcPr>
          <w:p w14:paraId="1BB03ED4"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sz w:val="22"/>
                <w:szCs w:val="22"/>
              </w:rPr>
              <w:t>средний</w:t>
            </w:r>
          </w:p>
        </w:tc>
        <w:tc>
          <w:tcPr>
            <w:tcW w:w="2687" w:type="dxa"/>
          </w:tcPr>
          <w:p w14:paraId="53670323"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sz w:val="22"/>
                <w:szCs w:val="22"/>
              </w:rPr>
              <w:t>максимальный</w:t>
            </w:r>
          </w:p>
        </w:tc>
      </w:tr>
      <w:tr w:rsidR="000B0C76" w:rsidRPr="008009AF" w14:paraId="6E24CC20" w14:textId="77777777" w:rsidTr="000B0C76">
        <w:tc>
          <w:tcPr>
            <w:tcW w:w="1980" w:type="dxa"/>
          </w:tcPr>
          <w:p w14:paraId="66A50906"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sz w:val="22"/>
                <w:szCs w:val="22"/>
              </w:rPr>
              <w:t>1</w:t>
            </w:r>
          </w:p>
        </w:tc>
        <w:tc>
          <w:tcPr>
            <w:tcW w:w="2410" w:type="dxa"/>
            <w:vAlign w:val="center"/>
          </w:tcPr>
          <w:p w14:paraId="645810A1"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color w:val="000000"/>
                <w:sz w:val="22"/>
                <w:szCs w:val="22"/>
              </w:rPr>
              <w:t>7,57</w:t>
            </w:r>
          </w:p>
        </w:tc>
        <w:tc>
          <w:tcPr>
            <w:tcW w:w="2268" w:type="dxa"/>
            <w:vAlign w:val="center"/>
          </w:tcPr>
          <w:p w14:paraId="2182EE72"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color w:val="000000"/>
                <w:sz w:val="22"/>
                <w:szCs w:val="22"/>
              </w:rPr>
              <w:t>11,37</w:t>
            </w:r>
          </w:p>
        </w:tc>
        <w:tc>
          <w:tcPr>
            <w:tcW w:w="2687" w:type="dxa"/>
            <w:vAlign w:val="center"/>
          </w:tcPr>
          <w:p w14:paraId="37024BDA"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color w:val="000000"/>
                <w:sz w:val="22"/>
                <w:szCs w:val="22"/>
              </w:rPr>
              <w:t>13,79</w:t>
            </w:r>
          </w:p>
        </w:tc>
      </w:tr>
      <w:tr w:rsidR="000B0C76" w:rsidRPr="008009AF" w14:paraId="6E3CA760" w14:textId="77777777" w:rsidTr="000B0C76">
        <w:tc>
          <w:tcPr>
            <w:tcW w:w="1980" w:type="dxa"/>
          </w:tcPr>
          <w:p w14:paraId="14B7D0FA"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sz w:val="22"/>
                <w:szCs w:val="22"/>
              </w:rPr>
              <w:t>2</w:t>
            </w:r>
          </w:p>
        </w:tc>
        <w:tc>
          <w:tcPr>
            <w:tcW w:w="2410" w:type="dxa"/>
            <w:vAlign w:val="center"/>
          </w:tcPr>
          <w:p w14:paraId="6AD8C948"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color w:val="000000"/>
                <w:sz w:val="22"/>
                <w:szCs w:val="22"/>
              </w:rPr>
              <w:t>2,1</w:t>
            </w:r>
          </w:p>
        </w:tc>
        <w:tc>
          <w:tcPr>
            <w:tcW w:w="2268" w:type="dxa"/>
            <w:vAlign w:val="bottom"/>
          </w:tcPr>
          <w:p w14:paraId="19AEAD6B"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color w:val="000000"/>
                <w:sz w:val="22"/>
                <w:szCs w:val="22"/>
              </w:rPr>
              <w:t>5,97</w:t>
            </w:r>
          </w:p>
        </w:tc>
        <w:tc>
          <w:tcPr>
            <w:tcW w:w="2687" w:type="dxa"/>
            <w:vAlign w:val="center"/>
          </w:tcPr>
          <w:p w14:paraId="5D3FA8D4"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color w:val="000000"/>
                <w:sz w:val="22"/>
                <w:szCs w:val="22"/>
              </w:rPr>
              <w:t>11,14</w:t>
            </w:r>
          </w:p>
        </w:tc>
      </w:tr>
      <w:tr w:rsidR="000B0C76" w:rsidRPr="008009AF" w14:paraId="77FD664C" w14:textId="77777777" w:rsidTr="000B0C76">
        <w:tc>
          <w:tcPr>
            <w:tcW w:w="1980" w:type="dxa"/>
          </w:tcPr>
          <w:p w14:paraId="27EE1054"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sz w:val="22"/>
                <w:szCs w:val="22"/>
              </w:rPr>
              <w:t>3</w:t>
            </w:r>
          </w:p>
        </w:tc>
        <w:tc>
          <w:tcPr>
            <w:tcW w:w="2410" w:type="dxa"/>
            <w:vAlign w:val="center"/>
          </w:tcPr>
          <w:p w14:paraId="72F52321"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color w:val="000000"/>
                <w:sz w:val="22"/>
                <w:szCs w:val="22"/>
              </w:rPr>
              <w:t>2,02</w:t>
            </w:r>
          </w:p>
        </w:tc>
        <w:tc>
          <w:tcPr>
            <w:tcW w:w="2268" w:type="dxa"/>
            <w:vAlign w:val="bottom"/>
          </w:tcPr>
          <w:p w14:paraId="4151A72B"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color w:val="000000"/>
                <w:sz w:val="22"/>
                <w:szCs w:val="22"/>
              </w:rPr>
              <w:t>4,45</w:t>
            </w:r>
          </w:p>
        </w:tc>
        <w:tc>
          <w:tcPr>
            <w:tcW w:w="2687" w:type="dxa"/>
            <w:vAlign w:val="center"/>
          </w:tcPr>
          <w:p w14:paraId="7486F1F6"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color w:val="000000"/>
                <w:sz w:val="22"/>
                <w:szCs w:val="22"/>
              </w:rPr>
              <w:t>10,24</w:t>
            </w:r>
          </w:p>
        </w:tc>
      </w:tr>
      <w:tr w:rsidR="000B0C76" w:rsidRPr="008009AF" w14:paraId="0045AF43" w14:textId="77777777" w:rsidTr="000B0C76">
        <w:tc>
          <w:tcPr>
            <w:tcW w:w="1980" w:type="dxa"/>
          </w:tcPr>
          <w:p w14:paraId="4F4A5C3B"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sz w:val="22"/>
                <w:szCs w:val="22"/>
              </w:rPr>
              <w:t>4</w:t>
            </w:r>
          </w:p>
        </w:tc>
        <w:tc>
          <w:tcPr>
            <w:tcW w:w="2410" w:type="dxa"/>
            <w:vAlign w:val="center"/>
          </w:tcPr>
          <w:p w14:paraId="72C12F8D"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color w:val="000000"/>
                <w:sz w:val="22"/>
                <w:szCs w:val="22"/>
              </w:rPr>
              <w:t>1,19</w:t>
            </w:r>
          </w:p>
        </w:tc>
        <w:tc>
          <w:tcPr>
            <w:tcW w:w="2268" w:type="dxa"/>
            <w:vAlign w:val="bottom"/>
          </w:tcPr>
          <w:p w14:paraId="784A388B"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color w:val="000000"/>
                <w:sz w:val="22"/>
                <w:szCs w:val="22"/>
              </w:rPr>
              <w:t>3,16</w:t>
            </w:r>
          </w:p>
        </w:tc>
        <w:tc>
          <w:tcPr>
            <w:tcW w:w="2687" w:type="dxa"/>
            <w:vAlign w:val="center"/>
          </w:tcPr>
          <w:p w14:paraId="5268244E" w14:textId="77777777" w:rsidR="000B0C76" w:rsidRPr="008009AF" w:rsidRDefault="000B0C76" w:rsidP="000B0C76">
            <w:pPr>
              <w:spacing w:line="276" w:lineRule="auto"/>
              <w:jc w:val="center"/>
              <w:rPr>
                <w:rFonts w:ascii="Times New Roman" w:hAnsi="Times New Roman" w:cs="Times New Roman"/>
                <w:sz w:val="22"/>
                <w:szCs w:val="22"/>
              </w:rPr>
            </w:pPr>
            <w:r w:rsidRPr="008009AF">
              <w:rPr>
                <w:rFonts w:ascii="Times New Roman" w:hAnsi="Times New Roman" w:cs="Times New Roman"/>
                <w:color w:val="000000"/>
                <w:sz w:val="22"/>
                <w:szCs w:val="22"/>
              </w:rPr>
              <w:t>9,24</w:t>
            </w:r>
          </w:p>
        </w:tc>
      </w:tr>
    </w:tbl>
    <w:p w14:paraId="0C615889" w14:textId="77777777" w:rsidR="000B0C76" w:rsidRPr="00A447F4" w:rsidRDefault="000B0C76" w:rsidP="000B0C76">
      <w:pPr>
        <w:spacing w:before="120" w:after="0" w:line="276" w:lineRule="auto"/>
        <w:ind w:firstLine="709"/>
        <w:jc w:val="both"/>
        <w:rPr>
          <w:rFonts w:ascii="Times New Roman" w:hAnsi="Times New Roman" w:cs="Times New Roman"/>
          <w:color w:val="000000" w:themeColor="text1"/>
          <w:sz w:val="26"/>
          <w:szCs w:val="26"/>
        </w:rPr>
      </w:pPr>
      <w:r w:rsidRPr="00F562A8">
        <w:rPr>
          <w:rFonts w:ascii="Times New Roman" w:hAnsi="Times New Roman" w:cs="Times New Roman"/>
          <w:sz w:val="26"/>
          <w:szCs w:val="26"/>
        </w:rPr>
        <w:t xml:space="preserve">Схема оценочного зонирования сегмента </w:t>
      </w:r>
      <w:r>
        <w:rPr>
          <w:rFonts w:ascii="Times New Roman" w:hAnsi="Times New Roman" w:cs="Times New Roman"/>
          <w:sz w:val="26"/>
          <w:szCs w:val="26"/>
        </w:rPr>
        <w:t>1</w:t>
      </w:r>
      <w:r w:rsidRPr="00F562A8">
        <w:rPr>
          <w:rFonts w:ascii="Times New Roman" w:hAnsi="Times New Roman" w:cs="Times New Roman"/>
          <w:sz w:val="26"/>
          <w:szCs w:val="26"/>
        </w:rPr>
        <w:t xml:space="preserve"> «</w:t>
      </w:r>
      <w:r>
        <w:rPr>
          <w:rFonts w:ascii="Times New Roman" w:hAnsi="Times New Roman" w:cs="Times New Roman"/>
          <w:sz w:val="26"/>
          <w:szCs w:val="26"/>
        </w:rPr>
        <w:t>Сельскохозяйственное назначение</w:t>
      </w:r>
      <w:r w:rsidRPr="00F562A8">
        <w:rPr>
          <w:rFonts w:ascii="Times New Roman" w:hAnsi="Times New Roman" w:cs="Times New Roman"/>
          <w:sz w:val="26"/>
          <w:szCs w:val="26"/>
        </w:rPr>
        <w:t xml:space="preserve">» </w:t>
      </w:r>
      <w:r w:rsidRPr="00935BD9">
        <w:rPr>
          <w:rFonts w:ascii="Times New Roman" w:hAnsi="Times New Roman" w:cs="Times New Roman"/>
          <w:color w:val="000000" w:themeColor="text1"/>
          <w:sz w:val="26"/>
          <w:szCs w:val="26"/>
        </w:rPr>
        <w:t>представлена в Приложении 2/2.2.</w:t>
      </w:r>
    </w:p>
    <w:p w14:paraId="0D8E4648" w14:textId="77777777" w:rsidR="000B0C76" w:rsidRPr="00F562A8" w:rsidRDefault="000B0C76" w:rsidP="000B0C76">
      <w:pPr>
        <w:spacing w:before="120" w:after="0" w:line="276" w:lineRule="auto"/>
        <w:jc w:val="center"/>
        <w:rPr>
          <w:rFonts w:ascii="Times New Roman" w:hAnsi="Times New Roman" w:cs="Times New Roman"/>
          <w:i/>
          <w:sz w:val="26"/>
          <w:szCs w:val="26"/>
        </w:rPr>
      </w:pPr>
      <w:r w:rsidRPr="00F562A8">
        <w:rPr>
          <w:rFonts w:ascii="Times New Roman" w:hAnsi="Times New Roman" w:cs="Times New Roman"/>
          <w:i/>
          <w:sz w:val="26"/>
          <w:szCs w:val="26"/>
        </w:rPr>
        <w:t xml:space="preserve">Описание схемы оценочного зонирования Воронежской области </w:t>
      </w:r>
      <w:r w:rsidRPr="00F562A8">
        <w:rPr>
          <w:rFonts w:ascii="Times New Roman" w:hAnsi="Times New Roman" w:cs="Times New Roman"/>
          <w:i/>
          <w:sz w:val="26"/>
          <w:szCs w:val="26"/>
        </w:rPr>
        <w:br/>
        <w:t>по сегменту 4 «Предпринимательство»</w:t>
      </w:r>
    </w:p>
    <w:p w14:paraId="262AF717" w14:textId="77777777" w:rsidR="000B0C76" w:rsidRDefault="000B0C76" w:rsidP="000B0C76">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проведения оценочного зонирования Учреждением был проведен анализ распределения рыночной информации сегмента 4 «Предпринимательство». Руководствуясь проведенным анализом достаточное количество рыночной </w:t>
      </w:r>
      <w:r w:rsidRPr="007264BA">
        <w:rPr>
          <w:rFonts w:ascii="Times New Roman" w:hAnsi="Times New Roman" w:cs="Times New Roman"/>
          <w:sz w:val="26"/>
          <w:szCs w:val="26"/>
        </w:rPr>
        <w:t>информации по указанному сегменту зафиксировано только в городе Воронеж.</w:t>
      </w:r>
      <w:r w:rsidRPr="00F562A8">
        <w:rPr>
          <w:rFonts w:ascii="Times New Roman" w:hAnsi="Times New Roman" w:cs="Times New Roman"/>
          <w:sz w:val="26"/>
          <w:szCs w:val="26"/>
        </w:rPr>
        <w:t xml:space="preserve"> </w:t>
      </w:r>
    </w:p>
    <w:p w14:paraId="5955E7C3" w14:textId="77777777" w:rsidR="000B0C76" w:rsidRPr="00935BD9" w:rsidRDefault="000B0C76" w:rsidP="000B0C76">
      <w:pPr>
        <w:spacing w:after="120" w:line="276" w:lineRule="auto"/>
        <w:ind w:firstLine="567"/>
        <w:jc w:val="center"/>
        <w:rPr>
          <w:rFonts w:ascii="Times New Roman" w:hAnsi="Times New Roman" w:cs="Times New Roman"/>
          <w:sz w:val="28"/>
          <w:szCs w:val="28"/>
        </w:rPr>
      </w:pPr>
      <w:r w:rsidRPr="00935BD9">
        <w:rPr>
          <w:rFonts w:ascii="Times New Roman" w:hAnsi="Times New Roman" w:cs="Times New Roman"/>
          <w:sz w:val="28"/>
          <w:szCs w:val="28"/>
        </w:rPr>
        <w:t>Расчет рыночной стоимости типовых земельных участков.</w:t>
      </w:r>
    </w:p>
    <w:p w14:paraId="4FA90116" w14:textId="77777777" w:rsidR="000B0C76" w:rsidRPr="007264BA" w:rsidRDefault="000B0C76" w:rsidP="000B0C76">
      <w:pPr>
        <w:suppressAutoHyphens/>
        <w:autoSpaceDN w:val="0"/>
        <w:spacing w:after="0" w:line="276" w:lineRule="auto"/>
        <w:ind w:firstLine="567"/>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eastAsia="ru-RU"/>
        </w:rPr>
        <w:t>При проведении анализа рыночных цен выбран типовой объект со следующими характеристиками:</w:t>
      </w:r>
    </w:p>
    <w:p w14:paraId="219B980A" w14:textId="77777777" w:rsidR="000B0C76" w:rsidRPr="007264BA" w:rsidRDefault="000B0C76" w:rsidP="000B0C76">
      <w:pPr>
        <w:numPr>
          <w:ilvl w:val="0"/>
          <w:numId w:val="30"/>
        </w:numPr>
        <w:suppressAutoHyphens/>
        <w:autoSpaceDN w:val="0"/>
        <w:spacing w:after="0" w:line="276" w:lineRule="auto"/>
        <w:ind w:left="1418" w:firstLine="0"/>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eastAsia="ru-RU"/>
        </w:rPr>
        <w:t>Тип (вид) объектов недвижимости– земельный участок.</w:t>
      </w:r>
    </w:p>
    <w:p w14:paraId="69247273" w14:textId="77777777" w:rsidR="000B0C76" w:rsidRPr="007264BA" w:rsidRDefault="000B0C76" w:rsidP="000B0C76">
      <w:pPr>
        <w:numPr>
          <w:ilvl w:val="0"/>
          <w:numId w:val="30"/>
        </w:numPr>
        <w:suppressAutoHyphens/>
        <w:autoSpaceDN w:val="0"/>
        <w:spacing w:after="0" w:line="276" w:lineRule="auto"/>
        <w:ind w:left="1418" w:firstLine="0"/>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eastAsia="ru-RU"/>
        </w:rPr>
        <w:t>Вид использования–торгово-офисное.</w:t>
      </w:r>
    </w:p>
    <w:p w14:paraId="3647962C" w14:textId="77777777" w:rsidR="000B0C76" w:rsidRDefault="000B0C76" w:rsidP="000B0C76">
      <w:pPr>
        <w:numPr>
          <w:ilvl w:val="0"/>
          <w:numId w:val="30"/>
        </w:numPr>
        <w:suppressAutoHyphens/>
        <w:autoSpaceDN w:val="0"/>
        <w:spacing w:after="0" w:line="276" w:lineRule="auto"/>
        <w:ind w:left="1418" w:firstLine="0"/>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val="en-US" w:eastAsia="ru-RU"/>
        </w:rPr>
        <w:t>Имущественные права - собственность</w:t>
      </w:r>
      <w:r w:rsidRPr="007264BA">
        <w:rPr>
          <w:rFonts w:ascii="Times New Roman" w:eastAsia="Times New Roman" w:hAnsi="Times New Roman" w:cs="Times New Roman"/>
          <w:sz w:val="26"/>
          <w:szCs w:val="26"/>
          <w:lang w:eastAsia="ru-RU"/>
        </w:rPr>
        <w:t>.</w:t>
      </w:r>
    </w:p>
    <w:p w14:paraId="7358DB24" w14:textId="77777777" w:rsidR="000B0C76" w:rsidRPr="007264BA" w:rsidRDefault="000B0C76" w:rsidP="000B0C76">
      <w:pPr>
        <w:suppressAutoHyphens/>
        <w:autoSpaceDN w:val="0"/>
        <w:spacing w:after="0" w:line="276" w:lineRule="auto"/>
        <w:ind w:left="1418"/>
        <w:jc w:val="both"/>
        <w:textAlignment w:val="baseline"/>
        <w:rPr>
          <w:rFonts w:ascii="Times New Roman" w:eastAsia="Times New Roman" w:hAnsi="Times New Roman" w:cs="Times New Roman"/>
          <w:sz w:val="26"/>
          <w:szCs w:val="26"/>
          <w:lang w:eastAsia="ru-RU"/>
        </w:rPr>
      </w:pPr>
    </w:p>
    <w:p w14:paraId="32DBE705" w14:textId="77777777" w:rsidR="000B0C76" w:rsidRPr="007264BA" w:rsidRDefault="000B0C76" w:rsidP="000B0C76">
      <w:pPr>
        <w:tabs>
          <w:tab w:val="right" w:pos="9072"/>
        </w:tabs>
        <w:suppressAutoHyphens/>
        <w:autoSpaceDN w:val="0"/>
        <w:spacing w:after="120" w:line="276" w:lineRule="auto"/>
        <w:ind w:firstLine="567"/>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eastAsia="ru-RU"/>
        </w:rPr>
        <w:t xml:space="preserve">Для сопоставимости был введен ряд корректирующих коэффициентов. </w:t>
      </w:r>
    </w:p>
    <w:p w14:paraId="393A76DF" w14:textId="77777777" w:rsidR="000B0C76" w:rsidRPr="00945FC1" w:rsidRDefault="000B0C76" w:rsidP="000B0C76">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торг</w:t>
      </w:r>
    </w:p>
    <w:p w14:paraId="12EF0A81" w14:textId="77777777" w:rsidR="000B0C76" w:rsidRDefault="000B0C76" w:rsidP="000B0C76">
      <w:pPr>
        <w:spacing w:before="120" w:after="0" w:line="300" w:lineRule="auto"/>
        <w:ind w:firstLine="567"/>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При продаже земельных участков на рынке недвижимости возможно снижение цены сделки за счет уторговывания. </w:t>
      </w:r>
      <w:r>
        <w:rPr>
          <w:rFonts w:ascii="Times New Roman" w:eastAsia="Times New Roman" w:hAnsi="Times New Roman" w:cs="Times New Roman"/>
          <w:sz w:val="26"/>
          <w:szCs w:val="26"/>
          <w:lang w:eastAsia="ru-RU"/>
        </w:rPr>
        <w:t xml:space="preserve">Так как в представленной рыночной выборке содержится информация и по предложениям, и по сделкам, удельные показатели цены предложения по продаже объектов-аналогов были скорректированы на тип сделки (скидка на торг). </w:t>
      </w:r>
      <w:r>
        <w:rPr>
          <w:rFonts w:ascii="Times New Roman" w:eastAsia="Calibri" w:hAnsi="Times New Roman" w:cs="Times New Roman"/>
          <w:sz w:val="26"/>
          <w:szCs w:val="26"/>
        </w:rPr>
        <w:t>Величина скидки на торг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107" w:history="1">
        <w:r w:rsidRPr="00A67AF4">
          <w:rPr>
            <w:rStyle w:val="ad"/>
            <w:rFonts w:cs="Times New Roman"/>
            <w:szCs w:val="26"/>
          </w:rPr>
          <w:t>https://statrielt.ru/</w:t>
        </w:r>
      </w:hyperlink>
      <w:r w:rsidRPr="00A67AF4">
        <w:rPr>
          <w:rFonts w:ascii="Times New Roman" w:hAnsi="Times New Roman" w:cs="Times New Roman"/>
          <w:sz w:val="26"/>
          <w:szCs w:val="26"/>
        </w:rPr>
        <w:t>).</w:t>
      </w:r>
    </w:p>
    <w:p w14:paraId="7772A0E5" w14:textId="77777777" w:rsidR="000B0C76" w:rsidRDefault="000B0C76" w:rsidP="000B0C76">
      <w:pPr>
        <w:jc w:val="both"/>
      </w:pPr>
      <w:r w:rsidRPr="00376FBD">
        <w:rPr>
          <w:noProof/>
          <w:lang w:eastAsia="ru-RU"/>
        </w:rPr>
        <w:drawing>
          <wp:inline distT="0" distB="0" distL="0" distR="0" wp14:anchorId="23FF032C" wp14:editId="092980CF">
            <wp:extent cx="5940425" cy="3869690"/>
            <wp:effectExtent l="0" t="0" r="3175"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869690"/>
                    </a:xfrm>
                    <a:prstGeom prst="rect">
                      <a:avLst/>
                    </a:prstGeom>
                  </pic:spPr>
                </pic:pic>
              </a:graphicData>
            </a:graphic>
          </wp:inline>
        </w:drawing>
      </w:r>
    </w:p>
    <w:p w14:paraId="03936D94" w14:textId="1CD7D6E0" w:rsidR="000B0C76" w:rsidRPr="00A67AF4" w:rsidRDefault="000B0C76" w:rsidP="000B0C76">
      <w:pPr>
        <w:spacing w:after="0" w:line="300" w:lineRule="auto"/>
        <w:ind w:firstLine="567"/>
        <w:jc w:val="center"/>
        <w:rPr>
          <w:rFonts w:ascii="Times New Roman" w:eastAsia="Calibri" w:hAnsi="Times New Roman" w:cs="Times New Roman"/>
          <w:sz w:val="26"/>
          <w:szCs w:val="26"/>
        </w:rPr>
      </w:pPr>
      <w:r>
        <w:rPr>
          <w:rFonts w:ascii="Times New Roman" w:eastAsia="Calibri" w:hAnsi="Times New Roman" w:cs="Times New Roman"/>
          <w:sz w:val="26"/>
          <w:szCs w:val="26"/>
        </w:rPr>
        <w:t>Рис.3.2.4- Скидка на торг, уторгование при продаже земельных участков на 01.01.2022 года по данным некоммерческой организации «Ассоциация развития рынка недвижимости «</w:t>
      </w:r>
      <w:r w:rsidRPr="00A67AF4">
        <w:rPr>
          <w:rFonts w:ascii="Times New Roman" w:eastAsia="Calibri" w:hAnsi="Times New Roman" w:cs="Times New Roman"/>
          <w:sz w:val="26"/>
          <w:szCs w:val="26"/>
        </w:rPr>
        <w:t>СтатРиелт»</w:t>
      </w:r>
      <w:r>
        <w:rPr>
          <w:rStyle w:val="af2"/>
          <w:rFonts w:ascii="Times New Roman" w:eastAsia="Calibri" w:hAnsi="Times New Roman" w:cs="Times New Roman"/>
          <w:sz w:val="26"/>
          <w:szCs w:val="26"/>
        </w:rPr>
        <w:footnoteReference w:id="108"/>
      </w:r>
      <w:r w:rsidRPr="00A67AF4">
        <w:rPr>
          <w:rFonts w:ascii="Times New Roman" w:eastAsia="Calibri" w:hAnsi="Times New Roman" w:cs="Times New Roman"/>
          <w:sz w:val="26"/>
          <w:szCs w:val="26"/>
        </w:rPr>
        <w:t xml:space="preserve"> </w:t>
      </w:r>
    </w:p>
    <w:p w14:paraId="49DF67F5" w14:textId="77777777" w:rsidR="000B0C76" w:rsidRPr="00650F12" w:rsidRDefault="000B0C76" w:rsidP="000B0C76">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данном случае размер скидки на торг принимаем как для земель населенных пунктов для смешанной коммерческой застройки, значения лежат в доверительном интервале от 0,90 до 0,97 и в среднем по РФ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94</w:t>
      </w:r>
      <w:r>
        <w:rPr>
          <w:rFonts w:ascii="Times New Roman" w:eastAsia="Calibri" w:hAnsi="Times New Roman" w:cs="Times New Roman"/>
          <w:sz w:val="26"/>
          <w:szCs w:val="26"/>
        </w:rPr>
        <w:t xml:space="preserve"> (раздел «</w:t>
      </w:r>
      <w:r w:rsidRPr="00CB1B3C">
        <w:rPr>
          <w:rFonts w:ascii="Times New Roman" w:hAnsi="Times New Roman" w:cs="Times New Roman"/>
          <w:sz w:val="26"/>
          <w:szCs w:val="26"/>
        </w:rPr>
        <w:t>Скидка на торг, уторгование при продаже земельных участков на 01.</w:t>
      </w:r>
      <w:r>
        <w:rPr>
          <w:rFonts w:ascii="Times New Roman" w:hAnsi="Times New Roman" w:cs="Times New Roman"/>
          <w:sz w:val="26"/>
          <w:szCs w:val="26"/>
        </w:rPr>
        <w:t>01</w:t>
      </w:r>
      <w:r w:rsidRPr="00CB1B3C">
        <w:rPr>
          <w:rFonts w:ascii="Times New Roman" w:hAnsi="Times New Roman" w:cs="Times New Roman"/>
          <w:sz w:val="26"/>
          <w:szCs w:val="26"/>
        </w:rPr>
        <w:t>.202</w:t>
      </w:r>
      <w:r>
        <w:rPr>
          <w:rFonts w:ascii="Times New Roman" w:hAnsi="Times New Roman" w:cs="Times New Roman"/>
          <w:sz w:val="26"/>
          <w:szCs w:val="26"/>
        </w:rPr>
        <w:t>2</w:t>
      </w:r>
      <w:r w:rsidRPr="00CB1B3C">
        <w:rPr>
          <w:rFonts w:ascii="Times New Roman" w:hAnsi="Times New Roman" w:cs="Times New Roman"/>
          <w:sz w:val="26"/>
          <w:szCs w:val="26"/>
        </w:rPr>
        <w:t xml:space="preserve"> года</w:t>
      </w:r>
      <w:r>
        <w:rPr>
          <w:rFonts w:ascii="Times New Roman" w:hAnsi="Times New Roman" w:cs="Times New Roman"/>
          <w:sz w:val="26"/>
          <w:szCs w:val="26"/>
        </w:rPr>
        <w:t>»)</w:t>
      </w:r>
      <w:r>
        <w:rPr>
          <w:rFonts w:ascii="Times New Roman" w:eastAsia="Calibri" w:hAnsi="Times New Roman" w:cs="Times New Roman"/>
          <w:sz w:val="26"/>
          <w:szCs w:val="26"/>
        </w:rPr>
        <w:t xml:space="preserve">. Принято среднее значение диапазона. </w:t>
      </w:r>
      <w:r w:rsidRPr="006164A1">
        <w:rPr>
          <w:rFonts w:ascii="Times New Roman" w:eastAsia="Calibri" w:hAnsi="Times New Roman" w:cs="Times New Roman"/>
          <w:sz w:val="26"/>
          <w:szCs w:val="26"/>
        </w:rPr>
        <w:t xml:space="preserve">Для земель лесного фонда, а также земель сельскохозяйственного назначения принимаем корректировку также </w:t>
      </w:r>
      <w:r w:rsidRPr="00BC0681">
        <w:rPr>
          <w:rFonts w:ascii="Times New Roman" w:eastAsia="Calibri" w:hAnsi="Times New Roman" w:cs="Times New Roman"/>
          <w:b/>
          <w:sz w:val="26"/>
          <w:szCs w:val="26"/>
        </w:rPr>
        <w:t>0,94</w:t>
      </w:r>
      <w:r w:rsidRPr="006164A1">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Для объектов, которые расположены на землях промышленности, значения лежат в доверительном интервале от 0,79 до 0,94 и в среднем по РФ составляет </w:t>
      </w:r>
      <w:r w:rsidRPr="00650F12">
        <w:rPr>
          <w:rFonts w:ascii="Times New Roman" w:eastAsia="Calibri" w:hAnsi="Times New Roman" w:cs="Times New Roman"/>
          <w:b/>
          <w:sz w:val="26"/>
          <w:szCs w:val="26"/>
        </w:rPr>
        <w:t>0,8</w:t>
      </w:r>
      <w:r>
        <w:rPr>
          <w:rFonts w:ascii="Times New Roman" w:eastAsia="Calibri" w:hAnsi="Times New Roman" w:cs="Times New Roman"/>
          <w:b/>
          <w:sz w:val="26"/>
          <w:szCs w:val="26"/>
        </w:rPr>
        <w:t>7</w:t>
      </w:r>
      <w:r w:rsidRPr="00650F12">
        <w:rPr>
          <w:rFonts w:ascii="Times New Roman" w:eastAsia="Calibri" w:hAnsi="Times New Roman" w:cs="Times New Roman"/>
          <w:sz w:val="26"/>
          <w:szCs w:val="26"/>
        </w:rPr>
        <w:t xml:space="preserve"> (также принято среднее значение диапазона).</w:t>
      </w:r>
    </w:p>
    <w:p w14:paraId="1AA40DC1" w14:textId="77777777" w:rsidR="000B0C76" w:rsidRPr="00945FC1" w:rsidRDefault="000B0C76" w:rsidP="000B0C76">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дату</w:t>
      </w:r>
    </w:p>
    <w:p w14:paraId="22B0603C" w14:textId="77777777" w:rsidR="000B0C76" w:rsidRDefault="000B0C76" w:rsidP="000B0C76">
      <w:pPr>
        <w:spacing w:after="0" w:line="300" w:lineRule="auto"/>
        <w:ind w:firstLine="708"/>
        <w:jc w:val="both"/>
        <w:rPr>
          <w:rFonts w:ascii="Times New Roman" w:hAnsi="Times New Roman" w:cs="Times New Roman"/>
          <w:b/>
          <w:sz w:val="26"/>
          <w:szCs w:val="26"/>
        </w:rPr>
      </w:pPr>
      <w:r>
        <w:rPr>
          <w:rFonts w:ascii="Times New Roman" w:hAnsi="Times New Roman" w:cs="Times New Roman"/>
          <w:sz w:val="26"/>
          <w:szCs w:val="26"/>
        </w:rPr>
        <w:t xml:space="preserve">Изменение рыночной конъюнктуры, условия которой могут сильно отразиться на стоимости объекта недвижимости, происходят с течением времени. </w:t>
      </w:r>
      <w:r>
        <w:rPr>
          <w:rFonts w:ascii="Times New Roman" w:eastAsia="Calibri" w:hAnsi="Times New Roman" w:cs="Times New Roman"/>
          <w:sz w:val="26"/>
          <w:szCs w:val="26"/>
        </w:rPr>
        <w:t xml:space="preserve">Корректировка на дату учитывает изменение цен на земельные участки за период с даты заключения сделки (предложения) с объектом-аналогом до даты проведения настоящей оценки. </w:t>
      </w:r>
    </w:p>
    <w:p w14:paraId="63689D56" w14:textId="77777777" w:rsidR="000B0C76" w:rsidRDefault="000B0C76" w:rsidP="000B0C76">
      <w:pPr>
        <w:jc w:val="center"/>
      </w:pPr>
      <w:r w:rsidRPr="00376FBD">
        <w:rPr>
          <w:noProof/>
          <w:lang w:eastAsia="ru-RU"/>
        </w:rPr>
        <w:drawing>
          <wp:inline distT="0" distB="0" distL="0" distR="0" wp14:anchorId="183F462A" wp14:editId="006D16AD">
            <wp:extent cx="5540375" cy="3710956"/>
            <wp:effectExtent l="0" t="0" r="3175" b="381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44043" cy="3713413"/>
                    </a:xfrm>
                    <a:prstGeom prst="rect">
                      <a:avLst/>
                    </a:prstGeom>
                  </pic:spPr>
                </pic:pic>
              </a:graphicData>
            </a:graphic>
          </wp:inline>
        </w:drawing>
      </w:r>
    </w:p>
    <w:p w14:paraId="3F68C748" w14:textId="1620A42D" w:rsidR="000B0C76" w:rsidRDefault="000B0C76" w:rsidP="000B0C76">
      <w:pPr>
        <w:jc w:val="center"/>
        <w:rPr>
          <w:rFonts w:ascii="Times New Roman" w:eastAsia="Calibri" w:hAnsi="Times New Roman" w:cs="Times New Roman"/>
          <w:sz w:val="26"/>
          <w:szCs w:val="26"/>
        </w:rPr>
      </w:pPr>
      <w:r>
        <w:rPr>
          <w:rFonts w:ascii="Times New Roman" w:eastAsia="Calibri" w:hAnsi="Times New Roman" w:cs="Times New Roman"/>
          <w:sz w:val="26"/>
          <w:szCs w:val="26"/>
        </w:rPr>
        <w:t>Рис.3.2.5-</w:t>
      </w:r>
      <w:r w:rsidRPr="008C322D">
        <w:t xml:space="preserve"> </w:t>
      </w:r>
      <w:r w:rsidRPr="008C322D">
        <w:rPr>
          <w:rFonts w:ascii="Times New Roman" w:eastAsia="Calibri" w:hAnsi="Times New Roman" w:cs="Times New Roman"/>
          <w:sz w:val="26"/>
          <w:szCs w:val="26"/>
        </w:rPr>
        <w:t>Индексы изменения рыночных цен (в рублях) земельных участков</w:t>
      </w:r>
      <w:r>
        <w:rPr>
          <w:rFonts w:ascii="Times New Roman" w:eastAsia="Calibri" w:hAnsi="Times New Roman" w:cs="Times New Roman"/>
          <w:sz w:val="26"/>
          <w:szCs w:val="26"/>
        </w:rPr>
        <w:t xml:space="preserve"> по данным некоммерческой организации «Ассоциация развития рынка недвижимости «СтатРиелт»</w:t>
      </w:r>
      <w:r>
        <w:rPr>
          <w:rStyle w:val="af2"/>
          <w:rFonts w:ascii="Times New Roman" w:eastAsia="Calibri" w:hAnsi="Times New Roman" w:cs="Times New Roman"/>
          <w:sz w:val="26"/>
          <w:szCs w:val="26"/>
        </w:rPr>
        <w:footnoteReference w:id="109"/>
      </w:r>
      <w:r>
        <w:rPr>
          <w:rFonts w:ascii="Times New Roman" w:eastAsia="Calibri" w:hAnsi="Times New Roman" w:cs="Times New Roman"/>
          <w:sz w:val="26"/>
          <w:szCs w:val="26"/>
        </w:rPr>
        <w:t xml:space="preserve"> </w:t>
      </w:r>
    </w:p>
    <w:p w14:paraId="31B1E33C" w14:textId="77777777" w:rsidR="000B0C76" w:rsidRDefault="000B0C76" w:rsidP="000B0C76">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был произведен расчет корректировок, значения представлены далее в таблице.</w:t>
      </w:r>
    </w:p>
    <w:p w14:paraId="1067329E" w14:textId="77777777" w:rsidR="000B0C76" w:rsidRDefault="000B0C76" w:rsidP="000B0C76">
      <w:pPr>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3.2.4</w:t>
      </w:r>
    </w:p>
    <w:p w14:paraId="620D8541" w14:textId="77777777" w:rsidR="000B0C76" w:rsidRPr="002F6E4F" w:rsidRDefault="000B0C76" w:rsidP="000B0C76">
      <w:pPr>
        <w:jc w:val="center"/>
        <w:rPr>
          <w:rFonts w:ascii="Times New Roman" w:eastAsia="Calibri" w:hAnsi="Times New Roman" w:cs="Times New Roman"/>
          <w:sz w:val="26"/>
          <w:szCs w:val="26"/>
        </w:rPr>
      </w:pPr>
      <w:r>
        <w:rPr>
          <w:rFonts w:ascii="Times New Roman" w:eastAsia="Calibri" w:hAnsi="Times New Roman" w:cs="Times New Roman"/>
          <w:sz w:val="26"/>
          <w:szCs w:val="26"/>
        </w:rPr>
        <w:t>Размер корректировок на дату, рассчитанных на каждое полугодие</w:t>
      </w:r>
    </w:p>
    <w:tbl>
      <w:tblPr>
        <w:tblStyle w:val="ae"/>
        <w:tblW w:w="4927" w:type="pct"/>
        <w:jc w:val="center"/>
        <w:tblLayout w:type="fixed"/>
        <w:tblLook w:val="04A0" w:firstRow="1" w:lastRow="0" w:firstColumn="1" w:lastColumn="0" w:noHBand="0" w:noVBand="1"/>
      </w:tblPr>
      <w:tblGrid>
        <w:gridCol w:w="1130"/>
        <w:gridCol w:w="993"/>
        <w:gridCol w:w="1558"/>
        <w:gridCol w:w="1558"/>
        <w:gridCol w:w="654"/>
        <w:gridCol w:w="622"/>
        <w:gridCol w:w="993"/>
        <w:gridCol w:w="1700"/>
      </w:tblGrid>
      <w:tr w:rsidR="000B0C76" w:rsidRPr="008009AF" w14:paraId="7E4DCA8F" w14:textId="77777777" w:rsidTr="00E6223E">
        <w:trPr>
          <w:jc w:val="center"/>
        </w:trPr>
        <w:tc>
          <w:tcPr>
            <w:tcW w:w="614" w:type="pct"/>
            <w:vAlign w:val="center"/>
          </w:tcPr>
          <w:p w14:paraId="3BBDEEBF"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к 01.01.2022</w:t>
            </w:r>
          </w:p>
        </w:tc>
        <w:tc>
          <w:tcPr>
            <w:tcW w:w="539" w:type="pct"/>
            <w:vAlign w:val="center"/>
          </w:tcPr>
          <w:p w14:paraId="007CF0F4"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b/>
                <w:color w:val="000000"/>
                <w:szCs w:val="22"/>
              </w:rPr>
              <w:t>торговые и офисные здания</w:t>
            </w:r>
          </w:p>
        </w:tc>
        <w:tc>
          <w:tcPr>
            <w:tcW w:w="846" w:type="pct"/>
            <w:vAlign w:val="center"/>
          </w:tcPr>
          <w:p w14:paraId="543472C4"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color w:val="000000"/>
                <w:szCs w:val="22"/>
              </w:rPr>
              <w:t>промышленности, транспорта, связи и иного специального назначения</w:t>
            </w:r>
          </w:p>
        </w:tc>
        <w:tc>
          <w:tcPr>
            <w:tcW w:w="846" w:type="pct"/>
            <w:vAlign w:val="center"/>
          </w:tcPr>
          <w:p w14:paraId="7B23B6E5"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color w:val="000000"/>
                <w:szCs w:val="22"/>
              </w:rPr>
              <w:t>много-квартирное строительство</w:t>
            </w:r>
          </w:p>
        </w:tc>
        <w:tc>
          <w:tcPr>
            <w:tcW w:w="355" w:type="pct"/>
            <w:vAlign w:val="center"/>
          </w:tcPr>
          <w:p w14:paraId="242C77DD" w14:textId="77777777" w:rsidR="000B0C76" w:rsidRPr="008009AF" w:rsidRDefault="000B0C76" w:rsidP="00E6223E">
            <w:pPr>
              <w:jc w:val="center"/>
              <w:rPr>
                <w:rFonts w:ascii="Times New Roman" w:hAnsi="Times New Roman" w:cs="Times New Roman"/>
                <w:color w:val="000000"/>
                <w:szCs w:val="22"/>
              </w:rPr>
            </w:pPr>
            <w:r w:rsidRPr="008009AF">
              <w:rPr>
                <w:rFonts w:ascii="Times New Roman" w:hAnsi="Times New Roman" w:cs="Times New Roman"/>
                <w:color w:val="000000"/>
                <w:szCs w:val="22"/>
              </w:rPr>
              <w:t>ИЖС</w:t>
            </w:r>
          </w:p>
          <w:p w14:paraId="58FF18C0" w14:textId="77777777" w:rsidR="000B0C76" w:rsidRPr="008009AF" w:rsidRDefault="000B0C76" w:rsidP="00E6223E">
            <w:pPr>
              <w:jc w:val="center"/>
              <w:rPr>
                <w:rFonts w:ascii="Times New Roman" w:hAnsi="Times New Roman" w:cs="Times New Roman"/>
                <w:color w:val="000000"/>
                <w:szCs w:val="22"/>
              </w:rPr>
            </w:pPr>
            <w:r w:rsidRPr="008009AF">
              <w:rPr>
                <w:rFonts w:ascii="Times New Roman" w:hAnsi="Times New Roman" w:cs="Times New Roman"/>
                <w:color w:val="000000"/>
                <w:szCs w:val="22"/>
              </w:rPr>
              <w:t>и</w:t>
            </w:r>
          </w:p>
          <w:p w14:paraId="4D6551D2"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color w:val="000000"/>
                <w:szCs w:val="22"/>
              </w:rPr>
              <w:t>ЛПХ</w:t>
            </w:r>
          </w:p>
        </w:tc>
        <w:tc>
          <w:tcPr>
            <w:tcW w:w="338" w:type="pct"/>
            <w:vAlign w:val="center"/>
          </w:tcPr>
          <w:p w14:paraId="4300B77C"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color w:val="000000"/>
                <w:szCs w:val="22"/>
              </w:rPr>
              <w:t>СНТ и ДНП</w:t>
            </w:r>
          </w:p>
        </w:tc>
        <w:tc>
          <w:tcPr>
            <w:tcW w:w="539" w:type="pct"/>
            <w:vAlign w:val="center"/>
          </w:tcPr>
          <w:p w14:paraId="0D8BF3DB"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color w:val="000000"/>
                <w:szCs w:val="22"/>
              </w:rPr>
              <w:t>С/х назна-чения</w:t>
            </w:r>
          </w:p>
        </w:tc>
        <w:tc>
          <w:tcPr>
            <w:tcW w:w="923" w:type="pct"/>
            <w:vAlign w:val="center"/>
          </w:tcPr>
          <w:p w14:paraId="4D16C9F0"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color w:val="000000"/>
                <w:szCs w:val="22"/>
              </w:rPr>
              <w:t>сельскохозяйственного назначения с возможностью или перспективой строительства коммерческих зданий</w:t>
            </w:r>
          </w:p>
        </w:tc>
      </w:tr>
      <w:tr w:rsidR="000B0C76" w:rsidRPr="008009AF" w14:paraId="29556073" w14:textId="77777777" w:rsidTr="00E6223E">
        <w:trPr>
          <w:jc w:val="center"/>
        </w:trPr>
        <w:tc>
          <w:tcPr>
            <w:tcW w:w="614" w:type="pct"/>
            <w:vAlign w:val="center"/>
          </w:tcPr>
          <w:p w14:paraId="0960D001"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color w:val="000000"/>
                <w:szCs w:val="22"/>
              </w:rPr>
              <w:t>01.01.2018 по 30.06.2018</w:t>
            </w:r>
          </w:p>
        </w:tc>
        <w:tc>
          <w:tcPr>
            <w:tcW w:w="539" w:type="pct"/>
            <w:vAlign w:val="center"/>
          </w:tcPr>
          <w:p w14:paraId="62187A2C"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b/>
                <w:szCs w:val="22"/>
              </w:rPr>
              <w:t>1,04</w:t>
            </w:r>
          </w:p>
        </w:tc>
        <w:tc>
          <w:tcPr>
            <w:tcW w:w="846" w:type="pct"/>
            <w:vAlign w:val="center"/>
          </w:tcPr>
          <w:p w14:paraId="6013D295"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0,99</w:t>
            </w:r>
          </w:p>
        </w:tc>
        <w:tc>
          <w:tcPr>
            <w:tcW w:w="846" w:type="pct"/>
            <w:vAlign w:val="center"/>
          </w:tcPr>
          <w:p w14:paraId="73828DD8"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1,31</w:t>
            </w:r>
          </w:p>
        </w:tc>
        <w:tc>
          <w:tcPr>
            <w:tcW w:w="355" w:type="pct"/>
            <w:vAlign w:val="center"/>
          </w:tcPr>
          <w:p w14:paraId="72889100"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1,16</w:t>
            </w:r>
          </w:p>
        </w:tc>
        <w:tc>
          <w:tcPr>
            <w:tcW w:w="338" w:type="pct"/>
            <w:vAlign w:val="center"/>
          </w:tcPr>
          <w:p w14:paraId="7C2F9ED0"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1,14</w:t>
            </w:r>
          </w:p>
        </w:tc>
        <w:tc>
          <w:tcPr>
            <w:tcW w:w="539" w:type="pct"/>
            <w:vAlign w:val="center"/>
          </w:tcPr>
          <w:p w14:paraId="49EC8E78"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szCs w:val="22"/>
              </w:rPr>
              <w:t>1,15</w:t>
            </w:r>
          </w:p>
        </w:tc>
        <w:tc>
          <w:tcPr>
            <w:tcW w:w="923" w:type="pct"/>
            <w:vAlign w:val="center"/>
          </w:tcPr>
          <w:p w14:paraId="132263A5"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1,11</w:t>
            </w:r>
          </w:p>
        </w:tc>
      </w:tr>
      <w:tr w:rsidR="000B0C76" w:rsidRPr="008009AF" w14:paraId="114AAD61" w14:textId="77777777" w:rsidTr="00E6223E">
        <w:trPr>
          <w:jc w:val="center"/>
        </w:trPr>
        <w:tc>
          <w:tcPr>
            <w:tcW w:w="614" w:type="pct"/>
            <w:vAlign w:val="center"/>
          </w:tcPr>
          <w:p w14:paraId="4B61D566"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color w:val="000000"/>
                <w:szCs w:val="22"/>
              </w:rPr>
              <w:t>01.07.2018 по 31.12.2018</w:t>
            </w:r>
          </w:p>
        </w:tc>
        <w:tc>
          <w:tcPr>
            <w:tcW w:w="539" w:type="pct"/>
            <w:vAlign w:val="center"/>
          </w:tcPr>
          <w:p w14:paraId="034477AF"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b/>
                <w:szCs w:val="22"/>
              </w:rPr>
              <w:t>1,04</w:t>
            </w:r>
          </w:p>
        </w:tc>
        <w:tc>
          <w:tcPr>
            <w:tcW w:w="846" w:type="pct"/>
            <w:vAlign w:val="center"/>
          </w:tcPr>
          <w:p w14:paraId="74B02EF1"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0,99</w:t>
            </w:r>
          </w:p>
        </w:tc>
        <w:tc>
          <w:tcPr>
            <w:tcW w:w="846" w:type="pct"/>
            <w:vAlign w:val="center"/>
          </w:tcPr>
          <w:p w14:paraId="2605C080"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1,30</w:t>
            </w:r>
          </w:p>
        </w:tc>
        <w:tc>
          <w:tcPr>
            <w:tcW w:w="355" w:type="pct"/>
            <w:vAlign w:val="center"/>
          </w:tcPr>
          <w:p w14:paraId="45B6BD1A"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1,17</w:t>
            </w:r>
          </w:p>
        </w:tc>
        <w:tc>
          <w:tcPr>
            <w:tcW w:w="338" w:type="pct"/>
            <w:vAlign w:val="center"/>
          </w:tcPr>
          <w:p w14:paraId="0E8156AE"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1,15</w:t>
            </w:r>
          </w:p>
        </w:tc>
        <w:tc>
          <w:tcPr>
            <w:tcW w:w="539" w:type="pct"/>
            <w:vAlign w:val="center"/>
          </w:tcPr>
          <w:p w14:paraId="12E70896"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szCs w:val="22"/>
              </w:rPr>
              <w:t>1,14</w:t>
            </w:r>
          </w:p>
        </w:tc>
        <w:tc>
          <w:tcPr>
            <w:tcW w:w="923" w:type="pct"/>
            <w:vAlign w:val="center"/>
          </w:tcPr>
          <w:p w14:paraId="44411EE2"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1,13</w:t>
            </w:r>
          </w:p>
        </w:tc>
      </w:tr>
      <w:tr w:rsidR="000B0C76" w:rsidRPr="008009AF" w14:paraId="2A62D571" w14:textId="77777777" w:rsidTr="00E6223E">
        <w:trPr>
          <w:jc w:val="center"/>
        </w:trPr>
        <w:tc>
          <w:tcPr>
            <w:tcW w:w="614" w:type="pct"/>
            <w:vAlign w:val="center"/>
          </w:tcPr>
          <w:p w14:paraId="78EA1D94"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color w:val="000000"/>
                <w:szCs w:val="22"/>
              </w:rPr>
              <w:t>01.01.2019 по 30.06.2019</w:t>
            </w:r>
          </w:p>
        </w:tc>
        <w:tc>
          <w:tcPr>
            <w:tcW w:w="539" w:type="pct"/>
            <w:vAlign w:val="center"/>
          </w:tcPr>
          <w:p w14:paraId="487DB193"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b/>
                <w:szCs w:val="22"/>
              </w:rPr>
              <w:t>1,04</w:t>
            </w:r>
          </w:p>
        </w:tc>
        <w:tc>
          <w:tcPr>
            <w:tcW w:w="846" w:type="pct"/>
            <w:vAlign w:val="center"/>
          </w:tcPr>
          <w:p w14:paraId="19122328"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0,99</w:t>
            </w:r>
          </w:p>
        </w:tc>
        <w:tc>
          <w:tcPr>
            <w:tcW w:w="846" w:type="pct"/>
            <w:vAlign w:val="center"/>
          </w:tcPr>
          <w:p w14:paraId="67DB6555"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1,28</w:t>
            </w:r>
          </w:p>
        </w:tc>
        <w:tc>
          <w:tcPr>
            <w:tcW w:w="355" w:type="pct"/>
            <w:vAlign w:val="center"/>
          </w:tcPr>
          <w:p w14:paraId="66CB69BC"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1,17</w:t>
            </w:r>
          </w:p>
        </w:tc>
        <w:tc>
          <w:tcPr>
            <w:tcW w:w="338" w:type="pct"/>
            <w:vAlign w:val="center"/>
          </w:tcPr>
          <w:p w14:paraId="24A434CE"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1,15</w:t>
            </w:r>
          </w:p>
        </w:tc>
        <w:tc>
          <w:tcPr>
            <w:tcW w:w="539" w:type="pct"/>
            <w:vAlign w:val="center"/>
          </w:tcPr>
          <w:p w14:paraId="4A8A7EB4"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szCs w:val="22"/>
              </w:rPr>
              <w:t>1,12</w:t>
            </w:r>
          </w:p>
        </w:tc>
        <w:tc>
          <w:tcPr>
            <w:tcW w:w="923" w:type="pct"/>
            <w:vAlign w:val="center"/>
          </w:tcPr>
          <w:p w14:paraId="3E2B9E40"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1,13</w:t>
            </w:r>
          </w:p>
        </w:tc>
      </w:tr>
      <w:tr w:rsidR="000B0C76" w:rsidRPr="008009AF" w14:paraId="31CA83F7" w14:textId="77777777" w:rsidTr="00E6223E">
        <w:trPr>
          <w:jc w:val="center"/>
        </w:trPr>
        <w:tc>
          <w:tcPr>
            <w:tcW w:w="614" w:type="pct"/>
            <w:vAlign w:val="center"/>
          </w:tcPr>
          <w:p w14:paraId="2CA321E0"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color w:val="000000"/>
                <w:szCs w:val="22"/>
              </w:rPr>
              <w:t>01.07.2019 по 31.12.2019</w:t>
            </w:r>
          </w:p>
        </w:tc>
        <w:tc>
          <w:tcPr>
            <w:tcW w:w="539" w:type="pct"/>
            <w:vAlign w:val="center"/>
          </w:tcPr>
          <w:p w14:paraId="09574F57"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b/>
                <w:szCs w:val="22"/>
              </w:rPr>
              <w:t>1,03</w:t>
            </w:r>
          </w:p>
        </w:tc>
        <w:tc>
          <w:tcPr>
            <w:tcW w:w="846" w:type="pct"/>
            <w:vAlign w:val="center"/>
          </w:tcPr>
          <w:p w14:paraId="758B8296"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0,97</w:t>
            </w:r>
          </w:p>
        </w:tc>
        <w:tc>
          <w:tcPr>
            <w:tcW w:w="846" w:type="pct"/>
            <w:vAlign w:val="center"/>
          </w:tcPr>
          <w:p w14:paraId="041DA75C"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1,24</w:t>
            </w:r>
          </w:p>
        </w:tc>
        <w:tc>
          <w:tcPr>
            <w:tcW w:w="355" w:type="pct"/>
            <w:vAlign w:val="center"/>
          </w:tcPr>
          <w:p w14:paraId="00AA396F"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1,15</w:t>
            </w:r>
          </w:p>
        </w:tc>
        <w:tc>
          <w:tcPr>
            <w:tcW w:w="338" w:type="pct"/>
            <w:vAlign w:val="center"/>
          </w:tcPr>
          <w:p w14:paraId="1D6A15F7"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1,13</w:t>
            </w:r>
          </w:p>
        </w:tc>
        <w:tc>
          <w:tcPr>
            <w:tcW w:w="539" w:type="pct"/>
            <w:vAlign w:val="center"/>
          </w:tcPr>
          <w:p w14:paraId="09D978E1"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szCs w:val="22"/>
              </w:rPr>
              <w:t>1,08</w:t>
            </w:r>
          </w:p>
        </w:tc>
        <w:tc>
          <w:tcPr>
            <w:tcW w:w="923" w:type="pct"/>
            <w:vAlign w:val="center"/>
          </w:tcPr>
          <w:p w14:paraId="76FF0E0A"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1,10</w:t>
            </w:r>
          </w:p>
        </w:tc>
      </w:tr>
      <w:tr w:rsidR="000B0C76" w:rsidRPr="008009AF" w14:paraId="3C030FF1" w14:textId="77777777" w:rsidTr="00E6223E">
        <w:trPr>
          <w:jc w:val="center"/>
        </w:trPr>
        <w:tc>
          <w:tcPr>
            <w:tcW w:w="614" w:type="pct"/>
            <w:vAlign w:val="center"/>
          </w:tcPr>
          <w:p w14:paraId="4135735F"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color w:val="000000"/>
                <w:szCs w:val="22"/>
              </w:rPr>
              <w:t>01.01.2020 по 30.06.2020</w:t>
            </w:r>
          </w:p>
        </w:tc>
        <w:tc>
          <w:tcPr>
            <w:tcW w:w="539" w:type="pct"/>
            <w:vAlign w:val="center"/>
          </w:tcPr>
          <w:p w14:paraId="3A97D8C8"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b/>
                <w:szCs w:val="22"/>
              </w:rPr>
              <w:t>1,01</w:t>
            </w:r>
          </w:p>
        </w:tc>
        <w:tc>
          <w:tcPr>
            <w:tcW w:w="846" w:type="pct"/>
            <w:vAlign w:val="center"/>
          </w:tcPr>
          <w:p w14:paraId="6E643F41"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0,95</w:t>
            </w:r>
          </w:p>
        </w:tc>
        <w:tc>
          <w:tcPr>
            <w:tcW w:w="846" w:type="pct"/>
            <w:vAlign w:val="center"/>
          </w:tcPr>
          <w:p w14:paraId="16DB8F36"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1,19</w:t>
            </w:r>
          </w:p>
        </w:tc>
        <w:tc>
          <w:tcPr>
            <w:tcW w:w="355" w:type="pct"/>
            <w:vAlign w:val="center"/>
          </w:tcPr>
          <w:p w14:paraId="0011C1FE"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1,14</w:t>
            </w:r>
          </w:p>
        </w:tc>
        <w:tc>
          <w:tcPr>
            <w:tcW w:w="338" w:type="pct"/>
            <w:vAlign w:val="center"/>
          </w:tcPr>
          <w:p w14:paraId="444BE9AA"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1,10</w:t>
            </w:r>
          </w:p>
        </w:tc>
        <w:tc>
          <w:tcPr>
            <w:tcW w:w="539" w:type="pct"/>
            <w:vAlign w:val="center"/>
          </w:tcPr>
          <w:p w14:paraId="2F500809"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szCs w:val="22"/>
              </w:rPr>
              <w:t>1,05</w:t>
            </w:r>
          </w:p>
        </w:tc>
        <w:tc>
          <w:tcPr>
            <w:tcW w:w="923" w:type="pct"/>
            <w:vAlign w:val="center"/>
          </w:tcPr>
          <w:p w14:paraId="2C510A40"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1,08</w:t>
            </w:r>
          </w:p>
        </w:tc>
      </w:tr>
      <w:tr w:rsidR="000B0C76" w:rsidRPr="008009AF" w14:paraId="2F21C2F1" w14:textId="77777777" w:rsidTr="00E6223E">
        <w:trPr>
          <w:jc w:val="center"/>
        </w:trPr>
        <w:tc>
          <w:tcPr>
            <w:tcW w:w="614" w:type="pct"/>
            <w:vAlign w:val="center"/>
          </w:tcPr>
          <w:p w14:paraId="5C877075"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color w:val="000000"/>
                <w:szCs w:val="22"/>
              </w:rPr>
              <w:t>01.07.2020 по 31.12.2020</w:t>
            </w:r>
          </w:p>
        </w:tc>
        <w:tc>
          <w:tcPr>
            <w:tcW w:w="539" w:type="pct"/>
            <w:vAlign w:val="center"/>
          </w:tcPr>
          <w:p w14:paraId="52F22586"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b/>
                <w:szCs w:val="22"/>
              </w:rPr>
              <w:t>1,05</w:t>
            </w:r>
          </w:p>
        </w:tc>
        <w:tc>
          <w:tcPr>
            <w:tcW w:w="846" w:type="pct"/>
            <w:vAlign w:val="center"/>
          </w:tcPr>
          <w:p w14:paraId="2E966A89"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0,98</w:t>
            </w:r>
          </w:p>
        </w:tc>
        <w:tc>
          <w:tcPr>
            <w:tcW w:w="846" w:type="pct"/>
            <w:vAlign w:val="center"/>
          </w:tcPr>
          <w:p w14:paraId="5B81CFFA"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1,17</w:t>
            </w:r>
          </w:p>
        </w:tc>
        <w:tc>
          <w:tcPr>
            <w:tcW w:w="355" w:type="pct"/>
            <w:vAlign w:val="center"/>
          </w:tcPr>
          <w:p w14:paraId="1E148B3B"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1,11</w:t>
            </w:r>
          </w:p>
        </w:tc>
        <w:tc>
          <w:tcPr>
            <w:tcW w:w="338" w:type="pct"/>
            <w:vAlign w:val="center"/>
          </w:tcPr>
          <w:p w14:paraId="152E0F02"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1,09</w:t>
            </w:r>
          </w:p>
        </w:tc>
        <w:tc>
          <w:tcPr>
            <w:tcW w:w="539" w:type="pct"/>
            <w:vAlign w:val="center"/>
          </w:tcPr>
          <w:p w14:paraId="23027886"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szCs w:val="22"/>
              </w:rPr>
              <w:t>1,03</w:t>
            </w:r>
          </w:p>
        </w:tc>
        <w:tc>
          <w:tcPr>
            <w:tcW w:w="923" w:type="pct"/>
            <w:vAlign w:val="center"/>
          </w:tcPr>
          <w:p w14:paraId="30D67A62"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1,07</w:t>
            </w:r>
          </w:p>
        </w:tc>
      </w:tr>
      <w:tr w:rsidR="000B0C76" w:rsidRPr="008009AF" w14:paraId="11DFACAB" w14:textId="77777777" w:rsidTr="00E6223E">
        <w:trPr>
          <w:jc w:val="center"/>
        </w:trPr>
        <w:tc>
          <w:tcPr>
            <w:tcW w:w="614" w:type="pct"/>
            <w:vAlign w:val="center"/>
          </w:tcPr>
          <w:p w14:paraId="3D405A03"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color w:val="000000"/>
                <w:szCs w:val="22"/>
              </w:rPr>
              <w:t>01.01.2021 по 30.06.2021</w:t>
            </w:r>
          </w:p>
        </w:tc>
        <w:tc>
          <w:tcPr>
            <w:tcW w:w="539" w:type="pct"/>
            <w:vAlign w:val="center"/>
          </w:tcPr>
          <w:p w14:paraId="68CA0359"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b/>
                <w:szCs w:val="22"/>
              </w:rPr>
              <w:t>1,04</w:t>
            </w:r>
          </w:p>
        </w:tc>
        <w:tc>
          <w:tcPr>
            <w:tcW w:w="846" w:type="pct"/>
            <w:vAlign w:val="center"/>
          </w:tcPr>
          <w:p w14:paraId="28EF5A81"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0,98</w:t>
            </w:r>
          </w:p>
        </w:tc>
        <w:tc>
          <w:tcPr>
            <w:tcW w:w="846" w:type="pct"/>
            <w:vAlign w:val="center"/>
          </w:tcPr>
          <w:p w14:paraId="016FD34B"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1,07</w:t>
            </w:r>
          </w:p>
        </w:tc>
        <w:tc>
          <w:tcPr>
            <w:tcW w:w="355" w:type="pct"/>
            <w:vAlign w:val="center"/>
          </w:tcPr>
          <w:p w14:paraId="3A09A236"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1,06</w:t>
            </w:r>
          </w:p>
        </w:tc>
        <w:tc>
          <w:tcPr>
            <w:tcW w:w="338" w:type="pct"/>
            <w:vAlign w:val="center"/>
          </w:tcPr>
          <w:p w14:paraId="1EA0D3C7"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1,04</w:t>
            </w:r>
          </w:p>
        </w:tc>
        <w:tc>
          <w:tcPr>
            <w:tcW w:w="539" w:type="pct"/>
            <w:vAlign w:val="center"/>
          </w:tcPr>
          <w:p w14:paraId="1AE9364A"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szCs w:val="22"/>
              </w:rPr>
              <w:t>1,01</w:t>
            </w:r>
          </w:p>
        </w:tc>
        <w:tc>
          <w:tcPr>
            <w:tcW w:w="923" w:type="pct"/>
            <w:vAlign w:val="center"/>
          </w:tcPr>
          <w:p w14:paraId="7FD462CF"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1,02</w:t>
            </w:r>
          </w:p>
        </w:tc>
      </w:tr>
      <w:tr w:rsidR="000B0C76" w:rsidRPr="008009AF" w14:paraId="4F99B21E" w14:textId="77777777" w:rsidTr="00E6223E">
        <w:trPr>
          <w:jc w:val="center"/>
        </w:trPr>
        <w:tc>
          <w:tcPr>
            <w:tcW w:w="614" w:type="pct"/>
            <w:vAlign w:val="center"/>
          </w:tcPr>
          <w:p w14:paraId="4CEFCD33"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color w:val="000000"/>
                <w:szCs w:val="22"/>
              </w:rPr>
              <w:t>01.07.2021 по 31.12.2021</w:t>
            </w:r>
          </w:p>
        </w:tc>
        <w:tc>
          <w:tcPr>
            <w:tcW w:w="539" w:type="pct"/>
            <w:vAlign w:val="center"/>
          </w:tcPr>
          <w:p w14:paraId="269FF665"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b/>
                <w:szCs w:val="22"/>
              </w:rPr>
              <w:t>1,02</w:t>
            </w:r>
          </w:p>
        </w:tc>
        <w:tc>
          <w:tcPr>
            <w:tcW w:w="846" w:type="pct"/>
            <w:vAlign w:val="center"/>
          </w:tcPr>
          <w:p w14:paraId="61BC4480"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0,98</w:t>
            </w:r>
          </w:p>
        </w:tc>
        <w:tc>
          <w:tcPr>
            <w:tcW w:w="846" w:type="pct"/>
            <w:vAlign w:val="center"/>
          </w:tcPr>
          <w:p w14:paraId="0E9CCB1A"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1,03</w:t>
            </w:r>
          </w:p>
        </w:tc>
        <w:tc>
          <w:tcPr>
            <w:tcW w:w="355" w:type="pct"/>
            <w:vAlign w:val="center"/>
          </w:tcPr>
          <w:p w14:paraId="30286DCD"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1,04</w:t>
            </w:r>
          </w:p>
        </w:tc>
        <w:tc>
          <w:tcPr>
            <w:tcW w:w="338" w:type="pct"/>
            <w:vAlign w:val="center"/>
          </w:tcPr>
          <w:p w14:paraId="1A0924A5"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1,01</w:t>
            </w:r>
          </w:p>
        </w:tc>
        <w:tc>
          <w:tcPr>
            <w:tcW w:w="539" w:type="pct"/>
            <w:vAlign w:val="center"/>
          </w:tcPr>
          <w:p w14:paraId="6BCF993E" w14:textId="77777777" w:rsidR="000B0C76" w:rsidRPr="008009AF" w:rsidRDefault="000B0C76" w:rsidP="00E6223E">
            <w:pPr>
              <w:jc w:val="center"/>
              <w:rPr>
                <w:rFonts w:ascii="Times New Roman" w:hAnsi="Times New Roman" w:cs="Times New Roman"/>
                <w:b/>
                <w:szCs w:val="22"/>
              </w:rPr>
            </w:pPr>
            <w:r w:rsidRPr="008009AF">
              <w:rPr>
                <w:rFonts w:ascii="Times New Roman" w:hAnsi="Times New Roman" w:cs="Times New Roman"/>
                <w:szCs w:val="22"/>
              </w:rPr>
              <w:t>1,01</w:t>
            </w:r>
          </w:p>
        </w:tc>
        <w:tc>
          <w:tcPr>
            <w:tcW w:w="923" w:type="pct"/>
            <w:vAlign w:val="center"/>
          </w:tcPr>
          <w:p w14:paraId="1636CE6C" w14:textId="77777777" w:rsidR="000B0C76" w:rsidRPr="008009AF" w:rsidRDefault="000B0C76" w:rsidP="00E6223E">
            <w:pPr>
              <w:jc w:val="center"/>
              <w:rPr>
                <w:rFonts w:ascii="Times New Roman" w:hAnsi="Times New Roman" w:cs="Times New Roman"/>
                <w:szCs w:val="22"/>
              </w:rPr>
            </w:pPr>
            <w:r w:rsidRPr="008009AF">
              <w:rPr>
                <w:rFonts w:ascii="Times New Roman" w:hAnsi="Times New Roman" w:cs="Times New Roman"/>
                <w:szCs w:val="22"/>
              </w:rPr>
              <w:t>1,01</w:t>
            </w:r>
          </w:p>
        </w:tc>
      </w:tr>
    </w:tbl>
    <w:p w14:paraId="5652FB2B" w14:textId="77777777" w:rsidR="000B0C76" w:rsidRPr="00945FC1" w:rsidRDefault="000B0C76" w:rsidP="000B0C76">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право</w:t>
      </w:r>
    </w:p>
    <w:p w14:paraId="487A8B65" w14:textId="77777777" w:rsidR="000B0C76" w:rsidRDefault="000B0C76" w:rsidP="000B0C76">
      <w:pPr>
        <w:spacing w:after="0" w:line="300" w:lineRule="auto"/>
        <w:ind w:firstLine="567"/>
        <w:jc w:val="both"/>
        <w:rPr>
          <w:rFonts w:ascii="Times New Roman" w:hAnsi="Times New Roman" w:cs="Times New Roman"/>
          <w:sz w:val="26"/>
          <w:szCs w:val="26"/>
          <w:u w:val="single"/>
        </w:rPr>
      </w:pPr>
      <w:r>
        <w:rPr>
          <w:rFonts w:ascii="Times New Roman" w:hAnsi="Times New Roman" w:cs="Times New Roman"/>
          <w:sz w:val="26"/>
          <w:szCs w:val="26"/>
        </w:rPr>
        <w:t xml:space="preserve">В случае, если продается земельный участок, предоставленный в аренду, необходимо вносить корректировку на вид права. </w:t>
      </w:r>
      <w:r>
        <w:rPr>
          <w:rFonts w:ascii="Times New Roman" w:eastAsia="Calibri" w:hAnsi="Times New Roman" w:cs="Times New Roman"/>
          <w:sz w:val="26"/>
          <w:szCs w:val="26"/>
        </w:rPr>
        <w:t>Величина корректировки на право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108" w:history="1">
        <w:r w:rsidRPr="00A67AF4">
          <w:rPr>
            <w:rStyle w:val="ad"/>
            <w:rFonts w:cs="Times New Roman"/>
            <w:szCs w:val="26"/>
          </w:rPr>
          <w:t>https://statrielt.ru/</w:t>
        </w:r>
      </w:hyperlink>
      <w:r w:rsidRPr="00A67AF4">
        <w:rPr>
          <w:rFonts w:ascii="Times New Roman" w:hAnsi="Times New Roman" w:cs="Times New Roman"/>
          <w:sz w:val="26"/>
          <w:szCs w:val="26"/>
        </w:rPr>
        <w:t>).</w:t>
      </w:r>
    </w:p>
    <w:p w14:paraId="20427550" w14:textId="77777777" w:rsidR="000B0C76" w:rsidRDefault="000B0C76" w:rsidP="000B0C76">
      <w:pPr>
        <w:jc w:val="center"/>
      </w:pPr>
      <w:r w:rsidRPr="00A2009E">
        <w:rPr>
          <w:noProof/>
          <w:lang w:eastAsia="ru-RU"/>
        </w:rPr>
        <w:drawing>
          <wp:inline distT="0" distB="0" distL="0" distR="0" wp14:anchorId="3FE53A07" wp14:editId="0BF4AEA7">
            <wp:extent cx="5457825" cy="3750176"/>
            <wp:effectExtent l="0" t="0" r="0" b="317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60314" cy="3751886"/>
                    </a:xfrm>
                    <a:prstGeom prst="rect">
                      <a:avLst/>
                    </a:prstGeom>
                  </pic:spPr>
                </pic:pic>
              </a:graphicData>
            </a:graphic>
          </wp:inline>
        </w:drawing>
      </w:r>
    </w:p>
    <w:p w14:paraId="309B4CD0" w14:textId="3038CFBC" w:rsidR="000B0C76" w:rsidRPr="00A67AF4" w:rsidRDefault="000B0C76" w:rsidP="000B0C76">
      <w:pPr>
        <w:spacing w:after="0" w:line="30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Рис.3.2.6- Корректировка на право аренды земельного участка по отношению к собственному земельному участку </w:t>
      </w:r>
      <w:r w:rsidRPr="00A67AF4">
        <w:rPr>
          <w:rFonts w:ascii="Times New Roman" w:eastAsia="Calibri" w:hAnsi="Times New Roman" w:cs="Times New Roman"/>
          <w:sz w:val="26"/>
          <w:szCs w:val="26"/>
        </w:rPr>
        <w:t>на 01.01.2022 года по данным некоммерческой организации «Ассоциация развития рынка недвижимости «СтатРиелт»</w:t>
      </w:r>
      <w:r>
        <w:rPr>
          <w:rStyle w:val="af2"/>
          <w:rFonts w:ascii="Times New Roman" w:eastAsia="Calibri" w:hAnsi="Times New Roman" w:cs="Times New Roman"/>
          <w:sz w:val="26"/>
          <w:szCs w:val="26"/>
        </w:rPr>
        <w:footnoteReference w:id="110"/>
      </w:r>
      <w:r w:rsidRPr="00A67AF4">
        <w:rPr>
          <w:rFonts w:ascii="Times New Roman" w:eastAsia="Calibri" w:hAnsi="Times New Roman" w:cs="Times New Roman"/>
          <w:sz w:val="26"/>
          <w:szCs w:val="26"/>
        </w:rPr>
        <w:t xml:space="preserve"> </w:t>
      </w:r>
    </w:p>
    <w:p w14:paraId="50DE9DBB" w14:textId="77777777" w:rsidR="000B0C76" w:rsidRDefault="000B0C76" w:rsidP="000B0C76">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Так как данные коэффициенты выражают отношения удельных цен предложений земельных участков, находящихся на праве аренды, к удельным ценам предложений земельных участков, находящихся на праве собственности, применяются обратные корректировки, т.е.  при расчете удельного показателя рыночной стоимости необходимо делить на корректировку на право.</w:t>
      </w:r>
    </w:p>
    <w:p w14:paraId="0755E46E" w14:textId="77777777" w:rsidR="000B0C76" w:rsidRPr="00227435" w:rsidRDefault="000B0C76" w:rsidP="000B0C76">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Согласно данным «СтатРиелт», размер корректировки на право аренды земельного участка, предоставленного сроком на 49 лет, по отношению к собственному земельному участку, для земельных участков под размещение торговых, офисных, автосервисных и других общественных зданий лежит в доверительном интервале от 0,72 до 0,88 и в среднем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81</w:t>
      </w:r>
      <w:r>
        <w:rPr>
          <w:rFonts w:ascii="Times New Roman" w:eastAsia="Calibri" w:hAnsi="Times New Roman" w:cs="Times New Roman"/>
          <w:sz w:val="26"/>
          <w:szCs w:val="26"/>
        </w:rPr>
        <w:t xml:space="preserve"> (данные на 01.01.2022 года). Для целей оценки принято среднее значение диапазона. В случае, если земельный участок предоставлен в аренду на срок до 20 лет, то необходимо использовать поправку на срок аренды к корректировке на срок аренды на 49 лет. Таким образом корректировка равна: 0,81х0,83=</w:t>
      </w:r>
      <w:r w:rsidRPr="008C322D">
        <w:rPr>
          <w:rFonts w:ascii="Times New Roman" w:eastAsia="Calibri" w:hAnsi="Times New Roman" w:cs="Times New Roman"/>
          <w:b/>
          <w:sz w:val="26"/>
          <w:szCs w:val="26"/>
        </w:rPr>
        <w:t>0,</w:t>
      </w:r>
      <w:r>
        <w:rPr>
          <w:rFonts w:ascii="Times New Roman" w:eastAsia="Calibri" w:hAnsi="Times New Roman" w:cs="Times New Roman"/>
          <w:b/>
          <w:sz w:val="26"/>
          <w:szCs w:val="26"/>
        </w:rPr>
        <w:t>67</w:t>
      </w:r>
      <w:r>
        <w:rPr>
          <w:rFonts w:ascii="Times New Roman" w:eastAsia="Calibri" w:hAnsi="Times New Roman" w:cs="Times New Roman"/>
          <w:sz w:val="26"/>
          <w:szCs w:val="26"/>
        </w:rPr>
        <w:t>.</w:t>
      </w:r>
    </w:p>
    <w:p w14:paraId="05290D1B" w14:textId="77777777" w:rsidR="000B0C76" w:rsidRPr="00945FC1" w:rsidRDefault="000B0C76" w:rsidP="000B0C76">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Доля ЗУ</w:t>
      </w:r>
    </w:p>
    <w:p w14:paraId="12E880AE" w14:textId="77777777" w:rsidR="000B0C76" w:rsidRDefault="000B0C76" w:rsidP="000B0C76">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Если в качестве объекта-аналога принято предложение (сделка) по продаже застроенного земельного участка, необходимо определить долю стоимости земельного участка в стоимости единого объекта недвижимости. В таком случае доля стоимости земельного участка для 4 сегмента принята на основании приложения №7 к Указаниям, где для торговых и торгово-развлекательных объектов рекомендовано 20-25% (принимаем корректировку </w:t>
      </w:r>
      <w:r w:rsidRPr="00227435">
        <w:rPr>
          <w:rFonts w:ascii="Times New Roman" w:eastAsia="Calibri" w:hAnsi="Times New Roman" w:cs="Times New Roman"/>
          <w:b/>
          <w:sz w:val="26"/>
          <w:szCs w:val="26"/>
        </w:rPr>
        <w:t>0,2</w:t>
      </w:r>
      <w:r>
        <w:rPr>
          <w:rFonts w:ascii="Times New Roman" w:eastAsia="Calibri" w:hAnsi="Times New Roman" w:cs="Times New Roman"/>
          <w:b/>
          <w:sz w:val="26"/>
          <w:szCs w:val="26"/>
        </w:rPr>
        <w:t>5</w:t>
      </w:r>
      <w:r>
        <w:rPr>
          <w:rFonts w:ascii="Times New Roman" w:eastAsia="Calibri" w:hAnsi="Times New Roman" w:cs="Times New Roman"/>
          <w:sz w:val="26"/>
          <w:szCs w:val="26"/>
        </w:rPr>
        <w:t>).</w:t>
      </w:r>
    </w:p>
    <w:p w14:paraId="7C9D4BB4" w14:textId="77777777" w:rsidR="000B0C76" w:rsidRDefault="000B0C76" w:rsidP="000B0C76">
      <w:pPr>
        <w:spacing w:after="0" w:line="300"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В таблице ниже приведено распределение рыночной информации и значения удельных показателей рыночной стоимости земельных участков сегмента </w:t>
      </w:r>
      <w:r>
        <w:rPr>
          <w:rFonts w:ascii="Times New Roman" w:hAnsi="Times New Roman" w:cs="Times New Roman"/>
          <w:sz w:val="26"/>
          <w:szCs w:val="26"/>
        </w:rPr>
        <w:t>4 «Предпринимательство»</w:t>
      </w:r>
    </w:p>
    <w:p w14:paraId="396E36F2" w14:textId="77777777" w:rsidR="000B0C76" w:rsidRDefault="000B0C76" w:rsidP="000B0C76">
      <w:pPr>
        <w:spacing w:after="0" w:line="300" w:lineRule="auto"/>
        <w:ind w:firstLine="567"/>
        <w:jc w:val="right"/>
        <w:rPr>
          <w:rFonts w:ascii="Times New Roman" w:hAnsi="Times New Roman" w:cs="Times New Roman"/>
          <w:sz w:val="26"/>
          <w:szCs w:val="26"/>
        </w:rPr>
      </w:pPr>
      <w:r>
        <w:rPr>
          <w:rFonts w:ascii="Times New Roman" w:hAnsi="Times New Roman" w:cs="Times New Roman"/>
          <w:sz w:val="26"/>
          <w:szCs w:val="26"/>
        </w:rPr>
        <w:t>Таблица 3.2.5</w:t>
      </w:r>
    </w:p>
    <w:p w14:paraId="543EB3CF" w14:textId="77777777" w:rsidR="000B0C76" w:rsidRDefault="000B0C76" w:rsidP="000B0C76">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Распределение рыночной информации и значения удельных показателей рыночной стоимости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2296"/>
        <w:gridCol w:w="1575"/>
        <w:gridCol w:w="1294"/>
        <w:gridCol w:w="1641"/>
        <w:gridCol w:w="683"/>
      </w:tblGrid>
      <w:tr w:rsidR="000B0C76" w:rsidRPr="00E6223E" w14:paraId="48E793AF" w14:textId="77777777" w:rsidTr="000B0C76">
        <w:trPr>
          <w:trHeight w:val="910"/>
        </w:trPr>
        <w:tc>
          <w:tcPr>
            <w:tcW w:w="0" w:type="auto"/>
            <w:shd w:val="clear" w:color="auto" w:fill="auto"/>
            <w:vAlign w:val="center"/>
            <w:hideMark/>
          </w:tcPr>
          <w:p w14:paraId="0484FA7F" w14:textId="77777777" w:rsidR="000B0C76" w:rsidRPr="00E6223E" w:rsidRDefault="000B0C76" w:rsidP="000B0C76">
            <w:pPr>
              <w:spacing w:after="0" w:line="240" w:lineRule="auto"/>
              <w:jc w:val="center"/>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Территориальная единица</w:t>
            </w:r>
          </w:p>
        </w:tc>
        <w:tc>
          <w:tcPr>
            <w:tcW w:w="0" w:type="auto"/>
            <w:shd w:val="clear" w:color="auto" w:fill="auto"/>
            <w:vAlign w:val="center"/>
            <w:hideMark/>
          </w:tcPr>
          <w:p w14:paraId="7C8A9BFF" w14:textId="77777777" w:rsidR="000B0C76" w:rsidRPr="00E6223E" w:rsidRDefault="000B0C76" w:rsidP="000B0C76">
            <w:pPr>
              <w:spacing w:after="0" w:line="240" w:lineRule="auto"/>
              <w:jc w:val="center"/>
              <w:rPr>
                <w:rFonts w:ascii="Times New Roman" w:eastAsia="Times New Roman" w:hAnsi="Times New Roman" w:cs="Times New Roman"/>
                <w:lang w:eastAsia="ru-RU"/>
              </w:rPr>
            </w:pPr>
            <w:r w:rsidRPr="00E6223E">
              <w:rPr>
                <w:rFonts w:ascii="Times New Roman" w:eastAsia="Times New Roman" w:hAnsi="Times New Roman" w:cs="Times New Roman"/>
                <w:bCs/>
                <w:color w:val="000000"/>
                <w:lang w:eastAsia="ru-RU"/>
              </w:rPr>
              <w:t>Наименование района</w:t>
            </w:r>
          </w:p>
        </w:tc>
        <w:tc>
          <w:tcPr>
            <w:tcW w:w="0" w:type="auto"/>
            <w:shd w:val="clear" w:color="auto" w:fill="auto"/>
            <w:vAlign w:val="center"/>
            <w:hideMark/>
          </w:tcPr>
          <w:p w14:paraId="6C8F78E0" w14:textId="77777777" w:rsidR="000B0C76" w:rsidRPr="00E6223E" w:rsidRDefault="000B0C76" w:rsidP="000B0C76">
            <w:pPr>
              <w:spacing w:after="0" w:line="240" w:lineRule="auto"/>
              <w:jc w:val="center"/>
              <w:rPr>
                <w:rFonts w:ascii="Times New Roman" w:eastAsia="Times New Roman" w:hAnsi="Times New Roman" w:cs="Times New Roman"/>
                <w:lang w:eastAsia="ru-RU"/>
              </w:rPr>
            </w:pPr>
            <w:r w:rsidRPr="00E6223E">
              <w:rPr>
                <w:rFonts w:ascii="Times New Roman" w:eastAsia="Times New Roman" w:hAnsi="Times New Roman" w:cs="Times New Roman"/>
                <w:bCs/>
                <w:color w:val="000000"/>
                <w:lang w:eastAsia="ru-RU"/>
              </w:rPr>
              <w:t>Минимальное значение УПРС, руб./кв.м</w:t>
            </w:r>
          </w:p>
        </w:tc>
        <w:tc>
          <w:tcPr>
            <w:tcW w:w="0" w:type="auto"/>
            <w:shd w:val="clear" w:color="auto" w:fill="auto"/>
            <w:vAlign w:val="center"/>
            <w:hideMark/>
          </w:tcPr>
          <w:p w14:paraId="571D114D" w14:textId="77777777" w:rsidR="000B0C76" w:rsidRPr="00E6223E" w:rsidRDefault="000B0C76" w:rsidP="000B0C76">
            <w:pPr>
              <w:spacing w:after="0" w:line="240" w:lineRule="auto"/>
              <w:jc w:val="center"/>
              <w:rPr>
                <w:rFonts w:ascii="Times New Roman" w:eastAsia="Times New Roman" w:hAnsi="Times New Roman" w:cs="Times New Roman"/>
                <w:lang w:eastAsia="ru-RU"/>
              </w:rPr>
            </w:pPr>
            <w:r w:rsidRPr="00E6223E">
              <w:rPr>
                <w:rFonts w:ascii="Times New Roman" w:eastAsia="Times New Roman" w:hAnsi="Times New Roman" w:cs="Times New Roman"/>
                <w:bCs/>
                <w:color w:val="000000"/>
                <w:lang w:eastAsia="ru-RU"/>
              </w:rPr>
              <w:t>Среднее значение УПРС, руб./кв.м</w:t>
            </w:r>
          </w:p>
        </w:tc>
        <w:tc>
          <w:tcPr>
            <w:tcW w:w="0" w:type="auto"/>
            <w:shd w:val="clear" w:color="auto" w:fill="auto"/>
            <w:vAlign w:val="center"/>
            <w:hideMark/>
          </w:tcPr>
          <w:p w14:paraId="112D8E6B" w14:textId="77777777" w:rsidR="000B0C76" w:rsidRPr="00E6223E" w:rsidRDefault="000B0C76" w:rsidP="000B0C76">
            <w:pPr>
              <w:spacing w:after="0" w:line="240" w:lineRule="auto"/>
              <w:jc w:val="center"/>
              <w:rPr>
                <w:rFonts w:ascii="Times New Roman" w:eastAsia="Times New Roman" w:hAnsi="Times New Roman" w:cs="Times New Roman"/>
                <w:lang w:eastAsia="ru-RU"/>
              </w:rPr>
            </w:pPr>
            <w:r w:rsidRPr="00E6223E">
              <w:rPr>
                <w:rFonts w:ascii="Times New Roman" w:eastAsia="Times New Roman" w:hAnsi="Times New Roman" w:cs="Times New Roman"/>
                <w:bCs/>
                <w:color w:val="000000"/>
                <w:lang w:eastAsia="ru-RU"/>
              </w:rPr>
              <w:t>Максимальное значение УПРС, руб./кв.м</w:t>
            </w:r>
          </w:p>
        </w:tc>
        <w:tc>
          <w:tcPr>
            <w:tcW w:w="0" w:type="auto"/>
            <w:shd w:val="clear" w:color="auto" w:fill="auto"/>
            <w:vAlign w:val="center"/>
            <w:hideMark/>
          </w:tcPr>
          <w:p w14:paraId="1BBD5160" w14:textId="77777777" w:rsidR="000B0C76" w:rsidRPr="00E6223E" w:rsidRDefault="000B0C76" w:rsidP="000B0C76">
            <w:pPr>
              <w:spacing w:after="0" w:line="240" w:lineRule="auto"/>
              <w:jc w:val="center"/>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зоны</w:t>
            </w:r>
          </w:p>
        </w:tc>
      </w:tr>
      <w:tr w:rsidR="000B0C76" w:rsidRPr="00E6223E" w14:paraId="2C00860C" w14:textId="77777777" w:rsidTr="000B0C76">
        <w:trPr>
          <w:trHeight w:val="300"/>
        </w:trPr>
        <w:tc>
          <w:tcPr>
            <w:tcW w:w="0" w:type="auto"/>
            <w:shd w:val="clear" w:color="auto" w:fill="auto"/>
            <w:noWrap/>
            <w:vAlign w:val="bottom"/>
            <w:hideMark/>
          </w:tcPr>
          <w:p w14:paraId="7719892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Воронеж</w:t>
            </w:r>
          </w:p>
        </w:tc>
        <w:tc>
          <w:tcPr>
            <w:tcW w:w="0" w:type="auto"/>
            <w:shd w:val="clear" w:color="auto" w:fill="auto"/>
            <w:noWrap/>
            <w:vAlign w:val="bottom"/>
            <w:hideMark/>
          </w:tcPr>
          <w:p w14:paraId="29B04CB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 Воронеж</w:t>
            </w:r>
          </w:p>
        </w:tc>
        <w:tc>
          <w:tcPr>
            <w:tcW w:w="0" w:type="auto"/>
            <w:shd w:val="clear" w:color="auto" w:fill="auto"/>
            <w:noWrap/>
            <w:vAlign w:val="bottom"/>
            <w:hideMark/>
          </w:tcPr>
          <w:p w14:paraId="6B7B68A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1 005,76   </w:t>
            </w:r>
          </w:p>
        </w:tc>
        <w:tc>
          <w:tcPr>
            <w:tcW w:w="0" w:type="auto"/>
            <w:shd w:val="clear" w:color="auto" w:fill="auto"/>
            <w:noWrap/>
            <w:vAlign w:val="bottom"/>
            <w:hideMark/>
          </w:tcPr>
          <w:p w14:paraId="786A077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6 576,58   </w:t>
            </w:r>
          </w:p>
        </w:tc>
        <w:tc>
          <w:tcPr>
            <w:tcW w:w="0" w:type="auto"/>
            <w:shd w:val="clear" w:color="auto" w:fill="auto"/>
            <w:noWrap/>
            <w:vAlign w:val="bottom"/>
            <w:hideMark/>
          </w:tcPr>
          <w:p w14:paraId="16AE0AF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16 454,65   </w:t>
            </w:r>
          </w:p>
        </w:tc>
        <w:tc>
          <w:tcPr>
            <w:tcW w:w="0" w:type="auto"/>
            <w:shd w:val="clear" w:color="auto" w:fill="auto"/>
            <w:noWrap/>
            <w:vAlign w:val="bottom"/>
            <w:hideMark/>
          </w:tcPr>
          <w:p w14:paraId="2DE7ADBA"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1</w:t>
            </w:r>
          </w:p>
        </w:tc>
      </w:tr>
      <w:tr w:rsidR="000B0C76" w:rsidRPr="00E6223E" w14:paraId="479022B5" w14:textId="77777777" w:rsidTr="000B0C76">
        <w:trPr>
          <w:trHeight w:val="300"/>
        </w:trPr>
        <w:tc>
          <w:tcPr>
            <w:tcW w:w="0" w:type="auto"/>
            <w:shd w:val="clear" w:color="auto" w:fill="auto"/>
            <w:noWrap/>
            <w:vAlign w:val="bottom"/>
            <w:hideMark/>
          </w:tcPr>
          <w:p w14:paraId="2B234D2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0453C65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 Нововоронеж</w:t>
            </w:r>
          </w:p>
        </w:tc>
        <w:tc>
          <w:tcPr>
            <w:tcW w:w="0" w:type="auto"/>
            <w:shd w:val="clear" w:color="auto" w:fill="auto"/>
            <w:noWrap/>
            <w:vAlign w:val="bottom"/>
            <w:hideMark/>
          </w:tcPr>
          <w:p w14:paraId="1CED6E3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1 010,00   </w:t>
            </w:r>
          </w:p>
        </w:tc>
        <w:tc>
          <w:tcPr>
            <w:tcW w:w="0" w:type="auto"/>
            <w:shd w:val="clear" w:color="auto" w:fill="auto"/>
            <w:noWrap/>
            <w:vAlign w:val="bottom"/>
            <w:hideMark/>
          </w:tcPr>
          <w:p w14:paraId="5BA9458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4 374,98   </w:t>
            </w:r>
          </w:p>
        </w:tc>
        <w:tc>
          <w:tcPr>
            <w:tcW w:w="0" w:type="auto"/>
            <w:shd w:val="clear" w:color="auto" w:fill="auto"/>
            <w:noWrap/>
            <w:vAlign w:val="bottom"/>
            <w:hideMark/>
          </w:tcPr>
          <w:p w14:paraId="07DD7CA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9 606,98   </w:t>
            </w:r>
          </w:p>
        </w:tc>
        <w:tc>
          <w:tcPr>
            <w:tcW w:w="0" w:type="auto"/>
            <w:shd w:val="clear" w:color="auto" w:fill="auto"/>
            <w:noWrap/>
            <w:vAlign w:val="bottom"/>
            <w:hideMark/>
          </w:tcPr>
          <w:p w14:paraId="5703CB03"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2</w:t>
            </w:r>
          </w:p>
        </w:tc>
      </w:tr>
      <w:tr w:rsidR="000B0C76" w:rsidRPr="00E6223E" w14:paraId="6AADC9EB" w14:textId="77777777" w:rsidTr="000B0C76">
        <w:trPr>
          <w:trHeight w:val="300"/>
        </w:trPr>
        <w:tc>
          <w:tcPr>
            <w:tcW w:w="0" w:type="auto"/>
            <w:shd w:val="clear" w:color="auto" w:fill="auto"/>
            <w:noWrap/>
            <w:vAlign w:val="bottom"/>
            <w:hideMark/>
          </w:tcPr>
          <w:p w14:paraId="7F9053D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5EEC5F8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 Новая Усмань</w:t>
            </w:r>
          </w:p>
        </w:tc>
        <w:tc>
          <w:tcPr>
            <w:tcW w:w="0" w:type="auto"/>
            <w:shd w:val="clear" w:color="auto" w:fill="auto"/>
            <w:noWrap/>
            <w:vAlign w:val="bottom"/>
            <w:hideMark/>
          </w:tcPr>
          <w:p w14:paraId="2D18A4F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1 037,84   </w:t>
            </w:r>
          </w:p>
        </w:tc>
        <w:tc>
          <w:tcPr>
            <w:tcW w:w="0" w:type="auto"/>
            <w:shd w:val="clear" w:color="auto" w:fill="auto"/>
            <w:noWrap/>
            <w:vAlign w:val="bottom"/>
            <w:hideMark/>
          </w:tcPr>
          <w:p w14:paraId="257D6E0D"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4 110,26   </w:t>
            </w:r>
          </w:p>
        </w:tc>
        <w:tc>
          <w:tcPr>
            <w:tcW w:w="0" w:type="auto"/>
            <w:shd w:val="clear" w:color="auto" w:fill="auto"/>
            <w:noWrap/>
            <w:vAlign w:val="bottom"/>
            <w:hideMark/>
          </w:tcPr>
          <w:p w14:paraId="57F3A5CA"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9 576,45   </w:t>
            </w:r>
          </w:p>
        </w:tc>
        <w:tc>
          <w:tcPr>
            <w:tcW w:w="0" w:type="auto"/>
            <w:shd w:val="clear" w:color="auto" w:fill="auto"/>
            <w:noWrap/>
            <w:vAlign w:val="bottom"/>
            <w:hideMark/>
          </w:tcPr>
          <w:p w14:paraId="392C11A5"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2</w:t>
            </w:r>
          </w:p>
        </w:tc>
      </w:tr>
      <w:tr w:rsidR="000B0C76" w:rsidRPr="00E6223E" w14:paraId="6BE02C97" w14:textId="77777777" w:rsidTr="000B0C76">
        <w:trPr>
          <w:trHeight w:val="300"/>
        </w:trPr>
        <w:tc>
          <w:tcPr>
            <w:tcW w:w="0" w:type="auto"/>
            <w:shd w:val="clear" w:color="auto" w:fill="auto"/>
            <w:noWrap/>
            <w:vAlign w:val="bottom"/>
            <w:hideMark/>
          </w:tcPr>
          <w:p w14:paraId="28283A8D"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2A5B089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 Острогожск</w:t>
            </w:r>
          </w:p>
        </w:tc>
        <w:tc>
          <w:tcPr>
            <w:tcW w:w="0" w:type="auto"/>
            <w:shd w:val="clear" w:color="auto" w:fill="auto"/>
            <w:noWrap/>
            <w:vAlign w:val="bottom"/>
            <w:hideMark/>
          </w:tcPr>
          <w:p w14:paraId="0164783F"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1 196,10   </w:t>
            </w:r>
          </w:p>
        </w:tc>
        <w:tc>
          <w:tcPr>
            <w:tcW w:w="0" w:type="auto"/>
            <w:shd w:val="clear" w:color="auto" w:fill="auto"/>
            <w:noWrap/>
            <w:vAlign w:val="bottom"/>
            <w:hideMark/>
          </w:tcPr>
          <w:p w14:paraId="0665CD0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4 095,93   </w:t>
            </w:r>
          </w:p>
        </w:tc>
        <w:tc>
          <w:tcPr>
            <w:tcW w:w="0" w:type="auto"/>
            <w:shd w:val="clear" w:color="auto" w:fill="auto"/>
            <w:noWrap/>
            <w:vAlign w:val="bottom"/>
            <w:hideMark/>
          </w:tcPr>
          <w:p w14:paraId="0A7630C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8 500,00   </w:t>
            </w:r>
          </w:p>
        </w:tc>
        <w:tc>
          <w:tcPr>
            <w:tcW w:w="0" w:type="auto"/>
            <w:shd w:val="clear" w:color="auto" w:fill="auto"/>
            <w:noWrap/>
            <w:vAlign w:val="bottom"/>
            <w:hideMark/>
          </w:tcPr>
          <w:p w14:paraId="7338FA1D"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2</w:t>
            </w:r>
          </w:p>
        </w:tc>
      </w:tr>
      <w:tr w:rsidR="000B0C76" w:rsidRPr="00E6223E" w14:paraId="48082CEE" w14:textId="77777777" w:rsidTr="000B0C76">
        <w:trPr>
          <w:trHeight w:val="300"/>
        </w:trPr>
        <w:tc>
          <w:tcPr>
            <w:tcW w:w="0" w:type="auto"/>
            <w:shd w:val="clear" w:color="auto" w:fill="auto"/>
            <w:noWrap/>
            <w:vAlign w:val="bottom"/>
            <w:hideMark/>
          </w:tcPr>
          <w:p w14:paraId="121B8B3A"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45B8F8FA"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 Семилуки</w:t>
            </w:r>
          </w:p>
        </w:tc>
        <w:tc>
          <w:tcPr>
            <w:tcW w:w="0" w:type="auto"/>
            <w:shd w:val="clear" w:color="auto" w:fill="auto"/>
            <w:noWrap/>
            <w:vAlign w:val="bottom"/>
            <w:hideMark/>
          </w:tcPr>
          <w:p w14:paraId="64345E8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1 450,19   </w:t>
            </w:r>
          </w:p>
        </w:tc>
        <w:tc>
          <w:tcPr>
            <w:tcW w:w="0" w:type="auto"/>
            <w:shd w:val="clear" w:color="auto" w:fill="auto"/>
            <w:noWrap/>
            <w:vAlign w:val="bottom"/>
            <w:hideMark/>
          </w:tcPr>
          <w:p w14:paraId="481BDE86"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3 948,63   </w:t>
            </w:r>
          </w:p>
        </w:tc>
        <w:tc>
          <w:tcPr>
            <w:tcW w:w="0" w:type="auto"/>
            <w:shd w:val="clear" w:color="auto" w:fill="auto"/>
            <w:noWrap/>
            <w:vAlign w:val="bottom"/>
            <w:hideMark/>
          </w:tcPr>
          <w:p w14:paraId="7034A75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8 201,05   </w:t>
            </w:r>
          </w:p>
        </w:tc>
        <w:tc>
          <w:tcPr>
            <w:tcW w:w="0" w:type="auto"/>
            <w:shd w:val="clear" w:color="auto" w:fill="auto"/>
            <w:noWrap/>
            <w:vAlign w:val="bottom"/>
            <w:hideMark/>
          </w:tcPr>
          <w:p w14:paraId="2F040387"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2</w:t>
            </w:r>
          </w:p>
        </w:tc>
      </w:tr>
      <w:tr w:rsidR="000B0C76" w:rsidRPr="00E6223E" w14:paraId="0CA2D13E" w14:textId="77777777" w:rsidTr="000B0C76">
        <w:trPr>
          <w:trHeight w:val="300"/>
        </w:trPr>
        <w:tc>
          <w:tcPr>
            <w:tcW w:w="0" w:type="auto"/>
            <w:shd w:val="clear" w:color="auto" w:fill="auto"/>
            <w:noWrap/>
            <w:vAlign w:val="bottom"/>
            <w:hideMark/>
          </w:tcPr>
          <w:p w14:paraId="7CB08CF6"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1C1CA5CA"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р.п. Рамонь</w:t>
            </w:r>
          </w:p>
        </w:tc>
        <w:tc>
          <w:tcPr>
            <w:tcW w:w="0" w:type="auto"/>
            <w:shd w:val="clear" w:color="auto" w:fill="auto"/>
            <w:noWrap/>
            <w:vAlign w:val="bottom"/>
            <w:hideMark/>
          </w:tcPr>
          <w:p w14:paraId="121109E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1 771,90   </w:t>
            </w:r>
          </w:p>
        </w:tc>
        <w:tc>
          <w:tcPr>
            <w:tcW w:w="0" w:type="auto"/>
            <w:shd w:val="clear" w:color="auto" w:fill="auto"/>
            <w:noWrap/>
            <w:vAlign w:val="bottom"/>
            <w:hideMark/>
          </w:tcPr>
          <w:p w14:paraId="32B6B73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4 341,41   </w:t>
            </w:r>
          </w:p>
        </w:tc>
        <w:tc>
          <w:tcPr>
            <w:tcW w:w="0" w:type="auto"/>
            <w:shd w:val="clear" w:color="auto" w:fill="auto"/>
            <w:noWrap/>
            <w:vAlign w:val="bottom"/>
            <w:hideMark/>
          </w:tcPr>
          <w:p w14:paraId="26A09FD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7 870,81   </w:t>
            </w:r>
          </w:p>
        </w:tc>
        <w:tc>
          <w:tcPr>
            <w:tcW w:w="0" w:type="auto"/>
            <w:shd w:val="clear" w:color="auto" w:fill="auto"/>
            <w:noWrap/>
            <w:vAlign w:val="bottom"/>
            <w:hideMark/>
          </w:tcPr>
          <w:p w14:paraId="7B1FC3AE"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2</w:t>
            </w:r>
          </w:p>
        </w:tc>
      </w:tr>
      <w:tr w:rsidR="000B0C76" w:rsidRPr="00E6223E" w14:paraId="4F25E83E" w14:textId="77777777" w:rsidTr="000B0C76">
        <w:trPr>
          <w:trHeight w:val="300"/>
        </w:trPr>
        <w:tc>
          <w:tcPr>
            <w:tcW w:w="0" w:type="auto"/>
            <w:shd w:val="clear" w:color="auto" w:fill="auto"/>
            <w:noWrap/>
            <w:vAlign w:val="bottom"/>
            <w:hideMark/>
          </w:tcPr>
          <w:p w14:paraId="5D41E1B5"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437CC0B5"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 Лиски</w:t>
            </w:r>
          </w:p>
        </w:tc>
        <w:tc>
          <w:tcPr>
            <w:tcW w:w="0" w:type="auto"/>
            <w:shd w:val="clear" w:color="auto" w:fill="auto"/>
            <w:noWrap/>
            <w:vAlign w:val="bottom"/>
            <w:hideMark/>
          </w:tcPr>
          <w:p w14:paraId="23F9C56F"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1 644,50   </w:t>
            </w:r>
          </w:p>
        </w:tc>
        <w:tc>
          <w:tcPr>
            <w:tcW w:w="0" w:type="auto"/>
            <w:shd w:val="clear" w:color="auto" w:fill="auto"/>
            <w:noWrap/>
            <w:vAlign w:val="bottom"/>
            <w:hideMark/>
          </w:tcPr>
          <w:p w14:paraId="4017F975"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3 502,34   </w:t>
            </w:r>
          </w:p>
        </w:tc>
        <w:tc>
          <w:tcPr>
            <w:tcW w:w="0" w:type="auto"/>
            <w:shd w:val="clear" w:color="auto" w:fill="auto"/>
            <w:noWrap/>
            <w:vAlign w:val="bottom"/>
            <w:hideMark/>
          </w:tcPr>
          <w:p w14:paraId="72C9D7F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7 319,78   </w:t>
            </w:r>
          </w:p>
        </w:tc>
        <w:tc>
          <w:tcPr>
            <w:tcW w:w="0" w:type="auto"/>
            <w:shd w:val="clear" w:color="auto" w:fill="auto"/>
            <w:noWrap/>
            <w:vAlign w:val="bottom"/>
            <w:hideMark/>
          </w:tcPr>
          <w:p w14:paraId="446E1B9B"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2</w:t>
            </w:r>
          </w:p>
        </w:tc>
      </w:tr>
      <w:tr w:rsidR="000B0C76" w:rsidRPr="00E6223E" w14:paraId="2C3B9FDE" w14:textId="77777777" w:rsidTr="000B0C76">
        <w:trPr>
          <w:trHeight w:val="300"/>
        </w:trPr>
        <w:tc>
          <w:tcPr>
            <w:tcW w:w="0" w:type="auto"/>
            <w:shd w:val="clear" w:color="auto" w:fill="auto"/>
            <w:noWrap/>
            <w:vAlign w:val="bottom"/>
            <w:hideMark/>
          </w:tcPr>
          <w:p w14:paraId="7C4B71A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75551446"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 Бутурлиновка</w:t>
            </w:r>
          </w:p>
        </w:tc>
        <w:tc>
          <w:tcPr>
            <w:tcW w:w="0" w:type="auto"/>
            <w:shd w:val="clear" w:color="auto" w:fill="auto"/>
            <w:noWrap/>
            <w:vAlign w:val="bottom"/>
            <w:hideMark/>
          </w:tcPr>
          <w:p w14:paraId="5BF7A93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933,16   </w:t>
            </w:r>
          </w:p>
        </w:tc>
        <w:tc>
          <w:tcPr>
            <w:tcW w:w="0" w:type="auto"/>
            <w:shd w:val="clear" w:color="auto" w:fill="auto"/>
            <w:noWrap/>
            <w:vAlign w:val="bottom"/>
            <w:hideMark/>
          </w:tcPr>
          <w:p w14:paraId="47231FC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2 954,93   </w:t>
            </w:r>
          </w:p>
        </w:tc>
        <w:tc>
          <w:tcPr>
            <w:tcW w:w="0" w:type="auto"/>
            <w:shd w:val="clear" w:color="auto" w:fill="auto"/>
            <w:noWrap/>
            <w:vAlign w:val="bottom"/>
            <w:hideMark/>
          </w:tcPr>
          <w:p w14:paraId="29863696"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7 968,75   </w:t>
            </w:r>
          </w:p>
        </w:tc>
        <w:tc>
          <w:tcPr>
            <w:tcW w:w="0" w:type="auto"/>
            <w:shd w:val="clear" w:color="auto" w:fill="auto"/>
            <w:noWrap/>
            <w:vAlign w:val="bottom"/>
            <w:hideMark/>
          </w:tcPr>
          <w:p w14:paraId="1CE8DB8E"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48B11DA0" w14:textId="77777777" w:rsidTr="000B0C76">
        <w:trPr>
          <w:trHeight w:val="300"/>
        </w:trPr>
        <w:tc>
          <w:tcPr>
            <w:tcW w:w="0" w:type="auto"/>
            <w:shd w:val="clear" w:color="auto" w:fill="auto"/>
            <w:noWrap/>
            <w:vAlign w:val="bottom"/>
            <w:hideMark/>
          </w:tcPr>
          <w:p w14:paraId="0670D3D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317C219F"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 Эртиль</w:t>
            </w:r>
          </w:p>
        </w:tc>
        <w:tc>
          <w:tcPr>
            <w:tcW w:w="0" w:type="auto"/>
            <w:shd w:val="clear" w:color="auto" w:fill="auto"/>
            <w:noWrap/>
            <w:vAlign w:val="bottom"/>
            <w:hideMark/>
          </w:tcPr>
          <w:p w14:paraId="022298E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915,75   </w:t>
            </w:r>
          </w:p>
        </w:tc>
        <w:tc>
          <w:tcPr>
            <w:tcW w:w="0" w:type="auto"/>
            <w:shd w:val="clear" w:color="auto" w:fill="auto"/>
            <w:noWrap/>
            <w:vAlign w:val="bottom"/>
            <w:hideMark/>
          </w:tcPr>
          <w:p w14:paraId="0451462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3 202,96   </w:t>
            </w:r>
          </w:p>
        </w:tc>
        <w:tc>
          <w:tcPr>
            <w:tcW w:w="0" w:type="auto"/>
            <w:shd w:val="clear" w:color="auto" w:fill="auto"/>
            <w:noWrap/>
            <w:vAlign w:val="bottom"/>
            <w:hideMark/>
          </w:tcPr>
          <w:p w14:paraId="3CFC939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7 692,43   </w:t>
            </w:r>
          </w:p>
        </w:tc>
        <w:tc>
          <w:tcPr>
            <w:tcW w:w="0" w:type="auto"/>
            <w:shd w:val="clear" w:color="auto" w:fill="auto"/>
            <w:noWrap/>
            <w:vAlign w:val="bottom"/>
            <w:hideMark/>
          </w:tcPr>
          <w:p w14:paraId="40B707C0"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3D856919" w14:textId="77777777" w:rsidTr="000B0C76">
        <w:trPr>
          <w:trHeight w:val="300"/>
        </w:trPr>
        <w:tc>
          <w:tcPr>
            <w:tcW w:w="0" w:type="auto"/>
            <w:shd w:val="clear" w:color="auto" w:fill="auto"/>
            <w:noWrap/>
            <w:vAlign w:val="bottom"/>
            <w:hideMark/>
          </w:tcPr>
          <w:p w14:paraId="4DCA6AE6"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6973E95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 Борисоглебск</w:t>
            </w:r>
          </w:p>
        </w:tc>
        <w:tc>
          <w:tcPr>
            <w:tcW w:w="0" w:type="auto"/>
            <w:shd w:val="clear" w:color="auto" w:fill="auto"/>
            <w:noWrap/>
            <w:vAlign w:val="bottom"/>
            <w:hideMark/>
          </w:tcPr>
          <w:p w14:paraId="1ECBD57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990,57   </w:t>
            </w:r>
          </w:p>
        </w:tc>
        <w:tc>
          <w:tcPr>
            <w:tcW w:w="0" w:type="auto"/>
            <w:shd w:val="clear" w:color="auto" w:fill="auto"/>
            <w:noWrap/>
            <w:vAlign w:val="bottom"/>
            <w:hideMark/>
          </w:tcPr>
          <w:p w14:paraId="0CC94A2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3 761,84   </w:t>
            </w:r>
          </w:p>
        </w:tc>
        <w:tc>
          <w:tcPr>
            <w:tcW w:w="0" w:type="auto"/>
            <w:shd w:val="clear" w:color="auto" w:fill="auto"/>
            <w:noWrap/>
            <w:vAlign w:val="bottom"/>
            <w:hideMark/>
          </w:tcPr>
          <w:p w14:paraId="212E0FF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7 635,83   </w:t>
            </w:r>
          </w:p>
        </w:tc>
        <w:tc>
          <w:tcPr>
            <w:tcW w:w="0" w:type="auto"/>
            <w:shd w:val="clear" w:color="auto" w:fill="auto"/>
            <w:noWrap/>
            <w:vAlign w:val="bottom"/>
            <w:hideMark/>
          </w:tcPr>
          <w:p w14:paraId="7F280644"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05932C23" w14:textId="77777777" w:rsidTr="000B0C76">
        <w:trPr>
          <w:trHeight w:val="300"/>
        </w:trPr>
        <w:tc>
          <w:tcPr>
            <w:tcW w:w="0" w:type="auto"/>
            <w:shd w:val="clear" w:color="auto" w:fill="auto"/>
            <w:noWrap/>
            <w:vAlign w:val="bottom"/>
            <w:hideMark/>
          </w:tcPr>
          <w:p w14:paraId="421DAA7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07207A0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р.п. Хохольский</w:t>
            </w:r>
          </w:p>
        </w:tc>
        <w:tc>
          <w:tcPr>
            <w:tcW w:w="0" w:type="auto"/>
            <w:shd w:val="clear" w:color="auto" w:fill="auto"/>
            <w:noWrap/>
            <w:vAlign w:val="bottom"/>
            <w:hideMark/>
          </w:tcPr>
          <w:p w14:paraId="03F65B9A"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913,84   </w:t>
            </w:r>
          </w:p>
        </w:tc>
        <w:tc>
          <w:tcPr>
            <w:tcW w:w="0" w:type="auto"/>
            <w:shd w:val="clear" w:color="auto" w:fill="auto"/>
            <w:noWrap/>
            <w:vAlign w:val="bottom"/>
            <w:hideMark/>
          </w:tcPr>
          <w:p w14:paraId="1D24DC7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2 992,48   </w:t>
            </w:r>
          </w:p>
        </w:tc>
        <w:tc>
          <w:tcPr>
            <w:tcW w:w="0" w:type="auto"/>
            <w:shd w:val="clear" w:color="auto" w:fill="auto"/>
            <w:noWrap/>
            <w:vAlign w:val="bottom"/>
            <w:hideMark/>
          </w:tcPr>
          <w:p w14:paraId="2A2B946F"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7 614,46   </w:t>
            </w:r>
          </w:p>
        </w:tc>
        <w:tc>
          <w:tcPr>
            <w:tcW w:w="0" w:type="auto"/>
            <w:shd w:val="clear" w:color="auto" w:fill="auto"/>
            <w:noWrap/>
            <w:vAlign w:val="bottom"/>
            <w:hideMark/>
          </w:tcPr>
          <w:p w14:paraId="64EA24D0"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3D941234" w14:textId="77777777" w:rsidTr="000B0C76">
        <w:trPr>
          <w:trHeight w:val="300"/>
        </w:trPr>
        <w:tc>
          <w:tcPr>
            <w:tcW w:w="0" w:type="auto"/>
            <w:shd w:val="clear" w:color="auto" w:fill="auto"/>
            <w:noWrap/>
            <w:vAlign w:val="bottom"/>
            <w:hideMark/>
          </w:tcPr>
          <w:p w14:paraId="7A10F5C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77B0F26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п.г.т. Анна</w:t>
            </w:r>
          </w:p>
        </w:tc>
        <w:tc>
          <w:tcPr>
            <w:tcW w:w="0" w:type="auto"/>
            <w:shd w:val="clear" w:color="auto" w:fill="auto"/>
            <w:noWrap/>
            <w:vAlign w:val="bottom"/>
            <w:hideMark/>
          </w:tcPr>
          <w:p w14:paraId="5A50856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958,80   </w:t>
            </w:r>
          </w:p>
        </w:tc>
        <w:tc>
          <w:tcPr>
            <w:tcW w:w="0" w:type="auto"/>
            <w:shd w:val="clear" w:color="auto" w:fill="auto"/>
            <w:noWrap/>
            <w:vAlign w:val="bottom"/>
            <w:hideMark/>
          </w:tcPr>
          <w:p w14:paraId="5E19AEF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3 303,83   </w:t>
            </w:r>
          </w:p>
        </w:tc>
        <w:tc>
          <w:tcPr>
            <w:tcW w:w="0" w:type="auto"/>
            <w:shd w:val="clear" w:color="auto" w:fill="auto"/>
            <w:noWrap/>
            <w:vAlign w:val="bottom"/>
            <w:hideMark/>
          </w:tcPr>
          <w:p w14:paraId="1A5ABDB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7 538,47   </w:t>
            </w:r>
          </w:p>
        </w:tc>
        <w:tc>
          <w:tcPr>
            <w:tcW w:w="0" w:type="auto"/>
            <w:shd w:val="clear" w:color="auto" w:fill="auto"/>
            <w:noWrap/>
            <w:vAlign w:val="bottom"/>
            <w:hideMark/>
          </w:tcPr>
          <w:p w14:paraId="262D9404"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369B2D5C" w14:textId="77777777" w:rsidTr="000B0C76">
        <w:trPr>
          <w:trHeight w:val="300"/>
        </w:trPr>
        <w:tc>
          <w:tcPr>
            <w:tcW w:w="0" w:type="auto"/>
            <w:shd w:val="clear" w:color="auto" w:fill="auto"/>
            <w:noWrap/>
            <w:vAlign w:val="bottom"/>
            <w:hideMark/>
          </w:tcPr>
          <w:p w14:paraId="748B29E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19D495E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р.п. Ольховатка</w:t>
            </w:r>
          </w:p>
        </w:tc>
        <w:tc>
          <w:tcPr>
            <w:tcW w:w="0" w:type="auto"/>
            <w:shd w:val="clear" w:color="auto" w:fill="auto"/>
            <w:noWrap/>
            <w:vAlign w:val="bottom"/>
            <w:hideMark/>
          </w:tcPr>
          <w:p w14:paraId="0B86D3D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1 848,30   </w:t>
            </w:r>
          </w:p>
        </w:tc>
        <w:tc>
          <w:tcPr>
            <w:tcW w:w="0" w:type="auto"/>
            <w:shd w:val="clear" w:color="auto" w:fill="auto"/>
            <w:noWrap/>
            <w:vAlign w:val="bottom"/>
            <w:hideMark/>
          </w:tcPr>
          <w:p w14:paraId="4E79F00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3 540,55   </w:t>
            </w:r>
          </w:p>
        </w:tc>
        <w:tc>
          <w:tcPr>
            <w:tcW w:w="0" w:type="auto"/>
            <w:shd w:val="clear" w:color="auto" w:fill="auto"/>
            <w:noWrap/>
            <w:vAlign w:val="bottom"/>
            <w:hideMark/>
          </w:tcPr>
          <w:p w14:paraId="36F9AE8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7 341,79   </w:t>
            </w:r>
          </w:p>
        </w:tc>
        <w:tc>
          <w:tcPr>
            <w:tcW w:w="0" w:type="auto"/>
            <w:shd w:val="clear" w:color="auto" w:fill="auto"/>
            <w:noWrap/>
            <w:vAlign w:val="bottom"/>
            <w:hideMark/>
          </w:tcPr>
          <w:p w14:paraId="23A97285"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7B278F40" w14:textId="77777777" w:rsidTr="000B0C76">
        <w:trPr>
          <w:trHeight w:val="315"/>
        </w:trPr>
        <w:tc>
          <w:tcPr>
            <w:tcW w:w="0" w:type="auto"/>
            <w:shd w:val="clear" w:color="auto" w:fill="auto"/>
            <w:noWrap/>
            <w:vAlign w:val="bottom"/>
            <w:hideMark/>
          </w:tcPr>
          <w:p w14:paraId="7A28027A"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6BF3FD46"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 Павловск</w:t>
            </w:r>
          </w:p>
        </w:tc>
        <w:tc>
          <w:tcPr>
            <w:tcW w:w="0" w:type="auto"/>
            <w:shd w:val="clear" w:color="auto" w:fill="auto"/>
            <w:noWrap/>
            <w:vAlign w:val="bottom"/>
            <w:hideMark/>
          </w:tcPr>
          <w:p w14:paraId="0A48697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927,00   </w:t>
            </w:r>
          </w:p>
        </w:tc>
        <w:tc>
          <w:tcPr>
            <w:tcW w:w="0" w:type="auto"/>
            <w:shd w:val="clear" w:color="auto" w:fill="auto"/>
            <w:noWrap/>
            <w:vAlign w:val="bottom"/>
            <w:hideMark/>
          </w:tcPr>
          <w:p w14:paraId="170361B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3 927,12   </w:t>
            </w:r>
          </w:p>
        </w:tc>
        <w:tc>
          <w:tcPr>
            <w:tcW w:w="0" w:type="auto"/>
            <w:shd w:val="clear" w:color="auto" w:fill="auto"/>
            <w:noWrap/>
            <w:vAlign w:val="bottom"/>
            <w:hideMark/>
          </w:tcPr>
          <w:p w14:paraId="77C753C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7 334,07   </w:t>
            </w:r>
          </w:p>
        </w:tc>
        <w:tc>
          <w:tcPr>
            <w:tcW w:w="0" w:type="auto"/>
            <w:shd w:val="clear" w:color="auto" w:fill="auto"/>
            <w:noWrap/>
            <w:vAlign w:val="bottom"/>
            <w:hideMark/>
          </w:tcPr>
          <w:p w14:paraId="34E61E5C"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78031673" w14:textId="77777777" w:rsidTr="000B0C76">
        <w:trPr>
          <w:trHeight w:val="300"/>
        </w:trPr>
        <w:tc>
          <w:tcPr>
            <w:tcW w:w="0" w:type="auto"/>
            <w:shd w:val="clear" w:color="auto" w:fill="auto"/>
            <w:noWrap/>
            <w:vAlign w:val="bottom"/>
            <w:hideMark/>
          </w:tcPr>
          <w:p w14:paraId="37AF96A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6633E0E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 Новохоперск</w:t>
            </w:r>
          </w:p>
        </w:tc>
        <w:tc>
          <w:tcPr>
            <w:tcW w:w="0" w:type="auto"/>
            <w:shd w:val="clear" w:color="auto" w:fill="auto"/>
            <w:noWrap/>
            <w:vAlign w:val="bottom"/>
            <w:hideMark/>
          </w:tcPr>
          <w:p w14:paraId="6F4711D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1 122,22   </w:t>
            </w:r>
          </w:p>
        </w:tc>
        <w:tc>
          <w:tcPr>
            <w:tcW w:w="0" w:type="auto"/>
            <w:shd w:val="clear" w:color="auto" w:fill="auto"/>
            <w:noWrap/>
            <w:vAlign w:val="bottom"/>
            <w:hideMark/>
          </w:tcPr>
          <w:p w14:paraId="148574B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3 726,31   </w:t>
            </w:r>
          </w:p>
        </w:tc>
        <w:tc>
          <w:tcPr>
            <w:tcW w:w="0" w:type="auto"/>
            <w:shd w:val="clear" w:color="auto" w:fill="auto"/>
            <w:noWrap/>
            <w:vAlign w:val="bottom"/>
            <w:hideMark/>
          </w:tcPr>
          <w:p w14:paraId="5EDAC50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7 264,46   </w:t>
            </w:r>
          </w:p>
        </w:tc>
        <w:tc>
          <w:tcPr>
            <w:tcW w:w="0" w:type="auto"/>
            <w:shd w:val="clear" w:color="auto" w:fill="auto"/>
            <w:noWrap/>
            <w:vAlign w:val="bottom"/>
            <w:hideMark/>
          </w:tcPr>
          <w:p w14:paraId="09C57AC2"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682873C5" w14:textId="77777777" w:rsidTr="000B0C76">
        <w:trPr>
          <w:trHeight w:val="300"/>
        </w:trPr>
        <w:tc>
          <w:tcPr>
            <w:tcW w:w="0" w:type="auto"/>
            <w:shd w:val="clear" w:color="auto" w:fill="auto"/>
            <w:noWrap/>
            <w:vAlign w:val="bottom"/>
            <w:hideMark/>
          </w:tcPr>
          <w:p w14:paraId="29813FE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5E7D39C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 Бобров</w:t>
            </w:r>
          </w:p>
        </w:tc>
        <w:tc>
          <w:tcPr>
            <w:tcW w:w="0" w:type="auto"/>
            <w:shd w:val="clear" w:color="auto" w:fill="auto"/>
            <w:noWrap/>
            <w:vAlign w:val="bottom"/>
            <w:hideMark/>
          </w:tcPr>
          <w:p w14:paraId="051ECF0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951,50   </w:t>
            </w:r>
          </w:p>
        </w:tc>
        <w:tc>
          <w:tcPr>
            <w:tcW w:w="0" w:type="auto"/>
            <w:shd w:val="clear" w:color="auto" w:fill="auto"/>
            <w:noWrap/>
            <w:vAlign w:val="bottom"/>
            <w:hideMark/>
          </w:tcPr>
          <w:p w14:paraId="09FA094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3 590,70   </w:t>
            </w:r>
          </w:p>
        </w:tc>
        <w:tc>
          <w:tcPr>
            <w:tcW w:w="0" w:type="auto"/>
            <w:shd w:val="clear" w:color="auto" w:fill="auto"/>
            <w:noWrap/>
            <w:vAlign w:val="bottom"/>
            <w:hideMark/>
          </w:tcPr>
          <w:p w14:paraId="5843B82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7 218,10   </w:t>
            </w:r>
          </w:p>
        </w:tc>
        <w:tc>
          <w:tcPr>
            <w:tcW w:w="0" w:type="auto"/>
            <w:shd w:val="clear" w:color="auto" w:fill="auto"/>
            <w:noWrap/>
            <w:vAlign w:val="bottom"/>
            <w:hideMark/>
          </w:tcPr>
          <w:p w14:paraId="38FD4AB9"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5755FFB2" w14:textId="77777777" w:rsidTr="000B0C76">
        <w:trPr>
          <w:trHeight w:val="300"/>
        </w:trPr>
        <w:tc>
          <w:tcPr>
            <w:tcW w:w="0" w:type="auto"/>
            <w:shd w:val="clear" w:color="auto" w:fill="auto"/>
            <w:noWrap/>
            <w:vAlign w:val="bottom"/>
            <w:hideMark/>
          </w:tcPr>
          <w:p w14:paraId="72EE413A"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3949472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п.г.т. Грибановский</w:t>
            </w:r>
          </w:p>
        </w:tc>
        <w:tc>
          <w:tcPr>
            <w:tcW w:w="0" w:type="auto"/>
            <w:shd w:val="clear" w:color="auto" w:fill="auto"/>
            <w:noWrap/>
            <w:vAlign w:val="bottom"/>
            <w:hideMark/>
          </w:tcPr>
          <w:p w14:paraId="4B3B916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1 416,74   </w:t>
            </w:r>
          </w:p>
        </w:tc>
        <w:tc>
          <w:tcPr>
            <w:tcW w:w="0" w:type="auto"/>
            <w:shd w:val="clear" w:color="auto" w:fill="auto"/>
            <w:noWrap/>
            <w:vAlign w:val="bottom"/>
            <w:hideMark/>
          </w:tcPr>
          <w:p w14:paraId="4745643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3 695,30   </w:t>
            </w:r>
          </w:p>
        </w:tc>
        <w:tc>
          <w:tcPr>
            <w:tcW w:w="0" w:type="auto"/>
            <w:shd w:val="clear" w:color="auto" w:fill="auto"/>
            <w:noWrap/>
            <w:vAlign w:val="bottom"/>
            <w:hideMark/>
          </w:tcPr>
          <w:p w14:paraId="4C22AFB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6 847,00   </w:t>
            </w:r>
          </w:p>
        </w:tc>
        <w:tc>
          <w:tcPr>
            <w:tcW w:w="0" w:type="auto"/>
            <w:shd w:val="clear" w:color="auto" w:fill="auto"/>
            <w:noWrap/>
            <w:vAlign w:val="bottom"/>
            <w:hideMark/>
          </w:tcPr>
          <w:p w14:paraId="69BB73CA"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629FBAD3" w14:textId="77777777" w:rsidTr="000B0C76">
        <w:trPr>
          <w:trHeight w:val="300"/>
        </w:trPr>
        <w:tc>
          <w:tcPr>
            <w:tcW w:w="0" w:type="auto"/>
            <w:shd w:val="clear" w:color="auto" w:fill="auto"/>
            <w:noWrap/>
            <w:vAlign w:val="bottom"/>
            <w:hideMark/>
          </w:tcPr>
          <w:p w14:paraId="193F3E6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2A4A077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 Богучар</w:t>
            </w:r>
          </w:p>
        </w:tc>
        <w:tc>
          <w:tcPr>
            <w:tcW w:w="0" w:type="auto"/>
            <w:shd w:val="clear" w:color="auto" w:fill="auto"/>
            <w:noWrap/>
            <w:vAlign w:val="bottom"/>
            <w:hideMark/>
          </w:tcPr>
          <w:p w14:paraId="750CC7A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955,83   </w:t>
            </w:r>
          </w:p>
        </w:tc>
        <w:tc>
          <w:tcPr>
            <w:tcW w:w="0" w:type="auto"/>
            <w:shd w:val="clear" w:color="auto" w:fill="auto"/>
            <w:noWrap/>
            <w:vAlign w:val="bottom"/>
            <w:hideMark/>
          </w:tcPr>
          <w:p w14:paraId="06543BB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3 926,48   </w:t>
            </w:r>
          </w:p>
        </w:tc>
        <w:tc>
          <w:tcPr>
            <w:tcW w:w="0" w:type="auto"/>
            <w:shd w:val="clear" w:color="auto" w:fill="auto"/>
            <w:noWrap/>
            <w:vAlign w:val="bottom"/>
            <w:hideMark/>
          </w:tcPr>
          <w:p w14:paraId="6882D00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6 736,87   </w:t>
            </w:r>
          </w:p>
        </w:tc>
        <w:tc>
          <w:tcPr>
            <w:tcW w:w="0" w:type="auto"/>
            <w:shd w:val="clear" w:color="auto" w:fill="auto"/>
            <w:noWrap/>
            <w:vAlign w:val="bottom"/>
            <w:hideMark/>
          </w:tcPr>
          <w:p w14:paraId="7D73E832"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2C7602E5" w14:textId="77777777" w:rsidTr="000B0C76">
        <w:trPr>
          <w:trHeight w:val="300"/>
        </w:trPr>
        <w:tc>
          <w:tcPr>
            <w:tcW w:w="0" w:type="auto"/>
            <w:shd w:val="clear" w:color="auto" w:fill="auto"/>
            <w:noWrap/>
            <w:vAlign w:val="bottom"/>
            <w:hideMark/>
          </w:tcPr>
          <w:p w14:paraId="24CF29D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3A83DF6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 Россошь</w:t>
            </w:r>
          </w:p>
        </w:tc>
        <w:tc>
          <w:tcPr>
            <w:tcW w:w="0" w:type="auto"/>
            <w:shd w:val="clear" w:color="auto" w:fill="auto"/>
            <w:noWrap/>
            <w:vAlign w:val="bottom"/>
            <w:hideMark/>
          </w:tcPr>
          <w:p w14:paraId="701DB61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951,37   </w:t>
            </w:r>
          </w:p>
        </w:tc>
        <w:tc>
          <w:tcPr>
            <w:tcW w:w="0" w:type="auto"/>
            <w:shd w:val="clear" w:color="auto" w:fill="auto"/>
            <w:noWrap/>
            <w:vAlign w:val="bottom"/>
            <w:hideMark/>
          </w:tcPr>
          <w:p w14:paraId="3EDFD4D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3 411,79   </w:t>
            </w:r>
          </w:p>
        </w:tc>
        <w:tc>
          <w:tcPr>
            <w:tcW w:w="0" w:type="auto"/>
            <w:shd w:val="clear" w:color="auto" w:fill="auto"/>
            <w:noWrap/>
            <w:vAlign w:val="bottom"/>
            <w:hideMark/>
          </w:tcPr>
          <w:p w14:paraId="2BF439F5"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6 723,06   </w:t>
            </w:r>
          </w:p>
        </w:tc>
        <w:tc>
          <w:tcPr>
            <w:tcW w:w="0" w:type="auto"/>
            <w:shd w:val="clear" w:color="auto" w:fill="auto"/>
            <w:noWrap/>
            <w:vAlign w:val="bottom"/>
            <w:hideMark/>
          </w:tcPr>
          <w:p w14:paraId="53603249"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7057A49E" w14:textId="77777777" w:rsidTr="000B0C76">
        <w:trPr>
          <w:trHeight w:val="300"/>
        </w:trPr>
        <w:tc>
          <w:tcPr>
            <w:tcW w:w="0" w:type="auto"/>
            <w:shd w:val="clear" w:color="auto" w:fill="auto"/>
            <w:noWrap/>
            <w:vAlign w:val="bottom"/>
            <w:hideMark/>
          </w:tcPr>
          <w:p w14:paraId="4659E60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01D993E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 Калач</w:t>
            </w:r>
          </w:p>
        </w:tc>
        <w:tc>
          <w:tcPr>
            <w:tcW w:w="0" w:type="auto"/>
            <w:shd w:val="clear" w:color="auto" w:fill="auto"/>
            <w:noWrap/>
            <w:vAlign w:val="bottom"/>
            <w:hideMark/>
          </w:tcPr>
          <w:p w14:paraId="130BA8BD"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916,86   </w:t>
            </w:r>
          </w:p>
        </w:tc>
        <w:tc>
          <w:tcPr>
            <w:tcW w:w="0" w:type="auto"/>
            <w:shd w:val="clear" w:color="auto" w:fill="auto"/>
            <w:noWrap/>
            <w:vAlign w:val="bottom"/>
            <w:hideMark/>
          </w:tcPr>
          <w:p w14:paraId="41550765"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3 828,64   </w:t>
            </w:r>
          </w:p>
        </w:tc>
        <w:tc>
          <w:tcPr>
            <w:tcW w:w="0" w:type="auto"/>
            <w:shd w:val="clear" w:color="auto" w:fill="auto"/>
            <w:noWrap/>
            <w:vAlign w:val="bottom"/>
            <w:hideMark/>
          </w:tcPr>
          <w:p w14:paraId="7609890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6 499,49   </w:t>
            </w:r>
          </w:p>
        </w:tc>
        <w:tc>
          <w:tcPr>
            <w:tcW w:w="0" w:type="auto"/>
            <w:shd w:val="clear" w:color="auto" w:fill="auto"/>
            <w:noWrap/>
            <w:vAlign w:val="bottom"/>
            <w:hideMark/>
          </w:tcPr>
          <w:p w14:paraId="66DABB7D"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115BC667" w14:textId="77777777" w:rsidTr="000B0C76">
        <w:trPr>
          <w:trHeight w:val="300"/>
        </w:trPr>
        <w:tc>
          <w:tcPr>
            <w:tcW w:w="0" w:type="auto"/>
            <w:shd w:val="clear" w:color="auto" w:fill="auto"/>
            <w:noWrap/>
            <w:vAlign w:val="bottom"/>
            <w:hideMark/>
          </w:tcPr>
          <w:p w14:paraId="6D53250D"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29C1540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р.п. Новохоперский</w:t>
            </w:r>
          </w:p>
        </w:tc>
        <w:tc>
          <w:tcPr>
            <w:tcW w:w="0" w:type="auto"/>
            <w:shd w:val="clear" w:color="auto" w:fill="auto"/>
            <w:noWrap/>
            <w:vAlign w:val="bottom"/>
            <w:hideMark/>
          </w:tcPr>
          <w:p w14:paraId="78C1E84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1 280,49   </w:t>
            </w:r>
          </w:p>
        </w:tc>
        <w:tc>
          <w:tcPr>
            <w:tcW w:w="0" w:type="auto"/>
            <w:shd w:val="clear" w:color="auto" w:fill="auto"/>
            <w:noWrap/>
            <w:vAlign w:val="bottom"/>
            <w:hideMark/>
          </w:tcPr>
          <w:p w14:paraId="41F82A0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3 295,18   </w:t>
            </w:r>
          </w:p>
        </w:tc>
        <w:tc>
          <w:tcPr>
            <w:tcW w:w="0" w:type="auto"/>
            <w:shd w:val="clear" w:color="auto" w:fill="auto"/>
            <w:noWrap/>
            <w:vAlign w:val="bottom"/>
            <w:hideMark/>
          </w:tcPr>
          <w:p w14:paraId="6870564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6 176,89   </w:t>
            </w:r>
          </w:p>
        </w:tc>
        <w:tc>
          <w:tcPr>
            <w:tcW w:w="0" w:type="auto"/>
            <w:shd w:val="clear" w:color="auto" w:fill="auto"/>
            <w:noWrap/>
            <w:vAlign w:val="bottom"/>
            <w:hideMark/>
          </w:tcPr>
          <w:p w14:paraId="38AAF3E7"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5FDA015E" w14:textId="77777777" w:rsidTr="000B0C76">
        <w:trPr>
          <w:trHeight w:val="300"/>
        </w:trPr>
        <w:tc>
          <w:tcPr>
            <w:tcW w:w="0" w:type="auto"/>
            <w:shd w:val="clear" w:color="auto" w:fill="auto"/>
            <w:noWrap/>
            <w:vAlign w:val="bottom"/>
            <w:hideMark/>
          </w:tcPr>
          <w:p w14:paraId="08D71CF6"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3F7EBE0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 Поворино</w:t>
            </w:r>
          </w:p>
        </w:tc>
        <w:tc>
          <w:tcPr>
            <w:tcW w:w="0" w:type="auto"/>
            <w:shd w:val="clear" w:color="auto" w:fill="auto"/>
            <w:noWrap/>
            <w:vAlign w:val="bottom"/>
            <w:hideMark/>
          </w:tcPr>
          <w:p w14:paraId="7C4D7A1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918,18   </w:t>
            </w:r>
          </w:p>
        </w:tc>
        <w:tc>
          <w:tcPr>
            <w:tcW w:w="0" w:type="auto"/>
            <w:shd w:val="clear" w:color="auto" w:fill="auto"/>
            <w:noWrap/>
            <w:vAlign w:val="bottom"/>
            <w:hideMark/>
          </w:tcPr>
          <w:p w14:paraId="4350E8B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3 817,72   </w:t>
            </w:r>
          </w:p>
        </w:tc>
        <w:tc>
          <w:tcPr>
            <w:tcW w:w="0" w:type="auto"/>
            <w:shd w:val="clear" w:color="auto" w:fill="auto"/>
            <w:noWrap/>
            <w:vAlign w:val="bottom"/>
            <w:hideMark/>
          </w:tcPr>
          <w:p w14:paraId="11FCAF2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6 108,70   </w:t>
            </w:r>
          </w:p>
        </w:tc>
        <w:tc>
          <w:tcPr>
            <w:tcW w:w="0" w:type="auto"/>
            <w:shd w:val="clear" w:color="auto" w:fill="auto"/>
            <w:noWrap/>
            <w:vAlign w:val="bottom"/>
            <w:hideMark/>
          </w:tcPr>
          <w:p w14:paraId="25D7B8D1"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620C1AC2" w14:textId="77777777" w:rsidTr="000B0C76">
        <w:trPr>
          <w:trHeight w:val="300"/>
        </w:trPr>
        <w:tc>
          <w:tcPr>
            <w:tcW w:w="0" w:type="auto"/>
            <w:shd w:val="clear" w:color="auto" w:fill="auto"/>
            <w:noWrap/>
            <w:vAlign w:val="bottom"/>
            <w:hideMark/>
          </w:tcPr>
          <w:p w14:paraId="49734C0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6737F94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р.п. Кантемировка</w:t>
            </w:r>
          </w:p>
        </w:tc>
        <w:tc>
          <w:tcPr>
            <w:tcW w:w="0" w:type="auto"/>
            <w:shd w:val="clear" w:color="auto" w:fill="auto"/>
            <w:noWrap/>
            <w:vAlign w:val="bottom"/>
            <w:hideMark/>
          </w:tcPr>
          <w:p w14:paraId="696267F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1 848,30   </w:t>
            </w:r>
          </w:p>
        </w:tc>
        <w:tc>
          <w:tcPr>
            <w:tcW w:w="0" w:type="auto"/>
            <w:shd w:val="clear" w:color="auto" w:fill="auto"/>
            <w:noWrap/>
            <w:vAlign w:val="bottom"/>
            <w:hideMark/>
          </w:tcPr>
          <w:p w14:paraId="7F3A51E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3 013,45   </w:t>
            </w:r>
          </w:p>
        </w:tc>
        <w:tc>
          <w:tcPr>
            <w:tcW w:w="0" w:type="auto"/>
            <w:shd w:val="clear" w:color="auto" w:fill="auto"/>
            <w:noWrap/>
            <w:vAlign w:val="bottom"/>
            <w:hideMark/>
          </w:tcPr>
          <w:p w14:paraId="7B65047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5 071,75   </w:t>
            </w:r>
          </w:p>
        </w:tc>
        <w:tc>
          <w:tcPr>
            <w:tcW w:w="0" w:type="auto"/>
            <w:shd w:val="clear" w:color="auto" w:fill="auto"/>
            <w:noWrap/>
            <w:vAlign w:val="bottom"/>
            <w:hideMark/>
          </w:tcPr>
          <w:p w14:paraId="6D68A197"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25184D2D" w14:textId="77777777" w:rsidTr="000B0C76">
        <w:trPr>
          <w:trHeight w:val="300"/>
        </w:trPr>
        <w:tc>
          <w:tcPr>
            <w:tcW w:w="0" w:type="auto"/>
            <w:shd w:val="clear" w:color="auto" w:fill="auto"/>
            <w:noWrap/>
            <w:vAlign w:val="bottom"/>
            <w:hideMark/>
          </w:tcPr>
          <w:p w14:paraId="056B7CE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07A2E656"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р.п. Перелешинский</w:t>
            </w:r>
          </w:p>
        </w:tc>
        <w:tc>
          <w:tcPr>
            <w:tcW w:w="0" w:type="auto"/>
            <w:shd w:val="clear" w:color="auto" w:fill="auto"/>
            <w:noWrap/>
            <w:vAlign w:val="bottom"/>
            <w:hideMark/>
          </w:tcPr>
          <w:p w14:paraId="0F6B2AD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3 099,08   </w:t>
            </w:r>
          </w:p>
        </w:tc>
        <w:tc>
          <w:tcPr>
            <w:tcW w:w="0" w:type="auto"/>
            <w:shd w:val="clear" w:color="auto" w:fill="auto"/>
            <w:noWrap/>
            <w:vAlign w:val="bottom"/>
            <w:hideMark/>
          </w:tcPr>
          <w:p w14:paraId="1D582DEA"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3 225,27   </w:t>
            </w:r>
          </w:p>
        </w:tc>
        <w:tc>
          <w:tcPr>
            <w:tcW w:w="0" w:type="auto"/>
            <w:shd w:val="clear" w:color="auto" w:fill="auto"/>
            <w:noWrap/>
            <w:vAlign w:val="bottom"/>
            <w:hideMark/>
          </w:tcPr>
          <w:p w14:paraId="5AE6246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3 351,46   </w:t>
            </w:r>
          </w:p>
        </w:tc>
        <w:tc>
          <w:tcPr>
            <w:tcW w:w="0" w:type="auto"/>
            <w:shd w:val="clear" w:color="auto" w:fill="auto"/>
            <w:noWrap/>
            <w:vAlign w:val="bottom"/>
            <w:hideMark/>
          </w:tcPr>
          <w:p w14:paraId="4A0E63D2"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3</w:t>
            </w:r>
          </w:p>
        </w:tc>
      </w:tr>
      <w:tr w:rsidR="000B0C76" w:rsidRPr="00E6223E" w14:paraId="124DD5F7" w14:textId="77777777" w:rsidTr="000B0C76">
        <w:trPr>
          <w:trHeight w:val="300"/>
        </w:trPr>
        <w:tc>
          <w:tcPr>
            <w:tcW w:w="0" w:type="auto"/>
            <w:shd w:val="clear" w:color="auto" w:fill="auto"/>
            <w:noWrap/>
            <w:vAlign w:val="bottom"/>
            <w:hideMark/>
          </w:tcPr>
          <w:p w14:paraId="305581A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5B5CAAE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р.п. Стрелица</w:t>
            </w:r>
          </w:p>
        </w:tc>
        <w:tc>
          <w:tcPr>
            <w:tcW w:w="0" w:type="auto"/>
            <w:shd w:val="clear" w:color="auto" w:fill="auto"/>
            <w:noWrap/>
            <w:vAlign w:val="bottom"/>
            <w:hideMark/>
          </w:tcPr>
          <w:p w14:paraId="0D145C3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2 282,86   </w:t>
            </w:r>
          </w:p>
        </w:tc>
        <w:tc>
          <w:tcPr>
            <w:tcW w:w="0" w:type="auto"/>
            <w:shd w:val="clear" w:color="auto" w:fill="auto"/>
            <w:noWrap/>
            <w:vAlign w:val="bottom"/>
            <w:hideMark/>
          </w:tcPr>
          <w:p w14:paraId="6121B79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4 459,23   </w:t>
            </w:r>
          </w:p>
        </w:tc>
        <w:tc>
          <w:tcPr>
            <w:tcW w:w="0" w:type="auto"/>
            <w:shd w:val="clear" w:color="auto" w:fill="auto"/>
            <w:noWrap/>
            <w:vAlign w:val="bottom"/>
            <w:hideMark/>
          </w:tcPr>
          <w:p w14:paraId="658C018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7 399,91   </w:t>
            </w:r>
          </w:p>
        </w:tc>
        <w:tc>
          <w:tcPr>
            <w:tcW w:w="0" w:type="auto"/>
            <w:shd w:val="clear" w:color="auto" w:fill="auto"/>
            <w:noWrap/>
            <w:vAlign w:val="bottom"/>
            <w:hideMark/>
          </w:tcPr>
          <w:p w14:paraId="472284CF"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4</w:t>
            </w:r>
          </w:p>
        </w:tc>
      </w:tr>
      <w:tr w:rsidR="000B0C76" w:rsidRPr="00E6223E" w14:paraId="6CD5EB3A" w14:textId="77777777" w:rsidTr="000B0C76">
        <w:trPr>
          <w:trHeight w:val="300"/>
        </w:trPr>
        <w:tc>
          <w:tcPr>
            <w:tcW w:w="0" w:type="auto"/>
            <w:shd w:val="clear" w:color="auto" w:fill="auto"/>
            <w:noWrap/>
            <w:vAlign w:val="bottom"/>
            <w:hideMark/>
          </w:tcPr>
          <w:p w14:paraId="4F16134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1CEDC37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р.п. Панино</w:t>
            </w:r>
          </w:p>
        </w:tc>
        <w:tc>
          <w:tcPr>
            <w:tcW w:w="0" w:type="auto"/>
            <w:shd w:val="clear" w:color="auto" w:fill="auto"/>
            <w:noWrap/>
            <w:vAlign w:val="bottom"/>
            <w:hideMark/>
          </w:tcPr>
          <w:p w14:paraId="687062B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968,28   </w:t>
            </w:r>
          </w:p>
        </w:tc>
        <w:tc>
          <w:tcPr>
            <w:tcW w:w="0" w:type="auto"/>
            <w:shd w:val="clear" w:color="auto" w:fill="auto"/>
            <w:noWrap/>
            <w:vAlign w:val="bottom"/>
            <w:hideMark/>
          </w:tcPr>
          <w:p w14:paraId="3A876F4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2 865,37   </w:t>
            </w:r>
          </w:p>
        </w:tc>
        <w:tc>
          <w:tcPr>
            <w:tcW w:w="0" w:type="auto"/>
            <w:shd w:val="clear" w:color="auto" w:fill="auto"/>
            <w:noWrap/>
            <w:vAlign w:val="bottom"/>
            <w:hideMark/>
          </w:tcPr>
          <w:p w14:paraId="78C3DE9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6 298,26   </w:t>
            </w:r>
          </w:p>
        </w:tc>
        <w:tc>
          <w:tcPr>
            <w:tcW w:w="0" w:type="auto"/>
            <w:shd w:val="clear" w:color="auto" w:fill="auto"/>
            <w:noWrap/>
            <w:vAlign w:val="bottom"/>
            <w:hideMark/>
          </w:tcPr>
          <w:p w14:paraId="0D400A40"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4</w:t>
            </w:r>
          </w:p>
        </w:tc>
      </w:tr>
      <w:tr w:rsidR="000B0C76" w:rsidRPr="00E6223E" w14:paraId="261D0204" w14:textId="77777777" w:rsidTr="000B0C76">
        <w:trPr>
          <w:trHeight w:val="300"/>
        </w:trPr>
        <w:tc>
          <w:tcPr>
            <w:tcW w:w="0" w:type="auto"/>
            <w:shd w:val="clear" w:color="auto" w:fill="auto"/>
            <w:noWrap/>
            <w:vAlign w:val="bottom"/>
            <w:hideMark/>
          </w:tcPr>
          <w:p w14:paraId="65ADEFD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5CD6774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р.п. Таловая</w:t>
            </w:r>
          </w:p>
        </w:tc>
        <w:tc>
          <w:tcPr>
            <w:tcW w:w="0" w:type="auto"/>
            <w:shd w:val="clear" w:color="auto" w:fill="auto"/>
            <w:noWrap/>
            <w:vAlign w:val="bottom"/>
            <w:hideMark/>
          </w:tcPr>
          <w:p w14:paraId="2AA9A6E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973,50   </w:t>
            </w:r>
          </w:p>
        </w:tc>
        <w:tc>
          <w:tcPr>
            <w:tcW w:w="0" w:type="auto"/>
            <w:shd w:val="clear" w:color="auto" w:fill="auto"/>
            <w:noWrap/>
            <w:vAlign w:val="bottom"/>
            <w:hideMark/>
          </w:tcPr>
          <w:p w14:paraId="497568F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2 605,23   </w:t>
            </w:r>
          </w:p>
        </w:tc>
        <w:tc>
          <w:tcPr>
            <w:tcW w:w="0" w:type="auto"/>
            <w:shd w:val="clear" w:color="auto" w:fill="auto"/>
            <w:noWrap/>
            <w:vAlign w:val="bottom"/>
            <w:hideMark/>
          </w:tcPr>
          <w:p w14:paraId="38481B7A"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5 726,35   </w:t>
            </w:r>
          </w:p>
        </w:tc>
        <w:tc>
          <w:tcPr>
            <w:tcW w:w="0" w:type="auto"/>
            <w:shd w:val="clear" w:color="auto" w:fill="auto"/>
            <w:noWrap/>
            <w:vAlign w:val="bottom"/>
            <w:hideMark/>
          </w:tcPr>
          <w:p w14:paraId="4152F20F"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4</w:t>
            </w:r>
          </w:p>
        </w:tc>
      </w:tr>
      <w:tr w:rsidR="000B0C76" w:rsidRPr="00E6223E" w14:paraId="714DACA7" w14:textId="77777777" w:rsidTr="000B0C76">
        <w:trPr>
          <w:trHeight w:val="300"/>
        </w:trPr>
        <w:tc>
          <w:tcPr>
            <w:tcW w:w="0" w:type="auto"/>
            <w:shd w:val="clear" w:color="auto" w:fill="auto"/>
            <w:noWrap/>
            <w:vAlign w:val="bottom"/>
            <w:hideMark/>
          </w:tcPr>
          <w:p w14:paraId="41E321C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4192BBD6"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р.п. Латная</w:t>
            </w:r>
          </w:p>
        </w:tc>
        <w:tc>
          <w:tcPr>
            <w:tcW w:w="0" w:type="auto"/>
            <w:shd w:val="clear" w:color="auto" w:fill="auto"/>
            <w:noWrap/>
            <w:vAlign w:val="bottom"/>
            <w:hideMark/>
          </w:tcPr>
          <w:p w14:paraId="353CC89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1 507,93   </w:t>
            </w:r>
          </w:p>
        </w:tc>
        <w:tc>
          <w:tcPr>
            <w:tcW w:w="0" w:type="auto"/>
            <w:shd w:val="clear" w:color="auto" w:fill="auto"/>
            <w:noWrap/>
            <w:vAlign w:val="bottom"/>
            <w:hideMark/>
          </w:tcPr>
          <w:p w14:paraId="77E876D6"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2 843,39   </w:t>
            </w:r>
          </w:p>
        </w:tc>
        <w:tc>
          <w:tcPr>
            <w:tcW w:w="0" w:type="auto"/>
            <w:shd w:val="clear" w:color="auto" w:fill="auto"/>
            <w:noWrap/>
            <w:vAlign w:val="bottom"/>
            <w:hideMark/>
          </w:tcPr>
          <w:p w14:paraId="2C23E71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4 607,72   </w:t>
            </w:r>
          </w:p>
        </w:tc>
        <w:tc>
          <w:tcPr>
            <w:tcW w:w="0" w:type="auto"/>
            <w:shd w:val="clear" w:color="auto" w:fill="auto"/>
            <w:noWrap/>
            <w:vAlign w:val="bottom"/>
            <w:hideMark/>
          </w:tcPr>
          <w:p w14:paraId="7865B7EB"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4</w:t>
            </w:r>
          </w:p>
        </w:tc>
      </w:tr>
      <w:tr w:rsidR="000B0C76" w:rsidRPr="00E6223E" w14:paraId="127B1673" w14:textId="77777777" w:rsidTr="000B0C76">
        <w:trPr>
          <w:trHeight w:val="300"/>
        </w:trPr>
        <w:tc>
          <w:tcPr>
            <w:tcW w:w="0" w:type="auto"/>
            <w:shd w:val="clear" w:color="auto" w:fill="auto"/>
            <w:noWrap/>
            <w:vAlign w:val="bottom"/>
            <w:hideMark/>
          </w:tcPr>
          <w:p w14:paraId="4BE56D4A"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3B9E9C0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р.п. Давыдовка</w:t>
            </w:r>
          </w:p>
        </w:tc>
        <w:tc>
          <w:tcPr>
            <w:tcW w:w="0" w:type="auto"/>
            <w:shd w:val="clear" w:color="auto" w:fill="auto"/>
            <w:noWrap/>
            <w:vAlign w:val="bottom"/>
            <w:hideMark/>
          </w:tcPr>
          <w:p w14:paraId="4ED3B05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2 096,12   </w:t>
            </w:r>
          </w:p>
        </w:tc>
        <w:tc>
          <w:tcPr>
            <w:tcW w:w="0" w:type="auto"/>
            <w:shd w:val="clear" w:color="auto" w:fill="auto"/>
            <w:noWrap/>
            <w:vAlign w:val="bottom"/>
            <w:hideMark/>
          </w:tcPr>
          <w:p w14:paraId="2A20317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2 966,55   </w:t>
            </w:r>
          </w:p>
        </w:tc>
        <w:tc>
          <w:tcPr>
            <w:tcW w:w="0" w:type="auto"/>
            <w:shd w:val="clear" w:color="auto" w:fill="auto"/>
            <w:noWrap/>
            <w:vAlign w:val="bottom"/>
            <w:hideMark/>
          </w:tcPr>
          <w:p w14:paraId="3015E5B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4 073,33   </w:t>
            </w:r>
          </w:p>
        </w:tc>
        <w:tc>
          <w:tcPr>
            <w:tcW w:w="0" w:type="auto"/>
            <w:shd w:val="clear" w:color="auto" w:fill="auto"/>
            <w:noWrap/>
            <w:vAlign w:val="bottom"/>
            <w:hideMark/>
          </w:tcPr>
          <w:p w14:paraId="531973C4"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4</w:t>
            </w:r>
          </w:p>
        </w:tc>
      </w:tr>
      <w:tr w:rsidR="000B0C76" w:rsidRPr="00E6223E" w14:paraId="46D996D1" w14:textId="77777777" w:rsidTr="000B0C76">
        <w:trPr>
          <w:trHeight w:val="300"/>
        </w:trPr>
        <w:tc>
          <w:tcPr>
            <w:tcW w:w="0" w:type="auto"/>
            <w:shd w:val="clear" w:color="auto" w:fill="auto"/>
            <w:noWrap/>
            <w:vAlign w:val="bottom"/>
            <w:hideMark/>
          </w:tcPr>
          <w:p w14:paraId="1718F10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32E261D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п.г.т. Каменка</w:t>
            </w:r>
          </w:p>
        </w:tc>
        <w:tc>
          <w:tcPr>
            <w:tcW w:w="0" w:type="auto"/>
            <w:shd w:val="clear" w:color="auto" w:fill="auto"/>
            <w:noWrap/>
            <w:vAlign w:val="bottom"/>
            <w:hideMark/>
          </w:tcPr>
          <w:p w14:paraId="31CF807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1 174,84   </w:t>
            </w:r>
          </w:p>
        </w:tc>
        <w:tc>
          <w:tcPr>
            <w:tcW w:w="0" w:type="auto"/>
            <w:shd w:val="clear" w:color="auto" w:fill="auto"/>
            <w:noWrap/>
            <w:vAlign w:val="bottom"/>
            <w:hideMark/>
          </w:tcPr>
          <w:p w14:paraId="007F500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2 353,91   </w:t>
            </w:r>
          </w:p>
        </w:tc>
        <w:tc>
          <w:tcPr>
            <w:tcW w:w="0" w:type="auto"/>
            <w:shd w:val="clear" w:color="auto" w:fill="auto"/>
            <w:noWrap/>
            <w:vAlign w:val="bottom"/>
            <w:hideMark/>
          </w:tcPr>
          <w:p w14:paraId="2F2D383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3 791,66   </w:t>
            </w:r>
          </w:p>
        </w:tc>
        <w:tc>
          <w:tcPr>
            <w:tcW w:w="0" w:type="auto"/>
            <w:shd w:val="clear" w:color="auto" w:fill="auto"/>
            <w:noWrap/>
            <w:vAlign w:val="bottom"/>
            <w:hideMark/>
          </w:tcPr>
          <w:p w14:paraId="74D26780"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4</w:t>
            </w:r>
          </w:p>
        </w:tc>
      </w:tr>
      <w:tr w:rsidR="000B0C76" w:rsidRPr="00E6223E" w14:paraId="2CFBF3DD" w14:textId="77777777" w:rsidTr="000B0C76">
        <w:trPr>
          <w:trHeight w:val="300"/>
        </w:trPr>
        <w:tc>
          <w:tcPr>
            <w:tcW w:w="0" w:type="auto"/>
            <w:shd w:val="clear" w:color="auto" w:fill="auto"/>
            <w:noWrap/>
            <w:vAlign w:val="bottom"/>
            <w:hideMark/>
          </w:tcPr>
          <w:p w14:paraId="247BB52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ГНП</w:t>
            </w:r>
          </w:p>
        </w:tc>
        <w:tc>
          <w:tcPr>
            <w:tcW w:w="0" w:type="auto"/>
            <w:shd w:val="clear" w:color="auto" w:fill="auto"/>
            <w:noWrap/>
            <w:vAlign w:val="bottom"/>
            <w:hideMark/>
          </w:tcPr>
          <w:p w14:paraId="38E1823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р.п. Нижний Кисляй</w:t>
            </w:r>
          </w:p>
        </w:tc>
        <w:tc>
          <w:tcPr>
            <w:tcW w:w="0" w:type="auto"/>
            <w:shd w:val="clear" w:color="auto" w:fill="auto"/>
            <w:noWrap/>
            <w:vAlign w:val="bottom"/>
            <w:hideMark/>
          </w:tcPr>
          <w:p w14:paraId="3E4D6B25"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1 366,22   </w:t>
            </w:r>
          </w:p>
        </w:tc>
        <w:tc>
          <w:tcPr>
            <w:tcW w:w="0" w:type="auto"/>
            <w:shd w:val="clear" w:color="auto" w:fill="auto"/>
            <w:noWrap/>
            <w:vAlign w:val="bottom"/>
            <w:hideMark/>
          </w:tcPr>
          <w:p w14:paraId="3B144B4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1 366,22   </w:t>
            </w:r>
          </w:p>
        </w:tc>
        <w:tc>
          <w:tcPr>
            <w:tcW w:w="0" w:type="auto"/>
            <w:shd w:val="clear" w:color="auto" w:fill="auto"/>
            <w:noWrap/>
            <w:vAlign w:val="bottom"/>
            <w:hideMark/>
          </w:tcPr>
          <w:p w14:paraId="1497A3C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1 366,22   </w:t>
            </w:r>
          </w:p>
        </w:tc>
        <w:tc>
          <w:tcPr>
            <w:tcW w:w="0" w:type="auto"/>
            <w:shd w:val="clear" w:color="auto" w:fill="auto"/>
            <w:noWrap/>
            <w:vAlign w:val="bottom"/>
            <w:hideMark/>
          </w:tcPr>
          <w:p w14:paraId="1873C93D"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4</w:t>
            </w:r>
          </w:p>
        </w:tc>
      </w:tr>
      <w:tr w:rsidR="000B0C76" w:rsidRPr="00E6223E" w14:paraId="0A0A0463" w14:textId="77777777" w:rsidTr="000B0C76">
        <w:trPr>
          <w:trHeight w:val="300"/>
        </w:trPr>
        <w:tc>
          <w:tcPr>
            <w:tcW w:w="0" w:type="auto"/>
            <w:shd w:val="clear" w:color="auto" w:fill="auto"/>
            <w:noWrap/>
            <w:vAlign w:val="bottom"/>
            <w:hideMark/>
          </w:tcPr>
          <w:p w14:paraId="58C742C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6F5A59F5"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Рамонский р-н</w:t>
            </w:r>
          </w:p>
        </w:tc>
        <w:tc>
          <w:tcPr>
            <w:tcW w:w="0" w:type="auto"/>
            <w:shd w:val="clear" w:color="auto" w:fill="auto"/>
            <w:noWrap/>
            <w:vAlign w:val="bottom"/>
            <w:hideMark/>
          </w:tcPr>
          <w:p w14:paraId="783A01A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418,95   </w:t>
            </w:r>
          </w:p>
        </w:tc>
        <w:tc>
          <w:tcPr>
            <w:tcW w:w="0" w:type="auto"/>
            <w:shd w:val="clear" w:color="auto" w:fill="auto"/>
            <w:noWrap/>
            <w:vAlign w:val="bottom"/>
            <w:hideMark/>
          </w:tcPr>
          <w:p w14:paraId="645DD14F"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3 144,76   </w:t>
            </w:r>
          </w:p>
        </w:tc>
        <w:tc>
          <w:tcPr>
            <w:tcW w:w="0" w:type="auto"/>
            <w:shd w:val="clear" w:color="auto" w:fill="auto"/>
            <w:noWrap/>
            <w:vAlign w:val="bottom"/>
            <w:hideMark/>
          </w:tcPr>
          <w:p w14:paraId="7E33B0B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7 200,69   </w:t>
            </w:r>
          </w:p>
        </w:tc>
        <w:tc>
          <w:tcPr>
            <w:tcW w:w="0" w:type="auto"/>
            <w:shd w:val="clear" w:color="auto" w:fill="auto"/>
            <w:noWrap/>
            <w:vAlign w:val="bottom"/>
            <w:hideMark/>
          </w:tcPr>
          <w:p w14:paraId="200F67B3"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5</w:t>
            </w:r>
          </w:p>
        </w:tc>
      </w:tr>
      <w:tr w:rsidR="000B0C76" w:rsidRPr="00E6223E" w14:paraId="0B36049D" w14:textId="77777777" w:rsidTr="000B0C76">
        <w:trPr>
          <w:trHeight w:val="300"/>
        </w:trPr>
        <w:tc>
          <w:tcPr>
            <w:tcW w:w="0" w:type="auto"/>
            <w:shd w:val="clear" w:color="auto" w:fill="auto"/>
            <w:noWrap/>
            <w:vAlign w:val="bottom"/>
            <w:hideMark/>
          </w:tcPr>
          <w:p w14:paraId="3D5712F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507EA49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Новоусманский р-н</w:t>
            </w:r>
          </w:p>
        </w:tc>
        <w:tc>
          <w:tcPr>
            <w:tcW w:w="0" w:type="auto"/>
            <w:shd w:val="clear" w:color="auto" w:fill="auto"/>
            <w:noWrap/>
            <w:vAlign w:val="bottom"/>
            <w:hideMark/>
          </w:tcPr>
          <w:p w14:paraId="257DAE3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416,84   </w:t>
            </w:r>
          </w:p>
        </w:tc>
        <w:tc>
          <w:tcPr>
            <w:tcW w:w="0" w:type="auto"/>
            <w:shd w:val="clear" w:color="auto" w:fill="auto"/>
            <w:noWrap/>
            <w:vAlign w:val="bottom"/>
            <w:hideMark/>
          </w:tcPr>
          <w:p w14:paraId="6191610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2 784,39   </w:t>
            </w:r>
          </w:p>
        </w:tc>
        <w:tc>
          <w:tcPr>
            <w:tcW w:w="0" w:type="auto"/>
            <w:shd w:val="clear" w:color="auto" w:fill="auto"/>
            <w:noWrap/>
            <w:vAlign w:val="bottom"/>
            <w:hideMark/>
          </w:tcPr>
          <w:p w14:paraId="214321D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9 615,74   </w:t>
            </w:r>
          </w:p>
        </w:tc>
        <w:tc>
          <w:tcPr>
            <w:tcW w:w="0" w:type="auto"/>
            <w:shd w:val="clear" w:color="auto" w:fill="auto"/>
            <w:noWrap/>
            <w:vAlign w:val="bottom"/>
            <w:hideMark/>
          </w:tcPr>
          <w:p w14:paraId="277694C5"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5</w:t>
            </w:r>
          </w:p>
        </w:tc>
      </w:tr>
      <w:tr w:rsidR="000B0C76" w:rsidRPr="00E6223E" w14:paraId="129489FA" w14:textId="77777777" w:rsidTr="000B0C76">
        <w:trPr>
          <w:trHeight w:val="300"/>
        </w:trPr>
        <w:tc>
          <w:tcPr>
            <w:tcW w:w="0" w:type="auto"/>
            <w:shd w:val="clear" w:color="auto" w:fill="auto"/>
            <w:noWrap/>
            <w:vAlign w:val="bottom"/>
            <w:hideMark/>
          </w:tcPr>
          <w:p w14:paraId="325BB39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0306207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Семилукский р-н</w:t>
            </w:r>
          </w:p>
        </w:tc>
        <w:tc>
          <w:tcPr>
            <w:tcW w:w="0" w:type="auto"/>
            <w:shd w:val="clear" w:color="auto" w:fill="auto"/>
            <w:noWrap/>
            <w:vAlign w:val="bottom"/>
            <w:hideMark/>
          </w:tcPr>
          <w:p w14:paraId="1D18694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686,67   </w:t>
            </w:r>
          </w:p>
        </w:tc>
        <w:tc>
          <w:tcPr>
            <w:tcW w:w="0" w:type="auto"/>
            <w:shd w:val="clear" w:color="auto" w:fill="auto"/>
            <w:noWrap/>
            <w:vAlign w:val="bottom"/>
            <w:hideMark/>
          </w:tcPr>
          <w:p w14:paraId="4C8C49F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2 734,26   </w:t>
            </w:r>
          </w:p>
        </w:tc>
        <w:tc>
          <w:tcPr>
            <w:tcW w:w="0" w:type="auto"/>
            <w:shd w:val="clear" w:color="auto" w:fill="auto"/>
            <w:noWrap/>
            <w:vAlign w:val="bottom"/>
            <w:hideMark/>
          </w:tcPr>
          <w:p w14:paraId="3CFDC8B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8 952,38   </w:t>
            </w:r>
          </w:p>
        </w:tc>
        <w:tc>
          <w:tcPr>
            <w:tcW w:w="0" w:type="auto"/>
            <w:shd w:val="clear" w:color="auto" w:fill="auto"/>
            <w:noWrap/>
            <w:vAlign w:val="bottom"/>
            <w:hideMark/>
          </w:tcPr>
          <w:p w14:paraId="6F0AF637"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5</w:t>
            </w:r>
          </w:p>
        </w:tc>
      </w:tr>
      <w:tr w:rsidR="000B0C76" w:rsidRPr="00E6223E" w14:paraId="1AF259F3" w14:textId="77777777" w:rsidTr="000B0C76">
        <w:trPr>
          <w:trHeight w:val="300"/>
        </w:trPr>
        <w:tc>
          <w:tcPr>
            <w:tcW w:w="0" w:type="auto"/>
            <w:shd w:val="clear" w:color="auto" w:fill="auto"/>
            <w:noWrap/>
            <w:vAlign w:val="bottom"/>
            <w:hideMark/>
          </w:tcPr>
          <w:p w14:paraId="677E082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690C5D5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Каширский р-н</w:t>
            </w:r>
          </w:p>
        </w:tc>
        <w:tc>
          <w:tcPr>
            <w:tcW w:w="0" w:type="auto"/>
            <w:shd w:val="clear" w:color="auto" w:fill="auto"/>
            <w:noWrap/>
            <w:vAlign w:val="bottom"/>
            <w:hideMark/>
          </w:tcPr>
          <w:p w14:paraId="1A65DF4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537,68   </w:t>
            </w:r>
          </w:p>
        </w:tc>
        <w:tc>
          <w:tcPr>
            <w:tcW w:w="0" w:type="auto"/>
            <w:shd w:val="clear" w:color="auto" w:fill="auto"/>
            <w:noWrap/>
            <w:vAlign w:val="bottom"/>
            <w:hideMark/>
          </w:tcPr>
          <w:p w14:paraId="51324B6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2 519,54   </w:t>
            </w:r>
          </w:p>
        </w:tc>
        <w:tc>
          <w:tcPr>
            <w:tcW w:w="0" w:type="auto"/>
            <w:shd w:val="clear" w:color="auto" w:fill="auto"/>
            <w:noWrap/>
            <w:vAlign w:val="bottom"/>
            <w:hideMark/>
          </w:tcPr>
          <w:p w14:paraId="11838E4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5 479,16   </w:t>
            </w:r>
          </w:p>
        </w:tc>
        <w:tc>
          <w:tcPr>
            <w:tcW w:w="0" w:type="auto"/>
            <w:shd w:val="clear" w:color="auto" w:fill="auto"/>
            <w:noWrap/>
            <w:vAlign w:val="bottom"/>
            <w:hideMark/>
          </w:tcPr>
          <w:p w14:paraId="7EF5134C"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5</w:t>
            </w:r>
          </w:p>
        </w:tc>
      </w:tr>
      <w:tr w:rsidR="000B0C76" w:rsidRPr="00E6223E" w14:paraId="4259B317" w14:textId="77777777" w:rsidTr="000B0C76">
        <w:trPr>
          <w:trHeight w:val="300"/>
        </w:trPr>
        <w:tc>
          <w:tcPr>
            <w:tcW w:w="0" w:type="auto"/>
            <w:shd w:val="clear" w:color="auto" w:fill="auto"/>
            <w:noWrap/>
            <w:vAlign w:val="bottom"/>
            <w:hideMark/>
          </w:tcPr>
          <w:p w14:paraId="5E71852F"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440F47F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Терновский р-н</w:t>
            </w:r>
          </w:p>
        </w:tc>
        <w:tc>
          <w:tcPr>
            <w:tcW w:w="0" w:type="auto"/>
            <w:shd w:val="clear" w:color="auto" w:fill="auto"/>
            <w:noWrap/>
            <w:vAlign w:val="bottom"/>
            <w:hideMark/>
          </w:tcPr>
          <w:p w14:paraId="1948E48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441,97   </w:t>
            </w:r>
          </w:p>
        </w:tc>
        <w:tc>
          <w:tcPr>
            <w:tcW w:w="0" w:type="auto"/>
            <w:shd w:val="clear" w:color="auto" w:fill="auto"/>
            <w:noWrap/>
            <w:vAlign w:val="bottom"/>
            <w:hideMark/>
          </w:tcPr>
          <w:p w14:paraId="1C73534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2 390,07   </w:t>
            </w:r>
          </w:p>
        </w:tc>
        <w:tc>
          <w:tcPr>
            <w:tcW w:w="0" w:type="auto"/>
            <w:shd w:val="clear" w:color="auto" w:fill="auto"/>
            <w:noWrap/>
            <w:vAlign w:val="bottom"/>
            <w:hideMark/>
          </w:tcPr>
          <w:p w14:paraId="0F4D9A0A"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5 908,39   </w:t>
            </w:r>
          </w:p>
        </w:tc>
        <w:tc>
          <w:tcPr>
            <w:tcW w:w="0" w:type="auto"/>
            <w:shd w:val="clear" w:color="auto" w:fill="auto"/>
            <w:noWrap/>
            <w:vAlign w:val="bottom"/>
            <w:hideMark/>
          </w:tcPr>
          <w:p w14:paraId="2F1B38AB"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16DF0445" w14:textId="77777777" w:rsidTr="000B0C76">
        <w:trPr>
          <w:trHeight w:val="300"/>
        </w:trPr>
        <w:tc>
          <w:tcPr>
            <w:tcW w:w="0" w:type="auto"/>
            <w:shd w:val="clear" w:color="auto" w:fill="auto"/>
            <w:noWrap/>
            <w:vAlign w:val="bottom"/>
            <w:hideMark/>
          </w:tcPr>
          <w:p w14:paraId="0638515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39949A1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Петропавловский р-н</w:t>
            </w:r>
          </w:p>
        </w:tc>
        <w:tc>
          <w:tcPr>
            <w:tcW w:w="0" w:type="auto"/>
            <w:shd w:val="clear" w:color="auto" w:fill="auto"/>
            <w:noWrap/>
            <w:vAlign w:val="bottom"/>
            <w:hideMark/>
          </w:tcPr>
          <w:p w14:paraId="14E771D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410,17   </w:t>
            </w:r>
          </w:p>
        </w:tc>
        <w:tc>
          <w:tcPr>
            <w:tcW w:w="0" w:type="auto"/>
            <w:shd w:val="clear" w:color="auto" w:fill="auto"/>
            <w:noWrap/>
            <w:vAlign w:val="bottom"/>
            <w:hideMark/>
          </w:tcPr>
          <w:p w14:paraId="0E08168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2 305,59   </w:t>
            </w:r>
          </w:p>
        </w:tc>
        <w:tc>
          <w:tcPr>
            <w:tcW w:w="0" w:type="auto"/>
            <w:shd w:val="clear" w:color="auto" w:fill="auto"/>
            <w:noWrap/>
            <w:vAlign w:val="bottom"/>
            <w:hideMark/>
          </w:tcPr>
          <w:p w14:paraId="6754504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5 809,38   </w:t>
            </w:r>
          </w:p>
        </w:tc>
        <w:tc>
          <w:tcPr>
            <w:tcW w:w="0" w:type="auto"/>
            <w:shd w:val="clear" w:color="auto" w:fill="auto"/>
            <w:noWrap/>
            <w:vAlign w:val="bottom"/>
            <w:hideMark/>
          </w:tcPr>
          <w:p w14:paraId="289929A2"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2F9FBE97" w14:textId="77777777" w:rsidTr="000B0C76">
        <w:trPr>
          <w:trHeight w:val="300"/>
        </w:trPr>
        <w:tc>
          <w:tcPr>
            <w:tcW w:w="0" w:type="auto"/>
            <w:shd w:val="clear" w:color="auto" w:fill="auto"/>
            <w:noWrap/>
            <w:vAlign w:val="bottom"/>
            <w:hideMark/>
          </w:tcPr>
          <w:p w14:paraId="04B38B6F"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76F8D5E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Нижнедевицкий р-н</w:t>
            </w:r>
          </w:p>
        </w:tc>
        <w:tc>
          <w:tcPr>
            <w:tcW w:w="0" w:type="auto"/>
            <w:shd w:val="clear" w:color="auto" w:fill="auto"/>
            <w:noWrap/>
            <w:vAlign w:val="bottom"/>
            <w:hideMark/>
          </w:tcPr>
          <w:p w14:paraId="4333AC3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583,29   </w:t>
            </w:r>
          </w:p>
        </w:tc>
        <w:tc>
          <w:tcPr>
            <w:tcW w:w="0" w:type="auto"/>
            <w:shd w:val="clear" w:color="auto" w:fill="auto"/>
            <w:noWrap/>
            <w:vAlign w:val="bottom"/>
            <w:hideMark/>
          </w:tcPr>
          <w:p w14:paraId="30622F4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2 249,12   </w:t>
            </w:r>
          </w:p>
        </w:tc>
        <w:tc>
          <w:tcPr>
            <w:tcW w:w="0" w:type="auto"/>
            <w:shd w:val="clear" w:color="auto" w:fill="auto"/>
            <w:noWrap/>
            <w:vAlign w:val="bottom"/>
            <w:hideMark/>
          </w:tcPr>
          <w:p w14:paraId="41BC1E8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16 022,23   </w:t>
            </w:r>
          </w:p>
        </w:tc>
        <w:tc>
          <w:tcPr>
            <w:tcW w:w="0" w:type="auto"/>
            <w:shd w:val="clear" w:color="auto" w:fill="auto"/>
            <w:noWrap/>
            <w:vAlign w:val="bottom"/>
            <w:hideMark/>
          </w:tcPr>
          <w:p w14:paraId="68EB8D7C"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07727F83" w14:textId="77777777" w:rsidTr="000B0C76">
        <w:trPr>
          <w:trHeight w:val="300"/>
        </w:trPr>
        <w:tc>
          <w:tcPr>
            <w:tcW w:w="0" w:type="auto"/>
            <w:shd w:val="clear" w:color="auto" w:fill="auto"/>
            <w:noWrap/>
            <w:vAlign w:val="bottom"/>
            <w:hideMark/>
          </w:tcPr>
          <w:p w14:paraId="1E5F79F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4FD649F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Калачеевский р-н</w:t>
            </w:r>
          </w:p>
        </w:tc>
        <w:tc>
          <w:tcPr>
            <w:tcW w:w="0" w:type="auto"/>
            <w:shd w:val="clear" w:color="auto" w:fill="auto"/>
            <w:noWrap/>
            <w:vAlign w:val="bottom"/>
            <w:hideMark/>
          </w:tcPr>
          <w:p w14:paraId="6AE0C87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441,95   </w:t>
            </w:r>
          </w:p>
        </w:tc>
        <w:tc>
          <w:tcPr>
            <w:tcW w:w="0" w:type="auto"/>
            <w:shd w:val="clear" w:color="auto" w:fill="auto"/>
            <w:noWrap/>
            <w:vAlign w:val="bottom"/>
            <w:hideMark/>
          </w:tcPr>
          <w:p w14:paraId="4C779CD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2 221,47   </w:t>
            </w:r>
          </w:p>
        </w:tc>
        <w:tc>
          <w:tcPr>
            <w:tcW w:w="0" w:type="auto"/>
            <w:shd w:val="clear" w:color="auto" w:fill="auto"/>
            <w:noWrap/>
            <w:vAlign w:val="bottom"/>
            <w:hideMark/>
          </w:tcPr>
          <w:p w14:paraId="23C846F6"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7 062,94   </w:t>
            </w:r>
          </w:p>
        </w:tc>
        <w:tc>
          <w:tcPr>
            <w:tcW w:w="0" w:type="auto"/>
            <w:shd w:val="clear" w:color="auto" w:fill="auto"/>
            <w:noWrap/>
            <w:vAlign w:val="bottom"/>
            <w:hideMark/>
          </w:tcPr>
          <w:p w14:paraId="55570BF4"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696060E3" w14:textId="77777777" w:rsidTr="000B0C76">
        <w:trPr>
          <w:trHeight w:val="300"/>
        </w:trPr>
        <w:tc>
          <w:tcPr>
            <w:tcW w:w="0" w:type="auto"/>
            <w:shd w:val="clear" w:color="auto" w:fill="auto"/>
            <w:noWrap/>
            <w:vAlign w:val="bottom"/>
            <w:hideMark/>
          </w:tcPr>
          <w:p w14:paraId="4E927F55"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652BC94D"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Хохольский р-н</w:t>
            </w:r>
          </w:p>
        </w:tc>
        <w:tc>
          <w:tcPr>
            <w:tcW w:w="0" w:type="auto"/>
            <w:shd w:val="clear" w:color="auto" w:fill="auto"/>
            <w:noWrap/>
            <w:vAlign w:val="bottom"/>
            <w:hideMark/>
          </w:tcPr>
          <w:p w14:paraId="5BD67E9D"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499,21   </w:t>
            </w:r>
          </w:p>
        </w:tc>
        <w:tc>
          <w:tcPr>
            <w:tcW w:w="0" w:type="auto"/>
            <w:shd w:val="clear" w:color="auto" w:fill="auto"/>
            <w:noWrap/>
            <w:vAlign w:val="bottom"/>
            <w:hideMark/>
          </w:tcPr>
          <w:p w14:paraId="4EC43F9A"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2 071,41   </w:t>
            </w:r>
          </w:p>
        </w:tc>
        <w:tc>
          <w:tcPr>
            <w:tcW w:w="0" w:type="auto"/>
            <w:shd w:val="clear" w:color="auto" w:fill="auto"/>
            <w:noWrap/>
            <w:vAlign w:val="bottom"/>
            <w:hideMark/>
          </w:tcPr>
          <w:p w14:paraId="59C8C65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5 948,80   </w:t>
            </w:r>
          </w:p>
        </w:tc>
        <w:tc>
          <w:tcPr>
            <w:tcW w:w="0" w:type="auto"/>
            <w:shd w:val="clear" w:color="auto" w:fill="auto"/>
            <w:noWrap/>
            <w:vAlign w:val="bottom"/>
            <w:hideMark/>
          </w:tcPr>
          <w:p w14:paraId="066EF2AC"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1C7AE8F2" w14:textId="77777777" w:rsidTr="000B0C76">
        <w:trPr>
          <w:trHeight w:val="300"/>
        </w:trPr>
        <w:tc>
          <w:tcPr>
            <w:tcW w:w="0" w:type="auto"/>
            <w:shd w:val="clear" w:color="auto" w:fill="auto"/>
            <w:noWrap/>
            <w:vAlign w:val="bottom"/>
            <w:hideMark/>
          </w:tcPr>
          <w:p w14:paraId="3171CB5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7592B18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Верхнемамонский р-н</w:t>
            </w:r>
          </w:p>
        </w:tc>
        <w:tc>
          <w:tcPr>
            <w:tcW w:w="0" w:type="auto"/>
            <w:shd w:val="clear" w:color="auto" w:fill="auto"/>
            <w:noWrap/>
            <w:vAlign w:val="bottom"/>
            <w:hideMark/>
          </w:tcPr>
          <w:p w14:paraId="17B0871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522,66   </w:t>
            </w:r>
          </w:p>
        </w:tc>
        <w:tc>
          <w:tcPr>
            <w:tcW w:w="0" w:type="auto"/>
            <w:shd w:val="clear" w:color="auto" w:fill="auto"/>
            <w:noWrap/>
            <w:vAlign w:val="bottom"/>
            <w:hideMark/>
          </w:tcPr>
          <w:p w14:paraId="6A3B667A"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1 995,43   </w:t>
            </w:r>
          </w:p>
        </w:tc>
        <w:tc>
          <w:tcPr>
            <w:tcW w:w="0" w:type="auto"/>
            <w:shd w:val="clear" w:color="auto" w:fill="auto"/>
            <w:noWrap/>
            <w:vAlign w:val="bottom"/>
            <w:hideMark/>
          </w:tcPr>
          <w:p w14:paraId="03D75075"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9 690,00   </w:t>
            </w:r>
          </w:p>
        </w:tc>
        <w:tc>
          <w:tcPr>
            <w:tcW w:w="0" w:type="auto"/>
            <w:shd w:val="clear" w:color="auto" w:fill="auto"/>
            <w:noWrap/>
            <w:vAlign w:val="bottom"/>
            <w:hideMark/>
          </w:tcPr>
          <w:p w14:paraId="76364ED3"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74EC2BB0" w14:textId="77777777" w:rsidTr="000B0C76">
        <w:trPr>
          <w:trHeight w:val="300"/>
        </w:trPr>
        <w:tc>
          <w:tcPr>
            <w:tcW w:w="0" w:type="auto"/>
            <w:shd w:val="clear" w:color="auto" w:fill="auto"/>
            <w:noWrap/>
            <w:vAlign w:val="bottom"/>
            <w:hideMark/>
          </w:tcPr>
          <w:p w14:paraId="32473BC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71CDB73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Верхнехавский р-н</w:t>
            </w:r>
          </w:p>
        </w:tc>
        <w:tc>
          <w:tcPr>
            <w:tcW w:w="0" w:type="auto"/>
            <w:shd w:val="clear" w:color="auto" w:fill="auto"/>
            <w:noWrap/>
            <w:vAlign w:val="bottom"/>
            <w:hideMark/>
          </w:tcPr>
          <w:p w14:paraId="7BFA4BA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420,06   </w:t>
            </w:r>
          </w:p>
        </w:tc>
        <w:tc>
          <w:tcPr>
            <w:tcW w:w="0" w:type="auto"/>
            <w:shd w:val="clear" w:color="auto" w:fill="auto"/>
            <w:noWrap/>
            <w:vAlign w:val="bottom"/>
            <w:hideMark/>
          </w:tcPr>
          <w:p w14:paraId="4C348EE5"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1 989,06   </w:t>
            </w:r>
          </w:p>
        </w:tc>
        <w:tc>
          <w:tcPr>
            <w:tcW w:w="0" w:type="auto"/>
            <w:shd w:val="clear" w:color="auto" w:fill="auto"/>
            <w:noWrap/>
            <w:vAlign w:val="bottom"/>
            <w:hideMark/>
          </w:tcPr>
          <w:p w14:paraId="175AC99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5 932,60   </w:t>
            </w:r>
          </w:p>
        </w:tc>
        <w:tc>
          <w:tcPr>
            <w:tcW w:w="0" w:type="auto"/>
            <w:shd w:val="clear" w:color="auto" w:fill="auto"/>
            <w:noWrap/>
            <w:vAlign w:val="bottom"/>
            <w:hideMark/>
          </w:tcPr>
          <w:p w14:paraId="10F3D2D7"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5A10E997" w14:textId="77777777" w:rsidTr="000B0C76">
        <w:trPr>
          <w:trHeight w:val="300"/>
        </w:trPr>
        <w:tc>
          <w:tcPr>
            <w:tcW w:w="0" w:type="auto"/>
            <w:shd w:val="clear" w:color="auto" w:fill="auto"/>
            <w:noWrap/>
            <w:vAlign w:val="bottom"/>
            <w:hideMark/>
          </w:tcPr>
          <w:p w14:paraId="2354F7E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0DB6067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Репьевский р-н</w:t>
            </w:r>
          </w:p>
        </w:tc>
        <w:tc>
          <w:tcPr>
            <w:tcW w:w="0" w:type="auto"/>
            <w:shd w:val="clear" w:color="auto" w:fill="auto"/>
            <w:noWrap/>
            <w:vAlign w:val="bottom"/>
            <w:hideMark/>
          </w:tcPr>
          <w:p w14:paraId="1B22147D"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558,63   </w:t>
            </w:r>
          </w:p>
        </w:tc>
        <w:tc>
          <w:tcPr>
            <w:tcW w:w="0" w:type="auto"/>
            <w:shd w:val="clear" w:color="auto" w:fill="auto"/>
            <w:noWrap/>
            <w:vAlign w:val="bottom"/>
            <w:hideMark/>
          </w:tcPr>
          <w:p w14:paraId="0578C76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1 872,17   </w:t>
            </w:r>
          </w:p>
        </w:tc>
        <w:tc>
          <w:tcPr>
            <w:tcW w:w="0" w:type="auto"/>
            <w:shd w:val="clear" w:color="auto" w:fill="auto"/>
            <w:noWrap/>
            <w:vAlign w:val="bottom"/>
            <w:hideMark/>
          </w:tcPr>
          <w:p w14:paraId="05871CB5"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5 275,86   </w:t>
            </w:r>
          </w:p>
        </w:tc>
        <w:tc>
          <w:tcPr>
            <w:tcW w:w="0" w:type="auto"/>
            <w:shd w:val="clear" w:color="auto" w:fill="auto"/>
            <w:noWrap/>
            <w:vAlign w:val="bottom"/>
            <w:hideMark/>
          </w:tcPr>
          <w:p w14:paraId="2B64EE26"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1DAF66A1" w14:textId="77777777" w:rsidTr="000B0C76">
        <w:trPr>
          <w:trHeight w:val="300"/>
        </w:trPr>
        <w:tc>
          <w:tcPr>
            <w:tcW w:w="0" w:type="auto"/>
            <w:shd w:val="clear" w:color="auto" w:fill="auto"/>
            <w:noWrap/>
            <w:vAlign w:val="bottom"/>
            <w:hideMark/>
          </w:tcPr>
          <w:p w14:paraId="55DE322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4835E186"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Бутурлиновский р-н</w:t>
            </w:r>
          </w:p>
        </w:tc>
        <w:tc>
          <w:tcPr>
            <w:tcW w:w="0" w:type="auto"/>
            <w:shd w:val="clear" w:color="auto" w:fill="auto"/>
            <w:noWrap/>
            <w:vAlign w:val="bottom"/>
            <w:hideMark/>
          </w:tcPr>
          <w:p w14:paraId="56199AB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825,40   </w:t>
            </w:r>
          </w:p>
        </w:tc>
        <w:tc>
          <w:tcPr>
            <w:tcW w:w="0" w:type="auto"/>
            <w:shd w:val="clear" w:color="auto" w:fill="auto"/>
            <w:noWrap/>
            <w:vAlign w:val="bottom"/>
            <w:hideMark/>
          </w:tcPr>
          <w:p w14:paraId="2F51FBF5"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1 834,66   </w:t>
            </w:r>
          </w:p>
        </w:tc>
        <w:tc>
          <w:tcPr>
            <w:tcW w:w="0" w:type="auto"/>
            <w:shd w:val="clear" w:color="auto" w:fill="auto"/>
            <w:noWrap/>
            <w:vAlign w:val="bottom"/>
            <w:hideMark/>
          </w:tcPr>
          <w:p w14:paraId="773BC1CA"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3 666,00   </w:t>
            </w:r>
          </w:p>
        </w:tc>
        <w:tc>
          <w:tcPr>
            <w:tcW w:w="0" w:type="auto"/>
            <w:shd w:val="clear" w:color="auto" w:fill="auto"/>
            <w:noWrap/>
            <w:vAlign w:val="bottom"/>
            <w:hideMark/>
          </w:tcPr>
          <w:p w14:paraId="4A864FC7"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436EDCE0" w14:textId="77777777" w:rsidTr="000B0C76">
        <w:trPr>
          <w:trHeight w:val="300"/>
        </w:trPr>
        <w:tc>
          <w:tcPr>
            <w:tcW w:w="0" w:type="auto"/>
            <w:shd w:val="clear" w:color="auto" w:fill="auto"/>
            <w:noWrap/>
            <w:vAlign w:val="bottom"/>
            <w:hideMark/>
          </w:tcPr>
          <w:p w14:paraId="6D00E01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55A1B5A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Ольховатский р-н</w:t>
            </w:r>
          </w:p>
        </w:tc>
        <w:tc>
          <w:tcPr>
            <w:tcW w:w="0" w:type="auto"/>
            <w:shd w:val="clear" w:color="auto" w:fill="auto"/>
            <w:noWrap/>
            <w:vAlign w:val="bottom"/>
            <w:hideMark/>
          </w:tcPr>
          <w:p w14:paraId="37C1FB9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596,50   </w:t>
            </w:r>
          </w:p>
        </w:tc>
        <w:tc>
          <w:tcPr>
            <w:tcW w:w="0" w:type="auto"/>
            <w:shd w:val="clear" w:color="auto" w:fill="auto"/>
            <w:noWrap/>
            <w:vAlign w:val="bottom"/>
            <w:hideMark/>
          </w:tcPr>
          <w:p w14:paraId="27DEA83A"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1 736,67   </w:t>
            </w:r>
          </w:p>
        </w:tc>
        <w:tc>
          <w:tcPr>
            <w:tcW w:w="0" w:type="auto"/>
            <w:shd w:val="clear" w:color="auto" w:fill="auto"/>
            <w:noWrap/>
            <w:vAlign w:val="bottom"/>
            <w:hideMark/>
          </w:tcPr>
          <w:p w14:paraId="23E88C05"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3 965,85   </w:t>
            </w:r>
          </w:p>
        </w:tc>
        <w:tc>
          <w:tcPr>
            <w:tcW w:w="0" w:type="auto"/>
            <w:shd w:val="clear" w:color="auto" w:fill="auto"/>
            <w:noWrap/>
            <w:vAlign w:val="bottom"/>
            <w:hideMark/>
          </w:tcPr>
          <w:p w14:paraId="2B505237"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4AADECB5" w14:textId="77777777" w:rsidTr="000B0C76">
        <w:trPr>
          <w:trHeight w:val="300"/>
        </w:trPr>
        <w:tc>
          <w:tcPr>
            <w:tcW w:w="0" w:type="auto"/>
            <w:shd w:val="clear" w:color="auto" w:fill="auto"/>
            <w:noWrap/>
            <w:vAlign w:val="bottom"/>
            <w:hideMark/>
          </w:tcPr>
          <w:p w14:paraId="0F1C4F8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4C2297F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Бобровский р-н</w:t>
            </w:r>
          </w:p>
        </w:tc>
        <w:tc>
          <w:tcPr>
            <w:tcW w:w="0" w:type="auto"/>
            <w:shd w:val="clear" w:color="auto" w:fill="auto"/>
            <w:noWrap/>
            <w:vAlign w:val="bottom"/>
            <w:hideMark/>
          </w:tcPr>
          <w:p w14:paraId="662D075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510,35   </w:t>
            </w:r>
          </w:p>
        </w:tc>
        <w:tc>
          <w:tcPr>
            <w:tcW w:w="0" w:type="auto"/>
            <w:shd w:val="clear" w:color="auto" w:fill="auto"/>
            <w:noWrap/>
            <w:vAlign w:val="bottom"/>
            <w:hideMark/>
          </w:tcPr>
          <w:p w14:paraId="687EA2CA"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1 726,13   </w:t>
            </w:r>
          </w:p>
        </w:tc>
        <w:tc>
          <w:tcPr>
            <w:tcW w:w="0" w:type="auto"/>
            <w:shd w:val="clear" w:color="auto" w:fill="auto"/>
            <w:noWrap/>
            <w:vAlign w:val="bottom"/>
            <w:hideMark/>
          </w:tcPr>
          <w:p w14:paraId="5D37FC9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8 240,00   </w:t>
            </w:r>
          </w:p>
        </w:tc>
        <w:tc>
          <w:tcPr>
            <w:tcW w:w="0" w:type="auto"/>
            <w:shd w:val="clear" w:color="auto" w:fill="auto"/>
            <w:noWrap/>
            <w:vAlign w:val="bottom"/>
            <w:hideMark/>
          </w:tcPr>
          <w:p w14:paraId="47E22B8F"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0D42CEE8" w14:textId="77777777" w:rsidTr="000B0C76">
        <w:trPr>
          <w:trHeight w:val="300"/>
        </w:trPr>
        <w:tc>
          <w:tcPr>
            <w:tcW w:w="0" w:type="auto"/>
            <w:shd w:val="clear" w:color="auto" w:fill="auto"/>
            <w:noWrap/>
            <w:vAlign w:val="bottom"/>
            <w:hideMark/>
          </w:tcPr>
          <w:p w14:paraId="0D5EBAD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063290D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Поворинский р-н</w:t>
            </w:r>
          </w:p>
        </w:tc>
        <w:tc>
          <w:tcPr>
            <w:tcW w:w="0" w:type="auto"/>
            <w:shd w:val="clear" w:color="auto" w:fill="auto"/>
            <w:noWrap/>
            <w:vAlign w:val="bottom"/>
            <w:hideMark/>
          </w:tcPr>
          <w:p w14:paraId="5CEB4D9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543,66   </w:t>
            </w:r>
          </w:p>
        </w:tc>
        <w:tc>
          <w:tcPr>
            <w:tcW w:w="0" w:type="auto"/>
            <w:shd w:val="clear" w:color="auto" w:fill="auto"/>
            <w:noWrap/>
            <w:vAlign w:val="bottom"/>
            <w:hideMark/>
          </w:tcPr>
          <w:p w14:paraId="4A0B75C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1 659,99   </w:t>
            </w:r>
          </w:p>
        </w:tc>
        <w:tc>
          <w:tcPr>
            <w:tcW w:w="0" w:type="auto"/>
            <w:shd w:val="clear" w:color="auto" w:fill="auto"/>
            <w:noWrap/>
            <w:vAlign w:val="bottom"/>
            <w:hideMark/>
          </w:tcPr>
          <w:p w14:paraId="34B19B9F"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3 906,76   </w:t>
            </w:r>
          </w:p>
        </w:tc>
        <w:tc>
          <w:tcPr>
            <w:tcW w:w="0" w:type="auto"/>
            <w:shd w:val="clear" w:color="auto" w:fill="auto"/>
            <w:noWrap/>
            <w:vAlign w:val="bottom"/>
            <w:hideMark/>
          </w:tcPr>
          <w:p w14:paraId="1CABFE2D"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0A852AC6" w14:textId="77777777" w:rsidTr="000B0C76">
        <w:trPr>
          <w:trHeight w:val="300"/>
        </w:trPr>
        <w:tc>
          <w:tcPr>
            <w:tcW w:w="0" w:type="auto"/>
            <w:shd w:val="clear" w:color="auto" w:fill="auto"/>
            <w:noWrap/>
            <w:vAlign w:val="bottom"/>
            <w:hideMark/>
          </w:tcPr>
          <w:p w14:paraId="5708437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73120EDD"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Новохоперский р-н</w:t>
            </w:r>
          </w:p>
        </w:tc>
        <w:tc>
          <w:tcPr>
            <w:tcW w:w="0" w:type="auto"/>
            <w:shd w:val="clear" w:color="auto" w:fill="auto"/>
            <w:noWrap/>
            <w:vAlign w:val="bottom"/>
            <w:hideMark/>
          </w:tcPr>
          <w:p w14:paraId="16D1292D"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604,63   </w:t>
            </w:r>
          </w:p>
        </w:tc>
        <w:tc>
          <w:tcPr>
            <w:tcW w:w="0" w:type="auto"/>
            <w:shd w:val="clear" w:color="auto" w:fill="auto"/>
            <w:noWrap/>
            <w:vAlign w:val="bottom"/>
            <w:hideMark/>
          </w:tcPr>
          <w:p w14:paraId="7125649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1 654,86   </w:t>
            </w:r>
          </w:p>
        </w:tc>
        <w:tc>
          <w:tcPr>
            <w:tcW w:w="0" w:type="auto"/>
            <w:shd w:val="clear" w:color="auto" w:fill="auto"/>
            <w:noWrap/>
            <w:vAlign w:val="bottom"/>
            <w:hideMark/>
          </w:tcPr>
          <w:p w14:paraId="4291968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2 352,72   </w:t>
            </w:r>
          </w:p>
        </w:tc>
        <w:tc>
          <w:tcPr>
            <w:tcW w:w="0" w:type="auto"/>
            <w:shd w:val="clear" w:color="auto" w:fill="auto"/>
            <w:noWrap/>
            <w:vAlign w:val="bottom"/>
            <w:hideMark/>
          </w:tcPr>
          <w:p w14:paraId="66489B92"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7647F51A" w14:textId="77777777" w:rsidTr="000B0C76">
        <w:trPr>
          <w:trHeight w:val="300"/>
        </w:trPr>
        <w:tc>
          <w:tcPr>
            <w:tcW w:w="0" w:type="auto"/>
            <w:shd w:val="clear" w:color="auto" w:fill="auto"/>
            <w:noWrap/>
            <w:vAlign w:val="bottom"/>
            <w:hideMark/>
          </w:tcPr>
          <w:p w14:paraId="31C6B5A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2F33018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Грибановский р-н</w:t>
            </w:r>
          </w:p>
        </w:tc>
        <w:tc>
          <w:tcPr>
            <w:tcW w:w="0" w:type="auto"/>
            <w:shd w:val="clear" w:color="auto" w:fill="auto"/>
            <w:noWrap/>
            <w:vAlign w:val="bottom"/>
            <w:hideMark/>
          </w:tcPr>
          <w:p w14:paraId="52CEBE0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622,95   </w:t>
            </w:r>
          </w:p>
        </w:tc>
        <w:tc>
          <w:tcPr>
            <w:tcW w:w="0" w:type="auto"/>
            <w:shd w:val="clear" w:color="auto" w:fill="auto"/>
            <w:noWrap/>
            <w:vAlign w:val="bottom"/>
            <w:hideMark/>
          </w:tcPr>
          <w:p w14:paraId="605C396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1 584,46   </w:t>
            </w:r>
          </w:p>
        </w:tc>
        <w:tc>
          <w:tcPr>
            <w:tcW w:w="0" w:type="auto"/>
            <w:shd w:val="clear" w:color="auto" w:fill="auto"/>
            <w:noWrap/>
            <w:vAlign w:val="bottom"/>
            <w:hideMark/>
          </w:tcPr>
          <w:p w14:paraId="4D12123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4 124,39   </w:t>
            </w:r>
          </w:p>
        </w:tc>
        <w:tc>
          <w:tcPr>
            <w:tcW w:w="0" w:type="auto"/>
            <w:shd w:val="clear" w:color="auto" w:fill="auto"/>
            <w:noWrap/>
            <w:vAlign w:val="bottom"/>
            <w:hideMark/>
          </w:tcPr>
          <w:p w14:paraId="49525306"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3DF02F2C" w14:textId="77777777" w:rsidTr="000B0C76">
        <w:trPr>
          <w:trHeight w:val="300"/>
        </w:trPr>
        <w:tc>
          <w:tcPr>
            <w:tcW w:w="0" w:type="auto"/>
            <w:shd w:val="clear" w:color="auto" w:fill="auto"/>
            <w:noWrap/>
            <w:vAlign w:val="bottom"/>
            <w:hideMark/>
          </w:tcPr>
          <w:p w14:paraId="4192E42D"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3B486465"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Лискинский р-н</w:t>
            </w:r>
          </w:p>
        </w:tc>
        <w:tc>
          <w:tcPr>
            <w:tcW w:w="0" w:type="auto"/>
            <w:shd w:val="clear" w:color="auto" w:fill="auto"/>
            <w:noWrap/>
            <w:vAlign w:val="bottom"/>
            <w:hideMark/>
          </w:tcPr>
          <w:p w14:paraId="63404C8F"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637,26   </w:t>
            </w:r>
          </w:p>
        </w:tc>
        <w:tc>
          <w:tcPr>
            <w:tcW w:w="0" w:type="auto"/>
            <w:shd w:val="clear" w:color="auto" w:fill="auto"/>
            <w:noWrap/>
            <w:vAlign w:val="bottom"/>
            <w:hideMark/>
          </w:tcPr>
          <w:p w14:paraId="34C5E9EF"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1 566,18   </w:t>
            </w:r>
          </w:p>
        </w:tc>
        <w:tc>
          <w:tcPr>
            <w:tcW w:w="0" w:type="auto"/>
            <w:shd w:val="clear" w:color="auto" w:fill="auto"/>
            <w:noWrap/>
            <w:vAlign w:val="bottom"/>
            <w:hideMark/>
          </w:tcPr>
          <w:p w14:paraId="27AC437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6 794,66   </w:t>
            </w:r>
          </w:p>
        </w:tc>
        <w:tc>
          <w:tcPr>
            <w:tcW w:w="0" w:type="auto"/>
            <w:shd w:val="clear" w:color="auto" w:fill="auto"/>
            <w:noWrap/>
            <w:vAlign w:val="bottom"/>
            <w:hideMark/>
          </w:tcPr>
          <w:p w14:paraId="16A47383"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0D68F932" w14:textId="77777777" w:rsidTr="000B0C76">
        <w:trPr>
          <w:trHeight w:val="300"/>
        </w:trPr>
        <w:tc>
          <w:tcPr>
            <w:tcW w:w="0" w:type="auto"/>
            <w:shd w:val="clear" w:color="auto" w:fill="auto"/>
            <w:noWrap/>
            <w:vAlign w:val="bottom"/>
            <w:hideMark/>
          </w:tcPr>
          <w:p w14:paraId="424E88DF"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59E59D5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Богучарский р-н</w:t>
            </w:r>
          </w:p>
        </w:tc>
        <w:tc>
          <w:tcPr>
            <w:tcW w:w="0" w:type="auto"/>
            <w:shd w:val="clear" w:color="auto" w:fill="auto"/>
            <w:noWrap/>
            <w:vAlign w:val="bottom"/>
            <w:hideMark/>
          </w:tcPr>
          <w:p w14:paraId="58D1F3A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560,00   </w:t>
            </w:r>
          </w:p>
        </w:tc>
        <w:tc>
          <w:tcPr>
            <w:tcW w:w="0" w:type="auto"/>
            <w:shd w:val="clear" w:color="auto" w:fill="auto"/>
            <w:noWrap/>
            <w:vAlign w:val="bottom"/>
            <w:hideMark/>
          </w:tcPr>
          <w:p w14:paraId="097C96AD"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1 488,40   </w:t>
            </w:r>
          </w:p>
        </w:tc>
        <w:tc>
          <w:tcPr>
            <w:tcW w:w="0" w:type="auto"/>
            <w:shd w:val="clear" w:color="auto" w:fill="auto"/>
            <w:noWrap/>
            <w:vAlign w:val="bottom"/>
            <w:hideMark/>
          </w:tcPr>
          <w:p w14:paraId="0BAD11E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3 967,86   </w:t>
            </w:r>
          </w:p>
        </w:tc>
        <w:tc>
          <w:tcPr>
            <w:tcW w:w="0" w:type="auto"/>
            <w:shd w:val="clear" w:color="auto" w:fill="auto"/>
            <w:noWrap/>
            <w:vAlign w:val="bottom"/>
            <w:hideMark/>
          </w:tcPr>
          <w:p w14:paraId="0993FD4C"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71F1D448" w14:textId="77777777" w:rsidTr="000B0C76">
        <w:trPr>
          <w:trHeight w:val="300"/>
        </w:trPr>
        <w:tc>
          <w:tcPr>
            <w:tcW w:w="0" w:type="auto"/>
            <w:shd w:val="clear" w:color="auto" w:fill="auto"/>
            <w:noWrap/>
            <w:vAlign w:val="bottom"/>
            <w:hideMark/>
          </w:tcPr>
          <w:p w14:paraId="0F2CA99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3F71CE35"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Аннинский р-н</w:t>
            </w:r>
          </w:p>
        </w:tc>
        <w:tc>
          <w:tcPr>
            <w:tcW w:w="0" w:type="auto"/>
            <w:shd w:val="clear" w:color="auto" w:fill="auto"/>
            <w:noWrap/>
            <w:vAlign w:val="bottom"/>
            <w:hideMark/>
          </w:tcPr>
          <w:p w14:paraId="0C00996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435,90   </w:t>
            </w:r>
          </w:p>
        </w:tc>
        <w:tc>
          <w:tcPr>
            <w:tcW w:w="0" w:type="auto"/>
            <w:shd w:val="clear" w:color="auto" w:fill="auto"/>
            <w:noWrap/>
            <w:vAlign w:val="bottom"/>
            <w:hideMark/>
          </w:tcPr>
          <w:p w14:paraId="0E08D4B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1 454,47   </w:t>
            </w:r>
          </w:p>
        </w:tc>
        <w:tc>
          <w:tcPr>
            <w:tcW w:w="0" w:type="auto"/>
            <w:shd w:val="clear" w:color="auto" w:fill="auto"/>
            <w:noWrap/>
            <w:vAlign w:val="bottom"/>
            <w:hideMark/>
          </w:tcPr>
          <w:p w14:paraId="03D525F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2 653,11   </w:t>
            </w:r>
          </w:p>
        </w:tc>
        <w:tc>
          <w:tcPr>
            <w:tcW w:w="0" w:type="auto"/>
            <w:shd w:val="clear" w:color="auto" w:fill="auto"/>
            <w:noWrap/>
            <w:vAlign w:val="bottom"/>
            <w:hideMark/>
          </w:tcPr>
          <w:p w14:paraId="231EDC30"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3B662F0C" w14:textId="77777777" w:rsidTr="000B0C76">
        <w:trPr>
          <w:trHeight w:val="300"/>
        </w:trPr>
        <w:tc>
          <w:tcPr>
            <w:tcW w:w="0" w:type="auto"/>
            <w:shd w:val="clear" w:color="auto" w:fill="auto"/>
            <w:noWrap/>
            <w:vAlign w:val="bottom"/>
            <w:hideMark/>
          </w:tcPr>
          <w:p w14:paraId="6569CCD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26E4F3C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Эртильский р-н</w:t>
            </w:r>
          </w:p>
        </w:tc>
        <w:tc>
          <w:tcPr>
            <w:tcW w:w="0" w:type="auto"/>
            <w:shd w:val="clear" w:color="auto" w:fill="auto"/>
            <w:noWrap/>
            <w:vAlign w:val="bottom"/>
            <w:hideMark/>
          </w:tcPr>
          <w:p w14:paraId="3868192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883,93   </w:t>
            </w:r>
          </w:p>
        </w:tc>
        <w:tc>
          <w:tcPr>
            <w:tcW w:w="0" w:type="auto"/>
            <w:shd w:val="clear" w:color="auto" w:fill="auto"/>
            <w:noWrap/>
            <w:vAlign w:val="bottom"/>
            <w:hideMark/>
          </w:tcPr>
          <w:p w14:paraId="0C9A493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1 437,47   </w:t>
            </w:r>
          </w:p>
        </w:tc>
        <w:tc>
          <w:tcPr>
            <w:tcW w:w="0" w:type="auto"/>
            <w:shd w:val="clear" w:color="auto" w:fill="auto"/>
            <w:noWrap/>
            <w:vAlign w:val="bottom"/>
            <w:hideMark/>
          </w:tcPr>
          <w:p w14:paraId="15F848A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3 000,00   </w:t>
            </w:r>
          </w:p>
        </w:tc>
        <w:tc>
          <w:tcPr>
            <w:tcW w:w="0" w:type="auto"/>
            <w:shd w:val="clear" w:color="auto" w:fill="auto"/>
            <w:noWrap/>
            <w:vAlign w:val="bottom"/>
            <w:hideMark/>
          </w:tcPr>
          <w:p w14:paraId="71072D6A"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2F9095CB" w14:textId="77777777" w:rsidTr="000B0C76">
        <w:trPr>
          <w:trHeight w:val="300"/>
        </w:trPr>
        <w:tc>
          <w:tcPr>
            <w:tcW w:w="0" w:type="auto"/>
            <w:shd w:val="clear" w:color="auto" w:fill="auto"/>
            <w:noWrap/>
            <w:vAlign w:val="bottom"/>
            <w:hideMark/>
          </w:tcPr>
          <w:p w14:paraId="5A27BCC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4182A4F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Борисоглебский г.о.</w:t>
            </w:r>
          </w:p>
        </w:tc>
        <w:tc>
          <w:tcPr>
            <w:tcW w:w="0" w:type="auto"/>
            <w:shd w:val="clear" w:color="auto" w:fill="auto"/>
            <w:noWrap/>
            <w:vAlign w:val="bottom"/>
            <w:hideMark/>
          </w:tcPr>
          <w:p w14:paraId="4C0077A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750,41   </w:t>
            </w:r>
          </w:p>
        </w:tc>
        <w:tc>
          <w:tcPr>
            <w:tcW w:w="0" w:type="auto"/>
            <w:shd w:val="clear" w:color="auto" w:fill="auto"/>
            <w:noWrap/>
            <w:vAlign w:val="bottom"/>
            <w:hideMark/>
          </w:tcPr>
          <w:p w14:paraId="48FBBB5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1 392,34   </w:t>
            </w:r>
          </w:p>
        </w:tc>
        <w:tc>
          <w:tcPr>
            <w:tcW w:w="0" w:type="auto"/>
            <w:shd w:val="clear" w:color="auto" w:fill="auto"/>
            <w:noWrap/>
            <w:vAlign w:val="bottom"/>
            <w:hideMark/>
          </w:tcPr>
          <w:p w14:paraId="7C4E680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2 826,37   </w:t>
            </w:r>
          </w:p>
        </w:tc>
        <w:tc>
          <w:tcPr>
            <w:tcW w:w="0" w:type="auto"/>
            <w:shd w:val="clear" w:color="auto" w:fill="auto"/>
            <w:noWrap/>
            <w:vAlign w:val="bottom"/>
            <w:hideMark/>
          </w:tcPr>
          <w:p w14:paraId="66FA68BA"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1EE1ED1B" w14:textId="77777777" w:rsidTr="000B0C76">
        <w:trPr>
          <w:trHeight w:val="300"/>
        </w:trPr>
        <w:tc>
          <w:tcPr>
            <w:tcW w:w="0" w:type="auto"/>
            <w:shd w:val="clear" w:color="auto" w:fill="auto"/>
            <w:noWrap/>
            <w:vAlign w:val="bottom"/>
            <w:hideMark/>
          </w:tcPr>
          <w:p w14:paraId="58CF47A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22FC2F9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Подгоренский р-н</w:t>
            </w:r>
          </w:p>
        </w:tc>
        <w:tc>
          <w:tcPr>
            <w:tcW w:w="0" w:type="auto"/>
            <w:shd w:val="clear" w:color="auto" w:fill="auto"/>
            <w:noWrap/>
            <w:vAlign w:val="bottom"/>
            <w:hideMark/>
          </w:tcPr>
          <w:p w14:paraId="3FBA01C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435,34   </w:t>
            </w:r>
          </w:p>
        </w:tc>
        <w:tc>
          <w:tcPr>
            <w:tcW w:w="0" w:type="auto"/>
            <w:shd w:val="clear" w:color="auto" w:fill="auto"/>
            <w:noWrap/>
            <w:vAlign w:val="bottom"/>
            <w:hideMark/>
          </w:tcPr>
          <w:p w14:paraId="5DE408C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1 322,60   </w:t>
            </w:r>
          </w:p>
        </w:tc>
        <w:tc>
          <w:tcPr>
            <w:tcW w:w="0" w:type="auto"/>
            <w:shd w:val="clear" w:color="auto" w:fill="auto"/>
            <w:noWrap/>
            <w:vAlign w:val="bottom"/>
            <w:hideMark/>
          </w:tcPr>
          <w:p w14:paraId="1031F5C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2 478,65   </w:t>
            </w:r>
          </w:p>
        </w:tc>
        <w:tc>
          <w:tcPr>
            <w:tcW w:w="0" w:type="auto"/>
            <w:shd w:val="clear" w:color="auto" w:fill="auto"/>
            <w:noWrap/>
            <w:vAlign w:val="bottom"/>
            <w:hideMark/>
          </w:tcPr>
          <w:p w14:paraId="67AE2582"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12FB98BE" w14:textId="77777777" w:rsidTr="000B0C76">
        <w:trPr>
          <w:trHeight w:val="300"/>
        </w:trPr>
        <w:tc>
          <w:tcPr>
            <w:tcW w:w="0" w:type="auto"/>
            <w:shd w:val="clear" w:color="auto" w:fill="auto"/>
            <w:noWrap/>
            <w:vAlign w:val="bottom"/>
            <w:hideMark/>
          </w:tcPr>
          <w:p w14:paraId="5C51E87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4D501E4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Острогожский р-н</w:t>
            </w:r>
          </w:p>
        </w:tc>
        <w:tc>
          <w:tcPr>
            <w:tcW w:w="0" w:type="auto"/>
            <w:shd w:val="clear" w:color="auto" w:fill="auto"/>
            <w:noWrap/>
            <w:vAlign w:val="bottom"/>
            <w:hideMark/>
          </w:tcPr>
          <w:p w14:paraId="15A59B9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593,03   </w:t>
            </w:r>
          </w:p>
        </w:tc>
        <w:tc>
          <w:tcPr>
            <w:tcW w:w="0" w:type="auto"/>
            <w:shd w:val="clear" w:color="auto" w:fill="auto"/>
            <w:noWrap/>
            <w:vAlign w:val="bottom"/>
            <w:hideMark/>
          </w:tcPr>
          <w:p w14:paraId="0D4E28D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1 315,11   </w:t>
            </w:r>
          </w:p>
        </w:tc>
        <w:tc>
          <w:tcPr>
            <w:tcW w:w="0" w:type="auto"/>
            <w:shd w:val="clear" w:color="auto" w:fill="auto"/>
            <w:noWrap/>
            <w:vAlign w:val="bottom"/>
            <w:hideMark/>
          </w:tcPr>
          <w:p w14:paraId="0A80F90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2 529,98   </w:t>
            </w:r>
          </w:p>
        </w:tc>
        <w:tc>
          <w:tcPr>
            <w:tcW w:w="0" w:type="auto"/>
            <w:shd w:val="clear" w:color="auto" w:fill="auto"/>
            <w:noWrap/>
            <w:vAlign w:val="bottom"/>
            <w:hideMark/>
          </w:tcPr>
          <w:p w14:paraId="10DD4062"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577482A8" w14:textId="77777777" w:rsidTr="000B0C76">
        <w:trPr>
          <w:trHeight w:val="300"/>
        </w:trPr>
        <w:tc>
          <w:tcPr>
            <w:tcW w:w="0" w:type="auto"/>
            <w:shd w:val="clear" w:color="auto" w:fill="auto"/>
            <w:noWrap/>
            <w:vAlign w:val="bottom"/>
            <w:hideMark/>
          </w:tcPr>
          <w:p w14:paraId="591F59C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22C446A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Россошанский р-н</w:t>
            </w:r>
          </w:p>
        </w:tc>
        <w:tc>
          <w:tcPr>
            <w:tcW w:w="0" w:type="auto"/>
            <w:shd w:val="clear" w:color="auto" w:fill="auto"/>
            <w:noWrap/>
            <w:vAlign w:val="bottom"/>
            <w:hideMark/>
          </w:tcPr>
          <w:p w14:paraId="5ED7CF0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417,27   </w:t>
            </w:r>
          </w:p>
        </w:tc>
        <w:tc>
          <w:tcPr>
            <w:tcW w:w="0" w:type="auto"/>
            <w:shd w:val="clear" w:color="auto" w:fill="auto"/>
            <w:noWrap/>
            <w:vAlign w:val="bottom"/>
            <w:hideMark/>
          </w:tcPr>
          <w:p w14:paraId="182D651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1 311,60   </w:t>
            </w:r>
          </w:p>
        </w:tc>
        <w:tc>
          <w:tcPr>
            <w:tcW w:w="0" w:type="auto"/>
            <w:shd w:val="clear" w:color="auto" w:fill="auto"/>
            <w:noWrap/>
            <w:vAlign w:val="bottom"/>
            <w:hideMark/>
          </w:tcPr>
          <w:p w14:paraId="208C8D6F"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2 968,74   </w:t>
            </w:r>
          </w:p>
        </w:tc>
        <w:tc>
          <w:tcPr>
            <w:tcW w:w="0" w:type="auto"/>
            <w:shd w:val="clear" w:color="auto" w:fill="auto"/>
            <w:noWrap/>
            <w:vAlign w:val="bottom"/>
            <w:hideMark/>
          </w:tcPr>
          <w:p w14:paraId="4B1A9FE2"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19CCE8E9" w14:textId="77777777" w:rsidTr="000B0C76">
        <w:trPr>
          <w:trHeight w:val="300"/>
        </w:trPr>
        <w:tc>
          <w:tcPr>
            <w:tcW w:w="0" w:type="auto"/>
            <w:shd w:val="clear" w:color="auto" w:fill="auto"/>
            <w:noWrap/>
            <w:vAlign w:val="bottom"/>
            <w:hideMark/>
          </w:tcPr>
          <w:p w14:paraId="2BC553E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4C309BD6"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Кантемировский р-н</w:t>
            </w:r>
          </w:p>
        </w:tc>
        <w:tc>
          <w:tcPr>
            <w:tcW w:w="0" w:type="auto"/>
            <w:shd w:val="clear" w:color="auto" w:fill="auto"/>
            <w:noWrap/>
            <w:vAlign w:val="bottom"/>
            <w:hideMark/>
          </w:tcPr>
          <w:p w14:paraId="7FD72F3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526,59   </w:t>
            </w:r>
          </w:p>
        </w:tc>
        <w:tc>
          <w:tcPr>
            <w:tcW w:w="0" w:type="auto"/>
            <w:shd w:val="clear" w:color="auto" w:fill="auto"/>
            <w:noWrap/>
            <w:vAlign w:val="bottom"/>
            <w:hideMark/>
          </w:tcPr>
          <w:p w14:paraId="7D3A4B7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1 304,94   </w:t>
            </w:r>
          </w:p>
        </w:tc>
        <w:tc>
          <w:tcPr>
            <w:tcW w:w="0" w:type="auto"/>
            <w:shd w:val="clear" w:color="auto" w:fill="auto"/>
            <w:noWrap/>
            <w:vAlign w:val="bottom"/>
            <w:hideMark/>
          </w:tcPr>
          <w:p w14:paraId="406DADA2"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2 524,02   </w:t>
            </w:r>
          </w:p>
        </w:tc>
        <w:tc>
          <w:tcPr>
            <w:tcW w:w="0" w:type="auto"/>
            <w:shd w:val="clear" w:color="auto" w:fill="auto"/>
            <w:noWrap/>
            <w:vAlign w:val="bottom"/>
            <w:hideMark/>
          </w:tcPr>
          <w:p w14:paraId="4AAAE981"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31F31431" w14:textId="77777777" w:rsidTr="000B0C76">
        <w:trPr>
          <w:trHeight w:val="300"/>
        </w:trPr>
        <w:tc>
          <w:tcPr>
            <w:tcW w:w="0" w:type="auto"/>
            <w:shd w:val="clear" w:color="auto" w:fill="auto"/>
            <w:noWrap/>
            <w:vAlign w:val="bottom"/>
            <w:hideMark/>
          </w:tcPr>
          <w:p w14:paraId="650FED76"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2F15B84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Павловский р-н</w:t>
            </w:r>
          </w:p>
        </w:tc>
        <w:tc>
          <w:tcPr>
            <w:tcW w:w="0" w:type="auto"/>
            <w:shd w:val="clear" w:color="auto" w:fill="auto"/>
            <w:noWrap/>
            <w:vAlign w:val="bottom"/>
            <w:hideMark/>
          </w:tcPr>
          <w:p w14:paraId="6F4AA77F"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518,79   </w:t>
            </w:r>
          </w:p>
        </w:tc>
        <w:tc>
          <w:tcPr>
            <w:tcW w:w="0" w:type="auto"/>
            <w:shd w:val="clear" w:color="auto" w:fill="auto"/>
            <w:noWrap/>
            <w:vAlign w:val="bottom"/>
            <w:hideMark/>
          </w:tcPr>
          <w:p w14:paraId="1E08A614"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1 153,56   </w:t>
            </w:r>
          </w:p>
        </w:tc>
        <w:tc>
          <w:tcPr>
            <w:tcW w:w="0" w:type="auto"/>
            <w:shd w:val="clear" w:color="auto" w:fill="auto"/>
            <w:noWrap/>
            <w:vAlign w:val="bottom"/>
            <w:hideMark/>
          </w:tcPr>
          <w:p w14:paraId="4CD8195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2 676,96   </w:t>
            </w:r>
          </w:p>
        </w:tc>
        <w:tc>
          <w:tcPr>
            <w:tcW w:w="0" w:type="auto"/>
            <w:shd w:val="clear" w:color="auto" w:fill="auto"/>
            <w:noWrap/>
            <w:vAlign w:val="bottom"/>
            <w:hideMark/>
          </w:tcPr>
          <w:p w14:paraId="19502047"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4A4F7D62" w14:textId="77777777" w:rsidTr="000B0C76">
        <w:trPr>
          <w:trHeight w:val="300"/>
        </w:trPr>
        <w:tc>
          <w:tcPr>
            <w:tcW w:w="0" w:type="auto"/>
            <w:shd w:val="clear" w:color="auto" w:fill="auto"/>
            <w:noWrap/>
            <w:vAlign w:val="bottom"/>
            <w:hideMark/>
          </w:tcPr>
          <w:p w14:paraId="555A71D1"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09CD4CD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Воробьевский р-н</w:t>
            </w:r>
          </w:p>
        </w:tc>
        <w:tc>
          <w:tcPr>
            <w:tcW w:w="0" w:type="auto"/>
            <w:shd w:val="clear" w:color="auto" w:fill="auto"/>
            <w:noWrap/>
            <w:vAlign w:val="bottom"/>
            <w:hideMark/>
          </w:tcPr>
          <w:p w14:paraId="2409E638"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925,27   </w:t>
            </w:r>
          </w:p>
        </w:tc>
        <w:tc>
          <w:tcPr>
            <w:tcW w:w="0" w:type="auto"/>
            <w:shd w:val="clear" w:color="auto" w:fill="auto"/>
            <w:noWrap/>
            <w:vAlign w:val="bottom"/>
            <w:hideMark/>
          </w:tcPr>
          <w:p w14:paraId="2AD1AD77"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1 118,36   </w:t>
            </w:r>
          </w:p>
        </w:tc>
        <w:tc>
          <w:tcPr>
            <w:tcW w:w="0" w:type="auto"/>
            <w:shd w:val="clear" w:color="auto" w:fill="auto"/>
            <w:noWrap/>
            <w:vAlign w:val="bottom"/>
            <w:hideMark/>
          </w:tcPr>
          <w:p w14:paraId="48F86DC5"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1 443,61   </w:t>
            </w:r>
          </w:p>
        </w:tc>
        <w:tc>
          <w:tcPr>
            <w:tcW w:w="0" w:type="auto"/>
            <w:shd w:val="clear" w:color="auto" w:fill="auto"/>
            <w:noWrap/>
            <w:vAlign w:val="bottom"/>
            <w:hideMark/>
          </w:tcPr>
          <w:p w14:paraId="7D97F99A"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14559AE8" w14:textId="77777777" w:rsidTr="000B0C76">
        <w:trPr>
          <w:trHeight w:val="300"/>
        </w:trPr>
        <w:tc>
          <w:tcPr>
            <w:tcW w:w="0" w:type="auto"/>
            <w:shd w:val="clear" w:color="auto" w:fill="auto"/>
            <w:noWrap/>
            <w:vAlign w:val="bottom"/>
            <w:hideMark/>
          </w:tcPr>
          <w:p w14:paraId="6689FCE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56B9189E"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Панинский р-н</w:t>
            </w:r>
          </w:p>
        </w:tc>
        <w:tc>
          <w:tcPr>
            <w:tcW w:w="0" w:type="auto"/>
            <w:shd w:val="clear" w:color="auto" w:fill="auto"/>
            <w:noWrap/>
            <w:vAlign w:val="bottom"/>
            <w:hideMark/>
          </w:tcPr>
          <w:p w14:paraId="15F23D4B"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510,00   </w:t>
            </w:r>
          </w:p>
        </w:tc>
        <w:tc>
          <w:tcPr>
            <w:tcW w:w="0" w:type="auto"/>
            <w:shd w:val="clear" w:color="auto" w:fill="auto"/>
            <w:noWrap/>
            <w:vAlign w:val="bottom"/>
            <w:hideMark/>
          </w:tcPr>
          <w:p w14:paraId="09261C33"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843,18   </w:t>
            </w:r>
          </w:p>
        </w:tc>
        <w:tc>
          <w:tcPr>
            <w:tcW w:w="0" w:type="auto"/>
            <w:shd w:val="clear" w:color="auto" w:fill="auto"/>
            <w:noWrap/>
            <w:vAlign w:val="bottom"/>
            <w:hideMark/>
          </w:tcPr>
          <w:p w14:paraId="16147B9D"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1 341,68   </w:t>
            </w:r>
          </w:p>
        </w:tc>
        <w:tc>
          <w:tcPr>
            <w:tcW w:w="0" w:type="auto"/>
            <w:shd w:val="clear" w:color="auto" w:fill="auto"/>
            <w:noWrap/>
            <w:vAlign w:val="bottom"/>
            <w:hideMark/>
          </w:tcPr>
          <w:p w14:paraId="2AD6FA85"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r w:rsidR="000B0C76" w:rsidRPr="00E6223E" w14:paraId="5A24EBEB" w14:textId="77777777" w:rsidTr="000B0C76">
        <w:trPr>
          <w:trHeight w:val="300"/>
        </w:trPr>
        <w:tc>
          <w:tcPr>
            <w:tcW w:w="0" w:type="auto"/>
            <w:shd w:val="clear" w:color="auto" w:fill="auto"/>
            <w:noWrap/>
            <w:vAlign w:val="bottom"/>
            <w:hideMark/>
          </w:tcPr>
          <w:p w14:paraId="332480E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СНП</w:t>
            </w:r>
          </w:p>
        </w:tc>
        <w:tc>
          <w:tcPr>
            <w:tcW w:w="0" w:type="auto"/>
            <w:shd w:val="clear" w:color="auto" w:fill="auto"/>
            <w:noWrap/>
            <w:vAlign w:val="bottom"/>
            <w:hideMark/>
          </w:tcPr>
          <w:p w14:paraId="1A724130"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Таловский р-н</w:t>
            </w:r>
          </w:p>
        </w:tc>
        <w:tc>
          <w:tcPr>
            <w:tcW w:w="0" w:type="auto"/>
            <w:shd w:val="clear" w:color="auto" w:fill="auto"/>
            <w:noWrap/>
            <w:vAlign w:val="bottom"/>
            <w:hideMark/>
          </w:tcPr>
          <w:p w14:paraId="2C3BA06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425,00   </w:t>
            </w:r>
          </w:p>
        </w:tc>
        <w:tc>
          <w:tcPr>
            <w:tcW w:w="0" w:type="auto"/>
            <w:shd w:val="clear" w:color="auto" w:fill="auto"/>
            <w:noWrap/>
            <w:vAlign w:val="bottom"/>
            <w:hideMark/>
          </w:tcPr>
          <w:p w14:paraId="0685AB0C"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756,76   </w:t>
            </w:r>
          </w:p>
        </w:tc>
        <w:tc>
          <w:tcPr>
            <w:tcW w:w="0" w:type="auto"/>
            <w:shd w:val="clear" w:color="auto" w:fill="auto"/>
            <w:noWrap/>
            <w:vAlign w:val="bottom"/>
            <w:hideMark/>
          </w:tcPr>
          <w:p w14:paraId="50FFA919" w14:textId="77777777" w:rsidR="000B0C76" w:rsidRPr="00E6223E" w:rsidRDefault="000B0C76" w:rsidP="000B0C76">
            <w:pPr>
              <w:spacing w:after="0" w:line="240" w:lineRule="auto"/>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 xml:space="preserve">       1 122,72   </w:t>
            </w:r>
          </w:p>
        </w:tc>
        <w:tc>
          <w:tcPr>
            <w:tcW w:w="0" w:type="auto"/>
            <w:shd w:val="clear" w:color="auto" w:fill="auto"/>
            <w:noWrap/>
            <w:vAlign w:val="bottom"/>
            <w:hideMark/>
          </w:tcPr>
          <w:p w14:paraId="7B0717B1" w14:textId="77777777" w:rsidR="000B0C76" w:rsidRPr="00E6223E" w:rsidRDefault="000B0C76" w:rsidP="000B0C76">
            <w:pPr>
              <w:spacing w:after="0" w:line="240" w:lineRule="auto"/>
              <w:jc w:val="right"/>
              <w:rPr>
                <w:rFonts w:ascii="Times New Roman" w:eastAsia="Times New Roman" w:hAnsi="Times New Roman" w:cs="Times New Roman"/>
                <w:lang w:eastAsia="ru-RU"/>
              </w:rPr>
            </w:pPr>
            <w:r w:rsidRPr="00E6223E">
              <w:rPr>
                <w:rFonts w:ascii="Times New Roman" w:eastAsia="Times New Roman" w:hAnsi="Times New Roman" w:cs="Times New Roman"/>
                <w:lang w:eastAsia="ru-RU"/>
              </w:rPr>
              <w:t>6</w:t>
            </w:r>
          </w:p>
        </w:tc>
      </w:tr>
    </w:tbl>
    <w:p w14:paraId="557B71B5" w14:textId="77777777" w:rsidR="000B0C76" w:rsidRPr="008E6A59" w:rsidRDefault="000B0C76" w:rsidP="000B0C76">
      <w:pPr>
        <w:spacing w:before="120" w:after="0" w:line="276" w:lineRule="auto"/>
        <w:ind w:firstLine="708"/>
        <w:jc w:val="both"/>
        <w:rPr>
          <w:rFonts w:ascii="Times New Roman" w:hAnsi="Times New Roman" w:cs="Times New Roman"/>
          <w:sz w:val="26"/>
          <w:szCs w:val="26"/>
        </w:rPr>
      </w:pPr>
      <w:r w:rsidRPr="00F562A8">
        <w:rPr>
          <w:rFonts w:ascii="Times New Roman" w:hAnsi="Times New Roman" w:cs="Times New Roman"/>
          <w:sz w:val="26"/>
          <w:szCs w:val="26"/>
        </w:rPr>
        <w:t xml:space="preserve">Руководствуясь проведенным анализом распределения рыночной </w:t>
      </w:r>
      <w:r w:rsidRPr="008E6A59">
        <w:rPr>
          <w:rFonts w:ascii="Times New Roman" w:hAnsi="Times New Roman" w:cs="Times New Roman"/>
          <w:sz w:val="26"/>
          <w:szCs w:val="26"/>
        </w:rPr>
        <w:t xml:space="preserve">информации, в рамках данного сегмента было выделено </w:t>
      </w:r>
      <w:r>
        <w:rPr>
          <w:rFonts w:ascii="Times New Roman" w:hAnsi="Times New Roman" w:cs="Times New Roman"/>
          <w:sz w:val="26"/>
          <w:szCs w:val="26"/>
        </w:rPr>
        <w:t>6</w:t>
      </w:r>
      <w:r w:rsidRPr="008E6A59">
        <w:rPr>
          <w:rFonts w:ascii="Times New Roman" w:hAnsi="Times New Roman" w:cs="Times New Roman"/>
          <w:sz w:val="26"/>
          <w:szCs w:val="26"/>
        </w:rPr>
        <w:t xml:space="preserve"> ценовых зон:</w:t>
      </w:r>
    </w:p>
    <w:p w14:paraId="7BC616B3" w14:textId="77777777" w:rsidR="000B0C76" w:rsidRPr="008E6A59" w:rsidRDefault="000B0C76" w:rsidP="000B0C76">
      <w:pPr>
        <w:spacing w:after="0" w:line="276" w:lineRule="auto"/>
        <w:ind w:firstLine="709"/>
        <w:jc w:val="both"/>
        <w:rPr>
          <w:rFonts w:ascii="Times New Roman" w:hAnsi="Times New Roman" w:cs="Times New Roman"/>
          <w:sz w:val="26"/>
          <w:szCs w:val="26"/>
        </w:rPr>
      </w:pPr>
      <w:r w:rsidRPr="008E6A59">
        <w:rPr>
          <w:rFonts w:ascii="Times New Roman" w:hAnsi="Times New Roman" w:cs="Times New Roman"/>
          <w:sz w:val="26"/>
          <w:szCs w:val="26"/>
        </w:rPr>
        <w:t xml:space="preserve">-зона 1- г. Воронеж; </w:t>
      </w:r>
    </w:p>
    <w:p w14:paraId="7961CB15" w14:textId="77777777" w:rsidR="000B0C76" w:rsidRPr="008E6A59" w:rsidRDefault="000B0C76" w:rsidP="000B0C76">
      <w:pPr>
        <w:spacing w:after="0" w:line="276" w:lineRule="auto"/>
        <w:ind w:firstLine="709"/>
        <w:jc w:val="both"/>
        <w:rPr>
          <w:rFonts w:ascii="Times New Roman" w:hAnsi="Times New Roman" w:cs="Times New Roman"/>
          <w:sz w:val="26"/>
          <w:szCs w:val="26"/>
        </w:rPr>
      </w:pPr>
      <w:r w:rsidRPr="008E6A59">
        <w:rPr>
          <w:rFonts w:ascii="Times New Roman" w:hAnsi="Times New Roman" w:cs="Times New Roman"/>
          <w:sz w:val="26"/>
          <w:szCs w:val="26"/>
        </w:rPr>
        <w:t xml:space="preserve">-зона 2- </w:t>
      </w:r>
      <w:r>
        <w:rPr>
          <w:rFonts w:ascii="Times New Roman" w:hAnsi="Times New Roman" w:cs="Times New Roman"/>
          <w:sz w:val="26"/>
          <w:szCs w:val="26"/>
        </w:rPr>
        <w:t>крупные</w:t>
      </w:r>
      <w:r w:rsidRPr="008E6A59">
        <w:rPr>
          <w:rFonts w:ascii="Times New Roman" w:hAnsi="Times New Roman" w:cs="Times New Roman"/>
          <w:sz w:val="26"/>
          <w:szCs w:val="26"/>
        </w:rPr>
        <w:t xml:space="preserve"> городски</w:t>
      </w:r>
      <w:r>
        <w:rPr>
          <w:rFonts w:ascii="Times New Roman" w:hAnsi="Times New Roman" w:cs="Times New Roman"/>
          <w:sz w:val="26"/>
          <w:szCs w:val="26"/>
        </w:rPr>
        <w:t>е</w:t>
      </w:r>
      <w:r w:rsidRPr="008E6A59">
        <w:rPr>
          <w:rFonts w:ascii="Times New Roman" w:hAnsi="Times New Roman" w:cs="Times New Roman"/>
          <w:sz w:val="26"/>
          <w:szCs w:val="26"/>
        </w:rPr>
        <w:t xml:space="preserve"> населенны</w:t>
      </w:r>
      <w:r>
        <w:rPr>
          <w:rFonts w:ascii="Times New Roman" w:hAnsi="Times New Roman" w:cs="Times New Roman"/>
          <w:sz w:val="26"/>
          <w:szCs w:val="26"/>
        </w:rPr>
        <w:t>е</w:t>
      </w:r>
      <w:r w:rsidRPr="008E6A59">
        <w:rPr>
          <w:rFonts w:ascii="Times New Roman" w:hAnsi="Times New Roman" w:cs="Times New Roman"/>
          <w:sz w:val="26"/>
          <w:szCs w:val="26"/>
        </w:rPr>
        <w:t xml:space="preserve"> пункт</w:t>
      </w:r>
      <w:r>
        <w:rPr>
          <w:rFonts w:ascii="Times New Roman" w:hAnsi="Times New Roman" w:cs="Times New Roman"/>
          <w:sz w:val="26"/>
          <w:szCs w:val="26"/>
        </w:rPr>
        <w:t>ы</w:t>
      </w:r>
      <w:r w:rsidRPr="008E6A59">
        <w:rPr>
          <w:rFonts w:ascii="Times New Roman" w:hAnsi="Times New Roman" w:cs="Times New Roman"/>
          <w:sz w:val="26"/>
          <w:szCs w:val="26"/>
        </w:rPr>
        <w:t>;</w:t>
      </w:r>
    </w:p>
    <w:p w14:paraId="37B8E0C9" w14:textId="77777777" w:rsidR="000B0C76" w:rsidRDefault="000B0C76" w:rsidP="000B0C76">
      <w:pPr>
        <w:spacing w:after="0" w:line="276" w:lineRule="auto"/>
        <w:ind w:firstLine="709"/>
        <w:jc w:val="both"/>
        <w:rPr>
          <w:rFonts w:ascii="Times New Roman" w:hAnsi="Times New Roman" w:cs="Times New Roman"/>
          <w:sz w:val="26"/>
          <w:szCs w:val="26"/>
        </w:rPr>
      </w:pPr>
      <w:r w:rsidRPr="008E6A59">
        <w:rPr>
          <w:rFonts w:ascii="Times New Roman" w:hAnsi="Times New Roman" w:cs="Times New Roman"/>
          <w:sz w:val="26"/>
          <w:szCs w:val="26"/>
        </w:rPr>
        <w:t xml:space="preserve">-зона 3 – </w:t>
      </w:r>
      <w:r>
        <w:rPr>
          <w:rFonts w:ascii="Times New Roman" w:hAnsi="Times New Roman" w:cs="Times New Roman"/>
          <w:sz w:val="26"/>
          <w:szCs w:val="26"/>
        </w:rPr>
        <w:t>остальные города, а также крупные пгт и рп;</w:t>
      </w:r>
    </w:p>
    <w:p w14:paraId="4A94581C" w14:textId="77777777" w:rsidR="000B0C76" w:rsidRDefault="000B0C76" w:rsidP="000B0C76">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-зона 4 – остальные городские</w:t>
      </w:r>
      <w:r w:rsidRPr="008E6A59">
        <w:rPr>
          <w:rFonts w:ascii="Times New Roman" w:hAnsi="Times New Roman" w:cs="Times New Roman"/>
          <w:sz w:val="26"/>
          <w:szCs w:val="26"/>
        </w:rPr>
        <w:t xml:space="preserve"> населенные пункты</w:t>
      </w:r>
      <w:r>
        <w:rPr>
          <w:rFonts w:ascii="Times New Roman" w:hAnsi="Times New Roman" w:cs="Times New Roman"/>
          <w:sz w:val="26"/>
          <w:szCs w:val="26"/>
        </w:rPr>
        <w:t xml:space="preserve"> (перечень населенных пунктов см. табл. 3.2.5);</w:t>
      </w:r>
    </w:p>
    <w:p w14:paraId="380502E3" w14:textId="77777777" w:rsidR="000B0C76" w:rsidRDefault="000B0C76" w:rsidP="000B0C76">
      <w:pPr>
        <w:spacing w:after="0" w:line="276" w:lineRule="auto"/>
        <w:ind w:firstLine="709"/>
        <w:jc w:val="both"/>
        <w:rPr>
          <w:rFonts w:ascii="Times New Roman" w:eastAsia="Calibri" w:hAnsi="Times New Roman" w:cs="Times New Roman"/>
          <w:sz w:val="26"/>
          <w:szCs w:val="26"/>
        </w:rPr>
      </w:pPr>
      <w:r w:rsidRPr="00BC669E">
        <w:rPr>
          <w:rFonts w:ascii="Times New Roman" w:eastAsia="Calibri" w:hAnsi="Times New Roman" w:cs="Times New Roman"/>
          <w:sz w:val="26"/>
          <w:szCs w:val="26"/>
        </w:rPr>
        <w:t xml:space="preserve">-зона 5- </w:t>
      </w:r>
      <w:r>
        <w:rPr>
          <w:rFonts w:ascii="Times New Roman" w:eastAsia="Calibri" w:hAnsi="Times New Roman" w:cs="Times New Roman"/>
          <w:sz w:val="26"/>
          <w:szCs w:val="26"/>
        </w:rPr>
        <w:t>сельские населенные пункты, расположенные в районах, которые в непосредственной близости от столицы региона;</w:t>
      </w:r>
    </w:p>
    <w:p w14:paraId="334C9AB4" w14:textId="77777777" w:rsidR="000B0C76" w:rsidRPr="00BC669E" w:rsidRDefault="000B0C76" w:rsidP="000B0C76">
      <w:pPr>
        <w:spacing w:after="0" w:line="276"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-зона 6- остальные сельские населенные пункты.</w:t>
      </w:r>
    </w:p>
    <w:p w14:paraId="1CD7B5DF" w14:textId="77777777" w:rsidR="000B0C76" w:rsidRPr="00F562A8" w:rsidRDefault="000B0C76" w:rsidP="000B0C76">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З</w:t>
      </w:r>
      <w:r w:rsidRPr="00F562A8">
        <w:rPr>
          <w:rFonts w:ascii="Times New Roman" w:hAnsi="Times New Roman" w:cs="Times New Roman"/>
          <w:sz w:val="26"/>
          <w:szCs w:val="26"/>
        </w:rPr>
        <w:t>начения удельных показателей рыночной стоимости земельных участков сегмента 4 «Предпринимательство» для ценовой зоны г. Воронеж представлены в таблице 3.2.</w:t>
      </w:r>
      <w:r>
        <w:rPr>
          <w:rFonts w:ascii="Times New Roman" w:hAnsi="Times New Roman" w:cs="Times New Roman"/>
          <w:sz w:val="26"/>
          <w:szCs w:val="26"/>
        </w:rPr>
        <w:t>6</w:t>
      </w:r>
    </w:p>
    <w:p w14:paraId="1A68F49F" w14:textId="77777777" w:rsidR="000B0C76" w:rsidRPr="00F562A8" w:rsidRDefault="000B0C76" w:rsidP="000B0C76">
      <w:pPr>
        <w:spacing w:after="0" w:line="276" w:lineRule="auto"/>
        <w:ind w:firstLine="709"/>
        <w:jc w:val="right"/>
        <w:rPr>
          <w:rFonts w:ascii="Times New Roman" w:hAnsi="Times New Roman" w:cs="Times New Roman"/>
          <w:sz w:val="26"/>
          <w:szCs w:val="26"/>
        </w:rPr>
      </w:pPr>
      <w:r w:rsidRPr="00F562A8">
        <w:rPr>
          <w:rFonts w:ascii="Times New Roman" w:hAnsi="Times New Roman" w:cs="Times New Roman"/>
          <w:sz w:val="26"/>
          <w:szCs w:val="26"/>
        </w:rPr>
        <w:t>Таблица 3.2.</w:t>
      </w:r>
      <w:r>
        <w:rPr>
          <w:rFonts w:ascii="Times New Roman" w:hAnsi="Times New Roman" w:cs="Times New Roman"/>
          <w:sz w:val="26"/>
          <w:szCs w:val="26"/>
        </w:rPr>
        <w:t>6</w:t>
      </w:r>
    </w:p>
    <w:p w14:paraId="477D2B9D" w14:textId="77777777" w:rsidR="000B0C76" w:rsidRDefault="000B0C76" w:rsidP="000B0C76">
      <w:pPr>
        <w:spacing w:after="0" w:line="276" w:lineRule="auto"/>
        <w:jc w:val="center"/>
        <w:rPr>
          <w:rFonts w:ascii="Times New Roman" w:hAnsi="Times New Roman" w:cs="Times New Roman"/>
          <w:sz w:val="26"/>
          <w:szCs w:val="26"/>
          <w:vertAlign w:val="superscript"/>
        </w:rPr>
      </w:pPr>
      <w:r w:rsidRPr="00F562A8">
        <w:rPr>
          <w:rFonts w:ascii="Times New Roman" w:hAnsi="Times New Roman" w:cs="Times New Roman"/>
          <w:sz w:val="26"/>
          <w:szCs w:val="26"/>
        </w:rPr>
        <w:t>Удельные показатели рыночной стоимости, руб./м</w:t>
      </w:r>
      <w:r w:rsidRPr="00F562A8">
        <w:rPr>
          <w:rFonts w:ascii="Times New Roman" w:hAnsi="Times New Roman" w:cs="Times New Roman"/>
          <w:sz w:val="26"/>
          <w:szCs w:val="26"/>
          <w:vertAlign w:val="superscript"/>
        </w:rPr>
        <w:t>2</w:t>
      </w:r>
    </w:p>
    <w:tbl>
      <w:tblPr>
        <w:tblStyle w:val="ae"/>
        <w:tblW w:w="0" w:type="auto"/>
        <w:tblLook w:val="04A0" w:firstRow="1" w:lastRow="0" w:firstColumn="1" w:lastColumn="0" w:noHBand="0" w:noVBand="1"/>
      </w:tblPr>
      <w:tblGrid>
        <w:gridCol w:w="1979"/>
        <w:gridCol w:w="2410"/>
        <w:gridCol w:w="2268"/>
        <w:gridCol w:w="2687"/>
      </w:tblGrid>
      <w:tr w:rsidR="000B0C76" w:rsidRPr="00E6223E" w14:paraId="152B4CCF" w14:textId="77777777" w:rsidTr="000B0C76">
        <w:tc>
          <w:tcPr>
            <w:tcW w:w="1980" w:type="dxa"/>
            <w:vMerge w:val="restart"/>
          </w:tcPr>
          <w:p w14:paraId="27FEF430"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 ценовой зоны</w:t>
            </w:r>
          </w:p>
        </w:tc>
        <w:tc>
          <w:tcPr>
            <w:tcW w:w="7365" w:type="dxa"/>
            <w:gridSpan w:val="3"/>
          </w:tcPr>
          <w:p w14:paraId="7AEA9A38" w14:textId="77777777" w:rsidR="000B0C76" w:rsidRPr="00E6223E" w:rsidRDefault="000B0C76" w:rsidP="000B0C76">
            <w:pPr>
              <w:spacing w:line="276" w:lineRule="auto"/>
              <w:jc w:val="center"/>
              <w:rPr>
                <w:rFonts w:ascii="Times New Roman" w:hAnsi="Times New Roman" w:cs="Times New Roman"/>
                <w:sz w:val="22"/>
                <w:szCs w:val="22"/>
                <w:vertAlign w:val="superscript"/>
              </w:rPr>
            </w:pPr>
            <w:r w:rsidRPr="00E6223E">
              <w:rPr>
                <w:rFonts w:ascii="Times New Roman" w:hAnsi="Times New Roman" w:cs="Times New Roman"/>
                <w:sz w:val="22"/>
                <w:szCs w:val="22"/>
              </w:rPr>
              <w:t>Удельный показатель рыночной стоимости, руб./м</w:t>
            </w:r>
            <w:r w:rsidRPr="00E6223E">
              <w:rPr>
                <w:rFonts w:ascii="Times New Roman" w:hAnsi="Times New Roman" w:cs="Times New Roman"/>
                <w:sz w:val="22"/>
                <w:szCs w:val="22"/>
                <w:vertAlign w:val="superscript"/>
              </w:rPr>
              <w:t>2</w:t>
            </w:r>
          </w:p>
        </w:tc>
      </w:tr>
      <w:tr w:rsidR="000B0C76" w:rsidRPr="00E6223E" w14:paraId="6BE4C225" w14:textId="77777777" w:rsidTr="000B0C76">
        <w:tc>
          <w:tcPr>
            <w:tcW w:w="1980" w:type="dxa"/>
            <w:vMerge/>
          </w:tcPr>
          <w:p w14:paraId="392E5B6B" w14:textId="77777777" w:rsidR="000B0C76" w:rsidRPr="00E6223E" w:rsidRDefault="000B0C76" w:rsidP="000B0C76">
            <w:pPr>
              <w:spacing w:line="276" w:lineRule="auto"/>
              <w:jc w:val="right"/>
              <w:rPr>
                <w:rFonts w:ascii="Times New Roman" w:hAnsi="Times New Roman" w:cs="Times New Roman"/>
                <w:sz w:val="22"/>
                <w:szCs w:val="22"/>
              </w:rPr>
            </w:pPr>
          </w:p>
        </w:tc>
        <w:tc>
          <w:tcPr>
            <w:tcW w:w="2410" w:type="dxa"/>
          </w:tcPr>
          <w:p w14:paraId="4275F6E1"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минимальный</w:t>
            </w:r>
          </w:p>
        </w:tc>
        <w:tc>
          <w:tcPr>
            <w:tcW w:w="2268" w:type="dxa"/>
          </w:tcPr>
          <w:p w14:paraId="428CFBDE"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средний</w:t>
            </w:r>
          </w:p>
        </w:tc>
        <w:tc>
          <w:tcPr>
            <w:tcW w:w="2687" w:type="dxa"/>
          </w:tcPr>
          <w:p w14:paraId="35A73D3B"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максимальный</w:t>
            </w:r>
          </w:p>
        </w:tc>
      </w:tr>
      <w:tr w:rsidR="000B0C76" w:rsidRPr="00E6223E" w14:paraId="617947EF" w14:textId="77777777" w:rsidTr="000B0C76">
        <w:tc>
          <w:tcPr>
            <w:tcW w:w="1980" w:type="dxa"/>
          </w:tcPr>
          <w:p w14:paraId="41F8EABF"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1</w:t>
            </w:r>
          </w:p>
        </w:tc>
        <w:tc>
          <w:tcPr>
            <w:tcW w:w="2410" w:type="dxa"/>
          </w:tcPr>
          <w:p w14:paraId="05526B0C"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 xml:space="preserve"> 1 005,76   </w:t>
            </w:r>
          </w:p>
        </w:tc>
        <w:tc>
          <w:tcPr>
            <w:tcW w:w="2268" w:type="dxa"/>
          </w:tcPr>
          <w:p w14:paraId="45E14DAD"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 xml:space="preserve"> 6 576,58   </w:t>
            </w:r>
          </w:p>
        </w:tc>
        <w:tc>
          <w:tcPr>
            <w:tcW w:w="2687" w:type="dxa"/>
          </w:tcPr>
          <w:p w14:paraId="6F6DC707"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 xml:space="preserve"> 16 454,65   </w:t>
            </w:r>
          </w:p>
        </w:tc>
      </w:tr>
      <w:tr w:rsidR="000B0C76" w:rsidRPr="00E6223E" w14:paraId="2DAB4F92" w14:textId="77777777" w:rsidTr="000B0C76">
        <w:tc>
          <w:tcPr>
            <w:tcW w:w="1980" w:type="dxa"/>
          </w:tcPr>
          <w:p w14:paraId="04C9875A"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2</w:t>
            </w:r>
          </w:p>
        </w:tc>
        <w:tc>
          <w:tcPr>
            <w:tcW w:w="2410" w:type="dxa"/>
          </w:tcPr>
          <w:p w14:paraId="425A2DE9"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 xml:space="preserve"> 1 351,76   </w:t>
            </w:r>
          </w:p>
        </w:tc>
        <w:tc>
          <w:tcPr>
            <w:tcW w:w="2268" w:type="dxa"/>
          </w:tcPr>
          <w:p w14:paraId="18A00F8D"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 xml:space="preserve"> 4 062,26   </w:t>
            </w:r>
          </w:p>
        </w:tc>
        <w:tc>
          <w:tcPr>
            <w:tcW w:w="2687" w:type="dxa"/>
          </w:tcPr>
          <w:p w14:paraId="4F8147C6"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 xml:space="preserve"> 8 512,51   </w:t>
            </w:r>
          </w:p>
        </w:tc>
      </w:tr>
      <w:tr w:rsidR="000B0C76" w:rsidRPr="00E6223E" w14:paraId="58C838E1" w14:textId="77777777" w:rsidTr="000B0C76">
        <w:tc>
          <w:tcPr>
            <w:tcW w:w="1980" w:type="dxa"/>
          </w:tcPr>
          <w:p w14:paraId="2018694F"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3</w:t>
            </w:r>
          </w:p>
        </w:tc>
        <w:tc>
          <w:tcPr>
            <w:tcW w:w="2410" w:type="dxa"/>
          </w:tcPr>
          <w:p w14:paraId="638CCA4C"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 xml:space="preserve"> 1 232,23   </w:t>
            </w:r>
          </w:p>
        </w:tc>
        <w:tc>
          <w:tcPr>
            <w:tcW w:w="2268" w:type="dxa"/>
          </w:tcPr>
          <w:p w14:paraId="2B39B435"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 xml:space="preserve"> 3 483,21   </w:t>
            </w:r>
          </w:p>
        </w:tc>
        <w:tc>
          <w:tcPr>
            <w:tcW w:w="2687" w:type="dxa"/>
          </w:tcPr>
          <w:p w14:paraId="5FC30CA0"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 xml:space="preserve"> 6 771,98   </w:t>
            </w:r>
          </w:p>
        </w:tc>
      </w:tr>
      <w:tr w:rsidR="000B0C76" w:rsidRPr="00E6223E" w14:paraId="0A54DA8B" w14:textId="77777777" w:rsidTr="000B0C76">
        <w:tc>
          <w:tcPr>
            <w:tcW w:w="1980" w:type="dxa"/>
          </w:tcPr>
          <w:p w14:paraId="143AF904"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4</w:t>
            </w:r>
          </w:p>
        </w:tc>
        <w:tc>
          <w:tcPr>
            <w:tcW w:w="2410" w:type="dxa"/>
          </w:tcPr>
          <w:p w14:paraId="356FC9CC"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 xml:space="preserve"> 1 481,39   </w:t>
            </w:r>
          </w:p>
        </w:tc>
        <w:tc>
          <w:tcPr>
            <w:tcW w:w="2268" w:type="dxa"/>
          </w:tcPr>
          <w:p w14:paraId="1C9D6B8E"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 xml:space="preserve"> 2 779,99   </w:t>
            </w:r>
          </w:p>
        </w:tc>
        <w:tc>
          <w:tcPr>
            <w:tcW w:w="2687" w:type="dxa"/>
          </w:tcPr>
          <w:p w14:paraId="5E33F542"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 xml:space="preserve"> 4 751,92   </w:t>
            </w:r>
          </w:p>
        </w:tc>
      </w:tr>
      <w:tr w:rsidR="000B0C76" w:rsidRPr="00E6223E" w14:paraId="7F1335C3" w14:textId="77777777" w:rsidTr="000B0C76">
        <w:tc>
          <w:tcPr>
            <w:tcW w:w="1980" w:type="dxa"/>
          </w:tcPr>
          <w:p w14:paraId="7450B9BF"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5</w:t>
            </w:r>
          </w:p>
        </w:tc>
        <w:tc>
          <w:tcPr>
            <w:tcW w:w="2410" w:type="dxa"/>
          </w:tcPr>
          <w:p w14:paraId="57F2B784" w14:textId="77777777" w:rsidR="000B0C76" w:rsidRPr="00E6223E" w:rsidRDefault="000B0C76" w:rsidP="000B0C76">
            <w:pPr>
              <w:spacing w:line="276" w:lineRule="auto"/>
              <w:jc w:val="center"/>
              <w:rPr>
                <w:rFonts w:ascii="Times New Roman" w:eastAsia="Times New Roman" w:hAnsi="Times New Roman" w:cs="Times New Roman"/>
                <w:sz w:val="22"/>
                <w:szCs w:val="22"/>
              </w:rPr>
            </w:pPr>
            <w:r w:rsidRPr="00E6223E">
              <w:rPr>
                <w:rFonts w:ascii="Times New Roman" w:hAnsi="Times New Roman" w:cs="Times New Roman"/>
                <w:sz w:val="22"/>
                <w:szCs w:val="22"/>
              </w:rPr>
              <w:t xml:space="preserve"> 515,04   </w:t>
            </w:r>
          </w:p>
        </w:tc>
        <w:tc>
          <w:tcPr>
            <w:tcW w:w="2268" w:type="dxa"/>
          </w:tcPr>
          <w:p w14:paraId="157728C9" w14:textId="77777777" w:rsidR="000B0C76" w:rsidRPr="00E6223E" w:rsidRDefault="000B0C76" w:rsidP="000B0C76">
            <w:pPr>
              <w:spacing w:line="276" w:lineRule="auto"/>
              <w:jc w:val="center"/>
              <w:rPr>
                <w:rFonts w:ascii="Times New Roman" w:eastAsia="Times New Roman" w:hAnsi="Times New Roman" w:cs="Times New Roman"/>
                <w:sz w:val="22"/>
                <w:szCs w:val="22"/>
              </w:rPr>
            </w:pPr>
            <w:r w:rsidRPr="00E6223E">
              <w:rPr>
                <w:rFonts w:ascii="Times New Roman" w:hAnsi="Times New Roman" w:cs="Times New Roman"/>
                <w:sz w:val="22"/>
                <w:szCs w:val="22"/>
              </w:rPr>
              <w:t xml:space="preserve"> 2 795,74   </w:t>
            </w:r>
          </w:p>
        </w:tc>
        <w:tc>
          <w:tcPr>
            <w:tcW w:w="2687" w:type="dxa"/>
          </w:tcPr>
          <w:p w14:paraId="176454BB" w14:textId="77777777" w:rsidR="000B0C76" w:rsidRPr="00E6223E" w:rsidRDefault="000B0C76" w:rsidP="000B0C76">
            <w:pPr>
              <w:spacing w:line="276" w:lineRule="auto"/>
              <w:jc w:val="center"/>
              <w:rPr>
                <w:rFonts w:ascii="Times New Roman" w:eastAsia="Times New Roman" w:hAnsi="Times New Roman" w:cs="Times New Roman"/>
                <w:sz w:val="22"/>
                <w:szCs w:val="22"/>
              </w:rPr>
            </w:pPr>
            <w:r w:rsidRPr="00E6223E">
              <w:rPr>
                <w:rFonts w:ascii="Times New Roman" w:hAnsi="Times New Roman" w:cs="Times New Roman"/>
                <w:sz w:val="22"/>
                <w:szCs w:val="22"/>
              </w:rPr>
              <w:t xml:space="preserve"> 7 811,99   </w:t>
            </w:r>
          </w:p>
        </w:tc>
      </w:tr>
      <w:tr w:rsidR="000B0C76" w:rsidRPr="00E6223E" w14:paraId="30E442C2" w14:textId="77777777" w:rsidTr="000B0C76">
        <w:tc>
          <w:tcPr>
            <w:tcW w:w="1980" w:type="dxa"/>
          </w:tcPr>
          <w:p w14:paraId="1F028403" w14:textId="77777777" w:rsidR="000B0C76" w:rsidRPr="00E6223E" w:rsidRDefault="000B0C76" w:rsidP="000B0C76">
            <w:pPr>
              <w:spacing w:line="276" w:lineRule="auto"/>
              <w:jc w:val="center"/>
              <w:rPr>
                <w:rFonts w:ascii="Times New Roman" w:hAnsi="Times New Roman" w:cs="Times New Roman"/>
                <w:sz w:val="22"/>
                <w:szCs w:val="22"/>
              </w:rPr>
            </w:pPr>
            <w:r w:rsidRPr="00E6223E">
              <w:rPr>
                <w:rFonts w:ascii="Times New Roman" w:hAnsi="Times New Roman" w:cs="Times New Roman"/>
                <w:sz w:val="22"/>
                <w:szCs w:val="22"/>
              </w:rPr>
              <w:t>6</w:t>
            </w:r>
          </w:p>
        </w:tc>
        <w:tc>
          <w:tcPr>
            <w:tcW w:w="2410" w:type="dxa"/>
          </w:tcPr>
          <w:p w14:paraId="3E8F1878" w14:textId="77777777" w:rsidR="000B0C76" w:rsidRPr="00E6223E" w:rsidRDefault="000B0C76" w:rsidP="000B0C76">
            <w:pPr>
              <w:spacing w:line="276" w:lineRule="auto"/>
              <w:jc w:val="center"/>
              <w:rPr>
                <w:rFonts w:ascii="Times New Roman" w:eastAsia="Times New Roman" w:hAnsi="Times New Roman" w:cs="Times New Roman"/>
                <w:sz w:val="22"/>
                <w:szCs w:val="22"/>
              </w:rPr>
            </w:pPr>
            <w:r w:rsidRPr="00E6223E">
              <w:rPr>
                <w:rFonts w:ascii="Times New Roman" w:hAnsi="Times New Roman" w:cs="Times New Roman"/>
                <w:sz w:val="22"/>
                <w:szCs w:val="22"/>
              </w:rPr>
              <w:t xml:space="preserve"> 562,97   </w:t>
            </w:r>
          </w:p>
        </w:tc>
        <w:tc>
          <w:tcPr>
            <w:tcW w:w="2268" w:type="dxa"/>
          </w:tcPr>
          <w:p w14:paraId="12AA81F9" w14:textId="77777777" w:rsidR="000B0C76" w:rsidRPr="00E6223E" w:rsidRDefault="000B0C76" w:rsidP="000B0C76">
            <w:pPr>
              <w:spacing w:line="276" w:lineRule="auto"/>
              <w:jc w:val="center"/>
              <w:rPr>
                <w:rFonts w:ascii="Times New Roman" w:eastAsia="Times New Roman" w:hAnsi="Times New Roman" w:cs="Times New Roman"/>
                <w:sz w:val="22"/>
                <w:szCs w:val="22"/>
              </w:rPr>
            </w:pPr>
            <w:r w:rsidRPr="00E6223E">
              <w:rPr>
                <w:rFonts w:ascii="Times New Roman" w:hAnsi="Times New Roman" w:cs="Times New Roman"/>
                <w:sz w:val="22"/>
                <w:szCs w:val="22"/>
              </w:rPr>
              <w:t xml:space="preserve"> 1 620,59   </w:t>
            </w:r>
          </w:p>
        </w:tc>
        <w:tc>
          <w:tcPr>
            <w:tcW w:w="2687" w:type="dxa"/>
          </w:tcPr>
          <w:p w14:paraId="3248E0C9" w14:textId="77777777" w:rsidR="000B0C76" w:rsidRPr="00E6223E" w:rsidRDefault="000B0C76" w:rsidP="000B0C76">
            <w:pPr>
              <w:spacing w:line="276" w:lineRule="auto"/>
              <w:jc w:val="center"/>
              <w:rPr>
                <w:rFonts w:ascii="Times New Roman" w:eastAsia="Times New Roman" w:hAnsi="Times New Roman" w:cs="Times New Roman"/>
                <w:sz w:val="22"/>
                <w:szCs w:val="22"/>
              </w:rPr>
            </w:pPr>
            <w:r w:rsidRPr="00E6223E">
              <w:rPr>
                <w:rFonts w:ascii="Times New Roman" w:hAnsi="Times New Roman" w:cs="Times New Roman"/>
                <w:sz w:val="22"/>
                <w:szCs w:val="22"/>
              </w:rPr>
              <w:t xml:space="preserve"> 4 601,27   </w:t>
            </w:r>
          </w:p>
        </w:tc>
      </w:tr>
    </w:tbl>
    <w:p w14:paraId="3FE1C7BF" w14:textId="77777777" w:rsidR="000B0C76" w:rsidRPr="00C044E7" w:rsidRDefault="000B0C76" w:rsidP="000B0C76">
      <w:pPr>
        <w:spacing w:before="120" w:after="0" w:line="276" w:lineRule="auto"/>
        <w:ind w:firstLine="708"/>
        <w:jc w:val="both"/>
        <w:rPr>
          <w:rFonts w:ascii="Times New Roman" w:hAnsi="Times New Roman" w:cs="Times New Roman"/>
          <w:color w:val="000000" w:themeColor="text1"/>
          <w:sz w:val="26"/>
          <w:szCs w:val="26"/>
        </w:rPr>
      </w:pPr>
      <w:r w:rsidRPr="00F562A8">
        <w:rPr>
          <w:rFonts w:ascii="Times New Roman" w:hAnsi="Times New Roman" w:cs="Times New Roman"/>
          <w:sz w:val="26"/>
          <w:szCs w:val="26"/>
        </w:rPr>
        <w:t xml:space="preserve">Схема оценочного зонирования сегмента 4 «Предпринимательство» </w:t>
      </w:r>
      <w:r w:rsidRPr="00935BD9">
        <w:rPr>
          <w:rFonts w:ascii="Times New Roman" w:hAnsi="Times New Roman" w:cs="Times New Roman"/>
          <w:color w:val="000000" w:themeColor="text1"/>
          <w:sz w:val="26"/>
          <w:szCs w:val="26"/>
        </w:rPr>
        <w:t>представлена в Приложении 2/2.2.</w:t>
      </w:r>
    </w:p>
    <w:p w14:paraId="53B8B7DD" w14:textId="77777777" w:rsidR="000B0C76" w:rsidRPr="00F562A8" w:rsidRDefault="000B0C76" w:rsidP="000B0C76">
      <w:pPr>
        <w:spacing w:before="120" w:after="0" w:line="276" w:lineRule="auto"/>
        <w:jc w:val="center"/>
        <w:rPr>
          <w:rFonts w:ascii="Times New Roman" w:hAnsi="Times New Roman" w:cs="Times New Roman"/>
          <w:i/>
          <w:sz w:val="26"/>
          <w:szCs w:val="26"/>
        </w:rPr>
      </w:pPr>
      <w:r w:rsidRPr="00F562A8">
        <w:rPr>
          <w:rFonts w:ascii="Times New Roman" w:hAnsi="Times New Roman" w:cs="Times New Roman"/>
          <w:i/>
          <w:sz w:val="26"/>
          <w:szCs w:val="26"/>
        </w:rPr>
        <w:t xml:space="preserve">Описание схемы оценочного зонирования Воронежской области </w:t>
      </w:r>
      <w:r w:rsidRPr="00F562A8">
        <w:rPr>
          <w:rFonts w:ascii="Times New Roman" w:hAnsi="Times New Roman" w:cs="Times New Roman"/>
          <w:i/>
          <w:sz w:val="26"/>
          <w:szCs w:val="26"/>
        </w:rPr>
        <w:br/>
        <w:t>по сегменту</w:t>
      </w:r>
      <w:r>
        <w:rPr>
          <w:rFonts w:ascii="Times New Roman" w:hAnsi="Times New Roman" w:cs="Times New Roman"/>
          <w:i/>
          <w:sz w:val="26"/>
          <w:szCs w:val="26"/>
        </w:rPr>
        <w:t xml:space="preserve"> 6</w:t>
      </w:r>
      <w:r w:rsidRPr="00F562A8">
        <w:rPr>
          <w:rFonts w:ascii="Times New Roman" w:hAnsi="Times New Roman" w:cs="Times New Roman"/>
          <w:i/>
          <w:sz w:val="26"/>
          <w:szCs w:val="26"/>
        </w:rPr>
        <w:t xml:space="preserve"> «</w:t>
      </w:r>
      <w:r>
        <w:rPr>
          <w:rFonts w:ascii="Times New Roman" w:hAnsi="Times New Roman" w:cs="Times New Roman"/>
          <w:i/>
          <w:sz w:val="26"/>
          <w:szCs w:val="26"/>
        </w:rPr>
        <w:t>Производственная деятельность</w:t>
      </w:r>
      <w:r w:rsidRPr="00F562A8">
        <w:rPr>
          <w:rFonts w:ascii="Times New Roman" w:hAnsi="Times New Roman" w:cs="Times New Roman"/>
          <w:i/>
          <w:sz w:val="26"/>
          <w:szCs w:val="26"/>
        </w:rPr>
        <w:t>»</w:t>
      </w:r>
    </w:p>
    <w:p w14:paraId="70726C14" w14:textId="77777777" w:rsidR="000B0C76" w:rsidRDefault="000B0C76" w:rsidP="000B0C76">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проведения оценочного зонирования Учреждением был проведен анализ распределения рыночной информации сегмента </w:t>
      </w:r>
      <w:r>
        <w:rPr>
          <w:rFonts w:ascii="Times New Roman" w:hAnsi="Times New Roman" w:cs="Times New Roman"/>
          <w:sz w:val="26"/>
          <w:szCs w:val="26"/>
        </w:rPr>
        <w:t>6</w:t>
      </w:r>
      <w:r w:rsidRPr="00F562A8">
        <w:rPr>
          <w:rFonts w:ascii="Times New Roman" w:hAnsi="Times New Roman" w:cs="Times New Roman"/>
          <w:sz w:val="26"/>
          <w:szCs w:val="26"/>
        </w:rPr>
        <w:t xml:space="preserve"> «</w:t>
      </w:r>
      <w:r>
        <w:rPr>
          <w:rFonts w:ascii="Times New Roman" w:hAnsi="Times New Roman" w:cs="Times New Roman"/>
          <w:sz w:val="26"/>
          <w:szCs w:val="26"/>
        </w:rPr>
        <w:t>Производственная деятельность</w:t>
      </w:r>
      <w:r w:rsidRPr="00F562A8">
        <w:rPr>
          <w:rFonts w:ascii="Times New Roman" w:hAnsi="Times New Roman" w:cs="Times New Roman"/>
          <w:sz w:val="26"/>
          <w:szCs w:val="26"/>
        </w:rPr>
        <w:t xml:space="preserve">». </w:t>
      </w:r>
    </w:p>
    <w:p w14:paraId="70A93073" w14:textId="77777777" w:rsidR="000B0C76" w:rsidRPr="00935BD9" w:rsidRDefault="000B0C76" w:rsidP="000B0C76">
      <w:pPr>
        <w:spacing w:after="120" w:line="276" w:lineRule="auto"/>
        <w:ind w:firstLine="567"/>
        <w:jc w:val="center"/>
        <w:rPr>
          <w:rFonts w:ascii="Times New Roman" w:hAnsi="Times New Roman" w:cs="Times New Roman"/>
          <w:sz w:val="28"/>
          <w:szCs w:val="28"/>
        </w:rPr>
      </w:pPr>
      <w:r w:rsidRPr="00935BD9">
        <w:rPr>
          <w:rFonts w:ascii="Times New Roman" w:hAnsi="Times New Roman" w:cs="Times New Roman"/>
          <w:sz w:val="28"/>
          <w:szCs w:val="28"/>
        </w:rPr>
        <w:t>Расчет рыночной стоимости типовых земельных участков.</w:t>
      </w:r>
    </w:p>
    <w:p w14:paraId="25B4AF47" w14:textId="77777777" w:rsidR="000B0C76" w:rsidRPr="007264BA" w:rsidRDefault="000B0C76" w:rsidP="000B0C76">
      <w:pPr>
        <w:suppressAutoHyphens/>
        <w:autoSpaceDN w:val="0"/>
        <w:spacing w:after="0" w:line="276" w:lineRule="auto"/>
        <w:ind w:firstLine="567"/>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eastAsia="ru-RU"/>
        </w:rPr>
        <w:t>При проведении анализа рыночных цен выбран типовой объект со следующими характеристиками:</w:t>
      </w:r>
    </w:p>
    <w:p w14:paraId="1FB5083E" w14:textId="77777777" w:rsidR="000B0C76" w:rsidRPr="007264BA" w:rsidRDefault="000B0C76" w:rsidP="000B0C76">
      <w:pPr>
        <w:numPr>
          <w:ilvl w:val="0"/>
          <w:numId w:val="30"/>
        </w:numPr>
        <w:suppressAutoHyphens/>
        <w:autoSpaceDN w:val="0"/>
        <w:spacing w:after="0" w:line="276" w:lineRule="auto"/>
        <w:ind w:left="1418" w:firstLine="0"/>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eastAsia="ru-RU"/>
        </w:rPr>
        <w:t>Тип (вид) объектов недвижимости– земельный участок.</w:t>
      </w:r>
    </w:p>
    <w:p w14:paraId="7F09F701" w14:textId="77777777" w:rsidR="000B0C76" w:rsidRPr="007264BA" w:rsidRDefault="000B0C76" w:rsidP="000B0C76">
      <w:pPr>
        <w:numPr>
          <w:ilvl w:val="0"/>
          <w:numId w:val="30"/>
        </w:numPr>
        <w:suppressAutoHyphens/>
        <w:autoSpaceDN w:val="0"/>
        <w:spacing w:after="0" w:line="276" w:lineRule="auto"/>
        <w:ind w:left="1418" w:firstLine="0"/>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eastAsia="ru-RU"/>
        </w:rPr>
        <w:t>Вид использования–</w:t>
      </w:r>
      <w:r>
        <w:rPr>
          <w:rFonts w:ascii="Times New Roman" w:eastAsia="Times New Roman" w:hAnsi="Times New Roman" w:cs="Times New Roman"/>
          <w:sz w:val="26"/>
          <w:szCs w:val="26"/>
          <w:lang w:eastAsia="ru-RU"/>
        </w:rPr>
        <w:t>производственное назначение</w:t>
      </w:r>
      <w:r w:rsidRPr="007264BA">
        <w:rPr>
          <w:rFonts w:ascii="Times New Roman" w:eastAsia="Times New Roman" w:hAnsi="Times New Roman" w:cs="Times New Roman"/>
          <w:sz w:val="26"/>
          <w:szCs w:val="26"/>
          <w:lang w:eastAsia="ru-RU"/>
        </w:rPr>
        <w:t>.</w:t>
      </w:r>
    </w:p>
    <w:p w14:paraId="3C55E251" w14:textId="77777777" w:rsidR="000B0C76" w:rsidRDefault="000B0C76" w:rsidP="000B0C76">
      <w:pPr>
        <w:numPr>
          <w:ilvl w:val="0"/>
          <w:numId w:val="30"/>
        </w:numPr>
        <w:suppressAutoHyphens/>
        <w:autoSpaceDN w:val="0"/>
        <w:spacing w:after="0" w:line="276" w:lineRule="auto"/>
        <w:ind w:left="1418" w:firstLine="0"/>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val="en-US" w:eastAsia="ru-RU"/>
        </w:rPr>
        <w:t>Имущественные права - собственность</w:t>
      </w:r>
      <w:r w:rsidRPr="007264BA">
        <w:rPr>
          <w:rFonts w:ascii="Times New Roman" w:eastAsia="Times New Roman" w:hAnsi="Times New Roman" w:cs="Times New Roman"/>
          <w:sz w:val="26"/>
          <w:szCs w:val="26"/>
          <w:lang w:eastAsia="ru-RU"/>
        </w:rPr>
        <w:t>.</w:t>
      </w:r>
    </w:p>
    <w:p w14:paraId="0BBCB781" w14:textId="77777777" w:rsidR="000B0C76" w:rsidRPr="007264BA" w:rsidRDefault="000B0C76" w:rsidP="000B0C76">
      <w:pPr>
        <w:tabs>
          <w:tab w:val="right" w:pos="9072"/>
        </w:tabs>
        <w:suppressAutoHyphens/>
        <w:autoSpaceDN w:val="0"/>
        <w:spacing w:after="120" w:line="276" w:lineRule="auto"/>
        <w:ind w:firstLine="567"/>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eastAsia="ru-RU"/>
        </w:rPr>
        <w:t xml:space="preserve">Для сопоставимости был введен ряд корректирующих коэффициентов. </w:t>
      </w:r>
    </w:p>
    <w:p w14:paraId="61D87759" w14:textId="77777777" w:rsidR="000B0C76" w:rsidRPr="00945FC1" w:rsidRDefault="000B0C76" w:rsidP="000B0C76">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торг</w:t>
      </w:r>
    </w:p>
    <w:p w14:paraId="486786F8" w14:textId="77777777" w:rsidR="000B0C76" w:rsidRDefault="000B0C76" w:rsidP="000B0C76">
      <w:pPr>
        <w:spacing w:before="120" w:after="0" w:line="300" w:lineRule="auto"/>
        <w:ind w:firstLine="567"/>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При продаже земельных участков на рынке недвижимости возможно снижение цены сделки за счет уторговывания. </w:t>
      </w:r>
      <w:r>
        <w:rPr>
          <w:rFonts w:ascii="Times New Roman" w:eastAsia="Times New Roman" w:hAnsi="Times New Roman" w:cs="Times New Roman"/>
          <w:sz w:val="26"/>
          <w:szCs w:val="26"/>
          <w:lang w:eastAsia="ru-RU"/>
        </w:rPr>
        <w:t xml:space="preserve">Так как в представленной рыночной выборке содержится информация и по предложениям, и по сделкам, удельные показатели цены предложения по продаже объектов-аналогов были скорректированы на тип сделки (скидка на торг). </w:t>
      </w:r>
      <w:r>
        <w:rPr>
          <w:rFonts w:ascii="Times New Roman" w:eastAsia="Calibri" w:hAnsi="Times New Roman" w:cs="Times New Roman"/>
          <w:sz w:val="26"/>
          <w:szCs w:val="26"/>
        </w:rPr>
        <w:t>Величина скидки на торг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109" w:history="1">
        <w:r w:rsidRPr="00A67AF4">
          <w:rPr>
            <w:rStyle w:val="ad"/>
            <w:rFonts w:cs="Times New Roman"/>
            <w:szCs w:val="26"/>
          </w:rPr>
          <w:t>https://statrielt.ru/</w:t>
        </w:r>
      </w:hyperlink>
      <w:r w:rsidRPr="00A67AF4">
        <w:rPr>
          <w:rFonts w:ascii="Times New Roman" w:hAnsi="Times New Roman" w:cs="Times New Roman"/>
          <w:sz w:val="26"/>
          <w:szCs w:val="26"/>
        </w:rPr>
        <w:t>).</w:t>
      </w:r>
    </w:p>
    <w:p w14:paraId="46B1B8AD" w14:textId="77777777" w:rsidR="000B0C76" w:rsidRDefault="000B0C76" w:rsidP="000B0C76">
      <w:pPr>
        <w:jc w:val="both"/>
      </w:pPr>
      <w:r w:rsidRPr="00376FBD">
        <w:rPr>
          <w:noProof/>
          <w:lang w:eastAsia="ru-RU"/>
        </w:rPr>
        <w:drawing>
          <wp:inline distT="0" distB="0" distL="0" distR="0" wp14:anchorId="28F69D5B" wp14:editId="17FF8454">
            <wp:extent cx="5940425" cy="3869690"/>
            <wp:effectExtent l="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869690"/>
                    </a:xfrm>
                    <a:prstGeom prst="rect">
                      <a:avLst/>
                    </a:prstGeom>
                  </pic:spPr>
                </pic:pic>
              </a:graphicData>
            </a:graphic>
          </wp:inline>
        </w:drawing>
      </w:r>
    </w:p>
    <w:p w14:paraId="2B06A3DC" w14:textId="1AA1BB50" w:rsidR="000B0C76" w:rsidRDefault="000B0C76" w:rsidP="000B0C76">
      <w:pPr>
        <w:spacing w:after="0" w:line="300" w:lineRule="auto"/>
        <w:ind w:firstLine="567"/>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Рис.3.2.7- Скидка на торг, уторгование при продаже земельных участков на 01.01.2022 года по данным </w:t>
      </w:r>
      <w:r w:rsidRPr="00A67AF4">
        <w:rPr>
          <w:rFonts w:ascii="Times New Roman" w:eastAsia="Calibri" w:hAnsi="Times New Roman" w:cs="Times New Roman"/>
          <w:sz w:val="26"/>
          <w:szCs w:val="26"/>
        </w:rPr>
        <w:t>некоммерческой организации «Ассоциация развития рынка недвижимости «СтатРиелт»</w:t>
      </w:r>
      <w:r>
        <w:rPr>
          <w:rStyle w:val="af2"/>
          <w:rFonts w:ascii="Times New Roman" w:eastAsia="Calibri" w:hAnsi="Times New Roman" w:cs="Times New Roman"/>
          <w:sz w:val="26"/>
          <w:szCs w:val="26"/>
        </w:rPr>
        <w:footnoteReference w:id="111"/>
      </w:r>
      <w:r w:rsidRPr="00A67AF4">
        <w:rPr>
          <w:rFonts w:ascii="Times New Roman" w:eastAsia="Calibri" w:hAnsi="Times New Roman" w:cs="Times New Roman"/>
          <w:sz w:val="26"/>
          <w:szCs w:val="26"/>
        </w:rPr>
        <w:t xml:space="preserve"> </w:t>
      </w:r>
    </w:p>
    <w:p w14:paraId="38C8EEB0" w14:textId="77777777" w:rsidR="000B0C76" w:rsidRPr="00650F12" w:rsidRDefault="000B0C76" w:rsidP="000B0C76">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данном случае размер скидки на торг принимаем как для земель населенных пунктов для смешанной коммерческой застройки (в том числе складские, производственные), значения лежат в доверительном интервале от 0,90 до 0,97 и в среднем по РФ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94</w:t>
      </w:r>
      <w:r>
        <w:rPr>
          <w:rFonts w:ascii="Times New Roman" w:eastAsia="Calibri" w:hAnsi="Times New Roman" w:cs="Times New Roman"/>
          <w:sz w:val="26"/>
          <w:szCs w:val="26"/>
        </w:rPr>
        <w:t xml:space="preserve"> (раздел «</w:t>
      </w:r>
      <w:r w:rsidRPr="00CB1B3C">
        <w:rPr>
          <w:rFonts w:ascii="Times New Roman" w:hAnsi="Times New Roman" w:cs="Times New Roman"/>
          <w:sz w:val="26"/>
          <w:szCs w:val="26"/>
        </w:rPr>
        <w:t>Скидка на торг, уторгование при продаже земельных участков на 01.</w:t>
      </w:r>
      <w:r>
        <w:rPr>
          <w:rFonts w:ascii="Times New Roman" w:hAnsi="Times New Roman" w:cs="Times New Roman"/>
          <w:sz w:val="26"/>
          <w:szCs w:val="26"/>
        </w:rPr>
        <w:t>01</w:t>
      </w:r>
      <w:r w:rsidRPr="00CB1B3C">
        <w:rPr>
          <w:rFonts w:ascii="Times New Roman" w:hAnsi="Times New Roman" w:cs="Times New Roman"/>
          <w:sz w:val="26"/>
          <w:szCs w:val="26"/>
        </w:rPr>
        <w:t>.202</w:t>
      </w:r>
      <w:r>
        <w:rPr>
          <w:rFonts w:ascii="Times New Roman" w:hAnsi="Times New Roman" w:cs="Times New Roman"/>
          <w:sz w:val="26"/>
          <w:szCs w:val="26"/>
        </w:rPr>
        <w:t>2</w:t>
      </w:r>
      <w:r w:rsidRPr="00CB1B3C">
        <w:rPr>
          <w:rFonts w:ascii="Times New Roman" w:hAnsi="Times New Roman" w:cs="Times New Roman"/>
          <w:sz w:val="26"/>
          <w:szCs w:val="26"/>
        </w:rPr>
        <w:t xml:space="preserve"> года</w:t>
      </w:r>
      <w:r>
        <w:rPr>
          <w:rFonts w:ascii="Times New Roman" w:hAnsi="Times New Roman" w:cs="Times New Roman"/>
          <w:sz w:val="26"/>
          <w:szCs w:val="26"/>
        </w:rPr>
        <w:t>»)</w:t>
      </w:r>
      <w:r>
        <w:rPr>
          <w:rFonts w:ascii="Times New Roman" w:eastAsia="Calibri" w:hAnsi="Times New Roman" w:cs="Times New Roman"/>
          <w:sz w:val="26"/>
          <w:szCs w:val="26"/>
        </w:rPr>
        <w:t xml:space="preserve">. Принято среднее значение диапазона. Для объектов, которые расположены на землях промышленности, значения лежат в доверительном интервале от 0,79 до 0,94 и в среднем по РФ составляет </w:t>
      </w:r>
      <w:r w:rsidRPr="00650F12">
        <w:rPr>
          <w:rFonts w:ascii="Times New Roman" w:eastAsia="Calibri" w:hAnsi="Times New Roman" w:cs="Times New Roman"/>
          <w:b/>
          <w:sz w:val="26"/>
          <w:szCs w:val="26"/>
        </w:rPr>
        <w:t>0,8</w:t>
      </w:r>
      <w:r>
        <w:rPr>
          <w:rFonts w:ascii="Times New Roman" w:eastAsia="Calibri" w:hAnsi="Times New Roman" w:cs="Times New Roman"/>
          <w:b/>
          <w:sz w:val="26"/>
          <w:szCs w:val="26"/>
        </w:rPr>
        <w:t>7</w:t>
      </w:r>
      <w:r w:rsidRPr="00650F12">
        <w:rPr>
          <w:rFonts w:ascii="Times New Roman" w:eastAsia="Calibri" w:hAnsi="Times New Roman" w:cs="Times New Roman"/>
          <w:sz w:val="26"/>
          <w:szCs w:val="26"/>
        </w:rPr>
        <w:t xml:space="preserve"> (также принято среднее значение диапазона)</w:t>
      </w:r>
      <w:r>
        <w:rPr>
          <w:rFonts w:ascii="Times New Roman" w:eastAsia="Calibri" w:hAnsi="Times New Roman" w:cs="Times New Roman"/>
          <w:sz w:val="26"/>
          <w:szCs w:val="26"/>
        </w:rPr>
        <w:t xml:space="preserve">, если на землях сельскохозяйственного назначения- среднее значение корректировки </w:t>
      </w:r>
      <w:r w:rsidRPr="001A76BE">
        <w:rPr>
          <w:rFonts w:ascii="Times New Roman" w:eastAsia="Calibri" w:hAnsi="Times New Roman" w:cs="Times New Roman"/>
          <w:b/>
          <w:sz w:val="26"/>
          <w:szCs w:val="26"/>
        </w:rPr>
        <w:t>0,8</w:t>
      </w:r>
      <w:r>
        <w:rPr>
          <w:rFonts w:ascii="Times New Roman" w:eastAsia="Calibri" w:hAnsi="Times New Roman" w:cs="Times New Roman"/>
          <w:b/>
          <w:sz w:val="26"/>
          <w:szCs w:val="26"/>
        </w:rPr>
        <w:t>3</w:t>
      </w:r>
      <w:r>
        <w:rPr>
          <w:rFonts w:ascii="Times New Roman" w:eastAsia="Calibri" w:hAnsi="Times New Roman" w:cs="Times New Roman"/>
          <w:sz w:val="26"/>
          <w:szCs w:val="26"/>
        </w:rPr>
        <w:t>.</w:t>
      </w:r>
    </w:p>
    <w:p w14:paraId="0F799F85" w14:textId="77777777" w:rsidR="000B0C76" w:rsidRPr="00945FC1" w:rsidRDefault="000B0C76" w:rsidP="000B0C76">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дату</w:t>
      </w:r>
    </w:p>
    <w:p w14:paraId="47E97307" w14:textId="77777777" w:rsidR="000B0C76" w:rsidRDefault="000B0C76" w:rsidP="000B0C76">
      <w:pPr>
        <w:spacing w:after="0" w:line="300" w:lineRule="auto"/>
        <w:ind w:firstLine="708"/>
        <w:jc w:val="both"/>
        <w:rPr>
          <w:rFonts w:ascii="Times New Roman" w:hAnsi="Times New Roman" w:cs="Times New Roman"/>
          <w:b/>
          <w:sz w:val="26"/>
          <w:szCs w:val="26"/>
        </w:rPr>
      </w:pPr>
      <w:r>
        <w:rPr>
          <w:rFonts w:ascii="Times New Roman" w:hAnsi="Times New Roman" w:cs="Times New Roman"/>
          <w:sz w:val="26"/>
          <w:szCs w:val="26"/>
        </w:rPr>
        <w:t xml:space="preserve">Изменение рыночной конъюнктуры, условия которой могут сильно отразиться на стоимости объекта недвижимости, происходят с течением времени. </w:t>
      </w:r>
      <w:r>
        <w:rPr>
          <w:rFonts w:ascii="Times New Roman" w:eastAsia="Calibri" w:hAnsi="Times New Roman" w:cs="Times New Roman"/>
          <w:sz w:val="26"/>
          <w:szCs w:val="26"/>
        </w:rPr>
        <w:t xml:space="preserve">Корректировка на дату учитывает изменение цен на земельные участки за период с даты заключения сделки (предложения) с объектом-аналогом до даты проведения настоящей оценки. </w:t>
      </w:r>
    </w:p>
    <w:p w14:paraId="61EEB8D8" w14:textId="77777777" w:rsidR="000B0C76" w:rsidRDefault="000B0C76" w:rsidP="000B0C76">
      <w:pPr>
        <w:jc w:val="center"/>
      </w:pPr>
      <w:r w:rsidRPr="00376FBD">
        <w:rPr>
          <w:noProof/>
          <w:lang w:eastAsia="ru-RU"/>
        </w:rPr>
        <w:drawing>
          <wp:inline distT="0" distB="0" distL="0" distR="0" wp14:anchorId="40843CF1" wp14:editId="5D592FAF">
            <wp:extent cx="5940425" cy="3978910"/>
            <wp:effectExtent l="0" t="0" r="3175" b="254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978910"/>
                    </a:xfrm>
                    <a:prstGeom prst="rect">
                      <a:avLst/>
                    </a:prstGeom>
                  </pic:spPr>
                </pic:pic>
              </a:graphicData>
            </a:graphic>
          </wp:inline>
        </w:drawing>
      </w:r>
    </w:p>
    <w:p w14:paraId="1E36267D" w14:textId="3C027D1F" w:rsidR="000B0C76" w:rsidRDefault="000B0C76" w:rsidP="000B0C76">
      <w:pPr>
        <w:jc w:val="center"/>
        <w:rPr>
          <w:rFonts w:ascii="Times New Roman" w:eastAsia="Calibri" w:hAnsi="Times New Roman" w:cs="Times New Roman"/>
          <w:sz w:val="26"/>
          <w:szCs w:val="26"/>
        </w:rPr>
      </w:pPr>
      <w:r>
        <w:rPr>
          <w:rFonts w:ascii="Times New Roman" w:eastAsia="Calibri" w:hAnsi="Times New Roman" w:cs="Times New Roman"/>
          <w:sz w:val="26"/>
          <w:szCs w:val="26"/>
        </w:rPr>
        <w:t>Рис.3.2.8-</w:t>
      </w:r>
      <w:r w:rsidRPr="008C322D">
        <w:t xml:space="preserve"> </w:t>
      </w:r>
      <w:r w:rsidRPr="008C322D">
        <w:rPr>
          <w:rFonts w:ascii="Times New Roman" w:eastAsia="Calibri" w:hAnsi="Times New Roman" w:cs="Times New Roman"/>
          <w:sz w:val="26"/>
          <w:szCs w:val="26"/>
        </w:rPr>
        <w:t>Индексы изменения рыночных цен (в рублях) земельных участков</w:t>
      </w:r>
      <w:r>
        <w:rPr>
          <w:rFonts w:ascii="Times New Roman" w:eastAsia="Calibri" w:hAnsi="Times New Roman" w:cs="Times New Roman"/>
          <w:sz w:val="26"/>
          <w:szCs w:val="26"/>
        </w:rPr>
        <w:t xml:space="preserve"> по данным </w:t>
      </w:r>
      <w:r w:rsidRPr="00A67AF4">
        <w:rPr>
          <w:rFonts w:ascii="Times New Roman" w:eastAsia="Calibri" w:hAnsi="Times New Roman" w:cs="Times New Roman"/>
          <w:sz w:val="26"/>
          <w:szCs w:val="26"/>
        </w:rPr>
        <w:t>некоммерческой организации «Ассоциация развития рынка недвижимости «СтатРиелт»</w:t>
      </w:r>
      <w:r>
        <w:rPr>
          <w:rStyle w:val="af2"/>
          <w:rFonts w:ascii="Times New Roman" w:eastAsia="Calibri" w:hAnsi="Times New Roman" w:cs="Times New Roman"/>
          <w:sz w:val="26"/>
          <w:szCs w:val="26"/>
        </w:rPr>
        <w:footnoteReference w:id="112"/>
      </w:r>
      <w:r w:rsidRPr="00A67AF4">
        <w:rPr>
          <w:rFonts w:ascii="Times New Roman" w:eastAsia="Calibri" w:hAnsi="Times New Roman" w:cs="Times New Roman"/>
          <w:sz w:val="26"/>
          <w:szCs w:val="26"/>
        </w:rPr>
        <w:t xml:space="preserve"> </w:t>
      </w:r>
    </w:p>
    <w:p w14:paraId="1E6F5218" w14:textId="77777777" w:rsidR="000B0C76" w:rsidRDefault="000B0C76" w:rsidP="000B0C76">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был произведен расчет корректировок, значения представлены далее в таблице.</w:t>
      </w:r>
    </w:p>
    <w:p w14:paraId="2FAD1D8A" w14:textId="77777777" w:rsidR="000B0C76" w:rsidRDefault="000B0C76" w:rsidP="000B0C76">
      <w:pPr>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3.2.7</w:t>
      </w:r>
    </w:p>
    <w:p w14:paraId="1F53012A" w14:textId="77777777" w:rsidR="000B0C76" w:rsidRPr="002F6E4F" w:rsidRDefault="000B0C76" w:rsidP="000B0C76">
      <w:pPr>
        <w:jc w:val="center"/>
        <w:rPr>
          <w:rFonts w:ascii="Times New Roman" w:eastAsia="Calibri" w:hAnsi="Times New Roman" w:cs="Times New Roman"/>
          <w:sz w:val="26"/>
          <w:szCs w:val="26"/>
        </w:rPr>
      </w:pPr>
      <w:r>
        <w:rPr>
          <w:rFonts w:ascii="Times New Roman" w:eastAsia="Calibri" w:hAnsi="Times New Roman" w:cs="Times New Roman"/>
          <w:sz w:val="26"/>
          <w:szCs w:val="26"/>
        </w:rPr>
        <w:t>Размер корректировок на дату, рассчитанных на каждое полугодие</w:t>
      </w:r>
    </w:p>
    <w:tbl>
      <w:tblPr>
        <w:tblStyle w:val="ae"/>
        <w:tblW w:w="4927" w:type="pct"/>
        <w:jc w:val="center"/>
        <w:tblLayout w:type="fixed"/>
        <w:tblLook w:val="04A0" w:firstRow="1" w:lastRow="0" w:firstColumn="1" w:lastColumn="0" w:noHBand="0" w:noVBand="1"/>
      </w:tblPr>
      <w:tblGrid>
        <w:gridCol w:w="1130"/>
        <w:gridCol w:w="993"/>
        <w:gridCol w:w="1558"/>
        <w:gridCol w:w="1558"/>
        <w:gridCol w:w="654"/>
        <w:gridCol w:w="622"/>
        <w:gridCol w:w="993"/>
        <w:gridCol w:w="1700"/>
      </w:tblGrid>
      <w:tr w:rsidR="000B0C76" w:rsidRPr="006640DC" w14:paraId="05741B23" w14:textId="77777777" w:rsidTr="009C5C5A">
        <w:trPr>
          <w:jc w:val="center"/>
        </w:trPr>
        <w:tc>
          <w:tcPr>
            <w:tcW w:w="614" w:type="pct"/>
            <w:vAlign w:val="center"/>
          </w:tcPr>
          <w:p w14:paraId="4E606D6B" w14:textId="77777777" w:rsidR="000B0C76" w:rsidRPr="006640DC" w:rsidRDefault="000B0C76" w:rsidP="009C5C5A">
            <w:pPr>
              <w:jc w:val="center"/>
              <w:rPr>
                <w:rFonts w:ascii="Times New Roman" w:hAnsi="Times New Roman" w:cs="Times New Roman"/>
                <w:sz w:val="18"/>
                <w:szCs w:val="18"/>
              </w:rPr>
            </w:pPr>
            <w:r w:rsidRPr="006640DC">
              <w:rPr>
                <w:rFonts w:ascii="Times New Roman" w:hAnsi="Times New Roman" w:cs="Times New Roman"/>
                <w:sz w:val="18"/>
                <w:szCs w:val="18"/>
              </w:rPr>
              <w:t>к 01.0</w:t>
            </w:r>
            <w:r>
              <w:rPr>
                <w:rFonts w:ascii="Times New Roman" w:hAnsi="Times New Roman" w:cs="Times New Roman"/>
                <w:sz w:val="18"/>
                <w:szCs w:val="18"/>
              </w:rPr>
              <w:t>1</w:t>
            </w:r>
            <w:r w:rsidRPr="006640DC">
              <w:rPr>
                <w:rFonts w:ascii="Times New Roman" w:hAnsi="Times New Roman" w:cs="Times New Roman"/>
                <w:sz w:val="18"/>
                <w:szCs w:val="18"/>
              </w:rPr>
              <w:t>.202</w:t>
            </w:r>
            <w:r>
              <w:rPr>
                <w:rFonts w:ascii="Times New Roman" w:hAnsi="Times New Roman" w:cs="Times New Roman"/>
                <w:sz w:val="18"/>
                <w:szCs w:val="18"/>
              </w:rPr>
              <w:t>2</w:t>
            </w:r>
          </w:p>
        </w:tc>
        <w:tc>
          <w:tcPr>
            <w:tcW w:w="539" w:type="pct"/>
            <w:vAlign w:val="center"/>
          </w:tcPr>
          <w:p w14:paraId="64526E72" w14:textId="77777777" w:rsidR="000B0C76" w:rsidRPr="006640DC" w:rsidRDefault="000B0C76" w:rsidP="009C5C5A">
            <w:pPr>
              <w:jc w:val="center"/>
              <w:rPr>
                <w:rFonts w:ascii="Times New Roman" w:hAnsi="Times New Roman" w:cs="Times New Roman"/>
                <w:sz w:val="18"/>
              </w:rPr>
            </w:pPr>
            <w:r w:rsidRPr="006640DC">
              <w:rPr>
                <w:rFonts w:ascii="Times New Roman" w:hAnsi="Times New Roman" w:cs="Times New Roman"/>
                <w:color w:val="000000"/>
                <w:sz w:val="18"/>
              </w:rPr>
              <w:t>торговые и офисные здания</w:t>
            </w:r>
          </w:p>
        </w:tc>
        <w:tc>
          <w:tcPr>
            <w:tcW w:w="846" w:type="pct"/>
            <w:vAlign w:val="center"/>
          </w:tcPr>
          <w:p w14:paraId="4963FDAE" w14:textId="77777777" w:rsidR="000B0C76" w:rsidRPr="00815D40" w:rsidRDefault="000B0C76" w:rsidP="009C5C5A">
            <w:pPr>
              <w:jc w:val="center"/>
              <w:rPr>
                <w:rFonts w:ascii="Times New Roman" w:hAnsi="Times New Roman" w:cs="Times New Roman"/>
                <w:b/>
                <w:sz w:val="18"/>
              </w:rPr>
            </w:pPr>
            <w:r w:rsidRPr="00815D40">
              <w:rPr>
                <w:rFonts w:ascii="Times New Roman" w:hAnsi="Times New Roman" w:cs="Times New Roman"/>
                <w:b/>
                <w:color w:val="000000"/>
                <w:sz w:val="18"/>
              </w:rPr>
              <w:t>промышленности, транспорта, связи и иного специального назначения</w:t>
            </w:r>
          </w:p>
        </w:tc>
        <w:tc>
          <w:tcPr>
            <w:tcW w:w="846" w:type="pct"/>
            <w:vAlign w:val="center"/>
          </w:tcPr>
          <w:p w14:paraId="1C07D621" w14:textId="77777777" w:rsidR="000B0C76" w:rsidRPr="006640DC" w:rsidRDefault="000B0C76" w:rsidP="009C5C5A">
            <w:pPr>
              <w:jc w:val="center"/>
              <w:rPr>
                <w:rFonts w:ascii="Times New Roman" w:hAnsi="Times New Roman" w:cs="Times New Roman"/>
                <w:sz w:val="18"/>
              </w:rPr>
            </w:pPr>
            <w:r>
              <w:rPr>
                <w:rFonts w:ascii="Times New Roman" w:hAnsi="Times New Roman" w:cs="Times New Roman"/>
                <w:color w:val="000000"/>
                <w:sz w:val="18"/>
              </w:rPr>
              <w:t>м</w:t>
            </w:r>
            <w:r w:rsidRPr="006640DC">
              <w:rPr>
                <w:rFonts w:ascii="Times New Roman" w:hAnsi="Times New Roman" w:cs="Times New Roman"/>
                <w:color w:val="000000"/>
                <w:sz w:val="18"/>
              </w:rPr>
              <w:t>ного</w:t>
            </w:r>
            <w:r>
              <w:rPr>
                <w:rFonts w:ascii="Times New Roman" w:hAnsi="Times New Roman" w:cs="Times New Roman"/>
                <w:color w:val="000000"/>
                <w:sz w:val="18"/>
              </w:rPr>
              <w:t>-</w:t>
            </w:r>
            <w:r w:rsidRPr="006640DC">
              <w:rPr>
                <w:rFonts w:ascii="Times New Roman" w:hAnsi="Times New Roman" w:cs="Times New Roman"/>
                <w:color w:val="000000"/>
                <w:sz w:val="18"/>
              </w:rPr>
              <w:t>квартирное строительство</w:t>
            </w:r>
          </w:p>
        </w:tc>
        <w:tc>
          <w:tcPr>
            <w:tcW w:w="355" w:type="pct"/>
            <w:vAlign w:val="center"/>
          </w:tcPr>
          <w:p w14:paraId="73AE6243" w14:textId="77777777" w:rsidR="000B0C76" w:rsidRDefault="000B0C76" w:rsidP="009C5C5A">
            <w:pPr>
              <w:jc w:val="center"/>
              <w:rPr>
                <w:rFonts w:ascii="Times New Roman" w:hAnsi="Times New Roman" w:cs="Times New Roman"/>
                <w:color w:val="000000"/>
                <w:sz w:val="18"/>
              </w:rPr>
            </w:pPr>
            <w:r w:rsidRPr="006640DC">
              <w:rPr>
                <w:rFonts w:ascii="Times New Roman" w:hAnsi="Times New Roman" w:cs="Times New Roman"/>
                <w:color w:val="000000"/>
                <w:sz w:val="18"/>
              </w:rPr>
              <w:t>ИЖС</w:t>
            </w:r>
          </w:p>
          <w:p w14:paraId="03FC9FFA" w14:textId="77777777" w:rsidR="000B0C76" w:rsidRDefault="000B0C76" w:rsidP="009C5C5A">
            <w:pPr>
              <w:jc w:val="center"/>
              <w:rPr>
                <w:rFonts w:ascii="Times New Roman" w:hAnsi="Times New Roman" w:cs="Times New Roman"/>
                <w:color w:val="000000"/>
                <w:sz w:val="18"/>
              </w:rPr>
            </w:pPr>
            <w:r>
              <w:rPr>
                <w:rFonts w:ascii="Times New Roman" w:hAnsi="Times New Roman" w:cs="Times New Roman"/>
                <w:color w:val="000000"/>
                <w:sz w:val="18"/>
              </w:rPr>
              <w:t>и</w:t>
            </w:r>
          </w:p>
          <w:p w14:paraId="0D91E236" w14:textId="77777777" w:rsidR="000B0C76" w:rsidRPr="006640DC" w:rsidRDefault="000B0C76" w:rsidP="009C5C5A">
            <w:pPr>
              <w:jc w:val="center"/>
              <w:rPr>
                <w:rFonts w:ascii="Times New Roman" w:hAnsi="Times New Roman" w:cs="Times New Roman"/>
                <w:sz w:val="18"/>
              </w:rPr>
            </w:pPr>
            <w:r w:rsidRPr="006640DC">
              <w:rPr>
                <w:rFonts w:ascii="Times New Roman" w:hAnsi="Times New Roman" w:cs="Times New Roman"/>
                <w:color w:val="000000"/>
                <w:sz w:val="18"/>
              </w:rPr>
              <w:t>ЛПХ</w:t>
            </w:r>
          </w:p>
        </w:tc>
        <w:tc>
          <w:tcPr>
            <w:tcW w:w="338" w:type="pct"/>
            <w:vAlign w:val="center"/>
          </w:tcPr>
          <w:p w14:paraId="309FE16C" w14:textId="77777777" w:rsidR="000B0C76" w:rsidRPr="006640DC" w:rsidRDefault="000B0C76" w:rsidP="009C5C5A">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Н</w:t>
            </w:r>
            <w:r w:rsidRPr="006640DC">
              <w:rPr>
                <w:rFonts w:ascii="Times New Roman" w:hAnsi="Times New Roman" w:cs="Times New Roman"/>
                <w:color w:val="000000"/>
                <w:sz w:val="18"/>
              </w:rPr>
              <w:t>Т и ДНП</w:t>
            </w:r>
          </w:p>
        </w:tc>
        <w:tc>
          <w:tcPr>
            <w:tcW w:w="539" w:type="pct"/>
            <w:vAlign w:val="center"/>
          </w:tcPr>
          <w:p w14:paraId="0097C1BB" w14:textId="77777777" w:rsidR="000B0C76" w:rsidRPr="006640DC" w:rsidRDefault="000B0C76" w:rsidP="009C5C5A">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/х</w:t>
            </w:r>
            <w:r w:rsidRPr="006640DC">
              <w:rPr>
                <w:rFonts w:ascii="Times New Roman" w:hAnsi="Times New Roman" w:cs="Times New Roman"/>
                <w:color w:val="000000"/>
                <w:sz w:val="18"/>
              </w:rPr>
              <w:t xml:space="preserve"> назна</w:t>
            </w:r>
            <w:r>
              <w:rPr>
                <w:rFonts w:ascii="Times New Roman" w:hAnsi="Times New Roman" w:cs="Times New Roman"/>
                <w:color w:val="000000"/>
                <w:sz w:val="18"/>
              </w:rPr>
              <w:t>-</w:t>
            </w:r>
            <w:r w:rsidRPr="006640DC">
              <w:rPr>
                <w:rFonts w:ascii="Times New Roman" w:hAnsi="Times New Roman" w:cs="Times New Roman"/>
                <w:color w:val="000000"/>
                <w:sz w:val="18"/>
              </w:rPr>
              <w:t>чения</w:t>
            </w:r>
          </w:p>
        </w:tc>
        <w:tc>
          <w:tcPr>
            <w:tcW w:w="923" w:type="pct"/>
            <w:vAlign w:val="center"/>
          </w:tcPr>
          <w:p w14:paraId="58EFE013" w14:textId="77777777" w:rsidR="000B0C76" w:rsidRPr="006640DC" w:rsidRDefault="000B0C76" w:rsidP="009C5C5A">
            <w:pPr>
              <w:jc w:val="center"/>
              <w:rPr>
                <w:rFonts w:ascii="Times New Roman" w:hAnsi="Times New Roman" w:cs="Times New Roman"/>
                <w:sz w:val="18"/>
              </w:rPr>
            </w:pPr>
            <w:r w:rsidRPr="006640DC">
              <w:rPr>
                <w:rFonts w:ascii="Times New Roman" w:hAnsi="Times New Roman" w:cs="Times New Roman"/>
                <w:color w:val="000000"/>
                <w:sz w:val="18"/>
              </w:rPr>
              <w:t>сельскохозяйственного назначения с возможностью или перспективой строительства коммерческих зданий</w:t>
            </w:r>
          </w:p>
        </w:tc>
      </w:tr>
      <w:tr w:rsidR="000B0C76" w:rsidRPr="006640DC" w14:paraId="2D4517C4" w14:textId="77777777" w:rsidTr="009C5C5A">
        <w:trPr>
          <w:jc w:val="center"/>
        </w:trPr>
        <w:tc>
          <w:tcPr>
            <w:tcW w:w="614" w:type="pct"/>
            <w:vAlign w:val="center"/>
          </w:tcPr>
          <w:p w14:paraId="5241D1AD" w14:textId="77777777" w:rsidR="000B0C76" w:rsidRPr="006640DC" w:rsidRDefault="000B0C76" w:rsidP="009C5C5A">
            <w:pPr>
              <w:jc w:val="center"/>
              <w:rPr>
                <w:rFonts w:ascii="Times New Roman" w:hAnsi="Times New Roman" w:cs="Times New Roman"/>
              </w:rPr>
            </w:pPr>
            <w:r w:rsidRPr="006640DC">
              <w:rPr>
                <w:rFonts w:ascii="Times New Roman" w:hAnsi="Times New Roman" w:cs="Times New Roman"/>
                <w:color w:val="000000"/>
              </w:rPr>
              <w:t>01.01.2018 по 30.06.2018</w:t>
            </w:r>
          </w:p>
        </w:tc>
        <w:tc>
          <w:tcPr>
            <w:tcW w:w="539" w:type="pct"/>
            <w:vAlign w:val="center"/>
          </w:tcPr>
          <w:p w14:paraId="4215AA05"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5428694B" w14:textId="77777777" w:rsidR="000B0C76" w:rsidRPr="005960AF" w:rsidRDefault="000B0C76" w:rsidP="009C5C5A">
            <w:pPr>
              <w:jc w:val="center"/>
              <w:rPr>
                <w:rFonts w:ascii="Times New Roman" w:hAnsi="Times New Roman" w:cs="Times New Roman"/>
                <w:b/>
              </w:rPr>
            </w:pPr>
            <w:r w:rsidRPr="005960AF">
              <w:rPr>
                <w:rFonts w:ascii="Times New Roman" w:hAnsi="Times New Roman" w:cs="Times New Roman"/>
                <w:b/>
              </w:rPr>
              <w:t>0,99</w:t>
            </w:r>
          </w:p>
        </w:tc>
        <w:tc>
          <w:tcPr>
            <w:tcW w:w="846" w:type="pct"/>
            <w:vAlign w:val="center"/>
          </w:tcPr>
          <w:p w14:paraId="2D5C362B"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1,31</w:t>
            </w:r>
          </w:p>
        </w:tc>
        <w:tc>
          <w:tcPr>
            <w:tcW w:w="355" w:type="pct"/>
            <w:vAlign w:val="center"/>
          </w:tcPr>
          <w:p w14:paraId="4596D3E1"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1,16</w:t>
            </w:r>
          </w:p>
        </w:tc>
        <w:tc>
          <w:tcPr>
            <w:tcW w:w="338" w:type="pct"/>
            <w:vAlign w:val="center"/>
          </w:tcPr>
          <w:p w14:paraId="464B4AC9"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1,14</w:t>
            </w:r>
          </w:p>
        </w:tc>
        <w:tc>
          <w:tcPr>
            <w:tcW w:w="539" w:type="pct"/>
            <w:vAlign w:val="center"/>
          </w:tcPr>
          <w:p w14:paraId="5180D803" w14:textId="77777777" w:rsidR="000B0C76" w:rsidRPr="00F22DF9" w:rsidRDefault="000B0C76" w:rsidP="009C5C5A">
            <w:pPr>
              <w:jc w:val="center"/>
              <w:rPr>
                <w:rFonts w:ascii="Times New Roman" w:hAnsi="Times New Roman" w:cs="Times New Roman"/>
                <w:b/>
              </w:rPr>
            </w:pPr>
            <w:r w:rsidRPr="00F22DF9">
              <w:rPr>
                <w:rFonts w:ascii="Times New Roman" w:hAnsi="Times New Roman" w:cs="Times New Roman"/>
              </w:rPr>
              <w:t>1,15</w:t>
            </w:r>
          </w:p>
        </w:tc>
        <w:tc>
          <w:tcPr>
            <w:tcW w:w="923" w:type="pct"/>
            <w:vAlign w:val="center"/>
          </w:tcPr>
          <w:p w14:paraId="56EBC082"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1,11</w:t>
            </w:r>
          </w:p>
        </w:tc>
      </w:tr>
      <w:tr w:rsidR="000B0C76" w:rsidRPr="006640DC" w14:paraId="55BF7717" w14:textId="77777777" w:rsidTr="009C5C5A">
        <w:trPr>
          <w:jc w:val="center"/>
        </w:trPr>
        <w:tc>
          <w:tcPr>
            <w:tcW w:w="614" w:type="pct"/>
            <w:vAlign w:val="center"/>
          </w:tcPr>
          <w:p w14:paraId="4EAD7A31" w14:textId="77777777" w:rsidR="000B0C76" w:rsidRPr="006640DC" w:rsidRDefault="000B0C76" w:rsidP="009C5C5A">
            <w:pPr>
              <w:jc w:val="center"/>
              <w:rPr>
                <w:rFonts w:ascii="Times New Roman" w:hAnsi="Times New Roman" w:cs="Times New Roman"/>
              </w:rPr>
            </w:pPr>
            <w:r w:rsidRPr="006640DC">
              <w:rPr>
                <w:rFonts w:ascii="Times New Roman" w:hAnsi="Times New Roman" w:cs="Times New Roman"/>
                <w:color w:val="000000"/>
              </w:rPr>
              <w:t>01.07.2018 по 31.12.2018</w:t>
            </w:r>
          </w:p>
        </w:tc>
        <w:tc>
          <w:tcPr>
            <w:tcW w:w="539" w:type="pct"/>
            <w:vAlign w:val="center"/>
          </w:tcPr>
          <w:p w14:paraId="70358848"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50BA343B" w14:textId="77777777" w:rsidR="000B0C76" w:rsidRPr="005960AF" w:rsidRDefault="000B0C76" w:rsidP="009C5C5A">
            <w:pPr>
              <w:jc w:val="center"/>
              <w:rPr>
                <w:rFonts w:ascii="Times New Roman" w:hAnsi="Times New Roman" w:cs="Times New Roman"/>
                <w:b/>
              </w:rPr>
            </w:pPr>
            <w:r w:rsidRPr="005960AF">
              <w:rPr>
                <w:rFonts w:ascii="Times New Roman" w:hAnsi="Times New Roman" w:cs="Times New Roman"/>
                <w:b/>
              </w:rPr>
              <w:t>0,99</w:t>
            </w:r>
          </w:p>
        </w:tc>
        <w:tc>
          <w:tcPr>
            <w:tcW w:w="846" w:type="pct"/>
            <w:vAlign w:val="center"/>
          </w:tcPr>
          <w:p w14:paraId="1272A1DD"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1,30</w:t>
            </w:r>
          </w:p>
        </w:tc>
        <w:tc>
          <w:tcPr>
            <w:tcW w:w="355" w:type="pct"/>
            <w:vAlign w:val="center"/>
          </w:tcPr>
          <w:p w14:paraId="52B85A60"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1,17</w:t>
            </w:r>
          </w:p>
        </w:tc>
        <w:tc>
          <w:tcPr>
            <w:tcW w:w="338" w:type="pct"/>
            <w:vAlign w:val="center"/>
          </w:tcPr>
          <w:p w14:paraId="056FEC78"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1,15</w:t>
            </w:r>
          </w:p>
        </w:tc>
        <w:tc>
          <w:tcPr>
            <w:tcW w:w="539" w:type="pct"/>
            <w:vAlign w:val="center"/>
          </w:tcPr>
          <w:p w14:paraId="31CF7809" w14:textId="77777777" w:rsidR="000B0C76" w:rsidRPr="00F22DF9" w:rsidRDefault="000B0C76" w:rsidP="009C5C5A">
            <w:pPr>
              <w:jc w:val="center"/>
              <w:rPr>
                <w:rFonts w:ascii="Times New Roman" w:hAnsi="Times New Roman" w:cs="Times New Roman"/>
                <w:b/>
              </w:rPr>
            </w:pPr>
            <w:r w:rsidRPr="00F22DF9">
              <w:rPr>
                <w:rFonts w:ascii="Times New Roman" w:hAnsi="Times New Roman" w:cs="Times New Roman"/>
              </w:rPr>
              <w:t>1,14</w:t>
            </w:r>
          </w:p>
        </w:tc>
        <w:tc>
          <w:tcPr>
            <w:tcW w:w="923" w:type="pct"/>
            <w:vAlign w:val="center"/>
          </w:tcPr>
          <w:p w14:paraId="7F3CACD6"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1,13</w:t>
            </w:r>
          </w:p>
        </w:tc>
      </w:tr>
      <w:tr w:rsidR="000B0C76" w:rsidRPr="006640DC" w14:paraId="31AF8270" w14:textId="77777777" w:rsidTr="009C5C5A">
        <w:trPr>
          <w:jc w:val="center"/>
        </w:trPr>
        <w:tc>
          <w:tcPr>
            <w:tcW w:w="614" w:type="pct"/>
            <w:vAlign w:val="center"/>
          </w:tcPr>
          <w:p w14:paraId="2D48962E" w14:textId="77777777" w:rsidR="000B0C76" w:rsidRPr="006640DC" w:rsidRDefault="000B0C76" w:rsidP="009C5C5A">
            <w:pPr>
              <w:jc w:val="center"/>
              <w:rPr>
                <w:rFonts w:ascii="Times New Roman" w:hAnsi="Times New Roman" w:cs="Times New Roman"/>
              </w:rPr>
            </w:pPr>
            <w:r w:rsidRPr="006640DC">
              <w:rPr>
                <w:rFonts w:ascii="Times New Roman" w:hAnsi="Times New Roman" w:cs="Times New Roman"/>
                <w:color w:val="000000"/>
              </w:rPr>
              <w:t>01.01.2019 по 30.06.2019</w:t>
            </w:r>
          </w:p>
        </w:tc>
        <w:tc>
          <w:tcPr>
            <w:tcW w:w="539" w:type="pct"/>
            <w:vAlign w:val="center"/>
          </w:tcPr>
          <w:p w14:paraId="54B640F8"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6EE75743" w14:textId="77777777" w:rsidR="000B0C76" w:rsidRPr="005960AF" w:rsidRDefault="000B0C76" w:rsidP="009C5C5A">
            <w:pPr>
              <w:jc w:val="center"/>
              <w:rPr>
                <w:rFonts w:ascii="Times New Roman" w:hAnsi="Times New Roman" w:cs="Times New Roman"/>
                <w:b/>
              </w:rPr>
            </w:pPr>
            <w:r w:rsidRPr="005960AF">
              <w:rPr>
                <w:rFonts w:ascii="Times New Roman" w:hAnsi="Times New Roman" w:cs="Times New Roman"/>
                <w:b/>
              </w:rPr>
              <w:t>0,99</w:t>
            </w:r>
          </w:p>
        </w:tc>
        <w:tc>
          <w:tcPr>
            <w:tcW w:w="846" w:type="pct"/>
            <w:vAlign w:val="center"/>
          </w:tcPr>
          <w:p w14:paraId="3C0B9821"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1,28</w:t>
            </w:r>
          </w:p>
        </w:tc>
        <w:tc>
          <w:tcPr>
            <w:tcW w:w="355" w:type="pct"/>
            <w:vAlign w:val="center"/>
          </w:tcPr>
          <w:p w14:paraId="23D80E52"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1,17</w:t>
            </w:r>
          </w:p>
        </w:tc>
        <w:tc>
          <w:tcPr>
            <w:tcW w:w="338" w:type="pct"/>
            <w:vAlign w:val="center"/>
          </w:tcPr>
          <w:p w14:paraId="32AA1B95"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1,15</w:t>
            </w:r>
          </w:p>
        </w:tc>
        <w:tc>
          <w:tcPr>
            <w:tcW w:w="539" w:type="pct"/>
            <w:vAlign w:val="center"/>
          </w:tcPr>
          <w:p w14:paraId="42F0FB05" w14:textId="77777777" w:rsidR="000B0C76" w:rsidRPr="00F22DF9" w:rsidRDefault="000B0C76" w:rsidP="009C5C5A">
            <w:pPr>
              <w:jc w:val="center"/>
              <w:rPr>
                <w:rFonts w:ascii="Times New Roman" w:hAnsi="Times New Roman" w:cs="Times New Roman"/>
                <w:b/>
              </w:rPr>
            </w:pPr>
            <w:r w:rsidRPr="00F22DF9">
              <w:rPr>
                <w:rFonts w:ascii="Times New Roman" w:hAnsi="Times New Roman" w:cs="Times New Roman"/>
              </w:rPr>
              <w:t>1,12</w:t>
            </w:r>
          </w:p>
        </w:tc>
        <w:tc>
          <w:tcPr>
            <w:tcW w:w="923" w:type="pct"/>
            <w:vAlign w:val="center"/>
          </w:tcPr>
          <w:p w14:paraId="31DACB21"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1,13</w:t>
            </w:r>
          </w:p>
        </w:tc>
      </w:tr>
      <w:tr w:rsidR="000B0C76" w:rsidRPr="006640DC" w14:paraId="453588F2" w14:textId="77777777" w:rsidTr="009C5C5A">
        <w:trPr>
          <w:jc w:val="center"/>
        </w:trPr>
        <w:tc>
          <w:tcPr>
            <w:tcW w:w="614" w:type="pct"/>
            <w:vAlign w:val="center"/>
          </w:tcPr>
          <w:p w14:paraId="352BC72C" w14:textId="77777777" w:rsidR="000B0C76" w:rsidRPr="006640DC" w:rsidRDefault="000B0C76" w:rsidP="009C5C5A">
            <w:pPr>
              <w:jc w:val="center"/>
              <w:rPr>
                <w:rFonts w:ascii="Times New Roman" w:hAnsi="Times New Roman" w:cs="Times New Roman"/>
              </w:rPr>
            </w:pPr>
            <w:r w:rsidRPr="006640DC">
              <w:rPr>
                <w:rFonts w:ascii="Times New Roman" w:hAnsi="Times New Roman" w:cs="Times New Roman"/>
                <w:color w:val="000000"/>
              </w:rPr>
              <w:t>01.07.2019 по 31.12.2019</w:t>
            </w:r>
          </w:p>
        </w:tc>
        <w:tc>
          <w:tcPr>
            <w:tcW w:w="539" w:type="pct"/>
            <w:vAlign w:val="center"/>
          </w:tcPr>
          <w:p w14:paraId="6B84BD92"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1,03</w:t>
            </w:r>
          </w:p>
        </w:tc>
        <w:tc>
          <w:tcPr>
            <w:tcW w:w="846" w:type="pct"/>
            <w:vAlign w:val="center"/>
          </w:tcPr>
          <w:p w14:paraId="5E697B08" w14:textId="77777777" w:rsidR="000B0C76" w:rsidRPr="005960AF" w:rsidRDefault="000B0C76" w:rsidP="009C5C5A">
            <w:pPr>
              <w:jc w:val="center"/>
              <w:rPr>
                <w:rFonts w:ascii="Times New Roman" w:hAnsi="Times New Roman" w:cs="Times New Roman"/>
                <w:b/>
              </w:rPr>
            </w:pPr>
            <w:r w:rsidRPr="005960AF">
              <w:rPr>
                <w:rFonts w:ascii="Times New Roman" w:hAnsi="Times New Roman" w:cs="Times New Roman"/>
                <w:b/>
              </w:rPr>
              <w:t>0,97</w:t>
            </w:r>
          </w:p>
        </w:tc>
        <w:tc>
          <w:tcPr>
            <w:tcW w:w="846" w:type="pct"/>
            <w:vAlign w:val="center"/>
          </w:tcPr>
          <w:p w14:paraId="0FA1B874"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1,24</w:t>
            </w:r>
          </w:p>
        </w:tc>
        <w:tc>
          <w:tcPr>
            <w:tcW w:w="355" w:type="pct"/>
            <w:vAlign w:val="center"/>
          </w:tcPr>
          <w:p w14:paraId="4A2DE5C0"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1,15</w:t>
            </w:r>
          </w:p>
        </w:tc>
        <w:tc>
          <w:tcPr>
            <w:tcW w:w="338" w:type="pct"/>
            <w:vAlign w:val="center"/>
          </w:tcPr>
          <w:p w14:paraId="5DD3C5A6"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1,13</w:t>
            </w:r>
          </w:p>
        </w:tc>
        <w:tc>
          <w:tcPr>
            <w:tcW w:w="539" w:type="pct"/>
            <w:vAlign w:val="center"/>
          </w:tcPr>
          <w:p w14:paraId="20525569" w14:textId="77777777" w:rsidR="000B0C76" w:rsidRPr="00F22DF9" w:rsidRDefault="000B0C76" w:rsidP="009C5C5A">
            <w:pPr>
              <w:jc w:val="center"/>
              <w:rPr>
                <w:rFonts w:ascii="Times New Roman" w:hAnsi="Times New Roman" w:cs="Times New Roman"/>
                <w:b/>
              </w:rPr>
            </w:pPr>
            <w:r w:rsidRPr="00F22DF9">
              <w:rPr>
                <w:rFonts w:ascii="Times New Roman" w:hAnsi="Times New Roman" w:cs="Times New Roman"/>
              </w:rPr>
              <w:t>1,08</w:t>
            </w:r>
          </w:p>
        </w:tc>
        <w:tc>
          <w:tcPr>
            <w:tcW w:w="923" w:type="pct"/>
            <w:vAlign w:val="center"/>
          </w:tcPr>
          <w:p w14:paraId="11A36A66"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1,10</w:t>
            </w:r>
          </w:p>
        </w:tc>
      </w:tr>
      <w:tr w:rsidR="000B0C76" w:rsidRPr="006640DC" w14:paraId="5FCF91E7" w14:textId="77777777" w:rsidTr="009C5C5A">
        <w:trPr>
          <w:jc w:val="center"/>
        </w:trPr>
        <w:tc>
          <w:tcPr>
            <w:tcW w:w="614" w:type="pct"/>
            <w:vAlign w:val="center"/>
          </w:tcPr>
          <w:p w14:paraId="31D3871A" w14:textId="77777777" w:rsidR="000B0C76" w:rsidRPr="006640DC" w:rsidRDefault="000B0C76" w:rsidP="009C5C5A">
            <w:pPr>
              <w:jc w:val="center"/>
              <w:rPr>
                <w:rFonts w:ascii="Times New Roman" w:hAnsi="Times New Roman" w:cs="Times New Roman"/>
              </w:rPr>
            </w:pPr>
            <w:r w:rsidRPr="006640DC">
              <w:rPr>
                <w:rFonts w:ascii="Times New Roman" w:hAnsi="Times New Roman" w:cs="Times New Roman"/>
                <w:color w:val="000000"/>
              </w:rPr>
              <w:t>01.01.2020 по 30.06.2020</w:t>
            </w:r>
          </w:p>
        </w:tc>
        <w:tc>
          <w:tcPr>
            <w:tcW w:w="539" w:type="pct"/>
            <w:vAlign w:val="center"/>
          </w:tcPr>
          <w:p w14:paraId="1AF2CC76"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1,01</w:t>
            </w:r>
          </w:p>
        </w:tc>
        <w:tc>
          <w:tcPr>
            <w:tcW w:w="846" w:type="pct"/>
            <w:vAlign w:val="center"/>
          </w:tcPr>
          <w:p w14:paraId="6F9A8070" w14:textId="77777777" w:rsidR="000B0C76" w:rsidRPr="005960AF" w:rsidRDefault="000B0C76" w:rsidP="009C5C5A">
            <w:pPr>
              <w:jc w:val="center"/>
              <w:rPr>
                <w:rFonts w:ascii="Times New Roman" w:hAnsi="Times New Roman" w:cs="Times New Roman"/>
                <w:b/>
              </w:rPr>
            </w:pPr>
            <w:r w:rsidRPr="005960AF">
              <w:rPr>
                <w:rFonts w:ascii="Times New Roman" w:hAnsi="Times New Roman" w:cs="Times New Roman"/>
                <w:b/>
              </w:rPr>
              <w:t>0,95</w:t>
            </w:r>
          </w:p>
        </w:tc>
        <w:tc>
          <w:tcPr>
            <w:tcW w:w="846" w:type="pct"/>
            <w:vAlign w:val="center"/>
          </w:tcPr>
          <w:p w14:paraId="153E4406"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1,19</w:t>
            </w:r>
          </w:p>
        </w:tc>
        <w:tc>
          <w:tcPr>
            <w:tcW w:w="355" w:type="pct"/>
            <w:vAlign w:val="center"/>
          </w:tcPr>
          <w:p w14:paraId="10C44D0F"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1,14</w:t>
            </w:r>
          </w:p>
        </w:tc>
        <w:tc>
          <w:tcPr>
            <w:tcW w:w="338" w:type="pct"/>
            <w:vAlign w:val="center"/>
          </w:tcPr>
          <w:p w14:paraId="55CCF8BD"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1,10</w:t>
            </w:r>
          </w:p>
        </w:tc>
        <w:tc>
          <w:tcPr>
            <w:tcW w:w="539" w:type="pct"/>
            <w:vAlign w:val="center"/>
          </w:tcPr>
          <w:p w14:paraId="336F3EA8" w14:textId="77777777" w:rsidR="000B0C76" w:rsidRPr="00F22DF9" w:rsidRDefault="000B0C76" w:rsidP="009C5C5A">
            <w:pPr>
              <w:jc w:val="center"/>
              <w:rPr>
                <w:rFonts w:ascii="Times New Roman" w:hAnsi="Times New Roman" w:cs="Times New Roman"/>
                <w:b/>
              </w:rPr>
            </w:pPr>
            <w:r w:rsidRPr="00F22DF9">
              <w:rPr>
                <w:rFonts w:ascii="Times New Roman" w:hAnsi="Times New Roman" w:cs="Times New Roman"/>
              </w:rPr>
              <w:t>1,05</w:t>
            </w:r>
          </w:p>
        </w:tc>
        <w:tc>
          <w:tcPr>
            <w:tcW w:w="923" w:type="pct"/>
            <w:vAlign w:val="center"/>
          </w:tcPr>
          <w:p w14:paraId="4DC37E42"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1,08</w:t>
            </w:r>
          </w:p>
        </w:tc>
      </w:tr>
      <w:tr w:rsidR="000B0C76" w:rsidRPr="006640DC" w14:paraId="11DAF31B" w14:textId="77777777" w:rsidTr="009C5C5A">
        <w:trPr>
          <w:jc w:val="center"/>
        </w:trPr>
        <w:tc>
          <w:tcPr>
            <w:tcW w:w="614" w:type="pct"/>
            <w:vAlign w:val="center"/>
          </w:tcPr>
          <w:p w14:paraId="391D2249" w14:textId="77777777" w:rsidR="000B0C76" w:rsidRPr="006640DC" w:rsidRDefault="000B0C76" w:rsidP="009C5C5A">
            <w:pPr>
              <w:jc w:val="center"/>
              <w:rPr>
                <w:rFonts w:ascii="Times New Roman" w:hAnsi="Times New Roman" w:cs="Times New Roman"/>
              </w:rPr>
            </w:pPr>
            <w:r w:rsidRPr="006640DC">
              <w:rPr>
                <w:rFonts w:ascii="Times New Roman" w:hAnsi="Times New Roman" w:cs="Times New Roman"/>
                <w:color w:val="000000"/>
              </w:rPr>
              <w:t>01.07.2020 по 31.12.2020</w:t>
            </w:r>
          </w:p>
        </w:tc>
        <w:tc>
          <w:tcPr>
            <w:tcW w:w="539" w:type="pct"/>
            <w:vAlign w:val="center"/>
          </w:tcPr>
          <w:p w14:paraId="2DB91C6B"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1,05</w:t>
            </w:r>
          </w:p>
        </w:tc>
        <w:tc>
          <w:tcPr>
            <w:tcW w:w="846" w:type="pct"/>
            <w:vAlign w:val="center"/>
          </w:tcPr>
          <w:p w14:paraId="3183FCCE" w14:textId="77777777" w:rsidR="000B0C76" w:rsidRPr="005960AF" w:rsidRDefault="000B0C76" w:rsidP="009C5C5A">
            <w:pPr>
              <w:jc w:val="center"/>
              <w:rPr>
                <w:rFonts w:ascii="Times New Roman" w:hAnsi="Times New Roman" w:cs="Times New Roman"/>
                <w:b/>
              </w:rPr>
            </w:pPr>
            <w:r w:rsidRPr="005960AF">
              <w:rPr>
                <w:rFonts w:ascii="Times New Roman" w:hAnsi="Times New Roman" w:cs="Times New Roman"/>
                <w:b/>
              </w:rPr>
              <w:t>0,98</w:t>
            </w:r>
          </w:p>
        </w:tc>
        <w:tc>
          <w:tcPr>
            <w:tcW w:w="846" w:type="pct"/>
            <w:vAlign w:val="center"/>
          </w:tcPr>
          <w:p w14:paraId="2F862CB3"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1,17</w:t>
            </w:r>
          </w:p>
        </w:tc>
        <w:tc>
          <w:tcPr>
            <w:tcW w:w="355" w:type="pct"/>
            <w:vAlign w:val="center"/>
          </w:tcPr>
          <w:p w14:paraId="496D9BE7"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1,11</w:t>
            </w:r>
          </w:p>
        </w:tc>
        <w:tc>
          <w:tcPr>
            <w:tcW w:w="338" w:type="pct"/>
            <w:vAlign w:val="center"/>
          </w:tcPr>
          <w:p w14:paraId="0D02D4B2"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1,09</w:t>
            </w:r>
          </w:p>
        </w:tc>
        <w:tc>
          <w:tcPr>
            <w:tcW w:w="539" w:type="pct"/>
            <w:vAlign w:val="center"/>
          </w:tcPr>
          <w:p w14:paraId="40A67A18" w14:textId="77777777" w:rsidR="000B0C76" w:rsidRPr="00F22DF9" w:rsidRDefault="000B0C76" w:rsidP="009C5C5A">
            <w:pPr>
              <w:jc w:val="center"/>
              <w:rPr>
                <w:rFonts w:ascii="Times New Roman" w:hAnsi="Times New Roman" w:cs="Times New Roman"/>
                <w:b/>
              </w:rPr>
            </w:pPr>
            <w:r w:rsidRPr="00F22DF9">
              <w:rPr>
                <w:rFonts w:ascii="Times New Roman" w:hAnsi="Times New Roman" w:cs="Times New Roman"/>
              </w:rPr>
              <w:t>1,03</w:t>
            </w:r>
          </w:p>
        </w:tc>
        <w:tc>
          <w:tcPr>
            <w:tcW w:w="923" w:type="pct"/>
            <w:vAlign w:val="center"/>
          </w:tcPr>
          <w:p w14:paraId="4DA6C4DB"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1,07</w:t>
            </w:r>
          </w:p>
        </w:tc>
      </w:tr>
      <w:tr w:rsidR="000B0C76" w:rsidRPr="006640DC" w14:paraId="1A94B941" w14:textId="77777777" w:rsidTr="009C5C5A">
        <w:trPr>
          <w:jc w:val="center"/>
        </w:trPr>
        <w:tc>
          <w:tcPr>
            <w:tcW w:w="614" w:type="pct"/>
            <w:vAlign w:val="center"/>
          </w:tcPr>
          <w:p w14:paraId="17AD1BB7" w14:textId="77777777" w:rsidR="000B0C76" w:rsidRPr="006640DC" w:rsidRDefault="000B0C76" w:rsidP="009C5C5A">
            <w:pPr>
              <w:jc w:val="center"/>
              <w:rPr>
                <w:rFonts w:ascii="Times New Roman" w:hAnsi="Times New Roman" w:cs="Times New Roman"/>
              </w:rPr>
            </w:pPr>
            <w:r w:rsidRPr="006640DC">
              <w:rPr>
                <w:rFonts w:ascii="Times New Roman" w:hAnsi="Times New Roman" w:cs="Times New Roman"/>
                <w:color w:val="000000"/>
              </w:rPr>
              <w:t>01.01.2021 по 30.06.2021</w:t>
            </w:r>
          </w:p>
        </w:tc>
        <w:tc>
          <w:tcPr>
            <w:tcW w:w="539" w:type="pct"/>
            <w:vAlign w:val="center"/>
          </w:tcPr>
          <w:p w14:paraId="670D0B34"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7A73ADEB" w14:textId="77777777" w:rsidR="000B0C76" w:rsidRPr="005960AF" w:rsidRDefault="000B0C76" w:rsidP="009C5C5A">
            <w:pPr>
              <w:jc w:val="center"/>
              <w:rPr>
                <w:rFonts w:ascii="Times New Roman" w:hAnsi="Times New Roman" w:cs="Times New Roman"/>
                <w:b/>
              </w:rPr>
            </w:pPr>
            <w:r w:rsidRPr="005960AF">
              <w:rPr>
                <w:rFonts w:ascii="Times New Roman" w:hAnsi="Times New Roman" w:cs="Times New Roman"/>
                <w:b/>
              </w:rPr>
              <w:t>0,98</w:t>
            </w:r>
          </w:p>
        </w:tc>
        <w:tc>
          <w:tcPr>
            <w:tcW w:w="846" w:type="pct"/>
            <w:vAlign w:val="center"/>
          </w:tcPr>
          <w:p w14:paraId="42E3FD04"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1,07</w:t>
            </w:r>
          </w:p>
        </w:tc>
        <w:tc>
          <w:tcPr>
            <w:tcW w:w="355" w:type="pct"/>
            <w:vAlign w:val="center"/>
          </w:tcPr>
          <w:p w14:paraId="3F6E6AFA"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1,06</w:t>
            </w:r>
          </w:p>
        </w:tc>
        <w:tc>
          <w:tcPr>
            <w:tcW w:w="338" w:type="pct"/>
            <w:vAlign w:val="center"/>
          </w:tcPr>
          <w:p w14:paraId="0A0AE193"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1,04</w:t>
            </w:r>
          </w:p>
        </w:tc>
        <w:tc>
          <w:tcPr>
            <w:tcW w:w="539" w:type="pct"/>
            <w:vAlign w:val="center"/>
          </w:tcPr>
          <w:p w14:paraId="5E7C7554" w14:textId="77777777" w:rsidR="000B0C76" w:rsidRPr="00F22DF9" w:rsidRDefault="000B0C76" w:rsidP="009C5C5A">
            <w:pPr>
              <w:jc w:val="center"/>
              <w:rPr>
                <w:rFonts w:ascii="Times New Roman" w:hAnsi="Times New Roman" w:cs="Times New Roman"/>
                <w:b/>
              </w:rPr>
            </w:pPr>
            <w:r w:rsidRPr="00F22DF9">
              <w:rPr>
                <w:rFonts w:ascii="Times New Roman" w:hAnsi="Times New Roman" w:cs="Times New Roman"/>
              </w:rPr>
              <w:t>1,01</w:t>
            </w:r>
          </w:p>
        </w:tc>
        <w:tc>
          <w:tcPr>
            <w:tcW w:w="923" w:type="pct"/>
            <w:vAlign w:val="center"/>
          </w:tcPr>
          <w:p w14:paraId="67AE08CE"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1,02</w:t>
            </w:r>
          </w:p>
        </w:tc>
      </w:tr>
      <w:tr w:rsidR="000B0C76" w:rsidRPr="006640DC" w14:paraId="47E47D15" w14:textId="77777777" w:rsidTr="009C5C5A">
        <w:trPr>
          <w:jc w:val="center"/>
        </w:trPr>
        <w:tc>
          <w:tcPr>
            <w:tcW w:w="614" w:type="pct"/>
            <w:vAlign w:val="center"/>
          </w:tcPr>
          <w:p w14:paraId="5693B419" w14:textId="77777777" w:rsidR="000B0C76" w:rsidRPr="006640DC" w:rsidRDefault="000B0C76" w:rsidP="009C5C5A">
            <w:pPr>
              <w:jc w:val="center"/>
              <w:rPr>
                <w:rFonts w:ascii="Times New Roman" w:hAnsi="Times New Roman" w:cs="Times New Roman"/>
              </w:rPr>
            </w:pPr>
            <w:r w:rsidRPr="006640DC">
              <w:rPr>
                <w:rFonts w:ascii="Times New Roman" w:hAnsi="Times New Roman" w:cs="Times New Roman"/>
                <w:color w:val="000000"/>
              </w:rPr>
              <w:t>01.07.2021 по 31.12.2021</w:t>
            </w:r>
          </w:p>
        </w:tc>
        <w:tc>
          <w:tcPr>
            <w:tcW w:w="539" w:type="pct"/>
            <w:vAlign w:val="center"/>
          </w:tcPr>
          <w:p w14:paraId="7B7119D7"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1,02</w:t>
            </w:r>
          </w:p>
        </w:tc>
        <w:tc>
          <w:tcPr>
            <w:tcW w:w="846" w:type="pct"/>
            <w:vAlign w:val="center"/>
          </w:tcPr>
          <w:p w14:paraId="3CF9497D" w14:textId="77777777" w:rsidR="000B0C76" w:rsidRPr="005960AF" w:rsidRDefault="000B0C76" w:rsidP="009C5C5A">
            <w:pPr>
              <w:jc w:val="center"/>
              <w:rPr>
                <w:rFonts w:ascii="Times New Roman" w:hAnsi="Times New Roman" w:cs="Times New Roman"/>
                <w:b/>
              </w:rPr>
            </w:pPr>
            <w:r w:rsidRPr="005960AF">
              <w:rPr>
                <w:rFonts w:ascii="Times New Roman" w:hAnsi="Times New Roman" w:cs="Times New Roman"/>
                <w:b/>
              </w:rPr>
              <w:t>0,98</w:t>
            </w:r>
          </w:p>
        </w:tc>
        <w:tc>
          <w:tcPr>
            <w:tcW w:w="846" w:type="pct"/>
            <w:vAlign w:val="center"/>
          </w:tcPr>
          <w:p w14:paraId="428507F8"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1,03</w:t>
            </w:r>
          </w:p>
        </w:tc>
        <w:tc>
          <w:tcPr>
            <w:tcW w:w="355" w:type="pct"/>
            <w:vAlign w:val="center"/>
          </w:tcPr>
          <w:p w14:paraId="048F7A7B"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1,04</w:t>
            </w:r>
          </w:p>
        </w:tc>
        <w:tc>
          <w:tcPr>
            <w:tcW w:w="338" w:type="pct"/>
            <w:vAlign w:val="center"/>
          </w:tcPr>
          <w:p w14:paraId="0F5A7BCE"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1,01</w:t>
            </w:r>
          </w:p>
        </w:tc>
        <w:tc>
          <w:tcPr>
            <w:tcW w:w="539" w:type="pct"/>
            <w:vAlign w:val="center"/>
          </w:tcPr>
          <w:p w14:paraId="1D4C4D61" w14:textId="77777777" w:rsidR="000B0C76" w:rsidRPr="00F22DF9" w:rsidRDefault="000B0C76" w:rsidP="009C5C5A">
            <w:pPr>
              <w:jc w:val="center"/>
              <w:rPr>
                <w:rFonts w:ascii="Times New Roman" w:hAnsi="Times New Roman" w:cs="Times New Roman"/>
                <w:b/>
              </w:rPr>
            </w:pPr>
            <w:r w:rsidRPr="00F22DF9">
              <w:rPr>
                <w:rFonts w:ascii="Times New Roman" w:hAnsi="Times New Roman" w:cs="Times New Roman"/>
              </w:rPr>
              <w:t>1,01</w:t>
            </w:r>
          </w:p>
        </w:tc>
        <w:tc>
          <w:tcPr>
            <w:tcW w:w="923" w:type="pct"/>
            <w:vAlign w:val="center"/>
          </w:tcPr>
          <w:p w14:paraId="134136EA"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1,01</w:t>
            </w:r>
          </w:p>
        </w:tc>
      </w:tr>
    </w:tbl>
    <w:p w14:paraId="239F72CF" w14:textId="77777777" w:rsidR="000B0C76" w:rsidRPr="00945FC1" w:rsidRDefault="000B0C76" w:rsidP="000B0C76">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право</w:t>
      </w:r>
    </w:p>
    <w:p w14:paraId="3704436B" w14:textId="77777777" w:rsidR="000B0C76" w:rsidRDefault="000B0C76" w:rsidP="000B0C76">
      <w:pPr>
        <w:spacing w:after="0" w:line="300" w:lineRule="auto"/>
        <w:ind w:firstLine="567"/>
        <w:jc w:val="both"/>
        <w:rPr>
          <w:rFonts w:ascii="Times New Roman" w:hAnsi="Times New Roman" w:cs="Times New Roman"/>
          <w:sz w:val="26"/>
          <w:szCs w:val="26"/>
          <w:u w:val="single"/>
        </w:rPr>
      </w:pPr>
      <w:r>
        <w:rPr>
          <w:rFonts w:ascii="Times New Roman" w:hAnsi="Times New Roman" w:cs="Times New Roman"/>
          <w:sz w:val="26"/>
          <w:szCs w:val="26"/>
        </w:rPr>
        <w:t xml:space="preserve">В случае, если продается земельный участок, предоставленный в аренду, необходимо вносить корректировку на вид права. </w:t>
      </w:r>
      <w:r>
        <w:rPr>
          <w:rFonts w:ascii="Times New Roman" w:eastAsia="Calibri" w:hAnsi="Times New Roman" w:cs="Times New Roman"/>
          <w:sz w:val="26"/>
          <w:szCs w:val="26"/>
        </w:rPr>
        <w:t>Величина корректировки на право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110" w:history="1">
        <w:r w:rsidRPr="00A67AF4">
          <w:rPr>
            <w:rStyle w:val="ad"/>
            <w:rFonts w:cs="Times New Roman"/>
            <w:szCs w:val="26"/>
          </w:rPr>
          <w:t>https://statrielt.ru/</w:t>
        </w:r>
      </w:hyperlink>
      <w:r w:rsidRPr="00A67AF4">
        <w:rPr>
          <w:rFonts w:ascii="Times New Roman" w:hAnsi="Times New Roman" w:cs="Times New Roman"/>
          <w:sz w:val="26"/>
          <w:szCs w:val="26"/>
        </w:rPr>
        <w:t>).</w:t>
      </w:r>
    </w:p>
    <w:p w14:paraId="399B4001" w14:textId="77777777" w:rsidR="000B0C76" w:rsidRDefault="000B0C76" w:rsidP="000B0C76">
      <w:pPr>
        <w:jc w:val="center"/>
      </w:pPr>
      <w:r w:rsidRPr="00A2009E">
        <w:rPr>
          <w:noProof/>
          <w:lang w:eastAsia="ru-RU"/>
        </w:rPr>
        <w:drawing>
          <wp:inline distT="0" distB="0" distL="0" distR="0" wp14:anchorId="4E15F4D5" wp14:editId="7B016959">
            <wp:extent cx="5940425" cy="4081780"/>
            <wp:effectExtent l="0" t="0" r="317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4081780"/>
                    </a:xfrm>
                    <a:prstGeom prst="rect">
                      <a:avLst/>
                    </a:prstGeom>
                  </pic:spPr>
                </pic:pic>
              </a:graphicData>
            </a:graphic>
          </wp:inline>
        </w:drawing>
      </w:r>
    </w:p>
    <w:p w14:paraId="13F341EE" w14:textId="0F3BB851" w:rsidR="000B0C76" w:rsidRPr="00A67AF4" w:rsidRDefault="000B0C76" w:rsidP="000B0C76">
      <w:pPr>
        <w:spacing w:after="0" w:line="30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Рис.3.2.9- Корректировка на право аренды земельного участка по отношению к собственному земельному </w:t>
      </w:r>
      <w:r w:rsidRPr="00A67AF4">
        <w:rPr>
          <w:rFonts w:ascii="Times New Roman" w:eastAsia="Calibri" w:hAnsi="Times New Roman" w:cs="Times New Roman"/>
          <w:sz w:val="26"/>
          <w:szCs w:val="26"/>
        </w:rPr>
        <w:t>участку на 01.01.2022 года по данным некоммерческой организации «Ассоциация развития рынка недвижимости «СтатРиелт»</w:t>
      </w:r>
      <w:r w:rsidR="00221500">
        <w:rPr>
          <w:rStyle w:val="af2"/>
          <w:rFonts w:ascii="Times New Roman" w:eastAsia="Calibri" w:hAnsi="Times New Roman" w:cs="Times New Roman"/>
          <w:sz w:val="26"/>
          <w:szCs w:val="26"/>
        </w:rPr>
        <w:footnoteReference w:id="113"/>
      </w:r>
    </w:p>
    <w:p w14:paraId="7634F996" w14:textId="77777777" w:rsidR="000B0C76" w:rsidRDefault="000B0C76" w:rsidP="000B0C76">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Так как данные коэффициенты выражают отношения удельных цен предложений земельных участков, находящихся на праве аренды, к удельным ценам предложений земельных участков, находящихся на праве собственности, применяются обратные корректировки, т.е.  при расчете удельного показателя рыночной стоимости необходимо делить на корректировку на право.</w:t>
      </w:r>
    </w:p>
    <w:p w14:paraId="6957DD2F" w14:textId="77777777" w:rsidR="000B0C76" w:rsidRPr="00227435" w:rsidRDefault="000B0C76" w:rsidP="000B0C76">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Согласно данным «СтатРиелт», размер корректировки на право аренды земельного участка, предоставленного сроком на 49 лет, по отношению к собственному земельному участку, для земельных участков производственного и складского назначения лежит в доверительном интервале от 0,75 до 0,94 и в среднем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85</w:t>
      </w:r>
      <w:r>
        <w:rPr>
          <w:rFonts w:ascii="Times New Roman" w:eastAsia="Calibri" w:hAnsi="Times New Roman" w:cs="Times New Roman"/>
          <w:sz w:val="26"/>
          <w:szCs w:val="26"/>
        </w:rPr>
        <w:t xml:space="preserve"> (данные на 01.01.2022 года). Для целей оценки принято среднее значение диапазона. </w:t>
      </w:r>
    </w:p>
    <w:p w14:paraId="6ACD5147" w14:textId="77777777" w:rsidR="000B0C76" w:rsidRPr="00945FC1" w:rsidRDefault="000B0C76" w:rsidP="000B0C76">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Доля ЗУ</w:t>
      </w:r>
    </w:p>
    <w:p w14:paraId="61B3FEA3" w14:textId="77777777" w:rsidR="000B0C76" w:rsidRPr="00FE1961" w:rsidRDefault="000B0C76" w:rsidP="000B0C76">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Если в качестве объекта-аналога принято предложение (сделка) по продаже застроенного земельного участка, необходимо определить долю стоимости земельного участка в стоимости единого объекта недвижимости. В таком случае доля стоимости земельного участка для 6 сегмента принята на основании приложения №7 к Указаниям, где для объектов производственного назначения рекомендовано 5-15% (принимаем корректировку </w:t>
      </w:r>
      <w:r w:rsidRPr="00227435">
        <w:rPr>
          <w:rFonts w:ascii="Times New Roman" w:eastAsia="Calibri" w:hAnsi="Times New Roman" w:cs="Times New Roman"/>
          <w:b/>
          <w:sz w:val="26"/>
          <w:szCs w:val="26"/>
        </w:rPr>
        <w:t>0,</w:t>
      </w:r>
      <w:r>
        <w:rPr>
          <w:rFonts w:ascii="Times New Roman" w:eastAsia="Calibri" w:hAnsi="Times New Roman" w:cs="Times New Roman"/>
          <w:b/>
          <w:sz w:val="26"/>
          <w:szCs w:val="26"/>
        </w:rPr>
        <w:t>15</w:t>
      </w:r>
      <w:r>
        <w:rPr>
          <w:rFonts w:ascii="Times New Roman" w:eastAsia="Calibri" w:hAnsi="Times New Roman" w:cs="Times New Roman"/>
          <w:sz w:val="26"/>
          <w:szCs w:val="26"/>
        </w:rPr>
        <w:t>).</w:t>
      </w:r>
    </w:p>
    <w:p w14:paraId="513C9824" w14:textId="77777777" w:rsidR="000B0C76" w:rsidRDefault="000B0C76" w:rsidP="000B0C76">
      <w:pPr>
        <w:spacing w:after="0" w:line="300"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В таблице ниже приведено распределение рыночной информации и значения удельных показателей рыночной стоимости земельных участков сегмента </w:t>
      </w:r>
      <w:r>
        <w:rPr>
          <w:rFonts w:ascii="Times New Roman" w:hAnsi="Times New Roman" w:cs="Times New Roman"/>
          <w:sz w:val="26"/>
          <w:szCs w:val="26"/>
        </w:rPr>
        <w:t>6 «Производственная деятельность»</w:t>
      </w:r>
    </w:p>
    <w:p w14:paraId="1CA5909F" w14:textId="77777777" w:rsidR="000B0C76" w:rsidRDefault="000B0C76" w:rsidP="000B0C76">
      <w:pPr>
        <w:spacing w:after="0" w:line="300" w:lineRule="auto"/>
        <w:ind w:firstLine="567"/>
        <w:jc w:val="right"/>
        <w:rPr>
          <w:rFonts w:ascii="Times New Roman" w:hAnsi="Times New Roman" w:cs="Times New Roman"/>
          <w:sz w:val="26"/>
          <w:szCs w:val="26"/>
        </w:rPr>
      </w:pPr>
      <w:r>
        <w:rPr>
          <w:rFonts w:ascii="Times New Roman" w:hAnsi="Times New Roman" w:cs="Times New Roman"/>
          <w:sz w:val="26"/>
          <w:szCs w:val="26"/>
        </w:rPr>
        <w:t>Таблица 3.2.8</w:t>
      </w:r>
    </w:p>
    <w:p w14:paraId="16A9DAB0" w14:textId="77777777" w:rsidR="000B0C76" w:rsidRDefault="000B0C76" w:rsidP="000B0C76">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Распределение рыночной информации и значения удельных показателей рыночной стоимости земельных участков</w:t>
      </w: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528"/>
        <w:gridCol w:w="1502"/>
        <w:gridCol w:w="1073"/>
        <w:gridCol w:w="1560"/>
        <w:gridCol w:w="915"/>
      </w:tblGrid>
      <w:tr w:rsidR="000B0C76" w:rsidRPr="008009AF" w14:paraId="7F9BBADE" w14:textId="77777777" w:rsidTr="00221500">
        <w:trPr>
          <w:trHeight w:val="300"/>
        </w:trPr>
        <w:tc>
          <w:tcPr>
            <w:tcW w:w="1696" w:type="dxa"/>
            <w:shd w:val="clear" w:color="auto" w:fill="auto"/>
            <w:noWrap/>
            <w:vAlign w:val="center"/>
            <w:hideMark/>
          </w:tcPr>
          <w:p w14:paraId="0D374AE3" w14:textId="77777777" w:rsidR="000B0C76" w:rsidRPr="008009AF" w:rsidRDefault="000B0C76" w:rsidP="000B0C76">
            <w:pPr>
              <w:spacing w:after="0" w:line="240" w:lineRule="auto"/>
              <w:jc w:val="center"/>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Территориальная единица</w:t>
            </w:r>
          </w:p>
        </w:tc>
        <w:tc>
          <w:tcPr>
            <w:tcW w:w="2528" w:type="dxa"/>
            <w:shd w:val="clear" w:color="auto" w:fill="auto"/>
            <w:noWrap/>
            <w:vAlign w:val="center"/>
            <w:hideMark/>
          </w:tcPr>
          <w:p w14:paraId="1D409BBE" w14:textId="77777777" w:rsidR="000B0C76" w:rsidRPr="008009AF" w:rsidRDefault="000B0C76" w:rsidP="000B0C76">
            <w:pPr>
              <w:spacing w:after="0" w:line="240" w:lineRule="auto"/>
              <w:jc w:val="center"/>
              <w:rPr>
                <w:rFonts w:ascii="Times New Roman" w:eastAsia="Times New Roman" w:hAnsi="Times New Roman" w:cs="Times New Roman"/>
                <w:lang w:eastAsia="ru-RU"/>
              </w:rPr>
            </w:pPr>
            <w:r w:rsidRPr="008009AF">
              <w:rPr>
                <w:rFonts w:ascii="Times New Roman" w:eastAsia="Times New Roman" w:hAnsi="Times New Roman" w:cs="Times New Roman"/>
                <w:bCs/>
                <w:color w:val="000000"/>
                <w:lang w:eastAsia="ru-RU"/>
              </w:rPr>
              <w:t>Наименование района</w:t>
            </w:r>
          </w:p>
        </w:tc>
        <w:tc>
          <w:tcPr>
            <w:tcW w:w="1502" w:type="dxa"/>
            <w:shd w:val="clear" w:color="auto" w:fill="auto"/>
            <w:noWrap/>
            <w:vAlign w:val="center"/>
            <w:hideMark/>
          </w:tcPr>
          <w:p w14:paraId="52A3811E" w14:textId="77777777" w:rsidR="000B0C76" w:rsidRPr="008009AF" w:rsidRDefault="000B0C76" w:rsidP="000B0C76">
            <w:pPr>
              <w:spacing w:after="0" w:line="240" w:lineRule="auto"/>
              <w:jc w:val="center"/>
              <w:rPr>
                <w:rFonts w:ascii="Times New Roman" w:eastAsia="Times New Roman" w:hAnsi="Times New Roman" w:cs="Times New Roman"/>
                <w:lang w:eastAsia="ru-RU"/>
              </w:rPr>
            </w:pPr>
            <w:r w:rsidRPr="008009AF">
              <w:rPr>
                <w:rFonts w:ascii="Times New Roman" w:eastAsia="Times New Roman" w:hAnsi="Times New Roman" w:cs="Times New Roman"/>
                <w:bCs/>
                <w:color w:val="000000"/>
                <w:lang w:eastAsia="ru-RU"/>
              </w:rPr>
              <w:t>Минимальное значение УПРС, руб./кв.м</w:t>
            </w:r>
          </w:p>
        </w:tc>
        <w:tc>
          <w:tcPr>
            <w:tcW w:w="1073" w:type="dxa"/>
            <w:shd w:val="clear" w:color="auto" w:fill="auto"/>
            <w:noWrap/>
            <w:vAlign w:val="center"/>
            <w:hideMark/>
          </w:tcPr>
          <w:p w14:paraId="659D4578" w14:textId="77777777" w:rsidR="000B0C76" w:rsidRPr="008009AF" w:rsidRDefault="000B0C76" w:rsidP="000B0C76">
            <w:pPr>
              <w:spacing w:after="0" w:line="240" w:lineRule="auto"/>
              <w:jc w:val="center"/>
              <w:rPr>
                <w:rFonts w:ascii="Times New Roman" w:eastAsia="Times New Roman" w:hAnsi="Times New Roman" w:cs="Times New Roman"/>
                <w:lang w:eastAsia="ru-RU"/>
              </w:rPr>
            </w:pPr>
            <w:r w:rsidRPr="008009AF">
              <w:rPr>
                <w:rFonts w:ascii="Times New Roman" w:eastAsia="Times New Roman" w:hAnsi="Times New Roman" w:cs="Times New Roman"/>
                <w:bCs/>
                <w:color w:val="000000"/>
                <w:lang w:eastAsia="ru-RU"/>
              </w:rPr>
              <w:t>Среднее значение УПРС, руб./кв.м</w:t>
            </w:r>
          </w:p>
        </w:tc>
        <w:tc>
          <w:tcPr>
            <w:tcW w:w="1560" w:type="dxa"/>
            <w:shd w:val="clear" w:color="auto" w:fill="auto"/>
            <w:noWrap/>
            <w:vAlign w:val="center"/>
            <w:hideMark/>
          </w:tcPr>
          <w:p w14:paraId="5D7F0A2C" w14:textId="77777777" w:rsidR="000B0C76" w:rsidRPr="008009AF" w:rsidRDefault="000B0C76" w:rsidP="000B0C76">
            <w:pPr>
              <w:spacing w:after="0" w:line="240" w:lineRule="auto"/>
              <w:jc w:val="center"/>
              <w:rPr>
                <w:rFonts w:ascii="Times New Roman" w:eastAsia="Times New Roman" w:hAnsi="Times New Roman" w:cs="Times New Roman"/>
                <w:lang w:eastAsia="ru-RU"/>
              </w:rPr>
            </w:pPr>
            <w:r w:rsidRPr="008009AF">
              <w:rPr>
                <w:rFonts w:ascii="Times New Roman" w:eastAsia="Times New Roman" w:hAnsi="Times New Roman" w:cs="Times New Roman"/>
                <w:bCs/>
                <w:color w:val="000000"/>
                <w:lang w:eastAsia="ru-RU"/>
              </w:rPr>
              <w:t>Максимальное значение УПРС, руб./кв.м</w:t>
            </w:r>
          </w:p>
        </w:tc>
        <w:tc>
          <w:tcPr>
            <w:tcW w:w="915" w:type="dxa"/>
            <w:shd w:val="clear" w:color="auto" w:fill="auto"/>
            <w:noWrap/>
            <w:vAlign w:val="center"/>
            <w:hideMark/>
          </w:tcPr>
          <w:p w14:paraId="6DB6244E" w14:textId="77777777" w:rsidR="000B0C76" w:rsidRPr="008009AF" w:rsidRDefault="000B0C76" w:rsidP="000B0C76">
            <w:pPr>
              <w:spacing w:after="0" w:line="240" w:lineRule="auto"/>
              <w:jc w:val="center"/>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 зоны</w:t>
            </w:r>
          </w:p>
        </w:tc>
      </w:tr>
      <w:tr w:rsidR="000B0C76" w:rsidRPr="008009AF" w14:paraId="2E0782DD" w14:textId="77777777" w:rsidTr="00221500">
        <w:trPr>
          <w:trHeight w:val="300"/>
        </w:trPr>
        <w:tc>
          <w:tcPr>
            <w:tcW w:w="1696" w:type="dxa"/>
            <w:shd w:val="clear" w:color="auto" w:fill="auto"/>
            <w:noWrap/>
            <w:vAlign w:val="bottom"/>
            <w:hideMark/>
          </w:tcPr>
          <w:p w14:paraId="145CE4A4"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Воронеж</w:t>
            </w:r>
          </w:p>
        </w:tc>
        <w:tc>
          <w:tcPr>
            <w:tcW w:w="2528" w:type="dxa"/>
            <w:shd w:val="clear" w:color="auto" w:fill="auto"/>
            <w:noWrap/>
            <w:vAlign w:val="bottom"/>
            <w:hideMark/>
          </w:tcPr>
          <w:p w14:paraId="4ABC2325"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 Воронеж</w:t>
            </w:r>
          </w:p>
        </w:tc>
        <w:tc>
          <w:tcPr>
            <w:tcW w:w="1502" w:type="dxa"/>
            <w:shd w:val="clear" w:color="auto" w:fill="auto"/>
            <w:noWrap/>
            <w:vAlign w:val="bottom"/>
            <w:hideMark/>
          </w:tcPr>
          <w:p w14:paraId="2E9D2BC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804,31</w:t>
            </w:r>
          </w:p>
        </w:tc>
        <w:tc>
          <w:tcPr>
            <w:tcW w:w="1073" w:type="dxa"/>
            <w:shd w:val="clear" w:color="auto" w:fill="auto"/>
            <w:noWrap/>
            <w:vAlign w:val="bottom"/>
            <w:hideMark/>
          </w:tcPr>
          <w:p w14:paraId="5EA5CD0E"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2 119,87</w:t>
            </w:r>
          </w:p>
        </w:tc>
        <w:tc>
          <w:tcPr>
            <w:tcW w:w="1560" w:type="dxa"/>
            <w:shd w:val="clear" w:color="auto" w:fill="auto"/>
            <w:noWrap/>
            <w:vAlign w:val="bottom"/>
            <w:hideMark/>
          </w:tcPr>
          <w:p w14:paraId="19B888C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6 935,48</w:t>
            </w:r>
          </w:p>
        </w:tc>
        <w:tc>
          <w:tcPr>
            <w:tcW w:w="915" w:type="dxa"/>
            <w:shd w:val="clear" w:color="auto" w:fill="auto"/>
            <w:noWrap/>
            <w:vAlign w:val="bottom"/>
            <w:hideMark/>
          </w:tcPr>
          <w:p w14:paraId="5763E2FA"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w:t>
            </w:r>
          </w:p>
        </w:tc>
      </w:tr>
      <w:tr w:rsidR="000B0C76" w:rsidRPr="008009AF" w14:paraId="080992A3" w14:textId="77777777" w:rsidTr="00221500">
        <w:trPr>
          <w:trHeight w:val="300"/>
        </w:trPr>
        <w:tc>
          <w:tcPr>
            <w:tcW w:w="1696" w:type="dxa"/>
            <w:shd w:val="clear" w:color="auto" w:fill="auto"/>
            <w:noWrap/>
            <w:vAlign w:val="bottom"/>
            <w:hideMark/>
          </w:tcPr>
          <w:p w14:paraId="71341D4B"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7754AB3F"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 Лиски</w:t>
            </w:r>
          </w:p>
        </w:tc>
        <w:tc>
          <w:tcPr>
            <w:tcW w:w="1502" w:type="dxa"/>
            <w:shd w:val="clear" w:color="auto" w:fill="auto"/>
            <w:noWrap/>
            <w:vAlign w:val="bottom"/>
            <w:hideMark/>
          </w:tcPr>
          <w:p w14:paraId="063A8A6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684,27</w:t>
            </w:r>
          </w:p>
        </w:tc>
        <w:tc>
          <w:tcPr>
            <w:tcW w:w="1073" w:type="dxa"/>
            <w:shd w:val="clear" w:color="auto" w:fill="auto"/>
            <w:noWrap/>
            <w:vAlign w:val="bottom"/>
            <w:hideMark/>
          </w:tcPr>
          <w:p w14:paraId="0EDC1DEF"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1 073,93</w:t>
            </w:r>
          </w:p>
        </w:tc>
        <w:tc>
          <w:tcPr>
            <w:tcW w:w="1560" w:type="dxa"/>
            <w:shd w:val="clear" w:color="auto" w:fill="auto"/>
            <w:noWrap/>
            <w:vAlign w:val="bottom"/>
            <w:hideMark/>
          </w:tcPr>
          <w:p w14:paraId="2D751A1D"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2 878,75</w:t>
            </w:r>
          </w:p>
        </w:tc>
        <w:tc>
          <w:tcPr>
            <w:tcW w:w="915" w:type="dxa"/>
            <w:shd w:val="clear" w:color="auto" w:fill="auto"/>
            <w:noWrap/>
            <w:vAlign w:val="bottom"/>
            <w:hideMark/>
          </w:tcPr>
          <w:p w14:paraId="00779E8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w:t>
            </w:r>
          </w:p>
        </w:tc>
      </w:tr>
      <w:tr w:rsidR="000B0C76" w:rsidRPr="008009AF" w14:paraId="71ADAA64" w14:textId="77777777" w:rsidTr="00221500">
        <w:trPr>
          <w:trHeight w:val="300"/>
        </w:trPr>
        <w:tc>
          <w:tcPr>
            <w:tcW w:w="1696" w:type="dxa"/>
            <w:shd w:val="clear" w:color="auto" w:fill="auto"/>
            <w:noWrap/>
            <w:vAlign w:val="bottom"/>
            <w:hideMark/>
          </w:tcPr>
          <w:p w14:paraId="724B38C7"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4ACE0D29"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 Семилуки</w:t>
            </w:r>
          </w:p>
        </w:tc>
        <w:tc>
          <w:tcPr>
            <w:tcW w:w="1502" w:type="dxa"/>
            <w:shd w:val="clear" w:color="auto" w:fill="auto"/>
            <w:noWrap/>
            <w:vAlign w:val="bottom"/>
            <w:hideMark/>
          </w:tcPr>
          <w:p w14:paraId="5DDBBE7A"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715,35</w:t>
            </w:r>
          </w:p>
        </w:tc>
        <w:tc>
          <w:tcPr>
            <w:tcW w:w="1073" w:type="dxa"/>
            <w:shd w:val="clear" w:color="auto" w:fill="auto"/>
            <w:noWrap/>
            <w:vAlign w:val="bottom"/>
            <w:hideMark/>
          </w:tcPr>
          <w:p w14:paraId="52272D5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1 443,17</w:t>
            </w:r>
          </w:p>
        </w:tc>
        <w:tc>
          <w:tcPr>
            <w:tcW w:w="1560" w:type="dxa"/>
            <w:shd w:val="clear" w:color="auto" w:fill="auto"/>
            <w:noWrap/>
            <w:vAlign w:val="bottom"/>
            <w:hideMark/>
          </w:tcPr>
          <w:p w14:paraId="4402D5A5"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2 390,24</w:t>
            </w:r>
          </w:p>
        </w:tc>
        <w:tc>
          <w:tcPr>
            <w:tcW w:w="915" w:type="dxa"/>
            <w:shd w:val="clear" w:color="auto" w:fill="auto"/>
            <w:noWrap/>
            <w:vAlign w:val="bottom"/>
            <w:hideMark/>
          </w:tcPr>
          <w:p w14:paraId="3BCAE48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w:t>
            </w:r>
          </w:p>
        </w:tc>
      </w:tr>
      <w:tr w:rsidR="000B0C76" w:rsidRPr="008009AF" w14:paraId="7200AC13" w14:textId="77777777" w:rsidTr="00221500">
        <w:trPr>
          <w:trHeight w:val="300"/>
        </w:trPr>
        <w:tc>
          <w:tcPr>
            <w:tcW w:w="1696" w:type="dxa"/>
            <w:shd w:val="clear" w:color="auto" w:fill="auto"/>
            <w:noWrap/>
            <w:vAlign w:val="bottom"/>
            <w:hideMark/>
          </w:tcPr>
          <w:p w14:paraId="2E6EA3A2"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65884781"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 Новая Усмань</w:t>
            </w:r>
          </w:p>
        </w:tc>
        <w:tc>
          <w:tcPr>
            <w:tcW w:w="1502" w:type="dxa"/>
            <w:shd w:val="clear" w:color="auto" w:fill="auto"/>
            <w:noWrap/>
            <w:vAlign w:val="bottom"/>
            <w:hideMark/>
          </w:tcPr>
          <w:p w14:paraId="382C0EE8"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736,71</w:t>
            </w:r>
          </w:p>
        </w:tc>
        <w:tc>
          <w:tcPr>
            <w:tcW w:w="1073" w:type="dxa"/>
            <w:shd w:val="clear" w:color="auto" w:fill="auto"/>
            <w:noWrap/>
            <w:vAlign w:val="bottom"/>
            <w:hideMark/>
          </w:tcPr>
          <w:p w14:paraId="0D44BB7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1 294,80</w:t>
            </w:r>
          </w:p>
        </w:tc>
        <w:tc>
          <w:tcPr>
            <w:tcW w:w="1560" w:type="dxa"/>
            <w:shd w:val="clear" w:color="auto" w:fill="auto"/>
            <w:noWrap/>
            <w:vAlign w:val="bottom"/>
            <w:hideMark/>
          </w:tcPr>
          <w:p w14:paraId="20D88E43"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2 250,00</w:t>
            </w:r>
          </w:p>
        </w:tc>
        <w:tc>
          <w:tcPr>
            <w:tcW w:w="915" w:type="dxa"/>
            <w:shd w:val="clear" w:color="auto" w:fill="auto"/>
            <w:noWrap/>
            <w:vAlign w:val="bottom"/>
            <w:hideMark/>
          </w:tcPr>
          <w:p w14:paraId="2ED6658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w:t>
            </w:r>
          </w:p>
        </w:tc>
      </w:tr>
      <w:tr w:rsidR="000B0C76" w:rsidRPr="008009AF" w14:paraId="6A40EE22" w14:textId="77777777" w:rsidTr="00221500">
        <w:trPr>
          <w:trHeight w:val="300"/>
        </w:trPr>
        <w:tc>
          <w:tcPr>
            <w:tcW w:w="1696" w:type="dxa"/>
            <w:shd w:val="clear" w:color="auto" w:fill="auto"/>
            <w:noWrap/>
            <w:vAlign w:val="bottom"/>
            <w:hideMark/>
          </w:tcPr>
          <w:p w14:paraId="1ED6472C"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1D75169D"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 Россошь</w:t>
            </w:r>
          </w:p>
        </w:tc>
        <w:tc>
          <w:tcPr>
            <w:tcW w:w="1502" w:type="dxa"/>
            <w:shd w:val="clear" w:color="auto" w:fill="auto"/>
            <w:noWrap/>
            <w:vAlign w:val="bottom"/>
            <w:hideMark/>
          </w:tcPr>
          <w:p w14:paraId="2FF13E48"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708,70</w:t>
            </w:r>
          </w:p>
        </w:tc>
        <w:tc>
          <w:tcPr>
            <w:tcW w:w="1073" w:type="dxa"/>
            <w:shd w:val="clear" w:color="auto" w:fill="auto"/>
            <w:noWrap/>
            <w:vAlign w:val="bottom"/>
            <w:hideMark/>
          </w:tcPr>
          <w:p w14:paraId="54EF214D"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1 453,89</w:t>
            </w:r>
          </w:p>
        </w:tc>
        <w:tc>
          <w:tcPr>
            <w:tcW w:w="1560" w:type="dxa"/>
            <w:shd w:val="clear" w:color="auto" w:fill="auto"/>
            <w:noWrap/>
            <w:vAlign w:val="bottom"/>
            <w:hideMark/>
          </w:tcPr>
          <w:p w14:paraId="74DD7C4F"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2 080,00</w:t>
            </w:r>
          </w:p>
        </w:tc>
        <w:tc>
          <w:tcPr>
            <w:tcW w:w="915" w:type="dxa"/>
            <w:shd w:val="clear" w:color="auto" w:fill="auto"/>
            <w:noWrap/>
            <w:vAlign w:val="bottom"/>
            <w:hideMark/>
          </w:tcPr>
          <w:p w14:paraId="6FF6CDC5"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w:t>
            </w:r>
          </w:p>
        </w:tc>
      </w:tr>
      <w:tr w:rsidR="000B0C76" w:rsidRPr="008009AF" w14:paraId="4F705D71" w14:textId="77777777" w:rsidTr="00221500">
        <w:trPr>
          <w:trHeight w:val="300"/>
        </w:trPr>
        <w:tc>
          <w:tcPr>
            <w:tcW w:w="1696" w:type="dxa"/>
            <w:shd w:val="clear" w:color="auto" w:fill="auto"/>
            <w:noWrap/>
            <w:vAlign w:val="bottom"/>
            <w:hideMark/>
          </w:tcPr>
          <w:p w14:paraId="57FC7A06"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0BE212B2"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 Острогожск</w:t>
            </w:r>
          </w:p>
        </w:tc>
        <w:tc>
          <w:tcPr>
            <w:tcW w:w="1502" w:type="dxa"/>
            <w:shd w:val="clear" w:color="auto" w:fill="auto"/>
            <w:noWrap/>
            <w:vAlign w:val="bottom"/>
            <w:hideMark/>
          </w:tcPr>
          <w:p w14:paraId="7AF3FA52"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844,55</w:t>
            </w:r>
          </w:p>
        </w:tc>
        <w:tc>
          <w:tcPr>
            <w:tcW w:w="1073" w:type="dxa"/>
            <w:shd w:val="clear" w:color="auto" w:fill="auto"/>
            <w:noWrap/>
            <w:vAlign w:val="bottom"/>
            <w:hideMark/>
          </w:tcPr>
          <w:p w14:paraId="7CD71CD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1 336,51</w:t>
            </w:r>
          </w:p>
        </w:tc>
        <w:tc>
          <w:tcPr>
            <w:tcW w:w="1560" w:type="dxa"/>
            <w:shd w:val="clear" w:color="auto" w:fill="auto"/>
            <w:noWrap/>
            <w:vAlign w:val="bottom"/>
            <w:hideMark/>
          </w:tcPr>
          <w:p w14:paraId="63794FAC"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2 015,65</w:t>
            </w:r>
          </w:p>
        </w:tc>
        <w:tc>
          <w:tcPr>
            <w:tcW w:w="915" w:type="dxa"/>
            <w:shd w:val="clear" w:color="auto" w:fill="auto"/>
            <w:noWrap/>
            <w:vAlign w:val="bottom"/>
            <w:hideMark/>
          </w:tcPr>
          <w:p w14:paraId="3FF259E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w:t>
            </w:r>
          </w:p>
        </w:tc>
      </w:tr>
      <w:tr w:rsidR="000B0C76" w:rsidRPr="008009AF" w14:paraId="5D16059D" w14:textId="77777777" w:rsidTr="00221500">
        <w:trPr>
          <w:trHeight w:val="300"/>
        </w:trPr>
        <w:tc>
          <w:tcPr>
            <w:tcW w:w="1696" w:type="dxa"/>
            <w:shd w:val="clear" w:color="auto" w:fill="auto"/>
            <w:noWrap/>
            <w:vAlign w:val="bottom"/>
            <w:hideMark/>
          </w:tcPr>
          <w:p w14:paraId="24BDA66C"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1AA64611"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 Борисоглебск</w:t>
            </w:r>
          </w:p>
        </w:tc>
        <w:tc>
          <w:tcPr>
            <w:tcW w:w="1502" w:type="dxa"/>
            <w:shd w:val="clear" w:color="auto" w:fill="auto"/>
            <w:noWrap/>
            <w:vAlign w:val="bottom"/>
            <w:hideMark/>
          </w:tcPr>
          <w:p w14:paraId="77DAC2EE"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714,64</w:t>
            </w:r>
          </w:p>
        </w:tc>
        <w:tc>
          <w:tcPr>
            <w:tcW w:w="1073" w:type="dxa"/>
            <w:shd w:val="clear" w:color="auto" w:fill="auto"/>
            <w:noWrap/>
            <w:vAlign w:val="bottom"/>
            <w:hideMark/>
          </w:tcPr>
          <w:p w14:paraId="1E750C9D"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1 464,88</w:t>
            </w:r>
          </w:p>
        </w:tc>
        <w:tc>
          <w:tcPr>
            <w:tcW w:w="1560" w:type="dxa"/>
            <w:shd w:val="clear" w:color="auto" w:fill="auto"/>
            <w:noWrap/>
            <w:vAlign w:val="bottom"/>
            <w:hideMark/>
          </w:tcPr>
          <w:p w14:paraId="0B71A91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1 968,35</w:t>
            </w:r>
          </w:p>
        </w:tc>
        <w:tc>
          <w:tcPr>
            <w:tcW w:w="915" w:type="dxa"/>
            <w:shd w:val="clear" w:color="auto" w:fill="auto"/>
            <w:noWrap/>
            <w:vAlign w:val="bottom"/>
            <w:hideMark/>
          </w:tcPr>
          <w:p w14:paraId="2270D131"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w:t>
            </w:r>
          </w:p>
        </w:tc>
      </w:tr>
      <w:tr w:rsidR="000B0C76" w:rsidRPr="008009AF" w14:paraId="7E5A50F2" w14:textId="77777777" w:rsidTr="00221500">
        <w:trPr>
          <w:trHeight w:val="300"/>
        </w:trPr>
        <w:tc>
          <w:tcPr>
            <w:tcW w:w="1696" w:type="dxa"/>
            <w:shd w:val="clear" w:color="auto" w:fill="auto"/>
            <w:noWrap/>
            <w:vAlign w:val="bottom"/>
            <w:hideMark/>
          </w:tcPr>
          <w:p w14:paraId="30E23672"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714F8828"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 Нововоронеж</w:t>
            </w:r>
          </w:p>
        </w:tc>
        <w:tc>
          <w:tcPr>
            <w:tcW w:w="1502" w:type="dxa"/>
            <w:shd w:val="clear" w:color="auto" w:fill="auto"/>
            <w:noWrap/>
            <w:vAlign w:val="bottom"/>
            <w:hideMark/>
          </w:tcPr>
          <w:p w14:paraId="13275115"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739,10</w:t>
            </w:r>
          </w:p>
        </w:tc>
        <w:tc>
          <w:tcPr>
            <w:tcW w:w="1073" w:type="dxa"/>
            <w:shd w:val="clear" w:color="auto" w:fill="auto"/>
            <w:noWrap/>
            <w:vAlign w:val="bottom"/>
            <w:hideMark/>
          </w:tcPr>
          <w:p w14:paraId="665E517E"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1 211,68</w:t>
            </w:r>
          </w:p>
        </w:tc>
        <w:tc>
          <w:tcPr>
            <w:tcW w:w="1560" w:type="dxa"/>
            <w:shd w:val="clear" w:color="auto" w:fill="auto"/>
            <w:noWrap/>
            <w:vAlign w:val="bottom"/>
            <w:hideMark/>
          </w:tcPr>
          <w:p w14:paraId="4B6937D3"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1 776,00</w:t>
            </w:r>
          </w:p>
        </w:tc>
        <w:tc>
          <w:tcPr>
            <w:tcW w:w="915" w:type="dxa"/>
            <w:shd w:val="clear" w:color="auto" w:fill="auto"/>
            <w:noWrap/>
            <w:vAlign w:val="bottom"/>
            <w:hideMark/>
          </w:tcPr>
          <w:p w14:paraId="1E8F6675"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w:t>
            </w:r>
          </w:p>
        </w:tc>
      </w:tr>
      <w:tr w:rsidR="000B0C76" w:rsidRPr="008009AF" w14:paraId="51C4C8D3" w14:textId="77777777" w:rsidTr="00221500">
        <w:trPr>
          <w:trHeight w:val="300"/>
        </w:trPr>
        <w:tc>
          <w:tcPr>
            <w:tcW w:w="1696" w:type="dxa"/>
            <w:shd w:val="clear" w:color="auto" w:fill="auto"/>
            <w:noWrap/>
            <w:vAlign w:val="bottom"/>
            <w:hideMark/>
          </w:tcPr>
          <w:p w14:paraId="69E047D3"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5C3069DA"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 Павловск</w:t>
            </w:r>
          </w:p>
        </w:tc>
        <w:tc>
          <w:tcPr>
            <w:tcW w:w="1502" w:type="dxa"/>
            <w:shd w:val="clear" w:color="auto" w:fill="auto"/>
            <w:noWrap/>
            <w:vAlign w:val="bottom"/>
            <w:hideMark/>
          </w:tcPr>
          <w:p w14:paraId="4859C83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710,40</w:t>
            </w:r>
          </w:p>
        </w:tc>
        <w:tc>
          <w:tcPr>
            <w:tcW w:w="1073" w:type="dxa"/>
            <w:shd w:val="clear" w:color="auto" w:fill="auto"/>
            <w:noWrap/>
            <w:vAlign w:val="bottom"/>
            <w:hideMark/>
          </w:tcPr>
          <w:p w14:paraId="376358D3"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1 162,85</w:t>
            </w:r>
          </w:p>
        </w:tc>
        <w:tc>
          <w:tcPr>
            <w:tcW w:w="1560" w:type="dxa"/>
            <w:shd w:val="clear" w:color="auto" w:fill="auto"/>
            <w:noWrap/>
            <w:vAlign w:val="bottom"/>
            <w:hideMark/>
          </w:tcPr>
          <w:p w14:paraId="795364E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2 749,78</w:t>
            </w:r>
          </w:p>
        </w:tc>
        <w:tc>
          <w:tcPr>
            <w:tcW w:w="915" w:type="dxa"/>
            <w:shd w:val="clear" w:color="auto" w:fill="auto"/>
            <w:noWrap/>
            <w:vAlign w:val="bottom"/>
            <w:hideMark/>
          </w:tcPr>
          <w:p w14:paraId="0F51D77E"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w:t>
            </w:r>
          </w:p>
        </w:tc>
      </w:tr>
      <w:tr w:rsidR="000B0C76" w:rsidRPr="008009AF" w14:paraId="4D8BF16F" w14:textId="77777777" w:rsidTr="00221500">
        <w:trPr>
          <w:trHeight w:val="300"/>
        </w:trPr>
        <w:tc>
          <w:tcPr>
            <w:tcW w:w="1696" w:type="dxa"/>
            <w:shd w:val="clear" w:color="auto" w:fill="auto"/>
            <w:noWrap/>
            <w:vAlign w:val="bottom"/>
            <w:hideMark/>
          </w:tcPr>
          <w:p w14:paraId="05592E82"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4959DB43"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 Бутурлиновка</w:t>
            </w:r>
          </w:p>
        </w:tc>
        <w:tc>
          <w:tcPr>
            <w:tcW w:w="1502" w:type="dxa"/>
            <w:shd w:val="clear" w:color="auto" w:fill="auto"/>
            <w:noWrap/>
            <w:vAlign w:val="bottom"/>
            <w:hideMark/>
          </w:tcPr>
          <w:p w14:paraId="173D6F5C"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814,15</w:t>
            </w:r>
          </w:p>
        </w:tc>
        <w:tc>
          <w:tcPr>
            <w:tcW w:w="1073" w:type="dxa"/>
            <w:shd w:val="clear" w:color="auto" w:fill="auto"/>
            <w:noWrap/>
            <w:vAlign w:val="bottom"/>
            <w:hideMark/>
          </w:tcPr>
          <w:p w14:paraId="2AE5E3F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1 219,62</w:t>
            </w:r>
          </w:p>
        </w:tc>
        <w:tc>
          <w:tcPr>
            <w:tcW w:w="1560" w:type="dxa"/>
            <w:shd w:val="clear" w:color="auto" w:fill="auto"/>
            <w:noWrap/>
            <w:vAlign w:val="bottom"/>
            <w:hideMark/>
          </w:tcPr>
          <w:p w14:paraId="5067D991"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2 390,24</w:t>
            </w:r>
          </w:p>
        </w:tc>
        <w:tc>
          <w:tcPr>
            <w:tcW w:w="915" w:type="dxa"/>
            <w:shd w:val="clear" w:color="auto" w:fill="auto"/>
            <w:noWrap/>
            <w:vAlign w:val="bottom"/>
            <w:hideMark/>
          </w:tcPr>
          <w:p w14:paraId="3B127128"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w:t>
            </w:r>
          </w:p>
        </w:tc>
      </w:tr>
      <w:tr w:rsidR="000B0C76" w:rsidRPr="008009AF" w14:paraId="7D8E0FF7" w14:textId="77777777" w:rsidTr="00221500">
        <w:trPr>
          <w:trHeight w:val="300"/>
        </w:trPr>
        <w:tc>
          <w:tcPr>
            <w:tcW w:w="1696" w:type="dxa"/>
            <w:shd w:val="clear" w:color="auto" w:fill="auto"/>
            <w:noWrap/>
            <w:vAlign w:val="bottom"/>
            <w:hideMark/>
          </w:tcPr>
          <w:p w14:paraId="0CBA0A5E"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582C5FDC"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 Эртиль</w:t>
            </w:r>
          </w:p>
        </w:tc>
        <w:tc>
          <w:tcPr>
            <w:tcW w:w="1502" w:type="dxa"/>
            <w:shd w:val="clear" w:color="auto" w:fill="auto"/>
            <w:noWrap/>
            <w:vAlign w:val="bottom"/>
            <w:hideMark/>
          </w:tcPr>
          <w:p w14:paraId="39665F1A"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579,50</w:t>
            </w:r>
          </w:p>
        </w:tc>
        <w:tc>
          <w:tcPr>
            <w:tcW w:w="1073" w:type="dxa"/>
            <w:shd w:val="clear" w:color="auto" w:fill="auto"/>
            <w:noWrap/>
            <w:vAlign w:val="bottom"/>
            <w:hideMark/>
          </w:tcPr>
          <w:p w14:paraId="275B3CA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1 097,56</w:t>
            </w:r>
          </w:p>
        </w:tc>
        <w:tc>
          <w:tcPr>
            <w:tcW w:w="1560" w:type="dxa"/>
            <w:shd w:val="clear" w:color="auto" w:fill="auto"/>
            <w:noWrap/>
            <w:vAlign w:val="bottom"/>
            <w:hideMark/>
          </w:tcPr>
          <w:p w14:paraId="723325E3"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2 338,43</w:t>
            </w:r>
          </w:p>
        </w:tc>
        <w:tc>
          <w:tcPr>
            <w:tcW w:w="915" w:type="dxa"/>
            <w:shd w:val="clear" w:color="auto" w:fill="auto"/>
            <w:noWrap/>
            <w:vAlign w:val="bottom"/>
            <w:hideMark/>
          </w:tcPr>
          <w:p w14:paraId="2F41776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w:t>
            </w:r>
          </w:p>
        </w:tc>
      </w:tr>
      <w:tr w:rsidR="000B0C76" w:rsidRPr="008009AF" w14:paraId="563591FA" w14:textId="77777777" w:rsidTr="00221500">
        <w:trPr>
          <w:trHeight w:val="300"/>
        </w:trPr>
        <w:tc>
          <w:tcPr>
            <w:tcW w:w="1696" w:type="dxa"/>
            <w:shd w:val="clear" w:color="auto" w:fill="auto"/>
            <w:noWrap/>
            <w:vAlign w:val="bottom"/>
            <w:hideMark/>
          </w:tcPr>
          <w:p w14:paraId="4E07725D"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0EBB288A"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п.г.т. Каменка</w:t>
            </w:r>
          </w:p>
        </w:tc>
        <w:tc>
          <w:tcPr>
            <w:tcW w:w="1502" w:type="dxa"/>
            <w:shd w:val="clear" w:color="auto" w:fill="auto"/>
            <w:noWrap/>
            <w:vAlign w:val="bottom"/>
            <w:hideMark/>
          </w:tcPr>
          <w:p w14:paraId="3D0EE5F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752,40</w:t>
            </w:r>
          </w:p>
        </w:tc>
        <w:tc>
          <w:tcPr>
            <w:tcW w:w="1073" w:type="dxa"/>
            <w:shd w:val="clear" w:color="auto" w:fill="auto"/>
            <w:noWrap/>
            <w:vAlign w:val="bottom"/>
            <w:hideMark/>
          </w:tcPr>
          <w:p w14:paraId="7F97FDAD"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1 199,25</w:t>
            </w:r>
          </w:p>
        </w:tc>
        <w:tc>
          <w:tcPr>
            <w:tcW w:w="1560" w:type="dxa"/>
            <w:shd w:val="clear" w:color="auto" w:fill="auto"/>
            <w:noWrap/>
            <w:vAlign w:val="bottom"/>
            <w:hideMark/>
          </w:tcPr>
          <w:p w14:paraId="04EBDFB8"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2 041,66</w:t>
            </w:r>
          </w:p>
        </w:tc>
        <w:tc>
          <w:tcPr>
            <w:tcW w:w="915" w:type="dxa"/>
            <w:shd w:val="clear" w:color="auto" w:fill="auto"/>
            <w:noWrap/>
            <w:vAlign w:val="bottom"/>
            <w:hideMark/>
          </w:tcPr>
          <w:p w14:paraId="67F251B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w:t>
            </w:r>
          </w:p>
        </w:tc>
      </w:tr>
      <w:tr w:rsidR="000B0C76" w:rsidRPr="008009AF" w14:paraId="4F6E9A5A" w14:textId="77777777" w:rsidTr="00221500">
        <w:trPr>
          <w:trHeight w:val="300"/>
        </w:trPr>
        <w:tc>
          <w:tcPr>
            <w:tcW w:w="1696" w:type="dxa"/>
            <w:shd w:val="clear" w:color="auto" w:fill="auto"/>
            <w:noWrap/>
            <w:vAlign w:val="bottom"/>
            <w:hideMark/>
          </w:tcPr>
          <w:p w14:paraId="602DFC02"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5F29D0E9"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 Богучар</w:t>
            </w:r>
          </w:p>
        </w:tc>
        <w:tc>
          <w:tcPr>
            <w:tcW w:w="1502" w:type="dxa"/>
            <w:shd w:val="clear" w:color="auto" w:fill="auto"/>
            <w:noWrap/>
            <w:vAlign w:val="bottom"/>
            <w:hideMark/>
          </w:tcPr>
          <w:p w14:paraId="624061F8"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788,64</w:t>
            </w:r>
          </w:p>
        </w:tc>
        <w:tc>
          <w:tcPr>
            <w:tcW w:w="1073" w:type="dxa"/>
            <w:shd w:val="clear" w:color="auto" w:fill="auto"/>
            <w:noWrap/>
            <w:vAlign w:val="bottom"/>
            <w:hideMark/>
          </w:tcPr>
          <w:p w14:paraId="5AFB537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1 208,64</w:t>
            </w:r>
          </w:p>
        </w:tc>
        <w:tc>
          <w:tcPr>
            <w:tcW w:w="1560" w:type="dxa"/>
            <w:shd w:val="clear" w:color="auto" w:fill="auto"/>
            <w:noWrap/>
            <w:vAlign w:val="bottom"/>
            <w:hideMark/>
          </w:tcPr>
          <w:p w14:paraId="76BCE28D"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1 764,00</w:t>
            </w:r>
          </w:p>
        </w:tc>
        <w:tc>
          <w:tcPr>
            <w:tcW w:w="915" w:type="dxa"/>
            <w:shd w:val="clear" w:color="auto" w:fill="auto"/>
            <w:noWrap/>
            <w:vAlign w:val="bottom"/>
            <w:hideMark/>
          </w:tcPr>
          <w:p w14:paraId="474C2685"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w:t>
            </w:r>
          </w:p>
        </w:tc>
      </w:tr>
      <w:tr w:rsidR="000B0C76" w:rsidRPr="008009AF" w14:paraId="65C6AA61" w14:textId="77777777" w:rsidTr="00221500">
        <w:trPr>
          <w:trHeight w:val="300"/>
        </w:trPr>
        <w:tc>
          <w:tcPr>
            <w:tcW w:w="1696" w:type="dxa"/>
            <w:shd w:val="clear" w:color="auto" w:fill="auto"/>
            <w:noWrap/>
            <w:vAlign w:val="bottom"/>
            <w:hideMark/>
          </w:tcPr>
          <w:p w14:paraId="612446F6"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47C32428"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 Бобров</w:t>
            </w:r>
          </w:p>
        </w:tc>
        <w:tc>
          <w:tcPr>
            <w:tcW w:w="1502" w:type="dxa"/>
            <w:shd w:val="clear" w:color="auto" w:fill="auto"/>
            <w:noWrap/>
            <w:vAlign w:val="bottom"/>
            <w:hideMark/>
          </w:tcPr>
          <w:p w14:paraId="244EF5BD"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710,40</w:t>
            </w:r>
          </w:p>
        </w:tc>
        <w:tc>
          <w:tcPr>
            <w:tcW w:w="1073" w:type="dxa"/>
            <w:shd w:val="clear" w:color="auto" w:fill="auto"/>
            <w:noWrap/>
            <w:vAlign w:val="bottom"/>
            <w:hideMark/>
          </w:tcPr>
          <w:p w14:paraId="04361A0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1 190,51</w:t>
            </w:r>
          </w:p>
        </w:tc>
        <w:tc>
          <w:tcPr>
            <w:tcW w:w="1560" w:type="dxa"/>
            <w:shd w:val="clear" w:color="auto" w:fill="auto"/>
            <w:noWrap/>
            <w:vAlign w:val="bottom"/>
            <w:hideMark/>
          </w:tcPr>
          <w:p w14:paraId="2A90FACC"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1 721,38</w:t>
            </w:r>
          </w:p>
        </w:tc>
        <w:tc>
          <w:tcPr>
            <w:tcW w:w="915" w:type="dxa"/>
            <w:shd w:val="clear" w:color="auto" w:fill="auto"/>
            <w:noWrap/>
            <w:vAlign w:val="bottom"/>
            <w:hideMark/>
          </w:tcPr>
          <w:p w14:paraId="16F23ACE"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w:t>
            </w:r>
          </w:p>
        </w:tc>
      </w:tr>
      <w:tr w:rsidR="000B0C76" w:rsidRPr="008009AF" w14:paraId="3B325EF1" w14:textId="77777777" w:rsidTr="00221500">
        <w:trPr>
          <w:trHeight w:val="300"/>
        </w:trPr>
        <w:tc>
          <w:tcPr>
            <w:tcW w:w="1696" w:type="dxa"/>
            <w:shd w:val="clear" w:color="auto" w:fill="auto"/>
            <w:noWrap/>
            <w:vAlign w:val="bottom"/>
            <w:hideMark/>
          </w:tcPr>
          <w:p w14:paraId="11833843"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721220D4"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п.г.т. Анна</w:t>
            </w:r>
          </w:p>
        </w:tc>
        <w:tc>
          <w:tcPr>
            <w:tcW w:w="1502" w:type="dxa"/>
            <w:shd w:val="clear" w:color="auto" w:fill="auto"/>
            <w:noWrap/>
            <w:vAlign w:val="bottom"/>
            <w:hideMark/>
          </w:tcPr>
          <w:p w14:paraId="3C82519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636,02</w:t>
            </w:r>
          </w:p>
        </w:tc>
        <w:tc>
          <w:tcPr>
            <w:tcW w:w="1073" w:type="dxa"/>
            <w:shd w:val="clear" w:color="auto" w:fill="auto"/>
            <w:noWrap/>
            <w:vAlign w:val="bottom"/>
            <w:hideMark/>
          </w:tcPr>
          <w:p w14:paraId="6E80C8F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1 005,68</w:t>
            </w:r>
          </w:p>
        </w:tc>
        <w:tc>
          <w:tcPr>
            <w:tcW w:w="1560" w:type="dxa"/>
            <w:shd w:val="clear" w:color="auto" w:fill="auto"/>
            <w:noWrap/>
            <w:vAlign w:val="bottom"/>
            <w:hideMark/>
          </w:tcPr>
          <w:p w14:paraId="5DAADE5C"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1 627,84</w:t>
            </w:r>
          </w:p>
        </w:tc>
        <w:tc>
          <w:tcPr>
            <w:tcW w:w="915" w:type="dxa"/>
            <w:shd w:val="clear" w:color="auto" w:fill="auto"/>
            <w:noWrap/>
            <w:vAlign w:val="bottom"/>
            <w:hideMark/>
          </w:tcPr>
          <w:p w14:paraId="7F214A75"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w:t>
            </w:r>
          </w:p>
        </w:tc>
      </w:tr>
      <w:tr w:rsidR="000B0C76" w:rsidRPr="008009AF" w14:paraId="090D3CA4" w14:textId="77777777" w:rsidTr="00221500">
        <w:trPr>
          <w:trHeight w:val="300"/>
        </w:trPr>
        <w:tc>
          <w:tcPr>
            <w:tcW w:w="1696" w:type="dxa"/>
            <w:shd w:val="clear" w:color="auto" w:fill="auto"/>
            <w:noWrap/>
            <w:vAlign w:val="bottom"/>
            <w:hideMark/>
          </w:tcPr>
          <w:p w14:paraId="167127E2"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0E13C4E6"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 Поворино</w:t>
            </w:r>
          </w:p>
        </w:tc>
        <w:tc>
          <w:tcPr>
            <w:tcW w:w="1502" w:type="dxa"/>
            <w:shd w:val="clear" w:color="auto" w:fill="auto"/>
            <w:noWrap/>
            <w:vAlign w:val="bottom"/>
            <w:hideMark/>
          </w:tcPr>
          <w:p w14:paraId="27755D1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985,29</w:t>
            </w:r>
          </w:p>
        </w:tc>
        <w:tc>
          <w:tcPr>
            <w:tcW w:w="1073" w:type="dxa"/>
            <w:shd w:val="clear" w:color="auto" w:fill="auto"/>
            <w:noWrap/>
            <w:vAlign w:val="bottom"/>
            <w:hideMark/>
          </w:tcPr>
          <w:p w14:paraId="5C80CAF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1 287,90</w:t>
            </w:r>
          </w:p>
        </w:tc>
        <w:tc>
          <w:tcPr>
            <w:tcW w:w="1560" w:type="dxa"/>
            <w:shd w:val="clear" w:color="auto" w:fill="auto"/>
            <w:noWrap/>
            <w:vAlign w:val="bottom"/>
            <w:hideMark/>
          </w:tcPr>
          <w:p w14:paraId="53F650FF"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1 590,00</w:t>
            </w:r>
          </w:p>
        </w:tc>
        <w:tc>
          <w:tcPr>
            <w:tcW w:w="915" w:type="dxa"/>
            <w:shd w:val="clear" w:color="auto" w:fill="auto"/>
            <w:noWrap/>
            <w:vAlign w:val="bottom"/>
            <w:hideMark/>
          </w:tcPr>
          <w:p w14:paraId="2B8E317C"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w:t>
            </w:r>
          </w:p>
        </w:tc>
      </w:tr>
      <w:tr w:rsidR="000B0C76" w:rsidRPr="008009AF" w14:paraId="56E44F26" w14:textId="77777777" w:rsidTr="00221500">
        <w:trPr>
          <w:trHeight w:val="300"/>
        </w:trPr>
        <w:tc>
          <w:tcPr>
            <w:tcW w:w="1696" w:type="dxa"/>
            <w:shd w:val="clear" w:color="auto" w:fill="auto"/>
            <w:noWrap/>
            <w:vAlign w:val="bottom"/>
            <w:hideMark/>
          </w:tcPr>
          <w:p w14:paraId="5BDC03D8"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228C4C03"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р.п. Рамонь</w:t>
            </w:r>
          </w:p>
        </w:tc>
        <w:tc>
          <w:tcPr>
            <w:tcW w:w="1502" w:type="dxa"/>
            <w:shd w:val="clear" w:color="auto" w:fill="auto"/>
            <w:noWrap/>
            <w:vAlign w:val="bottom"/>
            <w:hideMark/>
          </w:tcPr>
          <w:p w14:paraId="7B4CE10F"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732,98</w:t>
            </w:r>
          </w:p>
        </w:tc>
        <w:tc>
          <w:tcPr>
            <w:tcW w:w="1073" w:type="dxa"/>
            <w:shd w:val="clear" w:color="auto" w:fill="auto"/>
            <w:noWrap/>
            <w:vAlign w:val="bottom"/>
            <w:hideMark/>
          </w:tcPr>
          <w:p w14:paraId="4F62F1B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1 181,26</w:t>
            </w:r>
          </w:p>
        </w:tc>
        <w:tc>
          <w:tcPr>
            <w:tcW w:w="1560" w:type="dxa"/>
            <w:shd w:val="clear" w:color="auto" w:fill="auto"/>
            <w:noWrap/>
            <w:vAlign w:val="bottom"/>
            <w:hideMark/>
          </w:tcPr>
          <w:p w14:paraId="21DFB74C"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1 523,25</w:t>
            </w:r>
          </w:p>
        </w:tc>
        <w:tc>
          <w:tcPr>
            <w:tcW w:w="915" w:type="dxa"/>
            <w:shd w:val="clear" w:color="auto" w:fill="auto"/>
            <w:noWrap/>
            <w:vAlign w:val="bottom"/>
            <w:hideMark/>
          </w:tcPr>
          <w:p w14:paraId="1E87B2D5"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w:t>
            </w:r>
          </w:p>
        </w:tc>
      </w:tr>
      <w:tr w:rsidR="000B0C76" w:rsidRPr="008009AF" w14:paraId="0ECA79EA" w14:textId="77777777" w:rsidTr="00221500">
        <w:trPr>
          <w:trHeight w:val="300"/>
        </w:trPr>
        <w:tc>
          <w:tcPr>
            <w:tcW w:w="1696" w:type="dxa"/>
            <w:shd w:val="clear" w:color="auto" w:fill="auto"/>
            <w:noWrap/>
            <w:vAlign w:val="bottom"/>
            <w:hideMark/>
          </w:tcPr>
          <w:p w14:paraId="0FBD405F"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6A5B2EA3"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р.п. Панино</w:t>
            </w:r>
          </w:p>
        </w:tc>
        <w:tc>
          <w:tcPr>
            <w:tcW w:w="1502" w:type="dxa"/>
            <w:shd w:val="clear" w:color="auto" w:fill="auto"/>
            <w:noWrap/>
            <w:vAlign w:val="bottom"/>
            <w:hideMark/>
          </w:tcPr>
          <w:p w14:paraId="471910E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830,10</w:t>
            </w:r>
          </w:p>
        </w:tc>
        <w:tc>
          <w:tcPr>
            <w:tcW w:w="1073" w:type="dxa"/>
            <w:shd w:val="clear" w:color="auto" w:fill="auto"/>
            <w:noWrap/>
            <w:vAlign w:val="bottom"/>
            <w:hideMark/>
          </w:tcPr>
          <w:p w14:paraId="27AA917D"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1 156,99</w:t>
            </w:r>
          </w:p>
        </w:tc>
        <w:tc>
          <w:tcPr>
            <w:tcW w:w="1560" w:type="dxa"/>
            <w:shd w:val="clear" w:color="auto" w:fill="auto"/>
            <w:noWrap/>
            <w:vAlign w:val="bottom"/>
            <w:hideMark/>
          </w:tcPr>
          <w:p w14:paraId="559C2FE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1 522,29</w:t>
            </w:r>
          </w:p>
        </w:tc>
        <w:tc>
          <w:tcPr>
            <w:tcW w:w="915" w:type="dxa"/>
            <w:shd w:val="clear" w:color="auto" w:fill="auto"/>
            <w:noWrap/>
            <w:vAlign w:val="bottom"/>
            <w:hideMark/>
          </w:tcPr>
          <w:p w14:paraId="63E6229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w:t>
            </w:r>
          </w:p>
        </w:tc>
      </w:tr>
      <w:tr w:rsidR="000B0C76" w:rsidRPr="008009AF" w14:paraId="3D724DA7" w14:textId="77777777" w:rsidTr="00221500">
        <w:trPr>
          <w:trHeight w:val="300"/>
        </w:trPr>
        <w:tc>
          <w:tcPr>
            <w:tcW w:w="1696" w:type="dxa"/>
            <w:shd w:val="clear" w:color="auto" w:fill="auto"/>
            <w:noWrap/>
            <w:vAlign w:val="bottom"/>
            <w:hideMark/>
          </w:tcPr>
          <w:p w14:paraId="08B3C52D"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73A0078B"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р.п. Новохоперский</w:t>
            </w:r>
          </w:p>
        </w:tc>
        <w:tc>
          <w:tcPr>
            <w:tcW w:w="1502" w:type="dxa"/>
            <w:shd w:val="clear" w:color="auto" w:fill="auto"/>
            <w:noWrap/>
            <w:vAlign w:val="bottom"/>
            <w:hideMark/>
          </w:tcPr>
          <w:p w14:paraId="5D4E422D"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1 034,16</w:t>
            </w:r>
          </w:p>
        </w:tc>
        <w:tc>
          <w:tcPr>
            <w:tcW w:w="1073" w:type="dxa"/>
            <w:shd w:val="clear" w:color="auto" w:fill="auto"/>
            <w:noWrap/>
            <w:vAlign w:val="bottom"/>
            <w:hideMark/>
          </w:tcPr>
          <w:p w14:paraId="1E4D9AB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1 233,82</w:t>
            </w:r>
          </w:p>
        </w:tc>
        <w:tc>
          <w:tcPr>
            <w:tcW w:w="1560" w:type="dxa"/>
            <w:shd w:val="clear" w:color="auto" w:fill="auto"/>
            <w:noWrap/>
            <w:vAlign w:val="bottom"/>
            <w:hideMark/>
          </w:tcPr>
          <w:p w14:paraId="2235BE5E"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1 378,86</w:t>
            </w:r>
          </w:p>
        </w:tc>
        <w:tc>
          <w:tcPr>
            <w:tcW w:w="915" w:type="dxa"/>
            <w:shd w:val="clear" w:color="auto" w:fill="auto"/>
            <w:noWrap/>
            <w:vAlign w:val="bottom"/>
            <w:hideMark/>
          </w:tcPr>
          <w:p w14:paraId="02D4EC1A"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w:t>
            </w:r>
          </w:p>
        </w:tc>
      </w:tr>
      <w:tr w:rsidR="000B0C76" w:rsidRPr="008009AF" w14:paraId="5037AF80" w14:textId="77777777" w:rsidTr="00221500">
        <w:trPr>
          <w:trHeight w:val="300"/>
        </w:trPr>
        <w:tc>
          <w:tcPr>
            <w:tcW w:w="1696" w:type="dxa"/>
            <w:shd w:val="clear" w:color="auto" w:fill="auto"/>
            <w:noWrap/>
            <w:vAlign w:val="bottom"/>
            <w:hideMark/>
          </w:tcPr>
          <w:p w14:paraId="6519DFF4"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2CB16DC8"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 Новохоперск</w:t>
            </w:r>
          </w:p>
        </w:tc>
        <w:tc>
          <w:tcPr>
            <w:tcW w:w="1502" w:type="dxa"/>
            <w:shd w:val="clear" w:color="auto" w:fill="auto"/>
            <w:noWrap/>
            <w:vAlign w:val="bottom"/>
            <w:hideMark/>
          </w:tcPr>
          <w:p w14:paraId="2DCD58D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936,40</w:t>
            </w:r>
          </w:p>
        </w:tc>
        <w:tc>
          <w:tcPr>
            <w:tcW w:w="1073" w:type="dxa"/>
            <w:shd w:val="clear" w:color="auto" w:fill="auto"/>
            <w:noWrap/>
            <w:vAlign w:val="bottom"/>
            <w:hideMark/>
          </w:tcPr>
          <w:p w14:paraId="39D5F903"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1 205,38</w:t>
            </w:r>
          </w:p>
        </w:tc>
        <w:tc>
          <w:tcPr>
            <w:tcW w:w="1560" w:type="dxa"/>
            <w:shd w:val="clear" w:color="auto" w:fill="auto"/>
            <w:noWrap/>
            <w:vAlign w:val="bottom"/>
            <w:hideMark/>
          </w:tcPr>
          <w:p w14:paraId="60BEB7D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1 366,16</w:t>
            </w:r>
          </w:p>
        </w:tc>
        <w:tc>
          <w:tcPr>
            <w:tcW w:w="915" w:type="dxa"/>
            <w:shd w:val="clear" w:color="auto" w:fill="auto"/>
            <w:noWrap/>
            <w:vAlign w:val="bottom"/>
            <w:hideMark/>
          </w:tcPr>
          <w:p w14:paraId="0F9E8A98"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w:t>
            </w:r>
          </w:p>
        </w:tc>
      </w:tr>
      <w:tr w:rsidR="000B0C76" w:rsidRPr="008009AF" w14:paraId="7FBDAFF4" w14:textId="77777777" w:rsidTr="00221500">
        <w:trPr>
          <w:trHeight w:val="300"/>
        </w:trPr>
        <w:tc>
          <w:tcPr>
            <w:tcW w:w="1696" w:type="dxa"/>
            <w:shd w:val="clear" w:color="auto" w:fill="auto"/>
            <w:noWrap/>
            <w:vAlign w:val="bottom"/>
            <w:hideMark/>
          </w:tcPr>
          <w:p w14:paraId="0354A9E1"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6205D130"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 Калач</w:t>
            </w:r>
          </w:p>
        </w:tc>
        <w:tc>
          <w:tcPr>
            <w:tcW w:w="1502" w:type="dxa"/>
            <w:shd w:val="clear" w:color="auto" w:fill="auto"/>
            <w:noWrap/>
            <w:vAlign w:val="bottom"/>
            <w:hideMark/>
          </w:tcPr>
          <w:p w14:paraId="1436FDFA"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752,40</w:t>
            </w:r>
          </w:p>
        </w:tc>
        <w:tc>
          <w:tcPr>
            <w:tcW w:w="1073" w:type="dxa"/>
            <w:shd w:val="clear" w:color="auto" w:fill="auto"/>
            <w:noWrap/>
            <w:vAlign w:val="bottom"/>
            <w:hideMark/>
          </w:tcPr>
          <w:p w14:paraId="1CBA1AA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986,88</w:t>
            </w:r>
          </w:p>
        </w:tc>
        <w:tc>
          <w:tcPr>
            <w:tcW w:w="1560" w:type="dxa"/>
            <w:shd w:val="clear" w:color="auto" w:fill="auto"/>
            <w:noWrap/>
            <w:vAlign w:val="bottom"/>
            <w:hideMark/>
          </w:tcPr>
          <w:p w14:paraId="2A9CCF9C"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1 301,39</w:t>
            </w:r>
          </w:p>
        </w:tc>
        <w:tc>
          <w:tcPr>
            <w:tcW w:w="915" w:type="dxa"/>
            <w:shd w:val="clear" w:color="auto" w:fill="auto"/>
            <w:noWrap/>
            <w:vAlign w:val="bottom"/>
            <w:hideMark/>
          </w:tcPr>
          <w:p w14:paraId="5CD558D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w:t>
            </w:r>
          </w:p>
        </w:tc>
      </w:tr>
      <w:tr w:rsidR="000B0C76" w:rsidRPr="008009AF" w14:paraId="5874AE84" w14:textId="77777777" w:rsidTr="00221500">
        <w:trPr>
          <w:trHeight w:val="300"/>
        </w:trPr>
        <w:tc>
          <w:tcPr>
            <w:tcW w:w="1696" w:type="dxa"/>
            <w:shd w:val="clear" w:color="auto" w:fill="auto"/>
            <w:noWrap/>
            <w:vAlign w:val="bottom"/>
            <w:hideMark/>
          </w:tcPr>
          <w:p w14:paraId="2B1415E8"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3C993F45"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р.п. Латная</w:t>
            </w:r>
          </w:p>
        </w:tc>
        <w:tc>
          <w:tcPr>
            <w:tcW w:w="1502" w:type="dxa"/>
            <w:shd w:val="clear" w:color="auto" w:fill="auto"/>
            <w:noWrap/>
            <w:vAlign w:val="bottom"/>
            <w:hideMark/>
          </w:tcPr>
          <w:p w14:paraId="5E1D19AC"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759,99</w:t>
            </w:r>
          </w:p>
        </w:tc>
        <w:tc>
          <w:tcPr>
            <w:tcW w:w="1073" w:type="dxa"/>
            <w:shd w:val="clear" w:color="auto" w:fill="auto"/>
            <w:noWrap/>
            <w:vAlign w:val="bottom"/>
            <w:hideMark/>
          </w:tcPr>
          <w:p w14:paraId="1D6ED2FF"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953,07</w:t>
            </w:r>
          </w:p>
        </w:tc>
        <w:tc>
          <w:tcPr>
            <w:tcW w:w="1560" w:type="dxa"/>
            <w:shd w:val="clear" w:color="auto" w:fill="auto"/>
            <w:noWrap/>
            <w:vAlign w:val="bottom"/>
            <w:hideMark/>
          </w:tcPr>
          <w:p w14:paraId="3FA14F9D"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1 392,77</w:t>
            </w:r>
          </w:p>
        </w:tc>
        <w:tc>
          <w:tcPr>
            <w:tcW w:w="915" w:type="dxa"/>
            <w:shd w:val="clear" w:color="auto" w:fill="auto"/>
            <w:noWrap/>
            <w:vAlign w:val="bottom"/>
            <w:hideMark/>
          </w:tcPr>
          <w:p w14:paraId="2A77FEBF"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w:t>
            </w:r>
          </w:p>
        </w:tc>
      </w:tr>
      <w:tr w:rsidR="000B0C76" w:rsidRPr="008009AF" w14:paraId="26E2012F" w14:textId="77777777" w:rsidTr="00221500">
        <w:trPr>
          <w:trHeight w:val="300"/>
        </w:trPr>
        <w:tc>
          <w:tcPr>
            <w:tcW w:w="1696" w:type="dxa"/>
            <w:shd w:val="clear" w:color="auto" w:fill="auto"/>
            <w:noWrap/>
            <w:vAlign w:val="bottom"/>
            <w:hideMark/>
          </w:tcPr>
          <w:p w14:paraId="0F57E296"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399C45CC"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р.п. Стрелица</w:t>
            </w:r>
          </w:p>
        </w:tc>
        <w:tc>
          <w:tcPr>
            <w:tcW w:w="1502" w:type="dxa"/>
            <w:shd w:val="clear" w:color="auto" w:fill="auto"/>
            <w:noWrap/>
            <w:vAlign w:val="bottom"/>
            <w:hideMark/>
          </w:tcPr>
          <w:p w14:paraId="3B2E6A8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722,91</w:t>
            </w:r>
          </w:p>
        </w:tc>
        <w:tc>
          <w:tcPr>
            <w:tcW w:w="1073" w:type="dxa"/>
            <w:shd w:val="clear" w:color="auto" w:fill="auto"/>
            <w:noWrap/>
            <w:vAlign w:val="bottom"/>
            <w:hideMark/>
          </w:tcPr>
          <w:p w14:paraId="7EB927C3"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956,52</w:t>
            </w:r>
          </w:p>
        </w:tc>
        <w:tc>
          <w:tcPr>
            <w:tcW w:w="1560" w:type="dxa"/>
            <w:shd w:val="clear" w:color="auto" w:fill="auto"/>
            <w:noWrap/>
            <w:vAlign w:val="bottom"/>
            <w:hideMark/>
          </w:tcPr>
          <w:p w14:paraId="20374D91"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1 344,27</w:t>
            </w:r>
          </w:p>
        </w:tc>
        <w:tc>
          <w:tcPr>
            <w:tcW w:w="915" w:type="dxa"/>
            <w:shd w:val="clear" w:color="auto" w:fill="auto"/>
            <w:noWrap/>
            <w:vAlign w:val="bottom"/>
            <w:hideMark/>
          </w:tcPr>
          <w:p w14:paraId="04A7728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w:t>
            </w:r>
          </w:p>
        </w:tc>
      </w:tr>
      <w:tr w:rsidR="000B0C76" w:rsidRPr="008009AF" w14:paraId="2712FD39" w14:textId="77777777" w:rsidTr="00221500">
        <w:trPr>
          <w:trHeight w:val="300"/>
        </w:trPr>
        <w:tc>
          <w:tcPr>
            <w:tcW w:w="1696" w:type="dxa"/>
            <w:shd w:val="clear" w:color="auto" w:fill="auto"/>
            <w:noWrap/>
            <w:vAlign w:val="bottom"/>
            <w:hideMark/>
          </w:tcPr>
          <w:p w14:paraId="475434E0"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047D5630"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р.п. Кантемировка</w:t>
            </w:r>
          </w:p>
        </w:tc>
        <w:tc>
          <w:tcPr>
            <w:tcW w:w="1502" w:type="dxa"/>
            <w:shd w:val="clear" w:color="auto" w:fill="auto"/>
            <w:noWrap/>
            <w:vAlign w:val="bottom"/>
            <w:hideMark/>
          </w:tcPr>
          <w:p w14:paraId="576016A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757,52</w:t>
            </w:r>
          </w:p>
        </w:tc>
        <w:tc>
          <w:tcPr>
            <w:tcW w:w="1073" w:type="dxa"/>
            <w:shd w:val="clear" w:color="auto" w:fill="auto"/>
            <w:noWrap/>
            <w:vAlign w:val="bottom"/>
            <w:hideMark/>
          </w:tcPr>
          <w:p w14:paraId="1C50D1E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956,28</w:t>
            </w:r>
          </w:p>
        </w:tc>
        <w:tc>
          <w:tcPr>
            <w:tcW w:w="1560" w:type="dxa"/>
            <w:shd w:val="clear" w:color="auto" w:fill="auto"/>
            <w:noWrap/>
            <w:vAlign w:val="bottom"/>
            <w:hideMark/>
          </w:tcPr>
          <w:p w14:paraId="6390E288"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1 264,91</w:t>
            </w:r>
          </w:p>
        </w:tc>
        <w:tc>
          <w:tcPr>
            <w:tcW w:w="915" w:type="dxa"/>
            <w:shd w:val="clear" w:color="auto" w:fill="auto"/>
            <w:noWrap/>
            <w:vAlign w:val="bottom"/>
            <w:hideMark/>
          </w:tcPr>
          <w:p w14:paraId="484F58E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w:t>
            </w:r>
          </w:p>
        </w:tc>
      </w:tr>
      <w:tr w:rsidR="000B0C76" w:rsidRPr="008009AF" w14:paraId="458B8524" w14:textId="77777777" w:rsidTr="00221500">
        <w:trPr>
          <w:trHeight w:val="300"/>
        </w:trPr>
        <w:tc>
          <w:tcPr>
            <w:tcW w:w="1696" w:type="dxa"/>
            <w:shd w:val="clear" w:color="auto" w:fill="auto"/>
            <w:noWrap/>
            <w:vAlign w:val="bottom"/>
            <w:hideMark/>
          </w:tcPr>
          <w:p w14:paraId="1E8942FC"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12DB77C5"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р.п. Таловая</w:t>
            </w:r>
          </w:p>
        </w:tc>
        <w:tc>
          <w:tcPr>
            <w:tcW w:w="1502" w:type="dxa"/>
            <w:shd w:val="clear" w:color="auto" w:fill="auto"/>
            <w:noWrap/>
            <w:vAlign w:val="bottom"/>
            <w:hideMark/>
          </w:tcPr>
          <w:p w14:paraId="088E793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755,25</w:t>
            </w:r>
          </w:p>
        </w:tc>
        <w:tc>
          <w:tcPr>
            <w:tcW w:w="1073" w:type="dxa"/>
            <w:shd w:val="clear" w:color="auto" w:fill="auto"/>
            <w:noWrap/>
            <w:vAlign w:val="bottom"/>
            <w:hideMark/>
          </w:tcPr>
          <w:p w14:paraId="5CCCF2BE"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975,01</w:t>
            </w:r>
          </w:p>
        </w:tc>
        <w:tc>
          <w:tcPr>
            <w:tcW w:w="1560" w:type="dxa"/>
            <w:shd w:val="clear" w:color="auto" w:fill="auto"/>
            <w:noWrap/>
            <w:vAlign w:val="bottom"/>
            <w:hideMark/>
          </w:tcPr>
          <w:p w14:paraId="3D8952F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1 212,64</w:t>
            </w:r>
          </w:p>
        </w:tc>
        <w:tc>
          <w:tcPr>
            <w:tcW w:w="915" w:type="dxa"/>
            <w:shd w:val="clear" w:color="auto" w:fill="auto"/>
            <w:noWrap/>
            <w:vAlign w:val="bottom"/>
            <w:hideMark/>
          </w:tcPr>
          <w:p w14:paraId="5840B5CE"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w:t>
            </w:r>
          </w:p>
        </w:tc>
      </w:tr>
      <w:tr w:rsidR="000B0C76" w:rsidRPr="008009AF" w14:paraId="0418350A" w14:textId="77777777" w:rsidTr="00221500">
        <w:trPr>
          <w:trHeight w:val="300"/>
        </w:trPr>
        <w:tc>
          <w:tcPr>
            <w:tcW w:w="1696" w:type="dxa"/>
            <w:shd w:val="clear" w:color="auto" w:fill="auto"/>
            <w:noWrap/>
            <w:vAlign w:val="bottom"/>
            <w:hideMark/>
          </w:tcPr>
          <w:p w14:paraId="147F7FBC"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7A5417F9"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р.п. Ольховатка</w:t>
            </w:r>
          </w:p>
        </w:tc>
        <w:tc>
          <w:tcPr>
            <w:tcW w:w="1502" w:type="dxa"/>
            <w:shd w:val="clear" w:color="auto" w:fill="auto"/>
            <w:noWrap/>
            <w:vAlign w:val="bottom"/>
            <w:hideMark/>
          </w:tcPr>
          <w:p w14:paraId="0728B302"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736,43</w:t>
            </w:r>
          </w:p>
        </w:tc>
        <w:tc>
          <w:tcPr>
            <w:tcW w:w="1073" w:type="dxa"/>
            <w:shd w:val="clear" w:color="auto" w:fill="auto"/>
            <w:noWrap/>
            <w:vAlign w:val="bottom"/>
            <w:hideMark/>
          </w:tcPr>
          <w:p w14:paraId="3F67F778"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982,11</w:t>
            </w:r>
          </w:p>
        </w:tc>
        <w:tc>
          <w:tcPr>
            <w:tcW w:w="1560" w:type="dxa"/>
            <w:shd w:val="clear" w:color="auto" w:fill="auto"/>
            <w:noWrap/>
            <w:vAlign w:val="bottom"/>
            <w:hideMark/>
          </w:tcPr>
          <w:p w14:paraId="128D82B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1 197,17</w:t>
            </w:r>
          </w:p>
        </w:tc>
        <w:tc>
          <w:tcPr>
            <w:tcW w:w="915" w:type="dxa"/>
            <w:shd w:val="clear" w:color="auto" w:fill="auto"/>
            <w:noWrap/>
            <w:vAlign w:val="bottom"/>
            <w:hideMark/>
          </w:tcPr>
          <w:p w14:paraId="59DCBBA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w:t>
            </w:r>
          </w:p>
        </w:tc>
      </w:tr>
      <w:tr w:rsidR="000B0C76" w:rsidRPr="008009AF" w14:paraId="67E5AEE0" w14:textId="77777777" w:rsidTr="00221500">
        <w:trPr>
          <w:trHeight w:val="300"/>
        </w:trPr>
        <w:tc>
          <w:tcPr>
            <w:tcW w:w="1696" w:type="dxa"/>
            <w:shd w:val="clear" w:color="auto" w:fill="auto"/>
            <w:noWrap/>
            <w:vAlign w:val="bottom"/>
            <w:hideMark/>
          </w:tcPr>
          <w:p w14:paraId="2FB770AA"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2B69EDCB"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п.г.т. Грибановский</w:t>
            </w:r>
          </w:p>
        </w:tc>
        <w:tc>
          <w:tcPr>
            <w:tcW w:w="1502" w:type="dxa"/>
            <w:shd w:val="clear" w:color="auto" w:fill="auto"/>
            <w:noWrap/>
            <w:vAlign w:val="bottom"/>
            <w:hideMark/>
          </w:tcPr>
          <w:p w14:paraId="19D45BE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706,67</w:t>
            </w:r>
          </w:p>
        </w:tc>
        <w:tc>
          <w:tcPr>
            <w:tcW w:w="1073" w:type="dxa"/>
            <w:shd w:val="clear" w:color="auto" w:fill="auto"/>
            <w:noWrap/>
            <w:vAlign w:val="bottom"/>
            <w:hideMark/>
          </w:tcPr>
          <w:p w14:paraId="02D5F6D3"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982,53</w:t>
            </w:r>
          </w:p>
        </w:tc>
        <w:tc>
          <w:tcPr>
            <w:tcW w:w="1560" w:type="dxa"/>
            <w:shd w:val="clear" w:color="auto" w:fill="auto"/>
            <w:noWrap/>
            <w:vAlign w:val="bottom"/>
            <w:hideMark/>
          </w:tcPr>
          <w:p w14:paraId="656AAA95"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1 185,60</w:t>
            </w:r>
          </w:p>
        </w:tc>
        <w:tc>
          <w:tcPr>
            <w:tcW w:w="915" w:type="dxa"/>
            <w:shd w:val="clear" w:color="auto" w:fill="auto"/>
            <w:noWrap/>
            <w:vAlign w:val="bottom"/>
            <w:hideMark/>
          </w:tcPr>
          <w:p w14:paraId="481EFD3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w:t>
            </w:r>
          </w:p>
        </w:tc>
      </w:tr>
      <w:tr w:rsidR="000B0C76" w:rsidRPr="008009AF" w14:paraId="353B10E0" w14:textId="77777777" w:rsidTr="00221500">
        <w:trPr>
          <w:trHeight w:val="300"/>
        </w:trPr>
        <w:tc>
          <w:tcPr>
            <w:tcW w:w="1696" w:type="dxa"/>
            <w:shd w:val="clear" w:color="auto" w:fill="auto"/>
            <w:noWrap/>
            <w:vAlign w:val="bottom"/>
            <w:hideMark/>
          </w:tcPr>
          <w:p w14:paraId="7172BD89"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59DE1BC4"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р.п. Давыдовка</w:t>
            </w:r>
          </w:p>
        </w:tc>
        <w:tc>
          <w:tcPr>
            <w:tcW w:w="1502" w:type="dxa"/>
            <w:shd w:val="clear" w:color="auto" w:fill="auto"/>
            <w:noWrap/>
            <w:vAlign w:val="bottom"/>
            <w:hideMark/>
          </w:tcPr>
          <w:p w14:paraId="38DC16B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495,50</w:t>
            </w:r>
          </w:p>
        </w:tc>
        <w:tc>
          <w:tcPr>
            <w:tcW w:w="1073" w:type="dxa"/>
            <w:shd w:val="clear" w:color="auto" w:fill="auto"/>
            <w:noWrap/>
            <w:vAlign w:val="bottom"/>
            <w:hideMark/>
          </w:tcPr>
          <w:p w14:paraId="6E60C651"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803,73</w:t>
            </w:r>
          </w:p>
        </w:tc>
        <w:tc>
          <w:tcPr>
            <w:tcW w:w="1560" w:type="dxa"/>
            <w:shd w:val="clear" w:color="auto" w:fill="auto"/>
            <w:noWrap/>
            <w:vAlign w:val="bottom"/>
            <w:hideMark/>
          </w:tcPr>
          <w:p w14:paraId="11A50F15"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1 172,66</w:t>
            </w:r>
          </w:p>
        </w:tc>
        <w:tc>
          <w:tcPr>
            <w:tcW w:w="915" w:type="dxa"/>
            <w:shd w:val="clear" w:color="auto" w:fill="auto"/>
            <w:noWrap/>
            <w:vAlign w:val="bottom"/>
            <w:hideMark/>
          </w:tcPr>
          <w:p w14:paraId="044063A3"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w:t>
            </w:r>
          </w:p>
        </w:tc>
      </w:tr>
      <w:tr w:rsidR="000B0C76" w:rsidRPr="008009AF" w14:paraId="770645EC" w14:textId="77777777" w:rsidTr="00221500">
        <w:trPr>
          <w:trHeight w:val="300"/>
        </w:trPr>
        <w:tc>
          <w:tcPr>
            <w:tcW w:w="1696" w:type="dxa"/>
            <w:shd w:val="clear" w:color="auto" w:fill="auto"/>
            <w:noWrap/>
            <w:vAlign w:val="bottom"/>
            <w:hideMark/>
          </w:tcPr>
          <w:p w14:paraId="36031EBE"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30BF2FCC"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р.п. Хохольский</w:t>
            </w:r>
          </w:p>
        </w:tc>
        <w:tc>
          <w:tcPr>
            <w:tcW w:w="1502" w:type="dxa"/>
            <w:shd w:val="clear" w:color="auto" w:fill="auto"/>
            <w:noWrap/>
            <w:vAlign w:val="bottom"/>
            <w:hideMark/>
          </w:tcPr>
          <w:p w14:paraId="3199779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648,30</w:t>
            </w:r>
          </w:p>
        </w:tc>
        <w:tc>
          <w:tcPr>
            <w:tcW w:w="1073" w:type="dxa"/>
            <w:shd w:val="clear" w:color="auto" w:fill="auto"/>
            <w:noWrap/>
            <w:vAlign w:val="bottom"/>
            <w:hideMark/>
          </w:tcPr>
          <w:p w14:paraId="678E4E9F"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841,06</w:t>
            </w:r>
          </w:p>
        </w:tc>
        <w:tc>
          <w:tcPr>
            <w:tcW w:w="1560" w:type="dxa"/>
            <w:shd w:val="clear" w:color="auto" w:fill="auto"/>
            <w:noWrap/>
            <w:vAlign w:val="bottom"/>
            <w:hideMark/>
          </w:tcPr>
          <w:p w14:paraId="596B1761"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1 065,60</w:t>
            </w:r>
          </w:p>
        </w:tc>
        <w:tc>
          <w:tcPr>
            <w:tcW w:w="915" w:type="dxa"/>
            <w:shd w:val="clear" w:color="auto" w:fill="auto"/>
            <w:noWrap/>
            <w:vAlign w:val="bottom"/>
            <w:hideMark/>
          </w:tcPr>
          <w:p w14:paraId="7C6CDA7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w:t>
            </w:r>
          </w:p>
        </w:tc>
      </w:tr>
      <w:tr w:rsidR="000B0C76" w:rsidRPr="008009AF" w14:paraId="44C66771" w14:textId="77777777" w:rsidTr="00221500">
        <w:trPr>
          <w:trHeight w:val="300"/>
        </w:trPr>
        <w:tc>
          <w:tcPr>
            <w:tcW w:w="1696" w:type="dxa"/>
            <w:shd w:val="clear" w:color="auto" w:fill="auto"/>
            <w:noWrap/>
            <w:vAlign w:val="bottom"/>
            <w:hideMark/>
          </w:tcPr>
          <w:p w14:paraId="46B55337"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35462EC9"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р.п. Нижний Кисляй</w:t>
            </w:r>
          </w:p>
        </w:tc>
        <w:tc>
          <w:tcPr>
            <w:tcW w:w="1502" w:type="dxa"/>
            <w:shd w:val="clear" w:color="auto" w:fill="auto"/>
            <w:noWrap/>
            <w:vAlign w:val="bottom"/>
            <w:hideMark/>
          </w:tcPr>
          <w:p w14:paraId="607DABA3"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267,52</w:t>
            </w:r>
          </w:p>
        </w:tc>
        <w:tc>
          <w:tcPr>
            <w:tcW w:w="1073" w:type="dxa"/>
            <w:shd w:val="clear" w:color="auto" w:fill="auto"/>
            <w:noWrap/>
            <w:vAlign w:val="bottom"/>
            <w:hideMark/>
          </w:tcPr>
          <w:p w14:paraId="502E652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332,73</w:t>
            </w:r>
          </w:p>
        </w:tc>
        <w:tc>
          <w:tcPr>
            <w:tcW w:w="1560" w:type="dxa"/>
            <w:shd w:val="clear" w:color="auto" w:fill="auto"/>
            <w:noWrap/>
            <w:vAlign w:val="bottom"/>
            <w:hideMark/>
          </w:tcPr>
          <w:p w14:paraId="1EEB7A5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424,00</w:t>
            </w:r>
          </w:p>
        </w:tc>
        <w:tc>
          <w:tcPr>
            <w:tcW w:w="915" w:type="dxa"/>
            <w:shd w:val="clear" w:color="auto" w:fill="auto"/>
            <w:noWrap/>
            <w:vAlign w:val="bottom"/>
            <w:hideMark/>
          </w:tcPr>
          <w:p w14:paraId="4AC00D2D"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w:t>
            </w:r>
          </w:p>
        </w:tc>
      </w:tr>
      <w:tr w:rsidR="000B0C76" w:rsidRPr="008009AF" w14:paraId="0E752461" w14:textId="77777777" w:rsidTr="00221500">
        <w:trPr>
          <w:trHeight w:val="300"/>
        </w:trPr>
        <w:tc>
          <w:tcPr>
            <w:tcW w:w="1696" w:type="dxa"/>
            <w:shd w:val="clear" w:color="auto" w:fill="auto"/>
            <w:noWrap/>
            <w:vAlign w:val="bottom"/>
            <w:hideMark/>
          </w:tcPr>
          <w:p w14:paraId="0A7B29B4"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31FB9517"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р.п. Елань-Коленовский</w:t>
            </w:r>
          </w:p>
        </w:tc>
        <w:tc>
          <w:tcPr>
            <w:tcW w:w="1502" w:type="dxa"/>
            <w:shd w:val="clear" w:color="auto" w:fill="auto"/>
            <w:noWrap/>
            <w:vAlign w:val="bottom"/>
            <w:hideMark/>
          </w:tcPr>
          <w:p w14:paraId="1B935DC3"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375,33</w:t>
            </w:r>
          </w:p>
        </w:tc>
        <w:tc>
          <w:tcPr>
            <w:tcW w:w="1073" w:type="dxa"/>
            <w:shd w:val="clear" w:color="auto" w:fill="auto"/>
            <w:noWrap/>
            <w:vAlign w:val="bottom"/>
            <w:hideMark/>
          </w:tcPr>
          <w:p w14:paraId="7F80C37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395,67</w:t>
            </w:r>
          </w:p>
        </w:tc>
        <w:tc>
          <w:tcPr>
            <w:tcW w:w="1560" w:type="dxa"/>
            <w:shd w:val="clear" w:color="auto" w:fill="auto"/>
            <w:noWrap/>
            <w:vAlign w:val="bottom"/>
            <w:hideMark/>
          </w:tcPr>
          <w:p w14:paraId="09D7FDA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416,00</w:t>
            </w:r>
          </w:p>
        </w:tc>
        <w:tc>
          <w:tcPr>
            <w:tcW w:w="915" w:type="dxa"/>
            <w:shd w:val="clear" w:color="auto" w:fill="auto"/>
            <w:noWrap/>
            <w:vAlign w:val="bottom"/>
            <w:hideMark/>
          </w:tcPr>
          <w:p w14:paraId="3E2AE3E2"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w:t>
            </w:r>
          </w:p>
        </w:tc>
      </w:tr>
      <w:tr w:rsidR="000B0C76" w:rsidRPr="008009AF" w14:paraId="6CE72804" w14:textId="77777777" w:rsidTr="00221500">
        <w:trPr>
          <w:trHeight w:val="300"/>
        </w:trPr>
        <w:tc>
          <w:tcPr>
            <w:tcW w:w="1696" w:type="dxa"/>
            <w:shd w:val="clear" w:color="auto" w:fill="auto"/>
            <w:noWrap/>
            <w:vAlign w:val="bottom"/>
            <w:hideMark/>
          </w:tcPr>
          <w:p w14:paraId="3F015775"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ГНП</w:t>
            </w:r>
          </w:p>
        </w:tc>
        <w:tc>
          <w:tcPr>
            <w:tcW w:w="2528" w:type="dxa"/>
            <w:shd w:val="clear" w:color="auto" w:fill="auto"/>
            <w:noWrap/>
            <w:vAlign w:val="bottom"/>
            <w:hideMark/>
          </w:tcPr>
          <w:p w14:paraId="31850284"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р.п. Перелешинский</w:t>
            </w:r>
          </w:p>
        </w:tc>
        <w:tc>
          <w:tcPr>
            <w:tcW w:w="1502" w:type="dxa"/>
            <w:shd w:val="clear" w:color="auto" w:fill="auto"/>
            <w:noWrap/>
            <w:vAlign w:val="bottom"/>
            <w:hideMark/>
          </w:tcPr>
          <w:p w14:paraId="56BE41B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245,10</w:t>
            </w:r>
          </w:p>
        </w:tc>
        <w:tc>
          <w:tcPr>
            <w:tcW w:w="1073" w:type="dxa"/>
            <w:shd w:val="clear" w:color="auto" w:fill="auto"/>
            <w:noWrap/>
            <w:vAlign w:val="bottom"/>
            <w:hideMark/>
          </w:tcPr>
          <w:p w14:paraId="5BEBF96C"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245,10</w:t>
            </w:r>
          </w:p>
        </w:tc>
        <w:tc>
          <w:tcPr>
            <w:tcW w:w="1560" w:type="dxa"/>
            <w:shd w:val="clear" w:color="auto" w:fill="auto"/>
            <w:noWrap/>
            <w:vAlign w:val="bottom"/>
            <w:hideMark/>
          </w:tcPr>
          <w:p w14:paraId="06CC8C5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245,10</w:t>
            </w:r>
          </w:p>
        </w:tc>
        <w:tc>
          <w:tcPr>
            <w:tcW w:w="915" w:type="dxa"/>
            <w:shd w:val="clear" w:color="auto" w:fill="auto"/>
            <w:noWrap/>
            <w:vAlign w:val="bottom"/>
            <w:hideMark/>
          </w:tcPr>
          <w:p w14:paraId="702F980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w:t>
            </w:r>
          </w:p>
        </w:tc>
      </w:tr>
      <w:tr w:rsidR="000B0C76" w:rsidRPr="008009AF" w14:paraId="0973D8A9" w14:textId="77777777" w:rsidTr="00221500">
        <w:trPr>
          <w:trHeight w:val="300"/>
        </w:trPr>
        <w:tc>
          <w:tcPr>
            <w:tcW w:w="1696" w:type="dxa"/>
            <w:shd w:val="clear" w:color="auto" w:fill="auto"/>
            <w:noWrap/>
            <w:vAlign w:val="bottom"/>
            <w:hideMark/>
          </w:tcPr>
          <w:p w14:paraId="7AF71092"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w:t>
            </w:r>
            <w:r w:rsidRPr="008009AF">
              <w:rPr>
                <w:rFonts w:ascii="Times New Roman" w:eastAsia="Times New Roman" w:hAnsi="Times New Roman" w:cs="Times New Roman"/>
                <w:lang w:val="en-US" w:eastAsia="ru-RU"/>
              </w:rPr>
              <w:t>/</w:t>
            </w:r>
            <w:r w:rsidRPr="008009AF">
              <w:rPr>
                <w:rFonts w:ascii="Times New Roman" w:eastAsia="Times New Roman" w:hAnsi="Times New Roman" w:cs="Times New Roman"/>
                <w:lang w:eastAsia="ru-RU"/>
              </w:rPr>
              <w:t>МС</w:t>
            </w:r>
          </w:p>
        </w:tc>
        <w:tc>
          <w:tcPr>
            <w:tcW w:w="2528" w:type="dxa"/>
            <w:shd w:val="clear" w:color="auto" w:fill="auto"/>
            <w:noWrap/>
            <w:vAlign w:val="bottom"/>
            <w:hideMark/>
          </w:tcPr>
          <w:p w14:paraId="73439943"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Новоусманский</w:t>
            </w:r>
          </w:p>
        </w:tc>
        <w:tc>
          <w:tcPr>
            <w:tcW w:w="1502" w:type="dxa"/>
            <w:shd w:val="clear" w:color="auto" w:fill="auto"/>
            <w:noWrap/>
            <w:vAlign w:val="bottom"/>
            <w:hideMark/>
          </w:tcPr>
          <w:p w14:paraId="035B92A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34,99</w:t>
            </w:r>
          </w:p>
        </w:tc>
        <w:tc>
          <w:tcPr>
            <w:tcW w:w="1073" w:type="dxa"/>
            <w:shd w:val="clear" w:color="auto" w:fill="auto"/>
            <w:noWrap/>
            <w:vAlign w:val="bottom"/>
            <w:hideMark/>
          </w:tcPr>
          <w:p w14:paraId="6B15FF7C"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638,22</w:t>
            </w:r>
          </w:p>
        </w:tc>
        <w:tc>
          <w:tcPr>
            <w:tcW w:w="1560" w:type="dxa"/>
            <w:shd w:val="clear" w:color="auto" w:fill="auto"/>
            <w:noWrap/>
            <w:vAlign w:val="bottom"/>
            <w:hideMark/>
          </w:tcPr>
          <w:p w14:paraId="45F72AB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6 052,28</w:t>
            </w:r>
          </w:p>
        </w:tc>
        <w:tc>
          <w:tcPr>
            <w:tcW w:w="915" w:type="dxa"/>
            <w:shd w:val="clear" w:color="auto" w:fill="auto"/>
            <w:noWrap/>
            <w:vAlign w:val="bottom"/>
            <w:hideMark/>
          </w:tcPr>
          <w:p w14:paraId="362D787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5</w:t>
            </w:r>
          </w:p>
        </w:tc>
      </w:tr>
      <w:tr w:rsidR="000B0C76" w:rsidRPr="008009AF" w14:paraId="524D0579" w14:textId="77777777" w:rsidTr="00221500">
        <w:trPr>
          <w:trHeight w:val="300"/>
        </w:trPr>
        <w:tc>
          <w:tcPr>
            <w:tcW w:w="1696" w:type="dxa"/>
            <w:shd w:val="clear" w:color="auto" w:fill="auto"/>
            <w:noWrap/>
            <w:vAlign w:val="bottom"/>
            <w:hideMark/>
          </w:tcPr>
          <w:p w14:paraId="3C4B73EE"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w:t>
            </w:r>
            <w:r w:rsidRPr="008009AF">
              <w:rPr>
                <w:rFonts w:ascii="Times New Roman" w:eastAsia="Times New Roman" w:hAnsi="Times New Roman" w:cs="Times New Roman"/>
                <w:lang w:val="en-US" w:eastAsia="ru-RU"/>
              </w:rPr>
              <w:t>/</w:t>
            </w:r>
            <w:r w:rsidRPr="008009AF">
              <w:rPr>
                <w:rFonts w:ascii="Times New Roman" w:eastAsia="Times New Roman" w:hAnsi="Times New Roman" w:cs="Times New Roman"/>
                <w:lang w:eastAsia="ru-RU"/>
              </w:rPr>
              <w:t>МС</w:t>
            </w:r>
          </w:p>
        </w:tc>
        <w:tc>
          <w:tcPr>
            <w:tcW w:w="2528" w:type="dxa"/>
            <w:shd w:val="clear" w:color="auto" w:fill="auto"/>
            <w:noWrap/>
            <w:vAlign w:val="bottom"/>
            <w:hideMark/>
          </w:tcPr>
          <w:p w14:paraId="35AB5591"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Семилукский</w:t>
            </w:r>
          </w:p>
        </w:tc>
        <w:tc>
          <w:tcPr>
            <w:tcW w:w="1502" w:type="dxa"/>
            <w:shd w:val="clear" w:color="auto" w:fill="auto"/>
            <w:noWrap/>
            <w:vAlign w:val="bottom"/>
            <w:hideMark/>
          </w:tcPr>
          <w:p w14:paraId="08FE68EE"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30,24</w:t>
            </w:r>
          </w:p>
        </w:tc>
        <w:tc>
          <w:tcPr>
            <w:tcW w:w="1073" w:type="dxa"/>
            <w:shd w:val="clear" w:color="auto" w:fill="auto"/>
            <w:noWrap/>
            <w:vAlign w:val="bottom"/>
            <w:hideMark/>
          </w:tcPr>
          <w:p w14:paraId="230C305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374,66</w:t>
            </w:r>
          </w:p>
        </w:tc>
        <w:tc>
          <w:tcPr>
            <w:tcW w:w="1560" w:type="dxa"/>
            <w:shd w:val="clear" w:color="auto" w:fill="auto"/>
            <w:noWrap/>
            <w:vAlign w:val="bottom"/>
            <w:hideMark/>
          </w:tcPr>
          <w:p w14:paraId="25A7C7E3"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4 260,55</w:t>
            </w:r>
          </w:p>
        </w:tc>
        <w:tc>
          <w:tcPr>
            <w:tcW w:w="915" w:type="dxa"/>
            <w:shd w:val="clear" w:color="auto" w:fill="auto"/>
            <w:noWrap/>
            <w:vAlign w:val="bottom"/>
            <w:hideMark/>
          </w:tcPr>
          <w:p w14:paraId="30AC051D"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5</w:t>
            </w:r>
          </w:p>
        </w:tc>
      </w:tr>
      <w:tr w:rsidR="000B0C76" w:rsidRPr="008009AF" w14:paraId="2AA3D580" w14:textId="77777777" w:rsidTr="00221500">
        <w:trPr>
          <w:trHeight w:val="300"/>
        </w:trPr>
        <w:tc>
          <w:tcPr>
            <w:tcW w:w="1696" w:type="dxa"/>
            <w:shd w:val="clear" w:color="auto" w:fill="auto"/>
            <w:noWrap/>
            <w:vAlign w:val="bottom"/>
            <w:hideMark/>
          </w:tcPr>
          <w:p w14:paraId="6FD7C7EC"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w:t>
            </w:r>
            <w:r w:rsidRPr="008009AF">
              <w:rPr>
                <w:rFonts w:ascii="Times New Roman" w:eastAsia="Times New Roman" w:hAnsi="Times New Roman" w:cs="Times New Roman"/>
                <w:lang w:val="en-US" w:eastAsia="ru-RU"/>
              </w:rPr>
              <w:t>/</w:t>
            </w:r>
            <w:r w:rsidRPr="008009AF">
              <w:rPr>
                <w:rFonts w:ascii="Times New Roman" w:eastAsia="Times New Roman" w:hAnsi="Times New Roman" w:cs="Times New Roman"/>
                <w:lang w:eastAsia="ru-RU"/>
              </w:rPr>
              <w:t>МС</w:t>
            </w:r>
          </w:p>
        </w:tc>
        <w:tc>
          <w:tcPr>
            <w:tcW w:w="2528" w:type="dxa"/>
            <w:shd w:val="clear" w:color="auto" w:fill="auto"/>
            <w:noWrap/>
            <w:vAlign w:val="bottom"/>
            <w:hideMark/>
          </w:tcPr>
          <w:p w14:paraId="441DA830"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Рамонский</w:t>
            </w:r>
          </w:p>
        </w:tc>
        <w:tc>
          <w:tcPr>
            <w:tcW w:w="1502" w:type="dxa"/>
            <w:shd w:val="clear" w:color="auto" w:fill="auto"/>
            <w:noWrap/>
            <w:vAlign w:val="bottom"/>
            <w:hideMark/>
          </w:tcPr>
          <w:p w14:paraId="40CA123A"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27,64</w:t>
            </w:r>
          </w:p>
        </w:tc>
        <w:tc>
          <w:tcPr>
            <w:tcW w:w="1073" w:type="dxa"/>
            <w:shd w:val="clear" w:color="auto" w:fill="auto"/>
            <w:noWrap/>
            <w:vAlign w:val="bottom"/>
            <w:hideMark/>
          </w:tcPr>
          <w:p w14:paraId="232A1E4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472,59</w:t>
            </w:r>
          </w:p>
        </w:tc>
        <w:tc>
          <w:tcPr>
            <w:tcW w:w="1560" w:type="dxa"/>
            <w:shd w:val="clear" w:color="auto" w:fill="auto"/>
            <w:noWrap/>
            <w:vAlign w:val="bottom"/>
            <w:hideMark/>
          </w:tcPr>
          <w:p w14:paraId="21D8502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3 362,38</w:t>
            </w:r>
          </w:p>
        </w:tc>
        <w:tc>
          <w:tcPr>
            <w:tcW w:w="915" w:type="dxa"/>
            <w:shd w:val="clear" w:color="auto" w:fill="auto"/>
            <w:noWrap/>
            <w:vAlign w:val="bottom"/>
            <w:hideMark/>
          </w:tcPr>
          <w:p w14:paraId="0287B12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5</w:t>
            </w:r>
          </w:p>
        </w:tc>
      </w:tr>
      <w:tr w:rsidR="000B0C76" w:rsidRPr="008009AF" w14:paraId="2ACBBB73" w14:textId="77777777" w:rsidTr="00221500">
        <w:trPr>
          <w:trHeight w:val="300"/>
        </w:trPr>
        <w:tc>
          <w:tcPr>
            <w:tcW w:w="1696" w:type="dxa"/>
            <w:shd w:val="clear" w:color="auto" w:fill="auto"/>
            <w:noWrap/>
            <w:vAlign w:val="bottom"/>
            <w:hideMark/>
          </w:tcPr>
          <w:p w14:paraId="6A42490C"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w:t>
            </w:r>
            <w:r w:rsidRPr="008009AF">
              <w:rPr>
                <w:rFonts w:ascii="Times New Roman" w:eastAsia="Times New Roman" w:hAnsi="Times New Roman" w:cs="Times New Roman"/>
                <w:lang w:val="en-US" w:eastAsia="ru-RU"/>
              </w:rPr>
              <w:t>/</w:t>
            </w:r>
            <w:r w:rsidRPr="008009AF">
              <w:rPr>
                <w:rFonts w:ascii="Times New Roman" w:eastAsia="Times New Roman" w:hAnsi="Times New Roman" w:cs="Times New Roman"/>
                <w:lang w:eastAsia="ru-RU"/>
              </w:rPr>
              <w:t>МС</w:t>
            </w:r>
          </w:p>
        </w:tc>
        <w:tc>
          <w:tcPr>
            <w:tcW w:w="2528" w:type="dxa"/>
            <w:shd w:val="clear" w:color="auto" w:fill="auto"/>
            <w:noWrap/>
            <w:vAlign w:val="bottom"/>
            <w:hideMark/>
          </w:tcPr>
          <w:p w14:paraId="0BF92F06"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Верхнемамонский</w:t>
            </w:r>
          </w:p>
        </w:tc>
        <w:tc>
          <w:tcPr>
            <w:tcW w:w="1502" w:type="dxa"/>
            <w:shd w:val="clear" w:color="auto" w:fill="auto"/>
            <w:noWrap/>
            <w:vAlign w:val="bottom"/>
            <w:hideMark/>
          </w:tcPr>
          <w:p w14:paraId="718DAE9A"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29,67</w:t>
            </w:r>
          </w:p>
        </w:tc>
        <w:tc>
          <w:tcPr>
            <w:tcW w:w="1073" w:type="dxa"/>
            <w:shd w:val="clear" w:color="auto" w:fill="auto"/>
            <w:noWrap/>
            <w:vAlign w:val="bottom"/>
            <w:hideMark/>
          </w:tcPr>
          <w:p w14:paraId="6370375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380,69</w:t>
            </w:r>
          </w:p>
        </w:tc>
        <w:tc>
          <w:tcPr>
            <w:tcW w:w="1560" w:type="dxa"/>
            <w:shd w:val="clear" w:color="auto" w:fill="auto"/>
            <w:noWrap/>
            <w:vAlign w:val="bottom"/>
            <w:hideMark/>
          </w:tcPr>
          <w:p w14:paraId="6307E5EF"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3 744,41</w:t>
            </w:r>
          </w:p>
        </w:tc>
        <w:tc>
          <w:tcPr>
            <w:tcW w:w="915" w:type="dxa"/>
            <w:shd w:val="clear" w:color="auto" w:fill="auto"/>
            <w:noWrap/>
            <w:vAlign w:val="bottom"/>
            <w:hideMark/>
          </w:tcPr>
          <w:p w14:paraId="410D002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03E4224A" w14:textId="77777777" w:rsidTr="00221500">
        <w:trPr>
          <w:trHeight w:val="300"/>
        </w:trPr>
        <w:tc>
          <w:tcPr>
            <w:tcW w:w="1696" w:type="dxa"/>
            <w:shd w:val="clear" w:color="auto" w:fill="auto"/>
            <w:noWrap/>
            <w:vAlign w:val="bottom"/>
            <w:hideMark/>
          </w:tcPr>
          <w:p w14:paraId="64E2F81A"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7254E8AA"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Калачеевский</w:t>
            </w:r>
          </w:p>
        </w:tc>
        <w:tc>
          <w:tcPr>
            <w:tcW w:w="1502" w:type="dxa"/>
            <w:shd w:val="clear" w:color="auto" w:fill="auto"/>
            <w:noWrap/>
            <w:vAlign w:val="bottom"/>
            <w:hideMark/>
          </w:tcPr>
          <w:p w14:paraId="3E6EBF3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45,62</w:t>
            </w:r>
          </w:p>
        </w:tc>
        <w:tc>
          <w:tcPr>
            <w:tcW w:w="1073" w:type="dxa"/>
            <w:shd w:val="clear" w:color="auto" w:fill="auto"/>
            <w:noWrap/>
            <w:vAlign w:val="bottom"/>
            <w:hideMark/>
          </w:tcPr>
          <w:p w14:paraId="39A970FA"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338,39</w:t>
            </w:r>
          </w:p>
        </w:tc>
        <w:tc>
          <w:tcPr>
            <w:tcW w:w="1560" w:type="dxa"/>
            <w:shd w:val="clear" w:color="auto" w:fill="auto"/>
            <w:noWrap/>
            <w:vAlign w:val="bottom"/>
            <w:hideMark/>
          </w:tcPr>
          <w:p w14:paraId="345FE6CF"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2 826,45</w:t>
            </w:r>
          </w:p>
        </w:tc>
        <w:tc>
          <w:tcPr>
            <w:tcW w:w="915" w:type="dxa"/>
            <w:shd w:val="clear" w:color="auto" w:fill="auto"/>
            <w:noWrap/>
            <w:vAlign w:val="bottom"/>
            <w:hideMark/>
          </w:tcPr>
          <w:p w14:paraId="5E2671AF"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15324F0D" w14:textId="77777777" w:rsidTr="00221500">
        <w:trPr>
          <w:trHeight w:val="300"/>
        </w:trPr>
        <w:tc>
          <w:tcPr>
            <w:tcW w:w="1696" w:type="dxa"/>
            <w:shd w:val="clear" w:color="auto" w:fill="auto"/>
            <w:noWrap/>
            <w:vAlign w:val="bottom"/>
            <w:hideMark/>
          </w:tcPr>
          <w:p w14:paraId="620430F2"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55D6995E"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Богучарский</w:t>
            </w:r>
          </w:p>
        </w:tc>
        <w:tc>
          <w:tcPr>
            <w:tcW w:w="1502" w:type="dxa"/>
            <w:shd w:val="clear" w:color="auto" w:fill="auto"/>
            <w:noWrap/>
            <w:vAlign w:val="bottom"/>
            <w:hideMark/>
          </w:tcPr>
          <w:p w14:paraId="24C682BE"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35,63</w:t>
            </w:r>
          </w:p>
        </w:tc>
        <w:tc>
          <w:tcPr>
            <w:tcW w:w="1073" w:type="dxa"/>
            <w:shd w:val="clear" w:color="auto" w:fill="auto"/>
            <w:noWrap/>
            <w:vAlign w:val="bottom"/>
            <w:hideMark/>
          </w:tcPr>
          <w:p w14:paraId="6E92737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273,36</w:t>
            </w:r>
          </w:p>
        </w:tc>
        <w:tc>
          <w:tcPr>
            <w:tcW w:w="1560" w:type="dxa"/>
            <w:shd w:val="clear" w:color="auto" w:fill="auto"/>
            <w:noWrap/>
            <w:vAlign w:val="bottom"/>
            <w:hideMark/>
          </w:tcPr>
          <w:p w14:paraId="036457CD"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2 481,02</w:t>
            </w:r>
          </w:p>
        </w:tc>
        <w:tc>
          <w:tcPr>
            <w:tcW w:w="915" w:type="dxa"/>
            <w:shd w:val="clear" w:color="auto" w:fill="auto"/>
            <w:noWrap/>
            <w:vAlign w:val="bottom"/>
            <w:hideMark/>
          </w:tcPr>
          <w:p w14:paraId="3B89168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200AE133" w14:textId="77777777" w:rsidTr="00221500">
        <w:trPr>
          <w:trHeight w:val="300"/>
        </w:trPr>
        <w:tc>
          <w:tcPr>
            <w:tcW w:w="1696" w:type="dxa"/>
            <w:shd w:val="clear" w:color="auto" w:fill="auto"/>
            <w:noWrap/>
            <w:vAlign w:val="bottom"/>
            <w:hideMark/>
          </w:tcPr>
          <w:p w14:paraId="460F71ED"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59926085"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Подгоренский</w:t>
            </w:r>
          </w:p>
        </w:tc>
        <w:tc>
          <w:tcPr>
            <w:tcW w:w="1502" w:type="dxa"/>
            <w:shd w:val="clear" w:color="auto" w:fill="auto"/>
            <w:noWrap/>
            <w:vAlign w:val="bottom"/>
            <w:hideMark/>
          </w:tcPr>
          <w:p w14:paraId="5F8DBCD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30,06</w:t>
            </w:r>
          </w:p>
        </w:tc>
        <w:tc>
          <w:tcPr>
            <w:tcW w:w="1073" w:type="dxa"/>
            <w:shd w:val="clear" w:color="auto" w:fill="auto"/>
            <w:noWrap/>
            <w:vAlign w:val="bottom"/>
            <w:hideMark/>
          </w:tcPr>
          <w:p w14:paraId="5B923482"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428,17</w:t>
            </w:r>
          </w:p>
        </w:tc>
        <w:tc>
          <w:tcPr>
            <w:tcW w:w="1560" w:type="dxa"/>
            <w:shd w:val="clear" w:color="auto" w:fill="auto"/>
            <w:noWrap/>
            <w:vAlign w:val="bottom"/>
            <w:hideMark/>
          </w:tcPr>
          <w:p w14:paraId="12F5461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1 896,08</w:t>
            </w:r>
          </w:p>
        </w:tc>
        <w:tc>
          <w:tcPr>
            <w:tcW w:w="915" w:type="dxa"/>
            <w:shd w:val="clear" w:color="auto" w:fill="auto"/>
            <w:noWrap/>
            <w:vAlign w:val="bottom"/>
            <w:hideMark/>
          </w:tcPr>
          <w:p w14:paraId="668F3C58"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729D44B2" w14:textId="77777777" w:rsidTr="00221500">
        <w:trPr>
          <w:trHeight w:val="300"/>
        </w:trPr>
        <w:tc>
          <w:tcPr>
            <w:tcW w:w="1696" w:type="dxa"/>
            <w:shd w:val="clear" w:color="auto" w:fill="auto"/>
            <w:noWrap/>
            <w:vAlign w:val="bottom"/>
            <w:hideMark/>
          </w:tcPr>
          <w:p w14:paraId="5C6E2436"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08701EC9"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Ольховатский</w:t>
            </w:r>
          </w:p>
        </w:tc>
        <w:tc>
          <w:tcPr>
            <w:tcW w:w="1502" w:type="dxa"/>
            <w:shd w:val="clear" w:color="auto" w:fill="auto"/>
            <w:noWrap/>
            <w:vAlign w:val="bottom"/>
            <w:hideMark/>
          </w:tcPr>
          <w:p w14:paraId="5059BF7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27,86</w:t>
            </w:r>
          </w:p>
        </w:tc>
        <w:tc>
          <w:tcPr>
            <w:tcW w:w="1073" w:type="dxa"/>
            <w:shd w:val="clear" w:color="auto" w:fill="auto"/>
            <w:noWrap/>
            <w:vAlign w:val="bottom"/>
            <w:hideMark/>
          </w:tcPr>
          <w:p w14:paraId="1E1305C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265,77</w:t>
            </w:r>
          </w:p>
        </w:tc>
        <w:tc>
          <w:tcPr>
            <w:tcW w:w="1560" w:type="dxa"/>
            <w:shd w:val="clear" w:color="auto" w:fill="auto"/>
            <w:noWrap/>
            <w:vAlign w:val="bottom"/>
            <w:hideMark/>
          </w:tcPr>
          <w:p w14:paraId="5AD1A36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1 847,01</w:t>
            </w:r>
          </w:p>
        </w:tc>
        <w:tc>
          <w:tcPr>
            <w:tcW w:w="915" w:type="dxa"/>
            <w:shd w:val="clear" w:color="auto" w:fill="auto"/>
            <w:noWrap/>
            <w:vAlign w:val="bottom"/>
            <w:hideMark/>
          </w:tcPr>
          <w:p w14:paraId="377730F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7F1751E0" w14:textId="77777777" w:rsidTr="00221500">
        <w:trPr>
          <w:trHeight w:val="300"/>
        </w:trPr>
        <w:tc>
          <w:tcPr>
            <w:tcW w:w="1696" w:type="dxa"/>
            <w:shd w:val="clear" w:color="auto" w:fill="auto"/>
            <w:noWrap/>
            <w:vAlign w:val="bottom"/>
            <w:hideMark/>
          </w:tcPr>
          <w:p w14:paraId="166154E1"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2F020B17"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Борисоглебский</w:t>
            </w:r>
          </w:p>
        </w:tc>
        <w:tc>
          <w:tcPr>
            <w:tcW w:w="1502" w:type="dxa"/>
            <w:shd w:val="clear" w:color="auto" w:fill="auto"/>
            <w:noWrap/>
            <w:vAlign w:val="bottom"/>
            <w:hideMark/>
          </w:tcPr>
          <w:p w14:paraId="7C70328A"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49,74</w:t>
            </w:r>
          </w:p>
        </w:tc>
        <w:tc>
          <w:tcPr>
            <w:tcW w:w="1073" w:type="dxa"/>
            <w:shd w:val="clear" w:color="auto" w:fill="auto"/>
            <w:noWrap/>
            <w:vAlign w:val="bottom"/>
            <w:hideMark/>
          </w:tcPr>
          <w:p w14:paraId="774FD962"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256,95</w:t>
            </w:r>
          </w:p>
        </w:tc>
        <w:tc>
          <w:tcPr>
            <w:tcW w:w="1560" w:type="dxa"/>
            <w:shd w:val="clear" w:color="auto" w:fill="auto"/>
            <w:noWrap/>
            <w:vAlign w:val="bottom"/>
            <w:hideMark/>
          </w:tcPr>
          <w:p w14:paraId="4D536B2E"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1 504,92</w:t>
            </w:r>
          </w:p>
        </w:tc>
        <w:tc>
          <w:tcPr>
            <w:tcW w:w="915" w:type="dxa"/>
            <w:shd w:val="clear" w:color="auto" w:fill="auto"/>
            <w:noWrap/>
            <w:vAlign w:val="bottom"/>
            <w:hideMark/>
          </w:tcPr>
          <w:p w14:paraId="144390D1"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2D3A7B61" w14:textId="77777777" w:rsidTr="00221500">
        <w:trPr>
          <w:trHeight w:val="300"/>
        </w:trPr>
        <w:tc>
          <w:tcPr>
            <w:tcW w:w="1696" w:type="dxa"/>
            <w:shd w:val="clear" w:color="auto" w:fill="auto"/>
            <w:noWrap/>
            <w:vAlign w:val="bottom"/>
            <w:hideMark/>
          </w:tcPr>
          <w:p w14:paraId="3CAD082B"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551F34F5"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Хохольский</w:t>
            </w:r>
          </w:p>
        </w:tc>
        <w:tc>
          <w:tcPr>
            <w:tcW w:w="1502" w:type="dxa"/>
            <w:shd w:val="clear" w:color="auto" w:fill="auto"/>
            <w:noWrap/>
            <w:vAlign w:val="bottom"/>
            <w:hideMark/>
          </w:tcPr>
          <w:p w14:paraId="293F84F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29,47</w:t>
            </w:r>
          </w:p>
        </w:tc>
        <w:tc>
          <w:tcPr>
            <w:tcW w:w="1073" w:type="dxa"/>
            <w:shd w:val="clear" w:color="auto" w:fill="auto"/>
            <w:noWrap/>
            <w:vAlign w:val="bottom"/>
            <w:hideMark/>
          </w:tcPr>
          <w:p w14:paraId="04DC585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355,20</w:t>
            </w:r>
          </w:p>
        </w:tc>
        <w:tc>
          <w:tcPr>
            <w:tcW w:w="1560" w:type="dxa"/>
            <w:shd w:val="clear" w:color="auto" w:fill="auto"/>
            <w:noWrap/>
            <w:vAlign w:val="bottom"/>
            <w:hideMark/>
          </w:tcPr>
          <w:p w14:paraId="1435B0F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1 316,00</w:t>
            </w:r>
          </w:p>
        </w:tc>
        <w:tc>
          <w:tcPr>
            <w:tcW w:w="915" w:type="dxa"/>
            <w:shd w:val="clear" w:color="auto" w:fill="auto"/>
            <w:noWrap/>
            <w:vAlign w:val="bottom"/>
            <w:hideMark/>
          </w:tcPr>
          <w:p w14:paraId="6AD29F6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79C01A4A" w14:textId="77777777" w:rsidTr="00221500">
        <w:trPr>
          <w:trHeight w:val="300"/>
        </w:trPr>
        <w:tc>
          <w:tcPr>
            <w:tcW w:w="1696" w:type="dxa"/>
            <w:shd w:val="clear" w:color="auto" w:fill="auto"/>
            <w:noWrap/>
            <w:vAlign w:val="bottom"/>
            <w:hideMark/>
          </w:tcPr>
          <w:p w14:paraId="379BF202"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74A01249"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Острогожский</w:t>
            </w:r>
          </w:p>
        </w:tc>
        <w:tc>
          <w:tcPr>
            <w:tcW w:w="1502" w:type="dxa"/>
            <w:shd w:val="clear" w:color="auto" w:fill="auto"/>
            <w:noWrap/>
            <w:vAlign w:val="bottom"/>
            <w:hideMark/>
          </w:tcPr>
          <w:p w14:paraId="3BEA796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28,78</w:t>
            </w:r>
          </w:p>
        </w:tc>
        <w:tc>
          <w:tcPr>
            <w:tcW w:w="1073" w:type="dxa"/>
            <w:shd w:val="clear" w:color="auto" w:fill="auto"/>
            <w:noWrap/>
            <w:vAlign w:val="bottom"/>
            <w:hideMark/>
          </w:tcPr>
          <w:p w14:paraId="2D3F1F48"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208,71</w:t>
            </w:r>
          </w:p>
        </w:tc>
        <w:tc>
          <w:tcPr>
            <w:tcW w:w="1560" w:type="dxa"/>
            <w:shd w:val="clear" w:color="auto" w:fill="auto"/>
            <w:noWrap/>
            <w:vAlign w:val="bottom"/>
            <w:hideMark/>
          </w:tcPr>
          <w:p w14:paraId="699FEAF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1 012,66</w:t>
            </w:r>
          </w:p>
        </w:tc>
        <w:tc>
          <w:tcPr>
            <w:tcW w:w="915" w:type="dxa"/>
            <w:shd w:val="clear" w:color="auto" w:fill="auto"/>
            <w:noWrap/>
            <w:vAlign w:val="bottom"/>
            <w:hideMark/>
          </w:tcPr>
          <w:p w14:paraId="3705EF75"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5A761F4A" w14:textId="77777777" w:rsidTr="00221500">
        <w:trPr>
          <w:trHeight w:val="300"/>
        </w:trPr>
        <w:tc>
          <w:tcPr>
            <w:tcW w:w="1696" w:type="dxa"/>
            <w:shd w:val="clear" w:color="auto" w:fill="auto"/>
            <w:noWrap/>
            <w:vAlign w:val="bottom"/>
            <w:hideMark/>
          </w:tcPr>
          <w:p w14:paraId="59BD9153"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587D1483"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Нижнедевицкий</w:t>
            </w:r>
          </w:p>
        </w:tc>
        <w:tc>
          <w:tcPr>
            <w:tcW w:w="1502" w:type="dxa"/>
            <w:shd w:val="clear" w:color="auto" w:fill="auto"/>
            <w:noWrap/>
            <w:vAlign w:val="bottom"/>
            <w:hideMark/>
          </w:tcPr>
          <w:p w14:paraId="5188CCFD"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32,46</w:t>
            </w:r>
          </w:p>
        </w:tc>
        <w:tc>
          <w:tcPr>
            <w:tcW w:w="1073" w:type="dxa"/>
            <w:shd w:val="clear" w:color="auto" w:fill="auto"/>
            <w:noWrap/>
            <w:vAlign w:val="bottom"/>
            <w:hideMark/>
          </w:tcPr>
          <w:p w14:paraId="082CF93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316,60</w:t>
            </w:r>
          </w:p>
        </w:tc>
        <w:tc>
          <w:tcPr>
            <w:tcW w:w="1560" w:type="dxa"/>
            <w:shd w:val="clear" w:color="auto" w:fill="auto"/>
            <w:noWrap/>
            <w:vAlign w:val="bottom"/>
            <w:hideMark/>
          </w:tcPr>
          <w:p w14:paraId="4061EE7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823,21</w:t>
            </w:r>
          </w:p>
        </w:tc>
        <w:tc>
          <w:tcPr>
            <w:tcW w:w="915" w:type="dxa"/>
            <w:shd w:val="clear" w:color="auto" w:fill="auto"/>
            <w:noWrap/>
            <w:vAlign w:val="bottom"/>
            <w:hideMark/>
          </w:tcPr>
          <w:p w14:paraId="08059D7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723C75B2" w14:textId="77777777" w:rsidTr="00221500">
        <w:trPr>
          <w:trHeight w:val="300"/>
        </w:trPr>
        <w:tc>
          <w:tcPr>
            <w:tcW w:w="1696" w:type="dxa"/>
            <w:shd w:val="clear" w:color="auto" w:fill="auto"/>
            <w:noWrap/>
            <w:vAlign w:val="bottom"/>
            <w:hideMark/>
          </w:tcPr>
          <w:p w14:paraId="009B43E9"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5F88F5F1"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Верхнехавский</w:t>
            </w:r>
          </w:p>
        </w:tc>
        <w:tc>
          <w:tcPr>
            <w:tcW w:w="1502" w:type="dxa"/>
            <w:shd w:val="clear" w:color="auto" w:fill="auto"/>
            <w:noWrap/>
            <w:vAlign w:val="bottom"/>
            <w:hideMark/>
          </w:tcPr>
          <w:p w14:paraId="2450168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27,16</w:t>
            </w:r>
          </w:p>
        </w:tc>
        <w:tc>
          <w:tcPr>
            <w:tcW w:w="1073" w:type="dxa"/>
            <w:shd w:val="clear" w:color="auto" w:fill="auto"/>
            <w:noWrap/>
            <w:vAlign w:val="bottom"/>
            <w:hideMark/>
          </w:tcPr>
          <w:p w14:paraId="2F7C7D7A"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277,40</w:t>
            </w:r>
          </w:p>
        </w:tc>
        <w:tc>
          <w:tcPr>
            <w:tcW w:w="1560" w:type="dxa"/>
            <w:shd w:val="clear" w:color="auto" w:fill="auto"/>
            <w:noWrap/>
            <w:vAlign w:val="bottom"/>
            <w:hideMark/>
          </w:tcPr>
          <w:p w14:paraId="55E67BA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817,70</w:t>
            </w:r>
          </w:p>
        </w:tc>
        <w:tc>
          <w:tcPr>
            <w:tcW w:w="915" w:type="dxa"/>
            <w:shd w:val="clear" w:color="auto" w:fill="auto"/>
            <w:noWrap/>
            <w:vAlign w:val="bottom"/>
            <w:hideMark/>
          </w:tcPr>
          <w:p w14:paraId="0622705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467F8C32" w14:textId="77777777" w:rsidTr="00221500">
        <w:trPr>
          <w:trHeight w:val="300"/>
        </w:trPr>
        <w:tc>
          <w:tcPr>
            <w:tcW w:w="1696" w:type="dxa"/>
            <w:shd w:val="clear" w:color="auto" w:fill="auto"/>
            <w:noWrap/>
            <w:vAlign w:val="bottom"/>
            <w:hideMark/>
          </w:tcPr>
          <w:p w14:paraId="147C216E"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791B44DC"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Каширский</w:t>
            </w:r>
          </w:p>
        </w:tc>
        <w:tc>
          <w:tcPr>
            <w:tcW w:w="1502" w:type="dxa"/>
            <w:shd w:val="clear" w:color="auto" w:fill="auto"/>
            <w:noWrap/>
            <w:vAlign w:val="bottom"/>
            <w:hideMark/>
          </w:tcPr>
          <w:p w14:paraId="262DAC33"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42,84</w:t>
            </w:r>
          </w:p>
        </w:tc>
        <w:tc>
          <w:tcPr>
            <w:tcW w:w="1073" w:type="dxa"/>
            <w:shd w:val="clear" w:color="auto" w:fill="auto"/>
            <w:noWrap/>
            <w:vAlign w:val="bottom"/>
            <w:hideMark/>
          </w:tcPr>
          <w:p w14:paraId="4133F92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312,12</w:t>
            </w:r>
          </w:p>
        </w:tc>
        <w:tc>
          <w:tcPr>
            <w:tcW w:w="1560" w:type="dxa"/>
            <w:shd w:val="clear" w:color="auto" w:fill="auto"/>
            <w:noWrap/>
            <w:vAlign w:val="bottom"/>
            <w:hideMark/>
          </w:tcPr>
          <w:p w14:paraId="01EABBE5"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721,95</w:t>
            </w:r>
          </w:p>
        </w:tc>
        <w:tc>
          <w:tcPr>
            <w:tcW w:w="915" w:type="dxa"/>
            <w:shd w:val="clear" w:color="auto" w:fill="auto"/>
            <w:noWrap/>
            <w:vAlign w:val="bottom"/>
            <w:hideMark/>
          </w:tcPr>
          <w:p w14:paraId="2536E86E"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721914B5" w14:textId="77777777" w:rsidTr="00221500">
        <w:trPr>
          <w:trHeight w:val="300"/>
        </w:trPr>
        <w:tc>
          <w:tcPr>
            <w:tcW w:w="1696" w:type="dxa"/>
            <w:shd w:val="clear" w:color="auto" w:fill="auto"/>
            <w:noWrap/>
            <w:vAlign w:val="bottom"/>
            <w:hideMark/>
          </w:tcPr>
          <w:p w14:paraId="2632288A"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6D4A0FD2"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Павловский</w:t>
            </w:r>
          </w:p>
        </w:tc>
        <w:tc>
          <w:tcPr>
            <w:tcW w:w="1502" w:type="dxa"/>
            <w:shd w:val="clear" w:color="auto" w:fill="auto"/>
            <w:noWrap/>
            <w:vAlign w:val="bottom"/>
            <w:hideMark/>
          </w:tcPr>
          <w:p w14:paraId="4D4DD563"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47,01</w:t>
            </w:r>
          </w:p>
        </w:tc>
        <w:tc>
          <w:tcPr>
            <w:tcW w:w="1073" w:type="dxa"/>
            <w:shd w:val="clear" w:color="auto" w:fill="auto"/>
            <w:noWrap/>
            <w:vAlign w:val="bottom"/>
            <w:hideMark/>
          </w:tcPr>
          <w:p w14:paraId="3E00189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221,59</w:t>
            </w:r>
          </w:p>
        </w:tc>
        <w:tc>
          <w:tcPr>
            <w:tcW w:w="1560" w:type="dxa"/>
            <w:shd w:val="clear" w:color="auto" w:fill="auto"/>
            <w:noWrap/>
            <w:vAlign w:val="bottom"/>
            <w:hideMark/>
          </w:tcPr>
          <w:p w14:paraId="24BC730F"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704,51</w:t>
            </w:r>
          </w:p>
        </w:tc>
        <w:tc>
          <w:tcPr>
            <w:tcW w:w="915" w:type="dxa"/>
            <w:shd w:val="clear" w:color="auto" w:fill="auto"/>
            <w:noWrap/>
            <w:vAlign w:val="bottom"/>
            <w:hideMark/>
          </w:tcPr>
          <w:p w14:paraId="6C96D93E"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52C8C547" w14:textId="77777777" w:rsidTr="00221500">
        <w:trPr>
          <w:trHeight w:val="300"/>
        </w:trPr>
        <w:tc>
          <w:tcPr>
            <w:tcW w:w="1696" w:type="dxa"/>
            <w:shd w:val="clear" w:color="auto" w:fill="auto"/>
            <w:noWrap/>
            <w:vAlign w:val="bottom"/>
            <w:hideMark/>
          </w:tcPr>
          <w:p w14:paraId="473C6741"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7351FA0F"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Поворинский</w:t>
            </w:r>
          </w:p>
        </w:tc>
        <w:tc>
          <w:tcPr>
            <w:tcW w:w="1502" w:type="dxa"/>
            <w:shd w:val="clear" w:color="auto" w:fill="auto"/>
            <w:noWrap/>
            <w:vAlign w:val="bottom"/>
            <w:hideMark/>
          </w:tcPr>
          <w:p w14:paraId="2AF2FC4C"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26,58</w:t>
            </w:r>
          </w:p>
        </w:tc>
        <w:tc>
          <w:tcPr>
            <w:tcW w:w="1073" w:type="dxa"/>
            <w:shd w:val="clear" w:color="auto" w:fill="auto"/>
            <w:noWrap/>
            <w:vAlign w:val="bottom"/>
            <w:hideMark/>
          </w:tcPr>
          <w:p w14:paraId="46C5CA5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266,50</w:t>
            </w:r>
          </w:p>
        </w:tc>
        <w:tc>
          <w:tcPr>
            <w:tcW w:w="1560" w:type="dxa"/>
            <w:shd w:val="clear" w:color="auto" w:fill="auto"/>
            <w:noWrap/>
            <w:vAlign w:val="bottom"/>
            <w:hideMark/>
          </w:tcPr>
          <w:p w14:paraId="2CF090E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593,09</w:t>
            </w:r>
          </w:p>
        </w:tc>
        <w:tc>
          <w:tcPr>
            <w:tcW w:w="915" w:type="dxa"/>
            <w:shd w:val="clear" w:color="auto" w:fill="auto"/>
            <w:noWrap/>
            <w:vAlign w:val="bottom"/>
            <w:hideMark/>
          </w:tcPr>
          <w:p w14:paraId="23F395D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56ECEED1" w14:textId="77777777" w:rsidTr="00221500">
        <w:trPr>
          <w:trHeight w:val="300"/>
        </w:trPr>
        <w:tc>
          <w:tcPr>
            <w:tcW w:w="1696" w:type="dxa"/>
            <w:shd w:val="clear" w:color="auto" w:fill="auto"/>
            <w:noWrap/>
            <w:vAlign w:val="bottom"/>
            <w:hideMark/>
          </w:tcPr>
          <w:p w14:paraId="7B452302"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265D0B59"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Новохоперский</w:t>
            </w:r>
          </w:p>
        </w:tc>
        <w:tc>
          <w:tcPr>
            <w:tcW w:w="1502" w:type="dxa"/>
            <w:shd w:val="clear" w:color="auto" w:fill="auto"/>
            <w:noWrap/>
            <w:vAlign w:val="bottom"/>
            <w:hideMark/>
          </w:tcPr>
          <w:p w14:paraId="5A89267A"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30,78</w:t>
            </w:r>
          </w:p>
        </w:tc>
        <w:tc>
          <w:tcPr>
            <w:tcW w:w="1073" w:type="dxa"/>
            <w:shd w:val="clear" w:color="auto" w:fill="auto"/>
            <w:noWrap/>
            <w:vAlign w:val="bottom"/>
            <w:hideMark/>
          </w:tcPr>
          <w:p w14:paraId="5A960BA8"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168,90</w:t>
            </w:r>
          </w:p>
        </w:tc>
        <w:tc>
          <w:tcPr>
            <w:tcW w:w="1560" w:type="dxa"/>
            <w:shd w:val="clear" w:color="auto" w:fill="auto"/>
            <w:noWrap/>
            <w:vAlign w:val="bottom"/>
            <w:hideMark/>
          </w:tcPr>
          <w:p w14:paraId="494A171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589,10</w:t>
            </w:r>
          </w:p>
        </w:tc>
        <w:tc>
          <w:tcPr>
            <w:tcW w:w="915" w:type="dxa"/>
            <w:shd w:val="clear" w:color="auto" w:fill="auto"/>
            <w:noWrap/>
            <w:vAlign w:val="bottom"/>
            <w:hideMark/>
          </w:tcPr>
          <w:p w14:paraId="3A652FF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710E4FE7" w14:textId="77777777" w:rsidTr="00221500">
        <w:trPr>
          <w:trHeight w:val="300"/>
        </w:trPr>
        <w:tc>
          <w:tcPr>
            <w:tcW w:w="1696" w:type="dxa"/>
            <w:shd w:val="clear" w:color="auto" w:fill="auto"/>
            <w:noWrap/>
            <w:vAlign w:val="bottom"/>
            <w:hideMark/>
          </w:tcPr>
          <w:p w14:paraId="5A929F97"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460151A0"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Репьевский</w:t>
            </w:r>
          </w:p>
        </w:tc>
        <w:tc>
          <w:tcPr>
            <w:tcW w:w="1502" w:type="dxa"/>
            <w:shd w:val="clear" w:color="auto" w:fill="auto"/>
            <w:noWrap/>
            <w:vAlign w:val="bottom"/>
            <w:hideMark/>
          </w:tcPr>
          <w:p w14:paraId="3BA544F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55,58</w:t>
            </w:r>
          </w:p>
        </w:tc>
        <w:tc>
          <w:tcPr>
            <w:tcW w:w="1073" w:type="dxa"/>
            <w:shd w:val="clear" w:color="auto" w:fill="auto"/>
            <w:noWrap/>
            <w:vAlign w:val="bottom"/>
            <w:hideMark/>
          </w:tcPr>
          <w:p w14:paraId="4E526E8C"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263,44</w:t>
            </w:r>
          </w:p>
        </w:tc>
        <w:tc>
          <w:tcPr>
            <w:tcW w:w="1560" w:type="dxa"/>
            <w:shd w:val="clear" w:color="auto" w:fill="auto"/>
            <w:noWrap/>
            <w:vAlign w:val="bottom"/>
            <w:hideMark/>
          </w:tcPr>
          <w:p w14:paraId="4B67D603"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565,04</w:t>
            </w:r>
          </w:p>
        </w:tc>
        <w:tc>
          <w:tcPr>
            <w:tcW w:w="915" w:type="dxa"/>
            <w:shd w:val="clear" w:color="auto" w:fill="auto"/>
            <w:noWrap/>
            <w:vAlign w:val="bottom"/>
            <w:hideMark/>
          </w:tcPr>
          <w:p w14:paraId="698A132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262374C6" w14:textId="77777777" w:rsidTr="00221500">
        <w:trPr>
          <w:trHeight w:val="300"/>
        </w:trPr>
        <w:tc>
          <w:tcPr>
            <w:tcW w:w="1696" w:type="dxa"/>
            <w:shd w:val="clear" w:color="auto" w:fill="auto"/>
            <w:noWrap/>
            <w:vAlign w:val="bottom"/>
            <w:hideMark/>
          </w:tcPr>
          <w:p w14:paraId="4D1C57B7"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535DD8A1"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Бобровский</w:t>
            </w:r>
          </w:p>
        </w:tc>
        <w:tc>
          <w:tcPr>
            <w:tcW w:w="1502" w:type="dxa"/>
            <w:shd w:val="clear" w:color="auto" w:fill="auto"/>
            <w:noWrap/>
            <w:vAlign w:val="bottom"/>
            <w:hideMark/>
          </w:tcPr>
          <w:p w14:paraId="524C677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31,75</w:t>
            </w:r>
          </w:p>
        </w:tc>
        <w:tc>
          <w:tcPr>
            <w:tcW w:w="1073" w:type="dxa"/>
            <w:shd w:val="clear" w:color="auto" w:fill="auto"/>
            <w:noWrap/>
            <w:vAlign w:val="bottom"/>
            <w:hideMark/>
          </w:tcPr>
          <w:p w14:paraId="582A04F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269,51</w:t>
            </w:r>
          </w:p>
        </w:tc>
        <w:tc>
          <w:tcPr>
            <w:tcW w:w="1560" w:type="dxa"/>
            <w:shd w:val="clear" w:color="auto" w:fill="auto"/>
            <w:noWrap/>
            <w:vAlign w:val="bottom"/>
            <w:hideMark/>
          </w:tcPr>
          <w:p w14:paraId="5F0C5AAE"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484,62</w:t>
            </w:r>
          </w:p>
        </w:tc>
        <w:tc>
          <w:tcPr>
            <w:tcW w:w="915" w:type="dxa"/>
            <w:shd w:val="clear" w:color="auto" w:fill="auto"/>
            <w:noWrap/>
            <w:vAlign w:val="bottom"/>
            <w:hideMark/>
          </w:tcPr>
          <w:p w14:paraId="77FFA9D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203CD700" w14:textId="77777777" w:rsidTr="00221500">
        <w:trPr>
          <w:trHeight w:val="300"/>
        </w:trPr>
        <w:tc>
          <w:tcPr>
            <w:tcW w:w="1696" w:type="dxa"/>
            <w:shd w:val="clear" w:color="auto" w:fill="auto"/>
            <w:noWrap/>
            <w:vAlign w:val="bottom"/>
            <w:hideMark/>
          </w:tcPr>
          <w:p w14:paraId="3943977D"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71175BCB"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Панинский</w:t>
            </w:r>
          </w:p>
        </w:tc>
        <w:tc>
          <w:tcPr>
            <w:tcW w:w="1502" w:type="dxa"/>
            <w:shd w:val="clear" w:color="auto" w:fill="auto"/>
            <w:noWrap/>
            <w:vAlign w:val="bottom"/>
            <w:hideMark/>
          </w:tcPr>
          <w:p w14:paraId="28295C3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32,62</w:t>
            </w:r>
          </w:p>
        </w:tc>
        <w:tc>
          <w:tcPr>
            <w:tcW w:w="1073" w:type="dxa"/>
            <w:shd w:val="clear" w:color="auto" w:fill="auto"/>
            <w:noWrap/>
            <w:vAlign w:val="bottom"/>
            <w:hideMark/>
          </w:tcPr>
          <w:p w14:paraId="55C4030C"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209,95</w:t>
            </w:r>
          </w:p>
        </w:tc>
        <w:tc>
          <w:tcPr>
            <w:tcW w:w="1560" w:type="dxa"/>
            <w:shd w:val="clear" w:color="auto" w:fill="auto"/>
            <w:noWrap/>
            <w:vAlign w:val="bottom"/>
            <w:hideMark/>
          </w:tcPr>
          <w:p w14:paraId="5BB5C55D"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418,77</w:t>
            </w:r>
          </w:p>
        </w:tc>
        <w:tc>
          <w:tcPr>
            <w:tcW w:w="915" w:type="dxa"/>
            <w:shd w:val="clear" w:color="auto" w:fill="auto"/>
            <w:noWrap/>
            <w:vAlign w:val="bottom"/>
            <w:hideMark/>
          </w:tcPr>
          <w:p w14:paraId="6761711A"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08855E9B" w14:textId="77777777" w:rsidTr="00221500">
        <w:trPr>
          <w:trHeight w:val="300"/>
        </w:trPr>
        <w:tc>
          <w:tcPr>
            <w:tcW w:w="1696" w:type="dxa"/>
            <w:shd w:val="clear" w:color="auto" w:fill="auto"/>
            <w:noWrap/>
            <w:vAlign w:val="bottom"/>
            <w:hideMark/>
          </w:tcPr>
          <w:p w14:paraId="5910EBB2"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792EFD8D"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Аннинский</w:t>
            </w:r>
          </w:p>
        </w:tc>
        <w:tc>
          <w:tcPr>
            <w:tcW w:w="1502" w:type="dxa"/>
            <w:shd w:val="clear" w:color="auto" w:fill="auto"/>
            <w:noWrap/>
            <w:vAlign w:val="bottom"/>
            <w:hideMark/>
          </w:tcPr>
          <w:p w14:paraId="1AC20E0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28,49</w:t>
            </w:r>
          </w:p>
        </w:tc>
        <w:tc>
          <w:tcPr>
            <w:tcW w:w="1073" w:type="dxa"/>
            <w:shd w:val="clear" w:color="auto" w:fill="auto"/>
            <w:noWrap/>
            <w:vAlign w:val="bottom"/>
            <w:hideMark/>
          </w:tcPr>
          <w:p w14:paraId="21A0C32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234,19</w:t>
            </w:r>
          </w:p>
        </w:tc>
        <w:tc>
          <w:tcPr>
            <w:tcW w:w="1560" w:type="dxa"/>
            <w:shd w:val="clear" w:color="auto" w:fill="auto"/>
            <w:noWrap/>
            <w:vAlign w:val="bottom"/>
            <w:hideMark/>
          </w:tcPr>
          <w:p w14:paraId="2F6AF01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411,94</w:t>
            </w:r>
          </w:p>
        </w:tc>
        <w:tc>
          <w:tcPr>
            <w:tcW w:w="915" w:type="dxa"/>
            <w:shd w:val="clear" w:color="auto" w:fill="auto"/>
            <w:noWrap/>
            <w:vAlign w:val="bottom"/>
            <w:hideMark/>
          </w:tcPr>
          <w:p w14:paraId="34890B5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6F6FE313" w14:textId="77777777" w:rsidTr="00221500">
        <w:trPr>
          <w:trHeight w:val="300"/>
        </w:trPr>
        <w:tc>
          <w:tcPr>
            <w:tcW w:w="1696" w:type="dxa"/>
            <w:shd w:val="clear" w:color="auto" w:fill="auto"/>
            <w:noWrap/>
            <w:vAlign w:val="bottom"/>
            <w:hideMark/>
          </w:tcPr>
          <w:p w14:paraId="7F8B0ACA"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1429E737"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Лискинский</w:t>
            </w:r>
          </w:p>
        </w:tc>
        <w:tc>
          <w:tcPr>
            <w:tcW w:w="1502" w:type="dxa"/>
            <w:shd w:val="clear" w:color="auto" w:fill="auto"/>
            <w:noWrap/>
            <w:vAlign w:val="bottom"/>
            <w:hideMark/>
          </w:tcPr>
          <w:p w14:paraId="2697D7F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49,79</w:t>
            </w:r>
          </w:p>
        </w:tc>
        <w:tc>
          <w:tcPr>
            <w:tcW w:w="1073" w:type="dxa"/>
            <w:shd w:val="clear" w:color="auto" w:fill="auto"/>
            <w:noWrap/>
            <w:vAlign w:val="bottom"/>
            <w:hideMark/>
          </w:tcPr>
          <w:p w14:paraId="2A44CDF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240,89</w:t>
            </w:r>
          </w:p>
        </w:tc>
        <w:tc>
          <w:tcPr>
            <w:tcW w:w="1560" w:type="dxa"/>
            <w:shd w:val="clear" w:color="auto" w:fill="auto"/>
            <w:noWrap/>
            <w:vAlign w:val="bottom"/>
            <w:hideMark/>
          </w:tcPr>
          <w:p w14:paraId="2C9D344D"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385,00</w:t>
            </w:r>
          </w:p>
        </w:tc>
        <w:tc>
          <w:tcPr>
            <w:tcW w:w="915" w:type="dxa"/>
            <w:shd w:val="clear" w:color="auto" w:fill="auto"/>
            <w:noWrap/>
            <w:vAlign w:val="bottom"/>
            <w:hideMark/>
          </w:tcPr>
          <w:p w14:paraId="25EC25B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0F3B860A" w14:textId="77777777" w:rsidTr="00221500">
        <w:trPr>
          <w:trHeight w:val="300"/>
        </w:trPr>
        <w:tc>
          <w:tcPr>
            <w:tcW w:w="1696" w:type="dxa"/>
            <w:shd w:val="clear" w:color="auto" w:fill="auto"/>
            <w:noWrap/>
            <w:vAlign w:val="bottom"/>
            <w:hideMark/>
          </w:tcPr>
          <w:p w14:paraId="32674AF0"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3FB2968E"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Кантемировский</w:t>
            </w:r>
          </w:p>
        </w:tc>
        <w:tc>
          <w:tcPr>
            <w:tcW w:w="1502" w:type="dxa"/>
            <w:shd w:val="clear" w:color="auto" w:fill="auto"/>
            <w:noWrap/>
            <w:vAlign w:val="bottom"/>
            <w:hideMark/>
          </w:tcPr>
          <w:p w14:paraId="4146965C"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44,79</w:t>
            </w:r>
          </w:p>
        </w:tc>
        <w:tc>
          <w:tcPr>
            <w:tcW w:w="1073" w:type="dxa"/>
            <w:shd w:val="clear" w:color="auto" w:fill="auto"/>
            <w:noWrap/>
            <w:vAlign w:val="bottom"/>
            <w:hideMark/>
          </w:tcPr>
          <w:p w14:paraId="4C0319E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177,02</w:t>
            </w:r>
          </w:p>
        </w:tc>
        <w:tc>
          <w:tcPr>
            <w:tcW w:w="1560" w:type="dxa"/>
            <w:shd w:val="clear" w:color="auto" w:fill="auto"/>
            <w:noWrap/>
            <w:vAlign w:val="bottom"/>
            <w:hideMark/>
          </w:tcPr>
          <w:p w14:paraId="2E0625B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343,89</w:t>
            </w:r>
          </w:p>
        </w:tc>
        <w:tc>
          <w:tcPr>
            <w:tcW w:w="915" w:type="dxa"/>
            <w:shd w:val="clear" w:color="auto" w:fill="auto"/>
            <w:noWrap/>
            <w:vAlign w:val="bottom"/>
            <w:hideMark/>
          </w:tcPr>
          <w:p w14:paraId="3CE09832"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28EAC5EB" w14:textId="77777777" w:rsidTr="00221500">
        <w:trPr>
          <w:trHeight w:val="300"/>
        </w:trPr>
        <w:tc>
          <w:tcPr>
            <w:tcW w:w="1696" w:type="dxa"/>
            <w:shd w:val="clear" w:color="auto" w:fill="auto"/>
            <w:noWrap/>
            <w:vAlign w:val="bottom"/>
            <w:hideMark/>
          </w:tcPr>
          <w:p w14:paraId="7991F93B"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70135733"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Воробьевский</w:t>
            </w:r>
          </w:p>
        </w:tc>
        <w:tc>
          <w:tcPr>
            <w:tcW w:w="1502" w:type="dxa"/>
            <w:shd w:val="clear" w:color="auto" w:fill="auto"/>
            <w:noWrap/>
            <w:vAlign w:val="bottom"/>
            <w:hideMark/>
          </w:tcPr>
          <w:p w14:paraId="310528A7"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55,30</w:t>
            </w:r>
          </w:p>
        </w:tc>
        <w:tc>
          <w:tcPr>
            <w:tcW w:w="1073" w:type="dxa"/>
            <w:shd w:val="clear" w:color="auto" w:fill="auto"/>
            <w:noWrap/>
            <w:vAlign w:val="bottom"/>
            <w:hideMark/>
          </w:tcPr>
          <w:p w14:paraId="2DF5628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198,70</w:t>
            </w:r>
          </w:p>
        </w:tc>
        <w:tc>
          <w:tcPr>
            <w:tcW w:w="1560" w:type="dxa"/>
            <w:shd w:val="clear" w:color="auto" w:fill="auto"/>
            <w:noWrap/>
            <w:vAlign w:val="bottom"/>
            <w:hideMark/>
          </w:tcPr>
          <w:p w14:paraId="39D11F3F"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335,65</w:t>
            </w:r>
          </w:p>
        </w:tc>
        <w:tc>
          <w:tcPr>
            <w:tcW w:w="915" w:type="dxa"/>
            <w:shd w:val="clear" w:color="auto" w:fill="auto"/>
            <w:noWrap/>
            <w:vAlign w:val="bottom"/>
            <w:hideMark/>
          </w:tcPr>
          <w:p w14:paraId="26A87DB1"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63A59D89" w14:textId="77777777" w:rsidTr="00221500">
        <w:trPr>
          <w:trHeight w:val="300"/>
        </w:trPr>
        <w:tc>
          <w:tcPr>
            <w:tcW w:w="1696" w:type="dxa"/>
            <w:shd w:val="clear" w:color="auto" w:fill="auto"/>
            <w:noWrap/>
            <w:vAlign w:val="bottom"/>
            <w:hideMark/>
          </w:tcPr>
          <w:p w14:paraId="51B7A14F"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0CB444D8"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Петропавловский</w:t>
            </w:r>
          </w:p>
        </w:tc>
        <w:tc>
          <w:tcPr>
            <w:tcW w:w="1502" w:type="dxa"/>
            <w:shd w:val="clear" w:color="auto" w:fill="auto"/>
            <w:noWrap/>
            <w:vAlign w:val="bottom"/>
            <w:hideMark/>
          </w:tcPr>
          <w:p w14:paraId="7AC1D095"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29,60</w:t>
            </w:r>
          </w:p>
        </w:tc>
        <w:tc>
          <w:tcPr>
            <w:tcW w:w="1073" w:type="dxa"/>
            <w:shd w:val="clear" w:color="auto" w:fill="auto"/>
            <w:noWrap/>
            <w:vAlign w:val="bottom"/>
            <w:hideMark/>
          </w:tcPr>
          <w:p w14:paraId="786BD438"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158,06</w:t>
            </w:r>
          </w:p>
        </w:tc>
        <w:tc>
          <w:tcPr>
            <w:tcW w:w="1560" w:type="dxa"/>
            <w:shd w:val="clear" w:color="auto" w:fill="auto"/>
            <w:noWrap/>
            <w:vAlign w:val="bottom"/>
            <w:hideMark/>
          </w:tcPr>
          <w:p w14:paraId="5BB95E5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321,66</w:t>
            </w:r>
          </w:p>
        </w:tc>
        <w:tc>
          <w:tcPr>
            <w:tcW w:w="915" w:type="dxa"/>
            <w:shd w:val="clear" w:color="auto" w:fill="auto"/>
            <w:noWrap/>
            <w:vAlign w:val="bottom"/>
            <w:hideMark/>
          </w:tcPr>
          <w:p w14:paraId="7165A631"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227F46A3" w14:textId="77777777" w:rsidTr="00221500">
        <w:trPr>
          <w:trHeight w:val="300"/>
        </w:trPr>
        <w:tc>
          <w:tcPr>
            <w:tcW w:w="1696" w:type="dxa"/>
            <w:shd w:val="clear" w:color="auto" w:fill="auto"/>
            <w:noWrap/>
            <w:vAlign w:val="bottom"/>
            <w:hideMark/>
          </w:tcPr>
          <w:p w14:paraId="639974CC"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1122A2C2"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Таловский</w:t>
            </w:r>
          </w:p>
        </w:tc>
        <w:tc>
          <w:tcPr>
            <w:tcW w:w="1502" w:type="dxa"/>
            <w:shd w:val="clear" w:color="auto" w:fill="auto"/>
            <w:noWrap/>
            <w:vAlign w:val="bottom"/>
            <w:hideMark/>
          </w:tcPr>
          <w:p w14:paraId="78CAAE7C"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49,92</w:t>
            </w:r>
          </w:p>
        </w:tc>
        <w:tc>
          <w:tcPr>
            <w:tcW w:w="1073" w:type="dxa"/>
            <w:shd w:val="clear" w:color="auto" w:fill="auto"/>
            <w:noWrap/>
            <w:vAlign w:val="bottom"/>
            <w:hideMark/>
          </w:tcPr>
          <w:p w14:paraId="1294CC3A"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173,63</w:t>
            </w:r>
          </w:p>
        </w:tc>
        <w:tc>
          <w:tcPr>
            <w:tcW w:w="1560" w:type="dxa"/>
            <w:shd w:val="clear" w:color="auto" w:fill="auto"/>
            <w:noWrap/>
            <w:vAlign w:val="bottom"/>
            <w:hideMark/>
          </w:tcPr>
          <w:p w14:paraId="716B863D"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287,89</w:t>
            </w:r>
          </w:p>
        </w:tc>
        <w:tc>
          <w:tcPr>
            <w:tcW w:w="915" w:type="dxa"/>
            <w:shd w:val="clear" w:color="auto" w:fill="auto"/>
            <w:noWrap/>
            <w:vAlign w:val="bottom"/>
            <w:hideMark/>
          </w:tcPr>
          <w:p w14:paraId="4509C2B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3A534703" w14:textId="77777777" w:rsidTr="00221500">
        <w:trPr>
          <w:trHeight w:val="300"/>
        </w:trPr>
        <w:tc>
          <w:tcPr>
            <w:tcW w:w="1696" w:type="dxa"/>
            <w:shd w:val="clear" w:color="auto" w:fill="auto"/>
            <w:noWrap/>
            <w:vAlign w:val="bottom"/>
            <w:hideMark/>
          </w:tcPr>
          <w:p w14:paraId="07C5AD7D"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459D58D2"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Россошанский</w:t>
            </w:r>
          </w:p>
        </w:tc>
        <w:tc>
          <w:tcPr>
            <w:tcW w:w="1502" w:type="dxa"/>
            <w:shd w:val="clear" w:color="auto" w:fill="auto"/>
            <w:noWrap/>
            <w:vAlign w:val="bottom"/>
            <w:hideMark/>
          </w:tcPr>
          <w:p w14:paraId="406543E9"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28,53</w:t>
            </w:r>
          </w:p>
        </w:tc>
        <w:tc>
          <w:tcPr>
            <w:tcW w:w="1073" w:type="dxa"/>
            <w:shd w:val="clear" w:color="auto" w:fill="auto"/>
            <w:noWrap/>
            <w:vAlign w:val="bottom"/>
            <w:hideMark/>
          </w:tcPr>
          <w:p w14:paraId="07EB1066"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177,83</w:t>
            </w:r>
          </w:p>
        </w:tc>
        <w:tc>
          <w:tcPr>
            <w:tcW w:w="1560" w:type="dxa"/>
            <w:shd w:val="clear" w:color="auto" w:fill="auto"/>
            <w:noWrap/>
            <w:vAlign w:val="bottom"/>
            <w:hideMark/>
          </w:tcPr>
          <w:p w14:paraId="5FE0C8DB"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285,49</w:t>
            </w:r>
          </w:p>
        </w:tc>
        <w:tc>
          <w:tcPr>
            <w:tcW w:w="915" w:type="dxa"/>
            <w:shd w:val="clear" w:color="auto" w:fill="auto"/>
            <w:noWrap/>
            <w:vAlign w:val="bottom"/>
            <w:hideMark/>
          </w:tcPr>
          <w:p w14:paraId="4D86756A"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1318CFCA" w14:textId="77777777" w:rsidTr="00221500">
        <w:trPr>
          <w:trHeight w:val="300"/>
        </w:trPr>
        <w:tc>
          <w:tcPr>
            <w:tcW w:w="1696" w:type="dxa"/>
            <w:shd w:val="clear" w:color="auto" w:fill="auto"/>
            <w:noWrap/>
            <w:vAlign w:val="bottom"/>
            <w:hideMark/>
          </w:tcPr>
          <w:p w14:paraId="27D82053"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295CC8A6"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Грибановский</w:t>
            </w:r>
          </w:p>
        </w:tc>
        <w:tc>
          <w:tcPr>
            <w:tcW w:w="1502" w:type="dxa"/>
            <w:shd w:val="clear" w:color="auto" w:fill="auto"/>
            <w:noWrap/>
            <w:vAlign w:val="bottom"/>
            <w:hideMark/>
          </w:tcPr>
          <w:p w14:paraId="678A607E"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39,07</w:t>
            </w:r>
          </w:p>
        </w:tc>
        <w:tc>
          <w:tcPr>
            <w:tcW w:w="1073" w:type="dxa"/>
            <w:shd w:val="clear" w:color="auto" w:fill="auto"/>
            <w:noWrap/>
            <w:vAlign w:val="bottom"/>
            <w:hideMark/>
          </w:tcPr>
          <w:p w14:paraId="42A4B9F5"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175,41</w:t>
            </w:r>
          </w:p>
        </w:tc>
        <w:tc>
          <w:tcPr>
            <w:tcW w:w="1560" w:type="dxa"/>
            <w:shd w:val="clear" w:color="auto" w:fill="auto"/>
            <w:noWrap/>
            <w:vAlign w:val="bottom"/>
            <w:hideMark/>
          </w:tcPr>
          <w:p w14:paraId="447ED35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253,01</w:t>
            </w:r>
          </w:p>
        </w:tc>
        <w:tc>
          <w:tcPr>
            <w:tcW w:w="915" w:type="dxa"/>
            <w:shd w:val="clear" w:color="auto" w:fill="auto"/>
            <w:noWrap/>
            <w:vAlign w:val="bottom"/>
            <w:hideMark/>
          </w:tcPr>
          <w:p w14:paraId="507E29DC"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1650F4B9" w14:textId="77777777" w:rsidTr="00221500">
        <w:trPr>
          <w:trHeight w:val="300"/>
        </w:trPr>
        <w:tc>
          <w:tcPr>
            <w:tcW w:w="1696" w:type="dxa"/>
            <w:shd w:val="clear" w:color="auto" w:fill="auto"/>
            <w:noWrap/>
            <w:vAlign w:val="bottom"/>
            <w:hideMark/>
          </w:tcPr>
          <w:p w14:paraId="39E83D51"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1D852A77"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Терновский</w:t>
            </w:r>
          </w:p>
        </w:tc>
        <w:tc>
          <w:tcPr>
            <w:tcW w:w="1502" w:type="dxa"/>
            <w:shd w:val="clear" w:color="auto" w:fill="auto"/>
            <w:noWrap/>
            <w:vAlign w:val="bottom"/>
            <w:hideMark/>
          </w:tcPr>
          <w:p w14:paraId="18BAC923"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118,55</w:t>
            </w:r>
          </w:p>
        </w:tc>
        <w:tc>
          <w:tcPr>
            <w:tcW w:w="1073" w:type="dxa"/>
            <w:shd w:val="clear" w:color="auto" w:fill="auto"/>
            <w:noWrap/>
            <w:vAlign w:val="bottom"/>
            <w:hideMark/>
          </w:tcPr>
          <w:p w14:paraId="50C2F62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188,86</w:t>
            </w:r>
          </w:p>
        </w:tc>
        <w:tc>
          <w:tcPr>
            <w:tcW w:w="1560" w:type="dxa"/>
            <w:shd w:val="clear" w:color="auto" w:fill="auto"/>
            <w:noWrap/>
            <w:vAlign w:val="bottom"/>
            <w:hideMark/>
          </w:tcPr>
          <w:p w14:paraId="6269A648"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237,71</w:t>
            </w:r>
          </w:p>
        </w:tc>
        <w:tc>
          <w:tcPr>
            <w:tcW w:w="915" w:type="dxa"/>
            <w:shd w:val="clear" w:color="auto" w:fill="auto"/>
            <w:noWrap/>
            <w:vAlign w:val="bottom"/>
            <w:hideMark/>
          </w:tcPr>
          <w:p w14:paraId="0A1D04E1"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348A32B8" w14:textId="77777777" w:rsidTr="00221500">
        <w:trPr>
          <w:trHeight w:val="300"/>
        </w:trPr>
        <w:tc>
          <w:tcPr>
            <w:tcW w:w="1696" w:type="dxa"/>
            <w:shd w:val="clear" w:color="auto" w:fill="auto"/>
            <w:noWrap/>
            <w:vAlign w:val="bottom"/>
            <w:hideMark/>
          </w:tcPr>
          <w:p w14:paraId="3AC90D89"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4E1920AD"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Эртильский</w:t>
            </w:r>
          </w:p>
        </w:tc>
        <w:tc>
          <w:tcPr>
            <w:tcW w:w="1502" w:type="dxa"/>
            <w:shd w:val="clear" w:color="auto" w:fill="auto"/>
            <w:noWrap/>
            <w:vAlign w:val="bottom"/>
            <w:hideMark/>
          </w:tcPr>
          <w:p w14:paraId="350779DF"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36,30</w:t>
            </w:r>
          </w:p>
        </w:tc>
        <w:tc>
          <w:tcPr>
            <w:tcW w:w="1073" w:type="dxa"/>
            <w:shd w:val="clear" w:color="auto" w:fill="auto"/>
            <w:noWrap/>
            <w:vAlign w:val="bottom"/>
            <w:hideMark/>
          </w:tcPr>
          <w:p w14:paraId="7ADB1E80"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134,17</w:t>
            </w:r>
          </w:p>
        </w:tc>
        <w:tc>
          <w:tcPr>
            <w:tcW w:w="1560" w:type="dxa"/>
            <w:shd w:val="clear" w:color="auto" w:fill="auto"/>
            <w:noWrap/>
            <w:vAlign w:val="bottom"/>
            <w:hideMark/>
          </w:tcPr>
          <w:p w14:paraId="432E0112"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234,00</w:t>
            </w:r>
          </w:p>
        </w:tc>
        <w:tc>
          <w:tcPr>
            <w:tcW w:w="915" w:type="dxa"/>
            <w:shd w:val="clear" w:color="auto" w:fill="auto"/>
            <w:noWrap/>
            <w:vAlign w:val="bottom"/>
            <w:hideMark/>
          </w:tcPr>
          <w:p w14:paraId="56EBF105"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3C0EF1F5" w14:textId="77777777" w:rsidTr="00221500">
        <w:trPr>
          <w:trHeight w:val="300"/>
        </w:trPr>
        <w:tc>
          <w:tcPr>
            <w:tcW w:w="1696" w:type="dxa"/>
            <w:shd w:val="clear" w:color="auto" w:fill="auto"/>
            <w:noWrap/>
            <w:vAlign w:val="bottom"/>
            <w:hideMark/>
          </w:tcPr>
          <w:p w14:paraId="34C897E2"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0E77872E"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Каменский</w:t>
            </w:r>
          </w:p>
        </w:tc>
        <w:tc>
          <w:tcPr>
            <w:tcW w:w="1502" w:type="dxa"/>
            <w:shd w:val="clear" w:color="auto" w:fill="auto"/>
            <w:noWrap/>
            <w:vAlign w:val="bottom"/>
            <w:hideMark/>
          </w:tcPr>
          <w:p w14:paraId="1A89AD88"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201,15</w:t>
            </w:r>
          </w:p>
        </w:tc>
        <w:tc>
          <w:tcPr>
            <w:tcW w:w="1073" w:type="dxa"/>
            <w:shd w:val="clear" w:color="auto" w:fill="auto"/>
            <w:noWrap/>
            <w:vAlign w:val="bottom"/>
            <w:hideMark/>
          </w:tcPr>
          <w:p w14:paraId="2ED2E84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212,84</w:t>
            </w:r>
          </w:p>
        </w:tc>
        <w:tc>
          <w:tcPr>
            <w:tcW w:w="1560" w:type="dxa"/>
            <w:shd w:val="clear" w:color="auto" w:fill="auto"/>
            <w:noWrap/>
            <w:vAlign w:val="bottom"/>
            <w:hideMark/>
          </w:tcPr>
          <w:p w14:paraId="6C253278"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232,69</w:t>
            </w:r>
          </w:p>
        </w:tc>
        <w:tc>
          <w:tcPr>
            <w:tcW w:w="915" w:type="dxa"/>
            <w:shd w:val="clear" w:color="auto" w:fill="auto"/>
            <w:noWrap/>
            <w:vAlign w:val="bottom"/>
            <w:hideMark/>
          </w:tcPr>
          <w:p w14:paraId="6A0E2784"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r w:rsidR="000B0C76" w:rsidRPr="008009AF" w14:paraId="2F3E68A9" w14:textId="77777777" w:rsidTr="00221500">
        <w:trPr>
          <w:trHeight w:val="300"/>
        </w:trPr>
        <w:tc>
          <w:tcPr>
            <w:tcW w:w="1696" w:type="dxa"/>
            <w:shd w:val="clear" w:color="auto" w:fill="auto"/>
            <w:noWrap/>
            <w:vAlign w:val="bottom"/>
            <w:hideMark/>
          </w:tcPr>
          <w:p w14:paraId="24651946"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СНП/МС</w:t>
            </w:r>
          </w:p>
        </w:tc>
        <w:tc>
          <w:tcPr>
            <w:tcW w:w="2528" w:type="dxa"/>
            <w:shd w:val="clear" w:color="auto" w:fill="auto"/>
            <w:noWrap/>
            <w:vAlign w:val="bottom"/>
            <w:hideMark/>
          </w:tcPr>
          <w:p w14:paraId="55876107" w14:textId="77777777" w:rsidR="000B0C76" w:rsidRPr="008009AF" w:rsidRDefault="000B0C76" w:rsidP="000B0C76">
            <w:pPr>
              <w:spacing w:after="0" w:line="240" w:lineRule="auto"/>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Бутурлиновский</w:t>
            </w:r>
          </w:p>
        </w:tc>
        <w:tc>
          <w:tcPr>
            <w:tcW w:w="1502" w:type="dxa"/>
            <w:shd w:val="clear" w:color="auto" w:fill="auto"/>
            <w:noWrap/>
            <w:vAlign w:val="bottom"/>
            <w:hideMark/>
          </w:tcPr>
          <w:p w14:paraId="45A23823"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33,25</w:t>
            </w:r>
          </w:p>
        </w:tc>
        <w:tc>
          <w:tcPr>
            <w:tcW w:w="1073" w:type="dxa"/>
            <w:shd w:val="clear" w:color="auto" w:fill="auto"/>
            <w:noWrap/>
            <w:vAlign w:val="bottom"/>
            <w:hideMark/>
          </w:tcPr>
          <w:p w14:paraId="7B507472"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128,15</w:t>
            </w:r>
          </w:p>
        </w:tc>
        <w:tc>
          <w:tcPr>
            <w:tcW w:w="1560" w:type="dxa"/>
            <w:shd w:val="clear" w:color="auto" w:fill="auto"/>
            <w:noWrap/>
            <w:vAlign w:val="bottom"/>
            <w:hideMark/>
          </w:tcPr>
          <w:p w14:paraId="58904288"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189,10</w:t>
            </w:r>
          </w:p>
        </w:tc>
        <w:tc>
          <w:tcPr>
            <w:tcW w:w="915" w:type="dxa"/>
            <w:shd w:val="clear" w:color="auto" w:fill="auto"/>
            <w:noWrap/>
            <w:vAlign w:val="bottom"/>
            <w:hideMark/>
          </w:tcPr>
          <w:p w14:paraId="315544D5" w14:textId="77777777" w:rsidR="000B0C76" w:rsidRPr="008009AF" w:rsidRDefault="000B0C76" w:rsidP="000B0C76">
            <w:pPr>
              <w:spacing w:after="0" w:line="240" w:lineRule="auto"/>
              <w:jc w:val="right"/>
              <w:rPr>
                <w:rFonts w:ascii="Times New Roman" w:eastAsia="Times New Roman" w:hAnsi="Times New Roman" w:cs="Times New Roman"/>
                <w:lang w:eastAsia="ru-RU"/>
              </w:rPr>
            </w:pPr>
            <w:r w:rsidRPr="008009AF">
              <w:rPr>
                <w:rFonts w:ascii="Times New Roman" w:eastAsia="Times New Roman" w:hAnsi="Times New Roman" w:cs="Times New Roman"/>
                <w:lang w:eastAsia="ru-RU"/>
              </w:rPr>
              <w:t>6</w:t>
            </w:r>
          </w:p>
        </w:tc>
      </w:tr>
    </w:tbl>
    <w:p w14:paraId="0841E79A" w14:textId="77777777" w:rsidR="000B0C76" w:rsidRDefault="000B0C76" w:rsidP="000B0C76">
      <w:pPr>
        <w:spacing w:before="120" w:after="0" w:line="276" w:lineRule="auto"/>
        <w:ind w:firstLine="708"/>
        <w:jc w:val="both"/>
        <w:rPr>
          <w:rFonts w:ascii="Times New Roman" w:hAnsi="Times New Roman" w:cs="Times New Roman"/>
          <w:sz w:val="26"/>
          <w:szCs w:val="26"/>
        </w:rPr>
      </w:pPr>
      <w:r w:rsidRPr="00F562A8">
        <w:rPr>
          <w:rFonts w:ascii="Times New Roman" w:hAnsi="Times New Roman" w:cs="Times New Roman"/>
          <w:sz w:val="26"/>
          <w:szCs w:val="26"/>
        </w:rPr>
        <w:t xml:space="preserve">Руководствуясь проведенным анализом распределения рыночной </w:t>
      </w:r>
      <w:r w:rsidRPr="008E6A59">
        <w:rPr>
          <w:rFonts w:ascii="Times New Roman" w:hAnsi="Times New Roman" w:cs="Times New Roman"/>
          <w:sz w:val="26"/>
          <w:szCs w:val="26"/>
        </w:rPr>
        <w:t xml:space="preserve">информации, в рамках данного сегмента было выделено </w:t>
      </w:r>
      <w:r>
        <w:rPr>
          <w:rFonts w:ascii="Times New Roman" w:hAnsi="Times New Roman" w:cs="Times New Roman"/>
          <w:sz w:val="26"/>
          <w:szCs w:val="26"/>
        </w:rPr>
        <w:t>6</w:t>
      </w:r>
      <w:r w:rsidRPr="008E6A59">
        <w:rPr>
          <w:rFonts w:ascii="Times New Roman" w:hAnsi="Times New Roman" w:cs="Times New Roman"/>
          <w:sz w:val="26"/>
          <w:szCs w:val="26"/>
        </w:rPr>
        <w:t xml:space="preserve"> ценовых зон</w:t>
      </w:r>
      <w:r>
        <w:rPr>
          <w:rFonts w:ascii="Times New Roman" w:hAnsi="Times New Roman" w:cs="Times New Roman"/>
          <w:sz w:val="26"/>
          <w:szCs w:val="26"/>
        </w:rPr>
        <w:t>.</w:t>
      </w:r>
    </w:p>
    <w:p w14:paraId="635EA801" w14:textId="77777777" w:rsidR="000B0C76" w:rsidRPr="006956D7" w:rsidRDefault="000B0C76" w:rsidP="000B0C76">
      <w:pPr>
        <w:spacing w:after="0" w:line="276" w:lineRule="auto"/>
        <w:ind w:firstLine="708"/>
        <w:jc w:val="both"/>
        <w:rPr>
          <w:rFonts w:ascii="Times New Roman" w:hAnsi="Times New Roman" w:cs="Times New Roman"/>
          <w:sz w:val="26"/>
          <w:szCs w:val="26"/>
        </w:rPr>
      </w:pPr>
      <w:r w:rsidRPr="006956D7">
        <w:rPr>
          <w:rFonts w:ascii="Times New Roman" w:hAnsi="Times New Roman" w:cs="Times New Roman"/>
          <w:sz w:val="26"/>
          <w:szCs w:val="26"/>
        </w:rPr>
        <w:t xml:space="preserve">-зона 1- г. Воронеж; </w:t>
      </w:r>
    </w:p>
    <w:p w14:paraId="41601CE2" w14:textId="77777777" w:rsidR="000B0C76" w:rsidRPr="006956D7" w:rsidRDefault="000B0C76" w:rsidP="000B0C76">
      <w:pPr>
        <w:spacing w:after="0" w:line="276" w:lineRule="auto"/>
        <w:ind w:firstLine="708"/>
        <w:jc w:val="both"/>
        <w:rPr>
          <w:rFonts w:ascii="Times New Roman" w:hAnsi="Times New Roman" w:cs="Times New Roman"/>
          <w:sz w:val="26"/>
          <w:szCs w:val="26"/>
        </w:rPr>
      </w:pPr>
      <w:r w:rsidRPr="006956D7">
        <w:rPr>
          <w:rFonts w:ascii="Times New Roman" w:hAnsi="Times New Roman" w:cs="Times New Roman"/>
          <w:sz w:val="26"/>
          <w:szCs w:val="26"/>
        </w:rPr>
        <w:t>-зона 2 -</w:t>
      </w:r>
      <w:r>
        <w:rPr>
          <w:rFonts w:ascii="Times New Roman" w:hAnsi="Times New Roman" w:cs="Times New Roman"/>
          <w:sz w:val="26"/>
          <w:szCs w:val="26"/>
        </w:rPr>
        <w:t xml:space="preserve"> </w:t>
      </w:r>
      <w:r w:rsidRPr="00F562A8">
        <w:rPr>
          <w:rFonts w:ascii="Times New Roman" w:hAnsi="Times New Roman" w:cs="Times New Roman"/>
          <w:sz w:val="26"/>
          <w:szCs w:val="26"/>
        </w:rPr>
        <w:t>городские населенные пункты с населением свыше 30 тыс. человек (г. Нововоронеж, г. Лиски, г. Острогожск, г. Борисоглебск, с. Новая Усмань, г. Россошь)</w:t>
      </w:r>
      <w:r>
        <w:rPr>
          <w:rFonts w:ascii="Times New Roman" w:hAnsi="Times New Roman" w:cs="Times New Roman"/>
          <w:sz w:val="26"/>
          <w:szCs w:val="26"/>
        </w:rPr>
        <w:t>, а также г. Семилуки</w:t>
      </w:r>
      <w:r w:rsidRPr="006956D7">
        <w:rPr>
          <w:rFonts w:ascii="Times New Roman" w:hAnsi="Times New Roman" w:cs="Times New Roman"/>
          <w:sz w:val="26"/>
          <w:szCs w:val="26"/>
        </w:rPr>
        <w:t>;</w:t>
      </w:r>
    </w:p>
    <w:p w14:paraId="1F40E0DF" w14:textId="77777777" w:rsidR="000B0C76" w:rsidRDefault="000B0C76" w:rsidP="000B0C76">
      <w:pPr>
        <w:spacing w:after="0" w:line="276" w:lineRule="auto"/>
        <w:ind w:firstLine="708"/>
        <w:jc w:val="both"/>
        <w:rPr>
          <w:rFonts w:ascii="Times New Roman" w:hAnsi="Times New Roman" w:cs="Times New Roman"/>
          <w:sz w:val="26"/>
          <w:szCs w:val="26"/>
        </w:rPr>
      </w:pPr>
      <w:r w:rsidRPr="006956D7">
        <w:rPr>
          <w:rFonts w:ascii="Times New Roman" w:hAnsi="Times New Roman" w:cs="Times New Roman"/>
          <w:sz w:val="26"/>
          <w:szCs w:val="26"/>
        </w:rPr>
        <w:t>-зона 3</w:t>
      </w:r>
      <w:r>
        <w:rPr>
          <w:rFonts w:ascii="Times New Roman" w:hAnsi="Times New Roman" w:cs="Times New Roman"/>
          <w:sz w:val="26"/>
          <w:szCs w:val="26"/>
        </w:rPr>
        <w:t xml:space="preserve"> – крупные</w:t>
      </w:r>
      <w:r w:rsidRPr="006956D7">
        <w:rPr>
          <w:rFonts w:ascii="Times New Roman" w:hAnsi="Times New Roman" w:cs="Times New Roman"/>
          <w:sz w:val="26"/>
          <w:szCs w:val="26"/>
        </w:rPr>
        <w:t xml:space="preserve"> </w:t>
      </w:r>
      <w:r>
        <w:rPr>
          <w:rFonts w:ascii="Times New Roman" w:hAnsi="Times New Roman" w:cs="Times New Roman"/>
          <w:sz w:val="26"/>
          <w:szCs w:val="26"/>
        </w:rPr>
        <w:t>городские населенные пункты;</w:t>
      </w:r>
    </w:p>
    <w:p w14:paraId="16FF8B87" w14:textId="77777777" w:rsidR="000B0C76" w:rsidRDefault="000B0C76" w:rsidP="000B0C76">
      <w:pPr>
        <w:spacing w:after="0" w:line="276" w:lineRule="auto"/>
        <w:ind w:firstLine="708"/>
        <w:jc w:val="both"/>
        <w:rPr>
          <w:rFonts w:ascii="Times New Roman" w:hAnsi="Times New Roman" w:cs="Times New Roman"/>
          <w:sz w:val="26"/>
          <w:szCs w:val="26"/>
        </w:rPr>
      </w:pPr>
      <w:r>
        <w:rPr>
          <w:rFonts w:ascii="Times New Roman" w:hAnsi="Times New Roman" w:cs="Times New Roman"/>
          <w:sz w:val="26"/>
          <w:szCs w:val="26"/>
        </w:rPr>
        <w:t>-зона 4 – остальные городские населенные пункты;</w:t>
      </w:r>
    </w:p>
    <w:p w14:paraId="64987C94" w14:textId="77777777" w:rsidR="000B0C76" w:rsidRDefault="000B0C76" w:rsidP="000B0C76">
      <w:pPr>
        <w:spacing w:after="0" w:line="276" w:lineRule="auto"/>
        <w:ind w:firstLine="708"/>
        <w:jc w:val="both"/>
        <w:rPr>
          <w:rFonts w:ascii="Times New Roman" w:hAnsi="Times New Roman" w:cs="Times New Roman"/>
          <w:sz w:val="26"/>
          <w:szCs w:val="26"/>
        </w:rPr>
      </w:pPr>
      <w:r>
        <w:rPr>
          <w:rFonts w:ascii="Times New Roman" w:hAnsi="Times New Roman" w:cs="Times New Roman"/>
          <w:sz w:val="26"/>
          <w:szCs w:val="26"/>
        </w:rPr>
        <w:t>-зона 5 - сельские населенные пункты и межселенная территория Новоусманского, Семилукского и Рамонского районов;</w:t>
      </w:r>
    </w:p>
    <w:p w14:paraId="48F01EFE" w14:textId="77777777" w:rsidR="000B0C76" w:rsidRPr="008E6A59" w:rsidRDefault="000B0C76" w:rsidP="000B0C76">
      <w:pPr>
        <w:spacing w:after="0" w:line="276" w:lineRule="auto"/>
        <w:ind w:firstLine="708"/>
        <w:jc w:val="both"/>
        <w:rPr>
          <w:rFonts w:ascii="Times New Roman" w:hAnsi="Times New Roman" w:cs="Times New Roman"/>
          <w:sz w:val="26"/>
          <w:szCs w:val="26"/>
        </w:rPr>
      </w:pPr>
      <w:r>
        <w:rPr>
          <w:rFonts w:ascii="Times New Roman" w:hAnsi="Times New Roman" w:cs="Times New Roman"/>
          <w:sz w:val="26"/>
          <w:szCs w:val="26"/>
        </w:rPr>
        <w:t>-зона 6 - сельские населенные пункты и межселенная территория остальных районов Воронежской области.</w:t>
      </w:r>
    </w:p>
    <w:p w14:paraId="3EE1DF53" w14:textId="77777777" w:rsidR="000B0C76" w:rsidRDefault="000B0C76" w:rsidP="000B0C76">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З</w:t>
      </w:r>
      <w:r w:rsidRPr="00F562A8">
        <w:rPr>
          <w:rFonts w:ascii="Times New Roman" w:hAnsi="Times New Roman" w:cs="Times New Roman"/>
          <w:sz w:val="26"/>
          <w:szCs w:val="26"/>
        </w:rPr>
        <w:t xml:space="preserve">начения удельных показателей рыночной стоимости земельных участков сегмента </w:t>
      </w:r>
      <w:r>
        <w:rPr>
          <w:rFonts w:ascii="Times New Roman" w:hAnsi="Times New Roman" w:cs="Times New Roman"/>
          <w:sz w:val="26"/>
          <w:szCs w:val="26"/>
        </w:rPr>
        <w:t>6</w:t>
      </w:r>
      <w:r w:rsidRPr="00F562A8">
        <w:rPr>
          <w:rFonts w:ascii="Times New Roman" w:hAnsi="Times New Roman" w:cs="Times New Roman"/>
          <w:sz w:val="26"/>
          <w:szCs w:val="26"/>
        </w:rPr>
        <w:t xml:space="preserve"> «</w:t>
      </w:r>
      <w:r>
        <w:rPr>
          <w:rFonts w:ascii="Times New Roman" w:hAnsi="Times New Roman" w:cs="Times New Roman"/>
          <w:sz w:val="26"/>
          <w:szCs w:val="26"/>
        </w:rPr>
        <w:t>Производственная деятельность</w:t>
      </w:r>
      <w:r w:rsidRPr="00F562A8">
        <w:rPr>
          <w:rFonts w:ascii="Times New Roman" w:hAnsi="Times New Roman" w:cs="Times New Roman"/>
          <w:sz w:val="26"/>
          <w:szCs w:val="26"/>
        </w:rPr>
        <w:t xml:space="preserve">» для </w:t>
      </w:r>
      <w:r>
        <w:rPr>
          <w:rFonts w:ascii="Times New Roman" w:hAnsi="Times New Roman" w:cs="Times New Roman"/>
          <w:sz w:val="26"/>
          <w:szCs w:val="26"/>
        </w:rPr>
        <w:t>ценовых зон</w:t>
      </w:r>
      <w:r w:rsidRPr="00F562A8">
        <w:rPr>
          <w:rFonts w:ascii="Times New Roman" w:hAnsi="Times New Roman" w:cs="Times New Roman"/>
          <w:sz w:val="26"/>
          <w:szCs w:val="26"/>
        </w:rPr>
        <w:t xml:space="preserve"> представлены в таблице 3.2.</w:t>
      </w:r>
      <w:r>
        <w:rPr>
          <w:rFonts w:ascii="Times New Roman" w:hAnsi="Times New Roman" w:cs="Times New Roman"/>
          <w:sz w:val="26"/>
          <w:szCs w:val="26"/>
        </w:rPr>
        <w:t>9.</w:t>
      </w:r>
    </w:p>
    <w:p w14:paraId="7A413FF3" w14:textId="77777777" w:rsidR="000B0C76" w:rsidRPr="00F562A8" w:rsidRDefault="000B0C76" w:rsidP="000B0C76">
      <w:pPr>
        <w:spacing w:after="0" w:line="276" w:lineRule="auto"/>
        <w:ind w:firstLine="709"/>
        <w:jc w:val="right"/>
        <w:rPr>
          <w:rFonts w:ascii="Times New Roman" w:hAnsi="Times New Roman" w:cs="Times New Roman"/>
          <w:sz w:val="26"/>
          <w:szCs w:val="26"/>
        </w:rPr>
      </w:pPr>
      <w:r w:rsidRPr="00F562A8">
        <w:rPr>
          <w:rFonts w:ascii="Times New Roman" w:hAnsi="Times New Roman" w:cs="Times New Roman"/>
          <w:sz w:val="26"/>
          <w:szCs w:val="26"/>
        </w:rPr>
        <w:t>Таблица 3.2.</w:t>
      </w:r>
      <w:r>
        <w:rPr>
          <w:rFonts w:ascii="Times New Roman" w:hAnsi="Times New Roman" w:cs="Times New Roman"/>
          <w:sz w:val="26"/>
          <w:szCs w:val="26"/>
        </w:rPr>
        <w:t>9</w:t>
      </w:r>
    </w:p>
    <w:p w14:paraId="343F5473" w14:textId="77777777" w:rsidR="000B0C76" w:rsidRPr="00F562A8" w:rsidRDefault="000B0C76" w:rsidP="000B0C76">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Удельные показатели рыночной стоимости, руб./м</w:t>
      </w:r>
      <w:r w:rsidRPr="00F562A8">
        <w:rPr>
          <w:rFonts w:ascii="Times New Roman" w:hAnsi="Times New Roman" w:cs="Times New Roman"/>
          <w:sz w:val="26"/>
          <w:szCs w:val="26"/>
          <w:vertAlign w:val="superscript"/>
        </w:rPr>
        <w:t>2</w:t>
      </w:r>
    </w:p>
    <w:tbl>
      <w:tblPr>
        <w:tblStyle w:val="ae"/>
        <w:tblW w:w="0" w:type="auto"/>
        <w:tblLook w:val="04A0" w:firstRow="1" w:lastRow="0" w:firstColumn="1" w:lastColumn="0" w:noHBand="0" w:noVBand="1"/>
      </w:tblPr>
      <w:tblGrid>
        <w:gridCol w:w="1979"/>
        <w:gridCol w:w="2410"/>
        <w:gridCol w:w="2268"/>
        <w:gridCol w:w="2687"/>
      </w:tblGrid>
      <w:tr w:rsidR="000B0C76" w:rsidRPr="00A405B9" w14:paraId="230BFA03" w14:textId="77777777" w:rsidTr="000B0C76">
        <w:tc>
          <w:tcPr>
            <w:tcW w:w="1980" w:type="dxa"/>
            <w:vMerge w:val="restart"/>
            <w:vAlign w:val="center"/>
          </w:tcPr>
          <w:p w14:paraId="7C978D53"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 ценовой зоны</w:t>
            </w:r>
          </w:p>
        </w:tc>
        <w:tc>
          <w:tcPr>
            <w:tcW w:w="7365" w:type="dxa"/>
            <w:gridSpan w:val="3"/>
          </w:tcPr>
          <w:p w14:paraId="5D15A947" w14:textId="77777777" w:rsidR="000B0C76" w:rsidRPr="00A405B9" w:rsidRDefault="000B0C76" w:rsidP="000B0C76">
            <w:pPr>
              <w:spacing w:line="276" w:lineRule="auto"/>
              <w:jc w:val="center"/>
              <w:rPr>
                <w:rFonts w:ascii="Times New Roman" w:hAnsi="Times New Roman" w:cs="Times New Roman"/>
                <w:sz w:val="22"/>
                <w:szCs w:val="22"/>
                <w:vertAlign w:val="superscript"/>
              </w:rPr>
            </w:pPr>
            <w:r w:rsidRPr="00A405B9">
              <w:rPr>
                <w:rFonts w:ascii="Times New Roman" w:hAnsi="Times New Roman" w:cs="Times New Roman"/>
                <w:sz w:val="22"/>
                <w:szCs w:val="22"/>
              </w:rPr>
              <w:t>Удельный показатель рыночной стоимости, руб./м</w:t>
            </w:r>
            <w:r w:rsidRPr="00A405B9">
              <w:rPr>
                <w:rFonts w:ascii="Times New Roman" w:hAnsi="Times New Roman" w:cs="Times New Roman"/>
                <w:sz w:val="22"/>
                <w:szCs w:val="22"/>
                <w:vertAlign w:val="superscript"/>
              </w:rPr>
              <w:t>2</w:t>
            </w:r>
          </w:p>
        </w:tc>
      </w:tr>
      <w:tr w:rsidR="000B0C76" w:rsidRPr="00A405B9" w14:paraId="728947CA" w14:textId="77777777" w:rsidTr="000B0C76">
        <w:tc>
          <w:tcPr>
            <w:tcW w:w="1980" w:type="dxa"/>
            <w:vMerge/>
          </w:tcPr>
          <w:p w14:paraId="1D830A2D" w14:textId="77777777" w:rsidR="000B0C76" w:rsidRPr="00A405B9" w:rsidRDefault="000B0C76" w:rsidP="000B0C76">
            <w:pPr>
              <w:spacing w:line="276" w:lineRule="auto"/>
              <w:jc w:val="right"/>
              <w:rPr>
                <w:rFonts w:ascii="Times New Roman" w:hAnsi="Times New Roman" w:cs="Times New Roman"/>
                <w:sz w:val="22"/>
                <w:szCs w:val="22"/>
              </w:rPr>
            </w:pPr>
          </w:p>
        </w:tc>
        <w:tc>
          <w:tcPr>
            <w:tcW w:w="2410" w:type="dxa"/>
          </w:tcPr>
          <w:p w14:paraId="472A25F5"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минимальный</w:t>
            </w:r>
          </w:p>
        </w:tc>
        <w:tc>
          <w:tcPr>
            <w:tcW w:w="2268" w:type="dxa"/>
          </w:tcPr>
          <w:p w14:paraId="36FEF807"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средний</w:t>
            </w:r>
          </w:p>
        </w:tc>
        <w:tc>
          <w:tcPr>
            <w:tcW w:w="2687" w:type="dxa"/>
          </w:tcPr>
          <w:p w14:paraId="6E7DFE14"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максимальный</w:t>
            </w:r>
          </w:p>
        </w:tc>
      </w:tr>
      <w:tr w:rsidR="000B0C76" w:rsidRPr="00A405B9" w14:paraId="39F57E37" w14:textId="77777777" w:rsidTr="000B0C76">
        <w:tc>
          <w:tcPr>
            <w:tcW w:w="1980" w:type="dxa"/>
          </w:tcPr>
          <w:p w14:paraId="1793FA69"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1</w:t>
            </w:r>
          </w:p>
        </w:tc>
        <w:tc>
          <w:tcPr>
            <w:tcW w:w="2410" w:type="dxa"/>
            <w:vAlign w:val="bottom"/>
          </w:tcPr>
          <w:p w14:paraId="22FA4286"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 xml:space="preserve">               504,31   </w:t>
            </w:r>
          </w:p>
        </w:tc>
        <w:tc>
          <w:tcPr>
            <w:tcW w:w="2268" w:type="dxa"/>
            <w:vAlign w:val="bottom"/>
          </w:tcPr>
          <w:p w14:paraId="75D6C0E1"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 xml:space="preserve">           2 119,87   </w:t>
            </w:r>
          </w:p>
        </w:tc>
        <w:tc>
          <w:tcPr>
            <w:tcW w:w="2687" w:type="dxa"/>
            <w:vAlign w:val="bottom"/>
          </w:tcPr>
          <w:p w14:paraId="4AB26C67"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 xml:space="preserve">            6 935,48   </w:t>
            </w:r>
          </w:p>
        </w:tc>
      </w:tr>
      <w:tr w:rsidR="000B0C76" w:rsidRPr="00A405B9" w14:paraId="12D439FB" w14:textId="77777777" w:rsidTr="000B0C76">
        <w:tc>
          <w:tcPr>
            <w:tcW w:w="1980" w:type="dxa"/>
          </w:tcPr>
          <w:p w14:paraId="19F7D2CF"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2</w:t>
            </w:r>
          </w:p>
        </w:tc>
        <w:tc>
          <w:tcPr>
            <w:tcW w:w="2410" w:type="dxa"/>
            <w:vAlign w:val="bottom"/>
          </w:tcPr>
          <w:p w14:paraId="535F05F9"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 xml:space="preserve">               734,76   </w:t>
            </w:r>
          </w:p>
        </w:tc>
        <w:tc>
          <w:tcPr>
            <w:tcW w:w="2268" w:type="dxa"/>
            <w:vAlign w:val="bottom"/>
          </w:tcPr>
          <w:p w14:paraId="7F74F2D3"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 xml:space="preserve">           1 325,55   </w:t>
            </w:r>
          </w:p>
        </w:tc>
        <w:tc>
          <w:tcPr>
            <w:tcW w:w="2687" w:type="dxa"/>
            <w:vAlign w:val="bottom"/>
          </w:tcPr>
          <w:p w14:paraId="449492E5"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 xml:space="preserve">            2 194,14   </w:t>
            </w:r>
          </w:p>
        </w:tc>
      </w:tr>
      <w:tr w:rsidR="000B0C76" w:rsidRPr="00A405B9" w14:paraId="4ED97712" w14:textId="77777777" w:rsidTr="000B0C76">
        <w:tc>
          <w:tcPr>
            <w:tcW w:w="1980" w:type="dxa"/>
          </w:tcPr>
          <w:p w14:paraId="72C0FD0A"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3</w:t>
            </w:r>
          </w:p>
        </w:tc>
        <w:tc>
          <w:tcPr>
            <w:tcW w:w="2410" w:type="dxa"/>
            <w:vAlign w:val="bottom"/>
          </w:tcPr>
          <w:p w14:paraId="70B864F0"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 xml:space="preserve">               792,54   </w:t>
            </w:r>
          </w:p>
        </w:tc>
        <w:tc>
          <w:tcPr>
            <w:tcW w:w="2268" w:type="dxa"/>
            <w:vAlign w:val="bottom"/>
          </w:tcPr>
          <w:p w14:paraId="6D053236"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 xml:space="preserve">           1 179,12   </w:t>
            </w:r>
          </w:p>
        </w:tc>
        <w:tc>
          <w:tcPr>
            <w:tcW w:w="2687" w:type="dxa"/>
            <w:vAlign w:val="bottom"/>
          </w:tcPr>
          <w:p w14:paraId="7B643886"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 xml:space="preserve">            1 834,49   </w:t>
            </w:r>
          </w:p>
        </w:tc>
      </w:tr>
      <w:tr w:rsidR="000B0C76" w:rsidRPr="00A405B9" w14:paraId="692EFCBF" w14:textId="77777777" w:rsidTr="000B0C76">
        <w:tc>
          <w:tcPr>
            <w:tcW w:w="1980" w:type="dxa"/>
          </w:tcPr>
          <w:p w14:paraId="07B9DA44"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4</w:t>
            </w:r>
          </w:p>
        </w:tc>
        <w:tc>
          <w:tcPr>
            <w:tcW w:w="2410" w:type="dxa"/>
            <w:vAlign w:val="bottom"/>
          </w:tcPr>
          <w:p w14:paraId="7FF70551"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 xml:space="preserve">               601,91   </w:t>
            </w:r>
          </w:p>
        </w:tc>
        <w:tc>
          <w:tcPr>
            <w:tcW w:w="2268" w:type="dxa"/>
            <w:vAlign w:val="bottom"/>
          </w:tcPr>
          <w:p w14:paraId="4293F17B"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 xml:space="preserve">              784,22   </w:t>
            </w:r>
          </w:p>
        </w:tc>
        <w:tc>
          <w:tcPr>
            <w:tcW w:w="2687" w:type="dxa"/>
            <w:vAlign w:val="bottom"/>
          </w:tcPr>
          <w:p w14:paraId="40A3DBAB" w14:textId="77777777" w:rsidR="000B0C76" w:rsidRPr="00A405B9" w:rsidRDefault="000B0C76" w:rsidP="000B0C76">
            <w:pPr>
              <w:spacing w:line="276" w:lineRule="auto"/>
              <w:jc w:val="center"/>
              <w:rPr>
                <w:rFonts w:ascii="Times New Roman" w:hAnsi="Times New Roman" w:cs="Times New Roman"/>
                <w:sz w:val="22"/>
                <w:szCs w:val="22"/>
              </w:rPr>
            </w:pPr>
            <w:r w:rsidRPr="00A405B9">
              <w:rPr>
                <w:rFonts w:ascii="Times New Roman" w:hAnsi="Times New Roman" w:cs="Times New Roman"/>
                <w:sz w:val="22"/>
                <w:szCs w:val="22"/>
              </w:rPr>
              <w:t xml:space="preserve">            1 018,51   </w:t>
            </w:r>
          </w:p>
        </w:tc>
      </w:tr>
      <w:tr w:rsidR="000B0C76" w:rsidRPr="00A405B9" w14:paraId="3C962EF1" w14:textId="77777777" w:rsidTr="000B0C76">
        <w:tc>
          <w:tcPr>
            <w:tcW w:w="1980" w:type="dxa"/>
          </w:tcPr>
          <w:p w14:paraId="4AA30C1E" w14:textId="77777777" w:rsidR="000B0C76" w:rsidRPr="00A405B9" w:rsidRDefault="000B0C76" w:rsidP="000B0C76">
            <w:pPr>
              <w:spacing w:line="276" w:lineRule="auto"/>
              <w:jc w:val="center"/>
              <w:rPr>
                <w:rFonts w:ascii="Times New Roman" w:hAnsi="Times New Roman" w:cs="Times New Roman"/>
              </w:rPr>
            </w:pPr>
            <w:r w:rsidRPr="00A405B9">
              <w:rPr>
                <w:rFonts w:ascii="Times New Roman" w:hAnsi="Times New Roman" w:cs="Times New Roman"/>
              </w:rPr>
              <w:t>5</w:t>
            </w:r>
          </w:p>
        </w:tc>
        <w:tc>
          <w:tcPr>
            <w:tcW w:w="2410" w:type="dxa"/>
            <w:vAlign w:val="bottom"/>
          </w:tcPr>
          <w:p w14:paraId="6C14C7D8" w14:textId="77777777" w:rsidR="000B0C76" w:rsidRPr="00A405B9" w:rsidRDefault="000B0C76" w:rsidP="000B0C76">
            <w:pPr>
              <w:spacing w:line="276" w:lineRule="auto"/>
              <w:jc w:val="center"/>
              <w:rPr>
                <w:rFonts w:ascii="Times New Roman" w:hAnsi="Times New Roman" w:cs="Times New Roman"/>
              </w:rPr>
            </w:pPr>
            <w:r w:rsidRPr="00A405B9">
              <w:rPr>
                <w:rFonts w:ascii="Times New Roman" w:hAnsi="Times New Roman" w:cs="Times New Roman"/>
                <w:sz w:val="22"/>
                <w:szCs w:val="22"/>
              </w:rPr>
              <w:t xml:space="preserve">                 30,96   </w:t>
            </w:r>
          </w:p>
        </w:tc>
        <w:tc>
          <w:tcPr>
            <w:tcW w:w="2268" w:type="dxa"/>
            <w:vAlign w:val="bottom"/>
          </w:tcPr>
          <w:p w14:paraId="7443875A" w14:textId="77777777" w:rsidR="000B0C76" w:rsidRPr="00A405B9" w:rsidRDefault="000B0C76" w:rsidP="000B0C76">
            <w:pPr>
              <w:spacing w:line="276" w:lineRule="auto"/>
              <w:jc w:val="center"/>
              <w:rPr>
                <w:rFonts w:ascii="Times New Roman" w:hAnsi="Times New Roman" w:cs="Times New Roman"/>
              </w:rPr>
            </w:pPr>
            <w:r w:rsidRPr="00A405B9">
              <w:rPr>
                <w:rFonts w:ascii="Times New Roman" w:hAnsi="Times New Roman" w:cs="Times New Roman"/>
                <w:sz w:val="22"/>
                <w:szCs w:val="22"/>
              </w:rPr>
              <w:t xml:space="preserve">              495,16   </w:t>
            </w:r>
          </w:p>
        </w:tc>
        <w:tc>
          <w:tcPr>
            <w:tcW w:w="2687" w:type="dxa"/>
            <w:vAlign w:val="bottom"/>
          </w:tcPr>
          <w:p w14:paraId="5DAC7876" w14:textId="77777777" w:rsidR="000B0C76" w:rsidRPr="00A405B9" w:rsidRDefault="000B0C76" w:rsidP="000B0C76">
            <w:pPr>
              <w:spacing w:line="276" w:lineRule="auto"/>
              <w:jc w:val="center"/>
              <w:rPr>
                <w:rFonts w:ascii="Times New Roman" w:hAnsi="Times New Roman" w:cs="Times New Roman"/>
              </w:rPr>
            </w:pPr>
            <w:r w:rsidRPr="00A405B9">
              <w:rPr>
                <w:rFonts w:ascii="Times New Roman" w:hAnsi="Times New Roman" w:cs="Times New Roman"/>
                <w:sz w:val="22"/>
                <w:szCs w:val="22"/>
              </w:rPr>
              <w:t xml:space="preserve">            4 558,40   </w:t>
            </w:r>
          </w:p>
        </w:tc>
      </w:tr>
      <w:tr w:rsidR="000B0C76" w:rsidRPr="00A405B9" w14:paraId="2048D0CC" w14:textId="77777777" w:rsidTr="000B0C76">
        <w:tc>
          <w:tcPr>
            <w:tcW w:w="1980" w:type="dxa"/>
          </w:tcPr>
          <w:p w14:paraId="6893B8DA" w14:textId="77777777" w:rsidR="000B0C76" w:rsidRPr="00A405B9" w:rsidRDefault="000B0C76" w:rsidP="000B0C76">
            <w:pPr>
              <w:spacing w:line="276" w:lineRule="auto"/>
              <w:jc w:val="center"/>
              <w:rPr>
                <w:rFonts w:ascii="Times New Roman" w:hAnsi="Times New Roman" w:cs="Times New Roman"/>
              </w:rPr>
            </w:pPr>
            <w:r w:rsidRPr="00A405B9">
              <w:rPr>
                <w:rFonts w:ascii="Times New Roman" w:hAnsi="Times New Roman" w:cs="Times New Roman"/>
              </w:rPr>
              <w:t>6</w:t>
            </w:r>
          </w:p>
        </w:tc>
        <w:tc>
          <w:tcPr>
            <w:tcW w:w="2410" w:type="dxa"/>
            <w:vAlign w:val="bottom"/>
          </w:tcPr>
          <w:p w14:paraId="06277338" w14:textId="77777777" w:rsidR="000B0C76" w:rsidRPr="00A405B9" w:rsidRDefault="000B0C76" w:rsidP="000B0C76">
            <w:pPr>
              <w:spacing w:line="276" w:lineRule="auto"/>
              <w:jc w:val="center"/>
              <w:rPr>
                <w:rFonts w:ascii="Times New Roman" w:hAnsi="Times New Roman" w:cs="Times New Roman"/>
              </w:rPr>
            </w:pPr>
            <w:r w:rsidRPr="00A405B9">
              <w:rPr>
                <w:rFonts w:ascii="Times New Roman" w:hAnsi="Times New Roman" w:cs="Times New Roman"/>
                <w:sz w:val="22"/>
                <w:szCs w:val="22"/>
              </w:rPr>
              <w:t xml:space="preserve">                 45,46   </w:t>
            </w:r>
          </w:p>
        </w:tc>
        <w:tc>
          <w:tcPr>
            <w:tcW w:w="2268" w:type="dxa"/>
            <w:vAlign w:val="bottom"/>
          </w:tcPr>
          <w:p w14:paraId="327BCDA9" w14:textId="77777777" w:rsidR="000B0C76" w:rsidRPr="00A405B9" w:rsidRDefault="000B0C76" w:rsidP="000B0C76">
            <w:pPr>
              <w:spacing w:line="276" w:lineRule="auto"/>
              <w:jc w:val="center"/>
              <w:rPr>
                <w:rFonts w:ascii="Times New Roman" w:hAnsi="Times New Roman" w:cs="Times New Roman"/>
              </w:rPr>
            </w:pPr>
            <w:r w:rsidRPr="00A405B9">
              <w:rPr>
                <w:rFonts w:ascii="Times New Roman" w:hAnsi="Times New Roman" w:cs="Times New Roman"/>
                <w:sz w:val="22"/>
                <w:szCs w:val="22"/>
              </w:rPr>
              <w:t xml:space="preserve">              241,83   </w:t>
            </w:r>
          </w:p>
        </w:tc>
        <w:tc>
          <w:tcPr>
            <w:tcW w:w="2687" w:type="dxa"/>
            <w:vAlign w:val="bottom"/>
          </w:tcPr>
          <w:p w14:paraId="528DAD93" w14:textId="77777777" w:rsidR="000B0C76" w:rsidRPr="00A405B9" w:rsidRDefault="000B0C76" w:rsidP="000B0C76">
            <w:pPr>
              <w:spacing w:line="276" w:lineRule="auto"/>
              <w:jc w:val="center"/>
              <w:rPr>
                <w:rFonts w:ascii="Times New Roman" w:hAnsi="Times New Roman" w:cs="Times New Roman"/>
              </w:rPr>
            </w:pPr>
            <w:r w:rsidRPr="00A405B9">
              <w:rPr>
                <w:rFonts w:ascii="Times New Roman" w:hAnsi="Times New Roman" w:cs="Times New Roman"/>
                <w:sz w:val="22"/>
                <w:szCs w:val="22"/>
              </w:rPr>
              <w:t xml:space="preserve">               891,88   </w:t>
            </w:r>
          </w:p>
        </w:tc>
      </w:tr>
    </w:tbl>
    <w:p w14:paraId="247EE745" w14:textId="77777777" w:rsidR="000B0C76" w:rsidRPr="00632CF1" w:rsidRDefault="000B0C76" w:rsidP="000B0C76">
      <w:pPr>
        <w:spacing w:before="120" w:after="0" w:line="276" w:lineRule="auto"/>
        <w:ind w:firstLine="709"/>
        <w:jc w:val="both"/>
        <w:rPr>
          <w:rFonts w:ascii="Times New Roman" w:hAnsi="Times New Roman" w:cs="Times New Roman"/>
          <w:color w:val="000000" w:themeColor="text1"/>
          <w:sz w:val="26"/>
          <w:szCs w:val="26"/>
        </w:rPr>
      </w:pPr>
      <w:r w:rsidRPr="00F562A8">
        <w:rPr>
          <w:rFonts w:ascii="Times New Roman" w:hAnsi="Times New Roman" w:cs="Times New Roman"/>
          <w:sz w:val="26"/>
          <w:szCs w:val="26"/>
        </w:rPr>
        <w:t xml:space="preserve">Схема оценочного зонирования сегмента </w:t>
      </w:r>
      <w:r>
        <w:rPr>
          <w:rFonts w:ascii="Times New Roman" w:hAnsi="Times New Roman" w:cs="Times New Roman"/>
          <w:sz w:val="26"/>
          <w:szCs w:val="26"/>
        </w:rPr>
        <w:t>6</w:t>
      </w:r>
      <w:r w:rsidRPr="00F562A8">
        <w:rPr>
          <w:rFonts w:ascii="Times New Roman" w:hAnsi="Times New Roman" w:cs="Times New Roman"/>
          <w:sz w:val="26"/>
          <w:szCs w:val="26"/>
        </w:rPr>
        <w:t xml:space="preserve"> «</w:t>
      </w:r>
      <w:r>
        <w:rPr>
          <w:rFonts w:ascii="Times New Roman" w:hAnsi="Times New Roman" w:cs="Times New Roman"/>
          <w:sz w:val="26"/>
          <w:szCs w:val="26"/>
        </w:rPr>
        <w:t>Производственная деятельность</w:t>
      </w:r>
      <w:r w:rsidRPr="00F562A8">
        <w:rPr>
          <w:rFonts w:ascii="Times New Roman" w:hAnsi="Times New Roman" w:cs="Times New Roman"/>
          <w:sz w:val="26"/>
          <w:szCs w:val="26"/>
        </w:rPr>
        <w:t xml:space="preserve">» </w:t>
      </w:r>
      <w:r w:rsidRPr="00935BD9">
        <w:rPr>
          <w:rFonts w:ascii="Times New Roman" w:hAnsi="Times New Roman" w:cs="Times New Roman"/>
          <w:color w:val="000000" w:themeColor="text1"/>
          <w:sz w:val="26"/>
          <w:szCs w:val="26"/>
        </w:rPr>
        <w:t>представлена в Приложении 2/2.2.</w:t>
      </w:r>
    </w:p>
    <w:p w14:paraId="337B0EA5" w14:textId="77777777" w:rsidR="000B0C76" w:rsidRPr="00F562A8" w:rsidRDefault="000B0C76" w:rsidP="000B0C76">
      <w:pPr>
        <w:spacing w:after="0" w:line="276" w:lineRule="auto"/>
        <w:jc w:val="center"/>
        <w:rPr>
          <w:rFonts w:ascii="Times New Roman" w:hAnsi="Times New Roman" w:cs="Times New Roman"/>
          <w:i/>
          <w:sz w:val="26"/>
          <w:szCs w:val="26"/>
        </w:rPr>
      </w:pPr>
      <w:r w:rsidRPr="00F562A8">
        <w:rPr>
          <w:rFonts w:ascii="Times New Roman" w:hAnsi="Times New Roman" w:cs="Times New Roman"/>
          <w:i/>
          <w:sz w:val="26"/>
          <w:szCs w:val="26"/>
        </w:rPr>
        <w:t xml:space="preserve">Описание схемы оценочного зонирования Воронежской области </w:t>
      </w:r>
      <w:r w:rsidRPr="00F562A8">
        <w:rPr>
          <w:rFonts w:ascii="Times New Roman" w:hAnsi="Times New Roman" w:cs="Times New Roman"/>
          <w:i/>
          <w:sz w:val="26"/>
          <w:szCs w:val="26"/>
        </w:rPr>
        <w:br/>
        <w:t>по сегменту 7 «Транспорт»</w:t>
      </w:r>
    </w:p>
    <w:p w14:paraId="12ED9BD9" w14:textId="77777777" w:rsidR="000B0C76" w:rsidRDefault="000B0C76" w:rsidP="000B0C76">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проведения оценочного зонирования Учреждением был проведен анализ распределения рыночной информации сегмента 7 «Транспорт». </w:t>
      </w:r>
    </w:p>
    <w:p w14:paraId="40808762" w14:textId="77777777" w:rsidR="000B0C76" w:rsidRPr="00935BD9" w:rsidRDefault="000B0C76" w:rsidP="000B0C76">
      <w:pPr>
        <w:spacing w:after="120" w:line="276" w:lineRule="auto"/>
        <w:ind w:firstLine="567"/>
        <w:jc w:val="center"/>
        <w:rPr>
          <w:rFonts w:ascii="Times New Roman" w:hAnsi="Times New Roman" w:cs="Times New Roman"/>
          <w:sz w:val="28"/>
          <w:szCs w:val="28"/>
        </w:rPr>
      </w:pPr>
      <w:r w:rsidRPr="00935BD9">
        <w:rPr>
          <w:rFonts w:ascii="Times New Roman" w:hAnsi="Times New Roman" w:cs="Times New Roman"/>
          <w:sz w:val="28"/>
          <w:szCs w:val="28"/>
        </w:rPr>
        <w:t>Расчет рыночной стоимости типовых земельных участков.</w:t>
      </w:r>
    </w:p>
    <w:p w14:paraId="1DD6933F" w14:textId="77777777" w:rsidR="000B0C76" w:rsidRPr="007264BA" w:rsidRDefault="000B0C76" w:rsidP="000B0C76">
      <w:pPr>
        <w:suppressAutoHyphens/>
        <w:autoSpaceDN w:val="0"/>
        <w:spacing w:after="0" w:line="276" w:lineRule="auto"/>
        <w:ind w:firstLine="567"/>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eastAsia="ru-RU"/>
        </w:rPr>
        <w:t>При проведении анализа рыночных цен выбран типовой объект со следующими характеристиками:</w:t>
      </w:r>
    </w:p>
    <w:p w14:paraId="4BDB86CB" w14:textId="77777777" w:rsidR="000B0C76" w:rsidRPr="007264BA" w:rsidRDefault="000B0C76" w:rsidP="000B0C76">
      <w:pPr>
        <w:numPr>
          <w:ilvl w:val="0"/>
          <w:numId w:val="30"/>
        </w:numPr>
        <w:suppressAutoHyphens/>
        <w:autoSpaceDN w:val="0"/>
        <w:spacing w:after="0" w:line="276" w:lineRule="auto"/>
        <w:ind w:left="1418" w:firstLine="0"/>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eastAsia="ru-RU"/>
        </w:rPr>
        <w:t>Тип (вид) объектов недвижимости– земельный участок.</w:t>
      </w:r>
    </w:p>
    <w:p w14:paraId="3FCEE859" w14:textId="77777777" w:rsidR="000B0C76" w:rsidRPr="007264BA" w:rsidRDefault="000B0C76" w:rsidP="000B0C76">
      <w:pPr>
        <w:numPr>
          <w:ilvl w:val="0"/>
          <w:numId w:val="30"/>
        </w:numPr>
        <w:suppressAutoHyphens/>
        <w:autoSpaceDN w:val="0"/>
        <w:spacing w:after="0" w:line="276" w:lineRule="auto"/>
        <w:ind w:left="1418" w:firstLine="0"/>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eastAsia="ru-RU"/>
        </w:rPr>
        <w:t>Вид использования–</w:t>
      </w:r>
      <w:r>
        <w:rPr>
          <w:rFonts w:ascii="Times New Roman" w:eastAsia="Times New Roman" w:hAnsi="Times New Roman" w:cs="Times New Roman"/>
          <w:sz w:val="26"/>
          <w:szCs w:val="26"/>
          <w:lang w:eastAsia="ru-RU"/>
        </w:rPr>
        <w:t>под гаражи</w:t>
      </w:r>
      <w:r w:rsidRPr="007264BA">
        <w:rPr>
          <w:rFonts w:ascii="Times New Roman" w:eastAsia="Times New Roman" w:hAnsi="Times New Roman" w:cs="Times New Roman"/>
          <w:sz w:val="26"/>
          <w:szCs w:val="26"/>
          <w:lang w:eastAsia="ru-RU"/>
        </w:rPr>
        <w:t>.</w:t>
      </w:r>
    </w:p>
    <w:p w14:paraId="7FB4668F" w14:textId="77777777" w:rsidR="000B0C76" w:rsidRDefault="000B0C76" w:rsidP="000B0C76">
      <w:pPr>
        <w:numPr>
          <w:ilvl w:val="0"/>
          <w:numId w:val="30"/>
        </w:numPr>
        <w:suppressAutoHyphens/>
        <w:autoSpaceDN w:val="0"/>
        <w:spacing w:after="0" w:line="276" w:lineRule="auto"/>
        <w:ind w:left="1418" w:firstLine="0"/>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val="en-US" w:eastAsia="ru-RU"/>
        </w:rPr>
        <w:t>Имущественные права - собственность</w:t>
      </w:r>
      <w:r w:rsidRPr="007264BA">
        <w:rPr>
          <w:rFonts w:ascii="Times New Roman" w:eastAsia="Times New Roman" w:hAnsi="Times New Roman" w:cs="Times New Roman"/>
          <w:sz w:val="26"/>
          <w:szCs w:val="26"/>
          <w:lang w:eastAsia="ru-RU"/>
        </w:rPr>
        <w:t>.</w:t>
      </w:r>
    </w:p>
    <w:p w14:paraId="46CF800C" w14:textId="77777777" w:rsidR="000B0C76" w:rsidRPr="007264BA" w:rsidRDefault="000B0C76" w:rsidP="000B0C76">
      <w:pPr>
        <w:suppressAutoHyphens/>
        <w:autoSpaceDN w:val="0"/>
        <w:spacing w:after="0" w:line="276" w:lineRule="auto"/>
        <w:ind w:left="1418"/>
        <w:jc w:val="both"/>
        <w:textAlignment w:val="baseline"/>
        <w:rPr>
          <w:rFonts w:ascii="Times New Roman" w:eastAsia="Times New Roman" w:hAnsi="Times New Roman" w:cs="Times New Roman"/>
          <w:sz w:val="26"/>
          <w:szCs w:val="26"/>
          <w:lang w:eastAsia="ru-RU"/>
        </w:rPr>
      </w:pPr>
    </w:p>
    <w:p w14:paraId="21702F31" w14:textId="77777777" w:rsidR="000B0C76" w:rsidRPr="00BA16A7" w:rsidRDefault="000B0C76" w:rsidP="000B0C76">
      <w:pPr>
        <w:tabs>
          <w:tab w:val="right" w:pos="9072"/>
        </w:tabs>
        <w:suppressAutoHyphens/>
        <w:autoSpaceDN w:val="0"/>
        <w:spacing w:after="120" w:line="276" w:lineRule="auto"/>
        <w:ind w:firstLine="567"/>
        <w:jc w:val="both"/>
        <w:textAlignment w:val="baseline"/>
        <w:rPr>
          <w:rFonts w:ascii="Times New Roman" w:eastAsia="Times New Roman" w:hAnsi="Times New Roman" w:cs="Times New Roman"/>
          <w:sz w:val="26"/>
          <w:szCs w:val="26"/>
          <w:lang w:eastAsia="ru-RU"/>
        </w:rPr>
      </w:pPr>
      <w:r w:rsidRPr="007264BA">
        <w:rPr>
          <w:rFonts w:ascii="Times New Roman" w:eastAsia="Times New Roman" w:hAnsi="Times New Roman" w:cs="Times New Roman"/>
          <w:sz w:val="26"/>
          <w:szCs w:val="26"/>
          <w:lang w:eastAsia="ru-RU"/>
        </w:rPr>
        <w:t xml:space="preserve">Для сопоставимости был введен ряд корректирующих коэффициентов. </w:t>
      </w:r>
    </w:p>
    <w:p w14:paraId="67CF34AE" w14:textId="77777777" w:rsidR="000B0C76" w:rsidRPr="00945FC1" w:rsidRDefault="000B0C76" w:rsidP="000B0C76">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торг</w:t>
      </w:r>
    </w:p>
    <w:p w14:paraId="1324D4CD" w14:textId="77777777" w:rsidR="000B0C76" w:rsidRDefault="000B0C76" w:rsidP="000B0C76">
      <w:pPr>
        <w:spacing w:before="120" w:after="0" w:line="300" w:lineRule="auto"/>
        <w:ind w:firstLine="567"/>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При продаже земельных участков на рынке недвижимости возможно снижение цены сделки за счет уторговывания. </w:t>
      </w:r>
      <w:r>
        <w:rPr>
          <w:rFonts w:ascii="Times New Roman" w:eastAsia="Times New Roman" w:hAnsi="Times New Roman" w:cs="Times New Roman"/>
          <w:sz w:val="26"/>
          <w:szCs w:val="26"/>
          <w:lang w:eastAsia="ru-RU"/>
        </w:rPr>
        <w:t xml:space="preserve">Так как в представленной рыночной выборке содержится информация и по предложениям, и по сделкам, удельные показатели цены предложения по продаже объектов-аналогов были скорректированы на тип сделки (скидка на торг). </w:t>
      </w:r>
      <w:r>
        <w:rPr>
          <w:rFonts w:ascii="Times New Roman" w:eastAsia="Calibri" w:hAnsi="Times New Roman" w:cs="Times New Roman"/>
          <w:sz w:val="26"/>
          <w:szCs w:val="26"/>
        </w:rPr>
        <w:t>Величина скидки на торг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111" w:history="1">
        <w:r w:rsidRPr="00A67AF4">
          <w:rPr>
            <w:rStyle w:val="ad"/>
            <w:rFonts w:cs="Times New Roman"/>
            <w:szCs w:val="26"/>
          </w:rPr>
          <w:t>https://statrielt.ru/</w:t>
        </w:r>
      </w:hyperlink>
      <w:r w:rsidRPr="00A67AF4">
        <w:rPr>
          <w:rFonts w:ascii="Times New Roman" w:hAnsi="Times New Roman" w:cs="Times New Roman"/>
          <w:sz w:val="26"/>
          <w:szCs w:val="26"/>
        </w:rPr>
        <w:t>).</w:t>
      </w:r>
    </w:p>
    <w:p w14:paraId="07046AEF" w14:textId="77777777" w:rsidR="000B0C76" w:rsidRDefault="000B0C76" w:rsidP="000B0C76">
      <w:pPr>
        <w:jc w:val="both"/>
      </w:pPr>
      <w:r w:rsidRPr="00376FBD">
        <w:rPr>
          <w:noProof/>
          <w:lang w:eastAsia="ru-RU"/>
        </w:rPr>
        <w:drawing>
          <wp:inline distT="0" distB="0" distL="0" distR="0" wp14:anchorId="333055E6" wp14:editId="605C3876">
            <wp:extent cx="5940425" cy="3869690"/>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869690"/>
                    </a:xfrm>
                    <a:prstGeom prst="rect">
                      <a:avLst/>
                    </a:prstGeom>
                  </pic:spPr>
                </pic:pic>
              </a:graphicData>
            </a:graphic>
          </wp:inline>
        </w:drawing>
      </w:r>
    </w:p>
    <w:p w14:paraId="4F86F79D" w14:textId="675D90AB" w:rsidR="000B0C76" w:rsidRDefault="000B0C76" w:rsidP="000B0C76">
      <w:pPr>
        <w:spacing w:after="0" w:line="300" w:lineRule="auto"/>
        <w:ind w:firstLine="567"/>
        <w:jc w:val="center"/>
        <w:rPr>
          <w:rFonts w:ascii="Times New Roman" w:eastAsia="Calibri" w:hAnsi="Times New Roman" w:cs="Times New Roman"/>
          <w:sz w:val="26"/>
          <w:szCs w:val="26"/>
        </w:rPr>
      </w:pPr>
      <w:r>
        <w:rPr>
          <w:rFonts w:ascii="Times New Roman" w:eastAsia="Calibri" w:hAnsi="Times New Roman" w:cs="Times New Roman"/>
          <w:sz w:val="26"/>
          <w:szCs w:val="26"/>
        </w:rPr>
        <w:t>Рис.3.2.10 - Скидка на торг, уторгование при продаже земельных участков на 01.01.2022 года по данным некоммерческой организации «Ассоциация развития рынка недвижимости «</w:t>
      </w:r>
      <w:r w:rsidRPr="00A67AF4">
        <w:rPr>
          <w:rFonts w:ascii="Times New Roman" w:eastAsia="Calibri" w:hAnsi="Times New Roman" w:cs="Times New Roman"/>
          <w:sz w:val="26"/>
          <w:szCs w:val="26"/>
        </w:rPr>
        <w:t>СтатРиелт»</w:t>
      </w:r>
      <w:r w:rsidR="00221500">
        <w:rPr>
          <w:rStyle w:val="af2"/>
          <w:rFonts w:ascii="Times New Roman" w:eastAsia="Calibri" w:hAnsi="Times New Roman" w:cs="Times New Roman"/>
          <w:sz w:val="26"/>
          <w:szCs w:val="26"/>
        </w:rPr>
        <w:footnoteReference w:id="114"/>
      </w:r>
      <w:r w:rsidRPr="00A67AF4">
        <w:rPr>
          <w:rFonts w:ascii="Times New Roman" w:eastAsia="Calibri" w:hAnsi="Times New Roman" w:cs="Times New Roman"/>
          <w:sz w:val="26"/>
          <w:szCs w:val="26"/>
        </w:rPr>
        <w:t xml:space="preserve"> </w:t>
      </w:r>
    </w:p>
    <w:p w14:paraId="07D622FF" w14:textId="77777777" w:rsidR="000B0C76" w:rsidRPr="00650F12" w:rsidRDefault="000B0C76" w:rsidP="000B0C76">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данном случае размер скидки на торг принимаем как для земель населенных пунктов для смешанной коммерческой застройки (в том числе коммунальной, складской, производственной) значения лежат в доверительном интервале от 0,90 до 0,97 и в среднем по РФ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94</w:t>
      </w:r>
      <w:r>
        <w:rPr>
          <w:rFonts w:ascii="Times New Roman" w:eastAsia="Calibri" w:hAnsi="Times New Roman" w:cs="Times New Roman"/>
          <w:sz w:val="26"/>
          <w:szCs w:val="26"/>
        </w:rPr>
        <w:t xml:space="preserve"> (раздел «</w:t>
      </w:r>
      <w:r w:rsidRPr="00CB1B3C">
        <w:rPr>
          <w:rFonts w:ascii="Times New Roman" w:hAnsi="Times New Roman" w:cs="Times New Roman"/>
          <w:sz w:val="26"/>
          <w:szCs w:val="26"/>
        </w:rPr>
        <w:t>Скидка на торг, уторгование при продаже земельных участков на 01.</w:t>
      </w:r>
      <w:r>
        <w:rPr>
          <w:rFonts w:ascii="Times New Roman" w:hAnsi="Times New Roman" w:cs="Times New Roman"/>
          <w:sz w:val="26"/>
          <w:szCs w:val="26"/>
        </w:rPr>
        <w:t>01</w:t>
      </w:r>
      <w:r w:rsidRPr="00CB1B3C">
        <w:rPr>
          <w:rFonts w:ascii="Times New Roman" w:hAnsi="Times New Roman" w:cs="Times New Roman"/>
          <w:sz w:val="26"/>
          <w:szCs w:val="26"/>
        </w:rPr>
        <w:t>.202</w:t>
      </w:r>
      <w:r>
        <w:rPr>
          <w:rFonts w:ascii="Times New Roman" w:hAnsi="Times New Roman" w:cs="Times New Roman"/>
          <w:sz w:val="26"/>
          <w:szCs w:val="26"/>
        </w:rPr>
        <w:t>2</w:t>
      </w:r>
      <w:r w:rsidRPr="00CB1B3C">
        <w:rPr>
          <w:rFonts w:ascii="Times New Roman" w:hAnsi="Times New Roman" w:cs="Times New Roman"/>
          <w:sz w:val="26"/>
          <w:szCs w:val="26"/>
        </w:rPr>
        <w:t xml:space="preserve"> года</w:t>
      </w:r>
      <w:r>
        <w:rPr>
          <w:rFonts w:ascii="Times New Roman" w:hAnsi="Times New Roman" w:cs="Times New Roman"/>
          <w:sz w:val="26"/>
          <w:szCs w:val="26"/>
        </w:rPr>
        <w:t>»)</w:t>
      </w:r>
      <w:r>
        <w:rPr>
          <w:rFonts w:ascii="Times New Roman" w:eastAsia="Calibri" w:hAnsi="Times New Roman" w:cs="Times New Roman"/>
          <w:sz w:val="26"/>
          <w:szCs w:val="26"/>
        </w:rPr>
        <w:t xml:space="preserve">. Принято среднее значение диапазона. Для объектов, которые расположены на землях промышленности, значения лежат в доверительном интервале от 0,79 до 0,94 и в среднем по РФ составляет </w:t>
      </w:r>
      <w:r w:rsidRPr="00650F12">
        <w:rPr>
          <w:rFonts w:ascii="Times New Roman" w:eastAsia="Calibri" w:hAnsi="Times New Roman" w:cs="Times New Roman"/>
          <w:b/>
          <w:sz w:val="26"/>
          <w:szCs w:val="26"/>
        </w:rPr>
        <w:t>0,8</w:t>
      </w:r>
      <w:r>
        <w:rPr>
          <w:rFonts w:ascii="Times New Roman" w:eastAsia="Calibri" w:hAnsi="Times New Roman" w:cs="Times New Roman"/>
          <w:b/>
          <w:sz w:val="26"/>
          <w:szCs w:val="26"/>
        </w:rPr>
        <w:t>7</w:t>
      </w:r>
      <w:r w:rsidRPr="00650F12">
        <w:rPr>
          <w:rFonts w:ascii="Times New Roman" w:eastAsia="Calibri" w:hAnsi="Times New Roman" w:cs="Times New Roman"/>
          <w:sz w:val="26"/>
          <w:szCs w:val="26"/>
        </w:rPr>
        <w:t xml:space="preserve"> (также принято среднее значение диапазона).</w:t>
      </w:r>
    </w:p>
    <w:p w14:paraId="3D0945C3" w14:textId="77777777" w:rsidR="000B0C76" w:rsidRPr="00945FC1" w:rsidRDefault="000B0C76" w:rsidP="000B0C76">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дату</w:t>
      </w:r>
    </w:p>
    <w:p w14:paraId="27C61B5D" w14:textId="77777777" w:rsidR="000B0C76" w:rsidRDefault="000B0C76" w:rsidP="000B0C76">
      <w:pPr>
        <w:spacing w:after="0" w:line="300" w:lineRule="auto"/>
        <w:ind w:firstLine="708"/>
        <w:jc w:val="both"/>
        <w:rPr>
          <w:rFonts w:ascii="Times New Roman" w:hAnsi="Times New Roman" w:cs="Times New Roman"/>
          <w:b/>
          <w:sz w:val="26"/>
          <w:szCs w:val="26"/>
        </w:rPr>
      </w:pPr>
      <w:r>
        <w:rPr>
          <w:rFonts w:ascii="Times New Roman" w:hAnsi="Times New Roman" w:cs="Times New Roman"/>
          <w:sz w:val="26"/>
          <w:szCs w:val="26"/>
        </w:rPr>
        <w:t xml:space="preserve">Изменение рыночной конъюнктуры, условия которой могут сильно отразиться на стоимости объекта недвижимости, происходят с течением времени. </w:t>
      </w:r>
      <w:r>
        <w:rPr>
          <w:rFonts w:ascii="Times New Roman" w:eastAsia="Calibri" w:hAnsi="Times New Roman" w:cs="Times New Roman"/>
          <w:sz w:val="26"/>
          <w:szCs w:val="26"/>
        </w:rPr>
        <w:t xml:space="preserve">Корректировка на дату учитывает изменение цен на земельные участки за период с даты заключения сделки (предложения) с объектом-аналогом до даты проведения настоящей оценки. </w:t>
      </w:r>
    </w:p>
    <w:p w14:paraId="76148A3C" w14:textId="77777777" w:rsidR="000B0C76" w:rsidRDefault="000B0C76" w:rsidP="000B0C76">
      <w:pPr>
        <w:jc w:val="center"/>
      </w:pPr>
      <w:r w:rsidRPr="00376FBD">
        <w:rPr>
          <w:noProof/>
          <w:lang w:eastAsia="ru-RU"/>
        </w:rPr>
        <w:drawing>
          <wp:inline distT="0" distB="0" distL="0" distR="0" wp14:anchorId="4CEEF3E3" wp14:editId="060F3052">
            <wp:extent cx="5940425" cy="3978910"/>
            <wp:effectExtent l="0" t="0" r="3175" b="254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978910"/>
                    </a:xfrm>
                    <a:prstGeom prst="rect">
                      <a:avLst/>
                    </a:prstGeom>
                  </pic:spPr>
                </pic:pic>
              </a:graphicData>
            </a:graphic>
          </wp:inline>
        </w:drawing>
      </w:r>
    </w:p>
    <w:p w14:paraId="0D081CA1" w14:textId="570CA601" w:rsidR="000B0C76" w:rsidRDefault="000B0C76" w:rsidP="000B0C76">
      <w:pPr>
        <w:jc w:val="center"/>
        <w:rPr>
          <w:rFonts w:ascii="Times New Roman" w:eastAsia="Calibri" w:hAnsi="Times New Roman" w:cs="Times New Roman"/>
          <w:sz w:val="26"/>
          <w:szCs w:val="26"/>
        </w:rPr>
      </w:pPr>
      <w:r>
        <w:rPr>
          <w:rFonts w:ascii="Times New Roman" w:eastAsia="Calibri" w:hAnsi="Times New Roman" w:cs="Times New Roman"/>
          <w:sz w:val="26"/>
          <w:szCs w:val="26"/>
        </w:rPr>
        <w:t>Рис.3.2.11-</w:t>
      </w:r>
      <w:r w:rsidRPr="008C322D">
        <w:t xml:space="preserve"> </w:t>
      </w:r>
      <w:r w:rsidRPr="008C322D">
        <w:rPr>
          <w:rFonts w:ascii="Times New Roman" w:eastAsia="Calibri" w:hAnsi="Times New Roman" w:cs="Times New Roman"/>
          <w:sz w:val="26"/>
          <w:szCs w:val="26"/>
        </w:rPr>
        <w:t>Индексы изменения рыночных цен (в рублях) земельных участков</w:t>
      </w:r>
      <w:r>
        <w:rPr>
          <w:rFonts w:ascii="Times New Roman" w:eastAsia="Calibri" w:hAnsi="Times New Roman" w:cs="Times New Roman"/>
          <w:sz w:val="26"/>
          <w:szCs w:val="26"/>
        </w:rPr>
        <w:t xml:space="preserve"> по данным некоммерческой организации «Ассоциация развития рынка недвижимости «</w:t>
      </w:r>
      <w:r w:rsidRPr="00A67AF4">
        <w:rPr>
          <w:rFonts w:ascii="Times New Roman" w:eastAsia="Calibri" w:hAnsi="Times New Roman" w:cs="Times New Roman"/>
          <w:sz w:val="26"/>
          <w:szCs w:val="26"/>
        </w:rPr>
        <w:t>СтатРиелт»</w:t>
      </w:r>
      <w:r w:rsidR="00221500">
        <w:rPr>
          <w:rStyle w:val="af2"/>
          <w:rFonts w:ascii="Times New Roman" w:eastAsia="Calibri" w:hAnsi="Times New Roman" w:cs="Times New Roman"/>
          <w:sz w:val="26"/>
          <w:szCs w:val="26"/>
        </w:rPr>
        <w:footnoteReference w:id="115"/>
      </w:r>
      <w:r w:rsidRPr="00A67AF4">
        <w:rPr>
          <w:rFonts w:ascii="Times New Roman" w:eastAsia="Calibri" w:hAnsi="Times New Roman" w:cs="Times New Roman"/>
          <w:sz w:val="26"/>
          <w:szCs w:val="26"/>
        </w:rPr>
        <w:t xml:space="preserve"> </w:t>
      </w:r>
    </w:p>
    <w:p w14:paraId="0B3F17A5" w14:textId="77777777" w:rsidR="000B0C76" w:rsidRDefault="000B0C76" w:rsidP="000B0C76">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был произведен расчет корректировок, значения представлены далее в таблице.</w:t>
      </w:r>
    </w:p>
    <w:p w14:paraId="0E7ACF8A" w14:textId="77777777" w:rsidR="000B0C76" w:rsidRDefault="000B0C76" w:rsidP="000B0C76">
      <w:pPr>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3.2.10</w:t>
      </w:r>
    </w:p>
    <w:p w14:paraId="18789642" w14:textId="77777777" w:rsidR="000B0C76" w:rsidRPr="002F6E4F" w:rsidRDefault="000B0C76" w:rsidP="000B0C76">
      <w:pPr>
        <w:jc w:val="center"/>
        <w:rPr>
          <w:rFonts w:ascii="Times New Roman" w:eastAsia="Calibri" w:hAnsi="Times New Roman" w:cs="Times New Roman"/>
          <w:sz w:val="26"/>
          <w:szCs w:val="26"/>
        </w:rPr>
      </w:pPr>
      <w:r>
        <w:rPr>
          <w:rFonts w:ascii="Times New Roman" w:eastAsia="Calibri" w:hAnsi="Times New Roman" w:cs="Times New Roman"/>
          <w:sz w:val="26"/>
          <w:szCs w:val="26"/>
        </w:rPr>
        <w:t>Размер корректировок на дату, рассчитанных на каждое полугодие</w:t>
      </w:r>
    </w:p>
    <w:tbl>
      <w:tblPr>
        <w:tblStyle w:val="ae"/>
        <w:tblW w:w="4927" w:type="pct"/>
        <w:jc w:val="center"/>
        <w:tblLayout w:type="fixed"/>
        <w:tblLook w:val="04A0" w:firstRow="1" w:lastRow="0" w:firstColumn="1" w:lastColumn="0" w:noHBand="0" w:noVBand="1"/>
      </w:tblPr>
      <w:tblGrid>
        <w:gridCol w:w="1130"/>
        <w:gridCol w:w="993"/>
        <w:gridCol w:w="1558"/>
        <w:gridCol w:w="1558"/>
        <w:gridCol w:w="654"/>
        <w:gridCol w:w="622"/>
        <w:gridCol w:w="993"/>
        <w:gridCol w:w="1700"/>
      </w:tblGrid>
      <w:tr w:rsidR="000B0C76" w:rsidRPr="008009AF" w14:paraId="0047F8CE" w14:textId="77777777" w:rsidTr="009C5C5A">
        <w:trPr>
          <w:jc w:val="center"/>
        </w:trPr>
        <w:tc>
          <w:tcPr>
            <w:tcW w:w="614" w:type="pct"/>
            <w:vAlign w:val="center"/>
          </w:tcPr>
          <w:p w14:paraId="6529337F"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к 01.01.2022</w:t>
            </w:r>
          </w:p>
        </w:tc>
        <w:tc>
          <w:tcPr>
            <w:tcW w:w="539" w:type="pct"/>
            <w:vAlign w:val="center"/>
          </w:tcPr>
          <w:p w14:paraId="78A980F3"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color w:val="000000"/>
              </w:rPr>
              <w:t>торговые и офисные здания</w:t>
            </w:r>
          </w:p>
        </w:tc>
        <w:tc>
          <w:tcPr>
            <w:tcW w:w="846" w:type="pct"/>
            <w:vAlign w:val="center"/>
          </w:tcPr>
          <w:p w14:paraId="19C4E71C"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b/>
                <w:color w:val="000000"/>
              </w:rPr>
              <w:t>промышленности, транспорта, связи и иного специального назначения</w:t>
            </w:r>
          </w:p>
        </w:tc>
        <w:tc>
          <w:tcPr>
            <w:tcW w:w="846" w:type="pct"/>
            <w:vAlign w:val="center"/>
          </w:tcPr>
          <w:p w14:paraId="31E2E853"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color w:val="000000"/>
              </w:rPr>
              <w:t>много-квартирное строительство</w:t>
            </w:r>
          </w:p>
        </w:tc>
        <w:tc>
          <w:tcPr>
            <w:tcW w:w="355" w:type="pct"/>
            <w:vAlign w:val="center"/>
          </w:tcPr>
          <w:p w14:paraId="68F7991B" w14:textId="77777777" w:rsidR="000B0C76" w:rsidRPr="008009AF" w:rsidRDefault="000B0C76" w:rsidP="009C5C5A">
            <w:pPr>
              <w:jc w:val="center"/>
              <w:rPr>
                <w:rFonts w:ascii="Times New Roman" w:hAnsi="Times New Roman" w:cs="Times New Roman"/>
                <w:color w:val="000000"/>
              </w:rPr>
            </w:pPr>
            <w:r w:rsidRPr="008009AF">
              <w:rPr>
                <w:rFonts w:ascii="Times New Roman" w:hAnsi="Times New Roman" w:cs="Times New Roman"/>
                <w:color w:val="000000"/>
              </w:rPr>
              <w:t>ИЖС</w:t>
            </w:r>
          </w:p>
          <w:p w14:paraId="7DB9A2A8" w14:textId="77777777" w:rsidR="000B0C76" w:rsidRPr="008009AF" w:rsidRDefault="000B0C76" w:rsidP="009C5C5A">
            <w:pPr>
              <w:jc w:val="center"/>
              <w:rPr>
                <w:rFonts w:ascii="Times New Roman" w:hAnsi="Times New Roman" w:cs="Times New Roman"/>
                <w:color w:val="000000"/>
              </w:rPr>
            </w:pPr>
            <w:r w:rsidRPr="008009AF">
              <w:rPr>
                <w:rFonts w:ascii="Times New Roman" w:hAnsi="Times New Roman" w:cs="Times New Roman"/>
                <w:color w:val="000000"/>
              </w:rPr>
              <w:t>и</w:t>
            </w:r>
          </w:p>
          <w:p w14:paraId="55A1FEEA"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color w:val="000000"/>
              </w:rPr>
              <w:t>ЛПХ</w:t>
            </w:r>
          </w:p>
        </w:tc>
        <w:tc>
          <w:tcPr>
            <w:tcW w:w="338" w:type="pct"/>
            <w:vAlign w:val="center"/>
          </w:tcPr>
          <w:p w14:paraId="42BD48D3"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color w:val="000000"/>
              </w:rPr>
              <w:t>СНТ и ДНП</w:t>
            </w:r>
          </w:p>
        </w:tc>
        <w:tc>
          <w:tcPr>
            <w:tcW w:w="539" w:type="pct"/>
            <w:vAlign w:val="center"/>
          </w:tcPr>
          <w:p w14:paraId="729F9D1E"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color w:val="000000"/>
              </w:rPr>
              <w:t>С/х назна-чения</w:t>
            </w:r>
          </w:p>
        </w:tc>
        <w:tc>
          <w:tcPr>
            <w:tcW w:w="923" w:type="pct"/>
            <w:vAlign w:val="center"/>
          </w:tcPr>
          <w:p w14:paraId="705B7943"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color w:val="000000"/>
              </w:rPr>
              <w:t>сельскохозяйственного назначения с возможностью или перспективой строительства коммерческих зданий</w:t>
            </w:r>
          </w:p>
        </w:tc>
      </w:tr>
      <w:tr w:rsidR="000B0C76" w:rsidRPr="008009AF" w14:paraId="6D1CEB24" w14:textId="77777777" w:rsidTr="009C5C5A">
        <w:trPr>
          <w:jc w:val="center"/>
        </w:trPr>
        <w:tc>
          <w:tcPr>
            <w:tcW w:w="614" w:type="pct"/>
            <w:vAlign w:val="center"/>
          </w:tcPr>
          <w:p w14:paraId="642094E1"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color w:val="000000"/>
              </w:rPr>
              <w:t>01.01.2018 по 30.06.2018</w:t>
            </w:r>
          </w:p>
        </w:tc>
        <w:tc>
          <w:tcPr>
            <w:tcW w:w="539" w:type="pct"/>
            <w:vAlign w:val="center"/>
          </w:tcPr>
          <w:p w14:paraId="50FC75B9"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1,04</w:t>
            </w:r>
          </w:p>
        </w:tc>
        <w:tc>
          <w:tcPr>
            <w:tcW w:w="846" w:type="pct"/>
            <w:vAlign w:val="center"/>
          </w:tcPr>
          <w:p w14:paraId="003D1759"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b/>
              </w:rPr>
              <w:t>0,99</w:t>
            </w:r>
          </w:p>
        </w:tc>
        <w:tc>
          <w:tcPr>
            <w:tcW w:w="846" w:type="pct"/>
            <w:vAlign w:val="center"/>
          </w:tcPr>
          <w:p w14:paraId="42B55C57"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1,31</w:t>
            </w:r>
          </w:p>
        </w:tc>
        <w:tc>
          <w:tcPr>
            <w:tcW w:w="355" w:type="pct"/>
            <w:vAlign w:val="center"/>
          </w:tcPr>
          <w:p w14:paraId="42A4597D"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1,16</w:t>
            </w:r>
          </w:p>
        </w:tc>
        <w:tc>
          <w:tcPr>
            <w:tcW w:w="338" w:type="pct"/>
            <w:vAlign w:val="center"/>
          </w:tcPr>
          <w:p w14:paraId="3609D725"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1,14</w:t>
            </w:r>
          </w:p>
        </w:tc>
        <w:tc>
          <w:tcPr>
            <w:tcW w:w="539" w:type="pct"/>
            <w:vAlign w:val="center"/>
          </w:tcPr>
          <w:p w14:paraId="328F6BE7"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rPr>
              <w:t>1,15</w:t>
            </w:r>
          </w:p>
        </w:tc>
        <w:tc>
          <w:tcPr>
            <w:tcW w:w="923" w:type="pct"/>
            <w:vAlign w:val="center"/>
          </w:tcPr>
          <w:p w14:paraId="432B3F01"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1,11</w:t>
            </w:r>
          </w:p>
        </w:tc>
      </w:tr>
      <w:tr w:rsidR="000B0C76" w:rsidRPr="008009AF" w14:paraId="335ECF76" w14:textId="77777777" w:rsidTr="009C5C5A">
        <w:trPr>
          <w:jc w:val="center"/>
        </w:trPr>
        <w:tc>
          <w:tcPr>
            <w:tcW w:w="614" w:type="pct"/>
            <w:vAlign w:val="center"/>
          </w:tcPr>
          <w:p w14:paraId="0975C5DC"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color w:val="000000"/>
              </w:rPr>
              <w:t>01.07.2018 по 31.12.2018</w:t>
            </w:r>
          </w:p>
        </w:tc>
        <w:tc>
          <w:tcPr>
            <w:tcW w:w="539" w:type="pct"/>
            <w:vAlign w:val="center"/>
          </w:tcPr>
          <w:p w14:paraId="06342D1E"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1,04</w:t>
            </w:r>
          </w:p>
        </w:tc>
        <w:tc>
          <w:tcPr>
            <w:tcW w:w="846" w:type="pct"/>
            <w:vAlign w:val="center"/>
          </w:tcPr>
          <w:p w14:paraId="1AB3811D"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b/>
              </w:rPr>
              <w:t>0,99</w:t>
            </w:r>
          </w:p>
        </w:tc>
        <w:tc>
          <w:tcPr>
            <w:tcW w:w="846" w:type="pct"/>
            <w:vAlign w:val="center"/>
          </w:tcPr>
          <w:p w14:paraId="736CE543"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1,30</w:t>
            </w:r>
          </w:p>
        </w:tc>
        <w:tc>
          <w:tcPr>
            <w:tcW w:w="355" w:type="pct"/>
            <w:vAlign w:val="center"/>
          </w:tcPr>
          <w:p w14:paraId="33A4303B"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1,17</w:t>
            </w:r>
          </w:p>
        </w:tc>
        <w:tc>
          <w:tcPr>
            <w:tcW w:w="338" w:type="pct"/>
            <w:vAlign w:val="center"/>
          </w:tcPr>
          <w:p w14:paraId="3CDB08B2"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1,15</w:t>
            </w:r>
          </w:p>
        </w:tc>
        <w:tc>
          <w:tcPr>
            <w:tcW w:w="539" w:type="pct"/>
            <w:vAlign w:val="center"/>
          </w:tcPr>
          <w:p w14:paraId="39E97685"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rPr>
              <w:t>1,14</w:t>
            </w:r>
          </w:p>
        </w:tc>
        <w:tc>
          <w:tcPr>
            <w:tcW w:w="923" w:type="pct"/>
            <w:vAlign w:val="center"/>
          </w:tcPr>
          <w:p w14:paraId="4C74AEB2"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1,13</w:t>
            </w:r>
          </w:p>
        </w:tc>
      </w:tr>
      <w:tr w:rsidR="000B0C76" w:rsidRPr="008009AF" w14:paraId="035DDFBA" w14:textId="77777777" w:rsidTr="009C5C5A">
        <w:trPr>
          <w:jc w:val="center"/>
        </w:trPr>
        <w:tc>
          <w:tcPr>
            <w:tcW w:w="614" w:type="pct"/>
            <w:vAlign w:val="center"/>
          </w:tcPr>
          <w:p w14:paraId="5749B1D1"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color w:val="000000"/>
              </w:rPr>
              <w:t>01.01.2019 по 30.06.2019</w:t>
            </w:r>
          </w:p>
        </w:tc>
        <w:tc>
          <w:tcPr>
            <w:tcW w:w="539" w:type="pct"/>
            <w:vAlign w:val="center"/>
          </w:tcPr>
          <w:p w14:paraId="4137717F"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1,04</w:t>
            </w:r>
          </w:p>
        </w:tc>
        <w:tc>
          <w:tcPr>
            <w:tcW w:w="846" w:type="pct"/>
            <w:vAlign w:val="center"/>
          </w:tcPr>
          <w:p w14:paraId="0709F56C"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b/>
              </w:rPr>
              <w:t>0,99</w:t>
            </w:r>
          </w:p>
        </w:tc>
        <w:tc>
          <w:tcPr>
            <w:tcW w:w="846" w:type="pct"/>
            <w:vAlign w:val="center"/>
          </w:tcPr>
          <w:p w14:paraId="2418F35F"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1,28</w:t>
            </w:r>
          </w:p>
        </w:tc>
        <w:tc>
          <w:tcPr>
            <w:tcW w:w="355" w:type="pct"/>
            <w:vAlign w:val="center"/>
          </w:tcPr>
          <w:p w14:paraId="6C3D53C2"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1,17</w:t>
            </w:r>
          </w:p>
        </w:tc>
        <w:tc>
          <w:tcPr>
            <w:tcW w:w="338" w:type="pct"/>
            <w:vAlign w:val="center"/>
          </w:tcPr>
          <w:p w14:paraId="07C327ED"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1,15</w:t>
            </w:r>
          </w:p>
        </w:tc>
        <w:tc>
          <w:tcPr>
            <w:tcW w:w="539" w:type="pct"/>
            <w:vAlign w:val="center"/>
          </w:tcPr>
          <w:p w14:paraId="64DF58AE"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rPr>
              <w:t>1,12</w:t>
            </w:r>
          </w:p>
        </w:tc>
        <w:tc>
          <w:tcPr>
            <w:tcW w:w="923" w:type="pct"/>
            <w:vAlign w:val="center"/>
          </w:tcPr>
          <w:p w14:paraId="675A0425"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1,13</w:t>
            </w:r>
          </w:p>
        </w:tc>
      </w:tr>
      <w:tr w:rsidR="000B0C76" w:rsidRPr="008009AF" w14:paraId="6BE2DDCA" w14:textId="77777777" w:rsidTr="009C5C5A">
        <w:trPr>
          <w:jc w:val="center"/>
        </w:trPr>
        <w:tc>
          <w:tcPr>
            <w:tcW w:w="614" w:type="pct"/>
            <w:vAlign w:val="center"/>
          </w:tcPr>
          <w:p w14:paraId="435CA5B5"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color w:val="000000"/>
              </w:rPr>
              <w:t>01.07.2019 по 31.12.2019</w:t>
            </w:r>
          </w:p>
        </w:tc>
        <w:tc>
          <w:tcPr>
            <w:tcW w:w="539" w:type="pct"/>
            <w:vAlign w:val="center"/>
          </w:tcPr>
          <w:p w14:paraId="544DE100"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1,03</w:t>
            </w:r>
          </w:p>
        </w:tc>
        <w:tc>
          <w:tcPr>
            <w:tcW w:w="846" w:type="pct"/>
            <w:vAlign w:val="center"/>
          </w:tcPr>
          <w:p w14:paraId="4ABDAB72"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b/>
              </w:rPr>
              <w:t>0,97</w:t>
            </w:r>
          </w:p>
        </w:tc>
        <w:tc>
          <w:tcPr>
            <w:tcW w:w="846" w:type="pct"/>
            <w:vAlign w:val="center"/>
          </w:tcPr>
          <w:p w14:paraId="69670436"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1,24</w:t>
            </w:r>
          </w:p>
        </w:tc>
        <w:tc>
          <w:tcPr>
            <w:tcW w:w="355" w:type="pct"/>
            <w:vAlign w:val="center"/>
          </w:tcPr>
          <w:p w14:paraId="3019769E"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1,15</w:t>
            </w:r>
          </w:p>
        </w:tc>
        <w:tc>
          <w:tcPr>
            <w:tcW w:w="338" w:type="pct"/>
            <w:vAlign w:val="center"/>
          </w:tcPr>
          <w:p w14:paraId="5BE84D8F"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1,13</w:t>
            </w:r>
          </w:p>
        </w:tc>
        <w:tc>
          <w:tcPr>
            <w:tcW w:w="539" w:type="pct"/>
            <w:vAlign w:val="center"/>
          </w:tcPr>
          <w:p w14:paraId="79F44FB2"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rPr>
              <w:t>1,08</w:t>
            </w:r>
          </w:p>
        </w:tc>
        <w:tc>
          <w:tcPr>
            <w:tcW w:w="923" w:type="pct"/>
            <w:vAlign w:val="center"/>
          </w:tcPr>
          <w:p w14:paraId="2CA25D52"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1,10</w:t>
            </w:r>
          </w:p>
        </w:tc>
      </w:tr>
      <w:tr w:rsidR="000B0C76" w:rsidRPr="008009AF" w14:paraId="1C915439" w14:textId="77777777" w:rsidTr="009C5C5A">
        <w:trPr>
          <w:jc w:val="center"/>
        </w:trPr>
        <w:tc>
          <w:tcPr>
            <w:tcW w:w="614" w:type="pct"/>
            <w:vAlign w:val="center"/>
          </w:tcPr>
          <w:p w14:paraId="796387C3"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color w:val="000000"/>
              </w:rPr>
              <w:t>01.01.2020 по 30.06.2020</w:t>
            </w:r>
          </w:p>
        </w:tc>
        <w:tc>
          <w:tcPr>
            <w:tcW w:w="539" w:type="pct"/>
            <w:vAlign w:val="center"/>
          </w:tcPr>
          <w:p w14:paraId="7A5C4DEE"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1,01</w:t>
            </w:r>
          </w:p>
        </w:tc>
        <w:tc>
          <w:tcPr>
            <w:tcW w:w="846" w:type="pct"/>
            <w:vAlign w:val="center"/>
          </w:tcPr>
          <w:p w14:paraId="42269AAC"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b/>
              </w:rPr>
              <w:t>0,95</w:t>
            </w:r>
          </w:p>
        </w:tc>
        <w:tc>
          <w:tcPr>
            <w:tcW w:w="846" w:type="pct"/>
            <w:vAlign w:val="center"/>
          </w:tcPr>
          <w:p w14:paraId="5E089206"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1,19</w:t>
            </w:r>
          </w:p>
        </w:tc>
        <w:tc>
          <w:tcPr>
            <w:tcW w:w="355" w:type="pct"/>
            <w:vAlign w:val="center"/>
          </w:tcPr>
          <w:p w14:paraId="09D6CC58"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1,14</w:t>
            </w:r>
          </w:p>
        </w:tc>
        <w:tc>
          <w:tcPr>
            <w:tcW w:w="338" w:type="pct"/>
            <w:vAlign w:val="center"/>
          </w:tcPr>
          <w:p w14:paraId="106A0F7B"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1,10</w:t>
            </w:r>
          </w:p>
        </w:tc>
        <w:tc>
          <w:tcPr>
            <w:tcW w:w="539" w:type="pct"/>
            <w:vAlign w:val="center"/>
          </w:tcPr>
          <w:p w14:paraId="4FE0AE69"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rPr>
              <w:t>1,05</w:t>
            </w:r>
          </w:p>
        </w:tc>
        <w:tc>
          <w:tcPr>
            <w:tcW w:w="923" w:type="pct"/>
            <w:vAlign w:val="center"/>
          </w:tcPr>
          <w:p w14:paraId="798FCBFB"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1,08</w:t>
            </w:r>
          </w:p>
        </w:tc>
      </w:tr>
      <w:tr w:rsidR="000B0C76" w:rsidRPr="008009AF" w14:paraId="71FE37B2" w14:textId="77777777" w:rsidTr="009C5C5A">
        <w:trPr>
          <w:jc w:val="center"/>
        </w:trPr>
        <w:tc>
          <w:tcPr>
            <w:tcW w:w="614" w:type="pct"/>
            <w:vAlign w:val="center"/>
          </w:tcPr>
          <w:p w14:paraId="0E58C1E3"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color w:val="000000"/>
              </w:rPr>
              <w:t>01.07.2020 по 31.12.2020</w:t>
            </w:r>
          </w:p>
        </w:tc>
        <w:tc>
          <w:tcPr>
            <w:tcW w:w="539" w:type="pct"/>
            <w:vAlign w:val="center"/>
          </w:tcPr>
          <w:p w14:paraId="7E12D743"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1,05</w:t>
            </w:r>
          </w:p>
        </w:tc>
        <w:tc>
          <w:tcPr>
            <w:tcW w:w="846" w:type="pct"/>
            <w:vAlign w:val="center"/>
          </w:tcPr>
          <w:p w14:paraId="33D90F37"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b/>
              </w:rPr>
              <w:t>0,98</w:t>
            </w:r>
          </w:p>
        </w:tc>
        <w:tc>
          <w:tcPr>
            <w:tcW w:w="846" w:type="pct"/>
            <w:vAlign w:val="center"/>
          </w:tcPr>
          <w:p w14:paraId="29297DC9"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1,17</w:t>
            </w:r>
          </w:p>
        </w:tc>
        <w:tc>
          <w:tcPr>
            <w:tcW w:w="355" w:type="pct"/>
            <w:vAlign w:val="center"/>
          </w:tcPr>
          <w:p w14:paraId="37CB4277"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1,11</w:t>
            </w:r>
          </w:p>
        </w:tc>
        <w:tc>
          <w:tcPr>
            <w:tcW w:w="338" w:type="pct"/>
            <w:vAlign w:val="center"/>
          </w:tcPr>
          <w:p w14:paraId="0BC19CC9"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1,09</w:t>
            </w:r>
          </w:p>
        </w:tc>
        <w:tc>
          <w:tcPr>
            <w:tcW w:w="539" w:type="pct"/>
            <w:vAlign w:val="center"/>
          </w:tcPr>
          <w:p w14:paraId="1DA87E6C"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rPr>
              <w:t>1,03</w:t>
            </w:r>
          </w:p>
        </w:tc>
        <w:tc>
          <w:tcPr>
            <w:tcW w:w="923" w:type="pct"/>
            <w:vAlign w:val="center"/>
          </w:tcPr>
          <w:p w14:paraId="6406BFF0"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1,07</w:t>
            </w:r>
          </w:p>
        </w:tc>
      </w:tr>
      <w:tr w:rsidR="000B0C76" w:rsidRPr="008009AF" w14:paraId="380CDB52" w14:textId="77777777" w:rsidTr="009C5C5A">
        <w:trPr>
          <w:jc w:val="center"/>
        </w:trPr>
        <w:tc>
          <w:tcPr>
            <w:tcW w:w="614" w:type="pct"/>
            <w:vAlign w:val="center"/>
          </w:tcPr>
          <w:p w14:paraId="40AB9BE1"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color w:val="000000"/>
              </w:rPr>
              <w:t>01.01.2021 по 30.06.2021</w:t>
            </w:r>
          </w:p>
        </w:tc>
        <w:tc>
          <w:tcPr>
            <w:tcW w:w="539" w:type="pct"/>
            <w:vAlign w:val="center"/>
          </w:tcPr>
          <w:p w14:paraId="1287D617"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1,04</w:t>
            </w:r>
          </w:p>
        </w:tc>
        <w:tc>
          <w:tcPr>
            <w:tcW w:w="846" w:type="pct"/>
            <w:vAlign w:val="center"/>
          </w:tcPr>
          <w:p w14:paraId="002CF18C"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b/>
              </w:rPr>
              <w:t>0,98</w:t>
            </w:r>
          </w:p>
        </w:tc>
        <w:tc>
          <w:tcPr>
            <w:tcW w:w="846" w:type="pct"/>
            <w:vAlign w:val="center"/>
          </w:tcPr>
          <w:p w14:paraId="573B3C62"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1,07</w:t>
            </w:r>
          </w:p>
        </w:tc>
        <w:tc>
          <w:tcPr>
            <w:tcW w:w="355" w:type="pct"/>
            <w:vAlign w:val="center"/>
          </w:tcPr>
          <w:p w14:paraId="1688621C"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1,06</w:t>
            </w:r>
          </w:p>
        </w:tc>
        <w:tc>
          <w:tcPr>
            <w:tcW w:w="338" w:type="pct"/>
            <w:vAlign w:val="center"/>
          </w:tcPr>
          <w:p w14:paraId="09287A42"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1,04</w:t>
            </w:r>
          </w:p>
        </w:tc>
        <w:tc>
          <w:tcPr>
            <w:tcW w:w="539" w:type="pct"/>
            <w:vAlign w:val="center"/>
          </w:tcPr>
          <w:p w14:paraId="70E6DE49"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rPr>
              <w:t>1,01</w:t>
            </w:r>
          </w:p>
        </w:tc>
        <w:tc>
          <w:tcPr>
            <w:tcW w:w="923" w:type="pct"/>
            <w:vAlign w:val="center"/>
          </w:tcPr>
          <w:p w14:paraId="63EA8C15"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1,02</w:t>
            </w:r>
          </w:p>
        </w:tc>
      </w:tr>
      <w:tr w:rsidR="000B0C76" w:rsidRPr="008009AF" w14:paraId="31124CE4" w14:textId="77777777" w:rsidTr="009C5C5A">
        <w:trPr>
          <w:jc w:val="center"/>
        </w:trPr>
        <w:tc>
          <w:tcPr>
            <w:tcW w:w="614" w:type="pct"/>
            <w:vAlign w:val="center"/>
          </w:tcPr>
          <w:p w14:paraId="60469C86"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color w:val="000000"/>
              </w:rPr>
              <w:t>01.07.2021 по 31.12.2021</w:t>
            </w:r>
          </w:p>
        </w:tc>
        <w:tc>
          <w:tcPr>
            <w:tcW w:w="539" w:type="pct"/>
            <w:vAlign w:val="center"/>
          </w:tcPr>
          <w:p w14:paraId="0FEFA251"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1,02</w:t>
            </w:r>
          </w:p>
        </w:tc>
        <w:tc>
          <w:tcPr>
            <w:tcW w:w="846" w:type="pct"/>
            <w:vAlign w:val="center"/>
          </w:tcPr>
          <w:p w14:paraId="7732A489"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b/>
              </w:rPr>
              <w:t>0,98</w:t>
            </w:r>
          </w:p>
        </w:tc>
        <w:tc>
          <w:tcPr>
            <w:tcW w:w="846" w:type="pct"/>
            <w:vAlign w:val="center"/>
          </w:tcPr>
          <w:p w14:paraId="6CDF14ED"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1,03</w:t>
            </w:r>
          </w:p>
        </w:tc>
        <w:tc>
          <w:tcPr>
            <w:tcW w:w="355" w:type="pct"/>
            <w:vAlign w:val="center"/>
          </w:tcPr>
          <w:p w14:paraId="4532BD5C"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1,04</w:t>
            </w:r>
          </w:p>
        </w:tc>
        <w:tc>
          <w:tcPr>
            <w:tcW w:w="338" w:type="pct"/>
            <w:vAlign w:val="center"/>
          </w:tcPr>
          <w:p w14:paraId="4697569A"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1,01</w:t>
            </w:r>
          </w:p>
        </w:tc>
        <w:tc>
          <w:tcPr>
            <w:tcW w:w="539" w:type="pct"/>
            <w:vAlign w:val="center"/>
          </w:tcPr>
          <w:p w14:paraId="36E2262A" w14:textId="77777777" w:rsidR="000B0C76" w:rsidRPr="008009AF" w:rsidRDefault="000B0C76" w:rsidP="009C5C5A">
            <w:pPr>
              <w:jc w:val="center"/>
              <w:rPr>
                <w:rFonts w:ascii="Times New Roman" w:hAnsi="Times New Roman" w:cs="Times New Roman"/>
                <w:b/>
              </w:rPr>
            </w:pPr>
            <w:r w:rsidRPr="008009AF">
              <w:rPr>
                <w:rFonts w:ascii="Times New Roman" w:hAnsi="Times New Roman" w:cs="Times New Roman"/>
              </w:rPr>
              <w:t>1,01</w:t>
            </w:r>
          </w:p>
        </w:tc>
        <w:tc>
          <w:tcPr>
            <w:tcW w:w="923" w:type="pct"/>
            <w:vAlign w:val="center"/>
          </w:tcPr>
          <w:p w14:paraId="1CDEF965" w14:textId="77777777" w:rsidR="000B0C76" w:rsidRPr="008009AF" w:rsidRDefault="000B0C76" w:rsidP="009C5C5A">
            <w:pPr>
              <w:jc w:val="center"/>
              <w:rPr>
                <w:rFonts w:ascii="Times New Roman" w:hAnsi="Times New Roman" w:cs="Times New Roman"/>
              </w:rPr>
            </w:pPr>
            <w:r w:rsidRPr="008009AF">
              <w:rPr>
                <w:rFonts w:ascii="Times New Roman" w:hAnsi="Times New Roman" w:cs="Times New Roman"/>
              </w:rPr>
              <w:t>1,01</w:t>
            </w:r>
          </w:p>
        </w:tc>
      </w:tr>
    </w:tbl>
    <w:p w14:paraId="261C9F52" w14:textId="77777777" w:rsidR="000B0C76" w:rsidRPr="00945FC1" w:rsidRDefault="000B0C76" w:rsidP="000B0C76">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право</w:t>
      </w:r>
    </w:p>
    <w:p w14:paraId="3318D41F" w14:textId="77777777" w:rsidR="000B0C76" w:rsidRDefault="000B0C76" w:rsidP="000B0C76">
      <w:pPr>
        <w:spacing w:after="0" w:line="300" w:lineRule="auto"/>
        <w:ind w:firstLine="567"/>
        <w:jc w:val="both"/>
        <w:rPr>
          <w:rFonts w:ascii="Times New Roman" w:hAnsi="Times New Roman" w:cs="Times New Roman"/>
          <w:sz w:val="26"/>
          <w:szCs w:val="26"/>
          <w:u w:val="single"/>
        </w:rPr>
      </w:pPr>
      <w:r>
        <w:rPr>
          <w:rFonts w:ascii="Times New Roman" w:hAnsi="Times New Roman" w:cs="Times New Roman"/>
          <w:sz w:val="26"/>
          <w:szCs w:val="26"/>
        </w:rPr>
        <w:t xml:space="preserve">В случае, если продается земельный участок, предоставленный в аренду, необходимо вносить корректировку на вид права. </w:t>
      </w:r>
      <w:r>
        <w:rPr>
          <w:rFonts w:ascii="Times New Roman" w:eastAsia="Calibri" w:hAnsi="Times New Roman" w:cs="Times New Roman"/>
          <w:sz w:val="26"/>
          <w:szCs w:val="26"/>
        </w:rPr>
        <w:t>Величина корректировки на право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w:t>
      </w:r>
      <w:r w:rsidRPr="00A67AF4">
        <w:rPr>
          <w:rFonts w:ascii="Times New Roman" w:eastAsia="Calibri" w:hAnsi="Times New Roman" w:cs="Times New Roman"/>
          <w:sz w:val="26"/>
          <w:szCs w:val="26"/>
        </w:rPr>
        <w:t>» (</w:t>
      </w:r>
      <w:hyperlink r:id="rId112" w:history="1">
        <w:r w:rsidRPr="00A67AF4">
          <w:rPr>
            <w:rStyle w:val="ad"/>
            <w:rFonts w:cs="Times New Roman"/>
            <w:szCs w:val="26"/>
          </w:rPr>
          <w:t>https://statrielt.ru/</w:t>
        </w:r>
      </w:hyperlink>
      <w:r w:rsidRPr="00A67AF4">
        <w:rPr>
          <w:rFonts w:ascii="Times New Roman" w:hAnsi="Times New Roman" w:cs="Times New Roman"/>
          <w:sz w:val="26"/>
          <w:szCs w:val="26"/>
        </w:rPr>
        <w:t>).</w:t>
      </w:r>
    </w:p>
    <w:p w14:paraId="5A8E801A" w14:textId="77777777" w:rsidR="000B0C76" w:rsidRDefault="000B0C76" w:rsidP="000B0C76">
      <w:pPr>
        <w:jc w:val="center"/>
      </w:pPr>
      <w:r w:rsidRPr="00A2009E">
        <w:rPr>
          <w:noProof/>
          <w:lang w:eastAsia="ru-RU"/>
        </w:rPr>
        <w:drawing>
          <wp:inline distT="0" distB="0" distL="0" distR="0" wp14:anchorId="0FBD8000" wp14:editId="072158AC">
            <wp:extent cx="5207000" cy="3577830"/>
            <wp:effectExtent l="0" t="0" r="0"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10576" cy="3580287"/>
                    </a:xfrm>
                    <a:prstGeom prst="rect">
                      <a:avLst/>
                    </a:prstGeom>
                  </pic:spPr>
                </pic:pic>
              </a:graphicData>
            </a:graphic>
          </wp:inline>
        </w:drawing>
      </w:r>
    </w:p>
    <w:p w14:paraId="27D5534B" w14:textId="1C8A112D" w:rsidR="000B0C76" w:rsidRPr="00D05389" w:rsidRDefault="000B0C76" w:rsidP="000B0C76">
      <w:pPr>
        <w:spacing w:after="0" w:line="30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Рис.3.2.12- Корректировка на право аренды земельного участка по отношению к собственному земельному участку на 01.01.2022 года по данным некоммерческой </w:t>
      </w:r>
      <w:r w:rsidRPr="00A67AF4">
        <w:rPr>
          <w:rFonts w:ascii="Times New Roman" w:eastAsia="Calibri" w:hAnsi="Times New Roman" w:cs="Times New Roman"/>
          <w:sz w:val="26"/>
          <w:szCs w:val="26"/>
        </w:rPr>
        <w:t>организации «Ассоциация развития рынка недвижимости «СтатРиелт»</w:t>
      </w:r>
      <w:r w:rsidR="00221500">
        <w:rPr>
          <w:rStyle w:val="af2"/>
          <w:rFonts w:ascii="Times New Roman" w:eastAsia="Calibri" w:hAnsi="Times New Roman" w:cs="Times New Roman"/>
          <w:sz w:val="26"/>
          <w:szCs w:val="26"/>
        </w:rPr>
        <w:footnoteReference w:id="116"/>
      </w:r>
      <w:r w:rsidRPr="00A67AF4">
        <w:rPr>
          <w:rFonts w:ascii="Times New Roman" w:eastAsia="Calibri" w:hAnsi="Times New Roman" w:cs="Times New Roman"/>
          <w:sz w:val="26"/>
          <w:szCs w:val="26"/>
        </w:rPr>
        <w:t xml:space="preserve"> </w:t>
      </w:r>
    </w:p>
    <w:p w14:paraId="3DE922A9" w14:textId="77777777" w:rsidR="000B0C76" w:rsidRDefault="000B0C76" w:rsidP="000B0C76">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Так как данные коэффициенты выражают отношения удельных цен предложений земельных участков, находящихся на праве аренды, к удельным ценам предложений земельных участков, находящихся на праве собственности, применяются обратные корректировки, т.е.  при расчете удельного показателя рыночной стоимости необходимо делить на корректировку на право.</w:t>
      </w:r>
    </w:p>
    <w:p w14:paraId="33E39300" w14:textId="77777777" w:rsidR="000B0C76" w:rsidRPr="00227435" w:rsidRDefault="000B0C76" w:rsidP="000B0C76">
      <w:pPr>
        <w:spacing w:after="0" w:line="30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Согласно данным «СтатРиелт», размер корректировки на право аренды земельного участка, предоставленного сроком на 49 лет, по отношению к собственному земельному участку, для земельных участков складского, назначения, объектов инженерной и транспортной инфраструктуры значение лежит в доверительном интервале от 0,75 до 0,94 и в среднем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85</w:t>
      </w:r>
      <w:r>
        <w:rPr>
          <w:rFonts w:ascii="Times New Roman" w:eastAsia="Calibri" w:hAnsi="Times New Roman" w:cs="Times New Roman"/>
          <w:sz w:val="26"/>
          <w:szCs w:val="26"/>
        </w:rPr>
        <w:t xml:space="preserve"> (данные на 01.01.2022 года). Для целей оценки принято среднее значение диапазона. В случае, если земельный участок предоставлен в аренду на срок до 20 лет, то необходимо использовать поправку на срок аренды к корректировке на срок аренды на 49 лет. Таким образом корректировка равна: 0,85х0,83=</w:t>
      </w:r>
      <w:r w:rsidRPr="008C322D">
        <w:rPr>
          <w:rFonts w:ascii="Times New Roman" w:eastAsia="Calibri" w:hAnsi="Times New Roman" w:cs="Times New Roman"/>
          <w:b/>
          <w:sz w:val="26"/>
          <w:szCs w:val="26"/>
        </w:rPr>
        <w:t>0,</w:t>
      </w:r>
      <w:r>
        <w:rPr>
          <w:rFonts w:ascii="Times New Roman" w:eastAsia="Calibri" w:hAnsi="Times New Roman" w:cs="Times New Roman"/>
          <w:b/>
          <w:sz w:val="26"/>
          <w:szCs w:val="26"/>
        </w:rPr>
        <w:t>71</w:t>
      </w:r>
      <w:r>
        <w:rPr>
          <w:rFonts w:ascii="Times New Roman" w:eastAsia="Calibri" w:hAnsi="Times New Roman" w:cs="Times New Roman"/>
          <w:sz w:val="26"/>
          <w:szCs w:val="26"/>
        </w:rPr>
        <w:t>.</w:t>
      </w:r>
    </w:p>
    <w:p w14:paraId="3C8B262A" w14:textId="77777777" w:rsidR="000B0C76" w:rsidRPr="00945FC1" w:rsidRDefault="000B0C76" w:rsidP="000B0C76">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Доля ЗУ</w:t>
      </w:r>
    </w:p>
    <w:p w14:paraId="4143F7D1" w14:textId="77777777" w:rsidR="000B0C76" w:rsidRDefault="000B0C76" w:rsidP="000B0C76">
      <w:pPr>
        <w:spacing w:after="0" w:line="276" w:lineRule="auto"/>
        <w:ind w:firstLine="709"/>
        <w:jc w:val="both"/>
        <w:rPr>
          <w:rFonts w:ascii="Times New Roman" w:hAnsi="Times New Roman" w:cs="Times New Roman"/>
          <w:sz w:val="26"/>
          <w:szCs w:val="26"/>
        </w:rPr>
      </w:pPr>
      <w:r>
        <w:rPr>
          <w:rFonts w:ascii="Times New Roman" w:eastAsia="Calibri" w:hAnsi="Times New Roman" w:cs="Times New Roman"/>
          <w:sz w:val="26"/>
          <w:szCs w:val="26"/>
        </w:rPr>
        <w:t xml:space="preserve">Если в качестве объекта-аналога принято предложение (сделка) по продаже застроенного земельного участка, необходимо определить долю стоимости земельного участка в стоимости единого объекта недвижимости. В таком случае доля стоимости земельного участка для 7 сегмента принята на основании приложения №7 к Указаниям, где для объектов хранения индивидуального автотранспорта рекомендовано 15-30% (принимаем корректировку </w:t>
      </w:r>
      <w:r w:rsidRPr="00227435">
        <w:rPr>
          <w:rFonts w:ascii="Times New Roman" w:eastAsia="Calibri" w:hAnsi="Times New Roman" w:cs="Times New Roman"/>
          <w:b/>
          <w:sz w:val="26"/>
          <w:szCs w:val="26"/>
        </w:rPr>
        <w:t>0,</w:t>
      </w:r>
      <w:r>
        <w:rPr>
          <w:rFonts w:ascii="Times New Roman" w:eastAsia="Calibri" w:hAnsi="Times New Roman" w:cs="Times New Roman"/>
          <w:b/>
          <w:sz w:val="26"/>
          <w:szCs w:val="26"/>
        </w:rPr>
        <w:t>30</w:t>
      </w:r>
      <w:r>
        <w:rPr>
          <w:rFonts w:ascii="Times New Roman" w:eastAsia="Calibri" w:hAnsi="Times New Roman" w:cs="Times New Roman"/>
          <w:sz w:val="26"/>
          <w:szCs w:val="26"/>
        </w:rPr>
        <w:t>).</w:t>
      </w:r>
    </w:p>
    <w:p w14:paraId="6786EF9B" w14:textId="77777777" w:rsidR="000B0C76" w:rsidRPr="00F562A8" w:rsidRDefault="000B0C76" w:rsidP="000B0C76">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 таблице ниже приведено распределение рыночной информации и значения удельных показателей рыночной стоимости земельных участков сегмента 7 «Транспорт».</w:t>
      </w:r>
    </w:p>
    <w:p w14:paraId="3EA2EF9D" w14:textId="77777777" w:rsidR="000B0C76" w:rsidRPr="00F562A8" w:rsidRDefault="000B0C76" w:rsidP="000B0C76">
      <w:pPr>
        <w:spacing w:after="0" w:line="276" w:lineRule="auto"/>
        <w:ind w:firstLine="709"/>
        <w:jc w:val="right"/>
        <w:rPr>
          <w:rFonts w:ascii="Times New Roman" w:hAnsi="Times New Roman" w:cs="Times New Roman"/>
          <w:sz w:val="26"/>
          <w:szCs w:val="26"/>
        </w:rPr>
      </w:pPr>
      <w:r w:rsidRPr="00F562A8">
        <w:rPr>
          <w:rFonts w:ascii="Times New Roman" w:hAnsi="Times New Roman" w:cs="Times New Roman"/>
          <w:sz w:val="26"/>
          <w:szCs w:val="26"/>
        </w:rPr>
        <w:t>Таблица 3.2.</w:t>
      </w:r>
      <w:r>
        <w:rPr>
          <w:rFonts w:ascii="Times New Roman" w:hAnsi="Times New Roman" w:cs="Times New Roman"/>
          <w:sz w:val="26"/>
          <w:szCs w:val="26"/>
        </w:rPr>
        <w:t>11</w:t>
      </w:r>
      <w:r w:rsidRPr="00F562A8">
        <w:rPr>
          <w:rFonts w:ascii="Times New Roman" w:hAnsi="Times New Roman" w:cs="Times New Roman"/>
          <w:sz w:val="26"/>
          <w:szCs w:val="26"/>
        </w:rPr>
        <w:t xml:space="preserve"> </w:t>
      </w:r>
    </w:p>
    <w:p w14:paraId="0BCF3FDE" w14:textId="77777777" w:rsidR="000B0C76" w:rsidRPr="00F562A8" w:rsidRDefault="000B0C76" w:rsidP="000B0C76">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Распределение рыночной информации и значения удельных показателей рыночной стоимости земельных участков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2211"/>
        <w:gridCol w:w="1928"/>
        <w:gridCol w:w="2246"/>
        <w:gridCol w:w="1029"/>
      </w:tblGrid>
      <w:tr w:rsidR="000B0C76" w:rsidRPr="00505987" w14:paraId="0D8D31D6" w14:textId="77777777" w:rsidTr="00221500">
        <w:trPr>
          <w:trHeight w:val="300"/>
        </w:trPr>
        <w:tc>
          <w:tcPr>
            <w:tcW w:w="0" w:type="auto"/>
            <w:shd w:val="clear" w:color="auto" w:fill="auto"/>
            <w:noWrap/>
            <w:vAlign w:val="center"/>
            <w:hideMark/>
          </w:tcPr>
          <w:p w14:paraId="28D1D55B" w14:textId="77777777" w:rsidR="000B0C76" w:rsidRPr="00505987" w:rsidRDefault="000B0C76" w:rsidP="000B0C76">
            <w:pPr>
              <w:spacing w:after="0" w:line="240" w:lineRule="auto"/>
              <w:jc w:val="center"/>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Наименование населенного пункта</w:t>
            </w:r>
          </w:p>
        </w:tc>
        <w:tc>
          <w:tcPr>
            <w:tcW w:w="0" w:type="auto"/>
            <w:shd w:val="clear" w:color="auto" w:fill="auto"/>
            <w:noWrap/>
            <w:vAlign w:val="center"/>
            <w:hideMark/>
          </w:tcPr>
          <w:p w14:paraId="14F2D642" w14:textId="77777777" w:rsidR="000B0C76" w:rsidRPr="00505987" w:rsidRDefault="000B0C76" w:rsidP="000B0C76">
            <w:pPr>
              <w:spacing w:after="0" w:line="240" w:lineRule="auto"/>
              <w:jc w:val="center"/>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Минимальное значение УПРС, руб./кв.м</w:t>
            </w:r>
          </w:p>
        </w:tc>
        <w:tc>
          <w:tcPr>
            <w:tcW w:w="0" w:type="auto"/>
            <w:shd w:val="clear" w:color="auto" w:fill="auto"/>
            <w:noWrap/>
            <w:vAlign w:val="center"/>
            <w:hideMark/>
          </w:tcPr>
          <w:p w14:paraId="43125F6B" w14:textId="77777777" w:rsidR="000B0C76" w:rsidRPr="00505987" w:rsidRDefault="000B0C76" w:rsidP="000B0C76">
            <w:pPr>
              <w:spacing w:after="0" w:line="240" w:lineRule="auto"/>
              <w:jc w:val="center"/>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Среднее значение УПРС, руб./кв.м</w:t>
            </w:r>
          </w:p>
        </w:tc>
        <w:tc>
          <w:tcPr>
            <w:tcW w:w="0" w:type="auto"/>
            <w:shd w:val="clear" w:color="auto" w:fill="auto"/>
            <w:noWrap/>
            <w:vAlign w:val="center"/>
            <w:hideMark/>
          </w:tcPr>
          <w:p w14:paraId="32E3639D" w14:textId="77777777" w:rsidR="000B0C76" w:rsidRPr="00505987" w:rsidRDefault="000B0C76" w:rsidP="000B0C76">
            <w:pPr>
              <w:spacing w:after="0" w:line="240" w:lineRule="auto"/>
              <w:jc w:val="center"/>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Максимальное значение УПРС, руб./кв.м</w:t>
            </w:r>
          </w:p>
        </w:tc>
        <w:tc>
          <w:tcPr>
            <w:tcW w:w="0" w:type="auto"/>
            <w:shd w:val="clear" w:color="auto" w:fill="auto"/>
            <w:noWrap/>
            <w:vAlign w:val="center"/>
            <w:hideMark/>
          </w:tcPr>
          <w:p w14:paraId="58714C69" w14:textId="77777777" w:rsidR="000B0C76" w:rsidRPr="00505987" w:rsidRDefault="000B0C76" w:rsidP="000B0C76">
            <w:pPr>
              <w:spacing w:after="0" w:line="240" w:lineRule="auto"/>
              <w:jc w:val="center"/>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 ценовой зоны</w:t>
            </w:r>
          </w:p>
        </w:tc>
      </w:tr>
      <w:tr w:rsidR="000B0C76" w:rsidRPr="00505987" w14:paraId="0C4879C1" w14:textId="77777777" w:rsidTr="00221500">
        <w:trPr>
          <w:trHeight w:val="300"/>
        </w:trPr>
        <w:tc>
          <w:tcPr>
            <w:tcW w:w="0" w:type="auto"/>
            <w:shd w:val="clear" w:color="auto" w:fill="auto"/>
            <w:noWrap/>
            <w:vAlign w:val="bottom"/>
            <w:hideMark/>
          </w:tcPr>
          <w:p w14:paraId="7CBDA279"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г Воронеж</w:t>
            </w:r>
          </w:p>
        </w:tc>
        <w:tc>
          <w:tcPr>
            <w:tcW w:w="0" w:type="auto"/>
            <w:shd w:val="clear" w:color="auto" w:fill="auto"/>
            <w:noWrap/>
            <w:vAlign w:val="bottom"/>
            <w:hideMark/>
          </w:tcPr>
          <w:p w14:paraId="120F03F4"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1 102,03</w:t>
            </w:r>
          </w:p>
        </w:tc>
        <w:tc>
          <w:tcPr>
            <w:tcW w:w="0" w:type="auto"/>
            <w:shd w:val="clear" w:color="auto" w:fill="auto"/>
            <w:noWrap/>
            <w:vAlign w:val="bottom"/>
            <w:hideMark/>
          </w:tcPr>
          <w:p w14:paraId="65177531"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3 548,92</w:t>
            </w:r>
          </w:p>
        </w:tc>
        <w:tc>
          <w:tcPr>
            <w:tcW w:w="0" w:type="auto"/>
            <w:shd w:val="clear" w:color="auto" w:fill="auto"/>
            <w:noWrap/>
            <w:vAlign w:val="bottom"/>
            <w:hideMark/>
          </w:tcPr>
          <w:p w14:paraId="4FF7B290"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7 478,03</w:t>
            </w:r>
          </w:p>
        </w:tc>
        <w:tc>
          <w:tcPr>
            <w:tcW w:w="0" w:type="auto"/>
            <w:shd w:val="clear" w:color="auto" w:fill="auto"/>
            <w:noWrap/>
            <w:vAlign w:val="bottom"/>
            <w:hideMark/>
          </w:tcPr>
          <w:p w14:paraId="6C8A2F60"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w:t>
            </w:r>
          </w:p>
        </w:tc>
      </w:tr>
      <w:tr w:rsidR="000B0C76" w:rsidRPr="00505987" w14:paraId="163397C5" w14:textId="77777777" w:rsidTr="00221500">
        <w:trPr>
          <w:trHeight w:val="300"/>
        </w:trPr>
        <w:tc>
          <w:tcPr>
            <w:tcW w:w="0" w:type="auto"/>
            <w:shd w:val="clear" w:color="auto" w:fill="auto"/>
            <w:noWrap/>
            <w:vAlign w:val="bottom"/>
            <w:hideMark/>
          </w:tcPr>
          <w:p w14:paraId="5373889A"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с Новая Усмань</w:t>
            </w:r>
          </w:p>
        </w:tc>
        <w:tc>
          <w:tcPr>
            <w:tcW w:w="0" w:type="auto"/>
            <w:shd w:val="clear" w:color="auto" w:fill="auto"/>
            <w:noWrap/>
            <w:vAlign w:val="bottom"/>
            <w:hideMark/>
          </w:tcPr>
          <w:p w14:paraId="124C4B39"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755,31</w:t>
            </w:r>
          </w:p>
        </w:tc>
        <w:tc>
          <w:tcPr>
            <w:tcW w:w="0" w:type="auto"/>
            <w:shd w:val="clear" w:color="auto" w:fill="auto"/>
            <w:noWrap/>
            <w:vAlign w:val="bottom"/>
            <w:hideMark/>
          </w:tcPr>
          <w:p w14:paraId="13EE83EE"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2 107,95</w:t>
            </w:r>
          </w:p>
        </w:tc>
        <w:tc>
          <w:tcPr>
            <w:tcW w:w="0" w:type="auto"/>
            <w:shd w:val="clear" w:color="auto" w:fill="auto"/>
            <w:noWrap/>
            <w:vAlign w:val="bottom"/>
            <w:hideMark/>
          </w:tcPr>
          <w:p w14:paraId="4047FA1B"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3 500,00</w:t>
            </w:r>
          </w:p>
        </w:tc>
        <w:tc>
          <w:tcPr>
            <w:tcW w:w="0" w:type="auto"/>
            <w:shd w:val="clear" w:color="auto" w:fill="auto"/>
            <w:noWrap/>
            <w:vAlign w:val="bottom"/>
            <w:hideMark/>
          </w:tcPr>
          <w:p w14:paraId="2452C3F0"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w:t>
            </w:r>
          </w:p>
        </w:tc>
      </w:tr>
      <w:tr w:rsidR="000B0C76" w:rsidRPr="00505987" w14:paraId="48B6A94D" w14:textId="77777777" w:rsidTr="00221500">
        <w:trPr>
          <w:trHeight w:val="300"/>
        </w:trPr>
        <w:tc>
          <w:tcPr>
            <w:tcW w:w="0" w:type="auto"/>
            <w:shd w:val="clear" w:color="auto" w:fill="auto"/>
            <w:noWrap/>
            <w:vAlign w:val="bottom"/>
            <w:hideMark/>
          </w:tcPr>
          <w:p w14:paraId="54522247"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г Лиски</w:t>
            </w:r>
          </w:p>
        </w:tc>
        <w:tc>
          <w:tcPr>
            <w:tcW w:w="0" w:type="auto"/>
            <w:shd w:val="clear" w:color="auto" w:fill="auto"/>
            <w:noWrap/>
            <w:vAlign w:val="bottom"/>
            <w:hideMark/>
          </w:tcPr>
          <w:p w14:paraId="6DF9E318"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714,29</w:t>
            </w:r>
          </w:p>
        </w:tc>
        <w:tc>
          <w:tcPr>
            <w:tcW w:w="0" w:type="auto"/>
            <w:shd w:val="clear" w:color="auto" w:fill="auto"/>
            <w:noWrap/>
            <w:vAlign w:val="bottom"/>
            <w:hideMark/>
          </w:tcPr>
          <w:p w14:paraId="2689FFBD"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1 917,45</w:t>
            </w:r>
          </w:p>
        </w:tc>
        <w:tc>
          <w:tcPr>
            <w:tcW w:w="0" w:type="auto"/>
            <w:shd w:val="clear" w:color="auto" w:fill="auto"/>
            <w:noWrap/>
            <w:vAlign w:val="bottom"/>
            <w:hideMark/>
          </w:tcPr>
          <w:p w14:paraId="1724BE6B"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3 500,00</w:t>
            </w:r>
          </w:p>
        </w:tc>
        <w:tc>
          <w:tcPr>
            <w:tcW w:w="0" w:type="auto"/>
            <w:shd w:val="clear" w:color="auto" w:fill="auto"/>
            <w:noWrap/>
            <w:vAlign w:val="bottom"/>
            <w:hideMark/>
          </w:tcPr>
          <w:p w14:paraId="77A9D0A8"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w:t>
            </w:r>
          </w:p>
        </w:tc>
      </w:tr>
      <w:tr w:rsidR="000B0C76" w:rsidRPr="00505987" w14:paraId="446EDCED" w14:textId="77777777" w:rsidTr="00221500">
        <w:trPr>
          <w:trHeight w:val="300"/>
        </w:trPr>
        <w:tc>
          <w:tcPr>
            <w:tcW w:w="0" w:type="auto"/>
            <w:shd w:val="clear" w:color="auto" w:fill="auto"/>
            <w:noWrap/>
            <w:vAlign w:val="bottom"/>
            <w:hideMark/>
          </w:tcPr>
          <w:p w14:paraId="2289DAF2"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г Борисоглебск</w:t>
            </w:r>
          </w:p>
        </w:tc>
        <w:tc>
          <w:tcPr>
            <w:tcW w:w="0" w:type="auto"/>
            <w:shd w:val="clear" w:color="auto" w:fill="auto"/>
            <w:noWrap/>
            <w:vAlign w:val="bottom"/>
            <w:hideMark/>
          </w:tcPr>
          <w:p w14:paraId="1DA145F1"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744,48</w:t>
            </w:r>
          </w:p>
        </w:tc>
        <w:tc>
          <w:tcPr>
            <w:tcW w:w="0" w:type="auto"/>
            <w:shd w:val="clear" w:color="auto" w:fill="auto"/>
            <w:noWrap/>
            <w:vAlign w:val="bottom"/>
            <w:hideMark/>
          </w:tcPr>
          <w:p w14:paraId="4F04E1BA"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1 772,10</w:t>
            </w:r>
          </w:p>
        </w:tc>
        <w:tc>
          <w:tcPr>
            <w:tcW w:w="0" w:type="auto"/>
            <w:shd w:val="clear" w:color="auto" w:fill="auto"/>
            <w:noWrap/>
            <w:vAlign w:val="bottom"/>
            <w:hideMark/>
          </w:tcPr>
          <w:p w14:paraId="095478BC"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3 500,00</w:t>
            </w:r>
          </w:p>
        </w:tc>
        <w:tc>
          <w:tcPr>
            <w:tcW w:w="0" w:type="auto"/>
            <w:shd w:val="clear" w:color="auto" w:fill="auto"/>
            <w:noWrap/>
            <w:vAlign w:val="bottom"/>
            <w:hideMark/>
          </w:tcPr>
          <w:p w14:paraId="08A887D0"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w:t>
            </w:r>
          </w:p>
        </w:tc>
      </w:tr>
      <w:tr w:rsidR="000B0C76" w:rsidRPr="00505987" w14:paraId="6B710856" w14:textId="77777777" w:rsidTr="00221500">
        <w:trPr>
          <w:trHeight w:val="300"/>
        </w:trPr>
        <w:tc>
          <w:tcPr>
            <w:tcW w:w="0" w:type="auto"/>
            <w:shd w:val="clear" w:color="auto" w:fill="auto"/>
            <w:noWrap/>
            <w:vAlign w:val="bottom"/>
            <w:hideMark/>
          </w:tcPr>
          <w:p w14:paraId="6C1E49EF"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г Семилуки</w:t>
            </w:r>
          </w:p>
        </w:tc>
        <w:tc>
          <w:tcPr>
            <w:tcW w:w="0" w:type="auto"/>
            <w:shd w:val="clear" w:color="auto" w:fill="auto"/>
            <w:noWrap/>
            <w:vAlign w:val="bottom"/>
            <w:hideMark/>
          </w:tcPr>
          <w:p w14:paraId="61074DDC"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746,15</w:t>
            </w:r>
          </w:p>
        </w:tc>
        <w:tc>
          <w:tcPr>
            <w:tcW w:w="0" w:type="auto"/>
            <w:shd w:val="clear" w:color="auto" w:fill="auto"/>
            <w:noWrap/>
            <w:vAlign w:val="bottom"/>
            <w:hideMark/>
          </w:tcPr>
          <w:p w14:paraId="7042CA75"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2 032,22</w:t>
            </w:r>
          </w:p>
        </w:tc>
        <w:tc>
          <w:tcPr>
            <w:tcW w:w="0" w:type="auto"/>
            <w:shd w:val="clear" w:color="auto" w:fill="auto"/>
            <w:noWrap/>
            <w:vAlign w:val="bottom"/>
            <w:hideMark/>
          </w:tcPr>
          <w:p w14:paraId="4D5DED07"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3 489,75</w:t>
            </w:r>
          </w:p>
        </w:tc>
        <w:tc>
          <w:tcPr>
            <w:tcW w:w="0" w:type="auto"/>
            <w:shd w:val="clear" w:color="auto" w:fill="auto"/>
            <w:noWrap/>
            <w:vAlign w:val="bottom"/>
            <w:hideMark/>
          </w:tcPr>
          <w:p w14:paraId="275B0F91"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w:t>
            </w:r>
          </w:p>
        </w:tc>
      </w:tr>
      <w:tr w:rsidR="000B0C76" w:rsidRPr="00505987" w14:paraId="68111D34" w14:textId="77777777" w:rsidTr="00221500">
        <w:trPr>
          <w:trHeight w:val="300"/>
        </w:trPr>
        <w:tc>
          <w:tcPr>
            <w:tcW w:w="0" w:type="auto"/>
            <w:shd w:val="clear" w:color="auto" w:fill="auto"/>
            <w:noWrap/>
            <w:vAlign w:val="bottom"/>
            <w:hideMark/>
          </w:tcPr>
          <w:p w14:paraId="6A59C333"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г Россошь</w:t>
            </w:r>
          </w:p>
        </w:tc>
        <w:tc>
          <w:tcPr>
            <w:tcW w:w="0" w:type="auto"/>
            <w:shd w:val="clear" w:color="auto" w:fill="auto"/>
            <w:noWrap/>
            <w:vAlign w:val="bottom"/>
            <w:hideMark/>
          </w:tcPr>
          <w:p w14:paraId="10A27464"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707,15</w:t>
            </w:r>
          </w:p>
        </w:tc>
        <w:tc>
          <w:tcPr>
            <w:tcW w:w="0" w:type="auto"/>
            <w:shd w:val="clear" w:color="auto" w:fill="auto"/>
            <w:noWrap/>
            <w:vAlign w:val="bottom"/>
            <w:hideMark/>
          </w:tcPr>
          <w:p w14:paraId="4357D348"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1 754,15</w:t>
            </w:r>
          </w:p>
        </w:tc>
        <w:tc>
          <w:tcPr>
            <w:tcW w:w="0" w:type="auto"/>
            <w:shd w:val="clear" w:color="auto" w:fill="auto"/>
            <w:noWrap/>
            <w:vAlign w:val="bottom"/>
            <w:hideMark/>
          </w:tcPr>
          <w:p w14:paraId="1B51386A"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3 489,75</w:t>
            </w:r>
          </w:p>
        </w:tc>
        <w:tc>
          <w:tcPr>
            <w:tcW w:w="0" w:type="auto"/>
            <w:shd w:val="clear" w:color="auto" w:fill="auto"/>
            <w:noWrap/>
            <w:vAlign w:val="bottom"/>
            <w:hideMark/>
          </w:tcPr>
          <w:p w14:paraId="15EE0A62"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w:t>
            </w:r>
          </w:p>
        </w:tc>
      </w:tr>
      <w:tr w:rsidR="000B0C76" w:rsidRPr="00505987" w14:paraId="7EB012E5" w14:textId="77777777" w:rsidTr="00221500">
        <w:trPr>
          <w:trHeight w:val="300"/>
        </w:trPr>
        <w:tc>
          <w:tcPr>
            <w:tcW w:w="0" w:type="auto"/>
            <w:shd w:val="clear" w:color="auto" w:fill="auto"/>
            <w:noWrap/>
            <w:vAlign w:val="bottom"/>
            <w:hideMark/>
          </w:tcPr>
          <w:p w14:paraId="739A384B"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рп Кантемировка</w:t>
            </w:r>
          </w:p>
        </w:tc>
        <w:tc>
          <w:tcPr>
            <w:tcW w:w="0" w:type="auto"/>
            <w:shd w:val="clear" w:color="auto" w:fill="auto"/>
            <w:noWrap/>
            <w:vAlign w:val="bottom"/>
            <w:hideMark/>
          </w:tcPr>
          <w:p w14:paraId="7E6E7E5E"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724,02</w:t>
            </w:r>
          </w:p>
        </w:tc>
        <w:tc>
          <w:tcPr>
            <w:tcW w:w="0" w:type="auto"/>
            <w:shd w:val="clear" w:color="auto" w:fill="auto"/>
            <w:noWrap/>
            <w:vAlign w:val="bottom"/>
            <w:hideMark/>
          </w:tcPr>
          <w:p w14:paraId="6FF2D65B"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1 685,16</w:t>
            </w:r>
          </w:p>
        </w:tc>
        <w:tc>
          <w:tcPr>
            <w:tcW w:w="0" w:type="auto"/>
            <w:shd w:val="clear" w:color="auto" w:fill="auto"/>
            <w:noWrap/>
            <w:vAlign w:val="bottom"/>
            <w:hideMark/>
          </w:tcPr>
          <w:p w14:paraId="521644CA"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3 454,50</w:t>
            </w:r>
          </w:p>
        </w:tc>
        <w:tc>
          <w:tcPr>
            <w:tcW w:w="0" w:type="auto"/>
            <w:shd w:val="clear" w:color="auto" w:fill="auto"/>
            <w:noWrap/>
            <w:vAlign w:val="bottom"/>
            <w:hideMark/>
          </w:tcPr>
          <w:p w14:paraId="3B59CA3B"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w:t>
            </w:r>
          </w:p>
        </w:tc>
      </w:tr>
      <w:tr w:rsidR="000B0C76" w:rsidRPr="00505987" w14:paraId="0547C08E" w14:textId="77777777" w:rsidTr="00221500">
        <w:trPr>
          <w:trHeight w:val="300"/>
        </w:trPr>
        <w:tc>
          <w:tcPr>
            <w:tcW w:w="0" w:type="auto"/>
            <w:shd w:val="clear" w:color="auto" w:fill="auto"/>
            <w:noWrap/>
            <w:vAlign w:val="bottom"/>
            <w:hideMark/>
          </w:tcPr>
          <w:p w14:paraId="43D1D6C0"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г Богучар</w:t>
            </w:r>
          </w:p>
        </w:tc>
        <w:tc>
          <w:tcPr>
            <w:tcW w:w="0" w:type="auto"/>
            <w:shd w:val="clear" w:color="auto" w:fill="auto"/>
            <w:noWrap/>
            <w:vAlign w:val="bottom"/>
            <w:hideMark/>
          </w:tcPr>
          <w:p w14:paraId="64284B74"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753,85</w:t>
            </w:r>
          </w:p>
        </w:tc>
        <w:tc>
          <w:tcPr>
            <w:tcW w:w="0" w:type="auto"/>
            <w:shd w:val="clear" w:color="auto" w:fill="auto"/>
            <w:noWrap/>
            <w:vAlign w:val="bottom"/>
            <w:hideMark/>
          </w:tcPr>
          <w:p w14:paraId="78E39AD2"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1 738,12</w:t>
            </w:r>
          </w:p>
        </w:tc>
        <w:tc>
          <w:tcPr>
            <w:tcW w:w="0" w:type="auto"/>
            <w:shd w:val="clear" w:color="auto" w:fill="auto"/>
            <w:noWrap/>
            <w:vAlign w:val="bottom"/>
            <w:hideMark/>
          </w:tcPr>
          <w:p w14:paraId="4EB769E4"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3 419,25</w:t>
            </w:r>
          </w:p>
        </w:tc>
        <w:tc>
          <w:tcPr>
            <w:tcW w:w="0" w:type="auto"/>
            <w:shd w:val="clear" w:color="auto" w:fill="auto"/>
            <w:noWrap/>
            <w:vAlign w:val="bottom"/>
            <w:hideMark/>
          </w:tcPr>
          <w:p w14:paraId="6D66368D"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w:t>
            </w:r>
          </w:p>
        </w:tc>
      </w:tr>
      <w:tr w:rsidR="000B0C76" w:rsidRPr="00505987" w14:paraId="12021206" w14:textId="77777777" w:rsidTr="00221500">
        <w:trPr>
          <w:trHeight w:val="300"/>
        </w:trPr>
        <w:tc>
          <w:tcPr>
            <w:tcW w:w="0" w:type="auto"/>
            <w:shd w:val="clear" w:color="auto" w:fill="auto"/>
            <w:noWrap/>
            <w:vAlign w:val="bottom"/>
            <w:hideMark/>
          </w:tcPr>
          <w:p w14:paraId="2CB2A87B"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г Павловск</w:t>
            </w:r>
          </w:p>
        </w:tc>
        <w:tc>
          <w:tcPr>
            <w:tcW w:w="0" w:type="auto"/>
            <w:shd w:val="clear" w:color="auto" w:fill="auto"/>
            <w:noWrap/>
            <w:vAlign w:val="bottom"/>
            <w:hideMark/>
          </w:tcPr>
          <w:p w14:paraId="5CF6468E"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753,71</w:t>
            </w:r>
          </w:p>
        </w:tc>
        <w:tc>
          <w:tcPr>
            <w:tcW w:w="0" w:type="auto"/>
            <w:shd w:val="clear" w:color="auto" w:fill="auto"/>
            <w:noWrap/>
            <w:vAlign w:val="bottom"/>
            <w:hideMark/>
          </w:tcPr>
          <w:p w14:paraId="6EFDA78D"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1 653,26</w:t>
            </w:r>
          </w:p>
        </w:tc>
        <w:tc>
          <w:tcPr>
            <w:tcW w:w="0" w:type="auto"/>
            <w:shd w:val="clear" w:color="auto" w:fill="auto"/>
            <w:noWrap/>
            <w:vAlign w:val="bottom"/>
            <w:hideMark/>
          </w:tcPr>
          <w:p w14:paraId="1411B0A1"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3 419,25</w:t>
            </w:r>
          </w:p>
        </w:tc>
        <w:tc>
          <w:tcPr>
            <w:tcW w:w="0" w:type="auto"/>
            <w:shd w:val="clear" w:color="auto" w:fill="auto"/>
            <w:noWrap/>
            <w:vAlign w:val="bottom"/>
            <w:hideMark/>
          </w:tcPr>
          <w:p w14:paraId="05B1D341"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w:t>
            </w:r>
          </w:p>
        </w:tc>
      </w:tr>
      <w:tr w:rsidR="000B0C76" w:rsidRPr="00505987" w14:paraId="07FC45FC" w14:textId="77777777" w:rsidTr="00221500">
        <w:trPr>
          <w:trHeight w:val="300"/>
        </w:trPr>
        <w:tc>
          <w:tcPr>
            <w:tcW w:w="0" w:type="auto"/>
            <w:shd w:val="clear" w:color="auto" w:fill="auto"/>
            <w:noWrap/>
            <w:vAlign w:val="bottom"/>
            <w:hideMark/>
          </w:tcPr>
          <w:p w14:paraId="747A2680"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г Нововоронеж</w:t>
            </w:r>
          </w:p>
        </w:tc>
        <w:tc>
          <w:tcPr>
            <w:tcW w:w="0" w:type="auto"/>
            <w:shd w:val="clear" w:color="auto" w:fill="auto"/>
            <w:noWrap/>
            <w:vAlign w:val="bottom"/>
            <w:hideMark/>
          </w:tcPr>
          <w:p w14:paraId="0D23F0CB"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716,56</w:t>
            </w:r>
          </w:p>
        </w:tc>
        <w:tc>
          <w:tcPr>
            <w:tcW w:w="0" w:type="auto"/>
            <w:shd w:val="clear" w:color="auto" w:fill="auto"/>
            <w:noWrap/>
            <w:vAlign w:val="bottom"/>
            <w:hideMark/>
          </w:tcPr>
          <w:p w14:paraId="36D94BA0"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1 404,90</w:t>
            </w:r>
          </w:p>
        </w:tc>
        <w:tc>
          <w:tcPr>
            <w:tcW w:w="0" w:type="auto"/>
            <w:shd w:val="clear" w:color="auto" w:fill="auto"/>
            <w:noWrap/>
            <w:vAlign w:val="bottom"/>
            <w:hideMark/>
          </w:tcPr>
          <w:p w14:paraId="49371596"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3 362,85</w:t>
            </w:r>
          </w:p>
        </w:tc>
        <w:tc>
          <w:tcPr>
            <w:tcW w:w="0" w:type="auto"/>
            <w:shd w:val="clear" w:color="auto" w:fill="auto"/>
            <w:noWrap/>
            <w:vAlign w:val="bottom"/>
            <w:hideMark/>
          </w:tcPr>
          <w:p w14:paraId="6143FAE0"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w:t>
            </w:r>
          </w:p>
        </w:tc>
      </w:tr>
      <w:tr w:rsidR="000B0C76" w:rsidRPr="00505987" w14:paraId="3C1F8EFC" w14:textId="77777777" w:rsidTr="00221500">
        <w:trPr>
          <w:trHeight w:val="300"/>
        </w:trPr>
        <w:tc>
          <w:tcPr>
            <w:tcW w:w="0" w:type="auto"/>
            <w:shd w:val="clear" w:color="auto" w:fill="auto"/>
            <w:noWrap/>
            <w:vAlign w:val="bottom"/>
            <w:hideMark/>
          </w:tcPr>
          <w:p w14:paraId="74158985"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г Острогожск</w:t>
            </w:r>
          </w:p>
        </w:tc>
        <w:tc>
          <w:tcPr>
            <w:tcW w:w="0" w:type="auto"/>
            <w:shd w:val="clear" w:color="auto" w:fill="auto"/>
            <w:noWrap/>
            <w:vAlign w:val="bottom"/>
            <w:hideMark/>
          </w:tcPr>
          <w:p w14:paraId="79499D43"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734,68</w:t>
            </w:r>
          </w:p>
        </w:tc>
        <w:tc>
          <w:tcPr>
            <w:tcW w:w="0" w:type="auto"/>
            <w:shd w:val="clear" w:color="auto" w:fill="auto"/>
            <w:noWrap/>
            <w:vAlign w:val="bottom"/>
            <w:hideMark/>
          </w:tcPr>
          <w:p w14:paraId="18230D8D"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1 865,11</w:t>
            </w:r>
          </w:p>
        </w:tc>
        <w:tc>
          <w:tcPr>
            <w:tcW w:w="0" w:type="auto"/>
            <w:shd w:val="clear" w:color="auto" w:fill="auto"/>
            <w:noWrap/>
            <w:vAlign w:val="bottom"/>
            <w:hideMark/>
          </w:tcPr>
          <w:p w14:paraId="13CB9798"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3 323,57</w:t>
            </w:r>
          </w:p>
        </w:tc>
        <w:tc>
          <w:tcPr>
            <w:tcW w:w="0" w:type="auto"/>
            <w:shd w:val="clear" w:color="auto" w:fill="auto"/>
            <w:noWrap/>
            <w:vAlign w:val="bottom"/>
            <w:hideMark/>
          </w:tcPr>
          <w:p w14:paraId="04834CA2"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w:t>
            </w:r>
          </w:p>
        </w:tc>
      </w:tr>
      <w:tr w:rsidR="000B0C76" w:rsidRPr="00505987" w14:paraId="7D4C3B17" w14:textId="77777777" w:rsidTr="00221500">
        <w:trPr>
          <w:trHeight w:val="300"/>
        </w:trPr>
        <w:tc>
          <w:tcPr>
            <w:tcW w:w="0" w:type="auto"/>
            <w:shd w:val="clear" w:color="auto" w:fill="auto"/>
            <w:noWrap/>
            <w:vAlign w:val="bottom"/>
            <w:hideMark/>
          </w:tcPr>
          <w:p w14:paraId="21BD32DD"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рп Ольховатка</w:t>
            </w:r>
          </w:p>
        </w:tc>
        <w:tc>
          <w:tcPr>
            <w:tcW w:w="0" w:type="auto"/>
            <w:shd w:val="clear" w:color="auto" w:fill="auto"/>
            <w:noWrap/>
            <w:vAlign w:val="bottom"/>
            <w:hideMark/>
          </w:tcPr>
          <w:p w14:paraId="72550F8A"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754,54</w:t>
            </w:r>
          </w:p>
        </w:tc>
        <w:tc>
          <w:tcPr>
            <w:tcW w:w="0" w:type="auto"/>
            <w:shd w:val="clear" w:color="auto" w:fill="auto"/>
            <w:noWrap/>
            <w:vAlign w:val="bottom"/>
            <w:hideMark/>
          </w:tcPr>
          <w:p w14:paraId="4442175F"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1 610,32</w:t>
            </w:r>
          </w:p>
        </w:tc>
        <w:tc>
          <w:tcPr>
            <w:tcW w:w="0" w:type="auto"/>
            <w:shd w:val="clear" w:color="auto" w:fill="auto"/>
            <w:noWrap/>
            <w:vAlign w:val="bottom"/>
            <w:hideMark/>
          </w:tcPr>
          <w:p w14:paraId="36876344"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3 266,66</w:t>
            </w:r>
          </w:p>
        </w:tc>
        <w:tc>
          <w:tcPr>
            <w:tcW w:w="0" w:type="auto"/>
            <w:shd w:val="clear" w:color="auto" w:fill="auto"/>
            <w:noWrap/>
            <w:vAlign w:val="bottom"/>
            <w:hideMark/>
          </w:tcPr>
          <w:p w14:paraId="02F7F3AF"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w:t>
            </w:r>
          </w:p>
        </w:tc>
      </w:tr>
      <w:tr w:rsidR="000B0C76" w:rsidRPr="00505987" w14:paraId="67BDA9F6" w14:textId="77777777" w:rsidTr="00221500">
        <w:trPr>
          <w:trHeight w:val="300"/>
        </w:trPr>
        <w:tc>
          <w:tcPr>
            <w:tcW w:w="0" w:type="auto"/>
            <w:shd w:val="clear" w:color="auto" w:fill="auto"/>
            <w:noWrap/>
            <w:vAlign w:val="bottom"/>
            <w:hideMark/>
          </w:tcPr>
          <w:p w14:paraId="7083DC3D"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г Бобров</w:t>
            </w:r>
          </w:p>
        </w:tc>
        <w:tc>
          <w:tcPr>
            <w:tcW w:w="0" w:type="auto"/>
            <w:shd w:val="clear" w:color="auto" w:fill="auto"/>
            <w:noWrap/>
            <w:vAlign w:val="bottom"/>
            <w:hideMark/>
          </w:tcPr>
          <w:p w14:paraId="0DA4FCE2"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721,43</w:t>
            </w:r>
          </w:p>
        </w:tc>
        <w:tc>
          <w:tcPr>
            <w:tcW w:w="0" w:type="auto"/>
            <w:shd w:val="clear" w:color="auto" w:fill="auto"/>
            <w:noWrap/>
            <w:vAlign w:val="bottom"/>
            <w:hideMark/>
          </w:tcPr>
          <w:p w14:paraId="0D863329"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1 845,26</w:t>
            </w:r>
          </w:p>
        </w:tc>
        <w:tc>
          <w:tcPr>
            <w:tcW w:w="0" w:type="auto"/>
            <w:shd w:val="clear" w:color="auto" w:fill="auto"/>
            <w:noWrap/>
            <w:vAlign w:val="bottom"/>
            <w:hideMark/>
          </w:tcPr>
          <w:p w14:paraId="70656330"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3 256,43</w:t>
            </w:r>
          </w:p>
        </w:tc>
        <w:tc>
          <w:tcPr>
            <w:tcW w:w="0" w:type="auto"/>
            <w:shd w:val="clear" w:color="auto" w:fill="auto"/>
            <w:noWrap/>
            <w:vAlign w:val="bottom"/>
            <w:hideMark/>
          </w:tcPr>
          <w:p w14:paraId="7C9B2A96"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w:t>
            </w:r>
          </w:p>
        </w:tc>
      </w:tr>
      <w:tr w:rsidR="000B0C76" w:rsidRPr="00505987" w14:paraId="5B8E1BCF" w14:textId="77777777" w:rsidTr="00221500">
        <w:trPr>
          <w:trHeight w:val="300"/>
        </w:trPr>
        <w:tc>
          <w:tcPr>
            <w:tcW w:w="0" w:type="auto"/>
            <w:shd w:val="clear" w:color="auto" w:fill="auto"/>
            <w:noWrap/>
            <w:vAlign w:val="bottom"/>
            <w:hideMark/>
          </w:tcPr>
          <w:p w14:paraId="722E2ABD"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рп Рамонь</w:t>
            </w:r>
          </w:p>
        </w:tc>
        <w:tc>
          <w:tcPr>
            <w:tcW w:w="0" w:type="auto"/>
            <w:shd w:val="clear" w:color="auto" w:fill="auto"/>
            <w:noWrap/>
            <w:vAlign w:val="bottom"/>
            <w:hideMark/>
          </w:tcPr>
          <w:p w14:paraId="702A95D5"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746,15</w:t>
            </w:r>
          </w:p>
        </w:tc>
        <w:tc>
          <w:tcPr>
            <w:tcW w:w="0" w:type="auto"/>
            <w:shd w:val="clear" w:color="auto" w:fill="auto"/>
            <w:noWrap/>
            <w:vAlign w:val="bottom"/>
            <w:hideMark/>
          </w:tcPr>
          <w:p w14:paraId="2CC31247"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1 568,32</w:t>
            </w:r>
          </w:p>
        </w:tc>
        <w:tc>
          <w:tcPr>
            <w:tcW w:w="0" w:type="auto"/>
            <w:shd w:val="clear" w:color="auto" w:fill="auto"/>
            <w:noWrap/>
            <w:vAlign w:val="bottom"/>
            <w:hideMark/>
          </w:tcPr>
          <w:p w14:paraId="52A0F80C"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3 233,33</w:t>
            </w:r>
          </w:p>
        </w:tc>
        <w:tc>
          <w:tcPr>
            <w:tcW w:w="0" w:type="auto"/>
            <w:shd w:val="clear" w:color="auto" w:fill="auto"/>
            <w:noWrap/>
            <w:vAlign w:val="bottom"/>
            <w:hideMark/>
          </w:tcPr>
          <w:p w14:paraId="0458BE6D"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w:t>
            </w:r>
          </w:p>
        </w:tc>
      </w:tr>
      <w:tr w:rsidR="000B0C76" w:rsidRPr="00505987" w14:paraId="2F2B4574" w14:textId="77777777" w:rsidTr="00221500">
        <w:trPr>
          <w:trHeight w:val="300"/>
        </w:trPr>
        <w:tc>
          <w:tcPr>
            <w:tcW w:w="0" w:type="auto"/>
            <w:shd w:val="clear" w:color="auto" w:fill="auto"/>
            <w:noWrap/>
            <w:vAlign w:val="bottom"/>
            <w:hideMark/>
          </w:tcPr>
          <w:p w14:paraId="75CDC796"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пгт Анна</w:t>
            </w:r>
          </w:p>
        </w:tc>
        <w:tc>
          <w:tcPr>
            <w:tcW w:w="0" w:type="auto"/>
            <w:shd w:val="clear" w:color="auto" w:fill="auto"/>
            <w:noWrap/>
            <w:vAlign w:val="bottom"/>
            <w:hideMark/>
          </w:tcPr>
          <w:p w14:paraId="726EBB34"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808</w:t>
            </w:r>
          </w:p>
        </w:tc>
        <w:tc>
          <w:tcPr>
            <w:tcW w:w="0" w:type="auto"/>
            <w:shd w:val="clear" w:color="auto" w:fill="auto"/>
            <w:noWrap/>
            <w:vAlign w:val="bottom"/>
            <w:hideMark/>
          </w:tcPr>
          <w:p w14:paraId="1D10A185"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1 534,57</w:t>
            </w:r>
          </w:p>
        </w:tc>
        <w:tc>
          <w:tcPr>
            <w:tcW w:w="0" w:type="auto"/>
            <w:shd w:val="clear" w:color="auto" w:fill="auto"/>
            <w:noWrap/>
            <w:vAlign w:val="bottom"/>
            <w:hideMark/>
          </w:tcPr>
          <w:p w14:paraId="221126E3"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3 172,50</w:t>
            </w:r>
          </w:p>
        </w:tc>
        <w:tc>
          <w:tcPr>
            <w:tcW w:w="0" w:type="auto"/>
            <w:shd w:val="clear" w:color="auto" w:fill="auto"/>
            <w:noWrap/>
            <w:vAlign w:val="bottom"/>
            <w:hideMark/>
          </w:tcPr>
          <w:p w14:paraId="070D9574"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w:t>
            </w:r>
          </w:p>
        </w:tc>
      </w:tr>
      <w:tr w:rsidR="000B0C76" w:rsidRPr="00505987" w14:paraId="5D913C20" w14:textId="77777777" w:rsidTr="00221500">
        <w:trPr>
          <w:trHeight w:val="300"/>
        </w:trPr>
        <w:tc>
          <w:tcPr>
            <w:tcW w:w="0" w:type="auto"/>
            <w:shd w:val="clear" w:color="auto" w:fill="auto"/>
            <w:noWrap/>
            <w:vAlign w:val="bottom"/>
            <w:hideMark/>
          </w:tcPr>
          <w:p w14:paraId="2A144377"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рп Таловая</w:t>
            </w:r>
          </w:p>
        </w:tc>
        <w:tc>
          <w:tcPr>
            <w:tcW w:w="0" w:type="auto"/>
            <w:shd w:val="clear" w:color="auto" w:fill="auto"/>
            <w:noWrap/>
            <w:vAlign w:val="bottom"/>
            <w:hideMark/>
          </w:tcPr>
          <w:p w14:paraId="666CFB47"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767,67</w:t>
            </w:r>
          </w:p>
        </w:tc>
        <w:tc>
          <w:tcPr>
            <w:tcW w:w="0" w:type="auto"/>
            <w:shd w:val="clear" w:color="auto" w:fill="auto"/>
            <w:noWrap/>
            <w:vAlign w:val="bottom"/>
            <w:hideMark/>
          </w:tcPr>
          <w:p w14:paraId="7DF0C4D5"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1 548,45</w:t>
            </w:r>
          </w:p>
        </w:tc>
        <w:tc>
          <w:tcPr>
            <w:tcW w:w="0" w:type="auto"/>
            <w:shd w:val="clear" w:color="auto" w:fill="auto"/>
            <w:noWrap/>
            <w:vAlign w:val="bottom"/>
            <w:hideMark/>
          </w:tcPr>
          <w:p w14:paraId="18BC0AC1"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2 940,00</w:t>
            </w:r>
          </w:p>
        </w:tc>
        <w:tc>
          <w:tcPr>
            <w:tcW w:w="0" w:type="auto"/>
            <w:shd w:val="clear" w:color="auto" w:fill="auto"/>
            <w:noWrap/>
            <w:vAlign w:val="bottom"/>
            <w:hideMark/>
          </w:tcPr>
          <w:p w14:paraId="00F54CD5"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w:t>
            </w:r>
          </w:p>
        </w:tc>
      </w:tr>
      <w:tr w:rsidR="000B0C76" w:rsidRPr="00505987" w14:paraId="091C31B8" w14:textId="77777777" w:rsidTr="00221500">
        <w:trPr>
          <w:trHeight w:val="300"/>
        </w:trPr>
        <w:tc>
          <w:tcPr>
            <w:tcW w:w="0" w:type="auto"/>
            <w:shd w:val="clear" w:color="auto" w:fill="auto"/>
            <w:noWrap/>
            <w:vAlign w:val="bottom"/>
            <w:hideMark/>
          </w:tcPr>
          <w:p w14:paraId="27BC9309"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г Поворино</w:t>
            </w:r>
          </w:p>
        </w:tc>
        <w:tc>
          <w:tcPr>
            <w:tcW w:w="0" w:type="auto"/>
            <w:shd w:val="clear" w:color="auto" w:fill="auto"/>
            <w:noWrap/>
            <w:vAlign w:val="bottom"/>
            <w:hideMark/>
          </w:tcPr>
          <w:p w14:paraId="0861856F"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756,11</w:t>
            </w:r>
          </w:p>
        </w:tc>
        <w:tc>
          <w:tcPr>
            <w:tcW w:w="0" w:type="auto"/>
            <w:shd w:val="clear" w:color="auto" w:fill="auto"/>
            <w:noWrap/>
            <w:vAlign w:val="bottom"/>
            <w:hideMark/>
          </w:tcPr>
          <w:p w14:paraId="2048998A"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1 272,15</w:t>
            </w:r>
          </w:p>
        </w:tc>
        <w:tc>
          <w:tcPr>
            <w:tcW w:w="0" w:type="auto"/>
            <w:shd w:val="clear" w:color="auto" w:fill="auto"/>
            <w:noWrap/>
            <w:vAlign w:val="bottom"/>
            <w:hideMark/>
          </w:tcPr>
          <w:p w14:paraId="1C370F0A"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2 895,46</w:t>
            </w:r>
          </w:p>
        </w:tc>
        <w:tc>
          <w:tcPr>
            <w:tcW w:w="0" w:type="auto"/>
            <w:shd w:val="clear" w:color="auto" w:fill="auto"/>
            <w:noWrap/>
            <w:vAlign w:val="bottom"/>
            <w:hideMark/>
          </w:tcPr>
          <w:p w14:paraId="0748A630"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w:t>
            </w:r>
          </w:p>
        </w:tc>
      </w:tr>
      <w:tr w:rsidR="000B0C76" w:rsidRPr="00505987" w14:paraId="33381EA0" w14:textId="77777777" w:rsidTr="00221500">
        <w:trPr>
          <w:trHeight w:val="300"/>
        </w:trPr>
        <w:tc>
          <w:tcPr>
            <w:tcW w:w="0" w:type="auto"/>
            <w:shd w:val="clear" w:color="auto" w:fill="auto"/>
            <w:noWrap/>
            <w:vAlign w:val="bottom"/>
            <w:hideMark/>
          </w:tcPr>
          <w:p w14:paraId="19AC0EC0"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рп Хохольский</w:t>
            </w:r>
          </w:p>
        </w:tc>
        <w:tc>
          <w:tcPr>
            <w:tcW w:w="0" w:type="auto"/>
            <w:shd w:val="clear" w:color="auto" w:fill="auto"/>
            <w:noWrap/>
            <w:vAlign w:val="bottom"/>
            <w:hideMark/>
          </w:tcPr>
          <w:p w14:paraId="78BEAA59"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727,26</w:t>
            </w:r>
          </w:p>
        </w:tc>
        <w:tc>
          <w:tcPr>
            <w:tcW w:w="0" w:type="auto"/>
            <w:shd w:val="clear" w:color="auto" w:fill="auto"/>
            <w:noWrap/>
            <w:vAlign w:val="bottom"/>
            <w:hideMark/>
          </w:tcPr>
          <w:p w14:paraId="459A06ED"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1 604,20</w:t>
            </w:r>
          </w:p>
        </w:tc>
        <w:tc>
          <w:tcPr>
            <w:tcW w:w="0" w:type="auto"/>
            <w:shd w:val="clear" w:color="auto" w:fill="auto"/>
            <w:noWrap/>
            <w:vAlign w:val="bottom"/>
            <w:hideMark/>
          </w:tcPr>
          <w:p w14:paraId="41088FD5"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2 800,00</w:t>
            </w:r>
          </w:p>
        </w:tc>
        <w:tc>
          <w:tcPr>
            <w:tcW w:w="0" w:type="auto"/>
            <w:shd w:val="clear" w:color="auto" w:fill="auto"/>
            <w:noWrap/>
            <w:vAlign w:val="bottom"/>
            <w:hideMark/>
          </w:tcPr>
          <w:p w14:paraId="0082C123"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w:t>
            </w:r>
          </w:p>
        </w:tc>
      </w:tr>
      <w:tr w:rsidR="000B0C76" w:rsidRPr="00505987" w14:paraId="64604BEF" w14:textId="77777777" w:rsidTr="00221500">
        <w:trPr>
          <w:trHeight w:val="300"/>
        </w:trPr>
        <w:tc>
          <w:tcPr>
            <w:tcW w:w="0" w:type="auto"/>
            <w:shd w:val="clear" w:color="auto" w:fill="auto"/>
            <w:noWrap/>
            <w:vAlign w:val="bottom"/>
            <w:hideMark/>
          </w:tcPr>
          <w:p w14:paraId="0AFBC1D6"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г Бутурлиновка</w:t>
            </w:r>
          </w:p>
        </w:tc>
        <w:tc>
          <w:tcPr>
            <w:tcW w:w="0" w:type="auto"/>
            <w:shd w:val="clear" w:color="auto" w:fill="auto"/>
            <w:noWrap/>
            <w:vAlign w:val="bottom"/>
            <w:hideMark/>
          </w:tcPr>
          <w:p w14:paraId="7747E852"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808,33</w:t>
            </w:r>
          </w:p>
        </w:tc>
        <w:tc>
          <w:tcPr>
            <w:tcW w:w="0" w:type="auto"/>
            <w:shd w:val="clear" w:color="auto" w:fill="auto"/>
            <w:noWrap/>
            <w:vAlign w:val="bottom"/>
            <w:hideMark/>
          </w:tcPr>
          <w:p w14:paraId="1CA8957A"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1 771,51</w:t>
            </w:r>
          </w:p>
        </w:tc>
        <w:tc>
          <w:tcPr>
            <w:tcW w:w="0" w:type="auto"/>
            <w:shd w:val="clear" w:color="auto" w:fill="auto"/>
            <w:noWrap/>
            <w:vAlign w:val="bottom"/>
            <w:hideMark/>
          </w:tcPr>
          <w:p w14:paraId="0A7B38F9"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2 791,80</w:t>
            </w:r>
          </w:p>
        </w:tc>
        <w:tc>
          <w:tcPr>
            <w:tcW w:w="0" w:type="auto"/>
            <w:shd w:val="clear" w:color="auto" w:fill="auto"/>
            <w:noWrap/>
            <w:vAlign w:val="bottom"/>
            <w:hideMark/>
          </w:tcPr>
          <w:p w14:paraId="34455F28"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w:t>
            </w:r>
          </w:p>
        </w:tc>
      </w:tr>
      <w:tr w:rsidR="000B0C76" w:rsidRPr="00505987" w14:paraId="652184B4" w14:textId="77777777" w:rsidTr="00221500">
        <w:trPr>
          <w:trHeight w:val="300"/>
        </w:trPr>
        <w:tc>
          <w:tcPr>
            <w:tcW w:w="0" w:type="auto"/>
            <w:shd w:val="clear" w:color="auto" w:fill="auto"/>
            <w:noWrap/>
            <w:vAlign w:val="bottom"/>
            <w:hideMark/>
          </w:tcPr>
          <w:p w14:paraId="5D4DF7D3"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пгт Грибановский</w:t>
            </w:r>
          </w:p>
        </w:tc>
        <w:tc>
          <w:tcPr>
            <w:tcW w:w="0" w:type="auto"/>
            <w:shd w:val="clear" w:color="auto" w:fill="auto"/>
            <w:noWrap/>
            <w:vAlign w:val="bottom"/>
            <w:hideMark/>
          </w:tcPr>
          <w:p w14:paraId="132937FD"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787,69</w:t>
            </w:r>
          </w:p>
        </w:tc>
        <w:tc>
          <w:tcPr>
            <w:tcW w:w="0" w:type="auto"/>
            <w:shd w:val="clear" w:color="auto" w:fill="auto"/>
            <w:noWrap/>
            <w:vAlign w:val="bottom"/>
            <w:hideMark/>
          </w:tcPr>
          <w:p w14:paraId="2F55B2B0"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1 297,11</w:t>
            </w:r>
          </w:p>
        </w:tc>
        <w:tc>
          <w:tcPr>
            <w:tcW w:w="0" w:type="auto"/>
            <w:shd w:val="clear" w:color="auto" w:fill="auto"/>
            <w:noWrap/>
            <w:vAlign w:val="bottom"/>
            <w:hideMark/>
          </w:tcPr>
          <w:p w14:paraId="05B4D23F"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2 279,50</w:t>
            </w:r>
          </w:p>
        </w:tc>
        <w:tc>
          <w:tcPr>
            <w:tcW w:w="0" w:type="auto"/>
            <w:shd w:val="clear" w:color="auto" w:fill="auto"/>
            <w:noWrap/>
            <w:vAlign w:val="bottom"/>
            <w:hideMark/>
          </w:tcPr>
          <w:p w14:paraId="04F2793B"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w:t>
            </w:r>
          </w:p>
        </w:tc>
      </w:tr>
      <w:tr w:rsidR="000B0C76" w:rsidRPr="00505987" w14:paraId="2942DFE3" w14:textId="77777777" w:rsidTr="00221500">
        <w:trPr>
          <w:trHeight w:val="300"/>
        </w:trPr>
        <w:tc>
          <w:tcPr>
            <w:tcW w:w="0" w:type="auto"/>
            <w:shd w:val="clear" w:color="auto" w:fill="auto"/>
            <w:noWrap/>
            <w:vAlign w:val="bottom"/>
            <w:hideMark/>
          </w:tcPr>
          <w:p w14:paraId="51ECD70A"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г Калач</w:t>
            </w:r>
          </w:p>
        </w:tc>
        <w:tc>
          <w:tcPr>
            <w:tcW w:w="0" w:type="auto"/>
            <w:shd w:val="clear" w:color="auto" w:fill="auto"/>
            <w:noWrap/>
            <w:vAlign w:val="bottom"/>
            <w:hideMark/>
          </w:tcPr>
          <w:p w14:paraId="060278D2"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709,18</w:t>
            </w:r>
          </w:p>
        </w:tc>
        <w:tc>
          <w:tcPr>
            <w:tcW w:w="0" w:type="auto"/>
            <w:shd w:val="clear" w:color="auto" w:fill="auto"/>
            <w:noWrap/>
            <w:vAlign w:val="bottom"/>
            <w:hideMark/>
          </w:tcPr>
          <w:p w14:paraId="27E1D021"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1 361,20</w:t>
            </w:r>
          </w:p>
        </w:tc>
        <w:tc>
          <w:tcPr>
            <w:tcW w:w="0" w:type="auto"/>
            <w:shd w:val="clear" w:color="auto" w:fill="auto"/>
            <w:noWrap/>
            <w:vAlign w:val="bottom"/>
            <w:hideMark/>
          </w:tcPr>
          <w:p w14:paraId="1CFA528A"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2 115,00</w:t>
            </w:r>
          </w:p>
        </w:tc>
        <w:tc>
          <w:tcPr>
            <w:tcW w:w="0" w:type="auto"/>
            <w:shd w:val="clear" w:color="auto" w:fill="auto"/>
            <w:noWrap/>
            <w:vAlign w:val="bottom"/>
            <w:hideMark/>
          </w:tcPr>
          <w:p w14:paraId="4A3D35B9"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w:t>
            </w:r>
          </w:p>
        </w:tc>
      </w:tr>
      <w:tr w:rsidR="000B0C76" w:rsidRPr="00505987" w14:paraId="30AE15D3" w14:textId="77777777" w:rsidTr="00221500">
        <w:trPr>
          <w:trHeight w:val="300"/>
        </w:trPr>
        <w:tc>
          <w:tcPr>
            <w:tcW w:w="0" w:type="auto"/>
            <w:shd w:val="clear" w:color="auto" w:fill="auto"/>
            <w:noWrap/>
            <w:vAlign w:val="bottom"/>
            <w:hideMark/>
          </w:tcPr>
          <w:p w14:paraId="0593CD9A"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рп Латная</w:t>
            </w:r>
          </w:p>
        </w:tc>
        <w:tc>
          <w:tcPr>
            <w:tcW w:w="0" w:type="auto"/>
            <w:shd w:val="clear" w:color="auto" w:fill="auto"/>
            <w:noWrap/>
            <w:vAlign w:val="bottom"/>
            <w:hideMark/>
          </w:tcPr>
          <w:p w14:paraId="12434106"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798,72</w:t>
            </w:r>
          </w:p>
        </w:tc>
        <w:tc>
          <w:tcPr>
            <w:tcW w:w="0" w:type="auto"/>
            <w:shd w:val="clear" w:color="auto" w:fill="auto"/>
            <w:noWrap/>
            <w:vAlign w:val="bottom"/>
            <w:hideMark/>
          </w:tcPr>
          <w:p w14:paraId="39223FDF"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1 128,80</w:t>
            </w:r>
          </w:p>
        </w:tc>
        <w:tc>
          <w:tcPr>
            <w:tcW w:w="0" w:type="auto"/>
            <w:shd w:val="clear" w:color="auto" w:fill="auto"/>
            <w:noWrap/>
            <w:vAlign w:val="bottom"/>
            <w:hideMark/>
          </w:tcPr>
          <w:p w14:paraId="71F92CCB"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2 041,66</w:t>
            </w:r>
          </w:p>
        </w:tc>
        <w:tc>
          <w:tcPr>
            <w:tcW w:w="0" w:type="auto"/>
            <w:shd w:val="clear" w:color="auto" w:fill="auto"/>
            <w:noWrap/>
            <w:vAlign w:val="bottom"/>
            <w:hideMark/>
          </w:tcPr>
          <w:p w14:paraId="7F385F54"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w:t>
            </w:r>
          </w:p>
        </w:tc>
      </w:tr>
      <w:tr w:rsidR="000B0C76" w:rsidRPr="00505987" w14:paraId="14C6AFFC" w14:textId="77777777" w:rsidTr="00221500">
        <w:trPr>
          <w:trHeight w:val="300"/>
        </w:trPr>
        <w:tc>
          <w:tcPr>
            <w:tcW w:w="0" w:type="auto"/>
            <w:shd w:val="clear" w:color="auto" w:fill="auto"/>
            <w:noWrap/>
            <w:vAlign w:val="bottom"/>
            <w:hideMark/>
          </w:tcPr>
          <w:p w14:paraId="21880051"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пгт Каменка</w:t>
            </w:r>
          </w:p>
        </w:tc>
        <w:tc>
          <w:tcPr>
            <w:tcW w:w="0" w:type="auto"/>
            <w:shd w:val="clear" w:color="auto" w:fill="auto"/>
            <w:noWrap/>
            <w:vAlign w:val="bottom"/>
            <w:hideMark/>
          </w:tcPr>
          <w:p w14:paraId="7980F3E5"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700</w:t>
            </w:r>
          </w:p>
        </w:tc>
        <w:tc>
          <w:tcPr>
            <w:tcW w:w="0" w:type="auto"/>
            <w:shd w:val="clear" w:color="auto" w:fill="auto"/>
            <w:noWrap/>
            <w:vAlign w:val="bottom"/>
            <w:hideMark/>
          </w:tcPr>
          <w:p w14:paraId="63199B8A"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1 293,05</w:t>
            </w:r>
          </w:p>
        </w:tc>
        <w:tc>
          <w:tcPr>
            <w:tcW w:w="0" w:type="auto"/>
            <w:shd w:val="clear" w:color="auto" w:fill="auto"/>
            <w:noWrap/>
            <w:vAlign w:val="bottom"/>
            <w:hideMark/>
          </w:tcPr>
          <w:p w14:paraId="6870E701"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2 033,87</w:t>
            </w:r>
          </w:p>
        </w:tc>
        <w:tc>
          <w:tcPr>
            <w:tcW w:w="0" w:type="auto"/>
            <w:shd w:val="clear" w:color="auto" w:fill="auto"/>
            <w:noWrap/>
            <w:vAlign w:val="bottom"/>
            <w:hideMark/>
          </w:tcPr>
          <w:p w14:paraId="4E5B0474"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w:t>
            </w:r>
          </w:p>
        </w:tc>
      </w:tr>
      <w:tr w:rsidR="000B0C76" w:rsidRPr="00505987" w14:paraId="139D27C3" w14:textId="77777777" w:rsidTr="00221500">
        <w:trPr>
          <w:trHeight w:val="300"/>
        </w:trPr>
        <w:tc>
          <w:tcPr>
            <w:tcW w:w="0" w:type="auto"/>
            <w:shd w:val="clear" w:color="auto" w:fill="auto"/>
            <w:noWrap/>
            <w:vAlign w:val="bottom"/>
            <w:hideMark/>
          </w:tcPr>
          <w:p w14:paraId="255A01DB"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рп Стрелица</w:t>
            </w:r>
          </w:p>
        </w:tc>
        <w:tc>
          <w:tcPr>
            <w:tcW w:w="0" w:type="auto"/>
            <w:shd w:val="clear" w:color="auto" w:fill="auto"/>
            <w:noWrap/>
            <w:vAlign w:val="bottom"/>
            <w:hideMark/>
          </w:tcPr>
          <w:p w14:paraId="090607F4"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856,41</w:t>
            </w:r>
          </w:p>
        </w:tc>
        <w:tc>
          <w:tcPr>
            <w:tcW w:w="0" w:type="auto"/>
            <w:shd w:val="clear" w:color="auto" w:fill="auto"/>
            <w:noWrap/>
            <w:vAlign w:val="bottom"/>
            <w:hideMark/>
          </w:tcPr>
          <w:p w14:paraId="476BC381"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1 292,55</w:t>
            </w:r>
          </w:p>
        </w:tc>
        <w:tc>
          <w:tcPr>
            <w:tcW w:w="0" w:type="auto"/>
            <w:shd w:val="clear" w:color="auto" w:fill="auto"/>
            <w:noWrap/>
            <w:vAlign w:val="bottom"/>
            <w:hideMark/>
          </w:tcPr>
          <w:p w14:paraId="0C37F79F"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1 977,52</w:t>
            </w:r>
          </w:p>
        </w:tc>
        <w:tc>
          <w:tcPr>
            <w:tcW w:w="0" w:type="auto"/>
            <w:shd w:val="clear" w:color="auto" w:fill="auto"/>
            <w:noWrap/>
            <w:vAlign w:val="bottom"/>
            <w:hideMark/>
          </w:tcPr>
          <w:p w14:paraId="5A233460"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w:t>
            </w:r>
          </w:p>
        </w:tc>
      </w:tr>
      <w:tr w:rsidR="000B0C76" w:rsidRPr="00505987" w14:paraId="457178A3" w14:textId="77777777" w:rsidTr="00221500">
        <w:trPr>
          <w:trHeight w:val="300"/>
        </w:trPr>
        <w:tc>
          <w:tcPr>
            <w:tcW w:w="0" w:type="auto"/>
            <w:shd w:val="clear" w:color="auto" w:fill="auto"/>
            <w:noWrap/>
            <w:vAlign w:val="bottom"/>
            <w:hideMark/>
          </w:tcPr>
          <w:p w14:paraId="0F0B1200"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г Эртиль</w:t>
            </w:r>
          </w:p>
        </w:tc>
        <w:tc>
          <w:tcPr>
            <w:tcW w:w="0" w:type="auto"/>
            <w:shd w:val="clear" w:color="auto" w:fill="auto"/>
            <w:noWrap/>
            <w:vAlign w:val="bottom"/>
            <w:hideMark/>
          </w:tcPr>
          <w:p w14:paraId="36BE3948"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729,44</w:t>
            </w:r>
          </w:p>
        </w:tc>
        <w:tc>
          <w:tcPr>
            <w:tcW w:w="0" w:type="auto"/>
            <w:shd w:val="clear" w:color="auto" w:fill="auto"/>
            <w:noWrap/>
            <w:vAlign w:val="bottom"/>
            <w:hideMark/>
          </w:tcPr>
          <w:p w14:paraId="3AA84A3C"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1 422,00</w:t>
            </w:r>
          </w:p>
        </w:tc>
        <w:tc>
          <w:tcPr>
            <w:tcW w:w="0" w:type="auto"/>
            <w:shd w:val="clear" w:color="auto" w:fill="auto"/>
            <w:noWrap/>
            <w:vAlign w:val="bottom"/>
            <w:hideMark/>
          </w:tcPr>
          <w:p w14:paraId="6534B9C9"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1 950,78</w:t>
            </w:r>
          </w:p>
        </w:tc>
        <w:tc>
          <w:tcPr>
            <w:tcW w:w="0" w:type="auto"/>
            <w:shd w:val="clear" w:color="auto" w:fill="auto"/>
            <w:noWrap/>
            <w:vAlign w:val="bottom"/>
            <w:hideMark/>
          </w:tcPr>
          <w:p w14:paraId="32C833A1"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w:t>
            </w:r>
          </w:p>
        </w:tc>
      </w:tr>
      <w:tr w:rsidR="000B0C76" w:rsidRPr="00505987" w14:paraId="0839D789" w14:textId="77777777" w:rsidTr="00221500">
        <w:trPr>
          <w:trHeight w:val="300"/>
        </w:trPr>
        <w:tc>
          <w:tcPr>
            <w:tcW w:w="0" w:type="auto"/>
            <w:shd w:val="clear" w:color="auto" w:fill="auto"/>
            <w:noWrap/>
            <w:vAlign w:val="bottom"/>
            <w:hideMark/>
          </w:tcPr>
          <w:p w14:paraId="2D2DD431"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рп Панино</w:t>
            </w:r>
          </w:p>
        </w:tc>
        <w:tc>
          <w:tcPr>
            <w:tcW w:w="0" w:type="auto"/>
            <w:shd w:val="clear" w:color="auto" w:fill="auto"/>
            <w:noWrap/>
            <w:vAlign w:val="bottom"/>
            <w:hideMark/>
          </w:tcPr>
          <w:p w14:paraId="52322082"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714,29</w:t>
            </w:r>
          </w:p>
        </w:tc>
        <w:tc>
          <w:tcPr>
            <w:tcW w:w="0" w:type="auto"/>
            <w:shd w:val="clear" w:color="auto" w:fill="auto"/>
            <w:noWrap/>
            <w:vAlign w:val="bottom"/>
            <w:hideMark/>
          </w:tcPr>
          <w:p w14:paraId="68160AB8"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1 300,74</w:t>
            </w:r>
          </w:p>
        </w:tc>
        <w:tc>
          <w:tcPr>
            <w:tcW w:w="0" w:type="auto"/>
            <w:shd w:val="clear" w:color="auto" w:fill="auto"/>
            <w:noWrap/>
            <w:vAlign w:val="bottom"/>
            <w:hideMark/>
          </w:tcPr>
          <w:p w14:paraId="30A61979"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1 818,16</w:t>
            </w:r>
          </w:p>
        </w:tc>
        <w:tc>
          <w:tcPr>
            <w:tcW w:w="0" w:type="auto"/>
            <w:shd w:val="clear" w:color="auto" w:fill="auto"/>
            <w:noWrap/>
            <w:vAlign w:val="bottom"/>
            <w:hideMark/>
          </w:tcPr>
          <w:p w14:paraId="6F2C0E9F"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w:t>
            </w:r>
          </w:p>
        </w:tc>
      </w:tr>
      <w:tr w:rsidR="000B0C76" w:rsidRPr="00505987" w14:paraId="59A57809" w14:textId="77777777" w:rsidTr="00221500">
        <w:trPr>
          <w:trHeight w:val="300"/>
        </w:trPr>
        <w:tc>
          <w:tcPr>
            <w:tcW w:w="0" w:type="auto"/>
            <w:shd w:val="clear" w:color="auto" w:fill="auto"/>
            <w:noWrap/>
            <w:vAlign w:val="bottom"/>
            <w:hideMark/>
          </w:tcPr>
          <w:p w14:paraId="2E0E5A4B"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г Новохоперск</w:t>
            </w:r>
          </w:p>
        </w:tc>
        <w:tc>
          <w:tcPr>
            <w:tcW w:w="0" w:type="auto"/>
            <w:shd w:val="clear" w:color="auto" w:fill="auto"/>
            <w:noWrap/>
            <w:vAlign w:val="bottom"/>
            <w:hideMark/>
          </w:tcPr>
          <w:p w14:paraId="77AAB992"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925,07</w:t>
            </w:r>
          </w:p>
        </w:tc>
        <w:tc>
          <w:tcPr>
            <w:tcW w:w="0" w:type="auto"/>
            <w:shd w:val="clear" w:color="auto" w:fill="auto"/>
            <w:noWrap/>
            <w:vAlign w:val="bottom"/>
            <w:hideMark/>
          </w:tcPr>
          <w:p w14:paraId="6B9E1D6F"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1 257,53</w:t>
            </w:r>
          </w:p>
        </w:tc>
        <w:tc>
          <w:tcPr>
            <w:tcW w:w="0" w:type="auto"/>
            <w:shd w:val="clear" w:color="auto" w:fill="auto"/>
            <w:noWrap/>
            <w:vAlign w:val="bottom"/>
            <w:hideMark/>
          </w:tcPr>
          <w:p w14:paraId="2BDC0DDB"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1 550,06</w:t>
            </w:r>
          </w:p>
        </w:tc>
        <w:tc>
          <w:tcPr>
            <w:tcW w:w="0" w:type="auto"/>
            <w:shd w:val="clear" w:color="auto" w:fill="auto"/>
            <w:noWrap/>
            <w:vAlign w:val="bottom"/>
            <w:hideMark/>
          </w:tcPr>
          <w:p w14:paraId="340C5F01"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w:t>
            </w:r>
          </w:p>
        </w:tc>
      </w:tr>
      <w:tr w:rsidR="000B0C76" w:rsidRPr="00505987" w14:paraId="5E874162" w14:textId="77777777" w:rsidTr="00221500">
        <w:trPr>
          <w:trHeight w:val="300"/>
        </w:trPr>
        <w:tc>
          <w:tcPr>
            <w:tcW w:w="0" w:type="auto"/>
            <w:shd w:val="clear" w:color="auto" w:fill="auto"/>
            <w:noWrap/>
            <w:vAlign w:val="bottom"/>
            <w:hideMark/>
          </w:tcPr>
          <w:p w14:paraId="3BFAE6D5"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рп Новохоперский</w:t>
            </w:r>
          </w:p>
        </w:tc>
        <w:tc>
          <w:tcPr>
            <w:tcW w:w="0" w:type="auto"/>
            <w:shd w:val="clear" w:color="auto" w:fill="auto"/>
            <w:noWrap/>
            <w:vAlign w:val="bottom"/>
            <w:hideMark/>
          </w:tcPr>
          <w:p w14:paraId="237652FF"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718,52</w:t>
            </w:r>
          </w:p>
        </w:tc>
        <w:tc>
          <w:tcPr>
            <w:tcW w:w="0" w:type="auto"/>
            <w:shd w:val="clear" w:color="auto" w:fill="auto"/>
            <w:noWrap/>
            <w:vAlign w:val="bottom"/>
            <w:hideMark/>
          </w:tcPr>
          <w:p w14:paraId="0D5ABD68"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911,64</w:t>
            </w:r>
          </w:p>
        </w:tc>
        <w:tc>
          <w:tcPr>
            <w:tcW w:w="0" w:type="auto"/>
            <w:shd w:val="clear" w:color="auto" w:fill="auto"/>
            <w:noWrap/>
            <w:vAlign w:val="bottom"/>
            <w:hideMark/>
          </w:tcPr>
          <w:p w14:paraId="6D20FE2B"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1364,86</w:t>
            </w:r>
          </w:p>
        </w:tc>
        <w:tc>
          <w:tcPr>
            <w:tcW w:w="0" w:type="auto"/>
            <w:shd w:val="clear" w:color="auto" w:fill="auto"/>
            <w:noWrap/>
            <w:vAlign w:val="bottom"/>
            <w:hideMark/>
          </w:tcPr>
          <w:p w14:paraId="25C3AB16"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w:t>
            </w:r>
          </w:p>
        </w:tc>
      </w:tr>
      <w:tr w:rsidR="000B0C76" w:rsidRPr="00505987" w14:paraId="2FE729D0" w14:textId="77777777" w:rsidTr="00221500">
        <w:trPr>
          <w:trHeight w:val="300"/>
        </w:trPr>
        <w:tc>
          <w:tcPr>
            <w:tcW w:w="0" w:type="auto"/>
            <w:shd w:val="clear" w:color="auto" w:fill="auto"/>
            <w:noWrap/>
            <w:vAlign w:val="bottom"/>
            <w:hideMark/>
          </w:tcPr>
          <w:p w14:paraId="05E43701"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рп Нижний Кисляй</w:t>
            </w:r>
          </w:p>
        </w:tc>
        <w:tc>
          <w:tcPr>
            <w:tcW w:w="0" w:type="auto"/>
            <w:shd w:val="clear" w:color="auto" w:fill="auto"/>
            <w:noWrap/>
            <w:vAlign w:val="bottom"/>
            <w:hideMark/>
          </w:tcPr>
          <w:p w14:paraId="1F1ED225"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765,63</w:t>
            </w:r>
          </w:p>
        </w:tc>
        <w:tc>
          <w:tcPr>
            <w:tcW w:w="0" w:type="auto"/>
            <w:shd w:val="clear" w:color="auto" w:fill="auto"/>
            <w:noWrap/>
            <w:vAlign w:val="bottom"/>
            <w:hideMark/>
          </w:tcPr>
          <w:p w14:paraId="7C70926E"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765,63</w:t>
            </w:r>
          </w:p>
        </w:tc>
        <w:tc>
          <w:tcPr>
            <w:tcW w:w="0" w:type="auto"/>
            <w:shd w:val="clear" w:color="auto" w:fill="auto"/>
            <w:noWrap/>
            <w:vAlign w:val="bottom"/>
            <w:hideMark/>
          </w:tcPr>
          <w:p w14:paraId="05AE809F"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765,63</w:t>
            </w:r>
          </w:p>
        </w:tc>
        <w:tc>
          <w:tcPr>
            <w:tcW w:w="0" w:type="auto"/>
            <w:shd w:val="clear" w:color="auto" w:fill="auto"/>
            <w:noWrap/>
            <w:vAlign w:val="bottom"/>
            <w:hideMark/>
          </w:tcPr>
          <w:p w14:paraId="12891494"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3</w:t>
            </w:r>
          </w:p>
        </w:tc>
      </w:tr>
      <w:tr w:rsidR="000B0C76" w:rsidRPr="00505987" w14:paraId="3CCFD4B9" w14:textId="77777777" w:rsidTr="00221500">
        <w:trPr>
          <w:trHeight w:val="300"/>
        </w:trPr>
        <w:tc>
          <w:tcPr>
            <w:tcW w:w="0" w:type="auto"/>
            <w:shd w:val="clear" w:color="auto" w:fill="auto"/>
            <w:noWrap/>
            <w:vAlign w:val="bottom"/>
            <w:hideMark/>
          </w:tcPr>
          <w:p w14:paraId="523BE54E" w14:textId="77777777" w:rsidR="000B0C76" w:rsidRPr="00505987" w:rsidRDefault="000B0C76" w:rsidP="000B0C76">
            <w:pPr>
              <w:spacing w:after="0" w:line="240" w:lineRule="auto"/>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СНП</w:t>
            </w:r>
          </w:p>
        </w:tc>
        <w:tc>
          <w:tcPr>
            <w:tcW w:w="0" w:type="auto"/>
            <w:shd w:val="clear" w:color="auto" w:fill="auto"/>
            <w:noWrap/>
            <w:vAlign w:val="bottom"/>
            <w:hideMark/>
          </w:tcPr>
          <w:p w14:paraId="5ED8CBE2"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101</w:t>
            </w:r>
          </w:p>
        </w:tc>
        <w:tc>
          <w:tcPr>
            <w:tcW w:w="0" w:type="auto"/>
            <w:shd w:val="clear" w:color="auto" w:fill="auto"/>
            <w:noWrap/>
            <w:vAlign w:val="bottom"/>
            <w:hideMark/>
          </w:tcPr>
          <w:p w14:paraId="3E12822E"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754,89</w:t>
            </w:r>
          </w:p>
        </w:tc>
        <w:tc>
          <w:tcPr>
            <w:tcW w:w="0" w:type="auto"/>
            <w:shd w:val="clear" w:color="auto" w:fill="auto"/>
            <w:noWrap/>
            <w:vAlign w:val="bottom"/>
            <w:hideMark/>
          </w:tcPr>
          <w:p w14:paraId="6718F9D2"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2 084,21</w:t>
            </w:r>
          </w:p>
        </w:tc>
        <w:tc>
          <w:tcPr>
            <w:tcW w:w="0" w:type="auto"/>
            <w:shd w:val="clear" w:color="auto" w:fill="auto"/>
            <w:noWrap/>
            <w:vAlign w:val="bottom"/>
            <w:hideMark/>
          </w:tcPr>
          <w:p w14:paraId="4434E8B2" w14:textId="77777777" w:rsidR="000B0C76" w:rsidRPr="00505987" w:rsidRDefault="000B0C76" w:rsidP="000B0C76">
            <w:pPr>
              <w:spacing w:after="0" w:line="240" w:lineRule="auto"/>
              <w:jc w:val="right"/>
              <w:rPr>
                <w:rFonts w:ascii="Times New Roman" w:eastAsia="Times New Roman" w:hAnsi="Times New Roman" w:cs="Times New Roman"/>
                <w:color w:val="000000"/>
                <w:lang w:eastAsia="ru-RU"/>
              </w:rPr>
            </w:pPr>
            <w:r w:rsidRPr="00505987">
              <w:rPr>
                <w:rFonts w:ascii="Times New Roman" w:eastAsia="Times New Roman" w:hAnsi="Times New Roman" w:cs="Times New Roman"/>
                <w:color w:val="000000"/>
                <w:lang w:eastAsia="ru-RU"/>
              </w:rPr>
              <w:t>4</w:t>
            </w:r>
          </w:p>
        </w:tc>
      </w:tr>
    </w:tbl>
    <w:p w14:paraId="0C2091CE" w14:textId="77777777" w:rsidR="000B0C76" w:rsidRPr="00F562A8" w:rsidRDefault="000B0C76" w:rsidP="000B0C76">
      <w:pPr>
        <w:spacing w:after="0" w:line="276" w:lineRule="auto"/>
        <w:ind w:firstLine="709"/>
        <w:jc w:val="both"/>
        <w:rPr>
          <w:rFonts w:ascii="Times New Roman" w:hAnsi="Times New Roman" w:cs="Times New Roman"/>
          <w:strike/>
          <w:sz w:val="16"/>
          <w:szCs w:val="16"/>
        </w:rPr>
      </w:pPr>
    </w:p>
    <w:p w14:paraId="58864215" w14:textId="77777777" w:rsidR="000B0C76" w:rsidRDefault="000B0C76" w:rsidP="000B0C76">
      <w:pPr>
        <w:spacing w:after="0" w:line="276" w:lineRule="auto"/>
        <w:ind w:firstLine="708"/>
        <w:jc w:val="both"/>
        <w:rPr>
          <w:rFonts w:ascii="Times New Roman" w:hAnsi="Times New Roman" w:cs="Times New Roman"/>
          <w:sz w:val="26"/>
          <w:szCs w:val="26"/>
        </w:rPr>
      </w:pPr>
      <w:r w:rsidRPr="00F562A8">
        <w:rPr>
          <w:rFonts w:ascii="Times New Roman" w:hAnsi="Times New Roman" w:cs="Times New Roman"/>
          <w:sz w:val="26"/>
          <w:szCs w:val="26"/>
        </w:rPr>
        <w:t xml:space="preserve">Руководствуясь проведенным анализом распределения рыночной </w:t>
      </w:r>
      <w:r w:rsidRPr="008E6A59">
        <w:rPr>
          <w:rFonts w:ascii="Times New Roman" w:hAnsi="Times New Roman" w:cs="Times New Roman"/>
          <w:sz w:val="26"/>
          <w:szCs w:val="26"/>
        </w:rPr>
        <w:t xml:space="preserve">информации, в рамках данного сегмента было выделено </w:t>
      </w:r>
      <w:r>
        <w:rPr>
          <w:rFonts w:ascii="Times New Roman" w:hAnsi="Times New Roman" w:cs="Times New Roman"/>
          <w:sz w:val="26"/>
          <w:szCs w:val="26"/>
        </w:rPr>
        <w:t>4</w:t>
      </w:r>
      <w:r w:rsidRPr="008E6A59">
        <w:rPr>
          <w:rFonts w:ascii="Times New Roman" w:hAnsi="Times New Roman" w:cs="Times New Roman"/>
          <w:sz w:val="26"/>
          <w:szCs w:val="26"/>
        </w:rPr>
        <w:t xml:space="preserve"> ценовых зоны</w:t>
      </w:r>
      <w:r>
        <w:rPr>
          <w:rFonts w:ascii="Times New Roman" w:hAnsi="Times New Roman" w:cs="Times New Roman"/>
          <w:sz w:val="26"/>
          <w:szCs w:val="26"/>
        </w:rPr>
        <w:t>:</w:t>
      </w:r>
    </w:p>
    <w:p w14:paraId="31A20CF3" w14:textId="77777777" w:rsidR="000B0C76" w:rsidRDefault="000B0C76" w:rsidP="000B0C76">
      <w:pPr>
        <w:spacing w:after="0" w:line="276" w:lineRule="auto"/>
        <w:ind w:firstLine="708"/>
        <w:jc w:val="both"/>
        <w:rPr>
          <w:rFonts w:ascii="Times New Roman" w:hAnsi="Times New Roman" w:cs="Times New Roman"/>
          <w:sz w:val="26"/>
          <w:szCs w:val="26"/>
        </w:rPr>
      </w:pPr>
      <w:r>
        <w:rPr>
          <w:rFonts w:ascii="Times New Roman" w:hAnsi="Times New Roman" w:cs="Times New Roman"/>
          <w:sz w:val="26"/>
          <w:szCs w:val="26"/>
        </w:rPr>
        <w:t>-зона 1 – г. Воронеж;</w:t>
      </w:r>
    </w:p>
    <w:p w14:paraId="30D7A0A4" w14:textId="77777777" w:rsidR="000B0C76" w:rsidRDefault="000B0C76" w:rsidP="000B0C76">
      <w:pPr>
        <w:spacing w:after="0" w:line="276" w:lineRule="auto"/>
        <w:ind w:firstLine="708"/>
        <w:jc w:val="both"/>
        <w:rPr>
          <w:rFonts w:ascii="Times New Roman" w:hAnsi="Times New Roman" w:cs="Times New Roman"/>
          <w:sz w:val="26"/>
          <w:szCs w:val="26"/>
        </w:rPr>
      </w:pPr>
      <w:r>
        <w:rPr>
          <w:rFonts w:ascii="Times New Roman" w:hAnsi="Times New Roman" w:cs="Times New Roman"/>
          <w:sz w:val="26"/>
          <w:szCs w:val="26"/>
        </w:rPr>
        <w:t>-зона 2 – крупные городские населенные пункты;</w:t>
      </w:r>
    </w:p>
    <w:p w14:paraId="5B3A8FAA" w14:textId="77777777" w:rsidR="000B0C76" w:rsidRDefault="000B0C76" w:rsidP="000B0C76">
      <w:pPr>
        <w:spacing w:after="0" w:line="276" w:lineRule="auto"/>
        <w:ind w:firstLine="708"/>
        <w:jc w:val="both"/>
        <w:rPr>
          <w:rFonts w:ascii="Times New Roman" w:hAnsi="Times New Roman" w:cs="Times New Roman"/>
          <w:sz w:val="26"/>
          <w:szCs w:val="26"/>
        </w:rPr>
      </w:pPr>
      <w:r>
        <w:rPr>
          <w:rFonts w:ascii="Times New Roman" w:hAnsi="Times New Roman" w:cs="Times New Roman"/>
          <w:sz w:val="26"/>
          <w:szCs w:val="26"/>
        </w:rPr>
        <w:t>-зона 3 – остальные городские населенные пункты;</w:t>
      </w:r>
    </w:p>
    <w:p w14:paraId="70A64FA9" w14:textId="77777777" w:rsidR="000B0C76" w:rsidRPr="008E6A59" w:rsidRDefault="000B0C76" w:rsidP="000B0C76">
      <w:pPr>
        <w:spacing w:after="0" w:line="276" w:lineRule="auto"/>
        <w:ind w:firstLine="708"/>
        <w:jc w:val="both"/>
        <w:rPr>
          <w:rFonts w:ascii="Times New Roman" w:hAnsi="Times New Roman" w:cs="Times New Roman"/>
          <w:sz w:val="26"/>
          <w:szCs w:val="26"/>
        </w:rPr>
      </w:pPr>
      <w:r>
        <w:rPr>
          <w:rFonts w:ascii="Times New Roman" w:hAnsi="Times New Roman" w:cs="Times New Roman"/>
          <w:sz w:val="26"/>
          <w:szCs w:val="26"/>
        </w:rPr>
        <w:t>-зона 4 – сельские населенные пункты.</w:t>
      </w:r>
    </w:p>
    <w:p w14:paraId="374AFD9B" w14:textId="77777777" w:rsidR="000B0C76" w:rsidRPr="00F562A8" w:rsidRDefault="000B0C76" w:rsidP="000B0C76">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Значения удельных показателей рыночной стоимости земельных участков сегмента 7 «Транспорт» для каждой из ценовых зон представлены в таблице 3.2.</w:t>
      </w:r>
      <w:r>
        <w:rPr>
          <w:rFonts w:ascii="Times New Roman" w:hAnsi="Times New Roman" w:cs="Times New Roman"/>
          <w:sz w:val="26"/>
          <w:szCs w:val="26"/>
        </w:rPr>
        <w:t>12</w:t>
      </w:r>
      <w:r w:rsidRPr="00F562A8">
        <w:rPr>
          <w:rFonts w:ascii="Times New Roman" w:hAnsi="Times New Roman" w:cs="Times New Roman"/>
          <w:sz w:val="26"/>
          <w:szCs w:val="26"/>
        </w:rPr>
        <w:t>.</w:t>
      </w:r>
    </w:p>
    <w:p w14:paraId="52EFFCD9" w14:textId="77777777" w:rsidR="000B0C76" w:rsidRPr="00F562A8" w:rsidRDefault="000B0C76" w:rsidP="000B0C76">
      <w:pPr>
        <w:spacing w:after="0" w:line="276" w:lineRule="auto"/>
        <w:ind w:firstLine="709"/>
        <w:jc w:val="right"/>
        <w:rPr>
          <w:rFonts w:ascii="Times New Roman" w:hAnsi="Times New Roman" w:cs="Times New Roman"/>
          <w:sz w:val="26"/>
          <w:szCs w:val="26"/>
        </w:rPr>
      </w:pPr>
      <w:r w:rsidRPr="00F562A8">
        <w:rPr>
          <w:rFonts w:ascii="Times New Roman" w:hAnsi="Times New Roman" w:cs="Times New Roman"/>
          <w:sz w:val="26"/>
          <w:szCs w:val="26"/>
        </w:rPr>
        <w:t>Таблица 3.2.</w:t>
      </w:r>
      <w:r>
        <w:rPr>
          <w:rFonts w:ascii="Times New Roman" w:hAnsi="Times New Roman" w:cs="Times New Roman"/>
          <w:sz w:val="26"/>
          <w:szCs w:val="26"/>
        </w:rPr>
        <w:t>12</w:t>
      </w:r>
    </w:p>
    <w:p w14:paraId="5BC3ECFE" w14:textId="77777777" w:rsidR="000B0C76" w:rsidRPr="00F562A8" w:rsidRDefault="000B0C76" w:rsidP="000B0C76">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Удельные показатели рыночной стоимости, руб./м</w:t>
      </w:r>
      <w:r w:rsidRPr="00F562A8">
        <w:rPr>
          <w:rFonts w:ascii="Times New Roman" w:hAnsi="Times New Roman" w:cs="Times New Roman"/>
          <w:sz w:val="26"/>
          <w:szCs w:val="26"/>
          <w:vertAlign w:val="superscript"/>
        </w:rPr>
        <w:t>2</w:t>
      </w:r>
    </w:p>
    <w:tbl>
      <w:tblPr>
        <w:tblStyle w:val="ae"/>
        <w:tblW w:w="0" w:type="auto"/>
        <w:tblLook w:val="04A0" w:firstRow="1" w:lastRow="0" w:firstColumn="1" w:lastColumn="0" w:noHBand="0" w:noVBand="1"/>
      </w:tblPr>
      <w:tblGrid>
        <w:gridCol w:w="1979"/>
        <w:gridCol w:w="2410"/>
        <w:gridCol w:w="2268"/>
        <w:gridCol w:w="2687"/>
      </w:tblGrid>
      <w:tr w:rsidR="000B0C76" w:rsidRPr="008E6A59" w14:paraId="1258E740" w14:textId="77777777" w:rsidTr="000B0C76">
        <w:tc>
          <w:tcPr>
            <w:tcW w:w="1980" w:type="dxa"/>
            <w:vMerge w:val="restart"/>
          </w:tcPr>
          <w:p w14:paraId="0667B627" w14:textId="77777777" w:rsidR="000B0C76" w:rsidRPr="008E6A59" w:rsidRDefault="000B0C76" w:rsidP="000B0C76">
            <w:pPr>
              <w:spacing w:line="276" w:lineRule="auto"/>
              <w:jc w:val="center"/>
              <w:rPr>
                <w:rFonts w:ascii="Times New Roman" w:hAnsi="Times New Roman" w:cs="Times New Roman"/>
                <w:sz w:val="22"/>
                <w:szCs w:val="22"/>
              </w:rPr>
            </w:pPr>
            <w:r w:rsidRPr="008E6A59">
              <w:rPr>
                <w:rFonts w:ascii="Times New Roman" w:hAnsi="Times New Roman" w:cs="Times New Roman"/>
                <w:sz w:val="22"/>
                <w:szCs w:val="22"/>
              </w:rPr>
              <w:t>№ ценовой зоны</w:t>
            </w:r>
          </w:p>
        </w:tc>
        <w:tc>
          <w:tcPr>
            <w:tcW w:w="7365" w:type="dxa"/>
            <w:gridSpan w:val="3"/>
          </w:tcPr>
          <w:p w14:paraId="53C39C88" w14:textId="77777777" w:rsidR="000B0C76" w:rsidRPr="008E6A59" w:rsidRDefault="000B0C76" w:rsidP="000B0C76">
            <w:pPr>
              <w:spacing w:line="276" w:lineRule="auto"/>
              <w:jc w:val="center"/>
              <w:rPr>
                <w:rFonts w:ascii="Times New Roman" w:hAnsi="Times New Roman" w:cs="Times New Roman"/>
                <w:sz w:val="22"/>
                <w:szCs w:val="22"/>
                <w:vertAlign w:val="superscript"/>
              </w:rPr>
            </w:pPr>
            <w:r w:rsidRPr="008E6A59">
              <w:rPr>
                <w:rFonts w:ascii="Times New Roman" w:hAnsi="Times New Roman" w:cs="Times New Roman"/>
                <w:sz w:val="22"/>
                <w:szCs w:val="22"/>
              </w:rPr>
              <w:t>Удельный показатель рыночной стоимости, руб./м</w:t>
            </w:r>
            <w:r w:rsidRPr="008E6A59">
              <w:rPr>
                <w:rFonts w:ascii="Times New Roman" w:hAnsi="Times New Roman" w:cs="Times New Roman"/>
                <w:sz w:val="22"/>
                <w:szCs w:val="22"/>
                <w:vertAlign w:val="superscript"/>
              </w:rPr>
              <w:t>2</w:t>
            </w:r>
          </w:p>
        </w:tc>
      </w:tr>
      <w:tr w:rsidR="000B0C76" w:rsidRPr="008E6A59" w14:paraId="3D94B838" w14:textId="77777777" w:rsidTr="000B0C76">
        <w:tc>
          <w:tcPr>
            <w:tcW w:w="1980" w:type="dxa"/>
            <w:vMerge/>
          </w:tcPr>
          <w:p w14:paraId="77AC2D8E" w14:textId="77777777" w:rsidR="000B0C76" w:rsidRPr="008E6A59" w:rsidRDefault="000B0C76" w:rsidP="000B0C76">
            <w:pPr>
              <w:spacing w:line="276" w:lineRule="auto"/>
              <w:jc w:val="right"/>
              <w:rPr>
                <w:rFonts w:ascii="Times New Roman" w:hAnsi="Times New Roman" w:cs="Times New Roman"/>
                <w:sz w:val="22"/>
                <w:szCs w:val="22"/>
              </w:rPr>
            </w:pPr>
          </w:p>
        </w:tc>
        <w:tc>
          <w:tcPr>
            <w:tcW w:w="2410" w:type="dxa"/>
          </w:tcPr>
          <w:p w14:paraId="235CA057" w14:textId="77777777" w:rsidR="000B0C76" w:rsidRPr="008E6A59" w:rsidRDefault="000B0C76" w:rsidP="000B0C76">
            <w:pPr>
              <w:spacing w:line="276" w:lineRule="auto"/>
              <w:jc w:val="center"/>
              <w:rPr>
                <w:rFonts w:ascii="Times New Roman" w:hAnsi="Times New Roman" w:cs="Times New Roman"/>
                <w:sz w:val="22"/>
                <w:szCs w:val="22"/>
              </w:rPr>
            </w:pPr>
            <w:r w:rsidRPr="008E6A59">
              <w:rPr>
                <w:rFonts w:ascii="Times New Roman" w:hAnsi="Times New Roman" w:cs="Times New Roman"/>
                <w:sz w:val="22"/>
                <w:szCs w:val="22"/>
              </w:rPr>
              <w:t>минимальный</w:t>
            </w:r>
          </w:p>
        </w:tc>
        <w:tc>
          <w:tcPr>
            <w:tcW w:w="2268" w:type="dxa"/>
          </w:tcPr>
          <w:p w14:paraId="337FF7E8" w14:textId="77777777" w:rsidR="000B0C76" w:rsidRPr="008E6A59" w:rsidRDefault="000B0C76" w:rsidP="000B0C76">
            <w:pPr>
              <w:spacing w:line="276" w:lineRule="auto"/>
              <w:jc w:val="center"/>
              <w:rPr>
                <w:rFonts w:ascii="Times New Roman" w:hAnsi="Times New Roman" w:cs="Times New Roman"/>
                <w:sz w:val="22"/>
                <w:szCs w:val="22"/>
              </w:rPr>
            </w:pPr>
            <w:r w:rsidRPr="008E6A59">
              <w:rPr>
                <w:rFonts w:ascii="Times New Roman" w:hAnsi="Times New Roman" w:cs="Times New Roman"/>
                <w:sz w:val="22"/>
                <w:szCs w:val="22"/>
              </w:rPr>
              <w:t>средний</w:t>
            </w:r>
          </w:p>
        </w:tc>
        <w:tc>
          <w:tcPr>
            <w:tcW w:w="2687" w:type="dxa"/>
          </w:tcPr>
          <w:p w14:paraId="4F565200" w14:textId="77777777" w:rsidR="000B0C76" w:rsidRPr="008E6A59" w:rsidRDefault="000B0C76" w:rsidP="000B0C76">
            <w:pPr>
              <w:spacing w:line="276" w:lineRule="auto"/>
              <w:jc w:val="center"/>
              <w:rPr>
                <w:rFonts w:ascii="Times New Roman" w:hAnsi="Times New Roman" w:cs="Times New Roman"/>
                <w:sz w:val="22"/>
                <w:szCs w:val="22"/>
              </w:rPr>
            </w:pPr>
            <w:r w:rsidRPr="008E6A59">
              <w:rPr>
                <w:rFonts w:ascii="Times New Roman" w:hAnsi="Times New Roman" w:cs="Times New Roman"/>
                <w:sz w:val="22"/>
                <w:szCs w:val="22"/>
              </w:rPr>
              <w:t>максимальный</w:t>
            </w:r>
          </w:p>
        </w:tc>
      </w:tr>
      <w:tr w:rsidR="000B0C76" w:rsidRPr="008E6A59" w14:paraId="68129D99" w14:textId="77777777" w:rsidTr="000B0C76">
        <w:tc>
          <w:tcPr>
            <w:tcW w:w="1980" w:type="dxa"/>
          </w:tcPr>
          <w:p w14:paraId="0D6C1D9B" w14:textId="77777777" w:rsidR="000B0C76" w:rsidRPr="008E6A59" w:rsidRDefault="000B0C76" w:rsidP="000B0C76">
            <w:pPr>
              <w:spacing w:line="276" w:lineRule="auto"/>
              <w:jc w:val="center"/>
              <w:rPr>
                <w:rFonts w:ascii="Times New Roman" w:hAnsi="Times New Roman" w:cs="Times New Roman"/>
                <w:sz w:val="22"/>
                <w:szCs w:val="22"/>
              </w:rPr>
            </w:pPr>
            <w:r w:rsidRPr="008E6A59">
              <w:rPr>
                <w:rFonts w:ascii="Times New Roman" w:hAnsi="Times New Roman" w:cs="Times New Roman"/>
                <w:sz w:val="22"/>
                <w:szCs w:val="22"/>
              </w:rPr>
              <w:t>1</w:t>
            </w:r>
          </w:p>
        </w:tc>
        <w:tc>
          <w:tcPr>
            <w:tcW w:w="2410" w:type="dxa"/>
            <w:vAlign w:val="bottom"/>
          </w:tcPr>
          <w:p w14:paraId="07B86DF2" w14:textId="77777777" w:rsidR="000B0C76" w:rsidRPr="00505987" w:rsidRDefault="000B0C76" w:rsidP="000B0C76">
            <w:pPr>
              <w:spacing w:line="276" w:lineRule="auto"/>
              <w:jc w:val="center"/>
              <w:rPr>
                <w:rFonts w:ascii="Times New Roman" w:hAnsi="Times New Roman" w:cs="Times New Roman"/>
                <w:color w:val="FF0000"/>
                <w:sz w:val="22"/>
                <w:szCs w:val="22"/>
              </w:rPr>
            </w:pPr>
            <w:r w:rsidRPr="00505987">
              <w:rPr>
                <w:rFonts w:ascii="Times New Roman" w:hAnsi="Times New Roman" w:cs="Times New Roman"/>
                <w:sz w:val="22"/>
                <w:szCs w:val="22"/>
              </w:rPr>
              <w:t>1 102,03</w:t>
            </w:r>
          </w:p>
        </w:tc>
        <w:tc>
          <w:tcPr>
            <w:tcW w:w="2268" w:type="dxa"/>
            <w:vAlign w:val="bottom"/>
          </w:tcPr>
          <w:p w14:paraId="495E9DF4" w14:textId="77777777" w:rsidR="000B0C76" w:rsidRPr="00505987" w:rsidRDefault="000B0C76" w:rsidP="000B0C76">
            <w:pPr>
              <w:spacing w:line="276" w:lineRule="auto"/>
              <w:jc w:val="center"/>
              <w:rPr>
                <w:rFonts w:ascii="Times New Roman" w:hAnsi="Times New Roman" w:cs="Times New Roman"/>
                <w:color w:val="FF0000"/>
                <w:sz w:val="22"/>
                <w:szCs w:val="22"/>
              </w:rPr>
            </w:pPr>
            <w:r w:rsidRPr="00505987">
              <w:rPr>
                <w:rFonts w:ascii="Times New Roman" w:hAnsi="Times New Roman" w:cs="Times New Roman"/>
                <w:sz w:val="22"/>
                <w:szCs w:val="22"/>
              </w:rPr>
              <w:t>3 548,92</w:t>
            </w:r>
          </w:p>
        </w:tc>
        <w:tc>
          <w:tcPr>
            <w:tcW w:w="2687" w:type="dxa"/>
            <w:vAlign w:val="bottom"/>
          </w:tcPr>
          <w:p w14:paraId="4DDE6697" w14:textId="77777777" w:rsidR="000B0C76" w:rsidRPr="00505987" w:rsidRDefault="000B0C76" w:rsidP="000B0C76">
            <w:pPr>
              <w:spacing w:line="276" w:lineRule="auto"/>
              <w:jc w:val="center"/>
              <w:rPr>
                <w:rFonts w:ascii="Times New Roman" w:hAnsi="Times New Roman" w:cs="Times New Roman"/>
                <w:color w:val="FF0000"/>
                <w:sz w:val="22"/>
                <w:szCs w:val="22"/>
              </w:rPr>
            </w:pPr>
            <w:r w:rsidRPr="00505987">
              <w:rPr>
                <w:rFonts w:ascii="Times New Roman" w:hAnsi="Times New Roman" w:cs="Times New Roman"/>
                <w:sz w:val="22"/>
                <w:szCs w:val="22"/>
              </w:rPr>
              <w:t>7 478,03</w:t>
            </w:r>
          </w:p>
        </w:tc>
      </w:tr>
      <w:tr w:rsidR="000B0C76" w:rsidRPr="008E6A59" w14:paraId="555624D7" w14:textId="77777777" w:rsidTr="000B0C76">
        <w:tc>
          <w:tcPr>
            <w:tcW w:w="1980" w:type="dxa"/>
          </w:tcPr>
          <w:p w14:paraId="2D34E241" w14:textId="77777777" w:rsidR="000B0C76" w:rsidRPr="008E6A59" w:rsidRDefault="000B0C76" w:rsidP="000B0C76">
            <w:pPr>
              <w:spacing w:line="276" w:lineRule="auto"/>
              <w:jc w:val="center"/>
              <w:rPr>
                <w:rFonts w:ascii="Times New Roman" w:hAnsi="Times New Roman" w:cs="Times New Roman"/>
                <w:sz w:val="22"/>
                <w:szCs w:val="22"/>
              </w:rPr>
            </w:pPr>
            <w:r w:rsidRPr="008E6A59">
              <w:rPr>
                <w:rFonts w:ascii="Times New Roman" w:hAnsi="Times New Roman" w:cs="Times New Roman"/>
                <w:sz w:val="22"/>
                <w:szCs w:val="22"/>
              </w:rPr>
              <w:t>2</w:t>
            </w:r>
          </w:p>
        </w:tc>
        <w:tc>
          <w:tcPr>
            <w:tcW w:w="2410" w:type="dxa"/>
            <w:vAlign w:val="bottom"/>
          </w:tcPr>
          <w:p w14:paraId="60D8B220" w14:textId="77777777" w:rsidR="000B0C76" w:rsidRPr="00505987" w:rsidRDefault="000B0C76" w:rsidP="000B0C76">
            <w:pPr>
              <w:spacing w:line="276" w:lineRule="auto"/>
              <w:jc w:val="center"/>
              <w:rPr>
                <w:rFonts w:ascii="Times New Roman" w:hAnsi="Times New Roman" w:cs="Times New Roman"/>
                <w:color w:val="FF0000"/>
                <w:sz w:val="22"/>
                <w:szCs w:val="22"/>
              </w:rPr>
            </w:pPr>
            <w:r w:rsidRPr="00505987">
              <w:rPr>
                <w:rFonts w:ascii="Times New Roman" w:hAnsi="Times New Roman" w:cs="Times New Roman"/>
                <w:sz w:val="22"/>
                <w:szCs w:val="22"/>
              </w:rPr>
              <w:t>707,15</w:t>
            </w:r>
          </w:p>
        </w:tc>
        <w:tc>
          <w:tcPr>
            <w:tcW w:w="2268" w:type="dxa"/>
            <w:vAlign w:val="bottom"/>
          </w:tcPr>
          <w:p w14:paraId="74365FA5" w14:textId="77777777" w:rsidR="000B0C76" w:rsidRPr="00505987" w:rsidRDefault="000B0C76" w:rsidP="000B0C76">
            <w:pPr>
              <w:spacing w:line="276" w:lineRule="auto"/>
              <w:jc w:val="center"/>
              <w:rPr>
                <w:rFonts w:ascii="Times New Roman" w:hAnsi="Times New Roman" w:cs="Times New Roman"/>
                <w:color w:val="FF0000"/>
                <w:sz w:val="22"/>
                <w:szCs w:val="22"/>
              </w:rPr>
            </w:pPr>
            <w:r w:rsidRPr="00505987">
              <w:rPr>
                <w:rFonts w:ascii="Times New Roman" w:hAnsi="Times New Roman" w:cs="Times New Roman"/>
                <w:sz w:val="22"/>
                <w:szCs w:val="22"/>
              </w:rPr>
              <w:t>1 859,73</w:t>
            </w:r>
          </w:p>
        </w:tc>
        <w:tc>
          <w:tcPr>
            <w:tcW w:w="2687" w:type="dxa"/>
            <w:vAlign w:val="bottom"/>
          </w:tcPr>
          <w:p w14:paraId="65003DF7" w14:textId="77777777" w:rsidR="000B0C76" w:rsidRPr="00505987" w:rsidRDefault="000B0C76" w:rsidP="000B0C76">
            <w:pPr>
              <w:spacing w:line="276" w:lineRule="auto"/>
              <w:jc w:val="center"/>
              <w:rPr>
                <w:rFonts w:ascii="Times New Roman" w:hAnsi="Times New Roman" w:cs="Times New Roman"/>
                <w:color w:val="FF0000"/>
                <w:sz w:val="22"/>
                <w:szCs w:val="22"/>
              </w:rPr>
            </w:pPr>
            <w:r w:rsidRPr="00505987">
              <w:rPr>
                <w:rFonts w:ascii="Times New Roman" w:hAnsi="Times New Roman" w:cs="Times New Roman"/>
                <w:sz w:val="22"/>
                <w:szCs w:val="22"/>
              </w:rPr>
              <w:t>3 500,00</w:t>
            </w:r>
          </w:p>
        </w:tc>
      </w:tr>
      <w:tr w:rsidR="000B0C76" w:rsidRPr="008E6A59" w14:paraId="5570D85F" w14:textId="77777777" w:rsidTr="000B0C76">
        <w:tc>
          <w:tcPr>
            <w:tcW w:w="1980" w:type="dxa"/>
          </w:tcPr>
          <w:p w14:paraId="64D02C76" w14:textId="77777777" w:rsidR="000B0C76" w:rsidRPr="008E6A59" w:rsidRDefault="000B0C76" w:rsidP="000B0C76">
            <w:pPr>
              <w:spacing w:line="276" w:lineRule="auto"/>
              <w:jc w:val="center"/>
              <w:rPr>
                <w:rFonts w:ascii="Times New Roman" w:hAnsi="Times New Roman" w:cs="Times New Roman"/>
                <w:sz w:val="22"/>
                <w:szCs w:val="22"/>
              </w:rPr>
            </w:pPr>
            <w:r w:rsidRPr="008E6A59">
              <w:rPr>
                <w:rFonts w:ascii="Times New Roman" w:hAnsi="Times New Roman" w:cs="Times New Roman"/>
                <w:sz w:val="22"/>
                <w:szCs w:val="22"/>
              </w:rPr>
              <w:t>3</w:t>
            </w:r>
          </w:p>
        </w:tc>
        <w:tc>
          <w:tcPr>
            <w:tcW w:w="2410" w:type="dxa"/>
            <w:vAlign w:val="bottom"/>
          </w:tcPr>
          <w:p w14:paraId="21469B56" w14:textId="77777777" w:rsidR="000B0C76" w:rsidRPr="00505987" w:rsidRDefault="000B0C76" w:rsidP="000B0C76">
            <w:pPr>
              <w:spacing w:line="276" w:lineRule="auto"/>
              <w:jc w:val="center"/>
              <w:rPr>
                <w:rFonts w:ascii="Times New Roman" w:hAnsi="Times New Roman" w:cs="Times New Roman"/>
                <w:color w:val="FF0000"/>
                <w:sz w:val="22"/>
                <w:szCs w:val="22"/>
              </w:rPr>
            </w:pPr>
            <w:r w:rsidRPr="00505987">
              <w:rPr>
                <w:rFonts w:ascii="Times New Roman" w:hAnsi="Times New Roman" w:cs="Times New Roman"/>
                <w:sz w:val="22"/>
                <w:szCs w:val="22"/>
              </w:rPr>
              <w:t>700,00</w:t>
            </w:r>
          </w:p>
        </w:tc>
        <w:tc>
          <w:tcPr>
            <w:tcW w:w="2268" w:type="dxa"/>
            <w:vAlign w:val="bottom"/>
          </w:tcPr>
          <w:p w14:paraId="2CC1FE5F" w14:textId="77777777" w:rsidR="000B0C76" w:rsidRPr="00505987" w:rsidRDefault="000B0C76" w:rsidP="000B0C76">
            <w:pPr>
              <w:spacing w:line="276" w:lineRule="auto"/>
              <w:jc w:val="center"/>
              <w:rPr>
                <w:rFonts w:ascii="Times New Roman" w:hAnsi="Times New Roman" w:cs="Times New Roman"/>
                <w:color w:val="FF0000"/>
                <w:sz w:val="22"/>
                <w:szCs w:val="22"/>
              </w:rPr>
            </w:pPr>
            <w:r w:rsidRPr="00505987">
              <w:rPr>
                <w:rFonts w:ascii="Times New Roman" w:hAnsi="Times New Roman" w:cs="Times New Roman"/>
                <w:sz w:val="22"/>
                <w:szCs w:val="22"/>
              </w:rPr>
              <w:t>1 435,24</w:t>
            </w:r>
          </w:p>
        </w:tc>
        <w:tc>
          <w:tcPr>
            <w:tcW w:w="2687" w:type="dxa"/>
            <w:vAlign w:val="bottom"/>
          </w:tcPr>
          <w:p w14:paraId="29484AF8" w14:textId="77777777" w:rsidR="000B0C76" w:rsidRPr="00505987" w:rsidRDefault="000B0C76" w:rsidP="000B0C76">
            <w:pPr>
              <w:spacing w:line="276" w:lineRule="auto"/>
              <w:jc w:val="center"/>
              <w:rPr>
                <w:rFonts w:ascii="Times New Roman" w:hAnsi="Times New Roman" w:cs="Times New Roman"/>
                <w:color w:val="FF0000"/>
                <w:sz w:val="22"/>
                <w:szCs w:val="22"/>
              </w:rPr>
            </w:pPr>
            <w:r w:rsidRPr="00505987">
              <w:rPr>
                <w:rFonts w:ascii="Times New Roman" w:hAnsi="Times New Roman" w:cs="Times New Roman"/>
                <w:sz w:val="22"/>
                <w:szCs w:val="22"/>
              </w:rPr>
              <w:t>3 172,50</w:t>
            </w:r>
          </w:p>
        </w:tc>
      </w:tr>
      <w:tr w:rsidR="000B0C76" w:rsidRPr="008E6A59" w14:paraId="26E10934" w14:textId="77777777" w:rsidTr="000B0C76">
        <w:tc>
          <w:tcPr>
            <w:tcW w:w="1980" w:type="dxa"/>
          </w:tcPr>
          <w:p w14:paraId="65298AE7" w14:textId="77777777" w:rsidR="000B0C76" w:rsidRPr="008E6A59" w:rsidRDefault="000B0C76" w:rsidP="000B0C76">
            <w:pPr>
              <w:spacing w:line="276" w:lineRule="auto"/>
              <w:jc w:val="center"/>
              <w:rPr>
                <w:rFonts w:ascii="Times New Roman" w:hAnsi="Times New Roman" w:cs="Times New Roman"/>
              </w:rPr>
            </w:pPr>
            <w:r>
              <w:rPr>
                <w:rFonts w:ascii="Times New Roman" w:hAnsi="Times New Roman" w:cs="Times New Roman"/>
              </w:rPr>
              <w:t>4</w:t>
            </w:r>
          </w:p>
        </w:tc>
        <w:tc>
          <w:tcPr>
            <w:tcW w:w="2410" w:type="dxa"/>
            <w:vAlign w:val="bottom"/>
          </w:tcPr>
          <w:p w14:paraId="05C2AA52" w14:textId="77777777" w:rsidR="000B0C76" w:rsidRPr="00505987" w:rsidRDefault="000B0C76" w:rsidP="000B0C76">
            <w:pPr>
              <w:spacing w:line="276" w:lineRule="auto"/>
              <w:jc w:val="center"/>
              <w:rPr>
                <w:rFonts w:ascii="Times New Roman" w:hAnsi="Times New Roman" w:cs="Times New Roman"/>
              </w:rPr>
            </w:pPr>
            <w:r w:rsidRPr="00505987">
              <w:rPr>
                <w:rFonts w:ascii="Times New Roman" w:hAnsi="Times New Roman" w:cs="Times New Roman"/>
                <w:sz w:val="22"/>
                <w:szCs w:val="22"/>
              </w:rPr>
              <w:t>101,00</w:t>
            </w:r>
          </w:p>
        </w:tc>
        <w:tc>
          <w:tcPr>
            <w:tcW w:w="2268" w:type="dxa"/>
            <w:vAlign w:val="bottom"/>
          </w:tcPr>
          <w:p w14:paraId="180CBC92" w14:textId="77777777" w:rsidR="000B0C76" w:rsidRPr="00505987" w:rsidRDefault="000B0C76" w:rsidP="000B0C76">
            <w:pPr>
              <w:spacing w:line="276" w:lineRule="auto"/>
              <w:jc w:val="center"/>
              <w:rPr>
                <w:rFonts w:ascii="Times New Roman" w:hAnsi="Times New Roman" w:cs="Times New Roman"/>
              </w:rPr>
            </w:pPr>
            <w:r w:rsidRPr="00505987">
              <w:rPr>
                <w:rFonts w:ascii="Times New Roman" w:hAnsi="Times New Roman" w:cs="Times New Roman"/>
                <w:sz w:val="22"/>
                <w:szCs w:val="22"/>
              </w:rPr>
              <w:t>762,03</w:t>
            </w:r>
          </w:p>
        </w:tc>
        <w:tc>
          <w:tcPr>
            <w:tcW w:w="2687" w:type="dxa"/>
            <w:vAlign w:val="bottom"/>
          </w:tcPr>
          <w:p w14:paraId="3BAAEA08" w14:textId="77777777" w:rsidR="000B0C76" w:rsidRPr="00505987" w:rsidRDefault="000B0C76" w:rsidP="000B0C76">
            <w:pPr>
              <w:spacing w:line="276" w:lineRule="auto"/>
              <w:jc w:val="center"/>
              <w:rPr>
                <w:rFonts w:ascii="Times New Roman" w:hAnsi="Times New Roman" w:cs="Times New Roman"/>
              </w:rPr>
            </w:pPr>
            <w:r w:rsidRPr="00505987">
              <w:rPr>
                <w:rFonts w:ascii="Times New Roman" w:hAnsi="Times New Roman" w:cs="Times New Roman"/>
                <w:sz w:val="22"/>
                <w:szCs w:val="22"/>
              </w:rPr>
              <w:t>2 093,85</w:t>
            </w:r>
          </w:p>
        </w:tc>
      </w:tr>
    </w:tbl>
    <w:p w14:paraId="222AD0A1" w14:textId="77777777" w:rsidR="000B0C76" w:rsidRPr="008E6A59" w:rsidRDefault="000B0C76" w:rsidP="000B0C76">
      <w:pPr>
        <w:spacing w:before="120"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Схема оценочного зонирования Воронежской области по сегменту 7 </w:t>
      </w:r>
      <w:r w:rsidRPr="00935BD9">
        <w:rPr>
          <w:rFonts w:ascii="Times New Roman" w:hAnsi="Times New Roman" w:cs="Times New Roman"/>
          <w:sz w:val="26"/>
          <w:szCs w:val="26"/>
        </w:rPr>
        <w:t>«Транспорт» представлена в Приложении 2/2.2.</w:t>
      </w:r>
    </w:p>
    <w:p w14:paraId="0C33C875" w14:textId="77777777" w:rsidR="00221500" w:rsidRDefault="00221500" w:rsidP="000B0C76">
      <w:pPr>
        <w:spacing w:before="120" w:after="0" w:line="276" w:lineRule="auto"/>
        <w:jc w:val="center"/>
        <w:rPr>
          <w:rFonts w:ascii="Times New Roman" w:hAnsi="Times New Roman" w:cs="Times New Roman"/>
          <w:i/>
          <w:sz w:val="26"/>
          <w:szCs w:val="26"/>
        </w:rPr>
      </w:pPr>
    </w:p>
    <w:p w14:paraId="5F9287EE" w14:textId="25536AC5" w:rsidR="000B0C76" w:rsidRPr="00F562A8" w:rsidRDefault="000B0C76" w:rsidP="000B0C76">
      <w:pPr>
        <w:spacing w:before="120" w:after="0" w:line="276" w:lineRule="auto"/>
        <w:jc w:val="center"/>
        <w:rPr>
          <w:rFonts w:ascii="Times New Roman" w:hAnsi="Times New Roman" w:cs="Times New Roman"/>
          <w:i/>
          <w:sz w:val="26"/>
          <w:szCs w:val="26"/>
        </w:rPr>
      </w:pPr>
      <w:r w:rsidRPr="00F562A8">
        <w:rPr>
          <w:rFonts w:ascii="Times New Roman" w:hAnsi="Times New Roman" w:cs="Times New Roman"/>
          <w:i/>
          <w:sz w:val="26"/>
          <w:szCs w:val="26"/>
        </w:rPr>
        <w:t xml:space="preserve">Описание схемы оценочного зонирования Воронежской области по сегменту </w:t>
      </w:r>
      <w:r w:rsidRPr="00F562A8">
        <w:rPr>
          <w:rFonts w:ascii="Times New Roman" w:hAnsi="Times New Roman" w:cs="Times New Roman"/>
          <w:i/>
          <w:sz w:val="26"/>
          <w:szCs w:val="26"/>
        </w:rPr>
        <w:br/>
        <w:t>13 «Садоводство и огородничество, малоэтажная жилая застройка», группа «Малоэтажная жилая застройка»</w:t>
      </w:r>
    </w:p>
    <w:p w14:paraId="13758E54" w14:textId="77777777" w:rsidR="000B0C76" w:rsidRDefault="000B0C76" w:rsidP="000B0C76">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проведения оценочного зонирования Учреждением был проведен анализ распределения рыночной информации сегмента 13 «Садоводство и огородничество, малоэтажная жилая застройка», группа «Малоэтажная жилая застройка». </w:t>
      </w:r>
    </w:p>
    <w:p w14:paraId="1FE1F054" w14:textId="77777777" w:rsidR="000B0C76" w:rsidRPr="00935BD9" w:rsidRDefault="000B0C76" w:rsidP="000B0C76">
      <w:pPr>
        <w:spacing w:after="120" w:line="276" w:lineRule="auto"/>
        <w:ind w:firstLine="567"/>
        <w:jc w:val="center"/>
        <w:rPr>
          <w:rFonts w:ascii="Times New Roman" w:hAnsi="Times New Roman" w:cs="Times New Roman"/>
          <w:sz w:val="28"/>
          <w:szCs w:val="28"/>
        </w:rPr>
      </w:pPr>
      <w:r w:rsidRPr="00935BD9">
        <w:rPr>
          <w:rFonts w:ascii="Times New Roman" w:hAnsi="Times New Roman" w:cs="Times New Roman"/>
          <w:sz w:val="28"/>
          <w:szCs w:val="28"/>
        </w:rPr>
        <w:t>Расчет рыночной стоимости типовых земельных участков.</w:t>
      </w:r>
    </w:p>
    <w:p w14:paraId="39CD88C1" w14:textId="77777777" w:rsidR="000B0C76" w:rsidRPr="00935BD9" w:rsidRDefault="000B0C76" w:rsidP="000B0C76">
      <w:pPr>
        <w:suppressAutoHyphens/>
        <w:autoSpaceDN w:val="0"/>
        <w:spacing w:after="0" w:line="276" w:lineRule="auto"/>
        <w:ind w:firstLine="567"/>
        <w:jc w:val="both"/>
        <w:textAlignment w:val="baseline"/>
        <w:rPr>
          <w:rFonts w:ascii="Times New Roman" w:eastAsia="Times New Roman" w:hAnsi="Times New Roman" w:cs="Times New Roman"/>
          <w:sz w:val="26"/>
          <w:szCs w:val="26"/>
          <w:lang w:eastAsia="ru-RU"/>
        </w:rPr>
      </w:pPr>
      <w:r w:rsidRPr="00935BD9">
        <w:rPr>
          <w:rFonts w:ascii="Times New Roman" w:eastAsia="Times New Roman" w:hAnsi="Times New Roman" w:cs="Times New Roman"/>
          <w:sz w:val="26"/>
          <w:szCs w:val="26"/>
          <w:lang w:eastAsia="ru-RU"/>
        </w:rPr>
        <w:t>При проведении анализа рыночных цен выбран типовой объект со следующими характеристиками:</w:t>
      </w:r>
    </w:p>
    <w:p w14:paraId="1D041D78" w14:textId="77777777" w:rsidR="000B0C76" w:rsidRPr="00935BD9" w:rsidRDefault="000B0C76" w:rsidP="000B0C76">
      <w:pPr>
        <w:numPr>
          <w:ilvl w:val="0"/>
          <w:numId w:val="30"/>
        </w:numPr>
        <w:suppressAutoHyphens/>
        <w:autoSpaceDN w:val="0"/>
        <w:spacing w:after="0" w:line="276" w:lineRule="auto"/>
        <w:ind w:left="1418" w:firstLine="0"/>
        <w:jc w:val="both"/>
        <w:textAlignment w:val="baseline"/>
        <w:rPr>
          <w:rFonts w:ascii="Times New Roman" w:eastAsia="Times New Roman" w:hAnsi="Times New Roman" w:cs="Times New Roman"/>
          <w:sz w:val="26"/>
          <w:szCs w:val="26"/>
          <w:lang w:eastAsia="ru-RU"/>
        </w:rPr>
      </w:pPr>
      <w:r w:rsidRPr="00935BD9">
        <w:rPr>
          <w:rFonts w:ascii="Times New Roman" w:eastAsia="Times New Roman" w:hAnsi="Times New Roman" w:cs="Times New Roman"/>
          <w:sz w:val="26"/>
          <w:szCs w:val="26"/>
          <w:lang w:eastAsia="ru-RU"/>
        </w:rPr>
        <w:t>Тип (вид) объектов недвижимости– земельный участок.</w:t>
      </w:r>
    </w:p>
    <w:p w14:paraId="41EB57C4" w14:textId="77777777" w:rsidR="000B0C76" w:rsidRPr="00935BD9" w:rsidRDefault="000B0C76" w:rsidP="000B0C76">
      <w:pPr>
        <w:numPr>
          <w:ilvl w:val="0"/>
          <w:numId w:val="30"/>
        </w:numPr>
        <w:suppressAutoHyphens/>
        <w:autoSpaceDN w:val="0"/>
        <w:spacing w:after="0" w:line="276" w:lineRule="auto"/>
        <w:ind w:left="1418" w:firstLine="0"/>
        <w:jc w:val="both"/>
        <w:textAlignment w:val="baseline"/>
        <w:rPr>
          <w:rFonts w:ascii="Times New Roman" w:eastAsia="Times New Roman" w:hAnsi="Times New Roman" w:cs="Times New Roman"/>
          <w:sz w:val="26"/>
          <w:szCs w:val="26"/>
          <w:lang w:eastAsia="ru-RU"/>
        </w:rPr>
      </w:pPr>
      <w:r w:rsidRPr="00935BD9">
        <w:rPr>
          <w:rFonts w:ascii="Times New Roman" w:eastAsia="Times New Roman" w:hAnsi="Times New Roman" w:cs="Times New Roman"/>
          <w:sz w:val="26"/>
          <w:szCs w:val="26"/>
          <w:lang w:eastAsia="ru-RU"/>
        </w:rPr>
        <w:t>Вид использования–индивидуальная жилая застройка, личное подсобное хозяйство</w:t>
      </w:r>
      <w:r>
        <w:rPr>
          <w:rFonts w:ascii="Times New Roman" w:eastAsia="Times New Roman" w:hAnsi="Times New Roman" w:cs="Times New Roman"/>
          <w:sz w:val="26"/>
          <w:szCs w:val="26"/>
          <w:lang w:eastAsia="ru-RU"/>
        </w:rPr>
        <w:t>, садоводство и огородничество.</w:t>
      </w:r>
    </w:p>
    <w:p w14:paraId="7C92C581" w14:textId="77777777" w:rsidR="000B0C76" w:rsidRDefault="000B0C76" w:rsidP="000B0C76">
      <w:pPr>
        <w:numPr>
          <w:ilvl w:val="0"/>
          <w:numId w:val="30"/>
        </w:numPr>
        <w:suppressAutoHyphens/>
        <w:autoSpaceDN w:val="0"/>
        <w:spacing w:after="0" w:line="276" w:lineRule="auto"/>
        <w:ind w:left="1418" w:firstLine="0"/>
        <w:jc w:val="both"/>
        <w:textAlignment w:val="baseline"/>
        <w:rPr>
          <w:rFonts w:ascii="Times New Roman" w:eastAsia="Times New Roman" w:hAnsi="Times New Roman" w:cs="Times New Roman"/>
          <w:sz w:val="26"/>
          <w:szCs w:val="26"/>
          <w:lang w:eastAsia="ru-RU"/>
        </w:rPr>
      </w:pPr>
      <w:r w:rsidRPr="00935BD9">
        <w:rPr>
          <w:rFonts w:ascii="Times New Roman" w:eastAsia="Times New Roman" w:hAnsi="Times New Roman" w:cs="Times New Roman"/>
          <w:sz w:val="26"/>
          <w:szCs w:val="26"/>
          <w:lang w:val="en-US" w:eastAsia="ru-RU"/>
        </w:rPr>
        <w:t>Имущественные права - собственность</w:t>
      </w:r>
      <w:r w:rsidRPr="00935BD9">
        <w:rPr>
          <w:rFonts w:ascii="Times New Roman" w:eastAsia="Times New Roman" w:hAnsi="Times New Roman" w:cs="Times New Roman"/>
          <w:sz w:val="26"/>
          <w:szCs w:val="26"/>
          <w:lang w:eastAsia="ru-RU"/>
        </w:rPr>
        <w:t>.</w:t>
      </w:r>
    </w:p>
    <w:p w14:paraId="6581E9B8" w14:textId="77777777" w:rsidR="000B0C76" w:rsidRPr="00945FC1" w:rsidRDefault="000B0C76" w:rsidP="000B0C76">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торг</w:t>
      </w:r>
    </w:p>
    <w:p w14:paraId="43F0307A" w14:textId="77777777" w:rsidR="000B0C76" w:rsidRDefault="000B0C76" w:rsidP="000B0C76">
      <w:pPr>
        <w:spacing w:before="120" w:after="0" w:line="300" w:lineRule="auto"/>
        <w:ind w:firstLine="567"/>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При продаже земельных участков на рынке недвижимости возможно снижение цены сделки за счет уторговывания. </w:t>
      </w:r>
      <w:r>
        <w:rPr>
          <w:rFonts w:ascii="Times New Roman" w:eastAsia="Times New Roman" w:hAnsi="Times New Roman" w:cs="Times New Roman"/>
          <w:sz w:val="26"/>
          <w:szCs w:val="26"/>
          <w:lang w:eastAsia="ru-RU"/>
        </w:rPr>
        <w:t xml:space="preserve">Так как в представленной рыночной выборке содержится информация и по предложениям, и по сделкам, удельные показатели цены предложения по продаже объектов-аналогов были скорректированы на тип сделки (скидка на торг). </w:t>
      </w:r>
      <w:r>
        <w:rPr>
          <w:rFonts w:ascii="Times New Roman" w:eastAsia="Calibri" w:hAnsi="Times New Roman" w:cs="Times New Roman"/>
          <w:sz w:val="26"/>
          <w:szCs w:val="26"/>
        </w:rPr>
        <w:t>Величина скидки на торг определена по результатам исследования рынка земельных участков, проведенного некоммерческой организацией «Ассоциация развития рынка недвижимости «СтатРиелт» (</w:t>
      </w:r>
      <w:hyperlink r:id="rId113" w:history="1">
        <w:r w:rsidRPr="00A67AF4">
          <w:rPr>
            <w:rStyle w:val="ad"/>
            <w:rFonts w:cs="Times New Roman"/>
            <w:szCs w:val="26"/>
          </w:rPr>
          <w:t>https://statrielt.ru/</w:t>
        </w:r>
      </w:hyperlink>
      <w:r w:rsidRPr="00A67AF4">
        <w:rPr>
          <w:rFonts w:ascii="Times New Roman" w:hAnsi="Times New Roman" w:cs="Times New Roman"/>
          <w:sz w:val="26"/>
          <w:szCs w:val="26"/>
        </w:rPr>
        <w:t>).</w:t>
      </w:r>
    </w:p>
    <w:p w14:paraId="7080A317" w14:textId="77777777" w:rsidR="000B0C76" w:rsidRDefault="000B0C76" w:rsidP="00221500">
      <w:pPr>
        <w:jc w:val="center"/>
      </w:pPr>
      <w:r w:rsidRPr="00376FBD">
        <w:rPr>
          <w:noProof/>
          <w:lang w:eastAsia="ru-RU"/>
        </w:rPr>
        <w:drawing>
          <wp:inline distT="0" distB="0" distL="0" distR="0" wp14:anchorId="15B9F3EF" wp14:editId="4C94B780">
            <wp:extent cx="5207000" cy="339192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11429" cy="3394810"/>
                    </a:xfrm>
                    <a:prstGeom prst="rect">
                      <a:avLst/>
                    </a:prstGeom>
                  </pic:spPr>
                </pic:pic>
              </a:graphicData>
            </a:graphic>
          </wp:inline>
        </w:drawing>
      </w:r>
    </w:p>
    <w:p w14:paraId="11FDA358" w14:textId="237B0235" w:rsidR="000B0C76" w:rsidRDefault="000B0C76" w:rsidP="000B0C76">
      <w:pPr>
        <w:spacing w:after="0" w:line="300" w:lineRule="auto"/>
        <w:ind w:firstLine="567"/>
        <w:jc w:val="center"/>
        <w:rPr>
          <w:rFonts w:ascii="Times New Roman" w:eastAsia="Calibri" w:hAnsi="Times New Roman" w:cs="Times New Roman"/>
          <w:sz w:val="26"/>
          <w:szCs w:val="26"/>
        </w:rPr>
      </w:pPr>
      <w:r>
        <w:rPr>
          <w:rFonts w:ascii="Times New Roman" w:eastAsia="Calibri" w:hAnsi="Times New Roman" w:cs="Times New Roman"/>
          <w:sz w:val="26"/>
          <w:szCs w:val="26"/>
        </w:rPr>
        <w:t>Рис.3.2.13- Скидка на торг, уторгование при продаже земельных участков на 01.01.2022 года по данным некоммерческой организации «Ассоциация развития рынка недвижимости «</w:t>
      </w:r>
      <w:r w:rsidRPr="00A67AF4">
        <w:rPr>
          <w:rFonts w:ascii="Times New Roman" w:eastAsia="Calibri" w:hAnsi="Times New Roman" w:cs="Times New Roman"/>
          <w:sz w:val="26"/>
          <w:szCs w:val="26"/>
        </w:rPr>
        <w:t>СтатРиелт»</w:t>
      </w:r>
      <w:r w:rsidR="00221500">
        <w:rPr>
          <w:rStyle w:val="af2"/>
          <w:rFonts w:ascii="Times New Roman" w:eastAsia="Calibri" w:hAnsi="Times New Roman" w:cs="Times New Roman"/>
          <w:sz w:val="26"/>
          <w:szCs w:val="26"/>
        </w:rPr>
        <w:footnoteReference w:id="117"/>
      </w:r>
    </w:p>
    <w:p w14:paraId="4A700F5B" w14:textId="77777777" w:rsidR="000B0C76" w:rsidRPr="00650F12" w:rsidRDefault="000B0C76" w:rsidP="000B0C76">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данном случае размер скидки на торг принимаем для земель населенных пунктов под ИЖС, ЛПХ, ДНП и СНТ, значения лежат в доверительном интервале от 0,91 до 0,95 и в среднем по РФ составляет </w:t>
      </w:r>
      <w:r w:rsidRPr="00D05389">
        <w:rPr>
          <w:rFonts w:ascii="Times New Roman" w:eastAsia="Calibri" w:hAnsi="Times New Roman" w:cs="Times New Roman"/>
          <w:b/>
          <w:sz w:val="26"/>
          <w:szCs w:val="26"/>
        </w:rPr>
        <w:t>0,</w:t>
      </w:r>
      <w:r>
        <w:rPr>
          <w:rFonts w:ascii="Times New Roman" w:eastAsia="Calibri" w:hAnsi="Times New Roman" w:cs="Times New Roman"/>
          <w:b/>
          <w:sz w:val="26"/>
          <w:szCs w:val="26"/>
        </w:rPr>
        <w:t>93</w:t>
      </w:r>
      <w:r>
        <w:rPr>
          <w:rFonts w:ascii="Times New Roman" w:eastAsia="Calibri" w:hAnsi="Times New Roman" w:cs="Times New Roman"/>
          <w:sz w:val="26"/>
          <w:szCs w:val="26"/>
        </w:rPr>
        <w:t xml:space="preserve"> (раздел «</w:t>
      </w:r>
      <w:r w:rsidRPr="00CB1B3C">
        <w:rPr>
          <w:rFonts w:ascii="Times New Roman" w:hAnsi="Times New Roman" w:cs="Times New Roman"/>
          <w:sz w:val="26"/>
          <w:szCs w:val="26"/>
        </w:rPr>
        <w:t>Скидка на торг, уторгование при продаже земельных участков на 01.</w:t>
      </w:r>
      <w:r>
        <w:rPr>
          <w:rFonts w:ascii="Times New Roman" w:hAnsi="Times New Roman" w:cs="Times New Roman"/>
          <w:sz w:val="26"/>
          <w:szCs w:val="26"/>
        </w:rPr>
        <w:t>01</w:t>
      </w:r>
      <w:r w:rsidRPr="00CB1B3C">
        <w:rPr>
          <w:rFonts w:ascii="Times New Roman" w:hAnsi="Times New Roman" w:cs="Times New Roman"/>
          <w:sz w:val="26"/>
          <w:szCs w:val="26"/>
        </w:rPr>
        <w:t>.202</w:t>
      </w:r>
      <w:r>
        <w:rPr>
          <w:rFonts w:ascii="Times New Roman" w:hAnsi="Times New Roman" w:cs="Times New Roman"/>
          <w:sz w:val="26"/>
          <w:szCs w:val="26"/>
        </w:rPr>
        <w:t>2</w:t>
      </w:r>
      <w:r w:rsidRPr="00CB1B3C">
        <w:rPr>
          <w:rFonts w:ascii="Times New Roman" w:hAnsi="Times New Roman" w:cs="Times New Roman"/>
          <w:sz w:val="26"/>
          <w:szCs w:val="26"/>
        </w:rPr>
        <w:t xml:space="preserve"> года</w:t>
      </w:r>
      <w:r>
        <w:rPr>
          <w:rFonts w:ascii="Times New Roman" w:hAnsi="Times New Roman" w:cs="Times New Roman"/>
          <w:sz w:val="26"/>
          <w:szCs w:val="26"/>
        </w:rPr>
        <w:t>»)</w:t>
      </w:r>
      <w:r>
        <w:rPr>
          <w:rFonts w:ascii="Times New Roman" w:eastAsia="Calibri" w:hAnsi="Times New Roman" w:cs="Times New Roman"/>
          <w:sz w:val="26"/>
          <w:szCs w:val="26"/>
        </w:rPr>
        <w:t xml:space="preserve">. Принято среднее значение диапазона. Для объектов ДНП и СНТ, которые расположены на землях сельскохозяйственного назначения, значения лежат в доверительном интервале от 0,88 до 0,95 и в среднем по РФ составляет </w:t>
      </w:r>
      <w:r w:rsidRPr="00650F12">
        <w:rPr>
          <w:rFonts w:ascii="Times New Roman" w:eastAsia="Calibri" w:hAnsi="Times New Roman" w:cs="Times New Roman"/>
          <w:b/>
          <w:sz w:val="26"/>
          <w:szCs w:val="26"/>
        </w:rPr>
        <w:t>0,</w:t>
      </w:r>
      <w:r>
        <w:rPr>
          <w:rFonts w:ascii="Times New Roman" w:eastAsia="Calibri" w:hAnsi="Times New Roman" w:cs="Times New Roman"/>
          <w:b/>
          <w:sz w:val="26"/>
          <w:szCs w:val="26"/>
        </w:rPr>
        <w:t>92</w:t>
      </w:r>
      <w:r w:rsidRPr="00650F12">
        <w:rPr>
          <w:rFonts w:ascii="Times New Roman" w:eastAsia="Calibri" w:hAnsi="Times New Roman" w:cs="Times New Roman"/>
          <w:sz w:val="26"/>
          <w:szCs w:val="26"/>
        </w:rPr>
        <w:t xml:space="preserve"> (также принято среднее значение диапазона).</w:t>
      </w:r>
    </w:p>
    <w:p w14:paraId="4809EC3A" w14:textId="77777777" w:rsidR="000B0C76" w:rsidRPr="00945FC1" w:rsidRDefault="000B0C76" w:rsidP="000B0C76">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Корректировка на дату</w:t>
      </w:r>
    </w:p>
    <w:p w14:paraId="3FB84290" w14:textId="77777777" w:rsidR="000B0C76" w:rsidRDefault="000B0C76" w:rsidP="000B0C76">
      <w:pPr>
        <w:spacing w:after="0" w:line="300" w:lineRule="auto"/>
        <w:ind w:firstLine="708"/>
        <w:jc w:val="both"/>
        <w:rPr>
          <w:rFonts w:ascii="Times New Roman" w:hAnsi="Times New Roman" w:cs="Times New Roman"/>
          <w:b/>
          <w:sz w:val="26"/>
          <w:szCs w:val="26"/>
        </w:rPr>
      </w:pPr>
      <w:r>
        <w:rPr>
          <w:rFonts w:ascii="Times New Roman" w:hAnsi="Times New Roman" w:cs="Times New Roman"/>
          <w:sz w:val="26"/>
          <w:szCs w:val="26"/>
        </w:rPr>
        <w:t xml:space="preserve">Изменение рыночной конъюнктуры, условия которой могут сильно отразиться на стоимости объекта недвижимости, происходят с течением времени. </w:t>
      </w:r>
      <w:r>
        <w:rPr>
          <w:rFonts w:ascii="Times New Roman" w:eastAsia="Calibri" w:hAnsi="Times New Roman" w:cs="Times New Roman"/>
          <w:sz w:val="26"/>
          <w:szCs w:val="26"/>
        </w:rPr>
        <w:t xml:space="preserve">Корректировка на дату учитывает изменение цен на земельные участки за период с даты заключения сделки (предложения) с объектом-аналогом до даты проведения настоящей оценки. </w:t>
      </w:r>
    </w:p>
    <w:p w14:paraId="1ADE71D2" w14:textId="77777777" w:rsidR="000B0C76" w:rsidRDefault="000B0C76" w:rsidP="000B0C76">
      <w:pPr>
        <w:jc w:val="center"/>
      </w:pPr>
      <w:r w:rsidRPr="00376FBD">
        <w:rPr>
          <w:noProof/>
          <w:lang w:eastAsia="ru-RU"/>
        </w:rPr>
        <w:drawing>
          <wp:inline distT="0" distB="0" distL="0" distR="0" wp14:anchorId="54861155" wp14:editId="3653CD76">
            <wp:extent cx="5940425" cy="3978910"/>
            <wp:effectExtent l="0" t="0" r="3175" b="254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978910"/>
                    </a:xfrm>
                    <a:prstGeom prst="rect">
                      <a:avLst/>
                    </a:prstGeom>
                  </pic:spPr>
                </pic:pic>
              </a:graphicData>
            </a:graphic>
          </wp:inline>
        </w:drawing>
      </w:r>
    </w:p>
    <w:p w14:paraId="62C14128" w14:textId="042B94A1" w:rsidR="000B0C76" w:rsidRDefault="000B0C76" w:rsidP="000B0C76">
      <w:pPr>
        <w:jc w:val="center"/>
        <w:rPr>
          <w:rFonts w:ascii="Times New Roman" w:eastAsia="Calibri" w:hAnsi="Times New Roman" w:cs="Times New Roman"/>
          <w:sz w:val="26"/>
          <w:szCs w:val="26"/>
        </w:rPr>
      </w:pPr>
      <w:r>
        <w:rPr>
          <w:rFonts w:ascii="Times New Roman" w:eastAsia="Calibri" w:hAnsi="Times New Roman" w:cs="Times New Roman"/>
          <w:sz w:val="26"/>
          <w:szCs w:val="26"/>
        </w:rPr>
        <w:t>Рис.3.2.14-</w:t>
      </w:r>
      <w:r w:rsidRPr="008C322D">
        <w:t xml:space="preserve"> </w:t>
      </w:r>
      <w:r w:rsidRPr="008C322D">
        <w:rPr>
          <w:rFonts w:ascii="Times New Roman" w:eastAsia="Calibri" w:hAnsi="Times New Roman" w:cs="Times New Roman"/>
          <w:sz w:val="26"/>
          <w:szCs w:val="26"/>
        </w:rPr>
        <w:t>Индексы изменения рыночных цен (в рублях) земельных участков</w:t>
      </w:r>
      <w:r>
        <w:rPr>
          <w:rFonts w:ascii="Times New Roman" w:eastAsia="Calibri" w:hAnsi="Times New Roman" w:cs="Times New Roman"/>
          <w:sz w:val="26"/>
          <w:szCs w:val="26"/>
        </w:rPr>
        <w:t xml:space="preserve"> по данным некоммерческой организации «Ассоциация развития рынка недвижимости «</w:t>
      </w:r>
      <w:r w:rsidRPr="00A67AF4">
        <w:rPr>
          <w:rFonts w:ascii="Times New Roman" w:eastAsia="Calibri" w:hAnsi="Times New Roman" w:cs="Times New Roman"/>
          <w:sz w:val="26"/>
          <w:szCs w:val="26"/>
        </w:rPr>
        <w:t>СтатРиелт»</w:t>
      </w:r>
      <w:r w:rsidR="00221500">
        <w:rPr>
          <w:rStyle w:val="af2"/>
          <w:rFonts w:ascii="Times New Roman" w:eastAsia="Calibri" w:hAnsi="Times New Roman" w:cs="Times New Roman"/>
          <w:sz w:val="26"/>
          <w:szCs w:val="26"/>
        </w:rPr>
        <w:footnoteReference w:id="118"/>
      </w:r>
      <w:r w:rsidRPr="00A67AF4">
        <w:rPr>
          <w:rFonts w:ascii="Times New Roman" w:eastAsia="Calibri" w:hAnsi="Times New Roman" w:cs="Times New Roman"/>
          <w:sz w:val="26"/>
          <w:szCs w:val="26"/>
        </w:rPr>
        <w:t xml:space="preserve"> </w:t>
      </w:r>
    </w:p>
    <w:p w14:paraId="2AED7A64" w14:textId="77777777" w:rsidR="000B0C76" w:rsidRDefault="000B0C76" w:rsidP="000B0C76">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был произведен расчет корректировок, значения представлены далее в таблице.</w:t>
      </w:r>
    </w:p>
    <w:p w14:paraId="737D2684" w14:textId="77777777" w:rsidR="000B0C76" w:rsidRDefault="000B0C76" w:rsidP="000B0C76">
      <w:pPr>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3.2.13</w:t>
      </w:r>
    </w:p>
    <w:p w14:paraId="233B8E24" w14:textId="77777777" w:rsidR="000B0C76" w:rsidRPr="002F6E4F" w:rsidRDefault="000B0C76" w:rsidP="000B0C76">
      <w:pPr>
        <w:jc w:val="center"/>
        <w:rPr>
          <w:rFonts w:ascii="Times New Roman" w:eastAsia="Calibri" w:hAnsi="Times New Roman" w:cs="Times New Roman"/>
          <w:sz w:val="26"/>
          <w:szCs w:val="26"/>
        </w:rPr>
      </w:pPr>
      <w:r>
        <w:rPr>
          <w:rFonts w:ascii="Times New Roman" w:eastAsia="Calibri" w:hAnsi="Times New Roman" w:cs="Times New Roman"/>
          <w:sz w:val="26"/>
          <w:szCs w:val="26"/>
        </w:rPr>
        <w:t>Размер корректировок на дату, рассчитанных на каждое полугодие</w:t>
      </w:r>
    </w:p>
    <w:tbl>
      <w:tblPr>
        <w:tblStyle w:val="ae"/>
        <w:tblW w:w="4927" w:type="pct"/>
        <w:jc w:val="center"/>
        <w:tblLayout w:type="fixed"/>
        <w:tblLook w:val="04A0" w:firstRow="1" w:lastRow="0" w:firstColumn="1" w:lastColumn="0" w:noHBand="0" w:noVBand="1"/>
      </w:tblPr>
      <w:tblGrid>
        <w:gridCol w:w="1130"/>
        <w:gridCol w:w="993"/>
        <w:gridCol w:w="1558"/>
        <w:gridCol w:w="1416"/>
        <w:gridCol w:w="796"/>
        <w:gridCol w:w="622"/>
        <w:gridCol w:w="993"/>
        <w:gridCol w:w="1700"/>
      </w:tblGrid>
      <w:tr w:rsidR="000B0C76" w:rsidRPr="006640DC" w14:paraId="545A9263" w14:textId="77777777" w:rsidTr="009C5C5A">
        <w:trPr>
          <w:jc w:val="center"/>
        </w:trPr>
        <w:tc>
          <w:tcPr>
            <w:tcW w:w="614" w:type="pct"/>
            <w:vAlign w:val="center"/>
          </w:tcPr>
          <w:p w14:paraId="3EC8BC0B" w14:textId="77777777" w:rsidR="000B0C76" w:rsidRPr="006640DC" w:rsidRDefault="000B0C76" w:rsidP="009C5C5A">
            <w:pPr>
              <w:jc w:val="center"/>
              <w:rPr>
                <w:rFonts w:ascii="Times New Roman" w:hAnsi="Times New Roman" w:cs="Times New Roman"/>
                <w:sz w:val="18"/>
                <w:szCs w:val="18"/>
              </w:rPr>
            </w:pPr>
            <w:r w:rsidRPr="006640DC">
              <w:rPr>
                <w:rFonts w:ascii="Times New Roman" w:hAnsi="Times New Roman" w:cs="Times New Roman"/>
                <w:sz w:val="18"/>
                <w:szCs w:val="18"/>
              </w:rPr>
              <w:t>к 01.0</w:t>
            </w:r>
            <w:r>
              <w:rPr>
                <w:rFonts w:ascii="Times New Roman" w:hAnsi="Times New Roman" w:cs="Times New Roman"/>
                <w:sz w:val="18"/>
                <w:szCs w:val="18"/>
              </w:rPr>
              <w:t>1</w:t>
            </w:r>
            <w:r w:rsidRPr="006640DC">
              <w:rPr>
                <w:rFonts w:ascii="Times New Roman" w:hAnsi="Times New Roman" w:cs="Times New Roman"/>
                <w:sz w:val="18"/>
                <w:szCs w:val="18"/>
              </w:rPr>
              <w:t>.202</w:t>
            </w:r>
            <w:r>
              <w:rPr>
                <w:rFonts w:ascii="Times New Roman" w:hAnsi="Times New Roman" w:cs="Times New Roman"/>
                <w:sz w:val="18"/>
                <w:szCs w:val="18"/>
              </w:rPr>
              <w:t>2</w:t>
            </w:r>
          </w:p>
        </w:tc>
        <w:tc>
          <w:tcPr>
            <w:tcW w:w="539" w:type="pct"/>
            <w:vAlign w:val="center"/>
          </w:tcPr>
          <w:p w14:paraId="35E2B7FB" w14:textId="77777777" w:rsidR="000B0C76" w:rsidRPr="006640DC" w:rsidRDefault="000B0C76" w:rsidP="009C5C5A">
            <w:pPr>
              <w:jc w:val="center"/>
              <w:rPr>
                <w:rFonts w:ascii="Times New Roman" w:hAnsi="Times New Roman" w:cs="Times New Roman"/>
                <w:sz w:val="18"/>
              </w:rPr>
            </w:pPr>
            <w:r w:rsidRPr="006640DC">
              <w:rPr>
                <w:rFonts w:ascii="Times New Roman" w:hAnsi="Times New Roman" w:cs="Times New Roman"/>
                <w:color w:val="000000"/>
                <w:sz w:val="18"/>
              </w:rPr>
              <w:t>торговые и офисные здания</w:t>
            </w:r>
          </w:p>
        </w:tc>
        <w:tc>
          <w:tcPr>
            <w:tcW w:w="846" w:type="pct"/>
            <w:vAlign w:val="center"/>
          </w:tcPr>
          <w:p w14:paraId="55B8E4AF" w14:textId="77777777" w:rsidR="000B0C76" w:rsidRPr="006640DC" w:rsidRDefault="000B0C76" w:rsidP="009C5C5A">
            <w:pPr>
              <w:jc w:val="center"/>
              <w:rPr>
                <w:rFonts w:ascii="Times New Roman" w:hAnsi="Times New Roman" w:cs="Times New Roman"/>
                <w:sz w:val="18"/>
              </w:rPr>
            </w:pPr>
            <w:r>
              <w:rPr>
                <w:rFonts w:ascii="Times New Roman" w:hAnsi="Times New Roman" w:cs="Times New Roman"/>
                <w:color w:val="000000"/>
                <w:sz w:val="18"/>
              </w:rPr>
              <w:t>п</w:t>
            </w:r>
            <w:r w:rsidRPr="006640DC">
              <w:rPr>
                <w:rFonts w:ascii="Times New Roman" w:hAnsi="Times New Roman" w:cs="Times New Roman"/>
                <w:color w:val="000000"/>
                <w:sz w:val="18"/>
              </w:rPr>
              <w:t>ромышленности, транспорта, связи и иного специального назначения</w:t>
            </w:r>
          </w:p>
        </w:tc>
        <w:tc>
          <w:tcPr>
            <w:tcW w:w="769" w:type="pct"/>
            <w:vAlign w:val="center"/>
          </w:tcPr>
          <w:p w14:paraId="3129F8DF" w14:textId="77777777" w:rsidR="000B0C76" w:rsidRPr="006640DC" w:rsidRDefault="000B0C76" w:rsidP="009C5C5A">
            <w:pPr>
              <w:jc w:val="center"/>
              <w:rPr>
                <w:rFonts w:ascii="Times New Roman" w:hAnsi="Times New Roman" w:cs="Times New Roman"/>
                <w:sz w:val="18"/>
              </w:rPr>
            </w:pPr>
            <w:r>
              <w:rPr>
                <w:rFonts w:ascii="Times New Roman" w:hAnsi="Times New Roman" w:cs="Times New Roman"/>
                <w:color w:val="000000"/>
                <w:sz w:val="18"/>
              </w:rPr>
              <w:t>м</w:t>
            </w:r>
            <w:r w:rsidRPr="006640DC">
              <w:rPr>
                <w:rFonts w:ascii="Times New Roman" w:hAnsi="Times New Roman" w:cs="Times New Roman"/>
                <w:color w:val="000000"/>
                <w:sz w:val="18"/>
              </w:rPr>
              <w:t>ного</w:t>
            </w:r>
            <w:r>
              <w:rPr>
                <w:rFonts w:ascii="Times New Roman" w:hAnsi="Times New Roman" w:cs="Times New Roman"/>
                <w:color w:val="000000"/>
                <w:sz w:val="18"/>
              </w:rPr>
              <w:t>-</w:t>
            </w:r>
            <w:r w:rsidRPr="006640DC">
              <w:rPr>
                <w:rFonts w:ascii="Times New Roman" w:hAnsi="Times New Roman" w:cs="Times New Roman"/>
                <w:color w:val="000000"/>
                <w:sz w:val="18"/>
              </w:rPr>
              <w:t>квартирное строительство</w:t>
            </w:r>
          </w:p>
        </w:tc>
        <w:tc>
          <w:tcPr>
            <w:tcW w:w="432" w:type="pct"/>
            <w:vAlign w:val="center"/>
          </w:tcPr>
          <w:p w14:paraId="323D610C" w14:textId="77777777" w:rsidR="000B0C76" w:rsidRPr="00FB2E2C" w:rsidRDefault="000B0C76" w:rsidP="009C5C5A">
            <w:pPr>
              <w:jc w:val="center"/>
              <w:rPr>
                <w:rFonts w:ascii="Times New Roman" w:hAnsi="Times New Roman" w:cs="Times New Roman"/>
                <w:b/>
                <w:color w:val="000000"/>
                <w:sz w:val="18"/>
              </w:rPr>
            </w:pPr>
            <w:r w:rsidRPr="00FB2E2C">
              <w:rPr>
                <w:rFonts w:ascii="Times New Roman" w:hAnsi="Times New Roman" w:cs="Times New Roman"/>
                <w:b/>
                <w:color w:val="000000"/>
                <w:sz w:val="18"/>
              </w:rPr>
              <w:t>ИЖС</w:t>
            </w:r>
          </w:p>
          <w:p w14:paraId="77C0E19F" w14:textId="77777777" w:rsidR="000B0C76" w:rsidRPr="00FB2E2C" w:rsidRDefault="000B0C76" w:rsidP="009C5C5A">
            <w:pPr>
              <w:jc w:val="center"/>
              <w:rPr>
                <w:rFonts w:ascii="Times New Roman" w:hAnsi="Times New Roman" w:cs="Times New Roman"/>
                <w:b/>
                <w:color w:val="000000"/>
                <w:sz w:val="18"/>
              </w:rPr>
            </w:pPr>
            <w:r w:rsidRPr="00FB2E2C">
              <w:rPr>
                <w:rFonts w:ascii="Times New Roman" w:hAnsi="Times New Roman" w:cs="Times New Roman"/>
                <w:b/>
                <w:color w:val="000000"/>
                <w:sz w:val="18"/>
              </w:rPr>
              <w:t>и</w:t>
            </w:r>
          </w:p>
          <w:p w14:paraId="3D9C8FEA" w14:textId="77777777" w:rsidR="000B0C76" w:rsidRPr="00FB2E2C" w:rsidRDefault="000B0C76" w:rsidP="009C5C5A">
            <w:pPr>
              <w:jc w:val="center"/>
              <w:rPr>
                <w:rFonts w:ascii="Times New Roman" w:hAnsi="Times New Roman" w:cs="Times New Roman"/>
                <w:b/>
                <w:sz w:val="18"/>
              </w:rPr>
            </w:pPr>
            <w:r w:rsidRPr="00FB2E2C">
              <w:rPr>
                <w:rFonts w:ascii="Times New Roman" w:hAnsi="Times New Roman" w:cs="Times New Roman"/>
                <w:b/>
                <w:color w:val="000000"/>
                <w:sz w:val="18"/>
              </w:rPr>
              <w:t>ЛПХ</w:t>
            </w:r>
          </w:p>
        </w:tc>
        <w:tc>
          <w:tcPr>
            <w:tcW w:w="338" w:type="pct"/>
            <w:vAlign w:val="center"/>
          </w:tcPr>
          <w:p w14:paraId="3A49E74A" w14:textId="77777777" w:rsidR="000B0C76" w:rsidRPr="00FB2E2C" w:rsidRDefault="000B0C76" w:rsidP="009C5C5A">
            <w:pPr>
              <w:jc w:val="center"/>
              <w:rPr>
                <w:rFonts w:ascii="Times New Roman" w:hAnsi="Times New Roman" w:cs="Times New Roman"/>
                <w:b/>
                <w:sz w:val="18"/>
              </w:rPr>
            </w:pPr>
            <w:r w:rsidRPr="00FB2E2C">
              <w:rPr>
                <w:rFonts w:ascii="Times New Roman" w:hAnsi="Times New Roman" w:cs="Times New Roman"/>
                <w:b/>
                <w:color w:val="000000"/>
                <w:sz w:val="18"/>
              </w:rPr>
              <w:t>СНТ и ДНП</w:t>
            </w:r>
          </w:p>
        </w:tc>
        <w:tc>
          <w:tcPr>
            <w:tcW w:w="539" w:type="pct"/>
            <w:vAlign w:val="center"/>
          </w:tcPr>
          <w:p w14:paraId="403ACF36" w14:textId="77777777" w:rsidR="000B0C76" w:rsidRPr="006640DC" w:rsidRDefault="000B0C76" w:rsidP="009C5C5A">
            <w:pPr>
              <w:jc w:val="center"/>
              <w:rPr>
                <w:rFonts w:ascii="Times New Roman" w:hAnsi="Times New Roman" w:cs="Times New Roman"/>
                <w:sz w:val="18"/>
              </w:rPr>
            </w:pPr>
            <w:r w:rsidRPr="006640DC">
              <w:rPr>
                <w:rFonts w:ascii="Times New Roman" w:hAnsi="Times New Roman" w:cs="Times New Roman"/>
                <w:color w:val="000000"/>
                <w:sz w:val="18"/>
              </w:rPr>
              <w:t>С</w:t>
            </w:r>
            <w:r>
              <w:rPr>
                <w:rFonts w:ascii="Times New Roman" w:hAnsi="Times New Roman" w:cs="Times New Roman"/>
                <w:color w:val="000000"/>
                <w:sz w:val="18"/>
              </w:rPr>
              <w:t>/х</w:t>
            </w:r>
            <w:r w:rsidRPr="006640DC">
              <w:rPr>
                <w:rFonts w:ascii="Times New Roman" w:hAnsi="Times New Roman" w:cs="Times New Roman"/>
                <w:color w:val="000000"/>
                <w:sz w:val="18"/>
              </w:rPr>
              <w:t xml:space="preserve"> назна</w:t>
            </w:r>
            <w:r>
              <w:rPr>
                <w:rFonts w:ascii="Times New Roman" w:hAnsi="Times New Roman" w:cs="Times New Roman"/>
                <w:color w:val="000000"/>
                <w:sz w:val="18"/>
              </w:rPr>
              <w:t>-</w:t>
            </w:r>
            <w:r w:rsidRPr="006640DC">
              <w:rPr>
                <w:rFonts w:ascii="Times New Roman" w:hAnsi="Times New Roman" w:cs="Times New Roman"/>
                <w:color w:val="000000"/>
                <w:sz w:val="18"/>
              </w:rPr>
              <w:t>чения</w:t>
            </w:r>
          </w:p>
        </w:tc>
        <w:tc>
          <w:tcPr>
            <w:tcW w:w="923" w:type="pct"/>
            <w:vAlign w:val="center"/>
          </w:tcPr>
          <w:p w14:paraId="2B2C0F7A" w14:textId="77777777" w:rsidR="000B0C76" w:rsidRPr="006640DC" w:rsidRDefault="000B0C76" w:rsidP="009C5C5A">
            <w:pPr>
              <w:jc w:val="center"/>
              <w:rPr>
                <w:rFonts w:ascii="Times New Roman" w:hAnsi="Times New Roman" w:cs="Times New Roman"/>
                <w:sz w:val="18"/>
              </w:rPr>
            </w:pPr>
            <w:r w:rsidRPr="006640DC">
              <w:rPr>
                <w:rFonts w:ascii="Times New Roman" w:hAnsi="Times New Roman" w:cs="Times New Roman"/>
                <w:color w:val="000000"/>
                <w:sz w:val="18"/>
              </w:rPr>
              <w:t>сельскохозяйственного назначения с возможностью или перспективой строительства коммерческих зданий</w:t>
            </w:r>
          </w:p>
        </w:tc>
      </w:tr>
      <w:tr w:rsidR="000B0C76" w:rsidRPr="006640DC" w14:paraId="60A7F41A" w14:textId="77777777" w:rsidTr="009C5C5A">
        <w:trPr>
          <w:jc w:val="center"/>
        </w:trPr>
        <w:tc>
          <w:tcPr>
            <w:tcW w:w="614" w:type="pct"/>
            <w:vAlign w:val="center"/>
          </w:tcPr>
          <w:p w14:paraId="31AEBC5A" w14:textId="77777777" w:rsidR="000B0C76" w:rsidRPr="006640DC" w:rsidRDefault="000B0C76" w:rsidP="009C5C5A">
            <w:pPr>
              <w:jc w:val="center"/>
              <w:rPr>
                <w:rFonts w:ascii="Times New Roman" w:hAnsi="Times New Roman" w:cs="Times New Roman"/>
              </w:rPr>
            </w:pPr>
            <w:r w:rsidRPr="006640DC">
              <w:rPr>
                <w:rFonts w:ascii="Times New Roman" w:hAnsi="Times New Roman" w:cs="Times New Roman"/>
                <w:color w:val="000000"/>
              </w:rPr>
              <w:t>01.01.2018 по 30.06.2018</w:t>
            </w:r>
          </w:p>
        </w:tc>
        <w:tc>
          <w:tcPr>
            <w:tcW w:w="539" w:type="pct"/>
            <w:vAlign w:val="center"/>
          </w:tcPr>
          <w:p w14:paraId="177CA11D"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233D95E7"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0,99</w:t>
            </w:r>
          </w:p>
        </w:tc>
        <w:tc>
          <w:tcPr>
            <w:tcW w:w="769" w:type="pct"/>
            <w:vAlign w:val="center"/>
          </w:tcPr>
          <w:p w14:paraId="0CAC7385"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1,31</w:t>
            </w:r>
          </w:p>
        </w:tc>
        <w:tc>
          <w:tcPr>
            <w:tcW w:w="432" w:type="pct"/>
            <w:vAlign w:val="center"/>
          </w:tcPr>
          <w:p w14:paraId="4ED87C6C" w14:textId="77777777" w:rsidR="000B0C76" w:rsidRPr="00FB2E2C" w:rsidRDefault="000B0C76" w:rsidP="009C5C5A">
            <w:pPr>
              <w:jc w:val="center"/>
              <w:rPr>
                <w:rFonts w:ascii="Times New Roman" w:hAnsi="Times New Roman" w:cs="Times New Roman"/>
                <w:b/>
              </w:rPr>
            </w:pPr>
            <w:r w:rsidRPr="00FB2E2C">
              <w:rPr>
                <w:rFonts w:ascii="Times New Roman" w:hAnsi="Times New Roman" w:cs="Times New Roman"/>
                <w:b/>
              </w:rPr>
              <w:t>1,16</w:t>
            </w:r>
          </w:p>
        </w:tc>
        <w:tc>
          <w:tcPr>
            <w:tcW w:w="338" w:type="pct"/>
            <w:vAlign w:val="center"/>
          </w:tcPr>
          <w:p w14:paraId="622A2388" w14:textId="77777777" w:rsidR="000B0C76" w:rsidRPr="00FB2E2C" w:rsidRDefault="000B0C76" w:rsidP="009C5C5A">
            <w:pPr>
              <w:jc w:val="center"/>
              <w:rPr>
                <w:rFonts w:ascii="Times New Roman" w:hAnsi="Times New Roman" w:cs="Times New Roman"/>
                <w:b/>
              </w:rPr>
            </w:pPr>
            <w:r w:rsidRPr="00FB2E2C">
              <w:rPr>
                <w:rFonts w:ascii="Times New Roman" w:hAnsi="Times New Roman" w:cs="Times New Roman"/>
                <w:b/>
              </w:rPr>
              <w:t>1,14</w:t>
            </w:r>
          </w:p>
        </w:tc>
        <w:tc>
          <w:tcPr>
            <w:tcW w:w="539" w:type="pct"/>
            <w:vAlign w:val="center"/>
          </w:tcPr>
          <w:p w14:paraId="05A2129E" w14:textId="77777777" w:rsidR="000B0C76" w:rsidRPr="00F22DF9" w:rsidRDefault="000B0C76" w:rsidP="009C5C5A">
            <w:pPr>
              <w:jc w:val="center"/>
              <w:rPr>
                <w:rFonts w:ascii="Times New Roman" w:hAnsi="Times New Roman" w:cs="Times New Roman"/>
                <w:b/>
              </w:rPr>
            </w:pPr>
            <w:r w:rsidRPr="00F22DF9">
              <w:rPr>
                <w:rFonts w:ascii="Times New Roman" w:hAnsi="Times New Roman" w:cs="Times New Roman"/>
              </w:rPr>
              <w:t>1,15</w:t>
            </w:r>
          </w:p>
        </w:tc>
        <w:tc>
          <w:tcPr>
            <w:tcW w:w="923" w:type="pct"/>
            <w:vAlign w:val="center"/>
          </w:tcPr>
          <w:p w14:paraId="35B0F4B1"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1,11</w:t>
            </w:r>
          </w:p>
        </w:tc>
      </w:tr>
      <w:tr w:rsidR="000B0C76" w:rsidRPr="006640DC" w14:paraId="756CCC83" w14:textId="77777777" w:rsidTr="009C5C5A">
        <w:trPr>
          <w:jc w:val="center"/>
        </w:trPr>
        <w:tc>
          <w:tcPr>
            <w:tcW w:w="614" w:type="pct"/>
            <w:vAlign w:val="center"/>
          </w:tcPr>
          <w:p w14:paraId="264C866D" w14:textId="77777777" w:rsidR="000B0C76" w:rsidRPr="006640DC" w:rsidRDefault="000B0C76" w:rsidP="009C5C5A">
            <w:pPr>
              <w:jc w:val="center"/>
              <w:rPr>
                <w:rFonts w:ascii="Times New Roman" w:hAnsi="Times New Roman" w:cs="Times New Roman"/>
              </w:rPr>
            </w:pPr>
            <w:r w:rsidRPr="006640DC">
              <w:rPr>
                <w:rFonts w:ascii="Times New Roman" w:hAnsi="Times New Roman" w:cs="Times New Roman"/>
                <w:color w:val="000000"/>
              </w:rPr>
              <w:t>01.07.2018 по 31.12.2018</w:t>
            </w:r>
          </w:p>
        </w:tc>
        <w:tc>
          <w:tcPr>
            <w:tcW w:w="539" w:type="pct"/>
            <w:vAlign w:val="center"/>
          </w:tcPr>
          <w:p w14:paraId="60CDDC89"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549264E9"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0,99</w:t>
            </w:r>
          </w:p>
        </w:tc>
        <w:tc>
          <w:tcPr>
            <w:tcW w:w="769" w:type="pct"/>
            <w:vAlign w:val="center"/>
          </w:tcPr>
          <w:p w14:paraId="0F362320"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1,30</w:t>
            </w:r>
          </w:p>
        </w:tc>
        <w:tc>
          <w:tcPr>
            <w:tcW w:w="432" w:type="pct"/>
            <w:vAlign w:val="center"/>
          </w:tcPr>
          <w:p w14:paraId="2AEE4C5B" w14:textId="77777777" w:rsidR="000B0C76" w:rsidRPr="00FB2E2C" w:rsidRDefault="000B0C76" w:rsidP="009C5C5A">
            <w:pPr>
              <w:jc w:val="center"/>
              <w:rPr>
                <w:rFonts w:ascii="Times New Roman" w:hAnsi="Times New Roman" w:cs="Times New Roman"/>
                <w:b/>
              </w:rPr>
            </w:pPr>
            <w:r w:rsidRPr="00FB2E2C">
              <w:rPr>
                <w:rFonts w:ascii="Times New Roman" w:hAnsi="Times New Roman" w:cs="Times New Roman"/>
                <w:b/>
              </w:rPr>
              <w:t>1,17</w:t>
            </w:r>
          </w:p>
        </w:tc>
        <w:tc>
          <w:tcPr>
            <w:tcW w:w="338" w:type="pct"/>
            <w:vAlign w:val="center"/>
          </w:tcPr>
          <w:p w14:paraId="12F40EB6" w14:textId="77777777" w:rsidR="000B0C76" w:rsidRPr="00FB2E2C" w:rsidRDefault="000B0C76" w:rsidP="009C5C5A">
            <w:pPr>
              <w:jc w:val="center"/>
              <w:rPr>
                <w:rFonts w:ascii="Times New Roman" w:hAnsi="Times New Roman" w:cs="Times New Roman"/>
                <w:b/>
              </w:rPr>
            </w:pPr>
            <w:r w:rsidRPr="00FB2E2C">
              <w:rPr>
                <w:rFonts w:ascii="Times New Roman" w:hAnsi="Times New Roman" w:cs="Times New Roman"/>
                <w:b/>
              </w:rPr>
              <w:t>1,15</w:t>
            </w:r>
          </w:p>
        </w:tc>
        <w:tc>
          <w:tcPr>
            <w:tcW w:w="539" w:type="pct"/>
            <w:vAlign w:val="center"/>
          </w:tcPr>
          <w:p w14:paraId="37E512D1" w14:textId="77777777" w:rsidR="000B0C76" w:rsidRPr="00F22DF9" w:rsidRDefault="000B0C76" w:rsidP="009C5C5A">
            <w:pPr>
              <w:jc w:val="center"/>
              <w:rPr>
                <w:rFonts w:ascii="Times New Roman" w:hAnsi="Times New Roman" w:cs="Times New Roman"/>
                <w:b/>
              </w:rPr>
            </w:pPr>
            <w:r w:rsidRPr="00F22DF9">
              <w:rPr>
                <w:rFonts w:ascii="Times New Roman" w:hAnsi="Times New Roman" w:cs="Times New Roman"/>
              </w:rPr>
              <w:t>1,14</w:t>
            </w:r>
          </w:p>
        </w:tc>
        <w:tc>
          <w:tcPr>
            <w:tcW w:w="923" w:type="pct"/>
            <w:vAlign w:val="center"/>
          </w:tcPr>
          <w:p w14:paraId="6A0FA654"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1,13</w:t>
            </w:r>
          </w:p>
        </w:tc>
      </w:tr>
      <w:tr w:rsidR="000B0C76" w:rsidRPr="006640DC" w14:paraId="0EBBF1F7" w14:textId="77777777" w:rsidTr="009C5C5A">
        <w:trPr>
          <w:jc w:val="center"/>
        </w:trPr>
        <w:tc>
          <w:tcPr>
            <w:tcW w:w="614" w:type="pct"/>
            <w:vAlign w:val="center"/>
          </w:tcPr>
          <w:p w14:paraId="69EEC249" w14:textId="77777777" w:rsidR="000B0C76" w:rsidRPr="006640DC" w:rsidRDefault="000B0C76" w:rsidP="009C5C5A">
            <w:pPr>
              <w:jc w:val="center"/>
              <w:rPr>
                <w:rFonts w:ascii="Times New Roman" w:hAnsi="Times New Roman" w:cs="Times New Roman"/>
              </w:rPr>
            </w:pPr>
            <w:r w:rsidRPr="006640DC">
              <w:rPr>
                <w:rFonts w:ascii="Times New Roman" w:hAnsi="Times New Roman" w:cs="Times New Roman"/>
                <w:color w:val="000000"/>
              </w:rPr>
              <w:t>01.01.2019 по 30.06.2019</w:t>
            </w:r>
          </w:p>
        </w:tc>
        <w:tc>
          <w:tcPr>
            <w:tcW w:w="539" w:type="pct"/>
            <w:vAlign w:val="center"/>
          </w:tcPr>
          <w:p w14:paraId="07A05EBD"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2E5F2193"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0,99</w:t>
            </w:r>
          </w:p>
        </w:tc>
        <w:tc>
          <w:tcPr>
            <w:tcW w:w="769" w:type="pct"/>
            <w:vAlign w:val="center"/>
          </w:tcPr>
          <w:p w14:paraId="1297BEA0"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1,28</w:t>
            </w:r>
          </w:p>
        </w:tc>
        <w:tc>
          <w:tcPr>
            <w:tcW w:w="432" w:type="pct"/>
            <w:vAlign w:val="center"/>
          </w:tcPr>
          <w:p w14:paraId="6278B8C5" w14:textId="77777777" w:rsidR="000B0C76" w:rsidRPr="00FB2E2C" w:rsidRDefault="000B0C76" w:rsidP="009C5C5A">
            <w:pPr>
              <w:jc w:val="center"/>
              <w:rPr>
                <w:rFonts w:ascii="Times New Roman" w:hAnsi="Times New Roman" w:cs="Times New Roman"/>
                <w:b/>
              </w:rPr>
            </w:pPr>
            <w:r w:rsidRPr="00FB2E2C">
              <w:rPr>
                <w:rFonts w:ascii="Times New Roman" w:hAnsi="Times New Roman" w:cs="Times New Roman"/>
                <w:b/>
              </w:rPr>
              <w:t>1,17</w:t>
            </w:r>
          </w:p>
        </w:tc>
        <w:tc>
          <w:tcPr>
            <w:tcW w:w="338" w:type="pct"/>
            <w:vAlign w:val="center"/>
          </w:tcPr>
          <w:p w14:paraId="4C5543B1" w14:textId="77777777" w:rsidR="000B0C76" w:rsidRPr="00FB2E2C" w:rsidRDefault="000B0C76" w:rsidP="009C5C5A">
            <w:pPr>
              <w:jc w:val="center"/>
              <w:rPr>
                <w:rFonts w:ascii="Times New Roman" w:hAnsi="Times New Roman" w:cs="Times New Roman"/>
                <w:b/>
              </w:rPr>
            </w:pPr>
            <w:r w:rsidRPr="00FB2E2C">
              <w:rPr>
                <w:rFonts w:ascii="Times New Roman" w:hAnsi="Times New Roman" w:cs="Times New Roman"/>
                <w:b/>
              </w:rPr>
              <w:t>1,15</w:t>
            </w:r>
          </w:p>
        </w:tc>
        <w:tc>
          <w:tcPr>
            <w:tcW w:w="539" w:type="pct"/>
            <w:vAlign w:val="center"/>
          </w:tcPr>
          <w:p w14:paraId="7E12CD3D" w14:textId="77777777" w:rsidR="000B0C76" w:rsidRPr="00F22DF9" w:rsidRDefault="000B0C76" w:rsidP="009C5C5A">
            <w:pPr>
              <w:jc w:val="center"/>
              <w:rPr>
                <w:rFonts w:ascii="Times New Roman" w:hAnsi="Times New Roman" w:cs="Times New Roman"/>
                <w:b/>
              </w:rPr>
            </w:pPr>
            <w:r w:rsidRPr="00F22DF9">
              <w:rPr>
                <w:rFonts w:ascii="Times New Roman" w:hAnsi="Times New Roman" w:cs="Times New Roman"/>
              </w:rPr>
              <w:t>1,12</w:t>
            </w:r>
          </w:p>
        </w:tc>
        <w:tc>
          <w:tcPr>
            <w:tcW w:w="923" w:type="pct"/>
            <w:vAlign w:val="center"/>
          </w:tcPr>
          <w:p w14:paraId="3258AB9A"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1,13</w:t>
            </w:r>
          </w:p>
        </w:tc>
      </w:tr>
      <w:tr w:rsidR="000B0C76" w:rsidRPr="006640DC" w14:paraId="57577E6F" w14:textId="77777777" w:rsidTr="009C5C5A">
        <w:trPr>
          <w:jc w:val="center"/>
        </w:trPr>
        <w:tc>
          <w:tcPr>
            <w:tcW w:w="614" w:type="pct"/>
            <w:vAlign w:val="center"/>
          </w:tcPr>
          <w:p w14:paraId="5B3E3AFD" w14:textId="77777777" w:rsidR="000B0C76" w:rsidRPr="006640DC" w:rsidRDefault="000B0C76" w:rsidP="009C5C5A">
            <w:pPr>
              <w:jc w:val="center"/>
              <w:rPr>
                <w:rFonts w:ascii="Times New Roman" w:hAnsi="Times New Roman" w:cs="Times New Roman"/>
              </w:rPr>
            </w:pPr>
            <w:r w:rsidRPr="006640DC">
              <w:rPr>
                <w:rFonts w:ascii="Times New Roman" w:hAnsi="Times New Roman" w:cs="Times New Roman"/>
                <w:color w:val="000000"/>
              </w:rPr>
              <w:t>01.07.2019 по 31.12.2019</w:t>
            </w:r>
          </w:p>
        </w:tc>
        <w:tc>
          <w:tcPr>
            <w:tcW w:w="539" w:type="pct"/>
            <w:vAlign w:val="center"/>
          </w:tcPr>
          <w:p w14:paraId="7D69E6D4"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1,03</w:t>
            </w:r>
          </w:p>
        </w:tc>
        <w:tc>
          <w:tcPr>
            <w:tcW w:w="846" w:type="pct"/>
            <w:vAlign w:val="center"/>
          </w:tcPr>
          <w:p w14:paraId="62C95AEF"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0,97</w:t>
            </w:r>
          </w:p>
        </w:tc>
        <w:tc>
          <w:tcPr>
            <w:tcW w:w="769" w:type="pct"/>
            <w:vAlign w:val="center"/>
          </w:tcPr>
          <w:p w14:paraId="61B26FD8"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1,24</w:t>
            </w:r>
          </w:p>
        </w:tc>
        <w:tc>
          <w:tcPr>
            <w:tcW w:w="432" w:type="pct"/>
            <w:vAlign w:val="center"/>
          </w:tcPr>
          <w:p w14:paraId="15799653" w14:textId="77777777" w:rsidR="000B0C76" w:rsidRPr="00FB2E2C" w:rsidRDefault="000B0C76" w:rsidP="009C5C5A">
            <w:pPr>
              <w:jc w:val="center"/>
              <w:rPr>
                <w:rFonts w:ascii="Times New Roman" w:hAnsi="Times New Roman" w:cs="Times New Roman"/>
                <w:b/>
              </w:rPr>
            </w:pPr>
            <w:r w:rsidRPr="00FB2E2C">
              <w:rPr>
                <w:rFonts w:ascii="Times New Roman" w:hAnsi="Times New Roman" w:cs="Times New Roman"/>
                <w:b/>
              </w:rPr>
              <w:t>1,15</w:t>
            </w:r>
          </w:p>
        </w:tc>
        <w:tc>
          <w:tcPr>
            <w:tcW w:w="338" w:type="pct"/>
            <w:vAlign w:val="center"/>
          </w:tcPr>
          <w:p w14:paraId="7488B45B" w14:textId="77777777" w:rsidR="000B0C76" w:rsidRPr="00FB2E2C" w:rsidRDefault="000B0C76" w:rsidP="009C5C5A">
            <w:pPr>
              <w:jc w:val="center"/>
              <w:rPr>
                <w:rFonts w:ascii="Times New Roman" w:hAnsi="Times New Roman" w:cs="Times New Roman"/>
                <w:b/>
              </w:rPr>
            </w:pPr>
            <w:r w:rsidRPr="00FB2E2C">
              <w:rPr>
                <w:rFonts w:ascii="Times New Roman" w:hAnsi="Times New Roman" w:cs="Times New Roman"/>
                <w:b/>
              </w:rPr>
              <w:t>1,13</w:t>
            </w:r>
          </w:p>
        </w:tc>
        <w:tc>
          <w:tcPr>
            <w:tcW w:w="539" w:type="pct"/>
            <w:vAlign w:val="center"/>
          </w:tcPr>
          <w:p w14:paraId="3B7C0ED4" w14:textId="77777777" w:rsidR="000B0C76" w:rsidRPr="00F22DF9" w:rsidRDefault="000B0C76" w:rsidP="009C5C5A">
            <w:pPr>
              <w:jc w:val="center"/>
              <w:rPr>
                <w:rFonts w:ascii="Times New Roman" w:hAnsi="Times New Roman" w:cs="Times New Roman"/>
                <w:b/>
              </w:rPr>
            </w:pPr>
            <w:r w:rsidRPr="00F22DF9">
              <w:rPr>
                <w:rFonts w:ascii="Times New Roman" w:hAnsi="Times New Roman" w:cs="Times New Roman"/>
              </w:rPr>
              <w:t>1,08</w:t>
            </w:r>
          </w:p>
        </w:tc>
        <w:tc>
          <w:tcPr>
            <w:tcW w:w="923" w:type="pct"/>
            <w:vAlign w:val="center"/>
          </w:tcPr>
          <w:p w14:paraId="2151B9F4"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1,10</w:t>
            </w:r>
          </w:p>
        </w:tc>
      </w:tr>
      <w:tr w:rsidR="000B0C76" w:rsidRPr="006640DC" w14:paraId="6010B82C" w14:textId="77777777" w:rsidTr="009C5C5A">
        <w:trPr>
          <w:jc w:val="center"/>
        </w:trPr>
        <w:tc>
          <w:tcPr>
            <w:tcW w:w="614" w:type="pct"/>
            <w:vAlign w:val="center"/>
          </w:tcPr>
          <w:p w14:paraId="529A5C63" w14:textId="77777777" w:rsidR="000B0C76" w:rsidRPr="006640DC" w:rsidRDefault="000B0C76" w:rsidP="009C5C5A">
            <w:pPr>
              <w:jc w:val="center"/>
              <w:rPr>
                <w:rFonts w:ascii="Times New Roman" w:hAnsi="Times New Roman" w:cs="Times New Roman"/>
              </w:rPr>
            </w:pPr>
            <w:r w:rsidRPr="006640DC">
              <w:rPr>
                <w:rFonts w:ascii="Times New Roman" w:hAnsi="Times New Roman" w:cs="Times New Roman"/>
                <w:color w:val="000000"/>
              </w:rPr>
              <w:t>01.01.2020 по 30.06.2020</w:t>
            </w:r>
          </w:p>
        </w:tc>
        <w:tc>
          <w:tcPr>
            <w:tcW w:w="539" w:type="pct"/>
            <w:vAlign w:val="center"/>
          </w:tcPr>
          <w:p w14:paraId="06D729AB"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1,01</w:t>
            </w:r>
          </w:p>
        </w:tc>
        <w:tc>
          <w:tcPr>
            <w:tcW w:w="846" w:type="pct"/>
            <w:vAlign w:val="center"/>
          </w:tcPr>
          <w:p w14:paraId="07664796"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0,95</w:t>
            </w:r>
          </w:p>
        </w:tc>
        <w:tc>
          <w:tcPr>
            <w:tcW w:w="769" w:type="pct"/>
            <w:vAlign w:val="center"/>
          </w:tcPr>
          <w:p w14:paraId="79D4FD63"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1,19</w:t>
            </w:r>
          </w:p>
        </w:tc>
        <w:tc>
          <w:tcPr>
            <w:tcW w:w="432" w:type="pct"/>
            <w:vAlign w:val="center"/>
          </w:tcPr>
          <w:p w14:paraId="7B09AC22" w14:textId="77777777" w:rsidR="000B0C76" w:rsidRPr="00FB2E2C" w:rsidRDefault="000B0C76" w:rsidP="009C5C5A">
            <w:pPr>
              <w:jc w:val="center"/>
              <w:rPr>
                <w:rFonts w:ascii="Times New Roman" w:hAnsi="Times New Roman" w:cs="Times New Roman"/>
                <w:b/>
              </w:rPr>
            </w:pPr>
            <w:r w:rsidRPr="00FB2E2C">
              <w:rPr>
                <w:rFonts w:ascii="Times New Roman" w:hAnsi="Times New Roman" w:cs="Times New Roman"/>
                <w:b/>
              </w:rPr>
              <w:t>1,14</w:t>
            </w:r>
          </w:p>
        </w:tc>
        <w:tc>
          <w:tcPr>
            <w:tcW w:w="338" w:type="pct"/>
            <w:vAlign w:val="center"/>
          </w:tcPr>
          <w:p w14:paraId="3D1D8738" w14:textId="77777777" w:rsidR="000B0C76" w:rsidRPr="00FB2E2C" w:rsidRDefault="000B0C76" w:rsidP="009C5C5A">
            <w:pPr>
              <w:jc w:val="center"/>
              <w:rPr>
                <w:rFonts w:ascii="Times New Roman" w:hAnsi="Times New Roman" w:cs="Times New Roman"/>
                <w:b/>
              </w:rPr>
            </w:pPr>
            <w:r w:rsidRPr="00FB2E2C">
              <w:rPr>
                <w:rFonts w:ascii="Times New Roman" w:hAnsi="Times New Roman" w:cs="Times New Roman"/>
                <w:b/>
              </w:rPr>
              <w:t>1,10</w:t>
            </w:r>
          </w:p>
        </w:tc>
        <w:tc>
          <w:tcPr>
            <w:tcW w:w="539" w:type="pct"/>
            <w:vAlign w:val="center"/>
          </w:tcPr>
          <w:p w14:paraId="30D9345B" w14:textId="77777777" w:rsidR="000B0C76" w:rsidRPr="00F22DF9" w:rsidRDefault="000B0C76" w:rsidP="009C5C5A">
            <w:pPr>
              <w:jc w:val="center"/>
              <w:rPr>
                <w:rFonts w:ascii="Times New Roman" w:hAnsi="Times New Roman" w:cs="Times New Roman"/>
                <w:b/>
              </w:rPr>
            </w:pPr>
            <w:r w:rsidRPr="00F22DF9">
              <w:rPr>
                <w:rFonts w:ascii="Times New Roman" w:hAnsi="Times New Roman" w:cs="Times New Roman"/>
              </w:rPr>
              <w:t>1,05</w:t>
            </w:r>
          </w:p>
        </w:tc>
        <w:tc>
          <w:tcPr>
            <w:tcW w:w="923" w:type="pct"/>
            <w:vAlign w:val="center"/>
          </w:tcPr>
          <w:p w14:paraId="17BA45B4"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1,08</w:t>
            </w:r>
          </w:p>
        </w:tc>
      </w:tr>
      <w:tr w:rsidR="000B0C76" w:rsidRPr="006640DC" w14:paraId="3671B9E1" w14:textId="77777777" w:rsidTr="009C5C5A">
        <w:trPr>
          <w:jc w:val="center"/>
        </w:trPr>
        <w:tc>
          <w:tcPr>
            <w:tcW w:w="614" w:type="pct"/>
            <w:vAlign w:val="center"/>
          </w:tcPr>
          <w:p w14:paraId="7C764925" w14:textId="77777777" w:rsidR="000B0C76" w:rsidRPr="006640DC" w:rsidRDefault="000B0C76" w:rsidP="009C5C5A">
            <w:pPr>
              <w:jc w:val="center"/>
              <w:rPr>
                <w:rFonts w:ascii="Times New Roman" w:hAnsi="Times New Roman" w:cs="Times New Roman"/>
              </w:rPr>
            </w:pPr>
            <w:r w:rsidRPr="006640DC">
              <w:rPr>
                <w:rFonts w:ascii="Times New Roman" w:hAnsi="Times New Roman" w:cs="Times New Roman"/>
                <w:color w:val="000000"/>
              </w:rPr>
              <w:t>01.07.2020 по 31.12.2020</w:t>
            </w:r>
          </w:p>
        </w:tc>
        <w:tc>
          <w:tcPr>
            <w:tcW w:w="539" w:type="pct"/>
            <w:vAlign w:val="center"/>
          </w:tcPr>
          <w:p w14:paraId="60E1167D"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1,05</w:t>
            </w:r>
          </w:p>
        </w:tc>
        <w:tc>
          <w:tcPr>
            <w:tcW w:w="846" w:type="pct"/>
            <w:vAlign w:val="center"/>
          </w:tcPr>
          <w:p w14:paraId="3628919A"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0,98</w:t>
            </w:r>
          </w:p>
        </w:tc>
        <w:tc>
          <w:tcPr>
            <w:tcW w:w="769" w:type="pct"/>
            <w:vAlign w:val="center"/>
          </w:tcPr>
          <w:p w14:paraId="4D6692C4"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1,17</w:t>
            </w:r>
          </w:p>
        </w:tc>
        <w:tc>
          <w:tcPr>
            <w:tcW w:w="432" w:type="pct"/>
            <w:vAlign w:val="center"/>
          </w:tcPr>
          <w:p w14:paraId="73195087" w14:textId="77777777" w:rsidR="000B0C76" w:rsidRPr="00FB2E2C" w:rsidRDefault="000B0C76" w:rsidP="009C5C5A">
            <w:pPr>
              <w:jc w:val="center"/>
              <w:rPr>
                <w:rFonts w:ascii="Times New Roman" w:hAnsi="Times New Roman" w:cs="Times New Roman"/>
                <w:b/>
              </w:rPr>
            </w:pPr>
            <w:r w:rsidRPr="00FB2E2C">
              <w:rPr>
                <w:rFonts w:ascii="Times New Roman" w:hAnsi="Times New Roman" w:cs="Times New Roman"/>
                <w:b/>
              </w:rPr>
              <w:t>1,11</w:t>
            </w:r>
          </w:p>
        </w:tc>
        <w:tc>
          <w:tcPr>
            <w:tcW w:w="338" w:type="pct"/>
            <w:vAlign w:val="center"/>
          </w:tcPr>
          <w:p w14:paraId="2D333764" w14:textId="77777777" w:rsidR="000B0C76" w:rsidRPr="00FB2E2C" w:rsidRDefault="000B0C76" w:rsidP="009C5C5A">
            <w:pPr>
              <w:jc w:val="center"/>
              <w:rPr>
                <w:rFonts w:ascii="Times New Roman" w:hAnsi="Times New Roman" w:cs="Times New Roman"/>
                <w:b/>
              </w:rPr>
            </w:pPr>
            <w:r w:rsidRPr="00FB2E2C">
              <w:rPr>
                <w:rFonts w:ascii="Times New Roman" w:hAnsi="Times New Roman" w:cs="Times New Roman"/>
                <w:b/>
              </w:rPr>
              <w:t>1,09</w:t>
            </w:r>
          </w:p>
        </w:tc>
        <w:tc>
          <w:tcPr>
            <w:tcW w:w="539" w:type="pct"/>
            <w:vAlign w:val="center"/>
          </w:tcPr>
          <w:p w14:paraId="20E0C3FB" w14:textId="77777777" w:rsidR="000B0C76" w:rsidRPr="00F22DF9" w:rsidRDefault="000B0C76" w:rsidP="009C5C5A">
            <w:pPr>
              <w:jc w:val="center"/>
              <w:rPr>
                <w:rFonts w:ascii="Times New Roman" w:hAnsi="Times New Roman" w:cs="Times New Roman"/>
                <w:b/>
              </w:rPr>
            </w:pPr>
            <w:r w:rsidRPr="00F22DF9">
              <w:rPr>
                <w:rFonts w:ascii="Times New Roman" w:hAnsi="Times New Roman" w:cs="Times New Roman"/>
              </w:rPr>
              <w:t>1,03</w:t>
            </w:r>
          </w:p>
        </w:tc>
        <w:tc>
          <w:tcPr>
            <w:tcW w:w="923" w:type="pct"/>
            <w:vAlign w:val="center"/>
          </w:tcPr>
          <w:p w14:paraId="69CB470D"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1,07</w:t>
            </w:r>
          </w:p>
        </w:tc>
      </w:tr>
      <w:tr w:rsidR="000B0C76" w:rsidRPr="006640DC" w14:paraId="1C046779" w14:textId="77777777" w:rsidTr="009C5C5A">
        <w:trPr>
          <w:jc w:val="center"/>
        </w:trPr>
        <w:tc>
          <w:tcPr>
            <w:tcW w:w="614" w:type="pct"/>
            <w:vAlign w:val="center"/>
          </w:tcPr>
          <w:p w14:paraId="43F4C5C1" w14:textId="77777777" w:rsidR="000B0C76" w:rsidRPr="006640DC" w:rsidRDefault="000B0C76" w:rsidP="009C5C5A">
            <w:pPr>
              <w:jc w:val="center"/>
              <w:rPr>
                <w:rFonts w:ascii="Times New Roman" w:hAnsi="Times New Roman" w:cs="Times New Roman"/>
              </w:rPr>
            </w:pPr>
            <w:r w:rsidRPr="006640DC">
              <w:rPr>
                <w:rFonts w:ascii="Times New Roman" w:hAnsi="Times New Roman" w:cs="Times New Roman"/>
                <w:color w:val="000000"/>
              </w:rPr>
              <w:t>01.01.2021 по 30.06.2021</w:t>
            </w:r>
          </w:p>
        </w:tc>
        <w:tc>
          <w:tcPr>
            <w:tcW w:w="539" w:type="pct"/>
            <w:vAlign w:val="center"/>
          </w:tcPr>
          <w:p w14:paraId="20534EDD"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1,04</w:t>
            </w:r>
          </w:p>
        </w:tc>
        <w:tc>
          <w:tcPr>
            <w:tcW w:w="846" w:type="pct"/>
            <w:vAlign w:val="center"/>
          </w:tcPr>
          <w:p w14:paraId="37052E48"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0,98</w:t>
            </w:r>
          </w:p>
        </w:tc>
        <w:tc>
          <w:tcPr>
            <w:tcW w:w="769" w:type="pct"/>
            <w:vAlign w:val="center"/>
          </w:tcPr>
          <w:p w14:paraId="5CCD4A42"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1,07</w:t>
            </w:r>
          </w:p>
        </w:tc>
        <w:tc>
          <w:tcPr>
            <w:tcW w:w="432" w:type="pct"/>
            <w:vAlign w:val="center"/>
          </w:tcPr>
          <w:p w14:paraId="4AA6B877" w14:textId="77777777" w:rsidR="000B0C76" w:rsidRPr="00FB2E2C" w:rsidRDefault="000B0C76" w:rsidP="009C5C5A">
            <w:pPr>
              <w:jc w:val="center"/>
              <w:rPr>
                <w:rFonts w:ascii="Times New Roman" w:hAnsi="Times New Roman" w:cs="Times New Roman"/>
                <w:b/>
              </w:rPr>
            </w:pPr>
            <w:r w:rsidRPr="00FB2E2C">
              <w:rPr>
                <w:rFonts w:ascii="Times New Roman" w:hAnsi="Times New Roman" w:cs="Times New Roman"/>
                <w:b/>
              </w:rPr>
              <w:t>1,06</w:t>
            </w:r>
          </w:p>
        </w:tc>
        <w:tc>
          <w:tcPr>
            <w:tcW w:w="338" w:type="pct"/>
            <w:vAlign w:val="center"/>
          </w:tcPr>
          <w:p w14:paraId="78FF9C0C" w14:textId="77777777" w:rsidR="000B0C76" w:rsidRPr="00FB2E2C" w:rsidRDefault="000B0C76" w:rsidP="009C5C5A">
            <w:pPr>
              <w:jc w:val="center"/>
              <w:rPr>
                <w:rFonts w:ascii="Times New Roman" w:hAnsi="Times New Roman" w:cs="Times New Roman"/>
                <w:b/>
              </w:rPr>
            </w:pPr>
            <w:r w:rsidRPr="00FB2E2C">
              <w:rPr>
                <w:rFonts w:ascii="Times New Roman" w:hAnsi="Times New Roman" w:cs="Times New Roman"/>
                <w:b/>
              </w:rPr>
              <w:t>1,04</w:t>
            </w:r>
          </w:p>
        </w:tc>
        <w:tc>
          <w:tcPr>
            <w:tcW w:w="539" w:type="pct"/>
            <w:vAlign w:val="center"/>
          </w:tcPr>
          <w:p w14:paraId="01126B01" w14:textId="77777777" w:rsidR="000B0C76" w:rsidRPr="00F22DF9" w:rsidRDefault="000B0C76" w:rsidP="009C5C5A">
            <w:pPr>
              <w:jc w:val="center"/>
              <w:rPr>
                <w:rFonts w:ascii="Times New Roman" w:hAnsi="Times New Roman" w:cs="Times New Roman"/>
                <w:b/>
              </w:rPr>
            </w:pPr>
            <w:r w:rsidRPr="00F22DF9">
              <w:rPr>
                <w:rFonts w:ascii="Times New Roman" w:hAnsi="Times New Roman" w:cs="Times New Roman"/>
              </w:rPr>
              <w:t>1,01</w:t>
            </w:r>
          </w:p>
        </w:tc>
        <w:tc>
          <w:tcPr>
            <w:tcW w:w="923" w:type="pct"/>
            <w:vAlign w:val="center"/>
          </w:tcPr>
          <w:p w14:paraId="3A9FB58B"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1,02</w:t>
            </w:r>
          </w:p>
        </w:tc>
      </w:tr>
      <w:tr w:rsidR="000B0C76" w:rsidRPr="006640DC" w14:paraId="4308FAF9" w14:textId="77777777" w:rsidTr="009C5C5A">
        <w:trPr>
          <w:jc w:val="center"/>
        </w:trPr>
        <w:tc>
          <w:tcPr>
            <w:tcW w:w="614" w:type="pct"/>
            <w:vAlign w:val="center"/>
          </w:tcPr>
          <w:p w14:paraId="700240F4" w14:textId="77777777" w:rsidR="000B0C76" w:rsidRPr="006640DC" w:rsidRDefault="000B0C76" w:rsidP="009C5C5A">
            <w:pPr>
              <w:jc w:val="center"/>
              <w:rPr>
                <w:rFonts w:ascii="Times New Roman" w:hAnsi="Times New Roman" w:cs="Times New Roman"/>
              </w:rPr>
            </w:pPr>
            <w:r w:rsidRPr="006640DC">
              <w:rPr>
                <w:rFonts w:ascii="Times New Roman" w:hAnsi="Times New Roman" w:cs="Times New Roman"/>
                <w:color w:val="000000"/>
              </w:rPr>
              <w:t>01.07.2021 по 31.12.2021</w:t>
            </w:r>
          </w:p>
        </w:tc>
        <w:tc>
          <w:tcPr>
            <w:tcW w:w="539" w:type="pct"/>
            <w:vAlign w:val="center"/>
          </w:tcPr>
          <w:p w14:paraId="2182D318"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1,02</w:t>
            </w:r>
          </w:p>
        </w:tc>
        <w:tc>
          <w:tcPr>
            <w:tcW w:w="846" w:type="pct"/>
            <w:vAlign w:val="center"/>
          </w:tcPr>
          <w:p w14:paraId="32E8FC56"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0,98</w:t>
            </w:r>
          </w:p>
        </w:tc>
        <w:tc>
          <w:tcPr>
            <w:tcW w:w="769" w:type="pct"/>
            <w:vAlign w:val="center"/>
          </w:tcPr>
          <w:p w14:paraId="2F25470F"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1,03</w:t>
            </w:r>
          </w:p>
        </w:tc>
        <w:tc>
          <w:tcPr>
            <w:tcW w:w="432" w:type="pct"/>
            <w:vAlign w:val="center"/>
          </w:tcPr>
          <w:p w14:paraId="4423DFCB" w14:textId="77777777" w:rsidR="000B0C76" w:rsidRPr="00FB2E2C" w:rsidRDefault="000B0C76" w:rsidP="009C5C5A">
            <w:pPr>
              <w:jc w:val="center"/>
              <w:rPr>
                <w:rFonts w:ascii="Times New Roman" w:hAnsi="Times New Roman" w:cs="Times New Roman"/>
                <w:b/>
              </w:rPr>
            </w:pPr>
            <w:r w:rsidRPr="00FB2E2C">
              <w:rPr>
                <w:rFonts w:ascii="Times New Roman" w:hAnsi="Times New Roman" w:cs="Times New Roman"/>
                <w:b/>
              </w:rPr>
              <w:t>1,04</w:t>
            </w:r>
          </w:p>
        </w:tc>
        <w:tc>
          <w:tcPr>
            <w:tcW w:w="338" w:type="pct"/>
            <w:vAlign w:val="center"/>
          </w:tcPr>
          <w:p w14:paraId="2F4D4451" w14:textId="77777777" w:rsidR="000B0C76" w:rsidRPr="00FB2E2C" w:rsidRDefault="000B0C76" w:rsidP="009C5C5A">
            <w:pPr>
              <w:jc w:val="center"/>
              <w:rPr>
                <w:rFonts w:ascii="Times New Roman" w:hAnsi="Times New Roman" w:cs="Times New Roman"/>
                <w:b/>
              </w:rPr>
            </w:pPr>
            <w:r w:rsidRPr="00FB2E2C">
              <w:rPr>
                <w:rFonts w:ascii="Times New Roman" w:hAnsi="Times New Roman" w:cs="Times New Roman"/>
                <w:b/>
              </w:rPr>
              <w:t>1,01</w:t>
            </w:r>
          </w:p>
        </w:tc>
        <w:tc>
          <w:tcPr>
            <w:tcW w:w="539" w:type="pct"/>
            <w:vAlign w:val="center"/>
          </w:tcPr>
          <w:p w14:paraId="42429B89" w14:textId="77777777" w:rsidR="000B0C76" w:rsidRPr="00F22DF9" w:rsidRDefault="000B0C76" w:rsidP="009C5C5A">
            <w:pPr>
              <w:jc w:val="center"/>
              <w:rPr>
                <w:rFonts w:ascii="Times New Roman" w:hAnsi="Times New Roman" w:cs="Times New Roman"/>
                <w:b/>
              </w:rPr>
            </w:pPr>
            <w:r w:rsidRPr="00F22DF9">
              <w:rPr>
                <w:rFonts w:ascii="Times New Roman" w:hAnsi="Times New Roman" w:cs="Times New Roman"/>
              </w:rPr>
              <w:t>1,01</w:t>
            </w:r>
          </w:p>
        </w:tc>
        <w:tc>
          <w:tcPr>
            <w:tcW w:w="923" w:type="pct"/>
            <w:vAlign w:val="center"/>
          </w:tcPr>
          <w:p w14:paraId="1055B4E2" w14:textId="77777777" w:rsidR="000B0C76" w:rsidRPr="00F22DF9" w:rsidRDefault="000B0C76" w:rsidP="009C5C5A">
            <w:pPr>
              <w:jc w:val="center"/>
              <w:rPr>
                <w:rFonts w:ascii="Times New Roman" w:hAnsi="Times New Roman" w:cs="Times New Roman"/>
              </w:rPr>
            </w:pPr>
            <w:r w:rsidRPr="00F22DF9">
              <w:rPr>
                <w:rFonts w:ascii="Times New Roman" w:hAnsi="Times New Roman" w:cs="Times New Roman"/>
              </w:rPr>
              <w:t>1,01</w:t>
            </w:r>
          </w:p>
        </w:tc>
      </w:tr>
    </w:tbl>
    <w:p w14:paraId="4A90F720" w14:textId="77777777" w:rsidR="000B0C76" w:rsidRPr="00945FC1" w:rsidRDefault="000B0C76" w:rsidP="000B0C76">
      <w:pPr>
        <w:spacing w:before="120" w:after="0" w:line="276" w:lineRule="auto"/>
        <w:jc w:val="center"/>
        <w:rPr>
          <w:rFonts w:ascii="Times New Roman" w:hAnsi="Times New Roman" w:cs="Times New Roman"/>
          <w:i/>
          <w:sz w:val="26"/>
          <w:szCs w:val="26"/>
        </w:rPr>
      </w:pPr>
      <w:r w:rsidRPr="00945FC1">
        <w:rPr>
          <w:rFonts w:ascii="Times New Roman" w:hAnsi="Times New Roman" w:cs="Times New Roman"/>
          <w:i/>
          <w:sz w:val="26"/>
          <w:szCs w:val="26"/>
        </w:rPr>
        <w:t>Доля ЗУ</w:t>
      </w:r>
    </w:p>
    <w:p w14:paraId="36656A35" w14:textId="77777777" w:rsidR="000B0C76" w:rsidRPr="005152F1" w:rsidRDefault="000B0C76" w:rsidP="000B0C76">
      <w:pPr>
        <w:spacing w:after="0" w:line="300"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Если в качестве объекта-аналога принято предложение (сделка) по продаже застроенного земельного участка, необходимо определить долю стоимости земельного участка в стоимости единого объекта недвижимости. В таком случае доля стоимости земельного участка для 13 сегмента принята на основании приложения №7 к Указаниям, где для малоэтажного жилья, индивидуальных домов, садовых домов рекомендовано 20-30% (принимаем корректировку </w:t>
      </w:r>
      <w:r w:rsidRPr="00227435">
        <w:rPr>
          <w:rFonts w:ascii="Times New Roman" w:eastAsia="Calibri" w:hAnsi="Times New Roman" w:cs="Times New Roman"/>
          <w:b/>
          <w:sz w:val="26"/>
          <w:szCs w:val="26"/>
        </w:rPr>
        <w:t>0,</w:t>
      </w:r>
      <w:r>
        <w:rPr>
          <w:rFonts w:ascii="Times New Roman" w:eastAsia="Calibri" w:hAnsi="Times New Roman" w:cs="Times New Roman"/>
          <w:b/>
          <w:sz w:val="26"/>
          <w:szCs w:val="26"/>
        </w:rPr>
        <w:t>30</w:t>
      </w:r>
      <w:r>
        <w:rPr>
          <w:rFonts w:ascii="Times New Roman" w:eastAsia="Calibri" w:hAnsi="Times New Roman" w:cs="Times New Roman"/>
          <w:sz w:val="26"/>
          <w:szCs w:val="26"/>
        </w:rPr>
        <w:t>).</w:t>
      </w:r>
    </w:p>
    <w:p w14:paraId="6BA83616" w14:textId="77777777" w:rsidR="000B0C76" w:rsidRPr="00F562A8" w:rsidRDefault="000B0C76" w:rsidP="000B0C76">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 таблице ниже приведено распределение рыночной информации и значения удельных показателей рыночной стоимости земельных участков сегмента 13 «Садоводство и огородничество, малоэтажная жилая застройка», группа «Малоэтажная жилая застройка».</w:t>
      </w:r>
    </w:p>
    <w:p w14:paraId="2F2FEB18" w14:textId="77777777" w:rsidR="000B0C76" w:rsidRPr="00F562A8" w:rsidRDefault="000B0C76" w:rsidP="000B0C76">
      <w:pPr>
        <w:spacing w:after="0" w:line="276" w:lineRule="auto"/>
        <w:ind w:firstLine="709"/>
        <w:jc w:val="right"/>
        <w:rPr>
          <w:rFonts w:ascii="Times New Roman" w:hAnsi="Times New Roman" w:cs="Times New Roman"/>
          <w:sz w:val="26"/>
          <w:szCs w:val="26"/>
        </w:rPr>
      </w:pPr>
      <w:r w:rsidRPr="00F562A8">
        <w:rPr>
          <w:rFonts w:ascii="Times New Roman" w:hAnsi="Times New Roman" w:cs="Times New Roman"/>
          <w:sz w:val="26"/>
          <w:szCs w:val="26"/>
        </w:rPr>
        <w:t>Таблица 3.2.</w:t>
      </w:r>
      <w:r>
        <w:rPr>
          <w:rFonts w:ascii="Times New Roman" w:hAnsi="Times New Roman" w:cs="Times New Roman"/>
          <w:sz w:val="26"/>
          <w:szCs w:val="26"/>
        </w:rPr>
        <w:t>14</w:t>
      </w:r>
    </w:p>
    <w:p w14:paraId="5C5AD05C" w14:textId="77777777" w:rsidR="000B0C76" w:rsidRDefault="000B0C76" w:rsidP="000B0C76">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Распределение рыночной информации и значения удельных показателей рыночной стоимости земельных участков</w:t>
      </w:r>
      <w:r>
        <w:rPr>
          <w:rFonts w:ascii="Times New Roman" w:hAnsi="Times New Roman" w:cs="Times New Roman"/>
          <w:sz w:val="26"/>
          <w:szCs w:val="26"/>
        </w:rPr>
        <w:t xml:space="preserve"> группы «Малоэтажная жилая застройка»</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
        <w:gridCol w:w="2335"/>
        <w:gridCol w:w="1560"/>
        <w:gridCol w:w="1559"/>
        <w:gridCol w:w="1701"/>
        <w:gridCol w:w="992"/>
      </w:tblGrid>
      <w:tr w:rsidR="000B0C76" w:rsidRPr="00683DEF" w14:paraId="7193B05D" w14:textId="77777777" w:rsidTr="00221500">
        <w:trPr>
          <w:trHeight w:val="300"/>
        </w:trPr>
        <w:tc>
          <w:tcPr>
            <w:tcW w:w="1062" w:type="dxa"/>
            <w:shd w:val="clear" w:color="auto" w:fill="auto"/>
            <w:noWrap/>
            <w:vAlign w:val="center"/>
          </w:tcPr>
          <w:p w14:paraId="22F82EB1" w14:textId="77777777" w:rsidR="000B0C76" w:rsidRPr="00683DEF" w:rsidRDefault="000B0C76" w:rsidP="000B0C76">
            <w:pPr>
              <w:spacing w:after="0" w:line="240" w:lineRule="auto"/>
              <w:jc w:val="center"/>
              <w:rPr>
                <w:rFonts w:ascii="Times New Roman" w:eastAsia="Times New Roman" w:hAnsi="Times New Roman" w:cs="Times New Roman"/>
                <w:lang w:eastAsia="ru-RU"/>
              </w:rPr>
            </w:pPr>
          </w:p>
        </w:tc>
        <w:tc>
          <w:tcPr>
            <w:tcW w:w="2335" w:type="dxa"/>
            <w:shd w:val="clear" w:color="auto" w:fill="auto"/>
            <w:noWrap/>
            <w:vAlign w:val="center"/>
          </w:tcPr>
          <w:p w14:paraId="26240AE7" w14:textId="77777777" w:rsidR="000B0C76" w:rsidRPr="00683DEF" w:rsidRDefault="000B0C76" w:rsidP="000B0C76">
            <w:pPr>
              <w:spacing w:after="0" w:line="240" w:lineRule="auto"/>
              <w:jc w:val="center"/>
              <w:rPr>
                <w:rFonts w:ascii="Times New Roman" w:eastAsia="Times New Roman" w:hAnsi="Times New Roman" w:cs="Times New Roman"/>
                <w:lang w:eastAsia="ru-RU"/>
              </w:rPr>
            </w:pPr>
            <w:r w:rsidRPr="00683DEF">
              <w:rPr>
                <w:rFonts w:ascii="Times New Roman" w:eastAsia="Times New Roman" w:hAnsi="Times New Roman" w:cs="Times New Roman"/>
                <w:color w:val="000000"/>
                <w:lang w:eastAsia="ru-RU"/>
              </w:rPr>
              <w:t>Наименование населенного пункта</w:t>
            </w:r>
          </w:p>
        </w:tc>
        <w:tc>
          <w:tcPr>
            <w:tcW w:w="1560" w:type="dxa"/>
            <w:shd w:val="clear" w:color="auto" w:fill="auto"/>
            <w:noWrap/>
            <w:vAlign w:val="center"/>
          </w:tcPr>
          <w:p w14:paraId="4FC30826" w14:textId="77777777" w:rsidR="000B0C76" w:rsidRPr="00683DEF" w:rsidRDefault="000B0C76" w:rsidP="000B0C76">
            <w:pPr>
              <w:spacing w:after="0" w:line="240" w:lineRule="auto"/>
              <w:jc w:val="center"/>
              <w:rPr>
                <w:rFonts w:ascii="Times New Roman" w:eastAsia="Times New Roman" w:hAnsi="Times New Roman" w:cs="Times New Roman"/>
                <w:lang w:eastAsia="ru-RU"/>
              </w:rPr>
            </w:pPr>
            <w:r w:rsidRPr="00683DEF">
              <w:rPr>
                <w:rFonts w:ascii="Times New Roman" w:eastAsia="Times New Roman" w:hAnsi="Times New Roman" w:cs="Times New Roman"/>
                <w:color w:val="000000"/>
                <w:lang w:eastAsia="ru-RU"/>
              </w:rPr>
              <w:t>Минимальное значение УПРС, руб./кв.м</w:t>
            </w:r>
          </w:p>
        </w:tc>
        <w:tc>
          <w:tcPr>
            <w:tcW w:w="1559" w:type="dxa"/>
            <w:shd w:val="clear" w:color="auto" w:fill="auto"/>
            <w:noWrap/>
            <w:vAlign w:val="center"/>
          </w:tcPr>
          <w:p w14:paraId="081C778B" w14:textId="77777777" w:rsidR="000B0C76" w:rsidRPr="00683DEF" w:rsidRDefault="000B0C76" w:rsidP="000B0C76">
            <w:pPr>
              <w:spacing w:after="0" w:line="240" w:lineRule="auto"/>
              <w:jc w:val="center"/>
              <w:rPr>
                <w:rFonts w:ascii="Times New Roman" w:eastAsia="Times New Roman" w:hAnsi="Times New Roman" w:cs="Times New Roman"/>
                <w:lang w:eastAsia="ru-RU"/>
              </w:rPr>
            </w:pPr>
            <w:r w:rsidRPr="00683DEF">
              <w:rPr>
                <w:rFonts w:ascii="Times New Roman" w:eastAsia="Times New Roman" w:hAnsi="Times New Roman" w:cs="Times New Roman"/>
                <w:color w:val="000000"/>
                <w:lang w:eastAsia="ru-RU"/>
              </w:rPr>
              <w:t>Среднее значение УПРС, руб./кв.м</w:t>
            </w:r>
          </w:p>
        </w:tc>
        <w:tc>
          <w:tcPr>
            <w:tcW w:w="1701" w:type="dxa"/>
            <w:shd w:val="clear" w:color="auto" w:fill="auto"/>
            <w:noWrap/>
            <w:vAlign w:val="center"/>
          </w:tcPr>
          <w:p w14:paraId="4722CBE3" w14:textId="77777777" w:rsidR="000B0C76" w:rsidRPr="00683DEF" w:rsidRDefault="000B0C76" w:rsidP="000B0C76">
            <w:pPr>
              <w:spacing w:after="0" w:line="240" w:lineRule="auto"/>
              <w:jc w:val="center"/>
              <w:rPr>
                <w:rFonts w:ascii="Times New Roman" w:eastAsia="Times New Roman" w:hAnsi="Times New Roman" w:cs="Times New Roman"/>
                <w:lang w:eastAsia="ru-RU"/>
              </w:rPr>
            </w:pPr>
            <w:r w:rsidRPr="00683DEF">
              <w:rPr>
                <w:rFonts w:ascii="Times New Roman" w:eastAsia="Times New Roman" w:hAnsi="Times New Roman" w:cs="Times New Roman"/>
                <w:color w:val="000000"/>
                <w:lang w:eastAsia="ru-RU"/>
              </w:rPr>
              <w:t>Максимальное значение УПРС, руб./кв.м</w:t>
            </w:r>
          </w:p>
        </w:tc>
        <w:tc>
          <w:tcPr>
            <w:tcW w:w="992" w:type="dxa"/>
            <w:shd w:val="clear" w:color="auto" w:fill="auto"/>
            <w:noWrap/>
            <w:vAlign w:val="center"/>
          </w:tcPr>
          <w:p w14:paraId="1CF4ACBE" w14:textId="77777777" w:rsidR="000B0C76" w:rsidRPr="00683DEF" w:rsidRDefault="000B0C76" w:rsidP="000B0C76">
            <w:pPr>
              <w:spacing w:after="0" w:line="240" w:lineRule="auto"/>
              <w:jc w:val="center"/>
              <w:rPr>
                <w:rFonts w:ascii="Times New Roman" w:eastAsia="Times New Roman" w:hAnsi="Times New Roman" w:cs="Times New Roman"/>
                <w:lang w:eastAsia="ru-RU"/>
              </w:rPr>
            </w:pPr>
            <w:r w:rsidRPr="00683DEF">
              <w:rPr>
                <w:rFonts w:ascii="Times New Roman" w:eastAsia="Times New Roman" w:hAnsi="Times New Roman" w:cs="Times New Roman"/>
                <w:color w:val="000000"/>
                <w:lang w:eastAsia="ru-RU"/>
              </w:rPr>
              <w:t>№ ценовой зоны</w:t>
            </w:r>
          </w:p>
        </w:tc>
      </w:tr>
      <w:tr w:rsidR="000B0C76" w:rsidRPr="00683DEF" w14:paraId="14795026" w14:textId="77777777" w:rsidTr="00221500">
        <w:trPr>
          <w:trHeight w:val="300"/>
        </w:trPr>
        <w:tc>
          <w:tcPr>
            <w:tcW w:w="1062" w:type="dxa"/>
            <w:shd w:val="clear" w:color="auto" w:fill="auto"/>
            <w:noWrap/>
            <w:vAlign w:val="bottom"/>
            <w:hideMark/>
          </w:tcPr>
          <w:p w14:paraId="49E1DA9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Воронеж</w:t>
            </w:r>
          </w:p>
        </w:tc>
        <w:tc>
          <w:tcPr>
            <w:tcW w:w="2335" w:type="dxa"/>
            <w:shd w:val="clear" w:color="auto" w:fill="auto"/>
            <w:noWrap/>
            <w:vAlign w:val="bottom"/>
            <w:hideMark/>
          </w:tcPr>
          <w:p w14:paraId="788BC7F7"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 Воронеж</w:t>
            </w:r>
          </w:p>
        </w:tc>
        <w:tc>
          <w:tcPr>
            <w:tcW w:w="1560" w:type="dxa"/>
            <w:shd w:val="clear" w:color="auto" w:fill="auto"/>
            <w:noWrap/>
            <w:vAlign w:val="bottom"/>
            <w:hideMark/>
          </w:tcPr>
          <w:p w14:paraId="25834B4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246,45</w:t>
            </w:r>
          </w:p>
        </w:tc>
        <w:tc>
          <w:tcPr>
            <w:tcW w:w="1559" w:type="dxa"/>
            <w:shd w:val="clear" w:color="auto" w:fill="auto"/>
            <w:noWrap/>
            <w:vAlign w:val="bottom"/>
            <w:hideMark/>
          </w:tcPr>
          <w:p w14:paraId="38EB1EF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2116,194</w:t>
            </w:r>
          </w:p>
        </w:tc>
        <w:tc>
          <w:tcPr>
            <w:tcW w:w="1701" w:type="dxa"/>
            <w:shd w:val="clear" w:color="auto" w:fill="auto"/>
            <w:noWrap/>
            <w:vAlign w:val="bottom"/>
            <w:hideMark/>
          </w:tcPr>
          <w:p w14:paraId="2F1074A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7217,49</w:t>
            </w:r>
          </w:p>
        </w:tc>
        <w:tc>
          <w:tcPr>
            <w:tcW w:w="992" w:type="dxa"/>
            <w:shd w:val="clear" w:color="auto" w:fill="auto"/>
            <w:noWrap/>
            <w:vAlign w:val="bottom"/>
            <w:hideMark/>
          </w:tcPr>
          <w:p w14:paraId="2556F81E"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w:t>
            </w:r>
          </w:p>
        </w:tc>
      </w:tr>
      <w:tr w:rsidR="000B0C76" w:rsidRPr="00683DEF" w14:paraId="1CDA3A91" w14:textId="77777777" w:rsidTr="00221500">
        <w:trPr>
          <w:trHeight w:val="300"/>
        </w:trPr>
        <w:tc>
          <w:tcPr>
            <w:tcW w:w="1062" w:type="dxa"/>
            <w:shd w:val="clear" w:color="auto" w:fill="auto"/>
            <w:noWrap/>
            <w:vAlign w:val="bottom"/>
            <w:hideMark/>
          </w:tcPr>
          <w:p w14:paraId="0D046C9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 ГНП</w:t>
            </w:r>
          </w:p>
        </w:tc>
        <w:tc>
          <w:tcPr>
            <w:tcW w:w="2335" w:type="dxa"/>
            <w:shd w:val="clear" w:color="auto" w:fill="auto"/>
            <w:noWrap/>
            <w:vAlign w:val="bottom"/>
            <w:hideMark/>
          </w:tcPr>
          <w:p w14:paraId="7DC6ABD4"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 Борисоглебск</w:t>
            </w:r>
          </w:p>
        </w:tc>
        <w:tc>
          <w:tcPr>
            <w:tcW w:w="1560" w:type="dxa"/>
            <w:shd w:val="clear" w:color="auto" w:fill="auto"/>
            <w:noWrap/>
            <w:vAlign w:val="bottom"/>
            <w:hideMark/>
          </w:tcPr>
          <w:p w14:paraId="49BACF1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101,95</w:t>
            </w:r>
          </w:p>
        </w:tc>
        <w:tc>
          <w:tcPr>
            <w:tcW w:w="1559" w:type="dxa"/>
            <w:shd w:val="clear" w:color="auto" w:fill="auto"/>
            <w:noWrap/>
            <w:vAlign w:val="bottom"/>
            <w:hideMark/>
          </w:tcPr>
          <w:p w14:paraId="1EA76E9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657,8619</w:t>
            </w:r>
          </w:p>
        </w:tc>
        <w:tc>
          <w:tcPr>
            <w:tcW w:w="1701" w:type="dxa"/>
            <w:shd w:val="clear" w:color="auto" w:fill="auto"/>
            <w:noWrap/>
            <w:vAlign w:val="bottom"/>
            <w:hideMark/>
          </w:tcPr>
          <w:p w14:paraId="18494F8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3114,75</w:t>
            </w:r>
          </w:p>
        </w:tc>
        <w:tc>
          <w:tcPr>
            <w:tcW w:w="992" w:type="dxa"/>
            <w:shd w:val="clear" w:color="auto" w:fill="auto"/>
            <w:noWrap/>
            <w:vAlign w:val="bottom"/>
            <w:hideMark/>
          </w:tcPr>
          <w:p w14:paraId="4F7D816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w:t>
            </w:r>
          </w:p>
        </w:tc>
      </w:tr>
      <w:tr w:rsidR="000B0C76" w:rsidRPr="00683DEF" w14:paraId="0EC890C4" w14:textId="77777777" w:rsidTr="00221500">
        <w:trPr>
          <w:trHeight w:val="300"/>
        </w:trPr>
        <w:tc>
          <w:tcPr>
            <w:tcW w:w="1062" w:type="dxa"/>
            <w:shd w:val="clear" w:color="auto" w:fill="auto"/>
            <w:noWrap/>
            <w:vAlign w:val="bottom"/>
            <w:hideMark/>
          </w:tcPr>
          <w:p w14:paraId="7B058099"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 ГНП</w:t>
            </w:r>
          </w:p>
        </w:tc>
        <w:tc>
          <w:tcPr>
            <w:tcW w:w="2335" w:type="dxa"/>
            <w:shd w:val="clear" w:color="auto" w:fill="auto"/>
            <w:noWrap/>
            <w:vAlign w:val="bottom"/>
            <w:hideMark/>
          </w:tcPr>
          <w:p w14:paraId="1D236911"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 Лиски</w:t>
            </w:r>
          </w:p>
        </w:tc>
        <w:tc>
          <w:tcPr>
            <w:tcW w:w="1560" w:type="dxa"/>
            <w:shd w:val="clear" w:color="auto" w:fill="auto"/>
            <w:noWrap/>
            <w:vAlign w:val="bottom"/>
            <w:hideMark/>
          </w:tcPr>
          <w:p w14:paraId="728271D6"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100,26</w:t>
            </w:r>
          </w:p>
        </w:tc>
        <w:tc>
          <w:tcPr>
            <w:tcW w:w="1559" w:type="dxa"/>
            <w:shd w:val="clear" w:color="auto" w:fill="auto"/>
            <w:noWrap/>
            <w:vAlign w:val="bottom"/>
            <w:hideMark/>
          </w:tcPr>
          <w:p w14:paraId="1156159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639,061</w:t>
            </w:r>
          </w:p>
        </w:tc>
        <w:tc>
          <w:tcPr>
            <w:tcW w:w="1701" w:type="dxa"/>
            <w:shd w:val="clear" w:color="auto" w:fill="auto"/>
            <w:noWrap/>
            <w:vAlign w:val="bottom"/>
            <w:hideMark/>
          </w:tcPr>
          <w:p w14:paraId="2E86ABE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3248,59</w:t>
            </w:r>
          </w:p>
        </w:tc>
        <w:tc>
          <w:tcPr>
            <w:tcW w:w="992" w:type="dxa"/>
            <w:shd w:val="clear" w:color="auto" w:fill="auto"/>
            <w:noWrap/>
            <w:vAlign w:val="bottom"/>
            <w:hideMark/>
          </w:tcPr>
          <w:p w14:paraId="7F7D8E49"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w:t>
            </w:r>
          </w:p>
        </w:tc>
      </w:tr>
      <w:tr w:rsidR="000B0C76" w:rsidRPr="00683DEF" w14:paraId="34BF956F" w14:textId="77777777" w:rsidTr="00221500">
        <w:trPr>
          <w:trHeight w:val="300"/>
        </w:trPr>
        <w:tc>
          <w:tcPr>
            <w:tcW w:w="1062" w:type="dxa"/>
            <w:shd w:val="clear" w:color="auto" w:fill="auto"/>
            <w:noWrap/>
            <w:vAlign w:val="bottom"/>
            <w:hideMark/>
          </w:tcPr>
          <w:p w14:paraId="3F6667A0"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 ГНП</w:t>
            </w:r>
          </w:p>
        </w:tc>
        <w:tc>
          <w:tcPr>
            <w:tcW w:w="2335" w:type="dxa"/>
            <w:shd w:val="clear" w:color="auto" w:fill="auto"/>
            <w:noWrap/>
            <w:vAlign w:val="bottom"/>
            <w:hideMark/>
          </w:tcPr>
          <w:p w14:paraId="56A23659"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 Нововоронеж</w:t>
            </w:r>
          </w:p>
        </w:tc>
        <w:tc>
          <w:tcPr>
            <w:tcW w:w="1560" w:type="dxa"/>
            <w:shd w:val="clear" w:color="auto" w:fill="auto"/>
            <w:noWrap/>
            <w:vAlign w:val="bottom"/>
            <w:hideMark/>
          </w:tcPr>
          <w:p w14:paraId="280BCA4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102,52</w:t>
            </w:r>
          </w:p>
        </w:tc>
        <w:tc>
          <w:tcPr>
            <w:tcW w:w="1559" w:type="dxa"/>
            <w:shd w:val="clear" w:color="auto" w:fill="auto"/>
            <w:noWrap/>
            <w:vAlign w:val="bottom"/>
            <w:hideMark/>
          </w:tcPr>
          <w:p w14:paraId="675BC661"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479,4525</w:t>
            </w:r>
          </w:p>
        </w:tc>
        <w:tc>
          <w:tcPr>
            <w:tcW w:w="1701" w:type="dxa"/>
            <w:shd w:val="clear" w:color="auto" w:fill="auto"/>
            <w:noWrap/>
            <w:vAlign w:val="bottom"/>
            <w:hideMark/>
          </w:tcPr>
          <w:p w14:paraId="46D6671B"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3564,44</w:t>
            </w:r>
          </w:p>
        </w:tc>
        <w:tc>
          <w:tcPr>
            <w:tcW w:w="992" w:type="dxa"/>
            <w:shd w:val="clear" w:color="auto" w:fill="auto"/>
            <w:noWrap/>
            <w:vAlign w:val="bottom"/>
            <w:hideMark/>
          </w:tcPr>
          <w:p w14:paraId="2A3E57EB"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w:t>
            </w:r>
          </w:p>
        </w:tc>
      </w:tr>
      <w:tr w:rsidR="000B0C76" w:rsidRPr="00683DEF" w14:paraId="72309F36" w14:textId="77777777" w:rsidTr="00221500">
        <w:trPr>
          <w:trHeight w:val="300"/>
        </w:trPr>
        <w:tc>
          <w:tcPr>
            <w:tcW w:w="1062" w:type="dxa"/>
            <w:shd w:val="clear" w:color="auto" w:fill="auto"/>
            <w:noWrap/>
            <w:vAlign w:val="bottom"/>
            <w:hideMark/>
          </w:tcPr>
          <w:p w14:paraId="34D48C9B"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 ГНП</w:t>
            </w:r>
          </w:p>
        </w:tc>
        <w:tc>
          <w:tcPr>
            <w:tcW w:w="2335" w:type="dxa"/>
            <w:shd w:val="clear" w:color="auto" w:fill="auto"/>
            <w:noWrap/>
            <w:vAlign w:val="bottom"/>
            <w:hideMark/>
          </w:tcPr>
          <w:p w14:paraId="5922E282"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 Острогожск</w:t>
            </w:r>
          </w:p>
        </w:tc>
        <w:tc>
          <w:tcPr>
            <w:tcW w:w="1560" w:type="dxa"/>
            <w:shd w:val="clear" w:color="auto" w:fill="auto"/>
            <w:noWrap/>
            <w:vAlign w:val="bottom"/>
            <w:hideMark/>
          </w:tcPr>
          <w:p w14:paraId="2A588B0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100,88</w:t>
            </w:r>
          </w:p>
        </w:tc>
        <w:tc>
          <w:tcPr>
            <w:tcW w:w="1559" w:type="dxa"/>
            <w:shd w:val="clear" w:color="auto" w:fill="auto"/>
            <w:noWrap/>
            <w:vAlign w:val="bottom"/>
            <w:hideMark/>
          </w:tcPr>
          <w:p w14:paraId="21D9E09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470,2842</w:t>
            </w:r>
          </w:p>
        </w:tc>
        <w:tc>
          <w:tcPr>
            <w:tcW w:w="1701" w:type="dxa"/>
            <w:shd w:val="clear" w:color="auto" w:fill="auto"/>
            <w:noWrap/>
            <w:vAlign w:val="bottom"/>
            <w:hideMark/>
          </w:tcPr>
          <w:p w14:paraId="3E8A977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3912,27</w:t>
            </w:r>
          </w:p>
        </w:tc>
        <w:tc>
          <w:tcPr>
            <w:tcW w:w="992" w:type="dxa"/>
            <w:shd w:val="clear" w:color="auto" w:fill="auto"/>
            <w:noWrap/>
            <w:vAlign w:val="bottom"/>
            <w:hideMark/>
          </w:tcPr>
          <w:p w14:paraId="65E08A9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w:t>
            </w:r>
          </w:p>
        </w:tc>
      </w:tr>
      <w:tr w:rsidR="000B0C76" w:rsidRPr="00683DEF" w14:paraId="3E9D1221" w14:textId="77777777" w:rsidTr="00221500">
        <w:trPr>
          <w:trHeight w:val="300"/>
        </w:trPr>
        <w:tc>
          <w:tcPr>
            <w:tcW w:w="1062" w:type="dxa"/>
            <w:shd w:val="clear" w:color="auto" w:fill="auto"/>
            <w:noWrap/>
            <w:vAlign w:val="bottom"/>
            <w:hideMark/>
          </w:tcPr>
          <w:p w14:paraId="4E58BFD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 ГНП</w:t>
            </w:r>
          </w:p>
        </w:tc>
        <w:tc>
          <w:tcPr>
            <w:tcW w:w="2335" w:type="dxa"/>
            <w:shd w:val="clear" w:color="auto" w:fill="auto"/>
            <w:noWrap/>
            <w:vAlign w:val="bottom"/>
            <w:hideMark/>
          </w:tcPr>
          <w:p w14:paraId="3DC4AA9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 Россошь</w:t>
            </w:r>
          </w:p>
        </w:tc>
        <w:tc>
          <w:tcPr>
            <w:tcW w:w="1560" w:type="dxa"/>
            <w:shd w:val="clear" w:color="auto" w:fill="auto"/>
            <w:noWrap/>
            <w:vAlign w:val="bottom"/>
            <w:hideMark/>
          </w:tcPr>
          <w:p w14:paraId="3CD15CF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101,21</w:t>
            </w:r>
          </w:p>
        </w:tc>
        <w:tc>
          <w:tcPr>
            <w:tcW w:w="1559" w:type="dxa"/>
            <w:shd w:val="clear" w:color="auto" w:fill="auto"/>
            <w:noWrap/>
            <w:vAlign w:val="bottom"/>
            <w:hideMark/>
          </w:tcPr>
          <w:p w14:paraId="46E93299"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546,6289</w:t>
            </w:r>
          </w:p>
        </w:tc>
        <w:tc>
          <w:tcPr>
            <w:tcW w:w="1701" w:type="dxa"/>
            <w:shd w:val="clear" w:color="auto" w:fill="auto"/>
            <w:noWrap/>
            <w:vAlign w:val="bottom"/>
            <w:hideMark/>
          </w:tcPr>
          <w:p w14:paraId="7B46E581"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3450,3</w:t>
            </w:r>
          </w:p>
        </w:tc>
        <w:tc>
          <w:tcPr>
            <w:tcW w:w="992" w:type="dxa"/>
            <w:shd w:val="clear" w:color="auto" w:fill="auto"/>
            <w:noWrap/>
            <w:vAlign w:val="bottom"/>
            <w:hideMark/>
          </w:tcPr>
          <w:p w14:paraId="69DF827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w:t>
            </w:r>
          </w:p>
        </w:tc>
      </w:tr>
      <w:tr w:rsidR="000B0C76" w:rsidRPr="00683DEF" w14:paraId="014FC37D" w14:textId="77777777" w:rsidTr="00221500">
        <w:trPr>
          <w:trHeight w:val="300"/>
        </w:trPr>
        <w:tc>
          <w:tcPr>
            <w:tcW w:w="1062" w:type="dxa"/>
            <w:shd w:val="clear" w:color="auto" w:fill="auto"/>
            <w:noWrap/>
            <w:vAlign w:val="bottom"/>
            <w:hideMark/>
          </w:tcPr>
          <w:p w14:paraId="2ACD625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 ГНП</w:t>
            </w:r>
          </w:p>
        </w:tc>
        <w:tc>
          <w:tcPr>
            <w:tcW w:w="2335" w:type="dxa"/>
            <w:shd w:val="clear" w:color="auto" w:fill="auto"/>
            <w:noWrap/>
            <w:vAlign w:val="bottom"/>
            <w:hideMark/>
          </w:tcPr>
          <w:p w14:paraId="2442821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 Новая Усмань</w:t>
            </w:r>
          </w:p>
        </w:tc>
        <w:tc>
          <w:tcPr>
            <w:tcW w:w="1560" w:type="dxa"/>
            <w:shd w:val="clear" w:color="auto" w:fill="auto"/>
            <w:noWrap/>
            <w:vAlign w:val="bottom"/>
            <w:hideMark/>
          </w:tcPr>
          <w:p w14:paraId="2685881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100,36</w:t>
            </w:r>
          </w:p>
        </w:tc>
        <w:tc>
          <w:tcPr>
            <w:tcW w:w="1559" w:type="dxa"/>
            <w:shd w:val="clear" w:color="auto" w:fill="auto"/>
            <w:noWrap/>
            <w:vAlign w:val="bottom"/>
            <w:hideMark/>
          </w:tcPr>
          <w:p w14:paraId="6BC1DA9A"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705,1982</w:t>
            </w:r>
          </w:p>
        </w:tc>
        <w:tc>
          <w:tcPr>
            <w:tcW w:w="1701" w:type="dxa"/>
            <w:shd w:val="clear" w:color="auto" w:fill="auto"/>
            <w:noWrap/>
            <w:vAlign w:val="bottom"/>
            <w:hideMark/>
          </w:tcPr>
          <w:p w14:paraId="06EC2B6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4416,67</w:t>
            </w:r>
          </w:p>
        </w:tc>
        <w:tc>
          <w:tcPr>
            <w:tcW w:w="992" w:type="dxa"/>
            <w:shd w:val="clear" w:color="auto" w:fill="auto"/>
            <w:noWrap/>
            <w:vAlign w:val="bottom"/>
            <w:hideMark/>
          </w:tcPr>
          <w:p w14:paraId="2D49BFC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w:t>
            </w:r>
          </w:p>
        </w:tc>
      </w:tr>
      <w:tr w:rsidR="000B0C76" w:rsidRPr="00683DEF" w14:paraId="1B3F39CE" w14:textId="77777777" w:rsidTr="00221500">
        <w:trPr>
          <w:trHeight w:val="300"/>
        </w:trPr>
        <w:tc>
          <w:tcPr>
            <w:tcW w:w="1062" w:type="dxa"/>
            <w:shd w:val="clear" w:color="auto" w:fill="auto"/>
            <w:noWrap/>
            <w:vAlign w:val="bottom"/>
            <w:hideMark/>
          </w:tcPr>
          <w:p w14:paraId="6C0B45BC"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077F2766"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р.п. Рамонь</w:t>
            </w:r>
          </w:p>
        </w:tc>
        <w:tc>
          <w:tcPr>
            <w:tcW w:w="1560" w:type="dxa"/>
            <w:shd w:val="clear" w:color="auto" w:fill="auto"/>
            <w:noWrap/>
            <w:vAlign w:val="bottom"/>
            <w:hideMark/>
          </w:tcPr>
          <w:p w14:paraId="34173AD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106</w:t>
            </w:r>
          </w:p>
        </w:tc>
        <w:tc>
          <w:tcPr>
            <w:tcW w:w="1559" w:type="dxa"/>
            <w:shd w:val="clear" w:color="auto" w:fill="auto"/>
            <w:noWrap/>
            <w:vAlign w:val="bottom"/>
            <w:hideMark/>
          </w:tcPr>
          <w:p w14:paraId="7A39FCB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978,0337</w:t>
            </w:r>
          </w:p>
        </w:tc>
        <w:tc>
          <w:tcPr>
            <w:tcW w:w="1701" w:type="dxa"/>
            <w:shd w:val="clear" w:color="auto" w:fill="auto"/>
            <w:noWrap/>
            <w:vAlign w:val="bottom"/>
            <w:hideMark/>
          </w:tcPr>
          <w:p w14:paraId="1DA0B67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3264,71</w:t>
            </w:r>
          </w:p>
        </w:tc>
        <w:tc>
          <w:tcPr>
            <w:tcW w:w="992" w:type="dxa"/>
            <w:shd w:val="clear" w:color="auto" w:fill="auto"/>
            <w:noWrap/>
            <w:vAlign w:val="bottom"/>
            <w:hideMark/>
          </w:tcPr>
          <w:p w14:paraId="398415A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w:t>
            </w:r>
          </w:p>
        </w:tc>
      </w:tr>
      <w:tr w:rsidR="000B0C76" w:rsidRPr="00683DEF" w14:paraId="05104F72" w14:textId="77777777" w:rsidTr="00221500">
        <w:trPr>
          <w:trHeight w:val="300"/>
        </w:trPr>
        <w:tc>
          <w:tcPr>
            <w:tcW w:w="1062" w:type="dxa"/>
            <w:shd w:val="clear" w:color="auto" w:fill="auto"/>
            <w:noWrap/>
            <w:vAlign w:val="bottom"/>
            <w:hideMark/>
          </w:tcPr>
          <w:p w14:paraId="639945A9"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0A125C95"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 Семилуки</w:t>
            </w:r>
          </w:p>
        </w:tc>
        <w:tc>
          <w:tcPr>
            <w:tcW w:w="1560" w:type="dxa"/>
            <w:shd w:val="clear" w:color="auto" w:fill="auto"/>
            <w:noWrap/>
            <w:vAlign w:val="bottom"/>
            <w:hideMark/>
          </w:tcPr>
          <w:p w14:paraId="7D76811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105,7</w:t>
            </w:r>
          </w:p>
        </w:tc>
        <w:tc>
          <w:tcPr>
            <w:tcW w:w="1559" w:type="dxa"/>
            <w:shd w:val="clear" w:color="auto" w:fill="auto"/>
            <w:noWrap/>
            <w:vAlign w:val="bottom"/>
            <w:hideMark/>
          </w:tcPr>
          <w:p w14:paraId="46433BB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878,731</w:t>
            </w:r>
          </w:p>
        </w:tc>
        <w:tc>
          <w:tcPr>
            <w:tcW w:w="1701" w:type="dxa"/>
            <w:shd w:val="clear" w:color="auto" w:fill="auto"/>
            <w:noWrap/>
            <w:vAlign w:val="bottom"/>
            <w:hideMark/>
          </w:tcPr>
          <w:p w14:paraId="1C56350B"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3298,15</w:t>
            </w:r>
          </w:p>
        </w:tc>
        <w:tc>
          <w:tcPr>
            <w:tcW w:w="992" w:type="dxa"/>
            <w:shd w:val="clear" w:color="auto" w:fill="auto"/>
            <w:noWrap/>
            <w:vAlign w:val="bottom"/>
            <w:hideMark/>
          </w:tcPr>
          <w:p w14:paraId="323DB9DE"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w:t>
            </w:r>
          </w:p>
        </w:tc>
      </w:tr>
      <w:tr w:rsidR="000B0C76" w:rsidRPr="00683DEF" w14:paraId="3C3C1FD0" w14:textId="77777777" w:rsidTr="00221500">
        <w:trPr>
          <w:trHeight w:val="300"/>
        </w:trPr>
        <w:tc>
          <w:tcPr>
            <w:tcW w:w="1062" w:type="dxa"/>
            <w:shd w:val="clear" w:color="auto" w:fill="auto"/>
            <w:noWrap/>
            <w:vAlign w:val="bottom"/>
            <w:hideMark/>
          </w:tcPr>
          <w:p w14:paraId="5DC47B10"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55B20CEC"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 Калач</w:t>
            </w:r>
          </w:p>
        </w:tc>
        <w:tc>
          <w:tcPr>
            <w:tcW w:w="1560" w:type="dxa"/>
            <w:shd w:val="clear" w:color="auto" w:fill="auto"/>
            <w:noWrap/>
            <w:vAlign w:val="bottom"/>
            <w:hideMark/>
          </w:tcPr>
          <w:p w14:paraId="2AA69A1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100</w:t>
            </w:r>
          </w:p>
        </w:tc>
        <w:tc>
          <w:tcPr>
            <w:tcW w:w="1559" w:type="dxa"/>
            <w:shd w:val="clear" w:color="auto" w:fill="auto"/>
            <w:noWrap/>
            <w:vAlign w:val="bottom"/>
            <w:hideMark/>
          </w:tcPr>
          <w:p w14:paraId="547254D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726,2865</w:t>
            </w:r>
          </w:p>
        </w:tc>
        <w:tc>
          <w:tcPr>
            <w:tcW w:w="1701" w:type="dxa"/>
            <w:shd w:val="clear" w:color="auto" w:fill="auto"/>
            <w:noWrap/>
            <w:vAlign w:val="bottom"/>
            <w:hideMark/>
          </w:tcPr>
          <w:p w14:paraId="412CEEC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2727,28</w:t>
            </w:r>
          </w:p>
        </w:tc>
        <w:tc>
          <w:tcPr>
            <w:tcW w:w="992" w:type="dxa"/>
            <w:shd w:val="clear" w:color="auto" w:fill="auto"/>
            <w:noWrap/>
            <w:vAlign w:val="bottom"/>
            <w:hideMark/>
          </w:tcPr>
          <w:p w14:paraId="73D1371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50F4C382" w14:textId="77777777" w:rsidTr="00221500">
        <w:trPr>
          <w:trHeight w:val="300"/>
        </w:trPr>
        <w:tc>
          <w:tcPr>
            <w:tcW w:w="1062" w:type="dxa"/>
            <w:shd w:val="clear" w:color="auto" w:fill="auto"/>
            <w:noWrap/>
            <w:vAlign w:val="bottom"/>
            <w:hideMark/>
          </w:tcPr>
          <w:p w14:paraId="699D451A"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5170EEC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 Поворино</w:t>
            </w:r>
          </w:p>
        </w:tc>
        <w:tc>
          <w:tcPr>
            <w:tcW w:w="1560" w:type="dxa"/>
            <w:shd w:val="clear" w:color="auto" w:fill="auto"/>
            <w:noWrap/>
            <w:vAlign w:val="bottom"/>
            <w:hideMark/>
          </w:tcPr>
          <w:p w14:paraId="74853D8E"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100,58</w:t>
            </w:r>
          </w:p>
        </w:tc>
        <w:tc>
          <w:tcPr>
            <w:tcW w:w="1559" w:type="dxa"/>
            <w:shd w:val="clear" w:color="auto" w:fill="auto"/>
            <w:noWrap/>
            <w:vAlign w:val="bottom"/>
            <w:hideMark/>
          </w:tcPr>
          <w:p w14:paraId="369754B1"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650,0838</w:t>
            </w:r>
          </w:p>
        </w:tc>
        <w:tc>
          <w:tcPr>
            <w:tcW w:w="1701" w:type="dxa"/>
            <w:shd w:val="clear" w:color="auto" w:fill="auto"/>
            <w:noWrap/>
            <w:vAlign w:val="bottom"/>
            <w:hideMark/>
          </w:tcPr>
          <w:p w14:paraId="6698D78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2542,49</w:t>
            </w:r>
          </w:p>
        </w:tc>
        <w:tc>
          <w:tcPr>
            <w:tcW w:w="992" w:type="dxa"/>
            <w:shd w:val="clear" w:color="auto" w:fill="auto"/>
            <w:noWrap/>
            <w:vAlign w:val="bottom"/>
            <w:hideMark/>
          </w:tcPr>
          <w:p w14:paraId="1092207B"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7288EA62" w14:textId="77777777" w:rsidTr="00221500">
        <w:trPr>
          <w:trHeight w:val="300"/>
        </w:trPr>
        <w:tc>
          <w:tcPr>
            <w:tcW w:w="1062" w:type="dxa"/>
            <w:shd w:val="clear" w:color="auto" w:fill="auto"/>
            <w:noWrap/>
            <w:vAlign w:val="bottom"/>
            <w:hideMark/>
          </w:tcPr>
          <w:p w14:paraId="58FD2E3D"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03E3B61A"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р.п. Ольховатка</w:t>
            </w:r>
          </w:p>
        </w:tc>
        <w:tc>
          <w:tcPr>
            <w:tcW w:w="1560" w:type="dxa"/>
            <w:shd w:val="clear" w:color="auto" w:fill="auto"/>
            <w:noWrap/>
            <w:vAlign w:val="bottom"/>
            <w:hideMark/>
          </w:tcPr>
          <w:p w14:paraId="51CDB20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103,74</w:t>
            </w:r>
          </w:p>
        </w:tc>
        <w:tc>
          <w:tcPr>
            <w:tcW w:w="1559" w:type="dxa"/>
            <w:shd w:val="clear" w:color="auto" w:fill="auto"/>
            <w:noWrap/>
            <w:vAlign w:val="bottom"/>
            <w:hideMark/>
          </w:tcPr>
          <w:p w14:paraId="5B3475D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625,1006</w:t>
            </w:r>
          </w:p>
        </w:tc>
        <w:tc>
          <w:tcPr>
            <w:tcW w:w="1701" w:type="dxa"/>
            <w:shd w:val="clear" w:color="auto" w:fill="auto"/>
            <w:noWrap/>
            <w:vAlign w:val="bottom"/>
            <w:hideMark/>
          </w:tcPr>
          <w:p w14:paraId="0698854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2567,06</w:t>
            </w:r>
          </w:p>
        </w:tc>
        <w:tc>
          <w:tcPr>
            <w:tcW w:w="992" w:type="dxa"/>
            <w:shd w:val="clear" w:color="auto" w:fill="auto"/>
            <w:noWrap/>
            <w:vAlign w:val="bottom"/>
            <w:hideMark/>
          </w:tcPr>
          <w:p w14:paraId="243DD10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279764BF" w14:textId="77777777" w:rsidTr="00221500">
        <w:trPr>
          <w:trHeight w:val="300"/>
        </w:trPr>
        <w:tc>
          <w:tcPr>
            <w:tcW w:w="1062" w:type="dxa"/>
            <w:shd w:val="clear" w:color="auto" w:fill="auto"/>
            <w:noWrap/>
            <w:vAlign w:val="bottom"/>
            <w:hideMark/>
          </w:tcPr>
          <w:p w14:paraId="0994A093"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25E0DB54"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 Павловск</w:t>
            </w:r>
          </w:p>
        </w:tc>
        <w:tc>
          <w:tcPr>
            <w:tcW w:w="1560" w:type="dxa"/>
            <w:shd w:val="clear" w:color="auto" w:fill="auto"/>
            <w:noWrap/>
            <w:vAlign w:val="bottom"/>
            <w:hideMark/>
          </w:tcPr>
          <w:p w14:paraId="3E4AFAA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110,07</w:t>
            </w:r>
          </w:p>
        </w:tc>
        <w:tc>
          <w:tcPr>
            <w:tcW w:w="1559" w:type="dxa"/>
            <w:shd w:val="clear" w:color="auto" w:fill="auto"/>
            <w:noWrap/>
            <w:vAlign w:val="bottom"/>
            <w:hideMark/>
          </w:tcPr>
          <w:p w14:paraId="5D7DFFE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623,7274</w:t>
            </w:r>
          </w:p>
        </w:tc>
        <w:tc>
          <w:tcPr>
            <w:tcW w:w="1701" w:type="dxa"/>
            <w:shd w:val="clear" w:color="auto" w:fill="auto"/>
            <w:noWrap/>
            <w:vAlign w:val="bottom"/>
            <w:hideMark/>
          </w:tcPr>
          <w:p w14:paraId="45CE2B36"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2997,11</w:t>
            </w:r>
          </w:p>
        </w:tc>
        <w:tc>
          <w:tcPr>
            <w:tcW w:w="992" w:type="dxa"/>
            <w:shd w:val="clear" w:color="auto" w:fill="auto"/>
            <w:noWrap/>
            <w:vAlign w:val="bottom"/>
            <w:hideMark/>
          </w:tcPr>
          <w:p w14:paraId="115C939B"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6350B840" w14:textId="77777777" w:rsidTr="00221500">
        <w:trPr>
          <w:trHeight w:val="300"/>
        </w:trPr>
        <w:tc>
          <w:tcPr>
            <w:tcW w:w="1062" w:type="dxa"/>
            <w:shd w:val="clear" w:color="auto" w:fill="auto"/>
            <w:noWrap/>
            <w:vAlign w:val="bottom"/>
            <w:hideMark/>
          </w:tcPr>
          <w:p w14:paraId="7600B924"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14CB9E6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п.г.т. Грибановский</w:t>
            </w:r>
          </w:p>
        </w:tc>
        <w:tc>
          <w:tcPr>
            <w:tcW w:w="1560" w:type="dxa"/>
            <w:shd w:val="clear" w:color="auto" w:fill="auto"/>
            <w:noWrap/>
            <w:vAlign w:val="bottom"/>
            <w:hideMark/>
          </w:tcPr>
          <w:p w14:paraId="6288A6D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105,12</w:t>
            </w:r>
          </w:p>
        </w:tc>
        <w:tc>
          <w:tcPr>
            <w:tcW w:w="1559" w:type="dxa"/>
            <w:shd w:val="clear" w:color="auto" w:fill="auto"/>
            <w:noWrap/>
            <w:vAlign w:val="bottom"/>
            <w:hideMark/>
          </w:tcPr>
          <w:p w14:paraId="2F76572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566,2331</w:t>
            </w:r>
          </w:p>
        </w:tc>
        <w:tc>
          <w:tcPr>
            <w:tcW w:w="1701" w:type="dxa"/>
            <w:shd w:val="clear" w:color="auto" w:fill="auto"/>
            <w:noWrap/>
            <w:vAlign w:val="bottom"/>
            <w:hideMark/>
          </w:tcPr>
          <w:p w14:paraId="69F98DF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1881,9</w:t>
            </w:r>
          </w:p>
        </w:tc>
        <w:tc>
          <w:tcPr>
            <w:tcW w:w="992" w:type="dxa"/>
            <w:shd w:val="clear" w:color="auto" w:fill="auto"/>
            <w:noWrap/>
            <w:vAlign w:val="bottom"/>
            <w:hideMark/>
          </w:tcPr>
          <w:p w14:paraId="25C7212E"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4C87A431" w14:textId="77777777" w:rsidTr="00221500">
        <w:trPr>
          <w:trHeight w:val="300"/>
        </w:trPr>
        <w:tc>
          <w:tcPr>
            <w:tcW w:w="1062" w:type="dxa"/>
            <w:shd w:val="clear" w:color="auto" w:fill="auto"/>
            <w:noWrap/>
            <w:vAlign w:val="bottom"/>
            <w:hideMark/>
          </w:tcPr>
          <w:p w14:paraId="2AB96796"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25C7B465"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 Богучар</w:t>
            </w:r>
          </w:p>
        </w:tc>
        <w:tc>
          <w:tcPr>
            <w:tcW w:w="1560" w:type="dxa"/>
            <w:shd w:val="clear" w:color="auto" w:fill="auto"/>
            <w:noWrap/>
            <w:vAlign w:val="bottom"/>
            <w:hideMark/>
          </w:tcPr>
          <w:p w14:paraId="7960446E"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101,75</w:t>
            </w:r>
          </w:p>
        </w:tc>
        <w:tc>
          <w:tcPr>
            <w:tcW w:w="1559" w:type="dxa"/>
            <w:shd w:val="clear" w:color="auto" w:fill="auto"/>
            <w:noWrap/>
            <w:vAlign w:val="bottom"/>
            <w:hideMark/>
          </w:tcPr>
          <w:p w14:paraId="7D2E239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546,0146</w:t>
            </w:r>
          </w:p>
        </w:tc>
        <w:tc>
          <w:tcPr>
            <w:tcW w:w="1701" w:type="dxa"/>
            <w:shd w:val="clear" w:color="auto" w:fill="auto"/>
            <w:noWrap/>
            <w:vAlign w:val="bottom"/>
            <w:hideMark/>
          </w:tcPr>
          <w:p w14:paraId="6E17A2BB"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3345,21</w:t>
            </w:r>
          </w:p>
        </w:tc>
        <w:tc>
          <w:tcPr>
            <w:tcW w:w="992" w:type="dxa"/>
            <w:shd w:val="clear" w:color="auto" w:fill="auto"/>
            <w:noWrap/>
            <w:vAlign w:val="bottom"/>
            <w:hideMark/>
          </w:tcPr>
          <w:p w14:paraId="1BCAC22B"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67194A1E" w14:textId="77777777" w:rsidTr="00221500">
        <w:trPr>
          <w:trHeight w:val="300"/>
        </w:trPr>
        <w:tc>
          <w:tcPr>
            <w:tcW w:w="1062" w:type="dxa"/>
            <w:shd w:val="clear" w:color="auto" w:fill="auto"/>
            <w:noWrap/>
            <w:vAlign w:val="bottom"/>
            <w:hideMark/>
          </w:tcPr>
          <w:p w14:paraId="0AB2CAF7"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08210D12"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р.п. Стрелица</w:t>
            </w:r>
          </w:p>
        </w:tc>
        <w:tc>
          <w:tcPr>
            <w:tcW w:w="1560" w:type="dxa"/>
            <w:shd w:val="clear" w:color="auto" w:fill="auto"/>
            <w:noWrap/>
            <w:vAlign w:val="bottom"/>
            <w:hideMark/>
          </w:tcPr>
          <w:p w14:paraId="76FF2CE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115,38</w:t>
            </w:r>
          </w:p>
        </w:tc>
        <w:tc>
          <w:tcPr>
            <w:tcW w:w="1559" w:type="dxa"/>
            <w:shd w:val="clear" w:color="auto" w:fill="auto"/>
            <w:noWrap/>
            <w:vAlign w:val="bottom"/>
            <w:hideMark/>
          </w:tcPr>
          <w:p w14:paraId="3669763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433,7534</w:t>
            </w:r>
          </w:p>
        </w:tc>
        <w:tc>
          <w:tcPr>
            <w:tcW w:w="1701" w:type="dxa"/>
            <w:shd w:val="clear" w:color="auto" w:fill="auto"/>
            <w:noWrap/>
            <w:vAlign w:val="bottom"/>
            <w:hideMark/>
          </w:tcPr>
          <w:p w14:paraId="06E860DE"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2587,38</w:t>
            </w:r>
          </w:p>
        </w:tc>
        <w:tc>
          <w:tcPr>
            <w:tcW w:w="992" w:type="dxa"/>
            <w:shd w:val="clear" w:color="auto" w:fill="auto"/>
            <w:noWrap/>
            <w:vAlign w:val="bottom"/>
            <w:hideMark/>
          </w:tcPr>
          <w:p w14:paraId="1BD8CC1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18792B2D" w14:textId="77777777" w:rsidTr="00221500">
        <w:trPr>
          <w:trHeight w:val="300"/>
        </w:trPr>
        <w:tc>
          <w:tcPr>
            <w:tcW w:w="1062" w:type="dxa"/>
            <w:shd w:val="clear" w:color="auto" w:fill="auto"/>
            <w:noWrap/>
            <w:vAlign w:val="bottom"/>
            <w:hideMark/>
          </w:tcPr>
          <w:p w14:paraId="503D459A"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59A40394"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 Бобров</w:t>
            </w:r>
          </w:p>
        </w:tc>
        <w:tc>
          <w:tcPr>
            <w:tcW w:w="1560" w:type="dxa"/>
            <w:shd w:val="clear" w:color="auto" w:fill="auto"/>
            <w:noWrap/>
            <w:vAlign w:val="bottom"/>
            <w:hideMark/>
          </w:tcPr>
          <w:p w14:paraId="042A2E6B"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101,4</w:t>
            </w:r>
          </w:p>
        </w:tc>
        <w:tc>
          <w:tcPr>
            <w:tcW w:w="1559" w:type="dxa"/>
            <w:shd w:val="clear" w:color="auto" w:fill="auto"/>
            <w:noWrap/>
            <w:vAlign w:val="bottom"/>
            <w:hideMark/>
          </w:tcPr>
          <w:p w14:paraId="614376B1"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433,3147</w:t>
            </w:r>
          </w:p>
        </w:tc>
        <w:tc>
          <w:tcPr>
            <w:tcW w:w="1701" w:type="dxa"/>
            <w:shd w:val="clear" w:color="auto" w:fill="auto"/>
            <w:noWrap/>
            <w:vAlign w:val="bottom"/>
            <w:hideMark/>
          </w:tcPr>
          <w:p w14:paraId="742D4A8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2523,81</w:t>
            </w:r>
          </w:p>
        </w:tc>
        <w:tc>
          <w:tcPr>
            <w:tcW w:w="992" w:type="dxa"/>
            <w:shd w:val="clear" w:color="auto" w:fill="auto"/>
            <w:noWrap/>
            <w:vAlign w:val="bottom"/>
            <w:hideMark/>
          </w:tcPr>
          <w:p w14:paraId="0890076A"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7E025AFC" w14:textId="77777777" w:rsidTr="00221500">
        <w:trPr>
          <w:trHeight w:val="300"/>
        </w:trPr>
        <w:tc>
          <w:tcPr>
            <w:tcW w:w="1062" w:type="dxa"/>
            <w:shd w:val="clear" w:color="auto" w:fill="auto"/>
            <w:noWrap/>
            <w:vAlign w:val="bottom"/>
            <w:hideMark/>
          </w:tcPr>
          <w:p w14:paraId="7B7A23A1"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17B5BFDE"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р.п. Хохольский</w:t>
            </w:r>
          </w:p>
        </w:tc>
        <w:tc>
          <w:tcPr>
            <w:tcW w:w="1560" w:type="dxa"/>
            <w:shd w:val="clear" w:color="auto" w:fill="auto"/>
            <w:noWrap/>
            <w:vAlign w:val="bottom"/>
            <w:hideMark/>
          </w:tcPr>
          <w:p w14:paraId="328E5C2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73,6</w:t>
            </w:r>
          </w:p>
        </w:tc>
        <w:tc>
          <w:tcPr>
            <w:tcW w:w="1559" w:type="dxa"/>
            <w:shd w:val="clear" w:color="auto" w:fill="auto"/>
            <w:noWrap/>
            <w:vAlign w:val="bottom"/>
            <w:hideMark/>
          </w:tcPr>
          <w:p w14:paraId="1A72EA7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388,7961</w:t>
            </w:r>
          </w:p>
        </w:tc>
        <w:tc>
          <w:tcPr>
            <w:tcW w:w="1701" w:type="dxa"/>
            <w:shd w:val="clear" w:color="auto" w:fill="auto"/>
            <w:noWrap/>
            <w:vAlign w:val="bottom"/>
            <w:hideMark/>
          </w:tcPr>
          <w:p w14:paraId="459A837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2662,4</w:t>
            </w:r>
          </w:p>
        </w:tc>
        <w:tc>
          <w:tcPr>
            <w:tcW w:w="992" w:type="dxa"/>
            <w:shd w:val="clear" w:color="auto" w:fill="auto"/>
            <w:noWrap/>
            <w:vAlign w:val="bottom"/>
            <w:hideMark/>
          </w:tcPr>
          <w:p w14:paraId="53B2661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297D516B" w14:textId="77777777" w:rsidTr="00221500">
        <w:trPr>
          <w:trHeight w:val="300"/>
        </w:trPr>
        <w:tc>
          <w:tcPr>
            <w:tcW w:w="1062" w:type="dxa"/>
            <w:shd w:val="clear" w:color="auto" w:fill="auto"/>
            <w:noWrap/>
            <w:vAlign w:val="bottom"/>
            <w:hideMark/>
          </w:tcPr>
          <w:p w14:paraId="3B697A52"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5886708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 Новохоперск</w:t>
            </w:r>
          </w:p>
        </w:tc>
        <w:tc>
          <w:tcPr>
            <w:tcW w:w="1560" w:type="dxa"/>
            <w:shd w:val="clear" w:color="auto" w:fill="auto"/>
            <w:noWrap/>
            <w:vAlign w:val="bottom"/>
            <w:hideMark/>
          </w:tcPr>
          <w:p w14:paraId="3897FBF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100</w:t>
            </w:r>
          </w:p>
        </w:tc>
        <w:tc>
          <w:tcPr>
            <w:tcW w:w="1559" w:type="dxa"/>
            <w:shd w:val="clear" w:color="auto" w:fill="auto"/>
            <w:noWrap/>
            <w:vAlign w:val="bottom"/>
            <w:hideMark/>
          </w:tcPr>
          <w:p w14:paraId="39A9A4B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378,4581</w:t>
            </w:r>
          </w:p>
        </w:tc>
        <w:tc>
          <w:tcPr>
            <w:tcW w:w="1701" w:type="dxa"/>
            <w:shd w:val="clear" w:color="auto" w:fill="auto"/>
            <w:noWrap/>
            <w:vAlign w:val="bottom"/>
            <w:hideMark/>
          </w:tcPr>
          <w:p w14:paraId="3C2101F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2736</w:t>
            </w:r>
          </w:p>
        </w:tc>
        <w:tc>
          <w:tcPr>
            <w:tcW w:w="992" w:type="dxa"/>
            <w:shd w:val="clear" w:color="auto" w:fill="auto"/>
            <w:noWrap/>
            <w:vAlign w:val="bottom"/>
            <w:hideMark/>
          </w:tcPr>
          <w:p w14:paraId="5954E90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628DF9FD" w14:textId="77777777" w:rsidTr="00221500">
        <w:trPr>
          <w:trHeight w:val="300"/>
        </w:trPr>
        <w:tc>
          <w:tcPr>
            <w:tcW w:w="1062" w:type="dxa"/>
            <w:shd w:val="clear" w:color="auto" w:fill="auto"/>
            <w:noWrap/>
            <w:vAlign w:val="bottom"/>
            <w:hideMark/>
          </w:tcPr>
          <w:p w14:paraId="47A94A77"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449A93D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 Эртиль</w:t>
            </w:r>
          </w:p>
        </w:tc>
        <w:tc>
          <w:tcPr>
            <w:tcW w:w="1560" w:type="dxa"/>
            <w:shd w:val="clear" w:color="auto" w:fill="auto"/>
            <w:noWrap/>
            <w:vAlign w:val="bottom"/>
            <w:hideMark/>
          </w:tcPr>
          <w:p w14:paraId="79268C6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104</w:t>
            </w:r>
          </w:p>
        </w:tc>
        <w:tc>
          <w:tcPr>
            <w:tcW w:w="1559" w:type="dxa"/>
            <w:shd w:val="clear" w:color="auto" w:fill="auto"/>
            <w:noWrap/>
            <w:vAlign w:val="bottom"/>
            <w:hideMark/>
          </w:tcPr>
          <w:p w14:paraId="56E60BF6"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345,7591</w:t>
            </w:r>
          </w:p>
        </w:tc>
        <w:tc>
          <w:tcPr>
            <w:tcW w:w="1701" w:type="dxa"/>
            <w:shd w:val="clear" w:color="auto" w:fill="auto"/>
            <w:noWrap/>
            <w:vAlign w:val="bottom"/>
            <w:hideMark/>
          </w:tcPr>
          <w:p w14:paraId="5265B89A"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2689,66</w:t>
            </w:r>
          </w:p>
        </w:tc>
        <w:tc>
          <w:tcPr>
            <w:tcW w:w="992" w:type="dxa"/>
            <w:shd w:val="clear" w:color="auto" w:fill="auto"/>
            <w:noWrap/>
            <w:vAlign w:val="bottom"/>
            <w:hideMark/>
          </w:tcPr>
          <w:p w14:paraId="2367DCCA"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1C657B58" w14:textId="77777777" w:rsidTr="00221500">
        <w:trPr>
          <w:trHeight w:val="300"/>
        </w:trPr>
        <w:tc>
          <w:tcPr>
            <w:tcW w:w="1062" w:type="dxa"/>
            <w:shd w:val="clear" w:color="auto" w:fill="auto"/>
            <w:noWrap/>
            <w:vAlign w:val="bottom"/>
            <w:hideMark/>
          </w:tcPr>
          <w:p w14:paraId="7BBC391F"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7EE84EC6"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р.п. Латная</w:t>
            </w:r>
          </w:p>
        </w:tc>
        <w:tc>
          <w:tcPr>
            <w:tcW w:w="1560" w:type="dxa"/>
            <w:shd w:val="clear" w:color="auto" w:fill="auto"/>
            <w:noWrap/>
            <w:vAlign w:val="bottom"/>
            <w:hideMark/>
          </w:tcPr>
          <w:p w14:paraId="3122ED2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102,77</w:t>
            </w:r>
          </w:p>
        </w:tc>
        <w:tc>
          <w:tcPr>
            <w:tcW w:w="1559" w:type="dxa"/>
            <w:shd w:val="clear" w:color="auto" w:fill="auto"/>
            <w:noWrap/>
            <w:vAlign w:val="bottom"/>
            <w:hideMark/>
          </w:tcPr>
          <w:p w14:paraId="23F0C85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344,0187</w:t>
            </w:r>
          </w:p>
        </w:tc>
        <w:tc>
          <w:tcPr>
            <w:tcW w:w="1701" w:type="dxa"/>
            <w:shd w:val="clear" w:color="auto" w:fill="auto"/>
            <w:noWrap/>
            <w:vAlign w:val="bottom"/>
            <w:hideMark/>
          </w:tcPr>
          <w:p w14:paraId="6741620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2080</w:t>
            </w:r>
          </w:p>
        </w:tc>
        <w:tc>
          <w:tcPr>
            <w:tcW w:w="992" w:type="dxa"/>
            <w:shd w:val="clear" w:color="auto" w:fill="auto"/>
            <w:noWrap/>
            <w:vAlign w:val="bottom"/>
            <w:hideMark/>
          </w:tcPr>
          <w:p w14:paraId="525B8761"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2C529F2D" w14:textId="77777777" w:rsidTr="00221500">
        <w:trPr>
          <w:trHeight w:val="300"/>
        </w:trPr>
        <w:tc>
          <w:tcPr>
            <w:tcW w:w="1062" w:type="dxa"/>
            <w:shd w:val="clear" w:color="auto" w:fill="auto"/>
            <w:noWrap/>
            <w:vAlign w:val="bottom"/>
            <w:hideMark/>
          </w:tcPr>
          <w:p w14:paraId="7C39900B"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4757F539"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п.г.т. Анна</w:t>
            </w:r>
          </w:p>
        </w:tc>
        <w:tc>
          <w:tcPr>
            <w:tcW w:w="1560" w:type="dxa"/>
            <w:shd w:val="clear" w:color="auto" w:fill="auto"/>
            <w:noWrap/>
            <w:vAlign w:val="bottom"/>
            <w:hideMark/>
          </w:tcPr>
          <w:p w14:paraId="14677609"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86,25</w:t>
            </w:r>
          </w:p>
        </w:tc>
        <w:tc>
          <w:tcPr>
            <w:tcW w:w="1559" w:type="dxa"/>
            <w:shd w:val="clear" w:color="auto" w:fill="auto"/>
            <w:noWrap/>
            <w:vAlign w:val="bottom"/>
            <w:hideMark/>
          </w:tcPr>
          <w:p w14:paraId="6027E11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342,8975</w:t>
            </w:r>
          </w:p>
        </w:tc>
        <w:tc>
          <w:tcPr>
            <w:tcW w:w="1701" w:type="dxa"/>
            <w:shd w:val="clear" w:color="auto" w:fill="auto"/>
            <w:noWrap/>
            <w:vAlign w:val="bottom"/>
            <w:hideMark/>
          </w:tcPr>
          <w:p w14:paraId="74F2A3B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2635,83</w:t>
            </w:r>
          </w:p>
        </w:tc>
        <w:tc>
          <w:tcPr>
            <w:tcW w:w="992" w:type="dxa"/>
            <w:shd w:val="clear" w:color="auto" w:fill="auto"/>
            <w:noWrap/>
            <w:vAlign w:val="bottom"/>
            <w:hideMark/>
          </w:tcPr>
          <w:p w14:paraId="1B8083F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60FEDDE7" w14:textId="77777777" w:rsidTr="00221500">
        <w:trPr>
          <w:trHeight w:val="300"/>
        </w:trPr>
        <w:tc>
          <w:tcPr>
            <w:tcW w:w="1062" w:type="dxa"/>
            <w:shd w:val="clear" w:color="auto" w:fill="auto"/>
            <w:noWrap/>
            <w:vAlign w:val="bottom"/>
            <w:hideMark/>
          </w:tcPr>
          <w:p w14:paraId="78B14707"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43FED4E6"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п.г.т. Каменка</w:t>
            </w:r>
          </w:p>
        </w:tc>
        <w:tc>
          <w:tcPr>
            <w:tcW w:w="1560" w:type="dxa"/>
            <w:shd w:val="clear" w:color="auto" w:fill="auto"/>
            <w:noWrap/>
            <w:vAlign w:val="bottom"/>
            <w:hideMark/>
          </w:tcPr>
          <w:p w14:paraId="223A510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101,25</w:t>
            </w:r>
          </w:p>
        </w:tc>
        <w:tc>
          <w:tcPr>
            <w:tcW w:w="1559" w:type="dxa"/>
            <w:shd w:val="clear" w:color="auto" w:fill="auto"/>
            <w:noWrap/>
            <w:vAlign w:val="bottom"/>
            <w:hideMark/>
          </w:tcPr>
          <w:p w14:paraId="32441CDE"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341,9566</w:t>
            </w:r>
          </w:p>
        </w:tc>
        <w:tc>
          <w:tcPr>
            <w:tcW w:w="1701" w:type="dxa"/>
            <w:shd w:val="clear" w:color="auto" w:fill="auto"/>
            <w:noWrap/>
            <w:vAlign w:val="bottom"/>
            <w:hideMark/>
          </w:tcPr>
          <w:p w14:paraId="7A142C8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1067,45</w:t>
            </w:r>
          </w:p>
        </w:tc>
        <w:tc>
          <w:tcPr>
            <w:tcW w:w="992" w:type="dxa"/>
            <w:shd w:val="clear" w:color="auto" w:fill="auto"/>
            <w:noWrap/>
            <w:vAlign w:val="bottom"/>
            <w:hideMark/>
          </w:tcPr>
          <w:p w14:paraId="72FCA2C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4624878C" w14:textId="77777777" w:rsidTr="00221500">
        <w:trPr>
          <w:trHeight w:val="300"/>
        </w:trPr>
        <w:tc>
          <w:tcPr>
            <w:tcW w:w="1062" w:type="dxa"/>
            <w:shd w:val="clear" w:color="auto" w:fill="auto"/>
            <w:noWrap/>
            <w:vAlign w:val="bottom"/>
            <w:hideMark/>
          </w:tcPr>
          <w:p w14:paraId="2C93C6C1"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3C3C99CE"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р.п. Новохоперский</w:t>
            </w:r>
          </w:p>
        </w:tc>
        <w:tc>
          <w:tcPr>
            <w:tcW w:w="1560" w:type="dxa"/>
            <w:shd w:val="clear" w:color="auto" w:fill="auto"/>
            <w:noWrap/>
            <w:vAlign w:val="bottom"/>
            <w:hideMark/>
          </w:tcPr>
          <w:p w14:paraId="7BE5367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101,74</w:t>
            </w:r>
          </w:p>
        </w:tc>
        <w:tc>
          <w:tcPr>
            <w:tcW w:w="1559" w:type="dxa"/>
            <w:shd w:val="clear" w:color="auto" w:fill="auto"/>
            <w:noWrap/>
            <w:vAlign w:val="bottom"/>
            <w:hideMark/>
          </w:tcPr>
          <w:p w14:paraId="23669F9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338,0174</w:t>
            </w:r>
          </w:p>
        </w:tc>
        <w:tc>
          <w:tcPr>
            <w:tcW w:w="1701" w:type="dxa"/>
            <w:shd w:val="clear" w:color="auto" w:fill="auto"/>
            <w:noWrap/>
            <w:vAlign w:val="bottom"/>
            <w:hideMark/>
          </w:tcPr>
          <w:p w14:paraId="3306089A"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2159,75</w:t>
            </w:r>
          </w:p>
        </w:tc>
        <w:tc>
          <w:tcPr>
            <w:tcW w:w="992" w:type="dxa"/>
            <w:shd w:val="clear" w:color="auto" w:fill="auto"/>
            <w:noWrap/>
            <w:vAlign w:val="bottom"/>
            <w:hideMark/>
          </w:tcPr>
          <w:p w14:paraId="0984C92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08084A41" w14:textId="77777777" w:rsidTr="00221500">
        <w:trPr>
          <w:trHeight w:val="300"/>
        </w:trPr>
        <w:tc>
          <w:tcPr>
            <w:tcW w:w="1062" w:type="dxa"/>
            <w:shd w:val="clear" w:color="auto" w:fill="auto"/>
            <w:noWrap/>
            <w:vAlign w:val="bottom"/>
            <w:hideMark/>
          </w:tcPr>
          <w:p w14:paraId="0270E52C"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40147E42"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 Бутурлиновка</w:t>
            </w:r>
          </w:p>
        </w:tc>
        <w:tc>
          <w:tcPr>
            <w:tcW w:w="1560" w:type="dxa"/>
            <w:shd w:val="clear" w:color="auto" w:fill="auto"/>
            <w:noWrap/>
            <w:vAlign w:val="bottom"/>
            <w:hideMark/>
          </w:tcPr>
          <w:p w14:paraId="6D3C896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100,35</w:t>
            </w:r>
          </w:p>
        </w:tc>
        <w:tc>
          <w:tcPr>
            <w:tcW w:w="1559" w:type="dxa"/>
            <w:shd w:val="clear" w:color="auto" w:fill="auto"/>
            <w:noWrap/>
            <w:vAlign w:val="bottom"/>
            <w:hideMark/>
          </w:tcPr>
          <w:p w14:paraId="467167E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330,5601</w:t>
            </w:r>
          </w:p>
        </w:tc>
        <w:tc>
          <w:tcPr>
            <w:tcW w:w="1701" w:type="dxa"/>
            <w:shd w:val="clear" w:color="auto" w:fill="auto"/>
            <w:noWrap/>
            <w:vAlign w:val="bottom"/>
            <w:hideMark/>
          </w:tcPr>
          <w:p w14:paraId="07ABD71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3379,71</w:t>
            </w:r>
          </w:p>
        </w:tc>
        <w:tc>
          <w:tcPr>
            <w:tcW w:w="992" w:type="dxa"/>
            <w:shd w:val="clear" w:color="auto" w:fill="auto"/>
            <w:noWrap/>
            <w:vAlign w:val="bottom"/>
            <w:hideMark/>
          </w:tcPr>
          <w:p w14:paraId="6666925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18768D68" w14:textId="77777777" w:rsidTr="00221500">
        <w:trPr>
          <w:trHeight w:val="300"/>
        </w:trPr>
        <w:tc>
          <w:tcPr>
            <w:tcW w:w="1062" w:type="dxa"/>
            <w:shd w:val="clear" w:color="auto" w:fill="auto"/>
            <w:noWrap/>
            <w:vAlign w:val="bottom"/>
            <w:hideMark/>
          </w:tcPr>
          <w:p w14:paraId="411559C2"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6B213F84"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р.п. Кантемировка</w:t>
            </w:r>
          </w:p>
        </w:tc>
        <w:tc>
          <w:tcPr>
            <w:tcW w:w="1560" w:type="dxa"/>
            <w:shd w:val="clear" w:color="auto" w:fill="auto"/>
            <w:noWrap/>
            <w:vAlign w:val="bottom"/>
            <w:hideMark/>
          </w:tcPr>
          <w:p w14:paraId="758E953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100,68</w:t>
            </w:r>
          </w:p>
        </w:tc>
        <w:tc>
          <w:tcPr>
            <w:tcW w:w="1559" w:type="dxa"/>
            <w:shd w:val="clear" w:color="auto" w:fill="auto"/>
            <w:noWrap/>
            <w:vAlign w:val="bottom"/>
            <w:hideMark/>
          </w:tcPr>
          <w:p w14:paraId="79FEB53E"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320,9403</w:t>
            </w:r>
          </w:p>
        </w:tc>
        <w:tc>
          <w:tcPr>
            <w:tcW w:w="1701" w:type="dxa"/>
            <w:shd w:val="clear" w:color="auto" w:fill="auto"/>
            <w:noWrap/>
            <w:vAlign w:val="bottom"/>
            <w:hideMark/>
          </w:tcPr>
          <w:p w14:paraId="3B7C052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1773,34</w:t>
            </w:r>
          </w:p>
        </w:tc>
        <w:tc>
          <w:tcPr>
            <w:tcW w:w="992" w:type="dxa"/>
            <w:shd w:val="clear" w:color="auto" w:fill="auto"/>
            <w:noWrap/>
            <w:vAlign w:val="bottom"/>
            <w:hideMark/>
          </w:tcPr>
          <w:p w14:paraId="1FDDBBB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5BF31A75" w14:textId="77777777" w:rsidTr="00221500">
        <w:trPr>
          <w:trHeight w:val="300"/>
        </w:trPr>
        <w:tc>
          <w:tcPr>
            <w:tcW w:w="1062" w:type="dxa"/>
            <w:shd w:val="clear" w:color="auto" w:fill="auto"/>
            <w:noWrap/>
            <w:vAlign w:val="bottom"/>
            <w:hideMark/>
          </w:tcPr>
          <w:p w14:paraId="171B9E4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1993FF4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р.п. Панино</w:t>
            </w:r>
          </w:p>
        </w:tc>
        <w:tc>
          <w:tcPr>
            <w:tcW w:w="1560" w:type="dxa"/>
            <w:shd w:val="clear" w:color="auto" w:fill="auto"/>
            <w:noWrap/>
            <w:vAlign w:val="bottom"/>
            <w:hideMark/>
          </w:tcPr>
          <w:p w14:paraId="5DB53FC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103,64</w:t>
            </w:r>
          </w:p>
        </w:tc>
        <w:tc>
          <w:tcPr>
            <w:tcW w:w="1559" w:type="dxa"/>
            <w:shd w:val="clear" w:color="auto" w:fill="auto"/>
            <w:noWrap/>
            <w:vAlign w:val="bottom"/>
            <w:hideMark/>
          </w:tcPr>
          <w:p w14:paraId="0D5D82BA"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318,1464</w:t>
            </w:r>
          </w:p>
        </w:tc>
        <w:tc>
          <w:tcPr>
            <w:tcW w:w="1701" w:type="dxa"/>
            <w:shd w:val="clear" w:color="auto" w:fill="auto"/>
            <w:noWrap/>
            <w:vAlign w:val="bottom"/>
            <w:hideMark/>
          </w:tcPr>
          <w:p w14:paraId="576CD89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2202,19</w:t>
            </w:r>
          </w:p>
        </w:tc>
        <w:tc>
          <w:tcPr>
            <w:tcW w:w="992" w:type="dxa"/>
            <w:shd w:val="clear" w:color="auto" w:fill="auto"/>
            <w:noWrap/>
            <w:vAlign w:val="bottom"/>
            <w:hideMark/>
          </w:tcPr>
          <w:p w14:paraId="05BDC31E"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4EBA94BF" w14:textId="77777777" w:rsidTr="00221500">
        <w:trPr>
          <w:trHeight w:val="300"/>
        </w:trPr>
        <w:tc>
          <w:tcPr>
            <w:tcW w:w="1062" w:type="dxa"/>
            <w:shd w:val="clear" w:color="auto" w:fill="auto"/>
            <w:noWrap/>
            <w:vAlign w:val="bottom"/>
            <w:hideMark/>
          </w:tcPr>
          <w:p w14:paraId="184ADC10"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0AE91853"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р.п. Таловая</w:t>
            </w:r>
          </w:p>
        </w:tc>
        <w:tc>
          <w:tcPr>
            <w:tcW w:w="1560" w:type="dxa"/>
            <w:shd w:val="clear" w:color="auto" w:fill="auto"/>
            <w:noWrap/>
            <w:vAlign w:val="bottom"/>
            <w:hideMark/>
          </w:tcPr>
          <w:p w14:paraId="2B56D8B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100,38</w:t>
            </w:r>
          </w:p>
        </w:tc>
        <w:tc>
          <w:tcPr>
            <w:tcW w:w="1559" w:type="dxa"/>
            <w:shd w:val="clear" w:color="auto" w:fill="auto"/>
            <w:noWrap/>
            <w:vAlign w:val="bottom"/>
            <w:hideMark/>
          </w:tcPr>
          <w:p w14:paraId="3DC4663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306,9821</w:t>
            </w:r>
          </w:p>
        </w:tc>
        <w:tc>
          <w:tcPr>
            <w:tcW w:w="1701" w:type="dxa"/>
            <w:shd w:val="clear" w:color="auto" w:fill="auto"/>
            <w:noWrap/>
            <w:vAlign w:val="bottom"/>
            <w:hideMark/>
          </w:tcPr>
          <w:p w14:paraId="3291B98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3547,43</w:t>
            </w:r>
          </w:p>
        </w:tc>
        <w:tc>
          <w:tcPr>
            <w:tcW w:w="992" w:type="dxa"/>
            <w:shd w:val="clear" w:color="auto" w:fill="auto"/>
            <w:noWrap/>
            <w:vAlign w:val="bottom"/>
            <w:hideMark/>
          </w:tcPr>
          <w:p w14:paraId="1B8815D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7DCC5165" w14:textId="77777777" w:rsidTr="00221500">
        <w:trPr>
          <w:trHeight w:val="300"/>
        </w:trPr>
        <w:tc>
          <w:tcPr>
            <w:tcW w:w="1062" w:type="dxa"/>
            <w:shd w:val="clear" w:color="auto" w:fill="auto"/>
            <w:noWrap/>
            <w:vAlign w:val="bottom"/>
            <w:hideMark/>
          </w:tcPr>
          <w:p w14:paraId="66E953B4"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203D04F2"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р.п. Давыдовка</w:t>
            </w:r>
          </w:p>
        </w:tc>
        <w:tc>
          <w:tcPr>
            <w:tcW w:w="1560" w:type="dxa"/>
            <w:shd w:val="clear" w:color="auto" w:fill="auto"/>
            <w:noWrap/>
            <w:vAlign w:val="bottom"/>
            <w:hideMark/>
          </w:tcPr>
          <w:p w14:paraId="5FF3889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100,97</w:t>
            </w:r>
          </w:p>
        </w:tc>
        <w:tc>
          <w:tcPr>
            <w:tcW w:w="1559" w:type="dxa"/>
            <w:shd w:val="clear" w:color="auto" w:fill="auto"/>
            <w:noWrap/>
            <w:vAlign w:val="bottom"/>
            <w:hideMark/>
          </w:tcPr>
          <w:p w14:paraId="1CCCBA91"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275,5209</w:t>
            </w:r>
          </w:p>
        </w:tc>
        <w:tc>
          <w:tcPr>
            <w:tcW w:w="1701" w:type="dxa"/>
            <w:shd w:val="clear" w:color="auto" w:fill="auto"/>
            <w:noWrap/>
            <w:vAlign w:val="bottom"/>
            <w:hideMark/>
          </w:tcPr>
          <w:p w14:paraId="751E03B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1271,11</w:t>
            </w:r>
          </w:p>
        </w:tc>
        <w:tc>
          <w:tcPr>
            <w:tcW w:w="992" w:type="dxa"/>
            <w:shd w:val="clear" w:color="auto" w:fill="auto"/>
            <w:noWrap/>
            <w:vAlign w:val="bottom"/>
            <w:hideMark/>
          </w:tcPr>
          <w:p w14:paraId="1B82A3A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4A313017" w14:textId="77777777" w:rsidTr="00221500">
        <w:trPr>
          <w:trHeight w:val="300"/>
        </w:trPr>
        <w:tc>
          <w:tcPr>
            <w:tcW w:w="1062" w:type="dxa"/>
            <w:shd w:val="clear" w:color="auto" w:fill="auto"/>
            <w:noWrap/>
            <w:vAlign w:val="bottom"/>
            <w:hideMark/>
          </w:tcPr>
          <w:p w14:paraId="225B7DD7"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2AF7552F"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р.п. Перелешинский</w:t>
            </w:r>
          </w:p>
        </w:tc>
        <w:tc>
          <w:tcPr>
            <w:tcW w:w="1560" w:type="dxa"/>
            <w:shd w:val="clear" w:color="auto" w:fill="auto"/>
            <w:noWrap/>
            <w:vAlign w:val="bottom"/>
            <w:hideMark/>
          </w:tcPr>
          <w:p w14:paraId="6D8BA8C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115</w:t>
            </w:r>
          </w:p>
        </w:tc>
        <w:tc>
          <w:tcPr>
            <w:tcW w:w="1559" w:type="dxa"/>
            <w:shd w:val="clear" w:color="auto" w:fill="auto"/>
            <w:noWrap/>
            <w:vAlign w:val="bottom"/>
            <w:hideMark/>
          </w:tcPr>
          <w:p w14:paraId="21D645F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255,9467</w:t>
            </w:r>
          </w:p>
        </w:tc>
        <w:tc>
          <w:tcPr>
            <w:tcW w:w="1701" w:type="dxa"/>
            <w:shd w:val="clear" w:color="auto" w:fill="auto"/>
            <w:noWrap/>
            <w:vAlign w:val="bottom"/>
            <w:hideMark/>
          </w:tcPr>
          <w:p w14:paraId="3447CC3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535,29</w:t>
            </w:r>
          </w:p>
        </w:tc>
        <w:tc>
          <w:tcPr>
            <w:tcW w:w="992" w:type="dxa"/>
            <w:shd w:val="clear" w:color="auto" w:fill="auto"/>
            <w:noWrap/>
            <w:vAlign w:val="bottom"/>
            <w:hideMark/>
          </w:tcPr>
          <w:p w14:paraId="4171EA2A"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57E2283B" w14:textId="77777777" w:rsidTr="00221500">
        <w:trPr>
          <w:trHeight w:val="300"/>
        </w:trPr>
        <w:tc>
          <w:tcPr>
            <w:tcW w:w="1062" w:type="dxa"/>
            <w:shd w:val="clear" w:color="auto" w:fill="auto"/>
            <w:noWrap/>
            <w:vAlign w:val="bottom"/>
            <w:hideMark/>
          </w:tcPr>
          <w:p w14:paraId="5C0EAC3C"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39F25762"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р.п. Нижний Кисляй</w:t>
            </w:r>
          </w:p>
        </w:tc>
        <w:tc>
          <w:tcPr>
            <w:tcW w:w="1560" w:type="dxa"/>
            <w:shd w:val="clear" w:color="auto" w:fill="auto"/>
            <w:noWrap/>
            <w:vAlign w:val="bottom"/>
            <w:hideMark/>
          </w:tcPr>
          <w:p w14:paraId="210F1F6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167,2</w:t>
            </w:r>
          </w:p>
        </w:tc>
        <w:tc>
          <w:tcPr>
            <w:tcW w:w="1559" w:type="dxa"/>
            <w:shd w:val="clear" w:color="auto" w:fill="auto"/>
            <w:noWrap/>
            <w:vAlign w:val="bottom"/>
            <w:hideMark/>
          </w:tcPr>
          <w:p w14:paraId="5C353D6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207,9567</w:t>
            </w:r>
          </w:p>
        </w:tc>
        <w:tc>
          <w:tcPr>
            <w:tcW w:w="1701" w:type="dxa"/>
            <w:shd w:val="clear" w:color="auto" w:fill="auto"/>
            <w:noWrap/>
            <w:vAlign w:val="bottom"/>
            <w:hideMark/>
          </w:tcPr>
          <w:p w14:paraId="0180DFE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265</w:t>
            </w:r>
          </w:p>
        </w:tc>
        <w:tc>
          <w:tcPr>
            <w:tcW w:w="992" w:type="dxa"/>
            <w:shd w:val="clear" w:color="auto" w:fill="auto"/>
            <w:noWrap/>
            <w:vAlign w:val="bottom"/>
            <w:hideMark/>
          </w:tcPr>
          <w:p w14:paraId="481B3C39"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18B29A48" w14:textId="77777777" w:rsidTr="00221500">
        <w:trPr>
          <w:trHeight w:val="300"/>
        </w:trPr>
        <w:tc>
          <w:tcPr>
            <w:tcW w:w="1062" w:type="dxa"/>
            <w:shd w:val="clear" w:color="auto" w:fill="auto"/>
            <w:noWrap/>
            <w:vAlign w:val="bottom"/>
            <w:hideMark/>
          </w:tcPr>
          <w:p w14:paraId="1A2E365A"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ГНП</w:t>
            </w:r>
          </w:p>
        </w:tc>
        <w:tc>
          <w:tcPr>
            <w:tcW w:w="2335" w:type="dxa"/>
            <w:shd w:val="clear" w:color="auto" w:fill="auto"/>
            <w:noWrap/>
            <w:vAlign w:val="bottom"/>
            <w:hideMark/>
          </w:tcPr>
          <w:p w14:paraId="79E7E924"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р.п. Елань-Коленовский</w:t>
            </w:r>
          </w:p>
        </w:tc>
        <w:tc>
          <w:tcPr>
            <w:tcW w:w="1560" w:type="dxa"/>
            <w:shd w:val="clear" w:color="auto" w:fill="auto"/>
            <w:noWrap/>
            <w:vAlign w:val="bottom"/>
            <w:hideMark/>
          </w:tcPr>
          <w:p w14:paraId="50E81119"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120,13</w:t>
            </w:r>
          </w:p>
        </w:tc>
        <w:tc>
          <w:tcPr>
            <w:tcW w:w="1559" w:type="dxa"/>
            <w:shd w:val="clear" w:color="auto" w:fill="auto"/>
            <w:noWrap/>
            <w:vAlign w:val="bottom"/>
            <w:hideMark/>
          </w:tcPr>
          <w:p w14:paraId="71E4D23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179,082</w:t>
            </w:r>
          </w:p>
        </w:tc>
        <w:tc>
          <w:tcPr>
            <w:tcW w:w="1701" w:type="dxa"/>
            <w:shd w:val="clear" w:color="auto" w:fill="auto"/>
            <w:noWrap/>
            <w:vAlign w:val="bottom"/>
            <w:hideMark/>
          </w:tcPr>
          <w:p w14:paraId="72612B3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260</w:t>
            </w:r>
          </w:p>
        </w:tc>
        <w:tc>
          <w:tcPr>
            <w:tcW w:w="992" w:type="dxa"/>
            <w:shd w:val="clear" w:color="auto" w:fill="auto"/>
            <w:noWrap/>
            <w:vAlign w:val="bottom"/>
            <w:hideMark/>
          </w:tcPr>
          <w:p w14:paraId="14C3056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w:t>
            </w:r>
          </w:p>
        </w:tc>
      </w:tr>
      <w:tr w:rsidR="000B0C76" w:rsidRPr="00683DEF" w14:paraId="7A6C640C" w14:textId="77777777" w:rsidTr="00221500">
        <w:trPr>
          <w:trHeight w:val="300"/>
        </w:trPr>
        <w:tc>
          <w:tcPr>
            <w:tcW w:w="1062" w:type="dxa"/>
            <w:shd w:val="clear" w:color="auto" w:fill="auto"/>
            <w:noWrap/>
            <w:vAlign w:val="bottom"/>
            <w:hideMark/>
          </w:tcPr>
          <w:p w14:paraId="16D5848A"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184A6772"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Рамонский</w:t>
            </w:r>
          </w:p>
        </w:tc>
        <w:tc>
          <w:tcPr>
            <w:tcW w:w="1560" w:type="dxa"/>
            <w:shd w:val="clear" w:color="auto" w:fill="auto"/>
            <w:noWrap/>
            <w:vAlign w:val="bottom"/>
            <w:hideMark/>
          </w:tcPr>
          <w:p w14:paraId="796F349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5,3</w:t>
            </w:r>
          </w:p>
        </w:tc>
        <w:tc>
          <w:tcPr>
            <w:tcW w:w="1559" w:type="dxa"/>
            <w:shd w:val="clear" w:color="auto" w:fill="auto"/>
            <w:noWrap/>
            <w:vAlign w:val="bottom"/>
            <w:hideMark/>
          </w:tcPr>
          <w:p w14:paraId="3A406256"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563,7639</w:t>
            </w:r>
          </w:p>
        </w:tc>
        <w:tc>
          <w:tcPr>
            <w:tcW w:w="1701" w:type="dxa"/>
            <w:shd w:val="clear" w:color="auto" w:fill="auto"/>
            <w:noWrap/>
            <w:vAlign w:val="bottom"/>
            <w:hideMark/>
          </w:tcPr>
          <w:p w14:paraId="530957FB"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2087,67</w:t>
            </w:r>
          </w:p>
        </w:tc>
        <w:tc>
          <w:tcPr>
            <w:tcW w:w="992" w:type="dxa"/>
            <w:shd w:val="clear" w:color="auto" w:fill="auto"/>
            <w:noWrap/>
            <w:vAlign w:val="bottom"/>
            <w:hideMark/>
          </w:tcPr>
          <w:p w14:paraId="288110C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4</w:t>
            </w:r>
          </w:p>
        </w:tc>
      </w:tr>
      <w:tr w:rsidR="000B0C76" w:rsidRPr="00683DEF" w14:paraId="31C96015" w14:textId="77777777" w:rsidTr="00221500">
        <w:trPr>
          <w:trHeight w:val="300"/>
        </w:trPr>
        <w:tc>
          <w:tcPr>
            <w:tcW w:w="1062" w:type="dxa"/>
            <w:shd w:val="clear" w:color="auto" w:fill="auto"/>
            <w:noWrap/>
            <w:vAlign w:val="bottom"/>
            <w:hideMark/>
          </w:tcPr>
          <w:p w14:paraId="2B471972"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61A7F245"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Новоусманский</w:t>
            </w:r>
          </w:p>
        </w:tc>
        <w:tc>
          <w:tcPr>
            <w:tcW w:w="1560" w:type="dxa"/>
            <w:shd w:val="clear" w:color="auto" w:fill="auto"/>
            <w:noWrap/>
            <w:vAlign w:val="bottom"/>
            <w:hideMark/>
          </w:tcPr>
          <w:p w14:paraId="0306225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4,21</w:t>
            </w:r>
          </w:p>
        </w:tc>
        <w:tc>
          <w:tcPr>
            <w:tcW w:w="1559" w:type="dxa"/>
            <w:shd w:val="clear" w:color="auto" w:fill="auto"/>
            <w:noWrap/>
            <w:vAlign w:val="bottom"/>
            <w:hideMark/>
          </w:tcPr>
          <w:p w14:paraId="1D5F9B2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546,6052</w:t>
            </w:r>
          </w:p>
        </w:tc>
        <w:tc>
          <w:tcPr>
            <w:tcW w:w="1701" w:type="dxa"/>
            <w:shd w:val="clear" w:color="auto" w:fill="auto"/>
            <w:noWrap/>
            <w:vAlign w:val="bottom"/>
            <w:hideMark/>
          </w:tcPr>
          <w:p w14:paraId="77CFE83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2078,31</w:t>
            </w:r>
          </w:p>
        </w:tc>
        <w:tc>
          <w:tcPr>
            <w:tcW w:w="992" w:type="dxa"/>
            <w:shd w:val="clear" w:color="auto" w:fill="auto"/>
            <w:noWrap/>
            <w:vAlign w:val="bottom"/>
            <w:hideMark/>
          </w:tcPr>
          <w:p w14:paraId="7E0C1D3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4</w:t>
            </w:r>
          </w:p>
        </w:tc>
      </w:tr>
      <w:tr w:rsidR="000B0C76" w:rsidRPr="00683DEF" w14:paraId="59484F39" w14:textId="77777777" w:rsidTr="00221500">
        <w:trPr>
          <w:trHeight w:val="300"/>
        </w:trPr>
        <w:tc>
          <w:tcPr>
            <w:tcW w:w="1062" w:type="dxa"/>
            <w:shd w:val="clear" w:color="auto" w:fill="auto"/>
            <w:noWrap/>
            <w:vAlign w:val="bottom"/>
            <w:hideMark/>
          </w:tcPr>
          <w:p w14:paraId="1577D9C7"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31EA5A1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Семилукский</w:t>
            </w:r>
          </w:p>
        </w:tc>
        <w:tc>
          <w:tcPr>
            <w:tcW w:w="1560" w:type="dxa"/>
            <w:shd w:val="clear" w:color="auto" w:fill="auto"/>
            <w:noWrap/>
            <w:vAlign w:val="bottom"/>
            <w:hideMark/>
          </w:tcPr>
          <w:p w14:paraId="068F2A6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5,3</w:t>
            </w:r>
          </w:p>
        </w:tc>
        <w:tc>
          <w:tcPr>
            <w:tcW w:w="1559" w:type="dxa"/>
            <w:shd w:val="clear" w:color="auto" w:fill="auto"/>
            <w:noWrap/>
            <w:vAlign w:val="bottom"/>
            <w:hideMark/>
          </w:tcPr>
          <w:p w14:paraId="3D5A8989"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245,2063</w:t>
            </w:r>
          </w:p>
        </w:tc>
        <w:tc>
          <w:tcPr>
            <w:tcW w:w="1701" w:type="dxa"/>
            <w:shd w:val="clear" w:color="auto" w:fill="auto"/>
            <w:noWrap/>
            <w:vAlign w:val="bottom"/>
            <w:hideMark/>
          </w:tcPr>
          <w:p w14:paraId="555B179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2085,61</w:t>
            </w:r>
          </w:p>
        </w:tc>
        <w:tc>
          <w:tcPr>
            <w:tcW w:w="992" w:type="dxa"/>
            <w:shd w:val="clear" w:color="auto" w:fill="auto"/>
            <w:noWrap/>
            <w:vAlign w:val="bottom"/>
            <w:hideMark/>
          </w:tcPr>
          <w:p w14:paraId="22A61A36"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w:t>
            </w:r>
          </w:p>
        </w:tc>
      </w:tr>
      <w:tr w:rsidR="000B0C76" w:rsidRPr="00683DEF" w14:paraId="50890FC4" w14:textId="77777777" w:rsidTr="00221500">
        <w:trPr>
          <w:trHeight w:val="300"/>
        </w:trPr>
        <w:tc>
          <w:tcPr>
            <w:tcW w:w="1062" w:type="dxa"/>
            <w:shd w:val="clear" w:color="auto" w:fill="auto"/>
            <w:noWrap/>
            <w:vAlign w:val="bottom"/>
            <w:hideMark/>
          </w:tcPr>
          <w:p w14:paraId="4614341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101F5643"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Нижнедевицкий</w:t>
            </w:r>
          </w:p>
        </w:tc>
        <w:tc>
          <w:tcPr>
            <w:tcW w:w="1560" w:type="dxa"/>
            <w:shd w:val="clear" w:color="auto" w:fill="auto"/>
            <w:noWrap/>
            <w:vAlign w:val="bottom"/>
            <w:hideMark/>
          </w:tcPr>
          <w:p w14:paraId="1D3CFE2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2,35</w:t>
            </w:r>
          </w:p>
        </w:tc>
        <w:tc>
          <w:tcPr>
            <w:tcW w:w="1559" w:type="dxa"/>
            <w:shd w:val="clear" w:color="auto" w:fill="auto"/>
            <w:noWrap/>
            <w:vAlign w:val="bottom"/>
            <w:hideMark/>
          </w:tcPr>
          <w:p w14:paraId="47EE6E9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232,1191</w:t>
            </w:r>
          </w:p>
        </w:tc>
        <w:tc>
          <w:tcPr>
            <w:tcW w:w="1701" w:type="dxa"/>
            <w:shd w:val="clear" w:color="auto" w:fill="auto"/>
            <w:noWrap/>
            <w:vAlign w:val="bottom"/>
            <w:hideMark/>
          </w:tcPr>
          <w:p w14:paraId="21156396"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1982,76</w:t>
            </w:r>
          </w:p>
        </w:tc>
        <w:tc>
          <w:tcPr>
            <w:tcW w:w="992" w:type="dxa"/>
            <w:shd w:val="clear" w:color="auto" w:fill="auto"/>
            <w:noWrap/>
            <w:vAlign w:val="bottom"/>
            <w:hideMark/>
          </w:tcPr>
          <w:p w14:paraId="4C9A24F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w:t>
            </w:r>
          </w:p>
        </w:tc>
      </w:tr>
      <w:tr w:rsidR="000B0C76" w:rsidRPr="00683DEF" w14:paraId="0C654466" w14:textId="77777777" w:rsidTr="00221500">
        <w:trPr>
          <w:trHeight w:val="300"/>
        </w:trPr>
        <w:tc>
          <w:tcPr>
            <w:tcW w:w="1062" w:type="dxa"/>
            <w:shd w:val="clear" w:color="auto" w:fill="auto"/>
            <w:noWrap/>
            <w:vAlign w:val="bottom"/>
            <w:hideMark/>
          </w:tcPr>
          <w:p w14:paraId="352EAB9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5A79B471"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Каширский</w:t>
            </w:r>
          </w:p>
        </w:tc>
        <w:tc>
          <w:tcPr>
            <w:tcW w:w="1560" w:type="dxa"/>
            <w:shd w:val="clear" w:color="auto" w:fill="auto"/>
            <w:noWrap/>
            <w:vAlign w:val="bottom"/>
            <w:hideMark/>
          </w:tcPr>
          <w:p w14:paraId="0A0C452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5,82</w:t>
            </w:r>
          </w:p>
        </w:tc>
        <w:tc>
          <w:tcPr>
            <w:tcW w:w="1559" w:type="dxa"/>
            <w:shd w:val="clear" w:color="auto" w:fill="auto"/>
            <w:noWrap/>
            <w:vAlign w:val="bottom"/>
            <w:hideMark/>
          </w:tcPr>
          <w:p w14:paraId="13C64E9A"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221,8314</w:t>
            </w:r>
          </w:p>
        </w:tc>
        <w:tc>
          <w:tcPr>
            <w:tcW w:w="1701" w:type="dxa"/>
            <w:shd w:val="clear" w:color="auto" w:fill="auto"/>
            <w:noWrap/>
            <w:vAlign w:val="bottom"/>
            <w:hideMark/>
          </w:tcPr>
          <w:p w14:paraId="39C2247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1915,79</w:t>
            </w:r>
          </w:p>
        </w:tc>
        <w:tc>
          <w:tcPr>
            <w:tcW w:w="992" w:type="dxa"/>
            <w:shd w:val="clear" w:color="auto" w:fill="auto"/>
            <w:noWrap/>
            <w:vAlign w:val="bottom"/>
            <w:hideMark/>
          </w:tcPr>
          <w:p w14:paraId="67FDBDB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w:t>
            </w:r>
          </w:p>
        </w:tc>
      </w:tr>
      <w:tr w:rsidR="000B0C76" w:rsidRPr="00683DEF" w14:paraId="2EB7E71A" w14:textId="77777777" w:rsidTr="00221500">
        <w:trPr>
          <w:trHeight w:val="300"/>
        </w:trPr>
        <w:tc>
          <w:tcPr>
            <w:tcW w:w="1062" w:type="dxa"/>
            <w:shd w:val="clear" w:color="auto" w:fill="auto"/>
            <w:noWrap/>
            <w:vAlign w:val="bottom"/>
            <w:hideMark/>
          </w:tcPr>
          <w:p w14:paraId="23FDA1C6"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5433DC8E"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Хохольский</w:t>
            </w:r>
          </w:p>
        </w:tc>
        <w:tc>
          <w:tcPr>
            <w:tcW w:w="1560" w:type="dxa"/>
            <w:shd w:val="clear" w:color="auto" w:fill="auto"/>
            <w:noWrap/>
            <w:vAlign w:val="bottom"/>
            <w:hideMark/>
          </w:tcPr>
          <w:p w14:paraId="64A11331"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5,3</w:t>
            </w:r>
          </w:p>
        </w:tc>
        <w:tc>
          <w:tcPr>
            <w:tcW w:w="1559" w:type="dxa"/>
            <w:shd w:val="clear" w:color="auto" w:fill="auto"/>
            <w:noWrap/>
            <w:vAlign w:val="bottom"/>
            <w:hideMark/>
          </w:tcPr>
          <w:p w14:paraId="126A3651"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189,0992</w:t>
            </w:r>
          </w:p>
        </w:tc>
        <w:tc>
          <w:tcPr>
            <w:tcW w:w="1701" w:type="dxa"/>
            <w:shd w:val="clear" w:color="auto" w:fill="auto"/>
            <w:noWrap/>
            <w:vAlign w:val="bottom"/>
            <w:hideMark/>
          </w:tcPr>
          <w:p w14:paraId="0FB26A0A"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2080</w:t>
            </w:r>
          </w:p>
        </w:tc>
        <w:tc>
          <w:tcPr>
            <w:tcW w:w="992" w:type="dxa"/>
            <w:shd w:val="clear" w:color="auto" w:fill="auto"/>
            <w:noWrap/>
            <w:vAlign w:val="bottom"/>
            <w:hideMark/>
          </w:tcPr>
          <w:p w14:paraId="4A9AC65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w:t>
            </w:r>
          </w:p>
        </w:tc>
      </w:tr>
      <w:tr w:rsidR="000B0C76" w:rsidRPr="00683DEF" w14:paraId="2058C089" w14:textId="77777777" w:rsidTr="00221500">
        <w:trPr>
          <w:trHeight w:val="300"/>
        </w:trPr>
        <w:tc>
          <w:tcPr>
            <w:tcW w:w="1062" w:type="dxa"/>
            <w:shd w:val="clear" w:color="auto" w:fill="auto"/>
            <w:noWrap/>
            <w:vAlign w:val="bottom"/>
            <w:hideMark/>
          </w:tcPr>
          <w:p w14:paraId="60298EB6"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3554B3C9"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Верхнехавский</w:t>
            </w:r>
          </w:p>
        </w:tc>
        <w:tc>
          <w:tcPr>
            <w:tcW w:w="1560" w:type="dxa"/>
            <w:shd w:val="clear" w:color="auto" w:fill="auto"/>
            <w:noWrap/>
            <w:vAlign w:val="bottom"/>
            <w:hideMark/>
          </w:tcPr>
          <w:p w14:paraId="0D81ED6E"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5,3</w:t>
            </w:r>
          </w:p>
        </w:tc>
        <w:tc>
          <w:tcPr>
            <w:tcW w:w="1559" w:type="dxa"/>
            <w:shd w:val="clear" w:color="auto" w:fill="auto"/>
            <w:noWrap/>
            <w:vAlign w:val="bottom"/>
            <w:hideMark/>
          </w:tcPr>
          <w:p w14:paraId="4C7E4C6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180,931</w:t>
            </w:r>
          </w:p>
        </w:tc>
        <w:tc>
          <w:tcPr>
            <w:tcW w:w="1701" w:type="dxa"/>
            <w:shd w:val="clear" w:color="auto" w:fill="auto"/>
            <w:noWrap/>
            <w:vAlign w:val="bottom"/>
            <w:hideMark/>
          </w:tcPr>
          <w:p w14:paraId="24461B8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1802</w:t>
            </w:r>
          </w:p>
        </w:tc>
        <w:tc>
          <w:tcPr>
            <w:tcW w:w="992" w:type="dxa"/>
            <w:shd w:val="clear" w:color="auto" w:fill="auto"/>
            <w:noWrap/>
            <w:vAlign w:val="bottom"/>
            <w:hideMark/>
          </w:tcPr>
          <w:p w14:paraId="309A090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w:t>
            </w:r>
          </w:p>
        </w:tc>
      </w:tr>
      <w:tr w:rsidR="000B0C76" w:rsidRPr="00683DEF" w14:paraId="4B52BE19" w14:textId="77777777" w:rsidTr="00221500">
        <w:trPr>
          <w:trHeight w:val="300"/>
        </w:trPr>
        <w:tc>
          <w:tcPr>
            <w:tcW w:w="1062" w:type="dxa"/>
            <w:shd w:val="clear" w:color="auto" w:fill="auto"/>
            <w:noWrap/>
            <w:vAlign w:val="bottom"/>
            <w:hideMark/>
          </w:tcPr>
          <w:p w14:paraId="07DF18B2"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14C31EBD"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Калачеевский</w:t>
            </w:r>
          </w:p>
        </w:tc>
        <w:tc>
          <w:tcPr>
            <w:tcW w:w="1560" w:type="dxa"/>
            <w:shd w:val="clear" w:color="auto" w:fill="auto"/>
            <w:noWrap/>
            <w:vAlign w:val="bottom"/>
            <w:hideMark/>
          </w:tcPr>
          <w:p w14:paraId="1C7EE35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5,58</w:t>
            </w:r>
          </w:p>
        </w:tc>
        <w:tc>
          <w:tcPr>
            <w:tcW w:w="1559" w:type="dxa"/>
            <w:shd w:val="clear" w:color="auto" w:fill="auto"/>
            <w:noWrap/>
            <w:vAlign w:val="bottom"/>
            <w:hideMark/>
          </w:tcPr>
          <w:p w14:paraId="4AE57B8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167,7374</w:t>
            </w:r>
          </w:p>
        </w:tc>
        <w:tc>
          <w:tcPr>
            <w:tcW w:w="1701" w:type="dxa"/>
            <w:shd w:val="clear" w:color="auto" w:fill="auto"/>
            <w:noWrap/>
            <w:vAlign w:val="bottom"/>
            <w:hideMark/>
          </w:tcPr>
          <w:p w14:paraId="60C0662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2065,14</w:t>
            </w:r>
          </w:p>
        </w:tc>
        <w:tc>
          <w:tcPr>
            <w:tcW w:w="992" w:type="dxa"/>
            <w:shd w:val="clear" w:color="auto" w:fill="auto"/>
            <w:noWrap/>
            <w:vAlign w:val="bottom"/>
            <w:hideMark/>
          </w:tcPr>
          <w:p w14:paraId="501B888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4BA9F34A" w14:textId="77777777" w:rsidTr="00221500">
        <w:trPr>
          <w:trHeight w:val="300"/>
        </w:trPr>
        <w:tc>
          <w:tcPr>
            <w:tcW w:w="1062" w:type="dxa"/>
            <w:shd w:val="clear" w:color="auto" w:fill="auto"/>
            <w:noWrap/>
            <w:vAlign w:val="bottom"/>
            <w:hideMark/>
          </w:tcPr>
          <w:p w14:paraId="4053B15B"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65C7B597"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Петропавловский</w:t>
            </w:r>
          </w:p>
        </w:tc>
        <w:tc>
          <w:tcPr>
            <w:tcW w:w="1560" w:type="dxa"/>
            <w:shd w:val="clear" w:color="auto" w:fill="auto"/>
            <w:noWrap/>
            <w:vAlign w:val="bottom"/>
            <w:hideMark/>
          </w:tcPr>
          <w:p w14:paraId="398E5146"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5,3</w:t>
            </w:r>
          </w:p>
        </w:tc>
        <w:tc>
          <w:tcPr>
            <w:tcW w:w="1559" w:type="dxa"/>
            <w:shd w:val="clear" w:color="auto" w:fill="auto"/>
            <w:noWrap/>
            <w:vAlign w:val="bottom"/>
            <w:hideMark/>
          </w:tcPr>
          <w:p w14:paraId="23D0C81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161,1036</w:t>
            </w:r>
          </w:p>
        </w:tc>
        <w:tc>
          <w:tcPr>
            <w:tcW w:w="1701" w:type="dxa"/>
            <w:shd w:val="clear" w:color="auto" w:fill="auto"/>
            <w:noWrap/>
            <w:vAlign w:val="bottom"/>
            <w:hideMark/>
          </w:tcPr>
          <w:p w14:paraId="1B98F62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2031,25</w:t>
            </w:r>
          </w:p>
        </w:tc>
        <w:tc>
          <w:tcPr>
            <w:tcW w:w="992" w:type="dxa"/>
            <w:shd w:val="clear" w:color="auto" w:fill="auto"/>
            <w:noWrap/>
            <w:vAlign w:val="bottom"/>
            <w:hideMark/>
          </w:tcPr>
          <w:p w14:paraId="5627B079"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62C40573" w14:textId="77777777" w:rsidTr="00221500">
        <w:trPr>
          <w:trHeight w:val="300"/>
        </w:trPr>
        <w:tc>
          <w:tcPr>
            <w:tcW w:w="1062" w:type="dxa"/>
            <w:shd w:val="clear" w:color="auto" w:fill="auto"/>
            <w:noWrap/>
            <w:vAlign w:val="bottom"/>
            <w:hideMark/>
          </w:tcPr>
          <w:p w14:paraId="51E735D9"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2E09A91D"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Терновский</w:t>
            </w:r>
          </w:p>
        </w:tc>
        <w:tc>
          <w:tcPr>
            <w:tcW w:w="1560" w:type="dxa"/>
            <w:shd w:val="clear" w:color="auto" w:fill="auto"/>
            <w:noWrap/>
            <w:vAlign w:val="bottom"/>
            <w:hideMark/>
          </w:tcPr>
          <w:p w14:paraId="43A98AD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5,3</w:t>
            </w:r>
          </w:p>
        </w:tc>
        <w:tc>
          <w:tcPr>
            <w:tcW w:w="1559" w:type="dxa"/>
            <w:shd w:val="clear" w:color="auto" w:fill="auto"/>
            <w:noWrap/>
            <w:vAlign w:val="bottom"/>
            <w:hideMark/>
          </w:tcPr>
          <w:p w14:paraId="5A41052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148,2861</w:t>
            </w:r>
          </w:p>
        </w:tc>
        <w:tc>
          <w:tcPr>
            <w:tcW w:w="1701" w:type="dxa"/>
            <w:shd w:val="clear" w:color="auto" w:fill="auto"/>
            <w:noWrap/>
            <w:vAlign w:val="bottom"/>
            <w:hideMark/>
          </w:tcPr>
          <w:p w14:paraId="0B6F338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2065,87</w:t>
            </w:r>
          </w:p>
        </w:tc>
        <w:tc>
          <w:tcPr>
            <w:tcW w:w="992" w:type="dxa"/>
            <w:shd w:val="clear" w:color="auto" w:fill="auto"/>
            <w:noWrap/>
            <w:vAlign w:val="bottom"/>
            <w:hideMark/>
          </w:tcPr>
          <w:p w14:paraId="4417DE9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33465885" w14:textId="77777777" w:rsidTr="00221500">
        <w:trPr>
          <w:trHeight w:val="300"/>
        </w:trPr>
        <w:tc>
          <w:tcPr>
            <w:tcW w:w="1062" w:type="dxa"/>
            <w:shd w:val="clear" w:color="auto" w:fill="auto"/>
            <w:noWrap/>
            <w:vAlign w:val="bottom"/>
            <w:hideMark/>
          </w:tcPr>
          <w:p w14:paraId="1511F382"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6CB776D3"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Поворинский</w:t>
            </w:r>
          </w:p>
        </w:tc>
        <w:tc>
          <w:tcPr>
            <w:tcW w:w="1560" w:type="dxa"/>
            <w:shd w:val="clear" w:color="auto" w:fill="auto"/>
            <w:noWrap/>
            <w:vAlign w:val="bottom"/>
            <w:hideMark/>
          </w:tcPr>
          <w:p w14:paraId="55566A1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5,89</w:t>
            </w:r>
          </w:p>
        </w:tc>
        <w:tc>
          <w:tcPr>
            <w:tcW w:w="1559" w:type="dxa"/>
            <w:shd w:val="clear" w:color="auto" w:fill="auto"/>
            <w:noWrap/>
            <w:vAlign w:val="bottom"/>
            <w:hideMark/>
          </w:tcPr>
          <w:p w14:paraId="6F320FA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145,8213</w:t>
            </w:r>
          </w:p>
        </w:tc>
        <w:tc>
          <w:tcPr>
            <w:tcW w:w="1701" w:type="dxa"/>
            <w:shd w:val="clear" w:color="auto" w:fill="auto"/>
            <w:noWrap/>
            <w:vAlign w:val="bottom"/>
            <w:hideMark/>
          </w:tcPr>
          <w:p w14:paraId="6E8EBB0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1366</w:t>
            </w:r>
          </w:p>
        </w:tc>
        <w:tc>
          <w:tcPr>
            <w:tcW w:w="992" w:type="dxa"/>
            <w:shd w:val="clear" w:color="auto" w:fill="auto"/>
            <w:noWrap/>
            <w:vAlign w:val="bottom"/>
            <w:hideMark/>
          </w:tcPr>
          <w:p w14:paraId="74A9DB1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27AF4CC5" w14:textId="77777777" w:rsidTr="00221500">
        <w:trPr>
          <w:trHeight w:val="300"/>
        </w:trPr>
        <w:tc>
          <w:tcPr>
            <w:tcW w:w="1062" w:type="dxa"/>
            <w:shd w:val="clear" w:color="auto" w:fill="auto"/>
            <w:noWrap/>
            <w:vAlign w:val="bottom"/>
            <w:hideMark/>
          </w:tcPr>
          <w:p w14:paraId="2CBEC075"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2CEA0FB0"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Ольховатский</w:t>
            </w:r>
          </w:p>
        </w:tc>
        <w:tc>
          <w:tcPr>
            <w:tcW w:w="1560" w:type="dxa"/>
            <w:shd w:val="clear" w:color="auto" w:fill="auto"/>
            <w:noWrap/>
            <w:vAlign w:val="bottom"/>
            <w:hideMark/>
          </w:tcPr>
          <w:p w14:paraId="2A689BD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6,21</w:t>
            </w:r>
          </w:p>
        </w:tc>
        <w:tc>
          <w:tcPr>
            <w:tcW w:w="1559" w:type="dxa"/>
            <w:shd w:val="clear" w:color="auto" w:fill="auto"/>
            <w:noWrap/>
            <w:vAlign w:val="bottom"/>
            <w:hideMark/>
          </w:tcPr>
          <w:p w14:paraId="0A2F7D3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131,3603</w:t>
            </w:r>
          </w:p>
        </w:tc>
        <w:tc>
          <w:tcPr>
            <w:tcW w:w="1701" w:type="dxa"/>
            <w:shd w:val="clear" w:color="auto" w:fill="auto"/>
            <w:noWrap/>
            <w:vAlign w:val="bottom"/>
            <w:hideMark/>
          </w:tcPr>
          <w:p w14:paraId="5AE2A4D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1386,66</w:t>
            </w:r>
          </w:p>
        </w:tc>
        <w:tc>
          <w:tcPr>
            <w:tcW w:w="992" w:type="dxa"/>
            <w:shd w:val="clear" w:color="auto" w:fill="auto"/>
            <w:noWrap/>
            <w:vAlign w:val="bottom"/>
            <w:hideMark/>
          </w:tcPr>
          <w:p w14:paraId="43DA45A9"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4B65D769" w14:textId="77777777" w:rsidTr="00221500">
        <w:trPr>
          <w:trHeight w:val="300"/>
        </w:trPr>
        <w:tc>
          <w:tcPr>
            <w:tcW w:w="1062" w:type="dxa"/>
            <w:shd w:val="clear" w:color="auto" w:fill="auto"/>
            <w:noWrap/>
            <w:vAlign w:val="bottom"/>
            <w:hideMark/>
          </w:tcPr>
          <w:p w14:paraId="0B20FC62"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0B7EF4C6"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Россошанский</w:t>
            </w:r>
          </w:p>
        </w:tc>
        <w:tc>
          <w:tcPr>
            <w:tcW w:w="1560" w:type="dxa"/>
            <w:shd w:val="clear" w:color="auto" w:fill="auto"/>
            <w:noWrap/>
            <w:vAlign w:val="bottom"/>
            <w:hideMark/>
          </w:tcPr>
          <w:p w14:paraId="20811A1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4,57</w:t>
            </w:r>
          </w:p>
        </w:tc>
        <w:tc>
          <w:tcPr>
            <w:tcW w:w="1559" w:type="dxa"/>
            <w:shd w:val="clear" w:color="auto" w:fill="auto"/>
            <w:noWrap/>
            <w:vAlign w:val="bottom"/>
            <w:hideMark/>
          </w:tcPr>
          <w:p w14:paraId="13D3774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129,0905</w:t>
            </w:r>
          </w:p>
        </w:tc>
        <w:tc>
          <w:tcPr>
            <w:tcW w:w="1701" w:type="dxa"/>
            <w:shd w:val="clear" w:color="auto" w:fill="auto"/>
            <w:noWrap/>
            <w:vAlign w:val="bottom"/>
            <w:hideMark/>
          </w:tcPr>
          <w:p w14:paraId="3293566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1038,02</w:t>
            </w:r>
          </w:p>
        </w:tc>
        <w:tc>
          <w:tcPr>
            <w:tcW w:w="992" w:type="dxa"/>
            <w:shd w:val="clear" w:color="auto" w:fill="auto"/>
            <w:noWrap/>
            <w:vAlign w:val="bottom"/>
            <w:hideMark/>
          </w:tcPr>
          <w:p w14:paraId="59667A1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7105D8CA" w14:textId="77777777" w:rsidTr="00221500">
        <w:trPr>
          <w:trHeight w:val="300"/>
        </w:trPr>
        <w:tc>
          <w:tcPr>
            <w:tcW w:w="1062" w:type="dxa"/>
            <w:shd w:val="clear" w:color="auto" w:fill="auto"/>
            <w:noWrap/>
            <w:vAlign w:val="bottom"/>
            <w:hideMark/>
          </w:tcPr>
          <w:p w14:paraId="1D05ACF1"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7DC84C33"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Лискинский</w:t>
            </w:r>
          </w:p>
        </w:tc>
        <w:tc>
          <w:tcPr>
            <w:tcW w:w="1560" w:type="dxa"/>
            <w:shd w:val="clear" w:color="auto" w:fill="auto"/>
            <w:noWrap/>
            <w:vAlign w:val="bottom"/>
            <w:hideMark/>
          </w:tcPr>
          <w:p w14:paraId="082038A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3,2</w:t>
            </w:r>
          </w:p>
        </w:tc>
        <w:tc>
          <w:tcPr>
            <w:tcW w:w="1559" w:type="dxa"/>
            <w:shd w:val="clear" w:color="auto" w:fill="auto"/>
            <w:noWrap/>
            <w:vAlign w:val="bottom"/>
            <w:hideMark/>
          </w:tcPr>
          <w:p w14:paraId="5729A5A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124,446</w:t>
            </w:r>
          </w:p>
        </w:tc>
        <w:tc>
          <w:tcPr>
            <w:tcW w:w="1701" w:type="dxa"/>
            <w:shd w:val="clear" w:color="auto" w:fill="auto"/>
            <w:noWrap/>
            <w:vAlign w:val="bottom"/>
            <w:hideMark/>
          </w:tcPr>
          <w:p w14:paraId="73C4A26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1105</w:t>
            </w:r>
          </w:p>
        </w:tc>
        <w:tc>
          <w:tcPr>
            <w:tcW w:w="992" w:type="dxa"/>
            <w:shd w:val="clear" w:color="auto" w:fill="auto"/>
            <w:noWrap/>
            <w:vAlign w:val="bottom"/>
            <w:hideMark/>
          </w:tcPr>
          <w:p w14:paraId="59962B3E"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55B6170B" w14:textId="77777777" w:rsidTr="00221500">
        <w:trPr>
          <w:trHeight w:val="300"/>
        </w:trPr>
        <w:tc>
          <w:tcPr>
            <w:tcW w:w="1062" w:type="dxa"/>
            <w:shd w:val="clear" w:color="auto" w:fill="auto"/>
            <w:noWrap/>
            <w:vAlign w:val="bottom"/>
            <w:hideMark/>
          </w:tcPr>
          <w:p w14:paraId="085AB379"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1AA3E6A0"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Богучарский</w:t>
            </w:r>
          </w:p>
        </w:tc>
        <w:tc>
          <w:tcPr>
            <w:tcW w:w="1560" w:type="dxa"/>
            <w:shd w:val="clear" w:color="auto" w:fill="auto"/>
            <w:noWrap/>
            <w:vAlign w:val="bottom"/>
            <w:hideMark/>
          </w:tcPr>
          <w:p w14:paraId="1CD34E69"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5,87</w:t>
            </w:r>
          </w:p>
        </w:tc>
        <w:tc>
          <w:tcPr>
            <w:tcW w:w="1559" w:type="dxa"/>
            <w:shd w:val="clear" w:color="auto" w:fill="auto"/>
            <w:noWrap/>
            <w:vAlign w:val="bottom"/>
            <w:hideMark/>
          </w:tcPr>
          <w:p w14:paraId="7173D42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115,5539</w:t>
            </w:r>
          </w:p>
        </w:tc>
        <w:tc>
          <w:tcPr>
            <w:tcW w:w="1701" w:type="dxa"/>
            <w:shd w:val="clear" w:color="auto" w:fill="auto"/>
            <w:noWrap/>
            <w:vAlign w:val="bottom"/>
            <w:hideMark/>
          </w:tcPr>
          <w:p w14:paraId="039EDD59"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1079,34</w:t>
            </w:r>
          </w:p>
        </w:tc>
        <w:tc>
          <w:tcPr>
            <w:tcW w:w="992" w:type="dxa"/>
            <w:shd w:val="clear" w:color="auto" w:fill="auto"/>
            <w:noWrap/>
            <w:vAlign w:val="bottom"/>
            <w:hideMark/>
          </w:tcPr>
          <w:p w14:paraId="009E588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316DFFB1" w14:textId="77777777" w:rsidTr="00221500">
        <w:trPr>
          <w:trHeight w:val="300"/>
        </w:trPr>
        <w:tc>
          <w:tcPr>
            <w:tcW w:w="1062" w:type="dxa"/>
            <w:shd w:val="clear" w:color="auto" w:fill="auto"/>
            <w:noWrap/>
            <w:vAlign w:val="bottom"/>
            <w:hideMark/>
          </w:tcPr>
          <w:p w14:paraId="459ED41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793B6C84"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Верхнемамонский</w:t>
            </w:r>
          </w:p>
        </w:tc>
        <w:tc>
          <w:tcPr>
            <w:tcW w:w="1560" w:type="dxa"/>
            <w:shd w:val="clear" w:color="auto" w:fill="auto"/>
            <w:noWrap/>
            <w:vAlign w:val="bottom"/>
            <w:hideMark/>
          </w:tcPr>
          <w:p w14:paraId="77BEEEF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5,48</w:t>
            </w:r>
          </w:p>
        </w:tc>
        <w:tc>
          <w:tcPr>
            <w:tcW w:w="1559" w:type="dxa"/>
            <w:shd w:val="clear" w:color="auto" w:fill="auto"/>
            <w:noWrap/>
            <w:vAlign w:val="bottom"/>
            <w:hideMark/>
          </w:tcPr>
          <w:p w14:paraId="72E1C8C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114,0269</w:t>
            </w:r>
          </w:p>
        </w:tc>
        <w:tc>
          <w:tcPr>
            <w:tcW w:w="1701" w:type="dxa"/>
            <w:shd w:val="clear" w:color="auto" w:fill="auto"/>
            <w:noWrap/>
            <w:vAlign w:val="bottom"/>
            <w:hideMark/>
          </w:tcPr>
          <w:p w14:paraId="5AE1494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1766,67</w:t>
            </w:r>
          </w:p>
        </w:tc>
        <w:tc>
          <w:tcPr>
            <w:tcW w:w="992" w:type="dxa"/>
            <w:shd w:val="clear" w:color="auto" w:fill="auto"/>
            <w:noWrap/>
            <w:vAlign w:val="bottom"/>
            <w:hideMark/>
          </w:tcPr>
          <w:p w14:paraId="0FC5C6F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4EC8C666" w14:textId="77777777" w:rsidTr="00221500">
        <w:trPr>
          <w:trHeight w:val="300"/>
        </w:trPr>
        <w:tc>
          <w:tcPr>
            <w:tcW w:w="1062" w:type="dxa"/>
            <w:shd w:val="clear" w:color="auto" w:fill="auto"/>
            <w:noWrap/>
            <w:vAlign w:val="bottom"/>
            <w:hideMark/>
          </w:tcPr>
          <w:p w14:paraId="63F6F19B"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139FAC04"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Борисоглебский</w:t>
            </w:r>
          </w:p>
        </w:tc>
        <w:tc>
          <w:tcPr>
            <w:tcW w:w="1560" w:type="dxa"/>
            <w:shd w:val="clear" w:color="auto" w:fill="auto"/>
            <w:noWrap/>
            <w:vAlign w:val="bottom"/>
            <w:hideMark/>
          </w:tcPr>
          <w:p w14:paraId="6F96CDB9"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5,89</w:t>
            </w:r>
          </w:p>
        </w:tc>
        <w:tc>
          <w:tcPr>
            <w:tcW w:w="1559" w:type="dxa"/>
            <w:shd w:val="clear" w:color="auto" w:fill="auto"/>
            <w:noWrap/>
            <w:vAlign w:val="bottom"/>
            <w:hideMark/>
          </w:tcPr>
          <w:p w14:paraId="075F1BD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113,6545</w:t>
            </w:r>
          </w:p>
        </w:tc>
        <w:tc>
          <w:tcPr>
            <w:tcW w:w="1701" w:type="dxa"/>
            <w:shd w:val="clear" w:color="auto" w:fill="auto"/>
            <w:noWrap/>
            <w:vAlign w:val="bottom"/>
            <w:hideMark/>
          </w:tcPr>
          <w:p w14:paraId="66BC7EE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988,24</w:t>
            </w:r>
          </w:p>
        </w:tc>
        <w:tc>
          <w:tcPr>
            <w:tcW w:w="992" w:type="dxa"/>
            <w:shd w:val="clear" w:color="auto" w:fill="auto"/>
            <w:noWrap/>
            <w:vAlign w:val="bottom"/>
            <w:hideMark/>
          </w:tcPr>
          <w:p w14:paraId="685CE4F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62179F4D" w14:textId="77777777" w:rsidTr="00221500">
        <w:trPr>
          <w:trHeight w:val="300"/>
        </w:trPr>
        <w:tc>
          <w:tcPr>
            <w:tcW w:w="1062" w:type="dxa"/>
            <w:shd w:val="clear" w:color="auto" w:fill="auto"/>
            <w:noWrap/>
            <w:vAlign w:val="bottom"/>
            <w:hideMark/>
          </w:tcPr>
          <w:p w14:paraId="07701BC3"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72E5C01C"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Грибановский</w:t>
            </w:r>
          </w:p>
        </w:tc>
        <w:tc>
          <w:tcPr>
            <w:tcW w:w="1560" w:type="dxa"/>
            <w:shd w:val="clear" w:color="auto" w:fill="auto"/>
            <w:noWrap/>
            <w:vAlign w:val="bottom"/>
            <w:hideMark/>
          </w:tcPr>
          <w:p w14:paraId="7307DBD1"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3,18</w:t>
            </w:r>
          </w:p>
        </w:tc>
        <w:tc>
          <w:tcPr>
            <w:tcW w:w="1559" w:type="dxa"/>
            <w:shd w:val="clear" w:color="auto" w:fill="auto"/>
            <w:noWrap/>
            <w:vAlign w:val="bottom"/>
            <w:hideMark/>
          </w:tcPr>
          <w:p w14:paraId="0F88E5A1"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95,93386</w:t>
            </w:r>
          </w:p>
        </w:tc>
        <w:tc>
          <w:tcPr>
            <w:tcW w:w="1701" w:type="dxa"/>
            <w:shd w:val="clear" w:color="auto" w:fill="auto"/>
            <w:noWrap/>
            <w:vAlign w:val="bottom"/>
            <w:hideMark/>
          </w:tcPr>
          <w:p w14:paraId="11DDF8FB"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889,91</w:t>
            </w:r>
          </w:p>
        </w:tc>
        <w:tc>
          <w:tcPr>
            <w:tcW w:w="992" w:type="dxa"/>
            <w:shd w:val="clear" w:color="auto" w:fill="auto"/>
            <w:noWrap/>
            <w:vAlign w:val="bottom"/>
            <w:hideMark/>
          </w:tcPr>
          <w:p w14:paraId="0BA55E19"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3FF69D4A" w14:textId="77777777" w:rsidTr="00221500">
        <w:trPr>
          <w:trHeight w:val="300"/>
        </w:trPr>
        <w:tc>
          <w:tcPr>
            <w:tcW w:w="1062" w:type="dxa"/>
            <w:shd w:val="clear" w:color="auto" w:fill="auto"/>
            <w:noWrap/>
            <w:vAlign w:val="bottom"/>
            <w:hideMark/>
          </w:tcPr>
          <w:p w14:paraId="3F472BFB"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286F2250"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Павловский</w:t>
            </w:r>
          </w:p>
        </w:tc>
        <w:tc>
          <w:tcPr>
            <w:tcW w:w="1560" w:type="dxa"/>
            <w:shd w:val="clear" w:color="auto" w:fill="auto"/>
            <w:noWrap/>
            <w:vAlign w:val="bottom"/>
            <w:hideMark/>
          </w:tcPr>
          <w:p w14:paraId="4A8420A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5,3</w:t>
            </w:r>
          </w:p>
        </w:tc>
        <w:tc>
          <w:tcPr>
            <w:tcW w:w="1559" w:type="dxa"/>
            <w:shd w:val="clear" w:color="auto" w:fill="auto"/>
            <w:noWrap/>
            <w:vAlign w:val="bottom"/>
            <w:hideMark/>
          </w:tcPr>
          <w:p w14:paraId="49E51BA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94,49413</w:t>
            </w:r>
          </w:p>
        </w:tc>
        <w:tc>
          <w:tcPr>
            <w:tcW w:w="1701" w:type="dxa"/>
            <w:shd w:val="clear" w:color="auto" w:fill="auto"/>
            <w:noWrap/>
            <w:vAlign w:val="bottom"/>
            <w:hideMark/>
          </w:tcPr>
          <w:p w14:paraId="7562BAF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936</w:t>
            </w:r>
          </w:p>
        </w:tc>
        <w:tc>
          <w:tcPr>
            <w:tcW w:w="992" w:type="dxa"/>
            <w:shd w:val="clear" w:color="auto" w:fill="auto"/>
            <w:noWrap/>
            <w:vAlign w:val="bottom"/>
            <w:hideMark/>
          </w:tcPr>
          <w:p w14:paraId="67ABAC1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78F34062" w14:textId="77777777" w:rsidTr="00221500">
        <w:trPr>
          <w:trHeight w:val="300"/>
        </w:trPr>
        <w:tc>
          <w:tcPr>
            <w:tcW w:w="1062" w:type="dxa"/>
            <w:shd w:val="clear" w:color="auto" w:fill="auto"/>
            <w:noWrap/>
            <w:vAlign w:val="bottom"/>
            <w:hideMark/>
          </w:tcPr>
          <w:p w14:paraId="72FD080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702A072D"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Подгоренский</w:t>
            </w:r>
          </w:p>
        </w:tc>
        <w:tc>
          <w:tcPr>
            <w:tcW w:w="1560" w:type="dxa"/>
            <w:shd w:val="clear" w:color="auto" w:fill="auto"/>
            <w:noWrap/>
            <w:vAlign w:val="bottom"/>
            <w:hideMark/>
          </w:tcPr>
          <w:p w14:paraId="1762355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5,64</w:t>
            </w:r>
          </w:p>
        </w:tc>
        <w:tc>
          <w:tcPr>
            <w:tcW w:w="1559" w:type="dxa"/>
            <w:shd w:val="clear" w:color="auto" w:fill="auto"/>
            <w:noWrap/>
            <w:vAlign w:val="bottom"/>
            <w:hideMark/>
          </w:tcPr>
          <w:p w14:paraId="2DA45AE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91,90816</w:t>
            </w:r>
          </w:p>
        </w:tc>
        <w:tc>
          <w:tcPr>
            <w:tcW w:w="1701" w:type="dxa"/>
            <w:shd w:val="clear" w:color="auto" w:fill="auto"/>
            <w:noWrap/>
            <w:vAlign w:val="bottom"/>
            <w:hideMark/>
          </w:tcPr>
          <w:p w14:paraId="153F96FA"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1185,05</w:t>
            </w:r>
          </w:p>
        </w:tc>
        <w:tc>
          <w:tcPr>
            <w:tcW w:w="992" w:type="dxa"/>
            <w:shd w:val="clear" w:color="auto" w:fill="auto"/>
            <w:noWrap/>
            <w:vAlign w:val="bottom"/>
            <w:hideMark/>
          </w:tcPr>
          <w:p w14:paraId="438FA67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5780740E" w14:textId="77777777" w:rsidTr="00221500">
        <w:trPr>
          <w:trHeight w:val="300"/>
        </w:trPr>
        <w:tc>
          <w:tcPr>
            <w:tcW w:w="1062" w:type="dxa"/>
            <w:shd w:val="clear" w:color="auto" w:fill="auto"/>
            <w:noWrap/>
            <w:vAlign w:val="bottom"/>
            <w:hideMark/>
          </w:tcPr>
          <w:p w14:paraId="26F9DF2C"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5AF3604B"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Острогожский</w:t>
            </w:r>
          </w:p>
        </w:tc>
        <w:tc>
          <w:tcPr>
            <w:tcW w:w="1560" w:type="dxa"/>
            <w:shd w:val="clear" w:color="auto" w:fill="auto"/>
            <w:noWrap/>
            <w:vAlign w:val="bottom"/>
            <w:hideMark/>
          </w:tcPr>
          <w:p w14:paraId="45C1F7C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5,3</w:t>
            </w:r>
          </w:p>
        </w:tc>
        <w:tc>
          <w:tcPr>
            <w:tcW w:w="1559" w:type="dxa"/>
            <w:shd w:val="clear" w:color="auto" w:fill="auto"/>
            <w:noWrap/>
            <w:vAlign w:val="bottom"/>
            <w:hideMark/>
          </w:tcPr>
          <w:p w14:paraId="3D4AB780"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84,9831</w:t>
            </w:r>
          </w:p>
        </w:tc>
        <w:tc>
          <w:tcPr>
            <w:tcW w:w="1701" w:type="dxa"/>
            <w:shd w:val="clear" w:color="auto" w:fill="auto"/>
            <w:noWrap/>
            <w:vAlign w:val="bottom"/>
            <w:hideMark/>
          </w:tcPr>
          <w:p w14:paraId="766E8429"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1129,21</w:t>
            </w:r>
          </w:p>
        </w:tc>
        <w:tc>
          <w:tcPr>
            <w:tcW w:w="992" w:type="dxa"/>
            <w:shd w:val="clear" w:color="auto" w:fill="auto"/>
            <w:noWrap/>
            <w:vAlign w:val="bottom"/>
            <w:hideMark/>
          </w:tcPr>
          <w:p w14:paraId="08D110D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012F6BAF" w14:textId="77777777" w:rsidTr="00221500">
        <w:trPr>
          <w:trHeight w:val="300"/>
        </w:trPr>
        <w:tc>
          <w:tcPr>
            <w:tcW w:w="1062" w:type="dxa"/>
            <w:shd w:val="clear" w:color="auto" w:fill="auto"/>
            <w:noWrap/>
            <w:vAlign w:val="bottom"/>
            <w:hideMark/>
          </w:tcPr>
          <w:p w14:paraId="75F11666"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3CF534AD"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Репьевский</w:t>
            </w:r>
          </w:p>
        </w:tc>
        <w:tc>
          <w:tcPr>
            <w:tcW w:w="1560" w:type="dxa"/>
            <w:shd w:val="clear" w:color="auto" w:fill="auto"/>
            <w:noWrap/>
            <w:vAlign w:val="bottom"/>
            <w:hideMark/>
          </w:tcPr>
          <w:p w14:paraId="25F2A0C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5,3</w:t>
            </w:r>
          </w:p>
        </w:tc>
        <w:tc>
          <w:tcPr>
            <w:tcW w:w="1559" w:type="dxa"/>
            <w:shd w:val="clear" w:color="auto" w:fill="auto"/>
            <w:noWrap/>
            <w:vAlign w:val="bottom"/>
            <w:hideMark/>
          </w:tcPr>
          <w:p w14:paraId="680F84AE"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83,60149</w:t>
            </w:r>
          </w:p>
        </w:tc>
        <w:tc>
          <w:tcPr>
            <w:tcW w:w="1701" w:type="dxa"/>
            <w:shd w:val="clear" w:color="auto" w:fill="auto"/>
            <w:noWrap/>
            <w:vAlign w:val="bottom"/>
            <w:hideMark/>
          </w:tcPr>
          <w:p w14:paraId="3661E77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1539</w:t>
            </w:r>
          </w:p>
        </w:tc>
        <w:tc>
          <w:tcPr>
            <w:tcW w:w="992" w:type="dxa"/>
            <w:shd w:val="clear" w:color="auto" w:fill="auto"/>
            <w:noWrap/>
            <w:vAlign w:val="bottom"/>
            <w:hideMark/>
          </w:tcPr>
          <w:p w14:paraId="64FAB64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7790C085" w14:textId="77777777" w:rsidTr="00221500">
        <w:trPr>
          <w:trHeight w:val="300"/>
        </w:trPr>
        <w:tc>
          <w:tcPr>
            <w:tcW w:w="1062" w:type="dxa"/>
            <w:shd w:val="clear" w:color="auto" w:fill="auto"/>
            <w:noWrap/>
            <w:vAlign w:val="bottom"/>
            <w:hideMark/>
          </w:tcPr>
          <w:p w14:paraId="1342BA4C"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01F19F0D"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Бобровский</w:t>
            </w:r>
          </w:p>
        </w:tc>
        <w:tc>
          <w:tcPr>
            <w:tcW w:w="1560" w:type="dxa"/>
            <w:shd w:val="clear" w:color="auto" w:fill="auto"/>
            <w:noWrap/>
            <w:vAlign w:val="bottom"/>
            <w:hideMark/>
          </w:tcPr>
          <w:p w14:paraId="2D6F5F7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2,93</w:t>
            </w:r>
          </w:p>
        </w:tc>
        <w:tc>
          <w:tcPr>
            <w:tcW w:w="1559" w:type="dxa"/>
            <w:shd w:val="clear" w:color="auto" w:fill="auto"/>
            <w:noWrap/>
            <w:vAlign w:val="bottom"/>
            <w:hideMark/>
          </w:tcPr>
          <w:p w14:paraId="24AF5BF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80,60204</w:t>
            </w:r>
          </w:p>
        </w:tc>
        <w:tc>
          <w:tcPr>
            <w:tcW w:w="1701" w:type="dxa"/>
            <w:shd w:val="clear" w:color="auto" w:fill="auto"/>
            <w:noWrap/>
            <w:vAlign w:val="bottom"/>
            <w:hideMark/>
          </w:tcPr>
          <w:p w14:paraId="7667531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909,63</w:t>
            </w:r>
          </w:p>
        </w:tc>
        <w:tc>
          <w:tcPr>
            <w:tcW w:w="992" w:type="dxa"/>
            <w:shd w:val="clear" w:color="auto" w:fill="auto"/>
            <w:noWrap/>
            <w:vAlign w:val="bottom"/>
            <w:hideMark/>
          </w:tcPr>
          <w:p w14:paraId="74EB07A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45D06D5A" w14:textId="77777777" w:rsidTr="00221500">
        <w:trPr>
          <w:trHeight w:val="300"/>
        </w:trPr>
        <w:tc>
          <w:tcPr>
            <w:tcW w:w="1062" w:type="dxa"/>
            <w:shd w:val="clear" w:color="auto" w:fill="auto"/>
            <w:noWrap/>
            <w:vAlign w:val="bottom"/>
            <w:hideMark/>
          </w:tcPr>
          <w:p w14:paraId="07369319"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53B5E565"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Кантемировский</w:t>
            </w:r>
          </w:p>
        </w:tc>
        <w:tc>
          <w:tcPr>
            <w:tcW w:w="1560" w:type="dxa"/>
            <w:shd w:val="clear" w:color="auto" w:fill="auto"/>
            <w:noWrap/>
            <w:vAlign w:val="bottom"/>
            <w:hideMark/>
          </w:tcPr>
          <w:p w14:paraId="042E4031"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5,36</w:t>
            </w:r>
          </w:p>
        </w:tc>
        <w:tc>
          <w:tcPr>
            <w:tcW w:w="1559" w:type="dxa"/>
            <w:shd w:val="clear" w:color="auto" w:fill="auto"/>
            <w:noWrap/>
            <w:vAlign w:val="bottom"/>
            <w:hideMark/>
          </w:tcPr>
          <w:p w14:paraId="7D614BD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80,5638</w:t>
            </w:r>
          </w:p>
        </w:tc>
        <w:tc>
          <w:tcPr>
            <w:tcW w:w="1701" w:type="dxa"/>
            <w:shd w:val="clear" w:color="auto" w:fill="auto"/>
            <w:noWrap/>
            <w:vAlign w:val="bottom"/>
            <w:hideMark/>
          </w:tcPr>
          <w:p w14:paraId="18A8B36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666</w:t>
            </w:r>
          </w:p>
        </w:tc>
        <w:tc>
          <w:tcPr>
            <w:tcW w:w="992" w:type="dxa"/>
            <w:shd w:val="clear" w:color="auto" w:fill="auto"/>
            <w:noWrap/>
            <w:vAlign w:val="bottom"/>
            <w:hideMark/>
          </w:tcPr>
          <w:p w14:paraId="1AF861E6"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017C239B" w14:textId="77777777" w:rsidTr="00221500">
        <w:trPr>
          <w:trHeight w:val="300"/>
        </w:trPr>
        <w:tc>
          <w:tcPr>
            <w:tcW w:w="1062" w:type="dxa"/>
            <w:shd w:val="clear" w:color="auto" w:fill="auto"/>
            <w:noWrap/>
            <w:vAlign w:val="bottom"/>
            <w:hideMark/>
          </w:tcPr>
          <w:p w14:paraId="67FFE365"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5EC38164"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Новохоперский</w:t>
            </w:r>
          </w:p>
        </w:tc>
        <w:tc>
          <w:tcPr>
            <w:tcW w:w="1560" w:type="dxa"/>
            <w:shd w:val="clear" w:color="auto" w:fill="auto"/>
            <w:noWrap/>
            <w:vAlign w:val="bottom"/>
            <w:hideMark/>
          </w:tcPr>
          <w:p w14:paraId="0D47C22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5,6</w:t>
            </w:r>
          </w:p>
        </w:tc>
        <w:tc>
          <w:tcPr>
            <w:tcW w:w="1559" w:type="dxa"/>
            <w:shd w:val="clear" w:color="auto" w:fill="auto"/>
            <w:noWrap/>
            <w:vAlign w:val="bottom"/>
            <w:hideMark/>
          </w:tcPr>
          <w:p w14:paraId="14F0306E"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71,6109</w:t>
            </w:r>
          </w:p>
        </w:tc>
        <w:tc>
          <w:tcPr>
            <w:tcW w:w="1701" w:type="dxa"/>
            <w:shd w:val="clear" w:color="auto" w:fill="auto"/>
            <w:noWrap/>
            <w:vAlign w:val="bottom"/>
            <w:hideMark/>
          </w:tcPr>
          <w:p w14:paraId="5D7EB2C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1589,21</w:t>
            </w:r>
          </w:p>
        </w:tc>
        <w:tc>
          <w:tcPr>
            <w:tcW w:w="992" w:type="dxa"/>
            <w:shd w:val="clear" w:color="auto" w:fill="auto"/>
            <w:noWrap/>
            <w:vAlign w:val="bottom"/>
            <w:hideMark/>
          </w:tcPr>
          <w:p w14:paraId="609CFBFE"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3CBBBC0F" w14:textId="77777777" w:rsidTr="00221500">
        <w:trPr>
          <w:trHeight w:val="300"/>
        </w:trPr>
        <w:tc>
          <w:tcPr>
            <w:tcW w:w="1062" w:type="dxa"/>
            <w:shd w:val="clear" w:color="auto" w:fill="auto"/>
            <w:noWrap/>
            <w:vAlign w:val="bottom"/>
            <w:hideMark/>
          </w:tcPr>
          <w:p w14:paraId="126EAD1B"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3AF39657"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Воробьевский</w:t>
            </w:r>
          </w:p>
        </w:tc>
        <w:tc>
          <w:tcPr>
            <w:tcW w:w="1560" w:type="dxa"/>
            <w:shd w:val="clear" w:color="auto" w:fill="auto"/>
            <w:noWrap/>
            <w:vAlign w:val="bottom"/>
            <w:hideMark/>
          </w:tcPr>
          <w:p w14:paraId="2DDB490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6,04</w:t>
            </w:r>
          </w:p>
        </w:tc>
        <w:tc>
          <w:tcPr>
            <w:tcW w:w="1559" w:type="dxa"/>
            <w:shd w:val="clear" w:color="auto" w:fill="auto"/>
            <w:noWrap/>
            <w:vAlign w:val="bottom"/>
            <w:hideMark/>
          </w:tcPr>
          <w:p w14:paraId="508E7E2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59,07369</w:t>
            </w:r>
          </w:p>
        </w:tc>
        <w:tc>
          <w:tcPr>
            <w:tcW w:w="1701" w:type="dxa"/>
            <w:shd w:val="clear" w:color="auto" w:fill="auto"/>
            <w:noWrap/>
            <w:vAlign w:val="bottom"/>
            <w:hideMark/>
          </w:tcPr>
          <w:p w14:paraId="058A260A"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504,76</w:t>
            </w:r>
          </w:p>
        </w:tc>
        <w:tc>
          <w:tcPr>
            <w:tcW w:w="992" w:type="dxa"/>
            <w:shd w:val="clear" w:color="auto" w:fill="auto"/>
            <w:noWrap/>
            <w:vAlign w:val="bottom"/>
            <w:hideMark/>
          </w:tcPr>
          <w:p w14:paraId="1FE203E2"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78464D8D" w14:textId="77777777" w:rsidTr="00221500">
        <w:trPr>
          <w:trHeight w:val="300"/>
        </w:trPr>
        <w:tc>
          <w:tcPr>
            <w:tcW w:w="1062" w:type="dxa"/>
            <w:shd w:val="clear" w:color="auto" w:fill="auto"/>
            <w:noWrap/>
            <w:vAlign w:val="bottom"/>
            <w:hideMark/>
          </w:tcPr>
          <w:p w14:paraId="092A65D1"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3A90B8A6"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Аннинский</w:t>
            </w:r>
          </w:p>
        </w:tc>
        <w:tc>
          <w:tcPr>
            <w:tcW w:w="1560" w:type="dxa"/>
            <w:shd w:val="clear" w:color="auto" w:fill="auto"/>
            <w:noWrap/>
            <w:vAlign w:val="bottom"/>
            <w:hideMark/>
          </w:tcPr>
          <w:p w14:paraId="5D089B35"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5,46</w:t>
            </w:r>
          </w:p>
        </w:tc>
        <w:tc>
          <w:tcPr>
            <w:tcW w:w="1559" w:type="dxa"/>
            <w:shd w:val="clear" w:color="auto" w:fill="auto"/>
            <w:noWrap/>
            <w:vAlign w:val="bottom"/>
            <w:hideMark/>
          </w:tcPr>
          <w:p w14:paraId="2E37377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56,23873</w:t>
            </w:r>
          </w:p>
        </w:tc>
        <w:tc>
          <w:tcPr>
            <w:tcW w:w="1701" w:type="dxa"/>
            <w:shd w:val="clear" w:color="auto" w:fill="auto"/>
            <w:noWrap/>
            <w:vAlign w:val="bottom"/>
            <w:hideMark/>
          </w:tcPr>
          <w:p w14:paraId="1757A9B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851</w:t>
            </w:r>
          </w:p>
        </w:tc>
        <w:tc>
          <w:tcPr>
            <w:tcW w:w="992" w:type="dxa"/>
            <w:shd w:val="clear" w:color="auto" w:fill="auto"/>
            <w:noWrap/>
            <w:vAlign w:val="bottom"/>
            <w:hideMark/>
          </w:tcPr>
          <w:p w14:paraId="1915E6DC"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144853FF" w14:textId="77777777" w:rsidTr="00221500">
        <w:trPr>
          <w:trHeight w:val="300"/>
        </w:trPr>
        <w:tc>
          <w:tcPr>
            <w:tcW w:w="1062" w:type="dxa"/>
            <w:shd w:val="clear" w:color="auto" w:fill="auto"/>
            <w:noWrap/>
            <w:vAlign w:val="bottom"/>
            <w:hideMark/>
          </w:tcPr>
          <w:p w14:paraId="3C1A0CF0"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4E6F309F"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Панинский</w:t>
            </w:r>
          </w:p>
        </w:tc>
        <w:tc>
          <w:tcPr>
            <w:tcW w:w="1560" w:type="dxa"/>
            <w:shd w:val="clear" w:color="auto" w:fill="auto"/>
            <w:noWrap/>
            <w:vAlign w:val="bottom"/>
            <w:hideMark/>
          </w:tcPr>
          <w:p w14:paraId="1AA9310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6,12</w:t>
            </w:r>
          </w:p>
        </w:tc>
        <w:tc>
          <w:tcPr>
            <w:tcW w:w="1559" w:type="dxa"/>
            <w:shd w:val="clear" w:color="auto" w:fill="auto"/>
            <w:noWrap/>
            <w:vAlign w:val="bottom"/>
            <w:hideMark/>
          </w:tcPr>
          <w:p w14:paraId="67C9ED1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55,5892</w:t>
            </w:r>
          </w:p>
        </w:tc>
        <w:tc>
          <w:tcPr>
            <w:tcW w:w="1701" w:type="dxa"/>
            <w:shd w:val="clear" w:color="auto" w:fill="auto"/>
            <w:noWrap/>
            <w:vAlign w:val="bottom"/>
            <w:hideMark/>
          </w:tcPr>
          <w:p w14:paraId="489A9E7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515,68</w:t>
            </w:r>
          </w:p>
        </w:tc>
        <w:tc>
          <w:tcPr>
            <w:tcW w:w="992" w:type="dxa"/>
            <w:shd w:val="clear" w:color="auto" w:fill="auto"/>
            <w:noWrap/>
            <w:vAlign w:val="bottom"/>
            <w:hideMark/>
          </w:tcPr>
          <w:p w14:paraId="6EBE441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30AC7998" w14:textId="77777777" w:rsidTr="00221500">
        <w:trPr>
          <w:trHeight w:val="300"/>
        </w:trPr>
        <w:tc>
          <w:tcPr>
            <w:tcW w:w="1062" w:type="dxa"/>
            <w:shd w:val="clear" w:color="auto" w:fill="auto"/>
            <w:noWrap/>
            <w:vAlign w:val="bottom"/>
            <w:hideMark/>
          </w:tcPr>
          <w:p w14:paraId="35CB257E"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4D6A3408"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Эртильский</w:t>
            </w:r>
          </w:p>
        </w:tc>
        <w:tc>
          <w:tcPr>
            <w:tcW w:w="1560" w:type="dxa"/>
            <w:shd w:val="clear" w:color="auto" w:fill="auto"/>
            <w:noWrap/>
            <w:vAlign w:val="bottom"/>
            <w:hideMark/>
          </w:tcPr>
          <w:p w14:paraId="7E5AE7E6"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6,23</w:t>
            </w:r>
          </w:p>
        </w:tc>
        <w:tc>
          <w:tcPr>
            <w:tcW w:w="1559" w:type="dxa"/>
            <w:shd w:val="clear" w:color="auto" w:fill="auto"/>
            <w:noWrap/>
            <w:vAlign w:val="bottom"/>
            <w:hideMark/>
          </w:tcPr>
          <w:p w14:paraId="007F705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51,37557</w:t>
            </w:r>
          </w:p>
        </w:tc>
        <w:tc>
          <w:tcPr>
            <w:tcW w:w="1701" w:type="dxa"/>
            <w:shd w:val="clear" w:color="auto" w:fill="auto"/>
            <w:noWrap/>
            <w:vAlign w:val="bottom"/>
            <w:hideMark/>
          </w:tcPr>
          <w:p w14:paraId="3404C6BE"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457,36</w:t>
            </w:r>
          </w:p>
        </w:tc>
        <w:tc>
          <w:tcPr>
            <w:tcW w:w="992" w:type="dxa"/>
            <w:shd w:val="clear" w:color="auto" w:fill="auto"/>
            <w:noWrap/>
            <w:vAlign w:val="bottom"/>
            <w:hideMark/>
          </w:tcPr>
          <w:p w14:paraId="36492F6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038F704C" w14:textId="77777777" w:rsidTr="00221500">
        <w:trPr>
          <w:trHeight w:val="300"/>
        </w:trPr>
        <w:tc>
          <w:tcPr>
            <w:tcW w:w="1062" w:type="dxa"/>
            <w:shd w:val="clear" w:color="auto" w:fill="auto"/>
            <w:noWrap/>
            <w:vAlign w:val="bottom"/>
            <w:hideMark/>
          </w:tcPr>
          <w:p w14:paraId="63C17F0E"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113416D4"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Таловский</w:t>
            </w:r>
          </w:p>
        </w:tc>
        <w:tc>
          <w:tcPr>
            <w:tcW w:w="1560" w:type="dxa"/>
            <w:shd w:val="clear" w:color="auto" w:fill="auto"/>
            <w:noWrap/>
            <w:vAlign w:val="bottom"/>
            <w:hideMark/>
          </w:tcPr>
          <w:p w14:paraId="165C7538"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5,3</w:t>
            </w:r>
          </w:p>
        </w:tc>
        <w:tc>
          <w:tcPr>
            <w:tcW w:w="1559" w:type="dxa"/>
            <w:shd w:val="clear" w:color="auto" w:fill="auto"/>
            <w:noWrap/>
            <w:vAlign w:val="bottom"/>
            <w:hideMark/>
          </w:tcPr>
          <w:p w14:paraId="7409B3A4"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46,24814</w:t>
            </w:r>
          </w:p>
        </w:tc>
        <w:tc>
          <w:tcPr>
            <w:tcW w:w="1701" w:type="dxa"/>
            <w:shd w:val="clear" w:color="auto" w:fill="auto"/>
            <w:noWrap/>
            <w:vAlign w:val="bottom"/>
            <w:hideMark/>
          </w:tcPr>
          <w:p w14:paraId="333D93AA"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392,56</w:t>
            </w:r>
          </w:p>
        </w:tc>
        <w:tc>
          <w:tcPr>
            <w:tcW w:w="992" w:type="dxa"/>
            <w:shd w:val="clear" w:color="auto" w:fill="auto"/>
            <w:noWrap/>
            <w:vAlign w:val="bottom"/>
            <w:hideMark/>
          </w:tcPr>
          <w:p w14:paraId="5C56A89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3D20C72B" w14:textId="77777777" w:rsidTr="00221500">
        <w:trPr>
          <w:trHeight w:val="300"/>
        </w:trPr>
        <w:tc>
          <w:tcPr>
            <w:tcW w:w="1062" w:type="dxa"/>
            <w:shd w:val="clear" w:color="auto" w:fill="auto"/>
            <w:noWrap/>
            <w:vAlign w:val="bottom"/>
            <w:hideMark/>
          </w:tcPr>
          <w:p w14:paraId="30D3BE3F"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463637ED"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Бутурлиновский</w:t>
            </w:r>
          </w:p>
        </w:tc>
        <w:tc>
          <w:tcPr>
            <w:tcW w:w="1560" w:type="dxa"/>
            <w:shd w:val="clear" w:color="auto" w:fill="auto"/>
            <w:noWrap/>
            <w:vAlign w:val="bottom"/>
            <w:hideMark/>
          </w:tcPr>
          <w:p w14:paraId="290C4C0D"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6,36</w:t>
            </w:r>
          </w:p>
        </w:tc>
        <w:tc>
          <w:tcPr>
            <w:tcW w:w="1559" w:type="dxa"/>
            <w:shd w:val="clear" w:color="auto" w:fill="auto"/>
            <w:noWrap/>
            <w:vAlign w:val="bottom"/>
            <w:hideMark/>
          </w:tcPr>
          <w:p w14:paraId="57CE571A"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44,62046</w:t>
            </w:r>
          </w:p>
        </w:tc>
        <w:tc>
          <w:tcPr>
            <w:tcW w:w="1701" w:type="dxa"/>
            <w:shd w:val="clear" w:color="auto" w:fill="auto"/>
            <w:noWrap/>
            <w:vAlign w:val="bottom"/>
            <w:hideMark/>
          </w:tcPr>
          <w:p w14:paraId="21F06C1F"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990,45</w:t>
            </w:r>
          </w:p>
        </w:tc>
        <w:tc>
          <w:tcPr>
            <w:tcW w:w="992" w:type="dxa"/>
            <w:shd w:val="clear" w:color="auto" w:fill="auto"/>
            <w:noWrap/>
            <w:vAlign w:val="bottom"/>
            <w:hideMark/>
          </w:tcPr>
          <w:p w14:paraId="1F70956A"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r w:rsidR="000B0C76" w:rsidRPr="00683DEF" w14:paraId="2708A7D5" w14:textId="77777777" w:rsidTr="00221500">
        <w:trPr>
          <w:trHeight w:val="300"/>
        </w:trPr>
        <w:tc>
          <w:tcPr>
            <w:tcW w:w="1062" w:type="dxa"/>
            <w:shd w:val="clear" w:color="auto" w:fill="auto"/>
            <w:noWrap/>
            <w:vAlign w:val="bottom"/>
            <w:hideMark/>
          </w:tcPr>
          <w:p w14:paraId="2D859749"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СНП</w:t>
            </w:r>
          </w:p>
        </w:tc>
        <w:tc>
          <w:tcPr>
            <w:tcW w:w="2335" w:type="dxa"/>
            <w:shd w:val="clear" w:color="auto" w:fill="auto"/>
            <w:noWrap/>
            <w:vAlign w:val="bottom"/>
            <w:hideMark/>
          </w:tcPr>
          <w:p w14:paraId="79099D1D" w14:textId="77777777" w:rsidR="000B0C76" w:rsidRPr="00683DEF" w:rsidRDefault="000B0C76" w:rsidP="000B0C76">
            <w:pPr>
              <w:spacing w:after="0" w:line="240" w:lineRule="auto"/>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Каменский</w:t>
            </w:r>
          </w:p>
        </w:tc>
        <w:tc>
          <w:tcPr>
            <w:tcW w:w="1560" w:type="dxa"/>
            <w:shd w:val="clear" w:color="auto" w:fill="auto"/>
            <w:noWrap/>
            <w:vAlign w:val="bottom"/>
            <w:hideMark/>
          </w:tcPr>
          <w:p w14:paraId="00DD5A5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5,38</w:t>
            </w:r>
          </w:p>
        </w:tc>
        <w:tc>
          <w:tcPr>
            <w:tcW w:w="1559" w:type="dxa"/>
            <w:shd w:val="clear" w:color="auto" w:fill="auto"/>
            <w:noWrap/>
            <w:vAlign w:val="bottom"/>
            <w:hideMark/>
          </w:tcPr>
          <w:p w14:paraId="46DECE23"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44,51588</w:t>
            </w:r>
          </w:p>
        </w:tc>
        <w:tc>
          <w:tcPr>
            <w:tcW w:w="1701" w:type="dxa"/>
            <w:shd w:val="clear" w:color="auto" w:fill="auto"/>
            <w:noWrap/>
            <w:vAlign w:val="bottom"/>
            <w:hideMark/>
          </w:tcPr>
          <w:p w14:paraId="6C96E017"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176,67</w:t>
            </w:r>
          </w:p>
        </w:tc>
        <w:tc>
          <w:tcPr>
            <w:tcW w:w="992" w:type="dxa"/>
            <w:shd w:val="clear" w:color="auto" w:fill="auto"/>
            <w:noWrap/>
            <w:vAlign w:val="bottom"/>
            <w:hideMark/>
          </w:tcPr>
          <w:p w14:paraId="731FD3AE" w14:textId="77777777" w:rsidR="000B0C76" w:rsidRPr="00683DEF" w:rsidRDefault="000B0C76" w:rsidP="000B0C76">
            <w:pPr>
              <w:spacing w:after="0" w:line="240" w:lineRule="auto"/>
              <w:jc w:val="right"/>
              <w:rPr>
                <w:rFonts w:ascii="Times New Roman" w:eastAsia="Times New Roman" w:hAnsi="Times New Roman" w:cs="Times New Roman"/>
                <w:lang w:eastAsia="ru-RU"/>
              </w:rPr>
            </w:pPr>
            <w:r w:rsidRPr="00683DEF">
              <w:rPr>
                <w:rFonts w:ascii="Times New Roman" w:eastAsia="Times New Roman" w:hAnsi="Times New Roman" w:cs="Times New Roman"/>
                <w:lang w:eastAsia="ru-RU"/>
              </w:rPr>
              <w:t>6</w:t>
            </w:r>
          </w:p>
        </w:tc>
      </w:tr>
    </w:tbl>
    <w:p w14:paraId="121B6655" w14:textId="77777777" w:rsidR="000B0C76" w:rsidRPr="00F562A8" w:rsidRDefault="000B0C76" w:rsidP="000B0C76">
      <w:pPr>
        <w:spacing w:after="0" w:line="276" w:lineRule="auto"/>
        <w:jc w:val="center"/>
        <w:rPr>
          <w:rFonts w:ascii="Times New Roman" w:hAnsi="Times New Roman" w:cs="Times New Roman"/>
          <w:sz w:val="26"/>
          <w:szCs w:val="26"/>
        </w:rPr>
      </w:pPr>
    </w:p>
    <w:p w14:paraId="0B30D1EF" w14:textId="77777777" w:rsidR="000B0C76" w:rsidRDefault="000B0C76" w:rsidP="000B0C76">
      <w:pPr>
        <w:spacing w:after="0" w:line="276" w:lineRule="auto"/>
        <w:ind w:firstLine="708"/>
        <w:jc w:val="both"/>
        <w:rPr>
          <w:rFonts w:ascii="Times New Roman" w:hAnsi="Times New Roman" w:cs="Times New Roman"/>
          <w:sz w:val="26"/>
          <w:szCs w:val="26"/>
        </w:rPr>
      </w:pPr>
      <w:r w:rsidRPr="00F562A8">
        <w:rPr>
          <w:rFonts w:ascii="Times New Roman" w:hAnsi="Times New Roman" w:cs="Times New Roman"/>
          <w:sz w:val="26"/>
          <w:szCs w:val="26"/>
        </w:rPr>
        <w:t xml:space="preserve">Руководствуясь проведенным анализом распределения рыночной </w:t>
      </w:r>
      <w:r w:rsidRPr="008E6A59">
        <w:rPr>
          <w:rFonts w:ascii="Times New Roman" w:hAnsi="Times New Roman" w:cs="Times New Roman"/>
          <w:sz w:val="26"/>
          <w:szCs w:val="26"/>
        </w:rPr>
        <w:t xml:space="preserve">информации, в рамках </w:t>
      </w:r>
      <w:r>
        <w:rPr>
          <w:rFonts w:ascii="Times New Roman" w:hAnsi="Times New Roman" w:cs="Times New Roman"/>
          <w:sz w:val="26"/>
          <w:szCs w:val="26"/>
        </w:rPr>
        <w:t>данной группы</w:t>
      </w:r>
      <w:r w:rsidRPr="008E6A59">
        <w:rPr>
          <w:rFonts w:ascii="Times New Roman" w:hAnsi="Times New Roman" w:cs="Times New Roman"/>
          <w:sz w:val="26"/>
          <w:szCs w:val="26"/>
        </w:rPr>
        <w:t xml:space="preserve"> было выделено </w:t>
      </w:r>
      <w:r>
        <w:rPr>
          <w:rFonts w:ascii="Times New Roman" w:hAnsi="Times New Roman" w:cs="Times New Roman"/>
          <w:sz w:val="26"/>
          <w:szCs w:val="26"/>
        </w:rPr>
        <w:t>6</w:t>
      </w:r>
      <w:r w:rsidRPr="008E6A59">
        <w:rPr>
          <w:rFonts w:ascii="Times New Roman" w:hAnsi="Times New Roman" w:cs="Times New Roman"/>
          <w:sz w:val="26"/>
          <w:szCs w:val="26"/>
        </w:rPr>
        <w:t xml:space="preserve"> ценовых зон</w:t>
      </w:r>
      <w:r>
        <w:rPr>
          <w:rFonts w:ascii="Times New Roman" w:hAnsi="Times New Roman" w:cs="Times New Roman"/>
          <w:sz w:val="26"/>
          <w:szCs w:val="26"/>
        </w:rPr>
        <w:t>:</w:t>
      </w:r>
    </w:p>
    <w:p w14:paraId="6AF267B5" w14:textId="77777777" w:rsidR="000B0C76" w:rsidRPr="006956D7" w:rsidRDefault="000B0C76" w:rsidP="000B0C76">
      <w:pPr>
        <w:spacing w:after="0" w:line="276" w:lineRule="auto"/>
        <w:ind w:firstLine="708"/>
        <w:jc w:val="both"/>
        <w:rPr>
          <w:rFonts w:ascii="Times New Roman" w:hAnsi="Times New Roman" w:cs="Times New Roman"/>
          <w:sz w:val="26"/>
          <w:szCs w:val="26"/>
        </w:rPr>
      </w:pPr>
      <w:r w:rsidRPr="006956D7">
        <w:rPr>
          <w:rFonts w:ascii="Times New Roman" w:hAnsi="Times New Roman" w:cs="Times New Roman"/>
          <w:sz w:val="26"/>
          <w:szCs w:val="26"/>
        </w:rPr>
        <w:t xml:space="preserve">-зона 1- г. Воронеж; </w:t>
      </w:r>
    </w:p>
    <w:p w14:paraId="70817932" w14:textId="77777777" w:rsidR="000B0C76" w:rsidRPr="006956D7" w:rsidRDefault="000B0C76" w:rsidP="000B0C76">
      <w:pPr>
        <w:spacing w:after="0" w:line="276" w:lineRule="auto"/>
        <w:ind w:firstLine="708"/>
        <w:jc w:val="both"/>
        <w:rPr>
          <w:rFonts w:ascii="Times New Roman" w:hAnsi="Times New Roman" w:cs="Times New Roman"/>
          <w:sz w:val="26"/>
          <w:szCs w:val="26"/>
        </w:rPr>
      </w:pPr>
      <w:r w:rsidRPr="006956D7">
        <w:rPr>
          <w:rFonts w:ascii="Times New Roman" w:hAnsi="Times New Roman" w:cs="Times New Roman"/>
          <w:sz w:val="26"/>
          <w:szCs w:val="26"/>
        </w:rPr>
        <w:t>-зона 2 -</w:t>
      </w:r>
      <w:r>
        <w:rPr>
          <w:rFonts w:ascii="Times New Roman" w:hAnsi="Times New Roman" w:cs="Times New Roman"/>
          <w:sz w:val="26"/>
          <w:szCs w:val="26"/>
        </w:rPr>
        <w:t xml:space="preserve"> </w:t>
      </w:r>
      <w:r w:rsidRPr="00F562A8">
        <w:rPr>
          <w:rFonts w:ascii="Times New Roman" w:hAnsi="Times New Roman" w:cs="Times New Roman"/>
          <w:sz w:val="26"/>
          <w:szCs w:val="26"/>
        </w:rPr>
        <w:t>городские населенные пункты с населением свыше 30 тыс. человек (г. Нововоронеж, г. Лиски, г. Острогожск, г. Борисоглебск, с. Новая Усмань, г. Россошь)</w:t>
      </w:r>
      <w:r>
        <w:rPr>
          <w:rFonts w:ascii="Times New Roman" w:hAnsi="Times New Roman" w:cs="Times New Roman"/>
          <w:sz w:val="26"/>
          <w:szCs w:val="26"/>
        </w:rPr>
        <w:t>, а также р.п. Рамонь и г. Семилуки</w:t>
      </w:r>
      <w:r w:rsidRPr="006956D7">
        <w:rPr>
          <w:rFonts w:ascii="Times New Roman" w:hAnsi="Times New Roman" w:cs="Times New Roman"/>
          <w:sz w:val="26"/>
          <w:szCs w:val="26"/>
        </w:rPr>
        <w:t>;</w:t>
      </w:r>
    </w:p>
    <w:p w14:paraId="3213697A" w14:textId="77777777" w:rsidR="000B0C76" w:rsidRDefault="000B0C76" w:rsidP="000B0C76">
      <w:pPr>
        <w:spacing w:after="0" w:line="276" w:lineRule="auto"/>
        <w:ind w:firstLine="708"/>
        <w:jc w:val="both"/>
        <w:rPr>
          <w:rFonts w:ascii="Times New Roman" w:hAnsi="Times New Roman" w:cs="Times New Roman"/>
          <w:sz w:val="26"/>
          <w:szCs w:val="26"/>
        </w:rPr>
      </w:pPr>
      <w:r w:rsidRPr="006956D7">
        <w:rPr>
          <w:rFonts w:ascii="Times New Roman" w:hAnsi="Times New Roman" w:cs="Times New Roman"/>
          <w:sz w:val="26"/>
          <w:szCs w:val="26"/>
        </w:rPr>
        <w:t>-зона 3</w:t>
      </w:r>
      <w:r>
        <w:rPr>
          <w:rFonts w:ascii="Times New Roman" w:hAnsi="Times New Roman" w:cs="Times New Roman"/>
          <w:sz w:val="26"/>
          <w:szCs w:val="26"/>
        </w:rPr>
        <w:t xml:space="preserve"> – остальные</w:t>
      </w:r>
      <w:r w:rsidRPr="006956D7">
        <w:rPr>
          <w:rFonts w:ascii="Times New Roman" w:hAnsi="Times New Roman" w:cs="Times New Roman"/>
          <w:sz w:val="26"/>
          <w:szCs w:val="26"/>
        </w:rPr>
        <w:t xml:space="preserve"> </w:t>
      </w:r>
      <w:r>
        <w:rPr>
          <w:rFonts w:ascii="Times New Roman" w:hAnsi="Times New Roman" w:cs="Times New Roman"/>
          <w:sz w:val="26"/>
          <w:szCs w:val="26"/>
        </w:rPr>
        <w:t>городские населенные пункты;</w:t>
      </w:r>
    </w:p>
    <w:p w14:paraId="2DC23FF8" w14:textId="77777777" w:rsidR="000B0C76" w:rsidRDefault="000B0C76" w:rsidP="000B0C76">
      <w:pPr>
        <w:spacing w:after="0" w:line="276" w:lineRule="auto"/>
        <w:ind w:firstLine="708"/>
        <w:jc w:val="both"/>
        <w:rPr>
          <w:rFonts w:ascii="Times New Roman" w:hAnsi="Times New Roman" w:cs="Times New Roman"/>
          <w:sz w:val="26"/>
          <w:szCs w:val="26"/>
        </w:rPr>
      </w:pPr>
      <w:r>
        <w:rPr>
          <w:rFonts w:ascii="Times New Roman" w:hAnsi="Times New Roman" w:cs="Times New Roman"/>
          <w:sz w:val="26"/>
          <w:szCs w:val="26"/>
        </w:rPr>
        <w:t>-зона 4 – сельские населенные пункты Рамонского и Новоусманского районов;</w:t>
      </w:r>
    </w:p>
    <w:p w14:paraId="101CCDFC" w14:textId="77777777" w:rsidR="000B0C76" w:rsidRDefault="000B0C76" w:rsidP="000B0C76">
      <w:pPr>
        <w:spacing w:after="0" w:line="276"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-зона 5 - </w:t>
      </w:r>
      <w:bookmarkStart w:id="106" w:name="_Hlk106547458"/>
      <w:r>
        <w:rPr>
          <w:rFonts w:ascii="Times New Roman" w:hAnsi="Times New Roman" w:cs="Times New Roman"/>
          <w:sz w:val="26"/>
          <w:szCs w:val="26"/>
        </w:rPr>
        <w:t xml:space="preserve">сельские населенные пункты </w:t>
      </w:r>
      <w:bookmarkEnd w:id="106"/>
      <w:r>
        <w:rPr>
          <w:rFonts w:ascii="Times New Roman" w:hAnsi="Times New Roman" w:cs="Times New Roman"/>
          <w:sz w:val="26"/>
          <w:szCs w:val="26"/>
        </w:rPr>
        <w:t>Семилукского, Нижнедевицкого, Каширского, Хохольского, Верхнехавского районов;</w:t>
      </w:r>
    </w:p>
    <w:p w14:paraId="3C16FB90" w14:textId="77777777" w:rsidR="000B0C76" w:rsidRDefault="000B0C76" w:rsidP="000B0C76">
      <w:pPr>
        <w:spacing w:after="0" w:line="276" w:lineRule="auto"/>
        <w:ind w:firstLine="708"/>
        <w:jc w:val="both"/>
        <w:rPr>
          <w:rFonts w:ascii="Times New Roman" w:hAnsi="Times New Roman" w:cs="Times New Roman"/>
          <w:sz w:val="26"/>
          <w:szCs w:val="26"/>
        </w:rPr>
      </w:pPr>
      <w:r>
        <w:rPr>
          <w:rFonts w:ascii="Times New Roman" w:hAnsi="Times New Roman" w:cs="Times New Roman"/>
          <w:sz w:val="26"/>
          <w:szCs w:val="26"/>
        </w:rPr>
        <w:t>-зона 6 - сельские населенные пункты остальных районов Воронежской области.</w:t>
      </w:r>
    </w:p>
    <w:p w14:paraId="58BD93EF" w14:textId="77777777" w:rsidR="000B0C76" w:rsidRDefault="000B0C76" w:rsidP="000B0C76">
      <w:pPr>
        <w:spacing w:after="0" w:line="276" w:lineRule="auto"/>
        <w:ind w:firstLine="708"/>
        <w:jc w:val="both"/>
        <w:rPr>
          <w:rFonts w:ascii="Times New Roman" w:hAnsi="Times New Roman" w:cs="Times New Roman"/>
          <w:sz w:val="26"/>
          <w:szCs w:val="26"/>
        </w:rPr>
      </w:pPr>
      <w:r w:rsidRPr="00F562A8">
        <w:rPr>
          <w:rFonts w:ascii="Times New Roman" w:hAnsi="Times New Roman" w:cs="Times New Roman"/>
          <w:sz w:val="26"/>
          <w:szCs w:val="26"/>
        </w:rPr>
        <w:t xml:space="preserve">Значения удельных показателей рыночной стоимости земельных </w:t>
      </w:r>
      <w:r>
        <w:rPr>
          <w:rFonts w:ascii="Times New Roman" w:hAnsi="Times New Roman" w:cs="Times New Roman"/>
          <w:sz w:val="26"/>
          <w:szCs w:val="26"/>
        </w:rPr>
        <w:t xml:space="preserve">участков группы «Малоэтажная жилая застройка» </w:t>
      </w:r>
      <w:r w:rsidRPr="00F562A8">
        <w:rPr>
          <w:rFonts w:ascii="Times New Roman" w:hAnsi="Times New Roman" w:cs="Times New Roman"/>
          <w:sz w:val="26"/>
          <w:szCs w:val="26"/>
        </w:rPr>
        <w:t>для каждой из ценовых зон представлены в таблице</w:t>
      </w:r>
      <w:r>
        <w:rPr>
          <w:rFonts w:ascii="Times New Roman" w:hAnsi="Times New Roman" w:cs="Times New Roman"/>
          <w:sz w:val="26"/>
          <w:szCs w:val="26"/>
        </w:rPr>
        <w:t>.</w:t>
      </w:r>
    </w:p>
    <w:p w14:paraId="7BE122BE" w14:textId="77777777" w:rsidR="000B0C76" w:rsidRPr="00F562A8" w:rsidRDefault="000B0C76" w:rsidP="000B0C76">
      <w:pPr>
        <w:spacing w:after="0" w:line="276" w:lineRule="auto"/>
        <w:ind w:firstLine="709"/>
        <w:jc w:val="right"/>
        <w:rPr>
          <w:rFonts w:ascii="Times New Roman" w:hAnsi="Times New Roman" w:cs="Times New Roman"/>
          <w:sz w:val="26"/>
          <w:szCs w:val="26"/>
        </w:rPr>
      </w:pPr>
      <w:r w:rsidRPr="00F562A8">
        <w:rPr>
          <w:rFonts w:ascii="Times New Roman" w:hAnsi="Times New Roman" w:cs="Times New Roman"/>
          <w:sz w:val="26"/>
          <w:szCs w:val="26"/>
        </w:rPr>
        <w:t>Таблица 3.2.</w:t>
      </w:r>
      <w:r>
        <w:rPr>
          <w:rFonts w:ascii="Times New Roman" w:hAnsi="Times New Roman" w:cs="Times New Roman"/>
          <w:sz w:val="26"/>
          <w:szCs w:val="26"/>
        </w:rPr>
        <w:t>15</w:t>
      </w:r>
    </w:p>
    <w:p w14:paraId="06FEDAF2" w14:textId="77777777" w:rsidR="000B0C76" w:rsidRPr="00F562A8" w:rsidRDefault="000B0C76" w:rsidP="000B0C76">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Удельные показатели рыночной стоимости, руб./м</w:t>
      </w:r>
      <w:r w:rsidRPr="00F562A8">
        <w:rPr>
          <w:rFonts w:ascii="Times New Roman" w:hAnsi="Times New Roman" w:cs="Times New Roman"/>
          <w:sz w:val="26"/>
          <w:szCs w:val="26"/>
          <w:vertAlign w:val="superscript"/>
        </w:rPr>
        <w:t>2</w:t>
      </w:r>
    </w:p>
    <w:tbl>
      <w:tblPr>
        <w:tblStyle w:val="ae"/>
        <w:tblW w:w="0" w:type="auto"/>
        <w:tblLook w:val="04A0" w:firstRow="1" w:lastRow="0" w:firstColumn="1" w:lastColumn="0" w:noHBand="0" w:noVBand="1"/>
      </w:tblPr>
      <w:tblGrid>
        <w:gridCol w:w="1979"/>
        <w:gridCol w:w="2410"/>
        <w:gridCol w:w="2268"/>
        <w:gridCol w:w="2687"/>
      </w:tblGrid>
      <w:tr w:rsidR="000B0C76" w:rsidRPr="008E6A59" w14:paraId="0F3BC48D" w14:textId="77777777" w:rsidTr="000B0C76">
        <w:tc>
          <w:tcPr>
            <w:tcW w:w="1980" w:type="dxa"/>
            <w:vMerge w:val="restart"/>
          </w:tcPr>
          <w:p w14:paraId="7A223C91" w14:textId="77777777" w:rsidR="000B0C76" w:rsidRPr="008E6A59" w:rsidRDefault="000B0C76" w:rsidP="000B0C76">
            <w:pPr>
              <w:spacing w:line="276" w:lineRule="auto"/>
              <w:jc w:val="center"/>
              <w:rPr>
                <w:rFonts w:ascii="Times New Roman" w:hAnsi="Times New Roman" w:cs="Times New Roman"/>
                <w:sz w:val="22"/>
                <w:szCs w:val="22"/>
              </w:rPr>
            </w:pPr>
            <w:r w:rsidRPr="008E6A59">
              <w:rPr>
                <w:rFonts w:ascii="Times New Roman" w:hAnsi="Times New Roman" w:cs="Times New Roman"/>
                <w:sz w:val="22"/>
                <w:szCs w:val="22"/>
              </w:rPr>
              <w:t>№ ценовой зоны</w:t>
            </w:r>
          </w:p>
        </w:tc>
        <w:tc>
          <w:tcPr>
            <w:tcW w:w="7365" w:type="dxa"/>
            <w:gridSpan w:val="3"/>
          </w:tcPr>
          <w:p w14:paraId="0E7A91E5" w14:textId="77777777" w:rsidR="000B0C76" w:rsidRPr="008E6A59" w:rsidRDefault="000B0C76" w:rsidP="000B0C76">
            <w:pPr>
              <w:spacing w:line="276" w:lineRule="auto"/>
              <w:jc w:val="center"/>
              <w:rPr>
                <w:rFonts w:ascii="Times New Roman" w:hAnsi="Times New Roman" w:cs="Times New Roman"/>
                <w:sz w:val="22"/>
                <w:szCs w:val="22"/>
                <w:vertAlign w:val="superscript"/>
              </w:rPr>
            </w:pPr>
            <w:r w:rsidRPr="008E6A59">
              <w:rPr>
                <w:rFonts w:ascii="Times New Roman" w:hAnsi="Times New Roman" w:cs="Times New Roman"/>
                <w:sz w:val="22"/>
                <w:szCs w:val="22"/>
              </w:rPr>
              <w:t>Удельный показатель рыночной стоимости, руб./м</w:t>
            </w:r>
            <w:r w:rsidRPr="008E6A59">
              <w:rPr>
                <w:rFonts w:ascii="Times New Roman" w:hAnsi="Times New Roman" w:cs="Times New Roman"/>
                <w:sz w:val="22"/>
                <w:szCs w:val="22"/>
                <w:vertAlign w:val="superscript"/>
              </w:rPr>
              <w:t>2</w:t>
            </w:r>
          </w:p>
        </w:tc>
      </w:tr>
      <w:tr w:rsidR="000B0C76" w:rsidRPr="008E6A59" w14:paraId="436F592F" w14:textId="77777777" w:rsidTr="000B0C76">
        <w:tc>
          <w:tcPr>
            <w:tcW w:w="1980" w:type="dxa"/>
            <w:vMerge/>
          </w:tcPr>
          <w:p w14:paraId="02F01E35" w14:textId="77777777" w:rsidR="000B0C76" w:rsidRPr="008E6A59" w:rsidRDefault="000B0C76" w:rsidP="000B0C76">
            <w:pPr>
              <w:spacing w:line="276" w:lineRule="auto"/>
              <w:jc w:val="right"/>
              <w:rPr>
                <w:rFonts w:ascii="Times New Roman" w:hAnsi="Times New Roman" w:cs="Times New Roman"/>
                <w:sz w:val="22"/>
                <w:szCs w:val="22"/>
              </w:rPr>
            </w:pPr>
          </w:p>
        </w:tc>
        <w:tc>
          <w:tcPr>
            <w:tcW w:w="2410" w:type="dxa"/>
          </w:tcPr>
          <w:p w14:paraId="50C38795" w14:textId="77777777" w:rsidR="000B0C76" w:rsidRPr="008E6A59" w:rsidRDefault="000B0C76" w:rsidP="000B0C76">
            <w:pPr>
              <w:spacing w:line="276" w:lineRule="auto"/>
              <w:jc w:val="center"/>
              <w:rPr>
                <w:rFonts w:ascii="Times New Roman" w:hAnsi="Times New Roman" w:cs="Times New Roman"/>
                <w:sz w:val="22"/>
                <w:szCs w:val="22"/>
              </w:rPr>
            </w:pPr>
            <w:r w:rsidRPr="008E6A59">
              <w:rPr>
                <w:rFonts w:ascii="Times New Roman" w:hAnsi="Times New Roman" w:cs="Times New Roman"/>
                <w:sz w:val="22"/>
                <w:szCs w:val="22"/>
              </w:rPr>
              <w:t>минимальный</w:t>
            </w:r>
          </w:p>
        </w:tc>
        <w:tc>
          <w:tcPr>
            <w:tcW w:w="2268" w:type="dxa"/>
          </w:tcPr>
          <w:p w14:paraId="78353F09" w14:textId="77777777" w:rsidR="000B0C76" w:rsidRPr="008E6A59" w:rsidRDefault="000B0C76" w:rsidP="000B0C76">
            <w:pPr>
              <w:spacing w:line="276" w:lineRule="auto"/>
              <w:jc w:val="center"/>
              <w:rPr>
                <w:rFonts w:ascii="Times New Roman" w:hAnsi="Times New Roman" w:cs="Times New Roman"/>
                <w:sz w:val="22"/>
                <w:szCs w:val="22"/>
              </w:rPr>
            </w:pPr>
            <w:r w:rsidRPr="008E6A59">
              <w:rPr>
                <w:rFonts w:ascii="Times New Roman" w:hAnsi="Times New Roman" w:cs="Times New Roman"/>
                <w:sz w:val="22"/>
                <w:szCs w:val="22"/>
              </w:rPr>
              <w:t>средний</w:t>
            </w:r>
          </w:p>
        </w:tc>
        <w:tc>
          <w:tcPr>
            <w:tcW w:w="2687" w:type="dxa"/>
          </w:tcPr>
          <w:p w14:paraId="2DC0404B" w14:textId="77777777" w:rsidR="000B0C76" w:rsidRPr="008E6A59" w:rsidRDefault="000B0C76" w:rsidP="000B0C76">
            <w:pPr>
              <w:spacing w:line="276" w:lineRule="auto"/>
              <w:jc w:val="center"/>
              <w:rPr>
                <w:rFonts w:ascii="Times New Roman" w:hAnsi="Times New Roman" w:cs="Times New Roman"/>
                <w:sz w:val="22"/>
                <w:szCs w:val="22"/>
              </w:rPr>
            </w:pPr>
            <w:r w:rsidRPr="008E6A59">
              <w:rPr>
                <w:rFonts w:ascii="Times New Roman" w:hAnsi="Times New Roman" w:cs="Times New Roman"/>
                <w:sz w:val="22"/>
                <w:szCs w:val="22"/>
              </w:rPr>
              <w:t>максимальный</w:t>
            </w:r>
          </w:p>
        </w:tc>
      </w:tr>
      <w:tr w:rsidR="000B0C76" w:rsidRPr="008E6A59" w14:paraId="41870DC1" w14:textId="77777777" w:rsidTr="000B0C76">
        <w:tc>
          <w:tcPr>
            <w:tcW w:w="1980" w:type="dxa"/>
          </w:tcPr>
          <w:p w14:paraId="21BD350C" w14:textId="77777777" w:rsidR="000B0C76" w:rsidRPr="008E6A59" w:rsidRDefault="000B0C76" w:rsidP="000B0C76">
            <w:pPr>
              <w:spacing w:line="276" w:lineRule="auto"/>
              <w:jc w:val="center"/>
              <w:rPr>
                <w:rFonts w:ascii="Times New Roman" w:hAnsi="Times New Roman" w:cs="Times New Roman"/>
                <w:sz w:val="22"/>
                <w:szCs w:val="22"/>
              </w:rPr>
            </w:pPr>
            <w:r w:rsidRPr="008E6A59">
              <w:rPr>
                <w:rFonts w:ascii="Times New Roman" w:hAnsi="Times New Roman" w:cs="Times New Roman"/>
                <w:sz w:val="22"/>
                <w:szCs w:val="22"/>
              </w:rPr>
              <w:t>1</w:t>
            </w:r>
          </w:p>
        </w:tc>
        <w:tc>
          <w:tcPr>
            <w:tcW w:w="2410" w:type="dxa"/>
            <w:vAlign w:val="center"/>
          </w:tcPr>
          <w:p w14:paraId="72A8C015" w14:textId="77777777" w:rsidR="000B0C76" w:rsidRPr="0006192F" w:rsidRDefault="000B0C76" w:rsidP="000B0C76">
            <w:pPr>
              <w:spacing w:line="276" w:lineRule="auto"/>
              <w:jc w:val="center"/>
              <w:rPr>
                <w:rFonts w:ascii="Times New Roman" w:hAnsi="Times New Roman" w:cs="Times New Roman"/>
                <w:color w:val="FF0000"/>
                <w:sz w:val="22"/>
                <w:szCs w:val="22"/>
              </w:rPr>
            </w:pPr>
            <w:r w:rsidRPr="0006192F">
              <w:rPr>
                <w:rFonts w:ascii="Times New Roman" w:hAnsi="Times New Roman" w:cs="Times New Roman"/>
              </w:rPr>
              <w:t xml:space="preserve">                  246,45   </w:t>
            </w:r>
          </w:p>
        </w:tc>
        <w:tc>
          <w:tcPr>
            <w:tcW w:w="2268" w:type="dxa"/>
            <w:vAlign w:val="center"/>
          </w:tcPr>
          <w:p w14:paraId="4EDDE4B5" w14:textId="77777777" w:rsidR="000B0C76" w:rsidRPr="0006192F" w:rsidRDefault="000B0C76" w:rsidP="000B0C76">
            <w:pPr>
              <w:spacing w:line="276" w:lineRule="auto"/>
              <w:jc w:val="center"/>
              <w:rPr>
                <w:rFonts w:ascii="Times New Roman" w:hAnsi="Times New Roman" w:cs="Times New Roman"/>
                <w:color w:val="FF0000"/>
                <w:sz w:val="22"/>
                <w:szCs w:val="22"/>
              </w:rPr>
            </w:pPr>
            <w:r w:rsidRPr="0006192F">
              <w:rPr>
                <w:rFonts w:ascii="Times New Roman" w:hAnsi="Times New Roman" w:cs="Times New Roman"/>
              </w:rPr>
              <w:t xml:space="preserve">               2 116,19   </w:t>
            </w:r>
          </w:p>
        </w:tc>
        <w:tc>
          <w:tcPr>
            <w:tcW w:w="2687" w:type="dxa"/>
            <w:vAlign w:val="center"/>
          </w:tcPr>
          <w:p w14:paraId="319BCFFE" w14:textId="77777777" w:rsidR="000B0C76" w:rsidRPr="0006192F" w:rsidRDefault="000B0C76" w:rsidP="000B0C76">
            <w:pPr>
              <w:spacing w:line="276" w:lineRule="auto"/>
              <w:jc w:val="center"/>
              <w:rPr>
                <w:rFonts w:ascii="Times New Roman" w:hAnsi="Times New Roman" w:cs="Times New Roman"/>
                <w:color w:val="FF0000"/>
                <w:sz w:val="22"/>
                <w:szCs w:val="22"/>
              </w:rPr>
            </w:pPr>
            <w:r w:rsidRPr="0006192F">
              <w:rPr>
                <w:rFonts w:ascii="Times New Roman" w:hAnsi="Times New Roman" w:cs="Times New Roman"/>
              </w:rPr>
              <w:t xml:space="preserve">               7 217,49   </w:t>
            </w:r>
          </w:p>
        </w:tc>
      </w:tr>
      <w:tr w:rsidR="000B0C76" w:rsidRPr="008E6A59" w14:paraId="6DA5A108" w14:textId="77777777" w:rsidTr="000B0C76">
        <w:tc>
          <w:tcPr>
            <w:tcW w:w="1980" w:type="dxa"/>
          </w:tcPr>
          <w:p w14:paraId="75276DB7" w14:textId="77777777" w:rsidR="000B0C76" w:rsidRPr="008E6A59" w:rsidRDefault="000B0C76" w:rsidP="000B0C76">
            <w:pPr>
              <w:spacing w:line="276" w:lineRule="auto"/>
              <w:jc w:val="center"/>
              <w:rPr>
                <w:rFonts w:ascii="Times New Roman" w:hAnsi="Times New Roman" w:cs="Times New Roman"/>
                <w:sz w:val="22"/>
                <w:szCs w:val="22"/>
              </w:rPr>
            </w:pPr>
            <w:r w:rsidRPr="008E6A59">
              <w:rPr>
                <w:rFonts w:ascii="Times New Roman" w:hAnsi="Times New Roman" w:cs="Times New Roman"/>
                <w:sz w:val="22"/>
                <w:szCs w:val="22"/>
              </w:rPr>
              <w:t>2</w:t>
            </w:r>
          </w:p>
        </w:tc>
        <w:tc>
          <w:tcPr>
            <w:tcW w:w="2410" w:type="dxa"/>
            <w:vAlign w:val="center"/>
          </w:tcPr>
          <w:p w14:paraId="04A90610" w14:textId="77777777" w:rsidR="000B0C76" w:rsidRPr="0006192F" w:rsidRDefault="000B0C76" w:rsidP="000B0C76">
            <w:pPr>
              <w:spacing w:line="276" w:lineRule="auto"/>
              <w:jc w:val="center"/>
              <w:rPr>
                <w:rFonts w:ascii="Times New Roman" w:hAnsi="Times New Roman" w:cs="Times New Roman"/>
                <w:color w:val="FF0000"/>
                <w:sz w:val="22"/>
                <w:szCs w:val="22"/>
              </w:rPr>
            </w:pPr>
            <w:r w:rsidRPr="0006192F">
              <w:rPr>
                <w:rFonts w:ascii="Times New Roman" w:hAnsi="Times New Roman" w:cs="Times New Roman"/>
              </w:rPr>
              <w:t xml:space="preserve">                  102,36   </w:t>
            </w:r>
          </w:p>
        </w:tc>
        <w:tc>
          <w:tcPr>
            <w:tcW w:w="2268" w:type="dxa"/>
            <w:vAlign w:val="center"/>
          </w:tcPr>
          <w:p w14:paraId="635A3B99" w14:textId="77777777" w:rsidR="000B0C76" w:rsidRPr="0006192F" w:rsidRDefault="000B0C76" w:rsidP="000B0C76">
            <w:pPr>
              <w:spacing w:line="276" w:lineRule="auto"/>
              <w:jc w:val="center"/>
              <w:rPr>
                <w:rFonts w:ascii="Times New Roman" w:hAnsi="Times New Roman" w:cs="Times New Roman"/>
                <w:color w:val="FF0000"/>
                <w:sz w:val="22"/>
                <w:szCs w:val="22"/>
              </w:rPr>
            </w:pPr>
            <w:r w:rsidRPr="0006192F">
              <w:rPr>
                <w:rFonts w:ascii="Times New Roman" w:hAnsi="Times New Roman" w:cs="Times New Roman"/>
              </w:rPr>
              <w:t xml:space="preserve">                  669,41   </w:t>
            </w:r>
          </w:p>
        </w:tc>
        <w:tc>
          <w:tcPr>
            <w:tcW w:w="2687" w:type="dxa"/>
            <w:vAlign w:val="center"/>
          </w:tcPr>
          <w:p w14:paraId="17AD47BB" w14:textId="77777777" w:rsidR="000B0C76" w:rsidRPr="0006192F" w:rsidRDefault="000B0C76" w:rsidP="000B0C76">
            <w:pPr>
              <w:spacing w:line="276" w:lineRule="auto"/>
              <w:jc w:val="center"/>
              <w:rPr>
                <w:rFonts w:ascii="Times New Roman" w:hAnsi="Times New Roman" w:cs="Times New Roman"/>
                <w:color w:val="FF0000"/>
                <w:sz w:val="22"/>
                <w:szCs w:val="22"/>
              </w:rPr>
            </w:pPr>
            <w:r w:rsidRPr="0006192F">
              <w:rPr>
                <w:rFonts w:ascii="Times New Roman" w:hAnsi="Times New Roman" w:cs="Times New Roman"/>
              </w:rPr>
              <w:t xml:space="preserve">               3 533,74   </w:t>
            </w:r>
          </w:p>
        </w:tc>
      </w:tr>
      <w:tr w:rsidR="000B0C76" w:rsidRPr="008E6A59" w14:paraId="1DCA7C79" w14:textId="77777777" w:rsidTr="000B0C76">
        <w:tc>
          <w:tcPr>
            <w:tcW w:w="1980" w:type="dxa"/>
          </w:tcPr>
          <w:p w14:paraId="061F906B" w14:textId="77777777" w:rsidR="000B0C76" w:rsidRPr="008E6A59" w:rsidRDefault="000B0C76" w:rsidP="000B0C76">
            <w:pPr>
              <w:spacing w:line="276" w:lineRule="auto"/>
              <w:jc w:val="center"/>
              <w:rPr>
                <w:rFonts w:ascii="Times New Roman" w:hAnsi="Times New Roman" w:cs="Times New Roman"/>
                <w:sz w:val="22"/>
                <w:szCs w:val="22"/>
              </w:rPr>
            </w:pPr>
            <w:r w:rsidRPr="008E6A59">
              <w:rPr>
                <w:rFonts w:ascii="Times New Roman" w:hAnsi="Times New Roman" w:cs="Times New Roman"/>
                <w:sz w:val="22"/>
                <w:szCs w:val="22"/>
              </w:rPr>
              <w:t>3</w:t>
            </w:r>
          </w:p>
        </w:tc>
        <w:tc>
          <w:tcPr>
            <w:tcW w:w="2410" w:type="dxa"/>
            <w:vAlign w:val="center"/>
          </w:tcPr>
          <w:p w14:paraId="03F40A8D" w14:textId="77777777" w:rsidR="000B0C76" w:rsidRPr="0006192F" w:rsidRDefault="000B0C76" w:rsidP="000B0C76">
            <w:pPr>
              <w:spacing w:line="276" w:lineRule="auto"/>
              <w:jc w:val="center"/>
              <w:rPr>
                <w:rFonts w:ascii="Times New Roman" w:hAnsi="Times New Roman" w:cs="Times New Roman"/>
                <w:color w:val="FF0000"/>
                <w:sz w:val="22"/>
                <w:szCs w:val="22"/>
              </w:rPr>
            </w:pPr>
            <w:r w:rsidRPr="0006192F">
              <w:rPr>
                <w:rFonts w:ascii="Times New Roman" w:hAnsi="Times New Roman" w:cs="Times New Roman"/>
              </w:rPr>
              <w:t xml:space="preserve">                  105,04   </w:t>
            </w:r>
          </w:p>
        </w:tc>
        <w:tc>
          <w:tcPr>
            <w:tcW w:w="2268" w:type="dxa"/>
            <w:vAlign w:val="center"/>
          </w:tcPr>
          <w:p w14:paraId="4445871C" w14:textId="77777777" w:rsidR="000B0C76" w:rsidRPr="0006192F" w:rsidRDefault="000B0C76" w:rsidP="000B0C76">
            <w:pPr>
              <w:spacing w:line="276" w:lineRule="auto"/>
              <w:jc w:val="center"/>
              <w:rPr>
                <w:rFonts w:ascii="Times New Roman" w:hAnsi="Times New Roman" w:cs="Times New Roman"/>
                <w:color w:val="FF0000"/>
                <w:sz w:val="22"/>
                <w:szCs w:val="22"/>
              </w:rPr>
            </w:pPr>
            <w:r w:rsidRPr="0006192F">
              <w:rPr>
                <w:rFonts w:ascii="Times New Roman" w:hAnsi="Times New Roman" w:cs="Times New Roman"/>
              </w:rPr>
              <w:t xml:space="preserve">                  403,46   </w:t>
            </w:r>
          </w:p>
        </w:tc>
        <w:tc>
          <w:tcPr>
            <w:tcW w:w="2687" w:type="dxa"/>
            <w:vAlign w:val="center"/>
          </w:tcPr>
          <w:p w14:paraId="3A5D0661" w14:textId="77777777" w:rsidR="000B0C76" w:rsidRPr="0006192F" w:rsidRDefault="000B0C76" w:rsidP="000B0C76">
            <w:pPr>
              <w:spacing w:line="276" w:lineRule="auto"/>
              <w:jc w:val="center"/>
              <w:rPr>
                <w:rFonts w:ascii="Times New Roman" w:hAnsi="Times New Roman" w:cs="Times New Roman"/>
                <w:color w:val="FF0000"/>
                <w:sz w:val="22"/>
                <w:szCs w:val="22"/>
              </w:rPr>
            </w:pPr>
            <w:r w:rsidRPr="0006192F">
              <w:rPr>
                <w:rFonts w:ascii="Times New Roman" w:hAnsi="Times New Roman" w:cs="Times New Roman"/>
              </w:rPr>
              <w:t xml:space="preserve">               2 192,93   </w:t>
            </w:r>
          </w:p>
        </w:tc>
      </w:tr>
      <w:tr w:rsidR="000B0C76" w:rsidRPr="008E6A59" w14:paraId="7ABCC8E6" w14:textId="77777777" w:rsidTr="000B0C76">
        <w:tc>
          <w:tcPr>
            <w:tcW w:w="1980" w:type="dxa"/>
          </w:tcPr>
          <w:p w14:paraId="7C160180" w14:textId="77777777" w:rsidR="000B0C76" w:rsidRPr="008E6A59" w:rsidRDefault="000B0C76" w:rsidP="000B0C76">
            <w:pPr>
              <w:spacing w:line="276" w:lineRule="auto"/>
              <w:jc w:val="center"/>
              <w:rPr>
                <w:rFonts w:ascii="Times New Roman" w:hAnsi="Times New Roman" w:cs="Times New Roman"/>
              </w:rPr>
            </w:pPr>
            <w:r>
              <w:rPr>
                <w:rFonts w:ascii="Times New Roman" w:hAnsi="Times New Roman" w:cs="Times New Roman"/>
              </w:rPr>
              <w:t>4</w:t>
            </w:r>
          </w:p>
        </w:tc>
        <w:tc>
          <w:tcPr>
            <w:tcW w:w="2410" w:type="dxa"/>
            <w:vAlign w:val="center"/>
          </w:tcPr>
          <w:p w14:paraId="734479A4" w14:textId="77777777" w:rsidR="000B0C76" w:rsidRPr="0006192F" w:rsidRDefault="000B0C76" w:rsidP="000B0C76">
            <w:pPr>
              <w:spacing w:line="276" w:lineRule="auto"/>
              <w:jc w:val="center"/>
              <w:rPr>
                <w:rFonts w:ascii="Times New Roman" w:hAnsi="Times New Roman" w:cs="Times New Roman"/>
              </w:rPr>
            </w:pPr>
            <w:r w:rsidRPr="0006192F">
              <w:rPr>
                <w:rFonts w:ascii="Times New Roman" w:hAnsi="Times New Roman" w:cs="Times New Roman"/>
              </w:rPr>
              <w:t xml:space="preserve">                      4,76   </w:t>
            </w:r>
          </w:p>
        </w:tc>
        <w:tc>
          <w:tcPr>
            <w:tcW w:w="2268" w:type="dxa"/>
            <w:vAlign w:val="center"/>
          </w:tcPr>
          <w:p w14:paraId="24FB8962" w14:textId="77777777" w:rsidR="000B0C76" w:rsidRPr="0006192F" w:rsidRDefault="000B0C76" w:rsidP="000B0C76">
            <w:pPr>
              <w:spacing w:line="276" w:lineRule="auto"/>
              <w:jc w:val="center"/>
              <w:rPr>
                <w:rFonts w:ascii="Times New Roman" w:hAnsi="Times New Roman" w:cs="Times New Roman"/>
              </w:rPr>
            </w:pPr>
            <w:r w:rsidRPr="0006192F">
              <w:rPr>
                <w:rFonts w:ascii="Times New Roman" w:hAnsi="Times New Roman" w:cs="Times New Roman"/>
              </w:rPr>
              <w:t xml:space="preserve">                  555,18   </w:t>
            </w:r>
          </w:p>
        </w:tc>
        <w:tc>
          <w:tcPr>
            <w:tcW w:w="2687" w:type="dxa"/>
            <w:vAlign w:val="center"/>
          </w:tcPr>
          <w:p w14:paraId="60D2315E" w14:textId="77777777" w:rsidR="000B0C76" w:rsidRPr="0006192F" w:rsidRDefault="000B0C76" w:rsidP="000B0C76">
            <w:pPr>
              <w:spacing w:line="276" w:lineRule="auto"/>
              <w:jc w:val="center"/>
              <w:rPr>
                <w:rFonts w:ascii="Times New Roman" w:hAnsi="Times New Roman" w:cs="Times New Roman"/>
              </w:rPr>
            </w:pPr>
            <w:r w:rsidRPr="0006192F">
              <w:rPr>
                <w:rFonts w:ascii="Times New Roman" w:hAnsi="Times New Roman" w:cs="Times New Roman"/>
              </w:rPr>
              <w:t xml:space="preserve">               2 082,99   </w:t>
            </w:r>
          </w:p>
        </w:tc>
      </w:tr>
      <w:tr w:rsidR="000B0C76" w:rsidRPr="008E6A59" w14:paraId="44A6958E" w14:textId="77777777" w:rsidTr="000B0C76">
        <w:tc>
          <w:tcPr>
            <w:tcW w:w="1980" w:type="dxa"/>
          </w:tcPr>
          <w:p w14:paraId="37741305" w14:textId="77777777" w:rsidR="000B0C76" w:rsidRDefault="000B0C76" w:rsidP="000B0C76">
            <w:pPr>
              <w:spacing w:line="276" w:lineRule="auto"/>
              <w:jc w:val="center"/>
              <w:rPr>
                <w:rFonts w:ascii="Times New Roman" w:hAnsi="Times New Roman" w:cs="Times New Roman"/>
              </w:rPr>
            </w:pPr>
            <w:r>
              <w:rPr>
                <w:rFonts w:ascii="Times New Roman" w:hAnsi="Times New Roman" w:cs="Times New Roman"/>
              </w:rPr>
              <w:t>5</w:t>
            </w:r>
          </w:p>
        </w:tc>
        <w:tc>
          <w:tcPr>
            <w:tcW w:w="2410" w:type="dxa"/>
            <w:vAlign w:val="center"/>
          </w:tcPr>
          <w:p w14:paraId="7B0A7D35" w14:textId="77777777" w:rsidR="000B0C76" w:rsidRPr="0006192F" w:rsidRDefault="000B0C76" w:rsidP="000B0C76">
            <w:pPr>
              <w:spacing w:line="276" w:lineRule="auto"/>
              <w:jc w:val="center"/>
              <w:rPr>
                <w:rFonts w:ascii="Times New Roman" w:hAnsi="Times New Roman" w:cs="Times New Roman"/>
              </w:rPr>
            </w:pPr>
            <w:r w:rsidRPr="0006192F">
              <w:rPr>
                <w:rFonts w:ascii="Times New Roman" w:hAnsi="Times New Roman" w:cs="Times New Roman"/>
              </w:rPr>
              <w:t xml:space="preserve">                      4,81   </w:t>
            </w:r>
          </w:p>
        </w:tc>
        <w:tc>
          <w:tcPr>
            <w:tcW w:w="2268" w:type="dxa"/>
            <w:vAlign w:val="center"/>
          </w:tcPr>
          <w:p w14:paraId="5C7244A7" w14:textId="77777777" w:rsidR="000B0C76" w:rsidRPr="0006192F" w:rsidRDefault="000B0C76" w:rsidP="000B0C76">
            <w:pPr>
              <w:spacing w:line="276" w:lineRule="auto"/>
              <w:jc w:val="center"/>
              <w:rPr>
                <w:rFonts w:ascii="Times New Roman" w:hAnsi="Times New Roman" w:cs="Times New Roman"/>
              </w:rPr>
            </w:pPr>
            <w:r w:rsidRPr="0006192F">
              <w:rPr>
                <w:rFonts w:ascii="Times New Roman" w:hAnsi="Times New Roman" w:cs="Times New Roman"/>
              </w:rPr>
              <w:t xml:space="preserve">                  213,84   </w:t>
            </w:r>
          </w:p>
        </w:tc>
        <w:tc>
          <w:tcPr>
            <w:tcW w:w="2687" w:type="dxa"/>
            <w:vAlign w:val="center"/>
          </w:tcPr>
          <w:p w14:paraId="26C091D0" w14:textId="77777777" w:rsidR="000B0C76" w:rsidRPr="0006192F" w:rsidRDefault="000B0C76" w:rsidP="000B0C76">
            <w:pPr>
              <w:spacing w:line="276" w:lineRule="auto"/>
              <w:jc w:val="center"/>
              <w:rPr>
                <w:rFonts w:ascii="Times New Roman" w:hAnsi="Times New Roman" w:cs="Times New Roman"/>
              </w:rPr>
            </w:pPr>
            <w:r w:rsidRPr="0006192F">
              <w:rPr>
                <w:rFonts w:ascii="Times New Roman" w:hAnsi="Times New Roman" w:cs="Times New Roman"/>
              </w:rPr>
              <w:t xml:space="preserve">               1 973,23   </w:t>
            </w:r>
          </w:p>
        </w:tc>
      </w:tr>
      <w:tr w:rsidR="000B0C76" w:rsidRPr="008E6A59" w14:paraId="5DEA2361" w14:textId="77777777" w:rsidTr="000B0C76">
        <w:tc>
          <w:tcPr>
            <w:tcW w:w="1980" w:type="dxa"/>
          </w:tcPr>
          <w:p w14:paraId="45C43CE1" w14:textId="77777777" w:rsidR="000B0C76" w:rsidRDefault="000B0C76" w:rsidP="000B0C76">
            <w:pPr>
              <w:spacing w:line="276" w:lineRule="auto"/>
              <w:jc w:val="center"/>
              <w:rPr>
                <w:rFonts w:ascii="Times New Roman" w:hAnsi="Times New Roman" w:cs="Times New Roman"/>
              </w:rPr>
            </w:pPr>
            <w:r>
              <w:rPr>
                <w:rFonts w:ascii="Times New Roman" w:hAnsi="Times New Roman" w:cs="Times New Roman"/>
              </w:rPr>
              <w:t>6</w:t>
            </w:r>
          </w:p>
        </w:tc>
        <w:tc>
          <w:tcPr>
            <w:tcW w:w="2410" w:type="dxa"/>
            <w:vAlign w:val="center"/>
          </w:tcPr>
          <w:p w14:paraId="14606AD8" w14:textId="77777777" w:rsidR="000B0C76" w:rsidRPr="0006192F" w:rsidRDefault="000B0C76" w:rsidP="000B0C76">
            <w:pPr>
              <w:spacing w:line="276" w:lineRule="auto"/>
              <w:jc w:val="center"/>
              <w:rPr>
                <w:rFonts w:ascii="Times New Roman" w:hAnsi="Times New Roman" w:cs="Times New Roman"/>
              </w:rPr>
            </w:pPr>
            <w:r w:rsidRPr="0006192F">
              <w:rPr>
                <w:rFonts w:ascii="Times New Roman" w:hAnsi="Times New Roman" w:cs="Times New Roman"/>
              </w:rPr>
              <w:t xml:space="preserve">                      5,31   </w:t>
            </w:r>
          </w:p>
        </w:tc>
        <w:tc>
          <w:tcPr>
            <w:tcW w:w="2268" w:type="dxa"/>
            <w:vAlign w:val="center"/>
          </w:tcPr>
          <w:p w14:paraId="51EF918C" w14:textId="77777777" w:rsidR="000B0C76" w:rsidRPr="0006192F" w:rsidRDefault="000B0C76" w:rsidP="000B0C76">
            <w:pPr>
              <w:spacing w:line="276" w:lineRule="auto"/>
              <w:jc w:val="center"/>
              <w:rPr>
                <w:rFonts w:ascii="Times New Roman" w:hAnsi="Times New Roman" w:cs="Times New Roman"/>
              </w:rPr>
            </w:pPr>
            <w:r w:rsidRPr="0006192F">
              <w:rPr>
                <w:rFonts w:ascii="Times New Roman" w:hAnsi="Times New Roman" w:cs="Times New Roman"/>
              </w:rPr>
              <w:t xml:space="preserve">                    95,70   </w:t>
            </w:r>
          </w:p>
        </w:tc>
        <w:tc>
          <w:tcPr>
            <w:tcW w:w="2687" w:type="dxa"/>
            <w:vAlign w:val="center"/>
          </w:tcPr>
          <w:p w14:paraId="6EAF80B9" w14:textId="77777777" w:rsidR="000B0C76" w:rsidRPr="0006192F" w:rsidRDefault="000B0C76" w:rsidP="000B0C76">
            <w:pPr>
              <w:spacing w:line="276" w:lineRule="auto"/>
              <w:jc w:val="center"/>
              <w:rPr>
                <w:rFonts w:ascii="Times New Roman" w:hAnsi="Times New Roman" w:cs="Times New Roman"/>
              </w:rPr>
            </w:pPr>
            <w:r w:rsidRPr="0006192F">
              <w:rPr>
                <w:rFonts w:ascii="Times New Roman" w:hAnsi="Times New Roman" w:cs="Times New Roman"/>
              </w:rPr>
              <w:t xml:space="preserve">               1 104,99   </w:t>
            </w:r>
          </w:p>
        </w:tc>
      </w:tr>
    </w:tbl>
    <w:p w14:paraId="7A5C28E9" w14:textId="77777777" w:rsidR="000B0C76" w:rsidRPr="008E6A59" w:rsidRDefault="000B0C76" w:rsidP="000B0C76">
      <w:pPr>
        <w:spacing w:before="120"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Схема оценочного зонирования Воронежской области по сегменту 13 «Садоводство и огородничество, малоэтажная жилая застройка» группы «</w:t>
      </w:r>
      <w:r>
        <w:rPr>
          <w:rFonts w:ascii="Times New Roman" w:hAnsi="Times New Roman" w:cs="Times New Roman"/>
          <w:sz w:val="26"/>
          <w:szCs w:val="26"/>
        </w:rPr>
        <w:t>Малоэтажная жилая застройка</w:t>
      </w:r>
      <w:r w:rsidRPr="00F562A8">
        <w:rPr>
          <w:rFonts w:ascii="Times New Roman" w:hAnsi="Times New Roman" w:cs="Times New Roman"/>
          <w:sz w:val="26"/>
          <w:szCs w:val="26"/>
        </w:rPr>
        <w:t>» представлена в Приложении 2/2</w:t>
      </w:r>
      <w:r>
        <w:rPr>
          <w:rFonts w:ascii="Times New Roman" w:hAnsi="Times New Roman" w:cs="Times New Roman"/>
          <w:sz w:val="26"/>
          <w:szCs w:val="26"/>
        </w:rPr>
        <w:t>.</w:t>
      </w:r>
      <w:r w:rsidRPr="00F562A8">
        <w:rPr>
          <w:rFonts w:ascii="Times New Roman" w:hAnsi="Times New Roman" w:cs="Times New Roman"/>
          <w:sz w:val="26"/>
          <w:szCs w:val="26"/>
        </w:rPr>
        <w:t>2.</w:t>
      </w:r>
    </w:p>
    <w:p w14:paraId="3C9A6955" w14:textId="77777777" w:rsidR="000B0C76" w:rsidRPr="00F562A8" w:rsidRDefault="000B0C76" w:rsidP="000B0C76">
      <w:pPr>
        <w:spacing w:after="0" w:line="276" w:lineRule="auto"/>
        <w:ind w:firstLine="708"/>
        <w:jc w:val="both"/>
        <w:rPr>
          <w:rFonts w:ascii="Times New Roman" w:hAnsi="Times New Roman" w:cs="Times New Roman"/>
          <w:sz w:val="26"/>
          <w:szCs w:val="26"/>
        </w:rPr>
      </w:pPr>
      <w:r w:rsidRPr="00F562A8">
        <w:rPr>
          <w:rFonts w:ascii="Times New Roman" w:hAnsi="Times New Roman" w:cs="Times New Roman"/>
          <w:sz w:val="26"/>
          <w:szCs w:val="26"/>
        </w:rPr>
        <w:t>В таблице ниже приведены удельные показатели рыночной стоимости земельных участков сегмента 13 «Садоводство и огородничество, малоэтажная жилая застройка», группа «</w:t>
      </w:r>
      <w:r>
        <w:rPr>
          <w:rFonts w:ascii="Times New Roman" w:hAnsi="Times New Roman" w:cs="Times New Roman"/>
          <w:sz w:val="26"/>
          <w:szCs w:val="26"/>
        </w:rPr>
        <w:t>Садоводство и огородничество</w:t>
      </w:r>
      <w:r w:rsidRPr="00F562A8">
        <w:rPr>
          <w:rFonts w:ascii="Times New Roman" w:hAnsi="Times New Roman" w:cs="Times New Roman"/>
          <w:sz w:val="26"/>
          <w:szCs w:val="26"/>
        </w:rPr>
        <w:t>».</w:t>
      </w:r>
    </w:p>
    <w:p w14:paraId="0AC7B0EF" w14:textId="77777777" w:rsidR="000B0C76" w:rsidRPr="00F562A8" w:rsidRDefault="000B0C76" w:rsidP="000B0C76">
      <w:pPr>
        <w:spacing w:after="0" w:line="276" w:lineRule="auto"/>
        <w:ind w:firstLine="709"/>
        <w:jc w:val="right"/>
        <w:rPr>
          <w:rFonts w:ascii="Times New Roman" w:hAnsi="Times New Roman" w:cs="Times New Roman"/>
          <w:sz w:val="26"/>
          <w:szCs w:val="26"/>
        </w:rPr>
      </w:pPr>
      <w:r w:rsidRPr="00F562A8">
        <w:rPr>
          <w:rFonts w:ascii="Times New Roman" w:hAnsi="Times New Roman" w:cs="Times New Roman"/>
          <w:sz w:val="26"/>
          <w:szCs w:val="26"/>
        </w:rPr>
        <w:t>Таблица 3.2.</w:t>
      </w:r>
      <w:r>
        <w:rPr>
          <w:rFonts w:ascii="Times New Roman" w:hAnsi="Times New Roman" w:cs="Times New Roman"/>
          <w:sz w:val="26"/>
          <w:szCs w:val="26"/>
        </w:rPr>
        <w:t>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55"/>
        <w:gridCol w:w="2295"/>
        <w:gridCol w:w="1958"/>
        <w:gridCol w:w="1463"/>
      </w:tblGrid>
      <w:tr w:rsidR="000B0C76" w:rsidRPr="0006192F" w14:paraId="6CC5C6F8" w14:textId="77777777" w:rsidTr="00E6223E">
        <w:trPr>
          <w:trHeight w:val="300"/>
        </w:trPr>
        <w:tc>
          <w:tcPr>
            <w:tcW w:w="1980" w:type="dxa"/>
            <w:shd w:val="clear" w:color="auto" w:fill="auto"/>
            <w:noWrap/>
            <w:vAlign w:val="center"/>
            <w:hideMark/>
          </w:tcPr>
          <w:p w14:paraId="29DB6624" w14:textId="77777777" w:rsidR="000B0C76" w:rsidRPr="0006192F" w:rsidRDefault="000B0C76" w:rsidP="000B0C76">
            <w:pPr>
              <w:spacing w:after="0" w:line="240" w:lineRule="auto"/>
              <w:jc w:val="center"/>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Наименование района</w:t>
            </w:r>
          </w:p>
        </w:tc>
        <w:tc>
          <w:tcPr>
            <w:tcW w:w="1655" w:type="dxa"/>
            <w:shd w:val="clear" w:color="auto" w:fill="auto"/>
            <w:noWrap/>
            <w:vAlign w:val="center"/>
            <w:hideMark/>
          </w:tcPr>
          <w:p w14:paraId="60EA3816" w14:textId="77777777" w:rsidR="000B0C76" w:rsidRPr="0006192F" w:rsidRDefault="000B0C76" w:rsidP="000B0C76">
            <w:pPr>
              <w:spacing w:after="0" w:line="240" w:lineRule="auto"/>
              <w:jc w:val="center"/>
              <w:rPr>
                <w:rFonts w:ascii="Times New Roman" w:eastAsia="Times New Roman" w:hAnsi="Times New Roman" w:cs="Times New Roman"/>
                <w:lang w:eastAsia="ru-RU"/>
              </w:rPr>
            </w:pPr>
            <w:r w:rsidRPr="0006192F">
              <w:rPr>
                <w:rFonts w:ascii="Times New Roman" w:eastAsia="Times New Roman" w:hAnsi="Times New Roman" w:cs="Times New Roman"/>
                <w:color w:val="000000"/>
                <w:lang w:eastAsia="ru-RU"/>
              </w:rPr>
              <w:t>Минимальное значение УПРС, руб./кв.м</w:t>
            </w:r>
          </w:p>
        </w:tc>
        <w:tc>
          <w:tcPr>
            <w:tcW w:w="2295" w:type="dxa"/>
            <w:shd w:val="clear" w:color="auto" w:fill="auto"/>
            <w:noWrap/>
            <w:vAlign w:val="center"/>
            <w:hideMark/>
          </w:tcPr>
          <w:p w14:paraId="14768900" w14:textId="77777777" w:rsidR="000B0C76" w:rsidRPr="0006192F" w:rsidRDefault="000B0C76" w:rsidP="000B0C76">
            <w:pPr>
              <w:spacing w:after="0" w:line="240" w:lineRule="auto"/>
              <w:jc w:val="center"/>
              <w:rPr>
                <w:rFonts w:ascii="Times New Roman" w:eastAsia="Times New Roman" w:hAnsi="Times New Roman" w:cs="Times New Roman"/>
                <w:lang w:eastAsia="ru-RU"/>
              </w:rPr>
            </w:pPr>
            <w:r w:rsidRPr="0006192F">
              <w:rPr>
                <w:rFonts w:ascii="Times New Roman" w:eastAsia="Times New Roman" w:hAnsi="Times New Roman" w:cs="Times New Roman"/>
                <w:color w:val="000000"/>
                <w:lang w:eastAsia="ru-RU"/>
              </w:rPr>
              <w:t>Среднее значение УПРС, руб./кв.м</w:t>
            </w:r>
          </w:p>
        </w:tc>
        <w:tc>
          <w:tcPr>
            <w:tcW w:w="1958" w:type="dxa"/>
            <w:shd w:val="clear" w:color="auto" w:fill="auto"/>
            <w:noWrap/>
            <w:vAlign w:val="center"/>
            <w:hideMark/>
          </w:tcPr>
          <w:p w14:paraId="227272C9" w14:textId="77777777" w:rsidR="000B0C76" w:rsidRPr="0006192F" w:rsidRDefault="000B0C76" w:rsidP="000B0C76">
            <w:pPr>
              <w:spacing w:after="0" w:line="240" w:lineRule="auto"/>
              <w:jc w:val="center"/>
              <w:rPr>
                <w:rFonts w:ascii="Times New Roman" w:eastAsia="Times New Roman" w:hAnsi="Times New Roman" w:cs="Times New Roman"/>
                <w:lang w:eastAsia="ru-RU"/>
              </w:rPr>
            </w:pPr>
            <w:r w:rsidRPr="0006192F">
              <w:rPr>
                <w:rFonts w:ascii="Times New Roman" w:eastAsia="Times New Roman" w:hAnsi="Times New Roman" w:cs="Times New Roman"/>
                <w:color w:val="000000"/>
                <w:lang w:eastAsia="ru-RU"/>
              </w:rPr>
              <w:t>Максимальное значение УПРС, руб./кв.м</w:t>
            </w:r>
          </w:p>
        </w:tc>
        <w:tc>
          <w:tcPr>
            <w:tcW w:w="1463" w:type="dxa"/>
            <w:shd w:val="clear" w:color="auto" w:fill="auto"/>
            <w:noWrap/>
            <w:vAlign w:val="center"/>
            <w:hideMark/>
          </w:tcPr>
          <w:p w14:paraId="1BAA3BD3" w14:textId="77777777" w:rsidR="000B0C76" w:rsidRPr="0006192F" w:rsidRDefault="000B0C76" w:rsidP="000B0C76">
            <w:pPr>
              <w:spacing w:after="0" w:line="240" w:lineRule="auto"/>
              <w:jc w:val="center"/>
              <w:rPr>
                <w:rFonts w:ascii="Times New Roman" w:eastAsia="Times New Roman" w:hAnsi="Times New Roman" w:cs="Times New Roman"/>
                <w:lang w:eastAsia="ru-RU"/>
              </w:rPr>
            </w:pPr>
            <w:r w:rsidRPr="0006192F">
              <w:rPr>
                <w:rFonts w:ascii="Times New Roman" w:eastAsia="Times New Roman" w:hAnsi="Times New Roman" w:cs="Times New Roman"/>
                <w:color w:val="000000"/>
                <w:lang w:eastAsia="ru-RU"/>
              </w:rPr>
              <w:t>№ ценовой зоны</w:t>
            </w:r>
          </w:p>
        </w:tc>
      </w:tr>
      <w:tr w:rsidR="000B0C76" w:rsidRPr="0006192F" w14:paraId="1DD190B9" w14:textId="77777777" w:rsidTr="00E6223E">
        <w:trPr>
          <w:trHeight w:val="300"/>
        </w:trPr>
        <w:tc>
          <w:tcPr>
            <w:tcW w:w="1980" w:type="dxa"/>
            <w:shd w:val="clear" w:color="auto" w:fill="auto"/>
            <w:noWrap/>
            <w:vAlign w:val="bottom"/>
            <w:hideMark/>
          </w:tcPr>
          <w:p w14:paraId="7A6F1692"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ГО г.Воронеж</w:t>
            </w:r>
          </w:p>
        </w:tc>
        <w:tc>
          <w:tcPr>
            <w:tcW w:w="1655" w:type="dxa"/>
            <w:shd w:val="clear" w:color="auto" w:fill="auto"/>
            <w:noWrap/>
            <w:vAlign w:val="bottom"/>
            <w:hideMark/>
          </w:tcPr>
          <w:p w14:paraId="12C1D042"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201,46</w:t>
            </w:r>
          </w:p>
        </w:tc>
        <w:tc>
          <w:tcPr>
            <w:tcW w:w="2295" w:type="dxa"/>
            <w:shd w:val="clear" w:color="auto" w:fill="auto"/>
            <w:noWrap/>
            <w:vAlign w:val="bottom"/>
            <w:hideMark/>
          </w:tcPr>
          <w:p w14:paraId="305F3923"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526,4033</w:t>
            </w:r>
          </w:p>
        </w:tc>
        <w:tc>
          <w:tcPr>
            <w:tcW w:w="1958" w:type="dxa"/>
            <w:shd w:val="clear" w:color="auto" w:fill="auto"/>
            <w:noWrap/>
            <w:vAlign w:val="bottom"/>
            <w:hideMark/>
          </w:tcPr>
          <w:p w14:paraId="501FC04A"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1199</w:t>
            </w:r>
          </w:p>
        </w:tc>
        <w:tc>
          <w:tcPr>
            <w:tcW w:w="1463" w:type="dxa"/>
            <w:shd w:val="clear" w:color="auto" w:fill="auto"/>
            <w:noWrap/>
            <w:vAlign w:val="bottom"/>
            <w:hideMark/>
          </w:tcPr>
          <w:p w14:paraId="6D20C925"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1</w:t>
            </w:r>
          </w:p>
        </w:tc>
      </w:tr>
      <w:tr w:rsidR="000B0C76" w:rsidRPr="0006192F" w14:paraId="779DF883" w14:textId="77777777" w:rsidTr="00E6223E">
        <w:trPr>
          <w:trHeight w:val="300"/>
        </w:trPr>
        <w:tc>
          <w:tcPr>
            <w:tcW w:w="1980" w:type="dxa"/>
            <w:shd w:val="clear" w:color="auto" w:fill="auto"/>
            <w:noWrap/>
            <w:vAlign w:val="bottom"/>
            <w:hideMark/>
          </w:tcPr>
          <w:p w14:paraId="0BA9BB7D"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ГО Нововоронеж</w:t>
            </w:r>
          </w:p>
        </w:tc>
        <w:tc>
          <w:tcPr>
            <w:tcW w:w="1655" w:type="dxa"/>
            <w:shd w:val="clear" w:color="auto" w:fill="auto"/>
            <w:noWrap/>
            <w:vAlign w:val="bottom"/>
            <w:hideMark/>
          </w:tcPr>
          <w:p w14:paraId="098A5952"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151,25</w:t>
            </w:r>
          </w:p>
        </w:tc>
        <w:tc>
          <w:tcPr>
            <w:tcW w:w="2295" w:type="dxa"/>
            <w:shd w:val="clear" w:color="auto" w:fill="auto"/>
            <w:noWrap/>
            <w:vAlign w:val="bottom"/>
            <w:hideMark/>
          </w:tcPr>
          <w:p w14:paraId="1B914707"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231,6742</w:t>
            </w:r>
          </w:p>
        </w:tc>
        <w:tc>
          <w:tcPr>
            <w:tcW w:w="1958" w:type="dxa"/>
            <w:shd w:val="clear" w:color="auto" w:fill="auto"/>
            <w:noWrap/>
            <w:vAlign w:val="bottom"/>
            <w:hideMark/>
          </w:tcPr>
          <w:p w14:paraId="2F5E9FC6"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317,55</w:t>
            </w:r>
          </w:p>
        </w:tc>
        <w:tc>
          <w:tcPr>
            <w:tcW w:w="1463" w:type="dxa"/>
            <w:shd w:val="clear" w:color="auto" w:fill="auto"/>
            <w:noWrap/>
            <w:vAlign w:val="bottom"/>
            <w:hideMark/>
          </w:tcPr>
          <w:p w14:paraId="5C244CAA"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w:t>
            </w:r>
          </w:p>
        </w:tc>
      </w:tr>
      <w:tr w:rsidR="000B0C76" w:rsidRPr="0006192F" w14:paraId="0F1FE473" w14:textId="77777777" w:rsidTr="00E6223E">
        <w:trPr>
          <w:trHeight w:val="300"/>
        </w:trPr>
        <w:tc>
          <w:tcPr>
            <w:tcW w:w="1980" w:type="dxa"/>
            <w:shd w:val="clear" w:color="auto" w:fill="auto"/>
            <w:noWrap/>
            <w:vAlign w:val="bottom"/>
            <w:hideMark/>
          </w:tcPr>
          <w:p w14:paraId="0253A2DE"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Новоусманский</w:t>
            </w:r>
          </w:p>
        </w:tc>
        <w:tc>
          <w:tcPr>
            <w:tcW w:w="1655" w:type="dxa"/>
            <w:shd w:val="clear" w:color="auto" w:fill="auto"/>
            <w:noWrap/>
            <w:vAlign w:val="bottom"/>
            <w:hideMark/>
          </w:tcPr>
          <w:p w14:paraId="5D9BDA11"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150,22</w:t>
            </w:r>
          </w:p>
        </w:tc>
        <w:tc>
          <w:tcPr>
            <w:tcW w:w="2295" w:type="dxa"/>
            <w:shd w:val="clear" w:color="auto" w:fill="auto"/>
            <w:noWrap/>
            <w:vAlign w:val="bottom"/>
            <w:hideMark/>
          </w:tcPr>
          <w:p w14:paraId="3F099997"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222,6321</w:t>
            </w:r>
          </w:p>
        </w:tc>
        <w:tc>
          <w:tcPr>
            <w:tcW w:w="1958" w:type="dxa"/>
            <w:shd w:val="clear" w:color="auto" w:fill="auto"/>
            <w:noWrap/>
            <w:vAlign w:val="bottom"/>
            <w:hideMark/>
          </w:tcPr>
          <w:p w14:paraId="6E561769"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317,08</w:t>
            </w:r>
          </w:p>
        </w:tc>
        <w:tc>
          <w:tcPr>
            <w:tcW w:w="1463" w:type="dxa"/>
            <w:shd w:val="clear" w:color="auto" w:fill="auto"/>
            <w:noWrap/>
            <w:vAlign w:val="bottom"/>
            <w:hideMark/>
          </w:tcPr>
          <w:p w14:paraId="77CD0403"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w:t>
            </w:r>
          </w:p>
        </w:tc>
      </w:tr>
      <w:tr w:rsidR="000B0C76" w:rsidRPr="0006192F" w14:paraId="716CB5A5" w14:textId="77777777" w:rsidTr="00E6223E">
        <w:trPr>
          <w:trHeight w:val="300"/>
        </w:trPr>
        <w:tc>
          <w:tcPr>
            <w:tcW w:w="1980" w:type="dxa"/>
            <w:shd w:val="clear" w:color="auto" w:fill="auto"/>
            <w:noWrap/>
            <w:vAlign w:val="bottom"/>
            <w:hideMark/>
          </w:tcPr>
          <w:p w14:paraId="558BBEE8"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Рамонский</w:t>
            </w:r>
          </w:p>
        </w:tc>
        <w:tc>
          <w:tcPr>
            <w:tcW w:w="1655" w:type="dxa"/>
            <w:shd w:val="clear" w:color="auto" w:fill="auto"/>
            <w:noWrap/>
            <w:vAlign w:val="bottom"/>
            <w:hideMark/>
          </w:tcPr>
          <w:p w14:paraId="6D27ADC9"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150,29</w:t>
            </w:r>
          </w:p>
        </w:tc>
        <w:tc>
          <w:tcPr>
            <w:tcW w:w="2295" w:type="dxa"/>
            <w:shd w:val="clear" w:color="auto" w:fill="auto"/>
            <w:noWrap/>
            <w:vAlign w:val="bottom"/>
            <w:hideMark/>
          </w:tcPr>
          <w:p w14:paraId="2642DA41"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223,4473</w:t>
            </w:r>
          </w:p>
        </w:tc>
        <w:tc>
          <w:tcPr>
            <w:tcW w:w="1958" w:type="dxa"/>
            <w:shd w:val="clear" w:color="auto" w:fill="auto"/>
            <w:noWrap/>
            <w:vAlign w:val="bottom"/>
            <w:hideMark/>
          </w:tcPr>
          <w:p w14:paraId="6DBBA82F"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317,92</w:t>
            </w:r>
          </w:p>
        </w:tc>
        <w:tc>
          <w:tcPr>
            <w:tcW w:w="1463" w:type="dxa"/>
            <w:shd w:val="clear" w:color="auto" w:fill="auto"/>
            <w:noWrap/>
            <w:vAlign w:val="bottom"/>
            <w:hideMark/>
          </w:tcPr>
          <w:p w14:paraId="532FF23B"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w:t>
            </w:r>
          </w:p>
        </w:tc>
      </w:tr>
      <w:tr w:rsidR="000B0C76" w:rsidRPr="0006192F" w14:paraId="2C51B149" w14:textId="77777777" w:rsidTr="00E6223E">
        <w:trPr>
          <w:trHeight w:val="300"/>
        </w:trPr>
        <w:tc>
          <w:tcPr>
            <w:tcW w:w="1980" w:type="dxa"/>
            <w:shd w:val="clear" w:color="auto" w:fill="auto"/>
            <w:noWrap/>
            <w:vAlign w:val="bottom"/>
            <w:hideMark/>
          </w:tcPr>
          <w:p w14:paraId="72817093"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Семилукский</w:t>
            </w:r>
          </w:p>
        </w:tc>
        <w:tc>
          <w:tcPr>
            <w:tcW w:w="1655" w:type="dxa"/>
            <w:shd w:val="clear" w:color="auto" w:fill="auto"/>
            <w:noWrap/>
            <w:vAlign w:val="bottom"/>
            <w:hideMark/>
          </w:tcPr>
          <w:p w14:paraId="6AC8BE7F"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150,07</w:t>
            </w:r>
          </w:p>
        </w:tc>
        <w:tc>
          <w:tcPr>
            <w:tcW w:w="2295" w:type="dxa"/>
            <w:shd w:val="clear" w:color="auto" w:fill="auto"/>
            <w:noWrap/>
            <w:vAlign w:val="bottom"/>
            <w:hideMark/>
          </w:tcPr>
          <w:p w14:paraId="3240FB29"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219,7986</w:t>
            </w:r>
          </w:p>
        </w:tc>
        <w:tc>
          <w:tcPr>
            <w:tcW w:w="1958" w:type="dxa"/>
            <w:shd w:val="clear" w:color="auto" w:fill="auto"/>
            <w:noWrap/>
            <w:vAlign w:val="bottom"/>
            <w:hideMark/>
          </w:tcPr>
          <w:p w14:paraId="01F01277"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317,72</w:t>
            </w:r>
          </w:p>
        </w:tc>
        <w:tc>
          <w:tcPr>
            <w:tcW w:w="1463" w:type="dxa"/>
            <w:shd w:val="clear" w:color="auto" w:fill="auto"/>
            <w:noWrap/>
            <w:vAlign w:val="bottom"/>
            <w:hideMark/>
          </w:tcPr>
          <w:p w14:paraId="7201060A"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w:t>
            </w:r>
          </w:p>
        </w:tc>
      </w:tr>
      <w:tr w:rsidR="000B0C76" w:rsidRPr="0006192F" w14:paraId="2595A587" w14:textId="77777777" w:rsidTr="00E6223E">
        <w:trPr>
          <w:trHeight w:val="300"/>
        </w:trPr>
        <w:tc>
          <w:tcPr>
            <w:tcW w:w="1980" w:type="dxa"/>
            <w:shd w:val="clear" w:color="auto" w:fill="auto"/>
            <w:noWrap/>
            <w:vAlign w:val="bottom"/>
            <w:hideMark/>
          </w:tcPr>
          <w:p w14:paraId="550B0D78"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Подгоренский</w:t>
            </w:r>
          </w:p>
        </w:tc>
        <w:tc>
          <w:tcPr>
            <w:tcW w:w="1655" w:type="dxa"/>
            <w:shd w:val="clear" w:color="auto" w:fill="auto"/>
            <w:noWrap/>
            <w:vAlign w:val="bottom"/>
            <w:hideMark/>
          </w:tcPr>
          <w:p w14:paraId="2410872B"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69,11</w:t>
            </w:r>
          </w:p>
        </w:tc>
        <w:tc>
          <w:tcPr>
            <w:tcW w:w="2295" w:type="dxa"/>
            <w:shd w:val="clear" w:color="auto" w:fill="auto"/>
            <w:noWrap/>
            <w:vAlign w:val="bottom"/>
            <w:hideMark/>
          </w:tcPr>
          <w:p w14:paraId="291E368B"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69,11</w:t>
            </w:r>
          </w:p>
        </w:tc>
        <w:tc>
          <w:tcPr>
            <w:tcW w:w="1958" w:type="dxa"/>
            <w:shd w:val="clear" w:color="auto" w:fill="auto"/>
            <w:noWrap/>
            <w:vAlign w:val="bottom"/>
            <w:hideMark/>
          </w:tcPr>
          <w:p w14:paraId="071F35A3"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69,11</w:t>
            </w:r>
          </w:p>
        </w:tc>
        <w:tc>
          <w:tcPr>
            <w:tcW w:w="1463" w:type="dxa"/>
            <w:shd w:val="clear" w:color="auto" w:fill="auto"/>
            <w:noWrap/>
            <w:vAlign w:val="bottom"/>
            <w:hideMark/>
          </w:tcPr>
          <w:p w14:paraId="53595819"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5D5DA387" w14:textId="77777777" w:rsidTr="00E6223E">
        <w:trPr>
          <w:trHeight w:val="300"/>
        </w:trPr>
        <w:tc>
          <w:tcPr>
            <w:tcW w:w="1980" w:type="dxa"/>
            <w:shd w:val="clear" w:color="auto" w:fill="auto"/>
            <w:noWrap/>
            <w:vAlign w:val="bottom"/>
            <w:hideMark/>
          </w:tcPr>
          <w:p w14:paraId="78FBFBD7"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Аннинский</w:t>
            </w:r>
          </w:p>
        </w:tc>
        <w:tc>
          <w:tcPr>
            <w:tcW w:w="1655" w:type="dxa"/>
            <w:shd w:val="clear" w:color="auto" w:fill="auto"/>
            <w:noWrap/>
            <w:vAlign w:val="bottom"/>
            <w:hideMark/>
          </w:tcPr>
          <w:p w14:paraId="75F9521A"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53,86</w:t>
            </w:r>
          </w:p>
        </w:tc>
        <w:tc>
          <w:tcPr>
            <w:tcW w:w="2295" w:type="dxa"/>
            <w:shd w:val="clear" w:color="auto" w:fill="auto"/>
            <w:noWrap/>
            <w:vAlign w:val="bottom"/>
            <w:hideMark/>
          </w:tcPr>
          <w:p w14:paraId="78CF97F8"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65,71667</w:t>
            </w:r>
          </w:p>
        </w:tc>
        <w:tc>
          <w:tcPr>
            <w:tcW w:w="1958" w:type="dxa"/>
            <w:shd w:val="clear" w:color="auto" w:fill="auto"/>
            <w:noWrap/>
            <w:vAlign w:val="bottom"/>
            <w:hideMark/>
          </w:tcPr>
          <w:p w14:paraId="4F05EDEB"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75,34</w:t>
            </w:r>
          </w:p>
        </w:tc>
        <w:tc>
          <w:tcPr>
            <w:tcW w:w="1463" w:type="dxa"/>
            <w:shd w:val="clear" w:color="auto" w:fill="auto"/>
            <w:noWrap/>
            <w:vAlign w:val="bottom"/>
            <w:hideMark/>
          </w:tcPr>
          <w:p w14:paraId="31852EB5"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48D63F1D" w14:textId="77777777" w:rsidTr="00E6223E">
        <w:trPr>
          <w:trHeight w:val="300"/>
        </w:trPr>
        <w:tc>
          <w:tcPr>
            <w:tcW w:w="1980" w:type="dxa"/>
            <w:shd w:val="clear" w:color="auto" w:fill="auto"/>
            <w:noWrap/>
            <w:vAlign w:val="bottom"/>
            <w:hideMark/>
          </w:tcPr>
          <w:p w14:paraId="6C5760B6"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Верхнехавский</w:t>
            </w:r>
          </w:p>
        </w:tc>
        <w:tc>
          <w:tcPr>
            <w:tcW w:w="1655" w:type="dxa"/>
            <w:shd w:val="clear" w:color="auto" w:fill="auto"/>
            <w:noWrap/>
            <w:vAlign w:val="bottom"/>
            <w:hideMark/>
          </w:tcPr>
          <w:p w14:paraId="6F260AD1"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21,8</w:t>
            </w:r>
          </w:p>
        </w:tc>
        <w:tc>
          <w:tcPr>
            <w:tcW w:w="2295" w:type="dxa"/>
            <w:shd w:val="clear" w:color="auto" w:fill="auto"/>
            <w:noWrap/>
            <w:vAlign w:val="bottom"/>
            <w:hideMark/>
          </w:tcPr>
          <w:p w14:paraId="2179F8ED"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55,20406</w:t>
            </w:r>
          </w:p>
        </w:tc>
        <w:tc>
          <w:tcPr>
            <w:tcW w:w="1958" w:type="dxa"/>
            <w:shd w:val="clear" w:color="auto" w:fill="auto"/>
            <w:noWrap/>
            <w:vAlign w:val="bottom"/>
            <w:hideMark/>
          </w:tcPr>
          <w:p w14:paraId="5F4F5F75"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86,11</w:t>
            </w:r>
          </w:p>
        </w:tc>
        <w:tc>
          <w:tcPr>
            <w:tcW w:w="1463" w:type="dxa"/>
            <w:shd w:val="clear" w:color="auto" w:fill="auto"/>
            <w:noWrap/>
            <w:vAlign w:val="bottom"/>
            <w:hideMark/>
          </w:tcPr>
          <w:p w14:paraId="030DF0A9"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60FB6B4B" w14:textId="77777777" w:rsidTr="00E6223E">
        <w:trPr>
          <w:trHeight w:val="300"/>
        </w:trPr>
        <w:tc>
          <w:tcPr>
            <w:tcW w:w="1980" w:type="dxa"/>
            <w:shd w:val="clear" w:color="auto" w:fill="auto"/>
            <w:noWrap/>
            <w:vAlign w:val="bottom"/>
            <w:hideMark/>
          </w:tcPr>
          <w:p w14:paraId="5E400C75"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Лискинский</w:t>
            </w:r>
          </w:p>
        </w:tc>
        <w:tc>
          <w:tcPr>
            <w:tcW w:w="1655" w:type="dxa"/>
            <w:shd w:val="clear" w:color="auto" w:fill="auto"/>
            <w:noWrap/>
            <w:vAlign w:val="bottom"/>
            <w:hideMark/>
          </w:tcPr>
          <w:p w14:paraId="5A2ADBF0"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21,04</w:t>
            </w:r>
          </w:p>
        </w:tc>
        <w:tc>
          <w:tcPr>
            <w:tcW w:w="2295" w:type="dxa"/>
            <w:shd w:val="clear" w:color="auto" w:fill="auto"/>
            <w:noWrap/>
            <w:vAlign w:val="bottom"/>
            <w:hideMark/>
          </w:tcPr>
          <w:p w14:paraId="3944748F"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53,44564</w:t>
            </w:r>
          </w:p>
        </w:tc>
        <w:tc>
          <w:tcPr>
            <w:tcW w:w="1958" w:type="dxa"/>
            <w:shd w:val="clear" w:color="auto" w:fill="auto"/>
            <w:noWrap/>
            <w:vAlign w:val="bottom"/>
            <w:hideMark/>
          </w:tcPr>
          <w:p w14:paraId="12385AC8"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85,6</w:t>
            </w:r>
          </w:p>
        </w:tc>
        <w:tc>
          <w:tcPr>
            <w:tcW w:w="1463" w:type="dxa"/>
            <w:shd w:val="clear" w:color="auto" w:fill="auto"/>
            <w:noWrap/>
            <w:vAlign w:val="bottom"/>
            <w:hideMark/>
          </w:tcPr>
          <w:p w14:paraId="16FF736A"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53533A5B" w14:textId="77777777" w:rsidTr="00E6223E">
        <w:trPr>
          <w:trHeight w:val="300"/>
        </w:trPr>
        <w:tc>
          <w:tcPr>
            <w:tcW w:w="1980" w:type="dxa"/>
            <w:shd w:val="clear" w:color="auto" w:fill="auto"/>
            <w:noWrap/>
            <w:vAlign w:val="bottom"/>
            <w:hideMark/>
          </w:tcPr>
          <w:p w14:paraId="28500885"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Новохоперский</w:t>
            </w:r>
          </w:p>
        </w:tc>
        <w:tc>
          <w:tcPr>
            <w:tcW w:w="1655" w:type="dxa"/>
            <w:shd w:val="clear" w:color="auto" w:fill="auto"/>
            <w:noWrap/>
            <w:vAlign w:val="bottom"/>
            <w:hideMark/>
          </w:tcPr>
          <w:p w14:paraId="21639BDA"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34,66</w:t>
            </w:r>
          </w:p>
        </w:tc>
        <w:tc>
          <w:tcPr>
            <w:tcW w:w="2295" w:type="dxa"/>
            <w:shd w:val="clear" w:color="auto" w:fill="auto"/>
            <w:noWrap/>
            <w:vAlign w:val="bottom"/>
            <w:hideMark/>
          </w:tcPr>
          <w:p w14:paraId="055EC341"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52,98</w:t>
            </w:r>
          </w:p>
        </w:tc>
        <w:tc>
          <w:tcPr>
            <w:tcW w:w="1958" w:type="dxa"/>
            <w:shd w:val="clear" w:color="auto" w:fill="auto"/>
            <w:noWrap/>
            <w:vAlign w:val="bottom"/>
            <w:hideMark/>
          </w:tcPr>
          <w:p w14:paraId="1F754BEA"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85,95</w:t>
            </w:r>
          </w:p>
        </w:tc>
        <w:tc>
          <w:tcPr>
            <w:tcW w:w="1463" w:type="dxa"/>
            <w:shd w:val="clear" w:color="auto" w:fill="auto"/>
            <w:noWrap/>
            <w:vAlign w:val="bottom"/>
            <w:hideMark/>
          </w:tcPr>
          <w:p w14:paraId="71EE056E"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5F214A94" w14:textId="77777777" w:rsidTr="00E6223E">
        <w:trPr>
          <w:trHeight w:val="300"/>
        </w:trPr>
        <w:tc>
          <w:tcPr>
            <w:tcW w:w="1980" w:type="dxa"/>
            <w:shd w:val="clear" w:color="auto" w:fill="auto"/>
            <w:noWrap/>
            <w:vAlign w:val="bottom"/>
            <w:hideMark/>
          </w:tcPr>
          <w:p w14:paraId="3AF29664"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Павловский</w:t>
            </w:r>
          </w:p>
        </w:tc>
        <w:tc>
          <w:tcPr>
            <w:tcW w:w="1655" w:type="dxa"/>
            <w:shd w:val="clear" w:color="auto" w:fill="auto"/>
            <w:noWrap/>
            <w:vAlign w:val="bottom"/>
            <w:hideMark/>
          </w:tcPr>
          <w:p w14:paraId="0780524C"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20,07</w:t>
            </w:r>
          </w:p>
        </w:tc>
        <w:tc>
          <w:tcPr>
            <w:tcW w:w="2295" w:type="dxa"/>
            <w:shd w:val="clear" w:color="auto" w:fill="auto"/>
            <w:noWrap/>
            <w:vAlign w:val="bottom"/>
            <w:hideMark/>
          </w:tcPr>
          <w:p w14:paraId="60E1EA86"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51,39868</w:t>
            </w:r>
          </w:p>
        </w:tc>
        <w:tc>
          <w:tcPr>
            <w:tcW w:w="1958" w:type="dxa"/>
            <w:shd w:val="clear" w:color="auto" w:fill="auto"/>
            <w:noWrap/>
            <w:vAlign w:val="bottom"/>
            <w:hideMark/>
          </w:tcPr>
          <w:p w14:paraId="55EF0A5E"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84,88</w:t>
            </w:r>
          </w:p>
        </w:tc>
        <w:tc>
          <w:tcPr>
            <w:tcW w:w="1463" w:type="dxa"/>
            <w:shd w:val="clear" w:color="auto" w:fill="auto"/>
            <w:noWrap/>
            <w:vAlign w:val="bottom"/>
            <w:hideMark/>
          </w:tcPr>
          <w:p w14:paraId="4E6DA35F"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22AEF052" w14:textId="77777777" w:rsidTr="00E6223E">
        <w:trPr>
          <w:trHeight w:val="300"/>
        </w:trPr>
        <w:tc>
          <w:tcPr>
            <w:tcW w:w="1980" w:type="dxa"/>
            <w:shd w:val="clear" w:color="auto" w:fill="auto"/>
            <w:noWrap/>
            <w:vAlign w:val="bottom"/>
            <w:hideMark/>
          </w:tcPr>
          <w:p w14:paraId="1B36EC28"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Хохольский</w:t>
            </w:r>
          </w:p>
        </w:tc>
        <w:tc>
          <w:tcPr>
            <w:tcW w:w="1655" w:type="dxa"/>
            <w:shd w:val="clear" w:color="auto" w:fill="auto"/>
            <w:noWrap/>
            <w:vAlign w:val="bottom"/>
            <w:hideMark/>
          </w:tcPr>
          <w:p w14:paraId="250E6C96"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20,2</w:t>
            </w:r>
          </w:p>
        </w:tc>
        <w:tc>
          <w:tcPr>
            <w:tcW w:w="2295" w:type="dxa"/>
            <w:shd w:val="clear" w:color="auto" w:fill="auto"/>
            <w:noWrap/>
            <w:vAlign w:val="bottom"/>
            <w:hideMark/>
          </w:tcPr>
          <w:p w14:paraId="356876DB"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51,35339</w:t>
            </w:r>
          </w:p>
        </w:tc>
        <w:tc>
          <w:tcPr>
            <w:tcW w:w="1958" w:type="dxa"/>
            <w:shd w:val="clear" w:color="auto" w:fill="auto"/>
            <w:noWrap/>
            <w:vAlign w:val="bottom"/>
            <w:hideMark/>
          </w:tcPr>
          <w:p w14:paraId="03A48A87"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86,25</w:t>
            </w:r>
          </w:p>
        </w:tc>
        <w:tc>
          <w:tcPr>
            <w:tcW w:w="1463" w:type="dxa"/>
            <w:shd w:val="clear" w:color="auto" w:fill="auto"/>
            <w:noWrap/>
            <w:vAlign w:val="bottom"/>
            <w:hideMark/>
          </w:tcPr>
          <w:p w14:paraId="5A62FDC9"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185AB48B" w14:textId="77777777" w:rsidTr="00E6223E">
        <w:trPr>
          <w:trHeight w:val="300"/>
        </w:trPr>
        <w:tc>
          <w:tcPr>
            <w:tcW w:w="1980" w:type="dxa"/>
            <w:shd w:val="clear" w:color="auto" w:fill="auto"/>
            <w:noWrap/>
            <w:vAlign w:val="bottom"/>
            <w:hideMark/>
          </w:tcPr>
          <w:p w14:paraId="2C464DA3"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Бутурлиновский</w:t>
            </w:r>
          </w:p>
        </w:tc>
        <w:tc>
          <w:tcPr>
            <w:tcW w:w="1655" w:type="dxa"/>
            <w:shd w:val="clear" w:color="auto" w:fill="auto"/>
            <w:noWrap/>
            <w:vAlign w:val="bottom"/>
            <w:hideMark/>
          </w:tcPr>
          <w:p w14:paraId="201D2382"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25,25</w:t>
            </w:r>
          </w:p>
        </w:tc>
        <w:tc>
          <w:tcPr>
            <w:tcW w:w="2295" w:type="dxa"/>
            <w:shd w:val="clear" w:color="auto" w:fill="auto"/>
            <w:noWrap/>
            <w:vAlign w:val="bottom"/>
            <w:hideMark/>
          </w:tcPr>
          <w:p w14:paraId="18E7FC09"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48,39875</w:t>
            </w:r>
          </w:p>
        </w:tc>
        <w:tc>
          <w:tcPr>
            <w:tcW w:w="1958" w:type="dxa"/>
            <w:shd w:val="clear" w:color="auto" w:fill="auto"/>
            <w:noWrap/>
            <w:vAlign w:val="bottom"/>
            <w:hideMark/>
          </w:tcPr>
          <w:p w14:paraId="16BC9587"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84,83</w:t>
            </w:r>
          </w:p>
        </w:tc>
        <w:tc>
          <w:tcPr>
            <w:tcW w:w="1463" w:type="dxa"/>
            <w:shd w:val="clear" w:color="auto" w:fill="auto"/>
            <w:noWrap/>
            <w:vAlign w:val="bottom"/>
            <w:hideMark/>
          </w:tcPr>
          <w:p w14:paraId="5BC10E9E"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7F54633D" w14:textId="77777777" w:rsidTr="00E6223E">
        <w:trPr>
          <w:trHeight w:val="300"/>
        </w:trPr>
        <w:tc>
          <w:tcPr>
            <w:tcW w:w="1980" w:type="dxa"/>
            <w:shd w:val="clear" w:color="auto" w:fill="auto"/>
            <w:noWrap/>
            <w:vAlign w:val="bottom"/>
            <w:hideMark/>
          </w:tcPr>
          <w:p w14:paraId="6ACCF69C"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Каширский</w:t>
            </w:r>
          </w:p>
        </w:tc>
        <w:tc>
          <w:tcPr>
            <w:tcW w:w="1655" w:type="dxa"/>
            <w:shd w:val="clear" w:color="auto" w:fill="auto"/>
            <w:noWrap/>
            <w:vAlign w:val="bottom"/>
            <w:hideMark/>
          </w:tcPr>
          <w:p w14:paraId="541DAEC4"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20,19</w:t>
            </w:r>
          </w:p>
        </w:tc>
        <w:tc>
          <w:tcPr>
            <w:tcW w:w="2295" w:type="dxa"/>
            <w:shd w:val="clear" w:color="auto" w:fill="auto"/>
            <w:noWrap/>
            <w:vAlign w:val="bottom"/>
            <w:hideMark/>
          </w:tcPr>
          <w:p w14:paraId="11C664DB"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47,48892</w:t>
            </w:r>
          </w:p>
        </w:tc>
        <w:tc>
          <w:tcPr>
            <w:tcW w:w="1958" w:type="dxa"/>
            <w:shd w:val="clear" w:color="auto" w:fill="auto"/>
            <w:noWrap/>
            <w:vAlign w:val="bottom"/>
            <w:hideMark/>
          </w:tcPr>
          <w:p w14:paraId="0317DC43"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86,25</w:t>
            </w:r>
          </w:p>
        </w:tc>
        <w:tc>
          <w:tcPr>
            <w:tcW w:w="1463" w:type="dxa"/>
            <w:shd w:val="clear" w:color="auto" w:fill="auto"/>
            <w:noWrap/>
            <w:vAlign w:val="bottom"/>
            <w:hideMark/>
          </w:tcPr>
          <w:p w14:paraId="45699A61"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01CC3F48" w14:textId="77777777" w:rsidTr="00E6223E">
        <w:trPr>
          <w:trHeight w:val="300"/>
        </w:trPr>
        <w:tc>
          <w:tcPr>
            <w:tcW w:w="1980" w:type="dxa"/>
            <w:shd w:val="clear" w:color="auto" w:fill="auto"/>
            <w:noWrap/>
            <w:vAlign w:val="bottom"/>
            <w:hideMark/>
          </w:tcPr>
          <w:p w14:paraId="6370107F"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Каменский</w:t>
            </w:r>
          </w:p>
        </w:tc>
        <w:tc>
          <w:tcPr>
            <w:tcW w:w="1655" w:type="dxa"/>
            <w:shd w:val="clear" w:color="auto" w:fill="auto"/>
            <w:noWrap/>
            <w:vAlign w:val="bottom"/>
            <w:hideMark/>
          </w:tcPr>
          <w:p w14:paraId="5D35C35C"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23,15</w:t>
            </w:r>
          </w:p>
        </w:tc>
        <w:tc>
          <w:tcPr>
            <w:tcW w:w="2295" w:type="dxa"/>
            <w:shd w:val="clear" w:color="auto" w:fill="auto"/>
            <w:noWrap/>
            <w:vAlign w:val="bottom"/>
            <w:hideMark/>
          </w:tcPr>
          <w:p w14:paraId="7294777C"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45,46</w:t>
            </w:r>
          </w:p>
        </w:tc>
        <w:tc>
          <w:tcPr>
            <w:tcW w:w="1958" w:type="dxa"/>
            <w:shd w:val="clear" w:color="auto" w:fill="auto"/>
            <w:noWrap/>
            <w:vAlign w:val="bottom"/>
            <w:hideMark/>
          </w:tcPr>
          <w:p w14:paraId="44B8D2CC"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62,73</w:t>
            </w:r>
          </w:p>
        </w:tc>
        <w:tc>
          <w:tcPr>
            <w:tcW w:w="1463" w:type="dxa"/>
            <w:shd w:val="clear" w:color="auto" w:fill="auto"/>
            <w:noWrap/>
            <w:vAlign w:val="bottom"/>
            <w:hideMark/>
          </w:tcPr>
          <w:p w14:paraId="017BB49B"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488EE3A7" w14:textId="77777777" w:rsidTr="00E6223E">
        <w:trPr>
          <w:trHeight w:val="300"/>
        </w:trPr>
        <w:tc>
          <w:tcPr>
            <w:tcW w:w="1980" w:type="dxa"/>
            <w:shd w:val="clear" w:color="auto" w:fill="auto"/>
            <w:noWrap/>
            <w:vAlign w:val="bottom"/>
            <w:hideMark/>
          </w:tcPr>
          <w:p w14:paraId="13A45DA4"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Россошанский</w:t>
            </w:r>
          </w:p>
        </w:tc>
        <w:tc>
          <w:tcPr>
            <w:tcW w:w="1655" w:type="dxa"/>
            <w:shd w:val="clear" w:color="auto" w:fill="auto"/>
            <w:noWrap/>
            <w:vAlign w:val="bottom"/>
            <w:hideMark/>
          </w:tcPr>
          <w:p w14:paraId="23A90933"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20,2</w:t>
            </w:r>
          </w:p>
        </w:tc>
        <w:tc>
          <w:tcPr>
            <w:tcW w:w="2295" w:type="dxa"/>
            <w:shd w:val="clear" w:color="auto" w:fill="auto"/>
            <w:noWrap/>
            <w:vAlign w:val="bottom"/>
            <w:hideMark/>
          </w:tcPr>
          <w:p w14:paraId="26D29F97"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44,9</w:t>
            </w:r>
          </w:p>
        </w:tc>
        <w:tc>
          <w:tcPr>
            <w:tcW w:w="1958" w:type="dxa"/>
            <w:shd w:val="clear" w:color="auto" w:fill="auto"/>
            <w:noWrap/>
            <w:vAlign w:val="bottom"/>
            <w:hideMark/>
          </w:tcPr>
          <w:p w14:paraId="79412C92"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84,5</w:t>
            </w:r>
          </w:p>
        </w:tc>
        <w:tc>
          <w:tcPr>
            <w:tcW w:w="1463" w:type="dxa"/>
            <w:shd w:val="clear" w:color="auto" w:fill="auto"/>
            <w:noWrap/>
            <w:vAlign w:val="bottom"/>
            <w:hideMark/>
          </w:tcPr>
          <w:p w14:paraId="5457D4E3"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3BA204A5" w14:textId="77777777" w:rsidTr="00E6223E">
        <w:trPr>
          <w:trHeight w:val="300"/>
        </w:trPr>
        <w:tc>
          <w:tcPr>
            <w:tcW w:w="1980" w:type="dxa"/>
            <w:shd w:val="clear" w:color="auto" w:fill="auto"/>
            <w:noWrap/>
            <w:vAlign w:val="bottom"/>
            <w:hideMark/>
          </w:tcPr>
          <w:p w14:paraId="2CC059AE"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Калачеевский</w:t>
            </w:r>
          </w:p>
        </w:tc>
        <w:tc>
          <w:tcPr>
            <w:tcW w:w="1655" w:type="dxa"/>
            <w:shd w:val="clear" w:color="auto" w:fill="auto"/>
            <w:noWrap/>
            <w:vAlign w:val="bottom"/>
            <w:hideMark/>
          </w:tcPr>
          <w:p w14:paraId="6A3D4425"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21,15</w:t>
            </w:r>
          </w:p>
        </w:tc>
        <w:tc>
          <w:tcPr>
            <w:tcW w:w="2295" w:type="dxa"/>
            <w:shd w:val="clear" w:color="auto" w:fill="auto"/>
            <w:noWrap/>
            <w:vAlign w:val="bottom"/>
            <w:hideMark/>
          </w:tcPr>
          <w:p w14:paraId="4B6C3AC6"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44,62611</w:t>
            </w:r>
          </w:p>
        </w:tc>
        <w:tc>
          <w:tcPr>
            <w:tcW w:w="1958" w:type="dxa"/>
            <w:shd w:val="clear" w:color="auto" w:fill="auto"/>
            <w:noWrap/>
            <w:vAlign w:val="bottom"/>
            <w:hideMark/>
          </w:tcPr>
          <w:p w14:paraId="12179706"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75,95</w:t>
            </w:r>
          </w:p>
        </w:tc>
        <w:tc>
          <w:tcPr>
            <w:tcW w:w="1463" w:type="dxa"/>
            <w:shd w:val="clear" w:color="auto" w:fill="auto"/>
            <w:noWrap/>
            <w:vAlign w:val="bottom"/>
            <w:hideMark/>
          </w:tcPr>
          <w:p w14:paraId="2E097388"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61CB7557" w14:textId="77777777" w:rsidTr="00E6223E">
        <w:trPr>
          <w:trHeight w:val="300"/>
        </w:trPr>
        <w:tc>
          <w:tcPr>
            <w:tcW w:w="1980" w:type="dxa"/>
            <w:shd w:val="clear" w:color="auto" w:fill="auto"/>
            <w:noWrap/>
            <w:vAlign w:val="bottom"/>
            <w:hideMark/>
          </w:tcPr>
          <w:p w14:paraId="5198F86B"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Борисоглебский</w:t>
            </w:r>
          </w:p>
        </w:tc>
        <w:tc>
          <w:tcPr>
            <w:tcW w:w="1655" w:type="dxa"/>
            <w:shd w:val="clear" w:color="auto" w:fill="auto"/>
            <w:noWrap/>
            <w:vAlign w:val="bottom"/>
            <w:hideMark/>
          </w:tcPr>
          <w:p w14:paraId="747F0FD6"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20,16</w:t>
            </w:r>
          </w:p>
        </w:tc>
        <w:tc>
          <w:tcPr>
            <w:tcW w:w="2295" w:type="dxa"/>
            <w:shd w:val="clear" w:color="auto" w:fill="auto"/>
            <w:noWrap/>
            <w:vAlign w:val="bottom"/>
            <w:hideMark/>
          </w:tcPr>
          <w:p w14:paraId="498F8552"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44,0596</w:t>
            </w:r>
          </w:p>
        </w:tc>
        <w:tc>
          <w:tcPr>
            <w:tcW w:w="1958" w:type="dxa"/>
            <w:shd w:val="clear" w:color="auto" w:fill="auto"/>
            <w:noWrap/>
            <w:vAlign w:val="bottom"/>
            <w:hideMark/>
          </w:tcPr>
          <w:p w14:paraId="21FA68F1"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83,75</w:t>
            </w:r>
          </w:p>
        </w:tc>
        <w:tc>
          <w:tcPr>
            <w:tcW w:w="1463" w:type="dxa"/>
            <w:shd w:val="clear" w:color="auto" w:fill="auto"/>
            <w:noWrap/>
            <w:vAlign w:val="bottom"/>
            <w:hideMark/>
          </w:tcPr>
          <w:p w14:paraId="1E98AA56"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5152ED37" w14:textId="77777777" w:rsidTr="00E6223E">
        <w:trPr>
          <w:trHeight w:val="300"/>
        </w:trPr>
        <w:tc>
          <w:tcPr>
            <w:tcW w:w="1980" w:type="dxa"/>
            <w:shd w:val="clear" w:color="auto" w:fill="auto"/>
            <w:noWrap/>
            <w:vAlign w:val="bottom"/>
            <w:hideMark/>
          </w:tcPr>
          <w:p w14:paraId="55616B1D"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Панинский</w:t>
            </w:r>
          </w:p>
        </w:tc>
        <w:tc>
          <w:tcPr>
            <w:tcW w:w="1655" w:type="dxa"/>
            <w:shd w:val="clear" w:color="auto" w:fill="auto"/>
            <w:noWrap/>
            <w:vAlign w:val="bottom"/>
            <w:hideMark/>
          </w:tcPr>
          <w:p w14:paraId="15570F94"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20,2</w:t>
            </w:r>
          </w:p>
        </w:tc>
        <w:tc>
          <w:tcPr>
            <w:tcW w:w="2295" w:type="dxa"/>
            <w:shd w:val="clear" w:color="auto" w:fill="auto"/>
            <w:noWrap/>
            <w:vAlign w:val="bottom"/>
            <w:hideMark/>
          </w:tcPr>
          <w:p w14:paraId="47FD64A7"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43,91875</w:t>
            </w:r>
          </w:p>
        </w:tc>
        <w:tc>
          <w:tcPr>
            <w:tcW w:w="1958" w:type="dxa"/>
            <w:shd w:val="clear" w:color="auto" w:fill="auto"/>
            <w:noWrap/>
            <w:vAlign w:val="bottom"/>
            <w:hideMark/>
          </w:tcPr>
          <w:p w14:paraId="5F0B23DF"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80,66</w:t>
            </w:r>
          </w:p>
        </w:tc>
        <w:tc>
          <w:tcPr>
            <w:tcW w:w="1463" w:type="dxa"/>
            <w:shd w:val="clear" w:color="auto" w:fill="auto"/>
            <w:noWrap/>
            <w:vAlign w:val="bottom"/>
            <w:hideMark/>
          </w:tcPr>
          <w:p w14:paraId="496C0D9C"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789CCD06" w14:textId="77777777" w:rsidTr="00E6223E">
        <w:trPr>
          <w:trHeight w:val="300"/>
        </w:trPr>
        <w:tc>
          <w:tcPr>
            <w:tcW w:w="1980" w:type="dxa"/>
            <w:shd w:val="clear" w:color="auto" w:fill="auto"/>
            <w:noWrap/>
            <w:vAlign w:val="bottom"/>
            <w:hideMark/>
          </w:tcPr>
          <w:p w14:paraId="7563451F"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Таловский</w:t>
            </w:r>
          </w:p>
        </w:tc>
        <w:tc>
          <w:tcPr>
            <w:tcW w:w="1655" w:type="dxa"/>
            <w:shd w:val="clear" w:color="auto" w:fill="auto"/>
            <w:noWrap/>
            <w:vAlign w:val="bottom"/>
            <w:hideMark/>
          </w:tcPr>
          <w:p w14:paraId="7C5FB6E9"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21,8</w:t>
            </w:r>
          </w:p>
        </w:tc>
        <w:tc>
          <w:tcPr>
            <w:tcW w:w="2295" w:type="dxa"/>
            <w:shd w:val="clear" w:color="auto" w:fill="auto"/>
            <w:noWrap/>
            <w:vAlign w:val="bottom"/>
            <w:hideMark/>
          </w:tcPr>
          <w:p w14:paraId="7EF90433"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43,67286</w:t>
            </w:r>
          </w:p>
        </w:tc>
        <w:tc>
          <w:tcPr>
            <w:tcW w:w="1958" w:type="dxa"/>
            <w:shd w:val="clear" w:color="auto" w:fill="auto"/>
            <w:noWrap/>
            <w:vAlign w:val="bottom"/>
            <w:hideMark/>
          </w:tcPr>
          <w:p w14:paraId="32230699"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52,52</w:t>
            </w:r>
          </w:p>
        </w:tc>
        <w:tc>
          <w:tcPr>
            <w:tcW w:w="1463" w:type="dxa"/>
            <w:shd w:val="clear" w:color="auto" w:fill="auto"/>
            <w:noWrap/>
            <w:vAlign w:val="bottom"/>
            <w:hideMark/>
          </w:tcPr>
          <w:p w14:paraId="04C0EEFB"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1AE0431F" w14:textId="77777777" w:rsidTr="00E6223E">
        <w:trPr>
          <w:trHeight w:val="300"/>
        </w:trPr>
        <w:tc>
          <w:tcPr>
            <w:tcW w:w="1980" w:type="dxa"/>
            <w:shd w:val="clear" w:color="auto" w:fill="auto"/>
            <w:noWrap/>
            <w:vAlign w:val="bottom"/>
            <w:hideMark/>
          </w:tcPr>
          <w:p w14:paraId="32726813"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Репьевский</w:t>
            </w:r>
          </w:p>
        </w:tc>
        <w:tc>
          <w:tcPr>
            <w:tcW w:w="1655" w:type="dxa"/>
            <w:shd w:val="clear" w:color="auto" w:fill="auto"/>
            <w:noWrap/>
            <w:vAlign w:val="bottom"/>
            <w:hideMark/>
          </w:tcPr>
          <w:p w14:paraId="6A0F7558"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37,44</w:t>
            </w:r>
          </w:p>
        </w:tc>
        <w:tc>
          <w:tcPr>
            <w:tcW w:w="2295" w:type="dxa"/>
            <w:shd w:val="clear" w:color="auto" w:fill="auto"/>
            <w:noWrap/>
            <w:vAlign w:val="bottom"/>
            <w:hideMark/>
          </w:tcPr>
          <w:p w14:paraId="6E15A601"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37,44</w:t>
            </w:r>
          </w:p>
        </w:tc>
        <w:tc>
          <w:tcPr>
            <w:tcW w:w="1958" w:type="dxa"/>
            <w:shd w:val="clear" w:color="auto" w:fill="auto"/>
            <w:noWrap/>
            <w:vAlign w:val="bottom"/>
            <w:hideMark/>
          </w:tcPr>
          <w:p w14:paraId="4F8E69ED"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37,44</w:t>
            </w:r>
          </w:p>
        </w:tc>
        <w:tc>
          <w:tcPr>
            <w:tcW w:w="1463" w:type="dxa"/>
            <w:shd w:val="clear" w:color="auto" w:fill="auto"/>
            <w:noWrap/>
            <w:vAlign w:val="bottom"/>
            <w:hideMark/>
          </w:tcPr>
          <w:p w14:paraId="258282CA"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05EDA140" w14:textId="77777777" w:rsidTr="00E6223E">
        <w:trPr>
          <w:trHeight w:val="300"/>
        </w:trPr>
        <w:tc>
          <w:tcPr>
            <w:tcW w:w="1980" w:type="dxa"/>
            <w:shd w:val="clear" w:color="auto" w:fill="auto"/>
            <w:noWrap/>
            <w:vAlign w:val="bottom"/>
            <w:hideMark/>
          </w:tcPr>
          <w:p w14:paraId="287BB788"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Ольховатский</w:t>
            </w:r>
          </w:p>
        </w:tc>
        <w:tc>
          <w:tcPr>
            <w:tcW w:w="1655" w:type="dxa"/>
            <w:shd w:val="clear" w:color="auto" w:fill="auto"/>
            <w:noWrap/>
            <w:vAlign w:val="bottom"/>
            <w:hideMark/>
          </w:tcPr>
          <w:p w14:paraId="2D3CA9E2"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22,6</w:t>
            </w:r>
          </w:p>
        </w:tc>
        <w:tc>
          <w:tcPr>
            <w:tcW w:w="2295" w:type="dxa"/>
            <w:shd w:val="clear" w:color="auto" w:fill="auto"/>
            <w:noWrap/>
            <w:vAlign w:val="bottom"/>
            <w:hideMark/>
          </w:tcPr>
          <w:p w14:paraId="0B4E15E7"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35,786</w:t>
            </w:r>
          </w:p>
        </w:tc>
        <w:tc>
          <w:tcPr>
            <w:tcW w:w="1958" w:type="dxa"/>
            <w:shd w:val="clear" w:color="auto" w:fill="auto"/>
            <w:noWrap/>
            <w:vAlign w:val="bottom"/>
            <w:hideMark/>
          </w:tcPr>
          <w:p w14:paraId="4DAAE761"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58,5</w:t>
            </w:r>
          </w:p>
        </w:tc>
        <w:tc>
          <w:tcPr>
            <w:tcW w:w="1463" w:type="dxa"/>
            <w:shd w:val="clear" w:color="auto" w:fill="auto"/>
            <w:noWrap/>
            <w:vAlign w:val="bottom"/>
            <w:hideMark/>
          </w:tcPr>
          <w:p w14:paraId="307B5160"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741DE38D" w14:textId="77777777" w:rsidTr="00E6223E">
        <w:trPr>
          <w:trHeight w:val="300"/>
        </w:trPr>
        <w:tc>
          <w:tcPr>
            <w:tcW w:w="1980" w:type="dxa"/>
            <w:shd w:val="clear" w:color="auto" w:fill="auto"/>
            <w:noWrap/>
            <w:vAlign w:val="bottom"/>
            <w:hideMark/>
          </w:tcPr>
          <w:p w14:paraId="084FD1C5"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Бобровский</w:t>
            </w:r>
          </w:p>
        </w:tc>
        <w:tc>
          <w:tcPr>
            <w:tcW w:w="1655" w:type="dxa"/>
            <w:shd w:val="clear" w:color="auto" w:fill="auto"/>
            <w:noWrap/>
            <w:vAlign w:val="bottom"/>
            <w:hideMark/>
          </w:tcPr>
          <w:p w14:paraId="792F2AE9"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23</w:t>
            </w:r>
          </w:p>
        </w:tc>
        <w:tc>
          <w:tcPr>
            <w:tcW w:w="2295" w:type="dxa"/>
            <w:shd w:val="clear" w:color="auto" w:fill="auto"/>
            <w:noWrap/>
            <w:vAlign w:val="bottom"/>
            <w:hideMark/>
          </w:tcPr>
          <w:p w14:paraId="218E1D44"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33,16667</w:t>
            </w:r>
          </w:p>
        </w:tc>
        <w:tc>
          <w:tcPr>
            <w:tcW w:w="1958" w:type="dxa"/>
            <w:shd w:val="clear" w:color="auto" w:fill="auto"/>
            <w:noWrap/>
            <w:vAlign w:val="bottom"/>
            <w:hideMark/>
          </w:tcPr>
          <w:p w14:paraId="64056D7A"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48,25</w:t>
            </w:r>
          </w:p>
        </w:tc>
        <w:tc>
          <w:tcPr>
            <w:tcW w:w="1463" w:type="dxa"/>
            <w:shd w:val="clear" w:color="auto" w:fill="auto"/>
            <w:noWrap/>
            <w:vAlign w:val="bottom"/>
            <w:hideMark/>
          </w:tcPr>
          <w:p w14:paraId="3F45CEDE"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5207B56A" w14:textId="77777777" w:rsidTr="00E6223E">
        <w:trPr>
          <w:trHeight w:val="300"/>
        </w:trPr>
        <w:tc>
          <w:tcPr>
            <w:tcW w:w="1980" w:type="dxa"/>
            <w:shd w:val="clear" w:color="auto" w:fill="auto"/>
            <w:noWrap/>
            <w:vAlign w:val="bottom"/>
            <w:hideMark/>
          </w:tcPr>
          <w:p w14:paraId="39AF8E4F"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Грибановский</w:t>
            </w:r>
          </w:p>
        </w:tc>
        <w:tc>
          <w:tcPr>
            <w:tcW w:w="1655" w:type="dxa"/>
            <w:shd w:val="clear" w:color="auto" w:fill="auto"/>
            <w:noWrap/>
            <w:vAlign w:val="bottom"/>
            <w:hideMark/>
          </w:tcPr>
          <w:p w14:paraId="1EF350BB"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24,22</w:t>
            </w:r>
          </w:p>
        </w:tc>
        <w:tc>
          <w:tcPr>
            <w:tcW w:w="2295" w:type="dxa"/>
            <w:shd w:val="clear" w:color="auto" w:fill="auto"/>
            <w:noWrap/>
            <w:vAlign w:val="bottom"/>
            <w:hideMark/>
          </w:tcPr>
          <w:p w14:paraId="776CDC37"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32,16333</w:t>
            </w:r>
          </w:p>
        </w:tc>
        <w:tc>
          <w:tcPr>
            <w:tcW w:w="1958" w:type="dxa"/>
            <w:shd w:val="clear" w:color="auto" w:fill="auto"/>
            <w:noWrap/>
            <w:vAlign w:val="bottom"/>
            <w:hideMark/>
          </w:tcPr>
          <w:p w14:paraId="2649125C"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36,33</w:t>
            </w:r>
          </w:p>
        </w:tc>
        <w:tc>
          <w:tcPr>
            <w:tcW w:w="1463" w:type="dxa"/>
            <w:shd w:val="clear" w:color="auto" w:fill="auto"/>
            <w:noWrap/>
            <w:vAlign w:val="bottom"/>
            <w:hideMark/>
          </w:tcPr>
          <w:p w14:paraId="5C5207F2"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20A72D33" w14:textId="77777777" w:rsidTr="00E6223E">
        <w:trPr>
          <w:trHeight w:val="300"/>
        </w:trPr>
        <w:tc>
          <w:tcPr>
            <w:tcW w:w="1980" w:type="dxa"/>
            <w:shd w:val="clear" w:color="auto" w:fill="auto"/>
            <w:noWrap/>
            <w:vAlign w:val="bottom"/>
            <w:hideMark/>
          </w:tcPr>
          <w:p w14:paraId="0CC78FEF"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Поворинский</w:t>
            </w:r>
          </w:p>
        </w:tc>
        <w:tc>
          <w:tcPr>
            <w:tcW w:w="1655" w:type="dxa"/>
            <w:shd w:val="clear" w:color="auto" w:fill="auto"/>
            <w:noWrap/>
            <w:vAlign w:val="bottom"/>
            <w:hideMark/>
          </w:tcPr>
          <w:p w14:paraId="5EE970EE"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21,8</w:t>
            </w:r>
          </w:p>
        </w:tc>
        <w:tc>
          <w:tcPr>
            <w:tcW w:w="2295" w:type="dxa"/>
            <w:shd w:val="clear" w:color="auto" w:fill="auto"/>
            <w:noWrap/>
            <w:vAlign w:val="bottom"/>
            <w:hideMark/>
          </w:tcPr>
          <w:p w14:paraId="3C9E41A3"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27,25</w:t>
            </w:r>
          </w:p>
        </w:tc>
        <w:tc>
          <w:tcPr>
            <w:tcW w:w="1958" w:type="dxa"/>
            <w:shd w:val="clear" w:color="auto" w:fill="auto"/>
            <w:noWrap/>
            <w:vAlign w:val="bottom"/>
            <w:hideMark/>
          </w:tcPr>
          <w:p w14:paraId="1E48E8A0"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32,7</w:t>
            </w:r>
          </w:p>
        </w:tc>
        <w:tc>
          <w:tcPr>
            <w:tcW w:w="1463" w:type="dxa"/>
            <w:shd w:val="clear" w:color="auto" w:fill="auto"/>
            <w:noWrap/>
            <w:vAlign w:val="bottom"/>
            <w:hideMark/>
          </w:tcPr>
          <w:p w14:paraId="6E1116DE"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r w:rsidR="000B0C76" w:rsidRPr="0006192F" w14:paraId="541B48B5" w14:textId="77777777" w:rsidTr="00E6223E">
        <w:trPr>
          <w:trHeight w:val="300"/>
        </w:trPr>
        <w:tc>
          <w:tcPr>
            <w:tcW w:w="1980" w:type="dxa"/>
            <w:shd w:val="clear" w:color="auto" w:fill="auto"/>
            <w:noWrap/>
            <w:vAlign w:val="bottom"/>
            <w:hideMark/>
          </w:tcPr>
          <w:p w14:paraId="487DBC64" w14:textId="77777777" w:rsidR="000B0C76" w:rsidRPr="0006192F" w:rsidRDefault="000B0C76" w:rsidP="000B0C76">
            <w:pPr>
              <w:spacing w:after="0" w:line="240" w:lineRule="auto"/>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Острогожский</w:t>
            </w:r>
          </w:p>
        </w:tc>
        <w:tc>
          <w:tcPr>
            <w:tcW w:w="1655" w:type="dxa"/>
            <w:shd w:val="clear" w:color="auto" w:fill="auto"/>
            <w:noWrap/>
            <w:vAlign w:val="bottom"/>
            <w:hideMark/>
          </w:tcPr>
          <w:p w14:paraId="1AB13161"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23</w:t>
            </w:r>
          </w:p>
        </w:tc>
        <w:tc>
          <w:tcPr>
            <w:tcW w:w="2295" w:type="dxa"/>
            <w:shd w:val="clear" w:color="auto" w:fill="auto"/>
            <w:noWrap/>
            <w:vAlign w:val="bottom"/>
            <w:hideMark/>
          </w:tcPr>
          <w:p w14:paraId="1AC0230B"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23</w:t>
            </w:r>
          </w:p>
        </w:tc>
        <w:tc>
          <w:tcPr>
            <w:tcW w:w="1958" w:type="dxa"/>
            <w:shd w:val="clear" w:color="auto" w:fill="auto"/>
            <w:noWrap/>
            <w:vAlign w:val="bottom"/>
            <w:hideMark/>
          </w:tcPr>
          <w:p w14:paraId="580D1770"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23</w:t>
            </w:r>
          </w:p>
        </w:tc>
        <w:tc>
          <w:tcPr>
            <w:tcW w:w="1463" w:type="dxa"/>
            <w:shd w:val="clear" w:color="auto" w:fill="auto"/>
            <w:noWrap/>
            <w:vAlign w:val="bottom"/>
            <w:hideMark/>
          </w:tcPr>
          <w:p w14:paraId="0949179B" w14:textId="77777777" w:rsidR="000B0C76" w:rsidRPr="0006192F" w:rsidRDefault="000B0C76" w:rsidP="000B0C76">
            <w:pPr>
              <w:spacing w:after="0" w:line="240" w:lineRule="auto"/>
              <w:jc w:val="right"/>
              <w:rPr>
                <w:rFonts w:ascii="Times New Roman" w:eastAsia="Times New Roman" w:hAnsi="Times New Roman" w:cs="Times New Roman"/>
                <w:lang w:eastAsia="ru-RU"/>
              </w:rPr>
            </w:pPr>
            <w:r w:rsidRPr="0006192F">
              <w:rPr>
                <w:rFonts w:ascii="Times New Roman" w:eastAsia="Times New Roman" w:hAnsi="Times New Roman" w:cs="Times New Roman"/>
                <w:lang w:eastAsia="ru-RU"/>
              </w:rPr>
              <w:t>3</w:t>
            </w:r>
          </w:p>
        </w:tc>
      </w:tr>
    </w:tbl>
    <w:p w14:paraId="35C138D2" w14:textId="77777777" w:rsidR="000B0C76" w:rsidRPr="006956D7" w:rsidRDefault="000B0C76" w:rsidP="000B0C76">
      <w:pPr>
        <w:spacing w:before="120"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Руководствуясь проведенным анализом распределения рыночной </w:t>
      </w:r>
      <w:r w:rsidRPr="006956D7">
        <w:rPr>
          <w:rFonts w:ascii="Times New Roman" w:hAnsi="Times New Roman" w:cs="Times New Roman"/>
          <w:sz w:val="26"/>
          <w:szCs w:val="26"/>
        </w:rPr>
        <w:t>информации, в рамках группы «</w:t>
      </w:r>
      <w:r>
        <w:rPr>
          <w:rFonts w:ascii="Times New Roman" w:hAnsi="Times New Roman" w:cs="Times New Roman"/>
          <w:sz w:val="26"/>
          <w:szCs w:val="26"/>
        </w:rPr>
        <w:t>С</w:t>
      </w:r>
      <w:r w:rsidRPr="006956D7">
        <w:rPr>
          <w:rFonts w:ascii="Times New Roman" w:hAnsi="Times New Roman" w:cs="Times New Roman"/>
          <w:sz w:val="26"/>
          <w:szCs w:val="26"/>
        </w:rPr>
        <w:t>адоводство и огородничество» было выделено 3 ценовых зоны:</w:t>
      </w:r>
    </w:p>
    <w:p w14:paraId="50ADADCD" w14:textId="77777777" w:rsidR="000B0C76" w:rsidRPr="006956D7" w:rsidRDefault="000B0C76" w:rsidP="000B0C76">
      <w:pPr>
        <w:spacing w:after="0" w:line="276" w:lineRule="auto"/>
        <w:ind w:firstLine="708"/>
        <w:jc w:val="both"/>
        <w:rPr>
          <w:rFonts w:ascii="Times New Roman" w:hAnsi="Times New Roman" w:cs="Times New Roman"/>
          <w:sz w:val="26"/>
          <w:szCs w:val="26"/>
        </w:rPr>
      </w:pPr>
      <w:r w:rsidRPr="006956D7">
        <w:rPr>
          <w:rFonts w:ascii="Times New Roman" w:hAnsi="Times New Roman" w:cs="Times New Roman"/>
          <w:sz w:val="26"/>
          <w:szCs w:val="26"/>
        </w:rPr>
        <w:t xml:space="preserve">-зона 1- г. Воронеж; </w:t>
      </w:r>
    </w:p>
    <w:p w14:paraId="31F15F53" w14:textId="77777777" w:rsidR="000B0C76" w:rsidRPr="006956D7" w:rsidRDefault="000B0C76" w:rsidP="000B0C76">
      <w:pPr>
        <w:spacing w:after="0" w:line="276" w:lineRule="auto"/>
        <w:ind w:firstLine="708"/>
        <w:jc w:val="both"/>
        <w:rPr>
          <w:rFonts w:ascii="Times New Roman" w:hAnsi="Times New Roman" w:cs="Times New Roman"/>
          <w:sz w:val="26"/>
          <w:szCs w:val="26"/>
        </w:rPr>
      </w:pPr>
      <w:r w:rsidRPr="006956D7">
        <w:rPr>
          <w:rFonts w:ascii="Times New Roman" w:hAnsi="Times New Roman" w:cs="Times New Roman"/>
          <w:sz w:val="26"/>
          <w:szCs w:val="26"/>
        </w:rPr>
        <w:t>-зона 2 -г. Нововоронеж, Новоусманский, Рамонский и Семилукский районы;</w:t>
      </w:r>
    </w:p>
    <w:p w14:paraId="13E2C26E" w14:textId="77777777" w:rsidR="000B0C76" w:rsidRPr="006956D7" w:rsidRDefault="000B0C76" w:rsidP="000B0C76">
      <w:pPr>
        <w:spacing w:after="0" w:line="276" w:lineRule="auto"/>
        <w:ind w:firstLine="708"/>
        <w:jc w:val="both"/>
        <w:rPr>
          <w:rFonts w:ascii="Times New Roman" w:hAnsi="Times New Roman" w:cs="Times New Roman"/>
          <w:sz w:val="26"/>
          <w:szCs w:val="26"/>
        </w:rPr>
      </w:pPr>
      <w:r w:rsidRPr="006956D7">
        <w:rPr>
          <w:rFonts w:ascii="Times New Roman" w:hAnsi="Times New Roman" w:cs="Times New Roman"/>
          <w:sz w:val="26"/>
          <w:szCs w:val="26"/>
        </w:rPr>
        <w:t>-зона 3- другие районы Воронежской области</w:t>
      </w:r>
    </w:p>
    <w:p w14:paraId="7D49B02D" w14:textId="77777777" w:rsidR="000B0C76" w:rsidRPr="006956D7" w:rsidRDefault="000B0C76" w:rsidP="000B0C76">
      <w:pPr>
        <w:spacing w:after="0" w:line="276" w:lineRule="auto"/>
        <w:ind w:firstLine="708"/>
        <w:jc w:val="both"/>
        <w:rPr>
          <w:rFonts w:ascii="Times New Roman" w:hAnsi="Times New Roman" w:cs="Times New Roman"/>
          <w:sz w:val="26"/>
          <w:szCs w:val="26"/>
        </w:rPr>
      </w:pPr>
      <w:r w:rsidRPr="006956D7">
        <w:rPr>
          <w:rFonts w:ascii="Times New Roman" w:hAnsi="Times New Roman" w:cs="Times New Roman"/>
          <w:sz w:val="26"/>
          <w:szCs w:val="26"/>
        </w:rPr>
        <w:t>Значения удельных показателей рыночной стоимости земельных участков сегмента 13 «Садоводство и огородничество, малоэтажная жилая застройка», группа «Садоводство и огородничество» для каждой из ценовых зон представлены в таблице 3.2.1</w:t>
      </w:r>
      <w:r>
        <w:rPr>
          <w:rFonts w:ascii="Times New Roman" w:hAnsi="Times New Roman" w:cs="Times New Roman"/>
          <w:sz w:val="26"/>
          <w:szCs w:val="26"/>
        </w:rPr>
        <w:t>7</w:t>
      </w:r>
      <w:r w:rsidRPr="006956D7">
        <w:rPr>
          <w:rFonts w:ascii="Times New Roman" w:hAnsi="Times New Roman" w:cs="Times New Roman"/>
          <w:sz w:val="26"/>
          <w:szCs w:val="26"/>
        </w:rPr>
        <w:t>.</w:t>
      </w:r>
    </w:p>
    <w:p w14:paraId="0EF8B3B9" w14:textId="77777777" w:rsidR="000B0C76" w:rsidRPr="00F562A8" w:rsidRDefault="000B0C76" w:rsidP="000B0C76">
      <w:pPr>
        <w:spacing w:after="0" w:line="276" w:lineRule="auto"/>
        <w:jc w:val="right"/>
        <w:rPr>
          <w:rFonts w:ascii="Times New Roman" w:hAnsi="Times New Roman" w:cs="Times New Roman"/>
          <w:sz w:val="26"/>
          <w:szCs w:val="26"/>
        </w:rPr>
      </w:pPr>
      <w:r w:rsidRPr="00F562A8">
        <w:rPr>
          <w:rFonts w:ascii="Times New Roman" w:hAnsi="Times New Roman" w:cs="Times New Roman"/>
          <w:sz w:val="26"/>
          <w:szCs w:val="26"/>
        </w:rPr>
        <w:t>Таблица 3.2.</w:t>
      </w:r>
      <w:r>
        <w:rPr>
          <w:rFonts w:ascii="Times New Roman" w:hAnsi="Times New Roman" w:cs="Times New Roman"/>
          <w:sz w:val="26"/>
          <w:szCs w:val="26"/>
        </w:rPr>
        <w:t>17</w:t>
      </w:r>
    </w:p>
    <w:p w14:paraId="76137FF8" w14:textId="77777777" w:rsidR="000B0C76" w:rsidRPr="00F562A8" w:rsidRDefault="000B0C76" w:rsidP="000B0C76">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Удельные показатели рыночной стоимости, руб./м</w:t>
      </w:r>
      <w:r w:rsidRPr="00F562A8">
        <w:rPr>
          <w:rFonts w:ascii="Times New Roman" w:hAnsi="Times New Roman" w:cs="Times New Roman"/>
          <w:sz w:val="26"/>
          <w:szCs w:val="26"/>
          <w:vertAlign w:val="superscript"/>
        </w:rPr>
        <w:t>2</w:t>
      </w:r>
    </w:p>
    <w:tbl>
      <w:tblPr>
        <w:tblStyle w:val="ae"/>
        <w:tblW w:w="0" w:type="auto"/>
        <w:tblLook w:val="04A0" w:firstRow="1" w:lastRow="0" w:firstColumn="1" w:lastColumn="0" w:noHBand="0" w:noVBand="1"/>
      </w:tblPr>
      <w:tblGrid>
        <w:gridCol w:w="1979"/>
        <w:gridCol w:w="2410"/>
        <w:gridCol w:w="2268"/>
        <w:gridCol w:w="2687"/>
      </w:tblGrid>
      <w:tr w:rsidR="000B0C76" w:rsidRPr="006956D7" w14:paraId="01155704" w14:textId="77777777" w:rsidTr="000B0C76">
        <w:tc>
          <w:tcPr>
            <w:tcW w:w="1980" w:type="dxa"/>
            <w:vMerge w:val="restart"/>
          </w:tcPr>
          <w:p w14:paraId="65213D09" w14:textId="77777777" w:rsidR="000B0C76" w:rsidRPr="006956D7" w:rsidRDefault="000B0C76" w:rsidP="000B0C76">
            <w:pPr>
              <w:spacing w:line="276" w:lineRule="auto"/>
              <w:jc w:val="center"/>
              <w:rPr>
                <w:rFonts w:ascii="Times New Roman" w:hAnsi="Times New Roman" w:cs="Times New Roman"/>
                <w:sz w:val="22"/>
                <w:szCs w:val="22"/>
              </w:rPr>
            </w:pPr>
            <w:r w:rsidRPr="006956D7">
              <w:rPr>
                <w:rFonts w:ascii="Times New Roman" w:hAnsi="Times New Roman" w:cs="Times New Roman"/>
                <w:sz w:val="22"/>
                <w:szCs w:val="22"/>
              </w:rPr>
              <w:t>№ ценовой зоны</w:t>
            </w:r>
          </w:p>
        </w:tc>
        <w:tc>
          <w:tcPr>
            <w:tcW w:w="7365" w:type="dxa"/>
            <w:gridSpan w:val="3"/>
          </w:tcPr>
          <w:p w14:paraId="472F6A7F" w14:textId="77777777" w:rsidR="000B0C76" w:rsidRPr="006956D7" w:rsidRDefault="000B0C76" w:rsidP="000B0C76">
            <w:pPr>
              <w:spacing w:line="276" w:lineRule="auto"/>
              <w:jc w:val="center"/>
              <w:rPr>
                <w:rFonts w:ascii="Times New Roman" w:hAnsi="Times New Roman" w:cs="Times New Roman"/>
                <w:sz w:val="22"/>
                <w:szCs w:val="22"/>
                <w:vertAlign w:val="superscript"/>
              </w:rPr>
            </w:pPr>
            <w:r w:rsidRPr="006956D7">
              <w:rPr>
                <w:rFonts w:ascii="Times New Roman" w:hAnsi="Times New Roman" w:cs="Times New Roman"/>
                <w:sz w:val="22"/>
                <w:szCs w:val="22"/>
              </w:rPr>
              <w:t>Удельный показатель рыночной стоимости, руб./м</w:t>
            </w:r>
            <w:r w:rsidRPr="006956D7">
              <w:rPr>
                <w:rFonts w:ascii="Times New Roman" w:hAnsi="Times New Roman" w:cs="Times New Roman"/>
                <w:sz w:val="22"/>
                <w:szCs w:val="22"/>
                <w:vertAlign w:val="superscript"/>
              </w:rPr>
              <w:t>2</w:t>
            </w:r>
          </w:p>
        </w:tc>
      </w:tr>
      <w:tr w:rsidR="000B0C76" w:rsidRPr="006956D7" w14:paraId="33A2B2BC" w14:textId="77777777" w:rsidTr="000B0C76">
        <w:tc>
          <w:tcPr>
            <w:tcW w:w="1980" w:type="dxa"/>
            <w:vMerge/>
          </w:tcPr>
          <w:p w14:paraId="2AB7F5DE" w14:textId="77777777" w:rsidR="000B0C76" w:rsidRPr="006956D7" w:rsidRDefault="000B0C76" w:rsidP="000B0C76">
            <w:pPr>
              <w:spacing w:line="276" w:lineRule="auto"/>
              <w:jc w:val="right"/>
              <w:rPr>
                <w:rFonts w:ascii="Times New Roman" w:hAnsi="Times New Roman" w:cs="Times New Roman"/>
                <w:sz w:val="22"/>
                <w:szCs w:val="22"/>
              </w:rPr>
            </w:pPr>
          </w:p>
        </w:tc>
        <w:tc>
          <w:tcPr>
            <w:tcW w:w="2410" w:type="dxa"/>
          </w:tcPr>
          <w:p w14:paraId="6E600F14" w14:textId="77777777" w:rsidR="000B0C76" w:rsidRPr="006956D7" w:rsidRDefault="000B0C76" w:rsidP="000B0C76">
            <w:pPr>
              <w:spacing w:line="276" w:lineRule="auto"/>
              <w:jc w:val="center"/>
              <w:rPr>
                <w:rFonts w:ascii="Times New Roman" w:hAnsi="Times New Roman" w:cs="Times New Roman"/>
                <w:sz w:val="22"/>
                <w:szCs w:val="22"/>
              </w:rPr>
            </w:pPr>
            <w:r w:rsidRPr="006956D7">
              <w:rPr>
                <w:rFonts w:ascii="Times New Roman" w:hAnsi="Times New Roman" w:cs="Times New Roman"/>
                <w:sz w:val="22"/>
                <w:szCs w:val="22"/>
              </w:rPr>
              <w:t>минимальный</w:t>
            </w:r>
          </w:p>
        </w:tc>
        <w:tc>
          <w:tcPr>
            <w:tcW w:w="2268" w:type="dxa"/>
          </w:tcPr>
          <w:p w14:paraId="762F57E7" w14:textId="77777777" w:rsidR="000B0C76" w:rsidRPr="006956D7" w:rsidRDefault="000B0C76" w:rsidP="000B0C76">
            <w:pPr>
              <w:spacing w:line="276" w:lineRule="auto"/>
              <w:jc w:val="center"/>
              <w:rPr>
                <w:rFonts w:ascii="Times New Roman" w:hAnsi="Times New Roman" w:cs="Times New Roman"/>
                <w:sz w:val="22"/>
                <w:szCs w:val="22"/>
              </w:rPr>
            </w:pPr>
            <w:r w:rsidRPr="006956D7">
              <w:rPr>
                <w:rFonts w:ascii="Times New Roman" w:hAnsi="Times New Roman" w:cs="Times New Roman"/>
                <w:sz w:val="22"/>
                <w:szCs w:val="22"/>
              </w:rPr>
              <w:t>средний</w:t>
            </w:r>
          </w:p>
        </w:tc>
        <w:tc>
          <w:tcPr>
            <w:tcW w:w="2687" w:type="dxa"/>
          </w:tcPr>
          <w:p w14:paraId="114C353A" w14:textId="77777777" w:rsidR="000B0C76" w:rsidRPr="006956D7" w:rsidRDefault="000B0C76" w:rsidP="000B0C76">
            <w:pPr>
              <w:spacing w:line="276" w:lineRule="auto"/>
              <w:jc w:val="center"/>
              <w:rPr>
                <w:rFonts w:ascii="Times New Roman" w:hAnsi="Times New Roman" w:cs="Times New Roman"/>
                <w:sz w:val="22"/>
                <w:szCs w:val="22"/>
              </w:rPr>
            </w:pPr>
            <w:r w:rsidRPr="006956D7">
              <w:rPr>
                <w:rFonts w:ascii="Times New Roman" w:hAnsi="Times New Roman" w:cs="Times New Roman"/>
                <w:sz w:val="22"/>
                <w:szCs w:val="22"/>
              </w:rPr>
              <w:t>максимальный</w:t>
            </w:r>
          </w:p>
        </w:tc>
      </w:tr>
      <w:tr w:rsidR="000B0C76" w:rsidRPr="006956D7" w14:paraId="73F80725" w14:textId="77777777" w:rsidTr="000B0C76">
        <w:tc>
          <w:tcPr>
            <w:tcW w:w="1980" w:type="dxa"/>
          </w:tcPr>
          <w:p w14:paraId="03AFA6C6" w14:textId="77777777" w:rsidR="000B0C76" w:rsidRPr="006956D7" w:rsidRDefault="000B0C76" w:rsidP="000B0C76">
            <w:pPr>
              <w:spacing w:line="276" w:lineRule="auto"/>
              <w:jc w:val="center"/>
              <w:rPr>
                <w:rFonts w:ascii="Times New Roman" w:hAnsi="Times New Roman" w:cs="Times New Roman"/>
                <w:sz w:val="22"/>
                <w:szCs w:val="22"/>
              </w:rPr>
            </w:pPr>
            <w:r w:rsidRPr="006956D7">
              <w:rPr>
                <w:rFonts w:ascii="Times New Roman" w:hAnsi="Times New Roman" w:cs="Times New Roman"/>
                <w:sz w:val="22"/>
                <w:szCs w:val="22"/>
              </w:rPr>
              <w:t>1</w:t>
            </w:r>
          </w:p>
        </w:tc>
        <w:tc>
          <w:tcPr>
            <w:tcW w:w="2410" w:type="dxa"/>
            <w:vAlign w:val="center"/>
          </w:tcPr>
          <w:p w14:paraId="049DB08E" w14:textId="77777777" w:rsidR="000B0C76" w:rsidRPr="006956D7" w:rsidRDefault="000B0C76" w:rsidP="000B0C76">
            <w:pPr>
              <w:spacing w:line="276" w:lineRule="auto"/>
              <w:jc w:val="center"/>
              <w:rPr>
                <w:rFonts w:ascii="Times New Roman" w:hAnsi="Times New Roman" w:cs="Times New Roman"/>
                <w:color w:val="FF0000"/>
                <w:sz w:val="22"/>
                <w:szCs w:val="22"/>
              </w:rPr>
            </w:pPr>
            <w:r w:rsidRPr="006956D7">
              <w:rPr>
                <w:rFonts w:ascii="Times New Roman" w:hAnsi="Times New Roman" w:cs="Times New Roman"/>
              </w:rPr>
              <w:t xml:space="preserve">               201,46   </w:t>
            </w:r>
          </w:p>
        </w:tc>
        <w:tc>
          <w:tcPr>
            <w:tcW w:w="2268" w:type="dxa"/>
            <w:vAlign w:val="center"/>
          </w:tcPr>
          <w:p w14:paraId="308AFB06" w14:textId="77777777" w:rsidR="000B0C76" w:rsidRPr="006956D7" w:rsidRDefault="000B0C76" w:rsidP="000B0C76">
            <w:pPr>
              <w:spacing w:line="276" w:lineRule="auto"/>
              <w:jc w:val="center"/>
              <w:rPr>
                <w:rFonts w:ascii="Times New Roman" w:hAnsi="Times New Roman" w:cs="Times New Roman"/>
                <w:color w:val="FF0000"/>
                <w:sz w:val="22"/>
                <w:szCs w:val="22"/>
              </w:rPr>
            </w:pPr>
            <w:r w:rsidRPr="006956D7">
              <w:rPr>
                <w:rFonts w:ascii="Times New Roman" w:hAnsi="Times New Roman" w:cs="Times New Roman"/>
              </w:rPr>
              <w:t xml:space="preserve">               526,40   </w:t>
            </w:r>
          </w:p>
        </w:tc>
        <w:tc>
          <w:tcPr>
            <w:tcW w:w="2687" w:type="dxa"/>
            <w:vAlign w:val="center"/>
          </w:tcPr>
          <w:p w14:paraId="5ECCDAF0" w14:textId="77777777" w:rsidR="000B0C76" w:rsidRPr="006956D7" w:rsidRDefault="000B0C76" w:rsidP="000B0C76">
            <w:pPr>
              <w:spacing w:line="276" w:lineRule="auto"/>
              <w:jc w:val="center"/>
              <w:rPr>
                <w:rFonts w:ascii="Times New Roman" w:hAnsi="Times New Roman" w:cs="Times New Roman"/>
                <w:color w:val="FF0000"/>
                <w:sz w:val="22"/>
                <w:szCs w:val="22"/>
              </w:rPr>
            </w:pPr>
            <w:r w:rsidRPr="006956D7">
              <w:rPr>
                <w:rFonts w:ascii="Times New Roman" w:hAnsi="Times New Roman" w:cs="Times New Roman"/>
              </w:rPr>
              <w:t xml:space="preserve">            1 199,00   </w:t>
            </w:r>
          </w:p>
        </w:tc>
      </w:tr>
      <w:tr w:rsidR="000B0C76" w:rsidRPr="006956D7" w14:paraId="4336968B" w14:textId="77777777" w:rsidTr="000B0C76">
        <w:tc>
          <w:tcPr>
            <w:tcW w:w="1980" w:type="dxa"/>
          </w:tcPr>
          <w:p w14:paraId="0D370E1B" w14:textId="77777777" w:rsidR="000B0C76" w:rsidRPr="006956D7" w:rsidRDefault="000B0C76" w:rsidP="000B0C76">
            <w:pPr>
              <w:spacing w:line="276" w:lineRule="auto"/>
              <w:jc w:val="center"/>
              <w:rPr>
                <w:rFonts w:ascii="Times New Roman" w:hAnsi="Times New Roman" w:cs="Times New Roman"/>
                <w:sz w:val="22"/>
                <w:szCs w:val="22"/>
              </w:rPr>
            </w:pPr>
            <w:r w:rsidRPr="006956D7">
              <w:rPr>
                <w:rFonts w:ascii="Times New Roman" w:hAnsi="Times New Roman" w:cs="Times New Roman"/>
                <w:sz w:val="22"/>
                <w:szCs w:val="22"/>
              </w:rPr>
              <w:t>2</w:t>
            </w:r>
          </w:p>
        </w:tc>
        <w:tc>
          <w:tcPr>
            <w:tcW w:w="2410" w:type="dxa"/>
            <w:vAlign w:val="center"/>
          </w:tcPr>
          <w:p w14:paraId="1424D86F" w14:textId="77777777" w:rsidR="000B0C76" w:rsidRPr="006956D7" w:rsidRDefault="000B0C76" w:rsidP="000B0C76">
            <w:pPr>
              <w:spacing w:line="276" w:lineRule="auto"/>
              <w:jc w:val="center"/>
              <w:rPr>
                <w:rFonts w:ascii="Times New Roman" w:hAnsi="Times New Roman" w:cs="Times New Roman"/>
                <w:color w:val="FF0000"/>
                <w:sz w:val="22"/>
                <w:szCs w:val="22"/>
              </w:rPr>
            </w:pPr>
            <w:r w:rsidRPr="006956D7">
              <w:rPr>
                <w:rFonts w:ascii="Times New Roman" w:hAnsi="Times New Roman" w:cs="Times New Roman"/>
              </w:rPr>
              <w:t xml:space="preserve">               150,46   </w:t>
            </w:r>
          </w:p>
        </w:tc>
        <w:tc>
          <w:tcPr>
            <w:tcW w:w="2268" w:type="dxa"/>
            <w:vAlign w:val="center"/>
          </w:tcPr>
          <w:p w14:paraId="648FDDC2" w14:textId="77777777" w:rsidR="000B0C76" w:rsidRPr="006956D7" w:rsidRDefault="000B0C76" w:rsidP="000B0C76">
            <w:pPr>
              <w:spacing w:line="276" w:lineRule="auto"/>
              <w:jc w:val="center"/>
              <w:rPr>
                <w:rFonts w:ascii="Times New Roman" w:hAnsi="Times New Roman" w:cs="Times New Roman"/>
                <w:color w:val="FF0000"/>
                <w:sz w:val="22"/>
                <w:szCs w:val="22"/>
              </w:rPr>
            </w:pPr>
            <w:r w:rsidRPr="006956D7">
              <w:rPr>
                <w:rFonts w:ascii="Times New Roman" w:hAnsi="Times New Roman" w:cs="Times New Roman"/>
              </w:rPr>
              <w:t xml:space="preserve">               224,39   </w:t>
            </w:r>
          </w:p>
        </w:tc>
        <w:tc>
          <w:tcPr>
            <w:tcW w:w="2687" w:type="dxa"/>
            <w:vAlign w:val="center"/>
          </w:tcPr>
          <w:p w14:paraId="7E3B4798" w14:textId="77777777" w:rsidR="000B0C76" w:rsidRPr="006956D7" w:rsidRDefault="000B0C76" w:rsidP="000B0C76">
            <w:pPr>
              <w:spacing w:line="276" w:lineRule="auto"/>
              <w:jc w:val="center"/>
              <w:rPr>
                <w:rFonts w:ascii="Times New Roman" w:hAnsi="Times New Roman" w:cs="Times New Roman"/>
                <w:color w:val="FF0000"/>
                <w:sz w:val="22"/>
                <w:szCs w:val="22"/>
              </w:rPr>
            </w:pPr>
            <w:r w:rsidRPr="006956D7">
              <w:rPr>
                <w:rFonts w:ascii="Times New Roman" w:hAnsi="Times New Roman" w:cs="Times New Roman"/>
              </w:rPr>
              <w:t xml:space="preserve">               317,57   </w:t>
            </w:r>
          </w:p>
        </w:tc>
      </w:tr>
      <w:tr w:rsidR="000B0C76" w:rsidRPr="006956D7" w14:paraId="370DC174" w14:textId="77777777" w:rsidTr="000B0C76">
        <w:tc>
          <w:tcPr>
            <w:tcW w:w="1980" w:type="dxa"/>
          </w:tcPr>
          <w:p w14:paraId="203A23F2" w14:textId="77777777" w:rsidR="000B0C76" w:rsidRPr="006956D7" w:rsidRDefault="000B0C76" w:rsidP="000B0C76">
            <w:pPr>
              <w:spacing w:line="276" w:lineRule="auto"/>
              <w:jc w:val="center"/>
              <w:rPr>
                <w:rFonts w:ascii="Times New Roman" w:hAnsi="Times New Roman" w:cs="Times New Roman"/>
                <w:sz w:val="22"/>
                <w:szCs w:val="22"/>
              </w:rPr>
            </w:pPr>
            <w:r w:rsidRPr="006956D7">
              <w:rPr>
                <w:rFonts w:ascii="Times New Roman" w:hAnsi="Times New Roman" w:cs="Times New Roman"/>
                <w:sz w:val="22"/>
                <w:szCs w:val="22"/>
              </w:rPr>
              <w:t>3</w:t>
            </w:r>
          </w:p>
        </w:tc>
        <w:tc>
          <w:tcPr>
            <w:tcW w:w="2410" w:type="dxa"/>
            <w:vAlign w:val="center"/>
          </w:tcPr>
          <w:p w14:paraId="7181BF65" w14:textId="77777777" w:rsidR="000B0C76" w:rsidRPr="006956D7" w:rsidRDefault="000B0C76" w:rsidP="000B0C76">
            <w:pPr>
              <w:spacing w:line="276" w:lineRule="auto"/>
              <w:jc w:val="center"/>
              <w:rPr>
                <w:rFonts w:ascii="Times New Roman" w:hAnsi="Times New Roman" w:cs="Times New Roman"/>
                <w:color w:val="FF0000"/>
                <w:sz w:val="22"/>
                <w:szCs w:val="22"/>
              </w:rPr>
            </w:pPr>
            <w:r w:rsidRPr="006956D7">
              <w:rPr>
                <w:rFonts w:ascii="Times New Roman" w:hAnsi="Times New Roman" w:cs="Times New Roman"/>
              </w:rPr>
              <w:t xml:space="preserve">                 26,90   </w:t>
            </w:r>
          </w:p>
        </w:tc>
        <w:tc>
          <w:tcPr>
            <w:tcW w:w="2268" w:type="dxa"/>
            <w:vAlign w:val="center"/>
          </w:tcPr>
          <w:p w14:paraId="199886A5" w14:textId="77777777" w:rsidR="000B0C76" w:rsidRPr="006956D7" w:rsidRDefault="000B0C76" w:rsidP="000B0C76">
            <w:pPr>
              <w:spacing w:line="276" w:lineRule="auto"/>
              <w:jc w:val="center"/>
              <w:rPr>
                <w:rFonts w:ascii="Times New Roman" w:hAnsi="Times New Roman" w:cs="Times New Roman"/>
                <w:color w:val="FF0000"/>
                <w:sz w:val="22"/>
                <w:szCs w:val="22"/>
              </w:rPr>
            </w:pPr>
            <w:r w:rsidRPr="006956D7">
              <w:rPr>
                <w:rFonts w:ascii="Times New Roman" w:hAnsi="Times New Roman" w:cs="Times New Roman"/>
              </w:rPr>
              <w:t xml:space="preserve">                 45,26   </w:t>
            </w:r>
          </w:p>
        </w:tc>
        <w:tc>
          <w:tcPr>
            <w:tcW w:w="2687" w:type="dxa"/>
            <w:vAlign w:val="center"/>
          </w:tcPr>
          <w:p w14:paraId="0B7232A6" w14:textId="77777777" w:rsidR="000B0C76" w:rsidRPr="006956D7" w:rsidRDefault="000B0C76" w:rsidP="000B0C76">
            <w:pPr>
              <w:spacing w:line="276" w:lineRule="auto"/>
              <w:jc w:val="center"/>
              <w:rPr>
                <w:rFonts w:ascii="Times New Roman" w:hAnsi="Times New Roman" w:cs="Times New Roman"/>
                <w:color w:val="FF0000"/>
                <w:sz w:val="22"/>
                <w:szCs w:val="22"/>
              </w:rPr>
            </w:pPr>
            <w:r w:rsidRPr="006956D7">
              <w:rPr>
                <w:rFonts w:ascii="Times New Roman" w:hAnsi="Times New Roman" w:cs="Times New Roman"/>
              </w:rPr>
              <w:t xml:space="preserve">                 67,65   </w:t>
            </w:r>
          </w:p>
        </w:tc>
      </w:tr>
    </w:tbl>
    <w:p w14:paraId="25C34CFE" w14:textId="77777777" w:rsidR="000B0C76" w:rsidRPr="00F562A8" w:rsidRDefault="000B0C76" w:rsidP="000B0C76">
      <w:pPr>
        <w:spacing w:before="120"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Схема оценочного зонирования Воронежской области по сегменту 13 «Садоводство и огородничество, малоэтажная жилая застройка» группы «</w:t>
      </w:r>
      <w:r>
        <w:rPr>
          <w:rFonts w:ascii="Times New Roman" w:hAnsi="Times New Roman" w:cs="Times New Roman"/>
          <w:sz w:val="26"/>
          <w:szCs w:val="26"/>
        </w:rPr>
        <w:t>Садоводство и огородничество</w:t>
      </w:r>
      <w:r w:rsidRPr="00F562A8">
        <w:rPr>
          <w:rFonts w:ascii="Times New Roman" w:hAnsi="Times New Roman" w:cs="Times New Roman"/>
          <w:sz w:val="26"/>
          <w:szCs w:val="26"/>
        </w:rPr>
        <w:t>» представлена в Приложении 2/2</w:t>
      </w:r>
      <w:r>
        <w:rPr>
          <w:rFonts w:ascii="Times New Roman" w:hAnsi="Times New Roman" w:cs="Times New Roman"/>
          <w:sz w:val="26"/>
          <w:szCs w:val="26"/>
        </w:rPr>
        <w:t>.</w:t>
      </w:r>
      <w:r w:rsidRPr="00F562A8">
        <w:rPr>
          <w:rFonts w:ascii="Times New Roman" w:hAnsi="Times New Roman" w:cs="Times New Roman"/>
          <w:sz w:val="26"/>
          <w:szCs w:val="26"/>
        </w:rPr>
        <w:t>2.</w:t>
      </w:r>
    </w:p>
    <w:p w14:paraId="506D7B8C" w14:textId="77777777" w:rsidR="000B0C76" w:rsidRDefault="000B0C76" w:rsidP="000B0C76"/>
    <w:p w14:paraId="13298A72" w14:textId="77777777" w:rsidR="000B0C76" w:rsidRDefault="000B0C76" w:rsidP="000B0C76"/>
    <w:p w14:paraId="444B00C1" w14:textId="77777777" w:rsidR="008029C1" w:rsidRPr="00F562A8" w:rsidRDefault="008029C1" w:rsidP="009439AF">
      <w:pPr>
        <w:spacing w:before="120" w:after="0" w:line="276" w:lineRule="auto"/>
        <w:jc w:val="both"/>
        <w:rPr>
          <w:rFonts w:ascii="Times New Roman" w:hAnsi="Times New Roman" w:cs="Times New Roman"/>
          <w:sz w:val="26"/>
          <w:szCs w:val="26"/>
        </w:rPr>
      </w:pPr>
    </w:p>
    <w:p w14:paraId="7321D620" w14:textId="77777777" w:rsidR="000B0C76" w:rsidRDefault="000B0C76">
      <w:pPr>
        <w:rPr>
          <w:rFonts w:ascii="Times New Roman" w:eastAsiaTheme="majorEastAsia" w:hAnsi="Times New Roman" w:cs="Times New Roman"/>
          <w:b/>
          <w:iCs/>
          <w:sz w:val="26"/>
          <w:szCs w:val="20"/>
          <w:lang w:eastAsia="ru-RU"/>
        </w:rPr>
      </w:pPr>
      <w:bookmarkStart w:id="107" w:name="_Toc38292455"/>
      <w:bookmarkStart w:id="108" w:name="_Toc20659548"/>
      <w:bookmarkStart w:id="109" w:name="_Toc12440227"/>
      <w:r>
        <w:rPr>
          <w:rFonts w:cs="Times New Roman"/>
          <w:iCs/>
          <w:sz w:val="26"/>
          <w:szCs w:val="20"/>
          <w:lang w:eastAsia="ru-RU"/>
        </w:rPr>
        <w:br w:type="page"/>
      </w:r>
    </w:p>
    <w:p w14:paraId="2A9443FC" w14:textId="77777777" w:rsidR="003C4012" w:rsidRPr="00F562A8" w:rsidRDefault="003C4012" w:rsidP="003C4012">
      <w:pPr>
        <w:pStyle w:val="20"/>
        <w:numPr>
          <w:ilvl w:val="1"/>
          <w:numId w:val="21"/>
        </w:numPr>
        <w:spacing w:before="0" w:line="300" w:lineRule="auto"/>
        <w:contextualSpacing/>
        <w:rPr>
          <w:rFonts w:cs="Times New Roman"/>
          <w:iCs/>
          <w:sz w:val="26"/>
          <w:szCs w:val="20"/>
          <w:lang w:eastAsia="ru-RU"/>
        </w:rPr>
      </w:pPr>
      <w:bookmarkStart w:id="110" w:name="_Toc51837399"/>
      <w:bookmarkStart w:id="111" w:name="_Toc110506953"/>
      <w:bookmarkEnd w:id="107"/>
      <w:bookmarkEnd w:id="108"/>
      <w:bookmarkEnd w:id="109"/>
      <w:r w:rsidRPr="00F562A8">
        <w:rPr>
          <w:rFonts w:cs="Times New Roman"/>
          <w:iCs/>
          <w:sz w:val="26"/>
          <w:szCs w:val="20"/>
          <w:lang w:eastAsia="ru-RU"/>
        </w:rPr>
        <w:t>Обоснование подходов к сегментации объектов недвижимости, подлежащих государственной кадастровой оценке, в целях их группировки</w:t>
      </w:r>
      <w:bookmarkEnd w:id="110"/>
      <w:bookmarkEnd w:id="111"/>
    </w:p>
    <w:p w14:paraId="1500F67D" w14:textId="77777777" w:rsidR="003C4012" w:rsidRPr="00F562A8" w:rsidRDefault="003C4012" w:rsidP="003C4012">
      <w:pPr>
        <w:pStyle w:val="20"/>
        <w:spacing w:before="0" w:line="300" w:lineRule="auto"/>
        <w:ind w:left="763"/>
        <w:contextualSpacing/>
        <w:rPr>
          <w:rFonts w:cs="Times New Roman"/>
          <w:iCs/>
          <w:sz w:val="26"/>
          <w:szCs w:val="20"/>
          <w:lang w:eastAsia="ru-RU"/>
        </w:rPr>
      </w:pPr>
      <w:bookmarkStart w:id="112" w:name="_Toc51837400"/>
      <w:bookmarkStart w:id="113" w:name="_Toc110506954"/>
      <w:r w:rsidRPr="00F562A8">
        <w:rPr>
          <w:rFonts w:cs="Times New Roman"/>
          <w:iCs/>
          <w:sz w:val="26"/>
          <w:szCs w:val="20"/>
          <w:lang w:eastAsia="ru-RU"/>
        </w:rPr>
        <w:t>3.3.1 Общие требования к сегментации объектов недвижимости</w:t>
      </w:r>
      <w:bookmarkEnd w:id="112"/>
      <w:bookmarkEnd w:id="113"/>
    </w:p>
    <w:p w14:paraId="60FCC804" w14:textId="77777777" w:rsidR="003C4012" w:rsidRPr="00F562A8" w:rsidRDefault="003C4012" w:rsidP="003C4012">
      <w:pPr>
        <w:spacing w:after="0"/>
        <w:contextualSpacing/>
        <w:rPr>
          <w:rFonts w:ascii="Times New Roman" w:hAnsi="Times New Roman" w:cs="Times New Roman"/>
          <w:sz w:val="16"/>
          <w:szCs w:val="16"/>
          <w:lang w:eastAsia="ru-RU"/>
        </w:rPr>
      </w:pPr>
    </w:p>
    <w:p w14:paraId="5C921A8B"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При определении кадастровой стоимости объекта недвижимости бюджетное учреждение исходит из того, что использование такого объекта недвижимости в соответствии с его разрешенным использованием и назначением может быть продолжено без нарушения требований законодательства. Определение кадастровой стоимости объекта недвижимости осуществляется на основе того из определенных (установленных) для него видов использования, который позволяет использовать его наиболее эффективно, что приводит к максимизации его стоимости.</w:t>
      </w:r>
    </w:p>
    <w:p w14:paraId="6C111F35"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Кроме того, определение кадастровой стоимости должно осуществляться на основе единства судьбы земельного участка и расположенных на нем иных объектов недвижимости. Земельный участок характеризуется его целевым назначением (принадлежностью земельного участка к определенной категории земель) и (или) разрешенным использованием, а также видом осуществляемой на нем деятельности.</w:t>
      </w:r>
    </w:p>
    <w:p w14:paraId="67E736DA"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Для целей определения кадастровой стоимости земельные участки группируются в соответствии с кодами расчета видов использования независимо от категории земель на 14 основных сегментов в соответствии с </w:t>
      </w:r>
      <w:hyperlink r:id="rId114" w:anchor="dst100646" w:history="1">
        <w:r w:rsidRPr="00F562A8">
          <w:rPr>
            <w:rFonts w:ascii="Times New Roman" w:hAnsi="Times New Roman" w:cs="Times New Roman"/>
            <w:bCs/>
            <w:sz w:val="26"/>
            <w:szCs w:val="26"/>
          </w:rPr>
          <w:t>приложением № 1</w:t>
        </w:r>
      </w:hyperlink>
      <w:r w:rsidRPr="00F562A8">
        <w:rPr>
          <w:rFonts w:ascii="Times New Roman" w:hAnsi="Times New Roman" w:cs="Times New Roman"/>
          <w:bCs/>
          <w:sz w:val="26"/>
          <w:szCs w:val="26"/>
        </w:rPr>
        <w:t> к Указаниям:</w:t>
      </w:r>
    </w:p>
    <w:p w14:paraId="2C303A1D"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 </w:t>
      </w:r>
      <w:hyperlink r:id="rId115" w:anchor="dst100652" w:history="1">
        <w:r w:rsidRPr="00F562A8">
          <w:rPr>
            <w:rFonts w:ascii="Times New Roman" w:hAnsi="Times New Roman" w:cs="Times New Roman"/>
            <w:bCs/>
            <w:sz w:val="26"/>
            <w:szCs w:val="26"/>
          </w:rPr>
          <w:t>1 сегмент</w:t>
        </w:r>
      </w:hyperlink>
      <w:r w:rsidRPr="00F562A8">
        <w:rPr>
          <w:rFonts w:ascii="Times New Roman" w:hAnsi="Times New Roman" w:cs="Times New Roman"/>
          <w:bCs/>
          <w:sz w:val="26"/>
          <w:szCs w:val="26"/>
        </w:rPr>
        <w:t> «Сельскохозяйственное использование»;</w:t>
      </w:r>
    </w:p>
    <w:p w14:paraId="51323A1C"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 </w:t>
      </w:r>
      <w:hyperlink r:id="rId116" w:anchor="dst100773" w:history="1">
        <w:r w:rsidRPr="00F562A8">
          <w:rPr>
            <w:rFonts w:ascii="Times New Roman" w:hAnsi="Times New Roman" w:cs="Times New Roman"/>
            <w:bCs/>
            <w:sz w:val="26"/>
            <w:szCs w:val="26"/>
          </w:rPr>
          <w:t>2 сегмент</w:t>
        </w:r>
      </w:hyperlink>
      <w:r w:rsidRPr="00F562A8">
        <w:rPr>
          <w:rFonts w:ascii="Times New Roman" w:hAnsi="Times New Roman" w:cs="Times New Roman"/>
          <w:bCs/>
          <w:sz w:val="26"/>
          <w:szCs w:val="26"/>
        </w:rPr>
        <w:t> «Жилая застройка (среднеэтажная и многоэтажная)»;</w:t>
      </w:r>
    </w:p>
    <w:p w14:paraId="0EEC1A45"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 </w:t>
      </w:r>
      <w:hyperlink r:id="rId117" w:anchor="dst100789" w:history="1">
        <w:r w:rsidRPr="00F562A8">
          <w:rPr>
            <w:rFonts w:ascii="Times New Roman" w:hAnsi="Times New Roman" w:cs="Times New Roman"/>
            <w:bCs/>
            <w:sz w:val="26"/>
            <w:szCs w:val="26"/>
          </w:rPr>
          <w:t>3 сегмент</w:t>
        </w:r>
      </w:hyperlink>
      <w:r w:rsidRPr="00F562A8">
        <w:rPr>
          <w:rFonts w:ascii="Times New Roman" w:hAnsi="Times New Roman" w:cs="Times New Roman"/>
          <w:bCs/>
          <w:sz w:val="26"/>
          <w:szCs w:val="26"/>
        </w:rPr>
        <w:t> «Общественное использование»;</w:t>
      </w:r>
    </w:p>
    <w:p w14:paraId="12B8713B"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 </w:t>
      </w:r>
      <w:hyperlink r:id="rId118" w:anchor="dst100946" w:history="1">
        <w:r w:rsidRPr="00F562A8">
          <w:rPr>
            <w:rFonts w:ascii="Times New Roman" w:hAnsi="Times New Roman" w:cs="Times New Roman"/>
            <w:bCs/>
            <w:sz w:val="26"/>
            <w:szCs w:val="26"/>
          </w:rPr>
          <w:t>4 сегмент</w:t>
        </w:r>
      </w:hyperlink>
      <w:r w:rsidRPr="00F562A8">
        <w:rPr>
          <w:rFonts w:ascii="Times New Roman" w:hAnsi="Times New Roman" w:cs="Times New Roman"/>
          <w:bCs/>
          <w:sz w:val="26"/>
          <w:szCs w:val="26"/>
        </w:rPr>
        <w:t> «Предпринимательство»;</w:t>
      </w:r>
    </w:p>
    <w:p w14:paraId="48DCA5B2"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 </w:t>
      </w:r>
      <w:hyperlink r:id="rId119" w:anchor="dst101016" w:history="1">
        <w:r w:rsidRPr="00F562A8">
          <w:rPr>
            <w:rFonts w:ascii="Times New Roman" w:hAnsi="Times New Roman" w:cs="Times New Roman"/>
            <w:bCs/>
            <w:sz w:val="26"/>
            <w:szCs w:val="26"/>
          </w:rPr>
          <w:t>5 сегмент</w:t>
        </w:r>
      </w:hyperlink>
      <w:r w:rsidRPr="00F562A8">
        <w:rPr>
          <w:rFonts w:ascii="Times New Roman" w:hAnsi="Times New Roman" w:cs="Times New Roman"/>
          <w:bCs/>
          <w:sz w:val="26"/>
          <w:szCs w:val="26"/>
        </w:rPr>
        <w:t> «Отдых (рекреация)»;</w:t>
      </w:r>
    </w:p>
    <w:p w14:paraId="53CD7F85"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 </w:t>
      </w:r>
      <w:hyperlink r:id="rId120" w:anchor="dst101047" w:history="1">
        <w:r w:rsidRPr="00F562A8">
          <w:rPr>
            <w:rFonts w:ascii="Times New Roman" w:hAnsi="Times New Roman" w:cs="Times New Roman"/>
            <w:bCs/>
            <w:sz w:val="26"/>
            <w:szCs w:val="26"/>
          </w:rPr>
          <w:t>6 сегмент</w:t>
        </w:r>
      </w:hyperlink>
      <w:r w:rsidRPr="00F562A8">
        <w:rPr>
          <w:rFonts w:ascii="Times New Roman" w:hAnsi="Times New Roman" w:cs="Times New Roman"/>
          <w:bCs/>
          <w:sz w:val="26"/>
          <w:szCs w:val="26"/>
        </w:rPr>
        <w:t> «Производственная деятельность»;</w:t>
      </w:r>
    </w:p>
    <w:p w14:paraId="0DA1F3B3"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w:t>
      </w:r>
      <w:hyperlink r:id="rId121" w:anchor="dst101273" w:history="1">
        <w:r w:rsidRPr="00F562A8">
          <w:rPr>
            <w:rFonts w:ascii="Times New Roman" w:hAnsi="Times New Roman" w:cs="Times New Roman"/>
            <w:bCs/>
            <w:sz w:val="26"/>
            <w:szCs w:val="26"/>
          </w:rPr>
          <w:t>7 сегмент</w:t>
        </w:r>
      </w:hyperlink>
      <w:r w:rsidRPr="00F562A8">
        <w:rPr>
          <w:rFonts w:ascii="Times New Roman" w:hAnsi="Times New Roman" w:cs="Times New Roman"/>
          <w:bCs/>
          <w:sz w:val="26"/>
          <w:szCs w:val="26"/>
        </w:rPr>
        <w:t> «Транспорт»;</w:t>
      </w:r>
    </w:p>
    <w:p w14:paraId="190EE076"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 </w:t>
      </w:r>
      <w:hyperlink r:id="rId122" w:anchor="dst101307" w:history="1">
        <w:r w:rsidRPr="00F562A8">
          <w:rPr>
            <w:rFonts w:ascii="Times New Roman" w:hAnsi="Times New Roman" w:cs="Times New Roman"/>
            <w:bCs/>
            <w:sz w:val="26"/>
            <w:szCs w:val="26"/>
          </w:rPr>
          <w:t>8 сегмент</w:t>
        </w:r>
      </w:hyperlink>
      <w:r w:rsidRPr="00F562A8">
        <w:rPr>
          <w:rFonts w:ascii="Times New Roman" w:hAnsi="Times New Roman" w:cs="Times New Roman"/>
          <w:bCs/>
          <w:sz w:val="26"/>
          <w:szCs w:val="26"/>
        </w:rPr>
        <w:t> «Обеспечение обороны и безопасности»;</w:t>
      </w:r>
    </w:p>
    <w:p w14:paraId="6AC5DED0"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 </w:t>
      </w:r>
      <w:hyperlink r:id="rId123" w:anchor="dst101314" w:history="1">
        <w:r w:rsidRPr="00F562A8">
          <w:rPr>
            <w:rFonts w:ascii="Times New Roman" w:hAnsi="Times New Roman" w:cs="Times New Roman"/>
            <w:bCs/>
            <w:sz w:val="26"/>
            <w:szCs w:val="26"/>
          </w:rPr>
          <w:t>9 сегмент</w:t>
        </w:r>
      </w:hyperlink>
      <w:r w:rsidRPr="00F562A8">
        <w:rPr>
          <w:rFonts w:ascii="Times New Roman" w:hAnsi="Times New Roman" w:cs="Times New Roman"/>
          <w:bCs/>
          <w:sz w:val="26"/>
          <w:szCs w:val="26"/>
        </w:rPr>
        <w:t> «Охраняемые природные территории и благоустройство»;</w:t>
      </w:r>
    </w:p>
    <w:p w14:paraId="4401CA7F"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 </w:t>
      </w:r>
      <w:hyperlink r:id="rId124" w:anchor="dst101354" w:history="1">
        <w:r w:rsidRPr="00F562A8">
          <w:rPr>
            <w:rFonts w:ascii="Times New Roman" w:hAnsi="Times New Roman" w:cs="Times New Roman"/>
            <w:bCs/>
            <w:sz w:val="26"/>
            <w:szCs w:val="26"/>
          </w:rPr>
          <w:t>10 сегмент</w:t>
        </w:r>
      </w:hyperlink>
      <w:r w:rsidRPr="00F562A8">
        <w:rPr>
          <w:rFonts w:ascii="Times New Roman" w:hAnsi="Times New Roman" w:cs="Times New Roman"/>
          <w:bCs/>
          <w:sz w:val="26"/>
          <w:szCs w:val="26"/>
        </w:rPr>
        <w:t> «Использование лесов»;</w:t>
      </w:r>
    </w:p>
    <w:p w14:paraId="13C24A93"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 </w:t>
      </w:r>
      <w:hyperlink r:id="rId125" w:anchor="dst101370" w:history="1">
        <w:r w:rsidRPr="00F562A8">
          <w:rPr>
            <w:rFonts w:ascii="Times New Roman" w:hAnsi="Times New Roman" w:cs="Times New Roman"/>
            <w:bCs/>
            <w:sz w:val="26"/>
            <w:szCs w:val="26"/>
          </w:rPr>
          <w:t>11 сегмент</w:t>
        </w:r>
      </w:hyperlink>
      <w:r w:rsidRPr="00F562A8">
        <w:rPr>
          <w:rFonts w:ascii="Times New Roman" w:hAnsi="Times New Roman" w:cs="Times New Roman"/>
          <w:bCs/>
          <w:sz w:val="26"/>
          <w:szCs w:val="26"/>
        </w:rPr>
        <w:t> «Водные объекты»;</w:t>
      </w:r>
    </w:p>
    <w:p w14:paraId="1FB3941D"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 </w:t>
      </w:r>
      <w:hyperlink r:id="rId126" w:anchor="dst101380" w:history="1">
        <w:r w:rsidRPr="00F562A8">
          <w:rPr>
            <w:rFonts w:ascii="Times New Roman" w:hAnsi="Times New Roman" w:cs="Times New Roman"/>
            <w:bCs/>
            <w:sz w:val="26"/>
            <w:szCs w:val="26"/>
          </w:rPr>
          <w:t>12 сегмент</w:t>
        </w:r>
      </w:hyperlink>
      <w:r w:rsidRPr="00F562A8">
        <w:rPr>
          <w:rFonts w:ascii="Times New Roman" w:hAnsi="Times New Roman" w:cs="Times New Roman"/>
          <w:bCs/>
          <w:sz w:val="26"/>
          <w:szCs w:val="26"/>
        </w:rPr>
        <w:t> «Специальное, ритуальное использование, запас»;</w:t>
      </w:r>
    </w:p>
    <w:p w14:paraId="4745E48B"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 </w:t>
      </w:r>
      <w:hyperlink r:id="rId127" w:anchor="dst101399" w:history="1">
        <w:r w:rsidRPr="00F562A8">
          <w:rPr>
            <w:rFonts w:ascii="Times New Roman" w:hAnsi="Times New Roman" w:cs="Times New Roman"/>
            <w:bCs/>
            <w:sz w:val="26"/>
            <w:szCs w:val="26"/>
          </w:rPr>
          <w:t>13 сегмент</w:t>
        </w:r>
      </w:hyperlink>
      <w:r w:rsidRPr="00F562A8">
        <w:rPr>
          <w:rFonts w:ascii="Times New Roman" w:hAnsi="Times New Roman" w:cs="Times New Roman"/>
          <w:bCs/>
          <w:sz w:val="26"/>
          <w:szCs w:val="26"/>
        </w:rPr>
        <w:t> «Садоводство и огородничество, малоэтажная жилая застройка»;</w:t>
      </w:r>
    </w:p>
    <w:p w14:paraId="5F5D7153"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w:t>
      </w:r>
      <w:hyperlink r:id="rId128" w:anchor="Par1685" w:tooltip="14. СЕГМЕНТ &quot;Иное использование&quot;" w:history="1">
        <w:r w:rsidRPr="00F562A8">
          <w:rPr>
            <w:rFonts w:ascii="Times New Roman" w:hAnsi="Times New Roman" w:cs="Times New Roman"/>
            <w:bCs/>
            <w:sz w:val="26"/>
            <w:szCs w:val="26"/>
          </w:rPr>
          <w:t>14 сегмент</w:t>
        </w:r>
      </w:hyperlink>
      <w:r w:rsidRPr="00F562A8">
        <w:rPr>
          <w:rFonts w:ascii="Times New Roman" w:hAnsi="Times New Roman" w:cs="Times New Roman"/>
          <w:bCs/>
          <w:sz w:val="26"/>
          <w:szCs w:val="26"/>
        </w:rPr>
        <w:t xml:space="preserve"> «Иное использование» - вид использования земельных участков, не указанный в предыдущих 13 сегментах. </w:t>
      </w:r>
    </w:p>
    <w:p w14:paraId="1ED16C46"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При отнесении в эту группу обязательно проводится дополнительная группировка по одинаковым видам использования с указанием вида использования земельных участков.</w:t>
      </w:r>
    </w:p>
    <w:p w14:paraId="63337B37"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Все земельные участки группируются с присвоением кода согласно следующему правилу:</w:t>
      </w:r>
    </w:p>
    <w:p w14:paraId="44876EE0" w14:textId="77777777" w:rsidR="00D36832" w:rsidRPr="009261D0" w:rsidRDefault="00D36832" w:rsidP="00D36832">
      <w:pPr>
        <w:spacing w:after="0" w:line="276" w:lineRule="auto"/>
        <w:ind w:firstLine="709"/>
        <w:jc w:val="both"/>
        <w:rPr>
          <w:rFonts w:ascii="Times New Roman" w:hAnsi="Times New Roman" w:cs="Times New Roman"/>
          <w:bCs/>
          <w:sz w:val="26"/>
          <w:szCs w:val="26"/>
        </w:rPr>
      </w:pPr>
      <w:r w:rsidRPr="009261D0">
        <w:rPr>
          <w:rFonts w:ascii="Times New Roman" w:hAnsi="Times New Roman" w:cs="Times New Roman"/>
          <w:bCs/>
          <w:sz w:val="26"/>
          <w:szCs w:val="26"/>
        </w:rPr>
        <w:t>Все земельные участки группируются с присвоением кода согласно следующему правилу:</w:t>
      </w:r>
    </w:p>
    <w:p w14:paraId="1AB56304" w14:textId="77777777" w:rsidR="00D36832" w:rsidRPr="009261D0" w:rsidRDefault="00D36832" w:rsidP="00D36832">
      <w:pPr>
        <w:spacing w:after="0" w:line="276" w:lineRule="auto"/>
        <w:ind w:firstLine="709"/>
        <w:jc w:val="both"/>
        <w:rPr>
          <w:rFonts w:ascii="Times New Roman" w:hAnsi="Times New Roman" w:cs="Times New Roman"/>
          <w:bCs/>
          <w:sz w:val="26"/>
          <w:szCs w:val="26"/>
        </w:rPr>
      </w:pPr>
      <w:r w:rsidRPr="009261D0">
        <w:rPr>
          <w:rFonts w:ascii="Times New Roman" w:hAnsi="Times New Roman" w:cs="Times New Roman"/>
          <w:bCs/>
          <w:sz w:val="26"/>
          <w:szCs w:val="26"/>
        </w:rPr>
        <w:t>AA:BBB.CC...DD, где:</w:t>
      </w:r>
    </w:p>
    <w:p w14:paraId="3BA4498D" w14:textId="77777777" w:rsidR="00D36832" w:rsidRPr="009261D0" w:rsidRDefault="00D36832" w:rsidP="00D36832">
      <w:pPr>
        <w:spacing w:after="0" w:line="276" w:lineRule="auto"/>
        <w:ind w:firstLine="709"/>
        <w:jc w:val="both"/>
        <w:rPr>
          <w:rFonts w:ascii="Times New Roman" w:hAnsi="Times New Roman" w:cs="Times New Roman"/>
          <w:bCs/>
          <w:sz w:val="26"/>
          <w:szCs w:val="26"/>
        </w:rPr>
      </w:pPr>
      <w:r w:rsidRPr="009261D0">
        <w:rPr>
          <w:rFonts w:ascii="Times New Roman" w:hAnsi="Times New Roman" w:cs="Times New Roman"/>
          <w:bCs/>
          <w:sz w:val="26"/>
          <w:szCs w:val="26"/>
        </w:rPr>
        <w:t>AA:BBB - сегмент (первый уровень) и группа (второй уровень) - обязательный к указанию код расчета вида использования для целей Указаний в соответствии с приложением N 1 к Указаниям;</w:t>
      </w:r>
    </w:p>
    <w:p w14:paraId="28A6696F" w14:textId="77777777" w:rsidR="00D36832" w:rsidRPr="009261D0" w:rsidRDefault="00D36832" w:rsidP="00D36832">
      <w:pPr>
        <w:spacing w:after="0" w:line="276" w:lineRule="auto"/>
        <w:ind w:firstLine="709"/>
        <w:jc w:val="both"/>
        <w:rPr>
          <w:rFonts w:ascii="Times New Roman" w:hAnsi="Times New Roman" w:cs="Times New Roman"/>
          <w:bCs/>
          <w:sz w:val="26"/>
          <w:szCs w:val="26"/>
        </w:rPr>
      </w:pPr>
      <w:r w:rsidRPr="009261D0">
        <w:rPr>
          <w:rFonts w:ascii="Times New Roman" w:hAnsi="Times New Roman" w:cs="Times New Roman"/>
          <w:bCs/>
          <w:sz w:val="26"/>
          <w:szCs w:val="26"/>
        </w:rPr>
        <w:t>CC - номер подгруппы по порядку третьего уровня;</w:t>
      </w:r>
    </w:p>
    <w:p w14:paraId="13279E8B" w14:textId="77777777" w:rsidR="00D36832" w:rsidRPr="009261D0" w:rsidRDefault="00D36832" w:rsidP="00D36832">
      <w:pPr>
        <w:spacing w:after="0" w:line="276" w:lineRule="auto"/>
        <w:ind w:firstLine="709"/>
        <w:jc w:val="both"/>
        <w:rPr>
          <w:rFonts w:ascii="Times New Roman" w:hAnsi="Times New Roman" w:cs="Times New Roman"/>
          <w:bCs/>
          <w:sz w:val="26"/>
          <w:szCs w:val="26"/>
        </w:rPr>
      </w:pPr>
      <w:r w:rsidRPr="009261D0">
        <w:rPr>
          <w:rFonts w:ascii="Times New Roman" w:hAnsi="Times New Roman" w:cs="Times New Roman"/>
          <w:bCs/>
          <w:sz w:val="26"/>
          <w:szCs w:val="26"/>
        </w:rPr>
        <w:t>DD - номер подгруппы по порядку наибольшего уровня.</w:t>
      </w:r>
    </w:p>
    <w:p w14:paraId="71F9FE74" w14:textId="77777777" w:rsidR="00D36832" w:rsidRPr="009261D0" w:rsidRDefault="00D36832" w:rsidP="00D36832">
      <w:pPr>
        <w:spacing w:after="0" w:line="276" w:lineRule="auto"/>
        <w:ind w:firstLine="709"/>
        <w:jc w:val="both"/>
        <w:rPr>
          <w:rFonts w:ascii="Times New Roman" w:hAnsi="Times New Roman" w:cs="Times New Roman"/>
          <w:bCs/>
          <w:sz w:val="26"/>
          <w:szCs w:val="26"/>
        </w:rPr>
      </w:pPr>
      <w:r w:rsidRPr="009261D0">
        <w:rPr>
          <w:rFonts w:ascii="Times New Roman" w:hAnsi="Times New Roman" w:cs="Times New Roman"/>
          <w:bCs/>
          <w:sz w:val="26"/>
          <w:szCs w:val="26"/>
        </w:rPr>
        <w:t>Сегментирование и группировка первого и второго уровней (AA:BBB) обязательны к указанию для всех земельных участков.</w:t>
      </w:r>
    </w:p>
    <w:p w14:paraId="7875B8BF"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9261D0">
        <w:rPr>
          <w:rFonts w:ascii="Times New Roman" w:hAnsi="Times New Roman" w:cs="Times New Roman"/>
          <w:bCs/>
          <w:sz w:val="26"/>
          <w:szCs w:val="26"/>
        </w:rPr>
        <w:t>Таким образом, вид использования земельного участка является одной из основных характеристик земельного участка, на основании которой осуществляется определение кадастровой стоимости земельного участка, и первичным признаком для осуществления группировки земельных участков для целей определения кадастровой стоимости.</w:t>
      </w:r>
    </w:p>
    <w:p w14:paraId="573D75CA"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В процессе группировки земельных участков с присвоением кодов проводился дополнительный анализ на соответствие присвоенных кодов расчета видов использования данным предыдущего тура государственной кадастровой оценки.</w:t>
      </w:r>
    </w:p>
    <w:p w14:paraId="6BDCB0B4" w14:textId="77777777" w:rsidR="003C4012" w:rsidRPr="00F562A8"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Для целей группировки земельные участки, представленные в Перечне объектов недвижимости, подлежащих государственной кадастровой оценке по виду использования, были отнесены к 1, 2, 3, 4, 5, 6, 7, 8, 9, 10, 11, 12, 13</w:t>
      </w:r>
      <w:r>
        <w:rPr>
          <w:rFonts w:ascii="Times New Roman" w:hAnsi="Times New Roman" w:cs="Times New Roman"/>
          <w:bCs/>
          <w:sz w:val="26"/>
          <w:szCs w:val="26"/>
        </w:rPr>
        <w:t xml:space="preserve"> </w:t>
      </w:r>
      <w:r w:rsidRPr="00F562A8">
        <w:rPr>
          <w:rFonts w:ascii="Times New Roman" w:hAnsi="Times New Roman" w:cs="Times New Roman"/>
          <w:bCs/>
          <w:sz w:val="26"/>
          <w:szCs w:val="26"/>
        </w:rPr>
        <w:t>сегментам.</w:t>
      </w:r>
      <w:bookmarkStart w:id="114" w:name="_Ref511233969"/>
    </w:p>
    <w:bookmarkEnd w:id="114"/>
    <w:p w14:paraId="0C73DFEE" w14:textId="77777777" w:rsidR="003C4012" w:rsidRDefault="003C4012" w:rsidP="003C4012">
      <w:pPr>
        <w:spacing w:after="0" w:line="276" w:lineRule="auto"/>
        <w:ind w:firstLine="709"/>
        <w:contextualSpacing/>
        <w:jc w:val="both"/>
        <w:rPr>
          <w:rFonts w:ascii="Times New Roman" w:hAnsi="Times New Roman" w:cs="Times New Roman"/>
          <w:bCs/>
          <w:sz w:val="26"/>
          <w:szCs w:val="26"/>
        </w:rPr>
      </w:pPr>
      <w:r w:rsidRPr="00F562A8">
        <w:rPr>
          <w:rFonts w:ascii="Times New Roman" w:hAnsi="Times New Roman" w:cs="Times New Roman"/>
          <w:bCs/>
          <w:sz w:val="26"/>
          <w:szCs w:val="26"/>
        </w:rPr>
        <w:t xml:space="preserve">В соответствии с Перечнем общее количество земельных участков составило </w:t>
      </w:r>
      <w:r w:rsidRPr="00105116">
        <w:rPr>
          <w:rFonts w:ascii="Times New Roman" w:hAnsi="Times New Roman" w:cs="Times New Roman"/>
          <w:bCs/>
          <w:sz w:val="26"/>
          <w:szCs w:val="26"/>
        </w:rPr>
        <w:t>1 215 40</w:t>
      </w:r>
      <w:r>
        <w:rPr>
          <w:rFonts w:ascii="Times New Roman" w:hAnsi="Times New Roman" w:cs="Times New Roman"/>
          <w:bCs/>
          <w:sz w:val="26"/>
          <w:szCs w:val="26"/>
        </w:rPr>
        <w:t>8</w:t>
      </w:r>
      <w:r w:rsidRPr="00105116">
        <w:rPr>
          <w:rFonts w:ascii="Times New Roman" w:hAnsi="Times New Roman" w:cs="Times New Roman"/>
          <w:bCs/>
          <w:sz w:val="26"/>
          <w:szCs w:val="26"/>
        </w:rPr>
        <w:t xml:space="preserve"> объект недвижимости, в том числе 12 486 объектов недвижимости лесного фонда, 57 объектов водного фонда, 913 14</w:t>
      </w:r>
      <w:r>
        <w:rPr>
          <w:rFonts w:ascii="Times New Roman" w:hAnsi="Times New Roman" w:cs="Times New Roman"/>
          <w:bCs/>
          <w:sz w:val="26"/>
          <w:szCs w:val="26"/>
        </w:rPr>
        <w:t>3</w:t>
      </w:r>
      <w:r w:rsidRPr="00105116">
        <w:rPr>
          <w:rFonts w:ascii="Times New Roman" w:hAnsi="Times New Roman" w:cs="Times New Roman"/>
          <w:bCs/>
          <w:sz w:val="26"/>
          <w:szCs w:val="26"/>
        </w:rPr>
        <w:t xml:space="preserve"> объектов категории земель населенных пунктов, 9 975 земли промышленности, энергетики, транспорта, земли обороны, безопасности и земли иного специального назначения, 279 544 объектов сельскохозяйственного назначения, 168 объектов особо охраняемых территорий и объектов, 12 объектов земель запаса, 23 объекта категория, которых не установлена</w:t>
      </w:r>
      <w:r>
        <w:rPr>
          <w:rFonts w:ascii="Times New Roman" w:hAnsi="Times New Roman" w:cs="Times New Roman"/>
          <w:bCs/>
          <w:sz w:val="26"/>
          <w:szCs w:val="26"/>
        </w:rPr>
        <w:t>.</w:t>
      </w:r>
    </w:p>
    <w:p w14:paraId="54626EB9" w14:textId="77777777" w:rsidR="003C4012" w:rsidRPr="00F562A8" w:rsidRDefault="003C4012" w:rsidP="003C4012">
      <w:pPr>
        <w:spacing w:after="0" w:line="276" w:lineRule="auto"/>
        <w:ind w:firstLine="709"/>
        <w:contextualSpacing/>
        <w:jc w:val="both"/>
        <w:rPr>
          <w:rFonts w:ascii="Times New Roman" w:hAnsi="Times New Roman" w:cs="Times New Roman"/>
          <w:bCs/>
          <w:sz w:val="16"/>
          <w:szCs w:val="16"/>
        </w:rPr>
      </w:pPr>
    </w:p>
    <w:p w14:paraId="5F3E9110" w14:textId="77777777" w:rsidR="003C4012" w:rsidRPr="00260FF1" w:rsidRDefault="003C4012" w:rsidP="003C4012">
      <w:pPr>
        <w:spacing w:after="0" w:line="276" w:lineRule="auto"/>
        <w:ind w:firstLine="709"/>
        <w:contextualSpacing/>
        <w:jc w:val="center"/>
        <w:rPr>
          <w:rFonts w:ascii="Times New Roman" w:hAnsi="Times New Roman" w:cs="Times New Roman"/>
          <w:bCs/>
          <w:i/>
          <w:sz w:val="26"/>
          <w:szCs w:val="26"/>
        </w:rPr>
      </w:pPr>
      <w:r w:rsidRPr="00260FF1">
        <w:rPr>
          <w:rFonts w:ascii="Times New Roman" w:hAnsi="Times New Roman" w:cs="Times New Roman"/>
          <w:bCs/>
          <w:i/>
          <w:sz w:val="26"/>
          <w:szCs w:val="26"/>
        </w:rPr>
        <w:t>Описание земель лесного фонда</w:t>
      </w:r>
    </w:p>
    <w:p w14:paraId="7E4FF531" w14:textId="77777777" w:rsidR="003C4012" w:rsidRPr="00F562A8" w:rsidRDefault="003C4012" w:rsidP="003C4012">
      <w:pPr>
        <w:spacing w:after="0" w:line="276" w:lineRule="auto"/>
        <w:ind w:firstLine="709"/>
        <w:contextualSpacing/>
        <w:jc w:val="both"/>
        <w:rPr>
          <w:rFonts w:ascii="Times New Roman" w:hAnsi="Times New Roman" w:cs="Times New Roman"/>
          <w:color w:val="000000"/>
          <w:sz w:val="26"/>
          <w:szCs w:val="26"/>
        </w:rPr>
      </w:pPr>
      <w:bookmarkStart w:id="115" w:name="_Hlk5358357"/>
      <w:r w:rsidRPr="00F562A8">
        <w:rPr>
          <w:rFonts w:ascii="Times New Roman" w:hAnsi="Times New Roman" w:cs="Times New Roman"/>
          <w:bCs/>
          <w:sz w:val="26"/>
          <w:szCs w:val="26"/>
        </w:rPr>
        <w:t>Лес, как сложная система, имеет большое влияние на природные процессы и жизнедеятельность человека. Отношение человека к лесу менялось в зависимости от его потребностей. Исторически для человека лес был местом для добычи пропитания, строительных материалов и лекарственного сырья. Понятие «использование лесных ресурсов» может быть рассмотрено как с экономической точки зрения, так и с юридической. С экономической точки зрения использование лесных ресурсов – это деятельность, направленная на изъятие и использование свойств</w:t>
      </w:r>
      <w:r w:rsidRPr="00F562A8">
        <w:rPr>
          <w:rFonts w:ascii="Times New Roman" w:hAnsi="Times New Roman" w:cs="Times New Roman"/>
          <w:color w:val="000000"/>
          <w:sz w:val="26"/>
          <w:szCs w:val="26"/>
        </w:rPr>
        <w:t xml:space="preserve"> лесных ресурсов. С юридической точки зрения – это правовой институт (право на использование лесных ресурсов). Процесс использования лесов регулируются нормами лесного законодательства, которые устанавливают основания для возникновения, осуществления, ограничения, приостановления и прекращения права пользования лесными участками.</w:t>
      </w:r>
    </w:p>
    <w:p w14:paraId="5C7E4598" w14:textId="77777777" w:rsidR="003C4012" w:rsidRPr="00F562A8" w:rsidRDefault="003C4012" w:rsidP="003C4012">
      <w:pPr>
        <w:pStyle w:val="af5"/>
        <w:spacing w:before="0" w:beforeAutospacing="0" w:after="0" w:afterAutospacing="0" w:line="276" w:lineRule="auto"/>
        <w:ind w:firstLine="709"/>
        <w:contextualSpacing/>
        <w:jc w:val="both"/>
        <w:rPr>
          <w:color w:val="000000"/>
          <w:sz w:val="26"/>
          <w:szCs w:val="26"/>
        </w:rPr>
      </w:pPr>
      <w:r w:rsidRPr="00F562A8">
        <w:rPr>
          <w:color w:val="000000"/>
          <w:sz w:val="26"/>
          <w:szCs w:val="26"/>
        </w:rPr>
        <w:t>Основным документом, который регулирует лесные отношения в России, является Лесной кодекс. Последний Лесной кодекс Российской Федерации, который вступил в силу 1 января 2007 года. Кодекс устанавливает правовую основу для рационального использования, защиты и воспроизводства лесов, повышения их экологического и ресурсного потенциала.</w:t>
      </w:r>
    </w:p>
    <w:p w14:paraId="7340CE87" w14:textId="77777777" w:rsidR="003C4012" w:rsidRPr="00F562A8" w:rsidRDefault="003C4012" w:rsidP="003C4012">
      <w:pPr>
        <w:pStyle w:val="af5"/>
        <w:spacing w:before="0" w:beforeAutospacing="0" w:after="0" w:afterAutospacing="0" w:line="276" w:lineRule="auto"/>
        <w:ind w:firstLine="709"/>
        <w:contextualSpacing/>
        <w:jc w:val="both"/>
        <w:rPr>
          <w:color w:val="000000"/>
          <w:szCs w:val="26"/>
        </w:rPr>
      </w:pPr>
      <w:r w:rsidRPr="00F562A8">
        <w:rPr>
          <w:color w:val="000000"/>
          <w:sz w:val="26"/>
          <w:szCs w:val="26"/>
        </w:rPr>
        <w:t>Использование лесов может быть выполнено с предоставлением или без предоставления лесных участков. Если лесопользования является предпринимательской деятельностью, то лесные участки предоставляются только на договорной основе. Правовая основа для использования лесных ресурсов устанавливается в главе 2 Лесного кодекса "Использование лесов". Направления использования лесов определены в главе 2, статье 25 Лесного кодекса "Виды использования лесов</w:t>
      </w:r>
      <w:r w:rsidRPr="00F562A8">
        <w:rPr>
          <w:color w:val="000000"/>
          <w:szCs w:val="26"/>
        </w:rPr>
        <w:t>".</w:t>
      </w:r>
      <w:r w:rsidRPr="00F562A8">
        <w:rPr>
          <w:rStyle w:val="af2"/>
          <w:color w:val="000000"/>
          <w:szCs w:val="26"/>
        </w:rPr>
        <w:footnoteReference w:id="119"/>
      </w:r>
    </w:p>
    <w:p w14:paraId="184009FB" w14:textId="77777777" w:rsidR="003C4012" w:rsidRPr="00F562A8" w:rsidRDefault="003C4012" w:rsidP="003C4012">
      <w:pPr>
        <w:spacing w:after="0" w:line="276" w:lineRule="auto"/>
        <w:ind w:firstLine="709"/>
        <w:contextualSpacing/>
        <w:jc w:val="both"/>
        <w:rPr>
          <w:rFonts w:ascii="Times New Roman" w:hAnsi="Times New Roman" w:cs="Times New Roman"/>
          <w:color w:val="000000"/>
          <w:sz w:val="26"/>
          <w:szCs w:val="26"/>
          <w:shd w:val="clear" w:color="auto" w:fill="FFFFFF"/>
        </w:rPr>
      </w:pPr>
      <w:r w:rsidRPr="00F562A8">
        <w:rPr>
          <w:rFonts w:ascii="Times New Roman" w:hAnsi="Times New Roman" w:cs="Times New Roman"/>
          <w:color w:val="000000"/>
          <w:sz w:val="26"/>
          <w:szCs w:val="26"/>
          <w:shd w:val="clear" w:color="auto" w:fill="FFFFFF"/>
        </w:rPr>
        <w:t>На сегодняшний день физические и юридические лица проявляют большую заинтересованность в освоении земель лесного фонда, которые находятся исключительно в федеральной собственности. Земли лесного фонда имеют весьма своеобразный правовой режим, в котором главенствующая роль отведена не непосредственно земле, а расположенным на ней лесным насаждениям.</w:t>
      </w:r>
    </w:p>
    <w:p w14:paraId="6BCB9C40" w14:textId="77777777" w:rsidR="003C4012" w:rsidRPr="00F562A8" w:rsidRDefault="003C4012" w:rsidP="003C4012">
      <w:pPr>
        <w:spacing w:after="0" w:line="276" w:lineRule="auto"/>
        <w:ind w:firstLine="709"/>
        <w:contextualSpacing/>
        <w:jc w:val="both"/>
        <w:rPr>
          <w:rFonts w:ascii="Times New Roman" w:hAnsi="Times New Roman" w:cs="Times New Roman"/>
          <w:color w:val="000000"/>
          <w:sz w:val="24"/>
          <w:szCs w:val="26"/>
          <w:shd w:val="clear" w:color="auto" w:fill="FFFFFF"/>
        </w:rPr>
      </w:pPr>
      <w:r w:rsidRPr="00F562A8">
        <w:rPr>
          <w:rFonts w:ascii="Times New Roman" w:hAnsi="Times New Roman" w:cs="Times New Roman"/>
          <w:color w:val="000000"/>
          <w:sz w:val="26"/>
          <w:szCs w:val="26"/>
          <w:shd w:val="clear" w:color="auto" w:fill="FFFFFF"/>
        </w:rPr>
        <w:t>Лесным участком является земельный участок, который расположен в границах лесничеств, лесопарков, и образован в соответствии с требованиями земельного законодательства и Лесного кодекса Российской Федерации, а лесные участки, входящие в состав земель иных категорий, определяются в соответствии с земельным законодательством. Лесные участки могут быть предоставлены в постоянное пользование (его еще называют бессрочным), аренду либо в безвозмездное пользование на определенный срок. Лесные участки, относящиеся к федеральной собственности, продаже не подлежат, но их можно взять в аренду, срок действия которой составляет от года до сорока девяти лет. Купить такие участки можно только после проведения процедуры перевода земель лесного фонда в земли иной категории, однако для этого потребуются веские основания, поэтому для частных лиц иного выхода, как брать землю в аренду, не остается. Лесной участок, находящийся в государственной собственности, может быть предоставлен в аренду для одной или нескольких целей, а именно: для заготовки древесины; для заготовки и сбора не древесных лесных ресурсов; для заготовки пищевых лесных ресурсов и сбора лекарственных растений; для осуществления видов деятельности в сфере охотничьего хозяйства; для ведения сельского хозяйства; для осуществления научно-исследовательской и образовательной деятельности; для осуществления рекреационной деятельности; для иных видов, определенных в соответствии со статьей 25 Лесного кодекса РФ</w:t>
      </w:r>
      <w:r w:rsidRPr="00F562A8">
        <w:rPr>
          <w:rFonts w:ascii="Times New Roman" w:hAnsi="Times New Roman" w:cs="Times New Roman"/>
          <w:color w:val="000000"/>
          <w:sz w:val="24"/>
          <w:szCs w:val="26"/>
          <w:shd w:val="clear" w:color="auto" w:fill="FFFFFF"/>
        </w:rPr>
        <w:t>.</w:t>
      </w:r>
      <w:r w:rsidRPr="00F562A8">
        <w:rPr>
          <w:rStyle w:val="af2"/>
          <w:rFonts w:ascii="Times New Roman" w:hAnsi="Times New Roman" w:cs="Times New Roman"/>
          <w:color w:val="000000"/>
          <w:sz w:val="24"/>
          <w:szCs w:val="26"/>
          <w:shd w:val="clear" w:color="auto" w:fill="FFFFFF"/>
        </w:rPr>
        <w:footnoteReference w:id="120"/>
      </w:r>
    </w:p>
    <w:p w14:paraId="7D363AAF" w14:textId="77777777" w:rsidR="003C4012" w:rsidRPr="001F18A6" w:rsidRDefault="003C4012" w:rsidP="003C4012">
      <w:pPr>
        <w:spacing w:after="0" w:line="276" w:lineRule="auto"/>
        <w:ind w:firstLine="708"/>
        <w:contextualSpacing/>
        <w:jc w:val="both"/>
        <w:rPr>
          <w:rStyle w:val="af2"/>
          <w:color w:val="000000"/>
          <w:sz w:val="24"/>
        </w:rPr>
      </w:pPr>
      <w:r w:rsidRPr="00F562A8">
        <w:rPr>
          <w:rFonts w:ascii="Times New Roman" w:hAnsi="Times New Roman" w:cs="Times New Roman"/>
          <w:sz w:val="26"/>
          <w:szCs w:val="26"/>
        </w:rPr>
        <w:t>Согласно постановлению Правительства РФ от 23.09.2010 N 736 (ред. от 12.02.2020) «О Федеральном агентстве лесного хозяйства» Федеральное агентство лесного хозяйства (Рослесхоз) является федеральным органом исполнительной власти, осуществляющим функции по контролю и надзору в области лесных отношений (за исключением лесов, расположенных на особо охраняемых при</w:t>
      </w:r>
      <w:r w:rsidRPr="00F562A8">
        <w:rPr>
          <w:rFonts w:ascii="Times New Roman" w:hAnsi="Times New Roman" w:cs="Times New Roman"/>
          <w:sz w:val="26"/>
          <w:szCs w:val="26"/>
          <w:shd w:val="clear" w:color="auto" w:fill="FFFFFF"/>
        </w:rPr>
        <w:t>родных территориях), а также по оказанию государственных услуг и управлению государственным имуществом в области лесных отношений. Рослесхоз находится в ведении </w:t>
      </w:r>
      <w:hyperlink r:id="rId129" w:anchor="dst100018" w:history="1">
        <w:r w:rsidRPr="00F562A8">
          <w:rPr>
            <w:rFonts w:ascii="Times New Roman" w:hAnsi="Times New Roman" w:cs="Times New Roman"/>
            <w:sz w:val="26"/>
            <w:szCs w:val="26"/>
            <w:shd w:val="clear" w:color="auto" w:fill="FFFFFF"/>
          </w:rPr>
          <w:t>Министерства</w:t>
        </w:r>
      </w:hyperlink>
      <w:r w:rsidRPr="00F562A8">
        <w:rPr>
          <w:rFonts w:ascii="Times New Roman" w:hAnsi="Times New Roman" w:cs="Times New Roman"/>
          <w:sz w:val="26"/>
          <w:szCs w:val="26"/>
          <w:shd w:val="clear" w:color="auto" w:fill="FFFFFF"/>
        </w:rPr>
        <w:t xml:space="preserve"> природных ресурсов и экологии Российской Федерации, осуществляет свою деятельность непосредственно, через свои территориальные органы и подведомственные организации во взаимодействии с другими федеральными органами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w:t>
      </w:r>
      <w:r w:rsidRPr="001F18A6">
        <w:rPr>
          <w:rStyle w:val="af2"/>
          <w:color w:val="000000"/>
          <w:sz w:val="24"/>
        </w:rPr>
        <w:t>.</w:t>
      </w:r>
      <w:r w:rsidRPr="001F18A6">
        <w:rPr>
          <w:rStyle w:val="af2"/>
          <w:color w:val="000000"/>
          <w:sz w:val="24"/>
          <w:shd w:val="clear" w:color="auto" w:fill="FFFFFF"/>
        </w:rPr>
        <w:footnoteReference w:id="121"/>
      </w:r>
    </w:p>
    <w:p w14:paraId="24763A18"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bookmarkStart w:id="116" w:name="_Hlk5358423"/>
      <w:bookmarkEnd w:id="115"/>
      <w:r w:rsidRPr="00F562A8">
        <w:rPr>
          <w:rFonts w:ascii="Times New Roman" w:hAnsi="Times New Roman" w:cs="Times New Roman"/>
          <w:sz w:val="26"/>
          <w:szCs w:val="26"/>
          <w:shd w:val="clear" w:color="auto" w:fill="FFFFFF"/>
        </w:rPr>
        <w:t>Согласно постановлению Правительства Воронежской области от 12 мая 2009г. №379 «Об отверждении положения об управл</w:t>
      </w:r>
      <w:r w:rsidRPr="00F562A8">
        <w:rPr>
          <w:rFonts w:ascii="Times New Roman" w:hAnsi="Times New Roman" w:cs="Times New Roman"/>
          <w:color w:val="000000"/>
          <w:sz w:val="26"/>
          <w:szCs w:val="26"/>
          <w:shd w:val="clear" w:color="auto" w:fill="FFFFFF"/>
        </w:rPr>
        <w:t>ении лесного хозяйства Воронежской области» Управление лесного хозяйства Воронежской области является исполнительным органом государственной власти Воронежской области, обеспечивающим на территории Воронежской области разработку и реализацию государственной политики Воронежской области, управление и оказание государственных услуг в сфере лесного хозяйства, в сфере сохранения и воспроизводства защитных лесных насаждений на землях сельскохозяйственного назначения, в сфере организации деятельности пунктов приема и отгрузки древесины, в сфере создания и использования лесопарковых зеленых поясов, а также осуществляющим переданные органам государственной власти субъектов Российской Федерации полномочия Российской Федерации в сфере лесных отношений.</w:t>
      </w:r>
    </w:p>
    <w:p w14:paraId="669F818F" w14:textId="77777777" w:rsidR="003C4012" w:rsidRPr="00F562A8" w:rsidRDefault="003C4012" w:rsidP="003C4012">
      <w:pPr>
        <w:shd w:val="clear" w:color="auto" w:fill="FFFFFF"/>
        <w:spacing w:after="0" w:line="276" w:lineRule="auto"/>
        <w:ind w:firstLine="709"/>
        <w:contextualSpacing/>
        <w:jc w:val="both"/>
        <w:rPr>
          <w:rFonts w:ascii="Times New Roman" w:eastAsia="Times New Roman" w:hAnsi="Times New Roman" w:cs="Times New Roman"/>
          <w:color w:val="000000"/>
          <w:sz w:val="26"/>
          <w:szCs w:val="26"/>
          <w:lang w:eastAsia="ru-RU"/>
        </w:rPr>
      </w:pPr>
      <w:r w:rsidRPr="00F562A8">
        <w:rPr>
          <w:rFonts w:ascii="Times New Roman" w:eastAsia="Times New Roman" w:hAnsi="Times New Roman" w:cs="Times New Roman"/>
          <w:color w:val="000000"/>
          <w:sz w:val="26"/>
          <w:szCs w:val="26"/>
          <w:lang w:eastAsia="ru-RU"/>
        </w:rPr>
        <w:t xml:space="preserve">Арендодателем по договору аренды участка лесного фонда Воронежской области (т.е. лицом, уполномоченным от имени собственника (Российской Федерации) заключать договор) в соответствии со ст. 83 Лесного кодекса РФ и Указа Губернатора Воронежской области № 52-у от 20.02.2016г. является управление лесного хозяйства Воронежской области. Чтобы получить статус арендатора земель лесного фонда, необходимо принять участие в аукционе. Также лесные отношения в Воронежской области регулируются </w:t>
      </w:r>
      <w:r w:rsidRPr="00F562A8">
        <w:rPr>
          <w:rFonts w:ascii="Times New Roman" w:hAnsi="Times New Roman" w:cs="Times New Roman"/>
          <w:color w:val="222222"/>
          <w:sz w:val="26"/>
          <w:szCs w:val="26"/>
          <w:shd w:val="clear" w:color="auto" w:fill="FFFFFF"/>
        </w:rPr>
        <w:t>Законом Воронежской области от 20.11.2007 N 118-ОЗ "О регулировании отдельных лесных отношений на территории Воронежской области".</w:t>
      </w:r>
    </w:p>
    <w:p w14:paraId="103A38CC"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bookmarkStart w:id="117" w:name="_Hlk5359073"/>
      <w:bookmarkEnd w:id="116"/>
      <w:r w:rsidRPr="00F562A8">
        <w:rPr>
          <w:rFonts w:ascii="Times New Roman" w:hAnsi="Times New Roman" w:cs="Times New Roman"/>
          <w:sz w:val="26"/>
          <w:szCs w:val="26"/>
        </w:rPr>
        <w:t>Согласно классификации лесов, введенной Лесным кодексом Российской Федерации, все леса Воронежской области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bookmarkEnd w:id="117"/>
    <w:p w14:paraId="24A1A887"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С учетом особенностей правового режима защитных лесов области выделены следующие категории защитных лесов:</w:t>
      </w:r>
    </w:p>
    <w:p w14:paraId="68CB0248" w14:textId="77777777" w:rsidR="003C4012" w:rsidRPr="00F562A8" w:rsidRDefault="003C4012" w:rsidP="003C4012">
      <w:pPr>
        <w:spacing w:after="0" w:line="276" w:lineRule="auto"/>
        <w:contextualSpacing/>
        <w:jc w:val="both"/>
        <w:rPr>
          <w:rFonts w:ascii="Times New Roman" w:hAnsi="Times New Roman" w:cs="Times New Roman"/>
          <w:szCs w:val="24"/>
        </w:rPr>
      </w:pPr>
      <w:r w:rsidRPr="00F562A8">
        <w:rPr>
          <w:rFonts w:ascii="Times New Roman" w:hAnsi="Times New Roman" w:cs="Times New Roman"/>
          <w:noProof/>
          <w:sz w:val="20"/>
          <w:lang w:eastAsia="ru-RU"/>
        </w:rPr>
        <w:drawing>
          <wp:inline distT="0" distB="0" distL="0" distR="0" wp14:anchorId="0171B0DC" wp14:editId="019AAA63">
            <wp:extent cx="5934075" cy="4886325"/>
            <wp:effectExtent l="0" t="0" r="9525" b="9525"/>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4075" cy="4886325"/>
                    </a:xfrm>
                    <a:prstGeom prst="rect">
                      <a:avLst/>
                    </a:prstGeom>
                    <a:noFill/>
                    <a:ln>
                      <a:noFill/>
                    </a:ln>
                  </pic:spPr>
                </pic:pic>
              </a:graphicData>
            </a:graphic>
          </wp:inline>
        </w:drawing>
      </w:r>
    </w:p>
    <w:p w14:paraId="4F2369AF" w14:textId="77777777" w:rsidR="003C4012" w:rsidRDefault="003C4012" w:rsidP="003C4012">
      <w:pPr>
        <w:spacing w:after="0" w:line="276" w:lineRule="auto"/>
        <w:ind w:firstLine="709"/>
        <w:contextualSpacing/>
        <w:jc w:val="center"/>
        <w:rPr>
          <w:rFonts w:ascii="Times New Roman" w:hAnsi="Times New Roman" w:cs="Times New Roman"/>
          <w:sz w:val="26"/>
          <w:szCs w:val="26"/>
        </w:rPr>
      </w:pPr>
      <w:r w:rsidRPr="00F562A8">
        <w:rPr>
          <w:rFonts w:ascii="Times New Roman" w:hAnsi="Times New Roman" w:cs="Times New Roman"/>
          <w:sz w:val="26"/>
          <w:szCs w:val="26"/>
        </w:rPr>
        <w:t>Рис. 3.3.1.1 Категории защитных лесов Воронежской области</w:t>
      </w:r>
      <w:bookmarkStart w:id="118" w:name="_Hlk5360384"/>
      <w:r>
        <w:rPr>
          <w:rStyle w:val="af2"/>
          <w:rFonts w:ascii="Times New Roman" w:hAnsi="Times New Roman" w:cs="Times New Roman"/>
          <w:sz w:val="26"/>
          <w:szCs w:val="26"/>
        </w:rPr>
        <w:footnoteReference w:id="122"/>
      </w:r>
    </w:p>
    <w:p w14:paraId="1C9A3D23" w14:textId="77777777" w:rsidR="003C4012" w:rsidRPr="00F562A8" w:rsidRDefault="003C4012" w:rsidP="003C4012">
      <w:pPr>
        <w:spacing w:after="0" w:line="276" w:lineRule="auto"/>
        <w:ind w:firstLine="709"/>
        <w:contextualSpacing/>
        <w:jc w:val="both"/>
        <w:rPr>
          <w:rFonts w:ascii="Times New Roman" w:hAnsi="Times New Roman" w:cs="Times New Roman"/>
          <w:sz w:val="24"/>
          <w:szCs w:val="26"/>
        </w:rPr>
      </w:pPr>
      <w:r w:rsidRPr="00F562A8">
        <w:rPr>
          <w:rFonts w:ascii="Times New Roman" w:hAnsi="Times New Roman" w:cs="Times New Roman"/>
          <w:sz w:val="26"/>
          <w:szCs w:val="26"/>
        </w:rPr>
        <w:t>В соответствии с Приказом Рослесхоза от 09.04.2009 № 136 «Об определении количества лесничеств на территории Воронежской области и установлении их границ» из лесов, находящихся в ведении управления лесного хозяйства Воронежской области, организовано 23 лесничества и 78 участковых лесничеств, а также установлены их границы</w:t>
      </w:r>
      <w:r w:rsidRPr="00F562A8">
        <w:rPr>
          <w:rFonts w:ascii="Times New Roman" w:hAnsi="Times New Roman" w:cs="Times New Roman"/>
          <w:sz w:val="24"/>
          <w:szCs w:val="26"/>
        </w:rPr>
        <w:t>.</w:t>
      </w:r>
    </w:p>
    <w:p w14:paraId="64282408" w14:textId="77777777" w:rsidR="003C4012" w:rsidRPr="00F562A8" w:rsidRDefault="003C4012" w:rsidP="003C4012">
      <w:pPr>
        <w:spacing w:after="0" w:line="276" w:lineRule="auto"/>
        <w:ind w:firstLine="709"/>
        <w:contextualSpacing/>
        <w:jc w:val="both"/>
        <w:rPr>
          <w:rFonts w:ascii="Times New Roman" w:hAnsi="Times New Roman" w:cs="Times New Roman"/>
          <w:i/>
          <w:color w:val="FF0000"/>
          <w:sz w:val="26"/>
          <w:szCs w:val="26"/>
        </w:rPr>
      </w:pPr>
      <w:r w:rsidRPr="00F562A8">
        <w:rPr>
          <w:rFonts w:ascii="Times New Roman" w:hAnsi="Times New Roman" w:cs="Times New Roman"/>
          <w:sz w:val="26"/>
          <w:szCs w:val="26"/>
        </w:rPr>
        <w:t>Для каждого лесничества создан лесохозяйственный регламент, который является основой осуществления использования, охраны, защиты, воспроизводства лесов, расположенных в границах лесничества.</w:t>
      </w:r>
    </w:p>
    <w:p w14:paraId="72FB2936"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В соответствии с приказом Министерства природных ресурсов и экологии Российской Федерации от 18.08.2014 № 367 «Об утверждении Перечня лесорастительных зон Российской Федерации и Перечня лесных районов Российской Федерации» леса Воронежской области отнесены к лесостепному и степному лесному районам европейской части Российской Федерации.</w:t>
      </w:r>
    </w:p>
    <w:p w14:paraId="2868E272" w14:textId="77777777" w:rsidR="003C4012" w:rsidRPr="00F562A8" w:rsidRDefault="003C4012" w:rsidP="003C4012">
      <w:pPr>
        <w:spacing w:after="0" w:line="276" w:lineRule="auto"/>
        <w:ind w:firstLine="709"/>
        <w:contextualSpacing/>
        <w:jc w:val="both"/>
        <w:rPr>
          <w:rFonts w:ascii="Times New Roman" w:hAnsi="Times New Roman" w:cs="Times New Roman"/>
          <w:sz w:val="24"/>
          <w:szCs w:val="26"/>
        </w:rPr>
      </w:pPr>
    </w:p>
    <w:p w14:paraId="5AC4038F" w14:textId="77777777" w:rsidR="003C4012" w:rsidRDefault="003C4012" w:rsidP="003C4012">
      <w:pPr>
        <w:spacing w:after="0" w:line="276" w:lineRule="auto"/>
        <w:contextualSpacing/>
        <w:jc w:val="center"/>
        <w:rPr>
          <w:rFonts w:ascii="Times New Roman" w:hAnsi="Times New Roman" w:cs="Times New Roman"/>
          <w:sz w:val="24"/>
          <w:szCs w:val="26"/>
        </w:rPr>
      </w:pPr>
      <w:r w:rsidRPr="00F562A8">
        <w:rPr>
          <w:rFonts w:ascii="Times New Roman" w:hAnsi="Times New Roman" w:cs="Times New Roman"/>
          <w:noProof/>
          <w:sz w:val="20"/>
          <w:lang w:eastAsia="ru-RU"/>
        </w:rPr>
        <w:drawing>
          <wp:inline distT="0" distB="0" distL="0" distR="0" wp14:anchorId="25874FDD" wp14:editId="530FA397">
            <wp:extent cx="5124450" cy="493895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36498" cy="4950562"/>
                    </a:xfrm>
                    <a:prstGeom prst="rect">
                      <a:avLst/>
                    </a:prstGeom>
                    <a:noFill/>
                    <a:ln>
                      <a:noFill/>
                    </a:ln>
                  </pic:spPr>
                </pic:pic>
              </a:graphicData>
            </a:graphic>
          </wp:inline>
        </w:drawing>
      </w:r>
    </w:p>
    <w:p w14:paraId="2CC95E1E" w14:textId="77777777" w:rsidR="003C4012" w:rsidRPr="00F562A8" w:rsidRDefault="003C4012" w:rsidP="003C4012">
      <w:pPr>
        <w:spacing w:after="0" w:line="276" w:lineRule="auto"/>
        <w:ind w:right="-1"/>
        <w:contextualSpacing/>
        <w:jc w:val="center"/>
        <w:rPr>
          <w:rFonts w:ascii="Times New Roman" w:hAnsi="Times New Roman" w:cs="Times New Roman"/>
          <w:sz w:val="24"/>
          <w:szCs w:val="26"/>
        </w:rPr>
      </w:pPr>
      <w:r w:rsidRPr="00F562A8">
        <w:rPr>
          <w:rFonts w:ascii="Times New Roman" w:hAnsi="Times New Roman" w:cs="Times New Roman"/>
          <w:sz w:val="26"/>
          <w:szCs w:val="26"/>
        </w:rPr>
        <w:t>Рис. 3.3.1.2 Распределение лесничеств по территории Воронежской области</w:t>
      </w:r>
      <w:r w:rsidRPr="00F562A8">
        <w:rPr>
          <w:rStyle w:val="af2"/>
          <w:rFonts w:ascii="Times New Roman" w:hAnsi="Times New Roman" w:cs="Times New Roman"/>
          <w:sz w:val="24"/>
          <w:szCs w:val="26"/>
        </w:rPr>
        <w:footnoteReference w:id="123"/>
      </w:r>
    </w:p>
    <w:bookmarkEnd w:id="118"/>
    <w:p w14:paraId="442C5E38"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p>
    <w:p w14:paraId="75276275"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noProof/>
          <w:sz w:val="26"/>
          <w:szCs w:val="26"/>
          <w:lang w:eastAsia="ru-RU"/>
        </w:rPr>
        <w:drawing>
          <wp:inline distT="0" distB="0" distL="0" distR="0" wp14:anchorId="1A03C24B" wp14:editId="1D417EBB">
            <wp:extent cx="4886325" cy="2238375"/>
            <wp:effectExtent l="0" t="0" r="9525" b="9525"/>
            <wp:docPr id="594" name="Рисунок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41"/>
                    <pic:cNvPicPr>
                      <a:picLocks noChangeArrowheads="1"/>
                    </pic:cNvPicPr>
                  </pic:nvPicPr>
                  <pic:blipFill>
                    <a:blip r:embed="rId132">
                      <a:extLst>
                        <a:ext uri="{28A0092B-C50C-407E-A947-70E740481C1C}">
                          <a14:useLocalDpi xmlns:a14="http://schemas.microsoft.com/office/drawing/2010/main" val="0"/>
                        </a:ext>
                      </a:extLst>
                    </a:blip>
                    <a:srcRect b="-56"/>
                    <a:stretch>
                      <a:fillRect/>
                    </a:stretch>
                  </pic:blipFill>
                  <pic:spPr bwMode="auto">
                    <a:xfrm>
                      <a:off x="0" y="0"/>
                      <a:ext cx="4886325" cy="2238375"/>
                    </a:xfrm>
                    <a:prstGeom prst="rect">
                      <a:avLst/>
                    </a:prstGeom>
                    <a:noFill/>
                    <a:ln>
                      <a:noFill/>
                    </a:ln>
                  </pic:spPr>
                </pic:pic>
              </a:graphicData>
            </a:graphic>
          </wp:inline>
        </w:drawing>
      </w:r>
    </w:p>
    <w:p w14:paraId="02F913BA" w14:textId="77777777" w:rsidR="003C4012" w:rsidRPr="00F562A8" w:rsidRDefault="003C4012" w:rsidP="003C4012">
      <w:pPr>
        <w:spacing w:after="0" w:line="276" w:lineRule="auto"/>
        <w:ind w:firstLine="709"/>
        <w:contextualSpacing/>
        <w:jc w:val="center"/>
        <w:rPr>
          <w:rFonts w:ascii="Times New Roman" w:hAnsi="Times New Roman" w:cs="Times New Roman"/>
          <w:sz w:val="26"/>
          <w:szCs w:val="26"/>
        </w:rPr>
      </w:pPr>
      <w:r w:rsidRPr="00F562A8">
        <w:rPr>
          <w:rFonts w:ascii="Times New Roman" w:hAnsi="Times New Roman" w:cs="Times New Roman"/>
          <w:sz w:val="26"/>
          <w:szCs w:val="26"/>
        </w:rPr>
        <w:t>Рис. 3.3.1.3 Структура лесов Воронежской области</w:t>
      </w:r>
    </w:p>
    <w:p w14:paraId="2876655E"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Леса области в лесостепной части лесного района занимают 72,6%. На степную часть приходится 27,4%.</w:t>
      </w:r>
    </w:p>
    <w:p w14:paraId="611B93BA"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По области преобладает твердолиственная группа пород, составляющая 56% от земель, покрытых лесной растительностью, на долю хвойных насаждений приходится 26%, и мягколиственных насаждений 17%. На долю прочих пород и кустарников приходится 1,0%.</w:t>
      </w:r>
    </w:p>
    <w:p w14:paraId="79FF2979"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В хвойных насаждениях преобладают средневозрастные - 66%, в твердолиственных насаждениях преобладают средневозрастные - 40% и в мягколиственных насаждениях преобладают спелые и перестойные насаждения - 34%.</w:t>
      </w:r>
    </w:p>
    <w:p w14:paraId="4CE6FE2B"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В лесном фонде преобладающей породой является дуб – 48,0% (дуб низкоствольный – 28,0%; дуб высокоствольный – 20,0%). Порода дуб на землях лесного фонда по группам возраста распределяется следующим образом. На долю молодняков приходится - 13%, средневозрастных - 36%, приспевающих - 17%, спелых и перестойных - 34%, в том числе перестойных - 12%.</w:t>
      </w:r>
    </w:p>
    <w:p w14:paraId="54B19129" w14:textId="77777777" w:rsidR="003C4012" w:rsidRPr="00F562A8" w:rsidRDefault="003C4012" w:rsidP="003C4012">
      <w:pPr>
        <w:spacing w:after="0" w:line="276" w:lineRule="auto"/>
        <w:ind w:firstLine="709"/>
        <w:contextualSpacing/>
        <w:jc w:val="center"/>
        <w:rPr>
          <w:rFonts w:ascii="Times New Roman" w:hAnsi="Times New Roman" w:cs="Times New Roman"/>
          <w:sz w:val="26"/>
          <w:szCs w:val="26"/>
        </w:rPr>
      </w:pPr>
      <w:r w:rsidRPr="00F562A8">
        <w:rPr>
          <w:rFonts w:ascii="Times New Roman" w:hAnsi="Times New Roman" w:cs="Times New Roman"/>
          <w:noProof/>
          <w:sz w:val="24"/>
          <w:szCs w:val="26"/>
          <w:lang w:eastAsia="ru-RU"/>
        </w:rPr>
        <w:drawing>
          <wp:inline distT="0" distB="0" distL="0" distR="0" wp14:anchorId="74A78A59" wp14:editId="5A735DEF">
            <wp:extent cx="5257800" cy="2743200"/>
            <wp:effectExtent l="0" t="0" r="0" b="0"/>
            <wp:docPr id="595" name="Рисунок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42"/>
                    <pic:cNvPicPr>
                      <a:picLocks noChangeArrowheads="1"/>
                    </pic:cNvPicPr>
                  </pic:nvPicPr>
                  <pic:blipFill>
                    <a:blip r:embed="rId133">
                      <a:extLst>
                        <a:ext uri="{28A0092B-C50C-407E-A947-70E740481C1C}">
                          <a14:useLocalDpi xmlns:a14="http://schemas.microsoft.com/office/drawing/2010/main" val="0"/>
                        </a:ext>
                      </a:extLst>
                    </a:blip>
                    <a:srcRect r="-60"/>
                    <a:stretch>
                      <a:fillRect/>
                    </a:stretch>
                  </pic:blipFill>
                  <pic:spPr bwMode="auto">
                    <a:xfrm>
                      <a:off x="0" y="0"/>
                      <a:ext cx="5257800" cy="2743200"/>
                    </a:xfrm>
                    <a:prstGeom prst="rect">
                      <a:avLst/>
                    </a:prstGeom>
                    <a:noFill/>
                    <a:ln>
                      <a:noFill/>
                    </a:ln>
                  </pic:spPr>
                </pic:pic>
              </a:graphicData>
            </a:graphic>
          </wp:inline>
        </w:drawing>
      </w:r>
      <w:r w:rsidRPr="00F562A8">
        <w:rPr>
          <w:rFonts w:ascii="Times New Roman" w:hAnsi="Times New Roman" w:cs="Times New Roman"/>
          <w:sz w:val="26"/>
          <w:szCs w:val="26"/>
        </w:rPr>
        <w:t>Рис. 3.3.1.4 Основные лесообразующие древесные породы Воронежской области</w:t>
      </w:r>
    </w:p>
    <w:p w14:paraId="3B1AAE0F" w14:textId="77777777" w:rsidR="003C4012" w:rsidRPr="00F562A8" w:rsidRDefault="003C4012" w:rsidP="003C4012">
      <w:pPr>
        <w:spacing w:before="120"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Средний таксационный показатель по лесам Воронежской области следующий:</w:t>
      </w:r>
    </w:p>
    <w:p w14:paraId="099438F7"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Состав: 3,0Со 2,9Дч 0,9Яо 0,8Ос 0,5Олч 0,4Лп 0,3Б 0,3Кло 0,2Ивд 0,2В</w:t>
      </w:r>
    </w:p>
    <w:p w14:paraId="165A0219"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0,2Клп 0,2Гш 0,1Ил + Кля, Яб, Яз, Тб, Дкр, Е, А, Чр</w:t>
      </w:r>
    </w:p>
    <w:p w14:paraId="160F2C90"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Возраст: 58</w:t>
      </w:r>
    </w:p>
    <w:p w14:paraId="5F2D3B9F"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Класс бонитета: 3</w:t>
      </w:r>
    </w:p>
    <w:p w14:paraId="65551C26"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Полнота: 0.69</w:t>
      </w:r>
    </w:p>
    <w:p w14:paraId="0D25D266"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Общий средний прирост 0,97 млн. куб. м.</w:t>
      </w:r>
    </w:p>
    <w:p w14:paraId="7F053871" w14:textId="77777777" w:rsidR="003C4012" w:rsidRPr="00F562A8" w:rsidRDefault="003C4012" w:rsidP="003C4012">
      <w:pPr>
        <w:spacing w:after="0" w:line="276" w:lineRule="auto"/>
        <w:ind w:firstLine="709"/>
        <w:contextualSpacing/>
        <w:jc w:val="both"/>
        <w:rPr>
          <w:rFonts w:ascii="Times New Roman" w:hAnsi="Times New Roman" w:cs="Times New Roman"/>
          <w:sz w:val="24"/>
          <w:szCs w:val="26"/>
        </w:rPr>
      </w:pPr>
      <w:r w:rsidRPr="00F562A8">
        <w:rPr>
          <w:rFonts w:ascii="Times New Roman" w:hAnsi="Times New Roman" w:cs="Times New Roman"/>
          <w:sz w:val="26"/>
          <w:szCs w:val="26"/>
        </w:rPr>
        <w:t>Одной из первоочередных задач регионального лесного хозяйства является обеспечение сохранности лесов от пожаров. В Воронежской области налажены эффективная профилактика и тушение лесных пожаров. В целях недопущения распространения лесных пожаров на землях лесного фонда выполняется комплекс противопожарных мероприятий: оборудовано 20 мест заправки водой из открытых источников; выполнено устройство минерализованных полос на площади 909 км и уход за минерализованными полосами на площади 17390,3 км; проведены контролируемые профилактические выжигания на площади 298 га; установлены и размещены стенды и аншлаги в количестве 413 шт.; благоустроено 148 мест отдыха. При повышении классов пожарной опасности в лесах по условиям погоды увеличивалась кратность проведения патрулирований с привлечением сотрудников ГУ МЧС и МВД России по Воронежской области, органов местного самоуправления, представителей общественных движений и волонтеров</w:t>
      </w:r>
      <w:r w:rsidRPr="00F562A8">
        <w:rPr>
          <w:rFonts w:ascii="Times New Roman" w:hAnsi="Times New Roman" w:cs="Times New Roman"/>
          <w:sz w:val="24"/>
          <w:szCs w:val="26"/>
        </w:rPr>
        <w:t>.</w:t>
      </w:r>
      <w:r w:rsidRPr="00F562A8">
        <w:rPr>
          <w:rStyle w:val="af2"/>
          <w:rFonts w:ascii="Times New Roman" w:hAnsi="Times New Roman" w:cs="Times New Roman"/>
          <w:sz w:val="24"/>
          <w:szCs w:val="26"/>
        </w:rPr>
        <w:footnoteReference w:id="124"/>
      </w:r>
    </w:p>
    <w:p w14:paraId="06533965"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 xml:space="preserve">В Воронежской области ежегодно проводится комплекс мероприятий, направленных на обеспечение рационального и комплексного использования лесов. По состоянию на 31.12.2017 года в лесном фонде области переданы в аренду лесные участки на площади 169,1 тыс. га, в том числе для заготовки древесины – 150,8 тыс. га. Фактически в 2017 году заготовлено 340,8 тыс. м³ древесины, что составляет 43,6% от установленного допустимого годового объема изъятия древесины. Помимо заготовки древесины леса области используются для: </w:t>
      </w:r>
    </w:p>
    <w:p w14:paraId="41CD925C"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 xml:space="preserve">- ведения охотничьего и сельского хозяйства – 17,2 тыс. га; </w:t>
      </w:r>
    </w:p>
    <w:p w14:paraId="0674B5E2"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 xml:space="preserve">- осуществления рекреационной деятельности – 0,6 тыс. га; </w:t>
      </w:r>
    </w:p>
    <w:p w14:paraId="46724624"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 xml:space="preserve">- разработки месторождений полезных ископаемых – 0,23 тыс. га; </w:t>
      </w:r>
    </w:p>
    <w:p w14:paraId="28F99EE8"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 иные виды – 0,3 тыс. га.</w:t>
      </w:r>
    </w:p>
    <w:p w14:paraId="0B51FD3B" w14:textId="77777777" w:rsidR="003C4012" w:rsidRPr="00F562A8" w:rsidRDefault="003C4012" w:rsidP="003C4012">
      <w:pPr>
        <w:spacing w:after="0" w:line="276" w:lineRule="auto"/>
        <w:ind w:firstLine="709"/>
        <w:contextualSpacing/>
        <w:jc w:val="both"/>
        <w:rPr>
          <w:rFonts w:ascii="Times New Roman" w:hAnsi="Times New Roman" w:cs="Times New Roman"/>
          <w:sz w:val="24"/>
          <w:szCs w:val="26"/>
          <w:vertAlign w:val="superscript"/>
        </w:rPr>
      </w:pPr>
      <w:r w:rsidRPr="00F562A8">
        <w:rPr>
          <w:rFonts w:ascii="Times New Roman" w:hAnsi="Times New Roman" w:cs="Times New Roman"/>
          <w:sz w:val="26"/>
          <w:szCs w:val="26"/>
        </w:rPr>
        <w:t xml:space="preserve"> Площадь земель лесного фонда, переданных в аренду, за 2017 год составила 36,4% от общей площади земель лесного фонда. Все арендаторы лесных участков работают по проектам освоения лесов, получившим положительное заключение экспертной комиссии при Управлении лесного хозяйства Воронежской области</w:t>
      </w:r>
      <w:r w:rsidRPr="00F562A8">
        <w:rPr>
          <w:rFonts w:ascii="Times New Roman" w:hAnsi="Times New Roman" w:cs="Times New Roman"/>
          <w:sz w:val="24"/>
          <w:szCs w:val="26"/>
        </w:rPr>
        <w:t>.</w:t>
      </w:r>
      <w:r w:rsidRPr="00F562A8">
        <w:rPr>
          <w:rFonts w:ascii="Times New Roman" w:hAnsi="Times New Roman" w:cs="Times New Roman"/>
          <w:sz w:val="24"/>
          <w:szCs w:val="26"/>
          <w:vertAlign w:val="superscript"/>
        </w:rPr>
        <w:t>5</w:t>
      </w:r>
    </w:p>
    <w:p w14:paraId="636C76D4" w14:textId="77777777" w:rsidR="003C4012" w:rsidRPr="00F562A8" w:rsidRDefault="003C4012" w:rsidP="003C4012">
      <w:pPr>
        <w:spacing w:after="0" w:line="276" w:lineRule="auto"/>
        <w:ind w:firstLine="709"/>
        <w:contextualSpacing/>
        <w:jc w:val="both"/>
        <w:rPr>
          <w:rFonts w:ascii="Times New Roman" w:hAnsi="Times New Roman" w:cs="Times New Roman"/>
          <w:sz w:val="24"/>
          <w:szCs w:val="26"/>
          <w:vertAlign w:val="superscript"/>
        </w:rPr>
      </w:pPr>
      <w:r w:rsidRPr="00F562A8">
        <w:rPr>
          <w:rFonts w:ascii="Times New Roman" w:hAnsi="Times New Roman" w:cs="Times New Roman"/>
          <w:sz w:val="26"/>
          <w:szCs w:val="26"/>
        </w:rPr>
        <w:t>Для обеспечения непрерывного и неистощительного использования лесов на территории области осуществляется лесовосстановление на лесосеках и не покрытых лесной растительностью землях в лесном фонде. В результате лесных пожаров 2010 года в лесном фонде Воронежской области погибло 15,9 тыс. га лесных насаждений. За прошедший период, с 2010 года по настоящее время расчистка гарей выполнена полностью. В связи с этим на протяжении последних лет лесовосстановлению в области уделяется особое внимание</w:t>
      </w:r>
      <w:r w:rsidRPr="00F562A8">
        <w:rPr>
          <w:rFonts w:ascii="Times New Roman" w:hAnsi="Times New Roman" w:cs="Times New Roman"/>
          <w:sz w:val="24"/>
          <w:szCs w:val="26"/>
        </w:rPr>
        <w:t>.</w:t>
      </w:r>
      <w:r w:rsidRPr="00F562A8">
        <w:rPr>
          <w:rFonts w:ascii="Times New Roman" w:hAnsi="Times New Roman" w:cs="Times New Roman"/>
          <w:sz w:val="24"/>
          <w:szCs w:val="26"/>
          <w:vertAlign w:val="superscript"/>
        </w:rPr>
        <w:t>5</w:t>
      </w:r>
    </w:p>
    <w:p w14:paraId="53179E46" w14:textId="77777777" w:rsidR="003C4012"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Количество и площадь оцениваемых земельных участков из состава земель лесного фонда в разрезе муниципальных районов Воронежской области, сведения о которых содержатся в Перечне представлено в таблице 3.3.1.</w:t>
      </w:r>
      <w:r>
        <w:rPr>
          <w:rFonts w:ascii="Times New Roman" w:hAnsi="Times New Roman" w:cs="Times New Roman"/>
          <w:sz w:val="26"/>
          <w:szCs w:val="26"/>
        </w:rPr>
        <w:t>1</w:t>
      </w:r>
      <w:r w:rsidRPr="00F562A8">
        <w:rPr>
          <w:rFonts w:ascii="Times New Roman" w:hAnsi="Times New Roman" w:cs="Times New Roman"/>
          <w:sz w:val="26"/>
          <w:szCs w:val="26"/>
        </w:rPr>
        <w:t>.</w:t>
      </w:r>
    </w:p>
    <w:p w14:paraId="7784BF0E" w14:textId="77777777" w:rsidR="003C4012" w:rsidRPr="006A2718" w:rsidRDefault="003C4012" w:rsidP="003C4012">
      <w:pPr>
        <w:spacing w:after="0" w:line="276" w:lineRule="auto"/>
        <w:ind w:firstLine="709"/>
        <w:contextualSpacing/>
        <w:jc w:val="right"/>
        <w:rPr>
          <w:rFonts w:ascii="Times New Roman" w:eastAsia="Times New Roman" w:hAnsi="Times New Roman" w:cs="Times New Roman"/>
          <w:spacing w:val="-5"/>
          <w:sz w:val="26"/>
          <w:szCs w:val="26"/>
        </w:rPr>
      </w:pPr>
      <w:r w:rsidRPr="006A2718">
        <w:rPr>
          <w:rFonts w:ascii="Times New Roman" w:eastAsia="Times New Roman" w:hAnsi="Times New Roman" w:cs="Times New Roman"/>
          <w:spacing w:val="-5"/>
          <w:sz w:val="26"/>
          <w:szCs w:val="26"/>
        </w:rPr>
        <w:t>Таблица 3.3.1.</w:t>
      </w:r>
      <w:r>
        <w:rPr>
          <w:rFonts w:ascii="Times New Roman" w:eastAsia="Times New Roman" w:hAnsi="Times New Roman" w:cs="Times New Roman"/>
          <w:spacing w:val="-5"/>
          <w:sz w:val="26"/>
          <w:szCs w:val="26"/>
        </w:rPr>
        <w:t>1</w:t>
      </w:r>
    </w:p>
    <w:p w14:paraId="3AA27E50" w14:textId="77777777" w:rsidR="003C4012" w:rsidRPr="006A2718" w:rsidRDefault="003C4012" w:rsidP="003C4012">
      <w:pPr>
        <w:spacing w:after="0" w:line="276" w:lineRule="auto"/>
        <w:contextualSpacing/>
        <w:jc w:val="center"/>
        <w:rPr>
          <w:rFonts w:ascii="Times New Roman" w:eastAsia="Times New Roman" w:hAnsi="Times New Roman" w:cs="Times New Roman"/>
          <w:spacing w:val="-5"/>
          <w:sz w:val="26"/>
          <w:szCs w:val="26"/>
        </w:rPr>
      </w:pPr>
      <w:r w:rsidRPr="006A2718">
        <w:rPr>
          <w:rFonts w:ascii="Times New Roman" w:hAnsi="Times New Roman" w:cs="Times New Roman"/>
          <w:sz w:val="26"/>
          <w:szCs w:val="26"/>
        </w:rPr>
        <w:t>Количество и площадь оцениваемых земельных участков из состава земель лесного фонда в разрезе муниципальных районов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2631"/>
        <w:gridCol w:w="1995"/>
      </w:tblGrid>
      <w:tr w:rsidR="003C4012" w:rsidRPr="0066338C" w14:paraId="36CCE47B" w14:textId="77777777" w:rsidTr="00260FF1">
        <w:trPr>
          <w:trHeight w:val="255"/>
        </w:trPr>
        <w:tc>
          <w:tcPr>
            <w:tcW w:w="2373" w:type="pct"/>
            <w:noWrap/>
            <w:vAlign w:val="center"/>
            <w:hideMark/>
          </w:tcPr>
          <w:p w14:paraId="06D49137" w14:textId="77777777" w:rsidR="003C4012" w:rsidRPr="006A2718" w:rsidRDefault="003C4012" w:rsidP="003C4012">
            <w:pPr>
              <w:spacing w:after="0" w:line="276" w:lineRule="auto"/>
              <w:contextualSpacing/>
              <w:jc w:val="center"/>
              <w:rPr>
                <w:rFonts w:ascii="Times New Roman" w:eastAsia="Times New Roman" w:hAnsi="Times New Roman" w:cs="Times New Roman"/>
                <w:b/>
                <w:sz w:val="24"/>
                <w:szCs w:val="24"/>
                <w:lang w:eastAsia="ru-RU"/>
              </w:rPr>
            </w:pPr>
            <w:r w:rsidRPr="006A2718">
              <w:rPr>
                <w:rFonts w:ascii="Times New Roman" w:eastAsia="Times New Roman" w:hAnsi="Times New Roman" w:cs="Times New Roman"/>
                <w:b/>
                <w:bCs/>
                <w:color w:val="000000"/>
                <w:sz w:val="24"/>
                <w:szCs w:val="24"/>
                <w:lang w:eastAsia="ru-RU"/>
              </w:rPr>
              <w:t>Наименование района/городского округа</w:t>
            </w:r>
          </w:p>
        </w:tc>
        <w:tc>
          <w:tcPr>
            <w:tcW w:w="1511" w:type="pct"/>
            <w:noWrap/>
            <w:vAlign w:val="center"/>
            <w:hideMark/>
          </w:tcPr>
          <w:p w14:paraId="23D3AFC4" w14:textId="77777777" w:rsidR="003C4012" w:rsidRPr="006A2718" w:rsidRDefault="003C4012" w:rsidP="003C4012">
            <w:pPr>
              <w:spacing w:after="0" w:line="276" w:lineRule="auto"/>
              <w:contextualSpacing/>
              <w:jc w:val="center"/>
              <w:rPr>
                <w:rFonts w:ascii="Times New Roman" w:eastAsia="Times New Roman" w:hAnsi="Times New Roman" w:cs="Times New Roman"/>
                <w:b/>
                <w:sz w:val="24"/>
                <w:szCs w:val="24"/>
                <w:lang w:eastAsia="ru-RU"/>
              </w:rPr>
            </w:pPr>
            <w:r w:rsidRPr="006A2718">
              <w:rPr>
                <w:rFonts w:ascii="Times New Roman" w:eastAsia="Times New Roman" w:hAnsi="Times New Roman" w:cs="Times New Roman"/>
                <w:b/>
                <w:sz w:val="24"/>
                <w:szCs w:val="24"/>
                <w:lang w:eastAsia="ru-RU"/>
              </w:rPr>
              <w:t>Количество ЗУ, шт.</w:t>
            </w:r>
          </w:p>
        </w:tc>
        <w:tc>
          <w:tcPr>
            <w:tcW w:w="1116" w:type="pct"/>
            <w:noWrap/>
            <w:vAlign w:val="center"/>
            <w:hideMark/>
          </w:tcPr>
          <w:p w14:paraId="0B0AC24E" w14:textId="77777777" w:rsidR="003C4012" w:rsidRPr="006A2718" w:rsidRDefault="003C4012" w:rsidP="003C4012">
            <w:pPr>
              <w:spacing w:after="0" w:line="276" w:lineRule="auto"/>
              <w:contextualSpacing/>
              <w:jc w:val="center"/>
              <w:rPr>
                <w:rFonts w:ascii="Times New Roman" w:eastAsia="Times New Roman" w:hAnsi="Times New Roman" w:cs="Times New Roman"/>
                <w:b/>
                <w:sz w:val="24"/>
                <w:szCs w:val="24"/>
                <w:lang w:eastAsia="ru-RU"/>
              </w:rPr>
            </w:pPr>
            <w:r w:rsidRPr="006A2718">
              <w:rPr>
                <w:rFonts w:ascii="Times New Roman" w:eastAsia="Times New Roman" w:hAnsi="Times New Roman" w:cs="Times New Roman"/>
                <w:b/>
                <w:sz w:val="24"/>
                <w:szCs w:val="24"/>
                <w:lang w:eastAsia="ru-RU"/>
              </w:rPr>
              <w:t>Площадь ЗУ, м2</w:t>
            </w:r>
          </w:p>
        </w:tc>
      </w:tr>
      <w:tr w:rsidR="003C4012" w:rsidRPr="0066338C" w14:paraId="3AC4B518" w14:textId="77777777" w:rsidTr="00260FF1">
        <w:trPr>
          <w:trHeight w:val="255"/>
        </w:trPr>
        <w:tc>
          <w:tcPr>
            <w:tcW w:w="2373" w:type="pct"/>
            <w:shd w:val="clear" w:color="auto" w:fill="auto"/>
            <w:noWrap/>
            <w:vAlign w:val="bottom"/>
            <w:hideMark/>
          </w:tcPr>
          <w:p w14:paraId="6D661AB9"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Аннинский</w:t>
            </w:r>
          </w:p>
        </w:tc>
        <w:tc>
          <w:tcPr>
            <w:tcW w:w="1511" w:type="pct"/>
            <w:shd w:val="clear" w:color="auto" w:fill="auto"/>
            <w:noWrap/>
            <w:vAlign w:val="bottom"/>
            <w:hideMark/>
          </w:tcPr>
          <w:p w14:paraId="011C1576"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219</w:t>
            </w:r>
          </w:p>
        </w:tc>
        <w:tc>
          <w:tcPr>
            <w:tcW w:w="1116" w:type="pct"/>
            <w:shd w:val="clear" w:color="auto" w:fill="auto"/>
            <w:noWrap/>
            <w:vAlign w:val="bottom"/>
            <w:hideMark/>
          </w:tcPr>
          <w:p w14:paraId="2D6FF2DC"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154 963 239,00</w:t>
            </w:r>
          </w:p>
        </w:tc>
      </w:tr>
      <w:tr w:rsidR="003C4012" w:rsidRPr="0066338C" w14:paraId="07D77A21" w14:textId="77777777" w:rsidTr="00260FF1">
        <w:trPr>
          <w:trHeight w:val="255"/>
        </w:trPr>
        <w:tc>
          <w:tcPr>
            <w:tcW w:w="2373" w:type="pct"/>
            <w:shd w:val="clear" w:color="auto" w:fill="auto"/>
            <w:noWrap/>
            <w:vAlign w:val="bottom"/>
            <w:hideMark/>
          </w:tcPr>
          <w:p w14:paraId="27643086"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Бобровский</w:t>
            </w:r>
          </w:p>
        </w:tc>
        <w:tc>
          <w:tcPr>
            <w:tcW w:w="1511" w:type="pct"/>
            <w:shd w:val="clear" w:color="auto" w:fill="auto"/>
            <w:noWrap/>
            <w:vAlign w:val="bottom"/>
            <w:hideMark/>
          </w:tcPr>
          <w:p w14:paraId="49A65BE5"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612</w:t>
            </w:r>
          </w:p>
        </w:tc>
        <w:tc>
          <w:tcPr>
            <w:tcW w:w="1116" w:type="pct"/>
            <w:shd w:val="clear" w:color="auto" w:fill="auto"/>
            <w:noWrap/>
            <w:vAlign w:val="bottom"/>
            <w:hideMark/>
          </w:tcPr>
          <w:p w14:paraId="0E204A85"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478 395 122,00</w:t>
            </w:r>
          </w:p>
        </w:tc>
      </w:tr>
      <w:tr w:rsidR="003C4012" w:rsidRPr="0066338C" w14:paraId="4D210DD4" w14:textId="77777777" w:rsidTr="00260FF1">
        <w:trPr>
          <w:trHeight w:val="255"/>
        </w:trPr>
        <w:tc>
          <w:tcPr>
            <w:tcW w:w="2373" w:type="pct"/>
            <w:shd w:val="clear" w:color="auto" w:fill="auto"/>
            <w:noWrap/>
            <w:vAlign w:val="bottom"/>
            <w:hideMark/>
          </w:tcPr>
          <w:p w14:paraId="70750519"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Богучарский</w:t>
            </w:r>
          </w:p>
        </w:tc>
        <w:tc>
          <w:tcPr>
            <w:tcW w:w="1511" w:type="pct"/>
            <w:shd w:val="clear" w:color="auto" w:fill="auto"/>
            <w:noWrap/>
            <w:vAlign w:val="bottom"/>
            <w:hideMark/>
          </w:tcPr>
          <w:p w14:paraId="54518A5D"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524</w:t>
            </w:r>
          </w:p>
        </w:tc>
        <w:tc>
          <w:tcPr>
            <w:tcW w:w="1116" w:type="pct"/>
            <w:shd w:val="clear" w:color="auto" w:fill="auto"/>
            <w:noWrap/>
            <w:vAlign w:val="bottom"/>
            <w:hideMark/>
          </w:tcPr>
          <w:p w14:paraId="5735FC68"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148 407 604,00</w:t>
            </w:r>
          </w:p>
        </w:tc>
      </w:tr>
      <w:tr w:rsidR="003C4012" w:rsidRPr="0066338C" w14:paraId="538B232C" w14:textId="77777777" w:rsidTr="00260FF1">
        <w:trPr>
          <w:trHeight w:val="255"/>
        </w:trPr>
        <w:tc>
          <w:tcPr>
            <w:tcW w:w="2373" w:type="pct"/>
            <w:shd w:val="clear" w:color="auto" w:fill="auto"/>
            <w:noWrap/>
            <w:vAlign w:val="bottom"/>
            <w:hideMark/>
          </w:tcPr>
          <w:p w14:paraId="081C5503"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Борисоглебский</w:t>
            </w:r>
          </w:p>
        </w:tc>
        <w:tc>
          <w:tcPr>
            <w:tcW w:w="1511" w:type="pct"/>
            <w:shd w:val="clear" w:color="auto" w:fill="auto"/>
            <w:noWrap/>
            <w:vAlign w:val="bottom"/>
            <w:hideMark/>
          </w:tcPr>
          <w:p w14:paraId="41F60325"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440</w:t>
            </w:r>
          </w:p>
        </w:tc>
        <w:tc>
          <w:tcPr>
            <w:tcW w:w="1116" w:type="pct"/>
            <w:shd w:val="clear" w:color="auto" w:fill="auto"/>
            <w:noWrap/>
            <w:vAlign w:val="bottom"/>
            <w:hideMark/>
          </w:tcPr>
          <w:p w14:paraId="15E37EFB"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385 010 815,01</w:t>
            </w:r>
          </w:p>
        </w:tc>
      </w:tr>
      <w:tr w:rsidR="003C4012" w:rsidRPr="0066338C" w14:paraId="1F8C4C4C" w14:textId="77777777" w:rsidTr="00260FF1">
        <w:trPr>
          <w:trHeight w:val="255"/>
        </w:trPr>
        <w:tc>
          <w:tcPr>
            <w:tcW w:w="2373" w:type="pct"/>
            <w:shd w:val="clear" w:color="auto" w:fill="auto"/>
            <w:noWrap/>
            <w:vAlign w:val="bottom"/>
            <w:hideMark/>
          </w:tcPr>
          <w:p w14:paraId="1BD12D79"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Бутурлиновский</w:t>
            </w:r>
          </w:p>
        </w:tc>
        <w:tc>
          <w:tcPr>
            <w:tcW w:w="1511" w:type="pct"/>
            <w:shd w:val="clear" w:color="auto" w:fill="auto"/>
            <w:noWrap/>
            <w:vAlign w:val="bottom"/>
            <w:hideMark/>
          </w:tcPr>
          <w:p w14:paraId="42CA304E"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203</w:t>
            </w:r>
          </w:p>
        </w:tc>
        <w:tc>
          <w:tcPr>
            <w:tcW w:w="1116" w:type="pct"/>
            <w:shd w:val="clear" w:color="auto" w:fill="auto"/>
            <w:noWrap/>
            <w:vAlign w:val="bottom"/>
            <w:hideMark/>
          </w:tcPr>
          <w:p w14:paraId="61AC06C3"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189 765 097,00</w:t>
            </w:r>
          </w:p>
        </w:tc>
      </w:tr>
      <w:tr w:rsidR="003C4012" w:rsidRPr="0066338C" w14:paraId="0FFD84F3" w14:textId="77777777" w:rsidTr="00260FF1">
        <w:trPr>
          <w:trHeight w:val="255"/>
        </w:trPr>
        <w:tc>
          <w:tcPr>
            <w:tcW w:w="2373" w:type="pct"/>
            <w:shd w:val="clear" w:color="auto" w:fill="auto"/>
            <w:noWrap/>
            <w:vAlign w:val="bottom"/>
            <w:hideMark/>
          </w:tcPr>
          <w:p w14:paraId="6457B0D6"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Верхнемамонский</w:t>
            </w:r>
          </w:p>
        </w:tc>
        <w:tc>
          <w:tcPr>
            <w:tcW w:w="1511" w:type="pct"/>
            <w:shd w:val="clear" w:color="auto" w:fill="auto"/>
            <w:noWrap/>
            <w:vAlign w:val="bottom"/>
            <w:hideMark/>
          </w:tcPr>
          <w:p w14:paraId="1327E88C"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345</w:t>
            </w:r>
          </w:p>
        </w:tc>
        <w:tc>
          <w:tcPr>
            <w:tcW w:w="1116" w:type="pct"/>
            <w:shd w:val="clear" w:color="auto" w:fill="auto"/>
            <w:noWrap/>
            <w:vAlign w:val="bottom"/>
            <w:hideMark/>
          </w:tcPr>
          <w:p w14:paraId="7D10FE6D"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242 905 870,00</w:t>
            </w:r>
          </w:p>
        </w:tc>
      </w:tr>
      <w:tr w:rsidR="003C4012" w:rsidRPr="0066338C" w14:paraId="712804FF" w14:textId="77777777" w:rsidTr="00260FF1">
        <w:trPr>
          <w:trHeight w:val="255"/>
        </w:trPr>
        <w:tc>
          <w:tcPr>
            <w:tcW w:w="2373" w:type="pct"/>
            <w:shd w:val="clear" w:color="auto" w:fill="auto"/>
            <w:noWrap/>
            <w:vAlign w:val="bottom"/>
            <w:hideMark/>
          </w:tcPr>
          <w:p w14:paraId="0BE220BE"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Верхнехавский</w:t>
            </w:r>
          </w:p>
        </w:tc>
        <w:tc>
          <w:tcPr>
            <w:tcW w:w="1511" w:type="pct"/>
            <w:shd w:val="clear" w:color="auto" w:fill="auto"/>
            <w:noWrap/>
            <w:vAlign w:val="bottom"/>
            <w:hideMark/>
          </w:tcPr>
          <w:p w14:paraId="7D0ED0EB"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45</w:t>
            </w:r>
          </w:p>
        </w:tc>
        <w:tc>
          <w:tcPr>
            <w:tcW w:w="1116" w:type="pct"/>
            <w:shd w:val="clear" w:color="auto" w:fill="auto"/>
            <w:noWrap/>
            <w:vAlign w:val="bottom"/>
            <w:hideMark/>
          </w:tcPr>
          <w:p w14:paraId="3C71B48B"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8 436 504,00</w:t>
            </w:r>
          </w:p>
        </w:tc>
      </w:tr>
      <w:tr w:rsidR="003C4012" w:rsidRPr="0066338C" w14:paraId="0B562162" w14:textId="77777777" w:rsidTr="00260FF1">
        <w:trPr>
          <w:trHeight w:val="255"/>
        </w:trPr>
        <w:tc>
          <w:tcPr>
            <w:tcW w:w="2373" w:type="pct"/>
            <w:shd w:val="clear" w:color="auto" w:fill="auto"/>
            <w:noWrap/>
            <w:vAlign w:val="bottom"/>
            <w:hideMark/>
          </w:tcPr>
          <w:p w14:paraId="275495F0"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Воробьевский</w:t>
            </w:r>
          </w:p>
        </w:tc>
        <w:tc>
          <w:tcPr>
            <w:tcW w:w="1511" w:type="pct"/>
            <w:shd w:val="clear" w:color="auto" w:fill="auto"/>
            <w:noWrap/>
            <w:vAlign w:val="bottom"/>
            <w:hideMark/>
          </w:tcPr>
          <w:p w14:paraId="7308CFDB"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451</w:t>
            </w:r>
          </w:p>
        </w:tc>
        <w:tc>
          <w:tcPr>
            <w:tcW w:w="1116" w:type="pct"/>
            <w:shd w:val="clear" w:color="auto" w:fill="auto"/>
            <w:noWrap/>
            <w:vAlign w:val="bottom"/>
            <w:hideMark/>
          </w:tcPr>
          <w:p w14:paraId="341B0330"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46 384 336,00</w:t>
            </w:r>
          </w:p>
        </w:tc>
      </w:tr>
      <w:tr w:rsidR="003C4012" w:rsidRPr="0066338C" w14:paraId="4E46DA3D" w14:textId="77777777" w:rsidTr="00260FF1">
        <w:trPr>
          <w:trHeight w:val="255"/>
        </w:trPr>
        <w:tc>
          <w:tcPr>
            <w:tcW w:w="2373" w:type="pct"/>
            <w:shd w:val="clear" w:color="auto" w:fill="auto"/>
            <w:noWrap/>
            <w:vAlign w:val="bottom"/>
            <w:hideMark/>
          </w:tcPr>
          <w:p w14:paraId="024B5105"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ГО г.</w:t>
            </w:r>
            <w:r>
              <w:rPr>
                <w:rFonts w:ascii="Times New Roman" w:eastAsia="Times New Roman" w:hAnsi="Times New Roman" w:cs="Times New Roman"/>
                <w:sz w:val="24"/>
                <w:szCs w:val="24"/>
                <w:lang w:eastAsia="ru-RU"/>
              </w:rPr>
              <w:t xml:space="preserve"> </w:t>
            </w:r>
            <w:r w:rsidRPr="006A2718">
              <w:rPr>
                <w:rFonts w:ascii="Times New Roman" w:eastAsia="Times New Roman" w:hAnsi="Times New Roman" w:cs="Times New Roman"/>
                <w:sz w:val="24"/>
                <w:szCs w:val="24"/>
                <w:lang w:eastAsia="ru-RU"/>
              </w:rPr>
              <w:t>Воронеж</w:t>
            </w:r>
          </w:p>
        </w:tc>
        <w:tc>
          <w:tcPr>
            <w:tcW w:w="1511" w:type="pct"/>
            <w:shd w:val="clear" w:color="auto" w:fill="auto"/>
            <w:noWrap/>
            <w:vAlign w:val="bottom"/>
            <w:hideMark/>
          </w:tcPr>
          <w:p w14:paraId="1E6FEAEF"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420</w:t>
            </w:r>
          </w:p>
        </w:tc>
        <w:tc>
          <w:tcPr>
            <w:tcW w:w="1116" w:type="pct"/>
            <w:shd w:val="clear" w:color="auto" w:fill="auto"/>
            <w:noWrap/>
            <w:vAlign w:val="bottom"/>
            <w:hideMark/>
          </w:tcPr>
          <w:p w14:paraId="46949C8E"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245 874 759,00</w:t>
            </w:r>
          </w:p>
        </w:tc>
      </w:tr>
      <w:tr w:rsidR="003C4012" w:rsidRPr="0066338C" w14:paraId="0E58BBCA" w14:textId="77777777" w:rsidTr="00260FF1">
        <w:trPr>
          <w:trHeight w:val="255"/>
        </w:trPr>
        <w:tc>
          <w:tcPr>
            <w:tcW w:w="2373" w:type="pct"/>
            <w:shd w:val="clear" w:color="auto" w:fill="auto"/>
            <w:noWrap/>
            <w:vAlign w:val="bottom"/>
            <w:hideMark/>
          </w:tcPr>
          <w:p w14:paraId="0F2F2A28"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ГО Нововоронеж</w:t>
            </w:r>
          </w:p>
        </w:tc>
        <w:tc>
          <w:tcPr>
            <w:tcW w:w="1511" w:type="pct"/>
            <w:shd w:val="clear" w:color="auto" w:fill="auto"/>
            <w:noWrap/>
            <w:vAlign w:val="bottom"/>
            <w:hideMark/>
          </w:tcPr>
          <w:p w14:paraId="1F710BC3"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26</w:t>
            </w:r>
          </w:p>
        </w:tc>
        <w:tc>
          <w:tcPr>
            <w:tcW w:w="1116" w:type="pct"/>
            <w:shd w:val="clear" w:color="auto" w:fill="auto"/>
            <w:noWrap/>
            <w:vAlign w:val="bottom"/>
            <w:hideMark/>
          </w:tcPr>
          <w:p w14:paraId="4EDCF967"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10 688 999,00</w:t>
            </w:r>
          </w:p>
        </w:tc>
      </w:tr>
      <w:tr w:rsidR="003C4012" w:rsidRPr="0066338C" w14:paraId="49D86D67" w14:textId="77777777" w:rsidTr="00260FF1">
        <w:trPr>
          <w:trHeight w:val="255"/>
        </w:trPr>
        <w:tc>
          <w:tcPr>
            <w:tcW w:w="2373" w:type="pct"/>
            <w:shd w:val="clear" w:color="auto" w:fill="auto"/>
            <w:noWrap/>
            <w:vAlign w:val="bottom"/>
            <w:hideMark/>
          </w:tcPr>
          <w:p w14:paraId="7D28DFEA"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Грибановский</w:t>
            </w:r>
          </w:p>
        </w:tc>
        <w:tc>
          <w:tcPr>
            <w:tcW w:w="1511" w:type="pct"/>
            <w:shd w:val="clear" w:color="auto" w:fill="auto"/>
            <w:noWrap/>
            <w:vAlign w:val="bottom"/>
            <w:hideMark/>
          </w:tcPr>
          <w:p w14:paraId="2423024E"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217</w:t>
            </w:r>
          </w:p>
        </w:tc>
        <w:tc>
          <w:tcPr>
            <w:tcW w:w="1116" w:type="pct"/>
            <w:shd w:val="clear" w:color="auto" w:fill="auto"/>
            <w:noWrap/>
            <w:vAlign w:val="bottom"/>
            <w:hideMark/>
          </w:tcPr>
          <w:p w14:paraId="6E1C2C32"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528 232 966,40</w:t>
            </w:r>
          </w:p>
        </w:tc>
      </w:tr>
      <w:tr w:rsidR="003C4012" w:rsidRPr="0066338C" w14:paraId="59F31D02" w14:textId="77777777" w:rsidTr="00260FF1">
        <w:trPr>
          <w:trHeight w:val="255"/>
        </w:trPr>
        <w:tc>
          <w:tcPr>
            <w:tcW w:w="2373" w:type="pct"/>
            <w:shd w:val="clear" w:color="auto" w:fill="auto"/>
            <w:noWrap/>
            <w:vAlign w:val="bottom"/>
            <w:hideMark/>
          </w:tcPr>
          <w:p w14:paraId="0EE9F059"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Калачеевский</w:t>
            </w:r>
          </w:p>
        </w:tc>
        <w:tc>
          <w:tcPr>
            <w:tcW w:w="1511" w:type="pct"/>
            <w:shd w:val="clear" w:color="auto" w:fill="auto"/>
            <w:noWrap/>
            <w:vAlign w:val="bottom"/>
            <w:hideMark/>
          </w:tcPr>
          <w:p w14:paraId="3FB63756"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187</w:t>
            </w:r>
          </w:p>
        </w:tc>
        <w:tc>
          <w:tcPr>
            <w:tcW w:w="1116" w:type="pct"/>
            <w:shd w:val="clear" w:color="auto" w:fill="auto"/>
            <w:noWrap/>
            <w:vAlign w:val="bottom"/>
            <w:hideMark/>
          </w:tcPr>
          <w:p w14:paraId="4C75B023"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103 864 362,00</w:t>
            </w:r>
          </w:p>
        </w:tc>
      </w:tr>
      <w:tr w:rsidR="003C4012" w:rsidRPr="0066338C" w14:paraId="1275185E" w14:textId="77777777" w:rsidTr="00260FF1">
        <w:trPr>
          <w:trHeight w:val="255"/>
        </w:trPr>
        <w:tc>
          <w:tcPr>
            <w:tcW w:w="2373" w:type="pct"/>
            <w:shd w:val="clear" w:color="auto" w:fill="auto"/>
            <w:noWrap/>
            <w:vAlign w:val="bottom"/>
            <w:hideMark/>
          </w:tcPr>
          <w:p w14:paraId="5EACBDF3"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Каменский</w:t>
            </w:r>
          </w:p>
        </w:tc>
        <w:tc>
          <w:tcPr>
            <w:tcW w:w="1511" w:type="pct"/>
            <w:shd w:val="clear" w:color="auto" w:fill="auto"/>
            <w:noWrap/>
            <w:vAlign w:val="bottom"/>
            <w:hideMark/>
          </w:tcPr>
          <w:p w14:paraId="24000685"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219</w:t>
            </w:r>
          </w:p>
        </w:tc>
        <w:tc>
          <w:tcPr>
            <w:tcW w:w="1116" w:type="pct"/>
            <w:shd w:val="clear" w:color="auto" w:fill="auto"/>
            <w:noWrap/>
            <w:vAlign w:val="bottom"/>
            <w:hideMark/>
          </w:tcPr>
          <w:p w14:paraId="3006DDBB"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26 190 000,00</w:t>
            </w:r>
          </w:p>
        </w:tc>
      </w:tr>
      <w:tr w:rsidR="003C4012" w:rsidRPr="0066338C" w14:paraId="358A048A" w14:textId="77777777" w:rsidTr="00260FF1">
        <w:trPr>
          <w:trHeight w:val="255"/>
        </w:trPr>
        <w:tc>
          <w:tcPr>
            <w:tcW w:w="2373" w:type="pct"/>
            <w:shd w:val="clear" w:color="auto" w:fill="auto"/>
            <w:noWrap/>
            <w:vAlign w:val="bottom"/>
            <w:hideMark/>
          </w:tcPr>
          <w:p w14:paraId="313481ED"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Кантемировский</w:t>
            </w:r>
          </w:p>
        </w:tc>
        <w:tc>
          <w:tcPr>
            <w:tcW w:w="1511" w:type="pct"/>
            <w:shd w:val="clear" w:color="auto" w:fill="auto"/>
            <w:noWrap/>
            <w:vAlign w:val="bottom"/>
            <w:hideMark/>
          </w:tcPr>
          <w:p w14:paraId="46692848"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532</w:t>
            </w:r>
          </w:p>
        </w:tc>
        <w:tc>
          <w:tcPr>
            <w:tcW w:w="1116" w:type="pct"/>
            <w:shd w:val="clear" w:color="auto" w:fill="auto"/>
            <w:noWrap/>
            <w:vAlign w:val="bottom"/>
            <w:hideMark/>
          </w:tcPr>
          <w:p w14:paraId="4B3B1B10"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83 032 180,00</w:t>
            </w:r>
          </w:p>
        </w:tc>
      </w:tr>
      <w:tr w:rsidR="003C4012" w:rsidRPr="0066338C" w14:paraId="337DE339" w14:textId="77777777" w:rsidTr="00260FF1">
        <w:trPr>
          <w:trHeight w:val="255"/>
        </w:trPr>
        <w:tc>
          <w:tcPr>
            <w:tcW w:w="2373" w:type="pct"/>
            <w:shd w:val="clear" w:color="auto" w:fill="auto"/>
            <w:noWrap/>
            <w:vAlign w:val="bottom"/>
            <w:hideMark/>
          </w:tcPr>
          <w:p w14:paraId="0ADCDFCD"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Каширский</w:t>
            </w:r>
          </w:p>
        </w:tc>
        <w:tc>
          <w:tcPr>
            <w:tcW w:w="1511" w:type="pct"/>
            <w:shd w:val="clear" w:color="auto" w:fill="auto"/>
            <w:noWrap/>
            <w:vAlign w:val="bottom"/>
            <w:hideMark/>
          </w:tcPr>
          <w:p w14:paraId="568281C1"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38</w:t>
            </w:r>
          </w:p>
        </w:tc>
        <w:tc>
          <w:tcPr>
            <w:tcW w:w="1116" w:type="pct"/>
            <w:shd w:val="clear" w:color="auto" w:fill="auto"/>
            <w:noWrap/>
            <w:vAlign w:val="bottom"/>
            <w:hideMark/>
          </w:tcPr>
          <w:p w14:paraId="67B8B17C"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58 416 617,00</w:t>
            </w:r>
          </w:p>
        </w:tc>
      </w:tr>
      <w:tr w:rsidR="003C4012" w:rsidRPr="0066338C" w14:paraId="0E52747D" w14:textId="77777777" w:rsidTr="00260FF1">
        <w:trPr>
          <w:trHeight w:val="255"/>
        </w:trPr>
        <w:tc>
          <w:tcPr>
            <w:tcW w:w="2373" w:type="pct"/>
            <w:shd w:val="clear" w:color="auto" w:fill="auto"/>
            <w:noWrap/>
            <w:vAlign w:val="bottom"/>
            <w:hideMark/>
          </w:tcPr>
          <w:p w14:paraId="7F82E13D"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Лискинский</w:t>
            </w:r>
          </w:p>
        </w:tc>
        <w:tc>
          <w:tcPr>
            <w:tcW w:w="1511" w:type="pct"/>
            <w:shd w:val="clear" w:color="auto" w:fill="auto"/>
            <w:noWrap/>
            <w:vAlign w:val="bottom"/>
            <w:hideMark/>
          </w:tcPr>
          <w:p w14:paraId="5B07D1B3"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861</w:t>
            </w:r>
          </w:p>
        </w:tc>
        <w:tc>
          <w:tcPr>
            <w:tcW w:w="1116" w:type="pct"/>
            <w:shd w:val="clear" w:color="auto" w:fill="auto"/>
            <w:noWrap/>
            <w:vAlign w:val="bottom"/>
            <w:hideMark/>
          </w:tcPr>
          <w:p w14:paraId="5604B9A3"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300 878 456,06</w:t>
            </w:r>
          </w:p>
        </w:tc>
      </w:tr>
      <w:tr w:rsidR="003C4012" w:rsidRPr="0066338C" w14:paraId="3CE03FDC" w14:textId="77777777" w:rsidTr="00260FF1">
        <w:trPr>
          <w:trHeight w:val="255"/>
        </w:trPr>
        <w:tc>
          <w:tcPr>
            <w:tcW w:w="2373" w:type="pct"/>
            <w:shd w:val="clear" w:color="auto" w:fill="auto"/>
            <w:noWrap/>
            <w:vAlign w:val="bottom"/>
            <w:hideMark/>
          </w:tcPr>
          <w:p w14:paraId="0C4BA3D3"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Нижнедевицкий</w:t>
            </w:r>
          </w:p>
        </w:tc>
        <w:tc>
          <w:tcPr>
            <w:tcW w:w="1511" w:type="pct"/>
            <w:shd w:val="clear" w:color="auto" w:fill="auto"/>
            <w:noWrap/>
            <w:vAlign w:val="bottom"/>
            <w:hideMark/>
          </w:tcPr>
          <w:p w14:paraId="4CD882E9"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529</w:t>
            </w:r>
          </w:p>
        </w:tc>
        <w:tc>
          <w:tcPr>
            <w:tcW w:w="1116" w:type="pct"/>
            <w:shd w:val="clear" w:color="auto" w:fill="auto"/>
            <w:noWrap/>
            <w:vAlign w:val="bottom"/>
            <w:hideMark/>
          </w:tcPr>
          <w:p w14:paraId="2922F365"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68 019 208,00</w:t>
            </w:r>
          </w:p>
        </w:tc>
      </w:tr>
      <w:tr w:rsidR="003C4012" w:rsidRPr="0066338C" w14:paraId="3ECE06A7" w14:textId="77777777" w:rsidTr="00260FF1">
        <w:trPr>
          <w:trHeight w:val="255"/>
        </w:trPr>
        <w:tc>
          <w:tcPr>
            <w:tcW w:w="2373" w:type="pct"/>
            <w:shd w:val="clear" w:color="auto" w:fill="auto"/>
            <w:noWrap/>
            <w:vAlign w:val="bottom"/>
            <w:hideMark/>
          </w:tcPr>
          <w:p w14:paraId="01FEB06B"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Новоусманский</w:t>
            </w:r>
          </w:p>
        </w:tc>
        <w:tc>
          <w:tcPr>
            <w:tcW w:w="1511" w:type="pct"/>
            <w:shd w:val="clear" w:color="auto" w:fill="auto"/>
            <w:noWrap/>
            <w:vAlign w:val="bottom"/>
            <w:hideMark/>
          </w:tcPr>
          <w:p w14:paraId="22C2B604"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121</w:t>
            </w:r>
          </w:p>
        </w:tc>
        <w:tc>
          <w:tcPr>
            <w:tcW w:w="1116" w:type="pct"/>
            <w:shd w:val="clear" w:color="auto" w:fill="auto"/>
            <w:noWrap/>
            <w:vAlign w:val="bottom"/>
            <w:hideMark/>
          </w:tcPr>
          <w:p w14:paraId="22CD7353"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119 386 559,31</w:t>
            </w:r>
          </w:p>
        </w:tc>
      </w:tr>
      <w:tr w:rsidR="003C4012" w:rsidRPr="0066338C" w14:paraId="2B7252AF" w14:textId="77777777" w:rsidTr="00260FF1">
        <w:trPr>
          <w:trHeight w:val="255"/>
        </w:trPr>
        <w:tc>
          <w:tcPr>
            <w:tcW w:w="2373" w:type="pct"/>
            <w:shd w:val="clear" w:color="auto" w:fill="auto"/>
            <w:noWrap/>
            <w:vAlign w:val="bottom"/>
            <w:hideMark/>
          </w:tcPr>
          <w:p w14:paraId="00E203CC"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Новохоперский</w:t>
            </w:r>
          </w:p>
        </w:tc>
        <w:tc>
          <w:tcPr>
            <w:tcW w:w="1511" w:type="pct"/>
            <w:shd w:val="clear" w:color="auto" w:fill="auto"/>
            <w:noWrap/>
            <w:vAlign w:val="bottom"/>
            <w:hideMark/>
          </w:tcPr>
          <w:p w14:paraId="79B85564"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678</w:t>
            </w:r>
          </w:p>
        </w:tc>
        <w:tc>
          <w:tcPr>
            <w:tcW w:w="1116" w:type="pct"/>
            <w:shd w:val="clear" w:color="auto" w:fill="auto"/>
            <w:noWrap/>
            <w:vAlign w:val="bottom"/>
            <w:hideMark/>
          </w:tcPr>
          <w:p w14:paraId="2FB0C495"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202 005 948,34</w:t>
            </w:r>
          </w:p>
        </w:tc>
      </w:tr>
      <w:tr w:rsidR="003C4012" w:rsidRPr="0066338C" w14:paraId="50F572E4" w14:textId="77777777" w:rsidTr="00260FF1">
        <w:trPr>
          <w:trHeight w:val="255"/>
        </w:trPr>
        <w:tc>
          <w:tcPr>
            <w:tcW w:w="2373" w:type="pct"/>
            <w:shd w:val="clear" w:color="auto" w:fill="auto"/>
            <w:noWrap/>
            <w:vAlign w:val="bottom"/>
            <w:hideMark/>
          </w:tcPr>
          <w:p w14:paraId="5BDAD326"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Ольховатский</w:t>
            </w:r>
          </w:p>
        </w:tc>
        <w:tc>
          <w:tcPr>
            <w:tcW w:w="1511" w:type="pct"/>
            <w:shd w:val="clear" w:color="auto" w:fill="auto"/>
            <w:noWrap/>
            <w:vAlign w:val="bottom"/>
            <w:hideMark/>
          </w:tcPr>
          <w:p w14:paraId="74E32EE5"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206</w:t>
            </w:r>
          </w:p>
        </w:tc>
        <w:tc>
          <w:tcPr>
            <w:tcW w:w="1116" w:type="pct"/>
            <w:shd w:val="clear" w:color="auto" w:fill="auto"/>
            <w:noWrap/>
            <w:vAlign w:val="bottom"/>
            <w:hideMark/>
          </w:tcPr>
          <w:p w14:paraId="4A8AFC14"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42 738 979,00</w:t>
            </w:r>
          </w:p>
        </w:tc>
      </w:tr>
      <w:tr w:rsidR="003C4012" w:rsidRPr="0066338C" w14:paraId="70D76281" w14:textId="77777777" w:rsidTr="00260FF1">
        <w:trPr>
          <w:trHeight w:val="255"/>
        </w:trPr>
        <w:tc>
          <w:tcPr>
            <w:tcW w:w="2373" w:type="pct"/>
            <w:shd w:val="clear" w:color="auto" w:fill="auto"/>
            <w:noWrap/>
            <w:vAlign w:val="bottom"/>
            <w:hideMark/>
          </w:tcPr>
          <w:p w14:paraId="734576AF"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Острогожский</w:t>
            </w:r>
          </w:p>
        </w:tc>
        <w:tc>
          <w:tcPr>
            <w:tcW w:w="1511" w:type="pct"/>
            <w:shd w:val="clear" w:color="auto" w:fill="auto"/>
            <w:noWrap/>
            <w:vAlign w:val="bottom"/>
            <w:hideMark/>
          </w:tcPr>
          <w:p w14:paraId="4AE6F9F4"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312</w:t>
            </w:r>
          </w:p>
        </w:tc>
        <w:tc>
          <w:tcPr>
            <w:tcW w:w="1116" w:type="pct"/>
            <w:shd w:val="clear" w:color="auto" w:fill="auto"/>
            <w:noWrap/>
            <w:vAlign w:val="bottom"/>
            <w:hideMark/>
          </w:tcPr>
          <w:p w14:paraId="1A0FF284"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242 526 647,00</w:t>
            </w:r>
          </w:p>
        </w:tc>
      </w:tr>
      <w:tr w:rsidR="003C4012" w:rsidRPr="0066338C" w14:paraId="0A82FA28" w14:textId="77777777" w:rsidTr="00260FF1">
        <w:trPr>
          <w:trHeight w:val="255"/>
        </w:trPr>
        <w:tc>
          <w:tcPr>
            <w:tcW w:w="2373" w:type="pct"/>
            <w:shd w:val="clear" w:color="auto" w:fill="auto"/>
            <w:noWrap/>
            <w:vAlign w:val="bottom"/>
            <w:hideMark/>
          </w:tcPr>
          <w:p w14:paraId="11EAE3AE"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Павловский</w:t>
            </w:r>
          </w:p>
        </w:tc>
        <w:tc>
          <w:tcPr>
            <w:tcW w:w="1511" w:type="pct"/>
            <w:shd w:val="clear" w:color="auto" w:fill="auto"/>
            <w:noWrap/>
            <w:vAlign w:val="bottom"/>
            <w:hideMark/>
          </w:tcPr>
          <w:p w14:paraId="7B2D4494"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816</w:t>
            </w:r>
          </w:p>
        </w:tc>
        <w:tc>
          <w:tcPr>
            <w:tcW w:w="1116" w:type="pct"/>
            <w:shd w:val="clear" w:color="auto" w:fill="auto"/>
            <w:noWrap/>
            <w:vAlign w:val="bottom"/>
            <w:hideMark/>
          </w:tcPr>
          <w:p w14:paraId="12ACCEB7"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309 638 899,00</w:t>
            </w:r>
          </w:p>
        </w:tc>
      </w:tr>
      <w:tr w:rsidR="003C4012" w:rsidRPr="0066338C" w14:paraId="0A83CB62" w14:textId="77777777" w:rsidTr="00260FF1">
        <w:trPr>
          <w:trHeight w:val="255"/>
        </w:trPr>
        <w:tc>
          <w:tcPr>
            <w:tcW w:w="2373" w:type="pct"/>
            <w:shd w:val="clear" w:color="auto" w:fill="auto"/>
            <w:noWrap/>
            <w:vAlign w:val="bottom"/>
            <w:hideMark/>
          </w:tcPr>
          <w:p w14:paraId="5DC3826F"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Панинский</w:t>
            </w:r>
          </w:p>
        </w:tc>
        <w:tc>
          <w:tcPr>
            <w:tcW w:w="1511" w:type="pct"/>
            <w:shd w:val="clear" w:color="auto" w:fill="auto"/>
            <w:noWrap/>
            <w:vAlign w:val="bottom"/>
            <w:hideMark/>
          </w:tcPr>
          <w:p w14:paraId="306FB51E"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303</w:t>
            </w:r>
          </w:p>
        </w:tc>
        <w:tc>
          <w:tcPr>
            <w:tcW w:w="1116" w:type="pct"/>
            <w:shd w:val="clear" w:color="auto" w:fill="auto"/>
            <w:noWrap/>
            <w:vAlign w:val="bottom"/>
            <w:hideMark/>
          </w:tcPr>
          <w:p w14:paraId="4883FCBD"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22 180 813,00</w:t>
            </w:r>
          </w:p>
        </w:tc>
      </w:tr>
      <w:tr w:rsidR="003C4012" w:rsidRPr="0066338C" w14:paraId="0B70500F" w14:textId="77777777" w:rsidTr="00260FF1">
        <w:trPr>
          <w:trHeight w:val="255"/>
        </w:trPr>
        <w:tc>
          <w:tcPr>
            <w:tcW w:w="2373" w:type="pct"/>
            <w:shd w:val="clear" w:color="auto" w:fill="auto"/>
            <w:noWrap/>
            <w:vAlign w:val="bottom"/>
            <w:hideMark/>
          </w:tcPr>
          <w:p w14:paraId="7D1E3794"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Петропавловский</w:t>
            </w:r>
          </w:p>
        </w:tc>
        <w:tc>
          <w:tcPr>
            <w:tcW w:w="1511" w:type="pct"/>
            <w:shd w:val="clear" w:color="auto" w:fill="auto"/>
            <w:noWrap/>
            <w:vAlign w:val="bottom"/>
            <w:hideMark/>
          </w:tcPr>
          <w:p w14:paraId="0B4725D3"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205</w:t>
            </w:r>
          </w:p>
        </w:tc>
        <w:tc>
          <w:tcPr>
            <w:tcW w:w="1116" w:type="pct"/>
            <w:shd w:val="clear" w:color="auto" w:fill="auto"/>
            <w:noWrap/>
            <w:vAlign w:val="bottom"/>
            <w:hideMark/>
          </w:tcPr>
          <w:p w14:paraId="4382C946"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169 993 927,00</w:t>
            </w:r>
          </w:p>
        </w:tc>
      </w:tr>
      <w:tr w:rsidR="003C4012" w:rsidRPr="0066338C" w14:paraId="16EC04A1" w14:textId="77777777" w:rsidTr="00260FF1">
        <w:trPr>
          <w:trHeight w:val="255"/>
        </w:trPr>
        <w:tc>
          <w:tcPr>
            <w:tcW w:w="2373" w:type="pct"/>
            <w:shd w:val="clear" w:color="auto" w:fill="auto"/>
            <w:noWrap/>
            <w:vAlign w:val="bottom"/>
            <w:hideMark/>
          </w:tcPr>
          <w:p w14:paraId="6EBC09D1"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Поворинский</w:t>
            </w:r>
          </w:p>
        </w:tc>
        <w:tc>
          <w:tcPr>
            <w:tcW w:w="1511" w:type="pct"/>
            <w:shd w:val="clear" w:color="auto" w:fill="auto"/>
            <w:noWrap/>
            <w:vAlign w:val="bottom"/>
            <w:hideMark/>
          </w:tcPr>
          <w:p w14:paraId="3ED183DF"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107</w:t>
            </w:r>
          </w:p>
        </w:tc>
        <w:tc>
          <w:tcPr>
            <w:tcW w:w="1116" w:type="pct"/>
            <w:shd w:val="clear" w:color="auto" w:fill="auto"/>
            <w:noWrap/>
            <w:vAlign w:val="bottom"/>
            <w:hideMark/>
          </w:tcPr>
          <w:p w14:paraId="06BCE00D"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61 736 011,00</w:t>
            </w:r>
          </w:p>
        </w:tc>
      </w:tr>
      <w:tr w:rsidR="003C4012" w:rsidRPr="0066338C" w14:paraId="6A323895" w14:textId="77777777" w:rsidTr="00260FF1">
        <w:trPr>
          <w:trHeight w:val="255"/>
        </w:trPr>
        <w:tc>
          <w:tcPr>
            <w:tcW w:w="2373" w:type="pct"/>
            <w:shd w:val="clear" w:color="auto" w:fill="auto"/>
            <w:noWrap/>
            <w:vAlign w:val="bottom"/>
            <w:hideMark/>
          </w:tcPr>
          <w:p w14:paraId="777A46E9"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Подгоренский</w:t>
            </w:r>
          </w:p>
        </w:tc>
        <w:tc>
          <w:tcPr>
            <w:tcW w:w="1511" w:type="pct"/>
            <w:shd w:val="clear" w:color="auto" w:fill="auto"/>
            <w:noWrap/>
            <w:vAlign w:val="bottom"/>
            <w:hideMark/>
          </w:tcPr>
          <w:p w14:paraId="28FF6237"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702</w:t>
            </w:r>
          </w:p>
        </w:tc>
        <w:tc>
          <w:tcPr>
            <w:tcW w:w="1116" w:type="pct"/>
            <w:shd w:val="clear" w:color="auto" w:fill="auto"/>
            <w:noWrap/>
            <w:vAlign w:val="bottom"/>
            <w:hideMark/>
          </w:tcPr>
          <w:p w14:paraId="68679E56"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128 289 563,00</w:t>
            </w:r>
          </w:p>
        </w:tc>
      </w:tr>
      <w:tr w:rsidR="003C4012" w:rsidRPr="0066338C" w14:paraId="52D1D8D1" w14:textId="77777777" w:rsidTr="00260FF1">
        <w:trPr>
          <w:trHeight w:val="255"/>
        </w:trPr>
        <w:tc>
          <w:tcPr>
            <w:tcW w:w="2373" w:type="pct"/>
            <w:shd w:val="clear" w:color="auto" w:fill="auto"/>
            <w:noWrap/>
            <w:vAlign w:val="bottom"/>
            <w:hideMark/>
          </w:tcPr>
          <w:p w14:paraId="23B1A930"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Рамонский</w:t>
            </w:r>
          </w:p>
        </w:tc>
        <w:tc>
          <w:tcPr>
            <w:tcW w:w="1511" w:type="pct"/>
            <w:shd w:val="clear" w:color="auto" w:fill="auto"/>
            <w:noWrap/>
            <w:vAlign w:val="bottom"/>
            <w:hideMark/>
          </w:tcPr>
          <w:p w14:paraId="71B44FFB"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542</w:t>
            </w:r>
          </w:p>
        </w:tc>
        <w:tc>
          <w:tcPr>
            <w:tcW w:w="1116" w:type="pct"/>
            <w:shd w:val="clear" w:color="auto" w:fill="auto"/>
            <w:noWrap/>
            <w:vAlign w:val="bottom"/>
            <w:hideMark/>
          </w:tcPr>
          <w:p w14:paraId="2D6D3D35"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296 849 064,64</w:t>
            </w:r>
          </w:p>
        </w:tc>
      </w:tr>
      <w:tr w:rsidR="003C4012" w:rsidRPr="0066338C" w14:paraId="194003FB" w14:textId="77777777" w:rsidTr="00260FF1">
        <w:trPr>
          <w:trHeight w:val="255"/>
        </w:trPr>
        <w:tc>
          <w:tcPr>
            <w:tcW w:w="2373" w:type="pct"/>
            <w:shd w:val="clear" w:color="auto" w:fill="auto"/>
            <w:noWrap/>
            <w:vAlign w:val="bottom"/>
            <w:hideMark/>
          </w:tcPr>
          <w:p w14:paraId="5777BD77"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Репьевский</w:t>
            </w:r>
          </w:p>
        </w:tc>
        <w:tc>
          <w:tcPr>
            <w:tcW w:w="1511" w:type="pct"/>
            <w:shd w:val="clear" w:color="auto" w:fill="auto"/>
            <w:noWrap/>
            <w:vAlign w:val="bottom"/>
            <w:hideMark/>
          </w:tcPr>
          <w:p w14:paraId="27AC5B85"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192</w:t>
            </w:r>
          </w:p>
        </w:tc>
        <w:tc>
          <w:tcPr>
            <w:tcW w:w="1116" w:type="pct"/>
            <w:shd w:val="clear" w:color="auto" w:fill="auto"/>
            <w:noWrap/>
            <w:vAlign w:val="bottom"/>
            <w:hideMark/>
          </w:tcPr>
          <w:p w14:paraId="1A3FB644"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36 865 000,00</w:t>
            </w:r>
          </w:p>
        </w:tc>
      </w:tr>
      <w:tr w:rsidR="003C4012" w:rsidRPr="0066338C" w14:paraId="4A4AC91C" w14:textId="77777777" w:rsidTr="00260FF1">
        <w:trPr>
          <w:trHeight w:val="255"/>
        </w:trPr>
        <w:tc>
          <w:tcPr>
            <w:tcW w:w="2373" w:type="pct"/>
            <w:shd w:val="clear" w:color="auto" w:fill="auto"/>
            <w:noWrap/>
            <w:vAlign w:val="bottom"/>
            <w:hideMark/>
          </w:tcPr>
          <w:p w14:paraId="47E56D47"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Россошанский</w:t>
            </w:r>
          </w:p>
        </w:tc>
        <w:tc>
          <w:tcPr>
            <w:tcW w:w="1511" w:type="pct"/>
            <w:shd w:val="clear" w:color="auto" w:fill="auto"/>
            <w:noWrap/>
            <w:vAlign w:val="bottom"/>
            <w:hideMark/>
          </w:tcPr>
          <w:p w14:paraId="479E265E"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390</w:t>
            </w:r>
          </w:p>
        </w:tc>
        <w:tc>
          <w:tcPr>
            <w:tcW w:w="1116" w:type="pct"/>
            <w:shd w:val="clear" w:color="auto" w:fill="auto"/>
            <w:noWrap/>
            <w:vAlign w:val="bottom"/>
            <w:hideMark/>
          </w:tcPr>
          <w:p w14:paraId="1932BB5E"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84 659 715,00</w:t>
            </w:r>
          </w:p>
        </w:tc>
      </w:tr>
      <w:tr w:rsidR="003C4012" w:rsidRPr="0066338C" w14:paraId="6DD67E80" w14:textId="77777777" w:rsidTr="00260FF1">
        <w:trPr>
          <w:trHeight w:val="255"/>
        </w:trPr>
        <w:tc>
          <w:tcPr>
            <w:tcW w:w="2373" w:type="pct"/>
            <w:shd w:val="clear" w:color="auto" w:fill="auto"/>
            <w:noWrap/>
            <w:vAlign w:val="bottom"/>
            <w:hideMark/>
          </w:tcPr>
          <w:p w14:paraId="32120759"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Семилукский</w:t>
            </w:r>
          </w:p>
        </w:tc>
        <w:tc>
          <w:tcPr>
            <w:tcW w:w="1511" w:type="pct"/>
            <w:shd w:val="clear" w:color="auto" w:fill="auto"/>
            <w:noWrap/>
            <w:vAlign w:val="bottom"/>
            <w:hideMark/>
          </w:tcPr>
          <w:p w14:paraId="78B0A271"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577</w:t>
            </w:r>
          </w:p>
        </w:tc>
        <w:tc>
          <w:tcPr>
            <w:tcW w:w="1116" w:type="pct"/>
            <w:shd w:val="clear" w:color="auto" w:fill="auto"/>
            <w:noWrap/>
            <w:vAlign w:val="bottom"/>
            <w:hideMark/>
          </w:tcPr>
          <w:p w14:paraId="2B54C356"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91 342 168,00</w:t>
            </w:r>
          </w:p>
        </w:tc>
      </w:tr>
      <w:tr w:rsidR="003C4012" w:rsidRPr="0066338C" w14:paraId="0ED2305B" w14:textId="77777777" w:rsidTr="00260FF1">
        <w:trPr>
          <w:trHeight w:val="255"/>
        </w:trPr>
        <w:tc>
          <w:tcPr>
            <w:tcW w:w="2373" w:type="pct"/>
            <w:shd w:val="clear" w:color="auto" w:fill="auto"/>
            <w:noWrap/>
            <w:vAlign w:val="bottom"/>
            <w:hideMark/>
          </w:tcPr>
          <w:p w14:paraId="58BFE08C"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Таловский</w:t>
            </w:r>
          </w:p>
        </w:tc>
        <w:tc>
          <w:tcPr>
            <w:tcW w:w="1511" w:type="pct"/>
            <w:shd w:val="clear" w:color="auto" w:fill="auto"/>
            <w:noWrap/>
            <w:vAlign w:val="bottom"/>
            <w:hideMark/>
          </w:tcPr>
          <w:p w14:paraId="54163200"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118</w:t>
            </w:r>
          </w:p>
        </w:tc>
        <w:tc>
          <w:tcPr>
            <w:tcW w:w="1116" w:type="pct"/>
            <w:shd w:val="clear" w:color="auto" w:fill="auto"/>
            <w:noWrap/>
            <w:vAlign w:val="bottom"/>
            <w:hideMark/>
          </w:tcPr>
          <w:p w14:paraId="72890D5A"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75 803 886,00</w:t>
            </w:r>
          </w:p>
        </w:tc>
      </w:tr>
      <w:tr w:rsidR="003C4012" w:rsidRPr="0066338C" w14:paraId="262FE872" w14:textId="77777777" w:rsidTr="00260FF1">
        <w:trPr>
          <w:trHeight w:val="255"/>
        </w:trPr>
        <w:tc>
          <w:tcPr>
            <w:tcW w:w="2373" w:type="pct"/>
            <w:shd w:val="clear" w:color="auto" w:fill="auto"/>
            <w:noWrap/>
            <w:vAlign w:val="bottom"/>
            <w:hideMark/>
          </w:tcPr>
          <w:p w14:paraId="3095D3DF"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Терновский</w:t>
            </w:r>
          </w:p>
        </w:tc>
        <w:tc>
          <w:tcPr>
            <w:tcW w:w="1511" w:type="pct"/>
            <w:shd w:val="clear" w:color="auto" w:fill="auto"/>
            <w:noWrap/>
            <w:vAlign w:val="bottom"/>
            <w:hideMark/>
          </w:tcPr>
          <w:p w14:paraId="7EEDF06B"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260</w:t>
            </w:r>
          </w:p>
        </w:tc>
        <w:tc>
          <w:tcPr>
            <w:tcW w:w="1116" w:type="pct"/>
            <w:shd w:val="clear" w:color="auto" w:fill="auto"/>
            <w:noWrap/>
            <w:vAlign w:val="bottom"/>
            <w:hideMark/>
          </w:tcPr>
          <w:p w14:paraId="092D33FB"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96 965 347,00</w:t>
            </w:r>
          </w:p>
        </w:tc>
      </w:tr>
      <w:tr w:rsidR="003C4012" w:rsidRPr="0066338C" w14:paraId="7B84D152" w14:textId="77777777" w:rsidTr="00260FF1">
        <w:trPr>
          <w:trHeight w:val="255"/>
        </w:trPr>
        <w:tc>
          <w:tcPr>
            <w:tcW w:w="2373" w:type="pct"/>
            <w:shd w:val="clear" w:color="auto" w:fill="auto"/>
            <w:noWrap/>
            <w:vAlign w:val="bottom"/>
            <w:hideMark/>
          </w:tcPr>
          <w:p w14:paraId="16F5231A"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Хохольский</w:t>
            </w:r>
          </w:p>
        </w:tc>
        <w:tc>
          <w:tcPr>
            <w:tcW w:w="1511" w:type="pct"/>
            <w:shd w:val="clear" w:color="auto" w:fill="auto"/>
            <w:noWrap/>
            <w:vAlign w:val="bottom"/>
            <w:hideMark/>
          </w:tcPr>
          <w:p w14:paraId="55504D13"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977</w:t>
            </w:r>
          </w:p>
        </w:tc>
        <w:tc>
          <w:tcPr>
            <w:tcW w:w="1116" w:type="pct"/>
            <w:shd w:val="clear" w:color="auto" w:fill="auto"/>
            <w:noWrap/>
            <w:vAlign w:val="bottom"/>
            <w:hideMark/>
          </w:tcPr>
          <w:p w14:paraId="04A9A753"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150 337 527,00</w:t>
            </w:r>
          </w:p>
        </w:tc>
      </w:tr>
      <w:tr w:rsidR="003C4012" w:rsidRPr="0066338C" w14:paraId="6EAEE434" w14:textId="77777777" w:rsidTr="00260FF1">
        <w:trPr>
          <w:trHeight w:val="255"/>
        </w:trPr>
        <w:tc>
          <w:tcPr>
            <w:tcW w:w="2373" w:type="pct"/>
            <w:shd w:val="clear" w:color="auto" w:fill="auto"/>
            <w:noWrap/>
            <w:vAlign w:val="bottom"/>
            <w:hideMark/>
          </w:tcPr>
          <w:p w14:paraId="315F4381"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Эртильский</w:t>
            </w:r>
          </w:p>
        </w:tc>
        <w:tc>
          <w:tcPr>
            <w:tcW w:w="1511" w:type="pct"/>
            <w:shd w:val="clear" w:color="auto" w:fill="auto"/>
            <w:noWrap/>
            <w:vAlign w:val="bottom"/>
            <w:hideMark/>
          </w:tcPr>
          <w:p w14:paraId="2EAD8A80"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112</w:t>
            </w:r>
          </w:p>
        </w:tc>
        <w:tc>
          <w:tcPr>
            <w:tcW w:w="1116" w:type="pct"/>
            <w:shd w:val="clear" w:color="auto" w:fill="auto"/>
            <w:noWrap/>
            <w:vAlign w:val="bottom"/>
            <w:hideMark/>
          </w:tcPr>
          <w:p w14:paraId="52A713C9" w14:textId="77777777" w:rsidR="003C4012" w:rsidRPr="006A2718" w:rsidRDefault="003C4012" w:rsidP="003C4012">
            <w:pPr>
              <w:spacing w:after="0" w:line="276" w:lineRule="auto"/>
              <w:contextualSpacing/>
              <w:jc w:val="center"/>
              <w:rPr>
                <w:rFonts w:ascii="Times New Roman" w:eastAsia="Times New Roman" w:hAnsi="Times New Roman" w:cs="Times New Roman"/>
                <w:sz w:val="24"/>
                <w:szCs w:val="24"/>
                <w:lang w:eastAsia="ru-RU"/>
              </w:rPr>
            </w:pPr>
            <w:r w:rsidRPr="006A2718">
              <w:rPr>
                <w:rFonts w:ascii="Times New Roman" w:eastAsia="Times New Roman" w:hAnsi="Times New Roman" w:cs="Times New Roman"/>
                <w:sz w:val="24"/>
                <w:szCs w:val="24"/>
                <w:lang w:eastAsia="ru-RU"/>
              </w:rPr>
              <w:t>24 891 000,00</w:t>
            </w:r>
          </w:p>
        </w:tc>
      </w:tr>
      <w:tr w:rsidR="003C4012" w:rsidRPr="00F562A8" w14:paraId="631B60B5" w14:textId="77777777" w:rsidTr="00260FF1">
        <w:trPr>
          <w:trHeight w:val="255"/>
        </w:trPr>
        <w:tc>
          <w:tcPr>
            <w:tcW w:w="2373" w:type="pct"/>
            <w:noWrap/>
            <w:vAlign w:val="bottom"/>
            <w:hideMark/>
          </w:tcPr>
          <w:p w14:paraId="46758518" w14:textId="77777777" w:rsidR="003C4012" w:rsidRPr="006A2718" w:rsidRDefault="003C4012" w:rsidP="003C4012">
            <w:pPr>
              <w:spacing w:after="0" w:line="276" w:lineRule="auto"/>
              <w:contextualSpacing/>
              <w:jc w:val="center"/>
              <w:rPr>
                <w:rFonts w:ascii="Times New Roman" w:eastAsia="Times New Roman" w:hAnsi="Times New Roman" w:cs="Times New Roman"/>
                <w:b/>
                <w:sz w:val="24"/>
                <w:szCs w:val="24"/>
                <w:lang w:eastAsia="ru-RU"/>
              </w:rPr>
            </w:pPr>
            <w:r w:rsidRPr="006A2718">
              <w:rPr>
                <w:rFonts w:ascii="Times New Roman" w:eastAsia="Times New Roman" w:hAnsi="Times New Roman" w:cs="Times New Roman"/>
                <w:b/>
                <w:sz w:val="24"/>
                <w:szCs w:val="24"/>
                <w:lang w:eastAsia="ru-RU"/>
              </w:rPr>
              <w:t>Итог</w:t>
            </w:r>
          </w:p>
        </w:tc>
        <w:tc>
          <w:tcPr>
            <w:tcW w:w="1511" w:type="pct"/>
            <w:shd w:val="clear" w:color="auto" w:fill="auto"/>
            <w:noWrap/>
            <w:vAlign w:val="bottom"/>
            <w:hideMark/>
          </w:tcPr>
          <w:p w14:paraId="257FBA45" w14:textId="77777777" w:rsidR="003C4012" w:rsidRPr="006A2718" w:rsidRDefault="003C4012" w:rsidP="003C4012">
            <w:pPr>
              <w:spacing w:after="0" w:line="276" w:lineRule="auto"/>
              <w:contextualSpacing/>
              <w:jc w:val="center"/>
              <w:rPr>
                <w:rFonts w:ascii="Times New Roman" w:eastAsia="Times New Roman" w:hAnsi="Times New Roman" w:cs="Times New Roman"/>
                <w:b/>
                <w:sz w:val="24"/>
                <w:szCs w:val="24"/>
                <w:lang w:eastAsia="ru-RU"/>
              </w:rPr>
            </w:pPr>
            <w:r w:rsidRPr="006A2718">
              <w:rPr>
                <w:rFonts w:ascii="Times New Roman" w:eastAsia="Times New Roman" w:hAnsi="Times New Roman" w:cs="Times New Roman"/>
                <w:b/>
                <w:sz w:val="24"/>
                <w:szCs w:val="24"/>
                <w:lang w:eastAsia="ru-RU"/>
              </w:rPr>
              <w:t>12486</w:t>
            </w:r>
          </w:p>
        </w:tc>
        <w:tc>
          <w:tcPr>
            <w:tcW w:w="1116" w:type="pct"/>
            <w:shd w:val="clear" w:color="auto" w:fill="auto"/>
            <w:noWrap/>
            <w:vAlign w:val="bottom"/>
            <w:hideMark/>
          </w:tcPr>
          <w:p w14:paraId="3019A6A9" w14:textId="77777777" w:rsidR="003C4012" w:rsidRPr="006A2718" w:rsidRDefault="003C4012" w:rsidP="003C4012">
            <w:pPr>
              <w:spacing w:after="0" w:line="276" w:lineRule="auto"/>
              <w:contextualSpacing/>
              <w:jc w:val="center"/>
              <w:rPr>
                <w:rFonts w:ascii="Times New Roman" w:eastAsia="Times New Roman" w:hAnsi="Times New Roman" w:cs="Times New Roman"/>
                <w:b/>
                <w:sz w:val="24"/>
                <w:szCs w:val="24"/>
                <w:lang w:eastAsia="ru-RU"/>
              </w:rPr>
            </w:pPr>
            <w:r w:rsidRPr="006A2718">
              <w:rPr>
                <w:rFonts w:ascii="Times New Roman" w:eastAsia="Times New Roman" w:hAnsi="Times New Roman" w:cs="Times New Roman"/>
                <w:b/>
                <w:sz w:val="24"/>
                <w:szCs w:val="24"/>
                <w:lang w:eastAsia="ru-RU"/>
              </w:rPr>
              <w:t>5 235 677 188,76</w:t>
            </w:r>
          </w:p>
        </w:tc>
      </w:tr>
    </w:tbl>
    <w:p w14:paraId="2C59EC40" w14:textId="77777777" w:rsidR="003C4012" w:rsidRPr="006A2718" w:rsidRDefault="003C4012" w:rsidP="003C4012">
      <w:pPr>
        <w:spacing w:after="0" w:line="276" w:lineRule="auto"/>
        <w:contextualSpacing/>
        <w:jc w:val="center"/>
        <w:rPr>
          <w:rFonts w:ascii="Times New Roman" w:eastAsia="Times New Roman" w:hAnsi="Times New Roman" w:cs="Times New Roman"/>
          <w:spacing w:val="-5"/>
          <w:sz w:val="26"/>
          <w:szCs w:val="26"/>
        </w:rPr>
      </w:pPr>
      <w:r w:rsidRPr="006A2718">
        <w:rPr>
          <w:rFonts w:ascii="Times New Roman" w:eastAsia="Times New Roman" w:hAnsi="Times New Roman" w:cs="Times New Roman"/>
          <w:noProof/>
          <w:spacing w:val="-5"/>
          <w:sz w:val="26"/>
          <w:szCs w:val="26"/>
          <w:lang w:eastAsia="ru-RU"/>
        </w:rPr>
        <w:drawing>
          <wp:inline distT="0" distB="0" distL="0" distR="0" wp14:anchorId="16E77F5B" wp14:editId="4A0D7E41">
            <wp:extent cx="6014720" cy="3730850"/>
            <wp:effectExtent l="0" t="0" r="5080" b="317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25830" cy="3737741"/>
                    </a:xfrm>
                    <a:prstGeom prst="rect">
                      <a:avLst/>
                    </a:prstGeom>
                    <a:noFill/>
                  </pic:spPr>
                </pic:pic>
              </a:graphicData>
            </a:graphic>
          </wp:inline>
        </w:drawing>
      </w:r>
    </w:p>
    <w:p w14:paraId="10C92DB1" w14:textId="77777777" w:rsidR="003C4012" w:rsidRPr="00F562A8" w:rsidRDefault="003C4012" w:rsidP="003C4012">
      <w:pPr>
        <w:spacing w:after="0" w:line="276" w:lineRule="auto"/>
        <w:contextualSpacing/>
        <w:jc w:val="center"/>
        <w:rPr>
          <w:rFonts w:ascii="Times New Roman" w:hAnsi="Times New Roman" w:cs="Times New Roman"/>
          <w:sz w:val="26"/>
          <w:szCs w:val="26"/>
        </w:rPr>
      </w:pPr>
      <w:r w:rsidRPr="006A2718">
        <w:rPr>
          <w:rFonts w:ascii="Times New Roman" w:hAnsi="Times New Roman" w:cs="Times New Roman"/>
          <w:sz w:val="26"/>
          <w:szCs w:val="26"/>
        </w:rPr>
        <w:t>Рис. 3.3.1.5 Количество оцениваемых земельных участков из состава земель лесного фонда в разрезе муниципальных районов Воронежской области</w:t>
      </w:r>
    </w:p>
    <w:p w14:paraId="136F3E10" w14:textId="77777777" w:rsidR="003C4012" w:rsidRPr="0051252F" w:rsidRDefault="003C4012" w:rsidP="003C4012">
      <w:pPr>
        <w:spacing w:after="0" w:line="276" w:lineRule="auto"/>
        <w:ind w:firstLine="709"/>
        <w:contextualSpacing/>
        <w:jc w:val="center"/>
        <w:rPr>
          <w:rFonts w:ascii="Times New Roman" w:hAnsi="Times New Roman" w:cs="Times New Roman"/>
          <w:sz w:val="24"/>
          <w:szCs w:val="26"/>
          <w:vertAlign w:val="superscript"/>
        </w:rPr>
      </w:pPr>
    </w:p>
    <w:p w14:paraId="511D1A6D" w14:textId="77777777" w:rsidR="003C4012" w:rsidRPr="003C4012" w:rsidRDefault="003C4012" w:rsidP="003C4012">
      <w:pPr>
        <w:spacing w:after="0" w:line="276" w:lineRule="auto"/>
        <w:ind w:firstLine="708"/>
        <w:contextualSpacing/>
        <w:jc w:val="center"/>
        <w:rPr>
          <w:rFonts w:ascii="Times New Roman" w:hAnsi="Times New Roman" w:cs="Times New Roman"/>
          <w:i/>
          <w:sz w:val="26"/>
          <w:szCs w:val="26"/>
          <w:shd w:val="clear" w:color="auto" w:fill="FFFFFF"/>
        </w:rPr>
      </w:pPr>
      <w:r w:rsidRPr="003C4012">
        <w:rPr>
          <w:rFonts w:ascii="Times New Roman" w:hAnsi="Times New Roman" w:cs="Times New Roman"/>
          <w:i/>
          <w:sz w:val="26"/>
          <w:szCs w:val="26"/>
          <w:shd w:val="clear" w:color="auto" w:fill="FFFFFF"/>
        </w:rPr>
        <w:t>Описание земель водного фонда</w:t>
      </w:r>
    </w:p>
    <w:p w14:paraId="648BAE8C"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shd w:val="clear" w:color="auto" w:fill="FFFFFF"/>
        </w:rPr>
      </w:pPr>
      <w:r w:rsidRPr="00F562A8">
        <w:rPr>
          <w:rFonts w:ascii="Times New Roman" w:hAnsi="Times New Roman" w:cs="Times New Roman"/>
          <w:sz w:val="26"/>
          <w:szCs w:val="26"/>
          <w:shd w:val="clear" w:color="auto" w:fill="FFFFFF"/>
        </w:rPr>
        <w:t>Согласно Водному кодексу Российской Федерации, воды – это важнейший компонент природной среды. Он может возобновляться, его объем ограничен, и это одни из наиболее уязвимых ресурсов природы. </w:t>
      </w:r>
    </w:p>
    <w:p w14:paraId="5DB420BA"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shd w:val="clear" w:color="auto" w:fill="FFFFFF"/>
        </w:rPr>
      </w:pPr>
      <w:r w:rsidRPr="00F562A8">
        <w:rPr>
          <w:rFonts w:ascii="Times New Roman" w:hAnsi="Times New Roman" w:cs="Times New Roman"/>
          <w:sz w:val="26"/>
          <w:szCs w:val="26"/>
          <w:shd w:val="clear" w:color="auto" w:fill="FFFFFF"/>
        </w:rPr>
        <w:t>Понятие земель водного фонда подразумевает под собой земли, где размещены различные водные объекты, зоны охраны подобных объектов, отводные полосы и охраняемые водоразборные зоны, различного рода гидротехнические сооружения и иные объекты, а также сооружения, отнесенные к водному хозяйству. Согласно ст.102 Земельного Кодекса Российской Федерации, к землям водного фонда относятся земли:</w:t>
      </w:r>
    </w:p>
    <w:p w14:paraId="625860AD"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shd w:val="clear" w:color="auto" w:fill="FFFFFF"/>
        </w:rPr>
      </w:pPr>
      <w:r w:rsidRPr="00F562A8">
        <w:rPr>
          <w:rFonts w:ascii="Times New Roman" w:hAnsi="Times New Roman" w:cs="Times New Roman"/>
          <w:sz w:val="26"/>
          <w:szCs w:val="26"/>
          <w:shd w:val="clear" w:color="auto" w:fill="FFFFFF"/>
        </w:rPr>
        <w:t>-покрытые поверхностными водами, сосредоточенными в водных объектах;</w:t>
      </w:r>
    </w:p>
    <w:p w14:paraId="7381B645"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shd w:val="clear" w:color="auto" w:fill="FFFFFF"/>
        </w:rPr>
      </w:pPr>
      <w:bookmarkStart w:id="119" w:name="dst21"/>
      <w:bookmarkEnd w:id="119"/>
      <w:r w:rsidRPr="00F562A8">
        <w:rPr>
          <w:rFonts w:ascii="Times New Roman" w:hAnsi="Times New Roman" w:cs="Times New Roman"/>
          <w:sz w:val="26"/>
          <w:szCs w:val="26"/>
          <w:shd w:val="clear" w:color="auto" w:fill="FFFFFF"/>
        </w:rPr>
        <w:t>-занятые гидротехническими и иными сооружениями, расположенными на водных объектах.</w:t>
      </w:r>
    </w:p>
    <w:p w14:paraId="523A64B5"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shd w:val="clear" w:color="auto" w:fill="FFFFFF"/>
        </w:rPr>
      </w:pPr>
      <w:r w:rsidRPr="00F562A8">
        <w:rPr>
          <w:rFonts w:ascii="Times New Roman" w:hAnsi="Times New Roman" w:cs="Times New Roman"/>
          <w:sz w:val="26"/>
          <w:szCs w:val="26"/>
          <w:shd w:val="clear" w:color="auto" w:fill="FFFFFF"/>
        </w:rPr>
        <w:t>В отношении тех земель, которые заняты поверхностными водами, не предусмотрено отведение участков. Если необходимо построить водохранилище либо иной искусственный водный объект, выполняют земельное резервирование. Сам же порядок эксплуатации и охраны земель, относящихся к водному фонду, полностью предусматривает Земельный кодекс Российской Федерации и отдельно законодательство в водной сфере. Составляющие водного фонда – это сосредоточение различных водных объектов, которые уже включены или подлежат включению в государственный водный реестр. Водный госреестр является центральной базой всей информации, имеющейся о водных объектах и их применении, отдельных ресурсах и водопользователях. Ведение реестра осуществляется </w:t>
      </w:r>
      <w:hyperlink r:id="rId135" w:tooltip="Федеральное агентство водных ресурсов. Федеральный орган исполнительной власти, осуществляющий функции по оказанию государственных услуг и управлению федеральным имуществом в сфере водных ресурсов" w:history="1">
        <w:r w:rsidRPr="00F562A8">
          <w:rPr>
            <w:rFonts w:ascii="Times New Roman" w:hAnsi="Times New Roman" w:cs="Times New Roman"/>
            <w:sz w:val="26"/>
            <w:szCs w:val="26"/>
            <w:shd w:val="clear" w:color="auto" w:fill="FFFFFF"/>
          </w:rPr>
          <w:t>Федеральным агентством водных ресурсов</w:t>
        </w:r>
      </w:hyperlink>
      <w:r w:rsidRPr="00F562A8">
        <w:rPr>
          <w:rFonts w:ascii="Times New Roman" w:hAnsi="Times New Roman" w:cs="Times New Roman"/>
          <w:sz w:val="26"/>
          <w:szCs w:val="26"/>
          <w:shd w:val="clear" w:color="auto" w:fill="FFFFFF"/>
        </w:rPr>
        <w:t> и </w:t>
      </w:r>
      <w:hyperlink r:id="rId136" w:tooltip="Бассейновые водные управления. Территориальные органы Федерального агентства водных ресурсов межрегионального уровня. " w:history="1">
        <w:r w:rsidRPr="00F562A8">
          <w:rPr>
            <w:rFonts w:ascii="Times New Roman" w:hAnsi="Times New Roman" w:cs="Times New Roman"/>
            <w:sz w:val="26"/>
            <w:szCs w:val="26"/>
            <w:shd w:val="clear" w:color="auto" w:fill="FFFFFF"/>
          </w:rPr>
          <w:t>территориальными органами агентства</w:t>
        </w:r>
      </w:hyperlink>
      <w:r w:rsidRPr="00F562A8">
        <w:rPr>
          <w:rFonts w:ascii="Times New Roman" w:hAnsi="Times New Roman" w:cs="Times New Roman"/>
          <w:sz w:val="26"/>
          <w:szCs w:val="26"/>
          <w:shd w:val="clear" w:color="auto" w:fill="FFFFFF"/>
        </w:rPr>
        <w:t>.</w:t>
      </w:r>
    </w:p>
    <w:p w14:paraId="25366679"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shd w:val="clear" w:color="auto" w:fill="FFFFFF"/>
        </w:rPr>
      </w:pPr>
      <w:r w:rsidRPr="00F562A8">
        <w:rPr>
          <w:rFonts w:ascii="Times New Roman" w:hAnsi="Times New Roman" w:cs="Times New Roman"/>
          <w:sz w:val="26"/>
          <w:szCs w:val="26"/>
          <w:shd w:val="clear" w:color="auto" w:fill="FFFFFF"/>
        </w:rPr>
        <w:t>Федеральное агентство водных ресурсов (Росводресурсы) является федеральным органом исполнительной власти, осуществляющим функции по оказанию государственных услуг и управлению федеральным имуществом в сфере водных ресурсов. Федеральное агентство водных ресурсов находится в ведении Министерства природных ресурсов и экологии Российской Федерации. Федеральное агентство водных ресурсов осуществляет свою деятельность непосредственно или через свои территориальные органы (в том числе бассейновые) и через подведомственные организации во взаимодействии с другими федеральными органами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 </w:t>
      </w:r>
    </w:p>
    <w:p w14:paraId="3305E6F5"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shd w:val="clear" w:color="auto" w:fill="FFFFFF"/>
        </w:rPr>
      </w:pPr>
      <w:r w:rsidRPr="00F562A8">
        <w:rPr>
          <w:rFonts w:ascii="Times New Roman" w:hAnsi="Times New Roman" w:cs="Times New Roman"/>
          <w:sz w:val="26"/>
          <w:szCs w:val="26"/>
          <w:shd w:val="clear" w:color="auto" w:fill="FFFFFF"/>
        </w:rPr>
        <w:t>Министерство природных ресурсов и экологии Российской Федерации является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том числе водных.</w:t>
      </w:r>
    </w:p>
    <w:p w14:paraId="047A04EC"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Водный фонд Воронежской области представлен реками, озерами, водохранилищами, прудами и подземными водами. Основу поверхностных вод составляют реки и временные водотоки. В области открытые водоемы в качестве источника питьевого водоснабжения населения не используются. На состояние водных объектов продолжают оказывать негативное воздействие неудовлетворительное состояние очистных сооружений и отсутствие эффективного комплекса систем обеззараживания на большинстве очистных сооружений.</w:t>
      </w:r>
    </w:p>
    <w:p w14:paraId="581B82E3"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Согласно данным справочника «Гидрологическая изученность» на территории Воронежской области насчитывается 1343 реки с суммарной длиной в пределах области, равной 14272 км. На долю мельчайших водотоков (≤ 10 км) приходится 82,65% (1110 рек) от общего количества рек. Число самых малых рек и водотоков (от 10 до 25 км) составляют 154 реки (11,5%); малых (длиной от 26 до 100 км) – 63 реки (4,7%), средних (длина от 101 до 200 км) – 13 рек (1%); больших (длиной более 200 км) – 3 реки (0,2%).</w:t>
      </w:r>
    </w:p>
    <w:p w14:paraId="32791E4D" w14:textId="77777777" w:rsidR="003C4012" w:rsidRPr="00F562A8"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К основным водным объектам на территории Воронежской области относятся реки протяженностью более 200 км, и реки, на которых ведутся гидрометрические измерения уровней и расходов воды, водохранилища и пруды. На территории Воронежской области расположено 319 озер.</w:t>
      </w:r>
    </w:p>
    <w:p w14:paraId="6B8C2FA9"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Воронежское водохранилище относится к водоему рыбохозяйственного значения. Длина Воронежского водохранилища 35 км, фактический объем водохранилища – 199,3 млн м3, площадь зеркала воды – 59,9 км2, площадь водозабора до створа гидроузла – 21500 км2. Среднемноголетний расход воды – 70,3 м3 /с. Воронежское водохранилище является основным источником потребления воды промышленными предприятиями ГО г. Воронеж. Забор воды на технологические цели осуществляют: Воронежская региональная генерация ТЭЦ-1, Теплосетевая компания, ПАО «ВАСО», ЗАО «ВШЗ». В водохранилище сбрасывают сточные воды промпредприятия левобережной части города, а также в него через естественные выпуски попадает значительное количество взвешенных веществ, нефтепродуктов, хлоридов, солей тяжелых металлов с ливневыми водами неорганизованных сбросов.</w:t>
      </w:r>
    </w:p>
    <w:p w14:paraId="7C0D4F5E"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Река Дон – водоем рыбохозяйственного значения высшей категории. Общая протяженность реки – 1870 км, площадь водосбора – 422 тыс. км2. Основным источником питания реки являются талые воды. В р. Дон поступают сточные воды с очистных сооружений ООО «РВК – Воронеж», МУП «Аквасервис» г. Нововоронежа, МУП «Водоканал» г. Лиски, ОАО «ПавловскНеруд», МП «Павловскводоканал» и МКУП «Богучаркоммунсервис».</w:t>
      </w:r>
    </w:p>
    <w:p w14:paraId="25AAB56C"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Река Воронеж – левый приток Дона, река I порядка. Длина – 342 км. Площадь бассейна – 21600 км2. Типичная равнинная река. В р. Воронеж сбрасываются сточные воды с очистных сооружений ООО «Санаторий им. Дзержинского».</w:t>
      </w:r>
    </w:p>
    <w:p w14:paraId="20FEB5D8"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Река Икорец - большой площадью водосбора (2000 км2) и протяженностью (97 км) выделяется среди всех остальных рек левобережья Дона. Ее русло целиком расположено в пределах Воронежского гидрологического района и в средней части характеризуется чередованием озеровидных расширений и суженных мест. Ширина русла колеблется от 1,5 м до 35 м, глубина – от 0,5 до 3-4 м. Исток реки расположен в Панинском районе, а далее река пересекает территорию 45 Лискинского района через поселки Верхний Икорец, Средний Икорец и Нижний Икорец. В районе Среднего Икорца в реку сбрасываются очищенные сточные воды ООО «Санаторий им. Цюрупы».</w:t>
      </w:r>
    </w:p>
    <w:p w14:paraId="6692EF7D"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Река Усмань – это левый приток реки Воронеж, река II порядка. Площадь водосбора – 2840 км2. Длина реки – 151 км. Исток реки находится на территории Липецкой области севернее г. Усмань. Основное питание реки – весеннее снеготаяние. Грунтовое питание не превышает 15-20%, а дождевое – 3-10%. Забор 47 воды из русла производится на сельскохозяйственные нужды. Кроме того, близкое расположение к областному центру увеличивает антропогенную нагрузку на водоем в летнее время. Несмотря на это, река остается одним из наиболее чистых водоемов области. Содержания в донных отложениях устья реки Усмань загрязняющих веществ приняты в качестве фоновых, так как их количество ниже средних арифметических значений всех содержаний загрязняющих веществ в донных отложениях рек Воронежской области.</w:t>
      </w:r>
    </w:p>
    <w:p w14:paraId="2DFA8E50"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Река Хопер протекает в Пензенской, Саратовской, Воронежской и Волгоградской областях России, крупнейший левый приток Дона, река I порядка. Длина – 980 км, площадь бассейна – 61100 км2. Питание преимущественно снеговое.</w:t>
      </w:r>
    </w:p>
    <w:p w14:paraId="00326F3B"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Река Савала протекает по территории двух областей – Воронежской и Тамбовской, является правым притоком реки Хопер, река II порядка. Протяженность реки – 285 км, в т.ч. по Воронежской области – 168,4 км. Площадь бассейна составляет 7720 км2. Исток реки находится в Тамбовской области. Протекает река по овражистой местности.</w:t>
      </w:r>
    </w:p>
    <w:p w14:paraId="29E1C795"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Река Толучеевка – левый приток Дона, река I порядка. Протекает по территории Петропавловского, Калачеевского и Воробьевского районов. Длина реки – 142 км, площадь водосбросного бассейна – 5050 км2.</w:t>
      </w:r>
    </w:p>
    <w:p w14:paraId="55B26BDB"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Река Богучарка – река на юге Воронежской области, правый приток реки Дон, река I порядка. Длина реки – 101 км, площадь водосбросного бассейна – 32400 км2.</w:t>
      </w:r>
    </w:p>
    <w:p w14:paraId="38E098C9"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Река Осередь – левый приток Дона, река I порядка, протекает по Калачской возвышенности Бутурлиновского и Павловского районов Воронежской области, начинается в 4 км от г. Бутурлиновка в заболоченной балке. Длина – 89 км, площадь бассейна – 2420 км2.</w:t>
      </w:r>
    </w:p>
    <w:p w14:paraId="1B5223E6"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На территории области в соответствии с действующим законодательством определены границы водоохранных зон и прибрежных защитных полос 7 водных объектов области (Воронежское водохранилище, р. Воронеж, р. Битюг, р. Дон, р. Тихая Сосна, р. Хопер, р. Усмань). Общая протяженность водных объектов, в отношении которых установлены соответствующие зоны, составляет 1315,5 км. В Единый государственный реестр недвижимости и Федеральную государственную информационную систему территориального планирования направлены сведения о зонах с особыми условиями использования территории в отношении указанных водных объектов. Проведенная работа позволит предотвратить истощение водных объектов, их заиление и деградацию.</w:t>
      </w:r>
    </w:p>
    <w:p w14:paraId="3937EFF8"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На территории Воронежской области, по данным Российского регистра, числится 284 гидротехнических сооружения (далее – ГТС). 22 ГТС находятся в собственности Воронежской области, 62 ГТС – в федеральной собственности</w:t>
      </w:r>
      <w:r w:rsidRPr="00F562A8">
        <w:rPr>
          <w:rFonts w:ascii="Times New Roman" w:hAnsi="Times New Roman" w:cs="Times New Roman"/>
          <w:sz w:val="26"/>
        </w:rPr>
        <w:t xml:space="preserve"> </w:t>
      </w:r>
      <w:r w:rsidRPr="00F562A8">
        <w:rPr>
          <w:rFonts w:ascii="Times New Roman" w:hAnsi="Times New Roman" w:cs="Times New Roman"/>
          <w:sz w:val="26"/>
        </w:rPr>
        <w:footnoteReference w:id="125"/>
      </w:r>
      <w:r w:rsidRPr="00F562A8">
        <w:rPr>
          <w:rFonts w:ascii="Times New Roman" w:hAnsi="Times New Roman" w:cs="Times New Roman"/>
          <w:sz w:val="26"/>
        </w:rPr>
        <w:t xml:space="preserve"> </w:t>
      </w:r>
      <w:r w:rsidRPr="00F562A8">
        <w:rPr>
          <w:rFonts w:ascii="Times New Roman" w:hAnsi="Times New Roman" w:cs="Times New Roman"/>
          <w:sz w:val="26"/>
          <w:szCs w:val="26"/>
        </w:rPr>
        <w:t>.</w:t>
      </w:r>
    </w:p>
    <w:p w14:paraId="31FDC686"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 xml:space="preserve">Воды Воронежской области относятся к Донскому бассейновому водному управлению (БВУ), управление которого расположено на территории Ростовской области, на территории Воронежской области функционирует </w:t>
      </w:r>
      <w:r w:rsidRPr="00CD6638">
        <w:rPr>
          <w:rFonts w:ascii="Times New Roman" w:hAnsi="Times New Roman" w:cs="Times New Roman"/>
          <w:sz w:val="26"/>
          <w:szCs w:val="26"/>
        </w:rPr>
        <w:t>Отдел водных ресурсов Донского БВУ по Воронежской области</w:t>
      </w:r>
      <w:r w:rsidRPr="00F562A8">
        <w:rPr>
          <w:rFonts w:ascii="Times New Roman" w:hAnsi="Times New Roman" w:cs="Times New Roman"/>
          <w:sz w:val="26"/>
          <w:szCs w:val="26"/>
        </w:rPr>
        <w:t xml:space="preserve">. </w:t>
      </w:r>
      <w:r w:rsidRPr="00CD6638">
        <w:rPr>
          <w:rFonts w:ascii="Times New Roman" w:hAnsi="Times New Roman" w:cs="Times New Roman"/>
          <w:sz w:val="26"/>
          <w:szCs w:val="26"/>
        </w:rPr>
        <w:t>Управление осуществляет функции</w:t>
      </w:r>
      <w:r>
        <w:rPr>
          <w:rFonts w:ascii="Times New Roman" w:hAnsi="Times New Roman" w:cs="Times New Roman"/>
          <w:sz w:val="26"/>
          <w:szCs w:val="26"/>
        </w:rPr>
        <w:t xml:space="preserve"> </w:t>
      </w:r>
      <w:r w:rsidRPr="00F562A8">
        <w:rPr>
          <w:rFonts w:ascii="Times New Roman" w:hAnsi="Times New Roman" w:cs="Times New Roman"/>
          <w:sz w:val="26"/>
          <w:szCs w:val="26"/>
        </w:rPr>
        <w:t xml:space="preserve">по оказанию государственных услуг и управлению федеральным имуществом в сфере водных ресурсов в бассейне рек Дон, Днепр, Волга в границах территорий Тамбовской, Курской, Белгородской, Липецкой, Воронежской и Ростовской областей. </w:t>
      </w:r>
      <w:r w:rsidRPr="00F562A8">
        <w:rPr>
          <w:rFonts w:ascii="Times New Roman" w:hAnsi="Times New Roman" w:cs="Times New Roman"/>
          <w:bCs/>
        </w:rPr>
        <w:t>Управление</w:t>
      </w:r>
      <w:r w:rsidRPr="00F562A8">
        <w:rPr>
          <w:rFonts w:ascii="Times New Roman" w:hAnsi="Times New Roman" w:cs="Times New Roman"/>
          <w:b/>
          <w:bCs/>
        </w:rPr>
        <w:t xml:space="preserve"> </w:t>
      </w:r>
      <w:r w:rsidRPr="00F562A8">
        <w:rPr>
          <w:rFonts w:ascii="Times New Roman" w:hAnsi="Times New Roman" w:cs="Times New Roman"/>
          <w:bCs/>
        </w:rPr>
        <w:t>координирует и контролирует</w:t>
      </w:r>
      <w:r w:rsidRPr="00F562A8">
        <w:rPr>
          <w:rFonts w:ascii="Times New Roman" w:hAnsi="Times New Roman" w:cs="Times New Roman"/>
          <w:sz w:val="26"/>
          <w:szCs w:val="26"/>
        </w:rPr>
        <w:t> в порядке, установленном действующим законодательством, деятельность водохозяйственных учреждений и предприятий, находящихся в ведении Федерального агентства водных ресурсов. Кроме этого, в пределах своих функций, взаимодействует с полномочными представителями Президента РФ в федеральных округах, территориальными учреждениями и ведомствами федеральных органов исполнительной власти, органами государственной власти субъектов РФ, а также общественными объединениями и гражданами.</w:t>
      </w:r>
    </w:p>
    <w:p w14:paraId="6FB5DCD1"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Департамент природных ресурсов и экологии Воронежской области является исполнительным органом государственной власти Воронежской области, обеспечивающим реализацию государственной политики в области охраны окружающей среды и природопользования на территории Воронежской области. Одной из основных задач Департамента является реализация полномочий в области водных отношений на территории Воронежской области, а также осуществление мер по охране водных объектов. В рамках реализации государственной программы Воронежской области «Охрана окружающей среды и природные ресурсы», утвержденной постановлением правительства Воронежской области, № 856 от 11.11.2015, Департаментом проводятся мероприятия по восстановлению водных ресурсов.</w:t>
      </w:r>
    </w:p>
    <w:p w14:paraId="2EE52B79" w14:textId="77777777" w:rsidR="003C4012" w:rsidRDefault="003C4012" w:rsidP="003C4012">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 xml:space="preserve">Количество и площадь оцениваемых земельных участков из состава земель </w:t>
      </w:r>
      <w:r>
        <w:rPr>
          <w:rFonts w:ascii="Times New Roman" w:hAnsi="Times New Roman" w:cs="Times New Roman"/>
          <w:sz w:val="26"/>
          <w:szCs w:val="26"/>
        </w:rPr>
        <w:t>водного</w:t>
      </w:r>
      <w:r w:rsidRPr="00F562A8">
        <w:rPr>
          <w:rFonts w:ascii="Times New Roman" w:hAnsi="Times New Roman" w:cs="Times New Roman"/>
          <w:sz w:val="26"/>
          <w:szCs w:val="26"/>
        </w:rPr>
        <w:t xml:space="preserve"> фонда в разрезе муниципальных районов Воронежской области, сведения о которых содержатся в Перечне представлено в таблице 3.3.1.</w:t>
      </w:r>
      <w:r>
        <w:rPr>
          <w:rFonts w:ascii="Times New Roman" w:hAnsi="Times New Roman" w:cs="Times New Roman"/>
          <w:sz w:val="26"/>
          <w:szCs w:val="26"/>
        </w:rPr>
        <w:t>2</w:t>
      </w:r>
      <w:r w:rsidRPr="00F562A8">
        <w:rPr>
          <w:rFonts w:ascii="Times New Roman" w:hAnsi="Times New Roman" w:cs="Times New Roman"/>
          <w:sz w:val="26"/>
          <w:szCs w:val="26"/>
        </w:rPr>
        <w:t>.</w:t>
      </w:r>
    </w:p>
    <w:p w14:paraId="2642742B" w14:textId="77777777" w:rsidR="003C4012" w:rsidRPr="006A2718" w:rsidRDefault="003C4012" w:rsidP="003C4012">
      <w:pPr>
        <w:spacing w:after="0" w:line="276" w:lineRule="auto"/>
        <w:ind w:firstLine="709"/>
        <w:contextualSpacing/>
        <w:jc w:val="right"/>
        <w:rPr>
          <w:rFonts w:ascii="Times New Roman" w:hAnsi="Times New Roman" w:cs="Times New Roman"/>
          <w:sz w:val="26"/>
          <w:szCs w:val="26"/>
        </w:rPr>
      </w:pPr>
      <w:r w:rsidRPr="006A2718">
        <w:rPr>
          <w:rFonts w:ascii="Times New Roman" w:hAnsi="Times New Roman" w:cs="Times New Roman"/>
          <w:sz w:val="26"/>
          <w:szCs w:val="26"/>
        </w:rPr>
        <w:t>Таблица 3.3.1.</w:t>
      </w:r>
      <w:r>
        <w:rPr>
          <w:rFonts w:ascii="Times New Roman" w:hAnsi="Times New Roman" w:cs="Times New Roman"/>
          <w:sz w:val="26"/>
          <w:szCs w:val="26"/>
        </w:rPr>
        <w:t>2</w:t>
      </w:r>
    </w:p>
    <w:p w14:paraId="5E6F5097" w14:textId="77777777" w:rsidR="003C4012" w:rsidRPr="006A2718" w:rsidRDefault="003C4012" w:rsidP="003C4012">
      <w:pPr>
        <w:spacing w:after="0" w:line="276" w:lineRule="auto"/>
        <w:contextualSpacing/>
        <w:jc w:val="center"/>
        <w:rPr>
          <w:rFonts w:ascii="Times New Roman" w:hAnsi="Times New Roman" w:cs="Times New Roman"/>
          <w:sz w:val="26"/>
          <w:szCs w:val="26"/>
        </w:rPr>
      </w:pPr>
      <w:r w:rsidRPr="006A2718">
        <w:rPr>
          <w:rFonts w:ascii="Times New Roman" w:hAnsi="Times New Roman" w:cs="Times New Roman"/>
          <w:sz w:val="26"/>
          <w:szCs w:val="26"/>
        </w:rPr>
        <w:t>Количество и площадь оцениваемых земельных участков из состава земель водного фонда в разрезе муниципальных районов Воронежской области</w:t>
      </w:r>
    </w:p>
    <w:tbl>
      <w:tblPr>
        <w:tblW w:w="5000" w:type="pct"/>
        <w:tblLook w:val="04A0" w:firstRow="1" w:lastRow="0" w:firstColumn="1" w:lastColumn="0" w:noHBand="0" w:noVBand="1"/>
      </w:tblPr>
      <w:tblGrid>
        <w:gridCol w:w="4788"/>
        <w:gridCol w:w="2523"/>
        <w:gridCol w:w="2033"/>
      </w:tblGrid>
      <w:tr w:rsidR="003C4012" w:rsidRPr="0066338C" w14:paraId="1E0F0BE1" w14:textId="77777777" w:rsidTr="003C4012">
        <w:trPr>
          <w:trHeight w:val="255"/>
        </w:trPr>
        <w:tc>
          <w:tcPr>
            <w:tcW w:w="2562" w:type="pct"/>
            <w:tcBorders>
              <w:top w:val="single" w:sz="4" w:space="0" w:color="auto"/>
              <w:left w:val="single" w:sz="4" w:space="0" w:color="auto"/>
              <w:bottom w:val="single" w:sz="4" w:space="0" w:color="auto"/>
              <w:right w:val="single" w:sz="4" w:space="0" w:color="auto"/>
            </w:tcBorders>
            <w:noWrap/>
            <w:vAlign w:val="center"/>
            <w:hideMark/>
          </w:tcPr>
          <w:p w14:paraId="6F7388D2" w14:textId="77777777" w:rsidR="003C4012" w:rsidRPr="006A2718" w:rsidRDefault="003C4012" w:rsidP="003C4012">
            <w:pPr>
              <w:spacing w:after="0" w:line="276" w:lineRule="auto"/>
              <w:contextualSpacing/>
              <w:jc w:val="center"/>
              <w:rPr>
                <w:rFonts w:ascii="Times New Roman" w:eastAsia="Times New Roman" w:hAnsi="Times New Roman" w:cs="Times New Roman"/>
                <w:b/>
                <w:lang w:eastAsia="ru-RU"/>
              </w:rPr>
            </w:pPr>
            <w:r w:rsidRPr="006A2718">
              <w:rPr>
                <w:rFonts w:ascii="Times New Roman" w:eastAsia="Times New Roman" w:hAnsi="Times New Roman" w:cs="Times New Roman"/>
                <w:b/>
                <w:lang w:eastAsia="ru-RU"/>
              </w:rPr>
              <w:t>Наименование района/городского округа</w:t>
            </w:r>
          </w:p>
        </w:tc>
        <w:tc>
          <w:tcPr>
            <w:tcW w:w="1350" w:type="pct"/>
            <w:tcBorders>
              <w:top w:val="single" w:sz="4" w:space="0" w:color="auto"/>
              <w:left w:val="nil"/>
              <w:bottom w:val="single" w:sz="4" w:space="0" w:color="auto"/>
              <w:right w:val="single" w:sz="4" w:space="0" w:color="auto"/>
            </w:tcBorders>
            <w:noWrap/>
            <w:vAlign w:val="center"/>
            <w:hideMark/>
          </w:tcPr>
          <w:p w14:paraId="3E54C392" w14:textId="77777777" w:rsidR="003C4012" w:rsidRPr="006A2718" w:rsidRDefault="003C4012" w:rsidP="003C4012">
            <w:pPr>
              <w:spacing w:after="0" w:line="276" w:lineRule="auto"/>
              <w:contextualSpacing/>
              <w:jc w:val="center"/>
              <w:rPr>
                <w:rFonts w:ascii="Times New Roman" w:eastAsia="Times New Roman" w:hAnsi="Times New Roman" w:cs="Times New Roman"/>
                <w:b/>
                <w:lang w:eastAsia="ru-RU"/>
              </w:rPr>
            </w:pPr>
            <w:r w:rsidRPr="006A2718">
              <w:rPr>
                <w:rFonts w:ascii="Times New Roman" w:eastAsia="Times New Roman" w:hAnsi="Times New Roman" w:cs="Times New Roman"/>
                <w:b/>
                <w:lang w:eastAsia="ru-RU"/>
              </w:rPr>
              <w:t>Количество ЗУ, шт.</w:t>
            </w:r>
          </w:p>
        </w:tc>
        <w:tc>
          <w:tcPr>
            <w:tcW w:w="1088" w:type="pct"/>
            <w:tcBorders>
              <w:top w:val="single" w:sz="4" w:space="0" w:color="auto"/>
              <w:left w:val="nil"/>
              <w:bottom w:val="single" w:sz="4" w:space="0" w:color="auto"/>
              <w:right w:val="single" w:sz="4" w:space="0" w:color="auto"/>
            </w:tcBorders>
            <w:noWrap/>
            <w:vAlign w:val="center"/>
            <w:hideMark/>
          </w:tcPr>
          <w:p w14:paraId="54DF8570" w14:textId="77777777" w:rsidR="003C4012" w:rsidRPr="006A2718" w:rsidRDefault="003C4012" w:rsidP="003C4012">
            <w:pPr>
              <w:spacing w:after="0" w:line="276" w:lineRule="auto"/>
              <w:contextualSpacing/>
              <w:jc w:val="center"/>
              <w:rPr>
                <w:rFonts w:ascii="Times New Roman" w:eastAsia="Times New Roman" w:hAnsi="Times New Roman" w:cs="Times New Roman"/>
                <w:b/>
                <w:lang w:eastAsia="ru-RU"/>
              </w:rPr>
            </w:pPr>
            <w:r w:rsidRPr="006A2718">
              <w:rPr>
                <w:rFonts w:ascii="Times New Roman" w:eastAsia="Times New Roman" w:hAnsi="Times New Roman" w:cs="Times New Roman"/>
                <w:b/>
                <w:lang w:eastAsia="ru-RU"/>
              </w:rPr>
              <w:t>Площадь ЗУ, м2</w:t>
            </w:r>
          </w:p>
        </w:tc>
      </w:tr>
      <w:tr w:rsidR="003C4012" w:rsidRPr="0066338C" w14:paraId="7515DBD5" w14:textId="77777777" w:rsidTr="003C4012">
        <w:trPr>
          <w:trHeight w:val="255"/>
        </w:trPr>
        <w:tc>
          <w:tcPr>
            <w:tcW w:w="25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789AF"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Аннинский</w:t>
            </w:r>
          </w:p>
        </w:tc>
        <w:tc>
          <w:tcPr>
            <w:tcW w:w="1350" w:type="pct"/>
            <w:tcBorders>
              <w:top w:val="single" w:sz="4" w:space="0" w:color="auto"/>
              <w:left w:val="nil"/>
              <w:bottom w:val="single" w:sz="4" w:space="0" w:color="auto"/>
              <w:right w:val="single" w:sz="4" w:space="0" w:color="auto"/>
            </w:tcBorders>
            <w:shd w:val="clear" w:color="auto" w:fill="auto"/>
            <w:noWrap/>
            <w:vAlign w:val="bottom"/>
            <w:hideMark/>
          </w:tcPr>
          <w:p w14:paraId="4D79DB56"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6</w:t>
            </w:r>
          </w:p>
        </w:tc>
        <w:tc>
          <w:tcPr>
            <w:tcW w:w="1088" w:type="pct"/>
            <w:tcBorders>
              <w:top w:val="single" w:sz="4" w:space="0" w:color="auto"/>
              <w:left w:val="nil"/>
              <w:bottom w:val="single" w:sz="4" w:space="0" w:color="auto"/>
              <w:right w:val="single" w:sz="4" w:space="0" w:color="auto"/>
            </w:tcBorders>
            <w:shd w:val="clear" w:color="auto" w:fill="auto"/>
            <w:noWrap/>
            <w:vAlign w:val="bottom"/>
            <w:hideMark/>
          </w:tcPr>
          <w:p w14:paraId="56E04723"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3 596 174,00</w:t>
            </w:r>
          </w:p>
        </w:tc>
      </w:tr>
      <w:tr w:rsidR="003C4012" w:rsidRPr="0066338C" w14:paraId="5210FA83" w14:textId="77777777" w:rsidTr="003C4012">
        <w:trPr>
          <w:trHeight w:val="255"/>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629F7D94"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Бобровский</w:t>
            </w:r>
          </w:p>
        </w:tc>
        <w:tc>
          <w:tcPr>
            <w:tcW w:w="1350" w:type="pct"/>
            <w:tcBorders>
              <w:top w:val="nil"/>
              <w:left w:val="nil"/>
              <w:bottom w:val="single" w:sz="4" w:space="0" w:color="auto"/>
              <w:right w:val="single" w:sz="4" w:space="0" w:color="auto"/>
            </w:tcBorders>
            <w:shd w:val="clear" w:color="auto" w:fill="auto"/>
            <w:noWrap/>
            <w:vAlign w:val="bottom"/>
            <w:hideMark/>
          </w:tcPr>
          <w:p w14:paraId="1BA172B5"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1</w:t>
            </w:r>
          </w:p>
        </w:tc>
        <w:tc>
          <w:tcPr>
            <w:tcW w:w="1088" w:type="pct"/>
            <w:tcBorders>
              <w:top w:val="nil"/>
              <w:left w:val="nil"/>
              <w:bottom w:val="single" w:sz="4" w:space="0" w:color="auto"/>
              <w:right w:val="single" w:sz="4" w:space="0" w:color="auto"/>
            </w:tcBorders>
            <w:shd w:val="clear" w:color="auto" w:fill="auto"/>
            <w:noWrap/>
            <w:vAlign w:val="bottom"/>
            <w:hideMark/>
          </w:tcPr>
          <w:p w14:paraId="1BBA385D"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1 050 000,00</w:t>
            </w:r>
          </w:p>
        </w:tc>
      </w:tr>
      <w:tr w:rsidR="003C4012" w:rsidRPr="0066338C" w14:paraId="04E3DB95" w14:textId="77777777" w:rsidTr="003C4012">
        <w:trPr>
          <w:trHeight w:val="255"/>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70674C4D"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Богучарский</w:t>
            </w:r>
          </w:p>
        </w:tc>
        <w:tc>
          <w:tcPr>
            <w:tcW w:w="1350" w:type="pct"/>
            <w:tcBorders>
              <w:top w:val="nil"/>
              <w:left w:val="nil"/>
              <w:bottom w:val="single" w:sz="4" w:space="0" w:color="auto"/>
              <w:right w:val="single" w:sz="4" w:space="0" w:color="auto"/>
            </w:tcBorders>
            <w:shd w:val="clear" w:color="auto" w:fill="auto"/>
            <w:noWrap/>
            <w:vAlign w:val="bottom"/>
            <w:hideMark/>
          </w:tcPr>
          <w:p w14:paraId="45E72893"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1</w:t>
            </w:r>
          </w:p>
        </w:tc>
        <w:tc>
          <w:tcPr>
            <w:tcW w:w="1088" w:type="pct"/>
            <w:tcBorders>
              <w:top w:val="nil"/>
              <w:left w:val="nil"/>
              <w:bottom w:val="single" w:sz="4" w:space="0" w:color="auto"/>
              <w:right w:val="single" w:sz="4" w:space="0" w:color="auto"/>
            </w:tcBorders>
            <w:shd w:val="clear" w:color="auto" w:fill="auto"/>
            <w:noWrap/>
            <w:vAlign w:val="bottom"/>
            <w:hideMark/>
          </w:tcPr>
          <w:p w14:paraId="500C59F5"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50 000,00</w:t>
            </w:r>
          </w:p>
        </w:tc>
      </w:tr>
      <w:tr w:rsidR="003C4012" w:rsidRPr="0066338C" w14:paraId="2AC99A7E" w14:textId="77777777" w:rsidTr="003C4012">
        <w:trPr>
          <w:trHeight w:val="255"/>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346B92DC"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Бутурлиновский</w:t>
            </w:r>
          </w:p>
        </w:tc>
        <w:tc>
          <w:tcPr>
            <w:tcW w:w="1350" w:type="pct"/>
            <w:tcBorders>
              <w:top w:val="nil"/>
              <w:left w:val="nil"/>
              <w:bottom w:val="single" w:sz="4" w:space="0" w:color="auto"/>
              <w:right w:val="single" w:sz="4" w:space="0" w:color="auto"/>
            </w:tcBorders>
            <w:shd w:val="clear" w:color="auto" w:fill="auto"/>
            <w:noWrap/>
            <w:vAlign w:val="bottom"/>
            <w:hideMark/>
          </w:tcPr>
          <w:p w14:paraId="1DEDD073"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2</w:t>
            </w:r>
          </w:p>
        </w:tc>
        <w:tc>
          <w:tcPr>
            <w:tcW w:w="1088" w:type="pct"/>
            <w:tcBorders>
              <w:top w:val="nil"/>
              <w:left w:val="nil"/>
              <w:bottom w:val="single" w:sz="4" w:space="0" w:color="auto"/>
              <w:right w:val="single" w:sz="4" w:space="0" w:color="auto"/>
            </w:tcBorders>
            <w:shd w:val="clear" w:color="auto" w:fill="auto"/>
            <w:noWrap/>
            <w:vAlign w:val="bottom"/>
            <w:hideMark/>
          </w:tcPr>
          <w:p w14:paraId="47628D0A"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1 120 000,00</w:t>
            </w:r>
          </w:p>
        </w:tc>
      </w:tr>
      <w:tr w:rsidR="003C4012" w:rsidRPr="0066338C" w14:paraId="51AD970A" w14:textId="77777777" w:rsidTr="003C4012">
        <w:trPr>
          <w:trHeight w:val="255"/>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13388FCB"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Верхнехавский</w:t>
            </w:r>
          </w:p>
        </w:tc>
        <w:tc>
          <w:tcPr>
            <w:tcW w:w="1350" w:type="pct"/>
            <w:tcBorders>
              <w:top w:val="nil"/>
              <w:left w:val="nil"/>
              <w:bottom w:val="single" w:sz="4" w:space="0" w:color="auto"/>
              <w:right w:val="single" w:sz="4" w:space="0" w:color="auto"/>
            </w:tcBorders>
            <w:shd w:val="clear" w:color="auto" w:fill="auto"/>
            <w:noWrap/>
            <w:vAlign w:val="bottom"/>
            <w:hideMark/>
          </w:tcPr>
          <w:p w14:paraId="7BF1252D"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6</w:t>
            </w:r>
          </w:p>
        </w:tc>
        <w:tc>
          <w:tcPr>
            <w:tcW w:w="1088" w:type="pct"/>
            <w:tcBorders>
              <w:top w:val="nil"/>
              <w:left w:val="nil"/>
              <w:bottom w:val="single" w:sz="4" w:space="0" w:color="auto"/>
              <w:right w:val="single" w:sz="4" w:space="0" w:color="auto"/>
            </w:tcBorders>
            <w:shd w:val="clear" w:color="auto" w:fill="auto"/>
            <w:noWrap/>
            <w:vAlign w:val="bottom"/>
            <w:hideMark/>
          </w:tcPr>
          <w:p w14:paraId="6D2C25A8"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2 834 068,00</w:t>
            </w:r>
          </w:p>
        </w:tc>
      </w:tr>
      <w:tr w:rsidR="003C4012" w:rsidRPr="0066338C" w14:paraId="36382E76" w14:textId="77777777" w:rsidTr="003C4012">
        <w:trPr>
          <w:trHeight w:val="255"/>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0B8841F6"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Грибановский</w:t>
            </w:r>
          </w:p>
        </w:tc>
        <w:tc>
          <w:tcPr>
            <w:tcW w:w="1350" w:type="pct"/>
            <w:tcBorders>
              <w:top w:val="nil"/>
              <w:left w:val="nil"/>
              <w:bottom w:val="single" w:sz="4" w:space="0" w:color="auto"/>
              <w:right w:val="single" w:sz="4" w:space="0" w:color="auto"/>
            </w:tcBorders>
            <w:shd w:val="clear" w:color="auto" w:fill="auto"/>
            <w:noWrap/>
            <w:vAlign w:val="bottom"/>
            <w:hideMark/>
          </w:tcPr>
          <w:p w14:paraId="0557405B"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4</w:t>
            </w:r>
          </w:p>
        </w:tc>
        <w:tc>
          <w:tcPr>
            <w:tcW w:w="1088" w:type="pct"/>
            <w:tcBorders>
              <w:top w:val="nil"/>
              <w:left w:val="nil"/>
              <w:bottom w:val="single" w:sz="4" w:space="0" w:color="auto"/>
              <w:right w:val="single" w:sz="4" w:space="0" w:color="auto"/>
            </w:tcBorders>
            <w:shd w:val="clear" w:color="auto" w:fill="auto"/>
            <w:noWrap/>
            <w:vAlign w:val="bottom"/>
            <w:hideMark/>
          </w:tcPr>
          <w:p w14:paraId="7F4C8932"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658 221,00</w:t>
            </w:r>
          </w:p>
        </w:tc>
      </w:tr>
      <w:tr w:rsidR="003C4012" w:rsidRPr="0066338C" w14:paraId="38D3687E" w14:textId="77777777" w:rsidTr="003C4012">
        <w:trPr>
          <w:trHeight w:val="255"/>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245B42E7"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Каширский</w:t>
            </w:r>
          </w:p>
        </w:tc>
        <w:tc>
          <w:tcPr>
            <w:tcW w:w="1350" w:type="pct"/>
            <w:tcBorders>
              <w:top w:val="nil"/>
              <w:left w:val="nil"/>
              <w:bottom w:val="single" w:sz="4" w:space="0" w:color="auto"/>
              <w:right w:val="single" w:sz="4" w:space="0" w:color="auto"/>
            </w:tcBorders>
            <w:shd w:val="clear" w:color="auto" w:fill="auto"/>
            <w:noWrap/>
            <w:vAlign w:val="bottom"/>
            <w:hideMark/>
          </w:tcPr>
          <w:p w14:paraId="5C22702F"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5</w:t>
            </w:r>
          </w:p>
        </w:tc>
        <w:tc>
          <w:tcPr>
            <w:tcW w:w="1088" w:type="pct"/>
            <w:tcBorders>
              <w:top w:val="nil"/>
              <w:left w:val="nil"/>
              <w:bottom w:val="single" w:sz="4" w:space="0" w:color="auto"/>
              <w:right w:val="single" w:sz="4" w:space="0" w:color="auto"/>
            </w:tcBorders>
            <w:shd w:val="clear" w:color="auto" w:fill="auto"/>
            <w:noWrap/>
            <w:vAlign w:val="bottom"/>
            <w:hideMark/>
          </w:tcPr>
          <w:p w14:paraId="303693DE"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4 370 000,00</w:t>
            </w:r>
          </w:p>
        </w:tc>
      </w:tr>
      <w:tr w:rsidR="003C4012" w:rsidRPr="0066338C" w14:paraId="40B40106" w14:textId="77777777" w:rsidTr="003C4012">
        <w:trPr>
          <w:trHeight w:val="255"/>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215C7022"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Лискинский</w:t>
            </w:r>
          </w:p>
        </w:tc>
        <w:tc>
          <w:tcPr>
            <w:tcW w:w="1350" w:type="pct"/>
            <w:tcBorders>
              <w:top w:val="nil"/>
              <w:left w:val="nil"/>
              <w:bottom w:val="single" w:sz="4" w:space="0" w:color="auto"/>
              <w:right w:val="single" w:sz="4" w:space="0" w:color="auto"/>
            </w:tcBorders>
            <w:shd w:val="clear" w:color="auto" w:fill="auto"/>
            <w:noWrap/>
            <w:vAlign w:val="bottom"/>
            <w:hideMark/>
          </w:tcPr>
          <w:p w14:paraId="72469154"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3</w:t>
            </w:r>
          </w:p>
        </w:tc>
        <w:tc>
          <w:tcPr>
            <w:tcW w:w="1088" w:type="pct"/>
            <w:tcBorders>
              <w:top w:val="nil"/>
              <w:left w:val="nil"/>
              <w:bottom w:val="single" w:sz="4" w:space="0" w:color="auto"/>
              <w:right w:val="single" w:sz="4" w:space="0" w:color="auto"/>
            </w:tcBorders>
            <w:shd w:val="clear" w:color="auto" w:fill="auto"/>
            <w:noWrap/>
            <w:vAlign w:val="bottom"/>
            <w:hideMark/>
          </w:tcPr>
          <w:p w14:paraId="18424093"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18 330 000,00</w:t>
            </w:r>
          </w:p>
        </w:tc>
      </w:tr>
      <w:tr w:rsidR="003C4012" w:rsidRPr="0066338C" w14:paraId="6159A3A5" w14:textId="77777777" w:rsidTr="003C4012">
        <w:trPr>
          <w:trHeight w:val="255"/>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549810CE"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Новоусманский</w:t>
            </w:r>
          </w:p>
        </w:tc>
        <w:tc>
          <w:tcPr>
            <w:tcW w:w="1350" w:type="pct"/>
            <w:tcBorders>
              <w:top w:val="nil"/>
              <w:left w:val="nil"/>
              <w:bottom w:val="single" w:sz="4" w:space="0" w:color="auto"/>
              <w:right w:val="single" w:sz="4" w:space="0" w:color="auto"/>
            </w:tcBorders>
            <w:shd w:val="clear" w:color="auto" w:fill="auto"/>
            <w:noWrap/>
            <w:vAlign w:val="bottom"/>
            <w:hideMark/>
          </w:tcPr>
          <w:p w14:paraId="68C98F91"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5</w:t>
            </w:r>
          </w:p>
        </w:tc>
        <w:tc>
          <w:tcPr>
            <w:tcW w:w="1088" w:type="pct"/>
            <w:tcBorders>
              <w:top w:val="nil"/>
              <w:left w:val="nil"/>
              <w:bottom w:val="single" w:sz="4" w:space="0" w:color="auto"/>
              <w:right w:val="single" w:sz="4" w:space="0" w:color="auto"/>
            </w:tcBorders>
            <w:shd w:val="clear" w:color="auto" w:fill="auto"/>
            <w:noWrap/>
            <w:vAlign w:val="bottom"/>
            <w:hideMark/>
          </w:tcPr>
          <w:p w14:paraId="17959AA0"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913 900,00</w:t>
            </w:r>
          </w:p>
        </w:tc>
      </w:tr>
      <w:tr w:rsidR="003C4012" w:rsidRPr="0066338C" w14:paraId="3FE3FF5A" w14:textId="77777777" w:rsidTr="003C4012">
        <w:trPr>
          <w:trHeight w:val="255"/>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46E7E1A2"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Панинский</w:t>
            </w:r>
          </w:p>
        </w:tc>
        <w:tc>
          <w:tcPr>
            <w:tcW w:w="1350" w:type="pct"/>
            <w:tcBorders>
              <w:top w:val="nil"/>
              <w:left w:val="nil"/>
              <w:bottom w:val="single" w:sz="4" w:space="0" w:color="auto"/>
              <w:right w:val="single" w:sz="4" w:space="0" w:color="auto"/>
            </w:tcBorders>
            <w:shd w:val="clear" w:color="auto" w:fill="auto"/>
            <w:noWrap/>
            <w:vAlign w:val="bottom"/>
            <w:hideMark/>
          </w:tcPr>
          <w:p w14:paraId="48C7E4E2"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4</w:t>
            </w:r>
          </w:p>
        </w:tc>
        <w:tc>
          <w:tcPr>
            <w:tcW w:w="1088" w:type="pct"/>
            <w:tcBorders>
              <w:top w:val="nil"/>
              <w:left w:val="nil"/>
              <w:bottom w:val="single" w:sz="4" w:space="0" w:color="auto"/>
              <w:right w:val="single" w:sz="4" w:space="0" w:color="auto"/>
            </w:tcBorders>
            <w:shd w:val="clear" w:color="auto" w:fill="auto"/>
            <w:noWrap/>
            <w:vAlign w:val="bottom"/>
            <w:hideMark/>
          </w:tcPr>
          <w:p w14:paraId="37A4948F"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2 284 274,00</w:t>
            </w:r>
          </w:p>
        </w:tc>
      </w:tr>
      <w:tr w:rsidR="003C4012" w:rsidRPr="0066338C" w14:paraId="0C348D5D" w14:textId="77777777" w:rsidTr="003C4012">
        <w:trPr>
          <w:trHeight w:val="255"/>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28C7EB86"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Подгоренский</w:t>
            </w:r>
          </w:p>
        </w:tc>
        <w:tc>
          <w:tcPr>
            <w:tcW w:w="1350" w:type="pct"/>
            <w:tcBorders>
              <w:top w:val="nil"/>
              <w:left w:val="nil"/>
              <w:bottom w:val="single" w:sz="4" w:space="0" w:color="auto"/>
              <w:right w:val="single" w:sz="4" w:space="0" w:color="auto"/>
            </w:tcBorders>
            <w:shd w:val="clear" w:color="auto" w:fill="auto"/>
            <w:noWrap/>
            <w:vAlign w:val="bottom"/>
            <w:hideMark/>
          </w:tcPr>
          <w:p w14:paraId="18A346A1"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2</w:t>
            </w:r>
          </w:p>
        </w:tc>
        <w:tc>
          <w:tcPr>
            <w:tcW w:w="1088" w:type="pct"/>
            <w:tcBorders>
              <w:top w:val="nil"/>
              <w:left w:val="nil"/>
              <w:bottom w:val="single" w:sz="4" w:space="0" w:color="auto"/>
              <w:right w:val="single" w:sz="4" w:space="0" w:color="auto"/>
            </w:tcBorders>
            <w:shd w:val="clear" w:color="auto" w:fill="auto"/>
            <w:noWrap/>
            <w:vAlign w:val="bottom"/>
            <w:hideMark/>
          </w:tcPr>
          <w:p w14:paraId="4AD944E3"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80 000,00</w:t>
            </w:r>
          </w:p>
        </w:tc>
      </w:tr>
      <w:tr w:rsidR="003C4012" w:rsidRPr="0066338C" w14:paraId="49659C2C" w14:textId="77777777" w:rsidTr="003C4012">
        <w:trPr>
          <w:trHeight w:val="255"/>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571FD48B"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Репьевский</w:t>
            </w:r>
          </w:p>
        </w:tc>
        <w:tc>
          <w:tcPr>
            <w:tcW w:w="1350" w:type="pct"/>
            <w:tcBorders>
              <w:top w:val="nil"/>
              <w:left w:val="nil"/>
              <w:bottom w:val="single" w:sz="4" w:space="0" w:color="auto"/>
              <w:right w:val="single" w:sz="4" w:space="0" w:color="auto"/>
            </w:tcBorders>
            <w:shd w:val="clear" w:color="auto" w:fill="auto"/>
            <w:noWrap/>
            <w:vAlign w:val="bottom"/>
            <w:hideMark/>
          </w:tcPr>
          <w:p w14:paraId="7B29B554"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1</w:t>
            </w:r>
          </w:p>
        </w:tc>
        <w:tc>
          <w:tcPr>
            <w:tcW w:w="1088" w:type="pct"/>
            <w:tcBorders>
              <w:top w:val="nil"/>
              <w:left w:val="nil"/>
              <w:bottom w:val="single" w:sz="4" w:space="0" w:color="auto"/>
              <w:right w:val="single" w:sz="4" w:space="0" w:color="auto"/>
            </w:tcBorders>
            <w:shd w:val="clear" w:color="auto" w:fill="auto"/>
            <w:noWrap/>
            <w:vAlign w:val="bottom"/>
            <w:hideMark/>
          </w:tcPr>
          <w:p w14:paraId="0A1E59BF"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725 577,00</w:t>
            </w:r>
          </w:p>
        </w:tc>
      </w:tr>
      <w:tr w:rsidR="003C4012" w:rsidRPr="0066338C" w14:paraId="0AF90790" w14:textId="77777777" w:rsidTr="003C4012">
        <w:trPr>
          <w:trHeight w:val="255"/>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5A252F21"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Россошанский</w:t>
            </w:r>
          </w:p>
        </w:tc>
        <w:tc>
          <w:tcPr>
            <w:tcW w:w="1350" w:type="pct"/>
            <w:tcBorders>
              <w:top w:val="nil"/>
              <w:left w:val="nil"/>
              <w:bottom w:val="single" w:sz="4" w:space="0" w:color="auto"/>
              <w:right w:val="single" w:sz="4" w:space="0" w:color="auto"/>
            </w:tcBorders>
            <w:shd w:val="clear" w:color="auto" w:fill="auto"/>
            <w:noWrap/>
            <w:vAlign w:val="bottom"/>
            <w:hideMark/>
          </w:tcPr>
          <w:p w14:paraId="5F8DFB73"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3</w:t>
            </w:r>
          </w:p>
        </w:tc>
        <w:tc>
          <w:tcPr>
            <w:tcW w:w="1088" w:type="pct"/>
            <w:tcBorders>
              <w:top w:val="nil"/>
              <w:left w:val="nil"/>
              <w:bottom w:val="single" w:sz="4" w:space="0" w:color="auto"/>
              <w:right w:val="single" w:sz="4" w:space="0" w:color="auto"/>
            </w:tcBorders>
            <w:shd w:val="clear" w:color="auto" w:fill="auto"/>
            <w:noWrap/>
            <w:vAlign w:val="bottom"/>
            <w:hideMark/>
          </w:tcPr>
          <w:p w14:paraId="64F44B48"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353 900,00</w:t>
            </w:r>
          </w:p>
        </w:tc>
      </w:tr>
      <w:tr w:rsidR="003C4012" w:rsidRPr="0066338C" w14:paraId="22D4C5F4" w14:textId="77777777" w:rsidTr="003C4012">
        <w:trPr>
          <w:trHeight w:val="255"/>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0EA3E333"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Таловский</w:t>
            </w:r>
          </w:p>
        </w:tc>
        <w:tc>
          <w:tcPr>
            <w:tcW w:w="1350" w:type="pct"/>
            <w:tcBorders>
              <w:top w:val="nil"/>
              <w:left w:val="nil"/>
              <w:bottom w:val="single" w:sz="4" w:space="0" w:color="auto"/>
              <w:right w:val="single" w:sz="4" w:space="0" w:color="auto"/>
            </w:tcBorders>
            <w:shd w:val="clear" w:color="auto" w:fill="auto"/>
            <w:noWrap/>
            <w:vAlign w:val="bottom"/>
            <w:hideMark/>
          </w:tcPr>
          <w:p w14:paraId="404FE4BC"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2</w:t>
            </w:r>
          </w:p>
        </w:tc>
        <w:tc>
          <w:tcPr>
            <w:tcW w:w="1088" w:type="pct"/>
            <w:tcBorders>
              <w:top w:val="nil"/>
              <w:left w:val="nil"/>
              <w:bottom w:val="single" w:sz="4" w:space="0" w:color="auto"/>
              <w:right w:val="single" w:sz="4" w:space="0" w:color="auto"/>
            </w:tcBorders>
            <w:shd w:val="clear" w:color="auto" w:fill="auto"/>
            <w:noWrap/>
            <w:vAlign w:val="bottom"/>
            <w:hideMark/>
          </w:tcPr>
          <w:p w14:paraId="5406C588"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759 869,00</w:t>
            </w:r>
          </w:p>
        </w:tc>
      </w:tr>
      <w:tr w:rsidR="003C4012" w:rsidRPr="0066338C" w14:paraId="10D5BC24" w14:textId="77777777" w:rsidTr="003C4012">
        <w:trPr>
          <w:trHeight w:val="255"/>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57BAE96C"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Терновский</w:t>
            </w:r>
          </w:p>
        </w:tc>
        <w:tc>
          <w:tcPr>
            <w:tcW w:w="1350" w:type="pct"/>
            <w:tcBorders>
              <w:top w:val="nil"/>
              <w:left w:val="nil"/>
              <w:bottom w:val="single" w:sz="4" w:space="0" w:color="auto"/>
              <w:right w:val="single" w:sz="4" w:space="0" w:color="auto"/>
            </w:tcBorders>
            <w:shd w:val="clear" w:color="auto" w:fill="auto"/>
            <w:noWrap/>
            <w:vAlign w:val="bottom"/>
            <w:hideMark/>
          </w:tcPr>
          <w:p w14:paraId="3899AE86"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5</w:t>
            </w:r>
          </w:p>
        </w:tc>
        <w:tc>
          <w:tcPr>
            <w:tcW w:w="1088" w:type="pct"/>
            <w:tcBorders>
              <w:top w:val="nil"/>
              <w:left w:val="nil"/>
              <w:bottom w:val="single" w:sz="4" w:space="0" w:color="auto"/>
              <w:right w:val="single" w:sz="4" w:space="0" w:color="auto"/>
            </w:tcBorders>
            <w:shd w:val="clear" w:color="auto" w:fill="auto"/>
            <w:noWrap/>
            <w:vAlign w:val="bottom"/>
            <w:hideMark/>
          </w:tcPr>
          <w:p w14:paraId="7AC91FCC"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1 211 279,00</w:t>
            </w:r>
          </w:p>
        </w:tc>
      </w:tr>
      <w:tr w:rsidR="003C4012" w:rsidRPr="00F562A8" w14:paraId="09F208FA" w14:textId="77777777" w:rsidTr="003C4012">
        <w:trPr>
          <w:trHeight w:val="255"/>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729F5B43"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Эртильский</w:t>
            </w:r>
          </w:p>
        </w:tc>
        <w:tc>
          <w:tcPr>
            <w:tcW w:w="1350" w:type="pct"/>
            <w:tcBorders>
              <w:top w:val="nil"/>
              <w:left w:val="nil"/>
              <w:bottom w:val="single" w:sz="4" w:space="0" w:color="auto"/>
              <w:right w:val="single" w:sz="4" w:space="0" w:color="auto"/>
            </w:tcBorders>
            <w:shd w:val="clear" w:color="auto" w:fill="auto"/>
            <w:noWrap/>
            <w:vAlign w:val="bottom"/>
            <w:hideMark/>
          </w:tcPr>
          <w:p w14:paraId="667CFD4B" w14:textId="77777777" w:rsidR="003C4012" w:rsidRPr="006A271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7</w:t>
            </w:r>
          </w:p>
        </w:tc>
        <w:tc>
          <w:tcPr>
            <w:tcW w:w="1088" w:type="pct"/>
            <w:tcBorders>
              <w:top w:val="nil"/>
              <w:left w:val="nil"/>
              <w:bottom w:val="single" w:sz="4" w:space="0" w:color="auto"/>
              <w:right w:val="single" w:sz="4" w:space="0" w:color="auto"/>
            </w:tcBorders>
            <w:shd w:val="clear" w:color="auto" w:fill="auto"/>
            <w:noWrap/>
            <w:vAlign w:val="bottom"/>
            <w:hideMark/>
          </w:tcPr>
          <w:p w14:paraId="640E0C12" w14:textId="77777777" w:rsidR="003C4012" w:rsidRPr="00F562A8" w:rsidRDefault="003C4012" w:rsidP="003C4012">
            <w:pPr>
              <w:spacing w:after="0" w:line="276" w:lineRule="auto"/>
              <w:contextualSpacing/>
              <w:jc w:val="center"/>
              <w:rPr>
                <w:rFonts w:ascii="Times New Roman" w:eastAsia="Times New Roman" w:hAnsi="Times New Roman" w:cs="Times New Roman"/>
                <w:lang w:eastAsia="ru-RU"/>
              </w:rPr>
            </w:pPr>
            <w:r w:rsidRPr="006A2718">
              <w:rPr>
                <w:rFonts w:ascii="Times New Roman" w:eastAsia="Times New Roman" w:hAnsi="Times New Roman" w:cs="Times New Roman"/>
                <w:lang w:eastAsia="ru-RU"/>
              </w:rPr>
              <w:t>1 418 525,00</w:t>
            </w:r>
          </w:p>
        </w:tc>
      </w:tr>
      <w:tr w:rsidR="003C4012" w:rsidRPr="00F562A8" w14:paraId="2B400267" w14:textId="77777777" w:rsidTr="003C4012">
        <w:trPr>
          <w:trHeight w:val="255"/>
        </w:trPr>
        <w:tc>
          <w:tcPr>
            <w:tcW w:w="2562" w:type="pct"/>
            <w:tcBorders>
              <w:top w:val="nil"/>
              <w:left w:val="single" w:sz="4" w:space="0" w:color="auto"/>
              <w:bottom w:val="single" w:sz="4" w:space="0" w:color="auto"/>
              <w:right w:val="single" w:sz="4" w:space="0" w:color="auto"/>
            </w:tcBorders>
            <w:noWrap/>
            <w:vAlign w:val="bottom"/>
            <w:hideMark/>
          </w:tcPr>
          <w:p w14:paraId="254F0AA8" w14:textId="77777777" w:rsidR="003C4012" w:rsidRPr="006A2718" w:rsidRDefault="003C4012" w:rsidP="003C4012">
            <w:pPr>
              <w:spacing w:after="0" w:line="276" w:lineRule="auto"/>
              <w:contextualSpacing/>
              <w:jc w:val="center"/>
              <w:rPr>
                <w:rFonts w:ascii="Times New Roman" w:eastAsia="Times New Roman" w:hAnsi="Times New Roman" w:cs="Times New Roman"/>
                <w:b/>
                <w:lang w:eastAsia="ru-RU"/>
              </w:rPr>
            </w:pPr>
            <w:r w:rsidRPr="006A2718">
              <w:rPr>
                <w:rFonts w:ascii="Times New Roman" w:eastAsia="Times New Roman" w:hAnsi="Times New Roman" w:cs="Times New Roman"/>
                <w:b/>
                <w:lang w:eastAsia="ru-RU"/>
              </w:rPr>
              <w:t>Итог</w:t>
            </w:r>
          </w:p>
        </w:tc>
        <w:tc>
          <w:tcPr>
            <w:tcW w:w="13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88C78" w14:textId="77777777" w:rsidR="003C4012" w:rsidRPr="006A2718" w:rsidRDefault="003C4012" w:rsidP="003C4012">
            <w:pPr>
              <w:spacing w:after="0" w:line="276" w:lineRule="auto"/>
              <w:contextualSpacing/>
              <w:jc w:val="center"/>
              <w:rPr>
                <w:rFonts w:ascii="Times New Roman" w:eastAsia="Times New Roman" w:hAnsi="Times New Roman" w:cs="Times New Roman"/>
                <w:b/>
                <w:lang w:eastAsia="ru-RU"/>
              </w:rPr>
            </w:pPr>
            <w:r w:rsidRPr="006A2718">
              <w:rPr>
                <w:rFonts w:ascii="Times New Roman" w:eastAsia="Times New Roman" w:hAnsi="Times New Roman" w:cs="Times New Roman"/>
                <w:b/>
                <w:lang w:eastAsia="ru-RU"/>
              </w:rPr>
              <w:t>57</w:t>
            </w:r>
          </w:p>
        </w:tc>
        <w:tc>
          <w:tcPr>
            <w:tcW w:w="1088" w:type="pct"/>
            <w:tcBorders>
              <w:top w:val="single" w:sz="4" w:space="0" w:color="auto"/>
              <w:left w:val="nil"/>
              <w:bottom w:val="single" w:sz="4" w:space="0" w:color="auto"/>
              <w:right w:val="single" w:sz="4" w:space="0" w:color="auto"/>
            </w:tcBorders>
            <w:shd w:val="clear" w:color="auto" w:fill="auto"/>
            <w:noWrap/>
            <w:vAlign w:val="bottom"/>
            <w:hideMark/>
          </w:tcPr>
          <w:p w14:paraId="3411D5B3" w14:textId="77777777" w:rsidR="003C4012" w:rsidRPr="006A2718" w:rsidRDefault="003C4012" w:rsidP="003C4012">
            <w:pPr>
              <w:spacing w:after="0" w:line="276" w:lineRule="auto"/>
              <w:contextualSpacing/>
              <w:jc w:val="center"/>
              <w:rPr>
                <w:rFonts w:ascii="Times New Roman" w:eastAsia="Times New Roman" w:hAnsi="Times New Roman" w:cs="Times New Roman"/>
                <w:b/>
                <w:lang w:eastAsia="ru-RU"/>
              </w:rPr>
            </w:pPr>
            <w:r w:rsidRPr="006A2718">
              <w:rPr>
                <w:rFonts w:ascii="Times New Roman" w:eastAsia="Times New Roman" w:hAnsi="Times New Roman" w:cs="Times New Roman"/>
                <w:b/>
                <w:lang w:eastAsia="ru-RU"/>
              </w:rPr>
              <w:t>39 755 787,00</w:t>
            </w:r>
          </w:p>
        </w:tc>
      </w:tr>
    </w:tbl>
    <w:p w14:paraId="51A9031B" w14:textId="77777777" w:rsidR="003C4012" w:rsidRPr="00F562A8" w:rsidRDefault="003C4012" w:rsidP="003C4012">
      <w:pPr>
        <w:spacing w:after="0" w:line="276" w:lineRule="auto"/>
        <w:ind w:firstLine="709"/>
        <w:contextualSpacing/>
        <w:jc w:val="center"/>
        <w:rPr>
          <w:rFonts w:ascii="Times New Roman" w:eastAsia="Times New Roman" w:hAnsi="Times New Roman" w:cs="Times New Roman"/>
          <w:spacing w:val="-5"/>
          <w:sz w:val="26"/>
          <w:szCs w:val="26"/>
        </w:rPr>
      </w:pPr>
    </w:p>
    <w:p w14:paraId="5BE90CE8" w14:textId="77777777" w:rsidR="003C4012" w:rsidRPr="00F562A8" w:rsidRDefault="003C4012" w:rsidP="003C4012">
      <w:pPr>
        <w:spacing w:after="0" w:line="276" w:lineRule="auto"/>
        <w:contextualSpacing/>
        <w:jc w:val="center"/>
        <w:rPr>
          <w:rFonts w:ascii="Times New Roman" w:eastAsia="Times New Roman" w:hAnsi="Times New Roman" w:cs="Times New Roman"/>
          <w:spacing w:val="-5"/>
          <w:sz w:val="26"/>
          <w:szCs w:val="26"/>
        </w:rPr>
      </w:pPr>
      <w:r>
        <w:rPr>
          <w:rFonts w:ascii="Times New Roman" w:eastAsia="Times New Roman" w:hAnsi="Times New Roman" w:cs="Times New Roman"/>
          <w:noProof/>
          <w:spacing w:val="-5"/>
          <w:sz w:val="26"/>
          <w:szCs w:val="26"/>
          <w:lang w:eastAsia="ru-RU"/>
        </w:rPr>
        <w:drawing>
          <wp:inline distT="0" distB="0" distL="0" distR="0" wp14:anchorId="02B1664C" wp14:editId="6AAE2D8D">
            <wp:extent cx="5895975" cy="3460256"/>
            <wp:effectExtent l="0" t="0" r="0" b="698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11827" cy="3469559"/>
                    </a:xfrm>
                    <a:prstGeom prst="rect">
                      <a:avLst/>
                    </a:prstGeom>
                    <a:noFill/>
                  </pic:spPr>
                </pic:pic>
              </a:graphicData>
            </a:graphic>
          </wp:inline>
        </w:drawing>
      </w:r>
    </w:p>
    <w:p w14:paraId="16A101EA" w14:textId="77777777" w:rsidR="003C4012" w:rsidRPr="00F562A8" w:rsidRDefault="003C4012" w:rsidP="003C4012">
      <w:pPr>
        <w:spacing w:after="0" w:line="276" w:lineRule="auto"/>
        <w:contextualSpacing/>
        <w:jc w:val="center"/>
        <w:rPr>
          <w:rFonts w:ascii="Times New Roman" w:hAnsi="Times New Roman" w:cs="Times New Roman"/>
          <w:sz w:val="26"/>
          <w:szCs w:val="26"/>
        </w:rPr>
      </w:pPr>
      <w:r w:rsidRPr="006A2718">
        <w:rPr>
          <w:rFonts w:ascii="Times New Roman" w:hAnsi="Times New Roman" w:cs="Times New Roman"/>
          <w:sz w:val="26"/>
          <w:szCs w:val="26"/>
        </w:rPr>
        <w:t>Рис. 3.3.1.</w:t>
      </w:r>
      <w:r>
        <w:rPr>
          <w:rFonts w:ascii="Times New Roman" w:hAnsi="Times New Roman" w:cs="Times New Roman"/>
          <w:sz w:val="26"/>
          <w:szCs w:val="26"/>
        </w:rPr>
        <w:t>6</w:t>
      </w:r>
      <w:r w:rsidRPr="006A2718">
        <w:rPr>
          <w:rFonts w:ascii="Times New Roman" w:hAnsi="Times New Roman" w:cs="Times New Roman"/>
          <w:sz w:val="26"/>
          <w:szCs w:val="26"/>
        </w:rPr>
        <w:t xml:space="preserve"> Количество оцениваемых земельных участков из состава земель водного фонда в разрезе муниципальных районов Воронежской области</w:t>
      </w:r>
    </w:p>
    <w:p w14:paraId="488F09AA" w14:textId="77777777" w:rsidR="005908C9" w:rsidRDefault="005908C9" w:rsidP="003C4012">
      <w:pPr>
        <w:spacing w:after="0" w:line="276" w:lineRule="auto"/>
        <w:ind w:firstLine="708"/>
        <w:contextualSpacing/>
        <w:jc w:val="center"/>
        <w:rPr>
          <w:rFonts w:ascii="Times New Roman" w:hAnsi="Times New Roman" w:cs="Times New Roman"/>
          <w:i/>
          <w:sz w:val="26"/>
          <w:szCs w:val="26"/>
          <w:shd w:val="clear" w:color="auto" w:fill="FFFFFF"/>
        </w:rPr>
      </w:pPr>
    </w:p>
    <w:p w14:paraId="779DD6D7" w14:textId="406D9F8F" w:rsidR="003C4012" w:rsidRPr="003C4012" w:rsidRDefault="003C4012" w:rsidP="003C4012">
      <w:pPr>
        <w:spacing w:after="0" w:line="276" w:lineRule="auto"/>
        <w:ind w:firstLine="708"/>
        <w:contextualSpacing/>
        <w:jc w:val="center"/>
        <w:rPr>
          <w:rFonts w:ascii="Times New Roman" w:hAnsi="Times New Roman" w:cs="Times New Roman"/>
          <w:i/>
          <w:sz w:val="26"/>
          <w:szCs w:val="26"/>
          <w:shd w:val="clear" w:color="auto" w:fill="FFFFFF"/>
        </w:rPr>
      </w:pPr>
      <w:r w:rsidRPr="003C4012">
        <w:rPr>
          <w:rFonts w:ascii="Times New Roman" w:hAnsi="Times New Roman" w:cs="Times New Roman"/>
          <w:i/>
          <w:sz w:val="26"/>
          <w:szCs w:val="26"/>
          <w:shd w:val="clear" w:color="auto" w:fill="FFFFFF"/>
        </w:rPr>
        <w:t>Описание земель населенных пунктов Воронежской области</w:t>
      </w:r>
    </w:p>
    <w:p w14:paraId="7D47EB4A"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shd w:val="clear" w:color="auto" w:fill="FFFFFF"/>
        </w:rPr>
      </w:pPr>
      <w:r w:rsidRPr="00F562A8">
        <w:rPr>
          <w:rFonts w:ascii="Times New Roman" w:hAnsi="Times New Roman" w:cs="Times New Roman"/>
          <w:sz w:val="26"/>
          <w:szCs w:val="26"/>
          <w:shd w:val="clear" w:color="auto" w:fill="FFFFFF"/>
        </w:rPr>
        <w:t>К землям населенных пунктов относятся территории, находящиеся в пределах черты (города) населенных пунктов, а также земли, переданные в ведение администрации города, поселка или сельского населенного пункта. Земли населенных пунктов используются как места проживания и осуществления производственной деятельности людей и удовлетворения их культурно-бытовых и иных нужд.</w:t>
      </w:r>
    </w:p>
    <w:p w14:paraId="4B1A7962" w14:textId="77777777" w:rsidR="003C4012" w:rsidRPr="00F562A8" w:rsidRDefault="003C4012" w:rsidP="003C4012">
      <w:pPr>
        <w:spacing w:after="0" w:line="276" w:lineRule="auto"/>
        <w:ind w:firstLine="708"/>
        <w:contextualSpacing/>
        <w:jc w:val="both"/>
        <w:rPr>
          <w:rFonts w:ascii="Times New Roman" w:hAnsi="Times New Roman" w:cs="Times New Roman"/>
          <w:sz w:val="26"/>
          <w:szCs w:val="26"/>
          <w:shd w:val="clear" w:color="auto" w:fill="FFFFFF"/>
        </w:rPr>
      </w:pPr>
      <w:r w:rsidRPr="00F562A8">
        <w:rPr>
          <w:rFonts w:ascii="Times New Roman" w:hAnsi="Times New Roman" w:cs="Times New Roman"/>
          <w:sz w:val="26"/>
          <w:szCs w:val="26"/>
          <w:shd w:val="clear" w:color="auto" w:fill="FFFFFF"/>
        </w:rPr>
        <w:t>Населенные пункты области включают в себя застроенные территории, находящиеся под площадями, улицами, переулками, проездами, промышленными зонами, коммуникациями, лесами, парками, скверами, бульварами, водоемами, используемые для сельскохозяйственного производства и иных целей.</w:t>
      </w:r>
    </w:p>
    <w:p w14:paraId="51AF760C" w14:textId="2C6B8E81" w:rsidR="005908C9" w:rsidRDefault="003C4012" w:rsidP="003C4012">
      <w:pPr>
        <w:spacing w:after="0" w:line="276" w:lineRule="auto"/>
        <w:ind w:firstLine="708"/>
        <w:contextualSpacing/>
        <w:jc w:val="both"/>
        <w:rPr>
          <w:rFonts w:ascii="Times New Roman" w:hAnsi="Times New Roman" w:cs="Times New Roman"/>
          <w:sz w:val="26"/>
          <w:szCs w:val="26"/>
        </w:rPr>
      </w:pPr>
      <w:r w:rsidRPr="00F562A8">
        <w:rPr>
          <w:rFonts w:ascii="Times New Roman" w:hAnsi="Times New Roman" w:cs="Times New Roman"/>
          <w:sz w:val="26"/>
          <w:szCs w:val="26"/>
        </w:rPr>
        <w:t>Количество и площадь оцениваемых земельных участков из состава земель населенных пунктов в разрезе муниципальных районов Воронежской области, сведения о которых содержатся в Перечне представлено в таблице 3.3.1.</w:t>
      </w:r>
      <w:r>
        <w:rPr>
          <w:rFonts w:ascii="Times New Roman" w:hAnsi="Times New Roman" w:cs="Times New Roman"/>
          <w:sz w:val="26"/>
          <w:szCs w:val="26"/>
        </w:rPr>
        <w:t>3</w:t>
      </w:r>
      <w:r w:rsidRPr="00F562A8">
        <w:rPr>
          <w:rFonts w:ascii="Times New Roman" w:hAnsi="Times New Roman" w:cs="Times New Roman"/>
          <w:sz w:val="26"/>
          <w:szCs w:val="26"/>
        </w:rPr>
        <w:t>.</w:t>
      </w:r>
    </w:p>
    <w:p w14:paraId="3546C527" w14:textId="77777777" w:rsidR="005908C9" w:rsidRDefault="005908C9">
      <w:pPr>
        <w:rPr>
          <w:rFonts w:ascii="Times New Roman" w:hAnsi="Times New Roman" w:cs="Times New Roman"/>
          <w:sz w:val="26"/>
          <w:szCs w:val="26"/>
        </w:rPr>
      </w:pPr>
      <w:r>
        <w:rPr>
          <w:rFonts w:ascii="Times New Roman" w:hAnsi="Times New Roman" w:cs="Times New Roman"/>
          <w:sz w:val="26"/>
          <w:szCs w:val="26"/>
        </w:rPr>
        <w:br w:type="page"/>
      </w:r>
    </w:p>
    <w:p w14:paraId="53509535" w14:textId="77777777" w:rsidR="003C4012" w:rsidRPr="005808F3" w:rsidRDefault="003C4012" w:rsidP="003C4012">
      <w:pPr>
        <w:spacing w:after="0" w:line="276" w:lineRule="auto"/>
        <w:contextualSpacing/>
        <w:jc w:val="right"/>
        <w:rPr>
          <w:rFonts w:ascii="Times New Roman" w:hAnsi="Times New Roman" w:cs="Times New Roman"/>
          <w:sz w:val="26"/>
          <w:szCs w:val="26"/>
        </w:rPr>
      </w:pPr>
      <w:r w:rsidRPr="005808F3">
        <w:rPr>
          <w:rFonts w:ascii="Times New Roman" w:hAnsi="Times New Roman" w:cs="Times New Roman"/>
          <w:sz w:val="26"/>
          <w:szCs w:val="26"/>
        </w:rPr>
        <w:t>Таблица 3.3.1.</w:t>
      </w:r>
      <w:r>
        <w:rPr>
          <w:rFonts w:ascii="Times New Roman" w:hAnsi="Times New Roman" w:cs="Times New Roman"/>
          <w:sz w:val="26"/>
          <w:szCs w:val="26"/>
        </w:rPr>
        <w:t>3</w:t>
      </w:r>
    </w:p>
    <w:p w14:paraId="5578ECD7" w14:textId="77777777" w:rsidR="003C4012" w:rsidRPr="005808F3" w:rsidRDefault="003C4012" w:rsidP="003C4012">
      <w:pPr>
        <w:spacing w:after="0" w:line="276" w:lineRule="auto"/>
        <w:contextualSpacing/>
        <w:jc w:val="center"/>
        <w:rPr>
          <w:rFonts w:ascii="Times New Roman" w:hAnsi="Times New Roman" w:cs="Times New Roman"/>
          <w:sz w:val="26"/>
          <w:szCs w:val="26"/>
        </w:rPr>
      </w:pPr>
      <w:r w:rsidRPr="005808F3">
        <w:rPr>
          <w:rFonts w:ascii="Times New Roman" w:hAnsi="Times New Roman" w:cs="Times New Roman"/>
          <w:sz w:val="26"/>
          <w:szCs w:val="26"/>
        </w:rPr>
        <w:t>Количество и площадь оцениваемых земельных участков из состава земель населенных пунктов в разрезе муниципальных районов Воронежской области</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835"/>
        <w:gridCol w:w="3402"/>
      </w:tblGrid>
      <w:tr w:rsidR="003C4012" w:rsidRPr="005808F3" w14:paraId="20531FFC" w14:textId="77777777" w:rsidTr="003C4012">
        <w:trPr>
          <w:trHeight w:val="255"/>
        </w:trPr>
        <w:tc>
          <w:tcPr>
            <w:tcW w:w="3119" w:type="dxa"/>
            <w:noWrap/>
            <w:vAlign w:val="center"/>
            <w:hideMark/>
          </w:tcPr>
          <w:p w14:paraId="1B22E51A" w14:textId="77777777" w:rsidR="003C4012" w:rsidRPr="005808F3" w:rsidRDefault="003C4012" w:rsidP="003C4012">
            <w:pPr>
              <w:spacing w:after="0" w:line="276" w:lineRule="auto"/>
              <w:contextualSpacing/>
              <w:jc w:val="center"/>
              <w:rPr>
                <w:rFonts w:ascii="Times New Roman" w:eastAsia="Times New Roman" w:hAnsi="Times New Roman" w:cs="Times New Roman"/>
                <w:b/>
                <w:lang w:eastAsia="ru-RU"/>
              </w:rPr>
            </w:pPr>
            <w:r w:rsidRPr="005808F3">
              <w:rPr>
                <w:rFonts w:ascii="Times New Roman" w:eastAsia="Times New Roman" w:hAnsi="Times New Roman" w:cs="Times New Roman"/>
                <w:b/>
                <w:bCs/>
                <w:color w:val="000000"/>
                <w:lang w:eastAsia="ru-RU"/>
              </w:rPr>
              <w:t>Наименование района/городского округа</w:t>
            </w:r>
          </w:p>
        </w:tc>
        <w:tc>
          <w:tcPr>
            <w:tcW w:w="2835" w:type="dxa"/>
            <w:noWrap/>
            <w:vAlign w:val="center"/>
            <w:hideMark/>
          </w:tcPr>
          <w:p w14:paraId="24BBC6A0" w14:textId="77777777" w:rsidR="003C4012" w:rsidRPr="005808F3" w:rsidRDefault="003C4012" w:rsidP="003C4012">
            <w:pPr>
              <w:spacing w:after="0" w:line="276" w:lineRule="auto"/>
              <w:contextualSpacing/>
              <w:jc w:val="center"/>
              <w:rPr>
                <w:rFonts w:ascii="Times New Roman" w:eastAsia="Times New Roman" w:hAnsi="Times New Roman" w:cs="Times New Roman"/>
                <w:b/>
                <w:lang w:eastAsia="ru-RU"/>
              </w:rPr>
            </w:pPr>
            <w:r w:rsidRPr="005808F3">
              <w:rPr>
                <w:rFonts w:ascii="Times New Roman" w:eastAsia="Times New Roman" w:hAnsi="Times New Roman" w:cs="Times New Roman"/>
                <w:b/>
                <w:lang w:eastAsia="ru-RU"/>
              </w:rPr>
              <w:t>Количество ЗУ, шт.</w:t>
            </w:r>
          </w:p>
        </w:tc>
        <w:tc>
          <w:tcPr>
            <w:tcW w:w="3402" w:type="dxa"/>
            <w:noWrap/>
            <w:vAlign w:val="center"/>
            <w:hideMark/>
          </w:tcPr>
          <w:p w14:paraId="52BFBA19" w14:textId="77777777" w:rsidR="003C4012" w:rsidRPr="005808F3" w:rsidRDefault="003C4012" w:rsidP="003C4012">
            <w:pPr>
              <w:spacing w:after="0" w:line="276" w:lineRule="auto"/>
              <w:contextualSpacing/>
              <w:jc w:val="center"/>
              <w:rPr>
                <w:rFonts w:ascii="Times New Roman" w:eastAsia="Times New Roman" w:hAnsi="Times New Roman" w:cs="Times New Roman"/>
                <w:b/>
                <w:lang w:eastAsia="ru-RU"/>
              </w:rPr>
            </w:pPr>
            <w:r w:rsidRPr="005808F3">
              <w:rPr>
                <w:rFonts w:ascii="Times New Roman" w:eastAsia="Times New Roman" w:hAnsi="Times New Roman" w:cs="Times New Roman"/>
                <w:b/>
                <w:lang w:eastAsia="ru-RU"/>
              </w:rPr>
              <w:t>Площадь ЗУ, м2</w:t>
            </w:r>
          </w:p>
        </w:tc>
      </w:tr>
      <w:tr w:rsidR="003C4012" w:rsidRPr="005808F3" w14:paraId="26447980" w14:textId="77777777" w:rsidTr="003C4012">
        <w:trPr>
          <w:trHeight w:val="255"/>
        </w:trPr>
        <w:tc>
          <w:tcPr>
            <w:tcW w:w="3119" w:type="dxa"/>
            <w:shd w:val="clear" w:color="auto" w:fill="auto"/>
            <w:noWrap/>
            <w:vAlign w:val="bottom"/>
            <w:hideMark/>
          </w:tcPr>
          <w:p w14:paraId="2FFEC44A"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Аннинский</w:t>
            </w:r>
          </w:p>
        </w:tc>
        <w:tc>
          <w:tcPr>
            <w:tcW w:w="2835" w:type="dxa"/>
            <w:shd w:val="clear" w:color="auto" w:fill="auto"/>
            <w:noWrap/>
            <w:vAlign w:val="bottom"/>
            <w:hideMark/>
          </w:tcPr>
          <w:p w14:paraId="5BBD1822"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28 345</w:t>
            </w:r>
          </w:p>
        </w:tc>
        <w:tc>
          <w:tcPr>
            <w:tcW w:w="3402" w:type="dxa"/>
            <w:shd w:val="clear" w:color="auto" w:fill="auto"/>
            <w:noWrap/>
            <w:vAlign w:val="bottom"/>
            <w:hideMark/>
          </w:tcPr>
          <w:p w14:paraId="0053B49C"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75 711 064,02</w:t>
            </w:r>
          </w:p>
        </w:tc>
      </w:tr>
      <w:tr w:rsidR="003C4012" w:rsidRPr="005808F3" w14:paraId="3E703F5F" w14:textId="77777777" w:rsidTr="003C4012">
        <w:trPr>
          <w:trHeight w:val="255"/>
        </w:trPr>
        <w:tc>
          <w:tcPr>
            <w:tcW w:w="3119" w:type="dxa"/>
            <w:shd w:val="clear" w:color="auto" w:fill="auto"/>
            <w:noWrap/>
            <w:vAlign w:val="bottom"/>
            <w:hideMark/>
          </w:tcPr>
          <w:p w14:paraId="2BF5D927"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Бобровский</w:t>
            </w:r>
          </w:p>
        </w:tc>
        <w:tc>
          <w:tcPr>
            <w:tcW w:w="2835" w:type="dxa"/>
            <w:shd w:val="clear" w:color="auto" w:fill="auto"/>
            <w:noWrap/>
            <w:vAlign w:val="bottom"/>
            <w:hideMark/>
          </w:tcPr>
          <w:p w14:paraId="11987122"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28 962</w:t>
            </w:r>
          </w:p>
        </w:tc>
        <w:tc>
          <w:tcPr>
            <w:tcW w:w="3402" w:type="dxa"/>
            <w:shd w:val="clear" w:color="auto" w:fill="auto"/>
            <w:noWrap/>
            <w:vAlign w:val="bottom"/>
            <w:hideMark/>
          </w:tcPr>
          <w:p w14:paraId="2038CF2A"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80 641 384,28</w:t>
            </w:r>
          </w:p>
        </w:tc>
      </w:tr>
      <w:tr w:rsidR="003C4012" w:rsidRPr="005808F3" w14:paraId="29CB8A36" w14:textId="77777777" w:rsidTr="003C4012">
        <w:trPr>
          <w:trHeight w:val="255"/>
        </w:trPr>
        <w:tc>
          <w:tcPr>
            <w:tcW w:w="3119" w:type="dxa"/>
            <w:shd w:val="clear" w:color="auto" w:fill="auto"/>
            <w:noWrap/>
            <w:vAlign w:val="bottom"/>
            <w:hideMark/>
          </w:tcPr>
          <w:p w14:paraId="733BF36E"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Богучарский</w:t>
            </w:r>
          </w:p>
        </w:tc>
        <w:tc>
          <w:tcPr>
            <w:tcW w:w="2835" w:type="dxa"/>
            <w:shd w:val="clear" w:color="auto" w:fill="auto"/>
            <w:noWrap/>
            <w:vAlign w:val="bottom"/>
            <w:hideMark/>
          </w:tcPr>
          <w:p w14:paraId="5DF6AD95"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16 847</w:t>
            </w:r>
          </w:p>
        </w:tc>
        <w:tc>
          <w:tcPr>
            <w:tcW w:w="3402" w:type="dxa"/>
            <w:shd w:val="clear" w:color="auto" w:fill="auto"/>
            <w:noWrap/>
            <w:vAlign w:val="bottom"/>
            <w:hideMark/>
          </w:tcPr>
          <w:p w14:paraId="5B6E1940"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47 575 028,90</w:t>
            </w:r>
          </w:p>
        </w:tc>
      </w:tr>
      <w:tr w:rsidR="003C4012" w:rsidRPr="005808F3" w14:paraId="055E5946" w14:textId="77777777" w:rsidTr="003C4012">
        <w:trPr>
          <w:trHeight w:val="255"/>
        </w:trPr>
        <w:tc>
          <w:tcPr>
            <w:tcW w:w="3119" w:type="dxa"/>
            <w:shd w:val="clear" w:color="auto" w:fill="auto"/>
            <w:noWrap/>
            <w:vAlign w:val="bottom"/>
            <w:hideMark/>
          </w:tcPr>
          <w:p w14:paraId="00820AEB"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Борисоглебский</w:t>
            </w:r>
          </w:p>
        </w:tc>
        <w:tc>
          <w:tcPr>
            <w:tcW w:w="2835" w:type="dxa"/>
            <w:shd w:val="clear" w:color="auto" w:fill="auto"/>
            <w:noWrap/>
            <w:vAlign w:val="bottom"/>
            <w:hideMark/>
          </w:tcPr>
          <w:p w14:paraId="17E98FEC"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24 656</w:t>
            </w:r>
          </w:p>
        </w:tc>
        <w:tc>
          <w:tcPr>
            <w:tcW w:w="3402" w:type="dxa"/>
            <w:shd w:val="clear" w:color="auto" w:fill="auto"/>
            <w:noWrap/>
            <w:vAlign w:val="bottom"/>
            <w:hideMark/>
          </w:tcPr>
          <w:p w14:paraId="76430D33"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56 720 209,07</w:t>
            </w:r>
          </w:p>
        </w:tc>
      </w:tr>
      <w:tr w:rsidR="003C4012" w:rsidRPr="005808F3" w14:paraId="4E392B03" w14:textId="77777777" w:rsidTr="003C4012">
        <w:trPr>
          <w:trHeight w:val="255"/>
        </w:trPr>
        <w:tc>
          <w:tcPr>
            <w:tcW w:w="3119" w:type="dxa"/>
            <w:shd w:val="clear" w:color="auto" w:fill="auto"/>
            <w:noWrap/>
            <w:vAlign w:val="bottom"/>
            <w:hideMark/>
          </w:tcPr>
          <w:p w14:paraId="0F939857"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Бутурлиновский</w:t>
            </w:r>
          </w:p>
        </w:tc>
        <w:tc>
          <w:tcPr>
            <w:tcW w:w="2835" w:type="dxa"/>
            <w:shd w:val="clear" w:color="auto" w:fill="auto"/>
            <w:noWrap/>
            <w:vAlign w:val="bottom"/>
            <w:hideMark/>
          </w:tcPr>
          <w:p w14:paraId="2C480724"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21 857</w:t>
            </w:r>
          </w:p>
        </w:tc>
        <w:tc>
          <w:tcPr>
            <w:tcW w:w="3402" w:type="dxa"/>
            <w:shd w:val="clear" w:color="auto" w:fill="auto"/>
            <w:noWrap/>
            <w:vAlign w:val="bottom"/>
            <w:hideMark/>
          </w:tcPr>
          <w:p w14:paraId="6246B922"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63 915 932,27</w:t>
            </w:r>
          </w:p>
        </w:tc>
      </w:tr>
      <w:tr w:rsidR="003C4012" w:rsidRPr="005808F3" w14:paraId="646D0386" w14:textId="77777777" w:rsidTr="003C4012">
        <w:trPr>
          <w:trHeight w:val="255"/>
        </w:trPr>
        <w:tc>
          <w:tcPr>
            <w:tcW w:w="3119" w:type="dxa"/>
            <w:shd w:val="clear" w:color="auto" w:fill="auto"/>
            <w:noWrap/>
            <w:vAlign w:val="bottom"/>
            <w:hideMark/>
          </w:tcPr>
          <w:p w14:paraId="0233EDE2"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Верхнемамонский</w:t>
            </w:r>
          </w:p>
        </w:tc>
        <w:tc>
          <w:tcPr>
            <w:tcW w:w="2835" w:type="dxa"/>
            <w:shd w:val="clear" w:color="auto" w:fill="auto"/>
            <w:noWrap/>
            <w:vAlign w:val="bottom"/>
            <w:hideMark/>
          </w:tcPr>
          <w:p w14:paraId="1D3997C6"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18 281</w:t>
            </w:r>
          </w:p>
        </w:tc>
        <w:tc>
          <w:tcPr>
            <w:tcW w:w="3402" w:type="dxa"/>
            <w:shd w:val="clear" w:color="auto" w:fill="auto"/>
            <w:noWrap/>
            <w:vAlign w:val="bottom"/>
            <w:hideMark/>
          </w:tcPr>
          <w:p w14:paraId="458041E7"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45 374 682,71</w:t>
            </w:r>
          </w:p>
        </w:tc>
      </w:tr>
      <w:tr w:rsidR="003C4012" w:rsidRPr="005808F3" w14:paraId="357AD05D" w14:textId="77777777" w:rsidTr="003C4012">
        <w:trPr>
          <w:trHeight w:val="255"/>
        </w:trPr>
        <w:tc>
          <w:tcPr>
            <w:tcW w:w="3119" w:type="dxa"/>
            <w:shd w:val="clear" w:color="auto" w:fill="auto"/>
            <w:noWrap/>
            <w:vAlign w:val="bottom"/>
            <w:hideMark/>
          </w:tcPr>
          <w:p w14:paraId="452D05E5"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Верхнехавский</w:t>
            </w:r>
          </w:p>
        </w:tc>
        <w:tc>
          <w:tcPr>
            <w:tcW w:w="2835" w:type="dxa"/>
            <w:shd w:val="clear" w:color="auto" w:fill="auto"/>
            <w:noWrap/>
            <w:vAlign w:val="bottom"/>
            <w:hideMark/>
          </w:tcPr>
          <w:p w14:paraId="6B47F057"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22 635</w:t>
            </w:r>
          </w:p>
        </w:tc>
        <w:tc>
          <w:tcPr>
            <w:tcW w:w="3402" w:type="dxa"/>
            <w:shd w:val="clear" w:color="auto" w:fill="auto"/>
            <w:noWrap/>
            <w:vAlign w:val="bottom"/>
            <w:hideMark/>
          </w:tcPr>
          <w:p w14:paraId="41DC24C1"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60 505 762,27</w:t>
            </w:r>
          </w:p>
        </w:tc>
      </w:tr>
      <w:tr w:rsidR="003C4012" w:rsidRPr="005808F3" w14:paraId="7F65BBAA" w14:textId="77777777" w:rsidTr="003C4012">
        <w:trPr>
          <w:trHeight w:val="255"/>
        </w:trPr>
        <w:tc>
          <w:tcPr>
            <w:tcW w:w="3119" w:type="dxa"/>
            <w:shd w:val="clear" w:color="auto" w:fill="auto"/>
            <w:noWrap/>
            <w:vAlign w:val="bottom"/>
            <w:hideMark/>
          </w:tcPr>
          <w:p w14:paraId="439847DE"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Воробьевский</w:t>
            </w:r>
          </w:p>
        </w:tc>
        <w:tc>
          <w:tcPr>
            <w:tcW w:w="2835" w:type="dxa"/>
            <w:shd w:val="clear" w:color="auto" w:fill="auto"/>
            <w:noWrap/>
            <w:vAlign w:val="bottom"/>
            <w:hideMark/>
          </w:tcPr>
          <w:p w14:paraId="4409DF72"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14 750</w:t>
            </w:r>
          </w:p>
        </w:tc>
        <w:tc>
          <w:tcPr>
            <w:tcW w:w="3402" w:type="dxa"/>
            <w:shd w:val="clear" w:color="auto" w:fill="auto"/>
            <w:noWrap/>
            <w:vAlign w:val="bottom"/>
            <w:hideMark/>
          </w:tcPr>
          <w:p w14:paraId="49CE0369"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69 283 097,09</w:t>
            </w:r>
          </w:p>
        </w:tc>
      </w:tr>
      <w:tr w:rsidR="003C4012" w:rsidRPr="005808F3" w14:paraId="38248468" w14:textId="77777777" w:rsidTr="003C4012">
        <w:trPr>
          <w:trHeight w:val="255"/>
        </w:trPr>
        <w:tc>
          <w:tcPr>
            <w:tcW w:w="3119" w:type="dxa"/>
            <w:shd w:val="clear" w:color="auto" w:fill="auto"/>
            <w:noWrap/>
            <w:vAlign w:val="bottom"/>
            <w:hideMark/>
          </w:tcPr>
          <w:p w14:paraId="7CDD77DE"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ГО г.</w:t>
            </w:r>
            <w:r>
              <w:rPr>
                <w:rFonts w:ascii="Times New Roman" w:eastAsia="Times New Roman" w:hAnsi="Times New Roman" w:cs="Times New Roman"/>
                <w:bCs/>
                <w:color w:val="000000"/>
                <w:lang w:eastAsia="ru-RU"/>
              </w:rPr>
              <w:t xml:space="preserve"> </w:t>
            </w:r>
            <w:r w:rsidRPr="005808F3">
              <w:rPr>
                <w:rFonts w:ascii="Times New Roman" w:eastAsia="Times New Roman" w:hAnsi="Times New Roman" w:cs="Times New Roman"/>
                <w:bCs/>
                <w:color w:val="000000"/>
                <w:lang w:eastAsia="ru-RU"/>
              </w:rPr>
              <w:t>Воронеж</w:t>
            </w:r>
          </w:p>
        </w:tc>
        <w:tc>
          <w:tcPr>
            <w:tcW w:w="2835" w:type="dxa"/>
            <w:shd w:val="clear" w:color="auto" w:fill="auto"/>
            <w:noWrap/>
            <w:vAlign w:val="bottom"/>
            <w:hideMark/>
          </w:tcPr>
          <w:p w14:paraId="574C7D74"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112 330</w:t>
            </w:r>
          </w:p>
        </w:tc>
        <w:tc>
          <w:tcPr>
            <w:tcW w:w="3402" w:type="dxa"/>
            <w:shd w:val="clear" w:color="auto" w:fill="auto"/>
            <w:noWrap/>
            <w:vAlign w:val="bottom"/>
            <w:hideMark/>
          </w:tcPr>
          <w:p w14:paraId="2C75A415"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329 504 082,33</w:t>
            </w:r>
          </w:p>
        </w:tc>
      </w:tr>
      <w:tr w:rsidR="003C4012" w:rsidRPr="005808F3" w14:paraId="643CE27F" w14:textId="77777777" w:rsidTr="003C4012">
        <w:trPr>
          <w:trHeight w:val="255"/>
        </w:trPr>
        <w:tc>
          <w:tcPr>
            <w:tcW w:w="3119" w:type="dxa"/>
            <w:shd w:val="clear" w:color="auto" w:fill="auto"/>
            <w:noWrap/>
            <w:vAlign w:val="bottom"/>
            <w:hideMark/>
          </w:tcPr>
          <w:p w14:paraId="6BF86E42"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ГО Нововоронеж</w:t>
            </w:r>
          </w:p>
        </w:tc>
        <w:tc>
          <w:tcPr>
            <w:tcW w:w="2835" w:type="dxa"/>
            <w:shd w:val="clear" w:color="auto" w:fill="auto"/>
            <w:noWrap/>
            <w:vAlign w:val="bottom"/>
            <w:hideMark/>
          </w:tcPr>
          <w:p w14:paraId="34AACA12"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6 635</w:t>
            </w:r>
          </w:p>
        </w:tc>
        <w:tc>
          <w:tcPr>
            <w:tcW w:w="3402" w:type="dxa"/>
            <w:shd w:val="clear" w:color="auto" w:fill="auto"/>
            <w:noWrap/>
            <w:vAlign w:val="bottom"/>
            <w:hideMark/>
          </w:tcPr>
          <w:p w14:paraId="1716E431"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24 359 360,07</w:t>
            </w:r>
          </w:p>
        </w:tc>
      </w:tr>
      <w:tr w:rsidR="003C4012" w:rsidRPr="005808F3" w14:paraId="4540559B" w14:textId="77777777" w:rsidTr="003C4012">
        <w:trPr>
          <w:trHeight w:val="255"/>
        </w:trPr>
        <w:tc>
          <w:tcPr>
            <w:tcW w:w="3119" w:type="dxa"/>
            <w:shd w:val="clear" w:color="auto" w:fill="auto"/>
            <w:noWrap/>
            <w:vAlign w:val="bottom"/>
            <w:hideMark/>
          </w:tcPr>
          <w:p w14:paraId="0ECA12E8"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Грибановский</w:t>
            </w:r>
          </w:p>
        </w:tc>
        <w:tc>
          <w:tcPr>
            <w:tcW w:w="2835" w:type="dxa"/>
            <w:shd w:val="clear" w:color="auto" w:fill="auto"/>
            <w:noWrap/>
            <w:vAlign w:val="bottom"/>
            <w:hideMark/>
          </w:tcPr>
          <w:p w14:paraId="79440FEA"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21 913</w:t>
            </w:r>
          </w:p>
        </w:tc>
        <w:tc>
          <w:tcPr>
            <w:tcW w:w="3402" w:type="dxa"/>
            <w:shd w:val="clear" w:color="auto" w:fill="auto"/>
            <w:noWrap/>
            <w:vAlign w:val="bottom"/>
            <w:hideMark/>
          </w:tcPr>
          <w:p w14:paraId="432388B5"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85 682 057,12</w:t>
            </w:r>
          </w:p>
        </w:tc>
      </w:tr>
      <w:tr w:rsidR="003C4012" w:rsidRPr="005808F3" w14:paraId="2BA188C1" w14:textId="77777777" w:rsidTr="003C4012">
        <w:trPr>
          <w:trHeight w:val="255"/>
        </w:trPr>
        <w:tc>
          <w:tcPr>
            <w:tcW w:w="3119" w:type="dxa"/>
            <w:shd w:val="clear" w:color="auto" w:fill="auto"/>
            <w:noWrap/>
            <w:vAlign w:val="bottom"/>
            <w:hideMark/>
          </w:tcPr>
          <w:p w14:paraId="5020EA95"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Калачеевский</w:t>
            </w:r>
          </w:p>
        </w:tc>
        <w:tc>
          <w:tcPr>
            <w:tcW w:w="2835" w:type="dxa"/>
            <w:shd w:val="clear" w:color="auto" w:fill="auto"/>
            <w:noWrap/>
            <w:vAlign w:val="bottom"/>
            <w:hideMark/>
          </w:tcPr>
          <w:p w14:paraId="19D436B7"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32 165</w:t>
            </w:r>
          </w:p>
        </w:tc>
        <w:tc>
          <w:tcPr>
            <w:tcW w:w="3402" w:type="dxa"/>
            <w:shd w:val="clear" w:color="auto" w:fill="auto"/>
            <w:noWrap/>
            <w:vAlign w:val="bottom"/>
            <w:hideMark/>
          </w:tcPr>
          <w:p w14:paraId="7D43C31F"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78 695 130,94</w:t>
            </w:r>
          </w:p>
        </w:tc>
      </w:tr>
      <w:tr w:rsidR="003C4012" w:rsidRPr="005808F3" w14:paraId="6CFAD54F" w14:textId="77777777" w:rsidTr="003C4012">
        <w:trPr>
          <w:trHeight w:val="255"/>
        </w:trPr>
        <w:tc>
          <w:tcPr>
            <w:tcW w:w="3119" w:type="dxa"/>
            <w:shd w:val="clear" w:color="auto" w:fill="auto"/>
            <w:noWrap/>
            <w:vAlign w:val="bottom"/>
            <w:hideMark/>
          </w:tcPr>
          <w:p w14:paraId="6F081DC4"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Каменский</w:t>
            </w:r>
          </w:p>
        </w:tc>
        <w:tc>
          <w:tcPr>
            <w:tcW w:w="2835" w:type="dxa"/>
            <w:shd w:val="clear" w:color="auto" w:fill="auto"/>
            <w:noWrap/>
            <w:vAlign w:val="bottom"/>
            <w:hideMark/>
          </w:tcPr>
          <w:p w14:paraId="256AD740"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10 719</w:t>
            </w:r>
          </w:p>
        </w:tc>
        <w:tc>
          <w:tcPr>
            <w:tcW w:w="3402" w:type="dxa"/>
            <w:shd w:val="clear" w:color="auto" w:fill="auto"/>
            <w:noWrap/>
            <w:vAlign w:val="bottom"/>
            <w:hideMark/>
          </w:tcPr>
          <w:p w14:paraId="0ED06D39"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28 373 059,40</w:t>
            </w:r>
          </w:p>
        </w:tc>
      </w:tr>
      <w:tr w:rsidR="003C4012" w:rsidRPr="005808F3" w14:paraId="33A6269B" w14:textId="77777777" w:rsidTr="003C4012">
        <w:trPr>
          <w:trHeight w:val="255"/>
        </w:trPr>
        <w:tc>
          <w:tcPr>
            <w:tcW w:w="3119" w:type="dxa"/>
            <w:shd w:val="clear" w:color="auto" w:fill="auto"/>
            <w:noWrap/>
            <w:vAlign w:val="bottom"/>
            <w:hideMark/>
          </w:tcPr>
          <w:p w14:paraId="6DD61AFA"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Кантемировский</w:t>
            </w:r>
          </w:p>
        </w:tc>
        <w:tc>
          <w:tcPr>
            <w:tcW w:w="2835" w:type="dxa"/>
            <w:shd w:val="clear" w:color="auto" w:fill="auto"/>
            <w:noWrap/>
            <w:vAlign w:val="bottom"/>
            <w:hideMark/>
          </w:tcPr>
          <w:p w14:paraId="49D5DC96"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19 287</w:t>
            </w:r>
          </w:p>
        </w:tc>
        <w:tc>
          <w:tcPr>
            <w:tcW w:w="3402" w:type="dxa"/>
            <w:shd w:val="clear" w:color="auto" w:fill="auto"/>
            <w:noWrap/>
            <w:vAlign w:val="bottom"/>
            <w:hideMark/>
          </w:tcPr>
          <w:p w14:paraId="2C7C3265"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55 124 897,41</w:t>
            </w:r>
          </w:p>
        </w:tc>
      </w:tr>
      <w:tr w:rsidR="003C4012" w:rsidRPr="005808F3" w14:paraId="001B531A" w14:textId="77777777" w:rsidTr="003C4012">
        <w:trPr>
          <w:trHeight w:val="255"/>
        </w:trPr>
        <w:tc>
          <w:tcPr>
            <w:tcW w:w="3119" w:type="dxa"/>
            <w:shd w:val="clear" w:color="auto" w:fill="auto"/>
            <w:noWrap/>
            <w:vAlign w:val="bottom"/>
            <w:hideMark/>
          </w:tcPr>
          <w:p w14:paraId="0823E0F4"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Каширский</w:t>
            </w:r>
          </w:p>
        </w:tc>
        <w:tc>
          <w:tcPr>
            <w:tcW w:w="2835" w:type="dxa"/>
            <w:shd w:val="clear" w:color="auto" w:fill="auto"/>
            <w:noWrap/>
            <w:vAlign w:val="bottom"/>
            <w:hideMark/>
          </w:tcPr>
          <w:p w14:paraId="63799F8B"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22 486</w:t>
            </w:r>
          </w:p>
        </w:tc>
        <w:tc>
          <w:tcPr>
            <w:tcW w:w="3402" w:type="dxa"/>
            <w:shd w:val="clear" w:color="auto" w:fill="auto"/>
            <w:noWrap/>
            <w:vAlign w:val="bottom"/>
            <w:hideMark/>
          </w:tcPr>
          <w:p w14:paraId="4BEA8C75"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74 176 386,87</w:t>
            </w:r>
          </w:p>
        </w:tc>
      </w:tr>
      <w:tr w:rsidR="003C4012" w:rsidRPr="005808F3" w14:paraId="11D88CED" w14:textId="77777777" w:rsidTr="003C4012">
        <w:trPr>
          <w:trHeight w:val="255"/>
        </w:trPr>
        <w:tc>
          <w:tcPr>
            <w:tcW w:w="3119" w:type="dxa"/>
            <w:shd w:val="clear" w:color="auto" w:fill="auto"/>
            <w:noWrap/>
            <w:vAlign w:val="bottom"/>
            <w:hideMark/>
          </w:tcPr>
          <w:p w14:paraId="334FC3D2"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Лискинский</w:t>
            </w:r>
          </w:p>
        </w:tc>
        <w:tc>
          <w:tcPr>
            <w:tcW w:w="2835" w:type="dxa"/>
            <w:shd w:val="clear" w:color="auto" w:fill="auto"/>
            <w:noWrap/>
            <w:vAlign w:val="bottom"/>
            <w:hideMark/>
          </w:tcPr>
          <w:p w14:paraId="16180BB0"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45 835</w:t>
            </w:r>
          </w:p>
        </w:tc>
        <w:tc>
          <w:tcPr>
            <w:tcW w:w="3402" w:type="dxa"/>
            <w:shd w:val="clear" w:color="auto" w:fill="auto"/>
            <w:noWrap/>
            <w:vAlign w:val="bottom"/>
            <w:hideMark/>
          </w:tcPr>
          <w:p w14:paraId="338509DF"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92 378 827,47</w:t>
            </w:r>
          </w:p>
        </w:tc>
      </w:tr>
      <w:tr w:rsidR="003C4012" w:rsidRPr="005808F3" w14:paraId="79960DE0" w14:textId="77777777" w:rsidTr="003C4012">
        <w:trPr>
          <w:trHeight w:val="255"/>
        </w:trPr>
        <w:tc>
          <w:tcPr>
            <w:tcW w:w="3119" w:type="dxa"/>
            <w:shd w:val="clear" w:color="auto" w:fill="auto"/>
            <w:noWrap/>
            <w:vAlign w:val="bottom"/>
            <w:hideMark/>
          </w:tcPr>
          <w:p w14:paraId="3BA31C91"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Нижнедевицкий</w:t>
            </w:r>
          </w:p>
        </w:tc>
        <w:tc>
          <w:tcPr>
            <w:tcW w:w="2835" w:type="dxa"/>
            <w:shd w:val="clear" w:color="auto" w:fill="auto"/>
            <w:noWrap/>
            <w:vAlign w:val="bottom"/>
            <w:hideMark/>
          </w:tcPr>
          <w:p w14:paraId="7B8BB08D"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17 203</w:t>
            </w:r>
          </w:p>
        </w:tc>
        <w:tc>
          <w:tcPr>
            <w:tcW w:w="3402" w:type="dxa"/>
            <w:shd w:val="clear" w:color="auto" w:fill="auto"/>
            <w:noWrap/>
            <w:vAlign w:val="bottom"/>
            <w:hideMark/>
          </w:tcPr>
          <w:p w14:paraId="3901152C"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50 386 208,68</w:t>
            </w:r>
          </w:p>
        </w:tc>
      </w:tr>
      <w:tr w:rsidR="003C4012" w:rsidRPr="005808F3" w14:paraId="1BD50B9C" w14:textId="77777777" w:rsidTr="003C4012">
        <w:trPr>
          <w:trHeight w:val="255"/>
        </w:trPr>
        <w:tc>
          <w:tcPr>
            <w:tcW w:w="3119" w:type="dxa"/>
            <w:shd w:val="clear" w:color="auto" w:fill="auto"/>
            <w:noWrap/>
            <w:vAlign w:val="bottom"/>
            <w:hideMark/>
          </w:tcPr>
          <w:p w14:paraId="0C9F42DD"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Новоусманский</w:t>
            </w:r>
          </w:p>
        </w:tc>
        <w:tc>
          <w:tcPr>
            <w:tcW w:w="2835" w:type="dxa"/>
            <w:shd w:val="clear" w:color="auto" w:fill="auto"/>
            <w:noWrap/>
            <w:vAlign w:val="bottom"/>
            <w:hideMark/>
          </w:tcPr>
          <w:p w14:paraId="54D4CEC2"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62 186</w:t>
            </w:r>
          </w:p>
        </w:tc>
        <w:tc>
          <w:tcPr>
            <w:tcW w:w="3402" w:type="dxa"/>
            <w:shd w:val="clear" w:color="auto" w:fill="auto"/>
            <w:noWrap/>
            <w:vAlign w:val="bottom"/>
            <w:hideMark/>
          </w:tcPr>
          <w:p w14:paraId="030CC458"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140 719 909,67</w:t>
            </w:r>
          </w:p>
        </w:tc>
      </w:tr>
      <w:tr w:rsidR="003C4012" w:rsidRPr="005808F3" w14:paraId="142760E7" w14:textId="77777777" w:rsidTr="003C4012">
        <w:trPr>
          <w:trHeight w:val="255"/>
        </w:trPr>
        <w:tc>
          <w:tcPr>
            <w:tcW w:w="3119" w:type="dxa"/>
            <w:shd w:val="clear" w:color="auto" w:fill="auto"/>
            <w:noWrap/>
            <w:vAlign w:val="bottom"/>
            <w:hideMark/>
          </w:tcPr>
          <w:p w14:paraId="572B1685"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Новохоперский</w:t>
            </w:r>
          </w:p>
        </w:tc>
        <w:tc>
          <w:tcPr>
            <w:tcW w:w="2835" w:type="dxa"/>
            <w:shd w:val="clear" w:color="auto" w:fill="auto"/>
            <w:noWrap/>
            <w:vAlign w:val="bottom"/>
            <w:hideMark/>
          </w:tcPr>
          <w:p w14:paraId="2B0BDBA9"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24 768</w:t>
            </w:r>
          </w:p>
        </w:tc>
        <w:tc>
          <w:tcPr>
            <w:tcW w:w="3402" w:type="dxa"/>
            <w:shd w:val="clear" w:color="auto" w:fill="auto"/>
            <w:noWrap/>
            <w:vAlign w:val="bottom"/>
            <w:hideMark/>
          </w:tcPr>
          <w:p w14:paraId="00F6B917"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63 421 063,45</w:t>
            </w:r>
          </w:p>
        </w:tc>
      </w:tr>
      <w:tr w:rsidR="003C4012" w:rsidRPr="005808F3" w14:paraId="5F3C5CC3" w14:textId="77777777" w:rsidTr="003C4012">
        <w:trPr>
          <w:trHeight w:val="255"/>
        </w:trPr>
        <w:tc>
          <w:tcPr>
            <w:tcW w:w="3119" w:type="dxa"/>
            <w:shd w:val="clear" w:color="auto" w:fill="auto"/>
            <w:noWrap/>
            <w:vAlign w:val="bottom"/>
            <w:hideMark/>
          </w:tcPr>
          <w:p w14:paraId="45BD4494"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Ольховатский</w:t>
            </w:r>
          </w:p>
        </w:tc>
        <w:tc>
          <w:tcPr>
            <w:tcW w:w="2835" w:type="dxa"/>
            <w:shd w:val="clear" w:color="auto" w:fill="auto"/>
            <w:noWrap/>
            <w:vAlign w:val="bottom"/>
            <w:hideMark/>
          </w:tcPr>
          <w:p w14:paraId="08FCABC3"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11 929</w:t>
            </w:r>
          </w:p>
        </w:tc>
        <w:tc>
          <w:tcPr>
            <w:tcW w:w="3402" w:type="dxa"/>
            <w:shd w:val="clear" w:color="auto" w:fill="auto"/>
            <w:noWrap/>
            <w:vAlign w:val="bottom"/>
            <w:hideMark/>
          </w:tcPr>
          <w:p w14:paraId="6056064B"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29 945 542,44</w:t>
            </w:r>
          </w:p>
        </w:tc>
      </w:tr>
      <w:tr w:rsidR="003C4012" w:rsidRPr="005808F3" w14:paraId="0C9E6844" w14:textId="77777777" w:rsidTr="003C4012">
        <w:trPr>
          <w:trHeight w:val="255"/>
        </w:trPr>
        <w:tc>
          <w:tcPr>
            <w:tcW w:w="3119" w:type="dxa"/>
            <w:shd w:val="clear" w:color="auto" w:fill="auto"/>
            <w:noWrap/>
            <w:vAlign w:val="bottom"/>
            <w:hideMark/>
          </w:tcPr>
          <w:p w14:paraId="29BF85CC"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Острогожский</w:t>
            </w:r>
          </w:p>
        </w:tc>
        <w:tc>
          <w:tcPr>
            <w:tcW w:w="2835" w:type="dxa"/>
            <w:shd w:val="clear" w:color="auto" w:fill="auto"/>
            <w:noWrap/>
            <w:vAlign w:val="bottom"/>
            <w:hideMark/>
          </w:tcPr>
          <w:p w14:paraId="337CBE99"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27 513</w:t>
            </w:r>
          </w:p>
        </w:tc>
        <w:tc>
          <w:tcPr>
            <w:tcW w:w="3402" w:type="dxa"/>
            <w:shd w:val="clear" w:color="auto" w:fill="auto"/>
            <w:noWrap/>
            <w:vAlign w:val="bottom"/>
            <w:hideMark/>
          </w:tcPr>
          <w:p w14:paraId="53A8C51A"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58 977 586,58</w:t>
            </w:r>
          </w:p>
        </w:tc>
      </w:tr>
      <w:tr w:rsidR="003C4012" w:rsidRPr="005808F3" w14:paraId="6E8E6F5F" w14:textId="77777777" w:rsidTr="003C4012">
        <w:trPr>
          <w:trHeight w:val="255"/>
        </w:trPr>
        <w:tc>
          <w:tcPr>
            <w:tcW w:w="3119" w:type="dxa"/>
            <w:shd w:val="clear" w:color="auto" w:fill="auto"/>
            <w:noWrap/>
            <w:vAlign w:val="bottom"/>
            <w:hideMark/>
          </w:tcPr>
          <w:p w14:paraId="3412A8CF"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Павловский</w:t>
            </w:r>
          </w:p>
        </w:tc>
        <w:tc>
          <w:tcPr>
            <w:tcW w:w="2835" w:type="dxa"/>
            <w:shd w:val="clear" w:color="auto" w:fill="auto"/>
            <w:noWrap/>
            <w:vAlign w:val="bottom"/>
            <w:hideMark/>
          </w:tcPr>
          <w:p w14:paraId="4AE2D834"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24 484</w:t>
            </w:r>
          </w:p>
        </w:tc>
        <w:tc>
          <w:tcPr>
            <w:tcW w:w="3402" w:type="dxa"/>
            <w:shd w:val="clear" w:color="auto" w:fill="auto"/>
            <w:noWrap/>
            <w:vAlign w:val="bottom"/>
            <w:hideMark/>
          </w:tcPr>
          <w:p w14:paraId="7B8D15E8"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63 135 127,24</w:t>
            </w:r>
          </w:p>
        </w:tc>
      </w:tr>
      <w:tr w:rsidR="003C4012" w:rsidRPr="005808F3" w14:paraId="176BD3BC" w14:textId="77777777" w:rsidTr="003C4012">
        <w:trPr>
          <w:trHeight w:val="255"/>
        </w:trPr>
        <w:tc>
          <w:tcPr>
            <w:tcW w:w="3119" w:type="dxa"/>
            <w:shd w:val="clear" w:color="auto" w:fill="auto"/>
            <w:noWrap/>
            <w:vAlign w:val="bottom"/>
            <w:hideMark/>
          </w:tcPr>
          <w:p w14:paraId="695386B8"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Панинский</w:t>
            </w:r>
          </w:p>
        </w:tc>
        <w:tc>
          <w:tcPr>
            <w:tcW w:w="2835" w:type="dxa"/>
            <w:shd w:val="clear" w:color="auto" w:fill="auto"/>
            <w:noWrap/>
            <w:vAlign w:val="bottom"/>
            <w:hideMark/>
          </w:tcPr>
          <w:p w14:paraId="446440BF"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16 554</w:t>
            </w:r>
          </w:p>
        </w:tc>
        <w:tc>
          <w:tcPr>
            <w:tcW w:w="3402" w:type="dxa"/>
            <w:shd w:val="clear" w:color="auto" w:fill="auto"/>
            <w:noWrap/>
            <w:vAlign w:val="bottom"/>
            <w:hideMark/>
          </w:tcPr>
          <w:p w14:paraId="5514BB8C"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55 487 400,30</w:t>
            </w:r>
          </w:p>
        </w:tc>
      </w:tr>
      <w:tr w:rsidR="003C4012" w:rsidRPr="005808F3" w14:paraId="3D6021F3" w14:textId="77777777" w:rsidTr="003C4012">
        <w:trPr>
          <w:trHeight w:val="255"/>
        </w:trPr>
        <w:tc>
          <w:tcPr>
            <w:tcW w:w="3119" w:type="dxa"/>
            <w:shd w:val="clear" w:color="auto" w:fill="auto"/>
            <w:noWrap/>
            <w:vAlign w:val="bottom"/>
            <w:hideMark/>
          </w:tcPr>
          <w:p w14:paraId="1EA6A007"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Петропавловский</w:t>
            </w:r>
          </w:p>
        </w:tc>
        <w:tc>
          <w:tcPr>
            <w:tcW w:w="2835" w:type="dxa"/>
            <w:shd w:val="clear" w:color="auto" w:fill="auto"/>
            <w:noWrap/>
            <w:vAlign w:val="bottom"/>
            <w:hideMark/>
          </w:tcPr>
          <w:p w14:paraId="7955E004"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14 042</w:t>
            </w:r>
          </w:p>
        </w:tc>
        <w:tc>
          <w:tcPr>
            <w:tcW w:w="3402" w:type="dxa"/>
            <w:shd w:val="clear" w:color="auto" w:fill="auto"/>
            <w:noWrap/>
            <w:vAlign w:val="bottom"/>
            <w:hideMark/>
          </w:tcPr>
          <w:p w14:paraId="6E7FF17C"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46 284 457,36</w:t>
            </w:r>
          </w:p>
        </w:tc>
      </w:tr>
      <w:tr w:rsidR="003C4012" w:rsidRPr="005808F3" w14:paraId="3A60F7AD" w14:textId="77777777" w:rsidTr="003C4012">
        <w:trPr>
          <w:trHeight w:val="255"/>
        </w:trPr>
        <w:tc>
          <w:tcPr>
            <w:tcW w:w="3119" w:type="dxa"/>
            <w:shd w:val="clear" w:color="auto" w:fill="auto"/>
            <w:noWrap/>
            <w:vAlign w:val="bottom"/>
            <w:hideMark/>
          </w:tcPr>
          <w:p w14:paraId="2C034384"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Поворинский</w:t>
            </w:r>
          </w:p>
        </w:tc>
        <w:tc>
          <w:tcPr>
            <w:tcW w:w="2835" w:type="dxa"/>
            <w:shd w:val="clear" w:color="auto" w:fill="auto"/>
            <w:noWrap/>
            <w:vAlign w:val="bottom"/>
            <w:hideMark/>
          </w:tcPr>
          <w:p w14:paraId="1441E96F"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16 731</w:t>
            </w:r>
          </w:p>
        </w:tc>
        <w:tc>
          <w:tcPr>
            <w:tcW w:w="3402" w:type="dxa"/>
            <w:shd w:val="clear" w:color="auto" w:fill="auto"/>
            <w:noWrap/>
            <w:vAlign w:val="bottom"/>
            <w:hideMark/>
          </w:tcPr>
          <w:p w14:paraId="3FA50FEE"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44 018 598,33</w:t>
            </w:r>
          </w:p>
        </w:tc>
      </w:tr>
      <w:tr w:rsidR="003C4012" w:rsidRPr="005808F3" w14:paraId="3642647B" w14:textId="77777777" w:rsidTr="003C4012">
        <w:trPr>
          <w:trHeight w:val="255"/>
        </w:trPr>
        <w:tc>
          <w:tcPr>
            <w:tcW w:w="3119" w:type="dxa"/>
            <w:shd w:val="clear" w:color="auto" w:fill="auto"/>
            <w:noWrap/>
            <w:vAlign w:val="bottom"/>
            <w:hideMark/>
          </w:tcPr>
          <w:p w14:paraId="350A7600"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Подгоренский</w:t>
            </w:r>
          </w:p>
        </w:tc>
        <w:tc>
          <w:tcPr>
            <w:tcW w:w="2835" w:type="dxa"/>
            <w:shd w:val="clear" w:color="auto" w:fill="auto"/>
            <w:noWrap/>
            <w:vAlign w:val="bottom"/>
            <w:hideMark/>
          </w:tcPr>
          <w:p w14:paraId="6D5DA2C8"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16 059</w:t>
            </w:r>
          </w:p>
        </w:tc>
        <w:tc>
          <w:tcPr>
            <w:tcW w:w="3402" w:type="dxa"/>
            <w:shd w:val="clear" w:color="auto" w:fill="auto"/>
            <w:noWrap/>
            <w:vAlign w:val="bottom"/>
            <w:hideMark/>
          </w:tcPr>
          <w:p w14:paraId="3C3AC91E"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44 283 674,96</w:t>
            </w:r>
          </w:p>
        </w:tc>
      </w:tr>
      <w:tr w:rsidR="003C4012" w:rsidRPr="005808F3" w14:paraId="42E59835" w14:textId="77777777" w:rsidTr="003C4012">
        <w:trPr>
          <w:trHeight w:val="255"/>
        </w:trPr>
        <w:tc>
          <w:tcPr>
            <w:tcW w:w="3119" w:type="dxa"/>
            <w:shd w:val="clear" w:color="auto" w:fill="auto"/>
            <w:noWrap/>
            <w:vAlign w:val="bottom"/>
            <w:hideMark/>
          </w:tcPr>
          <w:p w14:paraId="2C15A1B2"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Рамонский</w:t>
            </w:r>
          </w:p>
        </w:tc>
        <w:tc>
          <w:tcPr>
            <w:tcW w:w="2835" w:type="dxa"/>
            <w:shd w:val="clear" w:color="auto" w:fill="auto"/>
            <w:noWrap/>
            <w:vAlign w:val="bottom"/>
            <w:hideMark/>
          </w:tcPr>
          <w:p w14:paraId="54E8E96D"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52 725</w:t>
            </w:r>
          </w:p>
        </w:tc>
        <w:tc>
          <w:tcPr>
            <w:tcW w:w="3402" w:type="dxa"/>
            <w:shd w:val="clear" w:color="auto" w:fill="auto"/>
            <w:noWrap/>
            <w:vAlign w:val="bottom"/>
            <w:hideMark/>
          </w:tcPr>
          <w:p w14:paraId="064FEA8B"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126 217 787,49</w:t>
            </w:r>
          </w:p>
        </w:tc>
      </w:tr>
      <w:tr w:rsidR="003C4012" w:rsidRPr="005808F3" w14:paraId="173FDA0A" w14:textId="77777777" w:rsidTr="003C4012">
        <w:trPr>
          <w:trHeight w:val="255"/>
        </w:trPr>
        <w:tc>
          <w:tcPr>
            <w:tcW w:w="3119" w:type="dxa"/>
            <w:shd w:val="clear" w:color="auto" w:fill="auto"/>
            <w:noWrap/>
            <w:vAlign w:val="bottom"/>
            <w:hideMark/>
          </w:tcPr>
          <w:p w14:paraId="7D0D0E8E"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Репьевский</w:t>
            </w:r>
          </w:p>
        </w:tc>
        <w:tc>
          <w:tcPr>
            <w:tcW w:w="2835" w:type="dxa"/>
            <w:shd w:val="clear" w:color="auto" w:fill="auto"/>
            <w:noWrap/>
            <w:vAlign w:val="bottom"/>
            <w:hideMark/>
          </w:tcPr>
          <w:p w14:paraId="78F44D9A"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13 951</w:t>
            </w:r>
          </w:p>
        </w:tc>
        <w:tc>
          <w:tcPr>
            <w:tcW w:w="3402" w:type="dxa"/>
            <w:shd w:val="clear" w:color="auto" w:fill="auto"/>
            <w:noWrap/>
            <w:vAlign w:val="bottom"/>
            <w:hideMark/>
          </w:tcPr>
          <w:p w14:paraId="4F51FC10"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38 565 834,76</w:t>
            </w:r>
          </w:p>
        </w:tc>
      </w:tr>
      <w:tr w:rsidR="003C4012" w:rsidRPr="005808F3" w14:paraId="2F5B49E3" w14:textId="77777777" w:rsidTr="003C4012">
        <w:trPr>
          <w:trHeight w:val="255"/>
        </w:trPr>
        <w:tc>
          <w:tcPr>
            <w:tcW w:w="3119" w:type="dxa"/>
            <w:shd w:val="clear" w:color="auto" w:fill="auto"/>
            <w:noWrap/>
            <w:vAlign w:val="bottom"/>
            <w:hideMark/>
          </w:tcPr>
          <w:p w14:paraId="079C7E83"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Россошанский</w:t>
            </w:r>
          </w:p>
        </w:tc>
        <w:tc>
          <w:tcPr>
            <w:tcW w:w="2835" w:type="dxa"/>
            <w:shd w:val="clear" w:color="auto" w:fill="auto"/>
            <w:noWrap/>
            <w:vAlign w:val="bottom"/>
            <w:hideMark/>
          </w:tcPr>
          <w:p w14:paraId="19AE2901"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35 031</w:t>
            </w:r>
          </w:p>
        </w:tc>
        <w:tc>
          <w:tcPr>
            <w:tcW w:w="3402" w:type="dxa"/>
            <w:shd w:val="clear" w:color="auto" w:fill="auto"/>
            <w:noWrap/>
            <w:vAlign w:val="bottom"/>
            <w:hideMark/>
          </w:tcPr>
          <w:p w14:paraId="4967D4CB"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108 016 643,29</w:t>
            </w:r>
          </w:p>
        </w:tc>
      </w:tr>
      <w:tr w:rsidR="003C4012" w:rsidRPr="005808F3" w14:paraId="2CBA19A3" w14:textId="77777777" w:rsidTr="003C4012">
        <w:trPr>
          <w:trHeight w:val="255"/>
        </w:trPr>
        <w:tc>
          <w:tcPr>
            <w:tcW w:w="3119" w:type="dxa"/>
            <w:shd w:val="clear" w:color="auto" w:fill="auto"/>
            <w:noWrap/>
            <w:vAlign w:val="bottom"/>
            <w:hideMark/>
          </w:tcPr>
          <w:p w14:paraId="5C2E50A5"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Семилукский</w:t>
            </w:r>
          </w:p>
        </w:tc>
        <w:tc>
          <w:tcPr>
            <w:tcW w:w="2835" w:type="dxa"/>
            <w:shd w:val="clear" w:color="auto" w:fill="auto"/>
            <w:noWrap/>
            <w:vAlign w:val="bottom"/>
            <w:hideMark/>
          </w:tcPr>
          <w:p w14:paraId="77D8B935"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48 067</w:t>
            </w:r>
          </w:p>
        </w:tc>
        <w:tc>
          <w:tcPr>
            <w:tcW w:w="3402" w:type="dxa"/>
            <w:shd w:val="clear" w:color="auto" w:fill="auto"/>
            <w:noWrap/>
            <w:vAlign w:val="bottom"/>
            <w:hideMark/>
          </w:tcPr>
          <w:p w14:paraId="50461C57"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132 692 760,58</w:t>
            </w:r>
          </w:p>
        </w:tc>
      </w:tr>
      <w:tr w:rsidR="003C4012" w:rsidRPr="005808F3" w14:paraId="5D2712D2" w14:textId="77777777" w:rsidTr="003C4012">
        <w:trPr>
          <w:trHeight w:val="255"/>
        </w:trPr>
        <w:tc>
          <w:tcPr>
            <w:tcW w:w="3119" w:type="dxa"/>
            <w:shd w:val="clear" w:color="auto" w:fill="auto"/>
            <w:noWrap/>
            <w:vAlign w:val="bottom"/>
            <w:hideMark/>
          </w:tcPr>
          <w:p w14:paraId="7A76487F"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Таловский</w:t>
            </w:r>
          </w:p>
        </w:tc>
        <w:tc>
          <w:tcPr>
            <w:tcW w:w="2835" w:type="dxa"/>
            <w:shd w:val="clear" w:color="auto" w:fill="auto"/>
            <w:noWrap/>
            <w:vAlign w:val="bottom"/>
            <w:hideMark/>
          </w:tcPr>
          <w:p w14:paraId="26C81884"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22 970</w:t>
            </w:r>
          </w:p>
        </w:tc>
        <w:tc>
          <w:tcPr>
            <w:tcW w:w="3402" w:type="dxa"/>
            <w:shd w:val="clear" w:color="auto" w:fill="auto"/>
            <w:noWrap/>
            <w:vAlign w:val="bottom"/>
            <w:hideMark/>
          </w:tcPr>
          <w:p w14:paraId="6561347A"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87 721 506,95</w:t>
            </w:r>
          </w:p>
        </w:tc>
      </w:tr>
      <w:tr w:rsidR="003C4012" w:rsidRPr="005808F3" w14:paraId="7279029A" w14:textId="77777777" w:rsidTr="003C4012">
        <w:trPr>
          <w:trHeight w:val="255"/>
        </w:trPr>
        <w:tc>
          <w:tcPr>
            <w:tcW w:w="3119" w:type="dxa"/>
            <w:shd w:val="clear" w:color="auto" w:fill="auto"/>
            <w:noWrap/>
            <w:vAlign w:val="bottom"/>
            <w:hideMark/>
          </w:tcPr>
          <w:p w14:paraId="3F09EEB6"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Терновский</w:t>
            </w:r>
          </w:p>
        </w:tc>
        <w:tc>
          <w:tcPr>
            <w:tcW w:w="2835" w:type="dxa"/>
            <w:shd w:val="clear" w:color="auto" w:fill="auto"/>
            <w:noWrap/>
            <w:vAlign w:val="bottom"/>
            <w:hideMark/>
          </w:tcPr>
          <w:p w14:paraId="7B178F96"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17 106</w:t>
            </w:r>
          </w:p>
        </w:tc>
        <w:tc>
          <w:tcPr>
            <w:tcW w:w="3402" w:type="dxa"/>
            <w:shd w:val="clear" w:color="auto" w:fill="auto"/>
            <w:noWrap/>
            <w:vAlign w:val="bottom"/>
            <w:hideMark/>
          </w:tcPr>
          <w:p w14:paraId="51EC54AB"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61 604 939,04</w:t>
            </w:r>
          </w:p>
        </w:tc>
      </w:tr>
      <w:tr w:rsidR="003C4012" w:rsidRPr="005808F3" w14:paraId="27FDC76A" w14:textId="77777777" w:rsidTr="003C4012">
        <w:trPr>
          <w:trHeight w:val="255"/>
        </w:trPr>
        <w:tc>
          <w:tcPr>
            <w:tcW w:w="3119" w:type="dxa"/>
            <w:shd w:val="clear" w:color="auto" w:fill="auto"/>
            <w:noWrap/>
            <w:vAlign w:val="bottom"/>
            <w:hideMark/>
          </w:tcPr>
          <w:p w14:paraId="2765D006"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Хохольский</w:t>
            </w:r>
          </w:p>
        </w:tc>
        <w:tc>
          <w:tcPr>
            <w:tcW w:w="2835" w:type="dxa"/>
            <w:shd w:val="clear" w:color="auto" w:fill="auto"/>
            <w:noWrap/>
            <w:vAlign w:val="bottom"/>
            <w:hideMark/>
          </w:tcPr>
          <w:p w14:paraId="07EA363F"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29 127</w:t>
            </w:r>
          </w:p>
        </w:tc>
        <w:tc>
          <w:tcPr>
            <w:tcW w:w="3402" w:type="dxa"/>
            <w:shd w:val="clear" w:color="auto" w:fill="auto"/>
            <w:noWrap/>
            <w:vAlign w:val="bottom"/>
            <w:hideMark/>
          </w:tcPr>
          <w:p w14:paraId="3F2FCDFA"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91 239 042,63</w:t>
            </w:r>
          </w:p>
        </w:tc>
      </w:tr>
      <w:tr w:rsidR="003C4012" w:rsidRPr="005808F3" w14:paraId="7D6FB3BF" w14:textId="77777777" w:rsidTr="003C4012">
        <w:trPr>
          <w:trHeight w:val="255"/>
        </w:trPr>
        <w:tc>
          <w:tcPr>
            <w:tcW w:w="3119" w:type="dxa"/>
            <w:shd w:val="clear" w:color="auto" w:fill="auto"/>
            <w:noWrap/>
            <w:vAlign w:val="bottom"/>
            <w:hideMark/>
          </w:tcPr>
          <w:p w14:paraId="4DD7EDF2"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Эртильский</w:t>
            </w:r>
          </w:p>
        </w:tc>
        <w:tc>
          <w:tcPr>
            <w:tcW w:w="2835" w:type="dxa"/>
            <w:shd w:val="clear" w:color="auto" w:fill="auto"/>
            <w:noWrap/>
            <w:vAlign w:val="bottom"/>
            <w:hideMark/>
          </w:tcPr>
          <w:p w14:paraId="6FD03ED8"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14 994</w:t>
            </w:r>
          </w:p>
        </w:tc>
        <w:tc>
          <w:tcPr>
            <w:tcW w:w="3402" w:type="dxa"/>
            <w:shd w:val="clear" w:color="auto" w:fill="auto"/>
            <w:noWrap/>
            <w:vAlign w:val="bottom"/>
            <w:hideMark/>
          </w:tcPr>
          <w:p w14:paraId="2307CDD2" w14:textId="77777777" w:rsidR="003C4012" w:rsidRPr="005808F3"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5808F3">
              <w:rPr>
                <w:rFonts w:ascii="Times New Roman" w:eastAsia="Times New Roman" w:hAnsi="Times New Roman" w:cs="Times New Roman"/>
                <w:bCs/>
                <w:color w:val="000000"/>
                <w:lang w:eastAsia="ru-RU"/>
              </w:rPr>
              <w:t>59 586 619,91</w:t>
            </w:r>
          </w:p>
        </w:tc>
      </w:tr>
      <w:tr w:rsidR="003C4012" w:rsidRPr="00F562A8" w14:paraId="5879C44B" w14:textId="77777777" w:rsidTr="003C4012">
        <w:trPr>
          <w:trHeight w:val="255"/>
        </w:trPr>
        <w:tc>
          <w:tcPr>
            <w:tcW w:w="3119" w:type="dxa"/>
            <w:shd w:val="clear" w:color="auto" w:fill="auto"/>
            <w:noWrap/>
            <w:vAlign w:val="bottom"/>
            <w:hideMark/>
          </w:tcPr>
          <w:p w14:paraId="414FAB03" w14:textId="77777777" w:rsidR="003C4012" w:rsidRPr="005808F3"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5808F3">
              <w:rPr>
                <w:rFonts w:ascii="Times New Roman" w:eastAsia="Times New Roman" w:hAnsi="Times New Roman" w:cs="Times New Roman"/>
                <w:b/>
                <w:bCs/>
                <w:color w:val="000000"/>
                <w:lang w:eastAsia="ru-RU"/>
              </w:rPr>
              <w:t>Общий итог</w:t>
            </w:r>
          </w:p>
        </w:tc>
        <w:tc>
          <w:tcPr>
            <w:tcW w:w="2835" w:type="dxa"/>
            <w:shd w:val="clear" w:color="auto" w:fill="auto"/>
            <w:noWrap/>
            <w:vAlign w:val="bottom"/>
            <w:hideMark/>
          </w:tcPr>
          <w:p w14:paraId="2860590C" w14:textId="77777777" w:rsidR="003C4012" w:rsidRPr="005808F3"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5808F3">
              <w:rPr>
                <w:rFonts w:ascii="Times New Roman" w:eastAsia="Times New Roman" w:hAnsi="Times New Roman" w:cs="Times New Roman"/>
                <w:b/>
                <w:bCs/>
                <w:color w:val="000000"/>
                <w:lang w:eastAsia="ru-RU"/>
              </w:rPr>
              <w:t>913 143</w:t>
            </w:r>
          </w:p>
        </w:tc>
        <w:tc>
          <w:tcPr>
            <w:tcW w:w="3402" w:type="dxa"/>
            <w:shd w:val="clear" w:color="auto" w:fill="auto"/>
            <w:noWrap/>
            <w:vAlign w:val="bottom"/>
            <w:hideMark/>
          </w:tcPr>
          <w:p w14:paraId="1344FBBA" w14:textId="77777777" w:rsidR="003C4012" w:rsidRPr="005808F3"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5808F3">
              <w:rPr>
                <w:rFonts w:ascii="Times New Roman" w:eastAsia="Times New Roman" w:hAnsi="Times New Roman" w:cs="Times New Roman"/>
                <w:b/>
                <w:bCs/>
                <w:color w:val="000000"/>
                <w:lang w:eastAsia="ru-RU"/>
              </w:rPr>
              <w:t>2 570 325 665,88</w:t>
            </w:r>
          </w:p>
        </w:tc>
      </w:tr>
    </w:tbl>
    <w:p w14:paraId="526C5427" w14:textId="77777777" w:rsidR="003C4012" w:rsidRPr="00F562A8" w:rsidRDefault="003C4012" w:rsidP="003C4012">
      <w:pPr>
        <w:spacing w:after="0" w:line="276" w:lineRule="auto"/>
        <w:contextualSpacing/>
        <w:jc w:val="center"/>
        <w:rPr>
          <w:rFonts w:ascii="Times New Roman" w:eastAsia="Times New Roman" w:hAnsi="Times New Roman" w:cs="Times New Roman"/>
          <w:spacing w:val="-5"/>
          <w:sz w:val="26"/>
          <w:szCs w:val="26"/>
        </w:rPr>
      </w:pPr>
      <w:r>
        <w:rPr>
          <w:rFonts w:ascii="Times New Roman" w:eastAsia="Times New Roman" w:hAnsi="Times New Roman" w:cs="Times New Roman"/>
          <w:noProof/>
          <w:spacing w:val="-5"/>
          <w:sz w:val="26"/>
          <w:szCs w:val="26"/>
          <w:lang w:eastAsia="ru-RU"/>
        </w:rPr>
        <w:drawing>
          <wp:inline distT="0" distB="0" distL="0" distR="0" wp14:anchorId="3716600E" wp14:editId="706FBDCB">
            <wp:extent cx="5856441" cy="3490932"/>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94624" cy="3513692"/>
                    </a:xfrm>
                    <a:prstGeom prst="rect">
                      <a:avLst/>
                    </a:prstGeom>
                    <a:noFill/>
                  </pic:spPr>
                </pic:pic>
              </a:graphicData>
            </a:graphic>
          </wp:inline>
        </w:drawing>
      </w:r>
    </w:p>
    <w:p w14:paraId="20E52D05" w14:textId="77777777" w:rsidR="003C4012" w:rsidRPr="00F562A8" w:rsidRDefault="003C4012" w:rsidP="003C4012">
      <w:pPr>
        <w:spacing w:after="0" w:line="276" w:lineRule="auto"/>
        <w:contextualSpacing/>
        <w:jc w:val="center"/>
        <w:rPr>
          <w:rFonts w:ascii="Times New Roman" w:hAnsi="Times New Roman" w:cs="Times New Roman"/>
          <w:sz w:val="26"/>
          <w:szCs w:val="26"/>
        </w:rPr>
      </w:pPr>
      <w:r w:rsidRPr="005808F3">
        <w:rPr>
          <w:rFonts w:ascii="Times New Roman" w:hAnsi="Times New Roman" w:cs="Times New Roman"/>
          <w:sz w:val="26"/>
          <w:szCs w:val="26"/>
        </w:rPr>
        <w:t>Рис. 3.3.1.</w:t>
      </w:r>
      <w:r>
        <w:rPr>
          <w:rFonts w:ascii="Times New Roman" w:hAnsi="Times New Roman" w:cs="Times New Roman"/>
          <w:sz w:val="26"/>
          <w:szCs w:val="26"/>
        </w:rPr>
        <w:t>7</w:t>
      </w:r>
      <w:r w:rsidRPr="005808F3">
        <w:rPr>
          <w:rFonts w:ascii="Times New Roman" w:hAnsi="Times New Roman" w:cs="Times New Roman"/>
          <w:sz w:val="26"/>
          <w:szCs w:val="26"/>
        </w:rPr>
        <w:t xml:space="preserve"> Количество оцениваемых земельных участков из состава земель населенных пунктов в разрезе муниципальных районов Воронежской области</w:t>
      </w:r>
    </w:p>
    <w:p w14:paraId="4CF24F93" w14:textId="77777777" w:rsidR="003C4012" w:rsidRDefault="003C4012" w:rsidP="003C4012">
      <w:pPr>
        <w:spacing w:after="0" w:line="276" w:lineRule="auto"/>
        <w:ind w:firstLine="708"/>
        <w:contextualSpacing/>
        <w:jc w:val="center"/>
        <w:rPr>
          <w:rFonts w:ascii="Times New Roman" w:hAnsi="Times New Roman" w:cs="Times New Roman"/>
          <w:b/>
          <w:i/>
          <w:sz w:val="26"/>
          <w:szCs w:val="26"/>
          <w:shd w:val="clear" w:color="auto" w:fill="FFFFFF"/>
        </w:rPr>
      </w:pPr>
    </w:p>
    <w:p w14:paraId="0727CB91" w14:textId="6DF78D3D" w:rsidR="003C4012" w:rsidRPr="003C4012" w:rsidRDefault="003C4012" w:rsidP="003C4012">
      <w:pPr>
        <w:spacing w:after="0" w:line="276" w:lineRule="auto"/>
        <w:ind w:firstLine="708"/>
        <w:contextualSpacing/>
        <w:jc w:val="center"/>
        <w:rPr>
          <w:rFonts w:ascii="Times New Roman" w:hAnsi="Times New Roman" w:cs="Times New Roman"/>
          <w:i/>
          <w:sz w:val="26"/>
          <w:szCs w:val="26"/>
          <w:shd w:val="clear" w:color="auto" w:fill="FFFFFF"/>
        </w:rPr>
      </w:pPr>
      <w:r w:rsidRPr="003C4012">
        <w:rPr>
          <w:rFonts w:ascii="Times New Roman" w:hAnsi="Times New Roman" w:cs="Times New Roman"/>
          <w:i/>
          <w:sz w:val="26"/>
          <w:szCs w:val="26"/>
          <w:shd w:val="clear" w:color="auto" w:fill="FFFFFF"/>
        </w:rPr>
        <w:t>Описание земель промышленности, энергетики, транспорта, земли обороны, безопасности и земли иного специального назначения Воронежской области</w:t>
      </w:r>
    </w:p>
    <w:p w14:paraId="1CB9414F" w14:textId="77777777" w:rsidR="003C4012" w:rsidRPr="00437AD4" w:rsidRDefault="003C4012" w:rsidP="003C4012">
      <w:pPr>
        <w:spacing w:after="0" w:line="276" w:lineRule="auto"/>
        <w:ind w:firstLine="567"/>
        <w:jc w:val="both"/>
        <w:rPr>
          <w:rFonts w:ascii="Times New Roman" w:hAnsi="Times New Roman" w:cs="Times New Roman"/>
          <w:sz w:val="26"/>
          <w:szCs w:val="26"/>
        </w:rPr>
      </w:pPr>
      <w:r w:rsidRPr="00F562A8">
        <w:rPr>
          <w:rFonts w:ascii="Times New Roman" w:hAnsi="Times New Roman" w:cs="Times New Roman"/>
          <w:sz w:val="26"/>
          <w:szCs w:val="26"/>
          <w:shd w:val="clear" w:color="auto" w:fill="FFFFFF"/>
        </w:rPr>
        <w:t xml:space="preserve"> </w:t>
      </w:r>
      <w:r w:rsidRPr="00E75B04">
        <w:rPr>
          <w:rFonts w:ascii="Times New Roman" w:hAnsi="Times New Roman" w:cs="Times New Roman"/>
          <w:sz w:val="26"/>
          <w:szCs w:val="26"/>
        </w:rPr>
        <w:t>К землям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относятся земли, находящиеся за границами населенных пунктов, которые используются для обеспечения деятельности организаций 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r w:rsidRPr="00437AD4">
        <w:rPr>
          <w:rFonts w:ascii="Times New Roman" w:hAnsi="Times New Roman" w:cs="Times New Roman"/>
          <w:sz w:val="26"/>
          <w:szCs w:val="26"/>
        </w:rPr>
        <w:t xml:space="preserve"> </w:t>
      </w:r>
    </w:p>
    <w:p w14:paraId="0A0B400E" w14:textId="77777777" w:rsidR="003C4012" w:rsidRDefault="003C4012" w:rsidP="003C4012">
      <w:pPr>
        <w:spacing w:after="0" w:line="276" w:lineRule="auto"/>
        <w:ind w:firstLine="567"/>
        <w:jc w:val="both"/>
        <w:rPr>
          <w:rFonts w:ascii="Times New Roman" w:hAnsi="Times New Roman" w:cs="Times New Roman"/>
          <w:sz w:val="26"/>
          <w:szCs w:val="26"/>
        </w:rPr>
      </w:pPr>
      <w:r w:rsidRPr="00437AD4">
        <w:rPr>
          <w:rFonts w:ascii="Times New Roman" w:hAnsi="Times New Roman" w:cs="Times New Roman"/>
          <w:sz w:val="26"/>
          <w:szCs w:val="26"/>
        </w:rPr>
        <w:t>Основными отраслями промышленности Воронежской области являются: машиностроение и металлообработка</w:t>
      </w:r>
      <w:r>
        <w:rPr>
          <w:rFonts w:ascii="Times New Roman" w:hAnsi="Times New Roman" w:cs="Times New Roman"/>
          <w:sz w:val="26"/>
          <w:szCs w:val="26"/>
        </w:rPr>
        <w:t>, а</w:t>
      </w:r>
      <w:r w:rsidRPr="00437AD4">
        <w:rPr>
          <w:rFonts w:ascii="Times New Roman" w:hAnsi="Times New Roman" w:cs="Times New Roman"/>
          <w:sz w:val="26"/>
          <w:szCs w:val="26"/>
        </w:rPr>
        <w:t xml:space="preserve"> также пищевая, химическая и нефтехимическая промышленность.</w:t>
      </w:r>
    </w:p>
    <w:p w14:paraId="6CA51015" w14:textId="77777777" w:rsidR="003C4012" w:rsidRPr="00437AD4" w:rsidRDefault="003C4012" w:rsidP="003C4012">
      <w:pPr>
        <w:spacing w:after="0" w:line="276" w:lineRule="auto"/>
        <w:ind w:firstLine="567"/>
        <w:jc w:val="both"/>
        <w:rPr>
          <w:rFonts w:ascii="Times New Roman" w:hAnsi="Times New Roman" w:cs="Times New Roman"/>
          <w:sz w:val="26"/>
          <w:szCs w:val="26"/>
        </w:rPr>
      </w:pPr>
      <w:r w:rsidRPr="00437AD4">
        <w:rPr>
          <w:rFonts w:ascii="Times New Roman" w:hAnsi="Times New Roman" w:cs="Times New Roman"/>
          <w:sz w:val="26"/>
          <w:szCs w:val="26"/>
        </w:rPr>
        <w:t>Металлопродукция предприятий в области включает в себя черный и металлопрокат из нержавейки, трубы, метизы и крепежи, цветные металлы, ферросплавы, чугун, металлолом, конструкции из металла и различные металлические изделия, в том числе и металлообработка.</w:t>
      </w:r>
    </w:p>
    <w:p w14:paraId="1366DBE9" w14:textId="77777777" w:rsidR="003C4012" w:rsidRPr="00437AD4" w:rsidRDefault="003C4012" w:rsidP="003C4012">
      <w:pPr>
        <w:spacing w:after="0" w:line="276" w:lineRule="auto"/>
        <w:jc w:val="both"/>
        <w:rPr>
          <w:rFonts w:ascii="Times New Roman" w:hAnsi="Times New Roman" w:cs="Times New Roman"/>
          <w:sz w:val="26"/>
          <w:szCs w:val="26"/>
        </w:rPr>
      </w:pPr>
      <w:r w:rsidRPr="00437AD4">
        <w:rPr>
          <w:rFonts w:ascii="Times New Roman" w:hAnsi="Times New Roman" w:cs="Times New Roman"/>
          <w:sz w:val="26"/>
          <w:szCs w:val="26"/>
        </w:rPr>
        <w:t> </w:t>
      </w:r>
      <w:r>
        <w:rPr>
          <w:rFonts w:ascii="Times New Roman" w:hAnsi="Times New Roman" w:cs="Times New Roman"/>
          <w:sz w:val="26"/>
          <w:szCs w:val="26"/>
        </w:rPr>
        <w:tab/>
      </w:r>
      <w:r w:rsidRPr="00437AD4">
        <w:rPr>
          <w:rFonts w:ascii="Times New Roman" w:hAnsi="Times New Roman" w:cs="Times New Roman"/>
          <w:sz w:val="26"/>
          <w:szCs w:val="26"/>
        </w:rPr>
        <w:t>Оборудование для промышленности: для электротехники, кабель, оборудование для металлообработки, машинострой и станкострой, оборудование для деревообработки, оборудование для дробления и помола, оборудование для сварки, трубопроводная арматура, оборудование для нефтегазовой промышленности, оборудование для бурения, горно-шахтное оборудование, насосы и компрессоры, запчасти, детали и подшипники для автомобилей, оборудование для подъема грузов  и оборудование для склада, промышленный инструментарий.</w:t>
      </w:r>
    </w:p>
    <w:p w14:paraId="6C0F2ADF" w14:textId="77777777" w:rsidR="003C4012" w:rsidRPr="00437AD4" w:rsidRDefault="003C4012" w:rsidP="003C4012">
      <w:pPr>
        <w:spacing w:after="0" w:line="276" w:lineRule="auto"/>
        <w:jc w:val="both"/>
        <w:rPr>
          <w:rFonts w:ascii="Times New Roman" w:hAnsi="Times New Roman" w:cs="Times New Roman"/>
          <w:sz w:val="26"/>
          <w:szCs w:val="26"/>
        </w:rPr>
      </w:pPr>
      <w:r w:rsidRPr="00437AD4">
        <w:rPr>
          <w:rFonts w:ascii="Times New Roman" w:hAnsi="Times New Roman" w:cs="Times New Roman"/>
          <w:sz w:val="26"/>
          <w:szCs w:val="26"/>
        </w:rPr>
        <w:t> Для отрасли железных дорог: материалы ВСП, запчасти для вагонов, подвижные и тяговые составы, оборудование для железной дороги.</w:t>
      </w:r>
    </w:p>
    <w:p w14:paraId="1CEC93D1" w14:textId="77777777" w:rsidR="003C4012" w:rsidRDefault="003C4012" w:rsidP="003C4012">
      <w:pPr>
        <w:spacing w:after="0" w:line="276" w:lineRule="auto"/>
        <w:ind w:firstLine="708"/>
        <w:contextualSpacing/>
        <w:jc w:val="both"/>
        <w:rPr>
          <w:rFonts w:ascii="Times New Roman" w:hAnsi="Times New Roman" w:cs="Times New Roman"/>
          <w:sz w:val="26"/>
          <w:szCs w:val="26"/>
        </w:rPr>
      </w:pPr>
      <w:r w:rsidRPr="006A2718">
        <w:rPr>
          <w:rFonts w:ascii="Times New Roman" w:hAnsi="Times New Roman" w:cs="Times New Roman"/>
          <w:sz w:val="26"/>
          <w:szCs w:val="26"/>
        </w:rPr>
        <w:t>Количество и площадь оцениваемых земельных участков из состава земель промышленности, энергетики, транспорта, земли обороны, безопасности и земли иного специального назначения в разрезе муниципальных районов Воронежской области, сведения о которых содержатся в Перечне представлено в таблице 3.3.1.4.</w:t>
      </w:r>
    </w:p>
    <w:p w14:paraId="3AEF747F" w14:textId="77777777" w:rsidR="003C4012" w:rsidRPr="006A2718" w:rsidRDefault="003C4012" w:rsidP="003C4012">
      <w:pPr>
        <w:spacing w:after="0" w:line="276" w:lineRule="auto"/>
        <w:ind w:firstLine="708"/>
        <w:contextualSpacing/>
        <w:jc w:val="both"/>
        <w:rPr>
          <w:rFonts w:ascii="Times New Roman" w:hAnsi="Times New Roman" w:cs="Times New Roman"/>
          <w:sz w:val="26"/>
          <w:szCs w:val="26"/>
        </w:rPr>
      </w:pPr>
    </w:p>
    <w:p w14:paraId="0F54EF20" w14:textId="77777777" w:rsidR="003C4012" w:rsidRPr="006A2718" w:rsidRDefault="003C4012" w:rsidP="003C4012">
      <w:pPr>
        <w:spacing w:after="0" w:line="276" w:lineRule="auto"/>
        <w:ind w:firstLine="708"/>
        <w:contextualSpacing/>
        <w:jc w:val="right"/>
        <w:rPr>
          <w:rFonts w:ascii="Times New Roman" w:hAnsi="Times New Roman" w:cs="Times New Roman"/>
          <w:sz w:val="26"/>
          <w:szCs w:val="26"/>
        </w:rPr>
      </w:pPr>
      <w:r w:rsidRPr="006A2718">
        <w:rPr>
          <w:rFonts w:ascii="Times New Roman" w:hAnsi="Times New Roman" w:cs="Times New Roman"/>
          <w:sz w:val="26"/>
          <w:szCs w:val="26"/>
        </w:rPr>
        <w:t>Таблица 3.3.1.4</w:t>
      </w:r>
    </w:p>
    <w:p w14:paraId="486660F0" w14:textId="77777777" w:rsidR="003C4012" w:rsidRDefault="003C4012" w:rsidP="003C4012">
      <w:pPr>
        <w:spacing w:after="0" w:line="276" w:lineRule="auto"/>
        <w:contextualSpacing/>
        <w:jc w:val="center"/>
        <w:rPr>
          <w:rFonts w:ascii="Times New Roman" w:hAnsi="Times New Roman" w:cs="Times New Roman"/>
          <w:sz w:val="26"/>
          <w:szCs w:val="26"/>
          <w:highlight w:val="yellow"/>
        </w:rPr>
      </w:pPr>
      <w:r w:rsidRPr="006A2718">
        <w:rPr>
          <w:rFonts w:ascii="Times New Roman" w:hAnsi="Times New Roman" w:cs="Times New Roman"/>
          <w:sz w:val="26"/>
          <w:szCs w:val="26"/>
        </w:rPr>
        <w:t>Количество и площадь оцениваемых земельных участков из состава земель промышленности, энергетики, транспорта, земли обороны, безопасности и земли иного специального назначения в разрезе муниципальных районов Воронежской области</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268"/>
        <w:gridCol w:w="2635"/>
      </w:tblGrid>
      <w:tr w:rsidR="003C4012" w:rsidRPr="006A2718" w14:paraId="478C5EFC" w14:textId="77777777" w:rsidTr="003C4012">
        <w:trPr>
          <w:trHeight w:val="300"/>
        </w:trPr>
        <w:tc>
          <w:tcPr>
            <w:tcW w:w="4531" w:type="dxa"/>
            <w:shd w:val="clear" w:color="auto" w:fill="auto"/>
            <w:noWrap/>
            <w:vAlign w:val="center"/>
          </w:tcPr>
          <w:p w14:paraId="1AA1A783"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6A2718">
              <w:rPr>
                <w:rFonts w:ascii="Times New Roman" w:eastAsia="Times New Roman" w:hAnsi="Times New Roman" w:cs="Times New Roman"/>
                <w:b/>
                <w:bCs/>
                <w:color w:val="000000"/>
                <w:lang w:eastAsia="ru-RU"/>
              </w:rPr>
              <w:t>Наименование района/городского округа</w:t>
            </w:r>
          </w:p>
        </w:tc>
        <w:tc>
          <w:tcPr>
            <w:tcW w:w="2268" w:type="dxa"/>
            <w:shd w:val="clear" w:color="auto" w:fill="auto"/>
            <w:noWrap/>
            <w:vAlign w:val="center"/>
          </w:tcPr>
          <w:p w14:paraId="46A41BA4"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6A2718">
              <w:rPr>
                <w:rFonts w:ascii="Times New Roman" w:eastAsia="Times New Roman" w:hAnsi="Times New Roman" w:cs="Times New Roman"/>
                <w:b/>
                <w:bCs/>
                <w:color w:val="000000"/>
                <w:lang w:eastAsia="ru-RU"/>
              </w:rPr>
              <w:t>Количество ЗУ, шт.</w:t>
            </w:r>
          </w:p>
        </w:tc>
        <w:tc>
          <w:tcPr>
            <w:tcW w:w="2635" w:type="dxa"/>
            <w:shd w:val="clear" w:color="auto" w:fill="auto"/>
            <w:noWrap/>
            <w:vAlign w:val="center"/>
          </w:tcPr>
          <w:p w14:paraId="20C52E42"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6A2718">
              <w:rPr>
                <w:rFonts w:ascii="Times New Roman" w:eastAsia="Times New Roman" w:hAnsi="Times New Roman" w:cs="Times New Roman"/>
                <w:b/>
                <w:bCs/>
                <w:color w:val="000000"/>
                <w:lang w:eastAsia="ru-RU"/>
              </w:rPr>
              <w:t>Площадь ЗУ, м2</w:t>
            </w:r>
          </w:p>
        </w:tc>
      </w:tr>
      <w:tr w:rsidR="003C4012" w:rsidRPr="006A2718" w14:paraId="5490F2B1" w14:textId="77777777" w:rsidTr="003C4012">
        <w:trPr>
          <w:trHeight w:val="300"/>
        </w:trPr>
        <w:tc>
          <w:tcPr>
            <w:tcW w:w="4531" w:type="dxa"/>
            <w:shd w:val="clear" w:color="auto" w:fill="auto"/>
            <w:noWrap/>
            <w:vAlign w:val="bottom"/>
          </w:tcPr>
          <w:p w14:paraId="6F24CE8C"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Аннинский</w:t>
            </w:r>
          </w:p>
        </w:tc>
        <w:tc>
          <w:tcPr>
            <w:tcW w:w="2268" w:type="dxa"/>
            <w:shd w:val="clear" w:color="auto" w:fill="auto"/>
            <w:noWrap/>
            <w:vAlign w:val="bottom"/>
          </w:tcPr>
          <w:p w14:paraId="7214CB5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166</w:t>
            </w:r>
          </w:p>
        </w:tc>
        <w:tc>
          <w:tcPr>
            <w:tcW w:w="2635" w:type="dxa"/>
            <w:shd w:val="clear" w:color="auto" w:fill="auto"/>
            <w:noWrap/>
            <w:vAlign w:val="bottom"/>
          </w:tcPr>
          <w:p w14:paraId="22CAAE64"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18 710 177,62</w:t>
            </w:r>
          </w:p>
        </w:tc>
      </w:tr>
      <w:tr w:rsidR="003C4012" w:rsidRPr="006A2718" w14:paraId="5BE68158" w14:textId="77777777" w:rsidTr="003C4012">
        <w:trPr>
          <w:trHeight w:val="300"/>
        </w:trPr>
        <w:tc>
          <w:tcPr>
            <w:tcW w:w="4531" w:type="dxa"/>
            <w:shd w:val="clear" w:color="auto" w:fill="auto"/>
            <w:noWrap/>
            <w:vAlign w:val="bottom"/>
            <w:hideMark/>
          </w:tcPr>
          <w:p w14:paraId="57BB4B4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Бобровский</w:t>
            </w:r>
          </w:p>
        </w:tc>
        <w:tc>
          <w:tcPr>
            <w:tcW w:w="2268" w:type="dxa"/>
            <w:shd w:val="clear" w:color="auto" w:fill="auto"/>
            <w:noWrap/>
            <w:vAlign w:val="bottom"/>
            <w:hideMark/>
          </w:tcPr>
          <w:p w14:paraId="474336C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352</w:t>
            </w:r>
          </w:p>
        </w:tc>
        <w:tc>
          <w:tcPr>
            <w:tcW w:w="2635" w:type="dxa"/>
            <w:shd w:val="clear" w:color="auto" w:fill="auto"/>
            <w:noWrap/>
            <w:vAlign w:val="bottom"/>
            <w:hideMark/>
          </w:tcPr>
          <w:p w14:paraId="789A8B7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22 084 165,35</w:t>
            </w:r>
          </w:p>
        </w:tc>
      </w:tr>
      <w:tr w:rsidR="003C4012" w:rsidRPr="006A2718" w14:paraId="1765D069" w14:textId="77777777" w:rsidTr="003C4012">
        <w:trPr>
          <w:trHeight w:val="300"/>
        </w:trPr>
        <w:tc>
          <w:tcPr>
            <w:tcW w:w="4531" w:type="dxa"/>
            <w:shd w:val="clear" w:color="auto" w:fill="auto"/>
            <w:noWrap/>
            <w:vAlign w:val="bottom"/>
            <w:hideMark/>
          </w:tcPr>
          <w:p w14:paraId="34FCF0B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Богучарский</w:t>
            </w:r>
          </w:p>
        </w:tc>
        <w:tc>
          <w:tcPr>
            <w:tcW w:w="2268" w:type="dxa"/>
            <w:shd w:val="clear" w:color="auto" w:fill="auto"/>
            <w:noWrap/>
            <w:vAlign w:val="bottom"/>
            <w:hideMark/>
          </w:tcPr>
          <w:p w14:paraId="66AAD3CC"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444</w:t>
            </w:r>
          </w:p>
        </w:tc>
        <w:tc>
          <w:tcPr>
            <w:tcW w:w="2635" w:type="dxa"/>
            <w:shd w:val="clear" w:color="auto" w:fill="auto"/>
            <w:noWrap/>
            <w:vAlign w:val="bottom"/>
            <w:hideMark/>
          </w:tcPr>
          <w:p w14:paraId="428C31F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82 970 408,84</w:t>
            </w:r>
          </w:p>
        </w:tc>
      </w:tr>
      <w:tr w:rsidR="003C4012" w:rsidRPr="006A2718" w14:paraId="007E273D" w14:textId="77777777" w:rsidTr="003C4012">
        <w:trPr>
          <w:trHeight w:val="300"/>
        </w:trPr>
        <w:tc>
          <w:tcPr>
            <w:tcW w:w="4531" w:type="dxa"/>
            <w:shd w:val="clear" w:color="auto" w:fill="auto"/>
            <w:noWrap/>
            <w:vAlign w:val="bottom"/>
            <w:hideMark/>
          </w:tcPr>
          <w:p w14:paraId="37F9136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Борисоглебский</w:t>
            </w:r>
          </w:p>
        </w:tc>
        <w:tc>
          <w:tcPr>
            <w:tcW w:w="2268" w:type="dxa"/>
            <w:shd w:val="clear" w:color="auto" w:fill="auto"/>
            <w:noWrap/>
            <w:vAlign w:val="bottom"/>
            <w:hideMark/>
          </w:tcPr>
          <w:p w14:paraId="696A264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101</w:t>
            </w:r>
          </w:p>
        </w:tc>
        <w:tc>
          <w:tcPr>
            <w:tcW w:w="2635" w:type="dxa"/>
            <w:shd w:val="clear" w:color="auto" w:fill="auto"/>
            <w:noWrap/>
            <w:vAlign w:val="bottom"/>
            <w:hideMark/>
          </w:tcPr>
          <w:p w14:paraId="284BD6D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12 780 562,05</w:t>
            </w:r>
          </w:p>
        </w:tc>
      </w:tr>
      <w:tr w:rsidR="003C4012" w:rsidRPr="006A2718" w14:paraId="78A2AF54" w14:textId="77777777" w:rsidTr="003C4012">
        <w:trPr>
          <w:trHeight w:val="300"/>
        </w:trPr>
        <w:tc>
          <w:tcPr>
            <w:tcW w:w="4531" w:type="dxa"/>
            <w:shd w:val="clear" w:color="auto" w:fill="auto"/>
            <w:noWrap/>
            <w:vAlign w:val="bottom"/>
            <w:hideMark/>
          </w:tcPr>
          <w:p w14:paraId="02B411E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Бутурлиновский</w:t>
            </w:r>
          </w:p>
        </w:tc>
        <w:tc>
          <w:tcPr>
            <w:tcW w:w="2268" w:type="dxa"/>
            <w:shd w:val="clear" w:color="auto" w:fill="auto"/>
            <w:noWrap/>
            <w:vAlign w:val="bottom"/>
            <w:hideMark/>
          </w:tcPr>
          <w:p w14:paraId="51205E81"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191</w:t>
            </w:r>
          </w:p>
        </w:tc>
        <w:tc>
          <w:tcPr>
            <w:tcW w:w="2635" w:type="dxa"/>
            <w:shd w:val="clear" w:color="auto" w:fill="auto"/>
            <w:noWrap/>
            <w:vAlign w:val="bottom"/>
            <w:hideMark/>
          </w:tcPr>
          <w:p w14:paraId="61D6630C"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17 367 876,27</w:t>
            </w:r>
          </w:p>
        </w:tc>
      </w:tr>
      <w:tr w:rsidR="003C4012" w:rsidRPr="006A2718" w14:paraId="5641C1A1" w14:textId="77777777" w:rsidTr="003C4012">
        <w:trPr>
          <w:trHeight w:val="300"/>
        </w:trPr>
        <w:tc>
          <w:tcPr>
            <w:tcW w:w="4531" w:type="dxa"/>
            <w:shd w:val="clear" w:color="auto" w:fill="auto"/>
            <w:noWrap/>
            <w:vAlign w:val="bottom"/>
            <w:hideMark/>
          </w:tcPr>
          <w:p w14:paraId="142D1FE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Верхнемамонский</w:t>
            </w:r>
          </w:p>
        </w:tc>
        <w:tc>
          <w:tcPr>
            <w:tcW w:w="2268" w:type="dxa"/>
            <w:shd w:val="clear" w:color="auto" w:fill="auto"/>
            <w:noWrap/>
            <w:vAlign w:val="bottom"/>
            <w:hideMark/>
          </w:tcPr>
          <w:p w14:paraId="222DBA76"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411</w:t>
            </w:r>
          </w:p>
        </w:tc>
        <w:tc>
          <w:tcPr>
            <w:tcW w:w="2635" w:type="dxa"/>
            <w:shd w:val="clear" w:color="auto" w:fill="auto"/>
            <w:noWrap/>
            <w:vAlign w:val="bottom"/>
            <w:hideMark/>
          </w:tcPr>
          <w:p w14:paraId="4F56F6A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13 605 433,42</w:t>
            </w:r>
          </w:p>
        </w:tc>
      </w:tr>
      <w:tr w:rsidR="003C4012" w:rsidRPr="006A2718" w14:paraId="5C7EE492" w14:textId="77777777" w:rsidTr="003C4012">
        <w:trPr>
          <w:trHeight w:val="300"/>
        </w:trPr>
        <w:tc>
          <w:tcPr>
            <w:tcW w:w="4531" w:type="dxa"/>
            <w:shd w:val="clear" w:color="auto" w:fill="auto"/>
            <w:noWrap/>
            <w:vAlign w:val="bottom"/>
            <w:hideMark/>
          </w:tcPr>
          <w:p w14:paraId="33AE3094"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Верхнехавский</w:t>
            </w:r>
          </w:p>
        </w:tc>
        <w:tc>
          <w:tcPr>
            <w:tcW w:w="2268" w:type="dxa"/>
            <w:shd w:val="clear" w:color="auto" w:fill="auto"/>
            <w:noWrap/>
            <w:vAlign w:val="bottom"/>
            <w:hideMark/>
          </w:tcPr>
          <w:p w14:paraId="3C8A779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267</w:t>
            </w:r>
          </w:p>
        </w:tc>
        <w:tc>
          <w:tcPr>
            <w:tcW w:w="2635" w:type="dxa"/>
            <w:shd w:val="clear" w:color="auto" w:fill="auto"/>
            <w:noWrap/>
            <w:vAlign w:val="bottom"/>
            <w:hideMark/>
          </w:tcPr>
          <w:p w14:paraId="271B46F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13 595 784,50</w:t>
            </w:r>
          </w:p>
        </w:tc>
      </w:tr>
      <w:tr w:rsidR="003C4012" w:rsidRPr="006A2718" w14:paraId="3E0DA662" w14:textId="77777777" w:rsidTr="003C4012">
        <w:trPr>
          <w:trHeight w:val="300"/>
        </w:trPr>
        <w:tc>
          <w:tcPr>
            <w:tcW w:w="4531" w:type="dxa"/>
            <w:shd w:val="clear" w:color="auto" w:fill="auto"/>
            <w:noWrap/>
            <w:vAlign w:val="bottom"/>
            <w:hideMark/>
          </w:tcPr>
          <w:p w14:paraId="0B13A9A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Воробьевский</w:t>
            </w:r>
          </w:p>
        </w:tc>
        <w:tc>
          <w:tcPr>
            <w:tcW w:w="2268" w:type="dxa"/>
            <w:shd w:val="clear" w:color="auto" w:fill="auto"/>
            <w:noWrap/>
            <w:vAlign w:val="bottom"/>
            <w:hideMark/>
          </w:tcPr>
          <w:p w14:paraId="0C5F513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128</w:t>
            </w:r>
          </w:p>
        </w:tc>
        <w:tc>
          <w:tcPr>
            <w:tcW w:w="2635" w:type="dxa"/>
            <w:shd w:val="clear" w:color="auto" w:fill="auto"/>
            <w:noWrap/>
            <w:vAlign w:val="bottom"/>
            <w:hideMark/>
          </w:tcPr>
          <w:p w14:paraId="3FBC838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6 863 276,47</w:t>
            </w:r>
          </w:p>
        </w:tc>
      </w:tr>
      <w:tr w:rsidR="003C4012" w:rsidRPr="006A2718" w14:paraId="71FE7A68" w14:textId="77777777" w:rsidTr="003C4012">
        <w:trPr>
          <w:trHeight w:val="300"/>
        </w:trPr>
        <w:tc>
          <w:tcPr>
            <w:tcW w:w="4531" w:type="dxa"/>
            <w:shd w:val="clear" w:color="auto" w:fill="auto"/>
            <w:noWrap/>
            <w:vAlign w:val="bottom"/>
            <w:hideMark/>
          </w:tcPr>
          <w:p w14:paraId="2CB4D21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ГО г.</w:t>
            </w:r>
            <w:r>
              <w:rPr>
                <w:rFonts w:ascii="Times New Roman" w:eastAsia="Times New Roman" w:hAnsi="Times New Roman" w:cs="Times New Roman"/>
                <w:bCs/>
                <w:color w:val="000000"/>
                <w:lang w:eastAsia="ru-RU"/>
              </w:rPr>
              <w:t xml:space="preserve"> </w:t>
            </w:r>
            <w:r w:rsidRPr="006A2718">
              <w:rPr>
                <w:rFonts w:ascii="Times New Roman" w:eastAsia="Times New Roman" w:hAnsi="Times New Roman" w:cs="Times New Roman"/>
                <w:bCs/>
                <w:color w:val="000000"/>
                <w:lang w:eastAsia="ru-RU"/>
              </w:rPr>
              <w:t>Воронеж</w:t>
            </w:r>
          </w:p>
        </w:tc>
        <w:tc>
          <w:tcPr>
            <w:tcW w:w="2268" w:type="dxa"/>
            <w:shd w:val="clear" w:color="auto" w:fill="auto"/>
            <w:noWrap/>
            <w:vAlign w:val="bottom"/>
            <w:hideMark/>
          </w:tcPr>
          <w:p w14:paraId="2FEDC4E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23</w:t>
            </w:r>
          </w:p>
        </w:tc>
        <w:tc>
          <w:tcPr>
            <w:tcW w:w="2635" w:type="dxa"/>
            <w:shd w:val="clear" w:color="auto" w:fill="auto"/>
            <w:noWrap/>
            <w:vAlign w:val="bottom"/>
            <w:hideMark/>
          </w:tcPr>
          <w:p w14:paraId="4FA7C35C"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892 040,00</w:t>
            </w:r>
          </w:p>
        </w:tc>
      </w:tr>
      <w:tr w:rsidR="003C4012" w:rsidRPr="006A2718" w14:paraId="5368C322" w14:textId="77777777" w:rsidTr="003C4012">
        <w:trPr>
          <w:trHeight w:val="300"/>
        </w:trPr>
        <w:tc>
          <w:tcPr>
            <w:tcW w:w="4531" w:type="dxa"/>
            <w:shd w:val="clear" w:color="auto" w:fill="auto"/>
            <w:noWrap/>
            <w:vAlign w:val="bottom"/>
            <w:hideMark/>
          </w:tcPr>
          <w:p w14:paraId="4AAAEDC1"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Грибановский</w:t>
            </w:r>
          </w:p>
        </w:tc>
        <w:tc>
          <w:tcPr>
            <w:tcW w:w="2268" w:type="dxa"/>
            <w:shd w:val="clear" w:color="auto" w:fill="auto"/>
            <w:noWrap/>
            <w:vAlign w:val="bottom"/>
            <w:hideMark/>
          </w:tcPr>
          <w:p w14:paraId="1A6FD64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170</w:t>
            </w:r>
          </w:p>
        </w:tc>
        <w:tc>
          <w:tcPr>
            <w:tcW w:w="2635" w:type="dxa"/>
            <w:shd w:val="clear" w:color="auto" w:fill="auto"/>
            <w:noWrap/>
            <w:vAlign w:val="bottom"/>
            <w:hideMark/>
          </w:tcPr>
          <w:p w14:paraId="4F7B975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31 770 110,19</w:t>
            </w:r>
          </w:p>
        </w:tc>
      </w:tr>
      <w:tr w:rsidR="003C4012" w:rsidRPr="006A2718" w14:paraId="2545DC1B" w14:textId="77777777" w:rsidTr="003C4012">
        <w:trPr>
          <w:trHeight w:val="300"/>
        </w:trPr>
        <w:tc>
          <w:tcPr>
            <w:tcW w:w="4531" w:type="dxa"/>
            <w:shd w:val="clear" w:color="auto" w:fill="auto"/>
            <w:noWrap/>
            <w:vAlign w:val="bottom"/>
            <w:hideMark/>
          </w:tcPr>
          <w:p w14:paraId="7512DED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Калачеевский</w:t>
            </w:r>
          </w:p>
        </w:tc>
        <w:tc>
          <w:tcPr>
            <w:tcW w:w="2268" w:type="dxa"/>
            <w:shd w:val="clear" w:color="auto" w:fill="auto"/>
            <w:noWrap/>
            <w:vAlign w:val="bottom"/>
            <w:hideMark/>
          </w:tcPr>
          <w:p w14:paraId="6FFBE91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209</w:t>
            </w:r>
          </w:p>
        </w:tc>
        <w:tc>
          <w:tcPr>
            <w:tcW w:w="2635" w:type="dxa"/>
            <w:shd w:val="clear" w:color="auto" w:fill="auto"/>
            <w:noWrap/>
            <w:vAlign w:val="bottom"/>
            <w:hideMark/>
          </w:tcPr>
          <w:p w14:paraId="2E2A3BD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12 639 589,85</w:t>
            </w:r>
          </w:p>
        </w:tc>
      </w:tr>
      <w:tr w:rsidR="003C4012" w:rsidRPr="006A2718" w14:paraId="3DCA1E7A" w14:textId="77777777" w:rsidTr="003C4012">
        <w:trPr>
          <w:trHeight w:val="300"/>
        </w:trPr>
        <w:tc>
          <w:tcPr>
            <w:tcW w:w="4531" w:type="dxa"/>
            <w:shd w:val="clear" w:color="auto" w:fill="auto"/>
            <w:noWrap/>
            <w:vAlign w:val="bottom"/>
            <w:hideMark/>
          </w:tcPr>
          <w:p w14:paraId="0419B21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Каменский</w:t>
            </w:r>
          </w:p>
        </w:tc>
        <w:tc>
          <w:tcPr>
            <w:tcW w:w="2268" w:type="dxa"/>
            <w:shd w:val="clear" w:color="auto" w:fill="auto"/>
            <w:noWrap/>
            <w:vAlign w:val="bottom"/>
            <w:hideMark/>
          </w:tcPr>
          <w:p w14:paraId="68D2756C"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146</w:t>
            </w:r>
          </w:p>
        </w:tc>
        <w:tc>
          <w:tcPr>
            <w:tcW w:w="2635" w:type="dxa"/>
            <w:shd w:val="clear" w:color="auto" w:fill="auto"/>
            <w:noWrap/>
            <w:vAlign w:val="bottom"/>
            <w:hideMark/>
          </w:tcPr>
          <w:p w14:paraId="6CEF923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9 780 820,91</w:t>
            </w:r>
          </w:p>
        </w:tc>
      </w:tr>
      <w:tr w:rsidR="003C4012" w:rsidRPr="006A2718" w14:paraId="2345899A" w14:textId="77777777" w:rsidTr="003C4012">
        <w:trPr>
          <w:trHeight w:val="300"/>
        </w:trPr>
        <w:tc>
          <w:tcPr>
            <w:tcW w:w="4531" w:type="dxa"/>
            <w:shd w:val="clear" w:color="auto" w:fill="auto"/>
            <w:noWrap/>
            <w:vAlign w:val="bottom"/>
            <w:hideMark/>
          </w:tcPr>
          <w:p w14:paraId="0E0012F4"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Кантемировский</w:t>
            </w:r>
          </w:p>
        </w:tc>
        <w:tc>
          <w:tcPr>
            <w:tcW w:w="2268" w:type="dxa"/>
            <w:shd w:val="clear" w:color="auto" w:fill="auto"/>
            <w:noWrap/>
            <w:vAlign w:val="bottom"/>
            <w:hideMark/>
          </w:tcPr>
          <w:p w14:paraId="33E3CBF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501</w:t>
            </w:r>
          </w:p>
        </w:tc>
        <w:tc>
          <w:tcPr>
            <w:tcW w:w="2635" w:type="dxa"/>
            <w:shd w:val="clear" w:color="auto" w:fill="auto"/>
            <w:noWrap/>
            <w:vAlign w:val="bottom"/>
            <w:hideMark/>
          </w:tcPr>
          <w:p w14:paraId="4513CA5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21 664 225,04</w:t>
            </w:r>
          </w:p>
        </w:tc>
      </w:tr>
      <w:tr w:rsidR="003C4012" w:rsidRPr="006A2718" w14:paraId="60C6C4B2" w14:textId="77777777" w:rsidTr="003C4012">
        <w:trPr>
          <w:trHeight w:val="300"/>
        </w:trPr>
        <w:tc>
          <w:tcPr>
            <w:tcW w:w="4531" w:type="dxa"/>
            <w:shd w:val="clear" w:color="auto" w:fill="auto"/>
            <w:noWrap/>
            <w:vAlign w:val="bottom"/>
            <w:hideMark/>
          </w:tcPr>
          <w:p w14:paraId="3DBC9C4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Каширский</w:t>
            </w:r>
          </w:p>
        </w:tc>
        <w:tc>
          <w:tcPr>
            <w:tcW w:w="2268" w:type="dxa"/>
            <w:shd w:val="clear" w:color="auto" w:fill="auto"/>
            <w:noWrap/>
            <w:vAlign w:val="bottom"/>
            <w:hideMark/>
          </w:tcPr>
          <w:p w14:paraId="07C5417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361</w:t>
            </w:r>
          </w:p>
        </w:tc>
        <w:tc>
          <w:tcPr>
            <w:tcW w:w="2635" w:type="dxa"/>
            <w:shd w:val="clear" w:color="auto" w:fill="auto"/>
            <w:noWrap/>
            <w:vAlign w:val="bottom"/>
            <w:hideMark/>
          </w:tcPr>
          <w:p w14:paraId="356E3A7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20 397 070,12</w:t>
            </w:r>
          </w:p>
        </w:tc>
      </w:tr>
      <w:tr w:rsidR="003C4012" w:rsidRPr="006A2718" w14:paraId="44B839F7" w14:textId="77777777" w:rsidTr="003C4012">
        <w:trPr>
          <w:trHeight w:val="300"/>
        </w:trPr>
        <w:tc>
          <w:tcPr>
            <w:tcW w:w="4531" w:type="dxa"/>
            <w:shd w:val="clear" w:color="auto" w:fill="auto"/>
            <w:noWrap/>
            <w:vAlign w:val="bottom"/>
            <w:hideMark/>
          </w:tcPr>
          <w:p w14:paraId="4474C119"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Лискинский</w:t>
            </w:r>
          </w:p>
        </w:tc>
        <w:tc>
          <w:tcPr>
            <w:tcW w:w="2268" w:type="dxa"/>
            <w:shd w:val="clear" w:color="auto" w:fill="auto"/>
            <w:noWrap/>
            <w:vAlign w:val="bottom"/>
            <w:hideMark/>
          </w:tcPr>
          <w:p w14:paraId="4E20AD2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382</w:t>
            </w:r>
          </w:p>
        </w:tc>
        <w:tc>
          <w:tcPr>
            <w:tcW w:w="2635" w:type="dxa"/>
            <w:shd w:val="clear" w:color="auto" w:fill="auto"/>
            <w:noWrap/>
            <w:vAlign w:val="bottom"/>
            <w:hideMark/>
          </w:tcPr>
          <w:p w14:paraId="569F9F89"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43 465 351,42</w:t>
            </w:r>
          </w:p>
        </w:tc>
      </w:tr>
      <w:tr w:rsidR="003C4012" w:rsidRPr="006A2718" w14:paraId="33F4BA39" w14:textId="77777777" w:rsidTr="003C4012">
        <w:trPr>
          <w:trHeight w:val="300"/>
        </w:trPr>
        <w:tc>
          <w:tcPr>
            <w:tcW w:w="4531" w:type="dxa"/>
            <w:shd w:val="clear" w:color="auto" w:fill="auto"/>
            <w:noWrap/>
            <w:vAlign w:val="bottom"/>
            <w:hideMark/>
          </w:tcPr>
          <w:p w14:paraId="6A94817C"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Нижнедевицкий</w:t>
            </w:r>
          </w:p>
        </w:tc>
        <w:tc>
          <w:tcPr>
            <w:tcW w:w="2268" w:type="dxa"/>
            <w:shd w:val="clear" w:color="auto" w:fill="auto"/>
            <w:noWrap/>
            <w:vAlign w:val="bottom"/>
            <w:hideMark/>
          </w:tcPr>
          <w:p w14:paraId="5E385A3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209</w:t>
            </w:r>
          </w:p>
        </w:tc>
        <w:tc>
          <w:tcPr>
            <w:tcW w:w="2635" w:type="dxa"/>
            <w:shd w:val="clear" w:color="auto" w:fill="auto"/>
            <w:noWrap/>
            <w:vAlign w:val="bottom"/>
            <w:hideMark/>
          </w:tcPr>
          <w:p w14:paraId="32E91C7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9 994 488,70</w:t>
            </w:r>
          </w:p>
        </w:tc>
      </w:tr>
      <w:tr w:rsidR="003C4012" w:rsidRPr="006A2718" w14:paraId="42653EEA" w14:textId="77777777" w:rsidTr="003C4012">
        <w:trPr>
          <w:trHeight w:val="300"/>
        </w:trPr>
        <w:tc>
          <w:tcPr>
            <w:tcW w:w="4531" w:type="dxa"/>
            <w:shd w:val="clear" w:color="auto" w:fill="auto"/>
            <w:noWrap/>
            <w:vAlign w:val="bottom"/>
            <w:hideMark/>
          </w:tcPr>
          <w:p w14:paraId="4E98E5C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Новоусманский</w:t>
            </w:r>
          </w:p>
        </w:tc>
        <w:tc>
          <w:tcPr>
            <w:tcW w:w="2268" w:type="dxa"/>
            <w:shd w:val="clear" w:color="auto" w:fill="auto"/>
            <w:noWrap/>
            <w:vAlign w:val="bottom"/>
            <w:hideMark/>
          </w:tcPr>
          <w:p w14:paraId="5AB3478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864</w:t>
            </w:r>
          </w:p>
        </w:tc>
        <w:tc>
          <w:tcPr>
            <w:tcW w:w="2635" w:type="dxa"/>
            <w:shd w:val="clear" w:color="auto" w:fill="auto"/>
            <w:noWrap/>
            <w:vAlign w:val="bottom"/>
            <w:hideMark/>
          </w:tcPr>
          <w:p w14:paraId="2ACAD54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27 854 520,73</w:t>
            </w:r>
          </w:p>
        </w:tc>
      </w:tr>
      <w:tr w:rsidR="003C4012" w:rsidRPr="006A2718" w14:paraId="04DA4C1E" w14:textId="77777777" w:rsidTr="003C4012">
        <w:trPr>
          <w:trHeight w:val="300"/>
        </w:trPr>
        <w:tc>
          <w:tcPr>
            <w:tcW w:w="4531" w:type="dxa"/>
            <w:shd w:val="clear" w:color="auto" w:fill="auto"/>
            <w:noWrap/>
            <w:vAlign w:val="bottom"/>
            <w:hideMark/>
          </w:tcPr>
          <w:p w14:paraId="412B785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Новохоперский</w:t>
            </w:r>
          </w:p>
        </w:tc>
        <w:tc>
          <w:tcPr>
            <w:tcW w:w="2268" w:type="dxa"/>
            <w:shd w:val="clear" w:color="auto" w:fill="auto"/>
            <w:noWrap/>
            <w:vAlign w:val="bottom"/>
            <w:hideMark/>
          </w:tcPr>
          <w:p w14:paraId="3BB4799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223</w:t>
            </w:r>
          </w:p>
        </w:tc>
        <w:tc>
          <w:tcPr>
            <w:tcW w:w="2635" w:type="dxa"/>
            <w:shd w:val="clear" w:color="auto" w:fill="auto"/>
            <w:noWrap/>
            <w:vAlign w:val="bottom"/>
            <w:hideMark/>
          </w:tcPr>
          <w:p w14:paraId="15A8B95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31 223 138,99</w:t>
            </w:r>
          </w:p>
        </w:tc>
      </w:tr>
      <w:tr w:rsidR="003C4012" w:rsidRPr="006A2718" w14:paraId="19F2F285" w14:textId="77777777" w:rsidTr="003C4012">
        <w:trPr>
          <w:trHeight w:val="300"/>
        </w:trPr>
        <w:tc>
          <w:tcPr>
            <w:tcW w:w="4531" w:type="dxa"/>
            <w:shd w:val="clear" w:color="auto" w:fill="auto"/>
            <w:noWrap/>
            <w:vAlign w:val="bottom"/>
            <w:hideMark/>
          </w:tcPr>
          <w:p w14:paraId="45A6DFC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Ольховатский</w:t>
            </w:r>
          </w:p>
        </w:tc>
        <w:tc>
          <w:tcPr>
            <w:tcW w:w="2268" w:type="dxa"/>
            <w:shd w:val="clear" w:color="auto" w:fill="auto"/>
            <w:noWrap/>
            <w:vAlign w:val="bottom"/>
            <w:hideMark/>
          </w:tcPr>
          <w:p w14:paraId="2DE2EC8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90</w:t>
            </w:r>
          </w:p>
        </w:tc>
        <w:tc>
          <w:tcPr>
            <w:tcW w:w="2635" w:type="dxa"/>
            <w:shd w:val="clear" w:color="auto" w:fill="auto"/>
            <w:noWrap/>
            <w:vAlign w:val="bottom"/>
            <w:hideMark/>
          </w:tcPr>
          <w:p w14:paraId="75996CE1"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10 018 661,00</w:t>
            </w:r>
          </w:p>
        </w:tc>
      </w:tr>
      <w:tr w:rsidR="003C4012" w:rsidRPr="006A2718" w14:paraId="20837171" w14:textId="77777777" w:rsidTr="003C4012">
        <w:trPr>
          <w:trHeight w:val="300"/>
        </w:trPr>
        <w:tc>
          <w:tcPr>
            <w:tcW w:w="4531" w:type="dxa"/>
            <w:shd w:val="clear" w:color="auto" w:fill="auto"/>
            <w:noWrap/>
            <w:vAlign w:val="bottom"/>
            <w:hideMark/>
          </w:tcPr>
          <w:p w14:paraId="184E98A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Острогожский</w:t>
            </w:r>
          </w:p>
        </w:tc>
        <w:tc>
          <w:tcPr>
            <w:tcW w:w="2268" w:type="dxa"/>
            <w:shd w:val="clear" w:color="auto" w:fill="auto"/>
            <w:noWrap/>
            <w:vAlign w:val="bottom"/>
            <w:hideMark/>
          </w:tcPr>
          <w:p w14:paraId="1A44262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322</w:t>
            </w:r>
          </w:p>
        </w:tc>
        <w:tc>
          <w:tcPr>
            <w:tcW w:w="2635" w:type="dxa"/>
            <w:shd w:val="clear" w:color="auto" w:fill="auto"/>
            <w:noWrap/>
            <w:vAlign w:val="bottom"/>
            <w:hideMark/>
          </w:tcPr>
          <w:p w14:paraId="43795374"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30 239 448,44</w:t>
            </w:r>
          </w:p>
        </w:tc>
      </w:tr>
      <w:tr w:rsidR="003C4012" w:rsidRPr="006A2718" w14:paraId="6C933892" w14:textId="77777777" w:rsidTr="003C4012">
        <w:trPr>
          <w:trHeight w:val="300"/>
        </w:trPr>
        <w:tc>
          <w:tcPr>
            <w:tcW w:w="4531" w:type="dxa"/>
            <w:shd w:val="clear" w:color="auto" w:fill="auto"/>
            <w:noWrap/>
            <w:vAlign w:val="bottom"/>
            <w:hideMark/>
          </w:tcPr>
          <w:p w14:paraId="6DA3CFE5"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Павловский</w:t>
            </w:r>
          </w:p>
        </w:tc>
        <w:tc>
          <w:tcPr>
            <w:tcW w:w="2268" w:type="dxa"/>
            <w:shd w:val="clear" w:color="auto" w:fill="auto"/>
            <w:noWrap/>
            <w:vAlign w:val="bottom"/>
            <w:hideMark/>
          </w:tcPr>
          <w:p w14:paraId="406B67D9"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906</w:t>
            </w:r>
          </w:p>
        </w:tc>
        <w:tc>
          <w:tcPr>
            <w:tcW w:w="2635" w:type="dxa"/>
            <w:shd w:val="clear" w:color="auto" w:fill="auto"/>
            <w:noWrap/>
            <w:vAlign w:val="bottom"/>
            <w:hideMark/>
          </w:tcPr>
          <w:p w14:paraId="737BB9C9"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54 905 966,70</w:t>
            </w:r>
          </w:p>
        </w:tc>
      </w:tr>
      <w:tr w:rsidR="003C4012" w:rsidRPr="006A2718" w14:paraId="6E279B5E" w14:textId="77777777" w:rsidTr="003C4012">
        <w:trPr>
          <w:trHeight w:val="300"/>
        </w:trPr>
        <w:tc>
          <w:tcPr>
            <w:tcW w:w="4531" w:type="dxa"/>
            <w:shd w:val="clear" w:color="auto" w:fill="auto"/>
            <w:noWrap/>
            <w:vAlign w:val="bottom"/>
            <w:hideMark/>
          </w:tcPr>
          <w:p w14:paraId="66EE303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Панинский</w:t>
            </w:r>
          </w:p>
        </w:tc>
        <w:tc>
          <w:tcPr>
            <w:tcW w:w="2268" w:type="dxa"/>
            <w:shd w:val="clear" w:color="auto" w:fill="auto"/>
            <w:noWrap/>
            <w:vAlign w:val="bottom"/>
            <w:hideMark/>
          </w:tcPr>
          <w:p w14:paraId="5ABDE0C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158</w:t>
            </w:r>
          </w:p>
        </w:tc>
        <w:tc>
          <w:tcPr>
            <w:tcW w:w="2635" w:type="dxa"/>
            <w:shd w:val="clear" w:color="auto" w:fill="auto"/>
            <w:noWrap/>
            <w:vAlign w:val="bottom"/>
            <w:hideMark/>
          </w:tcPr>
          <w:p w14:paraId="4165818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12 362 119,10</w:t>
            </w:r>
          </w:p>
        </w:tc>
      </w:tr>
      <w:tr w:rsidR="003C4012" w:rsidRPr="006A2718" w14:paraId="27E0BE57" w14:textId="77777777" w:rsidTr="003C4012">
        <w:trPr>
          <w:trHeight w:val="300"/>
        </w:trPr>
        <w:tc>
          <w:tcPr>
            <w:tcW w:w="4531" w:type="dxa"/>
            <w:shd w:val="clear" w:color="auto" w:fill="auto"/>
            <w:noWrap/>
            <w:vAlign w:val="bottom"/>
            <w:hideMark/>
          </w:tcPr>
          <w:p w14:paraId="0080583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Петропавловский</w:t>
            </w:r>
          </w:p>
        </w:tc>
        <w:tc>
          <w:tcPr>
            <w:tcW w:w="2268" w:type="dxa"/>
            <w:shd w:val="clear" w:color="auto" w:fill="auto"/>
            <w:noWrap/>
            <w:vAlign w:val="bottom"/>
            <w:hideMark/>
          </w:tcPr>
          <w:p w14:paraId="56C5F60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102</w:t>
            </w:r>
          </w:p>
        </w:tc>
        <w:tc>
          <w:tcPr>
            <w:tcW w:w="2635" w:type="dxa"/>
            <w:shd w:val="clear" w:color="auto" w:fill="auto"/>
            <w:noWrap/>
            <w:vAlign w:val="bottom"/>
            <w:hideMark/>
          </w:tcPr>
          <w:p w14:paraId="037B2FA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3 307 904,46</w:t>
            </w:r>
          </w:p>
        </w:tc>
      </w:tr>
      <w:tr w:rsidR="003C4012" w:rsidRPr="006A2718" w14:paraId="4128C5B4" w14:textId="77777777" w:rsidTr="003C4012">
        <w:trPr>
          <w:trHeight w:val="300"/>
        </w:trPr>
        <w:tc>
          <w:tcPr>
            <w:tcW w:w="4531" w:type="dxa"/>
            <w:shd w:val="clear" w:color="auto" w:fill="auto"/>
            <w:noWrap/>
            <w:vAlign w:val="bottom"/>
            <w:hideMark/>
          </w:tcPr>
          <w:p w14:paraId="73F2D5C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Поворинский</w:t>
            </w:r>
          </w:p>
        </w:tc>
        <w:tc>
          <w:tcPr>
            <w:tcW w:w="2268" w:type="dxa"/>
            <w:shd w:val="clear" w:color="auto" w:fill="auto"/>
            <w:noWrap/>
            <w:vAlign w:val="bottom"/>
            <w:hideMark/>
          </w:tcPr>
          <w:p w14:paraId="46016DF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672</w:t>
            </w:r>
          </w:p>
        </w:tc>
        <w:tc>
          <w:tcPr>
            <w:tcW w:w="2635" w:type="dxa"/>
            <w:shd w:val="clear" w:color="auto" w:fill="auto"/>
            <w:noWrap/>
            <w:vAlign w:val="bottom"/>
            <w:hideMark/>
          </w:tcPr>
          <w:p w14:paraId="3FE4A20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16 109 077,84</w:t>
            </w:r>
          </w:p>
        </w:tc>
      </w:tr>
      <w:tr w:rsidR="003C4012" w:rsidRPr="006A2718" w14:paraId="7BDC87E7" w14:textId="77777777" w:rsidTr="003C4012">
        <w:trPr>
          <w:trHeight w:val="300"/>
        </w:trPr>
        <w:tc>
          <w:tcPr>
            <w:tcW w:w="4531" w:type="dxa"/>
            <w:shd w:val="clear" w:color="auto" w:fill="auto"/>
            <w:noWrap/>
            <w:vAlign w:val="bottom"/>
            <w:hideMark/>
          </w:tcPr>
          <w:p w14:paraId="5435581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Подгоренский</w:t>
            </w:r>
          </w:p>
        </w:tc>
        <w:tc>
          <w:tcPr>
            <w:tcW w:w="2268" w:type="dxa"/>
            <w:shd w:val="clear" w:color="auto" w:fill="auto"/>
            <w:noWrap/>
            <w:vAlign w:val="bottom"/>
            <w:hideMark/>
          </w:tcPr>
          <w:p w14:paraId="1D81520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212</w:t>
            </w:r>
          </w:p>
        </w:tc>
        <w:tc>
          <w:tcPr>
            <w:tcW w:w="2635" w:type="dxa"/>
            <w:shd w:val="clear" w:color="auto" w:fill="auto"/>
            <w:noWrap/>
            <w:vAlign w:val="bottom"/>
            <w:hideMark/>
          </w:tcPr>
          <w:p w14:paraId="0535CBE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15 902 617,46</w:t>
            </w:r>
          </w:p>
        </w:tc>
      </w:tr>
      <w:tr w:rsidR="003C4012" w:rsidRPr="006A2718" w14:paraId="3B1A9798" w14:textId="77777777" w:rsidTr="003C4012">
        <w:trPr>
          <w:trHeight w:val="300"/>
        </w:trPr>
        <w:tc>
          <w:tcPr>
            <w:tcW w:w="4531" w:type="dxa"/>
            <w:shd w:val="clear" w:color="auto" w:fill="auto"/>
            <w:noWrap/>
            <w:vAlign w:val="bottom"/>
            <w:hideMark/>
          </w:tcPr>
          <w:p w14:paraId="56569616"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Рамонский</w:t>
            </w:r>
          </w:p>
        </w:tc>
        <w:tc>
          <w:tcPr>
            <w:tcW w:w="2268" w:type="dxa"/>
            <w:shd w:val="clear" w:color="auto" w:fill="auto"/>
            <w:noWrap/>
            <w:vAlign w:val="bottom"/>
            <w:hideMark/>
          </w:tcPr>
          <w:p w14:paraId="52C8BCD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939</w:t>
            </w:r>
          </w:p>
        </w:tc>
        <w:tc>
          <w:tcPr>
            <w:tcW w:w="2635" w:type="dxa"/>
            <w:shd w:val="clear" w:color="auto" w:fill="auto"/>
            <w:noWrap/>
            <w:vAlign w:val="bottom"/>
            <w:hideMark/>
          </w:tcPr>
          <w:p w14:paraId="7A0208D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34 954 778,05</w:t>
            </w:r>
          </w:p>
        </w:tc>
      </w:tr>
      <w:tr w:rsidR="003C4012" w:rsidRPr="006A2718" w14:paraId="38901BEA" w14:textId="77777777" w:rsidTr="003C4012">
        <w:trPr>
          <w:trHeight w:val="300"/>
        </w:trPr>
        <w:tc>
          <w:tcPr>
            <w:tcW w:w="4531" w:type="dxa"/>
            <w:shd w:val="clear" w:color="auto" w:fill="auto"/>
            <w:noWrap/>
            <w:vAlign w:val="bottom"/>
            <w:hideMark/>
          </w:tcPr>
          <w:p w14:paraId="06367A9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Репьевский</w:t>
            </w:r>
          </w:p>
        </w:tc>
        <w:tc>
          <w:tcPr>
            <w:tcW w:w="2268" w:type="dxa"/>
            <w:shd w:val="clear" w:color="auto" w:fill="auto"/>
            <w:noWrap/>
            <w:vAlign w:val="bottom"/>
            <w:hideMark/>
          </w:tcPr>
          <w:p w14:paraId="73089FB4"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78</w:t>
            </w:r>
          </w:p>
        </w:tc>
        <w:tc>
          <w:tcPr>
            <w:tcW w:w="2635" w:type="dxa"/>
            <w:shd w:val="clear" w:color="auto" w:fill="auto"/>
            <w:noWrap/>
            <w:vAlign w:val="bottom"/>
            <w:hideMark/>
          </w:tcPr>
          <w:p w14:paraId="2CE3C1D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2 854 572,13</w:t>
            </w:r>
          </w:p>
        </w:tc>
      </w:tr>
      <w:tr w:rsidR="003C4012" w:rsidRPr="006A2718" w14:paraId="4498508B" w14:textId="77777777" w:rsidTr="003C4012">
        <w:trPr>
          <w:trHeight w:val="300"/>
        </w:trPr>
        <w:tc>
          <w:tcPr>
            <w:tcW w:w="4531" w:type="dxa"/>
            <w:shd w:val="clear" w:color="auto" w:fill="auto"/>
            <w:noWrap/>
            <w:vAlign w:val="bottom"/>
            <w:hideMark/>
          </w:tcPr>
          <w:p w14:paraId="0B8BAC7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Россошанский</w:t>
            </w:r>
          </w:p>
        </w:tc>
        <w:tc>
          <w:tcPr>
            <w:tcW w:w="2268" w:type="dxa"/>
            <w:shd w:val="clear" w:color="auto" w:fill="auto"/>
            <w:noWrap/>
            <w:vAlign w:val="bottom"/>
            <w:hideMark/>
          </w:tcPr>
          <w:p w14:paraId="086302A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253</w:t>
            </w:r>
          </w:p>
        </w:tc>
        <w:tc>
          <w:tcPr>
            <w:tcW w:w="2635" w:type="dxa"/>
            <w:shd w:val="clear" w:color="auto" w:fill="auto"/>
            <w:noWrap/>
            <w:vAlign w:val="bottom"/>
            <w:hideMark/>
          </w:tcPr>
          <w:p w14:paraId="5969A2D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17 524 850,27</w:t>
            </w:r>
          </w:p>
        </w:tc>
      </w:tr>
      <w:tr w:rsidR="003C4012" w:rsidRPr="006A2718" w14:paraId="1C4A7A20" w14:textId="77777777" w:rsidTr="003C4012">
        <w:trPr>
          <w:trHeight w:val="300"/>
        </w:trPr>
        <w:tc>
          <w:tcPr>
            <w:tcW w:w="4531" w:type="dxa"/>
            <w:shd w:val="clear" w:color="auto" w:fill="auto"/>
            <w:noWrap/>
            <w:vAlign w:val="bottom"/>
            <w:hideMark/>
          </w:tcPr>
          <w:p w14:paraId="2256C0C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Семилукский</w:t>
            </w:r>
          </w:p>
        </w:tc>
        <w:tc>
          <w:tcPr>
            <w:tcW w:w="2268" w:type="dxa"/>
            <w:shd w:val="clear" w:color="auto" w:fill="auto"/>
            <w:noWrap/>
            <w:vAlign w:val="bottom"/>
            <w:hideMark/>
          </w:tcPr>
          <w:p w14:paraId="752F96A5"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326</w:t>
            </w:r>
          </w:p>
        </w:tc>
        <w:tc>
          <w:tcPr>
            <w:tcW w:w="2635" w:type="dxa"/>
            <w:shd w:val="clear" w:color="auto" w:fill="auto"/>
            <w:noWrap/>
            <w:vAlign w:val="bottom"/>
            <w:hideMark/>
          </w:tcPr>
          <w:p w14:paraId="3DB322C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17 777 074,88</w:t>
            </w:r>
          </w:p>
        </w:tc>
      </w:tr>
      <w:tr w:rsidR="003C4012" w:rsidRPr="006A2718" w14:paraId="1B142D89" w14:textId="77777777" w:rsidTr="003C4012">
        <w:trPr>
          <w:trHeight w:val="300"/>
        </w:trPr>
        <w:tc>
          <w:tcPr>
            <w:tcW w:w="4531" w:type="dxa"/>
            <w:shd w:val="clear" w:color="auto" w:fill="auto"/>
            <w:noWrap/>
            <w:vAlign w:val="bottom"/>
            <w:hideMark/>
          </w:tcPr>
          <w:p w14:paraId="703BCFD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Таловский</w:t>
            </w:r>
          </w:p>
        </w:tc>
        <w:tc>
          <w:tcPr>
            <w:tcW w:w="2268" w:type="dxa"/>
            <w:shd w:val="clear" w:color="auto" w:fill="auto"/>
            <w:noWrap/>
            <w:vAlign w:val="bottom"/>
            <w:hideMark/>
          </w:tcPr>
          <w:p w14:paraId="41A0C651"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238</w:t>
            </w:r>
          </w:p>
        </w:tc>
        <w:tc>
          <w:tcPr>
            <w:tcW w:w="2635" w:type="dxa"/>
            <w:shd w:val="clear" w:color="auto" w:fill="auto"/>
            <w:noWrap/>
            <w:vAlign w:val="bottom"/>
            <w:hideMark/>
          </w:tcPr>
          <w:p w14:paraId="4FE4E439"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23 721 688,52</w:t>
            </w:r>
          </w:p>
        </w:tc>
      </w:tr>
      <w:tr w:rsidR="003C4012" w:rsidRPr="006A2718" w14:paraId="07C0E17F" w14:textId="77777777" w:rsidTr="003C4012">
        <w:trPr>
          <w:trHeight w:val="300"/>
        </w:trPr>
        <w:tc>
          <w:tcPr>
            <w:tcW w:w="4531" w:type="dxa"/>
            <w:shd w:val="clear" w:color="auto" w:fill="auto"/>
            <w:noWrap/>
            <w:vAlign w:val="bottom"/>
            <w:hideMark/>
          </w:tcPr>
          <w:p w14:paraId="7023978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Терновский</w:t>
            </w:r>
          </w:p>
        </w:tc>
        <w:tc>
          <w:tcPr>
            <w:tcW w:w="2268" w:type="dxa"/>
            <w:shd w:val="clear" w:color="auto" w:fill="auto"/>
            <w:noWrap/>
            <w:vAlign w:val="bottom"/>
            <w:hideMark/>
          </w:tcPr>
          <w:p w14:paraId="207980D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141</w:t>
            </w:r>
          </w:p>
        </w:tc>
        <w:tc>
          <w:tcPr>
            <w:tcW w:w="2635" w:type="dxa"/>
            <w:shd w:val="clear" w:color="auto" w:fill="auto"/>
            <w:noWrap/>
            <w:vAlign w:val="bottom"/>
            <w:hideMark/>
          </w:tcPr>
          <w:p w14:paraId="7051A8A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13 290 235,41</w:t>
            </w:r>
          </w:p>
        </w:tc>
      </w:tr>
      <w:tr w:rsidR="003C4012" w:rsidRPr="006A2718" w14:paraId="3C31A669" w14:textId="77777777" w:rsidTr="003C4012">
        <w:trPr>
          <w:trHeight w:val="300"/>
        </w:trPr>
        <w:tc>
          <w:tcPr>
            <w:tcW w:w="4531" w:type="dxa"/>
            <w:shd w:val="clear" w:color="auto" w:fill="auto"/>
            <w:noWrap/>
            <w:vAlign w:val="bottom"/>
            <w:hideMark/>
          </w:tcPr>
          <w:p w14:paraId="0D97874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Хохольский</w:t>
            </w:r>
          </w:p>
        </w:tc>
        <w:tc>
          <w:tcPr>
            <w:tcW w:w="2268" w:type="dxa"/>
            <w:shd w:val="clear" w:color="auto" w:fill="auto"/>
            <w:noWrap/>
            <w:vAlign w:val="bottom"/>
            <w:hideMark/>
          </w:tcPr>
          <w:p w14:paraId="092E575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266</w:t>
            </w:r>
          </w:p>
        </w:tc>
        <w:tc>
          <w:tcPr>
            <w:tcW w:w="2635" w:type="dxa"/>
            <w:shd w:val="clear" w:color="auto" w:fill="auto"/>
            <w:noWrap/>
            <w:vAlign w:val="bottom"/>
            <w:hideMark/>
          </w:tcPr>
          <w:p w14:paraId="51DA3BB6"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27 386 283,82</w:t>
            </w:r>
          </w:p>
        </w:tc>
      </w:tr>
      <w:tr w:rsidR="003C4012" w:rsidRPr="006A2718" w14:paraId="2115EA4A" w14:textId="77777777" w:rsidTr="003C4012">
        <w:trPr>
          <w:trHeight w:val="300"/>
        </w:trPr>
        <w:tc>
          <w:tcPr>
            <w:tcW w:w="4531" w:type="dxa"/>
            <w:shd w:val="clear" w:color="auto" w:fill="auto"/>
            <w:noWrap/>
            <w:vAlign w:val="bottom"/>
          </w:tcPr>
          <w:p w14:paraId="57C9D63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Эртильский</w:t>
            </w:r>
          </w:p>
        </w:tc>
        <w:tc>
          <w:tcPr>
            <w:tcW w:w="2268" w:type="dxa"/>
            <w:shd w:val="clear" w:color="auto" w:fill="auto"/>
            <w:noWrap/>
            <w:vAlign w:val="bottom"/>
          </w:tcPr>
          <w:p w14:paraId="752B240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124</w:t>
            </w:r>
          </w:p>
        </w:tc>
        <w:tc>
          <w:tcPr>
            <w:tcW w:w="2635" w:type="dxa"/>
            <w:shd w:val="clear" w:color="auto" w:fill="auto"/>
            <w:noWrap/>
            <w:vAlign w:val="bottom"/>
          </w:tcPr>
          <w:p w14:paraId="13117DD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6A2718">
              <w:rPr>
                <w:rFonts w:ascii="Times New Roman" w:eastAsia="Times New Roman" w:hAnsi="Times New Roman" w:cs="Times New Roman"/>
                <w:bCs/>
                <w:color w:val="000000"/>
                <w:lang w:eastAsia="ru-RU"/>
              </w:rPr>
              <w:t>6 514 656,11</w:t>
            </w:r>
          </w:p>
        </w:tc>
      </w:tr>
      <w:tr w:rsidR="003C4012" w:rsidRPr="006A2718" w14:paraId="48373298" w14:textId="77777777" w:rsidTr="003C4012">
        <w:trPr>
          <w:trHeight w:val="300"/>
        </w:trPr>
        <w:tc>
          <w:tcPr>
            <w:tcW w:w="4531" w:type="dxa"/>
            <w:shd w:val="clear" w:color="auto" w:fill="auto"/>
            <w:noWrap/>
            <w:vAlign w:val="bottom"/>
          </w:tcPr>
          <w:p w14:paraId="60C9E768"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6A2718">
              <w:rPr>
                <w:rFonts w:ascii="Times New Roman" w:eastAsia="Times New Roman" w:hAnsi="Times New Roman" w:cs="Times New Roman"/>
                <w:b/>
                <w:bCs/>
                <w:color w:val="000000"/>
                <w:lang w:eastAsia="ru-RU"/>
              </w:rPr>
              <w:t>Итог</w:t>
            </w:r>
          </w:p>
        </w:tc>
        <w:tc>
          <w:tcPr>
            <w:tcW w:w="2268" w:type="dxa"/>
            <w:shd w:val="clear" w:color="auto" w:fill="auto"/>
            <w:noWrap/>
            <w:vAlign w:val="bottom"/>
          </w:tcPr>
          <w:p w14:paraId="3CBF6868"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6A2718">
              <w:rPr>
                <w:rFonts w:ascii="Times New Roman" w:eastAsia="Times New Roman" w:hAnsi="Times New Roman" w:cs="Times New Roman"/>
                <w:b/>
                <w:bCs/>
                <w:color w:val="000000"/>
                <w:lang w:eastAsia="ru-RU"/>
              </w:rPr>
              <w:t>9975</w:t>
            </w:r>
          </w:p>
        </w:tc>
        <w:tc>
          <w:tcPr>
            <w:tcW w:w="2635" w:type="dxa"/>
            <w:shd w:val="clear" w:color="auto" w:fill="auto"/>
            <w:noWrap/>
            <w:vAlign w:val="bottom"/>
          </w:tcPr>
          <w:p w14:paraId="16153FA4"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6A2718">
              <w:rPr>
                <w:rFonts w:ascii="Times New Roman" w:eastAsia="Times New Roman" w:hAnsi="Times New Roman" w:cs="Times New Roman"/>
                <w:b/>
                <w:bCs/>
                <w:color w:val="000000"/>
                <w:lang w:eastAsia="ru-RU"/>
              </w:rPr>
              <w:t>684 528 974,66</w:t>
            </w:r>
          </w:p>
        </w:tc>
      </w:tr>
    </w:tbl>
    <w:p w14:paraId="45905D8C" w14:textId="77777777" w:rsidR="005908C9" w:rsidRDefault="005908C9" w:rsidP="003C4012">
      <w:pPr>
        <w:spacing w:after="0" w:line="276" w:lineRule="auto"/>
        <w:contextualSpacing/>
        <w:jc w:val="both"/>
        <w:rPr>
          <w:rFonts w:ascii="Times New Roman" w:hAnsi="Times New Roman" w:cs="Times New Roman"/>
          <w:sz w:val="26"/>
          <w:szCs w:val="26"/>
          <w:shd w:val="clear" w:color="auto" w:fill="FFFFFF"/>
        </w:rPr>
      </w:pPr>
    </w:p>
    <w:p w14:paraId="089CDE05" w14:textId="77063E49" w:rsidR="003C4012" w:rsidRDefault="003C4012" w:rsidP="003C4012">
      <w:pPr>
        <w:spacing w:after="0" w:line="276" w:lineRule="auto"/>
        <w:contextualSpacing/>
        <w:jc w:val="both"/>
        <w:rPr>
          <w:rFonts w:ascii="Times New Roman" w:hAnsi="Times New Roman" w:cs="Times New Roman"/>
          <w:sz w:val="26"/>
          <w:szCs w:val="26"/>
          <w:shd w:val="clear" w:color="auto" w:fill="FFFFFF"/>
        </w:rPr>
      </w:pPr>
      <w:r>
        <w:rPr>
          <w:rFonts w:ascii="Times New Roman" w:hAnsi="Times New Roman" w:cs="Times New Roman"/>
          <w:noProof/>
          <w:sz w:val="26"/>
          <w:szCs w:val="26"/>
          <w:shd w:val="clear" w:color="auto" w:fill="FFFFFF"/>
          <w:lang w:eastAsia="ru-RU"/>
        </w:rPr>
        <w:drawing>
          <wp:inline distT="0" distB="0" distL="0" distR="0" wp14:anchorId="09D1043E" wp14:editId="329C7CCA">
            <wp:extent cx="5981700" cy="3429886"/>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00589" cy="3440717"/>
                    </a:xfrm>
                    <a:prstGeom prst="rect">
                      <a:avLst/>
                    </a:prstGeom>
                    <a:noFill/>
                  </pic:spPr>
                </pic:pic>
              </a:graphicData>
            </a:graphic>
          </wp:inline>
        </w:drawing>
      </w:r>
    </w:p>
    <w:p w14:paraId="04FE0F68" w14:textId="77777777" w:rsidR="003C4012" w:rsidRPr="00F562A8" w:rsidRDefault="003C4012" w:rsidP="003C4012">
      <w:pPr>
        <w:spacing w:after="0" w:line="276" w:lineRule="auto"/>
        <w:contextualSpacing/>
        <w:jc w:val="center"/>
        <w:rPr>
          <w:rFonts w:ascii="Times New Roman" w:hAnsi="Times New Roman" w:cs="Times New Roman"/>
          <w:sz w:val="26"/>
          <w:szCs w:val="26"/>
        </w:rPr>
      </w:pPr>
      <w:r w:rsidRPr="006A2718">
        <w:rPr>
          <w:rFonts w:ascii="Times New Roman" w:hAnsi="Times New Roman" w:cs="Times New Roman"/>
          <w:sz w:val="26"/>
          <w:szCs w:val="26"/>
        </w:rPr>
        <w:t>Рис. 3.3.1.8 Количество оцениваемых земельных участков из состава земель промышленности, энергетики, транспорта, земли обороны, безопасности и земли иного специального назначения в разрезе муниципальных районов Воронежской области</w:t>
      </w:r>
    </w:p>
    <w:p w14:paraId="766724B1" w14:textId="77777777" w:rsidR="003C4012" w:rsidRPr="005808F3" w:rsidRDefault="003C4012" w:rsidP="003C4012"/>
    <w:p w14:paraId="53A92E31" w14:textId="77777777" w:rsidR="003C4012" w:rsidRPr="003C4012" w:rsidRDefault="003C4012" w:rsidP="003C4012">
      <w:pPr>
        <w:jc w:val="center"/>
        <w:rPr>
          <w:rFonts w:ascii="Times New Roman" w:hAnsi="Times New Roman" w:cs="Times New Roman"/>
          <w:i/>
          <w:sz w:val="26"/>
          <w:szCs w:val="26"/>
          <w:shd w:val="clear" w:color="auto" w:fill="FFFFFF"/>
        </w:rPr>
      </w:pPr>
      <w:r w:rsidRPr="003C4012">
        <w:rPr>
          <w:rFonts w:ascii="Times New Roman" w:hAnsi="Times New Roman" w:cs="Times New Roman"/>
          <w:i/>
          <w:sz w:val="26"/>
          <w:szCs w:val="26"/>
          <w:shd w:val="clear" w:color="auto" w:fill="FFFFFF"/>
        </w:rPr>
        <w:t>Описание земель сельскохозяйственного назначения Воронежской области</w:t>
      </w:r>
    </w:p>
    <w:p w14:paraId="1C5DF74D" w14:textId="77777777" w:rsidR="003C4012" w:rsidRPr="00CB6A66" w:rsidRDefault="003C4012" w:rsidP="003C4012">
      <w:pPr>
        <w:spacing w:after="0" w:line="276" w:lineRule="auto"/>
        <w:ind w:firstLine="709"/>
        <w:jc w:val="both"/>
        <w:rPr>
          <w:rFonts w:ascii="Times New Roman" w:hAnsi="Times New Roman" w:cs="Times New Roman"/>
          <w:sz w:val="26"/>
          <w:szCs w:val="26"/>
        </w:rPr>
      </w:pPr>
      <w:r w:rsidRPr="00CB6A66">
        <w:rPr>
          <w:rFonts w:ascii="Times New Roman" w:hAnsi="Times New Roman" w:cs="Times New Roman"/>
          <w:sz w:val="26"/>
          <w:szCs w:val="26"/>
        </w:rPr>
        <w:t>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14:paraId="5BE51538" w14:textId="77777777" w:rsidR="003C4012" w:rsidRPr="00CB6A66"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CB6A66">
        <w:rPr>
          <w:rFonts w:ascii="Times New Roman" w:eastAsia="Times New Roman" w:hAnsi="Times New Roman" w:cs="Times New Roman"/>
          <w:sz w:val="26"/>
          <w:szCs w:val="26"/>
          <w:lang w:eastAsia="ru-RU"/>
        </w:rPr>
        <w:t>Из всех существующих категорий земель</w:t>
      </w:r>
      <w:r>
        <w:rPr>
          <w:rFonts w:ascii="Times New Roman" w:eastAsia="Times New Roman" w:hAnsi="Times New Roman" w:cs="Times New Roman"/>
          <w:sz w:val="26"/>
          <w:szCs w:val="26"/>
          <w:lang w:eastAsia="ru-RU"/>
        </w:rPr>
        <w:t xml:space="preserve"> </w:t>
      </w:r>
      <w:r w:rsidRPr="00CB6A66">
        <w:rPr>
          <w:rFonts w:ascii="Times New Roman" w:eastAsia="Times New Roman" w:hAnsi="Times New Roman" w:cs="Times New Roman"/>
          <w:sz w:val="26"/>
          <w:szCs w:val="26"/>
          <w:lang w:eastAsia="ru-RU"/>
        </w:rPr>
        <w:t>только земли сельскохозяйственного назначения непосредственно используются для выращивания сельскохозяйственной продукции, являясь незаменимым средством ее производства.</w:t>
      </w:r>
    </w:p>
    <w:p w14:paraId="7E6BF3C9" w14:textId="77777777" w:rsidR="003C4012" w:rsidRPr="00CB6A66"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CB6A66">
        <w:rPr>
          <w:rFonts w:ascii="Times New Roman" w:eastAsia="Times New Roman" w:hAnsi="Times New Roman" w:cs="Times New Roman"/>
          <w:sz w:val="26"/>
          <w:szCs w:val="26"/>
          <w:lang w:eastAsia="ru-RU"/>
        </w:rPr>
        <w:t>Земли сель</w:t>
      </w:r>
      <w:r>
        <w:rPr>
          <w:rFonts w:ascii="Times New Roman" w:eastAsia="Times New Roman" w:hAnsi="Times New Roman" w:cs="Times New Roman"/>
          <w:sz w:val="26"/>
          <w:szCs w:val="26"/>
          <w:lang w:eastAsia="ru-RU"/>
        </w:rPr>
        <w:t xml:space="preserve">скохозяйственного </w:t>
      </w:r>
      <w:r w:rsidRPr="00CB6A66">
        <w:rPr>
          <w:rFonts w:ascii="Times New Roman" w:eastAsia="Times New Roman" w:hAnsi="Times New Roman" w:cs="Times New Roman"/>
          <w:sz w:val="26"/>
          <w:szCs w:val="26"/>
          <w:lang w:eastAsia="ru-RU"/>
        </w:rPr>
        <w:t>назначения по праву считаются стратегическим объектом жизнедеятельности, основой экономического и экологического благополучия страны, каждого региона и муниципалитета в отдельности. Земли сельскохозяйственного назначения занимают около четверти всей территории Российской Федерации.</w:t>
      </w:r>
    </w:p>
    <w:p w14:paraId="0E745C2F" w14:textId="77777777" w:rsidR="003C4012" w:rsidRPr="00CB6A66"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CB6A66">
        <w:rPr>
          <w:rFonts w:ascii="Times New Roman" w:eastAsia="Times New Roman" w:hAnsi="Times New Roman" w:cs="Times New Roman"/>
          <w:sz w:val="26"/>
          <w:szCs w:val="26"/>
          <w:lang w:eastAsia="ru-RU"/>
        </w:rPr>
        <w:t>Виды использования земель сельскохозяйственного назначения ─ пашня (на нее приходится основная часть сельскохозяйственных угодий), пастбища, сенокосы, пруды для разведения рыбы и т.д.</w:t>
      </w:r>
    </w:p>
    <w:p w14:paraId="21013BC9" w14:textId="77777777" w:rsidR="003C4012" w:rsidRPr="00CB6A66"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CB6A66">
        <w:rPr>
          <w:rFonts w:ascii="Times New Roman" w:eastAsia="Times New Roman" w:hAnsi="Times New Roman" w:cs="Times New Roman"/>
          <w:sz w:val="26"/>
          <w:szCs w:val="26"/>
          <w:lang w:eastAsia="ru-RU"/>
        </w:rPr>
        <w:t>От их состояния и продуктивности зависит продовольственная безопасность государства. На земле работает немалая часть населения страны, сельские жители составляют четверть россиян.</w:t>
      </w:r>
    </w:p>
    <w:p w14:paraId="475F5726" w14:textId="77777777" w:rsidR="003C4012" w:rsidRPr="00CB6A66"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CB6A66">
        <w:rPr>
          <w:rFonts w:ascii="Times New Roman" w:eastAsia="Times New Roman" w:hAnsi="Times New Roman" w:cs="Times New Roman"/>
          <w:sz w:val="26"/>
          <w:szCs w:val="26"/>
          <w:lang w:eastAsia="ru-RU"/>
        </w:rPr>
        <w:t>Плодородие земель сельскохозяйственного назначения представляет собой способность грунта удовлетворять потребности культурных растений.</w:t>
      </w:r>
    </w:p>
    <w:p w14:paraId="2F9F316F" w14:textId="77777777" w:rsidR="003C4012" w:rsidRPr="00CB6A66"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CB6A66">
        <w:rPr>
          <w:rFonts w:ascii="Times New Roman" w:eastAsia="Times New Roman" w:hAnsi="Times New Roman" w:cs="Times New Roman"/>
          <w:sz w:val="26"/>
          <w:szCs w:val="26"/>
          <w:lang w:eastAsia="ru-RU"/>
        </w:rPr>
        <w:t>Для поддержания надлежащего качества почвы, должны проводится мелиоративные мероприятия собственниками земель в процессе осуществления их деятельности.</w:t>
      </w:r>
    </w:p>
    <w:p w14:paraId="093846FE" w14:textId="77777777" w:rsidR="003C4012" w:rsidRPr="00CB6A66"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CB6A66">
        <w:rPr>
          <w:rFonts w:ascii="Times New Roman" w:eastAsia="Times New Roman" w:hAnsi="Times New Roman" w:cs="Times New Roman"/>
          <w:sz w:val="26"/>
          <w:szCs w:val="26"/>
          <w:lang w:eastAsia="ru-RU"/>
        </w:rPr>
        <w:t>При не использовании земельных участков из земель сельскохозяйственного назначения, как юридическими лицами, так и гражданами, то есть допущении зарастания земельных участков древесно-кустарниковой и сорной травянистой, а так же при нарушении плодородного слоя почвы (произведенного без разрешения уполномоченного органа), как юридические лица, так и граждане привлекаются к административной ответственности. Длительное неиспользование земель сельскохозяйственного назначения, может привести к изъятию (конфискации) земель у собственника.</w:t>
      </w:r>
    </w:p>
    <w:p w14:paraId="4F0845AE" w14:textId="77777777" w:rsidR="003C4012" w:rsidRPr="00CB6A66"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CB6A66">
        <w:rPr>
          <w:rFonts w:ascii="Times New Roman" w:eastAsia="Times New Roman" w:hAnsi="Times New Roman" w:cs="Times New Roman"/>
          <w:sz w:val="26"/>
          <w:szCs w:val="26"/>
          <w:lang w:eastAsia="ru-RU"/>
        </w:rPr>
        <w:t>Земли сельскохозяйственного назначения могут сокращаться не только в силу воздействия неблагоприятных факторов естественного или антропогенного происхождения, но и в следствии перевода земель в другие категории.</w:t>
      </w:r>
    </w:p>
    <w:p w14:paraId="0B660206" w14:textId="77777777" w:rsidR="003C4012" w:rsidRPr="00CB6A66" w:rsidRDefault="003C4012" w:rsidP="003C4012">
      <w:pPr>
        <w:spacing w:after="0" w:line="276" w:lineRule="auto"/>
        <w:ind w:firstLine="360"/>
        <w:jc w:val="both"/>
        <w:rPr>
          <w:rFonts w:ascii="Times New Roman" w:eastAsia="Times New Roman" w:hAnsi="Times New Roman" w:cs="Times New Roman"/>
          <w:sz w:val="26"/>
          <w:szCs w:val="26"/>
          <w:lang w:eastAsia="ru-RU"/>
        </w:rPr>
      </w:pPr>
      <w:r w:rsidRPr="00CB6A66">
        <w:rPr>
          <w:rFonts w:ascii="Times New Roman" w:eastAsia="Times New Roman" w:hAnsi="Times New Roman" w:cs="Times New Roman"/>
          <w:sz w:val="26"/>
          <w:szCs w:val="26"/>
          <w:lang w:eastAsia="ru-RU"/>
        </w:rPr>
        <w:t>Перевод земель сельскохозяйственного назначения в другую категорию допускается в исключительных случаях. Вот некоторые из них:</w:t>
      </w:r>
    </w:p>
    <w:p w14:paraId="6368638A" w14:textId="77777777" w:rsidR="003C4012" w:rsidRPr="00CB6A66" w:rsidRDefault="003C4012" w:rsidP="003C4012">
      <w:pPr>
        <w:numPr>
          <w:ilvl w:val="0"/>
          <w:numId w:val="42"/>
        </w:numPr>
        <w:spacing w:after="0" w:line="276" w:lineRule="auto"/>
        <w:jc w:val="both"/>
        <w:rPr>
          <w:rFonts w:ascii="Times New Roman" w:eastAsia="Times New Roman" w:hAnsi="Times New Roman" w:cs="Times New Roman"/>
          <w:sz w:val="26"/>
          <w:szCs w:val="26"/>
          <w:lang w:eastAsia="ru-RU"/>
        </w:rPr>
      </w:pPr>
      <w:r w:rsidRPr="00CB6A66">
        <w:rPr>
          <w:rFonts w:ascii="Times New Roman" w:eastAsia="Times New Roman" w:hAnsi="Times New Roman" w:cs="Times New Roman"/>
          <w:sz w:val="26"/>
          <w:szCs w:val="26"/>
          <w:lang w:eastAsia="ru-RU"/>
        </w:rPr>
        <w:t>консервация земель;</w:t>
      </w:r>
    </w:p>
    <w:p w14:paraId="36BF8A49" w14:textId="77777777" w:rsidR="003C4012" w:rsidRPr="00CB6A66" w:rsidRDefault="003C4012" w:rsidP="003C4012">
      <w:pPr>
        <w:numPr>
          <w:ilvl w:val="0"/>
          <w:numId w:val="42"/>
        </w:numPr>
        <w:spacing w:after="0" w:line="276" w:lineRule="auto"/>
        <w:jc w:val="both"/>
        <w:rPr>
          <w:rFonts w:ascii="Times New Roman" w:eastAsia="Times New Roman" w:hAnsi="Times New Roman" w:cs="Times New Roman"/>
          <w:sz w:val="26"/>
          <w:szCs w:val="26"/>
          <w:lang w:eastAsia="ru-RU"/>
        </w:rPr>
      </w:pPr>
      <w:r w:rsidRPr="00CB6A66">
        <w:rPr>
          <w:rFonts w:ascii="Times New Roman" w:eastAsia="Times New Roman" w:hAnsi="Times New Roman" w:cs="Times New Roman"/>
          <w:sz w:val="26"/>
          <w:szCs w:val="26"/>
          <w:lang w:eastAsia="ru-RU"/>
        </w:rPr>
        <w:t>создание особо охраняемых природных территорий или отнесение земель к землям природоохранного, историко-культурного, рекреационного и иного особо ценного назначения;</w:t>
      </w:r>
    </w:p>
    <w:p w14:paraId="6D28F499" w14:textId="77777777" w:rsidR="003C4012" w:rsidRPr="00CB6A66" w:rsidRDefault="003C4012" w:rsidP="003C4012">
      <w:pPr>
        <w:numPr>
          <w:ilvl w:val="0"/>
          <w:numId w:val="42"/>
        </w:numPr>
        <w:spacing w:after="0" w:line="276" w:lineRule="auto"/>
        <w:jc w:val="both"/>
        <w:rPr>
          <w:rFonts w:ascii="Times New Roman" w:eastAsia="Times New Roman" w:hAnsi="Times New Roman" w:cs="Times New Roman"/>
          <w:sz w:val="26"/>
          <w:szCs w:val="26"/>
          <w:lang w:eastAsia="ru-RU"/>
        </w:rPr>
      </w:pPr>
      <w:r w:rsidRPr="00CB6A66">
        <w:rPr>
          <w:rFonts w:ascii="Times New Roman" w:eastAsia="Times New Roman" w:hAnsi="Times New Roman" w:cs="Times New Roman"/>
          <w:sz w:val="26"/>
          <w:szCs w:val="26"/>
          <w:lang w:eastAsia="ru-RU"/>
        </w:rPr>
        <w:t>изменение черты населенных пунктов;</w:t>
      </w:r>
    </w:p>
    <w:p w14:paraId="573C88DE" w14:textId="77777777" w:rsidR="003C4012" w:rsidRPr="00CB6A66" w:rsidRDefault="003C4012" w:rsidP="003C4012">
      <w:pPr>
        <w:numPr>
          <w:ilvl w:val="0"/>
          <w:numId w:val="42"/>
        </w:numPr>
        <w:spacing w:after="0" w:line="276" w:lineRule="auto"/>
        <w:jc w:val="both"/>
        <w:rPr>
          <w:rFonts w:ascii="Times New Roman" w:eastAsia="Times New Roman" w:hAnsi="Times New Roman" w:cs="Times New Roman"/>
          <w:sz w:val="26"/>
          <w:szCs w:val="26"/>
          <w:lang w:eastAsia="ru-RU"/>
        </w:rPr>
      </w:pPr>
      <w:r w:rsidRPr="00CB6A66">
        <w:rPr>
          <w:rFonts w:ascii="Times New Roman" w:eastAsia="Times New Roman" w:hAnsi="Times New Roman" w:cs="Times New Roman"/>
          <w:sz w:val="26"/>
          <w:szCs w:val="26"/>
          <w:lang w:eastAsia="ru-RU"/>
        </w:rPr>
        <w:t>размещение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w:t>
      </w:r>
    </w:p>
    <w:p w14:paraId="485B8D15" w14:textId="77777777" w:rsidR="003C4012" w:rsidRPr="00CB6A66" w:rsidRDefault="003C4012" w:rsidP="003C4012">
      <w:pPr>
        <w:numPr>
          <w:ilvl w:val="0"/>
          <w:numId w:val="42"/>
        </w:numPr>
        <w:spacing w:after="0" w:line="276" w:lineRule="auto"/>
        <w:jc w:val="both"/>
        <w:rPr>
          <w:rFonts w:ascii="Times New Roman" w:eastAsia="Times New Roman" w:hAnsi="Times New Roman" w:cs="Times New Roman"/>
          <w:sz w:val="26"/>
          <w:szCs w:val="26"/>
          <w:lang w:eastAsia="ru-RU"/>
        </w:rPr>
      </w:pPr>
      <w:r w:rsidRPr="00CB6A66">
        <w:rPr>
          <w:rFonts w:ascii="Times New Roman" w:eastAsia="Times New Roman" w:hAnsi="Times New Roman" w:cs="Times New Roman"/>
          <w:sz w:val="26"/>
          <w:szCs w:val="26"/>
          <w:lang w:eastAsia="ru-RU"/>
        </w:rPr>
        <w:t>включение непригодных для осуществления сельскохозяйственного производства земель в состав земель лесного фонда, земель водного фонда или запаса.</w:t>
      </w:r>
    </w:p>
    <w:p w14:paraId="7B402FB3" w14:textId="77777777" w:rsidR="003C4012" w:rsidRPr="00CB6A66" w:rsidRDefault="003C4012" w:rsidP="003C4012">
      <w:pPr>
        <w:spacing w:after="0" w:line="276" w:lineRule="auto"/>
        <w:ind w:firstLine="360"/>
        <w:jc w:val="both"/>
        <w:rPr>
          <w:rFonts w:ascii="Times New Roman" w:eastAsia="Times New Roman" w:hAnsi="Times New Roman" w:cs="Times New Roman"/>
          <w:sz w:val="26"/>
          <w:szCs w:val="26"/>
          <w:lang w:eastAsia="ru-RU"/>
        </w:rPr>
      </w:pPr>
      <w:r w:rsidRPr="00CB6A66">
        <w:rPr>
          <w:rFonts w:ascii="Times New Roman" w:eastAsia="Times New Roman" w:hAnsi="Times New Roman" w:cs="Times New Roman"/>
          <w:sz w:val="26"/>
          <w:szCs w:val="26"/>
          <w:lang w:eastAsia="ru-RU"/>
        </w:rPr>
        <w:t>В случае изменения категории земельного участка, собственнику земельного участка необходимо обратиться в Единый государственный реестр недвижимости, сообщить о новом статусе земельного участка и в дальнейшем оплачивать земельный налог в соответствии с новой категорией земельного участка.</w:t>
      </w:r>
    </w:p>
    <w:p w14:paraId="6872D465" w14:textId="77777777" w:rsidR="003C4012" w:rsidRPr="00C92FF7" w:rsidRDefault="003C4012" w:rsidP="003C4012">
      <w:pPr>
        <w:spacing w:after="0" w:line="276" w:lineRule="auto"/>
        <w:ind w:firstLine="360"/>
        <w:jc w:val="both"/>
        <w:rPr>
          <w:rFonts w:ascii="Times New Roman" w:eastAsia="Times New Roman" w:hAnsi="Times New Roman" w:cs="Times New Roman"/>
          <w:sz w:val="26"/>
          <w:szCs w:val="26"/>
          <w:lang w:eastAsia="ru-RU"/>
        </w:rPr>
      </w:pPr>
      <w:r w:rsidRPr="00CB6A66">
        <w:rPr>
          <w:rFonts w:ascii="Times New Roman" w:eastAsia="Times New Roman" w:hAnsi="Times New Roman" w:cs="Times New Roman"/>
          <w:sz w:val="26"/>
          <w:szCs w:val="26"/>
          <w:lang w:eastAsia="ru-RU"/>
        </w:rPr>
        <w:t xml:space="preserve">При не предоставлении сведений об изменении статуса земельного участка в Единый государственный реестр недвижимости, земельный участок продолжает являться землей сельскохозяйственного назначения для сельскохозяйственного </w:t>
      </w:r>
      <w:r w:rsidRPr="00C92FF7">
        <w:rPr>
          <w:rFonts w:ascii="Times New Roman" w:eastAsia="Times New Roman" w:hAnsi="Times New Roman" w:cs="Times New Roman"/>
          <w:sz w:val="26"/>
          <w:szCs w:val="26"/>
          <w:lang w:eastAsia="ru-RU"/>
        </w:rPr>
        <w:t>производства.</w:t>
      </w:r>
    </w:p>
    <w:p w14:paraId="184B15F6" w14:textId="77777777" w:rsidR="003C4012" w:rsidRPr="00C92FF7" w:rsidRDefault="003C4012" w:rsidP="003C4012">
      <w:pPr>
        <w:spacing w:after="0" w:line="276" w:lineRule="auto"/>
        <w:ind w:firstLine="708"/>
        <w:contextualSpacing/>
        <w:jc w:val="both"/>
        <w:rPr>
          <w:rFonts w:ascii="Times New Roman" w:hAnsi="Times New Roman" w:cs="Times New Roman"/>
          <w:sz w:val="26"/>
          <w:szCs w:val="26"/>
        </w:rPr>
      </w:pPr>
      <w:r w:rsidRPr="00C92FF7">
        <w:rPr>
          <w:rFonts w:ascii="Times New Roman" w:hAnsi="Times New Roman" w:cs="Times New Roman"/>
          <w:sz w:val="26"/>
          <w:szCs w:val="26"/>
        </w:rPr>
        <w:t>Количество и площадь оцениваемых земельных участков из состава земель сельскохозяйственного назначения в разрезе муниципальных районов Воронежской области, сведения о которых содержатся в Перечне представлено в таблице 3.3.1.</w:t>
      </w:r>
      <w:r>
        <w:rPr>
          <w:rFonts w:ascii="Times New Roman" w:hAnsi="Times New Roman" w:cs="Times New Roman"/>
          <w:sz w:val="26"/>
          <w:szCs w:val="26"/>
        </w:rPr>
        <w:t>5</w:t>
      </w:r>
      <w:r w:rsidRPr="00C92FF7">
        <w:rPr>
          <w:rFonts w:ascii="Times New Roman" w:hAnsi="Times New Roman" w:cs="Times New Roman"/>
          <w:sz w:val="26"/>
          <w:szCs w:val="26"/>
        </w:rPr>
        <w:t>.</w:t>
      </w:r>
    </w:p>
    <w:p w14:paraId="083EAC63" w14:textId="77777777" w:rsidR="003C4012" w:rsidRPr="00C92FF7" w:rsidRDefault="003C4012" w:rsidP="003C4012">
      <w:pPr>
        <w:spacing w:after="0" w:line="276" w:lineRule="auto"/>
        <w:ind w:firstLine="708"/>
        <w:contextualSpacing/>
        <w:jc w:val="right"/>
        <w:rPr>
          <w:rFonts w:ascii="Times New Roman" w:hAnsi="Times New Roman" w:cs="Times New Roman"/>
          <w:sz w:val="26"/>
          <w:szCs w:val="26"/>
        </w:rPr>
      </w:pPr>
      <w:r w:rsidRPr="00C92FF7">
        <w:rPr>
          <w:rFonts w:ascii="Times New Roman" w:hAnsi="Times New Roman" w:cs="Times New Roman"/>
          <w:sz w:val="26"/>
          <w:szCs w:val="26"/>
        </w:rPr>
        <w:t>Таблица 3.3.1.</w:t>
      </w:r>
      <w:r>
        <w:rPr>
          <w:rFonts w:ascii="Times New Roman" w:hAnsi="Times New Roman" w:cs="Times New Roman"/>
          <w:sz w:val="26"/>
          <w:szCs w:val="26"/>
        </w:rPr>
        <w:t>5</w:t>
      </w:r>
    </w:p>
    <w:p w14:paraId="6768183F" w14:textId="77777777" w:rsidR="003C4012" w:rsidRPr="00C92FF7" w:rsidRDefault="003C4012" w:rsidP="003C4012">
      <w:pPr>
        <w:spacing w:after="0" w:line="276" w:lineRule="auto"/>
        <w:contextualSpacing/>
        <w:jc w:val="center"/>
        <w:rPr>
          <w:rFonts w:ascii="Times New Roman" w:hAnsi="Times New Roman" w:cs="Times New Roman"/>
          <w:sz w:val="26"/>
          <w:szCs w:val="26"/>
        </w:rPr>
      </w:pPr>
      <w:r w:rsidRPr="00C92FF7">
        <w:rPr>
          <w:rFonts w:ascii="Times New Roman" w:hAnsi="Times New Roman" w:cs="Times New Roman"/>
          <w:sz w:val="26"/>
          <w:szCs w:val="26"/>
        </w:rPr>
        <w:t>Количество и площадь оцениваемых земельных участков из состава земель сельскохозяйственного назначения в разрезе муниципальных районов Воронежской области</w:t>
      </w:r>
    </w:p>
    <w:tbl>
      <w:tblPr>
        <w:tblW w:w="9434" w:type="dxa"/>
        <w:tblLook w:val="04A0" w:firstRow="1" w:lastRow="0" w:firstColumn="1" w:lastColumn="0" w:noHBand="0" w:noVBand="1"/>
      </w:tblPr>
      <w:tblGrid>
        <w:gridCol w:w="4531"/>
        <w:gridCol w:w="2268"/>
        <w:gridCol w:w="2635"/>
      </w:tblGrid>
      <w:tr w:rsidR="003C4012" w:rsidRPr="006A2718" w14:paraId="64C46091" w14:textId="77777777" w:rsidTr="003C4012">
        <w:trPr>
          <w:trHeight w:val="30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71144"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6A2718">
              <w:rPr>
                <w:rFonts w:ascii="Times New Roman" w:eastAsia="Times New Roman" w:hAnsi="Times New Roman" w:cs="Times New Roman"/>
                <w:b/>
                <w:bCs/>
                <w:color w:val="000000"/>
                <w:lang w:eastAsia="ru-RU"/>
              </w:rPr>
              <w:t>Наименование района/городского округа</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35DE1227"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6A2718">
              <w:rPr>
                <w:rFonts w:ascii="Times New Roman" w:eastAsia="Times New Roman" w:hAnsi="Times New Roman" w:cs="Times New Roman"/>
                <w:b/>
                <w:bCs/>
                <w:color w:val="000000"/>
                <w:lang w:eastAsia="ru-RU"/>
              </w:rPr>
              <w:t>Количество ЗУ, шт.</w:t>
            </w:r>
          </w:p>
        </w:tc>
        <w:tc>
          <w:tcPr>
            <w:tcW w:w="2635" w:type="dxa"/>
            <w:tcBorders>
              <w:top w:val="single" w:sz="4" w:space="0" w:color="auto"/>
              <w:left w:val="nil"/>
              <w:bottom w:val="single" w:sz="4" w:space="0" w:color="auto"/>
              <w:right w:val="single" w:sz="4" w:space="0" w:color="auto"/>
            </w:tcBorders>
            <w:shd w:val="clear" w:color="auto" w:fill="auto"/>
            <w:noWrap/>
            <w:vAlign w:val="center"/>
          </w:tcPr>
          <w:p w14:paraId="236B41B4"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6A2718">
              <w:rPr>
                <w:rFonts w:ascii="Times New Roman" w:eastAsia="Times New Roman" w:hAnsi="Times New Roman" w:cs="Times New Roman"/>
                <w:b/>
                <w:bCs/>
                <w:color w:val="000000"/>
                <w:lang w:eastAsia="ru-RU"/>
              </w:rPr>
              <w:t>Площадь ЗУ, м2</w:t>
            </w:r>
          </w:p>
        </w:tc>
      </w:tr>
      <w:tr w:rsidR="003C4012" w:rsidRPr="006A2718" w14:paraId="316BD7BF" w14:textId="77777777" w:rsidTr="003C4012">
        <w:trPr>
          <w:trHeight w:val="30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99422" w14:textId="77777777" w:rsidR="003C4012" w:rsidRPr="00C92FF7"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Аннинский</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5674C70C" w14:textId="77777777" w:rsidR="003C4012" w:rsidRPr="00C92FF7"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4054</w:t>
            </w:r>
          </w:p>
        </w:tc>
        <w:tc>
          <w:tcPr>
            <w:tcW w:w="2635" w:type="dxa"/>
            <w:tcBorders>
              <w:top w:val="single" w:sz="4" w:space="0" w:color="auto"/>
              <w:left w:val="nil"/>
              <w:bottom w:val="single" w:sz="4" w:space="0" w:color="auto"/>
              <w:right w:val="single" w:sz="4" w:space="0" w:color="auto"/>
            </w:tcBorders>
            <w:shd w:val="clear" w:color="auto" w:fill="auto"/>
            <w:noWrap/>
            <w:vAlign w:val="bottom"/>
          </w:tcPr>
          <w:p w14:paraId="59050A60" w14:textId="77777777" w:rsidR="003C4012" w:rsidRPr="00C92FF7"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1 815 888 248,00</w:t>
            </w:r>
          </w:p>
        </w:tc>
      </w:tr>
      <w:tr w:rsidR="003C4012" w:rsidRPr="006A2718" w14:paraId="51F285DC"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140902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Бобровский</w:t>
            </w:r>
          </w:p>
        </w:tc>
        <w:tc>
          <w:tcPr>
            <w:tcW w:w="2268" w:type="dxa"/>
            <w:tcBorders>
              <w:top w:val="nil"/>
              <w:left w:val="nil"/>
              <w:bottom w:val="single" w:sz="4" w:space="0" w:color="auto"/>
              <w:right w:val="single" w:sz="4" w:space="0" w:color="auto"/>
            </w:tcBorders>
            <w:shd w:val="clear" w:color="auto" w:fill="auto"/>
            <w:noWrap/>
            <w:vAlign w:val="bottom"/>
            <w:hideMark/>
          </w:tcPr>
          <w:p w14:paraId="74E80DB9"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2072</w:t>
            </w:r>
          </w:p>
        </w:tc>
        <w:tc>
          <w:tcPr>
            <w:tcW w:w="2635" w:type="dxa"/>
            <w:tcBorders>
              <w:top w:val="nil"/>
              <w:left w:val="nil"/>
              <w:bottom w:val="single" w:sz="4" w:space="0" w:color="auto"/>
              <w:right w:val="single" w:sz="4" w:space="0" w:color="auto"/>
            </w:tcBorders>
            <w:shd w:val="clear" w:color="auto" w:fill="auto"/>
            <w:noWrap/>
            <w:vAlign w:val="bottom"/>
            <w:hideMark/>
          </w:tcPr>
          <w:p w14:paraId="05636A5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1 454 908 647,00</w:t>
            </w:r>
          </w:p>
        </w:tc>
      </w:tr>
      <w:tr w:rsidR="003C4012" w:rsidRPr="006A2718" w14:paraId="4A4C99AF"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00619F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Богучарский</w:t>
            </w:r>
          </w:p>
        </w:tc>
        <w:tc>
          <w:tcPr>
            <w:tcW w:w="2268" w:type="dxa"/>
            <w:tcBorders>
              <w:top w:val="nil"/>
              <w:left w:val="nil"/>
              <w:bottom w:val="single" w:sz="4" w:space="0" w:color="auto"/>
              <w:right w:val="single" w:sz="4" w:space="0" w:color="auto"/>
            </w:tcBorders>
            <w:shd w:val="clear" w:color="auto" w:fill="auto"/>
            <w:noWrap/>
            <w:vAlign w:val="bottom"/>
            <w:hideMark/>
          </w:tcPr>
          <w:p w14:paraId="652013A4"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4865</w:t>
            </w:r>
          </w:p>
        </w:tc>
        <w:tc>
          <w:tcPr>
            <w:tcW w:w="2635" w:type="dxa"/>
            <w:tcBorders>
              <w:top w:val="nil"/>
              <w:left w:val="nil"/>
              <w:bottom w:val="single" w:sz="4" w:space="0" w:color="auto"/>
              <w:right w:val="single" w:sz="4" w:space="0" w:color="auto"/>
            </w:tcBorders>
            <w:shd w:val="clear" w:color="auto" w:fill="auto"/>
            <w:noWrap/>
            <w:vAlign w:val="bottom"/>
            <w:hideMark/>
          </w:tcPr>
          <w:p w14:paraId="1A9E69C6"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2 238 681 258,89</w:t>
            </w:r>
          </w:p>
        </w:tc>
      </w:tr>
      <w:tr w:rsidR="003C4012" w:rsidRPr="006A2718" w14:paraId="6D840C44"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7B0B6B9"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Борисоглебский</w:t>
            </w:r>
          </w:p>
        </w:tc>
        <w:tc>
          <w:tcPr>
            <w:tcW w:w="2268" w:type="dxa"/>
            <w:tcBorders>
              <w:top w:val="nil"/>
              <w:left w:val="nil"/>
              <w:bottom w:val="single" w:sz="4" w:space="0" w:color="auto"/>
              <w:right w:val="single" w:sz="4" w:space="0" w:color="auto"/>
            </w:tcBorders>
            <w:shd w:val="clear" w:color="auto" w:fill="auto"/>
            <w:noWrap/>
            <w:vAlign w:val="bottom"/>
            <w:hideMark/>
          </w:tcPr>
          <w:p w14:paraId="515EC37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4812</w:t>
            </w:r>
          </w:p>
        </w:tc>
        <w:tc>
          <w:tcPr>
            <w:tcW w:w="2635" w:type="dxa"/>
            <w:tcBorders>
              <w:top w:val="nil"/>
              <w:left w:val="nil"/>
              <w:bottom w:val="single" w:sz="4" w:space="0" w:color="auto"/>
              <w:right w:val="single" w:sz="4" w:space="0" w:color="auto"/>
            </w:tcBorders>
            <w:shd w:val="clear" w:color="auto" w:fill="auto"/>
            <w:noWrap/>
            <w:vAlign w:val="bottom"/>
            <w:hideMark/>
          </w:tcPr>
          <w:p w14:paraId="3B7E0B4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1 351 437 298,50</w:t>
            </w:r>
          </w:p>
        </w:tc>
      </w:tr>
      <w:tr w:rsidR="003C4012" w:rsidRPr="006A2718" w14:paraId="15C84516"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DD78C9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Бутурлиновский</w:t>
            </w:r>
          </w:p>
        </w:tc>
        <w:tc>
          <w:tcPr>
            <w:tcW w:w="2268" w:type="dxa"/>
            <w:tcBorders>
              <w:top w:val="nil"/>
              <w:left w:val="nil"/>
              <w:bottom w:val="single" w:sz="4" w:space="0" w:color="auto"/>
              <w:right w:val="single" w:sz="4" w:space="0" w:color="auto"/>
            </w:tcBorders>
            <w:shd w:val="clear" w:color="auto" w:fill="auto"/>
            <w:noWrap/>
            <w:vAlign w:val="bottom"/>
            <w:hideMark/>
          </w:tcPr>
          <w:p w14:paraId="5139F28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3171</w:t>
            </w:r>
          </w:p>
        </w:tc>
        <w:tc>
          <w:tcPr>
            <w:tcW w:w="2635" w:type="dxa"/>
            <w:tcBorders>
              <w:top w:val="nil"/>
              <w:left w:val="nil"/>
              <w:bottom w:val="single" w:sz="4" w:space="0" w:color="auto"/>
              <w:right w:val="single" w:sz="4" w:space="0" w:color="auto"/>
            </w:tcBorders>
            <w:shd w:val="clear" w:color="auto" w:fill="auto"/>
            <w:noWrap/>
            <w:vAlign w:val="bottom"/>
            <w:hideMark/>
          </w:tcPr>
          <w:p w14:paraId="371AAF6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1 440 258 363,28</w:t>
            </w:r>
          </w:p>
        </w:tc>
      </w:tr>
      <w:tr w:rsidR="003C4012" w:rsidRPr="006A2718" w14:paraId="6456A3CE"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F0F0CB9"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Верхнемамонский</w:t>
            </w:r>
          </w:p>
        </w:tc>
        <w:tc>
          <w:tcPr>
            <w:tcW w:w="2268" w:type="dxa"/>
            <w:tcBorders>
              <w:top w:val="nil"/>
              <w:left w:val="nil"/>
              <w:bottom w:val="single" w:sz="4" w:space="0" w:color="auto"/>
              <w:right w:val="single" w:sz="4" w:space="0" w:color="auto"/>
            </w:tcBorders>
            <w:shd w:val="clear" w:color="auto" w:fill="auto"/>
            <w:noWrap/>
            <w:vAlign w:val="bottom"/>
            <w:hideMark/>
          </w:tcPr>
          <w:p w14:paraId="3F67E3B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2355</w:t>
            </w:r>
          </w:p>
        </w:tc>
        <w:tc>
          <w:tcPr>
            <w:tcW w:w="2635" w:type="dxa"/>
            <w:tcBorders>
              <w:top w:val="nil"/>
              <w:left w:val="nil"/>
              <w:bottom w:val="single" w:sz="4" w:space="0" w:color="auto"/>
              <w:right w:val="single" w:sz="4" w:space="0" w:color="auto"/>
            </w:tcBorders>
            <w:shd w:val="clear" w:color="auto" w:fill="auto"/>
            <w:noWrap/>
            <w:vAlign w:val="bottom"/>
            <w:hideMark/>
          </w:tcPr>
          <w:p w14:paraId="0F98649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990 425 279,36</w:t>
            </w:r>
          </w:p>
        </w:tc>
      </w:tr>
      <w:tr w:rsidR="003C4012" w:rsidRPr="006A2718" w14:paraId="7731C917"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AD6F83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Верхнехавский</w:t>
            </w:r>
          </w:p>
        </w:tc>
        <w:tc>
          <w:tcPr>
            <w:tcW w:w="2268" w:type="dxa"/>
            <w:tcBorders>
              <w:top w:val="nil"/>
              <w:left w:val="nil"/>
              <w:bottom w:val="single" w:sz="4" w:space="0" w:color="auto"/>
              <w:right w:val="single" w:sz="4" w:space="0" w:color="auto"/>
            </w:tcBorders>
            <w:shd w:val="clear" w:color="auto" w:fill="auto"/>
            <w:noWrap/>
            <w:vAlign w:val="bottom"/>
            <w:hideMark/>
          </w:tcPr>
          <w:p w14:paraId="53FD42C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5769</w:t>
            </w:r>
          </w:p>
        </w:tc>
        <w:tc>
          <w:tcPr>
            <w:tcW w:w="2635" w:type="dxa"/>
            <w:tcBorders>
              <w:top w:val="nil"/>
              <w:left w:val="nil"/>
              <w:bottom w:val="single" w:sz="4" w:space="0" w:color="auto"/>
              <w:right w:val="single" w:sz="4" w:space="0" w:color="auto"/>
            </w:tcBorders>
            <w:shd w:val="clear" w:color="auto" w:fill="auto"/>
            <w:noWrap/>
            <w:vAlign w:val="bottom"/>
            <w:hideMark/>
          </w:tcPr>
          <w:p w14:paraId="35F79C3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1 129 237 643,40</w:t>
            </w:r>
          </w:p>
        </w:tc>
      </w:tr>
      <w:tr w:rsidR="003C4012" w:rsidRPr="006A2718" w14:paraId="5849A4B8"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4BFC7E0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Воробьевский</w:t>
            </w:r>
          </w:p>
        </w:tc>
        <w:tc>
          <w:tcPr>
            <w:tcW w:w="2268" w:type="dxa"/>
            <w:tcBorders>
              <w:top w:val="nil"/>
              <w:left w:val="nil"/>
              <w:bottom w:val="single" w:sz="4" w:space="0" w:color="auto"/>
              <w:right w:val="single" w:sz="4" w:space="0" w:color="auto"/>
            </w:tcBorders>
            <w:shd w:val="clear" w:color="auto" w:fill="auto"/>
            <w:noWrap/>
            <w:vAlign w:val="bottom"/>
            <w:hideMark/>
          </w:tcPr>
          <w:p w14:paraId="307AAF9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1860</w:t>
            </w:r>
          </w:p>
        </w:tc>
        <w:tc>
          <w:tcPr>
            <w:tcW w:w="2635" w:type="dxa"/>
            <w:tcBorders>
              <w:top w:val="nil"/>
              <w:left w:val="nil"/>
              <w:bottom w:val="single" w:sz="4" w:space="0" w:color="auto"/>
              <w:right w:val="single" w:sz="4" w:space="0" w:color="auto"/>
            </w:tcBorders>
            <w:shd w:val="clear" w:color="auto" w:fill="auto"/>
            <w:noWrap/>
            <w:vAlign w:val="bottom"/>
            <w:hideMark/>
          </w:tcPr>
          <w:p w14:paraId="6DAE719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1 027 155 568,00</w:t>
            </w:r>
          </w:p>
        </w:tc>
      </w:tr>
      <w:tr w:rsidR="003C4012" w:rsidRPr="006A2718" w14:paraId="62B044E1"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C411D75"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ГО г.</w:t>
            </w:r>
            <w:r>
              <w:rPr>
                <w:rFonts w:ascii="Times New Roman" w:hAnsi="Times New Roman" w:cs="Times New Roman"/>
              </w:rPr>
              <w:t xml:space="preserve"> </w:t>
            </w:r>
            <w:r w:rsidRPr="00C92FF7">
              <w:rPr>
                <w:rFonts w:ascii="Times New Roman" w:hAnsi="Times New Roman" w:cs="Times New Roman"/>
              </w:rPr>
              <w:t>Воронеж</w:t>
            </w:r>
          </w:p>
        </w:tc>
        <w:tc>
          <w:tcPr>
            <w:tcW w:w="2268" w:type="dxa"/>
            <w:tcBorders>
              <w:top w:val="nil"/>
              <w:left w:val="nil"/>
              <w:bottom w:val="single" w:sz="4" w:space="0" w:color="auto"/>
              <w:right w:val="single" w:sz="4" w:space="0" w:color="auto"/>
            </w:tcBorders>
            <w:shd w:val="clear" w:color="auto" w:fill="auto"/>
            <w:noWrap/>
            <w:vAlign w:val="bottom"/>
            <w:hideMark/>
          </w:tcPr>
          <w:p w14:paraId="0913D99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24</w:t>
            </w:r>
          </w:p>
        </w:tc>
        <w:tc>
          <w:tcPr>
            <w:tcW w:w="2635" w:type="dxa"/>
            <w:tcBorders>
              <w:top w:val="nil"/>
              <w:left w:val="nil"/>
              <w:bottom w:val="single" w:sz="4" w:space="0" w:color="auto"/>
              <w:right w:val="single" w:sz="4" w:space="0" w:color="auto"/>
            </w:tcBorders>
            <w:shd w:val="clear" w:color="auto" w:fill="auto"/>
            <w:noWrap/>
            <w:vAlign w:val="bottom"/>
            <w:hideMark/>
          </w:tcPr>
          <w:p w14:paraId="598F1F4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23 575 143,00</w:t>
            </w:r>
          </w:p>
        </w:tc>
      </w:tr>
      <w:tr w:rsidR="003C4012" w:rsidRPr="006A2718" w14:paraId="307E9F3C"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F4F5444"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Грибановский</w:t>
            </w:r>
          </w:p>
        </w:tc>
        <w:tc>
          <w:tcPr>
            <w:tcW w:w="2268" w:type="dxa"/>
            <w:tcBorders>
              <w:top w:val="nil"/>
              <w:left w:val="nil"/>
              <w:bottom w:val="single" w:sz="4" w:space="0" w:color="auto"/>
              <w:right w:val="single" w:sz="4" w:space="0" w:color="auto"/>
            </w:tcBorders>
            <w:shd w:val="clear" w:color="auto" w:fill="auto"/>
            <w:noWrap/>
            <w:vAlign w:val="bottom"/>
            <w:hideMark/>
          </w:tcPr>
          <w:p w14:paraId="4160771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7032</w:t>
            </w:r>
          </w:p>
        </w:tc>
        <w:tc>
          <w:tcPr>
            <w:tcW w:w="2635" w:type="dxa"/>
            <w:tcBorders>
              <w:top w:val="nil"/>
              <w:left w:val="nil"/>
              <w:bottom w:val="single" w:sz="4" w:space="0" w:color="auto"/>
              <w:right w:val="single" w:sz="4" w:space="0" w:color="auto"/>
            </w:tcBorders>
            <w:shd w:val="clear" w:color="auto" w:fill="auto"/>
            <w:noWrap/>
            <w:vAlign w:val="bottom"/>
            <w:hideMark/>
          </w:tcPr>
          <w:p w14:paraId="2CC584A6"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1 695 515 029,10</w:t>
            </w:r>
          </w:p>
        </w:tc>
      </w:tr>
      <w:tr w:rsidR="003C4012" w:rsidRPr="006A2718" w14:paraId="57E9F379"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04AF8CD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Калачеевский</w:t>
            </w:r>
          </w:p>
        </w:tc>
        <w:tc>
          <w:tcPr>
            <w:tcW w:w="2268" w:type="dxa"/>
            <w:tcBorders>
              <w:top w:val="nil"/>
              <w:left w:val="nil"/>
              <w:bottom w:val="single" w:sz="4" w:space="0" w:color="auto"/>
              <w:right w:val="single" w:sz="4" w:space="0" w:color="auto"/>
            </w:tcBorders>
            <w:shd w:val="clear" w:color="auto" w:fill="auto"/>
            <w:noWrap/>
            <w:vAlign w:val="bottom"/>
            <w:hideMark/>
          </w:tcPr>
          <w:p w14:paraId="5DBB48A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15299</w:t>
            </w:r>
          </w:p>
        </w:tc>
        <w:tc>
          <w:tcPr>
            <w:tcW w:w="2635" w:type="dxa"/>
            <w:tcBorders>
              <w:top w:val="nil"/>
              <w:left w:val="nil"/>
              <w:bottom w:val="single" w:sz="4" w:space="0" w:color="auto"/>
              <w:right w:val="single" w:sz="4" w:space="0" w:color="auto"/>
            </w:tcBorders>
            <w:shd w:val="clear" w:color="auto" w:fill="auto"/>
            <w:noWrap/>
            <w:vAlign w:val="bottom"/>
            <w:hideMark/>
          </w:tcPr>
          <w:p w14:paraId="74E031F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1 913 296 682,00</w:t>
            </w:r>
          </w:p>
        </w:tc>
      </w:tr>
      <w:tr w:rsidR="003C4012" w:rsidRPr="006A2718" w14:paraId="664BDFED"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452E56E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Каменский</w:t>
            </w:r>
          </w:p>
        </w:tc>
        <w:tc>
          <w:tcPr>
            <w:tcW w:w="2268" w:type="dxa"/>
            <w:tcBorders>
              <w:top w:val="nil"/>
              <w:left w:val="nil"/>
              <w:bottom w:val="single" w:sz="4" w:space="0" w:color="auto"/>
              <w:right w:val="single" w:sz="4" w:space="0" w:color="auto"/>
            </w:tcBorders>
            <w:shd w:val="clear" w:color="auto" w:fill="auto"/>
            <w:noWrap/>
            <w:vAlign w:val="bottom"/>
            <w:hideMark/>
          </w:tcPr>
          <w:p w14:paraId="1DC7BB2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7081</w:t>
            </w:r>
          </w:p>
        </w:tc>
        <w:tc>
          <w:tcPr>
            <w:tcW w:w="2635" w:type="dxa"/>
            <w:tcBorders>
              <w:top w:val="nil"/>
              <w:left w:val="nil"/>
              <w:bottom w:val="single" w:sz="4" w:space="0" w:color="auto"/>
              <w:right w:val="single" w:sz="4" w:space="0" w:color="auto"/>
            </w:tcBorders>
            <w:shd w:val="clear" w:color="auto" w:fill="auto"/>
            <w:noWrap/>
            <w:vAlign w:val="bottom"/>
            <w:hideMark/>
          </w:tcPr>
          <w:p w14:paraId="126275B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800 538 110,00</w:t>
            </w:r>
          </w:p>
        </w:tc>
      </w:tr>
      <w:tr w:rsidR="003C4012" w:rsidRPr="006A2718" w14:paraId="73C1A387"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07DA6224"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Кантемировский</w:t>
            </w:r>
          </w:p>
        </w:tc>
        <w:tc>
          <w:tcPr>
            <w:tcW w:w="2268" w:type="dxa"/>
            <w:tcBorders>
              <w:top w:val="nil"/>
              <w:left w:val="nil"/>
              <w:bottom w:val="single" w:sz="4" w:space="0" w:color="auto"/>
              <w:right w:val="single" w:sz="4" w:space="0" w:color="auto"/>
            </w:tcBorders>
            <w:shd w:val="clear" w:color="auto" w:fill="auto"/>
            <w:noWrap/>
            <w:vAlign w:val="bottom"/>
            <w:hideMark/>
          </w:tcPr>
          <w:p w14:paraId="5FF3A6C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3975</w:t>
            </w:r>
          </w:p>
        </w:tc>
        <w:tc>
          <w:tcPr>
            <w:tcW w:w="2635" w:type="dxa"/>
            <w:tcBorders>
              <w:top w:val="nil"/>
              <w:left w:val="nil"/>
              <w:bottom w:val="single" w:sz="4" w:space="0" w:color="auto"/>
              <w:right w:val="single" w:sz="4" w:space="0" w:color="auto"/>
            </w:tcBorders>
            <w:shd w:val="clear" w:color="auto" w:fill="auto"/>
            <w:noWrap/>
            <w:vAlign w:val="bottom"/>
            <w:hideMark/>
          </w:tcPr>
          <w:p w14:paraId="2152779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2 770 108 533,00</w:t>
            </w:r>
          </w:p>
        </w:tc>
      </w:tr>
      <w:tr w:rsidR="003C4012" w:rsidRPr="006A2718" w14:paraId="6A0569C0"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6AB788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Каширский</w:t>
            </w:r>
          </w:p>
        </w:tc>
        <w:tc>
          <w:tcPr>
            <w:tcW w:w="2268" w:type="dxa"/>
            <w:tcBorders>
              <w:top w:val="nil"/>
              <w:left w:val="nil"/>
              <w:bottom w:val="single" w:sz="4" w:space="0" w:color="auto"/>
              <w:right w:val="single" w:sz="4" w:space="0" w:color="auto"/>
            </w:tcBorders>
            <w:shd w:val="clear" w:color="auto" w:fill="auto"/>
            <w:noWrap/>
            <w:vAlign w:val="bottom"/>
            <w:hideMark/>
          </w:tcPr>
          <w:p w14:paraId="5B3C21C5"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16292</w:t>
            </w:r>
          </w:p>
        </w:tc>
        <w:tc>
          <w:tcPr>
            <w:tcW w:w="2635" w:type="dxa"/>
            <w:tcBorders>
              <w:top w:val="nil"/>
              <w:left w:val="nil"/>
              <w:bottom w:val="single" w:sz="4" w:space="0" w:color="auto"/>
              <w:right w:val="single" w:sz="4" w:space="0" w:color="auto"/>
            </w:tcBorders>
            <w:shd w:val="clear" w:color="auto" w:fill="auto"/>
            <w:noWrap/>
            <w:vAlign w:val="bottom"/>
            <w:hideMark/>
          </w:tcPr>
          <w:p w14:paraId="2CE8620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1 334 165 148,40</w:t>
            </w:r>
          </w:p>
        </w:tc>
      </w:tr>
      <w:tr w:rsidR="003C4012" w:rsidRPr="006A2718" w14:paraId="00FE5B25"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CB6E854"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Лискинский</w:t>
            </w:r>
          </w:p>
        </w:tc>
        <w:tc>
          <w:tcPr>
            <w:tcW w:w="2268" w:type="dxa"/>
            <w:tcBorders>
              <w:top w:val="nil"/>
              <w:left w:val="nil"/>
              <w:bottom w:val="single" w:sz="4" w:space="0" w:color="auto"/>
              <w:right w:val="single" w:sz="4" w:space="0" w:color="auto"/>
            </w:tcBorders>
            <w:shd w:val="clear" w:color="auto" w:fill="auto"/>
            <w:noWrap/>
            <w:vAlign w:val="bottom"/>
            <w:hideMark/>
          </w:tcPr>
          <w:p w14:paraId="3FFBC8D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7086</w:t>
            </w:r>
          </w:p>
        </w:tc>
        <w:tc>
          <w:tcPr>
            <w:tcW w:w="2635" w:type="dxa"/>
            <w:tcBorders>
              <w:top w:val="nil"/>
              <w:left w:val="nil"/>
              <w:bottom w:val="single" w:sz="4" w:space="0" w:color="auto"/>
              <w:right w:val="single" w:sz="4" w:space="0" w:color="auto"/>
            </w:tcBorders>
            <w:shd w:val="clear" w:color="auto" w:fill="auto"/>
            <w:noWrap/>
            <w:vAlign w:val="bottom"/>
            <w:hideMark/>
          </w:tcPr>
          <w:p w14:paraId="3954B05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1 629 592 547,50</w:t>
            </w:r>
          </w:p>
        </w:tc>
      </w:tr>
      <w:tr w:rsidR="003C4012" w:rsidRPr="006A2718" w14:paraId="4C6C2A3B"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8FB43E1"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Нижнедевицкий</w:t>
            </w:r>
          </w:p>
        </w:tc>
        <w:tc>
          <w:tcPr>
            <w:tcW w:w="2268" w:type="dxa"/>
            <w:tcBorders>
              <w:top w:val="nil"/>
              <w:left w:val="nil"/>
              <w:bottom w:val="single" w:sz="4" w:space="0" w:color="auto"/>
              <w:right w:val="single" w:sz="4" w:space="0" w:color="auto"/>
            </w:tcBorders>
            <w:shd w:val="clear" w:color="auto" w:fill="auto"/>
            <w:noWrap/>
            <w:vAlign w:val="bottom"/>
            <w:hideMark/>
          </w:tcPr>
          <w:p w14:paraId="1A67D36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3132</w:t>
            </w:r>
          </w:p>
        </w:tc>
        <w:tc>
          <w:tcPr>
            <w:tcW w:w="2635" w:type="dxa"/>
            <w:tcBorders>
              <w:top w:val="nil"/>
              <w:left w:val="nil"/>
              <w:bottom w:val="single" w:sz="4" w:space="0" w:color="auto"/>
              <w:right w:val="single" w:sz="4" w:space="0" w:color="auto"/>
            </w:tcBorders>
            <w:shd w:val="clear" w:color="auto" w:fill="auto"/>
            <w:noWrap/>
            <w:vAlign w:val="bottom"/>
            <w:hideMark/>
          </w:tcPr>
          <w:p w14:paraId="1C24D781"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1 248 657 532,41</w:t>
            </w:r>
          </w:p>
        </w:tc>
      </w:tr>
      <w:tr w:rsidR="003C4012" w:rsidRPr="006A2718" w14:paraId="27056F8C"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C9D066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Новоусманский</w:t>
            </w:r>
          </w:p>
        </w:tc>
        <w:tc>
          <w:tcPr>
            <w:tcW w:w="2268" w:type="dxa"/>
            <w:tcBorders>
              <w:top w:val="nil"/>
              <w:left w:val="nil"/>
              <w:bottom w:val="single" w:sz="4" w:space="0" w:color="auto"/>
              <w:right w:val="single" w:sz="4" w:space="0" w:color="auto"/>
            </w:tcBorders>
            <w:shd w:val="clear" w:color="auto" w:fill="auto"/>
            <w:noWrap/>
            <w:vAlign w:val="bottom"/>
            <w:hideMark/>
          </w:tcPr>
          <w:p w14:paraId="5F0A951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24796</w:t>
            </w:r>
          </w:p>
        </w:tc>
        <w:tc>
          <w:tcPr>
            <w:tcW w:w="2635" w:type="dxa"/>
            <w:tcBorders>
              <w:top w:val="nil"/>
              <w:left w:val="nil"/>
              <w:bottom w:val="single" w:sz="4" w:space="0" w:color="auto"/>
              <w:right w:val="single" w:sz="4" w:space="0" w:color="auto"/>
            </w:tcBorders>
            <w:shd w:val="clear" w:color="auto" w:fill="auto"/>
            <w:noWrap/>
            <w:vAlign w:val="bottom"/>
            <w:hideMark/>
          </w:tcPr>
          <w:p w14:paraId="3407B70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1 026 665 553,83</w:t>
            </w:r>
          </w:p>
        </w:tc>
      </w:tr>
      <w:tr w:rsidR="003C4012" w:rsidRPr="006A2718" w14:paraId="17E63E86"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69505D5"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Новохоперский</w:t>
            </w:r>
          </w:p>
        </w:tc>
        <w:tc>
          <w:tcPr>
            <w:tcW w:w="2268" w:type="dxa"/>
            <w:tcBorders>
              <w:top w:val="nil"/>
              <w:left w:val="nil"/>
              <w:bottom w:val="single" w:sz="4" w:space="0" w:color="auto"/>
              <w:right w:val="single" w:sz="4" w:space="0" w:color="auto"/>
            </w:tcBorders>
            <w:shd w:val="clear" w:color="auto" w:fill="auto"/>
            <w:noWrap/>
            <w:vAlign w:val="bottom"/>
            <w:hideMark/>
          </w:tcPr>
          <w:p w14:paraId="6E0D8A2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5991</w:t>
            </w:r>
          </w:p>
        </w:tc>
        <w:tc>
          <w:tcPr>
            <w:tcW w:w="2635" w:type="dxa"/>
            <w:tcBorders>
              <w:top w:val="nil"/>
              <w:left w:val="nil"/>
              <w:bottom w:val="single" w:sz="4" w:space="0" w:color="auto"/>
              <w:right w:val="single" w:sz="4" w:space="0" w:color="auto"/>
            </w:tcBorders>
            <w:shd w:val="clear" w:color="auto" w:fill="auto"/>
            <w:noWrap/>
            <w:vAlign w:val="bottom"/>
            <w:hideMark/>
          </w:tcPr>
          <w:p w14:paraId="1879E8D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1 715 979 355,94</w:t>
            </w:r>
          </w:p>
        </w:tc>
      </w:tr>
      <w:tr w:rsidR="003C4012" w:rsidRPr="006A2718" w14:paraId="3EE31216"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6F959E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Ольховатский</w:t>
            </w:r>
          </w:p>
        </w:tc>
        <w:tc>
          <w:tcPr>
            <w:tcW w:w="2268" w:type="dxa"/>
            <w:tcBorders>
              <w:top w:val="nil"/>
              <w:left w:val="nil"/>
              <w:bottom w:val="single" w:sz="4" w:space="0" w:color="auto"/>
              <w:right w:val="single" w:sz="4" w:space="0" w:color="auto"/>
            </w:tcBorders>
            <w:shd w:val="clear" w:color="auto" w:fill="auto"/>
            <w:noWrap/>
            <w:vAlign w:val="bottom"/>
            <w:hideMark/>
          </w:tcPr>
          <w:p w14:paraId="56FB71E6"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1913</w:t>
            </w:r>
          </w:p>
        </w:tc>
        <w:tc>
          <w:tcPr>
            <w:tcW w:w="2635" w:type="dxa"/>
            <w:tcBorders>
              <w:top w:val="nil"/>
              <w:left w:val="nil"/>
              <w:bottom w:val="single" w:sz="4" w:space="0" w:color="auto"/>
              <w:right w:val="single" w:sz="4" w:space="0" w:color="auto"/>
            </w:tcBorders>
            <w:shd w:val="clear" w:color="auto" w:fill="auto"/>
            <w:noWrap/>
            <w:vAlign w:val="bottom"/>
            <w:hideMark/>
          </w:tcPr>
          <w:p w14:paraId="074D6331"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845 003 697,40</w:t>
            </w:r>
          </w:p>
        </w:tc>
      </w:tr>
      <w:tr w:rsidR="003C4012" w:rsidRPr="006A2718" w14:paraId="58853E85"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839B42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Острогожский</w:t>
            </w:r>
          </w:p>
        </w:tc>
        <w:tc>
          <w:tcPr>
            <w:tcW w:w="2268" w:type="dxa"/>
            <w:tcBorders>
              <w:top w:val="nil"/>
              <w:left w:val="nil"/>
              <w:bottom w:val="single" w:sz="4" w:space="0" w:color="auto"/>
              <w:right w:val="single" w:sz="4" w:space="0" w:color="auto"/>
            </w:tcBorders>
            <w:shd w:val="clear" w:color="auto" w:fill="auto"/>
            <w:noWrap/>
            <w:vAlign w:val="bottom"/>
            <w:hideMark/>
          </w:tcPr>
          <w:p w14:paraId="48C2088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4638</w:t>
            </w:r>
          </w:p>
        </w:tc>
        <w:tc>
          <w:tcPr>
            <w:tcW w:w="2635" w:type="dxa"/>
            <w:tcBorders>
              <w:top w:val="nil"/>
              <w:left w:val="nil"/>
              <w:bottom w:val="single" w:sz="4" w:space="0" w:color="auto"/>
              <w:right w:val="single" w:sz="4" w:space="0" w:color="auto"/>
            </w:tcBorders>
            <w:shd w:val="clear" w:color="auto" w:fill="auto"/>
            <w:noWrap/>
            <w:vAlign w:val="bottom"/>
            <w:hideMark/>
          </w:tcPr>
          <w:p w14:paraId="56CED9C5"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1 563 813 673,84</w:t>
            </w:r>
          </w:p>
        </w:tc>
      </w:tr>
      <w:tr w:rsidR="003C4012" w:rsidRPr="006A2718" w14:paraId="7CFB827D"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0ABC59F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Павловский</w:t>
            </w:r>
          </w:p>
        </w:tc>
        <w:tc>
          <w:tcPr>
            <w:tcW w:w="2268" w:type="dxa"/>
            <w:tcBorders>
              <w:top w:val="nil"/>
              <w:left w:val="nil"/>
              <w:bottom w:val="single" w:sz="4" w:space="0" w:color="auto"/>
              <w:right w:val="single" w:sz="4" w:space="0" w:color="auto"/>
            </w:tcBorders>
            <w:shd w:val="clear" w:color="auto" w:fill="auto"/>
            <w:noWrap/>
            <w:vAlign w:val="bottom"/>
            <w:hideMark/>
          </w:tcPr>
          <w:p w14:paraId="76D551C4"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9797</w:t>
            </w:r>
          </w:p>
        </w:tc>
        <w:tc>
          <w:tcPr>
            <w:tcW w:w="2635" w:type="dxa"/>
            <w:tcBorders>
              <w:top w:val="nil"/>
              <w:left w:val="nil"/>
              <w:bottom w:val="single" w:sz="4" w:space="0" w:color="auto"/>
              <w:right w:val="single" w:sz="4" w:space="0" w:color="auto"/>
            </w:tcBorders>
            <w:shd w:val="clear" w:color="auto" w:fill="auto"/>
            <w:noWrap/>
            <w:vAlign w:val="bottom"/>
            <w:hideMark/>
          </w:tcPr>
          <w:p w14:paraId="70AECD01"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1 480 827 817,50</w:t>
            </w:r>
          </w:p>
        </w:tc>
      </w:tr>
      <w:tr w:rsidR="003C4012" w:rsidRPr="006A2718" w14:paraId="1F613A27"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7CA019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Панинский</w:t>
            </w:r>
          </w:p>
        </w:tc>
        <w:tc>
          <w:tcPr>
            <w:tcW w:w="2268" w:type="dxa"/>
            <w:tcBorders>
              <w:top w:val="nil"/>
              <w:left w:val="nil"/>
              <w:bottom w:val="single" w:sz="4" w:space="0" w:color="auto"/>
              <w:right w:val="single" w:sz="4" w:space="0" w:color="auto"/>
            </w:tcBorders>
            <w:shd w:val="clear" w:color="auto" w:fill="auto"/>
            <w:noWrap/>
            <w:vAlign w:val="bottom"/>
            <w:hideMark/>
          </w:tcPr>
          <w:p w14:paraId="7BAC4516"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5011</w:t>
            </w:r>
          </w:p>
        </w:tc>
        <w:tc>
          <w:tcPr>
            <w:tcW w:w="2635" w:type="dxa"/>
            <w:tcBorders>
              <w:top w:val="nil"/>
              <w:left w:val="nil"/>
              <w:bottom w:val="single" w:sz="4" w:space="0" w:color="auto"/>
              <w:right w:val="single" w:sz="4" w:space="0" w:color="auto"/>
            </w:tcBorders>
            <w:shd w:val="clear" w:color="auto" w:fill="auto"/>
            <w:noWrap/>
            <w:vAlign w:val="bottom"/>
            <w:hideMark/>
          </w:tcPr>
          <w:p w14:paraId="1AE35C86"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1 260 563 853,00</w:t>
            </w:r>
          </w:p>
        </w:tc>
      </w:tr>
      <w:tr w:rsidR="003C4012" w:rsidRPr="006A2718" w14:paraId="45F228BF"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000A9D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Петропавловский</w:t>
            </w:r>
          </w:p>
        </w:tc>
        <w:tc>
          <w:tcPr>
            <w:tcW w:w="2268" w:type="dxa"/>
            <w:tcBorders>
              <w:top w:val="nil"/>
              <w:left w:val="nil"/>
              <w:bottom w:val="single" w:sz="4" w:space="0" w:color="auto"/>
              <w:right w:val="single" w:sz="4" w:space="0" w:color="auto"/>
            </w:tcBorders>
            <w:shd w:val="clear" w:color="auto" w:fill="auto"/>
            <w:noWrap/>
            <w:vAlign w:val="bottom"/>
            <w:hideMark/>
          </w:tcPr>
          <w:p w14:paraId="64811F8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3294</w:t>
            </w:r>
          </w:p>
        </w:tc>
        <w:tc>
          <w:tcPr>
            <w:tcW w:w="2635" w:type="dxa"/>
            <w:tcBorders>
              <w:top w:val="nil"/>
              <w:left w:val="nil"/>
              <w:bottom w:val="single" w:sz="4" w:space="0" w:color="auto"/>
              <w:right w:val="single" w:sz="4" w:space="0" w:color="auto"/>
            </w:tcBorders>
            <w:shd w:val="clear" w:color="auto" w:fill="auto"/>
            <w:noWrap/>
            <w:vAlign w:val="bottom"/>
            <w:hideMark/>
          </w:tcPr>
          <w:p w14:paraId="48A390A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1 552 759 216,96</w:t>
            </w:r>
          </w:p>
        </w:tc>
      </w:tr>
      <w:tr w:rsidR="003C4012" w:rsidRPr="006A2718" w14:paraId="0D8A240F"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611F07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Поворинский</w:t>
            </w:r>
          </w:p>
        </w:tc>
        <w:tc>
          <w:tcPr>
            <w:tcW w:w="2268" w:type="dxa"/>
            <w:tcBorders>
              <w:top w:val="nil"/>
              <w:left w:val="nil"/>
              <w:bottom w:val="single" w:sz="4" w:space="0" w:color="auto"/>
              <w:right w:val="single" w:sz="4" w:space="0" w:color="auto"/>
            </w:tcBorders>
            <w:shd w:val="clear" w:color="auto" w:fill="auto"/>
            <w:noWrap/>
            <w:vAlign w:val="bottom"/>
            <w:hideMark/>
          </w:tcPr>
          <w:p w14:paraId="2941FCB6"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2181</w:t>
            </w:r>
          </w:p>
        </w:tc>
        <w:tc>
          <w:tcPr>
            <w:tcW w:w="2635" w:type="dxa"/>
            <w:tcBorders>
              <w:top w:val="nil"/>
              <w:left w:val="nil"/>
              <w:bottom w:val="single" w:sz="4" w:space="0" w:color="auto"/>
              <w:right w:val="single" w:sz="4" w:space="0" w:color="auto"/>
            </w:tcBorders>
            <w:shd w:val="clear" w:color="auto" w:fill="auto"/>
            <w:noWrap/>
            <w:vAlign w:val="bottom"/>
            <w:hideMark/>
          </w:tcPr>
          <w:p w14:paraId="6388AE0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919 984 579,18</w:t>
            </w:r>
          </w:p>
        </w:tc>
      </w:tr>
      <w:tr w:rsidR="003C4012" w:rsidRPr="006A2718" w14:paraId="61E06433"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0796062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Подгоренский</w:t>
            </w:r>
          </w:p>
        </w:tc>
        <w:tc>
          <w:tcPr>
            <w:tcW w:w="2268" w:type="dxa"/>
            <w:tcBorders>
              <w:top w:val="nil"/>
              <w:left w:val="nil"/>
              <w:bottom w:val="single" w:sz="4" w:space="0" w:color="auto"/>
              <w:right w:val="single" w:sz="4" w:space="0" w:color="auto"/>
            </w:tcBorders>
            <w:shd w:val="clear" w:color="auto" w:fill="auto"/>
            <w:noWrap/>
            <w:vAlign w:val="bottom"/>
            <w:hideMark/>
          </w:tcPr>
          <w:p w14:paraId="2177C511"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3574</w:t>
            </w:r>
          </w:p>
        </w:tc>
        <w:tc>
          <w:tcPr>
            <w:tcW w:w="2635" w:type="dxa"/>
            <w:tcBorders>
              <w:top w:val="nil"/>
              <w:left w:val="nil"/>
              <w:bottom w:val="single" w:sz="4" w:space="0" w:color="auto"/>
              <w:right w:val="single" w:sz="4" w:space="0" w:color="auto"/>
            </w:tcBorders>
            <w:shd w:val="clear" w:color="auto" w:fill="auto"/>
            <w:noWrap/>
            <w:vAlign w:val="bottom"/>
            <w:hideMark/>
          </w:tcPr>
          <w:p w14:paraId="0ACFD30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1 378 865 565,04</w:t>
            </w:r>
          </w:p>
        </w:tc>
      </w:tr>
      <w:tr w:rsidR="003C4012" w:rsidRPr="006A2718" w14:paraId="4245209E"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870E77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Рамонский</w:t>
            </w:r>
          </w:p>
        </w:tc>
        <w:tc>
          <w:tcPr>
            <w:tcW w:w="2268" w:type="dxa"/>
            <w:tcBorders>
              <w:top w:val="nil"/>
              <w:left w:val="nil"/>
              <w:bottom w:val="single" w:sz="4" w:space="0" w:color="auto"/>
              <w:right w:val="single" w:sz="4" w:space="0" w:color="auto"/>
            </w:tcBorders>
            <w:shd w:val="clear" w:color="auto" w:fill="auto"/>
            <w:noWrap/>
            <w:vAlign w:val="bottom"/>
            <w:hideMark/>
          </w:tcPr>
          <w:p w14:paraId="1E6DCD5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45278</w:t>
            </w:r>
          </w:p>
        </w:tc>
        <w:tc>
          <w:tcPr>
            <w:tcW w:w="2635" w:type="dxa"/>
            <w:tcBorders>
              <w:top w:val="nil"/>
              <w:left w:val="nil"/>
              <w:bottom w:val="single" w:sz="4" w:space="0" w:color="auto"/>
              <w:right w:val="single" w:sz="4" w:space="0" w:color="auto"/>
            </w:tcBorders>
            <w:shd w:val="clear" w:color="auto" w:fill="auto"/>
            <w:noWrap/>
            <w:vAlign w:val="bottom"/>
            <w:hideMark/>
          </w:tcPr>
          <w:p w14:paraId="756BC3D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908 643 218,69</w:t>
            </w:r>
          </w:p>
        </w:tc>
      </w:tr>
      <w:tr w:rsidR="003C4012" w:rsidRPr="006A2718" w14:paraId="7EFF4D93"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1011DA5"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Репьевский</w:t>
            </w:r>
          </w:p>
        </w:tc>
        <w:tc>
          <w:tcPr>
            <w:tcW w:w="2268" w:type="dxa"/>
            <w:tcBorders>
              <w:top w:val="nil"/>
              <w:left w:val="nil"/>
              <w:bottom w:val="single" w:sz="4" w:space="0" w:color="auto"/>
              <w:right w:val="single" w:sz="4" w:space="0" w:color="auto"/>
            </w:tcBorders>
            <w:shd w:val="clear" w:color="auto" w:fill="auto"/>
            <w:noWrap/>
            <w:vAlign w:val="bottom"/>
            <w:hideMark/>
          </w:tcPr>
          <w:p w14:paraId="52DB316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3073</w:t>
            </w:r>
          </w:p>
        </w:tc>
        <w:tc>
          <w:tcPr>
            <w:tcW w:w="2635" w:type="dxa"/>
            <w:tcBorders>
              <w:top w:val="nil"/>
              <w:left w:val="nil"/>
              <w:bottom w:val="single" w:sz="4" w:space="0" w:color="auto"/>
              <w:right w:val="single" w:sz="4" w:space="0" w:color="auto"/>
            </w:tcBorders>
            <w:shd w:val="clear" w:color="auto" w:fill="auto"/>
            <w:noWrap/>
            <w:vAlign w:val="bottom"/>
            <w:hideMark/>
          </w:tcPr>
          <w:p w14:paraId="3E0272E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786 731 255,25</w:t>
            </w:r>
          </w:p>
        </w:tc>
      </w:tr>
      <w:tr w:rsidR="003C4012" w:rsidRPr="006A2718" w14:paraId="54E0B1F5"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350070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Россошанский</w:t>
            </w:r>
          </w:p>
        </w:tc>
        <w:tc>
          <w:tcPr>
            <w:tcW w:w="2268" w:type="dxa"/>
            <w:tcBorders>
              <w:top w:val="nil"/>
              <w:left w:val="nil"/>
              <w:bottom w:val="single" w:sz="4" w:space="0" w:color="auto"/>
              <w:right w:val="single" w:sz="4" w:space="0" w:color="auto"/>
            </w:tcBorders>
            <w:shd w:val="clear" w:color="auto" w:fill="auto"/>
            <w:noWrap/>
            <w:vAlign w:val="bottom"/>
            <w:hideMark/>
          </w:tcPr>
          <w:p w14:paraId="502B40E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8785</w:t>
            </w:r>
          </w:p>
        </w:tc>
        <w:tc>
          <w:tcPr>
            <w:tcW w:w="2635" w:type="dxa"/>
            <w:tcBorders>
              <w:top w:val="nil"/>
              <w:left w:val="nil"/>
              <w:bottom w:val="single" w:sz="4" w:space="0" w:color="auto"/>
              <w:right w:val="single" w:sz="4" w:space="0" w:color="auto"/>
            </w:tcBorders>
            <w:shd w:val="clear" w:color="auto" w:fill="auto"/>
            <w:noWrap/>
            <w:vAlign w:val="bottom"/>
            <w:hideMark/>
          </w:tcPr>
          <w:p w14:paraId="2666E80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2 096 751 812,80</w:t>
            </w:r>
          </w:p>
        </w:tc>
      </w:tr>
      <w:tr w:rsidR="003C4012" w:rsidRPr="006A2718" w14:paraId="4288E6AA"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4B17D42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Семилукский</w:t>
            </w:r>
          </w:p>
        </w:tc>
        <w:tc>
          <w:tcPr>
            <w:tcW w:w="2268" w:type="dxa"/>
            <w:tcBorders>
              <w:top w:val="nil"/>
              <w:left w:val="nil"/>
              <w:bottom w:val="single" w:sz="4" w:space="0" w:color="auto"/>
              <w:right w:val="single" w:sz="4" w:space="0" w:color="auto"/>
            </w:tcBorders>
            <w:shd w:val="clear" w:color="auto" w:fill="auto"/>
            <w:noWrap/>
            <w:vAlign w:val="bottom"/>
            <w:hideMark/>
          </w:tcPr>
          <w:p w14:paraId="6C33A9D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43992</w:t>
            </w:r>
          </w:p>
        </w:tc>
        <w:tc>
          <w:tcPr>
            <w:tcW w:w="2635" w:type="dxa"/>
            <w:tcBorders>
              <w:top w:val="nil"/>
              <w:left w:val="nil"/>
              <w:bottom w:val="single" w:sz="4" w:space="0" w:color="auto"/>
              <w:right w:val="single" w:sz="4" w:space="0" w:color="auto"/>
            </w:tcBorders>
            <w:shd w:val="clear" w:color="auto" w:fill="auto"/>
            <w:noWrap/>
            <w:vAlign w:val="bottom"/>
            <w:hideMark/>
          </w:tcPr>
          <w:p w14:paraId="1506D79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1 233 097 534,48</w:t>
            </w:r>
          </w:p>
        </w:tc>
      </w:tr>
      <w:tr w:rsidR="003C4012" w:rsidRPr="006A2718" w14:paraId="1174E50C"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905CD7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Таловский</w:t>
            </w:r>
          </w:p>
        </w:tc>
        <w:tc>
          <w:tcPr>
            <w:tcW w:w="2268" w:type="dxa"/>
            <w:tcBorders>
              <w:top w:val="nil"/>
              <w:left w:val="nil"/>
              <w:bottom w:val="single" w:sz="4" w:space="0" w:color="auto"/>
              <w:right w:val="single" w:sz="4" w:space="0" w:color="auto"/>
            </w:tcBorders>
            <w:shd w:val="clear" w:color="auto" w:fill="auto"/>
            <w:noWrap/>
            <w:vAlign w:val="bottom"/>
            <w:hideMark/>
          </w:tcPr>
          <w:p w14:paraId="0EA73F0C"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9754</w:t>
            </w:r>
          </w:p>
        </w:tc>
        <w:tc>
          <w:tcPr>
            <w:tcW w:w="2635" w:type="dxa"/>
            <w:tcBorders>
              <w:top w:val="nil"/>
              <w:left w:val="nil"/>
              <w:bottom w:val="single" w:sz="4" w:space="0" w:color="auto"/>
              <w:right w:val="single" w:sz="4" w:space="0" w:color="auto"/>
            </w:tcBorders>
            <w:shd w:val="clear" w:color="auto" w:fill="auto"/>
            <w:noWrap/>
            <w:vAlign w:val="bottom"/>
            <w:hideMark/>
          </w:tcPr>
          <w:p w14:paraId="412A5E6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2 145 432 494,51</w:t>
            </w:r>
          </w:p>
        </w:tc>
      </w:tr>
      <w:tr w:rsidR="003C4012" w:rsidRPr="006A2718" w14:paraId="261131A5"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4C83BD59"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Терновский</w:t>
            </w:r>
          </w:p>
        </w:tc>
        <w:tc>
          <w:tcPr>
            <w:tcW w:w="2268" w:type="dxa"/>
            <w:tcBorders>
              <w:top w:val="nil"/>
              <w:left w:val="nil"/>
              <w:bottom w:val="single" w:sz="4" w:space="0" w:color="auto"/>
              <w:right w:val="single" w:sz="4" w:space="0" w:color="auto"/>
            </w:tcBorders>
            <w:shd w:val="clear" w:color="auto" w:fill="auto"/>
            <w:noWrap/>
            <w:vAlign w:val="bottom"/>
            <w:hideMark/>
          </w:tcPr>
          <w:p w14:paraId="7503DDD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2369</w:t>
            </w:r>
          </w:p>
        </w:tc>
        <w:tc>
          <w:tcPr>
            <w:tcW w:w="2635" w:type="dxa"/>
            <w:tcBorders>
              <w:top w:val="nil"/>
              <w:left w:val="nil"/>
              <w:bottom w:val="single" w:sz="4" w:space="0" w:color="auto"/>
              <w:right w:val="single" w:sz="4" w:space="0" w:color="auto"/>
            </w:tcBorders>
            <w:shd w:val="clear" w:color="auto" w:fill="auto"/>
            <w:noWrap/>
            <w:vAlign w:val="bottom"/>
            <w:hideMark/>
          </w:tcPr>
          <w:p w14:paraId="306176A4"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1 315 425 512,20</w:t>
            </w:r>
          </w:p>
        </w:tc>
      </w:tr>
      <w:tr w:rsidR="003C4012" w:rsidRPr="006A2718" w14:paraId="6C8C66FD"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CAA460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Хохольский</w:t>
            </w:r>
          </w:p>
        </w:tc>
        <w:tc>
          <w:tcPr>
            <w:tcW w:w="2268" w:type="dxa"/>
            <w:tcBorders>
              <w:top w:val="nil"/>
              <w:left w:val="nil"/>
              <w:bottom w:val="single" w:sz="4" w:space="0" w:color="auto"/>
              <w:right w:val="single" w:sz="4" w:space="0" w:color="auto"/>
            </w:tcBorders>
            <w:shd w:val="clear" w:color="auto" w:fill="auto"/>
            <w:noWrap/>
            <w:vAlign w:val="bottom"/>
            <w:hideMark/>
          </w:tcPr>
          <w:p w14:paraId="2B4D788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12474</w:t>
            </w:r>
          </w:p>
        </w:tc>
        <w:tc>
          <w:tcPr>
            <w:tcW w:w="2635" w:type="dxa"/>
            <w:tcBorders>
              <w:top w:val="nil"/>
              <w:left w:val="nil"/>
              <w:bottom w:val="single" w:sz="4" w:space="0" w:color="auto"/>
              <w:right w:val="single" w:sz="4" w:space="0" w:color="auto"/>
            </w:tcBorders>
            <w:shd w:val="clear" w:color="auto" w:fill="auto"/>
            <w:noWrap/>
            <w:vAlign w:val="bottom"/>
            <w:hideMark/>
          </w:tcPr>
          <w:p w14:paraId="5614870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1 244 325 460,73</w:t>
            </w:r>
          </w:p>
        </w:tc>
      </w:tr>
      <w:tr w:rsidR="003C4012" w:rsidRPr="006A2718" w14:paraId="1D985D11"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tcPr>
          <w:p w14:paraId="6157DD23" w14:textId="77777777" w:rsidR="003C4012" w:rsidRPr="00C92FF7"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Эртильский</w:t>
            </w:r>
          </w:p>
        </w:tc>
        <w:tc>
          <w:tcPr>
            <w:tcW w:w="2268" w:type="dxa"/>
            <w:tcBorders>
              <w:top w:val="nil"/>
              <w:left w:val="nil"/>
              <w:bottom w:val="single" w:sz="4" w:space="0" w:color="auto"/>
              <w:right w:val="single" w:sz="4" w:space="0" w:color="auto"/>
            </w:tcBorders>
            <w:shd w:val="clear" w:color="auto" w:fill="auto"/>
            <w:noWrap/>
            <w:vAlign w:val="bottom"/>
          </w:tcPr>
          <w:p w14:paraId="02CB70D8" w14:textId="77777777" w:rsidR="003C4012" w:rsidRPr="00C92FF7"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3745</w:t>
            </w:r>
          </w:p>
        </w:tc>
        <w:tc>
          <w:tcPr>
            <w:tcW w:w="2635" w:type="dxa"/>
            <w:tcBorders>
              <w:top w:val="nil"/>
              <w:left w:val="nil"/>
              <w:bottom w:val="single" w:sz="4" w:space="0" w:color="auto"/>
              <w:right w:val="single" w:sz="4" w:space="0" w:color="auto"/>
            </w:tcBorders>
            <w:shd w:val="clear" w:color="auto" w:fill="auto"/>
            <w:noWrap/>
            <w:vAlign w:val="bottom"/>
          </w:tcPr>
          <w:p w14:paraId="51B4BBE0" w14:textId="77777777" w:rsidR="003C4012" w:rsidRPr="00C92FF7"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1 584 048 131,22</w:t>
            </w:r>
          </w:p>
        </w:tc>
      </w:tr>
      <w:tr w:rsidR="003C4012" w:rsidRPr="006A2718" w14:paraId="10CBFC9E"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tcPr>
          <w:p w14:paraId="793713BD"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C92FF7">
              <w:rPr>
                <w:rFonts w:ascii="Times New Roman" w:eastAsia="Times New Roman" w:hAnsi="Times New Roman" w:cs="Times New Roman"/>
                <w:b/>
                <w:bCs/>
                <w:color w:val="000000"/>
                <w:lang w:eastAsia="ru-RU"/>
              </w:rPr>
              <w:t>Итог</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14:paraId="50FD2D33"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C92FF7">
              <w:rPr>
                <w:rFonts w:ascii="Times New Roman" w:hAnsi="Times New Roman" w:cs="Times New Roman"/>
                <w:b/>
              </w:rPr>
              <w:t>279544</w:t>
            </w:r>
          </w:p>
        </w:tc>
        <w:tc>
          <w:tcPr>
            <w:tcW w:w="2635" w:type="dxa"/>
            <w:tcBorders>
              <w:top w:val="single" w:sz="4" w:space="0" w:color="auto"/>
              <w:left w:val="nil"/>
              <w:bottom w:val="single" w:sz="4" w:space="0" w:color="auto"/>
              <w:right w:val="single" w:sz="4" w:space="0" w:color="auto"/>
            </w:tcBorders>
            <w:shd w:val="clear" w:color="auto" w:fill="auto"/>
            <w:noWrap/>
          </w:tcPr>
          <w:p w14:paraId="1BBBDAF7"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C92FF7">
              <w:rPr>
                <w:rFonts w:ascii="Times New Roman" w:hAnsi="Times New Roman" w:cs="Times New Roman"/>
                <w:b/>
              </w:rPr>
              <w:t>45 922 359 764,41</w:t>
            </w:r>
          </w:p>
        </w:tc>
      </w:tr>
    </w:tbl>
    <w:p w14:paraId="7CA6E66D" w14:textId="77777777" w:rsidR="003C4012" w:rsidRDefault="003C4012" w:rsidP="003C4012">
      <w:pPr>
        <w:spacing w:after="0" w:line="276" w:lineRule="auto"/>
        <w:contextualSpacing/>
        <w:jc w:val="both"/>
        <w:rPr>
          <w:rFonts w:ascii="Times New Roman" w:hAnsi="Times New Roman" w:cs="Times New Roman"/>
          <w:sz w:val="26"/>
          <w:szCs w:val="26"/>
          <w:shd w:val="clear" w:color="auto" w:fill="FFFFFF"/>
        </w:rPr>
      </w:pPr>
      <w:r>
        <w:rPr>
          <w:rFonts w:ascii="Times New Roman" w:hAnsi="Times New Roman" w:cs="Times New Roman"/>
          <w:noProof/>
          <w:sz w:val="26"/>
          <w:szCs w:val="26"/>
          <w:shd w:val="clear" w:color="auto" w:fill="FFFFFF"/>
          <w:lang w:eastAsia="ru-RU"/>
        </w:rPr>
        <w:drawing>
          <wp:inline distT="0" distB="0" distL="0" distR="0" wp14:anchorId="386C290D" wp14:editId="286F9F22">
            <wp:extent cx="6008385" cy="375539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08607" cy="3755529"/>
                    </a:xfrm>
                    <a:prstGeom prst="rect">
                      <a:avLst/>
                    </a:prstGeom>
                    <a:noFill/>
                  </pic:spPr>
                </pic:pic>
              </a:graphicData>
            </a:graphic>
          </wp:inline>
        </w:drawing>
      </w:r>
    </w:p>
    <w:p w14:paraId="29E2EA2C" w14:textId="77777777" w:rsidR="003C4012" w:rsidRPr="00F562A8" w:rsidRDefault="003C4012" w:rsidP="003C4012">
      <w:pPr>
        <w:spacing w:after="0" w:line="276" w:lineRule="auto"/>
        <w:contextualSpacing/>
        <w:jc w:val="center"/>
        <w:rPr>
          <w:rFonts w:ascii="Times New Roman" w:hAnsi="Times New Roman" w:cs="Times New Roman"/>
          <w:sz w:val="26"/>
          <w:szCs w:val="26"/>
        </w:rPr>
      </w:pPr>
      <w:r w:rsidRPr="00C92FF7">
        <w:rPr>
          <w:rFonts w:ascii="Times New Roman" w:hAnsi="Times New Roman" w:cs="Times New Roman"/>
          <w:sz w:val="26"/>
          <w:szCs w:val="26"/>
        </w:rPr>
        <w:t>Рис. 3.3.1.</w:t>
      </w:r>
      <w:r>
        <w:rPr>
          <w:rFonts w:ascii="Times New Roman" w:hAnsi="Times New Roman" w:cs="Times New Roman"/>
          <w:sz w:val="26"/>
          <w:szCs w:val="26"/>
        </w:rPr>
        <w:t>9</w:t>
      </w:r>
      <w:r w:rsidRPr="00C92FF7">
        <w:rPr>
          <w:rFonts w:ascii="Times New Roman" w:hAnsi="Times New Roman" w:cs="Times New Roman"/>
          <w:sz w:val="26"/>
          <w:szCs w:val="26"/>
        </w:rPr>
        <w:t xml:space="preserve"> Количество оцениваемых земельных участков из состава земель сельскохозяйственного назначения в разрезе муниципальных районов Воронежской области</w:t>
      </w:r>
    </w:p>
    <w:p w14:paraId="56639131" w14:textId="77777777" w:rsidR="003C4012" w:rsidRDefault="003C4012" w:rsidP="003C4012">
      <w:pPr>
        <w:rPr>
          <w:sz w:val="26"/>
          <w:szCs w:val="26"/>
        </w:rPr>
      </w:pPr>
    </w:p>
    <w:p w14:paraId="4F7BEA89" w14:textId="77777777" w:rsidR="003C4012" w:rsidRPr="003C4012" w:rsidRDefault="003C4012" w:rsidP="003C4012">
      <w:pPr>
        <w:jc w:val="center"/>
        <w:rPr>
          <w:rFonts w:ascii="Times New Roman" w:hAnsi="Times New Roman" w:cs="Times New Roman"/>
          <w:i/>
          <w:sz w:val="26"/>
          <w:szCs w:val="26"/>
          <w:shd w:val="clear" w:color="auto" w:fill="FFFFFF"/>
        </w:rPr>
      </w:pPr>
      <w:r w:rsidRPr="003C4012">
        <w:rPr>
          <w:rFonts w:ascii="Times New Roman" w:hAnsi="Times New Roman" w:cs="Times New Roman"/>
          <w:i/>
          <w:sz w:val="26"/>
          <w:szCs w:val="26"/>
          <w:shd w:val="clear" w:color="auto" w:fill="FFFFFF"/>
        </w:rPr>
        <w:t>Описание особо охраняемых территорий и объектов Воронежской области</w:t>
      </w:r>
    </w:p>
    <w:p w14:paraId="5FE177D7" w14:textId="77777777" w:rsidR="003C4012"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D3479C">
        <w:rPr>
          <w:rFonts w:ascii="Times New Roman" w:eastAsia="Times New Roman" w:hAnsi="Times New Roman" w:cs="Times New Roman"/>
          <w:sz w:val="26"/>
          <w:szCs w:val="26"/>
          <w:lang w:eastAsia="ru-RU"/>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r w:rsidRPr="00D3479C">
        <w:rPr>
          <w:rFonts w:ascii="Times New Roman" w:eastAsia="Times New Roman" w:hAnsi="Times New Roman" w:cs="Times New Roman"/>
          <w:sz w:val="26"/>
          <w:szCs w:val="26"/>
          <w:lang w:eastAsia="ru-RU"/>
        </w:rPr>
        <w:br/>
        <w:t>Особо охраняемые природные территории относятся к объектам общенационального достояния.</w:t>
      </w:r>
      <w:r>
        <w:rPr>
          <w:rFonts w:ascii="Times New Roman" w:eastAsia="Times New Roman" w:hAnsi="Times New Roman" w:cs="Times New Roman"/>
          <w:sz w:val="26"/>
          <w:szCs w:val="26"/>
          <w:lang w:eastAsia="ru-RU"/>
        </w:rPr>
        <w:t xml:space="preserve"> </w:t>
      </w:r>
    </w:p>
    <w:p w14:paraId="67BF51E3" w14:textId="77777777" w:rsidR="003C4012"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D3479C">
        <w:rPr>
          <w:rFonts w:ascii="Times New Roman" w:eastAsia="Times New Roman" w:hAnsi="Times New Roman" w:cs="Times New Roman"/>
          <w:sz w:val="26"/>
          <w:szCs w:val="26"/>
          <w:lang w:eastAsia="ru-RU"/>
        </w:rPr>
        <w:t>Особо охраняемые природные территории могут иметь федеральное, региональное или местное значение и находиться в ведении соответственно федеральных органов исполнительной власти, органов исполнительной власти субъектов Российской Федерации и органов местного самоуправления, а также в ведении государственных научных организаций и государственных образовательных организаций высшего образования.</w:t>
      </w:r>
      <w:r>
        <w:rPr>
          <w:rFonts w:ascii="Times New Roman" w:eastAsia="Times New Roman" w:hAnsi="Times New Roman" w:cs="Times New Roman"/>
          <w:sz w:val="26"/>
          <w:szCs w:val="26"/>
          <w:lang w:eastAsia="ru-RU"/>
        </w:rPr>
        <w:t xml:space="preserve"> </w:t>
      </w:r>
    </w:p>
    <w:p w14:paraId="31B5690D" w14:textId="77777777" w:rsidR="003C4012"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D3479C">
        <w:rPr>
          <w:rFonts w:ascii="Times New Roman" w:eastAsia="Times New Roman" w:hAnsi="Times New Roman" w:cs="Times New Roman"/>
          <w:sz w:val="26"/>
          <w:szCs w:val="26"/>
          <w:lang w:eastAsia="ru-RU"/>
        </w:rPr>
        <w:t>С учетом особенностей режима особо охраняемых природных территорий различаются следующие категории указанных территорий:</w:t>
      </w:r>
    </w:p>
    <w:p w14:paraId="178BEDAB" w14:textId="77777777" w:rsidR="003C4012"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D3479C">
        <w:rPr>
          <w:rFonts w:ascii="Times New Roman" w:eastAsia="Times New Roman" w:hAnsi="Times New Roman" w:cs="Times New Roman"/>
          <w:sz w:val="26"/>
          <w:szCs w:val="26"/>
          <w:lang w:eastAsia="ru-RU"/>
        </w:rPr>
        <w:t>а) государственные природные заповедники, в том числе биосферные заповедники;</w:t>
      </w:r>
    </w:p>
    <w:p w14:paraId="6E2979B5" w14:textId="77777777" w:rsidR="003C4012"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D3479C">
        <w:rPr>
          <w:rFonts w:ascii="Times New Roman" w:eastAsia="Times New Roman" w:hAnsi="Times New Roman" w:cs="Times New Roman"/>
          <w:sz w:val="26"/>
          <w:szCs w:val="26"/>
          <w:lang w:eastAsia="ru-RU"/>
        </w:rPr>
        <w:t>б) национальные парки;</w:t>
      </w:r>
    </w:p>
    <w:p w14:paraId="482F049F" w14:textId="77777777" w:rsidR="003C4012"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D3479C">
        <w:rPr>
          <w:rFonts w:ascii="Times New Roman" w:eastAsia="Times New Roman" w:hAnsi="Times New Roman" w:cs="Times New Roman"/>
          <w:sz w:val="26"/>
          <w:szCs w:val="26"/>
          <w:lang w:eastAsia="ru-RU"/>
        </w:rPr>
        <w:t>в) природные парки;</w:t>
      </w:r>
    </w:p>
    <w:p w14:paraId="4ED128F1" w14:textId="77777777" w:rsidR="003C4012"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D3479C">
        <w:rPr>
          <w:rFonts w:ascii="Times New Roman" w:eastAsia="Times New Roman" w:hAnsi="Times New Roman" w:cs="Times New Roman"/>
          <w:sz w:val="26"/>
          <w:szCs w:val="26"/>
          <w:lang w:eastAsia="ru-RU"/>
        </w:rPr>
        <w:t>г) государственные природные заказники;</w:t>
      </w:r>
    </w:p>
    <w:p w14:paraId="491C95F1" w14:textId="77777777" w:rsidR="003C4012"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D3479C">
        <w:rPr>
          <w:rFonts w:ascii="Times New Roman" w:eastAsia="Times New Roman" w:hAnsi="Times New Roman" w:cs="Times New Roman"/>
          <w:sz w:val="26"/>
          <w:szCs w:val="26"/>
          <w:lang w:eastAsia="ru-RU"/>
        </w:rPr>
        <w:t>д) памятники природы;</w:t>
      </w:r>
    </w:p>
    <w:p w14:paraId="68B12A12" w14:textId="77777777" w:rsidR="003C4012"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D3479C">
        <w:rPr>
          <w:rFonts w:ascii="Times New Roman" w:eastAsia="Times New Roman" w:hAnsi="Times New Roman" w:cs="Times New Roman"/>
          <w:sz w:val="26"/>
          <w:szCs w:val="26"/>
          <w:lang w:eastAsia="ru-RU"/>
        </w:rPr>
        <w:t>е) дендрологические парки и ботанические сады.</w:t>
      </w:r>
    </w:p>
    <w:p w14:paraId="6FA7E77A" w14:textId="77777777" w:rsidR="003C4012"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D3479C">
        <w:rPr>
          <w:rFonts w:ascii="Times New Roman" w:eastAsia="Times New Roman" w:hAnsi="Times New Roman" w:cs="Times New Roman"/>
          <w:sz w:val="26"/>
          <w:szCs w:val="26"/>
          <w:lang w:eastAsia="ru-RU"/>
        </w:rPr>
        <w:t>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w:t>
      </w:r>
      <w:r>
        <w:rPr>
          <w:rFonts w:ascii="Times New Roman" w:eastAsia="Times New Roman" w:hAnsi="Times New Roman" w:cs="Times New Roman"/>
          <w:sz w:val="26"/>
          <w:szCs w:val="26"/>
          <w:lang w:eastAsia="ru-RU"/>
        </w:rPr>
        <w:t xml:space="preserve"> </w:t>
      </w:r>
    </w:p>
    <w:p w14:paraId="17682597" w14:textId="77777777" w:rsidR="003C4012"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D3479C">
        <w:rPr>
          <w:rFonts w:ascii="Times New Roman" w:eastAsia="Times New Roman" w:hAnsi="Times New Roman" w:cs="Times New Roman"/>
          <w:sz w:val="26"/>
          <w:szCs w:val="26"/>
          <w:lang w:eastAsia="ru-RU"/>
        </w:rPr>
        <w:t>Государственные природные заповедники и национальные парки относятся к особо охраняемым природным территориям федерального значения.</w:t>
      </w:r>
    </w:p>
    <w:p w14:paraId="1176C57C" w14:textId="77777777" w:rsidR="003C4012"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D3479C">
        <w:rPr>
          <w:rFonts w:ascii="Times New Roman" w:eastAsia="Times New Roman" w:hAnsi="Times New Roman" w:cs="Times New Roman"/>
          <w:sz w:val="26"/>
          <w:szCs w:val="26"/>
          <w:lang w:eastAsia="ru-RU"/>
        </w:rPr>
        <w:t>Государственные природные заказники, памятники природы, дендрологические парки и ботанические сады могут быть отнесены к особо охраняемым природным территориям федерального значения или особо охраняемым природным территориям регионального значения</w:t>
      </w:r>
      <w:r>
        <w:rPr>
          <w:rFonts w:ascii="Times New Roman" w:eastAsia="Times New Roman" w:hAnsi="Times New Roman" w:cs="Times New Roman"/>
          <w:sz w:val="26"/>
          <w:szCs w:val="26"/>
          <w:lang w:eastAsia="ru-RU"/>
        </w:rPr>
        <w:t xml:space="preserve">. </w:t>
      </w:r>
    </w:p>
    <w:p w14:paraId="1482DF4C" w14:textId="77777777" w:rsidR="003C4012" w:rsidRDefault="003C4012" w:rsidP="003C4012">
      <w:pPr>
        <w:spacing w:after="0" w:line="276" w:lineRule="auto"/>
        <w:ind w:firstLine="708"/>
        <w:jc w:val="both"/>
        <w:rPr>
          <w:rFonts w:ascii="Times New Roman" w:eastAsia="Times New Roman" w:hAnsi="Times New Roman" w:cs="Times New Roman"/>
          <w:sz w:val="26"/>
          <w:szCs w:val="26"/>
          <w:lang w:eastAsia="ru-RU"/>
        </w:rPr>
      </w:pPr>
      <w:r w:rsidRPr="00D3479C">
        <w:rPr>
          <w:rFonts w:ascii="Times New Roman" w:eastAsia="Times New Roman" w:hAnsi="Times New Roman" w:cs="Times New Roman"/>
          <w:sz w:val="26"/>
          <w:szCs w:val="26"/>
          <w:lang w:eastAsia="ru-RU"/>
        </w:rPr>
        <w:t>Природные парки относятся к особо охраняемым природным территориям регионального значения.</w:t>
      </w:r>
    </w:p>
    <w:p w14:paraId="7BBD1164" w14:textId="77777777" w:rsidR="003C4012" w:rsidRPr="00C92FF7" w:rsidRDefault="003C4012" w:rsidP="003C4012">
      <w:pPr>
        <w:spacing w:after="0" w:line="276"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Воронежской области 3 категории особо охраняемых природных территорий: заповедники, заказники, памятники природы. Заповедников 2- Воронежский </w:t>
      </w:r>
      <w:r w:rsidRPr="00C92FF7">
        <w:rPr>
          <w:rFonts w:ascii="Times New Roman" w:eastAsia="Times New Roman" w:hAnsi="Times New Roman" w:cs="Times New Roman"/>
          <w:sz w:val="26"/>
          <w:szCs w:val="26"/>
          <w:lang w:eastAsia="ru-RU"/>
        </w:rPr>
        <w:t xml:space="preserve">биосферный природный заповедник и Хоперский природный заповедник. </w:t>
      </w:r>
    </w:p>
    <w:p w14:paraId="1F511EAB" w14:textId="77777777" w:rsidR="003C4012" w:rsidRPr="00C92FF7" w:rsidRDefault="003C4012" w:rsidP="003C4012">
      <w:pPr>
        <w:spacing w:after="0" w:line="276" w:lineRule="auto"/>
        <w:ind w:firstLine="708"/>
        <w:contextualSpacing/>
        <w:jc w:val="both"/>
        <w:rPr>
          <w:rFonts w:ascii="Times New Roman" w:hAnsi="Times New Roman" w:cs="Times New Roman"/>
          <w:sz w:val="26"/>
          <w:szCs w:val="26"/>
        </w:rPr>
      </w:pPr>
      <w:r w:rsidRPr="00C92FF7">
        <w:rPr>
          <w:rFonts w:ascii="Times New Roman" w:hAnsi="Times New Roman" w:cs="Times New Roman"/>
          <w:sz w:val="26"/>
          <w:szCs w:val="26"/>
        </w:rPr>
        <w:t>Количество и площадь оцениваемых земельных участков из состава земель особо охраняемых территорий и объектов в разрезе муниципальных районов Воронежской области, сведения о которых содержатся в Перечне представлено в таблице 3.3.1.</w:t>
      </w:r>
      <w:r>
        <w:rPr>
          <w:rFonts w:ascii="Times New Roman" w:hAnsi="Times New Roman" w:cs="Times New Roman"/>
          <w:sz w:val="26"/>
          <w:szCs w:val="26"/>
        </w:rPr>
        <w:t>6</w:t>
      </w:r>
      <w:r w:rsidRPr="00C92FF7">
        <w:rPr>
          <w:rFonts w:ascii="Times New Roman" w:hAnsi="Times New Roman" w:cs="Times New Roman"/>
          <w:sz w:val="26"/>
          <w:szCs w:val="26"/>
        </w:rPr>
        <w:t>.</w:t>
      </w:r>
    </w:p>
    <w:p w14:paraId="06D35641" w14:textId="77777777" w:rsidR="003C4012" w:rsidRPr="00C92FF7" w:rsidRDefault="003C4012" w:rsidP="003C4012">
      <w:pPr>
        <w:spacing w:after="0" w:line="276" w:lineRule="auto"/>
        <w:ind w:firstLine="708"/>
        <w:contextualSpacing/>
        <w:jc w:val="right"/>
        <w:rPr>
          <w:rFonts w:ascii="Times New Roman" w:hAnsi="Times New Roman" w:cs="Times New Roman"/>
          <w:sz w:val="26"/>
          <w:szCs w:val="26"/>
        </w:rPr>
      </w:pPr>
      <w:r w:rsidRPr="00C92FF7">
        <w:rPr>
          <w:rFonts w:ascii="Times New Roman" w:hAnsi="Times New Roman" w:cs="Times New Roman"/>
          <w:sz w:val="26"/>
          <w:szCs w:val="26"/>
        </w:rPr>
        <w:t>Таблица 3.3.1.</w:t>
      </w:r>
      <w:r>
        <w:rPr>
          <w:rFonts w:ascii="Times New Roman" w:hAnsi="Times New Roman" w:cs="Times New Roman"/>
          <w:sz w:val="26"/>
          <w:szCs w:val="26"/>
        </w:rPr>
        <w:t>6</w:t>
      </w:r>
    </w:p>
    <w:p w14:paraId="74A0B1A2" w14:textId="77777777" w:rsidR="003C4012" w:rsidRPr="00C92FF7" w:rsidRDefault="003C4012" w:rsidP="003C4012">
      <w:pPr>
        <w:spacing w:after="0" w:line="276" w:lineRule="auto"/>
        <w:contextualSpacing/>
        <w:jc w:val="center"/>
        <w:rPr>
          <w:rFonts w:ascii="Times New Roman" w:hAnsi="Times New Roman" w:cs="Times New Roman"/>
          <w:sz w:val="26"/>
          <w:szCs w:val="26"/>
        </w:rPr>
      </w:pPr>
      <w:r w:rsidRPr="00C92FF7">
        <w:rPr>
          <w:rFonts w:ascii="Times New Roman" w:hAnsi="Times New Roman" w:cs="Times New Roman"/>
          <w:sz w:val="26"/>
          <w:szCs w:val="26"/>
        </w:rPr>
        <w:t>Количество и площадь оцениваемых земельных участков из состава земель особо охраняемых территорий и объектов в разрезе муниципальных районов Воронежской области</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268"/>
        <w:gridCol w:w="2635"/>
      </w:tblGrid>
      <w:tr w:rsidR="003C4012" w:rsidRPr="006A2718" w14:paraId="75B21C05" w14:textId="77777777" w:rsidTr="00260FF1">
        <w:trPr>
          <w:trHeight w:val="300"/>
        </w:trPr>
        <w:tc>
          <w:tcPr>
            <w:tcW w:w="4531" w:type="dxa"/>
            <w:shd w:val="clear" w:color="auto" w:fill="auto"/>
            <w:noWrap/>
            <w:vAlign w:val="center"/>
          </w:tcPr>
          <w:p w14:paraId="53CB92A1"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C92FF7">
              <w:rPr>
                <w:rFonts w:ascii="Times New Roman" w:eastAsia="Times New Roman" w:hAnsi="Times New Roman" w:cs="Times New Roman"/>
                <w:b/>
                <w:bCs/>
                <w:color w:val="000000"/>
                <w:lang w:eastAsia="ru-RU"/>
              </w:rPr>
              <w:t>Наименование района/городского округа</w:t>
            </w:r>
          </w:p>
        </w:tc>
        <w:tc>
          <w:tcPr>
            <w:tcW w:w="2268" w:type="dxa"/>
            <w:shd w:val="clear" w:color="auto" w:fill="auto"/>
            <w:noWrap/>
            <w:vAlign w:val="center"/>
          </w:tcPr>
          <w:p w14:paraId="43C51137"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C92FF7">
              <w:rPr>
                <w:rFonts w:ascii="Times New Roman" w:eastAsia="Times New Roman" w:hAnsi="Times New Roman" w:cs="Times New Roman"/>
                <w:b/>
                <w:bCs/>
                <w:color w:val="000000"/>
                <w:lang w:eastAsia="ru-RU"/>
              </w:rPr>
              <w:t>Количество ЗУ, шт.</w:t>
            </w:r>
          </w:p>
        </w:tc>
        <w:tc>
          <w:tcPr>
            <w:tcW w:w="2635" w:type="dxa"/>
            <w:shd w:val="clear" w:color="auto" w:fill="auto"/>
            <w:noWrap/>
            <w:vAlign w:val="center"/>
          </w:tcPr>
          <w:p w14:paraId="7A3245F1"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C92FF7">
              <w:rPr>
                <w:rFonts w:ascii="Times New Roman" w:eastAsia="Times New Roman" w:hAnsi="Times New Roman" w:cs="Times New Roman"/>
                <w:b/>
                <w:bCs/>
                <w:color w:val="000000"/>
                <w:lang w:eastAsia="ru-RU"/>
              </w:rPr>
              <w:t>Площадь ЗУ, м2</w:t>
            </w:r>
          </w:p>
        </w:tc>
      </w:tr>
      <w:tr w:rsidR="003C4012" w:rsidRPr="00C92FF7" w14:paraId="30BC891C" w14:textId="77777777" w:rsidTr="00260FF1">
        <w:trPr>
          <w:trHeight w:val="300"/>
        </w:trPr>
        <w:tc>
          <w:tcPr>
            <w:tcW w:w="4531" w:type="dxa"/>
            <w:shd w:val="clear" w:color="auto" w:fill="auto"/>
            <w:noWrap/>
            <w:vAlign w:val="bottom"/>
          </w:tcPr>
          <w:p w14:paraId="4CE9D431" w14:textId="77777777" w:rsidR="003C4012" w:rsidRPr="00C92FF7"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Бобровский</w:t>
            </w:r>
          </w:p>
        </w:tc>
        <w:tc>
          <w:tcPr>
            <w:tcW w:w="2268" w:type="dxa"/>
            <w:shd w:val="clear" w:color="auto" w:fill="auto"/>
            <w:noWrap/>
            <w:vAlign w:val="bottom"/>
          </w:tcPr>
          <w:p w14:paraId="417E36B0" w14:textId="77777777" w:rsidR="003C4012" w:rsidRPr="00C92FF7"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3</w:t>
            </w:r>
          </w:p>
        </w:tc>
        <w:tc>
          <w:tcPr>
            <w:tcW w:w="2635" w:type="dxa"/>
            <w:shd w:val="clear" w:color="auto" w:fill="auto"/>
            <w:noWrap/>
            <w:vAlign w:val="bottom"/>
          </w:tcPr>
          <w:p w14:paraId="2204E471" w14:textId="77777777" w:rsidR="003C4012" w:rsidRPr="00C92FF7"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192 106,00</w:t>
            </w:r>
          </w:p>
        </w:tc>
      </w:tr>
      <w:tr w:rsidR="003C4012" w:rsidRPr="006A2718" w14:paraId="6612076C" w14:textId="77777777" w:rsidTr="00260FF1">
        <w:trPr>
          <w:trHeight w:val="300"/>
        </w:trPr>
        <w:tc>
          <w:tcPr>
            <w:tcW w:w="4531" w:type="dxa"/>
            <w:shd w:val="clear" w:color="auto" w:fill="auto"/>
            <w:noWrap/>
            <w:vAlign w:val="bottom"/>
            <w:hideMark/>
          </w:tcPr>
          <w:p w14:paraId="4BE4CAA4"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Богучарский</w:t>
            </w:r>
          </w:p>
        </w:tc>
        <w:tc>
          <w:tcPr>
            <w:tcW w:w="2268" w:type="dxa"/>
            <w:shd w:val="clear" w:color="auto" w:fill="auto"/>
            <w:noWrap/>
            <w:vAlign w:val="bottom"/>
            <w:hideMark/>
          </w:tcPr>
          <w:p w14:paraId="233EDCC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6</w:t>
            </w:r>
          </w:p>
        </w:tc>
        <w:tc>
          <w:tcPr>
            <w:tcW w:w="2635" w:type="dxa"/>
            <w:shd w:val="clear" w:color="auto" w:fill="auto"/>
            <w:noWrap/>
            <w:vAlign w:val="bottom"/>
            <w:hideMark/>
          </w:tcPr>
          <w:p w14:paraId="3DA7B686"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771 699,00</w:t>
            </w:r>
          </w:p>
        </w:tc>
      </w:tr>
      <w:tr w:rsidR="003C4012" w:rsidRPr="006A2718" w14:paraId="4080D530" w14:textId="77777777" w:rsidTr="00260FF1">
        <w:trPr>
          <w:trHeight w:val="300"/>
        </w:trPr>
        <w:tc>
          <w:tcPr>
            <w:tcW w:w="4531" w:type="dxa"/>
            <w:shd w:val="clear" w:color="auto" w:fill="auto"/>
            <w:noWrap/>
            <w:vAlign w:val="bottom"/>
            <w:hideMark/>
          </w:tcPr>
          <w:p w14:paraId="5CB3A4C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Борисоглебский</w:t>
            </w:r>
          </w:p>
        </w:tc>
        <w:tc>
          <w:tcPr>
            <w:tcW w:w="2268" w:type="dxa"/>
            <w:shd w:val="clear" w:color="auto" w:fill="auto"/>
            <w:noWrap/>
            <w:vAlign w:val="bottom"/>
            <w:hideMark/>
          </w:tcPr>
          <w:p w14:paraId="72C571B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6</w:t>
            </w:r>
          </w:p>
        </w:tc>
        <w:tc>
          <w:tcPr>
            <w:tcW w:w="2635" w:type="dxa"/>
            <w:shd w:val="clear" w:color="auto" w:fill="auto"/>
            <w:noWrap/>
            <w:vAlign w:val="bottom"/>
            <w:hideMark/>
          </w:tcPr>
          <w:p w14:paraId="1BA9146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400 358,00</w:t>
            </w:r>
          </w:p>
        </w:tc>
      </w:tr>
      <w:tr w:rsidR="003C4012" w:rsidRPr="006A2718" w14:paraId="5684D1D1" w14:textId="77777777" w:rsidTr="00260FF1">
        <w:trPr>
          <w:trHeight w:val="300"/>
        </w:trPr>
        <w:tc>
          <w:tcPr>
            <w:tcW w:w="4531" w:type="dxa"/>
            <w:shd w:val="clear" w:color="auto" w:fill="auto"/>
            <w:noWrap/>
            <w:vAlign w:val="bottom"/>
            <w:hideMark/>
          </w:tcPr>
          <w:p w14:paraId="297F727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Бутурлиновский</w:t>
            </w:r>
          </w:p>
        </w:tc>
        <w:tc>
          <w:tcPr>
            <w:tcW w:w="2268" w:type="dxa"/>
            <w:shd w:val="clear" w:color="auto" w:fill="auto"/>
            <w:noWrap/>
            <w:vAlign w:val="bottom"/>
            <w:hideMark/>
          </w:tcPr>
          <w:p w14:paraId="195846BC"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4</w:t>
            </w:r>
          </w:p>
        </w:tc>
        <w:tc>
          <w:tcPr>
            <w:tcW w:w="2635" w:type="dxa"/>
            <w:shd w:val="clear" w:color="auto" w:fill="auto"/>
            <w:noWrap/>
            <w:vAlign w:val="bottom"/>
            <w:hideMark/>
          </w:tcPr>
          <w:p w14:paraId="6A9E508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175 091,00</w:t>
            </w:r>
          </w:p>
        </w:tc>
      </w:tr>
      <w:tr w:rsidR="003C4012" w:rsidRPr="006A2718" w14:paraId="6C6308D8" w14:textId="77777777" w:rsidTr="00260FF1">
        <w:trPr>
          <w:trHeight w:val="300"/>
        </w:trPr>
        <w:tc>
          <w:tcPr>
            <w:tcW w:w="4531" w:type="dxa"/>
            <w:shd w:val="clear" w:color="auto" w:fill="auto"/>
            <w:noWrap/>
            <w:vAlign w:val="bottom"/>
            <w:hideMark/>
          </w:tcPr>
          <w:p w14:paraId="4072194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Верхнемамонский</w:t>
            </w:r>
          </w:p>
        </w:tc>
        <w:tc>
          <w:tcPr>
            <w:tcW w:w="2268" w:type="dxa"/>
            <w:shd w:val="clear" w:color="auto" w:fill="auto"/>
            <w:noWrap/>
            <w:vAlign w:val="bottom"/>
            <w:hideMark/>
          </w:tcPr>
          <w:p w14:paraId="744107F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6</w:t>
            </w:r>
          </w:p>
        </w:tc>
        <w:tc>
          <w:tcPr>
            <w:tcW w:w="2635" w:type="dxa"/>
            <w:shd w:val="clear" w:color="auto" w:fill="auto"/>
            <w:noWrap/>
            <w:vAlign w:val="bottom"/>
            <w:hideMark/>
          </w:tcPr>
          <w:p w14:paraId="7DDB97F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120 567,00</w:t>
            </w:r>
          </w:p>
        </w:tc>
      </w:tr>
      <w:tr w:rsidR="003C4012" w:rsidRPr="006A2718" w14:paraId="1DF1260B" w14:textId="77777777" w:rsidTr="00260FF1">
        <w:trPr>
          <w:trHeight w:val="300"/>
        </w:trPr>
        <w:tc>
          <w:tcPr>
            <w:tcW w:w="4531" w:type="dxa"/>
            <w:shd w:val="clear" w:color="auto" w:fill="auto"/>
            <w:noWrap/>
            <w:vAlign w:val="bottom"/>
            <w:hideMark/>
          </w:tcPr>
          <w:p w14:paraId="2E57465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Верхнехавский</w:t>
            </w:r>
          </w:p>
        </w:tc>
        <w:tc>
          <w:tcPr>
            <w:tcW w:w="2268" w:type="dxa"/>
            <w:shd w:val="clear" w:color="auto" w:fill="auto"/>
            <w:noWrap/>
            <w:vAlign w:val="bottom"/>
            <w:hideMark/>
          </w:tcPr>
          <w:p w14:paraId="653386B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51</w:t>
            </w:r>
          </w:p>
        </w:tc>
        <w:tc>
          <w:tcPr>
            <w:tcW w:w="2635" w:type="dxa"/>
            <w:shd w:val="clear" w:color="auto" w:fill="auto"/>
            <w:noWrap/>
            <w:vAlign w:val="bottom"/>
            <w:hideMark/>
          </w:tcPr>
          <w:p w14:paraId="04C53E3C"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354 416 832,00</w:t>
            </w:r>
          </w:p>
        </w:tc>
      </w:tr>
      <w:tr w:rsidR="003C4012" w:rsidRPr="006A2718" w14:paraId="46BE1A21" w14:textId="77777777" w:rsidTr="00260FF1">
        <w:trPr>
          <w:trHeight w:val="300"/>
        </w:trPr>
        <w:tc>
          <w:tcPr>
            <w:tcW w:w="4531" w:type="dxa"/>
            <w:shd w:val="clear" w:color="auto" w:fill="auto"/>
            <w:noWrap/>
            <w:vAlign w:val="bottom"/>
            <w:hideMark/>
          </w:tcPr>
          <w:p w14:paraId="474D27D9"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Воробьевский</w:t>
            </w:r>
          </w:p>
        </w:tc>
        <w:tc>
          <w:tcPr>
            <w:tcW w:w="2268" w:type="dxa"/>
            <w:shd w:val="clear" w:color="auto" w:fill="auto"/>
            <w:noWrap/>
            <w:vAlign w:val="bottom"/>
            <w:hideMark/>
          </w:tcPr>
          <w:p w14:paraId="75FE7DF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4</w:t>
            </w:r>
          </w:p>
        </w:tc>
        <w:tc>
          <w:tcPr>
            <w:tcW w:w="2635" w:type="dxa"/>
            <w:shd w:val="clear" w:color="auto" w:fill="auto"/>
            <w:noWrap/>
            <w:vAlign w:val="bottom"/>
            <w:hideMark/>
          </w:tcPr>
          <w:p w14:paraId="3F33F155"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102 727,00</w:t>
            </w:r>
          </w:p>
        </w:tc>
      </w:tr>
      <w:tr w:rsidR="003C4012" w:rsidRPr="006A2718" w14:paraId="2482D0B0" w14:textId="77777777" w:rsidTr="00260FF1">
        <w:trPr>
          <w:trHeight w:val="300"/>
        </w:trPr>
        <w:tc>
          <w:tcPr>
            <w:tcW w:w="4531" w:type="dxa"/>
            <w:shd w:val="clear" w:color="auto" w:fill="auto"/>
            <w:noWrap/>
            <w:vAlign w:val="bottom"/>
            <w:hideMark/>
          </w:tcPr>
          <w:p w14:paraId="05FD2C1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ГО г.Воронеж</w:t>
            </w:r>
          </w:p>
        </w:tc>
        <w:tc>
          <w:tcPr>
            <w:tcW w:w="2268" w:type="dxa"/>
            <w:shd w:val="clear" w:color="auto" w:fill="auto"/>
            <w:noWrap/>
            <w:vAlign w:val="bottom"/>
            <w:hideMark/>
          </w:tcPr>
          <w:p w14:paraId="5C907E56"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w:t>
            </w:r>
          </w:p>
        </w:tc>
        <w:tc>
          <w:tcPr>
            <w:tcW w:w="2635" w:type="dxa"/>
            <w:shd w:val="clear" w:color="auto" w:fill="auto"/>
            <w:noWrap/>
            <w:vAlign w:val="bottom"/>
            <w:hideMark/>
          </w:tcPr>
          <w:p w14:paraId="2E4B943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399 592,00</w:t>
            </w:r>
          </w:p>
        </w:tc>
      </w:tr>
      <w:tr w:rsidR="003C4012" w:rsidRPr="006A2718" w14:paraId="5E479505" w14:textId="77777777" w:rsidTr="00260FF1">
        <w:trPr>
          <w:trHeight w:val="300"/>
        </w:trPr>
        <w:tc>
          <w:tcPr>
            <w:tcW w:w="4531" w:type="dxa"/>
            <w:shd w:val="clear" w:color="auto" w:fill="auto"/>
            <w:noWrap/>
            <w:vAlign w:val="bottom"/>
            <w:hideMark/>
          </w:tcPr>
          <w:p w14:paraId="498CB25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Грибановский</w:t>
            </w:r>
          </w:p>
        </w:tc>
        <w:tc>
          <w:tcPr>
            <w:tcW w:w="2268" w:type="dxa"/>
            <w:shd w:val="clear" w:color="auto" w:fill="auto"/>
            <w:noWrap/>
            <w:vAlign w:val="bottom"/>
            <w:hideMark/>
          </w:tcPr>
          <w:p w14:paraId="35A1F17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w:t>
            </w:r>
          </w:p>
        </w:tc>
        <w:tc>
          <w:tcPr>
            <w:tcW w:w="2635" w:type="dxa"/>
            <w:shd w:val="clear" w:color="auto" w:fill="auto"/>
            <w:noWrap/>
            <w:vAlign w:val="bottom"/>
            <w:hideMark/>
          </w:tcPr>
          <w:p w14:paraId="20B86D5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25 039 061,00</w:t>
            </w:r>
          </w:p>
        </w:tc>
      </w:tr>
      <w:tr w:rsidR="003C4012" w:rsidRPr="006A2718" w14:paraId="511996AC" w14:textId="77777777" w:rsidTr="00260FF1">
        <w:trPr>
          <w:trHeight w:val="300"/>
        </w:trPr>
        <w:tc>
          <w:tcPr>
            <w:tcW w:w="4531" w:type="dxa"/>
            <w:shd w:val="clear" w:color="auto" w:fill="auto"/>
            <w:noWrap/>
            <w:vAlign w:val="bottom"/>
            <w:hideMark/>
          </w:tcPr>
          <w:p w14:paraId="7B2CC8A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Калачеевский</w:t>
            </w:r>
          </w:p>
        </w:tc>
        <w:tc>
          <w:tcPr>
            <w:tcW w:w="2268" w:type="dxa"/>
            <w:shd w:val="clear" w:color="auto" w:fill="auto"/>
            <w:noWrap/>
            <w:vAlign w:val="bottom"/>
            <w:hideMark/>
          </w:tcPr>
          <w:p w14:paraId="001B1886"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6</w:t>
            </w:r>
          </w:p>
        </w:tc>
        <w:tc>
          <w:tcPr>
            <w:tcW w:w="2635" w:type="dxa"/>
            <w:shd w:val="clear" w:color="auto" w:fill="auto"/>
            <w:noWrap/>
            <w:vAlign w:val="bottom"/>
            <w:hideMark/>
          </w:tcPr>
          <w:p w14:paraId="2A887C69"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130 946,00</w:t>
            </w:r>
          </w:p>
        </w:tc>
      </w:tr>
      <w:tr w:rsidR="003C4012" w:rsidRPr="006A2718" w14:paraId="144B0FA6" w14:textId="77777777" w:rsidTr="00260FF1">
        <w:trPr>
          <w:trHeight w:val="300"/>
        </w:trPr>
        <w:tc>
          <w:tcPr>
            <w:tcW w:w="4531" w:type="dxa"/>
            <w:shd w:val="clear" w:color="auto" w:fill="auto"/>
            <w:noWrap/>
            <w:vAlign w:val="bottom"/>
            <w:hideMark/>
          </w:tcPr>
          <w:p w14:paraId="5DB6142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Каменский</w:t>
            </w:r>
          </w:p>
        </w:tc>
        <w:tc>
          <w:tcPr>
            <w:tcW w:w="2268" w:type="dxa"/>
            <w:shd w:val="clear" w:color="auto" w:fill="auto"/>
            <w:noWrap/>
            <w:vAlign w:val="bottom"/>
            <w:hideMark/>
          </w:tcPr>
          <w:p w14:paraId="2D2F396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3</w:t>
            </w:r>
          </w:p>
        </w:tc>
        <w:tc>
          <w:tcPr>
            <w:tcW w:w="2635" w:type="dxa"/>
            <w:shd w:val="clear" w:color="auto" w:fill="auto"/>
            <w:noWrap/>
            <w:vAlign w:val="bottom"/>
            <w:hideMark/>
          </w:tcPr>
          <w:p w14:paraId="07BA61E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70 197,00</w:t>
            </w:r>
          </w:p>
        </w:tc>
      </w:tr>
      <w:tr w:rsidR="003C4012" w:rsidRPr="006A2718" w14:paraId="516869AC" w14:textId="77777777" w:rsidTr="00260FF1">
        <w:trPr>
          <w:trHeight w:val="300"/>
        </w:trPr>
        <w:tc>
          <w:tcPr>
            <w:tcW w:w="4531" w:type="dxa"/>
            <w:shd w:val="clear" w:color="auto" w:fill="auto"/>
            <w:noWrap/>
            <w:vAlign w:val="bottom"/>
            <w:hideMark/>
          </w:tcPr>
          <w:p w14:paraId="1EA40B4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Кантемировский</w:t>
            </w:r>
          </w:p>
        </w:tc>
        <w:tc>
          <w:tcPr>
            <w:tcW w:w="2268" w:type="dxa"/>
            <w:shd w:val="clear" w:color="auto" w:fill="auto"/>
            <w:noWrap/>
            <w:vAlign w:val="bottom"/>
            <w:hideMark/>
          </w:tcPr>
          <w:p w14:paraId="1651709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16</w:t>
            </w:r>
          </w:p>
        </w:tc>
        <w:tc>
          <w:tcPr>
            <w:tcW w:w="2635" w:type="dxa"/>
            <w:shd w:val="clear" w:color="auto" w:fill="auto"/>
            <w:noWrap/>
            <w:vAlign w:val="bottom"/>
            <w:hideMark/>
          </w:tcPr>
          <w:p w14:paraId="4D58595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82 442,00</w:t>
            </w:r>
          </w:p>
        </w:tc>
      </w:tr>
      <w:tr w:rsidR="003C4012" w:rsidRPr="006A2718" w14:paraId="7F28FB32" w14:textId="77777777" w:rsidTr="00260FF1">
        <w:trPr>
          <w:trHeight w:val="300"/>
        </w:trPr>
        <w:tc>
          <w:tcPr>
            <w:tcW w:w="4531" w:type="dxa"/>
            <w:shd w:val="clear" w:color="auto" w:fill="auto"/>
            <w:noWrap/>
            <w:vAlign w:val="bottom"/>
            <w:hideMark/>
          </w:tcPr>
          <w:p w14:paraId="2DAACA1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Лискинский</w:t>
            </w:r>
          </w:p>
        </w:tc>
        <w:tc>
          <w:tcPr>
            <w:tcW w:w="2268" w:type="dxa"/>
            <w:shd w:val="clear" w:color="auto" w:fill="auto"/>
            <w:noWrap/>
            <w:vAlign w:val="bottom"/>
            <w:hideMark/>
          </w:tcPr>
          <w:p w14:paraId="0C18CA8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13</w:t>
            </w:r>
          </w:p>
        </w:tc>
        <w:tc>
          <w:tcPr>
            <w:tcW w:w="2635" w:type="dxa"/>
            <w:shd w:val="clear" w:color="auto" w:fill="auto"/>
            <w:noWrap/>
            <w:vAlign w:val="bottom"/>
            <w:hideMark/>
          </w:tcPr>
          <w:p w14:paraId="2E1F3B0C"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8 483 210,00</w:t>
            </w:r>
          </w:p>
        </w:tc>
      </w:tr>
      <w:tr w:rsidR="003C4012" w:rsidRPr="006A2718" w14:paraId="72889F2E" w14:textId="77777777" w:rsidTr="00260FF1">
        <w:trPr>
          <w:trHeight w:val="300"/>
        </w:trPr>
        <w:tc>
          <w:tcPr>
            <w:tcW w:w="4531" w:type="dxa"/>
            <w:shd w:val="clear" w:color="auto" w:fill="auto"/>
            <w:noWrap/>
            <w:vAlign w:val="bottom"/>
            <w:hideMark/>
          </w:tcPr>
          <w:p w14:paraId="6239A41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Новохоперский</w:t>
            </w:r>
          </w:p>
        </w:tc>
        <w:tc>
          <w:tcPr>
            <w:tcW w:w="2268" w:type="dxa"/>
            <w:shd w:val="clear" w:color="auto" w:fill="auto"/>
            <w:noWrap/>
            <w:vAlign w:val="bottom"/>
            <w:hideMark/>
          </w:tcPr>
          <w:p w14:paraId="585850E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8</w:t>
            </w:r>
          </w:p>
        </w:tc>
        <w:tc>
          <w:tcPr>
            <w:tcW w:w="2635" w:type="dxa"/>
            <w:shd w:val="clear" w:color="auto" w:fill="auto"/>
            <w:noWrap/>
            <w:vAlign w:val="bottom"/>
            <w:hideMark/>
          </w:tcPr>
          <w:p w14:paraId="4F25A71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105 356 734,00</w:t>
            </w:r>
          </w:p>
        </w:tc>
      </w:tr>
      <w:tr w:rsidR="003C4012" w:rsidRPr="006A2718" w14:paraId="11AB45AE" w14:textId="77777777" w:rsidTr="00260FF1">
        <w:trPr>
          <w:trHeight w:val="300"/>
        </w:trPr>
        <w:tc>
          <w:tcPr>
            <w:tcW w:w="4531" w:type="dxa"/>
            <w:shd w:val="clear" w:color="auto" w:fill="auto"/>
            <w:noWrap/>
            <w:vAlign w:val="bottom"/>
            <w:hideMark/>
          </w:tcPr>
          <w:p w14:paraId="7E4FA8E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Ольховатский</w:t>
            </w:r>
          </w:p>
        </w:tc>
        <w:tc>
          <w:tcPr>
            <w:tcW w:w="2268" w:type="dxa"/>
            <w:shd w:val="clear" w:color="auto" w:fill="auto"/>
            <w:noWrap/>
            <w:vAlign w:val="bottom"/>
            <w:hideMark/>
          </w:tcPr>
          <w:p w14:paraId="510EEBF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w:t>
            </w:r>
          </w:p>
        </w:tc>
        <w:tc>
          <w:tcPr>
            <w:tcW w:w="2635" w:type="dxa"/>
            <w:shd w:val="clear" w:color="auto" w:fill="auto"/>
            <w:noWrap/>
            <w:vAlign w:val="bottom"/>
            <w:hideMark/>
          </w:tcPr>
          <w:p w14:paraId="44808641"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70 569,00</w:t>
            </w:r>
          </w:p>
        </w:tc>
      </w:tr>
      <w:tr w:rsidR="003C4012" w:rsidRPr="006A2718" w14:paraId="527C3482" w14:textId="77777777" w:rsidTr="00260FF1">
        <w:trPr>
          <w:trHeight w:val="300"/>
        </w:trPr>
        <w:tc>
          <w:tcPr>
            <w:tcW w:w="4531" w:type="dxa"/>
            <w:shd w:val="clear" w:color="auto" w:fill="auto"/>
            <w:noWrap/>
            <w:vAlign w:val="bottom"/>
            <w:hideMark/>
          </w:tcPr>
          <w:p w14:paraId="729CE46C"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Острогожский</w:t>
            </w:r>
          </w:p>
        </w:tc>
        <w:tc>
          <w:tcPr>
            <w:tcW w:w="2268" w:type="dxa"/>
            <w:shd w:val="clear" w:color="auto" w:fill="auto"/>
            <w:noWrap/>
            <w:vAlign w:val="bottom"/>
            <w:hideMark/>
          </w:tcPr>
          <w:p w14:paraId="07F3F6A1"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w:t>
            </w:r>
          </w:p>
        </w:tc>
        <w:tc>
          <w:tcPr>
            <w:tcW w:w="2635" w:type="dxa"/>
            <w:shd w:val="clear" w:color="auto" w:fill="auto"/>
            <w:noWrap/>
            <w:vAlign w:val="bottom"/>
            <w:hideMark/>
          </w:tcPr>
          <w:p w14:paraId="3549277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85 000,00</w:t>
            </w:r>
          </w:p>
        </w:tc>
      </w:tr>
      <w:tr w:rsidR="003C4012" w:rsidRPr="006A2718" w14:paraId="07C61AC5" w14:textId="77777777" w:rsidTr="00260FF1">
        <w:trPr>
          <w:trHeight w:val="300"/>
        </w:trPr>
        <w:tc>
          <w:tcPr>
            <w:tcW w:w="4531" w:type="dxa"/>
            <w:shd w:val="clear" w:color="auto" w:fill="auto"/>
            <w:noWrap/>
            <w:vAlign w:val="bottom"/>
            <w:hideMark/>
          </w:tcPr>
          <w:p w14:paraId="01F73A1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Павловский</w:t>
            </w:r>
          </w:p>
        </w:tc>
        <w:tc>
          <w:tcPr>
            <w:tcW w:w="2268" w:type="dxa"/>
            <w:shd w:val="clear" w:color="auto" w:fill="auto"/>
            <w:noWrap/>
            <w:vAlign w:val="bottom"/>
            <w:hideMark/>
          </w:tcPr>
          <w:p w14:paraId="047D510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w:t>
            </w:r>
          </w:p>
        </w:tc>
        <w:tc>
          <w:tcPr>
            <w:tcW w:w="2635" w:type="dxa"/>
            <w:shd w:val="clear" w:color="auto" w:fill="auto"/>
            <w:noWrap/>
            <w:vAlign w:val="bottom"/>
            <w:hideMark/>
          </w:tcPr>
          <w:p w14:paraId="569AB2B1"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28 017,00</w:t>
            </w:r>
          </w:p>
        </w:tc>
      </w:tr>
      <w:tr w:rsidR="003C4012" w:rsidRPr="006A2718" w14:paraId="4B011D28" w14:textId="77777777" w:rsidTr="00260FF1">
        <w:trPr>
          <w:trHeight w:val="300"/>
        </w:trPr>
        <w:tc>
          <w:tcPr>
            <w:tcW w:w="4531" w:type="dxa"/>
            <w:shd w:val="clear" w:color="auto" w:fill="auto"/>
            <w:noWrap/>
            <w:vAlign w:val="bottom"/>
            <w:hideMark/>
          </w:tcPr>
          <w:p w14:paraId="55FDA00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Поворинский</w:t>
            </w:r>
          </w:p>
        </w:tc>
        <w:tc>
          <w:tcPr>
            <w:tcW w:w="2268" w:type="dxa"/>
            <w:shd w:val="clear" w:color="auto" w:fill="auto"/>
            <w:noWrap/>
            <w:vAlign w:val="bottom"/>
            <w:hideMark/>
          </w:tcPr>
          <w:p w14:paraId="7DF109A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w:t>
            </w:r>
          </w:p>
        </w:tc>
        <w:tc>
          <w:tcPr>
            <w:tcW w:w="2635" w:type="dxa"/>
            <w:shd w:val="clear" w:color="auto" w:fill="auto"/>
            <w:noWrap/>
            <w:vAlign w:val="bottom"/>
            <w:hideMark/>
          </w:tcPr>
          <w:p w14:paraId="230D2996"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32 649 620,00</w:t>
            </w:r>
          </w:p>
        </w:tc>
      </w:tr>
      <w:tr w:rsidR="003C4012" w:rsidRPr="006A2718" w14:paraId="6B48FD59" w14:textId="77777777" w:rsidTr="00260FF1">
        <w:trPr>
          <w:trHeight w:val="300"/>
        </w:trPr>
        <w:tc>
          <w:tcPr>
            <w:tcW w:w="4531" w:type="dxa"/>
            <w:shd w:val="clear" w:color="auto" w:fill="auto"/>
            <w:noWrap/>
            <w:vAlign w:val="bottom"/>
            <w:hideMark/>
          </w:tcPr>
          <w:p w14:paraId="04C8742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Подгоренский</w:t>
            </w:r>
          </w:p>
        </w:tc>
        <w:tc>
          <w:tcPr>
            <w:tcW w:w="2268" w:type="dxa"/>
            <w:shd w:val="clear" w:color="auto" w:fill="auto"/>
            <w:noWrap/>
            <w:vAlign w:val="bottom"/>
            <w:hideMark/>
          </w:tcPr>
          <w:p w14:paraId="191DCAB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5</w:t>
            </w:r>
          </w:p>
        </w:tc>
        <w:tc>
          <w:tcPr>
            <w:tcW w:w="2635" w:type="dxa"/>
            <w:shd w:val="clear" w:color="auto" w:fill="auto"/>
            <w:noWrap/>
            <w:vAlign w:val="bottom"/>
            <w:hideMark/>
          </w:tcPr>
          <w:p w14:paraId="26F6F606"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234 173,00</w:t>
            </w:r>
          </w:p>
        </w:tc>
      </w:tr>
      <w:tr w:rsidR="003C4012" w:rsidRPr="006A2718" w14:paraId="6FD7DAAD" w14:textId="77777777" w:rsidTr="00260FF1">
        <w:trPr>
          <w:trHeight w:val="300"/>
        </w:trPr>
        <w:tc>
          <w:tcPr>
            <w:tcW w:w="4531" w:type="dxa"/>
            <w:shd w:val="clear" w:color="auto" w:fill="auto"/>
            <w:noWrap/>
            <w:vAlign w:val="bottom"/>
            <w:hideMark/>
          </w:tcPr>
          <w:p w14:paraId="6A2C2FD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Рамонский</w:t>
            </w:r>
          </w:p>
        </w:tc>
        <w:tc>
          <w:tcPr>
            <w:tcW w:w="2268" w:type="dxa"/>
            <w:shd w:val="clear" w:color="auto" w:fill="auto"/>
            <w:noWrap/>
            <w:vAlign w:val="bottom"/>
            <w:hideMark/>
          </w:tcPr>
          <w:p w14:paraId="3C35779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w:t>
            </w:r>
          </w:p>
        </w:tc>
        <w:tc>
          <w:tcPr>
            <w:tcW w:w="2635" w:type="dxa"/>
            <w:shd w:val="clear" w:color="auto" w:fill="auto"/>
            <w:noWrap/>
            <w:vAlign w:val="bottom"/>
            <w:hideMark/>
          </w:tcPr>
          <w:p w14:paraId="6A3AE10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67 133,00</w:t>
            </w:r>
          </w:p>
        </w:tc>
      </w:tr>
      <w:tr w:rsidR="003C4012" w:rsidRPr="006A2718" w14:paraId="1B09FE07" w14:textId="77777777" w:rsidTr="00260FF1">
        <w:trPr>
          <w:trHeight w:val="300"/>
        </w:trPr>
        <w:tc>
          <w:tcPr>
            <w:tcW w:w="4531" w:type="dxa"/>
            <w:shd w:val="clear" w:color="auto" w:fill="auto"/>
            <w:noWrap/>
            <w:vAlign w:val="bottom"/>
            <w:hideMark/>
          </w:tcPr>
          <w:p w14:paraId="46ED18D5"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Россошанский</w:t>
            </w:r>
          </w:p>
        </w:tc>
        <w:tc>
          <w:tcPr>
            <w:tcW w:w="2268" w:type="dxa"/>
            <w:shd w:val="clear" w:color="auto" w:fill="auto"/>
            <w:noWrap/>
            <w:vAlign w:val="bottom"/>
            <w:hideMark/>
          </w:tcPr>
          <w:p w14:paraId="10DE722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11</w:t>
            </w:r>
          </w:p>
        </w:tc>
        <w:tc>
          <w:tcPr>
            <w:tcW w:w="2635" w:type="dxa"/>
            <w:shd w:val="clear" w:color="auto" w:fill="auto"/>
            <w:noWrap/>
            <w:vAlign w:val="bottom"/>
            <w:hideMark/>
          </w:tcPr>
          <w:p w14:paraId="40CD3228"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107 168,00</w:t>
            </w:r>
          </w:p>
        </w:tc>
      </w:tr>
      <w:tr w:rsidR="003C4012" w:rsidRPr="006A2718" w14:paraId="1D63ABDB" w14:textId="77777777" w:rsidTr="00260FF1">
        <w:trPr>
          <w:trHeight w:val="300"/>
        </w:trPr>
        <w:tc>
          <w:tcPr>
            <w:tcW w:w="4531" w:type="dxa"/>
            <w:shd w:val="clear" w:color="auto" w:fill="auto"/>
            <w:noWrap/>
            <w:vAlign w:val="bottom"/>
            <w:hideMark/>
          </w:tcPr>
          <w:p w14:paraId="69630FA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Семилукский</w:t>
            </w:r>
          </w:p>
        </w:tc>
        <w:tc>
          <w:tcPr>
            <w:tcW w:w="2268" w:type="dxa"/>
            <w:shd w:val="clear" w:color="auto" w:fill="auto"/>
            <w:noWrap/>
            <w:vAlign w:val="bottom"/>
            <w:hideMark/>
          </w:tcPr>
          <w:p w14:paraId="185D8ECF"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12</w:t>
            </w:r>
          </w:p>
        </w:tc>
        <w:tc>
          <w:tcPr>
            <w:tcW w:w="2635" w:type="dxa"/>
            <w:shd w:val="clear" w:color="auto" w:fill="auto"/>
            <w:noWrap/>
            <w:vAlign w:val="bottom"/>
            <w:hideMark/>
          </w:tcPr>
          <w:p w14:paraId="583C53B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1 328 807,00</w:t>
            </w:r>
          </w:p>
        </w:tc>
      </w:tr>
      <w:tr w:rsidR="003C4012" w:rsidRPr="006A2718" w14:paraId="30515A0C" w14:textId="77777777" w:rsidTr="00260FF1">
        <w:trPr>
          <w:trHeight w:val="300"/>
        </w:trPr>
        <w:tc>
          <w:tcPr>
            <w:tcW w:w="4531" w:type="dxa"/>
            <w:shd w:val="clear" w:color="auto" w:fill="auto"/>
            <w:noWrap/>
            <w:vAlign w:val="bottom"/>
            <w:hideMark/>
          </w:tcPr>
          <w:p w14:paraId="13C4C262"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Таловский</w:t>
            </w:r>
          </w:p>
        </w:tc>
        <w:tc>
          <w:tcPr>
            <w:tcW w:w="2268" w:type="dxa"/>
            <w:shd w:val="clear" w:color="auto" w:fill="auto"/>
            <w:noWrap/>
            <w:vAlign w:val="bottom"/>
            <w:hideMark/>
          </w:tcPr>
          <w:p w14:paraId="7E61EA9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w:t>
            </w:r>
          </w:p>
        </w:tc>
        <w:tc>
          <w:tcPr>
            <w:tcW w:w="2635" w:type="dxa"/>
            <w:shd w:val="clear" w:color="auto" w:fill="auto"/>
            <w:noWrap/>
            <w:vAlign w:val="bottom"/>
            <w:hideMark/>
          </w:tcPr>
          <w:p w14:paraId="0D7082A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62 882,00</w:t>
            </w:r>
          </w:p>
        </w:tc>
      </w:tr>
      <w:tr w:rsidR="003C4012" w:rsidRPr="006A2718" w14:paraId="6A3EA9BD" w14:textId="77777777" w:rsidTr="00260FF1">
        <w:trPr>
          <w:trHeight w:val="300"/>
        </w:trPr>
        <w:tc>
          <w:tcPr>
            <w:tcW w:w="4531" w:type="dxa"/>
            <w:shd w:val="clear" w:color="auto" w:fill="auto"/>
            <w:noWrap/>
            <w:vAlign w:val="bottom"/>
            <w:hideMark/>
          </w:tcPr>
          <w:p w14:paraId="3BF8513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Хохольский</w:t>
            </w:r>
          </w:p>
        </w:tc>
        <w:tc>
          <w:tcPr>
            <w:tcW w:w="2268" w:type="dxa"/>
            <w:shd w:val="clear" w:color="auto" w:fill="auto"/>
            <w:noWrap/>
            <w:vAlign w:val="bottom"/>
            <w:hideMark/>
          </w:tcPr>
          <w:p w14:paraId="40511A3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3</w:t>
            </w:r>
          </w:p>
        </w:tc>
        <w:tc>
          <w:tcPr>
            <w:tcW w:w="2635" w:type="dxa"/>
            <w:shd w:val="clear" w:color="auto" w:fill="auto"/>
            <w:noWrap/>
            <w:vAlign w:val="bottom"/>
            <w:hideMark/>
          </w:tcPr>
          <w:p w14:paraId="0267FC1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1 240 415,00</w:t>
            </w:r>
          </w:p>
        </w:tc>
      </w:tr>
      <w:tr w:rsidR="003C4012" w:rsidRPr="006A2718" w14:paraId="26C65CA4" w14:textId="77777777" w:rsidTr="00260FF1">
        <w:trPr>
          <w:trHeight w:val="300"/>
        </w:trPr>
        <w:tc>
          <w:tcPr>
            <w:tcW w:w="4531" w:type="dxa"/>
            <w:shd w:val="clear" w:color="auto" w:fill="auto"/>
            <w:noWrap/>
            <w:vAlign w:val="bottom"/>
          </w:tcPr>
          <w:p w14:paraId="01029806"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C92FF7">
              <w:rPr>
                <w:rFonts w:ascii="Times New Roman" w:eastAsia="Times New Roman" w:hAnsi="Times New Roman" w:cs="Times New Roman"/>
                <w:b/>
                <w:bCs/>
                <w:color w:val="000000"/>
                <w:lang w:eastAsia="ru-RU"/>
              </w:rPr>
              <w:t>Итог</w:t>
            </w:r>
          </w:p>
        </w:tc>
        <w:tc>
          <w:tcPr>
            <w:tcW w:w="2268" w:type="dxa"/>
            <w:shd w:val="clear" w:color="auto" w:fill="auto"/>
            <w:noWrap/>
          </w:tcPr>
          <w:p w14:paraId="5B8ED8EC"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C92FF7">
              <w:rPr>
                <w:rFonts w:ascii="Times New Roman" w:hAnsi="Times New Roman" w:cs="Times New Roman"/>
                <w:b/>
              </w:rPr>
              <w:t>168</w:t>
            </w:r>
          </w:p>
        </w:tc>
        <w:tc>
          <w:tcPr>
            <w:tcW w:w="2635" w:type="dxa"/>
            <w:shd w:val="clear" w:color="auto" w:fill="auto"/>
            <w:noWrap/>
          </w:tcPr>
          <w:p w14:paraId="1224BF2A"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C92FF7">
              <w:rPr>
                <w:rFonts w:ascii="Times New Roman" w:hAnsi="Times New Roman" w:cs="Times New Roman"/>
                <w:b/>
              </w:rPr>
              <w:t>531 615 346,00</w:t>
            </w:r>
          </w:p>
        </w:tc>
      </w:tr>
    </w:tbl>
    <w:p w14:paraId="10873DBD" w14:textId="77777777" w:rsidR="005908C9" w:rsidRDefault="005908C9" w:rsidP="003C4012">
      <w:pPr>
        <w:spacing w:after="0" w:line="276" w:lineRule="auto"/>
        <w:contextualSpacing/>
        <w:jc w:val="both"/>
        <w:rPr>
          <w:rFonts w:ascii="Times New Roman" w:hAnsi="Times New Roman" w:cs="Times New Roman"/>
          <w:sz w:val="26"/>
          <w:szCs w:val="26"/>
          <w:shd w:val="clear" w:color="auto" w:fill="FFFFFF"/>
        </w:rPr>
      </w:pPr>
    </w:p>
    <w:p w14:paraId="22DCC3C4" w14:textId="4E619468" w:rsidR="003C4012" w:rsidRDefault="003C4012" w:rsidP="003C4012">
      <w:pPr>
        <w:spacing w:after="0" w:line="276" w:lineRule="auto"/>
        <w:contextualSpacing/>
        <w:jc w:val="both"/>
        <w:rPr>
          <w:rFonts w:ascii="Times New Roman" w:hAnsi="Times New Roman" w:cs="Times New Roman"/>
          <w:sz w:val="26"/>
          <w:szCs w:val="26"/>
          <w:shd w:val="clear" w:color="auto" w:fill="FFFFFF"/>
        </w:rPr>
      </w:pPr>
      <w:r>
        <w:rPr>
          <w:rFonts w:ascii="Times New Roman" w:hAnsi="Times New Roman" w:cs="Times New Roman"/>
          <w:noProof/>
          <w:sz w:val="26"/>
          <w:szCs w:val="26"/>
          <w:shd w:val="clear" w:color="auto" w:fill="FFFFFF"/>
          <w:lang w:eastAsia="ru-RU"/>
        </w:rPr>
        <w:drawing>
          <wp:inline distT="0" distB="0" distL="0" distR="0" wp14:anchorId="5D3892CC" wp14:editId="18793429">
            <wp:extent cx="5600045" cy="3693874"/>
            <wp:effectExtent l="0" t="0" r="1270" b="190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21062" cy="3707737"/>
                    </a:xfrm>
                    <a:prstGeom prst="rect">
                      <a:avLst/>
                    </a:prstGeom>
                    <a:noFill/>
                  </pic:spPr>
                </pic:pic>
              </a:graphicData>
            </a:graphic>
          </wp:inline>
        </w:drawing>
      </w:r>
    </w:p>
    <w:p w14:paraId="0A4EF4EC" w14:textId="77777777" w:rsidR="003C4012" w:rsidRPr="009B5775" w:rsidRDefault="003C4012" w:rsidP="003C4012">
      <w:pPr>
        <w:spacing w:after="0" w:line="276" w:lineRule="auto"/>
        <w:contextualSpacing/>
        <w:jc w:val="center"/>
        <w:rPr>
          <w:rFonts w:ascii="Times New Roman" w:hAnsi="Times New Roman" w:cs="Times New Roman"/>
          <w:sz w:val="26"/>
          <w:szCs w:val="26"/>
        </w:rPr>
      </w:pPr>
      <w:r w:rsidRPr="009B5775">
        <w:rPr>
          <w:rFonts w:ascii="Times New Roman" w:hAnsi="Times New Roman" w:cs="Times New Roman"/>
          <w:sz w:val="26"/>
          <w:szCs w:val="26"/>
        </w:rPr>
        <w:t>Рис. 3.3.1.10 Количество оцениваемых земельных участков из состава земель особо охраняемых территорий и объектов в разрезе муниципальных районов Воронежской области</w:t>
      </w:r>
    </w:p>
    <w:p w14:paraId="56374F6B" w14:textId="77777777" w:rsidR="00260FF1" w:rsidRDefault="00260FF1" w:rsidP="003C4012">
      <w:pPr>
        <w:jc w:val="center"/>
        <w:rPr>
          <w:rFonts w:ascii="Times New Roman" w:hAnsi="Times New Roman" w:cs="Times New Roman"/>
          <w:b/>
          <w:i/>
          <w:sz w:val="26"/>
          <w:szCs w:val="26"/>
          <w:shd w:val="clear" w:color="auto" w:fill="FFFFFF"/>
        </w:rPr>
      </w:pPr>
    </w:p>
    <w:p w14:paraId="0C638818" w14:textId="5BD6B053" w:rsidR="003C4012" w:rsidRPr="00260FF1" w:rsidRDefault="003C4012" w:rsidP="003C4012">
      <w:pPr>
        <w:jc w:val="center"/>
        <w:rPr>
          <w:rFonts w:ascii="Times New Roman" w:hAnsi="Times New Roman" w:cs="Times New Roman"/>
          <w:i/>
          <w:sz w:val="26"/>
          <w:szCs w:val="26"/>
          <w:shd w:val="clear" w:color="auto" w:fill="FFFFFF"/>
        </w:rPr>
      </w:pPr>
      <w:r w:rsidRPr="00260FF1">
        <w:rPr>
          <w:rFonts w:ascii="Times New Roman" w:hAnsi="Times New Roman" w:cs="Times New Roman"/>
          <w:i/>
          <w:sz w:val="26"/>
          <w:szCs w:val="26"/>
          <w:shd w:val="clear" w:color="auto" w:fill="FFFFFF"/>
        </w:rPr>
        <w:t>Описание земель запаса Воронежской области</w:t>
      </w:r>
    </w:p>
    <w:p w14:paraId="6168BA69" w14:textId="77777777" w:rsidR="003C4012" w:rsidRDefault="003C4012" w:rsidP="003C4012">
      <w:pPr>
        <w:spacing w:after="0"/>
        <w:ind w:firstLine="709"/>
        <w:jc w:val="both"/>
        <w:rPr>
          <w:rFonts w:ascii="Times New Roman" w:eastAsia="Times New Roman" w:hAnsi="Times New Roman" w:cs="Times New Roman"/>
          <w:sz w:val="26"/>
          <w:szCs w:val="26"/>
          <w:lang w:eastAsia="ru-RU"/>
        </w:rPr>
      </w:pPr>
      <w:r w:rsidRPr="000046A2">
        <w:rPr>
          <w:rFonts w:ascii="Times New Roman" w:eastAsia="Times New Roman" w:hAnsi="Times New Roman" w:cs="Times New Roman"/>
          <w:sz w:val="26"/>
          <w:szCs w:val="26"/>
          <w:lang w:eastAsia="ru-RU"/>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w:t>
      </w:r>
      <w:r>
        <w:rPr>
          <w:rFonts w:ascii="Times New Roman" w:eastAsia="Times New Roman" w:hAnsi="Times New Roman" w:cs="Times New Roman"/>
          <w:sz w:val="26"/>
          <w:szCs w:val="26"/>
          <w:lang w:eastAsia="ru-RU"/>
        </w:rPr>
        <w:t>.</w:t>
      </w:r>
    </w:p>
    <w:p w14:paraId="09C4491B" w14:textId="77777777" w:rsidR="003C4012" w:rsidRPr="000046A2" w:rsidRDefault="003C4012" w:rsidP="003C4012">
      <w:pPr>
        <w:pStyle w:val="af5"/>
        <w:spacing w:before="0" w:beforeAutospacing="0" w:after="0" w:afterAutospacing="0" w:line="276" w:lineRule="auto"/>
        <w:ind w:firstLine="709"/>
        <w:jc w:val="both"/>
        <w:rPr>
          <w:sz w:val="26"/>
          <w:szCs w:val="26"/>
        </w:rPr>
      </w:pPr>
      <w:r w:rsidRPr="000046A2">
        <w:rPr>
          <w:sz w:val="26"/>
          <w:szCs w:val="26"/>
        </w:rPr>
        <w:t>Земли запаса, в отличие от земель сельскохозяйственного назначения, поселений, промышленности и иных земель специального назначения, земель особо охраняемых территорий и объектов, лесного и водного фондов, – это земли, основное целевое назначение которых еще не определено. К ним могут быть отнесены земли (земельные доли), выкупленные у их собственников органами государственной власти или местного самоуправления, а также земли, право обладания которыми прекращено по решению судов или компетентных государственных и муниципальных органов, при добровольном отказе от земельного участка, по истечении срока предоставления участка, изъятии участка за нарушения земельного законодательства и в случае отказа сельскохозяйственной коммерческой организации от использования невостребованной доли.</w:t>
      </w:r>
    </w:p>
    <w:p w14:paraId="4A35470E" w14:textId="77777777" w:rsidR="003C4012" w:rsidRDefault="003C4012" w:rsidP="003C4012">
      <w:pPr>
        <w:pStyle w:val="af5"/>
        <w:spacing w:before="0" w:beforeAutospacing="0" w:after="0" w:afterAutospacing="0" w:line="276" w:lineRule="auto"/>
        <w:ind w:firstLine="708"/>
        <w:jc w:val="both"/>
        <w:rPr>
          <w:sz w:val="26"/>
          <w:szCs w:val="26"/>
        </w:rPr>
      </w:pPr>
      <w:r w:rsidRPr="000046A2">
        <w:rPr>
          <w:sz w:val="26"/>
          <w:szCs w:val="26"/>
        </w:rPr>
        <w:t>Земли запаса – не бросовые, не бесхозяйные, они подлежат государственному кадастровому учету, могут иметь федеральное, региональное и местное значение. Такие земли есть везде и находятся в постоянной динамике, переходя в другие категории земель и непрерывно в целом уменьшаясь, будучи вовлекаемыми в хозяйственный оборот и целевое использование, – но в отдельных местах увеличиваясь ввиду изменяющихся обстоятельств землепользования.</w:t>
      </w:r>
    </w:p>
    <w:p w14:paraId="78F3D167" w14:textId="77777777" w:rsidR="003C4012" w:rsidRPr="00C92FF7" w:rsidRDefault="003C4012" w:rsidP="003C4012">
      <w:pPr>
        <w:spacing w:after="0" w:line="276" w:lineRule="auto"/>
        <w:ind w:firstLine="708"/>
        <w:contextualSpacing/>
        <w:jc w:val="both"/>
        <w:rPr>
          <w:rFonts w:ascii="Times New Roman" w:hAnsi="Times New Roman" w:cs="Times New Roman"/>
          <w:sz w:val="26"/>
          <w:szCs w:val="26"/>
        </w:rPr>
      </w:pPr>
      <w:r w:rsidRPr="009B5775">
        <w:rPr>
          <w:rFonts w:ascii="Times New Roman" w:hAnsi="Times New Roman" w:cs="Times New Roman"/>
          <w:sz w:val="26"/>
          <w:szCs w:val="26"/>
        </w:rPr>
        <w:t>Количество и площадь оцениваемых земельных участков из состава земель запаса в разрезе муниципальных районов Воронежской области, сведения о которых содержатся в Перечне представлено в таблице 3.3.1.</w:t>
      </w:r>
      <w:r>
        <w:rPr>
          <w:rFonts w:ascii="Times New Roman" w:hAnsi="Times New Roman" w:cs="Times New Roman"/>
          <w:sz w:val="26"/>
          <w:szCs w:val="26"/>
        </w:rPr>
        <w:t>7</w:t>
      </w:r>
      <w:r w:rsidRPr="009B5775">
        <w:rPr>
          <w:rFonts w:ascii="Times New Roman" w:hAnsi="Times New Roman" w:cs="Times New Roman"/>
          <w:sz w:val="26"/>
          <w:szCs w:val="26"/>
        </w:rPr>
        <w:t>.</w:t>
      </w:r>
      <w:r w:rsidRPr="00C92FF7">
        <w:rPr>
          <w:rFonts w:ascii="Times New Roman" w:hAnsi="Times New Roman" w:cs="Times New Roman"/>
          <w:sz w:val="26"/>
          <w:szCs w:val="26"/>
        </w:rPr>
        <w:t xml:space="preserve"> </w:t>
      </w:r>
    </w:p>
    <w:p w14:paraId="3CB55D25" w14:textId="77777777" w:rsidR="003C4012" w:rsidRPr="00C92FF7" w:rsidRDefault="003C4012" w:rsidP="003C4012">
      <w:pPr>
        <w:spacing w:after="0" w:line="276" w:lineRule="auto"/>
        <w:ind w:firstLine="708"/>
        <w:contextualSpacing/>
        <w:jc w:val="right"/>
        <w:rPr>
          <w:rFonts w:ascii="Times New Roman" w:hAnsi="Times New Roman" w:cs="Times New Roman"/>
          <w:sz w:val="26"/>
          <w:szCs w:val="26"/>
        </w:rPr>
      </w:pPr>
      <w:r w:rsidRPr="00C92FF7">
        <w:rPr>
          <w:rFonts w:ascii="Times New Roman" w:hAnsi="Times New Roman" w:cs="Times New Roman"/>
          <w:sz w:val="26"/>
          <w:szCs w:val="26"/>
        </w:rPr>
        <w:t>Таблица 3.3.1.</w:t>
      </w:r>
      <w:r>
        <w:rPr>
          <w:rFonts w:ascii="Times New Roman" w:hAnsi="Times New Roman" w:cs="Times New Roman"/>
          <w:sz w:val="26"/>
          <w:szCs w:val="26"/>
        </w:rPr>
        <w:t>7</w:t>
      </w:r>
    </w:p>
    <w:p w14:paraId="14C330AE" w14:textId="77777777" w:rsidR="003C4012" w:rsidRPr="00C92FF7" w:rsidRDefault="003C4012" w:rsidP="003C4012">
      <w:pPr>
        <w:spacing w:after="0" w:line="276" w:lineRule="auto"/>
        <w:contextualSpacing/>
        <w:jc w:val="center"/>
        <w:rPr>
          <w:rFonts w:ascii="Times New Roman" w:hAnsi="Times New Roman" w:cs="Times New Roman"/>
          <w:sz w:val="26"/>
          <w:szCs w:val="26"/>
        </w:rPr>
      </w:pPr>
      <w:r w:rsidRPr="00C92FF7">
        <w:rPr>
          <w:rFonts w:ascii="Times New Roman" w:hAnsi="Times New Roman" w:cs="Times New Roman"/>
          <w:sz w:val="26"/>
          <w:szCs w:val="26"/>
        </w:rPr>
        <w:t xml:space="preserve">Количество и площадь оцениваемых земельных участков из состава земель </w:t>
      </w:r>
      <w:r>
        <w:rPr>
          <w:rFonts w:ascii="Times New Roman" w:hAnsi="Times New Roman" w:cs="Times New Roman"/>
          <w:sz w:val="26"/>
          <w:szCs w:val="26"/>
        </w:rPr>
        <w:t>запаса</w:t>
      </w:r>
      <w:r w:rsidRPr="00C92FF7">
        <w:rPr>
          <w:rFonts w:ascii="Times New Roman" w:hAnsi="Times New Roman" w:cs="Times New Roman"/>
          <w:sz w:val="26"/>
          <w:szCs w:val="26"/>
        </w:rPr>
        <w:t xml:space="preserve"> в разрезе муниципальных районов Воронежской области</w:t>
      </w:r>
    </w:p>
    <w:tbl>
      <w:tblPr>
        <w:tblW w:w="9434" w:type="dxa"/>
        <w:tblLook w:val="04A0" w:firstRow="1" w:lastRow="0" w:firstColumn="1" w:lastColumn="0" w:noHBand="0" w:noVBand="1"/>
      </w:tblPr>
      <w:tblGrid>
        <w:gridCol w:w="4531"/>
        <w:gridCol w:w="2268"/>
        <w:gridCol w:w="2635"/>
      </w:tblGrid>
      <w:tr w:rsidR="003C4012" w:rsidRPr="006A2718" w14:paraId="1C66FB4A" w14:textId="77777777" w:rsidTr="003C4012">
        <w:trPr>
          <w:trHeight w:val="30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F4DB1"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C92FF7">
              <w:rPr>
                <w:rFonts w:ascii="Times New Roman" w:eastAsia="Times New Roman" w:hAnsi="Times New Roman" w:cs="Times New Roman"/>
                <w:b/>
                <w:bCs/>
                <w:color w:val="000000"/>
                <w:lang w:eastAsia="ru-RU"/>
              </w:rPr>
              <w:t>Наименование района/городского округа</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74C447E7"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C92FF7">
              <w:rPr>
                <w:rFonts w:ascii="Times New Roman" w:eastAsia="Times New Roman" w:hAnsi="Times New Roman" w:cs="Times New Roman"/>
                <w:b/>
                <w:bCs/>
                <w:color w:val="000000"/>
                <w:lang w:eastAsia="ru-RU"/>
              </w:rPr>
              <w:t>Количество ЗУ, шт.</w:t>
            </w:r>
          </w:p>
        </w:tc>
        <w:tc>
          <w:tcPr>
            <w:tcW w:w="2635" w:type="dxa"/>
            <w:tcBorders>
              <w:top w:val="single" w:sz="4" w:space="0" w:color="auto"/>
              <w:left w:val="nil"/>
              <w:bottom w:val="single" w:sz="4" w:space="0" w:color="auto"/>
              <w:right w:val="single" w:sz="4" w:space="0" w:color="auto"/>
            </w:tcBorders>
            <w:shd w:val="clear" w:color="auto" w:fill="auto"/>
            <w:noWrap/>
            <w:vAlign w:val="center"/>
          </w:tcPr>
          <w:p w14:paraId="2907697F"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C92FF7">
              <w:rPr>
                <w:rFonts w:ascii="Times New Roman" w:eastAsia="Times New Roman" w:hAnsi="Times New Roman" w:cs="Times New Roman"/>
                <w:b/>
                <w:bCs/>
                <w:color w:val="000000"/>
                <w:lang w:eastAsia="ru-RU"/>
              </w:rPr>
              <w:t>Площадь ЗУ, м2</w:t>
            </w:r>
          </w:p>
        </w:tc>
      </w:tr>
      <w:tr w:rsidR="003C4012" w:rsidRPr="00C92FF7" w14:paraId="067C593D" w14:textId="77777777" w:rsidTr="003C4012">
        <w:trPr>
          <w:trHeight w:val="30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30AAB" w14:textId="77777777" w:rsidR="003C4012" w:rsidRPr="00C92FF7"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Воробьевский</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67D1239" w14:textId="77777777" w:rsidR="003C4012" w:rsidRPr="00C92FF7"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5</w:t>
            </w:r>
          </w:p>
        </w:tc>
        <w:tc>
          <w:tcPr>
            <w:tcW w:w="2635" w:type="dxa"/>
            <w:tcBorders>
              <w:top w:val="single" w:sz="4" w:space="0" w:color="auto"/>
              <w:left w:val="nil"/>
              <w:bottom w:val="single" w:sz="4" w:space="0" w:color="auto"/>
              <w:right w:val="single" w:sz="4" w:space="0" w:color="auto"/>
            </w:tcBorders>
            <w:shd w:val="clear" w:color="auto" w:fill="auto"/>
            <w:noWrap/>
            <w:vAlign w:val="bottom"/>
          </w:tcPr>
          <w:p w14:paraId="5730CEDA" w14:textId="77777777" w:rsidR="003C4012" w:rsidRPr="00C92FF7"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1 199 500,00</w:t>
            </w:r>
          </w:p>
        </w:tc>
      </w:tr>
      <w:tr w:rsidR="003C4012" w:rsidRPr="006A2718" w14:paraId="1309EF23"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B783D0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Грибановский</w:t>
            </w:r>
          </w:p>
        </w:tc>
        <w:tc>
          <w:tcPr>
            <w:tcW w:w="2268" w:type="dxa"/>
            <w:tcBorders>
              <w:top w:val="nil"/>
              <w:left w:val="nil"/>
              <w:bottom w:val="single" w:sz="4" w:space="0" w:color="auto"/>
              <w:right w:val="single" w:sz="4" w:space="0" w:color="auto"/>
            </w:tcBorders>
            <w:shd w:val="clear" w:color="auto" w:fill="auto"/>
            <w:noWrap/>
            <w:vAlign w:val="bottom"/>
            <w:hideMark/>
          </w:tcPr>
          <w:p w14:paraId="7ECABE9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2</w:t>
            </w:r>
          </w:p>
        </w:tc>
        <w:tc>
          <w:tcPr>
            <w:tcW w:w="2635" w:type="dxa"/>
            <w:tcBorders>
              <w:top w:val="nil"/>
              <w:left w:val="nil"/>
              <w:bottom w:val="single" w:sz="4" w:space="0" w:color="auto"/>
              <w:right w:val="single" w:sz="4" w:space="0" w:color="auto"/>
            </w:tcBorders>
            <w:shd w:val="clear" w:color="auto" w:fill="auto"/>
            <w:noWrap/>
            <w:vAlign w:val="bottom"/>
            <w:hideMark/>
          </w:tcPr>
          <w:p w14:paraId="42FD85FC"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334 742,00</w:t>
            </w:r>
          </w:p>
        </w:tc>
      </w:tr>
      <w:tr w:rsidR="003C4012" w:rsidRPr="006A2718" w14:paraId="32850C15"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F27DC57"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Каменский</w:t>
            </w:r>
          </w:p>
        </w:tc>
        <w:tc>
          <w:tcPr>
            <w:tcW w:w="2268" w:type="dxa"/>
            <w:tcBorders>
              <w:top w:val="nil"/>
              <w:left w:val="nil"/>
              <w:bottom w:val="single" w:sz="4" w:space="0" w:color="auto"/>
              <w:right w:val="single" w:sz="4" w:space="0" w:color="auto"/>
            </w:tcBorders>
            <w:shd w:val="clear" w:color="auto" w:fill="auto"/>
            <w:noWrap/>
            <w:vAlign w:val="bottom"/>
            <w:hideMark/>
          </w:tcPr>
          <w:p w14:paraId="373CF28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w:t>
            </w:r>
          </w:p>
        </w:tc>
        <w:tc>
          <w:tcPr>
            <w:tcW w:w="2635" w:type="dxa"/>
            <w:tcBorders>
              <w:top w:val="nil"/>
              <w:left w:val="nil"/>
              <w:bottom w:val="single" w:sz="4" w:space="0" w:color="auto"/>
              <w:right w:val="single" w:sz="4" w:space="0" w:color="auto"/>
            </w:tcBorders>
            <w:shd w:val="clear" w:color="auto" w:fill="auto"/>
            <w:noWrap/>
            <w:vAlign w:val="bottom"/>
            <w:hideMark/>
          </w:tcPr>
          <w:p w14:paraId="38305DA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1 509 800,00</w:t>
            </w:r>
          </w:p>
        </w:tc>
      </w:tr>
      <w:tr w:rsidR="003C4012" w:rsidRPr="006A2718" w14:paraId="61DF7592"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52D619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Павловский</w:t>
            </w:r>
          </w:p>
        </w:tc>
        <w:tc>
          <w:tcPr>
            <w:tcW w:w="2268" w:type="dxa"/>
            <w:tcBorders>
              <w:top w:val="nil"/>
              <w:left w:val="nil"/>
              <w:bottom w:val="single" w:sz="4" w:space="0" w:color="auto"/>
              <w:right w:val="single" w:sz="4" w:space="0" w:color="auto"/>
            </w:tcBorders>
            <w:shd w:val="clear" w:color="auto" w:fill="auto"/>
            <w:noWrap/>
            <w:vAlign w:val="bottom"/>
            <w:hideMark/>
          </w:tcPr>
          <w:p w14:paraId="290691A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w:t>
            </w:r>
          </w:p>
        </w:tc>
        <w:tc>
          <w:tcPr>
            <w:tcW w:w="2635" w:type="dxa"/>
            <w:tcBorders>
              <w:top w:val="nil"/>
              <w:left w:val="nil"/>
              <w:bottom w:val="single" w:sz="4" w:space="0" w:color="auto"/>
              <w:right w:val="single" w:sz="4" w:space="0" w:color="auto"/>
            </w:tcBorders>
            <w:shd w:val="clear" w:color="auto" w:fill="auto"/>
            <w:noWrap/>
            <w:vAlign w:val="bottom"/>
            <w:hideMark/>
          </w:tcPr>
          <w:p w14:paraId="7C0EE12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74 900,00</w:t>
            </w:r>
          </w:p>
        </w:tc>
      </w:tr>
      <w:tr w:rsidR="003C4012" w:rsidRPr="006A2718" w14:paraId="3B80BA5A"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4AE4013"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Панинский</w:t>
            </w:r>
          </w:p>
        </w:tc>
        <w:tc>
          <w:tcPr>
            <w:tcW w:w="2268" w:type="dxa"/>
            <w:tcBorders>
              <w:top w:val="nil"/>
              <w:left w:val="nil"/>
              <w:bottom w:val="single" w:sz="4" w:space="0" w:color="auto"/>
              <w:right w:val="single" w:sz="4" w:space="0" w:color="auto"/>
            </w:tcBorders>
            <w:shd w:val="clear" w:color="auto" w:fill="auto"/>
            <w:noWrap/>
            <w:vAlign w:val="bottom"/>
            <w:hideMark/>
          </w:tcPr>
          <w:p w14:paraId="3BDCF12B"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w:t>
            </w:r>
          </w:p>
        </w:tc>
        <w:tc>
          <w:tcPr>
            <w:tcW w:w="2635" w:type="dxa"/>
            <w:tcBorders>
              <w:top w:val="nil"/>
              <w:left w:val="nil"/>
              <w:bottom w:val="single" w:sz="4" w:space="0" w:color="auto"/>
              <w:right w:val="single" w:sz="4" w:space="0" w:color="auto"/>
            </w:tcBorders>
            <w:shd w:val="clear" w:color="auto" w:fill="auto"/>
            <w:noWrap/>
            <w:vAlign w:val="bottom"/>
            <w:hideMark/>
          </w:tcPr>
          <w:p w14:paraId="261CD76A"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12 306,00</w:t>
            </w:r>
          </w:p>
        </w:tc>
      </w:tr>
      <w:tr w:rsidR="003C4012" w:rsidRPr="006A2718" w14:paraId="75A3598E"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479D50D"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Рамонский</w:t>
            </w:r>
          </w:p>
        </w:tc>
        <w:tc>
          <w:tcPr>
            <w:tcW w:w="2268" w:type="dxa"/>
            <w:tcBorders>
              <w:top w:val="nil"/>
              <w:left w:val="nil"/>
              <w:bottom w:val="single" w:sz="4" w:space="0" w:color="auto"/>
              <w:right w:val="single" w:sz="4" w:space="0" w:color="auto"/>
            </w:tcBorders>
            <w:shd w:val="clear" w:color="auto" w:fill="auto"/>
            <w:noWrap/>
            <w:vAlign w:val="bottom"/>
            <w:hideMark/>
          </w:tcPr>
          <w:p w14:paraId="60EF4310"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w:t>
            </w:r>
          </w:p>
        </w:tc>
        <w:tc>
          <w:tcPr>
            <w:tcW w:w="2635" w:type="dxa"/>
            <w:tcBorders>
              <w:top w:val="nil"/>
              <w:left w:val="nil"/>
              <w:bottom w:val="single" w:sz="4" w:space="0" w:color="auto"/>
              <w:right w:val="single" w:sz="4" w:space="0" w:color="auto"/>
            </w:tcBorders>
            <w:shd w:val="clear" w:color="auto" w:fill="auto"/>
            <w:noWrap/>
            <w:vAlign w:val="bottom"/>
            <w:hideMark/>
          </w:tcPr>
          <w:p w14:paraId="55ECB9DE"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50 012,00</w:t>
            </w:r>
          </w:p>
        </w:tc>
      </w:tr>
      <w:tr w:rsidR="003C4012" w:rsidRPr="006A2718" w14:paraId="4E8D5187"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6AF899C"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Семилукский</w:t>
            </w:r>
          </w:p>
        </w:tc>
        <w:tc>
          <w:tcPr>
            <w:tcW w:w="2268" w:type="dxa"/>
            <w:tcBorders>
              <w:top w:val="nil"/>
              <w:left w:val="nil"/>
              <w:bottom w:val="single" w:sz="4" w:space="0" w:color="auto"/>
              <w:right w:val="single" w:sz="4" w:space="0" w:color="auto"/>
            </w:tcBorders>
            <w:shd w:val="clear" w:color="auto" w:fill="auto"/>
            <w:noWrap/>
            <w:vAlign w:val="bottom"/>
            <w:hideMark/>
          </w:tcPr>
          <w:p w14:paraId="673EE43C"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w:t>
            </w:r>
          </w:p>
        </w:tc>
        <w:tc>
          <w:tcPr>
            <w:tcW w:w="2635" w:type="dxa"/>
            <w:tcBorders>
              <w:top w:val="nil"/>
              <w:left w:val="nil"/>
              <w:bottom w:val="single" w:sz="4" w:space="0" w:color="auto"/>
              <w:right w:val="single" w:sz="4" w:space="0" w:color="auto"/>
            </w:tcBorders>
            <w:shd w:val="clear" w:color="auto" w:fill="auto"/>
            <w:noWrap/>
            <w:vAlign w:val="bottom"/>
            <w:hideMark/>
          </w:tcPr>
          <w:p w14:paraId="72C6C555" w14:textId="77777777" w:rsidR="003C4012" w:rsidRPr="006A2718" w:rsidRDefault="003C4012" w:rsidP="003C4012">
            <w:pPr>
              <w:spacing w:after="0" w:line="276" w:lineRule="auto"/>
              <w:contextualSpacing/>
              <w:jc w:val="center"/>
              <w:rPr>
                <w:rFonts w:ascii="Times New Roman" w:eastAsia="Times New Roman" w:hAnsi="Times New Roman" w:cs="Times New Roman"/>
                <w:bCs/>
                <w:color w:val="000000"/>
                <w:lang w:eastAsia="ru-RU"/>
              </w:rPr>
            </w:pPr>
            <w:r w:rsidRPr="00C92FF7">
              <w:rPr>
                <w:rFonts w:ascii="Times New Roman" w:hAnsi="Times New Roman" w:cs="Times New Roman"/>
              </w:rPr>
              <w:t>100 000,00</w:t>
            </w:r>
          </w:p>
        </w:tc>
      </w:tr>
      <w:tr w:rsidR="003C4012" w:rsidRPr="006A2718" w14:paraId="156E8406" w14:textId="77777777" w:rsidTr="003C4012">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tcPr>
          <w:p w14:paraId="1E7D876E"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C92FF7">
              <w:rPr>
                <w:rFonts w:ascii="Times New Roman" w:eastAsia="Times New Roman" w:hAnsi="Times New Roman" w:cs="Times New Roman"/>
                <w:b/>
                <w:bCs/>
                <w:color w:val="000000"/>
                <w:lang w:eastAsia="ru-RU"/>
              </w:rPr>
              <w:t>Итог</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14334"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C92FF7">
              <w:rPr>
                <w:rFonts w:ascii="Times New Roman" w:hAnsi="Times New Roman" w:cs="Times New Roman"/>
                <w:b/>
              </w:rPr>
              <w:t>12</w:t>
            </w:r>
          </w:p>
        </w:tc>
        <w:tc>
          <w:tcPr>
            <w:tcW w:w="2635" w:type="dxa"/>
            <w:tcBorders>
              <w:top w:val="single" w:sz="4" w:space="0" w:color="auto"/>
              <w:left w:val="nil"/>
              <w:bottom w:val="single" w:sz="4" w:space="0" w:color="auto"/>
              <w:right w:val="single" w:sz="4" w:space="0" w:color="auto"/>
            </w:tcBorders>
            <w:shd w:val="clear" w:color="auto" w:fill="auto"/>
            <w:noWrap/>
            <w:vAlign w:val="bottom"/>
          </w:tcPr>
          <w:p w14:paraId="213BFD3B" w14:textId="77777777" w:rsidR="003C4012" w:rsidRPr="006A2718" w:rsidRDefault="003C4012" w:rsidP="003C4012">
            <w:pPr>
              <w:spacing w:after="0" w:line="276" w:lineRule="auto"/>
              <w:contextualSpacing/>
              <w:jc w:val="center"/>
              <w:rPr>
                <w:rFonts w:ascii="Times New Roman" w:eastAsia="Times New Roman" w:hAnsi="Times New Roman" w:cs="Times New Roman"/>
                <w:b/>
                <w:bCs/>
                <w:color w:val="000000"/>
                <w:lang w:eastAsia="ru-RU"/>
              </w:rPr>
            </w:pPr>
            <w:r w:rsidRPr="00C92FF7">
              <w:rPr>
                <w:rFonts w:ascii="Times New Roman" w:hAnsi="Times New Roman" w:cs="Times New Roman"/>
                <w:b/>
              </w:rPr>
              <w:t>3 281 260,00</w:t>
            </w:r>
          </w:p>
        </w:tc>
      </w:tr>
    </w:tbl>
    <w:p w14:paraId="4BCB8783" w14:textId="5D8FAF9A" w:rsidR="003C4012" w:rsidRDefault="003C4012" w:rsidP="003C4012">
      <w:pPr>
        <w:spacing w:after="0" w:line="276" w:lineRule="auto"/>
        <w:ind w:firstLine="708"/>
        <w:contextualSpacing/>
        <w:jc w:val="both"/>
        <w:rPr>
          <w:rFonts w:ascii="Times New Roman" w:hAnsi="Times New Roman" w:cs="Times New Roman"/>
          <w:noProof/>
          <w:sz w:val="26"/>
          <w:szCs w:val="26"/>
          <w:shd w:val="clear" w:color="auto" w:fill="FFFFFF"/>
        </w:rPr>
      </w:pPr>
    </w:p>
    <w:p w14:paraId="6C50A0A0" w14:textId="63BBCDA5" w:rsidR="003C4012" w:rsidRDefault="003C4012" w:rsidP="001F18A6">
      <w:pPr>
        <w:spacing w:after="0" w:line="276" w:lineRule="auto"/>
        <w:ind w:firstLine="708"/>
        <w:contextualSpacing/>
        <w:jc w:val="center"/>
        <w:rPr>
          <w:rFonts w:ascii="Times New Roman" w:hAnsi="Times New Roman" w:cs="Times New Roman"/>
          <w:sz w:val="26"/>
          <w:szCs w:val="26"/>
          <w:shd w:val="clear" w:color="auto" w:fill="FFFFFF"/>
        </w:rPr>
      </w:pPr>
      <w:r>
        <w:rPr>
          <w:rFonts w:ascii="Times New Roman" w:hAnsi="Times New Roman" w:cs="Times New Roman"/>
          <w:noProof/>
          <w:sz w:val="26"/>
          <w:szCs w:val="26"/>
          <w:shd w:val="clear" w:color="auto" w:fill="FFFFFF"/>
          <w:lang w:eastAsia="ru-RU"/>
        </w:rPr>
        <w:drawing>
          <wp:inline distT="0" distB="0" distL="0" distR="0" wp14:anchorId="36CD2761" wp14:editId="524DB419">
            <wp:extent cx="4391025" cy="266752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04005" cy="2675406"/>
                    </a:xfrm>
                    <a:prstGeom prst="rect">
                      <a:avLst/>
                    </a:prstGeom>
                    <a:noFill/>
                  </pic:spPr>
                </pic:pic>
              </a:graphicData>
            </a:graphic>
          </wp:inline>
        </w:drawing>
      </w:r>
    </w:p>
    <w:p w14:paraId="21F2830E" w14:textId="3DA80221" w:rsidR="00922409" w:rsidRDefault="003C4012" w:rsidP="001F18A6">
      <w:pPr>
        <w:spacing w:after="0" w:line="276" w:lineRule="auto"/>
        <w:contextualSpacing/>
        <w:jc w:val="center"/>
        <w:rPr>
          <w:rFonts w:ascii="Times New Roman" w:eastAsiaTheme="majorEastAsia" w:hAnsi="Times New Roman" w:cs="Times New Roman"/>
          <w:b/>
          <w:iCs/>
          <w:sz w:val="26"/>
          <w:szCs w:val="20"/>
          <w:lang w:eastAsia="ru-RU"/>
        </w:rPr>
      </w:pPr>
      <w:r w:rsidRPr="009B5775">
        <w:rPr>
          <w:rFonts w:ascii="Times New Roman" w:hAnsi="Times New Roman" w:cs="Times New Roman"/>
          <w:sz w:val="26"/>
          <w:szCs w:val="26"/>
        </w:rPr>
        <w:t>Рис. 3.3.1.11 Количество оцениваемых земельных участков из состава земель запаса в разрезе муниципальных районов Воронежской области</w:t>
      </w:r>
      <w:r w:rsidR="00922409">
        <w:rPr>
          <w:rFonts w:cs="Times New Roman"/>
          <w:iCs/>
          <w:sz w:val="26"/>
          <w:szCs w:val="20"/>
          <w:lang w:eastAsia="ru-RU"/>
        </w:rPr>
        <w:br w:type="page"/>
      </w:r>
    </w:p>
    <w:p w14:paraId="3FE9D7A9" w14:textId="31B9049B" w:rsidR="00EE2B64" w:rsidRPr="00037339" w:rsidRDefault="00EE2B64" w:rsidP="00EE2B64">
      <w:pPr>
        <w:pStyle w:val="20"/>
        <w:spacing w:before="0" w:line="300" w:lineRule="auto"/>
        <w:ind w:left="763"/>
        <w:contextualSpacing/>
        <w:rPr>
          <w:rFonts w:cs="Times New Roman"/>
          <w:iCs/>
          <w:sz w:val="26"/>
          <w:szCs w:val="20"/>
          <w:lang w:eastAsia="ru-RU"/>
        </w:rPr>
      </w:pPr>
      <w:bookmarkStart w:id="120" w:name="_Toc110506955"/>
      <w:r w:rsidRPr="00037339">
        <w:rPr>
          <w:rFonts w:cs="Times New Roman"/>
          <w:iCs/>
          <w:sz w:val="26"/>
          <w:szCs w:val="20"/>
          <w:lang w:eastAsia="ru-RU"/>
        </w:rPr>
        <w:t>3.3.2 Группировка объектов недвижимости</w:t>
      </w:r>
      <w:bookmarkEnd w:id="120"/>
    </w:p>
    <w:p w14:paraId="0903562D" w14:textId="77777777" w:rsidR="00EE2B64" w:rsidRPr="00037339" w:rsidRDefault="00EE2B64" w:rsidP="00EE2B64">
      <w:pPr>
        <w:spacing w:after="0"/>
        <w:contextualSpacing/>
        <w:rPr>
          <w:rFonts w:ascii="Times New Roman" w:hAnsi="Times New Roman" w:cs="Times New Roman"/>
          <w:sz w:val="16"/>
          <w:szCs w:val="16"/>
          <w:lang w:eastAsia="ru-RU"/>
        </w:rPr>
      </w:pPr>
    </w:p>
    <w:p w14:paraId="600D9F6A" w14:textId="4A498E90" w:rsidR="00EE2B64" w:rsidRPr="00037339" w:rsidRDefault="00EE2B64" w:rsidP="00EE2B64">
      <w:pPr>
        <w:spacing w:after="0" w:line="276" w:lineRule="auto"/>
        <w:ind w:firstLine="709"/>
        <w:contextualSpacing/>
        <w:jc w:val="both"/>
        <w:rPr>
          <w:rFonts w:ascii="Times New Roman" w:hAnsi="Times New Roman" w:cs="Times New Roman"/>
          <w:bCs/>
          <w:sz w:val="26"/>
          <w:szCs w:val="26"/>
        </w:rPr>
      </w:pPr>
      <w:r w:rsidRPr="00037339">
        <w:rPr>
          <w:rFonts w:ascii="Times New Roman" w:hAnsi="Times New Roman" w:cs="Times New Roman"/>
          <w:bCs/>
          <w:sz w:val="26"/>
          <w:szCs w:val="26"/>
        </w:rPr>
        <w:t xml:space="preserve">Сегментация объектов недвижимости, подлежащих государственной кадастровой оценке, в целях их группировки, проведена в соответствии с пунктом </w:t>
      </w:r>
      <w:r w:rsidR="0096548D" w:rsidRPr="00037339">
        <w:rPr>
          <w:rFonts w:ascii="Times New Roman" w:hAnsi="Times New Roman" w:cs="Times New Roman"/>
          <w:bCs/>
          <w:sz w:val="26"/>
          <w:szCs w:val="26"/>
        </w:rPr>
        <w:t>п. 55 Указаний</w:t>
      </w:r>
      <w:r w:rsidRPr="00037339">
        <w:rPr>
          <w:rFonts w:ascii="Times New Roman" w:hAnsi="Times New Roman" w:cs="Times New Roman"/>
          <w:bCs/>
          <w:sz w:val="26"/>
          <w:szCs w:val="26"/>
        </w:rPr>
        <w:t>. Группировка объектов недвижимости сориентирована на сложившиеся сегменты рынка недвижимости и основана на результатах анализа информации о рынке объектов недвижимости, составе ценообразующих факторов и сведений о значениях ценообразующих факторов объектов недвижимости для каждого исследуемого объекта недвижимости.</w:t>
      </w:r>
    </w:p>
    <w:p w14:paraId="05A97FA7" w14:textId="77777777" w:rsidR="00EE2B64" w:rsidRPr="00037339" w:rsidRDefault="00EE2B64" w:rsidP="00EE2B64">
      <w:pPr>
        <w:spacing w:after="0" w:line="276" w:lineRule="auto"/>
        <w:ind w:firstLine="709"/>
        <w:contextualSpacing/>
        <w:jc w:val="both"/>
        <w:rPr>
          <w:rFonts w:ascii="Times New Roman" w:hAnsi="Times New Roman" w:cs="Times New Roman"/>
          <w:bCs/>
          <w:sz w:val="26"/>
          <w:szCs w:val="26"/>
        </w:rPr>
      </w:pPr>
      <w:r w:rsidRPr="00037339">
        <w:rPr>
          <w:rFonts w:ascii="Times New Roman" w:hAnsi="Times New Roman" w:cs="Times New Roman"/>
          <w:bCs/>
          <w:sz w:val="26"/>
          <w:szCs w:val="26"/>
        </w:rPr>
        <w:t>Для проведения группировки обосновывается выбор показателей, значений или диапазона значений данных показателей для отнесения объектов недвижимости к соответствующим группам (подгруппам).</w:t>
      </w:r>
    </w:p>
    <w:p w14:paraId="5292CA7C" w14:textId="77777777" w:rsidR="00EE2B64" w:rsidRPr="00037339" w:rsidRDefault="00EE2B64" w:rsidP="00EE2B64">
      <w:pPr>
        <w:spacing w:after="0" w:line="276" w:lineRule="auto"/>
        <w:ind w:firstLine="709"/>
        <w:contextualSpacing/>
        <w:jc w:val="both"/>
        <w:rPr>
          <w:rFonts w:ascii="Times New Roman" w:hAnsi="Times New Roman" w:cs="Times New Roman"/>
          <w:bCs/>
          <w:sz w:val="26"/>
          <w:szCs w:val="26"/>
        </w:rPr>
      </w:pPr>
      <w:r w:rsidRPr="00037339">
        <w:rPr>
          <w:rFonts w:ascii="Times New Roman" w:hAnsi="Times New Roman" w:cs="Times New Roman"/>
          <w:bCs/>
          <w:sz w:val="26"/>
          <w:szCs w:val="26"/>
        </w:rPr>
        <w:t>Не допускается отнесение одного объекта недвижимости к двум и более группам (подгруппам).</w:t>
      </w:r>
    </w:p>
    <w:p w14:paraId="646EE650" w14:textId="77777777" w:rsidR="00EE2B64" w:rsidRPr="00037339" w:rsidRDefault="00EE2B64" w:rsidP="00EE2B64">
      <w:pPr>
        <w:spacing w:after="0" w:line="276" w:lineRule="auto"/>
        <w:ind w:firstLine="709"/>
        <w:contextualSpacing/>
        <w:jc w:val="both"/>
        <w:rPr>
          <w:rFonts w:ascii="Times New Roman" w:eastAsia="Times New Roman" w:hAnsi="Times New Roman" w:cs="Times New Roman"/>
          <w:spacing w:val="-5"/>
          <w:sz w:val="26"/>
          <w:szCs w:val="26"/>
        </w:rPr>
      </w:pPr>
      <w:r w:rsidRPr="00037339">
        <w:rPr>
          <w:rFonts w:ascii="Times New Roman" w:hAnsi="Times New Roman" w:cs="Times New Roman"/>
          <w:bCs/>
          <w:sz w:val="26"/>
          <w:szCs w:val="26"/>
        </w:rPr>
        <w:t>Группировка объектов недвижимости является одним из мероприятий определения кадастровой стоимости. Для целей определения кадастровой стоимости методами массовой оценки объекты недвижимости объединяются в группы и подгруппы (при необходимости).</w:t>
      </w:r>
      <w:r w:rsidRPr="00037339">
        <w:rPr>
          <w:rFonts w:ascii="Times New Roman" w:eastAsia="Times New Roman" w:hAnsi="Times New Roman" w:cs="Times New Roman"/>
          <w:spacing w:val="-5"/>
          <w:sz w:val="26"/>
          <w:szCs w:val="26"/>
        </w:rPr>
        <w:t xml:space="preserve"> </w:t>
      </w:r>
    </w:p>
    <w:p w14:paraId="0D868127" w14:textId="7D250DA4" w:rsidR="00EE2B64" w:rsidRPr="00037339" w:rsidRDefault="00EE2B64" w:rsidP="00EE2B64">
      <w:pPr>
        <w:spacing w:after="0" w:line="276" w:lineRule="auto"/>
        <w:ind w:firstLine="709"/>
        <w:contextualSpacing/>
        <w:jc w:val="both"/>
        <w:rPr>
          <w:rFonts w:ascii="Times New Roman" w:hAnsi="Times New Roman" w:cs="Times New Roman"/>
          <w:bCs/>
          <w:sz w:val="26"/>
          <w:szCs w:val="26"/>
        </w:rPr>
        <w:sectPr w:rsidR="00EE2B64" w:rsidRPr="00037339" w:rsidSect="00591722">
          <w:headerReference w:type="default" r:id="rId143"/>
          <w:footerReference w:type="default" r:id="rId144"/>
          <w:type w:val="nextColumn"/>
          <w:pgSz w:w="11906" w:h="16838"/>
          <w:pgMar w:top="1134" w:right="851" w:bottom="1134" w:left="1701" w:header="708" w:footer="708" w:gutter="0"/>
          <w:cols w:space="720"/>
          <w:titlePg/>
          <w:docGrid w:linePitch="299"/>
        </w:sectPr>
      </w:pPr>
      <w:r w:rsidRPr="00037339">
        <w:rPr>
          <w:rFonts w:ascii="Times New Roman" w:eastAsia="Times New Roman" w:hAnsi="Times New Roman" w:cs="Times New Roman"/>
          <w:spacing w:val="-5"/>
          <w:sz w:val="26"/>
          <w:szCs w:val="26"/>
        </w:rPr>
        <w:t xml:space="preserve">Анализ видов использования объектов оценки, содержащихся </w:t>
      </w:r>
      <w:r w:rsidR="0096548D" w:rsidRPr="00037339">
        <w:rPr>
          <w:rFonts w:ascii="Times New Roman" w:eastAsia="Times New Roman" w:hAnsi="Times New Roman" w:cs="Times New Roman"/>
          <w:spacing w:val="-5"/>
          <w:sz w:val="26"/>
          <w:szCs w:val="26"/>
        </w:rPr>
        <w:t>в Перечне,</w:t>
      </w:r>
      <w:r w:rsidRPr="00037339">
        <w:rPr>
          <w:rFonts w:ascii="Times New Roman" w:eastAsia="Times New Roman" w:hAnsi="Times New Roman" w:cs="Times New Roman"/>
          <w:spacing w:val="-5"/>
          <w:sz w:val="26"/>
          <w:szCs w:val="26"/>
        </w:rPr>
        <w:t xml:space="preserve"> позволил разделить все объекты на группы, подгруппы 1 и 2 уровней. Далее в табличной форме представлено описание сформированных подгрупп:</w:t>
      </w:r>
    </w:p>
    <w:p w14:paraId="7C1572D5" w14:textId="7E982CD6" w:rsidR="00EE2B64" w:rsidRPr="00675A67" w:rsidRDefault="00EE2B64" w:rsidP="00EE2B64">
      <w:pPr>
        <w:spacing w:after="0" w:line="276" w:lineRule="auto"/>
        <w:ind w:firstLine="709"/>
        <w:contextualSpacing/>
        <w:jc w:val="right"/>
        <w:rPr>
          <w:rFonts w:ascii="Times New Roman" w:hAnsi="Times New Roman" w:cs="Times New Roman"/>
          <w:bCs/>
          <w:sz w:val="26"/>
          <w:szCs w:val="26"/>
        </w:rPr>
      </w:pPr>
      <w:bookmarkStart w:id="121" w:name="_Ref511389973"/>
      <w:r w:rsidRPr="00675A67">
        <w:rPr>
          <w:rFonts w:ascii="Times New Roman" w:hAnsi="Times New Roman" w:cs="Times New Roman"/>
          <w:bCs/>
          <w:sz w:val="26"/>
          <w:szCs w:val="26"/>
        </w:rPr>
        <w:t xml:space="preserve">Таблица </w:t>
      </w:r>
      <w:bookmarkEnd w:id="121"/>
      <w:r w:rsidRPr="00675A67">
        <w:rPr>
          <w:rFonts w:ascii="Times New Roman" w:hAnsi="Times New Roman" w:cs="Times New Roman"/>
          <w:bCs/>
          <w:sz w:val="26"/>
          <w:szCs w:val="26"/>
        </w:rPr>
        <w:t>3.3.2.1</w:t>
      </w:r>
    </w:p>
    <w:p w14:paraId="4F305E76" w14:textId="77777777" w:rsidR="0026021A" w:rsidRPr="00675A67" w:rsidRDefault="0026021A" w:rsidP="0026021A">
      <w:pPr>
        <w:spacing w:after="0" w:line="276" w:lineRule="auto"/>
        <w:ind w:firstLine="709"/>
        <w:contextualSpacing/>
        <w:jc w:val="center"/>
        <w:rPr>
          <w:rFonts w:ascii="Times New Roman" w:hAnsi="Times New Roman" w:cs="Times New Roman"/>
          <w:b/>
          <w:bCs/>
          <w:sz w:val="26"/>
          <w:szCs w:val="26"/>
        </w:rPr>
      </w:pPr>
      <w:r w:rsidRPr="00675A67">
        <w:rPr>
          <w:rFonts w:ascii="Times New Roman" w:hAnsi="Times New Roman" w:cs="Times New Roman"/>
          <w:b/>
          <w:bCs/>
          <w:sz w:val="26"/>
          <w:szCs w:val="26"/>
        </w:rPr>
        <w:t>Группировка земельных участков</w:t>
      </w:r>
    </w:p>
    <w:tbl>
      <w:tblPr>
        <w:tblW w:w="14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3026"/>
        <w:gridCol w:w="6404"/>
        <w:gridCol w:w="2111"/>
        <w:gridCol w:w="2065"/>
      </w:tblGrid>
      <w:tr w:rsidR="0026021A" w:rsidRPr="0026021A" w14:paraId="39DCF8C9" w14:textId="77777777" w:rsidTr="0026021A">
        <w:trPr>
          <w:trHeight w:val="900"/>
          <w:jc w:val="center"/>
        </w:trPr>
        <w:tc>
          <w:tcPr>
            <w:tcW w:w="1055" w:type="dxa"/>
            <w:shd w:val="clear" w:color="auto" w:fill="auto"/>
            <w:vAlign w:val="center"/>
            <w:hideMark/>
          </w:tcPr>
          <w:p w14:paraId="08E018C8" w14:textId="77777777" w:rsidR="0026021A" w:rsidRPr="0026021A" w:rsidRDefault="0026021A" w:rsidP="0026021A">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Сегмент</w:t>
            </w:r>
          </w:p>
        </w:tc>
        <w:tc>
          <w:tcPr>
            <w:tcW w:w="3026" w:type="dxa"/>
            <w:shd w:val="clear" w:color="auto" w:fill="auto"/>
            <w:vAlign w:val="center"/>
            <w:hideMark/>
          </w:tcPr>
          <w:p w14:paraId="18235839" w14:textId="77777777" w:rsidR="0026021A" w:rsidRPr="0026021A" w:rsidRDefault="0026021A" w:rsidP="0026021A">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Номер группы_</w:t>
            </w:r>
          </w:p>
        </w:tc>
        <w:tc>
          <w:tcPr>
            <w:tcW w:w="6404" w:type="dxa"/>
            <w:shd w:val="clear" w:color="auto" w:fill="auto"/>
            <w:vAlign w:val="center"/>
            <w:hideMark/>
          </w:tcPr>
          <w:p w14:paraId="1EFC3297" w14:textId="77777777" w:rsidR="0026021A" w:rsidRPr="0026021A" w:rsidRDefault="0026021A" w:rsidP="0026021A">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коды</w:t>
            </w:r>
          </w:p>
        </w:tc>
        <w:tc>
          <w:tcPr>
            <w:tcW w:w="2111" w:type="dxa"/>
            <w:shd w:val="clear" w:color="auto" w:fill="auto"/>
            <w:vAlign w:val="center"/>
            <w:hideMark/>
          </w:tcPr>
          <w:p w14:paraId="4C2D80F4" w14:textId="77777777" w:rsidR="0026021A" w:rsidRPr="0026021A" w:rsidRDefault="0026021A" w:rsidP="0026021A">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Номер подгруппы 1-го уровня</w:t>
            </w:r>
          </w:p>
        </w:tc>
        <w:tc>
          <w:tcPr>
            <w:tcW w:w="2065" w:type="dxa"/>
            <w:shd w:val="clear" w:color="auto" w:fill="auto"/>
            <w:vAlign w:val="center"/>
            <w:hideMark/>
          </w:tcPr>
          <w:p w14:paraId="08B8F007" w14:textId="77777777" w:rsidR="0026021A" w:rsidRPr="0026021A" w:rsidRDefault="0026021A" w:rsidP="0026021A">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Номер подгруппы 2-го уровня</w:t>
            </w:r>
          </w:p>
        </w:tc>
      </w:tr>
      <w:tr w:rsidR="00F525E2" w:rsidRPr="0026021A" w14:paraId="395E651A" w14:textId="77777777" w:rsidTr="0026021A">
        <w:trPr>
          <w:trHeight w:val="1800"/>
          <w:jc w:val="center"/>
        </w:trPr>
        <w:tc>
          <w:tcPr>
            <w:tcW w:w="1055" w:type="dxa"/>
            <w:vMerge w:val="restart"/>
            <w:shd w:val="clear" w:color="auto" w:fill="auto"/>
            <w:noWrap/>
            <w:vAlign w:val="center"/>
            <w:hideMark/>
          </w:tcPr>
          <w:p w14:paraId="6D41125B" w14:textId="77777777" w:rsidR="00F525E2" w:rsidRPr="0026021A" w:rsidRDefault="00F525E2" w:rsidP="00F525E2">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1</w:t>
            </w:r>
          </w:p>
        </w:tc>
        <w:tc>
          <w:tcPr>
            <w:tcW w:w="3026" w:type="dxa"/>
            <w:shd w:val="clear" w:color="auto" w:fill="auto"/>
            <w:noWrap/>
            <w:vAlign w:val="center"/>
            <w:hideMark/>
          </w:tcPr>
          <w:p w14:paraId="746A1701"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Воронеж</w:t>
            </w:r>
          </w:p>
        </w:tc>
        <w:tc>
          <w:tcPr>
            <w:tcW w:w="6404" w:type="dxa"/>
            <w:shd w:val="clear" w:color="auto" w:fill="auto"/>
            <w:vAlign w:val="center"/>
            <w:hideMark/>
          </w:tcPr>
          <w:p w14:paraId="25017B93" w14:textId="04F20B60"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01:000, 01:010, 01:020, 01:030, 01:031, 01:032, 01:040, 01:041, 01:042, 01:050, 01:051, 01:052, 01:053, 01:054, 01:060, 01:070, 01:080, 01:081, 01:082, 01:083, 01:084, 01:085, 01:086, 01:120, 01:121, 01:130, 01:131, 01:140, 01:141, 01:142, 01:160, 01:170, 01:171, 01:200; 02:012, 02:015, 02:022, 02:033</w:t>
            </w:r>
          </w:p>
        </w:tc>
        <w:tc>
          <w:tcPr>
            <w:tcW w:w="2111" w:type="dxa"/>
            <w:shd w:val="clear" w:color="auto" w:fill="auto"/>
            <w:noWrap/>
            <w:vAlign w:val="bottom"/>
            <w:hideMark/>
          </w:tcPr>
          <w:p w14:paraId="44EE73C5"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c>
          <w:tcPr>
            <w:tcW w:w="2065" w:type="dxa"/>
            <w:shd w:val="clear" w:color="auto" w:fill="auto"/>
            <w:noWrap/>
            <w:vAlign w:val="bottom"/>
            <w:hideMark/>
          </w:tcPr>
          <w:p w14:paraId="0ADC1D5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162F78BF" w14:textId="77777777" w:rsidTr="0026021A">
        <w:trPr>
          <w:trHeight w:val="300"/>
          <w:jc w:val="center"/>
        </w:trPr>
        <w:tc>
          <w:tcPr>
            <w:tcW w:w="1055" w:type="dxa"/>
            <w:vMerge/>
            <w:shd w:val="clear" w:color="auto" w:fill="auto"/>
            <w:vAlign w:val="center"/>
            <w:hideMark/>
          </w:tcPr>
          <w:p w14:paraId="75596FC2"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shd w:val="clear" w:color="auto" w:fill="auto"/>
            <w:noWrap/>
            <w:vAlign w:val="center"/>
            <w:hideMark/>
          </w:tcPr>
          <w:p w14:paraId="0321531A"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Пруды</w:t>
            </w:r>
          </w:p>
        </w:tc>
        <w:tc>
          <w:tcPr>
            <w:tcW w:w="6404" w:type="dxa"/>
            <w:shd w:val="clear" w:color="auto" w:fill="auto"/>
            <w:noWrap/>
            <w:vAlign w:val="center"/>
            <w:hideMark/>
          </w:tcPr>
          <w:p w14:paraId="307DB608" w14:textId="449DD581"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 xml:space="preserve"> 01:130, 01:131</w:t>
            </w:r>
          </w:p>
        </w:tc>
        <w:tc>
          <w:tcPr>
            <w:tcW w:w="2111" w:type="dxa"/>
            <w:shd w:val="clear" w:color="auto" w:fill="auto"/>
            <w:noWrap/>
            <w:vAlign w:val="bottom"/>
            <w:hideMark/>
          </w:tcPr>
          <w:p w14:paraId="61BD237A"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c>
          <w:tcPr>
            <w:tcW w:w="2065" w:type="dxa"/>
            <w:shd w:val="clear" w:color="auto" w:fill="auto"/>
            <w:noWrap/>
            <w:vAlign w:val="bottom"/>
            <w:hideMark/>
          </w:tcPr>
          <w:p w14:paraId="3006F69C"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48141B8D" w14:textId="77777777" w:rsidTr="0026021A">
        <w:trPr>
          <w:trHeight w:val="1800"/>
          <w:jc w:val="center"/>
        </w:trPr>
        <w:tc>
          <w:tcPr>
            <w:tcW w:w="1055" w:type="dxa"/>
            <w:vMerge/>
            <w:shd w:val="clear" w:color="auto" w:fill="auto"/>
            <w:vAlign w:val="center"/>
            <w:hideMark/>
          </w:tcPr>
          <w:p w14:paraId="3637E219"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shd w:val="clear" w:color="auto" w:fill="auto"/>
            <w:noWrap/>
            <w:vAlign w:val="center"/>
            <w:hideMark/>
          </w:tcPr>
          <w:p w14:paraId="18E9A117"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СХ использование</w:t>
            </w:r>
          </w:p>
        </w:tc>
        <w:tc>
          <w:tcPr>
            <w:tcW w:w="6404" w:type="dxa"/>
            <w:shd w:val="clear" w:color="auto" w:fill="auto"/>
            <w:vAlign w:val="center"/>
            <w:hideMark/>
          </w:tcPr>
          <w:p w14:paraId="55D5B82F" w14:textId="0AFF9EEA"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01:000, 01:010, 01:020, 01:030, 01:031, 01:032, 01:040, 01:041, 01:042, 01:050, 01:051, 01:052, 01:053, 01:054, 01:060, 01:070, 01:080, 01:081, 01:082, 01:083, 01:084, 01:085, 01:086, 01:120, 01:121, 01:130, 01:131, 01:140, 01:141, 01:142, 01:160, 01:170, 01:171, 01:200; 02:012, 02:015, 02:022, 02:033</w:t>
            </w:r>
          </w:p>
        </w:tc>
        <w:tc>
          <w:tcPr>
            <w:tcW w:w="2111" w:type="dxa"/>
            <w:shd w:val="clear" w:color="auto" w:fill="auto"/>
            <w:noWrap/>
            <w:vAlign w:val="bottom"/>
            <w:hideMark/>
          </w:tcPr>
          <w:p w14:paraId="0307D232"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c>
          <w:tcPr>
            <w:tcW w:w="2065" w:type="dxa"/>
            <w:shd w:val="clear" w:color="auto" w:fill="auto"/>
            <w:noWrap/>
            <w:vAlign w:val="bottom"/>
            <w:hideMark/>
          </w:tcPr>
          <w:p w14:paraId="5E1789F3"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3A592E73" w14:textId="77777777" w:rsidTr="0026021A">
        <w:trPr>
          <w:trHeight w:val="300"/>
          <w:jc w:val="center"/>
        </w:trPr>
        <w:tc>
          <w:tcPr>
            <w:tcW w:w="1055" w:type="dxa"/>
            <w:vMerge w:val="restart"/>
            <w:shd w:val="clear" w:color="auto" w:fill="auto"/>
            <w:noWrap/>
            <w:vAlign w:val="center"/>
            <w:hideMark/>
          </w:tcPr>
          <w:p w14:paraId="4671CCC2" w14:textId="77777777" w:rsidR="00F525E2" w:rsidRPr="0026021A" w:rsidRDefault="00F525E2" w:rsidP="00F525E2">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2</w:t>
            </w:r>
          </w:p>
        </w:tc>
        <w:tc>
          <w:tcPr>
            <w:tcW w:w="3026" w:type="dxa"/>
            <w:vMerge w:val="restart"/>
            <w:shd w:val="clear" w:color="auto" w:fill="auto"/>
            <w:noWrap/>
            <w:vAlign w:val="center"/>
            <w:hideMark/>
          </w:tcPr>
          <w:p w14:paraId="16C914D5"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МЖЗ</w:t>
            </w:r>
          </w:p>
        </w:tc>
        <w:tc>
          <w:tcPr>
            <w:tcW w:w="6404" w:type="dxa"/>
            <w:vMerge w:val="restart"/>
            <w:shd w:val="clear" w:color="auto" w:fill="auto"/>
            <w:vAlign w:val="center"/>
            <w:hideMark/>
          </w:tcPr>
          <w:p w14:paraId="3B30E780" w14:textId="507D169D"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02:000, 02:050, 02:051, 02:060, 02:061</w:t>
            </w:r>
          </w:p>
        </w:tc>
        <w:tc>
          <w:tcPr>
            <w:tcW w:w="2111" w:type="dxa"/>
            <w:shd w:val="clear" w:color="auto" w:fill="auto"/>
            <w:noWrap/>
            <w:vAlign w:val="center"/>
            <w:hideMark/>
          </w:tcPr>
          <w:p w14:paraId="5E2DF536"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Воронеж</w:t>
            </w:r>
          </w:p>
        </w:tc>
        <w:tc>
          <w:tcPr>
            <w:tcW w:w="2065" w:type="dxa"/>
            <w:shd w:val="clear" w:color="auto" w:fill="auto"/>
            <w:noWrap/>
            <w:vAlign w:val="bottom"/>
            <w:hideMark/>
          </w:tcPr>
          <w:p w14:paraId="2424FF0C"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7193A728" w14:textId="77777777" w:rsidTr="0026021A">
        <w:trPr>
          <w:trHeight w:val="300"/>
          <w:jc w:val="center"/>
        </w:trPr>
        <w:tc>
          <w:tcPr>
            <w:tcW w:w="1055" w:type="dxa"/>
            <w:vMerge/>
            <w:shd w:val="clear" w:color="auto" w:fill="auto"/>
            <w:vAlign w:val="center"/>
            <w:hideMark/>
          </w:tcPr>
          <w:p w14:paraId="0A57C95F"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64D501F3"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5AB8A935"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79403F9A"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ГНП</w:t>
            </w:r>
          </w:p>
        </w:tc>
        <w:tc>
          <w:tcPr>
            <w:tcW w:w="2065" w:type="dxa"/>
            <w:shd w:val="clear" w:color="auto" w:fill="auto"/>
            <w:noWrap/>
            <w:vAlign w:val="bottom"/>
            <w:hideMark/>
          </w:tcPr>
          <w:p w14:paraId="30D4DF9F"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2687D3D3" w14:textId="77777777" w:rsidTr="0026021A">
        <w:trPr>
          <w:trHeight w:val="300"/>
          <w:jc w:val="center"/>
        </w:trPr>
        <w:tc>
          <w:tcPr>
            <w:tcW w:w="1055" w:type="dxa"/>
            <w:vMerge/>
            <w:shd w:val="clear" w:color="auto" w:fill="auto"/>
            <w:vAlign w:val="center"/>
            <w:hideMark/>
          </w:tcPr>
          <w:p w14:paraId="4880A5E9"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0A69C991"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17668510"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530B71EE"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СНП</w:t>
            </w:r>
          </w:p>
        </w:tc>
        <w:tc>
          <w:tcPr>
            <w:tcW w:w="2065" w:type="dxa"/>
            <w:shd w:val="clear" w:color="auto" w:fill="auto"/>
            <w:noWrap/>
            <w:vAlign w:val="bottom"/>
            <w:hideMark/>
          </w:tcPr>
          <w:p w14:paraId="791E9D5C"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310ADF40" w14:textId="77777777" w:rsidTr="0026021A">
        <w:trPr>
          <w:trHeight w:val="300"/>
          <w:jc w:val="center"/>
        </w:trPr>
        <w:tc>
          <w:tcPr>
            <w:tcW w:w="1055" w:type="dxa"/>
            <w:vMerge/>
            <w:shd w:val="clear" w:color="auto" w:fill="auto"/>
            <w:vAlign w:val="center"/>
            <w:hideMark/>
          </w:tcPr>
          <w:p w14:paraId="43D613CD"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06C28AA0"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704CC5DC"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4C4F696E"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УПКС</w:t>
            </w:r>
          </w:p>
        </w:tc>
        <w:tc>
          <w:tcPr>
            <w:tcW w:w="2065" w:type="dxa"/>
            <w:shd w:val="clear" w:color="auto" w:fill="auto"/>
            <w:noWrap/>
            <w:vAlign w:val="bottom"/>
            <w:hideMark/>
          </w:tcPr>
          <w:p w14:paraId="1D8C7901"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52634D11" w14:textId="77777777" w:rsidTr="0026021A">
        <w:trPr>
          <w:trHeight w:val="300"/>
          <w:jc w:val="center"/>
        </w:trPr>
        <w:tc>
          <w:tcPr>
            <w:tcW w:w="1055" w:type="dxa"/>
            <w:vMerge w:val="restart"/>
            <w:shd w:val="clear" w:color="auto" w:fill="auto"/>
            <w:noWrap/>
            <w:vAlign w:val="center"/>
            <w:hideMark/>
          </w:tcPr>
          <w:p w14:paraId="09236375" w14:textId="77777777" w:rsidR="00F525E2" w:rsidRPr="0026021A" w:rsidRDefault="00F525E2" w:rsidP="00F525E2">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3</w:t>
            </w:r>
          </w:p>
        </w:tc>
        <w:tc>
          <w:tcPr>
            <w:tcW w:w="3026" w:type="dxa"/>
            <w:vMerge w:val="restart"/>
            <w:shd w:val="clear" w:color="auto" w:fill="auto"/>
            <w:noWrap/>
            <w:vAlign w:val="center"/>
            <w:hideMark/>
          </w:tcPr>
          <w:p w14:paraId="2DAB44BD"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СОЦ</w:t>
            </w:r>
          </w:p>
        </w:tc>
        <w:tc>
          <w:tcPr>
            <w:tcW w:w="6404" w:type="dxa"/>
            <w:vMerge w:val="restart"/>
            <w:shd w:val="clear" w:color="auto" w:fill="auto"/>
            <w:vAlign w:val="center"/>
            <w:hideMark/>
          </w:tcPr>
          <w:p w14:paraId="1E78DA35" w14:textId="52CECC69"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03:000, 01:143, 03:010, 03:013, 03:020, 03:021, 03:022, 03:023, 03:030, 03:031, 03:032, 03:033, 03:034, 03:035, 03:040, 03:041, 03:042, 03:050, 03:051, 03:052, 03:060, 03:061, 03:062, 03:065, 03:070, 03:071, 03:072, 03:073, 03:080, 03:081, 03:082, 03:083, 03:090, 03:091, 03:092, 03:100, 03:101, 03:102, 03:103, 03:104, 05:010, 05:011, 05:012, 05:020, 05:021, 05:051, 07:021, 07:022, 08:022, 08:030, 08:041</w:t>
            </w:r>
          </w:p>
        </w:tc>
        <w:tc>
          <w:tcPr>
            <w:tcW w:w="2111" w:type="dxa"/>
            <w:shd w:val="clear" w:color="auto" w:fill="auto"/>
            <w:noWrap/>
            <w:vAlign w:val="center"/>
            <w:hideMark/>
          </w:tcPr>
          <w:p w14:paraId="1D57EB0A"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Воронеж</w:t>
            </w:r>
          </w:p>
        </w:tc>
        <w:tc>
          <w:tcPr>
            <w:tcW w:w="2065" w:type="dxa"/>
            <w:shd w:val="clear" w:color="auto" w:fill="auto"/>
            <w:noWrap/>
            <w:vAlign w:val="bottom"/>
            <w:hideMark/>
          </w:tcPr>
          <w:p w14:paraId="50E0928F"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15D0DB3F" w14:textId="77777777" w:rsidTr="0026021A">
        <w:trPr>
          <w:trHeight w:val="300"/>
          <w:jc w:val="center"/>
        </w:trPr>
        <w:tc>
          <w:tcPr>
            <w:tcW w:w="1055" w:type="dxa"/>
            <w:vMerge/>
            <w:shd w:val="clear" w:color="auto" w:fill="auto"/>
            <w:vAlign w:val="center"/>
            <w:hideMark/>
          </w:tcPr>
          <w:p w14:paraId="46906C34"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2D93D75D"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1BB9E7C6"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45FD5A5D"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6 ГНП</w:t>
            </w:r>
          </w:p>
        </w:tc>
        <w:tc>
          <w:tcPr>
            <w:tcW w:w="2065" w:type="dxa"/>
            <w:shd w:val="clear" w:color="auto" w:fill="auto"/>
            <w:noWrap/>
            <w:vAlign w:val="bottom"/>
            <w:hideMark/>
          </w:tcPr>
          <w:p w14:paraId="23808DE9"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52D7ECA8" w14:textId="77777777" w:rsidTr="0026021A">
        <w:trPr>
          <w:trHeight w:val="300"/>
          <w:jc w:val="center"/>
        </w:trPr>
        <w:tc>
          <w:tcPr>
            <w:tcW w:w="1055" w:type="dxa"/>
            <w:vMerge/>
            <w:shd w:val="clear" w:color="auto" w:fill="auto"/>
            <w:vAlign w:val="center"/>
            <w:hideMark/>
          </w:tcPr>
          <w:p w14:paraId="0877AAD3"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71E11733"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6343E25B"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3E4FAD60"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Прочие ГНП</w:t>
            </w:r>
          </w:p>
        </w:tc>
        <w:tc>
          <w:tcPr>
            <w:tcW w:w="2065" w:type="dxa"/>
            <w:shd w:val="clear" w:color="auto" w:fill="auto"/>
            <w:noWrap/>
            <w:vAlign w:val="bottom"/>
            <w:hideMark/>
          </w:tcPr>
          <w:p w14:paraId="11BB206F"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223E066C" w14:textId="77777777" w:rsidTr="0026021A">
        <w:trPr>
          <w:trHeight w:val="300"/>
          <w:jc w:val="center"/>
        </w:trPr>
        <w:tc>
          <w:tcPr>
            <w:tcW w:w="1055" w:type="dxa"/>
            <w:vMerge/>
            <w:shd w:val="clear" w:color="auto" w:fill="auto"/>
            <w:vAlign w:val="center"/>
            <w:hideMark/>
          </w:tcPr>
          <w:p w14:paraId="409EDAEC"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29416D2C"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4E05F7DE"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5602D30B"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СНП</w:t>
            </w:r>
          </w:p>
        </w:tc>
        <w:tc>
          <w:tcPr>
            <w:tcW w:w="2065" w:type="dxa"/>
            <w:shd w:val="clear" w:color="auto" w:fill="auto"/>
            <w:noWrap/>
            <w:vAlign w:val="bottom"/>
            <w:hideMark/>
          </w:tcPr>
          <w:p w14:paraId="45672D34"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7D96D16C" w14:textId="77777777" w:rsidTr="0026021A">
        <w:trPr>
          <w:trHeight w:val="300"/>
          <w:jc w:val="center"/>
        </w:trPr>
        <w:tc>
          <w:tcPr>
            <w:tcW w:w="1055" w:type="dxa"/>
            <w:vMerge/>
            <w:shd w:val="clear" w:color="auto" w:fill="auto"/>
            <w:vAlign w:val="center"/>
            <w:hideMark/>
          </w:tcPr>
          <w:p w14:paraId="4089319B"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6A40CF03"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shd w:val="clear" w:color="auto" w:fill="auto"/>
            <w:noWrap/>
            <w:vAlign w:val="center"/>
            <w:hideMark/>
          </w:tcPr>
          <w:p w14:paraId="53529FC6" w14:textId="166AF0B5"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09:030</w:t>
            </w:r>
          </w:p>
        </w:tc>
        <w:tc>
          <w:tcPr>
            <w:tcW w:w="2111" w:type="dxa"/>
            <w:shd w:val="clear" w:color="auto" w:fill="auto"/>
            <w:noWrap/>
            <w:vAlign w:val="bottom"/>
            <w:hideMark/>
          </w:tcPr>
          <w:p w14:paraId="23C8482C"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Памятники</w:t>
            </w:r>
          </w:p>
        </w:tc>
        <w:tc>
          <w:tcPr>
            <w:tcW w:w="2065" w:type="dxa"/>
            <w:shd w:val="clear" w:color="auto" w:fill="auto"/>
            <w:noWrap/>
            <w:vAlign w:val="bottom"/>
            <w:hideMark/>
          </w:tcPr>
          <w:p w14:paraId="55858046"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50FC91EF" w14:textId="77777777" w:rsidTr="0026021A">
        <w:trPr>
          <w:trHeight w:val="963"/>
          <w:jc w:val="center"/>
        </w:trPr>
        <w:tc>
          <w:tcPr>
            <w:tcW w:w="1055" w:type="dxa"/>
            <w:vMerge/>
            <w:shd w:val="clear" w:color="auto" w:fill="auto"/>
            <w:vAlign w:val="center"/>
            <w:hideMark/>
          </w:tcPr>
          <w:p w14:paraId="1DED0DD4"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2A383F94"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shd w:val="clear" w:color="auto" w:fill="auto"/>
            <w:vAlign w:val="center"/>
            <w:hideMark/>
          </w:tcPr>
          <w:p w14:paraId="4AEBE822" w14:textId="7F227ECF"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03:000, 01:143, 03:010, 03:013, 03:020, 03:021, 03:022, 03:023, 03:030, 03:031, 03:032, 03:033, 03:034, 03:035, 03:040, 03:041, 03:042, 03:050, 03:051, 03:052, 03:060, 03:061, 03:062, 03:065, 03:070, 03:071, 03:072, 03:073, 03:080, 03:081, 03:082, 03:083, 03:090, 03:091, 03:092, 03:100, 03:101, 03:102, 03:103, 03:104, 05:010, 05:011, 05:012, 05:020, 05:021, 05:051, 07:021, 07:022, 08:022, 08:030, 08:041</w:t>
            </w:r>
          </w:p>
        </w:tc>
        <w:tc>
          <w:tcPr>
            <w:tcW w:w="2111" w:type="dxa"/>
            <w:shd w:val="clear" w:color="auto" w:fill="auto"/>
            <w:noWrap/>
            <w:vAlign w:val="center"/>
            <w:hideMark/>
          </w:tcPr>
          <w:p w14:paraId="5735323F"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УПКС</w:t>
            </w:r>
          </w:p>
        </w:tc>
        <w:tc>
          <w:tcPr>
            <w:tcW w:w="2065" w:type="dxa"/>
            <w:shd w:val="clear" w:color="auto" w:fill="auto"/>
            <w:noWrap/>
            <w:vAlign w:val="bottom"/>
            <w:hideMark/>
          </w:tcPr>
          <w:p w14:paraId="2ED5892F"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432F8EAC" w14:textId="77777777" w:rsidTr="0026021A">
        <w:trPr>
          <w:trHeight w:val="300"/>
          <w:jc w:val="center"/>
        </w:trPr>
        <w:tc>
          <w:tcPr>
            <w:tcW w:w="1055" w:type="dxa"/>
            <w:vMerge w:val="restart"/>
            <w:shd w:val="clear" w:color="auto" w:fill="auto"/>
            <w:noWrap/>
            <w:vAlign w:val="center"/>
            <w:hideMark/>
          </w:tcPr>
          <w:p w14:paraId="04777111" w14:textId="77777777" w:rsidR="00F525E2" w:rsidRPr="0026021A" w:rsidRDefault="00F525E2" w:rsidP="00F525E2">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4</w:t>
            </w:r>
          </w:p>
        </w:tc>
        <w:tc>
          <w:tcPr>
            <w:tcW w:w="3026" w:type="dxa"/>
            <w:vMerge w:val="restart"/>
            <w:shd w:val="clear" w:color="auto" w:fill="auto"/>
            <w:noWrap/>
            <w:vAlign w:val="center"/>
            <w:hideMark/>
          </w:tcPr>
          <w:p w14:paraId="75395A96"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ПРЕДПРИНИМАТЕЛЬСТВО</w:t>
            </w:r>
          </w:p>
        </w:tc>
        <w:tc>
          <w:tcPr>
            <w:tcW w:w="6404" w:type="dxa"/>
            <w:vMerge w:val="restart"/>
            <w:shd w:val="clear" w:color="auto" w:fill="auto"/>
            <w:vAlign w:val="center"/>
            <w:hideMark/>
          </w:tcPr>
          <w:p w14:paraId="34551C49" w14:textId="4D7485DB"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04:000, 01:183, 02:017, 02:053, 02:063, 03:063, 03:064, 04:010, 04:020, 04:030, 04:040, 04:050, 04:060, 04:080, 04:081, 04:082, 04:083, 04:084, 04:096, 04:100, 05:013, 05:050, 08:021</w:t>
            </w:r>
          </w:p>
        </w:tc>
        <w:tc>
          <w:tcPr>
            <w:tcW w:w="2111" w:type="dxa"/>
            <w:shd w:val="clear" w:color="auto" w:fill="auto"/>
            <w:noWrap/>
            <w:vAlign w:val="center"/>
            <w:hideMark/>
          </w:tcPr>
          <w:p w14:paraId="402AF6A9"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Вооронеж</w:t>
            </w:r>
          </w:p>
        </w:tc>
        <w:tc>
          <w:tcPr>
            <w:tcW w:w="2065" w:type="dxa"/>
            <w:shd w:val="clear" w:color="auto" w:fill="auto"/>
            <w:noWrap/>
            <w:vAlign w:val="center"/>
            <w:hideMark/>
          </w:tcPr>
          <w:p w14:paraId="4B457893"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3614B7B0" w14:textId="77777777" w:rsidTr="0026021A">
        <w:trPr>
          <w:trHeight w:val="300"/>
          <w:jc w:val="center"/>
        </w:trPr>
        <w:tc>
          <w:tcPr>
            <w:tcW w:w="1055" w:type="dxa"/>
            <w:vMerge/>
            <w:shd w:val="clear" w:color="auto" w:fill="auto"/>
            <w:vAlign w:val="center"/>
            <w:hideMark/>
          </w:tcPr>
          <w:p w14:paraId="12812C36"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0089D14A"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422EA3CD"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124ED7DA"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6 ГНП</w:t>
            </w:r>
          </w:p>
        </w:tc>
        <w:tc>
          <w:tcPr>
            <w:tcW w:w="2065" w:type="dxa"/>
            <w:shd w:val="clear" w:color="auto" w:fill="auto"/>
            <w:noWrap/>
            <w:vAlign w:val="center"/>
            <w:hideMark/>
          </w:tcPr>
          <w:p w14:paraId="75BB861B"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6B075DC0" w14:textId="77777777" w:rsidTr="0026021A">
        <w:trPr>
          <w:trHeight w:val="300"/>
          <w:jc w:val="center"/>
        </w:trPr>
        <w:tc>
          <w:tcPr>
            <w:tcW w:w="1055" w:type="dxa"/>
            <w:vMerge/>
            <w:shd w:val="clear" w:color="auto" w:fill="auto"/>
            <w:vAlign w:val="center"/>
            <w:hideMark/>
          </w:tcPr>
          <w:p w14:paraId="53D7BAC5"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1624FD9F"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24227F60"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5A7D4BB5"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Прочие ГНП</w:t>
            </w:r>
          </w:p>
        </w:tc>
        <w:tc>
          <w:tcPr>
            <w:tcW w:w="2065" w:type="dxa"/>
            <w:shd w:val="clear" w:color="auto" w:fill="auto"/>
            <w:noWrap/>
            <w:vAlign w:val="center"/>
            <w:hideMark/>
          </w:tcPr>
          <w:p w14:paraId="13CE43AF"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3075023C" w14:textId="77777777" w:rsidTr="0026021A">
        <w:trPr>
          <w:trHeight w:val="300"/>
          <w:jc w:val="center"/>
        </w:trPr>
        <w:tc>
          <w:tcPr>
            <w:tcW w:w="1055" w:type="dxa"/>
            <w:vMerge/>
            <w:shd w:val="clear" w:color="auto" w:fill="auto"/>
            <w:vAlign w:val="center"/>
            <w:hideMark/>
          </w:tcPr>
          <w:p w14:paraId="14A46C0A"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02D174A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38750D46"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7D8B11C4"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СНП</w:t>
            </w:r>
          </w:p>
        </w:tc>
        <w:tc>
          <w:tcPr>
            <w:tcW w:w="2065" w:type="dxa"/>
            <w:shd w:val="clear" w:color="auto" w:fill="auto"/>
            <w:noWrap/>
            <w:vAlign w:val="center"/>
            <w:hideMark/>
          </w:tcPr>
          <w:p w14:paraId="5B358D27"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215A4B53" w14:textId="77777777" w:rsidTr="0026021A">
        <w:trPr>
          <w:trHeight w:val="300"/>
          <w:jc w:val="center"/>
        </w:trPr>
        <w:tc>
          <w:tcPr>
            <w:tcW w:w="1055" w:type="dxa"/>
            <w:vMerge/>
            <w:shd w:val="clear" w:color="auto" w:fill="auto"/>
            <w:vAlign w:val="center"/>
            <w:hideMark/>
          </w:tcPr>
          <w:p w14:paraId="13E3954F"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1CE3C58D"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691E817F"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525AC5B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УПКС</w:t>
            </w:r>
          </w:p>
        </w:tc>
        <w:tc>
          <w:tcPr>
            <w:tcW w:w="2065" w:type="dxa"/>
            <w:shd w:val="clear" w:color="auto" w:fill="auto"/>
            <w:noWrap/>
            <w:vAlign w:val="center"/>
            <w:hideMark/>
          </w:tcPr>
          <w:p w14:paraId="7F6002D9"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504404D3" w14:textId="77777777" w:rsidTr="0026021A">
        <w:trPr>
          <w:trHeight w:val="300"/>
          <w:jc w:val="center"/>
        </w:trPr>
        <w:tc>
          <w:tcPr>
            <w:tcW w:w="1055" w:type="dxa"/>
            <w:vMerge w:val="restart"/>
            <w:shd w:val="clear" w:color="auto" w:fill="auto"/>
            <w:noWrap/>
            <w:vAlign w:val="center"/>
            <w:hideMark/>
          </w:tcPr>
          <w:p w14:paraId="200878CF" w14:textId="77777777" w:rsidR="00F525E2" w:rsidRPr="0026021A" w:rsidRDefault="00F525E2" w:rsidP="00F525E2">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5</w:t>
            </w:r>
          </w:p>
        </w:tc>
        <w:tc>
          <w:tcPr>
            <w:tcW w:w="3026" w:type="dxa"/>
            <w:vMerge w:val="restart"/>
            <w:shd w:val="clear" w:color="auto" w:fill="auto"/>
            <w:noWrap/>
            <w:vAlign w:val="center"/>
            <w:hideMark/>
          </w:tcPr>
          <w:p w14:paraId="000F65E2"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ГОСТИНИЦЫ</w:t>
            </w:r>
          </w:p>
        </w:tc>
        <w:tc>
          <w:tcPr>
            <w:tcW w:w="6404" w:type="dxa"/>
            <w:vMerge w:val="restart"/>
            <w:shd w:val="clear" w:color="auto" w:fill="auto"/>
            <w:noWrap/>
            <w:vAlign w:val="center"/>
            <w:hideMark/>
          </w:tcPr>
          <w:p w14:paraId="69C449EB" w14:textId="532A4D94"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 xml:space="preserve"> 04:070, 04:097</w:t>
            </w:r>
          </w:p>
        </w:tc>
        <w:tc>
          <w:tcPr>
            <w:tcW w:w="2111" w:type="dxa"/>
            <w:shd w:val="clear" w:color="auto" w:fill="auto"/>
            <w:noWrap/>
            <w:vAlign w:val="center"/>
            <w:hideMark/>
          </w:tcPr>
          <w:p w14:paraId="2A54ACC4"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Воронеж</w:t>
            </w:r>
          </w:p>
        </w:tc>
        <w:tc>
          <w:tcPr>
            <w:tcW w:w="2065" w:type="dxa"/>
            <w:shd w:val="clear" w:color="auto" w:fill="auto"/>
            <w:noWrap/>
            <w:vAlign w:val="center"/>
            <w:hideMark/>
          </w:tcPr>
          <w:p w14:paraId="0D74AE01"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311FED8A" w14:textId="77777777" w:rsidTr="0026021A">
        <w:trPr>
          <w:trHeight w:val="300"/>
          <w:jc w:val="center"/>
        </w:trPr>
        <w:tc>
          <w:tcPr>
            <w:tcW w:w="1055" w:type="dxa"/>
            <w:vMerge/>
            <w:shd w:val="clear" w:color="auto" w:fill="auto"/>
            <w:vAlign w:val="center"/>
            <w:hideMark/>
          </w:tcPr>
          <w:p w14:paraId="5C79EFC9"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4CF0E9C1"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514474FE"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4A4912FC"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ГНП</w:t>
            </w:r>
          </w:p>
        </w:tc>
        <w:tc>
          <w:tcPr>
            <w:tcW w:w="2065" w:type="dxa"/>
            <w:shd w:val="clear" w:color="auto" w:fill="auto"/>
            <w:noWrap/>
            <w:vAlign w:val="center"/>
            <w:hideMark/>
          </w:tcPr>
          <w:p w14:paraId="706A17CC"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755CFB55" w14:textId="77777777" w:rsidTr="0026021A">
        <w:trPr>
          <w:trHeight w:val="300"/>
          <w:jc w:val="center"/>
        </w:trPr>
        <w:tc>
          <w:tcPr>
            <w:tcW w:w="1055" w:type="dxa"/>
            <w:vMerge/>
            <w:shd w:val="clear" w:color="auto" w:fill="auto"/>
            <w:vAlign w:val="center"/>
            <w:hideMark/>
          </w:tcPr>
          <w:p w14:paraId="30E8877F"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63A2EE19"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7C95228D"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005B6387"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СНП</w:t>
            </w:r>
          </w:p>
        </w:tc>
        <w:tc>
          <w:tcPr>
            <w:tcW w:w="2065" w:type="dxa"/>
            <w:shd w:val="clear" w:color="auto" w:fill="auto"/>
            <w:noWrap/>
            <w:vAlign w:val="center"/>
            <w:hideMark/>
          </w:tcPr>
          <w:p w14:paraId="4D05DF86"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6B2FE7BE" w14:textId="77777777" w:rsidTr="0026021A">
        <w:trPr>
          <w:trHeight w:val="300"/>
          <w:jc w:val="center"/>
        </w:trPr>
        <w:tc>
          <w:tcPr>
            <w:tcW w:w="1055" w:type="dxa"/>
            <w:vMerge/>
            <w:shd w:val="clear" w:color="auto" w:fill="auto"/>
            <w:vAlign w:val="center"/>
            <w:hideMark/>
          </w:tcPr>
          <w:p w14:paraId="0B22EA70"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5588763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6F2C30A3"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0D52C572"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УПКС</w:t>
            </w:r>
          </w:p>
        </w:tc>
        <w:tc>
          <w:tcPr>
            <w:tcW w:w="2065" w:type="dxa"/>
            <w:shd w:val="clear" w:color="auto" w:fill="auto"/>
            <w:noWrap/>
            <w:vAlign w:val="center"/>
            <w:hideMark/>
          </w:tcPr>
          <w:p w14:paraId="3B6D4D01"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06BE91DC" w14:textId="77777777" w:rsidTr="0026021A">
        <w:trPr>
          <w:trHeight w:val="300"/>
          <w:jc w:val="center"/>
        </w:trPr>
        <w:tc>
          <w:tcPr>
            <w:tcW w:w="1055" w:type="dxa"/>
            <w:vMerge/>
            <w:shd w:val="clear" w:color="auto" w:fill="auto"/>
            <w:vAlign w:val="center"/>
            <w:hideMark/>
          </w:tcPr>
          <w:p w14:paraId="27DA4FB2"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val="restart"/>
            <w:shd w:val="clear" w:color="auto" w:fill="auto"/>
            <w:noWrap/>
            <w:vAlign w:val="center"/>
            <w:hideMark/>
          </w:tcPr>
          <w:p w14:paraId="7D303A40"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ОТДЫХ</w:t>
            </w:r>
          </w:p>
        </w:tc>
        <w:tc>
          <w:tcPr>
            <w:tcW w:w="6404" w:type="dxa"/>
            <w:vMerge w:val="restart"/>
            <w:shd w:val="clear" w:color="auto" w:fill="auto"/>
            <w:vAlign w:val="center"/>
            <w:hideMark/>
          </w:tcPr>
          <w:p w14:paraId="3E379A3E" w14:textId="27E23ED9"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05:000, 02:040, 05:014, 05:022, 05:030, 08:040, 09:021, 09:023</w:t>
            </w:r>
          </w:p>
        </w:tc>
        <w:tc>
          <w:tcPr>
            <w:tcW w:w="2111" w:type="dxa"/>
            <w:shd w:val="clear" w:color="auto" w:fill="auto"/>
            <w:noWrap/>
            <w:vAlign w:val="center"/>
            <w:hideMark/>
          </w:tcPr>
          <w:p w14:paraId="76251310"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Воронеж</w:t>
            </w:r>
          </w:p>
        </w:tc>
        <w:tc>
          <w:tcPr>
            <w:tcW w:w="2065" w:type="dxa"/>
            <w:shd w:val="clear" w:color="auto" w:fill="auto"/>
            <w:noWrap/>
            <w:vAlign w:val="center"/>
            <w:hideMark/>
          </w:tcPr>
          <w:p w14:paraId="07594527"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55C34E44" w14:textId="77777777" w:rsidTr="0026021A">
        <w:trPr>
          <w:trHeight w:val="300"/>
          <w:jc w:val="center"/>
        </w:trPr>
        <w:tc>
          <w:tcPr>
            <w:tcW w:w="1055" w:type="dxa"/>
            <w:vMerge/>
            <w:shd w:val="clear" w:color="auto" w:fill="auto"/>
            <w:vAlign w:val="center"/>
            <w:hideMark/>
          </w:tcPr>
          <w:p w14:paraId="57EE4A3C"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6BA2CB2B"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5F59159F"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779F6F44"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6 ГНП</w:t>
            </w:r>
          </w:p>
        </w:tc>
        <w:tc>
          <w:tcPr>
            <w:tcW w:w="2065" w:type="dxa"/>
            <w:shd w:val="clear" w:color="auto" w:fill="auto"/>
            <w:noWrap/>
            <w:vAlign w:val="center"/>
            <w:hideMark/>
          </w:tcPr>
          <w:p w14:paraId="3A7C833B"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017AE350" w14:textId="77777777" w:rsidTr="0026021A">
        <w:trPr>
          <w:trHeight w:val="300"/>
          <w:jc w:val="center"/>
        </w:trPr>
        <w:tc>
          <w:tcPr>
            <w:tcW w:w="1055" w:type="dxa"/>
            <w:vMerge/>
            <w:shd w:val="clear" w:color="auto" w:fill="auto"/>
            <w:vAlign w:val="center"/>
            <w:hideMark/>
          </w:tcPr>
          <w:p w14:paraId="409E6CC1"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18BF1117"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74FF6530"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04D9C75F"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Прочие ГНП</w:t>
            </w:r>
          </w:p>
        </w:tc>
        <w:tc>
          <w:tcPr>
            <w:tcW w:w="2065" w:type="dxa"/>
            <w:shd w:val="clear" w:color="auto" w:fill="auto"/>
            <w:noWrap/>
            <w:vAlign w:val="center"/>
            <w:hideMark/>
          </w:tcPr>
          <w:p w14:paraId="31C22E67"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18E58B1B" w14:textId="77777777" w:rsidTr="0026021A">
        <w:trPr>
          <w:trHeight w:val="300"/>
          <w:jc w:val="center"/>
        </w:trPr>
        <w:tc>
          <w:tcPr>
            <w:tcW w:w="1055" w:type="dxa"/>
            <w:vMerge/>
            <w:shd w:val="clear" w:color="auto" w:fill="auto"/>
            <w:vAlign w:val="center"/>
            <w:hideMark/>
          </w:tcPr>
          <w:p w14:paraId="626F28E3"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5D80687A"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2234F7B9"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6510412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СНП</w:t>
            </w:r>
          </w:p>
        </w:tc>
        <w:tc>
          <w:tcPr>
            <w:tcW w:w="2065" w:type="dxa"/>
            <w:shd w:val="clear" w:color="auto" w:fill="auto"/>
            <w:noWrap/>
            <w:vAlign w:val="center"/>
            <w:hideMark/>
          </w:tcPr>
          <w:p w14:paraId="3BA08A47"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76E794BE" w14:textId="77777777" w:rsidTr="0026021A">
        <w:trPr>
          <w:trHeight w:val="300"/>
          <w:jc w:val="center"/>
        </w:trPr>
        <w:tc>
          <w:tcPr>
            <w:tcW w:w="1055" w:type="dxa"/>
            <w:vMerge/>
            <w:shd w:val="clear" w:color="auto" w:fill="auto"/>
            <w:vAlign w:val="center"/>
            <w:hideMark/>
          </w:tcPr>
          <w:p w14:paraId="39163EF6"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257A270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5A381234"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341F4CDA"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УПКС</w:t>
            </w:r>
          </w:p>
        </w:tc>
        <w:tc>
          <w:tcPr>
            <w:tcW w:w="2065" w:type="dxa"/>
            <w:shd w:val="clear" w:color="auto" w:fill="auto"/>
            <w:noWrap/>
            <w:vAlign w:val="center"/>
            <w:hideMark/>
          </w:tcPr>
          <w:p w14:paraId="2FD4199E"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383D595E" w14:textId="77777777" w:rsidTr="0026021A">
        <w:trPr>
          <w:trHeight w:val="300"/>
          <w:jc w:val="center"/>
        </w:trPr>
        <w:tc>
          <w:tcPr>
            <w:tcW w:w="1055" w:type="dxa"/>
            <w:vMerge w:val="restart"/>
            <w:shd w:val="clear" w:color="auto" w:fill="auto"/>
            <w:noWrap/>
            <w:vAlign w:val="center"/>
            <w:hideMark/>
          </w:tcPr>
          <w:p w14:paraId="2D422EC4" w14:textId="77777777" w:rsidR="00F525E2" w:rsidRPr="0026021A" w:rsidRDefault="00F525E2" w:rsidP="00F525E2">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6</w:t>
            </w:r>
          </w:p>
        </w:tc>
        <w:tc>
          <w:tcPr>
            <w:tcW w:w="3026" w:type="dxa"/>
            <w:vMerge w:val="restart"/>
            <w:shd w:val="clear" w:color="auto" w:fill="auto"/>
            <w:noWrap/>
            <w:vAlign w:val="center"/>
            <w:hideMark/>
          </w:tcPr>
          <w:p w14:paraId="5F08E4DA"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ПРОИЗВОДСТВО</w:t>
            </w:r>
          </w:p>
        </w:tc>
        <w:tc>
          <w:tcPr>
            <w:tcW w:w="6404" w:type="dxa"/>
            <w:vMerge w:val="restart"/>
            <w:shd w:val="clear" w:color="auto" w:fill="auto"/>
            <w:noWrap/>
            <w:vAlign w:val="center"/>
            <w:hideMark/>
          </w:tcPr>
          <w:p w14:paraId="73405C41" w14:textId="4E1BAD64"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04:095, 04:098, 04:099</w:t>
            </w:r>
          </w:p>
        </w:tc>
        <w:tc>
          <w:tcPr>
            <w:tcW w:w="2111" w:type="dxa"/>
            <w:vMerge w:val="restart"/>
            <w:shd w:val="clear" w:color="auto" w:fill="auto"/>
            <w:noWrap/>
            <w:vAlign w:val="center"/>
            <w:hideMark/>
          </w:tcPr>
          <w:p w14:paraId="07201A62"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АЗС-ПС</w:t>
            </w:r>
          </w:p>
        </w:tc>
        <w:tc>
          <w:tcPr>
            <w:tcW w:w="2065" w:type="dxa"/>
            <w:shd w:val="clear" w:color="auto" w:fill="auto"/>
            <w:noWrap/>
            <w:vAlign w:val="center"/>
            <w:hideMark/>
          </w:tcPr>
          <w:p w14:paraId="75A0E350"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Воронеж</w:t>
            </w:r>
          </w:p>
        </w:tc>
      </w:tr>
      <w:tr w:rsidR="00F525E2" w:rsidRPr="0026021A" w14:paraId="15852B71" w14:textId="77777777" w:rsidTr="0026021A">
        <w:trPr>
          <w:trHeight w:val="300"/>
          <w:jc w:val="center"/>
        </w:trPr>
        <w:tc>
          <w:tcPr>
            <w:tcW w:w="1055" w:type="dxa"/>
            <w:vMerge/>
            <w:shd w:val="clear" w:color="auto" w:fill="auto"/>
            <w:vAlign w:val="center"/>
            <w:hideMark/>
          </w:tcPr>
          <w:p w14:paraId="249A34CE"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4AE88B84"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563D2822"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vMerge/>
            <w:shd w:val="clear" w:color="auto" w:fill="auto"/>
            <w:vAlign w:val="center"/>
            <w:hideMark/>
          </w:tcPr>
          <w:p w14:paraId="033990BF"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2065" w:type="dxa"/>
            <w:shd w:val="clear" w:color="auto" w:fill="auto"/>
            <w:noWrap/>
            <w:vAlign w:val="center"/>
            <w:hideMark/>
          </w:tcPr>
          <w:p w14:paraId="5272B48B"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ГНП</w:t>
            </w:r>
          </w:p>
        </w:tc>
      </w:tr>
      <w:tr w:rsidR="00F525E2" w:rsidRPr="0026021A" w14:paraId="56324289" w14:textId="77777777" w:rsidTr="0026021A">
        <w:trPr>
          <w:trHeight w:val="300"/>
          <w:jc w:val="center"/>
        </w:trPr>
        <w:tc>
          <w:tcPr>
            <w:tcW w:w="1055" w:type="dxa"/>
            <w:vMerge/>
            <w:shd w:val="clear" w:color="auto" w:fill="auto"/>
            <w:vAlign w:val="center"/>
            <w:hideMark/>
          </w:tcPr>
          <w:p w14:paraId="30E04A98"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279A7A11"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6C49B7A3"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vMerge/>
            <w:shd w:val="clear" w:color="auto" w:fill="auto"/>
            <w:vAlign w:val="center"/>
            <w:hideMark/>
          </w:tcPr>
          <w:p w14:paraId="6316E3C5"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2065" w:type="dxa"/>
            <w:shd w:val="clear" w:color="auto" w:fill="auto"/>
            <w:noWrap/>
            <w:vAlign w:val="center"/>
            <w:hideMark/>
          </w:tcPr>
          <w:p w14:paraId="002CEAA4"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СНП МС</w:t>
            </w:r>
          </w:p>
        </w:tc>
      </w:tr>
      <w:tr w:rsidR="00F525E2" w:rsidRPr="0026021A" w14:paraId="21382DEA" w14:textId="77777777" w:rsidTr="0026021A">
        <w:trPr>
          <w:trHeight w:val="600"/>
          <w:jc w:val="center"/>
        </w:trPr>
        <w:tc>
          <w:tcPr>
            <w:tcW w:w="1055" w:type="dxa"/>
            <w:vMerge/>
            <w:shd w:val="clear" w:color="auto" w:fill="auto"/>
            <w:vAlign w:val="center"/>
            <w:hideMark/>
          </w:tcPr>
          <w:p w14:paraId="612F5B02"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70C350C3"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shd w:val="clear" w:color="auto" w:fill="auto"/>
            <w:vAlign w:val="center"/>
            <w:hideMark/>
          </w:tcPr>
          <w:p w14:paraId="0FFE3E68" w14:textId="6ED48ED9"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05:040, 07:011, 07:012, 07:014, 07:031, 07:040, 07:041, 07:042</w:t>
            </w:r>
          </w:p>
        </w:tc>
        <w:tc>
          <w:tcPr>
            <w:tcW w:w="2111" w:type="dxa"/>
            <w:vMerge/>
            <w:shd w:val="clear" w:color="auto" w:fill="auto"/>
            <w:vAlign w:val="center"/>
            <w:hideMark/>
          </w:tcPr>
          <w:p w14:paraId="27ACCF1C"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2065" w:type="dxa"/>
            <w:shd w:val="clear" w:color="auto" w:fill="auto"/>
            <w:noWrap/>
            <w:vAlign w:val="center"/>
            <w:hideMark/>
          </w:tcPr>
          <w:p w14:paraId="2B9228E9"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Вокзалы</w:t>
            </w:r>
          </w:p>
        </w:tc>
      </w:tr>
      <w:tr w:rsidR="00F525E2" w:rsidRPr="0026021A" w14:paraId="4A41FDC5" w14:textId="77777777" w:rsidTr="0026021A">
        <w:trPr>
          <w:trHeight w:val="600"/>
          <w:jc w:val="center"/>
        </w:trPr>
        <w:tc>
          <w:tcPr>
            <w:tcW w:w="1055" w:type="dxa"/>
            <w:vMerge/>
            <w:shd w:val="clear" w:color="auto" w:fill="auto"/>
            <w:vAlign w:val="center"/>
            <w:hideMark/>
          </w:tcPr>
          <w:p w14:paraId="0346377D"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37CB62D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shd w:val="clear" w:color="auto" w:fill="auto"/>
            <w:vAlign w:val="bottom"/>
            <w:hideMark/>
          </w:tcPr>
          <w:p w14:paraId="109BC74D" w14:textId="1B99CD70" w:rsidR="00F525E2" w:rsidRPr="00F525E2" w:rsidRDefault="00F525E2" w:rsidP="00F525E2">
            <w:pPr>
              <w:spacing w:after="0" w:line="240" w:lineRule="auto"/>
              <w:rPr>
                <w:rFonts w:ascii="Times New Roman" w:eastAsia="Times New Roman" w:hAnsi="Times New Roman" w:cs="Times New Roman"/>
                <w:color w:val="000000"/>
                <w:lang w:eastAsia="ru-RU"/>
              </w:rPr>
            </w:pPr>
            <w:r w:rsidRPr="00F525E2">
              <w:rPr>
                <w:rFonts w:ascii="Times New Roman" w:hAnsi="Times New Roman" w:cs="Times New Roman"/>
                <w:color w:val="000000"/>
              </w:rPr>
              <w:t>03:011, 06:074, 06:080, 07:010, 07:015, 07:020, 07:030, 07:050, 10:012, 12:001</w:t>
            </w:r>
          </w:p>
        </w:tc>
        <w:tc>
          <w:tcPr>
            <w:tcW w:w="2111" w:type="dxa"/>
            <w:shd w:val="clear" w:color="auto" w:fill="auto"/>
            <w:noWrap/>
            <w:vAlign w:val="center"/>
            <w:hideMark/>
          </w:tcPr>
          <w:p w14:paraId="43397C63"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Линейные</w:t>
            </w:r>
          </w:p>
        </w:tc>
        <w:tc>
          <w:tcPr>
            <w:tcW w:w="2065" w:type="dxa"/>
            <w:shd w:val="clear" w:color="auto" w:fill="auto"/>
            <w:noWrap/>
            <w:vAlign w:val="center"/>
            <w:hideMark/>
          </w:tcPr>
          <w:p w14:paraId="0F65AA46"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4AE9174C" w14:textId="77777777" w:rsidTr="0026021A">
        <w:trPr>
          <w:trHeight w:val="300"/>
          <w:jc w:val="center"/>
        </w:trPr>
        <w:tc>
          <w:tcPr>
            <w:tcW w:w="1055" w:type="dxa"/>
            <w:vMerge/>
            <w:shd w:val="clear" w:color="auto" w:fill="auto"/>
            <w:vAlign w:val="center"/>
            <w:hideMark/>
          </w:tcPr>
          <w:p w14:paraId="60B14D33"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0CEB872E"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shd w:val="clear" w:color="auto" w:fill="auto"/>
            <w:noWrap/>
            <w:vAlign w:val="bottom"/>
            <w:hideMark/>
          </w:tcPr>
          <w:p w14:paraId="42ADA788" w14:textId="004C1DEF" w:rsidR="00F525E2" w:rsidRPr="00F525E2" w:rsidRDefault="00F525E2" w:rsidP="00F525E2">
            <w:pPr>
              <w:spacing w:after="0" w:line="240" w:lineRule="auto"/>
              <w:rPr>
                <w:rFonts w:ascii="Times New Roman" w:eastAsia="Times New Roman" w:hAnsi="Times New Roman" w:cs="Times New Roman"/>
                <w:color w:val="000000"/>
                <w:lang w:eastAsia="ru-RU"/>
              </w:rPr>
            </w:pPr>
            <w:r w:rsidRPr="00F525E2">
              <w:rPr>
                <w:rFonts w:ascii="Times New Roman" w:hAnsi="Times New Roman" w:cs="Times New Roman"/>
                <w:color w:val="000000"/>
              </w:rPr>
              <w:t>01:150, 01:172, 01:180, 01:181, 01:182, 06:000,  03:012, 03:093, 06:020, 06:021, 06:030, 06:031, 06:040, 06:050, 06:060, 06:070, 06:071, 06:072, 06:073, 06:090, 06:091, 06:092, 06:093, 06:100, 06:101, 06:110, 06:111, 07:013, 07:051, 08:010, 08:012, 08:013, 08:031, 10:011</w:t>
            </w:r>
          </w:p>
        </w:tc>
        <w:tc>
          <w:tcPr>
            <w:tcW w:w="2111" w:type="dxa"/>
            <w:vMerge w:val="restart"/>
            <w:shd w:val="clear" w:color="auto" w:fill="auto"/>
            <w:noWrap/>
            <w:vAlign w:val="center"/>
            <w:hideMark/>
          </w:tcPr>
          <w:p w14:paraId="1B00F29C"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ПРОМ</w:t>
            </w:r>
          </w:p>
        </w:tc>
        <w:tc>
          <w:tcPr>
            <w:tcW w:w="2065" w:type="dxa"/>
            <w:shd w:val="clear" w:color="auto" w:fill="auto"/>
            <w:noWrap/>
            <w:vAlign w:val="center"/>
            <w:hideMark/>
          </w:tcPr>
          <w:p w14:paraId="0E681B39"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Воронеж</w:t>
            </w:r>
          </w:p>
        </w:tc>
      </w:tr>
      <w:tr w:rsidR="00F525E2" w:rsidRPr="0026021A" w14:paraId="0CA7D6B1" w14:textId="77777777" w:rsidTr="0026021A">
        <w:trPr>
          <w:trHeight w:val="300"/>
          <w:jc w:val="center"/>
        </w:trPr>
        <w:tc>
          <w:tcPr>
            <w:tcW w:w="1055" w:type="dxa"/>
            <w:vMerge/>
            <w:shd w:val="clear" w:color="auto" w:fill="auto"/>
            <w:vAlign w:val="center"/>
            <w:hideMark/>
          </w:tcPr>
          <w:p w14:paraId="6B2FA449"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1DBE7105"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shd w:val="clear" w:color="auto" w:fill="auto"/>
            <w:noWrap/>
            <w:vAlign w:val="center"/>
            <w:hideMark/>
          </w:tcPr>
          <w:p w14:paraId="2E0280E5" w14:textId="3F70952A"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03:012, 07:051</w:t>
            </w:r>
          </w:p>
        </w:tc>
        <w:tc>
          <w:tcPr>
            <w:tcW w:w="2111" w:type="dxa"/>
            <w:vMerge/>
            <w:shd w:val="clear" w:color="auto" w:fill="auto"/>
            <w:vAlign w:val="center"/>
            <w:hideMark/>
          </w:tcPr>
          <w:p w14:paraId="31178DE2"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2065" w:type="dxa"/>
            <w:shd w:val="clear" w:color="auto" w:fill="auto"/>
            <w:noWrap/>
            <w:vAlign w:val="center"/>
            <w:hideMark/>
          </w:tcPr>
          <w:p w14:paraId="6FAAF5E2"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Воронеж КОММ</w:t>
            </w:r>
          </w:p>
        </w:tc>
      </w:tr>
      <w:tr w:rsidR="00F525E2" w:rsidRPr="0026021A" w14:paraId="2EDAE51A" w14:textId="77777777" w:rsidTr="0026021A">
        <w:trPr>
          <w:trHeight w:val="300"/>
          <w:jc w:val="center"/>
        </w:trPr>
        <w:tc>
          <w:tcPr>
            <w:tcW w:w="1055" w:type="dxa"/>
            <w:vMerge/>
            <w:shd w:val="clear" w:color="auto" w:fill="auto"/>
            <w:vAlign w:val="center"/>
            <w:hideMark/>
          </w:tcPr>
          <w:p w14:paraId="1DE3F3E2"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4D0FE5B0"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val="restart"/>
            <w:shd w:val="clear" w:color="auto" w:fill="auto"/>
            <w:vAlign w:val="bottom"/>
            <w:hideMark/>
          </w:tcPr>
          <w:p w14:paraId="75EB80CD" w14:textId="5FB7D972"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01:150, 01:172, 01:180, 01:181, 01:182, 06:000,  03:012, 03:093, 06:020, 06:021, 06:030, 06:031, 06:040, 06:050, 06:060, 06:070, 06:071, 06:072, 06:073, 06:090, 06:091, 06:092, 06:093, 06:100, 06:101, 06:110, 06:111, 07:013, 07:051, 08:010, 08:012, 08:013, 08:031, 10:011</w:t>
            </w:r>
          </w:p>
        </w:tc>
        <w:tc>
          <w:tcPr>
            <w:tcW w:w="2111" w:type="dxa"/>
            <w:vMerge/>
            <w:shd w:val="clear" w:color="auto" w:fill="auto"/>
            <w:vAlign w:val="center"/>
            <w:hideMark/>
          </w:tcPr>
          <w:p w14:paraId="66B93FF1"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2065" w:type="dxa"/>
            <w:shd w:val="clear" w:color="auto" w:fill="auto"/>
            <w:noWrap/>
            <w:vAlign w:val="center"/>
            <w:hideMark/>
          </w:tcPr>
          <w:p w14:paraId="6BD6E9F9"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ГНП</w:t>
            </w:r>
          </w:p>
        </w:tc>
      </w:tr>
      <w:tr w:rsidR="00F525E2" w:rsidRPr="0026021A" w14:paraId="437DF96D" w14:textId="77777777" w:rsidTr="0026021A">
        <w:trPr>
          <w:trHeight w:val="300"/>
          <w:jc w:val="center"/>
        </w:trPr>
        <w:tc>
          <w:tcPr>
            <w:tcW w:w="1055" w:type="dxa"/>
            <w:vMerge/>
            <w:shd w:val="clear" w:color="auto" w:fill="auto"/>
            <w:vAlign w:val="center"/>
            <w:hideMark/>
          </w:tcPr>
          <w:p w14:paraId="1E93E2CD"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2A708979"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3A56A6DF"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vMerge/>
            <w:shd w:val="clear" w:color="auto" w:fill="auto"/>
            <w:vAlign w:val="center"/>
            <w:hideMark/>
          </w:tcPr>
          <w:p w14:paraId="294C908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2065" w:type="dxa"/>
            <w:shd w:val="clear" w:color="auto" w:fill="auto"/>
            <w:noWrap/>
            <w:vAlign w:val="center"/>
            <w:hideMark/>
          </w:tcPr>
          <w:p w14:paraId="79516AE0"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СНП</w:t>
            </w:r>
          </w:p>
        </w:tc>
      </w:tr>
      <w:tr w:rsidR="00F525E2" w:rsidRPr="0026021A" w14:paraId="1471C19C" w14:textId="77777777" w:rsidTr="0026021A">
        <w:trPr>
          <w:trHeight w:val="300"/>
          <w:jc w:val="center"/>
        </w:trPr>
        <w:tc>
          <w:tcPr>
            <w:tcW w:w="1055" w:type="dxa"/>
            <w:vMerge/>
            <w:shd w:val="clear" w:color="auto" w:fill="auto"/>
            <w:vAlign w:val="center"/>
            <w:hideMark/>
          </w:tcPr>
          <w:p w14:paraId="52D6B3B9"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11B993FB"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176EBA82"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vMerge/>
            <w:shd w:val="clear" w:color="auto" w:fill="auto"/>
            <w:vAlign w:val="center"/>
            <w:hideMark/>
          </w:tcPr>
          <w:p w14:paraId="0DF5DB2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2065" w:type="dxa"/>
            <w:shd w:val="clear" w:color="auto" w:fill="auto"/>
            <w:noWrap/>
            <w:vAlign w:val="center"/>
            <w:hideMark/>
          </w:tcPr>
          <w:p w14:paraId="2BE53D69"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МС</w:t>
            </w:r>
          </w:p>
        </w:tc>
      </w:tr>
      <w:tr w:rsidR="00F525E2" w:rsidRPr="0026021A" w14:paraId="72DDB455" w14:textId="77777777" w:rsidTr="0026021A">
        <w:trPr>
          <w:trHeight w:val="300"/>
          <w:jc w:val="center"/>
        </w:trPr>
        <w:tc>
          <w:tcPr>
            <w:tcW w:w="1055" w:type="dxa"/>
            <w:vMerge/>
            <w:shd w:val="clear" w:color="auto" w:fill="auto"/>
            <w:vAlign w:val="center"/>
            <w:hideMark/>
          </w:tcPr>
          <w:p w14:paraId="6B1D36B1"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5AC806E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shd w:val="clear" w:color="auto" w:fill="auto"/>
            <w:noWrap/>
            <w:vAlign w:val="bottom"/>
            <w:hideMark/>
          </w:tcPr>
          <w:p w14:paraId="46BDCD9E" w14:textId="3331FE6E" w:rsidR="00F525E2" w:rsidRPr="00F525E2" w:rsidRDefault="00F525E2" w:rsidP="00F525E2">
            <w:pPr>
              <w:spacing w:after="0" w:line="240" w:lineRule="auto"/>
              <w:rPr>
                <w:rFonts w:ascii="Times New Roman" w:eastAsia="Times New Roman" w:hAnsi="Times New Roman" w:cs="Times New Roman"/>
                <w:color w:val="000000"/>
                <w:lang w:eastAsia="ru-RU"/>
              </w:rPr>
            </w:pPr>
            <w:r w:rsidRPr="00F525E2">
              <w:rPr>
                <w:rFonts w:ascii="Times New Roman" w:hAnsi="Times New Roman" w:cs="Times New Roman"/>
                <w:color w:val="000000"/>
              </w:rPr>
              <w:t>06:010, 06:011, 06:012, 06:013, 06:014, 07:032, 11:030</w:t>
            </w:r>
          </w:p>
        </w:tc>
        <w:tc>
          <w:tcPr>
            <w:tcW w:w="2111" w:type="dxa"/>
            <w:vMerge/>
            <w:shd w:val="clear" w:color="auto" w:fill="auto"/>
            <w:vAlign w:val="center"/>
            <w:hideMark/>
          </w:tcPr>
          <w:p w14:paraId="7A86105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2065" w:type="dxa"/>
            <w:shd w:val="clear" w:color="auto" w:fill="auto"/>
            <w:noWrap/>
            <w:vAlign w:val="center"/>
            <w:hideMark/>
          </w:tcPr>
          <w:p w14:paraId="042DFA0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Карьеры и ГТС</w:t>
            </w:r>
          </w:p>
        </w:tc>
      </w:tr>
      <w:tr w:rsidR="00F525E2" w:rsidRPr="0026021A" w14:paraId="525FF541" w14:textId="77777777" w:rsidTr="0026021A">
        <w:trPr>
          <w:trHeight w:val="300"/>
          <w:jc w:val="center"/>
        </w:trPr>
        <w:tc>
          <w:tcPr>
            <w:tcW w:w="1055" w:type="dxa"/>
            <w:vMerge/>
            <w:shd w:val="clear" w:color="auto" w:fill="auto"/>
            <w:vAlign w:val="center"/>
            <w:hideMark/>
          </w:tcPr>
          <w:p w14:paraId="3E5C2042"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6F4E55B9"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shd w:val="clear" w:color="auto" w:fill="auto"/>
            <w:noWrap/>
            <w:vAlign w:val="bottom"/>
            <w:hideMark/>
          </w:tcPr>
          <w:p w14:paraId="2B3B7A91" w14:textId="689D22A8" w:rsidR="00F525E2" w:rsidRPr="00F525E2" w:rsidRDefault="00F525E2" w:rsidP="00F525E2">
            <w:pPr>
              <w:spacing w:after="0" w:line="240" w:lineRule="auto"/>
              <w:rPr>
                <w:rFonts w:ascii="Times New Roman" w:eastAsia="Times New Roman" w:hAnsi="Times New Roman" w:cs="Times New Roman"/>
                <w:color w:val="000000"/>
                <w:lang w:eastAsia="ru-RU"/>
              </w:rPr>
            </w:pPr>
            <w:r w:rsidRPr="00F525E2">
              <w:rPr>
                <w:rFonts w:ascii="Times New Roman" w:hAnsi="Times New Roman" w:cs="Times New Roman"/>
                <w:color w:val="000000"/>
              </w:rPr>
              <w:t>01:087, 01:088, 01:090, 01:091, 01:092, 01:100, 01:101, 01:102, 01:110, 01:111, 01:112, 01:122, 01:132</w:t>
            </w:r>
          </w:p>
        </w:tc>
        <w:tc>
          <w:tcPr>
            <w:tcW w:w="2111" w:type="dxa"/>
            <w:shd w:val="clear" w:color="auto" w:fill="auto"/>
            <w:noWrap/>
            <w:vAlign w:val="center"/>
            <w:hideMark/>
          </w:tcPr>
          <w:p w14:paraId="23D9D6EF"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СХ Пром</w:t>
            </w:r>
          </w:p>
        </w:tc>
        <w:tc>
          <w:tcPr>
            <w:tcW w:w="2065" w:type="dxa"/>
            <w:shd w:val="clear" w:color="auto" w:fill="auto"/>
            <w:noWrap/>
            <w:vAlign w:val="center"/>
            <w:hideMark/>
          </w:tcPr>
          <w:p w14:paraId="77174286"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7163AA65" w14:textId="77777777" w:rsidTr="0026021A">
        <w:trPr>
          <w:trHeight w:val="300"/>
          <w:jc w:val="center"/>
        </w:trPr>
        <w:tc>
          <w:tcPr>
            <w:tcW w:w="1055" w:type="dxa"/>
            <w:vMerge w:val="restart"/>
            <w:shd w:val="clear" w:color="auto" w:fill="auto"/>
            <w:noWrap/>
            <w:vAlign w:val="center"/>
            <w:hideMark/>
          </w:tcPr>
          <w:p w14:paraId="4650B214" w14:textId="77777777" w:rsidR="00F525E2" w:rsidRPr="0026021A" w:rsidRDefault="00F525E2" w:rsidP="00F525E2">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7</w:t>
            </w:r>
          </w:p>
        </w:tc>
        <w:tc>
          <w:tcPr>
            <w:tcW w:w="3026" w:type="dxa"/>
            <w:vMerge w:val="restart"/>
            <w:shd w:val="clear" w:color="auto" w:fill="auto"/>
            <w:noWrap/>
            <w:vAlign w:val="center"/>
            <w:hideMark/>
          </w:tcPr>
          <w:p w14:paraId="20CC7F96"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ТРАНСПОРТ</w:t>
            </w:r>
          </w:p>
        </w:tc>
        <w:tc>
          <w:tcPr>
            <w:tcW w:w="6404" w:type="dxa"/>
            <w:vMerge w:val="restart"/>
            <w:shd w:val="clear" w:color="auto" w:fill="auto"/>
            <w:vAlign w:val="center"/>
            <w:hideMark/>
          </w:tcPr>
          <w:p w14:paraId="60475A8F" w14:textId="2310DD85"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07:000, 02:071, 04:021, 04:031, 04:090, 04:091, 04:092, 04:093, 04:094, 07:023, 07:024</w:t>
            </w:r>
          </w:p>
        </w:tc>
        <w:tc>
          <w:tcPr>
            <w:tcW w:w="2111" w:type="dxa"/>
            <w:shd w:val="clear" w:color="auto" w:fill="auto"/>
            <w:noWrap/>
            <w:vAlign w:val="center"/>
            <w:hideMark/>
          </w:tcPr>
          <w:p w14:paraId="2C69FB37"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Воронеж</w:t>
            </w:r>
          </w:p>
        </w:tc>
        <w:tc>
          <w:tcPr>
            <w:tcW w:w="2065" w:type="dxa"/>
            <w:shd w:val="clear" w:color="auto" w:fill="auto"/>
            <w:noWrap/>
            <w:vAlign w:val="center"/>
            <w:hideMark/>
          </w:tcPr>
          <w:p w14:paraId="78D7299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6A3331FD" w14:textId="77777777" w:rsidTr="0026021A">
        <w:trPr>
          <w:trHeight w:val="300"/>
          <w:jc w:val="center"/>
        </w:trPr>
        <w:tc>
          <w:tcPr>
            <w:tcW w:w="1055" w:type="dxa"/>
            <w:vMerge/>
            <w:shd w:val="clear" w:color="auto" w:fill="auto"/>
            <w:vAlign w:val="center"/>
            <w:hideMark/>
          </w:tcPr>
          <w:p w14:paraId="178CE067"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12897EB3"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3FCE641B"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6BE339CC"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ГНП</w:t>
            </w:r>
          </w:p>
        </w:tc>
        <w:tc>
          <w:tcPr>
            <w:tcW w:w="2065" w:type="dxa"/>
            <w:shd w:val="clear" w:color="auto" w:fill="auto"/>
            <w:noWrap/>
            <w:vAlign w:val="center"/>
            <w:hideMark/>
          </w:tcPr>
          <w:p w14:paraId="072D26B9"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5605F869" w14:textId="77777777" w:rsidTr="0026021A">
        <w:trPr>
          <w:trHeight w:val="300"/>
          <w:jc w:val="center"/>
        </w:trPr>
        <w:tc>
          <w:tcPr>
            <w:tcW w:w="1055" w:type="dxa"/>
            <w:vMerge/>
            <w:shd w:val="clear" w:color="auto" w:fill="auto"/>
            <w:vAlign w:val="center"/>
            <w:hideMark/>
          </w:tcPr>
          <w:p w14:paraId="4911AC3F"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4609D7F6"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02AEC180"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054209C5"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СНП</w:t>
            </w:r>
          </w:p>
        </w:tc>
        <w:tc>
          <w:tcPr>
            <w:tcW w:w="2065" w:type="dxa"/>
            <w:shd w:val="clear" w:color="auto" w:fill="auto"/>
            <w:noWrap/>
            <w:vAlign w:val="center"/>
            <w:hideMark/>
          </w:tcPr>
          <w:p w14:paraId="517D7BDF"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5A33D0D9" w14:textId="77777777" w:rsidTr="0026021A">
        <w:trPr>
          <w:trHeight w:val="300"/>
          <w:jc w:val="center"/>
        </w:trPr>
        <w:tc>
          <w:tcPr>
            <w:tcW w:w="1055" w:type="dxa"/>
            <w:vMerge/>
            <w:shd w:val="clear" w:color="auto" w:fill="auto"/>
            <w:vAlign w:val="center"/>
            <w:hideMark/>
          </w:tcPr>
          <w:p w14:paraId="3E17BFF7"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302C4F2F"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2EE6797E"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5ACFB22F"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УПКС</w:t>
            </w:r>
          </w:p>
        </w:tc>
        <w:tc>
          <w:tcPr>
            <w:tcW w:w="2065" w:type="dxa"/>
            <w:shd w:val="clear" w:color="auto" w:fill="auto"/>
            <w:noWrap/>
            <w:vAlign w:val="center"/>
            <w:hideMark/>
          </w:tcPr>
          <w:p w14:paraId="6CF3A5FD"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2FF4189F" w14:textId="77777777" w:rsidTr="0026021A">
        <w:trPr>
          <w:trHeight w:val="420"/>
          <w:jc w:val="center"/>
        </w:trPr>
        <w:tc>
          <w:tcPr>
            <w:tcW w:w="1055" w:type="dxa"/>
            <w:shd w:val="clear" w:color="auto" w:fill="auto"/>
            <w:noWrap/>
            <w:vAlign w:val="center"/>
            <w:hideMark/>
          </w:tcPr>
          <w:p w14:paraId="10DFEB14" w14:textId="77777777" w:rsidR="00F525E2" w:rsidRPr="0026021A" w:rsidRDefault="00F525E2" w:rsidP="00F525E2">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8</w:t>
            </w:r>
          </w:p>
        </w:tc>
        <w:tc>
          <w:tcPr>
            <w:tcW w:w="3026" w:type="dxa"/>
            <w:shd w:val="clear" w:color="auto" w:fill="auto"/>
            <w:noWrap/>
            <w:vAlign w:val="center"/>
            <w:hideMark/>
          </w:tcPr>
          <w:p w14:paraId="794A145C"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БЕЗОПАСНОСТЬ</w:t>
            </w:r>
          </w:p>
        </w:tc>
        <w:tc>
          <w:tcPr>
            <w:tcW w:w="6404" w:type="dxa"/>
            <w:shd w:val="clear" w:color="auto" w:fill="auto"/>
            <w:noWrap/>
            <w:vAlign w:val="center"/>
            <w:hideMark/>
          </w:tcPr>
          <w:p w14:paraId="29FC132C" w14:textId="2CE7B8B2"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08:000, 08:020</w:t>
            </w:r>
          </w:p>
        </w:tc>
        <w:tc>
          <w:tcPr>
            <w:tcW w:w="2111" w:type="dxa"/>
            <w:shd w:val="clear" w:color="auto" w:fill="auto"/>
            <w:noWrap/>
            <w:vAlign w:val="center"/>
            <w:hideMark/>
          </w:tcPr>
          <w:p w14:paraId="46783B4D"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c>
          <w:tcPr>
            <w:tcW w:w="2065" w:type="dxa"/>
            <w:shd w:val="clear" w:color="auto" w:fill="auto"/>
            <w:noWrap/>
            <w:vAlign w:val="center"/>
            <w:hideMark/>
          </w:tcPr>
          <w:p w14:paraId="0D87DB4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3A0E0848" w14:textId="77777777" w:rsidTr="0026021A">
        <w:trPr>
          <w:trHeight w:val="600"/>
          <w:jc w:val="center"/>
        </w:trPr>
        <w:tc>
          <w:tcPr>
            <w:tcW w:w="1055" w:type="dxa"/>
            <w:shd w:val="clear" w:color="auto" w:fill="auto"/>
            <w:noWrap/>
            <w:vAlign w:val="center"/>
            <w:hideMark/>
          </w:tcPr>
          <w:p w14:paraId="42615FD5" w14:textId="77777777" w:rsidR="00F525E2" w:rsidRPr="0026021A" w:rsidRDefault="00F525E2" w:rsidP="00F525E2">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9</w:t>
            </w:r>
          </w:p>
        </w:tc>
        <w:tc>
          <w:tcPr>
            <w:tcW w:w="3026" w:type="dxa"/>
            <w:shd w:val="clear" w:color="auto" w:fill="auto"/>
            <w:noWrap/>
            <w:vAlign w:val="center"/>
            <w:hideMark/>
          </w:tcPr>
          <w:p w14:paraId="2CA64094"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БЛАГОУСТРОЙСТВО</w:t>
            </w:r>
          </w:p>
        </w:tc>
        <w:tc>
          <w:tcPr>
            <w:tcW w:w="6404" w:type="dxa"/>
            <w:shd w:val="clear" w:color="auto" w:fill="auto"/>
            <w:vAlign w:val="center"/>
            <w:hideMark/>
          </w:tcPr>
          <w:p w14:paraId="01082B36" w14:textId="6FB7B41B"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09:000, 02:016, 02:032, 02:052, 02:062, 05:031, 09:010, 09:020, 09:022, 12:002, 12:003</w:t>
            </w:r>
          </w:p>
        </w:tc>
        <w:tc>
          <w:tcPr>
            <w:tcW w:w="2111" w:type="dxa"/>
            <w:shd w:val="clear" w:color="auto" w:fill="auto"/>
            <w:noWrap/>
            <w:vAlign w:val="bottom"/>
            <w:hideMark/>
          </w:tcPr>
          <w:p w14:paraId="316E67FF"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c>
          <w:tcPr>
            <w:tcW w:w="2065" w:type="dxa"/>
            <w:shd w:val="clear" w:color="auto" w:fill="auto"/>
            <w:noWrap/>
            <w:vAlign w:val="bottom"/>
            <w:hideMark/>
          </w:tcPr>
          <w:p w14:paraId="73987003"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07B93740" w14:textId="77777777" w:rsidTr="0026021A">
        <w:trPr>
          <w:trHeight w:val="420"/>
          <w:jc w:val="center"/>
        </w:trPr>
        <w:tc>
          <w:tcPr>
            <w:tcW w:w="1055" w:type="dxa"/>
            <w:shd w:val="clear" w:color="auto" w:fill="auto"/>
            <w:noWrap/>
            <w:vAlign w:val="center"/>
            <w:hideMark/>
          </w:tcPr>
          <w:p w14:paraId="476084A7" w14:textId="77777777" w:rsidR="00F525E2" w:rsidRPr="0026021A" w:rsidRDefault="00F525E2" w:rsidP="00F525E2">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10</w:t>
            </w:r>
          </w:p>
        </w:tc>
        <w:tc>
          <w:tcPr>
            <w:tcW w:w="3026" w:type="dxa"/>
            <w:shd w:val="clear" w:color="auto" w:fill="auto"/>
            <w:noWrap/>
            <w:vAlign w:val="center"/>
            <w:hideMark/>
          </w:tcPr>
          <w:p w14:paraId="5CCDD3FB"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ЛЕС</w:t>
            </w:r>
          </w:p>
        </w:tc>
        <w:tc>
          <w:tcPr>
            <w:tcW w:w="6404" w:type="dxa"/>
            <w:shd w:val="clear" w:color="auto" w:fill="auto"/>
            <w:noWrap/>
            <w:vAlign w:val="center"/>
            <w:hideMark/>
          </w:tcPr>
          <w:p w14:paraId="5F4A31CD" w14:textId="1A57FE27"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10:000, 10:010, 10:020, 10:030, 10:040</w:t>
            </w:r>
          </w:p>
        </w:tc>
        <w:tc>
          <w:tcPr>
            <w:tcW w:w="2111" w:type="dxa"/>
            <w:shd w:val="clear" w:color="auto" w:fill="auto"/>
            <w:noWrap/>
            <w:vAlign w:val="bottom"/>
            <w:hideMark/>
          </w:tcPr>
          <w:p w14:paraId="3C657BB6"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c>
          <w:tcPr>
            <w:tcW w:w="2065" w:type="dxa"/>
            <w:shd w:val="clear" w:color="auto" w:fill="auto"/>
            <w:noWrap/>
            <w:vAlign w:val="bottom"/>
            <w:hideMark/>
          </w:tcPr>
          <w:p w14:paraId="1C47C0B9"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568F76BA" w14:textId="77777777" w:rsidTr="0026021A">
        <w:trPr>
          <w:trHeight w:val="300"/>
          <w:jc w:val="center"/>
        </w:trPr>
        <w:tc>
          <w:tcPr>
            <w:tcW w:w="1055" w:type="dxa"/>
            <w:vMerge w:val="restart"/>
            <w:shd w:val="clear" w:color="auto" w:fill="auto"/>
            <w:noWrap/>
            <w:vAlign w:val="center"/>
            <w:hideMark/>
          </w:tcPr>
          <w:p w14:paraId="67895502" w14:textId="77777777" w:rsidR="00F525E2" w:rsidRPr="0026021A" w:rsidRDefault="00F525E2" w:rsidP="00F525E2">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11</w:t>
            </w:r>
          </w:p>
        </w:tc>
        <w:tc>
          <w:tcPr>
            <w:tcW w:w="3026" w:type="dxa"/>
            <w:shd w:val="clear" w:color="auto" w:fill="auto"/>
            <w:noWrap/>
            <w:vAlign w:val="center"/>
            <w:hideMark/>
          </w:tcPr>
          <w:p w14:paraId="1A8F27DD"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ВОДОЕМЫ</w:t>
            </w:r>
          </w:p>
        </w:tc>
        <w:tc>
          <w:tcPr>
            <w:tcW w:w="6404" w:type="dxa"/>
            <w:shd w:val="clear" w:color="auto" w:fill="auto"/>
            <w:noWrap/>
            <w:vAlign w:val="center"/>
            <w:hideMark/>
          </w:tcPr>
          <w:p w14:paraId="00F8FF9D" w14:textId="58967ED2"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11:000</w:t>
            </w:r>
          </w:p>
        </w:tc>
        <w:tc>
          <w:tcPr>
            <w:tcW w:w="2111" w:type="dxa"/>
            <w:shd w:val="clear" w:color="auto" w:fill="auto"/>
            <w:noWrap/>
            <w:vAlign w:val="bottom"/>
            <w:hideMark/>
          </w:tcPr>
          <w:p w14:paraId="6B72D19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c>
          <w:tcPr>
            <w:tcW w:w="2065" w:type="dxa"/>
            <w:shd w:val="clear" w:color="auto" w:fill="auto"/>
            <w:noWrap/>
            <w:vAlign w:val="bottom"/>
            <w:hideMark/>
          </w:tcPr>
          <w:p w14:paraId="2EDFB0D4"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0C240DAF" w14:textId="77777777" w:rsidTr="0026021A">
        <w:trPr>
          <w:trHeight w:val="300"/>
          <w:jc w:val="center"/>
        </w:trPr>
        <w:tc>
          <w:tcPr>
            <w:tcW w:w="1055" w:type="dxa"/>
            <w:vMerge/>
            <w:shd w:val="clear" w:color="auto" w:fill="auto"/>
            <w:vAlign w:val="center"/>
            <w:hideMark/>
          </w:tcPr>
          <w:p w14:paraId="58CAA2DF"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shd w:val="clear" w:color="auto" w:fill="auto"/>
            <w:noWrap/>
            <w:vAlign w:val="center"/>
            <w:hideMark/>
          </w:tcPr>
          <w:p w14:paraId="70D73507"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ВОДОПОЛЬЗОВАНИЕ</w:t>
            </w:r>
          </w:p>
        </w:tc>
        <w:tc>
          <w:tcPr>
            <w:tcW w:w="6404" w:type="dxa"/>
            <w:shd w:val="clear" w:color="auto" w:fill="auto"/>
            <w:noWrap/>
            <w:vAlign w:val="center"/>
            <w:hideMark/>
          </w:tcPr>
          <w:p w14:paraId="0B1A3C97" w14:textId="3A5B3217"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11:010, 11:020</w:t>
            </w:r>
          </w:p>
        </w:tc>
        <w:tc>
          <w:tcPr>
            <w:tcW w:w="2111" w:type="dxa"/>
            <w:shd w:val="clear" w:color="auto" w:fill="auto"/>
            <w:noWrap/>
            <w:vAlign w:val="bottom"/>
            <w:hideMark/>
          </w:tcPr>
          <w:p w14:paraId="089327D4"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c>
          <w:tcPr>
            <w:tcW w:w="2065" w:type="dxa"/>
            <w:shd w:val="clear" w:color="auto" w:fill="auto"/>
            <w:noWrap/>
            <w:vAlign w:val="bottom"/>
            <w:hideMark/>
          </w:tcPr>
          <w:p w14:paraId="106BA19F"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02B095AB" w14:textId="77777777" w:rsidTr="0026021A">
        <w:trPr>
          <w:trHeight w:val="300"/>
          <w:jc w:val="center"/>
        </w:trPr>
        <w:tc>
          <w:tcPr>
            <w:tcW w:w="1055" w:type="dxa"/>
            <w:vMerge w:val="restart"/>
            <w:shd w:val="clear" w:color="auto" w:fill="auto"/>
            <w:noWrap/>
            <w:vAlign w:val="center"/>
            <w:hideMark/>
          </w:tcPr>
          <w:p w14:paraId="5E2D9989" w14:textId="77777777" w:rsidR="00F525E2" w:rsidRPr="0026021A" w:rsidRDefault="00F525E2" w:rsidP="00F525E2">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12</w:t>
            </w:r>
          </w:p>
        </w:tc>
        <w:tc>
          <w:tcPr>
            <w:tcW w:w="3026" w:type="dxa"/>
            <w:shd w:val="clear" w:color="auto" w:fill="auto"/>
            <w:noWrap/>
            <w:vAlign w:val="center"/>
            <w:hideMark/>
          </w:tcPr>
          <w:p w14:paraId="166807FF"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ЗАПАС</w:t>
            </w:r>
          </w:p>
        </w:tc>
        <w:tc>
          <w:tcPr>
            <w:tcW w:w="6404" w:type="dxa"/>
            <w:shd w:val="clear" w:color="auto" w:fill="auto"/>
            <w:noWrap/>
            <w:vAlign w:val="center"/>
            <w:hideMark/>
          </w:tcPr>
          <w:p w14:paraId="30077257" w14:textId="4F05AB40"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12:030</w:t>
            </w:r>
          </w:p>
        </w:tc>
        <w:tc>
          <w:tcPr>
            <w:tcW w:w="2111" w:type="dxa"/>
            <w:shd w:val="clear" w:color="auto" w:fill="auto"/>
            <w:noWrap/>
            <w:vAlign w:val="bottom"/>
            <w:hideMark/>
          </w:tcPr>
          <w:p w14:paraId="28BA4FFE"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c>
          <w:tcPr>
            <w:tcW w:w="2065" w:type="dxa"/>
            <w:shd w:val="clear" w:color="auto" w:fill="auto"/>
            <w:noWrap/>
            <w:vAlign w:val="bottom"/>
            <w:hideMark/>
          </w:tcPr>
          <w:p w14:paraId="0E9B9BB1"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280A5C92" w14:textId="77777777" w:rsidTr="0026021A">
        <w:trPr>
          <w:trHeight w:val="300"/>
          <w:jc w:val="center"/>
        </w:trPr>
        <w:tc>
          <w:tcPr>
            <w:tcW w:w="1055" w:type="dxa"/>
            <w:vMerge/>
            <w:shd w:val="clear" w:color="auto" w:fill="auto"/>
            <w:vAlign w:val="center"/>
            <w:hideMark/>
          </w:tcPr>
          <w:p w14:paraId="4B6A75B8"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shd w:val="clear" w:color="auto" w:fill="auto"/>
            <w:noWrap/>
            <w:vAlign w:val="center"/>
            <w:hideMark/>
          </w:tcPr>
          <w:p w14:paraId="4E330151"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КЛАДБИЩА</w:t>
            </w:r>
          </w:p>
        </w:tc>
        <w:tc>
          <w:tcPr>
            <w:tcW w:w="6404" w:type="dxa"/>
            <w:shd w:val="clear" w:color="auto" w:fill="auto"/>
            <w:noWrap/>
            <w:vAlign w:val="center"/>
            <w:hideMark/>
          </w:tcPr>
          <w:p w14:paraId="15C6595E" w14:textId="15C3DEA3"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12:010</w:t>
            </w:r>
          </w:p>
        </w:tc>
        <w:tc>
          <w:tcPr>
            <w:tcW w:w="2111" w:type="dxa"/>
            <w:shd w:val="clear" w:color="auto" w:fill="auto"/>
            <w:noWrap/>
            <w:vAlign w:val="bottom"/>
            <w:hideMark/>
          </w:tcPr>
          <w:p w14:paraId="755F35ED"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c>
          <w:tcPr>
            <w:tcW w:w="2065" w:type="dxa"/>
            <w:shd w:val="clear" w:color="auto" w:fill="auto"/>
            <w:noWrap/>
            <w:vAlign w:val="bottom"/>
            <w:hideMark/>
          </w:tcPr>
          <w:p w14:paraId="60A4A993"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1A43F255" w14:textId="77777777" w:rsidTr="0026021A">
        <w:trPr>
          <w:trHeight w:val="300"/>
          <w:jc w:val="center"/>
        </w:trPr>
        <w:tc>
          <w:tcPr>
            <w:tcW w:w="1055" w:type="dxa"/>
            <w:vMerge/>
            <w:shd w:val="clear" w:color="auto" w:fill="auto"/>
            <w:vAlign w:val="center"/>
            <w:hideMark/>
          </w:tcPr>
          <w:p w14:paraId="308E23A8"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shd w:val="clear" w:color="auto" w:fill="auto"/>
            <w:noWrap/>
            <w:vAlign w:val="center"/>
            <w:hideMark/>
          </w:tcPr>
          <w:p w14:paraId="57FABCF8"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ВС ПОЛИГОНЫ</w:t>
            </w:r>
          </w:p>
        </w:tc>
        <w:tc>
          <w:tcPr>
            <w:tcW w:w="6404" w:type="dxa"/>
            <w:shd w:val="clear" w:color="auto" w:fill="auto"/>
            <w:noWrap/>
            <w:vAlign w:val="center"/>
            <w:hideMark/>
          </w:tcPr>
          <w:p w14:paraId="4930673C" w14:textId="4CE8536C"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08:011</w:t>
            </w:r>
          </w:p>
        </w:tc>
        <w:tc>
          <w:tcPr>
            <w:tcW w:w="2111" w:type="dxa"/>
            <w:shd w:val="clear" w:color="auto" w:fill="auto"/>
            <w:noWrap/>
            <w:vAlign w:val="bottom"/>
            <w:hideMark/>
          </w:tcPr>
          <w:p w14:paraId="60F54D46"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c>
          <w:tcPr>
            <w:tcW w:w="2065" w:type="dxa"/>
            <w:shd w:val="clear" w:color="auto" w:fill="auto"/>
            <w:noWrap/>
            <w:vAlign w:val="bottom"/>
            <w:hideMark/>
          </w:tcPr>
          <w:p w14:paraId="3DA26686"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43B5AC3A" w14:textId="77777777" w:rsidTr="0026021A">
        <w:trPr>
          <w:trHeight w:val="300"/>
          <w:jc w:val="center"/>
        </w:trPr>
        <w:tc>
          <w:tcPr>
            <w:tcW w:w="1055" w:type="dxa"/>
            <w:vMerge/>
            <w:shd w:val="clear" w:color="auto" w:fill="auto"/>
            <w:vAlign w:val="center"/>
            <w:hideMark/>
          </w:tcPr>
          <w:p w14:paraId="3BB45D94"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shd w:val="clear" w:color="auto" w:fill="auto"/>
            <w:noWrap/>
            <w:vAlign w:val="center"/>
            <w:hideMark/>
          </w:tcPr>
          <w:p w14:paraId="1176C12C"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СПЕЦ</w:t>
            </w:r>
          </w:p>
        </w:tc>
        <w:tc>
          <w:tcPr>
            <w:tcW w:w="6404" w:type="dxa"/>
            <w:shd w:val="clear" w:color="auto" w:fill="auto"/>
            <w:noWrap/>
            <w:vAlign w:val="center"/>
            <w:hideMark/>
          </w:tcPr>
          <w:p w14:paraId="13DD76A0" w14:textId="198DCFF9"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12:000, 12:020, 12:021</w:t>
            </w:r>
          </w:p>
        </w:tc>
        <w:tc>
          <w:tcPr>
            <w:tcW w:w="2111" w:type="dxa"/>
            <w:shd w:val="clear" w:color="auto" w:fill="auto"/>
            <w:noWrap/>
            <w:vAlign w:val="bottom"/>
            <w:hideMark/>
          </w:tcPr>
          <w:p w14:paraId="321C9019"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c>
          <w:tcPr>
            <w:tcW w:w="2065" w:type="dxa"/>
            <w:shd w:val="clear" w:color="auto" w:fill="auto"/>
            <w:noWrap/>
            <w:vAlign w:val="bottom"/>
            <w:hideMark/>
          </w:tcPr>
          <w:p w14:paraId="0CD0DCDC"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6C185C25" w14:textId="77777777" w:rsidTr="0026021A">
        <w:trPr>
          <w:trHeight w:val="300"/>
          <w:jc w:val="center"/>
        </w:trPr>
        <w:tc>
          <w:tcPr>
            <w:tcW w:w="1055" w:type="dxa"/>
            <w:vMerge/>
            <w:shd w:val="clear" w:color="auto" w:fill="auto"/>
            <w:vAlign w:val="center"/>
            <w:hideMark/>
          </w:tcPr>
          <w:p w14:paraId="2B9D11C7"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shd w:val="clear" w:color="auto" w:fill="auto"/>
            <w:noWrap/>
            <w:vAlign w:val="center"/>
            <w:hideMark/>
          </w:tcPr>
          <w:p w14:paraId="43BFB790"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УПКС</w:t>
            </w:r>
          </w:p>
        </w:tc>
        <w:tc>
          <w:tcPr>
            <w:tcW w:w="6404" w:type="dxa"/>
            <w:shd w:val="clear" w:color="auto" w:fill="auto"/>
            <w:noWrap/>
            <w:vAlign w:val="center"/>
            <w:hideMark/>
          </w:tcPr>
          <w:p w14:paraId="2CF1F8F6" w14:textId="1D00B49A"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12:000, 08:011, 12:010, 12:020, 12:021, 12:030</w:t>
            </w:r>
          </w:p>
        </w:tc>
        <w:tc>
          <w:tcPr>
            <w:tcW w:w="2111" w:type="dxa"/>
            <w:shd w:val="clear" w:color="auto" w:fill="auto"/>
            <w:noWrap/>
            <w:vAlign w:val="bottom"/>
            <w:hideMark/>
          </w:tcPr>
          <w:p w14:paraId="59E8D38D"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c>
          <w:tcPr>
            <w:tcW w:w="2065" w:type="dxa"/>
            <w:shd w:val="clear" w:color="auto" w:fill="auto"/>
            <w:noWrap/>
            <w:vAlign w:val="bottom"/>
            <w:hideMark/>
          </w:tcPr>
          <w:p w14:paraId="5408AE6D"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7250DBF8" w14:textId="77777777" w:rsidTr="0026021A">
        <w:trPr>
          <w:trHeight w:val="300"/>
          <w:jc w:val="center"/>
        </w:trPr>
        <w:tc>
          <w:tcPr>
            <w:tcW w:w="1055" w:type="dxa"/>
            <w:vMerge w:val="restart"/>
            <w:shd w:val="clear" w:color="auto" w:fill="auto"/>
            <w:noWrap/>
            <w:vAlign w:val="center"/>
            <w:hideMark/>
          </w:tcPr>
          <w:p w14:paraId="7D93DB64" w14:textId="77777777" w:rsidR="00F525E2" w:rsidRPr="0026021A" w:rsidRDefault="00F525E2" w:rsidP="00F525E2">
            <w:pPr>
              <w:spacing w:after="0" w:line="240" w:lineRule="auto"/>
              <w:jc w:val="center"/>
              <w:rPr>
                <w:rFonts w:ascii="Times New Roman" w:eastAsia="Times New Roman" w:hAnsi="Times New Roman" w:cs="Times New Roman"/>
                <w:b/>
                <w:bCs/>
                <w:color w:val="000000"/>
                <w:lang w:eastAsia="ru-RU"/>
              </w:rPr>
            </w:pPr>
            <w:r w:rsidRPr="0026021A">
              <w:rPr>
                <w:rFonts w:ascii="Times New Roman" w:eastAsia="Times New Roman" w:hAnsi="Times New Roman" w:cs="Times New Roman"/>
                <w:b/>
                <w:bCs/>
                <w:color w:val="000000"/>
                <w:lang w:eastAsia="ru-RU"/>
              </w:rPr>
              <w:t>13</w:t>
            </w:r>
          </w:p>
        </w:tc>
        <w:tc>
          <w:tcPr>
            <w:tcW w:w="3026" w:type="dxa"/>
            <w:vMerge w:val="restart"/>
            <w:shd w:val="clear" w:color="auto" w:fill="auto"/>
            <w:noWrap/>
            <w:vAlign w:val="center"/>
            <w:hideMark/>
          </w:tcPr>
          <w:p w14:paraId="2C549785"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ИЖС</w:t>
            </w:r>
          </w:p>
        </w:tc>
        <w:tc>
          <w:tcPr>
            <w:tcW w:w="6404" w:type="dxa"/>
            <w:vMerge w:val="restart"/>
            <w:shd w:val="clear" w:color="auto" w:fill="auto"/>
            <w:noWrap/>
            <w:vAlign w:val="center"/>
            <w:hideMark/>
          </w:tcPr>
          <w:p w14:paraId="44459D76" w14:textId="5DB898AA"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13:000, 02:010, 02:011, 02:013, 02:014, 02:020, 02:021, 02:030, 02:031</w:t>
            </w:r>
          </w:p>
        </w:tc>
        <w:tc>
          <w:tcPr>
            <w:tcW w:w="2111" w:type="dxa"/>
            <w:shd w:val="clear" w:color="auto" w:fill="auto"/>
            <w:noWrap/>
            <w:vAlign w:val="bottom"/>
            <w:hideMark/>
          </w:tcPr>
          <w:p w14:paraId="3DB6910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Воронеж</w:t>
            </w:r>
          </w:p>
        </w:tc>
        <w:tc>
          <w:tcPr>
            <w:tcW w:w="2065" w:type="dxa"/>
            <w:shd w:val="clear" w:color="auto" w:fill="auto"/>
            <w:noWrap/>
            <w:vAlign w:val="bottom"/>
            <w:hideMark/>
          </w:tcPr>
          <w:p w14:paraId="1FE6BF98"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0716E273" w14:textId="77777777" w:rsidTr="0026021A">
        <w:trPr>
          <w:trHeight w:val="300"/>
          <w:jc w:val="center"/>
        </w:trPr>
        <w:tc>
          <w:tcPr>
            <w:tcW w:w="1055" w:type="dxa"/>
            <w:vMerge/>
            <w:shd w:val="clear" w:color="auto" w:fill="auto"/>
            <w:vAlign w:val="center"/>
            <w:hideMark/>
          </w:tcPr>
          <w:p w14:paraId="2313AA50"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44798439"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04D24B4A"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bottom"/>
            <w:hideMark/>
          </w:tcPr>
          <w:p w14:paraId="129EFB6D"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6 ГНП</w:t>
            </w:r>
          </w:p>
        </w:tc>
        <w:tc>
          <w:tcPr>
            <w:tcW w:w="2065" w:type="dxa"/>
            <w:shd w:val="clear" w:color="auto" w:fill="auto"/>
            <w:noWrap/>
            <w:vAlign w:val="bottom"/>
            <w:hideMark/>
          </w:tcPr>
          <w:p w14:paraId="78203825"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3C21DDA1" w14:textId="77777777" w:rsidTr="00675A67">
        <w:trPr>
          <w:trHeight w:val="300"/>
          <w:jc w:val="center"/>
        </w:trPr>
        <w:tc>
          <w:tcPr>
            <w:tcW w:w="1055" w:type="dxa"/>
            <w:vMerge/>
            <w:shd w:val="clear" w:color="auto" w:fill="auto"/>
            <w:vAlign w:val="center"/>
            <w:hideMark/>
          </w:tcPr>
          <w:p w14:paraId="13FA04C3"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79955C0B"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71F8FC77"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77FA65C7"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Прочие ГНП</w:t>
            </w:r>
          </w:p>
        </w:tc>
        <w:tc>
          <w:tcPr>
            <w:tcW w:w="2065" w:type="dxa"/>
            <w:shd w:val="clear" w:color="auto" w:fill="auto"/>
            <w:noWrap/>
            <w:vAlign w:val="center"/>
            <w:hideMark/>
          </w:tcPr>
          <w:p w14:paraId="5C1F6992"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43CB80CA" w14:textId="77777777" w:rsidTr="00675A67">
        <w:trPr>
          <w:trHeight w:val="300"/>
          <w:jc w:val="center"/>
        </w:trPr>
        <w:tc>
          <w:tcPr>
            <w:tcW w:w="1055" w:type="dxa"/>
            <w:vMerge/>
            <w:shd w:val="clear" w:color="auto" w:fill="auto"/>
            <w:vAlign w:val="center"/>
            <w:hideMark/>
          </w:tcPr>
          <w:p w14:paraId="7A405049"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105508D1"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293FFCFD"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vMerge w:val="restart"/>
            <w:shd w:val="clear" w:color="auto" w:fill="auto"/>
            <w:noWrap/>
            <w:vAlign w:val="center"/>
            <w:hideMark/>
          </w:tcPr>
          <w:p w14:paraId="16D93F31"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СНП</w:t>
            </w:r>
          </w:p>
        </w:tc>
        <w:tc>
          <w:tcPr>
            <w:tcW w:w="2065" w:type="dxa"/>
            <w:shd w:val="clear" w:color="auto" w:fill="auto"/>
            <w:noWrap/>
            <w:vAlign w:val="center"/>
            <w:hideMark/>
          </w:tcPr>
          <w:p w14:paraId="275A0701"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Ближе 60 км</w:t>
            </w:r>
          </w:p>
        </w:tc>
      </w:tr>
      <w:tr w:rsidR="00F525E2" w:rsidRPr="0026021A" w14:paraId="20262B43" w14:textId="77777777" w:rsidTr="00675A67">
        <w:trPr>
          <w:trHeight w:val="300"/>
          <w:jc w:val="center"/>
        </w:trPr>
        <w:tc>
          <w:tcPr>
            <w:tcW w:w="1055" w:type="dxa"/>
            <w:vMerge/>
            <w:shd w:val="clear" w:color="auto" w:fill="auto"/>
            <w:vAlign w:val="center"/>
            <w:hideMark/>
          </w:tcPr>
          <w:p w14:paraId="71188D89"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55FABDE6"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0F540796"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vMerge/>
            <w:shd w:val="clear" w:color="auto" w:fill="auto"/>
            <w:vAlign w:val="center"/>
            <w:hideMark/>
          </w:tcPr>
          <w:p w14:paraId="25B3AF9B"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2065" w:type="dxa"/>
            <w:shd w:val="clear" w:color="auto" w:fill="auto"/>
            <w:noWrap/>
            <w:vAlign w:val="center"/>
            <w:hideMark/>
          </w:tcPr>
          <w:p w14:paraId="796483EE"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Дальше 60 км</w:t>
            </w:r>
          </w:p>
        </w:tc>
      </w:tr>
      <w:tr w:rsidR="00F525E2" w:rsidRPr="0026021A" w14:paraId="3F97C412" w14:textId="77777777" w:rsidTr="00675A67">
        <w:trPr>
          <w:trHeight w:val="300"/>
          <w:jc w:val="center"/>
        </w:trPr>
        <w:tc>
          <w:tcPr>
            <w:tcW w:w="1055" w:type="dxa"/>
            <w:vMerge/>
            <w:shd w:val="clear" w:color="auto" w:fill="auto"/>
            <w:vAlign w:val="center"/>
            <w:hideMark/>
          </w:tcPr>
          <w:p w14:paraId="73566F18"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55F0F00B"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1735A772" w14:textId="77777777" w:rsidR="00F525E2" w:rsidRPr="00F525E2" w:rsidRDefault="00F525E2" w:rsidP="00F525E2">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006584E7"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УПКС</w:t>
            </w:r>
          </w:p>
        </w:tc>
        <w:tc>
          <w:tcPr>
            <w:tcW w:w="2065" w:type="dxa"/>
            <w:shd w:val="clear" w:color="auto" w:fill="auto"/>
            <w:noWrap/>
            <w:vAlign w:val="center"/>
            <w:hideMark/>
          </w:tcPr>
          <w:p w14:paraId="51A84624"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F525E2" w:rsidRPr="0026021A" w14:paraId="033D62DA" w14:textId="77777777" w:rsidTr="00675A67">
        <w:trPr>
          <w:trHeight w:val="300"/>
          <w:jc w:val="center"/>
        </w:trPr>
        <w:tc>
          <w:tcPr>
            <w:tcW w:w="1055" w:type="dxa"/>
            <w:vMerge/>
            <w:shd w:val="clear" w:color="auto" w:fill="auto"/>
            <w:vAlign w:val="center"/>
            <w:hideMark/>
          </w:tcPr>
          <w:p w14:paraId="3C49CB78" w14:textId="77777777" w:rsidR="00F525E2" w:rsidRPr="0026021A" w:rsidRDefault="00F525E2" w:rsidP="00F525E2">
            <w:pPr>
              <w:spacing w:after="0" w:line="240" w:lineRule="auto"/>
              <w:rPr>
                <w:rFonts w:ascii="Times New Roman" w:eastAsia="Times New Roman" w:hAnsi="Times New Roman" w:cs="Times New Roman"/>
                <w:b/>
                <w:bCs/>
                <w:color w:val="000000"/>
                <w:lang w:eastAsia="ru-RU"/>
              </w:rPr>
            </w:pPr>
          </w:p>
        </w:tc>
        <w:tc>
          <w:tcPr>
            <w:tcW w:w="3026" w:type="dxa"/>
            <w:vMerge w:val="restart"/>
            <w:shd w:val="clear" w:color="auto" w:fill="auto"/>
            <w:noWrap/>
            <w:vAlign w:val="center"/>
            <w:hideMark/>
          </w:tcPr>
          <w:p w14:paraId="760F87C4" w14:textId="77777777" w:rsidR="00F525E2" w:rsidRPr="0026021A" w:rsidRDefault="00F525E2" w:rsidP="00F525E2">
            <w:pPr>
              <w:spacing w:after="0" w:line="240" w:lineRule="auto"/>
              <w:jc w:val="center"/>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СОД</w:t>
            </w:r>
          </w:p>
        </w:tc>
        <w:tc>
          <w:tcPr>
            <w:tcW w:w="6404" w:type="dxa"/>
            <w:vMerge w:val="restart"/>
            <w:shd w:val="clear" w:color="auto" w:fill="auto"/>
            <w:noWrap/>
            <w:vAlign w:val="center"/>
            <w:hideMark/>
          </w:tcPr>
          <w:p w14:paraId="4CD86DDA" w14:textId="6E610010" w:rsidR="00F525E2" w:rsidRPr="00F525E2" w:rsidRDefault="00F525E2" w:rsidP="00F525E2">
            <w:pPr>
              <w:spacing w:after="0" w:line="240" w:lineRule="auto"/>
              <w:jc w:val="center"/>
              <w:rPr>
                <w:rFonts w:ascii="Times New Roman" w:eastAsia="Times New Roman" w:hAnsi="Times New Roman" w:cs="Times New Roman"/>
                <w:color w:val="000000"/>
                <w:lang w:eastAsia="ru-RU"/>
              </w:rPr>
            </w:pPr>
            <w:r w:rsidRPr="00F525E2">
              <w:rPr>
                <w:rFonts w:ascii="Times New Roman" w:hAnsi="Times New Roman" w:cs="Times New Roman"/>
                <w:color w:val="000000"/>
              </w:rPr>
              <w:t>13:011, 13:021</w:t>
            </w:r>
          </w:p>
        </w:tc>
        <w:tc>
          <w:tcPr>
            <w:tcW w:w="2111" w:type="dxa"/>
            <w:shd w:val="clear" w:color="auto" w:fill="auto"/>
            <w:noWrap/>
            <w:vAlign w:val="center"/>
            <w:hideMark/>
          </w:tcPr>
          <w:p w14:paraId="25FB2395"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Воронеж</w:t>
            </w:r>
          </w:p>
        </w:tc>
        <w:tc>
          <w:tcPr>
            <w:tcW w:w="2065" w:type="dxa"/>
            <w:shd w:val="clear" w:color="auto" w:fill="auto"/>
            <w:noWrap/>
            <w:vAlign w:val="center"/>
            <w:hideMark/>
          </w:tcPr>
          <w:p w14:paraId="2E90C75F" w14:textId="77777777" w:rsidR="00F525E2" w:rsidRPr="0026021A" w:rsidRDefault="00F525E2" w:rsidP="00F525E2">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26021A" w:rsidRPr="0026021A" w14:paraId="39CFDB60" w14:textId="77777777" w:rsidTr="00675A67">
        <w:trPr>
          <w:trHeight w:val="300"/>
          <w:jc w:val="center"/>
        </w:trPr>
        <w:tc>
          <w:tcPr>
            <w:tcW w:w="1055" w:type="dxa"/>
            <w:vMerge/>
            <w:shd w:val="clear" w:color="auto" w:fill="auto"/>
            <w:vAlign w:val="center"/>
            <w:hideMark/>
          </w:tcPr>
          <w:p w14:paraId="650608C7" w14:textId="77777777" w:rsidR="0026021A" w:rsidRPr="0026021A" w:rsidRDefault="0026021A" w:rsidP="0026021A">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338BB45B" w14:textId="77777777" w:rsidR="0026021A" w:rsidRPr="0026021A" w:rsidRDefault="0026021A" w:rsidP="0026021A">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1192CD6B" w14:textId="77777777" w:rsidR="0026021A" w:rsidRPr="0026021A" w:rsidRDefault="0026021A" w:rsidP="0026021A">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47DF4ADA" w14:textId="77777777" w:rsidR="0026021A" w:rsidRPr="0026021A" w:rsidRDefault="0026021A" w:rsidP="00675A67">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1 группа</w:t>
            </w:r>
          </w:p>
        </w:tc>
        <w:tc>
          <w:tcPr>
            <w:tcW w:w="2065" w:type="dxa"/>
            <w:shd w:val="clear" w:color="auto" w:fill="auto"/>
            <w:noWrap/>
            <w:vAlign w:val="center"/>
            <w:hideMark/>
          </w:tcPr>
          <w:p w14:paraId="5C4763E3" w14:textId="77777777" w:rsidR="0026021A" w:rsidRPr="0026021A" w:rsidRDefault="0026021A" w:rsidP="00675A67">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26021A" w:rsidRPr="0026021A" w14:paraId="201DA9C8" w14:textId="77777777" w:rsidTr="00675A67">
        <w:trPr>
          <w:trHeight w:val="300"/>
          <w:jc w:val="center"/>
        </w:trPr>
        <w:tc>
          <w:tcPr>
            <w:tcW w:w="1055" w:type="dxa"/>
            <w:vMerge/>
            <w:shd w:val="clear" w:color="auto" w:fill="auto"/>
            <w:vAlign w:val="center"/>
            <w:hideMark/>
          </w:tcPr>
          <w:p w14:paraId="761FB888" w14:textId="77777777" w:rsidR="0026021A" w:rsidRPr="0026021A" w:rsidRDefault="0026021A" w:rsidP="0026021A">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39F71E43" w14:textId="77777777" w:rsidR="0026021A" w:rsidRPr="0026021A" w:rsidRDefault="0026021A" w:rsidP="0026021A">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5850B6B2" w14:textId="77777777" w:rsidR="0026021A" w:rsidRPr="0026021A" w:rsidRDefault="0026021A" w:rsidP="0026021A">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2B7DBA02" w14:textId="77777777" w:rsidR="0026021A" w:rsidRPr="0026021A" w:rsidRDefault="0026021A" w:rsidP="00675A67">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2 группа</w:t>
            </w:r>
          </w:p>
        </w:tc>
        <w:tc>
          <w:tcPr>
            <w:tcW w:w="2065" w:type="dxa"/>
            <w:shd w:val="clear" w:color="auto" w:fill="auto"/>
            <w:noWrap/>
            <w:vAlign w:val="center"/>
            <w:hideMark/>
          </w:tcPr>
          <w:p w14:paraId="1155B56C" w14:textId="77777777" w:rsidR="0026021A" w:rsidRPr="0026021A" w:rsidRDefault="0026021A" w:rsidP="00675A67">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r w:rsidR="0026021A" w:rsidRPr="0026021A" w14:paraId="6ADAB187" w14:textId="77777777" w:rsidTr="00675A67">
        <w:trPr>
          <w:trHeight w:val="300"/>
          <w:jc w:val="center"/>
        </w:trPr>
        <w:tc>
          <w:tcPr>
            <w:tcW w:w="1055" w:type="dxa"/>
            <w:vMerge/>
            <w:shd w:val="clear" w:color="auto" w:fill="auto"/>
            <w:vAlign w:val="center"/>
            <w:hideMark/>
          </w:tcPr>
          <w:p w14:paraId="2D072451" w14:textId="77777777" w:rsidR="0026021A" w:rsidRPr="0026021A" w:rsidRDefault="0026021A" w:rsidP="0026021A">
            <w:pPr>
              <w:spacing w:after="0" w:line="240" w:lineRule="auto"/>
              <w:rPr>
                <w:rFonts w:ascii="Times New Roman" w:eastAsia="Times New Roman" w:hAnsi="Times New Roman" w:cs="Times New Roman"/>
                <w:b/>
                <w:bCs/>
                <w:color w:val="000000"/>
                <w:lang w:eastAsia="ru-RU"/>
              </w:rPr>
            </w:pPr>
          </w:p>
        </w:tc>
        <w:tc>
          <w:tcPr>
            <w:tcW w:w="3026" w:type="dxa"/>
            <w:vMerge/>
            <w:shd w:val="clear" w:color="auto" w:fill="auto"/>
            <w:vAlign w:val="center"/>
            <w:hideMark/>
          </w:tcPr>
          <w:p w14:paraId="0608F5EB" w14:textId="77777777" w:rsidR="0026021A" w:rsidRPr="0026021A" w:rsidRDefault="0026021A" w:rsidP="0026021A">
            <w:pPr>
              <w:spacing w:after="0" w:line="240" w:lineRule="auto"/>
              <w:rPr>
                <w:rFonts w:ascii="Times New Roman" w:eastAsia="Times New Roman" w:hAnsi="Times New Roman" w:cs="Times New Roman"/>
                <w:color w:val="000000"/>
                <w:lang w:eastAsia="ru-RU"/>
              </w:rPr>
            </w:pPr>
          </w:p>
        </w:tc>
        <w:tc>
          <w:tcPr>
            <w:tcW w:w="6404" w:type="dxa"/>
            <w:vMerge/>
            <w:shd w:val="clear" w:color="auto" w:fill="auto"/>
            <w:vAlign w:val="center"/>
            <w:hideMark/>
          </w:tcPr>
          <w:p w14:paraId="20CEFE95" w14:textId="77777777" w:rsidR="0026021A" w:rsidRPr="0026021A" w:rsidRDefault="0026021A" w:rsidP="0026021A">
            <w:pPr>
              <w:spacing w:after="0" w:line="240" w:lineRule="auto"/>
              <w:rPr>
                <w:rFonts w:ascii="Times New Roman" w:eastAsia="Times New Roman" w:hAnsi="Times New Roman" w:cs="Times New Roman"/>
                <w:color w:val="000000"/>
                <w:lang w:eastAsia="ru-RU"/>
              </w:rPr>
            </w:pPr>
          </w:p>
        </w:tc>
        <w:tc>
          <w:tcPr>
            <w:tcW w:w="2111" w:type="dxa"/>
            <w:shd w:val="clear" w:color="auto" w:fill="auto"/>
            <w:noWrap/>
            <w:vAlign w:val="center"/>
            <w:hideMark/>
          </w:tcPr>
          <w:p w14:paraId="4009552C" w14:textId="77777777" w:rsidR="0026021A" w:rsidRPr="0026021A" w:rsidRDefault="0026021A" w:rsidP="00675A67">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УПКС</w:t>
            </w:r>
          </w:p>
        </w:tc>
        <w:tc>
          <w:tcPr>
            <w:tcW w:w="2065" w:type="dxa"/>
            <w:shd w:val="clear" w:color="auto" w:fill="auto"/>
            <w:noWrap/>
            <w:vAlign w:val="center"/>
            <w:hideMark/>
          </w:tcPr>
          <w:p w14:paraId="411557EB" w14:textId="77777777" w:rsidR="0026021A" w:rsidRPr="0026021A" w:rsidRDefault="0026021A" w:rsidP="00675A67">
            <w:pPr>
              <w:spacing w:after="0" w:line="240" w:lineRule="auto"/>
              <w:rPr>
                <w:rFonts w:ascii="Times New Roman" w:eastAsia="Times New Roman" w:hAnsi="Times New Roman" w:cs="Times New Roman"/>
                <w:color w:val="000000"/>
                <w:lang w:eastAsia="ru-RU"/>
              </w:rPr>
            </w:pPr>
            <w:r w:rsidRPr="0026021A">
              <w:rPr>
                <w:rFonts w:ascii="Times New Roman" w:eastAsia="Times New Roman" w:hAnsi="Times New Roman" w:cs="Times New Roman"/>
                <w:color w:val="000000"/>
                <w:lang w:eastAsia="ru-RU"/>
              </w:rPr>
              <w:t> </w:t>
            </w:r>
          </w:p>
        </w:tc>
      </w:tr>
    </w:tbl>
    <w:p w14:paraId="0240B25C" w14:textId="77777777" w:rsidR="0026021A" w:rsidRDefault="0026021A" w:rsidP="0026021A">
      <w:pPr>
        <w:spacing w:after="0" w:line="276" w:lineRule="auto"/>
        <w:ind w:firstLine="709"/>
        <w:contextualSpacing/>
        <w:jc w:val="center"/>
        <w:rPr>
          <w:rFonts w:ascii="Times New Roman" w:hAnsi="Times New Roman" w:cs="Times New Roman"/>
          <w:bCs/>
          <w:sz w:val="26"/>
          <w:szCs w:val="26"/>
          <w:highlight w:val="yellow"/>
        </w:rPr>
      </w:pPr>
    </w:p>
    <w:p w14:paraId="52B2DA0A" w14:textId="0DA4B1AB" w:rsidR="0026021A" w:rsidRDefault="0026021A" w:rsidP="0026021A">
      <w:pPr>
        <w:spacing w:after="0" w:line="276" w:lineRule="auto"/>
        <w:ind w:firstLine="709"/>
        <w:contextualSpacing/>
        <w:jc w:val="center"/>
        <w:rPr>
          <w:rFonts w:ascii="Times New Roman" w:hAnsi="Times New Roman" w:cs="Times New Roman"/>
          <w:bCs/>
          <w:sz w:val="26"/>
          <w:szCs w:val="26"/>
          <w:highlight w:val="yellow"/>
        </w:rPr>
        <w:sectPr w:rsidR="0026021A" w:rsidSect="0026021A">
          <w:pgSz w:w="16838" w:h="11906" w:orient="landscape"/>
          <w:pgMar w:top="1701" w:right="1134" w:bottom="851" w:left="1134" w:header="709" w:footer="709" w:gutter="0"/>
          <w:cols w:space="720"/>
        </w:sectPr>
      </w:pPr>
    </w:p>
    <w:p w14:paraId="6DA1E0DE" w14:textId="1348E764" w:rsidR="00EE2B64" w:rsidRPr="004F6662" w:rsidRDefault="00EE2B64" w:rsidP="00EE2B64">
      <w:pPr>
        <w:spacing w:after="0" w:line="276" w:lineRule="auto"/>
        <w:ind w:firstLine="709"/>
        <w:contextualSpacing/>
        <w:jc w:val="both"/>
        <w:rPr>
          <w:rFonts w:ascii="Times New Roman" w:eastAsia="Times New Roman" w:hAnsi="Times New Roman" w:cs="Times New Roman"/>
          <w:spacing w:val="-5"/>
          <w:sz w:val="26"/>
          <w:szCs w:val="26"/>
        </w:rPr>
      </w:pPr>
      <w:r w:rsidRPr="004F6662">
        <w:rPr>
          <w:rFonts w:ascii="Times New Roman" w:eastAsia="Times New Roman" w:hAnsi="Times New Roman" w:cs="Times New Roman"/>
          <w:spacing w:val="-5"/>
          <w:sz w:val="26"/>
          <w:szCs w:val="26"/>
        </w:rPr>
        <w:t xml:space="preserve">Земельные участки, отнесенные к группам </w:t>
      </w:r>
      <w:r w:rsidR="00D566C3" w:rsidRPr="004F6662">
        <w:rPr>
          <w:rFonts w:ascii="Times New Roman" w:eastAsia="Times New Roman" w:hAnsi="Times New Roman" w:cs="Times New Roman"/>
          <w:spacing w:val="-5"/>
          <w:sz w:val="26"/>
          <w:szCs w:val="26"/>
        </w:rPr>
        <w:t>2 сегмента МЖС</w:t>
      </w:r>
      <w:r w:rsidRPr="004F6662">
        <w:rPr>
          <w:rFonts w:ascii="Times New Roman" w:eastAsia="Times New Roman" w:hAnsi="Times New Roman" w:cs="Times New Roman"/>
          <w:spacing w:val="-5"/>
          <w:sz w:val="26"/>
          <w:szCs w:val="26"/>
        </w:rPr>
        <w:t xml:space="preserve">, </w:t>
      </w:r>
      <w:r w:rsidR="005C57C5" w:rsidRPr="004F6662">
        <w:rPr>
          <w:rFonts w:ascii="Times New Roman" w:eastAsia="Times New Roman" w:hAnsi="Times New Roman" w:cs="Times New Roman"/>
          <w:spacing w:val="-5"/>
          <w:sz w:val="26"/>
          <w:szCs w:val="26"/>
        </w:rPr>
        <w:t xml:space="preserve">3 </w:t>
      </w:r>
      <w:r w:rsidR="004F6662" w:rsidRPr="004F6662">
        <w:rPr>
          <w:rFonts w:ascii="Times New Roman" w:eastAsia="Times New Roman" w:hAnsi="Times New Roman" w:cs="Times New Roman"/>
          <w:spacing w:val="-5"/>
          <w:sz w:val="26"/>
          <w:szCs w:val="26"/>
        </w:rPr>
        <w:t>сегмента СОЦ</w:t>
      </w:r>
      <w:r w:rsidRPr="004F6662">
        <w:rPr>
          <w:rFonts w:ascii="Times New Roman" w:eastAsia="Times New Roman" w:hAnsi="Times New Roman" w:cs="Times New Roman"/>
          <w:spacing w:val="-5"/>
          <w:sz w:val="26"/>
          <w:szCs w:val="26"/>
        </w:rPr>
        <w:t xml:space="preserve">, </w:t>
      </w:r>
      <w:r w:rsidR="004F6662" w:rsidRPr="004F6662">
        <w:rPr>
          <w:rFonts w:ascii="Times New Roman" w:eastAsia="Times New Roman" w:hAnsi="Times New Roman" w:cs="Times New Roman"/>
          <w:spacing w:val="-5"/>
          <w:sz w:val="26"/>
          <w:szCs w:val="26"/>
        </w:rPr>
        <w:t>4 сегмента ПРЕДПРИНИМАТЕЛЬСТВО</w:t>
      </w:r>
      <w:r w:rsidRPr="004F6662">
        <w:rPr>
          <w:rFonts w:ascii="Times New Roman" w:eastAsia="Times New Roman" w:hAnsi="Times New Roman" w:cs="Times New Roman"/>
          <w:spacing w:val="-5"/>
          <w:sz w:val="26"/>
          <w:szCs w:val="26"/>
        </w:rPr>
        <w:t xml:space="preserve">, </w:t>
      </w:r>
      <w:r w:rsidR="004F6662" w:rsidRPr="004F6662">
        <w:rPr>
          <w:rFonts w:ascii="Times New Roman" w:eastAsia="Times New Roman" w:hAnsi="Times New Roman" w:cs="Times New Roman"/>
          <w:spacing w:val="-5"/>
          <w:sz w:val="26"/>
          <w:szCs w:val="26"/>
        </w:rPr>
        <w:t>5 сегмента ГОСТИНИЦЫ и ОТДЫХ</w:t>
      </w:r>
      <w:r w:rsidRPr="004F6662">
        <w:rPr>
          <w:rFonts w:ascii="Times New Roman" w:eastAsia="Times New Roman" w:hAnsi="Times New Roman" w:cs="Times New Roman"/>
          <w:spacing w:val="-5"/>
          <w:sz w:val="26"/>
          <w:szCs w:val="26"/>
        </w:rPr>
        <w:t xml:space="preserve">, </w:t>
      </w:r>
      <w:r w:rsidR="004F6662" w:rsidRPr="004F6662">
        <w:rPr>
          <w:rFonts w:ascii="Times New Roman" w:eastAsia="Times New Roman" w:hAnsi="Times New Roman" w:cs="Times New Roman"/>
          <w:spacing w:val="-5"/>
          <w:sz w:val="26"/>
          <w:szCs w:val="26"/>
        </w:rPr>
        <w:t>6 сегмента ПРОИЗВОДСТВО</w:t>
      </w:r>
      <w:r w:rsidRPr="004F6662">
        <w:rPr>
          <w:rFonts w:ascii="Times New Roman" w:eastAsia="Times New Roman" w:hAnsi="Times New Roman" w:cs="Times New Roman"/>
          <w:spacing w:val="-5"/>
          <w:sz w:val="26"/>
          <w:szCs w:val="26"/>
        </w:rPr>
        <w:t xml:space="preserve">, </w:t>
      </w:r>
      <w:r w:rsidR="004F6662" w:rsidRPr="004F6662">
        <w:rPr>
          <w:rFonts w:ascii="Times New Roman" w:eastAsia="Times New Roman" w:hAnsi="Times New Roman" w:cs="Times New Roman"/>
          <w:spacing w:val="-5"/>
          <w:sz w:val="26"/>
          <w:szCs w:val="26"/>
        </w:rPr>
        <w:t>7 сегмента ТРАНСПОРТ</w:t>
      </w:r>
      <w:r w:rsidRPr="004F6662">
        <w:rPr>
          <w:rFonts w:ascii="Times New Roman" w:eastAsia="Times New Roman" w:hAnsi="Times New Roman" w:cs="Times New Roman"/>
          <w:spacing w:val="-5"/>
          <w:sz w:val="26"/>
          <w:szCs w:val="26"/>
        </w:rPr>
        <w:t xml:space="preserve">, </w:t>
      </w:r>
      <w:r w:rsidR="004F6662" w:rsidRPr="004F6662">
        <w:rPr>
          <w:rFonts w:ascii="Times New Roman" w:eastAsia="Times New Roman" w:hAnsi="Times New Roman" w:cs="Times New Roman"/>
          <w:spacing w:val="-5"/>
          <w:sz w:val="26"/>
          <w:szCs w:val="26"/>
        </w:rPr>
        <w:t>13 сегмента ИЖС и СОД</w:t>
      </w:r>
      <w:r w:rsidRPr="004F6662">
        <w:rPr>
          <w:rFonts w:ascii="Times New Roman" w:eastAsia="Times New Roman" w:hAnsi="Times New Roman" w:cs="Times New Roman"/>
          <w:spacing w:val="-5"/>
          <w:sz w:val="26"/>
          <w:szCs w:val="26"/>
        </w:rPr>
        <w:t xml:space="preserve">, разделены на подгруппы </w:t>
      </w:r>
      <w:r w:rsidR="00D566C3" w:rsidRPr="004F6662">
        <w:rPr>
          <w:rFonts w:ascii="Times New Roman" w:eastAsia="Times New Roman" w:hAnsi="Times New Roman" w:cs="Times New Roman"/>
          <w:spacing w:val="-5"/>
          <w:sz w:val="26"/>
          <w:szCs w:val="26"/>
        </w:rPr>
        <w:t>в зависимости от территориальной принадлежности</w:t>
      </w:r>
      <w:r w:rsidRPr="004F6662">
        <w:rPr>
          <w:rFonts w:ascii="Times New Roman" w:eastAsia="Times New Roman" w:hAnsi="Times New Roman" w:cs="Times New Roman"/>
          <w:spacing w:val="-5"/>
          <w:sz w:val="26"/>
          <w:szCs w:val="26"/>
        </w:rPr>
        <w:t>:</w:t>
      </w:r>
    </w:p>
    <w:p w14:paraId="763CA29A" w14:textId="2B943AAB" w:rsidR="00EE2B64" w:rsidRPr="004F6662" w:rsidRDefault="00EE2B64" w:rsidP="00EE2B64">
      <w:pPr>
        <w:spacing w:after="0" w:line="276" w:lineRule="auto"/>
        <w:ind w:firstLine="709"/>
        <w:contextualSpacing/>
        <w:jc w:val="both"/>
        <w:rPr>
          <w:rFonts w:ascii="Times New Roman" w:eastAsia="Times New Roman" w:hAnsi="Times New Roman" w:cs="Times New Roman"/>
          <w:spacing w:val="-5"/>
          <w:sz w:val="26"/>
          <w:szCs w:val="26"/>
        </w:rPr>
      </w:pPr>
      <w:r w:rsidRPr="004F6662">
        <w:rPr>
          <w:rFonts w:ascii="Times New Roman" w:eastAsia="Times New Roman" w:hAnsi="Times New Roman" w:cs="Times New Roman"/>
          <w:spacing w:val="-5"/>
          <w:sz w:val="26"/>
          <w:szCs w:val="26"/>
        </w:rPr>
        <w:t>- земельные участки, расположенные в городских населенных пунктах. В рамках настоящего отчета им присвоен</w:t>
      </w:r>
      <w:r w:rsidR="00F72399" w:rsidRPr="004F6662">
        <w:rPr>
          <w:rFonts w:ascii="Times New Roman" w:eastAsia="Times New Roman" w:hAnsi="Times New Roman" w:cs="Times New Roman"/>
          <w:spacing w:val="-5"/>
          <w:sz w:val="26"/>
          <w:szCs w:val="26"/>
        </w:rPr>
        <w:t>ы</w:t>
      </w:r>
      <w:r w:rsidRPr="004F6662">
        <w:rPr>
          <w:rFonts w:ascii="Times New Roman" w:eastAsia="Times New Roman" w:hAnsi="Times New Roman" w:cs="Times New Roman"/>
          <w:spacing w:val="-5"/>
          <w:sz w:val="26"/>
          <w:szCs w:val="26"/>
        </w:rPr>
        <w:t xml:space="preserve"> номер</w:t>
      </w:r>
      <w:r w:rsidR="00F72399" w:rsidRPr="004F6662">
        <w:rPr>
          <w:rFonts w:ascii="Times New Roman" w:eastAsia="Times New Roman" w:hAnsi="Times New Roman" w:cs="Times New Roman"/>
          <w:spacing w:val="-5"/>
          <w:sz w:val="26"/>
          <w:szCs w:val="26"/>
        </w:rPr>
        <w:t>а</w:t>
      </w:r>
      <w:r w:rsidRPr="004F6662">
        <w:rPr>
          <w:rFonts w:ascii="Times New Roman" w:eastAsia="Times New Roman" w:hAnsi="Times New Roman" w:cs="Times New Roman"/>
          <w:spacing w:val="-5"/>
          <w:sz w:val="26"/>
          <w:szCs w:val="26"/>
        </w:rPr>
        <w:t xml:space="preserve"> подгрупп - «</w:t>
      </w:r>
      <w:r w:rsidR="00F72399" w:rsidRPr="004F6662">
        <w:rPr>
          <w:rFonts w:ascii="Times New Roman" w:eastAsia="Times New Roman" w:hAnsi="Times New Roman" w:cs="Times New Roman"/>
          <w:spacing w:val="-5"/>
          <w:sz w:val="26"/>
          <w:szCs w:val="26"/>
        </w:rPr>
        <w:t>ВОРОНЕЖ/</w:t>
      </w:r>
      <w:r w:rsidR="00931D41" w:rsidRPr="004F6662">
        <w:rPr>
          <w:rFonts w:ascii="Times New Roman" w:eastAsia="Times New Roman" w:hAnsi="Times New Roman" w:cs="Times New Roman"/>
          <w:spacing w:val="-5"/>
          <w:sz w:val="26"/>
          <w:szCs w:val="26"/>
        </w:rPr>
        <w:t xml:space="preserve">6 </w:t>
      </w:r>
      <w:r w:rsidR="00F72399" w:rsidRPr="004F6662">
        <w:rPr>
          <w:rFonts w:ascii="Times New Roman" w:eastAsia="Times New Roman" w:hAnsi="Times New Roman" w:cs="Times New Roman"/>
          <w:spacing w:val="-5"/>
          <w:sz w:val="26"/>
          <w:szCs w:val="26"/>
        </w:rPr>
        <w:t>ГНП</w:t>
      </w:r>
      <w:r w:rsidR="00931D41" w:rsidRPr="004F6662">
        <w:rPr>
          <w:rFonts w:ascii="Times New Roman" w:eastAsia="Times New Roman" w:hAnsi="Times New Roman" w:cs="Times New Roman"/>
          <w:spacing w:val="-5"/>
          <w:sz w:val="26"/>
          <w:szCs w:val="26"/>
        </w:rPr>
        <w:t>/ГНП/Прочие ГНП</w:t>
      </w:r>
      <w:r w:rsidRPr="004F6662">
        <w:rPr>
          <w:rFonts w:ascii="Times New Roman" w:eastAsia="Times New Roman" w:hAnsi="Times New Roman" w:cs="Times New Roman"/>
          <w:spacing w:val="-5"/>
          <w:sz w:val="26"/>
          <w:szCs w:val="26"/>
        </w:rPr>
        <w:t>»</w:t>
      </w:r>
      <w:r w:rsidR="00931D41" w:rsidRPr="004F6662">
        <w:rPr>
          <w:rFonts w:ascii="Times New Roman" w:eastAsia="Times New Roman" w:hAnsi="Times New Roman" w:cs="Times New Roman"/>
          <w:spacing w:val="-5"/>
          <w:sz w:val="26"/>
          <w:szCs w:val="26"/>
        </w:rPr>
        <w:t xml:space="preserve">: </w:t>
      </w:r>
    </w:p>
    <w:p w14:paraId="22925226" w14:textId="21489A3F" w:rsidR="00931D41" w:rsidRPr="004F6662" w:rsidRDefault="00931D41" w:rsidP="003D478C">
      <w:pPr>
        <w:pStyle w:val="ab"/>
        <w:numPr>
          <w:ilvl w:val="0"/>
          <w:numId w:val="41"/>
        </w:numPr>
        <w:spacing w:after="0" w:line="276" w:lineRule="auto"/>
        <w:jc w:val="both"/>
        <w:rPr>
          <w:rFonts w:ascii="Times New Roman" w:eastAsia="Times New Roman" w:hAnsi="Times New Roman" w:cs="Times New Roman"/>
          <w:spacing w:val="-5"/>
          <w:sz w:val="26"/>
          <w:szCs w:val="26"/>
        </w:rPr>
      </w:pPr>
      <w:r w:rsidRPr="004F6662">
        <w:rPr>
          <w:rFonts w:ascii="Times New Roman" w:eastAsia="Times New Roman" w:hAnsi="Times New Roman" w:cs="Times New Roman"/>
          <w:spacing w:val="-5"/>
          <w:sz w:val="26"/>
          <w:szCs w:val="26"/>
        </w:rPr>
        <w:t>земельные участки, расположенные в субъекте РФ (г. Воронеж);</w:t>
      </w:r>
    </w:p>
    <w:p w14:paraId="07E28FCB" w14:textId="0186CCB6" w:rsidR="00931D41" w:rsidRPr="004F6662" w:rsidRDefault="00931D41" w:rsidP="003D478C">
      <w:pPr>
        <w:pStyle w:val="ab"/>
        <w:numPr>
          <w:ilvl w:val="0"/>
          <w:numId w:val="41"/>
        </w:numPr>
        <w:tabs>
          <w:tab w:val="left" w:pos="993"/>
        </w:tabs>
        <w:spacing w:after="0" w:line="276" w:lineRule="auto"/>
        <w:jc w:val="both"/>
        <w:rPr>
          <w:rFonts w:ascii="Times New Roman" w:eastAsia="Times New Roman" w:hAnsi="Times New Roman" w:cs="Times New Roman"/>
          <w:spacing w:val="-5"/>
          <w:sz w:val="26"/>
          <w:szCs w:val="26"/>
        </w:rPr>
      </w:pPr>
      <w:r w:rsidRPr="004F6662">
        <w:rPr>
          <w:rFonts w:ascii="Times New Roman" w:eastAsia="Times New Roman" w:hAnsi="Times New Roman" w:cs="Times New Roman"/>
          <w:spacing w:val="-5"/>
          <w:sz w:val="26"/>
          <w:szCs w:val="26"/>
        </w:rPr>
        <w:t>земельные участки, расположенные в городских населенных пунктах с численностью населения до 30 000 человек (ГНП/Прочие ГНП);</w:t>
      </w:r>
    </w:p>
    <w:p w14:paraId="19B31A2B" w14:textId="61471061" w:rsidR="00931D41" w:rsidRPr="00262270" w:rsidRDefault="00931D41" w:rsidP="003D478C">
      <w:pPr>
        <w:pStyle w:val="ab"/>
        <w:numPr>
          <w:ilvl w:val="0"/>
          <w:numId w:val="41"/>
        </w:numPr>
        <w:tabs>
          <w:tab w:val="left" w:pos="993"/>
        </w:tabs>
        <w:spacing w:after="0" w:line="276" w:lineRule="auto"/>
        <w:jc w:val="both"/>
        <w:rPr>
          <w:rFonts w:ascii="Times New Roman" w:eastAsia="Times New Roman" w:hAnsi="Times New Roman" w:cs="Times New Roman"/>
          <w:spacing w:val="-5"/>
          <w:sz w:val="26"/>
          <w:szCs w:val="26"/>
        </w:rPr>
      </w:pPr>
      <w:r w:rsidRPr="00262270">
        <w:rPr>
          <w:rFonts w:ascii="Times New Roman" w:eastAsia="Times New Roman" w:hAnsi="Times New Roman" w:cs="Times New Roman"/>
          <w:spacing w:val="-5"/>
          <w:sz w:val="26"/>
          <w:szCs w:val="26"/>
        </w:rPr>
        <w:t>земельные участки, расположенные в городских населенных пунктах с численностью населения более 30 000 человек (6ГНП)</w:t>
      </w:r>
      <w:r w:rsidR="00310F59" w:rsidRPr="00262270">
        <w:rPr>
          <w:rFonts w:ascii="Times New Roman" w:eastAsia="Times New Roman" w:hAnsi="Times New Roman" w:cs="Times New Roman"/>
          <w:spacing w:val="-5"/>
          <w:sz w:val="26"/>
          <w:szCs w:val="26"/>
        </w:rPr>
        <w:t>.</w:t>
      </w:r>
    </w:p>
    <w:p w14:paraId="0F36D4D3" w14:textId="72E7B991" w:rsidR="00EE2B64" w:rsidRPr="00262270" w:rsidRDefault="00EE2B64" w:rsidP="00EE2B64">
      <w:pPr>
        <w:spacing w:after="0" w:line="276" w:lineRule="auto"/>
        <w:ind w:firstLine="709"/>
        <w:contextualSpacing/>
        <w:jc w:val="both"/>
        <w:rPr>
          <w:rFonts w:ascii="Times New Roman" w:eastAsia="Times New Roman" w:hAnsi="Times New Roman" w:cs="Times New Roman"/>
          <w:spacing w:val="-5"/>
          <w:sz w:val="26"/>
          <w:szCs w:val="26"/>
        </w:rPr>
      </w:pPr>
      <w:r w:rsidRPr="00262270">
        <w:rPr>
          <w:rFonts w:ascii="Times New Roman" w:eastAsia="Times New Roman" w:hAnsi="Times New Roman" w:cs="Times New Roman"/>
          <w:spacing w:val="-5"/>
          <w:sz w:val="26"/>
          <w:szCs w:val="26"/>
        </w:rPr>
        <w:t>- земельные участки, расположенные в сельских населенных пунктах. В рамках настоящего отчета им присвоен номер подгруппы - «</w:t>
      </w:r>
      <w:r w:rsidR="00F72399" w:rsidRPr="00262270">
        <w:rPr>
          <w:rFonts w:ascii="Times New Roman" w:eastAsia="Times New Roman" w:hAnsi="Times New Roman" w:cs="Times New Roman"/>
          <w:spacing w:val="-5"/>
          <w:sz w:val="26"/>
          <w:szCs w:val="26"/>
        </w:rPr>
        <w:t>СНП</w:t>
      </w:r>
      <w:r w:rsidRPr="00262270">
        <w:rPr>
          <w:rFonts w:ascii="Times New Roman" w:eastAsia="Times New Roman" w:hAnsi="Times New Roman" w:cs="Times New Roman"/>
          <w:spacing w:val="-5"/>
          <w:sz w:val="26"/>
          <w:szCs w:val="26"/>
        </w:rPr>
        <w:t>»</w:t>
      </w:r>
      <w:r w:rsidR="002F2198">
        <w:rPr>
          <w:rFonts w:ascii="Times New Roman" w:eastAsia="Times New Roman" w:hAnsi="Times New Roman" w:cs="Times New Roman"/>
          <w:spacing w:val="-5"/>
          <w:sz w:val="26"/>
          <w:szCs w:val="26"/>
        </w:rPr>
        <w:t>;</w:t>
      </w:r>
    </w:p>
    <w:p w14:paraId="47DD6E1D" w14:textId="3E15983B" w:rsidR="00F72399" w:rsidRPr="00262270" w:rsidRDefault="00F72399" w:rsidP="00F72399">
      <w:pPr>
        <w:spacing w:after="0" w:line="276" w:lineRule="auto"/>
        <w:ind w:firstLine="709"/>
        <w:contextualSpacing/>
        <w:jc w:val="both"/>
        <w:rPr>
          <w:rFonts w:ascii="Times New Roman" w:eastAsia="Times New Roman" w:hAnsi="Times New Roman" w:cs="Times New Roman"/>
          <w:spacing w:val="-5"/>
          <w:sz w:val="26"/>
          <w:szCs w:val="26"/>
        </w:rPr>
      </w:pPr>
      <w:r w:rsidRPr="00262270">
        <w:rPr>
          <w:rFonts w:ascii="Times New Roman" w:eastAsia="Times New Roman" w:hAnsi="Times New Roman" w:cs="Times New Roman"/>
          <w:spacing w:val="-5"/>
          <w:sz w:val="26"/>
          <w:szCs w:val="26"/>
        </w:rPr>
        <w:t>- земельные участки, расположенные вне границ населенных пунктах. В рамках настоящего отчета им присвоен номер подгруппы - «МС».</w:t>
      </w:r>
    </w:p>
    <w:p w14:paraId="41EC79CB" w14:textId="50797E3C" w:rsidR="00F72399" w:rsidRPr="00262270" w:rsidRDefault="00F72399" w:rsidP="00F72399">
      <w:pPr>
        <w:spacing w:after="0" w:line="276" w:lineRule="auto"/>
        <w:ind w:firstLine="709"/>
        <w:contextualSpacing/>
        <w:jc w:val="both"/>
        <w:rPr>
          <w:rFonts w:ascii="Times New Roman" w:eastAsia="Times New Roman" w:hAnsi="Times New Roman" w:cs="Times New Roman"/>
          <w:spacing w:val="-5"/>
          <w:sz w:val="26"/>
          <w:szCs w:val="26"/>
        </w:rPr>
      </w:pPr>
      <w:r w:rsidRPr="00262270">
        <w:rPr>
          <w:rFonts w:ascii="Times New Roman" w:eastAsia="Times New Roman" w:hAnsi="Times New Roman" w:cs="Times New Roman"/>
          <w:spacing w:val="-5"/>
          <w:sz w:val="26"/>
          <w:szCs w:val="26"/>
        </w:rPr>
        <w:t>- земельные участки, расположенные приимущественно на территории дачных, садоводческих объединений, а также земельные участки, расположенные на территории населенных пунктах с видом разрешенного использования «садоводство/огородничество». В рамках настоящего отчета им присвоен номер подгруппы - «СОД».</w:t>
      </w:r>
    </w:p>
    <w:p w14:paraId="458F6543" w14:textId="6F981939" w:rsidR="00EE2B64" w:rsidRPr="00F72399" w:rsidRDefault="00EE2B64" w:rsidP="00EE2B64">
      <w:pPr>
        <w:spacing w:after="0" w:line="276" w:lineRule="auto"/>
        <w:ind w:firstLine="709"/>
        <w:contextualSpacing/>
        <w:jc w:val="both"/>
        <w:rPr>
          <w:rFonts w:ascii="Times New Roman" w:eastAsia="Times New Roman" w:hAnsi="Times New Roman" w:cs="Times New Roman"/>
          <w:spacing w:val="-5"/>
          <w:sz w:val="26"/>
          <w:szCs w:val="26"/>
        </w:rPr>
      </w:pPr>
      <w:r w:rsidRPr="00F72399">
        <w:rPr>
          <w:rFonts w:ascii="Times New Roman" w:eastAsia="Times New Roman" w:hAnsi="Times New Roman" w:cs="Times New Roman"/>
          <w:spacing w:val="-5"/>
          <w:sz w:val="26"/>
          <w:szCs w:val="26"/>
        </w:rPr>
        <w:t>К городским населенным пунктам отнесены следующие населенные пункты:</w:t>
      </w:r>
    </w:p>
    <w:p w14:paraId="292CA78A" w14:textId="77777777" w:rsidR="00EE2B64" w:rsidRPr="00D566C3" w:rsidRDefault="00EE2B64" w:rsidP="00EE2B64">
      <w:pPr>
        <w:shd w:val="clear" w:color="auto" w:fill="FFFFFF"/>
        <w:spacing w:after="0" w:line="276" w:lineRule="auto"/>
        <w:ind w:firstLine="547"/>
        <w:contextualSpacing/>
        <w:jc w:val="right"/>
        <w:rPr>
          <w:rFonts w:ascii="Times New Roman" w:eastAsia="Times New Roman" w:hAnsi="Times New Roman" w:cs="Times New Roman"/>
          <w:spacing w:val="-5"/>
          <w:sz w:val="26"/>
          <w:szCs w:val="26"/>
        </w:rPr>
      </w:pPr>
      <w:r w:rsidRPr="00D566C3">
        <w:rPr>
          <w:rFonts w:ascii="Times New Roman" w:eastAsia="Times New Roman" w:hAnsi="Times New Roman" w:cs="Times New Roman"/>
          <w:spacing w:val="-5"/>
          <w:sz w:val="26"/>
          <w:szCs w:val="26"/>
        </w:rPr>
        <w:t xml:space="preserve">Таблица </w:t>
      </w:r>
      <w:r w:rsidRPr="00D566C3">
        <w:rPr>
          <w:rFonts w:ascii="Times New Roman" w:hAnsi="Times New Roman" w:cs="Times New Roman"/>
          <w:sz w:val="26"/>
          <w:szCs w:val="26"/>
        </w:rPr>
        <w:t>3.3.2.2</w:t>
      </w:r>
    </w:p>
    <w:p w14:paraId="312417B3" w14:textId="77777777" w:rsidR="00EE2B64" w:rsidRPr="00D566C3" w:rsidRDefault="00EE2B64" w:rsidP="00EE2B64">
      <w:pPr>
        <w:shd w:val="clear" w:color="auto" w:fill="FFFFFF"/>
        <w:spacing w:after="0" w:line="276" w:lineRule="auto"/>
        <w:ind w:firstLine="544"/>
        <w:contextualSpacing/>
        <w:jc w:val="center"/>
        <w:rPr>
          <w:rFonts w:ascii="Times New Roman" w:eastAsia="Times New Roman" w:hAnsi="Times New Roman" w:cs="Times New Roman"/>
          <w:spacing w:val="-5"/>
          <w:sz w:val="26"/>
          <w:szCs w:val="26"/>
        </w:rPr>
      </w:pPr>
      <w:r w:rsidRPr="00D566C3">
        <w:rPr>
          <w:rFonts w:ascii="Times New Roman" w:eastAsia="Times New Roman" w:hAnsi="Times New Roman" w:cs="Times New Roman"/>
          <w:spacing w:val="-5"/>
          <w:sz w:val="26"/>
          <w:szCs w:val="26"/>
        </w:rPr>
        <w:t>Городские населенные пункты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6515"/>
      </w:tblGrid>
      <w:tr w:rsidR="00EE2B64" w:rsidRPr="00D566C3" w14:paraId="126DB8A9"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50ADFB34"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 п/п</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3D8AD72D"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Наименование населенного пункта</w:t>
            </w:r>
          </w:p>
        </w:tc>
      </w:tr>
      <w:tr w:rsidR="00EE2B64" w:rsidRPr="00D566C3" w14:paraId="47A21A57"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1651E0AC"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1</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5E24DF94"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п.г.т. Анна</w:t>
            </w:r>
          </w:p>
        </w:tc>
      </w:tr>
      <w:tr w:rsidR="00EE2B64" w:rsidRPr="00D566C3" w14:paraId="0AFB5336"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30D952D3"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2</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1C4B2C9D"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г. Бобров</w:t>
            </w:r>
          </w:p>
        </w:tc>
      </w:tr>
      <w:tr w:rsidR="00EE2B64" w:rsidRPr="00D566C3" w14:paraId="50D0A1D1"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66B3FFBA"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3</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22667CDB"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г. Богучар</w:t>
            </w:r>
          </w:p>
        </w:tc>
      </w:tr>
      <w:tr w:rsidR="00EE2B64" w:rsidRPr="00D566C3" w14:paraId="34C04646"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6EDCBAF8"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4</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24FDB973"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г. Борисоглебск</w:t>
            </w:r>
          </w:p>
        </w:tc>
      </w:tr>
      <w:tr w:rsidR="00EE2B64" w:rsidRPr="00D566C3" w14:paraId="4129F4ED"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4F54A892"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5</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7DD3CB44"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р.п. Нижний Кисляй</w:t>
            </w:r>
          </w:p>
        </w:tc>
      </w:tr>
      <w:tr w:rsidR="00EE2B64" w:rsidRPr="00D566C3" w14:paraId="3529FC80"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01A60071"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6</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586BA872"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г. Бутурлиновка</w:t>
            </w:r>
          </w:p>
        </w:tc>
      </w:tr>
      <w:tr w:rsidR="00EE2B64" w:rsidRPr="00D566C3" w14:paraId="4EB00F56"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26C88CB3"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7</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76CA6C77"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п.г.т. Грибановский</w:t>
            </w:r>
          </w:p>
        </w:tc>
      </w:tr>
      <w:tr w:rsidR="00EE2B64" w:rsidRPr="00D566C3" w14:paraId="11A6EEFC"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534924B1"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8</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38117AF6"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г. Калач</w:t>
            </w:r>
          </w:p>
        </w:tc>
      </w:tr>
      <w:tr w:rsidR="00EE2B64" w:rsidRPr="00D566C3" w14:paraId="3DFB2AAB"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4C2AF530"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9</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270D22C2"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п.г.т. Каменка</w:t>
            </w:r>
          </w:p>
        </w:tc>
      </w:tr>
      <w:tr w:rsidR="00EE2B64" w:rsidRPr="00D566C3" w14:paraId="5AC8485C"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67A0B2D1"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10</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1AF8EDD2"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р.п. Кантемировка</w:t>
            </w:r>
          </w:p>
        </w:tc>
      </w:tr>
      <w:tr w:rsidR="00EE2B64" w:rsidRPr="00D566C3" w14:paraId="0DAABD2A"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508CDEAB"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11</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47471984"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г. Лиски</w:t>
            </w:r>
          </w:p>
        </w:tc>
      </w:tr>
      <w:tr w:rsidR="00EE2B64" w:rsidRPr="00D566C3" w14:paraId="3EF906CD"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6A27B06C"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12</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0FA819F8"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р.п. Давыдовка</w:t>
            </w:r>
          </w:p>
        </w:tc>
      </w:tr>
      <w:tr w:rsidR="00EE2B64" w:rsidRPr="00D566C3" w14:paraId="4F5E9F46"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7286B9CA"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13</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359279FD"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с. Новая Усмань</w:t>
            </w:r>
          </w:p>
        </w:tc>
      </w:tr>
      <w:tr w:rsidR="00EE2B64" w:rsidRPr="00D566C3" w14:paraId="4842527C"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7C111B64"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14</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3754B8CD"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р.п. Елань- Коленовский</w:t>
            </w:r>
          </w:p>
        </w:tc>
      </w:tr>
      <w:tr w:rsidR="00EE2B64" w:rsidRPr="00D566C3" w14:paraId="69AC2EAE"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336339DC"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15</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00AF8C76"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р.п. Новохоперский</w:t>
            </w:r>
          </w:p>
        </w:tc>
      </w:tr>
      <w:tr w:rsidR="00EE2B64" w:rsidRPr="00D566C3" w14:paraId="4A318527"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0D87C2AD"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16</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2C441049"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г. Новохоперск</w:t>
            </w:r>
          </w:p>
        </w:tc>
      </w:tr>
      <w:tr w:rsidR="00EE2B64" w:rsidRPr="00D566C3" w14:paraId="6E347603"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68CE11B1"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17</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44899C0D"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р.п. Ольховатка</w:t>
            </w:r>
          </w:p>
        </w:tc>
      </w:tr>
      <w:tr w:rsidR="00EE2B64" w:rsidRPr="00D566C3" w14:paraId="29F16F98"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6DA04261"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18</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381F75A8"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г. Острогожск</w:t>
            </w:r>
          </w:p>
        </w:tc>
      </w:tr>
      <w:tr w:rsidR="00EE2B64" w:rsidRPr="00D566C3" w14:paraId="1E429943"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2E52F196"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19</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3F0AD964"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г. Павловск</w:t>
            </w:r>
          </w:p>
        </w:tc>
      </w:tr>
      <w:tr w:rsidR="00EE2B64" w:rsidRPr="00D566C3" w14:paraId="07664B22"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7BFE6133"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20</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68E3D4C4"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р.п. Панино</w:t>
            </w:r>
          </w:p>
        </w:tc>
      </w:tr>
      <w:tr w:rsidR="00EE2B64" w:rsidRPr="00D566C3" w14:paraId="1AF8EB03"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7A5D085A"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21</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5E165CF4"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р.п. Перелешинский</w:t>
            </w:r>
          </w:p>
        </w:tc>
      </w:tr>
      <w:tr w:rsidR="00EE2B64" w:rsidRPr="00D566C3" w14:paraId="57A85B8F"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5A5C9AEB"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22</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2DB0187E"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г. Поворино</w:t>
            </w:r>
          </w:p>
        </w:tc>
      </w:tr>
      <w:tr w:rsidR="00EE2B64" w:rsidRPr="00D566C3" w14:paraId="2A809495"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70CD6938"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23</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134A753E"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р.п. Рамонь</w:t>
            </w:r>
          </w:p>
        </w:tc>
      </w:tr>
      <w:tr w:rsidR="00EE2B64" w:rsidRPr="00D566C3" w14:paraId="70C1F0FF"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21D0CF6E"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24</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62B26462"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г. Россошь</w:t>
            </w:r>
          </w:p>
        </w:tc>
      </w:tr>
      <w:tr w:rsidR="00EE2B64" w:rsidRPr="00D566C3" w14:paraId="2BEA7B9A"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5B4747F8"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25</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58A0CD22"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р.п. Латная</w:t>
            </w:r>
          </w:p>
        </w:tc>
      </w:tr>
      <w:tr w:rsidR="00EE2B64" w:rsidRPr="00D566C3" w14:paraId="4D2B37F6"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5D948C26"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26</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26D17967"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р.п. Стрелица</w:t>
            </w:r>
          </w:p>
        </w:tc>
      </w:tr>
      <w:tr w:rsidR="00EE2B64" w:rsidRPr="00D566C3" w14:paraId="7404B1DB"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0E0EC684"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27</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67E269E0"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г. Семилуки</w:t>
            </w:r>
          </w:p>
        </w:tc>
      </w:tr>
      <w:tr w:rsidR="00EE2B64" w:rsidRPr="00D566C3" w14:paraId="651F8FA9"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73280595"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28</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616B1C0A"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р.п. Таловая</w:t>
            </w:r>
          </w:p>
        </w:tc>
      </w:tr>
      <w:tr w:rsidR="00EE2B64" w:rsidRPr="00D566C3" w14:paraId="5F56FA8A"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06D7330B"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29</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08CDEF03"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р.п. Хохольский</w:t>
            </w:r>
          </w:p>
        </w:tc>
      </w:tr>
      <w:tr w:rsidR="00EE2B64" w:rsidRPr="00D566C3" w14:paraId="4F3C7611"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26D65FAB"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30</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0920ED4E"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г. Эртиль</w:t>
            </w:r>
          </w:p>
        </w:tc>
      </w:tr>
      <w:tr w:rsidR="00EE2B64" w:rsidRPr="00D566C3" w14:paraId="1A79F96B"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5D8A54DF"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31</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1EE6E207"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г. Нововоронеж</w:t>
            </w:r>
          </w:p>
        </w:tc>
      </w:tr>
      <w:tr w:rsidR="00EE2B64" w:rsidRPr="001E286D" w14:paraId="60E8AAA8" w14:textId="77777777" w:rsidTr="00A82538">
        <w:trPr>
          <w:trHeight w:val="113"/>
          <w:jc w:val="center"/>
        </w:trPr>
        <w:tc>
          <w:tcPr>
            <w:tcW w:w="3124" w:type="dxa"/>
            <w:tcBorders>
              <w:top w:val="single" w:sz="4" w:space="0" w:color="auto"/>
              <w:left w:val="single" w:sz="4" w:space="0" w:color="auto"/>
              <w:bottom w:val="single" w:sz="4" w:space="0" w:color="auto"/>
              <w:right w:val="single" w:sz="4" w:space="0" w:color="auto"/>
            </w:tcBorders>
            <w:noWrap/>
            <w:vAlign w:val="bottom"/>
            <w:hideMark/>
          </w:tcPr>
          <w:p w14:paraId="54622D4D"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32</w:t>
            </w:r>
          </w:p>
        </w:tc>
        <w:tc>
          <w:tcPr>
            <w:tcW w:w="6515" w:type="dxa"/>
            <w:tcBorders>
              <w:top w:val="single" w:sz="4" w:space="0" w:color="auto"/>
              <w:left w:val="single" w:sz="4" w:space="0" w:color="auto"/>
              <w:bottom w:val="single" w:sz="4" w:space="0" w:color="auto"/>
              <w:right w:val="single" w:sz="4" w:space="0" w:color="auto"/>
            </w:tcBorders>
            <w:noWrap/>
            <w:vAlign w:val="bottom"/>
            <w:hideMark/>
          </w:tcPr>
          <w:p w14:paraId="5570BBFD" w14:textId="77777777" w:rsidR="00EE2B64" w:rsidRPr="00D566C3" w:rsidRDefault="00EE2B64" w:rsidP="00A82538">
            <w:pPr>
              <w:spacing w:after="0" w:line="276" w:lineRule="auto"/>
              <w:contextualSpacing/>
              <w:jc w:val="center"/>
              <w:rPr>
                <w:rFonts w:ascii="Times New Roman" w:eastAsia="Times New Roman" w:hAnsi="Times New Roman" w:cs="Times New Roman"/>
                <w:spacing w:val="-5"/>
              </w:rPr>
            </w:pPr>
            <w:r w:rsidRPr="00D566C3">
              <w:rPr>
                <w:rFonts w:ascii="Times New Roman" w:eastAsia="Times New Roman" w:hAnsi="Times New Roman" w:cs="Times New Roman"/>
                <w:spacing w:val="-5"/>
              </w:rPr>
              <w:t>г. Воронеж</w:t>
            </w:r>
          </w:p>
        </w:tc>
      </w:tr>
    </w:tbl>
    <w:p w14:paraId="12A4685D" w14:textId="77777777" w:rsidR="00242D1D" w:rsidRDefault="00242D1D" w:rsidP="00EE2B64">
      <w:pPr>
        <w:spacing w:after="0" w:line="276" w:lineRule="auto"/>
        <w:ind w:firstLine="709"/>
        <w:contextualSpacing/>
        <w:jc w:val="both"/>
        <w:rPr>
          <w:rFonts w:ascii="Times New Roman" w:eastAsia="Times New Roman" w:hAnsi="Times New Roman" w:cs="Times New Roman"/>
          <w:spacing w:val="-5"/>
          <w:sz w:val="26"/>
          <w:szCs w:val="26"/>
          <w:highlight w:val="yellow"/>
        </w:rPr>
      </w:pPr>
    </w:p>
    <w:p w14:paraId="58E7CF63" w14:textId="41924E2F" w:rsidR="00EE2B64" w:rsidRPr="00D566C3" w:rsidRDefault="00EE2B64" w:rsidP="00EE2B64">
      <w:pPr>
        <w:spacing w:after="0" w:line="276" w:lineRule="auto"/>
        <w:ind w:firstLine="709"/>
        <w:contextualSpacing/>
        <w:jc w:val="both"/>
        <w:rPr>
          <w:rFonts w:ascii="Times New Roman" w:eastAsia="Times New Roman" w:hAnsi="Times New Roman" w:cs="Times New Roman"/>
          <w:spacing w:val="-5"/>
          <w:sz w:val="26"/>
          <w:szCs w:val="26"/>
        </w:rPr>
      </w:pPr>
      <w:r w:rsidRPr="00D566C3">
        <w:rPr>
          <w:rFonts w:ascii="Times New Roman" w:eastAsia="Times New Roman" w:hAnsi="Times New Roman" w:cs="Times New Roman"/>
          <w:spacing w:val="-5"/>
          <w:sz w:val="26"/>
          <w:szCs w:val="26"/>
        </w:rPr>
        <w:t xml:space="preserve">Земельные участки, сведения о местоположении которых не определено и в следствии чего, невозможно осуществить привязку к кадастровому кварталу, </w:t>
      </w:r>
      <w:r w:rsidR="00D566C3" w:rsidRPr="00D566C3">
        <w:rPr>
          <w:rFonts w:ascii="Times New Roman" w:eastAsia="Times New Roman" w:hAnsi="Times New Roman" w:cs="Times New Roman"/>
          <w:spacing w:val="-5"/>
          <w:sz w:val="26"/>
          <w:szCs w:val="26"/>
        </w:rPr>
        <w:t xml:space="preserve">а также земельные участки, с недостаточными характеристиками, </w:t>
      </w:r>
      <w:r w:rsidRPr="00D566C3">
        <w:rPr>
          <w:rFonts w:ascii="Times New Roman" w:eastAsia="Times New Roman" w:hAnsi="Times New Roman" w:cs="Times New Roman"/>
          <w:spacing w:val="-5"/>
          <w:sz w:val="26"/>
          <w:szCs w:val="26"/>
        </w:rPr>
        <w:t>объединены в подгруппы</w:t>
      </w:r>
      <w:r w:rsidR="00D566C3">
        <w:rPr>
          <w:rFonts w:ascii="Times New Roman" w:eastAsia="Times New Roman" w:hAnsi="Times New Roman" w:cs="Times New Roman"/>
          <w:spacing w:val="-5"/>
          <w:sz w:val="26"/>
          <w:szCs w:val="26"/>
        </w:rPr>
        <w:t xml:space="preserve"> – «УПКС»</w:t>
      </w:r>
      <w:r w:rsidRPr="00D566C3">
        <w:rPr>
          <w:rFonts w:ascii="Times New Roman" w:eastAsia="Times New Roman" w:hAnsi="Times New Roman" w:cs="Times New Roman"/>
          <w:spacing w:val="-5"/>
          <w:sz w:val="26"/>
          <w:szCs w:val="26"/>
        </w:rPr>
        <w:t>.</w:t>
      </w:r>
    </w:p>
    <w:p w14:paraId="500BF96E" w14:textId="0D790C65" w:rsidR="00EE2B64" w:rsidRPr="00D566C3" w:rsidRDefault="00EE2B64" w:rsidP="00EE2B64">
      <w:pPr>
        <w:suppressAutoHyphens/>
        <w:spacing w:after="0" w:line="276" w:lineRule="auto"/>
        <w:ind w:firstLine="709"/>
        <w:contextualSpacing/>
        <w:jc w:val="both"/>
        <w:rPr>
          <w:rFonts w:ascii="Times New Roman" w:eastAsia="Times New Roman" w:hAnsi="Times New Roman" w:cs="Times New Roman"/>
          <w:spacing w:val="-5"/>
          <w:sz w:val="26"/>
          <w:szCs w:val="26"/>
        </w:rPr>
      </w:pPr>
      <w:r w:rsidRPr="00D566C3">
        <w:rPr>
          <w:rFonts w:ascii="Times New Roman" w:eastAsia="Times New Roman" w:hAnsi="Times New Roman" w:cs="Times New Roman"/>
          <w:spacing w:val="-5"/>
          <w:sz w:val="26"/>
          <w:szCs w:val="26"/>
        </w:rPr>
        <w:t>С целью получения более корректных результатов оценки, в соответствии с текущим развитием региона и его муниципальных образований, с учетом перспективного развития территорий Воронежской области на ближайшие годы, анализ которых был представлен выше, земельные участки</w:t>
      </w:r>
      <w:r w:rsidR="00D566C3" w:rsidRPr="00D566C3">
        <w:rPr>
          <w:rFonts w:ascii="Times New Roman" w:eastAsia="Times New Roman" w:hAnsi="Times New Roman" w:cs="Times New Roman"/>
          <w:spacing w:val="-5"/>
          <w:sz w:val="26"/>
          <w:szCs w:val="26"/>
        </w:rPr>
        <w:t>,</w:t>
      </w:r>
      <w:r w:rsidRPr="00D566C3">
        <w:rPr>
          <w:rFonts w:ascii="Times New Roman" w:eastAsia="Times New Roman" w:hAnsi="Times New Roman" w:cs="Times New Roman"/>
          <w:spacing w:val="-5"/>
          <w:sz w:val="26"/>
          <w:szCs w:val="26"/>
        </w:rPr>
        <w:t xml:space="preserve"> </w:t>
      </w:r>
      <w:r w:rsidR="00D566C3" w:rsidRPr="00D566C3">
        <w:rPr>
          <w:rFonts w:ascii="Times New Roman" w:eastAsia="Times New Roman" w:hAnsi="Times New Roman" w:cs="Times New Roman"/>
          <w:spacing w:val="-5"/>
          <w:sz w:val="26"/>
          <w:szCs w:val="26"/>
        </w:rPr>
        <w:t>отнесенные к группам 13\ИЖС\СНП, 13\СОД,</w:t>
      </w:r>
      <w:r w:rsidRPr="00D566C3">
        <w:rPr>
          <w:rFonts w:ascii="Times New Roman" w:eastAsia="Times New Roman" w:hAnsi="Times New Roman" w:cs="Times New Roman"/>
          <w:spacing w:val="-5"/>
          <w:sz w:val="26"/>
          <w:szCs w:val="26"/>
        </w:rPr>
        <w:t xml:space="preserve"> также разбиты на подгруппы</w:t>
      </w:r>
      <w:r w:rsidR="00D566C3" w:rsidRPr="00D566C3">
        <w:rPr>
          <w:rFonts w:ascii="Times New Roman" w:eastAsia="Times New Roman" w:hAnsi="Times New Roman" w:cs="Times New Roman"/>
          <w:spacing w:val="-5"/>
          <w:sz w:val="26"/>
          <w:szCs w:val="26"/>
        </w:rPr>
        <w:t xml:space="preserve"> в зависимости от удаленности от областного центра (г. Воронежа)</w:t>
      </w:r>
      <w:r w:rsidR="00D566C3">
        <w:rPr>
          <w:rFonts w:ascii="Times New Roman" w:eastAsia="Times New Roman" w:hAnsi="Times New Roman" w:cs="Times New Roman"/>
          <w:spacing w:val="-5"/>
          <w:sz w:val="26"/>
          <w:szCs w:val="26"/>
        </w:rPr>
        <w:t>:</w:t>
      </w:r>
    </w:p>
    <w:p w14:paraId="1E7D91D5" w14:textId="1F611D1D" w:rsidR="00EE2B64" w:rsidRPr="00310F59" w:rsidRDefault="00EE2B64" w:rsidP="00EE2B64">
      <w:pPr>
        <w:tabs>
          <w:tab w:val="left" w:pos="993"/>
        </w:tabs>
        <w:spacing w:after="0" w:line="276" w:lineRule="auto"/>
        <w:ind w:firstLine="709"/>
        <w:contextualSpacing/>
        <w:jc w:val="both"/>
        <w:rPr>
          <w:rFonts w:ascii="Times New Roman" w:eastAsia="Times New Roman" w:hAnsi="Times New Roman" w:cs="Times New Roman"/>
          <w:spacing w:val="-5"/>
          <w:sz w:val="26"/>
          <w:szCs w:val="26"/>
        </w:rPr>
      </w:pPr>
      <w:r w:rsidRPr="00310F59">
        <w:rPr>
          <w:rFonts w:ascii="Times New Roman" w:eastAsia="Times New Roman" w:hAnsi="Times New Roman" w:cs="Times New Roman"/>
          <w:spacing w:val="-5"/>
          <w:sz w:val="26"/>
          <w:szCs w:val="26"/>
        </w:rPr>
        <w:t xml:space="preserve">- земельные участки, расположенные в сельских населенных пунктах на расстоянии до центра субъекта РФ (г. Воронеж) </w:t>
      </w:r>
      <w:r w:rsidR="007842F8">
        <w:rPr>
          <w:rFonts w:ascii="Times New Roman" w:eastAsia="Times New Roman" w:hAnsi="Times New Roman" w:cs="Times New Roman"/>
          <w:spacing w:val="-5"/>
          <w:sz w:val="26"/>
          <w:szCs w:val="26"/>
        </w:rPr>
        <w:t>ближе</w:t>
      </w:r>
      <w:r w:rsidRPr="00310F59">
        <w:rPr>
          <w:rFonts w:ascii="Times New Roman" w:eastAsia="Times New Roman" w:hAnsi="Times New Roman" w:cs="Times New Roman"/>
          <w:spacing w:val="-5"/>
          <w:sz w:val="26"/>
          <w:szCs w:val="26"/>
        </w:rPr>
        <w:t xml:space="preserve"> 60 </w:t>
      </w:r>
      <w:r w:rsidR="00300F54" w:rsidRPr="00310F59">
        <w:rPr>
          <w:rFonts w:ascii="Times New Roman" w:eastAsia="Times New Roman" w:hAnsi="Times New Roman" w:cs="Times New Roman"/>
          <w:spacing w:val="-5"/>
          <w:sz w:val="26"/>
          <w:szCs w:val="26"/>
        </w:rPr>
        <w:t>км включительно (</w:t>
      </w:r>
      <w:r w:rsidRPr="00310F59">
        <w:rPr>
          <w:rFonts w:ascii="Times New Roman" w:eastAsia="Times New Roman" w:hAnsi="Times New Roman" w:cs="Times New Roman"/>
          <w:spacing w:val="-5"/>
          <w:sz w:val="26"/>
          <w:szCs w:val="26"/>
        </w:rPr>
        <w:t>СНП)</w:t>
      </w:r>
      <w:r w:rsidR="004E70E4">
        <w:rPr>
          <w:rFonts w:ascii="Times New Roman" w:eastAsia="Times New Roman" w:hAnsi="Times New Roman" w:cs="Times New Roman"/>
          <w:spacing w:val="-5"/>
          <w:sz w:val="26"/>
          <w:szCs w:val="26"/>
        </w:rPr>
        <w:t xml:space="preserve"> – «</w:t>
      </w:r>
      <w:r w:rsidR="004E70E4" w:rsidRPr="004E70E4">
        <w:rPr>
          <w:rFonts w:ascii="Times New Roman" w:eastAsia="Times New Roman" w:hAnsi="Times New Roman" w:cs="Times New Roman"/>
          <w:spacing w:val="-5"/>
          <w:sz w:val="26"/>
          <w:szCs w:val="26"/>
        </w:rPr>
        <w:t>Ближе 60 км</w:t>
      </w:r>
      <w:r w:rsidR="004E70E4">
        <w:rPr>
          <w:rFonts w:ascii="Times New Roman" w:eastAsia="Times New Roman" w:hAnsi="Times New Roman" w:cs="Times New Roman"/>
          <w:spacing w:val="-5"/>
          <w:sz w:val="26"/>
          <w:szCs w:val="26"/>
        </w:rPr>
        <w:t>»;</w:t>
      </w:r>
    </w:p>
    <w:p w14:paraId="52505AFD" w14:textId="1734AB98" w:rsidR="00EE2B64" w:rsidRPr="00310F59" w:rsidRDefault="00EE2B64" w:rsidP="00EE2B64">
      <w:pPr>
        <w:tabs>
          <w:tab w:val="left" w:pos="993"/>
        </w:tabs>
        <w:spacing w:after="0" w:line="276" w:lineRule="auto"/>
        <w:ind w:firstLine="709"/>
        <w:contextualSpacing/>
        <w:jc w:val="both"/>
        <w:rPr>
          <w:rFonts w:ascii="Times New Roman" w:eastAsia="Times New Roman" w:hAnsi="Times New Roman" w:cs="Times New Roman"/>
          <w:spacing w:val="-5"/>
          <w:sz w:val="26"/>
          <w:szCs w:val="26"/>
        </w:rPr>
      </w:pPr>
      <w:r w:rsidRPr="00310F59">
        <w:rPr>
          <w:rFonts w:ascii="Times New Roman" w:eastAsia="Times New Roman" w:hAnsi="Times New Roman" w:cs="Times New Roman"/>
          <w:spacing w:val="-5"/>
          <w:sz w:val="26"/>
          <w:szCs w:val="26"/>
        </w:rPr>
        <w:t xml:space="preserve">- земельные участки, расположенные в сельских населенных пунктах на расстоянии до центра субъекта РФ (г. Воронеж) </w:t>
      </w:r>
      <w:r w:rsidR="007842F8">
        <w:rPr>
          <w:rFonts w:ascii="Times New Roman" w:eastAsia="Times New Roman" w:hAnsi="Times New Roman" w:cs="Times New Roman"/>
          <w:spacing w:val="-5"/>
          <w:sz w:val="26"/>
          <w:szCs w:val="26"/>
        </w:rPr>
        <w:t>дальше</w:t>
      </w:r>
      <w:r w:rsidRPr="00310F59">
        <w:rPr>
          <w:rFonts w:ascii="Times New Roman" w:eastAsia="Times New Roman" w:hAnsi="Times New Roman" w:cs="Times New Roman"/>
          <w:spacing w:val="-5"/>
          <w:sz w:val="26"/>
          <w:szCs w:val="26"/>
        </w:rPr>
        <w:t xml:space="preserve"> 60 км (СНП)</w:t>
      </w:r>
      <w:r w:rsidR="004E70E4">
        <w:rPr>
          <w:rFonts w:ascii="Times New Roman" w:eastAsia="Times New Roman" w:hAnsi="Times New Roman" w:cs="Times New Roman"/>
          <w:spacing w:val="-5"/>
          <w:sz w:val="26"/>
          <w:szCs w:val="26"/>
        </w:rPr>
        <w:t xml:space="preserve"> – «</w:t>
      </w:r>
      <w:r w:rsidR="004E70E4" w:rsidRPr="004E70E4">
        <w:rPr>
          <w:rFonts w:ascii="Times New Roman" w:eastAsia="Times New Roman" w:hAnsi="Times New Roman" w:cs="Times New Roman"/>
          <w:spacing w:val="-5"/>
          <w:sz w:val="26"/>
          <w:szCs w:val="26"/>
        </w:rPr>
        <w:t>Дальше 60 км</w:t>
      </w:r>
      <w:r w:rsidR="004E70E4">
        <w:rPr>
          <w:rFonts w:ascii="Times New Roman" w:eastAsia="Times New Roman" w:hAnsi="Times New Roman" w:cs="Times New Roman"/>
          <w:spacing w:val="-5"/>
          <w:sz w:val="26"/>
          <w:szCs w:val="26"/>
        </w:rPr>
        <w:t>»;</w:t>
      </w:r>
    </w:p>
    <w:p w14:paraId="571E405D" w14:textId="11D82920" w:rsidR="009D556F" w:rsidRPr="00262270" w:rsidRDefault="009D556F" w:rsidP="009D556F">
      <w:pPr>
        <w:spacing w:after="0" w:line="276" w:lineRule="auto"/>
        <w:ind w:firstLine="709"/>
        <w:contextualSpacing/>
        <w:jc w:val="both"/>
        <w:rPr>
          <w:rFonts w:ascii="Times New Roman" w:eastAsia="Times New Roman" w:hAnsi="Times New Roman" w:cs="Times New Roman"/>
          <w:spacing w:val="-5"/>
          <w:sz w:val="26"/>
          <w:szCs w:val="26"/>
        </w:rPr>
      </w:pPr>
      <w:r w:rsidRPr="009D556F">
        <w:rPr>
          <w:rFonts w:ascii="Times New Roman" w:eastAsia="Times New Roman" w:hAnsi="Times New Roman" w:cs="Times New Roman"/>
          <w:spacing w:val="-5"/>
          <w:sz w:val="26"/>
          <w:szCs w:val="26"/>
        </w:rPr>
        <w:t xml:space="preserve">- </w:t>
      </w:r>
      <w:r w:rsidRPr="00262270">
        <w:rPr>
          <w:rFonts w:ascii="Times New Roman" w:eastAsia="Times New Roman" w:hAnsi="Times New Roman" w:cs="Times New Roman"/>
          <w:spacing w:val="-5"/>
          <w:sz w:val="26"/>
          <w:szCs w:val="26"/>
        </w:rPr>
        <w:t>земельные участки, расположенные на территории дачных, садоводческих объединений,</w:t>
      </w:r>
      <w:r w:rsidR="004E70E4">
        <w:rPr>
          <w:rFonts w:ascii="Times New Roman" w:eastAsia="Times New Roman" w:hAnsi="Times New Roman" w:cs="Times New Roman"/>
          <w:spacing w:val="-5"/>
          <w:sz w:val="26"/>
          <w:szCs w:val="26"/>
        </w:rPr>
        <w:t xml:space="preserve"> </w:t>
      </w:r>
      <w:r w:rsidR="004E70E4" w:rsidRPr="00F562A8">
        <w:rPr>
          <w:rFonts w:ascii="Times New Roman" w:hAnsi="Times New Roman" w:cs="Times New Roman"/>
          <w:sz w:val="26"/>
          <w:szCs w:val="26"/>
        </w:rPr>
        <w:t xml:space="preserve">расположенных в </w:t>
      </w:r>
      <w:r w:rsidR="004E70E4">
        <w:rPr>
          <w:rFonts w:ascii="Times New Roman" w:hAnsi="Times New Roman" w:cs="Times New Roman"/>
          <w:sz w:val="26"/>
          <w:szCs w:val="26"/>
        </w:rPr>
        <w:t>Новоусманском, Рамонском Семилукском</w:t>
      </w:r>
      <w:r w:rsidR="004E70E4" w:rsidRPr="00F562A8">
        <w:rPr>
          <w:rFonts w:ascii="Times New Roman" w:hAnsi="Times New Roman" w:cs="Times New Roman"/>
          <w:sz w:val="26"/>
          <w:szCs w:val="26"/>
        </w:rPr>
        <w:t xml:space="preserve"> </w:t>
      </w:r>
      <w:r w:rsidR="004E70E4">
        <w:rPr>
          <w:rFonts w:ascii="Times New Roman" w:hAnsi="Times New Roman" w:cs="Times New Roman"/>
          <w:sz w:val="26"/>
          <w:szCs w:val="26"/>
        </w:rPr>
        <w:t xml:space="preserve">районах и г. Нововоронеж Воронежской </w:t>
      </w:r>
      <w:r w:rsidR="004E70E4" w:rsidRPr="00F562A8">
        <w:rPr>
          <w:rFonts w:ascii="Times New Roman" w:hAnsi="Times New Roman" w:cs="Times New Roman"/>
          <w:sz w:val="26"/>
          <w:szCs w:val="26"/>
        </w:rPr>
        <w:t>области</w:t>
      </w:r>
      <w:r w:rsidR="004E70E4">
        <w:rPr>
          <w:rFonts w:ascii="Times New Roman" w:hAnsi="Times New Roman" w:cs="Times New Roman"/>
          <w:sz w:val="26"/>
          <w:szCs w:val="26"/>
        </w:rPr>
        <w:t>, территориальных единицах, находящихся в ближейшем окружении г. Воронежа – «</w:t>
      </w:r>
      <w:r w:rsidR="004E70E4" w:rsidRPr="004E70E4">
        <w:rPr>
          <w:rFonts w:ascii="Times New Roman" w:hAnsi="Times New Roman" w:cs="Times New Roman"/>
          <w:sz w:val="26"/>
          <w:szCs w:val="26"/>
        </w:rPr>
        <w:t>1 группа</w:t>
      </w:r>
      <w:r w:rsidR="004E70E4">
        <w:rPr>
          <w:rFonts w:ascii="Times New Roman" w:hAnsi="Times New Roman" w:cs="Times New Roman"/>
          <w:sz w:val="26"/>
          <w:szCs w:val="26"/>
        </w:rPr>
        <w:t>»;</w:t>
      </w:r>
    </w:p>
    <w:p w14:paraId="7C5E537D" w14:textId="59826B61" w:rsidR="002A554B" w:rsidRPr="00262270" w:rsidRDefault="002A554B" w:rsidP="002A554B">
      <w:pPr>
        <w:spacing w:after="0" w:line="276" w:lineRule="auto"/>
        <w:ind w:firstLine="709"/>
        <w:contextualSpacing/>
        <w:jc w:val="both"/>
        <w:rPr>
          <w:rFonts w:ascii="Times New Roman" w:eastAsia="Times New Roman" w:hAnsi="Times New Roman" w:cs="Times New Roman"/>
          <w:spacing w:val="-5"/>
          <w:sz w:val="26"/>
          <w:szCs w:val="26"/>
        </w:rPr>
      </w:pPr>
      <w:r w:rsidRPr="009D556F">
        <w:rPr>
          <w:rFonts w:ascii="Times New Roman" w:eastAsia="Times New Roman" w:hAnsi="Times New Roman" w:cs="Times New Roman"/>
          <w:spacing w:val="-5"/>
          <w:sz w:val="26"/>
          <w:szCs w:val="26"/>
        </w:rPr>
        <w:t xml:space="preserve">- </w:t>
      </w:r>
      <w:r w:rsidRPr="00262270">
        <w:rPr>
          <w:rFonts w:ascii="Times New Roman" w:eastAsia="Times New Roman" w:hAnsi="Times New Roman" w:cs="Times New Roman"/>
          <w:spacing w:val="-5"/>
          <w:sz w:val="26"/>
          <w:szCs w:val="26"/>
        </w:rPr>
        <w:t>земельные участки, расположенные на территории дачных, садоводческих объединений,</w:t>
      </w:r>
      <w:r>
        <w:rPr>
          <w:rFonts w:ascii="Times New Roman" w:eastAsia="Times New Roman" w:hAnsi="Times New Roman" w:cs="Times New Roman"/>
          <w:spacing w:val="-5"/>
          <w:sz w:val="26"/>
          <w:szCs w:val="26"/>
        </w:rPr>
        <w:t xml:space="preserve"> </w:t>
      </w:r>
      <w:r w:rsidRPr="00F562A8">
        <w:rPr>
          <w:rFonts w:ascii="Times New Roman" w:hAnsi="Times New Roman" w:cs="Times New Roman"/>
          <w:sz w:val="26"/>
          <w:szCs w:val="26"/>
        </w:rPr>
        <w:t xml:space="preserve">расположенных </w:t>
      </w:r>
      <w:r>
        <w:rPr>
          <w:rFonts w:ascii="Times New Roman" w:hAnsi="Times New Roman" w:cs="Times New Roman"/>
          <w:sz w:val="26"/>
          <w:szCs w:val="26"/>
        </w:rPr>
        <w:t>на удаленности от областного центра г. Воронежа – «2</w:t>
      </w:r>
      <w:r w:rsidRPr="004E70E4">
        <w:rPr>
          <w:rFonts w:ascii="Times New Roman" w:hAnsi="Times New Roman" w:cs="Times New Roman"/>
          <w:sz w:val="26"/>
          <w:szCs w:val="26"/>
        </w:rPr>
        <w:t xml:space="preserve"> группа</w:t>
      </w:r>
      <w:r>
        <w:rPr>
          <w:rFonts w:ascii="Times New Roman" w:hAnsi="Times New Roman" w:cs="Times New Roman"/>
          <w:sz w:val="26"/>
          <w:szCs w:val="26"/>
        </w:rPr>
        <w:t>».</w:t>
      </w:r>
    </w:p>
    <w:p w14:paraId="6FBF881B" w14:textId="3D233BEF" w:rsidR="00EE2B64" w:rsidRPr="00060F44" w:rsidRDefault="00EE2B64" w:rsidP="00EE2B64">
      <w:pPr>
        <w:spacing w:after="0" w:line="276" w:lineRule="auto"/>
        <w:ind w:firstLine="709"/>
        <w:contextualSpacing/>
        <w:jc w:val="both"/>
        <w:rPr>
          <w:rFonts w:ascii="Times New Roman" w:eastAsia="Times New Roman" w:hAnsi="Times New Roman" w:cs="Times New Roman"/>
          <w:spacing w:val="-5"/>
          <w:sz w:val="26"/>
          <w:szCs w:val="26"/>
        </w:rPr>
      </w:pPr>
      <w:r w:rsidRPr="00060F44">
        <w:rPr>
          <w:rFonts w:ascii="Times New Roman" w:eastAsia="Times New Roman" w:hAnsi="Times New Roman" w:cs="Times New Roman"/>
          <w:spacing w:val="-5"/>
          <w:sz w:val="26"/>
          <w:szCs w:val="26"/>
        </w:rPr>
        <w:t>Представленная группировка позволяет объединить земельные участки по общности признаков со схожими принципами ценообразования.</w:t>
      </w:r>
    </w:p>
    <w:p w14:paraId="26DD2B01" w14:textId="24890AF4" w:rsidR="002F2198" w:rsidRDefault="00854F77" w:rsidP="002F2198">
      <w:pPr>
        <w:spacing w:after="0" w:line="276" w:lineRule="auto"/>
        <w:ind w:firstLine="709"/>
        <w:contextualSpacing/>
        <w:jc w:val="both"/>
        <w:rPr>
          <w:rFonts w:ascii="Times New Roman" w:eastAsia="Times New Roman" w:hAnsi="Times New Roman" w:cs="Times New Roman"/>
          <w:spacing w:val="-5"/>
          <w:sz w:val="26"/>
          <w:szCs w:val="26"/>
        </w:rPr>
      </w:pPr>
      <w:r>
        <w:rPr>
          <w:rFonts w:ascii="Times New Roman" w:eastAsia="Times New Roman" w:hAnsi="Times New Roman" w:cs="Times New Roman"/>
          <w:spacing w:val="-5"/>
          <w:sz w:val="26"/>
          <w:szCs w:val="26"/>
        </w:rPr>
        <w:t>В</w:t>
      </w:r>
      <w:r w:rsidR="00FE4287" w:rsidRPr="00FE4287">
        <w:rPr>
          <w:rFonts w:ascii="Times New Roman" w:eastAsia="Times New Roman" w:hAnsi="Times New Roman" w:cs="Times New Roman"/>
          <w:spacing w:val="-5"/>
          <w:sz w:val="26"/>
          <w:szCs w:val="26"/>
        </w:rPr>
        <w:t xml:space="preserve"> </w:t>
      </w:r>
      <w:r w:rsidR="00FE4287">
        <w:rPr>
          <w:rFonts w:ascii="Times New Roman" w:eastAsia="Times New Roman" w:hAnsi="Times New Roman" w:cs="Times New Roman"/>
          <w:spacing w:val="-5"/>
          <w:sz w:val="26"/>
          <w:szCs w:val="26"/>
        </w:rPr>
        <w:t xml:space="preserve">таблице </w:t>
      </w:r>
      <w:r w:rsidR="000B0C76">
        <w:rPr>
          <w:rFonts w:ascii="Times New Roman" w:eastAsia="Times New Roman" w:hAnsi="Times New Roman" w:cs="Times New Roman"/>
          <w:spacing w:val="-5"/>
          <w:sz w:val="26"/>
          <w:szCs w:val="26"/>
        </w:rPr>
        <w:t>3.3.2.1 и</w:t>
      </w:r>
      <w:r w:rsidR="00FE4287">
        <w:rPr>
          <w:rFonts w:ascii="Times New Roman" w:eastAsia="Times New Roman" w:hAnsi="Times New Roman" w:cs="Times New Roman"/>
          <w:spacing w:val="-5"/>
          <w:sz w:val="26"/>
          <w:szCs w:val="26"/>
        </w:rPr>
        <w:t xml:space="preserve"> на</w:t>
      </w:r>
      <w:r w:rsidR="002F2198">
        <w:rPr>
          <w:rFonts w:ascii="Times New Roman" w:eastAsia="Times New Roman" w:hAnsi="Times New Roman" w:cs="Times New Roman"/>
          <w:spacing w:val="-5"/>
          <w:sz w:val="26"/>
          <w:szCs w:val="26"/>
        </w:rPr>
        <w:t xml:space="preserve"> рисунке 3.3.2.1 отражено распределение количества земельных участков в разрезе категорий земель, определенных в соответствии со ст. 7 Земельного кодекса РФ от 25.10.2001 № 136-ФЗ.</w:t>
      </w:r>
    </w:p>
    <w:p w14:paraId="4BF191F4" w14:textId="77777777" w:rsidR="003A4F26" w:rsidRDefault="003A4F26" w:rsidP="002F2198">
      <w:pPr>
        <w:spacing w:after="0" w:line="276" w:lineRule="auto"/>
        <w:ind w:firstLine="709"/>
        <w:contextualSpacing/>
        <w:jc w:val="right"/>
        <w:rPr>
          <w:rFonts w:ascii="Times New Roman" w:eastAsia="Times New Roman" w:hAnsi="Times New Roman" w:cs="Times New Roman"/>
          <w:spacing w:val="-5"/>
          <w:sz w:val="26"/>
          <w:szCs w:val="26"/>
        </w:rPr>
      </w:pPr>
    </w:p>
    <w:p w14:paraId="7B4D93A0" w14:textId="77777777" w:rsidR="003A4F26" w:rsidRDefault="003A4F26" w:rsidP="002F2198">
      <w:pPr>
        <w:spacing w:after="0" w:line="276" w:lineRule="auto"/>
        <w:ind w:firstLine="709"/>
        <w:contextualSpacing/>
        <w:jc w:val="right"/>
        <w:rPr>
          <w:rFonts w:ascii="Times New Roman" w:eastAsia="Times New Roman" w:hAnsi="Times New Roman" w:cs="Times New Roman"/>
          <w:spacing w:val="-5"/>
          <w:sz w:val="26"/>
          <w:szCs w:val="26"/>
        </w:rPr>
      </w:pPr>
    </w:p>
    <w:p w14:paraId="0DC7910B" w14:textId="77DD2E7E" w:rsidR="002F2198" w:rsidRPr="00F562A8" w:rsidRDefault="002F2198" w:rsidP="002F2198">
      <w:pPr>
        <w:spacing w:after="0" w:line="276" w:lineRule="auto"/>
        <w:ind w:firstLine="709"/>
        <w:contextualSpacing/>
        <w:jc w:val="right"/>
        <w:rPr>
          <w:rFonts w:ascii="Times New Roman" w:eastAsia="Times New Roman" w:hAnsi="Times New Roman" w:cs="Times New Roman"/>
          <w:spacing w:val="-5"/>
          <w:sz w:val="26"/>
          <w:szCs w:val="26"/>
        </w:rPr>
      </w:pPr>
      <w:r w:rsidRPr="00A75155">
        <w:rPr>
          <w:rFonts w:ascii="Times New Roman" w:eastAsia="Times New Roman" w:hAnsi="Times New Roman" w:cs="Times New Roman"/>
          <w:spacing w:val="-5"/>
          <w:sz w:val="26"/>
          <w:szCs w:val="26"/>
        </w:rPr>
        <w:t>Таблица 3.3.2.1</w:t>
      </w:r>
    </w:p>
    <w:p w14:paraId="3C141801"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 w:val="26"/>
          <w:szCs w:val="26"/>
        </w:rPr>
      </w:pPr>
      <w:r w:rsidRPr="00F562A8">
        <w:rPr>
          <w:rFonts w:ascii="Times New Roman" w:eastAsia="Times New Roman" w:hAnsi="Times New Roman" w:cs="Times New Roman"/>
          <w:spacing w:val="-5"/>
          <w:sz w:val="26"/>
          <w:szCs w:val="26"/>
        </w:rPr>
        <w:t>Количест</w:t>
      </w:r>
      <w:r w:rsidRPr="007372A1">
        <w:rPr>
          <w:rFonts w:ascii="Times New Roman" w:eastAsia="Times New Roman" w:hAnsi="Times New Roman" w:cs="Times New Roman"/>
          <w:spacing w:val="-5"/>
          <w:sz w:val="26"/>
          <w:szCs w:val="26"/>
        </w:rPr>
        <w:t>во оцениваемых земельных участков в разрезе категорий земель</w:t>
      </w:r>
    </w:p>
    <w:tbl>
      <w:tblPr>
        <w:tblW w:w="9369" w:type="dxa"/>
        <w:tblLook w:val="04A0" w:firstRow="1" w:lastRow="0" w:firstColumn="1" w:lastColumn="0" w:noHBand="0" w:noVBand="1"/>
      </w:tblPr>
      <w:tblGrid>
        <w:gridCol w:w="5949"/>
        <w:gridCol w:w="3420"/>
      </w:tblGrid>
      <w:tr w:rsidR="002F2198" w:rsidRPr="007372A1" w14:paraId="2D1C336A" w14:textId="77777777" w:rsidTr="00AE6F68">
        <w:trPr>
          <w:trHeight w:val="300"/>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9E9C35D" w14:textId="77777777" w:rsidR="002F2198" w:rsidRPr="007372A1" w:rsidRDefault="002F2198" w:rsidP="002F2198">
            <w:pPr>
              <w:spacing w:after="0" w:line="276" w:lineRule="auto"/>
              <w:contextualSpacing/>
              <w:jc w:val="center"/>
              <w:rPr>
                <w:rFonts w:ascii="Times New Roman" w:eastAsia="Times New Roman" w:hAnsi="Times New Roman" w:cs="Times New Roman"/>
                <w:b/>
                <w:spacing w:val="-5"/>
                <w:szCs w:val="20"/>
              </w:rPr>
            </w:pPr>
            <w:r w:rsidRPr="007372A1">
              <w:rPr>
                <w:rFonts w:ascii="Times New Roman" w:eastAsia="Times New Roman" w:hAnsi="Times New Roman" w:cs="Times New Roman"/>
                <w:b/>
                <w:spacing w:val="-5"/>
                <w:szCs w:val="20"/>
              </w:rPr>
              <w:br w:type="page"/>
              <w:t>Категория земель</w:t>
            </w:r>
          </w:p>
        </w:tc>
        <w:tc>
          <w:tcPr>
            <w:tcW w:w="3420" w:type="dxa"/>
            <w:tcBorders>
              <w:top w:val="single" w:sz="4" w:space="0" w:color="auto"/>
              <w:left w:val="nil"/>
              <w:bottom w:val="single" w:sz="4" w:space="0" w:color="auto"/>
              <w:right w:val="single" w:sz="4" w:space="0" w:color="auto"/>
            </w:tcBorders>
            <w:noWrap/>
            <w:vAlign w:val="bottom"/>
            <w:hideMark/>
          </w:tcPr>
          <w:p w14:paraId="47F8C14B" w14:textId="77777777" w:rsidR="002F2198" w:rsidRPr="007372A1" w:rsidRDefault="002F2198" w:rsidP="002F2198">
            <w:pPr>
              <w:spacing w:after="0" w:line="276" w:lineRule="auto"/>
              <w:contextualSpacing/>
              <w:jc w:val="center"/>
              <w:rPr>
                <w:rFonts w:ascii="Times New Roman" w:eastAsia="Times New Roman" w:hAnsi="Times New Roman" w:cs="Times New Roman"/>
                <w:b/>
                <w:spacing w:val="-5"/>
                <w:szCs w:val="20"/>
              </w:rPr>
            </w:pPr>
            <w:r w:rsidRPr="007372A1">
              <w:rPr>
                <w:rFonts w:ascii="Times New Roman" w:eastAsia="Times New Roman" w:hAnsi="Times New Roman" w:cs="Times New Roman"/>
                <w:b/>
                <w:spacing w:val="-5"/>
                <w:szCs w:val="20"/>
              </w:rPr>
              <w:t>Количество ЗУ, шт.</w:t>
            </w:r>
          </w:p>
        </w:tc>
      </w:tr>
      <w:tr w:rsidR="002F2198" w:rsidRPr="007372A1" w14:paraId="18DE9E35" w14:textId="77777777" w:rsidTr="00AE6F68">
        <w:trPr>
          <w:trHeight w:val="300"/>
        </w:trPr>
        <w:tc>
          <w:tcPr>
            <w:tcW w:w="5949" w:type="dxa"/>
            <w:tcBorders>
              <w:top w:val="nil"/>
              <w:left w:val="single" w:sz="4" w:space="0" w:color="auto"/>
              <w:bottom w:val="single" w:sz="4" w:space="0" w:color="auto"/>
              <w:right w:val="single" w:sz="4" w:space="0" w:color="auto"/>
            </w:tcBorders>
            <w:noWrap/>
            <w:vAlign w:val="bottom"/>
          </w:tcPr>
          <w:p w14:paraId="2DED22D4"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Cs w:val="20"/>
              </w:rPr>
            </w:pPr>
            <w:r w:rsidRPr="007372A1">
              <w:rPr>
                <w:rFonts w:ascii="Times New Roman" w:eastAsia="Times New Roman" w:hAnsi="Times New Roman" w:cs="Times New Roman"/>
                <w:spacing w:val="-5"/>
                <w:szCs w:val="20"/>
              </w:rPr>
              <w:t>Земли </w:t>
            </w:r>
            <w:hyperlink r:id="rId145" w:anchor="dst100619" w:history="1">
              <w:r w:rsidRPr="007372A1">
                <w:rPr>
                  <w:rFonts w:ascii="Times New Roman" w:eastAsia="Times New Roman" w:hAnsi="Times New Roman" w:cs="Times New Roman"/>
                  <w:spacing w:val="-5"/>
                  <w:szCs w:val="20"/>
                </w:rPr>
                <w:t>сельскохозяйственного назначения</w:t>
              </w:r>
            </w:hyperlink>
            <w:r w:rsidRPr="007372A1">
              <w:rPr>
                <w:rFonts w:ascii="Times New Roman" w:eastAsia="Times New Roman" w:hAnsi="Times New Roman" w:cs="Times New Roman"/>
                <w:spacing w:val="-5"/>
                <w:szCs w:val="20"/>
              </w:rPr>
              <w:t>;</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DF721"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Cs w:val="20"/>
              </w:rPr>
            </w:pPr>
            <w:r w:rsidRPr="007372A1">
              <w:rPr>
                <w:rFonts w:ascii="Times New Roman" w:hAnsi="Times New Roman" w:cs="Times New Roman"/>
                <w:color w:val="000000"/>
              </w:rPr>
              <w:t>279 544</w:t>
            </w:r>
          </w:p>
        </w:tc>
      </w:tr>
      <w:tr w:rsidR="002F2198" w:rsidRPr="007372A1" w14:paraId="2FDFA6E5" w14:textId="77777777" w:rsidTr="00AE6F68">
        <w:trPr>
          <w:trHeight w:val="300"/>
        </w:trPr>
        <w:tc>
          <w:tcPr>
            <w:tcW w:w="5949" w:type="dxa"/>
            <w:tcBorders>
              <w:top w:val="nil"/>
              <w:left w:val="single" w:sz="4" w:space="0" w:color="auto"/>
              <w:bottom w:val="single" w:sz="4" w:space="0" w:color="auto"/>
              <w:right w:val="single" w:sz="4" w:space="0" w:color="auto"/>
            </w:tcBorders>
            <w:noWrap/>
            <w:vAlign w:val="bottom"/>
          </w:tcPr>
          <w:p w14:paraId="2F681C6A"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Cs w:val="20"/>
              </w:rPr>
            </w:pPr>
            <w:r w:rsidRPr="007372A1">
              <w:rPr>
                <w:rFonts w:ascii="Times New Roman" w:eastAsia="Times New Roman" w:hAnsi="Times New Roman" w:cs="Times New Roman"/>
                <w:spacing w:val="-5"/>
                <w:szCs w:val="20"/>
              </w:rPr>
              <w:t xml:space="preserve">Земли </w:t>
            </w:r>
            <w:hyperlink r:id="rId146" w:anchor="dst57" w:history="1">
              <w:r w:rsidRPr="007372A1">
                <w:rPr>
                  <w:rFonts w:ascii="Times New Roman" w:eastAsia="Times New Roman" w:hAnsi="Times New Roman" w:cs="Times New Roman"/>
                  <w:spacing w:val="-5"/>
                  <w:szCs w:val="20"/>
                </w:rPr>
                <w:t>населенных пунктов</w:t>
              </w:r>
            </w:hyperlink>
            <w:r w:rsidRPr="007372A1">
              <w:rPr>
                <w:rFonts w:ascii="Times New Roman" w:eastAsia="Times New Roman" w:hAnsi="Times New Roman" w:cs="Times New Roman"/>
                <w:spacing w:val="-5"/>
                <w:szCs w:val="20"/>
              </w:rPr>
              <w:t>;</w:t>
            </w:r>
          </w:p>
        </w:tc>
        <w:tc>
          <w:tcPr>
            <w:tcW w:w="3420" w:type="dxa"/>
            <w:tcBorders>
              <w:top w:val="nil"/>
              <w:left w:val="single" w:sz="4" w:space="0" w:color="auto"/>
              <w:bottom w:val="single" w:sz="4" w:space="0" w:color="auto"/>
              <w:right w:val="single" w:sz="4" w:space="0" w:color="auto"/>
            </w:tcBorders>
            <w:shd w:val="clear" w:color="auto" w:fill="auto"/>
            <w:noWrap/>
            <w:vAlign w:val="center"/>
          </w:tcPr>
          <w:p w14:paraId="4816DB16"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Cs w:val="20"/>
              </w:rPr>
            </w:pPr>
            <w:r w:rsidRPr="007372A1">
              <w:rPr>
                <w:rFonts w:ascii="Times New Roman" w:hAnsi="Times New Roman" w:cs="Times New Roman"/>
                <w:color w:val="000000"/>
              </w:rPr>
              <w:t>913 14</w:t>
            </w:r>
            <w:r>
              <w:rPr>
                <w:rFonts w:ascii="Times New Roman" w:hAnsi="Times New Roman" w:cs="Times New Roman"/>
                <w:color w:val="000000"/>
              </w:rPr>
              <w:t>3</w:t>
            </w:r>
          </w:p>
        </w:tc>
      </w:tr>
      <w:tr w:rsidR="002F2198" w:rsidRPr="007372A1" w14:paraId="2CEEE60C" w14:textId="77777777" w:rsidTr="00AE6F68">
        <w:trPr>
          <w:trHeight w:val="300"/>
        </w:trPr>
        <w:tc>
          <w:tcPr>
            <w:tcW w:w="5949" w:type="dxa"/>
            <w:tcBorders>
              <w:top w:val="nil"/>
              <w:left w:val="single" w:sz="4" w:space="0" w:color="auto"/>
              <w:bottom w:val="single" w:sz="4" w:space="0" w:color="auto"/>
              <w:right w:val="single" w:sz="4" w:space="0" w:color="auto"/>
            </w:tcBorders>
            <w:noWrap/>
            <w:vAlign w:val="bottom"/>
          </w:tcPr>
          <w:p w14:paraId="3212791B"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Cs w:val="20"/>
              </w:rPr>
            </w:pPr>
            <w:r w:rsidRPr="007372A1">
              <w:rPr>
                <w:rFonts w:ascii="Times New Roman" w:eastAsia="Times New Roman" w:hAnsi="Times New Roman" w:cs="Times New Roman"/>
                <w:spacing w:val="-5"/>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420" w:type="dxa"/>
            <w:tcBorders>
              <w:top w:val="nil"/>
              <w:left w:val="single" w:sz="4" w:space="0" w:color="auto"/>
              <w:bottom w:val="single" w:sz="4" w:space="0" w:color="auto"/>
              <w:right w:val="single" w:sz="4" w:space="0" w:color="auto"/>
            </w:tcBorders>
            <w:shd w:val="clear" w:color="auto" w:fill="auto"/>
            <w:noWrap/>
            <w:vAlign w:val="center"/>
          </w:tcPr>
          <w:p w14:paraId="09BCD974"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Cs w:val="20"/>
              </w:rPr>
            </w:pPr>
            <w:r w:rsidRPr="007372A1">
              <w:rPr>
                <w:rFonts w:ascii="Times New Roman" w:hAnsi="Times New Roman" w:cs="Times New Roman"/>
                <w:color w:val="000000"/>
              </w:rPr>
              <w:t>9 975</w:t>
            </w:r>
          </w:p>
        </w:tc>
      </w:tr>
      <w:tr w:rsidR="002F2198" w:rsidRPr="007372A1" w14:paraId="5D2E2451" w14:textId="77777777" w:rsidTr="00AE6F68">
        <w:trPr>
          <w:trHeight w:val="300"/>
        </w:trPr>
        <w:tc>
          <w:tcPr>
            <w:tcW w:w="5949" w:type="dxa"/>
            <w:tcBorders>
              <w:top w:val="nil"/>
              <w:left w:val="single" w:sz="4" w:space="0" w:color="auto"/>
              <w:bottom w:val="single" w:sz="4" w:space="0" w:color="auto"/>
              <w:right w:val="single" w:sz="4" w:space="0" w:color="auto"/>
            </w:tcBorders>
            <w:noWrap/>
            <w:vAlign w:val="bottom"/>
          </w:tcPr>
          <w:p w14:paraId="63FC28F5"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Cs w:val="20"/>
              </w:rPr>
            </w:pPr>
            <w:r w:rsidRPr="007372A1">
              <w:rPr>
                <w:rFonts w:ascii="Times New Roman" w:eastAsia="Times New Roman" w:hAnsi="Times New Roman" w:cs="Times New Roman"/>
                <w:spacing w:val="-5"/>
                <w:szCs w:val="20"/>
              </w:rPr>
              <w:t>Земли особо охраняемых </w:t>
            </w:r>
            <w:hyperlink r:id="rId147" w:anchor="dst100800" w:history="1">
              <w:r w:rsidRPr="007372A1">
                <w:rPr>
                  <w:rFonts w:ascii="Times New Roman" w:eastAsia="Times New Roman" w:hAnsi="Times New Roman" w:cs="Times New Roman"/>
                  <w:spacing w:val="-5"/>
                  <w:szCs w:val="20"/>
                </w:rPr>
                <w:t>территорий и объектов</w:t>
              </w:r>
            </w:hyperlink>
            <w:r w:rsidRPr="007372A1">
              <w:rPr>
                <w:rFonts w:ascii="Times New Roman" w:eastAsia="Times New Roman" w:hAnsi="Times New Roman" w:cs="Times New Roman"/>
                <w:spacing w:val="-5"/>
                <w:szCs w:val="20"/>
              </w:rPr>
              <w:t>;</w:t>
            </w:r>
          </w:p>
        </w:tc>
        <w:tc>
          <w:tcPr>
            <w:tcW w:w="3420" w:type="dxa"/>
            <w:tcBorders>
              <w:top w:val="nil"/>
              <w:left w:val="single" w:sz="4" w:space="0" w:color="auto"/>
              <w:bottom w:val="single" w:sz="4" w:space="0" w:color="auto"/>
              <w:right w:val="single" w:sz="4" w:space="0" w:color="auto"/>
            </w:tcBorders>
            <w:shd w:val="clear" w:color="auto" w:fill="auto"/>
            <w:noWrap/>
            <w:vAlign w:val="center"/>
          </w:tcPr>
          <w:p w14:paraId="5BBC2D99"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Cs w:val="20"/>
              </w:rPr>
            </w:pPr>
            <w:r w:rsidRPr="007372A1">
              <w:rPr>
                <w:rFonts w:ascii="Times New Roman" w:hAnsi="Times New Roman" w:cs="Times New Roman"/>
                <w:color w:val="000000"/>
              </w:rPr>
              <w:t>168</w:t>
            </w:r>
          </w:p>
        </w:tc>
      </w:tr>
      <w:tr w:rsidR="002F2198" w:rsidRPr="007372A1" w14:paraId="25EC8841" w14:textId="77777777" w:rsidTr="00AE6F68">
        <w:trPr>
          <w:trHeight w:val="300"/>
        </w:trPr>
        <w:tc>
          <w:tcPr>
            <w:tcW w:w="5949" w:type="dxa"/>
            <w:tcBorders>
              <w:top w:val="nil"/>
              <w:left w:val="single" w:sz="4" w:space="0" w:color="auto"/>
              <w:bottom w:val="single" w:sz="4" w:space="0" w:color="auto"/>
              <w:right w:val="single" w:sz="4" w:space="0" w:color="auto"/>
            </w:tcBorders>
            <w:noWrap/>
            <w:vAlign w:val="bottom"/>
          </w:tcPr>
          <w:p w14:paraId="4E341A2E"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Cs w:val="20"/>
              </w:rPr>
            </w:pPr>
            <w:r w:rsidRPr="007372A1">
              <w:rPr>
                <w:rFonts w:ascii="Times New Roman" w:eastAsia="Times New Roman" w:hAnsi="Times New Roman" w:cs="Times New Roman"/>
                <w:spacing w:val="-5"/>
                <w:szCs w:val="20"/>
              </w:rPr>
              <w:t>Земли </w:t>
            </w:r>
            <w:hyperlink r:id="rId148" w:anchor="dst100864" w:history="1">
              <w:r w:rsidRPr="007372A1">
                <w:rPr>
                  <w:rFonts w:ascii="Times New Roman" w:eastAsia="Times New Roman" w:hAnsi="Times New Roman" w:cs="Times New Roman"/>
                  <w:spacing w:val="-5"/>
                  <w:szCs w:val="20"/>
                </w:rPr>
                <w:t>лесного фонда</w:t>
              </w:r>
            </w:hyperlink>
            <w:r w:rsidRPr="007372A1">
              <w:rPr>
                <w:rFonts w:ascii="Times New Roman" w:eastAsia="Times New Roman" w:hAnsi="Times New Roman" w:cs="Times New Roman"/>
                <w:spacing w:val="-5"/>
                <w:szCs w:val="20"/>
              </w:rPr>
              <w:t>;</w:t>
            </w:r>
          </w:p>
        </w:tc>
        <w:tc>
          <w:tcPr>
            <w:tcW w:w="3420" w:type="dxa"/>
            <w:tcBorders>
              <w:top w:val="nil"/>
              <w:left w:val="single" w:sz="4" w:space="0" w:color="auto"/>
              <w:bottom w:val="single" w:sz="4" w:space="0" w:color="auto"/>
              <w:right w:val="single" w:sz="4" w:space="0" w:color="auto"/>
            </w:tcBorders>
            <w:shd w:val="clear" w:color="auto" w:fill="auto"/>
            <w:noWrap/>
            <w:vAlign w:val="center"/>
          </w:tcPr>
          <w:p w14:paraId="3FDD3FFC"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Cs w:val="20"/>
              </w:rPr>
            </w:pPr>
            <w:r w:rsidRPr="007372A1">
              <w:rPr>
                <w:rFonts w:ascii="Times New Roman" w:hAnsi="Times New Roman" w:cs="Times New Roman"/>
                <w:color w:val="000000"/>
              </w:rPr>
              <w:t>12 486</w:t>
            </w:r>
          </w:p>
        </w:tc>
      </w:tr>
      <w:tr w:rsidR="002F2198" w:rsidRPr="007372A1" w14:paraId="27FEFAFA" w14:textId="77777777" w:rsidTr="00AE6F68">
        <w:trPr>
          <w:trHeight w:val="300"/>
        </w:trPr>
        <w:tc>
          <w:tcPr>
            <w:tcW w:w="5949" w:type="dxa"/>
            <w:tcBorders>
              <w:top w:val="nil"/>
              <w:left w:val="single" w:sz="4" w:space="0" w:color="auto"/>
              <w:bottom w:val="single" w:sz="4" w:space="0" w:color="auto"/>
              <w:right w:val="single" w:sz="4" w:space="0" w:color="auto"/>
            </w:tcBorders>
            <w:noWrap/>
            <w:vAlign w:val="bottom"/>
          </w:tcPr>
          <w:p w14:paraId="7E33FA0E"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Cs w:val="20"/>
              </w:rPr>
            </w:pPr>
            <w:r w:rsidRPr="007372A1">
              <w:rPr>
                <w:rFonts w:ascii="Times New Roman" w:eastAsia="Times New Roman" w:hAnsi="Times New Roman" w:cs="Times New Roman"/>
                <w:spacing w:val="-5"/>
                <w:szCs w:val="20"/>
              </w:rPr>
              <w:t>Земли </w:t>
            </w:r>
            <w:hyperlink r:id="rId149" w:anchor="dst18" w:history="1">
              <w:r w:rsidRPr="007372A1">
                <w:rPr>
                  <w:rFonts w:ascii="Times New Roman" w:eastAsia="Times New Roman" w:hAnsi="Times New Roman" w:cs="Times New Roman"/>
                  <w:spacing w:val="-5"/>
                  <w:szCs w:val="20"/>
                </w:rPr>
                <w:t>водного фонда</w:t>
              </w:r>
            </w:hyperlink>
            <w:r w:rsidRPr="007372A1">
              <w:rPr>
                <w:rFonts w:ascii="Times New Roman" w:eastAsia="Times New Roman" w:hAnsi="Times New Roman" w:cs="Times New Roman"/>
                <w:spacing w:val="-5"/>
                <w:szCs w:val="20"/>
              </w:rPr>
              <w:t>;</w:t>
            </w:r>
          </w:p>
        </w:tc>
        <w:tc>
          <w:tcPr>
            <w:tcW w:w="3420" w:type="dxa"/>
            <w:tcBorders>
              <w:top w:val="nil"/>
              <w:left w:val="single" w:sz="4" w:space="0" w:color="auto"/>
              <w:bottom w:val="single" w:sz="4" w:space="0" w:color="auto"/>
              <w:right w:val="single" w:sz="4" w:space="0" w:color="auto"/>
            </w:tcBorders>
            <w:shd w:val="clear" w:color="auto" w:fill="auto"/>
            <w:noWrap/>
            <w:vAlign w:val="center"/>
          </w:tcPr>
          <w:p w14:paraId="2B0CE020"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Cs w:val="20"/>
              </w:rPr>
            </w:pPr>
            <w:r w:rsidRPr="007372A1">
              <w:rPr>
                <w:rFonts w:ascii="Times New Roman" w:hAnsi="Times New Roman" w:cs="Times New Roman"/>
                <w:color w:val="000000"/>
              </w:rPr>
              <w:t>57</w:t>
            </w:r>
          </w:p>
        </w:tc>
      </w:tr>
      <w:tr w:rsidR="002F2198" w:rsidRPr="007372A1" w14:paraId="21C6729D" w14:textId="77777777" w:rsidTr="00AE6F68">
        <w:trPr>
          <w:trHeight w:val="300"/>
        </w:trPr>
        <w:tc>
          <w:tcPr>
            <w:tcW w:w="5949" w:type="dxa"/>
            <w:tcBorders>
              <w:top w:val="nil"/>
              <w:left w:val="single" w:sz="4" w:space="0" w:color="auto"/>
              <w:bottom w:val="single" w:sz="4" w:space="0" w:color="auto"/>
              <w:right w:val="single" w:sz="4" w:space="0" w:color="auto"/>
            </w:tcBorders>
            <w:noWrap/>
            <w:vAlign w:val="bottom"/>
          </w:tcPr>
          <w:p w14:paraId="7BEF0A01"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Cs w:val="20"/>
              </w:rPr>
            </w:pPr>
            <w:r w:rsidRPr="007372A1">
              <w:rPr>
                <w:rFonts w:ascii="Times New Roman" w:eastAsia="Times New Roman" w:hAnsi="Times New Roman" w:cs="Times New Roman"/>
                <w:spacing w:val="-5"/>
                <w:szCs w:val="20"/>
              </w:rPr>
              <w:t>Земли </w:t>
            </w:r>
            <w:hyperlink r:id="rId150" w:anchor="dst100876" w:history="1">
              <w:r w:rsidRPr="007372A1">
                <w:rPr>
                  <w:rFonts w:ascii="Times New Roman" w:eastAsia="Times New Roman" w:hAnsi="Times New Roman" w:cs="Times New Roman"/>
                  <w:spacing w:val="-5"/>
                  <w:szCs w:val="20"/>
                </w:rPr>
                <w:t>запаса</w:t>
              </w:r>
            </w:hyperlink>
            <w:r w:rsidRPr="007372A1">
              <w:rPr>
                <w:rFonts w:ascii="Times New Roman" w:eastAsia="Times New Roman" w:hAnsi="Times New Roman" w:cs="Times New Roman"/>
                <w:spacing w:val="-5"/>
                <w:szCs w:val="20"/>
              </w:rPr>
              <w:t>.</w:t>
            </w:r>
          </w:p>
        </w:tc>
        <w:tc>
          <w:tcPr>
            <w:tcW w:w="3420" w:type="dxa"/>
            <w:tcBorders>
              <w:top w:val="nil"/>
              <w:left w:val="single" w:sz="4" w:space="0" w:color="auto"/>
              <w:bottom w:val="single" w:sz="4" w:space="0" w:color="auto"/>
              <w:right w:val="single" w:sz="4" w:space="0" w:color="auto"/>
            </w:tcBorders>
            <w:shd w:val="clear" w:color="auto" w:fill="auto"/>
            <w:noWrap/>
            <w:vAlign w:val="center"/>
          </w:tcPr>
          <w:p w14:paraId="1C5FC99E"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Cs w:val="20"/>
              </w:rPr>
            </w:pPr>
            <w:r w:rsidRPr="007372A1">
              <w:rPr>
                <w:rFonts w:ascii="Times New Roman" w:hAnsi="Times New Roman" w:cs="Times New Roman"/>
                <w:color w:val="000000"/>
              </w:rPr>
              <w:t>12</w:t>
            </w:r>
          </w:p>
        </w:tc>
      </w:tr>
      <w:tr w:rsidR="002F2198" w:rsidRPr="007372A1" w14:paraId="26F17B73" w14:textId="77777777" w:rsidTr="00AE6F68">
        <w:trPr>
          <w:trHeight w:val="300"/>
        </w:trPr>
        <w:tc>
          <w:tcPr>
            <w:tcW w:w="5949" w:type="dxa"/>
            <w:tcBorders>
              <w:top w:val="nil"/>
              <w:left w:val="single" w:sz="4" w:space="0" w:color="auto"/>
              <w:bottom w:val="single" w:sz="4" w:space="0" w:color="auto"/>
              <w:right w:val="single" w:sz="4" w:space="0" w:color="auto"/>
            </w:tcBorders>
            <w:noWrap/>
            <w:vAlign w:val="bottom"/>
          </w:tcPr>
          <w:p w14:paraId="5527BE0F"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Cs w:val="20"/>
              </w:rPr>
            </w:pPr>
            <w:r w:rsidRPr="007372A1">
              <w:rPr>
                <w:rFonts w:ascii="Times New Roman" w:eastAsia="Times New Roman" w:hAnsi="Times New Roman" w:cs="Times New Roman"/>
                <w:spacing w:val="-5"/>
                <w:szCs w:val="20"/>
              </w:rPr>
              <w:t>Земли с неустановленной категорией земель</w:t>
            </w:r>
          </w:p>
        </w:tc>
        <w:tc>
          <w:tcPr>
            <w:tcW w:w="3420" w:type="dxa"/>
            <w:tcBorders>
              <w:top w:val="nil"/>
              <w:left w:val="single" w:sz="4" w:space="0" w:color="auto"/>
              <w:bottom w:val="single" w:sz="4" w:space="0" w:color="auto"/>
              <w:right w:val="single" w:sz="4" w:space="0" w:color="auto"/>
            </w:tcBorders>
            <w:shd w:val="clear" w:color="auto" w:fill="auto"/>
            <w:noWrap/>
            <w:vAlign w:val="center"/>
          </w:tcPr>
          <w:p w14:paraId="70B33B29" w14:textId="77777777" w:rsidR="002F2198" w:rsidRPr="007372A1" w:rsidRDefault="002F2198" w:rsidP="002F2198">
            <w:pPr>
              <w:spacing w:after="0" w:line="276" w:lineRule="auto"/>
              <w:contextualSpacing/>
              <w:jc w:val="center"/>
              <w:rPr>
                <w:rFonts w:ascii="Times New Roman" w:eastAsia="Times New Roman" w:hAnsi="Times New Roman" w:cs="Times New Roman"/>
                <w:spacing w:val="-5"/>
                <w:szCs w:val="20"/>
              </w:rPr>
            </w:pPr>
            <w:r w:rsidRPr="007372A1">
              <w:rPr>
                <w:rFonts w:ascii="Times New Roman" w:hAnsi="Times New Roman" w:cs="Times New Roman"/>
                <w:color w:val="000000"/>
              </w:rPr>
              <w:t>23</w:t>
            </w:r>
          </w:p>
        </w:tc>
      </w:tr>
      <w:tr w:rsidR="002F2198" w:rsidRPr="00F562A8" w14:paraId="30AD6929" w14:textId="77777777" w:rsidTr="00AE6F68">
        <w:trPr>
          <w:trHeight w:val="80"/>
        </w:trPr>
        <w:tc>
          <w:tcPr>
            <w:tcW w:w="5949" w:type="dxa"/>
            <w:tcBorders>
              <w:top w:val="nil"/>
              <w:left w:val="single" w:sz="4" w:space="0" w:color="auto"/>
              <w:bottom w:val="single" w:sz="4" w:space="0" w:color="auto"/>
              <w:right w:val="single" w:sz="4" w:space="0" w:color="auto"/>
            </w:tcBorders>
            <w:noWrap/>
            <w:vAlign w:val="bottom"/>
          </w:tcPr>
          <w:p w14:paraId="19199F74" w14:textId="77777777" w:rsidR="002F2198" w:rsidRPr="007372A1" w:rsidRDefault="002F2198" w:rsidP="002F2198">
            <w:pPr>
              <w:spacing w:after="0" w:line="276" w:lineRule="auto"/>
              <w:contextualSpacing/>
              <w:jc w:val="center"/>
              <w:rPr>
                <w:rFonts w:ascii="Times New Roman" w:eastAsia="Times New Roman" w:hAnsi="Times New Roman" w:cs="Times New Roman"/>
                <w:b/>
                <w:spacing w:val="-5"/>
                <w:szCs w:val="20"/>
              </w:rPr>
            </w:pPr>
            <w:r w:rsidRPr="00A0411E">
              <w:rPr>
                <w:rFonts w:ascii="Times New Roman" w:eastAsia="Times New Roman" w:hAnsi="Times New Roman" w:cs="Times New Roman"/>
                <w:b/>
                <w:color w:val="000000"/>
                <w:lang w:eastAsia="ru-RU"/>
              </w:rPr>
              <w:t>Итог</w:t>
            </w:r>
          </w:p>
        </w:tc>
        <w:tc>
          <w:tcPr>
            <w:tcW w:w="3420" w:type="dxa"/>
            <w:tcBorders>
              <w:top w:val="nil"/>
              <w:left w:val="single" w:sz="4" w:space="0" w:color="auto"/>
              <w:bottom w:val="single" w:sz="4" w:space="0" w:color="auto"/>
              <w:right w:val="single" w:sz="4" w:space="0" w:color="auto"/>
            </w:tcBorders>
            <w:shd w:val="clear" w:color="auto" w:fill="auto"/>
            <w:noWrap/>
            <w:vAlign w:val="center"/>
          </w:tcPr>
          <w:p w14:paraId="0706F338" w14:textId="77777777" w:rsidR="002F2198" w:rsidRPr="007372A1" w:rsidRDefault="002F2198" w:rsidP="002F2198">
            <w:pPr>
              <w:spacing w:after="0" w:line="276" w:lineRule="auto"/>
              <w:contextualSpacing/>
              <w:jc w:val="center"/>
              <w:rPr>
                <w:rFonts w:ascii="Times New Roman" w:eastAsia="Times New Roman" w:hAnsi="Times New Roman" w:cs="Times New Roman"/>
                <w:b/>
                <w:spacing w:val="-5"/>
                <w:szCs w:val="20"/>
              </w:rPr>
            </w:pPr>
            <w:r w:rsidRPr="007372A1">
              <w:rPr>
                <w:rFonts w:ascii="Times New Roman" w:hAnsi="Times New Roman" w:cs="Times New Roman"/>
                <w:b/>
                <w:bCs/>
                <w:color w:val="000000"/>
              </w:rPr>
              <w:t>1 215 40</w:t>
            </w:r>
            <w:r>
              <w:rPr>
                <w:rFonts w:ascii="Times New Roman" w:hAnsi="Times New Roman" w:cs="Times New Roman"/>
                <w:b/>
                <w:bCs/>
                <w:color w:val="000000"/>
              </w:rPr>
              <w:t>8</w:t>
            </w:r>
          </w:p>
        </w:tc>
      </w:tr>
    </w:tbl>
    <w:p w14:paraId="765C460C" w14:textId="4E4DDAEB" w:rsidR="00AE6F68" w:rsidRDefault="00AE6F68" w:rsidP="002F2198">
      <w:pPr>
        <w:spacing w:after="0" w:line="276" w:lineRule="auto"/>
        <w:contextualSpacing/>
        <w:jc w:val="center"/>
        <w:rPr>
          <w:rFonts w:ascii="Times New Roman" w:eastAsia="Times New Roman" w:hAnsi="Times New Roman" w:cs="Times New Roman"/>
          <w:noProof/>
          <w:spacing w:val="-5"/>
          <w:sz w:val="10"/>
          <w:szCs w:val="26"/>
        </w:rPr>
      </w:pPr>
      <w:bookmarkStart w:id="122" w:name="_Hlk106546718"/>
    </w:p>
    <w:p w14:paraId="1BD452CC" w14:textId="5157E5D4" w:rsidR="008E24A7" w:rsidRDefault="008E24A7" w:rsidP="002F2198">
      <w:pPr>
        <w:spacing w:after="0" w:line="276" w:lineRule="auto"/>
        <w:contextualSpacing/>
        <w:jc w:val="center"/>
        <w:rPr>
          <w:rFonts w:ascii="Times New Roman" w:eastAsia="Times New Roman" w:hAnsi="Times New Roman" w:cs="Times New Roman"/>
          <w:noProof/>
          <w:spacing w:val="-5"/>
          <w:sz w:val="10"/>
          <w:szCs w:val="26"/>
        </w:rPr>
      </w:pPr>
    </w:p>
    <w:p w14:paraId="3418E489" w14:textId="77777777" w:rsidR="008E24A7" w:rsidRPr="00AE6F68" w:rsidRDefault="008E24A7" w:rsidP="002F2198">
      <w:pPr>
        <w:spacing w:after="0" w:line="276" w:lineRule="auto"/>
        <w:contextualSpacing/>
        <w:jc w:val="center"/>
        <w:rPr>
          <w:rFonts w:ascii="Times New Roman" w:eastAsia="Times New Roman" w:hAnsi="Times New Roman" w:cs="Times New Roman"/>
          <w:noProof/>
          <w:spacing w:val="-5"/>
          <w:sz w:val="10"/>
          <w:szCs w:val="26"/>
        </w:rPr>
      </w:pPr>
    </w:p>
    <w:p w14:paraId="07A81E1E" w14:textId="33BF6F92" w:rsidR="002F2198" w:rsidRDefault="008E3125" w:rsidP="002F2198">
      <w:pPr>
        <w:spacing w:after="0" w:line="276" w:lineRule="auto"/>
        <w:contextualSpacing/>
        <w:jc w:val="center"/>
        <w:rPr>
          <w:rFonts w:ascii="Times New Roman" w:eastAsia="Times New Roman" w:hAnsi="Times New Roman" w:cs="Times New Roman"/>
          <w:spacing w:val="-5"/>
          <w:sz w:val="26"/>
          <w:szCs w:val="26"/>
        </w:rPr>
      </w:pPr>
      <w:r>
        <w:rPr>
          <w:rFonts w:eastAsia="Times New Roman" w:cs="Times New Roman"/>
          <w:noProof/>
          <w:spacing w:val="-5"/>
          <w:sz w:val="26"/>
          <w:szCs w:val="26"/>
          <w:lang w:eastAsia="ru-RU"/>
        </w:rPr>
        <w:drawing>
          <wp:inline distT="0" distB="0" distL="0" distR="0" wp14:anchorId="51020923" wp14:editId="562554A3">
            <wp:extent cx="5791200" cy="3238500"/>
            <wp:effectExtent l="0" t="0" r="0" b="0"/>
            <wp:docPr id="638" name="Диаграмма 6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sidR="002F2198">
        <w:rPr>
          <w:rFonts w:ascii="Times New Roman" w:eastAsia="Times New Roman" w:hAnsi="Times New Roman" w:cs="Times New Roman"/>
          <w:spacing w:val="-5"/>
          <w:sz w:val="26"/>
          <w:szCs w:val="26"/>
        </w:rPr>
        <w:br/>
      </w:r>
      <w:r w:rsidR="002F2198" w:rsidRPr="00A75155">
        <w:rPr>
          <w:rFonts w:ascii="Times New Roman" w:eastAsia="Times New Roman" w:hAnsi="Times New Roman" w:cs="Times New Roman"/>
          <w:spacing w:val="-5"/>
          <w:sz w:val="26"/>
          <w:szCs w:val="26"/>
        </w:rPr>
        <w:t>Рис. 3.3.2.1</w:t>
      </w:r>
      <w:r w:rsidR="002F2198">
        <w:rPr>
          <w:rFonts w:ascii="Times New Roman" w:eastAsia="Times New Roman" w:hAnsi="Times New Roman" w:cs="Times New Roman"/>
          <w:spacing w:val="-5"/>
          <w:sz w:val="26"/>
          <w:szCs w:val="26"/>
        </w:rPr>
        <w:t xml:space="preserve"> – Распределение количества земельных участков в разрезе категорий земель</w:t>
      </w:r>
      <w:bookmarkEnd w:id="122"/>
      <w:r w:rsidR="002F2198">
        <w:rPr>
          <w:rFonts w:ascii="Times New Roman" w:eastAsia="Times New Roman" w:hAnsi="Times New Roman" w:cs="Times New Roman"/>
          <w:spacing w:val="-5"/>
          <w:sz w:val="26"/>
          <w:szCs w:val="26"/>
        </w:rPr>
        <w:br w:type="page"/>
      </w:r>
    </w:p>
    <w:p w14:paraId="32596A2C" w14:textId="77777777" w:rsidR="00E16C06" w:rsidRPr="00E16C06" w:rsidRDefault="00E16C06" w:rsidP="00E16C06">
      <w:pPr>
        <w:spacing w:after="0" w:line="276" w:lineRule="auto"/>
        <w:ind w:firstLine="709"/>
        <w:contextualSpacing/>
        <w:jc w:val="both"/>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В таблице 3.3.2.2 и на рисунке 3.3.2.2 отражено распределение количества земельных участков в разрезе сегментов</w:t>
      </w:r>
    </w:p>
    <w:p w14:paraId="2B4AD6FA" w14:textId="77777777" w:rsidR="00E16C06" w:rsidRPr="00E16C06" w:rsidRDefault="00E16C06" w:rsidP="00E16C06">
      <w:pPr>
        <w:spacing w:after="0" w:line="276" w:lineRule="auto"/>
        <w:ind w:firstLine="709"/>
        <w:contextualSpacing/>
        <w:jc w:val="right"/>
        <w:rPr>
          <w:rFonts w:ascii="Times New Roman" w:hAnsi="Times New Roman" w:cs="Times New Roman"/>
          <w:sz w:val="26"/>
          <w:szCs w:val="26"/>
        </w:rPr>
      </w:pPr>
      <w:r w:rsidRPr="00E16C06">
        <w:rPr>
          <w:rFonts w:ascii="Times New Roman" w:hAnsi="Times New Roman" w:cs="Times New Roman"/>
          <w:sz w:val="26"/>
          <w:szCs w:val="26"/>
        </w:rPr>
        <w:t xml:space="preserve">Таблица </w:t>
      </w:r>
      <w:r w:rsidRPr="00E16C06">
        <w:rPr>
          <w:rFonts w:ascii="Times New Roman" w:eastAsia="Times New Roman" w:hAnsi="Times New Roman" w:cs="Times New Roman"/>
          <w:spacing w:val="-5"/>
          <w:sz w:val="26"/>
          <w:szCs w:val="26"/>
        </w:rPr>
        <w:t>3.3.2.2</w:t>
      </w:r>
    </w:p>
    <w:p w14:paraId="7126091D"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Распределение земельных участков в разрезе сегментов</w:t>
      </w:r>
    </w:p>
    <w:tbl>
      <w:tblPr>
        <w:tblW w:w="9498" w:type="dxa"/>
        <w:tblInd w:w="-5" w:type="dxa"/>
        <w:tblLook w:val="04A0" w:firstRow="1" w:lastRow="0" w:firstColumn="1" w:lastColumn="0" w:noHBand="0" w:noVBand="1"/>
      </w:tblPr>
      <w:tblGrid>
        <w:gridCol w:w="7260"/>
        <w:gridCol w:w="2238"/>
      </w:tblGrid>
      <w:tr w:rsidR="00E16C06" w:rsidRPr="00E16C06" w14:paraId="549B5DE5" w14:textId="77777777" w:rsidTr="00E16C06">
        <w:trPr>
          <w:trHeight w:val="300"/>
        </w:trPr>
        <w:tc>
          <w:tcPr>
            <w:tcW w:w="7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884A3" w14:textId="77777777" w:rsidR="00E16C06" w:rsidRPr="00E16C06" w:rsidRDefault="00E16C06" w:rsidP="00E16C06">
            <w:pPr>
              <w:spacing w:after="0" w:line="240" w:lineRule="auto"/>
              <w:jc w:val="center"/>
              <w:rPr>
                <w:rFonts w:ascii="Times New Roman" w:eastAsia="Times New Roman" w:hAnsi="Times New Roman" w:cs="Times New Roman"/>
                <w:b/>
                <w:color w:val="000000"/>
                <w:lang w:val="en-US" w:eastAsia="ru-RU"/>
              </w:rPr>
            </w:pPr>
            <w:r w:rsidRPr="00E16C06">
              <w:rPr>
                <w:rFonts w:ascii="Times New Roman" w:eastAsia="Times New Roman" w:hAnsi="Times New Roman" w:cs="Times New Roman"/>
                <w:b/>
                <w:color w:val="000000"/>
                <w:lang w:eastAsia="ru-RU"/>
              </w:rPr>
              <w:t>Сегмент</w:t>
            </w:r>
          </w:p>
        </w:tc>
        <w:tc>
          <w:tcPr>
            <w:tcW w:w="2238" w:type="dxa"/>
            <w:tcBorders>
              <w:top w:val="single" w:sz="4" w:space="0" w:color="auto"/>
              <w:left w:val="nil"/>
              <w:bottom w:val="single" w:sz="4" w:space="0" w:color="auto"/>
              <w:right w:val="single" w:sz="4" w:space="0" w:color="auto"/>
            </w:tcBorders>
            <w:shd w:val="clear" w:color="auto" w:fill="auto"/>
            <w:noWrap/>
            <w:vAlign w:val="bottom"/>
            <w:hideMark/>
          </w:tcPr>
          <w:p w14:paraId="224538A9" w14:textId="77777777" w:rsidR="00E16C06" w:rsidRPr="00E16C06" w:rsidRDefault="00E16C06" w:rsidP="00E16C06">
            <w:pPr>
              <w:spacing w:after="0" w:line="240" w:lineRule="auto"/>
              <w:jc w:val="center"/>
              <w:rPr>
                <w:rFonts w:ascii="Times New Roman" w:eastAsia="Times New Roman" w:hAnsi="Times New Roman" w:cs="Times New Roman"/>
                <w:b/>
                <w:color w:val="000000"/>
                <w:lang w:eastAsia="ru-RU"/>
              </w:rPr>
            </w:pPr>
            <w:r w:rsidRPr="00E16C06">
              <w:rPr>
                <w:rFonts w:ascii="Times New Roman" w:eastAsia="Times New Roman" w:hAnsi="Times New Roman" w:cs="Times New Roman"/>
                <w:b/>
                <w:color w:val="000000"/>
                <w:lang w:eastAsia="ru-RU"/>
              </w:rPr>
              <w:t>Количество ЗУ</w:t>
            </w:r>
          </w:p>
        </w:tc>
      </w:tr>
      <w:tr w:rsidR="00E16C06" w:rsidRPr="00E16C06" w14:paraId="5A413B52" w14:textId="77777777" w:rsidTr="00E16C06">
        <w:trPr>
          <w:trHeight w:val="300"/>
        </w:trPr>
        <w:tc>
          <w:tcPr>
            <w:tcW w:w="7260" w:type="dxa"/>
            <w:tcBorders>
              <w:top w:val="nil"/>
              <w:left w:val="single" w:sz="4" w:space="0" w:color="auto"/>
              <w:bottom w:val="single" w:sz="4" w:space="0" w:color="auto"/>
              <w:right w:val="single" w:sz="4" w:space="0" w:color="auto"/>
            </w:tcBorders>
            <w:shd w:val="clear" w:color="auto" w:fill="auto"/>
            <w:noWrap/>
            <w:vAlign w:val="bottom"/>
            <w:hideMark/>
          </w:tcPr>
          <w:p w14:paraId="676E045D"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eastAsia="Times New Roman" w:hAnsi="Times New Roman" w:cs="Times New Roman"/>
                <w:color w:val="000000"/>
                <w:lang w:eastAsia="ru-RU"/>
              </w:rPr>
              <w:t>1 сегмент. "Сельскохозяйственное использование"</w:t>
            </w:r>
          </w:p>
        </w:tc>
        <w:tc>
          <w:tcPr>
            <w:tcW w:w="2238" w:type="dxa"/>
            <w:tcBorders>
              <w:top w:val="nil"/>
              <w:left w:val="nil"/>
              <w:bottom w:val="single" w:sz="4" w:space="0" w:color="auto"/>
              <w:right w:val="single" w:sz="4" w:space="0" w:color="auto"/>
            </w:tcBorders>
            <w:shd w:val="clear" w:color="auto" w:fill="auto"/>
            <w:noWrap/>
            <w:hideMark/>
          </w:tcPr>
          <w:p w14:paraId="02AA4C64" w14:textId="77777777" w:rsidR="00E16C06" w:rsidRPr="00E16C06" w:rsidRDefault="00E16C06" w:rsidP="00E16C06">
            <w:pPr>
              <w:spacing w:after="0" w:line="240" w:lineRule="auto"/>
              <w:jc w:val="center"/>
              <w:rPr>
                <w:rFonts w:ascii="Times New Roman" w:eastAsia="Times New Roman" w:hAnsi="Times New Roman" w:cs="Times New Roman"/>
                <w:color w:val="FF0000"/>
                <w:lang w:eastAsia="ru-RU"/>
              </w:rPr>
            </w:pPr>
            <w:r w:rsidRPr="00E16C06">
              <w:rPr>
                <w:rFonts w:ascii="Times New Roman" w:hAnsi="Times New Roman" w:cs="Times New Roman"/>
              </w:rPr>
              <w:t>116 452</w:t>
            </w:r>
          </w:p>
        </w:tc>
      </w:tr>
      <w:tr w:rsidR="00E16C06" w:rsidRPr="00E16C06" w14:paraId="6D54324F" w14:textId="77777777" w:rsidTr="00E16C06">
        <w:trPr>
          <w:trHeight w:val="300"/>
        </w:trPr>
        <w:tc>
          <w:tcPr>
            <w:tcW w:w="7260" w:type="dxa"/>
            <w:tcBorders>
              <w:top w:val="nil"/>
              <w:left w:val="single" w:sz="4" w:space="0" w:color="auto"/>
              <w:bottom w:val="single" w:sz="4" w:space="0" w:color="auto"/>
              <w:right w:val="single" w:sz="4" w:space="0" w:color="auto"/>
            </w:tcBorders>
            <w:shd w:val="clear" w:color="auto" w:fill="auto"/>
            <w:noWrap/>
            <w:vAlign w:val="bottom"/>
            <w:hideMark/>
          </w:tcPr>
          <w:p w14:paraId="138D8BF7"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eastAsia="Times New Roman" w:hAnsi="Times New Roman" w:cs="Times New Roman"/>
                <w:color w:val="000000"/>
                <w:lang w:eastAsia="ru-RU"/>
              </w:rPr>
              <w:t>2 сегмент. "Жилая застройка (среднеэтажная и многоэтажная)"</w:t>
            </w:r>
          </w:p>
        </w:tc>
        <w:tc>
          <w:tcPr>
            <w:tcW w:w="2238" w:type="dxa"/>
            <w:tcBorders>
              <w:top w:val="nil"/>
              <w:left w:val="nil"/>
              <w:bottom w:val="single" w:sz="4" w:space="0" w:color="auto"/>
              <w:right w:val="single" w:sz="4" w:space="0" w:color="auto"/>
            </w:tcBorders>
            <w:shd w:val="clear" w:color="auto" w:fill="auto"/>
            <w:noWrap/>
            <w:hideMark/>
          </w:tcPr>
          <w:p w14:paraId="383F3EAD"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hAnsi="Times New Roman" w:cs="Times New Roman"/>
              </w:rPr>
              <w:t>7 145</w:t>
            </w:r>
          </w:p>
        </w:tc>
      </w:tr>
      <w:tr w:rsidR="00E16C06" w:rsidRPr="00E16C06" w14:paraId="40E3B368" w14:textId="77777777" w:rsidTr="00E16C06">
        <w:trPr>
          <w:trHeight w:val="300"/>
        </w:trPr>
        <w:tc>
          <w:tcPr>
            <w:tcW w:w="7260" w:type="dxa"/>
            <w:tcBorders>
              <w:top w:val="nil"/>
              <w:left w:val="single" w:sz="4" w:space="0" w:color="auto"/>
              <w:bottom w:val="single" w:sz="4" w:space="0" w:color="auto"/>
              <w:right w:val="single" w:sz="4" w:space="0" w:color="auto"/>
            </w:tcBorders>
            <w:shd w:val="clear" w:color="auto" w:fill="auto"/>
            <w:noWrap/>
            <w:vAlign w:val="bottom"/>
            <w:hideMark/>
          </w:tcPr>
          <w:p w14:paraId="521AFB22"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eastAsia="Times New Roman" w:hAnsi="Times New Roman" w:cs="Times New Roman"/>
                <w:color w:val="000000"/>
                <w:lang w:eastAsia="ru-RU"/>
              </w:rPr>
              <w:t>3 сегмент. "Общественное использование"</w:t>
            </w:r>
          </w:p>
        </w:tc>
        <w:tc>
          <w:tcPr>
            <w:tcW w:w="2238" w:type="dxa"/>
            <w:tcBorders>
              <w:top w:val="nil"/>
              <w:left w:val="nil"/>
              <w:bottom w:val="single" w:sz="4" w:space="0" w:color="auto"/>
              <w:right w:val="single" w:sz="4" w:space="0" w:color="auto"/>
            </w:tcBorders>
            <w:shd w:val="clear" w:color="auto" w:fill="auto"/>
            <w:noWrap/>
            <w:hideMark/>
          </w:tcPr>
          <w:p w14:paraId="702119B2"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hAnsi="Times New Roman" w:cs="Times New Roman"/>
              </w:rPr>
              <w:t>10 645</w:t>
            </w:r>
          </w:p>
        </w:tc>
      </w:tr>
      <w:tr w:rsidR="00E16C06" w:rsidRPr="00E16C06" w14:paraId="1C13D1BC" w14:textId="77777777" w:rsidTr="00E16C06">
        <w:trPr>
          <w:trHeight w:val="300"/>
        </w:trPr>
        <w:tc>
          <w:tcPr>
            <w:tcW w:w="7260" w:type="dxa"/>
            <w:tcBorders>
              <w:top w:val="nil"/>
              <w:left w:val="single" w:sz="4" w:space="0" w:color="auto"/>
              <w:bottom w:val="single" w:sz="4" w:space="0" w:color="auto"/>
              <w:right w:val="single" w:sz="4" w:space="0" w:color="auto"/>
            </w:tcBorders>
            <w:shd w:val="clear" w:color="auto" w:fill="auto"/>
            <w:noWrap/>
            <w:vAlign w:val="bottom"/>
            <w:hideMark/>
          </w:tcPr>
          <w:p w14:paraId="7A666C6D"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eastAsia="Times New Roman" w:hAnsi="Times New Roman" w:cs="Times New Roman"/>
                <w:color w:val="000000"/>
                <w:lang w:eastAsia="ru-RU"/>
              </w:rPr>
              <w:t>4 сегмент. "Предпринимательство"</w:t>
            </w:r>
          </w:p>
        </w:tc>
        <w:tc>
          <w:tcPr>
            <w:tcW w:w="2238" w:type="dxa"/>
            <w:tcBorders>
              <w:top w:val="nil"/>
              <w:left w:val="nil"/>
              <w:bottom w:val="single" w:sz="4" w:space="0" w:color="auto"/>
              <w:right w:val="single" w:sz="4" w:space="0" w:color="auto"/>
            </w:tcBorders>
            <w:shd w:val="clear" w:color="auto" w:fill="auto"/>
            <w:noWrap/>
            <w:hideMark/>
          </w:tcPr>
          <w:p w14:paraId="465A9506"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hAnsi="Times New Roman" w:cs="Times New Roman"/>
              </w:rPr>
              <w:t>15 306</w:t>
            </w:r>
          </w:p>
        </w:tc>
      </w:tr>
      <w:tr w:rsidR="00E16C06" w:rsidRPr="00E16C06" w14:paraId="7CAB9F54" w14:textId="77777777" w:rsidTr="00E16C06">
        <w:trPr>
          <w:trHeight w:val="300"/>
        </w:trPr>
        <w:tc>
          <w:tcPr>
            <w:tcW w:w="7260" w:type="dxa"/>
            <w:tcBorders>
              <w:top w:val="nil"/>
              <w:left w:val="single" w:sz="4" w:space="0" w:color="auto"/>
              <w:bottom w:val="single" w:sz="4" w:space="0" w:color="auto"/>
              <w:right w:val="single" w:sz="4" w:space="0" w:color="auto"/>
            </w:tcBorders>
            <w:shd w:val="clear" w:color="auto" w:fill="auto"/>
            <w:noWrap/>
            <w:vAlign w:val="bottom"/>
            <w:hideMark/>
          </w:tcPr>
          <w:p w14:paraId="3F61E8DF"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eastAsia="Times New Roman" w:hAnsi="Times New Roman" w:cs="Times New Roman"/>
                <w:color w:val="000000"/>
                <w:lang w:eastAsia="ru-RU"/>
              </w:rPr>
              <w:t>5 сегмент. "Отдых (рекреация)"</w:t>
            </w:r>
          </w:p>
        </w:tc>
        <w:tc>
          <w:tcPr>
            <w:tcW w:w="2238" w:type="dxa"/>
            <w:tcBorders>
              <w:top w:val="nil"/>
              <w:left w:val="nil"/>
              <w:bottom w:val="single" w:sz="4" w:space="0" w:color="auto"/>
              <w:right w:val="single" w:sz="4" w:space="0" w:color="auto"/>
            </w:tcBorders>
            <w:shd w:val="clear" w:color="auto" w:fill="auto"/>
            <w:noWrap/>
            <w:hideMark/>
          </w:tcPr>
          <w:p w14:paraId="2A2F891B"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hAnsi="Times New Roman" w:cs="Times New Roman"/>
              </w:rPr>
              <w:t>1 097</w:t>
            </w:r>
          </w:p>
        </w:tc>
      </w:tr>
      <w:tr w:rsidR="00E16C06" w:rsidRPr="00E16C06" w14:paraId="5FAAD218" w14:textId="77777777" w:rsidTr="00E16C06">
        <w:trPr>
          <w:trHeight w:val="300"/>
        </w:trPr>
        <w:tc>
          <w:tcPr>
            <w:tcW w:w="7260" w:type="dxa"/>
            <w:tcBorders>
              <w:top w:val="nil"/>
              <w:left w:val="single" w:sz="4" w:space="0" w:color="auto"/>
              <w:bottom w:val="single" w:sz="4" w:space="0" w:color="auto"/>
              <w:right w:val="single" w:sz="4" w:space="0" w:color="auto"/>
            </w:tcBorders>
            <w:shd w:val="clear" w:color="auto" w:fill="auto"/>
            <w:noWrap/>
            <w:vAlign w:val="bottom"/>
            <w:hideMark/>
          </w:tcPr>
          <w:p w14:paraId="5F0C6781"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eastAsia="Times New Roman" w:hAnsi="Times New Roman" w:cs="Times New Roman"/>
                <w:color w:val="000000"/>
                <w:lang w:eastAsia="ru-RU"/>
              </w:rPr>
              <w:t>6 сегмент. "Производственная деятельность"</w:t>
            </w:r>
          </w:p>
        </w:tc>
        <w:tc>
          <w:tcPr>
            <w:tcW w:w="2238" w:type="dxa"/>
            <w:tcBorders>
              <w:top w:val="nil"/>
              <w:left w:val="nil"/>
              <w:bottom w:val="single" w:sz="4" w:space="0" w:color="auto"/>
              <w:right w:val="single" w:sz="4" w:space="0" w:color="auto"/>
            </w:tcBorders>
            <w:shd w:val="clear" w:color="auto" w:fill="auto"/>
            <w:noWrap/>
            <w:hideMark/>
          </w:tcPr>
          <w:p w14:paraId="79EBA1CB"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hAnsi="Times New Roman" w:cs="Times New Roman"/>
              </w:rPr>
              <w:t>55 263</w:t>
            </w:r>
          </w:p>
        </w:tc>
      </w:tr>
      <w:tr w:rsidR="00E16C06" w:rsidRPr="00E16C06" w14:paraId="0D6BE64A" w14:textId="77777777" w:rsidTr="00E16C06">
        <w:trPr>
          <w:trHeight w:val="300"/>
        </w:trPr>
        <w:tc>
          <w:tcPr>
            <w:tcW w:w="7260" w:type="dxa"/>
            <w:tcBorders>
              <w:top w:val="nil"/>
              <w:left w:val="single" w:sz="4" w:space="0" w:color="auto"/>
              <w:bottom w:val="single" w:sz="4" w:space="0" w:color="auto"/>
              <w:right w:val="single" w:sz="4" w:space="0" w:color="auto"/>
            </w:tcBorders>
            <w:shd w:val="clear" w:color="auto" w:fill="auto"/>
            <w:noWrap/>
            <w:vAlign w:val="bottom"/>
            <w:hideMark/>
          </w:tcPr>
          <w:p w14:paraId="374ACB8B"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eastAsia="Times New Roman" w:hAnsi="Times New Roman" w:cs="Times New Roman"/>
                <w:color w:val="000000"/>
                <w:lang w:eastAsia="ru-RU"/>
              </w:rPr>
              <w:t>7 сегмент. "Транспорт"</w:t>
            </w:r>
          </w:p>
        </w:tc>
        <w:tc>
          <w:tcPr>
            <w:tcW w:w="2238" w:type="dxa"/>
            <w:tcBorders>
              <w:top w:val="nil"/>
              <w:left w:val="nil"/>
              <w:bottom w:val="single" w:sz="4" w:space="0" w:color="auto"/>
              <w:right w:val="single" w:sz="4" w:space="0" w:color="auto"/>
            </w:tcBorders>
            <w:shd w:val="clear" w:color="auto" w:fill="auto"/>
            <w:noWrap/>
            <w:hideMark/>
          </w:tcPr>
          <w:p w14:paraId="4B6F71C1"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hAnsi="Times New Roman" w:cs="Times New Roman"/>
              </w:rPr>
              <w:t>23 302</w:t>
            </w:r>
          </w:p>
        </w:tc>
      </w:tr>
      <w:tr w:rsidR="00E16C06" w:rsidRPr="00E16C06" w14:paraId="781BCEC0" w14:textId="77777777" w:rsidTr="00E16C06">
        <w:trPr>
          <w:trHeight w:val="300"/>
        </w:trPr>
        <w:tc>
          <w:tcPr>
            <w:tcW w:w="7260" w:type="dxa"/>
            <w:tcBorders>
              <w:top w:val="nil"/>
              <w:left w:val="single" w:sz="4" w:space="0" w:color="auto"/>
              <w:bottom w:val="single" w:sz="4" w:space="0" w:color="auto"/>
              <w:right w:val="single" w:sz="4" w:space="0" w:color="auto"/>
            </w:tcBorders>
            <w:shd w:val="clear" w:color="auto" w:fill="auto"/>
            <w:noWrap/>
            <w:vAlign w:val="bottom"/>
            <w:hideMark/>
          </w:tcPr>
          <w:p w14:paraId="7F6E4AF1"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eastAsia="Times New Roman" w:hAnsi="Times New Roman" w:cs="Times New Roman"/>
                <w:color w:val="000000"/>
                <w:lang w:eastAsia="ru-RU"/>
              </w:rPr>
              <w:t>8 сегмент. "Обеспечение обороны и безопасности"</w:t>
            </w:r>
          </w:p>
        </w:tc>
        <w:tc>
          <w:tcPr>
            <w:tcW w:w="2238" w:type="dxa"/>
            <w:tcBorders>
              <w:top w:val="nil"/>
              <w:left w:val="nil"/>
              <w:bottom w:val="single" w:sz="4" w:space="0" w:color="auto"/>
              <w:right w:val="single" w:sz="4" w:space="0" w:color="auto"/>
            </w:tcBorders>
            <w:shd w:val="clear" w:color="auto" w:fill="auto"/>
            <w:noWrap/>
            <w:hideMark/>
          </w:tcPr>
          <w:p w14:paraId="453E0A3E"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hAnsi="Times New Roman" w:cs="Times New Roman"/>
              </w:rPr>
              <w:t>75</w:t>
            </w:r>
          </w:p>
        </w:tc>
      </w:tr>
      <w:tr w:rsidR="00E16C06" w:rsidRPr="00E16C06" w14:paraId="2DC099DF" w14:textId="77777777" w:rsidTr="00E16C06">
        <w:trPr>
          <w:trHeight w:val="300"/>
        </w:trPr>
        <w:tc>
          <w:tcPr>
            <w:tcW w:w="7260" w:type="dxa"/>
            <w:tcBorders>
              <w:top w:val="nil"/>
              <w:left w:val="single" w:sz="4" w:space="0" w:color="auto"/>
              <w:bottom w:val="single" w:sz="4" w:space="0" w:color="auto"/>
              <w:right w:val="single" w:sz="4" w:space="0" w:color="auto"/>
            </w:tcBorders>
            <w:shd w:val="clear" w:color="auto" w:fill="auto"/>
            <w:noWrap/>
            <w:vAlign w:val="bottom"/>
            <w:hideMark/>
          </w:tcPr>
          <w:p w14:paraId="5DD7A0F9"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eastAsia="Times New Roman" w:hAnsi="Times New Roman" w:cs="Times New Roman"/>
                <w:color w:val="000000"/>
                <w:lang w:eastAsia="ru-RU"/>
              </w:rPr>
              <w:t>9 сегмент. "Охраняемые природные территории и благоустройство"</w:t>
            </w:r>
          </w:p>
        </w:tc>
        <w:tc>
          <w:tcPr>
            <w:tcW w:w="2238" w:type="dxa"/>
            <w:tcBorders>
              <w:top w:val="nil"/>
              <w:left w:val="nil"/>
              <w:bottom w:val="single" w:sz="4" w:space="0" w:color="auto"/>
              <w:right w:val="single" w:sz="4" w:space="0" w:color="auto"/>
            </w:tcBorders>
            <w:shd w:val="clear" w:color="auto" w:fill="auto"/>
            <w:noWrap/>
            <w:hideMark/>
          </w:tcPr>
          <w:p w14:paraId="344748CC"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hAnsi="Times New Roman" w:cs="Times New Roman"/>
              </w:rPr>
              <w:t>14 990</w:t>
            </w:r>
          </w:p>
        </w:tc>
      </w:tr>
      <w:tr w:rsidR="00E16C06" w:rsidRPr="00E16C06" w14:paraId="085BB75E" w14:textId="77777777" w:rsidTr="00E16C06">
        <w:trPr>
          <w:trHeight w:val="300"/>
        </w:trPr>
        <w:tc>
          <w:tcPr>
            <w:tcW w:w="7260" w:type="dxa"/>
            <w:tcBorders>
              <w:top w:val="nil"/>
              <w:left w:val="single" w:sz="4" w:space="0" w:color="auto"/>
              <w:bottom w:val="single" w:sz="4" w:space="0" w:color="auto"/>
              <w:right w:val="single" w:sz="4" w:space="0" w:color="auto"/>
            </w:tcBorders>
            <w:shd w:val="clear" w:color="auto" w:fill="auto"/>
            <w:noWrap/>
            <w:vAlign w:val="bottom"/>
            <w:hideMark/>
          </w:tcPr>
          <w:p w14:paraId="50DBB8BB"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eastAsia="Times New Roman" w:hAnsi="Times New Roman" w:cs="Times New Roman"/>
                <w:color w:val="000000"/>
                <w:lang w:eastAsia="ru-RU"/>
              </w:rPr>
              <w:t>10 сегмент. "Использование лесов"</w:t>
            </w:r>
          </w:p>
        </w:tc>
        <w:tc>
          <w:tcPr>
            <w:tcW w:w="2238" w:type="dxa"/>
            <w:tcBorders>
              <w:top w:val="nil"/>
              <w:left w:val="nil"/>
              <w:bottom w:val="single" w:sz="4" w:space="0" w:color="auto"/>
              <w:right w:val="single" w:sz="4" w:space="0" w:color="auto"/>
            </w:tcBorders>
            <w:shd w:val="clear" w:color="auto" w:fill="auto"/>
            <w:noWrap/>
            <w:hideMark/>
          </w:tcPr>
          <w:p w14:paraId="184ACB08"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hAnsi="Times New Roman" w:cs="Times New Roman"/>
              </w:rPr>
              <w:t>12 326</w:t>
            </w:r>
          </w:p>
        </w:tc>
      </w:tr>
      <w:tr w:rsidR="00E16C06" w:rsidRPr="00E16C06" w14:paraId="187D372E" w14:textId="77777777" w:rsidTr="00E16C06">
        <w:trPr>
          <w:trHeight w:val="300"/>
        </w:trPr>
        <w:tc>
          <w:tcPr>
            <w:tcW w:w="7260" w:type="dxa"/>
            <w:tcBorders>
              <w:top w:val="nil"/>
              <w:left w:val="single" w:sz="4" w:space="0" w:color="auto"/>
              <w:bottom w:val="single" w:sz="4" w:space="0" w:color="auto"/>
              <w:right w:val="single" w:sz="4" w:space="0" w:color="auto"/>
            </w:tcBorders>
            <w:shd w:val="clear" w:color="auto" w:fill="auto"/>
            <w:noWrap/>
            <w:vAlign w:val="bottom"/>
            <w:hideMark/>
          </w:tcPr>
          <w:p w14:paraId="4196533C"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eastAsia="Times New Roman" w:hAnsi="Times New Roman" w:cs="Times New Roman"/>
                <w:color w:val="000000"/>
                <w:lang w:eastAsia="ru-RU"/>
              </w:rPr>
              <w:t>11 сегмент. "Водные объекты"</w:t>
            </w:r>
          </w:p>
        </w:tc>
        <w:tc>
          <w:tcPr>
            <w:tcW w:w="2238" w:type="dxa"/>
            <w:tcBorders>
              <w:top w:val="nil"/>
              <w:left w:val="nil"/>
              <w:bottom w:val="single" w:sz="4" w:space="0" w:color="auto"/>
              <w:right w:val="single" w:sz="4" w:space="0" w:color="auto"/>
            </w:tcBorders>
            <w:shd w:val="clear" w:color="auto" w:fill="auto"/>
            <w:noWrap/>
            <w:hideMark/>
          </w:tcPr>
          <w:p w14:paraId="3F040694"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hAnsi="Times New Roman" w:cs="Times New Roman"/>
              </w:rPr>
              <w:t>818</w:t>
            </w:r>
          </w:p>
        </w:tc>
      </w:tr>
      <w:tr w:rsidR="00E16C06" w:rsidRPr="00E16C06" w14:paraId="5A83F3E2" w14:textId="77777777" w:rsidTr="00E16C06">
        <w:trPr>
          <w:trHeight w:val="300"/>
        </w:trPr>
        <w:tc>
          <w:tcPr>
            <w:tcW w:w="7260" w:type="dxa"/>
            <w:tcBorders>
              <w:top w:val="nil"/>
              <w:left w:val="single" w:sz="4" w:space="0" w:color="auto"/>
              <w:bottom w:val="single" w:sz="4" w:space="0" w:color="auto"/>
              <w:right w:val="single" w:sz="4" w:space="0" w:color="auto"/>
            </w:tcBorders>
            <w:shd w:val="clear" w:color="auto" w:fill="auto"/>
            <w:noWrap/>
            <w:vAlign w:val="bottom"/>
            <w:hideMark/>
          </w:tcPr>
          <w:p w14:paraId="16BAAA44"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eastAsia="Times New Roman" w:hAnsi="Times New Roman" w:cs="Times New Roman"/>
                <w:color w:val="000000"/>
                <w:lang w:eastAsia="ru-RU"/>
              </w:rPr>
              <w:t>12 сегмент. "Специальное, ритуальное использование, запас"</w:t>
            </w:r>
          </w:p>
        </w:tc>
        <w:tc>
          <w:tcPr>
            <w:tcW w:w="2238" w:type="dxa"/>
            <w:tcBorders>
              <w:top w:val="nil"/>
              <w:left w:val="nil"/>
              <w:bottom w:val="single" w:sz="4" w:space="0" w:color="auto"/>
              <w:right w:val="single" w:sz="4" w:space="0" w:color="auto"/>
            </w:tcBorders>
            <w:shd w:val="clear" w:color="auto" w:fill="auto"/>
            <w:noWrap/>
            <w:hideMark/>
          </w:tcPr>
          <w:p w14:paraId="1222C248"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hAnsi="Times New Roman" w:cs="Times New Roman"/>
              </w:rPr>
              <w:t>2 368</w:t>
            </w:r>
          </w:p>
        </w:tc>
      </w:tr>
      <w:tr w:rsidR="00E16C06" w:rsidRPr="00E16C06" w14:paraId="41D5F7A0" w14:textId="77777777" w:rsidTr="00E16C06">
        <w:trPr>
          <w:trHeight w:val="300"/>
        </w:trPr>
        <w:tc>
          <w:tcPr>
            <w:tcW w:w="7260" w:type="dxa"/>
            <w:tcBorders>
              <w:top w:val="nil"/>
              <w:left w:val="single" w:sz="4" w:space="0" w:color="auto"/>
              <w:bottom w:val="single" w:sz="4" w:space="0" w:color="auto"/>
              <w:right w:val="single" w:sz="4" w:space="0" w:color="auto"/>
            </w:tcBorders>
            <w:shd w:val="clear" w:color="auto" w:fill="auto"/>
            <w:noWrap/>
            <w:vAlign w:val="bottom"/>
            <w:hideMark/>
          </w:tcPr>
          <w:p w14:paraId="133019FE"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eastAsia="Times New Roman" w:hAnsi="Times New Roman" w:cs="Times New Roman"/>
                <w:color w:val="000000"/>
                <w:lang w:eastAsia="ru-RU"/>
              </w:rPr>
              <w:t>13 сегмент. "Садоводство и огородничество, малоэтажная жилая застройка"</w:t>
            </w:r>
          </w:p>
        </w:tc>
        <w:tc>
          <w:tcPr>
            <w:tcW w:w="2238" w:type="dxa"/>
            <w:tcBorders>
              <w:top w:val="nil"/>
              <w:left w:val="nil"/>
              <w:bottom w:val="single" w:sz="4" w:space="0" w:color="auto"/>
              <w:right w:val="single" w:sz="4" w:space="0" w:color="auto"/>
            </w:tcBorders>
            <w:shd w:val="clear" w:color="auto" w:fill="auto"/>
            <w:noWrap/>
            <w:hideMark/>
          </w:tcPr>
          <w:p w14:paraId="3761E689" w14:textId="77777777" w:rsidR="00E16C06" w:rsidRPr="00E16C06" w:rsidRDefault="00E16C06" w:rsidP="00E16C06">
            <w:pPr>
              <w:spacing w:after="0" w:line="240" w:lineRule="auto"/>
              <w:jc w:val="center"/>
              <w:rPr>
                <w:rFonts w:ascii="Times New Roman" w:eastAsia="Times New Roman" w:hAnsi="Times New Roman" w:cs="Times New Roman"/>
                <w:color w:val="000000"/>
                <w:lang w:eastAsia="ru-RU"/>
              </w:rPr>
            </w:pPr>
            <w:r w:rsidRPr="00E16C06">
              <w:rPr>
                <w:rFonts w:ascii="Times New Roman" w:hAnsi="Times New Roman" w:cs="Times New Roman"/>
              </w:rPr>
              <w:t>955 621</w:t>
            </w:r>
          </w:p>
        </w:tc>
      </w:tr>
      <w:tr w:rsidR="00E16C06" w:rsidRPr="00E16C06" w14:paraId="1A1EB58B" w14:textId="77777777" w:rsidTr="00E16C06">
        <w:trPr>
          <w:trHeight w:val="300"/>
        </w:trPr>
        <w:tc>
          <w:tcPr>
            <w:tcW w:w="7260" w:type="dxa"/>
            <w:tcBorders>
              <w:top w:val="nil"/>
              <w:left w:val="single" w:sz="4" w:space="0" w:color="auto"/>
              <w:bottom w:val="single" w:sz="4" w:space="0" w:color="auto"/>
              <w:right w:val="single" w:sz="4" w:space="0" w:color="auto"/>
            </w:tcBorders>
            <w:shd w:val="clear" w:color="auto" w:fill="auto"/>
            <w:noWrap/>
            <w:vAlign w:val="bottom"/>
            <w:hideMark/>
          </w:tcPr>
          <w:p w14:paraId="48899781" w14:textId="77777777" w:rsidR="00E16C06" w:rsidRPr="00E16C06" w:rsidRDefault="00E16C06" w:rsidP="00E16C06">
            <w:pPr>
              <w:spacing w:after="0" w:line="240" w:lineRule="auto"/>
              <w:jc w:val="center"/>
              <w:rPr>
                <w:rFonts w:ascii="Times New Roman" w:eastAsia="Times New Roman" w:hAnsi="Times New Roman" w:cs="Times New Roman"/>
                <w:b/>
                <w:color w:val="000000"/>
                <w:lang w:eastAsia="ru-RU"/>
              </w:rPr>
            </w:pPr>
            <w:r w:rsidRPr="00E16C06">
              <w:rPr>
                <w:rFonts w:ascii="Times New Roman" w:eastAsia="Times New Roman" w:hAnsi="Times New Roman" w:cs="Times New Roman"/>
                <w:b/>
                <w:color w:val="000000"/>
                <w:lang w:eastAsia="ru-RU"/>
              </w:rPr>
              <w:t>Итог</w:t>
            </w:r>
          </w:p>
        </w:tc>
        <w:tc>
          <w:tcPr>
            <w:tcW w:w="2238" w:type="dxa"/>
            <w:tcBorders>
              <w:top w:val="nil"/>
              <w:left w:val="nil"/>
              <w:bottom w:val="single" w:sz="4" w:space="0" w:color="auto"/>
              <w:right w:val="single" w:sz="4" w:space="0" w:color="auto"/>
            </w:tcBorders>
            <w:shd w:val="clear" w:color="auto" w:fill="auto"/>
            <w:noWrap/>
            <w:vAlign w:val="bottom"/>
            <w:hideMark/>
          </w:tcPr>
          <w:p w14:paraId="61861CA8" w14:textId="77777777" w:rsidR="00E16C06" w:rsidRPr="00E16C06" w:rsidRDefault="00E16C06" w:rsidP="00E16C06">
            <w:pPr>
              <w:spacing w:after="0" w:line="240" w:lineRule="auto"/>
              <w:jc w:val="center"/>
              <w:rPr>
                <w:rFonts w:ascii="Times New Roman" w:eastAsia="Times New Roman" w:hAnsi="Times New Roman" w:cs="Times New Roman"/>
                <w:b/>
                <w:color w:val="000000" w:themeColor="text1"/>
                <w:lang w:eastAsia="ru-RU"/>
              </w:rPr>
            </w:pPr>
            <w:r w:rsidRPr="00E16C06">
              <w:rPr>
                <w:rFonts w:ascii="Times New Roman" w:eastAsia="Times New Roman" w:hAnsi="Times New Roman" w:cs="Times New Roman"/>
                <w:b/>
                <w:color w:val="000000" w:themeColor="text1"/>
                <w:lang w:eastAsia="ru-RU"/>
              </w:rPr>
              <w:t xml:space="preserve">1 215 408 </w:t>
            </w:r>
          </w:p>
          <w:p w14:paraId="71064F57" w14:textId="77777777" w:rsidR="00E16C06" w:rsidRPr="00E16C06" w:rsidRDefault="00E16C06" w:rsidP="00E16C06">
            <w:pPr>
              <w:spacing w:after="0" w:line="240" w:lineRule="auto"/>
              <w:jc w:val="center"/>
              <w:rPr>
                <w:rFonts w:ascii="Times New Roman" w:eastAsia="Times New Roman" w:hAnsi="Times New Roman" w:cs="Times New Roman"/>
                <w:b/>
                <w:color w:val="000000"/>
                <w:lang w:eastAsia="ru-RU"/>
              </w:rPr>
            </w:pPr>
          </w:p>
        </w:tc>
      </w:tr>
    </w:tbl>
    <w:p w14:paraId="27274F91" w14:textId="77777777" w:rsidR="00E16C06" w:rsidRPr="00E16C06" w:rsidRDefault="00E16C06" w:rsidP="00E16C06">
      <w:pPr>
        <w:rPr>
          <w:rFonts w:ascii="Times New Roman" w:hAnsi="Times New Roman" w:cs="Times New Roman"/>
        </w:rPr>
      </w:pPr>
      <w:r w:rsidRPr="00E16C06">
        <w:rPr>
          <w:rFonts w:ascii="Times New Roman" w:hAnsi="Times New Roman" w:cs="Times New Roman"/>
          <w:noProof/>
          <w:lang w:eastAsia="ru-RU"/>
        </w:rPr>
        <w:drawing>
          <wp:anchor distT="0" distB="0" distL="114300" distR="114300" simplePos="0" relativeHeight="251661312" behindDoc="1" locked="0" layoutInCell="1" allowOverlap="1" wp14:anchorId="509A6369" wp14:editId="4DE48D48">
            <wp:simplePos x="0" y="0"/>
            <wp:positionH relativeFrom="margin">
              <wp:align>right</wp:align>
            </wp:positionH>
            <wp:positionV relativeFrom="paragraph">
              <wp:posOffset>298450</wp:posOffset>
            </wp:positionV>
            <wp:extent cx="5934075" cy="4333875"/>
            <wp:effectExtent l="0" t="0" r="9525" b="9525"/>
            <wp:wrapTight wrapText="bothSides">
              <wp:wrapPolygon edited="0">
                <wp:start x="0" y="0"/>
                <wp:lineTo x="0" y="21553"/>
                <wp:lineTo x="21565" y="21553"/>
                <wp:lineTo x="21565" y="0"/>
                <wp:lineTo x="0" y="0"/>
              </wp:wrapPolygon>
            </wp:wrapTight>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page">
              <wp14:pctWidth>0</wp14:pctWidth>
            </wp14:sizeRelH>
            <wp14:sizeRelV relativeFrom="page">
              <wp14:pctHeight>0</wp14:pctHeight>
            </wp14:sizeRelV>
          </wp:anchor>
        </w:drawing>
      </w:r>
    </w:p>
    <w:p w14:paraId="2A243EC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Рис. 3.3.2.1 – Распределение количества земельных участков в разрезе сегментов</w:t>
      </w:r>
    </w:p>
    <w:p w14:paraId="4B8813C1"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i/>
          <w:spacing w:val="-5"/>
          <w:sz w:val="26"/>
          <w:szCs w:val="26"/>
        </w:rPr>
        <w:t>Описание объектов недвижимости 1 сегмента «Сельскохозяйственное использование»</w:t>
      </w:r>
    </w:p>
    <w:p w14:paraId="3E6AC24F" w14:textId="77777777" w:rsidR="00E16C06" w:rsidRPr="00E16C06" w:rsidRDefault="00E16C06" w:rsidP="00E16C06">
      <w:pPr>
        <w:spacing w:after="0" w:line="276" w:lineRule="auto"/>
        <w:ind w:firstLine="709"/>
        <w:contextualSpacing/>
        <w:jc w:val="both"/>
        <w:rPr>
          <w:rFonts w:ascii="Times New Roman" w:hAnsi="Times New Roman" w:cs="Times New Roman"/>
          <w:sz w:val="26"/>
          <w:szCs w:val="26"/>
        </w:rPr>
      </w:pPr>
      <w:r w:rsidRPr="00E16C06">
        <w:rPr>
          <w:rFonts w:ascii="Times New Roman" w:hAnsi="Times New Roman" w:cs="Times New Roman"/>
          <w:sz w:val="26"/>
          <w:szCs w:val="26"/>
        </w:rPr>
        <w:t>Наибольшее количество земельных участков 1 сегмента сосредоточено в Калачеевском районе – 11 853 объектов. Наименьшее количество земельных участков 1 сегмента сосредоточено в г. Нововоронеже – 8 объектов, это объясняется тем, что основной отраслью данного населенного пункта является атомная энергетика (главная экономическая отрасль города).</w:t>
      </w:r>
    </w:p>
    <w:p w14:paraId="20AD1975" w14:textId="77777777" w:rsidR="00E16C06" w:rsidRPr="00E16C06" w:rsidRDefault="00E16C06" w:rsidP="00E16C06">
      <w:pPr>
        <w:spacing w:after="0" w:line="276" w:lineRule="auto"/>
        <w:ind w:firstLine="709"/>
        <w:contextualSpacing/>
        <w:jc w:val="right"/>
        <w:rPr>
          <w:rFonts w:ascii="Times New Roman" w:hAnsi="Times New Roman" w:cs="Times New Roman"/>
          <w:sz w:val="26"/>
          <w:szCs w:val="26"/>
        </w:rPr>
      </w:pPr>
      <w:r w:rsidRPr="00E16C06">
        <w:rPr>
          <w:rFonts w:ascii="Times New Roman" w:hAnsi="Times New Roman" w:cs="Times New Roman"/>
          <w:sz w:val="26"/>
          <w:szCs w:val="26"/>
        </w:rPr>
        <w:t xml:space="preserve">Таблица </w:t>
      </w:r>
      <w:r w:rsidRPr="00E16C06">
        <w:rPr>
          <w:rFonts w:ascii="Times New Roman" w:eastAsia="Times New Roman" w:hAnsi="Times New Roman" w:cs="Times New Roman"/>
          <w:spacing w:val="-5"/>
          <w:sz w:val="26"/>
          <w:szCs w:val="26"/>
        </w:rPr>
        <w:t>3.3.2.3</w:t>
      </w:r>
    </w:p>
    <w:p w14:paraId="2BB65F4B"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Распределение земельных участков и площадей, относящихся</w:t>
      </w:r>
    </w:p>
    <w:p w14:paraId="0E728628"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к сегменту 1 «Сельскохозяйственное использование»,</w:t>
      </w:r>
    </w:p>
    <w:p w14:paraId="5A917210"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по муниципальным районам Воронежской области</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977"/>
        <w:gridCol w:w="3402"/>
      </w:tblGrid>
      <w:tr w:rsidR="00E16C06" w:rsidRPr="00E16C06" w14:paraId="7D4F3E41" w14:textId="77777777" w:rsidTr="00E16C06">
        <w:trPr>
          <w:trHeight w:val="315"/>
          <w:jc w:val="center"/>
        </w:trPr>
        <w:tc>
          <w:tcPr>
            <w:tcW w:w="3109" w:type="dxa"/>
            <w:noWrap/>
            <w:vAlign w:val="center"/>
            <w:hideMark/>
          </w:tcPr>
          <w:p w14:paraId="18D1BF3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Район</w:t>
            </w:r>
          </w:p>
        </w:tc>
        <w:tc>
          <w:tcPr>
            <w:tcW w:w="2977" w:type="dxa"/>
            <w:noWrap/>
            <w:vAlign w:val="center"/>
            <w:hideMark/>
          </w:tcPr>
          <w:p w14:paraId="41A2181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Количество ЗУ</w:t>
            </w:r>
          </w:p>
        </w:tc>
        <w:tc>
          <w:tcPr>
            <w:tcW w:w="3402" w:type="dxa"/>
            <w:noWrap/>
            <w:vAlign w:val="center"/>
            <w:hideMark/>
          </w:tcPr>
          <w:p w14:paraId="02832C8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Площадь, кв. м.</w:t>
            </w:r>
          </w:p>
        </w:tc>
      </w:tr>
      <w:tr w:rsidR="00E16C06" w:rsidRPr="00E16C06" w14:paraId="59112764" w14:textId="77777777" w:rsidTr="00E16C06">
        <w:trPr>
          <w:trHeight w:val="300"/>
          <w:jc w:val="center"/>
        </w:trPr>
        <w:tc>
          <w:tcPr>
            <w:tcW w:w="3109" w:type="dxa"/>
            <w:shd w:val="clear" w:color="auto" w:fill="auto"/>
            <w:noWrap/>
            <w:hideMark/>
          </w:tcPr>
          <w:p w14:paraId="64144B4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Аннинский</w:t>
            </w:r>
          </w:p>
        </w:tc>
        <w:tc>
          <w:tcPr>
            <w:tcW w:w="2977" w:type="dxa"/>
            <w:shd w:val="clear" w:color="auto" w:fill="auto"/>
            <w:noWrap/>
            <w:hideMark/>
          </w:tcPr>
          <w:p w14:paraId="799A04A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2903</w:t>
            </w:r>
          </w:p>
        </w:tc>
        <w:tc>
          <w:tcPr>
            <w:tcW w:w="3402" w:type="dxa"/>
            <w:shd w:val="clear" w:color="auto" w:fill="auto"/>
            <w:noWrap/>
            <w:hideMark/>
          </w:tcPr>
          <w:p w14:paraId="24B1EE5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1 735 690 458</w:t>
            </w:r>
          </w:p>
        </w:tc>
      </w:tr>
      <w:tr w:rsidR="00E16C06" w:rsidRPr="00E16C06" w14:paraId="1E094F49" w14:textId="77777777" w:rsidTr="00E16C06">
        <w:trPr>
          <w:trHeight w:val="300"/>
          <w:jc w:val="center"/>
        </w:trPr>
        <w:tc>
          <w:tcPr>
            <w:tcW w:w="3109" w:type="dxa"/>
            <w:shd w:val="clear" w:color="auto" w:fill="auto"/>
            <w:noWrap/>
            <w:hideMark/>
          </w:tcPr>
          <w:p w14:paraId="0221127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Бобровский</w:t>
            </w:r>
          </w:p>
        </w:tc>
        <w:tc>
          <w:tcPr>
            <w:tcW w:w="2977" w:type="dxa"/>
            <w:shd w:val="clear" w:color="auto" w:fill="auto"/>
            <w:noWrap/>
            <w:hideMark/>
          </w:tcPr>
          <w:p w14:paraId="49CEA26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1608</w:t>
            </w:r>
          </w:p>
        </w:tc>
        <w:tc>
          <w:tcPr>
            <w:tcW w:w="3402" w:type="dxa"/>
            <w:shd w:val="clear" w:color="auto" w:fill="auto"/>
            <w:noWrap/>
            <w:hideMark/>
          </w:tcPr>
          <w:p w14:paraId="1739C36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1 456 528 015</w:t>
            </w:r>
          </w:p>
        </w:tc>
      </w:tr>
      <w:tr w:rsidR="00E16C06" w:rsidRPr="00E16C06" w14:paraId="5C88DA73" w14:textId="77777777" w:rsidTr="00E16C06">
        <w:trPr>
          <w:trHeight w:val="300"/>
          <w:jc w:val="center"/>
        </w:trPr>
        <w:tc>
          <w:tcPr>
            <w:tcW w:w="3109" w:type="dxa"/>
            <w:shd w:val="clear" w:color="auto" w:fill="auto"/>
            <w:noWrap/>
            <w:hideMark/>
          </w:tcPr>
          <w:p w14:paraId="66335E5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Богучарский</w:t>
            </w:r>
          </w:p>
        </w:tc>
        <w:tc>
          <w:tcPr>
            <w:tcW w:w="2977" w:type="dxa"/>
            <w:shd w:val="clear" w:color="auto" w:fill="auto"/>
            <w:noWrap/>
            <w:hideMark/>
          </w:tcPr>
          <w:p w14:paraId="5BB6F9A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4046</w:t>
            </w:r>
          </w:p>
        </w:tc>
        <w:tc>
          <w:tcPr>
            <w:tcW w:w="3402" w:type="dxa"/>
            <w:shd w:val="clear" w:color="auto" w:fill="auto"/>
            <w:noWrap/>
            <w:hideMark/>
          </w:tcPr>
          <w:p w14:paraId="1593A76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2 223 550 876</w:t>
            </w:r>
          </w:p>
        </w:tc>
      </w:tr>
      <w:tr w:rsidR="00E16C06" w:rsidRPr="00E16C06" w14:paraId="267F33CA" w14:textId="77777777" w:rsidTr="00E16C06">
        <w:trPr>
          <w:trHeight w:val="300"/>
          <w:jc w:val="center"/>
        </w:trPr>
        <w:tc>
          <w:tcPr>
            <w:tcW w:w="3109" w:type="dxa"/>
            <w:shd w:val="clear" w:color="auto" w:fill="auto"/>
            <w:noWrap/>
            <w:hideMark/>
          </w:tcPr>
          <w:p w14:paraId="0931600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Борисоглебский</w:t>
            </w:r>
          </w:p>
        </w:tc>
        <w:tc>
          <w:tcPr>
            <w:tcW w:w="2977" w:type="dxa"/>
            <w:shd w:val="clear" w:color="auto" w:fill="auto"/>
            <w:noWrap/>
            <w:hideMark/>
          </w:tcPr>
          <w:p w14:paraId="463E5FE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1133</w:t>
            </w:r>
          </w:p>
        </w:tc>
        <w:tc>
          <w:tcPr>
            <w:tcW w:w="3402" w:type="dxa"/>
            <w:shd w:val="clear" w:color="auto" w:fill="auto"/>
            <w:noWrap/>
            <w:hideMark/>
          </w:tcPr>
          <w:p w14:paraId="61F2464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1 352 164 095</w:t>
            </w:r>
          </w:p>
        </w:tc>
      </w:tr>
      <w:tr w:rsidR="00E16C06" w:rsidRPr="00E16C06" w14:paraId="030B044D" w14:textId="77777777" w:rsidTr="00E16C06">
        <w:trPr>
          <w:trHeight w:val="300"/>
          <w:jc w:val="center"/>
        </w:trPr>
        <w:tc>
          <w:tcPr>
            <w:tcW w:w="3109" w:type="dxa"/>
            <w:shd w:val="clear" w:color="auto" w:fill="auto"/>
            <w:noWrap/>
            <w:hideMark/>
          </w:tcPr>
          <w:p w14:paraId="78F29AF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Бутурлиновский</w:t>
            </w:r>
          </w:p>
        </w:tc>
        <w:tc>
          <w:tcPr>
            <w:tcW w:w="2977" w:type="dxa"/>
            <w:shd w:val="clear" w:color="auto" w:fill="auto"/>
            <w:noWrap/>
            <w:hideMark/>
          </w:tcPr>
          <w:p w14:paraId="0E307DC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2649</w:t>
            </w:r>
          </w:p>
        </w:tc>
        <w:tc>
          <w:tcPr>
            <w:tcW w:w="3402" w:type="dxa"/>
            <w:shd w:val="clear" w:color="auto" w:fill="auto"/>
            <w:noWrap/>
            <w:hideMark/>
          </w:tcPr>
          <w:p w14:paraId="7556190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1 436 697 736</w:t>
            </w:r>
          </w:p>
        </w:tc>
      </w:tr>
      <w:tr w:rsidR="00E16C06" w:rsidRPr="00E16C06" w14:paraId="737F2D51" w14:textId="77777777" w:rsidTr="00E16C06">
        <w:trPr>
          <w:trHeight w:val="300"/>
          <w:jc w:val="center"/>
        </w:trPr>
        <w:tc>
          <w:tcPr>
            <w:tcW w:w="3109" w:type="dxa"/>
            <w:shd w:val="clear" w:color="auto" w:fill="auto"/>
            <w:noWrap/>
            <w:hideMark/>
          </w:tcPr>
          <w:p w14:paraId="58B0C10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Верхнемамонский</w:t>
            </w:r>
          </w:p>
        </w:tc>
        <w:tc>
          <w:tcPr>
            <w:tcW w:w="2977" w:type="dxa"/>
            <w:shd w:val="clear" w:color="auto" w:fill="auto"/>
            <w:noWrap/>
            <w:hideMark/>
          </w:tcPr>
          <w:p w14:paraId="0FEA3F8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1542</w:t>
            </w:r>
          </w:p>
        </w:tc>
        <w:tc>
          <w:tcPr>
            <w:tcW w:w="3402" w:type="dxa"/>
            <w:shd w:val="clear" w:color="auto" w:fill="auto"/>
            <w:noWrap/>
            <w:hideMark/>
          </w:tcPr>
          <w:p w14:paraId="2894E76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979 833 882</w:t>
            </w:r>
          </w:p>
        </w:tc>
      </w:tr>
      <w:tr w:rsidR="00E16C06" w:rsidRPr="00E16C06" w14:paraId="779FA8C5" w14:textId="77777777" w:rsidTr="00E16C06">
        <w:trPr>
          <w:trHeight w:val="300"/>
          <w:jc w:val="center"/>
        </w:trPr>
        <w:tc>
          <w:tcPr>
            <w:tcW w:w="3109" w:type="dxa"/>
            <w:shd w:val="clear" w:color="auto" w:fill="auto"/>
            <w:noWrap/>
            <w:hideMark/>
          </w:tcPr>
          <w:p w14:paraId="70FA6BC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Верхнехавский</w:t>
            </w:r>
          </w:p>
        </w:tc>
        <w:tc>
          <w:tcPr>
            <w:tcW w:w="2977" w:type="dxa"/>
            <w:shd w:val="clear" w:color="auto" w:fill="auto"/>
            <w:noWrap/>
            <w:hideMark/>
          </w:tcPr>
          <w:p w14:paraId="52053B6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1845</w:t>
            </w:r>
          </w:p>
        </w:tc>
        <w:tc>
          <w:tcPr>
            <w:tcW w:w="3402" w:type="dxa"/>
            <w:shd w:val="clear" w:color="auto" w:fill="auto"/>
            <w:noWrap/>
            <w:hideMark/>
          </w:tcPr>
          <w:p w14:paraId="2DC4F2B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1 114 955 573</w:t>
            </w:r>
          </w:p>
        </w:tc>
      </w:tr>
      <w:tr w:rsidR="00E16C06" w:rsidRPr="00E16C06" w14:paraId="38814705" w14:textId="77777777" w:rsidTr="00E16C06">
        <w:trPr>
          <w:trHeight w:val="300"/>
          <w:jc w:val="center"/>
        </w:trPr>
        <w:tc>
          <w:tcPr>
            <w:tcW w:w="3109" w:type="dxa"/>
            <w:shd w:val="clear" w:color="auto" w:fill="auto"/>
            <w:noWrap/>
            <w:hideMark/>
          </w:tcPr>
          <w:p w14:paraId="431A956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Воробьевский</w:t>
            </w:r>
          </w:p>
        </w:tc>
        <w:tc>
          <w:tcPr>
            <w:tcW w:w="2977" w:type="dxa"/>
            <w:shd w:val="clear" w:color="auto" w:fill="auto"/>
            <w:noWrap/>
            <w:hideMark/>
          </w:tcPr>
          <w:p w14:paraId="6DE2C31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1559</w:t>
            </w:r>
          </w:p>
        </w:tc>
        <w:tc>
          <w:tcPr>
            <w:tcW w:w="3402" w:type="dxa"/>
            <w:shd w:val="clear" w:color="auto" w:fill="auto"/>
            <w:noWrap/>
            <w:hideMark/>
          </w:tcPr>
          <w:p w14:paraId="2F645E4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1 032 701 986</w:t>
            </w:r>
          </w:p>
        </w:tc>
      </w:tr>
      <w:tr w:rsidR="00E16C06" w:rsidRPr="00E16C06" w14:paraId="5FB13FE0" w14:textId="77777777" w:rsidTr="00E16C06">
        <w:trPr>
          <w:trHeight w:val="300"/>
          <w:jc w:val="center"/>
        </w:trPr>
        <w:tc>
          <w:tcPr>
            <w:tcW w:w="3109" w:type="dxa"/>
            <w:shd w:val="clear" w:color="auto" w:fill="auto"/>
            <w:noWrap/>
            <w:hideMark/>
          </w:tcPr>
          <w:p w14:paraId="528E6F5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ГО г. Воронеж</w:t>
            </w:r>
          </w:p>
        </w:tc>
        <w:tc>
          <w:tcPr>
            <w:tcW w:w="2977" w:type="dxa"/>
            <w:shd w:val="clear" w:color="auto" w:fill="auto"/>
            <w:noWrap/>
            <w:hideMark/>
          </w:tcPr>
          <w:p w14:paraId="3D53603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663</w:t>
            </w:r>
          </w:p>
        </w:tc>
        <w:tc>
          <w:tcPr>
            <w:tcW w:w="3402" w:type="dxa"/>
            <w:shd w:val="clear" w:color="auto" w:fill="auto"/>
            <w:noWrap/>
            <w:hideMark/>
          </w:tcPr>
          <w:p w14:paraId="429EC32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58 899 763</w:t>
            </w:r>
          </w:p>
        </w:tc>
      </w:tr>
      <w:tr w:rsidR="00E16C06" w:rsidRPr="00E16C06" w14:paraId="3A6FDF31" w14:textId="77777777" w:rsidTr="00E16C06">
        <w:trPr>
          <w:trHeight w:val="300"/>
          <w:jc w:val="center"/>
        </w:trPr>
        <w:tc>
          <w:tcPr>
            <w:tcW w:w="3109" w:type="dxa"/>
            <w:shd w:val="clear" w:color="auto" w:fill="auto"/>
            <w:noWrap/>
            <w:hideMark/>
          </w:tcPr>
          <w:p w14:paraId="2DEC619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ГО Нововоронеж</w:t>
            </w:r>
          </w:p>
        </w:tc>
        <w:tc>
          <w:tcPr>
            <w:tcW w:w="2977" w:type="dxa"/>
            <w:shd w:val="clear" w:color="auto" w:fill="auto"/>
            <w:noWrap/>
            <w:hideMark/>
          </w:tcPr>
          <w:p w14:paraId="6069E42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w:t>
            </w:r>
          </w:p>
        </w:tc>
        <w:tc>
          <w:tcPr>
            <w:tcW w:w="3402" w:type="dxa"/>
            <w:shd w:val="clear" w:color="auto" w:fill="auto"/>
            <w:noWrap/>
            <w:hideMark/>
          </w:tcPr>
          <w:p w14:paraId="5962B2B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3 401 580</w:t>
            </w:r>
          </w:p>
        </w:tc>
      </w:tr>
      <w:tr w:rsidR="00E16C06" w:rsidRPr="00E16C06" w14:paraId="65D463DF" w14:textId="77777777" w:rsidTr="00E16C06">
        <w:trPr>
          <w:trHeight w:val="300"/>
          <w:jc w:val="center"/>
        </w:trPr>
        <w:tc>
          <w:tcPr>
            <w:tcW w:w="3109" w:type="dxa"/>
            <w:shd w:val="clear" w:color="auto" w:fill="auto"/>
            <w:noWrap/>
            <w:hideMark/>
          </w:tcPr>
          <w:p w14:paraId="70D22F2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Грибановский</w:t>
            </w:r>
          </w:p>
        </w:tc>
        <w:tc>
          <w:tcPr>
            <w:tcW w:w="2977" w:type="dxa"/>
            <w:shd w:val="clear" w:color="auto" w:fill="auto"/>
            <w:noWrap/>
            <w:hideMark/>
          </w:tcPr>
          <w:p w14:paraId="4A6872B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4011</w:t>
            </w:r>
          </w:p>
        </w:tc>
        <w:tc>
          <w:tcPr>
            <w:tcW w:w="3402" w:type="dxa"/>
            <w:shd w:val="clear" w:color="auto" w:fill="auto"/>
            <w:noWrap/>
            <w:hideMark/>
          </w:tcPr>
          <w:p w14:paraId="2404C3B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1 675 961 303</w:t>
            </w:r>
          </w:p>
        </w:tc>
      </w:tr>
      <w:tr w:rsidR="00E16C06" w:rsidRPr="00E16C06" w14:paraId="705B0E73" w14:textId="77777777" w:rsidTr="00E16C06">
        <w:trPr>
          <w:trHeight w:val="300"/>
          <w:jc w:val="center"/>
        </w:trPr>
        <w:tc>
          <w:tcPr>
            <w:tcW w:w="3109" w:type="dxa"/>
            <w:shd w:val="clear" w:color="auto" w:fill="auto"/>
            <w:noWrap/>
            <w:hideMark/>
          </w:tcPr>
          <w:p w14:paraId="2008448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Калачеевский</w:t>
            </w:r>
          </w:p>
        </w:tc>
        <w:tc>
          <w:tcPr>
            <w:tcW w:w="2977" w:type="dxa"/>
            <w:shd w:val="clear" w:color="auto" w:fill="auto"/>
            <w:noWrap/>
            <w:hideMark/>
          </w:tcPr>
          <w:p w14:paraId="783A5CD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11853</w:t>
            </w:r>
          </w:p>
        </w:tc>
        <w:tc>
          <w:tcPr>
            <w:tcW w:w="3402" w:type="dxa"/>
            <w:shd w:val="clear" w:color="auto" w:fill="auto"/>
            <w:noWrap/>
            <w:hideMark/>
          </w:tcPr>
          <w:p w14:paraId="7209785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1 888 432 979</w:t>
            </w:r>
          </w:p>
        </w:tc>
      </w:tr>
      <w:tr w:rsidR="00E16C06" w:rsidRPr="00E16C06" w14:paraId="576628B3" w14:textId="77777777" w:rsidTr="00E16C06">
        <w:trPr>
          <w:trHeight w:val="300"/>
          <w:jc w:val="center"/>
        </w:trPr>
        <w:tc>
          <w:tcPr>
            <w:tcW w:w="3109" w:type="dxa"/>
            <w:shd w:val="clear" w:color="auto" w:fill="auto"/>
            <w:noWrap/>
            <w:hideMark/>
          </w:tcPr>
          <w:p w14:paraId="7046586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Каменский</w:t>
            </w:r>
          </w:p>
        </w:tc>
        <w:tc>
          <w:tcPr>
            <w:tcW w:w="2977" w:type="dxa"/>
            <w:shd w:val="clear" w:color="auto" w:fill="auto"/>
            <w:noWrap/>
            <w:hideMark/>
          </w:tcPr>
          <w:p w14:paraId="55BB10C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6625</w:t>
            </w:r>
          </w:p>
        </w:tc>
        <w:tc>
          <w:tcPr>
            <w:tcW w:w="3402" w:type="dxa"/>
            <w:shd w:val="clear" w:color="auto" w:fill="auto"/>
            <w:noWrap/>
            <w:hideMark/>
          </w:tcPr>
          <w:p w14:paraId="0480AC7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795 322 225</w:t>
            </w:r>
          </w:p>
        </w:tc>
      </w:tr>
      <w:tr w:rsidR="00E16C06" w:rsidRPr="00E16C06" w14:paraId="6E407671" w14:textId="77777777" w:rsidTr="00E16C06">
        <w:trPr>
          <w:trHeight w:val="300"/>
          <w:jc w:val="center"/>
        </w:trPr>
        <w:tc>
          <w:tcPr>
            <w:tcW w:w="3109" w:type="dxa"/>
            <w:shd w:val="clear" w:color="auto" w:fill="auto"/>
            <w:noWrap/>
            <w:hideMark/>
          </w:tcPr>
          <w:p w14:paraId="05344D7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Кантемировский</w:t>
            </w:r>
          </w:p>
        </w:tc>
        <w:tc>
          <w:tcPr>
            <w:tcW w:w="2977" w:type="dxa"/>
            <w:shd w:val="clear" w:color="auto" w:fill="auto"/>
            <w:noWrap/>
            <w:hideMark/>
          </w:tcPr>
          <w:p w14:paraId="428BCFE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2381</w:t>
            </w:r>
          </w:p>
        </w:tc>
        <w:tc>
          <w:tcPr>
            <w:tcW w:w="3402" w:type="dxa"/>
            <w:shd w:val="clear" w:color="auto" w:fill="auto"/>
            <w:noWrap/>
            <w:hideMark/>
          </w:tcPr>
          <w:p w14:paraId="08B3A15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2 758 577 297</w:t>
            </w:r>
          </w:p>
        </w:tc>
      </w:tr>
      <w:tr w:rsidR="00E16C06" w:rsidRPr="00E16C06" w14:paraId="7AE4FE48" w14:textId="77777777" w:rsidTr="00E16C06">
        <w:trPr>
          <w:trHeight w:val="300"/>
          <w:jc w:val="center"/>
        </w:trPr>
        <w:tc>
          <w:tcPr>
            <w:tcW w:w="3109" w:type="dxa"/>
            <w:shd w:val="clear" w:color="auto" w:fill="auto"/>
            <w:noWrap/>
            <w:hideMark/>
          </w:tcPr>
          <w:p w14:paraId="3A0CBAF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Каширский</w:t>
            </w:r>
          </w:p>
        </w:tc>
        <w:tc>
          <w:tcPr>
            <w:tcW w:w="2977" w:type="dxa"/>
            <w:shd w:val="clear" w:color="auto" w:fill="auto"/>
            <w:noWrap/>
            <w:hideMark/>
          </w:tcPr>
          <w:p w14:paraId="156DA7E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3126</w:t>
            </w:r>
          </w:p>
        </w:tc>
        <w:tc>
          <w:tcPr>
            <w:tcW w:w="3402" w:type="dxa"/>
            <w:shd w:val="clear" w:color="auto" w:fill="auto"/>
            <w:noWrap/>
            <w:hideMark/>
          </w:tcPr>
          <w:p w14:paraId="2ACFA47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1 317 358 991</w:t>
            </w:r>
          </w:p>
        </w:tc>
      </w:tr>
      <w:tr w:rsidR="00E16C06" w:rsidRPr="00E16C06" w14:paraId="09F801A9" w14:textId="77777777" w:rsidTr="00E16C06">
        <w:trPr>
          <w:trHeight w:val="300"/>
          <w:jc w:val="center"/>
        </w:trPr>
        <w:tc>
          <w:tcPr>
            <w:tcW w:w="3109" w:type="dxa"/>
            <w:shd w:val="clear" w:color="auto" w:fill="auto"/>
            <w:noWrap/>
            <w:hideMark/>
          </w:tcPr>
          <w:p w14:paraId="3DFC11E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Лискинский</w:t>
            </w:r>
          </w:p>
        </w:tc>
        <w:tc>
          <w:tcPr>
            <w:tcW w:w="2977" w:type="dxa"/>
            <w:shd w:val="clear" w:color="auto" w:fill="auto"/>
            <w:noWrap/>
            <w:hideMark/>
          </w:tcPr>
          <w:p w14:paraId="0A48C86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2141</w:t>
            </w:r>
          </w:p>
        </w:tc>
        <w:tc>
          <w:tcPr>
            <w:tcW w:w="3402" w:type="dxa"/>
            <w:shd w:val="clear" w:color="auto" w:fill="auto"/>
            <w:noWrap/>
            <w:hideMark/>
          </w:tcPr>
          <w:p w14:paraId="253C00D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1 601 715 909</w:t>
            </w:r>
          </w:p>
        </w:tc>
      </w:tr>
      <w:tr w:rsidR="00E16C06" w:rsidRPr="00E16C06" w14:paraId="4AF31856" w14:textId="77777777" w:rsidTr="00E16C06">
        <w:trPr>
          <w:trHeight w:val="300"/>
          <w:jc w:val="center"/>
        </w:trPr>
        <w:tc>
          <w:tcPr>
            <w:tcW w:w="3109" w:type="dxa"/>
            <w:shd w:val="clear" w:color="auto" w:fill="auto"/>
            <w:noWrap/>
            <w:hideMark/>
          </w:tcPr>
          <w:p w14:paraId="0A64588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Нижнедевицкий</w:t>
            </w:r>
          </w:p>
        </w:tc>
        <w:tc>
          <w:tcPr>
            <w:tcW w:w="2977" w:type="dxa"/>
            <w:shd w:val="clear" w:color="auto" w:fill="auto"/>
            <w:noWrap/>
            <w:hideMark/>
          </w:tcPr>
          <w:p w14:paraId="46A6273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1740</w:t>
            </w:r>
          </w:p>
        </w:tc>
        <w:tc>
          <w:tcPr>
            <w:tcW w:w="3402" w:type="dxa"/>
            <w:shd w:val="clear" w:color="auto" w:fill="auto"/>
            <w:noWrap/>
            <w:hideMark/>
          </w:tcPr>
          <w:p w14:paraId="6F3B247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1 239 971 213</w:t>
            </w:r>
          </w:p>
        </w:tc>
      </w:tr>
      <w:tr w:rsidR="00E16C06" w:rsidRPr="00E16C06" w14:paraId="128B8085" w14:textId="77777777" w:rsidTr="00E16C06">
        <w:trPr>
          <w:trHeight w:val="300"/>
          <w:jc w:val="center"/>
        </w:trPr>
        <w:tc>
          <w:tcPr>
            <w:tcW w:w="3109" w:type="dxa"/>
            <w:shd w:val="clear" w:color="auto" w:fill="auto"/>
            <w:noWrap/>
            <w:hideMark/>
          </w:tcPr>
          <w:p w14:paraId="6AF9881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Новоусманский</w:t>
            </w:r>
          </w:p>
        </w:tc>
        <w:tc>
          <w:tcPr>
            <w:tcW w:w="2977" w:type="dxa"/>
            <w:shd w:val="clear" w:color="auto" w:fill="auto"/>
            <w:noWrap/>
            <w:hideMark/>
          </w:tcPr>
          <w:p w14:paraId="01E7977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2104</w:t>
            </w:r>
          </w:p>
        </w:tc>
        <w:tc>
          <w:tcPr>
            <w:tcW w:w="3402" w:type="dxa"/>
            <w:shd w:val="clear" w:color="auto" w:fill="auto"/>
            <w:noWrap/>
            <w:hideMark/>
          </w:tcPr>
          <w:p w14:paraId="2CAA0B9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1 016 573 264</w:t>
            </w:r>
          </w:p>
        </w:tc>
      </w:tr>
      <w:tr w:rsidR="00E16C06" w:rsidRPr="00E16C06" w14:paraId="711A03D8" w14:textId="77777777" w:rsidTr="00E16C06">
        <w:trPr>
          <w:trHeight w:val="300"/>
          <w:jc w:val="center"/>
        </w:trPr>
        <w:tc>
          <w:tcPr>
            <w:tcW w:w="3109" w:type="dxa"/>
            <w:shd w:val="clear" w:color="auto" w:fill="auto"/>
            <w:noWrap/>
            <w:hideMark/>
          </w:tcPr>
          <w:p w14:paraId="0CCE1E9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Новохоперский</w:t>
            </w:r>
          </w:p>
        </w:tc>
        <w:tc>
          <w:tcPr>
            <w:tcW w:w="2977" w:type="dxa"/>
            <w:shd w:val="clear" w:color="auto" w:fill="auto"/>
            <w:noWrap/>
            <w:hideMark/>
          </w:tcPr>
          <w:p w14:paraId="5A779FF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5322</w:t>
            </w:r>
          </w:p>
        </w:tc>
        <w:tc>
          <w:tcPr>
            <w:tcW w:w="3402" w:type="dxa"/>
            <w:shd w:val="clear" w:color="auto" w:fill="auto"/>
            <w:noWrap/>
            <w:hideMark/>
          </w:tcPr>
          <w:p w14:paraId="3A412AF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1 699 566 110</w:t>
            </w:r>
          </w:p>
        </w:tc>
      </w:tr>
      <w:tr w:rsidR="00E16C06" w:rsidRPr="00E16C06" w14:paraId="50248C84" w14:textId="77777777" w:rsidTr="00E16C06">
        <w:trPr>
          <w:trHeight w:val="300"/>
          <w:jc w:val="center"/>
        </w:trPr>
        <w:tc>
          <w:tcPr>
            <w:tcW w:w="3109" w:type="dxa"/>
            <w:shd w:val="clear" w:color="auto" w:fill="auto"/>
            <w:noWrap/>
            <w:hideMark/>
          </w:tcPr>
          <w:p w14:paraId="0E12659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Ольховатский</w:t>
            </w:r>
          </w:p>
        </w:tc>
        <w:tc>
          <w:tcPr>
            <w:tcW w:w="2977" w:type="dxa"/>
            <w:shd w:val="clear" w:color="auto" w:fill="auto"/>
            <w:noWrap/>
            <w:hideMark/>
          </w:tcPr>
          <w:p w14:paraId="72CF14F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1517</w:t>
            </w:r>
          </w:p>
        </w:tc>
        <w:tc>
          <w:tcPr>
            <w:tcW w:w="3402" w:type="dxa"/>
            <w:shd w:val="clear" w:color="auto" w:fill="auto"/>
            <w:noWrap/>
            <w:hideMark/>
          </w:tcPr>
          <w:p w14:paraId="0D63FE6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837 789 550</w:t>
            </w:r>
          </w:p>
        </w:tc>
      </w:tr>
      <w:tr w:rsidR="00E16C06" w:rsidRPr="00E16C06" w14:paraId="18DB5CCA" w14:textId="77777777" w:rsidTr="00E16C06">
        <w:trPr>
          <w:trHeight w:val="300"/>
          <w:jc w:val="center"/>
        </w:trPr>
        <w:tc>
          <w:tcPr>
            <w:tcW w:w="3109" w:type="dxa"/>
            <w:shd w:val="clear" w:color="auto" w:fill="auto"/>
            <w:noWrap/>
            <w:hideMark/>
          </w:tcPr>
          <w:p w14:paraId="252F738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Острогожский</w:t>
            </w:r>
          </w:p>
        </w:tc>
        <w:tc>
          <w:tcPr>
            <w:tcW w:w="2977" w:type="dxa"/>
            <w:shd w:val="clear" w:color="auto" w:fill="auto"/>
            <w:noWrap/>
            <w:hideMark/>
          </w:tcPr>
          <w:p w14:paraId="286FD82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2388</w:t>
            </w:r>
          </w:p>
        </w:tc>
        <w:tc>
          <w:tcPr>
            <w:tcW w:w="3402" w:type="dxa"/>
            <w:shd w:val="clear" w:color="auto" w:fill="auto"/>
            <w:noWrap/>
            <w:hideMark/>
          </w:tcPr>
          <w:p w14:paraId="65C3853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1 536 362 395</w:t>
            </w:r>
          </w:p>
        </w:tc>
      </w:tr>
      <w:tr w:rsidR="00E16C06" w:rsidRPr="00E16C06" w14:paraId="4BC39998" w14:textId="77777777" w:rsidTr="00E16C06">
        <w:trPr>
          <w:trHeight w:val="300"/>
          <w:jc w:val="center"/>
        </w:trPr>
        <w:tc>
          <w:tcPr>
            <w:tcW w:w="3109" w:type="dxa"/>
            <w:shd w:val="clear" w:color="auto" w:fill="auto"/>
            <w:noWrap/>
            <w:hideMark/>
          </w:tcPr>
          <w:p w14:paraId="32836CE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Павловский</w:t>
            </w:r>
          </w:p>
        </w:tc>
        <w:tc>
          <w:tcPr>
            <w:tcW w:w="2977" w:type="dxa"/>
            <w:shd w:val="clear" w:color="auto" w:fill="auto"/>
            <w:noWrap/>
            <w:hideMark/>
          </w:tcPr>
          <w:p w14:paraId="76F4AFC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4817</w:t>
            </w:r>
          </w:p>
        </w:tc>
        <w:tc>
          <w:tcPr>
            <w:tcW w:w="3402" w:type="dxa"/>
            <w:shd w:val="clear" w:color="auto" w:fill="auto"/>
            <w:noWrap/>
            <w:hideMark/>
          </w:tcPr>
          <w:p w14:paraId="24076BE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1 458 813 641</w:t>
            </w:r>
          </w:p>
        </w:tc>
      </w:tr>
      <w:tr w:rsidR="00E16C06" w:rsidRPr="00E16C06" w14:paraId="14649E3A" w14:textId="77777777" w:rsidTr="00E16C06">
        <w:trPr>
          <w:trHeight w:val="300"/>
          <w:jc w:val="center"/>
        </w:trPr>
        <w:tc>
          <w:tcPr>
            <w:tcW w:w="3109" w:type="dxa"/>
            <w:shd w:val="clear" w:color="auto" w:fill="auto"/>
            <w:noWrap/>
            <w:hideMark/>
          </w:tcPr>
          <w:p w14:paraId="29E82EC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Панинский</w:t>
            </w:r>
          </w:p>
        </w:tc>
        <w:tc>
          <w:tcPr>
            <w:tcW w:w="2977" w:type="dxa"/>
            <w:shd w:val="clear" w:color="auto" w:fill="auto"/>
            <w:noWrap/>
            <w:hideMark/>
          </w:tcPr>
          <w:p w14:paraId="4B57DBA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2301</w:t>
            </w:r>
          </w:p>
        </w:tc>
        <w:tc>
          <w:tcPr>
            <w:tcW w:w="3402" w:type="dxa"/>
            <w:shd w:val="clear" w:color="auto" w:fill="auto"/>
            <w:noWrap/>
            <w:hideMark/>
          </w:tcPr>
          <w:p w14:paraId="0492F24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1 249 730 111</w:t>
            </w:r>
          </w:p>
        </w:tc>
      </w:tr>
      <w:tr w:rsidR="00E16C06" w:rsidRPr="00E16C06" w14:paraId="703D97F7" w14:textId="77777777" w:rsidTr="00E16C06">
        <w:trPr>
          <w:trHeight w:val="300"/>
          <w:jc w:val="center"/>
        </w:trPr>
        <w:tc>
          <w:tcPr>
            <w:tcW w:w="3109" w:type="dxa"/>
            <w:shd w:val="clear" w:color="auto" w:fill="auto"/>
            <w:noWrap/>
            <w:hideMark/>
          </w:tcPr>
          <w:p w14:paraId="7316DF2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Петропавловский</w:t>
            </w:r>
          </w:p>
        </w:tc>
        <w:tc>
          <w:tcPr>
            <w:tcW w:w="2977" w:type="dxa"/>
            <w:shd w:val="clear" w:color="auto" w:fill="auto"/>
            <w:noWrap/>
            <w:hideMark/>
          </w:tcPr>
          <w:p w14:paraId="4F7BAAF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3110</w:t>
            </w:r>
          </w:p>
        </w:tc>
        <w:tc>
          <w:tcPr>
            <w:tcW w:w="3402" w:type="dxa"/>
            <w:shd w:val="clear" w:color="auto" w:fill="auto"/>
            <w:noWrap/>
            <w:hideMark/>
          </w:tcPr>
          <w:p w14:paraId="565AB0C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1 526 527 775</w:t>
            </w:r>
          </w:p>
        </w:tc>
      </w:tr>
      <w:tr w:rsidR="00E16C06" w:rsidRPr="00E16C06" w14:paraId="5DD36D8A" w14:textId="77777777" w:rsidTr="00E16C06">
        <w:trPr>
          <w:trHeight w:val="300"/>
          <w:jc w:val="center"/>
        </w:trPr>
        <w:tc>
          <w:tcPr>
            <w:tcW w:w="3109" w:type="dxa"/>
            <w:shd w:val="clear" w:color="auto" w:fill="auto"/>
            <w:noWrap/>
            <w:hideMark/>
          </w:tcPr>
          <w:p w14:paraId="05FBC35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Поворинский</w:t>
            </w:r>
          </w:p>
        </w:tc>
        <w:tc>
          <w:tcPr>
            <w:tcW w:w="2977" w:type="dxa"/>
            <w:shd w:val="clear" w:color="auto" w:fill="auto"/>
            <w:noWrap/>
            <w:hideMark/>
          </w:tcPr>
          <w:p w14:paraId="2682782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1216</w:t>
            </w:r>
          </w:p>
        </w:tc>
        <w:tc>
          <w:tcPr>
            <w:tcW w:w="3402" w:type="dxa"/>
            <w:shd w:val="clear" w:color="auto" w:fill="auto"/>
            <w:noWrap/>
            <w:hideMark/>
          </w:tcPr>
          <w:p w14:paraId="7648B1A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919 994 187</w:t>
            </w:r>
          </w:p>
        </w:tc>
      </w:tr>
      <w:tr w:rsidR="00E16C06" w:rsidRPr="00E16C06" w14:paraId="67BDB4AA" w14:textId="77777777" w:rsidTr="00E16C06">
        <w:trPr>
          <w:trHeight w:val="300"/>
          <w:jc w:val="center"/>
        </w:trPr>
        <w:tc>
          <w:tcPr>
            <w:tcW w:w="3109" w:type="dxa"/>
            <w:shd w:val="clear" w:color="auto" w:fill="auto"/>
            <w:noWrap/>
            <w:hideMark/>
          </w:tcPr>
          <w:p w14:paraId="131E314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Подгоренский</w:t>
            </w:r>
          </w:p>
        </w:tc>
        <w:tc>
          <w:tcPr>
            <w:tcW w:w="2977" w:type="dxa"/>
            <w:shd w:val="clear" w:color="auto" w:fill="auto"/>
            <w:noWrap/>
            <w:hideMark/>
          </w:tcPr>
          <w:p w14:paraId="085665F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2376</w:t>
            </w:r>
          </w:p>
        </w:tc>
        <w:tc>
          <w:tcPr>
            <w:tcW w:w="3402" w:type="dxa"/>
            <w:shd w:val="clear" w:color="auto" w:fill="auto"/>
            <w:noWrap/>
            <w:hideMark/>
          </w:tcPr>
          <w:p w14:paraId="7591718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1 364 916 475</w:t>
            </w:r>
          </w:p>
        </w:tc>
      </w:tr>
      <w:tr w:rsidR="00E16C06" w:rsidRPr="00E16C06" w14:paraId="070D5A4B" w14:textId="77777777" w:rsidTr="00E16C06">
        <w:trPr>
          <w:trHeight w:val="300"/>
          <w:jc w:val="center"/>
        </w:trPr>
        <w:tc>
          <w:tcPr>
            <w:tcW w:w="3109" w:type="dxa"/>
            <w:shd w:val="clear" w:color="auto" w:fill="auto"/>
            <w:noWrap/>
            <w:hideMark/>
          </w:tcPr>
          <w:p w14:paraId="73C8CF9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Рамонский</w:t>
            </w:r>
          </w:p>
        </w:tc>
        <w:tc>
          <w:tcPr>
            <w:tcW w:w="2977" w:type="dxa"/>
            <w:shd w:val="clear" w:color="auto" w:fill="auto"/>
            <w:noWrap/>
            <w:hideMark/>
          </w:tcPr>
          <w:p w14:paraId="79D010D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8721</w:t>
            </w:r>
          </w:p>
        </w:tc>
        <w:tc>
          <w:tcPr>
            <w:tcW w:w="3402" w:type="dxa"/>
            <w:shd w:val="clear" w:color="auto" w:fill="auto"/>
            <w:noWrap/>
            <w:hideMark/>
          </w:tcPr>
          <w:p w14:paraId="3E24062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846 812 948</w:t>
            </w:r>
          </w:p>
        </w:tc>
      </w:tr>
      <w:tr w:rsidR="00E16C06" w:rsidRPr="00E16C06" w14:paraId="0294F889" w14:textId="77777777" w:rsidTr="00E16C06">
        <w:trPr>
          <w:trHeight w:val="300"/>
          <w:jc w:val="center"/>
        </w:trPr>
        <w:tc>
          <w:tcPr>
            <w:tcW w:w="3109" w:type="dxa"/>
            <w:shd w:val="clear" w:color="auto" w:fill="auto"/>
            <w:noWrap/>
            <w:hideMark/>
          </w:tcPr>
          <w:p w14:paraId="264DAB5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Репьевский</w:t>
            </w:r>
          </w:p>
        </w:tc>
        <w:tc>
          <w:tcPr>
            <w:tcW w:w="2977" w:type="dxa"/>
            <w:shd w:val="clear" w:color="auto" w:fill="auto"/>
            <w:noWrap/>
            <w:hideMark/>
          </w:tcPr>
          <w:p w14:paraId="0CB2F60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2977</w:t>
            </w:r>
          </w:p>
        </w:tc>
        <w:tc>
          <w:tcPr>
            <w:tcW w:w="3402" w:type="dxa"/>
            <w:shd w:val="clear" w:color="auto" w:fill="auto"/>
            <w:noWrap/>
            <w:hideMark/>
          </w:tcPr>
          <w:p w14:paraId="4894768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782 250 923</w:t>
            </w:r>
          </w:p>
        </w:tc>
      </w:tr>
      <w:tr w:rsidR="00E16C06" w:rsidRPr="00E16C06" w14:paraId="2C82C41D" w14:textId="77777777" w:rsidTr="00E16C06">
        <w:trPr>
          <w:trHeight w:val="300"/>
          <w:jc w:val="center"/>
        </w:trPr>
        <w:tc>
          <w:tcPr>
            <w:tcW w:w="3109" w:type="dxa"/>
            <w:shd w:val="clear" w:color="auto" w:fill="auto"/>
            <w:noWrap/>
            <w:hideMark/>
          </w:tcPr>
          <w:p w14:paraId="280F562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Россошанский</w:t>
            </w:r>
          </w:p>
        </w:tc>
        <w:tc>
          <w:tcPr>
            <w:tcW w:w="2977" w:type="dxa"/>
            <w:shd w:val="clear" w:color="auto" w:fill="auto"/>
            <w:noWrap/>
            <w:hideMark/>
          </w:tcPr>
          <w:p w14:paraId="6F69848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3160</w:t>
            </w:r>
          </w:p>
        </w:tc>
        <w:tc>
          <w:tcPr>
            <w:tcW w:w="3402" w:type="dxa"/>
            <w:shd w:val="clear" w:color="auto" w:fill="auto"/>
            <w:noWrap/>
            <w:hideMark/>
          </w:tcPr>
          <w:p w14:paraId="3E0DA51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2 081 491 614</w:t>
            </w:r>
          </w:p>
        </w:tc>
      </w:tr>
      <w:tr w:rsidR="00E16C06" w:rsidRPr="00E16C06" w14:paraId="5D08DE38" w14:textId="77777777" w:rsidTr="00E16C06">
        <w:trPr>
          <w:trHeight w:val="300"/>
          <w:jc w:val="center"/>
        </w:trPr>
        <w:tc>
          <w:tcPr>
            <w:tcW w:w="3109" w:type="dxa"/>
            <w:shd w:val="clear" w:color="auto" w:fill="auto"/>
            <w:noWrap/>
            <w:hideMark/>
          </w:tcPr>
          <w:p w14:paraId="2FAA49D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Семилукский</w:t>
            </w:r>
          </w:p>
        </w:tc>
        <w:tc>
          <w:tcPr>
            <w:tcW w:w="2977" w:type="dxa"/>
            <w:shd w:val="clear" w:color="auto" w:fill="auto"/>
            <w:noWrap/>
            <w:hideMark/>
          </w:tcPr>
          <w:p w14:paraId="32DF13D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9651</w:t>
            </w:r>
          </w:p>
        </w:tc>
        <w:tc>
          <w:tcPr>
            <w:tcW w:w="3402" w:type="dxa"/>
            <w:shd w:val="clear" w:color="auto" w:fill="auto"/>
            <w:noWrap/>
            <w:hideMark/>
          </w:tcPr>
          <w:p w14:paraId="330835E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1 194 869 250</w:t>
            </w:r>
          </w:p>
        </w:tc>
      </w:tr>
      <w:tr w:rsidR="00E16C06" w:rsidRPr="00E16C06" w14:paraId="322DD794" w14:textId="77777777" w:rsidTr="00E16C06">
        <w:trPr>
          <w:trHeight w:val="300"/>
          <w:jc w:val="center"/>
        </w:trPr>
        <w:tc>
          <w:tcPr>
            <w:tcW w:w="3109" w:type="dxa"/>
            <w:shd w:val="clear" w:color="auto" w:fill="auto"/>
            <w:noWrap/>
            <w:hideMark/>
          </w:tcPr>
          <w:p w14:paraId="3841FB7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Таловский</w:t>
            </w:r>
          </w:p>
        </w:tc>
        <w:tc>
          <w:tcPr>
            <w:tcW w:w="2977" w:type="dxa"/>
            <w:shd w:val="clear" w:color="auto" w:fill="auto"/>
            <w:noWrap/>
            <w:hideMark/>
          </w:tcPr>
          <w:p w14:paraId="5659A88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9328</w:t>
            </w:r>
          </w:p>
        </w:tc>
        <w:tc>
          <w:tcPr>
            <w:tcW w:w="3402" w:type="dxa"/>
            <w:shd w:val="clear" w:color="auto" w:fill="auto"/>
            <w:noWrap/>
            <w:hideMark/>
          </w:tcPr>
          <w:p w14:paraId="48A30CC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2 152 600 981</w:t>
            </w:r>
          </w:p>
        </w:tc>
      </w:tr>
      <w:tr w:rsidR="00E16C06" w:rsidRPr="00E16C06" w14:paraId="1B4D7959" w14:textId="77777777" w:rsidTr="00E16C06">
        <w:trPr>
          <w:trHeight w:val="300"/>
          <w:jc w:val="center"/>
        </w:trPr>
        <w:tc>
          <w:tcPr>
            <w:tcW w:w="3109" w:type="dxa"/>
            <w:shd w:val="clear" w:color="auto" w:fill="auto"/>
            <w:noWrap/>
            <w:hideMark/>
          </w:tcPr>
          <w:p w14:paraId="23B425D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Терновский</w:t>
            </w:r>
          </w:p>
        </w:tc>
        <w:tc>
          <w:tcPr>
            <w:tcW w:w="2977" w:type="dxa"/>
            <w:shd w:val="clear" w:color="auto" w:fill="auto"/>
            <w:noWrap/>
            <w:hideMark/>
          </w:tcPr>
          <w:p w14:paraId="511C006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1978</w:t>
            </w:r>
          </w:p>
        </w:tc>
        <w:tc>
          <w:tcPr>
            <w:tcW w:w="3402" w:type="dxa"/>
            <w:shd w:val="clear" w:color="auto" w:fill="auto"/>
            <w:noWrap/>
            <w:hideMark/>
          </w:tcPr>
          <w:p w14:paraId="3A48F0D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1 306 914 180</w:t>
            </w:r>
          </w:p>
        </w:tc>
      </w:tr>
      <w:tr w:rsidR="00E16C06" w:rsidRPr="00E16C06" w14:paraId="1A86E4D1" w14:textId="77777777" w:rsidTr="00E16C06">
        <w:trPr>
          <w:trHeight w:val="300"/>
          <w:jc w:val="center"/>
        </w:trPr>
        <w:tc>
          <w:tcPr>
            <w:tcW w:w="3109" w:type="dxa"/>
            <w:shd w:val="clear" w:color="auto" w:fill="auto"/>
            <w:noWrap/>
            <w:hideMark/>
          </w:tcPr>
          <w:p w14:paraId="0635191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Хохольский</w:t>
            </w:r>
          </w:p>
        </w:tc>
        <w:tc>
          <w:tcPr>
            <w:tcW w:w="2977" w:type="dxa"/>
            <w:shd w:val="clear" w:color="auto" w:fill="auto"/>
            <w:noWrap/>
            <w:hideMark/>
          </w:tcPr>
          <w:p w14:paraId="3E110F7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2410</w:t>
            </w:r>
          </w:p>
        </w:tc>
        <w:tc>
          <w:tcPr>
            <w:tcW w:w="3402" w:type="dxa"/>
            <w:shd w:val="clear" w:color="auto" w:fill="auto"/>
            <w:noWrap/>
            <w:hideMark/>
          </w:tcPr>
          <w:p w14:paraId="2F8BA00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1 230 021 413</w:t>
            </w:r>
          </w:p>
        </w:tc>
      </w:tr>
      <w:tr w:rsidR="00E16C06" w:rsidRPr="00E16C06" w14:paraId="2FE90D66" w14:textId="77777777" w:rsidTr="00E16C06">
        <w:trPr>
          <w:trHeight w:val="300"/>
          <w:jc w:val="center"/>
        </w:trPr>
        <w:tc>
          <w:tcPr>
            <w:tcW w:w="3109" w:type="dxa"/>
            <w:shd w:val="clear" w:color="auto" w:fill="auto"/>
            <w:noWrap/>
            <w:hideMark/>
          </w:tcPr>
          <w:p w14:paraId="4404E93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Эртильский</w:t>
            </w:r>
          </w:p>
        </w:tc>
        <w:tc>
          <w:tcPr>
            <w:tcW w:w="2977" w:type="dxa"/>
            <w:shd w:val="clear" w:color="auto" w:fill="auto"/>
            <w:noWrap/>
            <w:hideMark/>
          </w:tcPr>
          <w:p w14:paraId="0B739AC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3243</w:t>
            </w:r>
          </w:p>
        </w:tc>
        <w:tc>
          <w:tcPr>
            <w:tcW w:w="3402" w:type="dxa"/>
            <w:shd w:val="clear" w:color="auto" w:fill="auto"/>
            <w:noWrap/>
            <w:hideMark/>
          </w:tcPr>
          <w:p w14:paraId="6D0690A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1 575 013 897</w:t>
            </w:r>
          </w:p>
        </w:tc>
      </w:tr>
      <w:tr w:rsidR="00E16C06" w:rsidRPr="00E16C06" w14:paraId="0124A2E9" w14:textId="77777777" w:rsidTr="00E16C06">
        <w:trPr>
          <w:trHeight w:val="315"/>
          <w:jc w:val="center"/>
        </w:trPr>
        <w:tc>
          <w:tcPr>
            <w:tcW w:w="3109" w:type="dxa"/>
            <w:noWrap/>
            <w:hideMark/>
          </w:tcPr>
          <w:p w14:paraId="1AB3BFB9"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14:textOutline w14:w="9525" w14:cap="rnd" w14:cmpd="sng" w14:algn="ctr">
                  <w14:noFill/>
                  <w14:prstDash w14:val="solid"/>
                  <w14:bevel/>
                </w14:textOutline>
              </w:rPr>
            </w:pPr>
            <w:r w:rsidRPr="00E16C06">
              <w:rPr>
                <w:rFonts w:ascii="Times New Roman" w:hAnsi="Times New Roman" w:cs="Times New Roman"/>
                <w:b/>
                <w:bCs/>
              </w:rPr>
              <w:t>Общий итог</w:t>
            </w:r>
          </w:p>
        </w:tc>
        <w:tc>
          <w:tcPr>
            <w:tcW w:w="2977" w:type="dxa"/>
            <w:shd w:val="clear" w:color="auto" w:fill="auto"/>
            <w:noWrap/>
            <w:hideMark/>
          </w:tcPr>
          <w:p w14:paraId="7CCEE27D"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116452</w:t>
            </w:r>
          </w:p>
        </w:tc>
        <w:tc>
          <w:tcPr>
            <w:tcW w:w="3402" w:type="dxa"/>
            <w:shd w:val="clear" w:color="auto" w:fill="auto"/>
            <w:noWrap/>
            <w:hideMark/>
          </w:tcPr>
          <w:p w14:paraId="27D3BDC9"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45 452 012 596</w:t>
            </w:r>
          </w:p>
        </w:tc>
      </w:tr>
    </w:tbl>
    <w:p w14:paraId="758A84C8" w14:textId="77777777" w:rsidR="00E16C06" w:rsidRPr="00E16C06" w:rsidRDefault="00E16C06" w:rsidP="00E16C06">
      <w:pPr>
        <w:spacing w:after="0" w:line="276" w:lineRule="auto"/>
        <w:contextualSpacing/>
        <w:rPr>
          <w:rFonts w:ascii="Times New Roman" w:hAnsi="Times New Roman" w:cs="Times New Roman"/>
        </w:rPr>
      </w:pPr>
      <w:r w:rsidRPr="00E16C06">
        <w:rPr>
          <w:rFonts w:ascii="Times New Roman" w:hAnsi="Times New Roman" w:cs="Times New Roman"/>
          <w:noProof/>
          <w:lang w:eastAsia="ru-RU"/>
        </w:rPr>
        <w:drawing>
          <wp:inline distT="0" distB="0" distL="0" distR="0" wp14:anchorId="540CF0B3" wp14:editId="0F7AF24D">
            <wp:extent cx="6257925" cy="4552950"/>
            <wp:effectExtent l="0" t="0" r="9525"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5E14D914" w14:textId="77777777" w:rsidR="00E16C06" w:rsidRPr="00E16C06" w:rsidRDefault="00E16C06" w:rsidP="00E16C06">
      <w:pPr>
        <w:spacing w:after="0" w:line="276" w:lineRule="auto"/>
        <w:contextualSpacing/>
        <w:rPr>
          <w:rFonts w:ascii="Times New Roman" w:hAnsi="Times New Roman" w:cs="Times New Roman"/>
        </w:rPr>
      </w:pPr>
    </w:p>
    <w:p w14:paraId="60D8B359"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Рис. 3.3.2.3 – Распределение земельных участков, относящихся</w:t>
      </w:r>
    </w:p>
    <w:p w14:paraId="74654A6D"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к сегменту 1 «Сельскохозяйственное использование»,</w:t>
      </w:r>
    </w:p>
    <w:p w14:paraId="6CE5236B"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по муниципальным районам Воронежской области</w:t>
      </w:r>
    </w:p>
    <w:p w14:paraId="2D8CA866" w14:textId="77777777" w:rsidR="00E16C06" w:rsidRPr="00E16C06" w:rsidRDefault="00E16C06" w:rsidP="00E16C06">
      <w:pPr>
        <w:spacing w:after="0" w:line="276" w:lineRule="auto"/>
        <w:ind w:firstLine="709"/>
        <w:contextualSpacing/>
        <w:jc w:val="both"/>
        <w:rPr>
          <w:rFonts w:ascii="Times New Roman" w:hAnsi="Times New Roman" w:cs="Times New Roman"/>
          <w:sz w:val="26"/>
          <w:szCs w:val="26"/>
        </w:rPr>
      </w:pPr>
    </w:p>
    <w:p w14:paraId="08251385" w14:textId="77777777" w:rsidR="00E16C06" w:rsidRPr="00E16C06" w:rsidRDefault="00E16C06" w:rsidP="00E16C06">
      <w:pPr>
        <w:spacing w:after="0" w:line="276" w:lineRule="auto"/>
        <w:ind w:firstLine="709"/>
        <w:contextualSpacing/>
        <w:jc w:val="both"/>
        <w:rPr>
          <w:rFonts w:ascii="Times New Roman" w:eastAsia="Times New Roman" w:hAnsi="Times New Roman" w:cs="Times New Roman"/>
          <w:color w:val="000000" w:themeColor="text1"/>
          <w:sz w:val="26"/>
          <w:szCs w:val="26"/>
          <w:lang w:eastAsia="ru-RU"/>
        </w:rPr>
      </w:pPr>
      <w:r w:rsidRPr="00E16C06">
        <w:rPr>
          <w:rFonts w:ascii="Times New Roman" w:hAnsi="Times New Roman" w:cs="Times New Roman"/>
          <w:sz w:val="26"/>
          <w:szCs w:val="26"/>
        </w:rPr>
        <w:t xml:space="preserve">В соответствии с сегментацией объектов недвижимости с указанием кодов расчета вида использования (приложение № 1 Указаний) сегмент сельскохозяйственное использование  включает в себя коды расчета 01:000, 01:010, 01:020, 01:030, 01:031, 01:032, 01:040, 01:050, 01:051, 01:052, 01:070, 01:080, 01:081, 01:083, 01:084, 01:085, 01:120, 01:121, 01:130, 01:131, 01:140, 01:141, 01:160, 01:170, 01:200, 02:012, 02:015, 02:022. </w:t>
      </w:r>
      <w:bookmarkStart w:id="123" w:name="_Hlk42957974"/>
      <w:r w:rsidRPr="00E16C06">
        <w:rPr>
          <w:rFonts w:ascii="Times New Roman" w:hAnsi="Times New Roman" w:cs="Times New Roman"/>
          <w:sz w:val="26"/>
          <w:szCs w:val="26"/>
        </w:rPr>
        <w:t>Распределение</w:t>
      </w:r>
      <w:r w:rsidRPr="00E16C06">
        <w:rPr>
          <w:rFonts w:ascii="Times New Roman" w:eastAsia="Times New Roman" w:hAnsi="Times New Roman" w:cs="Times New Roman"/>
          <w:color w:val="000000" w:themeColor="text1"/>
          <w:sz w:val="26"/>
          <w:szCs w:val="26"/>
          <w:lang w:eastAsia="ru-RU"/>
        </w:rPr>
        <w:t xml:space="preserve"> земельных участков 1 сегмента по кодам вида использования представлено в таблице</w:t>
      </w:r>
      <w:bookmarkEnd w:id="123"/>
      <w:r w:rsidRPr="00E16C06">
        <w:rPr>
          <w:rFonts w:ascii="Times New Roman" w:eastAsia="Times New Roman" w:hAnsi="Times New Roman" w:cs="Times New Roman"/>
          <w:color w:val="000000" w:themeColor="text1"/>
          <w:sz w:val="26"/>
          <w:szCs w:val="26"/>
          <w:lang w:eastAsia="ru-RU"/>
        </w:rPr>
        <w:t xml:space="preserve"> 3.3.2.4.</w:t>
      </w:r>
    </w:p>
    <w:p w14:paraId="116A8D37" w14:textId="77777777" w:rsidR="00E16C06" w:rsidRPr="00E16C06" w:rsidRDefault="00E16C06" w:rsidP="00E16C06">
      <w:pPr>
        <w:spacing w:after="0" w:line="276" w:lineRule="auto"/>
        <w:ind w:firstLine="709"/>
        <w:contextualSpacing/>
        <w:rPr>
          <w:rFonts w:ascii="Times New Roman" w:eastAsia="Times New Roman" w:hAnsi="Times New Roman" w:cs="Times New Roman"/>
          <w:color w:val="000000" w:themeColor="text1"/>
          <w:sz w:val="26"/>
          <w:szCs w:val="26"/>
          <w:lang w:eastAsia="ru-RU"/>
        </w:rPr>
      </w:pPr>
    </w:p>
    <w:p w14:paraId="3FB83DCA" w14:textId="77777777" w:rsidR="00E16C06" w:rsidRPr="00E16C06" w:rsidRDefault="00E16C06" w:rsidP="00E16C06">
      <w:pPr>
        <w:spacing w:after="0" w:line="276" w:lineRule="auto"/>
        <w:ind w:firstLine="709"/>
        <w:contextualSpacing/>
        <w:rPr>
          <w:rFonts w:ascii="Times New Roman" w:eastAsia="Times New Roman" w:hAnsi="Times New Roman" w:cs="Times New Roman"/>
          <w:color w:val="000000" w:themeColor="text1"/>
          <w:sz w:val="26"/>
          <w:szCs w:val="26"/>
          <w:lang w:eastAsia="ru-RU"/>
        </w:rPr>
      </w:pPr>
    </w:p>
    <w:p w14:paraId="1A273AD0" w14:textId="77777777" w:rsidR="00E16C06" w:rsidRPr="00E16C06" w:rsidRDefault="00E16C06" w:rsidP="00E16C06">
      <w:pPr>
        <w:spacing w:after="0" w:line="276" w:lineRule="auto"/>
        <w:ind w:firstLine="709"/>
        <w:contextualSpacing/>
        <w:rPr>
          <w:rFonts w:ascii="Times New Roman" w:eastAsia="Times New Roman" w:hAnsi="Times New Roman" w:cs="Times New Roman"/>
          <w:color w:val="000000" w:themeColor="text1"/>
          <w:sz w:val="26"/>
          <w:szCs w:val="26"/>
          <w:lang w:eastAsia="ru-RU"/>
        </w:rPr>
      </w:pPr>
    </w:p>
    <w:p w14:paraId="6E07FB87" w14:textId="77777777" w:rsidR="00E16C06" w:rsidRPr="00E16C06" w:rsidRDefault="00E16C06" w:rsidP="00E16C06">
      <w:pPr>
        <w:spacing w:after="0" w:line="276" w:lineRule="auto"/>
        <w:ind w:firstLine="709"/>
        <w:contextualSpacing/>
        <w:rPr>
          <w:rFonts w:ascii="Times New Roman" w:eastAsia="Times New Roman" w:hAnsi="Times New Roman" w:cs="Times New Roman"/>
          <w:color w:val="000000" w:themeColor="text1"/>
          <w:sz w:val="26"/>
          <w:szCs w:val="26"/>
          <w:lang w:eastAsia="ru-RU"/>
        </w:rPr>
      </w:pPr>
    </w:p>
    <w:p w14:paraId="43494C33" w14:textId="77777777" w:rsidR="00E16C06" w:rsidRPr="00E16C06" w:rsidRDefault="00E16C06" w:rsidP="00E16C06">
      <w:pPr>
        <w:spacing w:after="0" w:line="276" w:lineRule="auto"/>
        <w:ind w:firstLine="709"/>
        <w:contextualSpacing/>
        <w:rPr>
          <w:rFonts w:ascii="Times New Roman" w:eastAsia="Times New Roman" w:hAnsi="Times New Roman" w:cs="Times New Roman"/>
          <w:color w:val="000000" w:themeColor="text1"/>
          <w:sz w:val="26"/>
          <w:szCs w:val="26"/>
          <w:lang w:eastAsia="ru-RU"/>
        </w:rPr>
      </w:pPr>
    </w:p>
    <w:p w14:paraId="6DFD1891" w14:textId="77777777" w:rsidR="00E16C06" w:rsidRPr="00E16C06" w:rsidRDefault="00E16C06" w:rsidP="00E16C06">
      <w:pPr>
        <w:spacing w:after="0" w:line="276" w:lineRule="auto"/>
        <w:ind w:firstLine="709"/>
        <w:contextualSpacing/>
        <w:rPr>
          <w:rFonts w:ascii="Times New Roman" w:eastAsia="Times New Roman" w:hAnsi="Times New Roman" w:cs="Times New Roman"/>
          <w:color w:val="000000" w:themeColor="text1"/>
          <w:sz w:val="26"/>
          <w:szCs w:val="26"/>
          <w:lang w:eastAsia="ru-RU"/>
        </w:rPr>
      </w:pPr>
    </w:p>
    <w:p w14:paraId="21A45CED" w14:textId="77777777" w:rsidR="00E16C06" w:rsidRPr="00E16C06" w:rsidRDefault="00E16C06" w:rsidP="00E16C06">
      <w:pPr>
        <w:spacing w:after="0" w:line="276" w:lineRule="auto"/>
        <w:ind w:firstLine="709"/>
        <w:contextualSpacing/>
        <w:rPr>
          <w:rFonts w:ascii="Times New Roman" w:eastAsia="Times New Roman" w:hAnsi="Times New Roman" w:cs="Times New Roman"/>
          <w:color w:val="000000" w:themeColor="text1"/>
          <w:sz w:val="26"/>
          <w:szCs w:val="26"/>
          <w:lang w:eastAsia="ru-RU"/>
        </w:rPr>
      </w:pPr>
    </w:p>
    <w:p w14:paraId="398DB974" w14:textId="77777777" w:rsidR="00E16C06" w:rsidRPr="00E16C06" w:rsidRDefault="00E16C06" w:rsidP="00E16C06">
      <w:pPr>
        <w:spacing w:after="0" w:line="276" w:lineRule="auto"/>
        <w:ind w:firstLine="709"/>
        <w:contextualSpacing/>
        <w:rPr>
          <w:rFonts w:ascii="Times New Roman" w:eastAsia="Times New Roman" w:hAnsi="Times New Roman" w:cs="Times New Roman"/>
          <w:color w:val="000000" w:themeColor="text1"/>
          <w:sz w:val="26"/>
          <w:szCs w:val="26"/>
          <w:lang w:eastAsia="ru-RU"/>
        </w:rPr>
      </w:pPr>
    </w:p>
    <w:p w14:paraId="0D106A51" w14:textId="77777777" w:rsidR="00E16C06" w:rsidRPr="00E16C06" w:rsidRDefault="00E16C06" w:rsidP="00E16C06">
      <w:pPr>
        <w:spacing w:after="0" w:line="276" w:lineRule="auto"/>
        <w:ind w:firstLine="709"/>
        <w:contextualSpacing/>
        <w:rPr>
          <w:rFonts w:ascii="Times New Roman" w:eastAsia="Times New Roman" w:hAnsi="Times New Roman" w:cs="Times New Roman"/>
          <w:color w:val="000000" w:themeColor="text1"/>
          <w:sz w:val="26"/>
          <w:szCs w:val="26"/>
          <w:lang w:eastAsia="ru-RU"/>
        </w:rPr>
      </w:pPr>
    </w:p>
    <w:p w14:paraId="49CB4A5D" w14:textId="77777777" w:rsidR="00E16C06" w:rsidRPr="00E16C06" w:rsidRDefault="00E16C06" w:rsidP="00E16C06">
      <w:pPr>
        <w:spacing w:after="0" w:line="276" w:lineRule="auto"/>
        <w:ind w:firstLine="709"/>
        <w:contextualSpacing/>
        <w:jc w:val="right"/>
        <w:rPr>
          <w:rFonts w:ascii="Times New Roman" w:hAnsi="Times New Roman" w:cs="Times New Roman"/>
          <w:sz w:val="26"/>
          <w:szCs w:val="26"/>
        </w:rPr>
      </w:pPr>
      <w:r w:rsidRPr="00E16C06">
        <w:rPr>
          <w:rFonts w:ascii="Times New Roman" w:hAnsi="Times New Roman" w:cs="Times New Roman"/>
          <w:sz w:val="26"/>
          <w:szCs w:val="26"/>
        </w:rPr>
        <w:t xml:space="preserve">Таблица </w:t>
      </w:r>
      <w:r w:rsidRPr="00E16C06">
        <w:rPr>
          <w:rFonts w:ascii="Times New Roman" w:eastAsia="Times New Roman" w:hAnsi="Times New Roman" w:cs="Times New Roman"/>
          <w:spacing w:val="-5"/>
          <w:sz w:val="26"/>
          <w:szCs w:val="26"/>
        </w:rPr>
        <w:t>3.3.2.4</w:t>
      </w:r>
    </w:p>
    <w:p w14:paraId="16F0C0AF"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Распределение объектов оценки по кодам расчета вида использования</w:t>
      </w:r>
    </w:p>
    <w:p w14:paraId="2D1CA675" w14:textId="77777777" w:rsidR="00E16C06" w:rsidRPr="00E16C06" w:rsidRDefault="00E16C06" w:rsidP="00E16C06">
      <w:pPr>
        <w:spacing w:after="0" w:line="276" w:lineRule="auto"/>
        <w:contextualSpacing/>
        <w:jc w:val="center"/>
        <w:rPr>
          <w:rFonts w:ascii="Times New Roman" w:hAnsi="Times New Roman" w:cs="Times New Roman"/>
          <w:sz w:val="26"/>
          <w:szCs w:val="26"/>
        </w:rPr>
      </w:pPr>
      <w:r w:rsidRPr="00E16C06">
        <w:rPr>
          <w:rFonts w:ascii="Times New Roman" w:hAnsi="Times New Roman" w:cs="Times New Roman"/>
          <w:sz w:val="26"/>
          <w:szCs w:val="26"/>
        </w:rPr>
        <w:t>в составе 1 сегмента</w:t>
      </w:r>
    </w:p>
    <w:tbl>
      <w:tblPr>
        <w:tblStyle w:val="ae"/>
        <w:tblpPr w:leftFromText="180" w:rightFromText="180" w:vertAnchor="text" w:tblpY="1"/>
        <w:tblOverlap w:val="never"/>
        <w:tblW w:w="9351" w:type="dxa"/>
        <w:tblLook w:val="04A0" w:firstRow="1" w:lastRow="0" w:firstColumn="1" w:lastColumn="0" w:noHBand="0" w:noVBand="1"/>
      </w:tblPr>
      <w:tblGrid>
        <w:gridCol w:w="2547"/>
        <w:gridCol w:w="3685"/>
        <w:gridCol w:w="3119"/>
      </w:tblGrid>
      <w:tr w:rsidR="00E16C06" w:rsidRPr="00E16C06" w14:paraId="1733C8D8" w14:textId="77777777" w:rsidTr="00E16C06">
        <w:tc>
          <w:tcPr>
            <w:tcW w:w="2547" w:type="dxa"/>
            <w:shd w:val="clear" w:color="auto" w:fill="auto"/>
          </w:tcPr>
          <w:p w14:paraId="3F2AA8C7"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lang w:eastAsia="en-US"/>
              </w:rPr>
            </w:pPr>
            <w:r w:rsidRPr="00E16C06">
              <w:rPr>
                <w:rFonts w:ascii="Times New Roman" w:eastAsia="Times New Roman" w:hAnsi="Times New Roman" w:cs="Times New Roman"/>
                <w:b/>
                <w:spacing w:val="-5"/>
                <w:sz w:val="22"/>
                <w:szCs w:val="22"/>
                <w:lang w:eastAsia="en-US"/>
              </w:rPr>
              <w:t>Сегмент</w:t>
            </w:r>
          </w:p>
        </w:tc>
        <w:tc>
          <w:tcPr>
            <w:tcW w:w="3685" w:type="dxa"/>
            <w:shd w:val="clear" w:color="auto" w:fill="auto"/>
          </w:tcPr>
          <w:p w14:paraId="62999EB3"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lang w:eastAsia="en-US"/>
              </w:rPr>
            </w:pPr>
            <w:r w:rsidRPr="00E16C06">
              <w:rPr>
                <w:rFonts w:ascii="Times New Roman" w:eastAsia="Times New Roman" w:hAnsi="Times New Roman" w:cs="Times New Roman"/>
                <w:b/>
                <w:spacing w:val="-5"/>
                <w:sz w:val="22"/>
                <w:szCs w:val="22"/>
                <w:lang w:eastAsia="en-US"/>
              </w:rPr>
              <w:t>Код расчета вида использования</w:t>
            </w:r>
          </w:p>
        </w:tc>
        <w:tc>
          <w:tcPr>
            <w:tcW w:w="3119" w:type="dxa"/>
            <w:shd w:val="clear" w:color="auto" w:fill="auto"/>
          </w:tcPr>
          <w:p w14:paraId="3A6A3303"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lang w:eastAsia="en-US"/>
              </w:rPr>
            </w:pPr>
            <w:r w:rsidRPr="00E16C06">
              <w:rPr>
                <w:rFonts w:ascii="Times New Roman" w:eastAsia="Times New Roman" w:hAnsi="Times New Roman" w:cs="Times New Roman"/>
                <w:b/>
                <w:spacing w:val="-5"/>
                <w:sz w:val="22"/>
                <w:szCs w:val="22"/>
                <w:lang w:eastAsia="en-US"/>
              </w:rPr>
              <w:t>Количество ЗУ</w:t>
            </w:r>
          </w:p>
        </w:tc>
      </w:tr>
      <w:tr w:rsidR="00E16C06" w:rsidRPr="00E16C06" w14:paraId="5BAC9364" w14:textId="77777777" w:rsidTr="00E16C06">
        <w:tc>
          <w:tcPr>
            <w:tcW w:w="2547" w:type="dxa"/>
            <w:vMerge w:val="restart"/>
            <w:vAlign w:val="center"/>
          </w:tcPr>
          <w:p w14:paraId="38ACB64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eastAsia="Times New Roman" w:hAnsi="Times New Roman" w:cs="Times New Roman"/>
                <w:spacing w:val="-5"/>
                <w:sz w:val="22"/>
                <w:szCs w:val="22"/>
                <w:lang w:eastAsia="en-US"/>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4D970E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01:000</w:t>
            </w:r>
          </w:p>
        </w:tc>
        <w:tc>
          <w:tcPr>
            <w:tcW w:w="3119" w:type="dxa"/>
            <w:tcBorders>
              <w:top w:val="single" w:sz="4" w:space="0" w:color="auto"/>
              <w:left w:val="nil"/>
              <w:bottom w:val="single" w:sz="4" w:space="0" w:color="auto"/>
              <w:right w:val="single" w:sz="4" w:space="0" w:color="auto"/>
            </w:tcBorders>
            <w:shd w:val="clear" w:color="auto" w:fill="auto"/>
          </w:tcPr>
          <w:p w14:paraId="34CDF13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69235</w:t>
            </w:r>
          </w:p>
        </w:tc>
      </w:tr>
      <w:tr w:rsidR="00E16C06" w:rsidRPr="00E16C06" w14:paraId="2A7D0307" w14:textId="77777777" w:rsidTr="00E16C06">
        <w:tc>
          <w:tcPr>
            <w:tcW w:w="2547" w:type="dxa"/>
            <w:vMerge/>
          </w:tcPr>
          <w:p w14:paraId="069F423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26BB03A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01:010</w:t>
            </w:r>
          </w:p>
        </w:tc>
        <w:tc>
          <w:tcPr>
            <w:tcW w:w="3119" w:type="dxa"/>
            <w:tcBorders>
              <w:top w:val="nil"/>
              <w:left w:val="nil"/>
              <w:bottom w:val="single" w:sz="4" w:space="0" w:color="auto"/>
              <w:right w:val="single" w:sz="4" w:space="0" w:color="auto"/>
            </w:tcBorders>
            <w:shd w:val="clear" w:color="auto" w:fill="auto"/>
          </w:tcPr>
          <w:p w14:paraId="6F87094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599</w:t>
            </w:r>
          </w:p>
        </w:tc>
      </w:tr>
      <w:tr w:rsidR="00E16C06" w:rsidRPr="00E16C06" w14:paraId="29C708FC" w14:textId="77777777" w:rsidTr="00E16C06">
        <w:tc>
          <w:tcPr>
            <w:tcW w:w="2547" w:type="dxa"/>
            <w:vMerge/>
          </w:tcPr>
          <w:p w14:paraId="18E9E99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60B38C6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01:020</w:t>
            </w:r>
          </w:p>
        </w:tc>
        <w:tc>
          <w:tcPr>
            <w:tcW w:w="3119" w:type="dxa"/>
            <w:tcBorders>
              <w:top w:val="nil"/>
              <w:left w:val="nil"/>
              <w:bottom w:val="single" w:sz="4" w:space="0" w:color="auto"/>
              <w:right w:val="single" w:sz="4" w:space="0" w:color="auto"/>
            </w:tcBorders>
            <w:shd w:val="clear" w:color="auto" w:fill="auto"/>
          </w:tcPr>
          <w:p w14:paraId="631EA5A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221</w:t>
            </w:r>
          </w:p>
        </w:tc>
      </w:tr>
      <w:tr w:rsidR="00E16C06" w:rsidRPr="00E16C06" w14:paraId="1528E0C0" w14:textId="77777777" w:rsidTr="00E16C06">
        <w:tc>
          <w:tcPr>
            <w:tcW w:w="2547" w:type="dxa"/>
            <w:vMerge/>
          </w:tcPr>
          <w:p w14:paraId="53B0804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3536816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01:030</w:t>
            </w:r>
          </w:p>
        </w:tc>
        <w:tc>
          <w:tcPr>
            <w:tcW w:w="3119" w:type="dxa"/>
            <w:tcBorders>
              <w:top w:val="nil"/>
              <w:left w:val="nil"/>
              <w:bottom w:val="single" w:sz="4" w:space="0" w:color="auto"/>
              <w:right w:val="single" w:sz="4" w:space="0" w:color="auto"/>
            </w:tcBorders>
            <w:shd w:val="clear" w:color="auto" w:fill="auto"/>
          </w:tcPr>
          <w:p w14:paraId="07103E0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752</w:t>
            </w:r>
          </w:p>
        </w:tc>
      </w:tr>
      <w:tr w:rsidR="00E16C06" w:rsidRPr="00E16C06" w14:paraId="4CEABCC1" w14:textId="77777777" w:rsidTr="00E16C06">
        <w:tc>
          <w:tcPr>
            <w:tcW w:w="2547" w:type="dxa"/>
            <w:vMerge/>
          </w:tcPr>
          <w:p w14:paraId="5C42D46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0ADC600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01:031</w:t>
            </w:r>
          </w:p>
        </w:tc>
        <w:tc>
          <w:tcPr>
            <w:tcW w:w="3119" w:type="dxa"/>
            <w:tcBorders>
              <w:top w:val="nil"/>
              <w:left w:val="nil"/>
              <w:bottom w:val="single" w:sz="4" w:space="0" w:color="auto"/>
              <w:right w:val="single" w:sz="4" w:space="0" w:color="auto"/>
            </w:tcBorders>
            <w:shd w:val="clear" w:color="auto" w:fill="auto"/>
          </w:tcPr>
          <w:p w14:paraId="435C746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4</w:t>
            </w:r>
          </w:p>
        </w:tc>
      </w:tr>
      <w:tr w:rsidR="00E16C06" w:rsidRPr="00E16C06" w14:paraId="2F89AA16" w14:textId="77777777" w:rsidTr="00E16C06">
        <w:tc>
          <w:tcPr>
            <w:tcW w:w="2547" w:type="dxa"/>
            <w:vMerge/>
          </w:tcPr>
          <w:p w14:paraId="6458256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24A0EDB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01:032</w:t>
            </w:r>
          </w:p>
        </w:tc>
        <w:tc>
          <w:tcPr>
            <w:tcW w:w="3119" w:type="dxa"/>
            <w:tcBorders>
              <w:top w:val="nil"/>
              <w:left w:val="nil"/>
              <w:bottom w:val="single" w:sz="4" w:space="0" w:color="auto"/>
              <w:right w:val="single" w:sz="4" w:space="0" w:color="auto"/>
            </w:tcBorders>
            <w:shd w:val="clear" w:color="auto" w:fill="auto"/>
          </w:tcPr>
          <w:p w14:paraId="4CCB550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48</w:t>
            </w:r>
          </w:p>
        </w:tc>
      </w:tr>
      <w:tr w:rsidR="00E16C06" w:rsidRPr="00E16C06" w14:paraId="0C9F926F" w14:textId="77777777" w:rsidTr="00E16C06">
        <w:tc>
          <w:tcPr>
            <w:tcW w:w="2547" w:type="dxa"/>
            <w:vMerge/>
          </w:tcPr>
          <w:p w14:paraId="4F4EDED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1FC7B79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01:040</w:t>
            </w:r>
          </w:p>
        </w:tc>
        <w:tc>
          <w:tcPr>
            <w:tcW w:w="3119" w:type="dxa"/>
            <w:tcBorders>
              <w:top w:val="nil"/>
              <w:left w:val="nil"/>
              <w:bottom w:val="single" w:sz="4" w:space="0" w:color="auto"/>
              <w:right w:val="single" w:sz="4" w:space="0" w:color="auto"/>
            </w:tcBorders>
            <w:shd w:val="clear" w:color="auto" w:fill="auto"/>
          </w:tcPr>
          <w:p w14:paraId="4BDA313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14</w:t>
            </w:r>
          </w:p>
        </w:tc>
      </w:tr>
      <w:tr w:rsidR="00E16C06" w:rsidRPr="00E16C06" w14:paraId="0D1ADE2F" w14:textId="77777777" w:rsidTr="00E16C06">
        <w:tc>
          <w:tcPr>
            <w:tcW w:w="2547" w:type="dxa"/>
            <w:vMerge/>
          </w:tcPr>
          <w:p w14:paraId="60C1525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737FA46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01:050</w:t>
            </w:r>
          </w:p>
        </w:tc>
        <w:tc>
          <w:tcPr>
            <w:tcW w:w="3119" w:type="dxa"/>
            <w:tcBorders>
              <w:top w:val="nil"/>
              <w:left w:val="nil"/>
              <w:bottom w:val="single" w:sz="4" w:space="0" w:color="auto"/>
              <w:right w:val="single" w:sz="4" w:space="0" w:color="auto"/>
            </w:tcBorders>
            <w:shd w:val="clear" w:color="auto" w:fill="auto"/>
          </w:tcPr>
          <w:p w14:paraId="02D3A98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10</w:t>
            </w:r>
          </w:p>
        </w:tc>
      </w:tr>
      <w:tr w:rsidR="00E16C06" w:rsidRPr="00E16C06" w14:paraId="221FA8AE" w14:textId="77777777" w:rsidTr="00E16C06">
        <w:tc>
          <w:tcPr>
            <w:tcW w:w="2547" w:type="dxa"/>
            <w:vMerge/>
          </w:tcPr>
          <w:p w14:paraId="5ACA718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2371A78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01:051</w:t>
            </w:r>
          </w:p>
        </w:tc>
        <w:tc>
          <w:tcPr>
            <w:tcW w:w="3119" w:type="dxa"/>
            <w:tcBorders>
              <w:top w:val="nil"/>
              <w:left w:val="nil"/>
              <w:bottom w:val="single" w:sz="4" w:space="0" w:color="auto"/>
              <w:right w:val="single" w:sz="4" w:space="0" w:color="auto"/>
            </w:tcBorders>
            <w:shd w:val="clear" w:color="auto" w:fill="auto"/>
          </w:tcPr>
          <w:p w14:paraId="5A3443F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9</w:t>
            </w:r>
          </w:p>
        </w:tc>
      </w:tr>
      <w:tr w:rsidR="00E16C06" w:rsidRPr="00E16C06" w14:paraId="260349FB" w14:textId="77777777" w:rsidTr="00E16C06">
        <w:tc>
          <w:tcPr>
            <w:tcW w:w="2547" w:type="dxa"/>
            <w:vMerge/>
          </w:tcPr>
          <w:p w14:paraId="3396E82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3F555BA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01:052</w:t>
            </w:r>
          </w:p>
        </w:tc>
        <w:tc>
          <w:tcPr>
            <w:tcW w:w="3119" w:type="dxa"/>
            <w:tcBorders>
              <w:top w:val="nil"/>
              <w:left w:val="nil"/>
              <w:bottom w:val="single" w:sz="4" w:space="0" w:color="auto"/>
              <w:right w:val="single" w:sz="4" w:space="0" w:color="auto"/>
            </w:tcBorders>
            <w:shd w:val="clear" w:color="auto" w:fill="auto"/>
          </w:tcPr>
          <w:p w14:paraId="48A967E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w:t>
            </w:r>
          </w:p>
        </w:tc>
      </w:tr>
      <w:tr w:rsidR="00E16C06" w:rsidRPr="00E16C06" w14:paraId="57E91BB3" w14:textId="77777777" w:rsidTr="00E16C06">
        <w:tc>
          <w:tcPr>
            <w:tcW w:w="2547" w:type="dxa"/>
            <w:vMerge/>
          </w:tcPr>
          <w:p w14:paraId="6739E5D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33336A2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01:070</w:t>
            </w:r>
          </w:p>
        </w:tc>
        <w:tc>
          <w:tcPr>
            <w:tcW w:w="3119" w:type="dxa"/>
            <w:tcBorders>
              <w:top w:val="nil"/>
              <w:left w:val="nil"/>
              <w:bottom w:val="single" w:sz="4" w:space="0" w:color="auto"/>
              <w:right w:val="single" w:sz="4" w:space="0" w:color="auto"/>
            </w:tcBorders>
            <w:shd w:val="clear" w:color="auto" w:fill="auto"/>
          </w:tcPr>
          <w:p w14:paraId="567B6BF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618</w:t>
            </w:r>
          </w:p>
        </w:tc>
      </w:tr>
      <w:tr w:rsidR="00E16C06" w:rsidRPr="00E16C06" w14:paraId="6557C2A8" w14:textId="77777777" w:rsidTr="00E16C06">
        <w:tc>
          <w:tcPr>
            <w:tcW w:w="2547" w:type="dxa"/>
            <w:vMerge/>
          </w:tcPr>
          <w:p w14:paraId="24D8746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1EF5524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01:080</w:t>
            </w:r>
          </w:p>
        </w:tc>
        <w:tc>
          <w:tcPr>
            <w:tcW w:w="3119" w:type="dxa"/>
            <w:tcBorders>
              <w:top w:val="nil"/>
              <w:left w:val="nil"/>
              <w:bottom w:val="single" w:sz="4" w:space="0" w:color="auto"/>
              <w:right w:val="single" w:sz="4" w:space="0" w:color="auto"/>
            </w:tcBorders>
            <w:shd w:val="clear" w:color="auto" w:fill="auto"/>
          </w:tcPr>
          <w:p w14:paraId="4461571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361</w:t>
            </w:r>
          </w:p>
        </w:tc>
      </w:tr>
      <w:tr w:rsidR="00E16C06" w:rsidRPr="00E16C06" w14:paraId="58D20C0C" w14:textId="77777777" w:rsidTr="00E16C06">
        <w:tc>
          <w:tcPr>
            <w:tcW w:w="2547" w:type="dxa"/>
            <w:vMerge/>
          </w:tcPr>
          <w:p w14:paraId="72D3A00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3BAF86E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01:081</w:t>
            </w:r>
          </w:p>
        </w:tc>
        <w:tc>
          <w:tcPr>
            <w:tcW w:w="3119" w:type="dxa"/>
            <w:tcBorders>
              <w:top w:val="nil"/>
              <w:left w:val="nil"/>
              <w:bottom w:val="single" w:sz="4" w:space="0" w:color="auto"/>
              <w:right w:val="single" w:sz="4" w:space="0" w:color="auto"/>
            </w:tcBorders>
            <w:shd w:val="clear" w:color="auto" w:fill="auto"/>
          </w:tcPr>
          <w:p w14:paraId="57D671A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1371</w:t>
            </w:r>
          </w:p>
        </w:tc>
      </w:tr>
      <w:tr w:rsidR="00E16C06" w:rsidRPr="00E16C06" w14:paraId="3AD41686" w14:textId="77777777" w:rsidTr="00E16C06">
        <w:tc>
          <w:tcPr>
            <w:tcW w:w="2547" w:type="dxa"/>
            <w:vMerge/>
          </w:tcPr>
          <w:p w14:paraId="0D250B0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612560F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01:083</w:t>
            </w:r>
          </w:p>
        </w:tc>
        <w:tc>
          <w:tcPr>
            <w:tcW w:w="3119" w:type="dxa"/>
            <w:tcBorders>
              <w:top w:val="nil"/>
              <w:left w:val="nil"/>
              <w:bottom w:val="single" w:sz="4" w:space="0" w:color="auto"/>
              <w:right w:val="single" w:sz="4" w:space="0" w:color="auto"/>
            </w:tcBorders>
            <w:shd w:val="clear" w:color="auto" w:fill="auto"/>
          </w:tcPr>
          <w:p w14:paraId="7204BD0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29</w:t>
            </w:r>
          </w:p>
        </w:tc>
      </w:tr>
      <w:tr w:rsidR="00E16C06" w:rsidRPr="00E16C06" w14:paraId="3DFF2DAA" w14:textId="77777777" w:rsidTr="00E16C06">
        <w:tc>
          <w:tcPr>
            <w:tcW w:w="2547" w:type="dxa"/>
            <w:vMerge/>
          </w:tcPr>
          <w:p w14:paraId="7570E50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070F08E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01:084</w:t>
            </w:r>
          </w:p>
        </w:tc>
        <w:tc>
          <w:tcPr>
            <w:tcW w:w="3119" w:type="dxa"/>
            <w:tcBorders>
              <w:top w:val="nil"/>
              <w:left w:val="nil"/>
              <w:bottom w:val="single" w:sz="4" w:space="0" w:color="auto"/>
              <w:right w:val="single" w:sz="4" w:space="0" w:color="auto"/>
            </w:tcBorders>
            <w:shd w:val="clear" w:color="auto" w:fill="auto"/>
          </w:tcPr>
          <w:p w14:paraId="66D6156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3</w:t>
            </w:r>
          </w:p>
        </w:tc>
      </w:tr>
      <w:tr w:rsidR="00E16C06" w:rsidRPr="00E16C06" w14:paraId="235DA449" w14:textId="77777777" w:rsidTr="00E16C06">
        <w:tc>
          <w:tcPr>
            <w:tcW w:w="2547" w:type="dxa"/>
            <w:vMerge/>
          </w:tcPr>
          <w:p w14:paraId="01879D2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4AA515E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01:085</w:t>
            </w:r>
          </w:p>
        </w:tc>
        <w:tc>
          <w:tcPr>
            <w:tcW w:w="3119" w:type="dxa"/>
            <w:tcBorders>
              <w:top w:val="nil"/>
              <w:left w:val="nil"/>
              <w:bottom w:val="single" w:sz="4" w:space="0" w:color="auto"/>
              <w:right w:val="single" w:sz="4" w:space="0" w:color="auto"/>
            </w:tcBorders>
            <w:shd w:val="clear" w:color="auto" w:fill="auto"/>
          </w:tcPr>
          <w:p w14:paraId="3A45D08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6</w:t>
            </w:r>
          </w:p>
        </w:tc>
      </w:tr>
      <w:tr w:rsidR="00E16C06" w:rsidRPr="00E16C06" w14:paraId="35581E41" w14:textId="77777777" w:rsidTr="00E16C06">
        <w:tc>
          <w:tcPr>
            <w:tcW w:w="2547" w:type="dxa"/>
            <w:vMerge/>
          </w:tcPr>
          <w:p w14:paraId="5A7444C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39808D3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01:120</w:t>
            </w:r>
          </w:p>
        </w:tc>
        <w:tc>
          <w:tcPr>
            <w:tcW w:w="3119" w:type="dxa"/>
            <w:tcBorders>
              <w:top w:val="nil"/>
              <w:left w:val="nil"/>
              <w:bottom w:val="single" w:sz="4" w:space="0" w:color="auto"/>
              <w:right w:val="single" w:sz="4" w:space="0" w:color="auto"/>
            </w:tcBorders>
            <w:shd w:val="clear" w:color="auto" w:fill="auto"/>
          </w:tcPr>
          <w:p w14:paraId="13B5826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15</w:t>
            </w:r>
          </w:p>
        </w:tc>
      </w:tr>
      <w:tr w:rsidR="00E16C06" w:rsidRPr="00E16C06" w14:paraId="1CB8F82D" w14:textId="77777777" w:rsidTr="00E16C06">
        <w:tc>
          <w:tcPr>
            <w:tcW w:w="2547" w:type="dxa"/>
            <w:vMerge/>
          </w:tcPr>
          <w:p w14:paraId="108D7AF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1EB3C11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01:121</w:t>
            </w:r>
          </w:p>
        </w:tc>
        <w:tc>
          <w:tcPr>
            <w:tcW w:w="3119" w:type="dxa"/>
            <w:tcBorders>
              <w:top w:val="nil"/>
              <w:left w:val="nil"/>
              <w:bottom w:val="single" w:sz="4" w:space="0" w:color="auto"/>
              <w:right w:val="single" w:sz="4" w:space="0" w:color="auto"/>
            </w:tcBorders>
            <w:shd w:val="clear" w:color="auto" w:fill="auto"/>
          </w:tcPr>
          <w:p w14:paraId="71030A8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3</w:t>
            </w:r>
          </w:p>
        </w:tc>
      </w:tr>
      <w:tr w:rsidR="00E16C06" w:rsidRPr="00E16C06" w14:paraId="038F097B" w14:textId="77777777" w:rsidTr="00E16C06">
        <w:tc>
          <w:tcPr>
            <w:tcW w:w="2547" w:type="dxa"/>
            <w:vMerge/>
          </w:tcPr>
          <w:p w14:paraId="7F15A34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7C26895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01:130</w:t>
            </w:r>
          </w:p>
        </w:tc>
        <w:tc>
          <w:tcPr>
            <w:tcW w:w="3119" w:type="dxa"/>
            <w:tcBorders>
              <w:top w:val="nil"/>
              <w:left w:val="nil"/>
              <w:bottom w:val="single" w:sz="4" w:space="0" w:color="auto"/>
              <w:right w:val="single" w:sz="4" w:space="0" w:color="auto"/>
            </w:tcBorders>
            <w:shd w:val="clear" w:color="auto" w:fill="auto"/>
          </w:tcPr>
          <w:p w14:paraId="6D702D8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310</w:t>
            </w:r>
          </w:p>
        </w:tc>
      </w:tr>
      <w:tr w:rsidR="00E16C06" w:rsidRPr="00E16C06" w14:paraId="6C47EFF4" w14:textId="77777777" w:rsidTr="00E16C06">
        <w:tc>
          <w:tcPr>
            <w:tcW w:w="2547" w:type="dxa"/>
            <w:vMerge/>
          </w:tcPr>
          <w:p w14:paraId="216B762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32A047B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01:131</w:t>
            </w:r>
          </w:p>
        </w:tc>
        <w:tc>
          <w:tcPr>
            <w:tcW w:w="3119" w:type="dxa"/>
            <w:tcBorders>
              <w:top w:val="nil"/>
              <w:left w:val="nil"/>
              <w:bottom w:val="single" w:sz="4" w:space="0" w:color="auto"/>
              <w:right w:val="single" w:sz="4" w:space="0" w:color="auto"/>
            </w:tcBorders>
            <w:shd w:val="clear" w:color="auto" w:fill="auto"/>
          </w:tcPr>
          <w:p w14:paraId="49EB8B3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16</w:t>
            </w:r>
          </w:p>
        </w:tc>
      </w:tr>
      <w:tr w:rsidR="00E16C06" w:rsidRPr="00E16C06" w14:paraId="749ACD47" w14:textId="77777777" w:rsidTr="00E16C06">
        <w:tc>
          <w:tcPr>
            <w:tcW w:w="2547" w:type="dxa"/>
            <w:vMerge/>
          </w:tcPr>
          <w:p w14:paraId="1ECD47F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444ED75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01:140</w:t>
            </w:r>
          </w:p>
        </w:tc>
        <w:tc>
          <w:tcPr>
            <w:tcW w:w="3119" w:type="dxa"/>
            <w:tcBorders>
              <w:top w:val="nil"/>
              <w:left w:val="nil"/>
              <w:bottom w:val="single" w:sz="4" w:space="0" w:color="auto"/>
              <w:right w:val="single" w:sz="4" w:space="0" w:color="auto"/>
            </w:tcBorders>
            <w:shd w:val="clear" w:color="auto" w:fill="auto"/>
          </w:tcPr>
          <w:p w14:paraId="1FA76A0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8</w:t>
            </w:r>
          </w:p>
        </w:tc>
      </w:tr>
      <w:tr w:rsidR="00E16C06" w:rsidRPr="00E16C06" w14:paraId="2EE95EC2" w14:textId="77777777" w:rsidTr="00E16C06">
        <w:tc>
          <w:tcPr>
            <w:tcW w:w="2547" w:type="dxa"/>
            <w:vMerge/>
          </w:tcPr>
          <w:p w14:paraId="71C214F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3DABA22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01:141</w:t>
            </w:r>
          </w:p>
        </w:tc>
        <w:tc>
          <w:tcPr>
            <w:tcW w:w="3119" w:type="dxa"/>
            <w:tcBorders>
              <w:top w:val="nil"/>
              <w:left w:val="nil"/>
              <w:bottom w:val="single" w:sz="4" w:space="0" w:color="auto"/>
              <w:right w:val="single" w:sz="4" w:space="0" w:color="auto"/>
            </w:tcBorders>
            <w:shd w:val="clear" w:color="auto" w:fill="auto"/>
          </w:tcPr>
          <w:p w14:paraId="7C7851D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4</w:t>
            </w:r>
          </w:p>
        </w:tc>
      </w:tr>
      <w:tr w:rsidR="00E16C06" w:rsidRPr="00E16C06" w14:paraId="5BC0DBF0" w14:textId="77777777" w:rsidTr="00E16C06">
        <w:tc>
          <w:tcPr>
            <w:tcW w:w="2547" w:type="dxa"/>
            <w:vMerge/>
          </w:tcPr>
          <w:p w14:paraId="49E4F97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70422A0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01:160</w:t>
            </w:r>
          </w:p>
        </w:tc>
        <w:tc>
          <w:tcPr>
            <w:tcW w:w="3119" w:type="dxa"/>
            <w:tcBorders>
              <w:top w:val="nil"/>
              <w:left w:val="nil"/>
              <w:bottom w:val="single" w:sz="4" w:space="0" w:color="auto"/>
              <w:right w:val="single" w:sz="4" w:space="0" w:color="auto"/>
            </w:tcBorders>
            <w:shd w:val="clear" w:color="auto" w:fill="auto"/>
          </w:tcPr>
          <w:p w14:paraId="355367C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9258</w:t>
            </w:r>
          </w:p>
        </w:tc>
      </w:tr>
      <w:tr w:rsidR="00E16C06" w:rsidRPr="00E16C06" w14:paraId="6A2E41F2" w14:textId="77777777" w:rsidTr="00E16C06">
        <w:tc>
          <w:tcPr>
            <w:tcW w:w="2547" w:type="dxa"/>
            <w:vMerge/>
          </w:tcPr>
          <w:p w14:paraId="10C26B3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0D970AF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01:170</w:t>
            </w:r>
          </w:p>
        </w:tc>
        <w:tc>
          <w:tcPr>
            <w:tcW w:w="3119" w:type="dxa"/>
            <w:tcBorders>
              <w:top w:val="nil"/>
              <w:left w:val="nil"/>
              <w:bottom w:val="single" w:sz="4" w:space="0" w:color="auto"/>
              <w:right w:val="single" w:sz="4" w:space="0" w:color="auto"/>
            </w:tcBorders>
            <w:shd w:val="clear" w:color="auto" w:fill="auto"/>
          </w:tcPr>
          <w:p w14:paraId="768BBF1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24</w:t>
            </w:r>
          </w:p>
        </w:tc>
      </w:tr>
      <w:tr w:rsidR="00E16C06" w:rsidRPr="00E16C06" w14:paraId="0B702CBB" w14:textId="77777777" w:rsidTr="00E16C06">
        <w:tc>
          <w:tcPr>
            <w:tcW w:w="2547" w:type="dxa"/>
            <w:vMerge/>
          </w:tcPr>
          <w:p w14:paraId="0BA4DF7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4F1DD06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01:200</w:t>
            </w:r>
          </w:p>
        </w:tc>
        <w:tc>
          <w:tcPr>
            <w:tcW w:w="3119" w:type="dxa"/>
            <w:tcBorders>
              <w:top w:val="nil"/>
              <w:left w:val="nil"/>
              <w:bottom w:val="single" w:sz="4" w:space="0" w:color="auto"/>
              <w:right w:val="single" w:sz="4" w:space="0" w:color="auto"/>
            </w:tcBorders>
            <w:shd w:val="clear" w:color="auto" w:fill="auto"/>
          </w:tcPr>
          <w:p w14:paraId="45D159D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4</w:t>
            </w:r>
          </w:p>
        </w:tc>
      </w:tr>
      <w:tr w:rsidR="00E16C06" w:rsidRPr="00E16C06" w14:paraId="19960A90" w14:textId="77777777" w:rsidTr="00E16C06">
        <w:tc>
          <w:tcPr>
            <w:tcW w:w="2547" w:type="dxa"/>
            <w:vMerge/>
          </w:tcPr>
          <w:p w14:paraId="6970A81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21ECA5D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02:012</w:t>
            </w:r>
          </w:p>
        </w:tc>
        <w:tc>
          <w:tcPr>
            <w:tcW w:w="3119" w:type="dxa"/>
            <w:tcBorders>
              <w:top w:val="nil"/>
              <w:left w:val="nil"/>
              <w:bottom w:val="single" w:sz="4" w:space="0" w:color="auto"/>
              <w:right w:val="single" w:sz="4" w:space="0" w:color="auto"/>
            </w:tcBorders>
            <w:shd w:val="clear" w:color="auto" w:fill="auto"/>
          </w:tcPr>
          <w:p w14:paraId="0EA2E0C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3</w:t>
            </w:r>
          </w:p>
        </w:tc>
      </w:tr>
      <w:tr w:rsidR="00E16C06" w:rsidRPr="00E16C06" w14:paraId="1CC439B6" w14:textId="77777777" w:rsidTr="00E16C06">
        <w:tc>
          <w:tcPr>
            <w:tcW w:w="2547" w:type="dxa"/>
            <w:vMerge/>
          </w:tcPr>
          <w:p w14:paraId="2C1FE8B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5F307DD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02:015</w:t>
            </w:r>
          </w:p>
        </w:tc>
        <w:tc>
          <w:tcPr>
            <w:tcW w:w="3119" w:type="dxa"/>
            <w:tcBorders>
              <w:top w:val="nil"/>
              <w:left w:val="nil"/>
              <w:bottom w:val="single" w:sz="4" w:space="0" w:color="auto"/>
              <w:right w:val="single" w:sz="4" w:space="0" w:color="auto"/>
            </w:tcBorders>
            <w:shd w:val="clear" w:color="auto" w:fill="auto"/>
          </w:tcPr>
          <w:p w14:paraId="6259740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2</w:t>
            </w:r>
          </w:p>
        </w:tc>
      </w:tr>
      <w:tr w:rsidR="00E16C06" w:rsidRPr="00E16C06" w14:paraId="75D83C0D" w14:textId="77777777" w:rsidTr="00E16C06">
        <w:tc>
          <w:tcPr>
            <w:tcW w:w="2547" w:type="dxa"/>
            <w:vMerge/>
          </w:tcPr>
          <w:p w14:paraId="2EE6AB7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5" w:type="dxa"/>
            <w:tcBorders>
              <w:top w:val="nil"/>
              <w:left w:val="single" w:sz="4" w:space="0" w:color="auto"/>
              <w:bottom w:val="single" w:sz="4" w:space="0" w:color="auto"/>
              <w:right w:val="single" w:sz="4" w:space="0" w:color="auto"/>
            </w:tcBorders>
            <w:shd w:val="clear" w:color="auto" w:fill="auto"/>
          </w:tcPr>
          <w:p w14:paraId="624C145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02:022</w:t>
            </w:r>
          </w:p>
        </w:tc>
        <w:tc>
          <w:tcPr>
            <w:tcW w:w="3119" w:type="dxa"/>
            <w:tcBorders>
              <w:top w:val="nil"/>
              <w:left w:val="nil"/>
              <w:bottom w:val="single" w:sz="4" w:space="0" w:color="auto"/>
              <w:right w:val="single" w:sz="4" w:space="0" w:color="auto"/>
            </w:tcBorders>
            <w:shd w:val="clear" w:color="auto" w:fill="auto"/>
          </w:tcPr>
          <w:p w14:paraId="1BB47AD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33524</w:t>
            </w:r>
          </w:p>
        </w:tc>
      </w:tr>
      <w:tr w:rsidR="00E16C06" w:rsidRPr="00E16C06" w14:paraId="247172FF" w14:textId="77777777" w:rsidTr="00E16C06">
        <w:tc>
          <w:tcPr>
            <w:tcW w:w="2547" w:type="dxa"/>
            <w:shd w:val="clear" w:color="auto" w:fill="auto"/>
          </w:tcPr>
          <w:p w14:paraId="0384AB4C"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lang w:eastAsia="en-US"/>
              </w:rPr>
            </w:pPr>
            <w:r w:rsidRPr="00E16C06">
              <w:rPr>
                <w:rFonts w:ascii="Times New Roman" w:eastAsia="Times New Roman" w:hAnsi="Times New Roman" w:cs="Times New Roman"/>
                <w:b/>
                <w:spacing w:val="-5"/>
                <w:sz w:val="22"/>
                <w:szCs w:val="22"/>
                <w:lang w:eastAsia="en-US"/>
              </w:rPr>
              <w:t>Итог</w:t>
            </w:r>
          </w:p>
        </w:tc>
        <w:tc>
          <w:tcPr>
            <w:tcW w:w="3685" w:type="dxa"/>
            <w:shd w:val="clear" w:color="auto" w:fill="auto"/>
          </w:tcPr>
          <w:p w14:paraId="13AC3DBB"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lang w:eastAsia="en-US"/>
              </w:rPr>
            </w:pPr>
          </w:p>
        </w:tc>
        <w:tc>
          <w:tcPr>
            <w:tcW w:w="3119" w:type="dxa"/>
            <w:shd w:val="clear" w:color="auto" w:fill="auto"/>
          </w:tcPr>
          <w:p w14:paraId="51C8EE79"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lang w:eastAsia="en-US"/>
              </w:rPr>
            </w:pPr>
            <w:r w:rsidRPr="00E16C06">
              <w:rPr>
                <w:rFonts w:ascii="Times New Roman" w:eastAsia="Times New Roman" w:hAnsi="Times New Roman" w:cs="Times New Roman"/>
                <w:b/>
                <w:spacing w:val="-5"/>
                <w:sz w:val="22"/>
                <w:szCs w:val="22"/>
                <w:lang w:eastAsia="en-US"/>
              </w:rPr>
              <w:t>116 452</w:t>
            </w:r>
          </w:p>
        </w:tc>
      </w:tr>
    </w:tbl>
    <w:p w14:paraId="2F556EB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p>
    <w:p w14:paraId="7B85204B" w14:textId="77777777" w:rsidR="00E16C06" w:rsidRPr="00E16C06" w:rsidRDefault="00E16C06" w:rsidP="00E16C06">
      <w:pPr>
        <w:spacing w:after="0" w:line="276" w:lineRule="auto"/>
        <w:ind w:firstLine="709"/>
        <w:contextualSpacing/>
        <w:rPr>
          <w:rFonts w:ascii="Times New Roman" w:hAnsi="Times New Roman" w:cs="Times New Roman"/>
        </w:rPr>
      </w:pPr>
    </w:p>
    <w:p w14:paraId="3D34D7D4" w14:textId="77777777" w:rsidR="00E16C06" w:rsidRPr="00E16C06" w:rsidRDefault="00E16C06" w:rsidP="00E16C06">
      <w:pPr>
        <w:rPr>
          <w:rFonts w:ascii="Times New Roman" w:hAnsi="Times New Roman" w:cs="Times New Roman"/>
        </w:rPr>
      </w:pPr>
      <w:r w:rsidRPr="00E16C06">
        <w:rPr>
          <w:rFonts w:ascii="Times New Roman" w:hAnsi="Times New Roman" w:cs="Times New Roman"/>
        </w:rPr>
        <w:br w:type="page"/>
      </w:r>
    </w:p>
    <w:p w14:paraId="2F48C026" w14:textId="77777777" w:rsidR="00E16C06" w:rsidRPr="00E16C06" w:rsidRDefault="00E16C06" w:rsidP="00E16C06">
      <w:pPr>
        <w:spacing w:after="0" w:line="276" w:lineRule="auto"/>
        <w:contextualSpacing/>
        <w:rPr>
          <w:rFonts w:ascii="Times New Roman" w:hAnsi="Times New Roman" w:cs="Times New Roman"/>
          <w:noProof/>
        </w:rPr>
      </w:pPr>
      <w:r w:rsidRPr="00E16C06">
        <w:rPr>
          <w:rFonts w:ascii="Times New Roman" w:hAnsi="Times New Roman" w:cs="Times New Roman"/>
          <w:noProof/>
          <w:lang w:eastAsia="ru-RU"/>
        </w:rPr>
        <w:drawing>
          <wp:inline distT="0" distB="0" distL="0" distR="0" wp14:anchorId="7AAE1D54" wp14:editId="04A829EA">
            <wp:extent cx="5996940" cy="3467100"/>
            <wp:effectExtent l="0" t="0" r="381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15004D5F"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eastAsia="Times New Roman" w:hAnsi="Times New Roman" w:cs="Times New Roman"/>
          <w:spacing w:val="-5"/>
          <w:sz w:val="26"/>
          <w:szCs w:val="26"/>
        </w:rPr>
        <w:t xml:space="preserve">Рис. 3.3.2.4 – </w:t>
      </w:r>
      <w:r w:rsidRPr="00E16C06">
        <w:rPr>
          <w:rFonts w:ascii="Times New Roman" w:hAnsi="Times New Roman" w:cs="Times New Roman"/>
          <w:sz w:val="26"/>
          <w:szCs w:val="26"/>
        </w:rPr>
        <w:t>Распределение объектов оценки по кодам расчета вида использования в составе 1 сегмента</w:t>
      </w:r>
    </w:p>
    <w:p w14:paraId="47A4E7A3" w14:textId="77777777" w:rsidR="00E16C06" w:rsidRPr="00E16C06" w:rsidRDefault="00E16C06" w:rsidP="00E16C06">
      <w:pPr>
        <w:rPr>
          <w:rFonts w:ascii="Times New Roman" w:eastAsia="Times New Roman" w:hAnsi="Times New Roman" w:cs="Times New Roman"/>
          <w:spacing w:val="-5"/>
          <w:sz w:val="26"/>
          <w:szCs w:val="26"/>
        </w:rPr>
      </w:pPr>
    </w:p>
    <w:p w14:paraId="1C5745EA" w14:textId="77777777" w:rsidR="00E16C06" w:rsidRPr="00E16C06" w:rsidRDefault="00E16C06" w:rsidP="00E16C06">
      <w:pPr>
        <w:spacing w:after="0" w:line="276" w:lineRule="auto"/>
        <w:contextualSpacing/>
        <w:jc w:val="center"/>
        <w:rPr>
          <w:rFonts w:ascii="Times New Roman" w:eastAsia="Times New Roman" w:hAnsi="Times New Roman" w:cs="Times New Roman"/>
          <w:i/>
          <w:color w:val="000000"/>
          <w:sz w:val="26"/>
          <w:szCs w:val="26"/>
          <w:lang w:eastAsia="ru-RU"/>
        </w:rPr>
      </w:pPr>
      <w:r w:rsidRPr="00E16C06">
        <w:rPr>
          <w:rFonts w:ascii="Times New Roman" w:eastAsia="Times New Roman" w:hAnsi="Times New Roman" w:cs="Times New Roman"/>
          <w:i/>
          <w:spacing w:val="-5"/>
          <w:sz w:val="26"/>
          <w:szCs w:val="26"/>
        </w:rPr>
        <w:t xml:space="preserve">Описание объектов недвижимости </w:t>
      </w:r>
      <w:r w:rsidRPr="00E16C06">
        <w:rPr>
          <w:rFonts w:ascii="Times New Roman" w:eastAsia="Times New Roman" w:hAnsi="Times New Roman" w:cs="Times New Roman"/>
          <w:i/>
          <w:color w:val="000000"/>
          <w:sz w:val="26"/>
          <w:szCs w:val="26"/>
          <w:lang w:eastAsia="ru-RU"/>
        </w:rPr>
        <w:t>2 сегмента «Жилая застройка (среднеэтажная и многоэтажная)»</w:t>
      </w:r>
    </w:p>
    <w:p w14:paraId="5B21D27C" w14:textId="77777777" w:rsidR="00E16C06" w:rsidRPr="00E16C06" w:rsidRDefault="00E16C06" w:rsidP="00E16C06">
      <w:pPr>
        <w:spacing w:after="0" w:line="276" w:lineRule="auto"/>
        <w:contextualSpacing/>
        <w:jc w:val="center"/>
        <w:rPr>
          <w:rFonts w:ascii="Times New Roman" w:eastAsia="Times New Roman" w:hAnsi="Times New Roman" w:cs="Times New Roman"/>
          <w:i/>
          <w:color w:val="000000"/>
          <w:sz w:val="16"/>
          <w:szCs w:val="16"/>
          <w:lang w:eastAsia="ru-RU"/>
        </w:rPr>
      </w:pPr>
    </w:p>
    <w:p w14:paraId="3B94CCE4" w14:textId="77777777" w:rsidR="00E16C06" w:rsidRPr="00E16C06" w:rsidRDefault="00E16C06" w:rsidP="00E16C06">
      <w:pPr>
        <w:spacing w:after="0" w:line="276" w:lineRule="auto"/>
        <w:ind w:firstLine="709"/>
        <w:contextualSpacing/>
        <w:jc w:val="both"/>
        <w:rPr>
          <w:rFonts w:ascii="Times New Roman" w:hAnsi="Times New Roman" w:cs="Times New Roman"/>
          <w:color w:val="000000" w:themeColor="text1"/>
          <w:sz w:val="26"/>
          <w:szCs w:val="26"/>
        </w:rPr>
      </w:pPr>
      <w:r w:rsidRPr="00E16C06">
        <w:rPr>
          <w:rFonts w:ascii="Times New Roman" w:hAnsi="Times New Roman" w:cs="Times New Roman"/>
          <w:color w:val="000000" w:themeColor="text1"/>
          <w:sz w:val="26"/>
          <w:szCs w:val="26"/>
        </w:rPr>
        <w:t>Наибольшее количество земельных участков 2 сегмента сосредоточено в г. Воронеже 4762 объекта. Наименьшее количество земельных участков 2 сегмента сосредоточено в Репьёвском районе – 3 объекта.</w:t>
      </w:r>
    </w:p>
    <w:p w14:paraId="56852B9B" w14:textId="77777777" w:rsidR="00E16C06" w:rsidRPr="00E16C06" w:rsidRDefault="00E16C06" w:rsidP="00E16C06">
      <w:pPr>
        <w:spacing w:after="0" w:line="276" w:lineRule="auto"/>
        <w:contextualSpacing/>
        <w:jc w:val="right"/>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Таблица 3.3.2.5</w:t>
      </w:r>
    </w:p>
    <w:p w14:paraId="4DE6BEE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Распределение земельных участков и площадей, относящихся к сегменту 2 «Жилая застройка (среднеэтажная и многоэтажная)», по муниципальным районам Воронежской области</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221"/>
        <w:gridCol w:w="3261"/>
      </w:tblGrid>
      <w:tr w:rsidR="00E16C06" w:rsidRPr="00E16C06" w14:paraId="2424EFA8" w14:textId="77777777" w:rsidTr="00E16C06">
        <w:trPr>
          <w:trHeight w:val="300"/>
        </w:trPr>
        <w:tc>
          <w:tcPr>
            <w:tcW w:w="3006" w:type="dxa"/>
            <w:noWrap/>
            <w:vAlign w:val="center"/>
            <w:hideMark/>
          </w:tcPr>
          <w:p w14:paraId="2836D62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Район</w:t>
            </w:r>
          </w:p>
        </w:tc>
        <w:tc>
          <w:tcPr>
            <w:tcW w:w="3221" w:type="dxa"/>
            <w:noWrap/>
            <w:vAlign w:val="center"/>
            <w:hideMark/>
          </w:tcPr>
          <w:p w14:paraId="5AC3348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Количество ЗУ</w:t>
            </w:r>
          </w:p>
        </w:tc>
        <w:tc>
          <w:tcPr>
            <w:tcW w:w="3261" w:type="dxa"/>
            <w:noWrap/>
            <w:vAlign w:val="center"/>
            <w:hideMark/>
          </w:tcPr>
          <w:p w14:paraId="0DC39B2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Площадь, кв. м.</w:t>
            </w:r>
          </w:p>
        </w:tc>
      </w:tr>
      <w:tr w:rsidR="00E16C06" w:rsidRPr="00E16C06" w14:paraId="66786D94" w14:textId="77777777" w:rsidTr="00E16C06">
        <w:trPr>
          <w:trHeight w:val="300"/>
        </w:trPr>
        <w:tc>
          <w:tcPr>
            <w:tcW w:w="3006" w:type="dxa"/>
            <w:tcBorders>
              <w:top w:val="single" w:sz="4" w:space="0" w:color="auto"/>
              <w:left w:val="single" w:sz="4" w:space="0" w:color="auto"/>
              <w:bottom w:val="single" w:sz="4" w:space="0" w:color="auto"/>
              <w:right w:val="single" w:sz="4" w:space="0" w:color="auto"/>
            </w:tcBorders>
            <w:shd w:val="clear" w:color="auto" w:fill="auto"/>
            <w:noWrap/>
            <w:hideMark/>
          </w:tcPr>
          <w:p w14:paraId="380ABF7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Аннинский</w:t>
            </w:r>
          </w:p>
        </w:tc>
        <w:tc>
          <w:tcPr>
            <w:tcW w:w="3221" w:type="dxa"/>
            <w:tcBorders>
              <w:top w:val="single" w:sz="4" w:space="0" w:color="auto"/>
              <w:left w:val="nil"/>
              <w:bottom w:val="single" w:sz="4" w:space="0" w:color="auto"/>
              <w:right w:val="single" w:sz="4" w:space="0" w:color="auto"/>
            </w:tcBorders>
            <w:shd w:val="clear" w:color="auto" w:fill="auto"/>
            <w:noWrap/>
            <w:hideMark/>
          </w:tcPr>
          <w:p w14:paraId="0F613F3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121</w:t>
            </w:r>
          </w:p>
        </w:tc>
        <w:tc>
          <w:tcPr>
            <w:tcW w:w="3261" w:type="dxa"/>
            <w:tcBorders>
              <w:top w:val="single" w:sz="4" w:space="0" w:color="auto"/>
              <w:left w:val="nil"/>
              <w:bottom w:val="single" w:sz="4" w:space="0" w:color="auto"/>
              <w:right w:val="single" w:sz="4" w:space="0" w:color="auto"/>
            </w:tcBorders>
            <w:shd w:val="clear" w:color="auto" w:fill="auto"/>
            <w:noWrap/>
            <w:hideMark/>
          </w:tcPr>
          <w:p w14:paraId="20C2A67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197 528</w:t>
            </w:r>
          </w:p>
        </w:tc>
      </w:tr>
      <w:tr w:rsidR="00E16C06" w:rsidRPr="00E16C06" w14:paraId="3D0218C4"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3510C4D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Бобровский</w:t>
            </w:r>
          </w:p>
        </w:tc>
        <w:tc>
          <w:tcPr>
            <w:tcW w:w="3221" w:type="dxa"/>
            <w:tcBorders>
              <w:top w:val="nil"/>
              <w:left w:val="nil"/>
              <w:bottom w:val="single" w:sz="4" w:space="0" w:color="auto"/>
              <w:right w:val="single" w:sz="4" w:space="0" w:color="auto"/>
            </w:tcBorders>
            <w:shd w:val="clear" w:color="auto" w:fill="auto"/>
            <w:noWrap/>
            <w:hideMark/>
          </w:tcPr>
          <w:p w14:paraId="5F5D6D6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39</w:t>
            </w:r>
          </w:p>
        </w:tc>
        <w:tc>
          <w:tcPr>
            <w:tcW w:w="3261" w:type="dxa"/>
            <w:tcBorders>
              <w:top w:val="nil"/>
              <w:left w:val="nil"/>
              <w:bottom w:val="single" w:sz="4" w:space="0" w:color="auto"/>
              <w:right w:val="single" w:sz="4" w:space="0" w:color="auto"/>
            </w:tcBorders>
            <w:shd w:val="clear" w:color="auto" w:fill="auto"/>
            <w:noWrap/>
            <w:hideMark/>
          </w:tcPr>
          <w:p w14:paraId="1E3A48A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232 287</w:t>
            </w:r>
          </w:p>
        </w:tc>
      </w:tr>
      <w:tr w:rsidR="00E16C06" w:rsidRPr="00E16C06" w14:paraId="60001DE7"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147CF8D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Богучарский</w:t>
            </w:r>
          </w:p>
        </w:tc>
        <w:tc>
          <w:tcPr>
            <w:tcW w:w="3221" w:type="dxa"/>
            <w:tcBorders>
              <w:top w:val="nil"/>
              <w:left w:val="nil"/>
              <w:bottom w:val="single" w:sz="4" w:space="0" w:color="auto"/>
              <w:right w:val="single" w:sz="4" w:space="0" w:color="auto"/>
            </w:tcBorders>
            <w:shd w:val="clear" w:color="auto" w:fill="auto"/>
            <w:noWrap/>
            <w:hideMark/>
          </w:tcPr>
          <w:p w14:paraId="1962F73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w:t>
            </w:r>
          </w:p>
        </w:tc>
        <w:tc>
          <w:tcPr>
            <w:tcW w:w="3261" w:type="dxa"/>
            <w:tcBorders>
              <w:top w:val="nil"/>
              <w:left w:val="nil"/>
              <w:bottom w:val="single" w:sz="4" w:space="0" w:color="auto"/>
              <w:right w:val="single" w:sz="4" w:space="0" w:color="auto"/>
            </w:tcBorders>
            <w:shd w:val="clear" w:color="auto" w:fill="auto"/>
            <w:noWrap/>
            <w:hideMark/>
          </w:tcPr>
          <w:p w14:paraId="04B2F22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63 496</w:t>
            </w:r>
          </w:p>
        </w:tc>
      </w:tr>
      <w:tr w:rsidR="00E16C06" w:rsidRPr="00E16C06" w14:paraId="5D76580D"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7F88040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Борисоглебский</w:t>
            </w:r>
          </w:p>
        </w:tc>
        <w:tc>
          <w:tcPr>
            <w:tcW w:w="3221" w:type="dxa"/>
            <w:tcBorders>
              <w:top w:val="nil"/>
              <w:left w:val="nil"/>
              <w:bottom w:val="single" w:sz="4" w:space="0" w:color="auto"/>
              <w:right w:val="single" w:sz="4" w:space="0" w:color="auto"/>
            </w:tcBorders>
            <w:shd w:val="clear" w:color="auto" w:fill="auto"/>
            <w:noWrap/>
            <w:hideMark/>
          </w:tcPr>
          <w:p w14:paraId="20105E7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236</w:t>
            </w:r>
          </w:p>
        </w:tc>
        <w:tc>
          <w:tcPr>
            <w:tcW w:w="3261" w:type="dxa"/>
            <w:tcBorders>
              <w:top w:val="nil"/>
              <w:left w:val="nil"/>
              <w:bottom w:val="single" w:sz="4" w:space="0" w:color="auto"/>
              <w:right w:val="single" w:sz="4" w:space="0" w:color="auto"/>
            </w:tcBorders>
            <w:shd w:val="clear" w:color="auto" w:fill="auto"/>
            <w:noWrap/>
            <w:hideMark/>
          </w:tcPr>
          <w:p w14:paraId="2F04928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772 945</w:t>
            </w:r>
          </w:p>
        </w:tc>
      </w:tr>
      <w:tr w:rsidR="00E16C06" w:rsidRPr="00E16C06" w14:paraId="32D259C0"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201CD31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Бутурлиновский</w:t>
            </w:r>
          </w:p>
        </w:tc>
        <w:tc>
          <w:tcPr>
            <w:tcW w:w="3221" w:type="dxa"/>
            <w:tcBorders>
              <w:top w:val="nil"/>
              <w:left w:val="nil"/>
              <w:bottom w:val="single" w:sz="4" w:space="0" w:color="auto"/>
              <w:right w:val="single" w:sz="4" w:space="0" w:color="auto"/>
            </w:tcBorders>
            <w:shd w:val="clear" w:color="auto" w:fill="auto"/>
            <w:noWrap/>
            <w:hideMark/>
          </w:tcPr>
          <w:p w14:paraId="0CDB40E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95</w:t>
            </w:r>
          </w:p>
        </w:tc>
        <w:tc>
          <w:tcPr>
            <w:tcW w:w="3261" w:type="dxa"/>
            <w:tcBorders>
              <w:top w:val="nil"/>
              <w:left w:val="nil"/>
              <w:bottom w:val="single" w:sz="4" w:space="0" w:color="auto"/>
              <w:right w:val="single" w:sz="4" w:space="0" w:color="auto"/>
            </w:tcBorders>
            <w:shd w:val="clear" w:color="auto" w:fill="auto"/>
            <w:noWrap/>
            <w:hideMark/>
          </w:tcPr>
          <w:p w14:paraId="525570B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387 969</w:t>
            </w:r>
          </w:p>
        </w:tc>
      </w:tr>
      <w:tr w:rsidR="00E16C06" w:rsidRPr="00E16C06" w14:paraId="16D5C84E"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4AC9EDD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Верхнемамонский</w:t>
            </w:r>
          </w:p>
        </w:tc>
        <w:tc>
          <w:tcPr>
            <w:tcW w:w="3221" w:type="dxa"/>
            <w:tcBorders>
              <w:top w:val="nil"/>
              <w:left w:val="nil"/>
              <w:bottom w:val="single" w:sz="4" w:space="0" w:color="auto"/>
              <w:right w:val="single" w:sz="4" w:space="0" w:color="auto"/>
            </w:tcBorders>
            <w:shd w:val="clear" w:color="auto" w:fill="auto"/>
            <w:noWrap/>
            <w:hideMark/>
          </w:tcPr>
          <w:p w14:paraId="3FB6622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w:t>
            </w:r>
          </w:p>
        </w:tc>
        <w:tc>
          <w:tcPr>
            <w:tcW w:w="3261" w:type="dxa"/>
            <w:tcBorders>
              <w:top w:val="nil"/>
              <w:left w:val="nil"/>
              <w:bottom w:val="single" w:sz="4" w:space="0" w:color="auto"/>
              <w:right w:val="single" w:sz="4" w:space="0" w:color="auto"/>
            </w:tcBorders>
            <w:shd w:val="clear" w:color="auto" w:fill="auto"/>
            <w:noWrap/>
            <w:hideMark/>
          </w:tcPr>
          <w:p w14:paraId="52E0D84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50 507</w:t>
            </w:r>
          </w:p>
        </w:tc>
      </w:tr>
      <w:tr w:rsidR="00E16C06" w:rsidRPr="00E16C06" w14:paraId="65F90BB6"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227207C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Верхнехавский</w:t>
            </w:r>
          </w:p>
        </w:tc>
        <w:tc>
          <w:tcPr>
            <w:tcW w:w="3221" w:type="dxa"/>
            <w:tcBorders>
              <w:top w:val="nil"/>
              <w:left w:val="nil"/>
              <w:bottom w:val="single" w:sz="4" w:space="0" w:color="auto"/>
              <w:right w:val="single" w:sz="4" w:space="0" w:color="auto"/>
            </w:tcBorders>
            <w:shd w:val="clear" w:color="auto" w:fill="auto"/>
            <w:noWrap/>
            <w:hideMark/>
          </w:tcPr>
          <w:p w14:paraId="0BA0C33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w:t>
            </w:r>
          </w:p>
        </w:tc>
        <w:tc>
          <w:tcPr>
            <w:tcW w:w="3261" w:type="dxa"/>
            <w:tcBorders>
              <w:top w:val="nil"/>
              <w:left w:val="nil"/>
              <w:bottom w:val="single" w:sz="4" w:space="0" w:color="auto"/>
              <w:right w:val="single" w:sz="4" w:space="0" w:color="auto"/>
            </w:tcBorders>
            <w:shd w:val="clear" w:color="auto" w:fill="auto"/>
            <w:noWrap/>
            <w:hideMark/>
          </w:tcPr>
          <w:p w14:paraId="316E0D1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21 999</w:t>
            </w:r>
          </w:p>
        </w:tc>
      </w:tr>
      <w:tr w:rsidR="00E16C06" w:rsidRPr="00E16C06" w14:paraId="41A1DB9F"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1E43359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Воробьевский</w:t>
            </w:r>
          </w:p>
        </w:tc>
        <w:tc>
          <w:tcPr>
            <w:tcW w:w="3221" w:type="dxa"/>
            <w:tcBorders>
              <w:top w:val="nil"/>
              <w:left w:val="nil"/>
              <w:bottom w:val="single" w:sz="4" w:space="0" w:color="auto"/>
              <w:right w:val="single" w:sz="4" w:space="0" w:color="auto"/>
            </w:tcBorders>
            <w:shd w:val="clear" w:color="auto" w:fill="auto"/>
            <w:noWrap/>
            <w:hideMark/>
          </w:tcPr>
          <w:p w14:paraId="136B879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w:t>
            </w:r>
          </w:p>
        </w:tc>
        <w:tc>
          <w:tcPr>
            <w:tcW w:w="3261" w:type="dxa"/>
            <w:tcBorders>
              <w:top w:val="nil"/>
              <w:left w:val="nil"/>
              <w:bottom w:val="single" w:sz="4" w:space="0" w:color="auto"/>
              <w:right w:val="single" w:sz="4" w:space="0" w:color="auto"/>
            </w:tcBorders>
            <w:shd w:val="clear" w:color="auto" w:fill="auto"/>
            <w:noWrap/>
            <w:hideMark/>
          </w:tcPr>
          <w:p w14:paraId="1F3EA73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6 399</w:t>
            </w:r>
          </w:p>
        </w:tc>
      </w:tr>
      <w:tr w:rsidR="00E16C06" w:rsidRPr="00E16C06" w14:paraId="4FFD5148"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7973392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ГО г. Воронеж</w:t>
            </w:r>
          </w:p>
        </w:tc>
        <w:tc>
          <w:tcPr>
            <w:tcW w:w="3221" w:type="dxa"/>
            <w:tcBorders>
              <w:top w:val="nil"/>
              <w:left w:val="nil"/>
              <w:bottom w:val="single" w:sz="4" w:space="0" w:color="auto"/>
              <w:right w:val="single" w:sz="4" w:space="0" w:color="auto"/>
            </w:tcBorders>
            <w:shd w:val="clear" w:color="auto" w:fill="auto"/>
            <w:noWrap/>
            <w:hideMark/>
          </w:tcPr>
          <w:p w14:paraId="5464779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4762</w:t>
            </w:r>
          </w:p>
        </w:tc>
        <w:tc>
          <w:tcPr>
            <w:tcW w:w="3261" w:type="dxa"/>
            <w:tcBorders>
              <w:top w:val="nil"/>
              <w:left w:val="nil"/>
              <w:bottom w:val="single" w:sz="4" w:space="0" w:color="auto"/>
              <w:right w:val="single" w:sz="4" w:space="0" w:color="auto"/>
            </w:tcBorders>
            <w:shd w:val="clear" w:color="auto" w:fill="auto"/>
            <w:noWrap/>
            <w:hideMark/>
          </w:tcPr>
          <w:p w14:paraId="2D4BCCD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26 048 217</w:t>
            </w:r>
          </w:p>
        </w:tc>
      </w:tr>
      <w:tr w:rsidR="00E16C06" w:rsidRPr="00E16C06" w14:paraId="5A469993"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44240B7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ГО Нововоронеж</w:t>
            </w:r>
          </w:p>
        </w:tc>
        <w:tc>
          <w:tcPr>
            <w:tcW w:w="3221" w:type="dxa"/>
            <w:tcBorders>
              <w:top w:val="nil"/>
              <w:left w:val="nil"/>
              <w:bottom w:val="single" w:sz="4" w:space="0" w:color="auto"/>
              <w:right w:val="single" w:sz="4" w:space="0" w:color="auto"/>
            </w:tcBorders>
            <w:shd w:val="clear" w:color="auto" w:fill="auto"/>
            <w:noWrap/>
            <w:hideMark/>
          </w:tcPr>
          <w:p w14:paraId="35D821E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220</w:t>
            </w:r>
          </w:p>
        </w:tc>
        <w:tc>
          <w:tcPr>
            <w:tcW w:w="3261" w:type="dxa"/>
            <w:tcBorders>
              <w:top w:val="nil"/>
              <w:left w:val="nil"/>
              <w:bottom w:val="single" w:sz="4" w:space="0" w:color="auto"/>
              <w:right w:val="single" w:sz="4" w:space="0" w:color="auto"/>
            </w:tcBorders>
            <w:shd w:val="clear" w:color="auto" w:fill="auto"/>
            <w:noWrap/>
            <w:hideMark/>
          </w:tcPr>
          <w:p w14:paraId="3F988C2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482 928</w:t>
            </w:r>
          </w:p>
        </w:tc>
      </w:tr>
      <w:tr w:rsidR="00E16C06" w:rsidRPr="00E16C06" w14:paraId="361C4704"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617E869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Грибановский</w:t>
            </w:r>
          </w:p>
        </w:tc>
        <w:tc>
          <w:tcPr>
            <w:tcW w:w="3221" w:type="dxa"/>
            <w:tcBorders>
              <w:top w:val="nil"/>
              <w:left w:val="nil"/>
              <w:bottom w:val="single" w:sz="4" w:space="0" w:color="auto"/>
              <w:right w:val="single" w:sz="4" w:space="0" w:color="auto"/>
            </w:tcBorders>
            <w:shd w:val="clear" w:color="auto" w:fill="auto"/>
            <w:noWrap/>
            <w:hideMark/>
          </w:tcPr>
          <w:p w14:paraId="4DFD9E0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82</w:t>
            </w:r>
          </w:p>
        </w:tc>
        <w:tc>
          <w:tcPr>
            <w:tcW w:w="3261" w:type="dxa"/>
            <w:tcBorders>
              <w:top w:val="nil"/>
              <w:left w:val="nil"/>
              <w:bottom w:val="single" w:sz="4" w:space="0" w:color="auto"/>
              <w:right w:val="single" w:sz="4" w:space="0" w:color="auto"/>
            </w:tcBorders>
            <w:shd w:val="clear" w:color="auto" w:fill="auto"/>
            <w:noWrap/>
            <w:hideMark/>
          </w:tcPr>
          <w:p w14:paraId="15A355B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200 999</w:t>
            </w:r>
          </w:p>
        </w:tc>
      </w:tr>
      <w:tr w:rsidR="00E16C06" w:rsidRPr="00E16C06" w14:paraId="582643BA"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75DD2FC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Калачеевский</w:t>
            </w:r>
          </w:p>
        </w:tc>
        <w:tc>
          <w:tcPr>
            <w:tcW w:w="3221" w:type="dxa"/>
            <w:tcBorders>
              <w:top w:val="nil"/>
              <w:left w:val="nil"/>
              <w:bottom w:val="single" w:sz="4" w:space="0" w:color="auto"/>
              <w:right w:val="single" w:sz="4" w:space="0" w:color="auto"/>
            </w:tcBorders>
            <w:shd w:val="clear" w:color="auto" w:fill="auto"/>
            <w:noWrap/>
            <w:hideMark/>
          </w:tcPr>
          <w:p w14:paraId="417DEE0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72</w:t>
            </w:r>
          </w:p>
        </w:tc>
        <w:tc>
          <w:tcPr>
            <w:tcW w:w="3261" w:type="dxa"/>
            <w:tcBorders>
              <w:top w:val="nil"/>
              <w:left w:val="nil"/>
              <w:bottom w:val="single" w:sz="4" w:space="0" w:color="auto"/>
              <w:right w:val="single" w:sz="4" w:space="0" w:color="auto"/>
            </w:tcBorders>
            <w:shd w:val="clear" w:color="auto" w:fill="auto"/>
            <w:noWrap/>
            <w:hideMark/>
          </w:tcPr>
          <w:p w14:paraId="172095F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226 438</w:t>
            </w:r>
          </w:p>
        </w:tc>
      </w:tr>
      <w:tr w:rsidR="00E16C06" w:rsidRPr="00E16C06" w14:paraId="11EE638E"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4F01215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Каменский</w:t>
            </w:r>
          </w:p>
        </w:tc>
        <w:tc>
          <w:tcPr>
            <w:tcW w:w="3221" w:type="dxa"/>
            <w:tcBorders>
              <w:top w:val="nil"/>
              <w:left w:val="nil"/>
              <w:bottom w:val="single" w:sz="4" w:space="0" w:color="auto"/>
              <w:right w:val="single" w:sz="4" w:space="0" w:color="auto"/>
            </w:tcBorders>
            <w:shd w:val="clear" w:color="auto" w:fill="auto"/>
            <w:noWrap/>
            <w:hideMark/>
          </w:tcPr>
          <w:p w14:paraId="7969009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59</w:t>
            </w:r>
          </w:p>
        </w:tc>
        <w:tc>
          <w:tcPr>
            <w:tcW w:w="3261" w:type="dxa"/>
            <w:tcBorders>
              <w:top w:val="nil"/>
              <w:left w:val="nil"/>
              <w:bottom w:val="single" w:sz="4" w:space="0" w:color="auto"/>
              <w:right w:val="single" w:sz="4" w:space="0" w:color="auto"/>
            </w:tcBorders>
            <w:shd w:val="clear" w:color="auto" w:fill="auto"/>
            <w:noWrap/>
            <w:hideMark/>
          </w:tcPr>
          <w:p w14:paraId="4C486F9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52 065</w:t>
            </w:r>
          </w:p>
        </w:tc>
      </w:tr>
      <w:tr w:rsidR="00E16C06" w:rsidRPr="00E16C06" w14:paraId="790E788C"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016DF4B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Кантемировский</w:t>
            </w:r>
          </w:p>
        </w:tc>
        <w:tc>
          <w:tcPr>
            <w:tcW w:w="3221" w:type="dxa"/>
            <w:tcBorders>
              <w:top w:val="nil"/>
              <w:left w:val="nil"/>
              <w:bottom w:val="single" w:sz="4" w:space="0" w:color="auto"/>
              <w:right w:val="single" w:sz="4" w:space="0" w:color="auto"/>
            </w:tcBorders>
            <w:shd w:val="clear" w:color="auto" w:fill="auto"/>
            <w:noWrap/>
            <w:hideMark/>
          </w:tcPr>
          <w:p w14:paraId="7250BCF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62</w:t>
            </w:r>
          </w:p>
        </w:tc>
        <w:tc>
          <w:tcPr>
            <w:tcW w:w="3261" w:type="dxa"/>
            <w:tcBorders>
              <w:top w:val="nil"/>
              <w:left w:val="nil"/>
              <w:bottom w:val="single" w:sz="4" w:space="0" w:color="auto"/>
              <w:right w:val="single" w:sz="4" w:space="0" w:color="auto"/>
            </w:tcBorders>
            <w:shd w:val="clear" w:color="auto" w:fill="auto"/>
            <w:noWrap/>
            <w:hideMark/>
          </w:tcPr>
          <w:p w14:paraId="1E6DE59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120 750</w:t>
            </w:r>
          </w:p>
        </w:tc>
      </w:tr>
      <w:tr w:rsidR="00E16C06" w:rsidRPr="00E16C06" w14:paraId="3D8E2BDA"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3B337BC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Каширский</w:t>
            </w:r>
          </w:p>
        </w:tc>
        <w:tc>
          <w:tcPr>
            <w:tcW w:w="3221" w:type="dxa"/>
            <w:tcBorders>
              <w:top w:val="nil"/>
              <w:left w:val="nil"/>
              <w:bottom w:val="single" w:sz="4" w:space="0" w:color="auto"/>
              <w:right w:val="single" w:sz="4" w:space="0" w:color="auto"/>
            </w:tcBorders>
            <w:shd w:val="clear" w:color="auto" w:fill="auto"/>
            <w:noWrap/>
            <w:hideMark/>
          </w:tcPr>
          <w:p w14:paraId="411FA6B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w:t>
            </w:r>
          </w:p>
        </w:tc>
        <w:tc>
          <w:tcPr>
            <w:tcW w:w="3261" w:type="dxa"/>
            <w:tcBorders>
              <w:top w:val="nil"/>
              <w:left w:val="nil"/>
              <w:bottom w:val="single" w:sz="4" w:space="0" w:color="auto"/>
              <w:right w:val="single" w:sz="4" w:space="0" w:color="auto"/>
            </w:tcBorders>
            <w:shd w:val="clear" w:color="auto" w:fill="auto"/>
            <w:noWrap/>
            <w:hideMark/>
          </w:tcPr>
          <w:p w14:paraId="764B307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52 719</w:t>
            </w:r>
          </w:p>
        </w:tc>
      </w:tr>
      <w:tr w:rsidR="00E16C06" w:rsidRPr="00E16C06" w14:paraId="0ACE6AD7"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12352B1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Лискинский</w:t>
            </w:r>
          </w:p>
        </w:tc>
        <w:tc>
          <w:tcPr>
            <w:tcW w:w="3221" w:type="dxa"/>
            <w:tcBorders>
              <w:top w:val="nil"/>
              <w:left w:val="nil"/>
              <w:bottom w:val="single" w:sz="4" w:space="0" w:color="auto"/>
              <w:right w:val="single" w:sz="4" w:space="0" w:color="auto"/>
            </w:tcBorders>
            <w:shd w:val="clear" w:color="auto" w:fill="auto"/>
            <w:noWrap/>
            <w:hideMark/>
          </w:tcPr>
          <w:p w14:paraId="1CC272C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111</w:t>
            </w:r>
          </w:p>
        </w:tc>
        <w:tc>
          <w:tcPr>
            <w:tcW w:w="3261" w:type="dxa"/>
            <w:tcBorders>
              <w:top w:val="nil"/>
              <w:left w:val="nil"/>
              <w:bottom w:val="single" w:sz="4" w:space="0" w:color="auto"/>
              <w:right w:val="single" w:sz="4" w:space="0" w:color="auto"/>
            </w:tcBorders>
            <w:shd w:val="clear" w:color="auto" w:fill="auto"/>
            <w:noWrap/>
            <w:hideMark/>
          </w:tcPr>
          <w:p w14:paraId="6ABA5EA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380 448</w:t>
            </w:r>
          </w:p>
        </w:tc>
      </w:tr>
      <w:tr w:rsidR="00E16C06" w:rsidRPr="00E16C06" w14:paraId="43AC67EA"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2BE56DB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Нижнедевицкий</w:t>
            </w:r>
          </w:p>
        </w:tc>
        <w:tc>
          <w:tcPr>
            <w:tcW w:w="3221" w:type="dxa"/>
            <w:tcBorders>
              <w:top w:val="nil"/>
              <w:left w:val="nil"/>
              <w:bottom w:val="single" w:sz="4" w:space="0" w:color="auto"/>
              <w:right w:val="single" w:sz="4" w:space="0" w:color="auto"/>
            </w:tcBorders>
            <w:shd w:val="clear" w:color="auto" w:fill="auto"/>
            <w:noWrap/>
            <w:hideMark/>
          </w:tcPr>
          <w:p w14:paraId="1BAF7E8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55</w:t>
            </w:r>
          </w:p>
        </w:tc>
        <w:tc>
          <w:tcPr>
            <w:tcW w:w="3261" w:type="dxa"/>
            <w:tcBorders>
              <w:top w:val="nil"/>
              <w:left w:val="nil"/>
              <w:bottom w:val="single" w:sz="4" w:space="0" w:color="auto"/>
              <w:right w:val="single" w:sz="4" w:space="0" w:color="auto"/>
            </w:tcBorders>
            <w:shd w:val="clear" w:color="auto" w:fill="auto"/>
            <w:noWrap/>
            <w:hideMark/>
          </w:tcPr>
          <w:p w14:paraId="36966BA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39 155</w:t>
            </w:r>
          </w:p>
        </w:tc>
      </w:tr>
      <w:tr w:rsidR="00E16C06" w:rsidRPr="00E16C06" w14:paraId="7E327F79"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481B671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Новоусманский</w:t>
            </w:r>
          </w:p>
        </w:tc>
        <w:tc>
          <w:tcPr>
            <w:tcW w:w="3221" w:type="dxa"/>
            <w:tcBorders>
              <w:top w:val="nil"/>
              <w:left w:val="nil"/>
              <w:bottom w:val="single" w:sz="4" w:space="0" w:color="auto"/>
              <w:right w:val="single" w:sz="4" w:space="0" w:color="auto"/>
            </w:tcBorders>
            <w:shd w:val="clear" w:color="auto" w:fill="auto"/>
            <w:noWrap/>
            <w:hideMark/>
          </w:tcPr>
          <w:p w14:paraId="5E4E59C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309</w:t>
            </w:r>
          </w:p>
        </w:tc>
        <w:tc>
          <w:tcPr>
            <w:tcW w:w="3261" w:type="dxa"/>
            <w:tcBorders>
              <w:top w:val="nil"/>
              <w:left w:val="nil"/>
              <w:bottom w:val="single" w:sz="4" w:space="0" w:color="auto"/>
              <w:right w:val="single" w:sz="4" w:space="0" w:color="auto"/>
            </w:tcBorders>
            <w:shd w:val="clear" w:color="auto" w:fill="auto"/>
            <w:noWrap/>
            <w:hideMark/>
          </w:tcPr>
          <w:p w14:paraId="7ED64C1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1 650 364</w:t>
            </w:r>
          </w:p>
        </w:tc>
      </w:tr>
      <w:tr w:rsidR="00E16C06" w:rsidRPr="00E16C06" w14:paraId="462375B0"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725132E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Новохоперский</w:t>
            </w:r>
          </w:p>
        </w:tc>
        <w:tc>
          <w:tcPr>
            <w:tcW w:w="3221" w:type="dxa"/>
            <w:tcBorders>
              <w:top w:val="nil"/>
              <w:left w:val="nil"/>
              <w:bottom w:val="single" w:sz="4" w:space="0" w:color="auto"/>
              <w:right w:val="single" w:sz="4" w:space="0" w:color="auto"/>
            </w:tcBorders>
            <w:shd w:val="clear" w:color="auto" w:fill="auto"/>
            <w:noWrap/>
            <w:hideMark/>
          </w:tcPr>
          <w:p w14:paraId="3019A73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50</w:t>
            </w:r>
          </w:p>
        </w:tc>
        <w:tc>
          <w:tcPr>
            <w:tcW w:w="3261" w:type="dxa"/>
            <w:tcBorders>
              <w:top w:val="nil"/>
              <w:left w:val="nil"/>
              <w:bottom w:val="single" w:sz="4" w:space="0" w:color="auto"/>
              <w:right w:val="single" w:sz="4" w:space="0" w:color="auto"/>
            </w:tcBorders>
            <w:shd w:val="clear" w:color="auto" w:fill="auto"/>
            <w:noWrap/>
            <w:hideMark/>
          </w:tcPr>
          <w:p w14:paraId="633011B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111 574</w:t>
            </w:r>
          </w:p>
        </w:tc>
      </w:tr>
      <w:tr w:rsidR="00E16C06" w:rsidRPr="00E16C06" w14:paraId="2CFCB298"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5966B83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Ольховатский</w:t>
            </w:r>
          </w:p>
        </w:tc>
        <w:tc>
          <w:tcPr>
            <w:tcW w:w="3221" w:type="dxa"/>
            <w:tcBorders>
              <w:top w:val="nil"/>
              <w:left w:val="nil"/>
              <w:bottom w:val="single" w:sz="4" w:space="0" w:color="auto"/>
              <w:right w:val="single" w:sz="4" w:space="0" w:color="auto"/>
            </w:tcBorders>
            <w:shd w:val="clear" w:color="auto" w:fill="auto"/>
            <w:noWrap/>
            <w:hideMark/>
          </w:tcPr>
          <w:p w14:paraId="54B67A5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38</w:t>
            </w:r>
          </w:p>
        </w:tc>
        <w:tc>
          <w:tcPr>
            <w:tcW w:w="3261" w:type="dxa"/>
            <w:tcBorders>
              <w:top w:val="nil"/>
              <w:left w:val="nil"/>
              <w:bottom w:val="single" w:sz="4" w:space="0" w:color="auto"/>
              <w:right w:val="single" w:sz="4" w:space="0" w:color="auto"/>
            </w:tcBorders>
            <w:shd w:val="clear" w:color="auto" w:fill="auto"/>
            <w:noWrap/>
            <w:hideMark/>
          </w:tcPr>
          <w:p w14:paraId="77810DD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109 049</w:t>
            </w:r>
          </w:p>
        </w:tc>
      </w:tr>
      <w:tr w:rsidR="00E16C06" w:rsidRPr="00E16C06" w14:paraId="340A5191"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755C41C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Острогожский</w:t>
            </w:r>
          </w:p>
        </w:tc>
        <w:tc>
          <w:tcPr>
            <w:tcW w:w="3221" w:type="dxa"/>
            <w:tcBorders>
              <w:top w:val="nil"/>
              <w:left w:val="nil"/>
              <w:bottom w:val="single" w:sz="4" w:space="0" w:color="auto"/>
              <w:right w:val="single" w:sz="4" w:space="0" w:color="auto"/>
            </w:tcBorders>
            <w:shd w:val="clear" w:color="auto" w:fill="auto"/>
            <w:noWrap/>
            <w:hideMark/>
          </w:tcPr>
          <w:p w14:paraId="6F53E02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47</w:t>
            </w:r>
          </w:p>
        </w:tc>
        <w:tc>
          <w:tcPr>
            <w:tcW w:w="3261" w:type="dxa"/>
            <w:tcBorders>
              <w:top w:val="nil"/>
              <w:left w:val="nil"/>
              <w:bottom w:val="single" w:sz="4" w:space="0" w:color="auto"/>
              <w:right w:val="single" w:sz="4" w:space="0" w:color="auto"/>
            </w:tcBorders>
            <w:shd w:val="clear" w:color="auto" w:fill="auto"/>
            <w:noWrap/>
            <w:hideMark/>
          </w:tcPr>
          <w:p w14:paraId="7FCB445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176 411</w:t>
            </w:r>
          </w:p>
        </w:tc>
      </w:tr>
      <w:tr w:rsidR="00E16C06" w:rsidRPr="00E16C06" w14:paraId="234DE18F"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0AE800E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Павловский</w:t>
            </w:r>
          </w:p>
        </w:tc>
        <w:tc>
          <w:tcPr>
            <w:tcW w:w="3221" w:type="dxa"/>
            <w:tcBorders>
              <w:top w:val="nil"/>
              <w:left w:val="nil"/>
              <w:bottom w:val="single" w:sz="4" w:space="0" w:color="auto"/>
              <w:right w:val="single" w:sz="4" w:space="0" w:color="auto"/>
            </w:tcBorders>
            <w:shd w:val="clear" w:color="auto" w:fill="auto"/>
            <w:noWrap/>
            <w:hideMark/>
          </w:tcPr>
          <w:p w14:paraId="0177F7A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94</w:t>
            </w:r>
          </w:p>
        </w:tc>
        <w:tc>
          <w:tcPr>
            <w:tcW w:w="3261" w:type="dxa"/>
            <w:tcBorders>
              <w:top w:val="nil"/>
              <w:left w:val="nil"/>
              <w:bottom w:val="single" w:sz="4" w:space="0" w:color="auto"/>
              <w:right w:val="single" w:sz="4" w:space="0" w:color="auto"/>
            </w:tcBorders>
            <w:shd w:val="clear" w:color="auto" w:fill="auto"/>
            <w:noWrap/>
            <w:hideMark/>
          </w:tcPr>
          <w:p w14:paraId="7264E26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443 345</w:t>
            </w:r>
          </w:p>
        </w:tc>
      </w:tr>
      <w:tr w:rsidR="00E16C06" w:rsidRPr="00E16C06" w14:paraId="60DAE113"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7DD2F80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Панинский</w:t>
            </w:r>
          </w:p>
        </w:tc>
        <w:tc>
          <w:tcPr>
            <w:tcW w:w="3221" w:type="dxa"/>
            <w:tcBorders>
              <w:top w:val="nil"/>
              <w:left w:val="nil"/>
              <w:bottom w:val="single" w:sz="4" w:space="0" w:color="auto"/>
              <w:right w:val="single" w:sz="4" w:space="0" w:color="auto"/>
            </w:tcBorders>
            <w:shd w:val="clear" w:color="auto" w:fill="auto"/>
            <w:noWrap/>
            <w:hideMark/>
          </w:tcPr>
          <w:p w14:paraId="2182E10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w:t>
            </w:r>
          </w:p>
        </w:tc>
        <w:tc>
          <w:tcPr>
            <w:tcW w:w="3261" w:type="dxa"/>
            <w:tcBorders>
              <w:top w:val="nil"/>
              <w:left w:val="nil"/>
              <w:bottom w:val="single" w:sz="4" w:space="0" w:color="auto"/>
              <w:right w:val="single" w:sz="4" w:space="0" w:color="auto"/>
            </w:tcBorders>
            <w:shd w:val="clear" w:color="auto" w:fill="auto"/>
            <w:noWrap/>
            <w:hideMark/>
          </w:tcPr>
          <w:p w14:paraId="3500201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14 543</w:t>
            </w:r>
          </w:p>
        </w:tc>
      </w:tr>
      <w:tr w:rsidR="00E16C06" w:rsidRPr="00E16C06" w14:paraId="3151130D"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47F978E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Петропавловский</w:t>
            </w:r>
          </w:p>
        </w:tc>
        <w:tc>
          <w:tcPr>
            <w:tcW w:w="3221" w:type="dxa"/>
            <w:tcBorders>
              <w:top w:val="nil"/>
              <w:left w:val="nil"/>
              <w:bottom w:val="single" w:sz="4" w:space="0" w:color="auto"/>
              <w:right w:val="single" w:sz="4" w:space="0" w:color="auto"/>
            </w:tcBorders>
            <w:shd w:val="clear" w:color="auto" w:fill="auto"/>
            <w:noWrap/>
            <w:hideMark/>
          </w:tcPr>
          <w:p w14:paraId="489F4DE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w:t>
            </w:r>
          </w:p>
        </w:tc>
        <w:tc>
          <w:tcPr>
            <w:tcW w:w="3261" w:type="dxa"/>
            <w:tcBorders>
              <w:top w:val="nil"/>
              <w:left w:val="nil"/>
              <w:bottom w:val="single" w:sz="4" w:space="0" w:color="auto"/>
              <w:right w:val="single" w:sz="4" w:space="0" w:color="auto"/>
            </w:tcBorders>
            <w:shd w:val="clear" w:color="auto" w:fill="auto"/>
            <w:noWrap/>
            <w:hideMark/>
          </w:tcPr>
          <w:p w14:paraId="227D05B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16 580</w:t>
            </w:r>
          </w:p>
        </w:tc>
      </w:tr>
      <w:tr w:rsidR="00E16C06" w:rsidRPr="00E16C06" w14:paraId="4D5A629C"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0E549DD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Поворинский</w:t>
            </w:r>
          </w:p>
        </w:tc>
        <w:tc>
          <w:tcPr>
            <w:tcW w:w="3221" w:type="dxa"/>
            <w:tcBorders>
              <w:top w:val="nil"/>
              <w:left w:val="nil"/>
              <w:bottom w:val="single" w:sz="4" w:space="0" w:color="auto"/>
              <w:right w:val="single" w:sz="4" w:space="0" w:color="auto"/>
            </w:tcBorders>
            <w:shd w:val="clear" w:color="auto" w:fill="auto"/>
            <w:noWrap/>
            <w:hideMark/>
          </w:tcPr>
          <w:p w14:paraId="5F37D27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67</w:t>
            </w:r>
          </w:p>
        </w:tc>
        <w:tc>
          <w:tcPr>
            <w:tcW w:w="3261" w:type="dxa"/>
            <w:tcBorders>
              <w:top w:val="nil"/>
              <w:left w:val="nil"/>
              <w:bottom w:val="single" w:sz="4" w:space="0" w:color="auto"/>
              <w:right w:val="single" w:sz="4" w:space="0" w:color="auto"/>
            </w:tcBorders>
            <w:shd w:val="clear" w:color="auto" w:fill="auto"/>
            <w:noWrap/>
            <w:hideMark/>
          </w:tcPr>
          <w:p w14:paraId="7B92E4A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197 897</w:t>
            </w:r>
          </w:p>
        </w:tc>
      </w:tr>
      <w:tr w:rsidR="00E16C06" w:rsidRPr="00E16C06" w14:paraId="01231501"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1F85DE6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Подгоренский</w:t>
            </w:r>
          </w:p>
        </w:tc>
        <w:tc>
          <w:tcPr>
            <w:tcW w:w="3221" w:type="dxa"/>
            <w:tcBorders>
              <w:top w:val="nil"/>
              <w:left w:val="nil"/>
              <w:bottom w:val="single" w:sz="4" w:space="0" w:color="auto"/>
              <w:right w:val="single" w:sz="4" w:space="0" w:color="auto"/>
            </w:tcBorders>
            <w:shd w:val="clear" w:color="auto" w:fill="auto"/>
            <w:noWrap/>
            <w:hideMark/>
          </w:tcPr>
          <w:p w14:paraId="6DB1E63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66</w:t>
            </w:r>
          </w:p>
        </w:tc>
        <w:tc>
          <w:tcPr>
            <w:tcW w:w="3261" w:type="dxa"/>
            <w:tcBorders>
              <w:top w:val="nil"/>
              <w:left w:val="nil"/>
              <w:bottom w:val="single" w:sz="4" w:space="0" w:color="auto"/>
              <w:right w:val="single" w:sz="4" w:space="0" w:color="auto"/>
            </w:tcBorders>
            <w:shd w:val="clear" w:color="auto" w:fill="auto"/>
            <w:noWrap/>
            <w:hideMark/>
          </w:tcPr>
          <w:p w14:paraId="5CD8B84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94 589</w:t>
            </w:r>
          </w:p>
        </w:tc>
      </w:tr>
      <w:tr w:rsidR="00E16C06" w:rsidRPr="00E16C06" w14:paraId="356CD696"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39E96F3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Рамонский</w:t>
            </w:r>
          </w:p>
        </w:tc>
        <w:tc>
          <w:tcPr>
            <w:tcW w:w="3221" w:type="dxa"/>
            <w:tcBorders>
              <w:top w:val="nil"/>
              <w:left w:val="nil"/>
              <w:bottom w:val="single" w:sz="4" w:space="0" w:color="auto"/>
              <w:right w:val="single" w:sz="4" w:space="0" w:color="auto"/>
            </w:tcBorders>
            <w:shd w:val="clear" w:color="auto" w:fill="auto"/>
            <w:noWrap/>
            <w:hideMark/>
          </w:tcPr>
          <w:p w14:paraId="4B5CCFD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134</w:t>
            </w:r>
          </w:p>
        </w:tc>
        <w:tc>
          <w:tcPr>
            <w:tcW w:w="3261" w:type="dxa"/>
            <w:tcBorders>
              <w:top w:val="nil"/>
              <w:left w:val="nil"/>
              <w:bottom w:val="single" w:sz="4" w:space="0" w:color="auto"/>
              <w:right w:val="single" w:sz="4" w:space="0" w:color="auto"/>
            </w:tcBorders>
            <w:shd w:val="clear" w:color="auto" w:fill="auto"/>
            <w:noWrap/>
            <w:hideMark/>
          </w:tcPr>
          <w:p w14:paraId="429DA91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542 347</w:t>
            </w:r>
          </w:p>
        </w:tc>
      </w:tr>
      <w:tr w:rsidR="00E16C06" w:rsidRPr="00E16C06" w14:paraId="541FE3A5"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2B70FC4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Репьевский</w:t>
            </w:r>
          </w:p>
        </w:tc>
        <w:tc>
          <w:tcPr>
            <w:tcW w:w="3221" w:type="dxa"/>
            <w:tcBorders>
              <w:top w:val="nil"/>
              <w:left w:val="nil"/>
              <w:bottom w:val="single" w:sz="4" w:space="0" w:color="auto"/>
              <w:right w:val="single" w:sz="4" w:space="0" w:color="auto"/>
            </w:tcBorders>
            <w:shd w:val="clear" w:color="auto" w:fill="auto"/>
            <w:noWrap/>
            <w:hideMark/>
          </w:tcPr>
          <w:p w14:paraId="288BFE9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w:t>
            </w:r>
          </w:p>
        </w:tc>
        <w:tc>
          <w:tcPr>
            <w:tcW w:w="3261" w:type="dxa"/>
            <w:tcBorders>
              <w:top w:val="nil"/>
              <w:left w:val="nil"/>
              <w:bottom w:val="single" w:sz="4" w:space="0" w:color="auto"/>
              <w:right w:val="single" w:sz="4" w:space="0" w:color="auto"/>
            </w:tcBorders>
            <w:shd w:val="clear" w:color="auto" w:fill="auto"/>
            <w:noWrap/>
            <w:hideMark/>
          </w:tcPr>
          <w:p w14:paraId="1DB216C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4 734</w:t>
            </w:r>
          </w:p>
        </w:tc>
      </w:tr>
      <w:tr w:rsidR="00E16C06" w:rsidRPr="00E16C06" w14:paraId="625E51FC"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666D229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Россошанский</w:t>
            </w:r>
          </w:p>
        </w:tc>
        <w:tc>
          <w:tcPr>
            <w:tcW w:w="3221" w:type="dxa"/>
            <w:tcBorders>
              <w:top w:val="nil"/>
              <w:left w:val="nil"/>
              <w:bottom w:val="single" w:sz="4" w:space="0" w:color="auto"/>
              <w:right w:val="single" w:sz="4" w:space="0" w:color="auto"/>
            </w:tcBorders>
            <w:shd w:val="clear" w:color="auto" w:fill="auto"/>
            <w:noWrap/>
            <w:hideMark/>
          </w:tcPr>
          <w:p w14:paraId="03D5833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80</w:t>
            </w:r>
          </w:p>
        </w:tc>
        <w:tc>
          <w:tcPr>
            <w:tcW w:w="3261" w:type="dxa"/>
            <w:tcBorders>
              <w:top w:val="nil"/>
              <w:left w:val="nil"/>
              <w:bottom w:val="single" w:sz="4" w:space="0" w:color="auto"/>
              <w:right w:val="single" w:sz="4" w:space="0" w:color="auto"/>
            </w:tcBorders>
            <w:shd w:val="clear" w:color="auto" w:fill="auto"/>
            <w:noWrap/>
            <w:hideMark/>
          </w:tcPr>
          <w:p w14:paraId="3117352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282 780</w:t>
            </w:r>
          </w:p>
        </w:tc>
      </w:tr>
      <w:tr w:rsidR="00E16C06" w:rsidRPr="00E16C06" w14:paraId="10AE955D"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577C1B5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Семилукский</w:t>
            </w:r>
          </w:p>
        </w:tc>
        <w:tc>
          <w:tcPr>
            <w:tcW w:w="3221" w:type="dxa"/>
            <w:tcBorders>
              <w:top w:val="nil"/>
              <w:left w:val="nil"/>
              <w:bottom w:val="single" w:sz="4" w:space="0" w:color="auto"/>
              <w:right w:val="single" w:sz="4" w:space="0" w:color="auto"/>
            </w:tcBorders>
            <w:shd w:val="clear" w:color="auto" w:fill="auto"/>
            <w:noWrap/>
            <w:hideMark/>
          </w:tcPr>
          <w:p w14:paraId="4F30EC6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197</w:t>
            </w:r>
          </w:p>
        </w:tc>
        <w:tc>
          <w:tcPr>
            <w:tcW w:w="3261" w:type="dxa"/>
            <w:tcBorders>
              <w:top w:val="nil"/>
              <w:left w:val="nil"/>
              <w:bottom w:val="single" w:sz="4" w:space="0" w:color="auto"/>
              <w:right w:val="single" w:sz="4" w:space="0" w:color="auto"/>
            </w:tcBorders>
            <w:shd w:val="clear" w:color="auto" w:fill="auto"/>
            <w:noWrap/>
            <w:hideMark/>
          </w:tcPr>
          <w:p w14:paraId="22EA46E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543 023</w:t>
            </w:r>
          </w:p>
        </w:tc>
      </w:tr>
      <w:tr w:rsidR="00E16C06" w:rsidRPr="00E16C06" w14:paraId="1EA83D27"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14A4BFE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Таловский</w:t>
            </w:r>
          </w:p>
        </w:tc>
        <w:tc>
          <w:tcPr>
            <w:tcW w:w="3221" w:type="dxa"/>
            <w:tcBorders>
              <w:top w:val="nil"/>
              <w:left w:val="nil"/>
              <w:bottom w:val="single" w:sz="4" w:space="0" w:color="auto"/>
              <w:right w:val="single" w:sz="4" w:space="0" w:color="auto"/>
            </w:tcBorders>
            <w:shd w:val="clear" w:color="auto" w:fill="auto"/>
            <w:noWrap/>
            <w:hideMark/>
          </w:tcPr>
          <w:p w14:paraId="0F63578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w:t>
            </w:r>
          </w:p>
        </w:tc>
        <w:tc>
          <w:tcPr>
            <w:tcW w:w="3261" w:type="dxa"/>
            <w:tcBorders>
              <w:top w:val="nil"/>
              <w:left w:val="nil"/>
              <w:bottom w:val="single" w:sz="4" w:space="0" w:color="auto"/>
              <w:right w:val="single" w:sz="4" w:space="0" w:color="auto"/>
            </w:tcBorders>
            <w:shd w:val="clear" w:color="auto" w:fill="auto"/>
            <w:noWrap/>
            <w:hideMark/>
          </w:tcPr>
          <w:p w14:paraId="71211ED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9 750</w:t>
            </w:r>
          </w:p>
        </w:tc>
      </w:tr>
      <w:tr w:rsidR="00E16C06" w:rsidRPr="00E16C06" w14:paraId="459066D8"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373EB32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Хохольский</w:t>
            </w:r>
          </w:p>
        </w:tc>
        <w:tc>
          <w:tcPr>
            <w:tcW w:w="3221" w:type="dxa"/>
            <w:tcBorders>
              <w:top w:val="nil"/>
              <w:left w:val="nil"/>
              <w:bottom w:val="single" w:sz="4" w:space="0" w:color="auto"/>
              <w:right w:val="single" w:sz="4" w:space="0" w:color="auto"/>
            </w:tcBorders>
            <w:shd w:val="clear" w:color="auto" w:fill="auto"/>
            <w:noWrap/>
            <w:hideMark/>
          </w:tcPr>
          <w:p w14:paraId="7B6B723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39</w:t>
            </w:r>
          </w:p>
        </w:tc>
        <w:tc>
          <w:tcPr>
            <w:tcW w:w="3261" w:type="dxa"/>
            <w:tcBorders>
              <w:top w:val="nil"/>
              <w:left w:val="nil"/>
              <w:bottom w:val="single" w:sz="4" w:space="0" w:color="auto"/>
              <w:right w:val="single" w:sz="4" w:space="0" w:color="auto"/>
            </w:tcBorders>
            <w:shd w:val="clear" w:color="auto" w:fill="auto"/>
            <w:noWrap/>
            <w:hideMark/>
          </w:tcPr>
          <w:p w14:paraId="6408ED9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62 713</w:t>
            </w:r>
          </w:p>
        </w:tc>
      </w:tr>
      <w:tr w:rsidR="00E16C06" w:rsidRPr="00E16C06" w14:paraId="24BB3EDA" w14:textId="77777777" w:rsidTr="00E16C06">
        <w:trPr>
          <w:trHeight w:val="300"/>
        </w:trPr>
        <w:tc>
          <w:tcPr>
            <w:tcW w:w="3006" w:type="dxa"/>
            <w:tcBorders>
              <w:top w:val="nil"/>
              <w:left w:val="single" w:sz="4" w:space="0" w:color="auto"/>
              <w:bottom w:val="single" w:sz="4" w:space="0" w:color="auto"/>
              <w:right w:val="single" w:sz="4" w:space="0" w:color="auto"/>
            </w:tcBorders>
            <w:shd w:val="clear" w:color="auto" w:fill="auto"/>
            <w:noWrap/>
            <w:hideMark/>
          </w:tcPr>
          <w:p w14:paraId="4FC638E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Эртильский</w:t>
            </w:r>
          </w:p>
        </w:tc>
        <w:tc>
          <w:tcPr>
            <w:tcW w:w="3221" w:type="dxa"/>
            <w:tcBorders>
              <w:top w:val="nil"/>
              <w:left w:val="nil"/>
              <w:bottom w:val="single" w:sz="4" w:space="0" w:color="auto"/>
              <w:right w:val="single" w:sz="4" w:space="0" w:color="auto"/>
            </w:tcBorders>
            <w:shd w:val="clear" w:color="auto" w:fill="auto"/>
            <w:noWrap/>
            <w:hideMark/>
          </w:tcPr>
          <w:p w14:paraId="02818D8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32</w:t>
            </w:r>
          </w:p>
        </w:tc>
        <w:tc>
          <w:tcPr>
            <w:tcW w:w="3261" w:type="dxa"/>
            <w:tcBorders>
              <w:top w:val="nil"/>
              <w:left w:val="nil"/>
              <w:bottom w:val="single" w:sz="4" w:space="0" w:color="auto"/>
              <w:right w:val="single" w:sz="4" w:space="0" w:color="auto"/>
            </w:tcBorders>
            <w:shd w:val="clear" w:color="auto" w:fill="auto"/>
            <w:noWrap/>
            <w:hideMark/>
          </w:tcPr>
          <w:p w14:paraId="3F1F097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65 941</w:t>
            </w:r>
          </w:p>
        </w:tc>
      </w:tr>
      <w:tr w:rsidR="00E16C06" w:rsidRPr="00E16C06" w14:paraId="5BF497E6" w14:textId="77777777" w:rsidTr="00E16C06">
        <w:trPr>
          <w:trHeight w:val="315"/>
        </w:trPr>
        <w:tc>
          <w:tcPr>
            <w:tcW w:w="3006" w:type="dxa"/>
            <w:tcBorders>
              <w:top w:val="nil"/>
              <w:left w:val="single" w:sz="4" w:space="0" w:color="auto"/>
              <w:bottom w:val="single" w:sz="4" w:space="0" w:color="auto"/>
              <w:right w:val="single" w:sz="4" w:space="0" w:color="auto"/>
            </w:tcBorders>
            <w:shd w:val="clear" w:color="auto" w:fill="auto"/>
            <w:noWrap/>
            <w:hideMark/>
          </w:tcPr>
          <w:p w14:paraId="3E66FE26"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Общий итог</w:t>
            </w:r>
          </w:p>
        </w:tc>
        <w:tc>
          <w:tcPr>
            <w:tcW w:w="3221" w:type="dxa"/>
            <w:tcBorders>
              <w:top w:val="nil"/>
              <w:left w:val="nil"/>
              <w:bottom w:val="single" w:sz="4" w:space="0" w:color="auto"/>
              <w:right w:val="single" w:sz="4" w:space="0" w:color="auto"/>
            </w:tcBorders>
            <w:shd w:val="clear" w:color="auto" w:fill="auto"/>
            <w:noWrap/>
            <w:hideMark/>
          </w:tcPr>
          <w:p w14:paraId="1030C030"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7145</w:t>
            </w:r>
          </w:p>
        </w:tc>
        <w:tc>
          <w:tcPr>
            <w:tcW w:w="3261" w:type="dxa"/>
            <w:tcBorders>
              <w:top w:val="nil"/>
              <w:left w:val="nil"/>
              <w:bottom w:val="single" w:sz="4" w:space="0" w:color="auto"/>
              <w:right w:val="single" w:sz="4" w:space="0" w:color="auto"/>
            </w:tcBorders>
            <w:shd w:val="clear" w:color="auto" w:fill="auto"/>
            <w:noWrap/>
            <w:hideMark/>
          </w:tcPr>
          <w:p w14:paraId="3949B6BF"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33 662 489</w:t>
            </w:r>
          </w:p>
        </w:tc>
      </w:tr>
    </w:tbl>
    <w:p w14:paraId="51743C94" w14:textId="77777777" w:rsidR="00E16C06" w:rsidRPr="00E16C06" w:rsidRDefault="00E16C06" w:rsidP="00E16C06">
      <w:pPr>
        <w:tabs>
          <w:tab w:val="left" w:pos="1377"/>
        </w:tabs>
        <w:rPr>
          <w:rFonts w:ascii="Times New Roman" w:hAnsi="Times New Roman" w:cs="Times New Roman"/>
        </w:rPr>
      </w:pPr>
    </w:p>
    <w:p w14:paraId="7344D46D" w14:textId="77777777" w:rsidR="00E16C06" w:rsidRPr="00E16C06" w:rsidRDefault="00E16C06" w:rsidP="00E16C06">
      <w:pPr>
        <w:tabs>
          <w:tab w:val="left" w:pos="1377"/>
        </w:tabs>
        <w:rPr>
          <w:rFonts w:ascii="Times New Roman" w:hAnsi="Times New Roman" w:cs="Times New Roman"/>
          <w:noProof/>
        </w:rPr>
      </w:pPr>
      <w:r w:rsidRPr="00E16C06">
        <w:rPr>
          <w:rFonts w:ascii="Times New Roman" w:hAnsi="Times New Roman" w:cs="Times New Roman"/>
          <w:noProof/>
          <w:lang w:eastAsia="ru-RU"/>
        </w:rPr>
        <w:drawing>
          <wp:inline distT="0" distB="0" distL="0" distR="0" wp14:anchorId="425C9601" wp14:editId="74F36D57">
            <wp:extent cx="6127750" cy="3619500"/>
            <wp:effectExtent l="0" t="0" r="635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3296518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color w:val="000000"/>
          <w:sz w:val="26"/>
          <w:szCs w:val="26"/>
          <w:lang w:eastAsia="ru-RU"/>
        </w:rPr>
        <w:t xml:space="preserve">Рис </w:t>
      </w:r>
      <w:r w:rsidRPr="00E16C06">
        <w:rPr>
          <w:rFonts w:ascii="Times New Roman" w:eastAsia="Times New Roman" w:hAnsi="Times New Roman" w:cs="Times New Roman"/>
          <w:spacing w:val="-5"/>
          <w:sz w:val="26"/>
          <w:szCs w:val="26"/>
        </w:rPr>
        <w:t>3.3.2.5 – Распределение земельных участков, относящихся к сегменту 2 «Жилая застройка (среднеэтажная и многоэтажная)», по муниципальным районам Воронежской области</w:t>
      </w:r>
    </w:p>
    <w:p w14:paraId="4BC3AD72" w14:textId="77777777" w:rsidR="00E16C06" w:rsidRPr="00E16C06" w:rsidRDefault="00E16C06" w:rsidP="00E16C06">
      <w:pPr>
        <w:rPr>
          <w:rFonts w:ascii="Times New Roman" w:hAnsi="Times New Roman" w:cs="Times New Roman"/>
        </w:rPr>
      </w:pPr>
    </w:p>
    <w:p w14:paraId="2CE1C7BB" w14:textId="77777777" w:rsidR="00E16C06" w:rsidRPr="00E16C06" w:rsidRDefault="00E16C06" w:rsidP="00E16C06">
      <w:pPr>
        <w:rPr>
          <w:rFonts w:ascii="Times New Roman" w:hAnsi="Times New Roman" w:cs="Times New Roman"/>
        </w:rPr>
      </w:pPr>
    </w:p>
    <w:p w14:paraId="6CB81830" w14:textId="77777777" w:rsidR="00E16C06" w:rsidRPr="00E16C06" w:rsidRDefault="00E16C06" w:rsidP="00E16C06">
      <w:pPr>
        <w:spacing w:after="0" w:line="276" w:lineRule="auto"/>
        <w:ind w:firstLine="709"/>
        <w:contextualSpacing/>
        <w:jc w:val="both"/>
        <w:rPr>
          <w:rFonts w:ascii="Times New Roman" w:hAnsi="Times New Roman" w:cs="Times New Roman"/>
          <w:sz w:val="26"/>
          <w:szCs w:val="26"/>
        </w:rPr>
      </w:pPr>
      <w:r w:rsidRPr="00E16C06">
        <w:rPr>
          <w:rFonts w:ascii="Times New Roman" w:hAnsi="Times New Roman" w:cs="Times New Roman"/>
          <w:sz w:val="26"/>
          <w:szCs w:val="26"/>
        </w:rPr>
        <w:t>В соответствии с сегментацией объектов недвижимости с указанием кодов расчета вида использования (приложение № 1 Указаний) 2 сегмент включает в себя коды расчета 02:000; 02:050; 02:060. Распределение земельных участков 2 сегмента по кодам вида использования представлено в таблице 3.3.2.6.</w:t>
      </w:r>
    </w:p>
    <w:p w14:paraId="6D84DFAC" w14:textId="77777777" w:rsidR="00E16C06" w:rsidRPr="00E16C06" w:rsidRDefault="00E16C06" w:rsidP="00E16C06">
      <w:pPr>
        <w:spacing w:after="0" w:line="276" w:lineRule="auto"/>
        <w:ind w:firstLine="709"/>
        <w:contextualSpacing/>
        <w:jc w:val="right"/>
        <w:rPr>
          <w:rFonts w:ascii="Times New Roman" w:hAnsi="Times New Roman" w:cs="Times New Roman"/>
          <w:sz w:val="26"/>
          <w:szCs w:val="26"/>
        </w:rPr>
      </w:pPr>
      <w:r w:rsidRPr="00E16C06">
        <w:rPr>
          <w:rFonts w:ascii="Times New Roman" w:hAnsi="Times New Roman" w:cs="Times New Roman"/>
          <w:sz w:val="26"/>
          <w:szCs w:val="26"/>
        </w:rPr>
        <w:t xml:space="preserve">Таблица </w:t>
      </w:r>
      <w:r w:rsidRPr="00E16C06">
        <w:rPr>
          <w:rFonts w:ascii="Times New Roman" w:eastAsia="Times New Roman" w:hAnsi="Times New Roman" w:cs="Times New Roman"/>
          <w:spacing w:val="-5"/>
          <w:sz w:val="26"/>
          <w:szCs w:val="26"/>
        </w:rPr>
        <w:t>3.3.2.6</w:t>
      </w:r>
    </w:p>
    <w:p w14:paraId="1D85BB9A"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Распределение объектов оценки по кодам расчета вида использования</w:t>
      </w:r>
    </w:p>
    <w:p w14:paraId="2E7ACF00" w14:textId="77777777" w:rsidR="00E16C06" w:rsidRPr="00E16C06" w:rsidRDefault="00E16C06" w:rsidP="00E16C06">
      <w:pPr>
        <w:spacing w:after="0" w:line="276" w:lineRule="auto"/>
        <w:contextualSpacing/>
        <w:jc w:val="center"/>
        <w:rPr>
          <w:rFonts w:ascii="Times New Roman" w:hAnsi="Times New Roman" w:cs="Times New Roman"/>
          <w:sz w:val="26"/>
          <w:szCs w:val="26"/>
        </w:rPr>
      </w:pPr>
      <w:r w:rsidRPr="00E16C06">
        <w:rPr>
          <w:rFonts w:ascii="Times New Roman" w:hAnsi="Times New Roman" w:cs="Times New Roman"/>
          <w:sz w:val="26"/>
          <w:szCs w:val="26"/>
        </w:rPr>
        <w:t>в составе 2 сегмента</w:t>
      </w:r>
    </w:p>
    <w:tbl>
      <w:tblPr>
        <w:tblStyle w:val="ae"/>
        <w:tblW w:w="0" w:type="auto"/>
        <w:tblLook w:val="04A0" w:firstRow="1" w:lastRow="0" w:firstColumn="1" w:lastColumn="0" w:noHBand="0" w:noVBand="1"/>
      </w:tblPr>
      <w:tblGrid>
        <w:gridCol w:w="2547"/>
        <w:gridCol w:w="3683"/>
        <w:gridCol w:w="3115"/>
      </w:tblGrid>
      <w:tr w:rsidR="00E16C06" w:rsidRPr="00E16C06" w14:paraId="137CA1E7" w14:textId="77777777" w:rsidTr="00E16C06">
        <w:tc>
          <w:tcPr>
            <w:tcW w:w="2547" w:type="dxa"/>
            <w:vAlign w:val="center"/>
          </w:tcPr>
          <w:p w14:paraId="3863F47D"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Сегмент</w:t>
            </w:r>
          </w:p>
        </w:tc>
        <w:tc>
          <w:tcPr>
            <w:tcW w:w="3683" w:type="dxa"/>
            <w:vAlign w:val="center"/>
          </w:tcPr>
          <w:p w14:paraId="6DA72FCE"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Код расчета вида использования</w:t>
            </w:r>
          </w:p>
        </w:tc>
        <w:tc>
          <w:tcPr>
            <w:tcW w:w="3115" w:type="dxa"/>
            <w:vAlign w:val="center"/>
          </w:tcPr>
          <w:p w14:paraId="41E1EE38"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Количество ЗУ</w:t>
            </w:r>
          </w:p>
        </w:tc>
      </w:tr>
      <w:tr w:rsidR="00E16C06" w:rsidRPr="00E16C06" w14:paraId="69B50C08" w14:textId="77777777" w:rsidTr="00E16C06">
        <w:tc>
          <w:tcPr>
            <w:tcW w:w="2547" w:type="dxa"/>
            <w:vMerge w:val="restart"/>
            <w:vAlign w:val="center"/>
          </w:tcPr>
          <w:p w14:paraId="2F5BE04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2</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bottom"/>
          </w:tcPr>
          <w:p w14:paraId="72B8CB7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02:000</w:t>
            </w:r>
          </w:p>
        </w:tc>
        <w:tc>
          <w:tcPr>
            <w:tcW w:w="3115" w:type="dxa"/>
            <w:tcBorders>
              <w:top w:val="single" w:sz="4" w:space="0" w:color="auto"/>
              <w:left w:val="nil"/>
              <w:bottom w:val="single" w:sz="4" w:space="0" w:color="auto"/>
              <w:right w:val="single" w:sz="4" w:space="0" w:color="auto"/>
            </w:tcBorders>
            <w:shd w:val="clear" w:color="auto" w:fill="auto"/>
            <w:vAlign w:val="bottom"/>
          </w:tcPr>
          <w:p w14:paraId="3662070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759</w:t>
            </w:r>
          </w:p>
        </w:tc>
      </w:tr>
      <w:tr w:rsidR="00E16C06" w:rsidRPr="00E16C06" w14:paraId="044BB751" w14:textId="77777777" w:rsidTr="00E16C06">
        <w:tc>
          <w:tcPr>
            <w:tcW w:w="2547" w:type="dxa"/>
            <w:vMerge/>
          </w:tcPr>
          <w:p w14:paraId="619B835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683" w:type="dxa"/>
            <w:tcBorders>
              <w:top w:val="nil"/>
              <w:left w:val="single" w:sz="4" w:space="0" w:color="auto"/>
              <w:bottom w:val="single" w:sz="4" w:space="0" w:color="auto"/>
              <w:right w:val="single" w:sz="4" w:space="0" w:color="auto"/>
            </w:tcBorders>
            <w:shd w:val="clear" w:color="auto" w:fill="auto"/>
            <w:vAlign w:val="bottom"/>
          </w:tcPr>
          <w:p w14:paraId="260AAB2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02:050</w:t>
            </w:r>
          </w:p>
        </w:tc>
        <w:tc>
          <w:tcPr>
            <w:tcW w:w="3115" w:type="dxa"/>
            <w:tcBorders>
              <w:top w:val="nil"/>
              <w:left w:val="nil"/>
              <w:bottom w:val="single" w:sz="4" w:space="0" w:color="auto"/>
              <w:right w:val="single" w:sz="4" w:space="0" w:color="auto"/>
            </w:tcBorders>
            <w:shd w:val="clear" w:color="auto" w:fill="auto"/>
            <w:vAlign w:val="bottom"/>
          </w:tcPr>
          <w:p w14:paraId="0254A50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val="en-US"/>
              </w:rPr>
            </w:pPr>
            <w:r w:rsidRPr="00E16C06">
              <w:rPr>
                <w:rFonts w:ascii="Times New Roman" w:eastAsia="Times New Roman" w:hAnsi="Times New Roman" w:cs="Times New Roman"/>
                <w:spacing w:val="-5"/>
                <w:sz w:val="22"/>
                <w:szCs w:val="22"/>
              </w:rPr>
              <w:t>2 18</w:t>
            </w:r>
            <w:r w:rsidRPr="00E16C06">
              <w:rPr>
                <w:rFonts w:ascii="Times New Roman" w:eastAsia="Times New Roman" w:hAnsi="Times New Roman" w:cs="Times New Roman"/>
                <w:spacing w:val="-5"/>
                <w:sz w:val="22"/>
                <w:szCs w:val="22"/>
                <w:lang w:val="en-US"/>
              </w:rPr>
              <w:t>2</w:t>
            </w:r>
          </w:p>
        </w:tc>
      </w:tr>
      <w:tr w:rsidR="00E16C06" w:rsidRPr="00E16C06" w14:paraId="0EE69D19" w14:textId="77777777" w:rsidTr="00E16C06">
        <w:tc>
          <w:tcPr>
            <w:tcW w:w="2547" w:type="dxa"/>
            <w:vMerge/>
          </w:tcPr>
          <w:p w14:paraId="67C453A0" w14:textId="77777777" w:rsidR="00E16C06" w:rsidRPr="00E16C06" w:rsidRDefault="00E16C06" w:rsidP="00E16C06">
            <w:pPr>
              <w:spacing w:line="276" w:lineRule="auto"/>
              <w:contextualSpacing/>
              <w:jc w:val="center"/>
              <w:rPr>
                <w:rFonts w:ascii="Times New Roman" w:eastAsia="Times New Roman" w:hAnsi="Times New Roman" w:cs="Times New Roman"/>
                <w:spacing w:val="-5"/>
              </w:rPr>
            </w:pPr>
          </w:p>
        </w:tc>
        <w:tc>
          <w:tcPr>
            <w:tcW w:w="3683" w:type="dxa"/>
            <w:tcBorders>
              <w:top w:val="nil"/>
              <w:left w:val="single" w:sz="4" w:space="0" w:color="auto"/>
              <w:bottom w:val="single" w:sz="4" w:space="0" w:color="auto"/>
              <w:right w:val="single" w:sz="4" w:space="0" w:color="auto"/>
            </w:tcBorders>
            <w:shd w:val="clear" w:color="auto" w:fill="auto"/>
            <w:vAlign w:val="bottom"/>
          </w:tcPr>
          <w:p w14:paraId="71C9109B" w14:textId="77777777" w:rsidR="00E16C06" w:rsidRPr="00E16C06" w:rsidRDefault="00E16C06" w:rsidP="00E16C06">
            <w:pPr>
              <w:spacing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sz w:val="22"/>
                <w:szCs w:val="22"/>
              </w:rPr>
              <w:t>02:060</w:t>
            </w:r>
          </w:p>
        </w:tc>
        <w:tc>
          <w:tcPr>
            <w:tcW w:w="3115" w:type="dxa"/>
            <w:tcBorders>
              <w:top w:val="nil"/>
              <w:left w:val="nil"/>
              <w:bottom w:val="single" w:sz="4" w:space="0" w:color="auto"/>
              <w:right w:val="single" w:sz="4" w:space="0" w:color="auto"/>
            </w:tcBorders>
            <w:shd w:val="clear" w:color="auto" w:fill="auto"/>
            <w:vAlign w:val="bottom"/>
          </w:tcPr>
          <w:p w14:paraId="498F0604" w14:textId="77777777" w:rsidR="00E16C06" w:rsidRPr="00E16C06" w:rsidRDefault="00E16C06" w:rsidP="00E16C06">
            <w:pPr>
              <w:spacing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sz w:val="22"/>
                <w:szCs w:val="22"/>
              </w:rPr>
              <w:t>4 204</w:t>
            </w:r>
          </w:p>
        </w:tc>
      </w:tr>
      <w:tr w:rsidR="00E16C06" w:rsidRPr="00E16C06" w14:paraId="79340D43" w14:textId="77777777" w:rsidTr="00E16C06">
        <w:tc>
          <w:tcPr>
            <w:tcW w:w="2547" w:type="dxa"/>
          </w:tcPr>
          <w:p w14:paraId="40259329"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Итог</w:t>
            </w:r>
          </w:p>
        </w:tc>
        <w:tc>
          <w:tcPr>
            <w:tcW w:w="3683" w:type="dxa"/>
          </w:tcPr>
          <w:p w14:paraId="7C8B65E1"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p>
        </w:tc>
        <w:tc>
          <w:tcPr>
            <w:tcW w:w="3115" w:type="dxa"/>
          </w:tcPr>
          <w:p w14:paraId="0AD06EB7" w14:textId="77777777" w:rsidR="00E16C06" w:rsidRPr="00E16C06" w:rsidRDefault="00E16C06" w:rsidP="00E16C06">
            <w:pPr>
              <w:jc w:val="center"/>
              <w:rPr>
                <w:rFonts w:ascii="Times New Roman" w:eastAsia="Times New Roman" w:hAnsi="Times New Roman" w:cs="Times New Roman"/>
                <w:b/>
                <w:spacing w:val="-5"/>
                <w:sz w:val="22"/>
                <w:szCs w:val="22"/>
                <w:lang w:val="en-US"/>
              </w:rPr>
            </w:pPr>
            <w:r w:rsidRPr="00E16C06">
              <w:rPr>
                <w:rFonts w:ascii="Times New Roman" w:eastAsia="Times New Roman" w:hAnsi="Times New Roman" w:cs="Times New Roman"/>
                <w:b/>
                <w:spacing w:val="-5"/>
                <w:sz w:val="22"/>
                <w:szCs w:val="22"/>
              </w:rPr>
              <w:t>7 14</w:t>
            </w:r>
            <w:r w:rsidRPr="00E16C06">
              <w:rPr>
                <w:rFonts w:ascii="Times New Roman" w:eastAsia="Times New Roman" w:hAnsi="Times New Roman" w:cs="Times New Roman"/>
                <w:b/>
                <w:spacing w:val="-5"/>
                <w:sz w:val="22"/>
                <w:szCs w:val="22"/>
                <w:lang w:val="en-US"/>
              </w:rPr>
              <w:t>5</w:t>
            </w:r>
          </w:p>
        </w:tc>
      </w:tr>
    </w:tbl>
    <w:p w14:paraId="5CEDB8AD" w14:textId="77777777" w:rsidR="00E16C06" w:rsidRPr="00E16C06" w:rsidRDefault="00E16C06" w:rsidP="00E16C06">
      <w:pPr>
        <w:tabs>
          <w:tab w:val="left" w:pos="8296"/>
        </w:tabs>
        <w:rPr>
          <w:rFonts w:ascii="Times New Roman" w:hAnsi="Times New Roman" w:cs="Times New Roman"/>
        </w:rPr>
      </w:pPr>
    </w:p>
    <w:p w14:paraId="26D2B012" w14:textId="77777777" w:rsidR="00E16C06" w:rsidRPr="00E16C06" w:rsidRDefault="00E16C06" w:rsidP="00E16C06">
      <w:pPr>
        <w:tabs>
          <w:tab w:val="left" w:pos="8296"/>
        </w:tabs>
        <w:rPr>
          <w:rFonts w:ascii="Times New Roman" w:hAnsi="Times New Roman" w:cs="Times New Roman"/>
          <w:noProof/>
        </w:rPr>
      </w:pPr>
      <w:r w:rsidRPr="00E16C06">
        <w:rPr>
          <w:rFonts w:ascii="Times New Roman" w:hAnsi="Times New Roman" w:cs="Times New Roman"/>
          <w:noProof/>
          <w:lang w:eastAsia="ru-RU"/>
        </w:rPr>
        <w:drawing>
          <wp:inline distT="0" distB="0" distL="0" distR="0" wp14:anchorId="39B69FA9" wp14:editId="2E17F661">
            <wp:extent cx="5916305" cy="3200400"/>
            <wp:effectExtent l="0" t="0" r="8255"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7BB9799A"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eastAsia="Times New Roman" w:hAnsi="Times New Roman" w:cs="Times New Roman"/>
          <w:spacing w:val="-5"/>
          <w:sz w:val="26"/>
          <w:szCs w:val="26"/>
        </w:rPr>
        <w:t xml:space="preserve">Рис 3.3.2.6 – </w:t>
      </w:r>
      <w:r w:rsidRPr="00E16C06">
        <w:rPr>
          <w:rFonts w:ascii="Times New Roman" w:hAnsi="Times New Roman" w:cs="Times New Roman"/>
          <w:sz w:val="26"/>
          <w:szCs w:val="26"/>
        </w:rPr>
        <w:t>Распределение объектов оценки по кодам расчета вида использования в составе 2 сегмента</w:t>
      </w:r>
    </w:p>
    <w:p w14:paraId="157B0BB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p>
    <w:p w14:paraId="2C7C8428" w14:textId="77777777" w:rsidR="00E16C06" w:rsidRPr="00E16C06" w:rsidRDefault="00E16C06" w:rsidP="00E16C06">
      <w:pPr>
        <w:spacing w:after="0" w:line="276" w:lineRule="auto"/>
        <w:contextualSpacing/>
        <w:jc w:val="center"/>
        <w:rPr>
          <w:rFonts w:ascii="Times New Roman" w:eastAsia="Times New Roman" w:hAnsi="Times New Roman" w:cs="Times New Roman"/>
          <w:i/>
          <w:color w:val="000000"/>
          <w:sz w:val="26"/>
          <w:szCs w:val="26"/>
          <w:lang w:eastAsia="ru-RU"/>
        </w:rPr>
      </w:pPr>
      <w:r w:rsidRPr="00E16C06">
        <w:rPr>
          <w:rFonts w:ascii="Times New Roman" w:eastAsia="Times New Roman" w:hAnsi="Times New Roman" w:cs="Times New Roman"/>
          <w:i/>
          <w:spacing w:val="-5"/>
          <w:sz w:val="26"/>
          <w:szCs w:val="26"/>
        </w:rPr>
        <w:t xml:space="preserve">Описание объектов недвижимости </w:t>
      </w:r>
      <w:r w:rsidRPr="00E16C06">
        <w:rPr>
          <w:rFonts w:ascii="Times New Roman" w:eastAsia="Times New Roman" w:hAnsi="Times New Roman" w:cs="Times New Roman"/>
          <w:i/>
          <w:color w:val="000000"/>
          <w:sz w:val="26"/>
          <w:szCs w:val="26"/>
          <w:lang w:eastAsia="ru-RU"/>
        </w:rPr>
        <w:t>3 сегмента «Общественное использование»</w:t>
      </w:r>
    </w:p>
    <w:p w14:paraId="3FE6B9DD" w14:textId="77777777" w:rsidR="00E16C06" w:rsidRPr="00E16C06" w:rsidRDefault="00E16C06" w:rsidP="00E16C06">
      <w:pPr>
        <w:spacing w:after="0" w:line="276" w:lineRule="auto"/>
        <w:contextualSpacing/>
        <w:jc w:val="center"/>
        <w:rPr>
          <w:rFonts w:ascii="Times New Roman" w:eastAsia="Times New Roman" w:hAnsi="Times New Roman" w:cs="Times New Roman"/>
          <w:b/>
          <w:i/>
          <w:color w:val="000000"/>
          <w:sz w:val="26"/>
          <w:szCs w:val="26"/>
          <w:lang w:eastAsia="ru-RU"/>
        </w:rPr>
      </w:pPr>
    </w:p>
    <w:p w14:paraId="11752A21" w14:textId="77777777" w:rsidR="00E16C06" w:rsidRPr="00E16C06" w:rsidRDefault="00E16C06" w:rsidP="00E16C06">
      <w:pPr>
        <w:spacing w:after="0" w:line="276" w:lineRule="auto"/>
        <w:ind w:firstLine="709"/>
        <w:contextualSpacing/>
        <w:jc w:val="both"/>
        <w:rPr>
          <w:rFonts w:ascii="Times New Roman" w:hAnsi="Times New Roman" w:cs="Times New Roman"/>
          <w:color w:val="000000" w:themeColor="text1"/>
          <w:sz w:val="26"/>
          <w:szCs w:val="26"/>
        </w:rPr>
      </w:pPr>
      <w:r w:rsidRPr="00E16C06">
        <w:rPr>
          <w:rFonts w:ascii="Times New Roman" w:hAnsi="Times New Roman" w:cs="Times New Roman"/>
          <w:color w:val="000000" w:themeColor="text1"/>
          <w:sz w:val="26"/>
          <w:szCs w:val="26"/>
        </w:rPr>
        <w:t>Наибольшее количество земельных участков 3 сегмента сосредоточено в г. Воронеже – 1687 объектов. Наименьшее количество земельных участков 3 сегмента сосредоточено в г. Нововоронеже – 82 объекта.</w:t>
      </w:r>
    </w:p>
    <w:p w14:paraId="56DDFB78" w14:textId="77777777" w:rsidR="00E16C06" w:rsidRPr="00E16C06" w:rsidRDefault="00E16C06" w:rsidP="00E16C06">
      <w:pPr>
        <w:spacing w:after="0" w:line="276" w:lineRule="auto"/>
        <w:contextualSpacing/>
        <w:jc w:val="right"/>
        <w:rPr>
          <w:rFonts w:ascii="Times New Roman" w:eastAsia="Times New Roman" w:hAnsi="Times New Roman" w:cs="Times New Roman"/>
          <w:spacing w:val="-5"/>
          <w:sz w:val="26"/>
          <w:szCs w:val="26"/>
        </w:rPr>
      </w:pPr>
    </w:p>
    <w:p w14:paraId="1D050F60" w14:textId="77777777" w:rsidR="00E16C06" w:rsidRPr="00E16C06" w:rsidRDefault="00E16C06" w:rsidP="00E16C06">
      <w:pPr>
        <w:spacing w:after="0" w:line="276" w:lineRule="auto"/>
        <w:contextualSpacing/>
        <w:jc w:val="right"/>
        <w:rPr>
          <w:rFonts w:ascii="Times New Roman" w:eastAsia="Times New Roman" w:hAnsi="Times New Roman" w:cs="Times New Roman"/>
          <w:spacing w:val="-5"/>
          <w:sz w:val="26"/>
          <w:szCs w:val="26"/>
        </w:rPr>
      </w:pPr>
    </w:p>
    <w:p w14:paraId="662B951D" w14:textId="77777777" w:rsidR="00E16C06" w:rsidRPr="00E16C06" w:rsidRDefault="00E16C06" w:rsidP="00E16C06">
      <w:pPr>
        <w:spacing w:after="0" w:line="276" w:lineRule="auto"/>
        <w:contextualSpacing/>
        <w:jc w:val="right"/>
        <w:rPr>
          <w:rFonts w:ascii="Times New Roman" w:eastAsia="Times New Roman" w:hAnsi="Times New Roman" w:cs="Times New Roman"/>
          <w:spacing w:val="-5"/>
          <w:sz w:val="26"/>
          <w:szCs w:val="26"/>
        </w:rPr>
      </w:pPr>
    </w:p>
    <w:p w14:paraId="31045F10" w14:textId="77777777" w:rsidR="00E16C06" w:rsidRPr="00E16C06" w:rsidRDefault="00E16C06" w:rsidP="00E16C06">
      <w:pPr>
        <w:spacing w:after="0" w:line="276" w:lineRule="auto"/>
        <w:contextualSpacing/>
        <w:jc w:val="right"/>
        <w:rPr>
          <w:rFonts w:ascii="Times New Roman" w:eastAsia="Times New Roman" w:hAnsi="Times New Roman" w:cs="Times New Roman"/>
          <w:spacing w:val="-5"/>
          <w:sz w:val="26"/>
          <w:szCs w:val="26"/>
        </w:rPr>
      </w:pPr>
    </w:p>
    <w:p w14:paraId="0FBFC760" w14:textId="77777777" w:rsidR="00E16C06" w:rsidRPr="00E16C06" w:rsidRDefault="00E16C06" w:rsidP="00E16C06">
      <w:pPr>
        <w:spacing w:after="0" w:line="276" w:lineRule="auto"/>
        <w:contextualSpacing/>
        <w:jc w:val="right"/>
        <w:rPr>
          <w:rFonts w:ascii="Times New Roman" w:eastAsia="Times New Roman" w:hAnsi="Times New Roman" w:cs="Times New Roman"/>
          <w:spacing w:val="-5"/>
          <w:sz w:val="26"/>
          <w:szCs w:val="26"/>
        </w:rPr>
      </w:pPr>
    </w:p>
    <w:p w14:paraId="4B506A31" w14:textId="77777777" w:rsidR="00E16C06" w:rsidRPr="00E16C06" w:rsidRDefault="00E16C06" w:rsidP="00E16C06">
      <w:pPr>
        <w:spacing w:after="0" w:line="276" w:lineRule="auto"/>
        <w:contextualSpacing/>
        <w:jc w:val="right"/>
        <w:rPr>
          <w:rFonts w:ascii="Times New Roman" w:eastAsia="Times New Roman" w:hAnsi="Times New Roman" w:cs="Times New Roman"/>
          <w:spacing w:val="-5"/>
          <w:sz w:val="26"/>
          <w:szCs w:val="26"/>
        </w:rPr>
      </w:pPr>
    </w:p>
    <w:p w14:paraId="6706BC1B" w14:textId="77777777" w:rsidR="00E16C06" w:rsidRPr="00E16C06" w:rsidRDefault="00E16C06" w:rsidP="00E16C06">
      <w:pPr>
        <w:spacing w:after="0" w:line="276" w:lineRule="auto"/>
        <w:contextualSpacing/>
        <w:jc w:val="right"/>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Таблица 3.3.2.7</w:t>
      </w:r>
    </w:p>
    <w:p w14:paraId="086B3DA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Распределение земельных участков и площадей, относящихся к сегменту 3 «Общественное использование», по муниципальным районам Воронежской области</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2835"/>
        <w:gridCol w:w="3119"/>
      </w:tblGrid>
      <w:tr w:rsidR="00E16C06" w:rsidRPr="00E16C06" w14:paraId="5D183C42" w14:textId="77777777" w:rsidTr="00E16C06">
        <w:trPr>
          <w:trHeight w:val="300"/>
        </w:trPr>
        <w:tc>
          <w:tcPr>
            <w:tcW w:w="3392" w:type="dxa"/>
            <w:noWrap/>
            <w:vAlign w:val="center"/>
            <w:hideMark/>
          </w:tcPr>
          <w:p w14:paraId="15286A4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Район</w:t>
            </w:r>
          </w:p>
        </w:tc>
        <w:tc>
          <w:tcPr>
            <w:tcW w:w="2835" w:type="dxa"/>
            <w:noWrap/>
            <w:vAlign w:val="center"/>
            <w:hideMark/>
          </w:tcPr>
          <w:p w14:paraId="4A8244B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Количество ЗУ</w:t>
            </w:r>
          </w:p>
        </w:tc>
        <w:tc>
          <w:tcPr>
            <w:tcW w:w="3119" w:type="dxa"/>
            <w:noWrap/>
            <w:vAlign w:val="center"/>
            <w:hideMark/>
          </w:tcPr>
          <w:p w14:paraId="0293044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Площадь, кв. м.</w:t>
            </w:r>
          </w:p>
        </w:tc>
      </w:tr>
      <w:tr w:rsidR="00E16C06" w:rsidRPr="00E16C06" w14:paraId="008FA9EA" w14:textId="77777777" w:rsidTr="00E16C06">
        <w:trPr>
          <w:trHeight w:val="300"/>
        </w:trPr>
        <w:tc>
          <w:tcPr>
            <w:tcW w:w="3392" w:type="dxa"/>
            <w:shd w:val="clear" w:color="auto" w:fill="auto"/>
            <w:noWrap/>
            <w:hideMark/>
          </w:tcPr>
          <w:p w14:paraId="05CCA4B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Аннинский</w:t>
            </w:r>
          </w:p>
        </w:tc>
        <w:tc>
          <w:tcPr>
            <w:tcW w:w="2835" w:type="dxa"/>
            <w:shd w:val="clear" w:color="auto" w:fill="auto"/>
            <w:noWrap/>
            <w:hideMark/>
          </w:tcPr>
          <w:p w14:paraId="16D7F12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417</w:t>
            </w:r>
          </w:p>
        </w:tc>
        <w:tc>
          <w:tcPr>
            <w:tcW w:w="3119" w:type="dxa"/>
            <w:shd w:val="clear" w:color="auto" w:fill="auto"/>
            <w:noWrap/>
            <w:hideMark/>
          </w:tcPr>
          <w:p w14:paraId="754C060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9 951 638</w:t>
            </w:r>
          </w:p>
        </w:tc>
      </w:tr>
      <w:tr w:rsidR="00E16C06" w:rsidRPr="00E16C06" w14:paraId="38EEC5EB" w14:textId="77777777" w:rsidTr="00E16C06">
        <w:trPr>
          <w:trHeight w:val="300"/>
        </w:trPr>
        <w:tc>
          <w:tcPr>
            <w:tcW w:w="3392" w:type="dxa"/>
            <w:shd w:val="clear" w:color="auto" w:fill="auto"/>
            <w:noWrap/>
            <w:hideMark/>
          </w:tcPr>
          <w:p w14:paraId="22761D3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Бобровский</w:t>
            </w:r>
          </w:p>
        </w:tc>
        <w:tc>
          <w:tcPr>
            <w:tcW w:w="2835" w:type="dxa"/>
            <w:shd w:val="clear" w:color="auto" w:fill="auto"/>
            <w:noWrap/>
            <w:hideMark/>
          </w:tcPr>
          <w:p w14:paraId="284AE0E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265</w:t>
            </w:r>
          </w:p>
        </w:tc>
        <w:tc>
          <w:tcPr>
            <w:tcW w:w="3119" w:type="dxa"/>
            <w:shd w:val="clear" w:color="auto" w:fill="auto"/>
            <w:noWrap/>
            <w:hideMark/>
          </w:tcPr>
          <w:p w14:paraId="5BA3E0A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1 350 002</w:t>
            </w:r>
          </w:p>
        </w:tc>
      </w:tr>
      <w:tr w:rsidR="00E16C06" w:rsidRPr="00E16C06" w14:paraId="500F073A" w14:textId="77777777" w:rsidTr="00E16C06">
        <w:trPr>
          <w:trHeight w:val="300"/>
        </w:trPr>
        <w:tc>
          <w:tcPr>
            <w:tcW w:w="3392" w:type="dxa"/>
            <w:shd w:val="clear" w:color="auto" w:fill="auto"/>
            <w:noWrap/>
            <w:hideMark/>
          </w:tcPr>
          <w:p w14:paraId="3B2B969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Богучарский</w:t>
            </w:r>
          </w:p>
        </w:tc>
        <w:tc>
          <w:tcPr>
            <w:tcW w:w="2835" w:type="dxa"/>
            <w:shd w:val="clear" w:color="auto" w:fill="auto"/>
            <w:noWrap/>
            <w:hideMark/>
          </w:tcPr>
          <w:p w14:paraId="123D375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336</w:t>
            </w:r>
          </w:p>
        </w:tc>
        <w:tc>
          <w:tcPr>
            <w:tcW w:w="3119" w:type="dxa"/>
            <w:shd w:val="clear" w:color="auto" w:fill="auto"/>
            <w:noWrap/>
            <w:hideMark/>
          </w:tcPr>
          <w:p w14:paraId="5180AA3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1 322 167</w:t>
            </w:r>
          </w:p>
        </w:tc>
      </w:tr>
      <w:tr w:rsidR="00E16C06" w:rsidRPr="00E16C06" w14:paraId="7A18529F" w14:textId="77777777" w:rsidTr="00E16C06">
        <w:trPr>
          <w:trHeight w:val="300"/>
        </w:trPr>
        <w:tc>
          <w:tcPr>
            <w:tcW w:w="3392" w:type="dxa"/>
            <w:shd w:val="clear" w:color="auto" w:fill="auto"/>
            <w:noWrap/>
            <w:hideMark/>
          </w:tcPr>
          <w:p w14:paraId="6B95109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Борисоглебский</w:t>
            </w:r>
          </w:p>
        </w:tc>
        <w:tc>
          <w:tcPr>
            <w:tcW w:w="2835" w:type="dxa"/>
            <w:shd w:val="clear" w:color="auto" w:fill="auto"/>
            <w:noWrap/>
            <w:hideMark/>
          </w:tcPr>
          <w:p w14:paraId="50AA467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308</w:t>
            </w:r>
          </w:p>
        </w:tc>
        <w:tc>
          <w:tcPr>
            <w:tcW w:w="3119" w:type="dxa"/>
            <w:shd w:val="clear" w:color="auto" w:fill="auto"/>
            <w:noWrap/>
            <w:hideMark/>
          </w:tcPr>
          <w:p w14:paraId="2F5F67A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6 316 747</w:t>
            </w:r>
          </w:p>
        </w:tc>
      </w:tr>
      <w:tr w:rsidR="00E16C06" w:rsidRPr="00E16C06" w14:paraId="59C197C6" w14:textId="77777777" w:rsidTr="00E16C06">
        <w:trPr>
          <w:trHeight w:val="300"/>
        </w:trPr>
        <w:tc>
          <w:tcPr>
            <w:tcW w:w="3392" w:type="dxa"/>
            <w:shd w:val="clear" w:color="auto" w:fill="auto"/>
            <w:noWrap/>
            <w:hideMark/>
          </w:tcPr>
          <w:p w14:paraId="12269F9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Бутурлиновский</w:t>
            </w:r>
          </w:p>
        </w:tc>
        <w:tc>
          <w:tcPr>
            <w:tcW w:w="2835" w:type="dxa"/>
            <w:shd w:val="clear" w:color="auto" w:fill="auto"/>
            <w:noWrap/>
            <w:hideMark/>
          </w:tcPr>
          <w:p w14:paraId="6EC61BA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400</w:t>
            </w:r>
          </w:p>
        </w:tc>
        <w:tc>
          <w:tcPr>
            <w:tcW w:w="3119" w:type="dxa"/>
            <w:shd w:val="clear" w:color="auto" w:fill="auto"/>
            <w:noWrap/>
            <w:hideMark/>
          </w:tcPr>
          <w:p w14:paraId="411EE84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2 108 046</w:t>
            </w:r>
          </w:p>
        </w:tc>
      </w:tr>
      <w:tr w:rsidR="00E16C06" w:rsidRPr="00E16C06" w14:paraId="3ACAD800" w14:textId="77777777" w:rsidTr="00E16C06">
        <w:trPr>
          <w:trHeight w:val="300"/>
        </w:trPr>
        <w:tc>
          <w:tcPr>
            <w:tcW w:w="3392" w:type="dxa"/>
            <w:shd w:val="clear" w:color="auto" w:fill="auto"/>
            <w:noWrap/>
            <w:hideMark/>
          </w:tcPr>
          <w:p w14:paraId="72E878A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Верхнемамонский</w:t>
            </w:r>
          </w:p>
        </w:tc>
        <w:tc>
          <w:tcPr>
            <w:tcW w:w="2835" w:type="dxa"/>
            <w:shd w:val="clear" w:color="auto" w:fill="auto"/>
            <w:noWrap/>
            <w:hideMark/>
          </w:tcPr>
          <w:p w14:paraId="5B6A2DF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200</w:t>
            </w:r>
          </w:p>
        </w:tc>
        <w:tc>
          <w:tcPr>
            <w:tcW w:w="3119" w:type="dxa"/>
            <w:shd w:val="clear" w:color="auto" w:fill="auto"/>
            <w:noWrap/>
            <w:hideMark/>
          </w:tcPr>
          <w:p w14:paraId="1372EBC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936 300</w:t>
            </w:r>
          </w:p>
        </w:tc>
      </w:tr>
      <w:tr w:rsidR="00E16C06" w:rsidRPr="00E16C06" w14:paraId="3D4BA605" w14:textId="77777777" w:rsidTr="00E16C06">
        <w:trPr>
          <w:trHeight w:val="300"/>
        </w:trPr>
        <w:tc>
          <w:tcPr>
            <w:tcW w:w="3392" w:type="dxa"/>
            <w:shd w:val="clear" w:color="auto" w:fill="auto"/>
            <w:noWrap/>
            <w:hideMark/>
          </w:tcPr>
          <w:p w14:paraId="12CD5B2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Верхнехавский</w:t>
            </w:r>
          </w:p>
        </w:tc>
        <w:tc>
          <w:tcPr>
            <w:tcW w:w="2835" w:type="dxa"/>
            <w:shd w:val="clear" w:color="auto" w:fill="auto"/>
            <w:noWrap/>
            <w:hideMark/>
          </w:tcPr>
          <w:p w14:paraId="6B2DE6B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176</w:t>
            </w:r>
          </w:p>
        </w:tc>
        <w:tc>
          <w:tcPr>
            <w:tcW w:w="3119" w:type="dxa"/>
            <w:shd w:val="clear" w:color="auto" w:fill="auto"/>
            <w:noWrap/>
            <w:hideMark/>
          </w:tcPr>
          <w:p w14:paraId="5AF9D42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662 606</w:t>
            </w:r>
          </w:p>
        </w:tc>
      </w:tr>
      <w:tr w:rsidR="00E16C06" w:rsidRPr="00E16C06" w14:paraId="7DC1D6DF" w14:textId="77777777" w:rsidTr="00E16C06">
        <w:trPr>
          <w:trHeight w:val="300"/>
        </w:trPr>
        <w:tc>
          <w:tcPr>
            <w:tcW w:w="3392" w:type="dxa"/>
            <w:shd w:val="clear" w:color="auto" w:fill="auto"/>
            <w:noWrap/>
            <w:hideMark/>
          </w:tcPr>
          <w:p w14:paraId="1A2CD1D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Воробьевский</w:t>
            </w:r>
          </w:p>
        </w:tc>
        <w:tc>
          <w:tcPr>
            <w:tcW w:w="2835" w:type="dxa"/>
            <w:shd w:val="clear" w:color="auto" w:fill="auto"/>
            <w:noWrap/>
            <w:hideMark/>
          </w:tcPr>
          <w:p w14:paraId="447B6F5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219</w:t>
            </w:r>
          </w:p>
        </w:tc>
        <w:tc>
          <w:tcPr>
            <w:tcW w:w="3119" w:type="dxa"/>
            <w:shd w:val="clear" w:color="auto" w:fill="auto"/>
            <w:noWrap/>
            <w:hideMark/>
          </w:tcPr>
          <w:p w14:paraId="4E6B199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1 142 851</w:t>
            </w:r>
          </w:p>
        </w:tc>
      </w:tr>
      <w:tr w:rsidR="00E16C06" w:rsidRPr="00E16C06" w14:paraId="444A7590" w14:textId="77777777" w:rsidTr="00E16C06">
        <w:trPr>
          <w:trHeight w:val="300"/>
        </w:trPr>
        <w:tc>
          <w:tcPr>
            <w:tcW w:w="3392" w:type="dxa"/>
            <w:shd w:val="clear" w:color="auto" w:fill="auto"/>
            <w:noWrap/>
            <w:hideMark/>
          </w:tcPr>
          <w:p w14:paraId="105D367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ГО г.</w:t>
            </w:r>
            <w:r w:rsidRPr="00E16C06">
              <w:rPr>
                <w:rFonts w:ascii="Times New Roman" w:hAnsi="Times New Roman" w:cs="Times New Roman"/>
                <w:lang w:val="en-US"/>
              </w:rPr>
              <w:t xml:space="preserve"> </w:t>
            </w:r>
            <w:r w:rsidRPr="00E16C06">
              <w:rPr>
                <w:rFonts w:ascii="Times New Roman" w:hAnsi="Times New Roman" w:cs="Times New Roman"/>
              </w:rPr>
              <w:t>Воронеж</w:t>
            </w:r>
          </w:p>
        </w:tc>
        <w:tc>
          <w:tcPr>
            <w:tcW w:w="2835" w:type="dxa"/>
            <w:shd w:val="clear" w:color="auto" w:fill="auto"/>
            <w:noWrap/>
            <w:hideMark/>
          </w:tcPr>
          <w:p w14:paraId="62FFBDC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1687</w:t>
            </w:r>
          </w:p>
        </w:tc>
        <w:tc>
          <w:tcPr>
            <w:tcW w:w="3119" w:type="dxa"/>
            <w:shd w:val="clear" w:color="auto" w:fill="auto"/>
            <w:noWrap/>
            <w:hideMark/>
          </w:tcPr>
          <w:p w14:paraId="081FBAB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16 545 387</w:t>
            </w:r>
          </w:p>
        </w:tc>
      </w:tr>
      <w:tr w:rsidR="00E16C06" w:rsidRPr="00E16C06" w14:paraId="41A5F741" w14:textId="77777777" w:rsidTr="00E16C06">
        <w:trPr>
          <w:trHeight w:val="300"/>
        </w:trPr>
        <w:tc>
          <w:tcPr>
            <w:tcW w:w="3392" w:type="dxa"/>
            <w:shd w:val="clear" w:color="auto" w:fill="auto"/>
            <w:noWrap/>
            <w:hideMark/>
          </w:tcPr>
          <w:p w14:paraId="778CFDE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ГО Нововоронеж</w:t>
            </w:r>
          </w:p>
        </w:tc>
        <w:tc>
          <w:tcPr>
            <w:tcW w:w="2835" w:type="dxa"/>
            <w:shd w:val="clear" w:color="auto" w:fill="auto"/>
            <w:noWrap/>
            <w:hideMark/>
          </w:tcPr>
          <w:p w14:paraId="76F5C35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82</w:t>
            </w:r>
          </w:p>
        </w:tc>
        <w:tc>
          <w:tcPr>
            <w:tcW w:w="3119" w:type="dxa"/>
            <w:shd w:val="clear" w:color="auto" w:fill="auto"/>
            <w:noWrap/>
            <w:hideMark/>
          </w:tcPr>
          <w:p w14:paraId="4D549A0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690 226</w:t>
            </w:r>
          </w:p>
        </w:tc>
      </w:tr>
      <w:tr w:rsidR="00E16C06" w:rsidRPr="00E16C06" w14:paraId="0AE400BC" w14:textId="77777777" w:rsidTr="00E16C06">
        <w:trPr>
          <w:trHeight w:val="300"/>
        </w:trPr>
        <w:tc>
          <w:tcPr>
            <w:tcW w:w="3392" w:type="dxa"/>
            <w:shd w:val="clear" w:color="auto" w:fill="auto"/>
            <w:noWrap/>
            <w:hideMark/>
          </w:tcPr>
          <w:p w14:paraId="170B43F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Грибановский</w:t>
            </w:r>
          </w:p>
        </w:tc>
        <w:tc>
          <w:tcPr>
            <w:tcW w:w="2835" w:type="dxa"/>
            <w:shd w:val="clear" w:color="auto" w:fill="auto"/>
            <w:noWrap/>
            <w:hideMark/>
          </w:tcPr>
          <w:p w14:paraId="263C36C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286</w:t>
            </w:r>
          </w:p>
        </w:tc>
        <w:tc>
          <w:tcPr>
            <w:tcW w:w="3119" w:type="dxa"/>
            <w:shd w:val="clear" w:color="auto" w:fill="auto"/>
            <w:noWrap/>
            <w:hideMark/>
          </w:tcPr>
          <w:p w14:paraId="6F0E190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1 540 363</w:t>
            </w:r>
          </w:p>
        </w:tc>
      </w:tr>
      <w:tr w:rsidR="00E16C06" w:rsidRPr="00E16C06" w14:paraId="76CAAF0A" w14:textId="77777777" w:rsidTr="00E16C06">
        <w:trPr>
          <w:trHeight w:val="300"/>
        </w:trPr>
        <w:tc>
          <w:tcPr>
            <w:tcW w:w="3392" w:type="dxa"/>
            <w:shd w:val="clear" w:color="auto" w:fill="auto"/>
            <w:noWrap/>
            <w:hideMark/>
          </w:tcPr>
          <w:p w14:paraId="67FCED4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Калачеевский</w:t>
            </w:r>
          </w:p>
        </w:tc>
        <w:tc>
          <w:tcPr>
            <w:tcW w:w="2835" w:type="dxa"/>
            <w:shd w:val="clear" w:color="auto" w:fill="auto"/>
            <w:noWrap/>
            <w:hideMark/>
          </w:tcPr>
          <w:p w14:paraId="6D26E95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359</w:t>
            </w:r>
          </w:p>
        </w:tc>
        <w:tc>
          <w:tcPr>
            <w:tcW w:w="3119" w:type="dxa"/>
            <w:shd w:val="clear" w:color="auto" w:fill="auto"/>
            <w:noWrap/>
            <w:hideMark/>
          </w:tcPr>
          <w:p w14:paraId="08D1E1A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1 733 056</w:t>
            </w:r>
          </w:p>
        </w:tc>
      </w:tr>
      <w:tr w:rsidR="00E16C06" w:rsidRPr="00E16C06" w14:paraId="5163102D" w14:textId="77777777" w:rsidTr="00E16C06">
        <w:trPr>
          <w:trHeight w:val="300"/>
        </w:trPr>
        <w:tc>
          <w:tcPr>
            <w:tcW w:w="3392" w:type="dxa"/>
            <w:shd w:val="clear" w:color="auto" w:fill="auto"/>
            <w:noWrap/>
            <w:hideMark/>
          </w:tcPr>
          <w:p w14:paraId="58A9F7A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Каменский</w:t>
            </w:r>
          </w:p>
        </w:tc>
        <w:tc>
          <w:tcPr>
            <w:tcW w:w="2835" w:type="dxa"/>
            <w:shd w:val="clear" w:color="auto" w:fill="auto"/>
            <w:noWrap/>
            <w:hideMark/>
          </w:tcPr>
          <w:p w14:paraId="0B8DFC5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147</w:t>
            </w:r>
          </w:p>
        </w:tc>
        <w:tc>
          <w:tcPr>
            <w:tcW w:w="3119" w:type="dxa"/>
            <w:shd w:val="clear" w:color="auto" w:fill="auto"/>
            <w:noWrap/>
            <w:hideMark/>
          </w:tcPr>
          <w:p w14:paraId="61172E9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617 699</w:t>
            </w:r>
          </w:p>
        </w:tc>
      </w:tr>
      <w:tr w:rsidR="00E16C06" w:rsidRPr="00E16C06" w14:paraId="5D798FDF" w14:textId="77777777" w:rsidTr="00E16C06">
        <w:trPr>
          <w:trHeight w:val="300"/>
        </w:trPr>
        <w:tc>
          <w:tcPr>
            <w:tcW w:w="3392" w:type="dxa"/>
            <w:shd w:val="clear" w:color="auto" w:fill="auto"/>
            <w:noWrap/>
            <w:hideMark/>
          </w:tcPr>
          <w:p w14:paraId="6070667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Кантемировский</w:t>
            </w:r>
          </w:p>
        </w:tc>
        <w:tc>
          <w:tcPr>
            <w:tcW w:w="2835" w:type="dxa"/>
            <w:shd w:val="clear" w:color="auto" w:fill="auto"/>
            <w:noWrap/>
            <w:hideMark/>
          </w:tcPr>
          <w:p w14:paraId="5317AE1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213</w:t>
            </w:r>
          </w:p>
        </w:tc>
        <w:tc>
          <w:tcPr>
            <w:tcW w:w="3119" w:type="dxa"/>
            <w:shd w:val="clear" w:color="auto" w:fill="auto"/>
            <w:noWrap/>
            <w:hideMark/>
          </w:tcPr>
          <w:p w14:paraId="4E7E471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931 512</w:t>
            </w:r>
          </w:p>
        </w:tc>
      </w:tr>
      <w:tr w:rsidR="00E16C06" w:rsidRPr="00E16C06" w14:paraId="7CE7001C" w14:textId="77777777" w:rsidTr="00E16C06">
        <w:trPr>
          <w:trHeight w:val="300"/>
        </w:trPr>
        <w:tc>
          <w:tcPr>
            <w:tcW w:w="3392" w:type="dxa"/>
            <w:shd w:val="clear" w:color="auto" w:fill="auto"/>
            <w:noWrap/>
            <w:hideMark/>
          </w:tcPr>
          <w:p w14:paraId="1B91546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Каширский</w:t>
            </w:r>
          </w:p>
        </w:tc>
        <w:tc>
          <w:tcPr>
            <w:tcW w:w="2835" w:type="dxa"/>
            <w:shd w:val="clear" w:color="auto" w:fill="auto"/>
            <w:noWrap/>
            <w:hideMark/>
          </w:tcPr>
          <w:p w14:paraId="315FA69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175</w:t>
            </w:r>
          </w:p>
        </w:tc>
        <w:tc>
          <w:tcPr>
            <w:tcW w:w="3119" w:type="dxa"/>
            <w:shd w:val="clear" w:color="auto" w:fill="auto"/>
            <w:noWrap/>
            <w:hideMark/>
          </w:tcPr>
          <w:p w14:paraId="3D86F16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1 048 028</w:t>
            </w:r>
          </w:p>
        </w:tc>
      </w:tr>
      <w:tr w:rsidR="00E16C06" w:rsidRPr="00E16C06" w14:paraId="7A6A63FD" w14:textId="77777777" w:rsidTr="00E16C06">
        <w:trPr>
          <w:trHeight w:val="300"/>
        </w:trPr>
        <w:tc>
          <w:tcPr>
            <w:tcW w:w="3392" w:type="dxa"/>
            <w:shd w:val="clear" w:color="auto" w:fill="auto"/>
            <w:noWrap/>
            <w:hideMark/>
          </w:tcPr>
          <w:p w14:paraId="44FC254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Лискинский</w:t>
            </w:r>
          </w:p>
        </w:tc>
        <w:tc>
          <w:tcPr>
            <w:tcW w:w="2835" w:type="dxa"/>
            <w:shd w:val="clear" w:color="auto" w:fill="auto"/>
            <w:noWrap/>
            <w:hideMark/>
          </w:tcPr>
          <w:p w14:paraId="182E552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470</w:t>
            </w:r>
          </w:p>
        </w:tc>
        <w:tc>
          <w:tcPr>
            <w:tcW w:w="3119" w:type="dxa"/>
            <w:shd w:val="clear" w:color="auto" w:fill="auto"/>
            <w:noWrap/>
            <w:hideMark/>
          </w:tcPr>
          <w:p w14:paraId="4486976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2 580 849</w:t>
            </w:r>
          </w:p>
        </w:tc>
      </w:tr>
      <w:tr w:rsidR="00E16C06" w:rsidRPr="00E16C06" w14:paraId="1674B9BE" w14:textId="77777777" w:rsidTr="00E16C06">
        <w:trPr>
          <w:trHeight w:val="300"/>
        </w:trPr>
        <w:tc>
          <w:tcPr>
            <w:tcW w:w="3392" w:type="dxa"/>
            <w:shd w:val="clear" w:color="auto" w:fill="auto"/>
            <w:noWrap/>
            <w:hideMark/>
          </w:tcPr>
          <w:p w14:paraId="5E8AD57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Нижнедевицкий</w:t>
            </w:r>
          </w:p>
        </w:tc>
        <w:tc>
          <w:tcPr>
            <w:tcW w:w="2835" w:type="dxa"/>
            <w:shd w:val="clear" w:color="auto" w:fill="auto"/>
            <w:noWrap/>
            <w:hideMark/>
          </w:tcPr>
          <w:p w14:paraId="0F2D5B4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188</w:t>
            </w:r>
          </w:p>
        </w:tc>
        <w:tc>
          <w:tcPr>
            <w:tcW w:w="3119" w:type="dxa"/>
            <w:shd w:val="clear" w:color="auto" w:fill="auto"/>
            <w:noWrap/>
            <w:hideMark/>
          </w:tcPr>
          <w:p w14:paraId="5A12989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893 729</w:t>
            </w:r>
          </w:p>
        </w:tc>
      </w:tr>
      <w:tr w:rsidR="00E16C06" w:rsidRPr="00E16C06" w14:paraId="37CEE4B4" w14:textId="77777777" w:rsidTr="00E16C06">
        <w:trPr>
          <w:trHeight w:val="300"/>
        </w:trPr>
        <w:tc>
          <w:tcPr>
            <w:tcW w:w="3392" w:type="dxa"/>
            <w:shd w:val="clear" w:color="auto" w:fill="auto"/>
            <w:noWrap/>
            <w:hideMark/>
          </w:tcPr>
          <w:p w14:paraId="17065C2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Новоусманский</w:t>
            </w:r>
          </w:p>
        </w:tc>
        <w:tc>
          <w:tcPr>
            <w:tcW w:w="2835" w:type="dxa"/>
            <w:shd w:val="clear" w:color="auto" w:fill="auto"/>
            <w:noWrap/>
            <w:hideMark/>
          </w:tcPr>
          <w:p w14:paraId="6A0B265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353</w:t>
            </w:r>
          </w:p>
        </w:tc>
        <w:tc>
          <w:tcPr>
            <w:tcW w:w="3119" w:type="dxa"/>
            <w:shd w:val="clear" w:color="auto" w:fill="auto"/>
            <w:noWrap/>
            <w:hideMark/>
          </w:tcPr>
          <w:p w14:paraId="48CB3C2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3 201 946</w:t>
            </w:r>
          </w:p>
        </w:tc>
      </w:tr>
      <w:tr w:rsidR="00E16C06" w:rsidRPr="00E16C06" w14:paraId="2433B75E" w14:textId="77777777" w:rsidTr="00E16C06">
        <w:trPr>
          <w:trHeight w:val="300"/>
        </w:trPr>
        <w:tc>
          <w:tcPr>
            <w:tcW w:w="3392" w:type="dxa"/>
            <w:shd w:val="clear" w:color="auto" w:fill="auto"/>
            <w:noWrap/>
            <w:hideMark/>
          </w:tcPr>
          <w:p w14:paraId="1728AD0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Новохоперский</w:t>
            </w:r>
          </w:p>
        </w:tc>
        <w:tc>
          <w:tcPr>
            <w:tcW w:w="2835" w:type="dxa"/>
            <w:shd w:val="clear" w:color="auto" w:fill="auto"/>
            <w:noWrap/>
            <w:hideMark/>
          </w:tcPr>
          <w:p w14:paraId="0E81AA2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366</w:t>
            </w:r>
          </w:p>
        </w:tc>
        <w:tc>
          <w:tcPr>
            <w:tcW w:w="3119" w:type="dxa"/>
            <w:shd w:val="clear" w:color="auto" w:fill="auto"/>
            <w:noWrap/>
            <w:hideMark/>
          </w:tcPr>
          <w:p w14:paraId="1F6942C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61 189 895</w:t>
            </w:r>
          </w:p>
        </w:tc>
      </w:tr>
      <w:tr w:rsidR="00E16C06" w:rsidRPr="00E16C06" w14:paraId="701AFD31" w14:textId="77777777" w:rsidTr="00E16C06">
        <w:trPr>
          <w:trHeight w:val="300"/>
        </w:trPr>
        <w:tc>
          <w:tcPr>
            <w:tcW w:w="3392" w:type="dxa"/>
            <w:shd w:val="clear" w:color="auto" w:fill="auto"/>
            <w:noWrap/>
            <w:hideMark/>
          </w:tcPr>
          <w:p w14:paraId="6F0E5A4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Ольховатский</w:t>
            </w:r>
          </w:p>
        </w:tc>
        <w:tc>
          <w:tcPr>
            <w:tcW w:w="2835" w:type="dxa"/>
            <w:shd w:val="clear" w:color="auto" w:fill="auto"/>
            <w:noWrap/>
            <w:hideMark/>
          </w:tcPr>
          <w:p w14:paraId="14AA3A6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161</w:t>
            </w:r>
          </w:p>
        </w:tc>
        <w:tc>
          <w:tcPr>
            <w:tcW w:w="3119" w:type="dxa"/>
            <w:shd w:val="clear" w:color="auto" w:fill="auto"/>
            <w:noWrap/>
            <w:hideMark/>
          </w:tcPr>
          <w:p w14:paraId="619018F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553 412</w:t>
            </w:r>
          </w:p>
        </w:tc>
      </w:tr>
      <w:tr w:rsidR="00E16C06" w:rsidRPr="00E16C06" w14:paraId="40A8121B" w14:textId="77777777" w:rsidTr="00E16C06">
        <w:trPr>
          <w:trHeight w:val="300"/>
        </w:trPr>
        <w:tc>
          <w:tcPr>
            <w:tcW w:w="3392" w:type="dxa"/>
            <w:shd w:val="clear" w:color="auto" w:fill="auto"/>
            <w:noWrap/>
            <w:hideMark/>
          </w:tcPr>
          <w:p w14:paraId="567040D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Острогожский</w:t>
            </w:r>
          </w:p>
        </w:tc>
        <w:tc>
          <w:tcPr>
            <w:tcW w:w="2835" w:type="dxa"/>
            <w:shd w:val="clear" w:color="auto" w:fill="auto"/>
            <w:noWrap/>
            <w:hideMark/>
          </w:tcPr>
          <w:p w14:paraId="2B74D55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361</w:t>
            </w:r>
          </w:p>
        </w:tc>
        <w:tc>
          <w:tcPr>
            <w:tcW w:w="3119" w:type="dxa"/>
            <w:shd w:val="clear" w:color="auto" w:fill="auto"/>
            <w:noWrap/>
            <w:hideMark/>
          </w:tcPr>
          <w:p w14:paraId="3C2A5FC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1 483 842</w:t>
            </w:r>
          </w:p>
        </w:tc>
      </w:tr>
      <w:tr w:rsidR="00E16C06" w:rsidRPr="00E16C06" w14:paraId="23AA37CC" w14:textId="77777777" w:rsidTr="00E16C06">
        <w:trPr>
          <w:trHeight w:val="300"/>
        </w:trPr>
        <w:tc>
          <w:tcPr>
            <w:tcW w:w="3392" w:type="dxa"/>
            <w:shd w:val="clear" w:color="auto" w:fill="auto"/>
            <w:noWrap/>
            <w:hideMark/>
          </w:tcPr>
          <w:p w14:paraId="0ACB68F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Павловский</w:t>
            </w:r>
          </w:p>
        </w:tc>
        <w:tc>
          <w:tcPr>
            <w:tcW w:w="2835" w:type="dxa"/>
            <w:shd w:val="clear" w:color="auto" w:fill="auto"/>
            <w:noWrap/>
            <w:hideMark/>
          </w:tcPr>
          <w:p w14:paraId="3887307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364</w:t>
            </w:r>
          </w:p>
        </w:tc>
        <w:tc>
          <w:tcPr>
            <w:tcW w:w="3119" w:type="dxa"/>
            <w:shd w:val="clear" w:color="auto" w:fill="auto"/>
            <w:noWrap/>
            <w:hideMark/>
          </w:tcPr>
          <w:p w14:paraId="355BF3F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1 619 902</w:t>
            </w:r>
          </w:p>
        </w:tc>
      </w:tr>
      <w:tr w:rsidR="00E16C06" w:rsidRPr="00E16C06" w14:paraId="54A171DE" w14:textId="77777777" w:rsidTr="00E16C06">
        <w:trPr>
          <w:trHeight w:val="300"/>
        </w:trPr>
        <w:tc>
          <w:tcPr>
            <w:tcW w:w="3392" w:type="dxa"/>
            <w:shd w:val="clear" w:color="auto" w:fill="auto"/>
            <w:noWrap/>
            <w:hideMark/>
          </w:tcPr>
          <w:p w14:paraId="542B5F6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Панинский</w:t>
            </w:r>
          </w:p>
        </w:tc>
        <w:tc>
          <w:tcPr>
            <w:tcW w:w="2835" w:type="dxa"/>
            <w:shd w:val="clear" w:color="auto" w:fill="auto"/>
            <w:noWrap/>
            <w:hideMark/>
          </w:tcPr>
          <w:p w14:paraId="1EF6F70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159</w:t>
            </w:r>
          </w:p>
        </w:tc>
        <w:tc>
          <w:tcPr>
            <w:tcW w:w="3119" w:type="dxa"/>
            <w:shd w:val="clear" w:color="auto" w:fill="auto"/>
            <w:noWrap/>
            <w:hideMark/>
          </w:tcPr>
          <w:p w14:paraId="036F01B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845 883</w:t>
            </w:r>
          </w:p>
        </w:tc>
      </w:tr>
      <w:tr w:rsidR="00E16C06" w:rsidRPr="00E16C06" w14:paraId="6D95631B" w14:textId="77777777" w:rsidTr="00E16C06">
        <w:trPr>
          <w:trHeight w:val="300"/>
        </w:trPr>
        <w:tc>
          <w:tcPr>
            <w:tcW w:w="3392" w:type="dxa"/>
            <w:shd w:val="clear" w:color="auto" w:fill="auto"/>
            <w:noWrap/>
            <w:hideMark/>
          </w:tcPr>
          <w:p w14:paraId="509A27D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Петропавловский</w:t>
            </w:r>
          </w:p>
        </w:tc>
        <w:tc>
          <w:tcPr>
            <w:tcW w:w="2835" w:type="dxa"/>
            <w:shd w:val="clear" w:color="auto" w:fill="auto"/>
            <w:noWrap/>
            <w:hideMark/>
          </w:tcPr>
          <w:p w14:paraId="44F6526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207</w:t>
            </w:r>
          </w:p>
        </w:tc>
        <w:tc>
          <w:tcPr>
            <w:tcW w:w="3119" w:type="dxa"/>
            <w:shd w:val="clear" w:color="auto" w:fill="auto"/>
            <w:noWrap/>
            <w:hideMark/>
          </w:tcPr>
          <w:p w14:paraId="38C4B66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808 416</w:t>
            </w:r>
          </w:p>
        </w:tc>
      </w:tr>
      <w:tr w:rsidR="00E16C06" w:rsidRPr="00E16C06" w14:paraId="4C0E0C35" w14:textId="77777777" w:rsidTr="00E16C06">
        <w:trPr>
          <w:trHeight w:val="300"/>
        </w:trPr>
        <w:tc>
          <w:tcPr>
            <w:tcW w:w="3392" w:type="dxa"/>
            <w:shd w:val="clear" w:color="auto" w:fill="auto"/>
            <w:noWrap/>
            <w:hideMark/>
          </w:tcPr>
          <w:p w14:paraId="1707E1A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Поворинский</w:t>
            </w:r>
          </w:p>
        </w:tc>
        <w:tc>
          <w:tcPr>
            <w:tcW w:w="2835" w:type="dxa"/>
            <w:shd w:val="clear" w:color="auto" w:fill="auto"/>
            <w:noWrap/>
            <w:hideMark/>
          </w:tcPr>
          <w:p w14:paraId="2469357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186</w:t>
            </w:r>
          </w:p>
        </w:tc>
        <w:tc>
          <w:tcPr>
            <w:tcW w:w="3119" w:type="dxa"/>
            <w:shd w:val="clear" w:color="auto" w:fill="auto"/>
            <w:noWrap/>
            <w:hideMark/>
          </w:tcPr>
          <w:p w14:paraId="7334CF9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33 744 940</w:t>
            </w:r>
          </w:p>
        </w:tc>
      </w:tr>
      <w:tr w:rsidR="00E16C06" w:rsidRPr="00E16C06" w14:paraId="323C9362" w14:textId="77777777" w:rsidTr="00E16C06">
        <w:trPr>
          <w:trHeight w:val="300"/>
        </w:trPr>
        <w:tc>
          <w:tcPr>
            <w:tcW w:w="3392" w:type="dxa"/>
            <w:shd w:val="clear" w:color="auto" w:fill="auto"/>
            <w:noWrap/>
            <w:hideMark/>
          </w:tcPr>
          <w:p w14:paraId="51F73A6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Подгоренский</w:t>
            </w:r>
          </w:p>
        </w:tc>
        <w:tc>
          <w:tcPr>
            <w:tcW w:w="2835" w:type="dxa"/>
            <w:shd w:val="clear" w:color="auto" w:fill="auto"/>
            <w:noWrap/>
            <w:hideMark/>
          </w:tcPr>
          <w:p w14:paraId="1489340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233</w:t>
            </w:r>
          </w:p>
        </w:tc>
        <w:tc>
          <w:tcPr>
            <w:tcW w:w="3119" w:type="dxa"/>
            <w:shd w:val="clear" w:color="auto" w:fill="auto"/>
            <w:noWrap/>
            <w:hideMark/>
          </w:tcPr>
          <w:p w14:paraId="6E9DAE8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1 899 062</w:t>
            </w:r>
          </w:p>
        </w:tc>
      </w:tr>
      <w:tr w:rsidR="00E16C06" w:rsidRPr="00E16C06" w14:paraId="68ABB0F0" w14:textId="77777777" w:rsidTr="00E16C06">
        <w:trPr>
          <w:trHeight w:val="300"/>
        </w:trPr>
        <w:tc>
          <w:tcPr>
            <w:tcW w:w="3392" w:type="dxa"/>
            <w:shd w:val="clear" w:color="auto" w:fill="auto"/>
            <w:noWrap/>
            <w:hideMark/>
          </w:tcPr>
          <w:p w14:paraId="58EEEEA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Рамонский</w:t>
            </w:r>
          </w:p>
        </w:tc>
        <w:tc>
          <w:tcPr>
            <w:tcW w:w="2835" w:type="dxa"/>
            <w:shd w:val="clear" w:color="auto" w:fill="auto"/>
            <w:noWrap/>
            <w:hideMark/>
          </w:tcPr>
          <w:p w14:paraId="6145F3D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358</w:t>
            </w:r>
          </w:p>
        </w:tc>
        <w:tc>
          <w:tcPr>
            <w:tcW w:w="3119" w:type="dxa"/>
            <w:shd w:val="clear" w:color="auto" w:fill="auto"/>
            <w:noWrap/>
            <w:hideMark/>
          </w:tcPr>
          <w:p w14:paraId="53A7D53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2 540 073</w:t>
            </w:r>
          </w:p>
        </w:tc>
      </w:tr>
      <w:tr w:rsidR="00E16C06" w:rsidRPr="00E16C06" w14:paraId="29C48F99" w14:textId="77777777" w:rsidTr="00E16C06">
        <w:trPr>
          <w:trHeight w:val="300"/>
        </w:trPr>
        <w:tc>
          <w:tcPr>
            <w:tcW w:w="3392" w:type="dxa"/>
            <w:shd w:val="clear" w:color="auto" w:fill="auto"/>
            <w:noWrap/>
            <w:hideMark/>
          </w:tcPr>
          <w:p w14:paraId="1DAFE11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Репьевский</w:t>
            </w:r>
          </w:p>
        </w:tc>
        <w:tc>
          <w:tcPr>
            <w:tcW w:w="2835" w:type="dxa"/>
            <w:shd w:val="clear" w:color="auto" w:fill="auto"/>
            <w:noWrap/>
            <w:hideMark/>
          </w:tcPr>
          <w:p w14:paraId="7F5B43D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203</w:t>
            </w:r>
          </w:p>
        </w:tc>
        <w:tc>
          <w:tcPr>
            <w:tcW w:w="3119" w:type="dxa"/>
            <w:shd w:val="clear" w:color="auto" w:fill="auto"/>
            <w:noWrap/>
            <w:hideMark/>
          </w:tcPr>
          <w:p w14:paraId="6B474F9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647 219</w:t>
            </w:r>
          </w:p>
        </w:tc>
      </w:tr>
      <w:tr w:rsidR="00E16C06" w:rsidRPr="00E16C06" w14:paraId="308E6EA4" w14:textId="77777777" w:rsidTr="00E16C06">
        <w:trPr>
          <w:trHeight w:val="300"/>
        </w:trPr>
        <w:tc>
          <w:tcPr>
            <w:tcW w:w="3392" w:type="dxa"/>
            <w:shd w:val="clear" w:color="auto" w:fill="auto"/>
            <w:noWrap/>
            <w:hideMark/>
          </w:tcPr>
          <w:p w14:paraId="74C5A84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Россошанский</w:t>
            </w:r>
          </w:p>
        </w:tc>
        <w:tc>
          <w:tcPr>
            <w:tcW w:w="2835" w:type="dxa"/>
            <w:shd w:val="clear" w:color="auto" w:fill="auto"/>
            <w:noWrap/>
            <w:hideMark/>
          </w:tcPr>
          <w:p w14:paraId="5DD5F23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412</w:t>
            </w:r>
          </w:p>
        </w:tc>
        <w:tc>
          <w:tcPr>
            <w:tcW w:w="3119" w:type="dxa"/>
            <w:shd w:val="clear" w:color="auto" w:fill="auto"/>
            <w:noWrap/>
            <w:hideMark/>
          </w:tcPr>
          <w:p w14:paraId="73B98E2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2 479 592</w:t>
            </w:r>
          </w:p>
        </w:tc>
      </w:tr>
      <w:tr w:rsidR="00E16C06" w:rsidRPr="00E16C06" w14:paraId="0676F549" w14:textId="77777777" w:rsidTr="00E16C06">
        <w:trPr>
          <w:trHeight w:val="300"/>
        </w:trPr>
        <w:tc>
          <w:tcPr>
            <w:tcW w:w="3392" w:type="dxa"/>
            <w:shd w:val="clear" w:color="auto" w:fill="auto"/>
            <w:noWrap/>
            <w:hideMark/>
          </w:tcPr>
          <w:p w14:paraId="63375DB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Семилукский</w:t>
            </w:r>
          </w:p>
        </w:tc>
        <w:tc>
          <w:tcPr>
            <w:tcW w:w="2835" w:type="dxa"/>
            <w:shd w:val="clear" w:color="auto" w:fill="auto"/>
            <w:noWrap/>
            <w:hideMark/>
          </w:tcPr>
          <w:p w14:paraId="5E135B5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405</w:t>
            </w:r>
          </w:p>
        </w:tc>
        <w:tc>
          <w:tcPr>
            <w:tcW w:w="3119" w:type="dxa"/>
            <w:shd w:val="clear" w:color="auto" w:fill="auto"/>
            <w:noWrap/>
            <w:hideMark/>
          </w:tcPr>
          <w:p w14:paraId="27A52B3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2 644 121</w:t>
            </w:r>
          </w:p>
        </w:tc>
      </w:tr>
      <w:tr w:rsidR="00E16C06" w:rsidRPr="00E16C06" w14:paraId="25020407" w14:textId="77777777" w:rsidTr="00E16C06">
        <w:trPr>
          <w:trHeight w:val="300"/>
        </w:trPr>
        <w:tc>
          <w:tcPr>
            <w:tcW w:w="3392" w:type="dxa"/>
            <w:shd w:val="clear" w:color="auto" w:fill="auto"/>
            <w:noWrap/>
            <w:hideMark/>
          </w:tcPr>
          <w:p w14:paraId="1CAC960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Таловский</w:t>
            </w:r>
          </w:p>
        </w:tc>
        <w:tc>
          <w:tcPr>
            <w:tcW w:w="2835" w:type="dxa"/>
            <w:shd w:val="clear" w:color="auto" w:fill="auto"/>
            <w:noWrap/>
            <w:hideMark/>
          </w:tcPr>
          <w:p w14:paraId="2403B62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338</w:t>
            </w:r>
          </w:p>
        </w:tc>
        <w:tc>
          <w:tcPr>
            <w:tcW w:w="3119" w:type="dxa"/>
            <w:shd w:val="clear" w:color="auto" w:fill="auto"/>
            <w:noWrap/>
            <w:hideMark/>
          </w:tcPr>
          <w:p w14:paraId="3D70A1F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1 462 965</w:t>
            </w:r>
          </w:p>
        </w:tc>
      </w:tr>
      <w:tr w:rsidR="00E16C06" w:rsidRPr="00E16C06" w14:paraId="2D454EB4" w14:textId="77777777" w:rsidTr="00E16C06">
        <w:trPr>
          <w:trHeight w:val="300"/>
        </w:trPr>
        <w:tc>
          <w:tcPr>
            <w:tcW w:w="3392" w:type="dxa"/>
            <w:shd w:val="clear" w:color="auto" w:fill="auto"/>
            <w:noWrap/>
            <w:hideMark/>
          </w:tcPr>
          <w:p w14:paraId="59615A1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Терновский</w:t>
            </w:r>
          </w:p>
        </w:tc>
        <w:tc>
          <w:tcPr>
            <w:tcW w:w="2835" w:type="dxa"/>
            <w:shd w:val="clear" w:color="auto" w:fill="auto"/>
            <w:noWrap/>
            <w:hideMark/>
          </w:tcPr>
          <w:p w14:paraId="06C9B3C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192</w:t>
            </w:r>
          </w:p>
        </w:tc>
        <w:tc>
          <w:tcPr>
            <w:tcW w:w="3119" w:type="dxa"/>
            <w:shd w:val="clear" w:color="auto" w:fill="auto"/>
            <w:noWrap/>
            <w:hideMark/>
          </w:tcPr>
          <w:p w14:paraId="0303364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1 200 083</w:t>
            </w:r>
          </w:p>
        </w:tc>
      </w:tr>
      <w:tr w:rsidR="00E16C06" w:rsidRPr="00E16C06" w14:paraId="2F031E30" w14:textId="77777777" w:rsidTr="00E16C06">
        <w:trPr>
          <w:trHeight w:val="300"/>
        </w:trPr>
        <w:tc>
          <w:tcPr>
            <w:tcW w:w="3392" w:type="dxa"/>
            <w:shd w:val="clear" w:color="auto" w:fill="auto"/>
            <w:noWrap/>
            <w:hideMark/>
          </w:tcPr>
          <w:p w14:paraId="56E9293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Хохольский</w:t>
            </w:r>
          </w:p>
        </w:tc>
        <w:tc>
          <w:tcPr>
            <w:tcW w:w="2835" w:type="dxa"/>
            <w:shd w:val="clear" w:color="auto" w:fill="auto"/>
            <w:noWrap/>
            <w:hideMark/>
          </w:tcPr>
          <w:p w14:paraId="49DFA51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193</w:t>
            </w:r>
          </w:p>
        </w:tc>
        <w:tc>
          <w:tcPr>
            <w:tcW w:w="3119" w:type="dxa"/>
            <w:shd w:val="clear" w:color="auto" w:fill="auto"/>
            <w:noWrap/>
            <w:hideMark/>
          </w:tcPr>
          <w:p w14:paraId="23CDF37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3 258 502</w:t>
            </w:r>
          </w:p>
        </w:tc>
      </w:tr>
      <w:tr w:rsidR="00E16C06" w:rsidRPr="00E16C06" w14:paraId="192C33AB" w14:textId="77777777" w:rsidTr="00E16C06">
        <w:trPr>
          <w:trHeight w:val="300"/>
        </w:trPr>
        <w:tc>
          <w:tcPr>
            <w:tcW w:w="3392" w:type="dxa"/>
            <w:shd w:val="clear" w:color="auto" w:fill="auto"/>
            <w:noWrap/>
            <w:hideMark/>
          </w:tcPr>
          <w:p w14:paraId="25A9E31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Эртильский</w:t>
            </w:r>
          </w:p>
        </w:tc>
        <w:tc>
          <w:tcPr>
            <w:tcW w:w="2835" w:type="dxa"/>
            <w:shd w:val="clear" w:color="auto" w:fill="auto"/>
            <w:noWrap/>
            <w:hideMark/>
          </w:tcPr>
          <w:p w14:paraId="017ABAE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226</w:t>
            </w:r>
          </w:p>
        </w:tc>
        <w:tc>
          <w:tcPr>
            <w:tcW w:w="3119" w:type="dxa"/>
            <w:shd w:val="clear" w:color="auto" w:fill="auto"/>
            <w:noWrap/>
            <w:hideMark/>
          </w:tcPr>
          <w:p w14:paraId="5C613B4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1 027 290</w:t>
            </w:r>
          </w:p>
        </w:tc>
      </w:tr>
      <w:tr w:rsidR="00E16C06" w:rsidRPr="00E16C06" w14:paraId="72DF25C9" w14:textId="77777777" w:rsidTr="00E16C06">
        <w:trPr>
          <w:trHeight w:val="315"/>
        </w:trPr>
        <w:tc>
          <w:tcPr>
            <w:tcW w:w="3392" w:type="dxa"/>
            <w:noWrap/>
            <w:hideMark/>
          </w:tcPr>
          <w:p w14:paraId="4FC6E563"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Общий итог</w:t>
            </w:r>
          </w:p>
        </w:tc>
        <w:tc>
          <w:tcPr>
            <w:tcW w:w="2835" w:type="dxa"/>
            <w:shd w:val="clear" w:color="auto" w:fill="auto"/>
            <w:noWrap/>
            <w:hideMark/>
          </w:tcPr>
          <w:p w14:paraId="1C5ADEA2"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10645</w:t>
            </w:r>
          </w:p>
        </w:tc>
        <w:tc>
          <w:tcPr>
            <w:tcW w:w="3119" w:type="dxa"/>
            <w:shd w:val="clear" w:color="auto" w:fill="auto"/>
            <w:noWrap/>
            <w:hideMark/>
          </w:tcPr>
          <w:p w14:paraId="651BB442"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170 978 349</w:t>
            </w:r>
          </w:p>
        </w:tc>
      </w:tr>
    </w:tbl>
    <w:p w14:paraId="75B979BE" w14:textId="77777777" w:rsidR="00E16C06" w:rsidRPr="00E16C06" w:rsidRDefault="00E16C06" w:rsidP="00E16C06">
      <w:pPr>
        <w:rPr>
          <w:rFonts w:ascii="Times New Roman" w:hAnsi="Times New Roman" w:cs="Times New Roman"/>
        </w:rPr>
      </w:pPr>
    </w:p>
    <w:p w14:paraId="67805340" w14:textId="77777777" w:rsidR="00E16C06" w:rsidRPr="00E16C06" w:rsidRDefault="00E16C06" w:rsidP="00E16C06">
      <w:pPr>
        <w:rPr>
          <w:rFonts w:ascii="Times New Roman" w:hAnsi="Times New Roman" w:cs="Times New Roman"/>
        </w:rPr>
      </w:pPr>
      <w:r w:rsidRPr="00E16C06">
        <w:rPr>
          <w:rFonts w:ascii="Times New Roman" w:hAnsi="Times New Roman" w:cs="Times New Roman"/>
          <w:noProof/>
          <w:lang w:eastAsia="ru-RU"/>
        </w:rPr>
        <w:drawing>
          <wp:inline distT="0" distB="0" distL="0" distR="0" wp14:anchorId="6853B4DD" wp14:editId="6E4E6304">
            <wp:extent cx="5940425" cy="3743325"/>
            <wp:effectExtent l="0" t="0" r="3175" b="9525"/>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4106A760"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spacing w:val="-5"/>
          <w:sz w:val="26"/>
          <w:szCs w:val="26"/>
        </w:rPr>
      </w:pPr>
      <w:r w:rsidRPr="00E16C06">
        <w:rPr>
          <w:rFonts w:ascii="Times New Roman" w:hAnsi="Times New Roman" w:cs="Times New Roman"/>
          <w:sz w:val="26"/>
          <w:szCs w:val="26"/>
        </w:rPr>
        <w:t xml:space="preserve">Рис </w:t>
      </w:r>
      <w:r w:rsidRPr="00E16C06">
        <w:rPr>
          <w:rFonts w:ascii="Times New Roman" w:eastAsia="Times New Roman" w:hAnsi="Times New Roman" w:cs="Times New Roman"/>
          <w:spacing w:val="-5"/>
          <w:sz w:val="26"/>
          <w:szCs w:val="26"/>
        </w:rPr>
        <w:t>3.3.2.7 – Распределение земельных участков, относящихся к сегменту 3 «Общественное использование», по муниципальным районам Воронежской области</w:t>
      </w:r>
    </w:p>
    <w:p w14:paraId="374FE1A5"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spacing w:val="-5"/>
          <w:sz w:val="26"/>
          <w:szCs w:val="26"/>
        </w:rPr>
      </w:pPr>
    </w:p>
    <w:p w14:paraId="0E9053A2" w14:textId="77777777" w:rsidR="00E16C06" w:rsidRPr="00E16C06" w:rsidRDefault="00E16C06" w:rsidP="00E16C06">
      <w:pPr>
        <w:spacing w:after="0" w:line="276" w:lineRule="auto"/>
        <w:ind w:firstLine="709"/>
        <w:contextualSpacing/>
        <w:jc w:val="both"/>
        <w:rPr>
          <w:rFonts w:ascii="Times New Roman" w:hAnsi="Times New Roman" w:cs="Times New Roman"/>
          <w:sz w:val="26"/>
          <w:szCs w:val="26"/>
        </w:rPr>
      </w:pPr>
      <w:r w:rsidRPr="00E16C06">
        <w:rPr>
          <w:rFonts w:ascii="Times New Roman" w:hAnsi="Times New Roman" w:cs="Times New Roman"/>
          <w:sz w:val="26"/>
          <w:szCs w:val="26"/>
        </w:rPr>
        <w:t>В соответствии с сегментацией объектов недвижимости с указанием кодов расчета вида использования (приложение № 1 Указаний) 3 сегмент включает в себя коды расчета 01:143, 03:000, 03:010, 03:013, 03:020, 03:021, 03:022, 03:023, 03:030, 03:031, 03:032, 03:033, 03:034, 03:035, 03:040, 03:041, 03:042, 03:050, 03:051, 03:052, 03:060, 03:061, 03:062, 03:065, 03:070, 03:071, 03:073, 03:080, 03:081, 03:090, 03:091, 03:092, 03:100, 03:101, 03:102, 03:103, 05:010, 05:012, 05:020, 05:021, 05:051, 07:021, 07:022, 08:022, 08:030, 09:030. Распределение земельных участков 3 сегмента по кодам вида использования представлено в таблице 3.3.2.8.</w:t>
      </w:r>
    </w:p>
    <w:p w14:paraId="51E5156A" w14:textId="77777777" w:rsidR="00E16C06" w:rsidRPr="00E16C06" w:rsidRDefault="00E16C06" w:rsidP="00E16C06">
      <w:pPr>
        <w:spacing w:after="0" w:line="276" w:lineRule="auto"/>
        <w:ind w:firstLine="709"/>
        <w:contextualSpacing/>
        <w:jc w:val="right"/>
        <w:rPr>
          <w:rFonts w:ascii="Times New Roman" w:hAnsi="Times New Roman" w:cs="Times New Roman"/>
          <w:sz w:val="26"/>
          <w:szCs w:val="26"/>
        </w:rPr>
      </w:pPr>
      <w:r w:rsidRPr="00E16C06">
        <w:rPr>
          <w:rFonts w:ascii="Times New Roman" w:hAnsi="Times New Roman" w:cs="Times New Roman"/>
          <w:sz w:val="26"/>
          <w:szCs w:val="26"/>
        </w:rPr>
        <w:t>Таблица 3.3.2.8</w:t>
      </w:r>
    </w:p>
    <w:p w14:paraId="5C7359C0" w14:textId="77777777" w:rsidR="00E16C06" w:rsidRPr="00E16C06" w:rsidRDefault="00E16C06" w:rsidP="00E16C06">
      <w:pPr>
        <w:spacing w:after="0" w:line="276" w:lineRule="auto"/>
        <w:ind w:firstLine="709"/>
        <w:contextualSpacing/>
        <w:rPr>
          <w:rFonts w:ascii="Times New Roman" w:hAnsi="Times New Roman" w:cs="Times New Roman"/>
          <w:sz w:val="26"/>
          <w:szCs w:val="26"/>
        </w:rPr>
      </w:pPr>
      <w:r w:rsidRPr="00E16C06">
        <w:rPr>
          <w:rFonts w:ascii="Times New Roman" w:hAnsi="Times New Roman" w:cs="Times New Roman"/>
          <w:sz w:val="26"/>
          <w:szCs w:val="26"/>
        </w:rPr>
        <w:t>Распределение объектов оценки по кодам расчета вида использования</w:t>
      </w:r>
    </w:p>
    <w:p w14:paraId="5046F736" w14:textId="77777777" w:rsidR="00E16C06" w:rsidRPr="00E16C06" w:rsidRDefault="00E16C06" w:rsidP="00E16C06">
      <w:pPr>
        <w:spacing w:after="0" w:line="276" w:lineRule="auto"/>
        <w:contextualSpacing/>
        <w:jc w:val="center"/>
        <w:rPr>
          <w:rFonts w:ascii="Times New Roman" w:hAnsi="Times New Roman" w:cs="Times New Roman"/>
          <w:sz w:val="26"/>
          <w:szCs w:val="26"/>
        </w:rPr>
      </w:pPr>
      <w:r w:rsidRPr="00E16C06">
        <w:rPr>
          <w:rFonts w:ascii="Times New Roman" w:hAnsi="Times New Roman" w:cs="Times New Roman"/>
          <w:sz w:val="26"/>
          <w:szCs w:val="26"/>
        </w:rPr>
        <w:t>в составе 3 сегмента</w:t>
      </w:r>
    </w:p>
    <w:tbl>
      <w:tblPr>
        <w:tblStyle w:val="ae"/>
        <w:tblpPr w:leftFromText="180" w:rightFromText="180" w:vertAnchor="text" w:tblpY="1"/>
        <w:tblOverlap w:val="never"/>
        <w:tblW w:w="9493" w:type="dxa"/>
        <w:tblLook w:val="04A0" w:firstRow="1" w:lastRow="0" w:firstColumn="1" w:lastColumn="0" w:noHBand="0" w:noVBand="1"/>
      </w:tblPr>
      <w:tblGrid>
        <w:gridCol w:w="2547"/>
        <w:gridCol w:w="3544"/>
        <w:gridCol w:w="3402"/>
      </w:tblGrid>
      <w:tr w:rsidR="00E16C06" w:rsidRPr="00E16C06" w14:paraId="250830E4" w14:textId="77777777" w:rsidTr="00E16C06">
        <w:trPr>
          <w:trHeight w:val="255"/>
        </w:trPr>
        <w:tc>
          <w:tcPr>
            <w:tcW w:w="2547" w:type="dxa"/>
            <w:shd w:val="clear" w:color="auto" w:fill="auto"/>
            <w:vAlign w:val="center"/>
          </w:tcPr>
          <w:p w14:paraId="4D86B20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b/>
                <w:sz w:val="22"/>
                <w:szCs w:val="22"/>
              </w:rPr>
              <w:t>Сегмент</w:t>
            </w:r>
          </w:p>
        </w:tc>
        <w:tc>
          <w:tcPr>
            <w:tcW w:w="3544" w:type="dxa"/>
            <w:shd w:val="clear" w:color="auto" w:fill="auto"/>
            <w:noWrap/>
            <w:vAlign w:val="center"/>
          </w:tcPr>
          <w:p w14:paraId="43678C9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b/>
                <w:sz w:val="22"/>
                <w:szCs w:val="22"/>
              </w:rPr>
              <w:t>Код расчета вида использования</w:t>
            </w:r>
          </w:p>
        </w:tc>
        <w:tc>
          <w:tcPr>
            <w:tcW w:w="3402" w:type="dxa"/>
            <w:shd w:val="clear" w:color="auto" w:fill="auto"/>
            <w:noWrap/>
            <w:vAlign w:val="center"/>
          </w:tcPr>
          <w:p w14:paraId="7689F1A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b/>
                <w:sz w:val="22"/>
                <w:szCs w:val="22"/>
              </w:rPr>
              <w:t>Количество ЗУ</w:t>
            </w:r>
          </w:p>
        </w:tc>
      </w:tr>
      <w:tr w:rsidR="00E16C06" w:rsidRPr="00E16C06" w14:paraId="75D50AB7" w14:textId="77777777" w:rsidTr="00E16C06">
        <w:trPr>
          <w:trHeight w:val="255"/>
        </w:trPr>
        <w:tc>
          <w:tcPr>
            <w:tcW w:w="2547" w:type="dxa"/>
            <w:vMerge w:val="restart"/>
            <w:vAlign w:val="center"/>
          </w:tcPr>
          <w:p w14:paraId="46486EA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3</w:t>
            </w:r>
          </w:p>
        </w:tc>
        <w:tc>
          <w:tcPr>
            <w:tcW w:w="3544" w:type="dxa"/>
            <w:shd w:val="clear" w:color="auto" w:fill="auto"/>
            <w:noWrap/>
            <w:vAlign w:val="bottom"/>
            <w:hideMark/>
          </w:tcPr>
          <w:p w14:paraId="63CAA02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01:143</w:t>
            </w:r>
          </w:p>
        </w:tc>
        <w:tc>
          <w:tcPr>
            <w:tcW w:w="3402" w:type="dxa"/>
            <w:shd w:val="clear" w:color="auto" w:fill="auto"/>
            <w:noWrap/>
            <w:hideMark/>
          </w:tcPr>
          <w:p w14:paraId="6F6E4EE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3</w:t>
            </w:r>
          </w:p>
        </w:tc>
      </w:tr>
      <w:tr w:rsidR="00E16C06" w:rsidRPr="00E16C06" w14:paraId="2BC2E47A" w14:textId="77777777" w:rsidTr="00E16C06">
        <w:trPr>
          <w:trHeight w:val="255"/>
        </w:trPr>
        <w:tc>
          <w:tcPr>
            <w:tcW w:w="2547" w:type="dxa"/>
            <w:vMerge/>
          </w:tcPr>
          <w:p w14:paraId="09090DC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3B62A2E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03:000</w:t>
            </w:r>
          </w:p>
        </w:tc>
        <w:tc>
          <w:tcPr>
            <w:tcW w:w="3402" w:type="dxa"/>
            <w:shd w:val="clear" w:color="auto" w:fill="auto"/>
            <w:noWrap/>
            <w:hideMark/>
          </w:tcPr>
          <w:p w14:paraId="520F307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486</w:t>
            </w:r>
          </w:p>
        </w:tc>
      </w:tr>
      <w:tr w:rsidR="00E16C06" w:rsidRPr="00E16C06" w14:paraId="3811E7C9" w14:textId="77777777" w:rsidTr="00E16C06">
        <w:trPr>
          <w:trHeight w:val="255"/>
        </w:trPr>
        <w:tc>
          <w:tcPr>
            <w:tcW w:w="2547" w:type="dxa"/>
            <w:vMerge/>
          </w:tcPr>
          <w:p w14:paraId="6EC3EC5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6D4EC58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03:010</w:t>
            </w:r>
          </w:p>
        </w:tc>
        <w:tc>
          <w:tcPr>
            <w:tcW w:w="3402" w:type="dxa"/>
            <w:shd w:val="clear" w:color="auto" w:fill="auto"/>
            <w:noWrap/>
            <w:hideMark/>
          </w:tcPr>
          <w:p w14:paraId="01FBE87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12</w:t>
            </w:r>
          </w:p>
        </w:tc>
      </w:tr>
      <w:tr w:rsidR="00E16C06" w:rsidRPr="00E16C06" w14:paraId="32EC9FA1" w14:textId="77777777" w:rsidTr="00E16C06">
        <w:trPr>
          <w:trHeight w:val="255"/>
        </w:trPr>
        <w:tc>
          <w:tcPr>
            <w:tcW w:w="2547" w:type="dxa"/>
            <w:vMerge/>
          </w:tcPr>
          <w:p w14:paraId="21F5D99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6FA9895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03:013</w:t>
            </w:r>
          </w:p>
        </w:tc>
        <w:tc>
          <w:tcPr>
            <w:tcW w:w="3402" w:type="dxa"/>
            <w:shd w:val="clear" w:color="auto" w:fill="auto"/>
            <w:noWrap/>
            <w:hideMark/>
          </w:tcPr>
          <w:p w14:paraId="5605ADE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w:t>
            </w:r>
          </w:p>
        </w:tc>
      </w:tr>
      <w:tr w:rsidR="00E16C06" w:rsidRPr="00E16C06" w14:paraId="238C7EC7" w14:textId="77777777" w:rsidTr="00E16C06">
        <w:trPr>
          <w:trHeight w:val="255"/>
        </w:trPr>
        <w:tc>
          <w:tcPr>
            <w:tcW w:w="2547" w:type="dxa"/>
            <w:vMerge/>
          </w:tcPr>
          <w:p w14:paraId="3AB4A5E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3F4C59A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03:020</w:t>
            </w:r>
          </w:p>
        </w:tc>
        <w:tc>
          <w:tcPr>
            <w:tcW w:w="3402" w:type="dxa"/>
            <w:shd w:val="clear" w:color="auto" w:fill="auto"/>
            <w:noWrap/>
            <w:hideMark/>
          </w:tcPr>
          <w:p w14:paraId="6F18C00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319</w:t>
            </w:r>
          </w:p>
        </w:tc>
      </w:tr>
      <w:tr w:rsidR="00E16C06" w:rsidRPr="00E16C06" w14:paraId="4C5284A4" w14:textId="77777777" w:rsidTr="00E16C06">
        <w:trPr>
          <w:trHeight w:val="255"/>
        </w:trPr>
        <w:tc>
          <w:tcPr>
            <w:tcW w:w="2547" w:type="dxa"/>
            <w:vMerge/>
          </w:tcPr>
          <w:p w14:paraId="5FE859D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6FCBFDE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03:021</w:t>
            </w:r>
          </w:p>
        </w:tc>
        <w:tc>
          <w:tcPr>
            <w:tcW w:w="3402" w:type="dxa"/>
            <w:shd w:val="clear" w:color="auto" w:fill="auto"/>
            <w:noWrap/>
            <w:hideMark/>
          </w:tcPr>
          <w:p w14:paraId="7FD93EF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19</w:t>
            </w:r>
          </w:p>
        </w:tc>
      </w:tr>
      <w:tr w:rsidR="00E16C06" w:rsidRPr="00E16C06" w14:paraId="005054AF" w14:textId="77777777" w:rsidTr="00E16C06">
        <w:trPr>
          <w:trHeight w:val="255"/>
        </w:trPr>
        <w:tc>
          <w:tcPr>
            <w:tcW w:w="2547" w:type="dxa"/>
            <w:vMerge/>
          </w:tcPr>
          <w:p w14:paraId="14B776D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5D57328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03:022</w:t>
            </w:r>
          </w:p>
        </w:tc>
        <w:tc>
          <w:tcPr>
            <w:tcW w:w="3402" w:type="dxa"/>
            <w:shd w:val="clear" w:color="auto" w:fill="auto"/>
            <w:noWrap/>
            <w:hideMark/>
          </w:tcPr>
          <w:p w14:paraId="753B559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124</w:t>
            </w:r>
          </w:p>
        </w:tc>
      </w:tr>
      <w:tr w:rsidR="00E16C06" w:rsidRPr="00E16C06" w14:paraId="60CEE7D7" w14:textId="77777777" w:rsidTr="00E16C06">
        <w:trPr>
          <w:trHeight w:val="255"/>
        </w:trPr>
        <w:tc>
          <w:tcPr>
            <w:tcW w:w="2547" w:type="dxa"/>
            <w:vMerge/>
          </w:tcPr>
          <w:p w14:paraId="24CD7FB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7AAA380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03:023</w:t>
            </w:r>
          </w:p>
        </w:tc>
        <w:tc>
          <w:tcPr>
            <w:tcW w:w="3402" w:type="dxa"/>
            <w:shd w:val="clear" w:color="auto" w:fill="auto"/>
            <w:noWrap/>
            <w:hideMark/>
          </w:tcPr>
          <w:p w14:paraId="6F350A0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3</w:t>
            </w:r>
          </w:p>
        </w:tc>
      </w:tr>
      <w:tr w:rsidR="00E16C06" w:rsidRPr="00E16C06" w14:paraId="2ECD3103" w14:textId="77777777" w:rsidTr="00E16C06">
        <w:trPr>
          <w:trHeight w:val="255"/>
        </w:trPr>
        <w:tc>
          <w:tcPr>
            <w:tcW w:w="2547" w:type="dxa"/>
            <w:vMerge/>
          </w:tcPr>
          <w:p w14:paraId="7CA1049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4839D46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03:030</w:t>
            </w:r>
          </w:p>
        </w:tc>
        <w:tc>
          <w:tcPr>
            <w:tcW w:w="3402" w:type="dxa"/>
            <w:shd w:val="clear" w:color="auto" w:fill="auto"/>
            <w:noWrap/>
            <w:hideMark/>
          </w:tcPr>
          <w:p w14:paraId="6D9601B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297</w:t>
            </w:r>
          </w:p>
        </w:tc>
      </w:tr>
      <w:tr w:rsidR="00E16C06" w:rsidRPr="00E16C06" w14:paraId="6B0B21D1" w14:textId="77777777" w:rsidTr="00E16C06">
        <w:trPr>
          <w:trHeight w:val="255"/>
        </w:trPr>
        <w:tc>
          <w:tcPr>
            <w:tcW w:w="2547" w:type="dxa"/>
            <w:vMerge/>
          </w:tcPr>
          <w:p w14:paraId="10DDFE0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2F68413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03:031</w:t>
            </w:r>
          </w:p>
        </w:tc>
        <w:tc>
          <w:tcPr>
            <w:tcW w:w="3402" w:type="dxa"/>
            <w:shd w:val="clear" w:color="auto" w:fill="auto"/>
            <w:noWrap/>
            <w:hideMark/>
          </w:tcPr>
          <w:p w14:paraId="4D9BBF6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14</w:t>
            </w:r>
          </w:p>
        </w:tc>
      </w:tr>
      <w:tr w:rsidR="00E16C06" w:rsidRPr="00E16C06" w14:paraId="36A7E294" w14:textId="77777777" w:rsidTr="00E16C06">
        <w:trPr>
          <w:trHeight w:val="255"/>
        </w:trPr>
        <w:tc>
          <w:tcPr>
            <w:tcW w:w="2547" w:type="dxa"/>
            <w:vMerge/>
          </w:tcPr>
          <w:p w14:paraId="251D46B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6F2F853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03:032</w:t>
            </w:r>
          </w:p>
        </w:tc>
        <w:tc>
          <w:tcPr>
            <w:tcW w:w="3402" w:type="dxa"/>
            <w:shd w:val="clear" w:color="auto" w:fill="auto"/>
            <w:noWrap/>
            <w:hideMark/>
          </w:tcPr>
          <w:p w14:paraId="0D1696E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78</w:t>
            </w:r>
          </w:p>
        </w:tc>
      </w:tr>
      <w:tr w:rsidR="00E16C06" w:rsidRPr="00E16C06" w14:paraId="7BBDA19D" w14:textId="77777777" w:rsidTr="00E16C06">
        <w:trPr>
          <w:trHeight w:val="255"/>
        </w:trPr>
        <w:tc>
          <w:tcPr>
            <w:tcW w:w="2547" w:type="dxa"/>
            <w:vMerge/>
          </w:tcPr>
          <w:p w14:paraId="61AC064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1F78D83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03:033</w:t>
            </w:r>
          </w:p>
        </w:tc>
        <w:tc>
          <w:tcPr>
            <w:tcW w:w="3402" w:type="dxa"/>
            <w:shd w:val="clear" w:color="auto" w:fill="auto"/>
            <w:noWrap/>
            <w:hideMark/>
          </w:tcPr>
          <w:p w14:paraId="7A0A647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5</w:t>
            </w:r>
          </w:p>
        </w:tc>
      </w:tr>
      <w:tr w:rsidR="00E16C06" w:rsidRPr="00E16C06" w14:paraId="0826F149" w14:textId="77777777" w:rsidTr="00E16C06">
        <w:trPr>
          <w:trHeight w:val="255"/>
        </w:trPr>
        <w:tc>
          <w:tcPr>
            <w:tcW w:w="2547" w:type="dxa"/>
            <w:vMerge/>
          </w:tcPr>
          <w:p w14:paraId="34EE09A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2AF4609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03:034</w:t>
            </w:r>
          </w:p>
        </w:tc>
        <w:tc>
          <w:tcPr>
            <w:tcW w:w="3402" w:type="dxa"/>
            <w:shd w:val="clear" w:color="auto" w:fill="auto"/>
            <w:noWrap/>
            <w:hideMark/>
          </w:tcPr>
          <w:p w14:paraId="7C2A91C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20</w:t>
            </w:r>
          </w:p>
        </w:tc>
      </w:tr>
      <w:tr w:rsidR="00E16C06" w:rsidRPr="00E16C06" w14:paraId="230F0C3C" w14:textId="77777777" w:rsidTr="00E16C06">
        <w:trPr>
          <w:trHeight w:val="255"/>
        </w:trPr>
        <w:tc>
          <w:tcPr>
            <w:tcW w:w="2547" w:type="dxa"/>
            <w:vMerge/>
          </w:tcPr>
          <w:p w14:paraId="5903325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6AAF35F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03:035</w:t>
            </w:r>
          </w:p>
        </w:tc>
        <w:tc>
          <w:tcPr>
            <w:tcW w:w="3402" w:type="dxa"/>
            <w:shd w:val="clear" w:color="auto" w:fill="auto"/>
            <w:noWrap/>
            <w:hideMark/>
          </w:tcPr>
          <w:p w14:paraId="5EB6BA1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w:t>
            </w:r>
          </w:p>
        </w:tc>
      </w:tr>
      <w:tr w:rsidR="00E16C06" w:rsidRPr="00E16C06" w14:paraId="40EC0BF1" w14:textId="77777777" w:rsidTr="00E16C06">
        <w:trPr>
          <w:trHeight w:val="255"/>
        </w:trPr>
        <w:tc>
          <w:tcPr>
            <w:tcW w:w="2547" w:type="dxa"/>
            <w:vMerge/>
          </w:tcPr>
          <w:p w14:paraId="13550C8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40CE496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03:040</w:t>
            </w:r>
          </w:p>
        </w:tc>
        <w:tc>
          <w:tcPr>
            <w:tcW w:w="3402" w:type="dxa"/>
            <w:shd w:val="clear" w:color="auto" w:fill="auto"/>
            <w:noWrap/>
            <w:hideMark/>
          </w:tcPr>
          <w:p w14:paraId="44E283E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1775</w:t>
            </w:r>
          </w:p>
        </w:tc>
      </w:tr>
      <w:tr w:rsidR="00E16C06" w:rsidRPr="00E16C06" w14:paraId="19661CEB" w14:textId="77777777" w:rsidTr="00E16C06">
        <w:trPr>
          <w:trHeight w:val="255"/>
        </w:trPr>
        <w:tc>
          <w:tcPr>
            <w:tcW w:w="2547" w:type="dxa"/>
            <w:vMerge/>
          </w:tcPr>
          <w:p w14:paraId="3A92E52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306E09B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03:041</w:t>
            </w:r>
          </w:p>
        </w:tc>
        <w:tc>
          <w:tcPr>
            <w:tcW w:w="3402" w:type="dxa"/>
            <w:shd w:val="clear" w:color="auto" w:fill="auto"/>
            <w:noWrap/>
            <w:hideMark/>
          </w:tcPr>
          <w:p w14:paraId="0878B28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25</w:t>
            </w:r>
          </w:p>
        </w:tc>
      </w:tr>
      <w:tr w:rsidR="00E16C06" w:rsidRPr="00E16C06" w14:paraId="47F1E34C" w14:textId="77777777" w:rsidTr="00E16C06">
        <w:trPr>
          <w:trHeight w:val="255"/>
        </w:trPr>
        <w:tc>
          <w:tcPr>
            <w:tcW w:w="2547" w:type="dxa"/>
            <w:vMerge/>
          </w:tcPr>
          <w:p w14:paraId="7D70337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5473631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03:042</w:t>
            </w:r>
          </w:p>
        </w:tc>
        <w:tc>
          <w:tcPr>
            <w:tcW w:w="3402" w:type="dxa"/>
            <w:shd w:val="clear" w:color="auto" w:fill="auto"/>
            <w:noWrap/>
            <w:hideMark/>
          </w:tcPr>
          <w:p w14:paraId="69ADB47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6</w:t>
            </w:r>
          </w:p>
        </w:tc>
      </w:tr>
      <w:tr w:rsidR="00E16C06" w:rsidRPr="00E16C06" w14:paraId="6A130CE8" w14:textId="77777777" w:rsidTr="00E16C06">
        <w:trPr>
          <w:trHeight w:val="255"/>
        </w:trPr>
        <w:tc>
          <w:tcPr>
            <w:tcW w:w="2547" w:type="dxa"/>
            <w:vMerge/>
          </w:tcPr>
          <w:p w14:paraId="25A9A3D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77FE4E2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03:050</w:t>
            </w:r>
          </w:p>
        </w:tc>
        <w:tc>
          <w:tcPr>
            <w:tcW w:w="3402" w:type="dxa"/>
            <w:shd w:val="clear" w:color="auto" w:fill="auto"/>
            <w:noWrap/>
            <w:hideMark/>
          </w:tcPr>
          <w:p w14:paraId="72094E7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2864</w:t>
            </w:r>
          </w:p>
        </w:tc>
      </w:tr>
      <w:tr w:rsidR="00E16C06" w:rsidRPr="00E16C06" w14:paraId="66666A39" w14:textId="77777777" w:rsidTr="00E16C06">
        <w:trPr>
          <w:trHeight w:val="255"/>
        </w:trPr>
        <w:tc>
          <w:tcPr>
            <w:tcW w:w="2547" w:type="dxa"/>
            <w:vMerge/>
          </w:tcPr>
          <w:p w14:paraId="77E3019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5AC1BC0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03:051</w:t>
            </w:r>
          </w:p>
        </w:tc>
        <w:tc>
          <w:tcPr>
            <w:tcW w:w="3402" w:type="dxa"/>
            <w:shd w:val="clear" w:color="auto" w:fill="auto"/>
            <w:noWrap/>
            <w:hideMark/>
          </w:tcPr>
          <w:p w14:paraId="55562F6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22</w:t>
            </w:r>
          </w:p>
        </w:tc>
      </w:tr>
      <w:tr w:rsidR="00E16C06" w:rsidRPr="00E16C06" w14:paraId="242A6C14" w14:textId="77777777" w:rsidTr="00E16C06">
        <w:trPr>
          <w:trHeight w:val="255"/>
        </w:trPr>
        <w:tc>
          <w:tcPr>
            <w:tcW w:w="2547" w:type="dxa"/>
            <w:vMerge/>
          </w:tcPr>
          <w:p w14:paraId="0205EFB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38C90AC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03:052</w:t>
            </w:r>
          </w:p>
        </w:tc>
        <w:tc>
          <w:tcPr>
            <w:tcW w:w="3402" w:type="dxa"/>
            <w:shd w:val="clear" w:color="auto" w:fill="auto"/>
            <w:noWrap/>
            <w:hideMark/>
          </w:tcPr>
          <w:p w14:paraId="13AE637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3</w:t>
            </w:r>
          </w:p>
        </w:tc>
      </w:tr>
      <w:tr w:rsidR="00E16C06" w:rsidRPr="00E16C06" w14:paraId="40EBF9CA" w14:textId="77777777" w:rsidTr="00E16C06">
        <w:trPr>
          <w:trHeight w:val="255"/>
        </w:trPr>
        <w:tc>
          <w:tcPr>
            <w:tcW w:w="2547" w:type="dxa"/>
            <w:vMerge/>
          </w:tcPr>
          <w:p w14:paraId="0A80F65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107613A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03:060</w:t>
            </w:r>
          </w:p>
        </w:tc>
        <w:tc>
          <w:tcPr>
            <w:tcW w:w="3402" w:type="dxa"/>
            <w:shd w:val="clear" w:color="auto" w:fill="auto"/>
            <w:noWrap/>
            <w:hideMark/>
          </w:tcPr>
          <w:p w14:paraId="1CDC0D0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1087</w:t>
            </w:r>
          </w:p>
        </w:tc>
      </w:tr>
      <w:tr w:rsidR="00E16C06" w:rsidRPr="00E16C06" w14:paraId="6A5F9E39" w14:textId="77777777" w:rsidTr="00E16C06">
        <w:trPr>
          <w:trHeight w:val="255"/>
        </w:trPr>
        <w:tc>
          <w:tcPr>
            <w:tcW w:w="2547" w:type="dxa"/>
            <w:vMerge/>
          </w:tcPr>
          <w:p w14:paraId="37DAA21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5988E87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03:061</w:t>
            </w:r>
          </w:p>
        </w:tc>
        <w:tc>
          <w:tcPr>
            <w:tcW w:w="3402" w:type="dxa"/>
            <w:shd w:val="clear" w:color="auto" w:fill="auto"/>
            <w:noWrap/>
            <w:hideMark/>
          </w:tcPr>
          <w:p w14:paraId="744A886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22</w:t>
            </w:r>
          </w:p>
        </w:tc>
      </w:tr>
      <w:tr w:rsidR="00E16C06" w:rsidRPr="00E16C06" w14:paraId="61BC340F" w14:textId="77777777" w:rsidTr="00E16C06">
        <w:trPr>
          <w:trHeight w:val="255"/>
        </w:trPr>
        <w:tc>
          <w:tcPr>
            <w:tcW w:w="2547" w:type="dxa"/>
            <w:vMerge/>
          </w:tcPr>
          <w:p w14:paraId="7145E39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2138435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03:062</w:t>
            </w:r>
          </w:p>
        </w:tc>
        <w:tc>
          <w:tcPr>
            <w:tcW w:w="3402" w:type="dxa"/>
            <w:shd w:val="clear" w:color="auto" w:fill="auto"/>
            <w:noWrap/>
            <w:hideMark/>
          </w:tcPr>
          <w:p w14:paraId="067C184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4</w:t>
            </w:r>
          </w:p>
        </w:tc>
      </w:tr>
      <w:tr w:rsidR="00E16C06" w:rsidRPr="00E16C06" w14:paraId="4E9E9B35" w14:textId="77777777" w:rsidTr="00E16C06">
        <w:trPr>
          <w:trHeight w:val="255"/>
        </w:trPr>
        <w:tc>
          <w:tcPr>
            <w:tcW w:w="2547" w:type="dxa"/>
            <w:vMerge/>
          </w:tcPr>
          <w:p w14:paraId="0C25FC3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284A935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03:065</w:t>
            </w:r>
          </w:p>
        </w:tc>
        <w:tc>
          <w:tcPr>
            <w:tcW w:w="3402" w:type="dxa"/>
            <w:shd w:val="clear" w:color="auto" w:fill="auto"/>
            <w:noWrap/>
            <w:hideMark/>
          </w:tcPr>
          <w:p w14:paraId="5004438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w:t>
            </w:r>
          </w:p>
        </w:tc>
      </w:tr>
      <w:tr w:rsidR="00E16C06" w:rsidRPr="00E16C06" w14:paraId="765C55A0" w14:textId="77777777" w:rsidTr="00E16C06">
        <w:trPr>
          <w:trHeight w:val="255"/>
        </w:trPr>
        <w:tc>
          <w:tcPr>
            <w:tcW w:w="2547" w:type="dxa"/>
            <w:vMerge/>
          </w:tcPr>
          <w:p w14:paraId="35B516F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7F3E21D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03:070</w:t>
            </w:r>
          </w:p>
        </w:tc>
        <w:tc>
          <w:tcPr>
            <w:tcW w:w="3402" w:type="dxa"/>
            <w:shd w:val="clear" w:color="auto" w:fill="auto"/>
            <w:noWrap/>
            <w:hideMark/>
          </w:tcPr>
          <w:p w14:paraId="0DA4625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606</w:t>
            </w:r>
          </w:p>
        </w:tc>
      </w:tr>
      <w:tr w:rsidR="00E16C06" w:rsidRPr="00E16C06" w14:paraId="1B7405E8" w14:textId="77777777" w:rsidTr="00E16C06">
        <w:trPr>
          <w:trHeight w:val="255"/>
        </w:trPr>
        <w:tc>
          <w:tcPr>
            <w:tcW w:w="2547" w:type="dxa"/>
            <w:vMerge/>
          </w:tcPr>
          <w:p w14:paraId="4F4DCEA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76FE2D3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03:071</w:t>
            </w:r>
          </w:p>
        </w:tc>
        <w:tc>
          <w:tcPr>
            <w:tcW w:w="3402" w:type="dxa"/>
            <w:shd w:val="clear" w:color="auto" w:fill="auto"/>
            <w:noWrap/>
            <w:hideMark/>
          </w:tcPr>
          <w:p w14:paraId="10189E0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10</w:t>
            </w:r>
          </w:p>
        </w:tc>
      </w:tr>
      <w:tr w:rsidR="00E16C06" w:rsidRPr="00E16C06" w14:paraId="76141E56" w14:textId="77777777" w:rsidTr="00E16C06">
        <w:trPr>
          <w:trHeight w:val="255"/>
        </w:trPr>
        <w:tc>
          <w:tcPr>
            <w:tcW w:w="2547" w:type="dxa"/>
            <w:vMerge/>
          </w:tcPr>
          <w:p w14:paraId="4D135D1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7AE6091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03:073</w:t>
            </w:r>
          </w:p>
        </w:tc>
        <w:tc>
          <w:tcPr>
            <w:tcW w:w="3402" w:type="dxa"/>
            <w:shd w:val="clear" w:color="auto" w:fill="auto"/>
            <w:noWrap/>
            <w:hideMark/>
          </w:tcPr>
          <w:p w14:paraId="65F7FF9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w:t>
            </w:r>
          </w:p>
        </w:tc>
      </w:tr>
      <w:tr w:rsidR="00E16C06" w:rsidRPr="00E16C06" w14:paraId="6520C522" w14:textId="77777777" w:rsidTr="00E16C06">
        <w:trPr>
          <w:trHeight w:val="255"/>
        </w:trPr>
        <w:tc>
          <w:tcPr>
            <w:tcW w:w="2547" w:type="dxa"/>
            <w:vMerge/>
          </w:tcPr>
          <w:p w14:paraId="7CDCC01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3BC19C6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03:080</w:t>
            </w:r>
          </w:p>
        </w:tc>
        <w:tc>
          <w:tcPr>
            <w:tcW w:w="3402" w:type="dxa"/>
            <w:shd w:val="clear" w:color="auto" w:fill="auto"/>
            <w:noWrap/>
            <w:hideMark/>
          </w:tcPr>
          <w:p w14:paraId="0D99ECD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838</w:t>
            </w:r>
          </w:p>
        </w:tc>
      </w:tr>
      <w:tr w:rsidR="00E16C06" w:rsidRPr="00E16C06" w14:paraId="4D1F3596" w14:textId="77777777" w:rsidTr="00E16C06">
        <w:trPr>
          <w:trHeight w:val="255"/>
        </w:trPr>
        <w:tc>
          <w:tcPr>
            <w:tcW w:w="2547" w:type="dxa"/>
            <w:vMerge/>
          </w:tcPr>
          <w:p w14:paraId="353783F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2DCD7F2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03:081</w:t>
            </w:r>
          </w:p>
        </w:tc>
        <w:tc>
          <w:tcPr>
            <w:tcW w:w="3402" w:type="dxa"/>
            <w:shd w:val="clear" w:color="auto" w:fill="auto"/>
            <w:noWrap/>
            <w:hideMark/>
          </w:tcPr>
          <w:p w14:paraId="3F94DE4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20</w:t>
            </w:r>
          </w:p>
        </w:tc>
      </w:tr>
      <w:tr w:rsidR="00E16C06" w:rsidRPr="00E16C06" w14:paraId="3916D0A8" w14:textId="77777777" w:rsidTr="00E16C06">
        <w:trPr>
          <w:trHeight w:val="255"/>
        </w:trPr>
        <w:tc>
          <w:tcPr>
            <w:tcW w:w="2547" w:type="dxa"/>
            <w:vMerge/>
          </w:tcPr>
          <w:p w14:paraId="41578A6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5665026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03:090</w:t>
            </w:r>
          </w:p>
        </w:tc>
        <w:tc>
          <w:tcPr>
            <w:tcW w:w="3402" w:type="dxa"/>
            <w:shd w:val="clear" w:color="auto" w:fill="auto"/>
            <w:noWrap/>
            <w:hideMark/>
          </w:tcPr>
          <w:p w14:paraId="7C1B299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62</w:t>
            </w:r>
          </w:p>
        </w:tc>
      </w:tr>
      <w:tr w:rsidR="00E16C06" w:rsidRPr="00E16C06" w14:paraId="3C5CAA16" w14:textId="77777777" w:rsidTr="00E16C06">
        <w:trPr>
          <w:trHeight w:val="255"/>
        </w:trPr>
        <w:tc>
          <w:tcPr>
            <w:tcW w:w="2547" w:type="dxa"/>
            <w:vMerge/>
          </w:tcPr>
          <w:p w14:paraId="3B4F985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7795381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03:091</w:t>
            </w:r>
          </w:p>
        </w:tc>
        <w:tc>
          <w:tcPr>
            <w:tcW w:w="3402" w:type="dxa"/>
            <w:shd w:val="clear" w:color="auto" w:fill="auto"/>
            <w:noWrap/>
            <w:hideMark/>
          </w:tcPr>
          <w:p w14:paraId="3295EAC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4</w:t>
            </w:r>
          </w:p>
        </w:tc>
      </w:tr>
      <w:tr w:rsidR="00E16C06" w:rsidRPr="00E16C06" w14:paraId="5160B8AE" w14:textId="77777777" w:rsidTr="00E16C06">
        <w:trPr>
          <w:trHeight w:val="255"/>
        </w:trPr>
        <w:tc>
          <w:tcPr>
            <w:tcW w:w="2547" w:type="dxa"/>
            <w:vMerge/>
          </w:tcPr>
          <w:p w14:paraId="49F5E70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79AC097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03:092</w:t>
            </w:r>
          </w:p>
        </w:tc>
        <w:tc>
          <w:tcPr>
            <w:tcW w:w="3402" w:type="dxa"/>
            <w:shd w:val="clear" w:color="auto" w:fill="auto"/>
            <w:noWrap/>
            <w:hideMark/>
          </w:tcPr>
          <w:p w14:paraId="57F4475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w:t>
            </w:r>
          </w:p>
        </w:tc>
      </w:tr>
      <w:tr w:rsidR="00E16C06" w:rsidRPr="00E16C06" w14:paraId="28BC2D77" w14:textId="77777777" w:rsidTr="00E16C06">
        <w:trPr>
          <w:trHeight w:val="255"/>
        </w:trPr>
        <w:tc>
          <w:tcPr>
            <w:tcW w:w="2547" w:type="dxa"/>
            <w:vMerge/>
          </w:tcPr>
          <w:p w14:paraId="0699C54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5431F50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03:100</w:t>
            </w:r>
          </w:p>
        </w:tc>
        <w:tc>
          <w:tcPr>
            <w:tcW w:w="3402" w:type="dxa"/>
            <w:shd w:val="clear" w:color="auto" w:fill="auto"/>
            <w:noWrap/>
            <w:hideMark/>
          </w:tcPr>
          <w:p w14:paraId="1B911AC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199</w:t>
            </w:r>
          </w:p>
        </w:tc>
      </w:tr>
      <w:tr w:rsidR="00E16C06" w:rsidRPr="00E16C06" w14:paraId="550B613E" w14:textId="77777777" w:rsidTr="00E16C06">
        <w:trPr>
          <w:trHeight w:val="255"/>
        </w:trPr>
        <w:tc>
          <w:tcPr>
            <w:tcW w:w="2547" w:type="dxa"/>
            <w:vMerge/>
          </w:tcPr>
          <w:p w14:paraId="5628EF6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7B75B6C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03:101</w:t>
            </w:r>
          </w:p>
        </w:tc>
        <w:tc>
          <w:tcPr>
            <w:tcW w:w="3402" w:type="dxa"/>
            <w:shd w:val="clear" w:color="auto" w:fill="auto"/>
            <w:noWrap/>
            <w:hideMark/>
          </w:tcPr>
          <w:p w14:paraId="6DF116F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w:t>
            </w:r>
          </w:p>
        </w:tc>
      </w:tr>
      <w:tr w:rsidR="00E16C06" w:rsidRPr="00E16C06" w14:paraId="0BF27963" w14:textId="77777777" w:rsidTr="00E16C06">
        <w:trPr>
          <w:trHeight w:val="255"/>
        </w:trPr>
        <w:tc>
          <w:tcPr>
            <w:tcW w:w="2547" w:type="dxa"/>
            <w:vMerge/>
          </w:tcPr>
          <w:p w14:paraId="309E5B1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4618895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03:102</w:t>
            </w:r>
          </w:p>
        </w:tc>
        <w:tc>
          <w:tcPr>
            <w:tcW w:w="3402" w:type="dxa"/>
            <w:shd w:val="clear" w:color="auto" w:fill="auto"/>
            <w:noWrap/>
            <w:hideMark/>
          </w:tcPr>
          <w:p w14:paraId="3658E91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w:t>
            </w:r>
          </w:p>
        </w:tc>
      </w:tr>
      <w:tr w:rsidR="00E16C06" w:rsidRPr="00E16C06" w14:paraId="295ADF3D" w14:textId="77777777" w:rsidTr="00E16C06">
        <w:trPr>
          <w:trHeight w:val="255"/>
        </w:trPr>
        <w:tc>
          <w:tcPr>
            <w:tcW w:w="2547" w:type="dxa"/>
            <w:vMerge/>
          </w:tcPr>
          <w:p w14:paraId="70278BA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38246FF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03:103</w:t>
            </w:r>
          </w:p>
        </w:tc>
        <w:tc>
          <w:tcPr>
            <w:tcW w:w="3402" w:type="dxa"/>
            <w:shd w:val="clear" w:color="auto" w:fill="auto"/>
            <w:noWrap/>
            <w:hideMark/>
          </w:tcPr>
          <w:p w14:paraId="68E80D8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w:t>
            </w:r>
          </w:p>
        </w:tc>
      </w:tr>
      <w:tr w:rsidR="00E16C06" w:rsidRPr="00E16C06" w14:paraId="3A45D3F5" w14:textId="77777777" w:rsidTr="00E16C06">
        <w:trPr>
          <w:trHeight w:val="255"/>
        </w:trPr>
        <w:tc>
          <w:tcPr>
            <w:tcW w:w="2547" w:type="dxa"/>
            <w:vMerge/>
          </w:tcPr>
          <w:p w14:paraId="1E32E4A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217B9F8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05:010</w:t>
            </w:r>
          </w:p>
        </w:tc>
        <w:tc>
          <w:tcPr>
            <w:tcW w:w="3402" w:type="dxa"/>
            <w:shd w:val="clear" w:color="auto" w:fill="auto"/>
            <w:noWrap/>
            <w:hideMark/>
          </w:tcPr>
          <w:p w14:paraId="1EA4FB3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671</w:t>
            </w:r>
          </w:p>
        </w:tc>
      </w:tr>
      <w:tr w:rsidR="00E16C06" w:rsidRPr="00E16C06" w14:paraId="3C48ED79" w14:textId="77777777" w:rsidTr="00E16C06">
        <w:trPr>
          <w:trHeight w:val="255"/>
        </w:trPr>
        <w:tc>
          <w:tcPr>
            <w:tcW w:w="2547" w:type="dxa"/>
            <w:vMerge/>
          </w:tcPr>
          <w:p w14:paraId="23E11E3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0E51176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05:012</w:t>
            </w:r>
          </w:p>
        </w:tc>
        <w:tc>
          <w:tcPr>
            <w:tcW w:w="3402" w:type="dxa"/>
            <w:shd w:val="clear" w:color="auto" w:fill="auto"/>
            <w:noWrap/>
            <w:hideMark/>
          </w:tcPr>
          <w:p w14:paraId="57FA66D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18</w:t>
            </w:r>
          </w:p>
        </w:tc>
      </w:tr>
      <w:tr w:rsidR="00E16C06" w:rsidRPr="00E16C06" w14:paraId="08B4666D" w14:textId="77777777" w:rsidTr="00E16C06">
        <w:trPr>
          <w:trHeight w:val="255"/>
        </w:trPr>
        <w:tc>
          <w:tcPr>
            <w:tcW w:w="2547" w:type="dxa"/>
            <w:vMerge/>
          </w:tcPr>
          <w:p w14:paraId="54CB15D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0E11E5F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05:020</w:t>
            </w:r>
          </w:p>
        </w:tc>
        <w:tc>
          <w:tcPr>
            <w:tcW w:w="3402" w:type="dxa"/>
            <w:shd w:val="clear" w:color="auto" w:fill="auto"/>
            <w:noWrap/>
            <w:hideMark/>
          </w:tcPr>
          <w:p w14:paraId="5FB0478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7</w:t>
            </w:r>
          </w:p>
        </w:tc>
      </w:tr>
      <w:tr w:rsidR="00E16C06" w:rsidRPr="00E16C06" w14:paraId="26DF4B11" w14:textId="77777777" w:rsidTr="00E16C06">
        <w:trPr>
          <w:trHeight w:val="255"/>
        </w:trPr>
        <w:tc>
          <w:tcPr>
            <w:tcW w:w="2547" w:type="dxa"/>
            <w:vMerge/>
          </w:tcPr>
          <w:p w14:paraId="0BCA246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64E3AE8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05:021</w:t>
            </w:r>
          </w:p>
        </w:tc>
        <w:tc>
          <w:tcPr>
            <w:tcW w:w="3402" w:type="dxa"/>
            <w:shd w:val="clear" w:color="auto" w:fill="auto"/>
            <w:noWrap/>
            <w:hideMark/>
          </w:tcPr>
          <w:p w14:paraId="0DAC525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w:t>
            </w:r>
          </w:p>
        </w:tc>
      </w:tr>
      <w:tr w:rsidR="00E16C06" w:rsidRPr="00E16C06" w14:paraId="74092B46" w14:textId="77777777" w:rsidTr="00E16C06">
        <w:trPr>
          <w:trHeight w:val="255"/>
        </w:trPr>
        <w:tc>
          <w:tcPr>
            <w:tcW w:w="2547" w:type="dxa"/>
            <w:vMerge/>
          </w:tcPr>
          <w:p w14:paraId="5F4F89E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0969CAF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05:051</w:t>
            </w:r>
          </w:p>
        </w:tc>
        <w:tc>
          <w:tcPr>
            <w:tcW w:w="3402" w:type="dxa"/>
            <w:shd w:val="clear" w:color="auto" w:fill="auto"/>
            <w:noWrap/>
            <w:hideMark/>
          </w:tcPr>
          <w:p w14:paraId="3A9B549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w:t>
            </w:r>
          </w:p>
        </w:tc>
      </w:tr>
      <w:tr w:rsidR="00E16C06" w:rsidRPr="00E16C06" w14:paraId="2F80D676" w14:textId="77777777" w:rsidTr="00E16C06">
        <w:trPr>
          <w:trHeight w:val="255"/>
        </w:trPr>
        <w:tc>
          <w:tcPr>
            <w:tcW w:w="2547" w:type="dxa"/>
            <w:vMerge/>
          </w:tcPr>
          <w:p w14:paraId="1ECE176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63640DA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07:021</w:t>
            </w:r>
          </w:p>
        </w:tc>
        <w:tc>
          <w:tcPr>
            <w:tcW w:w="3402" w:type="dxa"/>
            <w:shd w:val="clear" w:color="auto" w:fill="auto"/>
            <w:noWrap/>
            <w:hideMark/>
          </w:tcPr>
          <w:p w14:paraId="106C8D9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47</w:t>
            </w:r>
          </w:p>
        </w:tc>
      </w:tr>
      <w:tr w:rsidR="00E16C06" w:rsidRPr="00E16C06" w14:paraId="337CDC1B" w14:textId="77777777" w:rsidTr="00E16C06">
        <w:trPr>
          <w:trHeight w:val="255"/>
        </w:trPr>
        <w:tc>
          <w:tcPr>
            <w:tcW w:w="2547" w:type="dxa"/>
            <w:vMerge/>
          </w:tcPr>
          <w:p w14:paraId="7CB0495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hideMark/>
          </w:tcPr>
          <w:p w14:paraId="11F9FAE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07:022</w:t>
            </w:r>
          </w:p>
        </w:tc>
        <w:tc>
          <w:tcPr>
            <w:tcW w:w="3402" w:type="dxa"/>
            <w:shd w:val="clear" w:color="auto" w:fill="auto"/>
            <w:noWrap/>
            <w:hideMark/>
          </w:tcPr>
          <w:p w14:paraId="3E1B2C3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9</w:t>
            </w:r>
          </w:p>
        </w:tc>
      </w:tr>
      <w:tr w:rsidR="00E16C06" w:rsidRPr="00E16C06" w14:paraId="5D42BC78" w14:textId="77777777" w:rsidTr="00E16C06">
        <w:trPr>
          <w:trHeight w:val="255"/>
        </w:trPr>
        <w:tc>
          <w:tcPr>
            <w:tcW w:w="2547" w:type="dxa"/>
            <w:vMerge/>
          </w:tcPr>
          <w:p w14:paraId="5814B74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tcPr>
          <w:p w14:paraId="2DC7CC8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08:022</w:t>
            </w:r>
          </w:p>
        </w:tc>
        <w:tc>
          <w:tcPr>
            <w:tcW w:w="3402" w:type="dxa"/>
            <w:shd w:val="clear" w:color="auto" w:fill="auto"/>
            <w:noWrap/>
          </w:tcPr>
          <w:p w14:paraId="64FD1CB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11</w:t>
            </w:r>
          </w:p>
        </w:tc>
      </w:tr>
      <w:tr w:rsidR="00E16C06" w:rsidRPr="00E16C06" w14:paraId="33C9D517" w14:textId="77777777" w:rsidTr="00E16C06">
        <w:trPr>
          <w:trHeight w:val="255"/>
        </w:trPr>
        <w:tc>
          <w:tcPr>
            <w:tcW w:w="2547" w:type="dxa"/>
            <w:vMerge/>
          </w:tcPr>
          <w:p w14:paraId="64451F5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tcPr>
          <w:p w14:paraId="4ACFF49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08:030</w:t>
            </w:r>
          </w:p>
        </w:tc>
        <w:tc>
          <w:tcPr>
            <w:tcW w:w="3402" w:type="dxa"/>
            <w:shd w:val="clear" w:color="auto" w:fill="auto"/>
            <w:noWrap/>
          </w:tcPr>
          <w:p w14:paraId="26E82B1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269</w:t>
            </w:r>
          </w:p>
        </w:tc>
      </w:tr>
      <w:tr w:rsidR="00E16C06" w:rsidRPr="00E16C06" w14:paraId="31B642BE" w14:textId="77777777" w:rsidTr="00E16C06">
        <w:trPr>
          <w:trHeight w:val="255"/>
        </w:trPr>
        <w:tc>
          <w:tcPr>
            <w:tcW w:w="2547" w:type="dxa"/>
            <w:vMerge/>
          </w:tcPr>
          <w:p w14:paraId="6100B4F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544" w:type="dxa"/>
            <w:shd w:val="clear" w:color="auto" w:fill="auto"/>
            <w:noWrap/>
            <w:vAlign w:val="bottom"/>
          </w:tcPr>
          <w:p w14:paraId="732C1B6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09:030</w:t>
            </w:r>
          </w:p>
        </w:tc>
        <w:tc>
          <w:tcPr>
            <w:tcW w:w="3402" w:type="dxa"/>
            <w:shd w:val="clear" w:color="auto" w:fill="auto"/>
            <w:noWrap/>
          </w:tcPr>
          <w:p w14:paraId="7E2377C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672</w:t>
            </w:r>
          </w:p>
        </w:tc>
      </w:tr>
      <w:tr w:rsidR="00E16C06" w:rsidRPr="00E16C06" w14:paraId="27BC3829" w14:textId="77777777" w:rsidTr="00E16C06">
        <w:trPr>
          <w:trHeight w:val="255"/>
        </w:trPr>
        <w:tc>
          <w:tcPr>
            <w:tcW w:w="2547" w:type="dxa"/>
            <w:shd w:val="clear" w:color="auto" w:fill="auto"/>
          </w:tcPr>
          <w:p w14:paraId="382B30D7"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Итог</w:t>
            </w:r>
          </w:p>
        </w:tc>
        <w:tc>
          <w:tcPr>
            <w:tcW w:w="3544" w:type="dxa"/>
            <w:shd w:val="clear" w:color="auto" w:fill="auto"/>
            <w:noWrap/>
          </w:tcPr>
          <w:p w14:paraId="6BFD7C53"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p>
        </w:tc>
        <w:tc>
          <w:tcPr>
            <w:tcW w:w="3402" w:type="dxa"/>
            <w:shd w:val="clear" w:color="auto" w:fill="auto"/>
            <w:noWrap/>
          </w:tcPr>
          <w:p w14:paraId="76975C48"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10 645</w:t>
            </w:r>
          </w:p>
        </w:tc>
      </w:tr>
    </w:tbl>
    <w:p w14:paraId="7AC33610" w14:textId="77777777" w:rsidR="00E16C06" w:rsidRPr="00E16C06" w:rsidRDefault="00E16C06" w:rsidP="00E16C06">
      <w:pPr>
        <w:rPr>
          <w:rFonts w:ascii="Times New Roman" w:hAnsi="Times New Roman" w:cs="Times New Roman"/>
        </w:rPr>
      </w:pPr>
      <w:r w:rsidRPr="00E16C06">
        <w:rPr>
          <w:rFonts w:ascii="Times New Roman" w:hAnsi="Times New Roman" w:cs="Times New Roman"/>
          <w:noProof/>
          <w:lang w:eastAsia="ru-RU"/>
        </w:rPr>
        <w:drawing>
          <wp:inline distT="0" distB="0" distL="0" distR="0" wp14:anchorId="50397D66" wp14:editId="488C9017">
            <wp:extent cx="5940425" cy="3314700"/>
            <wp:effectExtent l="0" t="0" r="3175"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2DFDF45B"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eastAsia="Times New Roman" w:hAnsi="Times New Roman" w:cs="Times New Roman"/>
          <w:spacing w:val="-5"/>
          <w:sz w:val="26"/>
          <w:szCs w:val="26"/>
        </w:rPr>
        <w:t xml:space="preserve">Рис 3.3.2.8 – </w:t>
      </w:r>
      <w:r w:rsidRPr="00E16C06">
        <w:rPr>
          <w:rFonts w:ascii="Times New Roman" w:hAnsi="Times New Roman" w:cs="Times New Roman"/>
          <w:sz w:val="26"/>
          <w:szCs w:val="26"/>
        </w:rPr>
        <w:t>Распределение объектов оценки по кодам расчета вида использования в составе 3 сегмента</w:t>
      </w:r>
    </w:p>
    <w:p w14:paraId="02941A4F" w14:textId="77777777" w:rsidR="00E16C06" w:rsidRPr="00E16C06" w:rsidRDefault="00E16C06" w:rsidP="00E16C06">
      <w:pPr>
        <w:spacing w:after="0" w:line="276" w:lineRule="auto"/>
        <w:ind w:firstLine="709"/>
        <w:contextualSpacing/>
        <w:rPr>
          <w:rFonts w:ascii="Times New Roman" w:hAnsi="Times New Roman" w:cs="Times New Roman"/>
          <w:b/>
          <w:i/>
          <w:sz w:val="26"/>
          <w:szCs w:val="26"/>
        </w:rPr>
      </w:pPr>
    </w:p>
    <w:p w14:paraId="06C1F49C" w14:textId="77777777" w:rsidR="00E16C06" w:rsidRPr="00E16C06" w:rsidRDefault="00E16C06" w:rsidP="00E16C06">
      <w:pPr>
        <w:spacing w:after="0" w:line="276" w:lineRule="auto"/>
        <w:contextualSpacing/>
        <w:jc w:val="center"/>
        <w:rPr>
          <w:rFonts w:ascii="Times New Roman" w:eastAsia="Times New Roman" w:hAnsi="Times New Roman" w:cs="Times New Roman"/>
          <w:i/>
          <w:color w:val="000000"/>
          <w:sz w:val="26"/>
          <w:szCs w:val="26"/>
          <w:lang w:eastAsia="ru-RU"/>
        </w:rPr>
      </w:pPr>
      <w:r w:rsidRPr="00E16C06">
        <w:rPr>
          <w:rFonts w:ascii="Times New Roman" w:eastAsia="Times New Roman" w:hAnsi="Times New Roman" w:cs="Times New Roman"/>
          <w:i/>
          <w:spacing w:val="-5"/>
          <w:sz w:val="26"/>
          <w:szCs w:val="26"/>
        </w:rPr>
        <w:t xml:space="preserve">Описание объектов недвижимости </w:t>
      </w:r>
      <w:r w:rsidRPr="00E16C06">
        <w:rPr>
          <w:rFonts w:ascii="Times New Roman" w:eastAsia="Times New Roman" w:hAnsi="Times New Roman" w:cs="Times New Roman"/>
          <w:i/>
          <w:color w:val="000000"/>
          <w:sz w:val="26"/>
          <w:szCs w:val="26"/>
          <w:lang w:eastAsia="ru-RU"/>
        </w:rPr>
        <w:t>4 сегмента «Предпринимательство»</w:t>
      </w:r>
    </w:p>
    <w:p w14:paraId="59D1C915" w14:textId="77777777" w:rsidR="00E16C06" w:rsidRPr="00E16C06" w:rsidRDefault="00E16C06" w:rsidP="00E16C06">
      <w:pPr>
        <w:spacing w:after="0" w:line="276" w:lineRule="auto"/>
        <w:contextualSpacing/>
        <w:jc w:val="center"/>
        <w:rPr>
          <w:rFonts w:ascii="Times New Roman" w:eastAsia="Times New Roman" w:hAnsi="Times New Roman" w:cs="Times New Roman"/>
          <w:color w:val="000000"/>
          <w:sz w:val="26"/>
          <w:szCs w:val="26"/>
          <w:lang w:eastAsia="ru-RU"/>
        </w:rPr>
      </w:pPr>
    </w:p>
    <w:p w14:paraId="601C153E" w14:textId="77777777" w:rsidR="00E16C06" w:rsidRPr="00E16C06" w:rsidRDefault="00E16C06" w:rsidP="00E16C06">
      <w:pPr>
        <w:spacing w:after="0" w:line="276" w:lineRule="auto"/>
        <w:ind w:firstLine="709"/>
        <w:contextualSpacing/>
        <w:jc w:val="both"/>
        <w:rPr>
          <w:rFonts w:ascii="Times New Roman" w:hAnsi="Times New Roman" w:cs="Times New Roman"/>
          <w:color w:val="000000" w:themeColor="text1"/>
          <w:sz w:val="26"/>
          <w:szCs w:val="26"/>
        </w:rPr>
      </w:pPr>
      <w:r w:rsidRPr="00E16C06">
        <w:rPr>
          <w:rFonts w:ascii="Times New Roman" w:hAnsi="Times New Roman" w:cs="Times New Roman"/>
          <w:color w:val="000000" w:themeColor="text1"/>
          <w:sz w:val="26"/>
          <w:szCs w:val="26"/>
        </w:rPr>
        <w:t>Наибольшее количество земельных участков 4 сегмента сосредоточено в г. Воронеже – 3244 объекта. Наименьшее количество земельных участков 4 сегмента сосредоточено в Репьёвском районе – 149 объектов.</w:t>
      </w:r>
    </w:p>
    <w:p w14:paraId="3067C849" w14:textId="77777777" w:rsidR="00E16C06" w:rsidRPr="00E16C06" w:rsidRDefault="00E16C06" w:rsidP="00E16C06">
      <w:pPr>
        <w:spacing w:after="0" w:line="276" w:lineRule="auto"/>
        <w:contextualSpacing/>
        <w:jc w:val="right"/>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Таблица 3.3.2.9</w:t>
      </w:r>
    </w:p>
    <w:p w14:paraId="187B6D6B" w14:textId="77777777" w:rsidR="00E16C06" w:rsidRPr="00E16C06" w:rsidRDefault="00E16C06" w:rsidP="00E16C06">
      <w:pPr>
        <w:spacing w:line="276" w:lineRule="auto"/>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Распределение земельных участков и площадей, относящихся к сегменту 4 «Предпринимательство», по муниципальным районам Воронежской области</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3260"/>
        <w:gridCol w:w="2835"/>
      </w:tblGrid>
      <w:tr w:rsidR="00E16C06" w:rsidRPr="00E16C06" w14:paraId="2C282974" w14:textId="77777777" w:rsidTr="00E16C06">
        <w:trPr>
          <w:trHeight w:val="300"/>
        </w:trPr>
        <w:tc>
          <w:tcPr>
            <w:tcW w:w="3251" w:type="dxa"/>
            <w:noWrap/>
            <w:vAlign w:val="center"/>
            <w:hideMark/>
          </w:tcPr>
          <w:p w14:paraId="52214DA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Район</w:t>
            </w:r>
          </w:p>
        </w:tc>
        <w:tc>
          <w:tcPr>
            <w:tcW w:w="3260" w:type="dxa"/>
            <w:noWrap/>
            <w:vAlign w:val="center"/>
            <w:hideMark/>
          </w:tcPr>
          <w:p w14:paraId="62ABF65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Количество ЗУ</w:t>
            </w:r>
          </w:p>
        </w:tc>
        <w:tc>
          <w:tcPr>
            <w:tcW w:w="2835" w:type="dxa"/>
            <w:noWrap/>
            <w:vAlign w:val="center"/>
            <w:hideMark/>
          </w:tcPr>
          <w:p w14:paraId="7A15AA0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Площадь, кв. м.</w:t>
            </w:r>
          </w:p>
        </w:tc>
      </w:tr>
      <w:tr w:rsidR="00E16C06" w:rsidRPr="00E16C06" w14:paraId="1D8061D5" w14:textId="77777777" w:rsidTr="00E16C06">
        <w:trPr>
          <w:trHeight w:val="300"/>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B246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Аннинский</w:t>
            </w:r>
          </w:p>
        </w:tc>
        <w:tc>
          <w:tcPr>
            <w:tcW w:w="3260" w:type="dxa"/>
            <w:tcBorders>
              <w:top w:val="single" w:sz="4" w:space="0" w:color="auto"/>
              <w:left w:val="nil"/>
              <w:bottom w:val="single" w:sz="4" w:space="0" w:color="auto"/>
              <w:right w:val="single" w:sz="4" w:space="0" w:color="auto"/>
            </w:tcBorders>
            <w:shd w:val="clear" w:color="auto" w:fill="auto"/>
            <w:noWrap/>
          </w:tcPr>
          <w:p w14:paraId="5B4148E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386</w:t>
            </w:r>
          </w:p>
        </w:tc>
        <w:tc>
          <w:tcPr>
            <w:tcW w:w="2835" w:type="dxa"/>
            <w:tcBorders>
              <w:top w:val="single" w:sz="4" w:space="0" w:color="auto"/>
              <w:left w:val="nil"/>
              <w:bottom w:val="single" w:sz="4" w:space="0" w:color="auto"/>
              <w:right w:val="single" w:sz="4" w:space="0" w:color="auto"/>
            </w:tcBorders>
            <w:shd w:val="clear" w:color="auto" w:fill="auto"/>
            <w:noWrap/>
          </w:tcPr>
          <w:p w14:paraId="7296C7E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309 238</w:t>
            </w:r>
          </w:p>
        </w:tc>
      </w:tr>
      <w:tr w:rsidR="00E16C06" w:rsidRPr="00E16C06" w14:paraId="04B109F1"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6135EBB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Бобровский</w:t>
            </w:r>
          </w:p>
        </w:tc>
        <w:tc>
          <w:tcPr>
            <w:tcW w:w="3260" w:type="dxa"/>
            <w:tcBorders>
              <w:top w:val="nil"/>
              <w:left w:val="nil"/>
              <w:bottom w:val="single" w:sz="4" w:space="0" w:color="auto"/>
              <w:right w:val="single" w:sz="4" w:space="0" w:color="auto"/>
            </w:tcBorders>
            <w:shd w:val="clear" w:color="auto" w:fill="auto"/>
            <w:noWrap/>
          </w:tcPr>
          <w:p w14:paraId="6CA196D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445</w:t>
            </w:r>
          </w:p>
        </w:tc>
        <w:tc>
          <w:tcPr>
            <w:tcW w:w="2835" w:type="dxa"/>
            <w:tcBorders>
              <w:top w:val="nil"/>
              <w:left w:val="nil"/>
              <w:bottom w:val="single" w:sz="4" w:space="0" w:color="auto"/>
              <w:right w:val="single" w:sz="4" w:space="0" w:color="auto"/>
            </w:tcBorders>
            <w:shd w:val="clear" w:color="auto" w:fill="auto"/>
            <w:noWrap/>
          </w:tcPr>
          <w:p w14:paraId="0E238BA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679 925</w:t>
            </w:r>
          </w:p>
        </w:tc>
      </w:tr>
      <w:tr w:rsidR="00E16C06" w:rsidRPr="00E16C06" w14:paraId="224FD671"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16D7239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Богучарский</w:t>
            </w:r>
          </w:p>
        </w:tc>
        <w:tc>
          <w:tcPr>
            <w:tcW w:w="3260" w:type="dxa"/>
            <w:tcBorders>
              <w:top w:val="nil"/>
              <w:left w:val="nil"/>
              <w:bottom w:val="single" w:sz="4" w:space="0" w:color="auto"/>
              <w:right w:val="single" w:sz="4" w:space="0" w:color="auto"/>
            </w:tcBorders>
            <w:shd w:val="clear" w:color="auto" w:fill="auto"/>
            <w:noWrap/>
          </w:tcPr>
          <w:p w14:paraId="567D24C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418</w:t>
            </w:r>
          </w:p>
        </w:tc>
        <w:tc>
          <w:tcPr>
            <w:tcW w:w="2835" w:type="dxa"/>
            <w:tcBorders>
              <w:top w:val="nil"/>
              <w:left w:val="nil"/>
              <w:bottom w:val="single" w:sz="4" w:space="0" w:color="auto"/>
              <w:right w:val="single" w:sz="4" w:space="0" w:color="auto"/>
            </w:tcBorders>
            <w:shd w:val="clear" w:color="auto" w:fill="auto"/>
            <w:noWrap/>
          </w:tcPr>
          <w:p w14:paraId="19F9E19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427 550</w:t>
            </w:r>
          </w:p>
        </w:tc>
      </w:tr>
      <w:tr w:rsidR="00E16C06" w:rsidRPr="00E16C06" w14:paraId="4DF947EF"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6BE2613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Борисоглебский</w:t>
            </w:r>
          </w:p>
        </w:tc>
        <w:tc>
          <w:tcPr>
            <w:tcW w:w="3260" w:type="dxa"/>
            <w:tcBorders>
              <w:top w:val="nil"/>
              <w:left w:val="nil"/>
              <w:bottom w:val="single" w:sz="4" w:space="0" w:color="auto"/>
              <w:right w:val="single" w:sz="4" w:space="0" w:color="auto"/>
            </w:tcBorders>
            <w:shd w:val="clear" w:color="auto" w:fill="auto"/>
            <w:noWrap/>
          </w:tcPr>
          <w:p w14:paraId="66B7CB8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564</w:t>
            </w:r>
          </w:p>
        </w:tc>
        <w:tc>
          <w:tcPr>
            <w:tcW w:w="2835" w:type="dxa"/>
            <w:tcBorders>
              <w:top w:val="nil"/>
              <w:left w:val="nil"/>
              <w:bottom w:val="single" w:sz="4" w:space="0" w:color="auto"/>
              <w:right w:val="single" w:sz="4" w:space="0" w:color="auto"/>
            </w:tcBorders>
            <w:shd w:val="clear" w:color="auto" w:fill="auto"/>
            <w:noWrap/>
          </w:tcPr>
          <w:p w14:paraId="3408BAF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496 815</w:t>
            </w:r>
          </w:p>
        </w:tc>
      </w:tr>
      <w:tr w:rsidR="00E16C06" w:rsidRPr="00E16C06" w14:paraId="5DBF18C5"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6F496A1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Бутурлиновский</w:t>
            </w:r>
          </w:p>
        </w:tc>
        <w:tc>
          <w:tcPr>
            <w:tcW w:w="3260" w:type="dxa"/>
            <w:tcBorders>
              <w:top w:val="nil"/>
              <w:left w:val="nil"/>
              <w:bottom w:val="single" w:sz="4" w:space="0" w:color="auto"/>
              <w:right w:val="single" w:sz="4" w:space="0" w:color="auto"/>
            </w:tcBorders>
            <w:shd w:val="clear" w:color="auto" w:fill="auto"/>
            <w:noWrap/>
          </w:tcPr>
          <w:p w14:paraId="6E79205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402</w:t>
            </w:r>
          </w:p>
        </w:tc>
        <w:tc>
          <w:tcPr>
            <w:tcW w:w="2835" w:type="dxa"/>
            <w:tcBorders>
              <w:top w:val="nil"/>
              <w:left w:val="nil"/>
              <w:bottom w:val="single" w:sz="4" w:space="0" w:color="auto"/>
              <w:right w:val="single" w:sz="4" w:space="0" w:color="auto"/>
            </w:tcBorders>
            <w:shd w:val="clear" w:color="auto" w:fill="auto"/>
            <w:noWrap/>
          </w:tcPr>
          <w:p w14:paraId="37DABE3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416 176</w:t>
            </w:r>
          </w:p>
        </w:tc>
      </w:tr>
      <w:tr w:rsidR="00E16C06" w:rsidRPr="00E16C06" w14:paraId="14791B91"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0726158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Верхнемамонский</w:t>
            </w:r>
          </w:p>
        </w:tc>
        <w:tc>
          <w:tcPr>
            <w:tcW w:w="3260" w:type="dxa"/>
            <w:tcBorders>
              <w:top w:val="nil"/>
              <w:left w:val="nil"/>
              <w:bottom w:val="single" w:sz="4" w:space="0" w:color="auto"/>
              <w:right w:val="single" w:sz="4" w:space="0" w:color="auto"/>
            </w:tcBorders>
            <w:shd w:val="clear" w:color="auto" w:fill="auto"/>
            <w:noWrap/>
          </w:tcPr>
          <w:p w14:paraId="5B14E5A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227</w:t>
            </w:r>
          </w:p>
        </w:tc>
        <w:tc>
          <w:tcPr>
            <w:tcW w:w="2835" w:type="dxa"/>
            <w:tcBorders>
              <w:top w:val="nil"/>
              <w:left w:val="nil"/>
              <w:bottom w:val="single" w:sz="4" w:space="0" w:color="auto"/>
              <w:right w:val="single" w:sz="4" w:space="0" w:color="auto"/>
            </w:tcBorders>
            <w:shd w:val="clear" w:color="auto" w:fill="auto"/>
            <w:noWrap/>
          </w:tcPr>
          <w:p w14:paraId="4BBC5E4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249 336</w:t>
            </w:r>
          </w:p>
        </w:tc>
      </w:tr>
      <w:tr w:rsidR="00E16C06" w:rsidRPr="00E16C06" w14:paraId="38C14DDC"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05233A6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Верхнехавский</w:t>
            </w:r>
          </w:p>
        </w:tc>
        <w:tc>
          <w:tcPr>
            <w:tcW w:w="3260" w:type="dxa"/>
            <w:tcBorders>
              <w:top w:val="nil"/>
              <w:left w:val="nil"/>
              <w:bottom w:val="single" w:sz="4" w:space="0" w:color="auto"/>
              <w:right w:val="single" w:sz="4" w:space="0" w:color="auto"/>
            </w:tcBorders>
            <w:shd w:val="clear" w:color="auto" w:fill="auto"/>
            <w:noWrap/>
          </w:tcPr>
          <w:p w14:paraId="338377A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197</w:t>
            </w:r>
          </w:p>
        </w:tc>
        <w:tc>
          <w:tcPr>
            <w:tcW w:w="2835" w:type="dxa"/>
            <w:tcBorders>
              <w:top w:val="nil"/>
              <w:left w:val="nil"/>
              <w:bottom w:val="single" w:sz="4" w:space="0" w:color="auto"/>
              <w:right w:val="single" w:sz="4" w:space="0" w:color="auto"/>
            </w:tcBorders>
            <w:shd w:val="clear" w:color="auto" w:fill="auto"/>
            <w:noWrap/>
          </w:tcPr>
          <w:p w14:paraId="55910D8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128 467</w:t>
            </w:r>
          </w:p>
        </w:tc>
      </w:tr>
      <w:tr w:rsidR="00E16C06" w:rsidRPr="00E16C06" w14:paraId="1EF21C53"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6AD4CBE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Воробьевский</w:t>
            </w:r>
          </w:p>
        </w:tc>
        <w:tc>
          <w:tcPr>
            <w:tcW w:w="3260" w:type="dxa"/>
            <w:tcBorders>
              <w:top w:val="nil"/>
              <w:left w:val="nil"/>
              <w:bottom w:val="single" w:sz="4" w:space="0" w:color="auto"/>
              <w:right w:val="single" w:sz="4" w:space="0" w:color="auto"/>
            </w:tcBorders>
            <w:shd w:val="clear" w:color="auto" w:fill="auto"/>
            <w:noWrap/>
          </w:tcPr>
          <w:p w14:paraId="009E8A9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275</w:t>
            </w:r>
          </w:p>
        </w:tc>
        <w:tc>
          <w:tcPr>
            <w:tcW w:w="2835" w:type="dxa"/>
            <w:tcBorders>
              <w:top w:val="nil"/>
              <w:left w:val="nil"/>
              <w:bottom w:val="single" w:sz="4" w:space="0" w:color="auto"/>
              <w:right w:val="single" w:sz="4" w:space="0" w:color="auto"/>
            </w:tcBorders>
            <w:shd w:val="clear" w:color="auto" w:fill="auto"/>
            <w:noWrap/>
          </w:tcPr>
          <w:p w14:paraId="5D36EB6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220 329</w:t>
            </w:r>
          </w:p>
        </w:tc>
      </w:tr>
      <w:tr w:rsidR="00E16C06" w:rsidRPr="00E16C06" w14:paraId="0B64502F"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493560C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ГО г. Воронеж</w:t>
            </w:r>
          </w:p>
        </w:tc>
        <w:tc>
          <w:tcPr>
            <w:tcW w:w="3260" w:type="dxa"/>
            <w:tcBorders>
              <w:top w:val="nil"/>
              <w:left w:val="nil"/>
              <w:bottom w:val="single" w:sz="4" w:space="0" w:color="auto"/>
              <w:right w:val="single" w:sz="4" w:space="0" w:color="auto"/>
            </w:tcBorders>
            <w:shd w:val="clear" w:color="auto" w:fill="auto"/>
            <w:noWrap/>
          </w:tcPr>
          <w:p w14:paraId="1FCEE78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3244</w:t>
            </w:r>
          </w:p>
        </w:tc>
        <w:tc>
          <w:tcPr>
            <w:tcW w:w="2835" w:type="dxa"/>
            <w:tcBorders>
              <w:top w:val="nil"/>
              <w:left w:val="nil"/>
              <w:bottom w:val="single" w:sz="4" w:space="0" w:color="auto"/>
              <w:right w:val="single" w:sz="4" w:space="0" w:color="auto"/>
            </w:tcBorders>
            <w:shd w:val="clear" w:color="auto" w:fill="auto"/>
            <w:noWrap/>
          </w:tcPr>
          <w:p w14:paraId="5F95A83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4 173 311</w:t>
            </w:r>
          </w:p>
        </w:tc>
      </w:tr>
      <w:tr w:rsidR="00E16C06" w:rsidRPr="00E16C06" w14:paraId="0D681402"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2264BFA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ГО Нововоронеж</w:t>
            </w:r>
          </w:p>
        </w:tc>
        <w:tc>
          <w:tcPr>
            <w:tcW w:w="3260" w:type="dxa"/>
            <w:tcBorders>
              <w:top w:val="nil"/>
              <w:left w:val="nil"/>
              <w:bottom w:val="single" w:sz="4" w:space="0" w:color="auto"/>
              <w:right w:val="single" w:sz="4" w:space="0" w:color="auto"/>
            </w:tcBorders>
            <w:shd w:val="clear" w:color="auto" w:fill="auto"/>
            <w:noWrap/>
          </w:tcPr>
          <w:p w14:paraId="0E18C2A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282</w:t>
            </w:r>
          </w:p>
        </w:tc>
        <w:tc>
          <w:tcPr>
            <w:tcW w:w="2835" w:type="dxa"/>
            <w:tcBorders>
              <w:top w:val="nil"/>
              <w:left w:val="nil"/>
              <w:bottom w:val="single" w:sz="4" w:space="0" w:color="auto"/>
              <w:right w:val="single" w:sz="4" w:space="0" w:color="auto"/>
            </w:tcBorders>
            <w:shd w:val="clear" w:color="auto" w:fill="auto"/>
            <w:noWrap/>
          </w:tcPr>
          <w:p w14:paraId="66EF825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186 041</w:t>
            </w:r>
          </w:p>
        </w:tc>
      </w:tr>
      <w:tr w:rsidR="00E16C06" w:rsidRPr="00E16C06" w14:paraId="4A461625"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6CD4406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Грибановский</w:t>
            </w:r>
          </w:p>
        </w:tc>
        <w:tc>
          <w:tcPr>
            <w:tcW w:w="3260" w:type="dxa"/>
            <w:tcBorders>
              <w:top w:val="nil"/>
              <w:left w:val="nil"/>
              <w:bottom w:val="single" w:sz="4" w:space="0" w:color="auto"/>
              <w:right w:val="single" w:sz="4" w:space="0" w:color="auto"/>
            </w:tcBorders>
            <w:shd w:val="clear" w:color="auto" w:fill="auto"/>
            <w:noWrap/>
          </w:tcPr>
          <w:p w14:paraId="25B6B72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318</w:t>
            </w:r>
          </w:p>
        </w:tc>
        <w:tc>
          <w:tcPr>
            <w:tcW w:w="2835" w:type="dxa"/>
            <w:tcBorders>
              <w:top w:val="nil"/>
              <w:left w:val="nil"/>
              <w:bottom w:val="single" w:sz="4" w:space="0" w:color="auto"/>
              <w:right w:val="single" w:sz="4" w:space="0" w:color="auto"/>
            </w:tcBorders>
            <w:shd w:val="clear" w:color="auto" w:fill="auto"/>
            <w:noWrap/>
          </w:tcPr>
          <w:p w14:paraId="6D9D655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251 217</w:t>
            </w:r>
          </w:p>
        </w:tc>
      </w:tr>
      <w:tr w:rsidR="00E16C06" w:rsidRPr="00E16C06" w14:paraId="114B01A6"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7DCC6B5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Калачеевский</w:t>
            </w:r>
          </w:p>
        </w:tc>
        <w:tc>
          <w:tcPr>
            <w:tcW w:w="3260" w:type="dxa"/>
            <w:tcBorders>
              <w:top w:val="nil"/>
              <w:left w:val="nil"/>
              <w:bottom w:val="single" w:sz="4" w:space="0" w:color="auto"/>
              <w:right w:val="single" w:sz="4" w:space="0" w:color="auto"/>
            </w:tcBorders>
            <w:shd w:val="clear" w:color="auto" w:fill="auto"/>
            <w:noWrap/>
          </w:tcPr>
          <w:p w14:paraId="264004D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591</w:t>
            </w:r>
          </w:p>
        </w:tc>
        <w:tc>
          <w:tcPr>
            <w:tcW w:w="2835" w:type="dxa"/>
            <w:tcBorders>
              <w:top w:val="nil"/>
              <w:left w:val="nil"/>
              <w:bottom w:val="single" w:sz="4" w:space="0" w:color="auto"/>
              <w:right w:val="single" w:sz="4" w:space="0" w:color="auto"/>
            </w:tcBorders>
            <w:shd w:val="clear" w:color="auto" w:fill="auto"/>
            <w:noWrap/>
          </w:tcPr>
          <w:p w14:paraId="010754C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542 203</w:t>
            </w:r>
          </w:p>
        </w:tc>
      </w:tr>
      <w:tr w:rsidR="00E16C06" w:rsidRPr="00E16C06" w14:paraId="44F98213"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058B041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Каменский</w:t>
            </w:r>
          </w:p>
        </w:tc>
        <w:tc>
          <w:tcPr>
            <w:tcW w:w="3260" w:type="dxa"/>
            <w:tcBorders>
              <w:top w:val="nil"/>
              <w:left w:val="nil"/>
              <w:bottom w:val="single" w:sz="4" w:space="0" w:color="auto"/>
              <w:right w:val="single" w:sz="4" w:space="0" w:color="auto"/>
            </w:tcBorders>
            <w:shd w:val="clear" w:color="auto" w:fill="auto"/>
            <w:noWrap/>
          </w:tcPr>
          <w:p w14:paraId="4129A47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173</w:t>
            </w:r>
          </w:p>
        </w:tc>
        <w:tc>
          <w:tcPr>
            <w:tcW w:w="2835" w:type="dxa"/>
            <w:tcBorders>
              <w:top w:val="nil"/>
              <w:left w:val="nil"/>
              <w:bottom w:val="single" w:sz="4" w:space="0" w:color="auto"/>
              <w:right w:val="single" w:sz="4" w:space="0" w:color="auto"/>
            </w:tcBorders>
            <w:shd w:val="clear" w:color="auto" w:fill="auto"/>
            <w:noWrap/>
          </w:tcPr>
          <w:p w14:paraId="759735D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66 621</w:t>
            </w:r>
          </w:p>
        </w:tc>
      </w:tr>
      <w:tr w:rsidR="00E16C06" w:rsidRPr="00E16C06" w14:paraId="10B18F5F"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32FFEE3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Кантемировский</w:t>
            </w:r>
          </w:p>
        </w:tc>
        <w:tc>
          <w:tcPr>
            <w:tcW w:w="3260" w:type="dxa"/>
            <w:tcBorders>
              <w:top w:val="nil"/>
              <w:left w:val="nil"/>
              <w:bottom w:val="single" w:sz="4" w:space="0" w:color="auto"/>
              <w:right w:val="single" w:sz="4" w:space="0" w:color="auto"/>
            </w:tcBorders>
            <w:shd w:val="clear" w:color="auto" w:fill="auto"/>
            <w:noWrap/>
          </w:tcPr>
          <w:p w14:paraId="1F63841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356</w:t>
            </w:r>
          </w:p>
        </w:tc>
        <w:tc>
          <w:tcPr>
            <w:tcW w:w="2835" w:type="dxa"/>
            <w:tcBorders>
              <w:top w:val="nil"/>
              <w:left w:val="nil"/>
              <w:bottom w:val="single" w:sz="4" w:space="0" w:color="auto"/>
              <w:right w:val="single" w:sz="4" w:space="0" w:color="auto"/>
            </w:tcBorders>
            <w:shd w:val="clear" w:color="auto" w:fill="auto"/>
            <w:noWrap/>
          </w:tcPr>
          <w:p w14:paraId="47CFF9D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463 592</w:t>
            </w:r>
          </w:p>
        </w:tc>
      </w:tr>
      <w:tr w:rsidR="00E16C06" w:rsidRPr="00E16C06" w14:paraId="2D36BD75"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06D5DB3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Каширский</w:t>
            </w:r>
          </w:p>
        </w:tc>
        <w:tc>
          <w:tcPr>
            <w:tcW w:w="3260" w:type="dxa"/>
            <w:tcBorders>
              <w:top w:val="nil"/>
              <w:left w:val="nil"/>
              <w:bottom w:val="single" w:sz="4" w:space="0" w:color="auto"/>
              <w:right w:val="single" w:sz="4" w:space="0" w:color="auto"/>
            </w:tcBorders>
            <w:shd w:val="clear" w:color="auto" w:fill="auto"/>
            <w:noWrap/>
          </w:tcPr>
          <w:p w14:paraId="5546E30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192</w:t>
            </w:r>
          </w:p>
        </w:tc>
        <w:tc>
          <w:tcPr>
            <w:tcW w:w="2835" w:type="dxa"/>
            <w:tcBorders>
              <w:top w:val="nil"/>
              <w:left w:val="nil"/>
              <w:bottom w:val="single" w:sz="4" w:space="0" w:color="auto"/>
              <w:right w:val="single" w:sz="4" w:space="0" w:color="auto"/>
            </w:tcBorders>
            <w:shd w:val="clear" w:color="auto" w:fill="auto"/>
            <w:noWrap/>
          </w:tcPr>
          <w:p w14:paraId="1B8089E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229 633</w:t>
            </w:r>
          </w:p>
        </w:tc>
      </w:tr>
      <w:tr w:rsidR="00E16C06" w:rsidRPr="00E16C06" w14:paraId="6FA99F28"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280EEBE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Лискинский</w:t>
            </w:r>
          </w:p>
        </w:tc>
        <w:tc>
          <w:tcPr>
            <w:tcW w:w="3260" w:type="dxa"/>
            <w:tcBorders>
              <w:top w:val="nil"/>
              <w:left w:val="nil"/>
              <w:bottom w:val="single" w:sz="4" w:space="0" w:color="auto"/>
              <w:right w:val="single" w:sz="4" w:space="0" w:color="auto"/>
            </w:tcBorders>
            <w:shd w:val="clear" w:color="auto" w:fill="auto"/>
            <w:noWrap/>
          </w:tcPr>
          <w:p w14:paraId="5F7BB6F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800</w:t>
            </w:r>
          </w:p>
        </w:tc>
        <w:tc>
          <w:tcPr>
            <w:tcW w:w="2835" w:type="dxa"/>
            <w:tcBorders>
              <w:top w:val="nil"/>
              <w:left w:val="nil"/>
              <w:bottom w:val="single" w:sz="4" w:space="0" w:color="auto"/>
              <w:right w:val="single" w:sz="4" w:space="0" w:color="auto"/>
            </w:tcBorders>
            <w:shd w:val="clear" w:color="auto" w:fill="auto"/>
            <w:noWrap/>
          </w:tcPr>
          <w:p w14:paraId="2826B2E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584 796</w:t>
            </w:r>
          </w:p>
        </w:tc>
      </w:tr>
      <w:tr w:rsidR="00E16C06" w:rsidRPr="00E16C06" w14:paraId="543AF9D0"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594BA29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Нижнедевицкий</w:t>
            </w:r>
          </w:p>
        </w:tc>
        <w:tc>
          <w:tcPr>
            <w:tcW w:w="3260" w:type="dxa"/>
            <w:tcBorders>
              <w:top w:val="nil"/>
              <w:left w:val="nil"/>
              <w:bottom w:val="single" w:sz="4" w:space="0" w:color="auto"/>
              <w:right w:val="single" w:sz="4" w:space="0" w:color="auto"/>
            </w:tcBorders>
            <w:shd w:val="clear" w:color="auto" w:fill="auto"/>
            <w:noWrap/>
          </w:tcPr>
          <w:p w14:paraId="45A850D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175</w:t>
            </w:r>
          </w:p>
        </w:tc>
        <w:tc>
          <w:tcPr>
            <w:tcW w:w="2835" w:type="dxa"/>
            <w:tcBorders>
              <w:top w:val="nil"/>
              <w:left w:val="nil"/>
              <w:bottom w:val="single" w:sz="4" w:space="0" w:color="auto"/>
              <w:right w:val="single" w:sz="4" w:space="0" w:color="auto"/>
            </w:tcBorders>
            <w:shd w:val="clear" w:color="auto" w:fill="auto"/>
            <w:noWrap/>
          </w:tcPr>
          <w:p w14:paraId="653242D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224 396</w:t>
            </w:r>
          </w:p>
        </w:tc>
      </w:tr>
      <w:tr w:rsidR="00E16C06" w:rsidRPr="00E16C06" w14:paraId="098EB5EC"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758E73E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Новоусманский</w:t>
            </w:r>
          </w:p>
        </w:tc>
        <w:tc>
          <w:tcPr>
            <w:tcW w:w="3260" w:type="dxa"/>
            <w:tcBorders>
              <w:top w:val="nil"/>
              <w:left w:val="nil"/>
              <w:bottom w:val="single" w:sz="4" w:space="0" w:color="auto"/>
              <w:right w:val="single" w:sz="4" w:space="0" w:color="auto"/>
            </w:tcBorders>
            <w:shd w:val="clear" w:color="auto" w:fill="auto"/>
            <w:noWrap/>
          </w:tcPr>
          <w:p w14:paraId="75007E5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644</w:t>
            </w:r>
          </w:p>
        </w:tc>
        <w:tc>
          <w:tcPr>
            <w:tcW w:w="2835" w:type="dxa"/>
            <w:tcBorders>
              <w:top w:val="nil"/>
              <w:left w:val="nil"/>
              <w:bottom w:val="single" w:sz="4" w:space="0" w:color="auto"/>
              <w:right w:val="single" w:sz="4" w:space="0" w:color="auto"/>
            </w:tcBorders>
            <w:shd w:val="clear" w:color="auto" w:fill="auto"/>
            <w:noWrap/>
          </w:tcPr>
          <w:p w14:paraId="2EFBB65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1 626 879</w:t>
            </w:r>
          </w:p>
        </w:tc>
      </w:tr>
      <w:tr w:rsidR="00E16C06" w:rsidRPr="00E16C06" w14:paraId="759956D1"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42E5C67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Новохоперский</w:t>
            </w:r>
          </w:p>
        </w:tc>
        <w:tc>
          <w:tcPr>
            <w:tcW w:w="3260" w:type="dxa"/>
            <w:tcBorders>
              <w:top w:val="nil"/>
              <w:left w:val="nil"/>
              <w:bottom w:val="single" w:sz="4" w:space="0" w:color="auto"/>
              <w:right w:val="single" w:sz="4" w:space="0" w:color="auto"/>
            </w:tcBorders>
            <w:shd w:val="clear" w:color="auto" w:fill="auto"/>
            <w:noWrap/>
          </w:tcPr>
          <w:p w14:paraId="03FAE79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511</w:t>
            </w:r>
          </w:p>
        </w:tc>
        <w:tc>
          <w:tcPr>
            <w:tcW w:w="2835" w:type="dxa"/>
            <w:tcBorders>
              <w:top w:val="nil"/>
              <w:left w:val="nil"/>
              <w:bottom w:val="single" w:sz="4" w:space="0" w:color="auto"/>
              <w:right w:val="single" w:sz="4" w:space="0" w:color="auto"/>
            </w:tcBorders>
            <w:shd w:val="clear" w:color="auto" w:fill="auto"/>
            <w:noWrap/>
          </w:tcPr>
          <w:p w14:paraId="4B93867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389 912</w:t>
            </w:r>
          </w:p>
        </w:tc>
      </w:tr>
      <w:tr w:rsidR="00E16C06" w:rsidRPr="00E16C06" w14:paraId="5798DCB0"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16A491D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Ольховатский</w:t>
            </w:r>
          </w:p>
        </w:tc>
        <w:tc>
          <w:tcPr>
            <w:tcW w:w="3260" w:type="dxa"/>
            <w:tcBorders>
              <w:top w:val="nil"/>
              <w:left w:val="nil"/>
              <w:bottom w:val="single" w:sz="4" w:space="0" w:color="auto"/>
              <w:right w:val="single" w:sz="4" w:space="0" w:color="auto"/>
            </w:tcBorders>
            <w:shd w:val="clear" w:color="auto" w:fill="auto"/>
            <w:noWrap/>
          </w:tcPr>
          <w:p w14:paraId="427C30D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245</w:t>
            </w:r>
          </w:p>
        </w:tc>
        <w:tc>
          <w:tcPr>
            <w:tcW w:w="2835" w:type="dxa"/>
            <w:tcBorders>
              <w:top w:val="nil"/>
              <w:left w:val="nil"/>
              <w:bottom w:val="single" w:sz="4" w:space="0" w:color="auto"/>
              <w:right w:val="single" w:sz="4" w:space="0" w:color="auto"/>
            </w:tcBorders>
            <w:shd w:val="clear" w:color="auto" w:fill="auto"/>
            <w:noWrap/>
          </w:tcPr>
          <w:p w14:paraId="316A570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112 572</w:t>
            </w:r>
          </w:p>
        </w:tc>
      </w:tr>
      <w:tr w:rsidR="00E16C06" w:rsidRPr="00E16C06" w14:paraId="0BFC38A8"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1E573A8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Острогожский</w:t>
            </w:r>
          </w:p>
        </w:tc>
        <w:tc>
          <w:tcPr>
            <w:tcW w:w="3260" w:type="dxa"/>
            <w:tcBorders>
              <w:top w:val="nil"/>
              <w:left w:val="nil"/>
              <w:bottom w:val="single" w:sz="4" w:space="0" w:color="auto"/>
              <w:right w:val="single" w:sz="4" w:space="0" w:color="auto"/>
            </w:tcBorders>
            <w:shd w:val="clear" w:color="auto" w:fill="auto"/>
            <w:noWrap/>
          </w:tcPr>
          <w:p w14:paraId="136D512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490</w:t>
            </w:r>
          </w:p>
        </w:tc>
        <w:tc>
          <w:tcPr>
            <w:tcW w:w="2835" w:type="dxa"/>
            <w:tcBorders>
              <w:top w:val="nil"/>
              <w:left w:val="nil"/>
              <w:bottom w:val="single" w:sz="4" w:space="0" w:color="auto"/>
              <w:right w:val="single" w:sz="4" w:space="0" w:color="auto"/>
            </w:tcBorders>
            <w:shd w:val="clear" w:color="auto" w:fill="auto"/>
            <w:noWrap/>
          </w:tcPr>
          <w:p w14:paraId="63CEB4D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281 453</w:t>
            </w:r>
          </w:p>
        </w:tc>
      </w:tr>
      <w:tr w:rsidR="00E16C06" w:rsidRPr="00E16C06" w14:paraId="3634CB95"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6616405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Павловский</w:t>
            </w:r>
          </w:p>
        </w:tc>
        <w:tc>
          <w:tcPr>
            <w:tcW w:w="3260" w:type="dxa"/>
            <w:tcBorders>
              <w:top w:val="nil"/>
              <w:left w:val="nil"/>
              <w:bottom w:val="single" w:sz="4" w:space="0" w:color="auto"/>
              <w:right w:val="single" w:sz="4" w:space="0" w:color="auto"/>
            </w:tcBorders>
            <w:shd w:val="clear" w:color="auto" w:fill="auto"/>
            <w:noWrap/>
          </w:tcPr>
          <w:p w14:paraId="7EB0775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574</w:t>
            </w:r>
          </w:p>
        </w:tc>
        <w:tc>
          <w:tcPr>
            <w:tcW w:w="2835" w:type="dxa"/>
            <w:tcBorders>
              <w:top w:val="nil"/>
              <w:left w:val="nil"/>
              <w:bottom w:val="single" w:sz="4" w:space="0" w:color="auto"/>
              <w:right w:val="single" w:sz="4" w:space="0" w:color="auto"/>
            </w:tcBorders>
            <w:shd w:val="clear" w:color="auto" w:fill="auto"/>
            <w:noWrap/>
          </w:tcPr>
          <w:p w14:paraId="52DE537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554 679</w:t>
            </w:r>
          </w:p>
        </w:tc>
      </w:tr>
      <w:tr w:rsidR="00E16C06" w:rsidRPr="00E16C06" w14:paraId="7EE289BB"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2272D45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Панинский</w:t>
            </w:r>
          </w:p>
        </w:tc>
        <w:tc>
          <w:tcPr>
            <w:tcW w:w="3260" w:type="dxa"/>
            <w:tcBorders>
              <w:top w:val="nil"/>
              <w:left w:val="nil"/>
              <w:bottom w:val="single" w:sz="4" w:space="0" w:color="auto"/>
              <w:right w:val="single" w:sz="4" w:space="0" w:color="auto"/>
            </w:tcBorders>
            <w:shd w:val="clear" w:color="auto" w:fill="auto"/>
            <w:noWrap/>
          </w:tcPr>
          <w:p w14:paraId="2A48025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225</w:t>
            </w:r>
          </w:p>
        </w:tc>
        <w:tc>
          <w:tcPr>
            <w:tcW w:w="2835" w:type="dxa"/>
            <w:tcBorders>
              <w:top w:val="nil"/>
              <w:left w:val="nil"/>
              <w:bottom w:val="single" w:sz="4" w:space="0" w:color="auto"/>
              <w:right w:val="single" w:sz="4" w:space="0" w:color="auto"/>
            </w:tcBorders>
            <w:shd w:val="clear" w:color="auto" w:fill="auto"/>
            <w:noWrap/>
          </w:tcPr>
          <w:p w14:paraId="278D9D9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167 146</w:t>
            </w:r>
          </w:p>
        </w:tc>
      </w:tr>
      <w:tr w:rsidR="00E16C06" w:rsidRPr="00E16C06" w14:paraId="3DE5BDD5"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53CAC4C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Петропавловский</w:t>
            </w:r>
          </w:p>
        </w:tc>
        <w:tc>
          <w:tcPr>
            <w:tcW w:w="3260" w:type="dxa"/>
            <w:tcBorders>
              <w:top w:val="nil"/>
              <w:left w:val="nil"/>
              <w:bottom w:val="single" w:sz="4" w:space="0" w:color="auto"/>
              <w:right w:val="single" w:sz="4" w:space="0" w:color="auto"/>
            </w:tcBorders>
            <w:shd w:val="clear" w:color="auto" w:fill="auto"/>
            <w:noWrap/>
          </w:tcPr>
          <w:p w14:paraId="24EB7A8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195</w:t>
            </w:r>
          </w:p>
        </w:tc>
        <w:tc>
          <w:tcPr>
            <w:tcW w:w="2835" w:type="dxa"/>
            <w:tcBorders>
              <w:top w:val="nil"/>
              <w:left w:val="nil"/>
              <w:bottom w:val="single" w:sz="4" w:space="0" w:color="auto"/>
              <w:right w:val="single" w:sz="4" w:space="0" w:color="auto"/>
            </w:tcBorders>
            <w:shd w:val="clear" w:color="auto" w:fill="auto"/>
            <w:noWrap/>
          </w:tcPr>
          <w:p w14:paraId="78C8796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126 539</w:t>
            </w:r>
          </w:p>
        </w:tc>
      </w:tr>
      <w:tr w:rsidR="00E16C06" w:rsidRPr="00E16C06" w14:paraId="08040A54"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31B0596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Поворинский</w:t>
            </w:r>
          </w:p>
        </w:tc>
        <w:tc>
          <w:tcPr>
            <w:tcW w:w="3260" w:type="dxa"/>
            <w:tcBorders>
              <w:top w:val="nil"/>
              <w:left w:val="nil"/>
              <w:bottom w:val="single" w:sz="4" w:space="0" w:color="auto"/>
              <w:right w:val="single" w:sz="4" w:space="0" w:color="auto"/>
            </w:tcBorders>
            <w:shd w:val="clear" w:color="auto" w:fill="auto"/>
            <w:noWrap/>
          </w:tcPr>
          <w:p w14:paraId="55620FF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299</w:t>
            </w:r>
          </w:p>
        </w:tc>
        <w:tc>
          <w:tcPr>
            <w:tcW w:w="2835" w:type="dxa"/>
            <w:tcBorders>
              <w:top w:val="nil"/>
              <w:left w:val="nil"/>
              <w:bottom w:val="single" w:sz="4" w:space="0" w:color="auto"/>
              <w:right w:val="single" w:sz="4" w:space="0" w:color="auto"/>
            </w:tcBorders>
            <w:shd w:val="clear" w:color="auto" w:fill="auto"/>
            <w:noWrap/>
          </w:tcPr>
          <w:p w14:paraId="2E0B713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152 080</w:t>
            </w:r>
          </w:p>
        </w:tc>
      </w:tr>
      <w:tr w:rsidR="00E16C06" w:rsidRPr="00E16C06" w14:paraId="7066B773"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1E0CF1D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Подгоренский</w:t>
            </w:r>
          </w:p>
        </w:tc>
        <w:tc>
          <w:tcPr>
            <w:tcW w:w="3260" w:type="dxa"/>
            <w:tcBorders>
              <w:top w:val="nil"/>
              <w:left w:val="nil"/>
              <w:bottom w:val="single" w:sz="4" w:space="0" w:color="auto"/>
              <w:right w:val="single" w:sz="4" w:space="0" w:color="auto"/>
            </w:tcBorders>
            <w:shd w:val="clear" w:color="auto" w:fill="auto"/>
            <w:noWrap/>
          </w:tcPr>
          <w:p w14:paraId="71A676D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242</w:t>
            </w:r>
          </w:p>
        </w:tc>
        <w:tc>
          <w:tcPr>
            <w:tcW w:w="2835" w:type="dxa"/>
            <w:tcBorders>
              <w:top w:val="nil"/>
              <w:left w:val="nil"/>
              <w:bottom w:val="single" w:sz="4" w:space="0" w:color="auto"/>
              <w:right w:val="single" w:sz="4" w:space="0" w:color="auto"/>
            </w:tcBorders>
            <w:shd w:val="clear" w:color="auto" w:fill="auto"/>
            <w:noWrap/>
          </w:tcPr>
          <w:p w14:paraId="1A2AA0C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201 826</w:t>
            </w:r>
          </w:p>
        </w:tc>
      </w:tr>
      <w:tr w:rsidR="00E16C06" w:rsidRPr="00E16C06" w14:paraId="3CC74665"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2F98A9B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Рамонский</w:t>
            </w:r>
          </w:p>
        </w:tc>
        <w:tc>
          <w:tcPr>
            <w:tcW w:w="3260" w:type="dxa"/>
            <w:tcBorders>
              <w:top w:val="nil"/>
              <w:left w:val="nil"/>
              <w:bottom w:val="single" w:sz="4" w:space="0" w:color="auto"/>
              <w:right w:val="single" w:sz="4" w:space="0" w:color="auto"/>
            </w:tcBorders>
            <w:shd w:val="clear" w:color="auto" w:fill="auto"/>
            <w:noWrap/>
          </w:tcPr>
          <w:p w14:paraId="0EB3C3E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419</w:t>
            </w:r>
          </w:p>
        </w:tc>
        <w:tc>
          <w:tcPr>
            <w:tcW w:w="2835" w:type="dxa"/>
            <w:tcBorders>
              <w:top w:val="nil"/>
              <w:left w:val="nil"/>
              <w:bottom w:val="single" w:sz="4" w:space="0" w:color="auto"/>
              <w:right w:val="single" w:sz="4" w:space="0" w:color="auto"/>
            </w:tcBorders>
            <w:shd w:val="clear" w:color="auto" w:fill="auto"/>
            <w:noWrap/>
          </w:tcPr>
          <w:p w14:paraId="216F100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1 483 689</w:t>
            </w:r>
          </w:p>
        </w:tc>
      </w:tr>
      <w:tr w:rsidR="00E16C06" w:rsidRPr="00E16C06" w14:paraId="22C195EB"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43E466B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Репьевский</w:t>
            </w:r>
          </w:p>
        </w:tc>
        <w:tc>
          <w:tcPr>
            <w:tcW w:w="3260" w:type="dxa"/>
            <w:tcBorders>
              <w:top w:val="nil"/>
              <w:left w:val="nil"/>
              <w:bottom w:val="single" w:sz="4" w:space="0" w:color="auto"/>
              <w:right w:val="single" w:sz="4" w:space="0" w:color="auto"/>
            </w:tcBorders>
            <w:shd w:val="clear" w:color="auto" w:fill="auto"/>
            <w:noWrap/>
          </w:tcPr>
          <w:p w14:paraId="2C451BA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149</w:t>
            </w:r>
          </w:p>
        </w:tc>
        <w:tc>
          <w:tcPr>
            <w:tcW w:w="2835" w:type="dxa"/>
            <w:tcBorders>
              <w:top w:val="nil"/>
              <w:left w:val="nil"/>
              <w:bottom w:val="single" w:sz="4" w:space="0" w:color="auto"/>
              <w:right w:val="single" w:sz="4" w:space="0" w:color="auto"/>
            </w:tcBorders>
            <w:shd w:val="clear" w:color="auto" w:fill="auto"/>
            <w:noWrap/>
          </w:tcPr>
          <w:p w14:paraId="7243813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83 995</w:t>
            </w:r>
          </w:p>
        </w:tc>
      </w:tr>
      <w:tr w:rsidR="00E16C06" w:rsidRPr="00E16C06" w14:paraId="03B9BFC4"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77A117F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Россошанский</w:t>
            </w:r>
          </w:p>
        </w:tc>
        <w:tc>
          <w:tcPr>
            <w:tcW w:w="3260" w:type="dxa"/>
            <w:tcBorders>
              <w:top w:val="nil"/>
              <w:left w:val="nil"/>
              <w:bottom w:val="single" w:sz="4" w:space="0" w:color="auto"/>
              <w:right w:val="single" w:sz="4" w:space="0" w:color="auto"/>
            </w:tcBorders>
            <w:shd w:val="clear" w:color="auto" w:fill="auto"/>
            <w:noWrap/>
          </w:tcPr>
          <w:p w14:paraId="7A22008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711</w:t>
            </w:r>
          </w:p>
        </w:tc>
        <w:tc>
          <w:tcPr>
            <w:tcW w:w="2835" w:type="dxa"/>
            <w:tcBorders>
              <w:top w:val="nil"/>
              <w:left w:val="nil"/>
              <w:bottom w:val="single" w:sz="4" w:space="0" w:color="auto"/>
              <w:right w:val="single" w:sz="4" w:space="0" w:color="auto"/>
            </w:tcBorders>
            <w:shd w:val="clear" w:color="auto" w:fill="auto"/>
            <w:noWrap/>
          </w:tcPr>
          <w:p w14:paraId="057C118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516 463</w:t>
            </w:r>
          </w:p>
        </w:tc>
      </w:tr>
      <w:tr w:rsidR="00E16C06" w:rsidRPr="00E16C06" w14:paraId="10DA621F"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07FE738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Семилукский</w:t>
            </w:r>
          </w:p>
        </w:tc>
        <w:tc>
          <w:tcPr>
            <w:tcW w:w="3260" w:type="dxa"/>
            <w:tcBorders>
              <w:top w:val="nil"/>
              <w:left w:val="nil"/>
              <w:bottom w:val="single" w:sz="4" w:space="0" w:color="auto"/>
              <w:right w:val="single" w:sz="4" w:space="0" w:color="auto"/>
            </w:tcBorders>
            <w:shd w:val="clear" w:color="auto" w:fill="auto"/>
            <w:noWrap/>
          </w:tcPr>
          <w:p w14:paraId="47A209A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433</w:t>
            </w:r>
          </w:p>
        </w:tc>
        <w:tc>
          <w:tcPr>
            <w:tcW w:w="2835" w:type="dxa"/>
            <w:tcBorders>
              <w:top w:val="nil"/>
              <w:left w:val="nil"/>
              <w:bottom w:val="single" w:sz="4" w:space="0" w:color="auto"/>
              <w:right w:val="single" w:sz="4" w:space="0" w:color="auto"/>
            </w:tcBorders>
            <w:shd w:val="clear" w:color="auto" w:fill="auto"/>
            <w:noWrap/>
          </w:tcPr>
          <w:p w14:paraId="2E5869A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1 689 819</w:t>
            </w:r>
          </w:p>
        </w:tc>
      </w:tr>
      <w:tr w:rsidR="00E16C06" w:rsidRPr="00E16C06" w14:paraId="3C59EFE9"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24F2FE0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Таловский</w:t>
            </w:r>
          </w:p>
        </w:tc>
        <w:tc>
          <w:tcPr>
            <w:tcW w:w="3260" w:type="dxa"/>
            <w:tcBorders>
              <w:top w:val="nil"/>
              <w:left w:val="nil"/>
              <w:bottom w:val="single" w:sz="4" w:space="0" w:color="auto"/>
              <w:right w:val="single" w:sz="4" w:space="0" w:color="auto"/>
            </w:tcBorders>
            <w:shd w:val="clear" w:color="auto" w:fill="auto"/>
            <w:noWrap/>
          </w:tcPr>
          <w:p w14:paraId="19091AC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378</w:t>
            </w:r>
          </w:p>
        </w:tc>
        <w:tc>
          <w:tcPr>
            <w:tcW w:w="2835" w:type="dxa"/>
            <w:tcBorders>
              <w:top w:val="nil"/>
              <w:left w:val="nil"/>
              <w:bottom w:val="single" w:sz="4" w:space="0" w:color="auto"/>
              <w:right w:val="single" w:sz="4" w:space="0" w:color="auto"/>
            </w:tcBorders>
            <w:shd w:val="clear" w:color="auto" w:fill="auto"/>
            <w:noWrap/>
          </w:tcPr>
          <w:p w14:paraId="0D5621C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438 565</w:t>
            </w:r>
          </w:p>
        </w:tc>
      </w:tr>
      <w:tr w:rsidR="00E16C06" w:rsidRPr="00E16C06" w14:paraId="4485694C"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61558EB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Терновский</w:t>
            </w:r>
          </w:p>
        </w:tc>
        <w:tc>
          <w:tcPr>
            <w:tcW w:w="3260" w:type="dxa"/>
            <w:tcBorders>
              <w:top w:val="nil"/>
              <w:left w:val="nil"/>
              <w:bottom w:val="single" w:sz="4" w:space="0" w:color="auto"/>
              <w:right w:val="single" w:sz="4" w:space="0" w:color="auto"/>
            </w:tcBorders>
            <w:shd w:val="clear" w:color="auto" w:fill="auto"/>
            <w:noWrap/>
          </w:tcPr>
          <w:p w14:paraId="2A50F0D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180</w:t>
            </w:r>
          </w:p>
        </w:tc>
        <w:tc>
          <w:tcPr>
            <w:tcW w:w="2835" w:type="dxa"/>
            <w:tcBorders>
              <w:top w:val="nil"/>
              <w:left w:val="nil"/>
              <w:bottom w:val="single" w:sz="4" w:space="0" w:color="auto"/>
              <w:right w:val="single" w:sz="4" w:space="0" w:color="auto"/>
            </w:tcBorders>
            <w:shd w:val="clear" w:color="auto" w:fill="auto"/>
            <w:noWrap/>
          </w:tcPr>
          <w:p w14:paraId="7E34A40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163 281</w:t>
            </w:r>
          </w:p>
        </w:tc>
      </w:tr>
      <w:tr w:rsidR="00E16C06" w:rsidRPr="00E16C06" w14:paraId="0ED726C8"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4D2570D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Хохольский</w:t>
            </w:r>
          </w:p>
        </w:tc>
        <w:tc>
          <w:tcPr>
            <w:tcW w:w="3260" w:type="dxa"/>
            <w:tcBorders>
              <w:top w:val="nil"/>
              <w:left w:val="nil"/>
              <w:bottom w:val="single" w:sz="4" w:space="0" w:color="auto"/>
              <w:right w:val="single" w:sz="4" w:space="0" w:color="auto"/>
            </w:tcBorders>
            <w:shd w:val="clear" w:color="auto" w:fill="auto"/>
            <w:noWrap/>
          </w:tcPr>
          <w:p w14:paraId="30668E9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275</w:t>
            </w:r>
          </w:p>
        </w:tc>
        <w:tc>
          <w:tcPr>
            <w:tcW w:w="2835" w:type="dxa"/>
            <w:tcBorders>
              <w:top w:val="nil"/>
              <w:left w:val="nil"/>
              <w:bottom w:val="single" w:sz="4" w:space="0" w:color="auto"/>
              <w:right w:val="single" w:sz="4" w:space="0" w:color="auto"/>
            </w:tcBorders>
            <w:shd w:val="clear" w:color="auto" w:fill="auto"/>
            <w:noWrap/>
          </w:tcPr>
          <w:p w14:paraId="697A2B2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341 570</w:t>
            </w:r>
          </w:p>
        </w:tc>
      </w:tr>
      <w:tr w:rsidR="00E16C06" w:rsidRPr="00E16C06" w14:paraId="27AA2ED2" w14:textId="77777777" w:rsidTr="00E16C06">
        <w:trPr>
          <w:trHeight w:val="300"/>
        </w:trPr>
        <w:tc>
          <w:tcPr>
            <w:tcW w:w="3251" w:type="dxa"/>
            <w:tcBorders>
              <w:top w:val="nil"/>
              <w:left w:val="single" w:sz="4" w:space="0" w:color="auto"/>
              <w:bottom w:val="single" w:sz="4" w:space="0" w:color="auto"/>
              <w:right w:val="single" w:sz="4" w:space="0" w:color="auto"/>
            </w:tcBorders>
            <w:shd w:val="clear" w:color="auto" w:fill="auto"/>
            <w:noWrap/>
            <w:vAlign w:val="bottom"/>
            <w:hideMark/>
          </w:tcPr>
          <w:p w14:paraId="6EF77A6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Эртильский</w:t>
            </w:r>
          </w:p>
        </w:tc>
        <w:tc>
          <w:tcPr>
            <w:tcW w:w="3260" w:type="dxa"/>
            <w:tcBorders>
              <w:top w:val="nil"/>
              <w:left w:val="nil"/>
              <w:bottom w:val="single" w:sz="4" w:space="0" w:color="auto"/>
              <w:right w:val="single" w:sz="4" w:space="0" w:color="auto"/>
            </w:tcBorders>
            <w:shd w:val="clear" w:color="auto" w:fill="auto"/>
            <w:noWrap/>
          </w:tcPr>
          <w:p w14:paraId="2720BB8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291</w:t>
            </w:r>
          </w:p>
        </w:tc>
        <w:tc>
          <w:tcPr>
            <w:tcW w:w="2835" w:type="dxa"/>
            <w:tcBorders>
              <w:top w:val="nil"/>
              <w:left w:val="nil"/>
              <w:bottom w:val="single" w:sz="4" w:space="0" w:color="auto"/>
              <w:right w:val="single" w:sz="4" w:space="0" w:color="auto"/>
            </w:tcBorders>
            <w:shd w:val="clear" w:color="auto" w:fill="auto"/>
            <w:noWrap/>
          </w:tcPr>
          <w:p w14:paraId="2DC6334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247 954</w:t>
            </w:r>
          </w:p>
        </w:tc>
      </w:tr>
      <w:tr w:rsidR="00E16C06" w:rsidRPr="00E16C06" w14:paraId="12F8E9B4" w14:textId="77777777" w:rsidTr="00E16C06">
        <w:trPr>
          <w:trHeight w:val="315"/>
        </w:trPr>
        <w:tc>
          <w:tcPr>
            <w:tcW w:w="3251" w:type="dxa"/>
            <w:noWrap/>
            <w:vAlign w:val="bottom"/>
            <w:hideMark/>
          </w:tcPr>
          <w:p w14:paraId="46D2E3B6"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eastAsia="Times New Roman" w:hAnsi="Times New Roman" w:cs="Times New Roman"/>
                <w:b/>
                <w:spacing w:val="-5"/>
              </w:rPr>
              <w:t>Итог</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2376AA84"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hAnsi="Times New Roman" w:cs="Times New Roman"/>
                <w:b/>
              </w:rPr>
              <w:t>15306</w:t>
            </w:r>
          </w:p>
        </w:tc>
        <w:tc>
          <w:tcPr>
            <w:tcW w:w="2835" w:type="dxa"/>
            <w:tcBorders>
              <w:top w:val="single" w:sz="4" w:space="0" w:color="auto"/>
              <w:left w:val="nil"/>
              <w:bottom w:val="single" w:sz="4" w:space="0" w:color="auto"/>
              <w:right w:val="single" w:sz="4" w:space="0" w:color="auto"/>
            </w:tcBorders>
            <w:shd w:val="clear" w:color="auto" w:fill="auto"/>
            <w:noWrap/>
          </w:tcPr>
          <w:p w14:paraId="1A7844ED"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hAnsi="Times New Roman" w:cs="Times New Roman"/>
                <w:b/>
              </w:rPr>
              <w:t>18 228 069</w:t>
            </w:r>
          </w:p>
        </w:tc>
      </w:tr>
    </w:tbl>
    <w:p w14:paraId="722A5B4E" w14:textId="77777777" w:rsidR="00E16C06" w:rsidRPr="00E16C06" w:rsidRDefault="00E16C06" w:rsidP="00E16C06">
      <w:pPr>
        <w:spacing w:line="276" w:lineRule="auto"/>
        <w:rPr>
          <w:rFonts w:ascii="Times New Roman" w:eastAsia="Times New Roman" w:hAnsi="Times New Roman" w:cs="Times New Roman"/>
          <w:spacing w:val="-5"/>
          <w:sz w:val="26"/>
          <w:szCs w:val="26"/>
        </w:rPr>
      </w:pPr>
    </w:p>
    <w:p w14:paraId="5DFDB306" w14:textId="77777777" w:rsidR="00E16C06" w:rsidRPr="00E16C06" w:rsidRDefault="00E16C06" w:rsidP="00E16C06">
      <w:pPr>
        <w:spacing w:line="276" w:lineRule="auto"/>
        <w:rPr>
          <w:rFonts w:ascii="Times New Roman" w:eastAsia="Times New Roman" w:hAnsi="Times New Roman" w:cs="Times New Roman"/>
          <w:spacing w:val="-5"/>
          <w:sz w:val="26"/>
          <w:szCs w:val="26"/>
        </w:rPr>
      </w:pPr>
      <w:r w:rsidRPr="00E16C06">
        <w:rPr>
          <w:rFonts w:ascii="Times New Roman" w:hAnsi="Times New Roman" w:cs="Times New Roman"/>
          <w:noProof/>
          <w:lang w:eastAsia="ru-RU"/>
        </w:rPr>
        <w:drawing>
          <wp:inline distT="0" distB="0" distL="0" distR="0" wp14:anchorId="53809A9F" wp14:editId="07B89E8E">
            <wp:extent cx="5940425" cy="3314700"/>
            <wp:effectExtent l="0" t="0" r="3175" b="0"/>
            <wp:docPr id="591" name="Диаграмма 5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68C9D86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Рис 3.3.2.9 – Распределение земельных участков, относящихся к сегменту 4 «Предпринимательство», по муниципальным районам Воронежской области</w:t>
      </w:r>
    </w:p>
    <w:p w14:paraId="227FBE7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p>
    <w:p w14:paraId="19BB7770" w14:textId="77777777" w:rsidR="00E16C06" w:rsidRPr="00E16C06" w:rsidRDefault="00E16C06" w:rsidP="00E16C06">
      <w:pPr>
        <w:spacing w:after="0" w:line="276" w:lineRule="auto"/>
        <w:ind w:firstLine="709"/>
        <w:contextualSpacing/>
        <w:jc w:val="both"/>
        <w:rPr>
          <w:rFonts w:ascii="Times New Roman" w:hAnsi="Times New Roman" w:cs="Times New Roman"/>
          <w:sz w:val="26"/>
          <w:szCs w:val="26"/>
        </w:rPr>
      </w:pPr>
      <w:r w:rsidRPr="00E16C06">
        <w:rPr>
          <w:rFonts w:ascii="Times New Roman" w:hAnsi="Times New Roman" w:cs="Times New Roman"/>
          <w:sz w:val="26"/>
          <w:szCs w:val="26"/>
        </w:rPr>
        <w:t>В соответствии с сегментацией объектов недвижимости с указанием кодов расчета вида использования (приложение № 1 Указаний) 4 сегмент включает в себя коды расчета 01:183, 02:017, 02:053, 02:063, 03:063, 03:064, 04:000, 04:010, 04:020, 04:030, 04:040, 04:050, 04:060, 04:080, 04:082, 04:083, 04:096, 04:100, 05:013, 05:050, 08:021. Распределение земельных участков 4 сегмента по кодам вида использования представлено в таблице 3.3.2.10.</w:t>
      </w:r>
    </w:p>
    <w:p w14:paraId="47E1B5BD" w14:textId="77777777" w:rsidR="00E16C06" w:rsidRPr="00E16C06" w:rsidRDefault="00E16C06" w:rsidP="00E16C06">
      <w:pPr>
        <w:spacing w:after="0" w:line="276" w:lineRule="auto"/>
        <w:ind w:firstLine="709"/>
        <w:contextualSpacing/>
        <w:jc w:val="right"/>
        <w:rPr>
          <w:rFonts w:ascii="Times New Roman" w:hAnsi="Times New Roman" w:cs="Times New Roman"/>
          <w:sz w:val="26"/>
          <w:szCs w:val="26"/>
        </w:rPr>
      </w:pPr>
      <w:r w:rsidRPr="00E16C06">
        <w:rPr>
          <w:rFonts w:ascii="Times New Roman" w:hAnsi="Times New Roman" w:cs="Times New Roman"/>
          <w:sz w:val="26"/>
          <w:szCs w:val="26"/>
        </w:rPr>
        <w:t xml:space="preserve">Таблица </w:t>
      </w:r>
      <w:r w:rsidRPr="00E16C06">
        <w:rPr>
          <w:rFonts w:ascii="Times New Roman" w:eastAsia="Times New Roman" w:hAnsi="Times New Roman" w:cs="Times New Roman"/>
          <w:spacing w:val="-5"/>
          <w:sz w:val="26"/>
          <w:szCs w:val="26"/>
        </w:rPr>
        <w:t>3.3.2.10</w:t>
      </w:r>
    </w:p>
    <w:p w14:paraId="3905FA63"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Распределение объектов оценки по кодам расчета вида использования</w:t>
      </w:r>
    </w:p>
    <w:p w14:paraId="356382EE" w14:textId="77777777" w:rsidR="00E16C06" w:rsidRPr="00E16C06" w:rsidRDefault="00E16C06" w:rsidP="00E16C06">
      <w:pPr>
        <w:spacing w:after="0" w:line="276" w:lineRule="auto"/>
        <w:contextualSpacing/>
        <w:jc w:val="center"/>
        <w:rPr>
          <w:rFonts w:ascii="Times New Roman" w:hAnsi="Times New Roman" w:cs="Times New Roman"/>
          <w:sz w:val="26"/>
          <w:szCs w:val="26"/>
        </w:rPr>
      </w:pPr>
      <w:r w:rsidRPr="00E16C06">
        <w:rPr>
          <w:rFonts w:ascii="Times New Roman" w:hAnsi="Times New Roman" w:cs="Times New Roman"/>
          <w:sz w:val="26"/>
          <w:szCs w:val="26"/>
        </w:rPr>
        <w:t>в составе 4 сегмента</w:t>
      </w:r>
    </w:p>
    <w:tbl>
      <w:tblPr>
        <w:tblStyle w:val="ae"/>
        <w:tblW w:w="9362" w:type="dxa"/>
        <w:jc w:val="center"/>
        <w:tblLook w:val="04A0" w:firstRow="1" w:lastRow="0" w:firstColumn="1" w:lastColumn="0" w:noHBand="0" w:noVBand="1"/>
      </w:tblPr>
      <w:tblGrid>
        <w:gridCol w:w="2095"/>
        <w:gridCol w:w="3712"/>
        <w:gridCol w:w="3555"/>
      </w:tblGrid>
      <w:tr w:rsidR="00E16C06" w:rsidRPr="00E16C06" w14:paraId="13F7C86A" w14:textId="77777777" w:rsidTr="00E16C06">
        <w:trPr>
          <w:trHeight w:val="255"/>
          <w:jc w:val="center"/>
        </w:trPr>
        <w:tc>
          <w:tcPr>
            <w:tcW w:w="2095" w:type="dxa"/>
            <w:shd w:val="clear" w:color="auto" w:fill="auto"/>
            <w:vAlign w:val="center"/>
          </w:tcPr>
          <w:p w14:paraId="45A2AB9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b/>
                <w:sz w:val="22"/>
                <w:szCs w:val="22"/>
              </w:rPr>
              <w:t>Сегмент</w:t>
            </w:r>
          </w:p>
        </w:tc>
        <w:tc>
          <w:tcPr>
            <w:tcW w:w="3712" w:type="dxa"/>
            <w:shd w:val="clear" w:color="auto" w:fill="auto"/>
            <w:noWrap/>
            <w:vAlign w:val="center"/>
          </w:tcPr>
          <w:p w14:paraId="0C9CC1F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b/>
                <w:sz w:val="22"/>
                <w:szCs w:val="22"/>
              </w:rPr>
              <w:t>Код расчета вида использования</w:t>
            </w:r>
          </w:p>
        </w:tc>
        <w:tc>
          <w:tcPr>
            <w:tcW w:w="3555" w:type="dxa"/>
            <w:shd w:val="clear" w:color="auto" w:fill="auto"/>
            <w:noWrap/>
            <w:vAlign w:val="center"/>
          </w:tcPr>
          <w:p w14:paraId="74CA67A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b/>
                <w:sz w:val="22"/>
                <w:szCs w:val="22"/>
              </w:rPr>
              <w:t>Количество ЗУ</w:t>
            </w:r>
          </w:p>
        </w:tc>
      </w:tr>
      <w:tr w:rsidR="00E16C06" w:rsidRPr="00E16C06" w14:paraId="48D12830" w14:textId="77777777" w:rsidTr="00E16C06">
        <w:trPr>
          <w:trHeight w:val="255"/>
          <w:jc w:val="center"/>
        </w:trPr>
        <w:tc>
          <w:tcPr>
            <w:tcW w:w="2095" w:type="dxa"/>
            <w:vMerge w:val="restart"/>
            <w:shd w:val="clear" w:color="auto" w:fill="auto"/>
          </w:tcPr>
          <w:p w14:paraId="23D0547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p w14:paraId="0A45176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p w14:paraId="17A05AE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p w14:paraId="7DCD4E5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p w14:paraId="4843B02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p w14:paraId="67C8CF4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p w14:paraId="1DC5E41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p w14:paraId="4BCB15E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p w14:paraId="4913FB7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p w14:paraId="1EA2AEB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p w14:paraId="62157BF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eastAsia="Times New Roman" w:hAnsi="Times New Roman" w:cs="Times New Roman"/>
                <w:spacing w:val="-5"/>
                <w:sz w:val="22"/>
                <w:szCs w:val="22"/>
                <w:lang w:eastAsia="en-US"/>
              </w:rPr>
              <w:t>4</w:t>
            </w:r>
          </w:p>
        </w:tc>
        <w:tc>
          <w:tcPr>
            <w:tcW w:w="3712" w:type="dxa"/>
            <w:shd w:val="clear" w:color="auto" w:fill="auto"/>
            <w:noWrap/>
          </w:tcPr>
          <w:p w14:paraId="6D40C81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01:183</w:t>
            </w:r>
          </w:p>
        </w:tc>
        <w:tc>
          <w:tcPr>
            <w:tcW w:w="3555" w:type="dxa"/>
            <w:shd w:val="clear" w:color="auto" w:fill="auto"/>
            <w:noWrap/>
          </w:tcPr>
          <w:p w14:paraId="6949A1C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361</w:t>
            </w:r>
          </w:p>
        </w:tc>
      </w:tr>
      <w:tr w:rsidR="00E16C06" w:rsidRPr="00E16C06" w14:paraId="5AC24D84" w14:textId="77777777" w:rsidTr="00E16C06">
        <w:trPr>
          <w:trHeight w:val="255"/>
          <w:jc w:val="center"/>
        </w:trPr>
        <w:tc>
          <w:tcPr>
            <w:tcW w:w="2095" w:type="dxa"/>
            <w:vMerge/>
            <w:shd w:val="clear" w:color="auto" w:fill="auto"/>
          </w:tcPr>
          <w:p w14:paraId="1AFF96C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5A48F66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02:017</w:t>
            </w:r>
          </w:p>
        </w:tc>
        <w:tc>
          <w:tcPr>
            <w:tcW w:w="3555" w:type="dxa"/>
            <w:shd w:val="clear" w:color="auto" w:fill="auto"/>
            <w:noWrap/>
          </w:tcPr>
          <w:p w14:paraId="3C210B7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w:t>
            </w:r>
          </w:p>
        </w:tc>
      </w:tr>
      <w:tr w:rsidR="00E16C06" w:rsidRPr="00E16C06" w14:paraId="39BDCA90" w14:textId="77777777" w:rsidTr="00E16C06">
        <w:trPr>
          <w:trHeight w:val="255"/>
          <w:jc w:val="center"/>
        </w:trPr>
        <w:tc>
          <w:tcPr>
            <w:tcW w:w="2095" w:type="dxa"/>
            <w:vMerge/>
            <w:shd w:val="clear" w:color="auto" w:fill="auto"/>
          </w:tcPr>
          <w:p w14:paraId="6B24A70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7827BA5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02:053</w:t>
            </w:r>
          </w:p>
        </w:tc>
        <w:tc>
          <w:tcPr>
            <w:tcW w:w="3555" w:type="dxa"/>
            <w:shd w:val="clear" w:color="auto" w:fill="auto"/>
            <w:noWrap/>
          </w:tcPr>
          <w:p w14:paraId="2724618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9</w:t>
            </w:r>
          </w:p>
        </w:tc>
      </w:tr>
      <w:tr w:rsidR="00E16C06" w:rsidRPr="00E16C06" w14:paraId="7237B9CC" w14:textId="77777777" w:rsidTr="00E16C06">
        <w:trPr>
          <w:trHeight w:val="255"/>
          <w:jc w:val="center"/>
        </w:trPr>
        <w:tc>
          <w:tcPr>
            <w:tcW w:w="2095" w:type="dxa"/>
            <w:vMerge/>
            <w:shd w:val="clear" w:color="auto" w:fill="auto"/>
          </w:tcPr>
          <w:p w14:paraId="4110C65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3B95AAC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02:063</w:t>
            </w:r>
          </w:p>
        </w:tc>
        <w:tc>
          <w:tcPr>
            <w:tcW w:w="3555" w:type="dxa"/>
            <w:shd w:val="clear" w:color="auto" w:fill="auto"/>
            <w:noWrap/>
          </w:tcPr>
          <w:p w14:paraId="77C596D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4</w:t>
            </w:r>
          </w:p>
        </w:tc>
      </w:tr>
      <w:tr w:rsidR="00E16C06" w:rsidRPr="00E16C06" w14:paraId="3B9A86C6" w14:textId="77777777" w:rsidTr="00E16C06">
        <w:trPr>
          <w:trHeight w:val="255"/>
          <w:jc w:val="center"/>
        </w:trPr>
        <w:tc>
          <w:tcPr>
            <w:tcW w:w="2095" w:type="dxa"/>
            <w:vMerge/>
            <w:shd w:val="clear" w:color="auto" w:fill="auto"/>
          </w:tcPr>
          <w:p w14:paraId="5EDFBA4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47F9F05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03:063</w:t>
            </w:r>
          </w:p>
        </w:tc>
        <w:tc>
          <w:tcPr>
            <w:tcW w:w="3555" w:type="dxa"/>
            <w:shd w:val="clear" w:color="auto" w:fill="auto"/>
            <w:noWrap/>
          </w:tcPr>
          <w:p w14:paraId="5A85019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16</w:t>
            </w:r>
          </w:p>
        </w:tc>
      </w:tr>
      <w:tr w:rsidR="00E16C06" w:rsidRPr="00E16C06" w14:paraId="1F3A6E81" w14:textId="77777777" w:rsidTr="00E16C06">
        <w:trPr>
          <w:trHeight w:val="255"/>
          <w:jc w:val="center"/>
        </w:trPr>
        <w:tc>
          <w:tcPr>
            <w:tcW w:w="2095" w:type="dxa"/>
            <w:vMerge/>
            <w:shd w:val="clear" w:color="auto" w:fill="auto"/>
          </w:tcPr>
          <w:p w14:paraId="3231250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226597B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03:064</w:t>
            </w:r>
          </w:p>
        </w:tc>
        <w:tc>
          <w:tcPr>
            <w:tcW w:w="3555" w:type="dxa"/>
            <w:shd w:val="clear" w:color="auto" w:fill="auto"/>
            <w:noWrap/>
          </w:tcPr>
          <w:p w14:paraId="2E7A271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2</w:t>
            </w:r>
          </w:p>
        </w:tc>
      </w:tr>
      <w:tr w:rsidR="00E16C06" w:rsidRPr="00E16C06" w14:paraId="536325B7" w14:textId="77777777" w:rsidTr="00E16C06">
        <w:trPr>
          <w:trHeight w:val="255"/>
          <w:jc w:val="center"/>
        </w:trPr>
        <w:tc>
          <w:tcPr>
            <w:tcW w:w="2095" w:type="dxa"/>
            <w:vMerge/>
            <w:shd w:val="clear" w:color="auto" w:fill="auto"/>
          </w:tcPr>
          <w:p w14:paraId="1FAE19D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752211D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04:000</w:t>
            </w:r>
          </w:p>
        </w:tc>
        <w:tc>
          <w:tcPr>
            <w:tcW w:w="3555" w:type="dxa"/>
            <w:shd w:val="clear" w:color="auto" w:fill="auto"/>
            <w:noWrap/>
          </w:tcPr>
          <w:p w14:paraId="3712480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861</w:t>
            </w:r>
          </w:p>
        </w:tc>
      </w:tr>
      <w:tr w:rsidR="00E16C06" w:rsidRPr="00E16C06" w14:paraId="5AABCA52" w14:textId="77777777" w:rsidTr="00E16C06">
        <w:trPr>
          <w:trHeight w:val="255"/>
          <w:jc w:val="center"/>
        </w:trPr>
        <w:tc>
          <w:tcPr>
            <w:tcW w:w="2095" w:type="dxa"/>
            <w:vMerge/>
            <w:shd w:val="clear" w:color="auto" w:fill="auto"/>
          </w:tcPr>
          <w:p w14:paraId="1DAAB52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38F43A3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04:010</w:t>
            </w:r>
          </w:p>
        </w:tc>
        <w:tc>
          <w:tcPr>
            <w:tcW w:w="3555" w:type="dxa"/>
            <w:shd w:val="clear" w:color="auto" w:fill="auto"/>
            <w:noWrap/>
          </w:tcPr>
          <w:p w14:paraId="0C6A076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1637</w:t>
            </w:r>
          </w:p>
        </w:tc>
      </w:tr>
      <w:tr w:rsidR="00E16C06" w:rsidRPr="00E16C06" w14:paraId="41BCEE5D" w14:textId="77777777" w:rsidTr="00E16C06">
        <w:trPr>
          <w:trHeight w:val="255"/>
          <w:jc w:val="center"/>
        </w:trPr>
        <w:tc>
          <w:tcPr>
            <w:tcW w:w="2095" w:type="dxa"/>
            <w:vMerge/>
            <w:shd w:val="clear" w:color="auto" w:fill="auto"/>
          </w:tcPr>
          <w:p w14:paraId="0B7D90F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6B2E4FA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04:020</w:t>
            </w:r>
          </w:p>
        </w:tc>
        <w:tc>
          <w:tcPr>
            <w:tcW w:w="3555" w:type="dxa"/>
            <w:shd w:val="clear" w:color="auto" w:fill="auto"/>
            <w:noWrap/>
          </w:tcPr>
          <w:p w14:paraId="6AB1CAC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164</w:t>
            </w:r>
          </w:p>
        </w:tc>
      </w:tr>
      <w:tr w:rsidR="00E16C06" w:rsidRPr="00E16C06" w14:paraId="6737D200" w14:textId="77777777" w:rsidTr="00E16C06">
        <w:trPr>
          <w:trHeight w:val="255"/>
          <w:jc w:val="center"/>
        </w:trPr>
        <w:tc>
          <w:tcPr>
            <w:tcW w:w="2095" w:type="dxa"/>
            <w:vMerge/>
            <w:shd w:val="clear" w:color="auto" w:fill="auto"/>
          </w:tcPr>
          <w:p w14:paraId="081136D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17725DE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04:030</w:t>
            </w:r>
          </w:p>
        </w:tc>
        <w:tc>
          <w:tcPr>
            <w:tcW w:w="3555" w:type="dxa"/>
            <w:shd w:val="clear" w:color="auto" w:fill="auto"/>
            <w:noWrap/>
          </w:tcPr>
          <w:p w14:paraId="198A3C4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201</w:t>
            </w:r>
          </w:p>
        </w:tc>
      </w:tr>
      <w:tr w:rsidR="00E16C06" w:rsidRPr="00E16C06" w14:paraId="77D2BD86" w14:textId="77777777" w:rsidTr="00E16C06">
        <w:trPr>
          <w:trHeight w:val="255"/>
          <w:jc w:val="center"/>
        </w:trPr>
        <w:tc>
          <w:tcPr>
            <w:tcW w:w="2095" w:type="dxa"/>
            <w:vMerge/>
            <w:shd w:val="clear" w:color="auto" w:fill="auto"/>
          </w:tcPr>
          <w:p w14:paraId="6380322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4810C81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04:040</w:t>
            </w:r>
          </w:p>
        </w:tc>
        <w:tc>
          <w:tcPr>
            <w:tcW w:w="3555" w:type="dxa"/>
            <w:shd w:val="clear" w:color="auto" w:fill="auto"/>
            <w:noWrap/>
          </w:tcPr>
          <w:p w14:paraId="46D86CC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10925</w:t>
            </w:r>
          </w:p>
        </w:tc>
      </w:tr>
      <w:tr w:rsidR="00E16C06" w:rsidRPr="00E16C06" w14:paraId="46414F23" w14:textId="77777777" w:rsidTr="00E16C06">
        <w:trPr>
          <w:trHeight w:val="255"/>
          <w:jc w:val="center"/>
        </w:trPr>
        <w:tc>
          <w:tcPr>
            <w:tcW w:w="2095" w:type="dxa"/>
            <w:vMerge/>
            <w:shd w:val="clear" w:color="auto" w:fill="auto"/>
          </w:tcPr>
          <w:p w14:paraId="6ABDC1B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0CBCF25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04:050</w:t>
            </w:r>
          </w:p>
        </w:tc>
        <w:tc>
          <w:tcPr>
            <w:tcW w:w="3555" w:type="dxa"/>
            <w:shd w:val="clear" w:color="auto" w:fill="auto"/>
            <w:noWrap/>
          </w:tcPr>
          <w:p w14:paraId="47A9557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158</w:t>
            </w:r>
          </w:p>
        </w:tc>
      </w:tr>
      <w:tr w:rsidR="00E16C06" w:rsidRPr="00E16C06" w14:paraId="3662727C" w14:textId="77777777" w:rsidTr="00E16C06">
        <w:trPr>
          <w:trHeight w:val="255"/>
          <w:jc w:val="center"/>
        </w:trPr>
        <w:tc>
          <w:tcPr>
            <w:tcW w:w="2095" w:type="dxa"/>
            <w:vMerge/>
            <w:shd w:val="clear" w:color="auto" w:fill="auto"/>
          </w:tcPr>
          <w:p w14:paraId="5285CA6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71B3BA3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04:060</w:t>
            </w:r>
          </w:p>
        </w:tc>
        <w:tc>
          <w:tcPr>
            <w:tcW w:w="3555" w:type="dxa"/>
            <w:shd w:val="clear" w:color="auto" w:fill="auto"/>
            <w:noWrap/>
          </w:tcPr>
          <w:p w14:paraId="16FB010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837</w:t>
            </w:r>
          </w:p>
        </w:tc>
      </w:tr>
      <w:tr w:rsidR="00E16C06" w:rsidRPr="00E16C06" w14:paraId="15141ED2" w14:textId="77777777" w:rsidTr="00E16C06">
        <w:trPr>
          <w:trHeight w:val="255"/>
          <w:jc w:val="center"/>
        </w:trPr>
        <w:tc>
          <w:tcPr>
            <w:tcW w:w="2095" w:type="dxa"/>
            <w:vMerge/>
            <w:shd w:val="clear" w:color="auto" w:fill="auto"/>
          </w:tcPr>
          <w:p w14:paraId="79CEC0D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0BC897A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04:080</w:t>
            </w:r>
          </w:p>
        </w:tc>
        <w:tc>
          <w:tcPr>
            <w:tcW w:w="3555" w:type="dxa"/>
            <w:shd w:val="clear" w:color="auto" w:fill="auto"/>
            <w:noWrap/>
          </w:tcPr>
          <w:p w14:paraId="296EA74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5</w:t>
            </w:r>
          </w:p>
        </w:tc>
      </w:tr>
      <w:tr w:rsidR="00E16C06" w:rsidRPr="00E16C06" w14:paraId="2314739F" w14:textId="77777777" w:rsidTr="00E16C06">
        <w:trPr>
          <w:trHeight w:val="255"/>
          <w:jc w:val="center"/>
        </w:trPr>
        <w:tc>
          <w:tcPr>
            <w:tcW w:w="2095" w:type="dxa"/>
            <w:vMerge/>
            <w:shd w:val="clear" w:color="auto" w:fill="auto"/>
          </w:tcPr>
          <w:p w14:paraId="3FEF117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517DDE6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04:082</w:t>
            </w:r>
          </w:p>
        </w:tc>
        <w:tc>
          <w:tcPr>
            <w:tcW w:w="3555" w:type="dxa"/>
            <w:shd w:val="clear" w:color="auto" w:fill="auto"/>
            <w:noWrap/>
          </w:tcPr>
          <w:p w14:paraId="64C98C3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8</w:t>
            </w:r>
          </w:p>
        </w:tc>
      </w:tr>
      <w:tr w:rsidR="00E16C06" w:rsidRPr="00E16C06" w14:paraId="78C96ACA" w14:textId="77777777" w:rsidTr="00E16C06">
        <w:trPr>
          <w:trHeight w:val="255"/>
          <w:jc w:val="center"/>
        </w:trPr>
        <w:tc>
          <w:tcPr>
            <w:tcW w:w="2095" w:type="dxa"/>
            <w:vMerge/>
            <w:shd w:val="clear" w:color="auto" w:fill="auto"/>
          </w:tcPr>
          <w:p w14:paraId="62A44E3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545A4BD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04:083</w:t>
            </w:r>
          </w:p>
        </w:tc>
        <w:tc>
          <w:tcPr>
            <w:tcW w:w="3555" w:type="dxa"/>
            <w:shd w:val="clear" w:color="auto" w:fill="auto"/>
            <w:noWrap/>
          </w:tcPr>
          <w:p w14:paraId="271C03C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2</w:t>
            </w:r>
          </w:p>
        </w:tc>
      </w:tr>
      <w:tr w:rsidR="00E16C06" w:rsidRPr="00E16C06" w14:paraId="7755D54C" w14:textId="77777777" w:rsidTr="00E16C06">
        <w:trPr>
          <w:trHeight w:val="255"/>
          <w:jc w:val="center"/>
        </w:trPr>
        <w:tc>
          <w:tcPr>
            <w:tcW w:w="2095" w:type="dxa"/>
            <w:vMerge/>
            <w:shd w:val="clear" w:color="auto" w:fill="auto"/>
          </w:tcPr>
          <w:p w14:paraId="6212B97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03632F8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04:096</w:t>
            </w:r>
          </w:p>
        </w:tc>
        <w:tc>
          <w:tcPr>
            <w:tcW w:w="3555" w:type="dxa"/>
            <w:shd w:val="clear" w:color="auto" w:fill="auto"/>
            <w:noWrap/>
          </w:tcPr>
          <w:p w14:paraId="0F241C1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96</w:t>
            </w:r>
          </w:p>
        </w:tc>
      </w:tr>
      <w:tr w:rsidR="00E16C06" w:rsidRPr="00E16C06" w14:paraId="5DA39952" w14:textId="77777777" w:rsidTr="00E16C06">
        <w:trPr>
          <w:trHeight w:val="255"/>
          <w:jc w:val="center"/>
        </w:trPr>
        <w:tc>
          <w:tcPr>
            <w:tcW w:w="2095" w:type="dxa"/>
            <w:vMerge/>
            <w:shd w:val="clear" w:color="auto" w:fill="auto"/>
          </w:tcPr>
          <w:p w14:paraId="32E4C0F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712" w:type="dxa"/>
            <w:shd w:val="clear" w:color="auto" w:fill="auto"/>
            <w:noWrap/>
          </w:tcPr>
          <w:p w14:paraId="0CCC97D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04:100</w:t>
            </w:r>
          </w:p>
        </w:tc>
        <w:tc>
          <w:tcPr>
            <w:tcW w:w="3555" w:type="dxa"/>
            <w:shd w:val="clear" w:color="auto" w:fill="auto"/>
            <w:noWrap/>
          </w:tcPr>
          <w:p w14:paraId="1FE98BC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2</w:t>
            </w:r>
          </w:p>
        </w:tc>
      </w:tr>
      <w:tr w:rsidR="00E16C06" w:rsidRPr="00E16C06" w14:paraId="63510F63" w14:textId="77777777" w:rsidTr="00E16C06">
        <w:trPr>
          <w:trHeight w:val="255"/>
          <w:jc w:val="center"/>
        </w:trPr>
        <w:tc>
          <w:tcPr>
            <w:tcW w:w="2095" w:type="dxa"/>
            <w:vMerge/>
            <w:shd w:val="clear" w:color="auto" w:fill="auto"/>
          </w:tcPr>
          <w:p w14:paraId="683DC4B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712" w:type="dxa"/>
            <w:shd w:val="clear" w:color="auto" w:fill="auto"/>
            <w:noWrap/>
          </w:tcPr>
          <w:p w14:paraId="24AF955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05:013</w:t>
            </w:r>
          </w:p>
        </w:tc>
        <w:tc>
          <w:tcPr>
            <w:tcW w:w="3555" w:type="dxa"/>
            <w:shd w:val="clear" w:color="auto" w:fill="auto"/>
            <w:noWrap/>
          </w:tcPr>
          <w:p w14:paraId="7F00F8A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8</w:t>
            </w:r>
          </w:p>
        </w:tc>
      </w:tr>
      <w:tr w:rsidR="00E16C06" w:rsidRPr="00E16C06" w14:paraId="44A2126F" w14:textId="77777777" w:rsidTr="00E16C06">
        <w:trPr>
          <w:trHeight w:val="255"/>
          <w:jc w:val="center"/>
        </w:trPr>
        <w:tc>
          <w:tcPr>
            <w:tcW w:w="2095" w:type="dxa"/>
            <w:vMerge/>
            <w:shd w:val="clear" w:color="auto" w:fill="auto"/>
          </w:tcPr>
          <w:p w14:paraId="37C843A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712" w:type="dxa"/>
            <w:shd w:val="clear" w:color="auto" w:fill="auto"/>
            <w:noWrap/>
          </w:tcPr>
          <w:p w14:paraId="18D711D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05:050</w:t>
            </w:r>
          </w:p>
        </w:tc>
        <w:tc>
          <w:tcPr>
            <w:tcW w:w="3555" w:type="dxa"/>
            <w:shd w:val="clear" w:color="auto" w:fill="auto"/>
            <w:noWrap/>
          </w:tcPr>
          <w:p w14:paraId="0DD522B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2</w:t>
            </w:r>
          </w:p>
        </w:tc>
      </w:tr>
      <w:tr w:rsidR="00E16C06" w:rsidRPr="00E16C06" w14:paraId="01EA76A1" w14:textId="77777777" w:rsidTr="00E16C06">
        <w:trPr>
          <w:trHeight w:val="255"/>
          <w:jc w:val="center"/>
        </w:trPr>
        <w:tc>
          <w:tcPr>
            <w:tcW w:w="2095" w:type="dxa"/>
            <w:vMerge/>
            <w:shd w:val="clear" w:color="auto" w:fill="auto"/>
          </w:tcPr>
          <w:p w14:paraId="18AA168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712" w:type="dxa"/>
            <w:shd w:val="clear" w:color="auto" w:fill="auto"/>
            <w:noWrap/>
          </w:tcPr>
          <w:p w14:paraId="502DEEB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08:021</w:t>
            </w:r>
          </w:p>
        </w:tc>
        <w:tc>
          <w:tcPr>
            <w:tcW w:w="3555" w:type="dxa"/>
            <w:shd w:val="clear" w:color="auto" w:fill="auto"/>
            <w:noWrap/>
          </w:tcPr>
          <w:p w14:paraId="0D2C920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7</w:t>
            </w:r>
          </w:p>
        </w:tc>
      </w:tr>
      <w:tr w:rsidR="00E16C06" w:rsidRPr="00E16C06" w14:paraId="15955E63" w14:textId="77777777" w:rsidTr="00E16C06">
        <w:trPr>
          <w:trHeight w:val="255"/>
          <w:jc w:val="center"/>
        </w:trPr>
        <w:tc>
          <w:tcPr>
            <w:tcW w:w="2095" w:type="dxa"/>
            <w:shd w:val="clear" w:color="auto" w:fill="auto"/>
          </w:tcPr>
          <w:p w14:paraId="1AD5A36E"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lang w:eastAsia="en-US"/>
              </w:rPr>
            </w:pPr>
            <w:r w:rsidRPr="00E16C06">
              <w:rPr>
                <w:rFonts w:ascii="Times New Roman" w:eastAsia="Times New Roman" w:hAnsi="Times New Roman" w:cs="Times New Roman"/>
                <w:b/>
                <w:spacing w:val="-5"/>
                <w:sz w:val="22"/>
                <w:szCs w:val="22"/>
                <w:lang w:eastAsia="en-US"/>
              </w:rPr>
              <w:t>Итог</w:t>
            </w:r>
          </w:p>
        </w:tc>
        <w:tc>
          <w:tcPr>
            <w:tcW w:w="3712" w:type="dxa"/>
            <w:shd w:val="clear" w:color="auto" w:fill="auto"/>
            <w:noWrap/>
          </w:tcPr>
          <w:p w14:paraId="10EB7B7F"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lang w:eastAsia="en-US"/>
              </w:rPr>
            </w:pPr>
          </w:p>
        </w:tc>
        <w:tc>
          <w:tcPr>
            <w:tcW w:w="3555" w:type="dxa"/>
            <w:shd w:val="clear" w:color="auto" w:fill="auto"/>
            <w:noWrap/>
          </w:tcPr>
          <w:p w14:paraId="34ED7B06"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lang w:eastAsia="en-US"/>
              </w:rPr>
            </w:pPr>
            <w:r w:rsidRPr="00E16C06">
              <w:rPr>
                <w:rFonts w:ascii="Times New Roman" w:eastAsia="Times New Roman" w:hAnsi="Times New Roman" w:cs="Times New Roman"/>
                <w:b/>
                <w:spacing w:val="-5"/>
                <w:sz w:val="22"/>
                <w:szCs w:val="22"/>
                <w:lang w:eastAsia="en-US"/>
              </w:rPr>
              <w:t>15 306</w:t>
            </w:r>
          </w:p>
        </w:tc>
      </w:tr>
    </w:tbl>
    <w:p w14:paraId="1E52C13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p>
    <w:p w14:paraId="67CA951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p>
    <w:p w14:paraId="61C5C1A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p>
    <w:p w14:paraId="7AA430DC" w14:textId="77777777" w:rsidR="00E16C06" w:rsidRPr="00E16C06" w:rsidRDefault="00E16C06" w:rsidP="00E16C06">
      <w:pPr>
        <w:rPr>
          <w:rFonts w:ascii="Times New Roman" w:eastAsia="Times New Roman" w:hAnsi="Times New Roman" w:cs="Times New Roman"/>
          <w:sz w:val="26"/>
          <w:szCs w:val="26"/>
        </w:rPr>
      </w:pPr>
      <w:r w:rsidRPr="00E16C06">
        <w:rPr>
          <w:rFonts w:ascii="Times New Roman" w:hAnsi="Times New Roman" w:cs="Times New Roman"/>
          <w:noProof/>
          <w:lang w:eastAsia="ru-RU"/>
        </w:rPr>
        <w:drawing>
          <wp:inline distT="0" distB="0" distL="0" distR="0" wp14:anchorId="50A76A6D" wp14:editId="41AAC452">
            <wp:extent cx="5940425" cy="3848100"/>
            <wp:effectExtent l="0" t="0" r="3175" b="0"/>
            <wp:docPr id="596" name="Диаграмма 5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07F36368"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eastAsia="Times New Roman" w:hAnsi="Times New Roman" w:cs="Times New Roman"/>
          <w:spacing w:val="-5"/>
          <w:sz w:val="26"/>
          <w:szCs w:val="26"/>
        </w:rPr>
        <w:t xml:space="preserve">Рис 3.3.2.10 – </w:t>
      </w:r>
      <w:r w:rsidRPr="00E16C06">
        <w:rPr>
          <w:rFonts w:ascii="Times New Roman" w:hAnsi="Times New Roman" w:cs="Times New Roman"/>
          <w:sz w:val="26"/>
          <w:szCs w:val="26"/>
        </w:rPr>
        <w:t>Распределение объектов оценки по кодам расчета вида использования в составе 4 сегмента</w:t>
      </w:r>
    </w:p>
    <w:p w14:paraId="1F394D72"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p>
    <w:p w14:paraId="745CDEE2" w14:textId="77777777" w:rsidR="00E16C06" w:rsidRPr="00E16C06" w:rsidRDefault="00E16C06" w:rsidP="00E16C06">
      <w:pPr>
        <w:spacing w:after="0" w:line="276" w:lineRule="auto"/>
        <w:contextualSpacing/>
        <w:jc w:val="center"/>
        <w:rPr>
          <w:rFonts w:ascii="Times New Roman" w:hAnsi="Times New Roman" w:cs="Times New Roman"/>
          <w:i/>
          <w:sz w:val="26"/>
          <w:szCs w:val="26"/>
        </w:rPr>
      </w:pPr>
      <w:r w:rsidRPr="00E16C06">
        <w:rPr>
          <w:rFonts w:ascii="Times New Roman" w:hAnsi="Times New Roman" w:cs="Times New Roman"/>
          <w:i/>
          <w:sz w:val="26"/>
          <w:szCs w:val="26"/>
        </w:rPr>
        <w:t>5 сегмент «Отдых (рекреация)» (05:000)</w:t>
      </w:r>
    </w:p>
    <w:p w14:paraId="29DF8774" w14:textId="77777777" w:rsidR="00E16C06" w:rsidRPr="00E16C06" w:rsidRDefault="00E16C06" w:rsidP="00E16C06">
      <w:pPr>
        <w:spacing w:after="0" w:line="276" w:lineRule="auto"/>
        <w:ind w:firstLine="709"/>
        <w:contextualSpacing/>
        <w:jc w:val="both"/>
        <w:rPr>
          <w:rFonts w:ascii="Times New Roman" w:hAnsi="Times New Roman" w:cs="Times New Roman"/>
          <w:color w:val="000000" w:themeColor="text1"/>
          <w:sz w:val="26"/>
          <w:szCs w:val="26"/>
        </w:rPr>
      </w:pPr>
      <w:r w:rsidRPr="00E16C06">
        <w:rPr>
          <w:rFonts w:ascii="Times New Roman" w:hAnsi="Times New Roman" w:cs="Times New Roman"/>
          <w:color w:val="000000" w:themeColor="text1"/>
          <w:sz w:val="26"/>
          <w:szCs w:val="26"/>
        </w:rPr>
        <w:t>Наибольшее количество земельных участков 5 сегмента сосредоточено в Рамонском районе и г. Воронеже – 320 и 230 объектов соответственно. Наименьшее количество земельных участков 5 сегмента сосредоточено в Каменском районе – 2 объекта.</w:t>
      </w:r>
    </w:p>
    <w:p w14:paraId="7F5C30A6" w14:textId="77777777" w:rsidR="00E16C06" w:rsidRPr="00E16C06" w:rsidRDefault="00E16C06" w:rsidP="00E16C06">
      <w:pPr>
        <w:spacing w:after="0" w:line="276" w:lineRule="auto"/>
        <w:contextualSpacing/>
        <w:jc w:val="right"/>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Таблица 3.3.2.11</w:t>
      </w:r>
    </w:p>
    <w:p w14:paraId="0EC3436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Распределение земельных участков и площадей, относящихся к сегменту 5 «Отдых (рекреация)», по муниципальным районам Воронежской области</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119"/>
        <w:gridCol w:w="2835"/>
      </w:tblGrid>
      <w:tr w:rsidR="00E16C06" w:rsidRPr="00E16C06" w14:paraId="3C7FDD00" w14:textId="77777777" w:rsidTr="00E16C06">
        <w:trPr>
          <w:trHeight w:val="300"/>
        </w:trPr>
        <w:tc>
          <w:tcPr>
            <w:tcW w:w="3392" w:type="dxa"/>
            <w:noWrap/>
            <w:vAlign w:val="center"/>
            <w:hideMark/>
          </w:tcPr>
          <w:p w14:paraId="73FD538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Район</w:t>
            </w:r>
          </w:p>
        </w:tc>
        <w:tc>
          <w:tcPr>
            <w:tcW w:w="3119" w:type="dxa"/>
            <w:noWrap/>
            <w:vAlign w:val="center"/>
            <w:hideMark/>
          </w:tcPr>
          <w:p w14:paraId="587A5A1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Количество ЗУ</w:t>
            </w:r>
          </w:p>
        </w:tc>
        <w:tc>
          <w:tcPr>
            <w:tcW w:w="2835" w:type="dxa"/>
            <w:noWrap/>
            <w:vAlign w:val="center"/>
            <w:hideMark/>
          </w:tcPr>
          <w:p w14:paraId="68DE8AC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Площадь, кв. м.</w:t>
            </w:r>
          </w:p>
        </w:tc>
      </w:tr>
      <w:tr w:rsidR="00E16C06" w:rsidRPr="00E16C06" w14:paraId="274B8560" w14:textId="77777777" w:rsidTr="00E16C06">
        <w:trPr>
          <w:trHeight w:val="300"/>
        </w:trPr>
        <w:tc>
          <w:tcPr>
            <w:tcW w:w="3392" w:type="dxa"/>
            <w:shd w:val="clear" w:color="auto" w:fill="auto"/>
            <w:noWrap/>
            <w:vAlign w:val="bottom"/>
            <w:hideMark/>
          </w:tcPr>
          <w:p w14:paraId="104E0C8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Аннинский</w:t>
            </w:r>
          </w:p>
        </w:tc>
        <w:tc>
          <w:tcPr>
            <w:tcW w:w="3119" w:type="dxa"/>
            <w:shd w:val="clear" w:color="auto" w:fill="auto"/>
            <w:noWrap/>
            <w:hideMark/>
          </w:tcPr>
          <w:p w14:paraId="1D42CA5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w:t>
            </w:r>
          </w:p>
        </w:tc>
        <w:tc>
          <w:tcPr>
            <w:tcW w:w="2835" w:type="dxa"/>
            <w:shd w:val="clear" w:color="auto" w:fill="auto"/>
            <w:noWrap/>
            <w:hideMark/>
          </w:tcPr>
          <w:p w14:paraId="26585F4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150 871</w:t>
            </w:r>
          </w:p>
        </w:tc>
      </w:tr>
      <w:tr w:rsidR="00E16C06" w:rsidRPr="00E16C06" w14:paraId="475A16F5" w14:textId="77777777" w:rsidTr="00E16C06">
        <w:trPr>
          <w:trHeight w:val="300"/>
        </w:trPr>
        <w:tc>
          <w:tcPr>
            <w:tcW w:w="3392" w:type="dxa"/>
            <w:shd w:val="clear" w:color="auto" w:fill="auto"/>
            <w:noWrap/>
            <w:vAlign w:val="bottom"/>
            <w:hideMark/>
          </w:tcPr>
          <w:p w14:paraId="17488D4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Бобровский</w:t>
            </w:r>
          </w:p>
        </w:tc>
        <w:tc>
          <w:tcPr>
            <w:tcW w:w="3119" w:type="dxa"/>
            <w:shd w:val="clear" w:color="auto" w:fill="auto"/>
            <w:noWrap/>
            <w:hideMark/>
          </w:tcPr>
          <w:p w14:paraId="556037E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18</w:t>
            </w:r>
          </w:p>
        </w:tc>
        <w:tc>
          <w:tcPr>
            <w:tcW w:w="2835" w:type="dxa"/>
            <w:shd w:val="clear" w:color="auto" w:fill="auto"/>
            <w:noWrap/>
            <w:hideMark/>
          </w:tcPr>
          <w:p w14:paraId="674E713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358 537</w:t>
            </w:r>
          </w:p>
        </w:tc>
      </w:tr>
      <w:tr w:rsidR="00E16C06" w:rsidRPr="00E16C06" w14:paraId="0EC138E2" w14:textId="77777777" w:rsidTr="00E16C06">
        <w:trPr>
          <w:trHeight w:val="300"/>
        </w:trPr>
        <w:tc>
          <w:tcPr>
            <w:tcW w:w="3392" w:type="dxa"/>
            <w:shd w:val="clear" w:color="auto" w:fill="auto"/>
            <w:noWrap/>
            <w:vAlign w:val="bottom"/>
            <w:hideMark/>
          </w:tcPr>
          <w:p w14:paraId="662F95E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Богучарский</w:t>
            </w:r>
          </w:p>
        </w:tc>
        <w:tc>
          <w:tcPr>
            <w:tcW w:w="3119" w:type="dxa"/>
            <w:shd w:val="clear" w:color="auto" w:fill="auto"/>
            <w:noWrap/>
            <w:hideMark/>
          </w:tcPr>
          <w:p w14:paraId="4A95F9F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32</w:t>
            </w:r>
          </w:p>
        </w:tc>
        <w:tc>
          <w:tcPr>
            <w:tcW w:w="2835" w:type="dxa"/>
            <w:shd w:val="clear" w:color="auto" w:fill="auto"/>
            <w:noWrap/>
            <w:hideMark/>
          </w:tcPr>
          <w:p w14:paraId="76A40E3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241 265</w:t>
            </w:r>
          </w:p>
        </w:tc>
      </w:tr>
      <w:tr w:rsidR="00E16C06" w:rsidRPr="00E16C06" w14:paraId="0345AC4E" w14:textId="77777777" w:rsidTr="00E16C06">
        <w:trPr>
          <w:trHeight w:val="300"/>
        </w:trPr>
        <w:tc>
          <w:tcPr>
            <w:tcW w:w="3392" w:type="dxa"/>
            <w:shd w:val="clear" w:color="auto" w:fill="auto"/>
            <w:noWrap/>
            <w:vAlign w:val="bottom"/>
            <w:hideMark/>
          </w:tcPr>
          <w:p w14:paraId="25AFE9E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Борисоглебский</w:t>
            </w:r>
          </w:p>
        </w:tc>
        <w:tc>
          <w:tcPr>
            <w:tcW w:w="3119" w:type="dxa"/>
            <w:shd w:val="clear" w:color="auto" w:fill="auto"/>
            <w:noWrap/>
            <w:hideMark/>
          </w:tcPr>
          <w:p w14:paraId="68AC23E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67</w:t>
            </w:r>
          </w:p>
        </w:tc>
        <w:tc>
          <w:tcPr>
            <w:tcW w:w="2835" w:type="dxa"/>
            <w:shd w:val="clear" w:color="auto" w:fill="auto"/>
            <w:noWrap/>
            <w:hideMark/>
          </w:tcPr>
          <w:p w14:paraId="2EEADDA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1 282 520</w:t>
            </w:r>
          </w:p>
        </w:tc>
      </w:tr>
      <w:tr w:rsidR="00E16C06" w:rsidRPr="00E16C06" w14:paraId="68242E89" w14:textId="77777777" w:rsidTr="00E16C06">
        <w:trPr>
          <w:trHeight w:val="300"/>
        </w:trPr>
        <w:tc>
          <w:tcPr>
            <w:tcW w:w="3392" w:type="dxa"/>
            <w:shd w:val="clear" w:color="auto" w:fill="auto"/>
            <w:noWrap/>
            <w:vAlign w:val="bottom"/>
            <w:hideMark/>
          </w:tcPr>
          <w:p w14:paraId="22EFEA0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Бутурлиновский</w:t>
            </w:r>
          </w:p>
        </w:tc>
        <w:tc>
          <w:tcPr>
            <w:tcW w:w="3119" w:type="dxa"/>
            <w:shd w:val="clear" w:color="auto" w:fill="auto"/>
            <w:noWrap/>
            <w:hideMark/>
          </w:tcPr>
          <w:p w14:paraId="68F0EEA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w:t>
            </w:r>
          </w:p>
        </w:tc>
        <w:tc>
          <w:tcPr>
            <w:tcW w:w="2835" w:type="dxa"/>
            <w:shd w:val="clear" w:color="auto" w:fill="auto"/>
            <w:noWrap/>
            <w:hideMark/>
          </w:tcPr>
          <w:p w14:paraId="7E002F5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296 005</w:t>
            </w:r>
          </w:p>
        </w:tc>
      </w:tr>
      <w:tr w:rsidR="00E16C06" w:rsidRPr="00E16C06" w14:paraId="2BF1237E" w14:textId="77777777" w:rsidTr="00E16C06">
        <w:trPr>
          <w:trHeight w:val="300"/>
        </w:trPr>
        <w:tc>
          <w:tcPr>
            <w:tcW w:w="3392" w:type="dxa"/>
            <w:shd w:val="clear" w:color="auto" w:fill="auto"/>
            <w:noWrap/>
            <w:vAlign w:val="bottom"/>
            <w:hideMark/>
          </w:tcPr>
          <w:p w14:paraId="4F1A1E3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Верхнемамонский</w:t>
            </w:r>
          </w:p>
        </w:tc>
        <w:tc>
          <w:tcPr>
            <w:tcW w:w="3119" w:type="dxa"/>
            <w:shd w:val="clear" w:color="auto" w:fill="auto"/>
            <w:noWrap/>
            <w:hideMark/>
          </w:tcPr>
          <w:p w14:paraId="380581F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w:t>
            </w:r>
          </w:p>
        </w:tc>
        <w:tc>
          <w:tcPr>
            <w:tcW w:w="2835" w:type="dxa"/>
            <w:shd w:val="clear" w:color="auto" w:fill="auto"/>
            <w:noWrap/>
            <w:hideMark/>
          </w:tcPr>
          <w:p w14:paraId="4657A8B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144 373</w:t>
            </w:r>
          </w:p>
        </w:tc>
      </w:tr>
      <w:tr w:rsidR="00E16C06" w:rsidRPr="00E16C06" w14:paraId="7BC0B26F" w14:textId="77777777" w:rsidTr="00E16C06">
        <w:trPr>
          <w:trHeight w:val="300"/>
        </w:trPr>
        <w:tc>
          <w:tcPr>
            <w:tcW w:w="3392" w:type="dxa"/>
            <w:shd w:val="clear" w:color="auto" w:fill="auto"/>
            <w:noWrap/>
            <w:vAlign w:val="bottom"/>
            <w:hideMark/>
          </w:tcPr>
          <w:p w14:paraId="5CEB618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Верхнехавский</w:t>
            </w:r>
          </w:p>
        </w:tc>
        <w:tc>
          <w:tcPr>
            <w:tcW w:w="3119" w:type="dxa"/>
            <w:shd w:val="clear" w:color="auto" w:fill="auto"/>
            <w:noWrap/>
            <w:hideMark/>
          </w:tcPr>
          <w:p w14:paraId="4D09603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20</w:t>
            </w:r>
          </w:p>
        </w:tc>
        <w:tc>
          <w:tcPr>
            <w:tcW w:w="2835" w:type="dxa"/>
            <w:shd w:val="clear" w:color="auto" w:fill="auto"/>
            <w:noWrap/>
            <w:hideMark/>
          </w:tcPr>
          <w:p w14:paraId="7BBC241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653 468</w:t>
            </w:r>
          </w:p>
        </w:tc>
      </w:tr>
      <w:tr w:rsidR="00E16C06" w:rsidRPr="00E16C06" w14:paraId="296F6EB6" w14:textId="77777777" w:rsidTr="00E16C06">
        <w:trPr>
          <w:trHeight w:val="300"/>
        </w:trPr>
        <w:tc>
          <w:tcPr>
            <w:tcW w:w="3392" w:type="dxa"/>
            <w:shd w:val="clear" w:color="auto" w:fill="auto"/>
            <w:noWrap/>
            <w:vAlign w:val="bottom"/>
            <w:hideMark/>
          </w:tcPr>
          <w:p w14:paraId="2A8A3BB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Воробьевский</w:t>
            </w:r>
          </w:p>
        </w:tc>
        <w:tc>
          <w:tcPr>
            <w:tcW w:w="3119" w:type="dxa"/>
            <w:shd w:val="clear" w:color="auto" w:fill="auto"/>
            <w:noWrap/>
            <w:hideMark/>
          </w:tcPr>
          <w:p w14:paraId="1422C5C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w:t>
            </w:r>
          </w:p>
        </w:tc>
        <w:tc>
          <w:tcPr>
            <w:tcW w:w="2835" w:type="dxa"/>
            <w:shd w:val="clear" w:color="auto" w:fill="auto"/>
            <w:noWrap/>
            <w:hideMark/>
          </w:tcPr>
          <w:p w14:paraId="1509863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39 004</w:t>
            </w:r>
          </w:p>
        </w:tc>
      </w:tr>
      <w:tr w:rsidR="00E16C06" w:rsidRPr="00E16C06" w14:paraId="34C38EDC" w14:textId="77777777" w:rsidTr="00E16C06">
        <w:trPr>
          <w:trHeight w:val="300"/>
        </w:trPr>
        <w:tc>
          <w:tcPr>
            <w:tcW w:w="3392" w:type="dxa"/>
            <w:shd w:val="clear" w:color="auto" w:fill="auto"/>
            <w:noWrap/>
            <w:vAlign w:val="bottom"/>
            <w:hideMark/>
          </w:tcPr>
          <w:p w14:paraId="32F6F77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ГО г. Воронеж</w:t>
            </w:r>
          </w:p>
        </w:tc>
        <w:tc>
          <w:tcPr>
            <w:tcW w:w="3119" w:type="dxa"/>
            <w:shd w:val="clear" w:color="auto" w:fill="auto"/>
            <w:noWrap/>
            <w:hideMark/>
          </w:tcPr>
          <w:p w14:paraId="47803E5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230</w:t>
            </w:r>
          </w:p>
        </w:tc>
        <w:tc>
          <w:tcPr>
            <w:tcW w:w="2835" w:type="dxa"/>
            <w:shd w:val="clear" w:color="auto" w:fill="auto"/>
            <w:noWrap/>
            <w:hideMark/>
          </w:tcPr>
          <w:p w14:paraId="1DE351B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20 355 839</w:t>
            </w:r>
          </w:p>
        </w:tc>
      </w:tr>
      <w:tr w:rsidR="00E16C06" w:rsidRPr="00E16C06" w14:paraId="298FA9CD" w14:textId="77777777" w:rsidTr="00E16C06">
        <w:trPr>
          <w:trHeight w:val="300"/>
        </w:trPr>
        <w:tc>
          <w:tcPr>
            <w:tcW w:w="3392" w:type="dxa"/>
            <w:shd w:val="clear" w:color="auto" w:fill="auto"/>
            <w:noWrap/>
            <w:vAlign w:val="bottom"/>
            <w:hideMark/>
          </w:tcPr>
          <w:p w14:paraId="4D4C678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ГО Нововоронеж</w:t>
            </w:r>
          </w:p>
        </w:tc>
        <w:tc>
          <w:tcPr>
            <w:tcW w:w="3119" w:type="dxa"/>
            <w:shd w:val="clear" w:color="auto" w:fill="auto"/>
            <w:noWrap/>
            <w:hideMark/>
          </w:tcPr>
          <w:p w14:paraId="072CD5E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w:t>
            </w:r>
          </w:p>
        </w:tc>
        <w:tc>
          <w:tcPr>
            <w:tcW w:w="2835" w:type="dxa"/>
            <w:shd w:val="clear" w:color="auto" w:fill="auto"/>
            <w:noWrap/>
            <w:hideMark/>
          </w:tcPr>
          <w:p w14:paraId="5E16BE4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10 939</w:t>
            </w:r>
          </w:p>
        </w:tc>
      </w:tr>
      <w:tr w:rsidR="00E16C06" w:rsidRPr="00E16C06" w14:paraId="008AD6A3" w14:textId="77777777" w:rsidTr="00E16C06">
        <w:trPr>
          <w:trHeight w:val="300"/>
        </w:trPr>
        <w:tc>
          <w:tcPr>
            <w:tcW w:w="3392" w:type="dxa"/>
            <w:shd w:val="clear" w:color="auto" w:fill="auto"/>
            <w:noWrap/>
            <w:vAlign w:val="bottom"/>
            <w:hideMark/>
          </w:tcPr>
          <w:p w14:paraId="0771F3C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Грибановский</w:t>
            </w:r>
          </w:p>
        </w:tc>
        <w:tc>
          <w:tcPr>
            <w:tcW w:w="3119" w:type="dxa"/>
            <w:shd w:val="clear" w:color="auto" w:fill="auto"/>
            <w:noWrap/>
            <w:hideMark/>
          </w:tcPr>
          <w:p w14:paraId="39A26FD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w:t>
            </w:r>
          </w:p>
        </w:tc>
        <w:tc>
          <w:tcPr>
            <w:tcW w:w="2835" w:type="dxa"/>
            <w:shd w:val="clear" w:color="auto" w:fill="auto"/>
            <w:noWrap/>
            <w:hideMark/>
          </w:tcPr>
          <w:p w14:paraId="27A859D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122 483</w:t>
            </w:r>
          </w:p>
        </w:tc>
      </w:tr>
      <w:tr w:rsidR="00E16C06" w:rsidRPr="00E16C06" w14:paraId="537233CB" w14:textId="77777777" w:rsidTr="00E16C06">
        <w:trPr>
          <w:trHeight w:val="300"/>
        </w:trPr>
        <w:tc>
          <w:tcPr>
            <w:tcW w:w="3392" w:type="dxa"/>
            <w:shd w:val="clear" w:color="auto" w:fill="auto"/>
            <w:noWrap/>
            <w:vAlign w:val="bottom"/>
            <w:hideMark/>
          </w:tcPr>
          <w:p w14:paraId="6958DCA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Калачеевский</w:t>
            </w:r>
          </w:p>
        </w:tc>
        <w:tc>
          <w:tcPr>
            <w:tcW w:w="3119" w:type="dxa"/>
            <w:shd w:val="clear" w:color="auto" w:fill="auto"/>
            <w:noWrap/>
            <w:hideMark/>
          </w:tcPr>
          <w:p w14:paraId="1116617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32</w:t>
            </w:r>
          </w:p>
        </w:tc>
        <w:tc>
          <w:tcPr>
            <w:tcW w:w="2835" w:type="dxa"/>
            <w:shd w:val="clear" w:color="auto" w:fill="auto"/>
            <w:noWrap/>
            <w:hideMark/>
          </w:tcPr>
          <w:p w14:paraId="22A5F34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521 039</w:t>
            </w:r>
          </w:p>
        </w:tc>
      </w:tr>
      <w:tr w:rsidR="00E16C06" w:rsidRPr="00E16C06" w14:paraId="76E9D0AF" w14:textId="77777777" w:rsidTr="00E16C06">
        <w:trPr>
          <w:trHeight w:val="300"/>
        </w:trPr>
        <w:tc>
          <w:tcPr>
            <w:tcW w:w="3392" w:type="dxa"/>
            <w:shd w:val="clear" w:color="auto" w:fill="auto"/>
            <w:noWrap/>
            <w:vAlign w:val="bottom"/>
            <w:hideMark/>
          </w:tcPr>
          <w:p w14:paraId="5F39E68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Каменский</w:t>
            </w:r>
          </w:p>
        </w:tc>
        <w:tc>
          <w:tcPr>
            <w:tcW w:w="3119" w:type="dxa"/>
            <w:shd w:val="clear" w:color="auto" w:fill="auto"/>
            <w:noWrap/>
            <w:hideMark/>
          </w:tcPr>
          <w:p w14:paraId="4B4CFB6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w:t>
            </w:r>
          </w:p>
        </w:tc>
        <w:tc>
          <w:tcPr>
            <w:tcW w:w="2835" w:type="dxa"/>
            <w:shd w:val="clear" w:color="auto" w:fill="auto"/>
            <w:noWrap/>
            <w:hideMark/>
          </w:tcPr>
          <w:p w14:paraId="63560AD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25 100</w:t>
            </w:r>
          </w:p>
        </w:tc>
      </w:tr>
      <w:tr w:rsidR="00E16C06" w:rsidRPr="00E16C06" w14:paraId="32467813" w14:textId="77777777" w:rsidTr="00E16C06">
        <w:trPr>
          <w:trHeight w:val="300"/>
        </w:trPr>
        <w:tc>
          <w:tcPr>
            <w:tcW w:w="3392" w:type="dxa"/>
            <w:shd w:val="clear" w:color="auto" w:fill="auto"/>
            <w:noWrap/>
            <w:vAlign w:val="bottom"/>
            <w:hideMark/>
          </w:tcPr>
          <w:p w14:paraId="02F7C4D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Кантемировский</w:t>
            </w:r>
          </w:p>
        </w:tc>
        <w:tc>
          <w:tcPr>
            <w:tcW w:w="3119" w:type="dxa"/>
            <w:shd w:val="clear" w:color="auto" w:fill="auto"/>
            <w:noWrap/>
            <w:hideMark/>
          </w:tcPr>
          <w:p w14:paraId="7646F19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w:t>
            </w:r>
          </w:p>
        </w:tc>
        <w:tc>
          <w:tcPr>
            <w:tcW w:w="2835" w:type="dxa"/>
            <w:shd w:val="clear" w:color="auto" w:fill="auto"/>
            <w:noWrap/>
            <w:hideMark/>
          </w:tcPr>
          <w:p w14:paraId="1AAE783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148 472</w:t>
            </w:r>
          </w:p>
        </w:tc>
      </w:tr>
      <w:tr w:rsidR="00E16C06" w:rsidRPr="00E16C06" w14:paraId="6C956C9C" w14:textId="77777777" w:rsidTr="00E16C06">
        <w:trPr>
          <w:trHeight w:val="300"/>
        </w:trPr>
        <w:tc>
          <w:tcPr>
            <w:tcW w:w="3392" w:type="dxa"/>
            <w:shd w:val="clear" w:color="auto" w:fill="auto"/>
            <w:noWrap/>
            <w:vAlign w:val="bottom"/>
            <w:hideMark/>
          </w:tcPr>
          <w:p w14:paraId="54793D2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Каширский</w:t>
            </w:r>
          </w:p>
        </w:tc>
        <w:tc>
          <w:tcPr>
            <w:tcW w:w="3119" w:type="dxa"/>
            <w:shd w:val="clear" w:color="auto" w:fill="auto"/>
            <w:noWrap/>
            <w:hideMark/>
          </w:tcPr>
          <w:p w14:paraId="4A2CE41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w:t>
            </w:r>
          </w:p>
        </w:tc>
        <w:tc>
          <w:tcPr>
            <w:tcW w:w="2835" w:type="dxa"/>
            <w:shd w:val="clear" w:color="auto" w:fill="auto"/>
            <w:noWrap/>
            <w:hideMark/>
          </w:tcPr>
          <w:p w14:paraId="3737A3D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179 751</w:t>
            </w:r>
          </w:p>
        </w:tc>
      </w:tr>
      <w:tr w:rsidR="00E16C06" w:rsidRPr="00E16C06" w14:paraId="4D6B81D7" w14:textId="77777777" w:rsidTr="00E16C06">
        <w:trPr>
          <w:trHeight w:val="300"/>
        </w:trPr>
        <w:tc>
          <w:tcPr>
            <w:tcW w:w="3392" w:type="dxa"/>
            <w:shd w:val="clear" w:color="auto" w:fill="auto"/>
            <w:noWrap/>
            <w:vAlign w:val="bottom"/>
            <w:hideMark/>
          </w:tcPr>
          <w:p w14:paraId="3B74800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Лискинский</w:t>
            </w:r>
          </w:p>
        </w:tc>
        <w:tc>
          <w:tcPr>
            <w:tcW w:w="3119" w:type="dxa"/>
            <w:shd w:val="clear" w:color="auto" w:fill="auto"/>
            <w:noWrap/>
            <w:hideMark/>
          </w:tcPr>
          <w:p w14:paraId="7F6060F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27</w:t>
            </w:r>
          </w:p>
        </w:tc>
        <w:tc>
          <w:tcPr>
            <w:tcW w:w="2835" w:type="dxa"/>
            <w:shd w:val="clear" w:color="auto" w:fill="auto"/>
            <w:noWrap/>
            <w:hideMark/>
          </w:tcPr>
          <w:p w14:paraId="2F75989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606 169</w:t>
            </w:r>
          </w:p>
        </w:tc>
      </w:tr>
      <w:tr w:rsidR="00E16C06" w:rsidRPr="00E16C06" w14:paraId="27C24B6F" w14:textId="77777777" w:rsidTr="00E16C06">
        <w:trPr>
          <w:trHeight w:val="300"/>
        </w:trPr>
        <w:tc>
          <w:tcPr>
            <w:tcW w:w="3392" w:type="dxa"/>
            <w:shd w:val="clear" w:color="auto" w:fill="auto"/>
            <w:noWrap/>
            <w:vAlign w:val="bottom"/>
            <w:hideMark/>
          </w:tcPr>
          <w:p w14:paraId="3060FCA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Нижнедевицкий</w:t>
            </w:r>
          </w:p>
        </w:tc>
        <w:tc>
          <w:tcPr>
            <w:tcW w:w="3119" w:type="dxa"/>
            <w:shd w:val="clear" w:color="auto" w:fill="auto"/>
            <w:noWrap/>
            <w:hideMark/>
          </w:tcPr>
          <w:p w14:paraId="13C993E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w:t>
            </w:r>
          </w:p>
        </w:tc>
        <w:tc>
          <w:tcPr>
            <w:tcW w:w="2835" w:type="dxa"/>
            <w:shd w:val="clear" w:color="auto" w:fill="auto"/>
            <w:noWrap/>
            <w:hideMark/>
          </w:tcPr>
          <w:p w14:paraId="373C84E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109 204</w:t>
            </w:r>
          </w:p>
        </w:tc>
      </w:tr>
      <w:tr w:rsidR="00E16C06" w:rsidRPr="00E16C06" w14:paraId="1ED51230" w14:textId="77777777" w:rsidTr="00E16C06">
        <w:trPr>
          <w:trHeight w:val="300"/>
        </w:trPr>
        <w:tc>
          <w:tcPr>
            <w:tcW w:w="3392" w:type="dxa"/>
            <w:shd w:val="clear" w:color="auto" w:fill="auto"/>
            <w:noWrap/>
            <w:vAlign w:val="bottom"/>
            <w:hideMark/>
          </w:tcPr>
          <w:p w14:paraId="63D4B4C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Новоусманский</w:t>
            </w:r>
          </w:p>
        </w:tc>
        <w:tc>
          <w:tcPr>
            <w:tcW w:w="3119" w:type="dxa"/>
            <w:shd w:val="clear" w:color="auto" w:fill="auto"/>
            <w:noWrap/>
            <w:hideMark/>
          </w:tcPr>
          <w:p w14:paraId="7228B6E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55</w:t>
            </w:r>
          </w:p>
        </w:tc>
        <w:tc>
          <w:tcPr>
            <w:tcW w:w="2835" w:type="dxa"/>
            <w:shd w:val="clear" w:color="auto" w:fill="auto"/>
            <w:noWrap/>
            <w:hideMark/>
          </w:tcPr>
          <w:p w14:paraId="1EFE5A2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4 381 750</w:t>
            </w:r>
          </w:p>
        </w:tc>
      </w:tr>
      <w:tr w:rsidR="00E16C06" w:rsidRPr="00E16C06" w14:paraId="12F3F343" w14:textId="77777777" w:rsidTr="00E16C06">
        <w:trPr>
          <w:trHeight w:val="300"/>
        </w:trPr>
        <w:tc>
          <w:tcPr>
            <w:tcW w:w="3392" w:type="dxa"/>
            <w:shd w:val="clear" w:color="auto" w:fill="auto"/>
            <w:noWrap/>
            <w:vAlign w:val="bottom"/>
            <w:hideMark/>
          </w:tcPr>
          <w:p w14:paraId="6F277F9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Новохоперский</w:t>
            </w:r>
          </w:p>
        </w:tc>
        <w:tc>
          <w:tcPr>
            <w:tcW w:w="3119" w:type="dxa"/>
            <w:shd w:val="clear" w:color="auto" w:fill="auto"/>
            <w:noWrap/>
            <w:hideMark/>
          </w:tcPr>
          <w:p w14:paraId="5957DBD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w:t>
            </w:r>
          </w:p>
        </w:tc>
        <w:tc>
          <w:tcPr>
            <w:tcW w:w="2835" w:type="dxa"/>
            <w:shd w:val="clear" w:color="auto" w:fill="auto"/>
            <w:noWrap/>
            <w:hideMark/>
          </w:tcPr>
          <w:p w14:paraId="1A99A24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88 087</w:t>
            </w:r>
          </w:p>
        </w:tc>
      </w:tr>
      <w:tr w:rsidR="00E16C06" w:rsidRPr="00E16C06" w14:paraId="3D74615C" w14:textId="77777777" w:rsidTr="00E16C06">
        <w:trPr>
          <w:trHeight w:val="300"/>
        </w:trPr>
        <w:tc>
          <w:tcPr>
            <w:tcW w:w="3392" w:type="dxa"/>
            <w:shd w:val="clear" w:color="auto" w:fill="auto"/>
            <w:noWrap/>
            <w:vAlign w:val="bottom"/>
            <w:hideMark/>
          </w:tcPr>
          <w:p w14:paraId="33C806E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Ольховатский</w:t>
            </w:r>
          </w:p>
        </w:tc>
        <w:tc>
          <w:tcPr>
            <w:tcW w:w="3119" w:type="dxa"/>
            <w:shd w:val="clear" w:color="auto" w:fill="auto"/>
            <w:noWrap/>
            <w:hideMark/>
          </w:tcPr>
          <w:p w14:paraId="1BBE13F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w:t>
            </w:r>
          </w:p>
        </w:tc>
        <w:tc>
          <w:tcPr>
            <w:tcW w:w="2835" w:type="dxa"/>
            <w:shd w:val="clear" w:color="auto" w:fill="auto"/>
            <w:noWrap/>
            <w:hideMark/>
          </w:tcPr>
          <w:p w14:paraId="661136E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1 911 471</w:t>
            </w:r>
          </w:p>
        </w:tc>
      </w:tr>
      <w:tr w:rsidR="00E16C06" w:rsidRPr="00E16C06" w14:paraId="6A0BFB78" w14:textId="77777777" w:rsidTr="00E16C06">
        <w:trPr>
          <w:trHeight w:val="300"/>
        </w:trPr>
        <w:tc>
          <w:tcPr>
            <w:tcW w:w="3392" w:type="dxa"/>
            <w:shd w:val="clear" w:color="auto" w:fill="auto"/>
            <w:noWrap/>
            <w:vAlign w:val="bottom"/>
            <w:hideMark/>
          </w:tcPr>
          <w:p w14:paraId="34C7E2A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Острогожский</w:t>
            </w:r>
          </w:p>
        </w:tc>
        <w:tc>
          <w:tcPr>
            <w:tcW w:w="3119" w:type="dxa"/>
            <w:shd w:val="clear" w:color="auto" w:fill="auto"/>
            <w:noWrap/>
            <w:hideMark/>
          </w:tcPr>
          <w:p w14:paraId="734F37D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20</w:t>
            </w:r>
          </w:p>
        </w:tc>
        <w:tc>
          <w:tcPr>
            <w:tcW w:w="2835" w:type="dxa"/>
            <w:shd w:val="clear" w:color="auto" w:fill="auto"/>
            <w:noWrap/>
            <w:hideMark/>
          </w:tcPr>
          <w:p w14:paraId="411F54F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355 740</w:t>
            </w:r>
          </w:p>
        </w:tc>
      </w:tr>
      <w:tr w:rsidR="00E16C06" w:rsidRPr="00E16C06" w14:paraId="21A0B4F6" w14:textId="77777777" w:rsidTr="00E16C06">
        <w:trPr>
          <w:trHeight w:val="300"/>
        </w:trPr>
        <w:tc>
          <w:tcPr>
            <w:tcW w:w="3392" w:type="dxa"/>
            <w:shd w:val="clear" w:color="auto" w:fill="auto"/>
            <w:noWrap/>
            <w:vAlign w:val="bottom"/>
            <w:hideMark/>
          </w:tcPr>
          <w:p w14:paraId="68BB261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Павловский</w:t>
            </w:r>
          </w:p>
        </w:tc>
        <w:tc>
          <w:tcPr>
            <w:tcW w:w="3119" w:type="dxa"/>
            <w:shd w:val="clear" w:color="auto" w:fill="auto"/>
            <w:noWrap/>
            <w:hideMark/>
          </w:tcPr>
          <w:p w14:paraId="6EB08DE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27</w:t>
            </w:r>
          </w:p>
        </w:tc>
        <w:tc>
          <w:tcPr>
            <w:tcW w:w="2835" w:type="dxa"/>
            <w:shd w:val="clear" w:color="auto" w:fill="auto"/>
            <w:noWrap/>
            <w:hideMark/>
          </w:tcPr>
          <w:p w14:paraId="0641B3F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247 711</w:t>
            </w:r>
          </w:p>
        </w:tc>
      </w:tr>
      <w:tr w:rsidR="00E16C06" w:rsidRPr="00E16C06" w14:paraId="59E5C4B9" w14:textId="77777777" w:rsidTr="00E16C06">
        <w:trPr>
          <w:trHeight w:val="300"/>
        </w:trPr>
        <w:tc>
          <w:tcPr>
            <w:tcW w:w="3392" w:type="dxa"/>
            <w:shd w:val="clear" w:color="auto" w:fill="auto"/>
            <w:noWrap/>
            <w:vAlign w:val="bottom"/>
            <w:hideMark/>
          </w:tcPr>
          <w:p w14:paraId="2D4B12B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Панинский</w:t>
            </w:r>
          </w:p>
        </w:tc>
        <w:tc>
          <w:tcPr>
            <w:tcW w:w="3119" w:type="dxa"/>
            <w:shd w:val="clear" w:color="auto" w:fill="auto"/>
            <w:noWrap/>
            <w:hideMark/>
          </w:tcPr>
          <w:p w14:paraId="341AC08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w:t>
            </w:r>
          </w:p>
        </w:tc>
        <w:tc>
          <w:tcPr>
            <w:tcW w:w="2835" w:type="dxa"/>
            <w:shd w:val="clear" w:color="auto" w:fill="auto"/>
            <w:noWrap/>
            <w:hideMark/>
          </w:tcPr>
          <w:p w14:paraId="01594CD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271 553</w:t>
            </w:r>
          </w:p>
        </w:tc>
      </w:tr>
      <w:tr w:rsidR="00E16C06" w:rsidRPr="00E16C06" w14:paraId="1C28B8CB" w14:textId="77777777" w:rsidTr="00E16C06">
        <w:trPr>
          <w:trHeight w:val="300"/>
        </w:trPr>
        <w:tc>
          <w:tcPr>
            <w:tcW w:w="3392" w:type="dxa"/>
            <w:shd w:val="clear" w:color="auto" w:fill="auto"/>
            <w:noWrap/>
            <w:vAlign w:val="bottom"/>
            <w:hideMark/>
          </w:tcPr>
          <w:p w14:paraId="5EB8C74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Петропавловский</w:t>
            </w:r>
          </w:p>
        </w:tc>
        <w:tc>
          <w:tcPr>
            <w:tcW w:w="3119" w:type="dxa"/>
            <w:shd w:val="clear" w:color="auto" w:fill="auto"/>
            <w:noWrap/>
            <w:hideMark/>
          </w:tcPr>
          <w:p w14:paraId="71C1941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w:t>
            </w:r>
          </w:p>
        </w:tc>
        <w:tc>
          <w:tcPr>
            <w:tcW w:w="2835" w:type="dxa"/>
            <w:shd w:val="clear" w:color="auto" w:fill="auto"/>
            <w:noWrap/>
            <w:hideMark/>
          </w:tcPr>
          <w:p w14:paraId="2A5BBB2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92 000</w:t>
            </w:r>
          </w:p>
        </w:tc>
      </w:tr>
      <w:tr w:rsidR="00E16C06" w:rsidRPr="00E16C06" w14:paraId="0DBBEB2A" w14:textId="77777777" w:rsidTr="00E16C06">
        <w:trPr>
          <w:trHeight w:val="300"/>
        </w:trPr>
        <w:tc>
          <w:tcPr>
            <w:tcW w:w="3392" w:type="dxa"/>
            <w:shd w:val="clear" w:color="auto" w:fill="auto"/>
            <w:noWrap/>
            <w:vAlign w:val="bottom"/>
            <w:hideMark/>
          </w:tcPr>
          <w:p w14:paraId="6145F87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Поворинский</w:t>
            </w:r>
          </w:p>
        </w:tc>
        <w:tc>
          <w:tcPr>
            <w:tcW w:w="3119" w:type="dxa"/>
            <w:shd w:val="clear" w:color="auto" w:fill="auto"/>
            <w:noWrap/>
            <w:hideMark/>
          </w:tcPr>
          <w:p w14:paraId="545AF52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w:t>
            </w:r>
          </w:p>
        </w:tc>
        <w:tc>
          <w:tcPr>
            <w:tcW w:w="2835" w:type="dxa"/>
            <w:shd w:val="clear" w:color="auto" w:fill="auto"/>
            <w:noWrap/>
            <w:hideMark/>
          </w:tcPr>
          <w:p w14:paraId="407CC5C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121 680</w:t>
            </w:r>
          </w:p>
        </w:tc>
      </w:tr>
      <w:tr w:rsidR="00E16C06" w:rsidRPr="00E16C06" w14:paraId="258567A6" w14:textId="77777777" w:rsidTr="00E16C06">
        <w:trPr>
          <w:trHeight w:val="300"/>
        </w:trPr>
        <w:tc>
          <w:tcPr>
            <w:tcW w:w="3392" w:type="dxa"/>
            <w:shd w:val="clear" w:color="auto" w:fill="auto"/>
            <w:noWrap/>
            <w:vAlign w:val="bottom"/>
            <w:hideMark/>
          </w:tcPr>
          <w:p w14:paraId="7D39608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Подгоренский</w:t>
            </w:r>
          </w:p>
        </w:tc>
        <w:tc>
          <w:tcPr>
            <w:tcW w:w="3119" w:type="dxa"/>
            <w:shd w:val="clear" w:color="auto" w:fill="auto"/>
            <w:noWrap/>
            <w:hideMark/>
          </w:tcPr>
          <w:p w14:paraId="1D38223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w:t>
            </w:r>
          </w:p>
        </w:tc>
        <w:tc>
          <w:tcPr>
            <w:tcW w:w="2835" w:type="dxa"/>
            <w:shd w:val="clear" w:color="auto" w:fill="auto"/>
            <w:noWrap/>
            <w:hideMark/>
          </w:tcPr>
          <w:p w14:paraId="0D843F8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204 647</w:t>
            </w:r>
          </w:p>
        </w:tc>
      </w:tr>
      <w:tr w:rsidR="00E16C06" w:rsidRPr="00E16C06" w14:paraId="6F3C22E3" w14:textId="77777777" w:rsidTr="00E16C06">
        <w:trPr>
          <w:trHeight w:val="300"/>
        </w:trPr>
        <w:tc>
          <w:tcPr>
            <w:tcW w:w="3392" w:type="dxa"/>
            <w:shd w:val="clear" w:color="auto" w:fill="auto"/>
            <w:noWrap/>
            <w:vAlign w:val="bottom"/>
            <w:hideMark/>
          </w:tcPr>
          <w:p w14:paraId="09E603B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Рамонский</w:t>
            </w:r>
          </w:p>
        </w:tc>
        <w:tc>
          <w:tcPr>
            <w:tcW w:w="3119" w:type="dxa"/>
            <w:shd w:val="clear" w:color="auto" w:fill="auto"/>
            <w:noWrap/>
            <w:hideMark/>
          </w:tcPr>
          <w:p w14:paraId="5829C7C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320</w:t>
            </w:r>
          </w:p>
        </w:tc>
        <w:tc>
          <w:tcPr>
            <w:tcW w:w="2835" w:type="dxa"/>
            <w:shd w:val="clear" w:color="auto" w:fill="auto"/>
            <w:noWrap/>
            <w:hideMark/>
          </w:tcPr>
          <w:p w14:paraId="55E28CB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10 389 672</w:t>
            </w:r>
          </w:p>
        </w:tc>
      </w:tr>
      <w:tr w:rsidR="00E16C06" w:rsidRPr="00E16C06" w14:paraId="57C1AA7F" w14:textId="77777777" w:rsidTr="00E16C06">
        <w:trPr>
          <w:trHeight w:val="300"/>
        </w:trPr>
        <w:tc>
          <w:tcPr>
            <w:tcW w:w="3392" w:type="dxa"/>
            <w:shd w:val="clear" w:color="auto" w:fill="auto"/>
            <w:noWrap/>
            <w:vAlign w:val="bottom"/>
            <w:hideMark/>
          </w:tcPr>
          <w:p w14:paraId="71134E5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Репьевский</w:t>
            </w:r>
          </w:p>
        </w:tc>
        <w:tc>
          <w:tcPr>
            <w:tcW w:w="3119" w:type="dxa"/>
            <w:shd w:val="clear" w:color="auto" w:fill="auto"/>
            <w:noWrap/>
            <w:hideMark/>
          </w:tcPr>
          <w:p w14:paraId="0CB0F41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w:t>
            </w:r>
          </w:p>
        </w:tc>
        <w:tc>
          <w:tcPr>
            <w:tcW w:w="2835" w:type="dxa"/>
            <w:shd w:val="clear" w:color="auto" w:fill="auto"/>
            <w:noWrap/>
            <w:hideMark/>
          </w:tcPr>
          <w:p w14:paraId="7B8FD3E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198 033</w:t>
            </w:r>
          </w:p>
        </w:tc>
      </w:tr>
      <w:tr w:rsidR="00E16C06" w:rsidRPr="00E16C06" w14:paraId="2B5F7856" w14:textId="77777777" w:rsidTr="00E16C06">
        <w:trPr>
          <w:trHeight w:val="300"/>
        </w:trPr>
        <w:tc>
          <w:tcPr>
            <w:tcW w:w="3392" w:type="dxa"/>
            <w:shd w:val="clear" w:color="auto" w:fill="auto"/>
            <w:noWrap/>
            <w:vAlign w:val="bottom"/>
            <w:hideMark/>
          </w:tcPr>
          <w:p w14:paraId="3BB6B8F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Россошанский</w:t>
            </w:r>
          </w:p>
        </w:tc>
        <w:tc>
          <w:tcPr>
            <w:tcW w:w="3119" w:type="dxa"/>
            <w:shd w:val="clear" w:color="auto" w:fill="auto"/>
            <w:noWrap/>
            <w:hideMark/>
          </w:tcPr>
          <w:p w14:paraId="6BE25B4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37</w:t>
            </w:r>
          </w:p>
        </w:tc>
        <w:tc>
          <w:tcPr>
            <w:tcW w:w="2835" w:type="dxa"/>
            <w:shd w:val="clear" w:color="auto" w:fill="auto"/>
            <w:noWrap/>
            <w:hideMark/>
          </w:tcPr>
          <w:p w14:paraId="65D4AF8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523 225</w:t>
            </w:r>
          </w:p>
        </w:tc>
      </w:tr>
      <w:tr w:rsidR="00E16C06" w:rsidRPr="00E16C06" w14:paraId="434BC0C0" w14:textId="77777777" w:rsidTr="00E16C06">
        <w:trPr>
          <w:trHeight w:val="300"/>
        </w:trPr>
        <w:tc>
          <w:tcPr>
            <w:tcW w:w="3392" w:type="dxa"/>
            <w:shd w:val="clear" w:color="auto" w:fill="auto"/>
            <w:noWrap/>
            <w:vAlign w:val="bottom"/>
            <w:hideMark/>
          </w:tcPr>
          <w:p w14:paraId="089832F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Семилукский</w:t>
            </w:r>
          </w:p>
        </w:tc>
        <w:tc>
          <w:tcPr>
            <w:tcW w:w="3119" w:type="dxa"/>
            <w:shd w:val="clear" w:color="auto" w:fill="auto"/>
            <w:noWrap/>
            <w:hideMark/>
          </w:tcPr>
          <w:p w14:paraId="51E8F32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w:t>
            </w:r>
          </w:p>
        </w:tc>
        <w:tc>
          <w:tcPr>
            <w:tcW w:w="2835" w:type="dxa"/>
            <w:shd w:val="clear" w:color="auto" w:fill="auto"/>
            <w:noWrap/>
            <w:hideMark/>
          </w:tcPr>
          <w:p w14:paraId="70C4A71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412 014</w:t>
            </w:r>
          </w:p>
        </w:tc>
      </w:tr>
      <w:tr w:rsidR="00E16C06" w:rsidRPr="00E16C06" w14:paraId="12A09B53" w14:textId="77777777" w:rsidTr="00E16C06">
        <w:trPr>
          <w:trHeight w:val="300"/>
        </w:trPr>
        <w:tc>
          <w:tcPr>
            <w:tcW w:w="3392" w:type="dxa"/>
            <w:shd w:val="clear" w:color="auto" w:fill="auto"/>
            <w:noWrap/>
            <w:vAlign w:val="bottom"/>
            <w:hideMark/>
          </w:tcPr>
          <w:p w14:paraId="4C2E6F0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Таловский</w:t>
            </w:r>
          </w:p>
        </w:tc>
        <w:tc>
          <w:tcPr>
            <w:tcW w:w="3119" w:type="dxa"/>
            <w:shd w:val="clear" w:color="auto" w:fill="auto"/>
            <w:noWrap/>
            <w:hideMark/>
          </w:tcPr>
          <w:p w14:paraId="2C661AE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w:t>
            </w:r>
          </w:p>
        </w:tc>
        <w:tc>
          <w:tcPr>
            <w:tcW w:w="2835" w:type="dxa"/>
            <w:shd w:val="clear" w:color="auto" w:fill="auto"/>
            <w:noWrap/>
            <w:hideMark/>
          </w:tcPr>
          <w:p w14:paraId="64224AE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138 757</w:t>
            </w:r>
          </w:p>
        </w:tc>
      </w:tr>
      <w:tr w:rsidR="00E16C06" w:rsidRPr="00E16C06" w14:paraId="4A5AC3F4" w14:textId="77777777" w:rsidTr="00E16C06">
        <w:trPr>
          <w:trHeight w:val="300"/>
        </w:trPr>
        <w:tc>
          <w:tcPr>
            <w:tcW w:w="3392" w:type="dxa"/>
            <w:shd w:val="clear" w:color="auto" w:fill="auto"/>
            <w:noWrap/>
            <w:vAlign w:val="bottom"/>
            <w:hideMark/>
          </w:tcPr>
          <w:p w14:paraId="367367F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Терновский</w:t>
            </w:r>
          </w:p>
        </w:tc>
        <w:tc>
          <w:tcPr>
            <w:tcW w:w="3119" w:type="dxa"/>
            <w:shd w:val="clear" w:color="auto" w:fill="auto"/>
            <w:noWrap/>
            <w:hideMark/>
          </w:tcPr>
          <w:p w14:paraId="04692E8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18</w:t>
            </w:r>
          </w:p>
        </w:tc>
        <w:tc>
          <w:tcPr>
            <w:tcW w:w="2835" w:type="dxa"/>
            <w:shd w:val="clear" w:color="auto" w:fill="auto"/>
            <w:noWrap/>
            <w:hideMark/>
          </w:tcPr>
          <w:p w14:paraId="522AADC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89 964</w:t>
            </w:r>
          </w:p>
        </w:tc>
      </w:tr>
      <w:tr w:rsidR="00E16C06" w:rsidRPr="00E16C06" w14:paraId="68965888" w14:textId="77777777" w:rsidTr="00E16C06">
        <w:trPr>
          <w:trHeight w:val="300"/>
        </w:trPr>
        <w:tc>
          <w:tcPr>
            <w:tcW w:w="3392" w:type="dxa"/>
            <w:shd w:val="clear" w:color="auto" w:fill="auto"/>
            <w:noWrap/>
            <w:vAlign w:val="bottom"/>
            <w:hideMark/>
          </w:tcPr>
          <w:p w14:paraId="171C34B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Хохольский</w:t>
            </w:r>
          </w:p>
        </w:tc>
        <w:tc>
          <w:tcPr>
            <w:tcW w:w="3119" w:type="dxa"/>
            <w:shd w:val="clear" w:color="auto" w:fill="auto"/>
            <w:noWrap/>
            <w:hideMark/>
          </w:tcPr>
          <w:p w14:paraId="3020335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w:t>
            </w:r>
          </w:p>
        </w:tc>
        <w:tc>
          <w:tcPr>
            <w:tcW w:w="2835" w:type="dxa"/>
            <w:shd w:val="clear" w:color="auto" w:fill="auto"/>
            <w:noWrap/>
            <w:hideMark/>
          </w:tcPr>
          <w:p w14:paraId="5E5E740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184 967</w:t>
            </w:r>
          </w:p>
        </w:tc>
      </w:tr>
      <w:tr w:rsidR="00E16C06" w:rsidRPr="00E16C06" w14:paraId="0F8DAC92" w14:textId="77777777" w:rsidTr="00E16C06">
        <w:trPr>
          <w:trHeight w:val="300"/>
        </w:trPr>
        <w:tc>
          <w:tcPr>
            <w:tcW w:w="3392" w:type="dxa"/>
            <w:shd w:val="clear" w:color="auto" w:fill="auto"/>
            <w:noWrap/>
            <w:vAlign w:val="bottom"/>
            <w:hideMark/>
          </w:tcPr>
          <w:p w14:paraId="6ACF3C6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Эртильский</w:t>
            </w:r>
          </w:p>
        </w:tc>
        <w:tc>
          <w:tcPr>
            <w:tcW w:w="3119" w:type="dxa"/>
            <w:shd w:val="clear" w:color="auto" w:fill="auto"/>
            <w:noWrap/>
            <w:hideMark/>
          </w:tcPr>
          <w:p w14:paraId="2B4C79C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w:t>
            </w:r>
          </w:p>
        </w:tc>
        <w:tc>
          <w:tcPr>
            <w:tcW w:w="2835" w:type="dxa"/>
            <w:shd w:val="clear" w:color="auto" w:fill="auto"/>
            <w:noWrap/>
            <w:hideMark/>
          </w:tcPr>
          <w:p w14:paraId="2FE8C30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15 045</w:t>
            </w:r>
          </w:p>
        </w:tc>
      </w:tr>
      <w:tr w:rsidR="00E16C06" w:rsidRPr="00E16C06" w14:paraId="09B83B32" w14:textId="77777777" w:rsidTr="00E16C06">
        <w:trPr>
          <w:trHeight w:val="315"/>
        </w:trPr>
        <w:tc>
          <w:tcPr>
            <w:tcW w:w="3392" w:type="dxa"/>
            <w:shd w:val="clear" w:color="auto" w:fill="auto"/>
            <w:noWrap/>
            <w:vAlign w:val="bottom"/>
            <w:hideMark/>
          </w:tcPr>
          <w:p w14:paraId="49222126"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eastAsia="Times New Roman" w:hAnsi="Times New Roman" w:cs="Times New Roman"/>
                <w:b/>
                <w:spacing w:val="-5"/>
              </w:rPr>
              <w:t>Общий итог</w:t>
            </w:r>
          </w:p>
        </w:tc>
        <w:tc>
          <w:tcPr>
            <w:tcW w:w="3119" w:type="dxa"/>
            <w:shd w:val="clear" w:color="auto" w:fill="auto"/>
            <w:noWrap/>
            <w:hideMark/>
          </w:tcPr>
          <w:p w14:paraId="3D5E8CEA"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hAnsi="Times New Roman" w:cs="Times New Roman"/>
                <w:b/>
              </w:rPr>
              <w:t>1097</w:t>
            </w:r>
          </w:p>
        </w:tc>
        <w:tc>
          <w:tcPr>
            <w:tcW w:w="2835" w:type="dxa"/>
            <w:shd w:val="clear" w:color="auto" w:fill="auto"/>
            <w:noWrap/>
            <w:hideMark/>
          </w:tcPr>
          <w:p w14:paraId="6F50CC3D"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hAnsi="Times New Roman" w:cs="Times New Roman"/>
                <w:b/>
              </w:rPr>
              <w:t>44 871 356</w:t>
            </w:r>
          </w:p>
        </w:tc>
      </w:tr>
    </w:tbl>
    <w:p w14:paraId="7BC3AA87" w14:textId="77777777" w:rsidR="00E16C06" w:rsidRPr="00E16C06" w:rsidRDefault="00E16C06" w:rsidP="00E16C06">
      <w:pPr>
        <w:rPr>
          <w:rFonts w:ascii="Times New Roman" w:eastAsia="Times New Roman" w:hAnsi="Times New Roman" w:cs="Times New Roman"/>
          <w:sz w:val="26"/>
          <w:szCs w:val="26"/>
        </w:rPr>
      </w:pPr>
    </w:p>
    <w:p w14:paraId="1C71F42E" w14:textId="77777777" w:rsidR="00E16C06" w:rsidRPr="00E16C06" w:rsidRDefault="00E16C06" w:rsidP="00E16C06">
      <w:pPr>
        <w:rPr>
          <w:rFonts w:ascii="Times New Roman" w:hAnsi="Times New Roman" w:cs="Times New Roman"/>
          <w:noProof/>
        </w:rPr>
      </w:pPr>
      <w:r w:rsidRPr="00E16C06">
        <w:rPr>
          <w:rFonts w:ascii="Times New Roman" w:hAnsi="Times New Roman" w:cs="Times New Roman"/>
          <w:noProof/>
          <w:lang w:eastAsia="ru-RU"/>
        </w:rPr>
        <w:drawing>
          <wp:inline distT="0" distB="0" distL="0" distR="0" wp14:anchorId="4F3A46C5" wp14:editId="09B9CA43">
            <wp:extent cx="5940425" cy="3905250"/>
            <wp:effectExtent l="0" t="0" r="3175" b="0"/>
            <wp:docPr id="597" name="Диаграмма 5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5AB15B5B"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Рис. 3.3.2.11 – Распределение земельных участков, относящихся к сегменту 5 «Отдых (рекреация)», по муниципальным районам Воронежской области</w:t>
      </w:r>
    </w:p>
    <w:p w14:paraId="610A994F" w14:textId="77777777" w:rsidR="00E16C06" w:rsidRPr="00E16C06" w:rsidRDefault="00E16C06" w:rsidP="00E16C06">
      <w:pPr>
        <w:spacing w:after="0" w:line="276" w:lineRule="auto"/>
        <w:ind w:firstLine="709"/>
        <w:contextualSpacing/>
        <w:jc w:val="both"/>
        <w:rPr>
          <w:rFonts w:ascii="Times New Roman" w:eastAsia="Times New Roman" w:hAnsi="Times New Roman" w:cs="Times New Roman"/>
          <w:spacing w:val="-5"/>
          <w:sz w:val="26"/>
          <w:szCs w:val="26"/>
        </w:rPr>
      </w:pPr>
      <w:r w:rsidRPr="00E16C06">
        <w:rPr>
          <w:rFonts w:ascii="Times New Roman" w:hAnsi="Times New Roman" w:cs="Times New Roman"/>
          <w:sz w:val="26"/>
          <w:szCs w:val="26"/>
        </w:rPr>
        <w:t>В соответствии с сегментацией объектов недвижимости с указанием кодов расчета вида использования (приложение № 1 Указаний) 5 сегмент включает в себя коды расчета 04:070, 04:097, 05:000, 05:014, 05:022, 05:030, 08:040, 09:021, 09:023. Распределение земельных участков 5 сегмента по кодам вида использования представлено в таблице 3.3.2.12.</w:t>
      </w:r>
    </w:p>
    <w:p w14:paraId="6EA85113" w14:textId="77777777" w:rsidR="00E16C06" w:rsidRPr="00E16C06" w:rsidRDefault="00E16C06" w:rsidP="00E16C06">
      <w:pPr>
        <w:spacing w:after="0" w:line="276" w:lineRule="auto"/>
        <w:ind w:firstLine="709"/>
        <w:contextualSpacing/>
        <w:jc w:val="right"/>
        <w:rPr>
          <w:rFonts w:ascii="Times New Roman" w:hAnsi="Times New Roman" w:cs="Times New Roman"/>
          <w:sz w:val="26"/>
          <w:szCs w:val="26"/>
        </w:rPr>
      </w:pPr>
      <w:r w:rsidRPr="00E16C06">
        <w:rPr>
          <w:rFonts w:ascii="Times New Roman" w:hAnsi="Times New Roman" w:cs="Times New Roman"/>
          <w:sz w:val="26"/>
          <w:szCs w:val="26"/>
        </w:rPr>
        <w:t xml:space="preserve">Таблица </w:t>
      </w:r>
      <w:r w:rsidRPr="00E16C06">
        <w:rPr>
          <w:rFonts w:ascii="Times New Roman" w:eastAsia="Times New Roman" w:hAnsi="Times New Roman" w:cs="Times New Roman"/>
          <w:spacing w:val="-5"/>
          <w:sz w:val="26"/>
          <w:szCs w:val="26"/>
        </w:rPr>
        <w:t>3.3.2.12</w:t>
      </w:r>
    </w:p>
    <w:p w14:paraId="4A3B3CE3"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Распределение объектов оценки по кодам расчета вида использования</w:t>
      </w:r>
    </w:p>
    <w:p w14:paraId="5D9BBB63"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в составе 5 сегмента</w:t>
      </w:r>
    </w:p>
    <w:tbl>
      <w:tblPr>
        <w:tblStyle w:val="ae"/>
        <w:tblW w:w="0" w:type="auto"/>
        <w:tblLook w:val="04A0" w:firstRow="1" w:lastRow="0" w:firstColumn="1" w:lastColumn="0" w:noHBand="0" w:noVBand="1"/>
      </w:tblPr>
      <w:tblGrid>
        <w:gridCol w:w="2547"/>
        <w:gridCol w:w="3683"/>
        <w:gridCol w:w="3115"/>
      </w:tblGrid>
      <w:tr w:rsidR="00E16C06" w:rsidRPr="00E16C06" w14:paraId="55EF8A82" w14:textId="77777777" w:rsidTr="00E16C06">
        <w:tc>
          <w:tcPr>
            <w:tcW w:w="2547" w:type="dxa"/>
            <w:vAlign w:val="center"/>
          </w:tcPr>
          <w:p w14:paraId="3A70A686"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Сегмент</w:t>
            </w:r>
          </w:p>
        </w:tc>
        <w:tc>
          <w:tcPr>
            <w:tcW w:w="3683" w:type="dxa"/>
            <w:vAlign w:val="center"/>
          </w:tcPr>
          <w:p w14:paraId="0EB12931"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Код расчета вида использования</w:t>
            </w:r>
          </w:p>
        </w:tc>
        <w:tc>
          <w:tcPr>
            <w:tcW w:w="3115" w:type="dxa"/>
            <w:vAlign w:val="center"/>
          </w:tcPr>
          <w:p w14:paraId="3D85ED5B"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Количество ЗУ</w:t>
            </w:r>
          </w:p>
        </w:tc>
      </w:tr>
      <w:tr w:rsidR="00E16C06" w:rsidRPr="00E16C06" w14:paraId="7E7D5961" w14:textId="77777777" w:rsidTr="00E16C06">
        <w:tc>
          <w:tcPr>
            <w:tcW w:w="2547" w:type="dxa"/>
            <w:vMerge w:val="restart"/>
            <w:vAlign w:val="center"/>
          </w:tcPr>
          <w:p w14:paraId="61A17DE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5</w:t>
            </w:r>
          </w:p>
        </w:tc>
        <w:tc>
          <w:tcPr>
            <w:tcW w:w="3683" w:type="dxa"/>
            <w:tcBorders>
              <w:top w:val="single" w:sz="4" w:space="0" w:color="auto"/>
              <w:left w:val="single" w:sz="4" w:space="0" w:color="auto"/>
              <w:bottom w:val="single" w:sz="4" w:space="0" w:color="auto"/>
              <w:right w:val="single" w:sz="4" w:space="0" w:color="auto"/>
            </w:tcBorders>
            <w:shd w:val="clear" w:color="auto" w:fill="auto"/>
          </w:tcPr>
          <w:p w14:paraId="0B672D1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04:070</w:t>
            </w:r>
          </w:p>
        </w:tc>
        <w:tc>
          <w:tcPr>
            <w:tcW w:w="3115" w:type="dxa"/>
            <w:tcBorders>
              <w:top w:val="single" w:sz="4" w:space="0" w:color="auto"/>
              <w:left w:val="nil"/>
              <w:bottom w:val="single" w:sz="4" w:space="0" w:color="auto"/>
              <w:right w:val="single" w:sz="4" w:space="0" w:color="auto"/>
            </w:tcBorders>
            <w:shd w:val="clear" w:color="auto" w:fill="auto"/>
          </w:tcPr>
          <w:p w14:paraId="10393A4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159</w:t>
            </w:r>
          </w:p>
        </w:tc>
      </w:tr>
      <w:tr w:rsidR="00E16C06" w:rsidRPr="00E16C06" w14:paraId="7C8C7C95" w14:textId="77777777" w:rsidTr="00E16C06">
        <w:tc>
          <w:tcPr>
            <w:tcW w:w="2547" w:type="dxa"/>
            <w:vMerge/>
          </w:tcPr>
          <w:p w14:paraId="29DAE92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4E2F746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04:097</w:t>
            </w:r>
          </w:p>
        </w:tc>
        <w:tc>
          <w:tcPr>
            <w:tcW w:w="3115" w:type="dxa"/>
            <w:tcBorders>
              <w:top w:val="nil"/>
              <w:left w:val="nil"/>
              <w:bottom w:val="single" w:sz="4" w:space="0" w:color="auto"/>
              <w:right w:val="single" w:sz="4" w:space="0" w:color="auto"/>
            </w:tcBorders>
            <w:shd w:val="clear" w:color="auto" w:fill="auto"/>
          </w:tcPr>
          <w:p w14:paraId="0D9086B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21</w:t>
            </w:r>
          </w:p>
        </w:tc>
      </w:tr>
      <w:tr w:rsidR="00E16C06" w:rsidRPr="00E16C06" w14:paraId="08F463FE" w14:textId="77777777" w:rsidTr="00E16C06">
        <w:tc>
          <w:tcPr>
            <w:tcW w:w="2547" w:type="dxa"/>
            <w:vMerge/>
          </w:tcPr>
          <w:p w14:paraId="34944E2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3885EDF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05:000</w:t>
            </w:r>
          </w:p>
        </w:tc>
        <w:tc>
          <w:tcPr>
            <w:tcW w:w="3115" w:type="dxa"/>
            <w:tcBorders>
              <w:top w:val="nil"/>
              <w:left w:val="nil"/>
              <w:bottom w:val="single" w:sz="4" w:space="0" w:color="auto"/>
              <w:right w:val="single" w:sz="4" w:space="0" w:color="auto"/>
            </w:tcBorders>
            <w:shd w:val="clear" w:color="auto" w:fill="auto"/>
          </w:tcPr>
          <w:p w14:paraId="05076D2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598</w:t>
            </w:r>
          </w:p>
        </w:tc>
      </w:tr>
      <w:tr w:rsidR="00E16C06" w:rsidRPr="00E16C06" w14:paraId="7B752B10" w14:textId="77777777" w:rsidTr="00E16C06">
        <w:tc>
          <w:tcPr>
            <w:tcW w:w="2547" w:type="dxa"/>
            <w:vMerge/>
          </w:tcPr>
          <w:p w14:paraId="22ACB86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572C0D6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05:014</w:t>
            </w:r>
          </w:p>
        </w:tc>
        <w:tc>
          <w:tcPr>
            <w:tcW w:w="3115" w:type="dxa"/>
            <w:tcBorders>
              <w:top w:val="nil"/>
              <w:left w:val="nil"/>
              <w:bottom w:val="single" w:sz="4" w:space="0" w:color="auto"/>
              <w:right w:val="single" w:sz="4" w:space="0" w:color="auto"/>
            </w:tcBorders>
            <w:shd w:val="clear" w:color="auto" w:fill="auto"/>
          </w:tcPr>
          <w:p w14:paraId="500C1B0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12</w:t>
            </w:r>
          </w:p>
        </w:tc>
      </w:tr>
      <w:tr w:rsidR="00E16C06" w:rsidRPr="00E16C06" w14:paraId="08D6CE8B" w14:textId="77777777" w:rsidTr="00E16C06">
        <w:tc>
          <w:tcPr>
            <w:tcW w:w="2547" w:type="dxa"/>
            <w:vMerge/>
          </w:tcPr>
          <w:p w14:paraId="5901F10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3A87BEA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05:022</w:t>
            </w:r>
          </w:p>
        </w:tc>
        <w:tc>
          <w:tcPr>
            <w:tcW w:w="3115" w:type="dxa"/>
            <w:tcBorders>
              <w:top w:val="nil"/>
              <w:left w:val="nil"/>
              <w:bottom w:val="single" w:sz="4" w:space="0" w:color="auto"/>
              <w:right w:val="single" w:sz="4" w:space="0" w:color="auto"/>
            </w:tcBorders>
            <w:shd w:val="clear" w:color="auto" w:fill="auto"/>
          </w:tcPr>
          <w:p w14:paraId="04AA003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170</w:t>
            </w:r>
          </w:p>
        </w:tc>
      </w:tr>
      <w:tr w:rsidR="00E16C06" w:rsidRPr="00E16C06" w14:paraId="234D7844" w14:textId="77777777" w:rsidTr="00E16C06">
        <w:tc>
          <w:tcPr>
            <w:tcW w:w="2547" w:type="dxa"/>
            <w:vMerge/>
          </w:tcPr>
          <w:p w14:paraId="33BE637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29F9C1B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05:030</w:t>
            </w:r>
          </w:p>
        </w:tc>
        <w:tc>
          <w:tcPr>
            <w:tcW w:w="3115" w:type="dxa"/>
            <w:tcBorders>
              <w:top w:val="nil"/>
              <w:left w:val="nil"/>
              <w:bottom w:val="single" w:sz="4" w:space="0" w:color="auto"/>
              <w:right w:val="single" w:sz="4" w:space="0" w:color="auto"/>
            </w:tcBorders>
            <w:shd w:val="clear" w:color="auto" w:fill="auto"/>
          </w:tcPr>
          <w:p w14:paraId="6D885C6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10</w:t>
            </w:r>
          </w:p>
        </w:tc>
      </w:tr>
      <w:tr w:rsidR="00E16C06" w:rsidRPr="00E16C06" w14:paraId="1FD2596C" w14:textId="77777777" w:rsidTr="00E16C06">
        <w:tc>
          <w:tcPr>
            <w:tcW w:w="2547" w:type="dxa"/>
            <w:vMerge/>
          </w:tcPr>
          <w:p w14:paraId="6E0B9FF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4F05C49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08:040</w:t>
            </w:r>
          </w:p>
        </w:tc>
        <w:tc>
          <w:tcPr>
            <w:tcW w:w="3115" w:type="dxa"/>
            <w:tcBorders>
              <w:top w:val="nil"/>
              <w:left w:val="nil"/>
              <w:bottom w:val="single" w:sz="4" w:space="0" w:color="auto"/>
              <w:right w:val="single" w:sz="4" w:space="0" w:color="auto"/>
            </w:tcBorders>
            <w:shd w:val="clear" w:color="auto" w:fill="auto"/>
          </w:tcPr>
          <w:p w14:paraId="2B52BAB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15</w:t>
            </w:r>
          </w:p>
        </w:tc>
      </w:tr>
      <w:tr w:rsidR="00E16C06" w:rsidRPr="00E16C06" w14:paraId="08787080" w14:textId="77777777" w:rsidTr="00E16C06">
        <w:tc>
          <w:tcPr>
            <w:tcW w:w="2547" w:type="dxa"/>
            <w:vMerge/>
          </w:tcPr>
          <w:p w14:paraId="63BD54A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7164A0D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09:021</w:t>
            </w:r>
          </w:p>
        </w:tc>
        <w:tc>
          <w:tcPr>
            <w:tcW w:w="3115" w:type="dxa"/>
            <w:tcBorders>
              <w:top w:val="nil"/>
              <w:left w:val="nil"/>
              <w:bottom w:val="single" w:sz="4" w:space="0" w:color="auto"/>
              <w:right w:val="single" w:sz="4" w:space="0" w:color="auto"/>
            </w:tcBorders>
            <w:shd w:val="clear" w:color="auto" w:fill="auto"/>
          </w:tcPr>
          <w:p w14:paraId="3C7C529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57</w:t>
            </w:r>
          </w:p>
        </w:tc>
      </w:tr>
      <w:tr w:rsidR="00E16C06" w:rsidRPr="00E16C06" w14:paraId="21EA7D06" w14:textId="77777777" w:rsidTr="00E16C06">
        <w:tc>
          <w:tcPr>
            <w:tcW w:w="2547" w:type="dxa"/>
            <w:vMerge/>
          </w:tcPr>
          <w:p w14:paraId="0F80A09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549D7C4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09:023</w:t>
            </w:r>
          </w:p>
        </w:tc>
        <w:tc>
          <w:tcPr>
            <w:tcW w:w="3115" w:type="dxa"/>
            <w:tcBorders>
              <w:top w:val="nil"/>
              <w:left w:val="nil"/>
              <w:bottom w:val="single" w:sz="4" w:space="0" w:color="auto"/>
              <w:right w:val="single" w:sz="4" w:space="0" w:color="auto"/>
            </w:tcBorders>
            <w:shd w:val="clear" w:color="auto" w:fill="auto"/>
          </w:tcPr>
          <w:p w14:paraId="38B564D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55</w:t>
            </w:r>
          </w:p>
        </w:tc>
      </w:tr>
      <w:tr w:rsidR="00E16C06" w:rsidRPr="00E16C06" w14:paraId="007904EC" w14:textId="77777777" w:rsidTr="00E16C06">
        <w:tc>
          <w:tcPr>
            <w:tcW w:w="2547" w:type="dxa"/>
          </w:tcPr>
          <w:p w14:paraId="3BCB1EC1"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Итог</w:t>
            </w:r>
          </w:p>
        </w:tc>
        <w:tc>
          <w:tcPr>
            <w:tcW w:w="3683" w:type="dxa"/>
          </w:tcPr>
          <w:p w14:paraId="7A67A834"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p>
        </w:tc>
        <w:tc>
          <w:tcPr>
            <w:tcW w:w="3115" w:type="dxa"/>
          </w:tcPr>
          <w:p w14:paraId="75ACC7C7" w14:textId="77777777" w:rsidR="00E16C06" w:rsidRPr="00E16C06" w:rsidRDefault="00E16C06" w:rsidP="00E16C06">
            <w:pPr>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1 097</w:t>
            </w:r>
          </w:p>
        </w:tc>
      </w:tr>
    </w:tbl>
    <w:p w14:paraId="3DBE8D4E" w14:textId="77777777" w:rsidR="00E16C06" w:rsidRPr="00E16C06" w:rsidRDefault="00E16C06" w:rsidP="00E16C06">
      <w:pPr>
        <w:rPr>
          <w:rFonts w:ascii="Times New Roman" w:eastAsia="Times New Roman" w:hAnsi="Times New Roman" w:cs="Times New Roman"/>
          <w:sz w:val="26"/>
          <w:szCs w:val="26"/>
        </w:rPr>
      </w:pPr>
    </w:p>
    <w:p w14:paraId="523FAC52" w14:textId="77777777" w:rsidR="00E16C06" w:rsidRPr="00E16C06" w:rsidRDefault="00E16C06" w:rsidP="00E16C06">
      <w:pPr>
        <w:rPr>
          <w:rFonts w:ascii="Times New Roman" w:hAnsi="Times New Roman" w:cs="Times New Roman"/>
          <w:noProof/>
        </w:rPr>
      </w:pPr>
      <w:r w:rsidRPr="00E16C06">
        <w:rPr>
          <w:rFonts w:ascii="Times New Roman" w:hAnsi="Times New Roman" w:cs="Times New Roman"/>
          <w:noProof/>
          <w:lang w:eastAsia="ru-RU"/>
        </w:rPr>
        <w:drawing>
          <wp:inline distT="0" distB="0" distL="0" distR="0" wp14:anchorId="379125E3" wp14:editId="56673C1F">
            <wp:extent cx="5916305" cy="3200400"/>
            <wp:effectExtent l="0" t="0" r="8255" b="0"/>
            <wp:docPr id="598" name="Диаграмма 5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6FC2B9ED"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eastAsia="Times New Roman" w:hAnsi="Times New Roman" w:cs="Times New Roman"/>
          <w:spacing w:val="-5"/>
          <w:sz w:val="26"/>
          <w:szCs w:val="26"/>
        </w:rPr>
        <w:t>Рис. 3.3.2.12 – Распределение</w:t>
      </w:r>
      <w:r w:rsidRPr="00E16C06">
        <w:rPr>
          <w:rFonts w:ascii="Times New Roman" w:hAnsi="Times New Roman" w:cs="Times New Roman"/>
          <w:sz w:val="26"/>
          <w:szCs w:val="26"/>
        </w:rPr>
        <w:t xml:space="preserve"> объектов оценки по кодам расчета вида использования в составе 5 сегмента</w:t>
      </w:r>
    </w:p>
    <w:p w14:paraId="1C63A7C5"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p>
    <w:p w14:paraId="3627EEFC"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p>
    <w:p w14:paraId="3507F8CA"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p>
    <w:p w14:paraId="0DE01C8D"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p>
    <w:p w14:paraId="69B4056B"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p>
    <w:p w14:paraId="3A40BC8D"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p>
    <w:p w14:paraId="608E4F87" w14:textId="77777777" w:rsidR="00E16C06" w:rsidRPr="00E16C06" w:rsidRDefault="00E16C06" w:rsidP="00E16C06">
      <w:pPr>
        <w:spacing w:after="0" w:line="276" w:lineRule="auto"/>
        <w:contextualSpacing/>
        <w:jc w:val="center"/>
        <w:rPr>
          <w:rFonts w:ascii="Times New Roman" w:eastAsia="Times New Roman" w:hAnsi="Times New Roman" w:cs="Times New Roman"/>
          <w:i/>
          <w:sz w:val="26"/>
          <w:szCs w:val="26"/>
          <w:lang w:eastAsia="ru-RU"/>
        </w:rPr>
      </w:pPr>
      <w:r w:rsidRPr="00E16C06">
        <w:rPr>
          <w:rFonts w:ascii="Times New Roman" w:eastAsia="Times New Roman" w:hAnsi="Times New Roman" w:cs="Times New Roman"/>
          <w:i/>
          <w:spacing w:val="-5"/>
          <w:sz w:val="26"/>
          <w:szCs w:val="26"/>
        </w:rPr>
        <w:t xml:space="preserve">Описание объектов недвижимости </w:t>
      </w:r>
      <w:r w:rsidRPr="00E16C06">
        <w:rPr>
          <w:rFonts w:ascii="Times New Roman" w:eastAsia="Times New Roman" w:hAnsi="Times New Roman" w:cs="Times New Roman"/>
          <w:i/>
          <w:sz w:val="26"/>
          <w:szCs w:val="26"/>
          <w:lang w:eastAsia="ru-RU"/>
        </w:rPr>
        <w:t>6 сегмента «Производственная деятельность»</w:t>
      </w:r>
    </w:p>
    <w:p w14:paraId="4E8DD3DF" w14:textId="77777777" w:rsidR="00E16C06" w:rsidRPr="00E16C06" w:rsidRDefault="00E16C06" w:rsidP="00E16C06">
      <w:pPr>
        <w:spacing w:after="0" w:line="276" w:lineRule="auto"/>
        <w:contextualSpacing/>
        <w:jc w:val="center"/>
        <w:rPr>
          <w:rFonts w:ascii="Times New Roman" w:eastAsia="Times New Roman" w:hAnsi="Times New Roman" w:cs="Times New Roman"/>
          <w:i/>
          <w:color w:val="000000"/>
          <w:sz w:val="26"/>
          <w:szCs w:val="26"/>
          <w:lang w:eastAsia="ru-RU"/>
        </w:rPr>
      </w:pPr>
    </w:p>
    <w:p w14:paraId="3205E615" w14:textId="77777777" w:rsidR="00E16C06" w:rsidRPr="00E16C06" w:rsidRDefault="00E16C06" w:rsidP="00E16C06">
      <w:pPr>
        <w:spacing w:after="0" w:line="276" w:lineRule="auto"/>
        <w:ind w:firstLine="709"/>
        <w:contextualSpacing/>
        <w:jc w:val="both"/>
        <w:rPr>
          <w:rFonts w:ascii="Times New Roman" w:hAnsi="Times New Roman" w:cs="Times New Roman"/>
          <w:color w:val="000000" w:themeColor="text1"/>
          <w:sz w:val="26"/>
          <w:szCs w:val="26"/>
        </w:rPr>
      </w:pPr>
      <w:r w:rsidRPr="00E16C06">
        <w:rPr>
          <w:rFonts w:ascii="Times New Roman" w:hAnsi="Times New Roman" w:cs="Times New Roman"/>
          <w:color w:val="000000" w:themeColor="text1"/>
          <w:sz w:val="26"/>
          <w:szCs w:val="26"/>
        </w:rPr>
        <w:t>Наибольшее количество земельных участков 6 сегмента сосредоточено в г. Воронеже – 7354 объектов. Наименьшее количество земельных участков 6 сегмента сосредоточено в Репьёвском районе – 419 объектов.</w:t>
      </w:r>
    </w:p>
    <w:p w14:paraId="275885D4" w14:textId="77777777" w:rsidR="00E16C06" w:rsidRPr="00E16C06" w:rsidRDefault="00E16C06" w:rsidP="00E16C06">
      <w:pPr>
        <w:spacing w:after="0" w:line="276" w:lineRule="auto"/>
        <w:contextualSpacing/>
        <w:jc w:val="right"/>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Таблица 3.3.2.13</w:t>
      </w:r>
    </w:p>
    <w:p w14:paraId="0A12D37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Распределение земельных участков и площадей, относящихся к сегменту 6 «Производственная деятельность», по муниципальным районам Воронежской области</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3402"/>
        <w:gridCol w:w="2835"/>
      </w:tblGrid>
      <w:tr w:rsidR="00E16C06" w:rsidRPr="00E16C06" w14:paraId="190C64A5" w14:textId="77777777" w:rsidTr="00E16C06">
        <w:trPr>
          <w:trHeight w:val="300"/>
        </w:trPr>
        <w:tc>
          <w:tcPr>
            <w:tcW w:w="3109" w:type="dxa"/>
            <w:noWrap/>
            <w:vAlign w:val="center"/>
            <w:hideMark/>
          </w:tcPr>
          <w:p w14:paraId="0F47074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Район</w:t>
            </w:r>
          </w:p>
        </w:tc>
        <w:tc>
          <w:tcPr>
            <w:tcW w:w="3402" w:type="dxa"/>
            <w:noWrap/>
            <w:vAlign w:val="center"/>
            <w:hideMark/>
          </w:tcPr>
          <w:p w14:paraId="32EDCA4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Количество ЗУ</w:t>
            </w:r>
          </w:p>
        </w:tc>
        <w:tc>
          <w:tcPr>
            <w:tcW w:w="2835" w:type="dxa"/>
            <w:noWrap/>
            <w:vAlign w:val="center"/>
            <w:hideMark/>
          </w:tcPr>
          <w:p w14:paraId="6775460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Площадь, кв. м.</w:t>
            </w:r>
          </w:p>
        </w:tc>
      </w:tr>
      <w:tr w:rsidR="00E16C06" w:rsidRPr="00E16C06" w14:paraId="14EF2FDB" w14:textId="77777777" w:rsidTr="00E16C06">
        <w:trPr>
          <w:trHeight w:val="300"/>
        </w:trPr>
        <w:tc>
          <w:tcPr>
            <w:tcW w:w="3109" w:type="dxa"/>
            <w:shd w:val="clear" w:color="auto" w:fill="auto"/>
            <w:noWrap/>
            <w:vAlign w:val="bottom"/>
            <w:hideMark/>
          </w:tcPr>
          <w:p w14:paraId="0B7DC93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Аннинский</w:t>
            </w:r>
          </w:p>
        </w:tc>
        <w:tc>
          <w:tcPr>
            <w:tcW w:w="3402" w:type="dxa"/>
            <w:shd w:val="clear" w:color="auto" w:fill="auto"/>
            <w:noWrap/>
            <w:hideMark/>
          </w:tcPr>
          <w:p w14:paraId="739CEA1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1440</w:t>
            </w:r>
          </w:p>
        </w:tc>
        <w:tc>
          <w:tcPr>
            <w:tcW w:w="2835" w:type="dxa"/>
            <w:shd w:val="clear" w:color="auto" w:fill="auto"/>
            <w:noWrap/>
            <w:hideMark/>
          </w:tcPr>
          <w:p w14:paraId="65CD6D8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30 850 419</w:t>
            </w:r>
          </w:p>
        </w:tc>
      </w:tr>
      <w:tr w:rsidR="00E16C06" w:rsidRPr="00E16C06" w14:paraId="7770278D" w14:textId="77777777" w:rsidTr="00E16C06">
        <w:trPr>
          <w:trHeight w:val="300"/>
        </w:trPr>
        <w:tc>
          <w:tcPr>
            <w:tcW w:w="3109" w:type="dxa"/>
            <w:shd w:val="clear" w:color="auto" w:fill="auto"/>
            <w:noWrap/>
            <w:vAlign w:val="bottom"/>
            <w:hideMark/>
          </w:tcPr>
          <w:p w14:paraId="370BA24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Бобровский</w:t>
            </w:r>
          </w:p>
        </w:tc>
        <w:tc>
          <w:tcPr>
            <w:tcW w:w="3402" w:type="dxa"/>
            <w:shd w:val="clear" w:color="auto" w:fill="auto"/>
            <w:noWrap/>
            <w:hideMark/>
          </w:tcPr>
          <w:p w14:paraId="545E313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1354</w:t>
            </w:r>
          </w:p>
        </w:tc>
        <w:tc>
          <w:tcPr>
            <w:tcW w:w="2835" w:type="dxa"/>
            <w:shd w:val="clear" w:color="auto" w:fill="auto"/>
            <w:noWrap/>
            <w:hideMark/>
          </w:tcPr>
          <w:p w14:paraId="3C933BF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36 240 302</w:t>
            </w:r>
          </w:p>
        </w:tc>
      </w:tr>
      <w:tr w:rsidR="00E16C06" w:rsidRPr="00E16C06" w14:paraId="12B1F79D" w14:textId="77777777" w:rsidTr="00E16C06">
        <w:trPr>
          <w:trHeight w:val="300"/>
        </w:trPr>
        <w:tc>
          <w:tcPr>
            <w:tcW w:w="3109" w:type="dxa"/>
            <w:shd w:val="clear" w:color="auto" w:fill="auto"/>
            <w:noWrap/>
            <w:vAlign w:val="bottom"/>
            <w:hideMark/>
          </w:tcPr>
          <w:p w14:paraId="24AA4E9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Богучарский</w:t>
            </w:r>
          </w:p>
        </w:tc>
        <w:tc>
          <w:tcPr>
            <w:tcW w:w="3402" w:type="dxa"/>
            <w:shd w:val="clear" w:color="auto" w:fill="auto"/>
            <w:noWrap/>
            <w:hideMark/>
          </w:tcPr>
          <w:p w14:paraId="34961F8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1445</w:t>
            </w:r>
          </w:p>
        </w:tc>
        <w:tc>
          <w:tcPr>
            <w:tcW w:w="2835" w:type="dxa"/>
            <w:shd w:val="clear" w:color="auto" w:fill="auto"/>
            <w:noWrap/>
            <w:hideMark/>
          </w:tcPr>
          <w:p w14:paraId="7E44064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22 778 946</w:t>
            </w:r>
          </w:p>
        </w:tc>
      </w:tr>
      <w:tr w:rsidR="00E16C06" w:rsidRPr="00E16C06" w14:paraId="1910FC53" w14:textId="77777777" w:rsidTr="00E16C06">
        <w:trPr>
          <w:trHeight w:val="300"/>
        </w:trPr>
        <w:tc>
          <w:tcPr>
            <w:tcW w:w="3109" w:type="dxa"/>
            <w:shd w:val="clear" w:color="auto" w:fill="auto"/>
            <w:noWrap/>
            <w:vAlign w:val="bottom"/>
            <w:hideMark/>
          </w:tcPr>
          <w:p w14:paraId="5074F47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Борисоглебский</w:t>
            </w:r>
          </w:p>
        </w:tc>
        <w:tc>
          <w:tcPr>
            <w:tcW w:w="3402" w:type="dxa"/>
            <w:shd w:val="clear" w:color="auto" w:fill="auto"/>
            <w:noWrap/>
            <w:hideMark/>
          </w:tcPr>
          <w:p w14:paraId="31D3361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1248</w:t>
            </w:r>
          </w:p>
        </w:tc>
        <w:tc>
          <w:tcPr>
            <w:tcW w:w="2835" w:type="dxa"/>
            <w:shd w:val="clear" w:color="auto" w:fill="auto"/>
            <w:noWrap/>
            <w:hideMark/>
          </w:tcPr>
          <w:p w14:paraId="0ECE3D4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18 475 449</w:t>
            </w:r>
          </w:p>
        </w:tc>
      </w:tr>
      <w:tr w:rsidR="00E16C06" w:rsidRPr="00E16C06" w14:paraId="2CF0493B" w14:textId="77777777" w:rsidTr="00E16C06">
        <w:trPr>
          <w:trHeight w:val="300"/>
        </w:trPr>
        <w:tc>
          <w:tcPr>
            <w:tcW w:w="3109" w:type="dxa"/>
            <w:shd w:val="clear" w:color="auto" w:fill="auto"/>
            <w:noWrap/>
            <w:vAlign w:val="bottom"/>
            <w:hideMark/>
          </w:tcPr>
          <w:p w14:paraId="3BACAC7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Бутурлиновский</w:t>
            </w:r>
          </w:p>
        </w:tc>
        <w:tc>
          <w:tcPr>
            <w:tcW w:w="3402" w:type="dxa"/>
            <w:shd w:val="clear" w:color="auto" w:fill="auto"/>
            <w:noWrap/>
            <w:hideMark/>
          </w:tcPr>
          <w:p w14:paraId="6A61CA9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1094</w:t>
            </w:r>
          </w:p>
        </w:tc>
        <w:tc>
          <w:tcPr>
            <w:tcW w:w="2835" w:type="dxa"/>
            <w:shd w:val="clear" w:color="auto" w:fill="auto"/>
            <w:noWrap/>
            <w:hideMark/>
          </w:tcPr>
          <w:p w14:paraId="44A5EFE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21 078 282</w:t>
            </w:r>
          </w:p>
        </w:tc>
      </w:tr>
      <w:tr w:rsidR="00E16C06" w:rsidRPr="00E16C06" w14:paraId="523AE5D7" w14:textId="77777777" w:rsidTr="00E16C06">
        <w:trPr>
          <w:trHeight w:val="300"/>
        </w:trPr>
        <w:tc>
          <w:tcPr>
            <w:tcW w:w="3109" w:type="dxa"/>
            <w:shd w:val="clear" w:color="auto" w:fill="auto"/>
            <w:noWrap/>
            <w:vAlign w:val="bottom"/>
            <w:hideMark/>
          </w:tcPr>
          <w:p w14:paraId="193622A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Верхнемамонский</w:t>
            </w:r>
          </w:p>
        </w:tc>
        <w:tc>
          <w:tcPr>
            <w:tcW w:w="3402" w:type="dxa"/>
            <w:shd w:val="clear" w:color="auto" w:fill="auto"/>
            <w:noWrap/>
            <w:hideMark/>
          </w:tcPr>
          <w:p w14:paraId="4CDBCEF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1072</w:t>
            </w:r>
          </w:p>
        </w:tc>
        <w:tc>
          <w:tcPr>
            <w:tcW w:w="2835" w:type="dxa"/>
            <w:shd w:val="clear" w:color="auto" w:fill="auto"/>
            <w:noWrap/>
            <w:hideMark/>
          </w:tcPr>
          <w:p w14:paraId="27A0787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19 853 266</w:t>
            </w:r>
          </w:p>
        </w:tc>
      </w:tr>
      <w:tr w:rsidR="00E16C06" w:rsidRPr="00E16C06" w14:paraId="2D17414C" w14:textId="77777777" w:rsidTr="00E16C06">
        <w:trPr>
          <w:trHeight w:val="300"/>
        </w:trPr>
        <w:tc>
          <w:tcPr>
            <w:tcW w:w="3109" w:type="dxa"/>
            <w:shd w:val="clear" w:color="auto" w:fill="auto"/>
            <w:noWrap/>
            <w:vAlign w:val="bottom"/>
            <w:hideMark/>
          </w:tcPr>
          <w:p w14:paraId="38905D2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Верхнехавский</w:t>
            </w:r>
          </w:p>
        </w:tc>
        <w:tc>
          <w:tcPr>
            <w:tcW w:w="3402" w:type="dxa"/>
            <w:shd w:val="clear" w:color="auto" w:fill="auto"/>
            <w:noWrap/>
            <w:hideMark/>
          </w:tcPr>
          <w:p w14:paraId="1553225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1382</w:t>
            </w:r>
          </w:p>
        </w:tc>
        <w:tc>
          <w:tcPr>
            <w:tcW w:w="2835" w:type="dxa"/>
            <w:shd w:val="clear" w:color="auto" w:fill="auto"/>
            <w:noWrap/>
            <w:hideMark/>
          </w:tcPr>
          <w:p w14:paraId="31588C9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23 525 498</w:t>
            </w:r>
          </w:p>
        </w:tc>
      </w:tr>
      <w:tr w:rsidR="00E16C06" w:rsidRPr="00E16C06" w14:paraId="5CDCC458" w14:textId="77777777" w:rsidTr="00E16C06">
        <w:trPr>
          <w:trHeight w:val="300"/>
        </w:trPr>
        <w:tc>
          <w:tcPr>
            <w:tcW w:w="3109" w:type="dxa"/>
            <w:shd w:val="clear" w:color="auto" w:fill="auto"/>
            <w:noWrap/>
            <w:vAlign w:val="bottom"/>
            <w:hideMark/>
          </w:tcPr>
          <w:p w14:paraId="7030C76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Воробьевский</w:t>
            </w:r>
          </w:p>
        </w:tc>
        <w:tc>
          <w:tcPr>
            <w:tcW w:w="3402" w:type="dxa"/>
            <w:shd w:val="clear" w:color="auto" w:fill="auto"/>
            <w:noWrap/>
            <w:hideMark/>
          </w:tcPr>
          <w:p w14:paraId="1A5F204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1016</w:t>
            </w:r>
          </w:p>
        </w:tc>
        <w:tc>
          <w:tcPr>
            <w:tcW w:w="2835" w:type="dxa"/>
            <w:shd w:val="clear" w:color="auto" w:fill="auto"/>
            <w:noWrap/>
            <w:hideMark/>
          </w:tcPr>
          <w:p w14:paraId="4E66E7F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15 746 587</w:t>
            </w:r>
          </w:p>
        </w:tc>
      </w:tr>
      <w:tr w:rsidR="00E16C06" w:rsidRPr="00E16C06" w14:paraId="4C4E0372" w14:textId="77777777" w:rsidTr="00E16C06">
        <w:trPr>
          <w:trHeight w:val="300"/>
        </w:trPr>
        <w:tc>
          <w:tcPr>
            <w:tcW w:w="3109" w:type="dxa"/>
            <w:shd w:val="clear" w:color="auto" w:fill="auto"/>
            <w:noWrap/>
            <w:vAlign w:val="bottom"/>
            <w:hideMark/>
          </w:tcPr>
          <w:p w14:paraId="1C653BD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ГО г. Воронеж</w:t>
            </w:r>
          </w:p>
        </w:tc>
        <w:tc>
          <w:tcPr>
            <w:tcW w:w="3402" w:type="dxa"/>
            <w:shd w:val="clear" w:color="auto" w:fill="auto"/>
            <w:noWrap/>
            <w:hideMark/>
          </w:tcPr>
          <w:p w14:paraId="72B6433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7354</w:t>
            </w:r>
          </w:p>
        </w:tc>
        <w:tc>
          <w:tcPr>
            <w:tcW w:w="2835" w:type="dxa"/>
            <w:shd w:val="clear" w:color="auto" w:fill="auto"/>
            <w:noWrap/>
            <w:hideMark/>
          </w:tcPr>
          <w:p w14:paraId="553E263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148 069 959</w:t>
            </w:r>
          </w:p>
        </w:tc>
      </w:tr>
      <w:tr w:rsidR="00E16C06" w:rsidRPr="00E16C06" w14:paraId="61DA67C1" w14:textId="77777777" w:rsidTr="00E16C06">
        <w:trPr>
          <w:trHeight w:val="300"/>
        </w:trPr>
        <w:tc>
          <w:tcPr>
            <w:tcW w:w="3109" w:type="dxa"/>
            <w:shd w:val="clear" w:color="auto" w:fill="auto"/>
            <w:noWrap/>
            <w:vAlign w:val="bottom"/>
            <w:hideMark/>
          </w:tcPr>
          <w:p w14:paraId="67E70DF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ГО Нововоронеж</w:t>
            </w:r>
          </w:p>
        </w:tc>
        <w:tc>
          <w:tcPr>
            <w:tcW w:w="3402" w:type="dxa"/>
            <w:shd w:val="clear" w:color="auto" w:fill="auto"/>
            <w:noWrap/>
            <w:hideMark/>
          </w:tcPr>
          <w:p w14:paraId="260FCFF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749</w:t>
            </w:r>
          </w:p>
        </w:tc>
        <w:tc>
          <w:tcPr>
            <w:tcW w:w="2835" w:type="dxa"/>
            <w:shd w:val="clear" w:color="auto" w:fill="auto"/>
            <w:noWrap/>
            <w:hideMark/>
          </w:tcPr>
          <w:p w14:paraId="47AA0DA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14 384 270</w:t>
            </w:r>
          </w:p>
        </w:tc>
      </w:tr>
      <w:tr w:rsidR="00E16C06" w:rsidRPr="00E16C06" w14:paraId="67A052D1" w14:textId="77777777" w:rsidTr="00E16C06">
        <w:trPr>
          <w:trHeight w:val="300"/>
        </w:trPr>
        <w:tc>
          <w:tcPr>
            <w:tcW w:w="3109" w:type="dxa"/>
            <w:shd w:val="clear" w:color="auto" w:fill="auto"/>
            <w:noWrap/>
            <w:vAlign w:val="bottom"/>
            <w:hideMark/>
          </w:tcPr>
          <w:p w14:paraId="12CB37C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Грибановский</w:t>
            </w:r>
          </w:p>
        </w:tc>
        <w:tc>
          <w:tcPr>
            <w:tcW w:w="3402" w:type="dxa"/>
            <w:shd w:val="clear" w:color="auto" w:fill="auto"/>
            <w:noWrap/>
            <w:hideMark/>
          </w:tcPr>
          <w:p w14:paraId="1927668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1150</w:t>
            </w:r>
          </w:p>
        </w:tc>
        <w:tc>
          <w:tcPr>
            <w:tcW w:w="2835" w:type="dxa"/>
            <w:shd w:val="clear" w:color="auto" w:fill="auto"/>
            <w:noWrap/>
            <w:hideMark/>
          </w:tcPr>
          <w:p w14:paraId="1795C48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22 048 268</w:t>
            </w:r>
          </w:p>
        </w:tc>
      </w:tr>
      <w:tr w:rsidR="00E16C06" w:rsidRPr="00E16C06" w14:paraId="5548F56C" w14:textId="77777777" w:rsidTr="00E16C06">
        <w:trPr>
          <w:trHeight w:val="300"/>
        </w:trPr>
        <w:tc>
          <w:tcPr>
            <w:tcW w:w="3109" w:type="dxa"/>
            <w:shd w:val="clear" w:color="auto" w:fill="auto"/>
            <w:noWrap/>
            <w:vAlign w:val="bottom"/>
            <w:hideMark/>
          </w:tcPr>
          <w:p w14:paraId="0C96007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Калачеевский</w:t>
            </w:r>
          </w:p>
        </w:tc>
        <w:tc>
          <w:tcPr>
            <w:tcW w:w="3402" w:type="dxa"/>
            <w:shd w:val="clear" w:color="auto" w:fill="auto"/>
            <w:noWrap/>
            <w:hideMark/>
          </w:tcPr>
          <w:p w14:paraId="719D3F6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1988</w:t>
            </w:r>
          </w:p>
        </w:tc>
        <w:tc>
          <w:tcPr>
            <w:tcW w:w="2835" w:type="dxa"/>
            <w:shd w:val="clear" w:color="auto" w:fill="auto"/>
            <w:noWrap/>
            <w:hideMark/>
          </w:tcPr>
          <w:p w14:paraId="38955E2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32 393 758</w:t>
            </w:r>
          </w:p>
        </w:tc>
      </w:tr>
      <w:tr w:rsidR="00E16C06" w:rsidRPr="00E16C06" w14:paraId="5CD94A5B" w14:textId="77777777" w:rsidTr="00E16C06">
        <w:trPr>
          <w:trHeight w:val="300"/>
        </w:trPr>
        <w:tc>
          <w:tcPr>
            <w:tcW w:w="3109" w:type="dxa"/>
            <w:shd w:val="clear" w:color="auto" w:fill="auto"/>
            <w:noWrap/>
            <w:vAlign w:val="bottom"/>
            <w:hideMark/>
          </w:tcPr>
          <w:p w14:paraId="6AFC1D7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Каменский</w:t>
            </w:r>
          </w:p>
        </w:tc>
        <w:tc>
          <w:tcPr>
            <w:tcW w:w="3402" w:type="dxa"/>
            <w:shd w:val="clear" w:color="auto" w:fill="auto"/>
            <w:noWrap/>
            <w:hideMark/>
          </w:tcPr>
          <w:p w14:paraId="6503CB1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699</w:t>
            </w:r>
          </w:p>
        </w:tc>
        <w:tc>
          <w:tcPr>
            <w:tcW w:w="2835" w:type="dxa"/>
            <w:shd w:val="clear" w:color="auto" w:fill="auto"/>
            <w:noWrap/>
            <w:hideMark/>
          </w:tcPr>
          <w:p w14:paraId="5D929E8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13 806 404</w:t>
            </w:r>
          </w:p>
        </w:tc>
      </w:tr>
      <w:tr w:rsidR="00E16C06" w:rsidRPr="00E16C06" w14:paraId="357B1408" w14:textId="77777777" w:rsidTr="00E16C06">
        <w:trPr>
          <w:trHeight w:val="300"/>
        </w:trPr>
        <w:tc>
          <w:tcPr>
            <w:tcW w:w="3109" w:type="dxa"/>
            <w:shd w:val="clear" w:color="auto" w:fill="auto"/>
            <w:noWrap/>
            <w:vAlign w:val="bottom"/>
            <w:hideMark/>
          </w:tcPr>
          <w:p w14:paraId="17067BA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Кантемировский</w:t>
            </w:r>
          </w:p>
        </w:tc>
        <w:tc>
          <w:tcPr>
            <w:tcW w:w="3402" w:type="dxa"/>
            <w:shd w:val="clear" w:color="auto" w:fill="auto"/>
            <w:noWrap/>
            <w:hideMark/>
          </w:tcPr>
          <w:p w14:paraId="6EC33D9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1644</w:t>
            </w:r>
          </w:p>
        </w:tc>
        <w:tc>
          <w:tcPr>
            <w:tcW w:w="2835" w:type="dxa"/>
            <w:shd w:val="clear" w:color="auto" w:fill="auto"/>
            <w:noWrap/>
            <w:hideMark/>
          </w:tcPr>
          <w:p w14:paraId="531DB37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29 956 340</w:t>
            </w:r>
          </w:p>
        </w:tc>
      </w:tr>
      <w:tr w:rsidR="00E16C06" w:rsidRPr="00E16C06" w14:paraId="1BE32A1E" w14:textId="77777777" w:rsidTr="00E16C06">
        <w:trPr>
          <w:trHeight w:val="300"/>
        </w:trPr>
        <w:tc>
          <w:tcPr>
            <w:tcW w:w="3109" w:type="dxa"/>
            <w:shd w:val="clear" w:color="auto" w:fill="auto"/>
            <w:noWrap/>
            <w:vAlign w:val="bottom"/>
            <w:hideMark/>
          </w:tcPr>
          <w:p w14:paraId="4DBC400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Каширский</w:t>
            </w:r>
          </w:p>
        </w:tc>
        <w:tc>
          <w:tcPr>
            <w:tcW w:w="3402" w:type="dxa"/>
            <w:shd w:val="clear" w:color="auto" w:fill="auto"/>
            <w:noWrap/>
            <w:hideMark/>
          </w:tcPr>
          <w:p w14:paraId="49F17DE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1031</w:t>
            </w:r>
          </w:p>
        </w:tc>
        <w:tc>
          <w:tcPr>
            <w:tcW w:w="2835" w:type="dxa"/>
            <w:shd w:val="clear" w:color="auto" w:fill="auto"/>
            <w:noWrap/>
            <w:hideMark/>
          </w:tcPr>
          <w:p w14:paraId="5077B83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25 234 243</w:t>
            </w:r>
          </w:p>
        </w:tc>
      </w:tr>
      <w:tr w:rsidR="00E16C06" w:rsidRPr="00E16C06" w14:paraId="6B28FC2A" w14:textId="77777777" w:rsidTr="00E16C06">
        <w:trPr>
          <w:trHeight w:val="300"/>
        </w:trPr>
        <w:tc>
          <w:tcPr>
            <w:tcW w:w="3109" w:type="dxa"/>
            <w:shd w:val="clear" w:color="auto" w:fill="auto"/>
            <w:noWrap/>
            <w:vAlign w:val="bottom"/>
            <w:hideMark/>
          </w:tcPr>
          <w:p w14:paraId="74D3785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Лискинский</w:t>
            </w:r>
          </w:p>
        </w:tc>
        <w:tc>
          <w:tcPr>
            <w:tcW w:w="3402" w:type="dxa"/>
            <w:shd w:val="clear" w:color="auto" w:fill="auto"/>
            <w:noWrap/>
            <w:hideMark/>
          </w:tcPr>
          <w:p w14:paraId="6FBCB1B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2323</w:t>
            </w:r>
          </w:p>
        </w:tc>
        <w:tc>
          <w:tcPr>
            <w:tcW w:w="2835" w:type="dxa"/>
            <w:shd w:val="clear" w:color="auto" w:fill="auto"/>
            <w:noWrap/>
            <w:hideMark/>
          </w:tcPr>
          <w:p w14:paraId="34F9B88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78 808 995</w:t>
            </w:r>
          </w:p>
        </w:tc>
      </w:tr>
      <w:tr w:rsidR="00E16C06" w:rsidRPr="00E16C06" w14:paraId="76051442" w14:textId="77777777" w:rsidTr="00E16C06">
        <w:trPr>
          <w:trHeight w:val="300"/>
        </w:trPr>
        <w:tc>
          <w:tcPr>
            <w:tcW w:w="3109" w:type="dxa"/>
            <w:shd w:val="clear" w:color="auto" w:fill="auto"/>
            <w:noWrap/>
            <w:vAlign w:val="bottom"/>
            <w:hideMark/>
          </w:tcPr>
          <w:p w14:paraId="1E5ED16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Нижнедевицкий</w:t>
            </w:r>
          </w:p>
        </w:tc>
        <w:tc>
          <w:tcPr>
            <w:tcW w:w="3402" w:type="dxa"/>
            <w:shd w:val="clear" w:color="auto" w:fill="auto"/>
            <w:noWrap/>
            <w:hideMark/>
          </w:tcPr>
          <w:p w14:paraId="3693C62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1317</w:t>
            </w:r>
          </w:p>
        </w:tc>
        <w:tc>
          <w:tcPr>
            <w:tcW w:w="2835" w:type="dxa"/>
            <w:shd w:val="clear" w:color="auto" w:fill="auto"/>
            <w:noWrap/>
            <w:hideMark/>
          </w:tcPr>
          <w:p w14:paraId="5E26151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14 468 528</w:t>
            </w:r>
          </w:p>
        </w:tc>
      </w:tr>
      <w:tr w:rsidR="00E16C06" w:rsidRPr="00E16C06" w14:paraId="73690D9F" w14:textId="77777777" w:rsidTr="00E16C06">
        <w:trPr>
          <w:trHeight w:val="300"/>
        </w:trPr>
        <w:tc>
          <w:tcPr>
            <w:tcW w:w="3109" w:type="dxa"/>
            <w:shd w:val="clear" w:color="auto" w:fill="auto"/>
            <w:noWrap/>
            <w:vAlign w:val="bottom"/>
            <w:hideMark/>
          </w:tcPr>
          <w:p w14:paraId="3BE72B8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Новоусманский</w:t>
            </w:r>
          </w:p>
        </w:tc>
        <w:tc>
          <w:tcPr>
            <w:tcW w:w="3402" w:type="dxa"/>
            <w:shd w:val="clear" w:color="auto" w:fill="auto"/>
            <w:noWrap/>
            <w:hideMark/>
          </w:tcPr>
          <w:p w14:paraId="2E7E989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3350</w:t>
            </w:r>
          </w:p>
        </w:tc>
        <w:tc>
          <w:tcPr>
            <w:tcW w:w="2835" w:type="dxa"/>
            <w:shd w:val="clear" w:color="auto" w:fill="auto"/>
            <w:noWrap/>
            <w:hideMark/>
          </w:tcPr>
          <w:p w14:paraId="49AFAC1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44 574 642</w:t>
            </w:r>
          </w:p>
        </w:tc>
      </w:tr>
      <w:tr w:rsidR="00E16C06" w:rsidRPr="00E16C06" w14:paraId="400E10B8" w14:textId="77777777" w:rsidTr="00E16C06">
        <w:trPr>
          <w:trHeight w:val="300"/>
        </w:trPr>
        <w:tc>
          <w:tcPr>
            <w:tcW w:w="3109" w:type="dxa"/>
            <w:shd w:val="clear" w:color="auto" w:fill="auto"/>
            <w:noWrap/>
            <w:vAlign w:val="bottom"/>
            <w:hideMark/>
          </w:tcPr>
          <w:p w14:paraId="203C79D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Новохоперский</w:t>
            </w:r>
          </w:p>
        </w:tc>
        <w:tc>
          <w:tcPr>
            <w:tcW w:w="3402" w:type="dxa"/>
            <w:shd w:val="clear" w:color="auto" w:fill="auto"/>
            <w:noWrap/>
            <w:hideMark/>
          </w:tcPr>
          <w:p w14:paraId="4B1BB26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1841</w:t>
            </w:r>
          </w:p>
        </w:tc>
        <w:tc>
          <w:tcPr>
            <w:tcW w:w="2835" w:type="dxa"/>
            <w:shd w:val="clear" w:color="auto" w:fill="auto"/>
            <w:noWrap/>
            <w:hideMark/>
          </w:tcPr>
          <w:p w14:paraId="00971BB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40 156 892</w:t>
            </w:r>
          </w:p>
        </w:tc>
      </w:tr>
      <w:tr w:rsidR="00E16C06" w:rsidRPr="00E16C06" w14:paraId="5C60008C" w14:textId="77777777" w:rsidTr="00E16C06">
        <w:trPr>
          <w:trHeight w:val="300"/>
        </w:trPr>
        <w:tc>
          <w:tcPr>
            <w:tcW w:w="3109" w:type="dxa"/>
            <w:shd w:val="clear" w:color="auto" w:fill="auto"/>
            <w:noWrap/>
            <w:vAlign w:val="bottom"/>
            <w:hideMark/>
          </w:tcPr>
          <w:p w14:paraId="76A43E4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Ольховатский</w:t>
            </w:r>
          </w:p>
        </w:tc>
        <w:tc>
          <w:tcPr>
            <w:tcW w:w="3402" w:type="dxa"/>
            <w:shd w:val="clear" w:color="auto" w:fill="auto"/>
            <w:noWrap/>
            <w:hideMark/>
          </w:tcPr>
          <w:p w14:paraId="15F53FF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1007</w:t>
            </w:r>
          </w:p>
        </w:tc>
        <w:tc>
          <w:tcPr>
            <w:tcW w:w="2835" w:type="dxa"/>
            <w:shd w:val="clear" w:color="auto" w:fill="auto"/>
            <w:noWrap/>
            <w:hideMark/>
          </w:tcPr>
          <w:p w14:paraId="7CA4E13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10 639 867</w:t>
            </w:r>
          </w:p>
        </w:tc>
      </w:tr>
      <w:tr w:rsidR="00E16C06" w:rsidRPr="00E16C06" w14:paraId="60EBD02F" w14:textId="77777777" w:rsidTr="00E16C06">
        <w:trPr>
          <w:trHeight w:val="300"/>
        </w:trPr>
        <w:tc>
          <w:tcPr>
            <w:tcW w:w="3109" w:type="dxa"/>
            <w:shd w:val="clear" w:color="auto" w:fill="auto"/>
            <w:noWrap/>
            <w:vAlign w:val="bottom"/>
            <w:hideMark/>
          </w:tcPr>
          <w:p w14:paraId="6A01DC7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Острогожский</w:t>
            </w:r>
          </w:p>
        </w:tc>
        <w:tc>
          <w:tcPr>
            <w:tcW w:w="3402" w:type="dxa"/>
            <w:shd w:val="clear" w:color="auto" w:fill="auto"/>
            <w:noWrap/>
            <w:hideMark/>
          </w:tcPr>
          <w:p w14:paraId="64749B3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1109</w:t>
            </w:r>
          </w:p>
        </w:tc>
        <w:tc>
          <w:tcPr>
            <w:tcW w:w="2835" w:type="dxa"/>
            <w:shd w:val="clear" w:color="auto" w:fill="auto"/>
            <w:noWrap/>
            <w:hideMark/>
          </w:tcPr>
          <w:p w14:paraId="6874B90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38 915 200</w:t>
            </w:r>
          </w:p>
        </w:tc>
      </w:tr>
      <w:tr w:rsidR="00E16C06" w:rsidRPr="00E16C06" w14:paraId="1F981D18" w14:textId="77777777" w:rsidTr="00E16C06">
        <w:trPr>
          <w:trHeight w:val="300"/>
        </w:trPr>
        <w:tc>
          <w:tcPr>
            <w:tcW w:w="3109" w:type="dxa"/>
            <w:shd w:val="clear" w:color="auto" w:fill="auto"/>
            <w:noWrap/>
            <w:vAlign w:val="bottom"/>
            <w:hideMark/>
          </w:tcPr>
          <w:p w14:paraId="519E783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Павловский</w:t>
            </w:r>
          </w:p>
        </w:tc>
        <w:tc>
          <w:tcPr>
            <w:tcW w:w="3402" w:type="dxa"/>
            <w:shd w:val="clear" w:color="auto" w:fill="auto"/>
            <w:noWrap/>
            <w:hideMark/>
          </w:tcPr>
          <w:p w14:paraId="477680F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1917</w:t>
            </w:r>
          </w:p>
        </w:tc>
        <w:tc>
          <w:tcPr>
            <w:tcW w:w="2835" w:type="dxa"/>
            <w:shd w:val="clear" w:color="auto" w:fill="auto"/>
            <w:noWrap/>
            <w:hideMark/>
          </w:tcPr>
          <w:p w14:paraId="283F4DC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67 762 149</w:t>
            </w:r>
          </w:p>
        </w:tc>
      </w:tr>
      <w:tr w:rsidR="00E16C06" w:rsidRPr="00E16C06" w14:paraId="47B5B338" w14:textId="77777777" w:rsidTr="00E16C06">
        <w:trPr>
          <w:trHeight w:val="300"/>
        </w:trPr>
        <w:tc>
          <w:tcPr>
            <w:tcW w:w="3109" w:type="dxa"/>
            <w:shd w:val="clear" w:color="auto" w:fill="auto"/>
            <w:noWrap/>
            <w:vAlign w:val="bottom"/>
            <w:hideMark/>
          </w:tcPr>
          <w:p w14:paraId="29A0EBF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Панинский</w:t>
            </w:r>
          </w:p>
        </w:tc>
        <w:tc>
          <w:tcPr>
            <w:tcW w:w="3402" w:type="dxa"/>
            <w:shd w:val="clear" w:color="auto" w:fill="auto"/>
            <w:noWrap/>
            <w:hideMark/>
          </w:tcPr>
          <w:p w14:paraId="1D89898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1225</w:t>
            </w:r>
          </w:p>
        </w:tc>
        <w:tc>
          <w:tcPr>
            <w:tcW w:w="2835" w:type="dxa"/>
            <w:shd w:val="clear" w:color="auto" w:fill="auto"/>
            <w:noWrap/>
            <w:hideMark/>
          </w:tcPr>
          <w:p w14:paraId="406D99E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23 062 554</w:t>
            </w:r>
          </w:p>
        </w:tc>
      </w:tr>
      <w:tr w:rsidR="00E16C06" w:rsidRPr="00E16C06" w14:paraId="23897122" w14:textId="77777777" w:rsidTr="00E16C06">
        <w:trPr>
          <w:trHeight w:val="300"/>
        </w:trPr>
        <w:tc>
          <w:tcPr>
            <w:tcW w:w="3109" w:type="dxa"/>
            <w:shd w:val="clear" w:color="auto" w:fill="auto"/>
            <w:noWrap/>
            <w:vAlign w:val="bottom"/>
            <w:hideMark/>
          </w:tcPr>
          <w:p w14:paraId="20A93AB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Петропавловский</w:t>
            </w:r>
          </w:p>
        </w:tc>
        <w:tc>
          <w:tcPr>
            <w:tcW w:w="3402" w:type="dxa"/>
            <w:shd w:val="clear" w:color="auto" w:fill="auto"/>
            <w:noWrap/>
            <w:hideMark/>
          </w:tcPr>
          <w:p w14:paraId="173D7FD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839</w:t>
            </w:r>
          </w:p>
        </w:tc>
        <w:tc>
          <w:tcPr>
            <w:tcW w:w="2835" w:type="dxa"/>
            <w:shd w:val="clear" w:color="auto" w:fill="auto"/>
            <w:noWrap/>
            <w:hideMark/>
          </w:tcPr>
          <w:p w14:paraId="2D5EA91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8 051 379</w:t>
            </w:r>
          </w:p>
        </w:tc>
      </w:tr>
      <w:tr w:rsidR="00E16C06" w:rsidRPr="00E16C06" w14:paraId="561F89C4" w14:textId="77777777" w:rsidTr="00E16C06">
        <w:trPr>
          <w:trHeight w:val="300"/>
        </w:trPr>
        <w:tc>
          <w:tcPr>
            <w:tcW w:w="3109" w:type="dxa"/>
            <w:shd w:val="clear" w:color="auto" w:fill="auto"/>
            <w:noWrap/>
            <w:vAlign w:val="bottom"/>
            <w:hideMark/>
          </w:tcPr>
          <w:p w14:paraId="6AC5EB6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Поворинский</w:t>
            </w:r>
          </w:p>
        </w:tc>
        <w:tc>
          <w:tcPr>
            <w:tcW w:w="3402" w:type="dxa"/>
            <w:shd w:val="clear" w:color="auto" w:fill="auto"/>
            <w:noWrap/>
            <w:hideMark/>
          </w:tcPr>
          <w:p w14:paraId="45E4EE9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1238</w:t>
            </w:r>
          </w:p>
        </w:tc>
        <w:tc>
          <w:tcPr>
            <w:tcW w:w="2835" w:type="dxa"/>
            <w:shd w:val="clear" w:color="auto" w:fill="auto"/>
            <w:noWrap/>
            <w:hideMark/>
          </w:tcPr>
          <w:p w14:paraId="7AA2E45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23 862 994</w:t>
            </w:r>
          </w:p>
        </w:tc>
      </w:tr>
      <w:tr w:rsidR="00E16C06" w:rsidRPr="00E16C06" w14:paraId="56A90DF2" w14:textId="77777777" w:rsidTr="00E16C06">
        <w:trPr>
          <w:trHeight w:val="300"/>
        </w:trPr>
        <w:tc>
          <w:tcPr>
            <w:tcW w:w="3109" w:type="dxa"/>
            <w:shd w:val="clear" w:color="auto" w:fill="auto"/>
            <w:noWrap/>
            <w:vAlign w:val="bottom"/>
            <w:hideMark/>
          </w:tcPr>
          <w:p w14:paraId="12F5173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Подгоренский</w:t>
            </w:r>
          </w:p>
        </w:tc>
        <w:tc>
          <w:tcPr>
            <w:tcW w:w="3402" w:type="dxa"/>
            <w:shd w:val="clear" w:color="auto" w:fill="auto"/>
            <w:noWrap/>
            <w:hideMark/>
          </w:tcPr>
          <w:p w14:paraId="5F88923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1018</w:t>
            </w:r>
          </w:p>
        </w:tc>
        <w:tc>
          <w:tcPr>
            <w:tcW w:w="2835" w:type="dxa"/>
            <w:shd w:val="clear" w:color="auto" w:fill="auto"/>
            <w:noWrap/>
            <w:hideMark/>
          </w:tcPr>
          <w:p w14:paraId="155E1DC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21 520 519</w:t>
            </w:r>
          </w:p>
        </w:tc>
      </w:tr>
      <w:tr w:rsidR="00E16C06" w:rsidRPr="00E16C06" w14:paraId="4F815F78" w14:textId="77777777" w:rsidTr="00E16C06">
        <w:trPr>
          <w:trHeight w:val="300"/>
        </w:trPr>
        <w:tc>
          <w:tcPr>
            <w:tcW w:w="3109" w:type="dxa"/>
            <w:shd w:val="clear" w:color="auto" w:fill="auto"/>
            <w:noWrap/>
            <w:vAlign w:val="bottom"/>
            <w:hideMark/>
          </w:tcPr>
          <w:p w14:paraId="2E88CEA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Рамонский</w:t>
            </w:r>
          </w:p>
        </w:tc>
        <w:tc>
          <w:tcPr>
            <w:tcW w:w="3402" w:type="dxa"/>
            <w:shd w:val="clear" w:color="auto" w:fill="auto"/>
            <w:noWrap/>
            <w:hideMark/>
          </w:tcPr>
          <w:p w14:paraId="516D09C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3329</w:t>
            </w:r>
          </w:p>
        </w:tc>
        <w:tc>
          <w:tcPr>
            <w:tcW w:w="2835" w:type="dxa"/>
            <w:shd w:val="clear" w:color="auto" w:fill="auto"/>
            <w:noWrap/>
            <w:hideMark/>
          </w:tcPr>
          <w:p w14:paraId="5F1BFB3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58 521 981</w:t>
            </w:r>
          </w:p>
        </w:tc>
      </w:tr>
      <w:tr w:rsidR="00E16C06" w:rsidRPr="00E16C06" w14:paraId="0452668C" w14:textId="77777777" w:rsidTr="00E16C06">
        <w:trPr>
          <w:trHeight w:val="300"/>
        </w:trPr>
        <w:tc>
          <w:tcPr>
            <w:tcW w:w="3109" w:type="dxa"/>
            <w:shd w:val="clear" w:color="auto" w:fill="auto"/>
            <w:noWrap/>
            <w:vAlign w:val="bottom"/>
            <w:hideMark/>
          </w:tcPr>
          <w:p w14:paraId="31386D6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Репьевский</w:t>
            </w:r>
          </w:p>
        </w:tc>
        <w:tc>
          <w:tcPr>
            <w:tcW w:w="3402" w:type="dxa"/>
            <w:shd w:val="clear" w:color="auto" w:fill="auto"/>
            <w:noWrap/>
            <w:hideMark/>
          </w:tcPr>
          <w:p w14:paraId="5CCA47C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419</w:t>
            </w:r>
          </w:p>
        </w:tc>
        <w:tc>
          <w:tcPr>
            <w:tcW w:w="2835" w:type="dxa"/>
            <w:shd w:val="clear" w:color="auto" w:fill="auto"/>
            <w:noWrap/>
            <w:hideMark/>
          </w:tcPr>
          <w:p w14:paraId="5730C06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7 912 511</w:t>
            </w:r>
          </w:p>
        </w:tc>
      </w:tr>
      <w:tr w:rsidR="00E16C06" w:rsidRPr="00E16C06" w14:paraId="5E7ED1FB" w14:textId="77777777" w:rsidTr="00E16C06">
        <w:trPr>
          <w:trHeight w:val="300"/>
        </w:trPr>
        <w:tc>
          <w:tcPr>
            <w:tcW w:w="3109" w:type="dxa"/>
            <w:shd w:val="clear" w:color="auto" w:fill="auto"/>
            <w:noWrap/>
            <w:vAlign w:val="bottom"/>
            <w:hideMark/>
          </w:tcPr>
          <w:p w14:paraId="6834B9A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Россошанский</w:t>
            </w:r>
          </w:p>
        </w:tc>
        <w:tc>
          <w:tcPr>
            <w:tcW w:w="3402" w:type="dxa"/>
            <w:shd w:val="clear" w:color="auto" w:fill="auto"/>
            <w:noWrap/>
            <w:hideMark/>
          </w:tcPr>
          <w:p w14:paraId="49C2859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2184</w:t>
            </w:r>
          </w:p>
        </w:tc>
        <w:tc>
          <w:tcPr>
            <w:tcW w:w="2835" w:type="dxa"/>
            <w:shd w:val="clear" w:color="auto" w:fill="auto"/>
            <w:noWrap/>
            <w:hideMark/>
          </w:tcPr>
          <w:p w14:paraId="468B065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43 750 720</w:t>
            </w:r>
          </w:p>
        </w:tc>
      </w:tr>
      <w:tr w:rsidR="00E16C06" w:rsidRPr="00E16C06" w14:paraId="0F2DD93B" w14:textId="77777777" w:rsidTr="00E16C06">
        <w:trPr>
          <w:trHeight w:val="300"/>
        </w:trPr>
        <w:tc>
          <w:tcPr>
            <w:tcW w:w="3109" w:type="dxa"/>
            <w:shd w:val="clear" w:color="auto" w:fill="auto"/>
            <w:noWrap/>
            <w:vAlign w:val="bottom"/>
            <w:hideMark/>
          </w:tcPr>
          <w:p w14:paraId="424A61A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Семилукский</w:t>
            </w:r>
          </w:p>
        </w:tc>
        <w:tc>
          <w:tcPr>
            <w:tcW w:w="3402" w:type="dxa"/>
            <w:shd w:val="clear" w:color="auto" w:fill="auto"/>
            <w:noWrap/>
            <w:hideMark/>
          </w:tcPr>
          <w:p w14:paraId="3A900FF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2510</w:t>
            </w:r>
          </w:p>
        </w:tc>
        <w:tc>
          <w:tcPr>
            <w:tcW w:w="2835" w:type="dxa"/>
            <w:shd w:val="clear" w:color="auto" w:fill="auto"/>
            <w:noWrap/>
            <w:hideMark/>
          </w:tcPr>
          <w:p w14:paraId="43C2471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37 798 522</w:t>
            </w:r>
          </w:p>
        </w:tc>
      </w:tr>
      <w:tr w:rsidR="00E16C06" w:rsidRPr="00E16C06" w14:paraId="55F85E19" w14:textId="77777777" w:rsidTr="00E16C06">
        <w:trPr>
          <w:trHeight w:val="300"/>
        </w:trPr>
        <w:tc>
          <w:tcPr>
            <w:tcW w:w="3109" w:type="dxa"/>
            <w:shd w:val="clear" w:color="auto" w:fill="auto"/>
            <w:noWrap/>
            <w:vAlign w:val="bottom"/>
            <w:hideMark/>
          </w:tcPr>
          <w:p w14:paraId="6CF375C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Таловский</w:t>
            </w:r>
          </w:p>
        </w:tc>
        <w:tc>
          <w:tcPr>
            <w:tcW w:w="3402" w:type="dxa"/>
            <w:shd w:val="clear" w:color="auto" w:fill="auto"/>
            <w:noWrap/>
            <w:hideMark/>
          </w:tcPr>
          <w:p w14:paraId="52FA998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1492</w:t>
            </w:r>
          </w:p>
        </w:tc>
        <w:tc>
          <w:tcPr>
            <w:tcW w:w="2835" w:type="dxa"/>
            <w:shd w:val="clear" w:color="auto" w:fill="auto"/>
            <w:noWrap/>
            <w:hideMark/>
          </w:tcPr>
          <w:p w14:paraId="72E1A80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38 285 155</w:t>
            </w:r>
          </w:p>
        </w:tc>
      </w:tr>
      <w:tr w:rsidR="00E16C06" w:rsidRPr="00E16C06" w14:paraId="5F465648" w14:textId="77777777" w:rsidTr="00E16C06">
        <w:trPr>
          <w:trHeight w:val="300"/>
        </w:trPr>
        <w:tc>
          <w:tcPr>
            <w:tcW w:w="3109" w:type="dxa"/>
            <w:shd w:val="clear" w:color="auto" w:fill="auto"/>
            <w:noWrap/>
            <w:vAlign w:val="bottom"/>
            <w:hideMark/>
          </w:tcPr>
          <w:p w14:paraId="343ED69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Терновский</w:t>
            </w:r>
          </w:p>
        </w:tc>
        <w:tc>
          <w:tcPr>
            <w:tcW w:w="3402" w:type="dxa"/>
            <w:shd w:val="clear" w:color="auto" w:fill="auto"/>
            <w:noWrap/>
            <w:hideMark/>
          </w:tcPr>
          <w:p w14:paraId="69BB8C8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751</w:t>
            </w:r>
          </w:p>
        </w:tc>
        <w:tc>
          <w:tcPr>
            <w:tcW w:w="2835" w:type="dxa"/>
            <w:shd w:val="clear" w:color="auto" w:fill="auto"/>
            <w:noWrap/>
            <w:hideMark/>
          </w:tcPr>
          <w:p w14:paraId="5B0B659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15 614 374</w:t>
            </w:r>
          </w:p>
        </w:tc>
      </w:tr>
      <w:tr w:rsidR="00E16C06" w:rsidRPr="00E16C06" w14:paraId="695A1E77" w14:textId="77777777" w:rsidTr="00E16C06">
        <w:trPr>
          <w:trHeight w:val="300"/>
        </w:trPr>
        <w:tc>
          <w:tcPr>
            <w:tcW w:w="3109" w:type="dxa"/>
            <w:shd w:val="clear" w:color="auto" w:fill="auto"/>
            <w:noWrap/>
            <w:vAlign w:val="bottom"/>
            <w:hideMark/>
          </w:tcPr>
          <w:p w14:paraId="2868F9F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Хохольский</w:t>
            </w:r>
          </w:p>
        </w:tc>
        <w:tc>
          <w:tcPr>
            <w:tcW w:w="3402" w:type="dxa"/>
            <w:shd w:val="clear" w:color="auto" w:fill="auto"/>
            <w:noWrap/>
            <w:hideMark/>
          </w:tcPr>
          <w:p w14:paraId="5E4A9BE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1424</w:t>
            </w:r>
          </w:p>
        </w:tc>
        <w:tc>
          <w:tcPr>
            <w:tcW w:w="2835" w:type="dxa"/>
            <w:shd w:val="clear" w:color="auto" w:fill="auto"/>
            <w:noWrap/>
            <w:hideMark/>
          </w:tcPr>
          <w:p w14:paraId="6F4C9E1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34 811 250</w:t>
            </w:r>
          </w:p>
        </w:tc>
      </w:tr>
      <w:tr w:rsidR="00E16C06" w:rsidRPr="00E16C06" w14:paraId="32608FB8" w14:textId="77777777" w:rsidTr="00E16C06">
        <w:trPr>
          <w:trHeight w:val="300"/>
        </w:trPr>
        <w:tc>
          <w:tcPr>
            <w:tcW w:w="3109" w:type="dxa"/>
            <w:shd w:val="clear" w:color="auto" w:fill="auto"/>
            <w:noWrap/>
            <w:vAlign w:val="bottom"/>
            <w:hideMark/>
          </w:tcPr>
          <w:p w14:paraId="414F9EF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Эртильский</w:t>
            </w:r>
          </w:p>
        </w:tc>
        <w:tc>
          <w:tcPr>
            <w:tcW w:w="3402" w:type="dxa"/>
            <w:shd w:val="clear" w:color="auto" w:fill="auto"/>
            <w:noWrap/>
            <w:hideMark/>
          </w:tcPr>
          <w:p w14:paraId="2692142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1304</w:t>
            </w:r>
          </w:p>
        </w:tc>
        <w:tc>
          <w:tcPr>
            <w:tcW w:w="2835" w:type="dxa"/>
            <w:shd w:val="clear" w:color="auto" w:fill="auto"/>
            <w:noWrap/>
            <w:hideMark/>
          </w:tcPr>
          <w:p w14:paraId="4D1B7B9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21 202 846</w:t>
            </w:r>
          </w:p>
        </w:tc>
      </w:tr>
      <w:tr w:rsidR="00E16C06" w:rsidRPr="00E16C06" w14:paraId="638D1FCE" w14:textId="77777777" w:rsidTr="00E16C06">
        <w:trPr>
          <w:trHeight w:val="315"/>
        </w:trPr>
        <w:tc>
          <w:tcPr>
            <w:tcW w:w="3109" w:type="dxa"/>
            <w:shd w:val="clear" w:color="auto" w:fill="auto"/>
            <w:noWrap/>
            <w:vAlign w:val="bottom"/>
            <w:hideMark/>
          </w:tcPr>
          <w:p w14:paraId="3D764D1A"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eastAsia="Times New Roman" w:hAnsi="Times New Roman" w:cs="Times New Roman"/>
                <w:b/>
                <w:spacing w:val="-5"/>
              </w:rPr>
              <w:t>Общий итог</w:t>
            </w:r>
          </w:p>
        </w:tc>
        <w:tc>
          <w:tcPr>
            <w:tcW w:w="3402" w:type="dxa"/>
            <w:shd w:val="clear" w:color="auto" w:fill="auto"/>
            <w:noWrap/>
            <w:hideMark/>
          </w:tcPr>
          <w:p w14:paraId="7E78AE51"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55263</w:t>
            </w:r>
          </w:p>
        </w:tc>
        <w:tc>
          <w:tcPr>
            <w:tcW w:w="2835" w:type="dxa"/>
            <w:shd w:val="clear" w:color="auto" w:fill="auto"/>
            <w:noWrap/>
            <w:hideMark/>
          </w:tcPr>
          <w:p w14:paraId="76C44B64"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1 104 163 068</w:t>
            </w:r>
          </w:p>
        </w:tc>
      </w:tr>
    </w:tbl>
    <w:p w14:paraId="380A1201" w14:textId="77777777" w:rsidR="00E16C06" w:rsidRPr="00E16C06" w:rsidRDefault="00E16C06" w:rsidP="00E16C06">
      <w:pPr>
        <w:rPr>
          <w:rFonts w:ascii="Times New Roman" w:eastAsia="Times New Roman" w:hAnsi="Times New Roman" w:cs="Times New Roman"/>
          <w:sz w:val="26"/>
          <w:szCs w:val="26"/>
        </w:rPr>
      </w:pPr>
      <w:r w:rsidRPr="00E16C06">
        <w:rPr>
          <w:rFonts w:ascii="Times New Roman" w:hAnsi="Times New Roman" w:cs="Times New Roman"/>
          <w:noProof/>
          <w:lang w:eastAsia="ru-RU"/>
        </w:rPr>
        <w:drawing>
          <wp:inline distT="0" distB="0" distL="0" distR="0" wp14:anchorId="517A561D" wp14:editId="5D46831B">
            <wp:extent cx="5940425" cy="3771900"/>
            <wp:effectExtent l="0" t="0" r="3175" b="0"/>
            <wp:docPr id="599" name="Диаграмма 5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756186FA"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spacing w:val="-5"/>
          <w:sz w:val="26"/>
          <w:szCs w:val="26"/>
        </w:rPr>
      </w:pPr>
      <w:r w:rsidRPr="00E16C06">
        <w:rPr>
          <w:rFonts w:ascii="Times New Roman" w:hAnsi="Times New Roman" w:cs="Times New Roman"/>
          <w:sz w:val="26"/>
          <w:szCs w:val="26"/>
        </w:rPr>
        <w:t xml:space="preserve">Рис. </w:t>
      </w:r>
      <w:r w:rsidRPr="00E16C06">
        <w:rPr>
          <w:rFonts w:ascii="Times New Roman" w:eastAsia="Times New Roman" w:hAnsi="Times New Roman" w:cs="Times New Roman"/>
          <w:spacing w:val="-5"/>
          <w:sz w:val="26"/>
          <w:szCs w:val="26"/>
        </w:rPr>
        <w:t>3.3.2.13</w:t>
      </w:r>
      <w:r w:rsidRPr="00E16C06">
        <w:rPr>
          <w:rFonts w:ascii="Times New Roman" w:hAnsi="Times New Roman" w:cs="Times New Roman"/>
          <w:sz w:val="26"/>
          <w:szCs w:val="26"/>
        </w:rPr>
        <w:t xml:space="preserve"> </w:t>
      </w:r>
      <w:r w:rsidRPr="00E16C06">
        <w:rPr>
          <w:rFonts w:ascii="Times New Roman" w:eastAsia="Times New Roman" w:hAnsi="Times New Roman" w:cs="Times New Roman"/>
          <w:spacing w:val="-5"/>
          <w:sz w:val="26"/>
          <w:szCs w:val="26"/>
        </w:rPr>
        <w:t>– Распределение земельных участков, относящихся к сегменту 6 «Производственная деятельность», по муниципальным районам Воронежской области</w:t>
      </w:r>
    </w:p>
    <w:p w14:paraId="39842420" w14:textId="77777777" w:rsidR="00E16C06" w:rsidRPr="00E16C06" w:rsidRDefault="00E16C06" w:rsidP="00E16C06">
      <w:pPr>
        <w:spacing w:after="0" w:line="276" w:lineRule="auto"/>
        <w:ind w:firstLine="709"/>
        <w:contextualSpacing/>
        <w:jc w:val="both"/>
        <w:rPr>
          <w:rFonts w:ascii="Times New Roman" w:hAnsi="Times New Roman" w:cs="Times New Roman"/>
          <w:sz w:val="16"/>
          <w:szCs w:val="16"/>
        </w:rPr>
      </w:pPr>
    </w:p>
    <w:p w14:paraId="1D6AAA7B" w14:textId="77777777" w:rsidR="00E16C06" w:rsidRPr="00E16C06" w:rsidRDefault="00E16C06" w:rsidP="00E16C06">
      <w:pPr>
        <w:spacing w:after="0" w:line="276" w:lineRule="auto"/>
        <w:ind w:firstLine="709"/>
        <w:contextualSpacing/>
        <w:jc w:val="both"/>
        <w:rPr>
          <w:rFonts w:ascii="Times New Roman" w:hAnsi="Times New Roman" w:cs="Times New Roman"/>
          <w:sz w:val="26"/>
          <w:szCs w:val="26"/>
        </w:rPr>
      </w:pPr>
      <w:r w:rsidRPr="00E16C06">
        <w:rPr>
          <w:rFonts w:ascii="Times New Roman" w:hAnsi="Times New Roman" w:cs="Times New Roman"/>
          <w:sz w:val="26"/>
          <w:szCs w:val="26"/>
        </w:rPr>
        <w:t>В соответствии с сегментацией объектов недвижимости с указанием кодов расчета вида использования (приложение № 1 Указаний) 6 сегмент включает в себя коды расчета 01:087, 01:088, 01:090, 01:091, 01:100, 01:101, 01:102, 01:110, 01:111, 01:132, 01:150, 01:172, 01:180, 01:181, 01:182, 03:011, 03:012, 03:093, 04:095, 04:098, 04:099, 05:040, 06:000, 06:010, 06:020, 06:021, 06:030, 06:031, 06:040, 06:050, 06:060, 06:070, 06:071, 06:072, 06:073, 06:080, 06:090, 06:091, 06:092, 06:111, 07:010, 07:011, 07:012, 07:013, 07:015, 07:020, 07:030, 07:031, 07:040, 07:041, 07:050, 07:051, 08:010, 08:013, 08:031, 10:011, 11:030, 12:001. Распределение земельных участков 6 сегмента по кодам вида использования представлено в таблице 3.3.2.14.</w:t>
      </w:r>
    </w:p>
    <w:p w14:paraId="201AF5C5" w14:textId="77777777" w:rsidR="00E16C06" w:rsidRPr="00E16C06" w:rsidRDefault="00E16C06" w:rsidP="00E16C06">
      <w:pPr>
        <w:spacing w:after="0" w:line="276" w:lineRule="auto"/>
        <w:ind w:firstLine="709"/>
        <w:contextualSpacing/>
        <w:jc w:val="right"/>
        <w:rPr>
          <w:rFonts w:ascii="Times New Roman" w:hAnsi="Times New Roman" w:cs="Times New Roman"/>
          <w:sz w:val="26"/>
          <w:szCs w:val="26"/>
        </w:rPr>
      </w:pPr>
      <w:r w:rsidRPr="00E16C06">
        <w:rPr>
          <w:rFonts w:ascii="Times New Roman" w:hAnsi="Times New Roman" w:cs="Times New Roman"/>
          <w:sz w:val="26"/>
          <w:szCs w:val="26"/>
        </w:rPr>
        <w:t xml:space="preserve">Таблица </w:t>
      </w:r>
      <w:r w:rsidRPr="00E16C06">
        <w:rPr>
          <w:rFonts w:ascii="Times New Roman" w:eastAsia="Times New Roman" w:hAnsi="Times New Roman" w:cs="Times New Roman"/>
          <w:spacing w:val="-5"/>
          <w:sz w:val="26"/>
          <w:szCs w:val="26"/>
        </w:rPr>
        <w:t>3.3.2.14</w:t>
      </w:r>
    </w:p>
    <w:p w14:paraId="45534C2D"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Распределение объектов оценки по кодам расчета вида использования</w:t>
      </w:r>
    </w:p>
    <w:p w14:paraId="279E2A5F"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в составе 6 сегмента</w:t>
      </w:r>
    </w:p>
    <w:tbl>
      <w:tblPr>
        <w:tblW w:w="10122" w:type="dxa"/>
        <w:jc w:val="center"/>
        <w:tblLook w:val="04A0" w:firstRow="1" w:lastRow="0" w:firstColumn="1" w:lastColumn="0" w:noHBand="0" w:noVBand="1"/>
      </w:tblPr>
      <w:tblGrid>
        <w:gridCol w:w="2689"/>
        <w:gridCol w:w="2126"/>
        <w:gridCol w:w="3402"/>
        <w:gridCol w:w="1905"/>
      </w:tblGrid>
      <w:tr w:rsidR="00E16C06" w:rsidRPr="00E16C06" w14:paraId="31FE1C7B" w14:textId="77777777" w:rsidTr="00E16C06">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C580C"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eastAsia="Times New Roman" w:hAnsi="Times New Roman" w:cs="Times New Roman"/>
                <w:b/>
                <w:spacing w:val="-5"/>
              </w:rPr>
              <w:t>Код расчета вида использования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F5AC6E3"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eastAsia="Times New Roman" w:hAnsi="Times New Roman" w:cs="Times New Roman"/>
                <w:b/>
                <w:spacing w:val="-5"/>
              </w:rPr>
              <w:t>Количество ЗУ</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488CB620"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eastAsia="Times New Roman" w:hAnsi="Times New Roman" w:cs="Times New Roman"/>
                <w:b/>
                <w:spacing w:val="-5"/>
              </w:rPr>
              <w:t>Код расчета вида использования</w:t>
            </w:r>
          </w:p>
        </w:tc>
        <w:tc>
          <w:tcPr>
            <w:tcW w:w="1905" w:type="dxa"/>
            <w:tcBorders>
              <w:top w:val="single" w:sz="4" w:space="0" w:color="auto"/>
              <w:left w:val="nil"/>
              <w:bottom w:val="single" w:sz="4" w:space="0" w:color="auto"/>
              <w:right w:val="single" w:sz="4" w:space="0" w:color="auto"/>
            </w:tcBorders>
            <w:shd w:val="clear" w:color="auto" w:fill="auto"/>
            <w:noWrap/>
            <w:vAlign w:val="center"/>
            <w:hideMark/>
          </w:tcPr>
          <w:p w14:paraId="5933C449"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eastAsia="Times New Roman" w:hAnsi="Times New Roman" w:cs="Times New Roman"/>
                <w:b/>
                <w:spacing w:val="-5"/>
              </w:rPr>
              <w:t>Количество ЗУ</w:t>
            </w:r>
          </w:p>
        </w:tc>
      </w:tr>
      <w:tr w:rsidR="00E16C06" w:rsidRPr="00E16C06" w14:paraId="09AF7A76"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7C976D1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01:087</w:t>
            </w:r>
          </w:p>
        </w:tc>
        <w:tc>
          <w:tcPr>
            <w:tcW w:w="2126" w:type="dxa"/>
            <w:tcBorders>
              <w:top w:val="nil"/>
              <w:left w:val="nil"/>
              <w:bottom w:val="single" w:sz="4" w:space="0" w:color="auto"/>
              <w:right w:val="single" w:sz="4" w:space="0" w:color="auto"/>
            </w:tcBorders>
            <w:shd w:val="clear" w:color="auto" w:fill="auto"/>
            <w:noWrap/>
            <w:hideMark/>
          </w:tcPr>
          <w:p w14:paraId="5841772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1527</w:t>
            </w:r>
          </w:p>
        </w:tc>
        <w:tc>
          <w:tcPr>
            <w:tcW w:w="3402" w:type="dxa"/>
            <w:tcBorders>
              <w:top w:val="nil"/>
              <w:left w:val="nil"/>
              <w:bottom w:val="single" w:sz="4" w:space="0" w:color="auto"/>
              <w:right w:val="single" w:sz="4" w:space="0" w:color="auto"/>
            </w:tcBorders>
            <w:shd w:val="clear" w:color="auto" w:fill="auto"/>
            <w:noWrap/>
            <w:hideMark/>
          </w:tcPr>
          <w:p w14:paraId="628504F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06:050</w:t>
            </w:r>
          </w:p>
        </w:tc>
        <w:tc>
          <w:tcPr>
            <w:tcW w:w="1905" w:type="dxa"/>
            <w:tcBorders>
              <w:top w:val="nil"/>
              <w:left w:val="nil"/>
              <w:bottom w:val="single" w:sz="4" w:space="0" w:color="auto"/>
              <w:right w:val="single" w:sz="4" w:space="0" w:color="auto"/>
            </w:tcBorders>
            <w:shd w:val="clear" w:color="auto" w:fill="auto"/>
            <w:noWrap/>
            <w:hideMark/>
          </w:tcPr>
          <w:p w14:paraId="241D0E0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87</w:t>
            </w:r>
          </w:p>
        </w:tc>
      </w:tr>
      <w:tr w:rsidR="00E16C06" w:rsidRPr="00E16C06" w14:paraId="1A9363F7"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2BF9AD8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01:088</w:t>
            </w:r>
          </w:p>
        </w:tc>
        <w:tc>
          <w:tcPr>
            <w:tcW w:w="2126" w:type="dxa"/>
            <w:tcBorders>
              <w:top w:val="nil"/>
              <w:left w:val="nil"/>
              <w:bottom w:val="single" w:sz="4" w:space="0" w:color="auto"/>
              <w:right w:val="single" w:sz="4" w:space="0" w:color="auto"/>
            </w:tcBorders>
            <w:shd w:val="clear" w:color="auto" w:fill="auto"/>
            <w:noWrap/>
            <w:hideMark/>
          </w:tcPr>
          <w:p w14:paraId="2482D16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w:t>
            </w:r>
          </w:p>
        </w:tc>
        <w:tc>
          <w:tcPr>
            <w:tcW w:w="3402" w:type="dxa"/>
            <w:tcBorders>
              <w:top w:val="nil"/>
              <w:left w:val="nil"/>
              <w:bottom w:val="single" w:sz="4" w:space="0" w:color="auto"/>
              <w:right w:val="single" w:sz="4" w:space="0" w:color="auto"/>
            </w:tcBorders>
            <w:shd w:val="clear" w:color="auto" w:fill="auto"/>
            <w:noWrap/>
            <w:hideMark/>
          </w:tcPr>
          <w:p w14:paraId="49A879E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06:060</w:t>
            </w:r>
          </w:p>
        </w:tc>
        <w:tc>
          <w:tcPr>
            <w:tcW w:w="1905" w:type="dxa"/>
            <w:tcBorders>
              <w:top w:val="nil"/>
              <w:left w:val="nil"/>
              <w:bottom w:val="single" w:sz="4" w:space="0" w:color="auto"/>
              <w:right w:val="single" w:sz="4" w:space="0" w:color="auto"/>
            </w:tcBorders>
            <w:shd w:val="clear" w:color="auto" w:fill="auto"/>
            <w:noWrap/>
            <w:hideMark/>
          </w:tcPr>
          <w:p w14:paraId="5F59FED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419</w:t>
            </w:r>
          </w:p>
        </w:tc>
      </w:tr>
      <w:tr w:rsidR="00E16C06" w:rsidRPr="00E16C06" w14:paraId="44C8D441"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236EC1F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01:090</w:t>
            </w:r>
          </w:p>
        </w:tc>
        <w:tc>
          <w:tcPr>
            <w:tcW w:w="2126" w:type="dxa"/>
            <w:tcBorders>
              <w:top w:val="nil"/>
              <w:left w:val="nil"/>
              <w:bottom w:val="single" w:sz="4" w:space="0" w:color="auto"/>
              <w:right w:val="single" w:sz="4" w:space="0" w:color="auto"/>
            </w:tcBorders>
            <w:shd w:val="clear" w:color="auto" w:fill="auto"/>
            <w:noWrap/>
            <w:hideMark/>
          </w:tcPr>
          <w:p w14:paraId="6B14D6C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w:t>
            </w:r>
          </w:p>
        </w:tc>
        <w:tc>
          <w:tcPr>
            <w:tcW w:w="3402" w:type="dxa"/>
            <w:tcBorders>
              <w:top w:val="nil"/>
              <w:left w:val="nil"/>
              <w:bottom w:val="single" w:sz="4" w:space="0" w:color="auto"/>
              <w:right w:val="single" w:sz="4" w:space="0" w:color="auto"/>
            </w:tcBorders>
            <w:shd w:val="clear" w:color="auto" w:fill="auto"/>
            <w:noWrap/>
            <w:hideMark/>
          </w:tcPr>
          <w:p w14:paraId="1980A8A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06:070</w:t>
            </w:r>
          </w:p>
        </w:tc>
        <w:tc>
          <w:tcPr>
            <w:tcW w:w="1905" w:type="dxa"/>
            <w:tcBorders>
              <w:top w:val="nil"/>
              <w:left w:val="nil"/>
              <w:bottom w:val="single" w:sz="4" w:space="0" w:color="auto"/>
              <w:right w:val="single" w:sz="4" w:space="0" w:color="auto"/>
            </w:tcBorders>
            <w:shd w:val="clear" w:color="auto" w:fill="auto"/>
            <w:noWrap/>
            <w:hideMark/>
          </w:tcPr>
          <w:p w14:paraId="77D1C03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w:t>
            </w:r>
          </w:p>
        </w:tc>
      </w:tr>
      <w:tr w:rsidR="00E16C06" w:rsidRPr="00E16C06" w14:paraId="195F7A38"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6783914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01:091</w:t>
            </w:r>
          </w:p>
        </w:tc>
        <w:tc>
          <w:tcPr>
            <w:tcW w:w="2126" w:type="dxa"/>
            <w:tcBorders>
              <w:top w:val="nil"/>
              <w:left w:val="nil"/>
              <w:bottom w:val="single" w:sz="4" w:space="0" w:color="auto"/>
              <w:right w:val="single" w:sz="4" w:space="0" w:color="auto"/>
            </w:tcBorders>
            <w:shd w:val="clear" w:color="auto" w:fill="auto"/>
            <w:noWrap/>
            <w:hideMark/>
          </w:tcPr>
          <w:p w14:paraId="3D68946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w:t>
            </w:r>
          </w:p>
        </w:tc>
        <w:tc>
          <w:tcPr>
            <w:tcW w:w="3402" w:type="dxa"/>
            <w:tcBorders>
              <w:top w:val="nil"/>
              <w:left w:val="nil"/>
              <w:bottom w:val="single" w:sz="4" w:space="0" w:color="auto"/>
              <w:right w:val="single" w:sz="4" w:space="0" w:color="auto"/>
            </w:tcBorders>
            <w:shd w:val="clear" w:color="auto" w:fill="auto"/>
            <w:noWrap/>
            <w:hideMark/>
          </w:tcPr>
          <w:p w14:paraId="7011FDD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06:071</w:t>
            </w:r>
          </w:p>
        </w:tc>
        <w:tc>
          <w:tcPr>
            <w:tcW w:w="1905" w:type="dxa"/>
            <w:tcBorders>
              <w:top w:val="nil"/>
              <w:left w:val="nil"/>
              <w:bottom w:val="single" w:sz="4" w:space="0" w:color="auto"/>
              <w:right w:val="single" w:sz="4" w:space="0" w:color="auto"/>
            </w:tcBorders>
            <w:shd w:val="clear" w:color="auto" w:fill="auto"/>
            <w:noWrap/>
            <w:hideMark/>
          </w:tcPr>
          <w:p w14:paraId="7D43494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w:t>
            </w:r>
          </w:p>
        </w:tc>
      </w:tr>
      <w:tr w:rsidR="00E16C06" w:rsidRPr="00E16C06" w14:paraId="4D1326CF"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7EE0843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01:100</w:t>
            </w:r>
          </w:p>
        </w:tc>
        <w:tc>
          <w:tcPr>
            <w:tcW w:w="2126" w:type="dxa"/>
            <w:tcBorders>
              <w:top w:val="nil"/>
              <w:left w:val="nil"/>
              <w:bottom w:val="single" w:sz="4" w:space="0" w:color="auto"/>
              <w:right w:val="single" w:sz="4" w:space="0" w:color="auto"/>
            </w:tcBorders>
            <w:shd w:val="clear" w:color="auto" w:fill="auto"/>
            <w:noWrap/>
            <w:hideMark/>
          </w:tcPr>
          <w:p w14:paraId="063C417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44</w:t>
            </w:r>
          </w:p>
        </w:tc>
        <w:tc>
          <w:tcPr>
            <w:tcW w:w="3402" w:type="dxa"/>
            <w:tcBorders>
              <w:top w:val="nil"/>
              <w:left w:val="nil"/>
              <w:bottom w:val="single" w:sz="4" w:space="0" w:color="auto"/>
              <w:right w:val="single" w:sz="4" w:space="0" w:color="auto"/>
            </w:tcBorders>
            <w:shd w:val="clear" w:color="auto" w:fill="auto"/>
            <w:noWrap/>
            <w:hideMark/>
          </w:tcPr>
          <w:p w14:paraId="50A7466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06:072</w:t>
            </w:r>
          </w:p>
        </w:tc>
        <w:tc>
          <w:tcPr>
            <w:tcW w:w="1905" w:type="dxa"/>
            <w:tcBorders>
              <w:top w:val="nil"/>
              <w:left w:val="nil"/>
              <w:bottom w:val="single" w:sz="4" w:space="0" w:color="auto"/>
              <w:right w:val="single" w:sz="4" w:space="0" w:color="auto"/>
            </w:tcBorders>
            <w:shd w:val="clear" w:color="auto" w:fill="auto"/>
            <w:noWrap/>
            <w:hideMark/>
          </w:tcPr>
          <w:p w14:paraId="3C4563D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109</w:t>
            </w:r>
          </w:p>
        </w:tc>
      </w:tr>
      <w:tr w:rsidR="00E16C06" w:rsidRPr="00E16C06" w14:paraId="5EABA6C2"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72C4C3E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01:101</w:t>
            </w:r>
          </w:p>
        </w:tc>
        <w:tc>
          <w:tcPr>
            <w:tcW w:w="2126" w:type="dxa"/>
            <w:tcBorders>
              <w:top w:val="nil"/>
              <w:left w:val="nil"/>
              <w:bottom w:val="single" w:sz="4" w:space="0" w:color="auto"/>
              <w:right w:val="single" w:sz="4" w:space="0" w:color="auto"/>
            </w:tcBorders>
            <w:shd w:val="clear" w:color="auto" w:fill="auto"/>
            <w:noWrap/>
            <w:hideMark/>
          </w:tcPr>
          <w:p w14:paraId="019BE2D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w:t>
            </w:r>
          </w:p>
        </w:tc>
        <w:tc>
          <w:tcPr>
            <w:tcW w:w="3402" w:type="dxa"/>
            <w:tcBorders>
              <w:top w:val="nil"/>
              <w:left w:val="nil"/>
              <w:bottom w:val="single" w:sz="4" w:space="0" w:color="auto"/>
              <w:right w:val="single" w:sz="4" w:space="0" w:color="auto"/>
            </w:tcBorders>
            <w:shd w:val="clear" w:color="auto" w:fill="auto"/>
            <w:noWrap/>
            <w:hideMark/>
          </w:tcPr>
          <w:p w14:paraId="545AF47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06:073</w:t>
            </w:r>
          </w:p>
        </w:tc>
        <w:tc>
          <w:tcPr>
            <w:tcW w:w="1905" w:type="dxa"/>
            <w:tcBorders>
              <w:top w:val="nil"/>
              <w:left w:val="nil"/>
              <w:bottom w:val="single" w:sz="4" w:space="0" w:color="auto"/>
              <w:right w:val="single" w:sz="4" w:space="0" w:color="auto"/>
            </w:tcBorders>
            <w:shd w:val="clear" w:color="auto" w:fill="auto"/>
            <w:noWrap/>
            <w:hideMark/>
          </w:tcPr>
          <w:p w14:paraId="4060DA8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w:t>
            </w:r>
          </w:p>
        </w:tc>
      </w:tr>
      <w:tr w:rsidR="00E16C06" w:rsidRPr="00E16C06" w14:paraId="38DF092B"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7A29522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01:102</w:t>
            </w:r>
          </w:p>
        </w:tc>
        <w:tc>
          <w:tcPr>
            <w:tcW w:w="2126" w:type="dxa"/>
            <w:tcBorders>
              <w:top w:val="nil"/>
              <w:left w:val="nil"/>
              <w:bottom w:val="single" w:sz="4" w:space="0" w:color="auto"/>
              <w:right w:val="single" w:sz="4" w:space="0" w:color="auto"/>
            </w:tcBorders>
            <w:shd w:val="clear" w:color="auto" w:fill="auto"/>
            <w:noWrap/>
            <w:hideMark/>
          </w:tcPr>
          <w:p w14:paraId="1E411DF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w:t>
            </w:r>
          </w:p>
        </w:tc>
        <w:tc>
          <w:tcPr>
            <w:tcW w:w="3402" w:type="dxa"/>
            <w:tcBorders>
              <w:top w:val="nil"/>
              <w:left w:val="nil"/>
              <w:bottom w:val="single" w:sz="4" w:space="0" w:color="auto"/>
              <w:right w:val="single" w:sz="4" w:space="0" w:color="auto"/>
            </w:tcBorders>
            <w:shd w:val="clear" w:color="auto" w:fill="auto"/>
            <w:noWrap/>
            <w:hideMark/>
          </w:tcPr>
          <w:p w14:paraId="4327ACB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06:080</w:t>
            </w:r>
          </w:p>
        </w:tc>
        <w:tc>
          <w:tcPr>
            <w:tcW w:w="1905" w:type="dxa"/>
            <w:tcBorders>
              <w:top w:val="nil"/>
              <w:left w:val="nil"/>
              <w:bottom w:val="single" w:sz="4" w:space="0" w:color="auto"/>
              <w:right w:val="single" w:sz="4" w:space="0" w:color="auto"/>
            </w:tcBorders>
            <w:shd w:val="clear" w:color="auto" w:fill="auto"/>
            <w:noWrap/>
            <w:hideMark/>
          </w:tcPr>
          <w:p w14:paraId="641947A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888</w:t>
            </w:r>
          </w:p>
        </w:tc>
      </w:tr>
      <w:tr w:rsidR="00E16C06" w:rsidRPr="00E16C06" w14:paraId="2122E57C"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5F6F8A3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01:110</w:t>
            </w:r>
          </w:p>
        </w:tc>
        <w:tc>
          <w:tcPr>
            <w:tcW w:w="2126" w:type="dxa"/>
            <w:tcBorders>
              <w:top w:val="nil"/>
              <w:left w:val="nil"/>
              <w:bottom w:val="single" w:sz="4" w:space="0" w:color="auto"/>
              <w:right w:val="single" w:sz="4" w:space="0" w:color="auto"/>
            </w:tcBorders>
            <w:shd w:val="clear" w:color="auto" w:fill="auto"/>
            <w:noWrap/>
            <w:hideMark/>
          </w:tcPr>
          <w:p w14:paraId="55173B4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158</w:t>
            </w:r>
          </w:p>
        </w:tc>
        <w:tc>
          <w:tcPr>
            <w:tcW w:w="3402" w:type="dxa"/>
            <w:tcBorders>
              <w:top w:val="nil"/>
              <w:left w:val="nil"/>
              <w:bottom w:val="single" w:sz="4" w:space="0" w:color="auto"/>
              <w:right w:val="single" w:sz="4" w:space="0" w:color="auto"/>
            </w:tcBorders>
            <w:shd w:val="clear" w:color="auto" w:fill="auto"/>
            <w:noWrap/>
            <w:hideMark/>
          </w:tcPr>
          <w:p w14:paraId="7749C29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06:090</w:t>
            </w:r>
          </w:p>
        </w:tc>
        <w:tc>
          <w:tcPr>
            <w:tcW w:w="1905" w:type="dxa"/>
            <w:tcBorders>
              <w:top w:val="nil"/>
              <w:left w:val="nil"/>
              <w:bottom w:val="single" w:sz="4" w:space="0" w:color="auto"/>
              <w:right w:val="single" w:sz="4" w:space="0" w:color="auto"/>
            </w:tcBorders>
            <w:shd w:val="clear" w:color="auto" w:fill="auto"/>
            <w:noWrap/>
            <w:hideMark/>
          </w:tcPr>
          <w:p w14:paraId="63BB3D1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3454</w:t>
            </w:r>
          </w:p>
        </w:tc>
      </w:tr>
      <w:tr w:rsidR="00E16C06" w:rsidRPr="00E16C06" w14:paraId="0112E5BF"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52CA88E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01:111</w:t>
            </w:r>
          </w:p>
        </w:tc>
        <w:tc>
          <w:tcPr>
            <w:tcW w:w="2126" w:type="dxa"/>
            <w:tcBorders>
              <w:top w:val="nil"/>
              <w:left w:val="nil"/>
              <w:bottom w:val="single" w:sz="4" w:space="0" w:color="auto"/>
              <w:right w:val="single" w:sz="4" w:space="0" w:color="auto"/>
            </w:tcBorders>
            <w:shd w:val="clear" w:color="auto" w:fill="auto"/>
            <w:noWrap/>
            <w:hideMark/>
          </w:tcPr>
          <w:p w14:paraId="3EF220D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49</w:t>
            </w:r>
          </w:p>
        </w:tc>
        <w:tc>
          <w:tcPr>
            <w:tcW w:w="3402" w:type="dxa"/>
            <w:tcBorders>
              <w:top w:val="nil"/>
              <w:left w:val="nil"/>
              <w:bottom w:val="single" w:sz="4" w:space="0" w:color="auto"/>
              <w:right w:val="single" w:sz="4" w:space="0" w:color="auto"/>
            </w:tcBorders>
            <w:shd w:val="clear" w:color="auto" w:fill="auto"/>
            <w:noWrap/>
            <w:hideMark/>
          </w:tcPr>
          <w:p w14:paraId="69E2B0A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06:091</w:t>
            </w:r>
          </w:p>
        </w:tc>
        <w:tc>
          <w:tcPr>
            <w:tcW w:w="1905" w:type="dxa"/>
            <w:tcBorders>
              <w:top w:val="nil"/>
              <w:left w:val="nil"/>
              <w:bottom w:val="single" w:sz="4" w:space="0" w:color="auto"/>
              <w:right w:val="single" w:sz="4" w:space="0" w:color="auto"/>
            </w:tcBorders>
            <w:shd w:val="clear" w:color="auto" w:fill="auto"/>
            <w:noWrap/>
            <w:hideMark/>
          </w:tcPr>
          <w:p w14:paraId="38A084C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w:t>
            </w:r>
          </w:p>
        </w:tc>
      </w:tr>
      <w:tr w:rsidR="00E16C06" w:rsidRPr="00E16C06" w14:paraId="257D41EA"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4D0471E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01:132</w:t>
            </w:r>
          </w:p>
        </w:tc>
        <w:tc>
          <w:tcPr>
            <w:tcW w:w="2126" w:type="dxa"/>
            <w:tcBorders>
              <w:top w:val="nil"/>
              <w:left w:val="nil"/>
              <w:bottom w:val="single" w:sz="4" w:space="0" w:color="auto"/>
              <w:right w:val="single" w:sz="4" w:space="0" w:color="auto"/>
            </w:tcBorders>
            <w:shd w:val="clear" w:color="auto" w:fill="auto"/>
            <w:noWrap/>
            <w:hideMark/>
          </w:tcPr>
          <w:p w14:paraId="3E91A5F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w:t>
            </w:r>
          </w:p>
        </w:tc>
        <w:tc>
          <w:tcPr>
            <w:tcW w:w="3402" w:type="dxa"/>
            <w:tcBorders>
              <w:top w:val="nil"/>
              <w:left w:val="nil"/>
              <w:bottom w:val="single" w:sz="4" w:space="0" w:color="auto"/>
              <w:right w:val="single" w:sz="4" w:space="0" w:color="auto"/>
            </w:tcBorders>
            <w:shd w:val="clear" w:color="auto" w:fill="auto"/>
            <w:noWrap/>
            <w:hideMark/>
          </w:tcPr>
          <w:p w14:paraId="749A041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06:092</w:t>
            </w:r>
          </w:p>
        </w:tc>
        <w:tc>
          <w:tcPr>
            <w:tcW w:w="1905" w:type="dxa"/>
            <w:tcBorders>
              <w:top w:val="nil"/>
              <w:left w:val="nil"/>
              <w:bottom w:val="single" w:sz="4" w:space="0" w:color="auto"/>
              <w:right w:val="single" w:sz="4" w:space="0" w:color="auto"/>
            </w:tcBorders>
            <w:shd w:val="clear" w:color="auto" w:fill="auto"/>
            <w:noWrap/>
            <w:hideMark/>
          </w:tcPr>
          <w:p w14:paraId="539C127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w:t>
            </w:r>
          </w:p>
        </w:tc>
      </w:tr>
      <w:tr w:rsidR="00E16C06" w:rsidRPr="00E16C06" w14:paraId="4397995F"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515669F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01:150</w:t>
            </w:r>
          </w:p>
        </w:tc>
        <w:tc>
          <w:tcPr>
            <w:tcW w:w="2126" w:type="dxa"/>
            <w:tcBorders>
              <w:top w:val="nil"/>
              <w:left w:val="nil"/>
              <w:bottom w:val="single" w:sz="4" w:space="0" w:color="auto"/>
              <w:right w:val="single" w:sz="4" w:space="0" w:color="auto"/>
            </w:tcBorders>
            <w:shd w:val="clear" w:color="auto" w:fill="auto"/>
            <w:noWrap/>
            <w:hideMark/>
          </w:tcPr>
          <w:p w14:paraId="7B2B751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1679</w:t>
            </w:r>
          </w:p>
        </w:tc>
        <w:tc>
          <w:tcPr>
            <w:tcW w:w="3402" w:type="dxa"/>
            <w:tcBorders>
              <w:top w:val="nil"/>
              <w:left w:val="nil"/>
              <w:bottom w:val="single" w:sz="4" w:space="0" w:color="auto"/>
              <w:right w:val="single" w:sz="4" w:space="0" w:color="auto"/>
            </w:tcBorders>
            <w:shd w:val="clear" w:color="auto" w:fill="auto"/>
            <w:noWrap/>
            <w:hideMark/>
          </w:tcPr>
          <w:p w14:paraId="4D3860E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06:111</w:t>
            </w:r>
          </w:p>
        </w:tc>
        <w:tc>
          <w:tcPr>
            <w:tcW w:w="1905" w:type="dxa"/>
            <w:tcBorders>
              <w:top w:val="nil"/>
              <w:left w:val="nil"/>
              <w:bottom w:val="single" w:sz="4" w:space="0" w:color="auto"/>
              <w:right w:val="single" w:sz="4" w:space="0" w:color="auto"/>
            </w:tcBorders>
            <w:shd w:val="clear" w:color="auto" w:fill="auto"/>
            <w:noWrap/>
            <w:hideMark/>
          </w:tcPr>
          <w:p w14:paraId="06E96A1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26</w:t>
            </w:r>
          </w:p>
        </w:tc>
      </w:tr>
      <w:tr w:rsidR="00E16C06" w:rsidRPr="00E16C06" w14:paraId="62B05067"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29E3A10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01:172</w:t>
            </w:r>
          </w:p>
        </w:tc>
        <w:tc>
          <w:tcPr>
            <w:tcW w:w="2126" w:type="dxa"/>
            <w:tcBorders>
              <w:top w:val="nil"/>
              <w:left w:val="nil"/>
              <w:bottom w:val="single" w:sz="4" w:space="0" w:color="auto"/>
              <w:right w:val="single" w:sz="4" w:space="0" w:color="auto"/>
            </w:tcBorders>
            <w:shd w:val="clear" w:color="auto" w:fill="auto"/>
            <w:noWrap/>
            <w:hideMark/>
          </w:tcPr>
          <w:p w14:paraId="1CA4BF3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w:t>
            </w:r>
          </w:p>
        </w:tc>
        <w:tc>
          <w:tcPr>
            <w:tcW w:w="3402" w:type="dxa"/>
            <w:tcBorders>
              <w:top w:val="nil"/>
              <w:left w:val="nil"/>
              <w:bottom w:val="single" w:sz="4" w:space="0" w:color="auto"/>
              <w:right w:val="single" w:sz="4" w:space="0" w:color="auto"/>
            </w:tcBorders>
            <w:shd w:val="clear" w:color="auto" w:fill="auto"/>
            <w:noWrap/>
            <w:hideMark/>
          </w:tcPr>
          <w:p w14:paraId="774873A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07:010</w:t>
            </w:r>
          </w:p>
        </w:tc>
        <w:tc>
          <w:tcPr>
            <w:tcW w:w="1905" w:type="dxa"/>
            <w:tcBorders>
              <w:top w:val="nil"/>
              <w:left w:val="nil"/>
              <w:bottom w:val="single" w:sz="4" w:space="0" w:color="auto"/>
              <w:right w:val="single" w:sz="4" w:space="0" w:color="auto"/>
            </w:tcBorders>
            <w:shd w:val="clear" w:color="auto" w:fill="auto"/>
            <w:noWrap/>
            <w:hideMark/>
          </w:tcPr>
          <w:p w14:paraId="3188A86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385</w:t>
            </w:r>
          </w:p>
        </w:tc>
      </w:tr>
      <w:tr w:rsidR="00E16C06" w:rsidRPr="00E16C06" w14:paraId="76B4BBD3"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21095DF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01:180</w:t>
            </w:r>
          </w:p>
        </w:tc>
        <w:tc>
          <w:tcPr>
            <w:tcW w:w="2126" w:type="dxa"/>
            <w:tcBorders>
              <w:top w:val="nil"/>
              <w:left w:val="nil"/>
              <w:bottom w:val="single" w:sz="4" w:space="0" w:color="auto"/>
              <w:right w:val="single" w:sz="4" w:space="0" w:color="auto"/>
            </w:tcBorders>
            <w:shd w:val="clear" w:color="auto" w:fill="auto"/>
            <w:noWrap/>
            <w:hideMark/>
          </w:tcPr>
          <w:p w14:paraId="7F67227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1865</w:t>
            </w:r>
          </w:p>
        </w:tc>
        <w:tc>
          <w:tcPr>
            <w:tcW w:w="3402" w:type="dxa"/>
            <w:tcBorders>
              <w:top w:val="nil"/>
              <w:left w:val="nil"/>
              <w:bottom w:val="single" w:sz="4" w:space="0" w:color="auto"/>
              <w:right w:val="single" w:sz="4" w:space="0" w:color="auto"/>
            </w:tcBorders>
            <w:shd w:val="clear" w:color="auto" w:fill="auto"/>
            <w:noWrap/>
            <w:hideMark/>
          </w:tcPr>
          <w:p w14:paraId="32A36AC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07:011</w:t>
            </w:r>
          </w:p>
        </w:tc>
        <w:tc>
          <w:tcPr>
            <w:tcW w:w="1905" w:type="dxa"/>
            <w:tcBorders>
              <w:top w:val="nil"/>
              <w:left w:val="nil"/>
              <w:bottom w:val="single" w:sz="4" w:space="0" w:color="auto"/>
              <w:right w:val="single" w:sz="4" w:space="0" w:color="auto"/>
            </w:tcBorders>
            <w:shd w:val="clear" w:color="auto" w:fill="auto"/>
            <w:noWrap/>
            <w:hideMark/>
          </w:tcPr>
          <w:p w14:paraId="424546A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w:t>
            </w:r>
          </w:p>
        </w:tc>
      </w:tr>
      <w:tr w:rsidR="00E16C06" w:rsidRPr="00E16C06" w14:paraId="2C67BC0F"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0E96863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01:181</w:t>
            </w:r>
          </w:p>
        </w:tc>
        <w:tc>
          <w:tcPr>
            <w:tcW w:w="2126" w:type="dxa"/>
            <w:tcBorders>
              <w:top w:val="nil"/>
              <w:left w:val="nil"/>
              <w:bottom w:val="single" w:sz="4" w:space="0" w:color="auto"/>
              <w:right w:val="single" w:sz="4" w:space="0" w:color="auto"/>
            </w:tcBorders>
            <w:shd w:val="clear" w:color="auto" w:fill="auto"/>
            <w:noWrap/>
            <w:hideMark/>
          </w:tcPr>
          <w:p w14:paraId="3FA7A97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341</w:t>
            </w:r>
          </w:p>
        </w:tc>
        <w:tc>
          <w:tcPr>
            <w:tcW w:w="3402" w:type="dxa"/>
            <w:tcBorders>
              <w:top w:val="nil"/>
              <w:left w:val="nil"/>
              <w:bottom w:val="single" w:sz="4" w:space="0" w:color="auto"/>
              <w:right w:val="single" w:sz="4" w:space="0" w:color="auto"/>
            </w:tcBorders>
            <w:shd w:val="clear" w:color="auto" w:fill="auto"/>
            <w:noWrap/>
            <w:hideMark/>
          </w:tcPr>
          <w:p w14:paraId="1E1E4BD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07:012</w:t>
            </w:r>
          </w:p>
        </w:tc>
        <w:tc>
          <w:tcPr>
            <w:tcW w:w="1905" w:type="dxa"/>
            <w:tcBorders>
              <w:top w:val="nil"/>
              <w:left w:val="nil"/>
              <w:bottom w:val="single" w:sz="4" w:space="0" w:color="auto"/>
              <w:right w:val="single" w:sz="4" w:space="0" w:color="auto"/>
            </w:tcBorders>
            <w:shd w:val="clear" w:color="auto" w:fill="auto"/>
            <w:noWrap/>
            <w:hideMark/>
          </w:tcPr>
          <w:p w14:paraId="0B508E1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w:t>
            </w:r>
          </w:p>
        </w:tc>
      </w:tr>
      <w:tr w:rsidR="00E16C06" w:rsidRPr="00E16C06" w14:paraId="404E0DEA"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22A64BA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01:182</w:t>
            </w:r>
          </w:p>
        </w:tc>
        <w:tc>
          <w:tcPr>
            <w:tcW w:w="2126" w:type="dxa"/>
            <w:tcBorders>
              <w:top w:val="nil"/>
              <w:left w:val="nil"/>
              <w:bottom w:val="single" w:sz="4" w:space="0" w:color="auto"/>
              <w:right w:val="single" w:sz="4" w:space="0" w:color="auto"/>
            </w:tcBorders>
            <w:shd w:val="clear" w:color="auto" w:fill="auto"/>
            <w:noWrap/>
            <w:hideMark/>
          </w:tcPr>
          <w:p w14:paraId="60B185C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79</w:t>
            </w:r>
          </w:p>
        </w:tc>
        <w:tc>
          <w:tcPr>
            <w:tcW w:w="3402" w:type="dxa"/>
            <w:tcBorders>
              <w:top w:val="nil"/>
              <w:left w:val="nil"/>
              <w:bottom w:val="single" w:sz="4" w:space="0" w:color="auto"/>
              <w:right w:val="single" w:sz="4" w:space="0" w:color="auto"/>
            </w:tcBorders>
            <w:shd w:val="clear" w:color="auto" w:fill="auto"/>
            <w:noWrap/>
            <w:hideMark/>
          </w:tcPr>
          <w:p w14:paraId="15663F5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07:013</w:t>
            </w:r>
          </w:p>
        </w:tc>
        <w:tc>
          <w:tcPr>
            <w:tcW w:w="1905" w:type="dxa"/>
            <w:tcBorders>
              <w:top w:val="nil"/>
              <w:left w:val="nil"/>
              <w:bottom w:val="single" w:sz="4" w:space="0" w:color="auto"/>
              <w:right w:val="single" w:sz="4" w:space="0" w:color="auto"/>
            </w:tcBorders>
            <w:shd w:val="clear" w:color="auto" w:fill="auto"/>
            <w:noWrap/>
            <w:hideMark/>
          </w:tcPr>
          <w:p w14:paraId="0E99E0B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w:t>
            </w:r>
          </w:p>
        </w:tc>
      </w:tr>
      <w:tr w:rsidR="00E16C06" w:rsidRPr="00E16C06" w14:paraId="498C8F38"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0D78B08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03:011</w:t>
            </w:r>
          </w:p>
        </w:tc>
        <w:tc>
          <w:tcPr>
            <w:tcW w:w="2126" w:type="dxa"/>
            <w:tcBorders>
              <w:top w:val="nil"/>
              <w:left w:val="nil"/>
              <w:bottom w:val="single" w:sz="4" w:space="0" w:color="auto"/>
              <w:right w:val="single" w:sz="4" w:space="0" w:color="auto"/>
            </w:tcBorders>
            <w:shd w:val="clear" w:color="auto" w:fill="auto"/>
            <w:noWrap/>
            <w:hideMark/>
          </w:tcPr>
          <w:p w14:paraId="6A1857A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7688</w:t>
            </w:r>
          </w:p>
        </w:tc>
        <w:tc>
          <w:tcPr>
            <w:tcW w:w="3402" w:type="dxa"/>
            <w:tcBorders>
              <w:top w:val="nil"/>
              <w:left w:val="nil"/>
              <w:bottom w:val="single" w:sz="4" w:space="0" w:color="auto"/>
              <w:right w:val="single" w:sz="4" w:space="0" w:color="auto"/>
            </w:tcBorders>
            <w:shd w:val="clear" w:color="auto" w:fill="auto"/>
            <w:noWrap/>
            <w:hideMark/>
          </w:tcPr>
          <w:p w14:paraId="42E74EC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07:015</w:t>
            </w:r>
          </w:p>
        </w:tc>
        <w:tc>
          <w:tcPr>
            <w:tcW w:w="1905" w:type="dxa"/>
            <w:tcBorders>
              <w:top w:val="nil"/>
              <w:left w:val="nil"/>
              <w:bottom w:val="single" w:sz="4" w:space="0" w:color="auto"/>
              <w:right w:val="single" w:sz="4" w:space="0" w:color="auto"/>
            </w:tcBorders>
            <w:shd w:val="clear" w:color="auto" w:fill="auto"/>
            <w:noWrap/>
            <w:hideMark/>
          </w:tcPr>
          <w:p w14:paraId="3EC5E91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w:t>
            </w:r>
          </w:p>
        </w:tc>
      </w:tr>
      <w:tr w:rsidR="00E16C06" w:rsidRPr="00E16C06" w14:paraId="4D7C29FA"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305F2C1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03:012</w:t>
            </w:r>
          </w:p>
        </w:tc>
        <w:tc>
          <w:tcPr>
            <w:tcW w:w="2126" w:type="dxa"/>
            <w:tcBorders>
              <w:top w:val="nil"/>
              <w:left w:val="nil"/>
              <w:bottom w:val="single" w:sz="4" w:space="0" w:color="auto"/>
              <w:right w:val="single" w:sz="4" w:space="0" w:color="auto"/>
            </w:tcBorders>
            <w:shd w:val="clear" w:color="auto" w:fill="auto"/>
            <w:noWrap/>
            <w:hideMark/>
          </w:tcPr>
          <w:p w14:paraId="4E2B328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7117</w:t>
            </w:r>
          </w:p>
        </w:tc>
        <w:tc>
          <w:tcPr>
            <w:tcW w:w="3402" w:type="dxa"/>
            <w:tcBorders>
              <w:top w:val="nil"/>
              <w:left w:val="nil"/>
              <w:bottom w:val="single" w:sz="4" w:space="0" w:color="auto"/>
              <w:right w:val="single" w:sz="4" w:space="0" w:color="auto"/>
            </w:tcBorders>
            <w:shd w:val="clear" w:color="auto" w:fill="auto"/>
            <w:noWrap/>
            <w:hideMark/>
          </w:tcPr>
          <w:p w14:paraId="6A3EBD3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07:020</w:t>
            </w:r>
          </w:p>
        </w:tc>
        <w:tc>
          <w:tcPr>
            <w:tcW w:w="1905" w:type="dxa"/>
            <w:tcBorders>
              <w:top w:val="nil"/>
              <w:left w:val="nil"/>
              <w:bottom w:val="single" w:sz="4" w:space="0" w:color="auto"/>
              <w:right w:val="single" w:sz="4" w:space="0" w:color="auto"/>
            </w:tcBorders>
            <w:shd w:val="clear" w:color="auto" w:fill="auto"/>
            <w:noWrap/>
            <w:hideMark/>
          </w:tcPr>
          <w:p w14:paraId="03ED9BB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7662</w:t>
            </w:r>
          </w:p>
        </w:tc>
      </w:tr>
      <w:tr w:rsidR="00E16C06" w:rsidRPr="00E16C06" w14:paraId="42AFF04C"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2F633BE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03:093</w:t>
            </w:r>
          </w:p>
        </w:tc>
        <w:tc>
          <w:tcPr>
            <w:tcW w:w="2126" w:type="dxa"/>
            <w:tcBorders>
              <w:top w:val="nil"/>
              <w:left w:val="nil"/>
              <w:bottom w:val="single" w:sz="4" w:space="0" w:color="auto"/>
              <w:right w:val="single" w:sz="4" w:space="0" w:color="auto"/>
            </w:tcBorders>
            <w:shd w:val="clear" w:color="auto" w:fill="auto"/>
            <w:noWrap/>
            <w:hideMark/>
          </w:tcPr>
          <w:p w14:paraId="0CFCFB5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26</w:t>
            </w:r>
          </w:p>
        </w:tc>
        <w:tc>
          <w:tcPr>
            <w:tcW w:w="3402" w:type="dxa"/>
            <w:tcBorders>
              <w:top w:val="nil"/>
              <w:left w:val="nil"/>
              <w:bottom w:val="single" w:sz="4" w:space="0" w:color="auto"/>
              <w:right w:val="single" w:sz="4" w:space="0" w:color="auto"/>
            </w:tcBorders>
            <w:shd w:val="clear" w:color="auto" w:fill="auto"/>
            <w:noWrap/>
            <w:hideMark/>
          </w:tcPr>
          <w:p w14:paraId="6042C87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07:030</w:t>
            </w:r>
          </w:p>
        </w:tc>
        <w:tc>
          <w:tcPr>
            <w:tcW w:w="1905" w:type="dxa"/>
            <w:tcBorders>
              <w:top w:val="nil"/>
              <w:left w:val="nil"/>
              <w:bottom w:val="single" w:sz="4" w:space="0" w:color="auto"/>
              <w:right w:val="single" w:sz="4" w:space="0" w:color="auto"/>
            </w:tcBorders>
            <w:shd w:val="clear" w:color="auto" w:fill="auto"/>
            <w:noWrap/>
            <w:hideMark/>
          </w:tcPr>
          <w:p w14:paraId="7D1250B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w:t>
            </w:r>
          </w:p>
        </w:tc>
      </w:tr>
      <w:tr w:rsidR="00E16C06" w:rsidRPr="00E16C06" w14:paraId="7180AE52"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72A26FD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04:095</w:t>
            </w:r>
          </w:p>
        </w:tc>
        <w:tc>
          <w:tcPr>
            <w:tcW w:w="2126" w:type="dxa"/>
            <w:tcBorders>
              <w:top w:val="nil"/>
              <w:left w:val="nil"/>
              <w:bottom w:val="single" w:sz="4" w:space="0" w:color="auto"/>
              <w:right w:val="single" w:sz="4" w:space="0" w:color="auto"/>
            </w:tcBorders>
            <w:shd w:val="clear" w:color="auto" w:fill="auto"/>
            <w:noWrap/>
            <w:hideMark/>
          </w:tcPr>
          <w:p w14:paraId="5CA9A24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795</w:t>
            </w:r>
          </w:p>
        </w:tc>
        <w:tc>
          <w:tcPr>
            <w:tcW w:w="3402" w:type="dxa"/>
            <w:tcBorders>
              <w:top w:val="nil"/>
              <w:left w:val="nil"/>
              <w:bottom w:val="single" w:sz="4" w:space="0" w:color="auto"/>
              <w:right w:val="single" w:sz="4" w:space="0" w:color="auto"/>
            </w:tcBorders>
            <w:shd w:val="clear" w:color="auto" w:fill="auto"/>
            <w:noWrap/>
            <w:hideMark/>
          </w:tcPr>
          <w:p w14:paraId="72C49FD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07:031</w:t>
            </w:r>
          </w:p>
        </w:tc>
        <w:tc>
          <w:tcPr>
            <w:tcW w:w="1905" w:type="dxa"/>
            <w:tcBorders>
              <w:top w:val="nil"/>
              <w:left w:val="nil"/>
              <w:bottom w:val="single" w:sz="4" w:space="0" w:color="auto"/>
              <w:right w:val="single" w:sz="4" w:space="0" w:color="auto"/>
            </w:tcBorders>
            <w:shd w:val="clear" w:color="auto" w:fill="auto"/>
            <w:noWrap/>
            <w:hideMark/>
          </w:tcPr>
          <w:p w14:paraId="7C33FD1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w:t>
            </w:r>
          </w:p>
        </w:tc>
      </w:tr>
      <w:tr w:rsidR="00E16C06" w:rsidRPr="00E16C06" w14:paraId="18340E51"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70AC79B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04:098</w:t>
            </w:r>
          </w:p>
        </w:tc>
        <w:tc>
          <w:tcPr>
            <w:tcW w:w="2126" w:type="dxa"/>
            <w:tcBorders>
              <w:top w:val="nil"/>
              <w:left w:val="nil"/>
              <w:bottom w:val="single" w:sz="4" w:space="0" w:color="auto"/>
              <w:right w:val="single" w:sz="4" w:space="0" w:color="auto"/>
            </w:tcBorders>
            <w:shd w:val="clear" w:color="auto" w:fill="auto"/>
            <w:noWrap/>
            <w:hideMark/>
          </w:tcPr>
          <w:p w14:paraId="23C58FE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107</w:t>
            </w:r>
          </w:p>
        </w:tc>
        <w:tc>
          <w:tcPr>
            <w:tcW w:w="3402" w:type="dxa"/>
            <w:tcBorders>
              <w:top w:val="nil"/>
              <w:left w:val="nil"/>
              <w:bottom w:val="single" w:sz="4" w:space="0" w:color="auto"/>
              <w:right w:val="single" w:sz="4" w:space="0" w:color="auto"/>
            </w:tcBorders>
            <w:shd w:val="clear" w:color="auto" w:fill="auto"/>
            <w:noWrap/>
            <w:hideMark/>
          </w:tcPr>
          <w:p w14:paraId="6D2DB26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07:040</w:t>
            </w:r>
          </w:p>
        </w:tc>
        <w:tc>
          <w:tcPr>
            <w:tcW w:w="1905" w:type="dxa"/>
            <w:tcBorders>
              <w:top w:val="nil"/>
              <w:left w:val="nil"/>
              <w:bottom w:val="single" w:sz="4" w:space="0" w:color="auto"/>
              <w:right w:val="single" w:sz="4" w:space="0" w:color="auto"/>
            </w:tcBorders>
            <w:shd w:val="clear" w:color="auto" w:fill="auto"/>
            <w:noWrap/>
            <w:hideMark/>
          </w:tcPr>
          <w:p w14:paraId="0D23244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56</w:t>
            </w:r>
          </w:p>
        </w:tc>
      </w:tr>
      <w:tr w:rsidR="00E16C06" w:rsidRPr="00E16C06" w14:paraId="5ADBA44C"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2015EE5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04:099</w:t>
            </w:r>
          </w:p>
        </w:tc>
        <w:tc>
          <w:tcPr>
            <w:tcW w:w="2126" w:type="dxa"/>
            <w:tcBorders>
              <w:top w:val="nil"/>
              <w:left w:val="nil"/>
              <w:bottom w:val="single" w:sz="4" w:space="0" w:color="auto"/>
              <w:right w:val="single" w:sz="4" w:space="0" w:color="auto"/>
            </w:tcBorders>
            <w:shd w:val="clear" w:color="auto" w:fill="auto"/>
            <w:noWrap/>
            <w:hideMark/>
          </w:tcPr>
          <w:p w14:paraId="0464C92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700</w:t>
            </w:r>
          </w:p>
        </w:tc>
        <w:tc>
          <w:tcPr>
            <w:tcW w:w="3402" w:type="dxa"/>
            <w:tcBorders>
              <w:top w:val="nil"/>
              <w:left w:val="nil"/>
              <w:bottom w:val="single" w:sz="4" w:space="0" w:color="auto"/>
              <w:right w:val="single" w:sz="4" w:space="0" w:color="auto"/>
            </w:tcBorders>
            <w:shd w:val="clear" w:color="auto" w:fill="auto"/>
            <w:noWrap/>
            <w:hideMark/>
          </w:tcPr>
          <w:p w14:paraId="2984F52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07:041</w:t>
            </w:r>
          </w:p>
        </w:tc>
        <w:tc>
          <w:tcPr>
            <w:tcW w:w="1905" w:type="dxa"/>
            <w:tcBorders>
              <w:top w:val="nil"/>
              <w:left w:val="nil"/>
              <w:bottom w:val="single" w:sz="4" w:space="0" w:color="auto"/>
              <w:right w:val="single" w:sz="4" w:space="0" w:color="auto"/>
            </w:tcBorders>
            <w:shd w:val="clear" w:color="auto" w:fill="auto"/>
            <w:noWrap/>
            <w:hideMark/>
          </w:tcPr>
          <w:p w14:paraId="6CBE47F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w:t>
            </w:r>
          </w:p>
        </w:tc>
      </w:tr>
      <w:tr w:rsidR="00E16C06" w:rsidRPr="00E16C06" w14:paraId="5E3B053D"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373AE23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05:040</w:t>
            </w:r>
          </w:p>
        </w:tc>
        <w:tc>
          <w:tcPr>
            <w:tcW w:w="2126" w:type="dxa"/>
            <w:tcBorders>
              <w:top w:val="nil"/>
              <w:left w:val="nil"/>
              <w:bottom w:val="single" w:sz="4" w:space="0" w:color="auto"/>
              <w:right w:val="single" w:sz="4" w:space="0" w:color="auto"/>
            </w:tcBorders>
            <w:shd w:val="clear" w:color="auto" w:fill="auto"/>
            <w:noWrap/>
            <w:hideMark/>
          </w:tcPr>
          <w:p w14:paraId="6905DD7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35</w:t>
            </w:r>
          </w:p>
        </w:tc>
        <w:tc>
          <w:tcPr>
            <w:tcW w:w="3402" w:type="dxa"/>
            <w:tcBorders>
              <w:top w:val="nil"/>
              <w:left w:val="nil"/>
              <w:bottom w:val="single" w:sz="4" w:space="0" w:color="auto"/>
              <w:right w:val="single" w:sz="4" w:space="0" w:color="auto"/>
            </w:tcBorders>
            <w:shd w:val="clear" w:color="auto" w:fill="auto"/>
            <w:noWrap/>
            <w:hideMark/>
          </w:tcPr>
          <w:p w14:paraId="210E8EA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07:050</w:t>
            </w:r>
          </w:p>
        </w:tc>
        <w:tc>
          <w:tcPr>
            <w:tcW w:w="1905" w:type="dxa"/>
            <w:tcBorders>
              <w:top w:val="nil"/>
              <w:left w:val="nil"/>
              <w:bottom w:val="single" w:sz="4" w:space="0" w:color="auto"/>
              <w:right w:val="single" w:sz="4" w:space="0" w:color="auto"/>
            </w:tcBorders>
            <w:shd w:val="clear" w:color="auto" w:fill="auto"/>
            <w:noWrap/>
            <w:hideMark/>
          </w:tcPr>
          <w:p w14:paraId="4684584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1932</w:t>
            </w:r>
          </w:p>
        </w:tc>
      </w:tr>
      <w:tr w:rsidR="00E16C06" w:rsidRPr="00E16C06" w14:paraId="23B6D7C9"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1944DB8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06:000</w:t>
            </w:r>
          </w:p>
        </w:tc>
        <w:tc>
          <w:tcPr>
            <w:tcW w:w="2126" w:type="dxa"/>
            <w:tcBorders>
              <w:top w:val="nil"/>
              <w:left w:val="nil"/>
              <w:bottom w:val="single" w:sz="4" w:space="0" w:color="auto"/>
              <w:right w:val="single" w:sz="4" w:space="0" w:color="auto"/>
            </w:tcBorders>
            <w:shd w:val="clear" w:color="auto" w:fill="auto"/>
            <w:noWrap/>
            <w:hideMark/>
          </w:tcPr>
          <w:p w14:paraId="01A60F1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9148</w:t>
            </w:r>
          </w:p>
        </w:tc>
        <w:tc>
          <w:tcPr>
            <w:tcW w:w="3402" w:type="dxa"/>
            <w:tcBorders>
              <w:top w:val="nil"/>
              <w:left w:val="nil"/>
              <w:bottom w:val="single" w:sz="4" w:space="0" w:color="auto"/>
              <w:right w:val="single" w:sz="4" w:space="0" w:color="auto"/>
            </w:tcBorders>
            <w:shd w:val="clear" w:color="auto" w:fill="auto"/>
            <w:noWrap/>
            <w:hideMark/>
          </w:tcPr>
          <w:p w14:paraId="5A9D279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07:051</w:t>
            </w:r>
          </w:p>
        </w:tc>
        <w:tc>
          <w:tcPr>
            <w:tcW w:w="1905" w:type="dxa"/>
            <w:tcBorders>
              <w:top w:val="nil"/>
              <w:left w:val="nil"/>
              <w:bottom w:val="single" w:sz="4" w:space="0" w:color="auto"/>
              <w:right w:val="single" w:sz="4" w:space="0" w:color="auto"/>
            </w:tcBorders>
            <w:shd w:val="clear" w:color="auto" w:fill="auto"/>
            <w:noWrap/>
            <w:hideMark/>
          </w:tcPr>
          <w:p w14:paraId="5A05987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4367</w:t>
            </w:r>
          </w:p>
        </w:tc>
      </w:tr>
      <w:tr w:rsidR="00E16C06" w:rsidRPr="00E16C06" w14:paraId="2E1FC7C2"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3881099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06:010</w:t>
            </w:r>
          </w:p>
        </w:tc>
        <w:tc>
          <w:tcPr>
            <w:tcW w:w="2126" w:type="dxa"/>
            <w:tcBorders>
              <w:top w:val="nil"/>
              <w:left w:val="nil"/>
              <w:bottom w:val="single" w:sz="4" w:space="0" w:color="auto"/>
              <w:right w:val="single" w:sz="4" w:space="0" w:color="auto"/>
            </w:tcBorders>
            <w:shd w:val="clear" w:color="auto" w:fill="auto"/>
            <w:noWrap/>
            <w:hideMark/>
          </w:tcPr>
          <w:p w14:paraId="4959E25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226</w:t>
            </w:r>
          </w:p>
        </w:tc>
        <w:tc>
          <w:tcPr>
            <w:tcW w:w="3402" w:type="dxa"/>
            <w:tcBorders>
              <w:top w:val="nil"/>
              <w:left w:val="nil"/>
              <w:bottom w:val="single" w:sz="4" w:space="0" w:color="auto"/>
              <w:right w:val="single" w:sz="4" w:space="0" w:color="auto"/>
            </w:tcBorders>
            <w:shd w:val="clear" w:color="auto" w:fill="auto"/>
            <w:noWrap/>
            <w:hideMark/>
          </w:tcPr>
          <w:p w14:paraId="184BE59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08:010</w:t>
            </w:r>
          </w:p>
        </w:tc>
        <w:tc>
          <w:tcPr>
            <w:tcW w:w="1905" w:type="dxa"/>
            <w:tcBorders>
              <w:top w:val="nil"/>
              <w:left w:val="nil"/>
              <w:bottom w:val="single" w:sz="4" w:space="0" w:color="auto"/>
              <w:right w:val="single" w:sz="4" w:space="0" w:color="auto"/>
            </w:tcBorders>
            <w:shd w:val="clear" w:color="auto" w:fill="auto"/>
            <w:noWrap/>
            <w:hideMark/>
          </w:tcPr>
          <w:p w14:paraId="32B3931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w:t>
            </w:r>
          </w:p>
        </w:tc>
      </w:tr>
      <w:tr w:rsidR="00E16C06" w:rsidRPr="00E16C06" w14:paraId="73C339F7"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143F197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06:020</w:t>
            </w:r>
          </w:p>
        </w:tc>
        <w:tc>
          <w:tcPr>
            <w:tcW w:w="2126" w:type="dxa"/>
            <w:tcBorders>
              <w:top w:val="nil"/>
              <w:left w:val="nil"/>
              <w:bottom w:val="single" w:sz="4" w:space="0" w:color="auto"/>
              <w:right w:val="single" w:sz="4" w:space="0" w:color="auto"/>
            </w:tcBorders>
            <w:shd w:val="clear" w:color="auto" w:fill="auto"/>
            <w:noWrap/>
            <w:hideMark/>
          </w:tcPr>
          <w:p w14:paraId="53C1E39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64</w:t>
            </w:r>
          </w:p>
        </w:tc>
        <w:tc>
          <w:tcPr>
            <w:tcW w:w="3402" w:type="dxa"/>
            <w:tcBorders>
              <w:top w:val="nil"/>
              <w:left w:val="nil"/>
              <w:bottom w:val="single" w:sz="4" w:space="0" w:color="auto"/>
              <w:right w:val="single" w:sz="4" w:space="0" w:color="auto"/>
            </w:tcBorders>
            <w:shd w:val="clear" w:color="auto" w:fill="auto"/>
            <w:noWrap/>
            <w:hideMark/>
          </w:tcPr>
          <w:p w14:paraId="504427F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08:013</w:t>
            </w:r>
          </w:p>
        </w:tc>
        <w:tc>
          <w:tcPr>
            <w:tcW w:w="1905" w:type="dxa"/>
            <w:tcBorders>
              <w:top w:val="nil"/>
              <w:left w:val="nil"/>
              <w:bottom w:val="single" w:sz="4" w:space="0" w:color="auto"/>
              <w:right w:val="single" w:sz="4" w:space="0" w:color="auto"/>
            </w:tcBorders>
            <w:shd w:val="clear" w:color="auto" w:fill="auto"/>
            <w:noWrap/>
            <w:hideMark/>
          </w:tcPr>
          <w:p w14:paraId="61BEE77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w:t>
            </w:r>
          </w:p>
        </w:tc>
      </w:tr>
      <w:tr w:rsidR="00E16C06" w:rsidRPr="00E16C06" w14:paraId="405D49D4"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2393A23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06:021</w:t>
            </w:r>
          </w:p>
        </w:tc>
        <w:tc>
          <w:tcPr>
            <w:tcW w:w="2126" w:type="dxa"/>
            <w:tcBorders>
              <w:top w:val="nil"/>
              <w:left w:val="nil"/>
              <w:bottom w:val="single" w:sz="4" w:space="0" w:color="auto"/>
              <w:right w:val="single" w:sz="4" w:space="0" w:color="auto"/>
            </w:tcBorders>
            <w:shd w:val="clear" w:color="auto" w:fill="auto"/>
            <w:noWrap/>
            <w:hideMark/>
          </w:tcPr>
          <w:p w14:paraId="71C381A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26</w:t>
            </w:r>
          </w:p>
        </w:tc>
        <w:tc>
          <w:tcPr>
            <w:tcW w:w="3402" w:type="dxa"/>
            <w:tcBorders>
              <w:top w:val="nil"/>
              <w:left w:val="nil"/>
              <w:bottom w:val="single" w:sz="4" w:space="0" w:color="auto"/>
              <w:right w:val="single" w:sz="4" w:space="0" w:color="auto"/>
            </w:tcBorders>
            <w:shd w:val="clear" w:color="auto" w:fill="auto"/>
            <w:noWrap/>
            <w:hideMark/>
          </w:tcPr>
          <w:p w14:paraId="7452DEA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08:031</w:t>
            </w:r>
          </w:p>
        </w:tc>
        <w:tc>
          <w:tcPr>
            <w:tcW w:w="1905" w:type="dxa"/>
            <w:tcBorders>
              <w:top w:val="nil"/>
              <w:left w:val="nil"/>
              <w:bottom w:val="single" w:sz="4" w:space="0" w:color="auto"/>
              <w:right w:val="single" w:sz="4" w:space="0" w:color="auto"/>
            </w:tcBorders>
            <w:shd w:val="clear" w:color="auto" w:fill="auto"/>
            <w:noWrap/>
            <w:hideMark/>
          </w:tcPr>
          <w:p w14:paraId="2A34A2F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15</w:t>
            </w:r>
          </w:p>
        </w:tc>
      </w:tr>
      <w:tr w:rsidR="00E16C06" w:rsidRPr="00E16C06" w14:paraId="6CFB488A"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55E6314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06:030</w:t>
            </w:r>
          </w:p>
        </w:tc>
        <w:tc>
          <w:tcPr>
            <w:tcW w:w="2126" w:type="dxa"/>
            <w:tcBorders>
              <w:top w:val="nil"/>
              <w:left w:val="nil"/>
              <w:bottom w:val="single" w:sz="4" w:space="0" w:color="auto"/>
              <w:right w:val="single" w:sz="4" w:space="0" w:color="auto"/>
            </w:tcBorders>
            <w:shd w:val="clear" w:color="auto" w:fill="auto"/>
            <w:noWrap/>
            <w:hideMark/>
          </w:tcPr>
          <w:p w14:paraId="7AFCE31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38</w:t>
            </w:r>
          </w:p>
        </w:tc>
        <w:tc>
          <w:tcPr>
            <w:tcW w:w="3402" w:type="dxa"/>
            <w:tcBorders>
              <w:top w:val="nil"/>
              <w:left w:val="nil"/>
              <w:bottom w:val="single" w:sz="4" w:space="0" w:color="auto"/>
              <w:right w:val="single" w:sz="4" w:space="0" w:color="auto"/>
            </w:tcBorders>
            <w:shd w:val="clear" w:color="auto" w:fill="auto"/>
            <w:noWrap/>
            <w:hideMark/>
          </w:tcPr>
          <w:p w14:paraId="52A06D4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10:011</w:t>
            </w:r>
          </w:p>
        </w:tc>
        <w:tc>
          <w:tcPr>
            <w:tcW w:w="1905" w:type="dxa"/>
            <w:tcBorders>
              <w:top w:val="nil"/>
              <w:left w:val="nil"/>
              <w:bottom w:val="single" w:sz="4" w:space="0" w:color="auto"/>
              <w:right w:val="single" w:sz="4" w:space="0" w:color="auto"/>
            </w:tcBorders>
            <w:shd w:val="clear" w:color="auto" w:fill="auto"/>
            <w:noWrap/>
            <w:hideMark/>
          </w:tcPr>
          <w:p w14:paraId="6F8C1B2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w:t>
            </w:r>
          </w:p>
        </w:tc>
      </w:tr>
      <w:tr w:rsidR="00E16C06" w:rsidRPr="00E16C06" w14:paraId="07F5408B"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7F1AC32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06:031</w:t>
            </w:r>
          </w:p>
        </w:tc>
        <w:tc>
          <w:tcPr>
            <w:tcW w:w="2126" w:type="dxa"/>
            <w:tcBorders>
              <w:top w:val="nil"/>
              <w:left w:val="nil"/>
              <w:bottom w:val="single" w:sz="4" w:space="0" w:color="auto"/>
              <w:right w:val="single" w:sz="4" w:space="0" w:color="auto"/>
            </w:tcBorders>
            <w:shd w:val="clear" w:color="auto" w:fill="auto"/>
            <w:noWrap/>
            <w:hideMark/>
          </w:tcPr>
          <w:p w14:paraId="40BD941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w:t>
            </w:r>
          </w:p>
        </w:tc>
        <w:tc>
          <w:tcPr>
            <w:tcW w:w="3402" w:type="dxa"/>
            <w:tcBorders>
              <w:top w:val="nil"/>
              <w:left w:val="nil"/>
              <w:bottom w:val="single" w:sz="4" w:space="0" w:color="auto"/>
              <w:right w:val="single" w:sz="4" w:space="0" w:color="auto"/>
            </w:tcBorders>
            <w:shd w:val="clear" w:color="auto" w:fill="auto"/>
            <w:noWrap/>
            <w:hideMark/>
          </w:tcPr>
          <w:p w14:paraId="43E7505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11:030</w:t>
            </w:r>
          </w:p>
        </w:tc>
        <w:tc>
          <w:tcPr>
            <w:tcW w:w="1905" w:type="dxa"/>
            <w:tcBorders>
              <w:top w:val="nil"/>
              <w:left w:val="nil"/>
              <w:bottom w:val="single" w:sz="4" w:space="0" w:color="auto"/>
              <w:right w:val="single" w:sz="4" w:space="0" w:color="auto"/>
            </w:tcBorders>
            <w:shd w:val="clear" w:color="auto" w:fill="auto"/>
            <w:noWrap/>
            <w:hideMark/>
          </w:tcPr>
          <w:p w14:paraId="1C01B12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429</w:t>
            </w:r>
          </w:p>
        </w:tc>
      </w:tr>
      <w:tr w:rsidR="00E16C06" w:rsidRPr="00E16C06" w14:paraId="514E312F" w14:textId="77777777" w:rsidTr="00E16C06">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66B9CA2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06:040</w:t>
            </w:r>
          </w:p>
        </w:tc>
        <w:tc>
          <w:tcPr>
            <w:tcW w:w="2126" w:type="dxa"/>
            <w:tcBorders>
              <w:top w:val="nil"/>
              <w:left w:val="nil"/>
              <w:bottom w:val="single" w:sz="4" w:space="0" w:color="auto"/>
              <w:right w:val="single" w:sz="4" w:space="0" w:color="auto"/>
            </w:tcBorders>
            <w:shd w:val="clear" w:color="auto" w:fill="auto"/>
            <w:noWrap/>
            <w:hideMark/>
          </w:tcPr>
          <w:p w14:paraId="008CC96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322</w:t>
            </w:r>
          </w:p>
        </w:tc>
        <w:tc>
          <w:tcPr>
            <w:tcW w:w="3402" w:type="dxa"/>
            <w:tcBorders>
              <w:top w:val="nil"/>
              <w:left w:val="nil"/>
              <w:bottom w:val="single" w:sz="4" w:space="0" w:color="auto"/>
              <w:right w:val="single" w:sz="4" w:space="0" w:color="auto"/>
            </w:tcBorders>
            <w:shd w:val="clear" w:color="auto" w:fill="auto"/>
            <w:noWrap/>
            <w:hideMark/>
          </w:tcPr>
          <w:p w14:paraId="3416633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12:001</w:t>
            </w:r>
          </w:p>
        </w:tc>
        <w:tc>
          <w:tcPr>
            <w:tcW w:w="1905" w:type="dxa"/>
            <w:tcBorders>
              <w:top w:val="nil"/>
              <w:left w:val="nil"/>
              <w:bottom w:val="single" w:sz="4" w:space="0" w:color="auto"/>
              <w:right w:val="single" w:sz="4" w:space="0" w:color="auto"/>
            </w:tcBorders>
            <w:shd w:val="clear" w:color="auto" w:fill="auto"/>
            <w:noWrap/>
            <w:hideMark/>
          </w:tcPr>
          <w:p w14:paraId="59E8C15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3212</w:t>
            </w:r>
          </w:p>
        </w:tc>
      </w:tr>
      <w:tr w:rsidR="00E16C06" w:rsidRPr="00E16C06" w14:paraId="7D48E4C7" w14:textId="77777777" w:rsidTr="00E16C06">
        <w:trPr>
          <w:trHeight w:val="300"/>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C1C2EC"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eastAsia="Times New Roman" w:hAnsi="Times New Roman" w:cs="Times New Roman"/>
                <w:b/>
                <w:spacing w:val="-5"/>
              </w:rPr>
              <w:t>Общий итог</w:t>
            </w:r>
          </w:p>
        </w:tc>
        <w:tc>
          <w:tcPr>
            <w:tcW w:w="1905" w:type="dxa"/>
            <w:tcBorders>
              <w:top w:val="nil"/>
              <w:left w:val="nil"/>
              <w:bottom w:val="single" w:sz="4" w:space="0" w:color="auto"/>
              <w:right w:val="single" w:sz="4" w:space="0" w:color="auto"/>
            </w:tcBorders>
            <w:shd w:val="clear" w:color="auto" w:fill="auto"/>
            <w:noWrap/>
            <w:vAlign w:val="center"/>
            <w:hideMark/>
          </w:tcPr>
          <w:p w14:paraId="075FB254"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eastAsia="Times New Roman" w:hAnsi="Times New Roman" w:cs="Times New Roman"/>
                <w:b/>
                <w:spacing w:val="-5"/>
              </w:rPr>
              <w:t>55263</w:t>
            </w:r>
          </w:p>
        </w:tc>
      </w:tr>
    </w:tbl>
    <w:p w14:paraId="707DA332" w14:textId="77777777" w:rsidR="00E16C06" w:rsidRPr="00E16C06" w:rsidRDefault="00E16C06" w:rsidP="00E16C06">
      <w:pPr>
        <w:rPr>
          <w:rFonts w:ascii="Times New Roman" w:eastAsia="Times New Roman" w:hAnsi="Times New Roman" w:cs="Times New Roman"/>
          <w:sz w:val="26"/>
          <w:szCs w:val="26"/>
        </w:rPr>
      </w:pPr>
    </w:p>
    <w:p w14:paraId="1EEAAD94" w14:textId="77777777" w:rsidR="00E16C06" w:rsidRPr="00E16C06" w:rsidRDefault="00E16C06" w:rsidP="00E16C06">
      <w:pPr>
        <w:rPr>
          <w:rFonts w:ascii="Times New Roman" w:eastAsia="Times New Roman" w:hAnsi="Times New Roman" w:cs="Times New Roman"/>
          <w:sz w:val="26"/>
          <w:szCs w:val="26"/>
        </w:rPr>
      </w:pPr>
      <w:r w:rsidRPr="00E16C06">
        <w:rPr>
          <w:rFonts w:ascii="Times New Roman" w:hAnsi="Times New Roman" w:cs="Times New Roman"/>
          <w:noProof/>
          <w:lang w:eastAsia="ru-RU"/>
        </w:rPr>
        <w:drawing>
          <wp:inline distT="0" distB="0" distL="0" distR="0" wp14:anchorId="75208436" wp14:editId="7B7D10E9">
            <wp:extent cx="5940425" cy="3169920"/>
            <wp:effectExtent l="0" t="0" r="3175" b="11430"/>
            <wp:docPr id="600" name="Диаграмма 6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2C11B659"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 xml:space="preserve">Рис. </w:t>
      </w:r>
      <w:r w:rsidRPr="00E16C06">
        <w:rPr>
          <w:rFonts w:ascii="Times New Roman" w:eastAsia="Times New Roman" w:hAnsi="Times New Roman" w:cs="Times New Roman"/>
          <w:spacing w:val="-5"/>
          <w:sz w:val="26"/>
          <w:szCs w:val="26"/>
        </w:rPr>
        <w:t>3.3.2.14</w:t>
      </w:r>
      <w:r w:rsidRPr="00E16C06">
        <w:rPr>
          <w:rFonts w:ascii="Times New Roman" w:hAnsi="Times New Roman" w:cs="Times New Roman"/>
          <w:sz w:val="26"/>
          <w:szCs w:val="26"/>
        </w:rPr>
        <w:t xml:space="preserve"> </w:t>
      </w:r>
      <w:r w:rsidRPr="00E16C06">
        <w:rPr>
          <w:rFonts w:ascii="Times New Roman" w:eastAsia="Times New Roman" w:hAnsi="Times New Roman" w:cs="Times New Roman"/>
          <w:spacing w:val="-5"/>
          <w:sz w:val="26"/>
          <w:szCs w:val="26"/>
        </w:rPr>
        <w:t xml:space="preserve">– </w:t>
      </w:r>
      <w:r w:rsidRPr="00E16C06">
        <w:rPr>
          <w:rFonts w:ascii="Times New Roman" w:hAnsi="Times New Roman" w:cs="Times New Roman"/>
          <w:sz w:val="26"/>
          <w:szCs w:val="26"/>
        </w:rPr>
        <w:t>Распределение объектов оценки по кодам расчета вида использования в составе 6 сегмента</w:t>
      </w:r>
    </w:p>
    <w:p w14:paraId="3E8D34EC"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p>
    <w:p w14:paraId="4A340B3D" w14:textId="77777777" w:rsidR="00E16C06" w:rsidRPr="00E16C06" w:rsidRDefault="00E16C06" w:rsidP="00E16C06">
      <w:pPr>
        <w:spacing w:after="0" w:line="276" w:lineRule="auto"/>
        <w:contextualSpacing/>
        <w:jc w:val="center"/>
        <w:rPr>
          <w:rFonts w:ascii="Times New Roman" w:eastAsia="Times New Roman" w:hAnsi="Times New Roman" w:cs="Times New Roman"/>
          <w:i/>
          <w:spacing w:val="-5"/>
          <w:sz w:val="26"/>
          <w:szCs w:val="26"/>
        </w:rPr>
      </w:pPr>
    </w:p>
    <w:p w14:paraId="49A00444" w14:textId="77777777" w:rsidR="00E16C06" w:rsidRPr="00E16C06" w:rsidRDefault="00E16C06" w:rsidP="00E16C06">
      <w:pPr>
        <w:spacing w:after="0" w:line="276" w:lineRule="auto"/>
        <w:contextualSpacing/>
        <w:jc w:val="center"/>
        <w:rPr>
          <w:rFonts w:ascii="Times New Roman" w:eastAsia="Times New Roman" w:hAnsi="Times New Roman" w:cs="Times New Roman"/>
          <w:i/>
          <w:spacing w:val="-5"/>
          <w:sz w:val="26"/>
          <w:szCs w:val="26"/>
        </w:rPr>
      </w:pPr>
    </w:p>
    <w:p w14:paraId="1AD08E21" w14:textId="77777777" w:rsidR="00E16C06" w:rsidRPr="00E16C06" w:rsidRDefault="00E16C06" w:rsidP="00E16C06">
      <w:pPr>
        <w:spacing w:after="0" w:line="276" w:lineRule="auto"/>
        <w:contextualSpacing/>
        <w:jc w:val="center"/>
        <w:rPr>
          <w:rFonts w:ascii="Times New Roman" w:eastAsia="Times New Roman" w:hAnsi="Times New Roman" w:cs="Times New Roman"/>
          <w:i/>
          <w:spacing w:val="-5"/>
          <w:sz w:val="26"/>
          <w:szCs w:val="26"/>
        </w:rPr>
      </w:pPr>
    </w:p>
    <w:p w14:paraId="4DE95145" w14:textId="77777777" w:rsidR="00E16C06" w:rsidRPr="00E16C06" w:rsidRDefault="00E16C06" w:rsidP="00E16C06">
      <w:pPr>
        <w:spacing w:after="0" w:line="276" w:lineRule="auto"/>
        <w:contextualSpacing/>
        <w:jc w:val="center"/>
        <w:rPr>
          <w:rFonts w:ascii="Times New Roman" w:eastAsia="Times New Roman" w:hAnsi="Times New Roman" w:cs="Times New Roman"/>
          <w:i/>
          <w:spacing w:val="-5"/>
          <w:sz w:val="26"/>
          <w:szCs w:val="26"/>
        </w:rPr>
      </w:pPr>
    </w:p>
    <w:p w14:paraId="0ADF9046" w14:textId="77777777" w:rsidR="00E16C06" w:rsidRPr="00E16C06" w:rsidRDefault="00E16C06" w:rsidP="00E16C06">
      <w:pPr>
        <w:spacing w:after="0" w:line="276" w:lineRule="auto"/>
        <w:contextualSpacing/>
        <w:jc w:val="center"/>
        <w:rPr>
          <w:rFonts w:ascii="Times New Roman" w:eastAsia="Times New Roman" w:hAnsi="Times New Roman" w:cs="Times New Roman"/>
          <w:i/>
          <w:color w:val="000000"/>
          <w:sz w:val="26"/>
          <w:szCs w:val="26"/>
          <w:lang w:eastAsia="ru-RU"/>
        </w:rPr>
      </w:pPr>
      <w:r w:rsidRPr="00E16C06">
        <w:rPr>
          <w:rFonts w:ascii="Times New Roman" w:eastAsia="Times New Roman" w:hAnsi="Times New Roman" w:cs="Times New Roman"/>
          <w:i/>
          <w:spacing w:val="-5"/>
          <w:sz w:val="26"/>
          <w:szCs w:val="26"/>
        </w:rPr>
        <w:t xml:space="preserve">Описание объектов недвижимости </w:t>
      </w:r>
      <w:r w:rsidRPr="00E16C06">
        <w:rPr>
          <w:rFonts w:ascii="Times New Roman" w:eastAsia="Times New Roman" w:hAnsi="Times New Roman" w:cs="Times New Roman"/>
          <w:i/>
          <w:color w:val="000000"/>
          <w:sz w:val="26"/>
          <w:szCs w:val="26"/>
          <w:lang w:eastAsia="ru-RU"/>
        </w:rPr>
        <w:t>7 сегмента «Транспорт»</w:t>
      </w:r>
    </w:p>
    <w:p w14:paraId="3DAE767E" w14:textId="77777777" w:rsidR="00E16C06" w:rsidRPr="00E16C06" w:rsidRDefault="00E16C06" w:rsidP="00E16C06">
      <w:pPr>
        <w:spacing w:after="0" w:line="276" w:lineRule="auto"/>
        <w:contextualSpacing/>
        <w:jc w:val="center"/>
        <w:rPr>
          <w:rFonts w:ascii="Times New Roman" w:eastAsia="Times New Roman" w:hAnsi="Times New Roman" w:cs="Times New Roman"/>
          <w:color w:val="000000"/>
          <w:sz w:val="26"/>
          <w:szCs w:val="26"/>
          <w:lang w:eastAsia="ru-RU"/>
        </w:rPr>
      </w:pPr>
    </w:p>
    <w:p w14:paraId="690487ED" w14:textId="77777777" w:rsidR="00E16C06" w:rsidRPr="00E16C06" w:rsidRDefault="00E16C06" w:rsidP="00E16C06">
      <w:pPr>
        <w:spacing w:after="0" w:line="276" w:lineRule="auto"/>
        <w:ind w:firstLine="709"/>
        <w:contextualSpacing/>
        <w:jc w:val="both"/>
        <w:rPr>
          <w:rFonts w:ascii="Times New Roman" w:hAnsi="Times New Roman" w:cs="Times New Roman"/>
          <w:color w:val="000000" w:themeColor="text1"/>
          <w:sz w:val="26"/>
          <w:szCs w:val="26"/>
        </w:rPr>
      </w:pPr>
      <w:r w:rsidRPr="00E16C06">
        <w:rPr>
          <w:rFonts w:ascii="Times New Roman" w:hAnsi="Times New Roman" w:cs="Times New Roman"/>
          <w:color w:val="000000" w:themeColor="text1"/>
          <w:sz w:val="26"/>
          <w:szCs w:val="26"/>
        </w:rPr>
        <w:t>Наибольшее количество земельных участков 7 сегмента сосредоточено в Лискинском районе – 4855 объектов. Наименьшее количество земельных участков 7 сегмента сосредоточено в Каширском районе – 19 объектов.</w:t>
      </w:r>
    </w:p>
    <w:p w14:paraId="6DDF8C3A" w14:textId="77777777" w:rsidR="00E16C06" w:rsidRPr="00E16C06" w:rsidRDefault="00E16C06" w:rsidP="00E16C06">
      <w:pPr>
        <w:spacing w:after="0" w:line="276" w:lineRule="auto"/>
        <w:contextualSpacing/>
        <w:jc w:val="right"/>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Таблица 3.3.2.15</w:t>
      </w:r>
    </w:p>
    <w:p w14:paraId="341373F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Распределение земельных участков и площадей, относящихся к сегменту 7 «Транспорт», по муниципальным районам Воронежской области</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2977"/>
        <w:gridCol w:w="3402"/>
      </w:tblGrid>
      <w:tr w:rsidR="00E16C06" w:rsidRPr="00E16C06" w14:paraId="20D1C455" w14:textId="77777777" w:rsidTr="00E16C06">
        <w:trPr>
          <w:trHeight w:val="300"/>
        </w:trPr>
        <w:tc>
          <w:tcPr>
            <w:tcW w:w="2967" w:type="dxa"/>
            <w:noWrap/>
            <w:vAlign w:val="center"/>
            <w:hideMark/>
          </w:tcPr>
          <w:p w14:paraId="6953F3E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Район</w:t>
            </w:r>
          </w:p>
        </w:tc>
        <w:tc>
          <w:tcPr>
            <w:tcW w:w="2977" w:type="dxa"/>
            <w:noWrap/>
            <w:vAlign w:val="center"/>
            <w:hideMark/>
          </w:tcPr>
          <w:p w14:paraId="54C037A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Количество ЗУ</w:t>
            </w:r>
          </w:p>
        </w:tc>
        <w:tc>
          <w:tcPr>
            <w:tcW w:w="3402" w:type="dxa"/>
            <w:noWrap/>
            <w:vAlign w:val="center"/>
            <w:hideMark/>
          </w:tcPr>
          <w:p w14:paraId="6D24335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Площадь, кв. м.</w:t>
            </w:r>
          </w:p>
        </w:tc>
      </w:tr>
      <w:tr w:rsidR="00E16C06" w:rsidRPr="00E16C06" w14:paraId="6BE0931C" w14:textId="77777777" w:rsidTr="00E16C06">
        <w:trPr>
          <w:trHeight w:val="300"/>
        </w:trPr>
        <w:tc>
          <w:tcPr>
            <w:tcW w:w="2967" w:type="dxa"/>
            <w:shd w:val="clear" w:color="auto" w:fill="auto"/>
            <w:noWrap/>
            <w:vAlign w:val="bottom"/>
            <w:hideMark/>
          </w:tcPr>
          <w:p w14:paraId="2A65A7F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Аннинский</w:t>
            </w:r>
          </w:p>
        </w:tc>
        <w:tc>
          <w:tcPr>
            <w:tcW w:w="2977" w:type="dxa"/>
            <w:shd w:val="clear" w:color="auto" w:fill="auto"/>
            <w:noWrap/>
          </w:tcPr>
          <w:p w14:paraId="18E9028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94</w:t>
            </w:r>
          </w:p>
        </w:tc>
        <w:tc>
          <w:tcPr>
            <w:tcW w:w="3402" w:type="dxa"/>
            <w:shd w:val="clear" w:color="auto" w:fill="auto"/>
            <w:noWrap/>
          </w:tcPr>
          <w:p w14:paraId="3E12A21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67 570</w:t>
            </w:r>
          </w:p>
        </w:tc>
      </w:tr>
      <w:tr w:rsidR="00E16C06" w:rsidRPr="00E16C06" w14:paraId="73B59411" w14:textId="77777777" w:rsidTr="00E16C06">
        <w:trPr>
          <w:trHeight w:val="300"/>
        </w:trPr>
        <w:tc>
          <w:tcPr>
            <w:tcW w:w="2967" w:type="dxa"/>
            <w:shd w:val="clear" w:color="auto" w:fill="auto"/>
            <w:noWrap/>
            <w:vAlign w:val="bottom"/>
            <w:hideMark/>
          </w:tcPr>
          <w:p w14:paraId="21787BB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Бобровский</w:t>
            </w:r>
          </w:p>
        </w:tc>
        <w:tc>
          <w:tcPr>
            <w:tcW w:w="2977" w:type="dxa"/>
            <w:shd w:val="clear" w:color="auto" w:fill="auto"/>
            <w:noWrap/>
          </w:tcPr>
          <w:p w14:paraId="262E7CD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735</w:t>
            </w:r>
          </w:p>
        </w:tc>
        <w:tc>
          <w:tcPr>
            <w:tcW w:w="3402" w:type="dxa"/>
            <w:shd w:val="clear" w:color="auto" w:fill="auto"/>
            <w:noWrap/>
          </w:tcPr>
          <w:p w14:paraId="6077EC6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173 618</w:t>
            </w:r>
          </w:p>
        </w:tc>
      </w:tr>
      <w:tr w:rsidR="00E16C06" w:rsidRPr="00E16C06" w14:paraId="3EFEA4E3" w14:textId="77777777" w:rsidTr="00E16C06">
        <w:trPr>
          <w:trHeight w:val="300"/>
        </w:trPr>
        <w:tc>
          <w:tcPr>
            <w:tcW w:w="2967" w:type="dxa"/>
            <w:shd w:val="clear" w:color="auto" w:fill="auto"/>
            <w:noWrap/>
            <w:vAlign w:val="bottom"/>
            <w:hideMark/>
          </w:tcPr>
          <w:p w14:paraId="17FE502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Богучарский</w:t>
            </w:r>
          </w:p>
        </w:tc>
        <w:tc>
          <w:tcPr>
            <w:tcW w:w="2977" w:type="dxa"/>
            <w:shd w:val="clear" w:color="auto" w:fill="auto"/>
            <w:noWrap/>
          </w:tcPr>
          <w:p w14:paraId="1255CB4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600</w:t>
            </w:r>
          </w:p>
        </w:tc>
        <w:tc>
          <w:tcPr>
            <w:tcW w:w="3402" w:type="dxa"/>
            <w:shd w:val="clear" w:color="auto" w:fill="auto"/>
            <w:noWrap/>
          </w:tcPr>
          <w:p w14:paraId="0065085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147 952</w:t>
            </w:r>
          </w:p>
        </w:tc>
      </w:tr>
      <w:tr w:rsidR="00E16C06" w:rsidRPr="00E16C06" w14:paraId="59BB189A" w14:textId="77777777" w:rsidTr="00E16C06">
        <w:trPr>
          <w:trHeight w:val="300"/>
        </w:trPr>
        <w:tc>
          <w:tcPr>
            <w:tcW w:w="2967" w:type="dxa"/>
            <w:shd w:val="clear" w:color="auto" w:fill="auto"/>
            <w:noWrap/>
            <w:vAlign w:val="bottom"/>
            <w:hideMark/>
          </w:tcPr>
          <w:p w14:paraId="4A086EC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Борисоглебский</w:t>
            </w:r>
          </w:p>
        </w:tc>
        <w:tc>
          <w:tcPr>
            <w:tcW w:w="2977" w:type="dxa"/>
            <w:shd w:val="clear" w:color="auto" w:fill="auto"/>
            <w:noWrap/>
          </w:tcPr>
          <w:p w14:paraId="408EE07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268</w:t>
            </w:r>
          </w:p>
        </w:tc>
        <w:tc>
          <w:tcPr>
            <w:tcW w:w="3402" w:type="dxa"/>
            <w:shd w:val="clear" w:color="auto" w:fill="auto"/>
            <w:noWrap/>
          </w:tcPr>
          <w:p w14:paraId="4446586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446 244</w:t>
            </w:r>
          </w:p>
        </w:tc>
      </w:tr>
      <w:tr w:rsidR="00E16C06" w:rsidRPr="00E16C06" w14:paraId="3499DDF2" w14:textId="77777777" w:rsidTr="00E16C06">
        <w:trPr>
          <w:trHeight w:val="300"/>
        </w:trPr>
        <w:tc>
          <w:tcPr>
            <w:tcW w:w="2967" w:type="dxa"/>
            <w:shd w:val="clear" w:color="auto" w:fill="auto"/>
            <w:noWrap/>
            <w:vAlign w:val="bottom"/>
            <w:hideMark/>
          </w:tcPr>
          <w:p w14:paraId="79AB9EF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Бутурлиновский</w:t>
            </w:r>
          </w:p>
        </w:tc>
        <w:tc>
          <w:tcPr>
            <w:tcW w:w="2977" w:type="dxa"/>
            <w:shd w:val="clear" w:color="auto" w:fill="auto"/>
            <w:noWrap/>
          </w:tcPr>
          <w:p w14:paraId="47FE4D7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476</w:t>
            </w:r>
          </w:p>
        </w:tc>
        <w:tc>
          <w:tcPr>
            <w:tcW w:w="3402" w:type="dxa"/>
            <w:shd w:val="clear" w:color="auto" w:fill="auto"/>
            <w:noWrap/>
          </w:tcPr>
          <w:p w14:paraId="01EE78B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105 841</w:t>
            </w:r>
          </w:p>
        </w:tc>
      </w:tr>
      <w:tr w:rsidR="00E16C06" w:rsidRPr="00E16C06" w14:paraId="3AF2953B" w14:textId="77777777" w:rsidTr="00E16C06">
        <w:trPr>
          <w:trHeight w:val="300"/>
        </w:trPr>
        <w:tc>
          <w:tcPr>
            <w:tcW w:w="2967" w:type="dxa"/>
            <w:shd w:val="clear" w:color="auto" w:fill="auto"/>
            <w:noWrap/>
            <w:vAlign w:val="bottom"/>
            <w:hideMark/>
          </w:tcPr>
          <w:p w14:paraId="0DE4621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Верхнемамонский</w:t>
            </w:r>
          </w:p>
        </w:tc>
        <w:tc>
          <w:tcPr>
            <w:tcW w:w="2977" w:type="dxa"/>
            <w:shd w:val="clear" w:color="auto" w:fill="auto"/>
            <w:noWrap/>
          </w:tcPr>
          <w:p w14:paraId="0D94AAC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153</w:t>
            </w:r>
          </w:p>
        </w:tc>
        <w:tc>
          <w:tcPr>
            <w:tcW w:w="3402" w:type="dxa"/>
            <w:shd w:val="clear" w:color="auto" w:fill="auto"/>
            <w:noWrap/>
          </w:tcPr>
          <w:p w14:paraId="1B698A7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42 980</w:t>
            </w:r>
          </w:p>
        </w:tc>
      </w:tr>
      <w:tr w:rsidR="00E16C06" w:rsidRPr="00E16C06" w14:paraId="2EF8B86D" w14:textId="77777777" w:rsidTr="00E16C06">
        <w:trPr>
          <w:trHeight w:val="300"/>
        </w:trPr>
        <w:tc>
          <w:tcPr>
            <w:tcW w:w="2967" w:type="dxa"/>
            <w:shd w:val="clear" w:color="auto" w:fill="auto"/>
            <w:noWrap/>
            <w:vAlign w:val="bottom"/>
            <w:hideMark/>
          </w:tcPr>
          <w:p w14:paraId="0753DEA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Верхнехавский</w:t>
            </w:r>
          </w:p>
        </w:tc>
        <w:tc>
          <w:tcPr>
            <w:tcW w:w="2977" w:type="dxa"/>
            <w:shd w:val="clear" w:color="auto" w:fill="auto"/>
            <w:noWrap/>
          </w:tcPr>
          <w:p w14:paraId="3790E3C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193</w:t>
            </w:r>
          </w:p>
        </w:tc>
        <w:tc>
          <w:tcPr>
            <w:tcW w:w="3402" w:type="dxa"/>
            <w:shd w:val="clear" w:color="auto" w:fill="auto"/>
            <w:noWrap/>
          </w:tcPr>
          <w:p w14:paraId="4C7E93C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43 335</w:t>
            </w:r>
          </w:p>
        </w:tc>
      </w:tr>
      <w:tr w:rsidR="00E16C06" w:rsidRPr="00E16C06" w14:paraId="0BCE7B77" w14:textId="77777777" w:rsidTr="00E16C06">
        <w:trPr>
          <w:trHeight w:val="300"/>
        </w:trPr>
        <w:tc>
          <w:tcPr>
            <w:tcW w:w="2967" w:type="dxa"/>
            <w:shd w:val="clear" w:color="auto" w:fill="auto"/>
            <w:noWrap/>
            <w:vAlign w:val="bottom"/>
            <w:hideMark/>
          </w:tcPr>
          <w:p w14:paraId="16C7F3B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Воробьевский</w:t>
            </w:r>
          </w:p>
        </w:tc>
        <w:tc>
          <w:tcPr>
            <w:tcW w:w="2977" w:type="dxa"/>
            <w:shd w:val="clear" w:color="auto" w:fill="auto"/>
            <w:noWrap/>
          </w:tcPr>
          <w:p w14:paraId="0FDE276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44</w:t>
            </w:r>
          </w:p>
        </w:tc>
        <w:tc>
          <w:tcPr>
            <w:tcW w:w="3402" w:type="dxa"/>
            <w:shd w:val="clear" w:color="auto" w:fill="auto"/>
            <w:noWrap/>
          </w:tcPr>
          <w:p w14:paraId="58994A9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64 726</w:t>
            </w:r>
          </w:p>
        </w:tc>
      </w:tr>
      <w:tr w:rsidR="00E16C06" w:rsidRPr="00E16C06" w14:paraId="7D89B2F7" w14:textId="77777777" w:rsidTr="00E16C06">
        <w:trPr>
          <w:trHeight w:val="300"/>
        </w:trPr>
        <w:tc>
          <w:tcPr>
            <w:tcW w:w="2967" w:type="dxa"/>
            <w:shd w:val="clear" w:color="auto" w:fill="auto"/>
            <w:noWrap/>
            <w:vAlign w:val="bottom"/>
            <w:hideMark/>
          </w:tcPr>
          <w:p w14:paraId="0B632F1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ГО г. Воронеж</w:t>
            </w:r>
          </w:p>
        </w:tc>
        <w:tc>
          <w:tcPr>
            <w:tcW w:w="2977" w:type="dxa"/>
            <w:shd w:val="clear" w:color="auto" w:fill="auto"/>
            <w:noWrap/>
          </w:tcPr>
          <w:p w14:paraId="77125B4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2797</w:t>
            </w:r>
          </w:p>
        </w:tc>
        <w:tc>
          <w:tcPr>
            <w:tcW w:w="3402" w:type="dxa"/>
            <w:shd w:val="clear" w:color="auto" w:fill="auto"/>
            <w:noWrap/>
          </w:tcPr>
          <w:p w14:paraId="1645599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5 751 406</w:t>
            </w:r>
          </w:p>
        </w:tc>
      </w:tr>
      <w:tr w:rsidR="00E16C06" w:rsidRPr="00E16C06" w14:paraId="70886EC3" w14:textId="77777777" w:rsidTr="00E16C06">
        <w:trPr>
          <w:trHeight w:val="300"/>
        </w:trPr>
        <w:tc>
          <w:tcPr>
            <w:tcW w:w="2967" w:type="dxa"/>
            <w:shd w:val="clear" w:color="auto" w:fill="auto"/>
            <w:noWrap/>
            <w:vAlign w:val="bottom"/>
            <w:hideMark/>
          </w:tcPr>
          <w:p w14:paraId="26A39CC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ГО Нововоронеж</w:t>
            </w:r>
          </w:p>
        </w:tc>
        <w:tc>
          <w:tcPr>
            <w:tcW w:w="2977" w:type="dxa"/>
            <w:shd w:val="clear" w:color="auto" w:fill="auto"/>
            <w:noWrap/>
          </w:tcPr>
          <w:p w14:paraId="6DC2394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56</w:t>
            </w:r>
          </w:p>
        </w:tc>
        <w:tc>
          <w:tcPr>
            <w:tcW w:w="3402" w:type="dxa"/>
            <w:shd w:val="clear" w:color="auto" w:fill="auto"/>
            <w:noWrap/>
          </w:tcPr>
          <w:p w14:paraId="4F1B974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555 575</w:t>
            </w:r>
          </w:p>
        </w:tc>
      </w:tr>
      <w:tr w:rsidR="00E16C06" w:rsidRPr="00E16C06" w14:paraId="017C8674" w14:textId="77777777" w:rsidTr="00E16C06">
        <w:trPr>
          <w:trHeight w:val="300"/>
        </w:trPr>
        <w:tc>
          <w:tcPr>
            <w:tcW w:w="2967" w:type="dxa"/>
            <w:shd w:val="clear" w:color="auto" w:fill="auto"/>
            <w:noWrap/>
            <w:vAlign w:val="bottom"/>
            <w:hideMark/>
          </w:tcPr>
          <w:p w14:paraId="3D0E307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Грибановский</w:t>
            </w:r>
          </w:p>
        </w:tc>
        <w:tc>
          <w:tcPr>
            <w:tcW w:w="2977" w:type="dxa"/>
            <w:shd w:val="clear" w:color="auto" w:fill="auto"/>
            <w:noWrap/>
          </w:tcPr>
          <w:p w14:paraId="6466285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99</w:t>
            </w:r>
          </w:p>
        </w:tc>
        <w:tc>
          <w:tcPr>
            <w:tcW w:w="3402" w:type="dxa"/>
            <w:shd w:val="clear" w:color="auto" w:fill="auto"/>
            <w:noWrap/>
          </w:tcPr>
          <w:p w14:paraId="3E27372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26 796</w:t>
            </w:r>
          </w:p>
        </w:tc>
      </w:tr>
      <w:tr w:rsidR="00E16C06" w:rsidRPr="00E16C06" w14:paraId="0F2B0058" w14:textId="77777777" w:rsidTr="00E16C06">
        <w:trPr>
          <w:trHeight w:val="300"/>
        </w:trPr>
        <w:tc>
          <w:tcPr>
            <w:tcW w:w="2967" w:type="dxa"/>
            <w:shd w:val="clear" w:color="auto" w:fill="auto"/>
            <w:noWrap/>
            <w:vAlign w:val="bottom"/>
            <w:hideMark/>
          </w:tcPr>
          <w:p w14:paraId="213EC01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Калачеевский</w:t>
            </w:r>
          </w:p>
        </w:tc>
        <w:tc>
          <w:tcPr>
            <w:tcW w:w="2977" w:type="dxa"/>
            <w:shd w:val="clear" w:color="auto" w:fill="auto"/>
            <w:noWrap/>
          </w:tcPr>
          <w:p w14:paraId="7F5C3C2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256</w:t>
            </w:r>
          </w:p>
        </w:tc>
        <w:tc>
          <w:tcPr>
            <w:tcW w:w="3402" w:type="dxa"/>
            <w:shd w:val="clear" w:color="auto" w:fill="auto"/>
            <w:noWrap/>
          </w:tcPr>
          <w:p w14:paraId="107C649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197 668</w:t>
            </w:r>
          </w:p>
        </w:tc>
      </w:tr>
      <w:tr w:rsidR="00E16C06" w:rsidRPr="00E16C06" w14:paraId="3437A5C0" w14:textId="77777777" w:rsidTr="00E16C06">
        <w:trPr>
          <w:trHeight w:val="300"/>
        </w:trPr>
        <w:tc>
          <w:tcPr>
            <w:tcW w:w="2967" w:type="dxa"/>
            <w:shd w:val="clear" w:color="auto" w:fill="auto"/>
            <w:noWrap/>
            <w:vAlign w:val="bottom"/>
            <w:hideMark/>
          </w:tcPr>
          <w:p w14:paraId="7FB8F87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Каменский</w:t>
            </w:r>
          </w:p>
        </w:tc>
        <w:tc>
          <w:tcPr>
            <w:tcW w:w="2977" w:type="dxa"/>
            <w:shd w:val="clear" w:color="auto" w:fill="auto"/>
            <w:noWrap/>
          </w:tcPr>
          <w:p w14:paraId="762219B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808</w:t>
            </w:r>
          </w:p>
        </w:tc>
        <w:tc>
          <w:tcPr>
            <w:tcW w:w="3402" w:type="dxa"/>
            <w:shd w:val="clear" w:color="auto" w:fill="auto"/>
            <w:noWrap/>
          </w:tcPr>
          <w:p w14:paraId="154286B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29 814</w:t>
            </w:r>
          </w:p>
        </w:tc>
      </w:tr>
      <w:tr w:rsidR="00E16C06" w:rsidRPr="00E16C06" w14:paraId="1086ED6E" w14:textId="77777777" w:rsidTr="00E16C06">
        <w:trPr>
          <w:trHeight w:val="300"/>
        </w:trPr>
        <w:tc>
          <w:tcPr>
            <w:tcW w:w="2967" w:type="dxa"/>
            <w:shd w:val="clear" w:color="auto" w:fill="auto"/>
            <w:noWrap/>
            <w:vAlign w:val="bottom"/>
            <w:hideMark/>
          </w:tcPr>
          <w:p w14:paraId="55DE8D3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Кантемировский</w:t>
            </w:r>
          </w:p>
        </w:tc>
        <w:tc>
          <w:tcPr>
            <w:tcW w:w="2977" w:type="dxa"/>
            <w:shd w:val="clear" w:color="auto" w:fill="auto"/>
            <w:noWrap/>
          </w:tcPr>
          <w:p w14:paraId="55DC685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546</w:t>
            </w:r>
          </w:p>
        </w:tc>
        <w:tc>
          <w:tcPr>
            <w:tcW w:w="3402" w:type="dxa"/>
            <w:shd w:val="clear" w:color="auto" w:fill="auto"/>
            <w:noWrap/>
          </w:tcPr>
          <w:p w14:paraId="039BF15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52 731</w:t>
            </w:r>
          </w:p>
        </w:tc>
      </w:tr>
      <w:tr w:rsidR="00E16C06" w:rsidRPr="00E16C06" w14:paraId="5C8F3D40" w14:textId="77777777" w:rsidTr="00E16C06">
        <w:trPr>
          <w:trHeight w:val="300"/>
        </w:trPr>
        <w:tc>
          <w:tcPr>
            <w:tcW w:w="2967" w:type="dxa"/>
            <w:shd w:val="clear" w:color="auto" w:fill="auto"/>
            <w:noWrap/>
            <w:vAlign w:val="bottom"/>
            <w:hideMark/>
          </w:tcPr>
          <w:p w14:paraId="234F3F5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Каширский</w:t>
            </w:r>
          </w:p>
        </w:tc>
        <w:tc>
          <w:tcPr>
            <w:tcW w:w="2977" w:type="dxa"/>
            <w:shd w:val="clear" w:color="auto" w:fill="auto"/>
            <w:noWrap/>
          </w:tcPr>
          <w:p w14:paraId="323EF20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w:t>
            </w:r>
          </w:p>
        </w:tc>
        <w:tc>
          <w:tcPr>
            <w:tcW w:w="3402" w:type="dxa"/>
            <w:shd w:val="clear" w:color="auto" w:fill="auto"/>
            <w:noWrap/>
          </w:tcPr>
          <w:p w14:paraId="33D7100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54 337</w:t>
            </w:r>
          </w:p>
        </w:tc>
      </w:tr>
      <w:tr w:rsidR="00E16C06" w:rsidRPr="00E16C06" w14:paraId="6465D2C4" w14:textId="77777777" w:rsidTr="00E16C06">
        <w:trPr>
          <w:trHeight w:val="300"/>
        </w:trPr>
        <w:tc>
          <w:tcPr>
            <w:tcW w:w="2967" w:type="dxa"/>
            <w:shd w:val="clear" w:color="auto" w:fill="auto"/>
            <w:noWrap/>
            <w:vAlign w:val="bottom"/>
            <w:hideMark/>
          </w:tcPr>
          <w:p w14:paraId="7E2DB67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Лискинский</w:t>
            </w:r>
          </w:p>
        </w:tc>
        <w:tc>
          <w:tcPr>
            <w:tcW w:w="2977" w:type="dxa"/>
            <w:shd w:val="clear" w:color="auto" w:fill="auto"/>
            <w:noWrap/>
          </w:tcPr>
          <w:p w14:paraId="3ABEA50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4855</w:t>
            </w:r>
          </w:p>
        </w:tc>
        <w:tc>
          <w:tcPr>
            <w:tcW w:w="3402" w:type="dxa"/>
            <w:shd w:val="clear" w:color="auto" w:fill="auto"/>
            <w:noWrap/>
          </w:tcPr>
          <w:p w14:paraId="3ECD489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341 101</w:t>
            </w:r>
          </w:p>
        </w:tc>
      </w:tr>
      <w:tr w:rsidR="00E16C06" w:rsidRPr="00E16C06" w14:paraId="69562F21" w14:textId="77777777" w:rsidTr="00E16C06">
        <w:trPr>
          <w:trHeight w:val="300"/>
        </w:trPr>
        <w:tc>
          <w:tcPr>
            <w:tcW w:w="2967" w:type="dxa"/>
            <w:shd w:val="clear" w:color="auto" w:fill="auto"/>
            <w:noWrap/>
            <w:vAlign w:val="bottom"/>
            <w:hideMark/>
          </w:tcPr>
          <w:p w14:paraId="31539F3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Нижнедевицкий</w:t>
            </w:r>
          </w:p>
        </w:tc>
        <w:tc>
          <w:tcPr>
            <w:tcW w:w="2977" w:type="dxa"/>
            <w:shd w:val="clear" w:color="auto" w:fill="auto"/>
            <w:noWrap/>
          </w:tcPr>
          <w:p w14:paraId="700FDE0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55</w:t>
            </w:r>
          </w:p>
        </w:tc>
        <w:tc>
          <w:tcPr>
            <w:tcW w:w="3402" w:type="dxa"/>
            <w:shd w:val="clear" w:color="auto" w:fill="auto"/>
            <w:noWrap/>
          </w:tcPr>
          <w:p w14:paraId="2BC6166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11 844</w:t>
            </w:r>
          </w:p>
        </w:tc>
      </w:tr>
      <w:tr w:rsidR="00E16C06" w:rsidRPr="00E16C06" w14:paraId="396124EA" w14:textId="77777777" w:rsidTr="00E16C06">
        <w:trPr>
          <w:trHeight w:val="300"/>
        </w:trPr>
        <w:tc>
          <w:tcPr>
            <w:tcW w:w="2967" w:type="dxa"/>
            <w:shd w:val="clear" w:color="auto" w:fill="auto"/>
            <w:noWrap/>
            <w:vAlign w:val="bottom"/>
            <w:hideMark/>
          </w:tcPr>
          <w:p w14:paraId="2A5AEA4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Новоусманский</w:t>
            </w:r>
          </w:p>
        </w:tc>
        <w:tc>
          <w:tcPr>
            <w:tcW w:w="2977" w:type="dxa"/>
            <w:shd w:val="clear" w:color="auto" w:fill="auto"/>
            <w:noWrap/>
          </w:tcPr>
          <w:p w14:paraId="7CDB08E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1831</w:t>
            </w:r>
          </w:p>
        </w:tc>
        <w:tc>
          <w:tcPr>
            <w:tcW w:w="3402" w:type="dxa"/>
            <w:shd w:val="clear" w:color="auto" w:fill="auto"/>
            <w:noWrap/>
          </w:tcPr>
          <w:p w14:paraId="79F14E9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165 458</w:t>
            </w:r>
          </w:p>
        </w:tc>
      </w:tr>
      <w:tr w:rsidR="00E16C06" w:rsidRPr="00E16C06" w14:paraId="291438F9" w14:textId="77777777" w:rsidTr="00E16C06">
        <w:trPr>
          <w:trHeight w:val="300"/>
        </w:trPr>
        <w:tc>
          <w:tcPr>
            <w:tcW w:w="2967" w:type="dxa"/>
            <w:shd w:val="clear" w:color="auto" w:fill="auto"/>
            <w:noWrap/>
            <w:vAlign w:val="bottom"/>
            <w:hideMark/>
          </w:tcPr>
          <w:p w14:paraId="5ED1FD0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Новохоперский</w:t>
            </w:r>
          </w:p>
        </w:tc>
        <w:tc>
          <w:tcPr>
            <w:tcW w:w="2977" w:type="dxa"/>
            <w:shd w:val="clear" w:color="auto" w:fill="auto"/>
            <w:noWrap/>
          </w:tcPr>
          <w:p w14:paraId="38E59F9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212</w:t>
            </w:r>
          </w:p>
        </w:tc>
        <w:tc>
          <w:tcPr>
            <w:tcW w:w="3402" w:type="dxa"/>
            <w:shd w:val="clear" w:color="auto" w:fill="auto"/>
            <w:noWrap/>
          </w:tcPr>
          <w:p w14:paraId="5C28ECE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14 738</w:t>
            </w:r>
          </w:p>
        </w:tc>
      </w:tr>
      <w:tr w:rsidR="00E16C06" w:rsidRPr="00E16C06" w14:paraId="12D6D60E" w14:textId="77777777" w:rsidTr="00E16C06">
        <w:trPr>
          <w:trHeight w:val="300"/>
        </w:trPr>
        <w:tc>
          <w:tcPr>
            <w:tcW w:w="2967" w:type="dxa"/>
            <w:shd w:val="clear" w:color="auto" w:fill="auto"/>
            <w:noWrap/>
            <w:vAlign w:val="bottom"/>
            <w:hideMark/>
          </w:tcPr>
          <w:p w14:paraId="07DA7C0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Ольховатский</w:t>
            </w:r>
          </w:p>
        </w:tc>
        <w:tc>
          <w:tcPr>
            <w:tcW w:w="2977" w:type="dxa"/>
            <w:shd w:val="clear" w:color="auto" w:fill="auto"/>
            <w:noWrap/>
          </w:tcPr>
          <w:p w14:paraId="63D3FA2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360</w:t>
            </w:r>
          </w:p>
        </w:tc>
        <w:tc>
          <w:tcPr>
            <w:tcW w:w="3402" w:type="dxa"/>
            <w:shd w:val="clear" w:color="auto" w:fill="auto"/>
            <w:noWrap/>
          </w:tcPr>
          <w:p w14:paraId="563037B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33 932</w:t>
            </w:r>
          </w:p>
        </w:tc>
      </w:tr>
      <w:tr w:rsidR="00E16C06" w:rsidRPr="00E16C06" w14:paraId="1DED941A" w14:textId="77777777" w:rsidTr="00E16C06">
        <w:trPr>
          <w:trHeight w:val="300"/>
        </w:trPr>
        <w:tc>
          <w:tcPr>
            <w:tcW w:w="2967" w:type="dxa"/>
            <w:shd w:val="clear" w:color="auto" w:fill="auto"/>
            <w:noWrap/>
            <w:vAlign w:val="bottom"/>
            <w:hideMark/>
          </w:tcPr>
          <w:p w14:paraId="56DE97B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Острогожский</w:t>
            </w:r>
          </w:p>
        </w:tc>
        <w:tc>
          <w:tcPr>
            <w:tcW w:w="2977" w:type="dxa"/>
            <w:shd w:val="clear" w:color="auto" w:fill="auto"/>
            <w:noWrap/>
          </w:tcPr>
          <w:p w14:paraId="3470713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174</w:t>
            </w:r>
          </w:p>
        </w:tc>
        <w:tc>
          <w:tcPr>
            <w:tcW w:w="3402" w:type="dxa"/>
            <w:shd w:val="clear" w:color="auto" w:fill="auto"/>
            <w:noWrap/>
          </w:tcPr>
          <w:p w14:paraId="58B474B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133 924</w:t>
            </w:r>
          </w:p>
        </w:tc>
      </w:tr>
      <w:tr w:rsidR="00E16C06" w:rsidRPr="00E16C06" w14:paraId="19BADDB0" w14:textId="77777777" w:rsidTr="00E16C06">
        <w:trPr>
          <w:trHeight w:val="300"/>
        </w:trPr>
        <w:tc>
          <w:tcPr>
            <w:tcW w:w="2967" w:type="dxa"/>
            <w:shd w:val="clear" w:color="auto" w:fill="auto"/>
            <w:noWrap/>
            <w:vAlign w:val="bottom"/>
            <w:hideMark/>
          </w:tcPr>
          <w:p w14:paraId="3E576F3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Павловский</w:t>
            </w:r>
          </w:p>
        </w:tc>
        <w:tc>
          <w:tcPr>
            <w:tcW w:w="2977" w:type="dxa"/>
            <w:shd w:val="clear" w:color="auto" w:fill="auto"/>
            <w:noWrap/>
          </w:tcPr>
          <w:p w14:paraId="3B51FBD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136</w:t>
            </w:r>
          </w:p>
        </w:tc>
        <w:tc>
          <w:tcPr>
            <w:tcW w:w="3402" w:type="dxa"/>
            <w:shd w:val="clear" w:color="auto" w:fill="auto"/>
            <w:noWrap/>
          </w:tcPr>
          <w:p w14:paraId="5337AB7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169 784</w:t>
            </w:r>
          </w:p>
        </w:tc>
      </w:tr>
      <w:tr w:rsidR="00E16C06" w:rsidRPr="00E16C06" w14:paraId="39B87201" w14:textId="77777777" w:rsidTr="00E16C06">
        <w:trPr>
          <w:trHeight w:val="300"/>
        </w:trPr>
        <w:tc>
          <w:tcPr>
            <w:tcW w:w="2967" w:type="dxa"/>
            <w:shd w:val="clear" w:color="auto" w:fill="auto"/>
            <w:noWrap/>
            <w:vAlign w:val="bottom"/>
            <w:hideMark/>
          </w:tcPr>
          <w:p w14:paraId="30D7656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Панинский</w:t>
            </w:r>
          </w:p>
        </w:tc>
        <w:tc>
          <w:tcPr>
            <w:tcW w:w="2977" w:type="dxa"/>
            <w:shd w:val="clear" w:color="auto" w:fill="auto"/>
            <w:noWrap/>
          </w:tcPr>
          <w:p w14:paraId="525A10A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89</w:t>
            </w:r>
          </w:p>
        </w:tc>
        <w:tc>
          <w:tcPr>
            <w:tcW w:w="3402" w:type="dxa"/>
            <w:shd w:val="clear" w:color="auto" w:fill="auto"/>
            <w:noWrap/>
          </w:tcPr>
          <w:p w14:paraId="643E00F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64 028</w:t>
            </w:r>
          </w:p>
        </w:tc>
      </w:tr>
      <w:tr w:rsidR="00E16C06" w:rsidRPr="00E16C06" w14:paraId="2F7E469E" w14:textId="77777777" w:rsidTr="00E16C06">
        <w:trPr>
          <w:trHeight w:val="300"/>
        </w:trPr>
        <w:tc>
          <w:tcPr>
            <w:tcW w:w="2967" w:type="dxa"/>
            <w:shd w:val="clear" w:color="auto" w:fill="auto"/>
            <w:noWrap/>
            <w:vAlign w:val="bottom"/>
            <w:hideMark/>
          </w:tcPr>
          <w:p w14:paraId="73FA5B8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Петропавловский</w:t>
            </w:r>
          </w:p>
        </w:tc>
        <w:tc>
          <w:tcPr>
            <w:tcW w:w="2977" w:type="dxa"/>
            <w:shd w:val="clear" w:color="auto" w:fill="auto"/>
            <w:noWrap/>
          </w:tcPr>
          <w:p w14:paraId="6695B7E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42</w:t>
            </w:r>
          </w:p>
        </w:tc>
        <w:tc>
          <w:tcPr>
            <w:tcW w:w="3402" w:type="dxa"/>
            <w:shd w:val="clear" w:color="auto" w:fill="auto"/>
            <w:noWrap/>
          </w:tcPr>
          <w:p w14:paraId="18BD414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53 869</w:t>
            </w:r>
          </w:p>
        </w:tc>
      </w:tr>
      <w:tr w:rsidR="00E16C06" w:rsidRPr="00E16C06" w14:paraId="2B0D108F" w14:textId="77777777" w:rsidTr="00E16C06">
        <w:trPr>
          <w:trHeight w:val="300"/>
        </w:trPr>
        <w:tc>
          <w:tcPr>
            <w:tcW w:w="2967" w:type="dxa"/>
            <w:shd w:val="clear" w:color="auto" w:fill="auto"/>
            <w:noWrap/>
            <w:vAlign w:val="bottom"/>
            <w:hideMark/>
          </w:tcPr>
          <w:p w14:paraId="1A67DE9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Поворинский</w:t>
            </w:r>
          </w:p>
        </w:tc>
        <w:tc>
          <w:tcPr>
            <w:tcW w:w="2977" w:type="dxa"/>
            <w:shd w:val="clear" w:color="auto" w:fill="auto"/>
            <w:noWrap/>
          </w:tcPr>
          <w:p w14:paraId="1DD3DDE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1157</w:t>
            </w:r>
          </w:p>
        </w:tc>
        <w:tc>
          <w:tcPr>
            <w:tcW w:w="3402" w:type="dxa"/>
            <w:shd w:val="clear" w:color="auto" w:fill="auto"/>
            <w:noWrap/>
          </w:tcPr>
          <w:p w14:paraId="63F437C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69 040</w:t>
            </w:r>
          </w:p>
        </w:tc>
      </w:tr>
      <w:tr w:rsidR="00E16C06" w:rsidRPr="00E16C06" w14:paraId="70271FB4" w14:textId="77777777" w:rsidTr="00E16C06">
        <w:trPr>
          <w:trHeight w:val="300"/>
        </w:trPr>
        <w:tc>
          <w:tcPr>
            <w:tcW w:w="2967" w:type="dxa"/>
            <w:shd w:val="clear" w:color="auto" w:fill="auto"/>
            <w:noWrap/>
            <w:vAlign w:val="bottom"/>
            <w:hideMark/>
          </w:tcPr>
          <w:p w14:paraId="2F40FF1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Подгоренский</w:t>
            </w:r>
          </w:p>
        </w:tc>
        <w:tc>
          <w:tcPr>
            <w:tcW w:w="2977" w:type="dxa"/>
            <w:shd w:val="clear" w:color="auto" w:fill="auto"/>
            <w:noWrap/>
          </w:tcPr>
          <w:p w14:paraId="6B85DCB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1195</w:t>
            </w:r>
          </w:p>
        </w:tc>
        <w:tc>
          <w:tcPr>
            <w:tcW w:w="3402" w:type="dxa"/>
            <w:shd w:val="clear" w:color="auto" w:fill="auto"/>
            <w:noWrap/>
          </w:tcPr>
          <w:p w14:paraId="0971DC8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81 618</w:t>
            </w:r>
          </w:p>
        </w:tc>
      </w:tr>
      <w:tr w:rsidR="00E16C06" w:rsidRPr="00E16C06" w14:paraId="309739A7" w14:textId="77777777" w:rsidTr="00E16C06">
        <w:trPr>
          <w:trHeight w:val="300"/>
        </w:trPr>
        <w:tc>
          <w:tcPr>
            <w:tcW w:w="2967" w:type="dxa"/>
            <w:shd w:val="clear" w:color="auto" w:fill="auto"/>
            <w:noWrap/>
            <w:vAlign w:val="bottom"/>
            <w:hideMark/>
          </w:tcPr>
          <w:p w14:paraId="27F840B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Рамонский</w:t>
            </w:r>
          </w:p>
        </w:tc>
        <w:tc>
          <w:tcPr>
            <w:tcW w:w="2977" w:type="dxa"/>
            <w:shd w:val="clear" w:color="auto" w:fill="auto"/>
            <w:noWrap/>
          </w:tcPr>
          <w:p w14:paraId="79D77DE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1195</w:t>
            </w:r>
          </w:p>
        </w:tc>
        <w:tc>
          <w:tcPr>
            <w:tcW w:w="3402" w:type="dxa"/>
            <w:shd w:val="clear" w:color="auto" w:fill="auto"/>
            <w:noWrap/>
          </w:tcPr>
          <w:p w14:paraId="5B06D7F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327 867</w:t>
            </w:r>
          </w:p>
        </w:tc>
      </w:tr>
      <w:tr w:rsidR="00E16C06" w:rsidRPr="00E16C06" w14:paraId="03C963B2" w14:textId="77777777" w:rsidTr="00E16C06">
        <w:trPr>
          <w:trHeight w:val="300"/>
        </w:trPr>
        <w:tc>
          <w:tcPr>
            <w:tcW w:w="2967" w:type="dxa"/>
            <w:shd w:val="clear" w:color="auto" w:fill="auto"/>
            <w:noWrap/>
            <w:vAlign w:val="bottom"/>
            <w:hideMark/>
          </w:tcPr>
          <w:p w14:paraId="348B943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Репьевский</w:t>
            </w:r>
          </w:p>
        </w:tc>
        <w:tc>
          <w:tcPr>
            <w:tcW w:w="2977" w:type="dxa"/>
            <w:shd w:val="clear" w:color="auto" w:fill="auto"/>
            <w:noWrap/>
          </w:tcPr>
          <w:p w14:paraId="69C2901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66</w:t>
            </w:r>
          </w:p>
        </w:tc>
        <w:tc>
          <w:tcPr>
            <w:tcW w:w="3402" w:type="dxa"/>
            <w:shd w:val="clear" w:color="auto" w:fill="auto"/>
            <w:noWrap/>
          </w:tcPr>
          <w:p w14:paraId="681EE1C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58 446</w:t>
            </w:r>
          </w:p>
        </w:tc>
      </w:tr>
      <w:tr w:rsidR="00E16C06" w:rsidRPr="00E16C06" w14:paraId="537C1360" w14:textId="77777777" w:rsidTr="00E16C06">
        <w:trPr>
          <w:trHeight w:val="300"/>
        </w:trPr>
        <w:tc>
          <w:tcPr>
            <w:tcW w:w="2967" w:type="dxa"/>
            <w:shd w:val="clear" w:color="auto" w:fill="auto"/>
            <w:noWrap/>
            <w:vAlign w:val="bottom"/>
            <w:hideMark/>
          </w:tcPr>
          <w:p w14:paraId="60025E8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Россошанский</w:t>
            </w:r>
          </w:p>
        </w:tc>
        <w:tc>
          <w:tcPr>
            <w:tcW w:w="2977" w:type="dxa"/>
            <w:shd w:val="clear" w:color="auto" w:fill="auto"/>
            <w:noWrap/>
          </w:tcPr>
          <w:p w14:paraId="55F264F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1317</w:t>
            </w:r>
          </w:p>
        </w:tc>
        <w:tc>
          <w:tcPr>
            <w:tcW w:w="3402" w:type="dxa"/>
            <w:shd w:val="clear" w:color="auto" w:fill="auto"/>
            <w:noWrap/>
          </w:tcPr>
          <w:p w14:paraId="4F177F5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355 480</w:t>
            </w:r>
          </w:p>
        </w:tc>
      </w:tr>
      <w:tr w:rsidR="00E16C06" w:rsidRPr="00E16C06" w14:paraId="50154EBF" w14:textId="77777777" w:rsidTr="00E16C06">
        <w:trPr>
          <w:trHeight w:val="300"/>
        </w:trPr>
        <w:tc>
          <w:tcPr>
            <w:tcW w:w="2967" w:type="dxa"/>
            <w:shd w:val="clear" w:color="auto" w:fill="auto"/>
            <w:noWrap/>
            <w:vAlign w:val="bottom"/>
            <w:hideMark/>
          </w:tcPr>
          <w:p w14:paraId="5A00389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Семилукский</w:t>
            </w:r>
          </w:p>
        </w:tc>
        <w:tc>
          <w:tcPr>
            <w:tcW w:w="2977" w:type="dxa"/>
            <w:shd w:val="clear" w:color="auto" w:fill="auto"/>
            <w:noWrap/>
          </w:tcPr>
          <w:p w14:paraId="5588F11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2791</w:t>
            </w:r>
          </w:p>
        </w:tc>
        <w:tc>
          <w:tcPr>
            <w:tcW w:w="3402" w:type="dxa"/>
            <w:shd w:val="clear" w:color="auto" w:fill="auto"/>
            <w:noWrap/>
          </w:tcPr>
          <w:p w14:paraId="01951A0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299 801</w:t>
            </w:r>
          </w:p>
        </w:tc>
      </w:tr>
      <w:tr w:rsidR="00E16C06" w:rsidRPr="00E16C06" w14:paraId="27A35350" w14:textId="77777777" w:rsidTr="00E16C06">
        <w:trPr>
          <w:trHeight w:val="300"/>
        </w:trPr>
        <w:tc>
          <w:tcPr>
            <w:tcW w:w="2967" w:type="dxa"/>
            <w:shd w:val="clear" w:color="auto" w:fill="auto"/>
            <w:noWrap/>
            <w:vAlign w:val="bottom"/>
            <w:hideMark/>
          </w:tcPr>
          <w:p w14:paraId="5C7AD00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Таловский</w:t>
            </w:r>
          </w:p>
        </w:tc>
        <w:tc>
          <w:tcPr>
            <w:tcW w:w="2977" w:type="dxa"/>
            <w:shd w:val="clear" w:color="auto" w:fill="auto"/>
            <w:noWrap/>
          </w:tcPr>
          <w:p w14:paraId="6E8C5FC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162</w:t>
            </w:r>
          </w:p>
        </w:tc>
        <w:tc>
          <w:tcPr>
            <w:tcW w:w="3402" w:type="dxa"/>
            <w:shd w:val="clear" w:color="auto" w:fill="auto"/>
            <w:noWrap/>
          </w:tcPr>
          <w:p w14:paraId="1A436C6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176 596</w:t>
            </w:r>
          </w:p>
        </w:tc>
      </w:tr>
      <w:tr w:rsidR="00E16C06" w:rsidRPr="00E16C06" w14:paraId="0CAA3052" w14:textId="77777777" w:rsidTr="00E16C06">
        <w:trPr>
          <w:trHeight w:val="300"/>
        </w:trPr>
        <w:tc>
          <w:tcPr>
            <w:tcW w:w="2967" w:type="dxa"/>
            <w:shd w:val="clear" w:color="auto" w:fill="auto"/>
            <w:noWrap/>
            <w:vAlign w:val="bottom"/>
            <w:hideMark/>
          </w:tcPr>
          <w:p w14:paraId="3FBFE30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Терновский</w:t>
            </w:r>
          </w:p>
        </w:tc>
        <w:tc>
          <w:tcPr>
            <w:tcW w:w="2977" w:type="dxa"/>
            <w:shd w:val="clear" w:color="auto" w:fill="auto"/>
            <w:noWrap/>
          </w:tcPr>
          <w:p w14:paraId="3F74670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65</w:t>
            </w:r>
          </w:p>
        </w:tc>
        <w:tc>
          <w:tcPr>
            <w:tcW w:w="3402" w:type="dxa"/>
            <w:shd w:val="clear" w:color="auto" w:fill="auto"/>
            <w:noWrap/>
          </w:tcPr>
          <w:p w14:paraId="6FA0F37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29 836</w:t>
            </w:r>
          </w:p>
        </w:tc>
      </w:tr>
      <w:tr w:rsidR="00E16C06" w:rsidRPr="00E16C06" w14:paraId="06DB1B2B" w14:textId="77777777" w:rsidTr="00E16C06">
        <w:trPr>
          <w:trHeight w:val="300"/>
        </w:trPr>
        <w:tc>
          <w:tcPr>
            <w:tcW w:w="2967" w:type="dxa"/>
            <w:shd w:val="clear" w:color="auto" w:fill="auto"/>
            <w:noWrap/>
            <w:vAlign w:val="bottom"/>
            <w:hideMark/>
          </w:tcPr>
          <w:p w14:paraId="780C83E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Хохольский</w:t>
            </w:r>
          </w:p>
        </w:tc>
        <w:tc>
          <w:tcPr>
            <w:tcW w:w="2977" w:type="dxa"/>
            <w:shd w:val="clear" w:color="auto" w:fill="auto"/>
            <w:noWrap/>
          </w:tcPr>
          <w:p w14:paraId="132CB45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397</w:t>
            </w:r>
          </w:p>
        </w:tc>
        <w:tc>
          <w:tcPr>
            <w:tcW w:w="3402" w:type="dxa"/>
            <w:shd w:val="clear" w:color="auto" w:fill="auto"/>
            <w:noWrap/>
          </w:tcPr>
          <w:p w14:paraId="350E763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88 794</w:t>
            </w:r>
          </w:p>
        </w:tc>
      </w:tr>
      <w:tr w:rsidR="00E16C06" w:rsidRPr="00E16C06" w14:paraId="1B2B1EC4" w14:textId="77777777" w:rsidTr="00E16C06">
        <w:trPr>
          <w:trHeight w:val="300"/>
        </w:trPr>
        <w:tc>
          <w:tcPr>
            <w:tcW w:w="2967" w:type="dxa"/>
            <w:shd w:val="clear" w:color="auto" w:fill="auto"/>
            <w:noWrap/>
            <w:vAlign w:val="bottom"/>
            <w:hideMark/>
          </w:tcPr>
          <w:p w14:paraId="1EADF0A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spacing w:val="-5"/>
              </w:rPr>
              <w:t>Эртильский</w:t>
            </w:r>
          </w:p>
        </w:tc>
        <w:tc>
          <w:tcPr>
            <w:tcW w:w="2977" w:type="dxa"/>
            <w:shd w:val="clear" w:color="auto" w:fill="auto"/>
            <w:noWrap/>
          </w:tcPr>
          <w:p w14:paraId="11F5FAB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59</w:t>
            </w:r>
          </w:p>
        </w:tc>
        <w:tc>
          <w:tcPr>
            <w:tcW w:w="3402" w:type="dxa"/>
            <w:shd w:val="clear" w:color="auto" w:fill="auto"/>
            <w:noWrap/>
          </w:tcPr>
          <w:p w14:paraId="249FA28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14 040</w:t>
            </w:r>
          </w:p>
        </w:tc>
      </w:tr>
      <w:tr w:rsidR="00E16C06" w:rsidRPr="00E16C06" w14:paraId="1D37D7FF" w14:textId="77777777" w:rsidTr="00E16C06">
        <w:trPr>
          <w:trHeight w:val="315"/>
        </w:trPr>
        <w:tc>
          <w:tcPr>
            <w:tcW w:w="2967" w:type="dxa"/>
            <w:noWrap/>
            <w:vAlign w:val="bottom"/>
            <w:hideMark/>
          </w:tcPr>
          <w:p w14:paraId="6047F322"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eastAsia="Times New Roman" w:hAnsi="Times New Roman" w:cs="Times New Roman"/>
                <w:b/>
                <w:spacing w:val="-5"/>
              </w:rPr>
              <w:t>Общий итог</w:t>
            </w:r>
          </w:p>
        </w:tc>
        <w:tc>
          <w:tcPr>
            <w:tcW w:w="2977" w:type="dxa"/>
            <w:shd w:val="clear" w:color="auto" w:fill="auto"/>
            <w:noWrap/>
          </w:tcPr>
          <w:p w14:paraId="43474674"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23302</w:t>
            </w:r>
          </w:p>
        </w:tc>
        <w:tc>
          <w:tcPr>
            <w:tcW w:w="3402" w:type="dxa"/>
            <w:shd w:val="clear" w:color="auto" w:fill="auto"/>
            <w:noWrap/>
          </w:tcPr>
          <w:p w14:paraId="2066A796"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10 250 786</w:t>
            </w:r>
          </w:p>
        </w:tc>
      </w:tr>
    </w:tbl>
    <w:p w14:paraId="02661573" w14:textId="77777777" w:rsidR="00E16C06" w:rsidRPr="00E16C06" w:rsidRDefault="00E16C06" w:rsidP="00E16C06">
      <w:pPr>
        <w:rPr>
          <w:rFonts w:ascii="Times New Roman" w:eastAsia="Times New Roman" w:hAnsi="Times New Roman" w:cs="Times New Roman"/>
          <w:sz w:val="26"/>
          <w:szCs w:val="26"/>
        </w:rPr>
      </w:pPr>
      <w:r w:rsidRPr="00E16C06">
        <w:rPr>
          <w:rFonts w:ascii="Times New Roman" w:hAnsi="Times New Roman" w:cs="Times New Roman"/>
          <w:noProof/>
          <w:lang w:eastAsia="ru-RU"/>
        </w:rPr>
        <w:drawing>
          <wp:inline distT="0" distB="0" distL="0" distR="0" wp14:anchorId="07FEC03F" wp14:editId="5321DF44">
            <wp:extent cx="5940425" cy="4189095"/>
            <wp:effectExtent l="0" t="0" r="3175" b="1905"/>
            <wp:docPr id="601" name="Диаграмма 6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21519F04"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color w:val="000000"/>
          <w:sz w:val="26"/>
          <w:szCs w:val="26"/>
          <w:lang w:eastAsia="ru-RU"/>
        </w:rPr>
        <w:t xml:space="preserve">Рис. </w:t>
      </w:r>
      <w:r w:rsidRPr="00E16C06">
        <w:rPr>
          <w:rFonts w:ascii="Times New Roman" w:eastAsia="Times New Roman" w:hAnsi="Times New Roman" w:cs="Times New Roman"/>
          <w:spacing w:val="-5"/>
          <w:sz w:val="26"/>
          <w:szCs w:val="26"/>
        </w:rPr>
        <w:t>3.3.2.15</w:t>
      </w:r>
      <w:r w:rsidRPr="00E16C06">
        <w:rPr>
          <w:rFonts w:ascii="Times New Roman" w:eastAsia="Times New Roman" w:hAnsi="Times New Roman" w:cs="Times New Roman"/>
          <w:color w:val="000000"/>
          <w:sz w:val="26"/>
          <w:szCs w:val="26"/>
          <w:lang w:eastAsia="ru-RU"/>
        </w:rPr>
        <w:t xml:space="preserve"> </w:t>
      </w:r>
      <w:r w:rsidRPr="00E16C06">
        <w:rPr>
          <w:rFonts w:ascii="Times New Roman" w:eastAsia="Times New Roman" w:hAnsi="Times New Roman" w:cs="Times New Roman"/>
          <w:spacing w:val="-5"/>
          <w:sz w:val="26"/>
          <w:szCs w:val="26"/>
        </w:rPr>
        <w:t>– Распределение земельных участков, относящихся к сегменту 7 «Транспорт», по муниципальным районам Воронежской области</w:t>
      </w:r>
    </w:p>
    <w:p w14:paraId="534E25CF"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spacing w:val="-5"/>
          <w:sz w:val="26"/>
          <w:szCs w:val="26"/>
        </w:rPr>
      </w:pPr>
    </w:p>
    <w:p w14:paraId="780D605F" w14:textId="77777777" w:rsidR="00E16C06" w:rsidRPr="00E16C06" w:rsidRDefault="00E16C06" w:rsidP="00E16C06">
      <w:pPr>
        <w:spacing w:after="0" w:line="276" w:lineRule="auto"/>
        <w:ind w:firstLine="709"/>
        <w:contextualSpacing/>
        <w:jc w:val="both"/>
        <w:rPr>
          <w:rFonts w:ascii="Times New Roman" w:hAnsi="Times New Roman" w:cs="Times New Roman"/>
          <w:sz w:val="26"/>
          <w:szCs w:val="26"/>
        </w:rPr>
      </w:pPr>
      <w:r w:rsidRPr="00E16C06">
        <w:rPr>
          <w:rFonts w:ascii="Times New Roman" w:hAnsi="Times New Roman" w:cs="Times New Roman"/>
          <w:sz w:val="26"/>
          <w:szCs w:val="26"/>
        </w:rPr>
        <w:t>В соответствии с сегментацией объектов недвижимости с указанием кодов расчета вида использования (приложение № 1 Указаний) 7 сегмент включает в себя коды расчета 02:071, 04:021, 04:031, 04:090, 04:091, 04:092, 04:093, 04:094, 07:000, 07:023, 07:024. Распределение земельных участков 7 сегмента по кодам вида использования представлено в таблице 3.3.2.16.</w:t>
      </w:r>
    </w:p>
    <w:p w14:paraId="3437051D" w14:textId="77777777" w:rsidR="00E16C06" w:rsidRPr="00E16C06" w:rsidRDefault="00E16C06" w:rsidP="00E16C06">
      <w:pPr>
        <w:spacing w:after="0" w:line="276" w:lineRule="auto"/>
        <w:ind w:firstLine="709"/>
        <w:contextualSpacing/>
        <w:jc w:val="right"/>
        <w:rPr>
          <w:rFonts w:ascii="Times New Roman" w:hAnsi="Times New Roman" w:cs="Times New Roman"/>
          <w:sz w:val="26"/>
          <w:szCs w:val="26"/>
        </w:rPr>
      </w:pPr>
      <w:r w:rsidRPr="00E16C06">
        <w:rPr>
          <w:rFonts w:ascii="Times New Roman" w:hAnsi="Times New Roman" w:cs="Times New Roman"/>
          <w:sz w:val="26"/>
          <w:szCs w:val="26"/>
        </w:rPr>
        <w:t xml:space="preserve">Таблица </w:t>
      </w:r>
      <w:r w:rsidRPr="00E16C06">
        <w:rPr>
          <w:rFonts w:ascii="Times New Roman" w:eastAsia="Times New Roman" w:hAnsi="Times New Roman" w:cs="Times New Roman"/>
          <w:spacing w:val="-5"/>
          <w:sz w:val="26"/>
          <w:szCs w:val="26"/>
        </w:rPr>
        <w:t>3.3.2.16</w:t>
      </w:r>
    </w:p>
    <w:p w14:paraId="3DCBF2E4"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Распределение объектов оценки по кодам расчета вида использования</w:t>
      </w:r>
    </w:p>
    <w:p w14:paraId="5431E7FF"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в составе 7 сегмента</w:t>
      </w:r>
    </w:p>
    <w:tbl>
      <w:tblPr>
        <w:tblStyle w:val="ae"/>
        <w:tblW w:w="0" w:type="auto"/>
        <w:tblLook w:val="04A0" w:firstRow="1" w:lastRow="0" w:firstColumn="1" w:lastColumn="0" w:noHBand="0" w:noVBand="1"/>
      </w:tblPr>
      <w:tblGrid>
        <w:gridCol w:w="2547"/>
        <w:gridCol w:w="3683"/>
        <w:gridCol w:w="3115"/>
      </w:tblGrid>
      <w:tr w:rsidR="00E16C06" w:rsidRPr="00E16C06" w14:paraId="59141576" w14:textId="77777777" w:rsidTr="00E16C06">
        <w:tc>
          <w:tcPr>
            <w:tcW w:w="2547" w:type="dxa"/>
            <w:vAlign w:val="center"/>
          </w:tcPr>
          <w:p w14:paraId="199E134E"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Сегмент</w:t>
            </w:r>
          </w:p>
        </w:tc>
        <w:tc>
          <w:tcPr>
            <w:tcW w:w="3683" w:type="dxa"/>
            <w:vAlign w:val="center"/>
          </w:tcPr>
          <w:p w14:paraId="60575FDD"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Код расчета вида использования</w:t>
            </w:r>
          </w:p>
        </w:tc>
        <w:tc>
          <w:tcPr>
            <w:tcW w:w="3115" w:type="dxa"/>
            <w:vAlign w:val="center"/>
          </w:tcPr>
          <w:p w14:paraId="13059AE6"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Количество ЗУ</w:t>
            </w:r>
          </w:p>
        </w:tc>
      </w:tr>
      <w:tr w:rsidR="00E16C06" w:rsidRPr="00E16C06" w14:paraId="38F94209" w14:textId="77777777" w:rsidTr="00E16C06">
        <w:tc>
          <w:tcPr>
            <w:tcW w:w="2547" w:type="dxa"/>
            <w:vMerge w:val="restart"/>
            <w:vAlign w:val="center"/>
          </w:tcPr>
          <w:p w14:paraId="72883AA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7</w:t>
            </w:r>
          </w:p>
        </w:tc>
        <w:tc>
          <w:tcPr>
            <w:tcW w:w="3683" w:type="dxa"/>
            <w:tcBorders>
              <w:top w:val="single" w:sz="4" w:space="0" w:color="auto"/>
              <w:left w:val="single" w:sz="4" w:space="0" w:color="auto"/>
              <w:bottom w:val="single" w:sz="4" w:space="0" w:color="auto"/>
              <w:right w:val="single" w:sz="4" w:space="0" w:color="auto"/>
            </w:tcBorders>
            <w:shd w:val="clear" w:color="auto" w:fill="auto"/>
          </w:tcPr>
          <w:p w14:paraId="6F3E793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02:071</w:t>
            </w:r>
          </w:p>
        </w:tc>
        <w:tc>
          <w:tcPr>
            <w:tcW w:w="3115" w:type="dxa"/>
            <w:tcBorders>
              <w:top w:val="single" w:sz="4" w:space="0" w:color="auto"/>
              <w:left w:val="nil"/>
              <w:bottom w:val="single" w:sz="4" w:space="0" w:color="auto"/>
              <w:right w:val="single" w:sz="4" w:space="0" w:color="auto"/>
            </w:tcBorders>
            <w:shd w:val="clear" w:color="auto" w:fill="auto"/>
          </w:tcPr>
          <w:p w14:paraId="4ABC684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21104</w:t>
            </w:r>
          </w:p>
        </w:tc>
      </w:tr>
      <w:tr w:rsidR="00E16C06" w:rsidRPr="00E16C06" w14:paraId="65F1F43E" w14:textId="77777777" w:rsidTr="00E16C06">
        <w:tc>
          <w:tcPr>
            <w:tcW w:w="2547" w:type="dxa"/>
            <w:vMerge/>
          </w:tcPr>
          <w:p w14:paraId="4D672FB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0A9EF85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04:021</w:t>
            </w:r>
          </w:p>
        </w:tc>
        <w:tc>
          <w:tcPr>
            <w:tcW w:w="3115" w:type="dxa"/>
            <w:tcBorders>
              <w:top w:val="nil"/>
              <w:left w:val="nil"/>
              <w:bottom w:val="single" w:sz="4" w:space="0" w:color="auto"/>
              <w:right w:val="single" w:sz="4" w:space="0" w:color="auto"/>
            </w:tcBorders>
            <w:shd w:val="clear" w:color="auto" w:fill="auto"/>
          </w:tcPr>
          <w:p w14:paraId="0FA91E0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46</w:t>
            </w:r>
          </w:p>
        </w:tc>
      </w:tr>
      <w:tr w:rsidR="00E16C06" w:rsidRPr="00E16C06" w14:paraId="57772903" w14:textId="77777777" w:rsidTr="00E16C06">
        <w:tc>
          <w:tcPr>
            <w:tcW w:w="2547" w:type="dxa"/>
            <w:vMerge/>
          </w:tcPr>
          <w:p w14:paraId="0E33D87A" w14:textId="77777777" w:rsidR="00E16C06" w:rsidRPr="00E16C06" w:rsidRDefault="00E16C06" w:rsidP="00E16C06">
            <w:pPr>
              <w:spacing w:line="276" w:lineRule="auto"/>
              <w:contextualSpacing/>
              <w:jc w:val="center"/>
              <w:rPr>
                <w:rFonts w:ascii="Times New Roman" w:eastAsia="Times New Roman" w:hAnsi="Times New Roman" w:cs="Times New Roman"/>
                <w:spacing w:val="-5"/>
              </w:rPr>
            </w:pPr>
          </w:p>
        </w:tc>
        <w:tc>
          <w:tcPr>
            <w:tcW w:w="3683" w:type="dxa"/>
            <w:tcBorders>
              <w:top w:val="nil"/>
              <w:left w:val="single" w:sz="4" w:space="0" w:color="auto"/>
              <w:bottom w:val="single" w:sz="4" w:space="0" w:color="auto"/>
              <w:right w:val="single" w:sz="4" w:space="0" w:color="auto"/>
            </w:tcBorders>
            <w:shd w:val="clear" w:color="auto" w:fill="auto"/>
          </w:tcPr>
          <w:p w14:paraId="76046DA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04:031</w:t>
            </w:r>
          </w:p>
        </w:tc>
        <w:tc>
          <w:tcPr>
            <w:tcW w:w="3115" w:type="dxa"/>
            <w:tcBorders>
              <w:top w:val="nil"/>
              <w:left w:val="nil"/>
              <w:bottom w:val="single" w:sz="4" w:space="0" w:color="auto"/>
              <w:right w:val="single" w:sz="4" w:space="0" w:color="auto"/>
            </w:tcBorders>
            <w:shd w:val="clear" w:color="auto" w:fill="auto"/>
          </w:tcPr>
          <w:p w14:paraId="22EF756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2</w:t>
            </w:r>
          </w:p>
        </w:tc>
      </w:tr>
      <w:tr w:rsidR="00E16C06" w:rsidRPr="00E16C06" w14:paraId="1CAE8A81" w14:textId="77777777" w:rsidTr="00E16C06">
        <w:tc>
          <w:tcPr>
            <w:tcW w:w="2547" w:type="dxa"/>
            <w:vMerge/>
          </w:tcPr>
          <w:p w14:paraId="116D2DF6" w14:textId="77777777" w:rsidR="00E16C06" w:rsidRPr="00E16C06" w:rsidRDefault="00E16C06" w:rsidP="00E16C06">
            <w:pPr>
              <w:spacing w:line="276" w:lineRule="auto"/>
              <w:contextualSpacing/>
              <w:jc w:val="center"/>
              <w:rPr>
                <w:rFonts w:ascii="Times New Roman" w:eastAsia="Times New Roman" w:hAnsi="Times New Roman" w:cs="Times New Roman"/>
                <w:spacing w:val="-5"/>
              </w:rPr>
            </w:pPr>
          </w:p>
        </w:tc>
        <w:tc>
          <w:tcPr>
            <w:tcW w:w="3683" w:type="dxa"/>
            <w:tcBorders>
              <w:top w:val="nil"/>
              <w:left w:val="single" w:sz="4" w:space="0" w:color="auto"/>
              <w:bottom w:val="single" w:sz="4" w:space="0" w:color="auto"/>
              <w:right w:val="single" w:sz="4" w:space="0" w:color="auto"/>
            </w:tcBorders>
            <w:shd w:val="clear" w:color="auto" w:fill="auto"/>
          </w:tcPr>
          <w:p w14:paraId="2488EFF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04:090</w:t>
            </w:r>
          </w:p>
        </w:tc>
        <w:tc>
          <w:tcPr>
            <w:tcW w:w="3115" w:type="dxa"/>
            <w:tcBorders>
              <w:top w:val="nil"/>
              <w:left w:val="nil"/>
              <w:bottom w:val="single" w:sz="4" w:space="0" w:color="auto"/>
              <w:right w:val="single" w:sz="4" w:space="0" w:color="auto"/>
            </w:tcBorders>
            <w:shd w:val="clear" w:color="auto" w:fill="auto"/>
          </w:tcPr>
          <w:p w14:paraId="346B8A8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860</w:t>
            </w:r>
          </w:p>
        </w:tc>
      </w:tr>
      <w:tr w:rsidR="00E16C06" w:rsidRPr="00E16C06" w14:paraId="0511CAE1" w14:textId="77777777" w:rsidTr="00E16C06">
        <w:tc>
          <w:tcPr>
            <w:tcW w:w="2547" w:type="dxa"/>
            <w:vMerge/>
          </w:tcPr>
          <w:p w14:paraId="6F043D71" w14:textId="77777777" w:rsidR="00E16C06" w:rsidRPr="00E16C06" w:rsidRDefault="00E16C06" w:rsidP="00E16C06">
            <w:pPr>
              <w:spacing w:line="276" w:lineRule="auto"/>
              <w:contextualSpacing/>
              <w:jc w:val="center"/>
              <w:rPr>
                <w:rFonts w:ascii="Times New Roman" w:eastAsia="Times New Roman" w:hAnsi="Times New Roman" w:cs="Times New Roman"/>
                <w:spacing w:val="-5"/>
              </w:rPr>
            </w:pPr>
          </w:p>
        </w:tc>
        <w:tc>
          <w:tcPr>
            <w:tcW w:w="3683" w:type="dxa"/>
            <w:tcBorders>
              <w:top w:val="nil"/>
              <w:left w:val="single" w:sz="4" w:space="0" w:color="auto"/>
              <w:bottom w:val="single" w:sz="4" w:space="0" w:color="auto"/>
              <w:right w:val="single" w:sz="4" w:space="0" w:color="auto"/>
            </w:tcBorders>
            <w:shd w:val="clear" w:color="auto" w:fill="auto"/>
          </w:tcPr>
          <w:p w14:paraId="10B61C4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04:091</w:t>
            </w:r>
          </w:p>
        </w:tc>
        <w:tc>
          <w:tcPr>
            <w:tcW w:w="3115" w:type="dxa"/>
            <w:tcBorders>
              <w:top w:val="nil"/>
              <w:left w:val="nil"/>
              <w:bottom w:val="single" w:sz="4" w:space="0" w:color="auto"/>
              <w:right w:val="single" w:sz="4" w:space="0" w:color="auto"/>
            </w:tcBorders>
            <w:shd w:val="clear" w:color="auto" w:fill="auto"/>
          </w:tcPr>
          <w:p w14:paraId="3568806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277</w:t>
            </w:r>
          </w:p>
        </w:tc>
      </w:tr>
      <w:tr w:rsidR="00E16C06" w:rsidRPr="00E16C06" w14:paraId="65DC01D7" w14:textId="77777777" w:rsidTr="00E16C06">
        <w:tc>
          <w:tcPr>
            <w:tcW w:w="2547" w:type="dxa"/>
            <w:vMerge/>
          </w:tcPr>
          <w:p w14:paraId="16A0D1B6" w14:textId="77777777" w:rsidR="00E16C06" w:rsidRPr="00E16C06" w:rsidRDefault="00E16C06" w:rsidP="00E16C06">
            <w:pPr>
              <w:spacing w:line="276" w:lineRule="auto"/>
              <w:contextualSpacing/>
              <w:jc w:val="center"/>
              <w:rPr>
                <w:rFonts w:ascii="Times New Roman" w:eastAsia="Times New Roman" w:hAnsi="Times New Roman" w:cs="Times New Roman"/>
                <w:spacing w:val="-5"/>
              </w:rPr>
            </w:pPr>
          </w:p>
        </w:tc>
        <w:tc>
          <w:tcPr>
            <w:tcW w:w="3683" w:type="dxa"/>
            <w:tcBorders>
              <w:top w:val="nil"/>
              <w:left w:val="single" w:sz="4" w:space="0" w:color="auto"/>
              <w:bottom w:val="single" w:sz="4" w:space="0" w:color="auto"/>
              <w:right w:val="single" w:sz="4" w:space="0" w:color="auto"/>
            </w:tcBorders>
            <w:shd w:val="clear" w:color="auto" w:fill="auto"/>
          </w:tcPr>
          <w:p w14:paraId="329A00E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04:092</w:t>
            </w:r>
          </w:p>
        </w:tc>
        <w:tc>
          <w:tcPr>
            <w:tcW w:w="3115" w:type="dxa"/>
            <w:tcBorders>
              <w:top w:val="nil"/>
              <w:left w:val="nil"/>
              <w:bottom w:val="single" w:sz="4" w:space="0" w:color="auto"/>
              <w:right w:val="single" w:sz="4" w:space="0" w:color="auto"/>
            </w:tcBorders>
            <w:shd w:val="clear" w:color="auto" w:fill="auto"/>
          </w:tcPr>
          <w:p w14:paraId="5921197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708</w:t>
            </w:r>
          </w:p>
        </w:tc>
      </w:tr>
      <w:tr w:rsidR="00E16C06" w:rsidRPr="00E16C06" w14:paraId="56A1834D" w14:textId="77777777" w:rsidTr="00E16C06">
        <w:tc>
          <w:tcPr>
            <w:tcW w:w="2547" w:type="dxa"/>
            <w:vMerge/>
          </w:tcPr>
          <w:p w14:paraId="443F73BD" w14:textId="77777777" w:rsidR="00E16C06" w:rsidRPr="00E16C06" w:rsidRDefault="00E16C06" w:rsidP="00E16C06">
            <w:pPr>
              <w:spacing w:line="276" w:lineRule="auto"/>
              <w:contextualSpacing/>
              <w:jc w:val="center"/>
              <w:rPr>
                <w:rFonts w:ascii="Times New Roman" w:eastAsia="Times New Roman" w:hAnsi="Times New Roman" w:cs="Times New Roman"/>
                <w:spacing w:val="-5"/>
              </w:rPr>
            </w:pPr>
          </w:p>
        </w:tc>
        <w:tc>
          <w:tcPr>
            <w:tcW w:w="3683" w:type="dxa"/>
            <w:tcBorders>
              <w:top w:val="nil"/>
              <w:left w:val="single" w:sz="4" w:space="0" w:color="auto"/>
              <w:bottom w:val="single" w:sz="4" w:space="0" w:color="auto"/>
              <w:right w:val="single" w:sz="4" w:space="0" w:color="auto"/>
            </w:tcBorders>
            <w:shd w:val="clear" w:color="auto" w:fill="auto"/>
          </w:tcPr>
          <w:p w14:paraId="5148034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04:093</w:t>
            </w:r>
          </w:p>
        </w:tc>
        <w:tc>
          <w:tcPr>
            <w:tcW w:w="3115" w:type="dxa"/>
            <w:tcBorders>
              <w:top w:val="nil"/>
              <w:left w:val="nil"/>
              <w:bottom w:val="single" w:sz="4" w:space="0" w:color="auto"/>
              <w:right w:val="single" w:sz="4" w:space="0" w:color="auto"/>
            </w:tcBorders>
            <w:shd w:val="clear" w:color="auto" w:fill="auto"/>
          </w:tcPr>
          <w:p w14:paraId="52B3CBE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68</w:t>
            </w:r>
          </w:p>
        </w:tc>
      </w:tr>
      <w:tr w:rsidR="00E16C06" w:rsidRPr="00E16C06" w14:paraId="054C3057" w14:textId="77777777" w:rsidTr="00E16C06">
        <w:tc>
          <w:tcPr>
            <w:tcW w:w="2547" w:type="dxa"/>
            <w:vMerge/>
          </w:tcPr>
          <w:p w14:paraId="0D3717E3" w14:textId="77777777" w:rsidR="00E16C06" w:rsidRPr="00E16C06" w:rsidRDefault="00E16C06" w:rsidP="00E16C06">
            <w:pPr>
              <w:spacing w:line="276" w:lineRule="auto"/>
              <w:contextualSpacing/>
              <w:jc w:val="center"/>
              <w:rPr>
                <w:rFonts w:ascii="Times New Roman" w:eastAsia="Times New Roman" w:hAnsi="Times New Roman" w:cs="Times New Roman"/>
                <w:spacing w:val="-5"/>
              </w:rPr>
            </w:pPr>
          </w:p>
        </w:tc>
        <w:tc>
          <w:tcPr>
            <w:tcW w:w="3683" w:type="dxa"/>
            <w:tcBorders>
              <w:top w:val="nil"/>
              <w:left w:val="single" w:sz="4" w:space="0" w:color="auto"/>
              <w:bottom w:val="single" w:sz="4" w:space="0" w:color="auto"/>
              <w:right w:val="single" w:sz="4" w:space="0" w:color="auto"/>
            </w:tcBorders>
            <w:shd w:val="clear" w:color="auto" w:fill="auto"/>
          </w:tcPr>
          <w:p w14:paraId="159C1D0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04:094</w:t>
            </w:r>
          </w:p>
        </w:tc>
        <w:tc>
          <w:tcPr>
            <w:tcW w:w="3115" w:type="dxa"/>
            <w:tcBorders>
              <w:top w:val="nil"/>
              <w:left w:val="nil"/>
              <w:bottom w:val="single" w:sz="4" w:space="0" w:color="auto"/>
              <w:right w:val="single" w:sz="4" w:space="0" w:color="auto"/>
            </w:tcBorders>
            <w:shd w:val="clear" w:color="auto" w:fill="auto"/>
          </w:tcPr>
          <w:p w14:paraId="211387C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23</w:t>
            </w:r>
          </w:p>
        </w:tc>
      </w:tr>
      <w:tr w:rsidR="00E16C06" w:rsidRPr="00E16C06" w14:paraId="629B06B5" w14:textId="77777777" w:rsidTr="00E16C06">
        <w:tc>
          <w:tcPr>
            <w:tcW w:w="2547" w:type="dxa"/>
            <w:vMerge/>
          </w:tcPr>
          <w:p w14:paraId="56E72DAE" w14:textId="77777777" w:rsidR="00E16C06" w:rsidRPr="00E16C06" w:rsidRDefault="00E16C06" w:rsidP="00E16C06">
            <w:pPr>
              <w:spacing w:line="276" w:lineRule="auto"/>
              <w:contextualSpacing/>
              <w:jc w:val="center"/>
              <w:rPr>
                <w:rFonts w:ascii="Times New Roman" w:eastAsia="Times New Roman" w:hAnsi="Times New Roman" w:cs="Times New Roman"/>
                <w:spacing w:val="-5"/>
              </w:rPr>
            </w:pPr>
          </w:p>
        </w:tc>
        <w:tc>
          <w:tcPr>
            <w:tcW w:w="3683" w:type="dxa"/>
            <w:tcBorders>
              <w:top w:val="nil"/>
              <w:left w:val="single" w:sz="4" w:space="0" w:color="auto"/>
              <w:bottom w:val="single" w:sz="4" w:space="0" w:color="auto"/>
              <w:right w:val="single" w:sz="4" w:space="0" w:color="auto"/>
            </w:tcBorders>
            <w:shd w:val="clear" w:color="auto" w:fill="auto"/>
          </w:tcPr>
          <w:p w14:paraId="7DD04F4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07:000</w:t>
            </w:r>
          </w:p>
        </w:tc>
        <w:tc>
          <w:tcPr>
            <w:tcW w:w="3115" w:type="dxa"/>
            <w:tcBorders>
              <w:top w:val="nil"/>
              <w:left w:val="nil"/>
              <w:bottom w:val="single" w:sz="4" w:space="0" w:color="auto"/>
              <w:right w:val="single" w:sz="4" w:space="0" w:color="auto"/>
            </w:tcBorders>
            <w:shd w:val="clear" w:color="auto" w:fill="auto"/>
          </w:tcPr>
          <w:p w14:paraId="3B7DC27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69</w:t>
            </w:r>
          </w:p>
        </w:tc>
      </w:tr>
      <w:tr w:rsidR="00E16C06" w:rsidRPr="00E16C06" w14:paraId="187179C1" w14:textId="77777777" w:rsidTr="00E16C06">
        <w:tc>
          <w:tcPr>
            <w:tcW w:w="2547" w:type="dxa"/>
            <w:vMerge/>
          </w:tcPr>
          <w:p w14:paraId="705D2AAA" w14:textId="77777777" w:rsidR="00E16C06" w:rsidRPr="00E16C06" w:rsidRDefault="00E16C06" w:rsidP="00E16C06">
            <w:pPr>
              <w:spacing w:line="276" w:lineRule="auto"/>
              <w:contextualSpacing/>
              <w:jc w:val="center"/>
              <w:rPr>
                <w:rFonts w:ascii="Times New Roman" w:eastAsia="Times New Roman" w:hAnsi="Times New Roman" w:cs="Times New Roman"/>
                <w:spacing w:val="-5"/>
              </w:rPr>
            </w:pPr>
          </w:p>
        </w:tc>
        <w:tc>
          <w:tcPr>
            <w:tcW w:w="3683" w:type="dxa"/>
            <w:tcBorders>
              <w:top w:val="nil"/>
              <w:left w:val="single" w:sz="4" w:space="0" w:color="auto"/>
              <w:bottom w:val="single" w:sz="4" w:space="0" w:color="auto"/>
              <w:right w:val="single" w:sz="4" w:space="0" w:color="auto"/>
            </w:tcBorders>
            <w:shd w:val="clear" w:color="auto" w:fill="auto"/>
          </w:tcPr>
          <w:p w14:paraId="413A9E9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07:023</w:t>
            </w:r>
          </w:p>
        </w:tc>
        <w:tc>
          <w:tcPr>
            <w:tcW w:w="3115" w:type="dxa"/>
            <w:tcBorders>
              <w:top w:val="nil"/>
              <w:left w:val="nil"/>
              <w:bottom w:val="single" w:sz="4" w:space="0" w:color="auto"/>
              <w:right w:val="single" w:sz="4" w:space="0" w:color="auto"/>
            </w:tcBorders>
            <w:shd w:val="clear" w:color="auto" w:fill="auto"/>
          </w:tcPr>
          <w:p w14:paraId="00E2D0D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116</w:t>
            </w:r>
          </w:p>
        </w:tc>
      </w:tr>
      <w:tr w:rsidR="00E16C06" w:rsidRPr="00E16C06" w14:paraId="61EC57E8" w14:textId="77777777" w:rsidTr="00E16C06">
        <w:tc>
          <w:tcPr>
            <w:tcW w:w="2547" w:type="dxa"/>
            <w:vMerge/>
          </w:tcPr>
          <w:p w14:paraId="5458B1D0" w14:textId="77777777" w:rsidR="00E16C06" w:rsidRPr="00E16C06" w:rsidRDefault="00E16C06" w:rsidP="00E16C06">
            <w:pPr>
              <w:spacing w:line="276" w:lineRule="auto"/>
              <w:contextualSpacing/>
              <w:jc w:val="center"/>
              <w:rPr>
                <w:rFonts w:ascii="Times New Roman" w:eastAsia="Times New Roman" w:hAnsi="Times New Roman" w:cs="Times New Roman"/>
                <w:spacing w:val="-5"/>
              </w:rPr>
            </w:pPr>
          </w:p>
        </w:tc>
        <w:tc>
          <w:tcPr>
            <w:tcW w:w="3683" w:type="dxa"/>
            <w:tcBorders>
              <w:top w:val="nil"/>
              <w:left w:val="single" w:sz="4" w:space="0" w:color="auto"/>
              <w:bottom w:val="single" w:sz="4" w:space="0" w:color="auto"/>
              <w:right w:val="single" w:sz="4" w:space="0" w:color="auto"/>
            </w:tcBorders>
            <w:shd w:val="clear" w:color="auto" w:fill="auto"/>
          </w:tcPr>
          <w:p w14:paraId="69AA4F9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07:024</w:t>
            </w:r>
          </w:p>
        </w:tc>
        <w:tc>
          <w:tcPr>
            <w:tcW w:w="3115" w:type="dxa"/>
            <w:tcBorders>
              <w:top w:val="nil"/>
              <w:left w:val="nil"/>
              <w:bottom w:val="single" w:sz="4" w:space="0" w:color="auto"/>
              <w:right w:val="single" w:sz="4" w:space="0" w:color="auto"/>
            </w:tcBorders>
            <w:shd w:val="clear" w:color="auto" w:fill="auto"/>
          </w:tcPr>
          <w:p w14:paraId="45BC3FE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rPr>
              <w:t>29</w:t>
            </w:r>
          </w:p>
        </w:tc>
      </w:tr>
      <w:tr w:rsidR="00E16C06" w:rsidRPr="00E16C06" w14:paraId="182E7D10" w14:textId="77777777" w:rsidTr="00E16C06">
        <w:tc>
          <w:tcPr>
            <w:tcW w:w="2547" w:type="dxa"/>
          </w:tcPr>
          <w:p w14:paraId="42F55B10"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Итог</w:t>
            </w:r>
          </w:p>
        </w:tc>
        <w:tc>
          <w:tcPr>
            <w:tcW w:w="3683" w:type="dxa"/>
          </w:tcPr>
          <w:p w14:paraId="59B35159"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p>
        </w:tc>
        <w:tc>
          <w:tcPr>
            <w:tcW w:w="3115" w:type="dxa"/>
          </w:tcPr>
          <w:p w14:paraId="4F44A9AF" w14:textId="77777777" w:rsidR="00E16C06" w:rsidRPr="00E16C06" w:rsidRDefault="00E16C06" w:rsidP="00E16C06">
            <w:pPr>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23302</w:t>
            </w:r>
          </w:p>
        </w:tc>
      </w:tr>
    </w:tbl>
    <w:p w14:paraId="4A808429" w14:textId="77777777" w:rsidR="00E16C06" w:rsidRPr="00E16C06" w:rsidRDefault="00E16C06" w:rsidP="00E16C06">
      <w:pPr>
        <w:rPr>
          <w:rFonts w:ascii="Times New Roman" w:eastAsia="Times New Roman" w:hAnsi="Times New Roman" w:cs="Times New Roman"/>
          <w:sz w:val="26"/>
          <w:szCs w:val="26"/>
        </w:rPr>
      </w:pPr>
      <w:r w:rsidRPr="00E16C06">
        <w:rPr>
          <w:rFonts w:ascii="Times New Roman" w:hAnsi="Times New Roman" w:cs="Times New Roman"/>
          <w:noProof/>
          <w:lang w:eastAsia="ru-RU"/>
        </w:rPr>
        <w:drawing>
          <wp:inline distT="0" distB="0" distL="0" distR="0" wp14:anchorId="557F1E40" wp14:editId="08B86255">
            <wp:extent cx="5940425" cy="3505200"/>
            <wp:effectExtent l="0" t="0" r="3175" b="0"/>
            <wp:docPr id="602" name="Диаграмма 6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3F5AFF52"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 xml:space="preserve">Рис. </w:t>
      </w:r>
      <w:r w:rsidRPr="00E16C06">
        <w:rPr>
          <w:rFonts w:ascii="Times New Roman" w:eastAsia="Times New Roman" w:hAnsi="Times New Roman" w:cs="Times New Roman"/>
          <w:spacing w:val="-5"/>
          <w:sz w:val="26"/>
          <w:szCs w:val="26"/>
        </w:rPr>
        <w:t>3.3.2.16</w:t>
      </w:r>
      <w:r w:rsidRPr="00E16C06">
        <w:rPr>
          <w:rFonts w:ascii="Times New Roman" w:hAnsi="Times New Roman" w:cs="Times New Roman"/>
          <w:sz w:val="26"/>
          <w:szCs w:val="26"/>
        </w:rPr>
        <w:t xml:space="preserve"> </w:t>
      </w:r>
      <w:r w:rsidRPr="00E16C06">
        <w:rPr>
          <w:rFonts w:ascii="Times New Roman" w:eastAsia="Times New Roman" w:hAnsi="Times New Roman" w:cs="Times New Roman"/>
          <w:spacing w:val="-5"/>
          <w:sz w:val="26"/>
          <w:szCs w:val="26"/>
        </w:rPr>
        <w:t xml:space="preserve">– </w:t>
      </w:r>
      <w:r w:rsidRPr="00E16C06">
        <w:rPr>
          <w:rFonts w:ascii="Times New Roman" w:hAnsi="Times New Roman" w:cs="Times New Roman"/>
          <w:sz w:val="26"/>
          <w:szCs w:val="26"/>
        </w:rPr>
        <w:t>Распределение объектов оценки по кодам расчета вида использования в составе 7 сегмента</w:t>
      </w:r>
    </w:p>
    <w:p w14:paraId="2101D23F"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p>
    <w:p w14:paraId="5DEB6C1D"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p>
    <w:p w14:paraId="2B9F7B57" w14:textId="77777777" w:rsidR="00E16C06" w:rsidRPr="00E16C06" w:rsidRDefault="00E16C06" w:rsidP="00E16C06">
      <w:pPr>
        <w:spacing w:after="0" w:line="276" w:lineRule="auto"/>
        <w:contextualSpacing/>
        <w:jc w:val="center"/>
        <w:rPr>
          <w:rFonts w:ascii="Times New Roman" w:eastAsia="Times New Roman" w:hAnsi="Times New Roman" w:cs="Times New Roman"/>
          <w:i/>
          <w:color w:val="000000"/>
          <w:sz w:val="26"/>
          <w:szCs w:val="26"/>
          <w:lang w:eastAsia="ru-RU"/>
        </w:rPr>
      </w:pPr>
      <w:r w:rsidRPr="00E16C06">
        <w:rPr>
          <w:rFonts w:ascii="Times New Roman" w:eastAsia="Times New Roman" w:hAnsi="Times New Roman" w:cs="Times New Roman"/>
          <w:i/>
          <w:spacing w:val="-5"/>
          <w:sz w:val="26"/>
          <w:szCs w:val="26"/>
        </w:rPr>
        <w:t xml:space="preserve">Описание объектов недвижимости </w:t>
      </w:r>
      <w:r w:rsidRPr="00E16C06">
        <w:rPr>
          <w:rFonts w:ascii="Times New Roman" w:eastAsia="Times New Roman" w:hAnsi="Times New Roman" w:cs="Times New Roman"/>
          <w:i/>
          <w:color w:val="000000"/>
          <w:sz w:val="26"/>
          <w:szCs w:val="26"/>
          <w:lang w:eastAsia="ru-RU"/>
        </w:rPr>
        <w:t>8 сегмента «Обеспечение обороны и безопасности»</w:t>
      </w:r>
    </w:p>
    <w:p w14:paraId="204B742D" w14:textId="77777777" w:rsidR="00E16C06" w:rsidRPr="00E16C06" w:rsidRDefault="00E16C06" w:rsidP="00E16C06">
      <w:pPr>
        <w:spacing w:after="0" w:line="276" w:lineRule="auto"/>
        <w:contextualSpacing/>
        <w:jc w:val="center"/>
        <w:rPr>
          <w:rFonts w:ascii="Times New Roman" w:eastAsia="Times New Roman" w:hAnsi="Times New Roman" w:cs="Times New Roman"/>
          <w:b/>
          <w:i/>
          <w:color w:val="000000"/>
          <w:sz w:val="26"/>
          <w:szCs w:val="26"/>
          <w:lang w:eastAsia="ru-RU"/>
        </w:rPr>
      </w:pPr>
    </w:p>
    <w:p w14:paraId="09B4A556" w14:textId="77777777" w:rsidR="00E16C06" w:rsidRPr="00E16C06" w:rsidRDefault="00E16C06" w:rsidP="00E16C06">
      <w:pPr>
        <w:spacing w:after="0" w:line="276" w:lineRule="auto"/>
        <w:ind w:firstLine="709"/>
        <w:contextualSpacing/>
        <w:jc w:val="both"/>
        <w:rPr>
          <w:rFonts w:ascii="Times New Roman" w:hAnsi="Times New Roman" w:cs="Times New Roman"/>
          <w:color w:val="000000" w:themeColor="text1"/>
          <w:sz w:val="26"/>
          <w:szCs w:val="26"/>
        </w:rPr>
      </w:pPr>
      <w:r w:rsidRPr="00E16C06">
        <w:rPr>
          <w:rFonts w:ascii="Times New Roman" w:hAnsi="Times New Roman" w:cs="Times New Roman"/>
          <w:color w:val="000000" w:themeColor="text1"/>
          <w:sz w:val="26"/>
          <w:szCs w:val="26"/>
        </w:rPr>
        <w:t>Наибольшее количество земельных участков 8 сегмента сосредоточено в Борисоглебском, Бобровском, Богучарском районах – 25, 13, 13 объектов соответственно. В остальных районах, представленных 8 сегментом, количество объектов оценки не превышает 6.</w:t>
      </w:r>
    </w:p>
    <w:p w14:paraId="7237968D" w14:textId="77777777" w:rsidR="00E16C06" w:rsidRPr="00E16C06" w:rsidRDefault="00E16C06" w:rsidP="00E16C06">
      <w:pPr>
        <w:spacing w:after="0" w:line="276" w:lineRule="auto"/>
        <w:contextualSpacing/>
        <w:jc w:val="right"/>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Таблица 3.3.2.17</w:t>
      </w:r>
    </w:p>
    <w:p w14:paraId="599795E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Распределение земельных участков и площадей, относящихся к сегменту 8 «Обеспечение обороны и безопасности», по муниципальным районам Воронежской области</w:t>
      </w:r>
    </w:p>
    <w:tbl>
      <w:tblPr>
        <w:tblStyle w:val="ae"/>
        <w:tblW w:w="9346" w:type="dxa"/>
        <w:tblLook w:val="04A0" w:firstRow="1" w:lastRow="0" w:firstColumn="1" w:lastColumn="0" w:noHBand="0" w:noVBand="1"/>
      </w:tblPr>
      <w:tblGrid>
        <w:gridCol w:w="3109"/>
        <w:gridCol w:w="2693"/>
        <w:gridCol w:w="3544"/>
      </w:tblGrid>
      <w:tr w:rsidR="00E16C06" w:rsidRPr="00E16C06" w14:paraId="589779E6" w14:textId="77777777" w:rsidTr="00E16C06">
        <w:trPr>
          <w:trHeight w:val="300"/>
        </w:trPr>
        <w:tc>
          <w:tcPr>
            <w:tcW w:w="3109" w:type="dxa"/>
            <w:noWrap/>
            <w:hideMark/>
          </w:tcPr>
          <w:p w14:paraId="275EDAB2"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Район</w:t>
            </w:r>
          </w:p>
        </w:tc>
        <w:tc>
          <w:tcPr>
            <w:tcW w:w="2693" w:type="dxa"/>
            <w:noWrap/>
            <w:hideMark/>
          </w:tcPr>
          <w:p w14:paraId="7CF8AA57"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Количество ЗУ</w:t>
            </w:r>
          </w:p>
        </w:tc>
        <w:tc>
          <w:tcPr>
            <w:tcW w:w="3544" w:type="dxa"/>
            <w:noWrap/>
            <w:hideMark/>
          </w:tcPr>
          <w:p w14:paraId="6AABB6FA"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Площадь, кв. м.</w:t>
            </w:r>
          </w:p>
        </w:tc>
      </w:tr>
      <w:tr w:rsidR="00E16C06" w:rsidRPr="00E16C06" w14:paraId="4559D705" w14:textId="77777777" w:rsidTr="00E16C06">
        <w:trPr>
          <w:trHeight w:val="300"/>
        </w:trPr>
        <w:tc>
          <w:tcPr>
            <w:tcW w:w="3109" w:type="dxa"/>
            <w:noWrap/>
            <w:hideMark/>
          </w:tcPr>
          <w:p w14:paraId="462C47A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Бобровский</w:t>
            </w:r>
          </w:p>
        </w:tc>
        <w:tc>
          <w:tcPr>
            <w:tcW w:w="2693" w:type="dxa"/>
            <w:noWrap/>
            <w:hideMark/>
          </w:tcPr>
          <w:p w14:paraId="2BC6402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13</w:t>
            </w:r>
          </w:p>
        </w:tc>
        <w:tc>
          <w:tcPr>
            <w:tcW w:w="3544" w:type="dxa"/>
            <w:noWrap/>
            <w:hideMark/>
          </w:tcPr>
          <w:p w14:paraId="6F986B5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1 018 409</w:t>
            </w:r>
          </w:p>
        </w:tc>
      </w:tr>
      <w:tr w:rsidR="00E16C06" w:rsidRPr="00E16C06" w14:paraId="2421EA97" w14:textId="77777777" w:rsidTr="00E16C06">
        <w:trPr>
          <w:trHeight w:val="300"/>
        </w:trPr>
        <w:tc>
          <w:tcPr>
            <w:tcW w:w="3109" w:type="dxa"/>
            <w:noWrap/>
            <w:hideMark/>
          </w:tcPr>
          <w:p w14:paraId="229AB78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Богучарский</w:t>
            </w:r>
          </w:p>
        </w:tc>
        <w:tc>
          <w:tcPr>
            <w:tcW w:w="2693" w:type="dxa"/>
            <w:noWrap/>
            <w:hideMark/>
          </w:tcPr>
          <w:p w14:paraId="247E9DC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13</w:t>
            </w:r>
          </w:p>
        </w:tc>
        <w:tc>
          <w:tcPr>
            <w:tcW w:w="3544" w:type="dxa"/>
            <w:noWrap/>
            <w:hideMark/>
          </w:tcPr>
          <w:p w14:paraId="287824A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68 712 817</w:t>
            </w:r>
          </w:p>
        </w:tc>
      </w:tr>
      <w:tr w:rsidR="00E16C06" w:rsidRPr="00E16C06" w14:paraId="4EB48244" w14:textId="77777777" w:rsidTr="00E16C06">
        <w:trPr>
          <w:trHeight w:val="300"/>
        </w:trPr>
        <w:tc>
          <w:tcPr>
            <w:tcW w:w="3109" w:type="dxa"/>
            <w:noWrap/>
            <w:hideMark/>
          </w:tcPr>
          <w:p w14:paraId="44315BE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Борисоглебский</w:t>
            </w:r>
          </w:p>
        </w:tc>
        <w:tc>
          <w:tcPr>
            <w:tcW w:w="2693" w:type="dxa"/>
            <w:noWrap/>
            <w:hideMark/>
          </w:tcPr>
          <w:p w14:paraId="349E82F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25</w:t>
            </w:r>
          </w:p>
        </w:tc>
        <w:tc>
          <w:tcPr>
            <w:tcW w:w="3544" w:type="dxa"/>
            <w:noWrap/>
            <w:hideMark/>
          </w:tcPr>
          <w:p w14:paraId="4013B28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1 238 838</w:t>
            </w:r>
          </w:p>
        </w:tc>
      </w:tr>
      <w:tr w:rsidR="00E16C06" w:rsidRPr="00E16C06" w14:paraId="25A879C4" w14:textId="77777777" w:rsidTr="00E16C06">
        <w:trPr>
          <w:trHeight w:val="300"/>
        </w:trPr>
        <w:tc>
          <w:tcPr>
            <w:tcW w:w="3109" w:type="dxa"/>
            <w:noWrap/>
            <w:hideMark/>
          </w:tcPr>
          <w:p w14:paraId="7DF63E6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Бутурлиновский</w:t>
            </w:r>
          </w:p>
        </w:tc>
        <w:tc>
          <w:tcPr>
            <w:tcW w:w="2693" w:type="dxa"/>
            <w:noWrap/>
            <w:hideMark/>
          </w:tcPr>
          <w:p w14:paraId="6AC4A4C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w:t>
            </w:r>
          </w:p>
        </w:tc>
        <w:tc>
          <w:tcPr>
            <w:tcW w:w="3544" w:type="dxa"/>
            <w:noWrap/>
            <w:hideMark/>
          </w:tcPr>
          <w:p w14:paraId="14F211F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3 784 666</w:t>
            </w:r>
          </w:p>
        </w:tc>
      </w:tr>
      <w:tr w:rsidR="00E16C06" w:rsidRPr="00E16C06" w14:paraId="3266257C" w14:textId="77777777" w:rsidTr="00E16C06">
        <w:trPr>
          <w:trHeight w:val="300"/>
        </w:trPr>
        <w:tc>
          <w:tcPr>
            <w:tcW w:w="3109" w:type="dxa"/>
            <w:noWrap/>
            <w:hideMark/>
          </w:tcPr>
          <w:p w14:paraId="4B5414C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ГО г. Воронеж</w:t>
            </w:r>
          </w:p>
        </w:tc>
        <w:tc>
          <w:tcPr>
            <w:tcW w:w="2693" w:type="dxa"/>
            <w:noWrap/>
            <w:hideMark/>
          </w:tcPr>
          <w:p w14:paraId="73AE793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w:t>
            </w:r>
          </w:p>
        </w:tc>
        <w:tc>
          <w:tcPr>
            <w:tcW w:w="3544" w:type="dxa"/>
            <w:noWrap/>
            <w:hideMark/>
          </w:tcPr>
          <w:p w14:paraId="076E6D5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8 630</w:t>
            </w:r>
          </w:p>
        </w:tc>
      </w:tr>
      <w:tr w:rsidR="00E16C06" w:rsidRPr="00E16C06" w14:paraId="7AEAB638" w14:textId="77777777" w:rsidTr="00E16C06">
        <w:trPr>
          <w:trHeight w:val="300"/>
        </w:trPr>
        <w:tc>
          <w:tcPr>
            <w:tcW w:w="3109" w:type="dxa"/>
            <w:noWrap/>
            <w:hideMark/>
          </w:tcPr>
          <w:p w14:paraId="13B8CF5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Грибановский</w:t>
            </w:r>
          </w:p>
        </w:tc>
        <w:tc>
          <w:tcPr>
            <w:tcW w:w="2693" w:type="dxa"/>
            <w:noWrap/>
            <w:hideMark/>
          </w:tcPr>
          <w:p w14:paraId="33F695B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w:t>
            </w:r>
          </w:p>
        </w:tc>
        <w:tc>
          <w:tcPr>
            <w:tcW w:w="3544" w:type="dxa"/>
            <w:noWrap/>
            <w:hideMark/>
          </w:tcPr>
          <w:p w14:paraId="15DA834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127 100</w:t>
            </w:r>
          </w:p>
        </w:tc>
      </w:tr>
      <w:tr w:rsidR="00E16C06" w:rsidRPr="00E16C06" w14:paraId="61B623CD" w14:textId="77777777" w:rsidTr="00E16C06">
        <w:trPr>
          <w:trHeight w:val="300"/>
        </w:trPr>
        <w:tc>
          <w:tcPr>
            <w:tcW w:w="3109" w:type="dxa"/>
            <w:noWrap/>
            <w:hideMark/>
          </w:tcPr>
          <w:p w14:paraId="195D7F7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Кантемировский</w:t>
            </w:r>
          </w:p>
        </w:tc>
        <w:tc>
          <w:tcPr>
            <w:tcW w:w="2693" w:type="dxa"/>
            <w:noWrap/>
            <w:hideMark/>
          </w:tcPr>
          <w:p w14:paraId="32F02BF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w:t>
            </w:r>
          </w:p>
        </w:tc>
        <w:tc>
          <w:tcPr>
            <w:tcW w:w="3544" w:type="dxa"/>
            <w:noWrap/>
            <w:hideMark/>
          </w:tcPr>
          <w:p w14:paraId="42D4330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76</w:t>
            </w:r>
          </w:p>
        </w:tc>
      </w:tr>
      <w:tr w:rsidR="00E16C06" w:rsidRPr="00E16C06" w14:paraId="6C8BE559" w14:textId="77777777" w:rsidTr="00E16C06">
        <w:trPr>
          <w:trHeight w:val="300"/>
        </w:trPr>
        <w:tc>
          <w:tcPr>
            <w:tcW w:w="3109" w:type="dxa"/>
            <w:noWrap/>
          </w:tcPr>
          <w:p w14:paraId="2388594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Новоусманский</w:t>
            </w:r>
          </w:p>
        </w:tc>
        <w:tc>
          <w:tcPr>
            <w:tcW w:w="2693" w:type="dxa"/>
            <w:noWrap/>
          </w:tcPr>
          <w:p w14:paraId="40D5983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w:t>
            </w:r>
          </w:p>
        </w:tc>
        <w:tc>
          <w:tcPr>
            <w:tcW w:w="3544" w:type="dxa"/>
            <w:noWrap/>
          </w:tcPr>
          <w:p w14:paraId="5D3C476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142 837</w:t>
            </w:r>
          </w:p>
        </w:tc>
      </w:tr>
      <w:tr w:rsidR="00E16C06" w:rsidRPr="00E16C06" w14:paraId="3EC8C197" w14:textId="77777777" w:rsidTr="00E16C06">
        <w:trPr>
          <w:trHeight w:val="300"/>
        </w:trPr>
        <w:tc>
          <w:tcPr>
            <w:tcW w:w="3109" w:type="dxa"/>
            <w:noWrap/>
          </w:tcPr>
          <w:p w14:paraId="4DEA8A9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Ольховатский</w:t>
            </w:r>
          </w:p>
        </w:tc>
        <w:tc>
          <w:tcPr>
            <w:tcW w:w="2693" w:type="dxa"/>
            <w:noWrap/>
          </w:tcPr>
          <w:p w14:paraId="39D43F2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w:t>
            </w:r>
          </w:p>
        </w:tc>
        <w:tc>
          <w:tcPr>
            <w:tcW w:w="3544" w:type="dxa"/>
            <w:noWrap/>
          </w:tcPr>
          <w:p w14:paraId="1E8711F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3 891 832</w:t>
            </w:r>
          </w:p>
        </w:tc>
      </w:tr>
      <w:tr w:rsidR="00E16C06" w:rsidRPr="00E16C06" w14:paraId="5903447D" w14:textId="77777777" w:rsidTr="00E16C06">
        <w:trPr>
          <w:trHeight w:val="300"/>
        </w:trPr>
        <w:tc>
          <w:tcPr>
            <w:tcW w:w="3109" w:type="dxa"/>
            <w:noWrap/>
          </w:tcPr>
          <w:p w14:paraId="36B792A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Острогожский</w:t>
            </w:r>
          </w:p>
        </w:tc>
        <w:tc>
          <w:tcPr>
            <w:tcW w:w="2693" w:type="dxa"/>
            <w:noWrap/>
          </w:tcPr>
          <w:p w14:paraId="3B82C20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6</w:t>
            </w:r>
          </w:p>
        </w:tc>
        <w:tc>
          <w:tcPr>
            <w:tcW w:w="3544" w:type="dxa"/>
            <w:noWrap/>
          </w:tcPr>
          <w:p w14:paraId="22595AF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2 561 173</w:t>
            </w:r>
          </w:p>
        </w:tc>
      </w:tr>
      <w:tr w:rsidR="00E16C06" w:rsidRPr="00E16C06" w14:paraId="34B82B08" w14:textId="77777777" w:rsidTr="00E16C06">
        <w:trPr>
          <w:trHeight w:val="300"/>
        </w:trPr>
        <w:tc>
          <w:tcPr>
            <w:tcW w:w="3109" w:type="dxa"/>
            <w:noWrap/>
          </w:tcPr>
          <w:p w14:paraId="6D67674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Павловский</w:t>
            </w:r>
          </w:p>
        </w:tc>
        <w:tc>
          <w:tcPr>
            <w:tcW w:w="2693" w:type="dxa"/>
            <w:noWrap/>
          </w:tcPr>
          <w:p w14:paraId="32F29A1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w:t>
            </w:r>
          </w:p>
        </w:tc>
        <w:tc>
          <w:tcPr>
            <w:tcW w:w="3544" w:type="dxa"/>
            <w:noWrap/>
          </w:tcPr>
          <w:p w14:paraId="200D2E5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9 450</w:t>
            </w:r>
          </w:p>
        </w:tc>
      </w:tr>
      <w:tr w:rsidR="00E16C06" w:rsidRPr="00E16C06" w14:paraId="6EF810CD" w14:textId="77777777" w:rsidTr="00E16C06">
        <w:trPr>
          <w:trHeight w:val="300"/>
        </w:trPr>
        <w:tc>
          <w:tcPr>
            <w:tcW w:w="3109" w:type="dxa"/>
            <w:noWrap/>
          </w:tcPr>
          <w:p w14:paraId="1857A0C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Поворинский</w:t>
            </w:r>
          </w:p>
        </w:tc>
        <w:tc>
          <w:tcPr>
            <w:tcW w:w="2693" w:type="dxa"/>
            <w:noWrap/>
          </w:tcPr>
          <w:p w14:paraId="74C0E2F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w:t>
            </w:r>
          </w:p>
        </w:tc>
        <w:tc>
          <w:tcPr>
            <w:tcW w:w="3544" w:type="dxa"/>
            <w:noWrap/>
          </w:tcPr>
          <w:p w14:paraId="26CF04C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3 290</w:t>
            </w:r>
          </w:p>
        </w:tc>
      </w:tr>
      <w:tr w:rsidR="00E16C06" w:rsidRPr="00E16C06" w14:paraId="71DE4173" w14:textId="77777777" w:rsidTr="00E16C06">
        <w:trPr>
          <w:trHeight w:val="300"/>
        </w:trPr>
        <w:tc>
          <w:tcPr>
            <w:tcW w:w="3109" w:type="dxa"/>
            <w:noWrap/>
          </w:tcPr>
          <w:p w14:paraId="3DA96AA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Рамонский</w:t>
            </w:r>
          </w:p>
        </w:tc>
        <w:tc>
          <w:tcPr>
            <w:tcW w:w="2693" w:type="dxa"/>
            <w:noWrap/>
          </w:tcPr>
          <w:p w14:paraId="276C7A8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3</w:t>
            </w:r>
          </w:p>
        </w:tc>
        <w:tc>
          <w:tcPr>
            <w:tcW w:w="3544" w:type="dxa"/>
            <w:noWrap/>
          </w:tcPr>
          <w:p w14:paraId="07A5774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229 000</w:t>
            </w:r>
          </w:p>
        </w:tc>
      </w:tr>
      <w:tr w:rsidR="00E16C06" w:rsidRPr="00E16C06" w14:paraId="282448B0" w14:textId="77777777" w:rsidTr="00E16C06">
        <w:trPr>
          <w:trHeight w:val="300"/>
        </w:trPr>
        <w:tc>
          <w:tcPr>
            <w:tcW w:w="3109" w:type="dxa"/>
            <w:noWrap/>
          </w:tcPr>
          <w:p w14:paraId="7681C45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Семилукский</w:t>
            </w:r>
          </w:p>
        </w:tc>
        <w:tc>
          <w:tcPr>
            <w:tcW w:w="2693" w:type="dxa"/>
            <w:noWrap/>
          </w:tcPr>
          <w:p w14:paraId="6B576A6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w:t>
            </w:r>
          </w:p>
        </w:tc>
        <w:tc>
          <w:tcPr>
            <w:tcW w:w="3544" w:type="dxa"/>
            <w:noWrap/>
          </w:tcPr>
          <w:p w14:paraId="139A791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224 800</w:t>
            </w:r>
          </w:p>
        </w:tc>
      </w:tr>
      <w:tr w:rsidR="00E16C06" w:rsidRPr="00E16C06" w14:paraId="023CC76C" w14:textId="77777777" w:rsidTr="00E16C06">
        <w:trPr>
          <w:trHeight w:val="300"/>
        </w:trPr>
        <w:tc>
          <w:tcPr>
            <w:tcW w:w="3109" w:type="dxa"/>
            <w:noWrap/>
          </w:tcPr>
          <w:p w14:paraId="13055FE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Терновский</w:t>
            </w:r>
          </w:p>
        </w:tc>
        <w:tc>
          <w:tcPr>
            <w:tcW w:w="2693" w:type="dxa"/>
            <w:noWrap/>
          </w:tcPr>
          <w:p w14:paraId="503D043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w:t>
            </w:r>
          </w:p>
        </w:tc>
        <w:tc>
          <w:tcPr>
            <w:tcW w:w="3544" w:type="dxa"/>
            <w:noWrap/>
          </w:tcPr>
          <w:p w14:paraId="4FD6E5D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2 000 905</w:t>
            </w:r>
          </w:p>
        </w:tc>
      </w:tr>
      <w:tr w:rsidR="00E16C06" w:rsidRPr="00E16C06" w14:paraId="03F830F4" w14:textId="77777777" w:rsidTr="00E16C06">
        <w:trPr>
          <w:trHeight w:val="300"/>
        </w:trPr>
        <w:tc>
          <w:tcPr>
            <w:tcW w:w="3109" w:type="dxa"/>
            <w:noWrap/>
          </w:tcPr>
          <w:p w14:paraId="70BB2AE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Хохольский</w:t>
            </w:r>
          </w:p>
        </w:tc>
        <w:tc>
          <w:tcPr>
            <w:tcW w:w="2693" w:type="dxa"/>
            <w:noWrap/>
          </w:tcPr>
          <w:p w14:paraId="576B159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w:t>
            </w:r>
          </w:p>
        </w:tc>
        <w:tc>
          <w:tcPr>
            <w:tcW w:w="3544" w:type="dxa"/>
            <w:noWrap/>
          </w:tcPr>
          <w:p w14:paraId="422797D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14 844</w:t>
            </w:r>
          </w:p>
        </w:tc>
      </w:tr>
      <w:tr w:rsidR="00E16C06" w:rsidRPr="00E16C06" w14:paraId="56C45588" w14:textId="77777777" w:rsidTr="00E16C06">
        <w:trPr>
          <w:trHeight w:val="300"/>
        </w:trPr>
        <w:tc>
          <w:tcPr>
            <w:tcW w:w="3109" w:type="dxa"/>
            <w:noWrap/>
          </w:tcPr>
          <w:p w14:paraId="637AB610" w14:textId="77777777" w:rsidR="00E16C06" w:rsidRPr="00E16C06" w:rsidRDefault="00E16C06" w:rsidP="00E16C06">
            <w:pPr>
              <w:spacing w:line="276" w:lineRule="auto"/>
              <w:contextualSpacing/>
              <w:jc w:val="center"/>
              <w:rPr>
                <w:rFonts w:ascii="Times New Roman" w:eastAsia="Times New Roman" w:hAnsi="Times New Roman" w:cs="Times New Roman"/>
                <w:b/>
                <w:bCs/>
                <w:spacing w:val="-5"/>
                <w:sz w:val="22"/>
                <w:szCs w:val="22"/>
              </w:rPr>
            </w:pPr>
            <w:r w:rsidRPr="00E16C06">
              <w:rPr>
                <w:rFonts w:ascii="Times New Roman" w:hAnsi="Times New Roman" w:cs="Times New Roman"/>
                <w:b/>
                <w:bCs/>
                <w:sz w:val="22"/>
                <w:szCs w:val="22"/>
              </w:rPr>
              <w:t>Общий итог</w:t>
            </w:r>
          </w:p>
        </w:tc>
        <w:tc>
          <w:tcPr>
            <w:tcW w:w="2693" w:type="dxa"/>
            <w:noWrap/>
          </w:tcPr>
          <w:p w14:paraId="75A77134" w14:textId="77777777" w:rsidR="00E16C06" w:rsidRPr="00E16C06" w:rsidRDefault="00E16C06" w:rsidP="00E16C06">
            <w:pPr>
              <w:spacing w:line="276" w:lineRule="auto"/>
              <w:contextualSpacing/>
              <w:jc w:val="center"/>
              <w:rPr>
                <w:rFonts w:ascii="Times New Roman" w:eastAsia="Times New Roman" w:hAnsi="Times New Roman" w:cs="Times New Roman"/>
                <w:b/>
                <w:bCs/>
                <w:spacing w:val="-5"/>
                <w:sz w:val="22"/>
                <w:szCs w:val="22"/>
              </w:rPr>
            </w:pPr>
            <w:r w:rsidRPr="00E16C06">
              <w:rPr>
                <w:rFonts w:ascii="Times New Roman" w:hAnsi="Times New Roman" w:cs="Times New Roman"/>
                <w:b/>
                <w:bCs/>
                <w:sz w:val="22"/>
                <w:szCs w:val="22"/>
              </w:rPr>
              <w:t>75</w:t>
            </w:r>
          </w:p>
        </w:tc>
        <w:tc>
          <w:tcPr>
            <w:tcW w:w="3544" w:type="dxa"/>
            <w:noWrap/>
          </w:tcPr>
          <w:p w14:paraId="33AEDF96" w14:textId="77777777" w:rsidR="00E16C06" w:rsidRPr="00E16C06" w:rsidRDefault="00E16C06" w:rsidP="00E16C06">
            <w:pPr>
              <w:spacing w:line="276" w:lineRule="auto"/>
              <w:contextualSpacing/>
              <w:jc w:val="center"/>
              <w:rPr>
                <w:rFonts w:ascii="Times New Roman" w:eastAsia="Times New Roman" w:hAnsi="Times New Roman" w:cs="Times New Roman"/>
                <w:b/>
                <w:bCs/>
                <w:spacing w:val="-5"/>
                <w:sz w:val="22"/>
                <w:szCs w:val="22"/>
              </w:rPr>
            </w:pPr>
            <w:r w:rsidRPr="00E16C06">
              <w:rPr>
                <w:rFonts w:ascii="Times New Roman" w:hAnsi="Times New Roman" w:cs="Times New Roman"/>
                <w:b/>
                <w:bCs/>
                <w:sz w:val="22"/>
                <w:szCs w:val="22"/>
              </w:rPr>
              <w:t>83 968 667</w:t>
            </w:r>
          </w:p>
        </w:tc>
      </w:tr>
    </w:tbl>
    <w:p w14:paraId="45122CA8" w14:textId="77777777" w:rsidR="00E16C06" w:rsidRPr="00E16C06" w:rsidRDefault="00E16C06" w:rsidP="00E16C06">
      <w:pPr>
        <w:rPr>
          <w:rFonts w:ascii="Times New Roman" w:eastAsia="Times New Roman" w:hAnsi="Times New Roman" w:cs="Times New Roman"/>
          <w:sz w:val="26"/>
          <w:szCs w:val="26"/>
        </w:rPr>
      </w:pPr>
    </w:p>
    <w:p w14:paraId="6547F23C" w14:textId="77777777" w:rsidR="00E16C06" w:rsidRPr="00E16C06" w:rsidRDefault="00E16C06" w:rsidP="00E16C06">
      <w:pPr>
        <w:rPr>
          <w:rFonts w:ascii="Times New Roman" w:eastAsia="Times New Roman" w:hAnsi="Times New Roman" w:cs="Times New Roman"/>
          <w:sz w:val="26"/>
          <w:szCs w:val="26"/>
        </w:rPr>
      </w:pPr>
      <w:r w:rsidRPr="00E16C06">
        <w:rPr>
          <w:rFonts w:ascii="Times New Roman" w:hAnsi="Times New Roman" w:cs="Times New Roman"/>
          <w:noProof/>
          <w:lang w:eastAsia="ru-RU"/>
        </w:rPr>
        <w:drawing>
          <wp:inline distT="0" distB="0" distL="0" distR="0" wp14:anchorId="24A10BA1" wp14:editId="5147F488">
            <wp:extent cx="5940425" cy="4189095"/>
            <wp:effectExtent l="0" t="0" r="3175" b="1905"/>
            <wp:docPr id="603" name="Диаграмма 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1424D366"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color w:val="000000"/>
          <w:sz w:val="26"/>
          <w:szCs w:val="26"/>
          <w:lang w:eastAsia="ru-RU"/>
        </w:rPr>
        <w:t xml:space="preserve">Рис. </w:t>
      </w:r>
      <w:r w:rsidRPr="00E16C06">
        <w:rPr>
          <w:rFonts w:ascii="Times New Roman" w:eastAsia="Times New Roman" w:hAnsi="Times New Roman" w:cs="Times New Roman"/>
          <w:spacing w:val="-5"/>
          <w:sz w:val="26"/>
          <w:szCs w:val="26"/>
        </w:rPr>
        <w:t>3.3.2.17</w:t>
      </w:r>
      <w:r w:rsidRPr="00E16C06">
        <w:rPr>
          <w:rFonts w:ascii="Times New Roman" w:eastAsia="Times New Roman" w:hAnsi="Times New Roman" w:cs="Times New Roman"/>
          <w:color w:val="000000"/>
          <w:sz w:val="26"/>
          <w:szCs w:val="26"/>
          <w:lang w:eastAsia="ru-RU"/>
        </w:rPr>
        <w:t xml:space="preserve"> </w:t>
      </w:r>
      <w:r w:rsidRPr="00E16C06">
        <w:rPr>
          <w:rFonts w:ascii="Times New Roman" w:eastAsia="Times New Roman" w:hAnsi="Times New Roman" w:cs="Times New Roman"/>
          <w:spacing w:val="-5"/>
          <w:sz w:val="26"/>
          <w:szCs w:val="26"/>
        </w:rPr>
        <w:t xml:space="preserve">– Распределение земельных участков, относящихся </w:t>
      </w:r>
    </w:p>
    <w:p w14:paraId="63CE9D3C"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к сегменту 8 «Обеспечение обороны и безопасности», по муниципальным районам Воронежской области</w:t>
      </w:r>
    </w:p>
    <w:p w14:paraId="0872F4F2" w14:textId="77777777" w:rsidR="00E16C06" w:rsidRPr="00E16C06" w:rsidRDefault="00E16C06" w:rsidP="00E16C06">
      <w:pPr>
        <w:spacing w:after="0" w:line="276" w:lineRule="auto"/>
        <w:ind w:firstLine="709"/>
        <w:contextualSpacing/>
        <w:jc w:val="both"/>
        <w:rPr>
          <w:rFonts w:ascii="Times New Roman" w:hAnsi="Times New Roman" w:cs="Times New Roman"/>
          <w:sz w:val="26"/>
          <w:szCs w:val="26"/>
        </w:rPr>
      </w:pPr>
    </w:p>
    <w:p w14:paraId="3D2B9BD7" w14:textId="77777777" w:rsidR="00E16C06" w:rsidRPr="00E16C06" w:rsidRDefault="00E16C06" w:rsidP="00E16C06">
      <w:pPr>
        <w:spacing w:after="0" w:line="276" w:lineRule="auto"/>
        <w:ind w:firstLine="709"/>
        <w:contextualSpacing/>
        <w:jc w:val="both"/>
        <w:rPr>
          <w:rFonts w:ascii="Times New Roman" w:eastAsia="Times New Roman" w:hAnsi="Times New Roman" w:cs="Times New Roman"/>
          <w:color w:val="000000"/>
          <w:sz w:val="26"/>
          <w:szCs w:val="26"/>
          <w:lang w:eastAsia="ru-RU"/>
        </w:rPr>
      </w:pPr>
      <w:r w:rsidRPr="00E16C06">
        <w:rPr>
          <w:rFonts w:ascii="Times New Roman" w:hAnsi="Times New Roman" w:cs="Times New Roman"/>
          <w:sz w:val="26"/>
          <w:szCs w:val="26"/>
        </w:rPr>
        <w:t xml:space="preserve">В соответствии с сегментацией объектов недвижимости с указанием кодов расчета вида использования (приложение № 1 Указаний) 8 сегмент включает в себя коды расчета </w:t>
      </w:r>
      <w:r w:rsidRPr="00E16C06">
        <w:rPr>
          <w:rFonts w:ascii="Times New Roman" w:eastAsia="Times New Roman" w:hAnsi="Times New Roman" w:cs="Times New Roman"/>
          <w:color w:val="000000"/>
          <w:sz w:val="26"/>
          <w:szCs w:val="26"/>
          <w:lang w:eastAsia="ru-RU"/>
        </w:rPr>
        <w:t xml:space="preserve">08:000 и 08:020. </w:t>
      </w:r>
      <w:r w:rsidRPr="00E16C06">
        <w:rPr>
          <w:rFonts w:ascii="Times New Roman" w:hAnsi="Times New Roman" w:cs="Times New Roman"/>
          <w:sz w:val="26"/>
          <w:szCs w:val="26"/>
        </w:rPr>
        <w:t>Распределение земельных участков 8 сегмента по кодам вида использования представлено в таблице 3.3.2.18.</w:t>
      </w:r>
    </w:p>
    <w:p w14:paraId="4D065C39" w14:textId="77777777" w:rsidR="00E16C06" w:rsidRPr="00E16C06" w:rsidRDefault="00E16C06" w:rsidP="00E16C06">
      <w:pPr>
        <w:spacing w:after="0" w:line="276" w:lineRule="auto"/>
        <w:ind w:firstLine="709"/>
        <w:contextualSpacing/>
        <w:jc w:val="right"/>
        <w:rPr>
          <w:rFonts w:ascii="Times New Roman" w:hAnsi="Times New Roman" w:cs="Times New Roman"/>
          <w:sz w:val="26"/>
          <w:szCs w:val="26"/>
        </w:rPr>
      </w:pPr>
      <w:r w:rsidRPr="00E16C06">
        <w:rPr>
          <w:rFonts w:ascii="Times New Roman" w:hAnsi="Times New Roman" w:cs="Times New Roman"/>
          <w:sz w:val="26"/>
          <w:szCs w:val="26"/>
        </w:rPr>
        <w:t xml:space="preserve">Таблица </w:t>
      </w:r>
      <w:r w:rsidRPr="00E16C06">
        <w:rPr>
          <w:rFonts w:ascii="Times New Roman" w:eastAsia="Times New Roman" w:hAnsi="Times New Roman" w:cs="Times New Roman"/>
          <w:spacing w:val="-5"/>
          <w:sz w:val="26"/>
          <w:szCs w:val="26"/>
        </w:rPr>
        <w:t>3.3.2.18</w:t>
      </w:r>
    </w:p>
    <w:p w14:paraId="080CDDBD"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Распределение объектов оценки по кодам расчета вида использования</w:t>
      </w:r>
    </w:p>
    <w:p w14:paraId="70A345C4"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в составе 8 сегмента</w:t>
      </w:r>
    </w:p>
    <w:tbl>
      <w:tblPr>
        <w:tblStyle w:val="ae"/>
        <w:tblW w:w="0" w:type="auto"/>
        <w:tblLook w:val="04A0" w:firstRow="1" w:lastRow="0" w:firstColumn="1" w:lastColumn="0" w:noHBand="0" w:noVBand="1"/>
      </w:tblPr>
      <w:tblGrid>
        <w:gridCol w:w="2547"/>
        <w:gridCol w:w="3683"/>
        <w:gridCol w:w="3115"/>
      </w:tblGrid>
      <w:tr w:rsidR="00E16C06" w:rsidRPr="00E16C06" w14:paraId="3A1C400A" w14:textId="77777777" w:rsidTr="00E16C06">
        <w:tc>
          <w:tcPr>
            <w:tcW w:w="2547" w:type="dxa"/>
            <w:vAlign w:val="center"/>
          </w:tcPr>
          <w:p w14:paraId="42B8738D"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Сегмент</w:t>
            </w:r>
          </w:p>
        </w:tc>
        <w:tc>
          <w:tcPr>
            <w:tcW w:w="3683" w:type="dxa"/>
            <w:vAlign w:val="center"/>
          </w:tcPr>
          <w:p w14:paraId="3935D219"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Код расчета вида использования</w:t>
            </w:r>
          </w:p>
        </w:tc>
        <w:tc>
          <w:tcPr>
            <w:tcW w:w="3115" w:type="dxa"/>
            <w:vAlign w:val="center"/>
          </w:tcPr>
          <w:p w14:paraId="60C9D5CF"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Количество ЗУ</w:t>
            </w:r>
          </w:p>
        </w:tc>
      </w:tr>
      <w:tr w:rsidR="00E16C06" w:rsidRPr="00E16C06" w14:paraId="65689CDC" w14:textId="77777777" w:rsidTr="00E16C06">
        <w:tc>
          <w:tcPr>
            <w:tcW w:w="2547" w:type="dxa"/>
            <w:vMerge w:val="restart"/>
            <w:vAlign w:val="center"/>
          </w:tcPr>
          <w:p w14:paraId="68D1914D"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8</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bottom"/>
          </w:tcPr>
          <w:p w14:paraId="4AC036BA"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08:000</w:t>
            </w:r>
          </w:p>
        </w:tc>
        <w:tc>
          <w:tcPr>
            <w:tcW w:w="3115" w:type="dxa"/>
          </w:tcPr>
          <w:p w14:paraId="4B004BCC"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74</w:t>
            </w:r>
          </w:p>
        </w:tc>
      </w:tr>
      <w:tr w:rsidR="00E16C06" w:rsidRPr="00E16C06" w14:paraId="49545A95" w14:textId="77777777" w:rsidTr="00E16C06">
        <w:tc>
          <w:tcPr>
            <w:tcW w:w="2547" w:type="dxa"/>
            <w:vMerge/>
          </w:tcPr>
          <w:p w14:paraId="79569642" w14:textId="77777777" w:rsidR="00E16C06" w:rsidRPr="00E16C06" w:rsidRDefault="00E16C06" w:rsidP="00E16C06">
            <w:pPr>
              <w:spacing w:line="276" w:lineRule="auto"/>
              <w:contextualSpacing/>
              <w:jc w:val="center"/>
              <w:rPr>
                <w:rFonts w:ascii="Times New Roman" w:hAnsi="Times New Roman" w:cs="Times New Roman"/>
                <w:sz w:val="22"/>
                <w:szCs w:val="22"/>
              </w:rPr>
            </w:pPr>
          </w:p>
        </w:tc>
        <w:tc>
          <w:tcPr>
            <w:tcW w:w="3683" w:type="dxa"/>
            <w:tcBorders>
              <w:top w:val="nil"/>
              <w:left w:val="single" w:sz="4" w:space="0" w:color="auto"/>
              <w:bottom w:val="single" w:sz="4" w:space="0" w:color="auto"/>
              <w:right w:val="single" w:sz="4" w:space="0" w:color="auto"/>
            </w:tcBorders>
            <w:shd w:val="clear" w:color="auto" w:fill="auto"/>
            <w:vAlign w:val="bottom"/>
          </w:tcPr>
          <w:p w14:paraId="09CF693A"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08:020</w:t>
            </w:r>
          </w:p>
        </w:tc>
        <w:tc>
          <w:tcPr>
            <w:tcW w:w="3115" w:type="dxa"/>
          </w:tcPr>
          <w:p w14:paraId="7504844C"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w:t>
            </w:r>
          </w:p>
        </w:tc>
      </w:tr>
      <w:tr w:rsidR="00E16C06" w:rsidRPr="00E16C06" w14:paraId="44C3D02A" w14:textId="77777777" w:rsidTr="00E16C06">
        <w:tc>
          <w:tcPr>
            <w:tcW w:w="2547" w:type="dxa"/>
          </w:tcPr>
          <w:p w14:paraId="4423F373"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Итог</w:t>
            </w:r>
          </w:p>
        </w:tc>
        <w:tc>
          <w:tcPr>
            <w:tcW w:w="3683" w:type="dxa"/>
          </w:tcPr>
          <w:p w14:paraId="323F5D24" w14:textId="77777777" w:rsidR="00E16C06" w:rsidRPr="00E16C06" w:rsidRDefault="00E16C06" w:rsidP="00E16C06">
            <w:pPr>
              <w:spacing w:line="276" w:lineRule="auto"/>
              <w:contextualSpacing/>
              <w:jc w:val="center"/>
              <w:rPr>
                <w:rFonts w:ascii="Times New Roman" w:hAnsi="Times New Roman" w:cs="Times New Roman"/>
                <w:b/>
                <w:sz w:val="22"/>
                <w:szCs w:val="22"/>
              </w:rPr>
            </w:pPr>
          </w:p>
        </w:tc>
        <w:tc>
          <w:tcPr>
            <w:tcW w:w="3115" w:type="dxa"/>
          </w:tcPr>
          <w:p w14:paraId="43E50A2A"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75</w:t>
            </w:r>
          </w:p>
        </w:tc>
      </w:tr>
    </w:tbl>
    <w:p w14:paraId="2715AC1B" w14:textId="77777777" w:rsidR="00E16C06" w:rsidRPr="00E16C06" w:rsidRDefault="00E16C06" w:rsidP="00E16C06">
      <w:pPr>
        <w:rPr>
          <w:rFonts w:ascii="Times New Roman" w:eastAsia="Times New Roman" w:hAnsi="Times New Roman" w:cs="Times New Roman"/>
          <w:sz w:val="26"/>
          <w:szCs w:val="26"/>
        </w:rPr>
      </w:pPr>
      <w:r w:rsidRPr="00E16C06">
        <w:rPr>
          <w:rFonts w:ascii="Times New Roman" w:hAnsi="Times New Roman" w:cs="Times New Roman"/>
          <w:noProof/>
          <w:lang w:eastAsia="ru-RU"/>
        </w:rPr>
        <w:drawing>
          <wp:inline distT="0" distB="0" distL="0" distR="0" wp14:anchorId="507CE577" wp14:editId="627BDAD3">
            <wp:extent cx="5916295" cy="3095625"/>
            <wp:effectExtent l="0" t="0" r="8255" b="9525"/>
            <wp:docPr id="604" name="Диаграмма 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05786147"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 xml:space="preserve">Рис. </w:t>
      </w:r>
      <w:r w:rsidRPr="00E16C06">
        <w:rPr>
          <w:rFonts w:ascii="Times New Roman" w:eastAsia="Times New Roman" w:hAnsi="Times New Roman" w:cs="Times New Roman"/>
          <w:spacing w:val="-5"/>
          <w:sz w:val="26"/>
          <w:szCs w:val="26"/>
        </w:rPr>
        <w:t>3.3.2.18</w:t>
      </w:r>
      <w:r w:rsidRPr="00E16C06">
        <w:rPr>
          <w:rFonts w:ascii="Times New Roman" w:hAnsi="Times New Roman" w:cs="Times New Roman"/>
          <w:sz w:val="26"/>
          <w:szCs w:val="26"/>
        </w:rPr>
        <w:t xml:space="preserve"> </w:t>
      </w:r>
      <w:r w:rsidRPr="00E16C06">
        <w:rPr>
          <w:rFonts w:ascii="Times New Roman" w:eastAsia="Times New Roman" w:hAnsi="Times New Roman" w:cs="Times New Roman"/>
          <w:spacing w:val="-5"/>
          <w:sz w:val="26"/>
          <w:szCs w:val="26"/>
        </w:rPr>
        <w:t xml:space="preserve">– </w:t>
      </w:r>
      <w:r w:rsidRPr="00E16C06">
        <w:rPr>
          <w:rFonts w:ascii="Times New Roman" w:hAnsi="Times New Roman" w:cs="Times New Roman"/>
          <w:sz w:val="26"/>
          <w:szCs w:val="26"/>
        </w:rPr>
        <w:t>Распределение объектов оценки по кодам расчета вида использования в составе 8 сегмента</w:t>
      </w:r>
    </w:p>
    <w:p w14:paraId="76388F9F" w14:textId="77777777" w:rsidR="00E16C06" w:rsidRPr="00E16C06" w:rsidRDefault="00E16C06" w:rsidP="00E16C06">
      <w:pPr>
        <w:spacing w:after="0" w:line="276" w:lineRule="auto"/>
        <w:contextualSpacing/>
        <w:rPr>
          <w:rFonts w:ascii="Times New Roman" w:eastAsia="Times New Roman" w:hAnsi="Times New Roman" w:cs="Times New Roman"/>
          <w:spacing w:val="-5"/>
          <w:sz w:val="26"/>
          <w:szCs w:val="26"/>
        </w:rPr>
      </w:pPr>
    </w:p>
    <w:p w14:paraId="72EAB4C1" w14:textId="77777777" w:rsidR="00E16C06" w:rsidRPr="00E16C06" w:rsidRDefault="00E16C06" w:rsidP="00E16C06">
      <w:pPr>
        <w:spacing w:after="0" w:line="276" w:lineRule="auto"/>
        <w:contextualSpacing/>
        <w:jc w:val="center"/>
        <w:rPr>
          <w:rFonts w:ascii="Times New Roman" w:eastAsia="Times New Roman" w:hAnsi="Times New Roman" w:cs="Times New Roman"/>
          <w:b/>
          <w:i/>
          <w:spacing w:val="-5"/>
          <w:sz w:val="26"/>
          <w:szCs w:val="26"/>
        </w:rPr>
      </w:pPr>
    </w:p>
    <w:p w14:paraId="312542D4"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i/>
          <w:color w:val="000000"/>
          <w:sz w:val="26"/>
          <w:szCs w:val="26"/>
          <w:lang w:eastAsia="ru-RU"/>
        </w:rPr>
      </w:pPr>
      <w:r w:rsidRPr="00E16C06">
        <w:rPr>
          <w:rFonts w:ascii="Times New Roman" w:eastAsia="Times New Roman" w:hAnsi="Times New Roman" w:cs="Times New Roman"/>
          <w:i/>
          <w:spacing w:val="-5"/>
          <w:sz w:val="26"/>
          <w:szCs w:val="26"/>
        </w:rPr>
        <w:t xml:space="preserve">Описание объектов недвижимости </w:t>
      </w:r>
      <w:r w:rsidRPr="00E16C06">
        <w:rPr>
          <w:rFonts w:ascii="Times New Roman" w:eastAsia="Times New Roman" w:hAnsi="Times New Roman" w:cs="Times New Roman"/>
          <w:i/>
          <w:color w:val="000000"/>
          <w:sz w:val="26"/>
          <w:szCs w:val="26"/>
          <w:lang w:eastAsia="ru-RU"/>
        </w:rPr>
        <w:t>9 сегмента «Охраняемые природные территории и благоустройство»</w:t>
      </w:r>
    </w:p>
    <w:p w14:paraId="7D819C73"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color w:val="000000"/>
          <w:sz w:val="26"/>
          <w:szCs w:val="26"/>
          <w:lang w:eastAsia="ru-RU"/>
        </w:rPr>
      </w:pPr>
    </w:p>
    <w:p w14:paraId="705BD505" w14:textId="77777777" w:rsidR="00E16C06" w:rsidRPr="00E16C06" w:rsidRDefault="00E16C06" w:rsidP="00E16C06">
      <w:pPr>
        <w:spacing w:after="0" w:line="276" w:lineRule="auto"/>
        <w:ind w:firstLine="709"/>
        <w:contextualSpacing/>
        <w:jc w:val="both"/>
        <w:rPr>
          <w:rFonts w:ascii="Times New Roman" w:hAnsi="Times New Roman" w:cs="Times New Roman"/>
          <w:color w:val="000000" w:themeColor="text1"/>
          <w:sz w:val="26"/>
          <w:szCs w:val="26"/>
        </w:rPr>
      </w:pPr>
      <w:r w:rsidRPr="00E16C06">
        <w:rPr>
          <w:rFonts w:ascii="Times New Roman" w:hAnsi="Times New Roman" w:cs="Times New Roman"/>
          <w:color w:val="000000" w:themeColor="text1"/>
          <w:sz w:val="26"/>
          <w:szCs w:val="26"/>
        </w:rPr>
        <w:t>Наибольшее количество земельных участков 9 сегмента сосредоточено в Павловском районе – 1964. Наименьшее количество земельных участков 9 сегмента сосредоточено в г. Нововоронеже – 12 объектов.</w:t>
      </w:r>
    </w:p>
    <w:p w14:paraId="0E081ABA" w14:textId="77777777" w:rsidR="00E16C06" w:rsidRPr="00E16C06" w:rsidRDefault="00E16C06" w:rsidP="00E16C06">
      <w:pPr>
        <w:spacing w:after="0" w:line="276" w:lineRule="auto"/>
        <w:contextualSpacing/>
        <w:jc w:val="right"/>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Таблица 3.3.2.19</w:t>
      </w:r>
    </w:p>
    <w:p w14:paraId="67F6196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Распределение земельных участков и площадей, относящихся к сегменту 9 «Охраняемые природные территории и благоустройство», по муниципальным районам Воронежской области</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2552"/>
        <w:gridCol w:w="3827"/>
      </w:tblGrid>
      <w:tr w:rsidR="00E16C06" w:rsidRPr="00E16C06" w14:paraId="4E9B15DC" w14:textId="77777777" w:rsidTr="00E16C06">
        <w:trPr>
          <w:trHeight w:val="300"/>
        </w:trPr>
        <w:tc>
          <w:tcPr>
            <w:tcW w:w="2967" w:type="dxa"/>
            <w:noWrap/>
            <w:vAlign w:val="center"/>
            <w:hideMark/>
          </w:tcPr>
          <w:p w14:paraId="673A4BD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Район</w:t>
            </w:r>
          </w:p>
        </w:tc>
        <w:tc>
          <w:tcPr>
            <w:tcW w:w="2552" w:type="dxa"/>
            <w:noWrap/>
            <w:vAlign w:val="center"/>
            <w:hideMark/>
          </w:tcPr>
          <w:p w14:paraId="427CE18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Количество ЗУ</w:t>
            </w:r>
          </w:p>
        </w:tc>
        <w:tc>
          <w:tcPr>
            <w:tcW w:w="3827" w:type="dxa"/>
            <w:noWrap/>
            <w:vAlign w:val="center"/>
            <w:hideMark/>
          </w:tcPr>
          <w:p w14:paraId="4BE5EBF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Площадь, кв. м.</w:t>
            </w:r>
          </w:p>
        </w:tc>
      </w:tr>
      <w:tr w:rsidR="00E16C06" w:rsidRPr="00E16C06" w14:paraId="7BE639FA" w14:textId="77777777" w:rsidTr="00E16C06">
        <w:trPr>
          <w:trHeight w:val="300"/>
        </w:trPr>
        <w:tc>
          <w:tcPr>
            <w:tcW w:w="2967" w:type="dxa"/>
            <w:shd w:val="clear" w:color="auto" w:fill="auto"/>
            <w:noWrap/>
            <w:hideMark/>
          </w:tcPr>
          <w:p w14:paraId="2EA287A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Аннинский</w:t>
            </w:r>
          </w:p>
        </w:tc>
        <w:tc>
          <w:tcPr>
            <w:tcW w:w="2552" w:type="dxa"/>
            <w:shd w:val="clear" w:color="auto" w:fill="auto"/>
            <w:noWrap/>
            <w:hideMark/>
          </w:tcPr>
          <w:p w14:paraId="2C3B706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289</w:t>
            </w:r>
          </w:p>
        </w:tc>
        <w:tc>
          <w:tcPr>
            <w:tcW w:w="3827" w:type="dxa"/>
            <w:shd w:val="clear" w:color="auto" w:fill="auto"/>
            <w:noWrap/>
            <w:hideMark/>
          </w:tcPr>
          <w:p w14:paraId="7F55067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9 306 082</w:t>
            </w:r>
          </w:p>
        </w:tc>
      </w:tr>
      <w:tr w:rsidR="00E16C06" w:rsidRPr="00E16C06" w14:paraId="2AD5F40B" w14:textId="77777777" w:rsidTr="00E16C06">
        <w:trPr>
          <w:trHeight w:val="300"/>
        </w:trPr>
        <w:tc>
          <w:tcPr>
            <w:tcW w:w="2967" w:type="dxa"/>
            <w:shd w:val="clear" w:color="auto" w:fill="auto"/>
            <w:noWrap/>
            <w:hideMark/>
          </w:tcPr>
          <w:p w14:paraId="4A4B2CE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Бобровский</w:t>
            </w:r>
          </w:p>
        </w:tc>
        <w:tc>
          <w:tcPr>
            <w:tcW w:w="2552" w:type="dxa"/>
            <w:shd w:val="clear" w:color="auto" w:fill="auto"/>
            <w:noWrap/>
            <w:hideMark/>
          </w:tcPr>
          <w:p w14:paraId="4107326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69</w:t>
            </w:r>
          </w:p>
        </w:tc>
        <w:tc>
          <w:tcPr>
            <w:tcW w:w="3827" w:type="dxa"/>
            <w:shd w:val="clear" w:color="auto" w:fill="auto"/>
            <w:noWrap/>
            <w:hideMark/>
          </w:tcPr>
          <w:p w14:paraId="4C24622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720 654</w:t>
            </w:r>
          </w:p>
        </w:tc>
      </w:tr>
      <w:tr w:rsidR="00E16C06" w:rsidRPr="00E16C06" w14:paraId="1D845F01" w14:textId="77777777" w:rsidTr="00E16C06">
        <w:trPr>
          <w:trHeight w:val="300"/>
        </w:trPr>
        <w:tc>
          <w:tcPr>
            <w:tcW w:w="2967" w:type="dxa"/>
            <w:shd w:val="clear" w:color="auto" w:fill="auto"/>
            <w:noWrap/>
            <w:hideMark/>
          </w:tcPr>
          <w:p w14:paraId="6D00123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Богучарский</w:t>
            </w:r>
          </w:p>
        </w:tc>
        <w:tc>
          <w:tcPr>
            <w:tcW w:w="2552" w:type="dxa"/>
            <w:shd w:val="clear" w:color="auto" w:fill="auto"/>
            <w:noWrap/>
            <w:hideMark/>
          </w:tcPr>
          <w:p w14:paraId="36C818C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929</w:t>
            </w:r>
          </w:p>
        </w:tc>
        <w:tc>
          <w:tcPr>
            <w:tcW w:w="3827" w:type="dxa"/>
            <w:shd w:val="clear" w:color="auto" w:fill="auto"/>
            <w:noWrap/>
            <w:hideMark/>
          </w:tcPr>
          <w:p w14:paraId="356C79A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20 352 593</w:t>
            </w:r>
          </w:p>
        </w:tc>
      </w:tr>
      <w:tr w:rsidR="00E16C06" w:rsidRPr="00E16C06" w14:paraId="6804ADF0" w14:textId="77777777" w:rsidTr="00E16C06">
        <w:trPr>
          <w:trHeight w:val="300"/>
        </w:trPr>
        <w:tc>
          <w:tcPr>
            <w:tcW w:w="2967" w:type="dxa"/>
            <w:shd w:val="clear" w:color="auto" w:fill="auto"/>
            <w:noWrap/>
            <w:hideMark/>
          </w:tcPr>
          <w:p w14:paraId="7A3D609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Борисоглебский</w:t>
            </w:r>
          </w:p>
        </w:tc>
        <w:tc>
          <w:tcPr>
            <w:tcW w:w="2552" w:type="dxa"/>
            <w:shd w:val="clear" w:color="auto" w:fill="auto"/>
            <w:noWrap/>
            <w:hideMark/>
          </w:tcPr>
          <w:p w14:paraId="1FAF2F5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18</w:t>
            </w:r>
          </w:p>
        </w:tc>
        <w:tc>
          <w:tcPr>
            <w:tcW w:w="3827" w:type="dxa"/>
            <w:shd w:val="clear" w:color="auto" w:fill="auto"/>
            <w:noWrap/>
            <w:hideMark/>
          </w:tcPr>
          <w:p w14:paraId="1EB6DB3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193 798</w:t>
            </w:r>
          </w:p>
        </w:tc>
      </w:tr>
      <w:tr w:rsidR="00E16C06" w:rsidRPr="00E16C06" w14:paraId="542EEA46" w14:textId="77777777" w:rsidTr="00E16C06">
        <w:trPr>
          <w:trHeight w:val="300"/>
        </w:trPr>
        <w:tc>
          <w:tcPr>
            <w:tcW w:w="2967" w:type="dxa"/>
            <w:shd w:val="clear" w:color="auto" w:fill="auto"/>
            <w:noWrap/>
            <w:hideMark/>
          </w:tcPr>
          <w:p w14:paraId="1691ABA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Бутурлиновский</w:t>
            </w:r>
          </w:p>
        </w:tc>
        <w:tc>
          <w:tcPr>
            <w:tcW w:w="2552" w:type="dxa"/>
            <w:shd w:val="clear" w:color="auto" w:fill="auto"/>
            <w:noWrap/>
            <w:hideMark/>
          </w:tcPr>
          <w:p w14:paraId="6D73DD5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346</w:t>
            </w:r>
          </w:p>
        </w:tc>
        <w:tc>
          <w:tcPr>
            <w:tcW w:w="3827" w:type="dxa"/>
            <w:shd w:val="clear" w:color="auto" w:fill="auto"/>
            <w:noWrap/>
            <w:hideMark/>
          </w:tcPr>
          <w:p w14:paraId="110050F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5 871 920</w:t>
            </w:r>
          </w:p>
        </w:tc>
      </w:tr>
      <w:tr w:rsidR="00E16C06" w:rsidRPr="00E16C06" w14:paraId="43D4FCA8" w14:textId="77777777" w:rsidTr="00E16C06">
        <w:trPr>
          <w:trHeight w:val="300"/>
        </w:trPr>
        <w:tc>
          <w:tcPr>
            <w:tcW w:w="2967" w:type="dxa"/>
            <w:shd w:val="clear" w:color="auto" w:fill="auto"/>
            <w:noWrap/>
            <w:hideMark/>
          </w:tcPr>
          <w:p w14:paraId="26DE516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Верхнемамонский</w:t>
            </w:r>
          </w:p>
        </w:tc>
        <w:tc>
          <w:tcPr>
            <w:tcW w:w="2552" w:type="dxa"/>
            <w:shd w:val="clear" w:color="auto" w:fill="auto"/>
            <w:noWrap/>
            <w:hideMark/>
          </w:tcPr>
          <w:p w14:paraId="39E5AB5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551</w:t>
            </w:r>
          </w:p>
        </w:tc>
        <w:tc>
          <w:tcPr>
            <w:tcW w:w="3827" w:type="dxa"/>
            <w:shd w:val="clear" w:color="auto" w:fill="auto"/>
            <w:noWrap/>
            <w:hideMark/>
          </w:tcPr>
          <w:p w14:paraId="3AEA268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13 446 437</w:t>
            </w:r>
          </w:p>
        </w:tc>
      </w:tr>
      <w:tr w:rsidR="00E16C06" w:rsidRPr="00E16C06" w14:paraId="0DCBDE25" w14:textId="77777777" w:rsidTr="00E16C06">
        <w:trPr>
          <w:trHeight w:val="300"/>
        </w:trPr>
        <w:tc>
          <w:tcPr>
            <w:tcW w:w="2967" w:type="dxa"/>
            <w:shd w:val="clear" w:color="auto" w:fill="auto"/>
            <w:noWrap/>
            <w:hideMark/>
          </w:tcPr>
          <w:p w14:paraId="5CED9D4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Верхнехавский</w:t>
            </w:r>
          </w:p>
        </w:tc>
        <w:tc>
          <w:tcPr>
            <w:tcW w:w="2552" w:type="dxa"/>
            <w:shd w:val="clear" w:color="auto" w:fill="auto"/>
            <w:noWrap/>
            <w:hideMark/>
          </w:tcPr>
          <w:p w14:paraId="22B7D4B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407</w:t>
            </w:r>
          </w:p>
        </w:tc>
        <w:tc>
          <w:tcPr>
            <w:tcW w:w="3827" w:type="dxa"/>
            <w:shd w:val="clear" w:color="auto" w:fill="auto"/>
            <w:noWrap/>
            <w:hideMark/>
          </w:tcPr>
          <w:p w14:paraId="0167FFC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358 983 527</w:t>
            </w:r>
          </w:p>
        </w:tc>
      </w:tr>
      <w:tr w:rsidR="00E16C06" w:rsidRPr="00E16C06" w14:paraId="50FCDD29" w14:textId="77777777" w:rsidTr="00E16C06">
        <w:trPr>
          <w:trHeight w:val="300"/>
        </w:trPr>
        <w:tc>
          <w:tcPr>
            <w:tcW w:w="2967" w:type="dxa"/>
            <w:shd w:val="clear" w:color="auto" w:fill="auto"/>
            <w:noWrap/>
            <w:hideMark/>
          </w:tcPr>
          <w:p w14:paraId="6115E00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Воробьевский</w:t>
            </w:r>
          </w:p>
        </w:tc>
        <w:tc>
          <w:tcPr>
            <w:tcW w:w="2552" w:type="dxa"/>
            <w:shd w:val="clear" w:color="auto" w:fill="auto"/>
            <w:noWrap/>
            <w:hideMark/>
          </w:tcPr>
          <w:p w14:paraId="1F4110F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626</w:t>
            </w:r>
          </w:p>
        </w:tc>
        <w:tc>
          <w:tcPr>
            <w:tcW w:w="3827" w:type="dxa"/>
            <w:shd w:val="clear" w:color="auto" w:fill="auto"/>
            <w:noWrap/>
            <w:hideMark/>
          </w:tcPr>
          <w:p w14:paraId="1E3421A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8 625 432</w:t>
            </w:r>
          </w:p>
        </w:tc>
      </w:tr>
      <w:tr w:rsidR="00E16C06" w:rsidRPr="00E16C06" w14:paraId="0D09EAD9" w14:textId="77777777" w:rsidTr="00E16C06">
        <w:trPr>
          <w:trHeight w:val="300"/>
        </w:trPr>
        <w:tc>
          <w:tcPr>
            <w:tcW w:w="2967" w:type="dxa"/>
            <w:shd w:val="clear" w:color="auto" w:fill="auto"/>
            <w:noWrap/>
            <w:hideMark/>
          </w:tcPr>
          <w:p w14:paraId="0FBD5CA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ГО г. Воронеж</w:t>
            </w:r>
          </w:p>
        </w:tc>
        <w:tc>
          <w:tcPr>
            <w:tcW w:w="2552" w:type="dxa"/>
            <w:shd w:val="clear" w:color="auto" w:fill="auto"/>
            <w:noWrap/>
            <w:hideMark/>
          </w:tcPr>
          <w:p w14:paraId="6E97C4E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791</w:t>
            </w:r>
          </w:p>
        </w:tc>
        <w:tc>
          <w:tcPr>
            <w:tcW w:w="3827" w:type="dxa"/>
            <w:shd w:val="clear" w:color="auto" w:fill="auto"/>
            <w:noWrap/>
            <w:hideMark/>
          </w:tcPr>
          <w:p w14:paraId="4F6912F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14 226 267</w:t>
            </w:r>
          </w:p>
        </w:tc>
      </w:tr>
      <w:tr w:rsidR="00E16C06" w:rsidRPr="00E16C06" w14:paraId="55AF895F" w14:textId="77777777" w:rsidTr="00E16C06">
        <w:trPr>
          <w:trHeight w:val="300"/>
        </w:trPr>
        <w:tc>
          <w:tcPr>
            <w:tcW w:w="2967" w:type="dxa"/>
            <w:shd w:val="clear" w:color="auto" w:fill="auto"/>
            <w:noWrap/>
            <w:hideMark/>
          </w:tcPr>
          <w:p w14:paraId="50833B2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ГО Нововоронеж</w:t>
            </w:r>
          </w:p>
        </w:tc>
        <w:tc>
          <w:tcPr>
            <w:tcW w:w="2552" w:type="dxa"/>
            <w:shd w:val="clear" w:color="auto" w:fill="auto"/>
            <w:noWrap/>
            <w:hideMark/>
          </w:tcPr>
          <w:p w14:paraId="558058F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w:t>
            </w:r>
          </w:p>
        </w:tc>
        <w:tc>
          <w:tcPr>
            <w:tcW w:w="3827" w:type="dxa"/>
            <w:shd w:val="clear" w:color="auto" w:fill="auto"/>
            <w:noWrap/>
            <w:hideMark/>
          </w:tcPr>
          <w:p w14:paraId="37E134B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289 418</w:t>
            </w:r>
          </w:p>
        </w:tc>
      </w:tr>
      <w:tr w:rsidR="00E16C06" w:rsidRPr="00E16C06" w14:paraId="7BDEC50A" w14:textId="77777777" w:rsidTr="00E16C06">
        <w:trPr>
          <w:trHeight w:val="300"/>
        </w:trPr>
        <w:tc>
          <w:tcPr>
            <w:tcW w:w="2967" w:type="dxa"/>
            <w:shd w:val="clear" w:color="auto" w:fill="auto"/>
            <w:noWrap/>
            <w:hideMark/>
          </w:tcPr>
          <w:p w14:paraId="4A35F34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Грибановский</w:t>
            </w:r>
          </w:p>
        </w:tc>
        <w:tc>
          <w:tcPr>
            <w:tcW w:w="2552" w:type="dxa"/>
            <w:shd w:val="clear" w:color="auto" w:fill="auto"/>
            <w:noWrap/>
            <w:hideMark/>
          </w:tcPr>
          <w:p w14:paraId="12C1D41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440</w:t>
            </w:r>
          </w:p>
        </w:tc>
        <w:tc>
          <w:tcPr>
            <w:tcW w:w="3827" w:type="dxa"/>
            <w:shd w:val="clear" w:color="auto" w:fill="auto"/>
            <w:noWrap/>
            <w:hideMark/>
          </w:tcPr>
          <w:p w14:paraId="30F32BA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43 603 981</w:t>
            </w:r>
          </w:p>
        </w:tc>
      </w:tr>
      <w:tr w:rsidR="00E16C06" w:rsidRPr="00E16C06" w14:paraId="0B21400B" w14:textId="77777777" w:rsidTr="00E16C06">
        <w:trPr>
          <w:trHeight w:val="300"/>
        </w:trPr>
        <w:tc>
          <w:tcPr>
            <w:tcW w:w="2967" w:type="dxa"/>
            <w:shd w:val="clear" w:color="auto" w:fill="auto"/>
            <w:noWrap/>
            <w:hideMark/>
          </w:tcPr>
          <w:p w14:paraId="2C39F7E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Калачеевский</w:t>
            </w:r>
          </w:p>
        </w:tc>
        <w:tc>
          <w:tcPr>
            <w:tcW w:w="2552" w:type="dxa"/>
            <w:shd w:val="clear" w:color="auto" w:fill="auto"/>
            <w:noWrap/>
            <w:hideMark/>
          </w:tcPr>
          <w:p w14:paraId="46E77EA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478</w:t>
            </w:r>
          </w:p>
        </w:tc>
        <w:tc>
          <w:tcPr>
            <w:tcW w:w="3827" w:type="dxa"/>
            <w:shd w:val="clear" w:color="auto" w:fill="auto"/>
            <w:noWrap/>
            <w:hideMark/>
          </w:tcPr>
          <w:p w14:paraId="39F1C50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11 023 178</w:t>
            </w:r>
          </w:p>
        </w:tc>
      </w:tr>
      <w:tr w:rsidR="00E16C06" w:rsidRPr="00E16C06" w14:paraId="69AB29E0" w14:textId="77777777" w:rsidTr="00E16C06">
        <w:trPr>
          <w:trHeight w:val="300"/>
        </w:trPr>
        <w:tc>
          <w:tcPr>
            <w:tcW w:w="2967" w:type="dxa"/>
            <w:shd w:val="clear" w:color="auto" w:fill="auto"/>
            <w:noWrap/>
            <w:hideMark/>
          </w:tcPr>
          <w:p w14:paraId="15A2A1F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Каменский</w:t>
            </w:r>
          </w:p>
        </w:tc>
        <w:tc>
          <w:tcPr>
            <w:tcW w:w="2552" w:type="dxa"/>
            <w:shd w:val="clear" w:color="auto" w:fill="auto"/>
            <w:noWrap/>
            <w:hideMark/>
          </w:tcPr>
          <w:p w14:paraId="1B2B5A0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397</w:t>
            </w:r>
          </w:p>
        </w:tc>
        <w:tc>
          <w:tcPr>
            <w:tcW w:w="3827" w:type="dxa"/>
            <w:shd w:val="clear" w:color="auto" w:fill="auto"/>
            <w:noWrap/>
            <w:hideMark/>
          </w:tcPr>
          <w:p w14:paraId="69291F8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5 286 305</w:t>
            </w:r>
          </w:p>
        </w:tc>
      </w:tr>
      <w:tr w:rsidR="00E16C06" w:rsidRPr="00E16C06" w14:paraId="0D0E6FA5" w14:textId="77777777" w:rsidTr="00E16C06">
        <w:trPr>
          <w:trHeight w:val="300"/>
        </w:trPr>
        <w:tc>
          <w:tcPr>
            <w:tcW w:w="2967" w:type="dxa"/>
            <w:shd w:val="clear" w:color="auto" w:fill="auto"/>
            <w:noWrap/>
            <w:hideMark/>
          </w:tcPr>
          <w:p w14:paraId="66725A2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Кантемировский</w:t>
            </w:r>
          </w:p>
        </w:tc>
        <w:tc>
          <w:tcPr>
            <w:tcW w:w="2552" w:type="dxa"/>
            <w:shd w:val="clear" w:color="auto" w:fill="auto"/>
            <w:noWrap/>
            <w:hideMark/>
          </w:tcPr>
          <w:p w14:paraId="4BFA6E7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630</w:t>
            </w:r>
          </w:p>
        </w:tc>
        <w:tc>
          <w:tcPr>
            <w:tcW w:w="3827" w:type="dxa"/>
            <w:shd w:val="clear" w:color="auto" w:fill="auto"/>
            <w:noWrap/>
            <w:hideMark/>
          </w:tcPr>
          <w:p w14:paraId="616C268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13 774 252</w:t>
            </w:r>
          </w:p>
        </w:tc>
      </w:tr>
      <w:tr w:rsidR="00E16C06" w:rsidRPr="00E16C06" w14:paraId="71B9718F" w14:textId="77777777" w:rsidTr="00E16C06">
        <w:trPr>
          <w:trHeight w:val="300"/>
        </w:trPr>
        <w:tc>
          <w:tcPr>
            <w:tcW w:w="2967" w:type="dxa"/>
            <w:shd w:val="clear" w:color="auto" w:fill="auto"/>
            <w:noWrap/>
            <w:hideMark/>
          </w:tcPr>
          <w:p w14:paraId="7DDDD0A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Каширский</w:t>
            </w:r>
          </w:p>
        </w:tc>
        <w:tc>
          <w:tcPr>
            <w:tcW w:w="2552" w:type="dxa"/>
            <w:shd w:val="clear" w:color="auto" w:fill="auto"/>
            <w:noWrap/>
            <w:hideMark/>
          </w:tcPr>
          <w:p w14:paraId="419B5E7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282</w:t>
            </w:r>
          </w:p>
        </w:tc>
        <w:tc>
          <w:tcPr>
            <w:tcW w:w="3827" w:type="dxa"/>
            <w:shd w:val="clear" w:color="auto" w:fill="auto"/>
            <w:noWrap/>
            <w:hideMark/>
          </w:tcPr>
          <w:p w14:paraId="0084623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4 720 012</w:t>
            </w:r>
          </w:p>
        </w:tc>
      </w:tr>
      <w:tr w:rsidR="00E16C06" w:rsidRPr="00E16C06" w14:paraId="2156CF54" w14:textId="77777777" w:rsidTr="00E16C06">
        <w:trPr>
          <w:trHeight w:val="300"/>
        </w:trPr>
        <w:tc>
          <w:tcPr>
            <w:tcW w:w="2967" w:type="dxa"/>
            <w:shd w:val="clear" w:color="auto" w:fill="auto"/>
            <w:noWrap/>
            <w:hideMark/>
          </w:tcPr>
          <w:p w14:paraId="72466C0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Лискинский</w:t>
            </w:r>
          </w:p>
        </w:tc>
        <w:tc>
          <w:tcPr>
            <w:tcW w:w="2552" w:type="dxa"/>
            <w:shd w:val="clear" w:color="auto" w:fill="auto"/>
            <w:noWrap/>
            <w:hideMark/>
          </w:tcPr>
          <w:p w14:paraId="12AABE9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670</w:t>
            </w:r>
          </w:p>
        </w:tc>
        <w:tc>
          <w:tcPr>
            <w:tcW w:w="3827" w:type="dxa"/>
            <w:shd w:val="clear" w:color="auto" w:fill="auto"/>
            <w:noWrap/>
            <w:hideMark/>
          </w:tcPr>
          <w:p w14:paraId="3B5E079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17 752 523</w:t>
            </w:r>
          </w:p>
        </w:tc>
      </w:tr>
      <w:tr w:rsidR="00E16C06" w:rsidRPr="00E16C06" w14:paraId="5FD1790F" w14:textId="77777777" w:rsidTr="00E16C06">
        <w:trPr>
          <w:trHeight w:val="300"/>
        </w:trPr>
        <w:tc>
          <w:tcPr>
            <w:tcW w:w="2967" w:type="dxa"/>
            <w:shd w:val="clear" w:color="auto" w:fill="auto"/>
            <w:noWrap/>
            <w:hideMark/>
          </w:tcPr>
          <w:p w14:paraId="1A5C935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Нижнедевицкий</w:t>
            </w:r>
          </w:p>
        </w:tc>
        <w:tc>
          <w:tcPr>
            <w:tcW w:w="2552" w:type="dxa"/>
            <w:shd w:val="clear" w:color="auto" w:fill="auto"/>
            <w:noWrap/>
            <w:hideMark/>
          </w:tcPr>
          <w:p w14:paraId="6C8C876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216</w:t>
            </w:r>
          </w:p>
        </w:tc>
        <w:tc>
          <w:tcPr>
            <w:tcW w:w="3827" w:type="dxa"/>
            <w:shd w:val="clear" w:color="auto" w:fill="auto"/>
            <w:noWrap/>
            <w:hideMark/>
          </w:tcPr>
          <w:p w14:paraId="663379B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5 074 172</w:t>
            </w:r>
          </w:p>
        </w:tc>
      </w:tr>
      <w:tr w:rsidR="00E16C06" w:rsidRPr="00E16C06" w14:paraId="21F909B3" w14:textId="77777777" w:rsidTr="00E16C06">
        <w:trPr>
          <w:trHeight w:val="300"/>
        </w:trPr>
        <w:tc>
          <w:tcPr>
            <w:tcW w:w="2967" w:type="dxa"/>
            <w:shd w:val="clear" w:color="auto" w:fill="auto"/>
            <w:noWrap/>
            <w:hideMark/>
          </w:tcPr>
          <w:p w14:paraId="021E1FE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Новоусманский</w:t>
            </w:r>
          </w:p>
        </w:tc>
        <w:tc>
          <w:tcPr>
            <w:tcW w:w="2552" w:type="dxa"/>
            <w:shd w:val="clear" w:color="auto" w:fill="auto"/>
            <w:noWrap/>
            <w:hideMark/>
          </w:tcPr>
          <w:p w14:paraId="58BA802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195</w:t>
            </w:r>
          </w:p>
        </w:tc>
        <w:tc>
          <w:tcPr>
            <w:tcW w:w="3827" w:type="dxa"/>
            <w:shd w:val="clear" w:color="auto" w:fill="auto"/>
            <w:noWrap/>
            <w:hideMark/>
          </w:tcPr>
          <w:p w14:paraId="05D39B4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2 195 006</w:t>
            </w:r>
          </w:p>
        </w:tc>
      </w:tr>
      <w:tr w:rsidR="00E16C06" w:rsidRPr="00E16C06" w14:paraId="261632B0" w14:textId="77777777" w:rsidTr="00E16C06">
        <w:trPr>
          <w:trHeight w:val="300"/>
        </w:trPr>
        <w:tc>
          <w:tcPr>
            <w:tcW w:w="2967" w:type="dxa"/>
            <w:shd w:val="clear" w:color="auto" w:fill="auto"/>
            <w:noWrap/>
            <w:hideMark/>
          </w:tcPr>
          <w:p w14:paraId="69F5EB1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Новохоперский</w:t>
            </w:r>
          </w:p>
        </w:tc>
        <w:tc>
          <w:tcPr>
            <w:tcW w:w="2552" w:type="dxa"/>
            <w:shd w:val="clear" w:color="auto" w:fill="auto"/>
            <w:noWrap/>
            <w:hideMark/>
          </w:tcPr>
          <w:p w14:paraId="1A49EEF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127</w:t>
            </w:r>
          </w:p>
        </w:tc>
        <w:tc>
          <w:tcPr>
            <w:tcW w:w="3827" w:type="dxa"/>
            <w:shd w:val="clear" w:color="auto" w:fill="auto"/>
            <w:noWrap/>
            <w:hideMark/>
          </w:tcPr>
          <w:p w14:paraId="2161200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53 001 363</w:t>
            </w:r>
          </w:p>
        </w:tc>
      </w:tr>
      <w:tr w:rsidR="00E16C06" w:rsidRPr="00E16C06" w14:paraId="0A3DBB8B" w14:textId="77777777" w:rsidTr="00E16C06">
        <w:trPr>
          <w:trHeight w:val="300"/>
        </w:trPr>
        <w:tc>
          <w:tcPr>
            <w:tcW w:w="2967" w:type="dxa"/>
            <w:shd w:val="clear" w:color="auto" w:fill="auto"/>
            <w:noWrap/>
            <w:hideMark/>
          </w:tcPr>
          <w:p w14:paraId="3CA35FB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Ольховатский</w:t>
            </w:r>
          </w:p>
        </w:tc>
        <w:tc>
          <w:tcPr>
            <w:tcW w:w="2552" w:type="dxa"/>
            <w:shd w:val="clear" w:color="auto" w:fill="auto"/>
            <w:noWrap/>
            <w:hideMark/>
          </w:tcPr>
          <w:p w14:paraId="629C61F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294</w:t>
            </w:r>
          </w:p>
        </w:tc>
        <w:tc>
          <w:tcPr>
            <w:tcW w:w="3827" w:type="dxa"/>
            <w:shd w:val="clear" w:color="auto" w:fill="auto"/>
            <w:noWrap/>
            <w:hideMark/>
          </w:tcPr>
          <w:p w14:paraId="2466790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4 594 499</w:t>
            </w:r>
          </w:p>
        </w:tc>
      </w:tr>
      <w:tr w:rsidR="00E16C06" w:rsidRPr="00E16C06" w14:paraId="2C534BE2" w14:textId="77777777" w:rsidTr="00E16C06">
        <w:trPr>
          <w:trHeight w:val="300"/>
        </w:trPr>
        <w:tc>
          <w:tcPr>
            <w:tcW w:w="2967" w:type="dxa"/>
            <w:shd w:val="clear" w:color="auto" w:fill="auto"/>
            <w:noWrap/>
            <w:hideMark/>
          </w:tcPr>
          <w:p w14:paraId="7D50673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Острогожский</w:t>
            </w:r>
          </w:p>
        </w:tc>
        <w:tc>
          <w:tcPr>
            <w:tcW w:w="2552" w:type="dxa"/>
            <w:shd w:val="clear" w:color="auto" w:fill="auto"/>
            <w:noWrap/>
            <w:hideMark/>
          </w:tcPr>
          <w:p w14:paraId="10955B4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783</w:t>
            </w:r>
          </w:p>
        </w:tc>
        <w:tc>
          <w:tcPr>
            <w:tcW w:w="3827" w:type="dxa"/>
            <w:shd w:val="clear" w:color="auto" w:fill="auto"/>
            <w:noWrap/>
            <w:hideMark/>
          </w:tcPr>
          <w:p w14:paraId="4CDBEE5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19 368 123</w:t>
            </w:r>
          </w:p>
        </w:tc>
      </w:tr>
      <w:tr w:rsidR="00E16C06" w:rsidRPr="00E16C06" w14:paraId="40E4ECFB" w14:textId="77777777" w:rsidTr="00E16C06">
        <w:trPr>
          <w:trHeight w:val="300"/>
        </w:trPr>
        <w:tc>
          <w:tcPr>
            <w:tcW w:w="2967" w:type="dxa"/>
            <w:shd w:val="clear" w:color="auto" w:fill="auto"/>
            <w:noWrap/>
            <w:hideMark/>
          </w:tcPr>
          <w:p w14:paraId="1292F37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Павловский</w:t>
            </w:r>
          </w:p>
        </w:tc>
        <w:tc>
          <w:tcPr>
            <w:tcW w:w="2552" w:type="dxa"/>
            <w:shd w:val="clear" w:color="auto" w:fill="auto"/>
            <w:noWrap/>
            <w:hideMark/>
          </w:tcPr>
          <w:p w14:paraId="2A94132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1964</w:t>
            </w:r>
          </w:p>
        </w:tc>
        <w:tc>
          <w:tcPr>
            <w:tcW w:w="3827" w:type="dxa"/>
            <w:shd w:val="clear" w:color="auto" w:fill="auto"/>
            <w:noWrap/>
            <w:hideMark/>
          </w:tcPr>
          <w:p w14:paraId="0DB0562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27 446 311</w:t>
            </w:r>
          </w:p>
        </w:tc>
      </w:tr>
      <w:tr w:rsidR="00E16C06" w:rsidRPr="00E16C06" w14:paraId="4EE1BBB7" w14:textId="77777777" w:rsidTr="00E16C06">
        <w:trPr>
          <w:trHeight w:val="300"/>
        </w:trPr>
        <w:tc>
          <w:tcPr>
            <w:tcW w:w="2967" w:type="dxa"/>
            <w:shd w:val="clear" w:color="auto" w:fill="auto"/>
            <w:noWrap/>
            <w:hideMark/>
          </w:tcPr>
          <w:p w14:paraId="29642D7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Панинский</w:t>
            </w:r>
          </w:p>
        </w:tc>
        <w:tc>
          <w:tcPr>
            <w:tcW w:w="2552" w:type="dxa"/>
            <w:shd w:val="clear" w:color="auto" w:fill="auto"/>
            <w:noWrap/>
            <w:hideMark/>
          </w:tcPr>
          <w:p w14:paraId="0331886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241</w:t>
            </w:r>
          </w:p>
        </w:tc>
        <w:tc>
          <w:tcPr>
            <w:tcW w:w="3827" w:type="dxa"/>
            <w:shd w:val="clear" w:color="auto" w:fill="auto"/>
            <w:noWrap/>
            <w:hideMark/>
          </w:tcPr>
          <w:p w14:paraId="1E4B6EA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11 438 415</w:t>
            </w:r>
          </w:p>
        </w:tc>
      </w:tr>
      <w:tr w:rsidR="00E16C06" w:rsidRPr="00E16C06" w14:paraId="65E368D6" w14:textId="77777777" w:rsidTr="00E16C06">
        <w:trPr>
          <w:trHeight w:val="300"/>
        </w:trPr>
        <w:tc>
          <w:tcPr>
            <w:tcW w:w="2967" w:type="dxa"/>
            <w:shd w:val="clear" w:color="auto" w:fill="auto"/>
            <w:noWrap/>
            <w:hideMark/>
          </w:tcPr>
          <w:p w14:paraId="44EB364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Петропавловский</w:t>
            </w:r>
          </w:p>
        </w:tc>
        <w:tc>
          <w:tcPr>
            <w:tcW w:w="2552" w:type="dxa"/>
            <w:shd w:val="clear" w:color="auto" w:fill="auto"/>
            <w:noWrap/>
            <w:hideMark/>
          </w:tcPr>
          <w:p w14:paraId="0E8EBAC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630</w:t>
            </w:r>
          </w:p>
        </w:tc>
        <w:tc>
          <w:tcPr>
            <w:tcW w:w="3827" w:type="dxa"/>
            <w:shd w:val="clear" w:color="auto" w:fill="auto"/>
            <w:noWrap/>
            <w:hideMark/>
          </w:tcPr>
          <w:p w14:paraId="14A054D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27 009 745</w:t>
            </w:r>
          </w:p>
        </w:tc>
      </w:tr>
      <w:tr w:rsidR="00E16C06" w:rsidRPr="00E16C06" w14:paraId="317BA322" w14:textId="77777777" w:rsidTr="00E16C06">
        <w:trPr>
          <w:trHeight w:val="300"/>
        </w:trPr>
        <w:tc>
          <w:tcPr>
            <w:tcW w:w="2967" w:type="dxa"/>
            <w:shd w:val="clear" w:color="auto" w:fill="auto"/>
            <w:noWrap/>
            <w:hideMark/>
          </w:tcPr>
          <w:p w14:paraId="6039C47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Поворинский</w:t>
            </w:r>
          </w:p>
        </w:tc>
        <w:tc>
          <w:tcPr>
            <w:tcW w:w="2552" w:type="dxa"/>
            <w:shd w:val="clear" w:color="auto" w:fill="auto"/>
            <w:noWrap/>
            <w:hideMark/>
          </w:tcPr>
          <w:p w14:paraId="2331EFB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145</w:t>
            </w:r>
          </w:p>
        </w:tc>
        <w:tc>
          <w:tcPr>
            <w:tcW w:w="3827" w:type="dxa"/>
            <w:shd w:val="clear" w:color="auto" w:fill="auto"/>
            <w:noWrap/>
            <w:hideMark/>
          </w:tcPr>
          <w:p w14:paraId="4DC59F4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4 376 527</w:t>
            </w:r>
          </w:p>
        </w:tc>
      </w:tr>
      <w:tr w:rsidR="00E16C06" w:rsidRPr="00E16C06" w14:paraId="2D60BF33" w14:textId="77777777" w:rsidTr="00E16C06">
        <w:trPr>
          <w:trHeight w:val="300"/>
        </w:trPr>
        <w:tc>
          <w:tcPr>
            <w:tcW w:w="2967" w:type="dxa"/>
            <w:shd w:val="clear" w:color="auto" w:fill="auto"/>
            <w:noWrap/>
            <w:hideMark/>
          </w:tcPr>
          <w:p w14:paraId="6F2E285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Подгоренский</w:t>
            </w:r>
          </w:p>
        </w:tc>
        <w:tc>
          <w:tcPr>
            <w:tcW w:w="2552" w:type="dxa"/>
            <w:shd w:val="clear" w:color="auto" w:fill="auto"/>
            <w:noWrap/>
            <w:hideMark/>
          </w:tcPr>
          <w:p w14:paraId="58CF6FE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739</w:t>
            </w:r>
          </w:p>
        </w:tc>
        <w:tc>
          <w:tcPr>
            <w:tcW w:w="3827" w:type="dxa"/>
            <w:shd w:val="clear" w:color="auto" w:fill="auto"/>
            <w:noWrap/>
            <w:hideMark/>
          </w:tcPr>
          <w:p w14:paraId="290484A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13 526 602</w:t>
            </w:r>
          </w:p>
        </w:tc>
      </w:tr>
      <w:tr w:rsidR="00E16C06" w:rsidRPr="00E16C06" w14:paraId="37A9822E" w14:textId="77777777" w:rsidTr="00E16C06">
        <w:trPr>
          <w:trHeight w:val="300"/>
        </w:trPr>
        <w:tc>
          <w:tcPr>
            <w:tcW w:w="2967" w:type="dxa"/>
            <w:shd w:val="clear" w:color="auto" w:fill="auto"/>
            <w:noWrap/>
            <w:hideMark/>
          </w:tcPr>
          <w:p w14:paraId="7393CF8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Рамонский</w:t>
            </w:r>
          </w:p>
        </w:tc>
        <w:tc>
          <w:tcPr>
            <w:tcW w:w="2552" w:type="dxa"/>
            <w:shd w:val="clear" w:color="auto" w:fill="auto"/>
            <w:noWrap/>
            <w:hideMark/>
          </w:tcPr>
          <w:p w14:paraId="088D839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294</w:t>
            </w:r>
          </w:p>
        </w:tc>
        <w:tc>
          <w:tcPr>
            <w:tcW w:w="3827" w:type="dxa"/>
            <w:shd w:val="clear" w:color="auto" w:fill="auto"/>
            <w:noWrap/>
            <w:hideMark/>
          </w:tcPr>
          <w:p w14:paraId="37FE73B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2 656 831</w:t>
            </w:r>
          </w:p>
        </w:tc>
      </w:tr>
      <w:tr w:rsidR="00E16C06" w:rsidRPr="00E16C06" w14:paraId="6C0AE86A" w14:textId="77777777" w:rsidTr="00E16C06">
        <w:trPr>
          <w:trHeight w:val="300"/>
        </w:trPr>
        <w:tc>
          <w:tcPr>
            <w:tcW w:w="2967" w:type="dxa"/>
            <w:shd w:val="clear" w:color="auto" w:fill="auto"/>
            <w:noWrap/>
            <w:hideMark/>
          </w:tcPr>
          <w:p w14:paraId="7CF3E49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Репьевский</w:t>
            </w:r>
          </w:p>
        </w:tc>
        <w:tc>
          <w:tcPr>
            <w:tcW w:w="2552" w:type="dxa"/>
            <w:shd w:val="clear" w:color="auto" w:fill="auto"/>
            <w:noWrap/>
            <w:hideMark/>
          </w:tcPr>
          <w:p w14:paraId="33966D4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107</w:t>
            </w:r>
          </w:p>
        </w:tc>
        <w:tc>
          <w:tcPr>
            <w:tcW w:w="3827" w:type="dxa"/>
            <w:shd w:val="clear" w:color="auto" w:fill="auto"/>
            <w:noWrap/>
            <w:hideMark/>
          </w:tcPr>
          <w:p w14:paraId="2CEBC5A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3 928 240</w:t>
            </w:r>
          </w:p>
        </w:tc>
      </w:tr>
      <w:tr w:rsidR="00E16C06" w:rsidRPr="00E16C06" w14:paraId="2F26B030" w14:textId="77777777" w:rsidTr="00E16C06">
        <w:trPr>
          <w:trHeight w:val="300"/>
        </w:trPr>
        <w:tc>
          <w:tcPr>
            <w:tcW w:w="2967" w:type="dxa"/>
            <w:shd w:val="clear" w:color="auto" w:fill="auto"/>
            <w:noWrap/>
            <w:hideMark/>
          </w:tcPr>
          <w:p w14:paraId="79832CA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Россошанский</w:t>
            </w:r>
          </w:p>
        </w:tc>
        <w:tc>
          <w:tcPr>
            <w:tcW w:w="2552" w:type="dxa"/>
            <w:shd w:val="clear" w:color="auto" w:fill="auto"/>
            <w:noWrap/>
            <w:hideMark/>
          </w:tcPr>
          <w:p w14:paraId="3855168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1057</w:t>
            </w:r>
          </w:p>
        </w:tc>
        <w:tc>
          <w:tcPr>
            <w:tcW w:w="3827" w:type="dxa"/>
            <w:shd w:val="clear" w:color="auto" w:fill="auto"/>
            <w:noWrap/>
            <w:hideMark/>
          </w:tcPr>
          <w:p w14:paraId="334D14E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23 528 673</w:t>
            </w:r>
          </w:p>
        </w:tc>
      </w:tr>
      <w:tr w:rsidR="00E16C06" w:rsidRPr="00E16C06" w14:paraId="2FF92B24" w14:textId="77777777" w:rsidTr="00E16C06">
        <w:trPr>
          <w:trHeight w:val="300"/>
        </w:trPr>
        <w:tc>
          <w:tcPr>
            <w:tcW w:w="2967" w:type="dxa"/>
            <w:shd w:val="clear" w:color="auto" w:fill="auto"/>
            <w:noWrap/>
            <w:hideMark/>
          </w:tcPr>
          <w:p w14:paraId="7A4200F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Семилукский</w:t>
            </w:r>
          </w:p>
        </w:tc>
        <w:tc>
          <w:tcPr>
            <w:tcW w:w="2552" w:type="dxa"/>
            <w:shd w:val="clear" w:color="auto" w:fill="auto"/>
            <w:noWrap/>
            <w:hideMark/>
          </w:tcPr>
          <w:p w14:paraId="512C1AA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312</w:t>
            </w:r>
          </w:p>
        </w:tc>
        <w:tc>
          <w:tcPr>
            <w:tcW w:w="3827" w:type="dxa"/>
            <w:shd w:val="clear" w:color="auto" w:fill="auto"/>
            <w:noWrap/>
            <w:hideMark/>
          </w:tcPr>
          <w:p w14:paraId="2406B27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4 190 288</w:t>
            </w:r>
          </w:p>
        </w:tc>
      </w:tr>
      <w:tr w:rsidR="00E16C06" w:rsidRPr="00E16C06" w14:paraId="19D88F34" w14:textId="77777777" w:rsidTr="00E16C06">
        <w:trPr>
          <w:trHeight w:val="300"/>
        </w:trPr>
        <w:tc>
          <w:tcPr>
            <w:tcW w:w="2967" w:type="dxa"/>
            <w:shd w:val="clear" w:color="auto" w:fill="auto"/>
            <w:noWrap/>
            <w:hideMark/>
          </w:tcPr>
          <w:p w14:paraId="04F8C87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Таловский</w:t>
            </w:r>
          </w:p>
        </w:tc>
        <w:tc>
          <w:tcPr>
            <w:tcW w:w="2552" w:type="dxa"/>
            <w:shd w:val="clear" w:color="auto" w:fill="auto"/>
            <w:noWrap/>
            <w:hideMark/>
          </w:tcPr>
          <w:p w14:paraId="5730370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78</w:t>
            </w:r>
          </w:p>
        </w:tc>
        <w:tc>
          <w:tcPr>
            <w:tcW w:w="3827" w:type="dxa"/>
            <w:shd w:val="clear" w:color="auto" w:fill="auto"/>
            <w:noWrap/>
            <w:hideMark/>
          </w:tcPr>
          <w:p w14:paraId="6FBBFCA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1 253 316</w:t>
            </w:r>
          </w:p>
        </w:tc>
      </w:tr>
      <w:tr w:rsidR="00E16C06" w:rsidRPr="00E16C06" w14:paraId="526B5715" w14:textId="77777777" w:rsidTr="00E16C06">
        <w:trPr>
          <w:trHeight w:val="300"/>
        </w:trPr>
        <w:tc>
          <w:tcPr>
            <w:tcW w:w="2967" w:type="dxa"/>
            <w:shd w:val="clear" w:color="auto" w:fill="auto"/>
            <w:noWrap/>
            <w:hideMark/>
          </w:tcPr>
          <w:p w14:paraId="23FA6D2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Терновский</w:t>
            </w:r>
          </w:p>
        </w:tc>
        <w:tc>
          <w:tcPr>
            <w:tcW w:w="2552" w:type="dxa"/>
            <w:shd w:val="clear" w:color="auto" w:fill="auto"/>
            <w:noWrap/>
            <w:hideMark/>
          </w:tcPr>
          <w:p w14:paraId="593AFC1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321</w:t>
            </w:r>
          </w:p>
        </w:tc>
        <w:tc>
          <w:tcPr>
            <w:tcW w:w="3827" w:type="dxa"/>
            <w:shd w:val="clear" w:color="auto" w:fill="auto"/>
            <w:noWrap/>
            <w:hideMark/>
          </w:tcPr>
          <w:p w14:paraId="46E4CBC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7 026 903</w:t>
            </w:r>
          </w:p>
        </w:tc>
      </w:tr>
      <w:tr w:rsidR="00E16C06" w:rsidRPr="00E16C06" w14:paraId="680F682A" w14:textId="77777777" w:rsidTr="00E16C06">
        <w:trPr>
          <w:trHeight w:val="300"/>
        </w:trPr>
        <w:tc>
          <w:tcPr>
            <w:tcW w:w="2967" w:type="dxa"/>
            <w:shd w:val="clear" w:color="auto" w:fill="auto"/>
            <w:noWrap/>
            <w:hideMark/>
          </w:tcPr>
          <w:p w14:paraId="7AF891C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Хохольский</w:t>
            </w:r>
          </w:p>
        </w:tc>
        <w:tc>
          <w:tcPr>
            <w:tcW w:w="2552" w:type="dxa"/>
            <w:shd w:val="clear" w:color="auto" w:fill="auto"/>
            <w:noWrap/>
            <w:hideMark/>
          </w:tcPr>
          <w:p w14:paraId="2CFD4E4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181</w:t>
            </w:r>
          </w:p>
        </w:tc>
        <w:tc>
          <w:tcPr>
            <w:tcW w:w="3827" w:type="dxa"/>
            <w:shd w:val="clear" w:color="auto" w:fill="auto"/>
            <w:noWrap/>
            <w:hideMark/>
          </w:tcPr>
          <w:p w14:paraId="0CB071E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8 955 463</w:t>
            </w:r>
          </w:p>
        </w:tc>
      </w:tr>
      <w:tr w:rsidR="00E16C06" w:rsidRPr="00E16C06" w14:paraId="29B20C0F" w14:textId="77777777" w:rsidTr="00E16C06">
        <w:trPr>
          <w:trHeight w:val="300"/>
        </w:trPr>
        <w:tc>
          <w:tcPr>
            <w:tcW w:w="2967" w:type="dxa"/>
            <w:shd w:val="clear" w:color="auto" w:fill="auto"/>
            <w:noWrap/>
            <w:hideMark/>
          </w:tcPr>
          <w:p w14:paraId="321BEFA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Эртильский</w:t>
            </w:r>
          </w:p>
        </w:tc>
        <w:tc>
          <w:tcPr>
            <w:tcW w:w="2552" w:type="dxa"/>
            <w:shd w:val="clear" w:color="auto" w:fill="auto"/>
            <w:noWrap/>
            <w:hideMark/>
          </w:tcPr>
          <w:p w14:paraId="74C5655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371</w:t>
            </w:r>
          </w:p>
        </w:tc>
        <w:tc>
          <w:tcPr>
            <w:tcW w:w="3827" w:type="dxa"/>
            <w:shd w:val="clear" w:color="auto" w:fill="auto"/>
            <w:noWrap/>
            <w:hideMark/>
          </w:tcPr>
          <w:p w14:paraId="53CE3AC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7 475 698</w:t>
            </w:r>
          </w:p>
        </w:tc>
      </w:tr>
      <w:tr w:rsidR="00E16C06" w:rsidRPr="00E16C06" w14:paraId="209B2637" w14:textId="77777777" w:rsidTr="00E16C06">
        <w:trPr>
          <w:trHeight w:val="315"/>
        </w:trPr>
        <w:tc>
          <w:tcPr>
            <w:tcW w:w="2967" w:type="dxa"/>
            <w:noWrap/>
            <w:hideMark/>
          </w:tcPr>
          <w:p w14:paraId="2E856987"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Общий итог</w:t>
            </w:r>
          </w:p>
        </w:tc>
        <w:tc>
          <w:tcPr>
            <w:tcW w:w="2552" w:type="dxa"/>
            <w:shd w:val="clear" w:color="auto" w:fill="auto"/>
            <w:noWrap/>
            <w:hideMark/>
          </w:tcPr>
          <w:p w14:paraId="4F2E1DDC"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14990</w:t>
            </w:r>
          </w:p>
        </w:tc>
        <w:tc>
          <w:tcPr>
            <w:tcW w:w="3827" w:type="dxa"/>
            <w:shd w:val="clear" w:color="auto" w:fill="auto"/>
            <w:noWrap/>
            <w:hideMark/>
          </w:tcPr>
          <w:p w14:paraId="373C5524"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755 222 553</w:t>
            </w:r>
          </w:p>
        </w:tc>
      </w:tr>
    </w:tbl>
    <w:p w14:paraId="7B15C12D" w14:textId="77777777" w:rsidR="00E16C06" w:rsidRPr="00E16C06" w:rsidRDefault="00E16C06" w:rsidP="00E16C06">
      <w:pPr>
        <w:rPr>
          <w:rFonts w:ascii="Times New Roman" w:eastAsia="Times New Roman" w:hAnsi="Times New Roman" w:cs="Times New Roman"/>
          <w:sz w:val="26"/>
          <w:szCs w:val="26"/>
        </w:rPr>
      </w:pPr>
    </w:p>
    <w:p w14:paraId="0CA0DA34" w14:textId="77777777" w:rsidR="00E16C06" w:rsidRPr="00E16C06" w:rsidRDefault="00E16C06" w:rsidP="00E16C06">
      <w:pPr>
        <w:rPr>
          <w:rFonts w:ascii="Times New Roman" w:eastAsia="Times New Roman" w:hAnsi="Times New Roman" w:cs="Times New Roman"/>
          <w:sz w:val="26"/>
          <w:szCs w:val="26"/>
        </w:rPr>
      </w:pPr>
      <w:r w:rsidRPr="00E16C06">
        <w:rPr>
          <w:rFonts w:ascii="Times New Roman" w:hAnsi="Times New Roman" w:cs="Times New Roman"/>
          <w:noProof/>
          <w:lang w:eastAsia="ru-RU"/>
        </w:rPr>
        <w:drawing>
          <wp:inline distT="0" distB="0" distL="0" distR="0" wp14:anchorId="4486AD44" wp14:editId="7DB1D0A8">
            <wp:extent cx="5940425" cy="3829050"/>
            <wp:effectExtent l="0" t="0" r="3175" b="0"/>
            <wp:docPr id="605" name="Диаграмма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11DFC44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Рис. 3.3.2.19 – Распределение земельных участков, относящихся к сегменту 9 «Охраняемые природные территории и благоустройство», по муниципальным районам Воронежской области</w:t>
      </w:r>
    </w:p>
    <w:p w14:paraId="507A756B" w14:textId="77777777" w:rsidR="00E16C06" w:rsidRPr="00E16C06" w:rsidRDefault="00E16C06" w:rsidP="00E16C06">
      <w:pPr>
        <w:spacing w:after="0" w:line="276" w:lineRule="auto"/>
        <w:ind w:firstLine="709"/>
        <w:contextualSpacing/>
        <w:jc w:val="both"/>
        <w:rPr>
          <w:rFonts w:ascii="Times New Roman" w:hAnsi="Times New Roman" w:cs="Times New Roman"/>
          <w:sz w:val="26"/>
          <w:szCs w:val="26"/>
        </w:rPr>
      </w:pPr>
      <w:r w:rsidRPr="00E16C06">
        <w:rPr>
          <w:rFonts w:ascii="Times New Roman" w:hAnsi="Times New Roman" w:cs="Times New Roman"/>
          <w:sz w:val="26"/>
          <w:szCs w:val="26"/>
        </w:rPr>
        <w:t>В соответствии с сегментацией объектов недвижимости с указанием кодов расчета вида использования (приложение № 1 Указаний) 9 сегмент включает в себя коды расчета 02:016, 02:032, 02:052, 02:062, 05:031, 09:000, 09:010, 09:020, 09:022, 12:002, 12:003. Распределение земельных участков 9 сегмента по кодам вида использования представлено в таблице 3.3.2.20.</w:t>
      </w:r>
    </w:p>
    <w:p w14:paraId="04F77399" w14:textId="77777777" w:rsidR="00E16C06" w:rsidRPr="00E16C06" w:rsidRDefault="00E16C06" w:rsidP="00E16C06">
      <w:pPr>
        <w:spacing w:after="0" w:line="276" w:lineRule="auto"/>
        <w:ind w:firstLine="709"/>
        <w:contextualSpacing/>
        <w:jc w:val="right"/>
        <w:rPr>
          <w:rFonts w:ascii="Times New Roman" w:hAnsi="Times New Roman" w:cs="Times New Roman"/>
          <w:sz w:val="26"/>
          <w:szCs w:val="26"/>
        </w:rPr>
      </w:pPr>
      <w:r w:rsidRPr="00E16C06">
        <w:rPr>
          <w:rFonts w:ascii="Times New Roman" w:hAnsi="Times New Roman" w:cs="Times New Roman"/>
          <w:sz w:val="26"/>
          <w:szCs w:val="26"/>
        </w:rPr>
        <w:t xml:space="preserve">Таблица </w:t>
      </w:r>
      <w:r w:rsidRPr="00E16C06">
        <w:rPr>
          <w:rFonts w:ascii="Times New Roman" w:eastAsia="Times New Roman" w:hAnsi="Times New Roman" w:cs="Times New Roman"/>
          <w:spacing w:val="-5"/>
          <w:sz w:val="26"/>
          <w:szCs w:val="26"/>
        </w:rPr>
        <w:t>3.3.2.20</w:t>
      </w:r>
    </w:p>
    <w:p w14:paraId="241A7360"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Распределение объектов оценки по кодам расчета вида использования</w:t>
      </w:r>
    </w:p>
    <w:p w14:paraId="25C8E598" w14:textId="77777777" w:rsidR="00E16C06" w:rsidRPr="00E16C06" w:rsidRDefault="00E16C06" w:rsidP="00E16C06">
      <w:pPr>
        <w:spacing w:after="0" w:line="276" w:lineRule="auto"/>
        <w:contextualSpacing/>
        <w:jc w:val="center"/>
        <w:rPr>
          <w:rFonts w:ascii="Times New Roman" w:hAnsi="Times New Roman" w:cs="Times New Roman"/>
          <w:sz w:val="26"/>
          <w:szCs w:val="26"/>
        </w:rPr>
      </w:pPr>
      <w:r w:rsidRPr="00E16C06">
        <w:rPr>
          <w:rFonts w:ascii="Times New Roman" w:hAnsi="Times New Roman" w:cs="Times New Roman"/>
          <w:sz w:val="26"/>
          <w:szCs w:val="26"/>
        </w:rPr>
        <w:t>в составе 9 сегмента</w:t>
      </w:r>
    </w:p>
    <w:tbl>
      <w:tblPr>
        <w:tblStyle w:val="ae"/>
        <w:tblW w:w="9493" w:type="dxa"/>
        <w:jc w:val="center"/>
        <w:tblLook w:val="04A0" w:firstRow="1" w:lastRow="0" w:firstColumn="1" w:lastColumn="0" w:noHBand="0" w:noVBand="1"/>
      </w:tblPr>
      <w:tblGrid>
        <w:gridCol w:w="2405"/>
        <w:gridCol w:w="3686"/>
        <w:gridCol w:w="3402"/>
      </w:tblGrid>
      <w:tr w:rsidR="00E16C06" w:rsidRPr="00E16C06" w14:paraId="6BBCC5C3" w14:textId="77777777" w:rsidTr="00E16C06">
        <w:trPr>
          <w:trHeight w:val="255"/>
          <w:jc w:val="center"/>
        </w:trPr>
        <w:tc>
          <w:tcPr>
            <w:tcW w:w="2405" w:type="dxa"/>
            <w:shd w:val="clear" w:color="auto" w:fill="auto"/>
          </w:tcPr>
          <w:p w14:paraId="271CC925"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lang w:eastAsia="en-US"/>
              </w:rPr>
              <w:t>Сегмент</w:t>
            </w:r>
          </w:p>
        </w:tc>
        <w:tc>
          <w:tcPr>
            <w:tcW w:w="3686" w:type="dxa"/>
            <w:shd w:val="clear" w:color="auto" w:fill="auto"/>
            <w:noWrap/>
          </w:tcPr>
          <w:p w14:paraId="165D4A84"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lang w:eastAsia="en-US"/>
              </w:rPr>
              <w:t>Код расчета вида использования</w:t>
            </w:r>
          </w:p>
        </w:tc>
        <w:tc>
          <w:tcPr>
            <w:tcW w:w="3402" w:type="dxa"/>
            <w:shd w:val="clear" w:color="auto" w:fill="auto"/>
            <w:noWrap/>
          </w:tcPr>
          <w:p w14:paraId="140054AA"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lang w:eastAsia="en-US"/>
              </w:rPr>
              <w:t>Количество ЗУ</w:t>
            </w:r>
          </w:p>
        </w:tc>
      </w:tr>
      <w:tr w:rsidR="00E16C06" w:rsidRPr="00E16C06" w14:paraId="1A515950" w14:textId="77777777" w:rsidTr="00E16C06">
        <w:trPr>
          <w:trHeight w:val="255"/>
          <w:jc w:val="center"/>
        </w:trPr>
        <w:tc>
          <w:tcPr>
            <w:tcW w:w="2405" w:type="dxa"/>
            <w:vMerge w:val="restart"/>
            <w:shd w:val="clear" w:color="auto" w:fill="auto"/>
          </w:tcPr>
          <w:p w14:paraId="43FBB90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p w14:paraId="2AF6570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p w14:paraId="4775695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p w14:paraId="7E56A7C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p w14:paraId="5D6FB5E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p w14:paraId="21A2C16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eastAsia="Times New Roman" w:hAnsi="Times New Roman" w:cs="Times New Roman"/>
                <w:spacing w:val="-5"/>
                <w:sz w:val="22"/>
                <w:szCs w:val="22"/>
                <w:lang w:eastAsia="en-US"/>
              </w:rPr>
              <w:t>9</w:t>
            </w:r>
          </w:p>
        </w:tc>
        <w:tc>
          <w:tcPr>
            <w:tcW w:w="3686" w:type="dxa"/>
            <w:tcBorders>
              <w:top w:val="single" w:sz="4" w:space="0" w:color="auto"/>
              <w:left w:val="single" w:sz="4" w:space="0" w:color="auto"/>
              <w:bottom w:val="single" w:sz="4" w:space="0" w:color="auto"/>
              <w:right w:val="single" w:sz="4" w:space="0" w:color="auto"/>
            </w:tcBorders>
            <w:shd w:val="clear" w:color="auto" w:fill="auto"/>
            <w:noWrap/>
            <w:hideMark/>
          </w:tcPr>
          <w:p w14:paraId="7BE3504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02:016</w:t>
            </w:r>
          </w:p>
        </w:tc>
        <w:tc>
          <w:tcPr>
            <w:tcW w:w="3402" w:type="dxa"/>
            <w:tcBorders>
              <w:top w:val="single" w:sz="4" w:space="0" w:color="auto"/>
              <w:left w:val="nil"/>
              <w:bottom w:val="single" w:sz="4" w:space="0" w:color="auto"/>
              <w:right w:val="single" w:sz="4" w:space="0" w:color="auto"/>
            </w:tcBorders>
            <w:shd w:val="clear" w:color="auto" w:fill="auto"/>
            <w:noWrap/>
            <w:hideMark/>
          </w:tcPr>
          <w:p w14:paraId="5A8ACFC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52</w:t>
            </w:r>
          </w:p>
        </w:tc>
      </w:tr>
      <w:tr w:rsidR="00E16C06" w:rsidRPr="00E16C06" w14:paraId="75139E6D" w14:textId="77777777" w:rsidTr="00E16C06">
        <w:trPr>
          <w:trHeight w:val="255"/>
          <w:jc w:val="center"/>
        </w:trPr>
        <w:tc>
          <w:tcPr>
            <w:tcW w:w="2405" w:type="dxa"/>
            <w:vMerge/>
            <w:shd w:val="clear" w:color="auto" w:fill="auto"/>
          </w:tcPr>
          <w:p w14:paraId="3DDC140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6" w:type="dxa"/>
            <w:tcBorders>
              <w:top w:val="nil"/>
              <w:left w:val="single" w:sz="4" w:space="0" w:color="auto"/>
              <w:bottom w:val="single" w:sz="4" w:space="0" w:color="auto"/>
              <w:right w:val="single" w:sz="4" w:space="0" w:color="auto"/>
            </w:tcBorders>
            <w:shd w:val="clear" w:color="auto" w:fill="auto"/>
            <w:noWrap/>
            <w:hideMark/>
          </w:tcPr>
          <w:p w14:paraId="3EF817D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02:032</w:t>
            </w:r>
          </w:p>
        </w:tc>
        <w:tc>
          <w:tcPr>
            <w:tcW w:w="3402" w:type="dxa"/>
            <w:tcBorders>
              <w:top w:val="nil"/>
              <w:left w:val="nil"/>
              <w:bottom w:val="single" w:sz="4" w:space="0" w:color="auto"/>
              <w:right w:val="single" w:sz="4" w:space="0" w:color="auto"/>
            </w:tcBorders>
            <w:shd w:val="clear" w:color="auto" w:fill="auto"/>
            <w:noWrap/>
            <w:hideMark/>
          </w:tcPr>
          <w:p w14:paraId="4EB79D1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87</w:t>
            </w:r>
          </w:p>
        </w:tc>
      </w:tr>
      <w:tr w:rsidR="00E16C06" w:rsidRPr="00E16C06" w14:paraId="488395E3" w14:textId="77777777" w:rsidTr="00E16C06">
        <w:trPr>
          <w:trHeight w:val="255"/>
          <w:jc w:val="center"/>
        </w:trPr>
        <w:tc>
          <w:tcPr>
            <w:tcW w:w="2405" w:type="dxa"/>
            <w:vMerge/>
            <w:shd w:val="clear" w:color="auto" w:fill="auto"/>
          </w:tcPr>
          <w:p w14:paraId="0CB1B89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6" w:type="dxa"/>
            <w:tcBorders>
              <w:top w:val="nil"/>
              <w:left w:val="single" w:sz="4" w:space="0" w:color="auto"/>
              <w:bottom w:val="single" w:sz="4" w:space="0" w:color="auto"/>
              <w:right w:val="single" w:sz="4" w:space="0" w:color="auto"/>
            </w:tcBorders>
            <w:shd w:val="clear" w:color="auto" w:fill="auto"/>
            <w:noWrap/>
            <w:hideMark/>
          </w:tcPr>
          <w:p w14:paraId="1902DEB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02:052</w:t>
            </w:r>
          </w:p>
        </w:tc>
        <w:tc>
          <w:tcPr>
            <w:tcW w:w="3402" w:type="dxa"/>
            <w:tcBorders>
              <w:top w:val="nil"/>
              <w:left w:val="nil"/>
              <w:bottom w:val="single" w:sz="4" w:space="0" w:color="auto"/>
              <w:right w:val="single" w:sz="4" w:space="0" w:color="auto"/>
            </w:tcBorders>
            <w:shd w:val="clear" w:color="auto" w:fill="auto"/>
            <w:noWrap/>
            <w:hideMark/>
          </w:tcPr>
          <w:p w14:paraId="1E26908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27</w:t>
            </w:r>
          </w:p>
        </w:tc>
      </w:tr>
      <w:tr w:rsidR="00E16C06" w:rsidRPr="00E16C06" w14:paraId="5D59AC66" w14:textId="77777777" w:rsidTr="00E16C06">
        <w:trPr>
          <w:trHeight w:val="255"/>
          <w:jc w:val="center"/>
        </w:trPr>
        <w:tc>
          <w:tcPr>
            <w:tcW w:w="2405" w:type="dxa"/>
            <w:vMerge/>
            <w:shd w:val="clear" w:color="auto" w:fill="auto"/>
          </w:tcPr>
          <w:p w14:paraId="7B19EF3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6" w:type="dxa"/>
            <w:tcBorders>
              <w:top w:val="nil"/>
              <w:left w:val="single" w:sz="4" w:space="0" w:color="auto"/>
              <w:bottom w:val="single" w:sz="4" w:space="0" w:color="auto"/>
              <w:right w:val="single" w:sz="4" w:space="0" w:color="auto"/>
            </w:tcBorders>
            <w:shd w:val="clear" w:color="auto" w:fill="auto"/>
            <w:noWrap/>
            <w:hideMark/>
          </w:tcPr>
          <w:p w14:paraId="2CFA20D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02:062</w:t>
            </w:r>
          </w:p>
        </w:tc>
        <w:tc>
          <w:tcPr>
            <w:tcW w:w="3402" w:type="dxa"/>
            <w:tcBorders>
              <w:top w:val="nil"/>
              <w:left w:val="nil"/>
              <w:bottom w:val="single" w:sz="4" w:space="0" w:color="auto"/>
              <w:right w:val="single" w:sz="4" w:space="0" w:color="auto"/>
            </w:tcBorders>
            <w:shd w:val="clear" w:color="auto" w:fill="auto"/>
            <w:noWrap/>
            <w:hideMark/>
          </w:tcPr>
          <w:p w14:paraId="12C9A8B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33</w:t>
            </w:r>
          </w:p>
        </w:tc>
      </w:tr>
      <w:tr w:rsidR="00E16C06" w:rsidRPr="00E16C06" w14:paraId="5C173951" w14:textId="77777777" w:rsidTr="00E16C06">
        <w:trPr>
          <w:trHeight w:val="255"/>
          <w:jc w:val="center"/>
        </w:trPr>
        <w:tc>
          <w:tcPr>
            <w:tcW w:w="2405" w:type="dxa"/>
            <w:vMerge/>
            <w:shd w:val="clear" w:color="auto" w:fill="auto"/>
          </w:tcPr>
          <w:p w14:paraId="5437A8E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6" w:type="dxa"/>
            <w:tcBorders>
              <w:top w:val="nil"/>
              <w:left w:val="single" w:sz="4" w:space="0" w:color="auto"/>
              <w:bottom w:val="single" w:sz="4" w:space="0" w:color="auto"/>
              <w:right w:val="single" w:sz="4" w:space="0" w:color="auto"/>
            </w:tcBorders>
            <w:shd w:val="clear" w:color="auto" w:fill="auto"/>
            <w:noWrap/>
            <w:hideMark/>
          </w:tcPr>
          <w:p w14:paraId="7658B78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05:031</w:t>
            </w:r>
          </w:p>
        </w:tc>
        <w:tc>
          <w:tcPr>
            <w:tcW w:w="3402" w:type="dxa"/>
            <w:tcBorders>
              <w:top w:val="nil"/>
              <w:left w:val="nil"/>
              <w:bottom w:val="single" w:sz="4" w:space="0" w:color="auto"/>
              <w:right w:val="single" w:sz="4" w:space="0" w:color="auto"/>
            </w:tcBorders>
            <w:shd w:val="clear" w:color="auto" w:fill="auto"/>
            <w:noWrap/>
            <w:hideMark/>
          </w:tcPr>
          <w:p w14:paraId="4485CD0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2</w:t>
            </w:r>
          </w:p>
        </w:tc>
      </w:tr>
      <w:tr w:rsidR="00E16C06" w:rsidRPr="00E16C06" w14:paraId="5CDE5342" w14:textId="77777777" w:rsidTr="00E16C06">
        <w:trPr>
          <w:trHeight w:val="255"/>
          <w:jc w:val="center"/>
        </w:trPr>
        <w:tc>
          <w:tcPr>
            <w:tcW w:w="2405" w:type="dxa"/>
            <w:vMerge/>
            <w:shd w:val="clear" w:color="auto" w:fill="auto"/>
          </w:tcPr>
          <w:p w14:paraId="01FEC5F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6" w:type="dxa"/>
            <w:tcBorders>
              <w:top w:val="nil"/>
              <w:left w:val="single" w:sz="4" w:space="0" w:color="auto"/>
              <w:bottom w:val="single" w:sz="4" w:space="0" w:color="auto"/>
              <w:right w:val="single" w:sz="4" w:space="0" w:color="auto"/>
            </w:tcBorders>
            <w:shd w:val="clear" w:color="auto" w:fill="auto"/>
            <w:noWrap/>
            <w:hideMark/>
          </w:tcPr>
          <w:p w14:paraId="25FDAA5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09:000</w:t>
            </w:r>
          </w:p>
        </w:tc>
        <w:tc>
          <w:tcPr>
            <w:tcW w:w="3402" w:type="dxa"/>
            <w:tcBorders>
              <w:top w:val="nil"/>
              <w:left w:val="nil"/>
              <w:bottom w:val="single" w:sz="4" w:space="0" w:color="auto"/>
              <w:right w:val="single" w:sz="4" w:space="0" w:color="auto"/>
            </w:tcBorders>
            <w:shd w:val="clear" w:color="auto" w:fill="auto"/>
            <w:noWrap/>
            <w:hideMark/>
          </w:tcPr>
          <w:p w14:paraId="0F7D818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386</w:t>
            </w:r>
          </w:p>
        </w:tc>
      </w:tr>
      <w:tr w:rsidR="00E16C06" w:rsidRPr="00E16C06" w14:paraId="32D4B60B" w14:textId="77777777" w:rsidTr="00E16C06">
        <w:trPr>
          <w:trHeight w:val="255"/>
          <w:jc w:val="center"/>
        </w:trPr>
        <w:tc>
          <w:tcPr>
            <w:tcW w:w="2405" w:type="dxa"/>
            <w:vMerge/>
            <w:shd w:val="clear" w:color="auto" w:fill="auto"/>
          </w:tcPr>
          <w:p w14:paraId="582CEE8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6" w:type="dxa"/>
            <w:tcBorders>
              <w:top w:val="nil"/>
              <w:left w:val="single" w:sz="4" w:space="0" w:color="auto"/>
              <w:bottom w:val="single" w:sz="4" w:space="0" w:color="auto"/>
              <w:right w:val="single" w:sz="4" w:space="0" w:color="auto"/>
            </w:tcBorders>
            <w:shd w:val="clear" w:color="auto" w:fill="auto"/>
            <w:noWrap/>
            <w:hideMark/>
          </w:tcPr>
          <w:p w14:paraId="4EC8A6C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09:010</w:t>
            </w:r>
          </w:p>
        </w:tc>
        <w:tc>
          <w:tcPr>
            <w:tcW w:w="3402" w:type="dxa"/>
            <w:tcBorders>
              <w:top w:val="nil"/>
              <w:left w:val="nil"/>
              <w:bottom w:val="single" w:sz="4" w:space="0" w:color="auto"/>
              <w:right w:val="single" w:sz="4" w:space="0" w:color="auto"/>
            </w:tcBorders>
            <w:shd w:val="clear" w:color="auto" w:fill="auto"/>
            <w:noWrap/>
            <w:hideMark/>
          </w:tcPr>
          <w:p w14:paraId="02B347C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12818</w:t>
            </w:r>
          </w:p>
        </w:tc>
      </w:tr>
      <w:tr w:rsidR="00E16C06" w:rsidRPr="00E16C06" w14:paraId="2E223DFD" w14:textId="77777777" w:rsidTr="00E16C06">
        <w:trPr>
          <w:trHeight w:val="255"/>
          <w:jc w:val="center"/>
        </w:trPr>
        <w:tc>
          <w:tcPr>
            <w:tcW w:w="2405" w:type="dxa"/>
            <w:vMerge/>
            <w:shd w:val="clear" w:color="auto" w:fill="auto"/>
          </w:tcPr>
          <w:p w14:paraId="2558924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6" w:type="dxa"/>
            <w:tcBorders>
              <w:top w:val="nil"/>
              <w:left w:val="single" w:sz="4" w:space="0" w:color="auto"/>
              <w:bottom w:val="single" w:sz="4" w:space="0" w:color="auto"/>
              <w:right w:val="single" w:sz="4" w:space="0" w:color="auto"/>
            </w:tcBorders>
            <w:shd w:val="clear" w:color="auto" w:fill="auto"/>
            <w:noWrap/>
            <w:hideMark/>
          </w:tcPr>
          <w:p w14:paraId="51F1575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09:020</w:t>
            </w:r>
          </w:p>
        </w:tc>
        <w:tc>
          <w:tcPr>
            <w:tcW w:w="3402" w:type="dxa"/>
            <w:tcBorders>
              <w:top w:val="nil"/>
              <w:left w:val="nil"/>
              <w:bottom w:val="single" w:sz="4" w:space="0" w:color="auto"/>
              <w:right w:val="single" w:sz="4" w:space="0" w:color="auto"/>
            </w:tcBorders>
            <w:shd w:val="clear" w:color="auto" w:fill="auto"/>
            <w:noWrap/>
            <w:hideMark/>
          </w:tcPr>
          <w:p w14:paraId="32B03D0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9</w:t>
            </w:r>
          </w:p>
        </w:tc>
      </w:tr>
      <w:tr w:rsidR="00E16C06" w:rsidRPr="00E16C06" w14:paraId="66617317" w14:textId="77777777" w:rsidTr="00E16C06">
        <w:trPr>
          <w:trHeight w:val="255"/>
          <w:jc w:val="center"/>
        </w:trPr>
        <w:tc>
          <w:tcPr>
            <w:tcW w:w="2405" w:type="dxa"/>
            <w:vMerge/>
            <w:shd w:val="clear" w:color="auto" w:fill="auto"/>
          </w:tcPr>
          <w:p w14:paraId="72B0E3D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6" w:type="dxa"/>
            <w:tcBorders>
              <w:top w:val="nil"/>
              <w:left w:val="single" w:sz="4" w:space="0" w:color="auto"/>
              <w:bottom w:val="single" w:sz="4" w:space="0" w:color="auto"/>
              <w:right w:val="single" w:sz="4" w:space="0" w:color="auto"/>
            </w:tcBorders>
            <w:shd w:val="clear" w:color="auto" w:fill="auto"/>
            <w:noWrap/>
            <w:hideMark/>
          </w:tcPr>
          <w:p w14:paraId="072142D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09:022</w:t>
            </w:r>
          </w:p>
        </w:tc>
        <w:tc>
          <w:tcPr>
            <w:tcW w:w="3402" w:type="dxa"/>
            <w:tcBorders>
              <w:top w:val="nil"/>
              <w:left w:val="nil"/>
              <w:bottom w:val="single" w:sz="4" w:space="0" w:color="auto"/>
              <w:right w:val="single" w:sz="4" w:space="0" w:color="auto"/>
            </w:tcBorders>
            <w:shd w:val="clear" w:color="auto" w:fill="auto"/>
            <w:noWrap/>
            <w:hideMark/>
          </w:tcPr>
          <w:p w14:paraId="220CF6B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28</w:t>
            </w:r>
          </w:p>
        </w:tc>
      </w:tr>
      <w:tr w:rsidR="00E16C06" w:rsidRPr="00E16C06" w14:paraId="5F9FBA49" w14:textId="77777777" w:rsidTr="00E16C06">
        <w:trPr>
          <w:trHeight w:val="255"/>
          <w:jc w:val="center"/>
        </w:trPr>
        <w:tc>
          <w:tcPr>
            <w:tcW w:w="2405" w:type="dxa"/>
            <w:vMerge/>
            <w:shd w:val="clear" w:color="auto" w:fill="auto"/>
          </w:tcPr>
          <w:p w14:paraId="4389246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6" w:type="dxa"/>
            <w:tcBorders>
              <w:top w:val="nil"/>
              <w:left w:val="single" w:sz="4" w:space="0" w:color="auto"/>
              <w:bottom w:val="single" w:sz="4" w:space="0" w:color="auto"/>
              <w:right w:val="single" w:sz="4" w:space="0" w:color="auto"/>
            </w:tcBorders>
            <w:shd w:val="clear" w:color="auto" w:fill="auto"/>
            <w:noWrap/>
            <w:hideMark/>
          </w:tcPr>
          <w:p w14:paraId="7F47591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12:002</w:t>
            </w:r>
          </w:p>
        </w:tc>
        <w:tc>
          <w:tcPr>
            <w:tcW w:w="3402" w:type="dxa"/>
            <w:tcBorders>
              <w:top w:val="nil"/>
              <w:left w:val="nil"/>
              <w:bottom w:val="single" w:sz="4" w:space="0" w:color="auto"/>
              <w:right w:val="single" w:sz="4" w:space="0" w:color="auto"/>
            </w:tcBorders>
            <w:shd w:val="clear" w:color="auto" w:fill="auto"/>
            <w:noWrap/>
            <w:hideMark/>
          </w:tcPr>
          <w:p w14:paraId="6F31ABFB"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124</w:t>
            </w:r>
          </w:p>
        </w:tc>
      </w:tr>
      <w:tr w:rsidR="00E16C06" w:rsidRPr="00E16C06" w14:paraId="461DB265" w14:textId="77777777" w:rsidTr="00E16C06">
        <w:trPr>
          <w:trHeight w:val="255"/>
          <w:jc w:val="center"/>
        </w:trPr>
        <w:tc>
          <w:tcPr>
            <w:tcW w:w="2405" w:type="dxa"/>
            <w:vMerge/>
            <w:shd w:val="clear" w:color="auto" w:fill="auto"/>
          </w:tcPr>
          <w:p w14:paraId="0DBA775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p>
        </w:tc>
        <w:tc>
          <w:tcPr>
            <w:tcW w:w="3686" w:type="dxa"/>
            <w:tcBorders>
              <w:top w:val="nil"/>
              <w:left w:val="single" w:sz="4" w:space="0" w:color="auto"/>
              <w:bottom w:val="single" w:sz="4" w:space="0" w:color="auto"/>
              <w:right w:val="single" w:sz="4" w:space="0" w:color="auto"/>
            </w:tcBorders>
            <w:shd w:val="clear" w:color="auto" w:fill="auto"/>
            <w:noWrap/>
            <w:hideMark/>
          </w:tcPr>
          <w:p w14:paraId="4580D88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12:003</w:t>
            </w:r>
          </w:p>
        </w:tc>
        <w:tc>
          <w:tcPr>
            <w:tcW w:w="3402" w:type="dxa"/>
            <w:tcBorders>
              <w:top w:val="nil"/>
              <w:left w:val="nil"/>
              <w:bottom w:val="single" w:sz="4" w:space="0" w:color="auto"/>
              <w:right w:val="single" w:sz="4" w:space="0" w:color="auto"/>
            </w:tcBorders>
            <w:shd w:val="clear" w:color="auto" w:fill="auto"/>
            <w:noWrap/>
            <w:hideMark/>
          </w:tcPr>
          <w:p w14:paraId="7AFFE5B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lang w:eastAsia="en-US"/>
              </w:rPr>
            </w:pPr>
            <w:r w:rsidRPr="00E16C06">
              <w:rPr>
                <w:rFonts w:ascii="Times New Roman" w:hAnsi="Times New Roman" w:cs="Times New Roman"/>
                <w:sz w:val="22"/>
                <w:szCs w:val="22"/>
              </w:rPr>
              <w:t>1424</w:t>
            </w:r>
          </w:p>
        </w:tc>
      </w:tr>
      <w:tr w:rsidR="00E16C06" w:rsidRPr="00E16C06" w14:paraId="74CB1102" w14:textId="77777777" w:rsidTr="00E16C06">
        <w:trPr>
          <w:trHeight w:val="255"/>
          <w:jc w:val="center"/>
        </w:trPr>
        <w:tc>
          <w:tcPr>
            <w:tcW w:w="2405" w:type="dxa"/>
            <w:shd w:val="clear" w:color="auto" w:fill="auto"/>
          </w:tcPr>
          <w:p w14:paraId="7C5196A4"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Итог</w:t>
            </w:r>
          </w:p>
        </w:tc>
        <w:tc>
          <w:tcPr>
            <w:tcW w:w="3686" w:type="dxa"/>
            <w:shd w:val="clear" w:color="auto" w:fill="auto"/>
            <w:noWrap/>
          </w:tcPr>
          <w:p w14:paraId="610D1C7E"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p>
        </w:tc>
        <w:tc>
          <w:tcPr>
            <w:tcW w:w="3402" w:type="dxa"/>
            <w:shd w:val="clear" w:color="auto" w:fill="auto"/>
            <w:noWrap/>
          </w:tcPr>
          <w:p w14:paraId="4F0B04FC"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14 990</w:t>
            </w:r>
          </w:p>
        </w:tc>
      </w:tr>
    </w:tbl>
    <w:p w14:paraId="2D587549" w14:textId="77777777" w:rsidR="00E16C06" w:rsidRPr="00E16C06" w:rsidRDefault="00E16C06" w:rsidP="00E16C06">
      <w:pPr>
        <w:rPr>
          <w:rFonts w:ascii="Times New Roman" w:eastAsia="Times New Roman" w:hAnsi="Times New Roman" w:cs="Times New Roman"/>
          <w:sz w:val="26"/>
          <w:szCs w:val="26"/>
        </w:rPr>
      </w:pPr>
    </w:p>
    <w:p w14:paraId="3598393A" w14:textId="77777777" w:rsidR="00E16C06" w:rsidRPr="00E16C06" w:rsidRDefault="00E16C06" w:rsidP="00E16C06">
      <w:pPr>
        <w:rPr>
          <w:rFonts w:ascii="Times New Roman" w:eastAsia="Times New Roman" w:hAnsi="Times New Roman" w:cs="Times New Roman"/>
          <w:sz w:val="26"/>
          <w:szCs w:val="26"/>
        </w:rPr>
      </w:pPr>
      <w:r w:rsidRPr="00E16C06">
        <w:rPr>
          <w:rFonts w:ascii="Times New Roman" w:hAnsi="Times New Roman" w:cs="Times New Roman"/>
          <w:noProof/>
          <w:lang w:eastAsia="ru-RU"/>
        </w:rPr>
        <w:drawing>
          <wp:inline distT="0" distB="0" distL="0" distR="0" wp14:anchorId="299EBDC2" wp14:editId="49E297B7">
            <wp:extent cx="5940425" cy="3169920"/>
            <wp:effectExtent l="0" t="0" r="3175" b="11430"/>
            <wp:docPr id="616" name="Диаграмма 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2BD83964" w14:textId="77777777" w:rsidR="00E16C06" w:rsidRPr="00E16C06" w:rsidRDefault="00E16C06" w:rsidP="00E16C06">
      <w:pPr>
        <w:rPr>
          <w:rFonts w:ascii="Times New Roman" w:eastAsia="Times New Roman" w:hAnsi="Times New Roman" w:cs="Times New Roman"/>
          <w:sz w:val="26"/>
          <w:szCs w:val="26"/>
        </w:rPr>
      </w:pPr>
      <w:r w:rsidRPr="00E16C06">
        <w:rPr>
          <w:rFonts w:ascii="Times New Roman" w:eastAsia="Times New Roman" w:hAnsi="Times New Roman" w:cs="Times New Roman"/>
          <w:sz w:val="26"/>
          <w:szCs w:val="26"/>
        </w:rPr>
        <w:br w:type="page"/>
      </w:r>
    </w:p>
    <w:p w14:paraId="211E8A92" w14:textId="77777777" w:rsidR="00E16C06" w:rsidRPr="00E16C06" w:rsidRDefault="00E16C06" w:rsidP="00E16C06">
      <w:pPr>
        <w:spacing w:after="0" w:line="276" w:lineRule="auto"/>
        <w:contextualSpacing/>
        <w:jc w:val="center"/>
        <w:rPr>
          <w:rFonts w:ascii="Times New Roman" w:eastAsia="Times New Roman" w:hAnsi="Times New Roman" w:cs="Times New Roman"/>
          <w:i/>
          <w:color w:val="000000"/>
          <w:sz w:val="26"/>
          <w:szCs w:val="26"/>
          <w:lang w:eastAsia="ru-RU"/>
        </w:rPr>
      </w:pPr>
      <w:r w:rsidRPr="00E16C06">
        <w:rPr>
          <w:rFonts w:ascii="Times New Roman" w:eastAsia="Times New Roman" w:hAnsi="Times New Roman" w:cs="Times New Roman"/>
          <w:i/>
          <w:spacing w:val="-5"/>
          <w:sz w:val="26"/>
          <w:szCs w:val="26"/>
        </w:rPr>
        <w:t xml:space="preserve">Описание объектов недвижимости </w:t>
      </w:r>
      <w:r w:rsidRPr="00E16C06">
        <w:rPr>
          <w:rFonts w:ascii="Times New Roman" w:eastAsia="Times New Roman" w:hAnsi="Times New Roman" w:cs="Times New Roman"/>
          <w:i/>
          <w:color w:val="000000"/>
          <w:sz w:val="26"/>
          <w:szCs w:val="26"/>
          <w:lang w:eastAsia="ru-RU"/>
        </w:rPr>
        <w:t>10 сегмента «Использование лесов»</w:t>
      </w:r>
    </w:p>
    <w:p w14:paraId="2BB6C354" w14:textId="77777777" w:rsidR="00E16C06" w:rsidRPr="00E16C06" w:rsidRDefault="00E16C06" w:rsidP="00E16C06">
      <w:pPr>
        <w:spacing w:after="0" w:line="276" w:lineRule="auto"/>
        <w:contextualSpacing/>
        <w:jc w:val="center"/>
        <w:rPr>
          <w:rFonts w:ascii="Times New Roman" w:eastAsia="Times New Roman" w:hAnsi="Times New Roman" w:cs="Times New Roman"/>
          <w:i/>
          <w:color w:val="000000"/>
          <w:sz w:val="26"/>
          <w:szCs w:val="26"/>
          <w:lang w:eastAsia="ru-RU"/>
        </w:rPr>
      </w:pPr>
    </w:p>
    <w:p w14:paraId="1D704183" w14:textId="77777777" w:rsidR="00E16C06" w:rsidRPr="00E16C06" w:rsidRDefault="00E16C06" w:rsidP="00E16C06">
      <w:pPr>
        <w:spacing w:after="0" w:line="276" w:lineRule="auto"/>
        <w:ind w:firstLine="709"/>
        <w:contextualSpacing/>
        <w:jc w:val="both"/>
        <w:rPr>
          <w:rFonts w:ascii="Times New Roman" w:hAnsi="Times New Roman" w:cs="Times New Roman"/>
          <w:color w:val="000000" w:themeColor="text1"/>
          <w:sz w:val="26"/>
          <w:szCs w:val="26"/>
        </w:rPr>
      </w:pPr>
      <w:r w:rsidRPr="00E16C06">
        <w:rPr>
          <w:rFonts w:ascii="Times New Roman" w:hAnsi="Times New Roman" w:cs="Times New Roman"/>
          <w:color w:val="000000" w:themeColor="text1"/>
          <w:sz w:val="26"/>
          <w:szCs w:val="26"/>
        </w:rPr>
        <w:t>Наибольшее количество земельных участков 10 сегмента сосредоточено в Хохольском и Лискинском районах – 975 и 858 соответственно. Наименьшее количество земельных участков 10 сегмента сосредоточено в г. Нововоронеже – 26 объектов.</w:t>
      </w:r>
    </w:p>
    <w:p w14:paraId="768E09D1" w14:textId="77777777" w:rsidR="00E16C06" w:rsidRPr="00E16C06" w:rsidRDefault="00E16C06" w:rsidP="00E16C06">
      <w:pPr>
        <w:spacing w:after="0" w:line="276" w:lineRule="auto"/>
        <w:ind w:firstLine="709"/>
        <w:contextualSpacing/>
        <w:jc w:val="right"/>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Таблица 3.3.2.21</w:t>
      </w:r>
    </w:p>
    <w:p w14:paraId="421B7ED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Распределение земельных участков и площадей, относящихся к сегменту 10 «Использование лесов», по муниципальным районам Воронежской области</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2976"/>
        <w:gridCol w:w="3119"/>
      </w:tblGrid>
      <w:tr w:rsidR="00E16C06" w:rsidRPr="00E16C06" w14:paraId="5F04B45C" w14:textId="77777777" w:rsidTr="00E16C06">
        <w:trPr>
          <w:trHeight w:val="300"/>
        </w:trPr>
        <w:tc>
          <w:tcPr>
            <w:tcW w:w="3251" w:type="dxa"/>
            <w:noWrap/>
            <w:vAlign w:val="center"/>
            <w:hideMark/>
          </w:tcPr>
          <w:p w14:paraId="33DE48A3"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eastAsia="Times New Roman" w:hAnsi="Times New Roman" w:cs="Times New Roman"/>
                <w:b/>
                <w:spacing w:val="-5"/>
              </w:rPr>
              <w:t>Район</w:t>
            </w:r>
          </w:p>
        </w:tc>
        <w:tc>
          <w:tcPr>
            <w:tcW w:w="2976" w:type="dxa"/>
            <w:noWrap/>
            <w:vAlign w:val="center"/>
            <w:hideMark/>
          </w:tcPr>
          <w:p w14:paraId="71956E14"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eastAsia="Times New Roman" w:hAnsi="Times New Roman" w:cs="Times New Roman"/>
                <w:b/>
                <w:spacing w:val="-5"/>
              </w:rPr>
              <w:t>Количество ЗУ</w:t>
            </w:r>
          </w:p>
        </w:tc>
        <w:tc>
          <w:tcPr>
            <w:tcW w:w="3119" w:type="dxa"/>
            <w:noWrap/>
            <w:vAlign w:val="center"/>
            <w:hideMark/>
          </w:tcPr>
          <w:p w14:paraId="0CACDF71"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eastAsia="Times New Roman" w:hAnsi="Times New Roman" w:cs="Times New Roman"/>
                <w:b/>
                <w:spacing w:val="-5"/>
              </w:rPr>
              <w:t>Площадь ОО, кв. м.</w:t>
            </w:r>
          </w:p>
        </w:tc>
      </w:tr>
      <w:tr w:rsidR="00E16C06" w:rsidRPr="00E16C06" w14:paraId="4E7F55F9" w14:textId="77777777" w:rsidTr="00E16C06">
        <w:trPr>
          <w:trHeight w:val="300"/>
        </w:trPr>
        <w:tc>
          <w:tcPr>
            <w:tcW w:w="3251" w:type="dxa"/>
            <w:shd w:val="clear" w:color="auto" w:fill="auto"/>
            <w:noWrap/>
            <w:hideMark/>
          </w:tcPr>
          <w:p w14:paraId="5288241C"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Аннинский</w:t>
            </w:r>
          </w:p>
        </w:tc>
        <w:tc>
          <w:tcPr>
            <w:tcW w:w="2976" w:type="dxa"/>
            <w:shd w:val="clear" w:color="auto" w:fill="auto"/>
            <w:noWrap/>
            <w:hideMark/>
          </w:tcPr>
          <w:p w14:paraId="4BDE1539"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241</w:t>
            </w:r>
          </w:p>
        </w:tc>
        <w:tc>
          <w:tcPr>
            <w:tcW w:w="3119" w:type="dxa"/>
            <w:shd w:val="clear" w:color="auto" w:fill="auto"/>
            <w:noWrap/>
            <w:hideMark/>
          </w:tcPr>
          <w:p w14:paraId="21E0F763"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204 624 574</w:t>
            </w:r>
          </w:p>
        </w:tc>
      </w:tr>
      <w:tr w:rsidR="00E16C06" w:rsidRPr="00E16C06" w14:paraId="58698272" w14:textId="77777777" w:rsidTr="00E16C06">
        <w:trPr>
          <w:trHeight w:val="300"/>
        </w:trPr>
        <w:tc>
          <w:tcPr>
            <w:tcW w:w="3251" w:type="dxa"/>
            <w:shd w:val="clear" w:color="auto" w:fill="auto"/>
            <w:noWrap/>
            <w:hideMark/>
          </w:tcPr>
          <w:p w14:paraId="06121677"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Бобровский</w:t>
            </w:r>
          </w:p>
        </w:tc>
        <w:tc>
          <w:tcPr>
            <w:tcW w:w="2976" w:type="dxa"/>
            <w:shd w:val="clear" w:color="auto" w:fill="auto"/>
            <w:noWrap/>
            <w:hideMark/>
          </w:tcPr>
          <w:p w14:paraId="7EF48102"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611</w:t>
            </w:r>
          </w:p>
        </w:tc>
        <w:tc>
          <w:tcPr>
            <w:tcW w:w="3119" w:type="dxa"/>
            <w:shd w:val="clear" w:color="auto" w:fill="auto"/>
            <w:noWrap/>
            <w:hideMark/>
          </w:tcPr>
          <w:p w14:paraId="05062942"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478 555 219</w:t>
            </w:r>
          </w:p>
        </w:tc>
      </w:tr>
      <w:tr w:rsidR="00E16C06" w:rsidRPr="00E16C06" w14:paraId="7A48E2EB" w14:textId="77777777" w:rsidTr="00E16C06">
        <w:trPr>
          <w:trHeight w:val="300"/>
        </w:trPr>
        <w:tc>
          <w:tcPr>
            <w:tcW w:w="3251" w:type="dxa"/>
            <w:shd w:val="clear" w:color="auto" w:fill="auto"/>
            <w:noWrap/>
            <w:hideMark/>
          </w:tcPr>
          <w:p w14:paraId="62BE3577"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Богучарский</w:t>
            </w:r>
          </w:p>
        </w:tc>
        <w:tc>
          <w:tcPr>
            <w:tcW w:w="2976" w:type="dxa"/>
            <w:shd w:val="clear" w:color="auto" w:fill="auto"/>
            <w:noWrap/>
            <w:hideMark/>
          </w:tcPr>
          <w:p w14:paraId="3615FF35"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518</w:t>
            </w:r>
          </w:p>
        </w:tc>
        <w:tc>
          <w:tcPr>
            <w:tcW w:w="3119" w:type="dxa"/>
            <w:shd w:val="clear" w:color="auto" w:fill="auto"/>
            <w:noWrap/>
            <w:hideMark/>
          </w:tcPr>
          <w:p w14:paraId="04EC5A17"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148 334 485</w:t>
            </w:r>
          </w:p>
        </w:tc>
      </w:tr>
      <w:tr w:rsidR="00E16C06" w:rsidRPr="00E16C06" w14:paraId="534C8CFC" w14:textId="77777777" w:rsidTr="00E16C06">
        <w:trPr>
          <w:trHeight w:val="300"/>
        </w:trPr>
        <w:tc>
          <w:tcPr>
            <w:tcW w:w="3251" w:type="dxa"/>
            <w:shd w:val="clear" w:color="auto" w:fill="auto"/>
            <w:noWrap/>
            <w:hideMark/>
          </w:tcPr>
          <w:p w14:paraId="593644E9"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Борисоглебский</w:t>
            </w:r>
          </w:p>
        </w:tc>
        <w:tc>
          <w:tcPr>
            <w:tcW w:w="2976" w:type="dxa"/>
            <w:shd w:val="clear" w:color="auto" w:fill="auto"/>
            <w:noWrap/>
            <w:hideMark/>
          </w:tcPr>
          <w:p w14:paraId="11FE7C15"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421</w:t>
            </w:r>
          </w:p>
        </w:tc>
        <w:tc>
          <w:tcPr>
            <w:tcW w:w="3119" w:type="dxa"/>
            <w:shd w:val="clear" w:color="auto" w:fill="auto"/>
            <w:noWrap/>
            <w:hideMark/>
          </w:tcPr>
          <w:p w14:paraId="6AEAF882"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384 891 839</w:t>
            </w:r>
          </w:p>
        </w:tc>
      </w:tr>
      <w:tr w:rsidR="00E16C06" w:rsidRPr="00E16C06" w14:paraId="2F2DE3F9" w14:textId="77777777" w:rsidTr="00E16C06">
        <w:trPr>
          <w:trHeight w:val="300"/>
        </w:trPr>
        <w:tc>
          <w:tcPr>
            <w:tcW w:w="3251" w:type="dxa"/>
            <w:shd w:val="clear" w:color="auto" w:fill="auto"/>
            <w:noWrap/>
            <w:hideMark/>
          </w:tcPr>
          <w:p w14:paraId="3AC97FD5"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Бутурлиновский</w:t>
            </w:r>
          </w:p>
        </w:tc>
        <w:tc>
          <w:tcPr>
            <w:tcW w:w="2976" w:type="dxa"/>
            <w:shd w:val="clear" w:color="auto" w:fill="auto"/>
            <w:noWrap/>
            <w:hideMark/>
          </w:tcPr>
          <w:p w14:paraId="5F39D183"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202</w:t>
            </w:r>
          </w:p>
        </w:tc>
        <w:tc>
          <w:tcPr>
            <w:tcW w:w="3119" w:type="dxa"/>
            <w:shd w:val="clear" w:color="auto" w:fill="auto"/>
            <w:noWrap/>
            <w:hideMark/>
          </w:tcPr>
          <w:p w14:paraId="48278533"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189 714 981</w:t>
            </w:r>
          </w:p>
        </w:tc>
      </w:tr>
      <w:tr w:rsidR="00E16C06" w:rsidRPr="00E16C06" w14:paraId="1CB0C6EB" w14:textId="77777777" w:rsidTr="00E16C06">
        <w:trPr>
          <w:trHeight w:val="300"/>
        </w:trPr>
        <w:tc>
          <w:tcPr>
            <w:tcW w:w="3251" w:type="dxa"/>
            <w:shd w:val="clear" w:color="auto" w:fill="auto"/>
            <w:noWrap/>
            <w:hideMark/>
          </w:tcPr>
          <w:p w14:paraId="0E8F9742"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Верхнемамонский</w:t>
            </w:r>
          </w:p>
        </w:tc>
        <w:tc>
          <w:tcPr>
            <w:tcW w:w="2976" w:type="dxa"/>
            <w:shd w:val="clear" w:color="auto" w:fill="auto"/>
            <w:noWrap/>
            <w:hideMark/>
          </w:tcPr>
          <w:p w14:paraId="35AA839D"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345</w:t>
            </w:r>
          </w:p>
        </w:tc>
        <w:tc>
          <w:tcPr>
            <w:tcW w:w="3119" w:type="dxa"/>
            <w:shd w:val="clear" w:color="auto" w:fill="auto"/>
            <w:noWrap/>
            <w:hideMark/>
          </w:tcPr>
          <w:p w14:paraId="6987E032"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242 905 870</w:t>
            </w:r>
          </w:p>
        </w:tc>
      </w:tr>
      <w:tr w:rsidR="00E16C06" w:rsidRPr="00E16C06" w14:paraId="664A58F1" w14:textId="77777777" w:rsidTr="00E16C06">
        <w:trPr>
          <w:trHeight w:val="300"/>
        </w:trPr>
        <w:tc>
          <w:tcPr>
            <w:tcW w:w="3251" w:type="dxa"/>
            <w:shd w:val="clear" w:color="auto" w:fill="auto"/>
            <w:noWrap/>
            <w:hideMark/>
          </w:tcPr>
          <w:p w14:paraId="44CBD64D"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Верхнехавский</w:t>
            </w:r>
          </w:p>
        </w:tc>
        <w:tc>
          <w:tcPr>
            <w:tcW w:w="2976" w:type="dxa"/>
            <w:shd w:val="clear" w:color="auto" w:fill="auto"/>
            <w:noWrap/>
            <w:hideMark/>
          </w:tcPr>
          <w:p w14:paraId="5AE912E6"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46</w:t>
            </w:r>
          </w:p>
        </w:tc>
        <w:tc>
          <w:tcPr>
            <w:tcW w:w="3119" w:type="dxa"/>
            <w:shd w:val="clear" w:color="auto" w:fill="auto"/>
            <w:noWrap/>
            <w:hideMark/>
          </w:tcPr>
          <w:p w14:paraId="3A86F3F9"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8 437 612</w:t>
            </w:r>
          </w:p>
        </w:tc>
      </w:tr>
      <w:tr w:rsidR="00E16C06" w:rsidRPr="00E16C06" w14:paraId="1BFEF6D3" w14:textId="77777777" w:rsidTr="00E16C06">
        <w:trPr>
          <w:trHeight w:val="300"/>
        </w:trPr>
        <w:tc>
          <w:tcPr>
            <w:tcW w:w="3251" w:type="dxa"/>
            <w:shd w:val="clear" w:color="auto" w:fill="auto"/>
            <w:noWrap/>
            <w:hideMark/>
          </w:tcPr>
          <w:p w14:paraId="4D430C50"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Воробьевский</w:t>
            </w:r>
          </w:p>
        </w:tc>
        <w:tc>
          <w:tcPr>
            <w:tcW w:w="2976" w:type="dxa"/>
            <w:shd w:val="clear" w:color="auto" w:fill="auto"/>
            <w:noWrap/>
            <w:hideMark/>
          </w:tcPr>
          <w:p w14:paraId="203C2F15"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451</w:t>
            </w:r>
          </w:p>
        </w:tc>
        <w:tc>
          <w:tcPr>
            <w:tcW w:w="3119" w:type="dxa"/>
            <w:shd w:val="clear" w:color="auto" w:fill="auto"/>
            <w:noWrap/>
            <w:hideMark/>
          </w:tcPr>
          <w:p w14:paraId="3FE70030"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46 384 336</w:t>
            </w:r>
          </w:p>
        </w:tc>
      </w:tr>
      <w:tr w:rsidR="00E16C06" w:rsidRPr="00E16C06" w14:paraId="3BF068ED" w14:textId="77777777" w:rsidTr="00E16C06">
        <w:trPr>
          <w:trHeight w:val="300"/>
        </w:trPr>
        <w:tc>
          <w:tcPr>
            <w:tcW w:w="3251" w:type="dxa"/>
            <w:shd w:val="clear" w:color="auto" w:fill="auto"/>
            <w:noWrap/>
            <w:hideMark/>
          </w:tcPr>
          <w:p w14:paraId="1F4FB7C6"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ГО г. Воронеж</w:t>
            </w:r>
          </w:p>
        </w:tc>
        <w:tc>
          <w:tcPr>
            <w:tcW w:w="2976" w:type="dxa"/>
            <w:shd w:val="clear" w:color="auto" w:fill="auto"/>
            <w:noWrap/>
            <w:hideMark/>
          </w:tcPr>
          <w:p w14:paraId="5049E678"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347</w:t>
            </w:r>
          </w:p>
        </w:tc>
        <w:tc>
          <w:tcPr>
            <w:tcW w:w="3119" w:type="dxa"/>
            <w:shd w:val="clear" w:color="auto" w:fill="auto"/>
            <w:noWrap/>
            <w:hideMark/>
          </w:tcPr>
          <w:p w14:paraId="3E1B64A2"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228 538 285</w:t>
            </w:r>
          </w:p>
        </w:tc>
      </w:tr>
      <w:tr w:rsidR="00E16C06" w:rsidRPr="00E16C06" w14:paraId="4492B545" w14:textId="77777777" w:rsidTr="00E16C06">
        <w:trPr>
          <w:trHeight w:val="300"/>
        </w:trPr>
        <w:tc>
          <w:tcPr>
            <w:tcW w:w="3251" w:type="dxa"/>
            <w:shd w:val="clear" w:color="auto" w:fill="auto"/>
            <w:noWrap/>
            <w:hideMark/>
          </w:tcPr>
          <w:p w14:paraId="10F63048"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ГО Нововоронеж</w:t>
            </w:r>
          </w:p>
        </w:tc>
        <w:tc>
          <w:tcPr>
            <w:tcW w:w="2976" w:type="dxa"/>
            <w:shd w:val="clear" w:color="auto" w:fill="auto"/>
            <w:noWrap/>
            <w:hideMark/>
          </w:tcPr>
          <w:p w14:paraId="4FA6E803"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26</w:t>
            </w:r>
          </w:p>
        </w:tc>
        <w:tc>
          <w:tcPr>
            <w:tcW w:w="3119" w:type="dxa"/>
            <w:shd w:val="clear" w:color="auto" w:fill="auto"/>
            <w:noWrap/>
            <w:hideMark/>
          </w:tcPr>
          <w:p w14:paraId="511F9B39"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10 688 999</w:t>
            </w:r>
          </w:p>
        </w:tc>
      </w:tr>
      <w:tr w:rsidR="00E16C06" w:rsidRPr="00E16C06" w14:paraId="1249917C" w14:textId="77777777" w:rsidTr="00E16C06">
        <w:trPr>
          <w:trHeight w:val="300"/>
        </w:trPr>
        <w:tc>
          <w:tcPr>
            <w:tcW w:w="3251" w:type="dxa"/>
            <w:shd w:val="clear" w:color="auto" w:fill="auto"/>
            <w:noWrap/>
            <w:hideMark/>
          </w:tcPr>
          <w:p w14:paraId="4B40F08E"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Грибановский</w:t>
            </w:r>
          </w:p>
        </w:tc>
        <w:tc>
          <w:tcPr>
            <w:tcW w:w="2976" w:type="dxa"/>
            <w:shd w:val="clear" w:color="auto" w:fill="auto"/>
            <w:noWrap/>
            <w:hideMark/>
          </w:tcPr>
          <w:p w14:paraId="15596549"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218</w:t>
            </w:r>
          </w:p>
        </w:tc>
        <w:tc>
          <w:tcPr>
            <w:tcW w:w="3119" w:type="dxa"/>
            <w:shd w:val="clear" w:color="auto" w:fill="auto"/>
            <w:noWrap/>
            <w:hideMark/>
          </w:tcPr>
          <w:p w14:paraId="218F5200"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528 171 593</w:t>
            </w:r>
          </w:p>
        </w:tc>
      </w:tr>
      <w:tr w:rsidR="00E16C06" w:rsidRPr="00E16C06" w14:paraId="65D074E5" w14:textId="77777777" w:rsidTr="00E16C06">
        <w:trPr>
          <w:trHeight w:val="300"/>
        </w:trPr>
        <w:tc>
          <w:tcPr>
            <w:tcW w:w="3251" w:type="dxa"/>
            <w:shd w:val="clear" w:color="auto" w:fill="auto"/>
            <w:noWrap/>
            <w:hideMark/>
          </w:tcPr>
          <w:p w14:paraId="2B5F0077"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Калачеевский</w:t>
            </w:r>
          </w:p>
        </w:tc>
        <w:tc>
          <w:tcPr>
            <w:tcW w:w="2976" w:type="dxa"/>
            <w:shd w:val="clear" w:color="auto" w:fill="auto"/>
            <w:noWrap/>
            <w:hideMark/>
          </w:tcPr>
          <w:p w14:paraId="76A19478"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188</w:t>
            </w:r>
          </w:p>
        </w:tc>
        <w:tc>
          <w:tcPr>
            <w:tcW w:w="3119" w:type="dxa"/>
            <w:shd w:val="clear" w:color="auto" w:fill="auto"/>
            <w:noWrap/>
            <w:hideMark/>
          </w:tcPr>
          <w:p w14:paraId="2FC9A51F"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103 938 776</w:t>
            </w:r>
          </w:p>
        </w:tc>
      </w:tr>
      <w:tr w:rsidR="00E16C06" w:rsidRPr="00E16C06" w14:paraId="4510218A" w14:textId="77777777" w:rsidTr="00E16C06">
        <w:trPr>
          <w:trHeight w:val="300"/>
        </w:trPr>
        <w:tc>
          <w:tcPr>
            <w:tcW w:w="3251" w:type="dxa"/>
            <w:shd w:val="clear" w:color="auto" w:fill="auto"/>
            <w:noWrap/>
            <w:hideMark/>
          </w:tcPr>
          <w:p w14:paraId="09215ED8"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Каменский</w:t>
            </w:r>
          </w:p>
        </w:tc>
        <w:tc>
          <w:tcPr>
            <w:tcW w:w="2976" w:type="dxa"/>
            <w:shd w:val="clear" w:color="auto" w:fill="auto"/>
            <w:noWrap/>
            <w:hideMark/>
          </w:tcPr>
          <w:p w14:paraId="60403C4A"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219</w:t>
            </w:r>
          </w:p>
        </w:tc>
        <w:tc>
          <w:tcPr>
            <w:tcW w:w="3119" w:type="dxa"/>
            <w:shd w:val="clear" w:color="auto" w:fill="auto"/>
            <w:noWrap/>
            <w:hideMark/>
          </w:tcPr>
          <w:p w14:paraId="1B55C916"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26 190 000</w:t>
            </w:r>
          </w:p>
        </w:tc>
      </w:tr>
      <w:tr w:rsidR="00E16C06" w:rsidRPr="00E16C06" w14:paraId="0AFAA7D7" w14:textId="77777777" w:rsidTr="00E16C06">
        <w:trPr>
          <w:trHeight w:val="300"/>
        </w:trPr>
        <w:tc>
          <w:tcPr>
            <w:tcW w:w="3251" w:type="dxa"/>
            <w:shd w:val="clear" w:color="auto" w:fill="auto"/>
            <w:noWrap/>
            <w:hideMark/>
          </w:tcPr>
          <w:p w14:paraId="16E38F17"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Кантемировский</w:t>
            </w:r>
          </w:p>
        </w:tc>
        <w:tc>
          <w:tcPr>
            <w:tcW w:w="2976" w:type="dxa"/>
            <w:shd w:val="clear" w:color="auto" w:fill="auto"/>
            <w:noWrap/>
            <w:hideMark/>
          </w:tcPr>
          <w:p w14:paraId="32F524AC"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530</w:t>
            </w:r>
          </w:p>
        </w:tc>
        <w:tc>
          <w:tcPr>
            <w:tcW w:w="3119" w:type="dxa"/>
            <w:shd w:val="clear" w:color="auto" w:fill="auto"/>
            <w:noWrap/>
            <w:hideMark/>
          </w:tcPr>
          <w:p w14:paraId="018CA09F"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83 028 250</w:t>
            </w:r>
          </w:p>
        </w:tc>
      </w:tr>
      <w:tr w:rsidR="00E16C06" w:rsidRPr="00E16C06" w14:paraId="02A10B9B" w14:textId="77777777" w:rsidTr="00E16C06">
        <w:trPr>
          <w:trHeight w:val="300"/>
        </w:trPr>
        <w:tc>
          <w:tcPr>
            <w:tcW w:w="3251" w:type="dxa"/>
            <w:shd w:val="clear" w:color="auto" w:fill="auto"/>
            <w:noWrap/>
            <w:hideMark/>
          </w:tcPr>
          <w:p w14:paraId="4D059FCC"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Каширский</w:t>
            </w:r>
          </w:p>
        </w:tc>
        <w:tc>
          <w:tcPr>
            <w:tcW w:w="2976" w:type="dxa"/>
            <w:shd w:val="clear" w:color="auto" w:fill="auto"/>
            <w:noWrap/>
            <w:hideMark/>
          </w:tcPr>
          <w:p w14:paraId="6BD03F65"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49</w:t>
            </w:r>
          </w:p>
        </w:tc>
        <w:tc>
          <w:tcPr>
            <w:tcW w:w="3119" w:type="dxa"/>
            <w:shd w:val="clear" w:color="auto" w:fill="auto"/>
            <w:noWrap/>
            <w:hideMark/>
          </w:tcPr>
          <w:p w14:paraId="2F1CE59A"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59 870 096</w:t>
            </w:r>
          </w:p>
        </w:tc>
      </w:tr>
      <w:tr w:rsidR="00E16C06" w:rsidRPr="00E16C06" w14:paraId="117C69B5" w14:textId="77777777" w:rsidTr="00E16C06">
        <w:trPr>
          <w:trHeight w:val="300"/>
        </w:trPr>
        <w:tc>
          <w:tcPr>
            <w:tcW w:w="3251" w:type="dxa"/>
            <w:shd w:val="clear" w:color="auto" w:fill="auto"/>
            <w:noWrap/>
            <w:hideMark/>
          </w:tcPr>
          <w:p w14:paraId="7746F7CC"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Лискинский</w:t>
            </w:r>
          </w:p>
        </w:tc>
        <w:tc>
          <w:tcPr>
            <w:tcW w:w="2976" w:type="dxa"/>
            <w:shd w:val="clear" w:color="auto" w:fill="auto"/>
            <w:noWrap/>
            <w:hideMark/>
          </w:tcPr>
          <w:p w14:paraId="789D39AE"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858</w:t>
            </w:r>
          </w:p>
        </w:tc>
        <w:tc>
          <w:tcPr>
            <w:tcW w:w="3119" w:type="dxa"/>
            <w:shd w:val="clear" w:color="auto" w:fill="auto"/>
            <w:noWrap/>
            <w:hideMark/>
          </w:tcPr>
          <w:p w14:paraId="42BAC09F"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300 917 938</w:t>
            </w:r>
          </w:p>
        </w:tc>
      </w:tr>
      <w:tr w:rsidR="00E16C06" w:rsidRPr="00E16C06" w14:paraId="0E99E01C" w14:textId="77777777" w:rsidTr="00E16C06">
        <w:trPr>
          <w:trHeight w:val="300"/>
        </w:trPr>
        <w:tc>
          <w:tcPr>
            <w:tcW w:w="3251" w:type="dxa"/>
            <w:shd w:val="clear" w:color="auto" w:fill="auto"/>
            <w:noWrap/>
            <w:hideMark/>
          </w:tcPr>
          <w:p w14:paraId="6CF00557"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Нижнедевицкий</w:t>
            </w:r>
          </w:p>
        </w:tc>
        <w:tc>
          <w:tcPr>
            <w:tcW w:w="2976" w:type="dxa"/>
            <w:shd w:val="clear" w:color="auto" w:fill="auto"/>
            <w:noWrap/>
            <w:hideMark/>
          </w:tcPr>
          <w:p w14:paraId="4F09CA79"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547</w:t>
            </w:r>
          </w:p>
        </w:tc>
        <w:tc>
          <w:tcPr>
            <w:tcW w:w="3119" w:type="dxa"/>
            <w:shd w:val="clear" w:color="auto" w:fill="auto"/>
            <w:noWrap/>
            <w:hideMark/>
          </w:tcPr>
          <w:p w14:paraId="45A96524"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71 166 071</w:t>
            </w:r>
          </w:p>
        </w:tc>
      </w:tr>
      <w:tr w:rsidR="00E16C06" w:rsidRPr="00E16C06" w14:paraId="7FD737B1" w14:textId="77777777" w:rsidTr="00E16C06">
        <w:trPr>
          <w:trHeight w:val="300"/>
        </w:trPr>
        <w:tc>
          <w:tcPr>
            <w:tcW w:w="3251" w:type="dxa"/>
            <w:shd w:val="clear" w:color="auto" w:fill="auto"/>
            <w:noWrap/>
            <w:hideMark/>
          </w:tcPr>
          <w:p w14:paraId="40375755"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Новоусманский</w:t>
            </w:r>
          </w:p>
        </w:tc>
        <w:tc>
          <w:tcPr>
            <w:tcW w:w="2976" w:type="dxa"/>
            <w:shd w:val="clear" w:color="auto" w:fill="auto"/>
            <w:noWrap/>
            <w:hideMark/>
          </w:tcPr>
          <w:p w14:paraId="261E2475"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105</w:t>
            </w:r>
          </w:p>
        </w:tc>
        <w:tc>
          <w:tcPr>
            <w:tcW w:w="3119" w:type="dxa"/>
            <w:shd w:val="clear" w:color="auto" w:fill="auto"/>
            <w:noWrap/>
            <w:hideMark/>
          </w:tcPr>
          <w:p w14:paraId="6D696867"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116 505 707</w:t>
            </w:r>
          </w:p>
        </w:tc>
      </w:tr>
      <w:tr w:rsidR="00E16C06" w:rsidRPr="00E16C06" w14:paraId="36B3D1A3" w14:textId="77777777" w:rsidTr="00E16C06">
        <w:trPr>
          <w:trHeight w:val="300"/>
        </w:trPr>
        <w:tc>
          <w:tcPr>
            <w:tcW w:w="3251" w:type="dxa"/>
            <w:shd w:val="clear" w:color="auto" w:fill="auto"/>
            <w:noWrap/>
            <w:hideMark/>
          </w:tcPr>
          <w:p w14:paraId="7E80804D"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Новохоперский</w:t>
            </w:r>
          </w:p>
        </w:tc>
        <w:tc>
          <w:tcPr>
            <w:tcW w:w="2976" w:type="dxa"/>
            <w:shd w:val="clear" w:color="auto" w:fill="auto"/>
            <w:noWrap/>
            <w:hideMark/>
          </w:tcPr>
          <w:p w14:paraId="22C705AE"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683</w:t>
            </w:r>
          </w:p>
        </w:tc>
        <w:tc>
          <w:tcPr>
            <w:tcW w:w="3119" w:type="dxa"/>
            <w:shd w:val="clear" w:color="auto" w:fill="auto"/>
            <w:noWrap/>
            <w:hideMark/>
          </w:tcPr>
          <w:p w14:paraId="4831B9DB"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202 508 308</w:t>
            </w:r>
          </w:p>
        </w:tc>
      </w:tr>
      <w:tr w:rsidR="00E16C06" w:rsidRPr="00E16C06" w14:paraId="5E71D047" w14:textId="77777777" w:rsidTr="00E16C06">
        <w:trPr>
          <w:trHeight w:val="300"/>
        </w:trPr>
        <w:tc>
          <w:tcPr>
            <w:tcW w:w="3251" w:type="dxa"/>
            <w:shd w:val="clear" w:color="auto" w:fill="auto"/>
            <w:noWrap/>
            <w:hideMark/>
          </w:tcPr>
          <w:p w14:paraId="2B7E3435"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Ольховатский</w:t>
            </w:r>
          </w:p>
        </w:tc>
        <w:tc>
          <w:tcPr>
            <w:tcW w:w="2976" w:type="dxa"/>
            <w:shd w:val="clear" w:color="auto" w:fill="auto"/>
            <w:noWrap/>
            <w:hideMark/>
          </w:tcPr>
          <w:p w14:paraId="23A58E80"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204</w:t>
            </w:r>
          </w:p>
        </w:tc>
        <w:tc>
          <w:tcPr>
            <w:tcW w:w="3119" w:type="dxa"/>
            <w:shd w:val="clear" w:color="auto" w:fill="auto"/>
            <w:noWrap/>
            <w:hideMark/>
          </w:tcPr>
          <w:p w14:paraId="215895A6"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42 737 019</w:t>
            </w:r>
          </w:p>
        </w:tc>
      </w:tr>
      <w:tr w:rsidR="00E16C06" w:rsidRPr="00E16C06" w14:paraId="387A1E67" w14:textId="77777777" w:rsidTr="00E16C06">
        <w:trPr>
          <w:trHeight w:val="300"/>
        </w:trPr>
        <w:tc>
          <w:tcPr>
            <w:tcW w:w="3251" w:type="dxa"/>
            <w:shd w:val="clear" w:color="auto" w:fill="auto"/>
            <w:noWrap/>
            <w:hideMark/>
          </w:tcPr>
          <w:p w14:paraId="4F501EDD"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Острогожский</w:t>
            </w:r>
          </w:p>
        </w:tc>
        <w:tc>
          <w:tcPr>
            <w:tcW w:w="2976" w:type="dxa"/>
            <w:shd w:val="clear" w:color="auto" w:fill="auto"/>
            <w:noWrap/>
            <w:hideMark/>
          </w:tcPr>
          <w:p w14:paraId="4FBCF3C7"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307</w:t>
            </w:r>
          </w:p>
        </w:tc>
        <w:tc>
          <w:tcPr>
            <w:tcW w:w="3119" w:type="dxa"/>
            <w:shd w:val="clear" w:color="auto" w:fill="auto"/>
            <w:noWrap/>
            <w:hideMark/>
          </w:tcPr>
          <w:p w14:paraId="1EE0FDED"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217 887 447</w:t>
            </w:r>
          </w:p>
        </w:tc>
      </w:tr>
      <w:tr w:rsidR="00E16C06" w:rsidRPr="00E16C06" w14:paraId="42CBA602" w14:textId="77777777" w:rsidTr="00E16C06">
        <w:trPr>
          <w:trHeight w:val="300"/>
        </w:trPr>
        <w:tc>
          <w:tcPr>
            <w:tcW w:w="3251" w:type="dxa"/>
            <w:shd w:val="clear" w:color="auto" w:fill="auto"/>
            <w:noWrap/>
            <w:hideMark/>
          </w:tcPr>
          <w:p w14:paraId="3FED1CD3"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Павловский</w:t>
            </w:r>
          </w:p>
        </w:tc>
        <w:tc>
          <w:tcPr>
            <w:tcW w:w="2976" w:type="dxa"/>
            <w:shd w:val="clear" w:color="auto" w:fill="auto"/>
            <w:noWrap/>
            <w:hideMark/>
          </w:tcPr>
          <w:p w14:paraId="0677A877"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755</w:t>
            </w:r>
          </w:p>
        </w:tc>
        <w:tc>
          <w:tcPr>
            <w:tcW w:w="3119" w:type="dxa"/>
            <w:shd w:val="clear" w:color="auto" w:fill="auto"/>
            <w:noWrap/>
            <w:hideMark/>
          </w:tcPr>
          <w:p w14:paraId="3786A098"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294 706 866</w:t>
            </w:r>
          </w:p>
        </w:tc>
      </w:tr>
      <w:tr w:rsidR="00E16C06" w:rsidRPr="00E16C06" w14:paraId="5BEA40BC" w14:textId="77777777" w:rsidTr="00E16C06">
        <w:trPr>
          <w:trHeight w:val="300"/>
        </w:trPr>
        <w:tc>
          <w:tcPr>
            <w:tcW w:w="3251" w:type="dxa"/>
            <w:shd w:val="clear" w:color="auto" w:fill="auto"/>
            <w:noWrap/>
            <w:hideMark/>
          </w:tcPr>
          <w:p w14:paraId="19AC7CCF"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Панинский</w:t>
            </w:r>
          </w:p>
        </w:tc>
        <w:tc>
          <w:tcPr>
            <w:tcW w:w="2976" w:type="dxa"/>
            <w:shd w:val="clear" w:color="auto" w:fill="auto"/>
            <w:noWrap/>
            <w:hideMark/>
          </w:tcPr>
          <w:p w14:paraId="093CE220"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304</w:t>
            </w:r>
          </w:p>
        </w:tc>
        <w:tc>
          <w:tcPr>
            <w:tcW w:w="3119" w:type="dxa"/>
            <w:shd w:val="clear" w:color="auto" w:fill="auto"/>
            <w:noWrap/>
            <w:hideMark/>
          </w:tcPr>
          <w:p w14:paraId="7FBB9FB1"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22 338 203</w:t>
            </w:r>
          </w:p>
        </w:tc>
      </w:tr>
      <w:tr w:rsidR="00E16C06" w:rsidRPr="00E16C06" w14:paraId="75E36A52" w14:textId="77777777" w:rsidTr="00E16C06">
        <w:trPr>
          <w:trHeight w:val="300"/>
        </w:trPr>
        <w:tc>
          <w:tcPr>
            <w:tcW w:w="3251" w:type="dxa"/>
            <w:shd w:val="clear" w:color="auto" w:fill="auto"/>
            <w:noWrap/>
            <w:hideMark/>
          </w:tcPr>
          <w:p w14:paraId="44C25AD1"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Петропавловский</w:t>
            </w:r>
          </w:p>
        </w:tc>
        <w:tc>
          <w:tcPr>
            <w:tcW w:w="2976" w:type="dxa"/>
            <w:shd w:val="clear" w:color="auto" w:fill="auto"/>
            <w:noWrap/>
            <w:hideMark/>
          </w:tcPr>
          <w:p w14:paraId="6F22DAB1"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206</w:t>
            </w:r>
          </w:p>
        </w:tc>
        <w:tc>
          <w:tcPr>
            <w:tcW w:w="3119" w:type="dxa"/>
            <w:shd w:val="clear" w:color="auto" w:fill="auto"/>
            <w:noWrap/>
            <w:hideMark/>
          </w:tcPr>
          <w:p w14:paraId="272C9F2E"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170 024 727</w:t>
            </w:r>
          </w:p>
        </w:tc>
      </w:tr>
      <w:tr w:rsidR="00E16C06" w:rsidRPr="00E16C06" w14:paraId="118C016D" w14:textId="77777777" w:rsidTr="00E16C06">
        <w:trPr>
          <w:trHeight w:val="300"/>
        </w:trPr>
        <w:tc>
          <w:tcPr>
            <w:tcW w:w="3251" w:type="dxa"/>
            <w:shd w:val="clear" w:color="auto" w:fill="auto"/>
            <w:noWrap/>
            <w:hideMark/>
          </w:tcPr>
          <w:p w14:paraId="3072B7FD"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Поворинский</w:t>
            </w:r>
          </w:p>
        </w:tc>
        <w:tc>
          <w:tcPr>
            <w:tcW w:w="2976" w:type="dxa"/>
            <w:shd w:val="clear" w:color="auto" w:fill="auto"/>
            <w:noWrap/>
            <w:hideMark/>
          </w:tcPr>
          <w:p w14:paraId="3C09237A"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106</w:t>
            </w:r>
          </w:p>
        </w:tc>
        <w:tc>
          <w:tcPr>
            <w:tcW w:w="3119" w:type="dxa"/>
            <w:shd w:val="clear" w:color="auto" w:fill="auto"/>
            <w:noWrap/>
            <w:hideMark/>
          </w:tcPr>
          <w:p w14:paraId="45A2CC7F"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61 639 611</w:t>
            </w:r>
          </w:p>
        </w:tc>
      </w:tr>
      <w:tr w:rsidR="00E16C06" w:rsidRPr="00E16C06" w14:paraId="23F4F0C6" w14:textId="77777777" w:rsidTr="00E16C06">
        <w:trPr>
          <w:trHeight w:val="300"/>
        </w:trPr>
        <w:tc>
          <w:tcPr>
            <w:tcW w:w="3251" w:type="dxa"/>
            <w:shd w:val="clear" w:color="auto" w:fill="auto"/>
            <w:noWrap/>
            <w:hideMark/>
          </w:tcPr>
          <w:p w14:paraId="431F6B8B"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Подгоренский</w:t>
            </w:r>
          </w:p>
        </w:tc>
        <w:tc>
          <w:tcPr>
            <w:tcW w:w="2976" w:type="dxa"/>
            <w:shd w:val="clear" w:color="auto" w:fill="auto"/>
            <w:noWrap/>
            <w:hideMark/>
          </w:tcPr>
          <w:p w14:paraId="276D8F23"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700</w:t>
            </w:r>
          </w:p>
        </w:tc>
        <w:tc>
          <w:tcPr>
            <w:tcW w:w="3119" w:type="dxa"/>
            <w:shd w:val="clear" w:color="auto" w:fill="auto"/>
            <w:noWrap/>
            <w:hideMark/>
          </w:tcPr>
          <w:p w14:paraId="3118EAD0"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128 191 527</w:t>
            </w:r>
          </w:p>
        </w:tc>
      </w:tr>
      <w:tr w:rsidR="00E16C06" w:rsidRPr="00E16C06" w14:paraId="07FBB95B" w14:textId="77777777" w:rsidTr="00E16C06">
        <w:trPr>
          <w:trHeight w:val="300"/>
        </w:trPr>
        <w:tc>
          <w:tcPr>
            <w:tcW w:w="3251" w:type="dxa"/>
            <w:shd w:val="clear" w:color="auto" w:fill="auto"/>
            <w:noWrap/>
            <w:hideMark/>
          </w:tcPr>
          <w:p w14:paraId="06C5B326"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Рамонский</w:t>
            </w:r>
          </w:p>
        </w:tc>
        <w:tc>
          <w:tcPr>
            <w:tcW w:w="2976" w:type="dxa"/>
            <w:shd w:val="clear" w:color="auto" w:fill="auto"/>
            <w:noWrap/>
            <w:hideMark/>
          </w:tcPr>
          <w:p w14:paraId="69767CC3"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488</w:t>
            </w:r>
          </w:p>
        </w:tc>
        <w:tc>
          <w:tcPr>
            <w:tcW w:w="3119" w:type="dxa"/>
            <w:shd w:val="clear" w:color="auto" w:fill="auto"/>
            <w:noWrap/>
            <w:hideMark/>
          </w:tcPr>
          <w:p w14:paraId="019D3B61"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295 477 948</w:t>
            </w:r>
          </w:p>
        </w:tc>
      </w:tr>
      <w:tr w:rsidR="00E16C06" w:rsidRPr="00E16C06" w14:paraId="36D52B8F" w14:textId="77777777" w:rsidTr="00E16C06">
        <w:trPr>
          <w:trHeight w:val="300"/>
        </w:trPr>
        <w:tc>
          <w:tcPr>
            <w:tcW w:w="3251" w:type="dxa"/>
            <w:shd w:val="clear" w:color="auto" w:fill="auto"/>
            <w:noWrap/>
            <w:hideMark/>
          </w:tcPr>
          <w:p w14:paraId="5F02859D"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Репьевский</w:t>
            </w:r>
          </w:p>
        </w:tc>
        <w:tc>
          <w:tcPr>
            <w:tcW w:w="2976" w:type="dxa"/>
            <w:shd w:val="clear" w:color="auto" w:fill="auto"/>
            <w:noWrap/>
            <w:hideMark/>
          </w:tcPr>
          <w:p w14:paraId="7ECCCE28"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192</w:t>
            </w:r>
          </w:p>
        </w:tc>
        <w:tc>
          <w:tcPr>
            <w:tcW w:w="3119" w:type="dxa"/>
            <w:shd w:val="clear" w:color="auto" w:fill="auto"/>
            <w:noWrap/>
            <w:hideMark/>
          </w:tcPr>
          <w:p w14:paraId="120DCF44"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36 865 000</w:t>
            </w:r>
          </w:p>
        </w:tc>
      </w:tr>
      <w:tr w:rsidR="00E16C06" w:rsidRPr="00E16C06" w14:paraId="7844919E" w14:textId="77777777" w:rsidTr="00E16C06">
        <w:trPr>
          <w:trHeight w:val="300"/>
        </w:trPr>
        <w:tc>
          <w:tcPr>
            <w:tcW w:w="3251" w:type="dxa"/>
            <w:shd w:val="clear" w:color="auto" w:fill="auto"/>
            <w:noWrap/>
            <w:hideMark/>
          </w:tcPr>
          <w:p w14:paraId="2AF4EE35"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Россошанский</w:t>
            </w:r>
          </w:p>
        </w:tc>
        <w:tc>
          <w:tcPr>
            <w:tcW w:w="2976" w:type="dxa"/>
            <w:shd w:val="clear" w:color="auto" w:fill="auto"/>
            <w:noWrap/>
            <w:hideMark/>
          </w:tcPr>
          <w:p w14:paraId="11633841"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393</w:t>
            </w:r>
          </w:p>
        </w:tc>
        <w:tc>
          <w:tcPr>
            <w:tcW w:w="3119" w:type="dxa"/>
            <w:shd w:val="clear" w:color="auto" w:fill="auto"/>
            <w:noWrap/>
            <w:hideMark/>
          </w:tcPr>
          <w:p w14:paraId="2671D6A7"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84 712 238</w:t>
            </w:r>
          </w:p>
        </w:tc>
      </w:tr>
      <w:tr w:rsidR="00E16C06" w:rsidRPr="00E16C06" w14:paraId="15DF0505" w14:textId="77777777" w:rsidTr="00E16C06">
        <w:trPr>
          <w:trHeight w:val="300"/>
        </w:trPr>
        <w:tc>
          <w:tcPr>
            <w:tcW w:w="3251" w:type="dxa"/>
            <w:shd w:val="clear" w:color="auto" w:fill="auto"/>
            <w:noWrap/>
            <w:hideMark/>
          </w:tcPr>
          <w:p w14:paraId="79934924"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Семилукский</w:t>
            </w:r>
          </w:p>
        </w:tc>
        <w:tc>
          <w:tcPr>
            <w:tcW w:w="2976" w:type="dxa"/>
            <w:shd w:val="clear" w:color="auto" w:fill="auto"/>
            <w:noWrap/>
            <w:hideMark/>
          </w:tcPr>
          <w:p w14:paraId="2269D5E7"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601</w:t>
            </w:r>
          </w:p>
        </w:tc>
        <w:tc>
          <w:tcPr>
            <w:tcW w:w="3119" w:type="dxa"/>
            <w:shd w:val="clear" w:color="auto" w:fill="auto"/>
            <w:noWrap/>
            <w:hideMark/>
          </w:tcPr>
          <w:p w14:paraId="513FC114"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94 652 496</w:t>
            </w:r>
          </w:p>
        </w:tc>
      </w:tr>
      <w:tr w:rsidR="00E16C06" w:rsidRPr="00E16C06" w14:paraId="3047823F" w14:textId="77777777" w:rsidTr="00E16C06">
        <w:trPr>
          <w:trHeight w:val="300"/>
        </w:trPr>
        <w:tc>
          <w:tcPr>
            <w:tcW w:w="3251" w:type="dxa"/>
            <w:shd w:val="clear" w:color="auto" w:fill="auto"/>
            <w:noWrap/>
            <w:hideMark/>
          </w:tcPr>
          <w:p w14:paraId="27D041BF"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Таловский</w:t>
            </w:r>
          </w:p>
        </w:tc>
        <w:tc>
          <w:tcPr>
            <w:tcW w:w="2976" w:type="dxa"/>
            <w:shd w:val="clear" w:color="auto" w:fill="auto"/>
            <w:noWrap/>
            <w:hideMark/>
          </w:tcPr>
          <w:p w14:paraId="7B770750"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119</w:t>
            </w:r>
          </w:p>
        </w:tc>
        <w:tc>
          <w:tcPr>
            <w:tcW w:w="3119" w:type="dxa"/>
            <w:shd w:val="clear" w:color="auto" w:fill="auto"/>
            <w:noWrap/>
            <w:hideMark/>
          </w:tcPr>
          <w:p w14:paraId="20607A7B"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75 907 886</w:t>
            </w:r>
          </w:p>
        </w:tc>
      </w:tr>
      <w:tr w:rsidR="00E16C06" w:rsidRPr="00E16C06" w14:paraId="1A24CC8B" w14:textId="77777777" w:rsidTr="00E16C06">
        <w:trPr>
          <w:trHeight w:val="300"/>
        </w:trPr>
        <w:tc>
          <w:tcPr>
            <w:tcW w:w="3251" w:type="dxa"/>
            <w:shd w:val="clear" w:color="auto" w:fill="auto"/>
            <w:noWrap/>
            <w:hideMark/>
          </w:tcPr>
          <w:p w14:paraId="425C8241"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Терновский</w:t>
            </w:r>
          </w:p>
        </w:tc>
        <w:tc>
          <w:tcPr>
            <w:tcW w:w="2976" w:type="dxa"/>
            <w:shd w:val="clear" w:color="auto" w:fill="auto"/>
            <w:noWrap/>
            <w:hideMark/>
          </w:tcPr>
          <w:p w14:paraId="71FDC982"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259</w:t>
            </w:r>
          </w:p>
        </w:tc>
        <w:tc>
          <w:tcPr>
            <w:tcW w:w="3119" w:type="dxa"/>
            <w:shd w:val="clear" w:color="auto" w:fill="auto"/>
            <w:noWrap/>
            <w:hideMark/>
          </w:tcPr>
          <w:p w14:paraId="30286E86"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96 965 328</w:t>
            </w:r>
          </w:p>
        </w:tc>
      </w:tr>
      <w:tr w:rsidR="00E16C06" w:rsidRPr="00E16C06" w14:paraId="52772C33" w14:textId="77777777" w:rsidTr="00E16C06">
        <w:trPr>
          <w:trHeight w:val="300"/>
        </w:trPr>
        <w:tc>
          <w:tcPr>
            <w:tcW w:w="3251" w:type="dxa"/>
            <w:shd w:val="clear" w:color="auto" w:fill="auto"/>
            <w:noWrap/>
            <w:hideMark/>
          </w:tcPr>
          <w:p w14:paraId="10C7BD60"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Хохольский</w:t>
            </w:r>
          </w:p>
        </w:tc>
        <w:tc>
          <w:tcPr>
            <w:tcW w:w="2976" w:type="dxa"/>
            <w:shd w:val="clear" w:color="auto" w:fill="auto"/>
            <w:noWrap/>
            <w:hideMark/>
          </w:tcPr>
          <w:p w14:paraId="59B8CD49"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975</w:t>
            </w:r>
          </w:p>
        </w:tc>
        <w:tc>
          <w:tcPr>
            <w:tcW w:w="3119" w:type="dxa"/>
            <w:shd w:val="clear" w:color="auto" w:fill="auto"/>
            <w:noWrap/>
            <w:hideMark/>
          </w:tcPr>
          <w:p w14:paraId="21A85951"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150 336 372</w:t>
            </w:r>
          </w:p>
        </w:tc>
      </w:tr>
      <w:tr w:rsidR="00E16C06" w:rsidRPr="00E16C06" w14:paraId="192C74C4" w14:textId="77777777" w:rsidTr="00E16C06">
        <w:trPr>
          <w:trHeight w:val="300"/>
        </w:trPr>
        <w:tc>
          <w:tcPr>
            <w:tcW w:w="3251" w:type="dxa"/>
            <w:shd w:val="clear" w:color="auto" w:fill="auto"/>
            <w:noWrap/>
            <w:hideMark/>
          </w:tcPr>
          <w:p w14:paraId="40E78E13"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Эртильский</w:t>
            </w:r>
          </w:p>
        </w:tc>
        <w:tc>
          <w:tcPr>
            <w:tcW w:w="2976" w:type="dxa"/>
            <w:shd w:val="clear" w:color="auto" w:fill="auto"/>
            <w:noWrap/>
            <w:hideMark/>
          </w:tcPr>
          <w:p w14:paraId="0E4237D0"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112</w:t>
            </w:r>
          </w:p>
        </w:tc>
        <w:tc>
          <w:tcPr>
            <w:tcW w:w="3119" w:type="dxa"/>
            <w:shd w:val="clear" w:color="auto" w:fill="auto"/>
            <w:noWrap/>
            <w:hideMark/>
          </w:tcPr>
          <w:p w14:paraId="1D63CFED" w14:textId="77777777" w:rsidR="00E16C06" w:rsidRPr="00E16C06" w:rsidRDefault="00E16C06" w:rsidP="00E16C06">
            <w:pPr>
              <w:spacing w:after="0" w:line="276" w:lineRule="auto"/>
              <w:contextualSpacing/>
              <w:jc w:val="center"/>
              <w:rPr>
                <w:rFonts w:ascii="Times New Roman" w:eastAsia="SimSun" w:hAnsi="Times New Roman" w:cs="Times New Roman"/>
              </w:rPr>
            </w:pPr>
            <w:r w:rsidRPr="00E16C06">
              <w:rPr>
                <w:rFonts w:ascii="Times New Roman" w:hAnsi="Times New Roman" w:cs="Times New Roman"/>
              </w:rPr>
              <w:t>24 891 000</w:t>
            </w:r>
          </w:p>
        </w:tc>
      </w:tr>
      <w:tr w:rsidR="00E16C06" w:rsidRPr="00E16C06" w14:paraId="75CADFE4" w14:textId="77777777" w:rsidTr="00E16C06">
        <w:trPr>
          <w:trHeight w:val="315"/>
        </w:trPr>
        <w:tc>
          <w:tcPr>
            <w:tcW w:w="3251" w:type="dxa"/>
            <w:shd w:val="clear" w:color="auto" w:fill="auto"/>
            <w:noWrap/>
            <w:hideMark/>
          </w:tcPr>
          <w:p w14:paraId="5988497C" w14:textId="77777777" w:rsidR="00E16C06" w:rsidRPr="00E16C06" w:rsidRDefault="00E16C06" w:rsidP="00E16C06">
            <w:pPr>
              <w:spacing w:after="0" w:line="276" w:lineRule="auto"/>
              <w:contextualSpacing/>
              <w:jc w:val="center"/>
              <w:rPr>
                <w:rFonts w:ascii="Times New Roman" w:eastAsia="SimSun" w:hAnsi="Times New Roman" w:cs="Times New Roman"/>
                <w:b/>
                <w:bCs/>
              </w:rPr>
            </w:pPr>
            <w:r w:rsidRPr="00E16C06">
              <w:rPr>
                <w:rFonts w:ascii="Times New Roman" w:hAnsi="Times New Roman" w:cs="Times New Roman"/>
                <w:b/>
                <w:bCs/>
              </w:rPr>
              <w:t>Общий итог</w:t>
            </w:r>
          </w:p>
        </w:tc>
        <w:tc>
          <w:tcPr>
            <w:tcW w:w="2976" w:type="dxa"/>
            <w:shd w:val="clear" w:color="auto" w:fill="auto"/>
            <w:noWrap/>
            <w:hideMark/>
          </w:tcPr>
          <w:p w14:paraId="5C78026C" w14:textId="77777777" w:rsidR="00E16C06" w:rsidRPr="00E16C06" w:rsidRDefault="00E16C06" w:rsidP="00E16C06">
            <w:pPr>
              <w:spacing w:after="0" w:line="276" w:lineRule="auto"/>
              <w:contextualSpacing/>
              <w:jc w:val="center"/>
              <w:rPr>
                <w:rFonts w:ascii="Times New Roman" w:eastAsia="SimSun" w:hAnsi="Times New Roman" w:cs="Times New Roman"/>
                <w:b/>
                <w:bCs/>
              </w:rPr>
            </w:pPr>
            <w:r w:rsidRPr="00E16C06">
              <w:rPr>
                <w:rFonts w:ascii="Times New Roman" w:hAnsi="Times New Roman" w:cs="Times New Roman"/>
                <w:b/>
                <w:bCs/>
              </w:rPr>
              <w:t>12326</w:t>
            </w:r>
          </w:p>
        </w:tc>
        <w:tc>
          <w:tcPr>
            <w:tcW w:w="3119" w:type="dxa"/>
            <w:shd w:val="clear" w:color="auto" w:fill="auto"/>
            <w:noWrap/>
            <w:hideMark/>
          </w:tcPr>
          <w:p w14:paraId="0301C40D" w14:textId="77777777" w:rsidR="00E16C06" w:rsidRPr="00E16C06" w:rsidRDefault="00E16C06" w:rsidP="00E16C06">
            <w:pPr>
              <w:spacing w:after="0" w:line="276" w:lineRule="auto"/>
              <w:contextualSpacing/>
              <w:jc w:val="center"/>
              <w:rPr>
                <w:rFonts w:ascii="Times New Roman" w:eastAsia="SimSun" w:hAnsi="Times New Roman" w:cs="Times New Roman"/>
                <w:b/>
                <w:bCs/>
              </w:rPr>
            </w:pPr>
            <w:r w:rsidRPr="00E16C06">
              <w:rPr>
                <w:rFonts w:ascii="Times New Roman" w:hAnsi="Times New Roman" w:cs="Times New Roman"/>
                <w:b/>
                <w:bCs/>
              </w:rPr>
              <w:t>5 232 706 608</w:t>
            </w:r>
          </w:p>
        </w:tc>
      </w:tr>
    </w:tbl>
    <w:p w14:paraId="02FC1E60" w14:textId="77777777" w:rsidR="00E16C06" w:rsidRPr="00E16C06" w:rsidRDefault="00E16C06" w:rsidP="00E16C06">
      <w:pPr>
        <w:rPr>
          <w:rFonts w:ascii="Times New Roman" w:hAnsi="Times New Roman" w:cs="Times New Roman"/>
          <w:noProof/>
        </w:rPr>
      </w:pPr>
      <w:r w:rsidRPr="00E16C06">
        <w:rPr>
          <w:rFonts w:ascii="Times New Roman" w:hAnsi="Times New Roman" w:cs="Times New Roman"/>
          <w:noProof/>
          <w:lang w:eastAsia="ru-RU"/>
        </w:rPr>
        <w:drawing>
          <wp:inline distT="0" distB="0" distL="0" distR="0" wp14:anchorId="14E311F6" wp14:editId="6634D2F8">
            <wp:extent cx="5940425" cy="4189095"/>
            <wp:effectExtent l="0" t="0" r="3175" b="1905"/>
            <wp:docPr id="617" name="Диаграмма 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1D260CB0" w14:textId="77777777" w:rsidR="00E16C06" w:rsidRPr="00E16C06" w:rsidRDefault="00E16C06" w:rsidP="00E16C06">
      <w:pPr>
        <w:spacing w:after="0" w:line="276" w:lineRule="auto"/>
        <w:ind w:firstLine="709"/>
        <w:contextualSpacing/>
        <w:jc w:val="center"/>
        <w:rPr>
          <w:rFonts w:ascii="Times New Roman" w:eastAsia="Times New Roman" w:hAnsi="Times New Roman" w:cs="Times New Roman"/>
          <w:color w:val="000000"/>
          <w:sz w:val="26"/>
          <w:szCs w:val="26"/>
          <w:lang w:eastAsia="ru-RU"/>
        </w:rPr>
      </w:pPr>
      <w:r w:rsidRPr="00E16C06">
        <w:rPr>
          <w:rFonts w:ascii="Times New Roman" w:eastAsia="Times New Roman" w:hAnsi="Times New Roman" w:cs="Times New Roman"/>
          <w:color w:val="000000"/>
          <w:sz w:val="26"/>
          <w:szCs w:val="26"/>
          <w:lang w:eastAsia="ru-RU"/>
        </w:rPr>
        <w:t xml:space="preserve">Рис. </w:t>
      </w:r>
      <w:r w:rsidRPr="00E16C06">
        <w:rPr>
          <w:rFonts w:ascii="Times New Roman" w:eastAsia="Times New Roman" w:hAnsi="Times New Roman" w:cs="Times New Roman"/>
          <w:spacing w:val="-5"/>
          <w:sz w:val="26"/>
          <w:szCs w:val="26"/>
        </w:rPr>
        <w:t>3.3.2.21</w:t>
      </w:r>
      <w:r w:rsidRPr="00E16C06">
        <w:rPr>
          <w:rFonts w:ascii="Times New Roman" w:eastAsia="Times New Roman" w:hAnsi="Times New Roman" w:cs="Times New Roman"/>
          <w:color w:val="000000"/>
          <w:sz w:val="26"/>
          <w:szCs w:val="26"/>
          <w:lang w:eastAsia="ru-RU"/>
        </w:rPr>
        <w:t xml:space="preserve"> </w:t>
      </w:r>
      <w:r w:rsidRPr="00E16C06">
        <w:rPr>
          <w:rFonts w:ascii="Times New Roman" w:eastAsia="Times New Roman" w:hAnsi="Times New Roman" w:cs="Times New Roman"/>
          <w:spacing w:val="-5"/>
          <w:sz w:val="26"/>
          <w:szCs w:val="26"/>
        </w:rPr>
        <w:t>– Распределение земельных участков, относящихся к сегменту 10 «Использование лесов», по муниципальным районам Воронежской области</w:t>
      </w:r>
    </w:p>
    <w:p w14:paraId="57C17E2D"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p>
    <w:p w14:paraId="351264B5" w14:textId="77777777" w:rsidR="00E16C06" w:rsidRPr="00E16C06" w:rsidRDefault="00E16C06" w:rsidP="00E16C06">
      <w:pPr>
        <w:spacing w:after="0" w:line="276" w:lineRule="auto"/>
        <w:ind w:firstLine="709"/>
        <w:contextualSpacing/>
        <w:jc w:val="both"/>
        <w:rPr>
          <w:rFonts w:ascii="Times New Roman" w:hAnsi="Times New Roman" w:cs="Times New Roman"/>
          <w:sz w:val="26"/>
          <w:szCs w:val="26"/>
        </w:rPr>
      </w:pPr>
      <w:r w:rsidRPr="00E16C06">
        <w:rPr>
          <w:rFonts w:ascii="Times New Roman" w:hAnsi="Times New Roman" w:cs="Times New Roman"/>
          <w:sz w:val="26"/>
          <w:szCs w:val="26"/>
        </w:rPr>
        <w:t>В соответствии с сегментацией объектов недвижимости с указанием кодов расчета вида использования (приложение № 1 Указаний) 10 сегмент включает в себя коды расчета 10:000; 10:010, 10:020, 10:040. Распределение земельных участков 10 сегмента по кодам вида использования представлено в таблице 3.3.2.22.</w:t>
      </w:r>
    </w:p>
    <w:p w14:paraId="1DAE3DDC" w14:textId="77777777" w:rsidR="00E16C06" w:rsidRPr="00E16C06" w:rsidRDefault="00E16C06" w:rsidP="00E16C06">
      <w:pPr>
        <w:spacing w:after="0" w:line="276" w:lineRule="auto"/>
        <w:ind w:firstLine="709"/>
        <w:contextualSpacing/>
        <w:jc w:val="right"/>
        <w:rPr>
          <w:rFonts w:ascii="Times New Roman" w:hAnsi="Times New Roman" w:cs="Times New Roman"/>
          <w:sz w:val="26"/>
          <w:szCs w:val="26"/>
        </w:rPr>
      </w:pPr>
    </w:p>
    <w:p w14:paraId="4087ED0D" w14:textId="77777777" w:rsidR="00E16C06" w:rsidRPr="00E16C06" w:rsidRDefault="00E16C06" w:rsidP="00E16C06">
      <w:pPr>
        <w:spacing w:after="0" w:line="276" w:lineRule="auto"/>
        <w:ind w:firstLine="709"/>
        <w:contextualSpacing/>
        <w:jc w:val="right"/>
        <w:rPr>
          <w:rFonts w:ascii="Times New Roman" w:hAnsi="Times New Roman" w:cs="Times New Roman"/>
          <w:sz w:val="26"/>
          <w:szCs w:val="26"/>
        </w:rPr>
      </w:pPr>
      <w:r w:rsidRPr="00E16C06">
        <w:rPr>
          <w:rFonts w:ascii="Times New Roman" w:hAnsi="Times New Roman" w:cs="Times New Roman"/>
          <w:sz w:val="26"/>
          <w:szCs w:val="26"/>
        </w:rPr>
        <w:t xml:space="preserve">Таблица </w:t>
      </w:r>
      <w:r w:rsidRPr="00E16C06">
        <w:rPr>
          <w:rFonts w:ascii="Times New Roman" w:eastAsia="Times New Roman" w:hAnsi="Times New Roman" w:cs="Times New Roman"/>
          <w:spacing w:val="-5"/>
          <w:sz w:val="26"/>
          <w:szCs w:val="26"/>
        </w:rPr>
        <w:t>3.3.2.22</w:t>
      </w:r>
    </w:p>
    <w:p w14:paraId="399DD42E"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Распределение объектов оценки по кодам расчета вида использования</w:t>
      </w:r>
    </w:p>
    <w:p w14:paraId="76E1B4F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hAnsi="Times New Roman" w:cs="Times New Roman"/>
          <w:sz w:val="26"/>
          <w:szCs w:val="26"/>
        </w:rPr>
        <w:t>в составе 10 сегмента</w:t>
      </w:r>
    </w:p>
    <w:tbl>
      <w:tblPr>
        <w:tblStyle w:val="ae"/>
        <w:tblW w:w="0" w:type="auto"/>
        <w:tblLook w:val="04A0" w:firstRow="1" w:lastRow="0" w:firstColumn="1" w:lastColumn="0" w:noHBand="0" w:noVBand="1"/>
      </w:tblPr>
      <w:tblGrid>
        <w:gridCol w:w="2547"/>
        <w:gridCol w:w="3683"/>
        <w:gridCol w:w="3115"/>
      </w:tblGrid>
      <w:tr w:rsidR="00E16C06" w:rsidRPr="00E16C06" w14:paraId="129902EB" w14:textId="77777777" w:rsidTr="00E16C06">
        <w:tc>
          <w:tcPr>
            <w:tcW w:w="2547" w:type="dxa"/>
            <w:vAlign w:val="center"/>
          </w:tcPr>
          <w:p w14:paraId="4BE9244D"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Сегмент</w:t>
            </w:r>
          </w:p>
        </w:tc>
        <w:tc>
          <w:tcPr>
            <w:tcW w:w="3683" w:type="dxa"/>
            <w:vAlign w:val="center"/>
          </w:tcPr>
          <w:p w14:paraId="4A228872"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Код расчета вида использования</w:t>
            </w:r>
          </w:p>
        </w:tc>
        <w:tc>
          <w:tcPr>
            <w:tcW w:w="3115" w:type="dxa"/>
            <w:vAlign w:val="center"/>
          </w:tcPr>
          <w:p w14:paraId="29D95B87"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Количество ЗУ</w:t>
            </w:r>
          </w:p>
        </w:tc>
      </w:tr>
      <w:tr w:rsidR="00E16C06" w:rsidRPr="00E16C06" w14:paraId="25985DD9" w14:textId="77777777" w:rsidTr="00E16C06">
        <w:tc>
          <w:tcPr>
            <w:tcW w:w="2547" w:type="dxa"/>
            <w:vMerge w:val="restart"/>
            <w:vAlign w:val="center"/>
          </w:tcPr>
          <w:p w14:paraId="13119FAE"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10</w:t>
            </w:r>
          </w:p>
        </w:tc>
        <w:tc>
          <w:tcPr>
            <w:tcW w:w="3683" w:type="dxa"/>
            <w:tcBorders>
              <w:top w:val="single" w:sz="4" w:space="0" w:color="auto"/>
              <w:left w:val="single" w:sz="4" w:space="0" w:color="auto"/>
              <w:bottom w:val="single" w:sz="4" w:space="0" w:color="auto"/>
              <w:right w:val="single" w:sz="4" w:space="0" w:color="auto"/>
            </w:tcBorders>
            <w:shd w:val="clear" w:color="auto" w:fill="auto"/>
          </w:tcPr>
          <w:p w14:paraId="2627936E"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10:000</w:t>
            </w:r>
          </w:p>
        </w:tc>
        <w:tc>
          <w:tcPr>
            <w:tcW w:w="3115" w:type="dxa"/>
            <w:tcBorders>
              <w:top w:val="single" w:sz="4" w:space="0" w:color="auto"/>
              <w:left w:val="nil"/>
              <w:bottom w:val="single" w:sz="4" w:space="0" w:color="auto"/>
              <w:right w:val="single" w:sz="4" w:space="0" w:color="auto"/>
            </w:tcBorders>
            <w:shd w:val="clear" w:color="auto" w:fill="auto"/>
          </w:tcPr>
          <w:p w14:paraId="574FA5CC"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297</w:t>
            </w:r>
          </w:p>
        </w:tc>
      </w:tr>
      <w:tr w:rsidR="00E16C06" w:rsidRPr="00E16C06" w14:paraId="4E880E83" w14:textId="77777777" w:rsidTr="00E16C06">
        <w:tc>
          <w:tcPr>
            <w:tcW w:w="2547" w:type="dxa"/>
            <w:vMerge/>
          </w:tcPr>
          <w:p w14:paraId="61552665" w14:textId="77777777" w:rsidR="00E16C06" w:rsidRPr="00E16C06" w:rsidRDefault="00E16C06" w:rsidP="00E16C06">
            <w:pPr>
              <w:spacing w:line="276" w:lineRule="auto"/>
              <w:contextualSpacing/>
              <w:jc w:val="center"/>
              <w:rPr>
                <w:rFonts w:ascii="Times New Roman" w:hAnsi="Times New Roman" w:cs="Times New Roman"/>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1AAEE55B"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10:010</w:t>
            </w:r>
          </w:p>
        </w:tc>
        <w:tc>
          <w:tcPr>
            <w:tcW w:w="3115" w:type="dxa"/>
            <w:tcBorders>
              <w:top w:val="nil"/>
              <w:left w:val="nil"/>
              <w:bottom w:val="single" w:sz="4" w:space="0" w:color="auto"/>
              <w:right w:val="single" w:sz="4" w:space="0" w:color="auto"/>
            </w:tcBorders>
            <w:shd w:val="clear" w:color="auto" w:fill="auto"/>
          </w:tcPr>
          <w:p w14:paraId="42A1A6C8"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11993</w:t>
            </w:r>
          </w:p>
        </w:tc>
      </w:tr>
      <w:tr w:rsidR="00E16C06" w:rsidRPr="00E16C06" w14:paraId="032006D4" w14:textId="77777777" w:rsidTr="00E16C06">
        <w:tc>
          <w:tcPr>
            <w:tcW w:w="2547" w:type="dxa"/>
            <w:vMerge/>
          </w:tcPr>
          <w:p w14:paraId="54A198D9" w14:textId="77777777" w:rsidR="00E16C06" w:rsidRPr="00E16C06" w:rsidRDefault="00E16C06" w:rsidP="00E16C06">
            <w:pPr>
              <w:spacing w:line="276" w:lineRule="auto"/>
              <w:contextualSpacing/>
              <w:jc w:val="center"/>
              <w:rPr>
                <w:rFonts w:ascii="Times New Roman" w:hAnsi="Times New Roman" w:cs="Times New Roman"/>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56718DD4"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10:020</w:t>
            </w:r>
          </w:p>
        </w:tc>
        <w:tc>
          <w:tcPr>
            <w:tcW w:w="3115" w:type="dxa"/>
            <w:tcBorders>
              <w:top w:val="nil"/>
              <w:left w:val="nil"/>
              <w:bottom w:val="single" w:sz="4" w:space="0" w:color="auto"/>
              <w:right w:val="single" w:sz="4" w:space="0" w:color="auto"/>
            </w:tcBorders>
            <w:shd w:val="clear" w:color="auto" w:fill="auto"/>
          </w:tcPr>
          <w:p w14:paraId="5D5AE56A"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24</w:t>
            </w:r>
          </w:p>
        </w:tc>
      </w:tr>
      <w:tr w:rsidR="00E16C06" w:rsidRPr="00E16C06" w14:paraId="0694651E" w14:textId="77777777" w:rsidTr="00E16C06">
        <w:tc>
          <w:tcPr>
            <w:tcW w:w="2547" w:type="dxa"/>
            <w:vMerge/>
          </w:tcPr>
          <w:p w14:paraId="7EB29508" w14:textId="77777777" w:rsidR="00E16C06" w:rsidRPr="00E16C06" w:rsidRDefault="00E16C06" w:rsidP="00E16C06">
            <w:pPr>
              <w:spacing w:line="276" w:lineRule="auto"/>
              <w:contextualSpacing/>
              <w:jc w:val="center"/>
              <w:rPr>
                <w:rFonts w:ascii="Times New Roman" w:hAnsi="Times New Roman" w:cs="Times New Roman"/>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240C3F95"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10:040</w:t>
            </w:r>
          </w:p>
        </w:tc>
        <w:tc>
          <w:tcPr>
            <w:tcW w:w="3115" w:type="dxa"/>
            <w:tcBorders>
              <w:top w:val="nil"/>
              <w:left w:val="nil"/>
              <w:bottom w:val="single" w:sz="4" w:space="0" w:color="auto"/>
              <w:right w:val="single" w:sz="4" w:space="0" w:color="auto"/>
            </w:tcBorders>
            <w:shd w:val="clear" w:color="auto" w:fill="auto"/>
          </w:tcPr>
          <w:p w14:paraId="04F00249"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12</w:t>
            </w:r>
          </w:p>
        </w:tc>
      </w:tr>
      <w:tr w:rsidR="00E16C06" w:rsidRPr="00E16C06" w14:paraId="4E5690EF" w14:textId="77777777" w:rsidTr="00E16C06">
        <w:tc>
          <w:tcPr>
            <w:tcW w:w="2547" w:type="dxa"/>
          </w:tcPr>
          <w:p w14:paraId="05F7E507"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Итог</w:t>
            </w:r>
          </w:p>
        </w:tc>
        <w:tc>
          <w:tcPr>
            <w:tcW w:w="3683" w:type="dxa"/>
          </w:tcPr>
          <w:p w14:paraId="1219E8B4" w14:textId="77777777" w:rsidR="00E16C06" w:rsidRPr="00E16C06" w:rsidRDefault="00E16C06" w:rsidP="00E16C06">
            <w:pPr>
              <w:spacing w:line="276" w:lineRule="auto"/>
              <w:contextualSpacing/>
              <w:jc w:val="center"/>
              <w:rPr>
                <w:rFonts w:ascii="Times New Roman" w:hAnsi="Times New Roman" w:cs="Times New Roman"/>
                <w:b/>
                <w:sz w:val="22"/>
                <w:szCs w:val="22"/>
              </w:rPr>
            </w:pPr>
          </w:p>
        </w:tc>
        <w:tc>
          <w:tcPr>
            <w:tcW w:w="3115" w:type="dxa"/>
          </w:tcPr>
          <w:p w14:paraId="07010CD9"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12326</w:t>
            </w:r>
          </w:p>
        </w:tc>
      </w:tr>
    </w:tbl>
    <w:p w14:paraId="6A031230" w14:textId="77777777" w:rsidR="00E16C06" w:rsidRPr="00E16C06" w:rsidRDefault="00E16C06" w:rsidP="00E16C06">
      <w:pPr>
        <w:spacing w:after="0" w:line="276" w:lineRule="auto"/>
        <w:contextualSpacing/>
        <w:rPr>
          <w:rFonts w:ascii="Times New Roman" w:eastAsia="Times New Roman" w:hAnsi="Times New Roman" w:cs="Times New Roman"/>
          <w:spacing w:val="-5"/>
          <w:sz w:val="26"/>
          <w:szCs w:val="26"/>
        </w:rPr>
      </w:pPr>
    </w:p>
    <w:p w14:paraId="12DDB4D3" w14:textId="77777777" w:rsidR="00E16C06" w:rsidRPr="00E16C06" w:rsidRDefault="00E16C06" w:rsidP="00E16C06">
      <w:pPr>
        <w:rPr>
          <w:rFonts w:ascii="Times New Roman" w:eastAsia="Times New Roman" w:hAnsi="Times New Roman" w:cs="Times New Roman"/>
          <w:sz w:val="26"/>
          <w:szCs w:val="26"/>
        </w:rPr>
      </w:pPr>
      <w:r w:rsidRPr="00E16C06">
        <w:rPr>
          <w:rFonts w:ascii="Times New Roman" w:hAnsi="Times New Roman" w:cs="Times New Roman"/>
          <w:noProof/>
          <w:lang w:eastAsia="ru-RU"/>
        </w:rPr>
        <w:drawing>
          <wp:inline distT="0" distB="0" distL="0" distR="0" wp14:anchorId="138E74AC" wp14:editId="5B1EB8A2">
            <wp:extent cx="5916305" cy="3200400"/>
            <wp:effectExtent l="0" t="0" r="8255" b="0"/>
            <wp:docPr id="618" name="Диаграмма 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5E6EC004"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eastAsia="Times New Roman" w:hAnsi="Times New Roman" w:cs="Times New Roman"/>
          <w:spacing w:val="-5"/>
          <w:sz w:val="26"/>
          <w:szCs w:val="26"/>
        </w:rPr>
        <w:t xml:space="preserve">Рис. 3.3.2.22 – </w:t>
      </w:r>
      <w:r w:rsidRPr="00E16C06">
        <w:rPr>
          <w:rFonts w:ascii="Times New Roman" w:hAnsi="Times New Roman" w:cs="Times New Roman"/>
          <w:sz w:val="26"/>
          <w:szCs w:val="26"/>
        </w:rPr>
        <w:t>Распределение объектов оценки по кодам расчета вида использования в составе 10 сегмента</w:t>
      </w:r>
    </w:p>
    <w:p w14:paraId="59C95096" w14:textId="77777777" w:rsidR="00E16C06" w:rsidRPr="00E16C06" w:rsidRDefault="00E16C06" w:rsidP="00E16C06">
      <w:pPr>
        <w:spacing w:after="0" w:line="276" w:lineRule="auto"/>
        <w:contextualSpacing/>
        <w:jc w:val="center"/>
        <w:rPr>
          <w:rFonts w:ascii="Times New Roman" w:eastAsia="Times New Roman" w:hAnsi="Times New Roman" w:cs="Times New Roman"/>
          <w:b/>
          <w:i/>
          <w:spacing w:val="-5"/>
          <w:sz w:val="26"/>
          <w:szCs w:val="26"/>
        </w:rPr>
      </w:pPr>
    </w:p>
    <w:p w14:paraId="1B25835B" w14:textId="77777777" w:rsidR="00E16C06" w:rsidRPr="00E16C06" w:rsidRDefault="00E16C06" w:rsidP="00E16C06">
      <w:pPr>
        <w:spacing w:after="0" w:line="276" w:lineRule="auto"/>
        <w:contextualSpacing/>
        <w:jc w:val="center"/>
        <w:rPr>
          <w:rFonts w:ascii="Times New Roman" w:eastAsia="Times New Roman" w:hAnsi="Times New Roman" w:cs="Times New Roman"/>
          <w:color w:val="000000"/>
          <w:sz w:val="26"/>
          <w:szCs w:val="26"/>
          <w:lang w:eastAsia="ru-RU"/>
        </w:rPr>
      </w:pPr>
      <w:r w:rsidRPr="00E16C06">
        <w:rPr>
          <w:rFonts w:ascii="Times New Roman" w:eastAsia="Times New Roman" w:hAnsi="Times New Roman" w:cs="Times New Roman"/>
          <w:i/>
          <w:spacing w:val="-5"/>
          <w:sz w:val="26"/>
          <w:szCs w:val="26"/>
        </w:rPr>
        <w:t xml:space="preserve">Описание объектов недвижимости </w:t>
      </w:r>
      <w:r w:rsidRPr="00E16C06">
        <w:rPr>
          <w:rFonts w:ascii="Times New Roman" w:eastAsia="Times New Roman" w:hAnsi="Times New Roman" w:cs="Times New Roman"/>
          <w:i/>
          <w:color w:val="000000"/>
          <w:sz w:val="26"/>
          <w:szCs w:val="26"/>
          <w:lang w:eastAsia="ru-RU"/>
        </w:rPr>
        <w:t>11 сегмента «Водные объекты»</w:t>
      </w:r>
    </w:p>
    <w:p w14:paraId="092CED03" w14:textId="77777777" w:rsidR="00E16C06" w:rsidRPr="00E16C06" w:rsidRDefault="00E16C06" w:rsidP="00E16C06">
      <w:pPr>
        <w:spacing w:after="0" w:line="276" w:lineRule="auto"/>
        <w:contextualSpacing/>
        <w:jc w:val="center"/>
        <w:rPr>
          <w:rFonts w:ascii="Times New Roman" w:eastAsia="Times New Roman" w:hAnsi="Times New Roman" w:cs="Times New Roman"/>
          <w:color w:val="000000"/>
          <w:sz w:val="26"/>
          <w:szCs w:val="26"/>
          <w:lang w:eastAsia="ru-RU"/>
        </w:rPr>
      </w:pPr>
    </w:p>
    <w:p w14:paraId="1B8D5359" w14:textId="77777777" w:rsidR="00E16C06" w:rsidRPr="00E16C06" w:rsidRDefault="00E16C06" w:rsidP="00E16C06">
      <w:pPr>
        <w:spacing w:after="0" w:line="276" w:lineRule="auto"/>
        <w:ind w:firstLine="709"/>
        <w:contextualSpacing/>
        <w:jc w:val="both"/>
        <w:rPr>
          <w:rFonts w:ascii="Times New Roman" w:hAnsi="Times New Roman" w:cs="Times New Roman"/>
          <w:sz w:val="26"/>
          <w:szCs w:val="26"/>
        </w:rPr>
      </w:pPr>
      <w:r w:rsidRPr="00E16C06">
        <w:rPr>
          <w:rFonts w:ascii="Times New Roman" w:hAnsi="Times New Roman" w:cs="Times New Roman"/>
          <w:color w:val="000000" w:themeColor="text1"/>
          <w:sz w:val="26"/>
          <w:szCs w:val="26"/>
        </w:rPr>
        <w:t>Наибольшее количество земельных участков 11 сегмента сосредоточено в Грибановском районе – 86 объектов. Наименьшее количество земельных участков 11 сегмента сосредоточено в г. Воронеже – 3 объекта.</w:t>
      </w:r>
    </w:p>
    <w:p w14:paraId="17C34D35" w14:textId="77777777" w:rsidR="00E16C06" w:rsidRPr="00E16C06" w:rsidRDefault="00E16C06" w:rsidP="00E16C06">
      <w:pPr>
        <w:spacing w:after="0" w:line="276" w:lineRule="auto"/>
        <w:ind w:firstLine="709"/>
        <w:contextualSpacing/>
        <w:jc w:val="right"/>
        <w:rPr>
          <w:rFonts w:ascii="Times New Roman" w:hAnsi="Times New Roman" w:cs="Times New Roman"/>
          <w:color w:val="000000" w:themeColor="text1"/>
          <w:sz w:val="26"/>
          <w:szCs w:val="26"/>
        </w:rPr>
      </w:pPr>
      <w:r w:rsidRPr="00E16C06">
        <w:rPr>
          <w:rFonts w:ascii="Times New Roman" w:eastAsia="Times New Roman" w:hAnsi="Times New Roman" w:cs="Times New Roman"/>
          <w:spacing w:val="-5"/>
          <w:sz w:val="26"/>
          <w:szCs w:val="26"/>
        </w:rPr>
        <w:t>Таблица 3.3.2.23</w:t>
      </w:r>
    </w:p>
    <w:p w14:paraId="3A75B5D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Распределение земельных участков и площадей, относящихся к сегменту 11 «Водные объекты», по муниципальным районам Воронежской области</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2693"/>
        <w:gridCol w:w="3119"/>
      </w:tblGrid>
      <w:tr w:rsidR="00E16C06" w:rsidRPr="00E16C06" w14:paraId="1FFF362F" w14:textId="77777777" w:rsidTr="00E16C06">
        <w:trPr>
          <w:trHeight w:val="300"/>
        </w:trPr>
        <w:tc>
          <w:tcPr>
            <w:tcW w:w="3534" w:type="dxa"/>
            <w:noWrap/>
            <w:vAlign w:val="center"/>
            <w:hideMark/>
          </w:tcPr>
          <w:p w14:paraId="50CE76F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Район</w:t>
            </w:r>
          </w:p>
        </w:tc>
        <w:tc>
          <w:tcPr>
            <w:tcW w:w="2693" w:type="dxa"/>
            <w:noWrap/>
            <w:vAlign w:val="center"/>
            <w:hideMark/>
          </w:tcPr>
          <w:p w14:paraId="1BB6A47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Количество ЗУ</w:t>
            </w:r>
          </w:p>
        </w:tc>
        <w:tc>
          <w:tcPr>
            <w:tcW w:w="3119" w:type="dxa"/>
            <w:noWrap/>
            <w:vAlign w:val="center"/>
            <w:hideMark/>
          </w:tcPr>
          <w:p w14:paraId="48D1498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Площадь, кв. м.</w:t>
            </w:r>
          </w:p>
        </w:tc>
      </w:tr>
      <w:tr w:rsidR="00E16C06" w:rsidRPr="00E16C06" w14:paraId="0EF4C9EF" w14:textId="77777777" w:rsidTr="00E16C06">
        <w:trPr>
          <w:trHeight w:val="300"/>
        </w:trPr>
        <w:tc>
          <w:tcPr>
            <w:tcW w:w="3534" w:type="dxa"/>
            <w:shd w:val="clear" w:color="auto" w:fill="auto"/>
            <w:noWrap/>
            <w:hideMark/>
          </w:tcPr>
          <w:p w14:paraId="1CCE770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Аннинский</w:t>
            </w:r>
          </w:p>
        </w:tc>
        <w:tc>
          <w:tcPr>
            <w:tcW w:w="2693" w:type="dxa"/>
            <w:shd w:val="clear" w:color="auto" w:fill="auto"/>
            <w:noWrap/>
            <w:hideMark/>
          </w:tcPr>
          <w:p w14:paraId="37B8113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46</w:t>
            </w:r>
          </w:p>
        </w:tc>
        <w:tc>
          <w:tcPr>
            <w:tcW w:w="3119" w:type="dxa"/>
            <w:shd w:val="clear" w:color="auto" w:fill="auto"/>
            <w:noWrap/>
            <w:hideMark/>
          </w:tcPr>
          <w:p w14:paraId="2B7A53F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8 824 096</w:t>
            </w:r>
          </w:p>
        </w:tc>
      </w:tr>
      <w:tr w:rsidR="00E16C06" w:rsidRPr="00E16C06" w14:paraId="418AB9D4" w14:textId="77777777" w:rsidTr="00E16C06">
        <w:trPr>
          <w:trHeight w:val="300"/>
        </w:trPr>
        <w:tc>
          <w:tcPr>
            <w:tcW w:w="3534" w:type="dxa"/>
            <w:shd w:val="clear" w:color="auto" w:fill="auto"/>
            <w:noWrap/>
            <w:hideMark/>
          </w:tcPr>
          <w:p w14:paraId="5FF3921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Бобровский</w:t>
            </w:r>
          </w:p>
        </w:tc>
        <w:tc>
          <w:tcPr>
            <w:tcW w:w="2693" w:type="dxa"/>
            <w:shd w:val="clear" w:color="auto" w:fill="auto"/>
            <w:noWrap/>
            <w:hideMark/>
          </w:tcPr>
          <w:p w14:paraId="1E37718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w:t>
            </w:r>
          </w:p>
        </w:tc>
        <w:tc>
          <w:tcPr>
            <w:tcW w:w="3119" w:type="dxa"/>
            <w:shd w:val="clear" w:color="auto" w:fill="auto"/>
            <w:noWrap/>
            <w:hideMark/>
          </w:tcPr>
          <w:p w14:paraId="500A988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600 762</w:t>
            </w:r>
          </w:p>
        </w:tc>
      </w:tr>
      <w:tr w:rsidR="00E16C06" w:rsidRPr="00E16C06" w14:paraId="29F352B9" w14:textId="77777777" w:rsidTr="00E16C06">
        <w:trPr>
          <w:trHeight w:val="300"/>
        </w:trPr>
        <w:tc>
          <w:tcPr>
            <w:tcW w:w="3534" w:type="dxa"/>
            <w:shd w:val="clear" w:color="auto" w:fill="auto"/>
            <w:noWrap/>
            <w:hideMark/>
          </w:tcPr>
          <w:p w14:paraId="0207CFB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Богучарский</w:t>
            </w:r>
          </w:p>
        </w:tc>
        <w:tc>
          <w:tcPr>
            <w:tcW w:w="2693" w:type="dxa"/>
            <w:shd w:val="clear" w:color="auto" w:fill="auto"/>
            <w:noWrap/>
            <w:hideMark/>
          </w:tcPr>
          <w:p w14:paraId="00B9315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w:t>
            </w:r>
          </w:p>
        </w:tc>
        <w:tc>
          <w:tcPr>
            <w:tcW w:w="3119" w:type="dxa"/>
            <w:shd w:val="clear" w:color="auto" w:fill="auto"/>
            <w:noWrap/>
            <w:hideMark/>
          </w:tcPr>
          <w:p w14:paraId="5BA6D2D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2 365 990</w:t>
            </w:r>
          </w:p>
        </w:tc>
      </w:tr>
      <w:tr w:rsidR="00E16C06" w:rsidRPr="00E16C06" w14:paraId="6057D73B" w14:textId="77777777" w:rsidTr="00E16C06">
        <w:trPr>
          <w:trHeight w:val="300"/>
        </w:trPr>
        <w:tc>
          <w:tcPr>
            <w:tcW w:w="3534" w:type="dxa"/>
            <w:shd w:val="clear" w:color="auto" w:fill="auto"/>
            <w:noWrap/>
            <w:hideMark/>
          </w:tcPr>
          <w:p w14:paraId="76B95B0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Борисоглебский</w:t>
            </w:r>
          </w:p>
        </w:tc>
        <w:tc>
          <w:tcPr>
            <w:tcW w:w="2693" w:type="dxa"/>
            <w:shd w:val="clear" w:color="auto" w:fill="auto"/>
            <w:noWrap/>
            <w:hideMark/>
          </w:tcPr>
          <w:p w14:paraId="3FE5CA8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w:t>
            </w:r>
          </w:p>
        </w:tc>
        <w:tc>
          <w:tcPr>
            <w:tcW w:w="3119" w:type="dxa"/>
            <w:shd w:val="clear" w:color="auto" w:fill="auto"/>
            <w:noWrap/>
            <w:hideMark/>
          </w:tcPr>
          <w:p w14:paraId="6D974C5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847 198</w:t>
            </w:r>
          </w:p>
        </w:tc>
      </w:tr>
      <w:tr w:rsidR="00E16C06" w:rsidRPr="00E16C06" w14:paraId="213329C8" w14:textId="77777777" w:rsidTr="00E16C06">
        <w:trPr>
          <w:trHeight w:val="300"/>
        </w:trPr>
        <w:tc>
          <w:tcPr>
            <w:tcW w:w="3534" w:type="dxa"/>
            <w:shd w:val="clear" w:color="auto" w:fill="auto"/>
            <w:noWrap/>
            <w:hideMark/>
          </w:tcPr>
          <w:p w14:paraId="24E8CC9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Бутурлиновский</w:t>
            </w:r>
          </w:p>
        </w:tc>
        <w:tc>
          <w:tcPr>
            <w:tcW w:w="2693" w:type="dxa"/>
            <w:shd w:val="clear" w:color="auto" w:fill="auto"/>
            <w:noWrap/>
            <w:hideMark/>
          </w:tcPr>
          <w:p w14:paraId="11FCEA9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40</w:t>
            </w:r>
          </w:p>
        </w:tc>
        <w:tc>
          <w:tcPr>
            <w:tcW w:w="3119" w:type="dxa"/>
            <w:shd w:val="clear" w:color="auto" w:fill="auto"/>
            <w:noWrap/>
            <w:hideMark/>
          </w:tcPr>
          <w:p w14:paraId="2EC0456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3 599 974</w:t>
            </w:r>
          </w:p>
        </w:tc>
      </w:tr>
      <w:tr w:rsidR="00E16C06" w:rsidRPr="00E16C06" w14:paraId="3D513CD7" w14:textId="77777777" w:rsidTr="00E16C06">
        <w:trPr>
          <w:trHeight w:val="300"/>
        </w:trPr>
        <w:tc>
          <w:tcPr>
            <w:tcW w:w="3534" w:type="dxa"/>
            <w:shd w:val="clear" w:color="auto" w:fill="auto"/>
            <w:noWrap/>
            <w:hideMark/>
          </w:tcPr>
          <w:p w14:paraId="42D69B5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Верхнемамонский</w:t>
            </w:r>
          </w:p>
        </w:tc>
        <w:tc>
          <w:tcPr>
            <w:tcW w:w="2693" w:type="dxa"/>
            <w:shd w:val="clear" w:color="auto" w:fill="auto"/>
            <w:noWrap/>
            <w:hideMark/>
          </w:tcPr>
          <w:p w14:paraId="3E11856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w:t>
            </w:r>
          </w:p>
        </w:tc>
        <w:tc>
          <w:tcPr>
            <w:tcW w:w="3119" w:type="dxa"/>
            <w:shd w:val="clear" w:color="auto" w:fill="auto"/>
            <w:noWrap/>
            <w:hideMark/>
          </w:tcPr>
          <w:p w14:paraId="4138DBB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400 023</w:t>
            </w:r>
          </w:p>
        </w:tc>
      </w:tr>
      <w:tr w:rsidR="00E16C06" w:rsidRPr="00E16C06" w14:paraId="6FAD307A" w14:textId="77777777" w:rsidTr="00E16C06">
        <w:trPr>
          <w:trHeight w:val="300"/>
        </w:trPr>
        <w:tc>
          <w:tcPr>
            <w:tcW w:w="3534" w:type="dxa"/>
            <w:shd w:val="clear" w:color="auto" w:fill="auto"/>
            <w:noWrap/>
            <w:hideMark/>
          </w:tcPr>
          <w:p w14:paraId="7097E3A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Верхнехавский</w:t>
            </w:r>
          </w:p>
        </w:tc>
        <w:tc>
          <w:tcPr>
            <w:tcW w:w="2693" w:type="dxa"/>
            <w:shd w:val="clear" w:color="auto" w:fill="auto"/>
            <w:noWrap/>
            <w:hideMark/>
          </w:tcPr>
          <w:p w14:paraId="0E04D4C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18</w:t>
            </w:r>
          </w:p>
        </w:tc>
        <w:tc>
          <w:tcPr>
            <w:tcW w:w="3119" w:type="dxa"/>
            <w:shd w:val="clear" w:color="auto" w:fill="auto"/>
            <w:noWrap/>
            <w:hideMark/>
          </w:tcPr>
          <w:p w14:paraId="6A62E9B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3 780 807</w:t>
            </w:r>
          </w:p>
        </w:tc>
      </w:tr>
      <w:tr w:rsidR="00E16C06" w:rsidRPr="00E16C06" w14:paraId="769D561D" w14:textId="77777777" w:rsidTr="00E16C06">
        <w:trPr>
          <w:trHeight w:val="300"/>
        </w:trPr>
        <w:tc>
          <w:tcPr>
            <w:tcW w:w="3534" w:type="dxa"/>
            <w:shd w:val="clear" w:color="auto" w:fill="auto"/>
            <w:noWrap/>
            <w:hideMark/>
          </w:tcPr>
          <w:p w14:paraId="6229A31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Воробьевский</w:t>
            </w:r>
          </w:p>
        </w:tc>
        <w:tc>
          <w:tcPr>
            <w:tcW w:w="2693" w:type="dxa"/>
            <w:shd w:val="clear" w:color="auto" w:fill="auto"/>
            <w:noWrap/>
            <w:hideMark/>
          </w:tcPr>
          <w:p w14:paraId="7262A36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w:t>
            </w:r>
          </w:p>
        </w:tc>
        <w:tc>
          <w:tcPr>
            <w:tcW w:w="3119" w:type="dxa"/>
            <w:shd w:val="clear" w:color="auto" w:fill="auto"/>
            <w:noWrap/>
            <w:hideMark/>
          </w:tcPr>
          <w:p w14:paraId="4D23EF3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442 388</w:t>
            </w:r>
          </w:p>
        </w:tc>
      </w:tr>
      <w:tr w:rsidR="00E16C06" w:rsidRPr="00E16C06" w14:paraId="7C6C0E79" w14:textId="77777777" w:rsidTr="00E16C06">
        <w:trPr>
          <w:trHeight w:val="300"/>
        </w:trPr>
        <w:tc>
          <w:tcPr>
            <w:tcW w:w="3534" w:type="dxa"/>
            <w:shd w:val="clear" w:color="auto" w:fill="auto"/>
            <w:noWrap/>
            <w:hideMark/>
          </w:tcPr>
          <w:p w14:paraId="0CFD92C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ГО г. Воронеж</w:t>
            </w:r>
          </w:p>
        </w:tc>
        <w:tc>
          <w:tcPr>
            <w:tcW w:w="2693" w:type="dxa"/>
            <w:shd w:val="clear" w:color="auto" w:fill="auto"/>
            <w:noWrap/>
            <w:hideMark/>
          </w:tcPr>
          <w:p w14:paraId="76F4495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w:t>
            </w:r>
          </w:p>
        </w:tc>
        <w:tc>
          <w:tcPr>
            <w:tcW w:w="3119" w:type="dxa"/>
            <w:shd w:val="clear" w:color="auto" w:fill="auto"/>
            <w:noWrap/>
            <w:hideMark/>
          </w:tcPr>
          <w:p w14:paraId="14AE43C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52 958</w:t>
            </w:r>
          </w:p>
        </w:tc>
      </w:tr>
      <w:tr w:rsidR="00E16C06" w:rsidRPr="00E16C06" w14:paraId="257B13F7" w14:textId="77777777" w:rsidTr="00E16C06">
        <w:trPr>
          <w:trHeight w:val="300"/>
        </w:trPr>
        <w:tc>
          <w:tcPr>
            <w:tcW w:w="3534" w:type="dxa"/>
            <w:shd w:val="clear" w:color="auto" w:fill="auto"/>
            <w:noWrap/>
            <w:hideMark/>
          </w:tcPr>
          <w:p w14:paraId="5874339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Грибановский</w:t>
            </w:r>
          </w:p>
        </w:tc>
        <w:tc>
          <w:tcPr>
            <w:tcW w:w="2693" w:type="dxa"/>
            <w:shd w:val="clear" w:color="auto" w:fill="auto"/>
            <w:noWrap/>
            <w:hideMark/>
          </w:tcPr>
          <w:p w14:paraId="7CEBF69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86</w:t>
            </w:r>
          </w:p>
        </w:tc>
        <w:tc>
          <w:tcPr>
            <w:tcW w:w="3119" w:type="dxa"/>
            <w:shd w:val="clear" w:color="auto" w:fill="auto"/>
            <w:noWrap/>
            <w:hideMark/>
          </w:tcPr>
          <w:p w14:paraId="03606E7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6 801 421</w:t>
            </w:r>
          </w:p>
        </w:tc>
      </w:tr>
      <w:tr w:rsidR="00E16C06" w:rsidRPr="00E16C06" w14:paraId="3EFF4A61" w14:textId="77777777" w:rsidTr="00E16C06">
        <w:trPr>
          <w:trHeight w:val="300"/>
        </w:trPr>
        <w:tc>
          <w:tcPr>
            <w:tcW w:w="3534" w:type="dxa"/>
            <w:shd w:val="clear" w:color="auto" w:fill="auto"/>
            <w:noWrap/>
            <w:hideMark/>
          </w:tcPr>
          <w:p w14:paraId="7DB9B5C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Калачеевский</w:t>
            </w:r>
          </w:p>
        </w:tc>
        <w:tc>
          <w:tcPr>
            <w:tcW w:w="2693" w:type="dxa"/>
            <w:shd w:val="clear" w:color="auto" w:fill="auto"/>
            <w:noWrap/>
            <w:hideMark/>
          </w:tcPr>
          <w:p w14:paraId="5880A03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28</w:t>
            </w:r>
          </w:p>
        </w:tc>
        <w:tc>
          <w:tcPr>
            <w:tcW w:w="3119" w:type="dxa"/>
            <w:shd w:val="clear" w:color="auto" w:fill="auto"/>
            <w:noWrap/>
            <w:hideMark/>
          </w:tcPr>
          <w:p w14:paraId="598E311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940 548</w:t>
            </w:r>
          </w:p>
        </w:tc>
      </w:tr>
      <w:tr w:rsidR="00E16C06" w:rsidRPr="00E16C06" w14:paraId="2E2C8C70" w14:textId="77777777" w:rsidTr="00E16C06">
        <w:trPr>
          <w:trHeight w:val="300"/>
        </w:trPr>
        <w:tc>
          <w:tcPr>
            <w:tcW w:w="3534" w:type="dxa"/>
            <w:shd w:val="clear" w:color="auto" w:fill="auto"/>
            <w:noWrap/>
            <w:hideMark/>
          </w:tcPr>
          <w:p w14:paraId="62D5361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Каменский</w:t>
            </w:r>
          </w:p>
        </w:tc>
        <w:tc>
          <w:tcPr>
            <w:tcW w:w="2693" w:type="dxa"/>
            <w:shd w:val="clear" w:color="auto" w:fill="auto"/>
            <w:noWrap/>
            <w:hideMark/>
          </w:tcPr>
          <w:p w14:paraId="2888FBC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w:t>
            </w:r>
          </w:p>
        </w:tc>
        <w:tc>
          <w:tcPr>
            <w:tcW w:w="3119" w:type="dxa"/>
            <w:shd w:val="clear" w:color="auto" w:fill="auto"/>
            <w:noWrap/>
            <w:hideMark/>
          </w:tcPr>
          <w:p w14:paraId="2A30D37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171 223</w:t>
            </w:r>
          </w:p>
        </w:tc>
      </w:tr>
      <w:tr w:rsidR="00E16C06" w:rsidRPr="00E16C06" w14:paraId="5F86AB3E" w14:textId="77777777" w:rsidTr="00E16C06">
        <w:trPr>
          <w:trHeight w:val="300"/>
        </w:trPr>
        <w:tc>
          <w:tcPr>
            <w:tcW w:w="3534" w:type="dxa"/>
            <w:shd w:val="clear" w:color="auto" w:fill="auto"/>
            <w:noWrap/>
            <w:hideMark/>
          </w:tcPr>
          <w:p w14:paraId="7E147E3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Кантемировский</w:t>
            </w:r>
          </w:p>
        </w:tc>
        <w:tc>
          <w:tcPr>
            <w:tcW w:w="2693" w:type="dxa"/>
            <w:shd w:val="clear" w:color="auto" w:fill="auto"/>
            <w:noWrap/>
            <w:hideMark/>
          </w:tcPr>
          <w:p w14:paraId="733B533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w:t>
            </w:r>
          </w:p>
        </w:tc>
        <w:tc>
          <w:tcPr>
            <w:tcW w:w="3119" w:type="dxa"/>
            <w:shd w:val="clear" w:color="auto" w:fill="auto"/>
            <w:noWrap/>
            <w:hideMark/>
          </w:tcPr>
          <w:p w14:paraId="45F4E87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4 821 401</w:t>
            </w:r>
          </w:p>
        </w:tc>
      </w:tr>
      <w:tr w:rsidR="00E16C06" w:rsidRPr="00E16C06" w14:paraId="5258E0F8" w14:textId="77777777" w:rsidTr="00E16C06">
        <w:trPr>
          <w:trHeight w:val="300"/>
        </w:trPr>
        <w:tc>
          <w:tcPr>
            <w:tcW w:w="3534" w:type="dxa"/>
            <w:shd w:val="clear" w:color="auto" w:fill="auto"/>
            <w:noWrap/>
            <w:hideMark/>
          </w:tcPr>
          <w:p w14:paraId="4C64421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Каширский</w:t>
            </w:r>
          </w:p>
        </w:tc>
        <w:tc>
          <w:tcPr>
            <w:tcW w:w="2693" w:type="dxa"/>
            <w:shd w:val="clear" w:color="auto" w:fill="auto"/>
            <w:noWrap/>
            <w:hideMark/>
          </w:tcPr>
          <w:p w14:paraId="3D483AA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35</w:t>
            </w:r>
          </w:p>
        </w:tc>
        <w:tc>
          <w:tcPr>
            <w:tcW w:w="3119" w:type="dxa"/>
            <w:shd w:val="clear" w:color="auto" w:fill="auto"/>
            <w:noWrap/>
            <w:hideMark/>
          </w:tcPr>
          <w:p w14:paraId="16FF11C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7 912 858</w:t>
            </w:r>
          </w:p>
        </w:tc>
      </w:tr>
      <w:tr w:rsidR="00E16C06" w:rsidRPr="00E16C06" w14:paraId="2668EB58" w14:textId="77777777" w:rsidTr="00E16C06">
        <w:trPr>
          <w:trHeight w:val="300"/>
        </w:trPr>
        <w:tc>
          <w:tcPr>
            <w:tcW w:w="3534" w:type="dxa"/>
            <w:shd w:val="clear" w:color="auto" w:fill="auto"/>
            <w:noWrap/>
            <w:hideMark/>
          </w:tcPr>
          <w:p w14:paraId="36BB6B5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Лискинский</w:t>
            </w:r>
          </w:p>
        </w:tc>
        <w:tc>
          <w:tcPr>
            <w:tcW w:w="2693" w:type="dxa"/>
            <w:shd w:val="clear" w:color="auto" w:fill="auto"/>
            <w:noWrap/>
            <w:hideMark/>
          </w:tcPr>
          <w:p w14:paraId="4F122CB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35</w:t>
            </w:r>
          </w:p>
        </w:tc>
        <w:tc>
          <w:tcPr>
            <w:tcW w:w="3119" w:type="dxa"/>
            <w:shd w:val="clear" w:color="auto" w:fill="auto"/>
            <w:noWrap/>
            <w:hideMark/>
          </w:tcPr>
          <w:p w14:paraId="074969B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19 596 288</w:t>
            </w:r>
          </w:p>
        </w:tc>
      </w:tr>
      <w:tr w:rsidR="00E16C06" w:rsidRPr="00E16C06" w14:paraId="70B60065" w14:textId="77777777" w:rsidTr="00E16C06">
        <w:trPr>
          <w:trHeight w:val="300"/>
        </w:trPr>
        <w:tc>
          <w:tcPr>
            <w:tcW w:w="3534" w:type="dxa"/>
            <w:shd w:val="clear" w:color="auto" w:fill="auto"/>
            <w:noWrap/>
            <w:hideMark/>
          </w:tcPr>
          <w:p w14:paraId="2219575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Нижнедевицкий</w:t>
            </w:r>
          </w:p>
        </w:tc>
        <w:tc>
          <w:tcPr>
            <w:tcW w:w="2693" w:type="dxa"/>
            <w:shd w:val="clear" w:color="auto" w:fill="auto"/>
            <w:noWrap/>
            <w:hideMark/>
          </w:tcPr>
          <w:p w14:paraId="4138DD0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w:t>
            </w:r>
          </w:p>
        </w:tc>
        <w:tc>
          <w:tcPr>
            <w:tcW w:w="3119" w:type="dxa"/>
            <w:shd w:val="clear" w:color="auto" w:fill="auto"/>
            <w:noWrap/>
            <w:hideMark/>
          </w:tcPr>
          <w:p w14:paraId="3D8349E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511 819</w:t>
            </w:r>
          </w:p>
        </w:tc>
      </w:tr>
      <w:tr w:rsidR="00E16C06" w:rsidRPr="00E16C06" w14:paraId="1726183D" w14:textId="77777777" w:rsidTr="00E16C06">
        <w:trPr>
          <w:trHeight w:val="300"/>
        </w:trPr>
        <w:tc>
          <w:tcPr>
            <w:tcW w:w="3534" w:type="dxa"/>
            <w:shd w:val="clear" w:color="auto" w:fill="auto"/>
            <w:noWrap/>
            <w:hideMark/>
          </w:tcPr>
          <w:p w14:paraId="113A23B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Новоусманский</w:t>
            </w:r>
          </w:p>
        </w:tc>
        <w:tc>
          <w:tcPr>
            <w:tcW w:w="2693" w:type="dxa"/>
            <w:shd w:val="clear" w:color="auto" w:fill="auto"/>
            <w:noWrap/>
            <w:hideMark/>
          </w:tcPr>
          <w:p w14:paraId="7E791B9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37</w:t>
            </w:r>
          </w:p>
        </w:tc>
        <w:tc>
          <w:tcPr>
            <w:tcW w:w="3119" w:type="dxa"/>
            <w:shd w:val="clear" w:color="auto" w:fill="auto"/>
            <w:noWrap/>
            <w:hideMark/>
          </w:tcPr>
          <w:p w14:paraId="0724503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4 691 992</w:t>
            </w:r>
          </w:p>
        </w:tc>
      </w:tr>
      <w:tr w:rsidR="00E16C06" w:rsidRPr="00E16C06" w14:paraId="11115265" w14:textId="77777777" w:rsidTr="00E16C06">
        <w:trPr>
          <w:trHeight w:val="300"/>
        </w:trPr>
        <w:tc>
          <w:tcPr>
            <w:tcW w:w="3534" w:type="dxa"/>
            <w:shd w:val="clear" w:color="auto" w:fill="auto"/>
            <w:noWrap/>
            <w:hideMark/>
          </w:tcPr>
          <w:p w14:paraId="2B7C8FD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Новохоперский</w:t>
            </w:r>
          </w:p>
        </w:tc>
        <w:tc>
          <w:tcPr>
            <w:tcW w:w="2693" w:type="dxa"/>
            <w:shd w:val="clear" w:color="auto" w:fill="auto"/>
            <w:noWrap/>
            <w:hideMark/>
          </w:tcPr>
          <w:p w14:paraId="64A7D17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29</w:t>
            </w:r>
          </w:p>
        </w:tc>
        <w:tc>
          <w:tcPr>
            <w:tcW w:w="3119" w:type="dxa"/>
            <w:shd w:val="clear" w:color="auto" w:fill="auto"/>
            <w:noWrap/>
            <w:hideMark/>
          </w:tcPr>
          <w:p w14:paraId="151CE88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1 245 567</w:t>
            </w:r>
          </w:p>
        </w:tc>
      </w:tr>
      <w:tr w:rsidR="00E16C06" w:rsidRPr="00E16C06" w14:paraId="292A498C" w14:textId="77777777" w:rsidTr="00E16C06">
        <w:trPr>
          <w:trHeight w:val="300"/>
        </w:trPr>
        <w:tc>
          <w:tcPr>
            <w:tcW w:w="3534" w:type="dxa"/>
            <w:shd w:val="clear" w:color="auto" w:fill="auto"/>
            <w:noWrap/>
            <w:hideMark/>
          </w:tcPr>
          <w:p w14:paraId="6092ADE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Ольховатский</w:t>
            </w:r>
          </w:p>
        </w:tc>
        <w:tc>
          <w:tcPr>
            <w:tcW w:w="2693" w:type="dxa"/>
            <w:shd w:val="clear" w:color="auto" w:fill="auto"/>
            <w:noWrap/>
            <w:hideMark/>
          </w:tcPr>
          <w:p w14:paraId="76256BA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w:t>
            </w:r>
          </w:p>
        </w:tc>
        <w:tc>
          <w:tcPr>
            <w:tcW w:w="3119" w:type="dxa"/>
            <w:shd w:val="clear" w:color="auto" w:fill="auto"/>
            <w:noWrap/>
            <w:hideMark/>
          </w:tcPr>
          <w:p w14:paraId="149EBFA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317 407</w:t>
            </w:r>
          </w:p>
        </w:tc>
      </w:tr>
      <w:tr w:rsidR="00E16C06" w:rsidRPr="00E16C06" w14:paraId="261932DD" w14:textId="77777777" w:rsidTr="00E16C06">
        <w:trPr>
          <w:trHeight w:val="300"/>
        </w:trPr>
        <w:tc>
          <w:tcPr>
            <w:tcW w:w="3534" w:type="dxa"/>
            <w:shd w:val="clear" w:color="auto" w:fill="auto"/>
            <w:noWrap/>
            <w:hideMark/>
          </w:tcPr>
          <w:p w14:paraId="5654535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Острогожский</w:t>
            </w:r>
          </w:p>
        </w:tc>
        <w:tc>
          <w:tcPr>
            <w:tcW w:w="2693" w:type="dxa"/>
            <w:shd w:val="clear" w:color="auto" w:fill="auto"/>
            <w:noWrap/>
            <w:hideMark/>
          </w:tcPr>
          <w:p w14:paraId="7C0DA4B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w:t>
            </w:r>
          </w:p>
        </w:tc>
        <w:tc>
          <w:tcPr>
            <w:tcW w:w="3119" w:type="dxa"/>
            <w:shd w:val="clear" w:color="auto" w:fill="auto"/>
            <w:noWrap/>
            <w:hideMark/>
          </w:tcPr>
          <w:p w14:paraId="3273F8B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407 258</w:t>
            </w:r>
          </w:p>
        </w:tc>
      </w:tr>
      <w:tr w:rsidR="00E16C06" w:rsidRPr="00E16C06" w14:paraId="0ED55BA1" w14:textId="77777777" w:rsidTr="00E16C06">
        <w:trPr>
          <w:trHeight w:val="300"/>
        </w:trPr>
        <w:tc>
          <w:tcPr>
            <w:tcW w:w="3534" w:type="dxa"/>
            <w:shd w:val="clear" w:color="auto" w:fill="auto"/>
            <w:noWrap/>
            <w:hideMark/>
          </w:tcPr>
          <w:p w14:paraId="2FC10C7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Павловский</w:t>
            </w:r>
          </w:p>
        </w:tc>
        <w:tc>
          <w:tcPr>
            <w:tcW w:w="2693" w:type="dxa"/>
            <w:shd w:val="clear" w:color="auto" w:fill="auto"/>
            <w:noWrap/>
            <w:hideMark/>
          </w:tcPr>
          <w:p w14:paraId="1C083CA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17</w:t>
            </w:r>
          </w:p>
        </w:tc>
        <w:tc>
          <w:tcPr>
            <w:tcW w:w="3119" w:type="dxa"/>
            <w:shd w:val="clear" w:color="auto" w:fill="auto"/>
            <w:noWrap/>
            <w:hideMark/>
          </w:tcPr>
          <w:p w14:paraId="030C6D9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504 547</w:t>
            </w:r>
          </w:p>
        </w:tc>
      </w:tr>
      <w:tr w:rsidR="00E16C06" w:rsidRPr="00E16C06" w14:paraId="100E9FC4" w14:textId="77777777" w:rsidTr="00E16C06">
        <w:trPr>
          <w:trHeight w:val="300"/>
        </w:trPr>
        <w:tc>
          <w:tcPr>
            <w:tcW w:w="3534" w:type="dxa"/>
            <w:shd w:val="clear" w:color="auto" w:fill="auto"/>
            <w:noWrap/>
            <w:hideMark/>
          </w:tcPr>
          <w:p w14:paraId="2A28E93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Панинский</w:t>
            </w:r>
          </w:p>
        </w:tc>
        <w:tc>
          <w:tcPr>
            <w:tcW w:w="2693" w:type="dxa"/>
            <w:shd w:val="clear" w:color="auto" w:fill="auto"/>
            <w:noWrap/>
            <w:hideMark/>
          </w:tcPr>
          <w:p w14:paraId="7E869BA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57</w:t>
            </w:r>
          </w:p>
        </w:tc>
        <w:tc>
          <w:tcPr>
            <w:tcW w:w="3119" w:type="dxa"/>
            <w:shd w:val="clear" w:color="auto" w:fill="auto"/>
            <w:noWrap/>
            <w:hideMark/>
          </w:tcPr>
          <w:p w14:paraId="0D0EE90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7 614 363</w:t>
            </w:r>
          </w:p>
        </w:tc>
      </w:tr>
      <w:tr w:rsidR="00E16C06" w:rsidRPr="00E16C06" w14:paraId="6E6D5C12" w14:textId="77777777" w:rsidTr="00E16C06">
        <w:trPr>
          <w:trHeight w:val="300"/>
        </w:trPr>
        <w:tc>
          <w:tcPr>
            <w:tcW w:w="3534" w:type="dxa"/>
            <w:shd w:val="clear" w:color="auto" w:fill="auto"/>
            <w:noWrap/>
            <w:hideMark/>
          </w:tcPr>
          <w:p w14:paraId="1C13DD1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Петропавловский</w:t>
            </w:r>
          </w:p>
        </w:tc>
        <w:tc>
          <w:tcPr>
            <w:tcW w:w="2693" w:type="dxa"/>
            <w:shd w:val="clear" w:color="auto" w:fill="auto"/>
            <w:noWrap/>
            <w:hideMark/>
          </w:tcPr>
          <w:p w14:paraId="4115D91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w:t>
            </w:r>
          </w:p>
        </w:tc>
        <w:tc>
          <w:tcPr>
            <w:tcW w:w="3119" w:type="dxa"/>
            <w:shd w:val="clear" w:color="auto" w:fill="auto"/>
            <w:noWrap/>
            <w:hideMark/>
          </w:tcPr>
          <w:p w14:paraId="7E35BBA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692 747</w:t>
            </w:r>
          </w:p>
        </w:tc>
      </w:tr>
      <w:tr w:rsidR="00E16C06" w:rsidRPr="00E16C06" w14:paraId="7426E007" w14:textId="77777777" w:rsidTr="00E16C06">
        <w:trPr>
          <w:trHeight w:val="300"/>
        </w:trPr>
        <w:tc>
          <w:tcPr>
            <w:tcW w:w="3534" w:type="dxa"/>
            <w:shd w:val="clear" w:color="auto" w:fill="auto"/>
            <w:noWrap/>
            <w:hideMark/>
          </w:tcPr>
          <w:p w14:paraId="74720D5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Поворинский</w:t>
            </w:r>
          </w:p>
        </w:tc>
        <w:tc>
          <w:tcPr>
            <w:tcW w:w="2693" w:type="dxa"/>
            <w:shd w:val="clear" w:color="auto" w:fill="auto"/>
            <w:noWrap/>
            <w:hideMark/>
          </w:tcPr>
          <w:p w14:paraId="56774EC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25</w:t>
            </w:r>
          </w:p>
        </w:tc>
        <w:tc>
          <w:tcPr>
            <w:tcW w:w="3119" w:type="dxa"/>
            <w:shd w:val="clear" w:color="auto" w:fill="auto"/>
            <w:noWrap/>
            <w:hideMark/>
          </w:tcPr>
          <w:p w14:paraId="3A15DF5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5 001 577</w:t>
            </w:r>
          </w:p>
        </w:tc>
      </w:tr>
      <w:tr w:rsidR="00E16C06" w:rsidRPr="00E16C06" w14:paraId="17560BC9" w14:textId="77777777" w:rsidTr="00E16C06">
        <w:trPr>
          <w:trHeight w:val="300"/>
        </w:trPr>
        <w:tc>
          <w:tcPr>
            <w:tcW w:w="3534" w:type="dxa"/>
            <w:shd w:val="clear" w:color="auto" w:fill="auto"/>
            <w:noWrap/>
            <w:hideMark/>
          </w:tcPr>
          <w:p w14:paraId="126D664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Подгоренский</w:t>
            </w:r>
          </w:p>
        </w:tc>
        <w:tc>
          <w:tcPr>
            <w:tcW w:w="2693" w:type="dxa"/>
            <w:shd w:val="clear" w:color="auto" w:fill="auto"/>
            <w:noWrap/>
            <w:hideMark/>
          </w:tcPr>
          <w:p w14:paraId="09FA784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w:t>
            </w:r>
          </w:p>
        </w:tc>
        <w:tc>
          <w:tcPr>
            <w:tcW w:w="3119" w:type="dxa"/>
            <w:shd w:val="clear" w:color="auto" w:fill="auto"/>
            <w:noWrap/>
            <w:hideMark/>
          </w:tcPr>
          <w:p w14:paraId="68E43F1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217 227</w:t>
            </w:r>
          </w:p>
        </w:tc>
      </w:tr>
      <w:tr w:rsidR="00E16C06" w:rsidRPr="00E16C06" w14:paraId="5BC9B2D7" w14:textId="77777777" w:rsidTr="00E16C06">
        <w:trPr>
          <w:trHeight w:val="300"/>
        </w:trPr>
        <w:tc>
          <w:tcPr>
            <w:tcW w:w="3534" w:type="dxa"/>
            <w:shd w:val="clear" w:color="auto" w:fill="auto"/>
            <w:noWrap/>
            <w:hideMark/>
          </w:tcPr>
          <w:p w14:paraId="5B0EE61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Рамонский</w:t>
            </w:r>
          </w:p>
        </w:tc>
        <w:tc>
          <w:tcPr>
            <w:tcW w:w="2693" w:type="dxa"/>
            <w:shd w:val="clear" w:color="auto" w:fill="auto"/>
            <w:noWrap/>
            <w:hideMark/>
          </w:tcPr>
          <w:p w14:paraId="659E433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41</w:t>
            </w:r>
          </w:p>
        </w:tc>
        <w:tc>
          <w:tcPr>
            <w:tcW w:w="3119" w:type="dxa"/>
            <w:shd w:val="clear" w:color="auto" w:fill="auto"/>
            <w:noWrap/>
            <w:hideMark/>
          </w:tcPr>
          <w:p w14:paraId="03868C8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3 589 364</w:t>
            </w:r>
          </w:p>
        </w:tc>
      </w:tr>
      <w:tr w:rsidR="00E16C06" w:rsidRPr="00E16C06" w14:paraId="1D244FAE" w14:textId="77777777" w:rsidTr="00E16C06">
        <w:trPr>
          <w:trHeight w:val="300"/>
        </w:trPr>
        <w:tc>
          <w:tcPr>
            <w:tcW w:w="3534" w:type="dxa"/>
            <w:shd w:val="clear" w:color="auto" w:fill="auto"/>
            <w:noWrap/>
            <w:hideMark/>
          </w:tcPr>
          <w:p w14:paraId="63DECAD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Репьевский</w:t>
            </w:r>
          </w:p>
        </w:tc>
        <w:tc>
          <w:tcPr>
            <w:tcW w:w="2693" w:type="dxa"/>
            <w:shd w:val="clear" w:color="auto" w:fill="auto"/>
            <w:noWrap/>
            <w:hideMark/>
          </w:tcPr>
          <w:p w14:paraId="75190AD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w:t>
            </w:r>
          </w:p>
        </w:tc>
        <w:tc>
          <w:tcPr>
            <w:tcW w:w="3119" w:type="dxa"/>
            <w:shd w:val="clear" w:color="auto" w:fill="auto"/>
            <w:noWrap/>
            <w:hideMark/>
          </w:tcPr>
          <w:p w14:paraId="5CC2181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2 895 461</w:t>
            </w:r>
          </w:p>
        </w:tc>
      </w:tr>
      <w:tr w:rsidR="00E16C06" w:rsidRPr="00E16C06" w14:paraId="5B64B1F4" w14:textId="77777777" w:rsidTr="00E16C06">
        <w:trPr>
          <w:trHeight w:val="300"/>
        </w:trPr>
        <w:tc>
          <w:tcPr>
            <w:tcW w:w="3534" w:type="dxa"/>
            <w:shd w:val="clear" w:color="auto" w:fill="auto"/>
            <w:noWrap/>
            <w:hideMark/>
          </w:tcPr>
          <w:p w14:paraId="151187B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Россошанский</w:t>
            </w:r>
          </w:p>
        </w:tc>
        <w:tc>
          <w:tcPr>
            <w:tcW w:w="2693" w:type="dxa"/>
            <w:shd w:val="clear" w:color="auto" w:fill="auto"/>
            <w:noWrap/>
            <w:hideMark/>
          </w:tcPr>
          <w:p w14:paraId="5C8FAE6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w:t>
            </w:r>
          </w:p>
        </w:tc>
        <w:tc>
          <w:tcPr>
            <w:tcW w:w="3119" w:type="dxa"/>
            <w:shd w:val="clear" w:color="auto" w:fill="auto"/>
            <w:noWrap/>
            <w:hideMark/>
          </w:tcPr>
          <w:p w14:paraId="0F23619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2 269 737</w:t>
            </w:r>
          </w:p>
        </w:tc>
      </w:tr>
      <w:tr w:rsidR="00E16C06" w:rsidRPr="00E16C06" w14:paraId="555FC976" w14:textId="77777777" w:rsidTr="00E16C06">
        <w:trPr>
          <w:trHeight w:val="300"/>
        </w:trPr>
        <w:tc>
          <w:tcPr>
            <w:tcW w:w="3534" w:type="dxa"/>
            <w:shd w:val="clear" w:color="auto" w:fill="auto"/>
            <w:noWrap/>
            <w:hideMark/>
          </w:tcPr>
          <w:p w14:paraId="410BC96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Семилукский</w:t>
            </w:r>
          </w:p>
        </w:tc>
        <w:tc>
          <w:tcPr>
            <w:tcW w:w="2693" w:type="dxa"/>
            <w:shd w:val="clear" w:color="auto" w:fill="auto"/>
            <w:noWrap/>
            <w:hideMark/>
          </w:tcPr>
          <w:p w14:paraId="7C39BC7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20</w:t>
            </w:r>
          </w:p>
        </w:tc>
        <w:tc>
          <w:tcPr>
            <w:tcW w:w="3119" w:type="dxa"/>
            <w:shd w:val="clear" w:color="auto" w:fill="auto"/>
            <w:noWrap/>
            <w:hideMark/>
          </w:tcPr>
          <w:p w14:paraId="4DFF475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2 516 594</w:t>
            </w:r>
          </w:p>
        </w:tc>
      </w:tr>
      <w:tr w:rsidR="00E16C06" w:rsidRPr="00E16C06" w14:paraId="51A7A01E" w14:textId="77777777" w:rsidTr="00E16C06">
        <w:trPr>
          <w:trHeight w:val="300"/>
        </w:trPr>
        <w:tc>
          <w:tcPr>
            <w:tcW w:w="3534" w:type="dxa"/>
            <w:shd w:val="clear" w:color="auto" w:fill="auto"/>
            <w:noWrap/>
          </w:tcPr>
          <w:p w14:paraId="56C0A84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Таловский</w:t>
            </w:r>
          </w:p>
        </w:tc>
        <w:tc>
          <w:tcPr>
            <w:tcW w:w="2693" w:type="dxa"/>
            <w:shd w:val="clear" w:color="auto" w:fill="auto"/>
            <w:noWrap/>
          </w:tcPr>
          <w:p w14:paraId="38059C8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20</w:t>
            </w:r>
          </w:p>
        </w:tc>
        <w:tc>
          <w:tcPr>
            <w:tcW w:w="3119" w:type="dxa"/>
            <w:shd w:val="clear" w:color="auto" w:fill="auto"/>
            <w:noWrap/>
          </w:tcPr>
          <w:p w14:paraId="4A52482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2 720 660</w:t>
            </w:r>
          </w:p>
        </w:tc>
      </w:tr>
      <w:tr w:rsidR="00E16C06" w:rsidRPr="00E16C06" w14:paraId="51B373F4" w14:textId="77777777" w:rsidTr="00E16C06">
        <w:trPr>
          <w:trHeight w:val="300"/>
        </w:trPr>
        <w:tc>
          <w:tcPr>
            <w:tcW w:w="3534" w:type="dxa"/>
            <w:shd w:val="clear" w:color="auto" w:fill="auto"/>
            <w:noWrap/>
          </w:tcPr>
          <w:p w14:paraId="26B67A7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Терновский</w:t>
            </w:r>
          </w:p>
        </w:tc>
        <w:tc>
          <w:tcPr>
            <w:tcW w:w="2693" w:type="dxa"/>
            <w:shd w:val="clear" w:color="auto" w:fill="auto"/>
            <w:noWrap/>
          </w:tcPr>
          <w:p w14:paraId="4184D95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25</w:t>
            </w:r>
          </w:p>
        </w:tc>
        <w:tc>
          <w:tcPr>
            <w:tcW w:w="3119" w:type="dxa"/>
            <w:shd w:val="clear" w:color="auto" w:fill="auto"/>
            <w:noWrap/>
          </w:tcPr>
          <w:p w14:paraId="209365C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3 872 474</w:t>
            </w:r>
          </w:p>
        </w:tc>
      </w:tr>
      <w:tr w:rsidR="00E16C06" w:rsidRPr="00E16C06" w14:paraId="3815D103" w14:textId="77777777" w:rsidTr="00E16C06">
        <w:trPr>
          <w:trHeight w:val="300"/>
        </w:trPr>
        <w:tc>
          <w:tcPr>
            <w:tcW w:w="3534" w:type="dxa"/>
            <w:shd w:val="clear" w:color="auto" w:fill="auto"/>
            <w:noWrap/>
          </w:tcPr>
          <w:p w14:paraId="6C74457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Хохольский</w:t>
            </w:r>
          </w:p>
        </w:tc>
        <w:tc>
          <w:tcPr>
            <w:tcW w:w="2693" w:type="dxa"/>
            <w:shd w:val="clear" w:color="auto" w:fill="auto"/>
            <w:noWrap/>
          </w:tcPr>
          <w:p w14:paraId="439A8AD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w:t>
            </w:r>
          </w:p>
        </w:tc>
        <w:tc>
          <w:tcPr>
            <w:tcW w:w="3119" w:type="dxa"/>
            <w:shd w:val="clear" w:color="auto" w:fill="auto"/>
            <w:noWrap/>
          </w:tcPr>
          <w:p w14:paraId="1ACCA65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853 200</w:t>
            </w:r>
          </w:p>
        </w:tc>
      </w:tr>
      <w:tr w:rsidR="00E16C06" w:rsidRPr="00E16C06" w14:paraId="1CFCCEF3" w14:textId="77777777" w:rsidTr="00E16C06">
        <w:trPr>
          <w:trHeight w:val="300"/>
        </w:trPr>
        <w:tc>
          <w:tcPr>
            <w:tcW w:w="3534" w:type="dxa"/>
            <w:shd w:val="clear" w:color="auto" w:fill="auto"/>
            <w:noWrap/>
          </w:tcPr>
          <w:p w14:paraId="38003A8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Эртильский</w:t>
            </w:r>
          </w:p>
        </w:tc>
        <w:tc>
          <w:tcPr>
            <w:tcW w:w="2693" w:type="dxa"/>
            <w:shd w:val="clear" w:color="auto" w:fill="auto"/>
            <w:noWrap/>
          </w:tcPr>
          <w:p w14:paraId="7BD2301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63</w:t>
            </w:r>
          </w:p>
        </w:tc>
        <w:tc>
          <w:tcPr>
            <w:tcW w:w="3119" w:type="dxa"/>
            <w:shd w:val="clear" w:color="auto" w:fill="auto"/>
            <w:noWrap/>
          </w:tcPr>
          <w:p w14:paraId="498C0DD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7 436 467</w:t>
            </w:r>
          </w:p>
        </w:tc>
      </w:tr>
      <w:tr w:rsidR="00E16C06" w:rsidRPr="00E16C06" w14:paraId="77F39EAE" w14:textId="77777777" w:rsidTr="00E16C06">
        <w:trPr>
          <w:trHeight w:val="315"/>
        </w:trPr>
        <w:tc>
          <w:tcPr>
            <w:tcW w:w="3534" w:type="dxa"/>
            <w:noWrap/>
            <w:hideMark/>
          </w:tcPr>
          <w:p w14:paraId="299BF6D4"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Общий итог</w:t>
            </w:r>
          </w:p>
        </w:tc>
        <w:tc>
          <w:tcPr>
            <w:tcW w:w="2693" w:type="dxa"/>
            <w:shd w:val="clear" w:color="auto" w:fill="auto"/>
            <w:noWrap/>
            <w:hideMark/>
          </w:tcPr>
          <w:p w14:paraId="5F58DF7B"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818</w:t>
            </w:r>
          </w:p>
        </w:tc>
        <w:tc>
          <w:tcPr>
            <w:tcW w:w="3119" w:type="dxa"/>
            <w:shd w:val="clear" w:color="auto" w:fill="auto"/>
            <w:noWrap/>
            <w:hideMark/>
          </w:tcPr>
          <w:p w14:paraId="6F8261EC"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108 516 396</w:t>
            </w:r>
          </w:p>
        </w:tc>
      </w:tr>
    </w:tbl>
    <w:p w14:paraId="581B7478" w14:textId="77777777" w:rsidR="00E16C06" w:rsidRPr="00E16C06" w:rsidRDefault="00E16C06" w:rsidP="00E16C06">
      <w:pPr>
        <w:rPr>
          <w:rFonts w:ascii="Times New Roman" w:eastAsia="Times New Roman" w:hAnsi="Times New Roman" w:cs="Times New Roman"/>
          <w:sz w:val="26"/>
          <w:szCs w:val="26"/>
        </w:rPr>
      </w:pPr>
    </w:p>
    <w:p w14:paraId="304FF1CB" w14:textId="77777777" w:rsidR="00E16C06" w:rsidRPr="00E16C06" w:rsidRDefault="00E16C06" w:rsidP="00E16C06">
      <w:pPr>
        <w:rPr>
          <w:rFonts w:ascii="Times New Roman" w:eastAsia="Times New Roman" w:hAnsi="Times New Roman" w:cs="Times New Roman"/>
          <w:sz w:val="26"/>
          <w:szCs w:val="26"/>
        </w:rPr>
      </w:pPr>
      <w:r w:rsidRPr="00E16C06">
        <w:rPr>
          <w:rFonts w:ascii="Times New Roman" w:hAnsi="Times New Roman" w:cs="Times New Roman"/>
          <w:noProof/>
          <w:lang w:eastAsia="ru-RU"/>
        </w:rPr>
        <w:drawing>
          <wp:inline distT="0" distB="0" distL="0" distR="0" wp14:anchorId="449E0A00" wp14:editId="7DF27218">
            <wp:extent cx="5940425" cy="4189095"/>
            <wp:effectExtent l="0" t="0" r="3175" b="1905"/>
            <wp:docPr id="619" name="Диаграмма 6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05FBB63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hAnsi="Times New Roman" w:cs="Times New Roman"/>
          <w:sz w:val="26"/>
          <w:szCs w:val="26"/>
        </w:rPr>
        <w:t xml:space="preserve">Рис. </w:t>
      </w:r>
      <w:r w:rsidRPr="00E16C06">
        <w:rPr>
          <w:rFonts w:ascii="Times New Roman" w:eastAsia="Times New Roman" w:hAnsi="Times New Roman" w:cs="Times New Roman"/>
          <w:spacing w:val="-5"/>
          <w:sz w:val="26"/>
          <w:szCs w:val="26"/>
        </w:rPr>
        <w:t>3.3.2.23</w:t>
      </w:r>
      <w:r w:rsidRPr="00E16C06">
        <w:rPr>
          <w:rFonts w:ascii="Times New Roman" w:hAnsi="Times New Roman" w:cs="Times New Roman"/>
          <w:sz w:val="26"/>
          <w:szCs w:val="26"/>
        </w:rPr>
        <w:t xml:space="preserve"> </w:t>
      </w:r>
      <w:r w:rsidRPr="00E16C06">
        <w:rPr>
          <w:rFonts w:ascii="Times New Roman" w:eastAsia="Times New Roman" w:hAnsi="Times New Roman" w:cs="Times New Roman"/>
          <w:spacing w:val="-5"/>
          <w:sz w:val="26"/>
          <w:szCs w:val="26"/>
        </w:rPr>
        <w:t>– Распределение земельных участков, относящихся к сегменту 11 «Водные объекты», по муниципальным районам Воронежской области</w:t>
      </w:r>
    </w:p>
    <w:p w14:paraId="2489272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p>
    <w:p w14:paraId="3CB0DE16" w14:textId="77777777" w:rsidR="00E16C06" w:rsidRPr="00E16C06" w:rsidRDefault="00E16C06" w:rsidP="00E16C06">
      <w:pPr>
        <w:spacing w:after="0" w:line="276" w:lineRule="auto"/>
        <w:ind w:firstLine="709"/>
        <w:contextualSpacing/>
        <w:jc w:val="both"/>
        <w:rPr>
          <w:rFonts w:ascii="Times New Roman" w:hAnsi="Times New Roman" w:cs="Times New Roman"/>
          <w:sz w:val="26"/>
          <w:szCs w:val="26"/>
        </w:rPr>
      </w:pPr>
      <w:r w:rsidRPr="00E16C06">
        <w:rPr>
          <w:rFonts w:ascii="Times New Roman" w:hAnsi="Times New Roman" w:cs="Times New Roman"/>
          <w:sz w:val="26"/>
          <w:szCs w:val="26"/>
        </w:rPr>
        <w:t>В соответствии с сегментацией объектов недвижимости с указанием кодов расчета вида использования (приложение № 1 Указаний) 11 сегмент включает в себя коды расчета 11:000, 11:010, 11:020. Распределение земельных участков 11 сегмента по кодам вида использования представлено в таблице 3.3.2.24.</w:t>
      </w:r>
    </w:p>
    <w:p w14:paraId="6844CBAE" w14:textId="77777777" w:rsidR="00E16C06" w:rsidRPr="00E16C06" w:rsidRDefault="00E16C06" w:rsidP="00E16C06">
      <w:pPr>
        <w:spacing w:after="0" w:line="276" w:lineRule="auto"/>
        <w:ind w:firstLine="709"/>
        <w:contextualSpacing/>
        <w:jc w:val="right"/>
        <w:rPr>
          <w:rFonts w:ascii="Times New Roman" w:hAnsi="Times New Roman" w:cs="Times New Roman"/>
          <w:sz w:val="26"/>
          <w:szCs w:val="26"/>
        </w:rPr>
      </w:pPr>
      <w:r w:rsidRPr="00E16C06">
        <w:rPr>
          <w:rFonts w:ascii="Times New Roman" w:hAnsi="Times New Roman" w:cs="Times New Roman"/>
          <w:sz w:val="26"/>
          <w:szCs w:val="26"/>
        </w:rPr>
        <w:t xml:space="preserve">Таблица </w:t>
      </w:r>
      <w:r w:rsidRPr="00E16C06">
        <w:rPr>
          <w:rFonts w:ascii="Times New Roman" w:eastAsia="Times New Roman" w:hAnsi="Times New Roman" w:cs="Times New Roman"/>
          <w:spacing w:val="-5"/>
          <w:sz w:val="26"/>
          <w:szCs w:val="26"/>
        </w:rPr>
        <w:t>3.3.2.24</w:t>
      </w:r>
    </w:p>
    <w:p w14:paraId="3246BC50"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Распределение объектов оценки по кодам расчета вида использования</w:t>
      </w:r>
    </w:p>
    <w:p w14:paraId="5EB30454"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в составе 11 сегмента</w:t>
      </w:r>
    </w:p>
    <w:tbl>
      <w:tblPr>
        <w:tblStyle w:val="ae"/>
        <w:tblW w:w="0" w:type="auto"/>
        <w:tblLook w:val="04A0" w:firstRow="1" w:lastRow="0" w:firstColumn="1" w:lastColumn="0" w:noHBand="0" w:noVBand="1"/>
      </w:tblPr>
      <w:tblGrid>
        <w:gridCol w:w="2547"/>
        <w:gridCol w:w="3683"/>
        <w:gridCol w:w="3115"/>
      </w:tblGrid>
      <w:tr w:rsidR="00E16C06" w:rsidRPr="00E16C06" w14:paraId="6BA77FBC" w14:textId="77777777" w:rsidTr="00E16C06">
        <w:tc>
          <w:tcPr>
            <w:tcW w:w="2547" w:type="dxa"/>
            <w:vAlign w:val="center"/>
          </w:tcPr>
          <w:p w14:paraId="14B9FE5C"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Сегмент</w:t>
            </w:r>
          </w:p>
        </w:tc>
        <w:tc>
          <w:tcPr>
            <w:tcW w:w="3683" w:type="dxa"/>
            <w:vAlign w:val="center"/>
          </w:tcPr>
          <w:p w14:paraId="3E5FBBDB"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Код расчета вида использования</w:t>
            </w:r>
          </w:p>
        </w:tc>
        <w:tc>
          <w:tcPr>
            <w:tcW w:w="3115" w:type="dxa"/>
            <w:vAlign w:val="center"/>
          </w:tcPr>
          <w:p w14:paraId="79B68F61"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Количество ЗУ</w:t>
            </w:r>
          </w:p>
        </w:tc>
      </w:tr>
      <w:tr w:rsidR="00E16C06" w:rsidRPr="00E16C06" w14:paraId="5AFA1C48" w14:textId="77777777" w:rsidTr="00E16C06">
        <w:tc>
          <w:tcPr>
            <w:tcW w:w="2547" w:type="dxa"/>
            <w:vMerge w:val="restart"/>
            <w:vAlign w:val="center"/>
          </w:tcPr>
          <w:p w14:paraId="13DC471C"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11</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bottom"/>
          </w:tcPr>
          <w:p w14:paraId="04A0C1BC"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11:000</w:t>
            </w:r>
          </w:p>
        </w:tc>
        <w:tc>
          <w:tcPr>
            <w:tcW w:w="3115" w:type="dxa"/>
            <w:tcBorders>
              <w:top w:val="single" w:sz="4" w:space="0" w:color="auto"/>
              <w:left w:val="nil"/>
              <w:bottom w:val="single" w:sz="4" w:space="0" w:color="auto"/>
              <w:right w:val="single" w:sz="4" w:space="0" w:color="auto"/>
            </w:tcBorders>
            <w:shd w:val="clear" w:color="auto" w:fill="auto"/>
            <w:vAlign w:val="bottom"/>
          </w:tcPr>
          <w:p w14:paraId="2635047E"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772</w:t>
            </w:r>
          </w:p>
        </w:tc>
      </w:tr>
      <w:tr w:rsidR="00E16C06" w:rsidRPr="00E16C06" w14:paraId="5BC44BD2" w14:textId="77777777" w:rsidTr="00E16C06">
        <w:tc>
          <w:tcPr>
            <w:tcW w:w="2547" w:type="dxa"/>
            <w:vMerge/>
          </w:tcPr>
          <w:p w14:paraId="481BCD13" w14:textId="77777777" w:rsidR="00E16C06" w:rsidRPr="00E16C06" w:rsidRDefault="00E16C06" w:rsidP="00E16C06">
            <w:pPr>
              <w:spacing w:line="276" w:lineRule="auto"/>
              <w:contextualSpacing/>
              <w:jc w:val="center"/>
              <w:rPr>
                <w:rFonts w:ascii="Times New Roman" w:hAnsi="Times New Roman" w:cs="Times New Roman"/>
                <w:sz w:val="22"/>
                <w:szCs w:val="22"/>
              </w:rPr>
            </w:pPr>
          </w:p>
        </w:tc>
        <w:tc>
          <w:tcPr>
            <w:tcW w:w="3683" w:type="dxa"/>
            <w:tcBorders>
              <w:top w:val="nil"/>
              <w:left w:val="single" w:sz="4" w:space="0" w:color="auto"/>
              <w:bottom w:val="single" w:sz="4" w:space="0" w:color="auto"/>
              <w:right w:val="single" w:sz="4" w:space="0" w:color="auto"/>
            </w:tcBorders>
            <w:shd w:val="clear" w:color="auto" w:fill="auto"/>
            <w:vAlign w:val="bottom"/>
          </w:tcPr>
          <w:p w14:paraId="6D97205A"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11:010</w:t>
            </w:r>
          </w:p>
        </w:tc>
        <w:tc>
          <w:tcPr>
            <w:tcW w:w="3115" w:type="dxa"/>
            <w:tcBorders>
              <w:top w:val="nil"/>
              <w:left w:val="nil"/>
              <w:bottom w:val="single" w:sz="4" w:space="0" w:color="auto"/>
              <w:right w:val="single" w:sz="4" w:space="0" w:color="auto"/>
            </w:tcBorders>
            <w:shd w:val="clear" w:color="auto" w:fill="auto"/>
            <w:vAlign w:val="bottom"/>
          </w:tcPr>
          <w:p w14:paraId="59C0FD5A"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13</w:t>
            </w:r>
          </w:p>
        </w:tc>
      </w:tr>
      <w:tr w:rsidR="00E16C06" w:rsidRPr="00E16C06" w14:paraId="4DC6450F" w14:textId="77777777" w:rsidTr="00E16C06">
        <w:tc>
          <w:tcPr>
            <w:tcW w:w="2547" w:type="dxa"/>
            <w:vMerge/>
          </w:tcPr>
          <w:p w14:paraId="149DA73C" w14:textId="77777777" w:rsidR="00E16C06" w:rsidRPr="00E16C06" w:rsidRDefault="00E16C06" w:rsidP="00E16C06">
            <w:pPr>
              <w:spacing w:line="276" w:lineRule="auto"/>
              <w:contextualSpacing/>
              <w:jc w:val="center"/>
              <w:rPr>
                <w:rFonts w:ascii="Times New Roman" w:hAnsi="Times New Roman" w:cs="Times New Roman"/>
                <w:sz w:val="22"/>
                <w:szCs w:val="22"/>
              </w:rPr>
            </w:pPr>
          </w:p>
        </w:tc>
        <w:tc>
          <w:tcPr>
            <w:tcW w:w="3683" w:type="dxa"/>
            <w:tcBorders>
              <w:top w:val="nil"/>
              <w:left w:val="single" w:sz="4" w:space="0" w:color="auto"/>
              <w:bottom w:val="single" w:sz="4" w:space="0" w:color="auto"/>
              <w:right w:val="single" w:sz="4" w:space="0" w:color="auto"/>
            </w:tcBorders>
            <w:shd w:val="clear" w:color="auto" w:fill="auto"/>
            <w:vAlign w:val="bottom"/>
          </w:tcPr>
          <w:p w14:paraId="7F256A81"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11:020</w:t>
            </w:r>
          </w:p>
        </w:tc>
        <w:tc>
          <w:tcPr>
            <w:tcW w:w="3115" w:type="dxa"/>
            <w:tcBorders>
              <w:top w:val="nil"/>
              <w:left w:val="nil"/>
              <w:bottom w:val="single" w:sz="4" w:space="0" w:color="auto"/>
              <w:right w:val="single" w:sz="4" w:space="0" w:color="auto"/>
            </w:tcBorders>
            <w:shd w:val="clear" w:color="auto" w:fill="auto"/>
            <w:vAlign w:val="bottom"/>
          </w:tcPr>
          <w:p w14:paraId="5973E287"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33</w:t>
            </w:r>
          </w:p>
        </w:tc>
      </w:tr>
      <w:tr w:rsidR="00E16C06" w:rsidRPr="00E16C06" w14:paraId="0336886F" w14:textId="77777777" w:rsidTr="00E16C06">
        <w:tc>
          <w:tcPr>
            <w:tcW w:w="2547" w:type="dxa"/>
          </w:tcPr>
          <w:p w14:paraId="4A543F7E"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Итог</w:t>
            </w:r>
          </w:p>
        </w:tc>
        <w:tc>
          <w:tcPr>
            <w:tcW w:w="3683" w:type="dxa"/>
          </w:tcPr>
          <w:p w14:paraId="1D14A5F5" w14:textId="77777777" w:rsidR="00E16C06" w:rsidRPr="00E16C06" w:rsidRDefault="00E16C06" w:rsidP="00E16C06">
            <w:pPr>
              <w:spacing w:line="276" w:lineRule="auto"/>
              <w:contextualSpacing/>
              <w:jc w:val="center"/>
              <w:rPr>
                <w:rFonts w:ascii="Times New Roman" w:hAnsi="Times New Roman" w:cs="Times New Roman"/>
                <w:b/>
                <w:sz w:val="22"/>
                <w:szCs w:val="22"/>
              </w:rPr>
            </w:pPr>
          </w:p>
        </w:tc>
        <w:tc>
          <w:tcPr>
            <w:tcW w:w="3115" w:type="dxa"/>
          </w:tcPr>
          <w:p w14:paraId="3C2F7209"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818</w:t>
            </w:r>
          </w:p>
        </w:tc>
      </w:tr>
    </w:tbl>
    <w:p w14:paraId="5E1CB089" w14:textId="77777777" w:rsidR="00E16C06" w:rsidRPr="00E16C06" w:rsidRDefault="00E16C06" w:rsidP="00E16C06">
      <w:pPr>
        <w:rPr>
          <w:rFonts w:ascii="Times New Roman" w:eastAsia="Times New Roman" w:hAnsi="Times New Roman" w:cs="Times New Roman"/>
          <w:sz w:val="26"/>
          <w:szCs w:val="26"/>
        </w:rPr>
      </w:pPr>
    </w:p>
    <w:p w14:paraId="0DAD6A0A" w14:textId="77777777" w:rsidR="00E16C06" w:rsidRPr="00E16C06" w:rsidRDefault="00E16C06" w:rsidP="00E16C06">
      <w:pPr>
        <w:rPr>
          <w:rFonts w:ascii="Times New Roman" w:hAnsi="Times New Roman" w:cs="Times New Roman"/>
          <w:noProof/>
        </w:rPr>
      </w:pPr>
      <w:r w:rsidRPr="00E16C06">
        <w:rPr>
          <w:rFonts w:ascii="Times New Roman" w:hAnsi="Times New Roman" w:cs="Times New Roman"/>
          <w:noProof/>
          <w:lang w:eastAsia="ru-RU"/>
        </w:rPr>
        <w:drawing>
          <wp:inline distT="0" distB="0" distL="0" distR="0" wp14:anchorId="59100997" wp14:editId="574CBDE5">
            <wp:extent cx="5916305" cy="3200400"/>
            <wp:effectExtent l="0" t="0" r="8255" b="0"/>
            <wp:docPr id="622" name="Диаграмма 6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50C9CC30" w14:textId="77777777" w:rsidR="00E16C06" w:rsidRPr="00E16C06" w:rsidRDefault="00E16C06" w:rsidP="00E16C06">
      <w:pPr>
        <w:spacing w:after="0" w:line="276" w:lineRule="auto"/>
        <w:contextualSpacing/>
        <w:jc w:val="center"/>
        <w:rPr>
          <w:rFonts w:ascii="Times New Roman" w:hAnsi="Times New Roman" w:cs="Times New Roman"/>
          <w:sz w:val="26"/>
          <w:szCs w:val="26"/>
        </w:rPr>
      </w:pPr>
      <w:r w:rsidRPr="00E16C06">
        <w:rPr>
          <w:rFonts w:ascii="Times New Roman" w:eastAsia="Times New Roman" w:hAnsi="Times New Roman" w:cs="Times New Roman"/>
          <w:spacing w:val="-5"/>
          <w:sz w:val="26"/>
          <w:szCs w:val="26"/>
        </w:rPr>
        <w:t xml:space="preserve">Рис. 3.3.2.24 – </w:t>
      </w:r>
      <w:r w:rsidRPr="00E16C06">
        <w:rPr>
          <w:rFonts w:ascii="Times New Roman" w:hAnsi="Times New Roman" w:cs="Times New Roman"/>
          <w:sz w:val="26"/>
          <w:szCs w:val="26"/>
        </w:rPr>
        <w:t>Распределение объектов оценки по кодам расчета вида использования в составе 11 сегмента</w:t>
      </w:r>
    </w:p>
    <w:p w14:paraId="68AB1D0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p>
    <w:p w14:paraId="0784D230" w14:textId="77777777" w:rsidR="00E16C06" w:rsidRPr="00E16C06" w:rsidRDefault="00E16C06" w:rsidP="00E16C06">
      <w:pPr>
        <w:spacing w:after="0" w:line="276" w:lineRule="auto"/>
        <w:contextualSpacing/>
        <w:jc w:val="center"/>
        <w:rPr>
          <w:rFonts w:ascii="Times New Roman" w:eastAsia="Times New Roman" w:hAnsi="Times New Roman" w:cs="Times New Roman"/>
          <w:i/>
          <w:color w:val="000000"/>
          <w:sz w:val="26"/>
          <w:szCs w:val="26"/>
          <w:lang w:eastAsia="ru-RU"/>
        </w:rPr>
      </w:pPr>
      <w:r w:rsidRPr="00E16C06">
        <w:rPr>
          <w:rFonts w:ascii="Times New Roman" w:eastAsia="Times New Roman" w:hAnsi="Times New Roman" w:cs="Times New Roman"/>
          <w:i/>
          <w:spacing w:val="-5"/>
          <w:sz w:val="26"/>
          <w:szCs w:val="26"/>
        </w:rPr>
        <w:t xml:space="preserve">Описание объектов недвижимости </w:t>
      </w:r>
      <w:r w:rsidRPr="00E16C06">
        <w:rPr>
          <w:rFonts w:ascii="Times New Roman" w:eastAsia="Times New Roman" w:hAnsi="Times New Roman" w:cs="Times New Roman"/>
          <w:i/>
          <w:color w:val="000000"/>
          <w:sz w:val="26"/>
          <w:szCs w:val="26"/>
          <w:lang w:eastAsia="ru-RU"/>
        </w:rPr>
        <w:t>12 сегмента «Специальное, ритуальное использование, запас»</w:t>
      </w:r>
    </w:p>
    <w:p w14:paraId="0D80239A" w14:textId="77777777" w:rsidR="00E16C06" w:rsidRPr="00E16C06" w:rsidRDefault="00E16C06" w:rsidP="00E16C06">
      <w:pPr>
        <w:spacing w:after="0" w:line="276" w:lineRule="auto"/>
        <w:contextualSpacing/>
        <w:jc w:val="center"/>
        <w:rPr>
          <w:rFonts w:ascii="Times New Roman" w:eastAsia="Times New Roman" w:hAnsi="Times New Roman" w:cs="Times New Roman"/>
          <w:b/>
          <w:i/>
          <w:color w:val="000000"/>
          <w:sz w:val="26"/>
          <w:szCs w:val="26"/>
          <w:lang w:eastAsia="ru-RU"/>
        </w:rPr>
      </w:pPr>
    </w:p>
    <w:p w14:paraId="07E28C36" w14:textId="77777777" w:rsidR="00E16C06" w:rsidRPr="00E16C06" w:rsidRDefault="00E16C06" w:rsidP="00E16C06">
      <w:pPr>
        <w:spacing w:after="0" w:line="276" w:lineRule="auto"/>
        <w:ind w:firstLine="709"/>
        <w:contextualSpacing/>
        <w:jc w:val="both"/>
        <w:rPr>
          <w:rFonts w:ascii="Times New Roman" w:hAnsi="Times New Roman" w:cs="Times New Roman"/>
          <w:color w:val="000000" w:themeColor="text1"/>
          <w:sz w:val="26"/>
          <w:szCs w:val="26"/>
        </w:rPr>
      </w:pPr>
      <w:r w:rsidRPr="00E16C06">
        <w:rPr>
          <w:rFonts w:ascii="Times New Roman" w:hAnsi="Times New Roman" w:cs="Times New Roman"/>
          <w:color w:val="000000" w:themeColor="text1"/>
          <w:sz w:val="26"/>
          <w:szCs w:val="26"/>
        </w:rPr>
        <w:t>Наибольшее количество земельных участков 12 сегмента сосредоточено в Аннинском и Семилукском районах – 327 и 215 объектов соответственно. Наименьшее количество земельных участков 12 сегмента сосредоточено в г. Нововоронеже – 4 объекта.</w:t>
      </w:r>
    </w:p>
    <w:p w14:paraId="1929AF1D" w14:textId="77777777" w:rsidR="00E16C06" w:rsidRPr="00E16C06" w:rsidRDefault="00E16C06" w:rsidP="00E16C06">
      <w:pPr>
        <w:rPr>
          <w:rFonts w:ascii="Times New Roman" w:hAnsi="Times New Roman" w:cs="Times New Roman"/>
          <w:color w:val="000000" w:themeColor="text1"/>
          <w:sz w:val="26"/>
          <w:szCs w:val="26"/>
        </w:rPr>
      </w:pPr>
      <w:r w:rsidRPr="00E16C06">
        <w:rPr>
          <w:rFonts w:ascii="Times New Roman" w:hAnsi="Times New Roman" w:cs="Times New Roman"/>
          <w:color w:val="000000" w:themeColor="text1"/>
          <w:sz w:val="26"/>
          <w:szCs w:val="26"/>
        </w:rPr>
        <w:br w:type="page"/>
      </w:r>
    </w:p>
    <w:p w14:paraId="6F2FA78D" w14:textId="77777777" w:rsidR="00E16C06" w:rsidRPr="00E16C06" w:rsidRDefault="00E16C06" w:rsidP="00E16C06">
      <w:pPr>
        <w:spacing w:after="0" w:line="276" w:lineRule="auto"/>
        <w:contextualSpacing/>
        <w:jc w:val="right"/>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Таблица 3.3.2.25</w:t>
      </w:r>
    </w:p>
    <w:p w14:paraId="123BB90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Распределение земельных участков и площадей, относящихся к сегменту 12 «Специальное, ритуальное использование, запас», по муниципальным районам Воронежской области</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2976"/>
        <w:gridCol w:w="3119"/>
      </w:tblGrid>
      <w:tr w:rsidR="00E16C06" w:rsidRPr="00E16C06" w14:paraId="59CC2A1D" w14:textId="77777777" w:rsidTr="00E16C06">
        <w:trPr>
          <w:trHeight w:val="300"/>
        </w:trPr>
        <w:tc>
          <w:tcPr>
            <w:tcW w:w="3251" w:type="dxa"/>
            <w:noWrap/>
            <w:vAlign w:val="center"/>
            <w:hideMark/>
          </w:tcPr>
          <w:p w14:paraId="1835C4C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Район</w:t>
            </w:r>
          </w:p>
        </w:tc>
        <w:tc>
          <w:tcPr>
            <w:tcW w:w="2976" w:type="dxa"/>
            <w:noWrap/>
            <w:vAlign w:val="center"/>
            <w:hideMark/>
          </w:tcPr>
          <w:p w14:paraId="61CA65C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Количество ЗУ</w:t>
            </w:r>
          </w:p>
        </w:tc>
        <w:tc>
          <w:tcPr>
            <w:tcW w:w="3119" w:type="dxa"/>
            <w:noWrap/>
            <w:vAlign w:val="center"/>
            <w:hideMark/>
          </w:tcPr>
          <w:p w14:paraId="2CAF3D3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Площадь, кв. м.</w:t>
            </w:r>
          </w:p>
        </w:tc>
      </w:tr>
      <w:tr w:rsidR="00E16C06" w:rsidRPr="00E16C06" w14:paraId="790ACF56" w14:textId="77777777" w:rsidTr="00E16C06">
        <w:trPr>
          <w:trHeight w:val="300"/>
        </w:trPr>
        <w:tc>
          <w:tcPr>
            <w:tcW w:w="3251" w:type="dxa"/>
            <w:shd w:val="clear" w:color="auto" w:fill="auto"/>
            <w:noWrap/>
            <w:hideMark/>
          </w:tcPr>
          <w:p w14:paraId="0878912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Аннинский</w:t>
            </w:r>
          </w:p>
        </w:tc>
        <w:tc>
          <w:tcPr>
            <w:tcW w:w="2976" w:type="dxa"/>
            <w:shd w:val="clear" w:color="auto" w:fill="auto"/>
            <w:noWrap/>
            <w:hideMark/>
          </w:tcPr>
          <w:p w14:paraId="146526E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327</w:t>
            </w:r>
          </w:p>
        </w:tc>
        <w:tc>
          <w:tcPr>
            <w:tcW w:w="3119" w:type="dxa"/>
            <w:shd w:val="clear" w:color="auto" w:fill="auto"/>
            <w:noWrap/>
            <w:hideMark/>
          </w:tcPr>
          <w:p w14:paraId="0791A24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3 047 449</w:t>
            </w:r>
          </w:p>
        </w:tc>
      </w:tr>
      <w:tr w:rsidR="00E16C06" w:rsidRPr="00E16C06" w14:paraId="4D8525A5" w14:textId="77777777" w:rsidTr="00E16C06">
        <w:trPr>
          <w:trHeight w:val="300"/>
        </w:trPr>
        <w:tc>
          <w:tcPr>
            <w:tcW w:w="3251" w:type="dxa"/>
            <w:shd w:val="clear" w:color="auto" w:fill="auto"/>
            <w:noWrap/>
            <w:hideMark/>
          </w:tcPr>
          <w:p w14:paraId="2EC0FEC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Бобровский</w:t>
            </w:r>
          </w:p>
        </w:tc>
        <w:tc>
          <w:tcPr>
            <w:tcW w:w="2976" w:type="dxa"/>
            <w:shd w:val="clear" w:color="auto" w:fill="auto"/>
            <w:noWrap/>
            <w:hideMark/>
          </w:tcPr>
          <w:p w14:paraId="3CFA8E0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40</w:t>
            </w:r>
          </w:p>
        </w:tc>
        <w:tc>
          <w:tcPr>
            <w:tcW w:w="3119" w:type="dxa"/>
            <w:shd w:val="clear" w:color="auto" w:fill="auto"/>
            <w:noWrap/>
            <w:hideMark/>
          </w:tcPr>
          <w:p w14:paraId="732780C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841 574</w:t>
            </w:r>
          </w:p>
        </w:tc>
      </w:tr>
      <w:tr w:rsidR="00E16C06" w:rsidRPr="00E16C06" w14:paraId="17BBCF6B" w14:textId="77777777" w:rsidTr="00E16C06">
        <w:trPr>
          <w:trHeight w:val="300"/>
        </w:trPr>
        <w:tc>
          <w:tcPr>
            <w:tcW w:w="3251" w:type="dxa"/>
            <w:shd w:val="clear" w:color="auto" w:fill="auto"/>
            <w:noWrap/>
            <w:hideMark/>
          </w:tcPr>
          <w:p w14:paraId="0801F77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Богучарский</w:t>
            </w:r>
          </w:p>
        </w:tc>
        <w:tc>
          <w:tcPr>
            <w:tcW w:w="2976" w:type="dxa"/>
            <w:shd w:val="clear" w:color="auto" w:fill="auto"/>
            <w:noWrap/>
            <w:hideMark/>
          </w:tcPr>
          <w:p w14:paraId="4E7E955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57</w:t>
            </w:r>
          </w:p>
        </w:tc>
        <w:tc>
          <w:tcPr>
            <w:tcW w:w="3119" w:type="dxa"/>
            <w:shd w:val="clear" w:color="auto" w:fill="auto"/>
            <w:noWrap/>
            <w:hideMark/>
          </w:tcPr>
          <w:p w14:paraId="6934555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648 860</w:t>
            </w:r>
          </w:p>
        </w:tc>
      </w:tr>
      <w:tr w:rsidR="00E16C06" w:rsidRPr="00E16C06" w14:paraId="5CAE0D93" w14:textId="77777777" w:rsidTr="00E16C06">
        <w:trPr>
          <w:trHeight w:val="300"/>
        </w:trPr>
        <w:tc>
          <w:tcPr>
            <w:tcW w:w="3251" w:type="dxa"/>
            <w:shd w:val="clear" w:color="auto" w:fill="auto"/>
            <w:noWrap/>
            <w:hideMark/>
          </w:tcPr>
          <w:p w14:paraId="1B10EE4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Борисоглебский</w:t>
            </w:r>
          </w:p>
        </w:tc>
        <w:tc>
          <w:tcPr>
            <w:tcW w:w="2976" w:type="dxa"/>
            <w:shd w:val="clear" w:color="auto" w:fill="auto"/>
            <w:noWrap/>
            <w:hideMark/>
          </w:tcPr>
          <w:p w14:paraId="7392BCD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47</w:t>
            </w:r>
          </w:p>
        </w:tc>
        <w:tc>
          <w:tcPr>
            <w:tcW w:w="3119" w:type="dxa"/>
            <w:shd w:val="clear" w:color="auto" w:fill="auto"/>
            <w:noWrap/>
            <w:hideMark/>
          </w:tcPr>
          <w:p w14:paraId="5F62644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1 201 297</w:t>
            </w:r>
          </w:p>
        </w:tc>
      </w:tr>
      <w:tr w:rsidR="00E16C06" w:rsidRPr="00E16C06" w14:paraId="2575A927" w14:textId="77777777" w:rsidTr="00E16C06">
        <w:trPr>
          <w:trHeight w:val="300"/>
        </w:trPr>
        <w:tc>
          <w:tcPr>
            <w:tcW w:w="3251" w:type="dxa"/>
            <w:shd w:val="clear" w:color="auto" w:fill="auto"/>
            <w:noWrap/>
            <w:hideMark/>
          </w:tcPr>
          <w:p w14:paraId="1C4B9E1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Бутурлиновский</w:t>
            </w:r>
          </w:p>
        </w:tc>
        <w:tc>
          <w:tcPr>
            <w:tcW w:w="2976" w:type="dxa"/>
            <w:shd w:val="clear" w:color="auto" w:fill="auto"/>
            <w:noWrap/>
            <w:hideMark/>
          </w:tcPr>
          <w:p w14:paraId="1BFBA79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68</w:t>
            </w:r>
          </w:p>
        </w:tc>
        <w:tc>
          <w:tcPr>
            <w:tcW w:w="3119" w:type="dxa"/>
            <w:shd w:val="clear" w:color="auto" w:fill="auto"/>
            <w:noWrap/>
            <w:hideMark/>
          </w:tcPr>
          <w:p w14:paraId="205985F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1 043 894</w:t>
            </w:r>
          </w:p>
        </w:tc>
      </w:tr>
      <w:tr w:rsidR="00E16C06" w:rsidRPr="00E16C06" w14:paraId="01DC6993" w14:textId="77777777" w:rsidTr="00E16C06">
        <w:trPr>
          <w:trHeight w:val="300"/>
        </w:trPr>
        <w:tc>
          <w:tcPr>
            <w:tcW w:w="3251" w:type="dxa"/>
            <w:shd w:val="clear" w:color="auto" w:fill="auto"/>
            <w:noWrap/>
            <w:hideMark/>
          </w:tcPr>
          <w:p w14:paraId="2DE7152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Верхнемамонский</w:t>
            </w:r>
          </w:p>
        </w:tc>
        <w:tc>
          <w:tcPr>
            <w:tcW w:w="2976" w:type="dxa"/>
            <w:shd w:val="clear" w:color="auto" w:fill="auto"/>
            <w:noWrap/>
            <w:hideMark/>
          </w:tcPr>
          <w:p w14:paraId="15229CA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32</w:t>
            </w:r>
          </w:p>
        </w:tc>
        <w:tc>
          <w:tcPr>
            <w:tcW w:w="3119" w:type="dxa"/>
            <w:shd w:val="clear" w:color="auto" w:fill="auto"/>
            <w:noWrap/>
            <w:hideMark/>
          </w:tcPr>
          <w:p w14:paraId="6BDFC02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494 828</w:t>
            </w:r>
          </w:p>
        </w:tc>
      </w:tr>
      <w:tr w:rsidR="00E16C06" w:rsidRPr="00E16C06" w14:paraId="733873DC" w14:textId="77777777" w:rsidTr="00E16C06">
        <w:trPr>
          <w:trHeight w:val="300"/>
        </w:trPr>
        <w:tc>
          <w:tcPr>
            <w:tcW w:w="3251" w:type="dxa"/>
            <w:shd w:val="clear" w:color="auto" w:fill="auto"/>
            <w:noWrap/>
            <w:hideMark/>
          </w:tcPr>
          <w:p w14:paraId="7FCADD2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Верхнехавский</w:t>
            </w:r>
          </w:p>
        </w:tc>
        <w:tc>
          <w:tcPr>
            <w:tcW w:w="2976" w:type="dxa"/>
            <w:shd w:val="clear" w:color="auto" w:fill="auto"/>
            <w:noWrap/>
            <w:hideMark/>
          </w:tcPr>
          <w:p w14:paraId="2494111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36</w:t>
            </w:r>
          </w:p>
        </w:tc>
        <w:tc>
          <w:tcPr>
            <w:tcW w:w="3119" w:type="dxa"/>
            <w:shd w:val="clear" w:color="auto" w:fill="auto"/>
            <w:noWrap/>
            <w:hideMark/>
          </w:tcPr>
          <w:p w14:paraId="5F5FA48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607 110</w:t>
            </w:r>
          </w:p>
        </w:tc>
      </w:tr>
      <w:tr w:rsidR="00E16C06" w:rsidRPr="00E16C06" w14:paraId="654591B4" w14:textId="77777777" w:rsidTr="00E16C06">
        <w:trPr>
          <w:trHeight w:val="300"/>
        </w:trPr>
        <w:tc>
          <w:tcPr>
            <w:tcW w:w="3251" w:type="dxa"/>
            <w:shd w:val="clear" w:color="auto" w:fill="auto"/>
            <w:noWrap/>
            <w:hideMark/>
          </w:tcPr>
          <w:p w14:paraId="57C1B96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Воробьевский</w:t>
            </w:r>
          </w:p>
        </w:tc>
        <w:tc>
          <w:tcPr>
            <w:tcW w:w="2976" w:type="dxa"/>
            <w:shd w:val="clear" w:color="auto" w:fill="auto"/>
            <w:noWrap/>
            <w:hideMark/>
          </w:tcPr>
          <w:p w14:paraId="3DF38A3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135</w:t>
            </w:r>
          </w:p>
        </w:tc>
        <w:tc>
          <w:tcPr>
            <w:tcW w:w="3119" w:type="dxa"/>
            <w:shd w:val="clear" w:color="auto" w:fill="auto"/>
            <w:noWrap/>
            <w:hideMark/>
          </w:tcPr>
          <w:p w14:paraId="4309AD2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8 303 814</w:t>
            </w:r>
          </w:p>
        </w:tc>
      </w:tr>
      <w:tr w:rsidR="00E16C06" w:rsidRPr="00E16C06" w14:paraId="393D252E" w14:textId="77777777" w:rsidTr="00E16C06">
        <w:trPr>
          <w:trHeight w:val="300"/>
        </w:trPr>
        <w:tc>
          <w:tcPr>
            <w:tcW w:w="3251" w:type="dxa"/>
            <w:shd w:val="clear" w:color="auto" w:fill="auto"/>
            <w:noWrap/>
            <w:hideMark/>
          </w:tcPr>
          <w:p w14:paraId="38F397F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ГО г. Воронеж</w:t>
            </w:r>
          </w:p>
        </w:tc>
        <w:tc>
          <w:tcPr>
            <w:tcW w:w="2976" w:type="dxa"/>
            <w:shd w:val="clear" w:color="auto" w:fill="auto"/>
            <w:noWrap/>
            <w:hideMark/>
          </w:tcPr>
          <w:p w14:paraId="741A601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61</w:t>
            </w:r>
          </w:p>
        </w:tc>
        <w:tc>
          <w:tcPr>
            <w:tcW w:w="3119" w:type="dxa"/>
            <w:shd w:val="clear" w:color="auto" w:fill="auto"/>
            <w:noWrap/>
            <w:hideMark/>
          </w:tcPr>
          <w:p w14:paraId="32E5E98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6 394 958</w:t>
            </w:r>
          </w:p>
        </w:tc>
      </w:tr>
      <w:tr w:rsidR="00E16C06" w:rsidRPr="00E16C06" w14:paraId="3AA9967B" w14:textId="77777777" w:rsidTr="00E16C06">
        <w:trPr>
          <w:trHeight w:val="300"/>
        </w:trPr>
        <w:tc>
          <w:tcPr>
            <w:tcW w:w="3251" w:type="dxa"/>
            <w:shd w:val="clear" w:color="auto" w:fill="auto"/>
            <w:noWrap/>
            <w:hideMark/>
          </w:tcPr>
          <w:p w14:paraId="79C82B9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ГО Нововоронеж</w:t>
            </w:r>
          </w:p>
        </w:tc>
        <w:tc>
          <w:tcPr>
            <w:tcW w:w="2976" w:type="dxa"/>
            <w:shd w:val="clear" w:color="auto" w:fill="auto"/>
            <w:noWrap/>
            <w:hideMark/>
          </w:tcPr>
          <w:p w14:paraId="0F3CACC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w:t>
            </w:r>
          </w:p>
        </w:tc>
        <w:tc>
          <w:tcPr>
            <w:tcW w:w="3119" w:type="dxa"/>
            <w:shd w:val="clear" w:color="auto" w:fill="auto"/>
            <w:noWrap/>
            <w:hideMark/>
          </w:tcPr>
          <w:p w14:paraId="25BC0F7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321 732</w:t>
            </w:r>
          </w:p>
        </w:tc>
      </w:tr>
      <w:tr w:rsidR="00E16C06" w:rsidRPr="00E16C06" w14:paraId="37B00CF4" w14:textId="77777777" w:rsidTr="00E16C06">
        <w:trPr>
          <w:trHeight w:val="300"/>
        </w:trPr>
        <w:tc>
          <w:tcPr>
            <w:tcW w:w="3251" w:type="dxa"/>
            <w:shd w:val="clear" w:color="auto" w:fill="auto"/>
            <w:noWrap/>
            <w:hideMark/>
          </w:tcPr>
          <w:p w14:paraId="16FEAF2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Грибановский</w:t>
            </w:r>
          </w:p>
        </w:tc>
        <w:tc>
          <w:tcPr>
            <w:tcW w:w="2976" w:type="dxa"/>
            <w:shd w:val="clear" w:color="auto" w:fill="auto"/>
            <w:noWrap/>
            <w:hideMark/>
          </w:tcPr>
          <w:p w14:paraId="4391FCB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56</w:t>
            </w:r>
          </w:p>
        </w:tc>
        <w:tc>
          <w:tcPr>
            <w:tcW w:w="3119" w:type="dxa"/>
            <w:shd w:val="clear" w:color="auto" w:fill="auto"/>
            <w:noWrap/>
            <w:hideMark/>
          </w:tcPr>
          <w:p w14:paraId="52984C3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20 238 617</w:t>
            </w:r>
          </w:p>
        </w:tc>
      </w:tr>
      <w:tr w:rsidR="00E16C06" w:rsidRPr="00E16C06" w14:paraId="1A04D035" w14:textId="77777777" w:rsidTr="00E16C06">
        <w:trPr>
          <w:trHeight w:val="300"/>
        </w:trPr>
        <w:tc>
          <w:tcPr>
            <w:tcW w:w="3251" w:type="dxa"/>
            <w:shd w:val="clear" w:color="auto" w:fill="auto"/>
            <w:noWrap/>
            <w:hideMark/>
          </w:tcPr>
          <w:p w14:paraId="77EDD0F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Калачеевский</w:t>
            </w:r>
          </w:p>
        </w:tc>
        <w:tc>
          <w:tcPr>
            <w:tcW w:w="2976" w:type="dxa"/>
            <w:shd w:val="clear" w:color="auto" w:fill="auto"/>
            <w:noWrap/>
            <w:hideMark/>
          </w:tcPr>
          <w:p w14:paraId="79769C3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82</w:t>
            </w:r>
          </w:p>
        </w:tc>
        <w:tc>
          <w:tcPr>
            <w:tcW w:w="3119" w:type="dxa"/>
            <w:shd w:val="clear" w:color="auto" w:fill="auto"/>
            <w:noWrap/>
            <w:hideMark/>
          </w:tcPr>
          <w:p w14:paraId="56551B4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1 275 686</w:t>
            </w:r>
          </w:p>
        </w:tc>
      </w:tr>
      <w:tr w:rsidR="00E16C06" w:rsidRPr="00E16C06" w14:paraId="253158EA" w14:textId="77777777" w:rsidTr="00E16C06">
        <w:trPr>
          <w:trHeight w:val="300"/>
        </w:trPr>
        <w:tc>
          <w:tcPr>
            <w:tcW w:w="3251" w:type="dxa"/>
            <w:shd w:val="clear" w:color="auto" w:fill="auto"/>
            <w:noWrap/>
            <w:hideMark/>
          </w:tcPr>
          <w:p w14:paraId="45B4516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Каменский</w:t>
            </w:r>
          </w:p>
        </w:tc>
        <w:tc>
          <w:tcPr>
            <w:tcW w:w="2976" w:type="dxa"/>
            <w:shd w:val="clear" w:color="auto" w:fill="auto"/>
            <w:noWrap/>
            <w:hideMark/>
          </w:tcPr>
          <w:p w14:paraId="31A4AA1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49</w:t>
            </w:r>
          </w:p>
        </w:tc>
        <w:tc>
          <w:tcPr>
            <w:tcW w:w="3119" w:type="dxa"/>
            <w:shd w:val="clear" w:color="auto" w:fill="auto"/>
            <w:noWrap/>
            <w:hideMark/>
          </w:tcPr>
          <w:p w14:paraId="151D6ED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365 137</w:t>
            </w:r>
          </w:p>
        </w:tc>
      </w:tr>
      <w:tr w:rsidR="00E16C06" w:rsidRPr="00E16C06" w14:paraId="4AF4CB2A" w14:textId="77777777" w:rsidTr="00E16C06">
        <w:trPr>
          <w:trHeight w:val="300"/>
        </w:trPr>
        <w:tc>
          <w:tcPr>
            <w:tcW w:w="3251" w:type="dxa"/>
            <w:shd w:val="clear" w:color="auto" w:fill="auto"/>
            <w:noWrap/>
            <w:hideMark/>
          </w:tcPr>
          <w:p w14:paraId="712CCEB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Кантемировский</w:t>
            </w:r>
          </w:p>
        </w:tc>
        <w:tc>
          <w:tcPr>
            <w:tcW w:w="2976" w:type="dxa"/>
            <w:shd w:val="clear" w:color="auto" w:fill="auto"/>
            <w:noWrap/>
            <w:hideMark/>
          </w:tcPr>
          <w:p w14:paraId="5F02334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68</w:t>
            </w:r>
          </w:p>
        </w:tc>
        <w:tc>
          <w:tcPr>
            <w:tcW w:w="3119" w:type="dxa"/>
            <w:shd w:val="clear" w:color="auto" w:fill="auto"/>
            <w:noWrap/>
            <w:hideMark/>
          </w:tcPr>
          <w:p w14:paraId="727699B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598 233</w:t>
            </w:r>
          </w:p>
        </w:tc>
      </w:tr>
      <w:tr w:rsidR="00E16C06" w:rsidRPr="00E16C06" w14:paraId="130D4ECD" w14:textId="77777777" w:rsidTr="00E16C06">
        <w:trPr>
          <w:trHeight w:val="300"/>
        </w:trPr>
        <w:tc>
          <w:tcPr>
            <w:tcW w:w="3251" w:type="dxa"/>
            <w:shd w:val="clear" w:color="auto" w:fill="auto"/>
            <w:noWrap/>
            <w:hideMark/>
          </w:tcPr>
          <w:p w14:paraId="2C22EC7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Каширский</w:t>
            </w:r>
          </w:p>
        </w:tc>
        <w:tc>
          <w:tcPr>
            <w:tcW w:w="2976" w:type="dxa"/>
            <w:shd w:val="clear" w:color="auto" w:fill="auto"/>
            <w:noWrap/>
            <w:hideMark/>
          </w:tcPr>
          <w:p w14:paraId="52D7564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28</w:t>
            </w:r>
          </w:p>
        </w:tc>
        <w:tc>
          <w:tcPr>
            <w:tcW w:w="3119" w:type="dxa"/>
            <w:shd w:val="clear" w:color="auto" w:fill="auto"/>
            <w:noWrap/>
            <w:hideMark/>
          </w:tcPr>
          <w:p w14:paraId="2A156D4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874 820</w:t>
            </w:r>
          </w:p>
        </w:tc>
      </w:tr>
      <w:tr w:rsidR="00E16C06" w:rsidRPr="00E16C06" w14:paraId="218C4D4F" w14:textId="77777777" w:rsidTr="00E16C06">
        <w:trPr>
          <w:trHeight w:val="300"/>
        </w:trPr>
        <w:tc>
          <w:tcPr>
            <w:tcW w:w="3251" w:type="dxa"/>
            <w:shd w:val="clear" w:color="auto" w:fill="auto"/>
            <w:noWrap/>
            <w:hideMark/>
          </w:tcPr>
          <w:p w14:paraId="0094CF7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Лискинский</w:t>
            </w:r>
          </w:p>
        </w:tc>
        <w:tc>
          <w:tcPr>
            <w:tcW w:w="2976" w:type="dxa"/>
            <w:shd w:val="clear" w:color="auto" w:fill="auto"/>
            <w:noWrap/>
            <w:hideMark/>
          </w:tcPr>
          <w:p w14:paraId="67E6C1A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94</w:t>
            </w:r>
          </w:p>
        </w:tc>
        <w:tc>
          <w:tcPr>
            <w:tcW w:w="3119" w:type="dxa"/>
            <w:shd w:val="clear" w:color="auto" w:fill="auto"/>
            <w:noWrap/>
            <w:hideMark/>
          </w:tcPr>
          <w:p w14:paraId="1AA0AFF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1 615 646</w:t>
            </w:r>
          </w:p>
        </w:tc>
      </w:tr>
      <w:tr w:rsidR="00E16C06" w:rsidRPr="00E16C06" w14:paraId="6FA4611A" w14:textId="77777777" w:rsidTr="00E16C06">
        <w:trPr>
          <w:trHeight w:val="300"/>
        </w:trPr>
        <w:tc>
          <w:tcPr>
            <w:tcW w:w="3251" w:type="dxa"/>
            <w:shd w:val="clear" w:color="auto" w:fill="auto"/>
            <w:noWrap/>
            <w:hideMark/>
          </w:tcPr>
          <w:p w14:paraId="1E7EA5B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Нижнедевицкий</w:t>
            </w:r>
          </w:p>
        </w:tc>
        <w:tc>
          <w:tcPr>
            <w:tcW w:w="2976" w:type="dxa"/>
            <w:shd w:val="clear" w:color="auto" w:fill="auto"/>
            <w:noWrap/>
            <w:hideMark/>
          </w:tcPr>
          <w:p w14:paraId="7BA84B6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25</w:t>
            </w:r>
          </w:p>
        </w:tc>
        <w:tc>
          <w:tcPr>
            <w:tcW w:w="3119" w:type="dxa"/>
            <w:shd w:val="clear" w:color="auto" w:fill="auto"/>
            <w:noWrap/>
            <w:hideMark/>
          </w:tcPr>
          <w:p w14:paraId="026173C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1 828 135</w:t>
            </w:r>
          </w:p>
        </w:tc>
      </w:tr>
      <w:tr w:rsidR="00E16C06" w:rsidRPr="00E16C06" w14:paraId="157F4DB7" w14:textId="77777777" w:rsidTr="00E16C06">
        <w:trPr>
          <w:trHeight w:val="300"/>
        </w:trPr>
        <w:tc>
          <w:tcPr>
            <w:tcW w:w="3251" w:type="dxa"/>
            <w:shd w:val="clear" w:color="auto" w:fill="auto"/>
            <w:noWrap/>
            <w:hideMark/>
          </w:tcPr>
          <w:p w14:paraId="102E164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Новоусманский</w:t>
            </w:r>
          </w:p>
        </w:tc>
        <w:tc>
          <w:tcPr>
            <w:tcW w:w="2976" w:type="dxa"/>
            <w:shd w:val="clear" w:color="auto" w:fill="auto"/>
            <w:noWrap/>
            <w:hideMark/>
          </w:tcPr>
          <w:p w14:paraId="5319D86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45</w:t>
            </w:r>
          </w:p>
        </w:tc>
        <w:tc>
          <w:tcPr>
            <w:tcW w:w="3119" w:type="dxa"/>
            <w:shd w:val="clear" w:color="auto" w:fill="auto"/>
            <w:noWrap/>
            <w:hideMark/>
          </w:tcPr>
          <w:p w14:paraId="218F676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10 124 813</w:t>
            </w:r>
          </w:p>
        </w:tc>
      </w:tr>
      <w:tr w:rsidR="00E16C06" w:rsidRPr="00E16C06" w14:paraId="0746FA4A" w14:textId="77777777" w:rsidTr="00E16C06">
        <w:trPr>
          <w:trHeight w:val="300"/>
        </w:trPr>
        <w:tc>
          <w:tcPr>
            <w:tcW w:w="3251" w:type="dxa"/>
            <w:shd w:val="clear" w:color="auto" w:fill="auto"/>
            <w:noWrap/>
            <w:hideMark/>
          </w:tcPr>
          <w:p w14:paraId="4FD510C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Новохоперский</w:t>
            </w:r>
          </w:p>
        </w:tc>
        <w:tc>
          <w:tcPr>
            <w:tcW w:w="2976" w:type="dxa"/>
            <w:shd w:val="clear" w:color="auto" w:fill="auto"/>
            <w:noWrap/>
            <w:hideMark/>
          </w:tcPr>
          <w:p w14:paraId="3BF1EEC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45</w:t>
            </w:r>
          </w:p>
        </w:tc>
        <w:tc>
          <w:tcPr>
            <w:tcW w:w="3119" w:type="dxa"/>
            <w:shd w:val="clear" w:color="auto" w:fill="auto"/>
            <w:noWrap/>
            <w:hideMark/>
          </w:tcPr>
          <w:p w14:paraId="4B61F02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13 850 226</w:t>
            </w:r>
          </w:p>
        </w:tc>
      </w:tr>
      <w:tr w:rsidR="00E16C06" w:rsidRPr="00E16C06" w14:paraId="6AF233E2" w14:textId="77777777" w:rsidTr="00E16C06">
        <w:trPr>
          <w:trHeight w:val="300"/>
        </w:trPr>
        <w:tc>
          <w:tcPr>
            <w:tcW w:w="3251" w:type="dxa"/>
            <w:shd w:val="clear" w:color="auto" w:fill="auto"/>
            <w:noWrap/>
            <w:hideMark/>
          </w:tcPr>
          <w:p w14:paraId="48FC8E7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Ольховатский</w:t>
            </w:r>
          </w:p>
        </w:tc>
        <w:tc>
          <w:tcPr>
            <w:tcW w:w="2976" w:type="dxa"/>
            <w:shd w:val="clear" w:color="auto" w:fill="auto"/>
            <w:noWrap/>
            <w:hideMark/>
          </w:tcPr>
          <w:p w14:paraId="1BF37F0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66</w:t>
            </w:r>
          </w:p>
        </w:tc>
        <w:tc>
          <w:tcPr>
            <w:tcW w:w="3119" w:type="dxa"/>
            <w:shd w:val="clear" w:color="auto" w:fill="auto"/>
            <w:noWrap/>
            <w:hideMark/>
          </w:tcPr>
          <w:p w14:paraId="675CB75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5 014 569</w:t>
            </w:r>
          </w:p>
        </w:tc>
      </w:tr>
      <w:tr w:rsidR="00E16C06" w:rsidRPr="00E16C06" w14:paraId="532241F6" w14:textId="77777777" w:rsidTr="00E16C06">
        <w:trPr>
          <w:trHeight w:val="300"/>
        </w:trPr>
        <w:tc>
          <w:tcPr>
            <w:tcW w:w="3251" w:type="dxa"/>
            <w:shd w:val="clear" w:color="auto" w:fill="auto"/>
            <w:noWrap/>
            <w:hideMark/>
          </w:tcPr>
          <w:p w14:paraId="68BD568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Острогожский</w:t>
            </w:r>
          </w:p>
        </w:tc>
        <w:tc>
          <w:tcPr>
            <w:tcW w:w="2976" w:type="dxa"/>
            <w:shd w:val="clear" w:color="auto" w:fill="auto"/>
            <w:noWrap/>
            <w:hideMark/>
          </w:tcPr>
          <w:p w14:paraId="42ADECA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46</w:t>
            </w:r>
          </w:p>
        </w:tc>
        <w:tc>
          <w:tcPr>
            <w:tcW w:w="3119" w:type="dxa"/>
            <w:shd w:val="clear" w:color="auto" w:fill="auto"/>
            <w:noWrap/>
            <w:hideMark/>
          </w:tcPr>
          <w:p w14:paraId="255BF06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1 707 904</w:t>
            </w:r>
          </w:p>
        </w:tc>
      </w:tr>
      <w:tr w:rsidR="00E16C06" w:rsidRPr="00E16C06" w14:paraId="3BD5FD43" w14:textId="77777777" w:rsidTr="00E16C06">
        <w:trPr>
          <w:trHeight w:val="300"/>
        </w:trPr>
        <w:tc>
          <w:tcPr>
            <w:tcW w:w="3251" w:type="dxa"/>
            <w:shd w:val="clear" w:color="auto" w:fill="auto"/>
            <w:noWrap/>
            <w:hideMark/>
          </w:tcPr>
          <w:p w14:paraId="64494A1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Павловский</w:t>
            </w:r>
          </w:p>
        </w:tc>
        <w:tc>
          <w:tcPr>
            <w:tcW w:w="2976" w:type="dxa"/>
            <w:shd w:val="clear" w:color="auto" w:fill="auto"/>
            <w:noWrap/>
            <w:hideMark/>
          </w:tcPr>
          <w:p w14:paraId="6AAC386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61</w:t>
            </w:r>
          </w:p>
        </w:tc>
        <w:tc>
          <w:tcPr>
            <w:tcW w:w="3119" w:type="dxa"/>
            <w:shd w:val="clear" w:color="auto" w:fill="auto"/>
            <w:noWrap/>
            <w:hideMark/>
          </w:tcPr>
          <w:p w14:paraId="6BFBF43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4 648 573</w:t>
            </w:r>
          </w:p>
        </w:tc>
      </w:tr>
      <w:tr w:rsidR="00E16C06" w:rsidRPr="00E16C06" w14:paraId="3A789057" w14:textId="77777777" w:rsidTr="00E16C06">
        <w:trPr>
          <w:trHeight w:val="300"/>
        </w:trPr>
        <w:tc>
          <w:tcPr>
            <w:tcW w:w="3251" w:type="dxa"/>
            <w:shd w:val="clear" w:color="auto" w:fill="auto"/>
            <w:noWrap/>
            <w:hideMark/>
          </w:tcPr>
          <w:p w14:paraId="1B61CE3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Панинский</w:t>
            </w:r>
          </w:p>
        </w:tc>
        <w:tc>
          <w:tcPr>
            <w:tcW w:w="2976" w:type="dxa"/>
            <w:shd w:val="clear" w:color="auto" w:fill="auto"/>
            <w:noWrap/>
            <w:hideMark/>
          </w:tcPr>
          <w:p w14:paraId="12316D9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30</w:t>
            </w:r>
          </w:p>
        </w:tc>
        <w:tc>
          <w:tcPr>
            <w:tcW w:w="3119" w:type="dxa"/>
            <w:shd w:val="clear" w:color="auto" w:fill="auto"/>
            <w:noWrap/>
            <w:hideMark/>
          </w:tcPr>
          <w:p w14:paraId="0D45667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534 978</w:t>
            </w:r>
          </w:p>
        </w:tc>
      </w:tr>
      <w:tr w:rsidR="00E16C06" w:rsidRPr="00E16C06" w14:paraId="5722A91A" w14:textId="77777777" w:rsidTr="00E16C06">
        <w:trPr>
          <w:trHeight w:val="300"/>
        </w:trPr>
        <w:tc>
          <w:tcPr>
            <w:tcW w:w="3251" w:type="dxa"/>
            <w:shd w:val="clear" w:color="auto" w:fill="auto"/>
            <w:noWrap/>
            <w:hideMark/>
          </w:tcPr>
          <w:p w14:paraId="3E461A6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Петропавловский</w:t>
            </w:r>
          </w:p>
        </w:tc>
        <w:tc>
          <w:tcPr>
            <w:tcW w:w="2976" w:type="dxa"/>
            <w:shd w:val="clear" w:color="auto" w:fill="auto"/>
            <w:noWrap/>
            <w:hideMark/>
          </w:tcPr>
          <w:p w14:paraId="2270594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38</w:t>
            </w:r>
          </w:p>
        </w:tc>
        <w:tc>
          <w:tcPr>
            <w:tcW w:w="3119" w:type="dxa"/>
            <w:shd w:val="clear" w:color="auto" w:fill="auto"/>
            <w:noWrap/>
            <w:hideMark/>
          </w:tcPr>
          <w:p w14:paraId="4B1DF3E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958 578</w:t>
            </w:r>
          </w:p>
        </w:tc>
      </w:tr>
      <w:tr w:rsidR="00E16C06" w:rsidRPr="00E16C06" w14:paraId="2C1EF771" w14:textId="77777777" w:rsidTr="00E16C06">
        <w:trPr>
          <w:trHeight w:val="300"/>
        </w:trPr>
        <w:tc>
          <w:tcPr>
            <w:tcW w:w="3251" w:type="dxa"/>
            <w:shd w:val="clear" w:color="auto" w:fill="auto"/>
            <w:noWrap/>
            <w:hideMark/>
          </w:tcPr>
          <w:p w14:paraId="67BE2F8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Поворинский</w:t>
            </w:r>
          </w:p>
        </w:tc>
        <w:tc>
          <w:tcPr>
            <w:tcW w:w="2976" w:type="dxa"/>
            <w:shd w:val="clear" w:color="auto" w:fill="auto"/>
            <w:noWrap/>
            <w:hideMark/>
          </w:tcPr>
          <w:p w14:paraId="063202C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35</w:t>
            </w:r>
          </w:p>
        </w:tc>
        <w:tc>
          <w:tcPr>
            <w:tcW w:w="3119" w:type="dxa"/>
            <w:shd w:val="clear" w:color="auto" w:fill="auto"/>
            <w:noWrap/>
            <w:hideMark/>
          </w:tcPr>
          <w:p w14:paraId="47A1FAC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815 993</w:t>
            </w:r>
          </w:p>
        </w:tc>
      </w:tr>
      <w:tr w:rsidR="00E16C06" w:rsidRPr="00E16C06" w14:paraId="5A6B00DC" w14:textId="77777777" w:rsidTr="00E16C06">
        <w:trPr>
          <w:trHeight w:val="300"/>
        </w:trPr>
        <w:tc>
          <w:tcPr>
            <w:tcW w:w="3251" w:type="dxa"/>
            <w:shd w:val="clear" w:color="auto" w:fill="auto"/>
            <w:noWrap/>
            <w:hideMark/>
          </w:tcPr>
          <w:p w14:paraId="3B077EA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Подгоренский</w:t>
            </w:r>
          </w:p>
        </w:tc>
        <w:tc>
          <w:tcPr>
            <w:tcW w:w="2976" w:type="dxa"/>
            <w:shd w:val="clear" w:color="auto" w:fill="auto"/>
            <w:noWrap/>
            <w:hideMark/>
          </w:tcPr>
          <w:p w14:paraId="29925C8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76</w:t>
            </w:r>
          </w:p>
        </w:tc>
        <w:tc>
          <w:tcPr>
            <w:tcW w:w="3119" w:type="dxa"/>
            <w:shd w:val="clear" w:color="auto" w:fill="auto"/>
            <w:noWrap/>
            <w:hideMark/>
          </w:tcPr>
          <w:p w14:paraId="6EF57A8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1 026 484</w:t>
            </w:r>
          </w:p>
        </w:tc>
      </w:tr>
      <w:tr w:rsidR="00E16C06" w:rsidRPr="00E16C06" w14:paraId="7990B2E5" w14:textId="77777777" w:rsidTr="00E16C06">
        <w:trPr>
          <w:trHeight w:val="300"/>
        </w:trPr>
        <w:tc>
          <w:tcPr>
            <w:tcW w:w="3251" w:type="dxa"/>
            <w:shd w:val="clear" w:color="auto" w:fill="auto"/>
            <w:noWrap/>
            <w:hideMark/>
          </w:tcPr>
          <w:p w14:paraId="560CD42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Рамонский</w:t>
            </w:r>
          </w:p>
        </w:tc>
        <w:tc>
          <w:tcPr>
            <w:tcW w:w="2976" w:type="dxa"/>
            <w:shd w:val="clear" w:color="auto" w:fill="auto"/>
            <w:noWrap/>
            <w:hideMark/>
          </w:tcPr>
          <w:p w14:paraId="4533F36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91</w:t>
            </w:r>
          </w:p>
        </w:tc>
        <w:tc>
          <w:tcPr>
            <w:tcW w:w="3119" w:type="dxa"/>
            <w:shd w:val="clear" w:color="auto" w:fill="auto"/>
            <w:noWrap/>
            <w:hideMark/>
          </w:tcPr>
          <w:p w14:paraId="750C727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971 751</w:t>
            </w:r>
          </w:p>
        </w:tc>
      </w:tr>
      <w:tr w:rsidR="00E16C06" w:rsidRPr="00E16C06" w14:paraId="4A7496D5" w14:textId="77777777" w:rsidTr="00E16C06">
        <w:trPr>
          <w:trHeight w:val="300"/>
        </w:trPr>
        <w:tc>
          <w:tcPr>
            <w:tcW w:w="3251" w:type="dxa"/>
            <w:shd w:val="clear" w:color="auto" w:fill="auto"/>
            <w:noWrap/>
            <w:hideMark/>
          </w:tcPr>
          <w:p w14:paraId="3F2BEFB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Репьевский</w:t>
            </w:r>
          </w:p>
        </w:tc>
        <w:tc>
          <w:tcPr>
            <w:tcW w:w="2976" w:type="dxa"/>
            <w:shd w:val="clear" w:color="auto" w:fill="auto"/>
            <w:noWrap/>
            <w:hideMark/>
          </w:tcPr>
          <w:p w14:paraId="1397B79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36</w:t>
            </w:r>
          </w:p>
        </w:tc>
        <w:tc>
          <w:tcPr>
            <w:tcW w:w="3119" w:type="dxa"/>
            <w:shd w:val="clear" w:color="auto" w:fill="auto"/>
            <w:noWrap/>
            <w:hideMark/>
          </w:tcPr>
          <w:p w14:paraId="3E6BD91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456 491</w:t>
            </w:r>
          </w:p>
        </w:tc>
      </w:tr>
      <w:tr w:rsidR="00E16C06" w:rsidRPr="00E16C06" w14:paraId="382A37B6" w14:textId="77777777" w:rsidTr="00E16C06">
        <w:trPr>
          <w:trHeight w:val="300"/>
        </w:trPr>
        <w:tc>
          <w:tcPr>
            <w:tcW w:w="3251" w:type="dxa"/>
            <w:shd w:val="clear" w:color="auto" w:fill="auto"/>
            <w:noWrap/>
            <w:hideMark/>
          </w:tcPr>
          <w:p w14:paraId="75CB41C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Россошанский</w:t>
            </w:r>
          </w:p>
        </w:tc>
        <w:tc>
          <w:tcPr>
            <w:tcW w:w="2976" w:type="dxa"/>
            <w:shd w:val="clear" w:color="auto" w:fill="auto"/>
            <w:noWrap/>
            <w:hideMark/>
          </w:tcPr>
          <w:p w14:paraId="11A7EF7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133</w:t>
            </w:r>
          </w:p>
        </w:tc>
        <w:tc>
          <w:tcPr>
            <w:tcW w:w="3119" w:type="dxa"/>
            <w:shd w:val="clear" w:color="auto" w:fill="auto"/>
            <w:noWrap/>
            <w:hideMark/>
          </w:tcPr>
          <w:p w14:paraId="729ACFF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2 014 821</w:t>
            </w:r>
          </w:p>
        </w:tc>
      </w:tr>
      <w:tr w:rsidR="00E16C06" w:rsidRPr="00E16C06" w14:paraId="0E3006C7" w14:textId="77777777" w:rsidTr="00E16C06">
        <w:trPr>
          <w:trHeight w:val="300"/>
        </w:trPr>
        <w:tc>
          <w:tcPr>
            <w:tcW w:w="3251" w:type="dxa"/>
            <w:shd w:val="clear" w:color="auto" w:fill="auto"/>
            <w:noWrap/>
            <w:hideMark/>
          </w:tcPr>
          <w:p w14:paraId="46A8257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Семилукский</w:t>
            </w:r>
          </w:p>
        </w:tc>
        <w:tc>
          <w:tcPr>
            <w:tcW w:w="2976" w:type="dxa"/>
            <w:shd w:val="clear" w:color="auto" w:fill="auto"/>
            <w:noWrap/>
            <w:hideMark/>
          </w:tcPr>
          <w:p w14:paraId="3BB1689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215</w:t>
            </w:r>
          </w:p>
        </w:tc>
        <w:tc>
          <w:tcPr>
            <w:tcW w:w="3119" w:type="dxa"/>
            <w:shd w:val="clear" w:color="auto" w:fill="auto"/>
            <w:noWrap/>
            <w:hideMark/>
          </w:tcPr>
          <w:p w14:paraId="200580E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4 699 172</w:t>
            </w:r>
          </w:p>
        </w:tc>
      </w:tr>
      <w:tr w:rsidR="00E16C06" w:rsidRPr="00E16C06" w14:paraId="4A1E8FBD" w14:textId="77777777" w:rsidTr="00E16C06">
        <w:trPr>
          <w:trHeight w:val="300"/>
        </w:trPr>
        <w:tc>
          <w:tcPr>
            <w:tcW w:w="3251" w:type="dxa"/>
            <w:shd w:val="clear" w:color="auto" w:fill="auto"/>
            <w:noWrap/>
            <w:hideMark/>
          </w:tcPr>
          <w:p w14:paraId="6380AB6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Таловский</w:t>
            </w:r>
          </w:p>
        </w:tc>
        <w:tc>
          <w:tcPr>
            <w:tcW w:w="2976" w:type="dxa"/>
            <w:shd w:val="clear" w:color="auto" w:fill="auto"/>
            <w:noWrap/>
            <w:hideMark/>
          </w:tcPr>
          <w:p w14:paraId="5A3B6CB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91</w:t>
            </w:r>
          </w:p>
        </w:tc>
        <w:tc>
          <w:tcPr>
            <w:tcW w:w="3119" w:type="dxa"/>
            <w:shd w:val="clear" w:color="auto" w:fill="auto"/>
            <w:noWrap/>
            <w:hideMark/>
          </w:tcPr>
          <w:p w14:paraId="34C6CFC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993 895</w:t>
            </w:r>
          </w:p>
        </w:tc>
      </w:tr>
      <w:tr w:rsidR="00E16C06" w:rsidRPr="00E16C06" w14:paraId="539D102D" w14:textId="77777777" w:rsidTr="00E16C06">
        <w:trPr>
          <w:trHeight w:val="300"/>
        </w:trPr>
        <w:tc>
          <w:tcPr>
            <w:tcW w:w="3251" w:type="dxa"/>
            <w:shd w:val="clear" w:color="auto" w:fill="auto"/>
            <w:noWrap/>
            <w:hideMark/>
          </w:tcPr>
          <w:p w14:paraId="117D1C3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Терновский</w:t>
            </w:r>
          </w:p>
        </w:tc>
        <w:tc>
          <w:tcPr>
            <w:tcW w:w="2976" w:type="dxa"/>
            <w:shd w:val="clear" w:color="auto" w:fill="auto"/>
            <w:noWrap/>
            <w:hideMark/>
          </w:tcPr>
          <w:p w14:paraId="07AFC8D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40</w:t>
            </w:r>
          </w:p>
        </w:tc>
        <w:tc>
          <w:tcPr>
            <w:tcW w:w="3119" w:type="dxa"/>
            <w:shd w:val="clear" w:color="auto" w:fill="auto"/>
            <w:noWrap/>
            <w:hideMark/>
          </w:tcPr>
          <w:p w14:paraId="7DB9952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566 543</w:t>
            </w:r>
          </w:p>
        </w:tc>
      </w:tr>
      <w:tr w:rsidR="00E16C06" w:rsidRPr="00E16C06" w14:paraId="3F3A8A4A" w14:textId="77777777" w:rsidTr="00E16C06">
        <w:trPr>
          <w:trHeight w:val="300"/>
        </w:trPr>
        <w:tc>
          <w:tcPr>
            <w:tcW w:w="3251" w:type="dxa"/>
            <w:shd w:val="clear" w:color="auto" w:fill="auto"/>
            <w:noWrap/>
            <w:hideMark/>
          </w:tcPr>
          <w:p w14:paraId="4B8281F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Хохольский</w:t>
            </w:r>
          </w:p>
        </w:tc>
        <w:tc>
          <w:tcPr>
            <w:tcW w:w="2976" w:type="dxa"/>
            <w:shd w:val="clear" w:color="auto" w:fill="auto"/>
            <w:noWrap/>
            <w:hideMark/>
          </w:tcPr>
          <w:p w14:paraId="68C09E9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35</w:t>
            </w:r>
          </w:p>
        </w:tc>
        <w:tc>
          <w:tcPr>
            <w:tcW w:w="3119" w:type="dxa"/>
            <w:shd w:val="clear" w:color="auto" w:fill="auto"/>
            <w:noWrap/>
            <w:hideMark/>
          </w:tcPr>
          <w:p w14:paraId="409214F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4 655 154</w:t>
            </w:r>
          </w:p>
        </w:tc>
      </w:tr>
      <w:tr w:rsidR="00E16C06" w:rsidRPr="00E16C06" w14:paraId="6ED9E6E3" w14:textId="77777777" w:rsidTr="00E16C06">
        <w:trPr>
          <w:trHeight w:val="300"/>
        </w:trPr>
        <w:tc>
          <w:tcPr>
            <w:tcW w:w="3251" w:type="dxa"/>
            <w:shd w:val="clear" w:color="auto" w:fill="auto"/>
            <w:noWrap/>
            <w:hideMark/>
          </w:tcPr>
          <w:p w14:paraId="43D814D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Эртильский</w:t>
            </w:r>
          </w:p>
        </w:tc>
        <w:tc>
          <w:tcPr>
            <w:tcW w:w="2976" w:type="dxa"/>
            <w:shd w:val="clear" w:color="auto" w:fill="auto"/>
            <w:noWrap/>
            <w:hideMark/>
          </w:tcPr>
          <w:p w14:paraId="53A3914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76</w:t>
            </w:r>
          </w:p>
        </w:tc>
        <w:tc>
          <w:tcPr>
            <w:tcW w:w="3119" w:type="dxa"/>
            <w:shd w:val="clear" w:color="auto" w:fill="auto"/>
            <w:noWrap/>
            <w:hideMark/>
          </w:tcPr>
          <w:p w14:paraId="45086A1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994 765</w:t>
            </w:r>
          </w:p>
        </w:tc>
      </w:tr>
      <w:tr w:rsidR="00E16C06" w:rsidRPr="00E16C06" w14:paraId="39EE2178" w14:textId="77777777" w:rsidTr="00E16C06">
        <w:trPr>
          <w:trHeight w:val="315"/>
        </w:trPr>
        <w:tc>
          <w:tcPr>
            <w:tcW w:w="3251" w:type="dxa"/>
            <w:noWrap/>
            <w:vAlign w:val="bottom"/>
            <w:hideMark/>
          </w:tcPr>
          <w:p w14:paraId="387B9511"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eastAsia="Times New Roman" w:hAnsi="Times New Roman" w:cs="Times New Roman"/>
                <w:b/>
                <w:spacing w:val="-5"/>
              </w:rPr>
              <w:t>Общий итог</w:t>
            </w:r>
          </w:p>
        </w:tc>
        <w:tc>
          <w:tcPr>
            <w:tcW w:w="2976" w:type="dxa"/>
            <w:shd w:val="clear" w:color="auto" w:fill="auto"/>
            <w:noWrap/>
            <w:vAlign w:val="bottom"/>
            <w:hideMark/>
          </w:tcPr>
          <w:p w14:paraId="781277BA"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eastAsia="Times New Roman" w:hAnsi="Times New Roman" w:cs="Times New Roman"/>
                <w:b/>
                <w:spacing w:val="-5"/>
              </w:rPr>
              <w:t>2368</w:t>
            </w:r>
          </w:p>
        </w:tc>
        <w:tc>
          <w:tcPr>
            <w:tcW w:w="3119" w:type="dxa"/>
            <w:shd w:val="clear" w:color="auto" w:fill="auto"/>
            <w:noWrap/>
            <w:vAlign w:val="bottom"/>
            <w:hideMark/>
          </w:tcPr>
          <w:p w14:paraId="77881081" w14:textId="77777777" w:rsidR="00E16C06" w:rsidRPr="00E16C06" w:rsidRDefault="00E16C06" w:rsidP="00E16C06">
            <w:pPr>
              <w:spacing w:after="0" w:line="276" w:lineRule="auto"/>
              <w:contextualSpacing/>
              <w:jc w:val="center"/>
              <w:rPr>
                <w:rFonts w:ascii="Times New Roman" w:eastAsia="Times New Roman" w:hAnsi="Times New Roman" w:cs="Times New Roman"/>
                <w:b/>
                <w:spacing w:val="-5"/>
              </w:rPr>
            </w:pPr>
            <w:r w:rsidRPr="00E16C06">
              <w:rPr>
                <w:rFonts w:ascii="Times New Roman" w:eastAsia="Times New Roman" w:hAnsi="Times New Roman" w:cs="Times New Roman"/>
                <w:b/>
                <w:spacing w:val="-5"/>
              </w:rPr>
              <w:t>103 736 499</w:t>
            </w:r>
          </w:p>
        </w:tc>
      </w:tr>
    </w:tbl>
    <w:p w14:paraId="7F86D520" w14:textId="77777777" w:rsidR="00E16C06" w:rsidRPr="00E16C06" w:rsidRDefault="00E16C06" w:rsidP="00E16C06">
      <w:pPr>
        <w:rPr>
          <w:rFonts w:ascii="Times New Roman" w:eastAsia="Times New Roman" w:hAnsi="Times New Roman" w:cs="Times New Roman"/>
          <w:sz w:val="26"/>
          <w:szCs w:val="26"/>
        </w:rPr>
      </w:pPr>
      <w:r w:rsidRPr="00E16C06">
        <w:rPr>
          <w:rFonts w:ascii="Times New Roman" w:hAnsi="Times New Roman" w:cs="Times New Roman"/>
          <w:noProof/>
          <w:lang w:eastAsia="ru-RU"/>
        </w:rPr>
        <w:drawing>
          <wp:inline distT="0" distB="0" distL="0" distR="0" wp14:anchorId="361DE471" wp14:editId="33D18C42">
            <wp:extent cx="5940425" cy="4189095"/>
            <wp:effectExtent l="0" t="0" r="3175" b="1905"/>
            <wp:docPr id="623" name="Диаграмма 6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72AB395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color w:val="000000"/>
          <w:sz w:val="26"/>
          <w:szCs w:val="26"/>
          <w:lang w:eastAsia="ru-RU"/>
        </w:rPr>
        <w:t xml:space="preserve">Рис. </w:t>
      </w:r>
      <w:r w:rsidRPr="00E16C06">
        <w:rPr>
          <w:rFonts w:ascii="Times New Roman" w:eastAsia="Times New Roman" w:hAnsi="Times New Roman" w:cs="Times New Roman"/>
          <w:spacing w:val="-5"/>
          <w:sz w:val="26"/>
          <w:szCs w:val="26"/>
        </w:rPr>
        <w:t>3.3.2.25</w:t>
      </w:r>
      <w:r w:rsidRPr="00E16C06">
        <w:rPr>
          <w:rFonts w:ascii="Times New Roman" w:eastAsia="Times New Roman" w:hAnsi="Times New Roman" w:cs="Times New Roman"/>
          <w:color w:val="000000"/>
          <w:sz w:val="26"/>
          <w:szCs w:val="26"/>
          <w:lang w:eastAsia="ru-RU"/>
        </w:rPr>
        <w:t xml:space="preserve"> </w:t>
      </w:r>
      <w:r w:rsidRPr="00E16C06">
        <w:rPr>
          <w:rFonts w:ascii="Times New Roman" w:eastAsia="Times New Roman" w:hAnsi="Times New Roman" w:cs="Times New Roman"/>
          <w:spacing w:val="-5"/>
          <w:sz w:val="26"/>
          <w:szCs w:val="26"/>
        </w:rPr>
        <w:t>– Распределение земельных участков, относящихся</w:t>
      </w:r>
    </w:p>
    <w:p w14:paraId="2DC39D3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 xml:space="preserve"> к сегменту 12 «Специальное, ритуальное использование, запас»,</w:t>
      </w:r>
    </w:p>
    <w:p w14:paraId="447416E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 xml:space="preserve"> по муниципальным районам Воронежской области</w:t>
      </w:r>
    </w:p>
    <w:p w14:paraId="349EC14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p>
    <w:p w14:paraId="4968BCB2" w14:textId="77777777" w:rsidR="00E16C06" w:rsidRPr="00E16C06" w:rsidRDefault="00E16C06" w:rsidP="00E16C06">
      <w:pPr>
        <w:spacing w:after="0" w:line="276" w:lineRule="auto"/>
        <w:ind w:firstLine="709"/>
        <w:contextualSpacing/>
        <w:jc w:val="both"/>
        <w:rPr>
          <w:rFonts w:ascii="Times New Roman" w:hAnsi="Times New Roman" w:cs="Times New Roman"/>
          <w:sz w:val="26"/>
          <w:szCs w:val="26"/>
        </w:rPr>
      </w:pPr>
      <w:r w:rsidRPr="00E16C06">
        <w:rPr>
          <w:rFonts w:ascii="Times New Roman" w:hAnsi="Times New Roman" w:cs="Times New Roman"/>
          <w:sz w:val="26"/>
          <w:szCs w:val="26"/>
        </w:rPr>
        <w:t>В соответствии с сегментацией объектов недвижимости с указанием кодов расчета вида использования (приложение № 1 Указаний) 12 сегмент включает в себя коды расчета 08:011, 12:000, 12:010, 12:020, 12:021, 12:030. Распределение земельных участков 12 сегмента по кодам вида использования представлено в таблице 3.3.2.26.</w:t>
      </w:r>
    </w:p>
    <w:p w14:paraId="521BC996" w14:textId="77777777" w:rsidR="00E16C06" w:rsidRPr="00E16C06" w:rsidRDefault="00E16C06" w:rsidP="00E16C06">
      <w:pPr>
        <w:spacing w:after="0" w:line="276" w:lineRule="auto"/>
        <w:ind w:firstLine="709"/>
        <w:contextualSpacing/>
        <w:jc w:val="right"/>
        <w:rPr>
          <w:rFonts w:ascii="Times New Roman" w:hAnsi="Times New Roman" w:cs="Times New Roman"/>
          <w:sz w:val="26"/>
          <w:szCs w:val="26"/>
        </w:rPr>
      </w:pPr>
      <w:r w:rsidRPr="00E16C06">
        <w:rPr>
          <w:rFonts w:ascii="Times New Roman" w:hAnsi="Times New Roman" w:cs="Times New Roman"/>
          <w:sz w:val="26"/>
          <w:szCs w:val="26"/>
        </w:rPr>
        <w:t xml:space="preserve">Таблица </w:t>
      </w:r>
      <w:r w:rsidRPr="00E16C06">
        <w:rPr>
          <w:rFonts w:ascii="Times New Roman" w:eastAsia="Times New Roman" w:hAnsi="Times New Roman" w:cs="Times New Roman"/>
          <w:spacing w:val="-5"/>
          <w:sz w:val="26"/>
          <w:szCs w:val="26"/>
        </w:rPr>
        <w:t>3.3.2.26</w:t>
      </w:r>
    </w:p>
    <w:p w14:paraId="0F115FEE"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Распределение объектов оценки по кодам расчета вида использования</w:t>
      </w:r>
    </w:p>
    <w:p w14:paraId="2899D82C"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в составе 12 сегмента</w:t>
      </w:r>
    </w:p>
    <w:tbl>
      <w:tblPr>
        <w:tblStyle w:val="ae"/>
        <w:tblW w:w="0" w:type="auto"/>
        <w:tblLook w:val="04A0" w:firstRow="1" w:lastRow="0" w:firstColumn="1" w:lastColumn="0" w:noHBand="0" w:noVBand="1"/>
      </w:tblPr>
      <w:tblGrid>
        <w:gridCol w:w="2547"/>
        <w:gridCol w:w="3683"/>
        <w:gridCol w:w="3115"/>
      </w:tblGrid>
      <w:tr w:rsidR="00E16C06" w:rsidRPr="00E16C06" w14:paraId="3DF3148A" w14:textId="77777777" w:rsidTr="00E16C06">
        <w:tc>
          <w:tcPr>
            <w:tcW w:w="2547" w:type="dxa"/>
            <w:vAlign w:val="center"/>
          </w:tcPr>
          <w:p w14:paraId="3106D7FE"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Сегмент</w:t>
            </w:r>
          </w:p>
        </w:tc>
        <w:tc>
          <w:tcPr>
            <w:tcW w:w="3683" w:type="dxa"/>
            <w:vAlign w:val="center"/>
          </w:tcPr>
          <w:p w14:paraId="6E98F41A"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Код расчета вида использования</w:t>
            </w:r>
          </w:p>
        </w:tc>
        <w:tc>
          <w:tcPr>
            <w:tcW w:w="3115" w:type="dxa"/>
            <w:vAlign w:val="center"/>
          </w:tcPr>
          <w:p w14:paraId="7CD97890"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Количество ЗУ</w:t>
            </w:r>
          </w:p>
        </w:tc>
      </w:tr>
      <w:tr w:rsidR="00E16C06" w:rsidRPr="00E16C06" w14:paraId="7783DCA9" w14:textId="77777777" w:rsidTr="00E16C06">
        <w:tc>
          <w:tcPr>
            <w:tcW w:w="2547" w:type="dxa"/>
            <w:vMerge w:val="restart"/>
            <w:vAlign w:val="center"/>
          </w:tcPr>
          <w:p w14:paraId="3167BF16"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12</w:t>
            </w:r>
          </w:p>
        </w:tc>
        <w:tc>
          <w:tcPr>
            <w:tcW w:w="3683" w:type="dxa"/>
            <w:tcBorders>
              <w:top w:val="single" w:sz="4" w:space="0" w:color="auto"/>
              <w:left w:val="single" w:sz="4" w:space="0" w:color="auto"/>
              <w:bottom w:val="single" w:sz="4" w:space="0" w:color="auto"/>
              <w:right w:val="single" w:sz="4" w:space="0" w:color="auto"/>
            </w:tcBorders>
            <w:shd w:val="clear" w:color="auto" w:fill="auto"/>
          </w:tcPr>
          <w:p w14:paraId="741A775F"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08:011</w:t>
            </w:r>
          </w:p>
        </w:tc>
        <w:tc>
          <w:tcPr>
            <w:tcW w:w="3115" w:type="dxa"/>
            <w:tcBorders>
              <w:top w:val="single" w:sz="4" w:space="0" w:color="auto"/>
              <w:left w:val="nil"/>
              <w:bottom w:val="single" w:sz="4" w:space="0" w:color="auto"/>
              <w:right w:val="single" w:sz="4" w:space="0" w:color="auto"/>
            </w:tcBorders>
            <w:shd w:val="clear" w:color="auto" w:fill="auto"/>
          </w:tcPr>
          <w:p w14:paraId="3662632F"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4</w:t>
            </w:r>
          </w:p>
        </w:tc>
      </w:tr>
      <w:tr w:rsidR="00E16C06" w:rsidRPr="00E16C06" w14:paraId="64FE6893" w14:textId="77777777" w:rsidTr="00E16C06">
        <w:tc>
          <w:tcPr>
            <w:tcW w:w="2547" w:type="dxa"/>
            <w:vMerge/>
          </w:tcPr>
          <w:p w14:paraId="18B53064" w14:textId="77777777" w:rsidR="00E16C06" w:rsidRPr="00E16C06" w:rsidRDefault="00E16C06" w:rsidP="00E16C06">
            <w:pPr>
              <w:spacing w:line="276" w:lineRule="auto"/>
              <w:contextualSpacing/>
              <w:jc w:val="center"/>
              <w:rPr>
                <w:rFonts w:ascii="Times New Roman" w:hAnsi="Times New Roman" w:cs="Times New Roman"/>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7A0E1C81"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12:000</w:t>
            </w:r>
          </w:p>
        </w:tc>
        <w:tc>
          <w:tcPr>
            <w:tcW w:w="3115" w:type="dxa"/>
            <w:tcBorders>
              <w:top w:val="nil"/>
              <w:left w:val="nil"/>
              <w:bottom w:val="single" w:sz="4" w:space="0" w:color="auto"/>
              <w:right w:val="single" w:sz="4" w:space="0" w:color="auto"/>
            </w:tcBorders>
            <w:shd w:val="clear" w:color="auto" w:fill="auto"/>
          </w:tcPr>
          <w:p w14:paraId="0A687934"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47</w:t>
            </w:r>
          </w:p>
        </w:tc>
      </w:tr>
      <w:tr w:rsidR="00E16C06" w:rsidRPr="00E16C06" w14:paraId="24C22B4E" w14:textId="77777777" w:rsidTr="00E16C06">
        <w:tc>
          <w:tcPr>
            <w:tcW w:w="2547" w:type="dxa"/>
            <w:vMerge/>
          </w:tcPr>
          <w:p w14:paraId="0EFEC172" w14:textId="77777777" w:rsidR="00E16C06" w:rsidRPr="00E16C06" w:rsidRDefault="00E16C06" w:rsidP="00E16C06">
            <w:pPr>
              <w:spacing w:line="276" w:lineRule="auto"/>
              <w:contextualSpacing/>
              <w:jc w:val="center"/>
              <w:rPr>
                <w:rFonts w:ascii="Times New Roman" w:hAnsi="Times New Roman" w:cs="Times New Roman"/>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5E4FF76C"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12:010</w:t>
            </w:r>
          </w:p>
        </w:tc>
        <w:tc>
          <w:tcPr>
            <w:tcW w:w="3115" w:type="dxa"/>
            <w:tcBorders>
              <w:top w:val="nil"/>
              <w:left w:val="nil"/>
              <w:bottom w:val="single" w:sz="4" w:space="0" w:color="auto"/>
              <w:right w:val="single" w:sz="4" w:space="0" w:color="auto"/>
            </w:tcBorders>
            <w:shd w:val="clear" w:color="auto" w:fill="auto"/>
          </w:tcPr>
          <w:p w14:paraId="3CD3CF3D"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1408</w:t>
            </w:r>
          </w:p>
        </w:tc>
      </w:tr>
      <w:tr w:rsidR="00E16C06" w:rsidRPr="00E16C06" w14:paraId="6CD55FA7" w14:textId="77777777" w:rsidTr="00E16C06">
        <w:tc>
          <w:tcPr>
            <w:tcW w:w="2547" w:type="dxa"/>
            <w:vMerge/>
          </w:tcPr>
          <w:p w14:paraId="48042880" w14:textId="77777777" w:rsidR="00E16C06" w:rsidRPr="00E16C06" w:rsidRDefault="00E16C06" w:rsidP="00E16C06">
            <w:pPr>
              <w:spacing w:line="276" w:lineRule="auto"/>
              <w:contextualSpacing/>
              <w:jc w:val="center"/>
              <w:rPr>
                <w:rFonts w:ascii="Times New Roman" w:hAnsi="Times New Roman" w:cs="Times New Roman"/>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6292962F"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12:020</w:t>
            </w:r>
          </w:p>
        </w:tc>
        <w:tc>
          <w:tcPr>
            <w:tcW w:w="3115" w:type="dxa"/>
            <w:tcBorders>
              <w:top w:val="nil"/>
              <w:left w:val="nil"/>
              <w:bottom w:val="single" w:sz="4" w:space="0" w:color="auto"/>
              <w:right w:val="single" w:sz="4" w:space="0" w:color="auto"/>
            </w:tcBorders>
            <w:shd w:val="clear" w:color="auto" w:fill="auto"/>
          </w:tcPr>
          <w:p w14:paraId="2C986131"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250</w:t>
            </w:r>
          </w:p>
        </w:tc>
      </w:tr>
      <w:tr w:rsidR="00E16C06" w:rsidRPr="00E16C06" w14:paraId="0F7C30B9" w14:textId="77777777" w:rsidTr="00E16C06">
        <w:tc>
          <w:tcPr>
            <w:tcW w:w="2547" w:type="dxa"/>
            <w:vMerge/>
          </w:tcPr>
          <w:p w14:paraId="50C3751D" w14:textId="77777777" w:rsidR="00E16C06" w:rsidRPr="00E16C06" w:rsidRDefault="00E16C06" w:rsidP="00E16C06">
            <w:pPr>
              <w:spacing w:line="276" w:lineRule="auto"/>
              <w:contextualSpacing/>
              <w:jc w:val="center"/>
              <w:rPr>
                <w:rFonts w:ascii="Times New Roman" w:hAnsi="Times New Roman" w:cs="Times New Roman"/>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7570C5A7"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12:021</w:t>
            </w:r>
          </w:p>
        </w:tc>
        <w:tc>
          <w:tcPr>
            <w:tcW w:w="3115" w:type="dxa"/>
            <w:tcBorders>
              <w:top w:val="nil"/>
              <w:left w:val="nil"/>
              <w:bottom w:val="single" w:sz="4" w:space="0" w:color="auto"/>
              <w:right w:val="single" w:sz="4" w:space="0" w:color="auto"/>
            </w:tcBorders>
            <w:shd w:val="clear" w:color="auto" w:fill="auto"/>
          </w:tcPr>
          <w:p w14:paraId="025B9BFF"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170</w:t>
            </w:r>
          </w:p>
        </w:tc>
      </w:tr>
      <w:tr w:rsidR="00E16C06" w:rsidRPr="00E16C06" w14:paraId="01EC5D7C" w14:textId="77777777" w:rsidTr="00E16C06">
        <w:tc>
          <w:tcPr>
            <w:tcW w:w="2547" w:type="dxa"/>
            <w:vMerge/>
          </w:tcPr>
          <w:p w14:paraId="2A65EDB2" w14:textId="77777777" w:rsidR="00E16C06" w:rsidRPr="00E16C06" w:rsidRDefault="00E16C06" w:rsidP="00E16C06">
            <w:pPr>
              <w:spacing w:line="276" w:lineRule="auto"/>
              <w:contextualSpacing/>
              <w:jc w:val="center"/>
              <w:rPr>
                <w:rFonts w:ascii="Times New Roman" w:hAnsi="Times New Roman" w:cs="Times New Roman"/>
                <w:sz w:val="22"/>
                <w:szCs w:val="22"/>
              </w:rPr>
            </w:pPr>
          </w:p>
        </w:tc>
        <w:tc>
          <w:tcPr>
            <w:tcW w:w="3683" w:type="dxa"/>
            <w:tcBorders>
              <w:top w:val="nil"/>
              <w:left w:val="single" w:sz="4" w:space="0" w:color="auto"/>
              <w:bottom w:val="single" w:sz="4" w:space="0" w:color="auto"/>
              <w:right w:val="single" w:sz="4" w:space="0" w:color="auto"/>
            </w:tcBorders>
            <w:shd w:val="clear" w:color="auto" w:fill="auto"/>
          </w:tcPr>
          <w:p w14:paraId="235C90E5"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12:030</w:t>
            </w:r>
          </w:p>
        </w:tc>
        <w:tc>
          <w:tcPr>
            <w:tcW w:w="3115" w:type="dxa"/>
            <w:tcBorders>
              <w:top w:val="nil"/>
              <w:left w:val="nil"/>
              <w:bottom w:val="single" w:sz="4" w:space="0" w:color="auto"/>
              <w:right w:val="single" w:sz="4" w:space="0" w:color="auto"/>
            </w:tcBorders>
            <w:shd w:val="clear" w:color="auto" w:fill="auto"/>
          </w:tcPr>
          <w:p w14:paraId="312F62C1" w14:textId="77777777" w:rsidR="00E16C06" w:rsidRPr="00E16C06" w:rsidRDefault="00E16C06" w:rsidP="00E16C06">
            <w:pPr>
              <w:spacing w:line="276" w:lineRule="auto"/>
              <w:contextualSpacing/>
              <w:jc w:val="center"/>
              <w:rPr>
                <w:rFonts w:ascii="Times New Roman" w:hAnsi="Times New Roman" w:cs="Times New Roman"/>
                <w:sz w:val="22"/>
                <w:szCs w:val="22"/>
              </w:rPr>
            </w:pPr>
            <w:r w:rsidRPr="00E16C06">
              <w:rPr>
                <w:rFonts w:ascii="Times New Roman" w:hAnsi="Times New Roman" w:cs="Times New Roman"/>
                <w:sz w:val="22"/>
                <w:szCs w:val="22"/>
              </w:rPr>
              <w:t>489</w:t>
            </w:r>
          </w:p>
        </w:tc>
      </w:tr>
      <w:tr w:rsidR="00E16C06" w:rsidRPr="00E16C06" w14:paraId="4E20862C" w14:textId="77777777" w:rsidTr="00E16C06">
        <w:tc>
          <w:tcPr>
            <w:tcW w:w="2547" w:type="dxa"/>
          </w:tcPr>
          <w:p w14:paraId="63CB0994"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Итог</w:t>
            </w:r>
          </w:p>
        </w:tc>
        <w:tc>
          <w:tcPr>
            <w:tcW w:w="3683" w:type="dxa"/>
          </w:tcPr>
          <w:p w14:paraId="7F3B610F" w14:textId="77777777" w:rsidR="00E16C06" w:rsidRPr="00E16C06" w:rsidRDefault="00E16C06" w:rsidP="00E16C06">
            <w:pPr>
              <w:spacing w:line="276" w:lineRule="auto"/>
              <w:contextualSpacing/>
              <w:jc w:val="center"/>
              <w:rPr>
                <w:rFonts w:ascii="Times New Roman" w:hAnsi="Times New Roman" w:cs="Times New Roman"/>
                <w:b/>
                <w:sz w:val="22"/>
                <w:szCs w:val="22"/>
              </w:rPr>
            </w:pPr>
          </w:p>
        </w:tc>
        <w:tc>
          <w:tcPr>
            <w:tcW w:w="3115" w:type="dxa"/>
          </w:tcPr>
          <w:p w14:paraId="24077BAE" w14:textId="77777777" w:rsidR="00E16C06" w:rsidRPr="00E16C06" w:rsidRDefault="00E16C06" w:rsidP="00E16C06">
            <w:pPr>
              <w:spacing w:line="276" w:lineRule="auto"/>
              <w:contextualSpacing/>
              <w:jc w:val="center"/>
              <w:rPr>
                <w:rFonts w:ascii="Times New Roman" w:hAnsi="Times New Roman" w:cs="Times New Roman"/>
                <w:b/>
                <w:sz w:val="22"/>
                <w:szCs w:val="22"/>
              </w:rPr>
            </w:pPr>
            <w:r w:rsidRPr="00E16C06">
              <w:rPr>
                <w:rFonts w:ascii="Times New Roman" w:hAnsi="Times New Roman" w:cs="Times New Roman"/>
                <w:b/>
                <w:sz w:val="22"/>
                <w:szCs w:val="22"/>
              </w:rPr>
              <w:t>2 368</w:t>
            </w:r>
          </w:p>
        </w:tc>
      </w:tr>
    </w:tbl>
    <w:p w14:paraId="50C81628"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p>
    <w:p w14:paraId="2706E402" w14:textId="77777777" w:rsidR="00E16C06" w:rsidRPr="00E16C06" w:rsidRDefault="00E16C06" w:rsidP="00E16C06">
      <w:pPr>
        <w:rPr>
          <w:rFonts w:ascii="Times New Roman" w:eastAsia="Times New Roman" w:hAnsi="Times New Roman" w:cs="Times New Roman"/>
          <w:sz w:val="26"/>
          <w:szCs w:val="26"/>
        </w:rPr>
      </w:pPr>
      <w:r w:rsidRPr="00E16C06">
        <w:rPr>
          <w:rFonts w:ascii="Times New Roman" w:hAnsi="Times New Roman" w:cs="Times New Roman"/>
          <w:noProof/>
          <w:lang w:eastAsia="ru-RU"/>
        </w:rPr>
        <w:drawing>
          <wp:inline distT="0" distB="0" distL="0" distR="0" wp14:anchorId="08FE8537" wp14:editId="27493C2A">
            <wp:extent cx="5916295" cy="2895600"/>
            <wp:effectExtent l="0" t="0" r="8255" b="0"/>
            <wp:docPr id="624" name="Диаграмма 6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4E65F4A5" w14:textId="77777777" w:rsidR="00E16C06" w:rsidRPr="00E16C06" w:rsidRDefault="00E16C06" w:rsidP="00E16C06">
      <w:pPr>
        <w:spacing w:after="0" w:line="276" w:lineRule="auto"/>
        <w:contextualSpacing/>
        <w:jc w:val="center"/>
        <w:rPr>
          <w:rFonts w:ascii="Times New Roman" w:hAnsi="Times New Roman" w:cs="Times New Roman"/>
          <w:sz w:val="26"/>
          <w:szCs w:val="26"/>
        </w:rPr>
      </w:pPr>
      <w:r w:rsidRPr="00E16C06">
        <w:rPr>
          <w:rFonts w:ascii="Times New Roman" w:eastAsia="Times New Roman" w:hAnsi="Times New Roman" w:cs="Times New Roman"/>
          <w:spacing w:val="-5"/>
          <w:sz w:val="26"/>
          <w:szCs w:val="26"/>
        </w:rPr>
        <w:t xml:space="preserve">Рис. 3.3.2.26 – </w:t>
      </w:r>
      <w:r w:rsidRPr="00E16C06">
        <w:rPr>
          <w:rFonts w:ascii="Times New Roman" w:hAnsi="Times New Roman" w:cs="Times New Roman"/>
          <w:sz w:val="26"/>
          <w:szCs w:val="26"/>
        </w:rPr>
        <w:t>Распределение объектов оценки по кодам расчета вида использования в составе 12 сегмента</w:t>
      </w:r>
    </w:p>
    <w:p w14:paraId="38674891"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p>
    <w:p w14:paraId="6D57A85B" w14:textId="77777777" w:rsidR="00E16C06" w:rsidRPr="00E16C06" w:rsidRDefault="00E16C06" w:rsidP="00E16C06">
      <w:pPr>
        <w:spacing w:after="0" w:line="276" w:lineRule="auto"/>
        <w:contextualSpacing/>
        <w:jc w:val="center"/>
        <w:rPr>
          <w:rFonts w:ascii="Times New Roman" w:eastAsia="Times New Roman" w:hAnsi="Times New Roman" w:cs="Times New Roman"/>
          <w:i/>
          <w:sz w:val="26"/>
          <w:szCs w:val="26"/>
          <w:lang w:eastAsia="ru-RU"/>
        </w:rPr>
      </w:pPr>
      <w:r w:rsidRPr="00E16C06">
        <w:rPr>
          <w:rFonts w:ascii="Times New Roman" w:eastAsia="Times New Roman" w:hAnsi="Times New Roman" w:cs="Times New Roman"/>
          <w:i/>
          <w:spacing w:val="-5"/>
          <w:sz w:val="26"/>
          <w:szCs w:val="26"/>
        </w:rPr>
        <w:t xml:space="preserve">Описание объектов недвижимости </w:t>
      </w:r>
      <w:r w:rsidRPr="00E16C06">
        <w:rPr>
          <w:rFonts w:ascii="Times New Roman" w:eastAsia="Times New Roman" w:hAnsi="Times New Roman" w:cs="Times New Roman"/>
          <w:i/>
          <w:sz w:val="26"/>
          <w:szCs w:val="26"/>
          <w:lang w:eastAsia="ru-RU"/>
        </w:rPr>
        <w:t>13 сегмента Садоводство и огородничество, малоэтажная жилая застройка»</w:t>
      </w:r>
    </w:p>
    <w:p w14:paraId="56E2A86A" w14:textId="77777777" w:rsidR="00E16C06" w:rsidRPr="00E16C06" w:rsidRDefault="00E16C06" w:rsidP="00E16C06">
      <w:pPr>
        <w:spacing w:after="0" w:line="276" w:lineRule="auto"/>
        <w:contextualSpacing/>
        <w:jc w:val="center"/>
        <w:rPr>
          <w:rFonts w:ascii="Times New Roman" w:eastAsia="Times New Roman" w:hAnsi="Times New Roman" w:cs="Times New Roman"/>
          <w:b/>
          <w:i/>
          <w:sz w:val="26"/>
          <w:szCs w:val="26"/>
          <w:lang w:eastAsia="ru-RU"/>
        </w:rPr>
      </w:pPr>
    </w:p>
    <w:p w14:paraId="5063C000" w14:textId="77777777" w:rsidR="00E16C06" w:rsidRPr="00E16C06" w:rsidRDefault="00E16C06" w:rsidP="00E16C06">
      <w:pPr>
        <w:spacing w:after="0" w:line="276" w:lineRule="auto"/>
        <w:ind w:firstLine="709"/>
        <w:contextualSpacing/>
        <w:jc w:val="both"/>
        <w:rPr>
          <w:rFonts w:ascii="Times New Roman" w:hAnsi="Times New Roman" w:cs="Times New Roman"/>
          <w:color w:val="000000" w:themeColor="text1"/>
          <w:sz w:val="26"/>
          <w:szCs w:val="26"/>
        </w:rPr>
      </w:pPr>
      <w:r w:rsidRPr="00E16C06">
        <w:rPr>
          <w:rFonts w:ascii="Times New Roman" w:hAnsi="Times New Roman" w:cs="Times New Roman"/>
          <w:color w:val="000000" w:themeColor="text1"/>
          <w:sz w:val="26"/>
          <w:szCs w:val="26"/>
        </w:rPr>
        <w:t xml:space="preserve">Наибольшее количество земельных участков 13 сегмента сосредоточено в </w:t>
      </w:r>
      <w:r w:rsidRPr="00E16C06">
        <w:rPr>
          <w:rFonts w:ascii="Times New Roman" w:hAnsi="Times New Roman" w:cs="Times New Roman"/>
          <w:color w:val="000000" w:themeColor="text1"/>
          <w:sz w:val="26"/>
          <w:szCs w:val="26"/>
        </w:rPr>
        <w:br/>
        <w:t>г. Воронеже и Рамонском районе – 90857 и 84094 объектов соответственно. Наименьшее количество земельных участков 13 сегмента сосредоточено в г. Нововоронеже – 5218 объектов.</w:t>
      </w:r>
    </w:p>
    <w:p w14:paraId="1DC9A382" w14:textId="77777777" w:rsidR="00E16C06" w:rsidRPr="00E16C06" w:rsidRDefault="00E16C06" w:rsidP="00E16C06">
      <w:pPr>
        <w:spacing w:after="0" w:line="276" w:lineRule="auto"/>
        <w:contextualSpacing/>
        <w:jc w:val="right"/>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Таблица 3.3.2.27</w:t>
      </w:r>
    </w:p>
    <w:p w14:paraId="5B926E1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Распределение земельных участков и площадей, относящихся к сегменту 13 «Садоводство и огородничество, малоэтажная жилая застройка», по муниципальным районам Воронежской области</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2835"/>
        <w:gridCol w:w="3686"/>
      </w:tblGrid>
      <w:tr w:rsidR="00E16C06" w:rsidRPr="00E16C06" w14:paraId="20A2FBFB" w14:textId="77777777" w:rsidTr="00E16C06">
        <w:trPr>
          <w:trHeight w:val="300"/>
        </w:trPr>
        <w:tc>
          <w:tcPr>
            <w:tcW w:w="2825" w:type="dxa"/>
            <w:noWrap/>
            <w:vAlign w:val="center"/>
            <w:hideMark/>
          </w:tcPr>
          <w:p w14:paraId="1B966D9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Район</w:t>
            </w:r>
          </w:p>
        </w:tc>
        <w:tc>
          <w:tcPr>
            <w:tcW w:w="2835" w:type="dxa"/>
            <w:noWrap/>
            <w:vAlign w:val="center"/>
            <w:hideMark/>
          </w:tcPr>
          <w:p w14:paraId="74F69EF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Количество ЗУ</w:t>
            </w:r>
          </w:p>
        </w:tc>
        <w:tc>
          <w:tcPr>
            <w:tcW w:w="3686" w:type="dxa"/>
            <w:noWrap/>
            <w:vAlign w:val="center"/>
            <w:hideMark/>
          </w:tcPr>
          <w:p w14:paraId="343CEED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eastAsia="Times New Roman" w:hAnsi="Times New Roman" w:cs="Times New Roman"/>
                <w:b/>
                <w:spacing w:val="-5"/>
              </w:rPr>
              <w:t>Площадь, кв. м.</w:t>
            </w:r>
          </w:p>
        </w:tc>
      </w:tr>
      <w:tr w:rsidR="00E16C06" w:rsidRPr="00E16C06" w14:paraId="5B2523FC" w14:textId="77777777" w:rsidTr="00E16C06">
        <w:trPr>
          <w:trHeight w:val="300"/>
        </w:trPr>
        <w:tc>
          <w:tcPr>
            <w:tcW w:w="2825" w:type="dxa"/>
            <w:shd w:val="clear" w:color="auto" w:fill="auto"/>
            <w:noWrap/>
            <w:hideMark/>
          </w:tcPr>
          <w:p w14:paraId="27A9922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Аннинский</w:t>
            </w:r>
          </w:p>
        </w:tc>
        <w:tc>
          <w:tcPr>
            <w:tcW w:w="2835" w:type="dxa"/>
            <w:shd w:val="clear" w:color="auto" w:fill="auto"/>
            <w:noWrap/>
          </w:tcPr>
          <w:p w14:paraId="2F59482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26516</w:t>
            </w:r>
          </w:p>
        </w:tc>
        <w:tc>
          <w:tcPr>
            <w:tcW w:w="3686" w:type="dxa"/>
            <w:shd w:val="clear" w:color="auto" w:fill="auto"/>
            <w:noWrap/>
          </w:tcPr>
          <w:p w14:paraId="0F30B89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65 848 978</w:t>
            </w:r>
          </w:p>
        </w:tc>
      </w:tr>
      <w:tr w:rsidR="00E16C06" w:rsidRPr="00E16C06" w14:paraId="3ADCA547" w14:textId="77777777" w:rsidTr="00E16C06">
        <w:trPr>
          <w:trHeight w:val="300"/>
        </w:trPr>
        <w:tc>
          <w:tcPr>
            <w:tcW w:w="2825" w:type="dxa"/>
            <w:shd w:val="clear" w:color="auto" w:fill="auto"/>
            <w:noWrap/>
            <w:hideMark/>
          </w:tcPr>
          <w:p w14:paraId="3AE252D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Бобровский</w:t>
            </w:r>
          </w:p>
        </w:tc>
        <w:tc>
          <w:tcPr>
            <w:tcW w:w="2835" w:type="dxa"/>
            <w:shd w:val="clear" w:color="auto" w:fill="auto"/>
            <w:noWrap/>
          </w:tcPr>
          <w:p w14:paraId="178FCE5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26796</w:t>
            </w:r>
          </w:p>
        </w:tc>
        <w:tc>
          <w:tcPr>
            <w:tcW w:w="3686" w:type="dxa"/>
            <w:shd w:val="clear" w:color="auto" w:fill="auto"/>
            <w:noWrap/>
          </w:tcPr>
          <w:p w14:paraId="02EC35E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59 972 120</w:t>
            </w:r>
          </w:p>
        </w:tc>
      </w:tr>
      <w:tr w:rsidR="00E16C06" w:rsidRPr="00E16C06" w14:paraId="29337394" w14:textId="77777777" w:rsidTr="00E16C06">
        <w:trPr>
          <w:trHeight w:val="300"/>
        </w:trPr>
        <w:tc>
          <w:tcPr>
            <w:tcW w:w="2825" w:type="dxa"/>
            <w:shd w:val="clear" w:color="auto" w:fill="auto"/>
            <w:noWrap/>
            <w:hideMark/>
          </w:tcPr>
          <w:p w14:paraId="3DBD5DC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Богучарский</w:t>
            </w:r>
          </w:p>
        </w:tc>
        <w:tc>
          <w:tcPr>
            <w:tcW w:w="2835" w:type="dxa"/>
            <w:shd w:val="clear" w:color="auto" w:fill="auto"/>
            <w:noWrap/>
          </w:tcPr>
          <w:p w14:paraId="24C362A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14264</w:t>
            </w:r>
          </w:p>
        </w:tc>
        <w:tc>
          <w:tcPr>
            <w:tcW w:w="3686" w:type="dxa"/>
            <w:shd w:val="clear" w:color="auto" w:fill="auto"/>
            <w:noWrap/>
          </w:tcPr>
          <w:p w14:paraId="76AB6AF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29 509 002</w:t>
            </w:r>
          </w:p>
        </w:tc>
      </w:tr>
      <w:tr w:rsidR="00E16C06" w:rsidRPr="00E16C06" w14:paraId="4A5252D2" w14:textId="77777777" w:rsidTr="00E16C06">
        <w:trPr>
          <w:trHeight w:val="300"/>
        </w:trPr>
        <w:tc>
          <w:tcPr>
            <w:tcW w:w="2825" w:type="dxa"/>
            <w:shd w:val="clear" w:color="auto" w:fill="auto"/>
            <w:noWrap/>
            <w:hideMark/>
          </w:tcPr>
          <w:p w14:paraId="35E5B35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Борисоглебский</w:t>
            </w:r>
          </w:p>
        </w:tc>
        <w:tc>
          <w:tcPr>
            <w:tcW w:w="2835" w:type="dxa"/>
            <w:shd w:val="clear" w:color="auto" w:fill="auto"/>
            <w:noWrap/>
          </w:tcPr>
          <w:p w14:paraId="481D910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25673</w:t>
            </w:r>
          </w:p>
        </w:tc>
        <w:tc>
          <w:tcPr>
            <w:tcW w:w="3686" w:type="dxa"/>
            <w:shd w:val="clear" w:color="auto" w:fill="auto"/>
            <w:noWrap/>
          </w:tcPr>
          <w:p w14:paraId="3152A35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38 021 458</w:t>
            </w:r>
          </w:p>
        </w:tc>
      </w:tr>
      <w:tr w:rsidR="00E16C06" w:rsidRPr="00E16C06" w14:paraId="16C2151D" w14:textId="77777777" w:rsidTr="00E16C06">
        <w:trPr>
          <w:trHeight w:val="300"/>
        </w:trPr>
        <w:tc>
          <w:tcPr>
            <w:tcW w:w="2825" w:type="dxa"/>
            <w:shd w:val="clear" w:color="auto" w:fill="auto"/>
            <w:noWrap/>
            <w:hideMark/>
          </w:tcPr>
          <w:p w14:paraId="53401DE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Бутурлиновский</w:t>
            </w:r>
          </w:p>
        </w:tc>
        <w:tc>
          <w:tcPr>
            <w:tcW w:w="2835" w:type="dxa"/>
            <w:shd w:val="clear" w:color="auto" w:fill="auto"/>
            <w:noWrap/>
          </w:tcPr>
          <w:p w14:paraId="5DC8EC8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19636</w:t>
            </w:r>
          </w:p>
        </w:tc>
        <w:tc>
          <w:tcPr>
            <w:tcW w:w="3686" w:type="dxa"/>
            <w:shd w:val="clear" w:color="auto" w:fill="auto"/>
            <w:noWrap/>
          </w:tcPr>
          <w:p w14:paraId="0027ED2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47 496 871</w:t>
            </w:r>
          </w:p>
        </w:tc>
      </w:tr>
      <w:tr w:rsidR="00E16C06" w:rsidRPr="00E16C06" w14:paraId="731769C4" w14:textId="77777777" w:rsidTr="00E16C06">
        <w:trPr>
          <w:trHeight w:val="300"/>
        </w:trPr>
        <w:tc>
          <w:tcPr>
            <w:tcW w:w="2825" w:type="dxa"/>
            <w:shd w:val="clear" w:color="auto" w:fill="auto"/>
            <w:noWrap/>
            <w:hideMark/>
          </w:tcPr>
          <w:p w14:paraId="2EB0BD7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Верхнемамонский</w:t>
            </w:r>
          </w:p>
        </w:tc>
        <w:tc>
          <w:tcPr>
            <w:tcW w:w="2835" w:type="dxa"/>
            <w:shd w:val="clear" w:color="auto" w:fill="auto"/>
            <w:noWrap/>
          </w:tcPr>
          <w:p w14:paraId="4D628FA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17232</w:t>
            </w:r>
          </w:p>
        </w:tc>
        <w:tc>
          <w:tcPr>
            <w:tcW w:w="3686" w:type="dxa"/>
            <w:shd w:val="clear" w:color="auto" w:fill="auto"/>
            <w:noWrap/>
          </w:tcPr>
          <w:p w14:paraId="592ECA6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34 074 031</w:t>
            </w:r>
          </w:p>
        </w:tc>
      </w:tr>
      <w:tr w:rsidR="00E16C06" w:rsidRPr="00E16C06" w14:paraId="34AF6514" w14:textId="77777777" w:rsidTr="00E16C06">
        <w:trPr>
          <w:trHeight w:val="300"/>
        </w:trPr>
        <w:tc>
          <w:tcPr>
            <w:tcW w:w="2825" w:type="dxa"/>
            <w:shd w:val="clear" w:color="auto" w:fill="auto"/>
            <w:noWrap/>
            <w:hideMark/>
          </w:tcPr>
          <w:p w14:paraId="644185A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Верхнехавский</w:t>
            </w:r>
          </w:p>
        </w:tc>
        <w:tc>
          <w:tcPr>
            <w:tcW w:w="2835" w:type="dxa"/>
            <w:shd w:val="clear" w:color="auto" w:fill="auto"/>
            <w:noWrap/>
          </w:tcPr>
          <w:p w14:paraId="40B2394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24449</w:t>
            </w:r>
          </w:p>
        </w:tc>
        <w:tc>
          <w:tcPr>
            <w:tcW w:w="3686" w:type="dxa"/>
            <w:shd w:val="clear" w:color="auto" w:fill="auto"/>
            <w:noWrap/>
          </w:tcPr>
          <w:p w14:paraId="104B52A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57 226 593</w:t>
            </w:r>
          </w:p>
        </w:tc>
      </w:tr>
      <w:tr w:rsidR="00E16C06" w:rsidRPr="00E16C06" w14:paraId="23369DA2" w14:textId="77777777" w:rsidTr="00E16C06">
        <w:trPr>
          <w:trHeight w:val="300"/>
        </w:trPr>
        <w:tc>
          <w:tcPr>
            <w:tcW w:w="2825" w:type="dxa"/>
            <w:shd w:val="clear" w:color="auto" w:fill="auto"/>
            <w:noWrap/>
            <w:hideMark/>
          </w:tcPr>
          <w:p w14:paraId="47C58CE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Воробьевский</w:t>
            </w:r>
          </w:p>
        </w:tc>
        <w:tc>
          <w:tcPr>
            <w:tcW w:w="2835" w:type="dxa"/>
            <w:shd w:val="clear" w:color="auto" w:fill="auto"/>
            <w:noWrap/>
          </w:tcPr>
          <w:p w14:paraId="00BA5AB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12842</w:t>
            </w:r>
          </w:p>
        </w:tc>
        <w:tc>
          <w:tcPr>
            <w:tcW w:w="3686" w:type="dxa"/>
            <w:shd w:val="clear" w:color="auto" w:fill="auto"/>
            <w:noWrap/>
          </w:tcPr>
          <w:p w14:paraId="0836390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37 310 652</w:t>
            </w:r>
          </w:p>
        </w:tc>
      </w:tr>
      <w:tr w:rsidR="00E16C06" w:rsidRPr="00E16C06" w14:paraId="26C8F767" w14:textId="77777777" w:rsidTr="00E16C06">
        <w:trPr>
          <w:trHeight w:val="300"/>
        </w:trPr>
        <w:tc>
          <w:tcPr>
            <w:tcW w:w="2825" w:type="dxa"/>
            <w:shd w:val="clear" w:color="auto" w:fill="auto"/>
            <w:noWrap/>
            <w:hideMark/>
          </w:tcPr>
          <w:p w14:paraId="014A17E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ГО г. Воронеж</w:t>
            </w:r>
          </w:p>
        </w:tc>
        <w:tc>
          <w:tcPr>
            <w:tcW w:w="2835" w:type="dxa"/>
            <w:shd w:val="clear" w:color="auto" w:fill="auto"/>
            <w:noWrap/>
          </w:tcPr>
          <w:p w14:paraId="12838BB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90857</w:t>
            </w:r>
          </w:p>
        </w:tc>
        <w:tc>
          <w:tcPr>
            <w:tcW w:w="3686" w:type="dxa"/>
            <w:shd w:val="clear" w:color="auto" w:fill="auto"/>
            <w:noWrap/>
          </w:tcPr>
          <w:p w14:paraId="5B92B8D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71 291 980</w:t>
            </w:r>
          </w:p>
        </w:tc>
      </w:tr>
      <w:tr w:rsidR="00E16C06" w:rsidRPr="00E16C06" w14:paraId="1FC96DD5" w14:textId="77777777" w:rsidTr="00E16C06">
        <w:trPr>
          <w:trHeight w:val="300"/>
        </w:trPr>
        <w:tc>
          <w:tcPr>
            <w:tcW w:w="2825" w:type="dxa"/>
            <w:shd w:val="clear" w:color="auto" w:fill="auto"/>
            <w:noWrap/>
            <w:hideMark/>
          </w:tcPr>
          <w:p w14:paraId="06C7FD3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ГО Нововоронеж</w:t>
            </w:r>
          </w:p>
        </w:tc>
        <w:tc>
          <w:tcPr>
            <w:tcW w:w="2835" w:type="dxa"/>
            <w:shd w:val="clear" w:color="auto" w:fill="auto"/>
            <w:noWrap/>
          </w:tcPr>
          <w:p w14:paraId="4149F5C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5218</w:t>
            </w:r>
          </w:p>
        </w:tc>
        <w:tc>
          <w:tcPr>
            <w:tcW w:w="3686" w:type="dxa"/>
            <w:shd w:val="clear" w:color="auto" w:fill="auto"/>
            <w:noWrap/>
          </w:tcPr>
          <w:p w14:paraId="4D67BCF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4 036 651</w:t>
            </w:r>
          </w:p>
        </w:tc>
      </w:tr>
      <w:tr w:rsidR="00E16C06" w:rsidRPr="00E16C06" w14:paraId="44E7660C" w14:textId="77777777" w:rsidTr="00E16C06">
        <w:trPr>
          <w:trHeight w:val="300"/>
        </w:trPr>
        <w:tc>
          <w:tcPr>
            <w:tcW w:w="2825" w:type="dxa"/>
            <w:shd w:val="clear" w:color="auto" w:fill="auto"/>
            <w:noWrap/>
            <w:hideMark/>
          </w:tcPr>
          <w:p w14:paraId="0D8741E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Грибановский</w:t>
            </w:r>
          </w:p>
        </w:tc>
        <w:tc>
          <w:tcPr>
            <w:tcW w:w="2835" w:type="dxa"/>
            <w:shd w:val="clear" w:color="auto" w:fill="auto"/>
            <w:noWrap/>
          </w:tcPr>
          <w:p w14:paraId="18F7CCE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22583</w:t>
            </w:r>
          </w:p>
        </w:tc>
        <w:tc>
          <w:tcPr>
            <w:tcW w:w="3686" w:type="dxa"/>
            <w:shd w:val="clear" w:color="auto" w:fill="auto"/>
            <w:noWrap/>
          </w:tcPr>
          <w:p w14:paraId="757C842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68 138 046</w:t>
            </w:r>
          </w:p>
        </w:tc>
      </w:tr>
      <w:tr w:rsidR="00E16C06" w:rsidRPr="00E16C06" w14:paraId="01973B38" w14:textId="77777777" w:rsidTr="00E16C06">
        <w:trPr>
          <w:trHeight w:val="300"/>
        </w:trPr>
        <w:tc>
          <w:tcPr>
            <w:tcW w:w="2825" w:type="dxa"/>
            <w:shd w:val="clear" w:color="auto" w:fill="auto"/>
            <w:noWrap/>
            <w:hideMark/>
          </w:tcPr>
          <w:p w14:paraId="7C42C11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Калачеевский</w:t>
            </w:r>
          </w:p>
        </w:tc>
        <w:tc>
          <w:tcPr>
            <w:tcW w:w="2835" w:type="dxa"/>
            <w:shd w:val="clear" w:color="auto" w:fill="auto"/>
            <w:noWrap/>
          </w:tcPr>
          <w:p w14:paraId="27F643F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31939</w:t>
            </w:r>
          </w:p>
        </w:tc>
        <w:tc>
          <w:tcPr>
            <w:tcW w:w="3686" w:type="dxa"/>
            <w:shd w:val="clear" w:color="auto" w:fill="auto"/>
            <w:noWrap/>
          </w:tcPr>
          <w:p w14:paraId="2D99D54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67 401 382</w:t>
            </w:r>
          </w:p>
        </w:tc>
      </w:tr>
      <w:tr w:rsidR="00E16C06" w:rsidRPr="00E16C06" w14:paraId="6692A36F" w14:textId="77777777" w:rsidTr="00E16C06">
        <w:trPr>
          <w:trHeight w:val="300"/>
        </w:trPr>
        <w:tc>
          <w:tcPr>
            <w:tcW w:w="2825" w:type="dxa"/>
            <w:shd w:val="clear" w:color="auto" w:fill="auto"/>
            <w:noWrap/>
            <w:hideMark/>
          </w:tcPr>
          <w:p w14:paraId="21C7789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Каменский</w:t>
            </w:r>
          </w:p>
        </w:tc>
        <w:tc>
          <w:tcPr>
            <w:tcW w:w="2835" w:type="dxa"/>
            <w:shd w:val="clear" w:color="auto" w:fill="auto"/>
            <w:noWrap/>
          </w:tcPr>
          <w:p w14:paraId="7C69D08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8986</w:t>
            </w:r>
          </w:p>
        </w:tc>
        <w:tc>
          <w:tcPr>
            <w:tcW w:w="3686" w:type="dxa"/>
            <w:shd w:val="clear" w:color="auto" w:fill="auto"/>
            <w:noWrap/>
          </w:tcPr>
          <w:p w14:paraId="0271E60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24 529 394</w:t>
            </w:r>
          </w:p>
        </w:tc>
      </w:tr>
      <w:tr w:rsidR="00E16C06" w:rsidRPr="00E16C06" w14:paraId="38FA10DF" w14:textId="77777777" w:rsidTr="00E16C06">
        <w:trPr>
          <w:trHeight w:val="300"/>
        </w:trPr>
        <w:tc>
          <w:tcPr>
            <w:tcW w:w="2825" w:type="dxa"/>
            <w:shd w:val="clear" w:color="auto" w:fill="auto"/>
            <w:noWrap/>
            <w:hideMark/>
          </w:tcPr>
          <w:p w14:paraId="2294D41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Кантемировский</w:t>
            </w:r>
          </w:p>
        </w:tc>
        <w:tc>
          <w:tcPr>
            <w:tcW w:w="2835" w:type="dxa"/>
            <w:shd w:val="clear" w:color="auto" w:fill="auto"/>
            <w:noWrap/>
          </w:tcPr>
          <w:p w14:paraId="4298222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17857</w:t>
            </w:r>
          </w:p>
        </w:tc>
        <w:tc>
          <w:tcPr>
            <w:tcW w:w="3686" w:type="dxa"/>
            <w:shd w:val="clear" w:color="auto" w:fill="auto"/>
            <w:noWrap/>
          </w:tcPr>
          <w:p w14:paraId="6163492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37 539 372</w:t>
            </w:r>
          </w:p>
        </w:tc>
      </w:tr>
      <w:tr w:rsidR="00E16C06" w:rsidRPr="00E16C06" w14:paraId="3430CE83" w14:textId="77777777" w:rsidTr="00E16C06">
        <w:trPr>
          <w:trHeight w:val="300"/>
        </w:trPr>
        <w:tc>
          <w:tcPr>
            <w:tcW w:w="2825" w:type="dxa"/>
            <w:shd w:val="clear" w:color="auto" w:fill="auto"/>
            <w:noWrap/>
            <w:hideMark/>
          </w:tcPr>
          <w:p w14:paraId="6C65FB3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Каширский</w:t>
            </w:r>
          </w:p>
        </w:tc>
        <w:tc>
          <w:tcPr>
            <w:tcW w:w="2835" w:type="dxa"/>
            <w:shd w:val="clear" w:color="auto" w:fill="auto"/>
            <w:noWrap/>
          </w:tcPr>
          <w:p w14:paraId="1F63AD1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34221</w:t>
            </w:r>
          </w:p>
        </w:tc>
        <w:tc>
          <w:tcPr>
            <w:tcW w:w="3686" w:type="dxa"/>
            <w:shd w:val="clear" w:color="auto" w:fill="auto"/>
            <w:noWrap/>
          </w:tcPr>
          <w:p w14:paraId="4DF4676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73 989 734</w:t>
            </w:r>
          </w:p>
        </w:tc>
      </w:tr>
      <w:tr w:rsidR="00E16C06" w:rsidRPr="00E16C06" w14:paraId="4ECE25A9" w14:textId="77777777" w:rsidTr="00E16C06">
        <w:trPr>
          <w:trHeight w:val="300"/>
        </w:trPr>
        <w:tc>
          <w:tcPr>
            <w:tcW w:w="2825" w:type="dxa"/>
            <w:shd w:val="clear" w:color="auto" w:fill="auto"/>
            <w:noWrap/>
            <w:hideMark/>
          </w:tcPr>
          <w:p w14:paraId="4F6F527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Лискинский</w:t>
            </w:r>
          </w:p>
        </w:tc>
        <w:tc>
          <w:tcPr>
            <w:tcW w:w="2835" w:type="dxa"/>
            <w:shd w:val="clear" w:color="auto" w:fill="auto"/>
            <w:noWrap/>
          </w:tcPr>
          <w:p w14:paraId="7CBBF8D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41796</w:t>
            </w:r>
          </w:p>
        </w:tc>
        <w:tc>
          <w:tcPr>
            <w:tcW w:w="3686" w:type="dxa"/>
            <w:shd w:val="clear" w:color="auto" w:fill="auto"/>
            <w:noWrap/>
          </w:tcPr>
          <w:p w14:paraId="52457CB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68 227 730</w:t>
            </w:r>
          </w:p>
        </w:tc>
      </w:tr>
      <w:tr w:rsidR="00E16C06" w:rsidRPr="00E16C06" w14:paraId="2EAF19B9" w14:textId="77777777" w:rsidTr="00E16C06">
        <w:trPr>
          <w:trHeight w:val="300"/>
        </w:trPr>
        <w:tc>
          <w:tcPr>
            <w:tcW w:w="2825" w:type="dxa"/>
            <w:shd w:val="clear" w:color="auto" w:fill="auto"/>
            <w:noWrap/>
            <w:hideMark/>
          </w:tcPr>
          <w:p w14:paraId="5587B28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Нижнедевицкий</w:t>
            </w:r>
          </w:p>
        </w:tc>
        <w:tc>
          <w:tcPr>
            <w:tcW w:w="2835" w:type="dxa"/>
            <w:shd w:val="clear" w:color="auto" w:fill="auto"/>
            <w:noWrap/>
          </w:tcPr>
          <w:p w14:paraId="51D9326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16736</w:t>
            </w:r>
          </w:p>
        </w:tc>
        <w:tc>
          <w:tcPr>
            <w:tcW w:w="3686" w:type="dxa"/>
            <w:shd w:val="clear" w:color="auto" w:fill="auto"/>
            <w:noWrap/>
          </w:tcPr>
          <w:p w14:paraId="14702E5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44 197 833</w:t>
            </w:r>
          </w:p>
        </w:tc>
      </w:tr>
      <w:tr w:rsidR="00E16C06" w:rsidRPr="00E16C06" w14:paraId="677CBA7D" w14:textId="77777777" w:rsidTr="00E16C06">
        <w:trPr>
          <w:trHeight w:val="300"/>
        </w:trPr>
        <w:tc>
          <w:tcPr>
            <w:tcW w:w="2825" w:type="dxa"/>
            <w:shd w:val="clear" w:color="auto" w:fill="auto"/>
            <w:noWrap/>
            <w:hideMark/>
          </w:tcPr>
          <w:p w14:paraId="0E7A9EA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Новоусманский</w:t>
            </w:r>
          </w:p>
        </w:tc>
        <w:tc>
          <w:tcPr>
            <w:tcW w:w="2835" w:type="dxa"/>
            <w:shd w:val="clear" w:color="auto" w:fill="auto"/>
            <w:noWrap/>
          </w:tcPr>
          <w:p w14:paraId="11265633"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78948</w:t>
            </w:r>
          </w:p>
        </w:tc>
        <w:tc>
          <w:tcPr>
            <w:tcW w:w="3686" w:type="dxa"/>
            <w:shd w:val="clear" w:color="auto" w:fill="auto"/>
            <w:noWrap/>
          </w:tcPr>
          <w:p w14:paraId="06C5A5F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118 363 696</w:t>
            </w:r>
          </w:p>
        </w:tc>
      </w:tr>
      <w:tr w:rsidR="00E16C06" w:rsidRPr="00E16C06" w14:paraId="2F343B01" w14:textId="77777777" w:rsidTr="00E16C06">
        <w:trPr>
          <w:trHeight w:val="300"/>
        </w:trPr>
        <w:tc>
          <w:tcPr>
            <w:tcW w:w="2825" w:type="dxa"/>
            <w:shd w:val="clear" w:color="auto" w:fill="auto"/>
            <w:noWrap/>
            <w:hideMark/>
          </w:tcPr>
          <w:p w14:paraId="370B2B5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Новохоперский</w:t>
            </w:r>
          </w:p>
        </w:tc>
        <w:tc>
          <w:tcPr>
            <w:tcW w:w="2835" w:type="dxa"/>
            <w:shd w:val="clear" w:color="auto" w:fill="auto"/>
            <w:noWrap/>
          </w:tcPr>
          <w:p w14:paraId="428BACC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22473</w:t>
            </w:r>
          </w:p>
        </w:tc>
        <w:tc>
          <w:tcPr>
            <w:tcW w:w="3686" w:type="dxa"/>
            <w:shd w:val="clear" w:color="auto" w:fill="auto"/>
            <w:noWrap/>
          </w:tcPr>
          <w:p w14:paraId="03715E1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45 863 569</w:t>
            </w:r>
          </w:p>
        </w:tc>
      </w:tr>
      <w:tr w:rsidR="00E16C06" w:rsidRPr="00E16C06" w14:paraId="4F556381" w14:textId="77777777" w:rsidTr="00E16C06">
        <w:trPr>
          <w:trHeight w:val="300"/>
        </w:trPr>
        <w:tc>
          <w:tcPr>
            <w:tcW w:w="2825" w:type="dxa"/>
            <w:shd w:val="clear" w:color="auto" w:fill="auto"/>
            <w:noWrap/>
            <w:hideMark/>
          </w:tcPr>
          <w:p w14:paraId="01C85F3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Ольховатский</w:t>
            </w:r>
          </w:p>
        </w:tc>
        <w:tc>
          <w:tcPr>
            <w:tcW w:w="2835" w:type="dxa"/>
            <w:shd w:val="clear" w:color="auto" w:fill="auto"/>
            <w:noWrap/>
          </w:tcPr>
          <w:p w14:paraId="7EFAAB1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10226</w:t>
            </w:r>
          </w:p>
        </w:tc>
        <w:tc>
          <w:tcPr>
            <w:tcW w:w="3686" w:type="dxa"/>
            <w:shd w:val="clear" w:color="auto" w:fill="auto"/>
            <w:noWrap/>
          </w:tcPr>
          <w:p w14:paraId="718325F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22 479 270</w:t>
            </w:r>
          </w:p>
        </w:tc>
      </w:tr>
      <w:tr w:rsidR="00E16C06" w:rsidRPr="00E16C06" w14:paraId="5076E5FA" w14:textId="77777777" w:rsidTr="00E16C06">
        <w:trPr>
          <w:trHeight w:val="300"/>
        </w:trPr>
        <w:tc>
          <w:tcPr>
            <w:tcW w:w="2825" w:type="dxa"/>
            <w:shd w:val="clear" w:color="auto" w:fill="auto"/>
            <w:noWrap/>
            <w:hideMark/>
          </w:tcPr>
          <w:p w14:paraId="19D72AC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Острогожский</w:t>
            </w:r>
          </w:p>
        </w:tc>
        <w:tc>
          <w:tcPr>
            <w:tcW w:w="2835" w:type="dxa"/>
            <w:shd w:val="clear" w:color="auto" w:fill="auto"/>
            <w:noWrap/>
          </w:tcPr>
          <w:p w14:paraId="6E91B34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27041</w:t>
            </w:r>
          </w:p>
        </w:tc>
        <w:tc>
          <w:tcPr>
            <w:tcW w:w="3686" w:type="dxa"/>
            <w:shd w:val="clear" w:color="auto" w:fill="auto"/>
            <w:noWrap/>
          </w:tcPr>
          <w:p w14:paraId="66972BC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76 000 245</w:t>
            </w:r>
          </w:p>
        </w:tc>
      </w:tr>
      <w:tr w:rsidR="00E16C06" w:rsidRPr="00E16C06" w14:paraId="02067730" w14:textId="77777777" w:rsidTr="00E16C06">
        <w:trPr>
          <w:trHeight w:val="300"/>
        </w:trPr>
        <w:tc>
          <w:tcPr>
            <w:tcW w:w="2825" w:type="dxa"/>
            <w:shd w:val="clear" w:color="auto" w:fill="auto"/>
            <w:noWrap/>
            <w:hideMark/>
          </w:tcPr>
          <w:p w14:paraId="7C61979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Павловский</w:t>
            </w:r>
          </w:p>
        </w:tc>
        <w:tc>
          <w:tcPr>
            <w:tcW w:w="2835" w:type="dxa"/>
            <w:shd w:val="clear" w:color="auto" w:fill="auto"/>
            <w:noWrap/>
          </w:tcPr>
          <w:p w14:paraId="47023C2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25281</w:t>
            </w:r>
          </w:p>
        </w:tc>
        <w:tc>
          <w:tcPr>
            <w:tcW w:w="3686" w:type="dxa"/>
            <w:shd w:val="clear" w:color="auto" w:fill="auto"/>
            <w:noWrap/>
          </w:tcPr>
          <w:p w14:paraId="3BCB519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55 032 084</w:t>
            </w:r>
          </w:p>
        </w:tc>
      </w:tr>
      <w:tr w:rsidR="00E16C06" w:rsidRPr="00E16C06" w14:paraId="3F3C9CF1" w14:textId="77777777" w:rsidTr="00E16C06">
        <w:trPr>
          <w:trHeight w:val="300"/>
        </w:trPr>
        <w:tc>
          <w:tcPr>
            <w:tcW w:w="2825" w:type="dxa"/>
            <w:shd w:val="clear" w:color="auto" w:fill="auto"/>
            <w:noWrap/>
            <w:hideMark/>
          </w:tcPr>
          <w:p w14:paraId="4D1711A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Панинский</w:t>
            </w:r>
          </w:p>
        </w:tc>
        <w:tc>
          <w:tcPr>
            <w:tcW w:w="2835" w:type="dxa"/>
            <w:shd w:val="clear" w:color="auto" w:fill="auto"/>
            <w:noWrap/>
          </w:tcPr>
          <w:p w14:paraId="090DFE4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17389</w:t>
            </w:r>
          </w:p>
        </w:tc>
        <w:tc>
          <w:tcPr>
            <w:tcW w:w="3686" w:type="dxa"/>
            <w:shd w:val="clear" w:color="auto" w:fill="auto"/>
            <w:noWrap/>
          </w:tcPr>
          <w:p w14:paraId="78DFDD6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47 180 069</w:t>
            </w:r>
          </w:p>
        </w:tc>
      </w:tr>
      <w:tr w:rsidR="00E16C06" w:rsidRPr="00E16C06" w14:paraId="5EFB36B1" w14:textId="77777777" w:rsidTr="00E16C06">
        <w:trPr>
          <w:trHeight w:val="300"/>
        </w:trPr>
        <w:tc>
          <w:tcPr>
            <w:tcW w:w="2825" w:type="dxa"/>
            <w:shd w:val="clear" w:color="auto" w:fill="auto"/>
            <w:noWrap/>
            <w:hideMark/>
          </w:tcPr>
          <w:p w14:paraId="135DA72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Петропавловский</w:t>
            </w:r>
          </w:p>
        </w:tc>
        <w:tc>
          <w:tcPr>
            <w:tcW w:w="2835" w:type="dxa"/>
            <w:shd w:val="clear" w:color="auto" w:fill="auto"/>
            <w:noWrap/>
          </w:tcPr>
          <w:p w14:paraId="0AE1BE8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12359</w:t>
            </w:r>
          </w:p>
        </w:tc>
        <w:tc>
          <w:tcPr>
            <w:tcW w:w="3686" w:type="dxa"/>
            <w:shd w:val="clear" w:color="auto" w:fill="auto"/>
            <w:noWrap/>
          </w:tcPr>
          <w:p w14:paraId="115758E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37 992 393</w:t>
            </w:r>
          </w:p>
        </w:tc>
      </w:tr>
      <w:tr w:rsidR="00E16C06" w:rsidRPr="00E16C06" w14:paraId="351A36C4" w14:textId="77777777" w:rsidTr="00E16C06">
        <w:trPr>
          <w:trHeight w:val="300"/>
        </w:trPr>
        <w:tc>
          <w:tcPr>
            <w:tcW w:w="2825" w:type="dxa"/>
            <w:shd w:val="clear" w:color="auto" w:fill="auto"/>
            <w:noWrap/>
            <w:hideMark/>
          </w:tcPr>
          <w:p w14:paraId="666DFFC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Поворинский</w:t>
            </w:r>
          </w:p>
        </w:tc>
        <w:tc>
          <w:tcPr>
            <w:tcW w:w="2835" w:type="dxa"/>
            <w:shd w:val="clear" w:color="auto" w:fill="auto"/>
            <w:noWrap/>
          </w:tcPr>
          <w:p w14:paraId="24FAB9E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15196</w:t>
            </w:r>
          </w:p>
        </w:tc>
        <w:tc>
          <w:tcPr>
            <w:tcW w:w="3686" w:type="dxa"/>
            <w:shd w:val="clear" w:color="auto" w:fill="auto"/>
            <w:noWrap/>
          </w:tcPr>
          <w:p w14:paraId="41BAC4B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24 518 070</w:t>
            </w:r>
          </w:p>
        </w:tc>
      </w:tr>
      <w:tr w:rsidR="00E16C06" w:rsidRPr="00E16C06" w14:paraId="7BBBFEAA" w14:textId="77777777" w:rsidTr="00E16C06">
        <w:trPr>
          <w:trHeight w:val="300"/>
        </w:trPr>
        <w:tc>
          <w:tcPr>
            <w:tcW w:w="2825" w:type="dxa"/>
            <w:shd w:val="clear" w:color="auto" w:fill="auto"/>
            <w:noWrap/>
            <w:hideMark/>
          </w:tcPr>
          <w:p w14:paraId="49B3C83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Подгоренский</w:t>
            </w:r>
          </w:p>
        </w:tc>
        <w:tc>
          <w:tcPr>
            <w:tcW w:w="2835" w:type="dxa"/>
            <w:shd w:val="clear" w:color="auto" w:fill="auto"/>
            <w:noWrap/>
          </w:tcPr>
          <w:p w14:paraId="11146C4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13892</w:t>
            </w:r>
          </w:p>
        </w:tc>
        <w:tc>
          <w:tcPr>
            <w:tcW w:w="3686" w:type="dxa"/>
            <w:shd w:val="clear" w:color="auto" w:fill="auto"/>
            <w:noWrap/>
          </w:tcPr>
          <w:p w14:paraId="578A9D2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35 775 018</w:t>
            </w:r>
          </w:p>
        </w:tc>
      </w:tr>
      <w:tr w:rsidR="00E16C06" w:rsidRPr="00E16C06" w14:paraId="0DB6C14C" w14:textId="77777777" w:rsidTr="00E16C06">
        <w:trPr>
          <w:trHeight w:val="300"/>
        </w:trPr>
        <w:tc>
          <w:tcPr>
            <w:tcW w:w="2825" w:type="dxa"/>
            <w:shd w:val="clear" w:color="auto" w:fill="auto"/>
            <w:noWrap/>
            <w:hideMark/>
          </w:tcPr>
          <w:p w14:paraId="7625B89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Рамонский</w:t>
            </w:r>
          </w:p>
        </w:tc>
        <w:tc>
          <w:tcPr>
            <w:tcW w:w="2835" w:type="dxa"/>
            <w:shd w:val="clear" w:color="auto" w:fill="auto"/>
            <w:noWrap/>
          </w:tcPr>
          <w:p w14:paraId="20285EC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84094</w:t>
            </w:r>
          </w:p>
        </w:tc>
        <w:tc>
          <w:tcPr>
            <w:tcW w:w="3686" w:type="dxa"/>
            <w:shd w:val="clear" w:color="auto" w:fill="auto"/>
            <w:noWrap/>
          </w:tcPr>
          <w:p w14:paraId="47C939A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143 239 423</w:t>
            </w:r>
          </w:p>
        </w:tc>
      </w:tr>
      <w:tr w:rsidR="00E16C06" w:rsidRPr="00E16C06" w14:paraId="19C0A72F" w14:textId="77777777" w:rsidTr="00E16C06">
        <w:trPr>
          <w:trHeight w:val="300"/>
        </w:trPr>
        <w:tc>
          <w:tcPr>
            <w:tcW w:w="2825" w:type="dxa"/>
            <w:shd w:val="clear" w:color="auto" w:fill="auto"/>
            <w:noWrap/>
            <w:hideMark/>
          </w:tcPr>
          <w:p w14:paraId="3722487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Репьевский</w:t>
            </w:r>
          </w:p>
        </w:tc>
        <w:tc>
          <w:tcPr>
            <w:tcW w:w="2835" w:type="dxa"/>
            <w:shd w:val="clear" w:color="auto" w:fill="auto"/>
            <w:noWrap/>
          </w:tcPr>
          <w:p w14:paraId="3942DE7D"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13116</w:t>
            </w:r>
          </w:p>
        </w:tc>
        <w:tc>
          <w:tcPr>
            <w:tcW w:w="3686" w:type="dxa"/>
            <w:shd w:val="clear" w:color="auto" w:fill="auto"/>
            <w:noWrap/>
          </w:tcPr>
          <w:p w14:paraId="555E326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30 441 185</w:t>
            </w:r>
          </w:p>
        </w:tc>
      </w:tr>
      <w:tr w:rsidR="00E16C06" w:rsidRPr="00E16C06" w14:paraId="3F78F85F" w14:textId="77777777" w:rsidTr="00E16C06">
        <w:trPr>
          <w:trHeight w:val="300"/>
        </w:trPr>
        <w:tc>
          <w:tcPr>
            <w:tcW w:w="2825" w:type="dxa"/>
            <w:shd w:val="clear" w:color="auto" w:fill="auto"/>
            <w:noWrap/>
            <w:hideMark/>
          </w:tcPr>
          <w:p w14:paraId="0EDA830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Россошанский</w:t>
            </w:r>
          </w:p>
        </w:tc>
        <w:tc>
          <w:tcPr>
            <w:tcW w:w="2835" w:type="dxa"/>
            <w:shd w:val="clear" w:color="auto" w:fill="auto"/>
            <w:noWrap/>
          </w:tcPr>
          <w:p w14:paraId="6FE16BE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34973</w:t>
            </w:r>
          </w:p>
        </w:tc>
        <w:tc>
          <w:tcPr>
            <w:tcW w:w="3686" w:type="dxa"/>
            <w:shd w:val="clear" w:color="auto" w:fill="auto"/>
            <w:noWrap/>
          </w:tcPr>
          <w:p w14:paraId="35F62868"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65 488 746</w:t>
            </w:r>
          </w:p>
        </w:tc>
      </w:tr>
      <w:tr w:rsidR="00E16C06" w:rsidRPr="00E16C06" w14:paraId="0B5FDA33" w14:textId="77777777" w:rsidTr="00E16C06">
        <w:trPr>
          <w:trHeight w:val="300"/>
        </w:trPr>
        <w:tc>
          <w:tcPr>
            <w:tcW w:w="2825" w:type="dxa"/>
            <w:shd w:val="clear" w:color="auto" w:fill="auto"/>
            <w:noWrap/>
            <w:hideMark/>
          </w:tcPr>
          <w:p w14:paraId="1EDD1F25"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Семилукский</w:t>
            </w:r>
          </w:p>
        </w:tc>
        <w:tc>
          <w:tcPr>
            <w:tcW w:w="2835" w:type="dxa"/>
            <w:shd w:val="clear" w:color="auto" w:fill="auto"/>
            <w:noWrap/>
          </w:tcPr>
          <w:p w14:paraId="24007E9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75822</w:t>
            </w:r>
          </w:p>
        </w:tc>
        <w:tc>
          <w:tcPr>
            <w:tcW w:w="3686" w:type="dxa"/>
            <w:shd w:val="clear" w:color="auto" w:fill="auto"/>
            <w:noWrap/>
          </w:tcPr>
          <w:p w14:paraId="42066BBC"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131 800 719</w:t>
            </w:r>
          </w:p>
        </w:tc>
      </w:tr>
      <w:tr w:rsidR="00E16C06" w:rsidRPr="00E16C06" w14:paraId="34F78145" w14:textId="77777777" w:rsidTr="00E16C06">
        <w:trPr>
          <w:trHeight w:val="300"/>
        </w:trPr>
        <w:tc>
          <w:tcPr>
            <w:tcW w:w="2825" w:type="dxa"/>
            <w:shd w:val="clear" w:color="auto" w:fill="auto"/>
            <w:noWrap/>
            <w:hideMark/>
          </w:tcPr>
          <w:p w14:paraId="77429444"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Таловский</w:t>
            </w:r>
          </w:p>
        </w:tc>
        <w:tc>
          <w:tcPr>
            <w:tcW w:w="2835" w:type="dxa"/>
            <w:shd w:val="clear" w:color="auto" w:fill="auto"/>
            <w:noWrap/>
          </w:tcPr>
          <w:p w14:paraId="503EE85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21061</w:t>
            </w:r>
          </w:p>
        </w:tc>
        <w:tc>
          <w:tcPr>
            <w:tcW w:w="3686" w:type="dxa"/>
            <w:shd w:val="clear" w:color="auto" w:fill="auto"/>
            <w:noWrap/>
          </w:tcPr>
          <w:p w14:paraId="18634FC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59 516 115</w:t>
            </w:r>
          </w:p>
        </w:tc>
      </w:tr>
      <w:tr w:rsidR="00E16C06" w:rsidRPr="00E16C06" w14:paraId="48459BEF" w14:textId="77777777" w:rsidTr="00E16C06">
        <w:trPr>
          <w:trHeight w:val="300"/>
        </w:trPr>
        <w:tc>
          <w:tcPr>
            <w:tcW w:w="2825" w:type="dxa"/>
            <w:shd w:val="clear" w:color="auto" w:fill="auto"/>
            <w:noWrap/>
            <w:hideMark/>
          </w:tcPr>
          <w:p w14:paraId="16270BF6"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Терновский</w:t>
            </w:r>
          </w:p>
        </w:tc>
        <w:tc>
          <w:tcPr>
            <w:tcW w:w="2835" w:type="dxa"/>
            <w:shd w:val="clear" w:color="auto" w:fill="auto"/>
            <w:noWrap/>
          </w:tcPr>
          <w:p w14:paraId="7302925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16051</w:t>
            </w:r>
          </w:p>
        </w:tc>
        <w:tc>
          <w:tcPr>
            <w:tcW w:w="3686" w:type="dxa"/>
            <w:shd w:val="clear" w:color="auto" w:fill="auto"/>
            <w:noWrap/>
          </w:tcPr>
          <w:p w14:paraId="44B3FED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54 053 442</w:t>
            </w:r>
          </w:p>
        </w:tc>
      </w:tr>
      <w:tr w:rsidR="00E16C06" w:rsidRPr="00E16C06" w14:paraId="3B7830CE" w14:textId="77777777" w:rsidTr="00E16C06">
        <w:trPr>
          <w:trHeight w:val="300"/>
        </w:trPr>
        <w:tc>
          <w:tcPr>
            <w:tcW w:w="2825" w:type="dxa"/>
            <w:shd w:val="clear" w:color="auto" w:fill="auto"/>
            <w:noWrap/>
            <w:hideMark/>
          </w:tcPr>
          <w:p w14:paraId="317C0162"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Хохольский</w:t>
            </w:r>
          </w:p>
        </w:tc>
        <w:tc>
          <w:tcPr>
            <w:tcW w:w="2835" w:type="dxa"/>
            <w:shd w:val="clear" w:color="auto" w:fill="auto"/>
            <w:noWrap/>
          </w:tcPr>
          <w:p w14:paraId="7D4DD31B"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36896</w:t>
            </w:r>
          </w:p>
        </w:tc>
        <w:tc>
          <w:tcPr>
            <w:tcW w:w="3686" w:type="dxa"/>
            <w:shd w:val="clear" w:color="auto" w:fill="auto"/>
            <w:noWrap/>
          </w:tcPr>
          <w:p w14:paraId="2DA8B017"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80 944 488</w:t>
            </w:r>
          </w:p>
        </w:tc>
      </w:tr>
      <w:tr w:rsidR="00E16C06" w:rsidRPr="00E16C06" w14:paraId="6D75B16E" w14:textId="77777777" w:rsidTr="00E16C06">
        <w:trPr>
          <w:trHeight w:val="300"/>
        </w:trPr>
        <w:tc>
          <w:tcPr>
            <w:tcW w:w="2825" w:type="dxa"/>
            <w:shd w:val="clear" w:color="auto" w:fill="auto"/>
            <w:noWrap/>
            <w:hideMark/>
          </w:tcPr>
          <w:p w14:paraId="0CF52F7F"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Эртильский</w:t>
            </w:r>
          </w:p>
        </w:tc>
        <w:tc>
          <w:tcPr>
            <w:tcW w:w="2835" w:type="dxa"/>
            <w:shd w:val="clear" w:color="auto" w:fill="auto"/>
            <w:noWrap/>
          </w:tcPr>
          <w:p w14:paraId="352BDAC0"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13202</w:t>
            </w:r>
          </w:p>
        </w:tc>
        <w:tc>
          <w:tcPr>
            <w:tcW w:w="3686" w:type="dxa"/>
            <w:shd w:val="clear" w:color="auto" w:fill="auto"/>
            <w:noWrap/>
          </w:tcPr>
          <w:p w14:paraId="6E73D9C1"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rPr>
            </w:pPr>
            <w:r w:rsidRPr="00E16C06">
              <w:rPr>
                <w:rFonts w:ascii="Times New Roman" w:hAnsi="Times New Roman" w:cs="Times New Roman"/>
              </w:rPr>
              <w:t>38 073 989</w:t>
            </w:r>
          </w:p>
        </w:tc>
      </w:tr>
      <w:tr w:rsidR="00E16C06" w:rsidRPr="00E16C06" w14:paraId="3D3F18B2" w14:textId="77777777" w:rsidTr="00E16C06">
        <w:trPr>
          <w:trHeight w:val="315"/>
        </w:trPr>
        <w:tc>
          <w:tcPr>
            <w:tcW w:w="2825" w:type="dxa"/>
            <w:shd w:val="clear" w:color="auto" w:fill="auto"/>
            <w:noWrap/>
            <w:hideMark/>
          </w:tcPr>
          <w:p w14:paraId="5724AD97"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Общий итог</w:t>
            </w:r>
          </w:p>
        </w:tc>
        <w:tc>
          <w:tcPr>
            <w:tcW w:w="2835" w:type="dxa"/>
            <w:shd w:val="clear" w:color="auto" w:fill="auto"/>
            <w:noWrap/>
          </w:tcPr>
          <w:p w14:paraId="35245199"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955621</w:t>
            </w:r>
          </w:p>
        </w:tc>
        <w:tc>
          <w:tcPr>
            <w:tcW w:w="3686" w:type="dxa"/>
            <w:shd w:val="clear" w:color="auto" w:fill="auto"/>
            <w:noWrap/>
          </w:tcPr>
          <w:p w14:paraId="4D5B28F5" w14:textId="77777777" w:rsidR="00E16C06" w:rsidRPr="00E16C06" w:rsidRDefault="00E16C06" w:rsidP="00E16C06">
            <w:pPr>
              <w:spacing w:after="0" w:line="276" w:lineRule="auto"/>
              <w:contextualSpacing/>
              <w:jc w:val="center"/>
              <w:rPr>
                <w:rFonts w:ascii="Times New Roman" w:eastAsia="Times New Roman" w:hAnsi="Times New Roman" w:cs="Times New Roman"/>
                <w:b/>
                <w:bCs/>
                <w:spacing w:val="-5"/>
              </w:rPr>
            </w:pPr>
            <w:r w:rsidRPr="00E16C06">
              <w:rPr>
                <w:rFonts w:ascii="Times New Roman" w:hAnsi="Times New Roman" w:cs="Times New Roman"/>
                <w:b/>
                <w:bCs/>
              </w:rPr>
              <w:t>1 895 574 344</w:t>
            </w:r>
          </w:p>
        </w:tc>
      </w:tr>
    </w:tbl>
    <w:p w14:paraId="38A32866" w14:textId="77777777" w:rsidR="00E16C06" w:rsidRPr="00E16C06" w:rsidRDefault="00E16C06" w:rsidP="00E16C06">
      <w:pPr>
        <w:rPr>
          <w:rFonts w:ascii="Times New Roman" w:eastAsia="Times New Roman" w:hAnsi="Times New Roman" w:cs="Times New Roman"/>
          <w:sz w:val="26"/>
          <w:szCs w:val="26"/>
        </w:rPr>
      </w:pPr>
    </w:p>
    <w:p w14:paraId="6651B2AF" w14:textId="77777777" w:rsidR="00E16C06" w:rsidRPr="00E16C06" w:rsidRDefault="00E16C06" w:rsidP="00E16C06">
      <w:pPr>
        <w:rPr>
          <w:rFonts w:ascii="Times New Roman" w:eastAsia="Times New Roman" w:hAnsi="Times New Roman" w:cs="Times New Roman"/>
          <w:sz w:val="26"/>
          <w:szCs w:val="26"/>
        </w:rPr>
      </w:pPr>
      <w:r w:rsidRPr="00E16C06">
        <w:rPr>
          <w:rFonts w:ascii="Times New Roman" w:hAnsi="Times New Roman" w:cs="Times New Roman"/>
          <w:noProof/>
          <w:lang w:eastAsia="ru-RU"/>
        </w:rPr>
        <w:drawing>
          <wp:inline distT="0" distB="0" distL="0" distR="0" wp14:anchorId="3F95DF0A" wp14:editId="739A5CEB">
            <wp:extent cx="5940425" cy="4189095"/>
            <wp:effectExtent l="0" t="0" r="3175" b="1905"/>
            <wp:docPr id="626" name="Диаграмма 6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6740D769"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color w:val="000000"/>
          <w:sz w:val="26"/>
          <w:szCs w:val="26"/>
          <w:lang w:eastAsia="ru-RU"/>
        </w:rPr>
        <w:t xml:space="preserve">Рис. </w:t>
      </w:r>
      <w:r w:rsidRPr="00E16C06">
        <w:rPr>
          <w:rFonts w:ascii="Times New Roman" w:eastAsia="Times New Roman" w:hAnsi="Times New Roman" w:cs="Times New Roman"/>
          <w:spacing w:val="-5"/>
          <w:sz w:val="26"/>
          <w:szCs w:val="26"/>
        </w:rPr>
        <w:t>3.3.2.27</w:t>
      </w:r>
      <w:r w:rsidRPr="00E16C06">
        <w:rPr>
          <w:rFonts w:ascii="Times New Roman" w:eastAsia="Times New Roman" w:hAnsi="Times New Roman" w:cs="Times New Roman"/>
          <w:color w:val="000000"/>
          <w:sz w:val="26"/>
          <w:szCs w:val="26"/>
          <w:lang w:eastAsia="ru-RU"/>
        </w:rPr>
        <w:t xml:space="preserve"> </w:t>
      </w:r>
      <w:r w:rsidRPr="00E16C06">
        <w:rPr>
          <w:rFonts w:ascii="Times New Roman" w:eastAsia="Times New Roman" w:hAnsi="Times New Roman" w:cs="Times New Roman"/>
          <w:spacing w:val="-5"/>
          <w:sz w:val="26"/>
          <w:szCs w:val="26"/>
        </w:rPr>
        <w:t xml:space="preserve">– Распределение земельных участков, </w:t>
      </w:r>
    </w:p>
    <w:p w14:paraId="3D94D04E"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r w:rsidRPr="00E16C06">
        <w:rPr>
          <w:rFonts w:ascii="Times New Roman" w:eastAsia="Times New Roman" w:hAnsi="Times New Roman" w:cs="Times New Roman"/>
          <w:spacing w:val="-5"/>
          <w:sz w:val="26"/>
          <w:szCs w:val="26"/>
        </w:rPr>
        <w:t>относящихся к сегменту 13 «Садоводство и огородничество, малоэтажная жилая застройка», по муниципальным районам Воронежской области</w:t>
      </w:r>
    </w:p>
    <w:p w14:paraId="11080F2A" w14:textId="77777777" w:rsidR="00E16C06" w:rsidRPr="00E16C06" w:rsidRDefault="00E16C06" w:rsidP="00E16C06">
      <w:pPr>
        <w:spacing w:after="0" w:line="276" w:lineRule="auto"/>
        <w:contextualSpacing/>
        <w:jc w:val="center"/>
        <w:rPr>
          <w:rFonts w:ascii="Times New Roman" w:eastAsia="Times New Roman" w:hAnsi="Times New Roman" w:cs="Times New Roman"/>
          <w:spacing w:val="-5"/>
          <w:sz w:val="26"/>
          <w:szCs w:val="26"/>
        </w:rPr>
      </w:pPr>
    </w:p>
    <w:p w14:paraId="7D3A7507" w14:textId="77777777" w:rsidR="00E16C06" w:rsidRPr="00E16C06" w:rsidRDefault="00E16C06" w:rsidP="00E16C06">
      <w:pPr>
        <w:spacing w:after="0" w:line="276" w:lineRule="auto"/>
        <w:ind w:firstLine="709"/>
        <w:contextualSpacing/>
        <w:jc w:val="both"/>
        <w:rPr>
          <w:rFonts w:ascii="Times New Roman" w:hAnsi="Times New Roman" w:cs="Times New Roman"/>
          <w:sz w:val="26"/>
          <w:szCs w:val="26"/>
        </w:rPr>
      </w:pPr>
      <w:r w:rsidRPr="00E16C06">
        <w:rPr>
          <w:rFonts w:ascii="Times New Roman" w:hAnsi="Times New Roman" w:cs="Times New Roman"/>
          <w:sz w:val="26"/>
          <w:szCs w:val="26"/>
        </w:rPr>
        <w:t>В соответствии с сегментацией объектов недвижимости с указанием кодов расчета вида использования (приложение № 1 Указаний) 13 сегмент включает в себя коды расчета 02:010, 02:011, 02:013, 02:014, 02:020, 02:021, 02:030, 13:011, 13:021. Распределение земельных участков 13 сегмента по кодам вида использования представлено в таблице 3.3.2.28.</w:t>
      </w:r>
    </w:p>
    <w:p w14:paraId="46A88547" w14:textId="77777777" w:rsidR="00E16C06" w:rsidRPr="00E16C06" w:rsidRDefault="00E16C06" w:rsidP="00E16C06">
      <w:pPr>
        <w:spacing w:after="0" w:line="276" w:lineRule="auto"/>
        <w:ind w:firstLine="709"/>
        <w:contextualSpacing/>
        <w:jc w:val="right"/>
        <w:rPr>
          <w:rFonts w:ascii="Times New Roman" w:hAnsi="Times New Roman" w:cs="Times New Roman"/>
          <w:sz w:val="26"/>
          <w:szCs w:val="26"/>
        </w:rPr>
      </w:pPr>
      <w:r w:rsidRPr="00E16C06">
        <w:rPr>
          <w:rFonts w:ascii="Times New Roman" w:hAnsi="Times New Roman" w:cs="Times New Roman"/>
          <w:sz w:val="26"/>
          <w:szCs w:val="26"/>
        </w:rPr>
        <w:t xml:space="preserve">Таблица </w:t>
      </w:r>
      <w:r w:rsidRPr="00E16C06">
        <w:rPr>
          <w:rFonts w:ascii="Times New Roman" w:eastAsia="Times New Roman" w:hAnsi="Times New Roman" w:cs="Times New Roman"/>
          <w:spacing w:val="-5"/>
          <w:sz w:val="26"/>
          <w:szCs w:val="26"/>
        </w:rPr>
        <w:t>3.3.2.28</w:t>
      </w:r>
    </w:p>
    <w:p w14:paraId="4A0DD8D2"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hAnsi="Times New Roman" w:cs="Times New Roman"/>
          <w:sz w:val="26"/>
          <w:szCs w:val="26"/>
        </w:rPr>
        <w:t>Распределение объектов оценки по кодам расчета вида использования</w:t>
      </w:r>
    </w:p>
    <w:p w14:paraId="1043DCF0" w14:textId="77777777" w:rsidR="00E16C06" w:rsidRPr="00E16C06" w:rsidRDefault="00E16C06" w:rsidP="00E16C06">
      <w:pPr>
        <w:spacing w:after="0" w:line="276" w:lineRule="auto"/>
        <w:contextualSpacing/>
        <w:jc w:val="center"/>
        <w:rPr>
          <w:rFonts w:ascii="Times New Roman" w:hAnsi="Times New Roman" w:cs="Times New Roman"/>
          <w:sz w:val="26"/>
          <w:szCs w:val="26"/>
        </w:rPr>
      </w:pPr>
      <w:r w:rsidRPr="00E16C06">
        <w:rPr>
          <w:rFonts w:ascii="Times New Roman" w:hAnsi="Times New Roman" w:cs="Times New Roman"/>
          <w:sz w:val="26"/>
          <w:szCs w:val="26"/>
        </w:rPr>
        <w:t>в составе 13 сегмента</w:t>
      </w:r>
    </w:p>
    <w:tbl>
      <w:tblPr>
        <w:tblStyle w:val="ae"/>
        <w:tblW w:w="9634" w:type="dxa"/>
        <w:jc w:val="center"/>
        <w:tblLook w:val="04A0" w:firstRow="1" w:lastRow="0" w:firstColumn="1" w:lastColumn="0" w:noHBand="0" w:noVBand="1"/>
      </w:tblPr>
      <w:tblGrid>
        <w:gridCol w:w="2359"/>
        <w:gridCol w:w="3454"/>
        <w:gridCol w:w="3821"/>
      </w:tblGrid>
      <w:tr w:rsidR="00E16C06" w:rsidRPr="00E16C06" w14:paraId="1A52C443" w14:textId="77777777" w:rsidTr="00E16C06">
        <w:trPr>
          <w:trHeight w:val="255"/>
          <w:jc w:val="center"/>
        </w:trPr>
        <w:tc>
          <w:tcPr>
            <w:tcW w:w="2359" w:type="dxa"/>
            <w:shd w:val="clear" w:color="auto" w:fill="auto"/>
          </w:tcPr>
          <w:p w14:paraId="167FA534"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Сегмент</w:t>
            </w:r>
          </w:p>
        </w:tc>
        <w:tc>
          <w:tcPr>
            <w:tcW w:w="3454" w:type="dxa"/>
            <w:shd w:val="clear" w:color="auto" w:fill="auto"/>
            <w:noWrap/>
          </w:tcPr>
          <w:p w14:paraId="39F17057"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Код расчета вида использования</w:t>
            </w:r>
          </w:p>
        </w:tc>
        <w:tc>
          <w:tcPr>
            <w:tcW w:w="3821" w:type="dxa"/>
            <w:shd w:val="clear" w:color="auto" w:fill="auto"/>
            <w:noWrap/>
          </w:tcPr>
          <w:p w14:paraId="7E6F9923"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Количество ЗУ</w:t>
            </w:r>
          </w:p>
        </w:tc>
      </w:tr>
      <w:tr w:rsidR="00E16C06" w:rsidRPr="00E16C06" w14:paraId="43B79722" w14:textId="77777777" w:rsidTr="00E16C06">
        <w:trPr>
          <w:trHeight w:val="255"/>
          <w:jc w:val="center"/>
        </w:trPr>
        <w:tc>
          <w:tcPr>
            <w:tcW w:w="2359" w:type="dxa"/>
            <w:vMerge w:val="restart"/>
            <w:shd w:val="clear" w:color="auto" w:fill="auto"/>
          </w:tcPr>
          <w:p w14:paraId="743FEB3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p w14:paraId="532FBBF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p w14:paraId="694B50B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p w14:paraId="09656A9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p w14:paraId="12B69CA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eastAsia="Times New Roman" w:hAnsi="Times New Roman" w:cs="Times New Roman"/>
                <w:spacing w:val="-5"/>
                <w:sz w:val="22"/>
                <w:szCs w:val="22"/>
              </w:rPr>
              <w:t>13</w:t>
            </w:r>
          </w:p>
        </w:tc>
        <w:tc>
          <w:tcPr>
            <w:tcW w:w="3454" w:type="dxa"/>
            <w:tcBorders>
              <w:top w:val="single" w:sz="4" w:space="0" w:color="auto"/>
              <w:left w:val="single" w:sz="4" w:space="0" w:color="auto"/>
              <w:bottom w:val="single" w:sz="4" w:space="0" w:color="auto"/>
              <w:right w:val="single" w:sz="4" w:space="0" w:color="auto"/>
            </w:tcBorders>
            <w:shd w:val="clear" w:color="auto" w:fill="auto"/>
            <w:noWrap/>
            <w:hideMark/>
          </w:tcPr>
          <w:p w14:paraId="02A3F02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02:010</w:t>
            </w:r>
          </w:p>
        </w:tc>
        <w:tc>
          <w:tcPr>
            <w:tcW w:w="3821" w:type="dxa"/>
            <w:tcBorders>
              <w:top w:val="single" w:sz="4" w:space="0" w:color="auto"/>
              <w:left w:val="nil"/>
              <w:bottom w:val="single" w:sz="4" w:space="0" w:color="auto"/>
              <w:right w:val="single" w:sz="4" w:space="0" w:color="auto"/>
            </w:tcBorders>
            <w:shd w:val="clear" w:color="auto" w:fill="auto"/>
            <w:noWrap/>
            <w:hideMark/>
          </w:tcPr>
          <w:p w14:paraId="664016C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226491</w:t>
            </w:r>
          </w:p>
        </w:tc>
      </w:tr>
      <w:tr w:rsidR="00E16C06" w:rsidRPr="00E16C06" w14:paraId="45F4ECC9" w14:textId="77777777" w:rsidTr="00E16C06">
        <w:trPr>
          <w:trHeight w:val="255"/>
          <w:jc w:val="center"/>
        </w:trPr>
        <w:tc>
          <w:tcPr>
            <w:tcW w:w="2359" w:type="dxa"/>
            <w:vMerge/>
            <w:shd w:val="clear" w:color="auto" w:fill="auto"/>
          </w:tcPr>
          <w:p w14:paraId="752DC9F7"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454" w:type="dxa"/>
            <w:tcBorders>
              <w:top w:val="nil"/>
              <w:left w:val="single" w:sz="4" w:space="0" w:color="auto"/>
              <w:bottom w:val="single" w:sz="4" w:space="0" w:color="auto"/>
              <w:right w:val="single" w:sz="4" w:space="0" w:color="auto"/>
            </w:tcBorders>
            <w:shd w:val="clear" w:color="auto" w:fill="auto"/>
            <w:noWrap/>
            <w:hideMark/>
          </w:tcPr>
          <w:p w14:paraId="78AA080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02:011</w:t>
            </w:r>
          </w:p>
        </w:tc>
        <w:tc>
          <w:tcPr>
            <w:tcW w:w="3821" w:type="dxa"/>
            <w:tcBorders>
              <w:top w:val="nil"/>
              <w:left w:val="nil"/>
              <w:bottom w:val="single" w:sz="4" w:space="0" w:color="auto"/>
              <w:right w:val="single" w:sz="4" w:space="0" w:color="auto"/>
            </w:tcBorders>
            <w:shd w:val="clear" w:color="auto" w:fill="auto"/>
            <w:noWrap/>
            <w:hideMark/>
          </w:tcPr>
          <w:p w14:paraId="2E030C20"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105</w:t>
            </w:r>
          </w:p>
        </w:tc>
      </w:tr>
      <w:tr w:rsidR="00E16C06" w:rsidRPr="00E16C06" w14:paraId="3DE93002" w14:textId="77777777" w:rsidTr="00E16C06">
        <w:trPr>
          <w:trHeight w:val="255"/>
          <w:jc w:val="center"/>
        </w:trPr>
        <w:tc>
          <w:tcPr>
            <w:tcW w:w="2359" w:type="dxa"/>
            <w:vMerge/>
            <w:shd w:val="clear" w:color="auto" w:fill="auto"/>
          </w:tcPr>
          <w:p w14:paraId="602CA798"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454" w:type="dxa"/>
            <w:tcBorders>
              <w:top w:val="nil"/>
              <w:left w:val="single" w:sz="4" w:space="0" w:color="auto"/>
              <w:bottom w:val="single" w:sz="4" w:space="0" w:color="auto"/>
              <w:right w:val="single" w:sz="4" w:space="0" w:color="auto"/>
            </w:tcBorders>
            <w:shd w:val="clear" w:color="auto" w:fill="auto"/>
            <w:noWrap/>
            <w:hideMark/>
          </w:tcPr>
          <w:p w14:paraId="2C26647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02:013</w:t>
            </w:r>
          </w:p>
        </w:tc>
        <w:tc>
          <w:tcPr>
            <w:tcW w:w="3821" w:type="dxa"/>
            <w:tcBorders>
              <w:top w:val="nil"/>
              <w:left w:val="nil"/>
              <w:bottom w:val="single" w:sz="4" w:space="0" w:color="auto"/>
              <w:right w:val="single" w:sz="4" w:space="0" w:color="auto"/>
            </w:tcBorders>
            <w:shd w:val="clear" w:color="auto" w:fill="auto"/>
            <w:noWrap/>
            <w:hideMark/>
          </w:tcPr>
          <w:p w14:paraId="57E9C2F6"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6720</w:t>
            </w:r>
          </w:p>
        </w:tc>
      </w:tr>
      <w:tr w:rsidR="00E16C06" w:rsidRPr="00E16C06" w14:paraId="4D945810" w14:textId="77777777" w:rsidTr="00E16C06">
        <w:trPr>
          <w:trHeight w:val="255"/>
          <w:jc w:val="center"/>
        </w:trPr>
        <w:tc>
          <w:tcPr>
            <w:tcW w:w="2359" w:type="dxa"/>
            <w:vMerge/>
            <w:shd w:val="clear" w:color="auto" w:fill="auto"/>
          </w:tcPr>
          <w:p w14:paraId="35E391F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454" w:type="dxa"/>
            <w:tcBorders>
              <w:top w:val="nil"/>
              <w:left w:val="single" w:sz="4" w:space="0" w:color="auto"/>
              <w:bottom w:val="single" w:sz="4" w:space="0" w:color="auto"/>
              <w:right w:val="single" w:sz="4" w:space="0" w:color="auto"/>
            </w:tcBorders>
            <w:shd w:val="clear" w:color="auto" w:fill="auto"/>
            <w:noWrap/>
            <w:hideMark/>
          </w:tcPr>
          <w:p w14:paraId="7664B23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02:014</w:t>
            </w:r>
          </w:p>
        </w:tc>
        <w:tc>
          <w:tcPr>
            <w:tcW w:w="3821" w:type="dxa"/>
            <w:tcBorders>
              <w:top w:val="nil"/>
              <w:left w:val="nil"/>
              <w:bottom w:val="single" w:sz="4" w:space="0" w:color="auto"/>
              <w:right w:val="single" w:sz="4" w:space="0" w:color="auto"/>
            </w:tcBorders>
            <w:shd w:val="clear" w:color="auto" w:fill="auto"/>
            <w:noWrap/>
            <w:hideMark/>
          </w:tcPr>
          <w:p w14:paraId="1016966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23</w:t>
            </w:r>
          </w:p>
        </w:tc>
      </w:tr>
      <w:tr w:rsidR="00E16C06" w:rsidRPr="00E16C06" w14:paraId="1FD611FE" w14:textId="77777777" w:rsidTr="00E16C06">
        <w:trPr>
          <w:trHeight w:val="255"/>
          <w:jc w:val="center"/>
        </w:trPr>
        <w:tc>
          <w:tcPr>
            <w:tcW w:w="2359" w:type="dxa"/>
            <w:vMerge/>
            <w:shd w:val="clear" w:color="auto" w:fill="auto"/>
          </w:tcPr>
          <w:p w14:paraId="4F03409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454" w:type="dxa"/>
            <w:tcBorders>
              <w:top w:val="nil"/>
              <w:left w:val="single" w:sz="4" w:space="0" w:color="auto"/>
              <w:bottom w:val="single" w:sz="4" w:space="0" w:color="auto"/>
              <w:right w:val="single" w:sz="4" w:space="0" w:color="auto"/>
            </w:tcBorders>
            <w:shd w:val="clear" w:color="auto" w:fill="auto"/>
            <w:noWrap/>
            <w:hideMark/>
          </w:tcPr>
          <w:p w14:paraId="4AD0E3F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02:020</w:t>
            </w:r>
          </w:p>
        </w:tc>
        <w:tc>
          <w:tcPr>
            <w:tcW w:w="3821" w:type="dxa"/>
            <w:tcBorders>
              <w:top w:val="nil"/>
              <w:left w:val="nil"/>
              <w:bottom w:val="single" w:sz="4" w:space="0" w:color="auto"/>
              <w:right w:val="single" w:sz="4" w:space="0" w:color="auto"/>
            </w:tcBorders>
            <w:shd w:val="clear" w:color="auto" w:fill="auto"/>
            <w:noWrap/>
            <w:hideMark/>
          </w:tcPr>
          <w:p w14:paraId="4AC5C2FC"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517594</w:t>
            </w:r>
          </w:p>
        </w:tc>
      </w:tr>
      <w:tr w:rsidR="00E16C06" w:rsidRPr="00E16C06" w14:paraId="4A2C88D3" w14:textId="77777777" w:rsidTr="00E16C06">
        <w:trPr>
          <w:trHeight w:val="255"/>
          <w:jc w:val="center"/>
        </w:trPr>
        <w:tc>
          <w:tcPr>
            <w:tcW w:w="2359" w:type="dxa"/>
            <w:vMerge/>
            <w:shd w:val="clear" w:color="auto" w:fill="auto"/>
          </w:tcPr>
          <w:p w14:paraId="727D0BF2"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454" w:type="dxa"/>
            <w:tcBorders>
              <w:top w:val="nil"/>
              <w:left w:val="single" w:sz="4" w:space="0" w:color="auto"/>
              <w:bottom w:val="single" w:sz="4" w:space="0" w:color="auto"/>
              <w:right w:val="single" w:sz="4" w:space="0" w:color="auto"/>
            </w:tcBorders>
            <w:shd w:val="clear" w:color="auto" w:fill="auto"/>
            <w:noWrap/>
            <w:hideMark/>
          </w:tcPr>
          <w:p w14:paraId="4240387A"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02:021</w:t>
            </w:r>
          </w:p>
        </w:tc>
        <w:tc>
          <w:tcPr>
            <w:tcW w:w="3821" w:type="dxa"/>
            <w:tcBorders>
              <w:top w:val="nil"/>
              <w:left w:val="nil"/>
              <w:bottom w:val="single" w:sz="4" w:space="0" w:color="auto"/>
              <w:right w:val="single" w:sz="4" w:space="0" w:color="auto"/>
            </w:tcBorders>
            <w:shd w:val="clear" w:color="auto" w:fill="auto"/>
            <w:noWrap/>
            <w:hideMark/>
          </w:tcPr>
          <w:p w14:paraId="34C37A03"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3204</w:t>
            </w:r>
          </w:p>
        </w:tc>
      </w:tr>
      <w:tr w:rsidR="00E16C06" w:rsidRPr="00E16C06" w14:paraId="241BA327" w14:textId="77777777" w:rsidTr="00E16C06">
        <w:trPr>
          <w:trHeight w:val="255"/>
          <w:jc w:val="center"/>
        </w:trPr>
        <w:tc>
          <w:tcPr>
            <w:tcW w:w="2359" w:type="dxa"/>
            <w:vMerge/>
            <w:shd w:val="clear" w:color="auto" w:fill="auto"/>
          </w:tcPr>
          <w:p w14:paraId="2989E84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454" w:type="dxa"/>
            <w:tcBorders>
              <w:top w:val="nil"/>
              <w:left w:val="single" w:sz="4" w:space="0" w:color="auto"/>
              <w:bottom w:val="single" w:sz="4" w:space="0" w:color="auto"/>
              <w:right w:val="single" w:sz="4" w:space="0" w:color="auto"/>
            </w:tcBorders>
            <w:shd w:val="clear" w:color="auto" w:fill="auto"/>
            <w:noWrap/>
            <w:hideMark/>
          </w:tcPr>
          <w:p w14:paraId="2AA105FF"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02:030</w:t>
            </w:r>
          </w:p>
        </w:tc>
        <w:tc>
          <w:tcPr>
            <w:tcW w:w="3821" w:type="dxa"/>
            <w:tcBorders>
              <w:top w:val="nil"/>
              <w:left w:val="nil"/>
              <w:bottom w:val="single" w:sz="4" w:space="0" w:color="auto"/>
              <w:right w:val="single" w:sz="4" w:space="0" w:color="auto"/>
            </w:tcBorders>
            <w:shd w:val="clear" w:color="auto" w:fill="auto"/>
            <w:noWrap/>
            <w:hideMark/>
          </w:tcPr>
          <w:p w14:paraId="7E6FDA6E"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2134</w:t>
            </w:r>
          </w:p>
        </w:tc>
      </w:tr>
      <w:tr w:rsidR="00E16C06" w:rsidRPr="00E16C06" w14:paraId="39E4B9BF" w14:textId="77777777" w:rsidTr="00E16C06">
        <w:trPr>
          <w:trHeight w:val="255"/>
          <w:jc w:val="center"/>
        </w:trPr>
        <w:tc>
          <w:tcPr>
            <w:tcW w:w="2359" w:type="dxa"/>
            <w:vMerge/>
            <w:shd w:val="clear" w:color="auto" w:fill="auto"/>
          </w:tcPr>
          <w:p w14:paraId="534EC5F1"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454" w:type="dxa"/>
            <w:tcBorders>
              <w:top w:val="nil"/>
              <w:left w:val="single" w:sz="4" w:space="0" w:color="auto"/>
              <w:bottom w:val="single" w:sz="4" w:space="0" w:color="auto"/>
              <w:right w:val="single" w:sz="4" w:space="0" w:color="auto"/>
            </w:tcBorders>
            <w:shd w:val="clear" w:color="auto" w:fill="auto"/>
            <w:noWrap/>
            <w:hideMark/>
          </w:tcPr>
          <w:p w14:paraId="100C7FE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13:011</w:t>
            </w:r>
          </w:p>
        </w:tc>
        <w:tc>
          <w:tcPr>
            <w:tcW w:w="3821" w:type="dxa"/>
            <w:tcBorders>
              <w:top w:val="nil"/>
              <w:left w:val="nil"/>
              <w:bottom w:val="single" w:sz="4" w:space="0" w:color="auto"/>
              <w:right w:val="single" w:sz="4" w:space="0" w:color="auto"/>
            </w:tcBorders>
            <w:shd w:val="clear" w:color="auto" w:fill="auto"/>
            <w:noWrap/>
            <w:hideMark/>
          </w:tcPr>
          <w:p w14:paraId="4A94649D"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10441</w:t>
            </w:r>
          </w:p>
        </w:tc>
      </w:tr>
      <w:tr w:rsidR="00E16C06" w:rsidRPr="00E16C06" w14:paraId="23A8C8A2" w14:textId="77777777" w:rsidTr="00E16C06">
        <w:trPr>
          <w:trHeight w:val="255"/>
          <w:jc w:val="center"/>
        </w:trPr>
        <w:tc>
          <w:tcPr>
            <w:tcW w:w="2359" w:type="dxa"/>
            <w:vMerge/>
            <w:shd w:val="clear" w:color="auto" w:fill="auto"/>
          </w:tcPr>
          <w:p w14:paraId="16B69EA5"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p>
        </w:tc>
        <w:tc>
          <w:tcPr>
            <w:tcW w:w="3454" w:type="dxa"/>
            <w:tcBorders>
              <w:top w:val="nil"/>
              <w:left w:val="single" w:sz="4" w:space="0" w:color="auto"/>
              <w:bottom w:val="single" w:sz="4" w:space="0" w:color="auto"/>
              <w:right w:val="single" w:sz="4" w:space="0" w:color="auto"/>
            </w:tcBorders>
            <w:shd w:val="clear" w:color="auto" w:fill="auto"/>
            <w:noWrap/>
            <w:hideMark/>
          </w:tcPr>
          <w:p w14:paraId="76F0D3A4"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13:021</w:t>
            </w:r>
          </w:p>
        </w:tc>
        <w:tc>
          <w:tcPr>
            <w:tcW w:w="3821" w:type="dxa"/>
            <w:tcBorders>
              <w:top w:val="nil"/>
              <w:left w:val="nil"/>
              <w:bottom w:val="single" w:sz="4" w:space="0" w:color="auto"/>
              <w:right w:val="single" w:sz="4" w:space="0" w:color="auto"/>
            </w:tcBorders>
            <w:shd w:val="clear" w:color="auto" w:fill="auto"/>
            <w:noWrap/>
            <w:hideMark/>
          </w:tcPr>
          <w:p w14:paraId="0FF42129" w14:textId="77777777" w:rsidR="00E16C06" w:rsidRPr="00E16C06" w:rsidRDefault="00E16C06" w:rsidP="00E16C06">
            <w:pPr>
              <w:spacing w:line="276" w:lineRule="auto"/>
              <w:contextualSpacing/>
              <w:jc w:val="center"/>
              <w:rPr>
                <w:rFonts w:ascii="Times New Roman" w:eastAsia="Times New Roman" w:hAnsi="Times New Roman" w:cs="Times New Roman"/>
                <w:spacing w:val="-5"/>
                <w:sz w:val="22"/>
                <w:szCs w:val="22"/>
              </w:rPr>
            </w:pPr>
            <w:r w:rsidRPr="00E16C06">
              <w:rPr>
                <w:rFonts w:ascii="Times New Roman" w:hAnsi="Times New Roman" w:cs="Times New Roman"/>
                <w:sz w:val="22"/>
                <w:szCs w:val="22"/>
              </w:rPr>
              <w:t>188909</w:t>
            </w:r>
          </w:p>
        </w:tc>
      </w:tr>
      <w:tr w:rsidR="00E16C06" w:rsidRPr="00E16C06" w14:paraId="0794B588" w14:textId="77777777" w:rsidTr="00E16C06">
        <w:trPr>
          <w:trHeight w:val="255"/>
          <w:jc w:val="center"/>
        </w:trPr>
        <w:tc>
          <w:tcPr>
            <w:tcW w:w="2359" w:type="dxa"/>
            <w:shd w:val="clear" w:color="auto" w:fill="auto"/>
          </w:tcPr>
          <w:p w14:paraId="1D25C52C"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Итог</w:t>
            </w:r>
          </w:p>
        </w:tc>
        <w:tc>
          <w:tcPr>
            <w:tcW w:w="3454" w:type="dxa"/>
            <w:shd w:val="clear" w:color="auto" w:fill="auto"/>
            <w:noWrap/>
          </w:tcPr>
          <w:p w14:paraId="4D09E60D"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p>
        </w:tc>
        <w:tc>
          <w:tcPr>
            <w:tcW w:w="3821" w:type="dxa"/>
            <w:shd w:val="clear" w:color="auto" w:fill="auto"/>
            <w:noWrap/>
          </w:tcPr>
          <w:p w14:paraId="0FCB5BFD" w14:textId="77777777" w:rsidR="00E16C06" w:rsidRPr="00E16C06" w:rsidRDefault="00E16C06" w:rsidP="00E16C06">
            <w:pPr>
              <w:spacing w:line="276" w:lineRule="auto"/>
              <w:contextualSpacing/>
              <w:jc w:val="center"/>
              <w:rPr>
                <w:rFonts w:ascii="Times New Roman" w:eastAsia="Times New Roman" w:hAnsi="Times New Roman" w:cs="Times New Roman"/>
                <w:b/>
                <w:spacing w:val="-5"/>
                <w:sz w:val="22"/>
                <w:szCs w:val="22"/>
              </w:rPr>
            </w:pPr>
            <w:r w:rsidRPr="00E16C06">
              <w:rPr>
                <w:rFonts w:ascii="Times New Roman" w:eastAsia="Times New Roman" w:hAnsi="Times New Roman" w:cs="Times New Roman"/>
                <w:b/>
                <w:spacing w:val="-5"/>
                <w:sz w:val="22"/>
                <w:szCs w:val="22"/>
              </w:rPr>
              <w:t>955 621</w:t>
            </w:r>
          </w:p>
        </w:tc>
      </w:tr>
    </w:tbl>
    <w:p w14:paraId="6F04D3DB" w14:textId="77777777" w:rsidR="00E16C06" w:rsidRPr="00E16C06" w:rsidRDefault="00E16C06" w:rsidP="00E16C06">
      <w:pPr>
        <w:rPr>
          <w:rFonts w:ascii="Times New Roman" w:eastAsia="Times New Roman" w:hAnsi="Times New Roman" w:cs="Times New Roman"/>
          <w:sz w:val="26"/>
          <w:szCs w:val="26"/>
        </w:rPr>
      </w:pPr>
    </w:p>
    <w:p w14:paraId="27407444" w14:textId="77777777" w:rsidR="00E16C06" w:rsidRPr="00E16C06" w:rsidRDefault="00E16C06" w:rsidP="00E16C06">
      <w:pPr>
        <w:rPr>
          <w:rFonts w:ascii="Times New Roman" w:eastAsia="Times New Roman" w:hAnsi="Times New Roman" w:cs="Times New Roman"/>
          <w:sz w:val="26"/>
          <w:szCs w:val="26"/>
        </w:rPr>
      </w:pPr>
      <w:r w:rsidRPr="00E16C06">
        <w:rPr>
          <w:rFonts w:ascii="Times New Roman" w:hAnsi="Times New Roman" w:cs="Times New Roman"/>
          <w:noProof/>
          <w:lang w:eastAsia="ru-RU"/>
        </w:rPr>
        <w:drawing>
          <wp:inline distT="0" distB="0" distL="0" distR="0" wp14:anchorId="03EB9EDB" wp14:editId="0139F83A">
            <wp:extent cx="5940425" cy="3169920"/>
            <wp:effectExtent l="0" t="0" r="3175" b="11430"/>
            <wp:docPr id="627" name="Диаграмма 6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6EB92A58" w14:textId="77777777" w:rsidR="00E16C06" w:rsidRPr="00E16C06" w:rsidRDefault="00E16C06" w:rsidP="00E16C06">
      <w:pPr>
        <w:spacing w:after="0" w:line="276" w:lineRule="auto"/>
        <w:ind w:firstLine="709"/>
        <w:contextualSpacing/>
        <w:jc w:val="center"/>
        <w:rPr>
          <w:rFonts w:ascii="Times New Roman" w:hAnsi="Times New Roman" w:cs="Times New Roman"/>
          <w:sz w:val="26"/>
          <w:szCs w:val="26"/>
        </w:rPr>
      </w:pPr>
      <w:r w:rsidRPr="00E16C06">
        <w:rPr>
          <w:rFonts w:ascii="Times New Roman" w:eastAsia="Times New Roman" w:hAnsi="Times New Roman" w:cs="Times New Roman"/>
          <w:color w:val="000000"/>
          <w:sz w:val="26"/>
          <w:szCs w:val="26"/>
          <w:lang w:eastAsia="ru-RU"/>
        </w:rPr>
        <w:t xml:space="preserve">Рис. </w:t>
      </w:r>
      <w:r w:rsidRPr="00E16C06">
        <w:rPr>
          <w:rFonts w:ascii="Times New Roman" w:eastAsia="Times New Roman" w:hAnsi="Times New Roman" w:cs="Times New Roman"/>
          <w:spacing w:val="-5"/>
          <w:sz w:val="26"/>
          <w:szCs w:val="26"/>
        </w:rPr>
        <w:t>3.3.2.28</w:t>
      </w:r>
      <w:r w:rsidRPr="00E16C06">
        <w:rPr>
          <w:rFonts w:ascii="Times New Roman" w:eastAsia="Times New Roman" w:hAnsi="Times New Roman" w:cs="Times New Roman"/>
          <w:color w:val="000000"/>
          <w:sz w:val="26"/>
          <w:szCs w:val="26"/>
          <w:lang w:eastAsia="ru-RU"/>
        </w:rPr>
        <w:t xml:space="preserve"> </w:t>
      </w:r>
      <w:r w:rsidRPr="00E16C06">
        <w:rPr>
          <w:rFonts w:ascii="Times New Roman" w:eastAsia="Times New Roman" w:hAnsi="Times New Roman" w:cs="Times New Roman"/>
          <w:spacing w:val="-5"/>
          <w:sz w:val="26"/>
          <w:szCs w:val="26"/>
        </w:rPr>
        <w:t xml:space="preserve">– </w:t>
      </w:r>
      <w:r w:rsidRPr="00E16C06">
        <w:rPr>
          <w:rFonts w:ascii="Times New Roman" w:hAnsi="Times New Roman" w:cs="Times New Roman"/>
          <w:sz w:val="26"/>
          <w:szCs w:val="26"/>
        </w:rPr>
        <w:t>Распределение объектов оценки по кодам расчета вида использования в составе 13 сегмента</w:t>
      </w:r>
    </w:p>
    <w:p w14:paraId="16DB469D" w14:textId="77777777" w:rsidR="002F2198" w:rsidRDefault="002F2198">
      <w:pPr>
        <w:rPr>
          <w:rFonts w:ascii="Times New Roman" w:eastAsiaTheme="majorEastAsia" w:hAnsi="Times New Roman" w:cs="Times New Roman"/>
          <w:b/>
          <w:sz w:val="26"/>
          <w:szCs w:val="26"/>
        </w:rPr>
      </w:pPr>
      <w:r>
        <w:rPr>
          <w:rFonts w:cs="Times New Roman"/>
          <w:sz w:val="26"/>
        </w:rPr>
        <w:br w:type="page"/>
      </w:r>
    </w:p>
    <w:p w14:paraId="199CC1C1" w14:textId="17578ACF" w:rsidR="005E4CEB" w:rsidRPr="00E7660E" w:rsidRDefault="00F41441" w:rsidP="006F6435">
      <w:pPr>
        <w:pStyle w:val="20"/>
        <w:spacing w:line="276" w:lineRule="auto"/>
        <w:ind w:left="360"/>
        <w:contextualSpacing/>
        <w:rPr>
          <w:rFonts w:cs="Times New Roman"/>
          <w:sz w:val="26"/>
        </w:rPr>
      </w:pPr>
      <w:bookmarkStart w:id="124" w:name="_Toc110506956"/>
      <w:r w:rsidRPr="00E7660E">
        <w:rPr>
          <w:rFonts w:cs="Times New Roman"/>
          <w:sz w:val="26"/>
        </w:rPr>
        <w:t xml:space="preserve">3.4. </w:t>
      </w:r>
      <w:r w:rsidR="00DE7D27">
        <w:rPr>
          <w:rFonts w:cs="Times New Roman"/>
          <w:sz w:val="26"/>
        </w:rPr>
        <w:t>Информация об определении</w:t>
      </w:r>
      <w:r w:rsidR="0075332E">
        <w:rPr>
          <w:rFonts w:cs="Times New Roman"/>
          <w:sz w:val="26"/>
        </w:rPr>
        <w:t xml:space="preserve"> </w:t>
      </w:r>
      <w:r w:rsidR="005C45FE">
        <w:rPr>
          <w:rFonts w:cs="Times New Roman"/>
          <w:sz w:val="26"/>
        </w:rPr>
        <w:t xml:space="preserve">перечня </w:t>
      </w:r>
      <w:r w:rsidR="0075332E" w:rsidRPr="00E7660E">
        <w:rPr>
          <w:rFonts w:cs="Times New Roman"/>
          <w:sz w:val="26"/>
        </w:rPr>
        <w:t>ценообразующих факторов</w:t>
      </w:r>
      <w:r w:rsidR="00BB6ADE">
        <w:rPr>
          <w:rFonts w:cs="Times New Roman"/>
          <w:sz w:val="26"/>
        </w:rPr>
        <w:t xml:space="preserve"> объектов недвижимости и</w:t>
      </w:r>
      <w:r w:rsidR="003650D2" w:rsidRPr="00E7660E">
        <w:rPr>
          <w:rFonts w:cs="Times New Roman"/>
          <w:sz w:val="26"/>
        </w:rPr>
        <w:t xml:space="preserve"> источник</w:t>
      </w:r>
      <w:r w:rsidR="0075332E">
        <w:rPr>
          <w:rFonts w:cs="Times New Roman"/>
          <w:sz w:val="26"/>
        </w:rPr>
        <w:t>ах</w:t>
      </w:r>
      <w:r w:rsidR="003650D2" w:rsidRPr="00E7660E">
        <w:rPr>
          <w:rFonts w:cs="Times New Roman"/>
          <w:sz w:val="26"/>
        </w:rPr>
        <w:t xml:space="preserve"> сведений о</w:t>
      </w:r>
      <w:r w:rsidR="0075332E">
        <w:rPr>
          <w:rFonts w:cs="Times New Roman"/>
          <w:sz w:val="26"/>
        </w:rPr>
        <w:t xml:space="preserve"> них, обоснование отказа от использования </w:t>
      </w:r>
      <w:r w:rsidR="003650D2" w:rsidRPr="00E7660E">
        <w:rPr>
          <w:rFonts w:cs="Times New Roman"/>
          <w:sz w:val="26"/>
        </w:rPr>
        <w:t>ценообразующих</w:t>
      </w:r>
      <w:r w:rsidR="005E4CEB" w:rsidRPr="00E7660E">
        <w:rPr>
          <w:rFonts w:cs="Times New Roman"/>
          <w:sz w:val="26"/>
        </w:rPr>
        <w:t xml:space="preserve"> факторов, предусмотренных </w:t>
      </w:r>
      <w:r w:rsidR="00BB6ADE">
        <w:rPr>
          <w:rFonts w:cs="Times New Roman"/>
          <w:sz w:val="26"/>
        </w:rPr>
        <w:t>М</w:t>
      </w:r>
      <w:r w:rsidR="005E4CEB" w:rsidRPr="00E7660E">
        <w:rPr>
          <w:rFonts w:cs="Times New Roman"/>
          <w:sz w:val="26"/>
        </w:rPr>
        <w:t>етодическими указаниями</w:t>
      </w:r>
      <w:bookmarkEnd w:id="63"/>
      <w:bookmarkEnd w:id="64"/>
      <w:r w:rsidR="0057462B">
        <w:rPr>
          <w:rFonts w:cs="Times New Roman"/>
          <w:sz w:val="26"/>
        </w:rPr>
        <w:t>.</w:t>
      </w:r>
      <w:bookmarkEnd w:id="124"/>
    </w:p>
    <w:p w14:paraId="24B2F67A" w14:textId="77777777" w:rsidR="00BE1FC5" w:rsidRPr="00E7660E" w:rsidRDefault="00BE1FC5" w:rsidP="00BE1FC5">
      <w:pPr>
        <w:spacing w:line="300" w:lineRule="auto"/>
        <w:ind w:firstLine="709"/>
        <w:jc w:val="both"/>
        <w:rPr>
          <w:rFonts w:ascii="Times New Roman" w:hAnsi="Times New Roman" w:cs="Times New Roman"/>
          <w:sz w:val="16"/>
          <w:szCs w:val="16"/>
        </w:rPr>
      </w:pPr>
    </w:p>
    <w:p w14:paraId="6F7FC05E" w14:textId="77777777" w:rsidR="00DB2FC4" w:rsidRDefault="00DB2FC4" w:rsidP="00DB2FC4">
      <w:pPr>
        <w:spacing w:after="0" w:line="276"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Информация об определении ценообразующих факторов и источниках сведений о них, обоснование отказа от использования ценообразующих факторов, предусмотренных Указаниями</w:t>
      </w:r>
    </w:p>
    <w:p w14:paraId="1303B709" w14:textId="77777777" w:rsidR="00DB2FC4" w:rsidRDefault="00DB2FC4" w:rsidP="00DB2FC4">
      <w:pPr>
        <w:spacing w:after="0" w:line="276"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соответствии с частью 2 статьи 12 Федерального закона №237-ФЗ сбор и обработка информации, необходимой для определения кадастровой стоимости, осуществляются бюджетным учреждением в соответствии с методическими указаниями о государственной кадастровой оценке. </w:t>
      </w:r>
    </w:p>
    <w:p w14:paraId="10918281" w14:textId="77777777" w:rsidR="00DB2FC4" w:rsidRDefault="00DB2FC4" w:rsidP="00DB2FC4">
      <w:pPr>
        <w:spacing w:after="0" w:line="276"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условиях рыночной экономики на формирование цен влияют факторы, получившие название ценообразующих. Под ценообразующими факторами понимаются качественные или количественные характеристики, влияющие на стоимость объекта недвижимости.</w:t>
      </w:r>
    </w:p>
    <w:p w14:paraId="3948451D" w14:textId="77777777" w:rsidR="00DB2FC4" w:rsidRPr="00F562A8" w:rsidRDefault="00DB2FC4" w:rsidP="00DB2FC4">
      <w:pPr>
        <w:spacing w:after="0"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 xml:space="preserve">В соответствии с п. </w:t>
      </w:r>
      <w:r>
        <w:rPr>
          <w:rFonts w:ascii="Times New Roman" w:hAnsi="Times New Roman" w:cs="Times New Roman"/>
          <w:sz w:val="26"/>
          <w:szCs w:val="26"/>
        </w:rPr>
        <w:t>26</w:t>
      </w:r>
      <w:r w:rsidRPr="00F562A8">
        <w:rPr>
          <w:rFonts w:ascii="Times New Roman" w:hAnsi="Times New Roman" w:cs="Times New Roman"/>
          <w:sz w:val="26"/>
          <w:szCs w:val="26"/>
        </w:rPr>
        <w:t xml:space="preserve">.3 МУ </w:t>
      </w:r>
      <w:r>
        <w:rPr>
          <w:rFonts w:ascii="Times New Roman" w:hAnsi="Times New Roman" w:cs="Times New Roman"/>
          <w:sz w:val="26"/>
          <w:szCs w:val="26"/>
        </w:rPr>
        <w:t>в</w:t>
      </w:r>
      <w:r w:rsidRPr="00F562A8">
        <w:rPr>
          <w:rFonts w:ascii="Times New Roman" w:hAnsi="Times New Roman" w:cs="Times New Roman"/>
          <w:sz w:val="26"/>
          <w:szCs w:val="26"/>
        </w:rPr>
        <w:t xml:space="preserve">се ценообразующие факторы </w:t>
      </w:r>
      <w:r>
        <w:rPr>
          <w:rFonts w:ascii="Times New Roman" w:hAnsi="Times New Roman" w:cs="Times New Roman"/>
          <w:sz w:val="26"/>
          <w:szCs w:val="26"/>
        </w:rPr>
        <w:t>раз</w:t>
      </w:r>
      <w:r w:rsidRPr="00F562A8">
        <w:rPr>
          <w:rFonts w:ascii="Times New Roman" w:hAnsi="Times New Roman" w:cs="Times New Roman"/>
          <w:sz w:val="26"/>
          <w:szCs w:val="26"/>
        </w:rPr>
        <w:t>деля</w:t>
      </w:r>
      <w:r>
        <w:rPr>
          <w:rFonts w:ascii="Times New Roman" w:hAnsi="Times New Roman" w:cs="Times New Roman"/>
          <w:sz w:val="26"/>
          <w:szCs w:val="26"/>
        </w:rPr>
        <w:t>ю</w:t>
      </w:r>
      <w:r w:rsidRPr="00F562A8">
        <w:rPr>
          <w:rFonts w:ascii="Times New Roman" w:hAnsi="Times New Roman" w:cs="Times New Roman"/>
          <w:sz w:val="26"/>
          <w:szCs w:val="26"/>
        </w:rPr>
        <w:t>тся на три типа:</w:t>
      </w:r>
    </w:p>
    <w:p w14:paraId="2490307F" w14:textId="77777777" w:rsidR="00DB2FC4" w:rsidRPr="00F562A8" w:rsidRDefault="00DB2FC4" w:rsidP="00DB2FC4">
      <w:pPr>
        <w:spacing w:line="300"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факторы, характеризующие внешнюю среду объектов недвижимости;</w:t>
      </w:r>
    </w:p>
    <w:p w14:paraId="4AA12C23" w14:textId="77777777" w:rsidR="00DB2FC4" w:rsidRPr="00F562A8" w:rsidRDefault="00DB2FC4" w:rsidP="00DB2FC4">
      <w:pPr>
        <w:spacing w:line="300"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факторы, характеризующие непосредственное окружение и сегмент рынка объектов недвижимости;</w:t>
      </w:r>
    </w:p>
    <w:p w14:paraId="242716CE" w14:textId="77777777" w:rsidR="00DB2FC4" w:rsidRPr="00F562A8" w:rsidRDefault="00DB2FC4" w:rsidP="00DB2FC4">
      <w:pPr>
        <w:spacing w:line="300"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факторы, характеризующие объект недвижимости.</w:t>
      </w:r>
    </w:p>
    <w:p w14:paraId="0AA29962" w14:textId="77777777" w:rsidR="00DB2FC4" w:rsidRPr="00F562A8" w:rsidRDefault="00DB2FC4" w:rsidP="00DB2FC4">
      <w:pPr>
        <w:spacing w:line="300" w:lineRule="auto"/>
        <w:ind w:firstLine="709"/>
        <w:jc w:val="both"/>
        <w:rPr>
          <w:rFonts w:ascii="Times New Roman" w:hAnsi="Times New Roman" w:cs="Times New Roman"/>
          <w:i/>
          <w:sz w:val="26"/>
          <w:szCs w:val="26"/>
        </w:rPr>
      </w:pPr>
      <w:r w:rsidRPr="00F562A8">
        <w:rPr>
          <w:rFonts w:ascii="Times New Roman" w:hAnsi="Times New Roman" w:cs="Times New Roman"/>
          <w:i/>
          <w:sz w:val="26"/>
          <w:szCs w:val="26"/>
        </w:rPr>
        <w:t>Источники сведений о значениях ценообразующих факторов</w:t>
      </w:r>
    </w:p>
    <w:p w14:paraId="1AE2EF17" w14:textId="77777777" w:rsidR="00DB2FC4" w:rsidRPr="00F562A8" w:rsidRDefault="00DB2FC4" w:rsidP="00DB2FC4">
      <w:pPr>
        <w:ind w:firstLine="709"/>
        <w:jc w:val="both"/>
        <w:rPr>
          <w:rFonts w:ascii="Times New Roman" w:hAnsi="Times New Roman" w:cs="Times New Roman"/>
          <w:bCs/>
          <w:sz w:val="26"/>
          <w:szCs w:val="26"/>
        </w:rPr>
      </w:pPr>
      <w:r w:rsidRPr="00F562A8">
        <w:rPr>
          <w:rFonts w:ascii="Times New Roman" w:hAnsi="Times New Roman" w:cs="Times New Roman"/>
          <w:bCs/>
          <w:sz w:val="26"/>
          <w:szCs w:val="26"/>
        </w:rPr>
        <w:t>Основным источником значений ценообразующих факторов является рынок недвижимости. Именно на нем проявляются те параметры, которые «замечают» продавцы и покупатели объектов недвижимости в силу влияния этих параметров на стоимость недвижимости.</w:t>
      </w:r>
    </w:p>
    <w:p w14:paraId="0EFAF876" w14:textId="77777777" w:rsidR="00DB2FC4" w:rsidRPr="00F562A8" w:rsidRDefault="00DB2FC4" w:rsidP="00DB2FC4">
      <w:pPr>
        <w:ind w:firstLine="709"/>
        <w:jc w:val="both"/>
        <w:rPr>
          <w:rFonts w:ascii="Times New Roman" w:hAnsi="Times New Roman" w:cs="Times New Roman"/>
          <w:bCs/>
          <w:sz w:val="26"/>
          <w:szCs w:val="26"/>
        </w:rPr>
      </w:pPr>
      <w:r w:rsidRPr="00F562A8">
        <w:rPr>
          <w:rFonts w:ascii="Times New Roman" w:hAnsi="Times New Roman" w:cs="Times New Roman"/>
          <w:bCs/>
          <w:sz w:val="26"/>
          <w:szCs w:val="26"/>
        </w:rPr>
        <w:t xml:space="preserve">Перечень факторов, учитываемых в процедуре оценки кадастровой стоимости, зависит от возможности формализации значений этих параметров, а также тем, что все значения факторов оценщик должен определить, как по Объектам оценки, так и по объектам-аналогам. </w:t>
      </w:r>
    </w:p>
    <w:p w14:paraId="4D1A75B2" w14:textId="77777777" w:rsidR="00DB2FC4" w:rsidRPr="00F562A8" w:rsidRDefault="00DB2FC4" w:rsidP="00DB2FC4">
      <w:pPr>
        <w:pStyle w:val="a7"/>
        <w:tabs>
          <w:tab w:val="clear" w:pos="4677"/>
          <w:tab w:val="clear" w:pos="9355"/>
        </w:tabs>
        <w:spacing w:line="300" w:lineRule="auto"/>
        <w:ind w:firstLine="709"/>
        <w:jc w:val="both"/>
        <w:rPr>
          <w:rFonts w:ascii="Times New Roman" w:hAnsi="Times New Roman" w:cs="Times New Roman"/>
          <w:bCs/>
          <w:sz w:val="26"/>
          <w:szCs w:val="26"/>
        </w:rPr>
      </w:pPr>
      <w:r w:rsidRPr="00F562A8">
        <w:rPr>
          <w:rFonts w:ascii="Times New Roman" w:hAnsi="Times New Roman" w:cs="Times New Roman"/>
          <w:bCs/>
          <w:sz w:val="26"/>
          <w:szCs w:val="26"/>
        </w:rPr>
        <w:t xml:space="preserve">В рамках подготовки к проведению государственной кадастровой оценки в соответствии с Федеральным Законом № 237-ФЗ и Методическими указаниями Учреждением были направлены запросы о предоставлении недостающей информации об объектах недвижимости, необходимой для определения кадастровой стоимости, в муниципальные органы местного самоуправления и подведомственные им организации, в частности в организации, подведомственные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ценообразования и сметного нормирования в сфере градостроительной деятельности, в сфере земельных отношений, государственного мониторинга земель, изучения, использования, воспроизводства и охраны природных ресурсов, органы исполнительной власти субъекта Российской Федерации и органы местного самоуправления, а также в подведомственные им организации. Перечень запросов </w:t>
      </w:r>
      <w:r>
        <w:rPr>
          <w:rFonts w:ascii="Times New Roman" w:hAnsi="Times New Roman" w:cs="Times New Roman"/>
          <w:bCs/>
          <w:sz w:val="26"/>
          <w:szCs w:val="26"/>
        </w:rPr>
        <w:t xml:space="preserve">и ответы на них </w:t>
      </w:r>
      <w:r w:rsidRPr="00F562A8">
        <w:rPr>
          <w:rFonts w:ascii="Times New Roman" w:hAnsi="Times New Roman" w:cs="Times New Roman"/>
          <w:bCs/>
          <w:sz w:val="26"/>
          <w:szCs w:val="26"/>
        </w:rPr>
        <w:t>представлен</w:t>
      </w:r>
      <w:r>
        <w:rPr>
          <w:rFonts w:ascii="Times New Roman" w:hAnsi="Times New Roman" w:cs="Times New Roman"/>
          <w:bCs/>
          <w:sz w:val="26"/>
          <w:szCs w:val="26"/>
        </w:rPr>
        <w:t>ы</w:t>
      </w:r>
      <w:r w:rsidRPr="00F562A8">
        <w:rPr>
          <w:rFonts w:ascii="Times New Roman" w:hAnsi="Times New Roman" w:cs="Times New Roman"/>
          <w:bCs/>
          <w:sz w:val="26"/>
          <w:szCs w:val="26"/>
        </w:rPr>
        <w:t xml:space="preserve"> в </w:t>
      </w:r>
      <w:r w:rsidRPr="00681FB3">
        <w:rPr>
          <w:rFonts w:ascii="Times New Roman" w:hAnsi="Times New Roman" w:cs="Times New Roman"/>
          <w:bCs/>
          <w:sz w:val="26"/>
          <w:szCs w:val="26"/>
        </w:rPr>
        <w:t>Приложении 1.2 и 1.5.</w:t>
      </w:r>
    </w:p>
    <w:p w14:paraId="0B221BAA" w14:textId="77777777" w:rsidR="00DB2FC4" w:rsidRPr="00F562A8" w:rsidRDefault="00DB2FC4" w:rsidP="00DB2FC4">
      <w:pPr>
        <w:pStyle w:val="a7"/>
        <w:tabs>
          <w:tab w:val="clear" w:pos="4677"/>
          <w:tab w:val="clear" w:pos="9355"/>
        </w:tabs>
        <w:spacing w:line="300" w:lineRule="auto"/>
        <w:ind w:firstLine="709"/>
        <w:jc w:val="both"/>
        <w:rPr>
          <w:rFonts w:ascii="Times New Roman" w:hAnsi="Times New Roman" w:cs="Times New Roman"/>
          <w:sz w:val="24"/>
          <w:szCs w:val="24"/>
        </w:rPr>
      </w:pPr>
      <w:r w:rsidRPr="00F562A8">
        <w:rPr>
          <w:rFonts w:ascii="Times New Roman" w:hAnsi="Times New Roman" w:cs="Times New Roman"/>
          <w:sz w:val="26"/>
          <w:szCs w:val="26"/>
        </w:rPr>
        <w:t>Графические значения ценообразующих факторов с признаком «расстояние» (например, расстояние от населенного пункта, в котором находится объект оценки, до областного центра, автодорог и т.д.) рассчитывались с использованием программы NextGIS QGIS</w:t>
      </w:r>
      <w:r w:rsidRPr="00F562A8">
        <w:rPr>
          <w:rStyle w:val="af2"/>
          <w:rFonts w:ascii="Times New Roman" w:hAnsi="Times New Roman" w:cs="Times New Roman"/>
          <w:sz w:val="24"/>
          <w:szCs w:val="24"/>
        </w:rPr>
        <w:footnoteReference w:id="126"/>
      </w:r>
    </w:p>
    <w:p w14:paraId="368BEEBF" w14:textId="77777777" w:rsidR="00DB2FC4" w:rsidRPr="00F562A8" w:rsidRDefault="00DB2FC4" w:rsidP="00DB2FC4">
      <w:pPr>
        <w:pStyle w:val="a6"/>
        <w:spacing w:line="276" w:lineRule="auto"/>
        <w:ind w:firstLine="709"/>
        <w:contextualSpacing/>
        <w:jc w:val="both"/>
        <w:rPr>
          <w:iCs/>
          <w:sz w:val="26"/>
          <w:szCs w:val="26"/>
        </w:rPr>
      </w:pPr>
      <w:r w:rsidRPr="00F562A8">
        <w:rPr>
          <w:sz w:val="26"/>
          <w:szCs w:val="26"/>
        </w:rPr>
        <w:t xml:space="preserve">Согласно проведённому анализу рынка недвижимости Воронежской области, стоимость недвижимости определяется исходя из целого ряда ценообразующих факторов. Учитываются внешние факторы, влияющие на стоимость недвижимости- экономические, социальные, политические, геофизические, а также факторы, непосредственно связанные с объектом недвижимости. </w:t>
      </w:r>
      <w:r w:rsidRPr="00F562A8">
        <w:rPr>
          <w:iCs/>
          <w:sz w:val="26"/>
          <w:szCs w:val="26"/>
        </w:rPr>
        <w:t xml:space="preserve">Существует множество ценообразующих факторов, одни из которых уменьшают или увеличивают стоимость квадратного метра незначительно, а другие имеют существенное влияние. </w:t>
      </w:r>
    </w:p>
    <w:p w14:paraId="3152F2C0" w14:textId="77777777" w:rsidR="00DB2FC4" w:rsidRPr="00F562A8" w:rsidRDefault="00DB2FC4" w:rsidP="00DB2FC4">
      <w:pPr>
        <w:autoSpaceDE w:val="0"/>
        <w:autoSpaceDN w:val="0"/>
        <w:adjustRightInd w:val="0"/>
        <w:spacing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Примерный перечень ценообразующих факторов приведен в Приложении №3 Методических указаний.</w:t>
      </w:r>
    </w:p>
    <w:p w14:paraId="56376FAA" w14:textId="77777777" w:rsidR="00DB2FC4" w:rsidRDefault="00DB2FC4" w:rsidP="00DB2FC4">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Далее приведено обоснование использования (отказа от использования) ценообразующих факторов, предусмотренных методическими Указаниями.</w:t>
      </w:r>
    </w:p>
    <w:p w14:paraId="27C3A447" w14:textId="77777777" w:rsidR="00DB2FC4" w:rsidRDefault="00DB2FC4" w:rsidP="00DB2FC4">
      <w:pPr>
        <w:widowControl w:val="0"/>
        <w:tabs>
          <w:tab w:val="right" w:pos="9072"/>
        </w:tabs>
        <w:autoSpaceDE w:val="0"/>
        <w:autoSpaceDN w:val="0"/>
        <w:adjustRightInd w:val="0"/>
        <w:spacing w:line="252" w:lineRule="auto"/>
        <w:ind w:firstLine="709"/>
        <w:jc w:val="both"/>
        <w:rPr>
          <w:rFonts w:ascii="Times New Roman" w:hAnsi="Times New Roman" w:cs="Times New Roman"/>
          <w:sz w:val="26"/>
          <w:szCs w:val="26"/>
        </w:rPr>
      </w:pPr>
    </w:p>
    <w:p w14:paraId="1781F144" w14:textId="77777777" w:rsidR="00DB2FC4" w:rsidRDefault="00DB2FC4" w:rsidP="00DB2FC4">
      <w:pPr>
        <w:widowControl w:val="0"/>
        <w:tabs>
          <w:tab w:val="right" w:pos="9072"/>
        </w:tabs>
        <w:autoSpaceDE w:val="0"/>
        <w:autoSpaceDN w:val="0"/>
        <w:adjustRightInd w:val="0"/>
        <w:spacing w:line="252" w:lineRule="auto"/>
        <w:ind w:firstLine="709"/>
        <w:jc w:val="both"/>
        <w:rPr>
          <w:rFonts w:ascii="Times New Roman" w:hAnsi="Times New Roman" w:cs="Times New Roman"/>
          <w:sz w:val="26"/>
          <w:szCs w:val="26"/>
        </w:rPr>
        <w:sectPr w:rsidR="00DB2FC4" w:rsidSect="00DB2FC4">
          <w:type w:val="nextColumn"/>
          <w:pgSz w:w="11906" w:h="16838"/>
          <w:pgMar w:top="1134" w:right="850" w:bottom="1134" w:left="1701" w:header="708" w:footer="708" w:gutter="0"/>
          <w:cols w:space="708"/>
          <w:docGrid w:linePitch="360"/>
        </w:sectPr>
      </w:pPr>
    </w:p>
    <w:p w14:paraId="6F117D64" w14:textId="77777777" w:rsidR="00DB2FC4" w:rsidRPr="00F562A8" w:rsidRDefault="00DB2FC4" w:rsidP="00DB2FC4">
      <w:pPr>
        <w:spacing w:after="0" w:line="276" w:lineRule="auto"/>
        <w:ind w:firstLine="709"/>
        <w:jc w:val="right"/>
        <w:rPr>
          <w:rFonts w:ascii="Times New Roman" w:hAnsi="Times New Roman" w:cs="Times New Roman"/>
          <w:sz w:val="26"/>
          <w:szCs w:val="26"/>
        </w:rPr>
      </w:pPr>
      <w:r w:rsidRPr="00F562A8">
        <w:rPr>
          <w:rFonts w:ascii="Times New Roman" w:hAnsi="Times New Roman" w:cs="Times New Roman"/>
          <w:sz w:val="26"/>
          <w:szCs w:val="26"/>
        </w:rPr>
        <w:t>Таблица 3.4</w:t>
      </w:r>
    </w:p>
    <w:p w14:paraId="0D044E4E" w14:textId="77777777" w:rsidR="00DB2FC4" w:rsidRPr="00F562A8" w:rsidRDefault="00DB2FC4" w:rsidP="00DB2FC4">
      <w:pPr>
        <w:spacing w:after="0" w:line="276" w:lineRule="auto"/>
        <w:jc w:val="center"/>
        <w:rPr>
          <w:rFonts w:ascii="Times New Roman" w:hAnsi="Times New Roman" w:cs="Times New Roman"/>
          <w:b/>
          <w:sz w:val="26"/>
          <w:szCs w:val="26"/>
        </w:rPr>
      </w:pPr>
      <w:r w:rsidRPr="00F562A8">
        <w:rPr>
          <w:rFonts w:ascii="Times New Roman" w:hAnsi="Times New Roman" w:cs="Times New Roman"/>
          <w:b/>
          <w:sz w:val="26"/>
          <w:szCs w:val="26"/>
        </w:rPr>
        <w:t>Обоснование использования (отказа от использования) ценообразующих факторов, предусмотренных методическими указаниями</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39"/>
        <w:gridCol w:w="6028"/>
        <w:gridCol w:w="1378"/>
        <w:gridCol w:w="6"/>
        <w:gridCol w:w="6709"/>
      </w:tblGrid>
      <w:tr w:rsidR="000834DD" w:rsidRPr="00F562A8" w14:paraId="295CA7B7" w14:textId="77777777" w:rsidTr="000834DD">
        <w:trPr>
          <w:trHeight w:val="20"/>
          <w:tblHeader/>
        </w:trPr>
        <w:tc>
          <w:tcPr>
            <w:tcW w:w="151" w:type="pct"/>
            <w:tcMar>
              <w:top w:w="102" w:type="dxa"/>
              <w:left w:w="62" w:type="dxa"/>
              <w:bottom w:w="102" w:type="dxa"/>
              <w:right w:w="62" w:type="dxa"/>
            </w:tcMar>
            <w:vAlign w:val="center"/>
            <w:hideMark/>
          </w:tcPr>
          <w:p w14:paraId="08EC2304"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b/>
                <w:lang w:eastAsia="ru-RU"/>
              </w:rPr>
            </w:pPr>
            <w:bookmarkStart w:id="125" w:name="_Hlk106365072"/>
            <w:r w:rsidRPr="00F562A8">
              <w:rPr>
                <w:rFonts w:ascii="Times New Roman" w:eastAsiaTheme="minorEastAsia" w:hAnsi="Times New Roman" w:cs="Times New Roman"/>
                <w:b/>
                <w:lang w:eastAsia="ru-RU"/>
              </w:rPr>
              <w:t>№ п/п</w:t>
            </w:r>
          </w:p>
        </w:tc>
        <w:tc>
          <w:tcPr>
            <w:tcW w:w="2070" w:type="pct"/>
            <w:tcMar>
              <w:top w:w="102" w:type="dxa"/>
              <w:left w:w="62" w:type="dxa"/>
              <w:bottom w:w="102" w:type="dxa"/>
              <w:right w:w="62" w:type="dxa"/>
            </w:tcMar>
            <w:vAlign w:val="center"/>
            <w:hideMark/>
          </w:tcPr>
          <w:p w14:paraId="66080786"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b/>
                <w:lang w:eastAsia="ru-RU"/>
              </w:rPr>
            </w:pPr>
            <w:r w:rsidRPr="00F562A8">
              <w:rPr>
                <w:rFonts w:ascii="Times New Roman" w:eastAsiaTheme="minorEastAsia" w:hAnsi="Times New Roman" w:cs="Times New Roman"/>
                <w:b/>
                <w:lang w:eastAsia="ru-RU"/>
              </w:rPr>
              <w:t>Наименование ценообразующего фактора</w:t>
            </w:r>
          </w:p>
        </w:tc>
        <w:tc>
          <w:tcPr>
            <w:tcW w:w="473" w:type="pct"/>
            <w:tcMar>
              <w:top w:w="102" w:type="dxa"/>
              <w:left w:w="62" w:type="dxa"/>
              <w:bottom w:w="102" w:type="dxa"/>
              <w:right w:w="62" w:type="dxa"/>
            </w:tcMar>
            <w:vAlign w:val="center"/>
            <w:hideMark/>
          </w:tcPr>
          <w:p w14:paraId="5D158CEC"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b/>
                <w:lang w:eastAsia="ru-RU"/>
              </w:rPr>
            </w:pPr>
            <w:r w:rsidRPr="00F562A8">
              <w:rPr>
                <w:rFonts w:ascii="Times New Roman" w:eastAsiaTheme="minorEastAsia" w:hAnsi="Times New Roman" w:cs="Times New Roman"/>
                <w:b/>
                <w:lang w:eastAsia="ru-RU"/>
              </w:rPr>
              <w:t>Применялся /не применялся</w:t>
            </w:r>
          </w:p>
        </w:tc>
        <w:tc>
          <w:tcPr>
            <w:tcW w:w="2306" w:type="pct"/>
            <w:gridSpan w:val="2"/>
            <w:tcMar>
              <w:top w:w="102" w:type="dxa"/>
              <w:left w:w="62" w:type="dxa"/>
              <w:bottom w:w="102" w:type="dxa"/>
              <w:right w:w="62" w:type="dxa"/>
            </w:tcMar>
            <w:vAlign w:val="center"/>
            <w:hideMark/>
          </w:tcPr>
          <w:p w14:paraId="1ECC337F" w14:textId="77777777" w:rsidR="000834DD"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b/>
                <w:lang w:eastAsia="ru-RU"/>
              </w:rPr>
            </w:pPr>
            <w:r w:rsidRPr="00F562A8">
              <w:rPr>
                <w:rFonts w:ascii="Times New Roman" w:eastAsiaTheme="minorEastAsia" w:hAnsi="Times New Roman" w:cs="Times New Roman"/>
                <w:b/>
                <w:lang w:eastAsia="ru-RU"/>
              </w:rPr>
              <w:t>Обоснование применения / отказа</w:t>
            </w:r>
            <w:r>
              <w:rPr>
                <w:rFonts w:ascii="Times New Roman" w:eastAsiaTheme="minorEastAsia" w:hAnsi="Times New Roman" w:cs="Times New Roman"/>
                <w:b/>
                <w:lang w:eastAsia="ru-RU"/>
              </w:rPr>
              <w:t xml:space="preserve"> от использования</w:t>
            </w:r>
          </w:p>
          <w:p w14:paraId="1AE048FC"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Источник информации</w:t>
            </w:r>
          </w:p>
        </w:tc>
      </w:tr>
      <w:tr w:rsidR="000834DD" w:rsidRPr="00F562A8" w14:paraId="59BF5E3D" w14:textId="77777777" w:rsidTr="000834DD">
        <w:trPr>
          <w:trHeight w:val="20"/>
        </w:trPr>
        <w:tc>
          <w:tcPr>
            <w:tcW w:w="151" w:type="pct"/>
          </w:tcPr>
          <w:p w14:paraId="629AEBD9" w14:textId="77777777" w:rsidR="000834DD" w:rsidRPr="00F562A8" w:rsidRDefault="000834DD" w:rsidP="000834DD">
            <w:pPr>
              <w:spacing w:line="276" w:lineRule="auto"/>
              <w:jc w:val="center"/>
              <w:rPr>
                <w:rFonts w:ascii="Times New Roman" w:hAnsi="Times New Roman" w:cs="Times New Roman"/>
              </w:rPr>
            </w:pPr>
          </w:p>
        </w:tc>
        <w:tc>
          <w:tcPr>
            <w:tcW w:w="4849" w:type="pct"/>
            <w:gridSpan w:val="4"/>
            <w:tcMar>
              <w:top w:w="102" w:type="dxa"/>
              <w:left w:w="62" w:type="dxa"/>
              <w:bottom w:w="102" w:type="dxa"/>
              <w:right w:w="62" w:type="dxa"/>
            </w:tcMar>
            <w:vAlign w:val="center"/>
            <w:hideMark/>
          </w:tcPr>
          <w:p w14:paraId="6C56D1E6" w14:textId="77777777" w:rsidR="000834DD" w:rsidRPr="00F562A8" w:rsidRDefault="000834DD" w:rsidP="000834DD">
            <w:pPr>
              <w:spacing w:line="276" w:lineRule="auto"/>
              <w:jc w:val="center"/>
              <w:rPr>
                <w:rFonts w:ascii="Times New Roman" w:hAnsi="Times New Roman" w:cs="Times New Roman"/>
                <w:b/>
              </w:rPr>
            </w:pPr>
            <w:bookmarkStart w:id="126" w:name="_Toc517967307"/>
            <w:r w:rsidRPr="00F562A8">
              <w:rPr>
                <w:rFonts w:ascii="Times New Roman" w:hAnsi="Times New Roman" w:cs="Times New Roman"/>
                <w:b/>
              </w:rPr>
              <w:t>Земельные участки</w:t>
            </w:r>
            <w:bookmarkEnd w:id="126"/>
          </w:p>
        </w:tc>
      </w:tr>
      <w:tr w:rsidR="000834DD" w:rsidRPr="00F562A8" w14:paraId="229881C0" w14:textId="77777777" w:rsidTr="000834DD">
        <w:trPr>
          <w:trHeight w:val="20"/>
        </w:trPr>
        <w:tc>
          <w:tcPr>
            <w:tcW w:w="151" w:type="pct"/>
          </w:tcPr>
          <w:p w14:paraId="1D8F2367"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p>
        </w:tc>
        <w:tc>
          <w:tcPr>
            <w:tcW w:w="4849" w:type="pct"/>
            <w:gridSpan w:val="4"/>
            <w:tcMar>
              <w:top w:w="102" w:type="dxa"/>
              <w:left w:w="62" w:type="dxa"/>
              <w:bottom w:w="102" w:type="dxa"/>
              <w:right w:w="62" w:type="dxa"/>
            </w:tcMar>
            <w:vAlign w:val="center"/>
            <w:hideMark/>
          </w:tcPr>
          <w:p w14:paraId="174DE6B6"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rPr>
            </w:pPr>
            <w:r w:rsidRPr="00F562A8">
              <w:rPr>
                <w:rFonts w:ascii="Times New Roman" w:eastAsiaTheme="minorEastAsia" w:hAnsi="Times New Roman" w:cs="Times New Roman"/>
                <w:lang w:eastAsia="ru-RU"/>
              </w:rPr>
              <w:t>Общие сведения</w:t>
            </w:r>
          </w:p>
        </w:tc>
      </w:tr>
      <w:tr w:rsidR="000834DD" w:rsidRPr="00F562A8" w14:paraId="1A4CBA06" w14:textId="77777777" w:rsidTr="000834DD">
        <w:trPr>
          <w:trHeight w:val="20"/>
        </w:trPr>
        <w:tc>
          <w:tcPr>
            <w:tcW w:w="151" w:type="pct"/>
            <w:tcMar>
              <w:top w:w="102" w:type="dxa"/>
              <w:left w:w="62" w:type="dxa"/>
              <w:bottom w:w="102" w:type="dxa"/>
              <w:right w:w="62" w:type="dxa"/>
            </w:tcMar>
            <w:vAlign w:val="center"/>
            <w:hideMark/>
          </w:tcPr>
          <w:p w14:paraId="4FB66DFA"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1</w:t>
            </w:r>
          </w:p>
        </w:tc>
        <w:tc>
          <w:tcPr>
            <w:tcW w:w="2070" w:type="pct"/>
            <w:tcMar>
              <w:top w:w="102" w:type="dxa"/>
              <w:left w:w="62" w:type="dxa"/>
              <w:bottom w:w="102" w:type="dxa"/>
              <w:right w:w="62" w:type="dxa"/>
            </w:tcMar>
            <w:vAlign w:val="center"/>
            <w:hideMark/>
          </w:tcPr>
          <w:p w14:paraId="24A5F7BF"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Категория земель (при наличии ее влияния), вид разрешенного использования</w:t>
            </w:r>
          </w:p>
        </w:tc>
        <w:tc>
          <w:tcPr>
            <w:tcW w:w="475" w:type="pct"/>
            <w:gridSpan w:val="2"/>
            <w:tcMar>
              <w:top w:w="102" w:type="dxa"/>
              <w:left w:w="62" w:type="dxa"/>
              <w:bottom w:w="102" w:type="dxa"/>
              <w:right w:w="62" w:type="dxa"/>
            </w:tcMar>
            <w:vAlign w:val="center"/>
            <w:hideMark/>
          </w:tcPr>
          <w:p w14:paraId="0E1E31C2"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37678B03"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Исходя из анализа Методических указаний, оценка земельного участка проводится в соответствие с его разрешенным использованием без учета категорий. Анализ рынка показывает, что участники рынка практически не упоминают категорию земли при подаче объявления к продаже.</w:t>
            </w:r>
          </w:p>
        </w:tc>
      </w:tr>
      <w:tr w:rsidR="000834DD" w:rsidRPr="00F562A8" w14:paraId="0E8311B5" w14:textId="77777777" w:rsidTr="000834DD">
        <w:trPr>
          <w:trHeight w:val="20"/>
        </w:trPr>
        <w:tc>
          <w:tcPr>
            <w:tcW w:w="151" w:type="pct"/>
            <w:tcMar>
              <w:top w:w="102" w:type="dxa"/>
              <w:left w:w="62" w:type="dxa"/>
              <w:bottom w:w="102" w:type="dxa"/>
              <w:right w:w="62" w:type="dxa"/>
            </w:tcMar>
            <w:vAlign w:val="center"/>
            <w:hideMark/>
          </w:tcPr>
          <w:p w14:paraId="0C893A0C"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2</w:t>
            </w:r>
          </w:p>
        </w:tc>
        <w:tc>
          <w:tcPr>
            <w:tcW w:w="2070" w:type="pct"/>
            <w:shd w:val="clear" w:color="auto" w:fill="auto"/>
            <w:tcMar>
              <w:top w:w="102" w:type="dxa"/>
              <w:left w:w="62" w:type="dxa"/>
              <w:bottom w:w="102" w:type="dxa"/>
              <w:right w:w="62" w:type="dxa"/>
            </w:tcMar>
            <w:vAlign w:val="center"/>
            <w:hideMark/>
          </w:tcPr>
          <w:p w14:paraId="078484E0"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Площадь земельного участка</w:t>
            </w:r>
          </w:p>
        </w:tc>
        <w:tc>
          <w:tcPr>
            <w:tcW w:w="475" w:type="pct"/>
            <w:gridSpan w:val="2"/>
            <w:shd w:val="clear" w:color="auto" w:fill="auto"/>
            <w:tcMar>
              <w:top w:w="102" w:type="dxa"/>
              <w:left w:w="62" w:type="dxa"/>
              <w:bottom w:w="102" w:type="dxa"/>
              <w:right w:w="62" w:type="dxa"/>
            </w:tcMar>
            <w:vAlign w:val="center"/>
            <w:hideMark/>
          </w:tcPr>
          <w:p w14:paraId="01EA46CB" w14:textId="77777777" w:rsidR="000834DD" w:rsidRPr="00F562A8" w:rsidRDefault="000834DD" w:rsidP="000834DD">
            <w:pPr>
              <w:spacing w:line="276" w:lineRule="auto"/>
              <w:jc w:val="center"/>
              <w:rPr>
                <w:rFonts w:ascii="Times New Roman" w:eastAsiaTheme="minorEastAsia" w:hAnsi="Times New Roman" w:cs="Times New Roman"/>
                <w:color w:val="FF0000"/>
                <w:lang w:eastAsia="ru-RU"/>
              </w:rPr>
            </w:pPr>
            <w:r w:rsidRPr="00F562A8">
              <w:rPr>
                <w:rFonts w:ascii="Times New Roman" w:eastAsiaTheme="minorEastAsia" w:hAnsi="Times New Roman" w:cs="Times New Roman"/>
                <w:lang w:eastAsia="ru-RU"/>
              </w:rPr>
              <w:t>Применялся</w:t>
            </w:r>
          </w:p>
        </w:tc>
        <w:tc>
          <w:tcPr>
            <w:tcW w:w="2304" w:type="pct"/>
            <w:shd w:val="clear" w:color="auto" w:fill="auto"/>
            <w:tcMar>
              <w:top w:w="102" w:type="dxa"/>
              <w:left w:w="62" w:type="dxa"/>
              <w:bottom w:w="102" w:type="dxa"/>
              <w:right w:w="62" w:type="dxa"/>
            </w:tcMar>
            <w:vAlign w:val="center"/>
            <w:hideMark/>
          </w:tcPr>
          <w:p w14:paraId="13AA7CD1" w14:textId="77777777" w:rsidR="000834DD" w:rsidRPr="00282166"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Выборка объектов аналогов для индивидуальных расчетов осуществлена на основе схожести (сопоставимости) данного ценообразующего фактора у объекта оценки и объектов аналогов, в случае различия в площади используется соответствующая корректировка.</w:t>
            </w:r>
            <w:r w:rsidRPr="00282166">
              <w:rPr>
                <w:rFonts w:ascii="Times New Roman" w:eastAsiaTheme="minorEastAsia" w:hAnsi="Times New Roman" w:cs="Times New Roman"/>
                <w:lang w:eastAsia="ru-RU"/>
              </w:rPr>
              <w:t xml:space="preserve"> </w:t>
            </w:r>
            <w:r>
              <w:rPr>
                <w:rFonts w:ascii="Times New Roman" w:hAnsi="Times New Roman" w:cs="Times New Roman"/>
                <w:sz w:val="24"/>
                <w:szCs w:val="24"/>
              </w:rPr>
              <w:t>Источник: Сведения ЕГРН и рыночная информация.</w:t>
            </w:r>
          </w:p>
        </w:tc>
      </w:tr>
      <w:tr w:rsidR="000834DD" w:rsidRPr="00F562A8" w14:paraId="1CF8076B" w14:textId="77777777" w:rsidTr="000834DD">
        <w:trPr>
          <w:trHeight w:val="20"/>
        </w:trPr>
        <w:tc>
          <w:tcPr>
            <w:tcW w:w="151" w:type="pct"/>
            <w:tcMar>
              <w:top w:w="102" w:type="dxa"/>
              <w:left w:w="62" w:type="dxa"/>
              <w:bottom w:w="102" w:type="dxa"/>
              <w:right w:w="62" w:type="dxa"/>
            </w:tcMar>
            <w:vAlign w:val="center"/>
            <w:hideMark/>
          </w:tcPr>
          <w:p w14:paraId="554B0493"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3</w:t>
            </w:r>
          </w:p>
        </w:tc>
        <w:tc>
          <w:tcPr>
            <w:tcW w:w="2070" w:type="pct"/>
            <w:tcMar>
              <w:top w:w="102" w:type="dxa"/>
              <w:left w:w="62" w:type="dxa"/>
              <w:bottom w:w="102" w:type="dxa"/>
              <w:right w:w="62" w:type="dxa"/>
            </w:tcMar>
            <w:vAlign w:val="center"/>
            <w:hideMark/>
          </w:tcPr>
          <w:p w14:paraId="39FB619B"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Вид использования</w:t>
            </w:r>
          </w:p>
        </w:tc>
        <w:tc>
          <w:tcPr>
            <w:tcW w:w="475" w:type="pct"/>
            <w:gridSpan w:val="2"/>
            <w:tcMar>
              <w:top w:w="102" w:type="dxa"/>
              <w:left w:w="62" w:type="dxa"/>
              <w:bottom w:w="102" w:type="dxa"/>
              <w:right w:w="62" w:type="dxa"/>
            </w:tcMar>
            <w:vAlign w:val="center"/>
            <w:hideMark/>
          </w:tcPr>
          <w:p w14:paraId="7BDC47DA"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color w:val="FF0000"/>
                <w:lang w:eastAsia="ru-RU"/>
              </w:rPr>
            </w:pPr>
            <w:r w:rsidRPr="00F562A8">
              <w:rPr>
                <w:rFonts w:ascii="Times New Roman" w:eastAsiaTheme="minorEastAsia" w:hAnsi="Times New Roman" w:cs="Times New Roman"/>
                <w:lang w:eastAsia="ru-RU"/>
              </w:rPr>
              <w:t>Применялся</w:t>
            </w:r>
          </w:p>
        </w:tc>
        <w:tc>
          <w:tcPr>
            <w:tcW w:w="2304" w:type="pct"/>
            <w:tcMar>
              <w:top w:w="102" w:type="dxa"/>
              <w:left w:w="62" w:type="dxa"/>
              <w:bottom w:w="102" w:type="dxa"/>
              <w:right w:w="62" w:type="dxa"/>
            </w:tcMar>
            <w:vAlign w:val="center"/>
            <w:hideMark/>
          </w:tcPr>
          <w:p w14:paraId="4CBD8083"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color w:val="FF0000"/>
                <w:lang w:eastAsia="ru-RU"/>
              </w:rPr>
            </w:pPr>
            <w:r w:rsidRPr="00F562A8">
              <w:rPr>
                <w:rFonts w:ascii="Times New Roman" w:eastAsiaTheme="minorEastAsia" w:hAnsi="Times New Roman" w:cs="Times New Roman"/>
                <w:lang w:eastAsia="ru-RU"/>
              </w:rPr>
              <w:t>Разрешенное использование объекта недвижимости по документу - использование объекта недвижимости, по установленным требованиям к использованию объекта недвижимости. Является важным ценообразующим фактором, поскольку на основе анализа данной информации проведена сегментация, группировка и определена подгруппа объектов оценки.</w:t>
            </w:r>
            <w:r>
              <w:rPr>
                <w:rFonts w:ascii="Times New Roman" w:hAnsi="Times New Roman" w:cs="Times New Roman"/>
                <w:sz w:val="24"/>
                <w:szCs w:val="24"/>
              </w:rPr>
              <w:t xml:space="preserve"> Источник: Сведения ЕГРН, при отсутствии данных: сведения ОМС.</w:t>
            </w:r>
          </w:p>
        </w:tc>
      </w:tr>
      <w:tr w:rsidR="000834DD" w:rsidRPr="00F562A8" w14:paraId="064BAA80" w14:textId="77777777" w:rsidTr="000834DD">
        <w:trPr>
          <w:trHeight w:val="20"/>
        </w:trPr>
        <w:tc>
          <w:tcPr>
            <w:tcW w:w="151" w:type="pct"/>
            <w:tcMar>
              <w:top w:w="102" w:type="dxa"/>
              <w:left w:w="62" w:type="dxa"/>
              <w:bottom w:w="102" w:type="dxa"/>
              <w:right w:w="62" w:type="dxa"/>
            </w:tcMar>
            <w:vAlign w:val="center"/>
            <w:hideMark/>
          </w:tcPr>
          <w:p w14:paraId="724167F0"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4</w:t>
            </w:r>
          </w:p>
        </w:tc>
        <w:tc>
          <w:tcPr>
            <w:tcW w:w="2070" w:type="pct"/>
            <w:tcMar>
              <w:top w:w="102" w:type="dxa"/>
              <w:left w:w="62" w:type="dxa"/>
              <w:bottom w:w="102" w:type="dxa"/>
              <w:right w:w="62" w:type="dxa"/>
            </w:tcMar>
            <w:vAlign w:val="center"/>
            <w:hideMark/>
          </w:tcPr>
          <w:p w14:paraId="523D5ABF"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Коэффициент протяженности земельного участка по данным геоинформационных систем (ГИС)</w:t>
            </w:r>
          </w:p>
        </w:tc>
        <w:tc>
          <w:tcPr>
            <w:tcW w:w="475" w:type="pct"/>
            <w:gridSpan w:val="2"/>
            <w:tcMar>
              <w:top w:w="102" w:type="dxa"/>
              <w:left w:w="62" w:type="dxa"/>
              <w:bottom w:w="102" w:type="dxa"/>
              <w:right w:w="62" w:type="dxa"/>
            </w:tcMar>
            <w:vAlign w:val="center"/>
            <w:hideMark/>
          </w:tcPr>
          <w:p w14:paraId="16CF3545"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263B506A" w14:textId="77777777" w:rsidR="000834DD" w:rsidRPr="00F562A8" w:rsidRDefault="000834DD" w:rsidP="00D54691">
            <w:pPr>
              <w:shd w:val="clear" w:color="auto" w:fill="FFFFFF"/>
              <w:tabs>
                <w:tab w:val="left" w:pos="1014"/>
              </w:tabs>
              <w:spacing w:line="276" w:lineRule="auto"/>
              <w:ind w:right="47"/>
              <w:contextualSpacing/>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 xml:space="preserve">Для расчета величины указанного коэффициента необходимо знать периметр оцениваемого земельного участка, который можно определить индивидуально, используя инструмент «Измерения» публичной кадастровой карты официального сайта Росреестра: </w:t>
            </w:r>
            <w:hyperlink r:id="rId179" w:history="1">
              <w:r w:rsidRPr="00F562A8">
                <w:rPr>
                  <w:rFonts w:ascii="Times New Roman" w:eastAsiaTheme="minorEastAsia" w:hAnsi="Times New Roman" w:cs="Times New Roman"/>
                  <w:lang w:eastAsia="ru-RU"/>
                </w:rPr>
                <w:t>https://rosreestr.ru</w:t>
              </w:r>
            </w:hyperlink>
            <w:r w:rsidRPr="00F562A8">
              <w:rPr>
                <w:rFonts w:ascii="Times New Roman" w:eastAsiaTheme="minorEastAsia" w:hAnsi="Times New Roman" w:cs="Times New Roman"/>
                <w:lang w:eastAsia="ru-RU"/>
              </w:rPr>
              <w:t>.</w:t>
            </w:r>
          </w:p>
          <w:p w14:paraId="4C88BCC3"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В связи с тем, что в большинстве случаев у оцениваемых объектов отсутствуют координаты характерных точек границ (графические данные), произвести обмеры периметра земельных участков не представляется возможным. При определении кадастровой стоимости методом массовой оценки коэффициент протяженности земельного участка по данным геоинформационных систем (ГИС) не учитывался.</w:t>
            </w:r>
          </w:p>
          <w:p w14:paraId="34BE5EE8"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В связи, с чем данный фактор не использовался.</w:t>
            </w:r>
          </w:p>
        </w:tc>
      </w:tr>
      <w:tr w:rsidR="000834DD" w:rsidRPr="00F562A8" w14:paraId="02F4AA74" w14:textId="77777777" w:rsidTr="000834DD">
        <w:trPr>
          <w:trHeight w:val="20"/>
        </w:trPr>
        <w:tc>
          <w:tcPr>
            <w:tcW w:w="151" w:type="pct"/>
            <w:tcMar>
              <w:top w:w="102" w:type="dxa"/>
              <w:left w:w="62" w:type="dxa"/>
              <w:bottom w:w="102" w:type="dxa"/>
              <w:right w:w="62" w:type="dxa"/>
            </w:tcMar>
            <w:vAlign w:val="center"/>
            <w:hideMark/>
          </w:tcPr>
          <w:p w14:paraId="1FD8972A"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5</w:t>
            </w:r>
          </w:p>
        </w:tc>
        <w:tc>
          <w:tcPr>
            <w:tcW w:w="2070" w:type="pct"/>
            <w:tcMar>
              <w:top w:w="102" w:type="dxa"/>
              <w:left w:w="62" w:type="dxa"/>
              <w:bottom w:w="102" w:type="dxa"/>
              <w:right w:w="62" w:type="dxa"/>
            </w:tcMar>
            <w:vAlign w:val="center"/>
            <w:hideMark/>
          </w:tcPr>
          <w:p w14:paraId="532BF59B"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Наличие обременений (ограничений) земельного участка</w:t>
            </w:r>
          </w:p>
        </w:tc>
        <w:tc>
          <w:tcPr>
            <w:tcW w:w="475" w:type="pct"/>
            <w:gridSpan w:val="2"/>
            <w:tcMar>
              <w:top w:w="102" w:type="dxa"/>
              <w:left w:w="62" w:type="dxa"/>
              <w:bottom w:w="102" w:type="dxa"/>
              <w:right w:w="62" w:type="dxa"/>
            </w:tcMar>
            <w:vAlign w:val="center"/>
            <w:hideMark/>
          </w:tcPr>
          <w:p w14:paraId="587A22DC"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color w:val="FF0000"/>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60982CCF" w14:textId="77777777" w:rsidR="000834DD" w:rsidRPr="00F562A8" w:rsidRDefault="000834DD" w:rsidP="00D54691">
            <w:pPr>
              <w:widowControl w:val="0"/>
              <w:autoSpaceDE w:val="0"/>
              <w:autoSpaceDN w:val="0"/>
              <w:spacing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 xml:space="preserve">В соответствии с п. 11 Методических указаний определение кадастровой стоимости осуществляется без учета обременении (ограничений) объекта недвижимости, за исключением ограничений прав на </w:t>
            </w:r>
            <w:r>
              <w:rPr>
                <w:rFonts w:ascii="Times New Roman" w:eastAsiaTheme="minorEastAsia" w:hAnsi="Times New Roman" w:cs="Times New Roman"/>
                <w:lang w:eastAsia="ru-RU"/>
              </w:rPr>
              <w:t>землю</w:t>
            </w:r>
            <w:r w:rsidRPr="00F562A8">
              <w:rPr>
                <w:rFonts w:ascii="Times New Roman" w:eastAsiaTheme="minorEastAsia" w:hAnsi="Times New Roman" w:cs="Times New Roman"/>
                <w:lang w:eastAsia="ru-RU"/>
              </w:rPr>
              <w:t xml:space="preserve">, </w:t>
            </w:r>
            <w:r>
              <w:rPr>
                <w:rFonts w:ascii="Times New Roman" w:eastAsiaTheme="minorEastAsia" w:hAnsi="Times New Roman" w:cs="Times New Roman"/>
                <w:lang w:eastAsia="ru-RU"/>
              </w:rPr>
              <w:t>возникающих в соответствии с земельным законодательством (в связи с установлением зон с особыми условиями использования территории, иными ограничениями, установленными в соответствии со статьей 56 Земельного кодекса РФ)</w:t>
            </w:r>
            <w:r w:rsidRPr="00F562A8">
              <w:rPr>
                <w:rFonts w:ascii="Times New Roman" w:eastAsiaTheme="minorEastAsia" w:hAnsi="Times New Roman" w:cs="Times New Roman"/>
                <w:lang w:eastAsia="ru-RU"/>
              </w:rPr>
              <w:t>.</w:t>
            </w:r>
          </w:p>
          <w:p w14:paraId="48FBE7B3"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color w:val="FF0000"/>
                <w:lang w:eastAsia="ru-RU"/>
              </w:rPr>
            </w:pPr>
            <w:r w:rsidRPr="00F562A8">
              <w:rPr>
                <w:rFonts w:ascii="Times New Roman" w:eastAsiaTheme="minorEastAsia" w:hAnsi="Times New Roman" w:cs="Times New Roman"/>
                <w:lang w:eastAsia="ru-RU"/>
              </w:rPr>
              <w:t>При проведении массовой оценки Учреждение не может объективно измерить влияние таких ограничений (обременений) на стоимость объекта оценки в каждом конкретном случае. Поэтому в рамках настоящего Отчета следует считать, что земельные участки, имеющие ограничения (обременения), установленные в отношении объекта недвижимости, отсутствуют</w:t>
            </w:r>
            <w:r>
              <w:rPr>
                <w:rFonts w:ascii="Times New Roman" w:eastAsiaTheme="minorEastAsia" w:hAnsi="Times New Roman" w:cs="Times New Roman"/>
                <w:lang w:eastAsia="ru-RU"/>
              </w:rPr>
              <w:t>.</w:t>
            </w:r>
          </w:p>
        </w:tc>
      </w:tr>
      <w:tr w:rsidR="000834DD" w:rsidRPr="00F562A8" w14:paraId="300E917B" w14:textId="77777777" w:rsidTr="000834DD">
        <w:trPr>
          <w:trHeight w:val="20"/>
        </w:trPr>
        <w:tc>
          <w:tcPr>
            <w:tcW w:w="151" w:type="pct"/>
            <w:tcMar>
              <w:top w:w="102" w:type="dxa"/>
              <w:left w:w="62" w:type="dxa"/>
              <w:bottom w:w="102" w:type="dxa"/>
              <w:right w:w="62" w:type="dxa"/>
            </w:tcMar>
            <w:vAlign w:val="center"/>
            <w:hideMark/>
          </w:tcPr>
          <w:p w14:paraId="7F3BD13E"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6</w:t>
            </w:r>
          </w:p>
        </w:tc>
        <w:tc>
          <w:tcPr>
            <w:tcW w:w="2070" w:type="pct"/>
            <w:tcMar>
              <w:top w:w="102" w:type="dxa"/>
              <w:left w:w="62" w:type="dxa"/>
              <w:bottom w:w="102" w:type="dxa"/>
              <w:right w:w="62" w:type="dxa"/>
            </w:tcMar>
            <w:vAlign w:val="center"/>
            <w:hideMark/>
          </w:tcPr>
          <w:p w14:paraId="34D74511"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Характеристики застройки земельного участка</w:t>
            </w:r>
          </w:p>
        </w:tc>
        <w:tc>
          <w:tcPr>
            <w:tcW w:w="475" w:type="pct"/>
            <w:gridSpan w:val="2"/>
            <w:tcMar>
              <w:top w:w="102" w:type="dxa"/>
              <w:left w:w="62" w:type="dxa"/>
              <w:bottom w:w="102" w:type="dxa"/>
              <w:right w:w="62" w:type="dxa"/>
            </w:tcMar>
            <w:vAlign w:val="center"/>
            <w:hideMark/>
          </w:tcPr>
          <w:p w14:paraId="41816C3A"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1D21B8C0" w14:textId="77777777" w:rsidR="000834DD"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В соответствии с п. 1</w:t>
            </w:r>
            <w:r>
              <w:rPr>
                <w:rFonts w:ascii="Times New Roman" w:eastAsiaTheme="minorEastAsia" w:hAnsi="Times New Roman" w:cs="Times New Roman"/>
                <w:lang w:eastAsia="ru-RU"/>
              </w:rPr>
              <w:t>2</w:t>
            </w:r>
            <w:r w:rsidRPr="00F562A8">
              <w:rPr>
                <w:rFonts w:ascii="Times New Roman" w:eastAsiaTheme="minorEastAsia" w:hAnsi="Times New Roman" w:cs="Times New Roman"/>
                <w:lang w:eastAsia="ru-RU"/>
              </w:rPr>
              <w:t xml:space="preserve"> Методических указаний</w:t>
            </w:r>
            <w:r>
              <w:rPr>
                <w:rFonts w:ascii="Times New Roman" w:eastAsiaTheme="minorEastAsia" w:hAnsi="Times New Roman" w:cs="Times New Roman"/>
                <w:lang w:eastAsia="ru-RU"/>
              </w:rPr>
              <w:t xml:space="preserve"> при определении кадастровой стоимости земельного участка не учитываются: улучшения земельного участка, которые поставлены на кадастровый учет и (или) бухгалтерский учет; степень благоустройства…</w:t>
            </w:r>
          </w:p>
          <w:p w14:paraId="31B962C3"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Таким образом, при определении кадастровой стоимости земельных участков, все участки считаются условно свободными, характер застройки не учитывается</w:t>
            </w:r>
            <w:r>
              <w:rPr>
                <w:rFonts w:ascii="Times New Roman" w:eastAsiaTheme="minorEastAsia" w:hAnsi="Times New Roman" w:cs="Times New Roman"/>
                <w:lang w:eastAsia="ru-RU"/>
              </w:rPr>
              <w:t>.</w:t>
            </w:r>
          </w:p>
        </w:tc>
      </w:tr>
      <w:tr w:rsidR="000834DD" w:rsidRPr="00F562A8" w14:paraId="0B92D166" w14:textId="77777777" w:rsidTr="000834DD">
        <w:trPr>
          <w:trHeight w:val="20"/>
        </w:trPr>
        <w:tc>
          <w:tcPr>
            <w:tcW w:w="151" w:type="pct"/>
          </w:tcPr>
          <w:p w14:paraId="39EFEFD4"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p>
        </w:tc>
        <w:tc>
          <w:tcPr>
            <w:tcW w:w="4849" w:type="pct"/>
            <w:gridSpan w:val="4"/>
            <w:tcMar>
              <w:top w:w="102" w:type="dxa"/>
              <w:left w:w="62" w:type="dxa"/>
              <w:bottom w:w="102" w:type="dxa"/>
              <w:right w:w="62" w:type="dxa"/>
            </w:tcMar>
            <w:vAlign w:val="center"/>
            <w:hideMark/>
          </w:tcPr>
          <w:p w14:paraId="44D0712E"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Дополнительные характеристики сегмента "Сельскохозяйственное использование"</w:t>
            </w:r>
          </w:p>
        </w:tc>
      </w:tr>
      <w:tr w:rsidR="000834DD" w:rsidRPr="00F562A8" w14:paraId="17BC553F" w14:textId="77777777" w:rsidTr="000834DD">
        <w:trPr>
          <w:trHeight w:val="20"/>
        </w:trPr>
        <w:tc>
          <w:tcPr>
            <w:tcW w:w="151" w:type="pct"/>
            <w:tcMar>
              <w:top w:w="102" w:type="dxa"/>
              <w:left w:w="62" w:type="dxa"/>
              <w:bottom w:w="102" w:type="dxa"/>
              <w:right w:w="62" w:type="dxa"/>
            </w:tcMar>
            <w:vAlign w:val="center"/>
            <w:hideMark/>
          </w:tcPr>
          <w:p w14:paraId="1A77E7CF"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7</w:t>
            </w:r>
          </w:p>
        </w:tc>
        <w:tc>
          <w:tcPr>
            <w:tcW w:w="2070" w:type="pct"/>
            <w:tcMar>
              <w:top w:w="102" w:type="dxa"/>
              <w:left w:w="62" w:type="dxa"/>
              <w:bottom w:w="102" w:type="dxa"/>
              <w:right w:w="62" w:type="dxa"/>
            </w:tcMar>
            <w:vAlign w:val="center"/>
            <w:hideMark/>
          </w:tcPr>
          <w:p w14:paraId="0504BB0E"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Вид угодий</w:t>
            </w:r>
          </w:p>
        </w:tc>
        <w:tc>
          <w:tcPr>
            <w:tcW w:w="475" w:type="pct"/>
            <w:gridSpan w:val="2"/>
            <w:tcMar>
              <w:top w:w="102" w:type="dxa"/>
              <w:left w:w="62" w:type="dxa"/>
              <w:bottom w:w="102" w:type="dxa"/>
              <w:right w:w="62" w:type="dxa"/>
            </w:tcMar>
            <w:vAlign w:val="center"/>
            <w:hideMark/>
          </w:tcPr>
          <w:p w14:paraId="2188CD2C" w14:textId="77777777" w:rsidR="000834DD" w:rsidRPr="00F774C7"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Применялся</w:t>
            </w:r>
          </w:p>
        </w:tc>
        <w:tc>
          <w:tcPr>
            <w:tcW w:w="2304" w:type="pct"/>
            <w:tcMar>
              <w:top w:w="102" w:type="dxa"/>
              <w:left w:w="62" w:type="dxa"/>
              <w:bottom w:w="102" w:type="dxa"/>
              <w:right w:w="62" w:type="dxa"/>
            </w:tcMar>
            <w:vAlign w:val="center"/>
            <w:hideMark/>
          </w:tcPr>
          <w:p w14:paraId="1833D698" w14:textId="77777777" w:rsidR="000834DD" w:rsidRPr="00F774C7"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 xml:space="preserve">Данный ЦОФ используется для определения стоимости земельных участков 1 сегмента (группа СХ использование) доходным подходом.  </w:t>
            </w:r>
            <w:r>
              <w:t xml:space="preserve"> </w:t>
            </w:r>
            <w:r>
              <w:rPr>
                <w:rFonts w:ascii="Times New Roman" w:eastAsiaTheme="minorEastAsia" w:hAnsi="Times New Roman" w:cs="Times New Roman"/>
                <w:lang w:eastAsia="ru-RU"/>
              </w:rPr>
              <w:t xml:space="preserve">Источник: Почвенные материалы Воронежской области. Сводная информация представлена в Приложении №1\1.5\1.5.3 </w:t>
            </w:r>
          </w:p>
        </w:tc>
      </w:tr>
      <w:tr w:rsidR="000834DD" w:rsidRPr="00F562A8" w14:paraId="0B6CBD27" w14:textId="77777777" w:rsidTr="000834DD">
        <w:trPr>
          <w:trHeight w:val="20"/>
        </w:trPr>
        <w:tc>
          <w:tcPr>
            <w:tcW w:w="151" w:type="pct"/>
            <w:tcMar>
              <w:top w:w="102" w:type="dxa"/>
              <w:left w:w="62" w:type="dxa"/>
              <w:bottom w:w="102" w:type="dxa"/>
              <w:right w:w="62" w:type="dxa"/>
            </w:tcMar>
            <w:vAlign w:val="center"/>
            <w:hideMark/>
          </w:tcPr>
          <w:p w14:paraId="2F1F0510"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8</w:t>
            </w:r>
          </w:p>
        </w:tc>
        <w:tc>
          <w:tcPr>
            <w:tcW w:w="2070" w:type="pct"/>
            <w:tcMar>
              <w:top w:w="102" w:type="dxa"/>
              <w:left w:w="62" w:type="dxa"/>
              <w:bottom w:w="102" w:type="dxa"/>
              <w:right w:w="62" w:type="dxa"/>
            </w:tcMar>
            <w:vAlign w:val="center"/>
            <w:hideMark/>
          </w:tcPr>
          <w:p w14:paraId="541212F9"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Нормативная урожайность</w:t>
            </w:r>
          </w:p>
        </w:tc>
        <w:tc>
          <w:tcPr>
            <w:tcW w:w="475" w:type="pct"/>
            <w:gridSpan w:val="2"/>
            <w:tcMar>
              <w:top w:w="102" w:type="dxa"/>
              <w:left w:w="62" w:type="dxa"/>
              <w:bottom w:w="102" w:type="dxa"/>
              <w:right w:w="62" w:type="dxa"/>
            </w:tcMar>
            <w:vAlign w:val="center"/>
            <w:hideMark/>
          </w:tcPr>
          <w:p w14:paraId="546EC454" w14:textId="77777777" w:rsidR="000834DD" w:rsidRPr="00F774C7"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Применялся</w:t>
            </w:r>
          </w:p>
        </w:tc>
        <w:tc>
          <w:tcPr>
            <w:tcW w:w="2304" w:type="pct"/>
            <w:tcMar>
              <w:top w:w="102" w:type="dxa"/>
              <w:left w:w="62" w:type="dxa"/>
              <w:bottom w:w="102" w:type="dxa"/>
              <w:right w:w="62" w:type="dxa"/>
            </w:tcMar>
            <w:vAlign w:val="center"/>
            <w:hideMark/>
          </w:tcPr>
          <w:p w14:paraId="386EBD9B" w14:textId="37827E40" w:rsidR="000834DD" w:rsidRPr="00F774C7"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Данный ЦОФ используется для определения стоимости земельных участков 1 сегмента (группа СХ использование) доходным подходом.   Источник: Почвенные материалы Воронежской области. Сводная информация представлена Приложение 2\2.4</w:t>
            </w:r>
            <w:r w:rsidR="00694E48">
              <w:rPr>
                <w:rFonts w:ascii="Times New Roman" w:eastAsiaTheme="minorEastAsia" w:hAnsi="Times New Roman" w:cs="Times New Roman"/>
                <w:lang w:eastAsia="ru-RU"/>
              </w:rPr>
              <w:t>\2.4.1</w:t>
            </w:r>
          </w:p>
        </w:tc>
      </w:tr>
      <w:tr w:rsidR="000834DD" w:rsidRPr="00F562A8" w14:paraId="01C2F930" w14:textId="77777777" w:rsidTr="000834DD">
        <w:trPr>
          <w:trHeight w:val="20"/>
        </w:trPr>
        <w:tc>
          <w:tcPr>
            <w:tcW w:w="151" w:type="pct"/>
            <w:tcMar>
              <w:top w:w="102" w:type="dxa"/>
              <w:left w:w="62" w:type="dxa"/>
              <w:bottom w:w="102" w:type="dxa"/>
              <w:right w:w="62" w:type="dxa"/>
            </w:tcMar>
            <w:vAlign w:val="center"/>
            <w:hideMark/>
          </w:tcPr>
          <w:p w14:paraId="65A12C79"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9</w:t>
            </w:r>
          </w:p>
        </w:tc>
        <w:tc>
          <w:tcPr>
            <w:tcW w:w="2070" w:type="pct"/>
            <w:tcMar>
              <w:top w:w="102" w:type="dxa"/>
              <w:left w:w="62" w:type="dxa"/>
              <w:bottom w:w="102" w:type="dxa"/>
              <w:right w:w="62" w:type="dxa"/>
            </w:tcMar>
            <w:vAlign w:val="center"/>
            <w:hideMark/>
          </w:tcPr>
          <w:p w14:paraId="73341DB5"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Гранулометрический состав почв (механический состав)</w:t>
            </w:r>
          </w:p>
        </w:tc>
        <w:tc>
          <w:tcPr>
            <w:tcW w:w="475" w:type="pct"/>
            <w:gridSpan w:val="2"/>
            <w:tcMar>
              <w:top w:w="102" w:type="dxa"/>
              <w:left w:w="62" w:type="dxa"/>
              <w:bottom w:w="102" w:type="dxa"/>
              <w:right w:w="62" w:type="dxa"/>
            </w:tcMar>
            <w:vAlign w:val="center"/>
            <w:hideMark/>
          </w:tcPr>
          <w:p w14:paraId="31649D58" w14:textId="77777777" w:rsidR="000834DD" w:rsidRPr="00F774C7"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Применялся</w:t>
            </w:r>
          </w:p>
        </w:tc>
        <w:tc>
          <w:tcPr>
            <w:tcW w:w="2304" w:type="pct"/>
            <w:tcMar>
              <w:top w:w="102" w:type="dxa"/>
              <w:left w:w="62" w:type="dxa"/>
              <w:bottom w:w="102" w:type="dxa"/>
              <w:right w:w="62" w:type="dxa"/>
            </w:tcMar>
            <w:vAlign w:val="center"/>
            <w:hideMark/>
          </w:tcPr>
          <w:p w14:paraId="7BF504B8" w14:textId="77777777" w:rsidR="000834DD" w:rsidRPr="00F774C7"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 xml:space="preserve">Данный ЦОФ используется для определения стоимости земельных участков 1 сегмента (группа СХ использование) доходным подходом.   Источник: Почвенные материалы Воронежской области. Сводная информация представлена в Приложении №1\1.5\1.5.3 </w:t>
            </w:r>
          </w:p>
        </w:tc>
      </w:tr>
      <w:tr w:rsidR="000834DD" w:rsidRPr="00F562A8" w14:paraId="080AA819" w14:textId="77777777" w:rsidTr="000834DD">
        <w:trPr>
          <w:trHeight w:val="20"/>
        </w:trPr>
        <w:tc>
          <w:tcPr>
            <w:tcW w:w="151" w:type="pct"/>
            <w:tcMar>
              <w:top w:w="102" w:type="dxa"/>
              <w:left w:w="62" w:type="dxa"/>
              <w:bottom w:w="102" w:type="dxa"/>
              <w:right w:w="62" w:type="dxa"/>
            </w:tcMar>
            <w:vAlign w:val="center"/>
            <w:hideMark/>
          </w:tcPr>
          <w:p w14:paraId="2FDE611C"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10</w:t>
            </w:r>
          </w:p>
        </w:tc>
        <w:tc>
          <w:tcPr>
            <w:tcW w:w="2070" w:type="pct"/>
            <w:tcMar>
              <w:top w:w="102" w:type="dxa"/>
              <w:left w:w="62" w:type="dxa"/>
              <w:bottom w:w="102" w:type="dxa"/>
              <w:right w:w="62" w:type="dxa"/>
            </w:tcMar>
            <w:vAlign w:val="center"/>
            <w:hideMark/>
          </w:tcPr>
          <w:p w14:paraId="01402B45"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Каменистость почв</w:t>
            </w:r>
          </w:p>
        </w:tc>
        <w:tc>
          <w:tcPr>
            <w:tcW w:w="475" w:type="pct"/>
            <w:gridSpan w:val="2"/>
            <w:tcMar>
              <w:top w:w="102" w:type="dxa"/>
              <w:left w:w="62" w:type="dxa"/>
              <w:bottom w:w="102" w:type="dxa"/>
              <w:right w:w="62" w:type="dxa"/>
            </w:tcMar>
            <w:vAlign w:val="center"/>
          </w:tcPr>
          <w:p w14:paraId="15C8B41C" w14:textId="77777777" w:rsidR="000834DD" w:rsidRPr="00F774C7"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Применялся</w:t>
            </w:r>
          </w:p>
        </w:tc>
        <w:tc>
          <w:tcPr>
            <w:tcW w:w="2304" w:type="pct"/>
            <w:tcMar>
              <w:top w:w="102" w:type="dxa"/>
              <w:left w:w="62" w:type="dxa"/>
              <w:bottom w:w="102" w:type="dxa"/>
              <w:right w:w="62" w:type="dxa"/>
            </w:tcMar>
            <w:vAlign w:val="center"/>
            <w:hideMark/>
          </w:tcPr>
          <w:p w14:paraId="4FB258EF" w14:textId="77777777" w:rsidR="000834DD" w:rsidRPr="00F774C7"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 xml:space="preserve">Данный ЦОФ используется для определения стоимости земельных участков 1 сегмента (группа СХ использование) доходным подходом.   Источник: Почвенные материалы Воронежской области. Сводная информация представлена в Приложении №1\1.5\1.5.3 </w:t>
            </w:r>
          </w:p>
        </w:tc>
      </w:tr>
      <w:tr w:rsidR="000834DD" w:rsidRPr="00F562A8" w14:paraId="55DAEB6B" w14:textId="77777777" w:rsidTr="000834DD">
        <w:trPr>
          <w:trHeight w:val="20"/>
        </w:trPr>
        <w:tc>
          <w:tcPr>
            <w:tcW w:w="151" w:type="pct"/>
            <w:tcMar>
              <w:top w:w="102" w:type="dxa"/>
              <w:left w:w="62" w:type="dxa"/>
              <w:bottom w:w="102" w:type="dxa"/>
              <w:right w:w="62" w:type="dxa"/>
            </w:tcMar>
            <w:vAlign w:val="center"/>
            <w:hideMark/>
          </w:tcPr>
          <w:p w14:paraId="1BDF8C05"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11</w:t>
            </w:r>
          </w:p>
        </w:tc>
        <w:tc>
          <w:tcPr>
            <w:tcW w:w="2070" w:type="pct"/>
            <w:tcMar>
              <w:top w:w="102" w:type="dxa"/>
              <w:left w:w="62" w:type="dxa"/>
              <w:bottom w:w="102" w:type="dxa"/>
              <w:right w:w="62" w:type="dxa"/>
            </w:tcMar>
            <w:vAlign w:val="center"/>
            <w:hideMark/>
          </w:tcPr>
          <w:p w14:paraId="6A0B537C"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Засоление почв</w:t>
            </w:r>
          </w:p>
        </w:tc>
        <w:tc>
          <w:tcPr>
            <w:tcW w:w="475" w:type="pct"/>
            <w:gridSpan w:val="2"/>
            <w:tcMar>
              <w:top w:w="102" w:type="dxa"/>
              <w:left w:w="62" w:type="dxa"/>
              <w:bottom w:w="102" w:type="dxa"/>
              <w:right w:w="62" w:type="dxa"/>
            </w:tcMar>
            <w:vAlign w:val="center"/>
            <w:hideMark/>
          </w:tcPr>
          <w:p w14:paraId="4F8EBAAD" w14:textId="77777777" w:rsidR="000834DD" w:rsidRPr="00F774C7"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Применялся</w:t>
            </w:r>
          </w:p>
        </w:tc>
        <w:tc>
          <w:tcPr>
            <w:tcW w:w="2304" w:type="pct"/>
            <w:tcMar>
              <w:top w:w="102" w:type="dxa"/>
              <w:left w:w="62" w:type="dxa"/>
              <w:bottom w:w="102" w:type="dxa"/>
              <w:right w:w="62" w:type="dxa"/>
            </w:tcMar>
            <w:vAlign w:val="center"/>
            <w:hideMark/>
          </w:tcPr>
          <w:p w14:paraId="319C57A4" w14:textId="77777777" w:rsidR="000834DD" w:rsidRPr="00F774C7"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 xml:space="preserve">Данный ЦОФ используется для определения стоимости земельных участков 1 сегмента (группа СХ использование) доходным подходом.   Источник: Почвенные материалы Воронежской области. Сводная информация представлена в Приложении №1\1.5\1.5.3 </w:t>
            </w:r>
          </w:p>
        </w:tc>
      </w:tr>
      <w:tr w:rsidR="000834DD" w:rsidRPr="00F562A8" w14:paraId="24742F46" w14:textId="77777777" w:rsidTr="000834DD">
        <w:trPr>
          <w:trHeight w:val="20"/>
        </w:trPr>
        <w:tc>
          <w:tcPr>
            <w:tcW w:w="151" w:type="pct"/>
            <w:tcMar>
              <w:top w:w="102" w:type="dxa"/>
              <w:left w:w="62" w:type="dxa"/>
              <w:bottom w:w="102" w:type="dxa"/>
              <w:right w:w="62" w:type="dxa"/>
            </w:tcMar>
            <w:vAlign w:val="center"/>
            <w:hideMark/>
          </w:tcPr>
          <w:p w14:paraId="4A865497"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12</w:t>
            </w:r>
          </w:p>
        </w:tc>
        <w:tc>
          <w:tcPr>
            <w:tcW w:w="2070" w:type="pct"/>
            <w:tcMar>
              <w:top w:w="102" w:type="dxa"/>
              <w:left w:w="62" w:type="dxa"/>
              <w:bottom w:w="102" w:type="dxa"/>
              <w:right w:w="62" w:type="dxa"/>
            </w:tcMar>
            <w:vAlign w:val="center"/>
            <w:hideMark/>
          </w:tcPr>
          <w:p w14:paraId="1E681434"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Солонцеватость почв</w:t>
            </w:r>
          </w:p>
        </w:tc>
        <w:tc>
          <w:tcPr>
            <w:tcW w:w="475" w:type="pct"/>
            <w:gridSpan w:val="2"/>
            <w:tcMar>
              <w:top w:w="102" w:type="dxa"/>
              <w:left w:w="62" w:type="dxa"/>
              <w:bottom w:w="102" w:type="dxa"/>
              <w:right w:w="62" w:type="dxa"/>
            </w:tcMar>
            <w:vAlign w:val="center"/>
            <w:hideMark/>
          </w:tcPr>
          <w:p w14:paraId="19DBBF39" w14:textId="77777777" w:rsidR="000834DD" w:rsidRPr="00F774C7"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Применялся</w:t>
            </w:r>
          </w:p>
        </w:tc>
        <w:tc>
          <w:tcPr>
            <w:tcW w:w="2304" w:type="pct"/>
            <w:tcMar>
              <w:top w:w="102" w:type="dxa"/>
              <w:left w:w="62" w:type="dxa"/>
              <w:bottom w:w="102" w:type="dxa"/>
              <w:right w:w="62" w:type="dxa"/>
            </w:tcMar>
            <w:vAlign w:val="center"/>
            <w:hideMark/>
          </w:tcPr>
          <w:p w14:paraId="1E43A741" w14:textId="77777777" w:rsidR="000834DD" w:rsidRPr="00F774C7"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 xml:space="preserve">Данный ЦОФ используется для определения стоимости земельных участков 1 сегмента (группа СХ использование) доходным подходом.   Источник: Почвенные материалы Воронежской области. Сводная информация представлена в Приложении №1\1.5\1.5.3 </w:t>
            </w:r>
          </w:p>
        </w:tc>
      </w:tr>
      <w:tr w:rsidR="000834DD" w:rsidRPr="00F562A8" w14:paraId="365FC259" w14:textId="77777777" w:rsidTr="000834DD">
        <w:trPr>
          <w:trHeight w:val="20"/>
        </w:trPr>
        <w:tc>
          <w:tcPr>
            <w:tcW w:w="151" w:type="pct"/>
            <w:tcMar>
              <w:top w:w="102" w:type="dxa"/>
              <w:left w:w="62" w:type="dxa"/>
              <w:bottom w:w="102" w:type="dxa"/>
              <w:right w:w="62" w:type="dxa"/>
            </w:tcMar>
            <w:vAlign w:val="center"/>
            <w:hideMark/>
          </w:tcPr>
          <w:p w14:paraId="18464EEC"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13</w:t>
            </w:r>
          </w:p>
        </w:tc>
        <w:tc>
          <w:tcPr>
            <w:tcW w:w="2070" w:type="pct"/>
            <w:tcMar>
              <w:top w:w="102" w:type="dxa"/>
              <w:left w:w="62" w:type="dxa"/>
              <w:bottom w:w="102" w:type="dxa"/>
              <w:right w:w="62" w:type="dxa"/>
            </w:tcMar>
            <w:vAlign w:val="center"/>
            <w:hideMark/>
          </w:tcPr>
          <w:p w14:paraId="5C4E79F1"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Солонцы по мощности надсолонцового горизонта</w:t>
            </w:r>
          </w:p>
        </w:tc>
        <w:tc>
          <w:tcPr>
            <w:tcW w:w="475" w:type="pct"/>
            <w:gridSpan w:val="2"/>
            <w:tcMar>
              <w:top w:w="102" w:type="dxa"/>
              <w:left w:w="62" w:type="dxa"/>
              <w:bottom w:w="102" w:type="dxa"/>
              <w:right w:w="62" w:type="dxa"/>
            </w:tcMar>
            <w:hideMark/>
          </w:tcPr>
          <w:p w14:paraId="49A8F3F5" w14:textId="77777777" w:rsidR="000834DD" w:rsidRPr="00F774C7"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hideMark/>
          </w:tcPr>
          <w:p w14:paraId="71A3DCEF" w14:textId="77777777" w:rsidR="000834DD" w:rsidRPr="00F774C7"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Отсутствуют</w:t>
            </w:r>
            <w:r w:rsidRPr="00977FE5">
              <w:rPr>
                <w:rFonts w:ascii="Times New Roman" w:eastAsiaTheme="minorEastAsia" w:hAnsi="Times New Roman" w:cs="Times New Roman"/>
                <w:lang w:eastAsia="ru-RU"/>
              </w:rPr>
              <w:t xml:space="preserve"> полные и достоверные данные о ЦФ</w:t>
            </w:r>
          </w:p>
        </w:tc>
      </w:tr>
      <w:tr w:rsidR="000834DD" w:rsidRPr="00F562A8" w14:paraId="66323573" w14:textId="77777777" w:rsidTr="000834DD">
        <w:trPr>
          <w:trHeight w:val="20"/>
        </w:trPr>
        <w:tc>
          <w:tcPr>
            <w:tcW w:w="151" w:type="pct"/>
            <w:tcMar>
              <w:top w:w="102" w:type="dxa"/>
              <w:left w:w="62" w:type="dxa"/>
              <w:bottom w:w="102" w:type="dxa"/>
              <w:right w:w="62" w:type="dxa"/>
            </w:tcMar>
            <w:vAlign w:val="center"/>
            <w:hideMark/>
          </w:tcPr>
          <w:p w14:paraId="12AF9E30"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14</w:t>
            </w:r>
          </w:p>
        </w:tc>
        <w:tc>
          <w:tcPr>
            <w:tcW w:w="2070" w:type="pct"/>
            <w:tcMar>
              <w:top w:w="102" w:type="dxa"/>
              <w:left w:w="62" w:type="dxa"/>
              <w:bottom w:w="102" w:type="dxa"/>
              <w:right w:w="62" w:type="dxa"/>
            </w:tcMar>
            <w:vAlign w:val="center"/>
            <w:hideMark/>
          </w:tcPr>
          <w:p w14:paraId="76544058"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Карбонатность почв</w:t>
            </w:r>
          </w:p>
        </w:tc>
        <w:tc>
          <w:tcPr>
            <w:tcW w:w="475" w:type="pct"/>
            <w:gridSpan w:val="2"/>
            <w:tcMar>
              <w:top w:w="102" w:type="dxa"/>
              <w:left w:w="62" w:type="dxa"/>
              <w:bottom w:w="102" w:type="dxa"/>
              <w:right w:w="62" w:type="dxa"/>
            </w:tcMar>
            <w:vAlign w:val="center"/>
            <w:hideMark/>
          </w:tcPr>
          <w:p w14:paraId="193576EB" w14:textId="77777777" w:rsidR="000834DD" w:rsidRPr="00F774C7"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Применялся</w:t>
            </w:r>
          </w:p>
        </w:tc>
        <w:tc>
          <w:tcPr>
            <w:tcW w:w="2304" w:type="pct"/>
            <w:tcMar>
              <w:top w:w="102" w:type="dxa"/>
              <w:left w:w="62" w:type="dxa"/>
              <w:bottom w:w="102" w:type="dxa"/>
              <w:right w:w="62" w:type="dxa"/>
            </w:tcMar>
            <w:vAlign w:val="center"/>
            <w:hideMark/>
          </w:tcPr>
          <w:p w14:paraId="331FCE18" w14:textId="77777777" w:rsidR="000834DD" w:rsidRPr="00F774C7"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 xml:space="preserve">Данный ЦОФ используется для определения стоимости земельных участков 1 сегмента (группа СХ использование) доходным подходом.   Источник: Почвенные материалы Воронежской области. Сводная информация представлена в Приложении №1\1.5\1.5.3 </w:t>
            </w:r>
          </w:p>
        </w:tc>
      </w:tr>
      <w:tr w:rsidR="000834DD" w:rsidRPr="00F562A8" w14:paraId="6987803F" w14:textId="77777777" w:rsidTr="000834DD">
        <w:trPr>
          <w:trHeight w:val="20"/>
        </w:trPr>
        <w:tc>
          <w:tcPr>
            <w:tcW w:w="151" w:type="pct"/>
            <w:tcMar>
              <w:top w:w="102" w:type="dxa"/>
              <w:left w:w="62" w:type="dxa"/>
              <w:bottom w:w="102" w:type="dxa"/>
              <w:right w:w="62" w:type="dxa"/>
            </w:tcMar>
            <w:vAlign w:val="center"/>
            <w:hideMark/>
          </w:tcPr>
          <w:p w14:paraId="2F39689A"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15</w:t>
            </w:r>
          </w:p>
        </w:tc>
        <w:tc>
          <w:tcPr>
            <w:tcW w:w="2070" w:type="pct"/>
            <w:tcMar>
              <w:top w:w="102" w:type="dxa"/>
              <w:left w:w="62" w:type="dxa"/>
              <w:bottom w:w="102" w:type="dxa"/>
              <w:right w:w="62" w:type="dxa"/>
            </w:tcMar>
            <w:vAlign w:val="center"/>
            <w:hideMark/>
          </w:tcPr>
          <w:p w14:paraId="486E9E08"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Уплотнение почв</w:t>
            </w:r>
          </w:p>
        </w:tc>
        <w:tc>
          <w:tcPr>
            <w:tcW w:w="475" w:type="pct"/>
            <w:gridSpan w:val="2"/>
            <w:tcMar>
              <w:top w:w="102" w:type="dxa"/>
              <w:left w:w="62" w:type="dxa"/>
              <w:bottom w:w="102" w:type="dxa"/>
              <w:right w:w="62" w:type="dxa"/>
            </w:tcMar>
            <w:vAlign w:val="center"/>
            <w:hideMark/>
          </w:tcPr>
          <w:p w14:paraId="56B17AB0" w14:textId="77777777" w:rsidR="000834DD" w:rsidRPr="00F774C7"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71BC8D59" w14:textId="77777777" w:rsidR="000834DD" w:rsidRPr="00F774C7"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Отсутствуют полные и достоверные данные о ЦФ</w:t>
            </w:r>
          </w:p>
        </w:tc>
      </w:tr>
      <w:tr w:rsidR="000834DD" w:rsidRPr="00F562A8" w14:paraId="4A85F94B" w14:textId="77777777" w:rsidTr="000834DD">
        <w:trPr>
          <w:trHeight w:val="20"/>
        </w:trPr>
        <w:tc>
          <w:tcPr>
            <w:tcW w:w="151" w:type="pct"/>
            <w:tcMar>
              <w:top w:w="102" w:type="dxa"/>
              <w:left w:w="62" w:type="dxa"/>
              <w:bottom w:w="102" w:type="dxa"/>
              <w:right w:w="62" w:type="dxa"/>
            </w:tcMar>
            <w:vAlign w:val="center"/>
            <w:hideMark/>
          </w:tcPr>
          <w:p w14:paraId="0E4FE6E7"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16</w:t>
            </w:r>
          </w:p>
        </w:tc>
        <w:tc>
          <w:tcPr>
            <w:tcW w:w="2070" w:type="pct"/>
            <w:tcMar>
              <w:top w:w="102" w:type="dxa"/>
              <w:left w:w="62" w:type="dxa"/>
              <w:bottom w:w="102" w:type="dxa"/>
              <w:right w:w="62" w:type="dxa"/>
            </w:tcMar>
            <w:vAlign w:val="center"/>
            <w:hideMark/>
          </w:tcPr>
          <w:p w14:paraId="2A59E29E"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Переувлажнение</w:t>
            </w:r>
          </w:p>
        </w:tc>
        <w:tc>
          <w:tcPr>
            <w:tcW w:w="475" w:type="pct"/>
            <w:gridSpan w:val="2"/>
            <w:tcMar>
              <w:top w:w="102" w:type="dxa"/>
              <w:left w:w="62" w:type="dxa"/>
              <w:bottom w:w="102" w:type="dxa"/>
              <w:right w:w="62" w:type="dxa"/>
            </w:tcMar>
            <w:vAlign w:val="center"/>
            <w:hideMark/>
          </w:tcPr>
          <w:p w14:paraId="555791CD" w14:textId="77777777" w:rsidR="000834DD" w:rsidRPr="00F774C7"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Применялся</w:t>
            </w:r>
          </w:p>
        </w:tc>
        <w:tc>
          <w:tcPr>
            <w:tcW w:w="2304" w:type="pct"/>
            <w:tcMar>
              <w:top w:w="102" w:type="dxa"/>
              <w:left w:w="62" w:type="dxa"/>
              <w:bottom w:w="102" w:type="dxa"/>
              <w:right w:w="62" w:type="dxa"/>
            </w:tcMar>
            <w:vAlign w:val="center"/>
            <w:hideMark/>
          </w:tcPr>
          <w:p w14:paraId="1B814D7A" w14:textId="77777777" w:rsidR="000834DD" w:rsidRPr="00F774C7"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 xml:space="preserve">Данный ЦОФ используется для определения стоимости земельных участков 1 сегмента (группа СХ использование) доходным подходом.   Источник: Почвенные материалы Воронежской области. Сводная информация представлена в Приложении №1\1.5\1.5.3 </w:t>
            </w:r>
          </w:p>
        </w:tc>
      </w:tr>
      <w:tr w:rsidR="000834DD" w:rsidRPr="00F562A8" w14:paraId="61C51440" w14:textId="77777777" w:rsidTr="000834DD">
        <w:trPr>
          <w:trHeight w:val="20"/>
        </w:trPr>
        <w:tc>
          <w:tcPr>
            <w:tcW w:w="151" w:type="pct"/>
            <w:tcMar>
              <w:top w:w="102" w:type="dxa"/>
              <w:left w:w="62" w:type="dxa"/>
              <w:bottom w:w="102" w:type="dxa"/>
              <w:right w:w="62" w:type="dxa"/>
            </w:tcMar>
            <w:vAlign w:val="center"/>
            <w:hideMark/>
          </w:tcPr>
          <w:p w14:paraId="10B98006"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17</w:t>
            </w:r>
          </w:p>
        </w:tc>
        <w:tc>
          <w:tcPr>
            <w:tcW w:w="2070" w:type="pct"/>
            <w:tcMar>
              <w:top w:w="102" w:type="dxa"/>
              <w:left w:w="62" w:type="dxa"/>
              <w:bottom w:w="102" w:type="dxa"/>
              <w:right w:w="62" w:type="dxa"/>
            </w:tcMar>
            <w:vAlign w:val="center"/>
            <w:hideMark/>
          </w:tcPr>
          <w:p w14:paraId="37712E7D"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Наличие неудобий (степень изрезанности рельефом)</w:t>
            </w:r>
          </w:p>
        </w:tc>
        <w:tc>
          <w:tcPr>
            <w:tcW w:w="475" w:type="pct"/>
            <w:gridSpan w:val="2"/>
            <w:tcMar>
              <w:top w:w="102" w:type="dxa"/>
              <w:left w:w="62" w:type="dxa"/>
              <w:bottom w:w="102" w:type="dxa"/>
              <w:right w:w="62" w:type="dxa"/>
            </w:tcMar>
            <w:vAlign w:val="center"/>
            <w:hideMark/>
          </w:tcPr>
          <w:p w14:paraId="0C112FC1" w14:textId="77777777" w:rsidR="000834DD" w:rsidRPr="00F774C7"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0A61B763" w14:textId="77777777" w:rsidR="000834DD" w:rsidRPr="00F774C7"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Отсутствуют полные и достоверные данные о ЦФ</w:t>
            </w:r>
          </w:p>
        </w:tc>
      </w:tr>
      <w:tr w:rsidR="000834DD" w:rsidRPr="00F562A8" w14:paraId="721E12BF" w14:textId="77777777" w:rsidTr="000834DD">
        <w:trPr>
          <w:trHeight w:val="20"/>
        </w:trPr>
        <w:tc>
          <w:tcPr>
            <w:tcW w:w="151" w:type="pct"/>
            <w:tcMar>
              <w:top w:w="102" w:type="dxa"/>
              <w:left w:w="62" w:type="dxa"/>
              <w:bottom w:w="102" w:type="dxa"/>
              <w:right w:w="62" w:type="dxa"/>
            </w:tcMar>
            <w:vAlign w:val="center"/>
            <w:hideMark/>
          </w:tcPr>
          <w:p w14:paraId="60A6B96F"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18</w:t>
            </w:r>
          </w:p>
        </w:tc>
        <w:tc>
          <w:tcPr>
            <w:tcW w:w="2070" w:type="pct"/>
            <w:tcMar>
              <w:top w:w="102" w:type="dxa"/>
              <w:left w:w="62" w:type="dxa"/>
              <w:bottom w:w="102" w:type="dxa"/>
              <w:right w:w="62" w:type="dxa"/>
            </w:tcMar>
            <w:vAlign w:val="center"/>
            <w:hideMark/>
          </w:tcPr>
          <w:p w14:paraId="7724BD86"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Пестрота почвенного покрова</w:t>
            </w:r>
          </w:p>
        </w:tc>
        <w:tc>
          <w:tcPr>
            <w:tcW w:w="475" w:type="pct"/>
            <w:gridSpan w:val="2"/>
            <w:tcMar>
              <w:top w:w="102" w:type="dxa"/>
              <w:left w:w="62" w:type="dxa"/>
              <w:bottom w:w="102" w:type="dxa"/>
              <w:right w:w="62" w:type="dxa"/>
            </w:tcMar>
            <w:vAlign w:val="center"/>
            <w:hideMark/>
          </w:tcPr>
          <w:p w14:paraId="5787B497" w14:textId="77777777" w:rsidR="000834DD" w:rsidRPr="00F774C7"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0C27E8E3" w14:textId="77777777" w:rsidR="000834DD" w:rsidRPr="00F774C7"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Отсутствуют полные и достоверные данные о ЦФ</w:t>
            </w:r>
          </w:p>
        </w:tc>
      </w:tr>
      <w:tr w:rsidR="000834DD" w:rsidRPr="00F562A8" w14:paraId="3174CCEA" w14:textId="77777777" w:rsidTr="000834DD">
        <w:trPr>
          <w:trHeight w:val="20"/>
        </w:trPr>
        <w:tc>
          <w:tcPr>
            <w:tcW w:w="151" w:type="pct"/>
            <w:tcMar>
              <w:top w:w="102" w:type="dxa"/>
              <w:left w:w="62" w:type="dxa"/>
              <w:bottom w:w="102" w:type="dxa"/>
              <w:right w:w="62" w:type="dxa"/>
            </w:tcMar>
            <w:vAlign w:val="center"/>
            <w:hideMark/>
          </w:tcPr>
          <w:p w14:paraId="06C211C4"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19</w:t>
            </w:r>
          </w:p>
        </w:tc>
        <w:tc>
          <w:tcPr>
            <w:tcW w:w="2070" w:type="pct"/>
            <w:tcMar>
              <w:top w:w="102" w:type="dxa"/>
              <w:left w:w="62" w:type="dxa"/>
              <w:bottom w:w="102" w:type="dxa"/>
              <w:right w:w="62" w:type="dxa"/>
            </w:tcMar>
            <w:vAlign w:val="center"/>
            <w:hideMark/>
          </w:tcPr>
          <w:p w14:paraId="5E3040BA"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Удаленность от рынков сбыта</w:t>
            </w:r>
          </w:p>
        </w:tc>
        <w:tc>
          <w:tcPr>
            <w:tcW w:w="475" w:type="pct"/>
            <w:gridSpan w:val="2"/>
            <w:tcMar>
              <w:top w:w="102" w:type="dxa"/>
              <w:left w:w="62" w:type="dxa"/>
              <w:bottom w:w="102" w:type="dxa"/>
              <w:right w:w="62" w:type="dxa"/>
            </w:tcMar>
            <w:vAlign w:val="center"/>
            <w:hideMark/>
          </w:tcPr>
          <w:p w14:paraId="7C300612" w14:textId="77777777" w:rsidR="000834DD" w:rsidRPr="00F774C7" w:rsidRDefault="000834DD" w:rsidP="000834DD">
            <w:pPr>
              <w:widowControl w:val="0"/>
              <w:autoSpaceDE w:val="0"/>
              <w:autoSpaceDN w:val="0"/>
              <w:adjustRightInd w:val="0"/>
              <w:spacing w:after="0" w:line="276" w:lineRule="auto"/>
              <w:jc w:val="center"/>
              <w:rPr>
                <w:rFonts w:ascii="Times New Roman" w:hAnsi="Times New Roman" w:cs="Times New Roman"/>
                <w:highlight w:val="yellow"/>
              </w:rPr>
            </w:pPr>
            <w:r>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hideMark/>
          </w:tcPr>
          <w:p w14:paraId="5965CCF6" w14:textId="77777777" w:rsidR="000834DD" w:rsidRPr="00F774C7"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highlight w:val="yellow"/>
                <w:lang w:eastAsia="ru-RU"/>
              </w:rPr>
            </w:pPr>
            <w:r>
              <w:rPr>
                <w:rFonts w:ascii="Times New Roman" w:eastAsiaTheme="minorEastAsia" w:hAnsi="Times New Roman" w:cs="Times New Roman"/>
                <w:lang w:eastAsia="ru-RU"/>
              </w:rPr>
              <w:t>Примененные методики расчета не предусматривают использование данного показателя</w:t>
            </w:r>
          </w:p>
        </w:tc>
      </w:tr>
      <w:bookmarkEnd w:id="125"/>
      <w:tr w:rsidR="000834DD" w:rsidRPr="00F562A8" w14:paraId="0E1B729B" w14:textId="77777777" w:rsidTr="000834DD">
        <w:trPr>
          <w:trHeight w:val="20"/>
        </w:trPr>
        <w:tc>
          <w:tcPr>
            <w:tcW w:w="151" w:type="pct"/>
          </w:tcPr>
          <w:p w14:paraId="68E5F4C9"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p>
        </w:tc>
        <w:tc>
          <w:tcPr>
            <w:tcW w:w="4849" w:type="pct"/>
            <w:gridSpan w:val="4"/>
            <w:tcMar>
              <w:top w:w="102" w:type="dxa"/>
              <w:left w:w="62" w:type="dxa"/>
              <w:bottom w:w="102" w:type="dxa"/>
              <w:right w:w="62" w:type="dxa"/>
            </w:tcMar>
            <w:vAlign w:val="center"/>
            <w:hideMark/>
          </w:tcPr>
          <w:p w14:paraId="58ECC3AC"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rPr>
            </w:pPr>
            <w:r w:rsidRPr="00F562A8">
              <w:rPr>
                <w:rFonts w:ascii="Times New Roman" w:eastAsiaTheme="minorEastAsia" w:hAnsi="Times New Roman" w:cs="Times New Roman"/>
                <w:lang w:eastAsia="ru-RU"/>
              </w:rPr>
              <w:t>Сведения о местоположении</w:t>
            </w:r>
          </w:p>
        </w:tc>
      </w:tr>
      <w:tr w:rsidR="000834DD" w:rsidRPr="00F562A8" w14:paraId="74A9E9BC" w14:textId="77777777" w:rsidTr="000834DD">
        <w:trPr>
          <w:trHeight w:val="431"/>
        </w:trPr>
        <w:tc>
          <w:tcPr>
            <w:tcW w:w="151" w:type="pct"/>
            <w:tcMar>
              <w:top w:w="102" w:type="dxa"/>
              <w:left w:w="62" w:type="dxa"/>
              <w:bottom w:w="102" w:type="dxa"/>
              <w:right w:w="62" w:type="dxa"/>
            </w:tcMar>
            <w:vAlign w:val="center"/>
          </w:tcPr>
          <w:p w14:paraId="4E0864F9"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37</w:t>
            </w:r>
          </w:p>
        </w:tc>
        <w:tc>
          <w:tcPr>
            <w:tcW w:w="2070" w:type="pct"/>
            <w:tcMar>
              <w:top w:w="102" w:type="dxa"/>
              <w:left w:w="62" w:type="dxa"/>
              <w:bottom w:w="102" w:type="dxa"/>
              <w:right w:w="62" w:type="dxa"/>
            </w:tcMar>
            <w:vAlign w:val="center"/>
          </w:tcPr>
          <w:p w14:paraId="331674EE"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
        </w:tc>
        <w:tc>
          <w:tcPr>
            <w:tcW w:w="475" w:type="pct"/>
            <w:gridSpan w:val="2"/>
            <w:tcMar>
              <w:top w:w="102" w:type="dxa"/>
              <w:left w:w="62" w:type="dxa"/>
              <w:bottom w:w="102" w:type="dxa"/>
              <w:right w:w="62" w:type="dxa"/>
            </w:tcMar>
            <w:vAlign w:val="center"/>
          </w:tcPr>
          <w:p w14:paraId="7F90AB72"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применялся</w:t>
            </w:r>
          </w:p>
        </w:tc>
        <w:tc>
          <w:tcPr>
            <w:tcW w:w="2304" w:type="pct"/>
            <w:tcMar>
              <w:top w:w="102" w:type="dxa"/>
              <w:left w:w="62" w:type="dxa"/>
              <w:bottom w:w="102" w:type="dxa"/>
              <w:right w:w="62" w:type="dxa"/>
            </w:tcMar>
            <w:vAlign w:val="center"/>
          </w:tcPr>
          <w:p w14:paraId="6C0E1E36"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Данный фактор оказывает влияние на стоимость земельных участков и использовался при построении моделей</w:t>
            </w:r>
            <w:r>
              <w:rPr>
                <w:rFonts w:ascii="Times New Roman" w:eastAsiaTheme="minorEastAsia" w:hAnsi="Times New Roman" w:cs="Times New Roman"/>
                <w:lang w:eastAsia="ru-RU"/>
              </w:rPr>
              <w:t xml:space="preserve"> (</w:t>
            </w:r>
            <w:r>
              <w:t xml:space="preserve"> </w:t>
            </w:r>
            <w:r w:rsidRPr="00716079">
              <w:rPr>
                <w:rFonts w:ascii="Times New Roman" w:eastAsiaTheme="minorEastAsia" w:hAnsi="Times New Roman" w:cs="Times New Roman"/>
                <w:lang w:eastAsia="ru-RU"/>
              </w:rPr>
              <w:t>гнп Расстояние до ближайшей автомобильной дороги населенного пункта</w:t>
            </w:r>
            <w:r>
              <w:rPr>
                <w:rFonts w:ascii="Times New Roman" w:eastAsiaTheme="minorEastAsia" w:hAnsi="Times New Roman" w:cs="Times New Roman"/>
                <w:lang w:eastAsia="ru-RU"/>
              </w:rPr>
              <w:t>;</w:t>
            </w:r>
            <w:r>
              <w:t xml:space="preserve"> </w:t>
            </w:r>
            <w:r w:rsidRPr="00716079">
              <w:rPr>
                <w:rFonts w:ascii="Times New Roman" w:eastAsiaTheme="minorEastAsia" w:hAnsi="Times New Roman" w:cs="Times New Roman"/>
                <w:lang w:eastAsia="ru-RU"/>
              </w:rPr>
              <w:t>СНП Расстояние до ближайшей к населенному пункту дороги федерального значения</w:t>
            </w:r>
            <w:r>
              <w:rPr>
                <w:rFonts w:ascii="Times New Roman" w:eastAsiaTheme="minorEastAsia" w:hAnsi="Times New Roman" w:cs="Times New Roman"/>
                <w:lang w:eastAsia="ru-RU"/>
              </w:rPr>
              <w:t>;</w:t>
            </w:r>
            <w:r>
              <w:t xml:space="preserve"> </w:t>
            </w:r>
            <w:r w:rsidRPr="00716079">
              <w:rPr>
                <w:rFonts w:ascii="Times New Roman" w:eastAsiaTheme="minorEastAsia" w:hAnsi="Times New Roman" w:cs="Times New Roman"/>
                <w:lang w:eastAsia="ru-RU"/>
              </w:rPr>
              <w:t>_Статус автодороги, на которой расположен объект (ФЗ – федерального значения; РЗ – регионального значения; МЗ – местного (межмуниципального) значения)</w:t>
            </w:r>
            <w:r>
              <w:rPr>
                <w:rFonts w:ascii="Times New Roman" w:eastAsiaTheme="minorEastAsia" w:hAnsi="Times New Roman" w:cs="Times New Roman"/>
                <w:lang w:eastAsia="ru-RU"/>
              </w:rPr>
              <w:t>)</w:t>
            </w:r>
            <w:r w:rsidRPr="00F562A8">
              <w:rPr>
                <w:rFonts w:ascii="Times New Roman" w:eastAsiaTheme="minorEastAsia" w:hAnsi="Times New Roman" w:cs="Times New Roman"/>
                <w:lang w:eastAsia="ru-RU"/>
              </w:rPr>
              <w:t>.</w:t>
            </w:r>
            <w:r>
              <w:rPr>
                <w:rFonts w:ascii="Times New Roman" w:hAnsi="Times New Roman" w:cs="Times New Roman"/>
                <w:sz w:val="24"/>
                <w:szCs w:val="24"/>
              </w:rPr>
              <w:t xml:space="preserve"> Источник: Сведения </w:t>
            </w:r>
            <w:r w:rsidRPr="00C12CA2">
              <w:rPr>
                <w:rFonts w:ascii="Times New Roman" w:eastAsiaTheme="minorEastAsia" w:hAnsi="Times New Roman" w:cs="Times New Roman"/>
                <w:lang w:eastAsia="ru-RU"/>
              </w:rPr>
              <w:t>Департамент</w:t>
            </w:r>
            <w:r>
              <w:rPr>
                <w:rFonts w:ascii="Times New Roman" w:eastAsiaTheme="minorEastAsia" w:hAnsi="Times New Roman" w:cs="Times New Roman"/>
                <w:lang w:eastAsia="ru-RU"/>
              </w:rPr>
              <w:t>а</w:t>
            </w:r>
            <w:r w:rsidRPr="00C12CA2">
              <w:rPr>
                <w:rFonts w:ascii="Times New Roman" w:eastAsiaTheme="minorEastAsia" w:hAnsi="Times New Roman" w:cs="Times New Roman"/>
                <w:lang w:eastAsia="ru-RU"/>
              </w:rPr>
              <w:t xml:space="preserve"> дорожной деятельности Воронежской области</w:t>
            </w:r>
            <w:r>
              <w:rPr>
                <w:rFonts w:ascii="Times New Roman" w:eastAsiaTheme="minorEastAsia" w:hAnsi="Times New Roman" w:cs="Times New Roman"/>
                <w:lang w:eastAsia="ru-RU"/>
              </w:rPr>
              <w:t xml:space="preserve"> и Сведения ОМС</w:t>
            </w:r>
            <w:r w:rsidRPr="00C12CA2">
              <w:rPr>
                <w:rFonts w:ascii="Times New Roman" w:eastAsiaTheme="minorEastAsia" w:hAnsi="Times New Roman" w:cs="Times New Roman"/>
                <w:lang w:eastAsia="ru-RU"/>
              </w:rPr>
              <w:t>.</w:t>
            </w:r>
          </w:p>
        </w:tc>
      </w:tr>
      <w:tr w:rsidR="000834DD" w:rsidRPr="00F562A8" w14:paraId="4AC304E1" w14:textId="77777777" w:rsidTr="000834DD">
        <w:trPr>
          <w:trHeight w:val="431"/>
        </w:trPr>
        <w:tc>
          <w:tcPr>
            <w:tcW w:w="151" w:type="pct"/>
            <w:tcMar>
              <w:top w:w="102" w:type="dxa"/>
              <w:left w:w="62" w:type="dxa"/>
              <w:bottom w:w="102" w:type="dxa"/>
              <w:right w:w="62" w:type="dxa"/>
            </w:tcMar>
            <w:vAlign w:val="center"/>
          </w:tcPr>
          <w:p w14:paraId="3578D5B2"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38</w:t>
            </w:r>
          </w:p>
        </w:tc>
        <w:tc>
          <w:tcPr>
            <w:tcW w:w="2070" w:type="pct"/>
            <w:tcMar>
              <w:top w:w="102" w:type="dxa"/>
              <w:left w:w="62" w:type="dxa"/>
              <w:bottom w:w="102" w:type="dxa"/>
              <w:right w:w="62" w:type="dxa"/>
            </w:tcMar>
            <w:vAlign w:val="center"/>
          </w:tcPr>
          <w:p w14:paraId="77AAE600"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Линия застройки зданий, сооружений</w:t>
            </w:r>
          </w:p>
        </w:tc>
        <w:tc>
          <w:tcPr>
            <w:tcW w:w="475" w:type="pct"/>
            <w:gridSpan w:val="2"/>
            <w:tcMar>
              <w:top w:w="102" w:type="dxa"/>
              <w:left w:w="62" w:type="dxa"/>
              <w:bottom w:w="102" w:type="dxa"/>
              <w:right w:w="62" w:type="dxa"/>
            </w:tcMar>
            <w:vAlign w:val="center"/>
          </w:tcPr>
          <w:p w14:paraId="7246941E"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tcPr>
          <w:p w14:paraId="18AD4880"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Отсутствуют полные и достоверные данные о влиянии данного фактора на кадастровую стоимость земельных участков, ввиду чего данных фактор не применялся.</w:t>
            </w:r>
          </w:p>
        </w:tc>
      </w:tr>
      <w:tr w:rsidR="000834DD" w:rsidRPr="00F562A8" w14:paraId="560203D0" w14:textId="77777777" w:rsidTr="000834DD">
        <w:trPr>
          <w:trHeight w:val="431"/>
        </w:trPr>
        <w:tc>
          <w:tcPr>
            <w:tcW w:w="151" w:type="pct"/>
            <w:tcMar>
              <w:top w:w="102" w:type="dxa"/>
              <w:left w:w="62" w:type="dxa"/>
              <w:bottom w:w="102" w:type="dxa"/>
              <w:right w:w="62" w:type="dxa"/>
            </w:tcMar>
            <w:vAlign w:val="center"/>
          </w:tcPr>
          <w:p w14:paraId="369F164A" w14:textId="77777777" w:rsidR="000834DD"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39</w:t>
            </w:r>
          </w:p>
        </w:tc>
        <w:tc>
          <w:tcPr>
            <w:tcW w:w="2070" w:type="pct"/>
            <w:tcMar>
              <w:top w:w="102" w:type="dxa"/>
              <w:left w:w="62" w:type="dxa"/>
              <w:bottom w:w="102" w:type="dxa"/>
              <w:right w:w="62" w:type="dxa"/>
            </w:tcMar>
            <w:vAlign w:val="center"/>
          </w:tcPr>
          <w:p w14:paraId="1026D39A"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Расположение земельного участка относительно ближайшего водного объекта, его наименование, тип (море, река, озеро, пруд, затопленный карьер и прочее)</w:t>
            </w:r>
          </w:p>
        </w:tc>
        <w:tc>
          <w:tcPr>
            <w:tcW w:w="475" w:type="pct"/>
            <w:gridSpan w:val="2"/>
            <w:tcMar>
              <w:top w:w="102" w:type="dxa"/>
              <w:left w:w="62" w:type="dxa"/>
              <w:bottom w:w="102" w:type="dxa"/>
              <w:right w:w="62" w:type="dxa"/>
            </w:tcMar>
            <w:vAlign w:val="center"/>
          </w:tcPr>
          <w:p w14:paraId="3C906FB2"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tcPr>
          <w:p w14:paraId="0C19D4B6"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Данный фактор</w:t>
            </w:r>
            <w:r>
              <w:rPr>
                <w:rFonts w:ascii="Times New Roman" w:eastAsiaTheme="minorEastAsia" w:hAnsi="Times New Roman" w:cs="Times New Roman"/>
                <w:lang w:eastAsia="ru-RU"/>
              </w:rPr>
              <w:t xml:space="preserve"> (</w:t>
            </w:r>
            <w:r w:rsidRPr="00311D06">
              <w:rPr>
                <w:rFonts w:ascii="Times New Roman" w:eastAsiaTheme="minorEastAsia" w:hAnsi="Times New Roman" w:cs="Times New Roman"/>
                <w:lang w:eastAsia="ru-RU"/>
              </w:rPr>
              <w:t>_Наличие на территории объекта или вблизи (до 1 км) водного объекта</w:t>
            </w:r>
            <w:r>
              <w:rPr>
                <w:rFonts w:ascii="Times New Roman" w:eastAsiaTheme="minorEastAsia" w:hAnsi="Times New Roman" w:cs="Times New Roman"/>
                <w:lang w:eastAsia="ru-RU"/>
              </w:rPr>
              <w:t xml:space="preserve">; </w:t>
            </w:r>
            <w:r w:rsidRPr="00311D06">
              <w:rPr>
                <w:rFonts w:ascii="Times New Roman" w:eastAsiaTheme="minorEastAsia" w:hAnsi="Times New Roman" w:cs="Times New Roman"/>
                <w:lang w:eastAsia="ru-RU"/>
              </w:rPr>
              <w:t>гнп Близость к водным объектам: река, озеро, пруд и т.д.</w:t>
            </w:r>
            <w:r>
              <w:rPr>
                <w:rFonts w:ascii="Times New Roman" w:eastAsiaTheme="minorEastAsia" w:hAnsi="Times New Roman" w:cs="Times New Roman"/>
                <w:lang w:eastAsia="ru-RU"/>
              </w:rPr>
              <w:t xml:space="preserve">; </w:t>
            </w:r>
            <w:r w:rsidRPr="00311D06">
              <w:rPr>
                <w:rFonts w:ascii="Times New Roman" w:eastAsiaTheme="minorEastAsia" w:hAnsi="Times New Roman" w:cs="Times New Roman"/>
                <w:lang w:eastAsia="ru-RU"/>
              </w:rPr>
              <w:t>СНП Наличие в населенном пункте или вблизи (до 1 км) водного объекта</w:t>
            </w:r>
            <w:r>
              <w:rPr>
                <w:rFonts w:ascii="Times New Roman" w:eastAsiaTheme="minorEastAsia" w:hAnsi="Times New Roman" w:cs="Times New Roman"/>
                <w:lang w:eastAsia="ru-RU"/>
              </w:rPr>
              <w:t>)</w:t>
            </w:r>
            <w:r w:rsidRPr="00F562A8">
              <w:rPr>
                <w:rFonts w:ascii="Times New Roman" w:eastAsiaTheme="minorEastAsia" w:hAnsi="Times New Roman" w:cs="Times New Roman"/>
                <w:lang w:eastAsia="ru-RU"/>
              </w:rPr>
              <w:t xml:space="preserve"> оказывает влияние на стоимость земельных участков, однако</w:t>
            </w:r>
            <w:r>
              <w:rPr>
                <w:rFonts w:ascii="Times New Roman" w:eastAsiaTheme="minorEastAsia" w:hAnsi="Times New Roman" w:cs="Times New Roman"/>
                <w:lang w:eastAsia="ru-RU"/>
              </w:rPr>
              <w:t xml:space="preserve"> при анализе рыночной информации выявлена его незначительная корреляция,</w:t>
            </w:r>
            <w:r w:rsidRPr="00F562A8">
              <w:rPr>
                <w:rFonts w:ascii="Times New Roman" w:eastAsiaTheme="minorEastAsia" w:hAnsi="Times New Roman" w:cs="Times New Roman"/>
                <w:lang w:eastAsia="ru-RU"/>
              </w:rPr>
              <w:t xml:space="preserve"> при построении моделей данный фактор в расчетах не использовался.</w:t>
            </w:r>
          </w:p>
        </w:tc>
      </w:tr>
      <w:tr w:rsidR="000834DD" w:rsidRPr="00F562A8" w14:paraId="61E70BF5" w14:textId="77777777" w:rsidTr="000834DD">
        <w:trPr>
          <w:trHeight w:val="1174"/>
        </w:trPr>
        <w:tc>
          <w:tcPr>
            <w:tcW w:w="151" w:type="pct"/>
            <w:tcMar>
              <w:top w:w="102" w:type="dxa"/>
              <w:left w:w="62" w:type="dxa"/>
              <w:bottom w:w="102" w:type="dxa"/>
              <w:right w:w="62" w:type="dxa"/>
            </w:tcMar>
            <w:vAlign w:val="center"/>
          </w:tcPr>
          <w:p w14:paraId="26591729"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40</w:t>
            </w:r>
          </w:p>
        </w:tc>
        <w:tc>
          <w:tcPr>
            <w:tcW w:w="2070" w:type="pct"/>
            <w:tcMar>
              <w:top w:w="102" w:type="dxa"/>
              <w:left w:w="62" w:type="dxa"/>
              <w:bottom w:w="102" w:type="dxa"/>
              <w:right w:w="62" w:type="dxa"/>
            </w:tcMar>
            <w:vAlign w:val="center"/>
          </w:tcPr>
          <w:p w14:paraId="42DA3625"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tc>
        <w:tc>
          <w:tcPr>
            <w:tcW w:w="475" w:type="pct"/>
            <w:gridSpan w:val="2"/>
            <w:tcMar>
              <w:top w:w="102" w:type="dxa"/>
              <w:left w:w="62" w:type="dxa"/>
              <w:bottom w:w="102" w:type="dxa"/>
              <w:right w:w="62" w:type="dxa"/>
            </w:tcMar>
            <w:vAlign w:val="center"/>
          </w:tcPr>
          <w:p w14:paraId="485BF066"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tcPr>
          <w:p w14:paraId="0A22536C"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 xml:space="preserve">Данный фактор </w:t>
            </w:r>
            <w:r>
              <w:rPr>
                <w:rFonts w:ascii="Times New Roman" w:eastAsiaTheme="minorEastAsia" w:hAnsi="Times New Roman" w:cs="Times New Roman"/>
                <w:lang w:eastAsia="ru-RU"/>
              </w:rPr>
              <w:t xml:space="preserve">может </w:t>
            </w:r>
            <w:r w:rsidRPr="00F562A8">
              <w:rPr>
                <w:rFonts w:ascii="Times New Roman" w:eastAsiaTheme="minorEastAsia" w:hAnsi="Times New Roman" w:cs="Times New Roman"/>
                <w:lang w:eastAsia="ru-RU"/>
              </w:rPr>
              <w:t>оказыват</w:t>
            </w:r>
            <w:r>
              <w:rPr>
                <w:rFonts w:ascii="Times New Roman" w:eastAsiaTheme="minorEastAsia" w:hAnsi="Times New Roman" w:cs="Times New Roman"/>
                <w:lang w:eastAsia="ru-RU"/>
              </w:rPr>
              <w:t>ь</w:t>
            </w:r>
            <w:r w:rsidRPr="00F562A8">
              <w:rPr>
                <w:rFonts w:ascii="Times New Roman" w:eastAsiaTheme="minorEastAsia" w:hAnsi="Times New Roman" w:cs="Times New Roman"/>
                <w:lang w:eastAsia="ru-RU"/>
              </w:rPr>
              <w:t xml:space="preserve"> влияние на стоимость земельных участков, однако</w:t>
            </w:r>
            <w:r>
              <w:rPr>
                <w:rFonts w:ascii="Times New Roman" w:eastAsiaTheme="minorEastAsia" w:hAnsi="Times New Roman" w:cs="Times New Roman"/>
                <w:lang w:eastAsia="ru-RU"/>
              </w:rPr>
              <w:t xml:space="preserve"> при анализе рыночной информации выявлена его незначительная корреляция,</w:t>
            </w:r>
            <w:r w:rsidRPr="00F562A8">
              <w:rPr>
                <w:rFonts w:ascii="Times New Roman" w:eastAsiaTheme="minorEastAsia" w:hAnsi="Times New Roman" w:cs="Times New Roman"/>
                <w:lang w:eastAsia="ru-RU"/>
              </w:rPr>
              <w:t xml:space="preserve"> при построении моделей данный фактор в расчетах не использовался.</w:t>
            </w:r>
          </w:p>
        </w:tc>
      </w:tr>
      <w:tr w:rsidR="000834DD" w:rsidRPr="00F562A8" w14:paraId="655ABB73" w14:textId="77777777" w:rsidTr="000834DD">
        <w:trPr>
          <w:trHeight w:val="1335"/>
        </w:trPr>
        <w:tc>
          <w:tcPr>
            <w:tcW w:w="151" w:type="pct"/>
            <w:tcMar>
              <w:top w:w="102" w:type="dxa"/>
              <w:left w:w="62" w:type="dxa"/>
              <w:bottom w:w="102" w:type="dxa"/>
              <w:right w:w="62" w:type="dxa"/>
            </w:tcMar>
            <w:vAlign w:val="center"/>
            <w:hideMark/>
          </w:tcPr>
          <w:p w14:paraId="77C298E8"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41</w:t>
            </w:r>
          </w:p>
        </w:tc>
        <w:tc>
          <w:tcPr>
            <w:tcW w:w="2070" w:type="pct"/>
            <w:tcMar>
              <w:top w:w="102" w:type="dxa"/>
              <w:left w:w="62" w:type="dxa"/>
              <w:bottom w:w="102" w:type="dxa"/>
              <w:right w:w="62" w:type="dxa"/>
            </w:tcMar>
            <w:vAlign w:val="center"/>
            <w:hideMark/>
          </w:tcPr>
          <w:p w14:paraId="7F70F37D"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Расположение земельного участка относительно железных дорог, их тип (грузовая, пассажирская, смешенного назначения;</w:t>
            </w:r>
            <w:r>
              <w:rPr>
                <w:rFonts w:ascii="Times New Roman" w:eastAsiaTheme="minorEastAsia" w:hAnsi="Times New Roman" w:cs="Times New Roman"/>
                <w:lang w:eastAsia="ru-RU"/>
              </w:rPr>
              <w:t xml:space="preserve"> </w:t>
            </w:r>
            <w:r w:rsidRPr="00F562A8">
              <w:rPr>
                <w:rFonts w:ascii="Times New Roman" w:eastAsiaTheme="minorEastAsia" w:hAnsi="Times New Roman" w:cs="Times New Roman"/>
                <w:lang w:eastAsia="ru-RU"/>
              </w:rPr>
              <w:t>пригородная, транзитная;</w:t>
            </w:r>
            <w:r>
              <w:rPr>
                <w:rFonts w:ascii="Times New Roman" w:eastAsiaTheme="minorEastAsia" w:hAnsi="Times New Roman" w:cs="Times New Roman"/>
                <w:lang w:eastAsia="ru-RU"/>
              </w:rPr>
              <w:t xml:space="preserve"> </w:t>
            </w:r>
            <w:r w:rsidRPr="00F562A8">
              <w:rPr>
                <w:rFonts w:ascii="Times New Roman" w:eastAsiaTheme="minorEastAsia" w:hAnsi="Times New Roman" w:cs="Times New Roman"/>
                <w:lang w:eastAsia="ru-RU"/>
              </w:rPr>
              <w:t>промышленная, временная, тупиковая)</w:t>
            </w:r>
          </w:p>
        </w:tc>
        <w:tc>
          <w:tcPr>
            <w:tcW w:w="475" w:type="pct"/>
            <w:gridSpan w:val="2"/>
            <w:tcMar>
              <w:top w:w="102" w:type="dxa"/>
              <w:left w:w="62" w:type="dxa"/>
              <w:bottom w:w="102" w:type="dxa"/>
              <w:right w:w="62" w:type="dxa"/>
            </w:tcMar>
            <w:vAlign w:val="center"/>
            <w:hideMark/>
          </w:tcPr>
          <w:p w14:paraId="2B3A0250"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6B77934C"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Данный фактор</w:t>
            </w:r>
            <w:r>
              <w:rPr>
                <w:rFonts w:ascii="Times New Roman" w:eastAsiaTheme="minorEastAsia" w:hAnsi="Times New Roman" w:cs="Times New Roman"/>
                <w:lang w:eastAsia="ru-RU"/>
              </w:rPr>
              <w:t xml:space="preserve"> может </w:t>
            </w:r>
            <w:r w:rsidRPr="00F562A8">
              <w:rPr>
                <w:rFonts w:ascii="Times New Roman" w:eastAsiaTheme="minorEastAsia" w:hAnsi="Times New Roman" w:cs="Times New Roman"/>
                <w:lang w:eastAsia="ru-RU"/>
              </w:rPr>
              <w:t>оказыват</w:t>
            </w:r>
            <w:r>
              <w:rPr>
                <w:rFonts w:ascii="Times New Roman" w:eastAsiaTheme="minorEastAsia" w:hAnsi="Times New Roman" w:cs="Times New Roman"/>
                <w:lang w:eastAsia="ru-RU"/>
              </w:rPr>
              <w:t>ь</w:t>
            </w:r>
            <w:r w:rsidRPr="00F562A8">
              <w:rPr>
                <w:rFonts w:ascii="Times New Roman" w:eastAsiaTheme="minorEastAsia" w:hAnsi="Times New Roman" w:cs="Times New Roman"/>
                <w:lang w:eastAsia="ru-RU"/>
              </w:rPr>
              <w:t xml:space="preserve"> влияние на стоимость земельных участков, однако</w:t>
            </w:r>
            <w:r>
              <w:rPr>
                <w:rFonts w:ascii="Times New Roman" w:eastAsiaTheme="minorEastAsia" w:hAnsi="Times New Roman" w:cs="Times New Roman"/>
                <w:lang w:eastAsia="ru-RU"/>
              </w:rPr>
              <w:t xml:space="preserve"> при анализе рыночной информации выявлена его незначительная корреляция,</w:t>
            </w:r>
            <w:r w:rsidRPr="00F562A8">
              <w:rPr>
                <w:rFonts w:ascii="Times New Roman" w:eastAsiaTheme="minorEastAsia" w:hAnsi="Times New Roman" w:cs="Times New Roman"/>
                <w:lang w:eastAsia="ru-RU"/>
              </w:rPr>
              <w:t xml:space="preserve"> при построении моделей данный фактор в расчетах не использовался.</w:t>
            </w:r>
          </w:p>
        </w:tc>
      </w:tr>
      <w:tr w:rsidR="000834DD" w:rsidRPr="00F562A8" w14:paraId="61464BE0" w14:textId="77777777" w:rsidTr="000834DD">
        <w:trPr>
          <w:trHeight w:val="20"/>
        </w:trPr>
        <w:tc>
          <w:tcPr>
            <w:tcW w:w="151" w:type="pct"/>
          </w:tcPr>
          <w:p w14:paraId="64D619E5"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p>
        </w:tc>
        <w:tc>
          <w:tcPr>
            <w:tcW w:w="4849" w:type="pct"/>
            <w:gridSpan w:val="4"/>
            <w:tcMar>
              <w:top w:w="102" w:type="dxa"/>
              <w:left w:w="62" w:type="dxa"/>
              <w:bottom w:w="102" w:type="dxa"/>
              <w:right w:w="62" w:type="dxa"/>
            </w:tcMar>
            <w:vAlign w:val="center"/>
            <w:hideMark/>
          </w:tcPr>
          <w:p w14:paraId="04AC4E58"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Сведения об инженерной инфраструктуре</w:t>
            </w:r>
          </w:p>
        </w:tc>
      </w:tr>
      <w:tr w:rsidR="000834DD" w:rsidRPr="00F562A8" w14:paraId="0D4F269B" w14:textId="77777777" w:rsidTr="000834DD">
        <w:trPr>
          <w:trHeight w:val="20"/>
        </w:trPr>
        <w:tc>
          <w:tcPr>
            <w:tcW w:w="151" w:type="pct"/>
            <w:tcMar>
              <w:top w:w="102" w:type="dxa"/>
              <w:left w:w="62" w:type="dxa"/>
              <w:bottom w:w="102" w:type="dxa"/>
              <w:right w:w="62" w:type="dxa"/>
            </w:tcMar>
            <w:vAlign w:val="center"/>
            <w:hideMark/>
          </w:tcPr>
          <w:p w14:paraId="60D9BC45"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42</w:t>
            </w:r>
          </w:p>
        </w:tc>
        <w:tc>
          <w:tcPr>
            <w:tcW w:w="2070" w:type="pct"/>
            <w:tcMar>
              <w:top w:w="102" w:type="dxa"/>
              <w:left w:w="62" w:type="dxa"/>
              <w:bottom w:w="102" w:type="dxa"/>
              <w:right w:w="62" w:type="dxa"/>
            </w:tcMar>
            <w:vAlign w:val="center"/>
            <w:hideMark/>
          </w:tcPr>
          <w:p w14:paraId="1C18927D"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Категория, проектная мощность линейного объекта</w:t>
            </w:r>
          </w:p>
        </w:tc>
        <w:tc>
          <w:tcPr>
            <w:tcW w:w="475" w:type="pct"/>
            <w:gridSpan w:val="2"/>
            <w:tcMar>
              <w:top w:w="102" w:type="dxa"/>
              <w:left w:w="62" w:type="dxa"/>
              <w:bottom w:w="102" w:type="dxa"/>
              <w:right w:w="62" w:type="dxa"/>
            </w:tcMar>
            <w:vAlign w:val="center"/>
            <w:hideMark/>
          </w:tcPr>
          <w:p w14:paraId="75B87CB4"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4195078B"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влияет на кадастровую стоимость земельных участков</w:t>
            </w:r>
            <w:r>
              <w:rPr>
                <w:rFonts w:ascii="Times New Roman" w:eastAsiaTheme="minorEastAsia" w:hAnsi="Times New Roman" w:cs="Times New Roman"/>
                <w:lang w:eastAsia="ru-RU"/>
              </w:rPr>
              <w:t>,</w:t>
            </w:r>
            <w:r w:rsidRPr="00F562A8">
              <w:rPr>
                <w:rFonts w:ascii="Times New Roman" w:eastAsiaTheme="minorEastAsia" w:hAnsi="Times New Roman" w:cs="Times New Roman"/>
                <w:lang w:eastAsia="ru-RU"/>
              </w:rPr>
              <w:t xml:space="preserve"> </w:t>
            </w:r>
            <w:r>
              <w:rPr>
                <w:rFonts w:ascii="Times New Roman" w:eastAsiaTheme="minorEastAsia" w:hAnsi="Times New Roman" w:cs="Times New Roman"/>
                <w:lang w:eastAsia="ru-RU"/>
              </w:rPr>
              <w:t>а</w:t>
            </w:r>
            <w:r w:rsidRPr="00F562A8">
              <w:rPr>
                <w:rFonts w:ascii="Times New Roman" w:eastAsiaTheme="minorEastAsia" w:hAnsi="Times New Roman" w:cs="Times New Roman"/>
                <w:lang w:eastAsia="ru-RU"/>
              </w:rPr>
              <w:t xml:space="preserve"> применяется при кадастровой оценке объектов капитального строительства.</w:t>
            </w:r>
          </w:p>
        </w:tc>
      </w:tr>
      <w:tr w:rsidR="000834DD" w:rsidRPr="00F562A8" w14:paraId="7865DB02" w14:textId="77777777" w:rsidTr="000834DD">
        <w:trPr>
          <w:trHeight w:val="441"/>
        </w:trPr>
        <w:tc>
          <w:tcPr>
            <w:tcW w:w="151" w:type="pct"/>
            <w:tcMar>
              <w:top w:w="102" w:type="dxa"/>
              <w:left w:w="62" w:type="dxa"/>
              <w:bottom w:w="102" w:type="dxa"/>
              <w:right w:w="62" w:type="dxa"/>
            </w:tcMar>
            <w:vAlign w:val="center"/>
            <w:hideMark/>
          </w:tcPr>
          <w:p w14:paraId="3088CA3F"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43</w:t>
            </w:r>
          </w:p>
        </w:tc>
        <w:tc>
          <w:tcPr>
            <w:tcW w:w="2070" w:type="pct"/>
            <w:tcMar>
              <w:top w:w="102" w:type="dxa"/>
              <w:left w:w="62" w:type="dxa"/>
              <w:bottom w:w="102" w:type="dxa"/>
              <w:right w:w="62" w:type="dxa"/>
            </w:tcMar>
            <w:vAlign w:val="center"/>
            <w:hideMark/>
          </w:tcPr>
          <w:p w14:paraId="0AC3A6BC"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Класс линейного объекта</w:t>
            </w:r>
          </w:p>
        </w:tc>
        <w:tc>
          <w:tcPr>
            <w:tcW w:w="475" w:type="pct"/>
            <w:gridSpan w:val="2"/>
            <w:tcMar>
              <w:top w:w="102" w:type="dxa"/>
              <w:left w:w="62" w:type="dxa"/>
              <w:bottom w:w="102" w:type="dxa"/>
              <w:right w:w="62" w:type="dxa"/>
            </w:tcMar>
            <w:vAlign w:val="center"/>
            <w:hideMark/>
          </w:tcPr>
          <w:p w14:paraId="0EE03797"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4AC165A9"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влияет на кадастровую стоимость земельных участков</w:t>
            </w:r>
            <w:r>
              <w:rPr>
                <w:rFonts w:ascii="Times New Roman" w:eastAsiaTheme="minorEastAsia" w:hAnsi="Times New Roman" w:cs="Times New Roman"/>
                <w:lang w:eastAsia="ru-RU"/>
              </w:rPr>
              <w:t>,</w:t>
            </w:r>
            <w:r w:rsidRPr="00F562A8">
              <w:rPr>
                <w:rFonts w:ascii="Times New Roman" w:eastAsiaTheme="minorEastAsia" w:hAnsi="Times New Roman" w:cs="Times New Roman"/>
                <w:lang w:eastAsia="ru-RU"/>
              </w:rPr>
              <w:t xml:space="preserve"> </w:t>
            </w:r>
            <w:r>
              <w:rPr>
                <w:rFonts w:ascii="Times New Roman" w:eastAsiaTheme="minorEastAsia" w:hAnsi="Times New Roman" w:cs="Times New Roman"/>
                <w:lang w:eastAsia="ru-RU"/>
              </w:rPr>
              <w:t>а</w:t>
            </w:r>
            <w:r w:rsidRPr="00F562A8">
              <w:rPr>
                <w:rFonts w:ascii="Times New Roman" w:eastAsiaTheme="minorEastAsia" w:hAnsi="Times New Roman" w:cs="Times New Roman"/>
                <w:lang w:eastAsia="ru-RU"/>
              </w:rPr>
              <w:t xml:space="preserve"> применяется при кадастровой оценке объектов капитального строительства.</w:t>
            </w:r>
          </w:p>
        </w:tc>
      </w:tr>
      <w:tr w:rsidR="000834DD" w:rsidRPr="00F562A8" w14:paraId="340C3FAB" w14:textId="77777777" w:rsidTr="000834DD">
        <w:trPr>
          <w:trHeight w:val="20"/>
        </w:trPr>
        <w:tc>
          <w:tcPr>
            <w:tcW w:w="151" w:type="pct"/>
            <w:tcMar>
              <w:top w:w="102" w:type="dxa"/>
              <w:left w:w="62" w:type="dxa"/>
              <w:bottom w:w="102" w:type="dxa"/>
              <w:right w:w="62" w:type="dxa"/>
            </w:tcMar>
            <w:vAlign w:val="center"/>
            <w:hideMark/>
          </w:tcPr>
          <w:p w14:paraId="768FDB07"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44</w:t>
            </w:r>
          </w:p>
        </w:tc>
        <w:tc>
          <w:tcPr>
            <w:tcW w:w="2070" w:type="pct"/>
            <w:tcMar>
              <w:top w:w="102" w:type="dxa"/>
              <w:left w:w="62" w:type="dxa"/>
              <w:bottom w:w="102" w:type="dxa"/>
              <w:right w:w="62" w:type="dxa"/>
            </w:tcMar>
            <w:vAlign w:val="center"/>
            <w:hideMark/>
          </w:tcPr>
          <w:p w14:paraId="07D28CC3"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Расположение земельного участка относительно линий электропередач</w:t>
            </w:r>
          </w:p>
        </w:tc>
        <w:tc>
          <w:tcPr>
            <w:tcW w:w="475" w:type="pct"/>
            <w:gridSpan w:val="2"/>
            <w:tcMar>
              <w:top w:w="102" w:type="dxa"/>
              <w:left w:w="62" w:type="dxa"/>
              <w:bottom w:w="102" w:type="dxa"/>
              <w:right w:w="62" w:type="dxa"/>
            </w:tcMar>
            <w:vAlign w:val="center"/>
            <w:hideMark/>
          </w:tcPr>
          <w:p w14:paraId="336EDA00"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3EADFE94"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влияет на кадастровую стоимость земельных участков</w:t>
            </w:r>
            <w:r>
              <w:rPr>
                <w:rFonts w:ascii="Times New Roman" w:eastAsiaTheme="minorEastAsia" w:hAnsi="Times New Roman" w:cs="Times New Roman"/>
                <w:lang w:eastAsia="ru-RU"/>
              </w:rPr>
              <w:t>,</w:t>
            </w:r>
            <w:r w:rsidRPr="00F562A8">
              <w:rPr>
                <w:rFonts w:ascii="Times New Roman" w:eastAsiaTheme="minorEastAsia" w:hAnsi="Times New Roman" w:cs="Times New Roman"/>
                <w:lang w:eastAsia="ru-RU"/>
              </w:rPr>
              <w:t xml:space="preserve"> </w:t>
            </w:r>
            <w:r>
              <w:rPr>
                <w:rFonts w:ascii="Times New Roman" w:eastAsiaTheme="minorEastAsia" w:hAnsi="Times New Roman" w:cs="Times New Roman"/>
                <w:lang w:eastAsia="ru-RU"/>
              </w:rPr>
              <w:t>а</w:t>
            </w:r>
            <w:r w:rsidRPr="00F562A8">
              <w:rPr>
                <w:rFonts w:ascii="Times New Roman" w:eastAsiaTheme="minorEastAsia" w:hAnsi="Times New Roman" w:cs="Times New Roman"/>
                <w:lang w:eastAsia="ru-RU"/>
              </w:rPr>
              <w:t xml:space="preserve"> применяется при кадастровой оценке объектов капитального строительства.</w:t>
            </w:r>
          </w:p>
        </w:tc>
      </w:tr>
      <w:tr w:rsidR="000834DD" w:rsidRPr="00F562A8" w14:paraId="15CB04E8" w14:textId="77777777" w:rsidTr="000834DD">
        <w:trPr>
          <w:trHeight w:val="20"/>
        </w:trPr>
        <w:tc>
          <w:tcPr>
            <w:tcW w:w="151" w:type="pct"/>
            <w:tcMar>
              <w:top w:w="102" w:type="dxa"/>
              <w:left w:w="62" w:type="dxa"/>
              <w:bottom w:w="102" w:type="dxa"/>
              <w:right w:w="62" w:type="dxa"/>
            </w:tcMar>
            <w:vAlign w:val="center"/>
            <w:hideMark/>
          </w:tcPr>
          <w:p w14:paraId="54F35D09"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45</w:t>
            </w:r>
          </w:p>
        </w:tc>
        <w:tc>
          <w:tcPr>
            <w:tcW w:w="2070" w:type="pct"/>
            <w:tcMar>
              <w:top w:w="102" w:type="dxa"/>
              <w:left w:w="62" w:type="dxa"/>
              <w:bottom w:w="102" w:type="dxa"/>
              <w:right w:w="62" w:type="dxa"/>
            </w:tcMar>
            <w:vAlign w:val="center"/>
            <w:hideMark/>
          </w:tcPr>
          <w:p w14:paraId="1744FAEA"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Протяженность земельных участков под линейными объектами</w:t>
            </w:r>
          </w:p>
        </w:tc>
        <w:tc>
          <w:tcPr>
            <w:tcW w:w="475" w:type="pct"/>
            <w:gridSpan w:val="2"/>
            <w:tcMar>
              <w:top w:w="102" w:type="dxa"/>
              <w:left w:w="62" w:type="dxa"/>
              <w:bottom w:w="102" w:type="dxa"/>
              <w:right w:w="62" w:type="dxa"/>
            </w:tcMar>
            <w:vAlign w:val="center"/>
            <w:hideMark/>
          </w:tcPr>
          <w:p w14:paraId="4C5A91EA"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499C8C9B"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влияет на кадастровую стоимость земельных участков</w:t>
            </w:r>
            <w:r>
              <w:rPr>
                <w:rFonts w:ascii="Times New Roman" w:eastAsiaTheme="minorEastAsia" w:hAnsi="Times New Roman" w:cs="Times New Roman"/>
                <w:lang w:eastAsia="ru-RU"/>
              </w:rPr>
              <w:t>,</w:t>
            </w:r>
            <w:r w:rsidRPr="00F562A8">
              <w:rPr>
                <w:rFonts w:ascii="Times New Roman" w:eastAsiaTheme="minorEastAsia" w:hAnsi="Times New Roman" w:cs="Times New Roman"/>
                <w:lang w:eastAsia="ru-RU"/>
              </w:rPr>
              <w:t xml:space="preserve"> </w:t>
            </w:r>
            <w:r>
              <w:rPr>
                <w:rFonts w:ascii="Times New Roman" w:eastAsiaTheme="minorEastAsia" w:hAnsi="Times New Roman" w:cs="Times New Roman"/>
                <w:lang w:eastAsia="ru-RU"/>
              </w:rPr>
              <w:t>а</w:t>
            </w:r>
            <w:r w:rsidRPr="00F562A8">
              <w:rPr>
                <w:rFonts w:ascii="Times New Roman" w:eastAsiaTheme="minorEastAsia" w:hAnsi="Times New Roman" w:cs="Times New Roman"/>
                <w:lang w:eastAsia="ru-RU"/>
              </w:rPr>
              <w:t xml:space="preserve"> применяется при кадастровой оценке объектов капитального строительства.</w:t>
            </w:r>
          </w:p>
        </w:tc>
      </w:tr>
      <w:tr w:rsidR="000834DD" w:rsidRPr="00F562A8" w14:paraId="4912AC45" w14:textId="77777777" w:rsidTr="000834DD">
        <w:trPr>
          <w:trHeight w:val="20"/>
        </w:trPr>
        <w:tc>
          <w:tcPr>
            <w:tcW w:w="151" w:type="pct"/>
            <w:tcMar>
              <w:top w:w="102" w:type="dxa"/>
              <w:left w:w="62" w:type="dxa"/>
              <w:bottom w:w="102" w:type="dxa"/>
              <w:right w:w="62" w:type="dxa"/>
            </w:tcMar>
            <w:vAlign w:val="center"/>
            <w:hideMark/>
          </w:tcPr>
          <w:p w14:paraId="2887EFA8"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46</w:t>
            </w:r>
          </w:p>
        </w:tc>
        <w:tc>
          <w:tcPr>
            <w:tcW w:w="2070" w:type="pct"/>
            <w:tcMar>
              <w:top w:w="102" w:type="dxa"/>
              <w:left w:w="62" w:type="dxa"/>
              <w:bottom w:w="102" w:type="dxa"/>
              <w:right w:w="62" w:type="dxa"/>
            </w:tcMar>
            <w:vAlign w:val="center"/>
            <w:hideMark/>
          </w:tcPr>
          <w:p w14:paraId="0201BC6D"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Расположение земельного участка относительно магистральных газопроводов</w:t>
            </w:r>
          </w:p>
        </w:tc>
        <w:tc>
          <w:tcPr>
            <w:tcW w:w="475" w:type="pct"/>
            <w:gridSpan w:val="2"/>
            <w:tcMar>
              <w:top w:w="102" w:type="dxa"/>
              <w:left w:w="62" w:type="dxa"/>
              <w:bottom w:w="102" w:type="dxa"/>
              <w:right w:w="62" w:type="dxa"/>
            </w:tcMar>
            <w:vAlign w:val="center"/>
            <w:hideMark/>
          </w:tcPr>
          <w:p w14:paraId="17A66483"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656AB0EF"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влияет на кадастровую стоимость земельных участков</w:t>
            </w:r>
            <w:r>
              <w:rPr>
                <w:rFonts w:ascii="Times New Roman" w:eastAsiaTheme="minorEastAsia" w:hAnsi="Times New Roman" w:cs="Times New Roman"/>
                <w:lang w:eastAsia="ru-RU"/>
              </w:rPr>
              <w:t>,</w:t>
            </w:r>
            <w:r w:rsidRPr="00F562A8">
              <w:rPr>
                <w:rFonts w:ascii="Times New Roman" w:eastAsiaTheme="minorEastAsia" w:hAnsi="Times New Roman" w:cs="Times New Roman"/>
                <w:lang w:eastAsia="ru-RU"/>
              </w:rPr>
              <w:t xml:space="preserve"> </w:t>
            </w:r>
            <w:r>
              <w:rPr>
                <w:rFonts w:ascii="Times New Roman" w:eastAsiaTheme="minorEastAsia" w:hAnsi="Times New Roman" w:cs="Times New Roman"/>
                <w:lang w:eastAsia="ru-RU"/>
              </w:rPr>
              <w:t>а</w:t>
            </w:r>
            <w:r w:rsidRPr="00F562A8">
              <w:rPr>
                <w:rFonts w:ascii="Times New Roman" w:eastAsiaTheme="minorEastAsia" w:hAnsi="Times New Roman" w:cs="Times New Roman"/>
                <w:lang w:eastAsia="ru-RU"/>
              </w:rPr>
              <w:t xml:space="preserve"> применяется при кадастровой оценке объектов капитального строительства.</w:t>
            </w:r>
          </w:p>
        </w:tc>
      </w:tr>
      <w:tr w:rsidR="000834DD" w:rsidRPr="00F562A8" w14:paraId="6C956766" w14:textId="77777777" w:rsidTr="000834DD">
        <w:trPr>
          <w:trHeight w:val="20"/>
        </w:trPr>
        <w:tc>
          <w:tcPr>
            <w:tcW w:w="151" w:type="pct"/>
            <w:tcMar>
              <w:top w:w="102" w:type="dxa"/>
              <w:left w:w="62" w:type="dxa"/>
              <w:bottom w:w="102" w:type="dxa"/>
              <w:right w:w="62" w:type="dxa"/>
            </w:tcMar>
            <w:vAlign w:val="center"/>
          </w:tcPr>
          <w:p w14:paraId="6C67BF09"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47</w:t>
            </w:r>
          </w:p>
        </w:tc>
        <w:tc>
          <w:tcPr>
            <w:tcW w:w="2070" w:type="pct"/>
            <w:tcMar>
              <w:top w:w="102" w:type="dxa"/>
              <w:left w:w="62" w:type="dxa"/>
              <w:bottom w:w="102" w:type="dxa"/>
              <w:right w:w="62" w:type="dxa"/>
            </w:tcMar>
            <w:vAlign w:val="center"/>
          </w:tcPr>
          <w:p w14:paraId="6318B2A8"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475" w:type="pct"/>
            <w:gridSpan w:val="2"/>
            <w:tcMar>
              <w:top w:w="102" w:type="dxa"/>
              <w:left w:w="62" w:type="dxa"/>
              <w:bottom w:w="102" w:type="dxa"/>
              <w:right w:w="62" w:type="dxa"/>
            </w:tcMar>
            <w:vAlign w:val="center"/>
          </w:tcPr>
          <w:p w14:paraId="458AB092"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Применялся</w:t>
            </w:r>
          </w:p>
        </w:tc>
        <w:tc>
          <w:tcPr>
            <w:tcW w:w="2304" w:type="pct"/>
            <w:tcMar>
              <w:top w:w="102" w:type="dxa"/>
              <w:left w:w="62" w:type="dxa"/>
              <w:bottom w:w="102" w:type="dxa"/>
              <w:right w:w="62" w:type="dxa"/>
            </w:tcMar>
            <w:vAlign w:val="center"/>
          </w:tcPr>
          <w:p w14:paraId="74A4AD33"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Влияет на кадастровую стоимость земельных участков и применяется</w:t>
            </w:r>
            <w:r>
              <w:rPr>
                <w:rFonts w:ascii="Times New Roman" w:eastAsiaTheme="minorEastAsia" w:hAnsi="Times New Roman" w:cs="Times New Roman"/>
                <w:lang w:eastAsia="ru-RU"/>
              </w:rPr>
              <w:t xml:space="preserve"> как качественный фактор при построении моделей и индивидуальных расчетах (</w:t>
            </w:r>
            <w:r w:rsidRPr="007A747D">
              <w:rPr>
                <w:rFonts w:ascii="Times New Roman" w:eastAsiaTheme="minorEastAsia" w:hAnsi="Times New Roman" w:cs="Times New Roman"/>
                <w:lang w:eastAsia="ru-RU"/>
              </w:rPr>
              <w:t>гнп Центральная канализация</w:t>
            </w:r>
            <w:r>
              <w:rPr>
                <w:rFonts w:ascii="Times New Roman" w:eastAsiaTheme="minorEastAsia" w:hAnsi="Times New Roman" w:cs="Times New Roman"/>
                <w:lang w:eastAsia="ru-RU"/>
              </w:rPr>
              <w:t xml:space="preserve">; </w:t>
            </w:r>
            <w:r w:rsidRPr="007A747D">
              <w:rPr>
                <w:rFonts w:ascii="Times New Roman" w:eastAsiaTheme="minorEastAsia" w:hAnsi="Times New Roman" w:cs="Times New Roman"/>
                <w:lang w:eastAsia="ru-RU"/>
              </w:rPr>
              <w:t>гнп Центральное водоснабжение</w:t>
            </w:r>
            <w:r>
              <w:rPr>
                <w:rFonts w:ascii="Times New Roman" w:eastAsiaTheme="minorEastAsia" w:hAnsi="Times New Roman" w:cs="Times New Roman"/>
                <w:lang w:eastAsia="ru-RU"/>
              </w:rPr>
              <w:t xml:space="preserve">; </w:t>
            </w:r>
            <w:r w:rsidRPr="007A747D">
              <w:rPr>
                <w:rFonts w:ascii="Times New Roman" w:eastAsiaTheme="minorEastAsia" w:hAnsi="Times New Roman" w:cs="Times New Roman"/>
                <w:lang w:eastAsia="ru-RU"/>
              </w:rPr>
              <w:t>гнп Центральное теплоснабжение</w:t>
            </w:r>
            <w:r>
              <w:rPr>
                <w:rFonts w:ascii="Times New Roman" w:eastAsiaTheme="minorEastAsia" w:hAnsi="Times New Roman" w:cs="Times New Roman"/>
                <w:lang w:eastAsia="ru-RU"/>
              </w:rPr>
              <w:t xml:space="preserve">; </w:t>
            </w:r>
            <w:r w:rsidRPr="007A747D">
              <w:rPr>
                <w:rFonts w:ascii="Times New Roman" w:eastAsiaTheme="minorEastAsia" w:hAnsi="Times New Roman" w:cs="Times New Roman"/>
                <w:lang w:eastAsia="ru-RU"/>
              </w:rPr>
              <w:t>СНП Наличие в населенном пункте газоснабжения</w:t>
            </w:r>
            <w:r>
              <w:rPr>
                <w:rFonts w:ascii="Times New Roman" w:eastAsiaTheme="minorEastAsia" w:hAnsi="Times New Roman" w:cs="Times New Roman"/>
                <w:lang w:eastAsia="ru-RU"/>
              </w:rPr>
              <w:t xml:space="preserve">; </w:t>
            </w:r>
            <w:r w:rsidRPr="007A747D">
              <w:rPr>
                <w:rFonts w:ascii="Times New Roman" w:eastAsiaTheme="minorEastAsia" w:hAnsi="Times New Roman" w:cs="Times New Roman"/>
                <w:lang w:eastAsia="ru-RU"/>
              </w:rPr>
              <w:t>СНП Наличие в населенном пункте центрального водоснабжения</w:t>
            </w:r>
            <w:r>
              <w:rPr>
                <w:rFonts w:ascii="Times New Roman" w:eastAsiaTheme="minorEastAsia" w:hAnsi="Times New Roman" w:cs="Times New Roman"/>
                <w:lang w:eastAsia="ru-RU"/>
              </w:rPr>
              <w:t xml:space="preserve">; </w:t>
            </w:r>
            <w:r w:rsidRPr="007A747D">
              <w:rPr>
                <w:rFonts w:ascii="Times New Roman" w:eastAsiaTheme="minorEastAsia" w:hAnsi="Times New Roman" w:cs="Times New Roman"/>
                <w:lang w:eastAsia="ru-RU"/>
              </w:rPr>
              <w:t>СНП Наличие центрального теплоснабжения</w:t>
            </w:r>
            <w:r>
              <w:rPr>
                <w:rFonts w:ascii="Times New Roman" w:eastAsiaTheme="minorEastAsia" w:hAnsi="Times New Roman" w:cs="Times New Roman"/>
                <w:lang w:eastAsia="ru-RU"/>
              </w:rPr>
              <w:t xml:space="preserve">; </w:t>
            </w:r>
            <w:r w:rsidRPr="007A747D">
              <w:rPr>
                <w:rFonts w:ascii="Times New Roman" w:eastAsiaTheme="minorEastAsia" w:hAnsi="Times New Roman" w:cs="Times New Roman"/>
                <w:lang w:eastAsia="ru-RU"/>
              </w:rPr>
              <w:t>СНП Наличие центральной канализации</w:t>
            </w:r>
            <w:r>
              <w:rPr>
                <w:rFonts w:ascii="Times New Roman" w:eastAsiaTheme="minorEastAsia" w:hAnsi="Times New Roman" w:cs="Times New Roman"/>
                <w:lang w:eastAsia="ru-RU"/>
              </w:rPr>
              <w:t>)</w:t>
            </w:r>
            <w:r w:rsidRPr="00F562A8">
              <w:rPr>
                <w:rFonts w:ascii="Times New Roman" w:eastAsiaTheme="minorEastAsia" w:hAnsi="Times New Roman" w:cs="Times New Roman"/>
                <w:lang w:eastAsia="ru-RU"/>
              </w:rPr>
              <w:t>.</w:t>
            </w:r>
            <w:r>
              <w:rPr>
                <w:rFonts w:ascii="Times New Roman" w:eastAsiaTheme="minorEastAsia" w:hAnsi="Times New Roman" w:cs="Times New Roman"/>
                <w:lang w:eastAsia="ru-RU"/>
              </w:rPr>
              <w:t xml:space="preserve"> </w:t>
            </w:r>
            <w:r>
              <w:rPr>
                <w:rFonts w:ascii="Times New Roman" w:hAnsi="Times New Roman" w:cs="Times New Roman"/>
                <w:sz w:val="24"/>
                <w:szCs w:val="24"/>
              </w:rPr>
              <w:t>Источник: Сведения ОМС.</w:t>
            </w:r>
          </w:p>
        </w:tc>
      </w:tr>
      <w:tr w:rsidR="000834DD" w:rsidRPr="00F562A8" w14:paraId="3BE7B597" w14:textId="77777777" w:rsidTr="000834DD">
        <w:trPr>
          <w:trHeight w:val="62"/>
        </w:trPr>
        <w:tc>
          <w:tcPr>
            <w:tcW w:w="151" w:type="pct"/>
          </w:tcPr>
          <w:p w14:paraId="3AACA738"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p>
        </w:tc>
        <w:tc>
          <w:tcPr>
            <w:tcW w:w="4849" w:type="pct"/>
            <w:gridSpan w:val="4"/>
            <w:tcMar>
              <w:top w:w="102" w:type="dxa"/>
              <w:left w:w="62" w:type="dxa"/>
              <w:bottom w:w="102" w:type="dxa"/>
              <w:right w:w="62" w:type="dxa"/>
            </w:tcMar>
            <w:vAlign w:val="center"/>
            <w:hideMark/>
          </w:tcPr>
          <w:p w14:paraId="0C97F03B"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color w:val="FF0000"/>
                <w:lang w:eastAsia="ru-RU"/>
              </w:rPr>
            </w:pPr>
            <w:r w:rsidRPr="00F562A8">
              <w:rPr>
                <w:rFonts w:ascii="Times New Roman" w:eastAsiaTheme="minorEastAsia" w:hAnsi="Times New Roman" w:cs="Times New Roman"/>
                <w:lang w:eastAsia="ru-RU"/>
              </w:rPr>
              <w:t>Прочие сведения</w:t>
            </w:r>
          </w:p>
        </w:tc>
      </w:tr>
      <w:tr w:rsidR="000834DD" w:rsidRPr="00F562A8" w14:paraId="1F288C5B" w14:textId="77777777" w:rsidTr="000834DD">
        <w:trPr>
          <w:trHeight w:val="20"/>
        </w:trPr>
        <w:tc>
          <w:tcPr>
            <w:tcW w:w="151" w:type="pct"/>
            <w:tcMar>
              <w:top w:w="102" w:type="dxa"/>
              <w:left w:w="62" w:type="dxa"/>
              <w:bottom w:w="102" w:type="dxa"/>
              <w:right w:w="62" w:type="dxa"/>
            </w:tcMar>
            <w:vAlign w:val="center"/>
            <w:hideMark/>
          </w:tcPr>
          <w:p w14:paraId="432E3780"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48</w:t>
            </w:r>
          </w:p>
        </w:tc>
        <w:tc>
          <w:tcPr>
            <w:tcW w:w="2070" w:type="pct"/>
            <w:tcMar>
              <w:top w:w="102" w:type="dxa"/>
              <w:left w:w="62" w:type="dxa"/>
              <w:bottom w:w="102" w:type="dxa"/>
              <w:right w:w="62" w:type="dxa"/>
            </w:tcMar>
            <w:vAlign w:val="center"/>
            <w:hideMark/>
          </w:tcPr>
          <w:p w14:paraId="5F13F494"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Уровень цен потребительской корзины по муниципальным районам (городским округам)</w:t>
            </w:r>
          </w:p>
        </w:tc>
        <w:tc>
          <w:tcPr>
            <w:tcW w:w="475" w:type="pct"/>
            <w:gridSpan w:val="2"/>
            <w:tcMar>
              <w:top w:w="102" w:type="dxa"/>
              <w:left w:w="62" w:type="dxa"/>
              <w:bottom w:w="102" w:type="dxa"/>
              <w:right w:w="62" w:type="dxa"/>
            </w:tcMar>
            <w:vAlign w:val="center"/>
            <w:hideMark/>
          </w:tcPr>
          <w:p w14:paraId="1B9AABC2"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17BBEAB9"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2B5629">
              <w:rPr>
                <w:rFonts w:ascii="Times New Roman" w:eastAsiaTheme="minorEastAsia" w:hAnsi="Times New Roman" w:cs="Times New Roman"/>
                <w:lang w:eastAsia="ru-RU"/>
              </w:rPr>
              <w:t>Факторы исключены из дальнейшего рассмотрения ввиду того, что значение показателя потребительской корзины и товарооборота на 1 человека установлено для всей области единое, без дифференциации по муниципальным районам и городским округам. Статистические данные товарооборота на 1 человека по муниципальным районам официально не публикуются.</w:t>
            </w:r>
          </w:p>
        </w:tc>
      </w:tr>
      <w:tr w:rsidR="000834DD" w:rsidRPr="00F562A8" w14:paraId="7D7AD9DB" w14:textId="77777777" w:rsidTr="000834DD">
        <w:trPr>
          <w:trHeight w:val="20"/>
        </w:trPr>
        <w:tc>
          <w:tcPr>
            <w:tcW w:w="151" w:type="pct"/>
            <w:tcMar>
              <w:top w:w="102" w:type="dxa"/>
              <w:left w:w="62" w:type="dxa"/>
              <w:bottom w:w="102" w:type="dxa"/>
              <w:right w:w="62" w:type="dxa"/>
            </w:tcMar>
            <w:vAlign w:val="center"/>
            <w:hideMark/>
          </w:tcPr>
          <w:p w14:paraId="719D4E08"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49</w:t>
            </w:r>
          </w:p>
        </w:tc>
        <w:tc>
          <w:tcPr>
            <w:tcW w:w="2070" w:type="pct"/>
            <w:tcMar>
              <w:top w:w="102" w:type="dxa"/>
              <w:left w:w="62" w:type="dxa"/>
              <w:bottom w:w="102" w:type="dxa"/>
              <w:right w:w="62" w:type="dxa"/>
            </w:tcMar>
            <w:vAlign w:val="center"/>
            <w:hideMark/>
          </w:tcPr>
          <w:p w14:paraId="3AC773FB"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Товарооборот на 1 человека по муниципальным районам (городским округам)</w:t>
            </w:r>
          </w:p>
        </w:tc>
        <w:tc>
          <w:tcPr>
            <w:tcW w:w="475" w:type="pct"/>
            <w:gridSpan w:val="2"/>
            <w:tcMar>
              <w:top w:w="102" w:type="dxa"/>
              <w:left w:w="62" w:type="dxa"/>
              <w:bottom w:w="102" w:type="dxa"/>
              <w:right w:w="62" w:type="dxa"/>
            </w:tcMar>
            <w:vAlign w:val="center"/>
            <w:hideMark/>
          </w:tcPr>
          <w:p w14:paraId="10B92D64"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tcPr>
          <w:p w14:paraId="2B0F1A90"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rPr>
            </w:pPr>
            <w:r w:rsidRPr="002B5629">
              <w:rPr>
                <w:rFonts w:ascii="Times New Roman" w:eastAsiaTheme="minorEastAsia" w:hAnsi="Times New Roman" w:cs="Times New Roman"/>
                <w:lang w:eastAsia="ru-RU"/>
              </w:rPr>
              <w:t>Факторы исключены из дальнейшего рассмотрения ввиду того, что значение показателя потребительской корзины и товарооборота на 1 человека установлено для всей области единое, без дифференциации по муниципальным районам и городским округам. Статистические данные товарооборота на 1 человека по муниципальным районам официально не публикуются.</w:t>
            </w:r>
          </w:p>
        </w:tc>
      </w:tr>
      <w:tr w:rsidR="000834DD" w:rsidRPr="00F562A8" w14:paraId="398D3344" w14:textId="77777777" w:rsidTr="000834DD">
        <w:trPr>
          <w:trHeight w:val="20"/>
        </w:trPr>
        <w:tc>
          <w:tcPr>
            <w:tcW w:w="151" w:type="pct"/>
            <w:tcMar>
              <w:top w:w="102" w:type="dxa"/>
              <w:left w:w="62" w:type="dxa"/>
              <w:bottom w:w="102" w:type="dxa"/>
              <w:right w:w="62" w:type="dxa"/>
            </w:tcMar>
            <w:vAlign w:val="center"/>
            <w:hideMark/>
          </w:tcPr>
          <w:p w14:paraId="6D0494B3"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50</w:t>
            </w:r>
          </w:p>
        </w:tc>
        <w:tc>
          <w:tcPr>
            <w:tcW w:w="2070" w:type="pct"/>
            <w:tcMar>
              <w:top w:w="102" w:type="dxa"/>
              <w:left w:w="62" w:type="dxa"/>
              <w:bottom w:w="102" w:type="dxa"/>
              <w:right w:w="62" w:type="dxa"/>
            </w:tcMar>
            <w:vAlign w:val="center"/>
            <w:hideMark/>
          </w:tcPr>
          <w:p w14:paraId="63C997D4"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Наличие в сельском населенном пункте магазина</w:t>
            </w:r>
          </w:p>
        </w:tc>
        <w:tc>
          <w:tcPr>
            <w:tcW w:w="475" w:type="pct"/>
            <w:gridSpan w:val="2"/>
            <w:tcMar>
              <w:top w:w="102" w:type="dxa"/>
              <w:left w:w="62" w:type="dxa"/>
              <w:bottom w:w="102" w:type="dxa"/>
              <w:right w:w="62" w:type="dxa"/>
            </w:tcMar>
            <w:vAlign w:val="center"/>
            <w:hideMark/>
          </w:tcPr>
          <w:p w14:paraId="47D28325"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Применялся</w:t>
            </w:r>
          </w:p>
        </w:tc>
        <w:tc>
          <w:tcPr>
            <w:tcW w:w="2304" w:type="pct"/>
            <w:tcMar>
              <w:top w:w="102" w:type="dxa"/>
              <w:left w:w="62" w:type="dxa"/>
              <w:bottom w:w="102" w:type="dxa"/>
              <w:right w:w="62" w:type="dxa"/>
            </w:tcMar>
            <w:vAlign w:val="center"/>
            <w:hideMark/>
          </w:tcPr>
          <w:p w14:paraId="71FE0831"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Данный фактор</w:t>
            </w:r>
            <w:r>
              <w:rPr>
                <w:rFonts w:ascii="Times New Roman" w:eastAsiaTheme="minorEastAsia" w:hAnsi="Times New Roman" w:cs="Times New Roman"/>
                <w:lang w:eastAsia="ru-RU"/>
              </w:rPr>
              <w:t xml:space="preserve"> (</w:t>
            </w:r>
            <w:r w:rsidRPr="00AD2326">
              <w:rPr>
                <w:rFonts w:ascii="Times New Roman" w:eastAsiaTheme="minorEastAsia" w:hAnsi="Times New Roman" w:cs="Times New Roman"/>
                <w:lang w:eastAsia="ru-RU"/>
              </w:rPr>
              <w:t>СНП Наличие в населенном пункте магазина</w:t>
            </w:r>
            <w:r>
              <w:rPr>
                <w:rFonts w:ascii="Times New Roman" w:eastAsiaTheme="minorEastAsia" w:hAnsi="Times New Roman" w:cs="Times New Roman"/>
                <w:lang w:eastAsia="ru-RU"/>
              </w:rPr>
              <w:t>)</w:t>
            </w:r>
            <w:r w:rsidRPr="00F562A8">
              <w:rPr>
                <w:rFonts w:ascii="Times New Roman" w:eastAsiaTheme="minorEastAsia" w:hAnsi="Times New Roman" w:cs="Times New Roman"/>
                <w:lang w:eastAsia="ru-RU"/>
              </w:rPr>
              <w:t xml:space="preserve"> оказывает влияние на кадастровую стоимость.</w:t>
            </w:r>
            <w:r>
              <w:rPr>
                <w:rFonts w:ascii="Times New Roman" w:eastAsiaTheme="minorEastAsia" w:hAnsi="Times New Roman" w:cs="Times New Roman"/>
                <w:lang w:eastAsia="ru-RU"/>
              </w:rPr>
              <w:t xml:space="preserve"> Источник: Сведения ОМС.</w:t>
            </w:r>
            <w:r w:rsidRPr="00F562A8">
              <w:rPr>
                <w:rFonts w:ascii="Times New Roman" w:eastAsiaTheme="minorEastAsia" w:hAnsi="Times New Roman" w:cs="Times New Roman"/>
                <w:lang w:eastAsia="ru-RU"/>
              </w:rPr>
              <w:t xml:space="preserve"> </w:t>
            </w:r>
          </w:p>
        </w:tc>
      </w:tr>
      <w:tr w:rsidR="000834DD" w:rsidRPr="00F562A8" w14:paraId="14875B35" w14:textId="77777777" w:rsidTr="000834DD">
        <w:trPr>
          <w:trHeight w:val="20"/>
        </w:trPr>
        <w:tc>
          <w:tcPr>
            <w:tcW w:w="151" w:type="pct"/>
            <w:tcMar>
              <w:top w:w="102" w:type="dxa"/>
              <w:left w:w="62" w:type="dxa"/>
              <w:bottom w:w="102" w:type="dxa"/>
              <w:right w:w="62" w:type="dxa"/>
            </w:tcMar>
            <w:vAlign w:val="center"/>
            <w:hideMark/>
          </w:tcPr>
          <w:p w14:paraId="78F48E18"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51</w:t>
            </w:r>
          </w:p>
        </w:tc>
        <w:tc>
          <w:tcPr>
            <w:tcW w:w="2070" w:type="pct"/>
            <w:tcMar>
              <w:top w:w="102" w:type="dxa"/>
              <w:left w:w="62" w:type="dxa"/>
              <w:bottom w:w="102" w:type="dxa"/>
              <w:right w:w="62" w:type="dxa"/>
            </w:tcMar>
            <w:vAlign w:val="center"/>
            <w:hideMark/>
          </w:tcPr>
          <w:p w14:paraId="58FC191E"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Наличие в сельском населенном пункте общеобразовательной школы</w:t>
            </w:r>
          </w:p>
        </w:tc>
        <w:tc>
          <w:tcPr>
            <w:tcW w:w="475" w:type="pct"/>
            <w:gridSpan w:val="2"/>
            <w:tcMar>
              <w:top w:w="102" w:type="dxa"/>
              <w:left w:w="62" w:type="dxa"/>
              <w:bottom w:w="102" w:type="dxa"/>
              <w:right w:w="62" w:type="dxa"/>
            </w:tcMar>
            <w:vAlign w:val="center"/>
            <w:hideMark/>
          </w:tcPr>
          <w:p w14:paraId="5A5C6B0A"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Применялся</w:t>
            </w:r>
          </w:p>
        </w:tc>
        <w:tc>
          <w:tcPr>
            <w:tcW w:w="2304" w:type="pct"/>
            <w:tcMar>
              <w:top w:w="102" w:type="dxa"/>
              <w:left w:w="62" w:type="dxa"/>
              <w:bottom w:w="102" w:type="dxa"/>
              <w:right w:w="62" w:type="dxa"/>
            </w:tcMar>
            <w:vAlign w:val="center"/>
            <w:hideMark/>
          </w:tcPr>
          <w:p w14:paraId="268341FD"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 xml:space="preserve">Данный фактор </w:t>
            </w:r>
            <w:r>
              <w:rPr>
                <w:rFonts w:ascii="Times New Roman" w:eastAsiaTheme="minorEastAsia" w:hAnsi="Times New Roman" w:cs="Times New Roman"/>
                <w:lang w:eastAsia="ru-RU"/>
              </w:rPr>
              <w:t>(</w:t>
            </w:r>
            <w:r w:rsidRPr="00AD2326">
              <w:rPr>
                <w:rFonts w:ascii="Times New Roman" w:eastAsiaTheme="minorEastAsia" w:hAnsi="Times New Roman" w:cs="Times New Roman"/>
                <w:lang w:eastAsia="ru-RU"/>
              </w:rPr>
              <w:t>СНП Наличие в населенном пункте общеобразовательной школы</w:t>
            </w:r>
            <w:r>
              <w:rPr>
                <w:rFonts w:ascii="Times New Roman" w:eastAsiaTheme="minorEastAsia" w:hAnsi="Times New Roman" w:cs="Times New Roman"/>
                <w:lang w:eastAsia="ru-RU"/>
              </w:rPr>
              <w:t xml:space="preserve">) </w:t>
            </w:r>
            <w:r w:rsidRPr="00F562A8">
              <w:rPr>
                <w:rFonts w:ascii="Times New Roman" w:eastAsiaTheme="minorEastAsia" w:hAnsi="Times New Roman" w:cs="Times New Roman"/>
                <w:lang w:eastAsia="ru-RU"/>
              </w:rPr>
              <w:t>оказывает влияние на кадастровую стоимость.</w:t>
            </w:r>
            <w:r>
              <w:rPr>
                <w:rFonts w:ascii="Times New Roman" w:eastAsiaTheme="minorEastAsia" w:hAnsi="Times New Roman" w:cs="Times New Roman"/>
                <w:lang w:eastAsia="ru-RU"/>
              </w:rPr>
              <w:t xml:space="preserve"> Источник: Сведения ОМС.</w:t>
            </w:r>
          </w:p>
        </w:tc>
      </w:tr>
      <w:tr w:rsidR="000834DD" w:rsidRPr="00F562A8" w14:paraId="5EB3EF6B" w14:textId="77777777" w:rsidTr="000834DD">
        <w:trPr>
          <w:trHeight w:val="20"/>
        </w:trPr>
        <w:tc>
          <w:tcPr>
            <w:tcW w:w="151" w:type="pct"/>
            <w:tcMar>
              <w:top w:w="102" w:type="dxa"/>
              <w:left w:w="62" w:type="dxa"/>
              <w:bottom w:w="102" w:type="dxa"/>
              <w:right w:w="62" w:type="dxa"/>
            </w:tcMar>
            <w:vAlign w:val="center"/>
            <w:hideMark/>
          </w:tcPr>
          <w:p w14:paraId="27C2C0FE"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52</w:t>
            </w:r>
          </w:p>
        </w:tc>
        <w:tc>
          <w:tcPr>
            <w:tcW w:w="2070" w:type="pct"/>
            <w:tcMar>
              <w:top w:w="102" w:type="dxa"/>
              <w:left w:w="62" w:type="dxa"/>
              <w:bottom w:w="102" w:type="dxa"/>
              <w:right w:w="62" w:type="dxa"/>
            </w:tcMar>
            <w:vAlign w:val="center"/>
            <w:hideMark/>
          </w:tcPr>
          <w:p w14:paraId="7572A7B6"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Расстояние до земельных участков зоны разработки полезных ископаемых</w:t>
            </w:r>
          </w:p>
        </w:tc>
        <w:tc>
          <w:tcPr>
            <w:tcW w:w="475" w:type="pct"/>
            <w:gridSpan w:val="2"/>
            <w:tcMar>
              <w:top w:w="102" w:type="dxa"/>
              <w:left w:w="62" w:type="dxa"/>
              <w:bottom w:w="102" w:type="dxa"/>
              <w:right w:w="62" w:type="dxa"/>
            </w:tcMar>
            <w:vAlign w:val="center"/>
            <w:hideMark/>
          </w:tcPr>
          <w:p w14:paraId="4A98F058"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68494A4A"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Данные ЕГРН, предоставленные Учреждению, не содержат сведений о ценообразующем факторе по объектам оценки. В связи с чем данный фактор не использовался.</w:t>
            </w:r>
          </w:p>
        </w:tc>
      </w:tr>
      <w:tr w:rsidR="000834DD" w:rsidRPr="00F562A8" w14:paraId="1C51FF98" w14:textId="77777777" w:rsidTr="000834DD">
        <w:trPr>
          <w:trHeight w:val="20"/>
        </w:trPr>
        <w:tc>
          <w:tcPr>
            <w:tcW w:w="151" w:type="pct"/>
            <w:tcMar>
              <w:top w:w="102" w:type="dxa"/>
              <w:left w:w="62" w:type="dxa"/>
              <w:bottom w:w="102" w:type="dxa"/>
              <w:right w:w="62" w:type="dxa"/>
            </w:tcMar>
            <w:vAlign w:val="center"/>
            <w:hideMark/>
          </w:tcPr>
          <w:p w14:paraId="37F4C359"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53</w:t>
            </w:r>
          </w:p>
        </w:tc>
        <w:tc>
          <w:tcPr>
            <w:tcW w:w="2070" w:type="pct"/>
            <w:tcMar>
              <w:top w:w="102" w:type="dxa"/>
              <w:left w:w="62" w:type="dxa"/>
              <w:bottom w:w="102" w:type="dxa"/>
              <w:right w:w="62" w:type="dxa"/>
            </w:tcMar>
            <w:vAlign w:val="center"/>
            <w:hideMark/>
          </w:tcPr>
          <w:p w14:paraId="43F70140"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Зоны особого режима использования в границах земельных участков</w:t>
            </w:r>
          </w:p>
        </w:tc>
        <w:tc>
          <w:tcPr>
            <w:tcW w:w="475" w:type="pct"/>
            <w:gridSpan w:val="2"/>
            <w:tcMar>
              <w:top w:w="102" w:type="dxa"/>
              <w:left w:w="62" w:type="dxa"/>
              <w:bottom w:w="102" w:type="dxa"/>
              <w:right w:w="62" w:type="dxa"/>
            </w:tcMar>
            <w:vAlign w:val="center"/>
            <w:hideMark/>
          </w:tcPr>
          <w:p w14:paraId="75F7DEDF"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412DFD0F"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При проведении массовой оценки Учреждение не может объективно измерить влияние таких ограничений (обременений) на стоимость объекта оценки в каждом конкретном случае. Поэтому в рамках настоящего Отчета следует считать, что земельные участки, имеющие ограничения (обременения), установленные в публично-правовых интересах в отношении объекта недвижимости, отсутствуют, а влияние этого ценообразующего фактора стремится к нулю ввиду того, что он одновременно может являться как ценоповышающим, так и ценопонижающим.</w:t>
            </w:r>
          </w:p>
        </w:tc>
      </w:tr>
      <w:tr w:rsidR="000834DD" w:rsidRPr="00F562A8" w14:paraId="78E102E1" w14:textId="77777777" w:rsidTr="000834DD">
        <w:trPr>
          <w:trHeight w:val="20"/>
        </w:trPr>
        <w:tc>
          <w:tcPr>
            <w:tcW w:w="151" w:type="pct"/>
            <w:tcMar>
              <w:top w:w="102" w:type="dxa"/>
              <w:left w:w="62" w:type="dxa"/>
              <w:bottom w:w="102" w:type="dxa"/>
              <w:right w:w="62" w:type="dxa"/>
            </w:tcMar>
            <w:vAlign w:val="center"/>
            <w:hideMark/>
          </w:tcPr>
          <w:p w14:paraId="10C72737"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rPr>
            </w:pPr>
            <w:r w:rsidRPr="00F562A8">
              <w:rPr>
                <w:rFonts w:ascii="Times New Roman" w:eastAsiaTheme="minorEastAsia" w:hAnsi="Times New Roman" w:cs="Times New Roman"/>
                <w:lang w:eastAsia="ru-RU"/>
              </w:rPr>
              <w:t>54</w:t>
            </w:r>
          </w:p>
        </w:tc>
        <w:tc>
          <w:tcPr>
            <w:tcW w:w="2070" w:type="pct"/>
            <w:tcMar>
              <w:top w:w="102" w:type="dxa"/>
              <w:left w:w="62" w:type="dxa"/>
              <w:bottom w:w="102" w:type="dxa"/>
              <w:right w:w="62" w:type="dxa"/>
            </w:tcMar>
            <w:vAlign w:val="center"/>
            <w:hideMark/>
          </w:tcPr>
          <w:p w14:paraId="433816E9"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Принадлежность земельного участка к организованной промышленной зоне</w:t>
            </w:r>
          </w:p>
        </w:tc>
        <w:tc>
          <w:tcPr>
            <w:tcW w:w="475" w:type="pct"/>
            <w:gridSpan w:val="2"/>
            <w:tcMar>
              <w:top w:w="102" w:type="dxa"/>
              <w:left w:w="62" w:type="dxa"/>
              <w:bottom w:w="102" w:type="dxa"/>
              <w:right w:w="62" w:type="dxa"/>
            </w:tcMar>
            <w:vAlign w:val="center"/>
            <w:hideMark/>
          </w:tcPr>
          <w:p w14:paraId="59D3CFBF"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2DD5A9D4"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Данные ЕГРН, предоставленные Учреждению, не содержат сведений о ценообразующем факторе по объектам оценки. В связи с чем данный фактор не использовался.</w:t>
            </w:r>
          </w:p>
        </w:tc>
      </w:tr>
      <w:tr w:rsidR="000834DD" w:rsidRPr="00F562A8" w14:paraId="02BF8EEF" w14:textId="77777777" w:rsidTr="000834DD">
        <w:trPr>
          <w:trHeight w:val="800"/>
        </w:trPr>
        <w:tc>
          <w:tcPr>
            <w:tcW w:w="151" w:type="pct"/>
            <w:tcMar>
              <w:top w:w="102" w:type="dxa"/>
              <w:left w:w="62" w:type="dxa"/>
              <w:bottom w:w="102" w:type="dxa"/>
              <w:right w:w="62" w:type="dxa"/>
            </w:tcMar>
            <w:vAlign w:val="center"/>
            <w:hideMark/>
          </w:tcPr>
          <w:p w14:paraId="6B385BE9"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55</w:t>
            </w:r>
          </w:p>
        </w:tc>
        <w:tc>
          <w:tcPr>
            <w:tcW w:w="2070" w:type="pct"/>
            <w:tcMar>
              <w:top w:w="102" w:type="dxa"/>
              <w:left w:w="62" w:type="dxa"/>
              <w:bottom w:w="102" w:type="dxa"/>
              <w:right w:w="62" w:type="dxa"/>
            </w:tcMar>
            <w:vAlign w:val="center"/>
            <w:hideMark/>
          </w:tcPr>
          <w:p w14:paraId="6C2AE251"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
        </w:tc>
        <w:tc>
          <w:tcPr>
            <w:tcW w:w="475" w:type="pct"/>
            <w:gridSpan w:val="2"/>
            <w:tcMar>
              <w:top w:w="102" w:type="dxa"/>
              <w:left w:w="62" w:type="dxa"/>
              <w:bottom w:w="102" w:type="dxa"/>
              <w:right w:w="62" w:type="dxa"/>
            </w:tcMar>
            <w:vAlign w:val="center"/>
            <w:hideMark/>
          </w:tcPr>
          <w:p w14:paraId="44393430"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П</w:t>
            </w:r>
            <w:r w:rsidRPr="00F562A8">
              <w:rPr>
                <w:rFonts w:ascii="Times New Roman" w:eastAsiaTheme="minorEastAsia" w:hAnsi="Times New Roman" w:cs="Times New Roman"/>
                <w:lang w:eastAsia="ru-RU"/>
              </w:rPr>
              <w:t>рименялся</w:t>
            </w:r>
          </w:p>
        </w:tc>
        <w:tc>
          <w:tcPr>
            <w:tcW w:w="2304" w:type="pct"/>
            <w:tcMar>
              <w:top w:w="102" w:type="dxa"/>
              <w:left w:w="62" w:type="dxa"/>
              <w:bottom w:w="102" w:type="dxa"/>
              <w:right w:w="62" w:type="dxa"/>
            </w:tcMar>
            <w:vAlign w:val="center"/>
            <w:hideMark/>
          </w:tcPr>
          <w:p w14:paraId="6193EB87"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 xml:space="preserve">Данный фактор </w:t>
            </w:r>
            <w:r>
              <w:rPr>
                <w:rFonts w:ascii="Times New Roman" w:eastAsiaTheme="minorEastAsia" w:hAnsi="Times New Roman" w:cs="Times New Roman"/>
                <w:lang w:eastAsia="ru-RU"/>
              </w:rPr>
              <w:t>(</w:t>
            </w:r>
            <w:r w:rsidRPr="00461916">
              <w:rPr>
                <w:rFonts w:ascii="Times New Roman" w:eastAsiaTheme="minorEastAsia" w:hAnsi="Times New Roman" w:cs="Times New Roman"/>
                <w:lang w:eastAsia="ru-RU"/>
              </w:rPr>
              <w:t>гнп Расстояние объекта до локальных центров, положительно влияющих на стоимость объекта недвижимости</w:t>
            </w:r>
            <w:r>
              <w:rPr>
                <w:rFonts w:ascii="Times New Roman" w:eastAsiaTheme="minorEastAsia" w:hAnsi="Times New Roman" w:cs="Times New Roman"/>
                <w:lang w:eastAsia="ru-RU"/>
              </w:rPr>
              <w:t xml:space="preserve">) </w:t>
            </w:r>
            <w:r w:rsidRPr="00F562A8">
              <w:rPr>
                <w:rFonts w:ascii="Times New Roman" w:eastAsiaTheme="minorEastAsia" w:hAnsi="Times New Roman" w:cs="Times New Roman"/>
                <w:lang w:eastAsia="ru-RU"/>
              </w:rPr>
              <w:t>оказывает влияние на стоимость земельных участков</w:t>
            </w:r>
            <w:r>
              <w:rPr>
                <w:rFonts w:ascii="Times New Roman" w:eastAsiaTheme="minorEastAsia" w:hAnsi="Times New Roman" w:cs="Times New Roman"/>
                <w:lang w:eastAsia="ru-RU"/>
              </w:rPr>
              <w:t xml:space="preserve"> </w:t>
            </w:r>
            <w:r w:rsidRPr="00F562A8">
              <w:rPr>
                <w:rFonts w:ascii="Times New Roman" w:eastAsiaTheme="minorEastAsia" w:hAnsi="Times New Roman" w:cs="Times New Roman"/>
                <w:lang w:eastAsia="ru-RU"/>
              </w:rPr>
              <w:t>и использовался при построении моделей.</w:t>
            </w:r>
            <w:r>
              <w:rPr>
                <w:rFonts w:ascii="Times New Roman" w:eastAsiaTheme="minorEastAsia" w:hAnsi="Times New Roman" w:cs="Times New Roman"/>
                <w:lang w:eastAsia="ru-RU"/>
              </w:rPr>
              <w:t xml:space="preserve"> Источник информации: сведения ОМС</w:t>
            </w:r>
            <w:r w:rsidRPr="00F562A8">
              <w:rPr>
                <w:rFonts w:ascii="Times New Roman" w:eastAsiaTheme="minorEastAsia" w:hAnsi="Times New Roman" w:cs="Times New Roman"/>
                <w:lang w:eastAsia="ru-RU"/>
              </w:rPr>
              <w:t>.</w:t>
            </w:r>
          </w:p>
        </w:tc>
      </w:tr>
      <w:tr w:rsidR="000834DD" w:rsidRPr="00F562A8" w14:paraId="702BA9B3" w14:textId="77777777" w:rsidTr="00E63730">
        <w:trPr>
          <w:trHeight w:val="213"/>
        </w:trPr>
        <w:tc>
          <w:tcPr>
            <w:tcW w:w="151" w:type="pct"/>
            <w:tcMar>
              <w:top w:w="102" w:type="dxa"/>
              <w:left w:w="62" w:type="dxa"/>
              <w:bottom w:w="102" w:type="dxa"/>
              <w:right w:w="62" w:type="dxa"/>
            </w:tcMar>
            <w:vAlign w:val="center"/>
            <w:hideMark/>
          </w:tcPr>
          <w:p w14:paraId="09DB2817" w14:textId="77777777" w:rsidR="000834DD" w:rsidRPr="00F562A8" w:rsidRDefault="000834DD" w:rsidP="000834DD">
            <w:pPr>
              <w:widowControl w:val="0"/>
              <w:autoSpaceDE w:val="0"/>
              <w:autoSpaceDN w:val="0"/>
              <w:adjustRightInd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56</w:t>
            </w:r>
          </w:p>
        </w:tc>
        <w:tc>
          <w:tcPr>
            <w:tcW w:w="2070" w:type="pct"/>
            <w:tcMar>
              <w:top w:w="102" w:type="dxa"/>
              <w:left w:w="62" w:type="dxa"/>
              <w:bottom w:w="102" w:type="dxa"/>
              <w:right w:w="62" w:type="dxa"/>
            </w:tcMar>
            <w:vAlign w:val="center"/>
            <w:hideMark/>
          </w:tcPr>
          <w:p w14:paraId="379DB5DA" w14:textId="77777777" w:rsidR="000834DD" w:rsidRPr="00F562A8" w:rsidRDefault="000834DD" w:rsidP="000834DD">
            <w:pPr>
              <w:widowControl w:val="0"/>
              <w:autoSpaceDE w:val="0"/>
              <w:autoSpaceDN w:val="0"/>
              <w:adjustRightInd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Наименование и расстояние от объекта до локального(-ых) центра(-ов), отрицательно влияющего(-их) на стоимость объектов недвижимости</w:t>
            </w:r>
          </w:p>
        </w:tc>
        <w:tc>
          <w:tcPr>
            <w:tcW w:w="475" w:type="pct"/>
            <w:gridSpan w:val="2"/>
            <w:tcMar>
              <w:top w:w="102" w:type="dxa"/>
              <w:left w:w="62" w:type="dxa"/>
              <w:bottom w:w="102" w:type="dxa"/>
              <w:right w:w="62" w:type="dxa"/>
            </w:tcMar>
            <w:vAlign w:val="center"/>
            <w:hideMark/>
          </w:tcPr>
          <w:p w14:paraId="38563F35" w14:textId="77777777" w:rsidR="000834DD" w:rsidRPr="00F562A8" w:rsidRDefault="000834DD" w:rsidP="000834DD">
            <w:pPr>
              <w:widowControl w:val="0"/>
              <w:autoSpaceDE w:val="0"/>
              <w:autoSpaceDN w:val="0"/>
              <w:adjustRightInd w:val="0"/>
              <w:spacing w:after="0" w:line="276" w:lineRule="auto"/>
              <w:ind w:left="-193" w:firstLine="193"/>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Не применялся</w:t>
            </w:r>
          </w:p>
        </w:tc>
        <w:tc>
          <w:tcPr>
            <w:tcW w:w="2304" w:type="pct"/>
            <w:tcMar>
              <w:top w:w="102" w:type="dxa"/>
              <w:left w:w="62" w:type="dxa"/>
              <w:bottom w:w="102" w:type="dxa"/>
              <w:right w:w="62" w:type="dxa"/>
            </w:tcMar>
            <w:vAlign w:val="center"/>
            <w:hideMark/>
          </w:tcPr>
          <w:p w14:paraId="5FC3A8B2" w14:textId="77777777" w:rsidR="000834DD" w:rsidRPr="00F562A8" w:rsidRDefault="000834DD" w:rsidP="00D54691">
            <w:pPr>
              <w:widowControl w:val="0"/>
              <w:autoSpaceDE w:val="0"/>
              <w:autoSpaceDN w:val="0"/>
              <w:adjustRightInd w:val="0"/>
              <w:spacing w:after="0" w:line="276" w:lineRule="auto"/>
              <w:ind w:right="47"/>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Данный фактор оказывает влияние на стоимость земельных участков, однако</w:t>
            </w:r>
            <w:r>
              <w:rPr>
                <w:rFonts w:ascii="Times New Roman" w:eastAsiaTheme="minorEastAsia" w:hAnsi="Times New Roman" w:cs="Times New Roman"/>
                <w:lang w:eastAsia="ru-RU"/>
              </w:rPr>
              <w:t xml:space="preserve"> при анализе рыночной информации выявлена его незначительная корреляция, </w:t>
            </w:r>
            <w:r w:rsidRPr="00F562A8">
              <w:rPr>
                <w:rFonts w:ascii="Times New Roman" w:eastAsiaTheme="minorEastAsia" w:hAnsi="Times New Roman" w:cs="Times New Roman"/>
                <w:lang w:eastAsia="ru-RU"/>
              </w:rPr>
              <w:t>при построении моделей данный фактор в расчетах не использовался.</w:t>
            </w:r>
          </w:p>
        </w:tc>
      </w:tr>
    </w:tbl>
    <w:p w14:paraId="6C027322" w14:textId="77777777" w:rsidR="000834DD" w:rsidRDefault="000834DD" w:rsidP="006F6435">
      <w:pPr>
        <w:spacing w:after="0" w:line="276" w:lineRule="auto"/>
        <w:ind w:firstLine="709"/>
        <w:jc w:val="right"/>
        <w:rPr>
          <w:rFonts w:ascii="Times New Roman" w:hAnsi="Times New Roman" w:cs="Times New Roman"/>
          <w:color w:val="FF0000"/>
          <w:sz w:val="26"/>
          <w:szCs w:val="26"/>
        </w:rPr>
      </w:pPr>
    </w:p>
    <w:p w14:paraId="421544DB" w14:textId="12B6059F" w:rsidR="000834DD" w:rsidRDefault="000834DD" w:rsidP="000834DD">
      <w:pPr>
        <w:spacing w:after="0" w:line="276" w:lineRule="auto"/>
        <w:ind w:firstLine="709"/>
        <w:jc w:val="center"/>
        <w:rPr>
          <w:rFonts w:ascii="Times New Roman" w:hAnsi="Times New Roman" w:cs="Times New Roman"/>
          <w:color w:val="FF0000"/>
          <w:sz w:val="26"/>
          <w:szCs w:val="26"/>
        </w:rPr>
        <w:sectPr w:rsidR="000834DD" w:rsidSect="00DB2FC4">
          <w:footerReference w:type="default" r:id="rId180"/>
          <w:pgSz w:w="16838" w:h="11906" w:orient="landscape"/>
          <w:pgMar w:top="1701" w:right="1134" w:bottom="851" w:left="1134" w:header="709" w:footer="709" w:gutter="0"/>
          <w:cols w:space="708"/>
          <w:docGrid w:linePitch="360"/>
        </w:sectPr>
      </w:pPr>
    </w:p>
    <w:p w14:paraId="71BB7E62" w14:textId="05074F76" w:rsidR="000C30C4" w:rsidRPr="00F562A8" w:rsidRDefault="000C30C4" w:rsidP="003D478C">
      <w:pPr>
        <w:pStyle w:val="20"/>
        <w:numPr>
          <w:ilvl w:val="1"/>
          <w:numId w:val="28"/>
        </w:numPr>
        <w:spacing w:line="276" w:lineRule="auto"/>
        <w:rPr>
          <w:rFonts w:cs="Times New Roman"/>
          <w:sz w:val="26"/>
        </w:rPr>
      </w:pPr>
      <w:bookmarkStart w:id="127" w:name="_Toc12440229"/>
      <w:bookmarkStart w:id="128" w:name="_Toc20659550"/>
      <w:bookmarkStart w:id="129" w:name="_Toc110506957"/>
      <w:r w:rsidRPr="00F562A8">
        <w:rPr>
          <w:rFonts w:cs="Times New Roman"/>
          <w:sz w:val="26"/>
        </w:rPr>
        <w:t>Обоснование использования ценообразующих факторов, не предусмотренных Методическими указаниями</w:t>
      </w:r>
      <w:bookmarkEnd w:id="127"/>
      <w:bookmarkEnd w:id="128"/>
      <w:bookmarkEnd w:id="129"/>
    </w:p>
    <w:p w14:paraId="40EC67A5" w14:textId="77777777" w:rsidR="000C30C4" w:rsidRPr="00F562A8" w:rsidRDefault="000C30C4" w:rsidP="006F6435">
      <w:pPr>
        <w:pStyle w:val="ab"/>
        <w:spacing w:line="276" w:lineRule="auto"/>
        <w:ind w:left="763"/>
        <w:rPr>
          <w:rFonts w:ascii="Times New Roman" w:hAnsi="Times New Roman" w:cs="Times New Roman"/>
          <w:sz w:val="16"/>
          <w:szCs w:val="16"/>
        </w:rPr>
      </w:pPr>
    </w:p>
    <w:p w14:paraId="0BBFC5EF" w14:textId="77777777" w:rsidR="004D7C9E" w:rsidRPr="00F562A8" w:rsidRDefault="004D7C9E" w:rsidP="004D7C9E">
      <w:pPr>
        <w:spacing w:after="0" w:line="276" w:lineRule="auto"/>
        <w:ind w:right="-2" w:firstLine="709"/>
        <w:jc w:val="both"/>
        <w:rPr>
          <w:rFonts w:ascii="Times New Roman" w:hAnsi="Times New Roman" w:cs="Times New Roman"/>
          <w:sz w:val="26"/>
          <w:szCs w:val="26"/>
        </w:rPr>
      </w:pPr>
      <w:r w:rsidRPr="00F562A8">
        <w:rPr>
          <w:rFonts w:ascii="Times New Roman" w:hAnsi="Times New Roman" w:cs="Times New Roman"/>
          <w:sz w:val="26"/>
          <w:szCs w:val="26"/>
        </w:rPr>
        <w:t>Индивидуальные характеристики земельных участков при определении кадастровой стоимости методом массовой оценки невозможно учесть, поэтому в качестве ценообразующих факторов берутся наиболее крупные, типичные и постоянные признаки, характерные для большого количества объектов (например, площадь участка, расстояние до крупной магистрали, расстояние до административного центра, наличие инженерных коммуникаций, наличие транспортной и прочей развитой инженерной инфраструктуры). Следует отметить, что для каждого вида разрешенного использования перечень факторов, влияющих на стоимость, является различным.</w:t>
      </w:r>
    </w:p>
    <w:p w14:paraId="5719173F" w14:textId="77777777" w:rsidR="004D7C9E" w:rsidRPr="00F562A8" w:rsidRDefault="004D7C9E" w:rsidP="004D7C9E">
      <w:pPr>
        <w:autoSpaceDE w:val="0"/>
        <w:autoSpaceDN w:val="0"/>
        <w:adjustRightInd w:val="0"/>
        <w:spacing w:after="0" w:line="276" w:lineRule="auto"/>
        <w:ind w:right="-2" w:firstLine="709"/>
        <w:contextualSpacing/>
        <w:jc w:val="both"/>
        <w:rPr>
          <w:rFonts w:ascii="Times New Roman" w:hAnsi="Times New Roman" w:cs="Times New Roman"/>
          <w:kern w:val="3"/>
          <w:sz w:val="26"/>
          <w:szCs w:val="26"/>
          <w:lang w:eastAsia="zh-CN"/>
        </w:rPr>
      </w:pPr>
      <w:r w:rsidRPr="00F562A8">
        <w:rPr>
          <w:rFonts w:ascii="Times New Roman" w:hAnsi="Times New Roman" w:cs="Times New Roman"/>
          <w:kern w:val="3"/>
          <w:sz w:val="26"/>
          <w:szCs w:val="26"/>
          <w:lang w:eastAsia="zh-CN"/>
        </w:rPr>
        <w:t xml:space="preserve">На основании анализа рынка недвижимости Воронежской области был разработан </w:t>
      </w:r>
      <w:r>
        <w:rPr>
          <w:rFonts w:ascii="Times New Roman" w:hAnsi="Times New Roman" w:cs="Times New Roman"/>
          <w:kern w:val="3"/>
          <w:sz w:val="26"/>
          <w:szCs w:val="26"/>
          <w:lang w:eastAsia="zh-CN"/>
        </w:rPr>
        <w:t xml:space="preserve">дополнительный </w:t>
      </w:r>
      <w:r w:rsidRPr="00F562A8">
        <w:rPr>
          <w:rFonts w:ascii="Times New Roman" w:hAnsi="Times New Roman" w:cs="Times New Roman"/>
          <w:kern w:val="3"/>
          <w:sz w:val="26"/>
          <w:szCs w:val="26"/>
          <w:lang w:eastAsia="zh-CN"/>
        </w:rPr>
        <w:t xml:space="preserve">состав </w:t>
      </w:r>
      <w:r>
        <w:rPr>
          <w:rFonts w:ascii="Times New Roman" w:hAnsi="Times New Roman" w:cs="Times New Roman"/>
          <w:kern w:val="3"/>
          <w:sz w:val="26"/>
          <w:szCs w:val="26"/>
          <w:lang w:eastAsia="zh-CN"/>
        </w:rPr>
        <w:t xml:space="preserve">следующих </w:t>
      </w:r>
      <w:r w:rsidRPr="00F562A8">
        <w:rPr>
          <w:rFonts w:ascii="Times New Roman" w:hAnsi="Times New Roman" w:cs="Times New Roman"/>
          <w:kern w:val="3"/>
          <w:sz w:val="26"/>
          <w:szCs w:val="26"/>
          <w:lang w:eastAsia="zh-CN"/>
        </w:rPr>
        <w:t xml:space="preserve">ценообразующих факторов. </w:t>
      </w:r>
    </w:p>
    <w:p w14:paraId="017499E0" w14:textId="77777777" w:rsidR="004D7C9E" w:rsidRDefault="004D7C9E" w:rsidP="004D7C9E">
      <w:pPr>
        <w:spacing w:line="276" w:lineRule="auto"/>
        <w:ind w:firstLine="709"/>
        <w:jc w:val="right"/>
        <w:rPr>
          <w:rFonts w:ascii="Times New Roman" w:hAnsi="Times New Roman" w:cs="Times New Roman"/>
          <w:sz w:val="26"/>
          <w:szCs w:val="26"/>
        </w:rPr>
        <w:sectPr w:rsidR="004D7C9E" w:rsidSect="001C2BA2">
          <w:footerReference w:type="default" r:id="rId181"/>
          <w:pgSz w:w="11906" w:h="16838"/>
          <w:pgMar w:top="1134" w:right="851" w:bottom="1134" w:left="1701" w:header="708" w:footer="708" w:gutter="0"/>
          <w:cols w:space="708"/>
          <w:docGrid w:linePitch="360"/>
        </w:sectPr>
      </w:pPr>
    </w:p>
    <w:p w14:paraId="789DB947" w14:textId="2982293C" w:rsidR="004D7C9E" w:rsidRPr="00F562A8" w:rsidRDefault="004D7C9E" w:rsidP="004D7C9E">
      <w:pPr>
        <w:spacing w:line="276" w:lineRule="auto"/>
        <w:ind w:firstLine="709"/>
        <w:jc w:val="right"/>
        <w:rPr>
          <w:rFonts w:ascii="Times New Roman" w:hAnsi="Times New Roman" w:cs="Times New Roman"/>
          <w:sz w:val="26"/>
          <w:szCs w:val="26"/>
        </w:rPr>
      </w:pPr>
      <w:r w:rsidRPr="00F562A8">
        <w:rPr>
          <w:rFonts w:ascii="Times New Roman" w:hAnsi="Times New Roman" w:cs="Times New Roman"/>
          <w:sz w:val="26"/>
          <w:szCs w:val="26"/>
        </w:rPr>
        <w:t>Таблица 3.5</w:t>
      </w:r>
    </w:p>
    <w:p w14:paraId="55D9E07D" w14:textId="77777777" w:rsidR="004D7C9E" w:rsidRPr="00F562A8" w:rsidRDefault="004D7C9E" w:rsidP="004D7C9E">
      <w:pPr>
        <w:spacing w:line="276" w:lineRule="auto"/>
        <w:jc w:val="center"/>
        <w:rPr>
          <w:rFonts w:ascii="Times New Roman" w:hAnsi="Times New Roman" w:cs="Times New Roman"/>
          <w:b/>
          <w:sz w:val="26"/>
          <w:szCs w:val="26"/>
        </w:rPr>
      </w:pPr>
      <w:r w:rsidRPr="00F562A8">
        <w:rPr>
          <w:rFonts w:ascii="Times New Roman" w:hAnsi="Times New Roman" w:cs="Times New Roman"/>
          <w:b/>
          <w:sz w:val="26"/>
          <w:szCs w:val="26"/>
        </w:rPr>
        <w:t>Ценообразующие факторы, не предусмотренные Методическими указаниями</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256"/>
        <w:gridCol w:w="2835"/>
        <w:gridCol w:w="1979"/>
        <w:gridCol w:w="5533"/>
      </w:tblGrid>
      <w:tr w:rsidR="00E63730" w:rsidRPr="00F562A8" w14:paraId="623EDDD1" w14:textId="77777777" w:rsidTr="00E63730">
        <w:trPr>
          <w:jc w:val="center"/>
        </w:trPr>
        <w:tc>
          <w:tcPr>
            <w:tcW w:w="567" w:type="dxa"/>
            <w:vAlign w:val="center"/>
          </w:tcPr>
          <w:p w14:paraId="5340E847"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b/>
              </w:rPr>
            </w:pPr>
            <w:r w:rsidRPr="00F562A8">
              <w:rPr>
                <w:rFonts w:ascii="Times New Roman" w:hAnsi="Times New Roman" w:cs="Times New Roman"/>
                <w:b/>
              </w:rPr>
              <w:t>№ п/п</w:t>
            </w:r>
          </w:p>
        </w:tc>
        <w:tc>
          <w:tcPr>
            <w:tcW w:w="3256" w:type="dxa"/>
            <w:vAlign w:val="center"/>
          </w:tcPr>
          <w:p w14:paraId="7C1BCF5F"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b/>
              </w:rPr>
            </w:pPr>
            <w:r w:rsidRPr="00F562A8">
              <w:rPr>
                <w:rFonts w:ascii="Times New Roman" w:hAnsi="Times New Roman" w:cs="Times New Roman"/>
                <w:b/>
              </w:rPr>
              <w:t>Наименование ценообразующего фактора, не предусмотренного МУ</w:t>
            </w:r>
          </w:p>
        </w:tc>
        <w:tc>
          <w:tcPr>
            <w:tcW w:w="2835" w:type="dxa"/>
            <w:vAlign w:val="center"/>
          </w:tcPr>
          <w:p w14:paraId="51EF58B6"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b/>
              </w:rPr>
            </w:pPr>
            <w:r w:rsidRPr="00F562A8">
              <w:rPr>
                <w:rFonts w:ascii="Times New Roman" w:eastAsiaTheme="minorEastAsia" w:hAnsi="Times New Roman" w:cs="Times New Roman"/>
                <w:b/>
                <w:lang w:eastAsia="ru-RU"/>
              </w:rPr>
              <w:t>Обозначение ценообразующего фактора в таблицах Учреждения</w:t>
            </w:r>
          </w:p>
        </w:tc>
        <w:tc>
          <w:tcPr>
            <w:tcW w:w="1979" w:type="dxa"/>
            <w:vAlign w:val="center"/>
          </w:tcPr>
          <w:p w14:paraId="662B18DA"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b/>
              </w:rPr>
            </w:pPr>
            <w:r w:rsidRPr="00F562A8">
              <w:rPr>
                <w:rFonts w:ascii="Times New Roman" w:eastAsiaTheme="minorEastAsia" w:hAnsi="Times New Roman" w:cs="Times New Roman"/>
                <w:b/>
                <w:lang w:eastAsia="ru-RU"/>
              </w:rPr>
              <w:t>Единицы измерения, идентификатор</w:t>
            </w:r>
          </w:p>
        </w:tc>
        <w:tc>
          <w:tcPr>
            <w:tcW w:w="5533" w:type="dxa"/>
            <w:vAlign w:val="center"/>
          </w:tcPr>
          <w:p w14:paraId="1E656220" w14:textId="77777777" w:rsidR="00E63730" w:rsidRDefault="00E63730" w:rsidP="00C749ED">
            <w:pPr>
              <w:widowControl w:val="0"/>
              <w:autoSpaceDE w:val="0"/>
              <w:autoSpaceDN w:val="0"/>
              <w:spacing w:after="0" w:line="276" w:lineRule="auto"/>
              <w:jc w:val="center"/>
              <w:rPr>
                <w:rFonts w:ascii="Times New Roman" w:hAnsi="Times New Roman" w:cs="Times New Roman"/>
                <w:b/>
              </w:rPr>
            </w:pPr>
            <w:r w:rsidRPr="00F562A8">
              <w:rPr>
                <w:rFonts w:ascii="Times New Roman" w:hAnsi="Times New Roman" w:cs="Times New Roman"/>
                <w:b/>
              </w:rPr>
              <w:t>Обоснование использования ценообразующего фактора</w:t>
            </w:r>
            <w:r>
              <w:rPr>
                <w:rFonts w:ascii="Times New Roman" w:hAnsi="Times New Roman" w:cs="Times New Roman"/>
                <w:b/>
              </w:rPr>
              <w:t>.</w:t>
            </w:r>
          </w:p>
          <w:p w14:paraId="327233ED"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b/>
              </w:rPr>
            </w:pPr>
            <w:r>
              <w:rPr>
                <w:rFonts w:ascii="Times New Roman" w:hAnsi="Times New Roman" w:cs="Times New Roman"/>
                <w:b/>
              </w:rPr>
              <w:t>Источник информации.</w:t>
            </w:r>
          </w:p>
        </w:tc>
      </w:tr>
      <w:tr w:rsidR="00E63730" w:rsidRPr="00F562A8" w14:paraId="623A2999" w14:textId="77777777" w:rsidTr="00E63730">
        <w:trPr>
          <w:trHeight w:val="313"/>
          <w:jc w:val="center"/>
        </w:trPr>
        <w:tc>
          <w:tcPr>
            <w:tcW w:w="567" w:type="dxa"/>
            <w:vMerge w:val="restart"/>
            <w:vAlign w:val="center"/>
          </w:tcPr>
          <w:p w14:paraId="20D08926"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1</w:t>
            </w:r>
          </w:p>
        </w:tc>
        <w:tc>
          <w:tcPr>
            <w:tcW w:w="3256" w:type="dxa"/>
            <w:vMerge w:val="restart"/>
            <w:vAlign w:val="center"/>
          </w:tcPr>
          <w:p w14:paraId="7B2A31B2"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Расстояние от населенного пункта до центра субъекта РФ (г. Воронеж)</w:t>
            </w:r>
          </w:p>
        </w:tc>
        <w:tc>
          <w:tcPr>
            <w:tcW w:w="2835" w:type="dxa"/>
            <w:vAlign w:val="center"/>
          </w:tcPr>
          <w:p w14:paraId="1CC17107"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гнп Расстояние от населенного пункта до центра субъекта РФ (г.Воронеж)</w:t>
            </w:r>
          </w:p>
        </w:tc>
        <w:tc>
          <w:tcPr>
            <w:tcW w:w="1979" w:type="dxa"/>
            <w:vAlign w:val="center"/>
          </w:tcPr>
          <w:p w14:paraId="4419DAA8"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км</w:t>
            </w:r>
          </w:p>
        </w:tc>
        <w:tc>
          <w:tcPr>
            <w:tcW w:w="5533" w:type="dxa"/>
            <w:vMerge w:val="restart"/>
            <w:vAlign w:val="center"/>
          </w:tcPr>
          <w:p w14:paraId="2EE632F4" w14:textId="77777777" w:rsidR="00E63730" w:rsidRDefault="00E63730" w:rsidP="00604FA2">
            <w:pPr>
              <w:widowControl w:val="0"/>
              <w:autoSpaceDE w:val="0"/>
              <w:autoSpaceDN w:val="0"/>
              <w:spacing w:after="0" w:line="276" w:lineRule="auto"/>
              <w:ind w:right="82"/>
              <w:jc w:val="both"/>
              <w:rPr>
                <w:rFonts w:ascii="Times New Roman" w:hAnsi="Times New Roman" w:cs="Times New Roman"/>
              </w:rPr>
            </w:pPr>
            <w:r w:rsidRPr="00F562A8">
              <w:rPr>
                <w:rFonts w:ascii="Times New Roman" w:hAnsi="Times New Roman" w:cs="Times New Roman"/>
              </w:rPr>
              <w:t>Близость к</w:t>
            </w:r>
            <w:r>
              <w:rPr>
                <w:rFonts w:ascii="Times New Roman" w:hAnsi="Times New Roman" w:cs="Times New Roman"/>
              </w:rPr>
              <w:t xml:space="preserve"> центру</w:t>
            </w:r>
            <w:r w:rsidRPr="00F562A8">
              <w:rPr>
                <w:rFonts w:ascii="Times New Roman" w:hAnsi="Times New Roman" w:cs="Times New Roman"/>
              </w:rPr>
              <w:t xml:space="preserve"> субъект</w:t>
            </w:r>
            <w:r>
              <w:rPr>
                <w:rFonts w:ascii="Times New Roman" w:hAnsi="Times New Roman" w:cs="Times New Roman"/>
              </w:rPr>
              <w:t>а</w:t>
            </w:r>
            <w:r w:rsidRPr="00F562A8">
              <w:rPr>
                <w:rFonts w:ascii="Times New Roman" w:hAnsi="Times New Roman" w:cs="Times New Roman"/>
              </w:rPr>
              <w:t xml:space="preserve"> РФ</w:t>
            </w:r>
            <w:r>
              <w:rPr>
                <w:rFonts w:ascii="Times New Roman" w:hAnsi="Times New Roman" w:cs="Times New Roman"/>
              </w:rPr>
              <w:t xml:space="preserve"> и </w:t>
            </w:r>
            <w:r w:rsidRPr="00F562A8">
              <w:rPr>
                <w:rFonts w:ascii="Times New Roman" w:hAnsi="Times New Roman" w:cs="Times New Roman"/>
              </w:rPr>
              <w:t xml:space="preserve">центру МР оказывает существенное влияние на стоимость объектов оценки в населенных пунктах: чем ближе населенный пункт к </w:t>
            </w:r>
            <w:r>
              <w:rPr>
                <w:rFonts w:ascii="Times New Roman" w:hAnsi="Times New Roman" w:cs="Times New Roman"/>
              </w:rPr>
              <w:t>центру</w:t>
            </w:r>
            <w:r w:rsidRPr="00F562A8">
              <w:rPr>
                <w:rFonts w:ascii="Times New Roman" w:hAnsi="Times New Roman" w:cs="Times New Roman"/>
              </w:rPr>
              <w:t xml:space="preserve"> субъект</w:t>
            </w:r>
            <w:r>
              <w:rPr>
                <w:rFonts w:ascii="Times New Roman" w:hAnsi="Times New Roman" w:cs="Times New Roman"/>
              </w:rPr>
              <w:t>а</w:t>
            </w:r>
            <w:r w:rsidRPr="00F562A8">
              <w:rPr>
                <w:rFonts w:ascii="Times New Roman" w:hAnsi="Times New Roman" w:cs="Times New Roman"/>
              </w:rPr>
              <w:t xml:space="preserve"> РФ/центру МР, тем лучше его обеспеченность инженерными коммуникациями, культурно-бытовыми объектами, трудовыми резервами, социально-экономическими показателями, которые увеличивают стоимость земельных участков.</w:t>
            </w:r>
            <w:r>
              <w:rPr>
                <w:rFonts w:ascii="Times New Roman" w:hAnsi="Times New Roman" w:cs="Times New Roman"/>
              </w:rPr>
              <w:t xml:space="preserve"> </w:t>
            </w:r>
          </w:p>
          <w:p w14:paraId="503D7EE6"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r>
              <w:rPr>
                <w:rFonts w:ascii="Times New Roman" w:hAnsi="Times New Roman" w:cs="Times New Roman"/>
              </w:rPr>
              <w:t>Источник: информация ОМС</w:t>
            </w:r>
          </w:p>
        </w:tc>
      </w:tr>
      <w:tr w:rsidR="00E63730" w:rsidRPr="00F562A8" w14:paraId="5CF33088" w14:textId="77777777" w:rsidTr="00E63730">
        <w:trPr>
          <w:trHeight w:val="585"/>
          <w:jc w:val="center"/>
        </w:trPr>
        <w:tc>
          <w:tcPr>
            <w:tcW w:w="567" w:type="dxa"/>
            <w:vMerge/>
            <w:vAlign w:val="center"/>
          </w:tcPr>
          <w:p w14:paraId="6C5ACFEF"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p>
        </w:tc>
        <w:tc>
          <w:tcPr>
            <w:tcW w:w="3256" w:type="dxa"/>
            <w:vMerge/>
            <w:vAlign w:val="center"/>
          </w:tcPr>
          <w:p w14:paraId="72E7FF9A" w14:textId="77777777" w:rsidR="00E63730" w:rsidRPr="00F562A8" w:rsidRDefault="00E63730" w:rsidP="00C749ED">
            <w:pPr>
              <w:widowControl w:val="0"/>
              <w:autoSpaceDE w:val="0"/>
              <w:autoSpaceDN w:val="0"/>
              <w:spacing w:after="0" w:line="276" w:lineRule="auto"/>
              <w:rPr>
                <w:rFonts w:ascii="Times New Roman" w:hAnsi="Times New Roman" w:cs="Times New Roman"/>
              </w:rPr>
            </w:pPr>
          </w:p>
        </w:tc>
        <w:tc>
          <w:tcPr>
            <w:tcW w:w="2835" w:type="dxa"/>
            <w:vAlign w:val="center"/>
          </w:tcPr>
          <w:p w14:paraId="4945B9D8"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СНП Расстояние от населенного пункта до центра субъекта РФ (г. Воронеж)</w:t>
            </w:r>
          </w:p>
        </w:tc>
        <w:tc>
          <w:tcPr>
            <w:tcW w:w="1979" w:type="dxa"/>
            <w:vAlign w:val="center"/>
          </w:tcPr>
          <w:p w14:paraId="12F779E6"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км</w:t>
            </w:r>
          </w:p>
        </w:tc>
        <w:tc>
          <w:tcPr>
            <w:tcW w:w="5533" w:type="dxa"/>
            <w:vMerge/>
            <w:vAlign w:val="center"/>
          </w:tcPr>
          <w:p w14:paraId="3B0C2BA5"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p>
        </w:tc>
      </w:tr>
      <w:tr w:rsidR="00E63730" w:rsidRPr="00F562A8" w14:paraId="31A10917" w14:textId="77777777" w:rsidTr="00E63730">
        <w:trPr>
          <w:trHeight w:val="150"/>
          <w:jc w:val="center"/>
        </w:trPr>
        <w:tc>
          <w:tcPr>
            <w:tcW w:w="567" w:type="dxa"/>
            <w:vMerge/>
            <w:vAlign w:val="center"/>
          </w:tcPr>
          <w:p w14:paraId="7899B834"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p>
        </w:tc>
        <w:tc>
          <w:tcPr>
            <w:tcW w:w="3256" w:type="dxa"/>
            <w:vMerge/>
            <w:vAlign w:val="center"/>
          </w:tcPr>
          <w:p w14:paraId="3C3CAB30" w14:textId="77777777" w:rsidR="00E63730" w:rsidRPr="00F562A8" w:rsidRDefault="00E63730" w:rsidP="00C749ED">
            <w:pPr>
              <w:widowControl w:val="0"/>
              <w:autoSpaceDE w:val="0"/>
              <w:autoSpaceDN w:val="0"/>
              <w:spacing w:after="0" w:line="276" w:lineRule="auto"/>
              <w:rPr>
                <w:rFonts w:ascii="Times New Roman" w:hAnsi="Times New Roman" w:cs="Times New Roman"/>
              </w:rPr>
            </w:pPr>
          </w:p>
        </w:tc>
        <w:tc>
          <w:tcPr>
            <w:tcW w:w="2835" w:type="dxa"/>
            <w:vAlign w:val="center"/>
          </w:tcPr>
          <w:p w14:paraId="7E80137F"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D972F5">
              <w:rPr>
                <w:rFonts w:ascii="Times New Roman" w:hAnsi="Times New Roman" w:cs="Times New Roman"/>
              </w:rPr>
              <w:t>_Расстояние до центра субъекта РФ (г. Воронеж)</w:t>
            </w:r>
          </w:p>
        </w:tc>
        <w:tc>
          <w:tcPr>
            <w:tcW w:w="1979" w:type="dxa"/>
            <w:vAlign w:val="center"/>
          </w:tcPr>
          <w:p w14:paraId="1278DEC8"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км</w:t>
            </w:r>
          </w:p>
        </w:tc>
        <w:tc>
          <w:tcPr>
            <w:tcW w:w="5533" w:type="dxa"/>
            <w:vMerge/>
            <w:vAlign w:val="center"/>
          </w:tcPr>
          <w:p w14:paraId="42076B02"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p>
        </w:tc>
      </w:tr>
      <w:tr w:rsidR="00E63730" w:rsidRPr="00F562A8" w14:paraId="6236AAAA" w14:textId="77777777" w:rsidTr="00E63730">
        <w:trPr>
          <w:trHeight w:val="1034"/>
          <w:jc w:val="center"/>
        </w:trPr>
        <w:tc>
          <w:tcPr>
            <w:tcW w:w="567" w:type="dxa"/>
            <w:vMerge w:val="restart"/>
            <w:vAlign w:val="center"/>
          </w:tcPr>
          <w:p w14:paraId="09E67746"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2</w:t>
            </w:r>
          </w:p>
        </w:tc>
        <w:tc>
          <w:tcPr>
            <w:tcW w:w="3256" w:type="dxa"/>
            <w:vMerge w:val="restart"/>
            <w:vAlign w:val="center"/>
          </w:tcPr>
          <w:p w14:paraId="697A6995"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Расстояние от населенного пункта до центра муниципального района (городского округа)</w:t>
            </w:r>
          </w:p>
        </w:tc>
        <w:tc>
          <w:tcPr>
            <w:tcW w:w="2835" w:type="dxa"/>
            <w:vAlign w:val="center"/>
          </w:tcPr>
          <w:p w14:paraId="183158F7"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eastAsiaTheme="minorEastAsia" w:hAnsi="Times New Roman" w:cs="Times New Roman"/>
                <w:lang w:eastAsia="ru-RU"/>
              </w:rPr>
              <w:t>гнп Расстояние от населенного пункта до центра муниципального района (городского округа)</w:t>
            </w:r>
          </w:p>
        </w:tc>
        <w:tc>
          <w:tcPr>
            <w:tcW w:w="1979" w:type="dxa"/>
            <w:vAlign w:val="center"/>
          </w:tcPr>
          <w:p w14:paraId="382EBB6C"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км</w:t>
            </w:r>
          </w:p>
        </w:tc>
        <w:tc>
          <w:tcPr>
            <w:tcW w:w="5533" w:type="dxa"/>
            <w:vMerge/>
            <w:vAlign w:val="center"/>
          </w:tcPr>
          <w:p w14:paraId="73D8E0D8"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p>
        </w:tc>
      </w:tr>
      <w:tr w:rsidR="00E63730" w:rsidRPr="00F562A8" w14:paraId="6D1567B1" w14:textId="77777777" w:rsidTr="00E63730">
        <w:trPr>
          <w:trHeight w:val="870"/>
          <w:jc w:val="center"/>
        </w:trPr>
        <w:tc>
          <w:tcPr>
            <w:tcW w:w="567" w:type="dxa"/>
            <w:vMerge/>
            <w:vAlign w:val="center"/>
          </w:tcPr>
          <w:p w14:paraId="663E20AF"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p>
        </w:tc>
        <w:tc>
          <w:tcPr>
            <w:tcW w:w="3256" w:type="dxa"/>
            <w:vMerge/>
            <w:vAlign w:val="center"/>
          </w:tcPr>
          <w:p w14:paraId="7878CD1C" w14:textId="77777777" w:rsidR="00E63730" w:rsidRPr="00F562A8" w:rsidRDefault="00E63730" w:rsidP="00C749ED">
            <w:pPr>
              <w:widowControl w:val="0"/>
              <w:autoSpaceDE w:val="0"/>
              <w:autoSpaceDN w:val="0"/>
              <w:spacing w:after="0" w:line="276" w:lineRule="auto"/>
              <w:rPr>
                <w:rFonts w:ascii="Times New Roman" w:hAnsi="Times New Roman" w:cs="Times New Roman"/>
              </w:rPr>
            </w:pPr>
          </w:p>
        </w:tc>
        <w:tc>
          <w:tcPr>
            <w:tcW w:w="2835" w:type="dxa"/>
            <w:vAlign w:val="center"/>
          </w:tcPr>
          <w:p w14:paraId="4D61AED2"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СНП Расстояние от населенного пункта до центра муниципального района (городского округа)</w:t>
            </w:r>
          </w:p>
        </w:tc>
        <w:tc>
          <w:tcPr>
            <w:tcW w:w="1979" w:type="dxa"/>
            <w:vAlign w:val="center"/>
          </w:tcPr>
          <w:p w14:paraId="377C8DAC"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км</w:t>
            </w:r>
          </w:p>
        </w:tc>
        <w:tc>
          <w:tcPr>
            <w:tcW w:w="5533" w:type="dxa"/>
            <w:vMerge/>
            <w:vAlign w:val="center"/>
          </w:tcPr>
          <w:p w14:paraId="4053E217"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p>
        </w:tc>
      </w:tr>
      <w:tr w:rsidR="00E63730" w:rsidRPr="00F562A8" w14:paraId="50CD54F4" w14:textId="77777777" w:rsidTr="00E63730">
        <w:trPr>
          <w:trHeight w:val="20"/>
          <w:jc w:val="center"/>
        </w:trPr>
        <w:tc>
          <w:tcPr>
            <w:tcW w:w="567" w:type="dxa"/>
            <w:vMerge/>
            <w:vAlign w:val="center"/>
          </w:tcPr>
          <w:p w14:paraId="6937DB3F"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p>
        </w:tc>
        <w:tc>
          <w:tcPr>
            <w:tcW w:w="3256" w:type="dxa"/>
            <w:vMerge/>
            <w:vAlign w:val="center"/>
          </w:tcPr>
          <w:p w14:paraId="1EE2FA19" w14:textId="77777777" w:rsidR="00E63730" w:rsidRPr="00F562A8" w:rsidRDefault="00E63730" w:rsidP="00C749ED">
            <w:pPr>
              <w:widowControl w:val="0"/>
              <w:autoSpaceDE w:val="0"/>
              <w:autoSpaceDN w:val="0"/>
              <w:spacing w:after="0" w:line="276" w:lineRule="auto"/>
              <w:rPr>
                <w:rFonts w:ascii="Times New Roman" w:hAnsi="Times New Roman" w:cs="Times New Roman"/>
              </w:rPr>
            </w:pPr>
          </w:p>
        </w:tc>
        <w:tc>
          <w:tcPr>
            <w:tcW w:w="2835" w:type="dxa"/>
            <w:vAlign w:val="center"/>
          </w:tcPr>
          <w:p w14:paraId="04A14E61"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D972F5">
              <w:rPr>
                <w:rFonts w:ascii="Times New Roman" w:hAnsi="Times New Roman" w:cs="Times New Roman"/>
              </w:rPr>
              <w:t>_Расстояние до районного центра</w:t>
            </w:r>
          </w:p>
        </w:tc>
        <w:tc>
          <w:tcPr>
            <w:tcW w:w="1979" w:type="dxa"/>
            <w:vAlign w:val="center"/>
          </w:tcPr>
          <w:p w14:paraId="3B4882AE"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км</w:t>
            </w:r>
          </w:p>
        </w:tc>
        <w:tc>
          <w:tcPr>
            <w:tcW w:w="5533" w:type="dxa"/>
            <w:vMerge/>
            <w:vAlign w:val="center"/>
          </w:tcPr>
          <w:p w14:paraId="67CA23D3"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p>
        </w:tc>
      </w:tr>
      <w:tr w:rsidR="00E63730" w:rsidRPr="00F562A8" w14:paraId="5AAB89D0" w14:textId="77777777" w:rsidTr="00E63730">
        <w:trPr>
          <w:trHeight w:val="13"/>
          <w:jc w:val="center"/>
        </w:trPr>
        <w:tc>
          <w:tcPr>
            <w:tcW w:w="567" w:type="dxa"/>
            <w:vAlign w:val="center"/>
          </w:tcPr>
          <w:p w14:paraId="704105C8"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3</w:t>
            </w:r>
          </w:p>
        </w:tc>
        <w:tc>
          <w:tcPr>
            <w:tcW w:w="3256" w:type="dxa"/>
            <w:vAlign w:val="center"/>
          </w:tcPr>
          <w:p w14:paraId="0987AE24"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Численность населения в населенном пункте</w:t>
            </w:r>
          </w:p>
        </w:tc>
        <w:tc>
          <w:tcPr>
            <w:tcW w:w="2835" w:type="dxa"/>
            <w:vAlign w:val="center"/>
          </w:tcPr>
          <w:p w14:paraId="35303E85"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D972F5">
              <w:rPr>
                <w:rFonts w:ascii="Times New Roman" w:hAnsi="Times New Roman" w:cs="Times New Roman"/>
              </w:rPr>
              <w:t>__Численность населения в населенном пункте</w:t>
            </w:r>
          </w:p>
        </w:tc>
        <w:tc>
          <w:tcPr>
            <w:tcW w:w="1979" w:type="dxa"/>
            <w:vAlign w:val="center"/>
          </w:tcPr>
          <w:p w14:paraId="16DB4AF0"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чел.</w:t>
            </w:r>
          </w:p>
        </w:tc>
        <w:tc>
          <w:tcPr>
            <w:tcW w:w="5533" w:type="dxa"/>
            <w:vAlign w:val="center"/>
          </w:tcPr>
          <w:p w14:paraId="75D68BC3" w14:textId="77777777" w:rsidR="00E63730" w:rsidRDefault="00E63730" w:rsidP="00604FA2">
            <w:pPr>
              <w:widowControl w:val="0"/>
              <w:autoSpaceDE w:val="0"/>
              <w:autoSpaceDN w:val="0"/>
              <w:spacing w:after="0" w:line="276" w:lineRule="auto"/>
              <w:ind w:right="82"/>
              <w:jc w:val="both"/>
              <w:rPr>
                <w:rFonts w:ascii="Times New Roman" w:hAnsi="Times New Roman" w:cs="Times New Roman"/>
              </w:rPr>
            </w:pPr>
            <w:r w:rsidRPr="00F562A8">
              <w:rPr>
                <w:rFonts w:ascii="Times New Roman" w:hAnsi="Times New Roman" w:cs="Times New Roman"/>
              </w:rPr>
              <w:t>Социальная и инженерная инфраструктура возрастает с численностью населения, наличие предприятий и организаций, где есть возможность занятости, зависит от численности населения в населённом пункте. Таким образом, в населённых пунктах с более высокой численностью населения стоимость объектов недвижимости больше, чем в населенных пунктах с низкой численностью населения.</w:t>
            </w:r>
          </w:p>
          <w:p w14:paraId="42BCA8FB"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r>
              <w:rPr>
                <w:rFonts w:ascii="Times New Roman" w:hAnsi="Times New Roman" w:cs="Times New Roman"/>
              </w:rPr>
              <w:t>Источник: информация ОМС</w:t>
            </w:r>
          </w:p>
        </w:tc>
      </w:tr>
      <w:tr w:rsidR="00E63730" w:rsidRPr="00F562A8" w14:paraId="3916B9DB" w14:textId="77777777" w:rsidTr="00E63730">
        <w:trPr>
          <w:trHeight w:val="601"/>
          <w:jc w:val="center"/>
        </w:trPr>
        <w:tc>
          <w:tcPr>
            <w:tcW w:w="567" w:type="dxa"/>
            <w:vAlign w:val="center"/>
          </w:tcPr>
          <w:p w14:paraId="01D2C83C"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4</w:t>
            </w:r>
          </w:p>
        </w:tc>
        <w:tc>
          <w:tcPr>
            <w:tcW w:w="3256" w:type="dxa"/>
            <w:vAlign w:val="center"/>
          </w:tcPr>
          <w:p w14:paraId="0E5846D8"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eastAsiaTheme="minorEastAsia" w:hAnsi="Times New Roman" w:cs="Times New Roman"/>
                <w:lang w:eastAsia="ru-RU"/>
              </w:rPr>
              <w:t>Численность населения в муниципальном районе, городском округе</w:t>
            </w:r>
          </w:p>
        </w:tc>
        <w:tc>
          <w:tcPr>
            <w:tcW w:w="2835" w:type="dxa"/>
            <w:vAlign w:val="center"/>
          </w:tcPr>
          <w:p w14:paraId="6BA283EA"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D972F5">
              <w:rPr>
                <w:rFonts w:ascii="Times New Roman" w:eastAsiaTheme="minorEastAsia" w:hAnsi="Times New Roman" w:cs="Times New Roman"/>
                <w:lang w:eastAsia="ru-RU"/>
              </w:rPr>
              <w:t>__Численность населения в муниципальном районе, городском округе</w:t>
            </w:r>
          </w:p>
        </w:tc>
        <w:tc>
          <w:tcPr>
            <w:tcW w:w="1979" w:type="dxa"/>
            <w:vAlign w:val="center"/>
          </w:tcPr>
          <w:p w14:paraId="54ABA8BC" w14:textId="77777777" w:rsidR="00E63730" w:rsidRPr="00593ED5" w:rsidRDefault="00E63730" w:rsidP="00C749ED">
            <w:pPr>
              <w:widowControl w:val="0"/>
              <w:autoSpaceDE w:val="0"/>
              <w:autoSpaceDN w:val="0"/>
              <w:spacing w:after="0" w:line="276" w:lineRule="auto"/>
              <w:jc w:val="center"/>
              <w:rPr>
                <w:rFonts w:ascii="Times New Roman" w:eastAsiaTheme="minorEastAsia" w:hAnsi="Times New Roman" w:cs="Times New Roman"/>
                <w:lang w:eastAsia="ru-RU"/>
              </w:rPr>
            </w:pPr>
            <w:r w:rsidRPr="00593ED5">
              <w:rPr>
                <w:rFonts w:ascii="Times New Roman" w:eastAsiaTheme="minorEastAsia" w:hAnsi="Times New Roman" w:cs="Times New Roman"/>
                <w:lang w:eastAsia="ru-RU"/>
              </w:rPr>
              <w:t>чел.</w:t>
            </w:r>
          </w:p>
        </w:tc>
        <w:tc>
          <w:tcPr>
            <w:tcW w:w="5533" w:type="dxa"/>
            <w:vAlign w:val="center"/>
          </w:tcPr>
          <w:p w14:paraId="58751088" w14:textId="77777777" w:rsidR="00E63730" w:rsidRDefault="00E63730" w:rsidP="00604FA2">
            <w:pPr>
              <w:widowControl w:val="0"/>
              <w:autoSpaceDE w:val="0"/>
              <w:autoSpaceDN w:val="0"/>
              <w:spacing w:after="0" w:line="276" w:lineRule="auto"/>
              <w:ind w:right="82"/>
              <w:jc w:val="both"/>
              <w:rPr>
                <w:rFonts w:ascii="Times New Roman" w:hAnsi="Times New Roman" w:cs="Times New Roman"/>
              </w:rPr>
            </w:pPr>
            <w:r w:rsidRPr="00F562A8">
              <w:rPr>
                <w:rFonts w:ascii="Times New Roman" w:hAnsi="Times New Roman" w:cs="Times New Roman"/>
              </w:rPr>
              <w:t>Социальная и инженерная инфраструктура возрастает с численностью населения, наличие предприятий и организаций, где есть возможность занятости, зависит от численности населения в населённом пункте. Таким образом, в районах с более высокой численностью населения стоимость объектов недвижимости больше, чем в районах с низкой численностью населения.</w:t>
            </w:r>
          </w:p>
          <w:p w14:paraId="1E082240"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r>
              <w:rPr>
                <w:rFonts w:ascii="Times New Roman" w:hAnsi="Times New Roman" w:cs="Times New Roman"/>
              </w:rPr>
              <w:t>Источник: информация ОМС</w:t>
            </w:r>
          </w:p>
        </w:tc>
      </w:tr>
      <w:tr w:rsidR="00E63730" w:rsidRPr="00F562A8" w14:paraId="5BE592FA" w14:textId="77777777" w:rsidTr="00E63730">
        <w:trPr>
          <w:trHeight w:val="34"/>
          <w:jc w:val="center"/>
        </w:trPr>
        <w:tc>
          <w:tcPr>
            <w:tcW w:w="567" w:type="dxa"/>
            <w:vAlign w:val="center"/>
          </w:tcPr>
          <w:p w14:paraId="37E4E0C6"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5</w:t>
            </w:r>
          </w:p>
        </w:tc>
        <w:tc>
          <w:tcPr>
            <w:tcW w:w="3256" w:type="dxa"/>
            <w:vAlign w:val="center"/>
          </w:tcPr>
          <w:p w14:paraId="628FDA14"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Среднемесячная заработная плата в муниципальном районе /городском округе</w:t>
            </w:r>
          </w:p>
        </w:tc>
        <w:tc>
          <w:tcPr>
            <w:tcW w:w="2835" w:type="dxa"/>
            <w:vAlign w:val="center"/>
          </w:tcPr>
          <w:p w14:paraId="43AE1C6A"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D972F5">
              <w:rPr>
                <w:rFonts w:ascii="Times New Roman" w:hAnsi="Times New Roman" w:cs="Times New Roman"/>
              </w:rPr>
              <w:t>__Среднемесячная заработная плата в муниципальном районе, городском округе</w:t>
            </w:r>
          </w:p>
        </w:tc>
        <w:tc>
          <w:tcPr>
            <w:tcW w:w="1979" w:type="dxa"/>
            <w:vAlign w:val="center"/>
          </w:tcPr>
          <w:p w14:paraId="0984DE9C"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руб.</w:t>
            </w:r>
          </w:p>
        </w:tc>
        <w:tc>
          <w:tcPr>
            <w:tcW w:w="5533" w:type="dxa"/>
            <w:vAlign w:val="center"/>
          </w:tcPr>
          <w:p w14:paraId="495CC0D1" w14:textId="77777777" w:rsidR="00E63730" w:rsidRDefault="00E63730" w:rsidP="00604FA2">
            <w:pPr>
              <w:widowControl w:val="0"/>
              <w:autoSpaceDE w:val="0"/>
              <w:autoSpaceDN w:val="0"/>
              <w:spacing w:after="0" w:line="276" w:lineRule="auto"/>
              <w:ind w:right="82"/>
              <w:jc w:val="both"/>
              <w:rPr>
                <w:rFonts w:ascii="Times New Roman" w:hAnsi="Times New Roman" w:cs="Times New Roman"/>
              </w:rPr>
            </w:pPr>
            <w:r w:rsidRPr="00F562A8">
              <w:rPr>
                <w:rFonts w:ascii="Times New Roman" w:hAnsi="Times New Roman" w:cs="Times New Roman"/>
              </w:rPr>
              <w:t>Чем выше заработная плата, тем выше платежеспособность населения, и, соответственно спрос на недвижимость увеличивается</w:t>
            </w:r>
          </w:p>
          <w:p w14:paraId="065DE9F8"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r>
              <w:rPr>
                <w:rFonts w:ascii="Times New Roman" w:hAnsi="Times New Roman" w:cs="Times New Roman"/>
              </w:rPr>
              <w:t>Источник: информация ОМС</w:t>
            </w:r>
          </w:p>
        </w:tc>
      </w:tr>
      <w:tr w:rsidR="00E63730" w:rsidRPr="00F562A8" w14:paraId="187ABF6A" w14:textId="77777777" w:rsidTr="00E63730">
        <w:trPr>
          <w:trHeight w:val="585"/>
          <w:jc w:val="center"/>
        </w:trPr>
        <w:tc>
          <w:tcPr>
            <w:tcW w:w="567" w:type="dxa"/>
            <w:vMerge w:val="restart"/>
            <w:vAlign w:val="center"/>
          </w:tcPr>
          <w:p w14:paraId="11447064"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6</w:t>
            </w:r>
          </w:p>
        </w:tc>
        <w:tc>
          <w:tcPr>
            <w:tcW w:w="3256" w:type="dxa"/>
            <w:vMerge w:val="restart"/>
            <w:vAlign w:val="center"/>
          </w:tcPr>
          <w:p w14:paraId="09987191"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Наличие дороги с твердым покрытием</w:t>
            </w:r>
          </w:p>
        </w:tc>
        <w:tc>
          <w:tcPr>
            <w:tcW w:w="2835" w:type="dxa"/>
            <w:vAlign w:val="center"/>
          </w:tcPr>
          <w:p w14:paraId="384974DC"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СНП Наличие дороги с твердым покрытием</w:t>
            </w:r>
          </w:p>
        </w:tc>
        <w:tc>
          <w:tcPr>
            <w:tcW w:w="1979" w:type="dxa"/>
            <w:vAlign w:val="center"/>
          </w:tcPr>
          <w:p w14:paraId="7514E3B3"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да/нет</w:t>
            </w:r>
          </w:p>
        </w:tc>
        <w:tc>
          <w:tcPr>
            <w:tcW w:w="5533" w:type="dxa"/>
            <w:vMerge w:val="restart"/>
            <w:vAlign w:val="center"/>
          </w:tcPr>
          <w:p w14:paraId="3D704AAE" w14:textId="77777777" w:rsidR="00E63730" w:rsidRDefault="00E63730" w:rsidP="00604FA2">
            <w:pPr>
              <w:widowControl w:val="0"/>
              <w:autoSpaceDE w:val="0"/>
              <w:autoSpaceDN w:val="0"/>
              <w:spacing w:after="0" w:line="276" w:lineRule="auto"/>
              <w:ind w:right="82"/>
              <w:jc w:val="both"/>
              <w:rPr>
                <w:rFonts w:ascii="Times New Roman" w:hAnsi="Times New Roman" w:cs="Times New Roman"/>
              </w:rPr>
            </w:pPr>
            <w:r w:rsidRPr="00F562A8">
              <w:rPr>
                <w:rFonts w:ascii="Times New Roman" w:hAnsi="Times New Roman" w:cs="Times New Roman"/>
              </w:rPr>
              <w:t>Их наличие повышает транспортную доступность к земельному участку</w:t>
            </w:r>
          </w:p>
          <w:p w14:paraId="17EDCA68"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r>
              <w:rPr>
                <w:rFonts w:ascii="Times New Roman" w:hAnsi="Times New Roman" w:cs="Times New Roman"/>
              </w:rPr>
              <w:t xml:space="preserve">Источник: информация ОМС, </w:t>
            </w:r>
            <w:r w:rsidRPr="00383104">
              <w:rPr>
                <w:rFonts w:ascii="Times New Roman" w:hAnsi="Times New Roman" w:cs="Times New Roman"/>
              </w:rPr>
              <w:t>building_sites Интерактивная карта градостроительной деятельности Воронежской области</w:t>
            </w:r>
            <w:r>
              <w:rPr>
                <w:rFonts w:ascii="Times New Roman" w:hAnsi="Times New Roman" w:cs="Times New Roman"/>
              </w:rPr>
              <w:t xml:space="preserve">, </w:t>
            </w:r>
            <w:r>
              <w:rPr>
                <w:rFonts w:ascii="Times New Roman" w:hAnsi="Times New Roman" w:cs="Times New Roman"/>
                <w:sz w:val="24"/>
                <w:szCs w:val="24"/>
              </w:rPr>
              <w:t xml:space="preserve">сведения </w:t>
            </w:r>
            <w:r w:rsidRPr="00C12CA2">
              <w:rPr>
                <w:rFonts w:ascii="Times New Roman" w:eastAsiaTheme="minorEastAsia" w:hAnsi="Times New Roman" w:cs="Times New Roman"/>
                <w:lang w:eastAsia="ru-RU"/>
              </w:rPr>
              <w:t>Департамент</w:t>
            </w:r>
            <w:r>
              <w:rPr>
                <w:rFonts w:ascii="Times New Roman" w:eastAsiaTheme="minorEastAsia" w:hAnsi="Times New Roman" w:cs="Times New Roman"/>
                <w:lang w:eastAsia="ru-RU"/>
              </w:rPr>
              <w:t>а</w:t>
            </w:r>
            <w:r w:rsidRPr="00C12CA2">
              <w:rPr>
                <w:rFonts w:ascii="Times New Roman" w:eastAsiaTheme="minorEastAsia" w:hAnsi="Times New Roman" w:cs="Times New Roman"/>
                <w:lang w:eastAsia="ru-RU"/>
              </w:rPr>
              <w:t xml:space="preserve"> дорожной деятельности Воронежской области</w:t>
            </w:r>
            <w:r>
              <w:rPr>
                <w:rFonts w:ascii="Times New Roman" w:eastAsiaTheme="minorEastAsia" w:hAnsi="Times New Roman" w:cs="Times New Roman"/>
                <w:lang w:eastAsia="ru-RU"/>
              </w:rPr>
              <w:t>.</w:t>
            </w:r>
          </w:p>
        </w:tc>
      </w:tr>
      <w:tr w:rsidR="00E63730" w:rsidRPr="00F562A8" w14:paraId="210B4B3E" w14:textId="77777777" w:rsidTr="00E63730">
        <w:trPr>
          <w:trHeight w:val="20"/>
          <w:jc w:val="center"/>
        </w:trPr>
        <w:tc>
          <w:tcPr>
            <w:tcW w:w="567" w:type="dxa"/>
            <w:vMerge/>
            <w:vAlign w:val="center"/>
          </w:tcPr>
          <w:p w14:paraId="380E11DC"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p>
        </w:tc>
        <w:tc>
          <w:tcPr>
            <w:tcW w:w="3256" w:type="dxa"/>
            <w:vMerge/>
            <w:vAlign w:val="center"/>
          </w:tcPr>
          <w:p w14:paraId="0ED00249" w14:textId="77777777" w:rsidR="00E63730" w:rsidRPr="00F562A8" w:rsidRDefault="00E63730" w:rsidP="00C749ED">
            <w:pPr>
              <w:widowControl w:val="0"/>
              <w:autoSpaceDE w:val="0"/>
              <w:autoSpaceDN w:val="0"/>
              <w:spacing w:after="0" w:line="276" w:lineRule="auto"/>
              <w:rPr>
                <w:rFonts w:ascii="Times New Roman" w:hAnsi="Times New Roman" w:cs="Times New Roman"/>
              </w:rPr>
            </w:pPr>
          </w:p>
        </w:tc>
        <w:tc>
          <w:tcPr>
            <w:tcW w:w="2835" w:type="dxa"/>
            <w:vAlign w:val="center"/>
          </w:tcPr>
          <w:p w14:paraId="5CF46A6F"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593ED5">
              <w:rPr>
                <w:rFonts w:ascii="Times New Roman" w:hAnsi="Times New Roman" w:cs="Times New Roman"/>
              </w:rPr>
              <w:t>_Наличие подъездных путей с твердым покрытием</w:t>
            </w:r>
          </w:p>
        </w:tc>
        <w:tc>
          <w:tcPr>
            <w:tcW w:w="1979" w:type="dxa"/>
            <w:vAlign w:val="center"/>
          </w:tcPr>
          <w:p w14:paraId="27A3FBD8"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да/нет</w:t>
            </w:r>
          </w:p>
        </w:tc>
        <w:tc>
          <w:tcPr>
            <w:tcW w:w="5533" w:type="dxa"/>
            <w:vMerge/>
            <w:vAlign w:val="center"/>
          </w:tcPr>
          <w:p w14:paraId="590146F0"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p>
        </w:tc>
      </w:tr>
      <w:tr w:rsidR="00E63730" w:rsidRPr="00F562A8" w14:paraId="7916ECB8" w14:textId="77777777" w:rsidTr="00E63730">
        <w:trPr>
          <w:jc w:val="center"/>
        </w:trPr>
        <w:tc>
          <w:tcPr>
            <w:tcW w:w="567" w:type="dxa"/>
            <w:vAlign w:val="center"/>
          </w:tcPr>
          <w:p w14:paraId="49524C22"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7</w:t>
            </w:r>
          </w:p>
        </w:tc>
        <w:tc>
          <w:tcPr>
            <w:tcW w:w="3256" w:type="dxa"/>
            <w:vAlign w:val="center"/>
          </w:tcPr>
          <w:p w14:paraId="753FA08C"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eastAsiaTheme="minorEastAsia" w:hAnsi="Times New Roman" w:cs="Times New Roman"/>
                <w:lang w:eastAsia="ru-RU"/>
              </w:rPr>
              <w:t>Расстояние объекта до центра населенного пункта</w:t>
            </w:r>
          </w:p>
        </w:tc>
        <w:tc>
          <w:tcPr>
            <w:tcW w:w="2835" w:type="dxa"/>
            <w:vAlign w:val="center"/>
          </w:tcPr>
          <w:p w14:paraId="24FEFFCA"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eastAsiaTheme="minorEastAsia" w:hAnsi="Times New Roman" w:cs="Times New Roman"/>
                <w:lang w:eastAsia="ru-RU"/>
              </w:rPr>
              <w:t>гнп Расстояние объекта до центра населенного пункта</w:t>
            </w:r>
          </w:p>
        </w:tc>
        <w:tc>
          <w:tcPr>
            <w:tcW w:w="1979" w:type="dxa"/>
            <w:vAlign w:val="center"/>
          </w:tcPr>
          <w:p w14:paraId="65A7B5A2" w14:textId="77777777" w:rsidR="00E63730" w:rsidRPr="00383104" w:rsidRDefault="00E63730" w:rsidP="00C749ED">
            <w:pPr>
              <w:widowControl w:val="0"/>
              <w:autoSpaceDE w:val="0"/>
              <w:autoSpaceDN w:val="0"/>
              <w:spacing w:after="0" w:line="276" w:lineRule="auto"/>
              <w:jc w:val="center"/>
              <w:rPr>
                <w:rFonts w:ascii="Times New Roman" w:eastAsiaTheme="minorEastAsia" w:hAnsi="Times New Roman" w:cs="Times New Roman"/>
                <w:lang w:eastAsia="ru-RU"/>
              </w:rPr>
            </w:pPr>
            <w:r w:rsidRPr="00383104">
              <w:rPr>
                <w:rFonts w:ascii="Times New Roman" w:eastAsiaTheme="minorEastAsia" w:hAnsi="Times New Roman" w:cs="Times New Roman"/>
                <w:lang w:eastAsia="ru-RU"/>
              </w:rPr>
              <w:t>м</w:t>
            </w:r>
          </w:p>
        </w:tc>
        <w:tc>
          <w:tcPr>
            <w:tcW w:w="5533" w:type="dxa"/>
            <w:vAlign w:val="center"/>
          </w:tcPr>
          <w:p w14:paraId="6DEFEC1A" w14:textId="77777777" w:rsidR="00E63730" w:rsidRDefault="00E63730" w:rsidP="00604FA2">
            <w:pPr>
              <w:widowControl w:val="0"/>
              <w:autoSpaceDE w:val="0"/>
              <w:autoSpaceDN w:val="0"/>
              <w:spacing w:after="0" w:line="276" w:lineRule="auto"/>
              <w:ind w:right="82"/>
              <w:jc w:val="both"/>
              <w:rPr>
                <w:rFonts w:ascii="Times New Roman" w:hAnsi="Times New Roman" w:cs="Times New Roman"/>
              </w:rPr>
            </w:pPr>
            <w:r w:rsidRPr="00F562A8">
              <w:rPr>
                <w:rFonts w:ascii="Times New Roman" w:hAnsi="Times New Roman" w:cs="Times New Roman"/>
              </w:rPr>
              <w:t>Близость к центру оказывает существенное влияние на стоимость объектов оценки в населенных пунктах: чем ближе к нему объект оценки, тем больше стоимости.</w:t>
            </w:r>
          </w:p>
          <w:p w14:paraId="2841A300"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r>
              <w:rPr>
                <w:rFonts w:ascii="Times New Roman" w:hAnsi="Times New Roman" w:cs="Times New Roman"/>
              </w:rPr>
              <w:t>Источник: информация ОМС.</w:t>
            </w:r>
          </w:p>
        </w:tc>
      </w:tr>
      <w:tr w:rsidR="00E63730" w:rsidRPr="00F562A8" w14:paraId="5133DE21" w14:textId="77777777" w:rsidTr="00E63730">
        <w:trPr>
          <w:trHeight w:val="13"/>
          <w:jc w:val="center"/>
        </w:trPr>
        <w:tc>
          <w:tcPr>
            <w:tcW w:w="567" w:type="dxa"/>
            <w:vAlign w:val="center"/>
          </w:tcPr>
          <w:p w14:paraId="7F84581C"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8</w:t>
            </w:r>
          </w:p>
        </w:tc>
        <w:tc>
          <w:tcPr>
            <w:tcW w:w="3256" w:type="dxa"/>
            <w:vAlign w:val="center"/>
          </w:tcPr>
          <w:p w14:paraId="13352163"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Расстояние до историко-культурно центра</w:t>
            </w:r>
          </w:p>
        </w:tc>
        <w:tc>
          <w:tcPr>
            <w:tcW w:w="2835" w:type="dxa"/>
            <w:vAlign w:val="center"/>
          </w:tcPr>
          <w:p w14:paraId="784E8623"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гнп Расстояние объекта до историко-культурного центра</w:t>
            </w:r>
          </w:p>
        </w:tc>
        <w:tc>
          <w:tcPr>
            <w:tcW w:w="1979" w:type="dxa"/>
            <w:vAlign w:val="center"/>
          </w:tcPr>
          <w:p w14:paraId="777CEF3D"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м</w:t>
            </w:r>
          </w:p>
        </w:tc>
        <w:tc>
          <w:tcPr>
            <w:tcW w:w="5533" w:type="dxa"/>
            <w:vAlign w:val="center"/>
          </w:tcPr>
          <w:p w14:paraId="0EF2E130" w14:textId="77777777" w:rsidR="00E63730" w:rsidRDefault="00E63730" w:rsidP="00604FA2">
            <w:pPr>
              <w:widowControl w:val="0"/>
              <w:autoSpaceDE w:val="0"/>
              <w:autoSpaceDN w:val="0"/>
              <w:spacing w:after="0" w:line="276" w:lineRule="auto"/>
              <w:ind w:right="82"/>
              <w:jc w:val="both"/>
              <w:rPr>
                <w:rFonts w:ascii="Times New Roman" w:hAnsi="Times New Roman" w:cs="Times New Roman"/>
              </w:rPr>
            </w:pPr>
            <w:r w:rsidRPr="00F562A8">
              <w:rPr>
                <w:rFonts w:ascii="Times New Roman" w:hAnsi="Times New Roman" w:cs="Times New Roman"/>
              </w:rPr>
              <w:t>Близость к историко-культурному центру оказывает существенное влияние на стоимость объектов оценки в населенных пунктах: чем ближе к нему объект оценки, тем больше стоимости.</w:t>
            </w:r>
          </w:p>
          <w:p w14:paraId="16B5A2D1"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r>
              <w:rPr>
                <w:rFonts w:ascii="Times New Roman" w:hAnsi="Times New Roman" w:cs="Times New Roman"/>
              </w:rPr>
              <w:t>Источник: информация ОМС.</w:t>
            </w:r>
          </w:p>
        </w:tc>
      </w:tr>
      <w:tr w:rsidR="00E63730" w:rsidRPr="00F562A8" w14:paraId="3B97CE2A" w14:textId="77777777" w:rsidTr="00E63730">
        <w:trPr>
          <w:trHeight w:val="13"/>
          <w:jc w:val="center"/>
        </w:trPr>
        <w:tc>
          <w:tcPr>
            <w:tcW w:w="567" w:type="dxa"/>
            <w:vAlign w:val="center"/>
          </w:tcPr>
          <w:p w14:paraId="4DDD664A"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9</w:t>
            </w:r>
          </w:p>
        </w:tc>
        <w:tc>
          <w:tcPr>
            <w:tcW w:w="3256" w:type="dxa"/>
            <w:vAlign w:val="center"/>
          </w:tcPr>
          <w:p w14:paraId="41A9F79B"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Расстояние до общественно-делового центра</w:t>
            </w:r>
          </w:p>
        </w:tc>
        <w:tc>
          <w:tcPr>
            <w:tcW w:w="2835" w:type="dxa"/>
            <w:vAlign w:val="center"/>
          </w:tcPr>
          <w:p w14:paraId="308CBD2B"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гнп Расстояние объекта до общественно-делового центра</w:t>
            </w:r>
          </w:p>
        </w:tc>
        <w:tc>
          <w:tcPr>
            <w:tcW w:w="1979" w:type="dxa"/>
            <w:vAlign w:val="center"/>
          </w:tcPr>
          <w:p w14:paraId="2241D584"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м</w:t>
            </w:r>
          </w:p>
        </w:tc>
        <w:tc>
          <w:tcPr>
            <w:tcW w:w="5533" w:type="dxa"/>
            <w:vAlign w:val="center"/>
          </w:tcPr>
          <w:p w14:paraId="52A8F9F3" w14:textId="77777777" w:rsidR="00E63730" w:rsidRDefault="00E63730" w:rsidP="00604FA2">
            <w:pPr>
              <w:widowControl w:val="0"/>
              <w:autoSpaceDE w:val="0"/>
              <w:autoSpaceDN w:val="0"/>
              <w:spacing w:after="0" w:line="276" w:lineRule="auto"/>
              <w:ind w:right="82"/>
              <w:jc w:val="both"/>
              <w:rPr>
                <w:rFonts w:ascii="Times New Roman" w:hAnsi="Times New Roman" w:cs="Times New Roman"/>
              </w:rPr>
            </w:pPr>
            <w:r w:rsidRPr="00F562A8">
              <w:rPr>
                <w:rFonts w:ascii="Times New Roman" w:hAnsi="Times New Roman" w:cs="Times New Roman"/>
              </w:rPr>
              <w:t>Близость к общественно-деловому центру оказывает существенное влияние на стоимость объектов оценки в населенных пунктах: чем ближе к нему объект оценки, тем больше стоимости.</w:t>
            </w:r>
          </w:p>
          <w:p w14:paraId="3789C6AE"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r>
              <w:rPr>
                <w:rFonts w:ascii="Times New Roman" w:hAnsi="Times New Roman" w:cs="Times New Roman"/>
              </w:rPr>
              <w:t>Источник: информация ОМС</w:t>
            </w:r>
          </w:p>
        </w:tc>
      </w:tr>
      <w:tr w:rsidR="00E63730" w:rsidRPr="00F562A8" w14:paraId="46F5F9B3" w14:textId="77777777" w:rsidTr="00E63730">
        <w:trPr>
          <w:trHeight w:val="1394"/>
          <w:jc w:val="center"/>
        </w:trPr>
        <w:tc>
          <w:tcPr>
            <w:tcW w:w="567" w:type="dxa"/>
            <w:vMerge w:val="restart"/>
            <w:vAlign w:val="center"/>
          </w:tcPr>
          <w:p w14:paraId="49CCE9A3"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10</w:t>
            </w:r>
          </w:p>
        </w:tc>
        <w:tc>
          <w:tcPr>
            <w:tcW w:w="3256" w:type="dxa"/>
            <w:vMerge w:val="restart"/>
            <w:vAlign w:val="center"/>
          </w:tcPr>
          <w:p w14:paraId="552BFDE3"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Расположение земельного участка относительно остановки общественного транспорта</w:t>
            </w:r>
          </w:p>
        </w:tc>
        <w:tc>
          <w:tcPr>
            <w:tcW w:w="2835" w:type="dxa"/>
            <w:vAlign w:val="center"/>
          </w:tcPr>
          <w:p w14:paraId="13B7C7FB"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гнп Расстояние до остановок общественного транспорта</w:t>
            </w:r>
          </w:p>
        </w:tc>
        <w:tc>
          <w:tcPr>
            <w:tcW w:w="1979" w:type="dxa"/>
            <w:vAlign w:val="center"/>
          </w:tcPr>
          <w:p w14:paraId="0C7FABD9"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м</w:t>
            </w:r>
          </w:p>
        </w:tc>
        <w:tc>
          <w:tcPr>
            <w:tcW w:w="5533" w:type="dxa"/>
            <w:vMerge w:val="restart"/>
            <w:vAlign w:val="center"/>
          </w:tcPr>
          <w:p w14:paraId="18F05822" w14:textId="77777777" w:rsidR="00E63730" w:rsidRDefault="00E63730" w:rsidP="00604FA2">
            <w:pPr>
              <w:widowControl w:val="0"/>
              <w:autoSpaceDE w:val="0"/>
              <w:autoSpaceDN w:val="0"/>
              <w:spacing w:after="0" w:line="276" w:lineRule="auto"/>
              <w:ind w:right="82"/>
              <w:jc w:val="both"/>
              <w:rPr>
                <w:rFonts w:ascii="Times New Roman" w:hAnsi="Times New Roman" w:cs="Times New Roman"/>
              </w:rPr>
            </w:pPr>
            <w:r w:rsidRPr="00F562A8">
              <w:rPr>
                <w:rFonts w:ascii="Times New Roman" w:hAnsi="Times New Roman" w:cs="Times New Roman"/>
              </w:rPr>
              <w:t>В ходе анализа выявлено влияние расположения земельного участка относительно остановок общественного транспорта. Расположение в непосредственной близости остановка общественного транспорта увеличивает стоимость объекта.</w:t>
            </w:r>
          </w:p>
          <w:p w14:paraId="5771E1F3"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r>
              <w:rPr>
                <w:rFonts w:ascii="Times New Roman" w:hAnsi="Times New Roman" w:cs="Times New Roman"/>
              </w:rPr>
              <w:t>Источник: информация ОМС</w:t>
            </w:r>
          </w:p>
        </w:tc>
      </w:tr>
      <w:tr w:rsidR="00E63730" w:rsidRPr="00F562A8" w14:paraId="4C9A7EB8" w14:textId="77777777" w:rsidTr="00E63730">
        <w:trPr>
          <w:trHeight w:val="331"/>
          <w:jc w:val="center"/>
        </w:trPr>
        <w:tc>
          <w:tcPr>
            <w:tcW w:w="567" w:type="dxa"/>
            <w:vMerge/>
            <w:vAlign w:val="center"/>
          </w:tcPr>
          <w:p w14:paraId="65791A5F"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p>
        </w:tc>
        <w:tc>
          <w:tcPr>
            <w:tcW w:w="3256" w:type="dxa"/>
            <w:vMerge/>
            <w:vAlign w:val="center"/>
          </w:tcPr>
          <w:p w14:paraId="71F5A040" w14:textId="77777777" w:rsidR="00E63730" w:rsidRPr="00F562A8" w:rsidRDefault="00E63730" w:rsidP="00C749ED">
            <w:pPr>
              <w:widowControl w:val="0"/>
              <w:autoSpaceDE w:val="0"/>
              <w:autoSpaceDN w:val="0"/>
              <w:spacing w:after="0" w:line="276" w:lineRule="auto"/>
              <w:rPr>
                <w:rFonts w:ascii="Times New Roman" w:hAnsi="Times New Roman" w:cs="Times New Roman"/>
              </w:rPr>
            </w:pPr>
          </w:p>
        </w:tc>
        <w:tc>
          <w:tcPr>
            <w:tcW w:w="2835" w:type="dxa"/>
            <w:vAlign w:val="center"/>
          </w:tcPr>
          <w:p w14:paraId="7711AD1C"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eastAsiaTheme="minorEastAsia" w:hAnsi="Times New Roman" w:cs="Times New Roman"/>
                <w:lang w:eastAsia="ru-RU"/>
              </w:rPr>
              <w:t>СНП Наличие в населенном пункте или вблизи (до 1 км) остановок общественного транспорта</w:t>
            </w:r>
          </w:p>
        </w:tc>
        <w:tc>
          <w:tcPr>
            <w:tcW w:w="1979" w:type="dxa"/>
            <w:vAlign w:val="center"/>
          </w:tcPr>
          <w:p w14:paraId="7C2B00BB"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eastAsiaTheme="minorEastAsia" w:hAnsi="Times New Roman" w:cs="Times New Roman"/>
                <w:lang w:eastAsia="ru-RU"/>
              </w:rPr>
              <w:t>да/нет</w:t>
            </w:r>
          </w:p>
        </w:tc>
        <w:tc>
          <w:tcPr>
            <w:tcW w:w="5533" w:type="dxa"/>
            <w:vMerge/>
            <w:vAlign w:val="center"/>
          </w:tcPr>
          <w:p w14:paraId="18C805FD"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p>
        </w:tc>
      </w:tr>
      <w:tr w:rsidR="00E63730" w:rsidRPr="00F562A8" w14:paraId="428509C4" w14:textId="77777777" w:rsidTr="00E63730">
        <w:trPr>
          <w:trHeight w:val="1226"/>
          <w:jc w:val="center"/>
        </w:trPr>
        <w:tc>
          <w:tcPr>
            <w:tcW w:w="567" w:type="dxa"/>
            <w:vAlign w:val="center"/>
          </w:tcPr>
          <w:p w14:paraId="5DFC4171"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11</w:t>
            </w:r>
          </w:p>
        </w:tc>
        <w:tc>
          <w:tcPr>
            <w:tcW w:w="3256" w:type="dxa"/>
            <w:vAlign w:val="center"/>
          </w:tcPr>
          <w:p w14:paraId="31677BC5"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eastAsiaTheme="minorEastAsia" w:hAnsi="Times New Roman" w:cs="Times New Roman"/>
                <w:lang w:eastAsia="ru-RU"/>
              </w:rPr>
              <w:t xml:space="preserve">Наименование </w:t>
            </w:r>
            <w:r>
              <w:rPr>
                <w:rFonts w:ascii="Times New Roman" w:eastAsiaTheme="minorEastAsia" w:hAnsi="Times New Roman" w:cs="Times New Roman"/>
                <w:lang w:eastAsia="ru-RU"/>
              </w:rPr>
              <w:t>района</w:t>
            </w:r>
          </w:p>
        </w:tc>
        <w:tc>
          <w:tcPr>
            <w:tcW w:w="2835" w:type="dxa"/>
            <w:vAlign w:val="center"/>
          </w:tcPr>
          <w:p w14:paraId="6A0407BC" w14:textId="77777777" w:rsidR="00E63730" w:rsidRPr="00F562A8" w:rsidRDefault="00E63730" w:rsidP="00C749ED">
            <w:pPr>
              <w:widowControl w:val="0"/>
              <w:autoSpaceDE w:val="0"/>
              <w:autoSpaceDN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 xml:space="preserve">_Наименование </w:t>
            </w:r>
            <w:r>
              <w:rPr>
                <w:rFonts w:ascii="Times New Roman" w:eastAsiaTheme="minorEastAsia" w:hAnsi="Times New Roman" w:cs="Times New Roman"/>
                <w:lang w:eastAsia="ru-RU"/>
              </w:rPr>
              <w:t>района</w:t>
            </w:r>
          </w:p>
        </w:tc>
        <w:tc>
          <w:tcPr>
            <w:tcW w:w="1979" w:type="dxa"/>
            <w:vAlign w:val="center"/>
          </w:tcPr>
          <w:p w14:paraId="37A9A8F7" w14:textId="77777777" w:rsidR="00E63730" w:rsidRPr="00F562A8" w:rsidRDefault="00E63730" w:rsidP="00C749ED">
            <w:pPr>
              <w:widowControl w:val="0"/>
              <w:autoSpaceDE w:val="0"/>
              <w:autoSpaceDN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наименование</w:t>
            </w:r>
          </w:p>
        </w:tc>
        <w:tc>
          <w:tcPr>
            <w:tcW w:w="5533" w:type="dxa"/>
            <w:vAlign w:val="center"/>
          </w:tcPr>
          <w:p w14:paraId="02C3D444" w14:textId="77777777" w:rsidR="00E63730" w:rsidRPr="00504697"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Рынок недвижимости является своеобразным индикатором деловой активности в населенном пункте. В соответствии с различиями в уровне социально-экономического развития населенных пунктов различается и степень развитости локальных рынков недвижимости, что влияет на стоимость недвижимости.</w:t>
            </w:r>
            <w:r>
              <w:rPr>
                <w:rFonts w:ascii="Times New Roman" w:eastAsiaTheme="minorEastAsia" w:hAnsi="Times New Roman" w:cs="Times New Roman"/>
                <w:lang w:eastAsia="ru-RU"/>
              </w:rPr>
              <w:t xml:space="preserve"> </w:t>
            </w:r>
          </w:p>
          <w:p w14:paraId="2DB2E196"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r>
              <w:rPr>
                <w:rFonts w:ascii="Times New Roman" w:hAnsi="Times New Roman" w:cs="Times New Roman"/>
              </w:rPr>
              <w:t>Источник: информация ОМС</w:t>
            </w:r>
          </w:p>
        </w:tc>
      </w:tr>
      <w:tr w:rsidR="00E63730" w:rsidRPr="00F562A8" w14:paraId="23670A91" w14:textId="77777777" w:rsidTr="00E63730">
        <w:trPr>
          <w:trHeight w:val="13"/>
          <w:jc w:val="center"/>
        </w:trPr>
        <w:tc>
          <w:tcPr>
            <w:tcW w:w="567" w:type="dxa"/>
            <w:vAlign w:val="center"/>
          </w:tcPr>
          <w:p w14:paraId="04D47F9F"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12</w:t>
            </w:r>
          </w:p>
        </w:tc>
        <w:tc>
          <w:tcPr>
            <w:tcW w:w="3256" w:type="dxa"/>
            <w:vAlign w:val="center"/>
          </w:tcPr>
          <w:p w14:paraId="67309AF3" w14:textId="77777777" w:rsidR="00E63730" w:rsidRPr="00F562A8" w:rsidRDefault="00E63730" w:rsidP="00C749ED">
            <w:pPr>
              <w:widowControl w:val="0"/>
              <w:autoSpaceDE w:val="0"/>
              <w:autoSpaceDN w:val="0"/>
              <w:spacing w:after="0" w:line="276"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Садоводческие, огороднические и дачные объединения</w:t>
            </w:r>
          </w:p>
        </w:tc>
        <w:tc>
          <w:tcPr>
            <w:tcW w:w="2835" w:type="dxa"/>
            <w:vAlign w:val="center"/>
          </w:tcPr>
          <w:p w14:paraId="4EB55237" w14:textId="77777777" w:rsidR="00E63730" w:rsidRPr="00504697" w:rsidRDefault="00E63730" w:rsidP="00C749ED">
            <w:pPr>
              <w:widowControl w:val="0"/>
              <w:autoSpaceDE w:val="0"/>
              <w:autoSpaceDN w:val="0"/>
              <w:spacing w:after="0" w:line="276" w:lineRule="auto"/>
              <w:rPr>
                <w:rFonts w:ascii="Times New Roman" w:eastAsiaTheme="minorEastAsia" w:hAnsi="Times New Roman" w:cs="Times New Roman"/>
                <w:highlight w:val="yellow"/>
                <w:lang w:eastAsia="ru-RU"/>
              </w:rPr>
            </w:pPr>
            <w:r w:rsidRPr="007D0670">
              <w:rPr>
                <w:rFonts w:ascii="Times New Roman" w:eastAsiaTheme="minorEastAsia" w:hAnsi="Times New Roman" w:cs="Times New Roman"/>
                <w:lang w:eastAsia="ru-RU"/>
              </w:rPr>
              <w:t>__Индекс СОД</w:t>
            </w:r>
          </w:p>
        </w:tc>
        <w:tc>
          <w:tcPr>
            <w:tcW w:w="1979" w:type="dxa"/>
            <w:vAlign w:val="center"/>
          </w:tcPr>
          <w:p w14:paraId="1D1FDE13" w14:textId="77777777" w:rsidR="00E63730" w:rsidRPr="00504697" w:rsidRDefault="00E63730" w:rsidP="00C749ED">
            <w:pPr>
              <w:widowControl w:val="0"/>
              <w:autoSpaceDE w:val="0"/>
              <w:autoSpaceDN w:val="0"/>
              <w:spacing w:after="0" w:line="276" w:lineRule="auto"/>
              <w:jc w:val="center"/>
              <w:rPr>
                <w:rFonts w:ascii="Times New Roman" w:eastAsiaTheme="minorEastAsia" w:hAnsi="Times New Roman" w:cs="Times New Roman"/>
                <w:highlight w:val="yellow"/>
                <w:lang w:eastAsia="ru-RU"/>
              </w:rPr>
            </w:pPr>
            <w:r w:rsidRPr="00F562A8">
              <w:rPr>
                <w:rFonts w:ascii="Times New Roman" w:eastAsiaTheme="minorEastAsia" w:hAnsi="Times New Roman" w:cs="Times New Roman"/>
                <w:lang w:eastAsia="ru-RU"/>
              </w:rPr>
              <w:t>наименование</w:t>
            </w:r>
          </w:p>
        </w:tc>
        <w:tc>
          <w:tcPr>
            <w:tcW w:w="5533" w:type="dxa"/>
            <w:vAlign w:val="center"/>
          </w:tcPr>
          <w:p w14:paraId="6A974D6D" w14:textId="77777777" w:rsidR="00E63730"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Для учета сведений ЦОФ для всех участков, входящих в определенное товарищество или объединение. </w:t>
            </w:r>
          </w:p>
          <w:p w14:paraId="49823639" w14:textId="77777777" w:rsidR="00E63730" w:rsidRPr="00F562A8"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Pr>
                <w:rFonts w:ascii="Times New Roman" w:hAnsi="Times New Roman" w:cs="Times New Roman"/>
              </w:rPr>
              <w:t>Источник: информация ОМС</w:t>
            </w:r>
          </w:p>
        </w:tc>
      </w:tr>
      <w:tr w:rsidR="00E63730" w:rsidRPr="00F562A8" w14:paraId="1CBCBD89" w14:textId="77777777" w:rsidTr="00E63730">
        <w:trPr>
          <w:trHeight w:val="20"/>
          <w:jc w:val="center"/>
        </w:trPr>
        <w:tc>
          <w:tcPr>
            <w:tcW w:w="567" w:type="dxa"/>
            <w:vMerge w:val="restart"/>
            <w:vAlign w:val="center"/>
          </w:tcPr>
          <w:p w14:paraId="430D18B2" w14:textId="77777777" w:rsidR="00E63730" w:rsidRPr="007D0670"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lang w:val="en-US"/>
              </w:rPr>
              <w:t>1</w:t>
            </w:r>
            <w:r>
              <w:rPr>
                <w:rFonts w:ascii="Times New Roman" w:hAnsi="Times New Roman" w:cs="Times New Roman"/>
              </w:rPr>
              <w:t>3</w:t>
            </w:r>
          </w:p>
        </w:tc>
        <w:tc>
          <w:tcPr>
            <w:tcW w:w="3256" w:type="dxa"/>
            <w:vMerge w:val="restart"/>
            <w:vAlign w:val="center"/>
          </w:tcPr>
          <w:p w14:paraId="68792B18" w14:textId="77777777" w:rsidR="00E63730" w:rsidRPr="00F562A8" w:rsidRDefault="00E63730" w:rsidP="00C749ED">
            <w:pPr>
              <w:widowControl w:val="0"/>
              <w:autoSpaceDE w:val="0"/>
              <w:autoSpaceDN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Наличие объектов образования в населенном пункте</w:t>
            </w:r>
          </w:p>
        </w:tc>
        <w:tc>
          <w:tcPr>
            <w:tcW w:w="2835" w:type="dxa"/>
            <w:vAlign w:val="center"/>
          </w:tcPr>
          <w:p w14:paraId="0B772E09" w14:textId="77777777" w:rsidR="00E63730" w:rsidRPr="00F562A8" w:rsidRDefault="00E63730" w:rsidP="00C749ED">
            <w:pPr>
              <w:widowControl w:val="0"/>
              <w:autoSpaceDE w:val="0"/>
              <w:autoSpaceDN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гнп Количество общеобразовательных школ в населенном пункте</w:t>
            </w:r>
          </w:p>
        </w:tc>
        <w:tc>
          <w:tcPr>
            <w:tcW w:w="1979" w:type="dxa"/>
            <w:vAlign w:val="center"/>
          </w:tcPr>
          <w:p w14:paraId="762DBB79" w14:textId="77777777" w:rsidR="00E63730" w:rsidRPr="00F562A8" w:rsidRDefault="00E63730" w:rsidP="00C749ED">
            <w:pPr>
              <w:widowControl w:val="0"/>
              <w:autoSpaceDE w:val="0"/>
              <w:autoSpaceDN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количество</w:t>
            </w:r>
          </w:p>
        </w:tc>
        <w:tc>
          <w:tcPr>
            <w:tcW w:w="5533" w:type="dxa"/>
            <w:vMerge w:val="restart"/>
            <w:vAlign w:val="center"/>
          </w:tcPr>
          <w:p w14:paraId="537E179A" w14:textId="77777777" w:rsidR="00E63730"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Чем лучше развита социальная инфраструктура в населенном пункте, тем выше его привлекательность и соответственно стоимость на недвижимость.</w:t>
            </w:r>
          </w:p>
          <w:p w14:paraId="275C5885" w14:textId="77777777" w:rsidR="00E63730" w:rsidRPr="00F562A8"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Pr>
                <w:rFonts w:ascii="Times New Roman" w:hAnsi="Times New Roman" w:cs="Times New Roman"/>
              </w:rPr>
              <w:t>Источник: информация ОМС</w:t>
            </w:r>
          </w:p>
        </w:tc>
      </w:tr>
      <w:tr w:rsidR="00E63730" w:rsidRPr="00F562A8" w14:paraId="375406D2" w14:textId="77777777" w:rsidTr="00E63730">
        <w:trPr>
          <w:trHeight w:val="356"/>
          <w:jc w:val="center"/>
        </w:trPr>
        <w:tc>
          <w:tcPr>
            <w:tcW w:w="567" w:type="dxa"/>
            <w:vMerge/>
            <w:vAlign w:val="center"/>
          </w:tcPr>
          <w:p w14:paraId="0FBFF4BC"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p>
        </w:tc>
        <w:tc>
          <w:tcPr>
            <w:tcW w:w="3256" w:type="dxa"/>
            <w:vMerge/>
            <w:vAlign w:val="center"/>
          </w:tcPr>
          <w:p w14:paraId="521C7A1B" w14:textId="77777777" w:rsidR="00E63730" w:rsidRPr="00F562A8" w:rsidRDefault="00E63730" w:rsidP="00C749ED">
            <w:pPr>
              <w:widowControl w:val="0"/>
              <w:autoSpaceDE w:val="0"/>
              <w:autoSpaceDN w:val="0"/>
              <w:spacing w:after="0" w:line="276" w:lineRule="auto"/>
              <w:rPr>
                <w:rFonts w:ascii="Times New Roman" w:eastAsiaTheme="minorEastAsia" w:hAnsi="Times New Roman" w:cs="Times New Roman"/>
                <w:lang w:eastAsia="ru-RU"/>
              </w:rPr>
            </w:pPr>
          </w:p>
        </w:tc>
        <w:tc>
          <w:tcPr>
            <w:tcW w:w="2835" w:type="dxa"/>
            <w:vAlign w:val="center"/>
          </w:tcPr>
          <w:p w14:paraId="29854549" w14:textId="77777777" w:rsidR="00E63730" w:rsidRPr="00F562A8" w:rsidRDefault="00E63730" w:rsidP="00C749ED">
            <w:pPr>
              <w:widowControl w:val="0"/>
              <w:autoSpaceDE w:val="0"/>
              <w:autoSpaceDN w:val="0"/>
              <w:spacing w:after="0" w:line="276" w:lineRule="auto"/>
              <w:rPr>
                <w:rFonts w:ascii="Times New Roman" w:eastAsiaTheme="minorEastAsia" w:hAnsi="Times New Roman" w:cs="Times New Roman"/>
                <w:lang w:eastAsia="ru-RU"/>
              </w:rPr>
            </w:pPr>
            <w:r w:rsidRPr="00173AA9">
              <w:rPr>
                <w:rFonts w:ascii="Times New Roman" w:eastAsiaTheme="minorEastAsia" w:hAnsi="Times New Roman" w:cs="Times New Roman"/>
                <w:lang w:eastAsia="ru-RU"/>
              </w:rPr>
              <w:t>СНП Наличие в населенном пункте общеобразовательной школы</w:t>
            </w:r>
          </w:p>
        </w:tc>
        <w:tc>
          <w:tcPr>
            <w:tcW w:w="1979" w:type="dxa"/>
            <w:vAlign w:val="center"/>
          </w:tcPr>
          <w:p w14:paraId="78BFD570" w14:textId="77777777" w:rsidR="00E63730" w:rsidRPr="00F562A8" w:rsidRDefault="00E63730" w:rsidP="00C749ED">
            <w:pPr>
              <w:widowControl w:val="0"/>
              <w:autoSpaceDE w:val="0"/>
              <w:autoSpaceDN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да/нет</w:t>
            </w:r>
          </w:p>
        </w:tc>
        <w:tc>
          <w:tcPr>
            <w:tcW w:w="5533" w:type="dxa"/>
            <w:vMerge/>
            <w:vAlign w:val="center"/>
          </w:tcPr>
          <w:p w14:paraId="726C144F" w14:textId="77777777" w:rsidR="00E63730" w:rsidRPr="00F562A8"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p>
        </w:tc>
      </w:tr>
      <w:tr w:rsidR="00E63730" w:rsidRPr="00F562A8" w14:paraId="6FC0608C" w14:textId="77777777" w:rsidTr="00E63730">
        <w:trPr>
          <w:trHeight w:val="356"/>
          <w:jc w:val="center"/>
        </w:trPr>
        <w:tc>
          <w:tcPr>
            <w:tcW w:w="567" w:type="dxa"/>
            <w:vAlign w:val="center"/>
          </w:tcPr>
          <w:p w14:paraId="2D968453" w14:textId="77777777" w:rsidR="00E63730" w:rsidRPr="007D0670"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1</w:t>
            </w:r>
            <w:r>
              <w:rPr>
                <w:rFonts w:ascii="Times New Roman" w:hAnsi="Times New Roman" w:cs="Times New Roman"/>
              </w:rPr>
              <w:t>4</w:t>
            </w:r>
          </w:p>
        </w:tc>
        <w:tc>
          <w:tcPr>
            <w:tcW w:w="3256" w:type="dxa"/>
            <w:vAlign w:val="center"/>
          </w:tcPr>
          <w:p w14:paraId="025F3C6C" w14:textId="77777777" w:rsidR="00E63730" w:rsidRPr="00F562A8" w:rsidRDefault="00E63730" w:rsidP="00C749ED">
            <w:pPr>
              <w:widowControl w:val="0"/>
              <w:autoSpaceDE w:val="0"/>
              <w:autoSpaceDN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Кадастровая стоимость предыдущего тура оценки</w:t>
            </w:r>
          </w:p>
        </w:tc>
        <w:tc>
          <w:tcPr>
            <w:tcW w:w="2835" w:type="dxa"/>
            <w:vAlign w:val="center"/>
          </w:tcPr>
          <w:p w14:paraId="1A9DADAA" w14:textId="77777777" w:rsidR="00E63730" w:rsidRPr="00F562A8" w:rsidRDefault="00E63730" w:rsidP="00C749ED">
            <w:pPr>
              <w:widowControl w:val="0"/>
              <w:autoSpaceDE w:val="0"/>
              <w:autoSpaceDN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Кадастровая стоимость предыдущего тура оценки</w:t>
            </w:r>
          </w:p>
        </w:tc>
        <w:tc>
          <w:tcPr>
            <w:tcW w:w="1979" w:type="dxa"/>
            <w:vAlign w:val="center"/>
          </w:tcPr>
          <w:p w14:paraId="2E1C0F9A" w14:textId="77777777" w:rsidR="00E63730" w:rsidRPr="00F562A8" w:rsidRDefault="00E63730" w:rsidP="00C749ED">
            <w:pPr>
              <w:widowControl w:val="0"/>
              <w:autoSpaceDE w:val="0"/>
              <w:autoSpaceDN w:val="0"/>
              <w:spacing w:after="0" w:line="276" w:lineRule="auto"/>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р</w:t>
            </w:r>
            <w:r w:rsidRPr="00F562A8">
              <w:rPr>
                <w:rFonts w:ascii="Times New Roman" w:eastAsiaTheme="minorEastAsia" w:hAnsi="Times New Roman" w:cs="Times New Roman"/>
                <w:lang w:eastAsia="ru-RU"/>
              </w:rPr>
              <w:t>уб.</w:t>
            </w:r>
          </w:p>
        </w:tc>
        <w:tc>
          <w:tcPr>
            <w:tcW w:w="5533" w:type="dxa"/>
            <w:vAlign w:val="center"/>
          </w:tcPr>
          <w:p w14:paraId="058F644F" w14:textId="77777777" w:rsidR="00E63730"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Данный фактор необходим при использовании метода индексация прошлых результатов.</w:t>
            </w:r>
          </w:p>
          <w:p w14:paraId="6907EA9C" w14:textId="77777777" w:rsidR="00E63730" w:rsidRPr="00F562A8"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Pr>
                <w:rFonts w:ascii="Times New Roman" w:hAnsi="Times New Roman" w:cs="Times New Roman"/>
                <w:sz w:val="24"/>
                <w:szCs w:val="24"/>
              </w:rPr>
              <w:t>Источник: Сведения ЕГРН</w:t>
            </w:r>
          </w:p>
        </w:tc>
      </w:tr>
      <w:tr w:rsidR="00E63730" w:rsidRPr="00F562A8" w14:paraId="64BBBC25" w14:textId="77777777" w:rsidTr="00E63730">
        <w:trPr>
          <w:trHeight w:val="13"/>
          <w:jc w:val="center"/>
        </w:trPr>
        <w:tc>
          <w:tcPr>
            <w:tcW w:w="567" w:type="dxa"/>
            <w:vAlign w:val="center"/>
          </w:tcPr>
          <w:p w14:paraId="4244E10E" w14:textId="77777777" w:rsidR="00E63730" w:rsidRPr="007D0670"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1</w:t>
            </w:r>
            <w:r>
              <w:rPr>
                <w:rFonts w:ascii="Times New Roman" w:hAnsi="Times New Roman" w:cs="Times New Roman"/>
              </w:rPr>
              <w:t>5</w:t>
            </w:r>
          </w:p>
        </w:tc>
        <w:tc>
          <w:tcPr>
            <w:tcW w:w="3256" w:type="dxa"/>
            <w:vAlign w:val="center"/>
          </w:tcPr>
          <w:p w14:paraId="677ABC36" w14:textId="77777777" w:rsidR="00E63730" w:rsidRPr="00F562A8" w:rsidRDefault="00E63730" w:rsidP="00C749ED">
            <w:pPr>
              <w:widowControl w:val="0"/>
              <w:autoSpaceDE w:val="0"/>
              <w:autoSpaceDN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Состав передаваемых прав</w:t>
            </w:r>
          </w:p>
        </w:tc>
        <w:tc>
          <w:tcPr>
            <w:tcW w:w="2835" w:type="dxa"/>
            <w:vAlign w:val="center"/>
          </w:tcPr>
          <w:p w14:paraId="6A93538F" w14:textId="77777777" w:rsidR="00E63730" w:rsidRPr="00F562A8" w:rsidRDefault="00E63730" w:rsidP="00C749ED">
            <w:pPr>
              <w:widowControl w:val="0"/>
              <w:autoSpaceDE w:val="0"/>
              <w:autoSpaceDN w:val="0"/>
              <w:spacing w:after="0" w:line="276" w:lineRule="auto"/>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Состав передаваемых прав</w:t>
            </w:r>
          </w:p>
        </w:tc>
        <w:tc>
          <w:tcPr>
            <w:tcW w:w="1979" w:type="dxa"/>
            <w:vAlign w:val="center"/>
          </w:tcPr>
          <w:p w14:paraId="30F97D07" w14:textId="77777777" w:rsidR="00E63730" w:rsidRPr="00F562A8" w:rsidRDefault="00E63730" w:rsidP="00C749ED">
            <w:pPr>
              <w:widowControl w:val="0"/>
              <w:autoSpaceDE w:val="0"/>
              <w:autoSpaceDN w:val="0"/>
              <w:spacing w:after="0" w:line="276" w:lineRule="auto"/>
              <w:jc w:val="center"/>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Собственность/ аренда</w:t>
            </w:r>
          </w:p>
        </w:tc>
        <w:tc>
          <w:tcPr>
            <w:tcW w:w="5533" w:type="dxa"/>
            <w:vAlign w:val="center"/>
          </w:tcPr>
          <w:p w14:paraId="6E3E347B" w14:textId="77777777" w:rsidR="00E63730"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Стоимость участков, находящихся в аренде, отличается от стоимости таких же участков, находящихся в собственности.</w:t>
            </w:r>
          </w:p>
          <w:p w14:paraId="637042B3" w14:textId="77777777" w:rsidR="00E63730" w:rsidRPr="00173AA9"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Pr>
                <w:rFonts w:ascii="Times New Roman" w:hAnsi="Times New Roman" w:cs="Times New Roman"/>
                <w:sz w:val="24"/>
                <w:szCs w:val="24"/>
              </w:rPr>
              <w:t>Источник:</w:t>
            </w:r>
            <w:r>
              <w:rPr>
                <w:rFonts w:ascii="Times New Roman" w:hAnsi="Times New Roman" w:cs="Times New Roman"/>
                <w:sz w:val="24"/>
                <w:szCs w:val="24"/>
                <w:lang w:val="en-US"/>
              </w:rPr>
              <w:t xml:space="preserve"> </w:t>
            </w:r>
            <w:r>
              <w:rPr>
                <w:rFonts w:ascii="Times New Roman" w:hAnsi="Times New Roman" w:cs="Times New Roman"/>
                <w:sz w:val="24"/>
                <w:szCs w:val="24"/>
              </w:rPr>
              <w:t>рыночная информация</w:t>
            </w:r>
          </w:p>
        </w:tc>
      </w:tr>
      <w:tr w:rsidR="00E63730" w:rsidRPr="00F562A8" w14:paraId="4BA9AE13" w14:textId="77777777" w:rsidTr="00E63730">
        <w:trPr>
          <w:trHeight w:val="356"/>
          <w:jc w:val="center"/>
        </w:trPr>
        <w:tc>
          <w:tcPr>
            <w:tcW w:w="567" w:type="dxa"/>
            <w:vAlign w:val="center"/>
          </w:tcPr>
          <w:p w14:paraId="112DBF98" w14:textId="77777777" w:rsidR="00E63730" w:rsidRPr="007D0670"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1</w:t>
            </w:r>
            <w:r>
              <w:rPr>
                <w:rFonts w:ascii="Times New Roman" w:hAnsi="Times New Roman" w:cs="Times New Roman"/>
              </w:rPr>
              <w:t>6</w:t>
            </w:r>
          </w:p>
        </w:tc>
        <w:tc>
          <w:tcPr>
            <w:tcW w:w="3256" w:type="dxa"/>
            <w:vAlign w:val="center"/>
          </w:tcPr>
          <w:p w14:paraId="231BF021" w14:textId="77777777" w:rsidR="00E63730" w:rsidRPr="00F562A8" w:rsidRDefault="00E63730" w:rsidP="00C749ED">
            <w:pPr>
              <w:widowControl w:val="0"/>
              <w:autoSpaceDE w:val="0"/>
              <w:autoSpaceDN w:val="0"/>
              <w:spacing w:after="0" w:line="276" w:lineRule="auto"/>
              <w:rPr>
                <w:rFonts w:ascii="Times New Roman" w:eastAsiaTheme="minorEastAsia" w:hAnsi="Times New Roman" w:cs="Times New Roman"/>
                <w:lang w:eastAsia="ru-RU"/>
              </w:rPr>
            </w:pPr>
            <w:r w:rsidRPr="008809AF">
              <w:rPr>
                <w:rFonts w:ascii="Times New Roman" w:eastAsiaTheme="minorEastAsia" w:hAnsi="Times New Roman" w:cs="Times New Roman"/>
                <w:lang w:eastAsia="ru-RU"/>
              </w:rPr>
              <w:t>Расстояние до ближайших ж/д вокзала, станции, платформы</w:t>
            </w:r>
          </w:p>
        </w:tc>
        <w:tc>
          <w:tcPr>
            <w:tcW w:w="2835" w:type="dxa"/>
            <w:vAlign w:val="center"/>
          </w:tcPr>
          <w:p w14:paraId="01D7E787" w14:textId="77777777" w:rsidR="00E63730" w:rsidRPr="00F562A8" w:rsidRDefault="00E63730" w:rsidP="00C749ED">
            <w:pPr>
              <w:widowControl w:val="0"/>
              <w:autoSpaceDE w:val="0"/>
              <w:autoSpaceDN w:val="0"/>
              <w:spacing w:after="0" w:line="276" w:lineRule="auto"/>
              <w:rPr>
                <w:rFonts w:ascii="Times New Roman" w:eastAsiaTheme="minorEastAsia" w:hAnsi="Times New Roman" w:cs="Times New Roman"/>
                <w:lang w:eastAsia="ru-RU"/>
              </w:rPr>
            </w:pPr>
            <w:r w:rsidRPr="00511BFB">
              <w:rPr>
                <w:rFonts w:ascii="Times New Roman" w:eastAsiaTheme="minorEastAsia" w:hAnsi="Times New Roman" w:cs="Times New Roman"/>
                <w:lang w:eastAsia="ru-RU"/>
              </w:rPr>
              <w:t>гнп Расстояние до ближайших ж/д вокзала, станции, платформы</w:t>
            </w:r>
          </w:p>
        </w:tc>
        <w:tc>
          <w:tcPr>
            <w:tcW w:w="1979" w:type="dxa"/>
            <w:vAlign w:val="center"/>
          </w:tcPr>
          <w:p w14:paraId="52D9C8BC" w14:textId="77777777" w:rsidR="00E63730" w:rsidRPr="00511BFB" w:rsidRDefault="00E63730" w:rsidP="00C749ED">
            <w:pPr>
              <w:widowControl w:val="0"/>
              <w:autoSpaceDE w:val="0"/>
              <w:autoSpaceDN w:val="0"/>
              <w:spacing w:after="0" w:line="276" w:lineRule="auto"/>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м.</w:t>
            </w:r>
          </w:p>
        </w:tc>
        <w:tc>
          <w:tcPr>
            <w:tcW w:w="5533" w:type="dxa"/>
            <w:vAlign w:val="center"/>
          </w:tcPr>
          <w:p w14:paraId="07F6B1F7" w14:textId="77777777" w:rsidR="00E63730" w:rsidRDefault="00E63730" w:rsidP="00604FA2">
            <w:pPr>
              <w:widowControl w:val="0"/>
              <w:autoSpaceDE w:val="0"/>
              <w:autoSpaceDN w:val="0"/>
              <w:spacing w:after="0" w:line="276" w:lineRule="auto"/>
              <w:ind w:right="82"/>
              <w:jc w:val="both"/>
              <w:rPr>
                <w:rFonts w:ascii="Times New Roman" w:hAnsi="Times New Roman" w:cs="Times New Roman"/>
              </w:rPr>
            </w:pPr>
            <w:r w:rsidRPr="00F562A8">
              <w:rPr>
                <w:rFonts w:ascii="Times New Roman" w:hAnsi="Times New Roman" w:cs="Times New Roman"/>
              </w:rPr>
              <w:t xml:space="preserve">Расположение в непосредственной близости </w:t>
            </w:r>
            <w:r w:rsidRPr="00511BFB">
              <w:rPr>
                <w:rFonts w:ascii="Times New Roman" w:eastAsiaTheme="minorEastAsia" w:hAnsi="Times New Roman" w:cs="Times New Roman"/>
                <w:lang w:eastAsia="ru-RU"/>
              </w:rPr>
              <w:t>ж/д вокзала, станции, платформы</w:t>
            </w:r>
            <w:r w:rsidRPr="00F562A8">
              <w:rPr>
                <w:rFonts w:ascii="Times New Roman" w:hAnsi="Times New Roman" w:cs="Times New Roman"/>
              </w:rPr>
              <w:t xml:space="preserve"> увеличивает стоимость объекта.</w:t>
            </w:r>
          </w:p>
          <w:p w14:paraId="1E15F6CC" w14:textId="77777777" w:rsidR="00E63730" w:rsidRPr="00F562A8"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Pr>
                <w:rFonts w:ascii="Times New Roman" w:hAnsi="Times New Roman" w:cs="Times New Roman"/>
              </w:rPr>
              <w:t>Источник: информация ОМС и письма филиала ОАО «РЖД» ЦДУД структурное подразделение Юго-восточная дирекция управления движением.</w:t>
            </w:r>
          </w:p>
        </w:tc>
      </w:tr>
      <w:tr w:rsidR="00E63730" w:rsidRPr="00F562A8" w14:paraId="495AEC3E" w14:textId="77777777" w:rsidTr="00E63730">
        <w:trPr>
          <w:jc w:val="center"/>
        </w:trPr>
        <w:tc>
          <w:tcPr>
            <w:tcW w:w="567" w:type="dxa"/>
            <w:vAlign w:val="center"/>
          </w:tcPr>
          <w:p w14:paraId="4787F10F" w14:textId="77777777" w:rsidR="00E63730" w:rsidRPr="007D0670"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1</w:t>
            </w:r>
            <w:r>
              <w:rPr>
                <w:rFonts w:ascii="Times New Roman" w:hAnsi="Times New Roman" w:cs="Times New Roman"/>
              </w:rPr>
              <w:t>7</w:t>
            </w:r>
          </w:p>
        </w:tc>
        <w:tc>
          <w:tcPr>
            <w:tcW w:w="3256" w:type="dxa"/>
            <w:vAlign w:val="center"/>
          </w:tcPr>
          <w:p w14:paraId="4537A457"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Pr>
                <w:rFonts w:ascii="Times New Roman" w:hAnsi="Times New Roman" w:cs="Times New Roman"/>
              </w:rPr>
              <w:t>П</w:t>
            </w:r>
            <w:r w:rsidRPr="00F562A8">
              <w:rPr>
                <w:rFonts w:ascii="Times New Roman" w:hAnsi="Times New Roman" w:cs="Times New Roman"/>
              </w:rPr>
              <w:t>лощад</w:t>
            </w:r>
            <w:r>
              <w:rPr>
                <w:rFonts w:ascii="Times New Roman" w:hAnsi="Times New Roman" w:cs="Times New Roman"/>
              </w:rPr>
              <w:t>ь</w:t>
            </w:r>
            <w:r w:rsidRPr="00F562A8">
              <w:rPr>
                <w:rFonts w:ascii="Times New Roman" w:hAnsi="Times New Roman" w:cs="Times New Roman"/>
              </w:rPr>
              <w:t xml:space="preserve"> зеркала пруда </w:t>
            </w:r>
          </w:p>
        </w:tc>
        <w:tc>
          <w:tcPr>
            <w:tcW w:w="2835" w:type="dxa"/>
            <w:vAlign w:val="center"/>
          </w:tcPr>
          <w:p w14:paraId="02A879EC"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Pr>
                <w:rFonts w:ascii="Times New Roman" w:hAnsi="Times New Roman" w:cs="Times New Roman"/>
              </w:rPr>
              <w:t>П</w:t>
            </w:r>
            <w:r w:rsidRPr="00F562A8">
              <w:rPr>
                <w:rFonts w:ascii="Times New Roman" w:hAnsi="Times New Roman" w:cs="Times New Roman"/>
              </w:rPr>
              <w:t>лощад</w:t>
            </w:r>
            <w:r>
              <w:rPr>
                <w:rFonts w:ascii="Times New Roman" w:hAnsi="Times New Roman" w:cs="Times New Roman"/>
              </w:rPr>
              <w:t>ь</w:t>
            </w:r>
            <w:r w:rsidRPr="00F562A8">
              <w:rPr>
                <w:rFonts w:ascii="Times New Roman" w:hAnsi="Times New Roman" w:cs="Times New Roman"/>
              </w:rPr>
              <w:t xml:space="preserve"> зеркала пруда </w:t>
            </w:r>
          </w:p>
        </w:tc>
        <w:tc>
          <w:tcPr>
            <w:tcW w:w="1979" w:type="dxa"/>
            <w:vAlign w:val="center"/>
          </w:tcPr>
          <w:p w14:paraId="1459FDD2"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кв. м.</w:t>
            </w:r>
          </w:p>
        </w:tc>
        <w:tc>
          <w:tcPr>
            <w:tcW w:w="5533" w:type="dxa"/>
            <w:vAlign w:val="center"/>
          </w:tcPr>
          <w:p w14:paraId="5B6B25C6" w14:textId="77777777" w:rsidR="00E63730"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Основной ценообразующий фактор, на основании которого рассчитывается доход от разведения рыбы в рамках доходного подхода.</w:t>
            </w:r>
          </w:p>
          <w:p w14:paraId="38950E86"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r>
              <w:rPr>
                <w:rFonts w:ascii="Times New Roman" w:hAnsi="Times New Roman" w:cs="Times New Roman"/>
                <w:sz w:val="24"/>
                <w:szCs w:val="24"/>
              </w:rPr>
              <w:t>Источник: информация ПКК Росреестра</w:t>
            </w:r>
          </w:p>
        </w:tc>
      </w:tr>
      <w:tr w:rsidR="00E63730" w:rsidRPr="00F562A8" w14:paraId="0475BC3C" w14:textId="77777777" w:rsidTr="00E63730">
        <w:trPr>
          <w:jc w:val="center"/>
        </w:trPr>
        <w:tc>
          <w:tcPr>
            <w:tcW w:w="567" w:type="dxa"/>
            <w:vAlign w:val="center"/>
          </w:tcPr>
          <w:p w14:paraId="4025DDE4" w14:textId="77777777" w:rsidR="00E63730" w:rsidRPr="007D0670"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1</w:t>
            </w:r>
            <w:r>
              <w:rPr>
                <w:rFonts w:ascii="Times New Roman" w:hAnsi="Times New Roman" w:cs="Times New Roman"/>
              </w:rPr>
              <w:t>8</w:t>
            </w:r>
          </w:p>
        </w:tc>
        <w:tc>
          <w:tcPr>
            <w:tcW w:w="3256" w:type="dxa"/>
            <w:vAlign w:val="center"/>
          </w:tcPr>
          <w:p w14:paraId="07BE45BA"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Возраст рубок</w:t>
            </w:r>
          </w:p>
        </w:tc>
        <w:tc>
          <w:tcPr>
            <w:tcW w:w="2835" w:type="dxa"/>
            <w:vAlign w:val="center"/>
          </w:tcPr>
          <w:p w14:paraId="2985B881"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Возраст (оборот) рубок</w:t>
            </w:r>
          </w:p>
        </w:tc>
        <w:tc>
          <w:tcPr>
            <w:tcW w:w="1979" w:type="dxa"/>
            <w:vAlign w:val="center"/>
          </w:tcPr>
          <w:p w14:paraId="0A03EEBB"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лет</w:t>
            </w:r>
          </w:p>
        </w:tc>
        <w:tc>
          <w:tcPr>
            <w:tcW w:w="5533" w:type="dxa"/>
            <w:vAlign w:val="center"/>
          </w:tcPr>
          <w:p w14:paraId="53EA2272" w14:textId="77777777" w:rsidR="00E63730"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Основной ценообразующий фактор, который учитывается при оценке земель лесного фонда.</w:t>
            </w:r>
          </w:p>
          <w:p w14:paraId="58385730"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r>
              <w:rPr>
                <w:rFonts w:ascii="Times New Roman" w:hAnsi="Times New Roman" w:cs="Times New Roman"/>
                <w:sz w:val="24"/>
                <w:szCs w:val="24"/>
              </w:rPr>
              <w:t>Источник: информация Управления лесного хозяйства Воронежской области</w:t>
            </w:r>
          </w:p>
        </w:tc>
      </w:tr>
      <w:tr w:rsidR="00E63730" w:rsidRPr="00F562A8" w14:paraId="7157A4B2" w14:textId="77777777" w:rsidTr="00E63730">
        <w:trPr>
          <w:jc w:val="center"/>
        </w:trPr>
        <w:tc>
          <w:tcPr>
            <w:tcW w:w="567" w:type="dxa"/>
            <w:vAlign w:val="center"/>
          </w:tcPr>
          <w:p w14:paraId="33C2FD93" w14:textId="77777777" w:rsidR="00E63730" w:rsidRPr="007D0670"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1</w:t>
            </w:r>
            <w:r>
              <w:rPr>
                <w:rFonts w:ascii="Times New Roman" w:hAnsi="Times New Roman" w:cs="Times New Roman"/>
              </w:rPr>
              <w:t>9</w:t>
            </w:r>
          </w:p>
        </w:tc>
        <w:tc>
          <w:tcPr>
            <w:tcW w:w="3256" w:type="dxa"/>
            <w:vAlign w:val="center"/>
          </w:tcPr>
          <w:p w14:paraId="5A86B795"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Продуктивность 1 га земель по основным лесообразующим породам и оборотам рубки</w:t>
            </w:r>
          </w:p>
        </w:tc>
        <w:tc>
          <w:tcPr>
            <w:tcW w:w="2835" w:type="dxa"/>
            <w:vAlign w:val="center"/>
          </w:tcPr>
          <w:p w14:paraId="7D3DBE65"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F562A8">
              <w:rPr>
                <w:rFonts w:ascii="Times New Roman" w:hAnsi="Times New Roman" w:cs="Times New Roman"/>
              </w:rPr>
              <w:t>Продуктивность 1 га земель</w:t>
            </w:r>
          </w:p>
        </w:tc>
        <w:tc>
          <w:tcPr>
            <w:tcW w:w="1979" w:type="dxa"/>
            <w:vAlign w:val="center"/>
          </w:tcPr>
          <w:p w14:paraId="44BE1EC7"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hAnsi="Times New Roman" w:cs="Times New Roman"/>
              </w:rPr>
              <w:t>руб.</w:t>
            </w:r>
          </w:p>
        </w:tc>
        <w:tc>
          <w:tcPr>
            <w:tcW w:w="5533" w:type="dxa"/>
            <w:vAlign w:val="center"/>
          </w:tcPr>
          <w:p w14:paraId="4CAF9C52" w14:textId="77777777" w:rsidR="00E63730"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Основной ценообразующий фактор, который учитывается при оценке земель лесного фонда.</w:t>
            </w:r>
          </w:p>
          <w:p w14:paraId="080CE270" w14:textId="77777777" w:rsidR="00E63730" w:rsidRPr="00F562A8" w:rsidRDefault="00E63730" w:rsidP="00604FA2">
            <w:pPr>
              <w:widowControl w:val="0"/>
              <w:autoSpaceDE w:val="0"/>
              <w:autoSpaceDN w:val="0"/>
              <w:spacing w:after="0" w:line="276" w:lineRule="auto"/>
              <w:ind w:right="82"/>
              <w:jc w:val="both"/>
              <w:rPr>
                <w:rFonts w:ascii="Times New Roman" w:hAnsi="Times New Roman" w:cs="Times New Roman"/>
              </w:rPr>
            </w:pPr>
            <w:r>
              <w:rPr>
                <w:rFonts w:ascii="Times New Roman" w:hAnsi="Times New Roman" w:cs="Times New Roman"/>
                <w:sz w:val="24"/>
                <w:szCs w:val="24"/>
              </w:rPr>
              <w:t>Источник: информация Управления лесного хозяйства Воронежской области</w:t>
            </w:r>
          </w:p>
        </w:tc>
      </w:tr>
      <w:tr w:rsidR="00E63730" w:rsidRPr="00B14C0A" w14:paraId="28EE7050" w14:textId="77777777" w:rsidTr="00E63730">
        <w:trPr>
          <w:jc w:val="center"/>
        </w:trPr>
        <w:tc>
          <w:tcPr>
            <w:tcW w:w="567" w:type="dxa"/>
            <w:vAlign w:val="center"/>
          </w:tcPr>
          <w:p w14:paraId="4A5641D7"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20</w:t>
            </w:r>
          </w:p>
        </w:tc>
        <w:tc>
          <w:tcPr>
            <w:tcW w:w="3256" w:type="dxa"/>
            <w:vAlign w:val="center"/>
          </w:tcPr>
          <w:p w14:paraId="6A28B4A3"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65099D">
              <w:rPr>
                <w:rFonts w:ascii="Times New Roman" w:hAnsi="Times New Roman" w:cs="Times New Roman"/>
              </w:rPr>
              <w:t>Расстояние до ближайшего населенного пункта</w:t>
            </w:r>
          </w:p>
        </w:tc>
        <w:tc>
          <w:tcPr>
            <w:tcW w:w="2835" w:type="dxa"/>
            <w:vAlign w:val="center"/>
          </w:tcPr>
          <w:p w14:paraId="36A6C1C2" w14:textId="77777777" w:rsidR="00E63730" w:rsidRPr="00F562A8" w:rsidRDefault="00E63730" w:rsidP="00C749ED">
            <w:pPr>
              <w:widowControl w:val="0"/>
              <w:autoSpaceDE w:val="0"/>
              <w:autoSpaceDN w:val="0"/>
              <w:spacing w:after="0" w:line="276" w:lineRule="auto"/>
              <w:rPr>
                <w:rFonts w:ascii="Times New Roman" w:hAnsi="Times New Roman" w:cs="Times New Roman"/>
              </w:rPr>
            </w:pPr>
            <w:r w:rsidRPr="0065099D">
              <w:rPr>
                <w:rFonts w:ascii="Times New Roman" w:hAnsi="Times New Roman" w:cs="Times New Roman"/>
              </w:rPr>
              <w:t>_Расстояние до ближайшего населенного пункта</w:t>
            </w:r>
          </w:p>
        </w:tc>
        <w:tc>
          <w:tcPr>
            <w:tcW w:w="1979" w:type="dxa"/>
            <w:vAlign w:val="center"/>
          </w:tcPr>
          <w:p w14:paraId="36640293"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км.</w:t>
            </w:r>
          </w:p>
        </w:tc>
        <w:tc>
          <w:tcPr>
            <w:tcW w:w="5533" w:type="dxa"/>
            <w:vAlign w:val="center"/>
          </w:tcPr>
          <w:p w14:paraId="35C385BD" w14:textId="77777777" w:rsidR="00E63730" w:rsidRPr="00F562A8"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sidRPr="00F562A8">
              <w:rPr>
                <w:rFonts w:ascii="Times New Roman" w:eastAsiaTheme="minorEastAsia" w:hAnsi="Times New Roman" w:cs="Times New Roman"/>
                <w:lang w:eastAsia="ru-RU"/>
              </w:rPr>
              <w:t>Данный фактор необходим при</w:t>
            </w:r>
            <w:r>
              <w:rPr>
                <w:rFonts w:ascii="Times New Roman" w:eastAsiaTheme="minorEastAsia" w:hAnsi="Times New Roman" w:cs="Times New Roman"/>
                <w:lang w:eastAsia="ru-RU"/>
              </w:rPr>
              <w:t xml:space="preserve"> оценке объектов, расположенных на межселенной территории. </w:t>
            </w:r>
            <w:r>
              <w:rPr>
                <w:rFonts w:ascii="Times New Roman" w:hAnsi="Times New Roman" w:cs="Times New Roman"/>
                <w:sz w:val="24"/>
                <w:szCs w:val="24"/>
              </w:rPr>
              <w:t xml:space="preserve">Источник: </w:t>
            </w:r>
            <w:r w:rsidRPr="007401EC">
              <w:rPr>
                <w:rFonts w:ascii="Times New Roman" w:hAnsi="Times New Roman" w:cs="Times New Roman"/>
                <w:sz w:val="24"/>
                <w:szCs w:val="24"/>
              </w:rPr>
              <w:t>building_sites Интерактивная карта градостроительной деятельности Воронежской области</w:t>
            </w:r>
          </w:p>
        </w:tc>
      </w:tr>
      <w:tr w:rsidR="00E63730" w:rsidRPr="00B14C0A" w14:paraId="06512E91" w14:textId="77777777" w:rsidTr="00E63730">
        <w:trPr>
          <w:jc w:val="center"/>
        </w:trPr>
        <w:tc>
          <w:tcPr>
            <w:tcW w:w="567" w:type="dxa"/>
            <w:vAlign w:val="center"/>
          </w:tcPr>
          <w:p w14:paraId="5E577FEF"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21</w:t>
            </w:r>
          </w:p>
        </w:tc>
        <w:tc>
          <w:tcPr>
            <w:tcW w:w="3256" w:type="dxa"/>
            <w:vAlign w:val="center"/>
          </w:tcPr>
          <w:p w14:paraId="5DD3C99E" w14:textId="77777777" w:rsidR="00E63730" w:rsidRPr="0065099D" w:rsidRDefault="00E63730" w:rsidP="00C749ED">
            <w:pPr>
              <w:widowControl w:val="0"/>
              <w:autoSpaceDE w:val="0"/>
              <w:autoSpaceDN w:val="0"/>
              <w:spacing w:after="0" w:line="276" w:lineRule="auto"/>
              <w:rPr>
                <w:rFonts w:ascii="Times New Roman" w:hAnsi="Times New Roman" w:cs="Times New Roman"/>
              </w:rPr>
            </w:pPr>
            <w:r w:rsidRPr="00B2740A">
              <w:rPr>
                <w:rFonts w:ascii="Times New Roman" w:hAnsi="Times New Roman" w:cs="Times New Roman"/>
              </w:rPr>
              <w:t>Содержание гумуса</w:t>
            </w:r>
          </w:p>
        </w:tc>
        <w:tc>
          <w:tcPr>
            <w:tcW w:w="2835" w:type="dxa"/>
            <w:vAlign w:val="center"/>
          </w:tcPr>
          <w:p w14:paraId="20EA8B6A" w14:textId="77777777" w:rsidR="00E63730" w:rsidRPr="0065099D" w:rsidRDefault="00E63730" w:rsidP="00C749ED">
            <w:pPr>
              <w:widowControl w:val="0"/>
              <w:autoSpaceDE w:val="0"/>
              <w:autoSpaceDN w:val="0"/>
              <w:spacing w:after="0" w:line="276" w:lineRule="auto"/>
              <w:rPr>
                <w:rFonts w:ascii="Times New Roman" w:hAnsi="Times New Roman" w:cs="Times New Roman"/>
              </w:rPr>
            </w:pPr>
            <w:r w:rsidRPr="0099573D">
              <w:rPr>
                <w:rFonts w:ascii="Times New Roman" w:hAnsi="Times New Roman" w:cs="Times New Roman"/>
              </w:rPr>
              <w:t>Содержание гумуса</w:t>
            </w:r>
          </w:p>
        </w:tc>
        <w:tc>
          <w:tcPr>
            <w:tcW w:w="1979" w:type="dxa"/>
            <w:vAlign w:val="center"/>
          </w:tcPr>
          <w:p w14:paraId="60F33341" w14:textId="77777777" w:rsidR="00E63730"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w:t>
            </w:r>
          </w:p>
        </w:tc>
        <w:tc>
          <w:tcPr>
            <w:tcW w:w="5533" w:type="dxa"/>
            <w:vMerge w:val="restart"/>
            <w:vAlign w:val="center"/>
          </w:tcPr>
          <w:p w14:paraId="6D0224F8" w14:textId="77777777" w:rsidR="00E63730" w:rsidRPr="00F562A8"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sidRPr="009A72E1">
              <w:rPr>
                <w:rFonts w:ascii="Times New Roman" w:eastAsiaTheme="minorEastAsia" w:hAnsi="Times New Roman" w:cs="Times New Roman"/>
                <w:lang w:eastAsia="ru-RU"/>
              </w:rPr>
              <w:t>К числу основных факторов, определяющих плодородие почв земельного участка, в частности, относятся качественные характеристики почвенного слоя земельного участка (содержание гумуса и мощность гумусового горизонта, содержание физической глины, свойства почв, такие как степень эродированности, оглеение, солонцеватость, солончаковатость, легкий гранулометрический состав и прочее, а также агроэкологический потенциал).</w:t>
            </w:r>
            <w:r>
              <w:rPr>
                <w:rFonts w:ascii="Times New Roman" w:eastAsiaTheme="minorEastAsia" w:hAnsi="Times New Roman" w:cs="Times New Roman"/>
                <w:lang w:eastAsia="ru-RU"/>
              </w:rPr>
              <w:t>Источник:</w:t>
            </w:r>
            <w:r>
              <w:t xml:space="preserve"> </w:t>
            </w:r>
            <w:r w:rsidRPr="00B2740A">
              <w:rPr>
                <w:rFonts w:ascii="Times New Roman" w:eastAsiaTheme="minorEastAsia" w:hAnsi="Times New Roman" w:cs="Times New Roman"/>
                <w:lang w:eastAsia="ru-RU"/>
              </w:rPr>
              <w:t>Почвенные материалы Воронежской области. Сводная информация представлена в Приложении №1\1.5\1.5.3</w:t>
            </w:r>
          </w:p>
        </w:tc>
      </w:tr>
      <w:tr w:rsidR="00E63730" w:rsidRPr="00B14C0A" w14:paraId="0B3C8024" w14:textId="77777777" w:rsidTr="00E63730">
        <w:trPr>
          <w:jc w:val="center"/>
        </w:trPr>
        <w:tc>
          <w:tcPr>
            <w:tcW w:w="567" w:type="dxa"/>
            <w:vAlign w:val="center"/>
          </w:tcPr>
          <w:p w14:paraId="73741683"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22</w:t>
            </w:r>
          </w:p>
        </w:tc>
        <w:tc>
          <w:tcPr>
            <w:tcW w:w="3256" w:type="dxa"/>
            <w:vAlign w:val="center"/>
          </w:tcPr>
          <w:p w14:paraId="47909561" w14:textId="77777777" w:rsidR="00E63730" w:rsidRPr="0065099D" w:rsidRDefault="00E63730" w:rsidP="00C749ED">
            <w:pPr>
              <w:widowControl w:val="0"/>
              <w:autoSpaceDE w:val="0"/>
              <w:autoSpaceDN w:val="0"/>
              <w:spacing w:after="0" w:line="276" w:lineRule="auto"/>
              <w:rPr>
                <w:rFonts w:ascii="Times New Roman" w:hAnsi="Times New Roman" w:cs="Times New Roman"/>
              </w:rPr>
            </w:pPr>
            <w:r w:rsidRPr="00B2740A">
              <w:rPr>
                <w:rFonts w:ascii="Times New Roman" w:hAnsi="Times New Roman" w:cs="Times New Roman"/>
              </w:rPr>
              <w:t>Мощность гумусового горизонта</w:t>
            </w:r>
          </w:p>
        </w:tc>
        <w:tc>
          <w:tcPr>
            <w:tcW w:w="2835" w:type="dxa"/>
            <w:vAlign w:val="center"/>
          </w:tcPr>
          <w:p w14:paraId="10BF7266" w14:textId="77777777" w:rsidR="00E63730" w:rsidRPr="0065099D" w:rsidRDefault="00E63730" w:rsidP="00C749ED">
            <w:pPr>
              <w:widowControl w:val="0"/>
              <w:autoSpaceDE w:val="0"/>
              <w:autoSpaceDN w:val="0"/>
              <w:spacing w:after="0" w:line="276" w:lineRule="auto"/>
              <w:rPr>
                <w:rFonts w:ascii="Times New Roman" w:hAnsi="Times New Roman" w:cs="Times New Roman"/>
              </w:rPr>
            </w:pPr>
            <w:r w:rsidRPr="0099573D">
              <w:rPr>
                <w:rFonts w:ascii="Times New Roman" w:hAnsi="Times New Roman" w:cs="Times New Roman"/>
              </w:rPr>
              <w:t>Мощность гумусового горизонта</w:t>
            </w:r>
          </w:p>
        </w:tc>
        <w:tc>
          <w:tcPr>
            <w:tcW w:w="1979" w:type="dxa"/>
            <w:vAlign w:val="center"/>
          </w:tcPr>
          <w:p w14:paraId="1B946376" w14:textId="77777777" w:rsidR="00E63730"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см</w:t>
            </w:r>
          </w:p>
        </w:tc>
        <w:tc>
          <w:tcPr>
            <w:tcW w:w="5533" w:type="dxa"/>
            <w:vMerge/>
            <w:vAlign w:val="center"/>
          </w:tcPr>
          <w:p w14:paraId="26B86662" w14:textId="77777777" w:rsidR="00E63730" w:rsidRPr="00F562A8"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p>
        </w:tc>
      </w:tr>
      <w:tr w:rsidR="00E63730" w:rsidRPr="00B14C0A" w14:paraId="33493DB6" w14:textId="77777777" w:rsidTr="00E63730">
        <w:trPr>
          <w:jc w:val="center"/>
        </w:trPr>
        <w:tc>
          <w:tcPr>
            <w:tcW w:w="567" w:type="dxa"/>
            <w:vAlign w:val="center"/>
          </w:tcPr>
          <w:p w14:paraId="2B0CA3F2"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23</w:t>
            </w:r>
          </w:p>
        </w:tc>
        <w:tc>
          <w:tcPr>
            <w:tcW w:w="3256" w:type="dxa"/>
            <w:vAlign w:val="center"/>
          </w:tcPr>
          <w:p w14:paraId="1EFA3D9A" w14:textId="77777777" w:rsidR="00E63730" w:rsidRPr="0065099D" w:rsidRDefault="00E63730" w:rsidP="00C749ED">
            <w:pPr>
              <w:widowControl w:val="0"/>
              <w:autoSpaceDE w:val="0"/>
              <w:autoSpaceDN w:val="0"/>
              <w:spacing w:after="0" w:line="276" w:lineRule="auto"/>
              <w:rPr>
                <w:rFonts w:ascii="Times New Roman" w:hAnsi="Times New Roman" w:cs="Times New Roman"/>
              </w:rPr>
            </w:pPr>
            <w:r w:rsidRPr="00B2740A">
              <w:rPr>
                <w:rFonts w:ascii="Times New Roman" w:hAnsi="Times New Roman" w:cs="Times New Roman"/>
              </w:rPr>
              <w:t>Содержание физической глины</w:t>
            </w:r>
          </w:p>
        </w:tc>
        <w:tc>
          <w:tcPr>
            <w:tcW w:w="2835" w:type="dxa"/>
            <w:vAlign w:val="center"/>
          </w:tcPr>
          <w:p w14:paraId="011A09C0" w14:textId="77777777" w:rsidR="00E63730" w:rsidRPr="0065099D" w:rsidRDefault="00E63730" w:rsidP="00C749ED">
            <w:pPr>
              <w:widowControl w:val="0"/>
              <w:autoSpaceDE w:val="0"/>
              <w:autoSpaceDN w:val="0"/>
              <w:spacing w:after="0" w:line="276" w:lineRule="auto"/>
              <w:rPr>
                <w:rFonts w:ascii="Times New Roman" w:hAnsi="Times New Roman" w:cs="Times New Roman"/>
              </w:rPr>
            </w:pPr>
            <w:r w:rsidRPr="0099573D">
              <w:rPr>
                <w:rFonts w:ascii="Times New Roman" w:hAnsi="Times New Roman" w:cs="Times New Roman"/>
              </w:rPr>
              <w:t>Содержание физической глины</w:t>
            </w:r>
          </w:p>
        </w:tc>
        <w:tc>
          <w:tcPr>
            <w:tcW w:w="1979" w:type="dxa"/>
            <w:vAlign w:val="center"/>
          </w:tcPr>
          <w:p w14:paraId="5EF4C531" w14:textId="77777777" w:rsidR="00E63730"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w:t>
            </w:r>
          </w:p>
        </w:tc>
        <w:tc>
          <w:tcPr>
            <w:tcW w:w="5533" w:type="dxa"/>
            <w:vMerge/>
            <w:vAlign w:val="center"/>
          </w:tcPr>
          <w:p w14:paraId="6F3DDCB7" w14:textId="77777777" w:rsidR="00E63730" w:rsidRPr="00F562A8"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p>
        </w:tc>
      </w:tr>
      <w:tr w:rsidR="00E63730" w:rsidRPr="00B14C0A" w14:paraId="002DECA4" w14:textId="77777777" w:rsidTr="00E63730">
        <w:trPr>
          <w:jc w:val="center"/>
        </w:trPr>
        <w:tc>
          <w:tcPr>
            <w:tcW w:w="567" w:type="dxa"/>
            <w:vAlign w:val="center"/>
          </w:tcPr>
          <w:p w14:paraId="1BD131E1"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24</w:t>
            </w:r>
          </w:p>
        </w:tc>
        <w:tc>
          <w:tcPr>
            <w:tcW w:w="3256" w:type="dxa"/>
            <w:vAlign w:val="center"/>
          </w:tcPr>
          <w:p w14:paraId="43735882" w14:textId="77777777" w:rsidR="00E63730" w:rsidRPr="0065099D" w:rsidRDefault="00E63730" w:rsidP="00C749ED">
            <w:pPr>
              <w:widowControl w:val="0"/>
              <w:autoSpaceDE w:val="0"/>
              <w:autoSpaceDN w:val="0"/>
              <w:spacing w:after="0" w:line="276" w:lineRule="auto"/>
              <w:rPr>
                <w:rFonts w:ascii="Times New Roman" w:hAnsi="Times New Roman" w:cs="Times New Roman"/>
              </w:rPr>
            </w:pPr>
            <w:r w:rsidRPr="00B2740A">
              <w:rPr>
                <w:rFonts w:ascii="Times New Roman" w:hAnsi="Times New Roman" w:cs="Times New Roman"/>
              </w:rPr>
              <w:t>Переувлажнение почв</w:t>
            </w:r>
          </w:p>
        </w:tc>
        <w:tc>
          <w:tcPr>
            <w:tcW w:w="2835" w:type="dxa"/>
            <w:vAlign w:val="center"/>
          </w:tcPr>
          <w:p w14:paraId="3B174FEA" w14:textId="77777777" w:rsidR="00E63730" w:rsidRPr="0065099D" w:rsidRDefault="00E63730" w:rsidP="00C749ED">
            <w:pPr>
              <w:widowControl w:val="0"/>
              <w:autoSpaceDE w:val="0"/>
              <w:autoSpaceDN w:val="0"/>
              <w:spacing w:after="0" w:line="276" w:lineRule="auto"/>
              <w:rPr>
                <w:rFonts w:ascii="Times New Roman" w:hAnsi="Times New Roman" w:cs="Times New Roman"/>
              </w:rPr>
            </w:pPr>
            <w:r w:rsidRPr="0099573D">
              <w:rPr>
                <w:rFonts w:ascii="Times New Roman" w:hAnsi="Times New Roman" w:cs="Times New Roman"/>
              </w:rPr>
              <w:t>Переувлажнение почв</w:t>
            </w:r>
          </w:p>
        </w:tc>
        <w:tc>
          <w:tcPr>
            <w:tcW w:w="1979" w:type="dxa"/>
            <w:vAlign w:val="center"/>
          </w:tcPr>
          <w:p w14:paraId="086191F0" w14:textId="77777777" w:rsidR="00E63730"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Наименование</w:t>
            </w:r>
          </w:p>
        </w:tc>
        <w:tc>
          <w:tcPr>
            <w:tcW w:w="5533" w:type="dxa"/>
            <w:vMerge/>
            <w:vAlign w:val="center"/>
          </w:tcPr>
          <w:p w14:paraId="22285412" w14:textId="77777777" w:rsidR="00E63730" w:rsidRPr="00F562A8"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p>
        </w:tc>
      </w:tr>
      <w:tr w:rsidR="00E63730" w:rsidRPr="00B14C0A" w14:paraId="0F988EFA" w14:textId="77777777" w:rsidTr="00E63730">
        <w:trPr>
          <w:jc w:val="center"/>
        </w:trPr>
        <w:tc>
          <w:tcPr>
            <w:tcW w:w="567" w:type="dxa"/>
            <w:vAlign w:val="center"/>
          </w:tcPr>
          <w:p w14:paraId="7CDC0898" w14:textId="77777777" w:rsidR="00E63730" w:rsidRPr="00F562A8"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25</w:t>
            </w:r>
          </w:p>
        </w:tc>
        <w:tc>
          <w:tcPr>
            <w:tcW w:w="3256" w:type="dxa"/>
            <w:vAlign w:val="center"/>
          </w:tcPr>
          <w:p w14:paraId="2042B831" w14:textId="77777777" w:rsidR="00E63730" w:rsidRPr="0065099D" w:rsidRDefault="00E63730" w:rsidP="00C749ED">
            <w:pPr>
              <w:widowControl w:val="0"/>
              <w:autoSpaceDE w:val="0"/>
              <w:autoSpaceDN w:val="0"/>
              <w:spacing w:after="0" w:line="276" w:lineRule="auto"/>
              <w:rPr>
                <w:rFonts w:ascii="Times New Roman" w:hAnsi="Times New Roman" w:cs="Times New Roman"/>
              </w:rPr>
            </w:pPr>
            <w:r w:rsidRPr="00B2740A">
              <w:rPr>
                <w:rFonts w:ascii="Times New Roman" w:hAnsi="Times New Roman" w:cs="Times New Roman"/>
              </w:rPr>
              <w:t>Смытость почв</w:t>
            </w:r>
          </w:p>
        </w:tc>
        <w:tc>
          <w:tcPr>
            <w:tcW w:w="2835" w:type="dxa"/>
            <w:vAlign w:val="center"/>
          </w:tcPr>
          <w:p w14:paraId="3AA0F329" w14:textId="77777777" w:rsidR="00E63730" w:rsidRPr="0065099D" w:rsidRDefault="00E63730" w:rsidP="00C749ED">
            <w:pPr>
              <w:widowControl w:val="0"/>
              <w:autoSpaceDE w:val="0"/>
              <w:autoSpaceDN w:val="0"/>
              <w:spacing w:after="0" w:line="276" w:lineRule="auto"/>
              <w:rPr>
                <w:rFonts w:ascii="Times New Roman" w:hAnsi="Times New Roman" w:cs="Times New Roman"/>
              </w:rPr>
            </w:pPr>
            <w:r w:rsidRPr="0099573D">
              <w:rPr>
                <w:rFonts w:ascii="Times New Roman" w:hAnsi="Times New Roman" w:cs="Times New Roman"/>
              </w:rPr>
              <w:t>Смытость почв</w:t>
            </w:r>
          </w:p>
        </w:tc>
        <w:tc>
          <w:tcPr>
            <w:tcW w:w="1979" w:type="dxa"/>
            <w:vAlign w:val="center"/>
          </w:tcPr>
          <w:p w14:paraId="4B9D510C" w14:textId="77777777" w:rsidR="00E63730"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Наименование</w:t>
            </w:r>
          </w:p>
        </w:tc>
        <w:tc>
          <w:tcPr>
            <w:tcW w:w="5533" w:type="dxa"/>
            <w:vMerge/>
            <w:vAlign w:val="center"/>
          </w:tcPr>
          <w:p w14:paraId="6D3B1B70" w14:textId="77777777" w:rsidR="00E63730" w:rsidRPr="00F562A8"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p>
        </w:tc>
      </w:tr>
      <w:tr w:rsidR="00E63730" w:rsidRPr="00B14C0A" w14:paraId="4A0D7D21" w14:textId="77777777" w:rsidTr="00E63730">
        <w:trPr>
          <w:jc w:val="center"/>
        </w:trPr>
        <w:tc>
          <w:tcPr>
            <w:tcW w:w="567" w:type="dxa"/>
            <w:vAlign w:val="center"/>
          </w:tcPr>
          <w:p w14:paraId="6AB1C6E3" w14:textId="77777777" w:rsidR="00E63730" w:rsidRDefault="00E63730" w:rsidP="00C749ED">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26</w:t>
            </w:r>
          </w:p>
        </w:tc>
        <w:tc>
          <w:tcPr>
            <w:tcW w:w="3256" w:type="dxa"/>
            <w:vAlign w:val="center"/>
          </w:tcPr>
          <w:p w14:paraId="4127E9E7" w14:textId="77777777" w:rsidR="00E63730" w:rsidRPr="00B2740A" w:rsidRDefault="00E63730" w:rsidP="00C749ED">
            <w:pPr>
              <w:widowControl w:val="0"/>
              <w:autoSpaceDE w:val="0"/>
              <w:autoSpaceDN w:val="0"/>
              <w:spacing w:after="0" w:line="276" w:lineRule="auto"/>
              <w:rPr>
                <w:rFonts w:ascii="Times New Roman" w:hAnsi="Times New Roman" w:cs="Times New Roman"/>
              </w:rPr>
            </w:pPr>
            <w:r>
              <w:rPr>
                <w:rFonts w:ascii="Times New Roman" w:eastAsiaTheme="minorEastAsia" w:hAnsi="Times New Roman" w:cs="Times New Roman"/>
                <w:lang w:eastAsia="ru-RU"/>
              </w:rPr>
              <w:t>Наименование лесничества</w:t>
            </w:r>
          </w:p>
        </w:tc>
        <w:tc>
          <w:tcPr>
            <w:tcW w:w="2835" w:type="dxa"/>
            <w:vAlign w:val="center"/>
          </w:tcPr>
          <w:p w14:paraId="33450AED" w14:textId="77777777" w:rsidR="00E63730" w:rsidRPr="0099573D" w:rsidRDefault="00E63730" w:rsidP="00C749ED">
            <w:pPr>
              <w:widowControl w:val="0"/>
              <w:autoSpaceDE w:val="0"/>
              <w:autoSpaceDN w:val="0"/>
              <w:spacing w:after="0" w:line="276" w:lineRule="auto"/>
              <w:rPr>
                <w:rFonts w:ascii="Times New Roman" w:hAnsi="Times New Roman" w:cs="Times New Roman"/>
              </w:rPr>
            </w:pPr>
            <w:r w:rsidRPr="004A0AFA">
              <w:rPr>
                <w:rFonts w:ascii="Times New Roman" w:eastAsiaTheme="minorEastAsia" w:hAnsi="Times New Roman" w:cs="Times New Roman"/>
                <w:lang w:eastAsia="ru-RU"/>
              </w:rPr>
              <w:t>__Лесничество</w:t>
            </w:r>
          </w:p>
        </w:tc>
        <w:tc>
          <w:tcPr>
            <w:tcW w:w="1979" w:type="dxa"/>
            <w:vAlign w:val="center"/>
          </w:tcPr>
          <w:p w14:paraId="7AC0EEED" w14:textId="77777777" w:rsidR="00E63730" w:rsidRDefault="00E63730" w:rsidP="00C749ED">
            <w:pPr>
              <w:widowControl w:val="0"/>
              <w:autoSpaceDE w:val="0"/>
              <w:autoSpaceDN w:val="0"/>
              <w:spacing w:after="0" w:line="276" w:lineRule="auto"/>
              <w:jc w:val="center"/>
              <w:rPr>
                <w:rFonts w:ascii="Times New Roman" w:hAnsi="Times New Roman" w:cs="Times New Roman"/>
              </w:rPr>
            </w:pPr>
            <w:r w:rsidRPr="00F562A8">
              <w:rPr>
                <w:rFonts w:ascii="Times New Roman" w:eastAsiaTheme="minorEastAsia" w:hAnsi="Times New Roman" w:cs="Times New Roman"/>
                <w:lang w:eastAsia="ru-RU"/>
              </w:rPr>
              <w:t>наименование</w:t>
            </w:r>
          </w:p>
        </w:tc>
        <w:tc>
          <w:tcPr>
            <w:tcW w:w="5533" w:type="dxa"/>
            <w:vAlign w:val="center"/>
          </w:tcPr>
          <w:p w14:paraId="569AE937" w14:textId="77777777" w:rsidR="00E63730"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Для учета сведений ЦОФ для всех участков, входящих в данное лесничество. </w:t>
            </w:r>
          </w:p>
          <w:p w14:paraId="0FF1CB35" w14:textId="77777777" w:rsidR="00E63730" w:rsidRPr="00F562A8" w:rsidRDefault="00E63730" w:rsidP="00604FA2">
            <w:pPr>
              <w:widowControl w:val="0"/>
              <w:autoSpaceDE w:val="0"/>
              <w:autoSpaceDN w:val="0"/>
              <w:spacing w:after="0" w:line="276" w:lineRule="auto"/>
              <w:ind w:right="82"/>
              <w:jc w:val="both"/>
              <w:rPr>
                <w:rFonts w:ascii="Times New Roman" w:eastAsiaTheme="minorEastAsia" w:hAnsi="Times New Roman" w:cs="Times New Roman"/>
                <w:lang w:eastAsia="ru-RU"/>
              </w:rPr>
            </w:pPr>
            <w:r>
              <w:rPr>
                <w:rFonts w:ascii="Times New Roman" w:hAnsi="Times New Roman" w:cs="Times New Roman"/>
              </w:rPr>
              <w:t xml:space="preserve">Источник: </w:t>
            </w:r>
            <w:r>
              <w:rPr>
                <w:rFonts w:ascii="Times New Roman" w:hAnsi="Times New Roman" w:cs="Times New Roman"/>
                <w:sz w:val="24"/>
                <w:szCs w:val="24"/>
              </w:rPr>
              <w:t>Сведения ЕГРН.</w:t>
            </w:r>
          </w:p>
        </w:tc>
      </w:tr>
    </w:tbl>
    <w:p w14:paraId="5F3EAF22" w14:textId="77777777" w:rsidR="00E63730" w:rsidRDefault="00E63730" w:rsidP="004D7C9E">
      <w:pPr>
        <w:spacing w:after="0" w:line="276" w:lineRule="auto"/>
        <w:ind w:firstLine="709"/>
        <w:jc w:val="both"/>
        <w:rPr>
          <w:rFonts w:ascii="Times New Roman" w:hAnsi="Times New Roman" w:cs="Times New Roman"/>
          <w:sz w:val="26"/>
          <w:szCs w:val="26"/>
        </w:rPr>
      </w:pPr>
    </w:p>
    <w:p w14:paraId="37EBED27" w14:textId="64E5CEE2" w:rsidR="0054020D" w:rsidRPr="00F562A8" w:rsidRDefault="004D7C9E" w:rsidP="004D7C9E">
      <w:pPr>
        <w:spacing w:after="0" w:line="276" w:lineRule="auto"/>
        <w:ind w:firstLine="709"/>
        <w:jc w:val="both"/>
        <w:rPr>
          <w:rFonts w:ascii="Times New Roman" w:hAnsi="Times New Roman" w:cs="Times New Roman"/>
          <w:sz w:val="26"/>
          <w:szCs w:val="26"/>
        </w:rPr>
      </w:pPr>
      <w:r w:rsidRPr="00E052B1">
        <w:rPr>
          <w:rFonts w:ascii="Times New Roman" w:hAnsi="Times New Roman" w:cs="Times New Roman"/>
          <w:sz w:val="26"/>
          <w:szCs w:val="26"/>
        </w:rPr>
        <w:t>Учреждение проанализировало предоставленную информацию и подготовило данные по значениям ценообразующих факторов на территории населенных пунктов и межселенной территории соответствующих муниципальных образований. Все данные, полученные Учреждением от муниципальных образований Воронежской области</w:t>
      </w:r>
      <w:r>
        <w:rPr>
          <w:rFonts w:ascii="Times New Roman" w:hAnsi="Times New Roman" w:cs="Times New Roman"/>
          <w:sz w:val="26"/>
          <w:szCs w:val="26"/>
        </w:rPr>
        <w:t>,</w:t>
      </w:r>
      <w:r w:rsidRPr="00E052B1">
        <w:rPr>
          <w:rFonts w:ascii="Times New Roman" w:hAnsi="Times New Roman" w:cs="Times New Roman"/>
          <w:sz w:val="26"/>
          <w:szCs w:val="26"/>
        </w:rPr>
        <w:t xml:space="preserve"> </w:t>
      </w:r>
      <w:r>
        <w:rPr>
          <w:rFonts w:ascii="Times New Roman" w:hAnsi="Times New Roman" w:cs="Times New Roman"/>
          <w:sz w:val="26"/>
          <w:szCs w:val="26"/>
        </w:rPr>
        <w:t xml:space="preserve">ИОГВ и прочих источников </w:t>
      </w:r>
      <w:r w:rsidRPr="00E052B1">
        <w:rPr>
          <w:rFonts w:ascii="Times New Roman" w:hAnsi="Times New Roman" w:cs="Times New Roman"/>
          <w:sz w:val="26"/>
          <w:szCs w:val="26"/>
        </w:rPr>
        <w:t xml:space="preserve">представлены в </w:t>
      </w:r>
      <w:r w:rsidRPr="0028717C">
        <w:rPr>
          <w:rFonts w:ascii="Times New Roman" w:hAnsi="Times New Roman" w:cs="Times New Roman"/>
          <w:sz w:val="26"/>
          <w:szCs w:val="26"/>
        </w:rPr>
        <w:t xml:space="preserve">Приложении </w:t>
      </w:r>
      <w:r>
        <w:rPr>
          <w:rFonts w:ascii="Times New Roman" w:hAnsi="Times New Roman" w:cs="Times New Roman"/>
          <w:sz w:val="26"/>
          <w:szCs w:val="26"/>
        </w:rPr>
        <w:t xml:space="preserve">1.2 и </w:t>
      </w:r>
      <w:r w:rsidRPr="0028717C">
        <w:rPr>
          <w:rFonts w:ascii="Times New Roman" w:hAnsi="Times New Roman" w:cs="Times New Roman"/>
          <w:sz w:val="26"/>
          <w:szCs w:val="26"/>
        </w:rPr>
        <w:t>1.5.</w:t>
      </w:r>
    </w:p>
    <w:p w14:paraId="36BE1297" w14:textId="77777777" w:rsidR="004D7C9E" w:rsidRDefault="004D7C9E" w:rsidP="006F6435">
      <w:pPr>
        <w:pStyle w:val="20"/>
        <w:spacing w:line="276" w:lineRule="auto"/>
        <w:rPr>
          <w:rFonts w:cs="Times New Roman"/>
          <w:sz w:val="26"/>
        </w:rPr>
        <w:sectPr w:rsidR="004D7C9E" w:rsidSect="004D7C9E">
          <w:pgSz w:w="16838" w:h="11906" w:orient="landscape"/>
          <w:pgMar w:top="1701" w:right="1134" w:bottom="851" w:left="1134" w:header="709" w:footer="709" w:gutter="0"/>
          <w:cols w:space="708"/>
          <w:docGrid w:linePitch="360"/>
        </w:sectPr>
      </w:pPr>
    </w:p>
    <w:p w14:paraId="369DD679" w14:textId="429B3D53" w:rsidR="001632AA" w:rsidRPr="00F562A8" w:rsidRDefault="00D8638E" w:rsidP="006F6435">
      <w:pPr>
        <w:pStyle w:val="20"/>
        <w:spacing w:line="276" w:lineRule="auto"/>
        <w:rPr>
          <w:rFonts w:cs="Times New Roman"/>
          <w:sz w:val="26"/>
        </w:rPr>
      </w:pPr>
      <w:bookmarkStart w:id="130" w:name="_Toc110506958"/>
      <w:r w:rsidRPr="00F562A8">
        <w:rPr>
          <w:rFonts w:cs="Times New Roman"/>
          <w:sz w:val="26"/>
        </w:rPr>
        <w:t xml:space="preserve">3.6. </w:t>
      </w:r>
      <w:r w:rsidR="001632AA" w:rsidRPr="00F562A8">
        <w:rPr>
          <w:rFonts w:cs="Times New Roman"/>
          <w:sz w:val="26"/>
        </w:rPr>
        <w:t>Обоснование выбора подходов</w:t>
      </w:r>
      <w:r w:rsidR="0075332E">
        <w:rPr>
          <w:rFonts w:cs="Times New Roman"/>
          <w:sz w:val="26"/>
        </w:rPr>
        <w:t>,</w:t>
      </w:r>
      <w:r w:rsidR="001632AA" w:rsidRPr="00F562A8">
        <w:rPr>
          <w:rFonts w:cs="Times New Roman"/>
          <w:sz w:val="26"/>
        </w:rPr>
        <w:t xml:space="preserve"> методов</w:t>
      </w:r>
      <w:r w:rsidR="0075332E">
        <w:rPr>
          <w:rFonts w:cs="Times New Roman"/>
          <w:sz w:val="26"/>
        </w:rPr>
        <w:t xml:space="preserve"> и моделей оценки,</w:t>
      </w:r>
      <w:r w:rsidR="001632AA" w:rsidRPr="00F562A8">
        <w:rPr>
          <w:rFonts w:cs="Times New Roman"/>
          <w:sz w:val="26"/>
        </w:rPr>
        <w:t xml:space="preserve"> использованных для определения кадастровой стоимости объектов недвижимости</w:t>
      </w:r>
      <w:bookmarkEnd w:id="130"/>
      <w:r w:rsidR="005C5E4C">
        <w:rPr>
          <w:rFonts w:cs="Times New Roman"/>
          <w:sz w:val="26"/>
        </w:rPr>
        <w:t xml:space="preserve"> </w:t>
      </w:r>
    </w:p>
    <w:p w14:paraId="3BDA9A72" w14:textId="77777777" w:rsidR="001632AA" w:rsidRPr="00F562A8" w:rsidRDefault="001632AA" w:rsidP="006F6435">
      <w:pPr>
        <w:spacing w:line="276" w:lineRule="auto"/>
        <w:rPr>
          <w:rFonts w:ascii="Times New Roman" w:hAnsi="Times New Roman" w:cs="Times New Roman"/>
          <w:sz w:val="16"/>
          <w:szCs w:val="16"/>
        </w:rPr>
      </w:pPr>
    </w:p>
    <w:p w14:paraId="22B46E14" w14:textId="77777777" w:rsidR="0066627C" w:rsidRPr="00F562A8" w:rsidRDefault="0066627C"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целей определения кадастровой стоимости методами массовой оценки объекты оценки объединены в группы (подгруппы) в соответствии с Указаниями. Кадастровая стоимость объектов недвижимости определяется в рамках каждой из групп (подгрупп). В рамках одной группы (подгруппы) использованы одни и те же подходы и методы, а также критерии взвешивания полученного результата. </w:t>
      </w:r>
    </w:p>
    <w:p w14:paraId="7EEFB660" w14:textId="1EBD0D9B" w:rsidR="0066627C" w:rsidRPr="00F562A8" w:rsidRDefault="0066627C" w:rsidP="006F6435">
      <w:pPr>
        <w:spacing w:after="0" w:line="276" w:lineRule="auto"/>
        <w:ind w:right="-1"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 xml:space="preserve">При оценке </w:t>
      </w:r>
      <w:r w:rsidR="00711522" w:rsidRPr="00F562A8">
        <w:rPr>
          <w:rFonts w:ascii="Times New Roman" w:hAnsi="Times New Roman" w:cs="Times New Roman"/>
          <w:sz w:val="26"/>
          <w:szCs w:val="26"/>
        </w:rPr>
        <w:t>кадастровой</w:t>
      </w:r>
      <w:r w:rsidRPr="00F562A8">
        <w:rPr>
          <w:rFonts w:ascii="Times New Roman" w:hAnsi="Times New Roman" w:cs="Times New Roman"/>
          <w:sz w:val="26"/>
          <w:szCs w:val="26"/>
        </w:rPr>
        <w:t xml:space="preserve"> стоимости объекта недвижимости используются подходы, изложенные в главе </w:t>
      </w:r>
      <w:r w:rsidRPr="00F562A8">
        <w:rPr>
          <w:rFonts w:ascii="Times New Roman" w:hAnsi="Times New Roman" w:cs="Times New Roman"/>
          <w:sz w:val="26"/>
          <w:szCs w:val="26"/>
          <w:lang w:val="en-US"/>
        </w:rPr>
        <w:t>VII</w:t>
      </w:r>
      <w:r w:rsidRPr="00F562A8">
        <w:rPr>
          <w:rFonts w:ascii="Times New Roman" w:hAnsi="Times New Roman" w:cs="Times New Roman"/>
          <w:sz w:val="26"/>
          <w:szCs w:val="26"/>
        </w:rPr>
        <w:t xml:space="preserve"> Методических указаний.</w:t>
      </w:r>
    </w:p>
    <w:p w14:paraId="4D347B28"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i/>
          <w:sz w:val="26"/>
          <w:szCs w:val="26"/>
        </w:rPr>
        <w:t>Сравнительный подход</w:t>
      </w:r>
      <w:r w:rsidRPr="00F562A8">
        <w:rPr>
          <w:rFonts w:ascii="Times New Roman" w:hAnsi="Times New Roman" w:cs="Times New Roman"/>
          <w:sz w:val="26"/>
          <w:szCs w:val="26"/>
        </w:rPr>
        <w:t xml:space="preserve">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w:t>
      </w:r>
    </w:p>
    <w:p w14:paraId="71659827"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Определение кадастровой стоимости в рамках сравнительного подхода осуществляется одним из следующих способов (методов):</w:t>
      </w:r>
    </w:p>
    <w:p w14:paraId="618AFC36"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i/>
          <w:sz w:val="26"/>
          <w:szCs w:val="26"/>
        </w:rPr>
        <w:t>1) метод статистического (регрессионного) моделирования</w:t>
      </w:r>
      <w:r w:rsidRPr="00F562A8">
        <w:rPr>
          <w:rFonts w:ascii="Times New Roman" w:hAnsi="Times New Roman" w:cs="Times New Roman"/>
          <w:sz w:val="26"/>
          <w:szCs w:val="26"/>
        </w:rPr>
        <w:t xml:space="preserve"> - основан на построении статистической модели оценки.</w:t>
      </w:r>
    </w:p>
    <w:p w14:paraId="2BFAA120"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4904059E"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3A5852B2" w14:textId="77777777" w:rsidR="0066627C" w:rsidRPr="00F562A8" w:rsidRDefault="0066627C" w:rsidP="00C1026B">
      <w:pPr>
        <w:numPr>
          <w:ilvl w:val="0"/>
          <w:numId w:val="9"/>
        </w:numPr>
        <w:spacing w:after="0" w:line="276" w:lineRule="auto"/>
        <w:ind w:left="0" w:firstLine="709"/>
        <w:jc w:val="both"/>
        <w:rPr>
          <w:rFonts w:ascii="Times New Roman" w:hAnsi="Times New Roman" w:cs="Times New Roman"/>
          <w:sz w:val="26"/>
          <w:szCs w:val="26"/>
        </w:rPr>
      </w:pPr>
      <w:r w:rsidRPr="00F562A8">
        <w:rPr>
          <w:rFonts w:ascii="Times New Roman" w:hAnsi="Times New Roman" w:cs="Times New Roman"/>
          <w:sz w:val="26"/>
          <w:szCs w:val="26"/>
        </w:rPr>
        <w:t>Определение перечня ЦОФ, описывающих влияние местоположения объектов недвижимости как составного фактора.</w:t>
      </w:r>
    </w:p>
    <w:p w14:paraId="69693766" w14:textId="77777777" w:rsidR="0066627C" w:rsidRPr="00F562A8" w:rsidRDefault="0066627C" w:rsidP="00C1026B">
      <w:pPr>
        <w:numPr>
          <w:ilvl w:val="0"/>
          <w:numId w:val="9"/>
        </w:numPr>
        <w:spacing w:after="0" w:line="276" w:lineRule="auto"/>
        <w:ind w:left="0" w:firstLine="709"/>
        <w:jc w:val="both"/>
        <w:rPr>
          <w:rFonts w:ascii="Times New Roman" w:hAnsi="Times New Roman" w:cs="Times New Roman"/>
          <w:sz w:val="26"/>
          <w:szCs w:val="26"/>
        </w:rPr>
      </w:pPr>
      <w:r w:rsidRPr="00F562A8">
        <w:rPr>
          <w:rFonts w:ascii="Times New Roman" w:hAnsi="Times New Roman" w:cs="Times New Roman"/>
          <w:sz w:val="26"/>
          <w:szCs w:val="26"/>
        </w:rPr>
        <w:t>Определение состава ЦОФ, включаемых в статистическую модель с учетом местоположения объектов недвижимости.</w:t>
      </w:r>
    </w:p>
    <w:p w14:paraId="047F41DD" w14:textId="77777777" w:rsidR="0066627C" w:rsidRPr="00F562A8" w:rsidRDefault="0066627C" w:rsidP="00C1026B">
      <w:pPr>
        <w:numPr>
          <w:ilvl w:val="0"/>
          <w:numId w:val="9"/>
        </w:numPr>
        <w:spacing w:after="0" w:line="276" w:lineRule="auto"/>
        <w:ind w:left="0" w:firstLine="709"/>
        <w:jc w:val="both"/>
        <w:rPr>
          <w:rFonts w:ascii="Times New Roman" w:hAnsi="Times New Roman" w:cs="Times New Roman"/>
          <w:sz w:val="26"/>
          <w:szCs w:val="26"/>
        </w:rPr>
      </w:pPr>
      <w:r w:rsidRPr="00F562A8">
        <w:rPr>
          <w:rFonts w:ascii="Times New Roman" w:hAnsi="Times New Roman" w:cs="Times New Roman"/>
          <w:sz w:val="26"/>
          <w:szCs w:val="26"/>
        </w:rPr>
        <w:t>Определение общего вида функций, связывающих зависимую переменную с каждым из ЦОФ.</w:t>
      </w:r>
    </w:p>
    <w:p w14:paraId="210E6DCA" w14:textId="77777777" w:rsidR="0066627C" w:rsidRPr="00F562A8" w:rsidRDefault="0066627C" w:rsidP="00C1026B">
      <w:pPr>
        <w:numPr>
          <w:ilvl w:val="0"/>
          <w:numId w:val="9"/>
        </w:numPr>
        <w:spacing w:after="0" w:line="276" w:lineRule="auto"/>
        <w:ind w:left="0" w:firstLine="709"/>
        <w:jc w:val="both"/>
        <w:rPr>
          <w:rFonts w:ascii="Times New Roman" w:hAnsi="Times New Roman" w:cs="Times New Roman"/>
          <w:sz w:val="26"/>
          <w:szCs w:val="26"/>
        </w:rPr>
      </w:pPr>
      <w:r w:rsidRPr="00F562A8">
        <w:rPr>
          <w:rFonts w:ascii="Times New Roman" w:hAnsi="Times New Roman" w:cs="Times New Roman"/>
          <w:sz w:val="26"/>
          <w:szCs w:val="26"/>
        </w:rPr>
        <w:t>Определение конкретного вида зависимостей переменной от ЦОФ (с построением графиков) и расчет коэффициентов статистической модели.</w:t>
      </w:r>
    </w:p>
    <w:p w14:paraId="4196A231" w14:textId="77777777" w:rsidR="0066627C" w:rsidRPr="00F562A8" w:rsidRDefault="0066627C" w:rsidP="00C1026B">
      <w:pPr>
        <w:numPr>
          <w:ilvl w:val="0"/>
          <w:numId w:val="9"/>
        </w:numPr>
        <w:spacing w:after="0" w:line="276" w:lineRule="auto"/>
        <w:ind w:left="0" w:firstLine="709"/>
        <w:jc w:val="both"/>
        <w:rPr>
          <w:rFonts w:ascii="Times New Roman" w:hAnsi="Times New Roman" w:cs="Times New Roman"/>
          <w:sz w:val="26"/>
          <w:szCs w:val="26"/>
        </w:rPr>
      </w:pPr>
      <w:r w:rsidRPr="00F562A8">
        <w:rPr>
          <w:rFonts w:ascii="Times New Roman" w:hAnsi="Times New Roman" w:cs="Times New Roman"/>
          <w:sz w:val="26"/>
          <w:szCs w:val="26"/>
        </w:rPr>
        <w:t>Анализ показателей качества статистической модели.</w:t>
      </w:r>
    </w:p>
    <w:p w14:paraId="4AD91A66"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для каждого ценообразующего фактора видом функции влияния. Полученные функции влияния каждого ценообразующего фактора подвергаются анализу их общего вида на соответствие выявленным закономерностям ценообразования.</w:t>
      </w:r>
    </w:p>
    <w:p w14:paraId="05D6AAC7"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Определение кадастровой стоимости осуществляется с применением статистических моделей, в том числе:</w:t>
      </w:r>
    </w:p>
    <w:p w14:paraId="1762411A"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линейной:</w:t>
      </w:r>
    </w:p>
    <w:p w14:paraId="2F684DC0" w14:textId="77777777" w:rsidR="0066627C" w:rsidRPr="00F562A8" w:rsidRDefault="0066627C"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noProof/>
          <w:sz w:val="26"/>
          <w:szCs w:val="26"/>
          <w:lang w:eastAsia="ru-RU"/>
        </w:rPr>
        <w:drawing>
          <wp:inline distT="0" distB="0" distL="0" distR="0" wp14:anchorId="5D716A64" wp14:editId="630B5D1C">
            <wp:extent cx="2009775" cy="22860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009775" cy="228600"/>
                    </a:xfrm>
                    <a:prstGeom prst="rect">
                      <a:avLst/>
                    </a:prstGeom>
                    <a:noFill/>
                    <a:ln>
                      <a:noFill/>
                    </a:ln>
                  </pic:spPr>
                </pic:pic>
              </a:graphicData>
            </a:graphic>
          </wp:inline>
        </w:drawing>
      </w:r>
      <w:r w:rsidRPr="00F562A8">
        <w:rPr>
          <w:rFonts w:ascii="Times New Roman" w:hAnsi="Times New Roman" w:cs="Times New Roman"/>
          <w:sz w:val="26"/>
          <w:szCs w:val="26"/>
        </w:rPr>
        <w:t>;</w:t>
      </w:r>
    </w:p>
    <w:p w14:paraId="4F7B8748"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мультипликативной степенной (без выделения двоичных факторов):</w:t>
      </w:r>
    </w:p>
    <w:p w14:paraId="5101A867" w14:textId="77777777" w:rsidR="0066627C" w:rsidRPr="00F562A8" w:rsidRDefault="0066627C" w:rsidP="006F6435">
      <w:pPr>
        <w:spacing w:after="0" w:line="276" w:lineRule="auto"/>
        <w:ind w:firstLine="709"/>
        <w:jc w:val="both"/>
        <w:rPr>
          <w:rFonts w:ascii="Times New Roman" w:hAnsi="Times New Roman" w:cs="Times New Roman"/>
          <w:sz w:val="26"/>
          <w:szCs w:val="26"/>
        </w:rPr>
      </w:pPr>
    </w:p>
    <w:p w14:paraId="47A649B0" w14:textId="77777777" w:rsidR="0066627C" w:rsidRPr="00F562A8" w:rsidRDefault="0066627C"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noProof/>
          <w:sz w:val="26"/>
          <w:szCs w:val="26"/>
          <w:lang w:eastAsia="ru-RU"/>
        </w:rPr>
        <w:drawing>
          <wp:inline distT="0" distB="0" distL="0" distR="0" wp14:anchorId="45FFF2C2" wp14:editId="0710D26C">
            <wp:extent cx="1228725" cy="23812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Pr="00F562A8">
        <w:rPr>
          <w:rFonts w:ascii="Times New Roman" w:hAnsi="Times New Roman" w:cs="Times New Roman"/>
          <w:sz w:val="26"/>
          <w:szCs w:val="26"/>
        </w:rPr>
        <w:t>;</w:t>
      </w:r>
    </w:p>
    <w:p w14:paraId="5165CFB6"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экспоненциальной:</w:t>
      </w:r>
    </w:p>
    <w:p w14:paraId="49DE4CBD" w14:textId="77777777" w:rsidR="0066627C" w:rsidRPr="00F562A8" w:rsidRDefault="0066627C"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noProof/>
          <w:sz w:val="26"/>
          <w:szCs w:val="26"/>
          <w:lang w:eastAsia="ru-RU"/>
        </w:rPr>
        <w:drawing>
          <wp:inline distT="0" distB="0" distL="0" distR="0" wp14:anchorId="2B6539D3" wp14:editId="65681D28">
            <wp:extent cx="1152525" cy="2381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F562A8">
        <w:rPr>
          <w:rFonts w:ascii="Times New Roman" w:hAnsi="Times New Roman" w:cs="Times New Roman"/>
          <w:sz w:val="26"/>
          <w:szCs w:val="26"/>
        </w:rPr>
        <w:t>, где</w:t>
      </w:r>
    </w:p>
    <w:p w14:paraId="7032BD68" w14:textId="77777777" w:rsidR="0066627C" w:rsidRPr="00F562A8" w:rsidRDefault="0066627C" w:rsidP="006F6435">
      <w:pPr>
        <w:spacing w:after="0" w:line="276" w:lineRule="auto"/>
        <w:jc w:val="both"/>
        <w:rPr>
          <w:rFonts w:ascii="Times New Roman" w:hAnsi="Times New Roman" w:cs="Times New Roman"/>
          <w:sz w:val="26"/>
          <w:szCs w:val="26"/>
        </w:rPr>
      </w:pPr>
    </w:p>
    <w:p w14:paraId="65993B4F"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Y - модельное значение зависимой переменной;</w:t>
      </w:r>
    </w:p>
    <w:p w14:paraId="428541B5"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X1, ..., Xn - ценообразующие факторы объектов недвижимости;</w:t>
      </w:r>
    </w:p>
    <w:p w14:paraId="0D3687D6"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noProof/>
          <w:sz w:val="26"/>
          <w:szCs w:val="26"/>
          <w:lang w:eastAsia="ru-RU"/>
        </w:rPr>
        <w:drawing>
          <wp:inline distT="0" distB="0" distL="0" distR="0" wp14:anchorId="663368A3" wp14:editId="5D421EA3">
            <wp:extent cx="190500" cy="228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sz w:val="26"/>
          <w:szCs w:val="26"/>
          <w:lang w:eastAsia="ru-RU"/>
        </w:rPr>
        <w:drawing>
          <wp:inline distT="0" distB="0" distL="0" distR="0" wp14:anchorId="4C9E42DC" wp14:editId="6E77BE1F">
            <wp:extent cx="180975" cy="2286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sz w:val="26"/>
          <w:szCs w:val="26"/>
          <w:lang w:eastAsia="ru-RU"/>
        </w:rPr>
        <w:drawing>
          <wp:inline distT="0" distB="0" distL="0" distR="0" wp14:anchorId="02C5A10E" wp14:editId="72C037E0">
            <wp:extent cx="190500" cy="228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0005D05F"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Анализ качества статистической модели включает в себя комплекс процедур, предусматривающий проверку, в том числе:</w:t>
      </w:r>
    </w:p>
    <w:p w14:paraId="7A1785C1"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7373349F"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25B6BAF7"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6E2F4B4D"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w:t>
      </w:r>
    </w:p>
    <w:p w14:paraId="2768C44E"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793FBD93"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R2;</w:t>
      </w:r>
    </w:p>
    <w:p w14:paraId="1D58970E"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w:t>
      </w:r>
    </w:p>
    <w:p w14:paraId="6AA7C83A"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R2, F-критерий Фишера являются второстепенными, не имеющими самостоятельно значения, так как требования к ним выполняются автоматически при выполнении остальных требований.</w:t>
      </w:r>
    </w:p>
    <w:p w14:paraId="41B95899"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7E88C543"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i/>
          <w:sz w:val="26"/>
          <w:szCs w:val="26"/>
        </w:rPr>
        <w:t>2) метод типового (эталонного) объекта недвижимости</w:t>
      </w:r>
      <w:r w:rsidRPr="00F562A8">
        <w:rPr>
          <w:rFonts w:ascii="Times New Roman" w:hAnsi="Times New Roman" w:cs="Times New Roman"/>
          <w:b/>
          <w:sz w:val="26"/>
          <w:szCs w:val="26"/>
        </w:rPr>
        <w:t>.</w:t>
      </w:r>
      <w:r w:rsidRPr="00F562A8">
        <w:rPr>
          <w:rFonts w:ascii="Times New Roman" w:hAnsi="Times New Roman" w:cs="Times New Roman"/>
          <w:sz w:val="26"/>
          <w:szCs w:val="26"/>
        </w:rPr>
        <w:t xml:space="preserve"> При применении метода типового (эталонного) объекта недвижимости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p w14:paraId="600499D1"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Метод типового (эталонного) объекта недвижимости заключается в следующем:</w:t>
      </w:r>
    </w:p>
    <w:p w14:paraId="2B8DD825"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определяется группа (подгруппа) объектов недвижимости, в которой возможно (целесообразно) типологизировать объекты недвижимости;</w:t>
      </w:r>
    </w:p>
    <w:p w14:paraId="7BA9C886"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14:paraId="3B7EA8A7"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проводится типологизация объектов недвижимости;</w:t>
      </w:r>
    </w:p>
    <w:p w14:paraId="0518DEC5"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формируется типовой (эталонный) объект недвижимости;</w:t>
      </w:r>
    </w:p>
    <w:p w14:paraId="2626E5B6"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определяется стоимость типового (эталонного) объекта недвижимости;</w:t>
      </w:r>
    </w:p>
    <w:p w14:paraId="3D474F29"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6) корректируются стоимости объектов недвижимости при распространении на них стоимости типового (эталонного) объекта недвижимости.</w:t>
      </w:r>
    </w:p>
    <w:p w14:paraId="73B49BC7"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Данный метод применяется при отсутствии достаточной для построения статистической модели оценки кадастровой стоимости (далее - статистическая модель) рыночной информации для группы (подгруппы) объектов недвижимости.</w:t>
      </w:r>
    </w:p>
    <w:p w14:paraId="72C910DC"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i/>
          <w:sz w:val="26"/>
          <w:szCs w:val="26"/>
        </w:rPr>
        <w:t>3) метод моделирования на основе удельных показателей кадастровой стоимости (УПКС).</w:t>
      </w:r>
      <w:r w:rsidRPr="00F562A8">
        <w:rPr>
          <w:rFonts w:ascii="Times New Roman" w:hAnsi="Times New Roman" w:cs="Times New Roman"/>
          <w:b/>
          <w:sz w:val="26"/>
          <w:szCs w:val="26"/>
        </w:rPr>
        <w:t xml:space="preserve"> </w:t>
      </w:r>
      <w:r w:rsidRPr="00F562A8">
        <w:rPr>
          <w:rFonts w:ascii="Times New Roman" w:hAnsi="Times New Roman" w:cs="Times New Roman"/>
          <w:sz w:val="26"/>
          <w:szCs w:val="26"/>
        </w:rPr>
        <w:t>Метод моделирования на основе УПКС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метода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ЦОФ,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 Метод может применяться для определения кадастровой стоимости ОНС или объектов неопределенного вида использования.</w:t>
      </w:r>
    </w:p>
    <w:p w14:paraId="2698B399"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Метод заключается в следующем:</w:t>
      </w:r>
    </w:p>
    <w:p w14:paraId="4B2EA8CF"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определяется уровень детализации расположения объекта недвижимости (кадастровый квартал, населенный пункт, муниципальное образование, субъект Российской Федерации);</w:t>
      </w:r>
    </w:p>
    <w:p w14:paraId="580ED7D4"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определяется среднее значение УПКС объектов недвижимости, имеющих сходство по виду использования групп (подгрупп) объектов недвижимости, существующих в пределах территориальной единицы (кадастровый квартал, населенный пункт, муниципальное образование, субъект Российской Федерации), в которой расположен объект недвижимости;</w:t>
      </w:r>
    </w:p>
    <w:p w14:paraId="4C7AB68F"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кадастровая стоимость объекта недвижимости определяется путем умножения среднего значения УПКС объектов недвижимости схожих по виду использования групп (подгрупп) объектов недвижимости по кадастровому кварталу (в случае отсутствия в кадастровом квартале - в населенном пункте, муниципальном образовании, субъекте Российской Федерации), в котором расположен объект недвижимости, на его площадь, объем, иные характеристики.</w:t>
      </w:r>
    </w:p>
    <w:p w14:paraId="1ABA5DEC"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Метод применяется для групп (подгрупп) объектов недвижимости, схожих с группами (подгруппами) объектов недвижимости, кадастровая стоимость которых определена на основе построения статистических моделей,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и индивидуального определения кадастровой стоимости вследствие отсутствия точной информации о местоположении объекта недвижимости и других его характеристиках.</w:t>
      </w:r>
    </w:p>
    <w:p w14:paraId="7AB1F5A1" w14:textId="55BFAB6E"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i/>
          <w:sz w:val="26"/>
          <w:szCs w:val="26"/>
        </w:rPr>
        <w:t>4) метод индексации прошлых результатов.</w:t>
      </w:r>
      <w:r w:rsidRPr="00F562A8">
        <w:rPr>
          <w:rFonts w:ascii="Times New Roman" w:hAnsi="Times New Roman" w:cs="Times New Roman"/>
          <w:b/>
          <w:sz w:val="26"/>
          <w:szCs w:val="26"/>
        </w:rPr>
        <w:t xml:space="preserve"> </w:t>
      </w:r>
      <w:r w:rsidRPr="00F562A8">
        <w:rPr>
          <w:rFonts w:ascii="Times New Roman" w:hAnsi="Times New Roman" w:cs="Times New Roman"/>
          <w:sz w:val="26"/>
          <w:szCs w:val="26"/>
        </w:rPr>
        <w:t>Метод индексации прошлых результатов заключается в индексировании значений кадастровой стоимости, установленных в результате предыдущей государственной кадастровой оценки.</w:t>
      </w:r>
    </w:p>
    <w:p w14:paraId="7E882340"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i/>
          <w:sz w:val="26"/>
          <w:szCs w:val="26"/>
        </w:rPr>
        <w:t>Затратный подход</w:t>
      </w:r>
      <w:r w:rsidRPr="00F562A8">
        <w:rPr>
          <w:rFonts w:ascii="Times New Roman" w:hAnsi="Times New Roman" w:cs="Times New Roman"/>
          <w:sz w:val="26"/>
          <w:szCs w:val="26"/>
        </w:rPr>
        <w:t xml:space="preserve"> основан на определении 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 Затратный подход используется при определении кадастровой стоимости ОКС. </w:t>
      </w:r>
    </w:p>
    <w:p w14:paraId="47BD58DE"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Затратный подход не рекомендуется применять при оценке земельных участков, за исключением:</w:t>
      </w:r>
    </w:p>
    <w:p w14:paraId="460717FC"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земельных участков, предназначенных для обеспечения обороны и безопасности;</w:t>
      </w:r>
    </w:p>
    <w:p w14:paraId="19300880"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земельных участков, предназначенных для размещения памятников (в том числе монументов, обелисков, памятных знаков);</w:t>
      </w:r>
    </w:p>
    <w:p w14:paraId="64DF9818" w14:textId="77777777" w:rsidR="0066627C" w:rsidRPr="00F562A8" w:rsidRDefault="0066627C" w:rsidP="006F6435">
      <w:pPr>
        <w:tabs>
          <w:tab w:val="left" w:pos="561"/>
        </w:tabs>
        <w:spacing w:line="276" w:lineRule="auto"/>
        <w:ind w:firstLine="709"/>
        <w:contextualSpacing/>
        <w:jc w:val="both"/>
        <w:rPr>
          <w:rFonts w:ascii="Times New Roman" w:hAnsi="Times New Roman" w:cs="Times New Roman"/>
          <w:sz w:val="26"/>
          <w:szCs w:val="26"/>
        </w:rPr>
      </w:pPr>
      <w:r w:rsidRPr="00F562A8">
        <w:rPr>
          <w:rFonts w:ascii="Times New Roman" w:hAnsi="Times New Roman" w:cs="Times New Roman"/>
          <w:sz w:val="26"/>
          <w:szCs w:val="26"/>
        </w:rPr>
        <w:t>Данный подход основывается на предположении, что разумный покупатель не заплатит за объект сумму большую, чем та, которая требуется для создания аналогичного по назначению, качеству и техническому состоянию объекта. Затратный подход позволяет определить полную стоимость его замещения. Стоимость замещения определяется расходами в текущих ценах на создание объекта, имеющего с оцениваемым объектом эквивалентную полезность, но произведенного с использованием современных нормативов, материалов, технологий и оборудования. Затратный подход широко применяется в практике оценки, особенно на малоактивных рынках, для объектов, по которым подбор аналогов затруднен или невозможен из-за их специфики.</w:t>
      </w:r>
    </w:p>
    <w:p w14:paraId="70DAC920"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i/>
          <w:sz w:val="26"/>
          <w:szCs w:val="26"/>
        </w:rPr>
        <w:t>Доходный подход</w:t>
      </w:r>
      <w:r w:rsidRPr="00F562A8">
        <w:rPr>
          <w:rFonts w:ascii="Times New Roman" w:hAnsi="Times New Roman" w:cs="Times New Roman"/>
          <w:sz w:val="26"/>
          <w:szCs w:val="26"/>
        </w:rPr>
        <w:t xml:space="preserve">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 В рамках доходного подхода кадастровая стоимость объекта недвижимости может определяться:</w:t>
      </w:r>
    </w:p>
    <w:p w14:paraId="1462CCDC"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методом прямой капитализации;</w:t>
      </w:r>
    </w:p>
    <w:p w14:paraId="2D59CDB1"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методом дисконтирования денежных потоков.</w:t>
      </w:r>
    </w:p>
    <w:p w14:paraId="6934DADC"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Объекты недвижимости оцениваются исходя из характерных для соответствующего сегмента рынка показателей доходности их использования без учета фактического обременения арендными отношениями и индивидуальных показателей эффективности их использования.</w:t>
      </w:r>
    </w:p>
    <w:p w14:paraId="2BBD28C7"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Реализация техник доходного подхода осуществляется путем капитализации или дисконтирования чистого операционного дохода, связанного с использованием объектов недвижимости. При этом не учитываются налог на прибыль организаций и налог на доходы физических лиц.</w:t>
      </w:r>
    </w:p>
    <w:p w14:paraId="12D221A1"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Доходный подход реализуется в следующей последовательности:</w:t>
      </w:r>
    </w:p>
    <w:p w14:paraId="2260CDF8"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определяется потенциальный валовый доход, который может приносить объект недвижимости;</w:t>
      </w:r>
    </w:p>
    <w:p w14:paraId="76CA6A93"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определяется степень недозагрузки объекта и неплатежей за пользование объектом недвижимости;</w:t>
      </w:r>
    </w:p>
    <w:p w14:paraId="4E676E2E"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определяется действительный валовый доход как разница потенциального валового дохода и неплатежей, недозагрузки;</w:t>
      </w:r>
    </w:p>
    <w:p w14:paraId="70FAC063"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определяется величина операционных расходов, связанных с функционированием объекта недвижимости;</w:t>
      </w:r>
    </w:p>
    <w:p w14:paraId="5EB38276" w14:textId="77777777"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определяется чистый операционный доход как разница действительного валового дохода и операционных расходов;</w:t>
      </w:r>
    </w:p>
    <w:p w14:paraId="27A0C34F" w14:textId="1C3A57BB" w:rsidR="0066627C" w:rsidRPr="00F562A8" w:rsidRDefault="0066627C"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полученный результат дисконтируется или капитализируется в зависимости от выбранного метода.</w:t>
      </w:r>
    </w:p>
    <w:p w14:paraId="05445E14" w14:textId="77777777" w:rsidR="00C81C56" w:rsidRPr="00F562A8" w:rsidRDefault="00C81C56" w:rsidP="006F6435">
      <w:pPr>
        <w:spacing w:after="0" w:line="276" w:lineRule="auto"/>
        <w:ind w:firstLine="709"/>
        <w:jc w:val="both"/>
        <w:rPr>
          <w:rFonts w:ascii="Times New Roman" w:hAnsi="Times New Roman" w:cs="Times New Roman"/>
          <w:sz w:val="16"/>
          <w:szCs w:val="16"/>
        </w:rPr>
      </w:pPr>
    </w:p>
    <w:p w14:paraId="51E2BA6F" w14:textId="77777777" w:rsidR="00B10272" w:rsidRDefault="00B10272">
      <w:pPr>
        <w:rPr>
          <w:rFonts w:ascii="Times New Roman" w:hAnsi="Times New Roman" w:cs="Times New Roman"/>
          <w:b/>
          <w:sz w:val="26"/>
          <w:szCs w:val="26"/>
          <w:highlight w:val="green"/>
        </w:rPr>
      </w:pPr>
      <w:bookmarkStart w:id="131" w:name="_Toc14102070"/>
      <w:bookmarkStart w:id="132" w:name="_Hlk42766072"/>
      <w:bookmarkStart w:id="133" w:name="_Hlk41904887"/>
      <w:bookmarkStart w:id="134" w:name="_Hlk42766301"/>
      <w:r>
        <w:rPr>
          <w:rFonts w:ascii="Times New Roman" w:hAnsi="Times New Roman" w:cs="Times New Roman"/>
          <w:b/>
          <w:sz w:val="26"/>
          <w:szCs w:val="26"/>
          <w:highlight w:val="green"/>
        </w:rPr>
        <w:br w:type="page"/>
      </w:r>
    </w:p>
    <w:p w14:paraId="364E572B" w14:textId="0EF7C239" w:rsidR="00306BF5" w:rsidRPr="00F562A8" w:rsidRDefault="00306BF5" w:rsidP="00A55966">
      <w:pPr>
        <w:pStyle w:val="ab"/>
        <w:spacing w:before="120" w:after="0" w:line="240" w:lineRule="auto"/>
        <w:ind w:left="0"/>
        <w:contextualSpacing w:val="0"/>
        <w:jc w:val="center"/>
        <w:outlineLvl w:val="1"/>
        <w:rPr>
          <w:rFonts w:ascii="Times New Roman" w:hAnsi="Times New Roman" w:cs="Times New Roman"/>
          <w:b/>
          <w:sz w:val="26"/>
          <w:szCs w:val="26"/>
        </w:rPr>
      </w:pPr>
      <w:bookmarkStart w:id="135" w:name="_Toc110506959"/>
      <w:r w:rsidRPr="009E7344">
        <w:rPr>
          <w:rFonts w:ascii="Times New Roman" w:hAnsi="Times New Roman" w:cs="Times New Roman"/>
          <w:b/>
          <w:sz w:val="26"/>
          <w:szCs w:val="26"/>
        </w:rPr>
        <w:t>3.6.1 Сегмент 1. «Сельскохозяйственное использование»</w:t>
      </w:r>
      <w:bookmarkEnd w:id="131"/>
      <w:bookmarkEnd w:id="135"/>
    </w:p>
    <w:p w14:paraId="745FF72C" w14:textId="77777777" w:rsidR="009F22FE" w:rsidRPr="00F562A8" w:rsidRDefault="009F22FE" w:rsidP="009F22FE">
      <w:pPr>
        <w:spacing w:line="240" w:lineRule="auto"/>
        <w:rPr>
          <w:rFonts w:ascii="Times New Roman" w:hAnsi="Times New Roman" w:cs="Times New Roman"/>
          <w:sz w:val="16"/>
          <w:szCs w:val="16"/>
        </w:rPr>
      </w:pPr>
    </w:p>
    <w:p w14:paraId="46C6A33C" w14:textId="651EC9C4" w:rsidR="00306BF5" w:rsidRPr="00F562A8" w:rsidRDefault="00B15076" w:rsidP="009F22FE">
      <w:pPr>
        <w:pStyle w:val="ab"/>
        <w:ind w:left="0"/>
        <w:jc w:val="center"/>
        <w:outlineLvl w:val="2"/>
        <w:rPr>
          <w:rFonts w:ascii="Times New Roman" w:hAnsi="Times New Roman" w:cs="Times New Roman"/>
          <w:i/>
          <w:sz w:val="26"/>
          <w:szCs w:val="26"/>
        </w:rPr>
      </w:pPr>
      <w:bookmarkStart w:id="136" w:name="_Toc110506960"/>
      <w:r w:rsidRPr="00F562A8">
        <w:rPr>
          <w:rFonts w:ascii="Times New Roman" w:hAnsi="Times New Roman" w:cs="Times New Roman"/>
          <w:i/>
          <w:sz w:val="26"/>
          <w:szCs w:val="26"/>
        </w:rPr>
        <w:t xml:space="preserve">3.6.1.1. </w:t>
      </w:r>
      <w:r w:rsidR="00306BF5" w:rsidRPr="00F562A8">
        <w:rPr>
          <w:rFonts w:ascii="Times New Roman" w:hAnsi="Times New Roman" w:cs="Times New Roman"/>
          <w:i/>
          <w:sz w:val="26"/>
          <w:szCs w:val="26"/>
        </w:rPr>
        <w:t xml:space="preserve">Расчет кадастровой стоимости земельных участков группы </w:t>
      </w:r>
      <w:r w:rsidR="002C0DE3">
        <w:rPr>
          <w:rFonts w:ascii="Times New Roman" w:hAnsi="Times New Roman" w:cs="Times New Roman"/>
          <w:i/>
          <w:sz w:val="26"/>
          <w:szCs w:val="26"/>
        </w:rPr>
        <w:t>Воронеж</w:t>
      </w:r>
      <w:bookmarkEnd w:id="136"/>
      <w:r w:rsidR="00306BF5" w:rsidRPr="00F562A8">
        <w:rPr>
          <w:rFonts w:ascii="Times New Roman" w:hAnsi="Times New Roman" w:cs="Times New Roman"/>
          <w:i/>
          <w:sz w:val="26"/>
          <w:szCs w:val="26"/>
        </w:rPr>
        <w:t xml:space="preserve"> </w:t>
      </w:r>
    </w:p>
    <w:p w14:paraId="23935D85" w14:textId="14A0E693" w:rsidR="00964BF5" w:rsidRPr="00F562A8" w:rsidRDefault="00964BF5" w:rsidP="006F6435">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Перечень объектов оценки данной группы приведен в Приложении 2/2</w:t>
      </w:r>
      <w:r w:rsidR="000610AA" w:rsidRPr="00F562A8">
        <w:rPr>
          <w:rFonts w:ascii="Times New Roman" w:eastAsiaTheme="minorEastAsia" w:hAnsi="Times New Roman" w:cs="Times New Roman"/>
          <w:sz w:val="26"/>
          <w:szCs w:val="26"/>
        </w:rPr>
        <w:t>.</w:t>
      </w:r>
      <w:r w:rsidRPr="00F562A8">
        <w:rPr>
          <w:rFonts w:ascii="Times New Roman" w:eastAsiaTheme="minorEastAsia" w:hAnsi="Times New Roman" w:cs="Times New Roman"/>
          <w:sz w:val="26"/>
          <w:szCs w:val="26"/>
        </w:rPr>
        <w:t>4</w:t>
      </w:r>
      <w:r w:rsidR="00EA1B78">
        <w:rPr>
          <w:rFonts w:ascii="Times New Roman" w:eastAsiaTheme="minorEastAsia" w:hAnsi="Times New Roman" w:cs="Times New Roman"/>
          <w:sz w:val="26"/>
          <w:szCs w:val="26"/>
        </w:rPr>
        <w:t>/2.4.1</w:t>
      </w:r>
    </w:p>
    <w:p w14:paraId="4D7120EB" w14:textId="1EB50FF6" w:rsidR="00306BF5" w:rsidRPr="00F562A8" w:rsidRDefault="00306BF5" w:rsidP="00A55966">
      <w:pPr>
        <w:spacing w:after="0" w:line="276" w:lineRule="auto"/>
        <w:ind w:firstLine="709"/>
        <w:jc w:val="both"/>
        <w:rPr>
          <w:rFonts w:ascii="Times New Roman" w:hAnsi="Times New Roman" w:cs="Times New Roman"/>
          <w:sz w:val="26"/>
          <w:szCs w:val="26"/>
        </w:rPr>
      </w:pPr>
      <w:bookmarkStart w:id="137" w:name="_Hlk42765966"/>
      <w:bookmarkEnd w:id="132"/>
      <w:r w:rsidRPr="00F562A8">
        <w:rPr>
          <w:rFonts w:ascii="Times New Roman" w:hAnsi="Times New Roman" w:cs="Times New Roman"/>
          <w:sz w:val="26"/>
          <w:szCs w:val="26"/>
        </w:rPr>
        <w:t xml:space="preserve">В соответствии </w:t>
      </w:r>
      <w:r w:rsidR="00566100" w:rsidRPr="001E6A8D">
        <w:rPr>
          <w:rFonts w:ascii="Times New Roman" w:eastAsia="Calibri" w:hAnsi="Times New Roman" w:cs="Times New Roman"/>
          <w:sz w:val="26"/>
          <w:szCs w:val="26"/>
        </w:rPr>
        <w:t xml:space="preserve">с п. </w:t>
      </w:r>
      <w:r w:rsidR="00566100">
        <w:rPr>
          <w:rFonts w:ascii="Times New Roman" w:eastAsia="Calibri" w:hAnsi="Times New Roman" w:cs="Times New Roman"/>
          <w:sz w:val="26"/>
          <w:szCs w:val="26"/>
        </w:rPr>
        <w:t>45</w:t>
      </w:r>
      <w:r w:rsidR="00566100" w:rsidRPr="001E6A8D">
        <w:rPr>
          <w:rFonts w:ascii="Times New Roman" w:eastAsia="Calibri" w:hAnsi="Times New Roman" w:cs="Times New Roman"/>
          <w:sz w:val="26"/>
          <w:szCs w:val="26"/>
        </w:rPr>
        <w:t xml:space="preserve">.2. Указаний </w:t>
      </w:r>
      <w:r w:rsidR="007F2191">
        <w:rPr>
          <w:rFonts w:ascii="Times New Roman" w:eastAsia="Calibri" w:hAnsi="Times New Roman" w:cs="Times New Roman"/>
          <w:sz w:val="26"/>
          <w:szCs w:val="26"/>
        </w:rPr>
        <w:t>применен</w:t>
      </w:r>
      <w:r w:rsidR="00566100" w:rsidRPr="001E6A8D">
        <w:rPr>
          <w:rFonts w:ascii="Times New Roman" w:eastAsia="Calibri" w:hAnsi="Times New Roman" w:cs="Times New Roman"/>
          <w:sz w:val="26"/>
          <w:szCs w:val="26"/>
        </w:rPr>
        <w:t xml:space="preserve"> метод типового (эталонного) объекта недвижимости</w:t>
      </w:r>
      <w:r w:rsidR="00566100">
        <w:rPr>
          <w:rFonts w:ascii="Times New Roman" w:eastAsia="Calibri" w:hAnsi="Times New Roman" w:cs="Times New Roman"/>
          <w:sz w:val="26"/>
          <w:szCs w:val="26"/>
        </w:rPr>
        <w:t xml:space="preserve"> для земельных участков </w:t>
      </w:r>
      <w:r w:rsidRPr="00F562A8">
        <w:rPr>
          <w:rFonts w:ascii="Times New Roman" w:hAnsi="Times New Roman" w:cs="Times New Roman"/>
          <w:sz w:val="26"/>
          <w:szCs w:val="26"/>
        </w:rPr>
        <w:t>сельскохозяйственного использования</w:t>
      </w:r>
      <w:r w:rsidR="00566100">
        <w:rPr>
          <w:rFonts w:ascii="Times New Roman" w:hAnsi="Times New Roman" w:cs="Times New Roman"/>
          <w:sz w:val="26"/>
          <w:szCs w:val="26"/>
        </w:rPr>
        <w:t>,</w:t>
      </w:r>
      <w:r w:rsidRPr="00F562A8">
        <w:rPr>
          <w:rFonts w:ascii="Times New Roman" w:hAnsi="Times New Roman" w:cs="Times New Roman"/>
          <w:sz w:val="26"/>
          <w:szCs w:val="26"/>
        </w:rPr>
        <w:t xml:space="preserve"> со следующими кодами расчета видов использования: </w:t>
      </w:r>
      <w:r w:rsidR="002C0DE3" w:rsidRPr="002C0DE3">
        <w:rPr>
          <w:rFonts w:ascii="Times New Roman" w:hAnsi="Times New Roman" w:cs="Times New Roman"/>
          <w:sz w:val="26"/>
          <w:szCs w:val="26"/>
        </w:rPr>
        <w:t>01:000, 01:010, 01:020, 01:032, 01:040, 01:041, 01:042, 01:050, 01:051, 01:052, 01:053, 01:054, 01:060, 01:070, 01:080, 01:081, 01:082, 01:083, 01:084, 01:085, 01:086, 01:120, 01:121, 01:130, 01:131, 01:140, 01:141, 01:142, 01:160, 01:170, 01:171, 01:200; 02:012, 02:015, 02:022, 02:033</w:t>
      </w:r>
      <w:r w:rsidRPr="00F562A8">
        <w:rPr>
          <w:rFonts w:ascii="Times New Roman" w:hAnsi="Times New Roman" w:cs="Times New Roman"/>
          <w:sz w:val="26"/>
          <w:szCs w:val="26"/>
        </w:rPr>
        <w:t>.</w:t>
      </w:r>
    </w:p>
    <w:bookmarkEnd w:id="137"/>
    <w:p w14:paraId="3B8C2F76" w14:textId="77777777" w:rsidR="00E62E8C" w:rsidRPr="001E6A8D" w:rsidRDefault="00E62E8C" w:rsidP="00E62E8C">
      <w:pPr>
        <w:spacing w:after="0" w:line="276" w:lineRule="auto"/>
        <w:ind w:firstLine="709"/>
        <w:contextualSpacing/>
        <w:jc w:val="both"/>
        <w:rPr>
          <w:rFonts w:ascii="Times New Roman" w:eastAsia="Calibri" w:hAnsi="Times New Roman" w:cs="Times New Roman"/>
          <w:sz w:val="26"/>
          <w:szCs w:val="26"/>
        </w:rPr>
      </w:pPr>
      <w:r w:rsidRPr="001E6A8D">
        <w:rPr>
          <w:rFonts w:ascii="Times New Roman" w:eastAsia="Calibri" w:hAnsi="Times New Roman" w:cs="Times New Roman"/>
          <w:sz w:val="26"/>
          <w:szCs w:val="26"/>
        </w:rPr>
        <w:t>При применении метода типового (эталонного) объекта недвижимости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 Метод типового (эталонного) объекта недвижимости предполагает следующую последовательность:</w:t>
      </w:r>
    </w:p>
    <w:p w14:paraId="0C05A7D9" w14:textId="77777777" w:rsidR="00E62E8C" w:rsidRPr="001E6A8D" w:rsidRDefault="00E62E8C" w:rsidP="00E62E8C">
      <w:pPr>
        <w:spacing w:after="0" w:line="276" w:lineRule="auto"/>
        <w:ind w:firstLine="709"/>
        <w:contextualSpacing/>
        <w:jc w:val="both"/>
        <w:rPr>
          <w:rFonts w:ascii="Times New Roman" w:eastAsia="Calibri" w:hAnsi="Times New Roman" w:cs="Times New Roman"/>
          <w:sz w:val="26"/>
          <w:szCs w:val="26"/>
        </w:rPr>
      </w:pPr>
      <w:r w:rsidRPr="001E6A8D">
        <w:rPr>
          <w:rFonts w:ascii="Times New Roman" w:eastAsia="Calibri" w:hAnsi="Times New Roman" w:cs="Times New Roman"/>
          <w:sz w:val="26"/>
          <w:szCs w:val="26"/>
        </w:rPr>
        <w:t>1) определяется группа (подгруппа) объектов недвижимости, в которой возможно (целесообразно) типологизировать объекты недвижимости;</w:t>
      </w:r>
    </w:p>
    <w:p w14:paraId="5004EB79" w14:textId="77777777" w:rsidR="00E62E8C" w:rsidRPr="001E6A8D" w:rsidRDefault="00E62E8C" w:rsidP="00E62E8C">
      <w:pPr>
        <w:spacing w:after="0" w:line="276" w:lineRule="auto"/>
        <w:ind w:firstLine="709"/>
        <w:contextualSpacing/>
        <w:jc w:val="both"/>
        <w:rPr>
          <w:rFonts w:ascii="Times New Roman" w:eastAsia="Calibri" w:hAnsi="Times New Roman" w:cs="Times New Roman"/>
          <w:sz w:val="26"/>
          <w:szCs w:val="26"/>
        </w:rPr>
      </w:pPr>
      <w:r w:rsidRPr="001E6A8D">
        <w:rPr>
          <w:rFonts w:ascii="Times New Roman" w:eastAsia="Calibri" w:hAnsi="Times New Roman" w:cs="Times New Roman"/>
          <w:sz w:val="26"/>
          <w:szCs w:val="26"/>
        </w:rPr>
        <w:t>2) 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14:paraId="67CA7146" w14:textId="77777777" w:rsidR="00E62E8C" w:rsidRPr="001E6A8D" w:rsidRDefault="00E62E8C" w:rsidP="00E62E8C">
      <w:pPr>
        <w:spacing w:after="0" w:line="276" w:lineRule="auto"/>
        <w:ind w:firstLine="709"/>
        <w:contextualSpacing/>
        <w:jc w:val="both"/>
        <w:rPr>
          <w:rFonts w:ascii="Times New Roman" w:eastAsia="Calibri" w:hAnsi="Times New Roman" w:cs="Times New Roman"/>
          <w:sz w:val="26"/>
          <w:szCs w:val="26"/>
        </w:rPr>
      </w:pPr>
      <w:r w:rsidRPr="001E6A8D">
        <w:rPr>
          <w:rFonts w:ascii="Times New Roman" w:eastAsia="Calibri" w:hAnsi="Times New Roman" w:cs="Times New Roman"/>
          <w:sz w:val="26"/>
          <w:szCs w:val="26"/>
        </w:rPr>
        <w:t>3) проводится типологизация объектов недвижимости;</w:t>
      </w:r>
    </w:p>
    <w:p w14:paraId="5C686EFB" w14:textId="77777777" w:rsidR="00E62E8C" w:rsidRPr="001E6A8D" w:rsidRDefault="00E62E8C" w:rsidP="00E62E8C">
      <w:pPr>
        <w:spacing w:after="0" w:line="276" w:lineRule="auto"/>
        <w:ind w:firstLine="709"/>
        <w:contextualSpacing/>
        <w:jc w:val="both"/>
        <w:rPr>
          <w:rFonts w:ascii="Times New Roman" w:eastAsia="Calibri" w:hAnsi="Times New Roman" w:cs="Times New Roman"/>
          <w:sz w:val="26"/>
          <w:szCs w:val="26"/>
        </w:rPr>
      </w:pPr>
      <w:r w:rsidRPr="001E6A8D">
        <w:rPr>
          <w:rFonts w:ascii="Times New Roman" w:eastAsia="Calibri" w:hAnsi="Times New Roman" w:cs="Times New Roman"/>
          <w:sz w:val="26"/>
          <w:szCs w:val="26"/>
        </w:rPr>
        <w:t>4) формируется типовой (эталонный) объект недвижимости;</w:t>
      </w:r>
    </w:p>
    <w:p w14:paraId="2D768A3F" w14:textId="77777777" w:rsidR="00E62E8C" w:rsidRPr="001E6A8D" w:rsidRDefault="00E62E8C" w:rsidP="00E62E8C">
      <w:pPr>
        <w:spacing w:after="0" w:line="276" w:lineRule="auto"/>
        <w:ind w:firstLine="709"/>
        <w:contextualSpacing/>
        <w:jc w:val="both"/>
        <w:rPr>
          <w:rFonts w:ascii="Times New Roman" w:eastAsia="Calibri" w:hAnsi="Times New Roman" w:cs="Times New Roman"/>
          <w:sz w:val="26"/>
          <w:szCs w:val="26"/>
        </w:rPr>
      </w:pPr>
      <w:r w:rsidRPr="001E6A8D">
        <w:rPr>
          <w:rFonts w:ascii="Times New Roman" w:eastAsia="Calibri" w:hAnsi="Times New Roman" w:cs="Times New Roman"/>
          <w:sz w:val="26"/>
          <w:szCs w:val="26"/>
        </w:rPr>
        <w:t>5) определяется стоимость типового (эталонного) объекта недвижимости;</w:t>
      </w:r>
    </w:p>
    <w:p w14:paraId="37A25E6A" w14:textId="77777777" w:rsidR="00E62E8C" w:rsidRPr="001E6A8D" w:rsidRDefault="00E62E8C" w:rsidP="00E62E8C">
      <w:pPr>
        <w:spacing w:after="120" w:line="276" w:lineRule="auto"/>
        <w:ind w:firstLine="709"/>
        <w:contextualSpacing/>
        <w:jc w:val="both"/>
        <w:rPr>
          <w:rFonts w:ascii="Times New Roman" w:eastAsia="Calibri" w:hAnsi="Times New Roman" w:cs="Times New Roman"/>
          <w:sz w:val="26"/>
          <w:szCs w:val="26"/>
        </w:rPr>
      </w:pPr>
      <w:r w:rsidRPr="001E6A8D">
        <w:rPr>
          <w:rFonts w:ascii="Times New Roman" w:eastAsia="Calibri" w:hAnsi="Times New Roman" w:cs="Times New Roman"/>
          <w:sz w:val="26"/>
          <w:szCs w:val="26"/>
        </w:rPr>
        <w:t>6) корректируется стоимость объектов недвижимости при распространении на них стоимости типового (эталонного) объекта недвижимости.</w:t>
      </w:r>
    </w:p>
    <w:p w14:paraId="68DE3BCB" w14:textId="77777777" w:rsidR="00E62E8C" w:rsidRPr="005E0D27" w:rsidRDefault="00E62E8C" w:rsidP="00E62E8C">
      <w:pPr>
        <w:spacing w:after="0" w:line="276" w:lineRule="auto"/>
        <w:ind w:firstLine="709"/>
        <w:contextualSpacing/>
        <w:jc w:val="both"/>
        <w:rPr>
          <w:rFonts w:ascii="Times New Roman" w:eastAsia="Calibri" w:hAnsi="Times New Roman" w:cs="Times New Roman"/>
          <w:sz w:val="26"/>
          <w:szCs w:val="26"/>
        </w:rPr>
      </w:pPr>
      <w:r w:rsidRPr="005E0D27">
        <w:rPr>
          <w:rFonts w:ascii="Times New Roman" w:eastAsia="Calibri" w:hAnsi="Times New Roman" w:cs="Times New Roman"/>
          <w:sz w:val="26"/>
          <w:szCs w:val="26"/>
        </w:rPr>
        <w:t xml:space="preserve">Под эталонным земельным участком понимается земельный участок, обладающий в разрезе факторов кластеризации (типологизации) наиболее вероятными характеристиками по отношению к земельным участкам, входящим в группу. При этом под наиболее вероятными характеристиками понимаются средние или наиболее часто встречающиеся характеристики земельного участка. </w:t>
      </w:r>
    </w:p>
    <w:p w14:paraId="30A8D4A8" w14:textId="77777777" w:rsidR="00E62E8C" w:rsidRPr="005E0D27" w:rsidRDefault="00E62E8C" w:rsidP="00E62E8C">
      <w:pPr>
        <w:spacing w:after="0" w:line="276" w:lineRule="auto"/>
        <w:ind w:firstLine="709"/>
        <w:contextualSpacing/>
        <w:jc w:val="both"/>
        <w:rPr>
          <w:rFonts w:ascii="Times New Roman" w:eastAsia="Calibri" w:hAnsi="Times New Roman" w:cs="Times New Roman"/>
          <w:sz w:val="16"/>
          <w:szCs w:val="16"/>
        </w:rPr>
      </w:pPr>
    </w:p>
    <w:p w14:paraId="57F2F8D0" w14:textId="74B87B75" w:rsidR="00E62E8C" w:rsidRPr="005E0D27" w:rsidRDefault="00E62E8C" w:rsidP="00E62E8C">
      <w:pPr>
        <w:autoSpaceDE w:val="0"/>
        <w:autoSpaceDN w:val="0"/>
        <w:adjustRightInd w:val="0"/>
        <w:spacing w:after="0" w:line="276" w:lineRule="auto"/>
        <w:ind w:firstLine="709"/>
        <w:contextualSpacing/>
        <w:jc w:val="center"/>
        <w:rPr>
          <w:rFonts w:ascii="Times New Roman" w:eastAsia="Calibri" w:hAnsi="Times New Roman" w:cs="Times New Roman"/>
          <w:i/>
          <w:sz w:val="26"/>
          <w:szCs w:val="26"/>
        </w:rPr>
      </w:pPr>
      <w:r w:rsidRPr="005E0D27">
        <w:rPr>
          <w:rFonts w:ascii="Times New Roman" w:eastAsia="Calibri" w:hAnsi="Times New Roman" w:cs="Times New Roman"/>
          <w:i/>
          <w:sz w:val="26"/>
          <w:szCs w:val="26"/>
        </w:rPr>
        <w:t>Расчет рыночной стоимости типовых (эталонных) земельных участков</w:t>
      </w:r>
    </w:p>
    <w:p w14:paraId="1F401DDA" w14:textId="77777777" w:rsidR="00E62E8C" w:rsidRPr="005E0D27" w:rsidRDefault="00E62E8C" w:rsidP="00E62E8C">
      <w:pPr>
        <w:autoSpaceDE w:val="0"/>
        <w:autoSpaceDN w:val="0"/>
        <w:adjustRightInd w:val="0"/>
        <w:spacing w:after="0" w:line="276" w:lineRule="auto"/>
        <w:ind w:firstLine="709"/>
        <w:contextualSpacing/>
        <w:jc w:val="center"/>
        <w:rPr>
          <w:rFonts w:ascii="Times New Roman" w:eastAsia="Calibri" w:hAnsi="Times New Roman" w:cs="Times New Roman"/>
          <w:i/>
          <w:sz w:val="16"/>
          <w:szCs w:val="16"/>
        </w:rPr>
      </w:pPr>
    </w:p>
    <w:p w14:paraId="79C60950" w14:textId="77777777" w:rsidR="00E62E8C" w:rsidRPr="005E0D27" w:rsidRDefault="00E62E8C" w:rsidP="00E62E8C">
      <w:pPr>
        <w:spacing w:after="0" w:line="276" w:lineRule="auto"/>
        <w:ind w:firstLine="709"/>
        <w:contextualSpacing/>
        <w:jc w:val="both"/>
        <w:rPr>
          <w:rFonts w:ascii="Times New Roman" w:eastAsia="Calibri" w:hAnsi="Times New Roman" w:cs="Times New Roman"/>
          <w:sz w:val="26"/>
          <w:szCs w:val="26"/>
        </w:rPr>
      </w:pPr>
      <w:r w:rsidRPr="005E0D27">
        <w:rPr>
          <w:rFonts w:ascii="Times New Roman" w:eastAsia="Calibri" w:hAnsi="Times New Roman" w:cs="Times New Roman"/>
          <w:sz w:val="26"/>
          <w:szCs w:val="26"/>
        </w:rPr>
        <w:t>При расчете кадастровой стоимости типовых (эталонных) земельных участков может быть использована методология любого их трех подходов к оценке:</w:t>
      </w:r>
    </w:p>
    <w:p w14:paraId="3D602917" w14:textId="77777777" w:rsidR="00E62E8C" w:rsidRPr="005E0D27" w:rsidRDefault="00E62E8C" w:rsidP="00C1026B">
      <w:pPr>
        <w:numPr>
          <w:ilvl w:val="0"/>
          <w:numId w:val="12"/>
        </w:numPr>
        <w:tabs>
          <w:tab w:val="num" w:pos="360"/>
          <w:tab w:val="num" w:pos="720"/>
        </w:tabs>
        <w:autoSpaceDE w:val="0"/>
        <w:autoSpaceDN w:val="0"/>
        <w:adjustRightInd w:val="0"/>
        <w:spacing w:after="0" w:line="276" w:lineRule="auto"/>
        <w:ind w:left="360" w:firstLine="709"/>
        <w:contextualSpacing/>
        <w:jc w:val="both"/>
        <w:rPr>
          <w:rFonts w:ascii="Times New Roman" w:hAnsi="Times New Roman" w:cs="Times New Roman"/>
          <w:i/>
          <w:sz w:val="26"/>
          <w:szCs w:val="26"/>
        </w:rPr>
      </w:pPr>
      <w:r w:rsidRPr="005E0D27">
        <w:rPr>
          <w:rFonts w:ascii="Times New Roman" w:hAnsi="Times New Roman" w:cs="Times New Roman"/>
          <w:i/>
          <w:sz w:val="26"/>
          <w:szCs w:val="26"/>
        </w:rPr>
        <w:t>сравнительный подход;</w:t>
      </w:r>
    </w:p>
    <w:p w14:paraId="2D1527E8" w14:textId="77777777" w:rsidR="00E62E8C" w:rsidRPr="005E0D27" w:rsidRDefault="00E62E8C" w:rsidP="00C1026B">
      <w:pPr>
        <w:numPr>
          <w:ilvl w:val="0"/>
          <w:numId w:val="12"/>
        </w:numPr>
        <w:tabs>
          <w:tab w:val="num" w:pos="360"/>
          <w:tab w:val="num" w:pos="720"/>
        </w:tabs>
        <w:autoSpaceDE w:val="0"/>
        <w:autoSpaceDN w:val="0"/>
        <w:adjustRightInd w:val="0"/>
        <w:spacing w:after="0" w:line="276" w:lineRule="auto"/>
        <w:ind w:left="360" w:firstLine="709"/>
        <w:contextualSpacing/>
        <w:jc w:val="both"/>
        <w:rPr>
          <w:rFonts w:ascii="Times New Roman" w:hAnsi="Times New Roman" w:cs="Times New Roman"/>
          <w:i/>
          <w:sz w:val="26"/>
          <w:szCs w:val="26"/>
        </w:rPr>
      </w:pPr>
      <w:r w:rsidRPr="005E0D27">
        <w:rPr>
          <w:rFonts w:ascii="Times New Roman" w:hAnsi="Times New Roman" w:cs="Times New Roman"/>
          <w:i/>
          <w:sz w:val="26"/>
          <w:szCs w:val="26"/>
        </w:rPr>
        <w:t>доходный подход;</w:t>
      </w:r>
    </w:p>
    <w:p w14:paraId="1FA8ACE0" w14:textId="77777777" w:rsidR="00E62E8C" w:rsidRPr="005E0D27" w:rsidRDefault="00E62E8C" w:rsidP="00C1026B">
      <w:pPr>
        <w:numPr>
          <w:ilvl w:val="0"/>
          <w:numId w:val="12"/>
        </w:numPr>
        <w:tabs>
          <w:tab w:val="num" w:pos="360"/>
          <w:tab w:val="num" w:pos="720"/>
        </w:tabs>
        <w:autoSpaceDE w:val="0"/>
        <w:autoSpaceDN w:val="0"/>
        <w:adjustRightInd w:val="0"/>
        <w:spacing w:after="0" w:line="276" w:lineRule="auto"/>
        <w:ind w:left="360" w:firstLine="709"/>
        <w:contextualSpacing/>
        <w:jc w:val="both"/>
        <w:rPr>
          <w:rFonts w:ascii="Times New Roman" w:hAnsi="Times New Roman" w:cs="Times New Roman"/>
          <w:i/>
          <w:sz w:val="26"/>
          <w:szCs w:val="26"/>
        </w:rPr>
      </w:pPr>
      <w:r w:rsidRPr="005E0D27">
        <w:rPr>
          <w:rFonts w:ascii="Times New Roman" w:hAnsi="Times New Roman" w:cs="Times New Roman"/>
          <w:i/>
          <w:sz w:val="26"/>
          <w:szCs w:val="26"/>
        </w:rPr>
        <w:t>затратный подход</w:t>
      </w:r>
    </w:p>
    <w:p w14:paraId="24FCCCB1" w14:textId="77777777" w:rsidR="00E62E8C" w:rsidRPr="005E0D27" w:rsidRDefault="00E62E8C" w:rsidP="00E62E8C">
      <w:pPr>
        <w:spacing w:after="0" w:line="276" w:lineRule="auto"/>
        <w:ind w:firstLine="709"/>
        <w:contextualSpacing/>
        <w:jc w:val="both"/>
        <w:rPr>
          <w:rFonts w:ascii="Times New Roman" w:eastAsia="Calibri" w:hAnsi="Times New Roman" w:cs="Times New Roman"/>
          <w:sz w:val="26"/>
          <w:szCs w:val="26"/>
        </w:rPr>
      </w:pPr>
      <w:r w:rsidRPr="005E0D27">
        <w:rPr>
          <w:rFonts w:ascii="Times New Roman" w:eastAsia="Calibri" w:hAnsi="Times New Roman" w:cs="Times New Roman"/>
          <w:sz w:val="26"/>
          <w:szCs w:val="26"/>
        </w:rPr>
        <w:t>Подход к оценке предоставляет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14:paraId="11456870" w14:textId="77777777" w:rsidR="00E62E8C" w:rsidRPr="005E0D27" w:rsidRDefault="00E62E8C" w:rsidP="00E62E8C">
      <w:pPr>
        <w:spacing w:after="0" w:line="276" w:lineRule="auto"/>
        <w:ind w:firstLine="709"/>
        <w:contextualSpacing/>
        <w:jc w:val="both"/>
        <w:rPr>
          <w:rFonts w:ascii="Times New Roman" w:eastAsia="Calibri" w:hAnsi="Times New Roman" w:cs="Times New Roman"/>
          <w:sz w:val="26"/>
          <w:szCs w:val="26"/>
        </w:rPr>
      </w:pPr>
      <w:r w:rsidRPr="005E0D27">
        <w:rPr>
          <w:rFonts w:ascii="Times New Roman" w:eastAsia="Calibri" w:hAnsi="Times New Roman" w:cs="Times New Roman"/>
          <w:sz w:val="26"/>
          <w:szCs w:val="26"/>
        </w:rPr>
        <w:t>Ниже в таблице приведено обоснование применения/отказа методов оценки в рамках различных подходов к оценке.</w:t>
      </w:r>
    </w:p>
    <w:p w14:paraId="3A8ECFE5" w14:textId="730490C9" w:rsidR="00E62E8C" w:rsidRPr="005E0D27" w:rsidRDefault="00E62E8C" w:rsidP="00E62E8C">
      <w:pPr>
        <w:autoSpaceDE w:val="0"/>
        <w:autoSpaceDN w:val="0"/>
        <w:adjustRightInd w:val="0"/>
        <w:spacing w:after="0" w:line="276" w:lineRule="auto"/>
        <w:ind w:firstLine="709"/>
        <w:jc w:val="right"/>
        <w:rPr>
          <w:rFonts w:ascii="Times New Roman" w:hAnsi="Times New Roman" w:cs="Times New Roman"/>
          <w:sz w:val="26"/>
          <w:szCs w:val="26"/>
        </w:rPr>
      </w:pPr>
      <w:r w:rsidRPr="005E0D27">
        <w:rPr>
          <w:rFonts w:ascii="Times New Roman" w:eastAsia="Calibri" w:hAnsi="Times New Roman" w:cs="Times New Roman"/>
          <w:sz w:val="26"/>
          <w:szCs w:val="26"/>
        </w:rPr>
        <w:t xml:space="preserve">Таблица </w:t>
      </w:r>
      <w:r w:rsidRPr="005E0D27">
        <w:rPr>
          <w:rFonts w:ascii="Times New Roman" w:hAnsi="Times New Roman" w:cs="Times New Roman"/>
          <w:sz w:val="26"/>
          <w:szCs w:val="26"/>
        </w:rPr>
        <w:t>3.6.</w:t>
      </w:r>
      <w:r w:rsidR="00DF12F7">
        <w:rPr>
          <w:rFonts w:ascii="Times New Roman" w:hAnsi="Times New Roman" w:cs="Times New Roman"/>
          <w:sz w:val="26"/>
          <w:szCs w:val="26"/>
        </w:rPr>
        <w:t>1</w:t>
      </w:r>
      <w:r w:rsidRPr="005E0D27">
        <w:rPr>
          <w:rFonts w:ascii="Times New Roman" w:hAnsi="Times New Roman" w:cs="Times New Roman"/>
          <w:sz w:val="26"/>
          <w:szCs w:val="26"/>
        </w:rPr>
        <w:t>.</w:t>
      </w:r>
      <w:r w:rsidR="00DF12F7">
        <w:rPr>
          <w:rFonts w:ascii="Times New Roman" w:hAnsi="Times New Roman" w:cs="Times New Roman"/>
          <w:sz w:val="26"/>
          <w:szCs w:val="26"/>
        </w:rPr>
        <w:t>1</w:t>
      </w:r>
      <w:r w:rsidR="00637AE9">
        <w:rPr>
          <w:rFonts w:ascii="Times New Roman" w:hAnsi="Times New Roman" w:cs="Times New Roman"/>
          <w:sz w:val="26"/>
          <w:szCs w:val="26"/>
        </w:rPr>
        <w:t>.</w:t>
      </w:r>
    </w:p>
    <w:p w14:paraId="13CA62FB" w14:textId="77777777" w:rsidR="00E62E8C" w:rsidRPr="005E0D27" w:rsidRDefault="00E62E8C" w:rsidP="00E62E8C">
      <w:pPr>
        <w:autoSpaceDE w:val="0"/>
        <w:autoSpaceDN w:val="0"/>
        <w:adjustRightInd w:val="0"/>
        <w:spacing w:after="0" w:line="276" w:lineRule="auto"/>
        <w:ind w:firstLine="709"/>
        <w:jc w:val="center"/>
        <w:rPr>
          <w:rFonts w:ascii="Times New Roman" w:eastAsia="Calibri" w:hAnsi="Times New Roman" w:cs="Times New Roman"/>
          <w:sz w:val="26"/>
          <w:szCs w:val="26"/>
        </w:rPr>
      </w:pPr>
      <w:r w:rsidRPr="005E0D27">
        <w:rPr>
          <w:rFonts w:ascii="Times New Roman" w:eastAsia="Calibri" w:hAnsi="Times New Roman" w:cs="Times New Roman"/>
          <w:sz w:val="26"/>
          <w:szCs w:val="26"/>
        </w:rPr>
        <w:t>Выбор подходов и методов оценки типового (эталонного) земельного участка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910"/>
        <w:gridCol w:w="5633"/>
      </w:tblGrid>
      <w:tr w:rsidR="00E62E8C" w:rsidRPr="005E0D27" w14:paraId="6ED7D195" w14:textId="77777777" w:rsidTr="006131C6">
        <w:trPr>
          <w:trHeight w:val="20"/>
          <w:tblHeader/>
        </w:trPr>
        <w:tc>
          <w:tcPr>
            <w:tcW w:w="964" w:type="pct"/>
            <w:shd w:val="clear" w:color="auto" w:fill="auto"/>
            <w:vAlign w:val="center"/>
          </w:tcPr>
          <w:p w14:paraId="5643E20B" w14:textId="77777777" w:rsidR="00E62E8C" w:rsidRPr="005E0D27" w:rsidRDefault="00E62E8C" w:rsidP="006131C6">
            <w:pPr>
              <w:snapToGrid w:val="0"/>
              <w:spacing w:line="276" w:lineRule="auto"/>
              <w:rPr>
                <w:rFonts w:ascii="Times New Roman" w:eastAsia="Calibri" w:hAnsi="Times New Roman" w:cs="Times New Roman"/>
                <w:b/>
              </w:rPr>
            </w:pPr>
            <w:r w:rsidRPr="005E0D27">
              <w:rPr>
                <w:rFonts w:ascii="Times New Roman" w:eastAsia="Calibri" w:hAnsi="Times New Roman" w:cs="Times New Roman"/>
                <w:b/>
              </w:rPr>
              <w:t>Подход к оценке</w:t>
            </w:r>
          </w:p>
        </w:tc>
        <w:tc>
          <w:tcPr>
            <w:tcW w:w="1022" w:type="pct"/>
            <w:shd w:val="clear" w:color="auto" w:fill="auto"/>
            <w:vAlign w:val="center"/>
          </w:tcPr>
          <w:p w14:paraId="054395F1" w14:textId="77777777" w:rsidR="00E62E8C" w:rsidRPr="005E0D27" w:rsidRDefault="00E62E8C" w:rsidP="006131C6">
            <w:pPr>
              <w:snapToGrid w:val="0"/>
              <w:spacing w:line="276" w:lineRule="auto"/>
              <w:jc w:val="both"/>
              <w:rPr>
                <w:rFonts w:ascii="Times New Roman" w:eastAsia="Calibri" w:hAnsi="Times New Roman" w:cs="Times New Roman"/>
                <w:b/>
              </w:rPr>
            </w:pPr>
            <w:r w:rsidRPr="005E0D27">
              <w:rPr>
                <w:rFonts w:ascii="Times New Roman" w:eastAsia="Calibri" w:hAnsi="Times New Roman" w:cs="Times New Roman"/>
                <w:b/>
              </w:rPr>
              <w:t>Метод оценки в рамках подхода к оценке</w:t>
            </w:r>
          </w:p>
        </w:tc>
        <w:tc>
          <w:tcPr>
            <w:tcW w:w="3014" w:type="pct"/>
            <w:shd w:val="clear" w:color="auto" w:fill="auto"/>
            <w:vAlign w:val="center"/>
          </w:tcPr>
          <w:p w14:paraId="0CDBFF24" w14:textId="77777777" w:rsidR="00E62E8C" w:rsidRPr="005E0D27" w:rsidRDefault="00E62E8C" w:rsidP="006131C6">
            <w:pPr>
              <w:snapToGrid w:val="0"/>
              <w:spacing w:line="276" w:lineRule="auto"/>
              <w:jc w:val="both"/>
              <w:rPr>
                <w:rFonts w:ascii="Times New Roman" w:eastAsia="Calibri" w:hAnsi="Times New Roman" w:cs="Times New Roman"/>
                <w:b/>
              </w:rPr>
            </w:pPr>
            <w:r w:rsidRPr="005E0D27">
              <w:rPr>
                <w:rFonts w:ascii="Times New Roman" w:eastAsia="Calibri" w:hAnsi="Times New Roman" w:cs="Times New Roman"/>
                <w:b/>
              </w:rPr>
              <w:t>Обоснование отказа от использования подхода к оценке / Обоснование выбора примененных методов оценки в рамках подходов</w:t>
            </w:r>
          </w:p>
        </w:tc>
      </w:tr>
      <w:tr w:rsidR="00E62E8C" w:rsidRPr="005E0D27" w14:paraId="1061E644" w14:textId="77777777" w:rsidTr="006131C6">
        <w:trPr>
          <w:trHeight w:val="20"/>
        </w:trPr>
        <w:tc>
          <w:tcPr>
            <w:tcW w:w="964" w:type="pct"/>
            <w:vMerge w:val="restart"/>
            <w:shd w:val="clear" w:color="auto" w:fill="auto"/>
            <w:vAlign w:val="center"/>
          </w:tcPr>
          <w:p w14:paraId="6890223C"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Доходный подход</w:t>
            </w:r>
          </w:p>
        </w:tc>
        <w:tc>
          <w:tcPr>
            <w:tcW w:w="1022" w:type="pct"/>
            <w:shd w:val="clear" w:color="auto" w:fill="auto"/>
            <w:vAlign w:val="center"/>
          </w:tcPr>
          <w:p w14:paraId="7C7E4138"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метод капитализации дохода</w:t>
            </w:r>
          </w:p>
        </w:tc>
        <w:tc>
          <w:tcPr>
            <w:tcW w:w="3014" w:type="pct"/>
            <w:shd w:val="clear" w:color="auto" w:fill="auto"/>
            <w:vAlign w:val="center"/>
          </w:tcPr>
          <w:p w14:paraId="1298F0FD"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Отсутствие свободной информации о рынке аренды земельных участков, поскольку в большинстве случаев арендодателем выступает государство, не позволило в полной мере использовать метод капитализации дохода.</w:t>
            </w:r>
          </w:p>
        </w:tc>
      </w:tr>
      <w:tr w:rsidR="00E62E8C" w:rsidRPr="005E0D27" w14:paraId="18472008" w14:textId="77777777" w:rsidTr="006131C6">
        <w:trPr>
          <w:trHeight w:val="20"/>
        </w:trPr>
        <w:tc>
          <w:tcPr>
            <w:tcW w:w="964" w:type="pct"/>
            <w:vMerge/>
            <w:shd w:val="clear" w:color="auto" w:fill="auto"/>
            <w:vAlign w:val="center"/>
          </w:tcPr>
          <w:p w14:paraId="16CB75B4" w14:textId="77777777" w:rsidR="00E62E8C" w:rsidRPr="005E0D27" w:rsidRDefault="00E62E8C" w:rsidP="006131C6">
            <w:pPr>
              <w:snapToGrid w:val="0"/>
              <w:spacing w:line="276" w:lineRule="auto"/>
              <w:jc w:val="both"/>
              <w:rPr>
                <w:rFonts w:ascii="Times New Roman" w:eastAsia="Calibri" w:hAnsi="Times New Roman" w:cs="Times New Roman"/>
              </w:rPr>
            </w:pPr>
          </w:p>
        </w:tc>
        <w:tc>
          <w:tcPr>
            <w:tcW w:w="1022" w:type="pct"/>
            <w:shd w:val="clear" w:color="auto" w:fill="auto"/>
            <w:vAlign w:val="center"/>
          </w:tcPr>
          <w:p w14:paraId="166F3A4F"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метод остатка</w:t>
            </w:r>
          </w:p>
        </w:tc>
        <w:tc>
          <w:tcPr>
            <w:tcW w:w="3014" w:type="pct"/>
            <w:shd w:val="clear" w:color="auto" w:fill="auto"/>
            <w:vAlign w:val="center"/>
          </w:tcPr>
          <w:p w14:paraId="441C99DA"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Исполнитель принял решение не использовать данный метод, поскольку не располагает необходимой информацией для проведения достоверного расчета.</w:t>
            </w:r>
          </w:p>
        </w:tc>
      </w:tr>
      <w:tr w:rsidR="00E62E8C" w:rsidRPr="005E0D27" w14:paraId="3DC05C83" w14:textId="77777777" w:rsidTr="006131C6">
        <w:trPr>
          <w:trHeight w:val="20"/>
        </w:trPr>
        <w:tc>
          <w:tcPr>
            <w:tcW w:w="964" w:type="pct"/>
            <w:vMerge/>
            <w:shd w:val="clear" w:color="auto" w:fill="auto"/>
            <w:vAlign w:val="center"/>
          </w:tcPr>
          <w:p w14:paraId="7BA49298" w14:textId="77777777" w:rsidR="00E62E8C" w:rsidRPr="005E0D27" w:rsidRDefault="00E62E8C" w:rsidP="006131C6">
            <w:pPr>
              <w:snapToGrid w:val="0"/>
              <w:spacing w:line="276" w:lineRule="auto"/>
              <w:jc w:val="both"/>
              <w:rPr>
                <w:rFonts w:ascii="Times New Roman" w:eastAsia="Calibri" w:hAnsi="Times New Roman" w:cs="Times New Roman"/>
              </w:rPr>
            </w:pPr>
          </w:p>
        </w:tc>
        <w:tc>
          <w:tcPr>
            <w:tcW w:w="1022" w:type="pct"/>
            <w:shd w:val="clear" w:color="auto" w:fill="auto"/>
            <w:vAlign w:val="center"/>
          </w:tcPr>
          <w:p w14:paraId="7398BA31"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метод предполагаемого использования</w:t>
            </w:r>
          </w:p>
        </w:tc>
        <w:tc>
          <w:tcPr>
            <w:tcW w:w="3014" w:type="pct"/>
            <w:shd w:val="clear" w:color="auto" w:fill="auto"/>
            <w:vAlign w:val="center"/>
          </w:tcPr>
          <w:p w14:paraId="452BD612"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 xml:space="preserve">В рамках данной работы применение данного метода связано с большим количеством ограничений и допущений в оценке, что в свою очередь может привести к получению некорректного результата. Исполнитель принял решение отказаться от использования метода, поскольку отсутствуют сведения о каком-либо дальнейшем использовании объектов оценки. </w:t>
            </w:r>
          </w:p>
        </w:tc>
      </w:tr>
      <w:tr w:rsidR="00E62E8C" w:rsidRPr="005E0D27" w14:paraId="40E9A630" w14:textId="77777777" w:rsidTr="006131C6">
        <w:trPr>
          <w:trHeight w:val="20"/>
        </w:trPr>
        <w:tc>
          <w:tcPr>
            <w:tcW w:w="964" w:type="pct"/>
            <w:vMerge w:val="restart"/>
            <w:shd w:val="clear" w:color="auto" w:fill="auto"/>
            <w:vAlign w:val="center"/>
          </w:tcPr>
          <w:p w14:paraId="17A9DD9E"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Сравнительный подход</w:t>
            </w:r>
          </w:p>
        </w:tc>
        <w:tc>
          <w:tcPr>
            <w:tcW w:w="1022" w:type="pct"/>
            <w:shd w:val="clear" w:color="auto" w:fill="auto"/>
            <w:vAlign w:val="center"/>
          </w:tcPr>
          <w:p w14:paraId="6AA7A992"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метод сравнения продаж</w:t>
            </w:r>
          </w:p>
        </w:tc>
        <w:tc>
          <w:tcPr>
            <w:tcW w:w="3014" w:type="pct"/>
            <w:shd w:val="clear" w:color="auto" w:fill="auto"/>
            <w:vAlign w:val="center"/>
          </w:tcPr>
          <w:p w14:paraId="3D214891"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Учитывая достаточный уровень развитости рынка земельных участков, аналогичных типовому (эталонному) земельному участку, в рамках настоящей работы применялся метод сравнения продаж.</w:t>
            </w:r>
          </w:p>
        </w:tc>
      </w:tr>
      <w:tr w:rsidR="00E62E8C" w:rsidRPr="005E0D27" w14:paraId="25459E81" w14:textId="77777777" w:rsidTr="006131C6">
        <w:trPr>
          <w:trHeight w:val="20"/>
        </w:trPr>
        <w:tc>
          <w:tcPr>
            <w:tcW w:w="964" w:type="pct"/>
            <w:vMerge/>
            <w:shd w:val="clear" w:color="auto" w:fill="auto"/>
            <w:vAlign w:val="center"/>
          </w:tcPr>
          <w:p w14:paraId="5E994C2A" w14:textId="77777777" w:rsidR="00E62E8C" w:rsidRPr="005E0D27" w:rsidRDefault="00E62E8C" w:rsidP="006131C6">
            <w:pPr>
              <w:snapToGrid w:val="0"/>
              <w:spacing w:line="276" w:lineRule="auto"/>
              <w:jc w:val="both"/>
              <w:rPr>
                <w:rFonts w:ascii="Times New Roman" w:eastAsia="Calibri" w:hAnsi="Times New Roman" w:cs="Times New Roman"/>
              </w:rPr>
            </w:pPr>
          </w:p>
        </w:tc>
        <w:tc>
          <w:tcPr>
            <w:tcW w:w="1022" w:type="pct"/>
            <w:shd w:val="clear" w:color="auto" w:fill="auto"/>
            <w:vAlign w:val="center"/>
          </w:tcPr>
          <w:p w14:paraId="3A0BC119"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метод выделения</w:t>
            </w:r>
          </w:p>
        </w:tc>
        <w:tc>
          <w:tcPr>
            <w:tcW w:w="3014" w:type="pct"/>
            <w:shd w:val="clear" w:color="auto" w:fill="auto"/>
            <w:vAlign w:val="center"/>
          </w:tcPr>
          <w:p w14:paraId="6FFBADC0"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Этот метод представляет собой косвенный метод определения стоимости объекта оценки, и при наличии рынка свободных земельных участков (позволяющий применить прямой метод – метод сравнения продаж) данный метод может дать некорректный результат, поэтому Исполнитель принял решение не применять данный метод в рамках настоящей работы.</w:t>
            </w:r>
          </w:p>
        </w:tc>
      </w:tr>
      <w:tr w:rsidR="00E62E8C" w:rsidRPr="005E0D27" w14:paraId="252683E4" w14:textId="77777777" w:rsidTr="006131C6">
        <w:trPr>
          <w:trHeight w:val="2150"/>
        </w:trPr>
        <w:tc>
          <w:tcPr>
            <w:tcW w:w="964" w:type="pct"/>
            <w:vMerge/>
            <w:shd w:val="clear" w:color="auto" w:fill="auto"/>
            <w:vAlign w:val="center"/>
          </w:tcPr>
          <w:p w14:paraId="7ADE8929" w14:textId="77777777" w:rsidR="00E62E8C" w:rsidRPr="005E0D27" w:rsidRDefault="00E62E8C" w:rsidP="006131C6">
            <w:pPr>
              <w:snapToGrid w:val="0"/>
              <w:spacing w:line="276" w:lineRule="auto"/>
              <w:jc w:val="both"/>
              <w:rPr>
                <w:rFonts w:ascii="Times New Roman" w:eastAsia="Calibri" w:hAnsi="Times New Roman" w:cs="Times New Roman"/>
              </w:rPr>
            </w:pPr>
          </w:p>
        </w:tc>
        <w:tc>
          <w:tcPr>
            <w:tcW w:w="1022" w:type="pct"/>
            <w:shd w:val="clear" w:color="auto" w:fill="auto"/>
            <w:vAlign w:val="center"/>
          </w:tcPr>
          <w:p w14:paraId="4640E2FB"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метод распределения</w:t>
            </w:r>
          </w:p>
        </w:tc>
        <w:tc>
          <w:tcPr>
            <w:tcW w:w="3014" w:type="pct"/>
            <w:shd w:val="clear" w:color="auto" w:fill="auto"/>
            <w:vAlign w:val="center"/>
          </w:tcPr>
          <w:p w14:paraId="42507F0A"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Этот метод представляет собой косвенный метод определения стоимости объекта оценки, и при наличии рынка свободных земельных участков (позволяющий применить прямой метод – метод сравнения продаж) данный метод может дать некорректный результат, поэтому Исполнитель принял решение не применять данный метод в рамках настоящей работы.</w:t>
            </w:r>
          </w:p>
        </w:tc>
      </w:tr>
      <w:tr w:rsidR="00E62E8C" w:rsidRPr="005E0D27" w14:paraId="24A7E604" w14:textId="77777777" w:rsidTr="006131C6">
        <w:trPr>
          <w:trHeight w:val="20"/>
        </w:trPr>
        <w:tc>
          <w:tcPr>
            <w:tcW w:w="964" w:type="pct"/>
            <w:shd w:val="clear" w:color="auto" w:fill="auto"/>
            <w:vAlign w:val="center"/>
          </w:tcPr>
          <w:p w14:paraId="519E92D3"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Затратный подход</w:t>
            </w:r>
          </w:p>
        </w:tc>
        <w:tc>
          <w:tcPr>
            <w:tcW w:w="1022" w:type="pct"/>
            <w:shd w:val="clear" w:color="auto" w:fill="auto"/>
            <w:vAlign w:val="center"/>
          </w:tcPr>
          <w:p w14:paraId="4B73900E"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w:t>
            </w:r>
          </w:p>
        </w:tc>
        <w:tc>
          <w:tcPr>
            <w:tcW w:w="3014" w:type="pct"/>
            <w:shd w:val="clear" w:color="auto" w:fill="auto"/>
            <w:vAlign w:val="center"/>
          </w:tcPr>
          <w:p w14:paraId="2B6A360A" w14:textId="77777777" w:rsidR="00E62E8C" w:rsidRPr="005E0D27" w:rsidRDefault="00E62E8C" w:rsidP="006131C6">
            <w:pPr>
              <w:snapToGrid w:val="0"/>
              <w:spacing w:line="276" w:lineRule="auto"/>
              <w:jc w:val="both"/>
              <w:rPr>
                <w:rFonts w:ascii="Times New Roman" w:eastAsia="Calibri" w:hAnsi="Times New Roman" w:cs="Times New Roman"/>
              </w:rPr>
            </w:pPr>
            <w:r w:rsidRPr="005E0D27">
              <w:rPr>
                <w:rFonts w:ascii="Times New Roman" w:eastAsia="Calibri" w:hAnsi="Times New Roman" w:cs="Times New Roman"/>
              </w:rPr>
              <w:t>Затратный подход, в основном, не применяется при оценке стоимости земельных участков, его применение обосновано в том случае, когда невозможно определить стоимость земельных участков иными подходами (см. п. 7.1.2 Указаний). Учитывая наличие рыночной информации о предложениях/сделках к продаже земельных участков (позволяющих применить прямой метод – метод сравнения продаж), было принято решение отказаться от использования затратного подхода при расчете стоимости земельных участков данной группы.</w:t>
            </w:r>
          </w:p>
        </w:tc>
      </w:tr>
    </w:tbl>
    <w:p w14:paraId="582FECC3" w14:textId="77777777" w:rsidR="00E62E8C" w:rsidRPr="005E0D27" w:rsidRDefault="00E62E8C" w:rsidP="00E62E8C">
      <w:pPr>
        <w:autoSpaceDE w:val="0"/>
        <w:autoSpaceDN w:val="0"/>
        <w:adjustRightInd w:val="0"/>
        <w:spacing w:before="240" w:after="0" w:line="276" w:lineRule="auto"/>
        <w:ind w:firstLine="709"/>
        <w:contextualSpacing/>
        <w:jc w:val="both"/>
        <w:rPr>
          <w:rFonts w:ascii="Times New Roman" w:eastAsia="Calibri" w:hAnsi="Times New Roman" w:cs="Times New Roman"/>
          <w:sz w:val="26"/>
          <w:szCs w:val="26"/>
        </w:rPr>
      </w:pPr>
    </w:p>
    <w:p w14:paraId="419ACF5A" w14:textId="0588DA57" w:rsidR="00E62E8C" w:rsidRPr="005E0D27" w:rsidRDefault="00E62E8C" w:rsidP="00E62E8C">
      <w:pPr>
        <w:spacing w:after="120" w:line="276" w:lineRule="auto"/>
        <w:ind w:firstLine="709"/>
        <w:contextualSpacing/>
        <w:jc w:val="both"/>
        <w:rPr>
          <w:rFonts w:ascii="Times New Roman" w:eastAsia="Calibri" w:hAnsi="Times New Roman" w:cs="Times New Roman"/>
          <w:sz w:val="26"/>
          <w:szCs w:val="26"/>
        </w:rPr>
      </w:pPr>
      <w:r w:rsidRPr="005E0D27">
        <w:rPr>
          <w:rFonts w:ascii="Times New Roman" w:eastAsia="Calibri" w:hAnsi="Times New Roman" w:cs="Times New Roman"/>
          <w:sz w:val="26"/>
          <w:szCs w:val="26"/>
        </w:rPr>
        <w:t>Поскольку Исполнитель располагает достаточным объемом рыночной информации о ценах предложений/сделок к продаже объектов, схожих с оцениваемым типовым (эталонным) объектов, было принято решение</w:t>
      </w:r>
      <w:r w:rsidR="00AB0AA8">
        <w:rPr>
          <w:rFonts w:ascii="Times New Roman" w:eastAsia="Calibri" w:hAnsi="Times New Roman" w:cs="Times New Roman"/>
          <w:sz w:val="26"/>
          <w:szCs w:val="26"/>
        </w:rPr>
        <w:t>, что</w:t>
      </w:r>
      <w:r w:rsidRPr="005E0D27">
        <w:rPr>
          <w:rFonts w:ascii="Times New Roman" w:eastAsia="Calibri" w:hAnsi="Times New Roman" w:cs="Times New Roman"/>
          <w:sz w:val="26"/>
          <w:szCs w:val="26"/>
        </w:rPr>
        <w:t xml:space="preserve"> стоимость типового объекта </w:t>
      </w:r>
      <w:r w:rsidR="00AB0AA8">
        <w:rPr>
          <w:rFonts w:ascii="Times New Roman" w:eastAsia="Calibri" w:hAnsi="Times New Roman" w:cs="Times New Roman"/>
          <w:sz w:val="26"/>
          <w:szCs w:val="26"/>
        </w:rPr>
        <w:t xml:space="preserve">необходимо </w:t>
      </w:r>
      <w:r w:rsidRPr="005E0D27">
        <w:rPr>
          <w:rFonts w:ascii="Times New Roman" w:eastAsia="Calibri" w:hAnsi="Times New Roman" w:cs="Times New Roman"/>
          <w:sz w:val="26"/>
          <w:szCs w:val="26"/>
        </w:rPr>
        <w:t>определять в рамках сравнительного подхода методом сравнения продаж.</w:t>
      </w:r>
    </w:p>
    <w:p w14:paraId="6B1199B7" w14:textId="08482737" w:rsidR="00E62E8C" w:rsidRPr="005E0D27" w:rsidRDefault="00E62E8C" w:rsidP="00E62E8C">
      <w:pPr>
        <w:spacing w:after="120" w:line="276" w:lineRule="auto"/>
        <w:ind w:firstLine="709"/>
        <w:contextualSpacing/>
        <w:jc w:val="both"/>
        <w:rPr>
          <w:rFonts w:ascii="Times New Roman" w:eastAsia="Calibri" w:hAnsi="Times New Roman" w:cs="Times New Roman"/>
          <w:sz w:val="26"/>
          <w:szCs w:val="26"/>
        </w:rPr>
      </w:pPr>
      <w:r w:rsidRPr="005E0D27">
        <w:rPr>
          <w:rFonts w:ascii="Times New Roman" w:eastAsia="Calibri" w:hAnsi="Times New Roman" w:cs="Times New Roman"/>
          <w:sz w:val="26"/>
          <w:szCs w:val="26"/>
        </w:rPr>
        <w:t>Расчет стоимости земельных участк</w:t>
      </w:r>
      <w:r w:rsidR="00CE69E9">
        <w:rPr>
          <w:rFonts w:ascii="Times New Roman" w:eastAsia="Calibri" w:hAnsi="Times New Roman" w:cs="Times New Roman"/>
          <w:sz w:val="26"/>
          <w:szCs w:val="26"/>
        </w:rPr>
        <w:t>ов</w:t>
      </w:r>
      <w:r w:rsidRPr="005E0D27">
        <w:rPr>
          <w:rFonts w:ascii="Times New Roman" w:eastAsia="Calibri" w:hAnsi="Times New Roman" w:cs="Times New Roman"/>
          <w:sz w:val="26"/>
          <w:szCs w:val="26"/>
        </w:rPr>
        <w:t xml:space="preserve">, отнесенных к группе </w:t>
      </w:r>
      <w:r w:rsidR="00566100" w:rsidRPr="00052B8F">
        <w:rPr>
          <w:rFonts w:ascii="Times New Roman" w:hAnsi="Times New Roman" w:cs="Times New Roman"/>
          <w:bCs/>
          <w:sz w:val="26"/>
          <w:szCs w:val="26"/>
        </w:rPr>
        <w:t>Воронеж</w:t>
      </w:r>
      <w:r w:rsidRPr="00566100">
        <w:rPr>
          <w:rFonts w:ascii="Times New Roman" w:hAnsi="Times New Roman" w:cs="Times New Roman"/>
          <w:i/>
          <w:sz w:val="26"/>
          <w:szCs w:val="26"/>
        </w:rPr>
        <w:t>,</w:t>
      </w:r>
      <w:r w:rsidRPr="005E0D27">
        <w:rPr>
          <w:rFonts w:ascii="Times New Roman" w:eastAsia="Calibri" w:hAnsi="Times New Roman" w:cs="Times New Roman"/>
          <w:sz w:val="26"/>
          <w:szCs w:val="26"/>
        </w:rPr>
        <w:t xml:space="preserve"> согласно описанной выше последовательности приведен далее.</w:t>
      </w:r>
    </w:p>
    <w:p w14:paraId="1D430282" w14:textId="77777777" w:rsidR="00E62E8C" w:rsidRDefault="00E62E8C" w:rsidP="00C1026B">
      <w:pPr>
        <w:pStyle w:val="ab"/>
        <w:numPr>
          <w:ilvl w:val="0"/>
          <w:numId w:val="17"/>
        </w:numPr>
        <w:autoSpaceDE w:val="0"/>
        <w:autoSpaceDN w:val="0"/>
        <w:adjustRightInd w:val="0"/>
        <w:spacing w:before="120" w:after="0" w:line="276" w:lineRule="auto"/>
        <w:ind w:left="709"/>
        <w:jc w:val="both"/>
        <w:rPr>
          <w:rFonts w:ascii="Times New Roman" w:eastAsia="Calibri" w:hAnsi="Times New Roman" w:cs="Times New Roman"/>
          <w:i/>
          <w:sz w:val="26"/>
          <w:szCs w:val="26"/>
        </w:rPr>
      </w:pPr>
      <w:r w:rsidRPr="005E0D27">
        <w:rPr>
          <w:rFonts w:ascii="Times New Roman" w:eastAsia="Calibri" w:hAnsi="Times New Roman" w:cs="Times New Roman"/>
          <w:i/>
          <w:sz w:val="26"/>
          <w:szCs w:val="26"/>
        </w:rPr>
        <w:t>Определение группы (подгруппы), в которой возможно (целесообразно) типологизировать объекты недвижимости</w:t>
      </w:r>
    </w:p>
    <w:p w14:paraId="2EC406FA" w14:textId="726CE297" w:rsidR="00E62E8C" w:rsidRPr="00B470DF" w:rsidRDefault="00E62E8C" w:rsidP="00E62E8C">
      <w:pPr>
        <w:spacing w:after="120" w:line="276" w:lineRule="auto"/>
        <w:ind w:firstLine="709"/>
        <w:contextualSpacing/>
        <w:jc w:val="both"/>
        <w:rPr>
          <w:rFonts w:ascii="Times New Roman" w:eastAsia="Calibri" w:hAnsi="Times New Roman" w:cs="Times New Roman"/>
          <w:sz w:val="26"/>
          <w:szCs w:val="26"/>
        </w:rPr>
      </w:pPr>
      <w:r w:rsidRPr="00B470DF">
        <w:rPr>
          <w:rFonts w:ascii="Times New Roman" w:eastAsia="Calibri" w:hAnsi="Times New Roman" w:cs="Times New Roman"/>
          <w:sz w:val="26"/>
          <w:szCs w:val="26"/>
        </w:rPr>
        <w:t xml:space="preserve">Оцениваемые земельные участки с кодами расчета </w:t>
      </w:r>
      <w:r w:rsidR="00566100" w:rsidRPr="00566100">
        <w:rPr>
          <w:rFonts w:ascii="Times New Roman" w:eastAsia="Calibri" w:hAnsi="Times New Roman" w:cs="Times New Roman"/>
          <w:sz w:val="26"/>
          <w:szCs w:val="26"/>
        </w:rPr>
        <w:t>01:000, 01:010, 01:020, 01:032, 01:040, 01:041, 01:042, 01:050, 01:051, 01:052, 01:053, 01:054, 01:060, 01:070, 01:080, 01:081, 01:082, 01:083, 01:084, 01:085, 01:086, 01:120, 01:121, 01:130, 01:131, 01:140, 01:141, 01:142, 01:160, 01:170, 01:171, 01:200; 02:012, 02:015, 02:022, 02:033</w:t>
      </w:r>
      <w:r w:rsidRPr="00B470DF">
        <w:rPr>
          <w:rFonts w:ascii="Times New Roman" w:eastAsia="Calibri" w:hAnsi="Times New Roman" w:cs="Times New Roman"/>
          <w:sz w:val="26"/>
          <w:szCs w:val="26"/>
        </w:rPr>
        <w:t>, территориально располагающиеся в г. Воронеж, отнесены к первому сегменту «Сельскохозяйственное использование».</w:t>
      </w:r>
    </w:p>
    <w:p w14:paraId="314C5ED1" w14:textId="77777777" w:rsidR="00E62E8C" w:rsidRPr="00063AA8" w:rsidRDefault="00E62E8C" w:rsidP="00C1026B">
      <w:pPr>
        <w:pStyle w:val="ab"/>
        <w:numPr>
          <w:ilvl w:val="0"/>
          <w:numId w:val="17"/>
        </w:numPr>
        <w:autoSpaceDE w:val="0"/>
        <w:autoSpaceDN w:val="0"/>
        <w:adjustRightInd w:val="0"/>
        <w:spacing w:before="120" w:after="0" w:line="276" w:lineRule="auto"/>
        <w:jc w:val="both"/>
        <w:rPr>
          <w:rFonts w:ascii="Times New Roman" w:eastAsia="Calibri" w:hAnsi="Times New Roman" w:cs="Times New Roman"/>
          <w:i/>
          <w:sz w:val="26"/>
          <w:szCs w:val="26"/>
        </w:rPr>
      </w:pPr>
      <w:r w:rsidRPr="00063AA8">
        <w:rPr>
          <w:rFonts w:ascii="Times New Roman" w:eastAsia="Calibri" w:hAnsi="Times New Roman" w:cs="Times New Roman"/>
          <w:i/>
          <w:sz w:val="26"/>
          <w:szCs w:val="26"/>
        </w:rPr>
        <w:t>Определение оснований типологизации и ее проведение</w:t>
      </w:r>
    </w:p>
    <w:p w14:paraId="59DE4207" w14:textId="564A63CE" w:rsidR="005871E1" w:rsidRDefault="00E62E8C" w:rsidP="00E62E8C">
      <w:pPr>
        <w:autoSpaceDE w:val="0"/>
        <w:autoSpaceDN w:val="0"/>
        <w:adjustRightInd w:val="0"/>
        <w:spacing w:after="0" w:line="276" w:lineRule="auto"/>
        <w:ind w:firstLine="709"/>
        <w:contextualSpacing/>
        <w:jc w:val="both"/>
        <w:rPr>
          <w:rFonts w:ascii="Times New Roman" w:eastAsia="Calibri" w:hAnsi="Times New Roman" w:cs="Times New Roman"/>
          <w:sz w:val="26"/>
          <w:szCs w:val="26"/>
        </w:rPr>
      </w:pPr>
      <w:r w:rsidRPr="00063AA8">
        <w:rPr>
          <w:rFonts w:ascii="Times New Roman" w:eastAsia="Calibri" w:hAnsi="Times New Roman" w:cs="Times New Roman"/>
          <w:sz w:val="26"/>
          <w:szCs w:val="26"/>
        </w:rPr>
        <w:t>Типологизация объектов недвижимости проводилась на основании принадлежности объектов оценки по местоположению</w:t>
      </w:r>
      <w:r>
        <w:rPr>
          <w:rFonts w:ascii="Times New Roman" w:eastAsia="Calibri" w:hAnsi="Times New Roman" w:cs="Times New Roman"/>
          <w:sz w:val="26"/>
          <w:szCs w:val="26"/>
        </w:rPr>
        <w:t>.</w:t>
      </w:r>
      <w:r w:rsidRPr="00063AA8">
        <w:rPr>
          <w:rFonts w:ascii="Times New Roman" w:eastAsia="Calibri" w:hAnsi="Times New Roman" w:cs="Times New Roman"/>
          <w:sz w:val="26"/>
          <w:szCs w:val="26"/>
        </w:rPr>
        <w:t xml:space="preserve"> </w:t>
      </w:r>
    </w:p>
    <w:p w14:paraId="7EE3B9B6" w14:textId="77777777" w:rsidR="005871E1" w:rsidRDefault="005871E1">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14:paraId="3E97F909" w14:textId="77777777" w:rsidR="00E62E8C" w:rsidRPr="00114427" w:rsidRDefault="00E62E8C" w:rsidP="00C1026B">
      <w:pPr>
        <w:pStyle w:val="ab"/>
        <w:numPr>
          <w:ilvl w:val="0"/>
          <w:numId w:val="17"/>
        </w:numPr>
        <w:autoSpaceDE w:val="0"/>
        <w:autoSpaceDN w:val="0"/>
        <w:adjustRightInd w:val="0"/>
        <w:spacing w:before="120" w:after="0" w:line="276" w:lineRule="auto"/>
        <w:jc w:val="both"/>
        <w:rPr>
          <w:rFonts w:ascii="Times New Roman" w:eastAsia="Calibri" w:hAnsi="Times New Roman" w:cs="Times New Roman"/>
          <w:i/>
          <w:sz w:val="26"/>
          <w:szCs w:val="26"/>
        </w:rPr>
      </w:pPr>
      <w:r w:rsidRPr="00114427">
        <w:rPr>
          <w:rFonts w:ascii="Times New Roman" w:eastAsia="Calibri" w:hAnsi="Times New Roman" w:cs="Times New Roman"/>
          <w:i/>
          <w:sz w:val="26"/>
          <w:szCs w:val="26"/>
        </w:rPr>
        <w:t>Типологизация объектов недвижимости</w:t>
      </w:r>
    </w:p>
    <w:p w14:paraId="673996B9" w14:textId="1D44F9FD"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К</w:t>
      </w:r>
      <w:r w:rsidRPr="00114427">
        <w:rPr>
          <w:rFonts w:ascii="Times New Roman" w:eastAsia="Calibri" w:hAnsi="Times New Roman" w:cs="Times New Roman"/>
          <w:sz w:val="26"/>
          <w:szCs w:val="26"/>
        </w:rPr>
        <w:t xml:space="preserve"> данной группе, отнесено 6</w:t>
      </w:r>
      <w:r w:rsidR="002A574E">
        <w:rPr>
          <w:rFonts w:ascii="Times New Roman" w:eastAsia="Calibri" w:hAnsi="Times New Roman" w:cs="Times New Roman"/>
          <w:sz w:val="26"/>
          <w:szCs w:val="26"/>
        </w:rPr>
        <w:t>5</w:t>
      </w:r>
      <w:r w:rsidRPr="00114427">
        <w:rPr>
          <w:rFonts w:ascii="Times New Roman" w:eastAsia="Calibri" w:hAnsi="Times New Roman" w:cs="Times New Roman"/>
          <w:sz w:val="26"/>
          <w:szCs w:val="26"/>
        </w:rPr>
        <w:t xml:space="preserve">5 земельных участков, расположенных в г. Воронеж. </w:t>
      </w:r>
    </w:p>
    <w:p w14:paraId="275829D9" w14:textId="77777777" w:rsidR="00E62E8C" w:rsidRPr="00114427" w:rsidRDefault="00E62E8C" w:rsidP="00C1026B">
      <w:pPr>
        <w:pStyle w:val="ab"/>
        <w:numPr>
          <w:ilvl w:val="0"/>
          <w:numId w:val="17"/>
        </w:numPr>
        <w:autoSpaceDE w:val="0"/>
        <w:autoSpaceDN w:val="0"/>
        <w:adjustRightInd w:val="0"/>
        <w:spacing w:before="120" w:after="0" w:line="276" w:lineRule="auto"/>
        <w:jc w:val="both"/>
        <w:rPr>
          <w:rFonts w:ascii="Times New Roman" w:eastAsia="Calibri" w:hAnsi="Times New Roman" w:cs="Times New Roman"/>
          <w:i/>
          <w:sz w:val="26"/>
          <w:szCs w:val="26"/>
        </w:rPr>
      </w:pPr>
      <w:r w:rsidRPr="00114427">
        <w:rPr>
          <w:rFonts w:ascii="Times New Roman" w:eastAsia="Calibri" w:hAnsi="Times New Roman" w:cs="Times New Roman"/>
          <w:i/>
          <w:sz w:val="26"/>
          <w:szCs w:val="26"/>
        </w:rPr>
        <w:t>формируется типовой (эталонный) объект недвижимости;</w:t>
      </w:r>
    </w:p>
    <w:p w14:paraId="7C4A4039" w14:textId="77777777" w:rsidR="00E62E8C" w:rsidRPr="00114427" w:rsidRDefault="00E62E8C" w:rsidP="00E62E8C">
      <w:pPr>
        <w:spacing w:after="0" w:line="276" w:lineRule="auto"/>
        <w:ind w:firstLine="709"/>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В качестве эталонного земельного участка был выбран земельный участок с кадастровым № </w:t>
      </w:r>
      <w:r w:rsidRPr="00566100">
        <w:rPr>
          <w:rFonts w:ascii="Times New Roman" w:eastAsia="Calibri" w:hAnsi="Times New Roman" w:cs="Times New Roman"/>
          <w:b/>
          <w:sz w:val="26"/>
          <w:szCs w:val="26"/>
        </w:rPr>
        <w:t>36:34:0102002:172</w:t>
      </w:r>
      <w:r>
        <w:rPr>
          <w:rFonts w:ascii="Times New Roman" w:eastAsia="Calibri" w:hAnsi="Times New Roman" w:cs="Times New Roman"/>
          <w:sz w:val="26"/>
          <w:szCs w:val="26"/>
        </w:rPr>
        <w:t>.</w:t>
      </w:r>
    </w:p>
    <w:p w14:paraId="478EB51B" w14:textId="77777777" w:rsidR="00E62E8C" w:rsidRPr="00114427" w:rsidRDefault="00E62E8C" w:rsidP="00C1026B">
      <w:pPr>
        <w:pStyle w:val="ab"/>
        <w:numPr>
          <w:ilvl w:val="0"/>
          <w:numId w:val="17"/>
        </w:numPr>
        <w:rPr>
          <w:rFonts w:ascii="Times New Roman" w:eastAsia="Calibri" w:hAnsi="Times New Roman" w:cs="Times New Roman"/>
          <w:sz w:val="26"/>
          <w:szCs w:val="26"/>
        </w:rPr>
      </w:pPr>
      <w:r w:rsidRPr="00114427">
        <w:rPr>
          <w:rFonts w:ascii="Times New Roman" w:eastAsia="Calibri" w:hAnsi="Times New Roman" w:cs="Times New Roman"/>
          <w:i/>
          <w:sz w:val="26"/>
          <w:szCs w:val="26"/>
        </w:rPr>
        <w:t>определяется стоимость типового (эталонного) объекта недвижимости</w:t>
      </w:r>
      <w:r>
        <w:rPr>
          <w:rFonts w:ascii="Times New Roman" w:eastAsia="Calibri" w:hAnsi="Times New Roman" w:cs="Times New Roman"/>
          <w:i/>
          <w:sz w:val="26"/>
          <w:szCs w:val="26"/>
        </w:rPr>
        <w:t>.</w:t>
      </w:r>
    </w:p>
    <w:p w14:paraId="48C6A3F3" w14:textId="77777777"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Расчет эталонного земельного участка методом сравнения продаж приведен далее.</w:t>
      </w:r>
    </w:p>
    <w:p w14:paraId="078C84A3" w14:textId="77777777" w:rsidR="00E62E8C" w:rsidRPr="00114427" w:rsidRDefault="00E62E8C" w:rsidP="00E62E8C">
      <w:pPr>
        <w:spacing w:after="0" w:line="276" w:lineRule="auto"/>
        <w:contextualSpacing/>
        <w:jc w:val="center"/>
        <w:rPr>
          <w:rFonts w:ascii="Times New Roman" w:eastAsia="Calibri" w:hAnsi="Times New Roman" w:cs="Times New Roman"/>
          <w:i/>
          <w:sz w:val="26"/>
          <w:szCs w:val="26"/>
        </w:rPr>
      </w:pPr>
      <w:r w:rsidRPr="00114427">
        <w:rPr>
          <w:rFonts w:ascii="Times New Roman" w:eastAsia="Calibri" w:hAnsi="Times New Roman" w:cs="Times New Roman"/>
          <w:i/>
          <w:sz w:val="26"/>
          <w:szCs w:val="26"/>
        </w:rPr>
        <w:t>Описание метода сравнения продаж</w:t>
      </w:r>
    </w:p>
    <w:p w14:paraId="34C90F26" w14:textId="77777777"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Алгоритм применения метода сравнения продаж в рамках сравнительного подхода имеет следующий вид:</w:t>
      </w:r>
    </w:p>
    <w:p w14:paraId="2056E58C" w14:textId="77777777" w:rsidR="00E62E8C" w:rsidRPr="00114427" w:rsidRDefault="00E62E8C" w:rsidP="00C1026B">
      <w:pPr>
        <w:numPr>
          <w:ilvl w:val="0"/>
          <w:numId w:val="10"/>
        </w:numPr>
        <w:tabs>
          <w:tab w:val="left" w:pos="0"/>
        </w:tabs>
        <w:overflowPunct w:val="0"/>
        <w:autoSpaceDE w:val="0"/>
        <w:autoSpaceDN w:val="0"/>
        <w:adjustRightInd w:val="0"/>
        <w:spacing w:after="0" w:line="276" w:lineRule="auto"/>
        <w:ind w:left="0" w:firstLine="709"/>
        <w:contextualSpacing/>
        <w:jc w:val="both"/>
        <w:textAlignment w:val="baseline"/>
        <w:rPr>
          <w:rFonts w:ascii="Times New Roman" w:eastAsia="Calibri" w:hAnsi="Times New Roman" w:cs="Times New Roman"/>
          <w:sz w:val="26"/>
          <w:szCs w:val="26"/>
        </w:rPr>
      </w:pPr>
      <w:r w:rsidRPr="00114427">
        <w:rPr>
          <w:rFonts w:ascii="Times New Roman" w:eastAsia="Calibri" w:hAnsi="Times New Roman" w:cs="Times New Roman"/>
          <w:sz w:val="26"/>
          <w:szCs w:val="26"/>
        </w:rPr>
        <w:t>сбор данных о рынке продаж и предложений по земельным участкам, сходным с оцениваемым объектом. При выборе объектов-аналогов предпочтение отдавалось объектам, сопоставимым по площади с типовым (эталонным) объектом;</w:t>
      </w:r>
    </w:p>
    <w:p w14:paraId="40B0DCF0" w14:textId="77777777" w:rsidR="00E62E8C" w:rsidRPr="00114427" w:rsidRDefault="00E62E8C" w:rsidP="00C1026B">
      <w:pPr>
        <w:numPr>
          <w:ilvl w:val="0"/>
          <w:numId w:val="10"/>
        </w:numPr>
        <w:tabs>
          <w:tab w:val="left" w:pos="0"/>
        </w:tabs>
        <w:overflowPunct w:val="0"/>
        <w:autoSpaceDE w:val="0"/>
        <w:autoSpaceDN w:val="0"/>
        <w:adjustRightInd w:val="0"/>
        <w:spacing w:after="0" w:line="276" w:lineRule="auto"/>
        <w:ind w:left="0" w:firstLine="709"/>
        <w:contextualSpacing/>
        <w:jc w:val="both"/>
        <w:textAlignment w:val="baseline"/>
        <w:rPr>
          <w:rFonts w:ascii="Times New Roman" w:eastAsia="Calibri" w:hAnsi="Times New Roman" w:cs="Times New Roman"/>
          <w:sz w:val="26"/>
          <w:szCs w:val="26"/>
        </w:rPr>
      </w:pPr>
      <w:r w:rsidRPr="00114427">
        <w:rPr>
          <w:rFonts w:ascii="Times New Roman" w:eastAsia="Calibri" w:hAnsi="Times New Roman" w:cs="Times New Roman"/>
          <w:sz w:val="26"/>
          <w:szCs w:val="26"/>
        </w:rPr>
        <w:t>выбор единицы сравнения;</w:t>
      </w:r>
    </w:p>
    <w:p w14:paraId="5C18BC0D" w14:textId="77777777" w:rsidR="00E62E8C" w:rsidRPr="00114427" w:rsidRDefault="00E62E8C" w:rsidP="00C1026B">
      <w:pPr>
        <w:numPr>
          <w:ilvl w:val="0"/>
          <w:numId w:val="10"/>
        </w:numPr>
        <w:tabs>
          <w:tab w:val="left" w:pos="0"/>
        </w:tabs>
        <w:overflowPunct w:val="0"/>
        <w:autoSpaceDE w:val="0"/>
        <w:autoSpaceDN w:val="0"/>
        <w:adjustRightInd w:val="0"/>
        <w:spacing w:after="0" w:line="276" w:lineRule="auto"/>
        <w:ind w:left="0" w:firstLine="709"/>
        <w:contextualSpacing/>
        <w:jc w:val="both"/>
        <w:textAlignment w:val="baseline"/>
        <w:rPr>
          <w:rFonts w:ascii="Times New Roman" w:eastAsia="Calibri" w:hAnsi="Times New Roman" w:cs="Times New Roman"/>
          <w:sz w:val="26"/>
          <w:szCs w:val="26"/>
        </w:rPr>
      </w:pPr>
      <w:r w:rsidRPr="00114427">
        <w:rPr>
          <w:rFonts w:ascii="Times New Roman" w:eastAsia="Calibri" w:hAnsi="Times New Roman" w:cs="Times New Roman"/>
          <w:sz w:val="26"/>
          <w:szCs w:val="26"/>
        </w:rPr>
        <w:t>определение элементов, по которым осуществляется сравнение типового (эталонного) объекта с объектами-аналогами (далее – элементов (единиц) сравнения);</w:t>
      </w:r>
    </w:p>
    <w:p w14:paraId="3BF328E6" w14:textId="77777777" w:rsidR="00E62E8C" w:rsidRPr="00114427" w:rsidRDefault="00E62E8C" w:rsidP="00C1026B">
      <w:pPr>
        <w:numPr>
          <w:ilvl w:val="0"/>
          <w:numId w:val="10"/>
        </w:numPr>
        <w:tabs>
          <w:tab w:val="left" w:pos="0"/>
        </w:tabs>
        <w:overflowPunct w:val="0"/>
        <w:autoSpaceDE w:val="0"/>
        <w:autoSpaceDN w:val="0"/>
        <w:adjustRightInd w:val="0"/>
        <w:spacing w:after="0" w:line="276" w:lineRule="auto"/>
        <w:ind w:left="0" w:firstLine="709"/>
        <w:contextualSpacing/>
        <w:jc w:val="both"/>
        <w:textAlignment w:val="baseline"/>
        <w:rPr>
          <w:rFonts w:ascii="Times New Roman" w:eastAsia="Calibri" w:hAnsi="Times New Roman" w:cs="Times New Roman"/>
          <w:sz w:val="26"/>
          <w:szCs w:val="26"/>
        </w:rPr>
      </w:pPr>
      <w:r w:rsidRPr="00114427">
        <w:rPr>
          <w:rFonts w:ascii="Times New Roman" w:eastAsia="Calibri" w:hAnsi="Times New Roman" w:cs="Times New Roman"/>
          <w:sz w:val="26"/>
          <w:szCs w:val="26"/>
        </w:rPr>
        <w:t>определение по каждому из элементов сравнения характера и степени отличий каждого аналога от типового (эталонного) объекта;</w:t>
      </w:r>
    </w:p>
    <w:p w14:paraId="7A74C1CA" w14:textId="77777777" w:rsidR="00E62E8C" w:rsidRPr="00114427" w:rsidRDefault="00E62E8C" w:rsidP="00C1026B">
      <w:pPr>
        <w:numPr>
          <w:ilvl w:val="0"/>
          <w:numId w:val="10"/>
        </w:numPr>
        <w:tabs>
          <w:tab w:val="left" w:pos="0"/>
        </w:tabs>
        <w:overflowPunct w:val="0"/>
        <w:autoSpaceDE w:val="0"/>
        <w:autoSpaceDN w:val="0"/>
        <w:adjustRightInd w:val="0"/>
        <w:spacing w:after="0" w:line="276" w:lineRule="auto"/>
        <w:ind w:left="0" w:firstLine="709"/>
        <w:contextualSpacing/>
        <w:jc w:val="both"/>
        <w:textAlignment w:val="baseline"/>
        <w:rPr>
          <w:rFonts w:ascii="Times New Roman" w:eastAsia="Calibri" w:hAnsi="Times New Roman" w:cs="Times New Roman"/>
          <w:sz w:val="26"/>
          <w:szCs w:val="26"/>
        </w:rPr>
      </w:pPr>
      <w:r w:rsidRPr="00114427">
        <w:rPr>
          <w:rFonts w:ascii="Times New Roman" w:eastAsia="Calibri" w:hAnsi="Times New Roman" w:cs="Times New Roman"/>
          <w:sz w:val="26"/>
          <w:szCs w:val="26"/>
        </w:rPr>
        <w:t>определение по каждому из элементов сравнения корректировок цен аналогов, соответствующих характеру и степени отличий каждого аналога от типового (эталонного) объекта;</w:t>
      </w:r>
    </w:p>
    <w:p w14:paraId="6C3B5219" w14:textId="77777777" w:rsidR="00E62E8C" w:rsidRPr="00114427" w:rsidRDefault="00E62E8C" w:rsidP="00C1026B">
      <w:pPr>
        <w:numPr>
          <w:ilvl w:val="0"/>
          <w:numId w:val="10"/>
        </w:numPr>
        <w:tabs>
          <w:tab w:val="left" w:pos="0"/>
        </w:tabs>
        <w:overflowPunct w:val="0"/>
        <w:autoSpaceDE w:val="0"/>
        <w:autoSpaceDN w:val="0"/>
        <w:adjustRightInd w:val="0"/>
        <w:spacing w:after="0" w:line="276" w:lineRule="auto"/>
        <w:ind w:left="0" w:firstLine="709"/>
        <w:contextualSpacing/>
        <w:jc w:val="both"/>
        <w:textAlignment w:val="baseline"/>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корректировка по каждому из элементов сравнения цен каждого аналога, сглаживающая их отличия от типового (эталонного) объекта. </w:t>
      </w:r>
    </w:p>
    <w:p w14:paraId="3AC982B1" w14:textId="77777777" w:rsidR="00E62E8C" w:rsidRPr="00114427" w:rsidRDefault="00E62E8C" w:rsidP="00E62E8C">
      <w:pPr>
        <w:tabs>
          <w:tab w:val="left" w:pos="0"/>
        </w:tabs>
        <w:overflowPunct w:val="0"/>
        <w:autoSpaceDE w:val="0"/>
        <w:autoSpaceDN w:val="0"/>
        <w:adjustRightInd w:val="0"/>
        <w:spacing w:after="0" w:line="276" w:lineRule="auto"/>
        <w:contextualSpacing/>
        <w:jc w:val="both"/>
        <w:textAlignment w:val="baseline"/>
        <w:rPr>
          <w:rFonts w:ascii="Times New Roman" w:eastAsia="Calibri" w:hAnsi="Times New Roman" w:cs="Times New Roman"/>
          <w:sz w:val="16"/>
          <w:szCs w:val="16"/>
        </w:rPr>
      </w:pPr>
    </w:p>
    <w:p w14:paraId="5FA792A5" w14:textId="77777777" w:rsidR="00E62E8C" w:rsidRPr="00114427" w:rsidRDefault="00E62E8C" w:rsidP="00E62E8C">
      <w:pPr>
        <w:spacing w:after="0" w:line="276" w:lineRule="auto"/>
        <w:contextualSpacing/>
        <w:jc w:val="center"/>
        <w:rPr>
          <w:rFonts w:ascii="Times New Roman" w:eastAsia="Calibri" w:hAnsi="Times New Roman" w:cs="Times New Roman"/>
          <w:i/>
          <w:sz w:val="26"/>
          <w:szCs w:val="26"/>
        </w:rPr>
      </w:pPr>
      <w:r w:rsidRPr="00114427">
        <w:rPr>
          <w:rFonts w:ascii="Times New Roman" w:eastAsia="Calibri" w:hAnsi="Times New Roman" w:cs="Times New Roman"/>
          <w:i/>
          <w:sz w:val="26"/>
          <w:szCs w:val="26"/>
        </w:rPr>
        <w:t>Сбор данных о рынке продаж и предложений по земельным участкам</w:t>
      </w:r>
    </w:p>
    <w:p w14:paraId="3AB1B5AF" w14:textId="2F5321E4" w:rsidR="00E62E8C" w:rsidRPr="00F30272" w:rsidRDefault="00E62E8C" w:rsidP="00E62E8C">
      <w:pPr>
        <w:spacing w:line="276" w:lineRule="auto"/>
        <w:ind w:firstLine="709"/>
        <w:jc w:val="both"/>
        <w:rPr>
          <w:rFonts w:ascii="Times New Roman" w:eastAsia="Calibri" w:hAnsi="Times New Roman" w:cs="Times New Roman"/>
          <w:sz w:val="26"/>
          <w:szCs w:val="26"/>
          <w:highlight w:val="yellow"/>
        </w:rPr>
      </w:pPr>
      <w:r w:rsidRPr="00114427">
        <w:rPr>
          <w:rFonts w:ascii="Times New Roman" w:eastAsia="Calibri" w:hAnsi="Times New Roman" w:cs="Times New Roman"/>
          <w:sz w:val="26"/>
          <w:szCs w:val="26"/>
        </w:rPr>
        <w:t xml:space="preserve">В процессе реализации 1-го этапа применения метода сравнения продаж для определения рыночной стоимости типового (эталонного) объекта Исполнитель анализировал </w:t>
      </w:r>
      <w:r w:rsidR="00566100" w:rsidRPr="00114427">
        <w:rPr>
          <w:rFonts w:ascii="Times New Roman" w:eastAsia="Calibri" w:hAnsi="Times New Roman" w:cs="Times New Roman"/>
          <w:sz w:val="26"/>
          <w:szCs w:val="26"/>
        </w:rPr>
        <w:t>информацию,</w:t>
      </w:r>
      <w:r w:rsidRPr="00114427">
        <w:rPr>
          <w:rFonts w:ascii="Times New Roman" w:eastAsia="Calibri" w:hAnsi="Times New Roman" w:cs="Times New Roman"/>
          <w:sz w:val="26"/>
          <w:szCs w:val="26"/>
        </w:rPr>
        <w:t xml:space="preserve"> </w:t>
      </w:r>
      <w:r w:rsidR="00566100">
        <w:rPr>
          <w:rFonts w:ascii="Times New Roman" w:eastAsia="Calibri" w:hAnsi="Times New Roman" w:cs="Times New Roman"/>
          <w:sz w:val="26"/>
          <w:szCs w:val="26"/>
        </w:rPr>
        <w:t>предоставленную по сделкам Росреестра.</w:t>
      </w:r>
      <w:r w:rsidRPr="00F30272">
        <w:rPr>
          <w:rFonts w:ascii="Times New Roman" w:eastAsia="Calibri" w:hAnsi="Times New Roman" w:cs="Times New Roman"/>
          <w:sz w:val="26"/>
          <w:szCs w:val="26"/>
          <w:highlight w:val="yellow"/>
        </w:rPr>
        <w:t xml:space="preserve"> </w:t>
      </w:r>
    </w:p>
    <w:p w14:paraId="4E93CA13" w14:textId="5367CD26" w:rsidR="005871E1" w:rsidRDefault="00E62E8C" w:rsidP="00E62E8C">
      <w:pPr>
        <w:spacing w:line="276" w:lineRule="auto"/>
        <w:ind w:firstLine="709"/>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На основе анализа Исполнитель выявил объекты недвижимости, наиболее сопоставимые с типовым (эталонным) объектом, из которых была подготовлена выборка объектов, являющихся аналогами типовому (эталонному) объекту.</w:t>
      </w:r>
    </w:p>
    <w:p w14:paraId="50361CD8" w14:textId="77777777" w:rsidR="005871E1" w:rsidRDefault="005871E1">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14:paraId="16BC0A08" w14:textId="77777777" w:rsidR="00E62E8C" w:rsidRPr="00114427" w:rsidRDefault="00E62E8C" w:rsidP="00E62E8C">
      <w:pPr>
        <w:spacing w:after="0" w:line="276" w:lineRule="auto"/>
        <w:contextualSpacing/>
        <w:jc w:val="center"/>
        <w:rPr>
          <w:rFonts w:ascii="Times New Roman" w:eastAsia="Calibri" w:hAnsi="Times New Roman" w:cs="Times New Roman"/>
          <w:i/>
          <w:sz w:val="26"/>
          <w:szCs w:val="26"/>
        </w:rPr>
      </w:pPr>
      <w:r w:rsidRPr="00114427">
        <w:rPr>
          <w:rFonts w:ascii="Times New Roman" w:eastAsia="Calibri" w:hAnsi="Times New Roman" w:cs="Times New Roman"/>
          <w:i/>
          <w:sz w:val="26"/>
          <w:szCs w:val="26"/>
        </w:rPr>
        <w:t>Выбор единицы сравнения</w:t>
      </w:r>
    </w:p>
    <w:p w14:paraId="46D98130" w14:textId="77777777" w:rsidR="00E62E8C" w:rsidRPr="00114427" w:rsidRDefault="00E62E8C" w:rsidP="00E62E8C">
      <w:pPr>
        <w:spacing w:after="0" w:line="276" w:lineRule="auto"/>
        <w:ind w:firstLine="709"/>
        <w:contextualSpacing/>
        <w:jc w:val="center"/>
        <w:rPr>
          <w:rFonts w:ascii="Times New Roman" w:eastAsia="Calibri" w:hAnsi="Times New Roman" w:cs="Times New Roman"/>
          <w:i/>
          <w:sz w:val="16"/>
          <w:szCs w:val="16"/>
        </w:rPr>
      </w:pPr>
    </w:p>
    <w:p w14:paraId="213DF5B1" w14:textId="77777777"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Единица сравнения — это адекватные, подходящие единицы сравнения, которые передают информацию об объекте недвижимости наиболее эффективным и понятным способом; выбор их впрямую влияет на результат. Выбираются они в соответствии с рыночным стандартом и должны быть типичными для определенного сегмента рынка.</w:t>
      </w:r>
    </w:p>
    <w:p w14:paraId="61074650" w14:textId="77777777"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Можно выделить три основных критерия выбора единицы сравнения:</w:t>
      </w:r>
    </w:p>
    <w:p w14:paraId="6F21620C" w14:textId="77777777"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единица сравнения используется покупателями и продавцами на конкретном сегменте рынка;</w:t>
      </w:r>
    </w:p>
    <w:p w14:paraId="6EBB5148" w14:textId="77777777"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единица сравнения является общей для типового (эталонного) объекта и объектов-аналогов;</w:t>
      </w:r>
    </w:p>
    <w:p w14:paraId="232A18CA" w14:textId="77777777"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единица сравнения является удельной характеристикой, что существенно ослабляет зависимость этой характеристики от общего количества ценообразующих факторов.</w:t>
      </w:r>
    </w:p>
    <w:p w14:paraId="2105CAF0" w14:textId="77777777"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При сделках с земельными участками используются следующие единицы сравнения: </w:t>
      </w:r>
    </w:p>
    <w:p w14:paraId="76470C96" w14:textId="77777777"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 - цена за </w:t>
      </w:r>
      <w:smartTag w:uri="urn:schemas-microsoft-com:office:smarttags" w:element="metricconverter">
        <w:smartTagPr>
          <w:attr w:name="ProductID" w:val="1 га"/>
        </w:smartTagPr>
        <w:r w:rsidRPr="00114427">
          <w:rPr>
            <w:rFonts w:ascii="Times New Roman" w:eastAsia="Calibri" w:hAnsi="Times New Roman" w:cs="Times New Roman"/>
            <w:sz w:val="26"/>
            <w:szCs w:val="26"/>
          </w:rPr>
          <w:t>1 га</w:t>
        </w:r>
      </w:smartTag>
      <w:r w:rsidRPr="00114427">
        <w:rPr>
          <w:rFonts w:ascii="Times New Roman" w:eastAsia="Calibri" w:hAnsi="Times New Roman" w:cs="Times New Roman"/>
          <w:sz w:val="26"/>
          <w:szCs w:val="26"/>
        </w:rPr>
        <w:t xml:space="preserve"> (сельскохозяйственные и лесные угодья либо территории промышленной зоны и т.п.); </w:t>
      </w:r>
    </w:p>
    <w:p w14:paraId="1EBAC790" w14:textId="77777777"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 - цена за 1 сотку (под строительство индивидуального дома, коттеджа, загородной дачи);  </w:t>
      </w:r>
    </w:p>
    <w:p w14:paraId="7E869688" w14:textId="77777777"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 - цена за 1 кв. м (под строительство зданий, гаражей, торговых киосков, павильонов и прочего). </w:t>
      </w:r>
    </w:p>
    <w:p w14:paraId="0C49DA98" w14:textId="77777777"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В рамках данного расчет в качестве единицы сравнения Исполнителем был принят удельный показатель стоимости за 1 кв. м земельного участка. </w:t>
      </w:r>
    </w:p>
    <w:p w14:paraId="022B5492" w14:textId="77777777" w:rsidR="008E10F9" w:rsidRDefault="008E10F9" w:rsidP="00E62E8C">
      <w:pPr>
        <w:spacing w:after="0" w:line="276" w:lineRule="auto"/>
        <w:contextualSpacing/>
        <w:jc w:val="center"/>
        <w:rPr>
          <w:rFonts w:ascii="Times New Roman" w:eastAsia="Calibri" w:hAnsi="Times New Roman" w:cs="Times New Roman"/>
          <w:i/>
          <w:sz w:val="26"/>
          <w:szCs w:val="26"/>
        </w:rPr>
      </w:pPr>
    </w:p>
    <w:p w14:paraId="08539E03" w14:textId="40BF3399" w:rsidR="00E62E8C" w:rsidRPr="00114427" w:rsidRDefault="00E62E8C" w:rsidP="00E62E8C">
      <w:pPr>
        <w:spacing w:after="0" w:line="276" w:lineRule="auto"/>
        <w:contextualSpacing/>
        <w:jc w:val="center"/>
        <w:rPr>
          <w:rFonts w:ascii="Times New Roman" w:eastAsia="Calibri" w:hAnsi="Times New Roman" w:cs="Times New Roman"/>
          <w:i/>
          <w:sz w:val="26"/>
          <w:szCs w:val="26"/>
        </w:rPr>
      </w:pPr>
      <w:r w:rsidRPr="00114427">
        <w:rPr>
          <w:rFonts w:ascii="Times New Roman" w:eastAsia="Calibri" w:hAnsi="Times New Roman" w:cs="Times New Roman"/>
          <w:i/>
          <w:sz w:val="26"/>
          <w:szCs w:val="26"/>
        </w:rPr>
        <w:t>Определение элементов, по которым осуществляется сравнение</w:t>
      </w:r>
    </w:p>
    <w:p w14:paraId="0AE193B0" w14:textId="77777777"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В качестве основных факторов стоимости эталонного земельного участка рассматриваются:</w:t>
      </w:r>
    </w:p>
    <w:p w14:paraId="0AEB7C11" w14:textId="77777777" w:rsidR="00E62E8C" w:rsidRPr="00114427" w:rsidRDefault="00E62E8C" w:rsidP="00C1026B">
      <w:pPr>
        <w:numPr>
          <w:ilvl w:val="0"/>
          <w:numId w:val="16"/>
        </w:numPr>
        <w:spacing w:after="0" w:line="276" w:lineRule="auto"/>
        <w:ind w:left="0"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Состав передаваемых прав. Учитывается разница в наборе прав, передаваемых в сделке (собственность/аренда). </w:t>
      </w:r>
    </w:p>
    <w:p w14:paraId="07034357" w14:textId="77777777" w:rsidR="00E62E8C" w:rsidRPr="00114427" w:rsidRDefault="00E62E8C" w:rsidP="00C1026B">
      <w:pPr>
        <w:numPr>
          <w:ilvl w:val="0"/>
          <w:numId w:val="16"/>
        </w:numPr>
        <w:spacing w:after="0" w:line="276" w:lineRule="auto"/>
        <w:ind w:left="0"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Условия финансирования. Учитывается различие в форме оплаты, соотношении собственных и заемных средств, возможности использования ипотечного кредита и т.д. </w:t>
      </w:r>
    </w:p>
    <w:p w14:paraId="233B05B2" w14:textId="77777777" w:rsidR="00E62E8C" w:rsidRPr="00114427" w:rsidRDefault="00E62E8C" w:rsidP="00C1026B">
      <w:pPr>
        <w:numPr>
          <w:ilvl w:val="0"/>
          <w:numId w:val="16"/>
        </w:numPr>
        <w:spacing w:after="0" w:line="276" w:lineRule="auto"/>
        <w:ind w:left="0"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Условия продажи. Учитывается продажа на открытом рынке (публичная оферта), продажа в условиях банкротства или ликвидации, аффилированность продавца и покупателя, цена предложения или сделки (наличие возможности торга). </w:t>
      </w:r>
    </w:p>
    <w:p w14:paraId="2A565422" w14:textId="77777777" w:rsidR="00E62E8C" w:rsidRPr="00114427" w:rsidRDefault="00E62E8C" w:rsidP="00C1026B">
      <w:pPr>
        <w:numPr>
          <w:ilvl w:val="0"/>
          <w:numId w:val="16"/>
        </w:numPr>
        <w:spacing w:after="0" w:line="276" w:lineRule="auto"/>
        <w:ind w:left="0"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Дата продажи / предложения. Учитывается изменение рыночных условий с течением времени. </w:t>
      </w:r>
    </w:p>
    <w:p w14:paraId="4CE6675B" w14:textId="77777777" w:rsidR="00E62E8C" w:rsidRPr="00114427" w:rsidRDefault="00E62E8C" w:rsidP="00C1026B">
      <w:pPr>
        <w:numPr>
          <w:ilvl w:val="0"/>
          <w:numId w:val="16"/>
        </w:numPr>
        <w:spacing w:after="0" w:line="276" w:lineRule="auto"/>
        <w:ind w:left="0"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Месторасположение. Учитывается типичное окружение, плотность застройки (при анализе месторасположения следует учитывать расположение относительно наиболее привлекательных районов, принимать во внимание фактор транспортной доступности). </w:t>
      </w:r>
    </w:p>
    <w:p w14:paraId="3E17E114" w14:textId="77777777" w:rsidR="00E62E8C" w:rsidRPr="00114427" w:rsidRDefault="00E62E8C" w:rsidP="00C1026B">
      <w:pPr>
        <w:numPr>
          <w:ilvl w:val="0"/>
          <w:numId w:val="16"/>
        </w:numPr>
        <w:spacing w:after="0" w:line="276" w:lineRule="auto"/>
        <w:ind w:left="0"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Физические характеристики. Учитывается рельеф, размер, форма, наличие улучшений, рекреационная ценность территории и др. </w:t>
      </w:r>
    </w:p>
    <w:p w14:paraId="35229FFF" w14:textId="6FE54700" w:rsidR="00E62E8C" w:rsidRPr="00114427" w:rsidRDefault="00E62E8C" w:rsidP="00C1026B">
      <w:pPr>
        <w:numPr>
          <w:ilvl w:val="0"/>
          <w:numId w:val="16"/>
        </w:numPr>
        <w:spacing w:after="0" w:line="276" w:lineRule="auto"/>
        <w:ind w:left="0"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Характер пользования. Учитывается различие в стоимости земельных участков, различающихся по виду использования. В случае, если подобранные аналоги относятся к тому же сегменту рынка, что типовой (эталонный) объект, но вид использования не совпадает, допустимо включение таких аналогов в расчет </w:t>
      </w:r>
      <w:r w:rsidR="00DC641C">
        <w:rPr>
          <w:rFonts w:ascii="Times New Roman" w:eastAsia="Calibri" w:hAnsi="Times New Roman" w:cs="Times New Roman"/>
          <w:sz w:val="26"/>
          <w:szCs w:val="26"/>
        </w:rPr>
        <w:t xml:space="preserve">при </w:t>
      </w:r>
      <w:r w:rsidRPr="00114427">
        <w:rPr>
          <w:rFonts w:ascii="Times New Roman" w:eastAsia="Calibri" w:hAnsi="Times New Roman" w:cs="Times New Roman"/>
          <w:sz w:val="26"/>
          <w:szCs w:val="26"/>
        </w:rPr>
        <w:t xml:space="preserve">условии введения соответствующей корректировки. </w:t>
      </w:r>
    </w:p>
    <w:p w14:paraId="0C60CA6A" w14:textId="77777777" w:rsidR="00E62E8C" w:rsidRPr="00F30272" w:rsidRDefault="00E62E8C" w:rsidP="00E62E8C">
      <w:pPr>
        <w:spacing w:after="0" w:line="276" w:lineRule="auto"/>
        <w:ind w:left="709"/>
        <w:contextualSpacing/>
        <w:jc w:val="both"/>
        <w:rPr>
          <w:rFonts w:ascii="Times New Roman" w:eastAsia="Calibri" w:hAnsi="Times New Roman" w:cs="Times New Roman"/>
          <w:sz w:val="26"/>
          <w:szCs w:val="26"/>
          <w:highlight w:val="yellow"/>
        </w:rPr>
      </w:pPr>
    </w:p>
    <w:p w14:paraId="7841F0A3" w14:textId="77777777" w:rsidR="00E62E8C" w:rsidRPr="00114427" w:rsidRDefault="00E62E8C" w:rsidP="00E62E8C">
      <w:pPr>
        <w:tabs>
          <w:tab w:val="left" w:pos="1455"/>
        </w:tabs>
        <w:spacing w:after="0" w:line="276" w:lineRule="auto"/>
        <w:contextualSpacing/>
        <w:jc w:val="center"/>
        <w:rPr>
          <w:rFonts w:ascii="Times New Roman" w:eastAsia="Calibri" w:hAnsi="Times New Roman" w:cs="Times New Roman"/>
          <w:i/>
          <w:sz w:val="26"/>
          <w:szCs w:val="26"/>
        </w:rPr>
      </w:pPr>
      <w:r w:rsidRPr="00114427">
        <w:rPr>
          <w:rFonts w:ascii="Times New Roman" w:eastAsia="Calibri" w:hAnsi="Times New Roman" w:cs="Times New Roman"/>
          <w:i/>
          <w:sz w:val="26"/>
          <w:szCs w:val="26"/>
        </w:rPr>
        <w:t>Определение по каждому из элементов сравнения корректировок цен аналогов</w:t>
      </w:r>
    </w:p>
    <w:p w14:paraId="14B99CE5" w14:textId="77777777" w:rsidR="00E62E8C" w:rsidRPr="00114427" w:rsidRDefault="00E62E8C" w:rsidP="00E62E8C">
      <w:pPr>
        <w:tabs>
          <w:tab w:val="left" w:pos="1455"/>
        </w:tabs>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Поправки могут быть выражены в процентном или денежном отношении. Денежная поправка может вноситься как к цене всего участка (абсолютная денежная корректировка), так и к цене единицы сравнения (относительная денежная корректировка). В рамках данного расчета корректировки вносились в процентном соотношении.</w:t>
      </w:r>
    </w:p>
    <w:p w14:paraId="2FC4C473" w14:textId="77777777" w:rsidR="00E62E8C" w:rsidRPr="00114427" w:rsidRDefault="00E62E8C" w:rsidP="00C1026B">
      <w:pPr>
        <w:numPr>
          <w:ilvl w:val="0"/>
          <w:numId w:val="11"/>
        </w:numPr>
        <w:tabs>
          <w:tab w:val="num" w:pos="720"/>
        </w:tabs>
        <w:spacing w:after="0" w:line="276" w:lineRule="auto"/>
        <w:ind w:left="0"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в первую очередь проводятся корректировки, относящиеся к условиям сделки и состоянию рынка (состав передаваемых прав, условия финансирования, условия продажи, дата продажи / предложения).</w:t>
      </w:r>
    </w:p>
    <w:p w14:paraId="2AB13FA7" w14:textId="77777777" w:rsidR="00E62E8C" w:rsidRPr="00114427" w:rsidRDefault="00E62E8C" w:rsidP="00C1026B">
      <w:pPr>
        <w:numPr>
          <w:ilvl w:val="0"/>
          <w:numId w:val="11"/>
        </w:numPr>
        <w:tabs>
          <w:tab w:val="num" w:pos="720"/>
        </w:tabs>
        <w:spacing w:after="0" w:line="276" w:lineRule="auto"/>
        <w:ind w:left="0"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во вторую очередь проводятся корректировки, относящиеся непосредственно к объекту оценки, которые проводятся путем применения указанных корректировок к результату, полученному после корректировки на условия сделки и состоянию рынка, в любом порядке. </w:t>
      </w:r>
    </w:p>
    <w:p w14:paraId="6CE3B545" w14:textId="77777777" w:rsidR="00E62E8C" w:rsidRPr="00114427" w:rsidRDefault="00E62E8C" w:rsidP="00E62E8C">
      <w:pPr>
        <w:autoSpaceDE w:val="0"/>
        <w:autoSpaceDN w:val="0"/>
        <w:adjustRightInd w:val="0"/>
        <w:spacing w:before="240"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Каждая сопоставимая продажа сравнивается с типовым (эталонным) объектом (в нашем случае это земельный участок, обладающий характерными для данной группы признаками, такими как функциональное назначение (разрешенное использование), площадь, наличие необходимых коммуникаций и др.). В цену сопоставимой продажи вносятся поправки, отражающие существенные различия между ними. Такой подход оправдан с той точки зрения, что потенциальный покупатель прежде, чем принять решение о покупке объекта недвижимости, проанализирует текущие рыночные предложения и придет к заключению о возможной цене предлагаемого объекта, учитывая все его достоинства и недостатки относительно объектов сравнения. </w:t>
      </w:r>
    </w:p>
    <w:p w14:paraId="76ADFC78" w14:textId="77777777"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В случае, если объект оценки имеет относительно лучшие характеристики, то цена объекта-аналога корректируется в сторону повышения, и наоборот. </w:t>
      </w:r>
    </w:p>
    <w:p w14:paraId="0BBB70B9" w14:textId="77777777"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Кадастровая стоимость эталонного земельного участка была определена как средневзвешенное значение полученных стоимостей объектов-аналогов. </w:t>
      </w:r>
    </w:p>
    <w:p w14:paraId="30E016B1" w14:textId="3B862BB4" w:rsidR="00E62E8C" w:rsidRPr="00114427"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Информация по объектам-аналогам, используемым для расчета стоимости эталонных земельных участков, приведена в </w:t>
      </w:r>
      <w:r w:rsidRPr="001F5B6B">
        <w:rPr>
          <w:rFonts w:ascii="Times New Roman" w:eastAsia="Calibri" w:hAnsi="Times New Roman" w:cs="Times New Roman"/>
          <w:sz w:val="26"/>
          <w:szCs w:val="26"/>
        </w:rPr>
        <w:t>Приложении 1/1.</w:t>
      </w:r>
      <w:r w:rsidR="001F5B6B" w:rsidRPr="001F5B6B">
        <w:rPr>
          <w:rFonts w:ascii="Times New Roman" w:eastAsia="Calibri" w:hAnsi="Times New Roman" w:cs="Times New Roman"/>
          <w:sz w:val="26"/>
          <w:szCs w:val="26"/>
        </w:rPr>
        <w:t>6</w:t>
      </w:r>
      <w:r w:rsidRPr="001F5B6B">
        <w:rPr>
          <w:rFonts w:ascii="Times New Roman" w:eastAsia="Calibri" w:hAnsi="Times New Roman" w:cs="Times New Roman"/>
          <w:sz w:val="26"/>
          <w:szCs w:val="26"/>
        </w:rPr>
        <w:t>.2.</w:t>
      </w:r>
    </w:p>
    <w:p w14:paraId="1FD34198" w14:textId="77777777" w:rsidR="00E62E8C" w:rsidRDefault="00E62E8C" w:rsidP="00E62E8C">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Выбранные объекты-аналоги и эталонный земельный участок сопоставимы по всем основным элементам сравнения</w:t>
      </w:r>
      <w:r>
        <w:rPr>
          <w:rFonts w:ascii="Times New Roman" w:eastAsia="Calibri" w:hAnsi="Times New Roman" w:cs="Times New Roman"/>
          <w:sz w:val="26"/>
          <w:szCs w:val="26"/>
        </w:rPr>
        <w:t xml:space="preserve">. </w:t>
      </w:r>
      <w:r w:rsidRPr="00114427">
        <w:rPr>
          <w:rFonts w:ascii="Times New Roman" w:eastAsia="Calibri" w:hAnsi="Times New Roman" w:cs="Times New Roman"/>
          <w:sz w:val="26"/>
          <w:szCs w:val="26"/>
        </w:rPr>
        <w:t>Учитывая различие</w:t>
      </w:r>
      <w:r>
        <w:rPr>
          <w:rFonts w:ascii="Times New Roman" w:eastAsia="Calibri" w:hAnsi="Times New Roman" w:cs="Times New Roman"/>
          <w:sz w:val="26"/>
          <w:szCs w:val="26"/>
        </w:rPr>
        <w:t xml:space="preserve"> в одной из физических характеристик – в обеспечении подъездными путями с твердым покрытием, необходимо</w:t>
      </w:r>
      <w:r w:rsidRPr="00114427">
        <w:rPr>
          <w:rFonts w:ascii="Times New Roman" w:eastAsia="Calibri" w:hAnsi="Times New Roman" w:cs="Times New Roman"/>
          <w:sz w:val="26"/>
          <w:szCs w:val="26"/>
        </w:rPr>
        <w:t xml:space="preserve"> внесение корректиров</w:t>
      </w:r>
      <w:r>
        <w:rPr>
          <w:rFonts w:ascii="Times New Roman" w:eastAsia="Calibri" w:hAnsi="Times New Roman" w:cs="Times New Roman"/>
          <w:sz w:val="26"/>
          <w:szCs w:val="26"/>
        </w:rPr>
        <w:t>ки</w:t>
      </w:r>
      <w:r w:rsidRPr="00114427">
        <w:rPr>
          <w:rFonts w:ascii="Times New Roman" w:eastAsia="Calibri" w:hAnsi="Times New Roman" w:cs="Times New Roman"/>
          <w:sz w:val="26"/>
          <w:szCs w:val="26"/>
        </w:rPr>
        <w:t xml:space="preserve"> по </w:t>
      </w:r>
      <w:r>
        <w:rPr>
          <w:rFonts w:ascii="Times New Roman" w:eastAsia="Calibri" w:hAnsi="Times New Roman" w:cs="Times New Roman"/>
          <w:sz w:val="26"/>
          <w:szCs w:val="26"/>
        </w:rPr>
        <w:t>данному элементу</w:t>
      </w:r>
      <w:r w:rsidRPr="00114427">
        <w:rPr>
          <w:rFonts w:ascii="Times New Roman" w:eastAsia="Calibri" w:hAnsi="Times New Roman" w:cs="Times New Roman"/>
          <w:sz w:val="26"/>
          <w:szCs w:val="26"/>
        </w:rPr>
        <w:t xml:space="preserve"> сравнения</w:t>
      </w:r>
      <w:r>
        <w:rPr>
          <w:rFonts w:ascii="Times New Roman" w:eastAsia="Calibri" w:hAnsi="Times New Roman" w:cs="Times New Roman"/>
          <w:sz w:val="26"/>
          <w:szCs w:val="26"/>
        </w:rPr>
        <w:t>.</w:t>
      </w:r>
      <w:r w:rsidRPr="00114427">
        <w:rPr>
          <w:rFonts w:ascii="Times New Roman" w:eastAsia="Calibri" w:hAnsi="Times New Roman" w:cs="Times New Roman"/>
          <w:sz w:val="26"/>
          <w:szCs w:val="26"/>
        </w:rPr>
        <w:t xml:space="preserve"> </w:t>
      </w:r>
      <w:r w:rsidRPr="00114427">
        <w:rPr>
          <w:rFonts w:ascii="Times New Roman" w:hAnsi="Times New Roman" w:cs="Times New Roman"/>
          <w:sz w:val="26"/>
          <w:szCs w:val="26"/>
        </w:rPr>
        <w:t>По остальным характеристикам введение корректировок не требуется.</w:t>
      </w:r>
    </w:p>
    <w:p w14:paraId="06882E07" w14:textId="33AF0976" w:rsidR="00E62E8C" w:rsidRDefault="00E62E8C" w:rsidP="00E62E8C">
      <w:pPr>
        <w:spacing w:after="0" w:line="276" w:lineRule="auto"/>
        <w:ind w:firstLine="709"/>
        <w:contextualSpacing/>
        <w:jc w:val="both"/>
        <w:rPr>
          <w:rFonts w:ascii="Times New Roman" w:eastAsia="Calibri" w:hAnsi="Times New Roman" w:cs="Times New Roman"/>
          <w:i/>
          <w:iCs/>
          <w:sz w:val="26"/>
          <w:szCs w:val="26"/>
        </w:rPr>
      </w:pPr>
    </w:p>
    <w:p w14:paraId="315A72CC" w14:textId="77777777" w:rsidR="00E62E8C" w:rsidRPr="002A427A" w:rsidRDefault="00E62E8C" w:rsidP="00E62E8C">
      <w:pPr>
        <w:spacing w:after="0" w:line="276" w:lineRule="auto"/>
        <w:ind w:firstLine="709"/>
        <w:contextualSpacing/>
        <w:jc w:val="both"/>
        <w:rPr>
          <w:rFonts w:ascii="Times New Roman" w:eastAsia="Calibri" w:hAnsi="Times New Roman" w:cs="Times New Roman"/>
          <w:sz w:val="26"/>
          <w:szCs w:val="26"/>
        </w:rPr>
      </w:pPr>
      <w:r w:rsidRPr="002A427A">
        <w:rPr>
          <w:rFonts w:ascii="Times New Roman" w:eastAsia="Calibri" w:hAnsi="Times New Roman" w:cs="Times New Roman"/>
          <w:i/>
          <w:iCs/>
          <w:sz w:val="26"/>
          <w:szCs w:val="26"/>
        </w:rPr>
        <w:t>К</w:t>
      </w:r>
      <w:r w:rsidRPr="003E60DE">
        <w:rPr>
          <w:rFonts w:ascii="Times New Roman" w:hAnsi="Times New Roman" w:cs="Times New Roman"/>
          <w:i/>
          <w:sz w:val="26"/>
          <w:szCs w:val="26"/>
        </w:rPr>
        <w:t xml:space="preserve">орректировка на </w:t>
      </w:r>
      <w:r>
        <w:rPr>
          <w:rFonts w:ascii="Times New Roman" w:hAnsi="Times New Roman" w:cs="Times New Roman"/>
          <w:i/>
          <w:sz w:val="26"/>
          <w:szCs w:val="26"/>
        </w:rPr>
        <w:t>наличие подъездных путей с твердым покрытием</w:t>
      </w:r>
    </w:p>
    <w:p w14:paraId="75F2D50C" w14:textId="77777777" w:rsidR="00E62E8C" w:rsidRPr="00E14BAC" w:rsidRDefault="00E62E8C" w:rsidP="00E62E8C">
      <w:pPr>
        <w:tabs>
          <w:tab w:val="right" w:pos="9072"/>
        </w:tabs>
        <w:spacing w:after="0" w:line="276" w:lineRule="auto"/>
        <w:ind w:firstLine="709"/>
        <w:contextualSpacing/>
        <w:jc w:val="both"/>
        <w:rPr>
          <w:rFonts w:ascii="Times New Roman" w:hAnsi="Times New Roman" w:cs="Times New Roman"/>
          <w:sz w:val="26"/>
          <w:szCs w:val="26"/>
        </w:rPr>
      </w:pPr>
      <w:r w:rsidRPr="00E14BAC">
        <w:rPr>
          <w:rFonts w:ascii="Times New Roman" w:hAnsi="Times New Roman" w:cs="Times New Roman"/>
          <w:sz w:val="26"/>
          <w:szCs w:val="26"/>
        </w:rPr>
        <w:t xml:space="preserve">Наличие </w:t>
      </w:r>
      <w:r>
        <w:rPr>
          <w:rFonts w:ascii="Times New Roman" w:hAnsi="Times New Roman" w:cs="Times New Roman"/>
          <w:sz w:val="26"/>
          <w:szCs w:val="26"/>
        </w:rPr>
        <w:t>качественных</w:t>
      </w:r>
      <w:r w:rsidRPr="00E14BAC">
        <w:rPr>
          <w:rFonts w:ascii="Times New Roman" w:hAnsi="Times New Roman" w:cs="Times New Roman"/>
          <w:sz w:val="26"/>
          <w:szCs w:val="26"/>
        </w:rPr>
        <w:t xml:space="preserve"> путей</w:t>
      </w:r>
      <w:r>
        <w:rPr>
          <w:rFonts w:ascii="Times New Roman" w:hAnsi="Times New Roman" w:cs="Times New Roman"/>
          <w:sz w:val="26"/>
          <w:szCs w:val="26"/>
        </w:rPr>
        <w:t xml:space="preserve"> к земельному участку является фактором, влияющим на стоимость земельных участков для сельскохозяйственного использования, обеспечивая их доступность </w:t>
      </w:r>
      <w:r w:rsidRPr="00E075F7">
        <w:rPr>
          <w:rFonts w:ascii="Times New Roman" w:hAnsi="Times New Roman" w:cs="Times New Roman"/>
          <w:sz w:val="26"/>
          <w:szCs w:val="26"/>
        </w:rPr>
        <w:t>для транспорта и сельскохозяйственной техник</w:t>
      </w:r>
      <w:r>
        <w:rPr>
          <w:rFonts w:ascii="Times New Roman" w:hAnsi="Times New Roman" w:cs="Times New Roman"/>
          <w:sz w:val="26"/>
          <w:szCs w:val="26"/>
        </w:rPr>
        <w:t>и.</w:t>
      </w:r>
    </w:p>
    <w:p w14:paraId="7FE41E7F" w14:textId="77777777" w:rsidR="00E62E8C" w:rsidRPr="007F03B9" w:rsidRDefault="00E62E8C" w:rsidP="00E62E8C">
      <w:pPr>
        <w:tabs>
          <w:tab w:val="right" w:pos="9072"/>
        </w:tabs>
        <w:spacing w:after="0" w:line="276" w:lineRule="auto"/>
        <w:ind w:firstLine="709"/>
        <w:contextualSpacing/>
        <w:jc w:val="both"/>
        <w:rPr>
          <w:rFonts w:ascii="Times New Roman" w:hAnsi="Times New Roman" w:cs="Times New Roman"/>
          <w:sz w:val="26"/>
          <w:szCs w:val="26"/>
        </w:rPr>
      </w:pPr>
      <w:r w:rsidRPr="003E60DE">
        <w:rPr>
          <w:rFonts w:ascii="Times New Roman" w:hAnsi="Times New Roman" w:cs="Times New Roman"/>
          <w:sz w:val="26"/>
          <w:szCs w:val="26"/>
        </w:rPr>
        <w:t>Согласно данным</w:t>
      </w:r>
      <w:r>
        <w:rPr>
          <w:rFonts w:ascii="Times New Roman" w:hAnsi="Times New Roman" w:cs="Times New Roman"/>
          <w:sz w:val="26"/>
          <w:szCs w:val="26"/>
        </w:rPr>
        <w:t xml:space="preserve"> издания</w:t>
      </w:r>
      <w:r w:rsidRPr="003E60DE">
        <w:rPr>
          <w:rFonts w:ascii="Times New Roman" w:hAnsi="Times New Roman" w:cs="Times New Roman"/>
          <w:sz w:val="26"/>
          <w:szCs w:val="26"/>
        </w:rPr>
        <w:t xml:space="preserve"> «Справочник оценщика недвижимости</w:t>
      </w:r>
      <w:r>
        <w:rPr>
          <w:rFonts w:ascii="Times New Roman" w:hAnsi="Times New Roman" w:cs="Times New Roman"/>
          <w:sz w:val="26"/>
          <w:szCs w:val="26"/>
        </w:rPr>
        <w:t xml:space="preserve">-2018, земельные участки сельскохозяйственного назначения» под редакцией Лейфера Л.А., </w:t>
      </w:r>
      <w:r w:rsidRPr="007F03B9">
        <w:rPr>
          <w:rFonts w:ascii="Times New Roman" w:hAnsi="Times New Roman" w:cs="Times New Roman"/>
          <w:sz w:val="26"/>
          <w:szCs w:val="26"/>
        </w:rPr>
        <w:t>зависимость удельной цены земельного участка от площади объекта представлена следующей таблицей</w:t>
      </w:r>
      <w:r>
        <w:rPr>
          <w:rFonts w:ascii="Times New Roman" w:hAnsi="Times New Roman" w:cs="Times New Roman"/>
          <w:sz w:val="26"/>
          <w:szCs w:val="26"/>
        </w:rPr>
        <w:t>:</w:t>
      </w:r>
    </w:p>
    <w:tbl>
      <w:tblPr>
        <w:tblStyle w:val="7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62E8C" w:rsidRPr="00F30272" w14:paraId="6ECC3EBA" w14:textId="77777777" w:rsidTr="006131C6">
        <w:trPr>
          <w:jc w:val="center"/>
        </w:trPr>
        <w:tc>
          <w:tcPr>
            <w:tcW w:w="5000" w:type="pct"/>
          </w:tcPr>
          <w:p w14:paraId="6D72F920" w14:textId="77777777" w:rsidR="00E62E8C" w:rsidRPr="00F30272" w:rsidRDefault="00E62E8C" w:rsidP="006131C6">
            <w:pPr>
              <w:spacing w:line="276" w:lineRule="auto"/>
              <w:jc w:val="center"/>
              <w:rPr>
                <w:rFonts w:ascii="Times New Roman" w:eastAsia="Calibri" w:hAnsi="Times New Roman" w:cs="Times New Roman"/>
                <w:i/>
                <w:sz w:val="26"/>
                <w:szCs w:val="26"/>
                <w:highlight w:val="yellow"/>
              </w:rPr>
            </w:pPr>
            <w:r>
              <w:rPr>
                <w:noProof/>
                <w:lang w:eastAsia="ru-RU"/>
              </w:rPr>
              <w:drawing>
                <wp:inline distT="0" distB="0" distL="0" distR="0" wp14:anchorId="2FBA6418" wp14:editId="1C9EC5F6">
                  <wp:extent cx="3419475" cy="971441"/>
                  <wp:effectExtent l="0" t="0" r="0" b="635"/>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srcRect/>
                          <a:stretch/>
                        </pic:blipFill>
                        <pic:spPr bwMode="auto">
                          <a:xfrm>
                            <a:off x="0" y="0"/>
                            <a:ext cx="3451475" cy="980532"/>
                          </a:xfrm>
                          <a:prstGeom prst="rect">
                            <a:avLst/>
                          </a:prstGeom>
                          <a:ln>
                            <a:noFill/>
                          </a:ln>
                          <a:extLst>
                            <a:ext uri="{53640926-AAD7-44D8-BBD7-CCE9431645EC}">
                              <a14:shadowObscured xmlns:a14="http://schemas.microsoft.com/office/drawing/2010/main"/>
                            </a:ext>
                          </a:extLst>
                        </pic:spPr>
                      </pic:pic>
                    </a:graphicData>
                  </a:graphic>
                </wp:inline>
              </w:drawing>
            </w:r>
          </w:p>
        </w:tc>
      </w:tr>
      <w:tr w:rsidR="00E62E8C" w:rsidRPr="00F30272" w14:paraId="128B4256" w14:textId="77777777" w:rsidTr="006131C6">
        <w:trPr>
          <w:jc w:val="center"/>
        </w:trPr>
        <w:tc>
          <w:tcPr>
            <w:tcW w:w="5000" w:type="pct"/>
          </w:tcPr>
          <w:p w14:paraId="2C8F5A63" w14:textId="77777777" w:rsidR="00E62E8C" w:rsidRPr="00F30272" w:rsidRDefault="00E62E8C" w:rsidP="006131C6">
            <w:pPr>
              <w:tabs>
                <w:tab w:val="right" w:pos="9072"/>
              </w:tabs>
              <w:spacing w:line="276" w:lineRule="auto"/>
              <w:jc w:val="center"/>
              <w:rPr>
                <w:rFonts w:ascii="Times New Roman" w:hAnsi="Times New Roman" w:cs="Times New Roman"/>
                <w:i/>
                <w:noProof/>
                <w:sz w:val="18"/>
                <w:szCs w:val="18"/>
                <w:highlight w:val="yellow"/>
              </w:rPr>
            </w:pPr>
            <w:r w:rsidRPr="007F03B9">
              <w:rPr>
                <w:rFonts w:ascii="Times New Roman" w:hAnsi="Times New Roman" w:cs="Times New Roman"/>
                <w:i/>
                <w:noProof/>
                <w:sz w:val="18"/>
                <w:szCs w:val="18"/>
              </w:rPr>
              <w:t>Источник: «Справочника оценщика недвижимости</w:t>
            </w:r>
            <w:r>
              <w:rPr>
                <w:rFonts w:ascii="Times New Roman" w:hAnsi="Times New Roman" w:cs="Times New Roman"/>
                <w:i/>
                <w:noProof/>
                <w:sz w:val="18"/>
                <w:szCs w:val="18"/>
              </w:rPr>
              <w:t>-2018</w:t>
            </w:r>
            <w:r w:rsidRPr="007F03B9">
              <w:rPr>
                <w:rFonts w:ascii="Times New Roman" w:hAnsi="Times New Roman" w:cs="Times New Roman"/>
                <w:i/>
                <w:noProof/>
                <w:sz w:val="18"/>
                <w:szCs w:val="18"/>
              </w:rPr>
              <w:t>,</w:t>
            </w:r>
            <w:r>
              <w:rPr>
                <w:rFonts w:ascii="Times New Roman" w:hAnsi="Times New Roman" w:cs="Times New Roman"/>
                <w:i/>
                <w:noProof/>
                <w:sz w:val="18"/>
                <w:szCs w:val="18"/>
              </w:rPr>
              <w:t xml:space="preserve"> земельные участки сельскохозяйственного назначения», под ред. Лейфера Л. А.</w:t>
            </w:r>
            <w:r w:rsidRPr="007F03B9">
              <w:rPr>
                <w:rFonts w:ascii="Times New Roman" w:hAnsi="Times New Roman" w:cs="Times New Roman"/>
                <w:i/>
                <w:noProof/>
                <w:sz w:val="18"/>
                <w:szCs w:val="18"/>
              </w:rPr>
              <w:t xml:space="preserve"> стр. </w:t>
            </w:r>
            <w:r>
              <w:rPr>
                <w:rFonts w:ascii="Times New Roman" w:hAnsi="Times New Roman" w:cs="Times New Roman"/>
                <w:i/>
                <w:noProof/>
                <w:sz w:val="18"/>
                <w:szCs w:val="18"/>
              </w:rPr>
              <w:t>96</w:t>
            </w:r>
            <w:r w:rsidRPr="007F03B9">
              <w:rPr>
                <w:rFonts w:ascii="Times New Roman" w:hAnsi="Times New Roman" w:cs="Times New Roman"/>
                <w:i/>
                <w:noProof/>
                <w:sz w:val="18"/>
                <w:szCs w:val="18"/>
              </w:rPr>
              <w:t>, табл. 3</w:t>
            </w:r>
            <w:r>
              <w:rPr>
                <w:rFonts w:ascii="Times New Roman" w:hAnsi="Times New Roman" w:cs="Times New Roman"/>
                <w:i/>
                <w:noProof/>
                <w:sz w:val="18"/>
                <w:szCs w:val="18"/>
              </w:rPr>
              <w:t>1</w:t>
            </w:r>
          </w:p>
        </w:tc>
      </w:tr>
    </w:tbl>
    <w:p w14:paraId="037CA3D4" w14:textId="6383A0C1" w:rsidR="00E62E8C" w:rsidRDefault="00E62E8C" w:rsidP="00E62E8C">
      <w:pPr>
        <w:tabs>
          <w:tab w:val="right" w:pos="9072"/>
        </w:tabs>
        <w:spacing w:after="0" w:line="276" w:lineRule="auto"/>
        <w:ind w:firstLine="709"/>
        <w:jc w:val="center"/>
        <w:rPr>
          <w:rFonts w:ascii="Times New Roman" w:hAnsi="Times New Roman" w:cs="Times New Roman"/>
          <w:sz w:val="26"/>
          <w:szCs w:val="26"/>
        </w:rPr>
      </w:pPr>
      <w:r w:rsidRPr="00E16424">
        <w:rPr>
          <w:rFonts w:ascii="Times New Roman" w:hAnsi="Times New Roman" w:cs="Times New Roman"/>
          <w:sz w:val="26"/>
          <w:szCs w:val="26"/>
        </w:rPr>
        <w:t xml:space="preserve">Рис. </w:t>
      </w:r>
      <w:r w:rsidR="00DF12F7" w:rsidRPr="005E0D27">
        <w:rPr>
          <w:rFonts w:ascii="Times New Roman" w:hAnsi="Times New Roman" w:cs="Times New Roman"/>
          <w:sz w:val="26"/>
          <w:szCs w:val="26"/>
        </w:rPr>
        <w:t>3.6.</w:t>
      </w:r>
      <w:r w:rsidR="00DF12F7">
        <w:rPr>
          <w:rFonts w:ascii="Times New Roman" w:hAnsi="Times New Roman" w:cs="Times New Roman"/>
          <w:sz w:val="26"/>
          <w:szCs w:val="26"/>
        </w:rPr>
        <w:t>1</w:t>
      </w:r>
      <w:r w:rsidR="00DF12F7" w:rsidRPr="005E0D27">
        <w:rPr>
          <w:rFonts w:ascii="Times New Roman" w:hAnsi="Times New Roman" w:cs="Times New Roman"/>
          <w:sz w:val="26"/>
          <w:szCs w:val="26"/>
        </w:rPr>
        <w:t>.</w:t>
      </w:r>
      <w:r w:rsidR="00637AE9">
        <w:rPr>
          <w:rFonts w:ascii="Times New Roman" w:hAnsi="Times New Roman" w:cs="Times New Roman"/>
          <w:sz w:val="26"/>
          <w:szCs w:val="26"/>
        </w:rPr>
        <w:t>1.</w:t>
      </w:r>
      <w:r w:rsidR="00214C7F">
        <w:rPr>
          <w:rFonts w:ascii="Times New Roman" w:hAnsi="Times New Roman" w:cs="Times New Roman"/>
          <w:sz w:val="26"/>
          <w:szCs w:val="26"/>
        </w:rPr>
        <w:t xml:space="preserve">1 </w:t>
      </w:r>
      <w:r w:rsidRPr="00E16424">
        <w:rPr>
          <w:rFonts w:ascii="Times New Roman" w:hAnsi="Times New Roman" w:cs="Times New Roman"/>
          <w:sz w:val="26"/>
          <w:szCs w:val="26"/>
        </w:rPr>
        <w:t xml:space="preserve">- Значения корректирующих коэффициентов на </w:t>
      </w:r>
      <w:r w:rsidRPr="004C31D5">
        <w:rPr>
          <w:rFonts w:ascii="Times New Roman" w:hAnsi="Times New Roman" w:cs="Times New Roman"/>
          <w:sz w:val="26"/>
          <w:szCs w:val="26"/>
        </w:rPr>
        <w:t>наличие подъездных путей с твердым покрытием.</w:t>
      </w:r>
    </w:p>
    <w:p w14:paraId="5FA5B389" w14:textId="77777777" w:rsidR="00E62E8C" w:rsidRDefault="00E62E8C" w:rsidP="00E62E8C">
      <w:pPr>
        <w:tabs>
          <w:tab w:val="right" w:pos="9072"/>
        </w:tabs>
        <w:spacing w:after="0" w:line="276" w:lineRule="auto"/>
        <w:ind w:firstLine="709"/>
        <w:jc w:val="center"/>
        <w:rPr>
          <w:rFonts w:ascii="Times New Roman" w:hAnsi="Times New Roman" w:cs="Times New Roman"/>
          <w:i/>
          <w:noProof/>
          <w:sz w:val="18"/>
          <w:szCs w:val="18"/>
          <w:highlight w:val="yellow"/>
        </w:rPr>
      </w:pPr>
    </w:p>
    <w:p w14:paraId="5B76C801" w14:textId="76E3B576" w:rsidR="00220663" w:rsidRPr="001B772C" w:rsidRDefault="00E62E8C" w:rsidP="00220663">
      <w:pPr>
        <w:tabs>
          <w:tab w:val="right" w:pos="9072"/>
        </w:tabs>
        <w:spacing w:after="0" w:line="276" w:lineRule="auto"/>
        <w:ind w:firstLine="709"/>
        <w:contextualSpacing/>
        <w:jc w:val="both"/>
        <w:rPr>
          <w:rFonts w:ascii="Times New Roman" w:hAnsi="Times New Roman" w:cs="Times New Roman"/>
          <w:sz w:val="26"/>
          <w:szCs w:val="26"/>
        </w:rPr>
      </w:pPr>
      <w:r w:rsidRPr="001A3A23">
        <w:rPr>
          <w:rFonts w:ascii="Times New Roman" w:hAnsi="Times New Roman" w:cs="Times New Roman"/>
          <w:sz w:val="26"/>
          <w:szCs w:val="26"/>
        </w:rPr>
        <w:t xml:space="preserve">Поскольку типовой (эталонный) объект </w:t>
      </w:r>
      <w:r>
        <w:rPr>
          <w:rFonts w:ascii="Times New Roman" w:hAnsi="Times New Roman" w:cs="Times New Roman"/>
          <w:sz w:val="26"/>
          <w:szCs w:val="26"/>
        </w:rPr>
        <w:t>не имеет подъездных путей, к аналогам, имеющим подъездные пути, применена корректировка</w:t>
      </w:r>
      <w:r w:rsidRPr="001A3A23">
        <w:rPr>
          <w:rFonts w:ascii="Times New Roman" w:hAnsi="Times New Roman" w:cs="Times New Roman"/>
          <w:sz w:val="26"/>
          <w:szCs w:val="26"/>
        </w:rPr>
        <w:t>.</w:t>
      </w:r>
    </w:p>
    <w:p w14:paraId="64770415" w14:textId="77777777" w:rsidR="00E62E8C" w:rsidRPr="001B772C" w:rsidRDefault="00E62E8C" w:rsidP="00E62E8C">
      <w:pPr>
        <w:tabs>
          <w:tab w:val="right" w:pos="9072"/>
        </w:tabs>
        <w:spacing w:after="0" w:line="276" w:lineRule="auto"/>
        <w:ind w:firstLine="709"/>
        <w:contextualSpacing/>
        <w:jc w:val="both"/>
        <w:rPr>
          <w:rFonts w:ascii="Times New Roman" w:hAnsi="Times New Roman" w:cs="Times New Roman"/>
          <w:sz w:val="26"/>
          <w:szCs w:val="26"/>
        </w:rPr>
      </w:pPr>
      <w:r w:rsidRPr="001B772C">
        <w:rPr>
          <w:rFonts w:ascii="Times New Roman" w:hAnsi="Times New Roman" w:cs="Times New Roman"/>
          <w:sz w:val="26"/>
          <w:szCs w:val="26"/>
        </w:rPr>
        <w:t>Заключительным этапом метода сравнения продаж сравнительного подхода является анализ произведенных расчетов с целью получения итоговой величины стоимости 1м</w:t>
      </w:r>
      <w:r w:rsidRPr="001B772C">
        <w:rPr>
          <w:rFonts w:ascii="Times New Roman" w:hAnsi="Times New Roman" w:cs="Times New Roman"/>
          <w:sz w:val="26"/>
          <w:szCs w:val="26"/>
          <w:vertAlign w:val="superscript"/>
        </w:rPr>
        <w:t>2</w:t>
      </w:r>
      <w:r w:rsidRPr="001B772C">
        <w:rPr>
          <w:rFonts w:ascii="Times New Roman" w:hAnsi="Times New Roman" w:cs="Times New Roman"/>
          <w:sz w:val="26"/>
          <w:szCs w:val="26"/>
        </w:rPr>
        <w:t xml:space="preserve"> объекта недвижимости. Наибольший вес присваивается скорректированным величинам цен тех отобранных аналогов, к которым вводилось меньшее количество и величина корректировок. Иначе говоря, наибольший вес при согласовании результатов корректировок будут иметь те аналоги, которые наиболее сопоставимы с типовым (эталонным) объектом.</w:t>
      </w:r>
    </w:p>
    <w:p w14:paraId="101C7B7F" w14:textId="01766F74" w:rsidR="00E62E8C" w:rsidRDefault="00E62E8C" w:rsidP="00E62E8C">
      <w:pPr>
        <w:tabs>
          <w:tab w:val="right" w:pos="9072"/>
        </w:tabs>
        <w:spacing w:after="0" w:line="276" w:lineRule="auto"/>
        <w:ind w:firstLine="709"/>
        <w:contextualSpacing/>
        <w:jc w:val="both"/>
        <w:rPr>
          <w:rFonts w:ascii="Times New Roman" w:hAnsi="Times New Roman" w:cs="Times New Roman"/>
          <w:sz w:val="26"/>
          <w:szCs w:val="26"/>
        </w:rPr>
      </w:pPr>
      <w:r w:rsidRPr="001B772C">
        <w:rPr>
          <w:rFonts w:ascii="Times New Roman" w:hAnsi="Times New Roman" w:cs="Times New Roman"/>
          <w:sz w:val="26"/>
          <w:szCs w:val="26"/>
        </w:rPr>
        <w:t xml:space="preserve">Расчет </w:t>
      </w:r>
      <w:r w:rsidRPr="00220663">
        <w:rPr>
          <w:rFonts w:ascii="Times New Roman" w:hAnsi="Times New Roman" w:cs="Times New Roman"/>
          <w:sz w:val="26"/>
          <w:szCs w:val="26"/>
        </w:rPr>
        <w:t xml:space="preserve">кадастровой стоимости типового (эталонного) земельного участка представлен в Приложении </w:t>
      </w:r>
      <w:r w:rsidR="00220663" w:rsidRPr="00220663">
        <w:rPr>
          <w:rFonts w:ascii="Times New Roman" w:hAnsi="Times New Roman" w:cs="Times New Roman"/>
          <w:sz w:val="26"/>
          <w:szCs w:val="26"/>
        </w:rPr>
        <w:t>2</w:t>
      </w:r>
      <w:r w:rsidRPr="00220663">
        <w:rPr>
          <w:rFonts w:ascii="Times New Roman" w:hAnsi="Times New Roman" w:cs="Times New Roman"/>
          <w:sz w:val="26"/>
          <w:szCs w:val="26"/>
        </w:rPr>
        <w:t>/</w:t>
      </w:r>
      <w:r w:rsidR="00BA7E67">
        <w:rPr>
          <w:rFonts w:ascii="Times New Roman" w:hAnsi="Times New Roman" w:cs="Times New Roman"/>
          <w:sz w:val="26"/>
          <w:szCs w:val="26"/>
        </w:rPr>
        <w:t>2.6/</w:t>
      </w:r>
      <w:r w:rsidR="00220663" w:rsidRPr="00220663">
        <w:rPr>
          <w:rFonts w:ascii="Times New Roman" w:hAnsi="Times New Roman" w:cs="Times New Roman"/>
          <w:sz w:val="26"/>
          <w:szCs w:val="26"/>
        </w:rPr>
        <w:t>2.6</w:t>
      </w:r>
      <w:r w:rsidRPr="00220663">
        <w:rPr>
          <w:rFonts w:ascii="Times New Roman" w:hAnsi="Times New Roman" w:cs="Times New Roman"/>
          <w:sz w:val="26"/>
          <w:szCs w:val="26"/>
        </w:rPr>
        <w:t>.1</w:t>
      </w:r>
      <w:r w:rsidR="00CA384A">
        <w:rPr>
          <w:rFonts w:ascii="Times New Roman" w:hAnsi="Times New Roman" w:cs="Times New Roman"/>
          <w:sz w:val="26"/>
          <w:szCs w:val="26"/>
        </w:rPr>
        <w:t>/2.6.1.1</w:t>
      </w:r>
    </w:p>
    <w:p w14:paraId="4416EFCF" w14:textId="77777777" w:rsidR="007B7562" w:rsidRPr="00F562A8" w:rsidRDefault="007B7562" w:rsidP="006F6435">
      <w:pPr>
        <w:suppressAutoHyphens/>
        <w:autoSpaceDN w:val="0"/>
        <w:spacing w:after="0" w:line="276" w:lineRule="auto"/>
        <w:ind w:firstLine="709"/>
        <w:jc w:val="both"/>
        <w:textAlignment w:val="baseline"/>
        <w:rPr>
          <w:rFonts w:ascii="Times New Roman" w:eastAsia="Times New Roman" w:hAnsi="Times New Roman" w:cs="Times New Roman"/>
          <w:sz w:val="26"/>
          <w:szCs w:val="26"/>
          <w:lang w:eastAsia="ru-RU"/>
        </w:rPr>
      </w:pPr>
    </w:p>
    <w:p w14:paraId="6E5F269C" w14:textId="77777777" w:rsidR="00CD59AB" w:rsidRPr="00E85686" w:rsidRDefault="00CD59AB" w:rsidP="00E85686">
      <w:pPr>
        <w:spacing w:after="0" w:line="276" w:lineRule="auto"/>
        <w:ind w:firstLine="709"/>
        <w:jc w:val="both"/>
        <w:rPr>
          <w:rFonts w:ascii="Times New Roman" w:eastAsia="Times New Roman" w:hAnsi="Times New Roman" w:cs="Times New Roman"/>
          <w:color w:val="000000" w:themeColor="text1"/>
          <w:sz w:val="26"/>
          <w:szCs w:val="26"/>
        </w:rPr>
      </w:pPr>
      <w:bookmarkStart w:id="138" w:name="_Hlk42766105"/>
    </w:p>
    <w:p w14:paraId="1EAD4CFF" w14:textId="77777777" w:rsidR="00CD59AB" w:rsidRDefault="00CD59AB" w:rsidP="00E85686">
      <w:pPr>
        <w:spacing w:after="0" w:line="276" w:lineRule="auto"/>
        <w:ind w:firstLine="709"/>
        <w:jc w:val="both"/>
        <w:rPr>
          <w:rFonts w:ascii="Times New Roman" w:hAnsi="Times New Roman" w:cs="Times New Roman"/>
          <w:i/>
          <w:sz w:val="26"/>
          <w:szCs w:val="26"/>
        </w:rPr>
      </w:pPr>
    </w:p>
    <w:p w14:paraId="25EA3FB4" w14:textId="77777777" w:rsidR="006C1D26" w:rsidRDefault="006C1D26" w:rsidP="006C1D26">
      <w:pPr>
        <w:spacing w:after="0" w:line="276" w:lineRule="auto"/>
        <w:ind w:firstLine="709"/>
        <w:jc w:val="both"/>
        <w:rPr>
          <w:rFonts w:ascii="Times New Roman" w:hAnsi="Times New Roman" w:cs="Times New Roman"/>
          <w:i/>
          <w:sz w:val="26"/>
          <w:szCs w:val="26"/>
        </w:rPr>
      </w:pPr>
    </w:p>
    <w:p w14:paraId="1F46DAE3" w14:textId="1BD71917" w:rsidR="00306BF5" w:rsidRPr="00F562A8" w:rsidRDefault="00B15076" w:rsidP="009F22FE">
      <w:pPr>
        <w:pStyle w:val="ab"/>
        <w:ind w:left="0"/>
        <w:jc w:val="center"/>
        <w:outlineLvl w:val="2"/>
        <w:rPr>
          <w:rFonts w:ascii="Times New Roman" w:hAnsi="Times New Roman" w:cs="Times New Roman"/>
          <w:i/>
          <w:sz w:val="26"/>
          <w:szCs w:val="26"/>
        </w:rPr>
      </w:pPr>
      <w:bookmarkStart w:id="139" w:name="_Toc110506961"/>
      <w:r w:rsidRPr="009E7344">
        <w:rPr>
          <w:rFonts w:ascii="Times New Roman" w:hAnsi="Times New Roman" w:cs="Times New Roman"/>
          <w:i/>
          <w:sz w:val="26"/>
          <w:szCs w:val="26"/>
        </w:rPr>
        <w:t xml:space="preserve">3.6.1.2. </w:t>
      </w:r>
      <w:r w:rsidR="00306BF5" w:rsidRPr="009E7344">
        <w:rPr>
          <w:rFonts w:ascii="Times New Roman" w:hAnsi="Times New Roman" w:cs="Times New Roman"/>
          <w:i/>
          <w:sz w:val="26"/>
          <w:szCs w:val="26"/>
        </w:rPr>
        <w:t>Расчет</w:t>
      </w:r>
      <w:r w:rsidR="00306BF5" w:rsidRPr="00F562A8">
        <w:rPr>
          <w:rFonts w:ascii="Times New Roman" w:hAnsi="Times New Roman" w:cs="Times New Roman"/>
          <w:i/>
          <w:sz w:val="26"/>
          <w:szCs w:val="26"/>
        </w:rPr>
        <w:t xml:space="preserve"> кадастровой стоимости земельных участков </w:t>
      </w:r>
      <w:r w:rsidR="002C0DE3">
        <w:rPr>
          <w:rFonts w:ascii="Times New Roman" w:hAnsi="Times New Roman" w:cs="Times New Roman"/>
          <w:i/>
          <w:sz w:val="26"/>
          <w:szCs w:val="26"/>
        </w:rPr>
        <w:t xml:space="preserve">группы </w:t>
      </w:r>
      <w:r w:rsidR="002C0DE3" w:rsidRPr="002C0DE3">
        <w:rPr>
          <w:rFonts w:ascii="Times New Roman" w:hAnsi="Times New Roman" w:cs="Times New Roman"/>
          <w:i/>
          <w:sz w:val="26"/>
          <w:szCs w:val="26"/>
        </w:rPr>
        <w:t>Пруды</w:t>
      </w:r>
      <w:bookmarkEnd w:id="139"/>
      <w:r w:rsidR="00306BF5" w:rsidRPr="00F562A8">
        <w:rPr>
          <w:rFonts w:ascii="Times New Roman" w:hAnsi="Times New Roman" w:cs="Times New Roman"/>
          <w:i/>
          <w:sz w:val="26"/>
          <w:szCs w:val="26"/>
        </w:rPr>
        <w:t xml:space="preserve"> </w:t>
      </w:r>
    </w:p>
    <w:p w14:paraId="3197F79B" w14:textId="77777777" w:rsidR="00B13AC9" w:rsidRPr="00F562A8" w:rsidRDefault="00B13AC9" w:rsidP="00B13AC9">
      <w:pPr>
        <w:spacing w:after="0" w:line="240" w:lineRule="auto"/>
        <w:ind w:firstLine="709"/>
        <w:jc w:val="both"/>
        <w:rPr>
          <w:rFonts w:ascii="Times New Roman" w:eastAsiaTheme="minorEastAsia" w:hAnsi="Times New Roman" w:cs="Times New Roman"/>
          <w:sz w:val="16"/>
          <w:szCs w:val="16"/>
        </w:rPr>
      </w:pPr>
    </w:p>
    <w:p w14:paraId="5CE7387A" w14:textId="1DBDC7A6" w:rsidR="002C0DE3" w:rsidRPr="00F562A8" w:rsidRDefault="002C0DE3" w:rsidP="002C0DE3">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EA1B78" w:rsidRPr="00F562A8">
        <w:rPr>
          <w:rFonts w:ascii="Times New Roman" w:eastAsiaTheme="minorEastAsia" w:hAnsi="Times New Roman" w:cs="Times New Roman"/>
          <w:sz w:val="26"/>
          <w:szCs w:val="26"/>
        </w:rPr>
        <w:t>2/2.4</w:t>
      </w:r>
      <w:r w:rsidR="00EA1B78">
        <w:rPr>
          <w:rFonts w:ascii="Times New Roman" w:eastAsiaTheme="minorEastAsia" w:hAnsi="Times New Roman" w:cs="Times New Roman"/>
          <w:sz w:val="26"/>
          <w:szCs w:val="26"/>
        </w:rPr>
        <w:t>/2.4.1</w:t>
      </w:r>
    </w:p>
    <w:p w14:paraId="2D6E8E64" w14:textId="4EF0C1A8" w:rsidR="002C0DE3" w:rsidRPr="00F562A8" w:rsidRDefault="000D7BBA" w:rsidP="002C0DE3">
      <w:pPr>
        <w:spacing w:after="0" w:line="276" w:lineRule="auto"/>
        <w:ind w:firstLine="709"/>
        <w:jc w:val="both"/>
        <w:rPr>
          <w:rFonts w:ascii="Times New Roman" w:hAnsi="Times New Roman" w:cs="Times New Roman"/>
          <w:sz w:val="26"/>
          <w:szCs w:val="26"/>
        </w:rPr>
      </w:pPr>
      <w:r w:rsidRPr="00F562A8">
        <w:rPr>
          <w:rFonts w:ascii="Times New Roman" w:eastAsiaTheme="minorEastAsia" w:hAnsi="Times New Roman" w:cs="Times New Roman"/>
          <w:sz w:val="26"/>
          <w:szCs w:val="26"/>
        </w:rPr>
        <w:t xml:space="preserve">В соответствии с п. </w:t>
      </w:r>
      <w:r>
        <w:rPr>
          <w:rFonts w:ascii="Times New Roman" w:eastAsiaTheme="minorEastAsia" w:hAnsi="Times New Roman" w:cs="Times New Roman"/>
          <w:sz w:val="26"/>
          <w:szCs w:val="26"/>
        </w:rPr>
        <w:t>57.8</w:t>
      </w:r>
      <w:r w:rsidRPr="00F562A8">
        <w:rPr>
          <w:rFonts w:ascii="Times New Roman" w:eastAsiaTheme="minorEastAsia" w:hAnsi="Times New Roman" w:cs="Times New Roman"/>
          <w:sz w:val="26"/>
          <w:szCs w:val="26"/>
        </w:rPr>
        <w:t xml:space="preserve"> земельные участки, занятые обособленными водными объектами или их частями, в том числе участки, занятые объектами рыбного хозяйства, оцениваются для целей Указаний исходя из возможности разведения рыбы</w:t>
      </w:r>
      <w:r>
        <w:rPr>
          <w:rFonts w:ascii="Times New Roman" w:eastAsiaTheme="minorEastAsia" w:hAnsi="Times New Roman" w:cs="Times New Roman"/>
          <w:sz w:val="26"/>
          <w:szCs w:val="26"/>
        </w:rPr>
        <w:t xml:space="preserve">. </w:t>
      </w:r>
      <w:r>
        <w:rPr>
          <w:rFonts w:ascii="Times New Roman" w:hAnsi="Times New Roman" w:cs="Times New Roman"/>
          <w:sz w:val="26"/>
          <w:szCs w:val="26"/>
        </w:rPr>
        <w:t>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002C0DE3" w:rsidRPr="00F562A8">
        <w:rPr>
          <w:rFonts w:ascii="Times New Roman" w:hAnsi="Times New Roman" w:cs="Times New Roman"/>
          <w:sz w:val="26"/>
          <w:szCs w:val="26"/>
        </w:rPr>
        <w:t xml:space="preserve">: </w:t>
      </w:r>
      <w:r w:rsidR="002C0DE3" w:rsidRPr="002C0DE3">
        <w:rPr>
          <w:rFonts w:ascii="Times New Roman" w:hAnsi="Times New Roman" w:cs="Times New Roman"/>
          <w:sz w:val="26"/>
          <w:szCs w:val="26"/>
        </w:rPr>
        <w:t>01:130, 01:131</w:t>
      </w:r>
      <w:r w:rsidR="002C0DE3" w:rsidRPr="00F562A8">
        <w:rPr>
          <w:rFonts w:ascii="Times New Roman" w:hAnsi="Times New Roman" w:cs="Times New Roman"/>
          <w:sz w:val="26"/>
          <w:szCs w:val="26"/>
        </w:rPr>
        <w:t>.</w:t>
      </w:r>
    </w:p>
    <w:bookmarkEnd w:id="138"/>
    <w:p w14:paraId="77145A9A" w14:textId="56CEE7C8" w:rsidR="001C2BA2" w:rsidRPr="00F562A8" w:rsidRDefault="001C2BA2" w:rsidP="001C2BA2">
      <w:pPr>
        <w:spacing w:after="0" w:line="276" w:lineRule="auto"/>
        <w:ind w:firstLine="567"/>
        <w:jc w:val="both"/>
        <w:rPr>
          <w:rFonts w:ascii="Times New Roman" w:hAnsi="Times New Roman" w:cs="Times New Roman"/>
          <w:color w:val="000000" w:themeColor="text1"/>
          <w:sz w:val="26"/>
          <w:szCs w:val="26"/>
        </w:rPr>
      </w:pPr>
      <w:r w:rsidRPr="00F562A8">
        <w:rPr>
          <w:rFonts w:ascii="Times New Roman" w:eastAsiaTheme="minorEastAsia" w:hAnsi="Times New Roman" w:cs="Times New Roman"/>
          <w:sz w:val="26"/>
          <w:szCs w:val="26"/>
        </w:rPr>
        <w:t xml:space="preserve">  </w:t>
      </w:r>
      <w:r w:rsidRPr="00F562A8">
        <w:rPr>
          <w:rFonts w:ascii="Times New Roman" w:hAnsi="Times New Roman" w:cs="Times New Roman"/>
          <w:color w:val="000000" w:themeColor="text1"/>
          <w:sz w:val="26"/>
          <w:szCs w:val="26"/>
        </w:rPr>
        <w:t xml:space="preserve">В результате обработки Перечня в группу 01:130 «Рыбоводство» включены </w:t>
      </w:r>
      <w:r w:rsidRPr="003F5548">
        <w:rPr>
          <w:rFonts w:ascii="Times New Roman" w:hAnsi="Times New Roman" w:cs="Times New Roman"/>
          <w:color w:val="000000" w:themeColor="text1"/>
          <w:sz w:val="26"/>
          <w:szCs w:val="26"/>
        </w:rPr>
        <w:t>326</w:t>
      </w:r>
      <w:r w:rsidRPr="00F562A8">
        <w:rPr>
          <w:rFonts w:ascii="Times New Roman" w:hAnsi="Times New Roman" w:cs="Times New Roman"/>
          <w:color w:val="000000" w:themeColor="text1"/>
          <w:sz w:val="26"/>
          <w:szCs w:val="26"/>
        </w:rPr>
        <w:t xml:space="preserve"> земельных участка под </w:t>
      </w:r>
      <w:r>
        <w:rPr>
          <w:rFonts w:ascii="Times New Roman" w:hAnsi="Times New Roman" w:cs="Times New Roman"/>
          <w:color w:val="000000" w:themeColor="text1"/>
          <w:sz w:val="26"/>
          <w:szCs w:val="26"/>
        </w:rPr>
        <w:t>водными объектами</w:t>
      </w:r>
      <w:r w:rsidRPr="00F562A8">
        <w:rPr>
          <w:rFonts w:ascii="Times New Roman" w:hAnsi="Times New Roman" w:cs="Times New Roman"/>
          <w:color w:val="000000" w:themeColor="text1"/>
          <w:sz w:val="26"/>
          <w:szCs w:val="26"/>
        </w:rPr>
        <w:t xml:space="preserve">, предназначенными для разведения рыбы. Из них к категории </w:t>
      </w:r>
      <w:r w:rsidRPr="00F562A8">
        <w:rPr>
          <w:rFonts w:ascii="Times New Roman" w:hAnsi="Times New Roman" w:cs="Times New Roman"/>
          <w:i/>
          <w:color w:val="000000" w:themeColor="text1"/>
          <w:sz w:val="26"/>
          <w:szCs w:val="26"/>
        </w:rPr>
        <w:t>земель населенных пунктов</w:t>
      </w:r>
      <w:r w:rsidRPr="00F562A8">
        <w:rPr>
          <w:rFonts w:ascii="Times New Roman" w:hAnsi="Times New Roman" w:cs="Times New Roman"/>
          <w:color w:val="000000" w:themeColor="text1"/>
          <w:sz w:val="26"/>
          <w:szCs w:val="26"/>
        </w:rPr>
        <w:t xml:space="preserve"> относится </w:t>
      </w:r>
      <w:r w:rsidRPr="007B15B1">
        <w:rPr>
          <w:rFonts w:ascii="Times New Roman" w:hAnsi="Times New Roman" w:cs="Times New Roman"/>
          <w:color w:val="000000" w:themeColor="text1"/>
          <w:sz w:val="26"/>
          <w:szCs w:val="26"/>
        </w:rPr>
        <w:t>38</w:t>
      </w:r>
      <w:r w:rsidRPr="00F562A8">
        <w:rPr>
          <w:rFonts w:ascii="Times New Roman" w:hAnsi="Times New Roman" w:cs="Times New Roman"/>
          <w:color w:val="000000" w:themeColor="text1"/>
          <w:sz w:val="26"/>
          <w:szCs w:val="26"/>
        </w:rPr>
        <w:t xml:space="preserve"> земельных участк</w:t>
      </w:r>
      <w:r>
        <w:rPr>
          <w:rFonts w:ascii="Times New Roman" w:hAnsi="Times New Roman" w:cs="Times New Roman"/>
          <w:color w:val="000000" w:themeColor="text1"/>
          <w:sz w:val="26"/>
          <w:szCs w:val="26"/>
        </w:rPr>
        <w:t xml:space="preserve">ов, </w:t>
      </w:r>
      <w:r w:rsidRPr="007B15B1">
        <w:rPr>
          <w:rFonts w:ascii="Times New Roman" w:hAnsi="Times New Roman" w:cs="Times New Roman"/>
          <w:color w:val="000000" w:themeColor="text1"/>
          <w:sz w:val="26"/>
          <w:szCs w:val="26"/>
        </w:rPr>
        <w:t>280</w:t>
      </w:r>
      <w:r w:rsidRPr="00F562A8">
        <w:rPr>
          <w:rFonts w:ascii="Times New Roman" w:hAnsi="Times New Roman" w:cs="Times New Roman"/>
          <w:color w:val="000000" w:themeColor="text1"/>
          <w:sz w:val="26"/>
          <w:szCs w:val="26"/>
        </w:rPr>
        <w:t xml:space="preserve"> земельных участк</w:t>
      </w:r>
      <w:r>
        <w:rPr>
          <w:rFonts w:ascii="Times New Roman" w:hAnsi="Times New Roman" w:cs="Times New Roman"/>
          <w:color w:val="000000" w:themeColor="text1"/>
          <w:sz w:val="26"/>
          <w:szCs w:val="26"/>
        </w:rPr>
        <w:t xml:space="preserve">ов к категории </w:t>
      </w:r>
      <w:r w:rsidRPr="00E178DF">
        <w:rPr>
          <w:rFonts w:ascii="Times New Roman" w:hAnsi="Times New Roman" w:cs="Times New Roman"/>
          <w:i/>
          <w:color w:val="000000" w:themeColor="text1"/>
          <w:sz w:val="26"/>
          <w:szCs w:val="26"/>
        </w:rPr>
        <w:t>земель сельскохозяйственного назначения</w:t>
      </w:r>
      <w:r>
        <w:rPr>
          <w:rFonts w:ascii="Times New Roman" w:hAnsi="Times New Roman" w:cs="Times New Roman"/>
          <w:i/>
          <w:color w:val="000000" w:themeColor="text1"/>
          <w:sz w:val="26"/>
          <w:szCs w:val="26"/>
        </w:rPr>
        <w:t>,</w:t>
      </w:r>
      <w:r w:rsidRPr="00F562A8">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1 </w:t>
      </w:r>
      <w:r w:rsidRPr="00E04F41">
        <w:rPr>
          <w:rFonts w:ascii="Times New Roman" w:hAnsi="Times New Roman" w:cs="Times New Roman"/>
          <w:color w:val="000000" w:themeColor="text1"/>
          <w:sz w:val="26"/>
          <w:szCs w:val="26"/>
        </w:rPr>
        <w:t>земельны</w:t>
      </w:r>
      <w:r>
        <w:rPr>
          <w:rFonts w:ascii="Times New Roman" w:hAnsi="Times New Roman" w:cs="Times New Roman"/>
          <w:color w:val="000000" w:themeColor="text1"/>
          <w:sz w:val="26"/>
          <w:szCs w:val="26"/>
        </w:rPr>
        <w:t>й</w:t>
      </w:r>
      <w:r w:rsidRPr="00E04F41">
        <w:rPr>
          <w:rFonts w:ascii="Times New Roman" w:hAnsi="Times New Roman" w:cs="Times New Roman"/>
          <w:color w:val="000000" w:themeColor="text1"/>
          <w:sz w:val="26"/>
          <w:szCs w:val="26"/>
        </w:rPr>
        <w:t xml:space="preserve"> участ</w:t>
      </w:r>
      <w:r>
        <w:rPr>
          <w:rFonts w:ascii="Times New Roman" w:hAnsi="Times New Roman" w:cs="Times New Roman"/>
          <w:color w:val="000000" w:themeColor="text1"/>
          <w:sz w:val="26"/>
          <w:szCs w:val="26"/>
        </w:rPr>
        <w:t>о</w:t>
      </w:r>
      <w:r w:rsidRPr="00E04F41">
        <w:rPr>
          <w:rFonts w:ascii="Times New Roman" w:hAnsi="Times New Roman" w:cs="Times New Roman"/>
          <w:color w:val="000000" w:themeColor="text1"/>
          <w:sz w:val="26"/>
          <w:szCs w:val="26"/>
        </w:rPr>
        <w:t xml:space="preserve">к </w:t>
      </w:r>
      <w:r>
        <w:rPr>
          <w:rFonts w:ascii="Times New Roman" w:hAnsi="Times New Roman" w:cs="Times New Roman"/>
          <w:color w:val="000000" w:themeColor="text1"/>
          <w:sz w:val="26"/>
          <w:szCs w:val="26"/>
        </w:rPr>
        <w:t xml:space="preserve">к категории </w:t>
      </w:r>
      <w:r w:rsidRPr="007B15B1">
        <w:rPr>
          <w:rFonts w:ascii="Times New Roman" w:hAnsi="Times New Roman" w:cs="Times New Roman"/>
          <w:i/>
          <w:color w:val="000000" w:themeColor="text1"/>
          <w:sz w:val="26"/>
          <w:szCs w:val="26"/>
        </w:rPr>
        <w:t>земли запаса</w:t>
      </w:r>
      <w:r>
        <w:rPr>
          <w:rFonts w:ascii="Times New Roman" w:hAnsi="Times New Roman" w:cs="Times New Roman"/>
          <w:i/>
          <w:color w:val="000000" w:themeColor="text1"/>
          <w:sz w:val="26"/>
          <w:szCs w:val="26"/>
        </w:rPr>
        <w:t>,</w:t>
      </w:r>
      <w:r>
        <w:rPr>
          <w:rFonts w:ascii="Times New Roman" w:hAnsi="Times New Roman" w:cs="Times New Roman"/>
          <w:color w:val="000000" w:themeColor="text1"/>
          <w:sz w:val="26"/>
          <w:szCs w:val="26"/>
        </w:rPr>
        <w:t xml:space="preserve"> 1 к категории </w:t>
      </w:r>
      <w:r w:rsidRPr="007B15B1">
        <w:rPr>
          <w:rFonts w:ascii="Times New Roman" w:hAnsi="Times New Roman" w:cs="Times New Roman"/>
          <w:i/>
          <w:color w:val="000000" w:themeColor="text1"/>
          <w:sz w:val="26"/>
          <w:szCs w:val="26"/>
        </w:rPr>
        <w:t xml:space="preserve">земли </w:t>
      </w:r>
      <w:r>
        <w:rPr>
          <w:rFonts w:ascii="Times New Roman" w:hAnsi="Times New Roman" w:cs="Times New Roman"/>
          <w:i/>
          <w:color w:val="000000" w:themeColor="text1"/>
          <w:sz w:val="26"/>
          <w:szCs w:val="26"/>
        </w:rPr>
        <w:t xml:space="preserve">лесного фонда </w:t>
      </w:r>
      <w:r w:rsidRPr="00F562A8">
        <w:rPr>
          <w:rFonts w:ascii="Times New Roman" w:hAnsi="Times New Roman" w:cs="Times New Roman"/>
          <w:color w:val="000000" w:themeColor="text1"/>
          <w:sz w:val="26"/>
          <w:szCs w:val="26"/>
        </w:rPr>
        <w:t xml:space="preserve">и </w:t>
      </w:r>
      <w:r w:rsidRPr="00E04F41">
        <w:rPr>
          <w:rFonts w:ascii="Times New Roman" w:hAnsi="Times New Roman" w:cs="Times New Roman"/>
          <w:color w:val="000000" w:themeColor="text1"/>
          <w:sz w:val="26"/>
          <w:szCs w:val="26"/>
        </w:rPr>
        <w:t xml:space="preserve">6 земельных участков к </w:t>
      </w:r>
      <w:r w:rsidRPr="00E04F41">
        <w:rPr>
          <w:rFonts w:ascii="Times New Roman" w:hAnsi="Times New Roman" w:cs="Times New Roman"/>
          <w:sz w:val="26"/>
          <w:szCs w:val="26"/>
        </w:rPr>
        <w:t xml:space="preserve">категории земель </w:t>
      </w:r>
      <w:r w:rsidRPr="00E04F41">
        <w:rPr>
          <w:rFonts w:ascii="Times New Roman" w:hAnsi="Times New Roman" w:cs="Times New Roman"/>
          <w:i/>
          <w:sz w:val="26"/>
          <w:szCs w:val="26"/>
        </w:rPr>
        <w:t>водного фонда</w:t>
      </w:r>
      <w:r w:rsidRPr="00E04F41">
        <w:rPr>
          <w:rFonts w:ascii="Times New Roman" w:hAnsi="Times New Roman" w:cs="Times New Roman"/>
          <w:sz w:val="26"/>
          <w:szCs w:val="26"/>
        </w:rPr>
        <w:t xml:space="preserve">. </w:t>
      </w:r>
    </w:p>
    <w:p w14:paraId="62E4C0E7" w14:textId="0D74D9A9" w:rsidR="001C2BA2" w:rsidRPr="00F562A8" w:rsidRDefault="001C2BA2" w:rsidP="001C2BA2">
      <w:pPr>
        <w:spacing w:line="276" w:lineRule="auto"/>
        <w:ind w:firstLine="708"/>
        <w:jc w:val="both"/>
        <w:rPr>
          <w:rFonts w:ascii="Times New Roman" w:eastAsia="Times New Roman" w:hAnsi="Times New Roman" w:cs="Times New Roman"/>
          <w:color w:val="000000" w:themeColor="text1"/>
          <w:sz w:val="26"/>
          <w:szCs w:val="26"/>
        </w:rPr>
      </w:pPr>
      <w:r w:rsidRPr="00F562A8">
        <w:rPr>
          <w:rFonts w:ascii="Times New Roman" w:eastAsia="Times New Roman" w:hAnsi="Times New Roman" w:cs="Times New Roman"/>
          <w:color w:val="000000" w:themeColor="text1"/>
          <w:sz w:val="26"/>
          <w:szCs w:val="26"/>
        </w:rPr>
        <w:t xml:space="preserve">Расчет кадастровой стоимости при этом осуществляется способом прямой капитализации в рамках доходного подхода на основании показателей, предоставленных в ответ на запрос ГБУ ВО «ЦГКО ВО» организациями, деятельностью которых является рыборазведение. </w:t>
      </w:r>
    </w:p>
    <w:p w14:paraId="7CC93A9A" w14:textId="1E3C7702" w:rsidR="001C2BA2" w:rsidRDefault="001C2BA2" w:rsidP="001C2BA2">
      <w:pPr>
        <w:suppressAutoHyphens/>
        <w:autoSpaceDN w:val="0"/>
        <w:spacing w:after="0" w:line="276" w:lineRule="auto"/>
        <w:ind w:firstLine="709"/>
        <w:jc w:val="both"/>
        <w:textAlignment w:val="baseline"/>
        <w:rPr>
          <w:rFonts w:ascii="Times New Roman" w:eastAsia="Times New Roman" w:hAnsi="Times New Roman" w:cs="Times New Roman"/>
          <w:i/>
          <w:color w:val="000000" w:themeColor="text1"/>
          <w:kern w:val="3"/>
          <w:sz w:val="26"/>
          <w:szCs w:val="26"/>
          <w:lang w:eastAsia="ru-RU"/>
        </w:rPr>
      </w:pPr>
      <w:r w:rsidRPr="00AB716D">
        <w:rPr>
          <w:rFonts w:ascii="Times New Roman" w:eastAsia="Times New Roman" w:hAnsi="Times New Roman" w:cs="Times New Roman"/>
          <w:i/>
          <w:color w:val="000000" w:themeColor="text1"/>
          <w:sz w:val="26"/>
          <w:szCs w:val="26"/>
        </w:rPr>
        <w:t xml:space="preserve">Кадастровая стоимость земельных участков группы </w:t>
      </w:r>
      <w:r w:rsidR="00854F77">
        <w:rPr>
          <w:rFonts w:ascii="Times New Roman" w:eastAsia="Times New Roman" w:hAnsi="Times New Roman" w:cs="Times New Roman"/>
          <w:i/>
          <w:color w:val="000000" w:themeColor="text1"/>
          <w:sz w:val="26"/>
          <w:szCs w:val="26"/>
        </w:rPr>
        <w:t xml:space="preserve">Пруды </w:t>
      </w:r>
      <w:r w:rsidRPr="00AB716D">
        <w:rPr>
          <w:rFonts w:ascii="Times New Roman" w:eastAsia="Times New Roman" w:hAnsi="Times New Roman" w:cs="Times New Roman"/>
          <w:i/>
          <w:color w:val="000000" w:themeColor="text1"/>
          <w:sz w:val="26"/>
          <w:szCs w:val="26"/>
        </w:rPr>
        <w:t>рассчитывается как</w:t>
      </w:r>
      <w:r>
        <w:rPr>
          <w:rFonts w:ascii="Times New Roman" w:eastAsia="Times New Roman" w:hAnsi="Times New Roman" w:cs="Times New Roman"/>
          <w:i/>
          <w:color w:val="000000" w:themeColor="text1"/>
          <w:sz w:val="26"/>
          <w:szCs w:val="26"/>
        </w:rPr>
        <w:t xml:space="preserve"> сумма </w:t>
      </w:r>
      <w:r w:rsidRPr="00AB716D">
        <w:rPr>
          <w:rFonts w:ascii="Times New Roman" w:eastAsia="Times New Roman" w:hAnsi="Times New Roman" w:cs="Times New Roman"/>
          <w:i/>
          <w:color w:val="000000" w:themeColor="text1"/>
          <w:sz w:val="26"/>
          <w:szCs w:val="26"/>
        </w:rPr>
        <w:t>произведени</w:t>
      </w:r>
      <w:r>
        <w:rPr>
          <w:rFonts w:ascii="Times New Roman" w:eastAsia="Times New Roman" w:hAnsi="Times New Roman" w:cs="Times New Roman"/>
          <w:i/>
          <w:color w:val="000000" w:themeColor="text1"/>
          <w:sz w:val="26"/>
          <w:szCs w:val="26"/>
        </w:rPr>
        <w:t>й</w:t>
      </w:r>
      <w:r w:rsidRPr="00AB716D">
        <w:rPr>
          <w:rFonts w:ascii="Times New Roman" w:eastAsia="Times New Roman" w:hAnsi="Times New Roman" w:cs="Times New Roman"/>
          <w:i/>
          <w:color w:val="000000" w:themeColor="text1"/>
          <w:sz w:val="26"/>
          <w:szCs w:val="26"/>
        </w:rPr>
        <w:t xml:space="preserve"> УПКС</w:t>
      </w:r>
      <w:r w:rsidRPr="00007658">
        <w:rPr>
          <w:rFonts w:ascii="Times New Roman" w:eastAsia="Times New Roman" w:hAnsi="Times New Roman" w:cs="Times New Roman"/>
          <w:i/>
          <w:color w:val="000000" w:themeColor="text1"/>
          <w:sz w:val="26"/>
          <w:szCs w:val="26"/>
        </w:rPr>
        <w:t xml:space="preserve"> </w:t>
      </w:r>
      <w:r>
        <w:rPr>
          <w:rFonts w:ascii="Times New Roman" w:eastAsia="Times New Roman" w:hAnsi="Times New Roman" w:cs="Times New Roman"/>
          <w:i/>
          <w:color w:val="000000" w:themeColor="text1"/>
          <w:sz w:val="26"/>
          <w:szCs w:val="26"/>
        </w:rPr>
        <w:t xml:space="preserve">водного </w:t>
      </w:r>
      <w:r w:rsidRPr="00AB716D">
        <w:rPr>
          <w:rFonts w:ascii="Times New Roman" w:eastAsia="Times New Roman" w:hAnsi="Times New Roman" w:cs="Times New Roman"/>
          <w:i/>
          <w:color w:val="000000" w:themeColor="text1"/>
          <w:sz w:val="26"/>
          <w:szCs w:val="26"/>
        </w:rPr>
        <w:t xml:space="preserve">зеркала </w:t>
      </w:r>
      <w:r>
        <w:rPr>
          <w:rFonts w:ascii="Times New Roman" w:eastAsia="Times New Roman" w:hAnsi="Times New Roman" w:cs="Times New Roman"/>
          <w:i/>
          <w:color w:val="000000" w:themeColor="text1"/>
          <w:sz w:val="26"/>
          <w:szCs w:val="26"/>
        </w:rPr>
        <w:t xml:space="preserve">на </w:t>
      </w:r>
      <w:r w:rsidRPr="00AB716D">
        <w:rPr>
          <w:rFonts w:ascii="Times New Roman" w:eastAsia="Times New Roman" w:hAnsi="Times New Roman" w:cs="Times New Roman"/>
          <w:i/>
          <w:color w:val="000000" w:themeColor="text1"/>
          <w:sz w:val="26"/>
          <w:szCs w:val="26"/>
        </w:rPr>
        <w:t>площадь зе</w:t>
      </w:r>
      <w:r>
        <w:rPr>
          <w:rFonts w:ascii="Times New Roman" w:eastAsia="Times New Roman" w:hAnsi="Times New Roman" w:cs="Times New Roman"/>
          <w:i/>
          <w:color w:val="000000" w:themeColor="text1"/>
          <w:sz w:val="26"/>
          <w:szCs w:val="26"/>
        </w:rPr>
        <w:t>мельного участка под водной поверхностью и средне</w:t>
      </w:r>
      <w:r w:rsidR="006C1D26">
        <w:rPr>
          <w:rFonts w:ascii="Times New Roman" w:eastAsia="Times New Roman" w:hAnsi="Times New Roman" w:cs="Times New Roman"/>
          <w:i/>
          <w:color w:val="000000" w:themeColor="text1"/>
          <w:sz w:val="26"/>
          <w:szCs w:val="26"/>
        </w:rPr>
        <w:t>го</w:t>
      </w:r>
      <w:r>
        <w:rPr>
          <w:rFonts w:ascii="Times New Roman" w:eastAsia="Times New Roman" w:hAnsi="Times New Roman" w:cs="Times New Roman"/>
          <w:i/>
          <w:color w:val="000000" w:themeColor="text1"/>
          <w:sz w:val="26"/>
          <w:szCs w:val="26"/>
        </w:rPr>
        <w:t xml:space="preserve"> по району </w:t>
      </w:r>
      <w:r w:rsidRPr="007C78DA">
        <w:rPr>
          <w:rFonts w:ascii="Times New Roman" w:eastAsia="Times New Roman" w:hAnsi="Times New Roman" w:cs="Times New Roman"/>
          <w:i/>
          <w:color w:val="000000" w:themeColor="text1"/>
          <w:sz w:val="26"/>
          <w:szCs w:val="26"/>
        </w:rPr>
        <w:t>значени</w:t>
      </w:r>
      <w:r w:rsidR="006C1D26">
        <w:rPr>
          <w:rFonts w:ascii="Times New Roman" w:eastAsia="Times New Roman" w:hAnsi="Times New Roman" w:cs="Times New Roman"/>
          <w:i/>
          <w:color w:val="000000" w:themeColor="text1"/>
          <w:sz w:val="26"/>
          <w:szCs w:val="26"/>
        </w:rPr>
        <w:t>я</w:t>
      </w:r>
      <w:r w:rsidRPr="007C78DA">
        <w:rPr>
          <w:rFonts w:ascii="Times New Roman" w:eastAsia="Times New Roman" w:hAnsi="Times New Roman" w:cs="Times New Roman"/>
          <w:i/>
          <w:color w:val="000000" w:themeColor="text1"/>
          <w:sz w:val="26"/>
          <w:szCs w:val="26"/>
        </w:rPr>
        <w:t xml:space="preserve"> УПКС земель сельскохозяйственного назначения</w:t>
      </w:r>
      <w:r>
        <w:rPr>
          <w:rFonts w:ascii="Times New Roman" w:eastAsia="Times New Roman" w:hAnsi="Times New Roman" w:cs="Times New Roman"/>
          <w:i/>
          <w:color w:val="000000" w:themeColor="text1"/>
          <w:sz w:val="26"/>
          <w:szCs w:val="26"/>
        </w:rPr>
        <w:t xml:space="preserve"> </w:t>
      </w:r>
      <w:r w:rsidRPr="007C78DA">
        <w:rPr>
          <w:rFonts w:ascii="Times New Roman" w:eastAsia="Times New Roman" w:hAnsi="Times New Roman" w:cs="Times New Roman"/>
          <w:i/>
          <w:color w:val="000000" w:themeColor="text1"/>
          <w:sz w:val="26"/>
          <w:szCs w:val="26"/>
        </w:rPr>
        <w:t>на площадь земельного участка не занят</w:t>
      </w:r>
      <w:r>
        <w:rPr>
          <w:rFonts w:ascii="Times New Roman" w:eastAsia="Times New Roman" w:hAnsi="Times New Roman" w:cs="Times New Roman"/>
          <w:i/>
          <w:color w:val="000000" w:themeColor="text1"/>
          <w:sz w:val="26"/>
          <w:szCs w:val="26"/>
        </w:rPr>
        <w:t>ого</w:t>
      </w:r>
      <w:r w:rsidRPr="007C78DA">
        <w:rPr>
          <w:rFonts w:ascii="Times New Roman" w:eastAsia="Times New Roman" w:hAnsi="Times New Roman" w:cs="Times New Roman"/>
          <w:i/>
          <w:color w:val="000000" w:themeColor="text1"/>
          <w:sz w:val="26"/>
          <w:szCs w:val="26"/>
        </w:rPr>
        <w:t xml:space="preserve"> водной поверхностью</w:t>
      </w:r>
      <w:r w:rsidRPr="00AB716D">
        <w:rPr>
          <w:rFonts w:ascii="Times New Roman" w:eastAsia="Times New Roman" w:hAnsi="Times New Roman" w:cs="Times New Roman"/>
          <w:i/>
          <w:color w:val="000000" w:themeColor="text1"/>
          <w:sz w:val="26"/>
          <w:szCs w:val="26"/>
        </w:rPr>
        <w:t>.</w:t>
      </w:r>
    </w:p>
    <w:p w14:paraId="4EDA1A3C" w14:textId="77777777" w:rsidR="001C2BA2" w:rsidRPr="00F562A8" w:rsidRDefault="001C2BA2" w:rsidP="001C2BA2">
      <w:pPr>
        <w:suppressAutoHyphens/>
        <w:autoSpaceDN w:val="0"/>
        <w:spacing w:after="0" w:line="276" w:lineRule="auto"/>
        <w:ind w:firstLine="709"/>
        <w:textAlignment w:val="baseline"/>
        <w:rPr>
          <w:rFonts w:ascii="Times New Roman" w:eastAsia="Times New Roman" w:hAnsi="Times New Roman" w:cs="Times New Roman"/>
          <w:b/>
          <w:i/>
          <w:color w:val="000000" w:themeColor="text1"/>
          <w:kern w:val="3"/>
          <w:sz w:val="26"/>
          <w:szCs w:val="26"/>
          <w:lang w:eastAsia="ru-RU"/>
        </w:rPr>
      </w:pPr>
      <w:r w:rsidRPr="00F562A8">
        <w:rPr>
          <w:rFonts w:ascii="Times New Roman" w:eastAsia="Times New Roman" w:hAnsi="Times New Roman" w:cs="Times New Roman"/>
          <w:i/>
          <w:color w:val="000000" w:themeColor="text1"/>
          <w:kern w:val="3"/>
          <w:sz w:val="26"/>
          <w:szCs w:val="26"/>
          <w:lang w:eastAsia="ru-RU"/>
        </w:rPr>
        <w:t>Определение стоимости 1 м</w:t>
      </w:r>
      <w:r w:rsidRPr="00F562A8">
        <w:rPr>
          <w:rFonts w:ascii="Times New Roman" w:eastAsia="Times New Roman" w:hAnsi="Times New Roman" w:cs="Times New Roman"/>
          <w:i/>
          <w:color w:val="000000" w:themeColor="text1"/>
          <w:kern w:val="3"/>
          <w:sz w:val="26"/>
          <w:szCs w:val="26"/>
          <w:vertAlign w:val="superscript"/>
          <w:lang w:eastAsia="ru-RU"/>
        </w:rPr>
        <w:t>2</w:t>
      </w:r>
      <w:r w:rsidRPr="00F562A8">
        <w:rPr>
          <w:rFonts w:ascii="Times New Roman" w:eastAsia="Times New Roman" w:hAnsi="Times New Roman" w:cs="Times New Roman"/>
          <w:i/>
          <w:color w:val="000000" w:themeColor="text1"/>
          <w:kern w:val="3"/>
          <w:sz w:val="26"/>
          <w:szCs w:val="26"/>
          <w:lang w:eastAsia="ru-RU"/>
        </w:rPr>
        <w:t xml:space="preserve"> земельного участка под </w:t>
      </w:r>
      <w:r>
        <w:rPr>
          <w:rFonts w:ascii="Times New Roman" w:eastAsia="Times New Roman" w:hAnsi="Times New Roman" w:cs="Times New Roman"/>
          <w:i/>
          <w:color w:val="000000" w:themeColor="text1"/>
          <w:kern w:val="3"/>
          <w:sz w:val="26"/>
          <w:szCs w:val="26"/>
          <w:lang w:eastAsia="ru-RU"/>
        </w:rPr>
        <w:t xml:space="preserve">водным </w:t>
      </w:r>
      <w:r w:rsidRPr="00F562A8">
        <w:rPr>
          <w:rFonts w:ascii="Times New Roman" w:eastAsia="Times New Roman" w:hAnsi="Times New Roman" w:cs="Times New Roman"/>
          <w:i/>
          <w:color w:val="000000" w:themeColor="text1"/>
          <w:kern w:val="3"/>
          <w:sz w:val="26"/>
          <w:szCs w:val="26"/>
          <w:lang w:eastAsia="ru-RU"/>
        </w:rPr>
        <w:t>зеркалом</w:t>
      </w:r>
      <w:r w:rsidRPr="00F562A8">
        <w:rPr>
          <w:rFonts w:ascii="Times New Roman" w:eastAsia="Times New Roman" w:hAnsi="Times New Roman" w:cs="Times New Roman"/>
          <w:b/>
          <w:i/>
          <w:color w:val="000000" w:themeColor="text1"/>
          <w:kern w:val="3"/>
          <w:sz w:val="26"/>
          <w:szCs w:val="26"/>
          <w:lang w:eastAsia="ru-RU"/>
        </w:rPr>
        <w:t>.</w:t>
      </w:r>
    </w:p>
    <w:p w14:paraId="202D460B" w14:textId="18509A86" w:rsidR="001C2BA2" w:rsidRPr="00F562A8" w:rsidRDefault="001C2BA2" w:rsidP="001C2BA2">
      <w:pPr>
        <w:spacing w:after="0" w:line="276" w:lineRule="auto"/>
        <w:ind w:firstLine="709"/>
        <w:jc w:val="both"/>
        <w:rPr>
          <w:rFonts w:ascii="Times New Roman" w:eastAsia="Times New Roman" w:hAnsi="Times New Roman" w:cs="Times New Roman"/>
          <w:color w:val="000000" w:themeColor="text1"/>
          <w:sz w:val="26"/>
          <w:szCs w:val="26"/>
        </w:rPr>
      </w:pPr>
      <w:r w:rsidRPr="00F562A8">
        <w:rPr>
          <w:rFonts w:ascii="Times New Roman" w:eastAsia="Times New Roman" w:hAnsi="Times New Roman" w:cs="Times New Roman"/>
          <w:color w:val="000000" w:themeColor="text1"/>
          <w:sz w:val="26"/>
          <w:szCs w:val="26"/>
        </w:rPr>
        <w:t>Для целей расчета стоимости 1 кв.м. объекта рыбного хозяйства, Исполнителем были направлены запросы в организации, занимающиеся рыборазведением, ООО «Рыбхоз Березовский», ООО «ДОН»</w:t>
      </w:r>
      <w:r>
        <w:rPr>
          <w:rFonts w:ascii="Times New Roman" w:eastAsia="Times New Roman" w:hAnsi="Times New Roman" w:cs="Times New Roman"/>
          <w:color w:val="000000" w:themeColor="text1"/>
          <w:sz w:val="26"/>
          <w:szCs w:val="26"/>
        </w:rPr>
        <w:t>,</w:t>
      </w:r>
      <w:r w:rsidRPr="007761DC">
        <w:rPr>
          <w:sz w:val="28"/>
          <w:szCs w:val="28"/>
        </w:rPr>
        <w:t xml:space="preserve"> </w:t>
      </w:r>
      <w:r w:rsidRPr="007761DC">
        <w:rPr>
          <w:rFonts w:ascii="Times New Roman" w:eastAsia="Times New Roman" w:hAnsi="Times New Roman" w:cs="Times New Roman"/>
          <w:color w:val="000000" w:themeColor="text1"/>
          <w:sz w:val="26"/>
          <w:szCs w:val="26"/>
        </w:rPr>
        <w:t>ЗАО «ПАВЛОВСКРЫБХОЗ»</w:t>
      </w:r>
      <w:r>
        <w:rPr>
          <w:rFonts w:ascii="Times New Roman" w:eastAsia="Times New Roman" w:hAnsi="Times New Roman" w:cs="Times New Roman"/>
          <w:color w:val="000000" w:themeColor="text1"/>
          <w:sz w:val="26"/>
          <w:szCs w:val="26"/>
        </w:rPr>
        <w:t xml:space="preserve">, </w:t>
      </w:r>
      <w:r w:rsidRPr="007761DC">
        <w:rPr>
          <w:rFonts w:ascii="Times New Roman" w:eastAsia="Times New Roman" w:hAnsi="Times New Roman" w:cs="Times New Roman"/>
          <w:color w:val="000000" w:themeColor="text1"/>
          <w:sz w:val="26"/>
          <w:szCs w:val="26"/>
        </w:rPr>
        <w:t>Рыбное хозяйство «Овтеено»</w:t>
      </w:r>
      <w:r w:rsidRPr="00F562A8">
        <w:rPr>
          <w:rFonts w:ascii="Times New Roman" w:eastAsia="Times New Roman" w:hAnsi="Times New Roman" w:cs="Times New Roman"/>
          <w:color w:val="000000" w:themeColor="text1"/>
          <w:sz w:val="26"/>
          <w:szCs w:val="26"/>
        </w:rPr>
        <w:t xml:space="preserve"> </w:t>
      </w:r>
      <w:r w:rsidRPr="007761DC">
        <w:rPr>
          <w:rFonts w:ascii="Times New Roman" w:eastAsia="Times New Roman" w:hAnsi="Times New Roman" w:cs="Times New Roman"/>
          <w:color w:val="000000" w:themeColor="text1"/>
          <w:sz w:val="26"/>
          <w:szCs w:val="26"/>
        </w:rPr>
        <w:t>АО «Троицкое»</w:t>
      </w:r>
      <w:r>
        <w:rPr>
          <w:sz w:val="28"/>
          <w:szCs w:val="28"/>
        </w:rPr>
        <w:t xml:space="preserve"> </w:t>
      </w:r>
      <w:r w:rsidRPr="00F562A8">
        <w:rPr>
          <w:rFonts w:ascii="Times New Roman" w:eastAsia="Times New Roman" w:hAnsi="Times New Roman" w:cs="Times New Roman"/>
          <w:color w:val="000000" w:themeColor="text1"/>
          <w:sz w:val="26"/>
          <w:szCs w:val="26"/>
        </w:rPr>
        <w:t>и ООО рыбколхоз «Новый путь» (</w:t>
      </w:r>
      <w:r w:rsidRPr="000416EE">
        <w:rPr>
          <w:rFonts w:ascii="Times New Roman" w:eastAsia="Times New Roman" w:hAnsi="Times New Roman" w:cs="Times New Roman"/>
          <w:sz w:val="26"/>
          <w:szCs w:val="26"/>
        </w:rPr>
        <w:t>Приложение 1/</w:t>
      </w:r>
      <w:r w:rsidR="000C309D">
        <w:rPr>
          <w:rFonts w:ascii="Times New Roman" w:eastAsia="Times New Roman" w:hAnsi="Times New Roman" w:cs="Times New Roman"/>
          <w:sz w:val="26"/>
          <w:szCs w:val="26"/>
        </w:rPr>
        <w:t>1.2./1.2.1/</w:t>
      </w:r>
      <w:r w:rsidRPr="000416EE">
        <w:rPr>
          <w:rFonts w:ascii="Times New Roman" w:eastAsia="Times New Roman" w:hAnsi="Times New Roman" w:cs="Times New Roman"/>
          <w:sz w:val="26"/>
          <w:szCs w:val="26"/>
        </w:rPr>
        <w:t>1</w:t>
      </w:r>
      <w:r w:rsidR="000416EE" w:rsidRPr="000416EE">
        <w:rPr>
          <w:rFonts w:ascii="Times New Roman" w:eastAsia="Times New Roman" w:hAnsi="Times New Roman" w:cs="Times New Roman"/>
          <w:sz w:val="26"/>
          <w:szCs w:val="26"/>
        </w:rPr>
        <w:t>.</w:t>
      </w:r>
      <w:r w:rsidRPr="000416EE">
        <w:rPr>
          <w:rFonts w:ascii="Times New Roman" w:eastAsia="Times New Roman" w:hAnsi="Times New Roman" w:cs="Times New Roman"/>
          <w:sz w:val="26"/>
          <w:szCs w:val="26"/>
        </w:rPr>
        <w:t>2</w:t>
      </w:r>
      <w:r w:rsidR="000416EE" w:rsidRPr="000416EE">
        <w:rPr>
          <w:rFonts w:ascii="Times New Roman" w:eastAsia="Times New Roman" w:hAnsi="Times New Roman" w:cs="Times New Roman"/>
          <w:sz w:val="26"/>
          <w:szCs w:val="26"/>
        </w:rPr>
        <w:t>.1.4</w:t>
      </w:r>
      <w:r w:rsidRPr="000416EE">
        <w:rPr>
          <w:rFonts w:ascii="Times New Roman" w:eastAsia="Times New Roman" w:hAnsi="Times New Roman" w:cs="Times New Roman"/>
          <w:sz w:val="26"/>
          <w:szCs w:val="26"/>
        </w:rPr>
        <w:t>).</w:t>
      </w:r>
    </w:p>
    <w:p w14:paraId="03E4CA19" w14:textId="77777777" w:rsidR="001C2BA2" w:rsidRPr="00F562A8" w:rsidRDefault="001C2BA2" w:rsidP="001C2BA2">
      <w:pPr>
        <w:widowControl w:val="0"/>
        <w:autoSpaceDE w:val="0"/>
        <w:autoSpaceDN w:val="0"/>
        <w:adjustRightInd w:val="0"/>
        <w:spacing w:after="0" w:line="276" w:lineRule="auto"/>
        <w:ind w:firstLine="709"/>
        <w:jc w:val="both"/>
        <w:rPr>
          <w:rFonts w:ascii="Times New Roman" w:hAnsi="Times New Roman" w:cs="Times New Roman"/>
          <w:color w:val="000000" w:themeColor="text1"/>
          <w:sz w:val="26"/>
          <w:szCs w:val="26"/>
          <w:lang w:eastAsia="ru-RU"/>
        </w:rPr>
      </w:pPr>
      <w:r w:rsidRPr="00F562A8">
        <w:rPr>
          <w:rFonts w:ascii="Times New Roman" w:hAnsi="Times New Roman" w:cs="Times New Roman"/>
          <w:color w:val="000000" w:themeColor="text1"/>
          <w:sz w:val="26"/>
          <w:szCs w:val="26"/>
          <w:lang w:eastAsia="ru-RU"/>
        </w:rPr>
        <w:t>Все анализируемые участки с расположенными на них рыбными хозяйствами находятся в небольшой удаленности от населенных пунктов, реализация отлавливаемой рыбы проводилась на условиях самовывоза. Учитывая это, корректировка на местоположение не применялась.</w:t>
      </w:r>
    </w:p>
    <w:p w14:paraId="7B29DA19" w14:textId="77777777" w:rsidR="001C2BA2" w:rsidRPr="00F562A8" w:rsidRDefault="001C2BA2" w:rsidP="001C2BA2">
      <w:pPr>
        <w:spacing w:after="0" w:line="276" w:lineRule="auto"/>
        <w:ind w:firstLine="709"/>
        <w:jc w:val="both"/>
        <w:rPr>
          <w:rFonts w:ascii="Times New Roman" w:eastAsia="Times New Roman" w:hAnsi="Times New Roman" w:cs="Times New Roman"/>
          <w:color w:val="FF0000"/>
          <w:sz w:val="26"/>
          <w:szCs w:val="26"/>
        </w:rPr>
      </w:pPr>
      <w:r w:rsidRPr="00F562A8">
        <w:rPr>
          <w:rFonts w:ascii="Times New Roman" w:eastAsia="Times New Roman" w:hAnsi="Times New Roman" w:cs="Times New Roman"/>
          <w:color w:val="000000" w:themeColor="text1"/>
          <w:sz w:val="26"/>
          <w:szCs w:val="26"/>
        </w:rPr>
        <w:t xml:space="preserve">Объем разведения рыбы зависит в первую очередь от размера водоема, а не размера участка, на котором этот водоем расположен. Поэтому главным ценовым параметром для оценки кадастровой стоимости земельных участков, на которых расположены </w:t>
      </w:r>
      <w:r w:rsidRPr="00F562A8">
        <w:rPr>
          <w:rFonts w:ascii="Times New Roman" w:eastAsiaTheme="minorEastAsia" w:hAnsi="Times New Roman" w:cs="Times New Roman"/>
          <w:sz w:val="26"/>
          <w:szCs w:val="26"/>
        </w:rPr>
        <w:t>обособленные водные объекты</w:t>
      </w:r>
      <w:r w:rsidRPr="00F562A8">
        <w:rPr>
          <w:rFonts w:ascii="Times New Roman" w:eastAsia="Times New Roman" w:hAnsi="Times New Roman" w:cs="Times New Roman"/>
          <w:color w:val="000000" w:themeColor="text1"/>
          <w:sz w:val="26"/>
          <w:szCs w:val="26"/>
        </w:rPr>
        <w:t>, является площадь непосредственно самого водоема (зеркала пруда). В связи с этим, площадь водоемов определялась визуально по космическим снимкам ПКК</w:t>
      </w:r>
      <w:r w:rsidRPr="00F562A8">
        <w:rPr>
          <w:rStyle w:val="af2"/>
          <w:rFonts w:ascii="Times New Roman" w:eastAsia="Times New Roman" w:hAnsi="Times New Roman" w:cs="Times New Roman"/>
          <w:color w:val="000000" w:themeColor="text1"/>
          <w:sz w:val="26"/>
          <w:szCs w:val="26"/>
        </w:rPr>
        <w:footnoteReference w:id="127"/>
      </w:r>
      <w:r w:rsidRPr="00F562A8">
        <w:rPr>
          <w:rFonts w:ascii="Times New Roman" w:eastAsia="Times New Roman" w:hAnsi="Times New Roman" w:cs="Times New Roman"/>
          <w:color w:val="000000" w:themeColor="text1"/>
          <w:sz w:val="26"/>
          <w:szCs w:val="26"/>
        </w:rPr>
        <w:t xml:space="preserve"> с использованием встроенных инструментов определения площади и расстояния. </w:t>
      </w:r>
      <w:r>
        <w:rPr>
          <w:rFonts w:ascii="Times New Roman" w:eastAsia="Times New Roman" w:hAnsi="Times New Roman" w:cs="Times New Roman"/>
          <w:color w:val="000000" w:themeColor="text1"/>
          <w:sz w:val="26"/>
          <w:szCs w:val="26"/>
        </w:rPr>
        <w:t>Стоимость части земельного участка не занятой водным объектом, рассчитывалась как среднее</w:t>
      </w:r>
      <w:r w:rsidRPr="00CA2FC6">
        <w:t xml:space="preserve"> </w:t>
      </w:r>
      <w:r w:rsidRPr="00CA2FC6">
        <w:rPr>
          <w:rFonts w:ascii="Times New Roman" w:eastAsia="Times New Roman" w:hAnsi="Times New Roman" w:cs="Times New Roman"/>
          <w:color w:val="000000" w:themeColor="text1"/>
          <w:sz w:val="26"/>
          <w:szCs w:val="26"/>
        </w:rPr>
        <w:t>по району</w:t>
      </w:r>
      <w:r>
        <w:rPr>
          <w:rFonts w:ascii="Times New Roman" w:eastAsia="Times New Roman" w:hAnsi="Times New Roman" w:cs="Times New Roman"/>
          <w:color w:val="000000" w:themeColor="text1"/>
          <w:sz w:val="26"/>
          <w:szCs w:val="26"/>
        </w:rPr>
        <w:t xml:space="preserve"> значение УПКС земель сельскохозяйственного назначения умноженное на площадь данной части земельного участка.</w:t>
      </w:r>
    </w:p>
    <w:p w14:paraId="0FA0FA0E" w14:textId="000EEC2F" w:rsidR="001C2BA2" w:rsidRDefault="001C2BA2" w:rsidP="001C2BA2">
      <w:pPr>
        <w:suppressAutoHyphens/>
        <w:autoSpaceDN w:val="0"/>
        <w:spacing w:before="120" w:after="0" w:line="276" w:lineRule="auto"/>
        <w:ind w:firstLine="709"/>
        <w:jc w:val="both"/>
        <w:textAlignment w:val="baseline"/>
        <w:rPr>
          <w:rFonts w:ascii="Times New Roman" w:eastAsia="Times New Roman" w:hAnsi="Times New Roman" w:cs="Times New Roman"/>
          <w:sz w:val="26"/>
          <w:szCs w:val="26"/>
          <w:lang w:eastAsia="ru-RU"/>
        </w:rPr>
      </w:pPr>
      <w:r w:rsidRPr="00F562A8">
        <w:rPr>
          <w:rFonts w:ascii="Times New Roman" w:eastAsia="Times New Roman" w:hAnsi="Times New Roman" w:cs="Times New Roman"/>
          <w:color w:val="000000" w:themeColor="text1"/>
          <w:kern w:val="3"/>
          <w:sz w:val="26"/>
          <w:szCs w:val="26"/>
          <w:lang w:eastAsia="ru-RU"/>
        </w:rPr>
        <w:t xml:space="preserve">В ходе проведения расчетов зеркала пруда у </w:t>
      </w:r>
      <w:r w:rsidRPr="007536F4">
        <w:rPr>
          <w:rFonts w:ascii="Times New Roman" w:eastAsia="Times New Roman" w:hAnsi="Times New Roman" w:cs="Times New Roman"/>
          <w:color w:val="000000" w:themeColor="text1"/>
          <w:kern w:val="3"/>
          <w:sz w:val="26"/>
          <w:szCs w:val="26"/>
          <w:lang w:eastAsia="ru-RU"/>
        </w:rPr>
        <w:t>272</w:t>
      </w:r>
      <w:r w:rsidRPr="00F562A8">
        <w:rPr>
          <w:rFonts w:ascii="Times New Roman" w:eastAsia="Times New Roman" w:hAnsi="Times New Roman" w:cs="Times New Roman"/>
          <w:color w:val="000000" w:themeColor="text1"/>
          <w:kern w:val="3"/>
          <w:sz w:val="26"/>
          <w:szCs w:val="26"/>
          <w:lang w:eastAsia="ru-RU"/>
        </w:rPr>
        <w:t xml:space="preserve"> земельных участков, отнесенных к </w:t>
      </w:r>
      <w:r>
        <w:rPr>
          <w:rFonts w:ascii="Times New Roman" w:eastAsia="Times New Roman" w:hAnsi="Times New Roman" w:cs="Times New Roman"/>
          <w:color w:val="000000" w:themeColor="text1"/>
          <w:kern w:val="3"/>
          <w:sz w:val="26"/>
          <w:szCs w:val="26"/>
          <w:lang w:eastAsia="ru-RU"/>
        </w:rPr>
        <w:t xml:space="preserve">водным </w:t>
      </w:r>
      <w:r w:rsidRPr="00F562A8">
        <w:rPr>
          <w:rFonts w:ascii="Times New Roman" w:eastAsia="Times New Roman" w:hAnsi="Times New Roman" w:cs="Times New Roman"/>
          <w:color w:val="000000" w:themeColor="text1"/>
          <w:kern w:val="3"/>
          <w:sz w:val="26"/>
          <w:szCs w:val="26"/>
          <w:lang w:eastAsia="ru-RU"/>
        </w:rPr>
        <w:t>объектам, отсутствуют координаты границ или нет возможности рассчитать площадь зеркала пруда. Для расчета кадастровой стоимости указанных земельных участков был проведен анализ 8</w:t>
      </w:r>
      <w:r>
        <w:rPr>
          <w:rFonts w:ascii="Times New Roman" w:eastAsia="Times New Roman" w:hAnsi="Times New Roman" w:cs="Times New Roman"/>
          <w:color w:val="000000" w:themeColor="text1"/>
          <w:kern w:val="3"/>
          <w:sz w:val="26"/>
          <w:szCs w:val="26"/>
          <w:lang w:eastAsia="ru-RU"/>
        </w:rPr>
        <w:t>26</w:t>
      </w:r>
      <w:r w:rsidRPr="00F562A8">
        <w:rPr>
          <w:rFonts w:ascii="Times New Roman" w:eastAsia="Times New Roman" w:hAnsi="Times New Roman" w:cs="Times New Roman"/>
          <w:color w:val="000000" w:themeColor="text1"/>
          <w:kern w:val="3"/>
          <w:sz w:val="26"/>
          <w:szCs w:val="26"/>
          <w:lang w:eastAsia="ru-RU"/>
        </w:rPr>
        <w:t xml:space="preserve"> водоемов Воронежской области с целью определения среднего показателя соотношения зеркала пруда к площади всего участка</w:t>
      </w:r>
      <w:r w:rsidRPr="00F562A8">
        <w:rPr>
          <w:rFonts w:ascii="Times New Roman" w:eastAsia="Times New Roman" w:hAnsi="Times New Roman" w:cs="Times New Roman"/>
          <w:kern w:val="3"/>
          <w:sz w:val="26"/>
          <w:szCs w:val="26"/>
          <w:lang w:eastAsia="ru-RU"/>
        </w:rPr>
        <w:t>. Скрин-образы интернет-страниц с определением площади зеркала пруда</w:t>
      </w:r>
      <w:r>
        <w:rPr>
          <w:rFonts w:ascii="Times New Roman" w:eastAsia="Times New Roman" w:hAnsi="Times New Roman" w:cs="Times New Roman"/>
          <w:kern w:val="3"/>
          <w:sz w:val="26"/>
          <w:szCs w:val="26"/>
          <w:lang w:eastAsia="ru-RU"/>
        </w:rPr>
        <w:t xml:space="preserve"> и р</w:t>
      </w:r>
      <w:r w:rsidRPr="00F562A8">
        <w:rPr>
          <w:rFonts w:ascii="Times New Roman" w:eastAsia="Times New Roman" w:hAnsi="Times New Roman" w:cs="Times New Roman"/>
          <w:kern w:val="3"/>
          <w:sz w:val="26"/>
          <w:szCs w:val="26"/>
          <w:lang w:eastAsia="ru-RU"/>
        </w:rPr>
        <w:t>асчет</w:t>
      </w:r>
      <w:r>
        <w:rPr>
          <w:rFonts w:ascii="Times New Roman" w:eastAsia="Times New Roman" w:hAnsi="Times New Roman" w:cs="Times New Roman"/>
          <w:kern w:val="3"/>
          <w:sz w:val="26"/>
          <w:szCs w:val="26"/>
          <w:lang w:eastAsia="ru-RU"/>
        </w:rPr>
        <w:t>ная таблица</w:t>
      </w:r>
      <w:r w:rsidRPr="00F562A8">
        <w:rPr>
          <w:rFonts w:ascii="Times New Roman" w:eastAsia="Times New Roman" w:hAnsi="Times New Roman" w:cs="Times New Roman"/>
          <w:kern w:val="3"/>
          <w:sz w:val="26"/>
          <w:szCs w:val="26"/>
          <w:lang w:eastAsia="ru-RU"/>
        </w:rPr>
        <w:t xml:space="preserve"> </w:t>
      </w:r>
      <w:r w:rsidRPr="00F562A8">
        <w:rPr>
          <w:rFonts w:ascii="Times New Roman" w:eastAsia="Times New Roman" w:hAnsi="Times New Roman" w:cs="Times New Roman"/>
          <w:color w:val="000000" w:themeColor="text1"/>
          <w:kern w:val="3"/>
          <w:sz w:val="26"/>
          <w:szCs w:val="26"/>
          <w:lang w:eastAsia="ru-RU"/>
        </w:rPr>
        <w:t xml:space="preserve">соотношения зеркала пруда к площади земельного участка </w:t>
      </w:r>
      <w:r w:rsidRPr="00F562A8">
        <w:rPr>
          <w:rFonts w:ascii="Times New Roman" w:eastAsia="Times New Roman" w:hAnsi="Times New Roman" w:cs="Times New Roman"/>
          <w:kern w:val="3"/>
          <w:sz w:val="26"/>
          <w:szCs w:val="26"/>
          <w:lang w:eastAsia="ru-RU"/>
        </w:rPr>
        <w:t xml:space="preserve">приведены в </w:t>
      </w:r>
      <w:r w:rsidRPr="000C309D">
        <w:rPr>
          <w:rFonts w:ascii="Times New Roman" w:eastAsia="Times New Roman" w:hAnsi="Times New Roman" w:cs="Times New Roman"/>
          <w:kern w:val="3"/>
          <w:sz w:val="26"/>
          <w:szCs w:val="26"/>
          <w:lang w:eastAsia="ru-RU"/>
        </w:rPr>
        <w:t xml:space="preserve">Приложении </w:t>
      </w:r>
      <w:r w:rsidR="00EE5E82">
        <w:rPr>
          <w:rFonts w:ascii="Times New Roman" w:eastAsia="Times New Roman" w:hAnsi="Times New Roman" w:cs="Times New Roman"/>
          <w:color w:val="000000" w:themeColor="text1"/>
          <w:sz w:val="26"/>
          <w:szCs w:val="26"/>
          <w:lang w:eastAsia="ru-RU"/>
        </w:rPr>
        <w:t>2/2.4/2.4.11.</w:t>
      </w:r>
    </w:p>
    <w:p w14:paraId="2DA5A010" w14:textId="77777777" w:rsidR="001C2BA2" w:rsidRPr="00F562A8" w:rsidRDefault="001C2BA2" w:rsidP="001C2BA2">
      <w:pPr>
        <w:spacing w:after="0" w:line="276" w:lineRule="auto"/>
        <w:ind w:firstLine="709"/>
        <w:jc w:val="both"/>
        <w:rPr>
          <w:rFonts w:ascii="Times New Roman" w:eastAsia="Times New Roman" w:hAnsi="Times New Roman" w:cs="Times New Roman"/>
          <w:color w:val="000000" w:themeColor="text1"/>
          <w:kern w:val="3"/>
          <w:sz w:val="26"/>
          <w:szCs w:val="26"/>
          <w:lang w:eastAsia="ru-RU"/>
        </w:rPr>
      </w:pPr>
      <w:r w:rsidRPr="00F562A8">
        <w:rPr>
          <w:rFonts w:ascii="Times New Roman" w:eastAsia="Times New Roman" w:hAnsi="Times New Roman" w:cs="Times New Roman"/>
          <w:color w:val="000000" w:themeColor="text1"/>
          <w:kern w:val="3"/>
          <w:sz w:val="26"/>
          <w:szCs w:val="26"/>
          <w:lang w:eastAsia="ru-RU"/>
        </w:rPr>
        <w:t xml:space="preserve">Полученное значение доли зеркала пруда в общей площади земельного участка, равное </w:t>
      </w:r>
      <w:r>
        <w:rPr>
          <w:rFonts w:ascii="Times New Roman" w:eastAsia="Times New Roman" w:hAnsi="Times New Roman" w:cs="Times New Roman"/>
          <w:color w:val="000000" w:themeColor="text1"/>
          <w:kern w:val="3"/>
          <w:sz w:val="26"/>
          <w:szCs w:val="26"/>
          <w:lang w:eastAsia="ru-RU"/>
        </w:rPr>
        <w:t>82</w:t>
      </w:r>
      <w:r w:rsidRPr="00F562A8">
        <w:rPr>
          <w:rFonts w:ascii="Times New Roman" w:eastAsia="Times New Roman" w:hAnsi="Times New Roman" w:cs="Times New Roman"/>
          <w:color w:val="000000" w:themeColor="text1"/>
          <w:kern w:val="3"/>
          <w:sz w:val="26"/>
          <w:szCs w:val="26"/>
          <w:lang w:eastAsia="ru-RU"/>
        </w:rPr>
        <w:t xml:space="preserve">%, применялось для земельных участков, для которых невозможно определить площадь зеркала пруда по данным ПКК. </w:t>
      </w:r>
    </w:p>
    <w:p w14:paraId="45FA4966" w14:textId="77777777" w:rsidR="001C2BA2" w:rsidRPr="00F562A8" w:rsidRDefault="001C2BA2" w:rsidP="001C2BA2">
      <w:pPr>
        <w:spacing w:after="0" w:line="276" w:lineRule="auto"/>
        <w:ind w:firstLine="709"/>
        <w:jc w:val="both"/>
        <w:rPr>
          <w:rFonts w:ascii="Times New Roman" w:eastAsia="Times New Roman" w:hAnsi="Times New Roman" w:cs="Times New Roman"/>
          <w:color w:val="000000" w:themeColor="text1"/>
          <w:sz w:val="16"/>
          <w:szCs w:val="16"/>
        </w:rPr>
      </w:pPr>
    </w:p>
    <w:p w14:paraId="2DDEA1C0" w14:textId="77777777" w:rsidR="001C2BA2" w:rsidRPr="00F562A8" w:rsidRDefault="001C2BA2" w:rsidP="001C2BA2">
      <w:pPr>
        <w:spacing w:after="0" w:line="276" w:lineRule="auto"/>
        <w:ind w:firstLine="709"/>
        <w:jc w:val="both"/>
        <w:rPr>
          <w:rFonts w:ascii="Times New Roman" w:eastAsia="Times New Roman" w:hAnsi="Times New Roman" w:cs="Times New Roman"/>
          <w:color w:val="000000" w:themeColor="text1"/>
          <w:sz w:val="26"/>
          <w:szCs w:val="26"/>
        </w:rPr>
      </w:pPr>
      <w:r w:rsidRPr="00F562A8">
        <w:rPr>
          <w:rFonts w:ascii="Times New Roman" w:eastAsia="Times New Roman" w:hAnsi="Times New Roman" w:cs="Times New Roman"/>
          <w:color w:val="000000" w:themeColor="text1"/>
          <w:sz w:val="26"/>
          <w:szCs w:val="26"/>
        </w:rPr>
        <w:t>Стоимость удельного показателя зеркала пруда (УПКС</w:t>
      </w:r>
      <w:r w:rsidRPr="00F562A8">
        <w:rPr>
          <w:rFonts w:ascii="Times New Roman" w:eastAsia="Times New Roman" w:hAnsi="Times New Roman" w:cs="Times New Roman"/>
          <w:color w:val="000000" w:themeColor="text1"/>
          <w:sz w:val="26"/>
          <w:szCs w:val="26"/>
          <w:vertAlign w:val="subscript"/>
        </w:rPr>
        <w:t>Зп</w:t>
      </w:r>
      <w:r w:rsidRPr="00F562A8">
        <w:rPr>
          <w:rFonts w:ascii="Times New Roman" w:eastAsia="Times New Roman" w:hAnsi="Times New Roman" w:cs="Times New Roman"/>
          <w:color w:val="000000" w:themeColor="text1"/>
          <w:sz w:val="26"/>
          <w:szCs w:val="26"/>
        </w:rPr>
        <w:t xml:space="preserve">) равна отношению </w:t>
      </w:r>
      <w:r>
        <w:rPr>
          <w:rFonts w:ascii="Times New Roman" w:eastAsia="Times New Roman" w:hAnsi="Times New Roman" w:cs="Times New Roman"/>
          <w:color w:val="000000" w:themeColor="text1"/>
          <w:sz w:val="26"/>
          <w:szCs w:val="26"/>
        </w:rPr>
        <w:t xml:space="preserve">годового </w:t>
      </w:r>
      <w:r w:rsidRPr="00F562A8">
        <w:rPr>
          <w:rFonts w:ascii="Times New Roman" w:eastAsia="Times New Roman" w:hAnsi="Times New Roman" w:cs="Times New Roman"/>
          <w:color w:val="000000" w:themeColor="text1"/>
          <w:sz w:val="26"/>
          <w:szCs w:val="26"/>
        </w:rPr>
        <w:t>чистого операционного дохода с 1 Га (ЧОД) к ставке капитализации (</w:t>
      </w:r>
      <w:r w:rsidRPr="00F562A8">
        <w:rPr>
          <w:rFonts w:ascii="Times New Roman" w:eastAsia="Times New Roman" w:hAnsi="Times New Roman" w:cs="Times New Roman"/>
          <w:color w:val="000000" w:themeColor="text1"/>
          <w:sz w:val="26"/>
          <w:szCs w:val="26"/>
          <w:lang w:val="en-US"/>
        </w:rPr>
        <w:t>Y</w:t>
      </w:r>
      <w:r w:rsidRPr="00F562A8">
        <w:rPr>
          <w:rFonts w:ascii="Times New Roman" w:eastAsia="Times New Roman" w:hAnsi="Times New Roman" w:cs="Times New Roman"/>
          <w:color w:val="000000" w:themeColor="text1"/>
          <w:sz w:val="26"/>
          <w:szCs w:val="26"/>
        </w:rPr>
        <w:t>).</w:t>
      </w:r>
    </w:p>
    <w:p w14:paraId="50F01878" w14:textId="77777777" w:rsidR="001C2BA2" w:rsidRDefault="001C2BA2" w:rsidP="001C2BA2">
      <w:pPr>
        <w:spacing w:after="0" w:line="276" w:lineRule="auto"/>
        <w:jc w:val="center"/>
        <w:rPr>
          <w:rFonts w:ascii="Times New Roman" w:eastAsia="Times New Roman" w:hAnsi="Times New Roman" w:cs="Times New Roman"/>
          <w:color w:val="000000" w:themeColor="text1"/>
          <w:sz w:val="26"/>
          <w:szCs w:val="26"/>
        </w:rPr>
      </w:pPr>
    </w:p>
    <w:p w14:paraId="25E785A4" w14:textId="77777777" w:rsidR="001C2BA2" w:rsidRDefault="001C2BA2" w:rsidP="001C2BA2">
      <w:pPr>
        <w:spacing w:after="0" w:line="276" w:lineRule="auto"/>
        <w:jc w:val="center"/>
        <w:rPr>
          <w:rFonts w:ascii="Times New Roman" w:eastAsia="Times New Roman" w:hAnsi="Times New Roman" w:cs="Times New Roman"/>
          <w:color w:val="000000" w:themeColor="text1"/>
          <w:sz w:val="26"/>
          <w:szCs w:val="26"/>
        </w:rPr>
      </w:pPr>
      <w:r w:rsidRPr="00F562A8">
        <w:rPr>
          <w:rFonts w:ascii="Times New Roman" w:eastAsia="Times New Roman" w:hAnsi="Times New Roman" w:cs="Times New Roman"/>
          <w:color w:val="000000" w:themeColor="text1"/>
          <w:sz w:val="26"/>
          <w:szCs w:val="26"/>
        </w:rPr>
        <w:t>УПКС</w:t>
      </w:r>
      <w:r w:rsidRPr="00F562A8">
        <w:rPr>
          <w:rFonts w:ascii="Times New Roman" w:eastAsia="Times New Roman" w:hAnsi="Times New Roman" w:cs="Times New Roman"/>
          <w:color w:val="000000" w:themeColor="text1"/>
          <w:sz w:val="26"/>
          <w:szCs w:val="26"/>
          <w:vertAlign w:val="subscript"/>
        </w:rPr>
        <w:t>зп</w:t>
      </w:r>
      <w:r w:rsidRPr="00F562A8">
        <w:rPr>
          <w:rFonts w:ascii="Times New Roman" w:eastAsia="Times New Roman" w:hAnsi="Times New Roman" w:cs="Times New Roman"/>
          <w:color w:val="000000" w:themeColor="text1"/>
          <w:sz w:val="26"/>
          <w:szCs w:val="26"/>
        </w:rPr>
        <w:t xml:space="preserve"> = </w:t>
      </w:r>
      <m:oMath>
        <m:f>
          <m:fPr>
            <m:ctrlPr>
              <w:rPr>
                <w:rFonts w:ascii="Cambria Math" w:eastAsia="Times New Roman" w:hAnsi="Cambria Math" w:cs="Times New Roman"/>
                <w:color w:val="000000" w:themeColor="text1"/>
                <w:sz w:val="26"/>
                <w:szCs w:val="26"/>
              </w:rPr>
            </m:ctrlPr>
          </m:fPr>
          <m:num>
            <m:r>
              <m:rPr>
                <m:sty m:val="p"/>
              </m:rPr>
              <w:rPr>
                <w:rFonts w:ascii="Cambria Math" w:eastAsia="Times New Roman" w:hAnsi="Cambria Math" w:cs="Times New Roman"/>
                <w:color w:val="000000" w:themeColor="text1"/>
                <w:sz w:val="26"/>
                <w:szCs w:val="26"/>
              </w:rPr>
              <m:t>ЧОД</m:t>
            </m:r>
          </m:num>
          <m:den>
            <m:r>
              <m:rPr>
                <m:sty m:val="p"/>
              </m:rPr>
              <w:rPr>
                <w:rFonts w:ascii="Cambria Math" w:eastAsia="Times New Roman" w:hAnsi="Cambria Math" w:cs="Times New Roman"/>
                <w:color w:val="000000" w:themeColor="text1"/>
                <w:sz w:val="26"/>
                <w:szCs w:val="26"/>
              </w:rPr>
              <m:t>Y</m:t>
            </m:r>
          </m:den>
        </m:f>
      </m:oMath>
    </w:p>
    <w:p w14:paraId="3DFEBA72" w14:textId="77777777" w:rsidR="001C2BA2" w:rsidRPr="00F562A8" w:rsidRDefault="001C2BA2" w:rsidP="001C2BA2">
      <w:pPr>
        <w:spacing w:after="0" w:line="276" w:lineRule="auto"/>
        <w:jc w:val="center"/>
        <w:rPr>
          <w:rFonts w:ascii="Times New Roman" w:eastAsia="Times New Roman" w:hAnsi="Times New Roman" w:cs="Times New Roman"/>
          <w:color w:val="000000" w:themeColor="text1"/>
          <w:sz w:val="26"/>
          <w:szCs w:val="26"/>
        </w:rPr>
      </w:pPr>
    </w:p>
    <w:p w14:paraId="70438765" w14:textId="77777777" w:rsidR="001C2BA2" w:rsidRPr="00F562A8" w:rsidRDefault="001C2BA2" w:rsidP="001C2BA2">
      <w:pPr>
        <w:spacing w:after="0" w:line="276" w:lineRule="auto"/>
        <w:ind w:firstLine="426"/>
        <w:jc w:val="center"/>
        <w:rPr>
          <w:rFonts w:ascii="Times New Roman" w:eastAsia="Times New Roman" w:hAnsi="Times New Roman" w:cs="Times New Roman"/>
          <w:color w:val="000000" w:themeColor="text1"/>
          <w:sz w:val="26"/>
          <w:szCs w:val="26"/>
        </w:rPr>
      </w:pPr>
      <w:r w:rsidRPr="00F562A8">
        <w:rPr>
          <w:rFonts w:ascii="Times New Roman" w:eastAsia="Times New Roman" w:hAnsi="Times New Roman" w:cs="Times New Roman"/>
          <w:color w:val="000000" w:themeColor="text1"/>
          <w:sz w:val="26"/>
          <w:szCs w:val="26"/>
        </w:rPr>
        <w:t xml:space="preserve">ЧОД = Годовой </w:t>
      </w:r>
      <w:r w:rsidRPr="00F562A8">
        <w:rPr>
          <w:rFonts w:ascii="Times New Roman" w:hAnsi="Times New Roman" w:cs="Times New Roman"/>
          <w:color w:val="000000" w:themeColor="text1"/>
          <w:sz w:val="26"/>
          <w:szCs w:val="26"/>
          <w:lang w:eastAsia="ru-RU"/>
        </w:rPr>
        <w:t xml:space="preserve">Валовой </w:t>
      </w:r>
      <w:r w:rsidRPr="00F562A8">
        <w:rPr>
          <w:rFonts w:ascii="Times New Roman" w:eastAsia="Times New Roman" w:hAnsi="Times New Roman" w:cs="Times New Roman"/>
          <w:color w:val="000000" w:themeColor="text1"/>
          <w:sz w:val="26"/>
          <w:szCs w:val="26"/>
        </w:rPr>
        <w:t>доход - Общие затраты за сезон.</w:t>
      </w:r>
    </w:p>
    <w:p w14:paraId="69AE21AE" w14:textId="77777777" w:rsidR="001C2BA2" w:rsidRPr="00F562A8" w:rsidRDefault="001C2BA2" w:rsidP="001C2BA2">
      <w:pPr>
        <w:widowControl w:val="0"/>
        <w:autoSpaceDE w:val="0"/>
        <w:autoSpaceDN w:val="0"/>
        <w:adjustRightInd w:val="0"/>
        <w:spacing w:after="0" w:line="276" w:lineRule="auto"/>
        <w:ind w:firstLine="709"/>
        <w:jc w:val="both"/>
        <w:rPr>
          <w:rFonts w:ascii="Times New Roman" w:hAnsi="Times New Roman" w:cs="Times New Roman"/>
          <w:color w:val="000000" w:themeColor="text1"/>
          <w:sz w:val="26"/>
          <w:szCs w:val="26"/>
          <w:lang w:eastAsia="ru-RU"/>
        </w:rPr>
      </w:pPr>
      <w:r w:rsidRPr="00F562A8">
        <w:rPr>
          <w:rFonts w:ascii="Times New Roman" w:hAnsi="Times New Roman" w:cs="Times New Roman"/>
          <w:color w:val="000000" w:themeColor="text1"/>
          <w:sz w:val="26"/>
          <w:szCs w:val="26"/>
          <w:lang w:eastAsia="ru-RU"/>
        </w:rPr>
        <w:t>Валовой доход рассчитывается для единицы площади земельного участка, как произведение массы, выращенной и готовой к реализации рыбы, на ее рыночную цену.</w:t>
      </w:r>
    </w:p>
    <w:p w14:paraId="584EF0F1" w14:textId="77777777" w:rsidR="001C2BA2" w:rsidRPr="00F562A8" w:rsidRDefault="001C2BA2" w:rsidP="001C2BA2">
      <w:pPr>
        <w:spacing w:after="0" w:line="276" w:lineRule="auto"/>
        <w:ind w:firstLine="709"/>
        <w:rPr>
          <w:rFonts w:ascii="Times New Roman" w:hAnsi="Times New Roman" w:cs="Times New Roman"/>
          <w:color w:val="000000" w:themeColor="text1"/>
          <w:sz w:val="26"/>
          <w:szCs w:val="26"/>
          <w:lang w:eastAsia="ru-RU"/>
        </w:rPr>
      </w:pPr>
      <w:r w:rsidRPr="00F562A8">
        <w:rPr>
          <w:rFonts w:ascii="Times New Roman" w:hAnsi="Times New Roman" w:cs="Times New Roman"/>
          <w:color w:val="000000" w:themeColor="text1"/>
          <w:sz w:val="26"/>
          <w:szCs w:val="26"/>
          <w:lang w:eastAsia="ru-RU"/>
        </w:rPr>
        <w:t>Общая величина затрат складывается из суммы сезонных затрат, стоимости корма и стоимости выпущенных для выращивания сеголетков.</w:t>
      </w:r>
    </w:p>
    <w:p w14:paraId="677E3A7F" w14:textId="74EE7B4B" w:rsidR="001C2BA2" w:rsidRPr="0099158F" w:rsidRDefault="001C2BA2" w:rsidP="001C2BA2">
      <w:pPr>
        <w:spacing w:after="0" w:line="276" w:lineRule="auto"/>
        <w:ind w:firstLine="709"/>
        <w:jc w:val="both"/>
        <w:rPr>
          <w:rFonts w:ascii="Times New Roman" w:eastAsia="Times New Roman" w:hAnsi="Times New Roman" w:cs="Times New Roman"/>
          <w:color w:val="FF0000"/>
          <w:kern w:val="3"/>
          <w:sz w:val="26"/>
          <w:szCs w:val="26"/>
          <w:lang w:eastAsia="ru-RU"/>
        </w:rPr>
      </w:pPr>
      <w:r w:rsidRPr="00F562A8">
        <w:rPr>
          <w:rFonts w:ascii="Times New Roman" w:eastAsia="Times New Roman" w:hAnsi="Times New Roman" w:cs="Times New Roman"/>
          <w:color w:val="000000" w:themeColor="text1"/>
          <w:sz w:val="26"/>
          <w:szCs w:val="26"/>
        </w:rPr>
        <w:t xml:space="preserve">Согласно п. </w:t>
      </w:r>
      <w:r w:rsidRPr="00114961">
        <w:rPr>
          <w:rFonts w:ascii="Times New Roman" w:eastAsia="Times New Roman" w:hAnsi="Times New Roman" w:cs="Times New Roman"/>
          <w:color w:val="000000" w:themeColor="text1"/>
          <w:sz w:val="26"/>
          <w:szCs w:val="26"/>
        </w:rPr>
        <w:t xml:space="preserve">57.8.4 </w:t>
      </w:r>
      <w:r w:rsidRPr="00F562A8">
        <w:rPr>
          <w:rFonts w:ascii="Times New Roman" w:eastAsia="Times New Roman" w:hAnsi="Times New Roman" w:cs="Times New Roman"/>
          <w:color w:val="000000" w:themeColor="text1"/>
          <w:sz w:val="26"/>
          <w:szCs w:val="26"/>
        </w:rPr>
        <w:t xml:space="preserve">Методических указаний, данные предоставлены исходя из анализа за последние три года, предшествующие году определения кадастровой стоимости </w:t>
      </w:r>
      <w:r w:rsidRPr="00F562A8">
        <w:rPr>
          <w:rFonts w:ascii="Times New Roman" w:hAnsi="Times New Roman" w:cs="Times New Roman"/>
          <w:color w:val="000000" w:themeColor="text1"/>
          <w:sz w:val="26"/>
          <w:szCs w:val="26"/>
        </w:rPr>
        <w:t xml:space="preserve">с учетом индексации этих цен на дату определения кадастровой стоимости. Индексация проводилась </w:t>
      </w:r>
      <w:r w:rsidRPr="00F562A8">
        <w:rPr>
          <w:rFonts w:ascii="Times New Roman" w:eastAsia="Times New Roman" w:hAnsi="Times New Roman" w:cs="Times New Roman"/>
          <w:color w:val="000000" w:themeColor="text1"/>
          <w:sz w:val="26"/>
          <w:szCs w:val="26"/>
        </w:rPr>
        <w:t xml:space="preserve">в соответствии с индексами </w:t>
      </w:r>
      <w:r w:rsidRPr="00E04F41">
        <w:rPr>
          <w:rFonts w:ascii="Times New Roman" w:eastAsia="Times New Roman" w:hAnsi="Times New Roman" w:cs="Times New Roman"/>
          <w:color w:val="000000" w:themeColor="text1"/>
          <w:sz w:val="26"/>
          <w:szCs w:val="26"/>
        </w:rPr>
        <w:t>потребительских цен по данным Росстата</w:t>
      </w:r>
      <w:r w:rsidRPr="00E04F41">
        <w:rPr>
          <w:rStyle w:val="af2"/>
          <w:rFonts w:ascii="Times New Roman" w:eastAsia="Times New Roman" w:hAnsi="Times New Roman" w:cs="Times New Roman"/>
          <w:color w:val="000000" w:themeColor="text1"/>
          <w:sz w:val="26"/>
          <w:szCs w:val="26"/>
        </w:rPr>
        <w:footnoteReference w:id="128"/>
      </w:r>
      <w:r w:rsidRPr="00E04F41">
        <w:rPr>
          <w:rFonts w:ascii="Times New Roman" w:eastAsia="Times New Roman" w:hAnsi="Times New Roman" w:cs="Times New Roman"/>
          <w:color w:val="000000" w:themeColor="text1"/>
          <w:sz w:val="26"/>
          <w:szCs w:val="26"/>
        </w:rPr>
        <w:t xml:space="preserve">. </w:t>
      </w:r>
    </w:p>
    <w:p w14:paraId="7096F805" w14:textId="77777777" w:rsidR="001C2BA2" w:rsidRPr="00F562A8" w:rsidRDefault="001C2BA2" w:rsidP="001C2BA2">
      <w:pPr>
        <w:spacing w:after="0" w:line="276" w:lineRule="auto"/>
        <w:ind w:firstLine="709"/>
        <w:jc w:val="both"/>
        <w:rPr>
          <w:rFonts w:ascii="Times New Roman" w:hAnsi="Times New Roman" w:cs="Times New Roman"/>
          <w:color w:val="000000" w:themeColor="text1"/>
          <w:sz w:val="26"/>
          <w:szCs w:val="26"/>
          <w:lang w:eastAsia="ru-RU"/>
        </w:rPr>
      </w:pPr>
      <w:r w:rsidRPr="00E04F41">
        <w:rPr>
          <w:rFonts w:ascii="Times New Roman" w:hAnsi="Times New Roman" w:cs="Times New Roman"/>
          <w:color w:val="000000" w:themeColor="text1"/>
          <w:sz w:val="26"/>
          <w:szCs w:val="26"/>
          <w:lang w:eastAsia="ru-RU"/>
        </w:rPr>
        <w:t>Индекс изменения цен в декабре 2019 года по отношению к декабрю 2020 года составляет 106,93 или +6,93%, в декабре 2020 года по отношению к декабрю 2021 года составляет 109,28 или +9,28%. Данные</w:t>
      </w:r>
      <w:r w:rsidRPr="00F562A8">
        <w:rPr>
          <w:rFonts w:ascii="Times New Roman" w:hAnsi="Times New Roman" w:cs="Times New Roman"/>
          <w:color w:val="000000" w:themeColor="text1"/>
          <w:sz w:val="26"/>
          <w:szCs w:val="26"/>
          <w:lang w:eastAsia="ru-RU"/>
        </w:rPr>
        <w:t xml:space="preserve"> значения индексов изменения цен использовались для расчета среднего значения величин, приведенных к 20</w:t>
      </w:r>
      <w:r>
        <w:rPr>
          <w:rFonts w:ascii="Times New Roman" w:hAnsi="Times New Roman" w:cs="Times New Roman"/>
          <w:color w:val="000000" w:themeColor="text1"/>
          <w:sz w:val="26"/>
          <w:szCs w:val="26"/>
          <w:lang w:eastAsia="ru-RU"/>
        </w:rPr>
        <w:t>21</w:t>
      </w:r>
      <w:r w:rsidRPr="00F562A8">
        <w:rPr>
          <w:rFonts w:ascii="Times New Roman" w:hAnsi="Times New Roman" w:cs="Times New Roman"/>
          <w:color w:val="000000" w:themeColor="text1"/>
          <w:sz w:val="26"/>
          <w:szCs w:val="26"/>
          <w:lang w:eastAsia="ru-RU"/>
        </w:rPr>
        <w:t xml:space="preserve"> году (см. таблицу ниже).</w:t>
      </w:r>
      <w:r>
        <w:rPr>
          <w:rFonts w:ascii="Times New Roman" w:hAnsi="Times New Roman" w:cs="Times New Roman"/>
          <w:color w:val="000000" w:themeColor="text1"/>
          <w:sz w:val="26"/>
          <w:szCs w:val="26"/>
          <w:lang w:eastAsia="ru-RU"/>
        </w:rPr>
        <w:t xml:space="preserve"> </w:t>
      </w:r>
    </w:p>
    <w:p w14:paraId="6AB5C882" w14:textId="77777777" w:rsidR="001C2BA2" w:rsidRPr="00F562A8" w:rsidRDefault="001C2BA2" w:rsidP="001C2BA2">
      <w:pPr>
        <w:spacing w:after="0" w:line="276" w:lineRule="auto"/>
        <w:rPr>
          <w:rFonts w:ascii="Times New Roman" w:eastAsia="Times New Roman" w:hAnsi="Times New Roman" w:cs="Times New Roman"/>
          <w:color w:val="FF0000"/>
          <w:sz w:val="26"/>
          <w:szCs w:val="26"/>
        </w:rPr>
        <w:sectPr w:rsidR="001C2BA2" w:rsidRPr="00F562A8" w:rsidSect="001C2BA2">
          <w:pgSz w:w="11906" w:h="16838"/>
          <w:pgMar w:top="1134" w:right="851" w:bottom="1134" w:left="1701" w:header="708" w:footer="708" w:gutter="0"/>
          <w:cols w:space="708"/>
          <w:docGrid w:linePitch="360"/>
        </w:sectPr>
      </w:pPr>
    </w:p>
    <w:p w14:paraId="5ADA0442" w14:textId="42AD0CCC" w:rsidR="001C2BA2" w:rsidRPr="00F562A8" w:rsidRDefault="001C2BA2" w:rsidP="001C2BA2">
      <w:pPr>
        <w:spacing w:after="0" w:line="276" w:lineRule="auto"/>
        <w:ind w:firstLine="709"/>
        <w:jc w:val="right"/>
        <w:rPr>
          <w:rFonts w:ascii="Times New Roman" w:eastAsia="Times New Roman" w:hAnsi="Times New Roman" w:cs="Times New Roman"/>
          <w:sz w:val="26"/>
          <w:szCs w:val="26"/>
        </w:rPr>
      </w:pPr>
      <w:r w:rsidRPr="00F562A8">
        <w:rPr>
          <w:rFonts w:ascii="Times New Roman" w:eastAsia="Times New Roman" w:hAnsi="Times New Roman" w:cs="Times New Roman"/>
          <w:sz w:val="26"/>
          <w:szCs w:val="26"/>
        </w:rPr>
        <w:t>Таблиц</w:t>
      </w:r>
      <w:r w:rsidRPr="0099158F">
        <w:rPr>
          <w:rFonts w:ascii="Times New Roman" w:eastAsia="Times New Roman" w:hAnsi="Times New Roman" w:cs="Times New Roman"/>
          <w:sz w:val="26"/>
          <w:szCs w:val="26"/>
        </w:rPr>
        <w:t>а 3.6.1.2</w:t>
      </w:r>
      <w:r w:rsidR="0099158F">
        <w:rPr>
          <w:rFonts w:ascii="Times New Roman" w:eastAsia="Times New Roman" w:hAnsi="Times New Roman" w:cs="Times New Roman"/>
          <w:sz w:val="26"/>
          <w:szCs w:val="26"/>
        </w:rPr>
        <w:t>.1</w:t>
      </w:r>
    </w:p>
    <w:p w14:paraId="78E23A6E" w14:textId="77777777" w:rsidR="001C2BA2" w:rsidRPr="00F562A8" w:rsidRDefault="001C2BA2" w:rsidP="001C2BA2">
      <w:pPr>
        <w:spacing w:after="0" w:line="276" w:lineRule="auto"/>
        <w:ind w:firstLine="709"/>
        <w:jc w:val="center"/>
        <w:rPr>
          <w:rFonts w:ascii="Times New Roman" w:eastAsia="Times New Roman" w:hAnsi="Times New Roman" w:cs="Times New Roman"/>
          <w:color w:val="000000" w:themeColor="text1"/>
          <w:sz w:val="26"/>
          <w:szCs w:val="26"/>
        </w:rPr>
      </w:pPr>
      <w:r w:rsidRPr="00F562A8">
        <w:rPr>
          <w:rFonts w:ascii="Times New Roman" w:eastAsia="Times New Roman" w:hAnsi="Times New Roman" w:cs="Times New Roman"/>
          <w:color w:val="000000" w:themeColor="text1"/>
          <w:sz w:val="26"/>
          <w:szCs w:val="26"/>
        </w:rPr>
        <w:t>Информация по хозяйствам ООО «Рыбхоз Березовский», ООО «ДОН» и ООО рыбколхоз «Новый путь» и расчет средних значений с учетом индексации</w:t>
      </w:r>
    </w:p>
    <w:tbl>
      <w:tblPr>
        <w:tblStyle w:val="18"/>
        <w:tblW w:w="14879" w:type="dxa"/>
        <w:jc w:val="center"/>
        <w:tblLayout w:type="fixed"/>
        <w:tblLook w:val="04A0" w:firstRow="1" w:lastRow="0" w:firstColumn="1" w:lastColumn="0" w:noHBand="0" w:noVBand="1"/>
      </w:tblPr>
      <w:tblGrid>
        <w:gridCol w:w="1840"/>
        <w:gridCol w:w="705"/>
        <w:gridCol w:w="850"/>
        <w:gridCol w:w="995"/>
        <w:gridCol w:w="1425"/>
        <w:gridCol w:w="1132"/>
        <w:gridCol w:w="992"/>
        <w:gridCol w:w="992"/>
        <w:gridCol w:w="1420"/>
        <w:gridCol w:w="984"/>
        <w:gridCol w:w="992"/>
        <w:gridCol w:w="1135"/>
        <w:gridCol w:w="1417"/>
      </w:tblGrid>
      <w:tr w:rsidR="001C2BA2" w:rsidRPr="00F562A8" w14:paraId="59A3EDEF" w14:textId="77777777" w:rsidTr="006131C6">
        <w:trPr>
          <w:trHeight w:val="236"/>
          <w:jc w:val="center"/>
        </w:trPr>
        <w:tc>
          <w:tcPr>
            <w:tcW w:w="1840" w:type="dxa"/>
            <w:vMerge w:val="restart"/>
          </w:tcPr>
          <w:p w14:paraId="19E881BA"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sz w:val="20"/>
                <w:szCs w:val="20"/>
              </w:rPr>
            </w:pPr>
            <w:r w:rsidRPr="00F562A8">
              <w:rPr>
                <w:rFonts w:ascii="Times New Roman" w:eastAsia="Times New Roman" w:hAnsi="Times New Roman" w:cs="Times New Roman"/>
                <w:b/>
                <w:color w:val="000000" w:themeColor="text1"/>
                <w:sz w:val="20"/>
                <w:szCs w:val="20"/>
              </w:rPr>
              <w:t>Наименование рыбхоза</w:t>
            </w:r>
          </w:p>
        </w:tc>
        <w:tc>
          <w:tcPr>
            <w:tcW w:w="3975" w:type="dxa"/>
            <w:gridSpan w:val="4"/>
          </w:tcPr>
          <w:p w14:paraId="07C5887A"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sz w:val="20"/>
                <w:szCs w:val="20"/>
              </w:rPr>
            </w:pPr>
            <w:r w:rsidRPr="00F562A8">
              <w:rPr>
                <w:rFonts w:ascii="Times New Roman" w:eastAsia="Times New Roman" w:hAnsi="Times New Roman" w:cs="Times New Roman"/>
                <w:b/>
                <w:color w:val="000000" w:themeColor="text1"/>
                <w:sz w:val="20"/>
                <w:szCs w:val="20"/>
              </w:rPr>
              <w:t>ООО «Рыбхоз Березовский»</w:t>
            </w:r>
          </w:p>
        </w:tc>
        <w:tc>
          <w:tcPr>
            <w:tcW w:w="4536" w:type="dxa"/>
            <w:gridSpan w:val="4"/>
          </w:tcPr>
          <w:p w14:paraId="401163DF"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sz w:val="20"/>
                <w:szCs w:val="20"/>
              </w:rPr>
            </w:pPr>
            <w:r w:rsidRPr="00F562A8">
              <w:rPr>
                <w:rFonts w:ascii="Times New Roman" w:eastAsia="Times New Roman" w:hAnsi="Times New Roman" w:cs="Times New Roman"/>
                <w:b/>
                <w:color w:val="000000" w:themeColor="text1"/>
                <w:sz w:val="20"/>
                <w:szCs w:val="20"/>
              </w:rPr>
              <w:t>ООО «ДОН»</w:t>
            </w:r>
          </w:p>
        </w:tc>
        <w:tc>
          <w:tcPr>
            <w:tcW w:w="4528" w:type="dxa"/>
            <w:gridSpan w:val="4"/>
          </w:tcPr>
          <w:p w14:paraId="76313AA6"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sz w:val="20"/>
                <w:szCs w:val="20"/>
              </w:rPr>
            </w:pPr>
            <w:r w:rsidRPr="00F562A8">
              <w:rPr>
                <w:rFonts w:ascii="Times New Roman" w:eastAsia="Times New Roman" w:hAnsi="Times New Roman" w:cs="Times New Roman"/>
                <w:b/>
                <w:color w:val="000000" w:themeColor="text1"/>
                <w:sz w:val="20"/>
                <w:szCs w:val="20"/>
              </w:rPr>
              <w:t>ООО рыбколхоз «Новый путь»</w:t>
            </w:r>
          </w:p>
        </w:tc>
      </w:tr>
      <w:tr w:rsidR="001C2BA2" w:rsidRPr="00F562A8" w14:paraId="38425BB9" w14:textId="77777777" w:rsidTr="006131C6">
        <w:trPr>
          <w:trHeight w:val="317"/>
          <w:jc w:val="center"/>
        </w:trPr>
        <w:tc>
          <w:tcPr>
            <w:tcW w:w="1840" w:type="dxa"/>
            <w:vMerge/>
          </w:tcPr>
          <w:p w14:paraId="00EBDEF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705" w:type="dxa"/>
          </w:tcPr>
          <w:p w14:paraId="73D4735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201</w:t>
            </w:r>
            <w:r>
              <w:rPr>
                <w:rFonts w:ascii="Times New Roman" w:eastAsia="Times New Roman" w:hAnsi="Times New Roman" w:cs="Times New Roman"/>
                <w:color w:val="000000" w:themeColor="text1"/>
                <w:sz w:val="20"/>
                <w:szCs w:val="20"/>
              </w:rPr>
              <w:t>9</w:t>
            </w:r>
          </w:p>
        </w:tc>
        <w:tc>
          <w:tcPr>
            <w:tcW w:w="850" w:type="dxa"/>
          </w:tcPr>
          <w:p w14:paraId="385A3F8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w:t>
            </w:r>
            <w:r>
              <w:rPr>
                <w:rFonts w:ascii="Times New Roman" w:eastAsia="Times New Roman" w:hAnsi="Times New Roman" w:cs="Times New Roman"/>
                <w:color w:val="000000" w:themeColor="text1"/>
                <w:sz w:val="20"/>
                <w:szCs w:val="20"/>
              </w:rPr>
              <w:t>20</w:t>
            </w:r>
          </w:p>
        </w:tc>
        <w:tc>
          <w:tcPr>
            <w:tcW w:w="995" w:type="dxa"/>
          </w:tcPr>
          <w:p w14:paraId="7944F35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w:t>
            </w:r>
            <w:r>
              <w:rPr>
                <w:rFonts w:ascii="Times New Roman" w:eastAsia="Times New Roman" w:hAnsi="Times New Roman" w:cs="Times New Roman"/>
                <w:color w:val="000000" w:themeColor="text1"/>
                <w:sz w:val="20"/>
                <w:szCs w:val="20"/>
              </w:rPr>
              <w:t>21</w:t>
            </w:r>
          </w:p>
        </w:tc>
        <w:tc>
          <w:tcPr>
            <w:tcW w:w="1425" w:type="dxa"/>
            <w:shd w:val="clear" w:color="auto" w:fill="auto"/>
          </w:tcPr>
          <w:p w14:paraId="653838C1" w14:textId="77777777" w:rsidR="001C2BA2" w:rsidRPr="00F562A8" w:rsidRDefault="001C2BA2" w:rsidP="006131C6">
            <w:pPr>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Ср зн величин, приведенных к 20</w:t>
            </w:r>
            <w:r>
              <w:rPr>
                <w:rFonts w:ascii="Times New Roman" w:eastAsia="Times New Roman" w:hAnsi="Times New Roman" w:cs="Times New Roman"/>
                <w:color w:val="000000" w:themeColor="text1"/>
                <w:sz w:val="20"/>
                <w:szCs w:val="20"/>
              </w:rPr>
              <w:t>21</w:t>
            </w:r>
            <w:r w:rsidRPr="00F562A8">
              <w:rPr>
                <w:rFonts w:ascii="Times New Roman" w:eastAsia="Times New Roman" w:hAnsi="Times New Roman" w:cs="Times New Roman"/>
                <w:color w:val="000000" w:themeColor="text1"/>
                <w:sz w:val="20"/>
                <w:szCs w:val="20"/>
              </w:rPr>
              <w:t>г</w:t>
            </w:r>
          </w:p>
        </w:tc>
        <w:tc>
          <w:tcPr>
            <w:tcW w:w="1132" w:type="dxa"/>
            <w:shd w:val="clear" w:color="auto" w:fill="auto"/>
          </w:tcPr>
          <w:p w14:paraId="38E6308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201</w:t>
            </w:r>
            <w:r>
              <w:rPr>
                <w:rFonts w:ascii="Times New Roman" w:eastAsia="Times New Roman" w:hAnsi="Times New Roman" w:cs="Times New Roman"/>
                <w:color w:val="000000" w:themeColor="text1"/>
                <w:sz w:val="20"/>
                <w:szCs w:val="20"/>
              </w:rPr>
              <w:t>9</w:t>
            </w:r>
          </w:p>
        </w:tc>
        <w:tc>
          <w:tcPr>
            <w:tcW w:w="992" w:type="dxa"/>
            <w:shd w:val="clear" w:color="auto" w:fill="auto"/>
          </w:tcPr>
          <w:p w14:paraId="71E0CB3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w:t>
            </w:r>
            <w:r>
              <w:rPr>
                <w:rFonts w:ascii="Times New Roman" w:eastAsia="Times New Roman" w:hAnsi="Times New Roman" w:cs="Times New Roman"/>
                <w:color w:val="000000" w:themeColor="text1"/>
                <w:sz w:val="20"/>
                <w:szCs w:val="20"/>
              </w:rPr>
              <w:t>20</w:t>
            </w:r>
          </w:p>
        </w:tc>
        <w:tc>
          <w:tcPr>
            <w:tcW w:w="992" w:type="dxa"/>
            <w:shd w:val="clear" w:color="auto" w:fill="auto"/>
          </w:tcPr>
          <w:p w14:paraId="57E1CA5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w:t>
            </w:r>
            <w:r>
              <w:rPr>
                <w:rFonts w:ascii="Times New Roman" w:eastAsia="Times New Roman" w:hAnsi="Times New Roman" w:cs="Times New Roman"/>
                <w:color w:val="000000" w:themeColor="text1"/>
                <w:sz w:val="20"/>
                <w:szCs w:val="20"/>
              </w:rPr>
              <w:t>21</w:t>
            </w:r>
          </w:p>
        </w:tc>
        <w:tc>
          <w:tcPr>
            <w:tcW w:w="1420" w:type="dxa"/>
            <w:shd w:val="clear" w:color="auto" w:fill="auto"/>
          </w:tcPr>
          <w:p w14:paraId="0C1C23BB" w14:textId="77777777" w:rsidR="001C2BA2" w:rsidRPr="00F562A8" w:rsidRDefault="001C2BA2" w:rsidP="006131C6">
            <w:pPr>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Ср зн величин, приведенных к 20</w:t>
            </w:r>
            <w:r>
              <w:rPr>
                <w:rFonts w:ascii="Times New Roman" w:eastAsia="Times New Roman" w:hAnsi="Times New Roman" w:cs="Times New Roman"/>
                <w:color w:val="000000" w:themeColor="text1"/>
                <w:sz w:val="20"/>
                <w:szCs w:val="20"/>
              </w:rPr>
              <w:t>21</w:t>
            </w:r>
            <w:r w:rsidRPr="00F562A8">
              <w:rPr>
                <w:rFonts w:ascii="Times New Roman" w:eastAsia="Times New Roman" w:hAnsi="Times New Roman" w:cs="Times New Roman"/>
                <w:color w:val="000000" w:themeColor="text1"/>
                <w:sz w:val="20"/>
                <w:szCs w:val="20"/>
              </w:rPr>
              <w:t>г</w:t>
            </w:r>
          </w:p>
        </w:tc>
        <w:tc>
          <w:tcPr>
            <w:tcW w:w="984" w:type="dxa"/>
            <w:shd w:val="clear" w:color="auto" w:fill="auto"/>
          </w:tcPr>
          <w:p w14:paraId="2E937249" w14:textId="77777777" w:rsidR="001C2BA2" w:rsidRPr="00F562A8" w:rsidRDefault="001C2BA2" w:rsidP="006131C6">
            <w:pPr>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201</w:t>
            </w:r>
            <w:r>
              <w:rPr>
                <w:rFonts w:ascii="Times New Roman" w:eastAsia="Times New Roman" w:hAnsi="Times New Roman" w:cs="Times New Roman"/>
                <w:color w:val="000000" w:themeColor="text1"/>
                <w:sz w:val="20"/>
                <w:szCs w:val="20"/>
              </w:rPr>
              <w:t>9</w:t>
            </w:r>
          </w:p>
        </w:tc>
        <w:tc>
          <w:tcPr>
            <w:tcW w:w="992" w:type="dxa"/>
            <w:shd w:val="clear" w:color="auto" w:fill="auto"/>
          </w:tcPr>
          <w:p w14:paraId="69941A95" w14:textId="77777777" w:rsidR="001C2BA2" w:rsidRPr="00F562A8" w:rsidRDefault="001C2BA2" w:rsidP="006131C6">
            <w:pPr>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w:t>
            </w:r>
            <w:r>
              <w:rPr>
                <w:rFonts w:ascii="Times New Roman" w:eastAsia="Times New Roman" w:hAnsi="Times New Roman" w:cs="Times New Roman"/>
                <w:color w:val="000000" w:themeColor="text1"/>
                <w:sz w:val="20"/>
                <w:szCs w:val="20"/>
              </w:rPr>
              <w:t>20</w:t>
            </w:r>
          </w:p>
        </w:tc>
        <w:tc>
          <w:tcPr>
            <w:tcW w:w="1135" w:type="dxa"/>
            <w:shd w:val="clear" w:color="auto" w:fill="auto"/>
          </w:tcPr>
          <w:p w14:paraId="71CCAB94" w14:textId="77777777" w:rsidR="001C2BA2" w:rsidRPr="00F562A8" w:rsidRDefault="001C2BA2" w:rsidP="006131C6">
            <w:pPr>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w:t>
            </w:r>
            <w:r>
              <w:rPr>
                <w:rFonts w:ascii="Times New Roman" w:eastAsia="Times New Roman" w:hAnsi="Times New Roman" w:cs="Times New Roman"/>
                <w:color w:val="000000" w:themeColor="text1"/>
                <w:sz w:val="20"/>
                <w:szCs w:val="20"/>
              </w:rPr>
              <w:t>21</w:t>
            </w:r>
          </w:p>
        </w:tc>
        <w:tc>
          <w:tcPr>
            <w:tcW w:w="1417" w:type="dxa"/>
            <w:shd w:val="clear" w:color="auto" w:fill="auto"/>
          </w:tcPr>
          <w:p w14:paraId="53DF4AB8" w14:textId="77777777" w:rsidR="001C2BA2" w:rsidRPr="00F562A8" w:rsidRDefault="001C2BA2" w:rsidP="006131C6">
            <w:pPr>
              <w:ind w:right="35"/>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Ср зн величин, приведенных к 20</w:t>
            </w:r>
            <w:r>
              <w:rPr>
                <w:rFonts w:ascii="Times New Roman" w:eastAsia="Times New Roman" w:hAnsi="Times New Roman" w:cs="Times New Roman"/>
                <w:color w:val="000000" w:themeColor="text1"/>
                <w:sz w:val="20"/>
                <w:szCs w:val="20"/>
              </w:rPr>
              <w:t>21</w:t>
            </w:r>
            <w:r w:rsidRPr="00F562A8">
              <w:rPr>
                <w:rFonts w:ascii="Times New Roman" w:eastAsia="Times New Roman" w:hAnsi="Times New Roman" w:cs="Times New Roman"/>
                <w:color w:val="000000" w:themeColor="text1"/>
                <w:sz w:val="20"/>
                <w:szCs w:val="20"/>
              </w:rPr>
              <w:t>г</w:t>
            </w:r>
          </w:p>
        </w:tc>
      </w:tr>
      <w:tr w:rsidR="001C2BA2" w:rsidRPr="00F562A8" w14:paraId="09688041" w14:textId="77777777" w:rsidTr="006131C6">
        <w:trPr>
          <w:trHeight w:val="203"/>
          <w:jc w:val="center"/>
        </w:trPr>
        <w:tc>
          <w:tcPr>
            <w:tcW w:w="14879" w:type="dxa"/>
            <w:gridSpan w:val="13"/>
            <w:tcBorders>
              <w:bottom w:val="nil"/>
            </w:tcBorders>
            <w:shd w:val="clear" w:color="auto" w:fill="auto"/>
          </w:tcPr>
          <w:p w14:paraId="64C58ABE"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r w:rsidRPr="00F562A8">
              <w:rPr>
                <w:rFonts w:ascii="Times New Roman" w:eastAsia="Times New Roman" w:hAnsi="Times New Roman" w:cs="Times New Roman"/>
                <w:b/>
                <w:color w:val="000000" w:themeColor="text1"/>
                <w:sz w:val="20"/>
                <w:szCs w:val="20"/>
              </w:rPr>
              <w:t>Масса выпущенного малька, кг на 1 га</w:t>
            </w:r>
          </w:p>
        </w:tc>
      </w:tr>
      <w:tr w:rsidR="001C2BA2" w:rsidRPr="00F562A8" w14:paraId="1FC88889" w14:textId="77777777" w:rsidTr="006131C6">
        <w:trPr>
          <w:trHeight w:val="203"/>
          <w:jc w:val="center"/>
        </w:trPr>
        <w:tc>
          <w:tcPr>
            <w:tcW w:w="1840" w:type="dxa"/>
            <w:tcBorders>
              <w:top w:val="single" w:sz="4" w:space="0" w:color="auto"/>
            </w:tcBorders>
          </w:tcPr>
          <w:p w14:paraId="090D004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Карп</w:t>
            </w:r>
          </w:p>
        </w:tc>
        <w:tc>
          <w:tcPr>
            <w:tcW w:w="705" w:type="dxa"/>
          </w:tcPr>
          <w:p w14:paraId="52D156C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40</w:t>
            </w:r>
            <w:r w:rsidRPr="00F562A8">
              <w:rPr>
                <w:rFonts w:ascii="Times New Roman" w:eastAsia="Times New Roman" w:hAnsi="Times New Roman" w:cs="Times New Roman"/>
                <w:color w:val="000000" w:themeColor="text1"/>
                <w:sz w:val="20"/>
                <w:szCs w:val="20"/>
              </w:rPr>
              <w:t>0</w:t>
            </w:r>
          </w:p>
        </w:tc>
        <w:tc>
          <w:tcPr>
            <w:tcW w:w="850" w:type="dxa"/>
          </w:tcPr>
          <w:p w14:paraId="43FACAB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r w:rsidRPr="00F562A8">
              <w:rPr>
                <w:rFonts w:ascii="Times New Roman" w:eastAsia="Times New Roman" w:hAnsi="Times New Roman" w:cs="Times New Roman"/>
                <w:color w:val="000000" w:themeColor="text1"/>
                <w:sz w:val="20"/>
                <w:szCs w:val="20"/>
              </w:rPr>
              <w:t>00</w:t>
            </w:r>
          </w:p>
        </w:tc>
        <w:tc>
          <w:tcPr>
            <w:tcW w:w="995" w:type="dxa"/>
          </w:tcPr>
          <w:p w14:paraId="0740823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400</w:t>
            </w:r>
          </w:p>
        </w:tc>
        <w:tc>
          <w:tcPr>
            <w:tcW w:w="1425" w:type="dxa"/>
            <w:shd w:val="clear" w:color="auto" w:fill="auto"/>
          </w:tcPr>
          <w:p w14:paraId="50D02B6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400</w:t>
            </w:r>
          </w:p>
        </w:tc>
        <w:tc>
          <w:tcPr>
            <w:tcW w:w="1132" w:type="dxa"/>
            <w:shd w:val="clear" w:color="auto" w:fill="auto"/>
            <w:vAlign w:val="center"/>
          </w:tcPr>
          <w:p w14:paraId="5D1D194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160</w:t>
            </w:r>
          </w:p>
        </w:tc>
        <w:tc>
          <w:tcPr>
            <w:tcW w:w="992" w:type="dxa"/>
            <w:shd w:val="clear" w:color="auto" w:fill="auto"/>
            <w:vAlign w:val="center"/>
          </w:tcPr>
          <w:p w14:paraId="4060A2D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765</w:t>
            </w:r>
          </w:p>
        </w:tc>
        <w:tc>
          <w:tcPr>
            <w:tcW w:w="992" w:type="dxa"/>
            <w:shd w:val="clear" w:color="auto" w:fill="auto"/>
            <w:vAlign w:val="center"/>
          </w:tcPr>
          <w:p w14:paraId="56542CA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765</w:t>
            </w:r>
          </w:p>
        </w:tc>
        <w:tc>
          <w:tcPr>
            <w:tcW w:w="1420" w:type="dxa"/>
            <w:shd w:val="clear" w:color="auto" w:fill="auto"/>
            <w:vAlign w:val="center"/>
          </w:tcPr>
          <w:p w14:paraId="764304D8"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563</w:t>
            </w:r>
          </w:p>
        </w:tc>
        <w:tc>
          <w:tcPr>
            <w:tcW w:w="984" w:type="dxa"/>
            <w:shd w:val="clear" w:color="auto" w:fill="auto"/>
            <w:vAlign w:val="center"/>
          </w:tcPr>
          <w:p w14:paraId="041DD96B"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274</w:t>
            </w:r>
          </w:p>
        </w:tc>
        <w:tc>
          <w:tcPr>
            <w:tcW w:w="992" w:type="dxa"/>
            <w:shd w:val="clear" w:color="auto" w:fill="auto"/>
            <w:vAlign w:val="center"/>
          </w:tcPr>
          <w:p w14:paraId="082A9698"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283</w:t>
            </w:r>
          </w:p>
        </w:tc>
        <w:tc>
          <w:tcPr>
            <w:tcW w:w="1135" w:type="dxa"/>
            <w:shd w:val="clear" w:color="auto" w:fill="auto"/>
            <w:vAlign w:val="center"/>
          </w:tcPr>
          <w:p w14:paraId="64E00BF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280</w:t>
            </w:r>
          </w:p>
        </w:tc>
        <w:tc>
          <w:tcPr>
            <w:tcW w:w="1417" w:type="dxa"/>
            <w:shd w:val="clear" w:color="auto" w:fill="auto"/>
            <w:vAlign w:val="center"/>
          </w:tcPr>
          <w:p w14:paraId="0237551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279</w:t>
            </w:r>
          </w:p>
        </w:tc>
      </w:tr>
      <w:tr w:rsidR="001C2BA2" w:rsidRPr="00F562A8" w14:paraId="49AED9AB" w14:textId="77777777" w:rsidTr="006131C6">
        <w:trPr>
          <w:trHeight w:val="203"/>
          <w:jc w:val="center"/>
        </w:trPr>
        <w:tc>
          <w:tcPr>
            <w:tcW w:w="1840" w:type="dxa"/>
          </w:tcPr>
          <w:p w14:paraId="6B2AAB3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Толстолобик</w:t>
            </w:r>
          </w:p>
        </w:tc>
        <w:tc>
          <w:tcPr>
            <w:tcW w:w="705" w:type="dxa"/>
          </w:tcPr>
          <w:p w14:paraId="5EF642D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r w:rsidRPr="00F562A8">
              <w:rPr>
                <w:rFonts w:ascii="Times New Roman" w:eastAsia="Times New Roman" w:hAnsi="Times New Roman" w:cs="Times New Roman"/>
                <w:color w:val="000000" w:themeColor="text1"/>
                <w:sz w:val="20"/>
                <w:szCs w:val="20"/>
              </w:rPr>
              <w:t>00</w:t>
            </w:r>
          </w:p>
        </w:tc>
        <w:tc>
          <w:tcPr>
            <w:tcW w:w="850" w:type="dxa"/>
          </w:tcPr>
          <w:p w14:paraId="286F8D1F"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w:t>
            </w:r>
            <w:r w:rsidRPr="00F562A8">
              <w:rPr>
                <w:rFonts w:ascii="Times New Roman" w:eastAsia="Times New Roman" w:hAnsi="Times New Roman" w:cs="Times New Roman"/>
                <w:color w:val="000000" w:themeColor="text1"/>
                <w:sz w:val="20"/>
                <w:szCs w:val="20"/>
              </w:rPr>
              <w:t>0</w:t>
            </w:r>
          </w:p>
        </w:tc>
        <w:tc>
          <w:tcPr>
            <w:tcW w:w="995" w:type="dxa"/>
          </w:tcPr>
          <w:p w14:paraId="5A85B5A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300</w:t>
            </w:r>
          </w:p>
        </w:tc>
        <w:tc>
          <w:tcPr>
            <w:tcW w:w="1425" w:type="dxa"/>
            <w:shd w:val="clear" w:color="auto" w:fill="auto"/>
          </w:tcPr>
          <w:p w14:paraId="5695B362"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w:t>
            </w:r>
            <w:r w:rsidRPr="00F562A8">
              <w:rPr>
                <w:rFonts w:ascii="Times New Roman" w:eastAsia="Times New Roman" w:hAnsi="Times New Roman" w:cs="Times New Roman"/>
                <w:color w:val="000000" w:themeColor="text1"/>
                <w:sz w:val="20"/>
                <w:szCs w:val="20"/>
              </w:rPr>
              <w:t>0</w:t>
            </w:r>
          </w:p>
        </w:tc>
        <w:tc>
          <w:tcPr>
            <w:tcW w:w="1132" w:type="dxa"/>
            <w:shd w:val="clear" w:color="auto" w:fill="auto"/>
          </w:tcPr>
          <w:p w14:paraId="480FA4E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w:t>
            </w:r>
          </w:p>
        </w:tc>
        <w:tc>
          <w:tcPr>
            <w:tcW w:w="992" w:type="dxa"/>
            <w:shd w:val="clear" w:color="auto" w:fill="auto"/>
          </w:tcPr>
          <w:p w14:paraId="1B35CD6B"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w:t>
            </w:r>
          </w:p>
        </w:tc>
        <w:tc>
          <w:tcPr>
            <w:tcW w:w="992" w:type="dxa"/>
            <w:shd w:val="clear" w:color="auto" w:fill="auto"/>
          </w:tcPr>
          <w:p w14:paraId="7A164EBF"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w:t>
            </w:r>
          </w:p>
        </w:tc>
        <w:tc>
          <w:tcPr>
            <w:tcW w:w="1420" w:type="dxa"/>
            <w:shd w:val="clear" w:color="auto" w:fill="auto"/>
          </w:tcPr>
          <w:p w14:paraId="44D7DD2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w:t>
            </w:r>
          </w:p>
        </w:tc>
        <w:tc>
          <w:tcPr>
            <w:tcW w:w="984" w:type="dxa"/>
            <w:shd w:val="clear" w:color="auto" w:fill="auto"/>
            <w:vAlign w:val="center"/>
          </w:tcPr>
          <w:p w14:paraId="284C5DC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53</w:t>
            </w:r>
          </w:p>
        </w:tc>
        <w:tc>
          <w:tcPr>
            <w:tcW w:w="992" w:type="dxa"/>
            <w:shd w:val="clear" w:color="auto" w:fill="auto"/>
            <w:vAlign w:val="center"/>
          </w:tcPr>
          <w:p w14:paraId="14B5E2F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113</w:t>
            </w:r>
          </w:p>
        </w:tc>
        <w:tc>
          <w:tcPr>
            <w:tcW w:w="1135" w:type="dxa"/>
            <w:shd w:val="clear" w:color="auto" w:fill="auto"/>
            <w:vAlign w:val="center"/>
          </w:tcPr>
          <w:p w14:paraId="20D0475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110</w:t>
            </w:r>
          </w:p>
        </w:tc>
        <w:tc>
          <w:tcPr>
            <w:tcW w:w="1417" w:type="dxa"/>
            <w:shd w:val="clear" w:color="auto" w:fill="auto"/>
            <w:vAlign w:val="center"/>
          </w:tcPr>
          <w:p w14:paraId="714D9DE2"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92</w:t>
            </w:r>
          </w:p>
        </w:tc>
      </w:tr>
      <w:tr w:rsidR="001C2BA2" w:rsidRPr="00F562A8" w14:paraId="041256E4" w14:textId="77777777" w:rsidTr="006131C6">
        <w:trPr>
          <w:trHeight w:val="203"/>
          <w:jc w:val="center"/>
        </w:trPr>
        <w:tc>
          <w:tcPr>
            <w:tcW w:w="14879" w:type="dxa"/>
            <w:gridSpan w:val="13"/>
            <w:shd w:val="clear" w:color="auto" w:fill="auto"/>
          </w:tcPr>
          <w:p w14:paraId="53E1449E"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r w:rsidRPr="00F562A8">
              <w:rPr>
                <w:rFonts w:ascii="Times New Roman" w:eastAsia="Times New Roman" w:hAnsi="Times New Roman" w:cs="Times New Roman"/>
                <w:b/>
                <w:color w:val="000000" w:themeColor="text1"/>
                <w:sz w:val="20"/>
                <w:szCs w:val="20"/>
              </w:rPr>
              <w:t>Цена выпущенного малька, руб/кг</w:t>
            </w:r>
          </w:p>
        </w:tc>
      </w:tr>
      <w:tr w:rsidR="001C2BA2" w:rsidRPr="00F562A8" w14:paraId="2CB0B854" w14:textId="77777777" w:rsidTr="006131C6">
        <w:trPr>
          <w:trHeight w:val="203"/>
          <w:jc w:val="center"/>
        </w:trPr>
        <w:tc>
          <w:tcPr>
            <w:tcW w:w="1840" w:type="dxa"/>
          </w:tcPr>
          <w:p w14:paraId="4E9C151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карп</w:t>
            </w:r>
          </w:p>
        </w:tc>
        <w:tc>
          <w:tcPr>
            <w:tcW w:w="705" w:type="dxa"/>
          </w:tcPr>
          <w:p w14:paraId="54E2BA6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w:t>
            </w:r>
            <w:r w:rsidRPr="00F562A8">
              <w:rPr>
                <w:rFonts w:ascii="Times New Roman" w:eastAsia="Times New Roman" w:hAnsi="Times New Roman" w:cs="Times New Roman"/>
                <w:color w:val="000000" w:themeColor="text1"/>
                <w:sz w:val="20"/>
                <w:szCs w:val="20"/>
              </w:rPr>
              <w:t>0</w:t>
            </w:r>
          </w:p>
        </w:tc>
        <w:tc>
          <w:tcPr>
            <w:tcW w:w="850" w:type="dxa"/>
          </w:tcPr>
          <w:p w14:paraId="1916A69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3</w:t>
            </w:r>
            <w:r w:rsidRPr="00F562A8">
              <w:rPr>
                <w:rFonts w:ascii="Times New Roman" w:eastAsia="Times New Roman" w:hAnsi="Times New Roman" w:cs="Times New Roman"/>
                <w:color w:val="000000" w:themeColor="text1"/>
                <w:sz w:val="20"/>
                <w:szCs w:val="20"/>
              </w:rPr>
              <w:t>0</w:t>
            </w:r>
          </w:p>
        </w:tc>
        <w:tc>
          <w:tcPr>
            <w:tcW w:w="995" w:type="dxa"/>
          </w:tcPr>
          <w:p w14:paraId="1502A5A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35</w:t>
            </w:r>
          </w:p>
        </w:tc>
        <w:tc>
          <w:tcPr>
            <w:tcW w:w="1425" w:type="dxa"/>
            <w:shd w:val="clear" w:color="auto" w:fill="auto"/>
          </w:tcPr>
          <w:p w14:paraId="219A08F5"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39</w:t>
            </w:r>
            <w:r w:rsidRPr="00F562A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1</w:t>
            </w:r>
            <w:r w:rsidRPr="00F562A8">
              <w:rPr>
                <w:rFonts w:ascii="Times New Roman" w:eastAsia="Times New Roman" w:hAnsi="Times New Roman" w:cs="Times New Roman"/>
                <w:color w:val="000000" w:themeColor="text1"/>
                <w:sz w:val="20"/>
                <w:szCs w:val="20"/>
              </w:rPr>
              <w:t>0</w:t>
            </w:r>
          </w:p>
        </w:tc>
        <w:tc>
          <w:tcPr>
            <w:tcW w:w="1132" w:type="dxa"/>
            <w:shd w:val="clear" w:color="auto" w:fill="auto"/>
            <w:vAlign w:val="center"/>
          </w:tcPr>
          <w:p w14:paraId="2D565A3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120</w:t>
            </w:r>
          </w:p>
        </w:tc>
        <w:tc>
          <w:tcPr>
            <w:tcW w:w="992" w:type="dxa"/>
            <w:shd w:val="clear" w:color="auto" w:fill="auto"/>
            <w:vAlign w:val="center"/>
          </w:tcPr>
          <w:p w14:paraId="64CF1D08"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150</w:t>
            </w:r>
          </w:p>
        </w:tc>
        <w:tc>
          <w:tcPr>
            <w:tcW w:w="992" w:type="dxa"/>
            <w:shd w:val="clear" w:color="auto" w:fill="auto"/>
            <w:vAlign w:val="center"/>
          </w:tcPr>
          <w:p w14:paraId="7899B92F"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150</w:t>
            </w:r>
          </w:p>
        </w:tc>
        <w:tc>
          <w:tcPr>
            <w:tcW w:w="1420" w:type="dxa"/>
            <w:shd w:val="clear" w:color="auto" w:fill="auto"/>
            <w:vAlign w:val="center"/>
          </w:tcPr>
          <w:p w14:paraId="3C6234E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 xml:space="preserve">151,38 </w:t>
            </w:r>
          </w:p>
        </w:tc>
        <w:tc>
          <w:tcPr>
            <w:tcW w:w="984" w:type="dxa"/>
            <w:shd w:val="clear" w:color="auto" w:fill="auto"/>
            <w:vAlign w:val="center"/>
          </w:tcPr>
          <w:p w14:paraId="1E93C93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125</w:t>
            </w:r>
          </w:p>
        </w:tc>
        <w:tc>
          <w:tcPr>
            <w:tcW w:w="992" w:type="dxa"/>
            <w:shd w:val="clear" w:color="auto" w:fill="auto"/>
            <w:vAlign w:val="center"/>
          </w:tcPr>
          <w:p w14:paraId="269A701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130</w:t>
            </w:r>
          </w:p>
        </w:tc>
        <w:tc>
          <w:tcPr>
            <w:tcW w:w="1135" w:type="dxa"/>
            <w:shd w:val="clear" w:color="auto" w:fill="auto"/>
            <w:vAlign w:val="center"/>
          </w:tcPr>
          <w:p w14:paraId="0DCBC00F"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150</w:t>
            </w:r>
          </w:p>
        </w:tc>
        <w:tc>
          <w:tcPr>
            <w:tcW w:w="1417" w:type="dxa"/>
            <w:shd w:val="clear" w:color="auto" w:fill="auto"/>
            <w:vAlign w:val="center"/>
          </w:tcPr>
          <w:p w14:paraId="5C93C9C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146,04</w:t>
            </w:r>
          </w:p>
        </w:tc>
      </w:tr>
      <w:tr w:rsidR="001C2BA2" w:rsidRPr="00F562A8" w14:paraId="6058DB38" w14:textId="77777777" w:rsidTr="006131C6">
        <w:trPr>
          <w:trHeight w:val="203"/>
          <w:jc w:val="center"/>
        </w:trPr>
        <w:tc>
          <w:tcPr>
            <w:tcW w:w="1840" w:type="dxa"/>
          </w:tcPr>
          <w:p w14:paraId="129C2A9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Толстолобик</w:t>
            </w:r>
          </w:p>
        </w:tc>
        <w:tc>
          <w:tcPr>
            <w:tcW w:w="705" w:type="dxa"/>
          </w:tcPr>
          <w:p w14:paraId="0C1B701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100</w:t>
            </w:r>
          </w:p>
        </w:tc>
        <w:tc>
          <w:tcPr>
            <w:tcW w:w="850" w:type="dxa"/>
          </w:tcPr>
          <w:p w14:paraId="13A754B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110</w:t>
            </w:r>
          </w:p>
        </w:tc>
        <w:tc>
          <w:tcPr>
            <w:tcW w:w="995" w:type="dxa"/>
          </w:tcPr>
          <w:p w14:paraId="156A5CE2"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2</w:t>
            </w:r>
            <w:r w:rsidRPr="00F562A8">
              <w:rPr>
                <w:rFonts w:ascii="Times New Roman" w:eastAsia="Times New Roman" w:hAnsi="Times New Roman" w:cs="Times New Roman"/>
                <w:color w:val="000000" w:themeColor="text1"/>
                <w:sz w:val="20"/>
                <w:szCs w:val="20"/>
              </w:rPr>
              <w:t>0</w:t>
            </w:r>
          </w:p>
        </w:tc>
        <w:tc>
          <w:tcPr>
            <w:tcW w:w="1425" w:type="dxa"/>
            <w:shd w:val="clear" w:color="auto" w:fill="auto"/>
          </w:tcPr>
          <w:p w14:paraId="2C7A0080"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000000" w:themeColor="text1"/>
                <w:sz w:val="20"/>
                <w:szCs w:val="20"/>
              </w:rPr>
              <w:t>11</w:t>
            </w:r>
            <w:r w:rsidRPr="00F562A8">
              <w:rPr>
                <w:rFonts w:ascii="Times New Roman" w:eastAsia="Times New Roman" w:hAnsi="Times New Roman" w:cs="Times New Roman"/>
                <w:color w:val="000000" w:themeColor="text1"/>
                <w:sz w:val="20"/>
                <w:szCs w:val="20"/>
              </w:rPr>
              <w:t>9,</w:t>
            </w:r>
            <w:r>
              <w:rPr>
                <w:rFonts w:ascii="Times New Roman" w:eastAsia="Times New Roman" w:hAnsi="Times New Roman" w:cs="Times New Roman"/>
                <w:color w:val="000000" w:themeColor="text1"/>
                <w:sz w:val="20"/>
                <w:szCs w:val="20"/>
              </w:rPr>
              <w:t>02</w:t>
            </w:r>
          </w:p>
        </w:tc>
        <w:tc>
          <w:tcPr>
            <w:tcW w:w="1132" w:type="dxa"/>
            <w:shd w:val="clear" w:color="auto" w:fill="auto"/>
          </w:tcPr>
          <w:p w14:paraId="5F72036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w:t>
            </w:r>
          </w:p>
        </w:tc>
        <w:tc>
          <w:tcPr>
            <w:tcW w:w="992" w:type="dxa"/>
            <w:shd w:val="clear" w:color="auto" w:fill="auto"/>
          </w:tcPr>
          <w:p w14:paraId="33F90BD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w:t>
            </w:r>
          </w:p>
        </w:tc>
        <w:tc>
          <w:tcPr>
            <w:tcW w:w="992" w:type="dxa"/>
            <w:shd w:val="clear" w:color="auto" w:fill="auto"/>
          </w:tcPr>
          <w:p w14:paraId="7447076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w:t>
            </w:r>
          </w:p>
        </w:tc>
        <w:tc>
          <w:tcPr>
            <w:tcW w:w="1420" w:type="dxa"/>
            <w:shd w:val="clear" w:color="auto" w:fill="auto"/>
          </w:tcPr>
          <w:p w14:paraId="63F3AFE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w:t>
            </w:r>
          </w:p>
        </w:tc>
        <w:tc>
          <w:tcPr>
            <w:tcW w:w="984" w:type="dxa"/>
            <w:shd w:val="clear" w:color="auto" w:fill="auto"/>
            <w:vAlign w:val="center"/>
          </w:tcPr>
          <w:p w14:paraId="16B0988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125</w:t>
            </w:r>
          </w:p>
        </w:tc>
        <w:tc>
          <w:tcPr>
            <w:tcW w:w="992" w:type="dxa"/>
            <w:shd w:val="clear" w:color="auto" w:fill="auto"/>
            <w:vAlign w:val="center"/>
          </w:tcPr>
          <w:p w14:paraId="0FD81178"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130</w:t>
            </w:r>
          </w:p>
        </w:tc>
        <w:tc>
          <w:tcPr>
            <w:tcW w:w="1135" w:type="dxa"/>
            <w:shd w:val="clear" w:color="auto" w:fill="auto"/>
            <w:vAlign w:val="center"/>
          </w:tcPr>
          <w:p w14:paraId="6F22D25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130</w:t>
            </w:r>
          </w:p>
        </w:tc>
        <w:tc>
          <w:tcPr>
            <w:tcW w:w="1417" w:type="dxa"/>
            <w:shd w:val="clear" w:color="auto" w:fill="auto"/>
            <w:vAlign w:val="center"/>
          </w:tcPr>
          <w:p w14:paraId="25EBC10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139,38</w:t>
            </w:r>
          </w:p>
        </w:tc>
      </w:tr>
      <w:tr w:rsidR="001C2BA2" w:rsidRPr="00F562A8" w14:paraId="3FE7D96D" w14:textId="77777777" w:rsidTr="006131C6">
        <w:trPr>
          <w:trHeight w:val="203"/>
          <w:jc w:val="center"/>
        </w:trPr>
        <w:tc>
          <w:tcPr>
            <w:tcW w:w="14879" w:type="dxa"/>
            <w:gridSpan w:val="13"/>
            <w:shd w:val="clear" w:color="auto" w:fill="auto"/>
          </w:tcPr>
          <w:p w14:paraId="4BDEDD97"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r w:rsidRPr="00F562A8">
              <w:rPr>
                <w:rFonts w:ascii="Times New Roman" w:eastAsia="Times New Roman" w:hAnsi="Times New Roman" w:cs="Times New Roman"/>
                <w:b/>
                <w:color w:val="000000" w:themeColor="text1"/>
                <w:sz w:val="20"/>
                <w:szCs w:val="20"/>
              </w:rPr>
              <w:t>Кол-во корма, использованного для выращивания, т на 1 га</w:t>
            </w:r>
          </w:p>
        </w:tc>
      </w:tr>
      <w:tr w:rsidR="001C2BA2" w:rsidRPr="00F562A8" w14:paraId="77569E8B" w14:textId="77777777" w:rsidTr="006131C6">
        <w:trPr>
          <w:trHeight w:val="216"/>
          <w:jc w:val="center"/>
        </w:trPr>
        <w:tc>
          <w:tcPr>
            <w:tcW w:w="1840" w:type="dxa"/>
          </w:tcPr>
          <w:p w14:paraId="3C8CEFD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Карп</w:t>
            </w:r>
          </w:p>
        </w:tc>
        <w:tc>
          <w:tcPr>
            <w:tcW w:w="705" w:type="dxa"/>
          </w:tcPr>
          <w:p w14:paraId="05D991E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850" w:type="dxa"/>
          </w:tcPr>
          <w:p w14:paraId="06BFF8E2"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995" w:type="dxa"/>
          </w:tcPr>
          <w:p w14:paraId="0DBBAA08"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3,0</w:t>
            </w:r>
          </w:p>
        </w:tc>
        <w:tc>
          <w:tcPr>
            <w:tcW w:w="1425" w:type="dxa"/>
            <w:shd w:val="clear" w:color="auto" w:fill="auto"/>
          </w:tcPr>
          <w:p w14:paraId="7376A3A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132" w:type="dxa"/>
            <w:shd w:val="clear" w:color="auto" w:fill="auto"/>
            <w:vAlign w:val="center"/>
          </w:tcPr>
          <w:p w14:paraId="2971716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2,514</w:t>
            </w:r>
          </w:p>
        </w:tc>
        <w:tc>
          <w:tcPr>
            <w:tcW w:w="992" w:type="dxa"/>
            <w:shd w:val="clear" w:color="auto" w:fill="auto"/>
            <w:vAlign w:val="center"/>
          </w:tcPr>
          <w:p w14:paraId="00190CC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2,147</w:t>
            </w:r>
          </w:p>
        </w:tc>
        <w:tc>
          <w:tcPr>
            <w:tcW w:w="992" w:type="dxa"/>
            <w:shd w:val="clear" w:color="auto" w:fill="auto"/>
            <w:vAlign w:val="center"/>
          </w:tcPr>
          <w:p w14:paraId="5C0C389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2,747</w:t>
            </w:r>
          </w:p>
        </w:tc>
        <w:tc>
          <w:tcPr>
            <w:tcW w:w="1420" w:type="dxa"/>
            <w:shd w:val="clear" w:color="auto" w:fill="auto"/>
            <w:vAlign w:val="center"/>
          </w:tcPr>
          <w:p w14:paraId="5BE49E5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2,469</w:t>
            </w:r>
          </w:p>
        </w:tc>
        <w:tc>
          <w:tcPr>
            <w:tcW w:w="984" w:type="dxa"/>
            <w:shd w:val="clear" w:color="auto" w:fill="auto"/>
            <w:vAlign w:val="center"/>
          </w:tcPr>
          <w:p w14:paraId="6C9BB67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6,363</w:t>
            </w:r>
          </w:p>
        </w:tc>
        <w:tc>
          <w:tcPr>
            <w:tcW w:w="992" w:type="dxa"/>
            <w:shd w:val="clear" w:color="auto" w:fill="auto"/>
            <w:vAlign w:val="center"/>
          </w:tcPr>
          <w:p w14:paraId="2CB3CFEB"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6,947</w:t>
            </w:r>
          </w:p>
        </w:tc>
        <w:tc>
          <w:tcPr>
            <w:tcW w:w="1135" w:type="dxa"/>
            <w:shd w:val="clear" w:color="auto" w:fill="auto"/>
            <w:vAlign w:val="center"/>
          </w:tcPr>
          <w:p w14:paraId="093C386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6,99</w:t>
            </w:r>
          </w:p>
        </w:tc>
        <w:tc>
          <w:tcPr>
            <w:tcW w:w="1417" w:type="dxa"/>
            <w:shd w:val="clear" w:color="auto" w:fill="auto"/>
            <w:vAlign w:val="center"/>
          </w:tcPr>
          <w:p w14:paraId="664B71B8"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6,767</w:t>
            </w:r>
          </w:p>
        </w:tc>
      </w:tr>
      <w:tr w:rsidR="001C2BA2" w:rsidRPr="00F562A8" w14:paraId="0D3A810B" w14:textId="77777777" w:rsidTr="006131C6">
        <w:trPr>
          <w:trHeight w:val="203"/>
          <w:jc w:val="center"/>
        </w:trPr>
        <w:tc>
          <w:tcPr>
            <w:tcW w:w="1840" w:type="dxa"/>
          </w:tcPr>
          <w:p w14:paraId="510D409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Толстолобика</w:t>
            </w:r>
          </w:p>
        </w:tc>
        <w:tc>
          <w:tcPr>
            <w:tcW w:w="705" w:type="dxa"/>
          </w:tcPr>
          <w:p w14:paraId="0474CCA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0,</w:t>
            </w:r>
            <w:r>
              <w:rPr>
                <w:rFonts w:ascii="Times New Roman" w:eastAsia="Times New Roman" w:hAnsi="Times New Roman" w:cs="Times New Roman"/>
                <w:color w:val="000000" w:themeColor="text1"/>
                <w:sz w:val="20"/>
                <w:szCs w:val="20"/>
              </w:rPr>
              <w:t>2</w:t>
            </w:r>
          </w:p>
        </w:tc>
        <w:tc>
          <w:tcPr>
            <w:tcW w:w="850" w:type="dxa"/>
          </w:tcPr>
          <w:p w14:paraId="0FDB378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0,</w:t>
            </w:r>
            <w:r>
              <w:rPr>
                <w:rFonts w:ascii="Times New Roman" w:eastAsia="Times New Roman" w:hAnsi="Times New Roman" w:cs="Times New Roman"/>
                <w:color w:val="000000" w:themeColor="text1"/>
                <w:sz w:val="20"/>
                <w:szCs w:val="20"/>
              </w:rPr>
              <w:t>3</w:t>
            </w:r>
          </w:p>
        </w:tc>
        <w:tc>
          <w:tcPr>
            <w:tcW w:w="995" w:type="dxa"/>
          </w:tcPr>
          <w:p w14:paraId="67EDCCE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0,</w:t>
            </w:r>
            <w:r>
              <w:rPr>
                <w:rFonts w:ascii="Times New Roman" w:eastAsia="Times New Roman" w:hAnsi="Times New Roman" w:cs="Times New Roman"/>
                <w:color w:val="000000" w:themeColor="text1"/>
                <w:sz w:val="20"/>
                <w:szCs w:val="20"/>
              </w:rPr>
              <w:t>3</w:t>
            </w:r>
          </w:p>
        </w:tc>
        <w:tc>
          <w:tcPr>
            <w:tcW w:w="1425" w:type="dxa"/>
            <w:shd w:val="clear" w:color="auto" w:fill="auto"/>
          </w:tcPr>
          <w:p w14:paraId="28DA566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0,</w:t>
            </w:r>
            <w:r>
              <w:rPr>
                <w:rFonts w:ascii="Times New Roman" w:eastAsia="Times New Roman" w:hAnsi="Times New Roman" w:cs="Times New Roman"/>
                <w:color w:val="000000" w:themeColor="text1"/>
                <w:sz w:val="20"/>
                <w:szCs w:val="20"/>
              </w:rPr>
              <w:t>27</w:t>
            </w:r>
          </w:p>
        </w:tc>
        <w:tc>
          <w:tcPr>
            <w:tcW w:w="1132" w:type="dxa"/>
            <w:shd w:val="clear" w:color="auto" w:fill="auto"/>
          </w:tcPr>
          <w:p w14:paraId="5B31151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w:t>
            </w:r>
          </w:p>
        </w:tc>
        <w:tc>
          <w:tcPr>
            <w:tcW w:w="992" w:type="dxa"/>
            <w:shd w:val="clear" w:color="auto" w:fill="auto"/>
          </w:tcPr>
          <w:p w14:paraId="050205BF"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w:t>
            </w:r>
          </w:p>
        </w:tc>
        <w:tc>
          <w:tcPr>
            <w:tcW w:w="992" w:type="dxa"/>
            <w:shd w:val="clear" w:color="auto" w:fill="auto"/>
          </w:tcPr>
          <w:p w14:paraId="39A3185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w:t>
            </w:r>
          </w:p>
        </w:tc>
        <w:tc>
          <w:tcPr>
            <w:tcW w:w="1420" w:type="dxa"/>
            <w:shd w:val="clear" w:color="auto" w:fill="auto"/>
          </w:tcPr>
          <w:p w14:paraId="40E8FAE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w:t>
            </w:r>
          </w:p>
        </w:tc>
        <w:tc>
          <w:tcPr>
            <w:tcW w:w="984" w:type="dxa"/>
            <w:shd w:val="clear" w:color="auto" w:fill="auto"/>
          </w:tcPr>
          <w:p w14:paraId="44ED2B3B"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992" w:type="dxa"/>
            <w:shd w:val="clear" w:color="auto" w:fill="auto"/>
          </w:tcPr>
          <w:p w14:paraId="59A057B0"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1135" w:type="dxa"/>
            <w:shd w:val="clear" w:color="auto" w:fill="auto"/>
          </w:tcPr>
          <w:p w14:paraId="7750F24C"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1417" w:type="dxa"/>
            <w:shd w:val="clear" w:color="auto" w:fill="auto"/>
          </w:tcPr>
          <w:p w14:paraId="776C3502"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r>
      <w:tr w:rsidR="001C2BA2" w:rsidRPr="00F562A8" w14:paraId="66DC6D6A" w14:textId="77777777" w:rsidTr="006131C6">
        <w:trPr>
          <w:trHeight w:val="203"/>
          <w:jc w:val="center"/>
        </w:trPr>
        <w:tc>
          <w:tcPr>
            <w:tcW w:w="14879" w:type="dxa"/>
            <w:gridSpan w:val="13"/>
            <w:tcBorders>
              <w:bottom w:val="nil"/>
            </w:tcBorders>
            <w:shd w:val="clear" w:color="auto" w:fill="auto"/>
          </w:tcPr>
          <w:p w14:paraId="18754B74"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r w:rsidRPr="00F562A8">
              <w:rPr>
                <w:rFonts w:ascii="Times New Roman" w:eastAsia="Times New Roman" w:hAnsi="Times New Roman" w:cs="Times New Roman"/>
                <w:b/>
                <w:color w:val="000000" w:themeColor="text1"/>
                <w:sz w:val="20"/>
                <w:szCs w:val="20"/>
              </w:rPr>
              <w:t>Цена корма, использованного для выращивания, руб/т</w:t>
            </w:r>
          </w:p>
        </w:tc>
      </w:tr>
      <w:tr w:rsidR="001C2BA2" w:rsidRPr="00F562A8" w14:paraId="6425A43D" w14:textId="77777777" w:rsidTr="006131C6">
        <w:trPr>
          <w:trHeight w:val="263"/>
          <w:jc w:val="center"/>
        </w:trPr>
        <w:tc>
          <w:tcPr>
            <w:tcW w:w="1840" w:type="dxa"/>
            <w:tcBorders>
              <w:top w:val="single" w:sz="4" w:space="0" w:color="auto"/>
            </w:tcBorders>
            <w:vAlign w:val="center"/>
          </w:tcPr>
          <w:p w14:paraId="315E784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Карп</w:t>
            </w:r>
          </w:p>
        </w:tc>
        <w:tc>
          <w:tcPr>
            <w:tcW w:w="705" w:type="dxa"/>
            <w:tcBorders>
              <w:top w:val="single" w:sz="4" w:space="0" w:color="auto"/>
            </w:tcBorders>
            <w:vAlign w:val="center"/>
          </w:tcPr>
          <w:p w14:paraId="10388CB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w:t>
            </w:r>
            <w:r w:rsidRPr="00F562A8">
              <w:rPr>
                <w:rFonts w:ascii="Times New Roman" w:eastAsia="Times New Roman" w:hAnsi="Times New Roman" w:cs="Times New Roman"/>
                <w:color w:val="000000" w:themeColor="text1"/>
                <w:sz w:val="20"/>
                <w:szCs w:val="20"/>
              </w:rPr>
              <w:t>000</w:t>
            </w:r>
          </w:p>
        </w:tc>
        <w:tc>
          <w:tcPr>
            <w:tcW w:w="850" w:type="dxa"/>
            <w:vAlign w:val="center"/>
          </w:tcPr>
          <w:p w14:paraId="647C05C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r w:rsidRPr="00F562A8">
              <w:rPr>
                <w:rFonts w:ascii="Times New Roman" w:eastAsia="Times New Roman" w:hAnsi="Times New Roman" w:cs="Times New Roman"/>
                <w:color w:val="000000" w:themeColor="text1"/>
                <w:sz w:val="20"/>
                <w:szCs w:val="20"/>
              </w:rPr>
              <w:t>000</w:t>
            </w:r>
          </w:p>
        </w:tc>
        <w:tc>
          <w:tcPr>
            <w:tcW w:w="995" w:type="dxa"/>
            <w:vAlign w:val="center"/>
          </w:tcPr>
          <w:p w14:paraId="04F76CD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w:t>
            </w:r>
            <w:r w:rsidRPr="00F562A8">
              <w:rPr>
                <w:rFonts w:ascii="Times New Roman" w:eastAsia="Times New Roman" w:hAnsi="Times New Roman" w:cs="Times New Roman"/>
                <w:color w:val="000000" w:themeColor="text1"/>
                <w:sz w:val="20"/>
                <w:szCs w:val="20"/>
              </w:rPr>
              <w:t>000</w:t>
            </w:r>
          </w:p>
        </w:tc>
        <w:tc>
          <w:tcPr>
            <w:tcW w:w="1425" w:type="dxa"/>
            <w:shd w:val="clear" w:color="auto" w:fill="auto"/>
            <w:vAlign w:val="center"/>
          </w:tcPr>
          <w:p w14:paraId="2316D55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10814</w:t>
            </w:r>
            <w:r w:rsidRPr="00F562A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93</w:t>
            </w:r>
          </w:p>
        </w:tc>
        <w:tc>
          <w:tcPr>
            <w:tcW w:w="1132" w:type="dxa"/>
            <w:shd w:val="clear" w:color="auto" w:fill="auto"/>
            <w:vAlign w:val="center"/>
          </w:tcPr>
          <w:p w14:paraId="3E021EC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7065</w:t>
            </w:r>
          </w:p>
        </w:tc>
        <w:tc>
          <w:tcPr>
            <w:tcW w:w="992" w:type="dxa"/>
            <w:shd w:val="clear" w:color="auto" w:fill="auto"/>
            <w:vAlign w:val="center"/>
          </w:tcPr>
          <w:p w14:paraId="726475E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9166</w:t>
            </w:r>
          </w:p>
        </w:tc>
        <w:tc>
          <w:tcPr>
            <w:tcW w:w="992" w:type="dxa"/>
            <w:shd w:val="clear" w:color="auto" w:fill="auto"/>
            <w:vAlign w:val="center"/>
          </w:tcPr>
          <w:p w14:paraId="130C6AE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12414</w:t>
            </w:r>
          </w:p>
        </w:tc>
        <w:tc>
          <w:tcPr>
            <w:tcW w:w="1420" w:type="dxa"/>
            <w:shd w:val="clear" w:color="auto" w:fill="auto"/>
            <w:vAlign w:val="center"/>
          </w:tcPr>
          <w:p w14:paraId="5E6CD75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10228,76</w:t>
            </w:r>
          </w:p>
        </w:tc>
        <w:tc>
          <w:tcPr>
            <w:tcW w:w="984" w:type="dxa"/>
            <w:shd w:val="clear" w:color="auto" w:fill="auto"/>
            <w:vAlign w:val="center"/>
          </w:tcPr>
          <w:p w14:paraId="108DCE6B"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5280,40</w:t>
            </w:r>
          </w:p>
        </w:tc>
        <w:tc>
          <w:tcPr>
            <w:tcW w:w="992" w:type="dxa"/>
            <w:shd w:val="clear" w:color="auto" w:fill="auto"/>
            <w:vAlign w:val="center"/>
          </w:tcPr>
          <w:p w14:paraId="2B349FF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7263,40</w:t>
            </w:r>
          </w:p>
        </w:tc>
        <w:tc>
          <w:tcPr>
            <w:tcW w:w="1135" w:type="dxa"/>
            <w:shd w:val="clear" w:color="auto" w:fill="auto"/>
            <w:vAlign w:val="center"/>
          </w:tcPr>
          <w:p w14:paraId="1CEA5A78"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8253,40</w:t>
            </w:r>
          </w:p>
        </w:tc>
        <w:tc>
          <w:tcPr>
            <w:tcW w:w="1417" w:type="dxa"/>
            <w:shd w:val="clear" w:color="auto" w:fill="auto"/>
            <w:vAlign w:val="center"/>
          </w:tcPr>
          <w:p w14:paraId="659D71D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7453,72</w:t>
            </w:r>
          </w:p>
        </w:tc>
      </w:tr>
      <w:tr w:rsidR="001C2BA2" w:rsidRPr="00F562A8" w14:paraId="0941ECA8" w14:textId="77777777" w:rsidTr="006131C6">
        <w:trPr>
          <w:trHeight w:val="203"/>
          <w:jc w:val="center"/>
        </w:trPr>
        <w:tc>
          <w:tcPr>
            <w:tcW w:w="1840" w:type="dxa"/>
            <w:vAlign w:val="center"/>
          </w:tcPr>
          <w:p w14:paraId="131AB58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Толстолобик</w:t>
            </w:r>
          </w:p>
        </w:tc>
        <w:tc>
          <w:tcPr>
            <w:tcW w:w="705" w:type="dxa"/>
            <w:vAlign w:val="center"/>
          </w:tcPr>
          <w:p w14:paraId="02B25E6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w:t>
            </w:r>
            <w:r w:rsidRPr="00F562A8">
              <w:rPr>
                <w:rFonts w:ascii="Times New Roman" w:eastAsia="Times New Roman" w:hAnsi="Times New Roman" w:cs="Times New Roman"/>
                <w:color w:val="000000" w:themeColor="text1"/>
                <w:sz w:val="20"/>
                <w:szCs w:val="20"/>
              </w:rPr>
              <w:t>000</w:t>
            </w:r>
          </w:p>
        </w:tc>
        <w:tc>
          <w:tcPr>
            <w:tcW w:w="850" w:type="dxa"/>
            <w:vAlign w:val="center"/>
          </w:tcPr>
          <w:p w14:paraId="0FDB3F0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w:t>
            </w:r>
            <w:r w:rsidRPr="00F562A8">
              <w:rPr>
                <w:rFonts w:ascii="Times New Roman" w:eastAsia="Times New Roman" w:hAnsi="Times New Roman" w:cs="Times New Roman"/>
                <w:color w:val="000000" w:themeColor="text1"/>
                <w:sz w:val="20"/>
                <w:szCs w:val="20"/>
              </w:rPr>
              <w:t>000</w:t>
            </w:r>
          </w:p>
        </w:tc>
        <w:tc>
          <w:tcPr>
            <w:tcW w:w="995" w:type="dxa"/>
            <w:vAlign w:val="center"/>
          </w:tcPr>
          <w:p w14:paraId="690E95B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w:t>
            </w:r>
            <w:r w:rsidRPr="00F562A8">
              <w:rPr>
                <w:rFonts w:ascii="Times New Roman" w:eastAsia="Times New Roman" w:hAnsi="Times New Roman" w:cs="Times New Roman"/>
                <w:color w:val="000000" w:themeColor="text1"/>
                <w:sz w:val="20"/>
                <w:szCs w:val="20"/>
              </w:rPr>
              <w:t>000</w:t>
            </w:r>
          </w:p>
        </w:tc>
        <w:tc>
          <w:tcPr>
            <w:tcW w:w="1425" w:type="dxa"/>
            <w:shd w:val="clear" w:color="auto" w:fill="auto"/>
            <w:vAlign w:val="center"/>
          </w:tcPr>
          <w:p w14:paraId="6F925C9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10814</w:t>
            </w:r>
            <w:r w:rsidRPr="00F562A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93</w:t>
            </w:r>
          </w:p>
        </w:tc>
        <w:tc>
          <w:tcPr>
            <w:tcW w:w="1132" w:type="dxa"/>
            <w:shd w:val="clear" w:color="auto" w:fill="auto"/>
            <w:vAlign w:val="center"/>
          </w:tcPr>
          <w:p w14:paraId="5CF778F4"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992" w:type="dxa"/>
            <w:shd w:val="clear" w:color="auto" w:fill="auto"/>
            <w:vAlign w:val="center"/>
          </w:tcPr>
          <w:p w14:paraId="1CE80FF8"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992" w:type="dxa"/>
            <w:shd w:val="clear" w:color="auto" w:fill="auto"/>
            <w:vAlign w:val="center"/>
          </w:tcPr>
          <w:p w14:paraId="0DB96315"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1420" w:type="dxa"/>
            <w:shd w:val="clear" w:color="auto" w:fill="auto"/>
            <w:vAlign w:val="center"/>
          </w:tcPr>
          <w:p w14:paraId="1C1AC2C5"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984" w:type="dxa"/>
            <w:shd w:val="clear" w:color="auto" w:fill="auto"/>
            <w:vAlign w:val="center"/>
          </w:tcPr>
          <w:p w14:paraId="49AEC480"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992" w:type="dxa"/>
            <w:shd w:val="clear" w:color="auto" w:fill="auto"/>
            <w:vAlign w:val="center"/>
          </w:tcPr>
          <w:p w14:paraId="50B54089"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1135" w:type="dxa"/>
            <w:shd w:val="clear" w:color="auto" w:fill="auto"/>
            <w:vAlign w:val="center"/>
          </w:tcPr>
          <w:p w14:paraId="5479A009"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1417" w:type="dxa"/>
            <w:shd w:val="clear" w:color="auto" w:fill="auto"/>
            <w:vAlign w:val="center"/>
          </w:tcPr>
          <w:p w14:paraId="58FD520F"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r>
      <w:tr w:rsidR="001C2BA2" w:rsidRPr="00F562A8" w14:paraId="6849A564" w14:textId="77777777" w:rsidTr="006131C6">
        <w:trPr>
          <w:trHeight w:val="203"/>
          <w:jc w:val="center"/>
        </w:trPr>
        <w:tc>
          <w:tcPr>
            <w:tcW w:w="13462" w:type="dxa"/>
            <w:gridSpan w:val="12"/>
            <w:shd w:val="clear" w:color="auto" w:fill="auto"/>
          </w:tcPr>
          <w:p w14:paraId="4120AF64"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sz w:val="20"/>
                <w:szCs w:val="20"/>
              </w:rPr>
            </w:pPr>
            <w:r w:rsidRPr="00F562A8">
              <w:rPr>
                <w:rFonts w:ascii="Times New Roman" w:eastAsia="Times New Roman" w:hAnsi="Times New Roman" w:cs="Times New Roman"/>
                <w:b/>
                <w:color w:val="000000" w:themeColor="text1"/>
                <w:sz w:val="20"/>
                <w:szCs w:val="20"/>
              </w:rPr>
              <w:t>Масса выловленной рыбы, кг на 1 га</w:t>
            </w:r>
          </w:p>
        </w:tc>
        <w:tc>
          <w:tcPr>
            <w:tcW w:w="1417" w:type="dxa"/>
            <w:shd w:val="clear" w:color="auto" w:fill="auto"/>
          </w:tcPr>
          <w:p w14:paraId="1DF55850"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p>
        </w:tc>
      </w:tr>
      <w:tr w:rsidR="001C2BA2" w:rsidRPr="00F562A8" w14:paraId="3E4581CA" w14:textId="77777777" w:rsidTr="006131C6">
        <w:trPr>
          <w:trHeight w:val="203"/>
          <w:jc w:val="center"/>
        </w:trPr>
        <w:tc>
          <w:tcPr>
            <w:tcW w:w="1840" w:type="dxa"/>
          </w:tcPr>
          <w:p w14:paraId="6C5ACD3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Карп</w:t>
            </w:r>
          </w:p>
        </w:tc>
        <w:tc>
          <w:tcPr>
            <w:tcW w:w="705" w:type="dxa"/>
          </w:tcPr>
          <w:p w14:paraId="728063D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F562A8">
              <w:rPr>
                <w:rFonts w:ascii="Times New Roman" w:eastAsia="Times New Roman" w:hAnsi="Times New Roman" w:cs="Times New Roman"/>
                <w:color w:val="000000" w:themeColor="text1"/>
                <w:sz w:val="20"/>
                <w:szCs w:val="20"/>
              </w:rPr>
              <w:t>000</w:t>
            </w:r>
          </w:p>
        </w:tc>
        <w:tc>
          <w:tcPr>
            <w:tcW w:w="850" w:type="dxa"/>
          </w:tcPr>
          <w:p w14:paraId="42822DDB"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r w:rsidRPr="00F562A8">
              <w:rPr>
                <w:rFonts w:ascii="Times New Roman" w:eastAsia="Times New Roman" w:hAnsi="Times New Roman" w:cs="Times New Roman"/>
                <w:color w:val="000000" w:themeColor="text1"/>
                <w:sz w:val="20"/>
                <w:szCs w:val="20"/>
              </w:rPr>
              <w:t>00</w:t>
            </w:r>
          </w:p>
        </w:tc>
        <w:tc>
          <w:tcPr>
            <w:tcW w:w="995" w:type="dxa"/>
          </w:tcPr>
          <w:p w14:paraId="1725F7D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2000</w:t>
            </w:r>
          </w:p>
        </w:tc>
        <w:tc>
          <w:tcPr>
            <w:tcW w:w="1425" w:type="dxa"/>
            <w:shd w:val="clear" w:color="auto" w:fill="auto"/>
          </w:tcPr>
          <w:p w14:paraId="26A0A47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r w:rsidRPr="00F562A8">
              <w:rPr>
                <w:rFonts w:ascii="Times New Roman" w:eastAsia="Times New Roman" w:hAnsi="Times New Roman" w:cs="Times New Roman"/>
                <w:color w:val="000000" w:themeColor="text1"/>
                <w:sz w:val="20"/>
                <w:szCs w:val="20"/>
              </w:rPr>
              <w:t>00</w:t>
            </w:r>
          </w:p>
        </w:tc>
        <w:tc>
          <w:tcPr>
            <w:tcW w:w="1132" w:type="dxa"/>
            <w:shd w:val="clear" w:color="auto" w:fill="auto"/>
            <w:vAlign w:val="center"/>
          </w:tcPr>
          <w:p w14:paraId="7BD1D15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1825,5</w:t>
            </w:r>
          </w:p>
        </w:tc>
        <w:tc>
          <w:tcPr>
            <w:tcW w:w="992" w:type="dxa"/>
            <w:shd w:val="clear" w:color="auto" w:fill="auto"/>
            <w:vAlign w:val="center"/>
          </w:tcPr>
          <w:p w14:paraId="3B585F87" w14:textId="77777777" w:rsidR="001C2BA2" w:rsidRPr="00F562A8" w:rsidRDefault="001C2BA2" w:rsidP="006131C6">
            <w:pPr>
              <w:spacing w:line="276" w:lineRule="auto"/>
              <w:ind w:right="-109"/>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1723,7</w:t>
            </w:r>
          </w:p>
        </w:tc>
        <w:tc>
          <w:tcPr>
            <w:tcW w:w="992" w:type="dxa"/>
            <w:shd w:val="clear" w:color="auto" w:fill="auto"/>
            <w:vAlign w:val="center"/>
          </w:tcPr>
          <w:p w14:paraId="485599FB" w14:textId="77777777" w:rsidR="001C2BA2" w:rsidRPr="00F562A8" w:rsidRDefault="001C2BA2" w:rsidP="006131C6">
            <w:pPr>
              <w:spacing w:line="276" w:lineRule="auto"/>
              <w:ind w:right="-110" w:hanging="107"/>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1823,5</w:t>
            </w:r>
          </w:p>
        </w:tc>
        <w:tc>
          <w:tcPr>
            <w:tcW w:w="1420" w:type="dxa"/>
            <w:shd w:val="clear" w:color="auto" w:fill="auto"/>
            <w:vAlign w:val="center"/>
          </w:tcPr>
          <w:p w14:paraId="17010728"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CA378C">
              <w:rPr>
                <w:rFonts w:ascii="Times New Roman" w:eastAsia="Times New Roman" w:hAnsi="Times New Roman" w:cs="Times New Roman"/>
                <w:color w:val="000000" w:themeColor="text1"/>
                <w:sz w:val="20"/>
                <w:szCs w:val="20"/>
              </w:rPr>
              <w:t>1791</w:t>
            </w:r>
          </w:p>
        </w:tc>
        <w:tc>
          <w:tcPr>
            <w:tcW w:w="984" w:type="dxa"/>
            <w:shd w:val="clear" w:color="auto" w:fill="auto"/>
            <w:vAlign w:val="center"/>
          </w:tcPr>
          <w:p w14:paraId="1D7C3C4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2180</w:t>
            </w:r>
          </w:p>
        </w:tc>
        <w:tc>
          <w:tcPr>
            <w:tcW w:w="992" w:type="dxa"/>
            <w:shd w:val="clear" w:color="auto" w:fill="auto"/>
            <w:vAlign w:val="center"/>
          </w:tcPr>
          <w:p w14:paraId="422088B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2500</w:t>
            </w:r>
          </w:p>
        </w:tc>
        <w:tc>
          <w:tcPr>
            <w:tcW w:w="1135" w:type="dxa"/>
            <w:shd w:val="clear" w:color="auto" w:fill="auto"/>
            <w:vAlign w:val="center"/>
          </w:tcPr>
          <w:p w14:paraId="7528CA8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2018</w:t>
            </w:r>
          </w:p>
        </w:tc>
        <w:tc>
          <w:tcPr>
            <w:tcW w:w="1417" w:type="dxa"/>
            <w:shd w:val="clear" w:color="auto" w:fill="auto"/>
            <w:vAlign w:val="center"/>
          </w:tcPr>
          <w:p w14:paraId="38EEDA9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2233</w:t>
            </w:r>
          </w:p>
        </w:tc>
      </w:tr>
      <w:tr w:rsidR="001C2BA2" w:rsidRPr="00F562A8" w14:paraId="3B06C71F" w14:textId="77777777" w:rsidTr="006131C6">
        <w:trPr>
          <w:trHeight w:val="216"/>
          <w:jc w:val="center"/>
        </w:trPr>
        <w:tc>
          <w:tcPr>
            <w:tcW w:w="1840" w:type="dxa"/>
          </w:tcPr>
          <w:p w14:paraId="0B910A8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Толстолобик</w:t>
            </w:r>
          </w:p>
        </w:tc>
        <w:tc>
          <w:tcPr>
            <w:tcW w:w="705" w:type="dxa"/>
          </w:tcPr>
          <w:p w14:paraId="564DEFA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w:t>
            </w:r>
            <w:r w:rsidRPr="00F562A8">
              <w:rPr>
                <w:rFonts w:ascii="Times New Roman" w:eastAsia="Times New Roman" w:hAnsi="Times New Roman" w:cs="Times New Roman"/>
                <w:color w:val="000000" w:themeColor="text1"/>
                <w:sz w:val="20"/>
                <w:szCs w:val="20"/>
              </w:rPr>
              <w:t>00</w:t>
            </w:r>
          </w:p>
        </w:tc>
        <w:tc>
          <w:tcPr>
            <w:tcW w:w="850" w:type="dxa"/>
          </w:tcPr>
          <w:p w14:paraId="06F0ABC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90</w:t>
            </w:r>
            <w:r w:rsidRPr="00F562A8">
              <w:rPr>
                <w:rFonts w:ascii="Times New Roman" w:eastAsia="Times New Roman" w:hAnsi="Times New Roman" w:cs="Times New Roman"/>
                <w:color w:val="000000" w:themeColor="text1"/>
                <w:sz w:val="20"/>
                <w:szCs w:val="20"/>
              </w:rPr>
              <w:t>0</w:t>
            </w:r>
          </w:p>
        </w:tc>
        <w:tc>
          <w:tcPr>
            <w:tcW w:w="995" w:type="dxa"/>
          </w:tcPr>
          <w:p w14:paraId="59F9877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900</w:t>
            </w:r>
          </w:p>
        </w:tc>
        <w:tc>
          <w:tcPr>
            <w:tcW w:w="1425" w:type="dxa"/>
            <w:shd w:val="clear" w:color="auto" w:fill="auto"/>
          </w:tcPr>
          <w:p w14:paraId="54CDD7B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90</w:t>
            </w:r>
            <w:r w:rsidRPr="00F562A8">
              <w:rPr>
                <w:rFonts w:ascii="Times New Roman" w:eastAsia="Times New Roman" w:hAnsi="Times New Roman" w:cs="Times New Roman"/>
                <w:color w:val="000000" w:themeColor="text1"/>
                <w:sz w:val="20"/>
                <w:szCs w:val="20"/>
              </w:rPr>
              <w:t>0</w:t>
            </w:r>
          </w:p>
        </w:tc>
        <w:tc>
          <w:tcPr>
            <w:tcW w:w="1132" w:type="dxa"/>
            <w:shd w:val="clear" w:color="auto" w:fill="auto"/>
          </w:tcPr>
          <w:p w14:paraId="77D93CE7"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992" w:type="dxa"/>
            <w:shd w:val="clear" w:color="auto" w:fill="auto"/>
          </w:tcPr>
          <w:p w14:paraId="64025750"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992" w:type="dxa"/>
            <w:shd w:val="clear" w:color="auto" w:fill="auto"/>
          </w:tcPr>
          <w:p w14:paraId="48DC7965"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1420" w:type="dxa"/>
            <w:shd w:val="clear" w:color="auto" w:fill="auto"/>
          </w:tcPr>
          <w:p w14:paraId="4D29EFA8"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984" w:type="dxa"/>
            <w:shd w:val="clear" w:color="auto" w:fill="auto"/>
            <w:vAlign w:val="center"/>
          </w:tcPr>
          <w:p w14:paraId="5CDBE34F"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222</w:t>
            </w:r>
          </w:p>
        </w:tc>
        <w:tc>
          <w:tcPr>
            <w:tcW w:w="992" w:type="dxa"/>
            <w:shd w:val="clear" w:color="auto" w:fill="auto"/>
            <w:vAlign w:val="center"/>
          </w:tcPr>
          <w:p w14:paraId="7AAC416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300</w:t>
            </w:r>
          </w:p>
        </w:tc>
        <w:tc>
          <w:tcPr>
            <w:tcW w:w="1135" w:type="dxa"/>
            <w:shd w:val="clear" w:color="auto" w:fill="auto"/>
            <w:vAlign w:val="center"/>
          </w:tcPr>
          <w:p w14:paraId="3D555E3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301</w:t>
            </w:r>
          </w:p>
        </w:tc>
        <w:tc>
          <w:tcPr>
            <w:tcW w:w="1417" w:type="dxa"/>
            <w:shd w:val="clear" w:color="auto" w:fill="auto"/>
            <w:vAlign w:val="center"/>
          </w:tcPr>
          <w:p w14:paraId="0F0B2E9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274</w:t>
            </w:r>
          </w:p>
        </w:tc>
      </w:tr>
      <w:tr w:rsidR="001C2BA2" w:rsidRPr="00F562A8" w14:paraId="6F0CD160" w14:textId="77777777" w:rsidTr="006131C6">
        <w:trPr>
          <w:trHeight w:val="203"/>
          <w:jc w:val="center"/>
        </w:trPr>
        <w:tc>
          <w:tcPr>
            <w:tcW w:w="13462" w:type="dxa"/>
            <w:gridSpan w:val="12"/>
            <w:shd w:val="clear" w:color="auto" w:fill="auto"/>
          </w:tcPr>
          <w:p w14:paraId="0E11C48F"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r w:rsidRPr="00F562A8">
              <w:rPr>
                <w:rFonts w:ascii="Times New Roman" w:eastAsia="Times New Roman" w:hAnsi="Times New Roman" w:cs="Times New Roman"/>
                <w:b/>
                <w:color w:val="000000" w:themeColor="text1"/>
                <w:sz w:val="20"/>
                <w:szCs w:val="20"/>
              </w:rPr>
              <w:t>Цена реализации, руб./кг</w:t>
            </w:r>
          </w:p>
        </w:tc>
        <w:tc>
          <w:tcPr>
            <w:tcW w:w="1417" w:type="dxa"/>
            <w:shd w:val="clear" w:color="auto" w:fill="auto"/>
          </w:tcPr>
          <w:p w14:paraId="5AAE62B0"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p>
        </w:tc>
      </w:tr>
      <w:tr w:rsidR="001C2BA2" w:rsidRPr="00F562A8" w14:paraId="7344AFBA" w14:textId="77777777" w:rsidTr="006131C6">
        <w:trPr>
          <w:trHeight w:val="203"/>
          <w:jc w:val="center"/>
        </w:trPr>
        <w:tc>
          <w:tcPr>
            <w:tcW w:w="1840" w:type="dxa"/>
          </w:tcPr>
          <w:p w14:paraId="59C94F1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Карп, руб./кг</w:t>
            </w:r>
          </w:p>
        </w:tc>
        <w:tc>
          <w:tcPr>
            <w:tcW w:w="705" w:type="dxa"/>
          </w:tcPr>
          <w:p w14:paraId="1AEC82C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7</w:t>
            </w:r>
            <w:r>
              <w:rPr>
                <w:rFonts w:ascii="Times New Roman" w:eastAsia="Times New Roman" w:hAnsi="Times New Roman" w:cs="Times New Roman"/>
                <w:color w:val="000000" w:themeColor="text1"/>
                <w:sz w:val="20"/>
                <w:szCs w:val="20"/>
              </w:rPr>
              <w:t>4</w:t>
            </w:r>
          </w:p>
        </w:tc>
        <w:tc>
          <w:tcPr>
            <w:tcW w:w="850" w:type="dxa"/>
          </w:tcPr>
          <w:p w14:paraId="7E618FB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7</w:t>
            </w:r>
            <w:r>
              <w:rPr>
                <w:rFonts w:ascii="Times New Roman" w:eastAsia="Times New Roman" w:hAnsi="Times New Roman" w:cs="Times New Roman"/>
                <w:color w:val="000000" w:themeColor="text1"/>
                <w:sz w:val="20"/>
                <w:szCs w:val="20"/>
              </w:rPr>
              <w:t>6</w:t>
            </w:r>
          </w:p>
        </w:tc>
        <w:tc>
          <w:tcPr>
            <w:tcW w:w="995" w:type="dxa"/>
          </w:tcPr>
          <w:p w14:paraId="7FD42D22"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7</w:t>
            </w:r>
            <w:r>
              <w:rPr>
                <w:rFonts w:ascii="Times New Roman" w:eastAsia="Times New Roman" w:hAnsi="Times New Roman" w:cs="Times New Roman"/>
                <w:color w:val="000000" w:themeColor="text1"/>
                <w:sz w:val="20"/>
                <w:szCs w:val="20"/>
              </w:rPr>
              <w:t>8</w:t>
            </w:r>
          </w:p>
        </w:tc>
        <w:tc>
          <w:tcPr>
            <w:tcW w:w="1425" w:type="dxa"/>
            <w:shd w:val="clear" w:color="auto" w:fill="auto"/>
          </w:tcPr>
          <w:p w14:paraId="09D46BB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82,51</w:t>
            </w:r>
          </w:p>
        </w:tc>
        <w:tc>
          <w:tcPr>
            <w:tcW w:w="1132" w:type="dxa"/>
            <w:shd w:val="clear" w:color="auto" w:fill="auto"/>
            <w:vAlign w:val="center"/>
          </w:tcPr>
          <w:p w14:paraId="3534F06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90</w:t>
            </w:r>
          </w:p>
        </w:tc>
        <w:tc>
          <w:tcPr>
            <w:tcW w:w="992" w:type="dxa"/>
            <w:shd w:val="clear" w:color="auto" w:fill="auto"/>
            <w:vAlign w:val="center"/>
          </w:tcPr>
          <w:p w14:paraId="4AF827C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141</w:t>
            </w:r>
          </w:p>
        </w:tc>
        <w:tc>
          <w:tcPr>
            <w:tcW w:w="992" w:type="dxa"/>
            <w:shd w:val="clear" w:color="auto" w:fill="auto"/>
            <w:vAlign w:val="center"/>
          </w:tcPr>
          <w:p w14:paraId="2D1A5D7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135</w:t>
            </w:r>
          </w:p>
        </w:tc>
        <w:tc>
          <w:tcPr>
            <w:tcW w:w="1420" w:type="dxa"/>
            <w:shd w:val="clear" w:color="auto" w:fill="auto"/>
            <w:vAlign w:val="center"/>
          </w:tcPr>
          <w:p w14:paraId="677FD70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131,42</w:t>
            </w:r>
          </w:p>
        </w:tc>
        <w:tc>
          <w:tcPr>
            <w:tcW w:w="984" w:type="dxa"/>
            <w:shd w:val="clear" w:color="auto" w:fill="auto"/>
            <w:vAlign w:val="center"/>
          </w:tcPr>
          <w:p w14:paraId="2E69D222"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110</w:t>
            </w:r>
          </w:p>
        </w:tc>
        <w:tc>
          <w:tcPr>
            <w:tcW w:w="992" w:type="dxa"/>
            <w:shd w:val="clear" w:color="auto" w:fill="auto"/>
            <w:vAlign w:val="center"/>
          </w:tcPr>
          <w:p w14:paraId="2CAF35F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125,37</w:t>
            </w:r>
          </w:p>
        </w:tc>
        <w:tc>
          <w:tcPr>
            <w:tcW w:w="1135" w:type="dxa"/>
            <w:shd w:val="clear" w:color="auto" w:fill="auto"/>
            <w:vAlign w:val="center"/>
          </w:tcPr>
          <w:p w14:paraId="58B6603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149,55</w:t>
            </w:r>
          </w:p>
        </w:tc>
        <w:tc>
          <w:tcPr>
            <w:tcW w:w="1417" w:type="dxa"/>
            <w:shd w:val="clear" w:color="auto" w:fill="auto"/>
            <w:vAlign w:val="center"/>
          </w:tcPr>
          <w:p w14:paraId="6795A76B"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138,36</w:t>
            </w:r>
          </w:p>
        </w:tc>
      </w:tr>
      <w:tr w:rsidR="001C2BA2" w:rsidRPr="00F562A8" w14:paraId="3B752C79" w14:textId="77777777" w:rsidTr="006131C6">
        <w:trPr>
          <w:trHeight w:val="203"/>
          <w:jc w:val="center"/>
        </w:trPr>
        <w:tc>
          <w:tcPr>
            <w:tcW w:w="1840" w:type="dxa"/>
          </w:tcPr>
          <w:p w14:paraId="2D16561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Толстолобик, руб./кг</w:t>
            </w:r>
          </w:p>
        </w:tc>
        <w:tc>
          <w:tcPr>
            <w:tcW w:w="705" w:type="dxa"/>
            <w:vAlign w:val="center"/>
          </w:tcPr>
          <w:p w14:paraId="4CF0F922"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rPr>
              <w:t>4</w:t>
            </w:r>
          </w:p>
        </w:tc>
        <w:tc>
          <w:tcPr>
            <w:tcW w:w="850" w:type="dxa"/>
            <w:vAlign w:val="center"/>
          </w:tcPr>
          <w:p w14:paraId="53926C3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rPr>
              <w:t>5</w:t>
            </w:r>
          </w:p>
        </w:tc>
        <w:tc>
          <w:tcPr>
            <w:tcW w:w="995" w:type="dxa"/>
            <w:vAlign w:val="center"/>
          </w:tcPr>
          <w:p w14:paraId="334E2BCF"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rPr>
              <w:t>8</w:t>
            </w:r>
          </w:p>
        </w:tc>
        <w:tc>
          <w:tcPr>
            <w:tcW w:w="1425" w:type="dxa"/>
            <w:shd w:val="clear" w:color="auto" w:fill="auto"/>
            <w:vAlign w:val="center"/>
          </w:tcPr>
          <w:p w14:paraId="58F3760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60,40</w:t>
            </w:r>
          </w:p>
        </w:tc>
        <w:tc>
          <w:tcPr>
            <w:tcW w:w="1132" w:type="dxa"/>
            <w:shd w:val="clear" w:color="auto" w:fill="auto"/>
            <w:vAlign w:val="center"/>
          </w:tcPr>
          <w:p w14:paraId="0F03852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w:t>
            </w:r>
          </w:p>
        </w:tc>
        <w:tc>
          <w:tcPr>
            <w:tcW w:w="992" w:type="dxa"/>
            <w:shd w:val="clear" w:color="auto" w:fill="auto"/>
            <w:vAlign w:val="center"/>
          </w:tcPr>
          <w:p w14:paraId="1517A26D"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992" w:type="dxa"/>
            <w:shd w:val="clear" w:color="auto" w:fill="auto"/>
            <w:vAlign w:val="center"/>
          </w:tcPr>
          <w:p w14:paraId="46BEFC19"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1420" w:type="dxa"/>
            <w:shd w:val="clear" w:color="auto" w:fill="auto"/>
            <w:vAlign w:val="center"/>
          </w:tcPr>
          <w:p w14:paraId="27DA3662"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984" w:type="dxa"/>
            <w:shd w:val="clear" w:color="auto" w:fill="auto"/>
            <w:vAlign w:val="center"/>
          </w:tcPr>
          <w:p w14:paraId="7965054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80</w:t>
            </w:r>
          </w:p>
        </w:tc>
        <w:tc>
          <w:tcPr>
            <w:tcW w:w="992" w:type="dxa"/>
            <w:shd w:val="clear" w:color="auto" w:fill="auto"/>
            <w:vAlign w:val="center"/>
          </w:tcPr>
          <w:p w14:paraId="338826B2"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90</w:t>
            </w:r>
          </w:p>
        </w:tc>
        <w:tc>
          <w:tcPr>
            <w:tcW w:w="1135" w:type="dxa"/>
            <w:shd w:val="clear" w:color="auto" w:fill="auto"/>
            <w:vAlign w:val="center"/>
          </w:tcPr>
          <w:p w14:paraId="0941539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100</w:t>
            </w:r>
          </w:p>
        </w:tc>
        <w:tc>
          <w:tcPr>
            <w:tcW w:w="1417" w:type="dxa"/>
            <w:shd w:val="clear" w:color="auto" w:fill="auto"/>
            <w:vAlign w:val="center"/>
          </w:tcPr>
          <w:p w14:paraId="2A312C1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97,28</w:t>
            </w:r>
          </w:p>
        </w:tc>
      </w:tr>
      <w:tr w:rsidR="001C2BA2" w:rsidRPr="00F562A8" w14:paraId="34C8C98E" w14:textId="77777777" w:rsidTr="006131C6">
        <w:trPr>
          <w:trHeight w:val="203"/>
          <w:jc w:val="center"/>
        </w:trPr>
        <w:tc>
          <w:tcPr>
            <w:tcW w:w="13462" w:type="dxa"/>
            <w:gridSpan w:val="12"/>
            <w:shd w:val="clear" w:color="auto" w:fill="auto"/>
          </w:tcPr>
          <w:p w14:paraId="1937E7B0"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r w:rsidRPr="00F562A8">
              <w:rPr>
                <w:rFonts w:ascii="Times New Roman" w:eastAsia="Times New Roman" w:hAnsi="Times New Roman" w:cs="Times New Roman"/>
                <w:b/>
                <w:color w:val="000000" w:themeColor="text1"/>
                <w:sz w:val="20"/>
                <w:szCs w:val="20"/>
              </w:rPr>
              <w:t>Сезонные затраты на выращивание, руб. на 1 га</w:t>
            </w:r>
          </w:p>
        </w:tc>
        <w:tc>
          <w:tcPr>
            <w:tcW w:w="1417" w:type="dxa"/>
            <w:shd w:val="clear" w:color="auto" w:fill="auto"/>
          </w:tcPr>
          <w:p w14:paraId="10C01A97"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p>
        </w:tc>
      </w:tr>
      <w:tr w:rsidR="001C2BA2" w:rsidRPr="00F562A8" w14:paraId="07A21B50" w14:textId="77777777" w:rsidTr="006131C6">
        <w:trPr>
          <w:trHeight w:val="407"/>
          <w:jc w:val="center"/>
        </w:trPr>
        <w:tc>
          <w:tcPr>
            <w:tcW w:w="1840" w:type="dxa"/>
            <w:vAlign w:val="center"/>
          </w:tcPr>
          <w:p w14:paraId="15E916F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Карп, руб.</w:t>
            </w:r>
          </w:p>
        </w:tc>
        <w:tc>
          <w:tcPr>
            <w:tcW w:w="705" w:type="dxa"/>
            <w:vAlign w:val="center"/>
          </w:tcPr>
          <w:p w14:paraId="2A23CFEA" w14:textId="77777777" w:rsidR="001C2BA2" w:rsidRPr="00F562A8" w:rsidRDefault="001C2BA2" w:rsidP="006131C6">
            <w:pPr>
              <w:spacing w:line="276" w:lineRule="auto"/>
              <w:ind w:right="-15"/>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w:t>
            </w:r>
            <w:r w:rsidRPr="00F562A8">
              <w:rPr>
                <w:rFonts w:ascii="Times New Roman" w:eastAsia="Times New Roman" w:hAnsi="Times New Roman" w:cs="Times New Roman"/>
                <w:color w:val="000000" w:themeColor="text1"/>
                <w:sz w:val="20"/>
                <w:szCs w:val="20"/>
              </w:rPr>
              <w:t>00</w:t>
            </w:r>
            <w:r>
              <w:rPr>
                <w:rFonts w:ascii="Times New Roman" w:eastAsia="Times New Roman" w:hAnsi="Times New Roman" w:cs="Times New Roman"/>
                <w:color w:val="000000" w:themeColor="text1"/>
                <w:sz w:val="20"/>
                <w:szCs w:val="20"/>
              </w:rPr>
              <w:t>0</w:t>
            </w:r>
          </w:p>
        </w:tc>
        <w:tc>
          <w:tcPr>
            <w:tcW w:w="850" w:type="dxa"/>
            <w:vAlign w:val="center"/>
          </w:tcPr>
          <w:p w14:paraId="3AEBFBFB"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2</w:t>
            </w:r>
            <w:r w:rsidRPr="00F562A8">
              <w:rPr>
                <w:rFonts w:ascii="Times New Roman" w:eastAsia="Times New Roman" w:hAnsi="Times New Roman" w:cs="Times New Roman"/>
                <w:color w:val="000000" w:themeColor="text1"/>
                <w:sz w:val="20"/>
                <w:szCs w:val="20"/>
              </w:rPr>
              <w:t>000</w:t>
            </w:r>
          </w:p>
        </w:tc>
        <w:tc>
          <w:tcPr>
            <w:tcW w:w="995" w:type="dxa"/>
            <w:vAlign w:val="center"/>
          </w:tcPr>
          <w:p w14:paraId="0A2E99F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35</w:t>
            </w:r>
            <w:r w:rsidRPr="00F562A8">
              <w:rPr>
                <w:rFonts w:ascii="Times New Roman" w:eastAsia="Times New Roman" w:hAnsi="Times New Roman" w:cs="Times New Roman"/>
                <w:color w:val="000000" w:themeColor="text1"/>
                <w:sz w:val="20"/>
                <w:szCs w:val="20"/>
              </w:rPr>
              <w:t>00</w:t>
            </w:r>
          </w:p>
        </w:tc>
        <w:tc>
          <w:tcPr>
            <w:tcW w:w="1425" w:type="dxa"/>
            <w:shd w:val="clear" w:color="auto" w:fill="auto"/>
            <w:vAlign w:val="center"/>
          </w:tcPr>
          <w:p w14:paraId="38D53AA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13155,81</w:t>
            </w:r>
          </w:p>
        </w:tc>
        <w:tc>
          <w:tcPr>
            <w:tcW w:w="1132" w:type="dxa"/>
            <w:shd w:val="clear" w:color="auto" w:fill="auto"/>
            <w:vAlign w:val="center"/>
          </w:tcPr>
          <w:p w14:paraId="6738BD3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74585</w:t>
            </w:r>
          </w:p>
        </w:tc>
        <w:tc>
          <w:tcPr>
            <w:tcW w:w="992" w:type="dxa"/>
            <w:shd w:val="clear" w:color="auto" w:fill="auto"/>
            <w:vAlign w:val="center"/>
          </w:tcPr>
          <w:p w14:paraId="06BEB91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87710</w:t>
            </w:r>
          </w:p>
        </w:tc>
        <w:tc>
          <w:tcPr>
            <w:tcW w:w="992" w:type="dxa"/>
            <w:shd w:val="clear" w:color="auto" w:fill="auto"/>
            <w:vAlign w:val="center"/>
          </w:tcPr>
          <w:p w14:paraId="5DCED13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79856</w:t>
            </w:r>
          </w:p>
        </w:tc>
        <w:tc>
          <w:tcPr>
            <w:tcW w:w="1420" w:type="dxa"/>
            <w:shd w:val="clear" w:color="auto" w:fill="auto"/>
            <w:vAlign w:val="center"/>
          </w:tcPr>
          <w:p w14:paraId="623BFC9F"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87620,13</w:t>
            </w:r>
          </w:p>
        </w:tc>
        <w:tc>
          <w:tcPr>
            <w:tcW w:w="984" w:type="dxa"/>
            <w:shd w:val="clear" w:color="auto" w:fill="auto"/>
            <w:vAlign w:val="center"/>
          </w:tcPr>
          <w:p w14:paraId="325745F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154447</w:t>
            </w:r>
          </w:p>
        </w:tc>
        <w:tc>
          <w:tcPr>
            <w:tcW w:w="992" w:type="dxa"/>
            <w:shd w:val="clear" w:color="auto" w:fill="auto"/>
            <w:vAlign w:val="center"/>
          </w:tcPr>
          <w:p w14:paraId="5923E54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228075</w:t>
            </w:r>
          </w:p>
        </w:tc>
        <w:tc>
          <w:tcPr>
            <w:tcW w:w="1135" w:type="dxa"/>
            <w:shd w:val="clear" w:color="auto" w:fill="auto"/>
            <w:vAlign w:val="center"/>
          </w:tcPr>
          <w:p w14:paraId="511FB8BF"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230150</w:t>
            </w:r>
          </w:p>
        </w:tc>
        <w:tc>
          <w:tcPr>
            <w:tcW w:w="1417" w:type="dxa"/>
            <w:shd w:val="clear" w:color="auto" w:fill="auto"/>
            <w:vAlign w:val="center"/>
          </w:tcPr>
          <w:p w14:paraId="48FF5D1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219955,49</w:t>
            </w:r>
          </w:p>
        </w:tc>
      </w:tr>
      <w:tr w:rsidR="001C2BA2" w:rsidRPr="00F562A8" w14:paraId="33165D41" w14:textId="77777777" w:rsidTr="006131C6">
        <w:trPr>
          <w:trHeight w:val="278"/>
          <w:jc w:val="center"/>
        </w:trPr>
        <w:tc>
          <w:tcPr>
            <w:tcW w:w="1840" w:type="dxa"/>
          </w:tcPr>
          <w:p w14:paraId="70FE802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Толстолобик, руб.</w:t>
            </w:r>
          </w:p>
        </w:tc>
        <w:tc>
          <w:tcPr>
            <w:tcW w:w="705" w:type="dxa"/>
          </w:tcPr>
          <w:p w14:paraId="6E86A1C4" w14:textId="77777777" w:rsidR="001C2BA2" w:rsidRPr="00F562A8" w:rsidRDefault="001C2BA2" w:rsidP="006131C6">
            <w:pPr>
              <w:spacing w:line="276" w:lineRule="auto"/>
              <w:ind w:right="-15"/>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100</w:t>
            </w:r>
            <w:r w:rsidRPr="00F562A8">
              <w:rPr>
                <w:rFonts w:ascii="Times New Roman" w:eastAsia="Times New Roman" w:hAnsi="Times New Roman" w:cs="Times New Roman"/>
                <w:color w:val="000000" w:themeColor="text1"/>
                <w:sz w:val="20"/>
                <w:szCs w:val="20"/>
              </w:rPr>
              <w:t>00</w:t>
            </w:r>
          </w:p>
        </w:tc>
        <w:tc>
          <w:tcPr>
            <w:tcW w:w="850" w:type="dxa"/>
          </w:tcPr>
          <w:p w14:paraId="3DF8E18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w:t>
            </w:r>
            <w:r w:rsidRPr="00F562A8">
              <w:rPr>
                <w:rFonts w:ascii="Times New Roman" w:eastAsia="Times New Roman" w:hAnsi="Times New Roman" w:cs="Times New Roman"/>
                <w:color w:val="000000" w:themeColor="text1"/>
                <w:sz w:val="20"/>
                <w:szCs w:val="20"/>
              </w:rPr>
              <w:t>000</w:t>
            </w:r>
          </w:p>
        </w:tc>
        <w:tc>
          <w:tcPr>
            <w:tcW w:w="995" w:type="dxa"/>
          </w:tcPr>
          <w:p w14:paraId="0FEFCAB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2</w:t>
            </w:r>
            <w:r w:rsidRPr="00F562A8">
              <w:rPr>
                <w:rFonts w:ascii="Times New Roman" w:eastAsia="Times New Roman" w:hAnsi="Times New Roman" w:cs="Times New Roman"/>
                <w:color w:val="000000" w:themeColor="text1"/>
                <w:sz w:val="20"/>
                <w:szCs w:val="20"/>
              </w:rPr>
              <w:t>000</w:t>
            </w:r>
          </w:p>
        </w:tc>
        <w:tc>
          <w:tcPr>
            <w:tcW w:w="1425" w:type="dxa"/>
            <w:shd w:val="clear" w:color="auto" w:fill="auto"/>
          </w:tcPr>
          <w:p w14:paraId="7D4162F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11902,04</w:t>
            </w:r>
          </w:p>
        </w:tc>
        <w:tc>
          <w:tcPr>
            <w:tcW w:w="1132" w:type="dxa"/>
            <w:shd w:val="clear" w:color="auto" w:fill="auto"/>
          </w:tcPr>
          <w:p w14:paraId="507E814F"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992" w:type="dxa"/>
            <w:shd w:val="clear" w:color="auto" w:fill="auto"/>
          </w:tcPr>
          <w:p w14:paraId="20339CF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992" w:type="dxa"/>
            <w:shd w:val="clear" w:color="auto" w:fill="auto"/>
          </w:tcPr>
          <w:p w14:paraId="7719DE2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1420" w:type="dxa"/>
            <w:shd w:val="clear" w:color="auto" w:fill="auto"/>
          </w:tcPr>
          <w:p w14:paraId="366CC5B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984" w:type="dxa"/>
            <w:shd w:val="clear" w:color="auto" w:fill="auto"/>
            <w:vAlign w:val="center"/>
          </w:tcPr>
          <w:p w14:paraId="05E9592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8810</w:t>
            </w:r>
          </w:p>
        </w:tc>
        <w:tc>
          <w:tcPr>
            <w:tcW w:w="992" w:type="dxa"/>
            <w:shd w:val="clear" w:color="auto" w:fill="auto"/>
            <w:vAlign w:val="center"/>
          </w:tcPr>
          <w:p w14:paraId="640D903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9510</w:t>
            </w:r>
          </w:p>
        </w:tc>
        <w:tc>
          <w:tcPr>
            <w:tcW w:w="1135" w:type="dxa"/>
            <w:shd w:val="clear" w:color="auto" w:fill="auto"/>
            <w:vAlign w:val="center"/>
          </w:tcPr>
          <w:p w14:paraId="7763966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AB7A6F">
              <w:rPr>
                <w:rFonts w:ascii="Times New Roman" w:eastAsia="Times New Roman" w:hAnsi="Times New Roman" w:cs="Times New Roman"/>
                <w:color w:val="000000" w:themeColor="text1"/>
                <w:sz w:val="20"/>
                <w:szCs w:val="20"/>
              </w:rPr>
              <w:t>9605</w:t>
            </w:r>
          </w:p>
        </w:tc>
        <w:tc>
          <w:tcPr>
            <w:tcW w:w="1417" w:type="dxa"/>
            <w:shd w:val="clear" w:color="auto" w:fill="auto"/>
          </w:tcPr>
          <w:p w14:paraId="428CEAB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10097,43</w:t>
            </w:r>
          </w:p>
        </w:tc>
      </w:tr>
    </w:tbl>
    <w:p w14:paraId="3BEBD0CA" w14:textId="316C9948" w:rsidR="0099158F" w:rsidRPr="00F562A8" w:rsidRDefault="0099158F" w:rsidP="0099158F">
      <w:pPr>
        <w:spacing w:after="0" w:line="276" w:lineRule="auto"/>
        <w:ind w:firstLine="709"/>
        <w:jc w:val="right"/>
        <w:rPr>
          <w:rFonts w:ascii="Times New Roman" w:eastAsia="Times New Roman" w:hAnsi="Times New Roman" w:cs="Times New Roman"/>
          <w:sz w:val="26"/>
          <w:szCs w:val="26"/>
        </w:rPr>
      </w:pPr>
      <w:r w:rsidRPr="00F562A8">
        <w:rPr>
          <w:rFonts w:ascii="Times New Roman" w:eastAsia="Times New Roman" w:hAnsi="Times New Roman" w:cs="Times New Roman"/>
          <w:sz w:val="26"/>
          <w:szCs w:val="26"/>
        </w:rPr>
        <w:t>Таблиц</w:t>
      </w:r>
      <w:r w:rsidRPr="0099158F">
        <w:rPr>
          <w:rFonts w:ascii="Times New Roman" w:eastAsia="Times New Roman" w:hAnsi="Times New Roman" w:cs="Times New Roman"/>
          <w:sz w:val="26"/>
          <w:szCs w:val="26"/>
        </w:rPr>
        <w:t>а 3.6.1.2</w:t>
      </w:r>
      <w:r>
        <w:rPr>
          <w:rFonts w:ascii="Times New Roman" w:eastAsia="Times New Roman" w:hAnsi="Times New Roman" w:cs="Times New Roman"/>
          <w:sz w:val="26"/>
          <w:szCs w:val="26"/>
        </w:rPr>
        <w:t>.2</w:t>
      </w:r>
    </w:p>
    <w:p w14:paraId="7C046578" w14:textId="34DF53A0" w:rsidR="001C2BA2" w:rsidRPr="00F562A8" w:rsidRDefault="001C2BA2" w:rsidP="001C2BA2">
      <w:pPr>
        <w:spacing w:after="0" w:line="276" w:lineRule="auto"/>
        <w:ind w:firstLine="709"/>
        <w:jc w:val="center"/>
        <w:rPr>
          <w:rFonts w:ascii="Times New Roman" w:eastAsia="Times New Roman" w:hAnsi="Times New Roman" w:cs="Times New Roman"/>
          <w:color w:val="000000" w:themeColor="text1"/>
          <w:sz w:val="26"/>
          <w:szCs w:val="26"/>
        </w:rPr>
      </w:pPr>
      <w:r w:rsidRPr="00F562A8">
        <w:rPr>
          <w:rFonts w:ascii="Times New Roman" w:eastAsia="Times New Roman" w:hAnsi="Times New Roman" w:cs="Times New Roman"/>
          <w:color w:val="000000" w:themeColor="text1"/>
          <w:sz w:val="26"/>
          <w:szCs w:val="26"/>
        </w:rPr>
        <w:t xml:space="preserve">Информация по хозяйствам </w:t>
      </w:r>
      <w:r w:rsidRPr="007761DC">
        <w:rPr>
          <w:rFonts w:ascii="Times New Roman" w:eastAsia="Times New Roman" w:hAnsi="Times New Roman" w:cs="Times New Roman"/>
          <w:color w:val="000000" w:themeColor="text1"/>
          <w:sz w:val="26"/>
          <w:szCs w:val="26"/>
        </w:rPr>
        <w:t>ЗАО «ПАВЛОВСКРЫБХОЗ»</w:t>
      </w:r>
      <w:r>
        <w:rPr>
          <w:rFonts w:ascii="Times New Roman" w:eastAsia="Times New Roman" w:hAnsi="Times New Roman" w:cs="Times New Roman"/>
          <w:color w:val="000000" w:themeColor="text1"/>
          <w:sz w:val="26"/>
          <w:szCs w:val="26"/>
        </w:rPr>
        <w:t xml:space="preserve">, </w:t>
      </w:r>
      <w:r w:rsidRPr="007761DC">
        <w:rPr>
          <w:rFonts w:ascii="Times New Roman" w:eastAsia="Times New Roman" w:hAnsi="Times New Roman" w:cs="Times New Roman"/>
          <w:color w:val="000000" w:themeColor="text1"/>
          <w:sz w:val="26"/>
          <w:szCs w:val="26"/>
        </w:rPr>
        <w:t>Рыбное хозяйство «Овтеено»</w:t>
      </w:r>
      <w:r>
        <w:rPr>
          <w:rFonts w:ascii="Times New Roman" w:eastAsia="Times New Roman" w:hAnsi="Times New Roman" w:cs="Times New Roman"/>
          <w:color w:val="000000" w:themeColor="text1"/>
          <w:sz w:val="26"/>
          <w:szCs w:val="26"/>
        </w:rPr>
        <w:t>,</w:t>
      </w:r>
      <w:r w:rsidRPr="00F562A8">
        <w:rPr>
          <w:rFonts w:ascii="Times New Roman" w:eastAsia="Times New Roman" w:hAnsi="Times New Roman" w:cs="Times New Roman"/>
          <w:color w:val="000000" w:themeColor="text1"/>
          <w:sz w:val="26"/>
          <w:szCs w:val="26"/>
        </w:rPr>
        <w:t xml:space="preserve"> </w:t>
      </w:r>
      <w:r w:rsidRPr="007761DC">
        <w:rPr>
          <w:rFonts w:ascii="Times New Roman" w:eastAsia="Times New Roman" w:hAnsi="Times New Roman" w:cs="Times New Roman"/>
          <w:color w:val="000000" w:themeColor="text1"/>
          <w:sz w:val="26"/>
          <w:szCs w:val="26"/>
        </w:rPr>
        <w:t>АО «Троицкое»</w:t>
      </w:r>
      <w:r w:rsidRPr="00F562A8">
        <w:rPr>
          <w:rFonts w:ascii="Times New Roman" w:eastAsia="Times New Roman" w:hAnsi="Times New Roman" w:cs="Times New Roman"/>
          <w:color w:val="000000" w:themeColor="text1"/>
          <w:sz w:val="26"/>
          <w:szCs w:val="26"/>
        </w:rPr>
        <w:t xml:space="preserve"> и расчет средних значений с учетом индексации</w:t>
      </w:r>
    </w:p>
    <w:tbl>
      <w:tblPr>
        <w:tblStyle w:val="18"/>
        <w:tblW w:w="14889" w:type="dxa"/>
        <w:jc w:val="center"/>
        <w:tblLayout w:type="fixed"/>
        <w:tblLook w:val="04A0" w:firstRow="1" w:lastRow="0" w:firstColumn="1" w:lastColumn="0" w:noHBand="0" w:noVBand="1"/>
      </w:tblPr>
      <w:tblGrid>
        <w:gridCol w:w="1840"/>
        <w:gridCol w:w="707"/>
        <w:gridCol w:w="850"/>
        <w:gridCol w:w="995"/>
        <w:gridCol w:w="1425"/>
        <w:gridCol w:w="8"/>
        <w:gridCol w:w="1124"/>
        <w:gridCol w:w="992"/>
        <w:gridCol w:w="992"/>
        <w:gridCol w:w="1420"/>
        <w:gridCol w:w="8"/>
        <w:gridCol w:w="976"/>
        <w:gridCol w:w="992"/>
        <w:gridCol w:w="1135"/>
        <w:gridCol w:w="8"/>
        <w:gridCol w:w="1409"/>
        <w:gridCol w:w="8"/>
      </w:tblGrid>
      <w:tr w:rsidR="001C2BA2" w:rsidRPr="00F562A8" w14:paraId="5D264367" w14:textId="77777777" w:rsidTr="006131C6">
        <w:trPr>
          <w:trHeight w:val="236"/>
          <w:jc w:val="center"/>
        </w:trPr>
        <w:tc>
          <w:tcPr>
            <w:tcW w:w="1840" w:type="dxa"/>
            <w:vMerge w:val="restart"/>
          </w:tcPr>
          <w:p w14:paraId="4FB5AB26"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sz w:val="20"/>
                <w:szCs w:val="20"/>
              </w:rPr>
            </w:pPr>
            <w:r w:rsidRPr="00F562A8">
              <w:rPr>
                <w:rFonts w:ascii="Times New Roman" w:eastAsia="Times New Roman" w:hAnsi="Times New Roman" w:cs="Times New Roman"/>
                <w:b/>
                <w:color w:val="000000" w:themeColor="text1"/>
                <w:sz w:val="20"/>
                <w:szCs w:val="20"/>
              </w:rPr>
              <w:t>Наименование рыбхоза</w:t>
            </w:r>
          </w:p>
        </w:tc>
        <w:tc>
          <w:tcPr>
            <w:tcW w:w="3985" w:type="dxa"/>
            <w:gridSpan w:val="5"/>
          </w:tcPr>
          <w:p w14:paraId="0773A2B5"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sz w:val="20"/>
                <w:szCs w:val="20"/>
              </w:rPr>
            </w:pPr>
            <w:r w:rsidRPr="00F562A8">
              <w:rPr>
                <w:rFonts w:ascii="Times New Roman" w:eastAsia="Times New Roman" w:hAnsi="Times New Roman" w:cs="Times New Roman"/>
                <w:b/>
                <w:color w:val="000000" w:themeColor="text1"/>
                <w:sz w:val="20"/>
                <w:szCs w:val="20"/>
              </w:rPr>
              <w:t>О</w:t>
            </w:r>
            <w:r>
              <w:rPr>
                <w:rFonts w:ascii="Times New Roman" w:eastAsia="Times New Roman" w:hAnsi="Times New Roman" w:cs="Times New Roman"/>
                <w:b/>
                <w:color w:val="000000" w:themeColor="text1"/>
                <w:sz w:val="20"/>
                <w:szCs w:val="20"/>
              </w:rPr>
              <w:t>А</w:t>
            </w:r>
            <w:r w:rsidRPr="00F562A8">
              <w:rPr>
                <w:rFonts w:ascii="Times New Roman" w:eastAsia="Times New Roman" w:hAnsi="Times New Roman" w:cs="Times New Roman"/>
                <w:b/>
                <w:color w:val="000000" w:themeColor="text1"/>
                <w:sz w:val="20"/>
                <w:szCs w:val="20"/>
              </w:rPr>
              <w:t xml:space="preserve"> «</w:t>
            </w:r>
            <w:r>
              <w:rPr>
                <w:rFonts w:ascii="Times New Roman" w:eastAsia="Times New Roman" w:hAnsi="Times New Roman" w:cs="Times New Roman"/>
                <w:b/>
                <w:color w:val="000000" w:themeColor="text1"/>
                <w:sz w:val="20"/>
                <w:szCs w:val="20"/>
              </w:rPr>
              <w:t>Троицкое</w:t>
            </w:r>
            <w:r w:rsidRPr="00F562A8">
              <w:rPr>
                <w:rFonts w:ascii="Times New Roman" w:eastAsia="Times New Roman" w:hAnsi="Times New Roman" w:cs="Times New Roman"/>
                <w:b/>
                <w:color w:val="000000" w:themeColor="text1"/>
                <w:sz w:val="20"/>
                <w:szCs w:val="20"/>
              </w:rPr>
              <w:t>»</w:t>
            </w:r>
          </w:p>
        </w:tc>
        <w:tc>
          <w:tcPr>
            <w:tcW w:w="4536" w:type="dxa"/>
            <w:gridSpan w:val="5"/>
          </w:tcPr>
          <w:p w14:paraId="7A359B52"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ЗА</w:t>
            </w:r>
            <w:r w:rsidRPr="00F562A8">
              <w:rPr>
                <w:rFonts w:ascii="Times New Roman" w:eastAsia="Times New Roman" w:hAnsi="Times New Roman" w:cs="Times New Roman"/>
                <w:b/>
                <w:color w:val="000000" w:themeColor="text1"/>
                <w:sz w:val="20"/>
                <w:szCs w:val="20"/>
              </w:rPr>
              <w:t>О «</w:t>
            </w:r>
            <w:r>
              <w:rPr>
                <w:rFonts w:ascii="Times New Roman" w:eastAsia="Times New Roman" w:hAnsi="Times New Roman" w:cs="Times New Roman"/>
                <w:b/>
                <w:color w:val="000000" w:themeColor="text1"/>
                <w:sz w:val="20"/>
                <w:szCs w:val="20"/>
              </w:rPr>
              <w:t>Павловскрыбхоз</w:t>
            </w:r>
            <w:r w:rsidRPr="00F562A8">
              <w:rPr>
                <w:rFonts w:ascii="Times New Roman" w:eastAsia="Times New Roman" w:hAnsi="Times New Roman" w:cs="Times New Roman"/>
                <w:b/>
                <w:color w:val="000000" w:themeColor="text1"/>
                <w:sz w:val="20"/>
                <w:szCs w:val="20"/>
              </w:rPr>
              <w:t>»</w:t>
            </w:r>
          </w:p>
        </w:tc>
        <w:tc>
          <w:tcPr>
            <w:tcW w:w="4528" w:type="dxa"/>
            <w:gridSpan w:val="6"/>
          </w:tcPr>
          <w:p w14:paraId="75948103"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sz w:val="20"/>
                <w:szCs w:val="20"/>
              </w:rPr>
            </w:pPr>
            <w:r w:rsidRPr="00683695">
              <w:rPr>
                <w:rFonts w:ascii="Times New Roman" w:eastAsia="Times New Roman" w:hAnsi="Times New Roman" w:cs="Times New Roman"/>
                <w:b/>
                <w:color w:val="000000" w:themeColor="text1"/>
                <w:sz w:val="20"/>
                <w:szCs w:val="20"/>
              </w:rPr>
              <w:t>Рыбное хозяйство «Овтеено»</w:t>
            </w:r>
          </w:p>
        </w:tc>
      </w:tr>
      <w:tr w:rsidR="001C2BA2" w:rsidRPr="00F562A8" w14:paraId="54737E34" w14:textId="77777777" w:rsidTr="006131C6">
        <w:trPr>
          <w:gridAfter w:val="1"/>
          <w:wAfter w:w="8" w:type="dxa"/>
          <w:trHeight w:val="317"/>
          <w:jc w:val="center"/>
        </w:trPr>
        <w:tc>
          <w:tcPr>
            <w:tcW w:w="1840" w:type="dxa"/>
            <w:vMerge/>
          </w:tcPr>
          <w:p w14:paraId="1FF4B53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707" w:type="dxa"/>
          </w:tcPr>
          <w:p w14:paraId="09D9B17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201</w:t>
            </w:r>
            <w:r>
              <w:rPr>
                <w:rFonts w:ascii="Times New Roman" w:eastAsia="Times New Roman" w:hAnsi="Times New Roman" w:cs="Times New Roman"/>
                <w:color w:val="000000" w:themeColor="text1"/>
                <w:sz w:val="20"/>
                <w:szCs w:val="20"/>
              </w:rPr>
              <w:t>9</w:t>
            </w:r>
          </w:p>
        </w:tc>
        <w:tc>
          <w:tcPr>
            <w:tcW w:w="850" w:type="dxa"/>
          </w:tcPr>
          <w:p w14:paraId="7F78EC1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w:t>
            </w:r>
            <w:r>
              <w:rPr>
                <w:rFonts w:ascii="Times New Roman" w:eastAsia="Times New Roman" w:hAnsi="Times New Roman" w:cs="Times New Roman"/>
                <w:color w:val="000000" w:themeColor="text1"/>
                <w:sz w:val="20"/>
                <w:szCs w:val="20"/>
              </w:rPr>
              <w:t>20</w:t>
            </w:r>
          </w:p>
        </w:tc>
        <w:tc>
          <w:tcPr>
            <w:tcW w:w="995" w:type="dxa"/>
          </w:tcPr>
          <w:p w14:paraId="5D05A5A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w:t>
            </w:r>
            <w:r>
              <w:rPr>
                <w:rFonts w:ascii="Times New Roman" w:eastAsia="Times New Roman" w:hAnsi="Times New Roman" w:cs="Times New Roman"/>
                <w:color w:val="000000" w:themeColor="text1"/>
                <w:sz w:val="20"/>
                <w:szCs w:val="20"/>
              </w:rPr>
              <w:t>21</w:t>
            </w:r>
          </w:p>
        </w:tc>
        <w:tc>
          <w:tcPr>
            <w:tcW w:w="1425" w:type="dxa"/>
            <w:shd w:val="clear" w:color="auto" w:fill="auto"/>
          </w:tcPr>
          <w:p w14:paraId="3CB141E6" w14:textId="77777777" w:rsidR="001C2BA2" w:rsidRPr="00F562A8" w:rsidRDefault="001C2BA2" w:rsidP="006131C6">
            <w:pPr>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Ср зн величин, приведенных к 20</w:t>
            </w:r>
            <w:r>
              <w:rPr>
                <w:rFonts w:ascii="Times New Roman" w:eastAsia="Times New Roman" w:hAnsi="Times New Roman" w:cs="Times New Roman"/>
                <w:color w:val="000000" w:themeColor="text1"/>
                <w:sz w:val="20"/>
                <w:szCs w:val="20"/>
              </w:rPr>
              <w:t>21</w:t>
            </w:r>
            <w:r w:rsidRPr="00F562A8">
              <w:rPr>
                <w:rFonts w:ascii="Times New Roman" w:eastAsia="Times New Roman" w:hAnsi="Times New Roman" w:cs="Times New Roman"/>
                <w:color w:val="000000" w:themeColor="text1"/>
                <w:sz w:val="20"/>
                <w:szCs w:val="20"/>
              </w:rPr>
              <w:t>г</w:t>
            </w:r>
          </w:p>
        </w:tc>
        <w:tc>
          <w:tcPr>
            <w:tcW w:w="1132" w:type="dxa"/>
            <w:gridSpan w:val="2"/>
            <w:shd w:val="clear" w:color="auto" w:fill="auto"/>
          </w:tcPr>
          <w:p w14:paraId="7739F7E8"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201</w:t>
            </w:r>
            <w:r>
              <w:rPr>
                <w:rFonts w:ascii="Times New Roman" w:eastAsia="Times New Roman" w:hAnsi="Times New Roman" w:cs="Times New Roman"/>
                <w:color w:val="000000" w:themeColor="text1"/>
                <w:sz w:val="20"/>
                <w:szCs w:val="20"/>
              </w:rPr>
              <w:t>9</w:t>
            </w:r>
          </w:p>
        </w:tc>
        <w:tc>
          <w:tcPr>
            <w:tcW w:w="992" w:type="dxa"/>
            <w:shd w:val="clear" w:color="auto" w:fill="auto"/>
          </w:tcPr>
          <w:p w14:paraId="05E879F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w:t>
            </w:r>
            <w:r>
              <w:rPr>
                <w:rFonts w:ascii="Times New Roman" w:eastAsia="Times New Roman" w:hAnsi="Times New Roman" w:cs="Times New Roman"/>
                <w:color w:val="000000" w:themeColor="text1"/>
                <w:sz w:val="20"/>
                <w:szCs w:val="20"/>
              </w:rPr>
              <w:t>20</w:t>
            </w:r>
          </w:p>
        </w:tc>
        <w:tc>
          <w:tcPr>
            <w:tcW w:w="992" w:type="dxa"/>
            <w:shd w:val="clear" w:color="auto" w:fill="auto"/>
          </w:tcPr>
          <w:p w14:paraId="429AD35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w:t>
            </w:r>
            <w:r>
              <w:rPr>
                <w:rFonts w:ascii="Times New Roman" w:eastAsia="Times New Roman" w:hAnsi="Times New Roman" w:cs="Times New Roman"/>
                <w:color w:val="000000" w:themeColor="text1"/>
                <w:sz w:val="20"/>
                <w:szCs w:val="20"/>
              </w:rPr>
              <w:t>21</w:t>
            </w:r>
          </w:p>
        </w:tc>
        <w:tc>
          <w:tcPr>
            <w:tcW w:w="1420" w:type="dxa"/>
            <w:shd w:val="clear" w:color="auto" w:fill="auto"/>
          </w:tcPr>
          <w:p w14:paraId="48AB7532" w14:textId="77777777" w:rsidR="001C2BA2" w:rsidRPr="00F562A8" w:rsidRDefault="001C2BA2" w:rsidP="006131C6">
            <w:pPr>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Ср зн величин, приведенных к 20</w:t>
            </w:r>
            <w:r>
              <w:rPr>
                <w:rFonts w:ascii="Times New Roman" w:eastAsia="Times New Roman" w:hAnsi="Times New Roman" w:cs="Times New Roman"/>
                <w:color w:val="000000" w:themeColor="text1"/>
                <w:sz w:val="20"/>
                <w:szCs w:val="20"/>
              </w:rPr>
              <w:t>21</w:t>
            </w:r>
            <w:r w:rsidRPr="00F562A8">
              <w:rPr>
                <w:rFonts w:ascii="Times New Roman" w:eastAsia="Times New Roman" w:hAnsi="Times New Roman" w:cs="Times New Roman"/>
                <w:color w:val="000000" w:themeColor="text1"/>
                <w:sz w:val="20"/>
                <w:szCs w:val="20"/>
              </w:rPr>
              <w:t>г</w:t>
            </w:r>
          </w:p>
        </w:tc>
        <w:tc>
          <w:tcPr>
            <w:tcW w:w="984" w:type="dxa"/>
            <w:gridSpan w:val="2"/>
            <w:shd w:val="clear" w:color="auto" w:fill="auto"/>
          </w:tcPr>
          <w:p w14:paraId="74BBD3E8" w14:textId="77777777" w:rsidR="001C2BA2" w:rsidRPr="00F562A8" w:rsidRDefault="001C2BA2" w:rsidP="006131C6">
            <w:pPr>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201</w:t>
            </w:r>
            <w:r>
              <w:rPr>
                <w:rFonts w:ascii="Times New Roman" w:eastAsia="Times New Roman" w:hAnsi="Times New Roman" w:cs="Times New Roman"/>
                <w:color w:val="000000" w:themeColor="text1"/>
                <w:sz w:val="20"/>
                <w:szCs w:val="20"/>
              </w:rPr>
              <w:t>9</w:t>
            </w:r>
          </w:p>
        </w:tc>
        <w:tc>
          <w:tcPr>
            <w:tcW w:w="992" w:type="dxa"/>
            <w:shd w:val="clear" w:color="auto" w:fill="auto"/>
          </w:tcPr>
          <w:p w14:paraId="64BD55D4" w14:textId="77777777" w:rsidR="001C2BA2" w:rsidRPr="00F562A8" w:rsidRDefault="001C2BA2" w:rsidP="006131C6">
            <w:pPr>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w:t>
            </w:r>
            <w:r>
              <w:rPr>
                <w:rFonts w:ascii="Times New Roman" w:eastAsia="Times New Roman" w:hAnsi="Times New Roman" w:cs="Times New Roman"/>
                <w:color w:val="000000" w:themeColor="text1"/>
                <w:sz w:val="20"/>
                <w:szCs w:val="20"/>
              </w:rPr>
              <w:t>20</w:t>
            </w:r>
          </w:p>
        </w:tc>
        <w:tc>
          <w:tcPr>
            <w:tcW w:w="1135" w:type="dxa"/>
            <w:shd w:val="clear" w:color="auto" w:fill="auto"/>
          </w:tcPr>
          <w:p w14:paraId="4E928B3E" w14:textId="77777777" w:rsidR="001C2BA2" w:rsidRPr="00F562A8" w:rsidRDefault="001C2BA2" w:rsidP="006131C6">
            <w:pPr>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20</w:t>
            </w:r>
            <w:r>
              <w:rPr>
                <w:rFonts w:ascii="Times New Roman" w:eastAsia="Times New Roman" w:hAnsi="Times New Roman" w:cs="Times New Roman"/>
                <w:color w:val="000000" w:themeColor="text1"/>
                <w:sz w:val="20"/>
                <w:szCs w:val="20"/>
              </w:rPr>
              <w:t>21</w:t>
            </w:r>
          </w:p>
        </w:tc>
        <w:tc>
          <w:tcPr>
            <w:tcW w:w="1417" w:type="dxa"/>
            <w:gridSpan w:val="2"/>
            <w:shd w:val="clear" w:color="auto" w:fill="auto"/>
          </w:tcPr>
          <w:p w14:paraId="66F4B292" w14:textId="77777777" w:rsidR="001C2BA2" w:rsidRPr="00F562A8" w:rsidRDefault="001C2BA2" w:rsidP="006131C6">
            <w:pPr>
              <w:ind w:right="35"/>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Ср зн величин, приведенных к 20</w:t>
            </w:r>
            <w:r>
              <w:rPr>
                <w:rFonts w:ascii="Times New Roman" w:eastAsia="Times New Roman" w:hAnsi="Times New Roman" w:cs="Times New Roman"/>
                <w:color w:val="000000" w:themeColor="text1"/>
                <w:sz w:val="20"/>
                <w:szCs w:val="20"/>
              </w:rPr>
              <w:t>21</w:t>
            </w:r>
            <w:r w:rsidRPr="00F562A8">
              <w:rPr>
                <w:rFonts w:ascii="Times New Roman" w:eastAsia="Times New Roman" w:hAnsi="Times New Roman" w:cs="Times New Roman"/>
                <w:color w:val="000000" w:themeColor="text1"/>
                <w:sz w:val="20"/>
                <w:szCs w:val="20"/>
              </w:rPr>
              <w:t>г</w:t>
            </w:r>
          </w:p>
        </w:tc>
      </w:tr>
      <w:tr w:rsidR="001C2BA2" w:rsidRPr="00F562A8" w14:paraId="17BFAD95" w14:textId="77777777" w:rsidTr="006131C6">
        <w:trPr>
          <w:trHeight w:val="203"/>
          <w:jc w:val="center"/>
        </w:trPr>
        <w:tc>
          <w:tcPr>
            <w:tcW w:w="14889" w:type="dxa"/>
            <w:gridSpan w:val="17"/>
            <w:tcBorders>
              <w:bottom w:val="nil"/>
            </w:tcBorders>
            <w:shd w:val="clear" w:color="auto" w:fill="auto"/>
          </w:tcPr>
          <w:p w14:paraId="6DBD71B2"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r w:rsidRPr="00F562A8">
              <w:rPr>
                <w:rFonts w:ascii="Times New Roman" w:eastAsia="Times New Roman" w:hAnsi="Times New Roman" w:cs="Times New Roman"/>
                <w:b/>
                <w:color w:val="000000" w:themeColor="text1"/>
                <w:sz w:val="20"/>
                <w:szCs w:val="20"/>
              </w:rPr>
              <w:t>Масса выпущенного малька, кг на 1 га</w:t>
            </w:r>
          </w:p>
        </w:tc>
      </w:tr>
      <w:tr w:rsidR="001C2BA2" w:rsidRPr="00F562A8" w14:paraId="134EF062" w14:textId="77777777" w:rsidTr="006131C6">
        <w:trPr>
          <w:gridAfter w:val="1"/>
          <w:wAfter w:w="8" w:type="dxa"/>
          <w:trHeight w:val="203"/>
          <w:jc w:val="center"/>
        </w:trPr>
        <w:tc>
          <w:tcPr>
            <w:tcW w:w="1840" w:type="dxa"/>
            <w:tcBorders>
              <w:top w:val="single" w:sz="4" w:space="0" w:color="auto"/>
            </w:tcBorders>
          </w:tcPr>
          <w:p w14:paraId="2F72E09B"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Карп</w:t>
            </w:r>
          </w:p>
        </w:tc>
        <w:tc>
          <w:tcPr>
            <w:tcW w:w="707" w:type="dxa"/>
          </w:tcPr>
          <w:p w14:paraId="651F6BF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0460D">
              <w:rPr>
                <w:rFonts w:ascii="Times New Roman" w:eastAsia="Times New Roman" w:hAnsi="Times New Roman" w:cs="Times New Roman"/>
                <w:color w:val="000000" w:themeColor="text1"/>
                <w:sz w:val="20"/>
                <w:szCs w:val="20"/>
              </w:rPr>
              <w:t>21,79</w:t>
            </w:r>
          </w:p>
        </w:tc>
        <w:tc>
          <w:tcPr>
            <w:tcW w:w="850" w:type="dxa"/>
          </w:tcPr>
          <w:p w14:paraId="017E5594" w14:textId="77777777" w:rsidR="001C2BA2" w:rsidRPr="00F0460D"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995" w:type="dxa"/>
          </w:tcPr>
          <w:p w14:paraId="66A5B6A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1425" w:type="dxa"/>
            <w:shd w:val="clear" w:color="auto" w:fill="auto"/>
          </w:tcPr>
          <w:p w14:paraId="7E5C0A3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0460D">
              <w:rPr>
                <w:rFonts w:ascii="Times New Roman" w:eastAsia="Times New Roman" w:hAnsi="Times New Roman" w:cs="Times New Roman"/>
                <w:color w:val="000000" w:themeColor="text1"/>
                <w:sz w:val="20"/>
                <w:szCs w:val="20"/>
              </w:rPr>
              <w:t>21,79</w:t>
            </w:r>
          </w:p>
        </w:tc>
        <w:tc>
          <w:tcPr>
            <w:tcW w:w="1132" w:type="dxa"/>
            <w:gridSpan w:val="2"/>
            <w:shd w:val="clear" w:color="auto" w:fill="auto"/>
          </w:tcPr>
          <w:p w14:paraId="2C01C3F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3</w:t>
            </w:r>
            <w:r w:rsidRPr="00F562A8">
              <w:rPr>
                <w:rFonts w:ascii="Times New Roman" w:eastAsia="Times New Roman" w:hAnsi="Times New Roman" w:cs="Times New Roman"/>
                <w:color w:val="000000" w:themeColor="text1"/>
                <w:sz w:val="20"/>
                <w:szCs w:val="20"/>
              </w:rPr>
              <w:t>0</w:t>
            </w:r>
          </w:p>
        </w:tc>
        <w:tc>
          <w:tcPr>
            <w:tcW w:w="992" w:type="dxa"/>
            <w:shd w:val="clear" w:color="auto" w:fill="auto"/>
          </w:tcPr>
          <w:p w14:paraId="5AC7B3AB"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61136C">
              <w:rPr>
                <w:rFonts w:ascii="Times New Roman" w:eastAsia="Times New Roman" w:hAnsi="Times New Roman" w:cs="Times New Roman"/>
                <w:color w:val="000000" w:themeColor="text1"/>
                <w:sz w:val="20"/>
                <w:szCs w:val="20"/>
              </w:rPr>
              <w:t>130</w:t>
            </w:r>
          </w:p>
        </w:tc>
        <w:tc>
          <w:tcPr>
            <w:tcW w:w="992" w:type="dxa"/>
            <w:shd w:val="clear" w:color="auto" w:fill="auto"/>
          </w:tcPr>
          <w:p w14:paraId="3A44984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61136C">
              <w:rPr>
                <w:rFonts w:ascii="Times New Roman" w:eastAsia="Times New Roman" w:hAnsi="Times New Roman" w:cs="Times New Roman"/>
                <w:color w:val="000000" w:themeColor="text1"/>
                <w:sz w:val="20"/>
                <w:szCs w:val="20"/>
              </w:rPr>
              <w:t>130</w:t>
            </w:r>
          </w:p>
        </w:tc>
        <w:tc>
          <w:tcPr>
            <w:tcW w:w="1420" w:type="dxa"/>
            <w:shd w:val="clear" w:color="auto" w:fill="auto"/>
          </w:tcPr>
          <w:p w14:paraId="749226D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61136C">
              <w:rPr>
                <w:rFonts w:ascii="Times New Roman" w:eastAsia="Times New Roman" w:hAnsi="Times New Roman" w:cs="Times New Roman"/>
                <w:color w:val="000000" w:themeColor="text1"/>
                <w:sz w:val="20"/>
                <w:szCs w:val="20"/>
              </w:rPr>
              <w:t>130</w:t>
            </w:r>
          </w:p>
        </w:tc>
        <w:tc>
          <w:tcPr>
            <w:tcW w:w="984" w:type="dxa"/>
            <w:gridSpan w:val="2"/>
            <w:shd w:val="clear" w:color="auto" w:fill="auto"/>
          </w:tcPr>
          <w:p w14:paraId="25E8100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100</w:t>
            </w:r>
          </w:p>
        </w:tc>
        <w:tc>
          <w:tcPr>
            <w:tcW w:w="992" w:type="dxa"/>
            <w:shd w:val="clear" w:color="auto" w:fill="auto"/>
          </w:tcPr>
          <w:p w14:paraId="52BB5F7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100</w:t>
            </w:r>
          </w:p>
        </w:tc>
        <w:tc>
          <w:tcPr>
            <w:tcW w:w="1135" w:type="dxa"/>
            <w:shd w:val="clear" w:color="auto" w:fill="auto"/>
          </w:tcPr>
          <w:p w14:paraId="794A354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100</w:t>
            </w:r>
          </w:p>
        </w:tc>
        <w:tc>
          <w:tcPr>
            <w:tcW w:w="1417" w:type="dxa"/>
            <w:gridSpan w:val="2"/>
            <w:shd w:val="clear" w:color="auto" w:fill="auto"/>
          </w:tcPr>
          <w:p w14:paraId="2EEB48A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100</w:t>
            </w:r>
          </w:p>
        </w:tc>
      </w:tr>
      <w:tr w:rsidR="001C2BA2" w:rsidRPr="00F562A8" w14:paraId="748834C0" w14:textId="77777777" w:rsidTr="006131C6">
        <w:trPr>
          <w:gridAfter w:val="1"/>
          <w:wAfter w:w="8" w:type="dxa"/>
          <w:trHeight w:val="203"/>
          <w:jc w:val="center"/>
        </w:trPr>
        <w:tc>
          <w:tcPr>
            <w:tcW w:w="1840" w:type="dxa"/>
          </w:tcPr>
          <w:p w14:paraId="56689E8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Толстолобик</w:t>
            </w:r>
          </w:p>
        </w:tc>
        <w:tc>
          <w:tcPr>
            <w:tcW w:w="707" w:type="dxa"/>
          </w:tcPr>
          <w:p w14:paraId="06970428"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850" w:type="dxa"/>
          </w:tcPr>
          <w:p w14:paraId="6A8714D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54,48</w:t>
            </w:r>
          </w:p>
        </w:tc>
        <w:tc>
          <w:tcPr>
            <w:tcW w:w="995" w:type="dxa"/>
          </w:tcPr>
          <w:p w14:paraId="5B37AA0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1425" w:type="dxa"/>
            <w:shd w:val="clear" w:color="auto" w:fill="auto"/>
          </w:tcPr>
          <w:p w14:paraId="0182257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54,48</w:t>
            </w:r>
          </w:p>
        </w:tc>
        <w:tc>
          <w:tcPr>
            <w:tcW w:w="1132" w:type="dxa"/>
            <w:gridSpan w:val="2"/>
            <w:shd w:val="clear" w:color="auto" w:fill="auto"/>
          </w:tcPr>
          <w:p w14:paraId="78E4CB3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992" w:type="dxa"/>
            <w:shd w:val="clear" w:color="auto" w:fill="auto"/>
          </w:tcPr>
          <w:p w14:paraId="7C547CD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6357B5">
              <w:rPr>
                <w:rFonts w:ascii="Times New Roman" w:eastAsia="Times New Roman" w:hAnsi="Times New Roman" w:cs="Times New Roman"/>
                <w:color w:val="000000" w:themeColor="text1"/>
                <w:sz w:val="20"/>
                <w:szCs w:val="20"/>
              </w:rPr>
              <w:t>20</w:t>
            </w:r>
          </w:p>
        </w:tc>
        <w:tc>
          <w:tcPr>
            <w:tcW w:w="992" w:type="dxa"/>
            <w:shd w:val="clear" w:color="auto" w:fill="auto"/>
          </w:tcPr>
          <w:p w14:paraId="5045CED2"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6357B5">
              <w:rPr>
                <w:rFonts w:ascii="Times New Roman" w:eastAsia="Times New Roman" w:hAnsi="Times New Roman" w:cs="Times New Roman"/>
                <w:color w:val="000000" w:themeColor="text1"/>
                <w:sz w:val="20"/>
                <w:szCs w:val="20"/>
              </w:rPr>
              <w:t>20</w:t>
            </w:r>
          </w:p>
        </w:tc>
        <w:tc>
          <w:tcPr>
            <w:tcW w:w="1420" w:type="dxa"/>
            <w:shd w:val="clear" w:color="auto" w:fill="auto"/>
          </w:tcPr>
          <w:p w14:paraId="211C273B"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6357B5">
              <w:rPr>
                <w:rFonts w:ascii="Times New Roman" w:eastAsia="Times New Roman" w:hAnsi="Times New Roman" w:cs="Times New Roman"/>
                <w:color w:val="000000" w:themeColor="text1"/>
                <w:sz w:val="20"/>
                <w:szCs w:val="20"/>
              </w:rPr>
              <w:t>20</w:t>
            </w:r>
          </w:p>
        </w:tc>
        <w:tc>
          <w:tcPr>
            <w:tcW w:w="984" w:type="dxa"/>
            <w:gridSpan w:val="2"/>
            <w:shd w:val="clear" w:color="auto" w:fill="auto"/>
          </w:tcPr>
          <w:p w14:paraId="5019CD3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992" w:type="dxa"/>
            <w:shd w:val="clear" w:color="auto" w:fill="auto"/>
          </w:tcPr>
          <w:p w14:paraId="08E2751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135" w:type="dxa"/>
            <w:shd w:val="clear" w:color="auto" w:fill="auto"/>
          </w:tcPr>
          <w:p w14:paraId="72B309CF"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417" w:type="dxa"/>
            <w:gridSpan w:val="2"/>
            <w:shd w:val="clear" w:color="auto" w:fill="auto"/>
          </w:tcPr>
          <w:p w14:paraId="598C403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50</w:t>
            </w:r>
          </w:p>
        </w:tc>
      </w:tr>
      <w:tr w:rsidR="001C2BA2" w:rsidRPr="00F562A8" w14:paraId="04ABF615" w14:textId="77777777" w:rsidTr="006131C6">
        <w:trPr>
          <w:trHeight w:val="203"/>
          <w:jc w:val="center"/>
        </w:trPr>
        <w:tc>
          <w:tcPr>
            <w:tcW w:w="14889" w:type="dxa"/>
            <w:gridSpan w:val="17"/>
            <w:shd w:val="clear" w:color="auto" w:fill="auto"/>
          </w:tcPr>
          <w:p w14:paraId="285CA17D"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r w:rsidRPr="00F562A8">
              <w:rPr>
                <w:rFonts w:ascii="Times New Roman" w:eastAsia="Times New Roman" w:hAnsi="Times New Roman" w:cs="Times New Roman"/>
                <w:b/>
                <w:color w:val="000000" w:themeColor="text1"/>
                <w:sz w:val="20"/>
                <w:szCs w:val="20"/>
              </w:rPr>
              <w:t>Цена выпущенного малька, руб/кг</w:t>
            </w:r>
          </w:p>
        </w:tc>
      </w:tr>
      <w:tr w:rsidR="001C2BA2" w:rsidRPr="00F562A8" w14:paraId="1CDA84F1" w14:textId="77777777" w:rsidTr="006131C6">
        <w:trPr>
          <w:gridAfter w:val="1"/>
          <w:wAfter w:w="8" w:type="dxa"/>
          <w:trHeight w:val="203"/>
          <w:jc w:val="center"/>
        </w:trPr>
        <w:tc>
          <w:tcPr>
            <w:tcW w:w="1840" w:type="dxa"/>
          </w:tcPr>
          <w:p w14:paraId="540C238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карп</w:t>
            </w:r>
          </w:p>
        </w:tc>
        <w:tc>
          <w:tcPr>
            <w:tcW w:w="707" w:type="dxa"/>
          </w:tcPr>
          <w:p w14:paraId="70BC9A3B"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90</w:t>
            </w:r>
          </w:p>
        </w:tc>
        <w:tc>
          <w:tcPr>
            <w:tcW w:w="850" w:type="dxa"/>
          </w:tcPr>
          <w:p w14:paraId="0E75CA9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995" w:type="dxa"/>
          </w:tcPr>
          <w:p w14:paraId="57EAA23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1425" w:type="dxa"/>
            <w:shd w:val="clear" w:color="auto" w:fill="auto"/>
          </w:tcPr>
          <w:p w14:paraId="5F5D956E"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000000" w:themeColor="text1"/>
                <w:sz w:val="20"/>
                <w:szCs w:val="20"/>
              </w:rPr>
              <w:t>105,17</w:t>
            </w:r>
          </w:p>
        </w:tc>
        <w:tc>
          <w:tcPr>
            <w:tcW w:w="1132" w:type="dxa"/>
            <w:gridSpan w:val="2"/>
            <w:shd w:val="clear" w:color="auto" w:fill="auto"/>
          </w:tcPr>
          <w:p w14:paraId="243A966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3</w:t>
            </w:r>
            <w:r w:rsidRPr="00F562A8">
              <w:rPr>
                <w:rFonts w:ascii="Times New Roman" w:eastAsia="Times New Roman" w:hAnsi="Times New Roman" w:cs="Times New Roman"/>
                <w:color w:val="000000" w:themeColor="text1"/>
                <w:sz w:val="20"/>
                <w:szCs w:val="20"/>
              </w:rPr>
              <w:t>0</w:t>
            </w:r>
          </w:p>
        </w:tc>
        <w:tc>
          <w:tcPr>
            <w:tcW w:w="992" w:type="dxa"/>
            <w:shd w:val="clear" w:color="auto" w:fill="auto"/>
          </w:tcPr>
          <w:p w14:paraId="76A9719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4</w:t>
            </w:r>
            <w:r w:rsidRPr="00F562A8">
              <w:rPr>
                <w:rFonts w:ascii="Times New Roman" w:eastAsia="Times New Roman" w:hAnsi="Times New Roman" w:cs="Times New Roman"/>
                <w:color w:val="000000" w:themeColor="text1"/>
                <w:sz w:val="20"/>
                <w:szCs w:val="20"/>
              </w:rPr>
              <w:t>0</w:t>
            </w:r>
          </w:p>
        </w:tc>
        <w:tc>
          <w:tcPr>
            <w:tcW w:w="992" w:type="dxa"/>
            <w:shd w:val="clear" w:color="auto" w:fill="auto"/>
          </w:tcPr>
          <w:p w14:paraId="5D76BAB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4</w:t>
            </w:r>
            <w:r w:rsidRPr="00F562A8">
              <w:rPr>
                <w:rFonts w:ascii="Times New Roman" w:eastAsia="Times New Roman" w:hAnsi="Times New Roman" w:cs="Times New Roman"/>
                <w:color w:val="000000" w:themeColor="text1"/>
                <w:sz w:val="20"/>
                <w:szCs w:val="20"/>
              </w:rPr>
              <w:t>0</w:t>
            </w:r>
          </w:p>
        </w:tc>
        <w:tc>
          <w:tcPr>
            <w:tcW w:w="1420" w:type="dxa"/>
            <w:shd w:val="clear" w:color="auto" w:fill="auto"/>
          </w:tcPr>
          <w:p w14:paraId="2EE4EB3F"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148,30</w:t>
            </w:r>
          </w:p>
        </w:tc>
        <w:tc>
          <w:tcPr>
            <w:tcW w:w="984" w:type="dxa"/>
            <w:gridSpan w:val="2"/>
            <w:shd w:val="clear" w:color="auto" w:fill="auto"/>
          </w:tcPr>
          <w:p w14:paraId="1F21ACA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120</w:t>
            </w:r>
          </w:p>
        </w:tc>
        <w:tc>
          <w:tcPr>
            <w:tcW w:w="992" w:type="dxa"/>
            <w:shd w:val="clear" w:color="auto" w:fill="auto"/>
          </w:tcPr>
          <w:p w14:paraId="69E93132"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120</w:t>
            </w:r>
          </w:p>
        </w:tc>
        <w:tc>
          <w:tcPr>
            <w:tcW w:w="1135" w:type="dxa"/>
            <w:shd w:val="clear" w:color="auto" w:fill="auto"/>
          </w:tcPr>
          <w:p w14:paraId="321143A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12</w:t>
            </w:r>
            <w:r>
              <w:rPr>
                <w:rFonts w:ascii="Times New Roman" w:eastAsia="Times New Roman" w:hAnsi="Times New Roman" w:cs="Times New Roman"/>
                <w:color w:val="000000" w:themeColor="text1"/>
                <w:sz w:val="20"/>
                <w:szCs w:val="20"/>
              </w:rPr>
              <w:t>0</w:t>
            </w:r>
          </w:p>
        </w:tc>
        <w:tc>
          <w:tcPr>
            <w:tcW w:w="1417" w:type="dxa"/>
            <w:gridSpan w:val="2"/>
            <w:shd w:val="clear" w:color="auto" w:fill="auto"/>
          </w:tcPr>
          <w:p w14:paraId="5B5D142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30</w:t>
            </w:r>
            <w:r w:rsidRPr="00F562A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45</w:t>
            </w:r>
          </w:p>
        </w:tc>
      </w:tr>
      <w:tr w:rsidR="001C2BA2" w:rsidRPr="00F562A8" w14:paraId="6C4BEB89" w14:textId="77777777" w:rsidTr="006131C6">
        <w:trPr>
          <w:gridAfter w:val="1"/>
          <w:wAfter w:w="8" w:type="dxa"/>
          <w:trHeight w:val="203"/>
          <w:jc w:val="center"/>
        </w:trPr>
        <w:tc>
          <w:tcPr>
            <w:tcW w:w="1840" w:type="dxa"/>
          </w:tcPr>
          <w:p w14:paraId="062ADF8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Толстолобик</w:t>
            </w:r>
          </w:p>
        </w:tc>
        <w:tc>
          <w:tcPr>
            <w:tcW w:w="707" w:type="dxa"/>
          </w:tcPr>
          <w:p w14:paraId="35CF016F"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850" w:type="dxa"/>
          </w:tcPr>
          <w:p w14:paraId="6176D7A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80</w:t>
            </w:r>
          </w:p>
        </w:tc>
        <w:tc>
          <w:tcPr>
            <w:tcW w:w="995" w:type="dxa"/>
          </w:tcPr>
          <w:p w14:paraId="273C748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1425" w:type="dxa"/>
            <w:shd w:val="clear" w:color="auto" w:fill="auto"/>
          </w:tcPr>
          <w:p w14:paraId="554ECB09"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000000" w:themeColor="text1"/>
                <w:sz w:val="20"/>
                <w:szCs w:val="20"/>
              </w:rPr>
              <w:t>87,42</w:t>
            </w:r>
          </w:p>
        </w:tc>
        <w:tc>
          <w:tcPr>
            <w:tcW w:w="1132" w:type="dxa"/>
            <w:gridSpan w:val="2"/>
            <w:shd w:val="clear" w:color="auto" w:fill="auto"/>
          </w:tcPr>
          <w:p w14:paraId="4AD0055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120</w:t>
            </w:r>
          </w:p>
        </w:tc>
        <w:tc>
          <w:tcPr>
            <w:tcW w:w="992" w:type="dxa"/>
            <w:shd w:val="clear" w:color="auto" w:fill="auto"/>
          </w:tcPr>
          <w:p w14:paraId="296AAC9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130</w:t>
            </w:r>
          </w:p>
        </w:tc>
        <w:tc>
          <w:tcPr>
            <w:tcW w:w="992" w:type="dxa"/>
            <w:shd w:val="clear" w:color="auto" w:fill="auto"/>
          </w:tcPr>
          <w:p w14:paraId="7C6C9EC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130</w:t>
            </w:r>
          </w:p>
        </w:tc>
        <w:tc>
          <w:tcPr>
            <w:tcW w:w="1420" w:type="dxa"/>
            <w:shd w:val="clear" w:color="auto" w:fill="auto"/>
          </w:tcPr>
          <w:p w14:paraId="6E135A4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137,43</w:t>
            </w:r>
          </w:p>
        </w:tc>
        <w:tc>
          <w:tcPr>
            <w:tcW w:w="984" w:type="dxa"/>
            <w:gridSpan w:val="2"/>
            <w:shd w:val="clear" w:color="auto" w:fill="auto"/>
          </w:tcPr>
          <w:p w14:paraId="777A717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00</w:t>
            </w:r>
          </w:p>
        </w:tc>
        <w:tc>
          <w:tcPr>
            <w:tcW w:w="992" w:type="dxa"/>
            <w:shd w:val="clear" w:color="auto" w:fill="auto"/>
          </w:tcPr>
          <w:p w14:paraId="2F5FB3D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00</w:t>
            </w:r>
          </w:p>
        </w:tc>
        <w:tc>
          <w:tcPr>
            <w:tcW w:w="1135" w:type="dxa"/>
            <w:shd w:val="clear" w:color="auto" w:fill="auto"/>
          </w:tcPr>
          <w:p w14:paraId="05829E8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00</w:t>
            </w:r>
          </w:p>
        </w:tc>
        <w:tc>
          <w:tcPr>
            <w:tcW w:w="1417" w:type="dxa"/>
            <w:gridSpan w:val="2"/>
            <w:shd w:val="clear" w:color="auto" w:fill="auto"/>
          </w:tcPr>
          <w:p w14:paraId="7F07E0E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08</w:t>
            </w:r>
            <w:r w:rsidRPr="00F562A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71</w:t>
            </w:r>
          </w:p>
        </w:tc>
      </w:tr>
      <w:tr w:rsidR="001C2BA2" w:rsidRPr="00F562A8" w14:paraId="58094146" w14:textId="77777777" w:rsidTr="006131C6">
        <w:trPr>
          <w:trHeight w:val="203"/>
          <w:jc w:val="center"/>
        </w:trPr>
        <w:tc>
          <w:tcPr>
            <w:tcW w:w="14889" w:type="dxa"/>
            <w:gridSpan w:val="17"/>
            <w:shd w:val="clear" w:color="auto" w:fill="auto"/>
          </w:tcPr>
          <w:p w14:paraId="3797DD15"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r w:rsidRPr="00F562A8">
              <w:rPr>
                <w:rFonts w:ascii="Times New Roman" w:eastAsia="Times New Roman" w:hAnsi="Times New Roman" w:cs="Times New Roman"/>
                <w:b/>
                <w:color w:val="000000" w:themeColor="text1"/>
                <w:sz w:val="20"/>
                <w:szCs w:val="20"/>
              </w:rPr>
              <w:t>Кол-во корма, использованного для выращивания, т на 1 га</w:t>
            </w:r>
          </w:p>
        </w:tc>
      </w:tr>
      <w:tr w:rsidR="001C2BA2" w:rsidRPr="00F562A8" w14:paraId="74C7D074" w14:textId="77777777" w:rsidTr="006131C6">
        <w:trPr>
          <w:gridAfter w:val="1"/>
          <w:wAfter w:w="8" w:type="dxa"/>
          <w:trHeight w:val="216"/>
          <w:jc w:val="center"/>
        </w:trPr>
        <w:tc>
          <w:tcPr>
            <w:tcW w:w="1840" w:type="dxa"/>
          </w:tcPr>
          <w:p w14:paraId="761A01A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Карп</w:t>
            </w:r>
          </w:p>
        </w:tc>
        <w:tc>
          <w:tcPr>
            <w:tcW w:w="707" w:type="dxa"/>
          </w:tcPr>
          <w:p w14:paraId="5EBF559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850" w:type="dxa"/>
          </w:tcPr>
          <w:p w14:paraId="6D43528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995" w:type="dxa"/>
          </w:tcPr>
          <w:p w14:paraId="4AC2DD1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1425" w:type="dxa"/>
            <w:shd w:val="clear" w:color="auto" w:fill="auto"/>
          </w:tcPr>
          <w:p w14:paraId="30A97EF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1132" w:type="dxa"/>
            <w:gridSpan w:val="2"/>
            <w:shd w:val="clear" w:color="auto" w:fill="auto"/>
          </w:tcPr>
          <w:p w14:paraId="7178DD5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5,2</w:t>
            </w:r>
          </w:p>
        </w:tc>
        <w:tc>
          <w:tcPr>
            <w:tcW w:w="992" w:type="dxa"/>
            <w:shd w:val="clear" w:color="auto" w:fill="auto"/>
          </w:tcPr>
          <w:p w14:paraId="44D0260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5,2</w:t>
            </w:r>
          </w:p>
        </w:tc>
        <w:tc>
          <w:tcPr>
            <w:tcW w:w="992" w:type="dxa"/>
            <w:shd w:val="clear" w:color="auto" w:fill="auto"/>
          </w:tcPr>
          <w:p w14:paraId="004EAE4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5,2</w:t>
            </w:r>
          </w:p>
        </w:tc>
        <w:tc>
          <w:tcPr>
            <w:tcW w:w="1420" w:type="dxa"/>
            <w:shd w:val="clear" w:color="auto" w:fill="auto"/>
          </w:tcPr>
          <w:p w14:paraId="6580E9A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5,2</w:t>
            </w:r>
          </w:p>
        </w:tc>
        <w:tc>
          <w:tcPr>
            <w:tcW w:w="984" w:type="dxa"/>
            <w:gridSpan w:val="2"/>
            <w:shd w:val="clear" w:color="auto" w:fill="auto"/>
          </w:tcPr>
          <w:p w14:paraId="1D90A24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992" w:type="dxa"/>
            <w:shd w:val="clear" w:color="auto" w:fill="auto"/>
          </w:tcPr>
          <w:p w14:paraId="50AE7A9F"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135" w:type="dxa"/>
            <w:shd w:val="clear" w:color="auto" w:fill="auto"/>
          </w:tcPr>
          <w:p w14:paraId="50A3172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417" w:type="dxa"/>
            <w:gridSpan w:val="2"/>
            <w:shd w:val="clear" w:color="auto" w:fill="auto"/>
          </w:tcPr>
          <w:p w14:paraId="1BBB200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r>
      <w:tr w:rsidR="001C2BA2" w:rsidRPr="00F562A8" w14:paraId="73FD6CA7" w14:textId="77777777" w:rsidTr="006131C6">
        <w:trPr>
          <w:gridAfter w:val="1"/>
          <w:wAfter w:w="8" w:type="dxa"/>
          <w:trHeight w:val="203"/>
          <w:jc w:val="center"/>
        </w:trPr>
        <w:tc>
          <w:tcPr>
            <w:tcW w:w="1840" w:type="dxa"/>
          </w:tcPr>
          <w:p w14:paraId="3094E94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Толстолобика</w:t>
            </w:r>
          </w:p>
        </w:tc>
        <w:tc>
          <w:tcPr>
            <w:tcW w:w="707" w:type="dxa"/>
          </w:tcPr>
          <w:p w14:paraId="5BC61B7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850" w:type="dxa"/>
          </w:tcPr>
          <w:p w14:paraId="5A177EF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995" w:type="dxa"/>
          </w:tcPr>
          <w:p w14:paraId="526DA29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1425" w:type="dxa"/>
            <w:shd w:val="clear" w:color="auto" w:fill="auto"/>
          </w:tcPr>
          <w:p w14:paraId="5302654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1132" w:type="dxa"/>
            <w:gridSpan w:val="2"/>
            <w:shd w:val="clear" w:color="auto" w:fill="auto"/>
          </w:tcPr>
          <w:p w14:paraId="1DF4FF8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0,15</w:t>
            </w:r>
          </w:p>
        </w:tc>
        <w:tc>
          <w:tcPr>
            <w:tcW w:w="992" w:type="dxa"/>
            <w:shd w:val="clear" w:color="auto" w:fill="auto"/>
          </w:tcPr>
          <w:p w14:paraId="5AFBE5F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0,15</w:t>
            </w:r>
          </w:p>
        </w:tc>
        <w:tc>
          <w:tcPr>
            <w:tcW w:w="992" w:type="dxa"/>
            <w:shd w:val="clear" w:color="auto" w:fill="auto"/>
          </w:tcPr>
          <w:p w14:paraId="0CB1FB3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0,15</w:t>
            </w:r>
          </w:p>
        </w:tc>
        <w:tc>
          <w:tcPr>
            <w:tcW w:w="1420" w:type="dxa"/>
            <w:shd w:val="clear" w:color="auto" w:fill="auto"/>
          </w:tcPr>
          <w:p w14:paraId="23002A1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0,15</w:t>
            </w:r>
          </w:p>
        </w:tc>
        <w:tc>
          <w:tcPr>
            <w:tcW w:w="984" w:type="dxa"/>
            <w:gridSpan w:val="2"/>
            <w:shd w:val="clear" w:color="auto" w:fill="auto"/>
          </w:tcPr>
          <w:p w14:paraId="585B0FB7"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992" w:type="dxa"/>
            <w:shd w:val="clear" w:color="auto" w:fill="auto"/>
          </w:tcPr>
          <w:p w14:paraId="3876C024"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1135" w:type="dxa"/>
            <w:shd w:val="clear" w:color="auto" w:fill="auto"/>
          </w:tcPr>
          <w:p w14:paraId="3EB5E4B1"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1417" w:type="dxa"/>
            <w:gridSpan w:val="2"/>
            <w:shd w:val="clear" w:color="auto" w:fill="auto"/>
          </w:tcPr>
          <w:p w14:paraId="63133C4E"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r>
      <w:tr w:rsidR="001C2BA2" w:rsidRPr="00F562A8" w14:paraId="5773868E" w14:textId="77777777" w:rsidTr="006131C6">
        <w:trPr>
          <w:trHeight w:val="203"/>
          <w:jc w:val="center"/>
        </w:trPr>
        <w:tc>
          <w:tcPr>
            <w:tcW w:w="14889" w:type="dxa"/>
            <w:gridSpan w:val="17"/>
            <w:tcBorders>
              <w:bottom w:val="nil"/>
            </w:tcBorders>
            <w:shd w:val="clear" w:color="auto" w:fill="auto"/>
          </w:tcPr>
          <w:p w14:paraId="5C3E2738"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r w:rsidRPr="00F562A8">
              <w:rPr>
                <w:rFonts w:ascii="Times New Roman" w:eastAsia="Times New Roman" w:hAnsi="Times New Roman" w:cs="Times New Roman"/>
                <w:b/>
                <w:color w:val="000000" w:themeColor="text1"/>
                <w:sz w:val="20"/>
                <w:szCs w:val="20"/>
              </w:rPr>
              <w:t>Цена корма, использованного для выращивания, руб/т</w:t>
            </w:r>
          </w:p>
        </w:tc>
      </w:tr>
      <w:tr w:rsidR="001C2BA2" w:rsidRPr="00F562A8" w14:paraId="40BA5C0F" w14:textId="77777777" w:rsidTr="006131C6">
        <w:trPr>
          <w:gridAfter w:val="1"/>
          <w:wAfter w:w="8" w:type="dxa"/>
          <w:trHeight w:val="174"/>
          <w:jc w:val="center"/>
        </w:trPr>
        <w:tc>
          <w:tcPr>
            <w:tcW w:w="1840" w:type="dxa"/>
            <w:tcBorders>
              <w:top w:val="single" w:sz="4" w:space="0" w:color="auto"/>
            </w:tcBorders>
            <w:vAlign w:val="center"/>
          </w:tcPr>
          <w:p w14:paraId="05FDCF0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Карп</w:t>
            </w:r>
          </w:p>
        </w:tc>
        <w:tc>
          <w:tcPr>
            <w:tcW w:w="707" w:type="dxa"/>
            <w:tcBorders>
              <w:top w:val="single" w:sz="4" w:space="0" w:color="auto"/>
            </w:tcBorders>
            <w:vAlign w:val="center"/>
          </w:tcPr>
          <w:p w14:paraId="74FCFAE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850" w:type="dxa"/>
            <w:vAlign w:val="center"/>
          </w:tcPr>
          <w:p w14:paraId="2832D10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995" w:type="dxa"/>
            <w:vAlign w:val="center"/>
          </w:tcPr>
          <w:p w14:paraId="4088DFB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1425" w:type="dxa"/>
            <w:shd w:val="clear" w:color="auto" w:fill="auto"/>
            <w:vAlign w:val="center"/>
          </w:tcPr>
          <w:p w14:paraId="5DFB4CD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1132" w:type="dxa"/>
            <w:gridSpan w:val="2"/>
            <w:shd w:val="clear" w:color="auto" w:fill="auto"/>
            <w:vAlign w:val="center"/>
          </w:tcPr>
          <w:p w14:paraId="0CBFBA6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19000</w:t>
            </w:r>
          </w:p>
        </w:tc>
        <w:tc>
          <w:tcPr>
            <w:tcW w:w="992" w:type="dxa"/>
            <w:shd w:val="clear" w:color="auto" w:fill="auto"/>
            <w:vAlign w:val="center"/>
          </w:tcPr>
          <w:p w14:paraId="325E191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20000</w:t>
            </w:r>
          </w:p>
        </w:tc>
        <w:tc>
          <w:tcPr>
            <w:tcW w:w="992" w:type="dxa"/>
            <w:shd w:val="clear" w:color="auto" w:fill="auto"/>
            <w:vAlign w:val="center"/>
          </w:tcPr>
          <w:p w14:paraId="5EF673BB"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22000</w:t>
            </w:r>
          </w:p>
        </w:tc>
        <w:tc>
          <w:tcPr>
            <w:tcW w:w="1420" w:type="dxa"/>
            <w:shd w:val="clear" w:color="auto" w:fill="auto"/>
            <w:vAlign w:val="center"/>
          </w:tcPr>
          <w:p w14:paraId="2FC2B2F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5951,58</w:t>
            </w:r>
          </w:p>
        </w:tc>
        <w:tc>
          <w:tcPr>
            <w:tcW w:w="984" w:type="dxa"/>
            <w:gridSpan w:val="2"/>
            <w:shd w:val="clear" w:color="auto" w:fill="auto"/>
            <w:vAlign w:val="center"/>
          </w:tcPr>
          <w:p w14:paraId="5B59568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10000</w:t>
            </w:r>
          </w:p>
        </w:tc>
        <w:tc>
          <w:tcPr>
            <w:tcW w:w="992" w:type="dxa"/>
            <w:shd w:val="clear" w:color="auto" w:fill="auto"/>
          </w:tcPr>
          <w:p w14:paraId="0D59188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1C5519">
              <w:rPr>
                <w:rFonts w:ascii="Times New Roman" w:eastAsia="Times New Roman" w:hAnsi="Times New Roman" w:cs="Times New Roman"/>
                <w:color w:val="000000" w:themeColor="text1"/>
                <w:sz w:val="20"/>
                <w:szCs w:val="20"/>
              </w:rPr>
              <w:t>10000</w:t>
            </w:r>
          </w:p>
        </w:tc>
        <w:tc>
          <w:tcPr>
            <w:tcW w:w="1135" w:type="dxa"/>
            <w:shd w:val="clear" w:color="auto" w:fill="auto"/>
          </w:tcPr>
          <w:p w14:paraId="2E0E3E8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1C5519">
              <w:rPr>
                <w:rFonts w:ascii="Times New Roman" w:eastAsia="Times New Roman" w:hAnsi="Times New Roman" w:cs="Times New Roman"/>
                <w:color w:val="000000" w:themeColor="text1"/>
                <w:sz w:val="20"/>
                <w:szCs w:val="20"/>
              </w:rPr>
              <w:t>10000</w:t>
            </w:r>
          </w:p>
        </w:tc>
        <w:tc>
          <w:tcPr>
            <w:tcW w:w="1417" w:type="dxa"/>
            <w:gridSpan w:val="2"/>
            <w:shd w:val="clear" w:color="auto" w:fill="auto"/>
            <w:vAlign w:val="center"/>
          </w:tcPr>
          <w:p w14:paraId="7381417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10871,10</w:t>
            </w:r>
          </w:p>
        </w:tc>
      </w:tr>
      <w:tr w:rsidR="001C2BA2" w:rsidRPr="00F562A8" w14:paraId="73215528" w14:textId="77777777" w:rsidTr="006131C6">
        <w:trPr>
          <w:gridAfter w:val="1"/>
          <w:wAfter w:w="8" w:type="dxa"/>
          <w:trHeight w:val="203"/>
          <w:jc w:val="center"/>
        </w:trPr>
        <w:tc>
          <w:tcPr>
            <w:tcW w:w="1840" w:type="dxa"/>
            <w:vAlign w:val="center"/>
          </w:tcPr>
          <w:p w14:paraId="486A8AD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Толстолобик</w:t>
            </w:r>
          </w:p>
        </w:tc>
        <w:tc>
          <w:tcPr>
            <w:tcW w:w="707" w:type="dxa"/>
            <w:vAlign w:val="center"/>
          </w:tcPr>
          <w:p w14:paraId="3A5CEFF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850" w:type="dxa"/>
            <w:vAlign w:val="center"/>
          </w:tcPr>
          <w:p w14:paraId="1A6F71E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995" w:type="dxa"/>
            <w:vAlign w:val="center"/>
          </w:tcPr>
          <w:p w14:paraId="4070D50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1425" w:type="dxa"/>
            <w:shd w:val="clear" w:color="auto" w:fill="auto"/>
            <w:vAlign w:val="center"/>
          </w:tcPr>
          <w:p w14:paraId="43AA276B"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p>
        </w:tc>
        <w:tc>
          <w:tcPr>
            <w:tcW w:w="1132" w:type="dxa"/>
            <w:gridSpan w:val="2"/>
            <w:shd w:val="clear" w:color="auto" w:fill="auto"/>
            <w:vAlign w:val="center"/>
          </w:tcPr>
          <w:p w14:paraId="71B70996"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000000" w:themeColor="text1"/>
                <w:sz w:val="20"/>
                <w:szCs w:val="20"/>
              </w:rPr>
              <w:t>14000</w:t>
            </w:r>
          </w:p>
        </w:tc>
        <w:tc>
          <w:tcPr>
            <w:tcW w:w="992" w:type="dxa"/>
            <w:shd w:val="clear" w:color="auto" w:fill="auto"/>
            <w:vAlign w:val="center"/>
          </w:tcPr>
          <w:p w14:paraId="15F7B7E8"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000000" w:themeColor="text1"/>
                <w:sz w:val="20"/>
                <w:szCs w:val="20"/>
              </w:rPr>
              <w:t>16400</w:t>
            </w:r>
          </w:p>
        </w:tc>
        <w:tc>
          <w:tcPr>
            <w:tcW w:w="992" w:type="dxa"/>
            <w:shd w:val="clear" w:color="auto" w:fill="auto"/>
            <w:vAlign w:val="center"/>
          </w:tcPr>
          <w:p w14:paraId="5B56EEDC"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000000" w:themeColor="text1"/>
                <w:sz w:val="20"/>
                <w:szCs w:val="20"/>
              </w:rPr>
              <w:t>18000</w:t>
            </w:r>
          </w:p>
        </w:tc>
        <w:tc>
          <w:tcPr>
            <w:tcW w:w="1420" w:type="dxa"/>
            <w:shd w:val="clear" w:color="auto" w:fill="auto"/>
            <w:vAlign w:val="center"/>
          </w:tcPr>
          <w:p w14:paraId="311654E0"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984" w:type="dxa"/>
            <w:gridSpan w:val="2"/>
            <w:shd w:val="clear" w:color="auto" w:fill="auto"/>
            <w:vAlign w:val="center"/>
          </w:tcPr>
          <w:p w14:paraId="40C2DEE1"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992" w:type="dxa"/>
            <w:shd w:val="clear" w:color="auto" w:fill="auto"/>
            <w:vAlign w:val="center"/>
          </w:tcPr>
          <w:p w14:paraId="0EED3ED9"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1135" w:type="dxa"/>
            <w:shd w:val="clear" w:color="auto" w:fill="auto"/>
            <w:vAlign w:val="center"/>
          </w:tcPr>
          <w:p w14:paraId="3E90CDE5"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c>
          <w:tcPr>
            <w:tcW w:w="1417" w:type="dxa"/>
            <w:gridSpan w:val="2"/>
            <w:shd w:val="clear" w:color="auto" w:fill="auto"/>
            <w:vAlign w:val="center"/>
          </w:tcPr>
          <w:p w14:paraId="54379378" w14:textId="77777777" w:rsidR="001C2BA2" w:rsidRPr="00F562A8" w:rsidRDefault="001C2BA2" w:rsidP="006131C6">
            <w:pPr>
              <w:spacing w:line="276" w:lineRule="auto"/>
              <w:jc w:val="center"/>
              <w:rPr>
                <w:rFonts w:ascii="Times New Roman" w:eastAsia="Times New Roman" w:hAnsi="Times New Roman" w:cs="Times New Roman"/>
                <w:color w:val="FF0000"/>
                <w:sz w:val="20"/>
                <w:szCs w:val="20"/>
              </w:rPr>
            </w:pPr>
            <w:r w:rsidRPr="00F562A8">
              <w:rPr>
                <w:rFonts w:ascii="Times New Roman" w:eastAsia="Times New Roman" w:hAnsi="Times New Roman" w:cs="Times New Roman"/>
                <w:color w:val="000000" w:themeColor="text1"/>
                <w:sz w:val="20"/>
                <w:szCs w:val="20"/>
              </w:rPr>
              <w:t>-</w:t>
            </w:r>
          </w:p>
        </w:tc>
      </w:tr>
      <w:tr w:rsidR="001C2BA2" w:rsidRPr="00F562A8" w14:paraId="50E684AE" w14:textId="77777777" w:rsidTr="006131C6">
        <w:trPr>
          <w:trHeight w:val="203"/>
          <w:jc w:val="center"/>
        </w:trPr>
        <w:tc>
          <w:tcPr>
            <w:tcW w:w="13472" w:type="dxa"/>
            <w:gridSpan w:val="15"/>
            <w:shd w:val="clear" w:color="auto" w:fill="auto"/>
          </w:tcPr>
          <w:p w14:paraId="60CCD551"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sz w:val="20"/>
                <w:szCs w:val="20"/>
              </w:rPr>
            </w:pPr>
            <w:r w:rsidRPr="00F562A8">
              <w:rPr>
                <w:rFonts w:ascii="Times New Roman" w:eastAsia="Times New Roman" w:hAnsi="Times New Roman" w:cs="Times New Roman"/>
                <w:b/>
                <w:color w:val="000000" w:themeColor="text1"/>
                <w:sz w:val="20"/>
                <w:szCs w:val="20"/>
              </w:rPr>
              <w:t>Масса выловленной рыбы, кг на 1 га</w:t>
            </w:r>
          </w:p>
        </w:tc>
        <w:tc>
          <w:tcPr>
            <w:tcW w:w="1417" w:type="dxa"/>
            <w:gridSpan w:val="2"/>
            <w:shd w:val="clear" w:color="auto" w:fill="auto"/>
          </w:tcPr>
          <w:p w14:paraId="2D2072F2"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p>
        </w:tc>
      </w:tr>
      <w:tr w:rsidR="001C2BA2" w:rsidRPr="00F562A8" w14:paraId="4931B8ED" w14:textId="77777777" w:rsidTr="006131C6">
        <w:trPr>
          <w:gridAfter w:val="1"/>
          <w:wAfter w:w="8" w:type="dxa"/>
          <w:trHeight w:val="203"/>
          <w:jc w:val="center"/>
        </w:trPr>
        <w:tc>
          <w:tcPr>
            <w:tcW w:w="1840" w:type="dxa"/>
          </w:tcPr>
          <w:p w14:paraId="367CEE1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Карп</w:t>
            </w:r>
          </w:p>
        </w:tc>
        <w:tc>
          <w:tcPr>
            <w:tcW w:w="707" w:type="dxa"/>
            <w:vAlign w:val="center"/>
          </w:tcPr>
          <w:p w14:paraId="71C6AAE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0460D">
              <w:rPr>
                <w:rFonts w:ascii="Times New Roman" w:eastAsia="Times New Roman" w:hAnsi="Times New Roman" w:cs="Times New Roman"/>
                <w:color w:val="000000" w:themeColor="text1"/>
                <w:sz w:val="20"/>
                <w:szCs w:val="20"/>
              </w:rPr>
              <w:t>4,6</w:t>
            </w:r>
          </w:p>
        </w:tc>
        <w:tc>
          <w:tcPr>
            <w:tcW w:w="850" w:type="dxa"/>
            <w:vAlign w:val="center"/>
          </w:tcPr>
          <w:p w14:paraId="6D96D20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0460D">
              <w:rPr>
                <w:rFonts w:ascii="Times New Roman" w:eastAsia="Times New Roman" w:hAnsi="Times New Roman" w:cs="Times New Roman"/>
                <w:color w:val="000000" w:themeColor="text1"/>
                <w:sz w:val="20"/>
                <w:szCs w:val="20"/>
              </w:rPr>
              <w:t>48,6</w:t>
            </w:r>
          </w:p>
        </w:tc>
        <w:tc>
          <w:tcPr>
            <w:tcW w:w="995" w:type="dxa"/>
            <w:vAlign w:val="center"/>
          </w:tcPr>
          <w:p w14:paraId="4E054C3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0460D">
              <w:rPr>
                <w:rFonts w:ascii="Times New Roman" w:eastAsia="Times New Roman" w:hAnsi="Times New Roman" w:cs="Times New Roman"/>
                <w:color w:val="000000" w:themeColor="text1"/>
                <w:sz w:val="20"/>
                <w:szCs w:val="20"/>
              </w:rPr>
              <w:t>23,044</w:t>
            </w:r>
          </w:p>
        </w:tc>
        <w:tc>
          <w:tcPr>
            <w:tcW w:w="1425" w:type="dxa"/>
            <w:shd w:val="clear" w:color="auto" w:fill="auto"/>
            <w:vAlign w:val="center"/>
          </w:tcPr>
          <w:p w14:paraId="3C49877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0460D">
              <w:rPr>
                <w:rFonts w:ascii="Times New Roman" w:eastAsia="Times New Roman" w:hAnsi="Times New Roman" w:cs="Times New Roman"/>
                <w:color w:val="000000" w:themeColor="text1"/>
                <w:sz w:val="20"/>
                <w:szCs w:val="20"/>
              </w:rPr>
              <w:t>25</w:t>
            </w:r>
          </w:p>
        </w:tc>
        <w:tc>
          <w:tcPr>
            <w:tcW w:w="1132" w:type="dxa"/>
            <w:gridSpan w:val="2"/>
            <w:shd w:val="clear" w:color="auto" w:fill="auto"/>
            <w:vAlign w:val="center"/>
          </w:tcPr>
          <w:p w14:paraId="6BDE9D8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4A4027">
              <w:rPr>
                <w:rFonts w:ascii="Times New Roman" w:eastAsia="Times New Roman" w:hAnsi="Times New Roman" w:cs="Times New Roman"/>
                <w:color w:val="000000" w:themeColor="text1"/>
                <w:sz w:val="20"/>
                <w:szCs w:val="20"/>
              </w:rPr>
              <w:t>1400</w:t>
            </w:r>
          </w:p>
        </w:tc>
        <w:tc>
          <w:tcPr>
            <w:tcW w:w="992" w:type="dxa"/>
            <w:shd w:val="clear" w:color="auto" w:fill="auto"/>
            <w:vAlign w:val="center"/>
          </w:tcPr>
          <w:p w14:paraId="564DE77C" w14:textId="77777777" w:rsidR="001C2BA2" w:rsidRPr="00F562A8" w:rsidRDefault="001C2BA2" w:rsidP="006131C6">
            <w:pPr>
              <w:spacing w:line="276" w:lineRule="auto"/>
              <w:ind w:right="-109"/>
              <w:jc w:val="center"/>
              <w:rPr>
                <w:rFonts w:ascii="Times New Roman" w:eastAsia="Times New Roman" w:hAnsi="Times New Roman" w:cs="Times New Roman"/>
                <w:color w:val="000000" w:themeColor="text1"/>
                <w:sz w:val="20"/>
                <w:szCs w:val="20"/>
              </w:rPr>
            </w:pPr>
            <w:r w:rsidRPr="004A4027">
              <w:rPr>
                <w:rFonts w:ascii="Times New Roman" w:eastAsia="Times New Roman" w:hAnsi="Times New Roman" w:cs="Times New Roman"/>
                <w:color w:val="000000" w:themeColor="text1"/>
                <w:sz w:val="20"/>
                <w:szCs w:val="20"/>
              </w:rPr>
              <w:t>1500</w:t>
            </w:r>
          </w:p>
        </w:tc>
        <w:tc>
          <w:tcPr>
            <w:tcW w:w="992" w:type="dxa"/>
            <w:shd w:val="clear" w:color="auto" w:fill="auto"/>
            <w:vAlign w:val="center"/>
          </w:tcPr>
          <w:p w14:paraId="05B656BE" w14:textId="77777777" w:rsidR="001C2BA2" w:rsidRPr="00F562A8" w:rsidRDefault="001C2BA2" w:rsidP="006131C6">
            <w:pPr>
              <w:spacing w:line="276" w:lineRule="auto"/>
              <w:ind w:right="-110" w:hanging="107"/>
              <w:jc w:val="center"/>
              <w:rPr>
                <w:rFonts w:ascii="Times New Roman" w:eastAsia="Times New Roman" w:hAnsi="Times New Roman" w:cs="Times New Roman"/>
                <w:color w:val="000000" w:themeColor="text1"/>
                <w:sz w:val="20"/>
                <w:szCs w:val="20"/>
              </w:rPr>
            </w:pPr>
            <w:r w:rsidRPr="004A4027">
              <w:rPr>
                <w:rFonts w:ascii="Times New Roman" w:eastAsia="Times New Roman" w:hAnsi="Times New Roman" w:cs="Times New Roman"/>
                <w:color w:val="000000" w:themeColor="text1"/>
                <w:sz w:val="20"/>
                <w:szCs w:val="20"/>
              </w:rPr>
              <w:t>1500</w:t>
            </w:r>
          </w:p>
        </w:tc>
        <w:tc>
          <w:tcPr>
            <w:tcW w:w="1420" w:type="dxa"/>
            <w:shd w:val="clear" w:color="auto" w:fill="auto"/>
            <w:vAlign w:val="center"/>
          </w:tcPr>
          <w:p w14:paraId="3F2A7092"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4A4027">
              <w:rPr>
                <w:rFonts w:ascii="Times New Roman" w:eastAsia="Times New Roman" w:hAnsi="Times New Roman" w:cs="Times New Roman"/>
                <w:color w:val="000000" w:themeColor="text1"/>
                <w:sz w:val="20"/>
                <w:szCs w:val="20"/>
              </w:rPr>
              <w:t>1467</w:t>
            </w:r>
          </w:p>
        </w:tc>
        <w:tc>
          <w:tcPr>
            <w:tcW w:w="984" w:type="dxa"/>
            <w:gridSpan w:val="2"/>
            <w:shd w:val="clear" w:color="auto" w:fill="auto"/>
          </w:tcPr>
          <w:p w14:paraId="5A2D57B2"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500</w:t>
            </w:r>
          </w:p>
        </w:tc>
        <w:tc>
          <w:tcPr>
            <w:tcW w:w="992" w:type="dxa"/>
            <w:shd w:val="clear" w:color="auto" w:fill="auto"/>
          </w:tcPr>
          <w:p w14:paraId="188A2C8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500</w:t>
            </w:r>
          </w:p>
        </w:tc>
        <w:tc>
          <w:tcPr>
            <w:tcW w:w="1135" w:type="dxa"/>
            <w:shd w:val="clear" w:color="auto" w:fill="auto"/>
          </w:tcPr>
          <w:p w14:paraId="07DAB08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500</w:t>
            </w:r>
          </w:p>
        </w:tc>
        <w:tc>
          <w:tcPr>
            <w:tcW w:w="1417" w:type="dxa"/>
            <w:gridSpan w:val="2"/>
            <w:shd w:val="clear" w:color="auto" w:fill="auto"/>
          </w:tcPr>
          <w:p w14:paraId="6BB2E61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500</w:t>
            </w:r>
          </w:p>
        </w:tc>
      </w:tr>
      <w:tr w:rsidR="001C2BA2" w:rsidRPr="00F562A8" w14:paraId="24284CD6" w14:textId="77777777" w:rsidTr="006131C6">
        <w:trPr>
          <w:gridAfter w:val="1"/>
          <w:wAfter w:w="8" w:type="dxa"/>
          <w:trHeight w:val="216"/>
          <w:jc w:val="center"/>
        </w:trPr>
        <w:tc>
          <w:tcPr>
            <w:tcW w:w="1840" w:type="dxa"/>
          </w:tcPr>
          <w:p w14:paraId="13903B5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Толстолобик</w:t>
            </w:r>
          </w:p>
        </w:tc>
        <w:tc>
          <w:tcPr>
            <w:tcW w:w="707" w:type="dxa"/>
            <w:vAlign w:val="center"/>
          </w:tcPr>
          <w:p w14:paraId="1F41008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0460D">
              <w:rPr>
                <w:rFonts w:ascii="Times New Roman" w:eastAsia="Times New Roman" w:hAnsi="Times New Roman" w:cs="Times New Roman"/>
                <w:color w:val="000000" w:themeColor="text1"/>
                <w:sz w:val="20"/>
                <w:szCs w:val="20"/>
              </w:rPr>
              <w:t>13,11</w:t>
            </w:r>
          </w:p>
        </w:tc>
        <w:tc>
          <w:tcPr>
            <w:tcW w:w="850" w:type="dxa"/>
            <w:vAlign w:val="center"/>
          </w:tcPr>
          <w:p w14:paraId="1BBEDE7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0460D">
              <w:rPr>
                <w:rFonts w:ascii="Times New Roman" w:eastAsia="Times New Roman" w:hAnsi="Times New Roman" w:cs="Times New Roman"/>
                <w:color w:val="000000" w:themeColor="text1"/>
                <w:sz w:val="20"/>
                <w:szCs w:val="20"/>
              </w:rPr>
              <w:t>5034,6</w:t>
            </w:r>
          </w:p>
        </w:tc>
        <w:tc>
          <w:tcPr>
            <w:tcW w:w="995" w:type="dxa"/>
            <w:vAlign w:val="center"/>
          </w:tcPr>
          <w:p w14:paraId="046857E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0460D">
              <w:rPr>
                <w:rFonts w:ascii="Times New Roman" w:eastAsia="Times New Roman" w:hAnsi="Times New Roman" w:cs="Times New Roman"/>
                <w:color w:val="000000" w:themeColor="text1"/>
                <w:sz w:val="20"/>
                <w:szCs w:val="20"/>
              </w:rPr>
              <w:t>41,93</w:t>
            </w:r>
          </w:p>
        </w:tc>
        <w:tc>
          <w:tcPr>
            <w:tcW w:w="1425" w:type="dxa"/>
            <w:shd w:val="clear" w:color="auto" w:fill="auto"/>
            <w:vAlign w:val="center"/>
          </w:tcPr>
          <w:p w14:paraId="32007A3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0460D">
              <w:rPr>
                <w:rFonts w:ascii="Times New Roman" w:eastAsia="Times New Roman" w:hAnsi="Times New Roman" w:cs="Times New Roman"/>
                <w:color w:val="000000" w:themeColor="text1"/>
                <w:sz w:val="20"/>
                <w:szCs w:val="20"/>
              </w:rPr>
              <w:t>1697</w:t>
            </w:r>
          </w:p>
        </w:tc>
        <w:tc>
          <w:tcPr>
            <w:tcW w:w="1132" w:type="dxa"/>
            <w:gridSpan w:val="2"/>
            <w:shd w:val="clear" w:color="auto" w:fill="auto"/>
            <w:vAlign w:val="center"/>
          </w:tcPr>
          <w:p w14:paraId="575CF574" w14:textId="77777777" w:rsidR="001C2BA2" w:rsidRPr="004A4027" w:rsidRDefault="001C2BA2" w:rsidP="006131C6">
            <w:pPr>
              <w:spacing w:line="276" w:lineRule="auto"/>
              <w:jc w:val="center"/>
              <w:rPr>
                <w:rFonts w:ascii="Times New Roman" w:eastAsia="Times New Roman" w:hAnsi="Times New Roman" w:cs="Times New Roman"/>
                <w:color w:val="000000" w:themeColor="text1"/>
                <w:sz w:val="20"/>
                <w:szCs w:val="20"/>
              </w:rPr>
            </w:pPr>
            <w:r w:rsidRPr="004A4027">
              <w:rPr>
                <w:rFonts w:ascii="Times New Roman" w:eastAsia="Times New Roman" w:hAnsi="Times New Roman" w:cs="Times New Roman"/>
                <w:color w:val="000000" w:themeColor="text1"/>
                <w:sz w:val="20"/>
                <w:szCs w:val="20"/>
              </w:rPr>
              <w:t>200</w:t>
            </w:r>
          </w:p>
        </w:tc>
        <w:tc>
          <w:tcPr>
            <w:tcW w:w="992" w:type="dxa"/>
            <w:shd w:val="clear" w:color="auto" w:fill="auto"/>
            <w:vAlign w:val="center"/>
          </w:tcPr>
          <w:p w14:paraId="244157CE" w14:textId="77777777" w:rsidR="001C2BA2" w:rsidRPr="004A4027" w:rsidRDefault="001C2BA2" w:rsidP="006131C6">
            <w:pPr>
              <w:spacing w:line="276" w:lineRule="auto"/>
              <w:jc w:val="center"/>
              <w:rPr>
                <w:rFonts w:ascii="Times New Roman" w:eastAsia="Times New Roman" w:hAnsi="Times New Roman" w:cs="Times New Roman"/>
                <w:color w:val="000000" w:themeColor="text1"/>
                <w:sz w:val="20"/>
                <w:szCs w:val="20"/>
              </w:rPr>
            </w:pPr>
            <w:r w:rsidRPr="004A4027">
              <w:rPr>
                <w:rFonts w:ascii="Times New Roman" w:eastAsia="Times New Roman" w:hAnsi="Times New Roman" w:cs="Times New Roman"/>
                <w:color w:val="000000" w:themeColor="text1"/>
                <w:sz w:val="20"/>
                <w:szCs w:val="20"/>
              </w:rPr>
              <w:t>200</w:t>
            </w:r>
          </w:p>
        </w:tc>
        <w:tc>
          <w:tcPr>
            <w:tcW w:w="992" w:type="dxa"/>
            <w:shd w:val="clear" w:color="auto" w:fill="auto"/>
            <w:vAlign w:val="center"/>
          </w:tcPr>
          <w:p w14:paraId="79D24C8E" w14:textId="77777777" w:rsidR="001C2BA2" w:rsidRPr="004A4027" w:rsidRDefault="001C2BA2" w:rsidP="006131C6">
            <w:pPr>
              <w:spacing w:line="276" w:lineRule="auto"/>
              <w:jc w:val="center"/>
              <w:rPr>
                <w:rFonts w:ascii="Times New Roman" w:eastAsia="Times New Roman" w:hAnsi="Times New Roman" w:cs="Times New Roman"/>
                <w:color w:val="000000" w:themeColor="text1"/>
                <w:sz w:val="20"/>
                <w:szCs w:val="20"/>
              </w:rPr>
            </w:pPr>
            <w:r w:rsidRPr="004A4027">
              <w:rPr>
                <w:rFonts w:ascii="Times New Roman" w:eastAsia="Times New Roman" w:hAnsi="Times New Roman" w:cs="Times New Roman"/>
                <w:color w:val="000000" w:themeColor="text1"/>
                <w:sz w:val="20"/>
                <w:szCs w:val="20"/>
              </w:rPr>
              <w:t>200</w:t>
            </w:r>
          </w:p>
        </w:tc>
        <w:tc>
          <w:tcPr>
            <w:tcW w:w="1420" w:type="dxa"/>
            <w:shd w:val="clear" w:color="auto" w:fill="auto"/>
            <w:vAlign w:val="center"/>
          </w:tcPr>
          <w:p w14:paraId="13CFD1CF" w14:textId="77777777" w:rsidR="001C2BA2" w:rsidRPr="004A4027" w:rsidRDefault="001C2BA2" w:rsidP="006131C6">
            <w:pPr>
              <w:spacing w:line="276" w:lineRule="auto"/>
              <w:jc w:val="center"/>
              <w:rPr>
                <w:rFonts w:ascii="Times New Roman" w:eastAsia="Times New Roman" w:hAnsi="Times New Roman" w:cs="Times New Roman"/>
                <w:color w:val="000000" w:themeColor="text1"/>
                <w:sz w:val="20"/>
                <w:szCs w:val="20"/>
              </w:rPr>
            </w:pPr>
            <w:r w:rsidRPr="004A4027">
              <w:rPr>
                <w:rFonts w:ascii="Times New Roman" w:eastAsia="Times New Roman" w:hAnsi="Times New Roman" w:cs="Times New Roman"/>
                <w:color w:val="000000" w:themeColor="text1"/>
                <w:sz w:val="20"/>
                <w:szCs w:val="20"/>
              </w:rPr>
              <w:t>200</w:t>
            </w:r>
          </w:p>
        </w:tc>
        <w:tc>
          <w:tcPr>
            <w:tcW w:w="984" w:type="dxa"/>
            <w:gridSpan w:val="2"/>
            <w:shd w:val="clear" w:color="auto" w:fill="auto"/>
          </w:tcPr>
          <w:p w14:paraId="26B0AD2B"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300</w:t>
            </w:r>
          </w:p>
        </w:tc>
        <w:tc>
          <w:tcPr>
            <w:tcW w:w="992" w:type="dxa"/>
            <w:shd w:val="clear" w:color="auto" w:fill="auto"/>
          </w:tcPr>
          <w:p w14:paraId="62F0229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300</w:t>
            </w:r>
          </w:p>
        </w:tc>
        <w:tc>
          <w:tcPr>
            <w:tcW w:w="1135" w:type="dxa"/>
            <w:shd w:val="clear" w:color="auto" w:fill="auto"/>
          </w:tcPr>
          <w:p w14:paraId="316BB7C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300</w:t>
            </w:r>
          </w:p>
        </w:tc>
        <w:tc>
          <w:tcPr>
            <w:tcW w:w="1417" w:type="dxa"/>
            <w:gridSpan w:val="2"/>
            <w:shd w:val="clear" w:color="auto" w:fill="auto"/>
          </w:tcPr>
          <w:p w14:paraId="0C75F442"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300</w:t>
            </w:r>
          </w:p>
        </w:tc>
      </w:tr>
      <w:tr w:rsidR="001C2BA2" w:rsidRPr="00F562A8" w14:paraId="672DB3E8" w14:textId="77777777" w:rsidTr="006131C6">
        <w:trPr>
          <w:trHeight w:val="203"/>
          <w:jc w:val="center"/>
        </w:trPr>
        <w:tc>
          <w:tcPr>
            <w:tcW w:w="13472" w:type="dxa"/>
            <w:gridSpan w:val="15"/>
            <w:shd w:val="clear" w:color="auto" w:fill="auto"/>
          </w:tcPr>
          <w:p w14:paraId="391884CF"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r w:rsidRPr="00F562A8">
              <w:rPr>
                <w:rFonts w:ascii="Times New Roman" w:eastAsia="Times New Roman" w:hAnsi="Times New Roman" w:cs="Times New Roman"/>
                <w:b/>
                <w:color w:val="000000" w:themeColor="text1"/>
                <w:sz w:val="20"/>
                <w:szCs w:val="20"/>
              </w:rPr>
              <w:t>Цена реализации, руб./кг</w:t>
            </w:r>
          </w:p>
        </w:tc>
        <w:tc>
          <w:tcPr>
            <w:tcW w:w="1417" w:type="dxa"/>
            <w:gridSpan w:val="2"/>
            <w:shd w:val="clear" w:color="auto" w:fill="auto"/>
          </w:tcPr>
          <w:p w14:paraId="7CABD595"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p>
        </w:tc>
      </w:tr>
      <w:tr w:rsidR="001C2BA2" w:rsidRPr="00F562A8" w14:paraId="3CDA87B4" w14:textId="77777777" w:rsidTr="006131C6">
        <w:trPr>
          <w:gridAfter w:val="1"/>
          <w:wAfter w:w="8" w:type="dxa"/>
          <w:trHeight w:val="203"/>
          <w:jc w:val="center"/>
        </w:trPr>
        <w:tc>
          <w:tcPr>
            <w:tcW w:w="1840" w:type="dxa"/>
          </w:tcPr>
          <w:p w14:paraId="5F5BB202"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Карп, руб./кг</w:t>
            </w:r>
          </w:p>
        </w:tc>
        <w:tc>
          <w:tcPr>
            <w:tcW w:w="707" w:type="dxa"/>
            <w:vAlign w:val="center"/>
          </w:tcPr>
          <w:p w14:paraId="5BC8D1B0"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2A23AF">
              <w:rPr>
                <w:rFonts w:ascii="Times New Roman" w:eastAsia="Times New Roman" w:hAnsi="Times New Roman" w:cs="Times New Roman"/>
                <w:color w:val="000000" w:themeColor="text1"/>
                <w:sz w:val="20"/>
                <w:szCs w:val="20"/>
              </w:rPr>
              <w:t>80,2</w:t>
            </w:r>
          </w:p>
        </w:tc>
        <w:tc>
          <w:tcPr>
            <w:tcW w:w="850" w:type="dxa"/>
            <w:vAlign w:val="center"/>
          </w:tcPr>
          <w:p w14:paraId="42213A68"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2A23AF">
              <w:rPr>
                <w:rFonts w:ascii="Times New Roman" w:eastAsia="Times New Roman" w:hAnsi="Times New Roman" w:cs="Times New Roman"/>
                <w:color w:val="000000" w:themeColor="text1"/>
                <w:sz w:val="20"/>
                <w:szCs w:val="20"/>
              </w:rPr>
              <w:t>103,7</w:t>
            </w:r>
          </w:p>
        </w:tc>
        <w:tc>
          <w:tcPr>
            <w:tcW w:w="995" w:type="dxa"/>
            <w:vAlign w:val="center"/>
          </w:tcPr>
          <w:p w14:paraId="0FCA901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2A23AF">
              <w:rPr>
                <w:rFonts w:ascii="Times New Roman" w:eastAsia="Times New Roman" w:hAnsi="Times New Roman" w:cs="Times New Roman"/>
                <w:color w:val="000000" w:themeColor="text1"/>
                <w:sz w:val="20"/>
                <w:szCs w:val="20"/>
              </w:rPr>
              <w:t>102,12</w:t>
            </w:r>
          </w:p>
        </w:tc>
        <w:tc>
          <w:tcPr>
            <w:tcW w:w="1425" w:type="dxa"/>
            <w:shd w:val="clear" w:color="auto" w:fill="auto"/>
            <w:vAlign w:val="center"/>
          </w:tcPr>
          <w:p w14:paraId="6906497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2A23AF">
              <w:rPr>
                <w:rFonts w:ascii="Times New Roman" w:eastAsia="Times New Roman" w:hAnsi="Times New Roman" w:cs="Times New Roman"/>
                <w:color w:val="000000" w:themeColor="text1"/>
                <w:sz w:val="20"/>
                <w:szCs w:val="20"/>
              </w:rPr>
              <w:t>103,05</w:t>
            </w:r>
          </w:p>
        </w:tc>
        <w:tc>
          <w:tcPr>
            <w:tcW w:w="1132" w:type="dxa"/>
            <w:gridSpan w:val="2"/>
            <w:shd w:val="clear" w:color="auto" w:fill="auto"/>
            <w:vAlign w:val="center"/>
          </w:tcPr>
          <w:p w14:paraId="313D8A9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922FFD">
              <w:rPr>
                <w:rFonts w:ascii="Times New Roman" w:eastAsia="Times New Roman" w:hAnsi="Times New Roman" w:cs="Times New Roman"/>
                <w:color w:val="000000" w:themeColor="text1"/>
                <w:sz w:val="20"/>
                <w:szCs w:val="20"/>
              </w:rPr>
              <w:t>100</w:t>
            </w:r>
          </w:p>
        </w:tc>
        <w:tc>
          <w:tcPr>
            <w:tcW w:w="992" w:type="dxa"/>
            <w:shd w:val="clear" w:color="auto" w:fill="auto"/>
            <w:vAlign w:val="center"/>
          </w:tcPr>
          <w:p w14:paraId="20FB72D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922FFD">
              <w:rPr>
                <w:rFonts w:ascii="Times New Roman" w:eastAsia="Times New Roman" w:hAnsi="Times New Roman" w:cs="Times New Roman"/>
                <w:color w:val="000000" w:themeColor="text1"/>
                <w:sz w:val="20"/>
                <w:szCs w:val="20"/>
              </w:rPr>
              <w:t>120</w:t>
            </w:r>
          </w:p>
        </w:tc>
        <w:tc>
          <w:tcPr>
            <w:tcW w:w="992" w:type="dxa"/>
            <w:shd w:val="clear" w:color="auto" w:fill="auto"/>
            <w:vAlign w:val="center"/>
          </w:tcPr>
          <w:p w14:paraId="697178B8"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922FFD">
              <w:rPr>
                <w:rFonts w:ascii="Times New Roman" w:eastAsia="Times New Roman" w:hAnsi="Times New Roman" w:cs="Times New Roman"/>
                <w:color w:val="000000" w:themeColor="text1"/>
                <w:sz w:val="20"/>
                <w:szCs w:val="20"/>
              </w:rPr>
              <w:t>120</w:t>
            </w:r>
          </w:p>
        </w:tc>
        <w:tc>
          <w:tcPr>
            <w:tcW w:w="1420" w:type="dxa"/>
            <w:shd w:val="clear" w:color="auto" w:fill="auto"/>
            <w:vAlign w:val="center"/>
          </w:tcPr>
          <w:p w14:paraId="41312A2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922FFD">
              <w:rPr>
                <w:rFonts w:ascii="Times New Roman" w:eastAsia="Times New Roman" w:hAnsi="Times New Roman" w:cs="Times New Roman"/>
                <w:color w:val="000000" w:themeColor="text1"/>
                <w:sz w:val="20"/>
                <w:szCs w:val="20"/>
              </w:rPr>
              <w:t>122,66</w:t>
            </w:r>
          </w:p>
        </w:tc>
        <w:tc>
          <w:tcPr>
            <w:tcW w:w="984" w:type="dxa"/>
            <w:gridSpan w:val="2"/>
            <w:shd w:val="clear" w:color="auto" w:fill="auto"/>
          </w:tcPr>
          <w:p w14:paraId="162ABE9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100</w:t>
            </w:r>
          </w:p>
        </w:tc>
        <w:tc>
          <w:tcPr>
            <w:tcW w:w="992" w:type="dxa"/>
            <w:shd w:val="clear" w:color="auto" w:fill="auto"/>
          </w:tcPr>
          <w:p w14:paraId="00DE3E9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00</w:t>
            </w:r>
          </w:p>
        </w:tc>
        <w:tc>
          <w:tcPr>
            <w:tcW w:w="1135" w:type="dxa"/>
            <w:shd w:val="clear" w:color="auto" w:fill="auto"/>
          </w:tcPr>
          <w:p w14:paraId="6914B06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0</w:t>
            </w:r>
            <w:r w:rsidRPr="00F562A8">
              <w:rPr>
                <w:rFonts w:ascii="Times New Roman" w:eastAsia="Times New Roman" w:hAnsi="Times New Roman" w:cs="Times New Roman"/>
                <w:color w:val="000000" w:themeColor="text1"/>
                <w:sz w:val="20"/>
                <w:szCs w:val="20"/>
              </w:rPr>
              <w:t>0</w:t>
            </w:r>
          </w:p>
        </w:tc>
        <w:tc>
          <w:tcPr>
            <w:tcW w:w="1417" w:type="dxa"/>
            <w:gridSpan w:val="2"/>
            <w:shd w:val="clear" w:color="auto" w:fill="auto"/>
          </w:tcPr>
          <w:p w14:paraId="59C02F1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08</w:t>
            </w:r>
            <w:r w:rsidRPr="00F562A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71</w:t>
            </w:r>
          </w:p>
        </w:tc>
      </w:tr>
      <w:tr w:rsidR="001C2BA2" w:rsidRPr="00F562A8" w14:paraId="31CE6D98" w14:textId="77777777" w:rsidTr="006131C6">
        <w:trPr>
          <w:gridAfter w:val="1"/>
          <w:wAfter w:w="8" w:type="dxa"/>
          <w:trHeight w:val="203"/>
          <w:jc w:val="center"/>
        </w:trPr>
        <w:tc>
          <w:tcPr>
            <w:tcW w:w="1840" w:type="dxa"/>
          </w:tcPr>
          <w:p w14:paraId="2694C6C7"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Толстолобик, руб./кг</w:t>
            </w:r>
          </w:p>
        </w:tc>
        <w:tc>
          <w:tcPr>
            <w:tcW w:w="707" w:type="dxa"/>
            <w:vAlign w:val="center"/>
          </w:tcPr>
          <w:p w14:paraId="349A979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2A23AF">
              <w:rPr>
                <w:rFonts w:ascii="Times New Roman" w:eastAsia="Times New Roman" w:hAnsi="Times New Roman" w:cs="Times New Roman"/>
                <w:color w:val="000000" w:themeColor="text1"/>
                <w:sz w:val="20"/>
                <w:szCs w:val="20"/>
              </w:rPr>
              <w:t>51,77</w:t>
            </w:r>
          </w:p>
        </w:tc>
        <w:tc>
          <w:tcPr>
            <w:tcW w:w="850" w:type="dxa"/>
            <w:vAlign w:val="center"/>
          </w:tcPr>
          <w:p w14:paraId="29B6206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2A23AF">
              <w:rPr>
                <w:rFonts w:ascii="Times New Roman" w:eastAsia="Times New Roman" w:hAnsi="Times New Roman" w:cs="Times New Roman"/>
                <w:color w:val="000000" w:themeColor="text1"/>
                <w:sz w:val="20"/>
                <w:szCs w:val="20"/>
              </w:rPr>
              <w:t>84,3</w:t>
            </w:r>
          </w:p>
        </w:tc>
        <w:tc>
          <w:tcPr>
            <w:tcW w:w="995" w:type="dxa"/>
            <w:vAlign w:val="center"/>
          </w:tcPr>
          <w:p w14:paraId="4B069B49"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2A23AF">
              <w:rPr>
                <w:rFonts w:ascii="Times New Roman" w:eastAsia="Times New Roman" w:hAnsi="Times New Roman" w:cs="Times New Roman"/>
                <w:color w:val="000000" w:themeColor="text1"/>
                <w:sz w:val="20"/>
                <w:szCs w:val="20"/>
              </w:rPr>
              <w:t>77</w:t>
            </w:r>
          </w:p>
        </w:tc>
        <w:tc>
          <w:tcPr>
            <w:tcW w:w="1425" w:type="dxa"/>
            <w:shd w:val="clear" w:color="auto" w:fill="auto"/>
            <w:vAlign w:val="center"/>
          </w:tcPr>
          <w:p w14:paraId="5780275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2A23AF">
              <w:rPr>
                <w:rFonts w:ascii="Times New Roman" w:eastAsia="Times New Roman" w:hAnsi="Times New Roman" w:cs="Times New Roman"/>
                <w:color w:val="000000" w:themeColor="text1"/>
                <w:sz w:val="20"/>
                <w:szCs w:val="20"/>
              </w:rPr>
              <w:t>76,54</w:t>
            </w:r>
          </w:p>
        </w:tc>
        <w:tc>
          <w:tcPr>
            <w:tcW w:w="1132" w:type="dxa"/>
            <w:gridSpan w:val="2"/>
            <w:shd w:val="clear" w:color="auto" w:fill="auto"/>
            <w:vAlign w:val="center"/>
          </w:tcPr>
          <w:p w14:paraId="6A7337E8"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922FFD">
              <w:rPr>
                <w:rFonts w:ascii="Times New Roman" w:eastAsia="Times New Roman" w:hAnsi="Times New Roman" w:cs="Times New Roman"/>
                <w:color w:val="000000" w:themeColor="text1"/>
                <w:sz w:val="20"/>
                <w:szCs w:val="20"/>
              </w:rPr>
              <w:t>60</w:t>
            </w:r>
          </w:p>
        </w:tc>
        <w:tc>
          <w:tcPr>
            <w:tcW w:w="992" w:type="dxa"/>
            <w:shd w:val="clear" w:color="auto" w:fill="auto"/>
            <w:vAlign w:val="center"/>
          </w:tcPr>
          <w:p w14:paraId="6134BBA9" w14:textId="77777777" w:rsidR="001C2BA2" w:rsidRPr="00922FFD" w:rsidRDefault="001C2BA2" w:rsidP="006131C6">
            <w:pPr>
              <w:spacing w:line="276" w:lineRule="auto"/>
              <w:jc w:val="center"/>
              <w:rPr>
                <w:rFonts w:ascii="Times New Roman" w:eastAsia="Times New Roman" w:hAnsi="Times New Roman" w:cs="Times New Roman"/>
                <w:color w:val="000000" w:themeColor="text1"/>
                <w:sz w:val="20"/>
                <w:szCs w:val="20"/>
              </w:rPr>
            </w:pPr>
            <w:r w:rsidRPr="00922FFD">
              <w:rPr>
                <w:rFonts w:ascii="Times New Roman" w:eastAsia="Times New Roman" w:hAnsi="Times New Roman" w:cs="Times New Roman"/>
                <w:color w:val="000000" w:themeColor="text1"/>
                <w:sz w:val="20"/>
                <w:szCs w:val="20"/>
              </w:rPr>
              <w:t>70</w:t>
            </w:r>
          </w:p>
        </w:tc>
        <w:tc>
          <w:tcPr>
            <w:tcW w:w="992" w:type="dxa"/>
            <w:shd w:val="clear" w:color="auto" w:fill="auto"/>
            <w:vAlign w:val="center"/>
          </w:tcPr>
          <w:p w14:paraId="3F103051" w14:textId="77777777" w:rsidR="001C2BA2" w:rsidRPr="00922FFD" w:rsidRDefault="001C2BA2" w:rsidP="006131C6">
            <w:pPr>
              <w:spacing w:line="276" w:lineRule="auto"/>
              <w:jc w:val="center"/>
              <w:rPr>
                <w:rFonts w:ascii="Times New Roman" w:eastAsia="Times New Roman" w:hAnsi="Times New Roman" w:cs="Times New Roman"/>
                <w:color w:val="000000" w:themeColor="text1"/>
                <w:sz w:val="20"/>
                <w:szCs w:val="20"/>
              </w:rPr>
            </w:pPr>
            <w:r w:rsidRPr="00922FFD">
              <w:rPr>
                <w:rFonts w:ascii="Times New Roman" w:eastAsia="Times New Roman" w:hAnsi="Times New Roman" w:cs="Times New Roman"/>
                <w:color w:val="000000" w:themeColor="text1"/>
                <w:sz w:val="20"/>
                <w:szCs w:val="20"/>
              </w:rPr>
              <w:t>70</w:t>
            </w:r>
          </w:p>
        </w:tc>
        <w:tc>
          <w:tcPr>
            <w:tcW w:w="1420" w:type="dxa"/>
            <w:shd w:val="clear" w:color="auto" w:fill="auto"/>
            <w:vAlign w:val="center"/>
          </w:tcPr>
          <w:p w14:paraId="6B1A58CF" w14:textId="77777777" w:rsidR="001C2BA2" w:rsidRPr="00922FFD" w:rsidRDefault="001C2BA2" w:rsidP="006131C6">
            <w:pPr>
              <w:spacing w:line="276" w:lineRule="auto"/>
              <w:jc w:val="center"/>
              <w:rPr>
                <w:rFonts w:ascii="Times New Roman" w:eastAsia="Times New Roman" w:hAnsi="Times New Roman" w:cs="Times New Roman"/>
                <w:color w:val="000000" w:themeColor="text1"/>
                <w:sz w:val="20"/>
                <w:szCs w:val="20"/>
              </w:rPr>
            </w:pPr>
            <w:r w:rsidRPr="00922FFD">
              <w:rPr>
                <w:rFonts w:ascii="Times New Roman" w:eastAsia="Times New Roman" w:hAnsi="Times New Roman" w:cs="Times New Roman"/>
                <w:color w:val="000000" w:themeColor="text1"/>
                <w:sz w:val="20"/>
                <w:szCs w:val="20"/>
              </w:rPr>
              <w:t>72,20</w:t>
            </w:r>
          </w:p>
        </w:tc>
        <w:tc>
          <w:tcPr>
            <w:tcW w:w="984" w:type="dxa"/>
            <w:gridSpan w:val="2"/>
            <w:shd w:val="clear" w:color="auto" w:fill="auto"/>
            <w:vAlign w:val="center"/>
          </w:tcPr>
          <w:p w14:paraId="6CCDDEAE"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w:t>
            </w:r>
            <w:r w:rsidRPr="00F562A8">
              <w:rPr>
                <w:rFonts w:ascii="Times New Roman" w:eastAsia="Times New Roman" w:hAnsi="Times New Roman" w:cs="Times New Roman"/>
                <w:color w:val="000000" w:themeColor="text1"/>
                <w:sz w:val="20"/>
                <w:szCs w:val="20"/>
              </w:rPr>
              <w:t>0</w:t>
            </w:r>
          </w:p>
        </w:tc>
        <w:tc>
          <w:tcPr>
            <w:tcW w:w="992" w:type="dxa"/>
            <w:shd w:val="clear" w:color="auto" w:fill="auto"/>
            <w:vAlign w:val="center"/>
          </w:tcPr>
          <w:p w14:paraId="30E49F3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w:t>
            </w:r>
            <w:r w:rsidRPr="00F562A8">
              <w:rPr>
                <w:rFonts w:ascii="Times New Roman" w:eastAsia="Times New Roman" w:hAnsi="Times New Roman" w:cs="Times New Roman"/>
                <w:color w:val="000000" w:themeColor="text1"/>
                <w:sz w:val="20"/>
                <w:szCs w:val="20"/>
              </w:rPr>
              <w:t>0</w:t>
            </w:r>
          </w:p>
        </w:tc>
        <w:tc>
          <w:tcPr>
            <w:tcW w:w="1135" w:type="dxa"/>
            <w:shd w:val="clear" w:color="auto" w:fill="auto"/>
            <w:vAlign w:val="center"/>
          </w:tcPr>
          <w:p w14:paraId="4DBBD68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w:t>
            </w:r>
            <w:r w:rsidRPr="00F562A8">
              <w:rPr>
                <w:rFonts w:ascii="Times New Roman" w:eastAsia="Times New Roman" w:hAnsi="Times New Roman" w:cs="Times New Roman"/>
                <w:color w:val="000000" w:themeColor="text1"/>
                <w:sz w:val="20"/>
                <w:szCs w:val="20"/>
              </w:rPr>
              <w:t>0</w:t>
            </w:r>
          </w:p>
        </w:tc>
        <w:tc>
          <w:tcPr>
            <w:tcW w:w="1417" w:type="dxa"/>
            <w:gridSpan w:val="2"/>
            <w:shd w:val="clear" w:color="auto" w:fill="auto"/>
            <w:vAlign w:val="center"/>
          </w:tcPr>
          <w:p w14:paraId="3A217D3D"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76,10</w:t>
            </w:r>
          </w:p>
        </w:tc>
      </w:tr>
      <w:tr w:rsidR="001C2BA2" w:rsidRPr="00F562A8" w14:paraId="16E8D072" w14:textId="77777777" w:rsidTr="006131C6">
        <w:trPr>
          <w:trHeight w:val="203"/>
          <w:jc w:val="center"/>
        </w:trPr>
        <w:tc>
          <w:tcPr>
            <w:tcW w:w="13472" w:type="dxa"/>
            <w:gridSpan w:val="15"/>
            <w:shd w:val="clear" w:color="auto" w:fill="auto"/>
          </w:tcPr>
          <w:p w14:paraId="574F314A"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r w:rsidRPr="00F562A8">
              <w:rPr>
                <w:rFonts w:ascii="Times New Roman" w:eastAsia="Times New Roman" w:hAnsi="Times New Roman" w:cs="Times New Roman"/>
                <w:b/>
                <w:color w:val="000000" w:themeColor="text1"/>
                <w:sz w:val="20"/>
                <w:szCs w:val="20"/>
              </w:rPr>
              <w:t>Сезонные затраты на выращивание, руб. на 1 га</w:t>
            </w:r>
          </w:p>
        </w:tc>
        <w:tc>
          <w:tcPr>
            <w:tcW w:w="1417" w:type="dxa"/>
            <w:gridSpan w:val="2"/>
            <w:shd w:val="clear" w:color="auto" w:fill="auto"/>
          </w:tcPr>
          <w:p w14:paraId="1422D241" w14:textId="77777777" w:rsidR="001C2BA2" w:rsidRPr="00F562A8" w:rsidRDefault="001C2BA2" w:rsidP="006131C6">
            <w:pPr>
              <w:spacing w:line="276" w:lineRule="auto"/>
              <w:jc w:val="center"/>
              <w:rPr>
                <w:rFonts w:ascii="Times New Roman" w:eastAsia="Times New Roman" w:hAnsi="Times New Roman" w:cs="Times New Roman"/>
                <w:b/>
                <w:color w:val="FF0000"/>
                <w:sz w:val="20"/>
                <w:szCs w:val="20"/>
              </w:rPr>
            </w:pPr>
          </w:p>
        </w:tc>
      </w:tr>
      <w:tr w:rsidR="001C2BA2" w:rsidRPr="00F562A8" w14:paraId="0F793C99" w14:textId="77777777" w:rsidTr="006131C6">
        <w:trPr>
          <w:gridAfter w:val="1"/>
          <w:wAfter w:w="8" w:type="dxa"/>
          <w:trHeight w:val="407"/>
          <w:jc w:val="center"/>
        </w:trPr>
        <w:tc>
          <w:tcPr>
            <w:tcW w:w="1840" w:type="dxa"/>
          </w:tcPr>
          <w:p w14:paraId="7C916E2B"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Карп, руб.</w:t>
            </w:r>
          </w:p>
        </w:tc>
        <w:tc>
          <w:tcPr>
            <w:tcW w:w="707" w:type="dxa"/>
            <w:vAlign w:val="center"/>
          </w:tcPr>
          <w:p w14:paraId="723C4FC5" w14:textId="77777777" w:rsidR="001C2BA2" w:rsidRPr="00F562A8" w:rsidRDefault="001C2BA2" w:rsidP="006131C6">
            <w:pPr>
              <w:spacing w:line="276" w:lineRule="auto"/>
              <w:ind w:right="-107"/>
              <w:jc w:val="center"/>
              <w:rPr>
                <w:rFonts w:ascii="Times New Roman" w:eastAsia="Times New Roman" w:hAnsi="Times New Roman" w:cs="Times New Roman"/>
                <w:color w:val="000000" w:themeColor="text1"/>
                <w:sz w:val="20"/>
                <w:szCs w:val="20"/>
              </w:rPr>
            </w:pPr>
            <w:r w:rsidRPr="002A23AF">
              <w:rPr>
                <w:rFonts w:ascii="Times New Roman" w:eastAsia="Times New Roman" w:hAnsi="Times New Roman" w:cs="Times New Roman"/>
                <w:color w:val="000000" w:themeColor="text1"/>
                <w:sz w:val="20"/>
                <w:szCs w:val="20"/>
              </w:rPr>
              <w:t>268,33</w:t>
            </w:r>
          </w:p>
        </w:tc>
        <w:tc>
          <w:tcPr>
            <w:tcW w:w="850" w:type="dxa"/>
            <w:vAlign w:val="center"/>
          </w:tcPr>
          <w:p w14:paraId="0ECD24FE" w14:textId="77777777" w:rsidR="001C2BA2" w:rsidRPr="00F562A8" w:rsidRDefault="001C2BA2" w:rsidP="006131C6">
            <w:pPr>
              <w:spacing w:line="276" w:lineRule="auto"/>
              <w:ind w:left="-14" w:right="-107"/>
              <w:jc w:val="center"/>
              <w:rPr>
                <w:rFonts w:ascii="Times New Roman" w:eastAsia="Times New Roman" w:hAnsi="Times New Roman" w:cs="Times New Roman"/>
                <w:color w:val="000000" w:themeColor="text1"/>
                <w:sz w:val="20"/>
                <w:szCs w:val="20"/>
              </w:rPr>
            </w:pPr>
            <w:r w:rsidRPr="002A23AF">
              <w:rPr>
                <w:rFonts w:ascii="Times New Roman" w:eastAsia="Times New Roman" w:hAnsi="Times New Roman" w:cs="Times New Roman"/>
                <w:color w:val="000000" w:themeColor="text1"/>
                <w:sz w:val="20"/>
                <w:szCs w:val="20"/>
              </w:rPr>
              <w:t>7048,63</w:t>
            </w:r>
          </w:p>
        </w:tc>
        <w:tc>
          <w:tcPr>
            <w:tcW w:w="995" w:type="dxa"/>
            <w:vAlign w:val="center"/>
          </w:tcPr>
          <w:p w14:paraId="6F10D174" w14:textId="77777777" w:rsidR="001C2BA2" w:rsidRPr="00F562A8" w:rsidRDefault="001C2BA2" w:rsidP="006131C6">
            <w:pPr>
              <w:spacing w:line="276" w:lineRule="auto"/>
              <w:ind w:right="-107"/>
              <w:jc w:val="center"/>
              <w:rPr>
                <w:rFonts w:ascii="Times New Roman" w:eastAsia="Times New Roman" w:hAnsi="Times New Roman" w:cs="Times New Roman"/>
                <w:color w:val="000000" w:themeColor="text1"/>
                <w:sz w:val="20"/>
                <w:szCs w:val="20"/>
              </w:rPr>
            </w:pPr>
            <w:r w:rsidRPr="002A23AF">
              <w:rPr>
                <w:rFonts w:ascii="Times New Roman" w:eastAsia="Times New Roman" w:hAnsi="Times New Roman" w:cs="Times New Roman"/>
                <w:color w:val="000000" w:themeColor="text1"/>
                <w:sz w:val="20"/>
                <w:szCs w:val="20"/>
              </w:rPr>
              <w:t>2414</w:t>
            </w:r>
          </w:p>
        </w:tc>
        <w:tc>
          <w:tcPr>
            <w:tcW w:w="1425" w:type="dxa"/>
            <w:shd w:val="clear" w:color="auto" w:fill="auto"/>
            <w:vAlign w:val="center"/>
          </w:tcPr>
          <w:p w14:paraId="73403D48" w14:textId="77777777" w:rsidR="001C2BA2" w:rsidRPr="00F562A8" w:rsidRDefault="001C2BA2" w:rsidP="006131C6">
            <w:pPr>
              <w:spacing w:line="276" w:lineRule="auto"/>
              <w:ind w:right="-107"/>
              <w:jc w:val="center"/>
              <w:rPr>
                <w:rFonts w:ascii="Times New Roman" w:eastAsia="Times New Roman" w:hAnsi="Times New Roman" w:cs="Times New Roman"/>
                <w:color w:val="000000" w:themeColor="text1"/>
                <w:sz w:val="20"/>
                <w:szCs w:val="20"/>
              </w:rPr>
            </w:pPr>
            <w:r w:rsidRPr="002A23AF">
              <w:rPr>
                <w:rFonts w:ascii="Times New Roman" w:eastAsia="Times New Roman" w:hAnsi="Times New Roman" w:cs="Times New Roman"/>
                <w:color w:val="000000" w:themeColor="text1"/>
                <w:sz w:val="20"/>
                <w:szCs w:val="20"/>
              </w:rPr>
              <w:t>3476,76</w:t>
            </w:r>
          </w:p>
        </w:tc>
        <w:tc>
          <w:tcPr>
            <w:tcW w:w="1132" w:type="dxa"/>
            <w:gridSpan w:val="2"/>
            <w:shd w:val="clear" w:color="auto" w:fill="auto"/>
            <w:vAlign w:val="center"/>
          </w:tcPr>
          <w:p w14:paraId="027BF3F6" w14:textId="77777777" w:rsidR="001C2BA2" w:rsidRPr="00F562A8" w:rsidRDefault="001C2BA2" w:rsidP="006131C6">
            <w:pPr>
              <w:spacing w:line="276" w:lineRule="auto"/>
              <w:ind w:left="-14" w:right="-107"/>
              <w:jc w:val="center"/>
              <w:rPr>
                <w:rFonts w:ascii="Times New Roman" w:eastAsia="Times New Roman" w:hAnsi="Times New Roman" w:cs="Times New Roman"/>
                <w:color w:val="000000" w:themeColor="text1"/>
                <w:sz w:val="20"/>
                <w:szCs w:val="20"/>
              </w:rPr>
            </w:pPr>
            <w:r w:rsidRPr="00922FFD">
              <w:rPr>
                <w:rFonts w:ascii="Times New Roman" w:eastAsia="Times New Roman" w:hAnsi="Times New Roman" w:cs="Times New Roman"/>
                <w:color w:val="000000" w:themeColor="text1"/>
                <w:sz w:val="20"/>
                <w:szCs w:val="20"/>
              </w:rPr>
              <w:t>19200</w:t>
            </w:r>
          </w:p>
        </w:tc>
        <w:tc>
          <w:tcPr>
            <w:tcW w:w="992" w:type="dxa"/>
            <w:shd w:val="clear" w:color="auto" w:fill="auto"/>
            <w:vAlign w:val="center"/>
          </w:tcPr>
          <w:p w14:paraId="684AE122" w14:textId="77777777" w:rsidR="001C2BA2" w:rsidRPr="00F562A8" w:rsidRDefault="001C2BA2" w:rsidP="006131C6">
            <w:pPr>
              <w:spacing w:line="276" w:lineRule="auto"/>
              <w:ind w:left="-14" w:right="-107"/>
              <w:jc w:val="center"/>
              <w:rPr>
                <w:rFonts w:ascii="Times New Roman" w:eastAsia="Times New Roman" w:hAnsi="Times New Roman" w:cs="Times New Roman"/>
                <w:color w:val="000000" w:themeColor="text1"/>
                <w:sz w:val="20"/>
                <w:szCs w:val="20"/>
              </w:rPr>
            </w:pPr>
            <w:r w:rsidRPr="00922FFD">
              <w:rPr>
                <w:rFonts w:ascii="Times New Roman" w:eastAsia="Times New Roman" w:hAnsi="Times New Roman" w:cs="Times New Roman"/>
                <w:color w:val="000000" w:themeColor="text1"/>
                <w:sz w:val="20"/>
                <w:szCs w:val="20"/>
              </w:rPr>
              <w:t>23100</w:t>
            </w:r>
          </w:p>
        </w:tc>
        <w:tc>
          <w:tcPr>
            <w:tcW w:w="992" w:type="dxa"/>
            <w:shd w:val="clear" w:color="auto" w:fill="auto"/>
            <w:vAlign w:val="center"/>
          </w:tcPr>
          <w:p w14:paraId="1BABBB1C" w14:textId="77777777" w:rsidR="001C2BA2" w:rsidRPr="00F562A8" w:rsidRDefault="001C2BA2" w:rsidP="006131C6">
            <w:pPr>
              <w:spacing w:line="276" w:lineRule="auto"/>
              <w:ind w:left="-14" w:right="-107"/>
              <w:jc w:val="center"/>
              <w:rPr>
                <w:rFonts w:ascii="Times New Roman" w:eastAsia="Times New Roman" w:hAnsi="Times New Roman" w:cs="Times New Roman"/>
                <w:color w:val="000000" w:themeColor="text1"/>
                <w:sz w:val="20"/>
                <w:szCs w:val="20"/>
              </w:rPr>
            </w:pPr>
            <w:r w:rsidRPr="00922FFD">
              <w:rPr>
                <w:rFonts w:ascii="Times New Roman" w:eastAsia="Times New Roman" w:hAnsi="Times New Roman" w:cs="Times New Roman"/>
                <w:color w:val="000000" w:themeColor="text1"/>
                <w:sz w:val="20"/>
                <w:szCs w:val="20"/>
              </w:rPr>
              <w:t>24000</w:t>
            </w:r>
          </w:p>
        </w:tc>
        <w:tc>
          <w:tcPr>
            <w:tcW w:w="1420" w:type="dxa"/>
            <w:shd w:val="clear" w:color="auto" w:fill="auto"/>
            <w:vAlign w:val="center"/>
          </w:tcPr>
          <w:p w14:paraId="2635DEEA" w14:textId="77777777" w:rsidR="001C2BA2" w:rsidRPr="00F562A8" w:rsidRDefault="001C2BA2" w:rsidP="006131C6">
            <w:pPr>
              <w:spacing w:line="276" w:lineRule="auto"/>
              <w:ind w:left="-14" w:right="-107"/>
              <w:jc w:val="center"/>
              <w:rPr>
                <w:rFonts w:ascii="Times New Roman" w:eastAsia="Times New Roman" w:hAnsi="Times New Roman" w:cs="Times New Roman"/>
                <w:color w:val="000000" w:themeColor="text1"/>
                <w:sz w:val="20"/>
                <w:szCs w:val="20"/>
              </w:rPr>
            </w:pPr>
            <w:r w:rsidRPr="00922FFD">
              <w:rPr>
                <w:rFonts w:ascii="Times New Roman" w:eastAsia="Times New Roman" w:hAnsi="Times New Roman" w:cs="Times New Roman"/>
                <w:color w:val="000000" w:themeColor="text1"/>
                <w:sz w:val="20"/>
                <w:szCs w:val="20"/>
              </w:rPr>
              <w:t>23893,16</w:t>
            </w:r>
          </w:p>
        </w:tc>
        <w:tc>
          <w:tcPr>
            <w:tcW w:w="984" w:type="dxa"/>
            <w:gridSpan w:val="2"/>
            <w:shd w:val="clear" w:color="auto" w:fill="auto"/>
          </w:tcPr>
          <w:p w14:paraId="7BB58441"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500</w:t>
            </w:r>
            <w:r w:rsidRPr="00F562A8">
              <w:rPr>
                <w:rFonts w:ascii="Times New Roman" w:eastAsia="Times New Roman" w:hAnsi="Times New Roman" w:cs="Times New Roman"/>
                <w:color w:val="000000" w:themeColor="text1"/>
                <w:sz w:val="20"/>
                <w:szCs w:val="20"/>
              </w:rPr>
              <w:t>0</w:t>
            </w:r>
          </w:p>
        </w:tc>
        <w:tc>
          <w:tcPr>
            <w:tcW w:w="992" w:type="dxa"/>
            <w:shd w:val="clear" w:color="auto" w:fill="auto"/>
          </w:tcPr>
          <w:p w14:paraId="7D9FBC3A"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500</w:t>
            </w:r>
            <w:r w:rsidRPr="00F562A8">
              <w:rPr>
                <w:rFonts w:ascii="Times New Roman" w:eastAsia="Times New Roman" w:hAnsi="Times New Roman" w:cs="Times New Roman"/>
                <w:color w:val="000000" w:themeColor="text1"/>
                <w:sz w:val="20"/>
                <w:szCs w:val="20"/>
              </w:rPr>
              <w:t>0</w:t>
            </w:r>
          </w:p>
        </w:tc>
        <w:tc>
          <w:tcPr>
            <w:tcW w:w="1135" w:type="dxa"/>
            <w:shd w:val="clear" w:color="auto" w:fill="auto"/>
          </w:tcPr>
          <w:p w14:paraId="7404FEC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500</w:t>
            </w:r>
            <w:r w:rsidRPr="00F562A8">
              <w:rPr>
                <w:rFonts w:ascii="Times New Roman" w:eastAsia="Times New Roman" w:hAnsi="Times New Roman" w:cs="Times New Roman"/>
                <w:color w:val="000000" w:themeColor="text1"/>
                <w:sz w:val="20"/>
                <w:szCs w:val="20"/>
              </w:rPr>
              <w:t>0</w:t>
            </w:r>
          </w:p>
        </w:tc>
        <w:tc>
          <w:tcPr>
            <w:tcW w:w="1417" w:type="dxa"/>
            <w:gridSpan w:val="2"/>
            <w:shd w:val="clear" w:color="auto" w:fill="auto"/>
          </w:tcPr>
          <w:p w14:paraId="7EAEB596"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5435,55</w:t>
            </w:r>
          </w:p>
        </w:tc>
      </w:tr>
      <w:tr w:rsidR="001C2BA2" w:rsidRPr="00F562A8" w14:paraId="3D26BCC3" w14:textId="77777777" w:rsidTr="006131C6">
        <w:trPr>
          <w:gridAfter w:val="1"/>
          <w:wAfter w:w="8" w:type="dxa"/>
          <w:trHeight w:val="278"/>
          <w:jc w:val="center"/>
        </w:trPr>
        <w:tc>
          <w:tcPr>
            <w:tcW w:w="1840" w:type="dxa"/>
          </w:tcPr>
          <w:p w14:paraId="39166BDC"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Толстолобик, руб.</w:t>
            </w:r>
          </w:p>
        </w:tc>
        <w:tc>
          <w:tcPr>
            <w:tcW w:w="707" w:type="dxa"/>
            <w:vAlign w:val="center"/>
          </w:tcPr>
          <w:p w14:paraId="2C34AC31" w14:textId="77777777" w:rsidR="001C2BA2" w:rsidRPr="00F562A8" w:rsidRDefault="001C2BA2" w:rsidP="006131C6">
            <w:pPr>
              <w:spacing w:line="276" w:lineRule="auto"/>
              <w:ind w:right="-107"/>
              <w:jc w:val="center"/>
              <w:rPr>
                <w:rFonts w:ascii="Times New Roman" w:eastAsia="Times New Roman" w:hAnsi="Times New Roman" w:cs="Times New Roman"/>
                <w:color w:val="000000" w:themeColor="text1"/>
                <w:sz w:val="20"/>
                <w:szCs w:val="20"/>
              </w:rPr>
            </w:pPr>
            <w:r w:rsidRPr="002A23AF">
              <w:rPr>
                <w:rFonts w:ascii="Times New Roman" w:eastAsia="Times New Roman" w:hAnsi="Times New Roman" w:cs="Times New Roman"/>
                <w:color w:val="000000" w:themeColor="text1"/>
                <w:sz w:val="20"/>
                <w:szCs w:val="20"/>
              </w:rPr>
              <w:t>913,18</w:t>
            </w:r>
          </w:p>
        </w:tc>
        <w:tc>
          <w:tcPr>
            <w:tcW w:w="850" w:type="dxa"/>
            <w:vAlign w:val="center"/>
          </w:tcPr>
          <w:p w14:paraId="7BBEA266" w14:textId="77777777" w:rsidR="001C2BA2" w:rsidRPr="00F562A8" w:rsidRDefault="001C2BA2" w:rsidP="006131C6">
            <w:pPr>
              <w:spacing w:line="276" w:lineRule="auto"/>
              <w:ind w:right="-107"/>
              <w:jc w:val="center"/>
              <w:rPr>
                <w:rFonts w:ascii="Times New Roman" w:eastAsia="Times New Roman" w:hAnsi="Times New Roman" w:cs="Times New Roman"/>
                <w:color w:val="000000" w:themeColor="text1"/>
                <w:sz w:val="20"/>
                <w:szCs w:val="20"/>
              </w:rPr>
            </w:pPr>
            <w:r w:rsidRPr="002A23AF">
              <w:rPr>
                <w:rFonts w:ascii="Times New Roman" w:eastAsia="Times New Roman" w:hAnsi="Times New Roman" w:cs="Times New Roman"/>
                <w:color w:val="000000" w:themeColor="text1"/>
                <w:sz w:val="20"/>
                <w:szCs w:val="20"/>
              </w:rPr>
              <w:t>4203,36</w:t>
            </w:r>
          </w:p>
        </w:tc>
        <w:tc>
          <w:tcPr>
            <w:tcW w:w="995" w:type="dxa"/>
            <w:vAlign w:val="center"/>
          </w:tcPr>
          <w:p w14:paraId="5B6911A6" w14:textId="77777777" w:rsidR="001C2BA2" w:rsidRPr="00F562A8" w:rsidRDefault="001C2BA2" w:rsidP="006131C6">
            <w:pPr>
              <w:spacing w:line="276" w:lineRule="auto"/>
              <w:ind w:right="-107"/>
              <w:jc w:val="center"/>
              <w:rPr>
                <w:rFonts w:ascii="Times New Roman" w:eastAsia="Times New Roman" w:hAnsi="Times New Roman" w:cs="Times New Roman"/>
                <w:color w:val="000000" w:themeColor="text1"/>
                <w:sz w:val="20"/>
                <w:szCs w:val="20"/>
              </w:rPr>
            </w:pPr>
            <w:r w:rsidRPr="002A23AF">
              <w:rPr>
                <w:rFonts w:ascii="Times New Roman" w:eastAsia="Times New Roman" w:hAnsi="Times New Roman" w:cs="Times New Roman"/>
                <w:color w:val="000000" w:themeColor="text1"/>
                <w:sz w:val="20"/>
                <w:szCs w:val="20"/>
              </w:rPr>
              <w:t>4818,7</w:t>
            </w:r>
          </w:p>
        </w:tc>
        <w:tc>
          <w:tcPr>
            <w:tcW w:w="1425" w:type="dxa"/>
            <w:shd w:val="clear" w:color="auto" w:fill="auto"/>
            <w:vAlign w:val="center"/>
          </w:tcPr>
          <w:p w14:paraId="68D6EB0A" w14:textId="77777777" w:rsidR="001C2BA2" w:rsidRPr="00F562A8" w:rsidRDefault="001C2BA2" w:rsidP="006131C6">
            <w:pPr>
              <w:spacing w:line="276" w:lineRule="auto"/>
              <w:ind w:right="-107"/>
              <w:jc w:val="center"/>
              <w:rPr>
                <w:rFonts w:ascii="Times New Roman" w:eastAsia="Times New Roman" w:hAnsi="Times New Roman" w:cs="Times New Roman"/>
                <w:color w:val="000000" w:themeColor="text1"/>
                <w:sz w:val="20"/>
                <w:szCs w:val="20"/>
              </w:rPr>
            </w:pPr>
            <w:r w:rsidRPr="002A23AF">
              <w:rPr>
                <w:rFonts w:ascii="Times New Roman" w:eastAsia="Times New Roman" w:hAnsi="Times New Roman" w:cs="Times New Roman"/>
                <w:color w:val="000000" w:themeColor="text1"/>
                <w:sz w:val="20"/>
                <w:szCs w:val="20"/>
              </w:rPr>
              <w:t>3493,07</w:t>
            </w:r>
          </w:p>
        </w:tc>
        <w:tc>
          <w:tcPr>
            <w:tcW w:w="1132" w:type="dxa"/>
            <w:gridSpan w:val="2"/>
            <w:shd w:val="clear" w:color="auto" w:fill="auto"/>
            <w:vAlign w:val="center"/>
          </w:tcPr>
          <w:p w14:paraId="1803C164" w14:textId="77777777" w:rsidR="001C2BA2" w:rsidRPr="00F562A8" w:rsidRDefault="001C2BA2" w:rsidP="006131C6">
            <w:pPr>
              <w:spacing w:line="276" w:lineRule="auto"/>
              <w:ind w:left="-14" w:right="-107"/>
              <w:jc w:val="center"/>
              <w:rPr>
                <w:rFonts w:ascii="Times New Roman" w:eastAsia="Times New Roman" w:hAnsi="Times New Roman" w:cs="Times New Roman"/>
                <w:color w:val="000000" w:themeColor="text1"/>
                <w:sz w:val="20"/>
                <w:szCs w:val="20"/>
              </w:rPr>
            </w:pPr>
            <w:r w:rsidRPr="00922FFD">
              <w:rPr>
                <w:rFonts w:ascii="Times New Roman" w:eastAsia="Times New Roman" w:hAnsi="Times New Roman" w:cs="Times New Roman"/>
                <w:color w:val="000000" w:themeColor="text1"/>
                <w:sz w:val="20"/>
                <w:szCs w:val="20"/>
              </w:rPr>
              <w:t>2000</w:t>
            </w:r>
          </w:p>
        </w:tc>
        <w:tc>
          <w:tcPr>
            <w:tcW w:w="992" w:type="dxa"/>
            <w:shd w:val="clear" w:color="auto" w:fill="auto"/>
            <w:vAlign w:val="center"/>
          </w:tcPr>
          <w:p w14:paraId="631EDC3D" w14:textId="77777777" w:rsidR="001C2BA2" w:rsidRPr="00F562A8" w:rsidRDefault="001C2BA2" w:rsidP="006131C6">
            <w:pPr>
              <w:spacing w:line="276" w:lineRule="auto"/>
              <w:ind w:left="-14" w:right="-107"/>
              <w:jc w:val="center"/>
              <w:rPr>
                <w:rFonts w:ascii="Times New Roman" w:eastAsia="Times New Roman" w:hAnsi="Times New Roman" w:cs="Times New Roman"/>
                <w:color w:val="000000" w:themeColor="text1"/>
                <w:sz w:val="20"/>
                <w:szCs w:val="20"/>
              </w:rPr>
            </w:pPr>
            <w:r w:rsidRPr="00922FFD">
              <w:rPr>
                <w:rFonts w:ascii="Times New Roman" w:eastAsia="Times New Roman" w:hAnsi="Times New Roman" w:cs="Times New Roman"/>
                <w:color w:val="000000" w:themeColor="text1"/>
                <w:sz w:val="20"/>
                <w:szCs w:val="20"/>
              </w:rPr>
              <w:t>2500</w:t>
            </w:r>
          </w:p>
        </w:tc>
        <w:tc>
          <w:tcPr>
            <w:tcW w:w="992" w:type="dxa"/>
            <w:shd w:val="clear" w:color="auto" w:fill="auto"/>
            <w:vAlign w:val="center"/>
          </w:tcPr>
          <w:p w14:paraId="31F3F1DE" w14:textId="77777777" w:rsidR="001C2BA2" w:rsidRPr="00F562A8" w:rsidRDefault="001C2BA2" w:rsidP="006131C6">
            <w:pPr>
              <w:spacing w:line="276" w:lineRule="auto"/>
              <w:ind w:left="-14" w:right="-107"/>
              <w:jc w:val="center"/>
              <w:rPr>
                <w:rFonts w:ascii="Times New Roman" w:eastAsia="Times New Roman" w:hAnsi="Times New Roman" w:cs="Times New Roman"/>
                <w:color w:val="000000" w:themeColor="text1"/>
                <w:sz w:val="20"/>
                <w:szCs w:val="20"/>
              </w:rPr>
            </w:pPr>
            <w:r w:rsidRPr="00922FFD">
              <w:rPr>
                <w:rFonts w:ascii="Times New Roman" w:eastAsia="Times New Roman" w:hAnsi="Times New Roman" w:cs="Times New Roman"/>
                <w:color w:val="000000" w:themeColor="text1"/>
                <w:sz w:val="20"/>
                <w:szCs w:val="20"/>
              </w:rPr>
              <w:t>2800</w:t>
            </w:r>
          </w:p>
        </w:tc>
        <w:tc>
          <w:tcPr>
            <w:tcW w:w="1420" w:type="dxa"/>
            <w:shd w:val="clear" w:color="auto" w:fill="auto"/>
            <w:vAlign w:val="center"/>
          </w:tcPr>
          <w:p w14:paraId="7692A617" w14:textId="77777777" w:rsidR="001C2BA2" w:rsidRPr="00F562A8" w:rsidRDefault="001C2BA2" w:rsidP="006131C6">
            <w:pPr>
              <w:spacing w:line="276" w:lineRule="auto"/>
              <w:ind w:left="-14" w:right="-107"/>
              <w:jc w:val="center"/>
              <w:rPr>
                <w:rFonts w:ascii="Times New Roman" w:eastAsia="Times New Roman" w:hAnsi="Times New Roman" w:cs="Times New Roman"/>
                <w:color w:val="000000" w:themeColor="text1"/>
                <w:sz w:val="20"/>
                <w:szCs w:val="20"/>
              </w:rPr>
            </w:pPr>
            <w:r w:rsidRPr="00922FFD">
              <w:rPr>
                <w:rFonts w:ascii="Times New Roman" w:eastAsia="Times New Roman" w:hAnsi="Times New Roman" w:cs="Times New Roman"/>
                <w:color w:val="000000" w:themeColor="text1"/>
                <w:sz w:val="20"/>
                <w:szCs w:val="20"/>
              </w:rPr>
              <w:t>2623,02</w:t>
            </w:r>
          </w:p>
        </w:tc>
        <w:tc>
          <w:tcPr>
            <w:tcW w:w="984" w:type="dxa"/>
            <w:gridSpan w:val="2"/>
            <w:shd w:val="clear" w:color="auto" w:fill="auto"/>
          </w:tcPr>
          <w:p w14:paraId="72FAB564"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rPr>
              <w:t>00</w:t>
            </w:r>
            <w:r w:rsidRPr="00F562A8">
              <w:rPr>
                <w:rFonts w:ascii="Times New Roman" w:eastAsia="Times New Roman" w:hAnsi="Times New Roman" w:cs="Times New Roman"/>
                <w:color w:val="000000" w:themeColor="text1"/>
                <w:sz w:val="20"/>
                <w:szCs w:val="20"/>
              </w:rPr>
              <w:t>0</w:t>
            </w:r>
          </w:p>
        </w:tc>
        <w:tc>
          <w:tcPr>
            <w:tcW w:w="992" w:type="dxa"/>
            <w:shd w:val="clear" w:color="auto" w:fill="auto"/>
          </w:tcPr>
          <w:p w14:paraId="170DB30B"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rPr>
              <w:t>00</w:t>
            </w:r>
            <w:r w:rsidRPr="00F562A8">
              <w:rPr>
                <w:rFonts w:ascii="Times New Roman" w:eastAsia="Times New Roman" w:hAnsi="Times New Roman" w:cs="Times New Roman"/>
                <w:color w:val="000000" w:themeColor="text1"/>
                <w:sz w:val="20"/>
                <w:szCs w:val="20"/>
              </w:rPr>
              <w:t>0</w:t>
            </w:r>
          </w:p>
        </w:tc>
        <w:tc>
          <w:tcPr>
            <w:tcW w:w="1135" w:type="dxa"/>
            <w:shd w:val="clear" w:color="auto" w:fill="auto"/>
          </w:tcPr>
          <w:p w14:paraId="039A6E43"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sidRPr="00F562A8">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rPr>
              <w:t>00</w:t>
            </w:r>
            <w:r w:rsidRPr="00F562A8">
              <w:rPr>
                <w:rFonts w:ascii="Times New Roman" w:eastAsia="Times New Roman" w:hAnsi="Times New Roman" w:cs="Times New Roman"/>
                <w:color w:val="000000" w:themeColor="text1"/>
                <w:sz w:val="20"/>
                <w:szCs w:val="20"/>
              </w:rPr>
              <w:t>0</w:t>
            </w:r>
          </w:p>
        </w:tc>
        <w:tc>
          <w:tcPr>
            <w:tcW w:w="1417" w:type="dxa"/>
            <w:gridSpan w:val="2"/>
            <w:shd w:val="clear" w:color="auto" w:fill="auto"/>
          </w:tcPr>
          <w:p w14:paraId="5684BBD5" w14:textId="77777777" w:rsidR="001C2BA2" w:rsidRPr="00F562A8" w:rsidRDefault="001C2BA2" w:rsidP="006131C6">
            <w:pPr>
              <w:spacing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5435,55</w:t>
            </w:r>
          </w:p>
        </w:tc>
      </w:tr>
    </w:tbl>
    <w:p w14:paraId="15688C62" w14:textId="77777777" w:rsidR="001C2BA2" w:rsidRPr="00F562A8" w:rsidRDefault="001C2BA2" w:rsidP="001C2BA2">
      <w:pPr>
        <w:spacing w:before="120" w:after="0" w:line="276" w:lineRule="auto"/>
        <w:ind w:firstLine="709"/>
        <w:jc w:val="both"/>
        <w:rPr>
          <w:rFonts w:ascii="Times New Roman" w:eastAsia="Times New Roman" w:hAnsi="Times New Roman" w:cs="Times New Roman"/>
          <w:color w:val="000000" w:themeColor="text1"/>
          <w:sz w:val="26"/>
          <w:szCs w:val="26"/>
        </w:rPr>
        <w:sectPr w:rsidR="001C2BA2" w:rsidRPr="00F562A8" w:rsidSect="006F1997">
          <w:pgSz w:w="16838" w:h="11906" w:orient="landscape"/>
          <w:pgMar w:top="1701" w:right="1134" w:bottom="851" w:left="1134" w:header="709" w:footer="709" w:gutter="0"/>
          <w:cols w:space="708"/>
          <w:docGrid w:linePitch="360"/>
        </w:sectPr>
      </w:pPr>
    </w:p>
    <w:p w14:paraId="66DE37CF" w14:textId="77777777" w:rsidR="001C2BA2" w:rsidRPr="00F562A8" w:rsidRDefault="001C2BA2" w:rsidP="001C2BA2">
      <w:pPr>
        <w:spacing w:before="120" w:after="0" w:line="276" w:lineRule="auto"/>
        <w:ind w:firstLine="567"/>
        <w:jc w:val="both"/>
        <w:rPr>
          <w:rFonts w:ascii="Times New Roman" w:eastAsia="Times New Roman" w:hAnsi="Times New Roman" w:cs="Times New Roman"/>
          <w:color w:val="000000" w:themeColor="text1"/>
          <w:sz w:val="26"/>
          <w:szCs w:val="26"/>
        </w:rPr>
      </w:pPr>
      <w:r w:rsidRPr="00F562A8">
        <w:rPr>
          <w:rFonts w:ascii="Times New Roman" w:eastAsia="Times New Roman" w:hAnsi="Times New Roman" w:cs="Times New Roman"/>
          <w:color w:val="000000" w:themeColor="text1"/>
          <w:sz w:val="26"/>
          <w:szCs w:val="26"/>
        </w:rPr>
        <w:t>Отсутствие затрат на корм, необходимый для выращивания толстолобика, рыбное хозяйство «Новый путь»</w:t>
      </w:r>
      <w:r>
        <w:rPr>
          <w:rFonts w:ascii="Times New Roman" w:eastAsia="Times New Roman" w:hAnsi="Times New Roman" w:cs="Times New Roman"/>
          <w:color w:val="000000" w:themeColor="text1"/>
          <w:sz w:val="26"/>
          <w:szCs w:val="26"/>
        </w:rPr>
        <w:t xml:space="preserve"> и «Овтеено»</w:t>
      </w:r>
      <w:r w:rsidRPr="00F562A8">
        <w:rPr>
          <w:rFonts w:ascii="Times New Roman" w:eastAsia="Times New Roman" w:hAnsi="Times New Roman" w:cs="Times New Roman"/>
          <w:color w:val="000000" w:themeColor="text1"/>
          <w:sz w:val="26"/>
          <w:szCs w:val="26"/>
        </w:rPr>
        <w:t xml:space="preserve"> объясня</w:t>
      </w:r>
      <w:r>
        <w:rPr>
          <w:rFonts w:ascii="Times New Roman" w:eastAsia="Times New Roman" w:hAnsi="Times New Roman" w:cs="Times New Roman"/>
          <w:color w:val="000000" w:themeColor="text1"/>
          <w:sz w:val="26"/>
          <w:szCs w:val="26"/>
        </w:rPr>
        <w:t>ю</w:t>
      </w:r>
      <w:r w:rsidRPr="00F562A8">
        <w:rPr>
          <w:rFonts w:ascii="Times New Roman" w:eastAsia="Times New Roman" w:hAnsi="Times New Roman" w:cs="Times New Roman"/>
          <w:color w:val="000000" w:themeColor="text1"/>
          <w:sz w:val="26"/>
          <w:szCs w:val="26"/>
        </w:rPr>
        <w:t>т тем, что толстолобик питается водорослями и остатками кормления карпа.</w:t>
      </w:r>
    </w:p>
    <w:p w14:paraId="760FE07B" w14:textId="61770E4D" w:rsidR="001C2BA2" w:rsidRPr="00F562A8" w:rsidRDefault="001C2BA2" w:rsidP="001C2BA2">
      <w:pPr>
        <w:widowControl w:val="0"/>
        <w:autoSpaceDE w:val="0"/>
        <w:autoSpaceDN w:val="0"/>
        <w:adjustRightInd w:val="0"/>
        <w:spacing w:after="0" w:line="276" w:lineRule="auto"/>
        <w:ind w:firstLine="567"/>
        <w:jc w:val="both"/>
        <w:rPr>
          <w:rFonts w:ascii="Times New Roman" w:eastAsia="Times New Roman" w:hAnsi="Times New Roman" w:cs="Times New Roman"/>
          <w:color w:val="000000" w:themeColor="text1"/>
          <w:sz w:val="26"/>
          <w:szCs w:val="26"/>
          <w:lang w:eastAsia="ru-RU"/>
        </w:rPr>
      </w:pPr>
      <w:r w:rsidRPr="00F562A8">
        <w:rPr>
          <w:rFonts w:ascii="Times New Roman" w:eastAsia="Times New Roman" w:hAnsi="Times New Roman" w:cs="Times New Roman"/>
          <w:color w:val="000000" w:themeColor="text1"/>
          <w:sz w:val="26"/>
          <w:szCs w:val="26"/>
          <w:lang w:eastAsia="ru-RU"/>
        </w:rPr>
        <w:t xml:space="preserve">Как отмечено ранее, чистый операционный доход (ЧОД) рассчитывается как разность между валовым доходом от продажи товарной рыбы и расходами на разведение рыбы. </w:t>
      </w:r>
      <w:r w:rsidR="00F1002E">
        <w:rPr>
          <w:rFonts w:ascii="Times New Roman" w:eastAsia="Times New Roman" w:hAnsi="Times New Roman" w:cs="Times New Roman"/>
          <w:color w:val="000000" w:themeColor="text1"/>
          <w:sz w:val="26"/>
          <w:szCs w:val="26"/>
          <w:lang w:eastAsia="ru-RU"/>
        </w:rPr>
        <w:t>Р</w:t>
      </w:r>
      <w:r w:rsidRPr="00F562A8">
        <w:rPr>
          <w:rFonts w:ascii="Times New Roman" w:eastAsia="Times New Roman" w:hAnsi="Times New Roman" w:cs="Times New Roman"/>
          <w:color w:val="000000" w:themeColor="text1"/>
          <w:sz w:val="26"/>
          <w:szCs w:val="26"/>
          <w:lang w:eastAsia="ru-RU"/>
        </w:rPr>
        <w:t xml:space="preserve">асчет ЧОД каждого рыбного хозяйства приведен </w:t>
      </w:r>
      <w:r w:rsidR="00F1002E">
        <w:rPr>
          <w:rFonts w:ascii="Times New Roman" w:eastAsia="Times New Roman" w:hAnsi="Times New Roman" w:cs="Times New Roman"/>
          <w:color w:val="000000" w:themeColor="text1"/>
          <w:sz w:val="26"/>
          <w:szCs w:val="26"/>
          <w:lang w:eastAsia="ru-RU"/>
        </w:rPr>
        <w:t>на листе расчета УПКС зеркала, Приложение 2/2.4</w:t>
      </w:r>
      <w:r w:rsidR="00C5226A">
        <w:rPr>
          <w:rFonts w:ascii="Times New Roman" w:eastAsia="Times New Roman" w:hAnsi="Times New Roman" w:cs="Times New Roman"/>
          <w:color w:val="000000" w:themeColor="text1"/>
          <w:sz w:val="26"/>
          <w:szCs w:val="26"/>
          <w:lang w:eastAsia="ru-RU"/>
        </w:rPr>
        <w:t>/2.4.1</w:t>
      </w:r>
      <w:r w:rsidR="00EE5E82">
        <w:rPr>
          <w:rFonts w:ascii="Times New Roman" w:eastAsia="Times New Roman" w:hAnsi="Times New Roman" w:cs="Times New Roman"/>
          <w:color w:val="000000" w:themeColor="text1"/>
          <w:sz w:val="26"/>
          <w:szCs w:val="26"/>
          <w:lang w:eastAsia="ru-RU"/>
        </w:rPr>
        <w:t>1</w:t>
      </w:r>
      <w:r w:rsidR="00F1002E">
        <w:rPr>
          <w:rFonts w:ascii="Times New Roman" w:eastAsia="Times New Roman" w:hAnsi="Times New Roman" w:cs="Times New Roman"/>
          <w:color w:val="000000" w:themeColor="text1"/>
          <w:sz w:val="26"/>
          <w:szCs w:val="26"/>
          <w:lang w:eastAsia="ru-RU"/>
        </w:rPr>
        <w:t>.</w:t>
      </w:r>
    </w:p>
    <w:p w14:paraId="5A23B82E" w14:textId="77777777" w:rsidR="001C2BA2" w:rsidRPr="00F562A8" w:rsidRDefault="001C2BA2" w:rsidP="001C2BA2">
      <w:pPr>
        <w:widowControl w:val="0"/>
        <w:autoSpaceDE w:val="0"/>
        <w:autoSpaceDN w:val="0"/>
        <w:adjustRightInd w:val="0"/>
        <w:spacing w:after="0" w:line="276" w:lineRule="auto"/>
        <w:ind w:firstLine="567"/>
        <w:jc w:val="both"/>
        <w:rPr>
          <w:rFonts w:ascii="Times New Roman" w:eastAsia="Times New Roman" w:hAnsi="Times New Roman" w:cs="Times New Roman"/>
          <w:color w:val="000000" w:themeColor="text1"/>
          <w:sz w:val="26"/>
          <w:szCs w:val="26"/>
          <w:lang w:eastAsia="ru-RU"/>
        </w:rPr>
      </w:pPr>
      <w:r w:rsidRPr="00F562A8">
        <w:rPr>
          <w:rFonts w:ascii="Times New Roman" w:eastAsia="Times New Roman" w:hAnsi="Times New Roman" w:cs="Times New Roman"/>
          <w:color w:val="000000" w:themeColor="text1"/>
          <w:sz w:val="26"/>
          <w:szCs w:val="26"/>
          <w:lang w:eastAsia="ru-RU"/>
        </w:rPr>
        <w:t>Рассчитанный ЧОД по каждому рыбному хозяйству приведен в таблице ниже.</w:t>
      </w:r>
    </w:p>
    <w:p w14:paraId="275DB353" w14:textId="6A4942C4" w:rsidR="001C2BA2" w:rsidRPr="00F562A8" w:rsidRDefault="001C2BA2" w:rsidP="001C2BA2">
      <w:pPr>
        <w:spacing w:after="0" w:line="276" w:lineRule="auto"/>
        <w:ind w:firstLine="709"/>
        <w:jc w:val="right"/>
        <w:rPr>
          <w:rFonts w:ascii="Times New Roman" w:eastAsia="Times New Roman" w:hAnsi="Times New Roman" w:cs="Times New Roman"/>
          <w:sz w:val="26"/>
          <w:szCs w:val="26"/>
        </w:rPr>
      </w:pPr>
      <w:r w:rsidRPr="00F562A8">
        <w:rPr>
          <w:rFonts w:ascii="Times New Roman" w:eastAsia="Times New Roman" w:hAnsi="Times New Roman" w:cs="Times New Roman"/>
          <w:sz w:val="26"/>
          <w:szCs w:val="26"/>
        </w:rPr>
        <w:t xml:space="preserve">Таблица </w:t>
      </w:r>
      <w:r w:rsidR="0099158F" w:rsidRPr="0099158F">
        <w:rPr>
          <w:rFonts w:ascii="Times New Roman" w:eastAsia="Times New Roman" w:hAnsi="Times New Roman" w:cs="Times New Roman"/>
          <w:sz w:val="26"/>
          <w:szCs w:val="26"/>
        </w:rPr>
        <w:t>3.6.1.2</w:t>
      </w:r>
      <w:r w:rsidR="0099158F">
        <w:rPr>
          <w:rFonts w:ascii="Times New Roman" w:eastAsia="Times New Roman" w:hAnsi="Times New Roman" w:cs="Times New Roman"/>
          <w:sz w:val="26"/>
          <w:szCs w:val="26"/>
        </w:rPr>
        <w:t>.3</w:t>
      </w:r>
    </w:p>
    <w:tbl>
      <w:tblPr>
        <w:tblStyle w:val="ae"/>
        <w:tblW w:w="0" w:type="auto"/>
        <w:tblLook w:val="04A0" w:firstRow="1" w:lastRow="0" w:firstColumn="1" w:lastColumn="0" w:noHBand="0" w:noVBand="1"/>
      </w:tblPr>
      <w:tblGrid>
        <w:gridCol w:w="3434"/>
        <w:gridCol w:w="3181"/>
        <w:gridCol w:w="2729"/>
      </w:tblGrid>
      <w:tr w:rsidR="001C2BA2" w:rsidRPr="00D85E6A" w14:paraId="43CA3D9D" w14:textId="77777777" w:rsidTr="00FE3C2D">
        <w:tc>
          <w:tcPr>
            <w:tcW w:w="3434" w:type="dxa"/>
          </w:tcPr>
          <w:p w14:paraId="5447B098" w14:textId="77777777" w:rsidR="001C2BA2" w:rsidRPr="00D85E6A" w:rsidRDefault="001C2BA2" w:rsidP="006131C6">
            <w:pPr>
              <w:widowControl w:val="0"/>
              <w:autoSpaceDE w:val="0"/>
              <w:autoSpaceDN w:val="0"/>
              <w:adjustRightInd w:val="0"/>
              <w:spacing w:line="276" w:lineRule="auto"/>
              <w:jc w:val="center"/>
              <w:rPr>
                <w:rFonts w:ascii="Times New Roman" w:eastAsia="Times New Roman" w:hAnsi="Times New Roman" w:cs="Times New Roman"/>
                <w:b/>
                <w:color w:val="000000" w:themeColor="text1"/>
              </w:rPr>
            </w:pPr>
            <w:r w:rsidRPr="00D85E6A">
              <w:rPr>
                <w:rFonts w:ascii="Times New Roman" w:eastAsia="Times New Roman" w:hAnsi="Times New Roman" w:cs="Times New Roman"/>
                <w:b/>
                <w:color w:val="000000" w:themeColor="text1"/>
              </w:rPr>
              <w:t>Наименование рыбхоза</w:t>
            </w:r>
          </w:p>
        </w:tc>
        <w:tc>
          <w:tcPr>
            <w:tcW w:w="3181" w:type="dxa"/>
          </w:tcPr>
          <w:p w14:paraId="5D4EA237" w14:textId="77777777" w:rsidR="001C2BA2" w:rsidRPr="00D85E6A" w:rsidRDefault="001C2BA2" w:rsidP="006131C6">
            <w:pPr>
              <w:widowControl w:val="0"/>
              <w:autoSpaceDE w:val="0"/>
              <w:autoSpaceDN w:val="0"/>
              <w:adjustRightInd w:val="0"/>
              <w:spacing w:line="276" w:lineRule="auto"/>
              <w:jc w:val="center"/>
              <w:rPr>
                <w:rFonts w:ascii="Times New Roman" w:eastAsia="Times New Roman" w:hAnsi="Times New Roman" w:cs="Times New Roman"/>
                <w:b/>
                <w:color w:val="000000" w:themeColor="text1"/>
              </w:rPr>
            </w:pPr>
            <w:r w:rsidRPr="00D85E6A">
              <w:rPr>
                <w:rFonts w:ascii="Times New Roman" w:eastAsia="Times New Roman" w:hAnsi="Times New Roman" w:cs="Times New Roman"/>
                <w:b/>
                <w:color w:val="000000" w:themeColor="text1"/>
              </w:rPr>
              <w:t>ЧОД, руб./Га</w:t>
            </w:r>
          </w:p>
        </w:tc>
        <w:tc>
          <w:tcPr>
            <w:tcW w:w="2729" w:type="dxa"/>
          </w:tcPr>
          <w:p w14:paraId="2CB20082" w14:textId="77777777" w:rsidR="001C2BA2" w:rsidRPr="00D85E6A" w:rsidRDefault="001C2BA2" w:rsidP="006131C6">
            <w:pPr>
              <w:widowControl w:val="0"/>
              <w:autoSpaceDE w:val="0"/>
              <w:autoSpaceDN w:val="0"/>
              <w:adjustRightInd w:val="0"/>
              <w:spacing w:line="276" w:lineRule="auto"/>
              <w:jc w:val="center"/>
              <w:rPr>
                <w:rFonts w:ascii="Times New Roman" w:eastAsia="Times New Roman" w:hAnsi="Times New Roman" w:cs="Times New Roman"/>
                <w:b/>
                <w:color w:val="000000" w:themeColor="text1"/>
                <w:vertAlign w:val="superscript"/>
              </w:rPr>
            </w:pPr>
            <w:r w:rsidRPr="00D85E6A">
              <w:rPr>
                <w:rFonts w:ascii="Times New Roman" w:eastAsia="Times New Roman" w:hAnsi="Times New Roman" w:cs="Times New Roman"/>
                <w:b/>
                <w:color w:val="000000" w:themeColor="text1"/>
              </w:rPr>
              <w:t>ЧОД, руб./м</w:t>
            </w:r>
            <w:r w:rsidRPr="00D85E6A">
              <w:rPr>
                <w:rFonts w:ascii="Times New Roman" w:eastAsia="Times New Roman" w:hAnsi="Times New Roman" w:cs="Times New Roman"/>
                <w:b/>
                <w:color w:val="000000" w:themeColor="text1"/>
                <w:vertAlign w:val="superscript"/>
              </w:rPr>
              <w:t>2</w:t>
            </w:r>
          </w:p>
        </w:tc>
      </w:tr>
      <w:tr w:rsidR="001C2BA2" w:rsidRPr="00D85E6A" w14:paraId="08B64616" w14:textId="77777777" w:rsidTr="00FE3C2D">
        <w:tc>
          <w:tcPr>
            <w:tcW w:w="3434" w:type="dxa"/>
          </w:tcPr>
          <w:p w14:paraId="40AA8754" w14:textId="77777777" w:rsidR="001C2BA2" w:rsidRPr="00D85E6A" w:rsidRDefault="001C2BA2" w:rsidP="006131C6">
            <w:pPr>
              <w:widowControl w:val="0"/>
              <w:autoSpaceDE w:val="0"/>
              <w:autoSpaceDN w:val="0"/>
              <w:adjustRightInd w:val="0"/>
              <w:spacing w:line="276" w:lineRule="auto"/>
              <w:jc w:val="center"/>
              <w:rPr>
                <w:rFonts w:ascii="Times New Roman" w:eastAsia="Times New Roman" w:hAnsi="Times New Roman" w:cs="Times New Roman"/>
                <w:color w:val="000000" w:themeColor="text1"/>
              </w:rPr>
            </w:pPr>
            <w:r w:rsidRPr="00D85E6A">
              <w:rPr>
                <w:rFonts w:ascii="Times New Roman" w:eastAsia="Times New Roman" w:hAnsi="Times New Roman" w:cs="Times New Roman"/>
                <w:color w:val="000000" w:themeColor="text1"/>
              </w:rPr>
              <w:t>ООО «Рыбхоз Березовский»</w:t>
            </w:r>
          </w:p>
        </w:tc>
        <w:tc>
          <w:tcPr>
            <w:tcW w:w="3181" w:type="dxa"/>
          </w:tcPr>
          <w:p w14:paraId="69166C71" w14:textId="77777777" w:rsidR="001C2BA2" w:rsidRPr="00D85E6A" w:rsidRDefault="001C2BA2" w:rsidP="006131C6">
            <w:pPr>
              <w:jc w:val="center"/>
              <w:rPr>
                <w:rFonts w:ascii="Times New Roman" w:hAnsi="Times New Roman" w:cs="Times New Roman"/>
              </w:rPr>
            </w:pPr>
            <w:r w:rsidRPr="00D85E6A">
              <w:rPr>
                <w:rFonts w:ascii="Times New Roman" w:hAnsi="Times New Roman" w:cs="Times New Roman"/>
                <w:sz w:val="22"/>
                <w:szCs w:val="22"/>
              </w:rPr>
              <w:t>67 646</w:t>
            </w:r>
          </w:p>
        </w:tc>
        <w:tc>
          <w:tcPr>
            <w:tcW w:w="2729" w:type="dxa"/>
          </w:tcPr>
          <w:p w14:paraId="1C4B1D78" w14:textId="77777777" w:rsidR="001C2BA2" w:rsidRPr="00D85E6A" w:rsidRDefault="001C2BA2" w:rsidP="006131C6">
            <w:pPr>
              <w:widowControl w:val="0"/>
              <w:autoSpaceDE w:val="0"/>
              <w:autoSpaceDN w:val="0"/>
              <w:adjustRightInd w:val="0"/>
              <w:spacing w:line="276" w:lineRule="auto"/>
              <w:jc w:val="center"/>
              <w:rPr>
                <w:rFonts w:ascii="Times New Roman" w:eastAsia="Times New Roman" w:hAnsi="Times New Roman" w:cs="Times New Roman"/>
                <w:color w:val="000000" w:themeColor="text1"/>
              </w:rPr>
            </w:pPr>
            <w:r w:rsidRPr="00D85E6A">
              <w:rPr>
                <w:rFonts w:ascii="Times New Roman" w:eastAsia="Times New Roman" w:hAnsi="Times New Roman" w:cs="Times New Roman"/>
                <w:color w:val="000000" w:themeColor="text1"/>
              </w:rPr>
              <w:t>6,7646</w:t>
            </w:r>
          </w:p>
        </w:tc>
      </w:tr>
      <w:tr w:rsidR="001C2BA2" w:rsidRPr="00D85E6A" w14:paraId="2064A579" w14:textId="77777777" w:rsidTr="00FE3C2D">
        <w:tc>
          <w:tcPr>
            <w:tcW w:w="3434" w:type="dxa"/>
          </w:tcPr>
          <w:p w14:paraId="53AB6407" w14:textId="77777777" w:rsidR="001C2BA2" w:rsidRPr="00D85E6A" w:rsidRDefault="001C2BA2" w:rsidP="006131C6">
            <w:pPr>
              <w:widowControl w:val="0"/>
              <w:autoSpaceDE w:val="0"/>
              <w:autoSpaceDN w:val="0"/>
              <w:adjustRightInd w:val="0"/>
              <w:spacing w:line="276" w:lineRule="auto"/>
              <w:jc w:val="center"/>
              <w:rPr>
                <w:rFonts w:ascii="Times New Roman" w:eastAsia="Times New Roman" w:hAnsi="Times New Roman" w:cs="Times New Roman"/>
                <w:color w:val="000000" w:themeColor="text1"/>
              </w:rPr>
            </w:pPr>
            <w:r w:rsidRPr="00D85E6A">
              <w:rPr>
                <w:rFonts w:ascii="Times New Roman" w:eastAsia="Times New Roman" w:hAnsi="Times New Roman" w:cs="Times New Roman"/>
                <w:color w:val="000000" w:themeColor="text1"/>
              </w:rPr>
              <w:t>ООО «ДОН»</w:t>
            </w:r>
          </w:p>
        </w:tc>
        <w:tc>
          <w:tcPr>
            <w:tcW w:w="3181" w:type="dxa"/>
          </w:tcPr>
          <w:p w14:paraId="7129368F" w14:textId="77777777" w:rsidR="001C2BA2" w:rsidRPr="00D85E6A" w:rsidRDefault="001C2BA2" w:rsidP="006131C6">
            <w:pPr>
              <w:jc w:val="center"/>
              <w:rPr>
                <w:rFonts w:ascii="Times New Roman" w:hAnsi="Times New Roman" w:cs="Times New Roman"/>
              </w:rPr>
            </w:pPr>
            <w:r w:rsidRPr="00D85E6A">
              <w:rPr>
                <w:rFonts w:ascii="Times New Roman" w:hAnsi="Times New Roman" w:cs="Times New Roman"/>
                <w:sz w:val="22"/>
                <w:szCs w:val="22"/>
              </w:rPr>
              <w:t>37 199</w:t>
            </w:r>
          </w:p>
        </w:tc>
        <w:tc>
          <w:tcPr>
            <w:tcW w:w="2729" w:type="dxa"/>
          </w:tcPr>
          <w:p w14:paraId="551EF9DE" w14:textId="77777777" w:rsidR="001C2BA2" w:rsidRPr="00D85E6A" w:rsidRDefault="001C2BA2" w:rsidP="006131C6">
            <w:pPr>
              <w:widowControl w:val="0"/>
              <w:autoSpaceDE w:val="0"/>
              <w:autoSpaceDN w:val="0"/>
              <w:adjustRightInd w:val="0"/>
              <w:spacing w:line="276" w:lineRule="auto"/>
              <w:jc w:val="center"/>
              <w:rPr>
                <w:rFonts w:ascii="Times New Roman" w:eastAsia="Times New Roman" w:hAnsi="Times New Roman" w:cs="Times New Roman"/>
                <w:color w:val="000000" w:themeColor="text1"/>
              </w:rPr>
            </w:pPr>
            <w:r w:rsidRPr="00D85E6A">
              <w:rPr>
                <w:rFonts w:ascii="Times New Roman" w:eastAsia="Times New Roman" w:hAnsi="Times New Roman" w:cs="Times New Roman"/>
                <w:color w:val="000000" w:themeColor="text1"/>
              </w:rPr>
              <w:t>3,7199</w:t>
            </w:r>
          </w:p>
        </w:tc>
      </w:tr>
      <w:tr w:rsidR="001C2BA2" w:rsidRPr="00D85E6A" w14:paraId="26B1EB4F" w14:textId="77777777" w:rsidTr="00FE3C2D">
        <w:tc>
          <w:tcPr>
            <w:tcW w:w="3434" w:type="dxa"/>
          </w:tcPr>
          <w:p w14:paraId="502CD50B" w14:textId="77777777" w:rsidR="001C2BA2" w:rsidRPr="00D85E6A" w:rsidRDefault="001C2BA2" w:rsidP="006131C6">
            <w:pPr>
              <w:widowControl w:val="0"/>
              <w:autoSpaceDE w:val="0"/>
              <w:autoSpaceDN w:val="0"/>
              <w:adjustRightInd w:val="0"/>
              <w:spacing w:line="276" w:lineRule="auto"/>
              <w:jc w:val="center"/>
              <w:rPr>
                <w:rFonts w:ascii="Times New Roman" w:eastAsia="Times New Roman" w:hAnsi="Times New Roman" w:cs="Times New Roman"/>
                <w:color w:val="000000" w:themeColor="text1"/>
              </w:rPr>
            </w:pPr>
            <w:r w:rsidRPr="00D85E6A">
              <w:rPr>
                <w:rFonts w:ascii="Times New Roman" w:eastAsia="Times New Roman" w:hAnsi="Times New Roman" w:cs="Times New Roman"/>
                <w:color w:val="000000" w:themeColor="text1"/>
              </w:rPr>
              <w:t>ООО рыбколхоз «Новый путь»</w:t>
            </w:r>
          </w:p>
        </w:tc>
        <w:tc>
          <w:tcPr>
            <w:tcW w:w="3181" w:type="dxa"/>
          </w:tcPr>
          <w:p w14:paraId="62F5E8C7" w14:textId="77777777" w:rsidR="001C2BA2" w:rsidRPr="00D85E6A" w:rsidRDefault="001C2BA2" w:rsidP="006131C6">
            <w:pPr>
              <w:jc w:val="center"/>
              <w:rPr>
                <w:rFonts w:ascii="Times New Roman" w:hAnsi="Times New Roman" w:cs="Times New Roman"/>
              </w:rPr>
            </w:pPr>
            <w:r w:rsidRPr="00D85E6A">
              <w:rPr>
                <w:rFonts w:ascii="Times New Roman" w:hAnsi="Times New Roman" w:cs="Times New Roman"/>
                <w:sz w:val="22"/>
                <w:szCs w:val="22"/>
              </w:rPr>
              <w:t>1 549</w:t>
            </w:r>
          </w:p>
        </w:tc>
        <w:tc>
          <w:tcPr>
            <w:tcW w:w="2729" w:type="dxa"/>
          </w:tcPr>
          <w:p w14:paraId="0EEFF5B5" w14:textId="77777777" w:rsidR="001C2BA2" w:rsidRPr="00D85E6A" w:rsidRDefault="001C2BA2" w:rsidP="006131C6">
            <w:pPr>
              <w:widowControl w:val="0"/>
              <w:autoSpaceDE w:val="0"/>
              <w:autoSpaceDN w:val="0"/>
              <w:adjustRightInd w:val="0"/>
              <w:spacing w:line="276" w:lineRule="auto"/>
              <w:jc w:val="center"/>
              <w:rPr>
                <w:rFonts w:ascii="Times New Roman" w:eastAsia="Times New Roman" w:hAnsi="Times New Roman" w:cs="Times New Roman"/>
                <w:color w:val="000000" w:themeColor="text1"/>
              </w:rPr>
            </w:pPr>
            <w:r w:rsidRPr="00D85E6A">
              <w:rPr>
                <w:rFonts w:ascii="Times New Roman" w:eastAsia="Times New Roman" w:hAnsi="Times New Roman" w:cs="Times New Roman"/>
                <w:color w:val="000000" w:themeColor="text1"/>
              </w:rPr>
              <w:t>0,1549</w:t>
            </w:r>
          </w:p>
        </w:tc>
      </w:tr>
      <w:tr w:rsidR="001C2BA2" w:rsidRPr="00D85E6A" w14:paraId="6A496D84" w14:textId="77777777" w:rsidTr="00FE3C2D">
        <w:tc>
          <w:tcPr>
            <w:tcW w:w="3434" w:type="dxa"/>
          </w:tcPr>
          <w:p w14:paraId="129D0547" w14:textId="77777777" w:rsidR="001C2BA2" w:rsidRPr="00D85E6A" w:rsidRDefault="001C2BA2" w:rsidP="006131C6">
            <w:pPr>
              <w:widowControl w:val="0"/>
              <w:autoSpaceDE w:val="0"/>
              <w:autoSpaceDN w:val="0"/>
              <w:adjustRightInd w:val="0"/>
              <w:spacing w:line="276" w:lineRule="auto"/>
              <w:jc w:val="center"/>
              <w:rPr>
                <w:rFonts w:ascii="Times New Roman" w:eastAsia="Times New Roman" w:hAnsi="Times New Roman" w:cs="Times New Roman"/>
                <w:color w:val="000000" w:themeColor="text1"/>
              </w:rPr>
            </w:pPr>
            <w:r w:rsidRPr="00D85E6A">
              <w:rPr>
                <w:rFonts w:ascii="Times New Roman" w:eastAsia="Times New Roman" w:hAnsi="Times New Roman" w:cs="Times New Roman"/>
                <w:color w:val="000000" w:themeColor="text1"/>
              </w:rPr>
              <w:t>ОА «Троицкое»</w:t>
            </w:r>
          </w:p>
        </w:tc>
        <w:tc>
          <w:tcPr>
            <w:tcW w:w="3181" w:type="dxa"/>
          </w:tcPr>
          <w:p w14:paraId="2CE02486" w14:textId="77777777" w:rsidR="001C2BA2" w:rsidRPr="00D85E6A" w:rsidRDefault="001C2BA2" w:rsidP="006131C6">
            <w:pPr>
              <w:jc w:val="center"/>
              <w:rPr>
                <w:rFonts w:ascii="Times New Roman" w:hAnsi="Times New Roman" w:cs="Times New Roman"/>
              </w:rPr>
            </w:pPr>
            <w:r w:rsidRPr="00D85E6A">
              <w:rPr>
                <w:rFonts w:ascii="Times New Roman" w:hAnsi="Times New Roman" w:cs="Times New Roman"/>
                <w:sz w:val="22"/>
                <w:szCs w:val="22"/>
              </w:rPr>
              <w:t>118 444</w:t>
            </w:r>
          </w:p>
        </w:tc>
        <w:tc>
          <w:tcPr>
            <w:tcW w:w="2729" w:type="dxa"/>
          </w:tcPr>
          <w:p w14:paraId="2DE5F735" w14:textId="77777777" w:rsidR="001C2BA2" w:rsidRPr="00D85E6A" w:rsidRDefault="001C2BA2" w:rsidP="006131C6">
            <w:pPr>
              <w:widowControl w:val="0"/>
              <w:autoSpaceDE w:val="0"/>
              <w:autoSpaceDN w:val="0"/>
              <w:adjustRightInd w:val="0"/>
              <w:spacing w:line="276" w:lineRule="auto"/>
              <w:jc w:val="center"/>
              <w:rPr>
                <w:rFonts w:ascii="Times New Roman" w:eastAsia="Times New Roman" w:hAnsi="Times New Roman" w:cs="Times New Roman"/>
                <w:color w:val="000000" w:themeColor="text1"/>
              </w:rPr>
            </w:pPr>
            <w:r w:rsidRPr="00D85E6A">
              <w:rPr>
                <w:rFonts w:ascii="Times New Roman" w:eastAsia="Times New Roman" w:hAnsi="Times New Roman" w:cs="Times New Roman"/>
                <w:color w:val="000000" w:themeColor="text1"/>
              </w:rPr>
              <w:t>11,8444</w:t>
            </w:r>
          </w:p>
        </w:tc>
      </w:tr>
      <w:tr w:rsidR="001C2BA2" w:rsidRPr="00D85E6A" w14:paraId="0C3A7F44" w14:textId="77777777" w:rsidTr="00FE3C2D">
        <w:tc>
          <w:tcPr>
            <w:tcW w:w="3434" w:type="dxa"/>
          </w:tcPr>
          <w:p w14:paraId="1DFB42D0" w14:textId="77777777" w:rsidR="001C2BA2" w:rsidRPr="00D85E6A" w:rsidRDefault="001C2BA2" w:rsidP="006131C6">
            <w:pPr>
              <w:widowControl w:val="0"/>
              <w:autoSpaceDE w:val="0"/>
              <w:autoSpaceDN w:val="0"/>
              <w:adjustRightInd w:val="0"/>
              <w:spacing w:line="276" w:lineRule="auto"/>
              <w:jc w:val="center"/>
              <w:rPr>
                <w:rFonts w:ascii="Times New Roman" w:eastAsia="Times New Roman" w:hAnsi="Times New Roman" w:cs="Times New Roman"/>
                <w:color w:val="000000" w:themeColor="text1"/>
              </w:rPr>
            </w:pPr>
            <w:r w:rsidRPr="00D85E6A">
              <w:rPr>
                <w:rFonts w:ascii="Times New Roman" w:eastAsia="Times New Roman" w:hAnsi="Times New Roman" w:cs="Times New Roman"/>
                <w:color w:val="000000" w:themeColor="text1"/>
              </w:rPr>
              <w:t>ЗАО «Павловскрыбхоз»</w:t>
            </w:r>
          </w:p>
        </w:tc>
        <w:tc>
          <w:tcPr>
            <w:tcW w:w="3181" w:type="dxa"/>
          </w:tcPr>
          <w:p w14:paraId="4B3EE194" w14:textId="77777777" w:rsidR="001C2BA2" w:rsidRPr="00D85E6A" w:rsidRDefault="001C2BA2" w:rsidP="006131C6">
            <w:pPr>
              <w:jc w:val="center"/>
              <w:rPr>
                <w:rFonts w:ascii="Times New Roman" w:hAnsi="Times New Roman" w:cs="Times New Roman"/>
              </w:rPr>
            </w:pPr>
            <w:r w:rsidRPr="00D85E6A">
              <w:rPr>
                <w:rFonts w:ascii="Times New Roman" w:hAnsi="Times New Roman" w:cs="Times New Roman"/>
                <w:sz w:val="22"/>
                <w:szCs w:val="22"/>
              </w:rPr>
              <w:t>28 688</w:t>
            </w:r>
          </w:p>
        </w:tc>
        <w:tc>
          <w:tcPr>
            <w:tcW w:w="2729" w:type="dxa"/>
          </w:tcPr>
          <w:p w14:paraId="4660D790" w14:textId="77777777" w:rsidR="001C2BA2" w:rsidRPr="00D85E6A" w:rsidRDefault="001C2BA2" w:rsidP="006131C6">
            <w:pPr>
              <w:widowControl w:val="0"/>
              <w:autoSpaceDE w:val="0"/>
              <w:autoSpaceDN w:val="0"/>
              <w:adjustRightInd w:val="0"/>
              <w:spacing w:line="276" w:lineRule="auto"/>
              <w:jc w:val="center"/>
              <w:rPr>
                <w:rFonts w:ascii="Times New Roman" w:eastAsia="Times New Roman" w:hAnsi="Times New Roman" w:cs="Times New Roman"/>
                <w:color w:val="000000" w:themeColor="text1"/>
              </w:rPr>
            </w:pPr>
            <w:r w:rsidRPr="00D85E6A">
              <w:rPr>
                <w:rFonts w:ascii="Times New Roman" w:eastAsia="Times New Roman" w:hAnsi="Times New Roman" w:cs="Times New Roman"/>
                <w:color w:val="000000" w:themeColor="text1"/>
              </w:rPr>
              <w:t>2,8688</w:t>
            </w:r>
          </w:p>
        </w:tc>
      </w:tr>
      <w:tr w:rsidR="001C2BA2" w:rsidRPr="00D85E6A" w14:paraId="1EBDEBD5" w14:textId="77777777" w:rsidTr="00FE3C2D">
        <w:tc>
          <w:tcPr>
            <w:tcW w:w="3434" w:type="dxa"/>
          </w:tcPr>
          <w:p w14:paraId="3B30FFE9" w14:textId="77777777" w:rsidR="001C2BA2" w:rsidRPr="00D85E6A" w:rsidRDefault="001C2BA2" w:rsidP="006131C6">
            <w:pPr>
              <w:widowControl w:val="0"/>
              <w:autoSpaceDE w:val="0"/>
              <w:autoSpaceDN w:val="0"/>
              <w:adjustRightInd w:val="0"/>
              <w:spacing w:line="276" w:lineRule="auto"/>
              <w:jc w:val="center"/>
              <w:rPr>
                <w:rFonts w:ascii="Times New Roman" w:eastAsia="Times New Roman" w:hAnsi="Times New Roman" w:cs="Times New Roman"/>
                <w:color w:val="000000" w:themeColor="text1"/>
              </w:rPr>
            </w:pPr>
            <w:r w:rsidRPr="00D85E6A">
              <w:rPr>
                <w:rFonts w:ascii="Times New Roman" w:eastAsia="Times New Roman" w:hAnsi="Times New Roman" w:cs="Times New Roman"/>
                <w:color w:val="000000" w:themeColor="text1"/>
              </w:rPr>
              <w:t>Рыбное хозяйство «Овтеено»</w:t>
            </w:r>
          </w:p>
        </w:tc>
        <w:tc>
          <w:tcPr>
            <w:tcW w:w="3181" w:type="dxa"/>
          </w:tcPr>
          <w:p w14:paraId="61D66DED" w14:textId="77777777" w:rsidR="001C2BA2" w:rsidRPr="00D85E6A" w:rsidRDefault="001C2BA2" w:rsidP="006131C6">
            <w:pPr>
              <w:jc w:val="center"/>
              <w:rPr>
                <w:rFonts w:ascii="Times New Roman" w:hAnsi="Times New Roman" w:cs="Times New Roman"/>
              </w:rPr>
            </w:pPr>
            <w:r w:rsidRPr="00D85E6A">
              <w:rPr>
                <w:rFonts w:ascii="Times New Roman" w:hAnsi="Times New Roman" w:cs="Times New Roman"/>
                <w:sz w:val="22"/>
                <w:szCs w:val="22"/>
              </w:rPr>
              <w:t>26 091</w:t>
            </w:r>
          </w:p>
        </w:tc>
        <w:tc>
          <w:tcPr>
            <w:tcW w:w="2729" w:type="dxa"/>
          </w:tcPr>
          <w:p w14:paraId="7A440698" w14:textId="77777777" w:rsidR="001C2BA2" w:rsidRPr="00D85E6A" w:rsidRDefault="001C2BA2" w:rsidP="006131C6">
            <w:pPr>
              <w:widowControl w:val="0"/>
              <w:autoSpaceDE w:val="0"/>
              <w:autoSpaceDN w:val="0"/>
              <w:adjustRightInd w:val="0"/>
              <w:spacing w:line="276" w:lineRule="auto"/>
              <w:jc w:val="center"/>
              <w:rPr>
                <w:rFonts w:ascii="Times New Roman" w:eastAsia="Times New Roman" w:hAnsi="Times New Roman" w:cs="Times New Roman"/>
                <w:color w:val="000000" w:themeColor="text1"/>
              </w:rPr>
            </w:pPr>
            <w:r w:rsidRPr="00D85E6A">
              <w:rPr>
                <w:rFonts w:ascii="Times New Roman" w:eastAsia="Times New Roman" w:hAnsi="Times New Roman" w:cs="Times New Roman"/>
                <w:color w:val="000000" w:themeColor="text1"/>
              </w:rPr>
              <w:t>2,6091</w:t>
            </w:r>
          </w:p>
        </w:tc>
      </w:tr>
    </w:tbl>
    <w:p w14:paraId="770D1288" w14:textId="77777777" w:rsidR="001C2BA2" w:rsidRPr="00F562A8" w:rsidRDefault="001C2BA2" w:rsidP="001C2BA2">
      <w:pPr>
        <w:widowControl w:val="0"/>
        <w:autoSpaceDE w:val="0"/>
        <w:autoSpaceDN w:val="0"/>
        <w:adjustRightInd w:val="0"/>
        <w:spacing w:after="0" w:line="276" w:lineRule="auto"/>
        <w:ind w:firstLine="709"/>
        <w:jc w:val="both"/>
        <w:rPr>
          <w:rFonts w:ascii="Times New Roman" w:eastAsia="Times New Roman" w:hAnsi="Times New Roman" w:cs="Times New Roman"/>
          <w:color w:val="000000" w:themeColor="text1"/>
          <w:sz w:val="16"/>
          <w:szCs w:val="16"/>
        </w:rPr>
      </w:pPr>
    </w:p>
    <w:p w14:paraId="4B8CE889" w14:textId="77777777" w:rsidR="001C2BA2" w:rsidRPr="00A42F62" w:rsidRDefault="001C2BA2" w:rsidP="001C2BA2">
      <w:pPr>
        <w:spacing w:after="0" w:line="276"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ЧОД ОА «Троицкое» и ООО рыбколхоз «Новый путь» имеют минимальное и максимальное значение, значительно отличающееся от остальных результатов. В дальнейших расчетах информация этих организаций учитываться не будет.</w:t>
      </w:r>
    </w:p>
    <w:p w14:paraId="77C1B6CB" w14:textId="77777777" w:rsidR="001C2BA2" w:rsidRPr="00F562A8" w:rsidRDefault="001C2BA2" w:rsidP="001C2BA2">
      <w:pPr>
        <w:spacing w:after="0" w:line="276" w:lineRule="auto"/>
        <w:ind w:firstLine="709"/>
        <w:jc w:val="center"/>
        <w:rPr>
          <w:rFonts w:ascii="Times New Roman" w:eastAsia="Times New Roman" w:hAnsi="Times New Roman" w:cs="Times New Roman"/>
          <w:i/>
          <w:color w:val="000000" w:themeColor="text1"/>
          <w:sz w:val="26"/>
          <w:szCs w:val="26"/>
        </w:rPr>
      </w:pPr>
      <w:r w:rsidRPr="00F562A8">
        <w:rPr>
          <w:rFonts w:ascii="Times New Roman" w:eastAsia="Times New Roman" w:hAnsi="Times New Roman" w:cs="Times New Roman"/>
          <w:i/>
          <w:color w:val="000000" w:themeColor="text1"/>
          <w:sz w:val="26"/>
          <w:szCs w:val="26"/>
        </w:rPr>
        <w:t>Определение ставки капитализации</w:t>
      </w:r>
    </w:p>
    <w:p w14:paraId="5D8E8095" w14:textId="77777777" w:rsidR="001C2BA2" w:rsidRPr="00F562A8" w:rsidRDefault="001C2BA2" w:rsidP="001C2BA2">
      <w:pPr>
        <w:spacing w:after="0" w:line="276" w:lineRule="auto"/>
        <w:ind w:firstLine="709"/>
        <w:jc w:val="both"/>
        <w:rPr>
          <w:rFonts w:ascii="Times New Roman" w:hAnsi="Times New Roman" w:cs="Times New Roman"/>
          <w:color w:val="000000" w:themeColor="text1"/>
          <w:sz w:val="26"/>
          <w:szCs w:val="26"/>
        </w:rPr>
      </w:pPr>
      <w:r w:rsidRPr="00F562A8">
        <w:rPr>
          <w:rFonts w:ascii="Times New Roman" w:hAnsi="Times New Roman" w:cs="Times New Roman"/>
          <w:color w:val="000000" w:themeColor="text1"/>
          <w:sz w:val="26"/>
          <w:szCs w:val="26"/>
        </w:rPr>
        <w:t>Для определения величины ставки капитализации использовался метод кумулятивного построения:</w:t>
      </w:r>
    </w:p>
    <w:p w14:paraId="3EE7B144" w14:textId="77777777" w:rsidR="001C2BA2" w:rsidRPr="00F562A8" w:rsidRDefault="001C2BA2" w:rsidP="001C2BA2">
      <w:pPr>
        <w:widowControl w:val="0"/>
        <w:spacing w:before="120" w:after="0" w:line="276" w:lineRule="auto"/>
        <w:jc w:val="center"/>
        <w:rPr>
          <w:rFonts w:ascii="Times New Roman" w:hAnsi="Times New Roman" w:cs="Times New Roman"/>
          <w:color w:val="000000" w:themeColor="text1"/>
          <w:sz w:val="26"/>
          <w:szCs w:val="26"/>
        </w:rPr>
      </w:pPr>
      <m:oMath>
        <m:r>
          <w:rPr>
            <w:rFonts w:ascii="Cambria Math" w:hAnsi="Cambria Math" w:cs="Times New Roman"/>
            <w:color w:val="000000" w:themeColor="text1"/>
            <w:sz w:val="26"/>
            <w:szCs w:val="26"/>
          </w:rPr>
          <m:t>Y</m:t>
        </m:r>
        <m:r>
          <m:rPr>
            <m:sty m:val="p"/>
          </m:rPr>
          <w:rPr>
            <w:rFonts w:ascii="Cambria Math" w:hAnsi="Cambria Math" w:cs="Times New Roman"/>
            <w:color w:val="000000" w:themeColor="text1"/>
            <w:sz w:val="26"/>
            <w:szCs w:val="26"/>
          </w:rPr>
          <m:t>=</m:t>
        </m:r>
        <m:sSub>
          <m:sSubPr>
            <m:ctrlPr>
              <w:rPr>
                <w:rFonts w:ascii="Cambria Math" w:hAnsi="Cambria Math" w:cs="Times New Roman"/>
                <w:color w:val="000000" w:themeColor="text1"/>
                <w:sz w:val="26"/>
                <w:szCs w:val="26"/>
              </w:rPr>
            </m:ctrlPr>
          </m:sSubPr>
          <m:e>
            <m:r>
              <w:rPr>
                <w:rFonts w:ascii="Cambria Math" w:hAnsi="Cambria Math" w:cs="Times New Roman"/>
                <w:color w:val="000000" w:themeColor="text1"/>
                <w:sz w:val="26"/>
                <w:szCs w:val="26"/>
              </w:rPr>
              <m:t>Y</m:t>
            </m:r>
          </m:e>
          <m:sub>
            <m:r>
              <w:rPr>
                <w:rFonts w:ascii="Cambria Math" w:hAnsi="Cambria Math" w:cs="Times New Roman"/>
                <w:color w:val="000000" w:themeColor="text1"/>
                <w:sz w:val="26"/>
                <w:szCs w:val="26"/>
              </w:rPr>
              <m:t>r</m:t>
            </m:r>
          </m:sub>
        </m:sSub>
        <m:r>
          <m:rPr>
            <m:sty m:val="p"/>
          </m:rPr>
          <w:rPr>
            <w:rFonts w:ascii="Cambria Math" w:hAnsi="Cambria Math" w:cs="Times New Roman"/>
            <w:color w:val="000000" w:themeColor="text1"/>
            <w:sz w:val="26"/>
            <w:szCs w:val="26"/>
          </w:rPr>
          <m:t>+</m:t>
        </m:r>
        <m:sSub>
          <m:sSubPr>
            <m:ctrlPr>
              <w:rPr>
                <w:rFonts w:ascii="Cambria Math" w:hAnsi="Cambria Math" w:cs="Times New Roman"/>
                <w:color w:val="000000" w:themeColor="text1"/>
                <w:sz w:val="26"/>
                <w:szCs w:val="26"/>
              </w:rPr>
            </m:ctrlPr>
          </m:sSubPr>
          <m:e>
            <m:r>
              <w:rPr>
                <w:rFonts w:ascii="Cambria Math" w:hAnsi="Cambria Math" w:cs="Times New Roman"/>
                <w:color w:val="000000" w:themeColor="text1"/>
                <w:sz w:val="26"/>
                <w:szCs w:val="26"/>
              </w:rPr>
              <m:t>Y</m:t>
            </m:r>
          </m:e>
          <m:sub>
            <m:r>
              <m:rPr>
                <m:sty m:val="p"/>
              </m:rPr>
              <w:rPr>
                <w:rFonts w:ascii="Cambria Math" w:hAnsi="Cambria Math" w:cs="Times New Roman"/>
                <w:color w:val="000000" w:themeColor="text1"/>
                <w:sz w:val="26"/>
                <w:szCs w:val="26"/>
              </w:rPr>
              <m:t>1</m:t>
            </m:r>
          </m:sub>
        </m:sSub>
        <m:r>
          <m:rPr>
            <m:sty m:val="p"/>
          </m:rPr>
          <w:rPr>
            <w:rFonts w:ascii="Cambria Math" w:hAnsi="Cambria Math" w:cs="Times New Roman"/>
            <w:color w:val="000000" w:themeColor="text1"/>
            <w:sz w:val="26"/>
            <w:szCs w:val="26"/>
          </w:rPr>
          <m:t>+</m:t>
        </m:r>
        <m:sSub>
          <m:sSubPr>
            <m:ctrlPr>
              <w:rPr>
                <w:rFonts w:ascii="Cambria Math" w:hAnsi="Cambria Math" w:cs="Times New Roman"/>
                <w:color w:val="000000" w:themeColor="text1"/>
                <w:sz w:val="26"/>
                <w:szCs w:val="26"/>
              </w:rPr>
            </m:ctrlPr>
          </m:sSubPr>
          <m:e>
            <m:r>
              <w:rPr>
                <w:rFonts w:ascii="Cambria Math" w:hAnsi="Cambria Math" w:cs="Times New Roman"/>
                <w:color w:val="000000" w:themeColor="text1"/>
                <w:sz w:val="26"/>
                <w:szCs w:val="26"/>
              </w:rPr>
              <m:t>Y</m:t>
            </m:r>
          </m:e>
          <m:sub>
            <m:r>
              <m:rPr>
                <m:sty m:val="p"/>
              </m:rPr>
              <w:rPr>
                <w:rFonts w:ascii="Cambria Math" w:hAnsi="Cambria Math" w:cs="Times New Roman"/>
                <w:color w:val="000000" w:themeColor="text1"/>
                <w:sz w:val="26"/>
                <w:szCs w:val="26"/>
              </w:rPr>
              <m:t>2</m:t>
            </m:r>
          </m:sub>
        </m:sSub>
      </m:oMath>
      <w:r w:rsidRPr="00F562A8">
        <w:rPr>
          <w:rFonts w:ascii="Times New Roman" w:hAnsi="Times New Roman" w:cs="Times New Roman"/>
          <w:color w:val="000000" w:themeColor="text1"/>
          <w:sz w:val="26"/>
          <w:szCs w:val="26"/>
        </w:rPr>
        <w:t>, где</w:t>
      </w:r>
    </w:p>
    <w:p w14:paraId="59884F13" w14:textId="77777777" w:rsidR="001C2BA2" w:rsidRPr="00F562A8" w:rsidRDefault="001C2BA2" w:rsidP="001C2BA2">
      <w:pPr>
        <w:widowControl w:val="0"/>
        <w:spacing w:before="120" w:after="0" w:line="276" w:lineRule="auto"/>
        <w:ind w:firstLine="709"/>
        <w:jc w:val="both"/>
        <w:rPr>
          <w:rFonts w:ascii="Times New Roman" w:hAnsi="Times New Roman" w:cs="Times New Roman"/>
          <w:color w:val="000000" w:themeColor="text1"/>
          <w:sz w:val="26"/>
          <w:szCs w:val="26"/>
        </w:rPr>
      </w:pPr>
      <w:r w:rsidRPr="00F562A8">
        <w:rPr>
          <w:rFonts w:ascii="Times New Roman" w:hAnsi="Times New Roman" w:cs="Times New Roman"/>
          <w:color w:val="000000" w:themeColor="text1"/>
          <w:sz w:val="26"/>
          <w:szCs w:val="26"/>
        </w:rPr>
        <w:t>Y – коэффициент капитализации (ставка дохода) для земельного участка;</w:t>
      </w:r>
    </w:p>
    <w:p w14:paraId="5D4E6FC8" w14:textId="77777777" w:rsidR="001C2BA2" w:rsidRPr="00F562A8" w:rsidRDefault="001C2BA2" w:rsidP="001C2BA2">
      <w:pPr>
        <w:widowControl w:val="0"/>
        <w:spacing w:before="120" w:after="40" w:line="276" w:lineRule="auto"/>
        <w:ind w:firstLine="709"/>
        <w:rPr>
          <w:rFonts w:ascii="Times New Roman" w:hAnsi="Times New Roman" w:cs="Times New Roman"/>
          <w:color w:val="000000" w:themeColor="text1"/>
          <w:sz w:val="26"/>
          <w:szCs w:val="26"/>
        </w:rPr>
      </w:pPr>
      <w:r w:rsidRPr="00F562A8">
        <w:rPr>
          <w:rFonts w:ascii="Times New Roman" w:hAnsi="Times New Roman" w:cs="Times New Roman"/>
          <w:color w:val="000000" w:themeColor="text1"/>
          <w:sz w:val="26"/>
          <w:szCs w:val="26"/>
        </w:rPr>
        <w:t>Yr – безрисковая ставка дохода на капитал;</w:t>
      </w:r>
    </w:p>
    <w:p w14:paraId="25232A5E" w14:textId="77777777" w:rsidR="001C2BA2" w:rsidRPr="00F562A8" w:rsidRDefault="001C2BA2" w:rsidP="001C2BA2">
      <w:pPr>
        <w:widowControl w:val="0"/>
        <w:spacing w:before="120" w:after="0" w:line="276" w:lineRule="auto"/>
        <w:ind w:firstLine="709"/>
        <w:jc w:val="both"/>
        <w:rPr>
          <w:rFonts w:ascii="Times New Roman" w:hAnsi="Times New Roman" w:cs="Times New Roman"/>
          <w:color w:val="000000" w:themeColor="text1"/>
          <w:sz w:val="26"/>
          <w:szCs w:val="26"/>
        </w:rPr>
      </w:pPr>
      <w:r w:rsidRPr="00F562A8">
        <w:rPr>
          <w:rFonts w:ascii="Times New Roman" w:hAnsi="Times New Roman" w:cs="Times New Roman"/>
          <w:color w:val="000000" w:themeColor="text1"/>
          <w:sz w:val="26"/>
          <w:szCs w:val="26"/>
        </w:rPr>
        <w:t>Y1 – премия за риск инвестиций в оцениваемый участок;</w:t>
      </w:r>
    </w:p>
    <w:p w14:paraId="511D2267" w14:textId="77777777" w:rsidR="001C2BA2" w:rsidRPr="00F562A8" w:rsidRDefault="001C2BA2" w:rsidP="001C2BA2">
      <w:pPr>
        <w:widowControl w:val="0"/>
        <w:spacing w:before="120" w:after="40" w:line="276" w:lineRule="auto"/>
        <w:ind w:right="-89" w:firstLine="709"/>
        <w:jc w:val="both"/>
        <w:rPr>
          <w:rFonts w:ascii="Times New Roman" w:hAnsi="Times New Roman" w:cs="Times New Roman"/>
          <w:color w:val="000000" w:themeColor="text1"/>
          <w:sz w:val="26"/>
          <w:szCs w:val="26"/>
        </w:rPr>
      </w:pPr>
      <w:r w:rsidRPr="00F562A8">
        <w:rPr>
          <w:rFonts w:ascii="Times New Roman" w:hAnsi="Times New Roman" w:cs="Times New Roman"/>
          <w:color w:val="000000" w:themeColor="text1"/>
          <w:sz w:val="26"/>
          <w:szCs w:val="26"/>
        </w:rPr>
        <w:t>Y2 - премия за низкую ликвидность.</w:t>
      </w:r>
    </w:p>
    <w:p w14:paraId="65BDA37B" w14:textId="77777777" w:rsidR="001C2BA2" w:rsidRPr="00F562A8" w:rsidRDefault="001C2BA2" w:rsidP="001C2BA2">
      <w:pPr>
        <w:spacing w:after="0" w:line="276" w:lineRule="auto"/>
        <w:ind w:firstLine="709"/>
        <w:jc w:val="both"/>
        <w:rPr>
          <w:rFonts w:ascii="Times New Roman" w:eastAsia="Times New Roman" w:hAnsi="Times New Roman" w:cs="Times New Roman"/>
          <w:color w:val="000000" w:themeColor="text1"/>
          <w:sz w:val="26"/>
          <w:szCs w:val="26"/>
        </w:rPr>
      </w:pPr>
      <w:r w:rsidRPr="00F562A8">
        <w:rPr>
          <w:rFonts w:ascii="Times New Roman" w:eastAsia="Times New Roman" w:hAnsi="Times New Roman" w:cs="Times New Roman"/>
          <w:color w:val="000000" w:themeColor="text1"/>
          <w:sz w:val="26"/>
          <w:szCs w:val="26"/>
        </w:rPr>
        <w:t xml:space="preserve">Как видно из вышеприведенной формулы ставка капитализации складывается из трех частей: </w:t>
      </w:r>
    </w:p>
    <w:p w14:paraId="37358C43" w14:textId="64481618" w:rsidR="001C2BA2" w:rsidRPr="00A908FE" w:rsidRDefault="001C2BA2" w:rsidP="001C2BA2">
      <w:pPr>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i/>
          <w:color w:val="000000" w:themeColor="text1"/>
          <w:sz w:val="26"/>
          <w:szCs w:val="26"/>
        </w:rPr>
        <w:t>безрисковая ставка</w:t>
      </w:r>
      <w:r w:rsidRPr="00F562A8">
        <w:rPr>
          <w:rFonts w:ascii="Times New Roman" w:eastAsia="Times New Roman" w:hAnsi="Times New Roman" w:cs="Times New Roman"/>
          <w:color w:val="000000" w:themeColor="text1"/>
          <w:sz w:val="26"/>
          <w:szCs w:val="26"/>
        </w:rPr>
        <w:t xml:space="preserve"> </w:t>
      </w:r>
      <w:r w:rsidRPr="00F562A8">
        <w:rPr>
          <w:rFonts w:ascii="Times New Roman" w:hAnsi="Times New Roman" w:cs="Times New Roman"/>
          <w:color w:val="000000" w:themeColor="text1"/>
          <w:sz w:val="26"/>
          <w:szCs w:val="26"/>
        </w:rPr>
        <w:t>–</w:t>
      </w:r>
      <w:r w:rsidRPr="00F562A8">
        <w:rPr>
          <w:rFonts w:ascii="Times New Roman" w:eastAsia="Times New Roman" w:hAnsi="Times New Roman" w:cs="Times New Roman"/>
          <w:color w:val="000000" w:themeColor="text1"/>
          <w:sz w:val="26"/>
          <w:szCs w:val="26"/>
        </w:rPr>
        <w:t xml:space="preserve"> </w:t>
      </w:r>
      <w:r w:rsidRPr="00F562A8">
        <w:rPr>
          <w:rFonts w:ascii="Times New Roman" w:hAnsi="Times New Roman" w:cs="Times New Roman"/>
          <w:color w:val="000000" w:themeColor="text1"/>
          <w:sz w:val="26"/>
          <w:szCs w:val="26"/>
        </w:rPr>
        <w:t xml:space="preserve">минимальная компенсация за инвестированный в земельный участок капитал с учетом фактора времени. Используется в качестве базовой величины, к которой добавляются поправки, учитывающие конкретные риски, связанные с инвестициями в оцениваемый земельный участок, </w:t>
      </w:r>
      <w:r w:rsidRPr="00F562A8">
        <w:rPr>
          <w:rFonts w:ascii="Times New Roman" w:eastAsia="Times New Roman" w:hAnsi="Times New Roman" w:cs="Times New Roman"/>
          <w:color w:val="000000" w:themeColor="text1"/>
          <w:sz w:val="26"/>
          <w:szCs w:val="26"/>
          <w:lang w:eastAsia="ru-RU"/>
        </w:rPr>
        <w:t xml:space="preserve">определена на основе бескупонной доходности государственных облигаций сроком погашения </w:t>
      </w:r>
      <w:r>
        <w:rPr>
          <w:rFonts w:ascii="Times New Roman" w:eastAsia="Times New Roman" w:hAnsi="Times New Roman" w:cs="Times New Roman"/>
          <w:color w:val="000000" w:themeColor="text1"/>
          <w:sz w:val="26"/>
          <w:szCs w:val="26"/>
          <w:lang w:eastAsia="ru-RU"/>
        </w:rPr>
        <w:t>3</w:t>
      </w:r>
      <w:r w:rsidRPr="00F562A8">
        <w:rPr>
          <w:rFonts w:ascii="Times New Roman" w:eastAsia="Times New Roman" w:hAnsi="Times New Roman" w:cs="Times New Roman"/>
          <w:color w:val="000000" w:themeColor="text1"/>
          <w:sz w:val="26"/>
          <w:szCs w:val="26"/>
          <w:lang w:eastAsia="ru-RU"/>
        </w:rPr>
        <w:t xml:space="preserve"> </w:t>
      </w:r>
      <w:r>
        <w:rPr>
          <w:rFonts w:ascii="Times New Roman" w:eastAsia="Times New Roman" w:hAnsi="Times New Roman" w:cs="Times New Roman"/>
          <w:color w:val="000000" w:themeColor="text1"/>
          <w:sz w:val="26"/>
          <w:szCs w:val="26"/>
          <w:lang w:eastAsia="ru-RU"/>
        </w:rPr>
        <w:t xml:space="preserve">года по состоянию на 30.12.2021г. </w:t>
      </w:r>
      <w:r w:rsidRPr="00F562A8">
        <w:rPr>
          <w:rFonts w:ascii="Times New Roman" w:eastAsia="Times New Roman" w:hAnsi="Times New Roman" w:cs="Times New Roman"/>
          <w:color w:val="000000" w:themeColor="text1"/>
          <w:sz w:val="26"/>
          <w:szCs w:val="26"/>
          <w:lang w:eastAsia="ru-RU"/>
        </w:rPr>
        <w:t xml:space="preserve">в размере </w:t>
      </w:r>
      <w:r>
        <w:rPr>
          <w:rFonts w:ascii="Times New Roman" w:eastAsia="Times New Roman" w:hAnsi="Times New Roman" w:cs="Times New Roman"/>
          <w:color w:val="000000" w:themeColor="text1"/>
          <w:sz w:val="26"/>
          <w:szCs w:val="26"/>
          <w:lang w:eastAsia="ru-RU"/>
        </w:rPr>
        <w:t>8</w:t>
      </w:r>
      <w:r w:rsidRPr="00F562A8">
        <w:rPr>
          <w:rFonts w:ascii="Times New Roman" w:eastAsia="Times New Roman" w:hAnsi="Times New Roman" w:cs="Times New Roman"/>
          <w:color w:val="000000" w:themeColor="text1"/>
          <w:sz w:val="26"/>
          <w:szCs w:val="26"/>
          <w:lang w:eastAsia="ru-RU"/>
        </w:rPr>
        <w:t>,</w:t>
      </w:r>
      <w:r>
        <w:rPr>
          <w:rFonts w:ascii="Times New Roman" w:eastAsia="Times New Roman" w:hAnsi="Times New Roman" w:cs="Times New Roman"/>
          <w:color w:val="000000" w:themeColor="text1"/>
          <w:sz w:val="26"/>
          <w:szCs w:val="26"/>
          <w:lang w:eastAsia="ru-RU"/>
        </w:rPr>
        <w:t>4</w:t>
      </w:r>
      <w:r w:rsidRPr="00F562A8">
        <w:rPr>
          <w:rFonts w:ascii="Times New Roman" w:eastAsia="Times New Roman" w:hAnsi="Times New Roman" w:cs="Times New Roman"/>
          <w:color w:val="000000" w:themeColor="text1"/>
          <w:sz w:val="26"/>
          <w:szCs w:val="26"/>
          <w:lang w:eastAsia="ru-RU"/>
        </w:rPr>
        <w:t>%</w:t>
      </w:r>
      <w:r w:rsidRPr="00F562A8">
        <w:rPr>
          <w:rStyle w:val="af2"/>
          <w:rFonts w:ascii="Times New Roman" w:eastAsia="Times New Roman" w:hAnsi="Times New Roman" w:cs="Times New Roman"/>
          <w:color w:val="000000" w:themeColor="text1"/>
          <w:sz w:val="26"/>
          <w:szCs w:val="26"/>
          <w:lang w:eastAsia="ru-RU"/>
        </w:rPr>
        <w:footnoteReference w:id="129"/>
      </w:r>
      <w:r w:rsidRPr="00F562A8">
        <w:rPr>
          <w:rFonts w:ascii="Times New Roman" w:eastAsia="Times New Roman" w:hAnsi="Times New Roman" w:cs="Times New Roman"/>
          <w:color w:val="000000" w:themeColor="text1"/>
          <w:sz w:val="26"/>
          <w:szCs w:val="26"/>
          <w:lang w:eastAsia="ru-RU"/>
        </w:rPr>
        <w:t xml:space="preserve">. </w:t>
      </w:r>
      <w:r w:rsidRPr="00A908FE">
        <w:rPr>
          <w:rFonts w:ascii="Times New Roman" w:eastAsia="Times New Roman" w:hAnsi="Times New Roman" w:cs="Times New Roman"/>
          <w:sz w:val="26"/>
          <w:szCs w:val="26"/>
        </w:rPr>
        <w:t xml:space="preserve">Копия интернет-страниц приведена в Приложении </w:t>
      </w:r>
      <w:r w:rsidR="00EE5E82">
        <w:rPr>
          <w:rFonts w:ascii="Times New Roman" w:eastAsia="Times New Roman" w:hAnsi="Times New Roman" w:cs="Times New Roman"/>
          <w:color w:val="000000" w:themeColor="text1"/>
          <w:sz w:val="26"/>
          <w:szCs w:val="26"/>
          <w:lang w:eastAsia="ru-RU"/>
        </w:rPr>
        <w:t>2/2.4/2.4.11.</w:t>
      </w:r>
    </w:p>
    <w:p w14:paraId="1C52B35E" w14:textId="3D2A46FB" w:rsidR="001C2BA2" w:rsidRPr="00F562A8" w:rsidRDefault="001C2BA2" w:rsidP="001C2BA2">
      <w:pPr>
        <w:spacing w:before="120" w:after="0" w:line="276" w:lineRule="auto"/>
        <w:ind w:firstLine="709"/>
        <w:jc w:val="both"/>
        <w:rPr>
          <w:rFonts w:ascii="Times New Roman" w:eastAsia="Times New Roman" w:hAnsi="Times New Roman" w:cs="Times New Roman"/>
          <w:color w:val="000000" w:themeColor="text1"/>
          <w:sz w:val="26"/>
          <w:szCs w:val="26"/>
        </w:rPr>
      </w:pPr>
      <w:r w:rsidRPr="00F562A8">
        <w:rPr>
          <w:rFonts w:ascii="Times New Roman" w:eastAsia="Times New Roman" w:hAnsi="Times New Roman" w:cs="Times New Roman"/>
          <w:i/>
          <w:color w:val="000000" w:themeColor="text1"/>
          <w:sz w:val="26"/>
          <w:szCs w:val="26"/>
        </w:rPr>
        <w:t>премия за риск инвестиций в оцениваемый участок</w:t>
      </w:r>
      <w:r w:rsidRPr="00F562A8">
        <w:rPr>
          <w:rFonts w:ascii="Times New Roman" w:hAnsi="Times New Roman" w:cs="Times New Roman"/>
          <w:color w:val="000000" w:themeColor="text1"/>
          <w:sz w:val="26"/>
          <w:szCs w:val="26"/>
        </w:rPr>
        <w:t xml:space="preserve"> – </w:t>
      </w:r>
      <w:r w:rsidRPr="00F562A8">
        <w:rPr>
          <w:rFonts w:ascii="Times New Roman" w:eastAsia="Times New Roman" w:hAnsi="Times New Roman" w:cs="Times New Roman"/>
          <w:color w:val="000000" w:themeColor="text1"/>
          <w:sz w:val="26"/>
          <w:szCs w:val="26"/>
          <w:lang w:eastAsia="ru-RU"/>
        </w:rPr>
        <w:t xml:space="preserve">учитывает риск получения дохода от инвестиций в земельный участок, обусловленный видом использования земельного участка и его региональным местоположением. </w:t>
      </w:r>
      <w:r w:rsidRPr="00F562A8">
        <w:rPr>
          <w:rFonts w:ascii="Times New Roman" w:hAnsi="Times New Roman" w:cs="Times New Roman"/>
          <w:color w:val="000000" w:themeColor="text1"/>
          <w:sz w:val="26"/>
          <w:szCs w:val="26"/>
        </w:rPr>
        <w:t xml:space="preserve">Инвестиционные риски классифицируются на системный и несистемные. </w:t>
      </w:r>
      <w:r w:rsidRPr="00F562A8">
        <w:rPr>
          <w:rFonts w:ascii="Times New Roman" w:hAnsi="Times New Roman" w:cs="Times New Roman"/>
          <w:bCs/>
          <w:color w:val="000000" w:themeColor="text1"/>
          <w:sz w:val="26"/>
          <w:szCs w:val="26"/>
        </w:rPr>
        <w:t>Системные – риски, избежать которых невозможно, ибо они обусловлены факторами, вызывающими общие для рынка колебания цен. Основными составляющими данного риска являются социально-экономические и политические риски. Несистемные – риски, которые не зависят от состояния рынка и являются специфическим</w:t>
      </w:r>
      <w:r w:rsidR="00DC641C">
        <w:rPr>
          <w:rFonts w:ascii="Times New Roman" w:hAnsi="Times New Roman" w:cs="Times New Roman"/>
          <w:bCs/>
          <w:color w:val="000000" w:themeColor="text1"/>
          <w:sz w:val="26"/>
          <w:szCs w:val="26"/>
        </w:rPr>
        <w:t>и</w:t>
      </w:r>
      <w:r w:rsidRPr="00F562A8">
        <w:rPr>
          <w:rFonts w:ascii="Times New Roman" w:hAnsi="Times New Roman" w:cs="Times New Roman"/>
          <w:bCs/>
          <w:color w:val="000000" w:themeColor="text1"/>
          <w:sz w:val="26"/>
          <w:szCs w:val="26"/>
        </w:rPr>
        <w:t xml:space="preserve"> в отношении конкретного предприятия, поддаются прогнозу, не зависят от экономических, политических и других факторов.</w:t>
      </w:r>
    </w:p>
    <w:p w14:paraId="2BB7EC80" w14:textId="77777777" w:rsidR="001C2BA2" w:rsidRPr="00F562A8" w:rsidRDefault="001C2BA2" w:rsidP="001C2BA2">
      <w:pPr>
        <w:spacing w:after="0" w:line="276" w:lineRule="auto"/>
        <w:ind w:firstLine="708"/>
        <w:jc w:val="both"/>
        <w:rPr>
          <w:rFonts w:ascii="Times New Roman" w:eastAsia="Times New Roman" w:hAnsi="Times New Roman" w:cs="Times New Roman"/>
          <w:color w:val="000000" w:themeColor="text1"/>
          <w:sz w:val="26"/>
          <w:szCs w:val="26"/>
        </w:rPr>
      </w:pPr>
      <w:r w:rsidRPr="00F562A8">
        <w:rPr>
          <w:rFonts w:ascii="Times New Roman" w:eastAsia="Times New Roman" w:hAnsi="Times New Roman" w:cs="Times New Roman"/>
          <w:color w:val="000000" w:themeColor="text1"/>
          <w:sz w:val="26"/>
          <w:szCs w:val="26"/>
          <w:lang w:eastAsia="ru-RU"/>
        </w:rPr>
        <w:t xml:space="preserve">Следует выделить еще две большие группы рисков: статичные (простые) и динамичные (спекулятивные). </w:t>
      </w:r>
      <w:r w:rsidRPr="00F562A8">
        <w:rPr>
          <w:rFonts w:ascii="Times New Roman" w:hAnsi="Times New Roman" w:cs="Times New Roman"/>
          <w:bCs/>
          <w:color w:val="000000" w:themeColor="text1"/>
          <w:sz w:val="26"/>
          <w:szCs w:val="26"/>
        </w:rPr>
        <w:t xml:space="preserve">Динамичный риск – это риск случайных колебаний результатов деятельности, как в лучшую, так и в худшую строну, не способные значимо повлиять на жизнеспособность организации. Статичный риск – риск возникновения событий, ситуаций, в результате возникновения которых под угрозу ставится дальнейшая деятельность организации, жизнеспособность отдельных направлений деятельности, отдельных проектов. </w:t>
      </w:r>
    </w:p>
    <w:p w14:paraId="49F8ABB0" w14:textId="77777777" w:rsidR="001C2BA2" w:rsidRPr="00F562A8" w:rsidRDefault="001C2BA2" w:rsidP="001C2BA2">
      <w:pPr>
        <w:tabs>
          <w:tab w:val="left" w:pos="709"/>
        </w:tabs>
        <w:autoSpaceDE w:val="0"/>
        <w:autoSpaceDN w:val="0"/>
        <w:adjustRightInd w:val="0"/>
        <w:spacing w:after="0" w:line="276" w:lineRule="auto"/>
        <w:ind w:firstLine="709"/>
        <w:jc w:val="both"/>
        <w:rPr>
          <w:rFonts w:ascii="Times New Roman" w:hAnsi="Times New Roman" w:cs="Times New Roman"/>
          <w:color w:val="000000" w:themeColor="text1"/>
          <w:sz w:val="26"/>
          <w:szCs w:val="26"/>
        </w:rPr>
      </w:pPr>
      <w:r w:rsidRPr="00F562A8">
        <w:rPr>
          <w:rFonts w:ascii="Times New Roman" w:hAnsi="Times New Roman" w:cs="Times New Roman"/>
          <w:color w:val="000000" w:themeColor="text1"/>
          <w:sz w:val="26"/>
          <w:szCs w:val="26"/>
        </w:rPr>
        <w:t>Расчет премии за риск инвестиций в оцениваемый участок приведен далее в таблице.</w:t>
      </w:r>
    </w:p>
    <w:p w14:paraId="63DF59D3" w14:textId="77777777" w:rsidR="001C2BA2" w:rsidRPr="00F562A8" w:rsidRDefault="001C2BA2" w:rsidP="001C2BA2">
      <w:pPr>
        <w:spacing w:after="0" w:line="276" w:lineRule="auto"/>
        <w:ind w:firstLine="709"/>
        <w:jc w:val="right"/>
        <w:rPr>
          <w:rFonts w:ascii="Times New Roman" w:eastAsia="Times New Roman" w:hAnsi="Times New Roman" w:cs="Times New Roman"/>
          <w:color w:val="FF0000"/>
          <w:sz w:val="26"/>
          <w:szCs w:val="26"/>
        </w:rPr>
      </w:pPr>
      <w:r w:rsidRPr="00F562A8">
        <w:rPr>
          <w:rFonts w:ascii="Times New Roman" w:eastAsia="Times New Roman" w:hAnsi="Times New Roman" w:cs="Times New Roman"/>
          <w:sz w:val="26"/>
          <w:szCs w:val="26"/>
        </w:rPr>
        <w:t>Таблица 3.6.1.</w:t>
      </w:r>
      <w:r>
        <w:rPr>
          <w:rFonts w:ascii="Times New Roman" w:eastAsia="Times New Roman" w:hAnsi="Times New Roman" w:cs="Times New Roman"/>
          <w:sz w:val="26"/>
          <w:szCs w:val="26"/>
        </w:rPr>
        <w:t>2.4</w:t>
      </w:r>
    </w:p>
    <w:p w14:paraId="0A85DA28" w14:textId="77777777" w:rsidR="001C2BA2" w:rsidRPr="00F562A8" w:rsidRDefault="001C2BA2" w:rsidP="001C2BA2">
      <w:pPr>
        <w:spacing w:after="0" w:line="276" w:lineRule="auto"/>
        <w:ind w:firstLine="709"/>
        <w:jc w:val="center"/>
        <w:rPr>
          <w:rFonts w:ascii="Times New Roman" w:eastAsia="Times New Roman" w:hAnsi="Times New Roman" w:cs="Times New Roman"/>
          <w:color w:val="000000" w:themeColor="text1"/>
          <w:sz w:val="26"/>
          <w:szCs w:val="26"/>
        </w:rPr>
      </w:pPr>
      <w:r w:rsidRPr="00F562A8">
        <w:rPr>
          <w:rFonts w:ascii="Times New Roman" w:eastAsia="Times New Roman" w:hAnsi="Times New Roman" w:cs="Times New Roman"/>
          <w:color w:val="000000" w:themeColor="text1"/>
          <w:sz w:val="26"/>
          <w:szCs w:val="26"/>
        </w:rPr>
        <w:t xml:space="preserve">Определение величины премии за риск </w:t>
      </w:r>
      <w:r w:rsidRPr="00F562A8">
        <w:rPr>
          <w:rFonts w:ascii="Times New Roman" w:hAnsi="Times New Roman" w:cs="Times New Roman"/>
          <w:color w:val="000000" w:themeColor="text1"/>
          <w:sz w:val="26"/>
          <w:szCs w:val="26"/>
        </w:rPr>
        <w:t>инвестиций в оцениваемый участок</w:t>
      </w:r>
      <w:r w:rsidRPr="00F562A8">
        <w:rPr>
          <w:rFonts w:ascii="Times New Roman" w:eastAsia="Times New Roman" w:hAnsi="Times New Roman" w:cs="Times New Roman"/>
          <w:color w:val="000000" w:themeColor="text1"/>
          <w:sz w:val="26"/>
          <w:szCs w:val="26"/>
        </w:rPr>
        <w:t xml:space="preserve"> </w:t>
      </w:r>
    </w:p>
    <w:tbl>
      <w:tblPr>
        <w:tblW w:w="96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560"/>
        <w:gridCol w:w="711"/>
        <w:gridCol w:w="709"/>
        <w:gridCol w:w="567"/>
        <w:gridCol w:w="567"/>
        <w:gridCol w:w="567"/>
        <w:gridCol w:w="494"/>
        <w:gridCol w:w="567"/>
        <w:gridCol w:w="567"/>
        <w:gridCol w:w="567"/>
        <w:gridCol w:w="487"/>
      </w:tblGrid>
      <w:tr w:rsidR="001C2BA2" w:rsidRPr="00F562A8" w14:paraId="1D019EF5" w14:textId="77777777" w:rsidTr="006131C6">
        <w:trPr>
          <w:trHeight w:val="525"/>
        </w:trPr>
        <w:tc>
          <w:tcPr>
            <w:tcW w:w="2273" w:type="dxa"/>
            <w:shd w:val="clear" w:color="auto" w:fill="auto"/>
            <w:vAlign w:val="center"/>
            <w:hideMark/>
          </w:tcPr>
          <w:p w14:paraId="4C0EF697" w14:textId="77777777" w:rsidR="001C2BA2" w:rsidRPr="00F562A8" w:rsidRDefault="001C2BA2" w:rsidP="006131C6">
            <w:pPr>
              <w:spacing w:after="0" w:line="276" w:lineRule="auto"/>
              <w:jc w:val="center"/>
              <w:rPr>
                <w:rFonts w:ascii="Times New Roman" w:eastAsia="Times New Roman" w:hAnsi="Times New Roman" w:cs="Times New Roman"/>
                <w:b/>
                <w:color w:val="000000" w:themeColor="text1"/>
                <w:sz w:val="18"/>
                <w:szCs w:val="18"/>
                <w:lang w:eastAsia="ru-RU"/>
              </w:rPr>
            </w:pPr>
            <w:r w:rsidRPr="00F562A8">
              <w:rPr>
                <w:rFonts w:ascii="Times New Roman" w:eastAsia="Times New Roman" w:hAnsi="Times New Roman" w:cs="Times New Roman"/>
                <w:b/>
                <w:color w:val="000000" w:themeColor="text1"/>
                <w:sz w:val="18"/>
                <w:szCs w:val="18"/>
                <w:lang w:eastAsia="ru-RU"/>
              </w:rPr>
              <w:t>Показатели риска</w:t>
            </w:r>
          </w:p>
        </w:tc>
        <w:tc>
          <w:tcPr>
            <w:tcW w:w="1560" w:type="dxa"/>
            <w:shd w:val="clear" w:color="auto" w:fill="auto"/>
            <w:vAlign w:val="center"/>
            <w:hideMark/>
          </w:tcPr>
          <w:p w14:paraId="7516D253" w14:textId="77777777" w:rsidR="001C2BA2" w:rsidRPr="00F562A8" w:rsidRDefault="001C2BA2" w:rsidP="006131C6">
            <w:pPr>
              <w:spacing w:after="0" w:line="276" w:lineRule="auto"/>
              <w:rPr>
                <w:rFonts w:ascii="Times New Roman" w:eastAsia="Times New Roman" w:hAnsi="Times New Roman" w:cs="Times New Roman"/>
                <w:b/>
                <w:color w:val="000000" w:themeColor="text1"/>
                <w:sz w:val="18"/>
                <w:szCs w:val="18"/>
                <w:lang w:eastAsia="ru-RU"/>
              </w:rPr>
            </w:pPr>
            <w:r w:rsidRPr="00F562A8">
              <w:rPr>
                <w:rFonts w:ascii="Times New Roman" w:eastAsia="Times New Roman" w:hAnsi="Times New Roman" w:cs="Times New Roman"/>
                <w:b/>
                <w:color w:val="000000" w:themeColor="text1"/>
                <w:sz w:val="18"/>
                <w:szCs w:val="18"/>
                <w:lang w:eastAsia="ru-RU"/>
              </w:rPr>
              <w:t>Категория риска</w:t>
            </w:r>
          </w:p>
        </w:tc>
        <w:tc>
          <w:tcPr>
            <w:tcW w:w="711" w:type="dxa"/>
            <w:shd w:val="clear" w:color="auto" w:fill="auto"/>
            <w:noWrap/>
            <w:vAlign w:val="center"/>
            <w:hideMark/>
          </w:tcPr>
          <w:p w14:paraId="078FA155" w14:textId="77777777" w:rsidR="001C2BA2" w:rsidRPr="00F562A8" w:rsidRDefault="001C2BA2" w:rsidP="006131C6">
            <w:pPr>
              <w:spacing w:after="0" w:line="276" w:lineRule="auto"/>
              <w:jc w:val="center"/>
              <w:rPr>
                <w:rFonts w:ascii="Times New Roman" w:eastAsia="Times New Roman" w:hAnsi="Times New Roman" w:cs="Times New Roman"/>
                <w:b/>
                <w:color w:val="000000" w:themeColor="text1"/>
                <w:sz w:val="18"/>
                <w:szCs w:val="18"/>
                <w:lang w:eastAsia="ru-RU"/>
              </w:rPr>
            </w:pPr>
            <w:r w:rsidRPr="00F562A8">
              <w:rPr>
                <w:rFonts w:ascii="Times New Roman" w:eastAsia="Times New Roman" w:hAnsi="Times New Roman" w:cs="Times New Roman"/>
                <w:b/>
                <w:color w:val="000000" w:themeColor="text1"/>
                <w:sz w:val="18"/>
                <w:szCs w:val="18"/>
                <w:lang w:eastAsia="ru-RU"/>
              </w:rPr>
              <w:t>1</w:t>
            </w:r>
          </w:p>
        </w:tc>
        <w:tc>
          <w:tcPr>
            <w:tcW w:w="709" w:type="dxa"/>
            <w:shd w:val="clear" w:color="auto" w:fill="auto"/>
            <w:noWrap/>
            <w:vAlign w:val="center"/>
            <w:hideMark/>
          </w:tcPr>
          <w:p w14:paraId="2C2CF200" w14:textId="77777777" w:rsidR="001C2BA2" w:rsidRPr="00F562A8" w:rsidRDefault="001C2BA2" w:rsidP="006131C6">
            <w:pPr>
              <w:spacing w:after="0" w:line="276" w:lineRule="auto"/>
              <w:jc w:val="center"/>
              <w:rPr>
                <w:rFonts w:ascii="Times New Roman" w:eastAsia="Times New Roman" w:hAnsi="Times New Roman" w:cs="Times New Roman"/>
                <w:b/>
                <w:color w:val="000000" w:themeColor="text1"/>
                <w:sz w:val="18"/>
                <w:szCs w:val="18"/>
                <w:lang w:eastAsia="ru-RU"/>
              </w:rPr>
            </w:pPr>
            <w:r w:rsidRPr="00F562A8">
              <w:rPr>
                <w:rFonts w:ascii="Times New Roman" w:eastAsia="Times New Roman" w:hAnsi="Times New Roman" w:cs="Times New Roman"/>
                <w:b/>
                <w:color w:val="000000" w:themeColor="text1"/>
                <w:sz w:val="18"/>
                <w:szCs w:val="18"/>
                <w:lang w:eastAsia="ru-RU"/>
              </w:rPr>
              <w:t>2</w:t>
            </w:r>
          </w:p>
        </w:tc>
        <w:tc>
          <w:tcPr>
            <w:tcW w:w="567" w:type="dxa"/>
            <w:shd w:val="clear" w:color="auto" w:fill="auto"/>
            <w:noWrap/>
            <w:vAlign w:val="center"/>
            <w:hideMark/>
          </w:tcPr>
          <w:p w14:paraId="534CC5B6" w14:textId="77777777" w:rsidR="001C2BA2" w:rsidRPr="00F562A8" w:rsidRDefault="001C2BA2" w:rsidP="006131C6">
            <w:pPr>
              <w:spacing w:after="0" w:line="276" w:lineRule="auto"/>
              <w:jc w:val="center"/>
              <w:rPr>
                <w:rFonts w:ascii="Times New Roman" w:eastAsia="Times New Roman" w:hAnsi="Times New Roman" w:cs="Times New Roman"/>
                <w:b/>
                <w:color w:val="000000" w:themeColor="text1"/>
                <w:sz w:val="18"/>
                <w:szCs w:val="18"/>
                <w:lang w:eastAsia="ru-RU"/>
              </w:rPr>
            </w:pPr>
            <w:r w:rsidRPr="00F562A8">
              <w:rPr>
                <w:rFonts w:ascii="Times New Roman" w:eastAsia="Times New Roman" w:hAnsi="Times New Roman" w:cs="Times New Roman"/>
                <w:b/>
                <w:color w:val="000000" w:themeColor="text1"/>
                <w:sz w:val="18"/>
                <w:szCs w:val="18"/>
                <w:lang w:eastAsia="ru-RU"/>
              </w:rPr>
              <w:t>3</w:t>
            </w:r>
          </w:p>
        </w:tc>
        <w:tc>
          <w:tcPr>
            <w:tcW w:w="567" w:type="dxa"/>
            <w:shd w:val="clear" w:color="auto" w:fill="auto"/>
            <w:noWrap/>
            <w:vAlign w:val="center"/>
            <w:hideMark/>
          </w:tcPr>
          <w:p w14:paraId="4349BD8B" w14:textId="77777777" w:rsidR="001C2BA2" w:rsidRPr="00F562A8" w:rsidRDefault="001C2BA2" w:rsidP="006131C6">
            <w:pPr>
              <w:spacing w:after="0" w:line="276" w:lineRule="auto"/>
              <w:jc w:val="center"/>
              <w:rPr>
                <w:rFonts w:ascii="Times New Roman" w:eastAsia="Times New Roman" w:hAnsi="Times New Roman" w:cs="Times New Roman"/>
                <w:b/>
                <w:color w:val="000000" w:themeColor="text1"/>
                <w:sz w:val="18"/>
                <w:szCs w:val="18"/>
                <w:lang w:eastAsia="ru-RU"/>
              </w:rPr>
            </w:pPr>
            <w:r w:rsidRPr="00F562A8">
              <w:rPr>
                <w:rFonts w:ascii="Times New Roman" w:eastAsia="Times New Roman" w:hAnsi="Times New Roman" w:cs="Times New Roman"/>
                <w:b/>
                <w:color w:val="000000" w:themeColor="text1"/>
                <w:sz w:val="18"/>
                <w:szCs w:val="18"/>
                <w:lang w:eastAsia="ru-RU"/>
              </w:rPr>
              <w:t>4</w:t>
            </w:r>
          </w:p>
        </w:tc>
        <w:tc>
          <w:tcPr>
            <w:tcW w:w="567" w:type="dxa"/>
            <w:shd w:val="clear" w:color="auto" w:fill="auto"/>
            <w:noWrap/>
            <w:vAlign w:val="center"/>
            <w:hideMark/>
          </w:tcPr>
          <w:p w14:paraId="7EF962F2" w14:textId="77777777" w:rsidR="001C2BA2" w:rsidRPr="00F562A8" w:rsidRDefault="001C2BA2" w:rsidP="006131C6">
            <w:pPr>
              <w:spacing w:after="0" w:line="276" w:lineRule="auto"/>
              <w:jc w:val="center"/>
              <w:rPr>
                <w:rFonts w:ascii="Times New Roman" w:eastAsia="Times New Roman" w:hAnsi="Times New Roman" w:cs="Times New Roman"/>
                <w:b/>
                <w:color w:val="000000" w:themeColor="text1"/>
                <w:sz w:val="18"/>
                <w:szCs w:val="18"/>
                <w:lang w:eastAsia="ru-RU"/>
              </w:rPr>
            </w:pPr>
            <w:r w:rsidRPr="00F562A8">
              <w:rPr>
                <w:rFonts w:ascii="Times New Roman" w:eastAsia="Times New Roman" w:hAnsi="Times New Roman" w:cs="Times New Roman"/>
                <w:b/>
                <w:color w:val="000000" w:themeColor="text1"/>
                <w:sz w:val="18"/>
                <w:szCs w:val="18"/>
                <w:lang w:eastAsia="ru-RU"/>
              </w:rPr>
              <w:t>5</w:t>
            </w:r>
          </w:p>
        </w:tc>
        <w:tc>
          <w:tcPr>
            <w:tcW w:w="494" w:type="dxa"/>
            <w:shd w:val="clear" w:color="auto" w:fill="auto"/>
            <w:noWrap/>
            <w:vAlign w:val="center"/>
            <w:hideMark/>
          </w:tcPr>
          <w:p w14:paraId="4055DBDE" w14:textId="77777777" w:rsidR="001C2BA2" w:rsidRPr="00F562A8" w:rsidRDefault="001C2BA2" w:rsidP="006131C6">
            <w:pPr>
              <w:spacing w:after="0" w:line="276" w:lineRule="auto"/>
              <w:jc w:val="center"/>
              <w:rPr>
                <w:rFonts w:ascii="Times New Roman" w:eastAsia="Times New Roman" w:hAnsi="Times New Roman" w:cs="Times New Roman"/>
                <w:b/>
                <w:color w:val="000000" w:themeColor="text1"/>
                <w:sz w:val="18"/>
                <w:szCs w:val="18"/>
                <w:lang w:eastAsia="ru-RU"/>
              </w:rPr>
            </w:pPr>
            <w:r w:rsidRPr="00F562A8">
              <w:rPr>
                <w:rFonts w:ascii="Times New Roman" w:eastAsia="Times New Roman" w:hAnsi="Times New Roman" w:cs="Times New Roman"/>
                <w:b/>
                <w:color w:val="000000" w:themeColor="text1"/>
                <w:sz w:val="18"/>
                <w:szCs w:val="18"/>
                <w:lang w:eastAsia="ru-RU"/>
              </w:rPr>
              <w:t>6</w:t>
            </w:r>
          </w:p>
        </w:tc>
        <w:tc>
          <w:tcPr>
            <w:tcW w:w="567" w:type="dxa"/>
            <w:shd w:val="clear" w:color="auto" w:fill="auto"/>
            <w:noWrap/>
            <w:vAlign w:val="center"/>
            <w:hideMark/>
          </w:tcPr>
          <w:p w14:paraId="38E0BA87" w14:textId="77777777" w:rsidR="001C2BA2" w:rsidRPr="00F562A8" w:rsidRDefault="001C2BA2" w:rsidP="006131C6">
            <w:pPr>
              <w:spacing w:after="0" w:line="276" w:lineRule="auto"/>
              <w:jc w:val="center"/>
              <w:rPr>
                <w:rFonts w:ascii="Times New Roman" w:eastAsia="Times New Roman" w:hAnsi="Times New Roman" w:cs="Times New Roman"/>
                <w:b/>
                <w:color w:val="000000" w:themeColor="text1"/>
                <w:sz w:val="18"/>
                <w:szCs w:val="18"/>
                <w:lang w:eastAsia="ru-RU"/>
              </w:rPr>
            </w:pPr>
            <w:r w:rsidRPr="00F562A8">
              <w:rPr>
                <w:rFonts w:ascii="Times New Roman" w:eastAsia="Times New Roman" w:hAnsi="Times New Roman" w:cs="Times New Roman"/>
                <w:b/>
                <w:color w:val="000000" w:themeColor="text1"/>
                <w:sz w:val="18"/>
                <w:szCs w:val="18"/>
                <w:lang w:eastAsia="ru-RU"/>
              </w:rPr>
              <w:t>7</w:t>
            </w:r>
          </w:p>
        </w:tc>
        <w:tc>
          <w:tcPr>
            <w:tcW w:w="567" w:type="dxa"/>
            <w:shd w:val="clear" w:color="auto" w:fill="auto"/>
            <w:noWrap/>
            <w:vAlign w:val="center"/>
            <w:hideMark/>
          </w:tcPr>
          <w:p w14:paraId="20608F95" w14:textId="77777777" w:rsidR="001C2BA2" w:rsidRPr="00F562A8" w:rsidRDefault="001C2BA2" w:rsidP="006131C6">
            <w:pPr>
              <w:spacing w:after="0" w:line="276" w:lineRule="auto"/>
              <w:jc w:val="center"/>
              <w:rPr>
                <w:rFonts w:ascii="Times New Roman" w:eastAsia="Times New Roman" w:hAnsi="Times New Roman" w:cs="Times New Roman"/>
                <w:b/>
                <w:color w:val="000000" w:themeColor="text1"/>
                <w:sz w:val="18"/>
                <w:szCs w:val="18"/>
                <w:lang w:eastAsia="ru-RU"/>
              </w:rPr>
            </w:pPr>
            <w:r w:rsidRPr="00F562A8">
              <w:rPr>
                <w:rFonts w:ascii="Times New Roman" w:eastAsia="Times New Roman" w:hAnsi="Times New Roman" w:cs="Times New Roman"/>
                <w:b/>
                <w:color w:val="000000" w:themeColor="text1"/>
                <w:sz w:val="18"/>
                <w:szCs w:val="18"/>
                <w:lang w:eastAsia="ru-RU"/>
              </w:rPr>
              <w:t>8</w:t>
            </w:r>
          </w:p>
        </w:tc>
        <w:tc>
          <w:tcPr>
            <w:tcW w:w="567" w:type="dxa"/>
            <w:shd w:val="clear" w:color="auto" w:fill="auto"/>
            <w:noWrap/>
            <w:vAlign w:val="center"/>
            <w:hideMark/>
          </w:tcPr>
          <w:p w14:paraId="337105FF" w14:textId="77777777" w:rsidR="001C2BA2" w:rsidRPr="00F562A8" w:rsidRDefault="001C2BA2" w:rsidP="006131C6">
            <w:pPr>
              <w:spacing w:after="0" w:line="276" w:lineRule="auto"/>
              <w:jc w:val="center"/>
              <w:rPr>
                <w:rFonts w:ascii="Times New Roman" w:eastAsia="Times New Roman" w:hAnsi="Times New Roman" w:cs="Times New Roman"/>
                <w:b/>
                <w:color w:val="000000" w:themeColor="text1"/>
                <w:sz w:val="18"/>
                <w:szCs w:val="18"/>
                <w:lang w:eastAsia="ru-RU"/>
              </w:rPr>
            </w:pPr>
            <w:r w:rsidRPr="00F562A8">
              <w:rPr>
                <w:rFonts w:ascii="Times New Roman" w:eastAsia="Times New Roman" w:hAnsi="Times New Roman" w:cs="Times New Roman"/>
                <w:b/>
                <w:color w:val="000000" w:themeColor="text1"/>
                <w:sz w:val="18"/>
                <w:szCs w:val="18"/>
                <w:lang w:eastAsia="ru-RU"/>
              </w:rPr>
              <w:t>9</w:t>
            </w:r>
          </w:p>
        </w:tc>
        <w:tc>
          <w:tcPr>
            <w:tcW w:w="486" w:type="dxa"/>
            <w:shd w:val="clear" w:color="auto" w:fill="auto"/>
            <w:noWrap/>
            <w:vAlign w:val="center"/>
            <w:hideMark/>
          </w:tcPr>
          <w:p w14:paraId="11FFCA53" w14:textId="77777777" w:rsidR="001C2BA2" w:rsidRPr="00F562A8" w:rsidRDefault="001C2BA2" w:rsidP="006131C6">
            <w:pPr>
              <w:spacing w:after="0" w:line="276" w:lineRule="auto"/>
              <w:jc w:val="center"/>
              <w:rPr>
                <w:rFonts w:ascii="Times New Roman" w:eastAsia="Times New Roman" w:hAnsi="Times New Roman" w:cs="Times New Roman"/>
                <w:b/>
                <w:color w:val="000000" w:themeColor="text1"/>
                <w:sz w:val="18"/>
                <w:szCs w:val="18"/>
                <w:lang w:eastAsia="ru-RU"/>
              </w:rPr>
            </w:pPr>
            <w:r w:rsidRPr="00F562A8">
              <w:rPr>
                <w:rFonts w:ascii="Times New Roman" w:eastAsia="Times New Roman" w:hAnsi="Times New Roman" w:cs="Times New Roman"/>
                <w:b/>
                <w:color w:val="000000" w:themeColor="text1"/>
                <w:sz w:val="18"/>
                <w:szCs w:val="18"/>
                <w:lang w:eastAsia="ru-RU"/>
              </w:rPr>
              <w:t>10</w:t>
            </w:r>
          </w:p>
        </w:tc>
      </w:tr>
      <w:tr w:rsidR="001C2BA2" w:rsidRPr="00F562A8" w14:paraId="2CC52454" w14:textId="77777777" w:rsidTr="006131C6">
        <w:trPr>
          <w:trHeight w:val="315"/>
        </w:trPr>
        <w:tc>
          <w:tcPr>
            <w:tcW w:w="9636" w:type="dxa"/>
            <w:gridSpan w:val="12"/>
          </w:tcPr>
          <w:p w14:paraId="623BD772" w14:textId="77777777" w:rsidR="001C2BA2" w:rsidRPr="00F562A8" w:rsidRDefault="001C2BA2" w:rsidP="006131C6">
            <w:pPr>
              <w:spacing w:after="0" w:line="276" w:lineRule="auto"/>
              <w:jc w:val="center"/>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Системный риск</w:t>
            </w:r>
          </w:p>
        </w:tc>
      </w:tr>
      <w:tr w:rsidR="001C2BA2" w:rsidRPr="00F562A8" w14:paraId="03CB77F8" w14:textId="77777777" w:rsidTr="006131C6">
        <w:trPr>
          <w:trHeight w:val="555"/>
        </w:trPr>
        <w:tc>
          <w:tcPr>
            <w:tcW w:w="2273" w:type="dxa"/>
            <w:shd w:val="clear" w:color="auto" w:fill="auto"/>
            <w:vAlign w:val="center"/>
            <w:hideMark/>
          </w:tcPr>
          <w:p w14:paraId="220F8448"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Ухудшение общей экономической ситуации</w:t>
            </w:r>
          </w:p>
        </w:tc>
        <w:tc>
          <w:tcPr>
            <w:tcW w:w="1560" w:type="dxa"/>
            <w:shd w:val="clear" w:color="auto" w:fill="auto"/>
            <w:noWrap/>
            <w:vAlign w:val="center"/>
            <w:hideMark/>
          </w:tcPr>
          <w:p w14:paraId="485288DC"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Динамичный</w:t>
            </w:r>
          </w:p>
        </w:tc>
        <w:tc>
          <w:tcPr>
            <w:tcW w:w="711" w:type="dxa"/>
            <w:shd w:val="clear" w:color="auto" w:fill="auto"/>
            <w:noWrap/>
            <w:vAlign w:val="center"/>
            <w:hideMark/>
          </w:tcPr>
          <w:p w14:paraId="21593D6F"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709" w:type="dxa"/>
            <w:shd w:val="clear" w:color="auto" w:fill="auto"/>
            <w:noWrap/>
            <w:vAlign w:val="center"/>
            <w:hideMark/>
          </w:tcPr>
          <w:p w14:paraId="7796992C"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p>
        </w:tc>
        <w:tc>
          <w:tcPr>
            <w:tcW w:w="567" w:type="dxa"/>
            <w:shd w:val="clear" w:color="auto" w:fill="auto"/>
            <w:noWrap/>
            <w:vAlign w:val="center"/>
            <w:hideMark/>
          </w:tcPr>
          <w:p w14:paraId="677F229F"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13600E7F"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p>
        </w:tc>
        <w:tc>
          <w:tcPr>
            <w:tcW w:w="567" w:type="dxa"/>
            <w:shd w:val="clear" w:color="auto" w:fill="auto"/>
            <w:noWrap/>
            <w:vAlign w:val="center"/>
            <w:hideMark/>
          </w:tcPr>
          <w:p w14:paraId="6718E4B8"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494" w:type="dxa"/>
            <w:shd w:val="clear" w:color="auto" w:fill="auto"/>
            <w:noWrap/>
            <w:vAlign w:val="center"/>
            <w:hideMark/>
          </w:tcPr>
          <w:p w14:paraId="410B44BB"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68588443"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26D6DF60"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1C4421F8"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486" w:type="dxa"/>
            <w:shd w:val="clear" w:color="auto" w:fill="auto"/>
            <w:noWrap/>
            <w:vAlign w:val="center"/>
            <w:hideMark/>
          </w:tcPr>
          <w:p w14:paraId="7CD7F47E"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r>
      <w:tr w:rsidR="001C2BA2" w:rsidRPr="00F562A8" w14:paraId="41DEAC3D" w14:textId="77777777" w:rsidTr="006131C6">
        <w:trPr>
          <w:trHeight w:val="549"/>
        </w:trPr>
        <w:tc>
          <w:tcPr>
            <w:tcW w:w="2273" w:type="dxa"/>
            <w:shd w:val="clear" w:color="auto" w:fill="auto"/>
            <w:vAlign w:val="center"/>
            <w:hideMark/>
          </w:tcPr>
          <w:p w14:paraId="2FC611AD"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Увеличение числа конкурирующих объектов</w:t>
            </w:r>
          </w:p>
        </w:tc>
        <w:tc>
          <w:tcPr>
            <w:tcW w:w="1560" w:type="dxa"/>
            <w:shd w:val="clear" w:color="auto" w:fill="auto"/>
            <w:noWrap/>
            <w:vAlign w:val="center"/>
            <w:hideMark/>
          </w:tcPr>
          <w:p w14:paraId="5CA0F69C"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Динамичный</w:t>
            </w:r>
          </w:p>
        </w:tc>
        <w:tc>
          <w:tcPr>
            <w:tcW w:w="711" w:type="dxa"/>
            <w:shd w:val="clear" w:color="auto" w:fill="auto"/>
            <w:noWrap/>
            <w:vAlign w:val="center"/>
            <w:hideMark/>
          </w:tcPr>
          <w:p w14:paraId="26219391"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r w:rsidRPr="00F562A8">
              <w:rPr>
                <w:rFonts w:ascii="Times New Roman" w:eastAsia="Times New Roman" w:hAnsi="Times New Roman" w:cs="Times New Roman"/>
                <w:color w:val="000000" w:themeColor="text1"/>
                <w:sz w:val="18"/>
                <w:szCs w:val="18"/>
                <w:lang w:eastAsia="ru-RU"/>
              </w:rPr>
              <w:t> </w:t>
            </w:r>
          </w:p>
        </w:tc>
        <w:tc>
          <w:tcPr>
            <w:tcW w:w="709" w:type="dxa"/>
            <w:shd w:val="clear" w:color="auto" w:fill="auto"/>
            <w:noWrap/>
            <w:vAlign w:val="center"/>
            <w:hideMark/>
          </w:tcPr>
          <w:p w14:paraId="7126F3CB"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p>
        </w:tc>
        <w:tc>
          <w:tcPr>
            <w:tcW w:w="567" w:type="dxa"/>
            <w:shd w:val="clear" w:color="auto" w:fill="auto"/>
            <w:noWrap/>
            <w:vAlign w:val="center"/>
            <w:hideMark/>
          </w:tcPr>
          <w:p w14:paraId="7E63B5F1"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5247E0DA"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2A89E03E"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494" w:type="dxa"/>
            <w:shd w:val="clear" w:color="auto" w:fill="auto"/>
            <w:noWrap/>
            <w:vAlign w:val="center"/>
            <w:hideMark/>
          </w:tcPr>
          <w:p w14:paraId="066C6439"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074D8CF1"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4524AFCD"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2B79126E"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486" w:type="dxa"/>
            <w:shd w:val="clear" w:color="auto" w:fill="auto"/>
            <w:noWrap/>
            <w:vAlign w:val="center"/>
            <w:hideMark/>
          </w:tcPr>
          <w:p w14:paraId="5EC4E053"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r>
      <w:tr w:rsidR="001C2BA2" w:rsidRPr="00F562A8" w14:paraId="1DFD88DC" w14:textId="77777777" w:rsidTr="006131C6">
        <w:trPr>
          <w:trHeight w:val="699"/>
        </w:trPr>
        <w:tc>
          <w:tcPr>
            <w:tcW w:w="2273" w:type="dxa"/>
            <w:shd w:val="clear" w:color="auto" w:fill="auto"/>
            <w:vAlign w:val="center"/>
            <w:hideMark/>
          </w:tcPr>
          <w:p w14:paraId="16828311"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Изменение законодательства в сфере обращения недвижимости</w:t>
            </w:r>
          </w:p>
        </w:tc>
        <w:tc>
          <w:tcPr>
            <w:tcW w:w="1560" w:type="dxa"/>
            <w:shd w:val="clear" w:color="auto" w:fill="auto"/>
            <w:noWrap/>
            <w:vAlign w:val="center"/>
            <w:hideMark/>
          </w:tcPr>
          <w:p w14:paraId="27EAF406"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Динамичный</w:t>
            </w:r>
          </w:p>
        </w:tc>
        <w:tc>
          <w:tcPr>
            <w:tcW w:w="711" w:type="dxa"/>
            <w:shd w:val="clear" w:color="auto" w:fill="auto"/>
            <w:noWrap/>
            <w:vAlign w:val="center"/>
            <w:hideMark/>
          </w:tcPr>
          <w:p w14:paraId="7BA063A4"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709" w:type="dxa"/>
            <w:shd w:val="clear" w:color="auto" w:fill="auto"/>
            <w:noWrap/>
            <w:vAlign w:val="center"/>
            <w:hideMark/>
          </w:tcPr>
          <w:p w14:paraId="531B8622"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61F5B46B"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2A17668E"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5EC62ED3"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494" w:type="dxa"/>
            <w:shd w:val="clear" w:color="auto" w:fill="auto"/>
            <w:noWrap/>
            <w:vAlign w:val="center"/>
            <w:hideMark/>
          </w:tcPr>
          <w:p w14:paraId="73FF3B4D"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2192F355"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1D8DCF2F"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6452069A"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486" w:type="dxa"/>
            <w:shd w:val="clear" w:color="auto" w:fill="auto"/>
            <w:noWrap/>
            <w:vAlign w:val="center"/>
            <w:hideMark/>
          </w:tcPr>
          <w:p w14:paraId="39D43B8E"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r>
      <w:tr w:rsidR="001C2BA2" w:rsidRPr="00F562A8" w14:paraId="7616A47F" w14:textId="77777777" w:rsidTr="006131C6">
        <w:trPr>
          <w:trHeight w:val="315"/>
        </w:trPr>
        <w:tc>
          <w:tcPr>
            <w:tcW w:w="9636" w:type="dxa"/>
            <w:gridSpan w:val="12"/>
          </w:tcPr>
          <w:p w14:paraId="22782455" w14:textId="77777777" w:rsidR="001C2BA2" w:rsidRPr="00F562A8" w:rsidRDefault="001C2BA2" w:rsidP="006131C6">
            <w:pPr>
              <w:spacing w:after="0" w:line="276" w:lineRule="auto"/>
              <w:jc w:val="center"/>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Несистемный риск</w:t>
            </w:r>
          </w:p>
        </w:tc>
      </w:tr>
      <w:tr w:rsidR="001C2BA2" w:rsidRPr="00F562A8" w14:paraId="0EBF8811" w14:textId="77777777" w:rsidTr="006131C6">
        <w:trPr>
          <w:trHeight w:val="515"/>
        </w:trPr>
        <w:tc>
          <w:tcPr>
            <w:tcW w:w="2273" w:type="dxa"/>
            <w:shd w:val="clear" w:color="auto" w:fill="auto"/>
            <w:vAlign w:val="center"/>
            <w:hideMark/>
          </w:tcPr>
          <w:p w14:paraId="5DB19140"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Воздействие природных и иных факторов</w:t>
            </w:r>
          </w:p>
        </w:tc>
        <w:tc>
          <w:tcPr>
            <w:tcW w:w="1560" w:type="dxa"/>
            <w:shd w:val="clear" w:color="auto" w:fill="auto"/>
            <w:noWrap/>
            <w:vAlign w:val="center"/>
            <w:hideMark/>
          </w:tcPr>
          <w:p w14:paraId="001E1A7F"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Статичный</w:t>
            </w:r>
          </w:p>
        </w:tc>
        <w:tc>
          <w:tcPr>
            <w:tcW w:w="711" w:type="dxa"/>
            <w:shd w:val="clear" w:color="auto" w:fill="auto"/>
            <w:noWrap/>
            <w:vAlign w:val="center"/>
            <w:hideMark/>
          </w:tcPr>
          <w:p w14:paraId="1DEB303D"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709" w:type="dxa"/>
            <w:shd w:val="clear" w:color="auto" w:fill="auto"/>
            <w:noWrap/>
            <w:vAlign w:val="center"/>
            <w:hideMark/>
          </w:tcPr>
          <w:p w14:paraId="62A64D2E"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20EBCEB4"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r>
              <w:rPr>
                <w:rFonts w:ascii="Times New Roman" w:eastAsia="Times New Roman" w:hAnsi="Times New Roman" w:cs="Times New Roman"/>
                <w:color w:val="000000" w:themeColor="text1"/>
                <w:sz w:val="18"/>
                <w:szCs w:val="18"/>
                <w:lang w:eastAsia="ru-RU"/>
              </w:rPr>
              <w:t>1</w:t>
            </w:r>
          </w:p>
        </w:tc>
        <w:tc>
          <w:tcPr>
            <w:tcW w:w="567" w:type="dxa"/>
            <w:shd w:val="clear" w:color="auto" w:fill="auto"/>
            <w:noWrap/>
            <w:vAlign w:val="center"/>
            <w:hideMark/>
          </w:tcPr>
          <w:p w14:paraId="1165A5F0"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039B93CD"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494" w:type="dxa"/>
            <w:shd w:val="clear" w:color="auto" w:fill="auto"/>
            <w:noWrap/>
            <w:vAlign w:val="center"/>
            <w:hideMark/>
          </w:tcPr>
          <w:p w14:paraId="0281C803"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47E2D8D5"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64A530A1"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30478BBF"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486" w:type="dxa"/>
            <w:shd w:val="clear" w:color="auto" w:fill="auto"/>
            <w:noWrap/>
            <w:vAlign w:val="center"/>
            <w:hideMark/>
          </w:tcPr>
          <w:p w14:paraId="43C8F082"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r>
      <w:tr w:rsidR="001C2BA2" w:rsidRPr="00F562A8" w14:paraId="42BCD026" w14:textId="77777777" w:rsidTr="006131C6">
        <w:trPr>
          <w:trHeight w:val="409"/>
        </w:trPr>
        <w:tc>
          <w:tcPr>
            <w:tcW w:w="2273" w:type="dxa"/>
            <w:shd w:val="clear" w:color="auto" w:fill="auto"/>
            <w:vAlign w:val="center"/>
            <w:hideMark/>
          </w:tcPr>
          <w:p w14:paraId="64D3A9AC"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Изменение стандартов и критериев качества</w:t>
            </w:r>
          </w:p>
        </w:tc>
        <w:tc>
          <w:tcPr>
            <w:tcW w:w="1560" w:type="dxa"/>
            <w:shd w:val="clear" w:color="auto" w:fill="auto"/>
            <w:noWrap/>
            <w:vAlign w:val="center"/>
            <w:hideMark/>
          </w:tcPr>
          <w:p w14:paraId="27211FDA"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Статичный</w:t>
            </w:r>
          </w:p>
        </w:tc>
        <w:tc>
          <w:tcPr>
            <w:tcW w:w="711" w:type="dxa"/>
            <w:shd w:val="clear" w:color="auto" w:fill="auto"/>
            <w:noWrap/>
            <w:vAlign w:val="center"/>
            <w:hideMark/>
          </w:tcPr>
          <w:p w14:paraId="3CCFA50B"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1 </w:t>
            </w:r>
          </w:p>
        </w:tc>
        <w:tc>
          <w:tcPr>
            <w:tcW w:w="709" w:type="dxa"/>
            <w:shd w:val="clear" w:color="auto" w:fill="auto"/>
            <w:noWrap/>
            <w:vAlign w:val="center"/>
            <w:hideMark/>
          </w:tcPr>
          <w:p w14:paraId="04FB6F57"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3CEB1600"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21B7DD16"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25A95BBA"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494" w:type="dxa"/>
            <w:shd w:val="clear" w:color="auto" w:fill="auto"/>
            <w:noWrap/>
            <w:vAlign w:val="center"/>
            <w:hideMark/>
          </w:tcPr>
          <w:p w14:paraId="6D30B407"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007758FF"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7D9DEA34"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2E2EB63E"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486" w:type="dxa"/>
            <w:shd w:val="clear" w:color="auto" w:fill="auto"/>
            <w:noWrap/>
            <w:vAlign w:val="center"/>
            <w:hideMark/>
          </w:tcPr>
          <w:p w14:paraId="51123660"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r>
      <w:tr w:rsidR="001C2BA2" w:rsidRPr="00F562A8" w14:paraId="2E3D81C1" w14:textId="77777777" w:rsidTr="006131C6">
        <w:trPr>
          <w:trHeight w:val="415"/>
        </w:trPr>
        <w:tc>
          <w:tcPr>
            <w:tcW w:w="2273" w:type="dxa"/>
            <w:shd w:val="clear" w:color="auto" w:fill="auto"/>
            <w:vAlign w:val="center"/>
            <w:hideMark/>
          </w:tcPr>
          <w:p w14:paraId="608A2263"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Эффективность менеджмента</w:t>
            </w:r>
          </w:p>
        </w:tc>
        <w:tc>
          <w:tcPr>
            <w:tcW w:w="1560" w:type="dxa"/>
            <w:shd w:val="clear" w:color="auto" w:fill="auto"/>
            <w:noWrap/>
            <w:vAlign w:val="center"/>
            <w:hideMark/>
          </w:tcPr>
          <w:p w14:paraId="2E560EFA"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Динамичный</w:t>
            </w:r>
          </w:p>
        </w:tc>
        <w:tc>
          <w:tcPr>
            <w:tcW w:w="711" w:type="dxa"/>
            <w:shd w:val="clear" w:color="auto" w:fill="auto"/>
            <w:noWrap/>
            <w:vAlign w:val="center"/>
            <w:hideMark/>
          </w:tcPr>
          <w:p w14:paraId="36894C96"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709" w:type="dxa"/>
            <w:shd w:val="clear" w:color="auto" w:fill="auto"/>
            <w:noWrap/>
            <w:vAlign w:val="center"/>
            <w:hideMark/>
          </w:tcPr>
          <w:p w14:paraId="4C4BE012"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p>
        </w:tc>
        <w:tc>
          <w:tcPr>
            <w:tcW w:w="567" w:type="dxa"/>
            <w:shd w:val="clear" w:color="auto" w:fill="auto"/>
            <w:noWrap/>
            <w:vAlign w:val="center"/>
            <w:hideMark/>
          </w:tcPr>
          <w:p w14:paraId="15DFFA9E"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r>
              <w:rPr>
                <w:rFonts w:ascii="Times New Roman" w:eastAsia="Times New Roman" w:hAnsi="Times New Roman" w:cs="Times New Roman"/>
                <w:color w:val="000000" w:themeColor="text1"/>
                <w:sz w:val="18"/>
                <w:szCs w:val="18"/>
                <w:lang w:eastAsia="ru-RU"/>
              </w:rPr>
              <w:t>1</w:t>
            </w:r>
          </w:p>
        </w:tc>
        <w:tc>
          <w:tcPr>
            <w:tcW w:w="567" w:type="dxa"/>
            <w:shd w:val="clear" w:color="auto" w:fill="auto"/>
            <w:noWrap/>
            <w:vAlign w:val="center"/>
            <w:hideMark/>
          </w:tcPr>
          <w:p w14:paraId="4C9E3E56"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6DCA5942"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494" w:type="dxa"/>
            <w:shd w:val="clear" w:color="auto" w:fill="auto"/>
            <w:noWrap/>
            <w:vAlign w:val="center"/>
            <w:hideMark/>
          </w:tcPr>
          <w:p w14:paraId="06CF2806"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543F2926"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161A6EC6"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0F185EDA"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486" w:type="dxa"/>
            <w:shd w:val="clear" w:color="auto" w:fill="auto"/>
            <w:noWrap/>
            <w:vAlign w:val="center"/>
            <w:hideMark/>
          </w:tcPr>
          <w:p w14:paraId="34FB7829"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r>
      <w:tr w:rsidR="001C2BA2" w:rsidRPr="00F562A8" w14:paraId="4024FBD0" w14:textId="77777777" w:rsidTr="006131C6">
        <w:trPr>
          <w:trHeight w:val="279"/>
        </w:trPr>
        <w:tc>
          <w:tcPr>
            <w:tcW w:w="2273" w:type="dxa"/>
            <w:shd w:val="clear" w:color="auto" w:fill="auto"/>
            <w:vAlign w:val="center"/>
            <w:hideMark/>
          </w:tcPr>
          <w:p w14:paraId="08A7A02F"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Количество наблюдений</w:t>
            </w:r>
          </w:p>
        </w:tc>
        <w:tc>
          <w:tcPr>
            <w:tcW w:w="1560" w:type="dxa"/>
            <w:shd w:val="clear" w:color="auto" w:fill="auto"/>
            <w:noWrap/>
            <w:vAlign w:val="center"/>
            <w:hideMark/>
          </w:tcPr>
          <w:p w14:paraId="21B8E11A"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динамичный </w:t>
            </w:r>
          </w:p>
        </w:tc>
        <w:tc>
          <w:tcPr>
            <w:tcW w:w="711" w:type="dxa"/>
            <w:shd w:val="clear" w:color="auto" w:fill="auto"/>
            <w:noWrap/>
            <w:vAlign w:val="center"/>
            <w:hideMark/>
          </w:tcPr>
          <w:p w14:paraId="4CA0547F" w14:textId="77777777" w:rsidR="001C2BA2" w:rsidRPr="00F562A8" w:rsidRDefault="001C2BA2" w:rsidP="006131C6">
            <w:pPr>
              <w:spacing w:after="0" w:line="276" w:lineRule="auto"/>
              <w:ind w:firstLineChars="200" w:firstLine="360"/>
              <w:jc w:val="right"/>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1 </w:t>
            </w:r>
          </w:p>
        </w:tc>
        <w:tc>
          <w:tcPr>
            <w:tcW w:w="709" w:type="dxa"/>
            <w:shd w:val="clear" w:color="auto" w:fill="auto"/>
            <w:noWrap/>
            <w:vAlign w:val="center"/>
            <w:hideMark/>
          </w:tcPr>
          <w:p w14:paraId="3DD672DD"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6701633F"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3B49555C"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075C6C5D"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494" w:type="dxa"/>
            <w:shd w:val="clear" w:color="auto" w:fill="auto"/>
            <w:noWrap/>
            <w:vAlign w:val="center"/>
            <w:hideMark/>
          </w:tcPr>
          <w:p w14:paraId="7FB5D943"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7E5CE95B"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4D713860"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0B8C9F82"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486" w:type="dxa"/>
            <w:shd w:val="clear" w:color="auto" w:fill="auto"/>
            <w:noWrap/>
            <w:vAlign w:val="center"/>
            <w:hideMark/>
          </w:tcPr>
          <w:p w14:paraId="2CCFEF88"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r>
      <w:tr w:rsidR="001C2BA2" w:rsidRPr="00F562A8" w14:paraId="23CC2E77" w14:textId="77777777" w:rsidTr="006131C6">
        <w:trPr>
          <w:trHeight w:val="270"/>
        </w:trPr>
        <w:tc>
          <w:tcPr>
            <w:tcW w:w="2273" w:type="dxa"/>
            <w:shd w:val="clear" w:color="auto" w:fill="auto"/>
            <w:vAlign w:val="center"/>
            <w:hideMark/>
          </w:tcPr>
          <w:p w14:paraId="65DD385F"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Финансовый контроль</w:t>
            </w:r>
          </w:p>
        </w:tc>
        <w:tc>
          <w:tcPr>
            <w:tcW w:w="1560" w:type="dxa"/>
            <w:shd w:val="clear" w:color="auto" w:fill="auto"/>
            <w:noWrap/>
            <w:vAlign w:val="center"/>
            <w:hideMark/>
          </w:tcPr>
          <w:p w14:paraId="72C87E3C"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динамичный </w:t>
            </w:r>
          </w:p>
        </w:tc>
        <w:tc>
          <w:tcPr>
            <w:tcW w:w="711" w:type="dxa"/>
            <w:shd w:val="clear" w:color="auto" w:fill="auto"/>
            <w:noWrap/>
            <w:vAlign w:val="center"/>
            <w:hideMark/>
          </w:tcPr>
          <w:p w14:paraId="109FA8F4"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709" w:type="dxa"/>
            <w:shd w:val="clear" w:color="auto" w:fill="auto"/>
            <w:noWrap/>
            <w:vAlign w:val="center"/>
            <w:hideMark/>
          </w:tcPr>
          <w:p w14:paraId="58215482"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1</w:t>
            </w:r>
          </w:p>
        </w:tc>
        <w:tc>
          <w:tcPr>
            <w:tcW w:w="567" w:type="dxa"/>
            <w:shd w:val="clear" w:color="auto" w:fill="auto"/>
            <w:noWrap/>
            <w:vAlign w:val="center"/>
            <w:hideMark/>
          </w:tcPr>
          <w:p w14:paraId="11B3DE17"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3C5BCA2F"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28683EE6"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494" w:type="dxa"/>
            <w:shd w:val="clear" w:color="auto" w:fill="auto"/>
            <w:noWrap/>
            <w:vAlign w:val="center"/>
            <w:hideMark/>
          </w:tcPr>
          <w:p w14:paraId="4241BE85"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6F36BA4C"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2195E87A"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567" w:type="dxa"/>
            <w:shd w:val="clear" w:color="auto" w:fill="auto"/>
            <w:noWrap/>
            <w:vAlign w:val="center"/>
            <w:hideMark/>
          </w:tcPr>
          <w:p w14:paraId="0F045555"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486" w:type="dxa"/>
            <w:shd w:val="clear" w:color="auto" w:fill="auto"/>
            <w:noWrap/>
            <w:vAlign w:val="center"/>
            <w:hideMark/>
          </w:tcPr>
          <w:p w14:paraId="344A5C85"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r>
      <w:tr w:rsidR="001C2BA2" w:rsidRPr="00F562A8" w14:paraId="4031E3CC" w14:textId="77777777" w:rsidTr="006131C6">
        <w:trPr>
          <w:trHeight w:val="315"/>
        </w:trPr>
        <w:tc>
          <w:tcPr>
            <w:tcW w:w="2273" w:type="dxa"/>
            <w:shd w:val="clear" w:color="auto" w:fill="auto"/>
            <w:vAlign w:val="center"/>
            <w:hideMark/>
          </w:tcPr>
          <w:p w14:paraId="6B1F3E08"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Итого:</w:t>
            </w:r>
          </w:p>
        </w:tc>
        <w:tc>
          <w:tcPr>
            <w:tcW w:w="1560" w:type="dxa"/>
            <w:shd w:val="clear" w:color="auto" w:fill="auto"/>
            <w:noWrap/>
            <w:vAlign w:val="center"/>
            <w:hideMark/>
          </w:tcPr>
          <w:p w14:paraId="289B9897" w14:textId="77777777" w:rsidR="001C2BA2" w:rsidRPr="00F562A8" w:rsidRDefault="001C2BA2" w:rsidP="006131C6">
            <w:pPr>
              <w:spacing w:after="0" w:line="276" w:lineRule="auto"/>
              <w:ind w:firstLineChars="200" w:firstLine="360"/>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711" w:type="dxa"/>
            <w:shd w:val="clear" w:color="auto" w:fill="auto"/>
            <w:vAlign w:val="center"/>
            <w:hideMark/>
          </w:tcPr>
          <w:p w14:paraId="7439B10B"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709" w:type="dxa"/>
            <w:shd w:val="clear" w:color="auto" w:fill="auto"/>
            <w:vAlign w:val="center"/>
            <w:hideMark/>
          </w:tcPr>
          <w:p w14:paraId="6449EB2E"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567" w:type="dxa"/>
            <w:shd w:val="clear" w:color="auto" w:fill="auto"/>
            <w:vAlign w:val="center"/>
            <w:hideMark/>
          </w:tcPr>
          <w:p w14:paraId="02D02B0B"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567" w:type="dxa"/>
            <w:shd w:val="clear" w:color="auto" w:fill="auto"/>
            <w:vAlign w:val="center"/>
            <w:hideMark/>
          </w:tcPr>
          <w:p w14:paraId="070FE49F"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0</w:t>
            </w:r>
          </w:p>
        </w:tc>
        <w:tc>
          <w:tcPr>
            <w:tcW w:w="567" w:type="dxa"/>
            <w:shd w:val="clear" w:color="auto" w:fill="auto"/>
            <w:vAlign w:val="center"/>
            <w:hideMark/>
          </w:tcPr>
          <w:p w14:paraId="07C24DE8"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0</w:t>
            </w:r>
          </w:p>
        </w:tc>
        <w:tc>
          <w:tcPr>
            <w:tcW w:w="494" w:type="dxa"/>
            <w:shd w:val="clear" w:color="auto" w:fill="auto"/>
            <w:vAlign w:val="center"/>
            <w:hideMark/>
          </w:tcPr>
          <w:p w14:paraId="443372D8"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0</w:t>
            </w:r>
          </w:p>
        </w:tc>
        <w:tc>
          <w:tcPr>
            <w:tcW w:w="567" w:type="dxa"/>
            <w:shd w:val="clear" w:color="auto" w:fill="auto"/>
            <w:vAlign w:val="center"/>
            <w:hideMark/>
          </w:tcPr>
          <w:p w14:paraId="04C9B48C"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0</w:t>
            </w:r>
          </w:p>
        </w:tc>
        <w:tc>
          <w:tcPr>
            <w:tcW w:w="567" w:type="dxa"/>
            <w:shd w:val="clear" w:color="auto" w:fill="auto"/>
            <w:vAlign w:val="center"/>
            <w:hideMark/>
          </w:tcPr>
          <w:p w14:paraId="492016E8"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0</w:t>
            </w:r>
          </w:p>
        </w:tc>
        <w:tc>
          <w:tcPr>
            <w:tcW w:w="567" w:type="dxa"/>
            <w:shd w:val="clear" w:color="auto" w:fill="auto"/>
            <w:vAlign w:val="center"/>
            <w:hideMark/>
          </w:tcPr>
          <w:p w14:paraId="6F1B9706"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0</w:t>
            </w:r>
          </w:p>
        </w:tc>
        <w:tc>
          <w:tcPr>
            <w:tcW w:w="486" w:type="dxa"/>
            <w:shd w:val="clear" w:color="auto" w:fill="auto"/>
            <w:vAlign w:val="center"/>
            <w:hideMark/>
          </w:tcPr>
          <w:p w14:paraId="107DABBB"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0</w:t>
            </w:r>
          </w:p>
        </w:tc>
      </w:tr>
      <w:tr w:rsidR="001C2BA2" w:rsidRPr="00F562A8" w14:paraId="431FE551" w14:textId="77777777" w:rsidTr="006131C6">
        <w:trPr>
          <w:trHeight w:val="363"/>
        </w:trPr>
        <w:tc>
          <w:tcPr>
            <w:tcW w:w="2273" w:type="dxa"/>
            <w:shd w:val="clear" w:color="auto" w:fill="auto"/>
            <w:vAlign w:val="center"/>
            <w:hideMark/>
          </w:tcPr>
          <w:p w14:paraId="54FCF228"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Взвешенный итог:</w:t>
            </w:r>
          </w:p>
        </w:tc>
        <w:tc>
          <w:tcPr>
            <w:tcW w:w="1560" w:type="dxa"/>
            <w:shd w:val="clear" w:color="auto" w:fill="auto"/>
            <w:noWrap/>
            <w:vAlign w:val="center"/>
            <w:hideMark/>
          </w:tcPr>
          <w:p w14:paraId="06E2DBB3" w14:textId="77777777" w:rsidR="001C2BA2" w:rsidRPr="00F562A8" w:rsidRDefault="001C2BA2" w:rsidP="006131C6">
            <w:pPr>
              <w:spacing w:after="0" w:line="276" w:lineRule="auto"/>
              <w:jc w:val="center"/>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 </w:t>
            </w:r>
          </w:p>
        </w:tc>
        <w:tc>
          <w:tcPr>
            <w:tcW w:w="711" w:type="dxa"/>
            <w:shd w:val="clear" w:color="auto" w:fill="auto"/>
            <w:vAlign w:val="center"/>
            <w:hideMark/>
          </w:tcPr>
          <w:p w14:paraId="48131C79"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709" w:type="dxa"/>
            <w:shd w:val="clear" w:color="auto" w:fill="auto"/>
            <w:vAlign w:val="center"/>
            <w:hideMark/>
          </w:tcPr>
          <w:p w14:paraId="20381B83"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567" w:type="dxa"/>
            <w:shd w:val="clear" w:color="auto" w:fill="auto"/>
            <w:vAlign w:val="center"/>
            <w:hideMark/>
          </w:tcPr>
          <w:p w14:paraId="238423FE"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9</w:t>
            </w:r>
          </w:p>
        </w:tc>
        <w:tc>
          <w:tcPr>
            <w:tcW w:w="567" w:type="dxa"/>
            <w:shd w:val="clear" w:color="auto" w:fill="auto"/>
            <w:vAlign w:val="center"/>
            <w:hideMark/>
          </w:tcPr>
          <w:p w14:paraId="1F6591FB"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0</w:t>
            </w:r>
          </w:p>
        </w:tc>
        <w:tc>
          <w:tcPr>
            <w:tcW w:w="567" w:type="dxa"/>
            <w:shd w:val="clear" w:color="auto" w:fill="auto"/>
            <w:vAlign w:val="center"/>
            <w:hideMark/>
          </w:tcPr>
          <w:p w14:paraId="169E0155"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0</w:t>
            </w:r>
          </w:p>
        </w:tc>
        <w:tc>
          <w:tcPr>
            <w:tcW w:w="494" w:type="dxa"/>
            <w:shd w:val="clear" w:color="auto" w:fill="auto"/>
            <w:vAlign w:val="center"/>
            <w:hideMark/>
          </w:tcPr>
          <w:p w14:paraId="46A5E7BB"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0</w:t>
            </w:r>
          </w:p>
        </w:tc>
        <w:tc>
          <w:tcPr>
            <w:tcW w:w="567" w:type="dxa"/>
            <w:shd w:val="clear" w:color="auto" w:fill="auto"/>
            <w:vAlign w:val="center"/>
            <w:hideMark/>
          </w:tcPr>
          <w:p w14:paraId="65B7C035"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0</w:t>
            </w:r>
          </w:p>
        </w:tc>
        <w:tc>
          <w:tcPr>
            <w:tcW w:w="567" w:type="dxa"/>
            <w:shd w:val="clear" w:color="auto" w:fill="auto"/>
            <w:vAlign w:val="center"/>
            <w:hideMark/>
          </w:tcPr>
          <w:p w14:paraId="555591D6"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0</w:t>
            </w:r>
          </w:p>
        </w:tc>
        <w:tc>
          <w:tcPr>
            <w:tcW w:w="567" w:type="dxa"/>
            <w:shd w:val="clear" w:color="auto" w:fill="auto"/>
            <w:vAlign w:val="center"/>
            <w:hideMark/>
          </w:tcPr>
          <w:p w14:paraId="4EC89DC0"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0</w:t>
            </w:r>
          </w:p>
        </w:tc>
        <w:tc>
          <w:tcPr>
            <w:tcW w:w="486" w:type="dxa"/>
            <w:shd w:val="clear" w:color="auto" w:fill="auto"/>
            <w:vAlign w:val="center"/>
            <w:hideMark/>
          </w:tcPr>
          <w:p w14:paraId="0158B4E2" w14:textId="77777777" w:rsidR="001C2BA2" w:rsidRPr="00F562A8" w:rsidRDefault="001C2BA2" w:rsidP="006131C6">
            <w:pPr>
              <w:spacing w:after="0" w:line="276" w:lineRule="auto"/>
              <w:jc w:val="right"/>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0</w:t>
            </w:r>
          </w:p>
        </w:tc>
      </w:tr>
      <w:tr w:rsidR="001C2BA2" w:rsidRPr="00F562A8" w14:paraId="2CAC77B5" w14:textId="77777777" w:rsidTr="006131C6">
        <w:trPr>
          <w:trHeight w:val="315"/>
        </w:trPr>
        <w:tc>
          <w:tcPr>
            <w:tcW w:w="2273" w:type="dxa"/>
            <w:shd w:val="clear" w:color="auto" w:fill="auto"/>
            <w:vAlign w:val="center"/>
            <w:hideMark/>
          </w:tcPr>
          <w:p w14:paraId="39AD3C81"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Сумма</w:t>
            </w:r>
          </w:p>
        </w:tc>
        <w:tc>
          <w:tcPr>
            <w:tcW w:w="7363" w:type="dxa"/>
            <w:gridSpan w:val="11"/>
          </w:tcPr>
          <w:p w14:paraId="45F6EB44" w14:textId="77777777" w:rsidR="001C2BA2" w:rsidRPr="00F562A8" w:rsidRDefault="001C2BA2" w:rsidP="006131C6">
            <w:pPr>
              <w:spacing w:after="0" w:line="276" w:lineRule="auto"/>
              <w:jc w:val="center"/>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16</w:t>
            </w:r>
          </w:p>
        </w:tc>
      </w:tr>
      <w:tr w:rsidR="001C2BA2" w:rsidRPr="00F562A8" w14:paraId="58E819C9" w14:textId="77777777" w:rsidTr="006131C6">
        <w:trPr>
          <w:trHeight w:val="271"/>
        </w:trPr>
        <w:tc>
          <w:tcPr>
            <w:tcW w:w="2273" w:type="dxa"/>
            <w:shd w:val="clear" w:color="auto" w:fill="auto"/>
            <w:vAlign w:val="center"/>
            <w:hideMark/>
          </w:tcPr>
          <w:p w14:paraId="6F7912B9"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Количество факторов</w:t>
            </w:r>
          </w:p>
        </w:tc>
        <w:tc>
          <w:tcPr>
            <w:tcW w:w="7363" w:type="dxa"/>
            <w:gridSpan w:val="11"/>
          </w:tcPr>
          <w:p w14:paraId="12D03759" w14:textId="77777777" w:rsidR="001C2BA2" w:rsidRPr="00F562A8" w:rsidRDefault="001C2BA2" w:rsidP="006131C6">
            <w:pPr>
              <w:spacing w:after="0" w:line="276" w:lineRule="auto"/>
              <w:jc w:val="center"/>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8</w:t>
            </w:r>
          </w:p>
        </w:tc>
      </w:tr>
      <w:tr w:rsidR="001C2BA2" w:rsidRPr="00F562A8" w14:paraId="1C8BC46C" w14:textId="77777777" w:rsidTr="006131C6">
        <w:trPr>
          <w:trHeight w:val="250"/>
        </w:trPr>
        <w:tc>
          <w:tcPr>
            <w:tcW w:w="2273" w:type="dxa"/>
            <w:shd w:val="clear" w:color="auto" w:fill="auto"/>
            <w:vAlign w:val="center"/>
            <w:hideMark/>
          </w:tcPr>
          <w:p w14:paraId="5B3226A9" w14:textId="77777777" w:rsidR="001C2BA2" w:rsidRPr="00F562A8" w:rsidRDefault="001C2BA2" w:rsidP="006131C6">
            <w:pPr>
              <w:spacing w:after="0" w:line="276" w:lineRule="auto"/>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Величина риска, %</w:t>
            </w:r>
          </w:p>
        </w:tc>
        <w:tc>
          <w:tcPr>
            <w:tcW w:w="7363" w:type="dxa"/>
            <w:gridSpan w:val="11"/>
          </w:tcPr>
          <w:p w14:paraId="2E01F7CA" w14:textId="77777777" w:rsidR="001C2BA2" w:rsidRPr="00F562A8" w:rsidRDefault="001C2BA2" w:rsidP="006131C6">
            <w:pPr>
              <w:spacing w:after="0" w:line="276" w:lineRule="auto"/>
              <w:jc w:val="center"/>
              <w:rPr>
                <w:rFonts w:ascii="Times New Roman" w:eastAsia="Times New Roman" w:hAnsi="Times New Roman" w:cs="Times New Roman"/>
                <w:color w:val="000000" w:themeColor="text1"/>
                <w:sz w:val="18"/>
                <w:szCs w:val="18"/>
                <w:lang w:eastAsia="ru-RU"/>
              </w:rPr>
            </w:pPr>
            <w:r w:rsidRPr="00F562A8">
              <w:rPr>
                <w:rFonts w:ascii="Times New Roman" w:eastAsia="Times New Roman" w:hAnsi="Times New Roman" w:cs="Times New Roman"/>
                <w:color w:val="000000" w:themeColor="text1"/>
                <w:sz w:val="18"/>
                <w:szCs w:val="18"/>
                <w:lang w:eastAsia="ru-RU"/>
              </w:rPr>
              <w:t>2</w:t>
            </w:r>
          </w:p>
        </w:tc>
      </w:tr>
    </w:tbl>
    <w:p w14:paraId="38FB1403" w14:textId="77777777" w:rsidR="001C2BA2" w:rsidRPr="00F562A8" w:rsidRDefault="001C2BA2" w:rsidP="001C2BA2">
      <w:pPr>
        <w:spacing w:line="276" w:lineRule="auto"/>
        <w:jc w:val="both"/>
        <w:rPr>
          <w:rFonts w:ascii="Times New Roman" w:eastAsia="Times New Roman" w:hAnsi="Times New Roman" w:cs="Times New Roman"/>
          <w:i/>
          <w:color w:val="000000" w:themeColor="text1"/>
          <w:sz w:val="16"/>
          <w:szCs w:val="16"/>
        </w:rPr>
      </w:pPr>
    </w:p>
    <w:p w14:paraId="133B9A73" w14:textId="77777777" w:rsidR="001C2BA2" w:rsidRDefault="001C2BA2" w:rsidP="00EE5E82">
      <w:pPr>
        <w:spacing w:line="276" w:lineRule="auto"/>
        <w:ind w:firstLine="709"/>
        <w:jc w:val="both"/>
        <w:rPr>
          <w:rFonts w:ascii="Times New Roman" w:hAnsi="Times New Roman" w:cs="Times New Roman"/>
          <w:color w:val="000000" w:themeColor="text1"/>
          <w:sz w:val="26"/>
          <w:szCs w:val="26"/>
        </w:rPr>
      </w:pPr>
      <w:r w:rsidRPr="00F562A8">
        <w:rPr>
          <w:rFonts w:ascii="Times New Roman" w:eastAsia="Times New Roman" w:hAnsi="Times New Roman" w:cs="Times New Roman"/>
          <w:i/>
          <w:color w:val="000000" w:themeColor="text1"/>
          <w:sz w:val="26"/>
          <w:szCs w:val="26"/>
        </w:rPr>
        <w:t xml:space="preserve">премия за риск низкой ликвидности </w:t>
      </w:r>
      <w:r w:rsidRPr="00F562A8">
        <w:rPr>
          <w:rFonts w:ascii="Times New Roman" w:hAnsi="Times New Roman" w:cs="Times New Roman"/>
          <w:i/>
          <w:color w:val="000000" w:themeColor="text1"/>
          <w:sz w:val="26"/>
          <w:szCs w:val="26"/>
        </w:rPr>
        <w:t>–</w:t>
      </w:r>
      <w:r w:rsidRPr="00F562A8">
        <w:rPr>
          <w:rFonts w:ascii="Times New Roman" w:eastAsia="Times New Roman" w:hAnsi="Times New Roman" w:cs="Times New Roman"/>
          <w:color w:val="000000" w:themeColor="text1"/>
          <w:sz w:val="26"/>
          <w:szCs w:val="26"/>
        </w:rPr>
        <w:t xml:space="preserve"> это риск, связанный с возможностью возникновения потерь при реализации объекта оценки из-за недостаточной развитости или неустойчивости рынка. </w:t>
      </w:r>
      <w:r w:rsidRPr="00F562A8">
        <w:rPr>
          <w:rFonts w:ascii="Times New Roman" w:hAnsi="Times New Roman" w:cs="Times New Roman"/>
          <w:color w:val="000000" w:themeColor="text1"/>
          <w:sz w:val="26"/>
          <w:szCs w:val="26"/>
        </w:rPr>
        <w:t>Премия за низкую ликвидность рассчитывается, исходя из типичного срока экспозиции объекта, по формуле:</w:t>
      </w:r>
    </w:p>
    <w:p w14:paraId="70A0DBB5" w14:textId="77777777" w:rsidR="001C2BA2" w:rsidRPr="00F562A8" w:rsidRDefault="001C2BA2" w:rsidP="001C2BA2">
      <w:pPr>
        <w:autoSpaceDE w:val="0"/>
        <w:autoSpaceDN w:val="0"/>
        <w:adjustRightInd w:val="0"/>
        <w:spacing w:line="276" w:lineRule="auto"/>
        <w:ind w:left="360"/>
        <w:jc w:val="center"/>
        <w:rPr>
          <w:rFonts w:ascii="Times New Roman" w:hAnsi="Times New Roman" w:cs="Times New Roman"/>
          <w:color w:val="000000" w:themeColor="text1"/>
          <w:sz w:val="26"/>
          <w:szCs w:val="26"/>
        </w:rPr>
      </w:pPr>
      <w:r w:rsidRPr="00F562A8">
        <w:rPr>
          <w:rFonts w:ascii="Times New Roman" w:hAnsi="Times New Roman" w:cs="Times New Roman"/>
          <w:color w:val="000000" w:themeColor="text1"/>
          <w:sz w:val="28"/>
          <w:szCs w:val="28"/>
          <w:lang w:val="en-US"/>
        </w:rPr>
        <w:object w:dxaOrig="1100" w:dyaOrig="580" w14:anchorId="4B790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28.5pt" o:ole="">
            <v:imagedata r:id="rId189" o:title=""/>
          </v:shape>
          <o:OLEObject Type="Embed" ProgID="Equation.3" ShapeID="_x0000_i1025" DrawAspect="Content" ObjectID="_1723025424" r:id="rId190"/>
        </w:object>
      </w:r>
      <w:r w:rsidRPr="00F562A8">
        <w:rPr>
          <w:rFonts w:ascii="Times New Roman" w:hAnsi="Times New Roman" w:cs="Times New Roman"/>
          <w:b/>
          <w:iCs/>
          <w:color w:val="000000" w:themeColor="text1"/>
          <w:sz w:val="28"/>
          <w:szCs w:val="28"/>
        </w:rPr>
        <w:t>,</w:t>
      </w:r>
      <w:r w:rsidRPr="00F562A8">
        <w:rPr>
          <w:rFonts w:ascii="Times New Roman" w:hAnsi="Times New Roman" w:cs="Times New Roman"/>
          <w:iCs/>
          <w:color w:val="000000" w:themeColor="text1"/>
          <w:sz w:val="26"/>
          <w:szCs w:val="26"/>
        </w:rPr>
        <w:t xml:space="preserve"> где</w:t>
      </w:r>
    </w:p>
    <w:p w14:paraId="661995DA" w14:textId="77777777" w:rsidR="001C2BA2" w:rsidRPr="00F562A8" w:rsidRDefault="001C2BA2" w:rsidP="001C2BA2">
      <w:pPr>
        <w:spacing w:after="0" w:line="276" w:lineRule="auto"/>
        <w:ind w:left="357" w:firstLine="709"/>
        <w:jc w:val="both"/>
        <w:rPr>
          <w:rFonts w:ascii="Times New Roman" w:hAnsi="Times New Roman" w:cs="Times New Roman"/>
          <w:color w:val="000000" w:themeColor="text1"/>
          <w:sz w:val="26"/>
          <w:szCs w:val="26"/>
        </w:rPr>
      </w:pPr>
      <w:r w:rsidRPr="00F562A8">
        <w:rPr>
          <w:rFonts w:ascii="Times New Roman" w:hAnsi="Times New Roman" w:cs="Times New Roman"/>
          <w:color w:val="000000" w:themeColor="text1"/>
          <w:sz w:val="26"/>
          <w:szCs w:val="26"/>
        </w:rPr>
        <w:t>▪ П – премия за низкую ликвидность;</w:t>
      </w:r>
    </w:p>
    <w:p w14:paraId="7E96C9FF" w14:textId="77777777" w:rsidR="001C2BA2" w:rsidRPr="00F562A8" w:rsidRDefault="001C2BA2" w:rsidP="001C2BA2">
      <w:pPr>
        <w:spacing w:after="0" w:line="276" w:lineRule="auto"/>
        <w:ind w:left="357" w:firstLine="709"/>
        <w:jc w:val="both"/>
        <w:rPr>
          <w:rFonts w:ascii="Times New Roman" w:hAnsi="Times New Roman" w:cs="Times New Roman"/>
          <w:color w:val="000000" w:themeColor="text1"/>
          <w:sz w:val="26"/>
          <w:szCs w:val="26"/>
        </w:rPr>
      </w:pPr>
      <w:r w:rsidRPr="00F562A8">
        <w:rPr>
          <w:rFonts w:ascii="Times New Roman" w:hAnsi="Times New Roman" w:cs="Times New Roman"/>
          <w:color w:val="000000" w:themeColor="text1"/>
          <w:sz w:val="26"/>
          <w:szCs w:val="26"/>
        </w:rPr>
        <w:t xml:space="preserve">▪ </w:t>
      </w:r>
      <w:r w:rsidRPr="00F562A8">
        <w:rPr>
          <w:rFonts w:ascii="Times New Roman" w:hAnsi="Times New Roman" w:cs="Times New Roman"/>
          <w:color w:val="000000" w:themeColor="text1"/>
          <w:sz w:val="26"/>
          <w:szCs w:val="26"/>
          <w:lang w:val="en-US"/>
        </w:rPr>
        <w:t>R</w:t>
      </w:r>
      <w:r w:rsidRPr="00F562A8">
        <w:rPr>
          <w:rFonts w:ascii="Times New Roman" w:hAnsi="Times New Roman" w:cs="Times New Roman"/>
          <w:color w:val="000000" w:themeColor="text1"/>
          <w:sz w:val="26"/>
          <w:szCs w:val="26"/>
          <w:vertAlign w:val="subscript"/>
          <w:lang w:val="en-US"/>
        </w:rPr>
        <w:t>f</w:t>
      </w:r>
      <w:r w:rsidRPr="00F562A8">
        <w:rPr>
          <w:rFonts w:ascii="Times New Roman" w:hAnsi="Times New Roman" w:cs="Times New Roman"/>
          <w:color w:val="000000" w:themeColor="text1"/>
          <w:sz w:val="26"/>
          <w:szCs w:val="26"/>
        </w:rPr>
        <w:t xml:space="preserve"> – безрисковая ставка дохода;</w:t>
      </w:r>
    </w:p>
    <w:p w14:paraId="79D03ADD" w14:textId="77777777" w:rsidR="001C2BA2" w:rsidRPr="00F562A8" w:rsidRDefault="001C2BA2" w:rsidP="001C2BA2">
      <w:pPr>
        <w:spacing w:after="120" w:line="276" w:lineRule="auto"/>
        <w:ind w:left="357" w:firstLine="709"/>
        <w:jc w:val="both"/>
        <w:rPr>
          <w:rFonts w:ascii="Times New Roman" w:hAnsi="Times New Roman" w:cs="Times New Roman"/>
          <w:color w:val="000000" w:themeColor="text1"/>
          <w:sz w:val="26"/>
          <w:szCs w:val="26"/>
        </w:rPr>
      </w:pPr>
      <w:r w:rsidRPr="00F562A8">
        <w:rPr>
          <w:rFonts w:ascii="Times New Roman" w:hAnsi="Times New Roman" w:cs="Times New Roman"/>
          <w:color w:val="000000" w:themeColor="text1"/>
          <w:sz w:val="26"/>
          <w:szCs w:val="26"/>
        </w:rPr>
        <w:t>▪ Т – типичный срок эк</w:t>
      </w:r>
      <w:r w:rsidRPr="00F562A8">
        <w:rPr>
          <w:rFonts w:ascii="Times New Roman" w:hAnsi="Times New Roman" w:cs="Times New Roman"/>
          <w:color w:val="000000" w:themeColor="text1"/>
          <w:sz w:val="26"/>
          <w:szCs w:val="26"/>
          <w:lang w:val="en-US"/>
        </w:rPr>
        <w:t>c</w:t>
      </w:r>
      <w:r w:rsidRPr="00F562A8">
        <w:rPr>
          <w:rFonts w:ascii="Times New Roman" w:hAnsi="Times New Roman" w:cs="Times New Roman"/>
          <w:color w:val="000000" w:themeColor="text1"/>
          <w:sz w:val="26"/>
          <w:szCs w:val="26"/>
        </w:rPr>
        <w:t>позиции земельного участка на рынке, мес.</w:t>
      </w:r>
    </w:p>
    <w:p w14:paraId="446F1A9C" w14:textId="77777777" w:rsidR="001C2BA2" w:rsidRDefault="001C2BA2" w:rsidP="001C2BA2">
      <w:pPr>
        <w:spacing w:after="0" w:line="276" w:lineRule="auto"/>
        <w:ind w:firstLine="709"/>
        <w:jc w:val="both"/>
        <w:rPr>
          <w:rFonts w:ascii="Times New Roman" w:hAnsi="Times New Roman" w:cs="Times New Roman"/>
          <w:color w:val="000000" w:themeColor="text1"/>
          <w:sz w:val="26"/>
          <w:szCs w:val="26"/>
        </w:rPr>
      </w:pPr>
      <w:r w:rsidRPr="00F562A8">
        <w:rPr>
          <w:rFonts w:ascii="Times New Roman" w:hAnsi="Times New Roman" w:cs="Times New Roman"/>
          <w:color w:val="000000" w:themeColor="text1"/>
          <w:sz w:val="26"/>
          <w:szCs w:val="26"/>
        </w:rPr>
        <w:t>Типичный срок экспозиции объекта – это время, которое требуется для продажи объекта, на открытом и конкурентном рынке, по рыночной стоимости. В рамках настоящего расчета, типичный срок экспозиции рассчитан на основании</w:t>
      </w:r>
      <w:r>
        <w:rPr>
          <w:rFonts w:ascii="Times New Roman" w:hAnsi="Times New Roman" w:cs="Times New Roman"/>
          <w:color w:val="000000" w:themeColor="text1"/>
          <w:sz w:val="26"/>
          <w:szCs w:val="26"/>
        </w:rPr>
        <w:t xml:space="preserve"> данных СтатРиелт. </w:t>
      </w:r>
      <w:r w:rsidRPr="00F562A8">
        <w:rPr>
          <w:rFonts w:ascii="Times New Roman" w:hAnsi="Times New Roman" w:cs="Times New Roman"/>
          <w:color w:val="000000" w:themeColor="text1"/>
          <w:sz w:val="26"/>
          <w:szCs w:val="26"/>
        </w:rPr>
        <w:t>Среднее значение срока экспозиции</w:t>
      </w:r>
      <w:r>
        <w:rPr>
          <w:rFonts w:ascii="Times New Roman" w:hAnsi="Times New Roman" w:cs="Times New Roman"/>
          <w:color w:val="000000" w:themeColor="text1"/>
          <w:sz w:val="26"/>
          <w:szCs w:val="26"/>
        </w:rPr>
        <w:t xml:space="preserve"> по состоянию на 01.01.2022</w:t>
      </w:r>
      <w:r w:rsidRPr="00F562A8">
        <w:rPr>
          <w:rFonts w:ascii="Times New Roman" w:hAnsi="Times New Roman" w:cs="Times New Roman"/>
          <w:color w:val="000000" w:themeColor="text1"/>
          <w:sz w:val="26"/>
          <w:szCs w:val="26"/>
        </w:rPr>
        <w:t xml:space="preserve"> составляет </w:t>
      </w:r>
      <w:r>
        <w:rPr>
          <w:rFonts w:ascii="Times New Roman" w:hAnsi="Times New Roman" w:cs="Times New Roman"/>
          <w:color w:val="000000" w:themeColor="text1"/>
          <w:sz w:val="26"/>
          <w:szCs w:val="26"/>
        </w:rPr>
        <w:t>13</w:t>
      </w:r>
      <w:r w:rsidRPr="00F562A8">
        <w:rPr>
          <w:rFonts w:ascii="Times New Roman" w:hAnsi="Times New Roman" w:cs="Times New Roman"/>
          <w:color w:val="000000" w:themeColor="text1"/>
          <w:sz w:val="26"/>
          <w:szCs w:val="26"/>
        </w:rPr>
        <w:t xml:space="preserve"> </w:t>
      </w:r>
      <w:r w:rsidRPr="00DB30E3">
        <w:rPr>
          <w:rFonts w:ascii="Times New Roman" w:hAnsi="Times New Roman" w:cs="Times New Roman"/>
          <w:color w:val="000000" w:themeColor="text1"/>
          <w:sz w:val="26"/>
          <w:szCs w:val="26"/>
        </w:rPr>
        <w:t xml:space="preserve">месяцев. </w:t>
      </w:r>
    </w:p>
    <w:p w14:paraId="755CA2EB" w14:textId="77777777" w:rsidR="001C2BA2" w:rsidRPr="00DB30E3" w:rsidRDefault="001C2BA2" w:rsidP="001C2BA2">
      <w:pPr>
        <w:spacing w:after="0" w:line="276" w:lineRule="auto"/>
        <w:jc w:val="both"/>
        <w:rPr>
          <w:rFonts w:ascii="Times New Roman" w:hAnsi="Times New Roman" w:cs="Times New Roman"/>
          <w:color w:val="000000" w:themeColor="text1"/>
          <w:sz w:val="26"/>
          <w:szCs w:val="26"/>
        </w:rPr>
      </w:pPr>
      <w:r w:rsidRPr="00244000">
        <w:rPr>
          <w:rFonts w:ascii="Times New Roman" w:hAnsi="Times New Roman" w:cs="Times New Roman"/>
          <w:noProof/>
          <w:color w:val="000000" w:themeColor="text1"/>
          <w:sz w:val="26"/>
          <w:szCs w:val="26"/>
          <w:lang w:eastAsia="ru-RU"/>
        </w:rPr>
        <w:drawing>
          <wp:inline distT="0" distB="0" distL="0" distR="0" wp14:anchorId="06C69AD2" wp14:editId="0C2E2663">
            <wp:extent cx="5915025" cy="320867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1"/>
                    <a:srcRect r="7473" b="3176"/>
                    <a:stretch/>
                  </pic:blipFill>
                  <pic:spPr bwMode="auto">
                    <a:xfrm>
                      <a:off x="0" y="0"/>
                      <a:ext cx="5919051" cy="3210854"/>
                    </a:xfrm>
                    <a:prstGeom prst="rect">
                      <a:avLst/>
                    </a:prstGeom>
                    <a:ln>
                      <a:noFill/>
                    </a:ln>
                    <a:extLst>
                      <a:ext uri="{53640926-AAD7-44D8-BBD7-CCE9431645EC}">
                        <a14:shadowObscured xmlns:a14="http://schemas.microsoft.com/office/drawing/2010/main"/>
                      </a:ext>
                    </a:extLst>
                  </pic:spPr>
                </pic:pic>
              </a:graphicData>
            </a:graphic>
          </wp:inline>
        </w:drawing>
      </w:r>
    </w:p>
    <w:p w14:paraId="7DE2FFD0" w14:textId="77777777" w:rsidR="001C2BA2" w:rsidRPr="00DB30E3" w:rsidRDefault="001C2BA2" w:rsidP="001C2BA2">
      <w:pPr>
        <w:spacing w:after="0" w:line="276" w:lineRule="auto"/>
        <w:ind w:firstLine="709"/>
        <w:jc w:val="both"/>
        <w:rPr>
          <w:rFonts w:ascii="Times New Roman" w:hAnsi="Times New Roman" w:cs="Times New Roman"/>
          <w:color w:val="000000" w:themeColor="text1"/>
          <w:sz w:val="26"/>
          <w:szCs w:val="26"/>
        </w:rPr>
      </w:pPr>
      <w:r w:rsidRPr="00DB30E3">
        <w:rPr>
          <w:rFonts w:ascii="Times New Roman" w:hAnsi="Times New Roman" w:cs="Times New Roman"/>
          <w:color w:val="000000" w:themeColor="text1"/>
          <w:sz w:val="26"/>
          <w:szCs w:val="26"/>
        </w:rPr>
        <w:t>Таким образом, премия за риск низкой ликвидности составляет:</w:t>
      </w:r>
    </w:p>
    <w:p w14:paraId="087CC4E1" w14:textId="77777777" w:rsidR="001C2BA2" w:rsidRPr="00DB30E3" w:rsidRDefault="001C2BA2" w:rsidP="001C2BA2">
      <w:pPr>
        <w:spacing w:after="0" w:line="276" w:lineRule="auto"/>
        <w:ind w:firstLine="709"/>
        <w:jc w:val="center"/>
        <w:rPr>
          <w:rFonts w:ascii="Times New Roman" w:eastAsia="Times New Roman" w:hAnsi="Times New Roman" w:cs="Times New Roman"/>
          <w:color w:val="000000" w:themeColor="text1"/>
          <w:sz w:val="26"/>
          <w:szCs w:val="26"/>
        </w:rPr>
      </w:pPr>
      <m:oMathPara>
        <m:oMath>
          <m:r>
            <m:rPr>
              <m:sty m:val="p"/>
            </m:rPr>
            <w:rPr>
              <w:rFonts w:ascii="Cambria Math" w:hAnsi="Cambria Math" w:cs="Times New Roman"/>
              <w:color w:val="000000" w:themeColor="text1"/>
              <w:sz w:val="26"/>
              <w:szCs w:val="26"/>
              <w:lang w:val="en-US"/>
            </w:rPr>
            <m:t>П=8,4%×</m:t>
          </m:r>
          <m:f>
            <m:fPr>
              <m:ctrlPr>
                <w:rPr>
                  <w:rFonts w:ascii="Cambria Math" w:hAnsi="Cambria Math" w:cs="Times New Roman"/>
                  <w:iCs/>
                  <w:color w:val="000000" w:themeColor="text1"/>
                  <w:sz w:val="26"/>
                  <w:szCs w:val="26"/>
                  <w:lang w:val="en-US"/>
                </w:rPr>
              </m:ctrlPr>
            </m:fPr>
            <m:num>
              <m:r>
                <m:rPr>
                  <m:sty m:val="p"/>
                </m:rPr>
                <w:rPr>
                  <w:rFonts w:ascii="Cambria Math" w:hAnsi="Cambria Math" w:cs="Times New Roman"/>
                  <w:color w:val="000000" w:themeColor="text1"/>
                  <w:sz w:val="26"/>
                  <w:szCs w:val="26"/>
                  <w:lang w:val="en-US"/>
                </w:rPr>
                <m:t>13</m:t>
              </m:r>
            </m:num>
            <m:den>
              <m:r>
                <m:rPr>
                  <m:sty m:val="p"/>
                </m:rPr>
                <w:rPr>
                  <w:rFonts w:ascii="Cambria Math" w:hAnsi="Cambria Math" w:cs="Times New Roman"/>
                  <w:color w:val="000000" w:themeColor="text1"/>
                  <w:sz w:val="26"/>
                  <w:szCs w:val="26"/>
                  <w:lang w:val="en-US"/>
                </w:rPr>
                <m:t>12</m:t>
              </m:r>
            </m:den>
          </m:f>
          <m:r>
            <w:rPr>
              <w:rFonts w:ascii="Cambria Math" w:hAnsi="Cambria Math" w:cs="Times New Roman"/>
              <w:color w:val="000000" w:themeColor="text1"/>
              <w:sz w:val="26"/>
              <w:szCs w:val="26"/>
              <w:lang w:val="en-US"/>
            </w:rPr>
            <m:t>=9,1%</m:t>
          </m:r>
        </m:oMath>
      </m:oMathPara>
    </w:p>
    <w:p w14:paraId="35999806" w14:textId="77777777" w:rsidR="001C2BA2" w:rsidRPr="00DB30E3" w:rsidRDefault="001C2BA2" w:rsidP="001C2BA2">
      <w:pPr>
        <w:spacing w:after="0" w:line="276" w:lineRule="auto"/>
        <w:ind w:firstLine="709"/>
        <w:jc w:val="both"/>
        <w:rPr>
          <w:rFonts w:ascii="Times New Roman" w:eastAsia="Times New Roman" w:hAnsi="Times New Roman" w:cs="Times New Roman"/>
          <w:color w:val="000000" w:themeColor="text1"/>
          <w:sz w:val="26"/>
          <w:szCs w:val="26"/>
        </w:rPr>
      </w:pPr>
      <w:r w:rsidRPr="00DB30E3">
        <w:rPr>
          <w:rFonts w:ascii="Times New Roman" w:hAnsi="Times New Roman" w:cs="Times New Roman"/>
          <w:color w:val="000000" w:themeColor="text1"/>
          <w:sz w:val="26"/>
          <w:szCs w:val="26"/>
        </w:rPr>
        <w:t>Далее произведен расчет ставки капитализации, путем суммирования рассчитанных составных элементов.</w:t>
      </w:r>
    </w:p>
    <w:p w14:paraId="6069DF11" w14:textId="77777777" w:rsidR="001C2BA2" w:rsidRPr="00DB30E3" w:rsidRDefault="001C2BA2" w:rsidP="001C2BA2">
      <w:pPr>
        <w:spacing w:after="0" w:line="276" w:lineRule="auto"/>
        <w:ind w:firstLine="709"/>
        <w:jc w:val="center"/>
        <w:rPr>
          <w:rFonts w:ascii="Times New Roman" w:eastAsia="Times New Roman" w:hAnsi="Times New Roman" w:cs="Times New Roman"/>
          <w:color w:val="000000" w:themeColor="text1"/>
          <w:sz w:val="26"/>
          <w:szCs w:val="26"/>
        </w:rPr>
      </w:pPr>
      <w:r w:rsidRPr="00DB30E3">
        <w:rPr>
          <w:rFonts w:ascii="Times New Roman" w:hAnsi="Times New Roman" w:cs="Times New Roman"/>
          <w:color w:val="000000" w:themeColor="text1"/>
          <w:sz w:val="26"/>
          <w:szCs w:val="26"/>
        </w:rPr>
        <w:t xml:space="preserve">Y = </w:t>
      </w:r>
      <w:r>
        <w:rPr>
          <w:rFonts w:ascii="Times New Roman" w:eastAsia="Times New Roman" w:hAnsi="Times New Roman" w:cs="Times New Roman"/>
          <w:color w:val="000000" w:themeColor="text1"/>
          <w:sz w:val="26"/>
          <w:szCs w:val="26"/>
        </w:rPr>
        <w:t>8,4</w:t>
      </w:r>
      <w:r w:rsidRPr="00DB30E3">
        <w:rPr>
          <w:rFonts w:ascii="Times New Roman" w:eastAsia="Times New Roman" w:hAnsi="Times New Roman" w:cs="Times New Roman"/>
          <w:color w:val="000000" w:themeColor="text1"/>
          <w:sz w:val="26"/>
          <w:szCs w:val="26"/>
        </w:rPr>
        <w:t xml:space="preserve">% + 2,00% + </w:t>
      </w:r>
      <w:r>
        <w:rPr>
          <w:rFonts w:ascii="Times New Roman" w:eastAsia="Times New Roman" w:hAnsi="Times New Roman" w:cs="Times New Roman"/>
          <w:color w:val="000000" w:themeColor="text1"/>
          <w:sz w:val="26"/>
          <w:szCs w:val="26"/>
        </w:rPr>
        <w:t>9,1</w:t>
      </w:r>
      <w:r w:rsidRPr="00DB30E3">
        <w:rPr>
          <w:rFonts w:ascii="Times New Roman" w:eastAsia="Times New Roman" w:hAnsi="Times New Roman" w:cs="Times New Roman"/>
          <w:color w:val="000000" w:themeColor="text1"/>
          <w:sz w:val="26"/>
          <w:szCs w:val="26"/>
        </w:rPr>
        <w:t>% = 1</w:t>
      </w:r>
      <w:r>
        <w:rPr>
          <w:rFonts w:ascii="Times New Roman" w:eastAsia="Times New Roman" w:hAnsi="Times New Roman" w:cs="Times New Roman"/>
          <w:color w:val="000000" w:themeColor="text1"/>
          <w:sz w:val="26"/>
          <w:szCs w:val="26"/>
        </w:rPr>
        <w:t>9</w:t>
      </w:r>
      <w:r w:rsidRPr="00DB30E3">
        <w:rPr>
          <w:rFonts w:ascii="Times New Roman" w:eastAsia="Times New Roman" w:hAnsi="Times New Roman" w:cs="Times New Roman"/>
          <w:color w:val="000000" w:themeColor="text1"/>
          <w:sz w:val="26"/>
          <w:szCs w:val="26"/>
        </w:rPr>
        <w:t>,</w:t>
      </w:r>
      <w:r>
        <w:rPr>
          <w:rFonts w:ascii="Times New Roman" w:eastAsia="Times New Roman" w:hAnsi="Times New Roman" w:cs="Times New Roman"/>
          <w:color w:val="000000" w:themeColor="text1"/>
          <w:sz w:val="26"/>
          <w:szCs w:val="26"/>
        </w:rPr>
        <w:t>5</w:t>
      </w:r>
      <w:r w:rsidRPr="00DB30E3">
        <w:rPr>
          <w:rFonts w:ascii="Times New Roman" w:eastAsia="Times New Roman" w:hAnsi="Times New Roman" w:cs="Times New Roman"/>
          <w:color w:val="000000" w:themeColor="text1"/>
          <w:sz w:val="26"/>
          <w:szCs w:val="26"/>
        </w:rPr>
        <w:t>%</w:t>
      </w:r>
    </w:p>
    <w:p w14:paraId="589F748D" w14:textId="77777777" w:rsidR="001C2BA2" w:rsidRPr="00DB30E3" w:rsidRDefault="001C2BA2" w:rsidP="001C2BA2">
      <w:pPr>
        <w:spacing w:after="0" w:line="276" w:lineRule="auto"/>
        <w:ind w:firstLine="709"/>
        <w:jc w:val="both"/>
        <w:rPr>
          <w:rFonts w:ascii="Times New Roman" w:eastAsia="Times New Roman" w:hAnsi="Times New Roman" w:cs="Times New Roman"/>
          <w:color w:val="000000" w:themeColor="text1"/>
          <w:sz w:val="26"/>
          <w:szCs w:val="26"/>
        </w:rPr>
      </w:pPr>
      <w:r w:rsidRPr="00DB30E3">
        <w:rPr>
          <w:rFonts w:ascii="Times New Roman" w:eastAsia="Times New Roman" w:hAnsi="Times New Roman" w:cs="Times New Roman"/>
          <w:color w:val="000000" w:themeColor="text1"/>
          <w:sz w:val="26"/>
          <w:szCs w:val="26"/>
        </w:rPr>
        <w:t>Расчет стоимости 1 га равен частному ЧОД каждого рыбного хозяйства на ставку капитализации, значение стоимости 1 кв.м получено путем деления полученного значения стоимости за 1 га на 10 000.</w:t>
      </w:r>
      <w:r>
        <w:rPr>
          <w:rFonts w:ascii="Times New Roman" w:eastAsia="Times New Roman" w:hAnsi="Times New Roman" w:cs="Times New Roman"/>
          <w:color w:val="000000" w:themeColor="text1"/>
          <w:sz w:val="26"/>
          <w:szCs w:val="26"/>
        </w:rPr>
        <w:t xml:space="preserve"> </w:t>
      </w:r>
    </w:p>
    <w:p w14:paraId="78473C35" w14:textId="1E00E6CC" w:rsidR="001C2BA2" w:rsidRPr="00F562A8" w:rsidRDefault="001C2BA2" w:rsidP="001C2BA2">
      <w:pPr>
        <w:spacing w:after="0" w:line="276" w:lineRule="auto"/>
        <w:ind w:firstLine="709"/>
        <w:jc w:val="right"/>
        <w:rPr>
          <w:rFonts w:ascii="Times New Roman" w:eastAsia="Times New Roman" w:hAnsi="Times New Roman" w:cs="Times New Roman"/>
          <w:color w:val="000000" w:themeColor="text1"/>
          <w:sz w:val="26"/>
          <w:szCs w:val="26"/>
        </w:rPr>
      </w:pPr>
      <w:r w:rsidRPr="00DB30E3">
        <w:rPr>
          <w:rFonts w:ascii="Times New Roman" w:eastAsia="Times New Roman" w:hAnsi="Times New Roman" w:cs="Times New Roman"/>
          <w:color w:val="000000" w:themeColor="text1"/>
          <w:sz w:val="26"/>
          <w:szCs w:val="26"/>
        </w:rPr>
        <w:t>Таблица</w:t>
      </w:r>
      <w:r w:rsidRPr="00F562A8">
        <w:rPr>
          <w:rFonts w:ascii="Times New Roman" w:eastAsia="Times New Roman" w:hAnsi="Times New Roman" w:cs="Times New Roman"/>
          <w:color w:val="000000" w:themeColor="text1"/>
          <w:sz w:val="26"/>
          <w:szCs w:val="26"/>
        </w:rPr>
        <w:t xml:space="preserve"> </w:t>
      </w:r>
      <w:r w:rsidRPr="0099158F">
        <w:rPr>
          <w:rFonts w:ascii="Times New Roman" w:eastAsia="Times New Roman" w:hAnsi="Times New Roman" w:cs="Times New Roman"/>
          <w:sz w:val="26"/>
          <w:szCs w:val="26"/>
        </w:rPr>
        <w:t>3.6.1.2.</w:t>
      </w:r>
      <w:r w:rsidR="0099158F" w:rsidRPr="0099158F">
        <w:rPr>
          <w:rFonts w:ascii="Times New Roman" w:eastAsia="Times New Roman" w:hAnsi="Times New Roman" w:cs="Times New Roman"/>
          <w:sz w:val="26"/>
          <w:szCs w:val="26"/>
        </w:rPr>
        <w:t>5</w:t>
      </w:r>
    </w:p>
    <w:tbl>
      <w:tblPr>
        <w:tblStyle w:val="ae"/>
        <w:tblW w:w="9845" w:type="dxa"/>
        <w:jc w:val="center"/>
        <w:tblLook w:val="04A0" w:firstRow="1" w:lastRow="0" w:firstColumn="1" w:lastColumn="0" w:noHBand="0" w:noVBand="1"/>
      </w:tblPr>
      <w:tblGrid>
        <w:gridCol w:w="2263"/>
        <w:gridCol w:w="1560"/>
        <w:gridCol w:w="1208"/>
        <w:gridCol w:w="1910"/>
        <w:gridCol w:w="2904"/>
      </w:tblGrid>
      <w:tr w:rsidR="001C2BA2" w:rsidRPr="00F562A8" w14:paraId="247AE443" w14:textId="77777777" w:rsidTr="006131C6">
        <w:trPr>
          <w:jc w:val="center"/>
        </w:trPr>
        <w:tc>
          <w:tcPr>
            <w:tcW w:w="2263" w:type="dxa"/>
            <w:vAlign w:val="center"/>
          </w:tcPr>
          <w:p w14:paraId="5FDDA82D"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rPr>
            </w:pPr>
            <w:r w:rsidRPr="00F562A8">
              <w:rPr>
                <w:rFonts w:ascii="Times New Roman" w:eastAsia="Times New Roman" w:hAnsi="Times New Roman" w:cs="Times New Roman"/>
                <w:b/>
                <w:color w:val="000000" w:themeColor="text1"/>
              </w:rPr>
              <w:t>Наименование рыбхоза</w:t>
            </w:r>
          </w:p>
        </w:tc>
        <w:tc>
          <w:tcPr>
            <w:tcW w:w="1560" w:type="dxa"/>
            <w:vAlign w:val="center"/>
          </w:tcPr>
          <w:p w14:paraId="5589A7FA"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rPr>
            </w:pPr>
            <w:r w:rsidRPr="00F562A8">
              <w:rPr>
                <w:rFonts w:ascii="Times New Roman" w:eastAsia="Times New Roman" w:hAnsi="Times New Roman" w:cs="Times New Roman"/>
                <w:b/>
                <w:color w:val="000000" w:themeColor="text1"/>
              </w:rPr>
              <w:t>ЧОД, руб/га</w:t>
            </w:r>
          </w:p>
        </w:tc>
        <w:tc>
          <w:tcPr>
            <w:tcW w:w="1208" w:type="dxa"/>
            <w:vAlign w:val="center"/>
          </w:tcPr>
          <w:p w14:paraId="1CFE15A9"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rPr>
            </w:pPr>
            <w:r w:rsidRPr="00F562A8">
              <w:rPr>
                <w:rFonts w:ascii="Times New Roman" w:eastAsiaTheme="minorHAnsi" w:hAnsi="Times New Roman" w:cs="Times New Roman"/>
                <w:color w:val="000000" w:themeColor="text1"/>
                <w:sz w:val="26"/>
                <w:szCs w:val="26"/>
              </w:rPr>
              <w:t>Y</w:t>
            </w:r>
          </w:p>
        </w:tc>
        <w:tc>
          <w:tcPr>
            <w:tcW w:w="1910" w:type="dxa"/>
            <w:vAlign w:val="center"/>
          </w:tcPr>
          <w:p w14:paraId="5A91C730"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rPr>
            </w:pPr>
            <w:r w:rsidRPr="00F562A8">
              <w:rPr>
                <w:rFonts w:ascii="Times New Roman" w:eastAsia="Times New Roman" w:hAnsi="Times New Roman" w:cs="Times New Roman"/>
                <w:b/>
                <w:color w:val="000000" w:themeColor="text1"/>
              </w:rPr>
              <w:t>Стоимость 1 га, руб.</w:t>
            </w:r>
          </w:p>
        </w:tc>
        <w:tc>
          <w:tcPr>
            <w:tcW w:w="2904" w:type="dxa"/>
            <w:vAlign w:val="center"/>
          </w:tcPr>
          <w:p w14:paraId="259371A1"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rPr>
            </w:pPr>
            <w:r w:rsidRPr="00F562A8">
              <w:rPr>
                <w:rFonts w:ascii="Times New Roman" w:eastAsia="Times New Roman" w:hAnsi="Times New Roman" w:cs="Times New Roman"/>
                <w:b/>
                <w:color w:val="000000" w:themeColor="text1"/>
              </w:rPr>
              <w:t>Стоимость 1 кв.м, руб.</w:t>
            </w:r>
          </w:p>
        </w:tc>
      </w:tr>
      <w:tr w:rsidR="001C2BA2" w:rsidRPr="00F562A8" w14:paraId="6E7FB729" w14:textId="77777777" w:rsidTr="006131C6">
        <w:trPr>
          <w:jc w:val="center"/>
        </w:trPr>
        <w:tc>
          <w:tcPr>
            <w:tcW w:w="2263" w:type="dxa"/>
            <w:vAlign w:val="center"/>
          </w:tcPr>
          <w:p w14:paraId="1993AFB7"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sidRPr="00F562A8">
              <w:rPr>
                <w:rFonts w:ascii="Times New Roman" w:eastAsia="Times New Roman" w:hAnsi="Times New Roman" w:cs="Times New Roman"/>
                <w:color w:val="000000" w:themeColor="text1"/>
              </w:rPr>
              <w:t>ООО «Рыбхоз Березовский»</w:t>
            </w:r>
          </w:p>
        </w:tc>
        <w:tc>
          <w:tcPr>
            <w:tcW w:w="1560" w:type="dxa"/>
            <w:vAlign w:val="center"/>
          </w:tcPr>
          <w:p w14:paraId="51C8BCFF"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67 646</w:t>
            </w:r>
          </w:p>
        </w:tc>
        <w:tc>
          <w:tcPr>
            <w:tcW w:w="1208" w:type="dxa"/>
            <w:vAlign w:val="center"/>
          </w:tcPr>
          <w:p w14:paraId="1D076159"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sidRPr="00F562A8">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9</w:t>
            </w:r>
            <w:r w:rsidRPr="00F562A8">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5</w:t>
            </w:r>
            <w:r w:rsidRPr="00F562A8">
              <w:rPr>
                <w:rFonts w:ascii="Times New Roman" w:eastAsia="Times New Roman" w:hAnsi="Times New Roman" w:cs="Times New Roman"/>
                <w:color w:val="000000" w:themeColor="text1"/>
              </w:rPr>
              <w:t>%</w:t>
            </w:r>
          </w:p>
        </w:tc>
        <w:tc>
          <w:tcPr>
            <w:tcW w:w="1910" w:type="dxa"/>
            <w:vAlign w:val="center"/>
          </w:tcPr>
          <w:p w14:paraId="3F2E5D96"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346 905</w:t>
            </w:r>
          </w:p>
        </w:tc>
        <w:tc>
          <w:tcPr>
            <w:tcW w:w="2904" w:type="dxa"/>
            <w:vAlign w:val="center"/>
          </w:tcPr>
          <w:p w14:paraId="70C91D8E"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34,69</w:t>
            </w:r>
          </w:p>
        </w:tc>
      </w:tr>
      <w:tr w:rsidR="001C2BA2" w:rsidRPr="00F562A8" w14:paraId="2235D14C" w14:textId="77777777" w:rsidTr="006131C6">
        <w:trPr>
          <w:jc w:val="center"/>
        </w:trPr>
        <w:tc>
          <w:tcPr>
            <w:tcW w:w="2263" w:type="dxa"/>
            <w:vAlign w:val="center"/>
          </w:tcPr>
          <w:p w14:paraId="34A2935C"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sidRPr="00F562A8">
              <w:rPr>
                <w:rFonts w:ascii="Times New Roman" w:eastAsia="Times New Roman" w:hAnsi="Times New Roman" w:cs="Times New Roman"/>
                <w:color w:val="000000" w:themeColor="text1"/>
              </w:rPr>
              <w:t>ООО «ДОН»</w:t>
            </w:r>
          </w:p>
        </w:tc>
        <w:tc>
          <w:tcPr>
            <w:tcW w:w="1560" w:type="dxa"/>
            <w:vAlign w:val="center"/>
          </w:tcPr>
          <w:p w14:paraId="5BFC06D0"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37 199</w:t>
            </w:r>
          </w:p>
        </w:tc>
        <w:tc>
          <w:tcPr>
            <w:tcW w:w="1208" w:type="dxa"/>
            <w:vAlign w:val="center"/>
          </w:tcPr>
          <w:p w14:paraId="6E9E43F5"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sidRPr="0010715E">
              <w:rPr>
                <w:rFonts w:ascii="Times New Roman" w:eastAsia="Times New Roman" w:hAnsi="Times New Roman" w:cs="Times New Roman"/>
                <w:color w:val="000000" w:themeColor="text1"/>
              </w:rPr>
              <w:t>19,5%</w:t>
            </w:r>
          </w:p>
        </w:tc>
        <w:tc>
          <w:tcPr>
            <w:tcW w:w="1910" w:type="dxa"/>
            <w:vAlign w:val="center"/>
          </w:tcPr>
          <w:p w14:paraId="48A20B82"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190 765</w:t>
            </w:r>
          </w:p>
        </w:tc>
        <w:tc>
          <w:tcPr>
            <w:tcW w:w="2904" w:type="dxa"/>
            <w:vAlign w:val="center"/>
          </w:tcPr>
          <w:p w14:paraId="0BA05DA9"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19,08</w:t>
            </w:r>
          </w:p>
        </w:tc>
      </w:tr>
      <w:tr w:rsidR="001C2BA2" w:rsidRPr="00F562A8" w14:paraId="115EC7F6" w14:textId="77777777" w:rsidTr="006131C6">
        <w:trPr>
          <w:jc w:val="center"/>
        </w:trPr>
        <w:tc>
          <w:tcPr>
            <w:tcW w:w="2263" w:type="dxa"/>
            <w:vAlign w:val="center"/>
          </w:tcPr>
          <w:p w14:paraId="05AB0D3B" w14:textId="77777777" w:rsidR="001C2BA2" w:rsidRPr="009D6B70" w:rsidRDefault="001C2BA2" w:rsidP="006131C6">
            <w:pPr>
              <w:spacing w:line="276" w:lineRule="auto"/>
              <w:jc w:val="center"/>
              <w:rPr>
                <w:rFonts w:ascii="Times New Roman" w:eastAsia="Times New Roman" w:hAnsi="Times New Roman" w:cs="Times New Roman"/>
                <w:color w:val="000000" w:themeColor="text1"/>
              </w:rPr>
            </w:pPr>
            <w:r w:rsidRPr="009D6B70">
              <w:rPr>
                <w:rFonts w:ascii="Times New Roman" w:eastAsia="Times New Roman" w:hAnsi="Times New Roman" w:cs="Times New Roman"/>
                <w:color w:val="000000" w:themeColor="text1"/>
              </w:rPr>
              <w:t>ЗАО «Павловскрыбхоз»</w:t>
            </w:r>
          </w:p>
        </w:tc>
        <w:tc>
          <w:tcPr>
            <w:tcW w:w="1560" w:type="dxa"/>
            <w:vAlign w:val="center"/>
          </w:tcPr>
          <w:p w14:paraId="0E2741E4"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26 688</w:t>
            </w:r>
          </w:p>
        </w:tc>
        <w:tc>
          <w:tcPr>
            <w:tcW w:w="1208" w:type="dxa"/>
            <w:vAlign w:val="center"/>
          </w:tcPr>
          <w:p w14:paraId="131776D0"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sidRPr="0010715E">
              <w:rPr>
                <w:rFonts w:ascii="Times New Roman" w:eastAsia="Times New Roman" w:hAnsi="Times New Roman" w:cs="Times New Roman"/>
                <w:color w:val="000000" w:themeColor="text1"/>
              </w:rPr>
              <w:t>19,5%</w:t>
            </w:r>
          </w:p>
        </w:tc>
        <w:tc>
          <w:tcPr>
            <w:tcW w:w="1910" w:type="dxa"/>
            <w:vAlign w:val="center"/>
          </w:tcPr>
          <w:p w14:paraId="0635B8C5"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147 117</w:t>
            </w:r>
          </w:p>
        </w:tc>
        <w:tc>
          <w:tcPr>
            <w:tcW w:w="2904" w:type="dxa"/>
            <w:vAlign w:val="center"/>
          </w:tcPr>
          <w:p w14:paraId="55FE21AD"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14,71</w:t>
            </w:r>
          </w:p>
        </w:tc>
      </w:tr>
      <w:tr w:rsidR="001C2BA2" w:rsidRPr="00F562A8" w14:paraId="2403D768" w14:textId="77777777" w:rsidTr="006131C6">
        <w:trPr>
          <w:jc w:val="center"/>
        </w:trPr>
        <w:tc>
          <w:tcPr>
            <w:tcW w:w="2263" w:type="dxa"/>
            <w:vAlign w:val="center"/>
          </w:tcPr>
          <w:p w14:paraId="7C29E13C"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sidRPr="002B6D75">
              <w:rPr>
                <w:rFonts w:ascii="Times New Roman" w:eastAsia="Times New Roman" w:hAnsi="Times New Roman" w:cs="Times New Roman"/>
                <w:color w:val="000000" w:themeColor="text1"/>
              </w:rPr>
              <w:t>Рыбное хозяйство «Овтеено»</w:t>
            </w:r>
          </w:p>
        </w:tc>
        <w:tc>
          <w:tcPr>
            <w:tcW w:w="1560" w:type="dxa"/>
            <w:vAlign w:val="center"/>
          </w:tcPr>
          <w:p w14:paraId="6DB2B5D4"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26 091</w:t>
            </w:r>
          </w:p>
        </w:tc>
        <w:tc>
          <w:tcPr>
            <w:tcW w:w="1208" w:type="dxa"/>
            <w:vAlign w:val="center"/>
          </w:tcPr>
          <w:p w14:paraId="7BF669BE"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sidRPr="0010715E">
              <w:rPr>
                <w:rFonts w:ascii="Times New Roman" w:eastAsia="Times New Roman" w:hAnsi="Times New Roman" w:cs="Times New Roman"/>
                <w:color w:val="000000" w:themeColor="text1"/>
              </w:rPr>
              <w:t>19,5%</w:t>
            </w:r>
          </w:p>
        </w:tc>
        <w:tc>
          <w:tcPr>
            <w:tcW w:w="1910" w:type="dxa"/>
            <w:vAlign w:val="center"/>
          </w:tcPr>
          <w:p w14:paraId="3743953C"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133 798</w:t>
            </w:r>
          </w:p>
        </w:tc>
        <w:tc>
          <w:tcPr>
            <w:tcW w:w="2904" w:type="dxa"/>
            <w:vAlign w:val="center"/>
          </w:tcPr>
          <w:p w14:paraId="36C0F856" w14:textId="77777777" w:rsidR="001C2BA2" w:rsidRPr="00F562A8" w:rsidRDefault="001C2BA2" w:rsidP="006131C6">
            <w:pPr>
              <w:spacing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13,38</w:t>
            </w:r>
          </w:p>
        </w:tc>
      </w:tr>
      <w:tr w:rsidR="001C2BA2" w:rsidRPr="00F562A8" w14:paraId="04CACC49" w14:textId="77777777" w:rsidTr="006131C6">
        <w:trPr>
          <w:jc w:val="center"/>
        </w:trPr>
        <w:tc>
          <w:tcPr>
            <w:tcW w:w="5031" w:type="dxa"/>
            <w:gridSpan w:val="3"/>
            <w:vAlign w:val="center"/>
          </w:tcPr>
          <w:p w14:paraId="426B744B"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rPr>
            </w:pPr>
            <w:r w:rsidRPr="00F562A8">
              <w:rPr>
                <w:rFonts w:ascii="Times New Roman" w:eastAsia="Times New Roman" w:hAnsi="Times New Roman" w:cs="Times New Roman"/>
                <w:b/>
                <w:color w:val="000000" w:themeColor="text1"/>
              </w:rPr>
              <w:t>Среднее значение стоимости по рыбхозам</w:t>
            </w:r>
          </w:p>
        </w:tc>
        <w:tc>
          <w:tcPr>
            <w:tcW w:w="1910" w:type="dxa"/>
            <w:vAlign w:val="center"/>
          </w:tcPr>
          <w:p w14:paraId="2F592DF9"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204</w:t>
            </w:r>
            <w:r w:rsidRPr="00F562A8">
              <w:rPr>
                <w:rFonts w:ascii="Times New Roman" w:eastAsia="Times New Roman" w:hAnsi="Times New Roman" w:cs="Times New Roman"/>
                <w:b/>
                <w:color w:val="000000" w:themeColor="text1"/>
              </w:rPr>
              <w:t xml:space="preserve"> </w:t>
            </w:r>
            <w:r>
              <w:rPr>
                <w:rFonts w:ascii="Times New Roman" w:eastAsia="Times New Roman" w:hAnsi="Times New Roman" w:cs="Times New Roman"/>
                <w:b/>
                <w:color w:val="000000" w:themeColor="text1"/>
              </w:rPr>
              <w:t>646</w:t>
            </w:r>
            <w:r w:rsidRPr="00F562A8">
              <w:rPr>
                <w:rFonts w:ascii="Times New Roman" w:eastAsia="Times New Roman" w:hAnsi="Times New Roman" w:cs="Times New Roman"/>
                <w:b/>
                <w:color w:val="000000" w:themeColor="text1"/>
              </w:rPr>
              <w:t>,</w:t>
            </w:r>
            <w:r>
              <w:rPr>
                <w:rFonts w:ascii="Times New Roman" w:eastAsia="Times New Roman" w:hAnsi="Times New Roman" w:cs="Times New Roman"/>
                <w:b/>
                <w:color w:val="000000" w:themeColor="text1"/>
              </w:rPr>
              <w:t>14</w:t>
            </w:r>
          </w:p>
        </w:tc>
        <w:tc>
          <w:tcPr>
            <w:tcW w:w="2904" w:type="dxa"/>
            <w:vAlign w:val="center"/>
          </w:tcPr>
          <w:p w14:paraId="0B45834D" w14:textId="77777777" w:rsidR="001C2BA2" w:rsidRPr="00F562A8" w:rsidRDefault="001C2BA2" w:rsidP="006131C6">
            <w:pPr>
              <w:spacing w:line="276" w:lineRule="auto"/>
              <w:jc w:val="cente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20,46</w:t>
            </w:r>
          </w:p>
        </w:tc>
      </w:tr>
    </w:tbl>
    <w:p w14:paraId="730BBF8B" w14:textId="77777777" w:rsidR="001C2BA2" w:rsidRPr="00F562A8" w:rsidRDefault="001C2BA2" w:rsidP="001C2BA2">
      <w:pPr>
        <w:spacing w:line="276" w:lineRule="auto"/>
        <w:ind w:firstLine="709"/>
        <w:jc w:val="both"/>
        <w:rPr>
          <w:rFonts w:ascii="Times New Roman" w:eastAsia="Times New Roman" w:hAnsi="Times New Roman" w:cs="Times New Roman"/>
          <w:color w:val="000000" w:themeColor="text1"/>
          <w:sz w:val="16"/>
          <w:szCs w:val="16"/>
        </w:rPr>
      </w:pPr>
    </w:p>
    <w:p w14:paraId="38E9EA6C" w14:textId="77777777" w:rsidR="00E3427F" w:rsidRPr="00B77007" w:rsidRDefault="001C2BA2" w:rsidP="00E3427F">
      <w:pPr>
        <w:spacing w:after="0" w:line="276" w:lineRule="auto"/>
        <w:ind w:firstLine="709"/>
        <w:jc w:val="both"/>
        <w:rPr>
          <w:rFonts w:ascii="Times New Roman" w:eastAsia="Times New Roman" w:hAnsi="Times New Roman" w:cs="Times New Roman"/>
          <w:sz w:val="26"/>
          <w:szCs w:val="26"/>
        </w:rPr>
      </w:pPr>
      <w:r w:rsidRPr="00F562A8">
        <w:rPr>
          <w:rFonts w:ascii="Times New Roman" w:eastAsia="Times New Roman" w:hAnsi="Times New Roman" w:cs="Times New Roman"/>
          <w:color w:val="000000" w:themeColor="text1"/>
          <w:sz w:val="26"/>
          <w:szCs w:val="26"/>
        </w:rPr>
        <w:t>Следовательно, стоимость 1 м</w:t>
      </w:r>
      <w:r w:rsidRPr="00F562A8">
        <w:rPr>
          <w:rFonts w:ascii="Times New Roman" w:eastAsia="Times New Roman" w:hAnsi="Times New Roman" w:cs="Times New Roman"/>
          <w:color w:val="000000" w:themeColor="text1"/>
          <w:sz w:val="26"/>
          <w:szCs w:val="26"/>
          <w:vertAlign w:val="superscript"/>
        </w:rPr>
        <w:t>2</w:t>
      </w:r>
      <w:r w:rsidRPr="00F562A8">
        <w:rPr>
          <w:rFonts w:ascii="Times New Roman" w:eastAsia="Times New Roman" w:hAnsi="Times New Roman" w:cs="Times New Roman"/>
          <w:color w:val="000000" w:themeColor="text1"/>
          <w:sz w:val="26"/>
          <w:szCs w:val="26"/>
        </w:rPr>
        <w:t xml:space="preserve"> земельного участка занятого обособленным водным объектом, составляет </w:t>
      </w:r>
      <w:r>
        <w:rPr>
          <w:rFonts w:ascii="Times New Roman" w:eastAsia="Times New Roman" w:hAnsi="Times New Roman" w:cs="Times New Roman"/>
          <w:color w:val="000000" w:themeColor="text1"/>
          <w:sz w:val="26"/>
          <w:szCs w:val="26"/>
        </w:rPr>
        <w:t>20</w:t>
      </w:r>
      <w:r w:rsidRPr="00F562A8">
        <w:rPr>
          <w:rFonts w:ascii="Times New Roman" w:eastAsia="Times New Roman" w:hAnsi="Times New Roman" w:cs="Times New Roman"/>
          <w:color w:val="000000" w:themeColor="text1"/>
          <w:sz w:val="26"/>
          <w:szCs w:val="26"/>
        </w:rPr>
        <w:t>,</w:t>
      </w:r>
      <w:r>
        <w:rPr>
          <w:rFonts w:ascii="Times New Roman" w:eastAsia="Times New Roman" w:hAnsi="Times New Roman" w:cs="Times New Roman"/>
          <w:color w:val="000000" w:themeColor="text1"/>
          <w:sz w:val="26"/>
          <w:szCs w:val="26"/>
        </w:rPr>
        <w:t>46</w:t>
      </w:r>
      <w:r w:rsidRPr="00F562A8">
        <w:rPr>
          <w:rFonts w:ascii="Times New Roman" w:eastAsia="Times New Roman" w:hAnsi="Times New Roman" w:cs="Times New Roman"/>
          <w:color w:val="000000" w:themeColor="text1"/>
          <w:sz w:val="26"/>
          <w:szCs w:val="26"/>
        </w:rPr>
        <w:t xml:space="preserve"> руб. </w:t>
      </w:r>
      <w:r w:rsidR="00E3427F" w:rsidRPr="00B77007">
        <w:rPr>
          <w:rFonts w:ascii="Times New Roman" w:eastAsia="Times New Roman" w:hAnsi="Times New Roman" w:cs="Times New Roman"/>
          <w:sz w:val="26"/>
          <w:szCs w:val="26"/>
        </w:rPr>
        <w:t xml:space="preserve">Как было отмечено ранее, УПКС земельных участков, занятых обособленными водными объектами, рассчитывался с учетом зеркала пруда. </w:t>
      </w:r>
    </w:p>
    <w:p w14:paraId="24C02C16" w14:textId="20EB0A05" w:rsidR="001C2BA2" w:rsidRPr="00C23AB0" w:rsidRDefault="001C2BA2" w:rsidP="00C23AB0">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imes New Roman" w:hAnsi="Times New Roman" w:cs="Times New Roman"/>
          <w:color w:val="000000" w:themeColor="text1"/>
          <w:sz w:val="26"/>
          <w:szCs w:val="26"/>
        </w:rPr>
        <w:t>Расчет стоимости 1 кв.м</w:t>
      </w:r>
      <w:r w:rsidR="00B77007">
        <w:rPr>
          <w:rFonts w:ascii="Times New Roman" w:eastAsia="Times New Roman" w:hAnsi="Times New Roman" w:cs="Times New Roman"/>
          <w:color w:val="000000" w:themeColor="text1"/>
          <w:sz w:val="26"/>
          <w:szCs w:val="26"/>
        </w:rPr>
        <w:t>.</w:t>
      </w:r>
      <w:r w:rsidRPr="00F562A8">
        <w:rPr>
          <w:rFonts w:ascii="Times New Roman" w:eastAsia="Times New Roman" w:hAnsi="Times New Roman" w:cs="Times New Roman"/>
          <w:color w:val="000000" w:themeColor="text1"/>
          <w:sz w:val="26"/>
          <w:szCs w:val="26"/>
        </w:rPr>
        <w:t xml:space="preserve"> представлен в </w:t>
      </w:r>
      <w:r w:rsidRPr="00D40E96">
        <w:rPr>
          <w:rFonts w:ascii="Times New Roman" w:eastAsia="Times New Roman" w:hAnsi="Times New Roman" w:cs="Times New Roman"/>
          <w:color w:val="000000" w:themeColor="text1"/>
          <w:sz w:val="26"/>
          <w:szCs w:val="26"/>
        </w:rPr>
        <w:t>Приложении</w:t>
      </w:r>
      <w:r w:rsidRPr="00D40E96">
        <w:rPr>
          <w:rFonts w:ascii="Times New Roman" w:eastAsia="Times New Roman" w:hAnsi="Times New Roman" w:cs="Times New Roman"/>
          <w:color w:val="FF0000"/>
          <w:sz w:val="26"/>
          <w:szCs w:val="26"/>
        </w:rPr>
        <w:t xml:space="preserve"> </w:t>
      </w:r>
      <w:r w:rsidR="00C23AB0" w:rsidRPr="00220663">
        <w:rPr>
          <w:rFonts w:ascii="Times New Roman" w:hAnsi="Times New Roman" w:cs="Times New Roman"/>
          <w:sz w:val="26"/>
          <w:szCs w:val="26"/>
        </w:rPr>
        <w:t>2/</w:t>
      </w:r>
      <w:r w:rsidR="00C23AB0">
        <w:rPr>
          <w:rFonts w:ascii="Times New Roman" w:hAnsi="Times New Roman" w:cs="Times New Roman"/>
          <w:sz w:val="26"/>
          <w:szCs w:val="26"/>
        </w:rPr>
        <w:t>2.6/</w:t>
      </w:r>
      <w:r w:rsidR="00C23AB0" w:rsidRPr="00220663">
        <w:rPr>
          <w:rFonts w:ascii="Times New Roman" w:hAnsi="Times New Roman" w:cs="Times New Roman"/>
          <w:sz w:val="26"/>
          <w:szCs w:val="26"/>
        </w:rPr>
        <w:t>2.6.1</w:t>
      </w:r>
      <w:r w:rsidR="00C23AB0">
        <w:rPr>
          <w:rFonts w:ascii="Times New Roman" w:hAnsi="Times New Roman" w:cs="Times New Roman"/>
          <w:sz w:val="26"/>
          <w:szCs w:val="26"/>
        </w:rPr>
        <w:t>/2.6.1.2</w:t>
      </w:r>
    </w:p>
    <w:p w14:paraId="7CDB3E15" w14:textId="77777777" w:rsidR="00EA1B78" w:rsidRPr="00B77007" w:rsidRDefault="00EA1B78" w:rsidP="001C2BA2">
      <w:pPr>
        <w:spacing w:after="0" w:line="276" w:lineRule="auto"/>
        <w:ind w:firstLine="709"/>
        <w:jc w:val="both"/>
        <w:rPr>
          <w:rFonts w:ascii="Times New Roman" w:eastAsiaTheme="minorEastAsia" w:hAnsi="Times New Roman" w:cs="Times New Roman"/>
          <w:sz w:val="26"/>
          <w:szCs w:val="26"/>
        </w:rPr>
      </w:pPr>
    </w:p>
    <w:p w14:paraId="77579DAE" w14:textId="7445E210" w:rsidR="00637AE9" w:rsidRPr="00F562A8" w:rsidRDefault="00637AE9" w:rsidP="00637AE9">
      <w:pPr>
        <w:pStyle w:val="ab"/>
        <w:ind w:left="0"/>
        <w:jc w:val="center"/>
        <w:outlineLvl w:val="2"/>
        <w:rPr>
          <w:rFonts w:ascii="Times New Roman" w:hAnsi="Times New Roman" w:cs="Times New Roman"/>
          <w:i/>
          <w:sz w:val="26"/>
          <w:szCs w:val="26"/>
        </w:rPr>
      </w:pPr>
      <w:bookmarkStart w:id="140" w:name="_Toc110506962"/>
      <w:r w:rsidRPr="002021A6">
        <w:rPr>
          <w:rFonts w:ascii="Times New Roman" w:hAnsi="Times New Roman" w:cs="Times New Roman"/>
          <w:i/>
          <w:sz w:val="26"/>
          <w:szCs w:val="26"/>
        </w:rPr>
        <w:t>3.6.1.3.</w:t>
      </w:r>
      <w:r w:rsidRPr="00F562A8">
        <w:rPr>
          <w:rFonts w:ascii="Times New Roman" w:hAnsi="Times New Roman" w:cs="Times New Roman"/>
          <w:i/>
          <w:sz w:val="26"/>
          <w:szCs w:val="26"/>
        </w:rPr>
        <w:t xml:space="preserve"> Расчет кадастровой стоимости земельных участков </w:t>
      </w:r>
      <w:r>
        <w:rPr>
          <w:rFonts w:ascii="Times New Roman" w:hAnsi="Times New Roman" w:cs="Times New Roman"/>
          <w:i/>
          <w:sz w:val="26"/>
          <w:szCs w:val="26"/>
        </w:rPr>
        <w:t xml:space="preserve">группы </w:t>
      </w:r>
      <w:r w:rsidRPr="00637AE9">
        <w:rPr>
          <w:rFonts w:ascii="Times New Roman" w:hAnsi="Times New Roman" w:cs="Times New Roman"/>
          <w:i/>
          <w:sz w:val="26"/>
          <w:szCs w:val="26"/>
        </w:rPr>
        <w:t>СХ использование</w:t>
      </w:r>
      <w:bookmarkEnd w:id="140"/>
      <w:r w:rsidRPr="00F562A8">
        <w:rPr>
          <w:rFonts w:ascii="Times New Roman" w:hAnsi="Times New Roman" w:cs="Times New Roman"/>
          <w:i/>
          <w:sz w:val="26"/>
          <w:szCs w:val="26"/>
        </w:rPr>
        <w:t xml:space="preserve"> </w:t>
      </w:r>
    </w:p>
    <w:p w14:paraId="77861869" w14:textId="062DAA0C" w:rsidR="007379E9" w:rsidRPr="00F562A8" w:rsidRDefault="007379E9" w:rsidP="007379E9">
      <w:pPr>
        <w:spacing w:after="0" w:line="276" w:lineRule="auto"/>
        <w:ind w:firstLine="709"/>
        <w:jc w:val="both"/>
        <w:rPr>
          <w:rFonts w:ascii="Times New Roman" w:eastAsiaTheme="minorEastAsia" w:hAnsi="Times New Roman" w:cs="Times New Roman"/>
          <w:sz w:val="26"/>
          <w:szCs w:val="26"/>
        </w:rPr>
      </w:pPr>
      <w:bookmarkStart w:id="141" w:name="_Toc14102071"/>
      <w:bookmarkStart w:id="142" w:name="_Hlk516300789"/>
      <w:bookmarkEnd w:id="133"/>
      <w:r w:rsidRPr="00F562A8">
        <w:rPr>
          <w:rFonts w:ascii="Times New Roman" w:eastAsiaTheme="minorEastAsia" w:hAnsi="Times New Roman" w:cs="Times New Roman"/>
          <w:sz w:val="26"/>
          <w:szCs w:val="26"/>
        </w:rPr>
        <w:t xml:space="preserve">Перечень объектов оценки данной группы приведен </w:t>
      </w:r>
      <w:r w:rsidRPr="00637AE9">
        <w:rPr>
          <w:rFonts w:ascii="Times New Roman" w:eastAsiaTheme="minorEastAsia" w:hAnsi="Times New Roman" w:cs="Times New Roman"/>
          <w:sz w:val="26"/>
          <w:szCs w:val="26"/>
        </w:rPr>
        <w:t xml:space="preserve">в Приложении </w:t>
      </w:r>
      <w:r w:rsidR="00EA1B78" w:rsidRPr="00F562A8">
        <w:rPr>
          <w:rFonts w:ascii="Times New Roman" w:eastAsiaTheme="minorEastAsia" w:hAnsi="Times New Roman" w:cs="Times New Roman"/>
          <w:sz w:val="26"/>
          <w:szCs w:val="26"/>
        </w:rPr>
        <w:t>2/2.4</w:t>
      </w:r>
      <w:r w:rsidR="00EA1B78">
        <w:rPr>
          <w:rFonts w:ascii="Times New Roman" w:eastAsiaTheme="minorEastAsia" w:hAnsi="Times New Roman" w:cs="Times New Roman"/>
          <w:sz w:val="26"/>
          <w:szCs w:val="26"/>
        </w:rPr>
        <w:t>/2.4.1</w:t>
      </w:r>
    </w:p>
    <w:p w14:paraId="35A8B163" w14:textId="23AA0174" w:rsidR="0075139E"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В состав группы СХ использование вошли следующие коды расчета видов использования: 01:000, 01:010, 01:020, 01:030, 01:031, 01:032, 01:040, 01:041, 01:042, 01:050, 01:051, 01:052, 01:053, 01:054, 01:060, 01:070, 01:080, 01:081, 01:082, 01:083, 01:084, 01:085, 01:086, 01:120, 01:121, 01:130, 01:131, 01:140, 01:141, 01:142, 01:160, 01:170, 01:171, 01:200; 02:012, 02:015, 02:022, 02:033.</w:t>
      </w:r>
    </w:p>
    <w:p w14:paraId="62E1D428" w14:textId="5349149D"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В перечне объектов недвижимости, подлежащих государственной кадастровой оценке, представлены земельные участки с кодами расчета 01:000, 01:010, 01:020, 01:030, 01:031, 01:032, 01:040, 01:041, 01:042, 01:050, 01:051, 01:052, 01:053, 01:054, 01:060, 01:070, 01:080, 01:081, 01:082, 01:083, 01:084, 01:085, 01:086, 01:120, 01:121, 01:130, 01:131, 01:140, 01:141, 01:142, 01:160, 01:170, 01:171, 01:200; 02:012, 02:015, 02:022, 02:033.</w:t>
      </w:r>
    </w:p>
    <w:p w14:paraId="0C94EAFC"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Для определения кадастровой стоимости земельных участков, отнесенных к 1 сегменту, согласно Приложению №6 Методических указаний, применяются 2 подхода: сравнительный и доходный. Для расчета кадастровой стоимости земельных участков с кодами расчета: 01:000, 01:010, 01:020, 01:030, 01:031, 01:032, 01:040, 01:041, 01:042, 01:050, 01:051, 01:052, 01:053, 01:054, 01:060, 01:070, 01:080, 01:081, 01:082, 01:083, 01:084, 01:085, 01:086, 01:120, 01:121, 01:130, 01:131, 01:140, 01:141, 01:142, 01:160, 01:170, 01:171, 01:200; 02:012, 02:015, 02:022, 02:033 применен доходный подход, рекомендованный Указаниями для оценки земель сельскохозяйственного использования в качестве наиболее весомого подхода (Приложение № 6 Указаний).</w:t>
      </w:r>
    </w:p>
    <w:p w14:paraId="480780F7"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От использования сравнительного подхода принято решение отказаться в связи с недостаточностью рыночной информации, в том числе отсутствием в собранной рыночной информации сведений о почвенных характеристиках участков, а также существенной дифференциацией цен предложений (сделок), полученных из открытых источников, что может привести к необъективности оценки.</w:t>
      </w:r>
    </w:p>
    <w:p w14:paraId="62EB5F24"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Согласно п.57.1-п.57.2 Указаний, определение кадастровой стоимости земельных участков с указанными кодами расчета видов использования производится с учетом особенностей сельскохозяйственного и агроклиматического районирования территории. При определении кадастровой стоимости сельскохозяйственных угодий в составе факторов стоимости учитывается плодородие земельного участка, а также влияние природных факторов.</w:t>
      </w:r>
    </w:p>
    <w:p w14:paraId="7AADD8FE"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bookmarkStart w:id="143" w:name="_Hlk75862937"/>
      <w:r w:rsidRPr="0075139E">
        <w:rPr>
          <w:rFonts w:ascii="Times New Roman" w:hAnsi="Times New Roman" w:cs="Times New Roman"/>
          <w:bCs/>
          <w:color w:val="000000" w:themeColor="text1"/>
          <w:sz w:val="26"/>
          <w:szCs w:val="26"/>
        </w:rPr>
        <w:t>Определение кадастровой стоимости земельных участков сельскохозяйственного использования осуществлялось с применением специального программного обеспечения СПО «ГКОЗ-С» (разработчик ООО НПО «ГеоГИС», г. Воронеж), версия программы 3.1 (сборка 1166), далее по тексту – СПО.</w:t>
      </w:r>
    </w:p>
    <w:bookmarkEnd w:id="143"/>
    <w:p w14:paraId="7A6A7E35"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В соответствии с п.57.4 Указаний, определение сельскохозяйственных угодий, пригодных под пашню, осуществляется методом капитализации земельной ренты, которая рассчитывается как разность между валовым доходом и затратами на возделывание и уборку сельскохозяйственной продукции. Валовой доход рассчитывается для единицы площади земельного участка как произведение нормативной урожайности сельскохозяйственной культуры на ее рыночную цену.</w:t>
      </w:r>
    </w:p>
    <w:p w14:paraId="6278B3DC"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Определение кадастровой стоимости земельных участков сельскохозяйственного использования (сельскохозяйственных угодий) осуществлялось с использованием:</w:t>
      </w:r>
    </w:p>
    <w:p w14:paraId="4B98DB75"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Справочника агроклиматического оценочного зонирования субъектов Российской Федерации (Москва, 2010);</w:t>
      </w:r>
    </w:p>
    <w:p w14:paraId="4227FDDB"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Методические рекомендации по оценке качества и классификации земель по их пригодности для использования в сельском хозяйстве (Москва, 2003).</w:t>
      </w:r>
    </w:p>
    <w:p w14:paraId="1342990C"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Пособия «Государственная кадастровая оценка земель сельскохозяйственного назначения Российской Федерации» (Москва, 2012).</w:t>
      </w:r>
    </w:p>
    <w:p w14:paraId="7CF616B4"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bookmarkStart w:id="144" w:name="_Hlk80265765"/>
      <w:r w:rsidRPr="0075139E">
        <w:rPr>
          <w:rFonts w:ascii="Times New Roman" w:hAnsi="Times New Roman" w:cs="Times New Roman"/>
          <w:bCs/>
          <w:color w:val="000000" w:themeColor="text1"/>
          <w:sz w:val="26"/>
          <w:szCs w:val="26"/>
        </w:rPr>
        <w:t>Определение удельных показателей кадастровой стоимости земельных участков предполагает следующую последовательность действий:</w:t>
      </w:r>
    </w:p>
    <w:p w14:paraId="07D2042F"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определение перечня почвенных разновидностей и площади, которую занимает каждая из них;</w:t>
      </w:r>
    </w:p>
    <w:p w14:paraId="1EF73E3E"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определение в разрезе почвенных разновидностей перечня всех сельскохозяйственных культур, возможных к выращиванию (далее - перечень культур);</w:t>
      </w:r>
    </w:p>
    <w:p w14:paraId="0E1B88B9"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xml:space="preserve">- выбор в разрезе почвенных разновидностей на основе перечня культур –севооборота/структуры посевов, характеризующихся набором сельскохозяйственных культур; </w:t>
      </w:r>
    </w:p>
    <w:p w14:paraId="5158DD86"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xml:space="preserve">- определение в разрезе почвенных разновидностей нормативной урожайности каждой сельскохозяйственной культуры из состава перечня культур; </w:t>
      </w:r>
    </w:p>
    <w:p w14:paraId="59373FFC"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xml:space="preserve">- расчет удельного показателя валового дохода для каждой сельскохозяйственной культуры из состава перечня культур как произведения ее нормативной урожайности и прогнозируемой цены реализации для каждой почвенной разновидности; </w:t>
      </w:r>
    </w:p>
    <w:p w14:paraId="379E8C60"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xml:space="preserve">- определение затрат на единицу площади на возделывание и уборку каждой сельскохозяйственной культуры из состава перечня культур (далее - удельные затраты на возделывание сельскохозяйственных культур) для каждой почвенной разновидности; </w:t>
      </w:r>
    </w:p>
    <w:p w14:paraId="587C12F2"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расчет в разрезе почвенных разновидностей затрат на единицу площади на поддержание плодородия почв для севооборота/структуры посевов (далее - удельные затраты на поддержание плодородия почв);</w:t>
      </w:r>
    </w:p>
    <w:p w14:paraId="2AEFA01D"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расчет в разрезе почвенных разновидностей удельного показателя земельной ренты для севооборота/структуры посевов путем вычитания из величины удельного валового дохода величины удельных затрат на возделывание, величины удельных затрат на поддержание плодородия почв;</w:t>
      </w:r>
    </w:p>
    <w:p w14:paraId="45DE35FA"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определение значения коэффициента капитализации земельной ренты (далее – коэффициента капитализации);</w:t>
      </w:r>
    </w:p>
    <w:p w14:paraId="78C98F8F"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расчет удельного показателя кадастровой стоимости для каждой почвенной разновидности путем деления удельного показателя земельной ренты почвенной разновидности на коэффициент капитализации;</w:t>
      </w:r>
    </w:p>
    <w:p w14:paraId="679555AF"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xml:space="preserve">- расчет удельного показателя кадастровой стоимости земельного участка как средневзвешенного </w:t>
      </w:r>
      <w:bookmarkStart w:id="145" w:name="_Toc369983909"/>
      <w:bookmarkStart w:id="146" w:name="_Toc23345498"/>
      <w:bookmarkStart w:id="147" w:name="_Toc45821702"/>
      <w:bookmarkEnd w:id="144"/>
      <w:r w:rsidRPr="0075139E">
        <w:rPr>
          <w:rFonts w:ascii="Times New Roman" w:hAnsi="Times New Roman" w:cs="Times New Roman"/>
          <w:bCs/>
          <w:color w:val="000000" w:themeColor="text1"/>
          <w:sz w:val="26"/>
          <w:szCs w:val="26"/>
        </w:rPr>
        <w:t>по площади удельных показателей кадастровой стоимости почвенных разновидностей в составе территорий бывших хозяйств (землепользований).</w:t>
      </w:r>
    </w:p>
    <w:p w14:paraId="67051AC6" w14:textId="0DF3B6FB" w:rsidR="007379E9" w:rsidRPr="0075139E" w:rsidRDefault="007379E9" w:rsidP="0075139E">
      <w:pPr>
        <w:spacing w:before="120" w:after="0" w:line="276" w:lineRule="auto"/>
        <w:ind w:firstLine="709"/>
        <w:jc w:val="center"/>
        <w:rPr>
          <w:rFonts w:ascii="Times New Roman" w:hAnsi="Times New Roman" w:cs="Times New Roman"/>
          <w:bCs/>
          <w:i/>
          <w:color w:val="000000" w:themeColor="text1"/>
          <w:sz w:val="26"/>
          <w:szCs w:val="26"/>
        </w:rPr>
      </w:pPr>
      <w:r w:rsidRPr="0075139E">
        <w:rPr>
          <w:rFonts w:ascii="Times New Roman" w:hAnsi="Times New Roman" w:cs="Times New Roman"/>
          <w:bCs/>
          <w:i/>
          <w:color w:val="000000" w:themeColor="text1"/>
          <w:sz w:val="26"/>
          <w:szCs w:val="26"/>
        </w:rPr>
        <w:t>Определение перечня почвенных разновидностей и площади, которую занимает каждая из них</w:t>
      </w:r>
      <w:bookmarkEnd w:id="145"/>
      <w:bookmarkEnd w:id="146"/>
      <w:bookmarkEnd w:id="147"/>
    </w:p>
    <w:p w14:paraId="49E115F7"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xml:space="preserve">В связи с отсутствием на территории Воронежской области новых почвенных обследований проведенных с момента прошлого тура государственной кадастровой оценки земельных участков в составе земель сельскохозяйственного назначения, состав почвенных разновидностей для каждого муниципального района Воронежской области использовался по материалам прошлого тура оценки, размещенным в фонде данных государственной кадастровой оценки Росреестра. Кроме того, уполномоченным органом исполнительной власти Воронежской области Департаментом имущественных и земельных отношений Воронежской области (письмо №52/12 от 13.06.2019г.) были предоставлены Учреждению материалы, ранее сформированные исполнителем по государственному контракту от 11.04.2016г. № 03-КО/ЗСХ (ООО НПО «ГеоГИС») в рамках проведения работ по актуализации государственной кадастровой стоимости земельных участков в составе земель сельскохозяйственного назначения на территории Воронежской области в прошлом туре оценки (материалы находятся в архиве Учреждения). </w:t>
      </w:r>
    </w:p>
    <w:p w14:paraId="5B147E1E"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Состав почвенных разновидностей был определен для каждого землепользования (территория ранее существовавшего колхоза, совхоза, подсобного хозяйства).</w:t>
      </w:r>
      <w:bookmarkStart w:id="148" w:name="_Hlk76980933"/>
      <w:r w:rsidRPr="0075139E">
        <w:rPr>
          <w:rFonts w:ascii="Times New Roman" w:hAnsi="Times New Roman" w:cs="Times New Roman"/>
          <w:bCs/>
          <w:color w:val="000000" w:themeColor="text1"/>
          <w:sz w:val="26"/>
          <w:szCs w:val="26"/>
        </w:rPr>
        <w:t xml:space="preserve"> Характеристика почвенных разновидностей была приведена в соответствии с Методическими рекомендациями по оценке качества и классификации земель по их пригодности для использования в сельском хозяйстве (Москва, 2003).</w:t>
      </w:r>
    </w:p>
    <w:bookmarkEnd w:id="148"/>
    <w:p w14:paraId="3C37397D"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Был определен показатель агроклиматического потенциала землепользования в зависимости от их расположения в той или иной агроклиматической подзоне.</w:t>
      </w:r>
    </w:p>
    <w:p w14:paraId="2DA53C2A"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При определении кадастровой стоимости сельскохозяйственных угодий в составе факторов стоимости учитывалось плодородие почв, а также влияние природных факторов.</w:t>
      </w:r>
    </w:p>
    <w:p w14:paraId="3701E33C"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xml:space="preserve">К числу основных факторов, определяющих плодородие почв земельного участка, в частности, относятся качественные характеристики почвенного слоя земельного участка (содержание гумуса и мощность гумусового горизонта, содержание физической глины, свойства почв, такие как степень эродированности, оглеение, солонцеватость, солончаковатость, легкий гранулометрический состав и прочее, а также агроэкологический потенциал). </w:t>
      </w:r>
    </w:p>
    <w:p w14:paraId="5E7755AD"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 xml:space="preserve">Информация о качественных характеристиках почвенного слоя (содержание гумуса, мощность гумусового горизонта, содержание физической глины, негативные свойства почвы, уклон, смытость, литологическое строение и т.п.), земельных участков была получена по данным почвенных материалов прошлого тура оценки. </w:t>
      </w:r>
    </w:p>
    <w:p w14:paraId="231EC8BB" w14:textId="65204CB5"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Для дальнейшего расчета продуктивности в разрезе почвенной разновидности была проведена их генерализация и кодирование полученной информации. Каждой почвенной разновидности был присвоен код характеризующий тип и подтип почвы. Была произведена кодировка литологического строения и дополнительных признаков почв. Результаты кодировки и характеристики почвенных разновидностей приведены в Приложении 1\1.5\1.5.3.</w:t>
      </w:r>
    </w:p>
    <w:p w14:paraId="5D71F2F1" w14:textId="232BAFD2" w:rsidR="0075139E" w:rsidRDefault="0075139E" w:rsidP="0075139E">
      <w:pPr>
        <w:spacing w:before="120" w:after="0" w:line="276" w:lineRule="auto"/>
        <w:ind w:firstLine="709"/>
        <w:jc w:val="center"/>
        <w:rPr>
          <w:rFonts w:ascii="Times New Roman" w:hAnsi="Times New Roman" w:cs="Times New Roman"/>
          <w:bCs/>
          <w:i/>
          <w:color w:val="000000" w:themeColor="text1"/>
          <w:sz w:val="26"/>
          <w:szCs w:val="26"/>
        </w:rPr>
      </w:pPr>
      <w:bookmarkStart w:id="149" w:name="_Toc369983910"/>
      <w:bookmarkStart w:id="150" w:name="_Toc23345499"/>
      <w:bookmarkStart w:id="151" w:name="_Toc45821703"/>
    </w:p>
    <w:p w14:paraId="5E04CCA0" w14:textId="77777777" w:rsidR="006D5680" w:rsidRDefault="006D5680" w:rsidP="0075139E">
      <w:pPr>
        <w:spacing w:before="120" w:after="0" w:line="276" w:lineRule="auto"/>
        <w:ind w:firstLine="709"/>
        <w:jc w:val="center"/>
        <w:rPr>
          <w:rFonts w:ascii="Times New Roman" w:hAnsi="Times New Roman" w:cs="Times New Roman"/>
          <w:bCs/>
          <w:i/>
          <w:color w:val="000000" w:themeColor="text1"/>
          <w:sz w:val="26"/>
          <w:szCs w:val="26"/>
        </w:rPr>
      </w:pPr>
    </w:p>
    <w:p w14:paraId="1434F6E7" w14:textId="4EF0B098" w:rsidR="00A4166A" w:rsidRDefault="00A4166A" w:rsidP="0075139E">
      <w:pPr>
        <w:spacing w:before="120" w:after="0" w:line="276" w:lineRule="auto"/>
        <w:ind w:firstLine="709"/>
        <w:jc w:val="center"/>
        <w:rPr>
          <w:rFonts w:ascii="Times New Roman" w:hAnsi="Times New Roman" w:cs="Times New Roman"/>
          <w:bCs/>
          <w:i/>
          <w:color w:val="000000" w:themeColor="text1"/>
          <w:sz w:val="26"/>
          <w:szCs w:val="26"/>
        </w:rPr>
      </w:pPr>
    </w:p>
    <w:p w14:paraId="02B3854C" w14:textId="77777777" w:rsidR="00A4166A" w:rsidRDefault="00A4166A" w:rsidP="0075139E">
      <w:pPr>
        <w:spacing w:before="120" w:after="0" w:line="276" w:lineRule="auto"/>
        <w:ind w:firstLine="709"/>
        <w:jc w:val="center"/>
        <w:rPr>
          <w:rFonts w:ascii="Times New Roman" w:hAnsi="Times New Roman" w:cs="Times New Roman"/>
          <w:bCs/>
          <w:i/>
          <w:color w:val="000000" w:themeColor="text1"/>
          <w:sz w:val="26"/>
          <w:szCs w:val="26"/>
        </w:rPr>
      </w:pPr>
    </w:p>
    <w:p w14:paraId="6F078393" w14:textId="7EBAC058" w:rsidR="007379E9" w:rsidRPr="0075139E" w:rsidRDefault="007379E9" w:rsidP="0075139E">
      <w:pPr>
        <w:spacing w:before="120" w:after="0" w:line="276" w:lineRule="auto"/>
        <w:ind w:firstLine="709"/>
        <w:jc w:val="center"/>
        <w:rPr>
          <w:rFonts w:ascii="Times New Roman" w:hAnsi="Times New Roman" w:cs="Times New Roman"/>
          <w:bCs/>
          <w:i/>
          <w:color w:val="000000" w:themeColor="text1"/>
          <w:sz w:val="26"/>
          <w:szCs w:val="26"/>
        </w:rPr>
      </w:pPr>
      <w:r w:rsidRPr="0075139E">
        <w:rPr>
          <w:rFonts w:ascii="Times New Roman" w:hAnsi="Times New Roman" w:cs="Times New Roman"/>
          <w:bCs/>
          <w:i/>
          <w:color w:val="000000" w:themeColor="text1"/>
          <w:sz w:val="26"/>
          <w:szCs w:val="26"/>
        </w:rPr>
        <w:t xml:space="preserve">Определение в разрезе почвенных разновидностей перечня всех сельскохозяйственных культур, </w:t>
      </w:r>
      <w:bookmarkEnd w:id="149"/>
      <w:r w:rsidRPr="0075139E">
        <w:rPr>
          <w:rFonts w:ascii="Times New Roman" w:hAnsi="Times New Roman" w:cs="Times New Roman"/>
          <w:bCs/>
          <w:i/>
          <w:color w:val="000000" w:themeColor="text1"/>
          <w:sz w:val="26"/>
          <w:szCs w:val="26"/>
        </w:rPr>
        <w:t>возможных к выращиванию (далее - перечень культур)</w:t>
      </w:r>
      <w:bookmarkEnd w:id="150"/>
      <w:bookmarkEnd w:id="151"/>
    </w:p>
    <w:p w14:paraId="0E4F8FD9"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Перечень сельскохозяйственных культур подбирается по соответствию показателей климата территории агроклиматическим требованиям, определяющим ареал возможного выращивания сельскохозяйственных культур на территории региона.</w:t>
      </w:r>
    </w:p>
    <w:p w14:paraId="1D4E2B9C" w14:textId="2A1790F2"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Перечень культур, рекомендованных для выращивания на территории Воронежской области и типовой набор севооборотов по различным агроклиматическим зонам Воронежской области приняты из Справочника агроклиматического оценочного зонирования субъектов Российской Федерации (Москва, 2010), выдержки которого по Воронежской области приведены в Приложении 1\1.5\1.5.3.</w:t>
      </w:r>
    </w:p>
    <w:p w14:paraId="5AEBC6DA" w14:textId="39FA37BF" w:rsidR="007379E9" w:rsidRPr="0075139E" w:rsidRDefault="007379E9" w:rsidP="0075139E">
      <w:pPr>
        <w:spacing w:before="120" w:after="0" w:line="276" w:lineRule="auto"/>
        <w:ind w:firstLine="709"/>
        <w:jc w:val="both"/>
        <w:rPr>
          <w:rFonts w:ascii="Times New Roman" w:hAnsi="Times New Roman" w:cs="Times New Roman"/>
          <w:bCs/>
          <w:i/>
          <w:color w:val="000000" w:themeColor="text1"/>
          <w:sz w:val="26"/>
          <w:szCs w:val="26"/>
        </w:rPr>
      </w:pPr>
      <w:bookmarkStart w:id="152" w:name="_Toc23345500"/>
      <w:bookmarkStart w:id="153" w:name="_Toc45821704"/>
      <w:bookmarkStart w:id="154" w:name="_Toc77675880"/>
      <w:bookmarkStart w:id="155" w:name="_Toc78451830"/>
      <w:r w:rsidRPr="0075139E">
        <w:rPr>
          <w:rFonts w:ascii="Times New Roman" w:hAnsi="Times New Roman" w:cs="Times New Roman"/>
          <w:bCs/>
          <w:i/>
          <w:color w:val="000000" w:themeColor="text1"/>
          <w:sz w:val="26"/>
          <w:szCs w:val="26"/>
        </w:rPr>
        <w:t>Выбор в разрезе почвенных разновидностей на основе перечня культур допустимых чередований посевов (далее - севооборот), характеризующихся набором сельскохозяйственных культур, их чередованием, количеством полей, занимаемых каждой сельскохозяйственной культурой, и общим количеством полей севооборота</w:t>
      </w:r>
      <w:bookmarkEnd w:id="152"/>
      <w:bookmarkEnd w:id="153"/>
      <w:bookmarkEnd w:id="154"/>
      <w:bookmarkEnd w:id="155"/>
      <w:r w:rsidR="00DC20E2">
        <w:rPr>
          <w:rFonts w:ascii="Times New Roman" w:hAnsi="Times New Roman" w:cs="Times New Roman"/>
          <w:bCs/>
          <w:i/>
          <w:color w:val="000000" w:themeColor="text1"/>
          <w:sz w:val="26"/>
          <w:szCs w:val="26"/>
        </w:rPr>
        <w:t>.</w:t>
      </w:r>
    </w:p>
    <w:p w14:paraId="22388877" w14:textId="77777777" w:rsidR="007379E9" w:rsidRPr="0075139E" w:rsidRDefault="007379E9" w:rsidP="0075139E">
      <w:pPr>
        <w:spacing w:before="120" w:after="0" w:line="276" w:lineRule="auto"/>
        <w:ind w:firstLine="709"/>
        <w:jc w:val="both"/>
        <w:rPr>
          <w:rFonts w:ascii="Times New Roman" w:hAnsi="Times New Roman" w:cs="Times New Roman"/>
          <w:bCs/>
          <w:color w:val="000000" w:themeColor="text1"/>
          <w:sz w:val="26"/>
          <w:szCs w:val="26"/>
        </w:rPr>
      </w:pPr>
      <w:r w:rsidRPr="0075139E">
        <w:rPr>
          <w:rFonts w:ascii="Times New Roman" w:hAnsi="Times New Roman" w:cs="Times New Roman"/>
          <w:bCs/>
          <w:color w:val="000000" w:themeColor="text1"/>
          <w:sz w:val="26"/>
          <w:szCs w:val="26"/>
        </w:rPr>
        <w:t>Подбор и оптимизация предложенных севооборотов были проведены с учетом доходности культур в составе севооборота. В процессе оптимизации был просчитан баланс гумуса итоговой оценочной структуры, необходимый для расчета оптимальных доз удобрений, влияющих на совокупный рентный доход с 1 га посевов. Поиск севооборота заданного набора культур на заданной почвенной разновидности проводился с использованием СПО.</w:t>
      </w:r>
    </w:p>
    <w:p w14:paraId="6DD80CF4" w14:textId="77777777" w:rsidR="007379E9" w:rsidRPr="000256EC" w:rsidRDefault="007379E9" w:rsidP="0075139E">
      <w:pPr>
        <w:spacing w:before="120" w:after="0" w:line="276" w:lineRule="auto"/>
        <w:ind w:firstLine="709"/>
        <w:jc w:val="both"/>
        <w:rPr>
          <w:rFonts w:ascii="Times New Roman" w:hAnsi="Times New Roman"/>
          <w:sz w:val="26"/>
          <w:szCs w:val="26"/>
          <w:lang w:eastAsia="ru-RU"/>
        </w:rPr>
      </w:pPr>
      <w:r w:rsidRPr="0075139E">
        <w:rPr>
          <w:rFonts w:ascii="Times New Roman" w:hAnsi="Times New Roman" w:cs="Times New Roman"/>
          <w:bCs/>
          <w:color w:val="000000" w:themeColor="text1"/>
          <w:sz w:val="26"/>
          <w:szCs w:val="26"/>
        </w:rPr>
        <w:t>Поскольку СХК обладают различной нормативной урожайностью и имеют различный баланс гумуса в зависимости</w:t>
      </w:r>
      <w:r w:rsidRPr="000256EC">
        <w:rPr>
          <w:rFonts w:ascii="Times New Roman" w:hAnsi="Times New Roman"/>
          <w:sz w:val="26"/>
          <w:szCs w:val="26"/>
          <w:lang w:eastAsia="ru-RU"/>
        </w:rPr>
        <w:t xml:space="preserve"> от почвенной разновидности, на которой они возделываются, и, кроме того, удельные затраты на возделывание и уборку культуры зависят от той почвенной разновидности, на которой производится это возделывание. Различные севообороты будут давать различный удельный валовый </w:t>
      </w:r>
      <w:r w:rsidRPr="0075139E">
        <w:rPr>
          <w:rFonts w:ascii="Times New Roman" w:hAnsi="Times New Roman" w:cs="Times New Roman"/>
          <w:bCs/>
          <w:color w:val="000000" w:themeColor="text1"/>
          <w:sz w:val="26"/>
          <w:szCs w:val="26"/>
        </w:rPr>
        <w:t>доход</w:t>
      </w:r>
      <w:r w:rsidRPr="000256EC">
        <w:rPr>
          <w:rFonts w:ascii="Times New Roman" w:hAnsi="Times New Roman"/>
          <w:sz w:val="26"/>
          <w:szCs w:val="26"/>
          <w:lang w:eastAsia="ru-RU"/>
        </w:rPr>
        <w:t xml:space="preserve"> (УдВД) и удельный показатель земельной ренты (УПЗР). Таким образом, для каждой почвенной разновидности на основе перечня культур, возможных к выращиванию в заданной Агроклиматической подзоне (АКП), требуется найти возможный севооборот, обеспечивающий максимальную величину УПЗР. Учитывая вышеизложенное, в расчетах был принят оптимизационный метод выбора севооборота, основанный на нахождении оптимального севооборота из всех возможных севооборотов путем решения частично целочисленной (булевой) задачи математического программирования.</w:t>
      </w:r>
    </w:p>
    <w:p w14:paraId="2DEE3A47" w14:textId="77777777" w:rsidR="00EE5E82" w:rsidRDefault="00EE5E82" w:rsidP="007379E9">
      <w:pPr>
        <w:spacing w:after="0" w:line="360" w:lineRule="auto"/>
        <w:ind w:firstLine="709"/>
        <w:contextualSpacing/>
        <w:jc w:val="both"/>
        <w:rPr>
          <w:rFonts w:ascii="Times New Roman" w:hAnsi="Times New Roman"/>
          <w:i/>
          <w:sz w:val="26"/>
          <w:szCs w:val="26"/>
          <w:u w:val="single"/>
          <w:lang w:eastAsia="ru-RU"/>
        </w:rPr>
      </w:pPr>
    </w:p>
    <w:p w14:paraId="1475D0AC" w14:textId="47E81804" w:rsidR="007379E9" w:rsidRPr="000256EC" w:rsidRDefault="007379E9" w:rsidP="007379E9">
      <w:pPr>
        <w:spacing w:after="0" w:line="360" w:lineRule="auto"/>
        <w:ind w:firstLine="709"/>
        <w:contextualSpacing/>
        <w:jc w:val="both"/>
        <w:rPr>
          <w:rFonts w:ascii="Times New Roman" w:hAnsi="Times New Roman"/>
          <w:i/>
          <w:sz w:val="26"/>
          <w:szCs w:val="26"/>
          <w:u w:val="single"/>
          <w:lang w:eastAsia="ru-RU"/>
        </w:rPr>
      </w:pPr>
      <w:r w:rsidRPr="000256EC">
        <w:rPr>
          <w:rFonts w:ascii="Times New Roman" w:hAnsi="Times New Roman"/>
          <w:i/>
          <w:sz w:val="26"/>
          <w:szCs w:val="26"/>
          <w:u w:val="single"/>
          <w:lang w:eastAsia="ru-RU"/>
        </w:rPr>
        <w:t>Поиск оптимального севооборота набора СХК для заданной почвенной разновидности.</w:t>
      </w:r>
    </w:p>
    <w:p w14:paraId="06D31CD9"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Метод основан на использовании теории предшественников в агрономической науке.</w:t>
      </w:r>
    </w:p>
    <w:p w14:paraId="6C065372"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Исходные данные (обозначения):</w:t>
      </w:r>
    </w:p>
    <w:p w14:paraId="49BC3978"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N – количество культур;</w:t>
      </w:r>
    </w:p>
    <w:p w14:paraId="54F59093"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Yi – урожайность культуры с номером i =1….N. Если культура не возделывается в данной Агроклиматической подзоне, то ее урожайность принимается равной «0»;</w:t>
      </w:r>
    </w:p>
    <w:p w14:paraId="6BB84B64"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hi – баланс гумуса культуры i, i =1….N;</w:t>
      </w:r>
    </w:p>
    <w:p w14:paraId="18311C10"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Zi – затраты на выращивание и уборку культуры i на 1 Га;</w:t>
      </w:r>
    </w:p>
    <w:p w14:paraId="2F0E5879"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Si – цена реализации культуры i;</w:t>
      </w:r>
    </w:p>
    <w:p w14:paraId="5464D872"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100*a – прибыль предпринимателя, в %;</w:t>
      </w:r>
    </w:p>
    <w:p w14:paraId="3BD079FC"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k – коэффициент капитализации;</w:t>
      </w:r>
    </w:p>
    <w:p w14:paraId="47E499F4"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Sh – цена гумуса;</w:t>
      </w:r>
    </w:p>
    <w:p w14:paraId="27F30494"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M – число полей (лет) севооборота;</w:t>
      </w:r>
    </w:p>
    <w:p w14:paraId="31035A90" w14:textId="77777777" w:rsidR="007379E9" w:rsidRPr="000256EC" w:rsidRDefault="007379E9" w:rsidP="007379E9">
      <w:pPr>
        <w:spacing w:after="0" w:line="360" w:lineRule="auto"/>
        <w:ind w:firstLine="709"/>
        <w:contextualSpacing/>
        <w:jc w:val="both"/>
        <w:rPr>
          <w:rFonts w:ascii="Times New Roman" w:hAnsi="Times New Roman"/>
          <w:i/>
          <w:sz w:val="26"/>
          <w:szCs w:val="26"/>
          <w:u w:val="single"/>
          <w:lang w:eastAsia="ru-RU"/>
        </w:rPr>
      </w:pPr>
      <w:r w:rsidRPr="000256EC">
        <w:rPr>
          <w:rFonts w:ascii="Times New Roman" w:hAnsi="Times New Roman"/>
          <w:i/>
          <w:sz w:val="26"/>
          <w:szCs w:val="26"/>
          <w:u w:val="single"/>
          <w:lang w:eastAsia="ru-RU"/>
        </w:rPr>
        <w:t>Математическая модель севооборота.</w:t>
      </w:r>
    </w:p>
    <w:p w14:paraId="68B61403"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Любой севооборот, представляющий из себя циклическую последовательность культур длиной в M лет, может быть описан матрицей булевых переменных Xi,j (состоящей из нулей и единиц), такой что:</w:t>
      </w:r>
    </w:p>
    <w:p w14:paraId="2C2A9ECB"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Xi,j = 1, если культура с номером i сеется в год с номером j, и</w:t>
      </w:r>
    </w:p>
    <w:p w14:paraId="7A1A9434"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Xi,j = 0, если культура с номером i не сеется в год с номером j.</w:t>
      </w:r>
    </w:p>
    <w:p w14:paraId="68B49383"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Поскольку в каждый год j засеяна одна и только одна культура (включая чистый пар, который тоже считается культурой) имеем M равенств (по числу лет в севообороте):</w:t>
      </w:r>
    </w:p>
    <w:p w14:paraId="728BF5E8"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p>
    <w:p w14:paraId="7E65C601" w14:textId="35EF01C8" w:rsidR="007379E9" w:rsidRPr="000256EC" w:rsidRDefault="00FF7453" w:rsidP="0075139E">
      <w:pPr>
        <w:spacing w:after="0" w:line="360" w:lineRule="auto"/>
        <w:contextualSpacing/>
        <w:jc w:val="center"/>
        <w:rPr>
          <w:rFonts w:ascii="Times New Roman" w:hAnsi="Times New Roman"/>
          <w:sz w:val="26"/>
          <w:szCs w:val="26"/>
          <w:lang w:eastAsia="ru-RU"/>
        </w:rPr>
      </w:pPr>
      <m:oMath>
        <m:nary>
          <m:naryPr>
            <m:chr m:val="∑"/>
            <m:limLoc m:val="subSup"/>
            <m:ctrlPr>
              <w:rPr>
                <w:rFonts w:ascii="Cambria Math" w:hAnsi="Cambria Math"/>
                <w:i/>
                <w:sz w:val="26"/>
                <w:szCs w:val="26"/>
                <w:lang w:eastAsia="ru-RU"/>
              </w:rPr>
            </m:ctrlPr>
          </m:naryPr>
          <m:sub>
            <m:r>
              <w:rPr>
                <w:rFonts w:ascii="Cambria Math" w:hAnsi="Cambria Math"/>
                <w:sz w:val="26"/>
                <w:szCs w:val="26"/>
                <w:lang w:eastAsia="ru-RU"/>
              </w:rPr>
              <m:t>i=1</m:t>
            </m:r>
          </m:sub>
          <m:sup>
            <m:r>
              <w:rPr>
                <w:rFonts w:ascii="Cambria Math" w:hAnsi="Cambria Math"/>
                <w:sz w:val="26"/>
                <w:szCs w:val="26"/>
                <w:lang w:eastAsia="ru-RU"/>
              </w:rPr>
              <m:t>N</m:t>
            </m:r>
          </m:sup>
          <m:e>
            <m:sSub>
              <m:sSubPr>
                <m:ctrlPr>
                  <w:rPr>
                    <w:rFonts w:ascii="Cambria Math" w:hAnsi="Cambria Math"/>
                    <w:i/>
                    <w:sz w:val="26"/>
                    <w:szCs w:val="26"/>
                    <w:lang w:eastAsia="ru-RU"/>
                  </w:rPr>
                </m:ctrlPr>
              </m:sSubPr>
              <m:e>
                <m:r>
                  <w:rPr>
                    <w:rFonts w:ascii="Cambria Math" w:hAnsi="Cambria Math"/>
                    <w:sz w:val="26"/>
                    <w:szCs w:val="26"/>
                    <w:lang w:eastAsia="ru-RU"/>
                  </w:rPr>
                  <m:t>X</m:t>
                </m:r>
              </m:e>
              <m:sub>
                <m:r>
                  <w:rPr>
                    <w:rFonts w:ascii="Cambria Math" w:hAnsi="Cambria Math"/>
                    <w:sz w:val="26"/>
                    <w:szCs w:val="26"/>
                    <w:lang w:eastAsia="ru-RU"/>
                  </w:rPr>
                  <m:t>i,j</m:t>
                </m:r>
              </m:sub>
            </m:sSub>
            <m:r>
              <w:rPr>
                <w:rFonts w:ascii="Cambria Math" w:hAnsi="Cambria Math"/>
                <w:sz w:val="26"/>
                <w:szCs w:val="26"/>
                <w:lang w:eastAsia="ru-RU"/>
              </w:rPr>
              <m:t>=1</m:t>
            </m:r>
          </m:e>
        </m:nary>
      </m:oMath>
      <w:r w:rsidR="007379E9" w:rsidRPr="000256EC">
        <w:rPr>
          <w:rFonts w:ascii="Times New Roman" w:hAnsi="Times New Roman"/>
          <w:sz w:val="26"/>
          <w:szCs w:val="26"/>
          <w:lang w:eastAsia="ru-RU"/>
        </w:rPr>
        <w:tab/>
        <w:t>;</w:t>
      </w:r>
      <w:r w:rsidR="007379E9" w:rsidRPr="000256EC">
        <w:rPr>
          <w:rFonts w:ascii="Times New Roman" w:hAnsi="Times New Roman"/>
          <w:sz w:val="26"/>
          <w:szCs w:val="26"/>
          <w:lang w:eastAsia="ru-RU"/>
        </w:rPr>
        <w:tab/>
      </w:r>
      <w:r w:rsidR="007379E9" w:rsidRPr="000256EC">
        <w:rPr>
          <w:rFonts w:ascii="Times New Roman" w:hAnsi="Times New Roman"/>
          <w:sz w:val="26"/>
          <w:szCs w:val="26"/>
          <w:lang w:eastAsia="ru-RU"/>
        </w:rPr>
        <w:tab/>
      </w:r>
      <w:r w:rsidR="007379E9" w:rsidRPr="000256EC">
        <w:rPr>
          <w:rFonts w:ascii="Times New Roman" w:hAnsi="Times New Roman"/>
          <w:sz w:val="26"/>
          <w:szCs w:val="26"/>
          <w:lang w:eastAsia="ru-RU"/>
        </w:rPr>
        <w:tab/>
      </w:r>
      <w:r w:rsidR="007379E9" w:rsidRPr="000256EC">
        <w:rPr>
          <w:rFonts w:ascii="Times New Roman" w:hAnsi="Times New Roman"/>
          <w:sz w:val="26"/>
          <w:szCs w:val="26"/>
          <w:lang w:eastAsia="ru-RU"/>
        </w:rPr>
        <w:tab/>
      </w:r>
      <w:r w:rsidR="007379E9" w:rsidRPr="000256EC">
        <w:rPr>
          <w:rFonts w:ascii="Times New Roman" w:hAnsi="Times New Roman"/>
          <w:sz w:val="26"/>
          <w:szCs w:val="26"/>
          <w:lang w:eastAsia="ru-RU"/>
        </w:rPr>
        <w:tab/>
      </w:r>
      <w:r w:rsidR="007379E9" w:rsidRPr="000256EC">
        <w:rPr>
          <w:rFonts w:ascii="Times New Roman" w:hAnsi="Times New Roman"/>
          <w:sz w:val="26"/>
          <w:szCs w:val="26"/>
          <w:lang w:eastAsia="ru-RU"/>
        </w:rPr>
        <w:tab/>
      </w:r>
      <w:r w:rsidR="007379E9" w:rsidRPr="000256EC">
        <w:rPr>
          <w:rFonts w:ascii="Times New Roman" w:hAnsi="Times New Roman"/>
          <w:sz w:val="26"/>
          <w:szCs w:val="26"/>
          <w:lang w:eastAsia="ru-RU"/>
        </w:rPr>
        <w:tab/>
        <w:t>(1)</w:t>
      </w:r>
    </w:p>
    <w:p w14:paraId="7DFFCC48" w14:textId="21C50954" w:rsidR="005871E1" w:rsidRDefault="00EE5E82" w:rsidP="007379E9">
      <w:pPr>
        <w:spacing w:after="0" w:line="360" w:lineRule="auto"/>
        <w:ind w:firstLine="709"/>
        <w:contextualSpacing/>
        <w:jc w:val="both"/>
        <w:rPr>
          <w:rFonts w:ascii="Times New Roman" w:hAnsi="Times New Roman"/>
          <w:sz w:val="26"/>
          <w:szCs w:val="26"/>
          <w:lang w:eastAsia="ru-RU"/>
        </w:rPr>
      </w:pPr>
      <w:r>
        <w:rPr>
          <w:rFonts w:ascii="Times New Roman" w:hAnsi="Times New Roman"/>
          <w:sz w:val="26"/>
          <w:szCs w:val="26"/>
          <w:lang w:eastAsia="ru-RU"/>
        </w:rPr>
        <w:t xml:space="preserve">         </w:t>
      </w:r>
      <w:r w:rsidR="007379E9" w:rsidRPr="000256EC">
        <w:rPr>
          <w:rFonts w:ascii="Times New Roman" w:hAnsi="Times New Roman"/>
          <w:sz w:val="26"/>
          <w:szCs w:val="26"/>
          <w:lang w:eastAsia="ru-RU"/>
        </w:rPr>
        <w:t>j = 1,…, M.</w:t>
      </w:r>
    </w:p>
    <w:p w14:paraId="417520C8" w14:textId="77777777" w:rsidR="005871E1" w:rsidRDefault="005871E1">
      <w:pPr>
        <w:rPr>
          <w:rFonts w:ascii="Times New Roman" w:hAnsi="Times New Roman"/>
          <w:sz w:val="26"/>
          <w:szCs w:val="26"/>
          <w:lang w:eastAsia="ru-RU"/>
        </w:rPr>
      </w:pPr>
      <w:r>
        <w:rPr>
          <w:rFonts w:ascii="Times New Roman" w:hAnsi="Times New Roman"/>
          <w:sz w:val="26"/>
          <w:szCs w:val="26"/>
          <w:lang w:eastAsia="ru-RU"/>
        </w:rPr>
        <w:br w:type="page"/>
      </w:r>
    </w:p>
    <w:p w14:paraId="74A45AF5" w14:textId="77777777" w:rsidR="007379E9" w:rsidRPr="000256EC" w:rsidRDefault="007379E9" w:rsidP="007379E9">
      <w:pPr>
        <w:spacing w:after="0" w:line="360" w:lineRule="auto"/>
        <w:ind w:firstLine="709"/>
        <w:contextualSpacing/>
        <w:jc w:val="both"/>
        <w:rPr>
          <w:rFonts w:ascii="Times New Roman" w:hAnsi="Times New Roman"/>
          <w:i/>
          <w:sz w:val="26"/>
          <w:szCs w:val="26"/>
          <w:u w:val="single"/>
          <w:lang w:eastAsia="ru-RU"/>
        </w:rPr>
      </w:pPr>
      <w:r w:rsidRPr="000256EC">
        <w:rPr>
          <w:rFonts w:ascii="Times New Roman" w:hAnsi="Times New Roman"/>
          <w:i/>
          <w:sz w:val="26"/>
          <w:szCs w:val="26"/>
          <w:u w:val="single"/>
          <w:lang w:eastAsia="ru-RU"/>
        </w:rPr>
        <w:t xml:space="preserve">Условия на предшественника </w:t>
      </w:r>
    </w:p>
    <w:p w14:paraId="60426BD4"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Для каждой культуры с номером i и каждого года (поля) севооборота j имеем неравенства:</w:t>
      </w:r>
    </w:p>
    <w:p w14:paraId="6F2F838C"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Xi,j  + Xk,(j-1) ≤ 1; j = 2,…..,M</w:t>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t>(2)</w:t>
      </w:r>
    </w:p>
    <w:p w14:paraId="0CD68268"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Xi,1  + Xk,M  ≤ 1,</w:t>
      </w:r>
    </w:p>
    <w:p w14:paraId="1C557CAA"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где k – пробегает номера культур таких, что элемент с номером (i, k) в матрице пред-шественников не равен 3. Действительно, принимая во внимание, что переменная Xi,j  является булевой, сумма Xi,j  + Xk,(j-1) может быть равна 0, 1 или 2.</w:t>
      </w:r>
    </w:p>
    <w:p w14:paraId="06E9EF52" w14:textId="77777777" w:rsidR="007379E9" w:rsidRPr="000256EC" w:rsidRDefault="007379E9" w:rsidP="007379E9">
      <w:pPr>
        <w:spacing w:after="0" w:line="360" w:lineRule="auto"/>
        <w:ind w:firstLine="709"/>
        <w:contextualSpacing/>
        <w:jc w:val="both"/>
        <w:rPr>
          <w:rFonts w:ascii="Times New Roman" w:hAnsi="Times New Roman"/>
          <w:i/>
          <w:sz w:val="26"/>
          <w:szCs w:val="26"/>
          <w:u w:val="single"/>
          <w:lang w:eastAsia="ru-RU"/>
        </w:rPr>
      </w:pPr>
      <w:r w:rsidRPr="000256EC">
        <w:rPr>
          <w:rFonts w:ascii="Times New Roman" w:hAnsi="Times New Roman"/>
          <w:i/>
          <w:sz w:val="26"/>
          <w:szCs w:val="26"/>
          <w:u w:val="single"/>
          <w:lang w:eastAsia="ru-RU"/>
        </w:rPr>
        <w:t xml:space="preserve">Ограничения на максимальные частоты появления СХК в севообороте </w:t>
      </w:r>
    </w:p>
    <w:p w14:paraId="578ECA0B"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Для каждой культуры i, для которой величина q больше 1, имеем (q-1) неравенство для каждого года j (принимая во внимание циклический характер севооборота):</w:t>
      </w:r>
    </w:p>
    <w:p w14:paraId="1BE9FD1D"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Xi,j  + Xi,n ≤ 1; j = 1,…..,M</w:t>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t xml:space="preserve">(3) </w:t>
      </w:r>
    </w:p>
    <w:p w14:paraId="7A9FF156"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где n – остаток от деления (2M – m)/M, где m пробегает значения m = 2,…,q;</w:t>
      </w:r>
    </w:p>
    <w:p w14:paraId="7611DEA9" w14:textId="77777777" w:rsidR="007379E9" w:rsidRPr="000256EC" w:rsidRDefault="007379E9" w:rsidP="007379E9">
      <w:pPr>
        <w:spacing w:after="0" w:line="360" w:lineRule="auto"/>
        <w:ind w:firstLine="709"/>
        <w:contextualSpacing/>
        <w:jc w:val="both"/>
        <w:rPr>
          <w:rFonts w:ascii="Times New Roman" w:hAnsi="Times New Roman"/>
          <w:i/>
          <w:sz w:val="26"/>
          <w:szCs w:val="26"/>
          <w:u w:val="single"/>
          <w:lang w:eastAsia="ru-RU"/>
        </w:rPr>
      </w:pPr>
      <w:r w:rsidRPr="000256EC">
        <w:rPr>
          <w:rFonts w:ascii="Times New Roman" w:hAnsi="Times New Roman"/>
          <w:i/>
          <w:sz w:val="26"/>
          <w:szCs w:val="26"/>
          <w:u w:val="single"/>
          <w:lang w:eastAsia="ru-RU"/>
        </w:rPr>
        <w:t xml:space="preserve">Ограничения на максимальное число лет непрерывного посева СХК </w:t>
      </w:r>
    </w:p>
    <w:p w14:paraId="2697E299"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Для каждой культуры i, для которой величина p больше 1 и менее 100, имеем 1 неравенство для каждого года j (принимая во внимание циклический характер севооборота):</w:t>
      </w:r>
    </w:p>
    <w:p w14:paraId="2BDCBBF5"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Xi,j  + Xi,n ≤ 1; j = 1,…..,M</w:t>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t xml:space="preserve">(4) </w:t>
      </w:r>
    </w:p>
    <w:p w14:paraId="4E237E92"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где n – остаток от деления (2M – p)/M.</w:t>
      </w:r>
    </w:p>
    <w:p w14:paraId="42BB7557"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Ограничения предшественника по озимой пшенице 2-го года (при наличии).</w:t>
      </w:r>
    </w:p>
    <w:p w14:paraId="2C915D54" w14:textId="75D64E2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Среди рассматриваемых в ГКОЗ культур имеется одна культура, обладающая (с точки зрения принятой в настоящем СПО-1 математической модели) уникальным свойством, – это озимая пшеница. Дело в том, что озимая пшеница 2-го года, может быть посеяна только лишь в том случае, когда ее предшественник – пшеница 1-го года – была посеяна по чистому пару. </w:t>
      </w:r>
      <w:r w:rsidR="0041105F" w:rsidRPr="0041105F">
        <w:rPr>
          <w:rFonts w:ascii="Times New Roman" w:hAnsi="Times New Roman" w:cs="Times New Roman"/>
          <w:bCs/>
          <w:color w:val="000000" w:themeColor="text1"/>
          <w:sz w:val="26"/>
          <w:szCs w:val="26"/>
        </w:rPr>
        <w:t>Поэтому, в случае если</w:t>
      </w:r>
      <w:r w:rsidRPr="0041105F">
        <w:rPr>
          <w:rFonts w:ascii="Times New Roman" w:hAnsi="Times New Roman" w:cs="Times New Roman"/>
          <w:bCs/>
          <w:color w:val="000000" w:themeColor="text1"/>
          <w:sz w:val="26"/>
          <w:szCs w:val="26"/>
        </w:rPr>
        <w:t xml:space="preserve"> чистый пар включен в универсальную структуру посевов, имеем по каждому году j для «Озимой пшеницы 2» (N-1) неравенство, запрещающее ее сеять по всем пред-предшественникам, кроме чистого пара:</w:t>
      </w:r>
    </w:p>
    <w:p w14:paraId="5FB6275F"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X2,j  + Xl,n ≤ 1; j = 1,…..,M, l = 1,…,(N-1)</w:t>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t xml:space="preserve">(5) </w:t>
      </w:r>
    </w:p>
    <w:p w14:paraId="6A1148C4"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где n – остаток от деления (2M – 2)/M.</w:t>
      </w:r>
    </w:p>
    <w:p w14:paraId="040141B8" w14:textId="77777777" w:rsidR="007379E9" w:rsidRPr="000256EC" w:rsidRDefault="007379E9" w:rsidP="007379E9">
      <w:pPr>
        <w:spacing w:after="0" w:line="360" w:lineRule="auto"/>
        <w:ind w:firstLine="709"/>
        <w:contextualSpacing/>
        <w:jc w:val="both"/>
        <w:rPr>
          <w:rFonts w:ascii="Times New Roman" w:hAnsi="Times New Roman"/>
          <w:i/>
          <w:sz w:val="26"/>
          <w:szCs w:val="26"/>
          <w:u w:val="single"/>
          <w:lang w:eastAsia="ru-RU"/>
        </w:rPr>
      </w:pPr>
      <w:r w:rsidRPr="000256EC">
        <w:rPr>
          <w:rFonts w:ascii="Times New Roman" w:hAnsi="Times New Roman"/>
          <w:i/>
          <w:sz w:val="26"/>
          <w:szCs w:val="26"/>
          <w:u w:val="single"/>
          <w:lang w:eastAsia="ru-RU"/>
        </w:rPr>
        <w:t>Определение Удельного валового дохода (целевой функции) при выбранном севообороте Xi,j</w:t>
      </w:r>
    </w:p>
    <w:p w14:paraId="3F42D66F"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ab/>
        <w:t>Целевая функция будет иметь вид:</w:t>
      </w:r>
    </w:p>
    <w:p w14:paraId="022928B6" w14:textId="77777777" w:rsidR="007379E9" w:rsidRPr="000256EC" w:rsidRDefault="007379E9" w:rsidP="007379E9">
      <w:pPr>
        <w:spacing w:after="0" w:line="360" w:lineRule="auto"/>
        <w:ind w:firstLine="709"/>
        <w:contextualSpacing/>
        <w:jc w:val="both"/>
        <w:rPr>
          <w:rFonts w:ascii="Times New Roman" w:hAnsi="Times New Roman"/>
          <w:sz w:val="26"/>
          <w:szCs w:val="26"/>
          <w:lang w:val="en-US" w:eastAsia="ru-RU"/>
        </w:rPr>
      </w:pPr>
      <w:r w:rsidRPr="000256EC">
        <w:rPr>
          <w:rFonts w:ascii="Times New Roman" w:hAnsi="Times New Roman"/>
          <w:sz w:val="26"/>
          <w:szCs w:val="26"/>
          <w:lang w:val="en-US" w:eastAsia="ru-RU"/>
        </w:rPr>
        <w:t xml:space="preserve">F = </w:t>
      </w:r>
      <m:oMath>
        <m:nary>
          <m:naryPr>
            <m:chr m:val="∑"/>
            <m:limLoc m:val="subSup"/>
            <m:ctrlPr>
              <w:rPr>
                <w:rFonts w:ascii="Cambria Math" w:hAnsi="Cambria Math"/>
                <w:i/>
                <w:sz w:val="26"/>
                <w:szCs w:val="26"/>
                <w:lang w:val="en-US" w:eastAsia="ru-RU"/>
              </w:rPr>
            </m:ctrlPr>
          </m:naryPr>
          <m:sub>
            <m:r>
              <w:rPr>
                <w:rFonts w:ascii="Cambria Math" w:hAnsi="Cambria Math"/>
                <w:sz w:val="26"/>
                <w:szCs w:val="26"/>
                <w:lang w:val="en-US" w:eastAsia="ru-RU"/>
              </w:rPr>
              <m:t>i=1</m:t>
            </m:r>
          </m:sub>
          <m:sup>
            <m:r>
              <w:rPr>
                <w:rFonts w:ascii="Cambria Math" w:hAnsi="Cambria Math"/>
                <w:sz w:val="26"/>
                <w:szCs w:val="26"/>
                <w:lang w:val="en-US" w:eastAsia="ru-RU"/>
              </w:rPr>
              <m:t>N</m:t>
            </m:r>
          </m:sup>
          <m:e>
            <m:d>
              <m:dPr>
                <m:ctrlPr>
                  <w:rPr>
                    <w:rFonts w:ascii="Cambria Math" w:hAnsi="Cambria Math"/>
                    <w:i/>
                    <w:sz w:val="26"/>
                    <w:szCs w:val="26"/>
                    <w:lang w:val="en-US" w:eastAsia="ru-RU"/>
                  </w:rPr>
                </m:ctrlPr>
              </m:dPr>
              <m:e>
                <m:sSub>
                  <m:sSubPr>
                    <m:ctrlPr>
                      <w:rPr>
                        <w:rFonts w:ascii="Cambria Math" w:hAnsi="Cambria Math"/>
                        <w:i/>
                        <w:sz w:val="26"/>
                        <w:szCs w:val="26"/>
                        <w:lang w:val="en-US" w:eastAsia="ru-RU"/>
                      </w:rPr>
                    </m:ctrlPr>
                  </m:sSubPr>
                  <m:e>
                    <m:r>
                      <w:rPr>
                        <w:rFonts w:ascii="Cambria Math" w:hAnsi="Cambria Math"/>
                        <w:sz w:val="26"/>
                        <w:szCs w:val="26"/>
                        <w:lang w:val="en-US" w:eastAsia="ru-RU"/>
                      </w:rPr>
                      <m:t>Y</m:t>
                    </m:r>
                  </m:e>
                  <m:sub>
                    <m:r>
                      <w:rPr>
                        <w:rFonts w:ascii="Cambria Math" w:hAnsi="Cambria Math"/>
                        <w:sz w:val="26"/>
                        <w:szCs w:val="26"/>
                        <w:lang w:val="en-US" w:eastAsia="ru-RU"/>
                      </w:rPr>
                      <m:t>i</m:t>
                    </m:r>
                  </m:sub>
                </m:sSub>
                <m:r>
                  <w:rPr>
                    <w:rFonts w:ascii="Cambria Math" w:hAnsi="Cambria Math"/>
                    <w:sz w:val="26"/>
                    <w:szCs w:val="26"/>
                    <w:lang w:val="en-US" w:eastAsia="ru-RU"/>
                  </w:rPr>
                  <m:t>*</m:t>
                </m:r>
                <m:sSub>
                  <m:sSubPr>
                    <m:ctrlPr>
                      <w:rPr>
                        <w:rFonts w:ascii="Cambria Math" w:hAnsi="Cambria Math"/>
                        <w:i/>
                        <w:sz w:val="26"/>
                        <w:szCs w:val="26"/>
                        <w:lang w:val="en-US" w:eastAsia="ru-RU"/>
                      </w:rPr>
                    </m:ctrlPr>
                  </m:sSubPr>
                  <m:e>
                    <m:r>
                      <w:rPr>
                        <w:rFonts w:ascii="Cambria Math" w:hAnsi="Cambria Math"/>
                        <w:sz w:val="26"/>
                        <w:szCs w:val="26"/>
                        <w:lang w:val="en-US" w:eastAsia="ru-RU"/>
                      </w:rPr>
                      <m:t>S</m:t>
                    </m:r>
                  </m:e>
                  <m:sub>
                    <m:r>
                      <w:rPr>
                        <w:rFonts w:ascii="Cambria Math" w:hAnsi="Cambria Math"/>
                        <w:sz w:val="26"/>
                        <w:szCs w:val="26"/>
                        <w:lang w:val="en-US" w:eastAsia="ru-RU"/>
                      </w:rPr>
                      <m:t>i</m:t>
                    </m:r>
                  </m:sub>
                </m:sSub>
                <m:r>
                  <w:rPr>
                    <w:rFonts w:ascii="Cambria Math" w:hAnsi="Cambria Math"/>
                    <w:sz w:val="26"/>
                    <w:szCs w:val="26"/>
                    <w:lang w:val="en-US" w:eastAsia="ru-RU"/>
                  </w:rPr>
                  <m:t>-</m:t>
                </m:r>
                <m:d>
                  <m:dPr>
                    <m:ctrlPr>
                      <w:rPr>
                        <w:rFonts w:ascii="Cambria Math" w:hAnsi="Cambria Math"/>
                        <w:i/>
                        <w:sz w:val="26"/>
                        <w:szCs w:val="26"/>
                        <w:lang w:val="en-US" w:eastAsia="ru-RU"/>
                      </w:rPr>
                    </m:ctrlPr>
                  </m:dPr>
                  <m:e>
                    <m:r>
                      <w:rPr>
                        <w:rFonts w:ascii="Cambria Math" w:hAnsi="Cambria Math"/>
                        <w:sz w:val="26"/>
                        <w:szCs w:val="26"/>
                        <w:lang w:val="en-US" w:eastAsia="ru-RU"/>
                      </w:rPr>
                      <m:t>1+a</m:t>
                    </m:r>
                  </m:e>
                </m:d>
                <m:r>
                  <w:rPr>
                    <w:rFonts w:ascii="Cambria Math" w:hAnsi="Cambria Math"/>
                    <w:sz w:val="26"/>
                    <w:szCs w:val="26"/>
                    <w:lang w:val="en-US" w:eastAsia="ru-RU"/>
                  </w:rPr>
                  <m:t>*</m:t>
                </m:r>
                <m:sSub>
                  <m:sSubPr>
                    <m:ctrlPr>
                      <w:rPr>
                        <w:rFonts w:ascii="Cambria Math" w:hAnsi="Cambria Math"/>
                        <w:i/>
                        <w:sz w:val="26"/>
                        <w:szCs w:val="26"/>
                        <w:lang w:val="en-US" w:eastAsia="ru-RU"/>
                      </w:rPr>
                    </m:ctrlPr>
                  </m:sSubPr>
                  <m:e>
                    <m:r>
                      <w:rPr>
                        <w:rFonts w:ascii="Cambria Math" w:hAnsi="Cambria Math"/>
                        <w:sz w:val="26"/>
                        <w:szCs w:val="26"/>
                        <w:lang w:val="en-US" w:eastAsia="ru-RU"/>
                      </w:rPr>
                      <m:t>Z</m:t>
                    </m:r>
                  </m:e>
                  <m:sub>
                    <m:r>
                      <w:rPr>
                        <w:rFonts w:ascii="Cambria Math" w:hAnsi="Cambria Math"/>
                        <w:sz w:val="26"/>
                        <w:szCs w:val="26"/>
                        <w:lang w:val="en-US" w:eastAsia="ru-RU"/>
                      </w:rPr>
                      <m:t>i</m:t>
                    </m:r>
                  </m:sub>
                </m:sSub>
              </m:e>
            </m:d>
            <m:r>
              <w:rPr>
                <w:rFonts w:ascii="Cambria Math" w:hAnsi="Cambria Math"/>
                <w:sz w:val="26"/>
                <w:szCs w:val="26"/>
                <w:lang w:val="en-US" w:eastAsia="ru-RU"/>
              </w:rPr>
              <m:t>*</m:t>
            </m:r>
            <m:nary>
              <m:naryPr>
                <m:chr m:val="∑"/>
                <m:limLoc m:val="subSup"/>
                <m:ctrlPr>
                  <w:rPr>
                    <w:rFonts w:ascii="Cambria Math" w:hAnsi="Cambria Math"/>
                    <w:i/>
                    <w:sz w:val="26"/>
                    <w:szCs w:val="26"/>
                    <w:lang w:val="en-US" w:eastAsia="ru-RU"/>
                  </w:rPr>
                </m:ctrlPr>
              </m:naryPr>
              <m:sub>
                <m:r>
                  <w:rPr>
                    <w:rFonts w:ascii="Cambria Math" w:hAnsi="Cambria Math"/>
                    <w:sz w:val="26"/>
                    <w:szCs w:val="26"/>
                    <w:lang w:val="en-US" w:eastAsia="ru-RU"/>
                  </w:rPr>
                  <m:t>j=1</m:t>
                </m:r>
              </m:sub>
              <m:sup>
                <m:r>
                  <w:rPr>
                    <w:rFonts w:ascii="Cambria Math" w:hAnsi="Cambria Math"/>
                    <w:sz w:val="26"/>
                    <w:szCs w:val="26"/>
                    <w:lang w:val="en-US" w:eastAsia="ru-RU"/>
                  </w:rPr>
                  <m:t>M</m:t>
                </m:r>
              </m:sup>
              <m:e>
                <m:sSub>
                  <m:sSubPr>
                    <m:ctrlPr>
                      <w:rPr>
                        <w:rFonts w:ascii="Cambria Math" w:hAnsi="Cambria Math"/>
                        <w:i/>
                        <w:sz w:val="26"/>
                        <w:szCs w:val="26"/>
                        <w:lang w:val="en-US" w:eastAsia="ru-RU"/>
                      </w:rPr>
                    </m:ctrlPr>
                  </m:sSubPr>
                  <m:e>
                    <m:r>
                      <w:rPr>
                        <w:rFonts w:ascii="Cambria Math" w:hAnsi="Cambria Math"/>
                        <w:sz w:val="26"/>
                        <w:szCs w:val="26"/>
                        <w:lang w:val="en-US" w:eastAsia="ru-RU"/>
                      </w:rPr>
                      <m:t>X</m:t>
                    </m:r>
                  </m:e>
                  <m:sub>
                    <m:r>
                      <w:rPr>
                        <w:rFonts w:ascii="Cambria Math" w:hAnsi="Cambria Math"/>
                        <w:sz w:val="26"/>
                        <w:szCs w:val="26"/>
                        <w:lang w:val="en-US" w:eastAsia="ru-RU"/>
                      </w:rPr>
                      <m:t>i,j</m:t>
                    </m:r>
                  </m:sub>
                </m:sSub>
                <m:r>
                  <w:rPr>
                    <w:rFonts w:ascii="Cambria Math" w:hAnsi="Cambria Math"/>
                    <w:sz w:val="26"/>
                    <w:szCs w:val="26"/>
                    <w:lang w:val="en-US" w:eastAsia="ru-RU"/>
                  </w:rPr>
                  <m:t>+</m:t>
                </m:r>
                <m:d>
                  <m:dPr>
                    <m:ctrlPr>
                      <w:rPr>
                        <w:rFonts w:ascii="Cambria Math" w:hAnsi="Cambria Math"/>
                        <w:i/>
                        <w:sz w:val="26"/>
                        <w:szCs w:val="26"/>
                        <w:lang w:val="en-US" w:eastAsia="ru-RU"/>
                      </w:rPr>
                    </m:ctrlPr>
                  </m:dPr>
                  <m:e>
                    <m:r>
                      <w:rPr>
                        <w:rFonts w:ascii="Cambria Math" w:hAnsi="Cambria Math"/>
                        <w:sz w:val="26"/>
                        <w:szCs w:val="26"/>
                        <w:lang w:val="en-US" w:eastAsia="ru-RU"/>
                      </w:rPr>
                      <m:t>1+a</m:t>
                    </m:r>
                  </m:e>
                </m:d>
                <m:r>
                  <w:rPr>
                    <w:rFonts w:ascii="Cambria Math" w:hAnsi="Cambria Math"/>
                    <w:sz w:val="26"/>
                    <w:szCs w:val="26"/>
                    <w:lang w:val="en-US" w:eastAsia="ru-RU"/>
                  </w:rPr>
                  <m:t>*Chum→MAX,</m:t>
                </m:r>
              </m:e>
            </m:nary>
          </m:e>
        </m:nary>
      </m:oMath>
      <w:r w:rsidRPr="000256EC">
        <w:rPr>
          <w:rFonts w:ascii="Times New Roman" w:eastAsiaTheme="minorEastAsia" w:hAnsi="Times New Roman"/>
          <w:sz w:val="26"/>
          <w:szCs w:val="26"/>
          <w:lang w:val="en-US" w:eastAsia="ru-RU"/>
        </w:rPr>
        <w:t xml:space="preserve">             </w:t>
      </w:r>
      <w:r w:rsidRPr="000256EC">
        <w:rPr>
          <w:rFonts w:ascii="Times New Roman" w:hAnsi="Times New Roman"/>
          <w:sz w:val="26"/>
          <w:szCs w:val="26"/>
          <w:lang w:val="en-US" w:eastAsia="ru-RU"/>
        </w:rPr>
        <w:t>(6)</w:t>
      </w:r>
    </w:p>
    <w:p w14:paraId="000B6D11"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где Chum – затраты на поддержание гумуса при выбранном севообороте X.</w:t>
      </w:r>
    </w:p>
    <w:p w14:paraId="5163D954"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ab/>
        <w:t>Нетрудно убедиться, что:</w:t>
      </w:r>
    </w:p>
    <w:p w14:paraId="7E95462B"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val="en-US" w:eastAsia="ru-RU"/>
        </w:rPr>
        <w:t>Chum</w:t>
      </w:r>
      <w:r w:rsidRPr="000256EC">
        <w:rPr>
          <w:rFonts w:ascii="Times New Roman" w:hAnsi="Times New Roman"/>
          <w:sz w:val="26"/>
          <w:szCs w:val="26"/>
          <w:lang w:eastAsia="ru-RU"/>
        </w:rPr>
        <w:t>=</w:t>
      </w:r>
      <m:oMath>
        <m:r>
          <w:rPr>
            <w:rFonts w:ascii="Cambria Math" w:hAnsi="Cambria Math"/>
            <w:sz w:val="26"/>
            <w:szCs w:val="26"/>
            <w:lang w:val="en-US" w:eastAsia="ru-RU"/>
          </w:rPr>
          <m:t>S</m:t>
        </m:r>
        <m:r>
          <w:rPr>
            <w:rFonts w:ascii="Cambria Math" w:hAnsi="Cambria Math"/>
            <w:sz w:val="26"/>
            <w:szCs w:val="26"/>
            <w:lang w:eastAsia="ru-RU"/>
          </w:rPr>
          <m:t>h*</m:t>
        </m:r>
        <m:r>
          <w:rPr>
            <w:rFonts w:ascii="Cambria Math" w:hAnsi="Cambria Math"/>
            <w:sz w:val="26"/>
            <w:szCs w:val="26"/>
            <w:lang w:val="en-US" w:eastAsia="ru-RU"/>
          </w:rPr>
          <m:t>MIN</m:t>
        </m:r>
        <m:r>
          <w:rPr>
            <w:rFonts w:ascii="Cambria Math" w:hAnsi="Cambria Math"/>
            <w:sz w:val="26"/>
            <w:szCs w:val="26"/>
            <w:lang w:eastAsia="ru-RU"/>
          </w:rPr>
          <m:t xml:space="preserve"> [0; </m:t>
        </m:r>
        <m:nary>
          <m:naryPr>
            <m:chr m:val="∑"/>
            <m:limLoc m:val="subSup"/>
            <m:ctrlPr>
              <w:rPr>
                <w:rFonts w:ascii="Cambria Math" w:hAnsi="Cambria Math"/>
                <w:i/>
                <w:sz w:val="26"/>
                <w:szCs w:val="26"/>
                <w:lang w:val="en-US" w:eastAsia="ru-RU"/>
              </w:rPr>
            </m:ctrlPr>
          </m:naryPr>
          <m:sub>
            <m:r>
              <w:rPr>
                <w:rFonts w:ascii="Cambria Math" w:hAnsi="Cambria Math"/>
                <w:sz w:val="26"/>
                <w:szCs w:val="26"/>
                <w:lang w:val="en-US" w:eastAsia="ru-RU"/>
              </w:rPr>
              <m:t>i</m:t>
            </m:r>
            <m:r>
              <w:rPr>
                <w:rFonts w:ascii="Cambria Math" w:hAnsi="Cambria Math"/>
                <w:sz w:val="26"/>
                <w:szCs w:val="26"/>
                <w:lang w:eastAsia="ru-RU"/>
              </w:rPr>
              <m:t>=1</m:t>
            </m:r>
          </m:sub>
          <m:sup>
            <m:r>
              <w:rPr>
                <w:rFonts w:ascii="Cambria Math" w:hAnsi="Cambria Math"/>
                <w:sz w:val="26"/>
                <w:szCs w:val="26"/>
                <w:lang w:val="en-US" w:eastAsia="ru-RU"/>
              </w:rPr>
              <m:t>N</m:t>
            </m:r>
          </m:sup>
          <m:e>
            <m:sSub>
              <m:sSubPr>
                <m:ctrlPr>
                  <w:rPr>
                    <w:rFonts w:ascii="Cambria Math" w:hAnsi="Cambria Math"/>
                    <w:i/>
                    <w:sz w:val="26"/>
                    <w:szCs w:val="26"/>
                    <w:lang w:val="en-US" w:eastAsia="ru-RU"/>
                  </w:rPr>
                </m:ctrlPr>
              </m:sSubPr>
              <m:e>
                <m:r>
                  <w:rPr>
                    <w:rFonts w:ascii="Cambria Math" w:hAnsi="Cambria Math"/>
                    <w:sz w:val="26"/>
                    <w:szCs w:val="26"/>
                    <w:lang w:eastAsia="ru-RU"/>
                  </w:rPr>
                  <m:t>h</m:t>
                </m:r>
              </m:e>
              <m:sub>
                <m:r>
                  <w:rPr>
                    <w:rFonts w:ascii="Cambria Math" w:hAnsi="Cambria Math"/>
                    <w:sz w:val="26"/>
                    <w:szCs w:val="26"/>
                    <w:lang w:val="en-US" w:eastAsia="ru-RU"/>
                  </w:rPr>
                  <m:t>i</m:t>
                </m:r>
              </m:sub>
            </m:sSub>
            <m:r>
              <w:rPr>
                <w:rFonts w:ascii="Cambria Math" w:hAnsi="Cambria Math"/>
                <w:sz w:val="26"/>
                <w:szCs w:val="26"/>
                <w:lang w:eastAsia="ru-RU"/>
              </w:rPr>
              <m:t xml:space="preserve"> </m:t>
            </m:r>
            <m:nary>
              <m:naryPr>
                <m:chr m:val="∑"/>
                <m:limLoc m:val="subSup"/>
                <m:ctrlPr>
                  <w:rPr>
                    <w:rFonts w:ascii="Cambria Math" w:hAnsi="Cambria Math"/>
                    <w:i/>
                    <w:sz w:val="26"/>
                    <w:szCs w:val="26"/>
                    <w:lang w:val="en-US" w:eastAsia="ru-RU"/>
                  </w:rPr>
                </m:ctrlPr>
              </m:naryPr>
              <m:sub>
                <m:r>
                  <w:rPr>
                    <w:rFonts w:ascii="Cambria Math" w:hAnsi="Cambria Math"/>
                    <w:sz w:val="26"/>
                    <w:szCs w:val="26"/>
                    <w:lang w:val="en-US" w:eastAsia="ru-RU"/>
                  </w:rPr>
                  <m:t>j</m:t>
                </m:r>
                <m:r>
                  <w:rPr>
                    <w:rFonts w:ascii="Cambria Math" w:hAnsi="Cambria Math"/>
                    <w:sz w:val="26"/>
                    <w:szCs w:val="26"/>
                    <w:lang w:eastAsia="ru-RU"/>
                  </w:rPr>
                  <m:t>=1</m:t>
                </m:r>
              </m:sub>
              <m:sup>
                <m:r>
                  <w:rPr>
                    <w:rFonts w:ascii="Cambria Math" w:hAnsi="Cambria Math"/>
                    <w:sz w:val="26"/>
                    <w:szCs w:val="26"/>
                    <w:lang w:val="en-US" w:eastAsia="ru-RU"/>
                  </w:rPr>
                  <m:t>M</m:t>
                </m:r>
              </m:sup>
              <m:e>
                <m:sSub>
                  <m:sSubPr>
                    <m:ctrlPr>
                      <w:rPr>
                        <w:rFonts w:ascii="Cambria Math" w:hAnsi="Cambria Math"/>
                        <w:i/>
                        <w:sz w:val="26"/>
                        <w:szCs w:val="26"/>
                        <w:lang w:val="en-US" w:eastAsia="ru-RU"/>
                      </w:rPr>
                    </m:ctrlPr>
                  </m:sSubPr>
                  <m:e>
                    <m:r>
                      <w:rPr>
                        <w:rFonts w:ascii="Cambria Math" w:hAnsi="Cambria Math"/>
                        <w:sz w:val="26"/>
                        <w:szCs w:val="26"/>
                        <w:lang w:val="en-US" w:eastAsia="ru-RU"/>
                      </w:rPr>
                      <m:t>X</m:t>
                    </m:r>
                  </m:e>
                  <m:sub>
                    <m:r>
                      <w:rPr>
                        <w:rFonts w:ascii="Cambria Math" w:hAnsi="Cambria Math"/>
                        <w:sz w:val="26"/>
                        <w:szCs w:val="26"/>
                        <w:lang w:val="en-US" w:eastAsia="ru-RU"/>
                      </w:rPr>
                      <m:t>i</m:t>
                    </m:r>
                    <m:r>
                      <w:rPr>
                        <w:rFonts w:ascii="Cambria Math" w:hAnsi="Cambria Math"/>
                        <w:sz w:val="26"/>
                        <w:szCs w:val="26"/>
                        <w:lang w:eastAsia="ru-RU"/>
                      </w:rPr>
                      <m:t>,</m:t>
                    </m:r>
                    <m:r>
                      <w:rPr>
                        <w:rFonts w:ascii="Cambria Math" w:hAnsi="Cambria Math"/>
                        <w:sz w:val="26"/>
                        <w:szCs w:val="26"/>
                        <w:lang w:val="en-US" w:eastAsia="ru-RU"/>
                      </w:rPr>
                      <m:t>j</m:t>
                    </m:r>
                  </m:sub>
                </m:sSub>
              </m:e>
            </m:nary>
          </m:e>
        </m:nary>
        <m:r>
          <w:rPr>
            <w:rFonts w:ascii="Cambria Math" w:hAnsi="Cambria Math"/>
            <w:sz w:val="26"/>
            <w:szCs w:val="26"/>
            <w:lang w:eastAsia="ru-RU"/>
          </w:rPr>
          <m:t>]</m:t>
        </m:r>
      </m:oMath>
      <w:r w:rsidRPr="000256EC">
        <w:rPr>
          <w:rFonts w:ascii="Times New Roman" w:hAnsi="Times New Roman"/>
          <w:sz w:val="26"/>
          <w:szCs w:val="26"/>
          <w:lang w:eastAsia="ru-RU"/>
        </w:rPr>
        <w:t>;</w:t>
      </w:r>
      <w:r w:rsidRPr="000256EC">
        <w:rPr>
          <w:rFonts w:ascii="Times New Roman" w:hAnsi="Times New Roman"/>
          <w:sz w:val="26"/>
          <w:szCs w:val="26"/>
          <w:lang w:eastAsia="ru-RU"/>
        </w:rPr>
        <w:tab/>
      </w:r>
      <w:r w:rsidRPr="000256EC">
        <w:rPr>
          <w:rFonts w:ascii="Times New Roman" w:hAnsi="Times New Roman"/>
          <w:sz w:val="26"/>
          <w:szCs w:val="26"/>
          <w:lang w:eastAsia="ru-RU"/>
        </w:rPr>
        <w:tab/>
        <w:t>(7)</w:t>
      </w:r>
    </w:p>
    <w:p w14:paraId="27DE5CA4"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То есть, если суммарный баланс гумуса при севообороте X положителен, то затраты на поддержание баланса гумуса равны «0», в противном случае они прямо пропорциональны отрицательной величине баланса.</w:t>
      </w:r>
    </w:p>
    <w:p w14:paraId="1894BD2C" w14:textId="77777777" w:rsidR="007379E9" w:rsidRPr="000256EC" w:rsidRDefault="007379E9" w:rsidP="007379E9">
      <w:pPr>
        <w:spacing w:after="0" w:line="360" w:lineRule="auto"/>
        <w:ind w:firstLine="709"/>
        <w:contextualSpacing/>
        <w:jc w:val="both"/>
        <w:rPr>
          <w:rFonts w:ascii="Times New Roman" w:hAnsi="Times New Roman"/>
          <w:i/>
          <w:sz w:val="26"/>
          <w:szCs w:val="26"/>
          <w:u w:val="single"/>
          <w:lang w:eastAsia="ru-RU"/>
        </w:rPr>
      </w:pPr>
      <w:r w:rsidRPr="000256EC">
        <w:rPr>
          <w:rFonts w:ascii="Times New Roman" w:hAnsi="Times New Roman"/>
          <w:i/>
          <w:sz w:val="26"/>
          <w:szCs w:val="26"/>
          <w:u w:val="single"/>
          <w:lang w:eastAsia="ru-RU"/>
        </w:rPr>
        <w:t>Постановка задачи определения севооборота Xi,j, обеспечивающего максимальный Удельный валовый доход при выбранной почвенной разновидности.</w:t>
      </w:r>
    </w:p>
    <w:p w14:paraId="1D2A004D"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Множество допустимых севооборотов описывается системой линейных неравенств и равенств (1)-(5). Среди этих севооборотов надо найти такой, который обеспечит максимум целевой функции:</w:t>
      </w:r>
    </w:p>
    <w:p w14:paraId="76BFF63E" w14:textId="77777777" w:rsidR="007379E9" w:rsidRPr="000256EC" w:rsidRDefault="00FF7453" w:rsidP="007379E9">
      <w:pPr>
        <w:spacing w:after="0" w:line="360" w:lineRule="auto"/>
        <w:ind w:left="709" w:firstLine="709"/>
        <w:contextualSpacing/>
        <w:rPr>
          <w:rFonts w:ascii="Times New Roman" w:eastAsiaTheme="minorEastAsia" w:hAnsi="Times New Roman"/>
          <w:sz w:val="26"/>
          <w:szCs w:val="26"/>
          <w:lang w:val="en-US" w:eastAsia="ru-RU"/>
        </w:rPr>
      </w:pPr>
      <m:oMath>
        <m:nary>
          <m:naryPr>
            <m:chr m:val="∑"/>
            <m:limLoc m:val="subSup"/>
            <m:ctrlPr>
              <w:rPr>
                <w:rFonts w:ascii="Cambria Math" w:hAnsi="Cambria Math"/>
                <w:i/>
                <w:sz w:val="26"/>
                <w:szCs w:val="26"/>
                <w:lang w:val="en-US" w:eastAsia="ru-RU"/>
              </w:rPr>
            </m:ctrlPr>
          </m:naryPr>
          <m:sub>
            <m:r>
              <w:rPr>
                <w:rFonts w:ascii="Cambria Math" w:hAnsi="Cambria Math"/>
                <w:sz w:val="26"/>
                <w:szCs w:val="26"/>
                <w:lang w:val="en-US" w:eastAsia="ru-RU"/>
              </w:rPr>
              <m:t>i=1</m:t>
            </m:r>
          </m:sub>
          <m:sup>
            <m:r>
              <w:rPr>
                <w:rFonts w:ascii="Cambria Math" w:hAnsi="Cambria Math"/>
                <w:sz w:val="26"/>
                <w:szCs w:val="26"/>
                <w:lang w:val="en-US" w:eastAsia="ru-RU"/>
              </w:rPr>
              <m:t>N</m:t>
            </m:r>
          </m:sup>
          <m:e>
            <m:d>
              <m:dPr>
                <m:ctrlPr>
                  <w:rPr>
                    <w:rFonts w:ascii="Cambria Math" w:hAnsi="Cambria Math"/>
                    <w:i/>
                    <w:sz w:val="26"/>
                    <w:szCs w:val="26"/>
                    <w:lang w:val="en-US" w:eastAsia="ru-RU"/>
                  </w:rPr>
                </m:ctrlPr>
              </m:dPr>
              <m:e>
                <m:sSub>
                  <m:sSubPr>
                    <m:ctrlPr>
                      <w:rPr>
                        <w:rFonts w:ascii="Cambria Math" w:hAnsi="Cambria Math"/>
                        <w:i/>
                        <w:sz w:val="26"/>
                        <w:szCs w:val="26"/>
                        <w:lang w:val="en-US" w:eastAsia="ru-RU"/>
                      </w:rPr>
                    </m:ctrlPr>
                  </m:sSubPr>
                  <m:e>
                    <m:r>
                      <w:rPr>
                        <w:rFonts w:ascii="Cambria Math" w:hAnsi="Cambria Math"/>
                        <w:sz w:val="26"/>
                        <w:szCs w:val="26"/>
                        <w:lang w:val="en-US" w:eastAsia="ru-RU"/>
                      </w:rPr>
                      <m:t>Y</m:t>
                    </m:r>
                  </m:e>
                  <m:sub>
                    <m:r>
                      <w:rPr>
                        <w:rFonts w:ascii="Cambria Math" w:hAnsi="Cambria Math"/>
                        <w:sz w:val="26"/>
                        <w:szCs w:val="26"/>
                        <w:lang w:val="en-US" w:eastAsia="ru-RU"/>
                      </w:rPr>
                      <m:t>i</m:t>
                    </m:r>
                  </m:sub>
                </m:sSub>
                <m:r>
                  <w:rPr>
                    <w:rFonts w:ascii="Cambria Math" w:hAnsi="Cambria Math"/>
                    <w:sz w:val="26"/>
                    <w:szCs w:val="26"/>
                    <w:lang w:val="en-US" w:eastAsia="ru-RU"/>
                  </w:rPr>
                  <m:t>*</m:t>
                </m:r>
                <m:sSub>
                  <m:sSubPr>
                    <m:ctrlPr>
                      <w:rPr>
                        <w:rFonts w:ascii="Cambria Math" w:hAnsi="Cambria Math"/>
                        <w:i/>
                        <w:sz w:val="26"/>
                        <w:szCs w:val="26"/>
                        <w:lang w:val="en-US" w:eastAsia="ru-RU"/>
                      </w:rPr>
                    </m:ctrlPr>
                  </m:sSubPr>
                  <m:e>
                    <m:r>
                      <w:rPr>
                        <w:rFonts w:ascii="Cambria Math" w:hAnsi="Cambria Math"/>
                        <w:sz w:val="26"/>
                        <w:szCs w:val="26"/>
                        <w:lang w:val="en-US" w:eastAsia="ru-RU"/>
                      </w:rPr>
                      <m:t>S</m:t>
                    </m:r>
                  </m:e>
                  <m:sub>
                    <m:r>
                      <w:rPr>
                        <w:rFonts w:ascii="Cambria Math" w:hAnsi="Cambria Math"/>
                        <w:sz w:val="26"/>
                        <w:szCs w:val="26"/>
                        <w:lang w:val="en-US" w:eastAsia="ru-RU"/>
                      </w:rPr>
                      <m:t>i</m:t>
                    </m:r>
                  </m:sub>
                </m:sSub>
                <m:r>
                  <w:rPr>
                    <w:rFonts w:ascii="Cambria Math" w:hAnsi="Cambria Math"/>
                    <w:sz w:val="26"/>
                    <w:szCs w:val="26"/>
                    <w:lang w:val="en-US" w:eastAsia="ru-RU"/>
                  </w:rPr>
                  <m:t>-</m:t>
                </m:r>
                <m:d>
                  <m:dPr>
                    <m:ctrlPr>
                      <w:rPr>
                        <w:rFonts w:ascii="Cambria Math" w:hAnsi="Cambria Math"/>
                        <w:i/>
                        <w:sz w:val="26"/>
                        <w:szCs w:val="26"/>
                        <w:lang w:val="en-US" w:eastAsia="ru-RU"/>
                      </w:rPr>
                    </m:ctrlPr>
                  </m:dPr>
                  <m:e>
                    <m:r>
                      <w:rPr>
                        <w:rFonts w:ascii="Cambria Math" w:hAnsi="Cambria Math"/>
                        <w:sz w:val="26"/>
                        <w:szCs w:val="26"/>
                        <w:lang w:val="en-US" w:eastAsia="ru-RU"/>
                      </w:rPr>
                      <m:t>1+a</m:t>
                    </m:r>
                  </m:e>
                </m:d>
                <m:r>
                  <w:rPr>
                    <w:rFonts w:ascii="Cambria Math" w:hAnsi="Cambria Math"/>
                    <w:sz w:val="26"/>
                    <w:szCs w:val="26"/>
                    <w:lang w:val="en-US" w:eastAsia="ru-RU"/>
                  </w:rPr>
                  <m:t>*</m:t>
                </m:r>
                <m:sSub>
                  <m:sSubPr>
                    <m:ctrlPr>
                      <w:rPr>
                        <w:rFonts w:ascii="Cambria Math" w:hAnsi="Cambria Math"/>
                        <w:i/>
                        <w:sz w:val="26"/>
                        <w:szCs w:val="26"/>
                        <w:lang w:val="en-US" w:eastAsia="ru-RU"/>
                      </w:rPr>
                    </m:ctrlPr>
                  </m:sSubPr>
                  <m:e>
                    <m:r>
                      <w:rPr>
                        <w:rFonts w:ascii="Cambria Math" w:hAnsi="Cambria Math"/>
                        <w:sz w:val="26"/>
                        <w:szCs w:val="26"/>
                        <w:lang w:val="en-US" w:eastAsia="ru-RU"/>
                      </w:rPr>
                      <m:t>Z</m:t>
                    </m:r>
                  </m:e>
                  <m:sub>
                    <m:r>
                      <w:rPr>
                        <w:rFonts w:ascii="Cambria Math" w:hAnsi="Cambria Math"/>
                        <w:sz w:val="26"/>
                        <w:szCs w:val="26"/>
                        <w:lang w:val="en-US" w:eastAsia="ru-RU"/>
                      </w:rPr>
                      <m:t>i</m:t>
                    </m:r>
                  </m:sub>
                </m:sSub>
              </m:e>
            </m:d>
            <m:r>
              <w:rPr>
                <w:rFonts w:ascii="Cambria Math" w:hAnsi="Cambria Math"/>
                <w:sz w:val="26"/>
                <w:szCs w:val="26"/>
                <w:lang w:val="en-US" w:eastAsia="ru-RU"/>
              </w:rPr>
              <m:t xml:space="preserve"> </m:t>
            </m:r>
            <m:nary>
              <m:naryPr>
                <m:chr m:val="∑"/>
                <m:limLoc m:val="subSup"/>
                <m:ctrlPr>
                  <w:rPr>
                    <w:rFonts w:ascii="Cambria Math" w:hAnsi="Cambria Math"/>
                    <w:i/>
                    <w:sz w:val="26"/>
                    <w:szCs w:val="26"/>
                    <w:lang w:val="en-US" w:eastAsia="ru-RU"/>
                  </w:rPr>
                </m:ctrlPr>
              </m:naryPr>
              <m:sub>
                <m:r>
                  <w:rPr>
                    <w:rFonts w:ascii="Cambria Math" w:hAnsi="Cambria Math"/>
                    <w:sz w:val="26"/>
                    <w:szCs w:val="26"/>
                    <w:lang w:val="en-US" w:eastAsia="ru-RU"/>
                  </w:rPr>
                  <m:t>j=1</m:t>
                </m:r>
              </m:sub>
              <m:sup>
                <m:r>
                  <w:rPr>
                    <w:rFonts w:ascii="Cambria Math" w:hAnsi="Cambria Math"/>
                    <w:sz w:val="26"/>
                    <w:szCs w:val="26"/>
                    <w:lang w:val="en-US" w:eastAsia="ru-RU"/>
                  </w:rPr>
                  <m:t>M</m:t>
                </m:r>
              </m:sup>
              <m:e>
                <m:sSub>
                  <m:sSubPr>
                    <m:ctrlPr>
                      <w:rPr>
                        <w:rFonts w:ascii="Cambria Math" w:hAnsi="Cambria Math"/>
                        <w:i/>
                        <w:sz w:val="26"/>
                        <w:szCs w:val="26"/>
                        <w:lang w:val="en-US" w:eastAsia="ru-RU"/>
                      </w:rPr>
                    </m:ctrlPr>
                  </m:sSubPr>
                  <m:e>
                    <m:r>
                      <w:rPr>
                        <w:rFonts w:ascii="Cambria Math" w:hAnsi="Cambria Math"/>
                        <w:sz w:val="26"/>
                        <w:szCs w:val="26"/>
                        <w:lang w:val="en-US" w:eastAsia="ru-RU"/>
                      </w:rPr>
                      <m:t>X</m:t>
                    </m:r>
                  </m:e>
                  <m:sub>
                    <m:r>
                      <w:rPr>
                        <w:rFonts w:ascii="Cambria Math" w:hAnsi="Cambria Math"/>
                        <w:sz w:val="26"/>
                        <w:szCs w:val="26"/>
                        <w:lang w:val="en-US" w:eastAsia="ru-RU"/>
                      </w:rPr>
                      <m:t>i,j</m:t>
                    </m:r>
                  </m:sub>
                </m:sSub>
              </m:e>
            </m:nary>
          </m:e>
        </m:nary>
      </m:oMath>
      <w:r w:rsidR="007379E9" w:rsidRPr="000256EC">
        <w:rPr>
          <w:rFonts w:ascii="Times New Roman" w:hAnsi="Times New Roman"/>
          <w:sz w:val="26"/>
          <w:szCs w:val="26"/>
          <w:lang w:val="en-US" w:eastAsia="ru-RU"/>
        </w:rPr>
        <w:t xml:space="preserve">    F=</w:t>
      </w:r>
      <m:oMath>
        <m:r>
          <w:rPr>
            <w:rFonts w:ascii="Cambria Math" w:hAnsi="Cambria Math"/>
            <w:sz w:val="26"/>
            <w:szCs w:val="26"/>
            <w:lang w:val="en-US" w:eastAsia="ru-RU"/>
          </w:rPr>
          <m:t>+</m:t>
        </m:r>
        <m:d>
          <m:dPr>
            <m:ctrlPr>
              <w:rPr>
                <w:rFonts w:ascii="Cambria Math" w:hAnsi="Cambria Math"/>
                <w:i/>
                <w:sz w:val="26"/>
                <w:szCs w:val="26"/>
                <w:lang w:val="en-US" w:eastAsia="ru-RU"/>
              </w:rPr>
            </m:ctrlPr>
          </m:dPr>
          <m:e>
            <m:r>
              <w:rPr>
                <w:rFonts w:ascii="Cambria Math" w:hAnsi="Cambria Math"/>
                <w:sz w:val="26"/>
                <w:szCs w:val="26"/>
                <w:lang w:val="en-US" w:eastAsia="ru-RU"/>
              </w:rPr>
              <m:t>1+a</m:t>
            </m:r>
          </m:e>
        </m:d>
        <m:r>
          <w:rPr>
            <w:rFonts w:ascii="Cambria Math" w:hAnsi="Cambria Math"/>
            <w:sz w:val="26"/>
            <w:szCs w:val="26"/>
            <w:lang w:val="en-US" w:eastAsia="ru-RU"/>
          </w:rPr>
          <m:t>*Sh*MIN[0;]→MAX</m:t>
        </m:r>
      </m:oMath>
    </w:p>
    <w:p w14:paraId="3D56B204" w14:textId="77777777" w:rsidR="007379E9" w:rsidRPr="000256EC" w:rsidRDefault="00FF7453" w:rsidP="007379E9">
      <w:pPr>
        <w:spacing w:after="0" w:line="360" w:lineRule="auto"/>
        <w:ind w:left="709" w:firstLine="709"/>
        <w:contextualSpacing/>
        <w:rPr>
          <w:rFonts w:ascii="Times New Roman" w:hAnsi="Times New Roman"/>
          <w:sz w:val="26"/>
          <w:szCs w:val="26"/>
          <w:lang w:eastAsia="ru-RU"/>
        </w:rPr>
      </w:pPr>
      <m:oMath>
        <m:nary>
          <m:naryPr>
            <m:chr m:val="∑"/>
            <m:limLoc m:val="subSup"/>
            <m:ctrlPr>
              <w:rPr>
                <w:rFonts w:ascii="Cambria Math" w:hAnsi="Cambria Math"/>
                <w:i/>
                <w:sz w:val="26"/>
                <w:szCs w:val="26"/>
                <w:lang w:val="en-US" w:eastAsia="ru-RU"/>
              </w:rPr>
            </m:ctrlPr>
          </m:naryPr>
          <m:sub>
            <m:r>
              <w:rPr>
                <w:rFonts w:ascii="Cambria Math" w:hAnsi="Cambria Math"/>
                <w:sz w:val="26"/>
                <w:szCs w:val="26"/>
                <w:lang w:val="en-US" w:eastAsia="ru-RU"/>
              </w:rPr>
              <m:t>i</m:t>
            </m:r>
            <m:r>
              <w:rPr>
                <w:rFonts w:ascii="Cambria Math" w:hAnsi="Cambria Math"/>
                <w:sz w:val="26"/>
                <w:szCs w:val="26"/>
                <w:lang w:eastAsia="ru-RU"/>
              </w:rPr>
              <m:t>=1</m:t>
            </m:r>
          </m:sub>
          <m:sup>
            <m:r>
              <w:rPr>
                <w:rFonts w:ascii="Cambria Math" w:hAnsi="Cambria Math"/>
                <w:sz w:val="26"/>
                <w:szCs w:val="26"/>
                <w:lang w:val="en-US" w:eastAsia="ru-RU"/>
              </w:rPr>
              <m:t>N</m:t>
            </m:r>
          </m:sup>
          <m:e>
            <m:sSub>
              <m:sSubPr>
                <m:ctrlPr>
                  <w:rPr>
                    <w:rFonts w:ascii="Cambria Math" w:hAnsi="Cambria Math"/>
                    <w:i/>
                    <w:sz w:val="26"/>
                    <w:szCs w:val="26"/>
                    <w:lang w:val="en-US" w:eastAsia="ru-RU"/>
                  </w:rPr>
                </m:ctrlPr>
              </m:sSubPr>
              <m:e>
                <m:r>
                  <w:rPr>
                    <w:rFonts w:ascii="Cambria Math" w:hAnsi="Cambria Math"/>
                    <w:sz w:val="26"/>
                    <w:szCs w:val="26"/>
                    <w:lang w:eastAsia="ru-RU"/>
                  </w:rPr>
                  <m:t>h</m:t>
                </m:r>
              </m:e>
              <m:sub>
                <m:r>
                  <w:rPr>
                    <w:rFonts w:ascii="Cambria Math" w:hAnsi="Cambria Math"/>
                    <w:sz w:val="26"/>
                    <w:szCs w:val="26"/>
                    <w:lang w:val="en-US" w:eastAsia="ru-RU"/>
                  </w:rPr>
                  <m:t>i</m:t>
                </m:r>
              </m:sub>
            </m:sSub>
            <m:r>
              <w:rPr>
                <w:rFonts w:ascii="Cambria Math" w:hAnsi="Cambria Math"/>
                <w:sz w:val="26"/>
                <w:szCs w:val="26"/>
                <w:lang w:eastAsia="ru-RU"/>
              </w:rPr>
              <m:t>*</m:t>
            </m:r>
            <m:nary>
              <m:naryPr>
                <m:chr m:val="∑"/>
                <m:limLoc m:val="subSup"/>
                <m:ctrlPr>
                  <w:rPr>
                    <w:rFonts w:ascii="Cambria Math" w:hAnsi="Cambria Math"/>
                    <w:i/>
                    <w:sz w:val="26"/>
                    <w:szCs w:val="26"/>
                    <w:lang w:val="en-US" w:eastAsia="ru-RU"/>
                  </w:rPr>
                </m:ctrlPr>
              </m:naryPr>
              <m:sub>
                <m:r>
                  <w:rPr>
                    <w:rFonts w:ascii="Cambria Math" w:hAnsi="Cambria Math"/>
                    <w:sz w:val="26"/>
                    <w:szCs w:val="26"/>
                    <w:lang w:val="en-US" w:eastAsia="ru-RU"/>
                  </w:rPr>
                  <m:t>j</m:t>
                </m:r>
                <m:r>
                  <w:rPr>
                    <w:rFonts w:ascii="Cambria Math" w:hAnsi="Cambria Math"/>
                    <w:sz w:val="26"/>
                    <w:szCs w:val="26"/>
                    <w:lang w:eastAsia="ru-RU"/>
                  </w:rPr>
                  <m:t>=1</m:t>
                </m:r>
              </m:sub>
              <m:sup>
                <m:r>
                  <w:rPr>
                    <w:rFonts w:ascii="Cambria Math" w:hAnsi="Cambria Math"/>
                    <w:sz w:val="26"/>
                    <w:szCs w:val="26"/>
                    <w:lang w:val="en-US" w:eastAsia="ru-RU"/>
                  </w:rPr>
                  <m:t>M</m:t>
                </m:r>
              </m:sup>
              <m:e>
                <m:sSub>
                  <m:sSubPr>
                    <m:ctrlPr>
                      <w:rPr>
                        <w:rFonts w:ascii="Cambria Math" w:hAnsi="Cambria Math"/>
                        <w:i/>
                        <w:sz w:val="26"/>
                        <w:szCs w:val="26"/>
                        <w:lang w:val="en-US" w:eastAsia="ru-RU"/>
                      </w:rPr>
                    </m:ctrlPr>
                  </m:sSubPr>
                  <m:e>
                    <m:r>
                      <w:rPr>
                        <w:rFonts w:ascii="Cambria Math" w:hAnsi="Cambria Math"/>
                        <w:sz w:val="26"/>
                        <w:szCs w:val="26"/>
                        <w:lang w:val="en-US" w:eastAsia="ru-RU"/>
                      </w:rPr>
                      <m:t>X</m:t>
                    </m:r>
                  </m:e>
                  <m:sub>
                    <m:r>
                      <w:rPr>
                        <w:rFonts w:ascii="Cambria Math" w:hAnsi="Cambria Math"/>
                        <w:sz w:val="26"/>
                        <w:szCs w:val="26"/>
                        <w:lang w:val="en-US" w:eastAsia="ru-RU"/>
                      </w:rPr>
                      <m:t>i</m:t>
                    </m:r>
                    <m:r>
                      <w:rPr>
                        <w:rFonts w:ascii="Cambria Math" w:hAnsi="Cambria Math"/>
                        <w:sz w:val="26"/>
                        <w:szCs w:val="26"/>
                        <w:lang w:eastAsia="ru-RU"/>
                      </w:rPr>
                      <m:t>,</m:t>
                    </m:r>
                    <m:r>
                      <w:rPr>
                        <w:rFonts w:ascii="Cambria Math" w:hAnsi="Cambria Math"/>
                        <w:sz w:val="26"/>
                        <w:szCs w:val="26"/>
                        <w:lang w:val="en-US" w:eastAsia="ru-RU"/>
                      </w:rPr>
                      <m:t>j</m:t>
                    </m:r>
                  </m:sub>
                </m:sSub>
              </m:e>
            </m:nary>
          </m:e>
        </m:nary>
      </m:oMath>
      <w:r w:rsidR="007379E9" w:rsidRPr="000256EC">
        <w:rPr>
          <w:rFonts w:ascii="Times New Roman" w:eastAsiaTheme="minorEastAsia" w:hAnsi="Times New Roman"/>
          <w:sz w:val="26"/>
          <w:szCs w:val="26"/>
          <w:lang w:eastAsia="ru-RU"/>
        </w:rPr>
        <w:t xml:space="preserve">                                                                                     </w:t>
      </w:r>
      <w:r w:rsidR="007379E9" w:rsidRPr="000256EC">
        <w:rPr>
          <w:rFonts w:ascii="Times New Roman" w:hAnsi="Times New Roman"/>
          <w:sz w:val="26"/>
          <w:szCs w:val="26"/>
          <w:lang w:eastAsia="ru-RU"/>
        </w:rPr>
        <w:t>(8)</w:t>
      </w:r>
    </w:p>
    <w:p w14:paraId="68548339"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Вообще говоря, целевая функция F получилась нелинейная. Но если ввести новую «искусственную» переменную XM*N+1 (описывающую баланс гумуса),</w:t>
      </w:r>
    </w:p>
    <w:p w14:paraId="2F6B8682"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XM*N+1 ≤ 0;</w:t>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t xml:space="preserve">            (9)</w:t>
      </w:r>
    </w:p>
    <w:p w14:paraId="5975F878"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m:oMath>
        <m:r>
          <m:rPr>
            <m:sty m:val="p"/>
          </m:rPr>
          <w:rPr>
            <w:rFonts w:ascii="Cambria Math" w:hAnsi="Cambria Math"/>
            <w:sz w:val="26"/>
            <w:szCs w:val="26"/>
            <w:lang w:eastAsia="ru-RU"/>
          </w:rPr>
          <m:t>XM*N+1 ≤ Sh*</m:t>
        </m:r>
        <m:d>
          <m:dPr>
            <m:ctrlPr>
              <w:rPr>
                <w:rFonts w:ascii="Cambria Math" w:hAnsi="Cambria Math"/>
                <w:sz w:val="26"/>
                <w:szCs w:val="26"/>
                <w:lang w:eastAsia="ru-RU"/>
              </w:rPr>
            </m:ctrlPr>
          </m:dPr>
          <m:e>
            <m:r>
              <m:rPr>
                <m:sty m:val="p"/>
              </m:rPr>
              <w:rPr>
                <w:rFonts w:ascii="Cambria Math" w:hAnsi="Cambria Math"/>
                <w:sz w:val="26"/>
                <w:szCs w:val="26"/>
                <w:lang w:eastAsia="ru-RU"/>
              </w:rPr>
              <m:t>1+a</m:t>
            </m:r>
          </m:e>
        </m:d>
        <m:r>
          <m:rPr>
            <m:sty m:val="p"/>
          </m:rPr>
          <w:rPr>
            <w:rFonts w:ascii="Cambria Math" w:hAnsi="Cambria Math"/>
            <w:sz w:val="26"/>
            <w:szCs w:val="26"/>
            <w:lang w:eastAsia="ru-RU"/>
          </w:rPr>
          <m:t>*</m:t>
        </m:r>
        <m:nary>
          <m:naryPr>
            <m:chr m:val="∑"/>
            <m:limLoc m:val="subSup"/>
            <m:ctrlPr>
              <w:rPr>
                <w:rFonts w:ascii="Cambria Math" w:hAnsi="Cambria Math"/>
                <w:sz w:val="26"/>
                <w:szCs w:val="26"/>
                <w:lang w:eastAsia="ru-RU"/>
              </w:rPr>
            </m:ctrlPr>
          </m:naryPr>
          <m:sub>
            <m:r>
              <w:rPr>
                <w:rFonts w:ascii="Cambria Math" w:hAnsi="Cambria Math"/>
                <w:sz w:val="26"/>
                <w:szCs w:val="26"/>
                <w:lang w:eastAsia="ru-RU"/>
              </w:rPr>
              <m:t>i=1</m:t>
            </m:r>
          </m:sub>
          <m:sup>
            <m:r>
              <w:rPr>
                <w:rFonts w:ascii="Cambria Math" w:hAnsi="Cambria Math"/>
                <w:sz w:val="26"/>
                <w:szCs w:val="26"/>
                <w:lang w:eastAsia="ru-RU"/>
              </w:rPr>
              <m:t>N</m:t>
            </m:r>
          </m:sup>
          <m:e>
            <m:sSub>
              <m:sSubPr>
                <m:ctrlPr>
                  <w:rPr>
                    <w:rFonts w:ascii="Cambria Math" w:hAnsi="Cambria Math"/>
                    <w:i/>
                    <w:sz w:val="26"/>
                    <w:szCs w:val="26"/>
                    <w:lang w:eastAsia="ru-RU"/>
                  </w:rPr>
                </m:ctrlPr>
              </m:sSubPr>
              <m:e>
                <m:r>
                  <w:rPr>
                    <w:rFonts w:ascii="Cambria Math" w:hAnsi="Cambria Math"/>
                    <w:sz w:val="26"/>
                    <w:szCs w:val="26"/>
                    <w:lang w:eastAsia="ru-RU"/>
                  </w:rPr>
                  <m:t>h</m:t>
                </m:r>
              </m:e>
              <m:sub>
                <m:r>
                  <w:rPr>
                    <w:rFonts w:ascii="Cambria Math" w:hAnsi="Cambria Math"/>
                    <w:sz w:val="26"/>
                    <w:szCs w:val="26"/>
                    <w:lang w:eastAsia="ru-RU"/>
                  </w:rPr>
                  <m:t>i</m:t>
                </m:r>
              </m:sub>
            </m:sSub>
            <m:nary>
              <m:naryPr>
                <m:chr m:val="∑"/>
                <m:limLoc m:val="subSup"/>
                <m:ctrlPr>
                  <w:rPr>
                    <w:rFonts w:ascii="Cambria Math" w:hAnsi="Cambria Math"/>
                    <w:i/>
                    <w:sz w:val="26"/>
                    <w:szCs w:val="26"/>
                    <w:lang w:eastAsia="ru-RU"/>
                  </w:rPr>
                </m:ctrlPr>
              </m:naryPr>
              <m:sub>
                <m:r>
                  <w:rPr>
                    <w:rFonts w:ascii="Cambria Math" w:hAnsi="Cambria Math"/>
                    <w:sz w:val="26"/>
                    <w:szCs w:val="26"/>
                    <w:lang w:eastAsia="ru-RU"/>
                  </w:rPr>
                  <m:t>j=1</m:t>
                </m:r>
              </m:sub>
              <m:sup>
                <m:r>
                  <w:rPr>
                    <w:rFonts w:ascii="Cambria Math" w:hAnsi="Cambria Math"/>
                    <w:sz w:val="26"/>
                    <w:szCs w:val="26"/>
                    <w:lang w:eastAsia="ru-RU"/>
                  </w:rPr>
                  <m:t>M</m:t>
                </m:r>
              </m:sup>
              <m:e>
                <m:sSub>
                  <m:sSubPr>
                    <m:ctrlPr>
                      <w:rPr>
                        <w:rFonts w:ascii="Cambria Math" w:hAnsi="Cambria Math"/>
                        <w:i/>
                        <w:sz w:val="26"/>
                        <w:szCs w:val="26"/>
                        <w:lang w:eastAsia="ru-RU"/>
                      </w:rPr>
                    </m:ctrlPr>
                  </m:sSubPr>
                  <m:e>
                    <m:r>
                      <w:rPr>
                        <w:rFonts w:ascii="Cambria Math" w:hAnsi="Cambria Math"/>
                        <w:sz w:val="26"/>
                        <w:szCs w:val="26"/>
                        <w:lang w:eastAsia="ru-RU"/>
                      </w:rPr>
                      <m:t>X</m:t>
                    </m:r>
                  </m:e>
                  <m:sub>
                    <m:r>
                      <w:rPr>
                        <w:rFonts w:ascii="Cambria Math" w:hAnsi="Cambria Math"/>
                        <w:sz w:val="26"/>
                        <w:szCs w:val="26"/>
                        <w:lang w:eastAsia="ru-RU"/>
                      </w:rPr>
                      <m:t>i,j</m:t>
                    </m:r>
                  </m:sub>
                </m:sSub>
              </m:e>
            </m:nary>
          </m:e>
        </m:nary>
      </m:oMath>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t xml:space="preserve">                </w:t>
      </w:r>
    </w:p>
    <w:p w14:paraId="66A0CD41" w14:textId="11BE764A"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 xml:space="preserve"> то целевая функция принимает вид:</w:t>
      </w:r>
    </w:p>
    <w:p w14:paraId="41EF183F" w14:textId="77777777" w:rsidR="007379E9" w:rsidRPr="000256EC" w:rsidRDefault="007379E9" w:rsidP="007379E9">
      <w:pPr>
        <w:spacing w:after="0" w:line="360" w:lineRule="auto"/>
        <w:ind w:firstLine="709"/>
        <w:contextualSpacing/>
        <w:jc w:val="both"/>
        <w:rPr>
          <w:rFonts w:ascii="Times New Roman" w:hAnsi="Times New Roman"/>
          <w:sz w:val="26"/>
          <w:szCs w:val="26"/>
          <w:lang w:val="en-US" w:eastAsia="ru-RU"/>
        </w:rPr>
      </w:pPr>
      <w:r w:rsidRPr="000256EC">
        <w:rPr>
          <w:rFonts w:ascii="Times New Roman" w:hAnsi="Times New Roman"/>
          <w:noProof/>
          <w:sz w:val="26"/>
          <w:szCs w:val="26"/>
          <w:lang w:val="en-US" w:eastAsia="ru-RU"/>
        </w:rPr>
        <w:t>F=</w:t>
      </w:r>
      <m:oMath>
        <m:nary>
          <m:naryPr>
            <m:chr m:val="∑"/>
            <m:limLoc m:val="subSup"/>
            <m:ctrlPr>
              <w:rPr>
                <w:rFonts w:ascii="Cambria Math" w:hAnsi="Cambria Math"/>
                <w:i/>
                <w:noProof/>
                <w:sz w:val="26"/>
                <w:szCs w:val="26"/>
                <w:lang w:val="en-US" w:eastAsia="ru-RU"/>
              </w:rPr>
            </m:ctrlPr>
          </m:naryPr>
          <m:sub>
            <m:r>
              <w:rPr>
                <w:rFonts w:ascii="Cambria Math" w:hAnsi="Cambria Math"/>
                <w:noProof/>
                <w:sz w:val="26"/>
                <w:szCs w:val="26"/>
                <w:lang w:val="en-US" w:eastAsia="ru-RU"/>
              </w:rPr>
              <m:t>i=1</m:t>
            </m:r>
          </m:sub>
          <m:sup>
            <m:r>
              <w:rPr>
                <w:rFonts w:ascii="Cambria Math" w:hAnsi="Cambria Math"/>
                <w:noProof/>
                <w:sz w:val="26"/>
                <w:szCs w:val="26"/>
                <w:lang w:val="en-US" w:eastAsia="ru-RU"/>
              </w:rPr>
              <m:t>N</m:t>
            </m:r>
          </m:sup>
          <m:e>
            <m:d>
              <m:dPr>
                <m:ctrlPr>
                  <w:rPr>
                    <w:rFonts w:ascii="Cambria Math" w:hAnsi="Cambria Math"/>
                    <w:i/>
                    <w:noProof/>
                    <w:sz w:val="26"/>
                    <w:szCs w:val="26"/>
                    <w:lang w:val="en-US" w:eastAsia="ru-RU"/>
                  </w:rPr>
                </m:ctrlPr>
              </m:dPr>
              <m:e>
                <m:sSub>
                  <m:sSubPr>
                    <m:ctrlPr>
                      <w:rPr>
                        <w:rFonts w:ascii="Cambria Math" w:hAnsi="Cambria Math"/>
                        <w:i/>
                        <w:noProof/>
                        <w:sz w:val="26"/>
                        <w:szCs w:val="26"/>
                        <w:lang w:val="en-US" w:eastAsia="ru-RU"/>
                      </w:rPr>
                    </m:ctrlPr>
                  </m:sSubPr>
                  <m:e>
                    <m:r>
                      <w:rPr>
                        <w:rFonts w:ascii="Cambria Math" w:hAnsi="Cambria Math"/>
                        <w:noProof/>
                        <w:sz w:val="26"/>
                        <w:szCs w:val="26"/>
                        <w:lang w:val="en-US" w:eastAsia="ru-RU"/>
                      </w:rPr>
                      <m:t>Y</m:t>
                    </m:r>
                  </m:e>
                  <m:sub>
                    <m:r>
                      <w:rPr>
                        <w:rFonts w:ascii="Cambria Math" w:hAnsi="Cambria Math"/>
                        <w:noProof/>
                        <w:sz w:val="26"/>
                        <w:szCs w:val="26"/>
                        <w:lang w:val="en-US" w:eastAsia="ru-RU"/>
                      </w:rPr>
                      <m:t>i</m:t>
                    </m:r>
                  </m:sub>
                </m:sSub>
                <m:r>
                  <w:rPr>
                    <w:rFonts w:ascii="Cambria Math" w:hAnsi="Cambria Math"/>
                    <w:noProof/>
                    <w:sz w:val="26"/>
                    <w:szCs w:val="26"/>
                    <w:lang w:val="en-US" w:eastAsia="ru-RU"/>
                  </w:rPr>
                  <m:t>*</m:t>
                </m:r>
                <m:sSub>
                  <m:sSubPr>
                    <m:ctrlPr>
                      <w:rPr>
                        <w:rFonts w:ascii="Cambria Math" w:hAnsi="Cambria Math"/>
                        <w:i/>
                        <w:noProof/>
                        <w:sz w:val="26"/>
                        <w:szCs w:val="26"/>
                        <w:lang w:val="en-US" w:eastAsia="ru-RU"/>
                      </w:rPr>
                    </m:ctrlPr>
                  </m:sSubPr>
                  <m:e>
                    <m:r>
                      <w:rPr>
                        <w:rFonts w:ascii="Cambria Math" w:hAnsi="Cambria Math"/>
                        <w:noProof/>
                        <w:sz w:val="26"/>
                        <w:szCs w:val="26"/>
                        <w:lang w:val="en-US" w:eastAsia="ru-RU"/>
                      </w:rPr>
                      <m:t>S</m:t>
                    </m:r>
                  </m:e>
                  <m:sub>
                    <m:r>
                      <w:rPr>
                        <w:rFonts w:ascii="Cambria Math" w:hAnsi="Cambria Math"/>
                        <w:noProof/>
                        <w:sz w:val="26"/>
                        <w:szCs w:val="26"/>
                        <w:lang w:val="en-US" w:eastAsia="ru-RU"/>
                      </w:rPr>
                      <m:t>i</m:t>
                    </m:r>
                  </m:sub>
                </m:sSub>
                <m:r>
                  <w:rPr>
                    <w:rFonts w:ascii="Cambria Math" w:hAnsi="Cambria Math"/>
                    <w:noProof/>
                    <w:sz w:val="26"/>
                    <w:szCs w:val="26"/>
                    <w:lang w:val="en-US" w:eastAsia="ru-RU"/>
                  </w:rPr>
                  <m:t>-</m:t>
                </m:r>
                <m:d>
                  <m:dPr>
                    <m:ctrlPr>
                      <w:rPr>
                        <w:rFonts w:ascii="Cambria Math" w:hAnsi="Cambria Math"/>
                        <w:i/>
                        <w:noProof/>
                        <w:sz w:val="26"/>
                        <w:szCs w:val="26"/>
                        <w:lang w:val="en-US" w:eastAsia="ru-RU"/>
                      </w:rPr>
                    </m:ctrlPr>
                  </m:dPr>
                  <m:e>
                    <m:r>
                      <w:rPr>
                        <w:rFonts w:ascii="Cambria Math" w:hAnsi="Cambria Math"/>
                        <w:noProof/>
                        <w:sz w:val="26"/>
                        <w:szCs w:val="26"/>
                        <w:lang w:val="en-US" w:eastAsia="ru-RU"/>
                      </w:rPr>
                      <m:t>1+a</m:t>
                    </m:r>
                  </m:e>
                </m:d>
                <m:r>
                  <w:rPr>
                    <w:rFonts w:ascii="Cambria Math" w:hAnsi="Cambria Math"/>
                    <w:noProof/>
                    <w:sz w:val="26"/>
                    <w:szCs w:val="26"/>
                    <w:lang w:val="en-US" w:eastAsia="ru-RU"/>
                  </w:rPr>
                  <m:t>*</m:t>
                </m:r>
                <m:sSub>
                  <m:sSubPr>
                    <m:ctrlPr>
                      <w:rPr>
                        <w:rFonts w:ascii="Cambria Math" w:hAnsi="Cambria Math"/>
                        <w:i/>
                        <w:noProof/>
                        <w:sz w:val="26"/>
                        <w:szCs w:val="26"/>
                        <w:lang w:val="en-US" w:eastAsia="ru-RU"/>
                      </w:rPr>
                    </m:ctrlPr>
                  </m:sSubPr>
                  <m:e>
                    <m:r>
                      <w:rPr>
                        <w:rFonts w:ascii="Cambria Math" w:hAnsi="Cambria Math"/>
                        <w:noProof/>
                        <w:sz w:val="26"/>
                        <w:szCs w:val="26"/>
                        <w:lang w:val="en-US" w:eastAsia="ru-RU"/>
                      </w:rPr>
                      <m:t>Z</m:t>
                    </m:r>
                  </m:e>
                  <m:sub>
                    <m:r>
                      <w:rPr>
                        <w:rFonts w:ascii="Cambria Math" w:hAnsi="Cambria Math"/>
                        <w:noProof/>
                        <w:sz w:val="26"/>
                        <w:szCs w:val="26"/>
                        <w:lang w:val="en-US" w:eastAsia="ru-RU"/>
                      </w:rPr>
                      <m:t>i</m:t>
                    </m:r>
                  </m:sub>
                </m:sSub>
              </m:e>
            </m:d>
            <m:r>
              <w:rPr>
                <w:rFonts w:ascii="Cambria Math" w:hAnsi="Cambria Math"/>
                <w:noProof/>
                <w:sz w:val="26"/>
                <w:szCs w:val="26"/>
                <w:lang w:val="en-US" w:eastAsia="ru-RU"/>
              </w:rPr>
              <m:t xml:space="preserve"> </m:t>
            </m:r>
            <m:nary>
              <m:naryPr>
                <m:chr m:val="∑"/>
                <m:limLoc m:val="subSup"/>
                <m:ctrlPr>
                  <w:rPr>
                    <w:rFonts w:ascii="Cambria Math" w:hAnsi="Cambria Math"/>
                    <w:i/>
                    <w:noProof/>
                    <w:sz w:val="26"/>
                    <w:szCs w:val="26"/>
                    <w:lang w:val="en-US" w:eastAsia="ru-RU"/>
                  </w:rPr>
                </m:ctrlPr>
              </m:naryPr>
              <m:sub>
                <m:r>
                  <w:rPr>
                    <w:rFonts w:ascii="Cambria Math" w:hAnsi="Cambria Math"/>
                    <w:noProof/>
                    <w:sz w:val="26"/>
                    <w:szCs w:val="26"/>
                    <w:lang w:val="en-US" w:eastAsia="ru-RU"/>
                  </w:rPr>
                  <m:t>j=1</m:t>
                </m:r>
              </m:sub>
              <m:sup>
                <m:r>
                  <w:rPr>
                    <w:rFonts w:ascii="Cambria Math" w:hAnsi="Cambria Math"/>
                    <w:noProof/>
                    <w:sz w:val="26"/>
                    <w:szCs w:val="26"/>
                    <w:lang w:val="en-US" w:eastAsia="ru-RU"/>
                  </w:rPr>
                  <m:t>M</m:t>
                </m:r>
              </m:sup>
              <m:e>
                <m:sSub>
                  <m:sSubPr>
                    <m:ctrlPr>
                      <w:rPr>
                        <w:rFonts w:ascii="Cambria Math" w:hAnsi="Cambria Math"/>
                        <w:i/>
                        <w:noProof/>
                        <w:sz w:val="26"/>
                        <w:szCs w:val="26"/>
                        <w:lang w:val="en-US" w:eastAsia="ru-RU"/>
                      </w:rPr>
                    </m:ctrlPr>
                  </m:sSubPr>
                  <m:e>
                    <m:r>
                      <w:rPr>
                        <w:rFonts w:ascii="Cambria Math" w:hAnsi="Cambria Math"/>
                        <w:noProof/>
                        <w:sz w:val="26"/>
                        <w:szCs w:val="26"/>
                        <w:lang w:val="en-US" w:eastAsia="ru-RU"/>
                      </w:rPr>
                      <m:t>X</m:t>
                    </m:r>
                  </m:e>
                  <m:sub>
                    <m:r>
                      <w:rPr>
                        <w:rFonts w:ascii="Cambria Math" w:hAnsi="Cambria Math"/>
                        <w:noProof/>
                        <w:sz w:val="26"/>
                        <w:szCs w:val="26"/>
                        <w:lang w:val="en-US" w:eastAsia="ru-RU"/>
                      </w:rPr>
                      <m:t>i,j</m:t>
                    </m:r>
                  </m:sub>
                </m:sSub>
                <m:r>
                  <w:rPr>
                    <w:rFonts w:ascii="Cambria Math" w:hAnsi="Cambria Math"/>
                    <w:noProof/>
                    <w:sz w:val="26"/>
                    <w:szCs w:val="26"/>
                    <w:lang w:val="en-US" w:eastAsia="ru-RU"/>
                  </w:rPr>
                  <m:t>+XM*N+1→MAX</m:t>
                </m:r>
              </m:e>
            </m:nary>
          </m:e>
        </m:nary>
      </m:oMath>
      <w:r w:rsidRPr="000256EC">
        <w:rPr>
          <w:rFonts w:ascii="Times New Roman" w:hAnsi="Times New Roman"/>
          <w:sz w:val="26"/>
          <w:szCs w:val="26"/>
          <w:lang w:val="en-US" w:eastAsia="ru-RU"/>
        </w:rPr>
        <w:t xml:space="preserve">         (10)</w:t>
      </w:r>
    </w:p>
    <w:p w14:paraId="70D52094"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и задача (1)–(8) становится линейной, частично целочисленной (булевой), где первые M*N переменных – булевы, а последняя (M * N +1)-ая переменная непрерывная.</w:t>
      </w:r>
    </w:p>
    <w:p w14:paraId="3B4FC2F4" w14:textId="7B94E09B" w:rsidR="005871E1"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В СПО-1 реализован численный метод решения этой задачи, основанный на методе ветвей и границ.</w:t>
      </w:r>
    </w:p>
    <w:p w14:paraId="19799BDD" w14:textId="77777777" w:rsidR="005871E1" w:rsidRDefault="005871E1">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br w:type="page"/>
      </w:r>
    </w:p>
    <w:p w14:paraId="7DF6E7C6" w14:textId="77777777" w:rsidR="007379E9" w:rsidRPr="000256EC" w:rsidRDefault="007379E9" w:rsidP="007379E9">
      <w:pPr>
        <w:spacing w:after="0" w:line="360" w:lineRule="auto"/>
        <w:ind w:firstLine="709"/>
        <w:contextualSpacing/>
        <w:jc w:val="both"/>
        <w:rPr>
          <w:rFonts w:ascii="Times New Roman" w:hAnsi="Times New Roman"/>
          <w:i/>
          <w:sz w:val="26"/>
          <w:szCs w:val="26"/>
          <w:u w:val="single"/>
          <w:lang w:eastAsia="ru-RU"/>
        </w:rPr>
      </w:pPr>
      <w:r w:rsidRPr="000256EC">
        <w:rPr>
          <w:rFonts w:ascii="Times New Roman" w:hAnsi="Times New Roman"/>
          <w:i/>
          <w:sz w:val="26"/>
          <w:szCs w:val="26"/>
          <w:u w:val="single"/>
          <w:lang w:eastAsia="ru-RU"/>
        </w:rPr>
        <w:t>Пояснения по многолетним травам.</w:t>
      </w:r>
    </w:p>
    <w:p w14:paraId="04268EAB"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В алгоритм заложена возможность использования многолетних трав 2-х и 3-х лет. Например, обозначение МнТр 3 означает многолетнюю траву, которую можно посеять один раз в 3 года, а убирать урожай ежегодно (трехлетнюю). Обозначение МнТр 3-2 означает трехлетнюю многолетнюю траву на втором годе. Соответственно, МнТр 2 – это «двухлетняя» многолетняя трава, которая сеется один раз в два года, а МнТр 2-1 и МнТр 2-2 – это двухлетняя многолетняя трава 1-го и 2-го года. Все эти травы имеют одинаковую урожайность и баланс гумуса, которые рассчитываются в соответствии с Методиками, и имеют одинаковую цену реализации. Однако, стоимость возделывания и уборки этих культур разные, поскольку стоимость возделывания и уборки травы 1-года включает в себя цену и возделывания и уборки в совокупности, а стоимость возделывания и уборки трав 2-го и 3-го годов включают в себя затраты только лишь на уборку, и существенно ниже затрат на травы 1-го года. Если у Пользователя нет дифференциации общих затрат Z, затрат на возделывание и затрат на уборку по отдельности, то в СПО-1, по умолчанию, затраты на возделывание и уборку трав первого, второго и третьего года (Z1, Z2 и Z3 соответственно) рассчитываются на основе следующего алгоритма.</w:t>
      </w:r>
    </w:p>
    <w:p w14:paraId="563BF3C9"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Для трав 2-х лет посева:</w:t>
      </w:r>
    </w:p>
    <w:p w14:paraId="550452AA"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Z1 = 4.6/3.3 * Z;</w:t>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t xml:space="preserve"> </w:t>
      </w:r>
      <w:r w:rsidRPr="000256EC">
        <w:rPr>
          <w:rFonts w:ascii="Times New Roman" w:hAnsi="Times New Roman"/>
          <w:sz w:val="26"/>
          <w:szCs w:val="26"/>
          <w:lang w:eastAsia="ru-RU"/>
        </w:rPr>
        <w:tab/>
        <w:t xml:space="preserve">            (11)</w:t>
      </w:r>
    </w:p>
    <w:p w14:paraId="21E42C23"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Z2 = 2/3.3* Z;</w:t>
      </w:r>
    </w:p>
    <w:p w14:paraId="497DEF2A"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Для трав 3-х лет посева:</w:t>
      </w:r>
    </w:p>
    <w:p w14:paraId="7F4CFDCA"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Z1 = 6.9/4.3 * Z;</w:t>
      </w:r>
    </w:p>
    <w:p w14:paraId="47B11EED"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Z2 = 3/4.3 * Z;</w:t>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r>
      <w:r w:rsidRPr="000256EC">
        <w:rPr>
          <w:rFonts w:ascii="Times New Roman" w:hAnsi="Times New Roman"/>
          <w:sz w:val="26"/>
          <w:szCs w:val="26"/>
          <w:lang w:eastAsia="ru-RU"/>
        </w:rPr>
        <w:tab/>
        <w:t>(12)</w:t>
      </w:r>
    </w:p>
    <w:p w14:paraId="70FC3D57"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Z3 = 3/4.3 * Z;</w:t>
      </w:r>
    </w:p>
    <w:p w14:paraId="17CA2B3E"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Поясним, как были получены формулы для трехлетних многолетних трав. Обозначим через x и y затраты (удельные) на возделывание и уборку многолетних трав соответственно, а через Z   среднюю цену затрат за 3 года. Тогда, с учетом того, что затраты на возделывание на 30% больше затрат на уборку и того, что средняя цена затрат за 3 года равна Z, получаем следующую систему линейных уравнений:</w:t>
      </w:r>
    </w:p>
    <w:p w14:paraId="41E9AE15"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Z1 = x + y;</w:t>
      </w:r>
    </w:p>
    <w:p w14:paraId="3CC83D30"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Z2 = y;</w:t>
      </w:r>
    </w:p>
    <w:p w14:paraId="68E020F1"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Z3 = y;</w:t>
      </w:r>
    </w:p>
    <w:p w14:paraId="795CBAD4"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x = 1.3 * y;</w:t>
      </w:r>
    </w:p>
    <w:p w14:paraId="75784BD3"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Z1 + Z2 + Z3 = 3 * Z;</w:t>
      </w:r>
    </w:p>
    <w:p w14:paraId="2301E4C0" w14:textId="39812DB2"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Решение этой системы и дает формулы (12) для затрат по травам 3-х летнего цикла. Аналогично, получены формулы (11) для многолетних трав 2-х летнего цикла. </w:t>
      </w:r>
      <w:r w:rsidR="0041105F" w:rsidRPr="0041105F">
        <w:rPr>
          <w:rFonts w:ascii="Times New Roman" w:hAnsi="Times New Roman" w:cs="Times New Roman"/>
          <w:bCs/>
          <w:color w:val="000000" w:themeColor="text1"/>
          <w:sz w:val="26"/>
          <w:szCs w:val="26"/>
        </w:rPr>
        <w:t>Помимо этого, для того чтобы</w:t>
      </w:r>
      <w:r w:rsidRPr="0041105F">
        <w:rPr>
          <w:rFonts w:ascii="Times New Roman" w:hAnsi="Times New Roman" w:cs="Times New Roman"/>
          <w:bCs/>
          <w:color w:val="000000" w:themeColor="text1"/>
          <w:sz w:val="26"/>
          <w:szCs w:val="26"/>
        </w:rPr>
        <w:t xml:space="preserve"> ввести эти культуры в математическую модель, необходимо специальным образом описать эти травы в матрице предшественников. Так, для трав 2-х летнего цикла справедливо следующее:</w:t>
      </w:r>
    </w:p>
    <w:p w14:paraId="1AB16069"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травы 2-х летнего цикла 1-го года (МнТр2-1) имеют своих естественных предшественников;</w:t>
      </w:r>
    </w:p>
    <w:p w14:paraId="21CC5AA3"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травы МнТр 2-2 могут иметь в качестве предшественника исключительно только МнТр 2-1.</w:t>
      </w:r>
    </w:p>
    <w:p w14:paraId="37BDE56C"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Это означает, что в матрице предшественников, в строке, отвечающей за МнТр 2-2 на месте соответствующем МнТр 2-1 нужно поставить «3», а на всех других местах поставить «0». </w:t>
      </w:r>
      <w:r w:rsidRPr="0041105F">
        <w:rPr>
          <w:rFonts w:ascii="Times New Roman" w:hAnsi="Times New Roman" w:cs="Times New Roman"/>
          <w:bCs/>
          <w:color w:val="000000" w:themeColor="text1"/>
          <w:sz w:val="26"/>
          <w:szCs w:val="26"/>
        </w:rPr>
        <w:tab/>
        <w:t>Аналогично, для трав 3-х летнего цикла справедливо следующее:</w:t>
      </w:r>
    </w:p>
    <w:p w14:paraId="0B1741A5"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травы 3-х летнего цикла 1-го (МнТр3-1) года имеют своих естественных предшественников;</w:t>
      </w:r>
    </w:p>
    <w:p w14:paraId="163E0F84" w14:textId="40A1BFD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 травы МнТр 3-2 могут иметь в </w:t>
      </w:r>
      <w:r w:rsidR="0041105F" w:rsidRPr="0041105F">
        <w:rPr>
          <w:rFonts w:ascii="Times New Roman" w:hAnsi="Times New Roman" w:cs="Times New Roman"/>
          <w:bCs/>
          <w:color w:val="000000" w:themeColor="text1"/>
          <w:sz w:val="26"/>
          <w:szCs w:val="26"/>
        </w:rPr>
        <w:t>качестве предшественника</w:t>
      </w:r>
      <w:r w:rsidRPr="0041105F">
        <w:rPr>
          <w:rFonts w:ascii="Times New Roman" w:hAnsi="Times New Roman" w:cs="Times New Roman"/>
          <w:bCs/>
          <w:color w:val="000000" w:themeColor="text1"/>
          <w:sz w:val="26"/>
          <w:szCs w:val="26"/>
        </w:rPr>
        <w:t xml:space="preserve"> исключительно только МнТр 3-1;</w:t>
      </w:r>
    </w:p>
    <w:p w14:paraId="65E5F3BF"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травы МнТр 3-3 могут иметь в качестве предшественника исключительно только МнТр 3-2.</w:t>
      </w:r>
    </w:p>
    <w:p w14:paraId="41C4DA73"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Это означает, что в матрице предшественников, в строке, отвечающей за МнТр 3-2, на месте соответствующем МнТр 3-1 нужно поставить «3», а на всех других местах поставить «0», а в строке, отвечающей за МнТр 3-3, на месте соответствующем МнТн 3-2 надо поставить «3», а на всех других поставить «0».</w:t>
      </w:r>
    </w:p>
    <w:p w14:paraId="37FD557B"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Таким образом, в программе производится оптимальный выбор не только между ведущими СХК в севообороте, но, также, и между травами 2-х и 3-х лет использования. </w:t>
      </w:r>
    </w:p>
    <w:p w14:paraId="0CC51226"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В СПО реализован поиск оптимального севооборота с цикличностью, не превосходящей 10 лет. Для этого, последовательно (в цикле) находятся оптимальные севообороты из 6-ти польных, 7-и польных, …, 10-ти польных севооборотов, и после сравнения выбирается наилучший, дающий наибольшую величину УПЗР для данной почвенной разновидности.</w:t>
      </w:r>
    </w:p>
    <w:p w14:paraId="7F55F3B3" w14:textId="64190DB6" w:rsidR="005871E1" w:rsidRDefault="007379E9" w:rsidP="0041105F">
      <w:pPr>
        <w:spacing w:before="120" w:after="0" w:line="276" w:lineRule="auto"/>
        <w:ind w:firstLine="709"/>
        <w:jc w:val="both"/>
        <w:rPr>
          <w:rFonts w:ascii="Times New Roman" w:hAnsi="Times New Roman" w:cs="Times New Roman"/>
          <w:bCs/>
          <w:color w:val="000000" w:themeColor="text1"/>
          <w:sz w:val="26"/>
          <w:szCs w:val="26"/>
        </w:rPr>
      </w:pPr>
      <w:bookmarkStart w:id="156" w:name="_Hlk76982703"/>
      <w:r w:rsidRPr="0041105F">
        <w:rPr>
          <w:rFonts w:ascii="Times New Roman" w:hAnsi="Times New Roman" w:cs="Times New Roman"/>
          <w:bCs/>
          <w:color w:val="000000" w:themeColor="text1"/>
          <w:sz w:val="26"/>
          <w:szCs w:val="26"/>
        </w:rPr>
        <w:t>Расчетные севообороты представлены в Приложении 2\2.4\2.4.1.</w:t>
      </w:r>
    </w:p>
    <w:p w14:paraId="167F7324" w14:textId="77777777" w:rsidR="005871E1" w:rsidRDefault="005871E1">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br w:type="page"/>
      </w:r>
    </w:p>
    <w:p w14:paraId="1F730733" w14:textId="77777777" w:rsidR="007379E9" w:rsidRPr="0041105F" w:rsidRDefault="007379E9" w:rsidP="0041105F">
      <w:pPr>
        <w:spacing w:before="120" w:after="0" w:line="276" w:lineRule="auto"/>
        <w:ind w:firstLine="709"/>
        <w:jc w:val="center"/>
        <w:rPr>
          <w:rFonts w:ascii="Times New Roman" w:hAnsi="Times New Roman" w:cs="Times New Roman"/>
          <w:bCs/>
          <w:i/>
          <w:color w:val="000000" w:themeColor="text1"/>
          <w:sz w:val="26"/>
          <w:szCs w:val="26"/>
        </w:rPr>
      </w:pPr>
      <w:bookmarkStart w:id="157" w:name="_Toc369983912"/>
      <w:bookmarkStart w:id="158" w:name="_Toc23345501"/>
      <w:bookmarkStart w:id="159" w:name="_Toc45821705"/>
      <w:bookmarkStart w:id="160" w:name="_Toc77675881"/>
      <w:bookmarkStart w:id="161" w:name="_Toc78451831"/>
      <w:bookmarkEnd w:id="156"/>
      <w:r w:rsidRPr="0041105F">
        <w:rPr>
          <w:rFonts w:ascii="Times New Roman" w:hAnsi="Times New Roman" w:cs="Times New Roman"/>
          <w:bCs/>
          <w:i/>
          <w:color w:val="000000" w:themeColor="text1"/>
          <w:sz w:val="26"/>
          <w:szCs w:val="26"/>
        </w:rPr>
        <w:t>Определение в разрезе почвенных разновидностей нормативной урожайности каждой сельскохозяйственной культуры из состава перечня культур</w:t>
      </w:r>
      <w:bookmarkEnd w:id="157"/>
      <w:bookmarkEnd w:id="158"/>
      <w:bookmarkEnd w:id="159"/>
      <w:bookmarkEnd w:id="160"/>
      <w:bookmarkEnd w:id="161"/>
    </w:p>
    <w:p w14:paraId="1AE7FC08"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Определение продуктивности пашни путем расчета показателей нормативной урожайности каждой оцениваемой культуры.</w:t>
      </w:r>
    </w:p>
    <w:p w14:paraId="50BC83D7"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Нормативная урожайность зерновых культур рассчитывалась по формуле:</w:t>
      </w:r>
    </w:p>
    <w:p w14:paraId="6B1AAD23"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У = 33.2 х 1.4х АП/10.0 х К1хК2хК3хК4;         </w:t>
      </w:r>
    </w:p>
    <w:p w14:paraId="79711657"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где:</w:t>
      </w:r>
    </w:p>
    <w:p w14:paraId="027306EA"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У- нормативная урожайность зерновых культур, ц/га;</w:t>
      </w:r>
    </w:p>
    <w:p w14:paraId="11DCE380"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АП - величина агроклиматического потенциала по агроклиматической подзоне для зерновых культур;</w:t>
      </w:r>
    </w:p>
    <w:p w14:paraId="62106A96"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10.0 – базовое значение величины агроклиматического потенциала;</w:t>
      </w:r>
    </w:p>
    <w:p w14:paraId="2AD5D91B"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33.2 – нормативная урожайность (ц/га) зерновых культур на эталонной почве, соответствующая нормам зональных технологий при базовом значении АП (10,0);</w:t>
      </w:r>
    </w:p>
    <w:p w14:paraId="68F6A7C3"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1.4 – коэффициент пересчета на уровень урожайности при интенсивной технологии возделывания сельскохозяйственных культур;</w:t>
      </w:r>
    </w:p>
    <w:p w14:paraId="598EE491"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К1 – поправочный коэффициент на содержание гумуса в пахотном слое;</w:t>
      </w:r>
    </w:p>
    <w:p w14:paraId="59E36AC3"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К2- поправочный коэффициент на мощность гумусового горизонта;</w:t>
      </w:r>
    </w:p>
    <w:p w14:paraId="04839DC0"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К3 – поправочный коэффициент на содержание физической глины в пахотном горизонте;</w:t>
      </w:r>
    </w:p>
    <w:p w14:paraId="4847793C"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К4 – поправочный коэффициент на дополнительные свойства почв;</w:t>
      </w:r>
    </w:p>
    <w:p w14:paraId="7902CC42"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bookmarkStart w:id="162" w:name="_Hlk76982761"/>
      <w:r w:rsidRPr="0041105F">
        <w:rPr>
          <w:rFonts w:ascii="Times New Roman" w:hAnsi="Times New Roman" w:cs="Times New Roman"/>
          <w:bCs/>
          <w:color w:val="000000" w:themeColor="text1"/>
          <w:sz w:val="26"/>
          <w:szCs w:val="26"/>
        </w:rPr>
        <w:t xml:space="preserve">Коэффициенты К1-К4 разработаны с учетом материалов IV тура экономической оценки земель. Данные о содержании гумуса, физической глины, мощности гумусового горизонта взяты по данным из почвенных материалов прошлого тура оценки. </w:t>
      </w:r>
    </w:p>
    <w:p w14:paraId="7B62FB88"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Расчетный уровень продуктивности земель установлен по урожайности зерновых культур по интенсивным зональным технологиям с коэффициентом освоенности технологии 0.7.</w:t>
      </w:r>
    </w:p>
    <w:bookmarkEnd w:id="162"/>
    <w:p w14:paraId="1F587E7A" w14:textId="77777777" w:rsidR="007379E9" w:rsidRPr="000256EC" w:rsidRDefault="007379E9" w:rsidP="0041105F">
      <w:pPr>
        <w:spacing w:before="120" w:after="0" w:line="276" w:lineRule="auto"/>
        <w:ind w:firstLine="709"/>
        <w:jc w:val="both"/>
        <w:rPr>
          <w:rFonts w:ascii="Times New Roman" w:hAnsi="Times New Roman"/>
          <w:sz w:val="26"/>
          <w:szCs w:val="26"/>
          <w:lang w:eastAsia="ru-RU"/>
        </w:rPr>
      </w:pPr>
      <w:r w:rsidRPr="0041105F">
        <w:rPr>
          <w:rFonts w:ascii="Times New Roman" w:hAnsi="Times New Roman" w:cs="Times New Roman"/>
          <w:bCs/>
          <w:color w:val="000000" w:themeColor="text1"/>
          <w:sz w:val="26"/>
          <w:szCs w:val="26"/>
        </w:rPr>
        <w:t>Агроклиматический</w:t>
      </w:r>
      <w:r w:rsidRPr="000256EC">
        <w:rPr>
          <w:rFonts w:ascii="Times New Roman" w:hAnsi="Times New Roman"/>
          <w:sz w:val="26"/>
          <w:szCs w:val="26"/>
          <w:lang w:eastAsia="ru-RU"/>
        </w:rPr>
        <w:t xml:space="preserve"> потенциал рассчитывался по формуле:</w:t>
      </w:r>
    </w:p>
    <w:p w14:paraId="20F8E1B8" w14:textId="77777777" w:rsidR="007379E9" w:rsidRPr="000256EC" w:rsidRDefault="007379E9" w:rsidP="007379E9">
      <w:pPr>
        <w:spacing w:after="0" w:line="360" w:lineRule="auto"/>
        <w:ind w:firstLine="709"/>
        <w:contextualSpacing/>
        <w:jc w:val="center"/>
        <w:rPr>
          <w:rFonts w:ascii="Times New Roman" w:hAnsi="Times New Roman"/>
          <w:i/>
          <w:sz w:val="26"/>
          <w:szCs w:val="26"/>
          <w:lang w:eastAsia="ru-RU"/>
        </w:rPr>
      </w:pPr>
      <w:r w:rsidRPr="000256EC">
        <w:rPr>
          <w:rFonts w:ascii="Times New Roman" w:hAnsi="Times New Roman"/>
          <w:sz w:val="26"/>
          <w:szCs w:val="26"/>
          <w:lang w:eastAsia="ru-RU"/>
        </w:rPr>
        <w:t xml:space="preserve"> </w:t>
      </w:r>
      <m:oMath>
        <m:r>
          <w:rPr>
            <w:rFonts w:ascii="Cambria Math" w:hAnsi="Cambria Math"/>
            <w:sz w:val="26"/>
            <w:szCs w:val="26"/>
            <w:lang w:eastAsia="ru-RU"/>
          </w:rPr>
          <m:t>АП=</m:t>
        </m:r>
        <m:f>
          <m:fPr>
            <m:ctrlPr>
              <w:rPr>
                <w:rFonts w:ascii="Cambria Math" w:hAnsi="Cambria Math"/>
                <w:i/>
                <w:sz w:val="26"/>
                <w:szCs w:val="26"/>
                <w:lang w:val="en-US" w:eastAsia="ru-RU"/>
              </w:rPr>
            </m:ctrlPr>
          </m:fPr>
          <m:num>
            <m:nary>
              <m:naryPr>
                <m:chr m:val="∑"/>
                <m:limLoc m:val="undOvr"/>
                <m:subHide m:val="1"/>
                <m:supHide m:val="1"/>
                <m:ctrlPr>
                  <w:rPr>
                    <w:rFonts w:ascii="Cambria Math" w:hAnsi="Cambria Math"/>
                    <w:i/>
                    <w:sz w:val="26"/>
                    <w:szCs w:val="26"/>
                    <w:lang w:val="en-US" w:eastAsia="ru-RU"/>
                  </w:rPr>
                </m:ctrlPr>
              </m:naryPr>
              <m:sub/>
              <m:sup/>
              <m:e>
                <m:r>
                  <w:rPr>
                    <w:rFonts w:ascii="Cambria Math" w:hAnsi="Cambria Math"/>
                    <w:sz w:val="26"/>
                    <w:szCs w:val="26"/>
                    <w:lang w:val="en-US" w:eastAsia="ru-RU"/>
                  </w:rPr>
                  <m:t>t</m:t>
                </m:r>
                <m:r>
                  <w:rPr>
                    <w:rFonts w:ascii="Cambria Math" w:hAnsi="Cambria Math"/>
                    <w:sz w:val="26"/>
                    <w:szCs w:val="26"/>
                    <w:lang w:eastAsia="ru-RU"/>
                  </w:rPr>
                  <m:t>&gt;</m:t>
                </m:r>
                <m:sSup>
                  <m:sSupPr>
                    <m:ctrlPr>
                      <w:rPr>
                        <w:rFonts w:ascii="Cambria Math" w:hAnsi="Cambria Math"/>
                        <w:i/>
                        <w:sz w:val="26"/>
                        <w:szCs w:val="26"/>
                        <w:lang w:val="en-US" w:eastAsia="ru-RU"/>
                      </w:rPr>
                    </m:ctrlPr>
                  </m:sSupPr>
                  <m:e>
                    <m:r>
                      <w:rPr>
                        <w:rFonts w:ascii="Cambria Math" w:hAnsi="Cambria Math"/>
                        <w:sz w:val="26"/>
                        <w:szCs w:val="26"/>
                        <w:lang w:eastAsia="ru-RU"/>
                      </w:rPr>
                      <m:t>10</m:t>
                    </m:r>
                  </m:e>
                  <m:sup>
                    <m:r>
                      <w:rPr>
                        <w:rFonts w:ascii="Cambria Math" w:hAnsi="Cambria Math"/>
                        <w:sz w:val="26"/>
                        <w:szCs w:val="26"/>
                        <w:lang w:eastAsia="ru-RU"/>
                      </w:rPr>
                      <m:t>°</m:t>
                    </m:r>
                  </m:sup>
                </m:sSup>
              </m:e>
            </m:nary>
            <m:d>
              <m:dPr>
                <m:ctrlPr>
                  <w:rPr>
                    <w:rFonts w:ascii="Cambria Math" w:hAnsi="Cambria Math"/>
                    <w:i/>
                    <w:sz w:val="26"/>
                    <w:szCs w:val="26"/>
                    <w:lang w:val="en-US" w:eastAsia="ru-RU"/>
                  </w:rPr>
                </m:ctrlPr>
              </m:dPr>
              <m:e>
                <m:r>
                  <w:rPr>
                    <w:rFonts w:ascii="Cambria Math" w:hAnsi="Cambria Math"/>
                    <w:sz w:val="26"/>
                    <w:szCs w:val="26"/>
                    <w:lang w:eastAsia="ru-RU"/>
                  </w:rPr>
                  <m:t>КУ-Р</m:t>
                </m:r>
              </m:e>
            </m:d>
          </m:num>
          <m:den>
            <m:r>
              <w:rPr>
                <w:rFonts w:ascii="Cambria Math" w:hAnsi="Cambria Math"/>
                <w:sz w:val="26"/>
                <w:szCs w:val="26"/>
                <w:lang w:eastAsia="ru-RU"/>
              </w:rPr>
              <m:t>КК+100</m:t>
            </m:r>
          </m:den>
        </m:f>
      </m:oMath>
      <w:r w:rsidRPr="000256EC">
        <w:rPr>
          <w:rFonts w:ascii="Times New Roman" w:hAnsi="Times New Roman"/>
          <w:sz w:val="26"/>
          <w:szCs w:val="26"/>
          <w:lang w:eastAsia="ru-RU"/>
        </w:rPr>
        <w:t>,</w:t>
      </w:r>
    </w:p>
    <w:p w14:paraId="06F809B1"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где:</w:t>
      </w:r>
    </w:p>
    <w:p w14:paraId="74988777" w14:textId="77777777" w:rsidR="007379E9" w:rsidRPr="000256EC" w:rsidRDefault="007379E9" w:rsidP="007379E9">
      <w:pPr>
        <w:spacing w:after="0" w:line="360" w:lineRule="auto"/>
        <w:ind w:firstLine="709"/>
        <w:contextualSpacing/>
        <w:jc w:val="both"/>
        <w:rPr>
          <w:rFonts w:ascii="Times New Roman" w:hAnsi="Times New Roman"/>
          <w:sz w:val="26"/>
          <w:szCs w:val="26"/>
          <w:lang w:eastAsia="ru-RU"/>
        </w:rPr>
      </w:pPr>
      <w:r w:rsidRPr="000256EC">
        <w:rPr>
          <w:rFonts w:ascii="Times New Roman" w:hAnsi="Times New Roman"/>
          <w:sz w:val="26"/>
          <w:szCs w:val="26"/>
          <w:lang w:eastAsia="ru-RU"/>
        </w:rPr>
        <w:t>Σt &gt; 10° – сумма температур выше 10°, берется из климатических (агроклиматических) справочников;</w:t>
      </w:r>
    </w:p>
    <w:p w14:paraId="1A91DAF7"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КУ – коэффициент увлажнения (отношение количества осадков к испаряемости); величины КУ более 1,1 принимаются равными 1,1;</w:t>
      </w:r>
    </w:p>
    <w:p w14:paraId="6889FD96"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Переход от нормативной урожайности зерновых к нормативной урожайности других сельскохозяйственных культур осуществлялся с применением коэффициента перевода. Значения коэффициентов перевода по Воронежской области и величина агроклиматического потенциала взяты из Справочника агроклиматического оценочного зонирования субъектов Российской Федерации (Москва, 2010). </w:t>
      </w:r>
    </w:p>
    <w:p w14:paraId="10D244C1" w14:textId="6923CA60"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Результаты расчета нормативной урожайности приведены в </w:t>
      </w:r>
      <w:bookmarkStart w:id="163" w:name="_Toc23345503"/>
      <w:bookmarkStart w:id="164" w:name="_Toc45821707"/>
      <w:bookmarkStart w:id="165" w:name="_Toc77675883"/>
      <w:bookmarkStart w:id="166" w:name="_Toc78451833"/>
      <w:r w:rsidRPr="0041105F">
        <w:rPr>
          <w:rFonts w:ascii="Times New Roman" w:hAnsi="Times New Roman" w:cs="Times New Roman"/>
          <w:bCs/>
          <w:color w:val="000000" w:themeColor="text1"/>
          <w:sz w:val="26"/>
          <w:szCs w:val="26"/>
        </w:rPr>
        <w:t>Приложении 2\2.4\2.4.1.</w:t>
      </w:r>
    </w:p>
    <w:p w14:paraId="48C110BE" w14:textId="77777777" w:rsidR="001969F4" w:rsidRDefault="001969F4" w:rsidP="0041105F">
      <w:pPr>
        <w:spacing w:before="120" w:after="0" w:line="276" w:lineRule="auto"/>
        <w:ind w:firstLine="709"/>
        <w:jc w:val="both"/>
        <w:rPr>
          <w:rFonts w:ascii="Times New Roman" w:hAnsi="Times New Roman" w:cs="Times New Roman"/>
          <w:bCs/>
          <w:i/>
          <w:color w:val="000000" w:themeColor="text1"/>
          <w:sz w:val="26"/>
          <w:szCs w:val="26"/>
        </w:rPr>
      </w:pPr>
    </w:p>
    <w:p w14:paraId="6DA44ABF" w14:textId="03A414DD" w:rsidR="007379E9" w:rsidRPr="0041105F" w:rsidRDefault="007379E9" w:rsidP="001969F4">
      <w:pPr>
        <w:spacing w:before="120" w:after="0" w:line="276" w:lineRule="auto"/>
        <w:ind w:firstLine="709"/>
        <w:jc w:val="center"/>
        <w:rPr>
          <w:rFonts w:ascii="Times New Roman" w:hAnsi="Times New Roman" w:cs="Times New Roman"/>
          <w:bCs/>
          <w:i/>
          <w:color w:val="000000" w:themeColor="text1"/>
          <w:sz w:val="26"/>
          <w:szCs w:val="26"/>
        </w:rPr>
      </w:pPr>
      <w:r w:rsidRPr="0041105F">
        <w:rPr>
          <w:rFonts w:ascii="Times New Roman" w:hAnsi="Times New Roman" w:cs="Times New Roman"/>
          <w:bCs/>
          <w:i/>
          <w:color w:val="000000" w:themeColor="text1"/>
          <w:sz w:val="26"/>
          <w:szCs w:val="26"/>
        </w:rPr>
        <w:t>Расчет валового дохода на единицу площади для каждой сельскохозяйственной культуры из состава перечня культур как произведения ее нормативной урожайности и прогнозируемой цены реализации</w:t>
      </w:r>
      <w:bookmarkEnd w:id="163"/>
      <w:bookmarkEnd w:id="164"/>
      <w:bookmarkEnd w:id="165"/>
      <w:bookmarkEnd w:id="166"/>
    </w:p>
    <w:p w14:paraId="52D468C9"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Удельный валовый доход по сельскохозяйственной культуре рассчитывался по формуле:</w:t>
      </w:r>
    </w:p>
    <w:p w14:paraId="39C4DA56" w14:textId="77777777" w:rsidR="007379E9" w:rsidRPr="000256EC" w:rsidRDefault="007379E9" w:rsidP="007379E9">
      <w:pPr>
        <w:spacing w:after="0" w:line="360" w:lineRule="auto"/>
        <w:ind w:firstLine="709"/>
        <w:jc w:val="center"/>
        <w:rPr>
          <w:rFonts w:ascii="Times New Roman" w:hAnsi="Times New Roman"/>
          <w:sz w:val="26"/>
          <w:szCs w:val="26"/>
          <w:lang w:eastAsia="ru-RU"/>
        </w:rPr>
      </w:pPr>
      <w:r w:rsidRPr="000256EC">
        <w:rPr>
          <w:rFonts w:ascii="Times New Roman" w:hAnsi="Times New Roman"/>
          <w:sz w:val="26"/>
          <w:szCs w:val="26"/>
          <w:lang w:eastAsia="ru-RU"/>
        </w:rPr>
        <w:t>ВД = Ун х Ц</w:t>
      </w:r>
    </w:p>
    <w:p w14:paraId="4FF8DD9F"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где: </w:t>
      </w:r>
    </w:p>
    <w:p w14:paraId="195B0870"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ВД – удельный валовый доход, руб./га;</w:t>
      </w:r>
    </w:p>
    <w:p w14:paraId="545F64D6"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Ун – нормативная урожайность оценочной культуры, ц/га;</w:t>
      </w:r>
    </w:p>
    <w:p w14:paraId="6AAC4FC3"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Ц – прогнозируемая цена реализации продукции оценочной культуры по субъекту РФ, руб/ц.</w:t>
      </w:r>
    </w:p>
    <w:p w14:paraId="6F7CECDD"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Расчет валового дохода на единицу площади для каждого севооборота производился в СПО путем суммирования произведений удельных валовых доходов сельскохозяйственных культур севооборота на количество полей, занимаемых сельскохозяйственными культурами и деления результата на общее число полей севооборота. </w:t>
      </w:r>
    </w:p>
    <w:p w14:paraId="2697D23F" w14:textId="42381CCC"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Результаты расчета удельного валового дохода представлены в Приложении </w:t>
      </w:r>
      <w:r w:rsidR="009235F7" w:rsidRPr="0041105F">
        <w:rPr>
          <w:rFonts w:ascii="Times New Roman" w:hAnsi="Times New Roman" w:cs="Times New Roman"/>
          <w:bCs/>
          <w:color w:val="000000" w:themeColor="text1"/>
          <w:sz w:val="26"/>
          <w:szCs w:val="26"/>
        </w:rPr>
        <w:t>2\2.4\2.4.1</w:t>
      </w:r>
      <w:r w:rsidRPr="0041105F">
        <w:rPr>
          <w:rFonts w:ascii="Times New Roman" w:hAnsi="Times New Roman" w:cs="Times New Roman"/>
          <w:bCs/>
          <w:color w:val="000000" w:themeColor="text1"/>
          <w:sz w:val="26"/>
          <w:szCs w:val="26"/>
        </w:rPr>
        <w:t>. В соответствии с Указаниями, прогнозируемая цена реализации каждой сельскохозяйственной культуры рассчитывается исходя из анализа среднегодовых рыночных цен реализации, сложившихся за трех - пятилетний период, предшествующий году определения кадастровой стоимости, с учетом индексации этих цен на дату определения кадастровой стоимости на условиях самовывоза.</w:t>
      </w:r>
    </w:p>
    <w:p w14:paraId="29698D62" w14:textId="7DB5988B"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Исполнителем были направлены запросы в Территориальный орган Федеральной службы государственной статистики по Воронежской области от 06.10.2021 № 52/3-11/1043 и от 18.01.2022 №52/3-11/99 (</w:t>
      </w:r>
      <w:bookmarkStart w:id="167" w:name="_Hlk106532652"/>
      <w:r w:rsidRPr="0041105F">
        <w:rPr>
          <w:rFonts w:ascii="Times New Roman" w:hAnsi="Times New Roman" w:cs="Times New Roman"/>
          <w:bCs/>
          <w:color w:val="000000" w:themeColor="text1"/>
          <w:sz w:val="26"/>
          <w:szCs w:val="26"/>
        </w:rPr>
        <w:t>Приложение 1\1.2\1.2.1</w:t>
      </w:r>
      <w:bookmarkEnd w:id="167"/>
      <w:r w:rsidRPr="0041105F">
        <w:rPr>
          <w:rFonts w:ascii="Times New Roman" w:hAnsi="Times New Roman" w:cs="Times New Roman"/>
          <w:bCs/>
          <w:color w:val="000000" w:themeColor="text1"/>
          <w:sz w:val="26"/>
          <w:szCs w:val="26"/>
        </w:rPr>
        <w:t>) о предоставлении информации о средних ценах производителей сельскохозяйственной продукции. В ответах №ИС-39-2-0500/519-ТС от 08.11.2021 и №ИС-39-2-0500/154-ТС от 29.03.2022 (Приложение 1\1.2\1.2.1) отсутствовали сведения о стоимости сена, в связи с чем, цены реализации многолетних и однолетних трав приняты на основание рыночной информации по результатам сбора данных в рамках подготовки к государственной кадастровой оценке в Приложении 1\1.5\1.5.3 Информация, используемая для группы СХ использование.</w:t>
      </w:r>
    </w:p>
    <w:p w14:paraId="5161C1EA" w14:textId="7F83B96E"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Рыночные цены реализации сельскохозяйственных культур (пшеница, ячмень, картофель, корнеплоды свеклы сахарной), основаны на данных статистики за 5 лет в соответствии с п. 57.4.1 Указаний. Исходная информация в виде сводной таблицы представлена в </w:t>
      </w:r>
      <w:bookmarkStart w:id="168" w:name="_Hlk106537050"/>
      <w:r w:rsidRPr="0041105F">
        <w:rPr>
          <w:rFonts w:ascii="Times New Roman" w:hAnsi="Times New Roman" w:cs="Times New Roman"/>
          <w:bCs/>
          <w:color w:val="000000" w:themeColor="text1"/>
          <w:sz w:val="26"/>
          <w:szCs w:val="26"/>
        </w:rPr>
        <w:t>Приложении 1\1.5\1.5.3.</w:t>
      </w:r>
    </w:p>
    <w:bookmarkEnd w:id="168"/>
    <w:p w14:paraId="2E591BA1"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Для определения прогнозируемой цены реализации каждой сельскохозяйственной культуры были использованы индексы потребительских цен по Воронежской области, полученные от территориального органа Федеральной службы государственной статистики по Воронежской области (письмо №ИС-39-2-0300/172-ТС от 14.04.2022). Сводная таблица представлена далее по тексту.</w:t>
      </w:r>
    </w:p>
    <w:p w14:paraId="2B85BF5D" w14:textId="77777777" w:rsidR="007379E9" w:rsidRPr="0041105F" w:rsidRDefault="007379E9" w:rsidP="0041105F">
      <w:pPr>
        <w:spacing w:before="120" w:after="0" w:line="276" w:lineRule="auto"/>
        <w:ind w:firstLine="709"/>
        <w:jc w:val="right"/>
        <w:rPr>
          <w:rFonts w:ascii="Times New Roman" w:hAnsi="Times New Roman" w:cs="Times New Roman"/>
          <w:bCs/>
          <w:color w:val="000000" w:themeColor="text1"/>
          <w:sz w:val="26"/>
          <w:szCs w:val="26"/>
        </w:rPr>
      </w:pPr>
      <w:bookmarkStart w:id="169" w:name="_Hlk106543244"/>
      <w:r w:rsidRPr="0041105F">
        <w:rPr>
          <w:rFonts w:ascii="Times New Roman" w:hAnsi="Times New Roman" w:cs="Times New Roman"/>
          <w:bCs/>
          <w:color w:val="000000" w:themeColor="text1"/>
          <w:sz w:val="26"/>
          <w:szCs w:val="26"/>
        </w:rPr>
        <w:t>Таблица 3.6.1.3.1</w:t>
      </w:r>
    </w:p>
    <w:tbl>
      <w:tblPr>
        <w:tblW w:w="9918" w:type="dxa"/>
        <w:jc w:val="center"/>
        <w:tblLook w:val="04A0" w:firstRow="1" w:lastRow="0" w:firstColumn="1" w:lastColumn="0" w:noHBand="0" w:noVBand="1"/>
      </w:tblPr>
      <w:tblGrid>
        <w:gridCol w:w="2571"/>
        <w:gridCol w:w="968"/>
        <w:gridCol w:w="1418"/>
        <w:gridCol w:w="1630"/>
        <w:gridCol w:w="1630"/>
        <w:gridCol w:w="1701"/>
      </w:tblGrid>
      <w:tr w:rsidR="007379E9" w:rsidRPr="00D814E1" w14:paraId="3F7E9433" w14:textId="77777777" w:rsidTr="0041105F">
        <w:trPr>
          <w:trHeight w:val="300"/>
          <w:jc w:val="center"/>
        </w:trPr>
        <w:tc>
          <w:tcPr>
            <w:tcW w:w="2571" w:type="dxa"/>
            <w:vMerge w:val="restart"/>
            <w:tcBorders>
              <w:top w:val="single" w:sz="4" w:space="0" w:color="auto"/>
              <w:left w:val="single" w:sz="4" w:space="0" w:color="auto"/>
              <w:right w:val="single" w:sz="4" w:space="0" w:color="auto"/>
            </w:tcBorders>
            <w:noWrap/>
            <w:vAlign w:val="center"/>
            <w:hideMark/>
          </w:tcPr>
          <w:bookmarkEnd w:id="169"/>
          <w:p w14:paraId="450B1E63" w14:textId="77777777" w:rsidR="007379E9" w:rsidRPr="00D814E1" w:rsidRDefault="007379E9" w:rsidP="00D814E1">
            <w:pPr>
              <w:spacing w:after="0" w:line="240" w:lineRule="auto"/>
              <w:jc w:val="center"/>
              <w:rPr>
                <w:rFonts w:ascii="Times New Roman" w:hAnsi="Times New Roman"/>
                <w:color w:val="000000"/>
                <w:szCs w:val="26"/>
                <w:lang w:eastAsia="ru-RU"/>
              </w:rPr>
            </w:pPr>
            <w:r w:rsidRPr="00D814E1">
              <w:rPr>
                <w:rFonts w:ascii="Times New Roman" w:hAnsi="Times New Roman"/>
                <w:color w:val="000000"/>
                <w:szCs w:val="26"/>
                <w:lang w:eastAsia="ru-RU"/>
              </w:rPr>
              <w:t xml:space="preserve">Индексы потребительских цен по Воронежской области </w:t>
            </w:r>
          </w:p>
        </w:tc>
        <w:tc>
          <w:tcPr>
            <w:tcW w:w="968" w:type="dxa"/>
            <w:tcBorders>
              <w:top w:val="single" w:sz="4" w:space="0" w:color="auto"/>
              <w:left w:val="nil"/>
              <w:bottom w:val="single" w:sz="4" w:space="0" w:color="auto"/>
              <w:right w:val="nil"/>
            </w:tcBorders>
            <w:noWrap/>
            <w:vAlign w:val="bottom"/>
            <w:hideMark/>
          </w:tcPr>
          <w:p w14:paraId="5699A05E" w14:textId="77777777" w:rsidR="007379E9" w:rsidRPr="00D814E1" w:rsidRDefault="007379E9" w:rsidP="00D814E1">
            <w:pPr>
              <w:spacing w:after="0" w:line="240" w:lineRule="auto"/>
              <w:rPr>
                <w:rFonts w:ascii="Times New Roman" w:hAnsi="Times New Roman"/>
                <w:color w:val="000000"/>
                <w:szCs w:val="26"/>
                <w:lang w:eastAsia="ru-RU"/>
              </w:rPr>
            </w:pPr>
            <w:r w:rsidRPr="00D814E1">
              <w:rPr>
                <w:rFonts w:ascii="Times New Roman" w:hAnsi="Times New Roman"/>
                <w:color w:val="000000"/>
                <w:szCs w:val="26"/>
                <w:lang w:eastAsia="ru-RU"/>
              </w:rPr>
              <w:t> </w:t>
            </w:r>
          </w:p>
        </w:tc>
        <w:tc>
          <w:tcPr>
            <w:tcW w:w="6379" w:type="dxa"/>
            <w:gridSpan w:val="4"/>
            <w:tcBorders>
              <w:top w:val="single" w:sz="4" w:space="0" w:color="auto"/>
              <w:left w:val="single" w:sz="4" w:space="0" w:color="auto"/>
              <w:bottom w:val="single" w:sz="4" w:space="0" w:color="auto"/>
              <w:right w:val="single" w:sz="4" w:space="0" w:color="000000"/>
            </w:tcBorders>
            <w:noWrap/>
            <w:vAlign w:val="bottom"/>
            <w:hideMark/>
          </w:tcPr>
          <w:p w14:paraId="5EAA1F45" w14:textId="77777777" w:rsidR="007379E9" w:rsidRPr="00D814E1" w:rsidRDefault="007379E9" w:rsidP="00D814E1">
            <w:pPr>
              <w:spacing w:after="0" w:line="240" w:lineRule="auto"/>
              <w:jc w:val="center"/>
              <w:rPr>
                <w:rFonts w:ascii="Times New Roman" w:hAnsi="Times New Roman"/>
                <w:color w:val="000000"/>
                <w:szCs w:val="26"/>
                <w:lang w:eastAsia="ru-RU"/>
              </w:rPr>
            </w:pPr>
            <w:r w:rsidRPr="00D814E1">
              <w:rPr>
                <w:rFonts w:ascii="Times New Roman" w:hAnsi="Times New Roman"/>
                <w:color w:val="000000"/>
                <w:szCs w:val="26"/>
                <w:lang w:eastAsia="ru-RU"/>
              </w:rPr>
              <w:t>К декабрю предыдущего года, раз</w:t>
            </w:r>
          </w:p>
        </w:tc>
      </w:tr>
      <w:tr w:rsidR="007379E9" w:rsidRPr="00D814E1" w14:paraId="1078694C" w14:textId="77777777" w:rsidTr="0041105F">
        <w:trPr>
          <w:trHeight w:val="70"/>
          <w:jc w:val="center"/>
        </w:trPr>
        <w:tc>
          <w:tcPr>
            <w:tcW w:w="2571" w:type="dxa"/>
            <w:vMerge/>
            <w:tcBorders>
              <w:left w:val="single" w:sz="4" w:space="0" w:color="auto"/>
              <w:right w:val="single" w:sz="4" w:space="0" w:color="auto"/>
            </w:tcBorders>
            <w:vAlign w:val="bottom"/>
            <w:hideMark/>
          </w:tcPr>
          <w:p w14:paraId="76084536" w14:textId="77777777" w:rsidR="007379E9" w:rsidRPr="00D814E1" w:rsidRDefault="007379E9" w:rsidP="00D814E1">
            <w:pPr>
              <w:spacing w:after="0" w:line="240" w:lineRule="auto"/>
              <w:jc w:val="center"/>
              <w:rPr>
                <w:rFonts w:ascii="Times New Roman" w:hAnsi="Times New Roman"/>
                <w:color w:val="000000"/>
                <w:szCs w:val="26"/>
                <w:lang w:eastAsia="ru-RU"/>
              </w:rPr>
            </w:pPr>
          </w:p>
        </w:tc>
        <w:tc>
          <w:tcPr>
            <w:tcW w:w="968" w:type="dxa"/>
            <w:tcBorders>
              <w:top w:val="nil"/>
              <w:left w:val="nil"/>
              <w:bottom w:val="single" w:sz="4" w:space="0" w:color="auto"/>
              <w:right w:val="single" w:sz="4" w:space="0" w:color="auto"/>
            </w:tcBorders>
            <w:vAlign w:val="center"/>
            <w:hideMark/>
          </w:tcPr>
          <w:p w14:paraId="36541CE8" w14:textId="77777777" w:rsidR="007379E9" w:rsidRPr="00D814E1" w:rsidRDefault="007379E9" w:rsidP="00D814E1">
            <w:pPr>
              <w:spacing w:after="0" w:line="240" w:lineRule="auto"/>
              <w:jc w:val="center"/>
              <w:rPr>
                <w:rFonts w:ascii="Times New Roman" w:hAnsi="Times New Roman"/>
                <w:b/>
                <w:bCs/>
                <w:color w:val="000000"/>
                <w:szCs w:val="26"/>
                <w:lang w:eastAsia="ru-RU"/>
              </w:rPr>
            </w:pPr>
            <w:r w:rsidRPr="00D814E1">
              <w:rPr>
                <w:rFonts w:ascii="Times New Roman" w:hAnsi="Times New Roman"/>
                <w:b/>
                <w:bCs/>
                <w:color w:val="000000"/>
                <w:szCs w:val="26"/>
                <w:lang w:eastAsia="ru-RU"/>
              </w:rPr>
              <w:t>2017</w:t>
            </w:r>
          </w:p>
        </w:tc>
        <w:tc>
          <w:tcPr>
            <w:tcW w:w="1418" w:type="dxa"/>
            <w:tcBorders>
              <w:top w:val="nil"/>
              <w:left w:val="nil"/>
              <w:bottom w:val="single" w:sz="4" w:space="0" w:color="auto"/>
              <w:right w:val="single" w:sz="4" w:space="0" w:color="auto"/>
            </w:tcBorders>
            <w:vAlign w:val="center"/>
          </w:tcPr>
          <w:p w14:paraId="53E5C686" w14:textId="77777777" w:rsidR="007379E9" w:rsidRPr="00D814E1" w:rsidRDefault="007379E9" w:rsidP="00D814E1">
            <w:pPr>
              <w:spacing w:after="0" w:line="240" w:lineRule="auto"/>
              <w:jc w:val="center"/>
              <w:rPr>
                <w:rFonts w:ascii="Times New Roman" w:hAnsi="Times New Roman"/>
                <w:b/>
                <w:bCs/>
                <w:color w:val="000000"/>
                <w:szCs w:val="26"/>
                <w:lang w:eastAsia="ru-RU"/>
              </w:rPr>
            </w:pPr>
            <w:r w:rsidRPr="00D814E1">
              <w:rPr>
                <w:rFonts w:ascii="Times New Roman" w:hAnsi="Times New Roman"/>
                <w:b/>
                <w:bCs/>
                <w:color w:val="000000"/>
                <w:szCs w:val="26"/>
                <w:lang w:eastAsia="ru-RU"/>
              </w:rPr>
              <w:t>2018</w:t>
            </w:r>
          </w:p>
        </w:tc>
        <w:tc>
          <w:tcPr>
            <w:tcW w:w="1630" w:type="dxa"/>
            <w:tcBorders>
              <w:top w:val="nil"/>
              <w:left w:val="nil"/>
              <w:bottom w:val="single" w:sz="4" w:space="0" w:color="auto"/>
              <w:right w:val="single" w:sz="4" w:space="0" w:color="auto"/>
            </w:tcBorders>
            <w:noWrap/>
            <w:vAlign w:val="center"/>
          </w:tcPr>
          <w:p w14:paraId="30FDDF24" w14:textId="77777777" w:rsidR="007379E9" w:rsidRPr="00D814E1" w:rsidRDefault="007379E9" w:rsidP="00D814E1">
            <w:pPr>
              <w:spacing w:after="0" w:line="240" w:lineRule="auto"/>
              <w:jc w:val="center"/>
              <w:rPr>
                <w:rFonts w:ascii="Times New Roman" w:hAnsi="Times New Roman"/>
                <w:b/>
                <w:bCs/>
                <w:color w:val="000000"/>
                <w:szCs w:val="26"/>
                <w:lang w:eastAsia="ru-RU"/>
              </w:rPr>
            </w:pPr>
            <w:r w:rsidRPr="00D814E1">
              <w:rPr>
                <w:rFonts w:ascii="Times New Roman" w:hAnsi="Times New Roman"/>
                <w:b/>
                <w:bCs/>
                <w:color w:val="000000"/>
                <w:szCs w:val="26"/>
                <w:lang w:eastAsia="ru-RU"/>
              </w:rPr>
              <w:t>2019</w:t>
            </w:r>
          </w:p>
        </w:tc>
        <w:tc>
          <w:tcPr>
            <w:tcW w:w="1630" w:type="dxa"/>
            <w:tcBorders>
              <w:top w:val="nil"/>
              <w:left w:val="nil"/>
              <w:bottom w:val="single" w:sz="4" w:space="0" w:color="auto"/>
              <w:right w:val="single" w:sz="4" w:space="0" w:color="auto"/>
            </w:tcBorders>
            <w:noWrap/>
            <w:vAlign w:val="center"/>
          </w:tcPr>
          <w:p w14:paraId="16664777" w14:textId="77777777" w:rsidR="007379E9" w:rsidRPr="00D814E1" w:rsidRDefault="007379E9" w:rsidP="00D814E1">
            <w:pPr>
              <w:spacing w:after="0" w:line="240" w:lineRule="auto"/>
              <w:jc w:val="center"/>
              <w:rPr>
                <w:rFonts w:ascii="Times New Roman" w:hAnsi="Times New Roman"/>
                <w:b/>
                <w:bCs/>
                <w:color w:val="000000"/>
                <w:szCs w:val="26"/>
                <w:lang w:eastAsia="ru-RU"/>
              </w:rPr>
            </w:pPr>
            <w:r w:rsidRPr="00D814E1">
              <w:rPr>
                <w:rFonts w:ascii="Times New Roman" w:hAnsi="Times New Roman"/>
                <w:b/>
                <w:bCs/>
                <w:color w:val="000000"/>
                <w:szCs w:val="26"/>
                <w:lang w:eastAsia="ru-RU"/>
              </w:rPr>
              <w:t>2020</w:t>
            </w:r>
          </w:p>
        </w:tc>
        <w:tc>
          <w:tcPr>
            <w:tcW w:w="1701" w:type="dxa"/>
            <w:tcBorders>
              <w:top w:val="nil"/>
              <w:left w:val="nil"/>
              <w:bottom w:val="single" w:sz="4" w:space="0" w:color="auto"/>
              <w:right w:val="single" w:sz="4" w:space="0" w:color="auto"/>
            </w:tcBorders>
            <w:noWrap/>
            <w:vAlign w:val="center"/>
          </w:tcPr>
          <w:p w14:paraId="6CD05C78" w14:textId="77777777" w:rsidR="007379E9" w:rsidRPr="00D814E1" w:rsidRDefault="007379E9" w:rsidP="00D814E1">
            <w:pPr>
              <w:spacing w:after="0" w:line="240" w:lineRule="auto"/>
              <w:jc w:val="center"/>
              <w:rPr>
                <w:rFonts w:ascii="Times New Roman" w:hAnsi="Times New Roman"/>
                <w:b/>
                <w:bCs/>
                <w:color w:val="000000"/>
                <w:szCs w:val="26"/>
                <w:lang w:eastAsia="ru-RU"/>
              </w:rPr>
            </w:pPr>
            <w:r w:rsidRPr="00D814E1">
              <w:rPr>
                <w:rFonts w:ascii="Times New Roman" w:hAnsi="Times New Roman"/>
                <w:b/>
                <w:bCs/>
                <w:color w:val="000000"/>
                <w:szCs w:val="26"/>
                <w:lang w:eastAsia="ru-RU"/>
              </w:rPr>
              <w:t>2021</w:t>
            </w:r>
          </w:p>
        </w:tc>
      </w:tr>
      <w:tr w:rsidR="007379E9" w:rsidRPr="00D814E1" w14:paraId="5368967E" w14:textId="77777777" w:rsidTr="0041105F">
        <w:trPr>
          <w:jc w:val="center"/>
        </w:trPr>
        <w:tc>
          <w:tcPr>
            <w:tcW w:w="2571" w:type="dxa"/>
            <w:vMerge/>
            <w:tcBorders>
              <w:left w:val="single" w:sz="4" w:space="0" w:color="auto"/>
              <w:bottom w:val="single" w:sz="4" w:space="0" w:color="auto"/>
              <w:right w:val="single" w:sz="4" w:space="0" w:color="auto"/>
            </w:tcBorders>
            <w:vAlign w:val="bottom"/>
          </w:tcPr>
          <w:p w14:paraId="766C4C44" w14:textId="77777777" w:rsidR="007379E9" w:rsidRPr="00D814E1" w:rsidRDefault="007379E9" w:rsidP="00D814E1">
            <w:pPr>
              <w:spacing w:after="0" w:line="240" w:lineRule="auto"/>
              <w:jc w:val="center"/>
              <w:rPr>
                <w:rFonts w:ascii="Times New Roman" w:hAnsi="Times New Roman"/>
                <w:color w:val="000000"/>
                <w:szCs w:val="26"/>
                <w:lang w:eastAsia="ru-RU"/>
              </w:rPr>
            </w:pPr>
          </w:p>
        </w:tc>
        <w:tc>
          <w:tcPr>
            <w:tcW w:w="968" w:type="dxa"/>
            <w:tcBorders>
              <w:top w:val="nil"/>
              <w:left w:val="nil"/>
              <w:bottom w:val="single" w:sz="4" w:space="0" w:color="auto"/>
              <w:right w:val="single" w:sz="4" w:space="0" w:color="auto"/>
            </w:tcBorders>
            <w:vAlign w:val="bottom"/>
          </w:tcPr>
          <w:p w14:paraId="33B6CDBB" w14:textId="77777777" w:rsidR="007379E9" w:rsidRPr="00D814E1" w:rsidRDefault="007379E9" w:rsidP="00D814E1">
            <w:pPr>
              <w:spacing w:after="0" w:line="240" w:lineRule="auto"/>
              <w:jc w:val="center"/>
              <w:rPr>
                <w:rFonts w:ascii="Times New Roman" w:hAnsi="Times New Roman"/>
                <w:color w:val="000000"/>
                <w:szCs w:val="26"/>
                <w:lang w:eastAsia="ru-RU"/>
              </w:rPr>
            </w:pPr>
            <w:r w:rsidRPr="00D814E1">
              <w:rPr>
                <w:rFonts w:ascii="Times New Roman" w:hAnsi="Times New Roman"/>
                <w:color w:val="000000"/>
                <w:szCs w:val="26"/>
                <w:lang w:eastAsia="ru-RU"/>
              </w:rPr>
              <w:t>0,932</w:t>
            </w:r>
          </w:p>
        </w:tc>
        <w:tc>
          <w:tcPr>
            <w:tcW w:w="1418" w:type="dxa"/>
            <w:tcBorders>
              <w:top w:val="nil"/>
              <w:left w:val="nil"/>
              <w:bottom w:val="single" w:sz="4" w:space="0" w:color="auto"/>
              <w:right w:val="single" w:sz="4" w:space="0" w:color="auto"/>
            </w:tcBorders>
            <w:vAlign w:val="center"/>
          </w:tcPr>
          <w:p w14:paraId="06FF50AF" w14:textId="77777777" w:rsidR="007379E9" w:rsidRPr="00D814E1" w:rsidRDefault="007379E9" w:rsidP="00D814E1">
            <w:pPr>
              <w:spacing w:after="0" w:line="240" w:lineRule="auto"/>
              <w:jc w:val="center"/>
              <w:rPr>
                <w:rFonts w:ascii="Times New Roman" w:hAnsi="Times New Roman"/>
                <w:color w:val="000000"/>
                <w:szCs w:val="26"/>
                <w:lang w:eastAsia="ru-RU"/>
              </w:rPr>
            </w:pPr>
            <w:r w:rsidRPr="00D814E1">
              <w:rPr>
                <w:rFonts w:ascii="Times New Roman" w:hAnsi="Times New Roman"/>
                <w:color w:val="000000"/>
                <w:szCs w:val="26"/>
                <w:lang w:eastAsia="ru-RU"/>
              </w:rPr>
              <w:t>0,982</w:t>
            </w:r>
          </w:p>
        </w:tc>
        <w:tc>
          <w:tcPr>
            <w:tcW w:w="1630" w:type="dxa"/>
            <w:tcBorders>
              <w:top w:val="nil"/>
              <w:left w:val="nil"/>
              <w:bottom w:val="single" w:sz="4" w:space="0" w:color="auto"/>
              <w:right w:val="single" w:sz="4" w:space="0" w:color="auto"/>
            </w:tcBorders>
            <w:noWrap/>
            <w:vAlign w:val="center"/>
          </w:tcPr>
          <w:p w14:paraId="0BC70392" w14:textId="77777777" w:rsidR="007379E9" w:rsidRPr="00D814E1" w:rsidRDefault="007379E9" w:rsidP="00D814E1">
            <w:pPr>
              <w:spacing w:after="0" w:line="240" w:lineRule="auto"/>
              <w:jc w:val="center"/>
              <w:rPr>
                <w:rFonts w:ascii="Times New Roman" w:hAnsi="Times New Roman"/>
                <w:color w:val="000000"/>
                <w:szCs w:val="26"/>
                <w:lang w:eastAsia="ru-RU"/>
              </w:rPr>
            </w:pPr>
            <w:r w:rsidRPr="00D814E1">
              <w:rPr>
                <w:rFonts w:ascii="Times New Roman" w:hAnsi="Times New Roman"/>
                <w:color w:val="000000"/>
                <w:szCs w:val="26"/>
                <w:lang w:eastAsia="ru-RU"/>
              </w:rPr>
              <w:t>1,117</w:t>
            </w:r>
          </w:p>
        </w:tc>
        <w:tc>
          <w:tcPr>
            <w:tcW w:w="1630" w:type="dxa"/>
            <w:tcBorders>
              <w:top w:val="nil"/>
              <w:left w:val="nil"/>
              <w:bottom w:val="single" w:sz="4" w:space="0" w:color="auto"/>
              <w:right w:val="single" w:sz="4" w:space="0" w:color="auto"/>
            </w:tcBorders>
            <w:noWrap/>
            <w:vAlign w:val="center"/>
          </w:tcPr>
          <w:p w14:paraId="6CE0C224" w14:textId="77777777" w:rsidR="007379E9" w:rsidRPr="00D814E1" w:rsidRDefault="007379E9" w:rsidP="00D814E1">
            <w:pPr>
              <w:spacing w:after="0" w:line="240" w:lineRule="auto"/>
              <w:jc w:val="center"/>
              <w:rPr>
                <w:rFonts w:ascii="Times New Roman" w:hAnsi="Times New Roman"/>
                <w:color w:val="000000"/>
                <w:szCs w:val="26"/>
                <w:lang w:eastAsia="ru-RU"/>
              </w:rPr>
            </w:pPr>
            <w:r w:rsidRPr="00D814E1">
              <w:rPr>
                <w:rFonts w:ascii="Times New Roman" w:hAnsi="Times New Roman"/>
                <w:color w:val="000000"/>
                <w:szCs w:val="26"/>
                <w:lang w:eastAsia="ru-RU"/>
              </w:rPr>
              <w:t>0,972</w:t>
            </w:r>
          </w:p>
        </w:tc>
        <w:tc>
          <w:tcPr>
            <w:tcW w:w="1701" w:type="dxa"/>
            <w:tcBorders>
              <w:top w:val="nil"/>
              <w:left w:val="nil"/>
              <w:bottom w:val="single" w:sz="4" w:space="0" w:color="auto"/>
              <w:right w:val="single" w:sz="4" w:space="0" w:color="auto"/>
            </w:tcBorders>
            <w:noWrap/>
            <w:vAlign w:val="center"/>
          </w:tcPr>
          <w:p w14:paraId="0584D193" w14:textId="77777777" w:rsidR="007379E9" w:rsidRPr="00D814E1" w:rsidRDefault="007379E9" w:rsidP="00D814E1">
            <w:pPr>
              <w:spacing w:after="0" w:line="240" w:lineRule="auto"/>
              <w:jc w:val="center"/>
              <w:rPr>
                <w:rFonts w:ascii="Times New Roman" w:hAnsi="Times New Roman"/>
                <w:color w:val="000000"/>
                <w:szCs w:val="26"/>
                <w:lang w:eastAsia="ru-RU"/>
              </w:rPr>
            </w:pPr>
            <w:r w:rsidRPr="00D814E1">
              <w:rPr>
                <w:rFonts w:ascii="Times New Roman" w:hAnsi="Times New Roman"/>
                <w:color w:val="000000"/>
                <w:szCs w:val="26"/>
                <w:lang w:eastAsia="ru-RU"/>
              </w:rPr>
              <w:t>1,270</w:t>
            </w:r>
          </w:p>
        </w:tc>
      </w:tr>
      <w:tr w:rsidR="007379E9" w:rsidRPr="00D814E1" w14:paraId="77408338" w14:textId="77777777" w:rsidTr="0041105F">
        <w:trPr>
          <w:trHeight w:val="541"/>
          <w:jc w:val="center"/>
        </w:trPr>
        <w:tc>
          <w:tcPr>
            <w:tcW w:w="2571" w:type="dxa"/>
            <w:tcBorders>
              <w:top w:val="nil"/>
              <w:left w:val="single" w:sz="4" w:space="0" w:color="auto"/>
              <w:bottom w:val="single" w:sz="4" w:space="0" w:color="auto"/>
              <w:right w:val="single" w:sz="4" w:space="0" w:color="auto"/>
            </w:tcBorders>
            <w:noWrap/>
            <w:vAlign w:val="bottom"/>
            <w:hideMark/>
          </w:tcPr>
          <w:p w14:paraId="6E625269" w14:textId="77777777" w:rsidR="007379E9" w:rsidRPr="00D814E1" w:rsidRDefault="007379E9" w:rsidP="00D814E1">
            <w:pPr>
              <w:spacing w:after="0" w:line="240" w:lineRule="auto"/>
              <w:jc w:val="center"/>
              <w:rPr>
                <w:rFonts w:ascii="Times New Roman" w:hAnsi="Times New Roman"/>
                <w:color w:val="000000"/>
                <w:szCs w:val="26"/>
                <w:lang w:eastAsia="ru-RU"/>
              </w:rPr>
            </w:pPr>
            <w:r w:rsidRPr="00D814E1">
              <w:rPr>
                <w:rFonts w:ascii="Times New Roman" w:hAnsi="Times New Roman"/>
                <w:color w:val="000000"/>
                <w:szCs w:val="26"/>
                <w:lang w:eastAsia="ru-RU"/>
              </w:rPr>
              <w:t>Коэффициент для индексации</w:t>
            </w:r>
          </w:p>
        </w:tc>
        <w:tc>
          <w:tcPr>
            <w:tcW w:w="968" w:type="dxa"/>
            <w:tcBorders>
              <w:top w:val="nil"/>
              <w:left w:val="nil"/>
              <w:bottom w:val="single" w:sz="4" w:space="0" w:color="auto"/>
              <w:right w:val="single" w:sz="4" w:space="0" w:color="auto"/>
            </w:tcBorders>
            <w:noWrap/>
            <w:vAlign w:val="center"/>
          </w:tcPr>
          <w:p w14:paraId="4D0082E6" w14:textId="77777777" w:rsidR="007379E9" w:rsidRPr="00D814E1" w:rsidRDefault="007379E9" w:rsidP="00D814E1">
            <w:pPr>
              <w:spacing w:after="0" w:line="240" w:lineRule="auto"/>
              <w:jc w:val="center"/>
              <w:rPr>
                <w:rFonts w:ascii="Times New Roman" w:hAnsi="Times New Roman"/>
                <w:color w:val="000000"/>
                <w:szCs w:val="26"/>
                <w:lang w:eastAsia="ru-RU"/>
              </w:rPr>
            </w:pPr>
            <w:r w:rsidRPr="00D814E1">
              <w:rPr>
                <w:rFonts w:ascii="Times New Roman" w:hAnsi="Times New Roman"/>
                <w:color w:val="000000"/>
                <w:szCs w:val="26"/>
                <w:lang w:eastAsia="ru-RU"/>
              </w:rPr>
              <w:t>1,354</w:t>
            </w:r>
          </w:p>
        </w:tc>
        <w:tc>
          <w:tcPr>
            <w:tcW w:w="1418" w:type="dxa"/>
            <w:tcBorders>
              <w:top w:val="nil"/>
              <w:left w:val="nil"/>
              <w:bottom w:val="single" w:sz="4" w:space="0" w:color="auto"/>
              <w:right w:val="single" w:sz="4" w:space="0" w:color="auto"/>
            </w:tcBorders>
            <w:noWrap/>
            <w:vAlign w:val="center"/>
          </w:tcPr>
          <w:p w14:paraId="27AA9C08" w14:textId="77777777" w:rsidR="007379E9" w:rsidRPr="00D814E1" w:rsidRDefault="007379E9" w:rsidP="00D814E1">
            <w:pPr>
              <w:spacing w:after="0" w:line="240" w:lineRule="auto"/>
              <w:jc w:val="center"/>
              <w:rPr>
                <w:rFonts w:ascii="Times New Roman" w:hAnsi="Times New Roman"/>
                <w:color w:val="000000"/>
                <w:szCs w:val="26"/>
                <w:lang w:eastAsia="ru-RU"/>
              </w:rPr>
            </w:pPr>
            <w:r w:rsidRPr="00D814E1">
              <w:rPr>
                <w:rFonts w:ascii="Times New Roman" w:hAnsi="Times New Roman"/>
                <w:color w:val="000000"/>
                <w:szCs w:val="26"/>
                <w:lang w:eastAsia="ru-RU"/>
              </w:rPr>
              <w:t>1,379</w:t>
            </w:r>
          </w:p>
        </w:tc>
        <w:tc>
          <w:tcPr>
            <w:tcW w:w="1630" w:type="dxa"/>
            <w:tcBorders>
              <w:top w:val="nil"/>
              <w:left w:val="nil"/>
              <w:bottom w:val="single" w:sz="4" w:space="0" w:color="auto"/>
              <w:right w:val="single" w:sz="4" w:space="0" w:color="auto"/>
            </w:tcBorders>
            <w:noWrap/>
            <w:vAlign w:val="center"/>
          </w:tcPr>
          <w:p w14:paraId="573096A7" w14:textId="77777777" w:rsidR="007379E9" w:rsidRPr="00D814E1" w:rsidRDefault="007379E9" w:rsidP="00D814E1">
            <w:pPr>
              <w:spacing w:after="0" w:line="240" w:lineRule="auto"/>
              <w:jc w:val="center"/>
              <w:rPr>
                <w:rFonts w:ascii="Times New Roman" w:hAnsi="Times New Roman"/>
                <w:color w:val="000000"/>
                <w:szCs w:val="26"/>
                <w:lang w:eastAsia="ru-RU"/>
              </w:rPr>
            </w:pPr>
            <w:r w:rsidRPr="00D814E1">
              <w:rPr>
                <w:rFonts w:ascii="Times New Roman" w:hAnsi="Times New Roman"/>
                <w:color w:val="000000"/>
                <w:szCs w:val="26"/>
                <w:lang w:eastAsia="ru-RU"/>
              </w:rPr>
              <w:t>1,234</w:t>
            </w:r>
          </w:p>
        </w:tc>
        <w:tc>
          <w:tcPr>
            <w:tcW w:w="1630" w:type="dxa"/>
            <w:tcBorders>
              <w:top w:val="nil"/>
              <w:left w:val="nil"/>
              <w:bottom w:val="single" w:sz="4" w:space="0" w:color="auto"/>
              <w:right w:val="single" w:sz="4" w:space="0" w:color="auto"/>
            </w:tcBorders>
            <w:noWrap/>
            <w:vAlign w:val="center"/>
          </w:tcPr>
          <w:p w14:paraId="7E1063E6" w14:textId="77777777" w:rsidR="007379E9" w:rsidRPr="00D814E1" w:rsidRDefault="007379E9" w:rsidP="00D814E1">
            <w:pPr>
              <w:spacing w:after="0" w:line="240" w:lineRule="auto"/>
              <w:jc w:val="center"/>
              <w:rPr>
                <w:rFonts w:ascii="Times New Roman" w:hAnsi="Times New Roman"/>
                <w:color w:val="000000"/>
                <w:szCs w:val="26"/>
                <w:lang w:eastAsia="ru-RU"/>
              </w:rPr>
            </w:pPr>
            <w:r w:rsidRPr="00D814E1">
              <w:rPr>
                <w:rFonts w:ascii="Times New Roman" w:hAnsi="Times New Roman"/>
                <w:color w:val="000000"/>
                <w:szCs w:val="26"/>
                <w:lang w:eastAsia="ru-RU"/>
              </w:rPr>
              <w:t>1,270</w:t>
            </w:r>
          </w:p>
        </w:tc>
        <w:tc>
          <w:tcPr>
            <w:tcW w:w="1701" w:type="dxa"/>
            <w:tcBorders>
              <w:top w:val="nil"/>
              <w:left w:val="nil"/>
              <w:bottom w:val="single" w:sz="4" w:space="0" w:color="auto"/>
              <w:right w:val="single" w:sz="4" w:space="0" w:color="auto"/>
            </w:tcBorders>
            <w:noWrap/>
            <w:vAlign w:val="center"/>
          </w:tcPr>
          <w:p w14:paraId="55D56996" w14:textId="77777777" w:rsidR="007379E9" w:rsidRPr="00D814E1" w:rsidRDefault="007379E9" w:rsidP="00D814E1">
            <w:pPr>
              <w:spacing w:after="0" w:line="240" w:lineRule="auto"/>
              <w:jc w:val="center"/>
              <w:rPr>
                <w:rFonts w:ascii="Times New Roman" w:hAnsi="Times New Roman"/>
                <w:color w:val="000000"/>
                <w:szCs w:val="26"/>
                <w:lang w:eastAsia="ru-RU"/>
              </w:rPr>
            </w:pPr>
            <w:r w:rsidRPr="00D814E1">
              <w:rPr>
                <w:rFonts w:ascii="Times New Roman" w:hAnsi="Times New Roman"/>
                <w:color w:val="000000"/>
                <w:szCs w:val="26"/>
                <w:lang w:eastAsia="ru-RU"/>
              </w:rPr>
              <w:t>1,000</w:t>
            </w:r>
          </w:p>
        </w:tc>
      </w:tr>
    </w:tbl>
    <w:p w14:paraId="00F6F27C" w14:textId="3AAA15EA"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Среднегодовые рыночные цены реализации сельскохозяйственных культур с учетом индексирования представлены в Приложении 1\1.5\1.5.3.</w:t>
      </w:r>
    </w:p>
    <w:p w14:paraId="1CC12B55"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Расчет стоимости навоза с учетом внесения по Воронежской области приведен по данным Департамента аграрной политики Воронежской области в Приложении №1/1.2/1.2.1/Сбор информации для определения КС.</w:t>
      </w:r>
    </w:p>
    <w:p w14:paraId="39A81CC5" w14:textId="77777777" w:rsidR="007379E9" w:rsidRPr="0041105F" w:rsidRDefault="007379E9" w:rsidP="0041105F">
      <w:pPr>
        <w:spacing w:before="120" w:after="0" w:line="276" w:lineRule="auto"/>
        <w:ind w:firstLine="709"/>
        <w:jc w:val="right"/>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Таблица 3.6.1.3.2</w:t>
      </w:r>
    </w:p>
    <w:tbl>
      <w:tblPr>
        <w:tblW w:w="9776" w:type="dxa"/>
        <w:jc w:val="center"/>
        <w:tblLook w:val="0000" w:firstRow="0" w:lastRow="0" w:firstColumn="0" w:lastColumn="0" w:noHBand="0" w:noVBand="0"/>
      </w:tblPr>
      <w:tblGrid>
        <w:gridCol w:w="4242"/>
        <w:gridCol w:w="5534"/>
      </w:tblGrid>
      <w:tr w:rsidR="007379E9" w:rsidRPr="00D814E1" w14:paraId="06F910F1" w14:textId="77777777" w:rsidTr="00D814E1">
        <w:trPr>
          <w:trHeight w:val="374"/>
          <w:jc w:val="center"/>
        </w:trPr>
        <w:tc>
          <w:tcPr>
            <w:tcW w:w="9776" w:type="dxa"/>
            <w:gridSpan w:val="2"/>
            <w:tcBorders>
              <w:top w:val="single" w:sz="4" w:space="0" w:color="auto"/>
              <w:left w:val="single" w:sz="4" w:space="0" w:color="auto"/>
              <w:bottom w:val="single" w:sz="4" w:space="0" w:color="auto"/>
              <w:right w:val="single" w:sz="4" w:space="0" w:color="auto"/>
            </w:tcBorders>
            <w:noWrap/>
            <w:vAlign w:val="center"/>
          </w:tcPr>
          <w:p w14:paraId="01647C16" w14:textId="77777777" w:rsidR="007379E9" w:rsidRPr="00D814E1" w:rsidRDefault="007379E9" w:rsidP="00D814E1">
            <w:pPr>
              <w:spacing w:after="0"/>
              <w:jc w:val="center"/>
              <w:rPr>
                <w:rFonts w:ascii="Times New Roman" w:hAnsi="Times New Roman"/>
                <w:b/>
                <w:bCs/>
                <w:color w:val="000000"/>
                <w:szCs w:val="26"/>
                <w:lang w:eastAsia="ru-RU"/>
              </w:rPr>
            </w:pPr>
            <w:r w:rsidRPr="00D814E1">
              <w:rPr>
                <w:rFonts w:ascii="Times New Roman" w:hAnsi="Times New Roman"/>
                <w:b/>
                <w:bCs/>
                <w:color w:val="000000"/>
                <w:szCs w:val="26"/>
                <w:lang w:eastAsia="ru-RU"/>
              </w:rPr>
              <w:t>Стоимость органического удобрения (навоза) с учетом его внесения</w:t>
            </w:r>
          </w:p>
        </w:tc>
      </w:tr>
      <w:tr w:rsidR="007379E9" w:rsidRPr="00D814E1" w14:paraId="10644FE6" w14:textId="77777777" w:rsidTr="00D814E1">
        <w:trPr>
          <w:trHeight w:val="407"/>
          <w:jc w:val="center"/>
        </w:trPr>
        <w:tc>
          <w:tcPr>
            <w:tcW w:w="4242" w:type="dxa"/>
            <w:tcBorders>
              <w:top w:val="single" w:sz="4" w:space="0" w:color="auto"/>
              <w:left w:val="single" w:sz="4" w:space="0" w:color="auto"/>
              <w:bottom w:val="single" w:sz="4" w:space="0" w:color="auto"/>
              <w:right w:val="single" w:sz="4" w:space="0" w:color="auto"/>
            </w:tcBorders>
            <w:noWrap/>
            <w:vAlign w:val="center"/>
          </w:tcPr>
          <w:p w14:paraId="1C0BA2D4" w14:textId="77777777" w:rsidR="007379E9" w:rsidRPr="00D814E1" w:rsidRDefault="007379E9" w:rsidP="00D814E1">
            <w:pPr>
              <w:spacing w:after="0"/>
              <w:jc w:val="center"/>
              <w:rPr>
                <w:rFonts w:ascii="Times New Roman" w:hAnsi="Times New Roman"/>
                <w:szCs w:val="26"/>
                <w:lang w:eastAsia="ru-RU"/>
              </w:rPr>
            </w:pPr>
            <w:r w:rsidRPr="00D814E1">
              <w:rPr>
                <w:rFonts w:ascii="Times New Roman" w:hAnsi="Times New Roman"/>
                <w:szCs w:val="26"/>
                <w:lang w:eastAsia="ru-RU"/>
              </w:rPr>
              <w:t>Наименование показателя</w:t>
            </w:r>
          </w:p>
        </w:tc>
        <w:tc>
          <w:tcPr>
            <w:tcW w:w="5534" w:type="dxa"/>
            <w:tcBorders>
              <w:top w:val="single" w:sz="4" w:space="0" w:color="auto"/>
              <w:left w:val="nil"/>
              <w:bottom w:val="single" w:sz="4" w:space="0" w:color="auto"/>
              <w:right w:val="single" w:sz="4" w:space="0" w:color="auto"/>
            </w:tcBorders>
            <w:noWrap/>
            <w:vAlign w:val="center"/>
          </w:tcPr>
          <w:p w14:paraId="0572639E" w14:textId="77777777" w:rsidR="007379E9" w:rsidRPr="00D814E1" w:rsidRDefault="007379E9" w:rsidP="00D814E1">
            <w:pPr>
              <w:spacing w:after="0"/>
              <w:jc w:val="center"/>
              <w:rPr>
                <w:rFonts w:ascii="Times New Roman" w:hAnsi="Times New Roman"/>
                <w:szCs w:val="26"/>
                <w:lang w:eastAsia="ru-RU"/>
              </w:rPr>
            </w:pPr>
            <w:r w:rsidRPr="00D814E1">
              <w:rPr>
                <w:rFonts w:ascii="Times New Roman" w:hAnsi="Times New Roman"/>
                <w:szCs w:val="26"/>
                <w:lang w:eastAsia="ru-RU"/>
              </w:rPr>
              <w:t>Стоимость</w:t>
            </w:r>
          </w:p>
        </w:tc>
      </w:tr>
      <w:tr w:rsidR="007379E9" w:rsidRPr="00D814E1" w14:paraId="5B2A957E" w14:textId="77777777" w:rsidTr="00D814E1">
        <w:trPr>
          <w:trHeight w:val="300"/>
          <w:jc w:val="center"/>
        </w:trPr>
        <w:tc>
          <w:tcPr>
            <w:tcW w:w="4242" w:type="dxa"/>
            <w:tcBorders>
              <w:top w:val="single" w:sz="4" w:space="0" w:color="auto"/>
              <w:left w:val="single" w:sz="4" w:space="0" w:color="auto"/>
              <w:bottom w:val="single" w:sz="4" w:space="0" w:color="auto"/>
              <w:right w:val="single" w:sz="4" w:space="0" w:color="auto"/>
            </w:tcBorders>
            <w:noWrap/>
            <w:vAlign w:val="center"/>
          </w:tcPr>
          <w:p w14:paraId="7359DBD1" w14:textId="77777777" w:rsidR="007379E9" w:rsidRPr="00D814E1" w:rsidRDefault="007379E9" w:rsidP="00D814E1">
            <w:pPr>
              <w:spacing w:after="0"/>
              <w:rPr>
                <w:rFonts w:ascii="Times New Roman" w:hAnsi="Times New Roman"/>
                <w:szCs w:val="26"/>
                <w:lang w:eastAsia="ru-RU"/>
              </w:rPr>
            </w:pPr>
            <w:r w:rsidRPr="00D814E1">
              <w:rPr>
                <w:rFonts w:ascii="Times New Roman" w:hAnsi="Times New Roman"/>
                <w:szCs w:val="26"/>
                <w:lang w:eastAsia="ru-RU"/>
              </w:rPr>
              <w:t>Стоимость навоза</w:t>
            </w:r>
          </w:p>
        </w:tc>
        <w:tc>
          <w:tcPr>
            <w:tcW w:w="5534" w:type="dxa"/>
            <w:tcBorders>
              <w:top w:val="single" w:sz="4" w:space="0" w:color="auto"/>
              <w:left w:val="nil"/>
              <w:bottom w:val="single" w:sz="4" w:space="0" w:color="auto"/>
              <w:right w:val="single" w:sz="4" w:space="0" w:color="auto"/>
            </w:tcBorders>
            <w:noWrap/>
            <w:vAlign w:val="center"/>
          </w:tcPr>
          <w:p w14:paraId="5952DE64" w14:textId="77777777" w:rsidR="007379E9" w:rsidRPr="00D814E1" w:rsidRDefault="007379E9" w:rsidP="00D814E1">
            <w:pPr>
              <w:spacing w:after="0"/>
              <w:jc w:val="center"/>
              <w:rPr>
                <w:rFonts w:ascii="Times New Roman" w:hAnsi="Times New Roman"/>
                <w:szCs w:val="26"/>
                <w:lang w:eastAsia="ru-RU"/>
              </w:rPr>
            </w:pPr>
            <w:r w:rsidRPr="00D814E1">
              <w:rPr>
                <w:rFonts w:ascii="Times New Roman" w:hAnsi="Times New Roman"/>
                <w:szCs w:val="26"/>
                <w:lang w:eastAsia="ru-RU"/>
              </w:rPr>
              <w:t>1258,64 рублей/тонна</w:t>
            </w:r>
          </w:p>
        </w:tc>
      </w:tr>
    </w:tbl>
    <w:p w14:paraId="4C4879CA" w14:textId="1F03924A" w:rsidR="009235F7" w:rsidRDefault="009235F7" w:rsidP="0041105F">
      <w:pPr>
        <w:spacing w:before="120" w:after="0" w:line="276" w:lineRule="auto"/>
        <w:ind w:firstLine="709"/>
        <w:jc w:val="center"/>
        <w:rPr>
          <w:rFonts w:ascii="Times New Roman" w:hAnsi="Times New Roman" w:cs="Times New Roman"/>
          <w:bCs/>
          <w:i/>
          <w:color w:val="000000" w:themeColor="text1"/>
          <w:sz w:val="26"/>
          <w:szCs w:val="26"/>
        </w:rPr>
      </w:pPr>
      <w:bookmarkStart w:id="170" w:name="_Toc23345502"/>
      <w:bookmarkStart w:id="171" w:name="_Toc45821706"/>
      <w:bookmarkStart w:id="172" w:name="_Toc77675882"/>
      <w:bookmarkStart w:id="173" w:name="_Toc78451832"/>
    </w:p>
    <w:p w14:paraId="5BE898AE" w14:textId="7E4C32DE" w:rsidR="007379E9" w:rsidRPr="0041105F" w:rsidRDefault="007379E9" w:rsidP="0041105F">
      <w:pPr>
        <w:spacing w:before="120" w:after="0" w:line="276" w:lineRule="auto"/>
        <w:ind w:firstLine="709"/>
        <w:jc w:val="center"/>
        <w:rPr>
          <w:rFonts w:ascii="Times New Roman" w:hAnsi="Times New Roman" w:cs="Times New Roman"/>
          <w:bCs/>
          <w:i/>
          <w:color w:val="000000" w:themeColor="text1"/>
          <w:sz w:val="26"/>
          <w:szCs w:val="26"/>
        </w:rPr>
      </w:pPr>
      <w:r w:rsidRPr="0041105F">
        <w:rPr>
          <w:rFonts w:ascii="Times New Roman" w:hAnsi="Times New Roman" w:cs="Times New Roman"/>
          <w:bCs/>
          <w:i/>
          <w:color w:val="000000" w:themeColor="text1"/>
          <w:sz w:val="26"/>
          <w:szCs w:val="26"/>
        </w:rPr>
        <w:t>Определение затрат на единицу площади на возделывание и уборку каждой сельскохозяйственной культуры из состава перечня культур</w:t>
      </w:r>
      <w:bookmarkEnd w:id="170"/>
      <w:bookmarkEnd w:id="171"/>
      <w:bookmarkEnd w:id="172"/>
      <w:bookmarkEnd w:id="173"/>
    </w:p>
    <w:p w14:paraId="053624FB"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Затраты на возделывание и уборку культур определялись по типовым зональным технологическим картам в разрезе оценочных с/х культур.</w:t>
      </w:r>
    </w:p>
    <w:p w14:paraId="09355587" w14:textId="38007340"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Конкретные затраты на возделывание и уборку сельскохозяйственных культур используемые в расчетах определялись на основании технологических карт. Технологические карты, использованные в расчетах приведены в Приложении 1\1.5\1.5.3.</w:t>
      </w:r>
    </w:p>
    <w:p w14:paraId="5E1ED330" w14:textId="7B6DA283"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Расчет затрат на единицу площади для каждого севооборота производился в СПО путем суммирования произведений удельных затрат на возделывание сельскохозяйственных культур севооборота и количества полей, занимаемых сельскохозяйственными культурами и деления результата на общее число полей севооборота. Затраты по культурам для каждой агроподзоны приведены в Приложении </w:t>
      </w:r>
      <w:r w:rsidR="009235F7" w:rsidRPr="0041105F">
        <w:rPr>
          <w:rFonts w:ascii="Times New Roman" w:hAnsi="Times New Roman" w:cs="Times New Roman"/>
          <w:bCs/>
          <w:color w:val="000000" w:themeColor="text1"/>
          <w:sz w:val="26"/>
          <w:szCs w:val="26"/>
        </w:rPr>
        <w:t>2\2.4\2.4.1</w:t>
      </w:r>
      <w:r w:rsidRPr="0041105F">
        <w:rPr>
          <w:rFonts w:ascii="Times New Roman" w:hAnsi="Times New Roman" w:cs="Times New Roman"/>
          <w:bCs/>
          <w:color w:val="000000" w:themeColor="text1"/>
          <w:sz w:val="26"/>
          <w:szCs w:val="26"/>
        </w:rPr>
        <w:t>.</w:t>
      </w:r>
    </w:p>
    <w:p w14:paraId="5F98CCA6"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Расчет в разрезе почвенных разновидностей удельных затрат для каждой оценочной структуры производится путем суммирования удельных затрат на возделывание сельскохозяйственных культур, взвешенных с учетом их доли в структуре оценочных культур. </w:t>
      </w:r>
    </w:p>
    <w:p w14:paraId="27218B23" w14:textId="77777777" w:rsidR="007379E9" w:rsidRPr="0041105F" w:rsidRDefault="007379E9" w:rsidP="0041105F">
      <w:pPr>
        <w:spacing w:before="120" w:after="0" w:line="276" w:lineRule="auto"/>
        <w:ind w:firstLine="709"/>
        <w:jc w:val="center"/>
        <w:rPr>
          <w:rFonts w:ascii="Times New Roman" w:hAnsi="Times New Roman" w:cs="Times New Roman"/>
          <w:bCs/>
          <w:i/>
          <w:color w:val="000000" w:themeColor="text1"/>
          <w:sz w:val="26"/>
          <w:szCs w:val="26"/>
        </w:rPr>
      </w:pPr>
      <w:r w:rsidRPr="0041105F">
        <w:rPr>
          <w:rFonts w:ascii="Times New Roman" w:hAnsi="Times New Roman" w:cs="Times New Roman"/>
          <w:bCs/>
          <w:i/>
          <w:color w:val="000000" w:themeColor="text1"/>
          <w:sz w:val="26"/>
          <w:szCs w:val="26"/>
        </w:rPr>
        <w:t>Расчет в разрезе почвенных разновидностей удельного показателя земельной ренты</w:t>
      </w:r>
    </w:p>
    <w:p w14:paraId="4CE3765C"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Расчет в разрезе почвенных разновидностей в составе земельного участка удельного показателя земельной ренты для каждого севооборота производился в СПО по формуле: </w:t>
      </w:r>
    </w:p>
    <w:p w14:paraId="4D408D8C" w14:textId="77777777" w:rsidR="007379E9" w:rsidRPr="000256EC" w:rsidRDefault="007379E9" w:rsidP="007379E9">
      <w:pPr>
        <w:spacing w:after="0" w:line="360" w:lineRule="auto"/>
        <w:ind w:firstLine="709"/>
        <w:jc w:val="center"/>
        <w:rPr>
          <w:rFonts w:ascii="Times New Roman" w:hAnsi="Times New Roman"/>
          <w:i/>
          <w:sz w:val="26"/>
          <w:szCs w:val="26"/>
          <w:lang w:eastAsia="ru-RU"/>
        </w:rPr>
      </w:pPr>
      <w:r w:rsidRPr="000256EC">
        <w:rPr>
          <w:rFonts w:ascii="Times New Roman" w:hAnsi="Times New Roman"/>
          <w:i/>
          <w:sz w:val="26"/>
          <w:szCs w:val="26"/>
          <w:lang w:eastAsia="ru-RU"/>
        </w:rPr>
        <w:t>УПЗР = ВД –Звозд –Зплод</w:t>
      </w:r>
    </w:p>
    <w:p w14:paraId="408323CD" w14:textId="77777777" w:rsidR="007379E9" w:rsidRPr="000256EC" w:rsidRDefault="007379E9" w:rsidP="007379E9">
      <w:pPr>
        <w:spacing w:after="0" w:line="360" w:lineRule="auto"/>
        <w:ind w:firstLine="709"/>
        <w:jc w:val="both"/>
        <w:rPr>
          <w:rFonts w:ascii="Times New Roman" w:hAnsi="Times New Roman"/>
          <w:sz w:val="26"/>
          <w:szCs w:val="26"/>
          <w:lang w:eastAsia="ru-RU"/>
        </w:rPr>
      </w:pPr>
      <w:r w:rsidRPr="000256EC">
        <w:rPr>
          <w:rFonts w:ascii="Times New Roman" w:hAnsi="Times New Roman"/>
          <w:sz w:val="26"/>
          <w:szCs w:val="26"/>
          <w:lang w:eastAsia="ru-RU"/>
        </w:rPr>
        <w:t>где:</w:t>
      </w:r>
    </w:p>
    <w:p w14:paraId="0201578D"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УПЗР – удельный показатель земельной ренты, руб/га;</w:t>
      </w:r>
    </w:p>
    <w:p w14:paraId="08887B2B"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ВД – удельный валовый доход, руб/га;</w:t>
      </w:r>
    </w:p>
    <w:p w14:paraId="76E9C3E9"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Звозд – удельные затраты на возделывание и уборку сельскохозяйственных культур;</w:t>
      </w:r>
    </w:p>
    <w:p w14:paraId="010DC7B0"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Зплод – удельные затраты на поддержание плодородия почв, руб/га;</w:t>
      </w:r>
    </w:p>
    <w:p w14:paraId="08B24D7C"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Определение в разрезе почвенных разновидностей в составе земельного участка максимального значения удельного показателя земельной ренты из удельных показателей земельной ренты севооборотов выполнялось при помощи СПО. </w:t>
      </w:r>
    </w:p>
    <w:p w14:paraId="3B533769"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Удельный показатель кадастровой стоимости по почвенным разновидностям определялся путем деления максимального удельного показателя земельной ренты по почвенной разновидности на коэффициент капитализации. </w:t>
      </w:r>
    </w:p>
    <w:p w14:paraId="02818051" w14:textId="77777777" w:rsidR="007379E9" w:rsidRPr="0041105F" w:rsidRDefault="007379E9" w:rsidP="0041105F">
      <w:pPr>
        <w:spacing w:before="120" w:after="0" w:line="276" w:lineRule="auto"/>
        <w:ind w:firstLine="709"/>
        <w:jc w:val="both"/>
        <w:rPr>
          <w:rFonts w:ascii="Times New Roman" w:hAnsi="Times New Roman" w:cs="Times New Roman"/>
          <w:bCs/>
          <w:i/>
          <w:color w:val="000000" w:themeColor="text1"/>
          <w:sz w:val="26"/>
          <w:szCs w:val="26"/>
        </w:rPr>
      </w:pPr>
      <w:r w:rsidRPr="0041105F">
        <w:rPr>
          <w:rFonts w:ascii="Times New Roman" w:hAnsi="Times New Roman" w:cs="Times New Roman"/>
          <w:bCs/>
          <w:i/>
          <w:color w:val="000000" w:themeColor="text1"/>
          <w:sz w:val="26"/>
          <w:szCs w:val="26"/>
        </w:rPr>
        <w:t>Определение значения коэффициента капитализации земельной ренты.</w:t>
      </w:r>
    </w:p>
    <w:p w14:paraId="3D245208"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Доходный подход к оценке земельных участков включает методы, позволяющие получить оценку стоимости земли, исходя из ожидаемых потенциальным покупателем. Метод прямой капитализации земельного дохода основан на определении годового дохода от владения земельным участком и деления его на коэффициент капитализации. Капитализация – это пересчет потока будущих доходов в сумму текущей стоимости земли. А коэффициент капитализации – это ставка, с помощью которой осуществляется переход от величины текущего дохода от земельного участка к его стоимости. По величине он выбирается таким, чтобы обеспечить инвестору приемлемый уровень дохода (отдачи) на ту часть вложенного капитала, которая может быть отнесена к земельному участку, и его возмещение.</w:t>
      </w:r>
    </w:p>
    <w:p w14:paraId="356BD600"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В рамках настоящего расчета ставка капитализации определена методом суммирования (кумулятивного построения) по формуле:</w:t>
      </w:r>
    </w:p>
    <w:p w14:paraId="04FD875C" w14:textId="77777777" w:rsidR="007379E9" w:rsidRPr="000256EC" w:rsidRDefault="007379E9" w:rsidP="007379E9">
      <w:pPr>
        <w:pStyle w:val="161"/>
        <w:shd w:val="clear" w:color="auto" w:fill="FFFFFF"/>
        <w:spacing w:line="360" w:lineRule="auto"/>
        <w:ind w:hanging="67"/>
        <w:contextualSpacing/>
        <w:jc w:val="center"/>
        <w:rPr>
          <w:bCs/>
          <w:i/>
          <w:iCs/>
          <w:szCs w:val="26"/>
        </w:rPr>
      </w:pPr>
      <w:r w:rsidRPr="000256EC">
        <w:rPr>
          <w:bCs/>
          <w:i/>
          <w:iCs/>
          <w:szCs w:val="26"/>
          <w:lang w:val="en-US"/>
        </w:rPr>
        <w:t>R</w:t>
      </w:r>
      <w:r w:rsidRPr="000256EC">
        <w:rPr>
          <w:bCs/>
          <w:i/>
          <w:iCs/>
          <w:szCs w:val="26"/>
        </w:rPr>
        <w:t>=</w:t>
      </w:r>
      <w:r w:rsidRPr="000256EC">
        <w:rPr>
          <w:bCs/>
          <w:i/>
          <w:iCs/>
          <w:szCs w:val="26"/>
          <w:lang w:val="en-US"/>
        </w:rPr>
        <w:t>R</w:t>
      </w:r>
      <w:r w:rsidRPr="000256EC">
        <w:rPr>
          <w:bCs/>
          <w:i/>
          <w:iCs/>
          <w:szCs w:val="26"/>
          <w:vertAlign w:val="subscript"/>
          <w:lang w:val="en-US"/>
        </w:rPr>
        <w:t>f</w:t>
      </w:r>
      <w:r w:rsidRPr="000256EC">
        <w:rPr>
          <w:bCs/>
          <w:i/>
          <w:iCs/>
          <w:szCs w:val="26"/>
          <w:vertAlign w:val="subscript"/>
        </w:rPr>
        <w:t xml:space="preserve"> </w:t>
      </w:r>
      <w:r w:rsidRPr="000256EC">
        <w:rPr>
          <w:bCs/>
          <w:i/>
          <w:iCs/>
          <w:szCs w:val="26"/>
        </w:rPr>
        <w:t>+</w:t>
      </w:r>
      <w:r w:rsidRPr="000256EC">
        <w:rPr>
          <w:bCs/>
          <w:i/>
          <w:iCs/>
          <w:szCs w:val="26"/>
          <w:lang w:val="en-US"/>
        </w:rPr>
        <w:t>r</w:t>
      </w:r>
      <w:r w:rsidRPr="000256EC">
        <w:rPr>
          <w:bCs/>
          <w:i/>
          <w:iCs/>
          <w:szCs w:val="26"/>
          <w:vertAlign w:val="subscript"/>
          <w:lang w:val="en-US"/>
        </w:rPr>
        <w:t>a</w:t>
      </w:r>
      <w:r w:rsidRPr="000256EC">
        <w:rPr>
          <w:bCs/>
          <w:i/>
          <w:iCs/>
          <w:szCs w:val="26"/>
        </w:rPr>
        <w:t>+</w:t>
      </w:r>
      <w:r w:rsidRPr="000256EC">
        <w:rPr>
          <w:bCs/>
          <w:i/>
          <w:iCs/>
          <w:szCs w:val="26"/>
          <w:lang w:val="en-US"/>
        </w:rPr>
        <w:t>r</w:t>
      </w:r>
      <w:r w:rsidRPr="000256EC">
        <w:rPr>
          <w:bCs/>
          <w:i/>
          <w:iCs/>
          <w:szCs w:val="26"/>
          <w:vertAlign w:val="subscript"/>
          <w:lang w:val="en-US"/>
        </w:rPr>
        <w:t>l</w:t>
      </w:r>
    </w:p>
    <w:p w14:paraId="0D3E813C" w14:textId="77777777" w:rsidR="007379E9" w:rsidRPr="000256EC" w:rsidRDefault="007379E9" w:rsidP="007379E9">
      <w:pPr>
        <w:pStyle w:val="161"/>
        <w:shd w:val="clear" w:color="auto" w:fill="FFFFFF"/>
        <w:spacing w:line="360" w:lineRule="auto"/>
        <w:ind w:hanging="493"/>
        <w:contextualSpacing/>
        <w:rPr>
          <w:bCs/>
          <w:szCs w:val="26"/>
          <w:vertAlign w:val="subscript"/>
        </w:rPr>
      </w:pPr>
      <w:r w:rsidRPr="000256EC">
        <w:rPr>
          <w:bCs/>
          <w:szCs w:val="26"/>
        </w:rPr>
        <w:t>где</w:t>
      </w:r>
    </w:p>
    <w:p w14:paraId="31F07FBD" w14:textId="77777777" w:rsidR="007379E9" w:rsidRPr="000256EC" w:rsidRDefault="007379E9" w:rsidP="007379E9">
      <w:pPr>
        <w:pStyle w:val="161"/>
        <w:shd w:val="clear" w:color="auto" w:fill="FFFFFF"/>
        <w:spacing w:before="0" w:line="360" w:lineRule="auto"/>
        <w:ind w:left="0" w:firstLine="709"/>
        <w:contextualSpacing/>
        <w:rPr>
          <w:szCs w:val="26"/>
        </w:rPr>
      </w:pPr>
      <w:r w:rsidRPr="000256EC">
        <w:rPr>
          <w:i/>
          <w:iCs/>
          <w:szCs w:val="26"/>
          <w:lang w:val="en-US"/>
        </w:rPr>
        <w:t>R</w:t>
      </w:r>
      <w:r w:rsidRPr="000256EC">
        <w:rPr>
          <w:i/>
          <w:iCs/>
          <w:szCs w:val="26"/>
          <w:vertAlign w:val="subscript"/>
          <w:lang w:val="en-US"/>
        </w:rPr>
        <w:t>f</w:t>
      </w:r>
      <w:r w:rsidRPr="000256EC">
        <w:rPr>
          <w:i/>
          <w:iCs/>
          <w:szCs w:val="26"/>
        </w:rPr>
        <w:t xml:space="preserve"> - </w:t>
      </w:r>
      <w:r w:rsidRPr="000256EC">
        <w:rPr>
          <w:szCs w:val="26"/>
        </w:rPr>
        <w:t>безрисковая ставка;</w:t>
      </w:r>
    </w:p>
    <w:p w14:paraId="72613E30" w14:textId="77777777" w:rsidR="007379E9" w:rsidRPr="000256EC" w:rsidRDefault="007379E9" w:rsidP="007379E9">
      <w:pPr>
        <w:pStyle w:val="161"/>
        <w:shd w:val="clear" w:color="auto" w:fill="FFFFFF"/>
        <w:spacing w:before="0" w:line="360" w:lineRule="auto"/>
        <w:ind w:left="0" w:firstLine="709"/>
        <w:contextualSpacing/>
        <w:rPr>
          <w:szCs w:val="26"/>
        </w:rPr>
      </w:pPr>
      <w:r w:rsidRPr="000256EC">
        <w:rPr>
          <w:i/>
          <w:iCs/>
          <w:szCs w:val="26"/>
          <w:lang w:val="en-US"/>
        </w:rPr>
        <w:t>r</w:t>
      </w:r>
      <w:r w:rsidRPr="000256EC">
        <w:rPr>
          <w:i/>
          <w:iCs/>
          <w:szCs w:val="26"/>
          <w:vertAlign w:val="subscript"/>
          <w:lang w:val="en-US"/>
        </w:rPr>
        <w:t>a</w:t>
      </w:r>
      <w:r w:rsidRPr="000256EC">
        <w:rPr>
          <w:i/>
          <w:iCs/>
          <w:szCs w:val="26"/>
        </w:rPr>
        <w:t xml:space="preserve"> - </w:t>
      </w:r>
      <w:r w:rsidRPr="000256EC">
        <w:rPr>
          <w:szCs w:val="26"/>
        </w:rPr>
        <w:t>риск вложений в объект;</w:t>
      </w:r>
    </w:p>
    <w:p w14:paraId="179BB10D" w14:textId="77777777" w:rsidR="007379E9" w:rsidRPr="000256EC" w:rsidRDefault="007379E9" w:rsidP="007379E9">
      <w:pPr>
        <w:pStyle w:val="161"/>
        <w:shd w:val="clear" w:color="auto" w:fill="FFFFFF"/>
        <w:spacing w:before="0" w:line="360" w:lineRule="auto"/>
        <w:ind w:left="0" w:firstLine="709"/>
        <w:contextualSpacing/>
        <w:rPr>
          <w:szCs w:val="26"/>
        </w:rPr>
      </w:pPr>
      <w:r w:rsidRPr="000256EC">
        <w:rPr>
          <w:i/>
          <w:iCs/>
          <w:szCs w:val="26"/>
          <w:lang w:val="en-US"/>
        </w:rPr>
        <w:t>r</w:t>
      </w:r>
      <w:r w:rsidRPr="000256EC">
        <w:rPr>
          <w:i/>
          <w:iCs/>
          <w:szCs w:val="26"/>
          <w:vertAlign w:val="subscript"/>
          <w:lang w:val="en-US"/>
        </w:rPr>
        <w:t>l</w:t>
      </w:r>
      <w:r w:rsidRPr="000256EC">
        <w:rPr>
          <w:i/>
          <w:iCs/>
          <w:szCs w:val="26"/>
        </w:rPr>
        <w:t xml:space="preserve"> - </w:t>
      </w:r>
      <w:r w:rsidRPr="000256EC">
        <w:rPr>
          <w:szCs w:val="26"/>
        </w:rPr>
        <w:t>риск за низкую ликвидность объекта.</w:t>
      </w:r>
    </w:p>
    <w:p w14:paraId="4AE3EBB5" w14:textId="04523B3D"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0256EC">
        <w:rPr>
          <w:rFonts w:ascii="Times New Roman" w:hAnsi="Times New Roman"/>
          <w:sz w:val="26"/>
          <w:szCs w:val="26"/>
        </w:rPr>
        <w:t>Подробный расчет коэффициента капитализации приведен в Приложении 1\1.5\1.5.3</w:t>
      </w:r>
      <w:r w:rsidRPr="0041105F">
        <w:rPr>
          <w:rFonts w:ascii="Times New Roman" w:hAnsi="Times New Roman" w:cs="Times New Roman"/>
          <w:bCs/>
          <w:color w:val="000000" w:themeColor="text1"/>
          <w:sz w:val="26"/>
          <w:szCs w:val="26"/>
        </w:rPr>
        <w:t>.</w:t>
      </w:r>
    </w:p>
    <w:p w14:paraId="4BE6C9DA" w14:textId="1C28AF36" w:rsidR="007379E9" w:rsidRPr="0041105F" w:rsidRDefault="007379E9" w:rsidP="0041105F">
      <w:pPr>
        <w:spacing w:before="120" w:after="0" w:line="276" w:lineRule="auto"/>
        <w:ind w:firstLine="709"/>
        <w:jc w:val="right"/>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Таблица 3.6.1.3.3</w:t>
      </w:r>
    </w:p>
    <w:p w14:paraId="41FAE151" w14:textId="77777777" w:rsidR="0041105F" w:rsidRPr="0041105F" w:rsidRDefault="0041105F" w:rsidP="0041105F">
      <w:pPr>
        <w:spacing w:before="120" w:after="0" w:line="276" w:lineRule="auto"/>
        <w:ind w:firstLine="709"/>
        <w:jc w:val="center"/>
        <w:rPr>
          <w:rFonts w:ascii="Times New Roman" w:hAnsi="Times New Roman"/>
          <w:sz w:val="26"/>
          <w:szCs w:val="26"/>
        </w:rPr>
      </w:pPr>
      <w:r w:rsidRPr="0041105F">
        <w:rPr>
          <w:rFonts w:ascii="Times New Roman" w:hAnsi="Times New Roman" w:cs="Times New Roman"/>
          <w:bCs/>
          <w:color w:val="000000" w:themeColor="text1"/>
          <w:sz w:val="26"/>
          <w:szCs w:val="26"/>
        </w:rPr>
        <w:t>Расчет ставки капитализации для земельных участков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3"/>
        <w:gridCol w:w="5599"/>
        <w:gridCol w:w="2922"/>
      </w:tblGrid>
      <w:tr w:rsidR="007379E9" w:rsidRPr="00D814E1" w14:paraId="15574BEC" w14:textId="77777777" w:rsidTr="0041105F">
        <w:trPr>
          <w:jc w:val="center"/>
        </w:trPr>
        <w:tc>
          <w:tcPr>
            <w:tcW w:w="823" w:type="dxa"/>
            <w:vAlign w:val="center"/>
          </w:tcPr>
          <w:p w14:paraId="6FDA7F51" w14:textId="77777777" w:rsidR="007379E9" w:rsidRPr="00D814E1" w:rsidRDefault="007379E9" w:rsidP="00D814E1">
            <w:pPr>
              <w:contextualSpacing/>
              <w:jc w:val="center"/>
              <w:rPr>
                <w:rFonts w:ascii="Times New Roman" w:hAnsi="Times New Roman"/>
                <w:b/>
                <w:bCs/>
                <w:szCs w:val="26"/>
              </w:rPr>
            </w:pPr>
            <w:r w:rsidRPr="00D814E1">
              <w:rPr>
                <w:rFonts w:ascii="Times New Roman" w:hAnsi="Times New Roman"/>
                <w:b/>
                <w:bCs/>
                <w:szCs w:val="26"/>
              </w:rPr>
              <w:t>№</w:t>
            </w:r>
          </w:p>
          <w:p w14:paraId="2C533F70" w14:textId="77777777" w:rsidR="007379E9" w:rsidRPr="00D814E1" w:rsidRDefault="007379E9" w:rsidP="00D814E1">
            <w:pPr>
              <w:contextualSpacing/>
              <w:jc w:val="center"/>
              <w:rPr>
                <w:rFonts w:ascii="Times New Roman" w:hAnsi="Times New Roman"/>
                <w:b/>
                <w:bCs/>
                <w:szCs w:val="26"/>
              </w:rPr>
            </w:pPr>
            <w:r w:rsidRPr="00D814E1">
              <w:rPr>
                <w:rFonts w:ascii="Times New Roman" w:hAnsi="Times New Roman"/>
                <w:b/>
                <w:bCs/>
                <w:szCs w:val="26"/>
              </w:rPr>
              <w:t>п/п</w:t>
            </w:r>
          </w:p>
        </w:tc>
        <w:tc>
          <w:tcPr>
            <w:tcW w:w="5599" w:type="dxa"/>
            <w:vAlign w:val="center"/>
          </w:tcPr>
          <w:p w14:paraId="10B56CA7" w14:textId="77777777" w:rsidR="007379E9" w:rsidRPr="00D814E1" w:rsidRDefault="007379E9" w:rsidP="00D814E1">
            <w:pPr>
              <w:contextualSpacing/>
              <w:jc w:val="center"/>
              <w:rPr>
                <w:rFonts w:ascii="Times New Roman" w:hAnsi="Times New Roman"/>
                <w:b/>
                <w:bCs/>
                <w:szCs w:val="26"/>
              </w:rPr>
            </w:pPr>
            <w:r w:rsidRPr="00D814E1">
              <w:rPr>
                <w:rFonts w:ascii="Times New Roman" w:hAnsi="Times New Roman"/>
                <w:b/>
                <w:bCs/>
                <w:szCs w:val="26"/>
              </w:rPr>
              <w:t>Наименование</w:t>
            </w:r>
          </w:p>
        </w:tc>
        <w:tc>
          <w:tcPr>
            <w:tcW w:w="2922" w:type="dxa"/>
            <w:vAlign w:val="center"/>
          </w:tcPr>
          <w:p w14:paraId="1B1608A7" w14:textId="77777777" w:rsidR="007379E9" w:rsidRPr="00D814E1" w:rsidRDefault="007379E9" w:rsidP="00D814E1">
            <w:pPr>
              <w:contextualSpacing/>
              <w:jc w:val="center"/>
              <w:rPr>
                <w:rFonts w:ascii="Times New Roman" w:hAnsi="Times New Roman"/>
                <w:b/>
                <w:bCs/>
                <w:szCs w:val="26"/>
              </w:rPr>
            </w:pPr>
            <w:r w:rsidRPr="00D814E1">
              <w:rPr>
                <w:rFonts w:ascii="Times New Roman" w:hAnsi="Times New Roman"/>
                <w:b/>
                <w:bCs/>
                <w:szCs w:val="26"/>
              </w:rPr>
              <w:t>Используемая</w:t>
            </w:r>
          </w:p>
          <w:p w14:paraId="3756BB2C" w14:textId="77777777" w:rsidR="007379E9" w:rsidRPr="00D814E1" w:rsidRDefault="007379E9" w:rsidP="00D814E1">
            <w:pPr>
              <w:contextualSpacing/>
              <w:jc w:val="center"/>
              <w:rPr>
                <w:rFonts w:ascii="Times New Roman" w:hAnsi="Times New Roman"/>
                <w:b/>
                <w:bCs/>
                <w:szCs w:val="26"/>
              </w:rPr>
            </w:pPr>
            <w:r w:rsidRPr="00D814E1">
              <w:rPr>
                <w:rFonts w:ascii="Times New Roman" w:hAnsi="Times New Roman"/>
                <w:b/>
                <w:bCs/>
                <w:szCs w:val="26"/>
              </w:rPr>
              <w:t>величина, %</w:t>
            </w:r>
          </w:p>
        </w:tc>
      </w:tr>
      <w:tr w:rsidR="007379E9" w:rsidRPr="00D814E1" w14:paraId="47348802" w14:textId="77777777" w:rsidTr="0041105F">
        <w:trPr>
          <w:jc w:val="center"/>
        </w:trPr>
        <w:tc>
          <w:tcPr>
            <w:tcW w:w="823" w:type="dxa"/>
            <w:vAlign w:val="center"/>
          </w:tcPr>
          <w:p w14:paraId="51085468" w14:textId="77777777" w:rsidR="007379E9" w:rsidRPr="00D814E1" w:rsidRDefault="007379E9" w:rsidP="00D814E1">
            <w:pPr>
              <w:contextualSpacing/>
              <w:jc w:val="center"/>
              <w:rPr>
                <w:rFonts w:ascii="Times New Roman" w:hAnsi="Times New Roman"/>
                <w:szCs w:val="26"/>
              </w:rPr>
            </w:pPr>
            <w:r w:rsidRPr="00D814E1">
              <w:rPr>
                <w:rFonts w:ascii="Times New Roman" w:hAnsi="Times New Roman"/>
                <w:szCs w:val="26"/>
              </w:rPr>
              <w:t>1</w:t>
            </w:r>
          </w:p>
        </w:tc>
        <w:tc>
          <w:tcPr>
            <w:tcW w:w="5599" w:type="dxa"/>
            <w:vAlign w:val="center"/>
          </w:tcPr>
          <w:p w14:paraId="479AF20C" w14:textId="77777777" w:rsidR="007379E9" w:rsidRPr="00D814E1" w:rsidRDefault="007379E9" w:rsidP="00D814E1">
            <w:pPr>
              <w:contextualSpacing/>
              <w:rPr>
                <w:rFonts w:ascii="Times New Roman" w:hAnsi="Times New Roman"/>
                <w:szCs w:val="26"/>
              </w:rPr>
            </w:pPr>
            <w:r w:rsidRPr="00D814E1">
              <w:rPr>
                <w:rFonts w:ascii="Times New Roman" w:hAnsi="Times New Roman"/>
                <w:szCs w:val="26"/>
              </w:rPr>
              <w:t>Безрисковая ставка</w:t>
            </w:r>
          </w:p>
        </w:tc>
        <w:tc>
          <w:tcPr>
            <w:tcW w:w="2922" w:type="dxa"/>
            <w:vAlign w:val="center"/>
          </w:tcPr>
          <w:p w14:paraId="1E448F27" w14:textId="77777777" w:rsidR="007379E9" w:rsidRPr="00D814E1" w:rsidRDefault="007379E9" w:rsidP="00D814E1">
            <w:pPr>
              <w:contextualSpacing/>
              <w:jc w:val="center"/>
              <w:rPr>
                <w:rFonts w:ascii="Times New Roman" w:hAnsi="Times New Roman"/>
                <w:bCs/>
                <w:szCs w:val="26"/>
              </w:rPr>
            </w:pPr>
            <w:r w:rsidRPr="00D814E1">
              <w:rPr>
                <w:rFonts w:ascii="Times New Roman" w:hAnsi="Times New Roman"/>
                <w:color w:val="000000"/>
                <w:szCs w:val="26"/>
              </w:rPr>
              <w:t>8,416</w:t>
            </w:r>
          </w:p>
        </w:tc>
      </w:tr>
      <w:tr w:rsidR="007379E9" w:rsidRPr="00D814E1" w14:paraId="3CCD3F88" w14:textId="77777777" w:rsidTr="0041105F">
        <w:trPr>
          <w:jc w:val="center"/>
        </w:trPr>
        <w:tc>
          <w:tcPr>
            <w:tcW w:w="823" w:type="dxa"/>
            <w:vAlign w:val="center"/>
          </w:tcPr>
          <w:p w14:paraId="4552A173" w14:textId="77777777" w:rsidR="007379E9" w:rsidRPr="00D814E1" w:rsidRDefault="007379E9" w:rsidP="00D814E1">
            <w:pPr>
              <w:contextualSpacing/>
              <w:jc w:val="center"/>
              <w:rPr>
                <w:rFonts w:ascii="Times New Roman" w:hAnsi="Times New Roman"/>
                <w:szCs w:val="26"/>
              </w:rPr>
            </w:pPr>
            <w:r w:rsidRPr="00D814E1">
              <w:rPr>
                <w:rFonts w:ascii="Times New Roman" w:hAnsi="Times New Roman"/>
                <w:szCs w:val="26"/>
              </w:rPr>
              <w:t>2</w:t>
            </w:r>
          </w:p>
        </w:tc>
        <w:tc>
          <w:tcPr>
            <w:tcW w:w="5599" w:type="dxa"/>
            <w:vAlign w:val="center"/>
          </w:tcPr>
          <w:p w14:paraId="0E0881C3" w14:textId="77777777" w:rsidR="007379E9" w:rsidRPr="00D814E1" w:rsidRDefault="007379E9" w:rsidP="00D814E1">
            <w:pPr>
              <w:ind w:right="-107"/>
              <w:contextualSpacing/>
              <w:rPr>
                <w:rFonts w:ascii="Times New Roman" w:hAnsi="Times New Roman"/>
                <w:szCs w:val="26"/>
              </w:rPr>
            </w:pPr>
            <w:r w:rsidRPr="00D814E1">
              <w:rPr>
                <w:rFonts w:ascii="Times New Roman" w:hAnsi="Times New Roman"/>
                <w:szCs w:val="26"/>
              </w:rPr>
              <w:t>Премия за риск</w:t>
            </w:r>
          </w:p>
        </w:tc>
        <w:tc>
          <w:tcPr>
            <w:tcW w:w="2922" w:type="dxa"/>
            <w:vAlign w:val="center"/>
          </w:tcPr>
          <w:p w14:paraId="7766C62A" w14:textId="77777777" w:rsidR="007379E9" w:rsidRPr="00D814E1" w:rsidRDefault="007379E9" w:rsidP="00D814E1">
            <w:pPr>
              <w:ind w:right="-64" w:hanging="108"/>
              <w:contextualSpacing/>
              <w:jc w:val="center"/>
              <w:rPr>
                <w:rFonts w:ascii="Times New Roman" w:hAnsi="Times New Roman"/>
                <w:bCs/>
                <w:szCs w:val="26"/>
              </w:rPr>
            </w:pPr>
            <w:r w:rsidRPr="00D814E1">
              <w:rPr>
                <w:rFonts w:ascii="Times New Roman" w:hAnsi="Times New Roman"/>
                <w:color w:val="000000"/>
                <w:szCs w:val="26"/>
              </w:rPr>
              <w:t>4,963</w:t>
            </w:r>
          </w:p>
        </w:tc>
      </w:tr>
      <w:tr w:rsidR="007379E9" w:rsidRPr="00D814E1" w14:paraId="68A2D6EC" w14:textId="77777777" w:rsidTr="0041105F">
        <w:trPr>
          <w:jc w:val="center"/>
        </w:trPr>
        <w:tc>
          <w:tcPr>
            <w:tcW w:w="823" w:type="dxa"/>
            <w:vAlign w:val="center"/>
          </w:tcPr>
          <w:p w14:paraId="290B0B11" w14:textId="77777777" w:rsidR="007379E9" w:rsidRPr="00D814E1" w:rsidRDefault="007379E9" w:rsidP="00D814E1">
            <w:pPr>
              <w:contextualSpacing/>
              <w:jc w:val="center"/>
              <w:rPr>
                <w:rFonts w:ascii="Times New Roman" w:hAnsi="Times New Roman"/>
                <w:szCs w:val="26"/>
              </w:rPr>
            </w:pPr>
            <w:r w:rsidRPr="00D814E1">
              <w:rPr>
                <w:rFonts w:ascii="Times New Roman" w:hAnsi="Times New Roman"/>
                <w:szCs w:val="26"/>
              </w:rPr>
              <w:t>3</w:t>
            </w:r>
          </w:p>
        </w:tc>
        <w:tc>
          <w:tcPr>
            <w:tcW w:w="5599" w:type="dxa"/>
            <w:vAlign w:val="center"/>
          </w:tcPr>
          <w:p w14:paraId="27B449AB" w14:textId="77777777" w:rsidR="007379E9" w:rsidRPr="00D814E1" w:rsidRDefault="007379E9" w:rsidP="00D814E1">
            <w:pPr>
              <w:contextualSpacing/>
              <w:rPr>
                <w:rFonts w:ascii="Times New Roman" w:hAnsi="Times New Roman"/>
                <w:szCs w:val="26"/>
              </w:rPr>
            </w:pPr>
            <w:r w:rsidRPr="00D814E1">
              <w:rPr>
                <w:rFonts w:ascii="Times New Roman" w:hAnsi="Times New Roman"/>
                <w:szCs w:val="26"/>
              </w:rPr>
              <w:t>Премия за низкую ликвидность</w:t>
            </w:r>
          </w:p>
        </w:tc>
        <w:tc>
          <w:tcPr>
            <w:tcW w:w="2922" w:type="dxa"/>
            <w:vAlign w:val="center"/>
          </w:tcPr>
          <w:p w14:paraId="4A7AEB54" w14:textId="77777777" w:rsidR="007379E9" w:rsidRPr="00D814E1" w:rsidRDefault="007379E9" w:rsidP="00D814E1">
            <w:pPr>
              <w:ind w:right="-64" w:hanging="108"/>
              <w:contextualSpacing/>
              <w:jc w:val="center"/>
              <w:rPr>
                <w:rFonts w:ascii="Times New Roman" w:hAnsi="Times New Roman"/>
                <w:bCs/>
                <w:szCs w:val="26"/>
              </w:rPr>
            </w:pPr>
            <w:r w:rsidRPr="00D814E1">
              <w:rPr>
                <w:rFonts w:ascii="Times New Roman" w:hAnsi="Times New Roman"/>
                <w:color w:val="000000"/>
                <w:szCs w:val="26"/>
              </w:rPr>
              <w:t>10,52</w:t>
            </w:r>
          </w:p>
        </w:tc>
      </w:tr>
      <w:tr w:rsidR="007379E9" w:rsidRPr="00D814E1" w14:paraId="4D022D42" w14:textId="77777777" w:rsidTr="0041105F">
        <w:trPr>
          <w:jc w:val="center"/>
        </w:trPr>
        <w:tc>
          <w:tcPr>
            <w:tcW w:w="823" w:type="dxa"/>
            <w:vAlign w:val="center"/>
          </w:tcPr>
          <w:p w14:paraId="4A1BFAAB" w14:textId="77777777" w:rsidR="007379E9" w:rsidRPr="00D814E1" w:rsidRDefault="007379E9" w:rsidP="00D814E1">
            <w:pPr>
              <w:contextualSpacing/>
              <w:jc w:val="center"/>
              <w:rPr>
                <w:rFonts w:ascii="Times New Roman" w:hAnsi="Times New Roman"/>
                <w:b/>
                <w:bCs/>
                <w:szCs w:val="26"/>
              </w:rPr>
            </w:pPr>
          </w:p>
        </w:tc>
        <w:tc>
          <w:tcPr>
            <w:tcW w:w="5599" w:type="dxa"/>
            <w:vAlign w:val="center"/>
          </w:tcPr>
          <w:p w14:paraId="2E6C5148" w14:textId="77777777" w:rsidR="007379E9" w:rsidRPr="00D814E1" w:rsidRDefault="007379E9" w:rsidP="00D814E1">
            <w:pPr>
              <w:contextualSpacing/>
              <w:rPr>
                <w:rFonts w:ascii="Times New Roman" w:hAnsi="Times New Roman"/>
                <w:b/>
                <w:bCs/>
                <w:szCs w:val="26"/>
              </w:rPr>
            </w:pPr>
            <w:r w:rsidRPr="00D814E1">
              <w:rPr>
                <w:rFonts w:ascii="Times New Roman" w:hAnsi="Times New Roman"/>
                <w:b/>
                <w:bCs/>
                <w:szCs w:val="26"/>
              </w:rPr>
              <w:t>Итого</w:t>
            </w:r>
          </w:p>
        </w:tc>
        <w:tc>
          <w:tcPr>
            <w:tcW w:w="2922" w:type="dxa"/>
            <w:vAlign w:val="center"/>
          </w:tcPr>
          <w:p w14:paraId="0C7704DC" w14:textId="77777777" w:rsidR="007379E9" w:rsidRPr="00D814E1" w:rsidRDefault="007379E9" w:rsidP="00D814E1">
            <w:pPr>
              <w:ind w:right="-64" w:hanging="108"/>
              <w:contextualSpacing/>
              <w:jc w:val="center"/>
              <w:rPr>
                <w:rFonts w:ascii="Times New Roman" w:hAnsi="Times New Roman"/>
                <w:bCs/>
                <w:szCs w:val="26"/>
              </w:rPr>
            </w:pPr>
            <w:r w:rsidRPr="00D814E1">
              <w:rPr>
                <w:rFonts w:ascii="Times New Roman" w:hAnsi="Times New Roman"/>
                <w:b/>
                <w:bCs/>
                <w:color w:val="000000"/>
                <w:szCs w:val="26"/>
              </w:rPr>
              <w:t>23,9</w:t>
            </w:r>
          </w:p>
        </w:tc>
      </w:tr>
    </w:tbl>
    <w:p w14:paraId="0A4B1AB4" w14:textId="77777777" w:rsidR="009235F7" w:rsidRDefault="009235F7" w:rsidP="001969F4">
      <w:pPr>
        <w:spacing w:before="120" w:after="0" w:line="276" w:lineRule="auto"/>
        <w:ind w:firstLine="709"/>
        <w:jc w:val="center"/>
        <w:rPr>
          <w:rFonts w:ascii="Times New Roman" w:hAnsi="Times New Roman" w:cs="Times New Roman"/>
          <w:bCs/>
          <w:i/>
          <w:color w:val="000000" w:themeColor="text1"/>
          <w:sz w:val="26"/>
          <w:szCs w:val="26"/>
        </w:rPr>
      </w:pPr>
    </w:p>
    <w:p w14:paraId="79AA07BB" w14:textId="2F87DD8C" w:rsidR="007379E9" w:rsidRPr="001969F4" w:rsidRDefault="007379E9" w:rsidP="001969F4">
      <w:pPr>
        <w:spacing w:before="120" w:after="0" w:line="276" w:lineRule="auto"/>
        <w:ind w:firstLine="709"/>
        <w:jc w:val="center"/>
        <w:rPr>
          <w:rFonts w:ascii="Times New Roman" w:hAnsi="Times New Roman" w:cs="Times New Roman"/>
          <w:bCs/>
          <w:i/>
          <w:color w:val="000000" w:themeColor="text1"/>
          <w:sz w:val="26"/>
          <w:szCs w:val="26"/>
        </w:rPr>
      </w:pPr>
      <w:r w:rsidRPr="001969F4">
        <w:rPr>
          <w:rFonts w:ascii="Times New Roman" w:hAnsi="Times New Roman" w:cs="Times New Roman"/>
          <w:bCs/>
          <w:i/>
          <w:color w:val="000000" w:themeColor="text1"/>
          <w:sz w:val="26"/>
          <w:szCs w:val="26"/>
        </w:rPr>
        <w:t>Расчет удельного показателя кадастровой стоимости земельного участка</w:t>
      </w:r>
    </w:p>
    <w:p w14:paraId="0AF77E1C"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Удельный показатель кадастровой стоимости земельного участка определялся в СПО, как средневзвешенный по площади удельных показателей кадастровой стоимости почвенных разновидностей в составе территорий бывших хозяйств (землепользований).</w:t>
      </w:r>
    </w:p>
    <w:p w14:paraId="53AD9E4F"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Отнесение земельного участка к территории бывшего хозяйства (землепользования) проводилось путем сопоставления границ участка с почвенной картой, отражающей границы бывших хозяйств. </w:t>
      </w:r>
    </w:p>
    <w:p w14:paraId="469F27FF"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При определении местоположения участков, у которых отсутствовала информация о границах, рассматривались границы кварталов в сопоставлении с почвенной картой, отражающей границы хозяйств. В случае, если квартал полностью попадал в границы одного хозяйства, всем участкам, расположенным в нем, присваивалась принадлежность к данному хозяйству (землепользованию).</w:t>
      </w:r>
    </w:p>
    <w:p w14:paraId="62CE3FAC"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Для участков, у которых не удалось определить хозяйство, удельный показатель кадастровой стоимости принимался как средневзвешенное значение по муниципальному району. </w:t>
      </w:r>
    </w:p>
    <w:p w14:paraId="1D6D81C1"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 xml:space="preserve">Далее для земельных участков с кодами расчёта вида использования 01:080, 01:081 удельный показатель кадастровой стоимости корректировался на -26%. Корректировка была взята из «Справочника оценщика недвижимости-2018. Земельные участки сельскохозяйственного назначения» под редакцией Лейфера Л.А., стр. 133, табл. 55. Ниже приведен фрагмент из справочника. </w:t>
      </w:r>
    </w:p>
    <w:p w14:paraId="0D177B8B" w14:textId="387CD809" w:rsidR="007379E9" w:rsidRDefault="007379E9" w:rsidP="0041105F">
      <w:pPr>
        <w:spacing w:before="120" w:after="0" w:line="276" w:lineRule="auto"/>
        <w:ind w:firstLine="709"/>
        <w:jc w:val="center"/>
        <w:rPr>
          <w:rFonts w:ascii="Times New Roman" w:hAnsi="Times New Roman" w:cs="Times New Roman"/>
          <w:bCs/>
          <w:color w:val="000000" w:themeColor="text1"/>
          <w:sz w:val="26"/>
          <w:szCs w:val="26"/>
        </w:rPr>
      </w:pPr>
      <w:r w:rsidRPr="0041105F">
        <w:rPr>
          <w:rFonts w:ascii="Times New Roman" w:hAnsi="Times New Roman" w:cs="Times New Roman"/>
          <w:bCs/>
          <w:noProof/>
          <w:color w:val="000000" w:themeColor="text1"/>
          <w:sz w:val="26"/>
          <w:szCs w:val="26"/>
          <w:lang w:eastAsia="ru-RU"/>
        </w:rPr>
        <w:drawing>
          <wp:inline distT="0" distB="0" distL="0" distR="0" wp14:anchorId="6D35FFCF" wp14:editId="59EA0FA2">
            <wp:extent cx="4648199" cy="1647825"/>
            <wp:effectExtent l="0" t="0" r="63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2"/>
                    <a:srcRect t="21978" b="14652"/>
                    <a:stretch/>
                  </pic:blipFill>
                  <pic:spPr bwMode="auto">
                    <a:xfrm>
                      <a:off x="0" y="0"/>
                      <a:ext cx="4648849" cy="1648055"/>
                    </a:xfrm>
                    <a:prstGeom prst="rect">
                      <a:avLst/>
                    </a:prstGeom>
                    <a:ln>
                      <a:noFill/>
                    </a:ln>
                    <a:extLst>
                      <a:ext uri="{53640926-AAD7-44D8-BBD7-CCE9431645EC}">
                        <a14:shadowObscured xmlns:a14="http://schemas.microsoft.com/office/drawing/2010/main"/>
                      </a:ext>
                    </a:extLst>
                  </pic:spPr>
                </pic:pic>
              </a:graphicData>
            </a:graphic>
          </wp:inline>
        </w:drawing>
      </w:r>
    </w:p>
    <w:p w14:paraId="28789F1F" w14:textId="054EB112" w:rsidR="0041105F" w:rsidRPr="0041105F" w:rsidRDefault="0041105F" w:rsidP="0041105F">
      <w:pPr>
        <w:spacing w:before="120" w:after="0" w:line="276" w:lineRule="auto"/>
        <w:ind w:firstLine="709"/>
        <w:jc w:val="center"/>
        <w:rPr>
          <w:rFonts w:ascii="Times New Roman" w:hAnsi="Times New Roman" w:cs="Times New Roman"/>
          <w:bCs/>
          <w:color w:val="000000" w:themeColor="text1"/>
          <w:sz w:val="26"/>
          <w:szCs w:val="26"/>
        </w:rPr>
      </w:pPr>
      <w:r>
        <w:rPr>
          <w:rFonts w:ascii="Times New Roman" w:eastAsia="Calibri" w:hAnsi="Times New Roman" w:cs="Times New Roman"/>
          <w:sz w:val="26"/>
          <w:szCs w:val="26"/>
        </w:rPr>
        <w:t>Рис.3.6.1.3 –</w:t>
      </w:r>
      <w:r w:rsidRPr="008C322D">
        <w:t xml:space="preserve"> </w:t>
      </w:r>
      <w:r>
        <w:rPr>
          <w:rFonts w:ascii="Times New Roman" w:eastAsia="Calibri" w:hAnsi="Times New Roman" w:cs="Times New Roman"/>
          <w:sz w:val="26"/>
          <w:szCs w:val="26"/>
        </w:rPr>
        <w:t>Корректировка на функциональное назначение земельного участка.</w:t>
      </w:r>
    </w:p>
    <w:p w14:paraId="58EB4056" w14:textId="77777777" w:rsidR="007379E9" w:rsidRPr="0041105F" w:rsidRDefault="007379E9" w:rsidP="0041105F">
      <w:pPr>
        <w:spacing w:before="120" w:after="0" w:line="276" w:lineRule="auto"/>
        <w:ind w:firstLine="709"/>
        <w:jc w:val="both"/>
        <w:rPr>
          <w:rFonts w:ascii="Times New Roman" w:hAnsi="Times New Roman" w:cs="Times New Roman"/>
          <w:bCs/>
          <w:color w:val="000000" w:themeColor="text1"/>
          <w:sz w:val="26"/>
          <w:szCs w:val="26"/>
        </w:rPr>
      </w:pPr>
      <w:r w:rsidRPr="0041105F">
        <w:rPr>
          <w:rFonts w:ascii="Times New Roman" w:hAnsi="Times New Roman" w:cs="Times New Roman"/>
          <w:bCs/>
          <w:color w:val="000000" w:themeColor="text1"/>
          <w:sz w:val="26"/>
          <w:szCs w:val="26"/>
        </w:rPr>
        <w:t>Удельный показатель кадастровой стоимости был определен для каждого земельного участка, отнесенного к данной группе расчета «СХ использование». Определение кадастровой стоимости земельных участков осуществлялось путем произведения удельных показателей кадастровой стоимости на площадь земельного участка.</w:t>
      </w:r>
    </w:p>
    <w:p w14:paraId="5F8E7432" w14:textId="46CA2CEC" w:rsidR="009E7344" w:rsidRDefault="007379E9" w:rsidP="0041105F">
      <w:pPr>
        <w:spacing w:before="120" w:after="0" w:line="276" w:lineRule="auto"/>
        <w:ind w:firstLine="709"/>
        <w:jc w:val="both"/>
        <w:rPr>
          <w:rFonts w:ascii="Times New Roman" w:hAnsi="Times New Roman" w:cs="Times New Roman"/>
          <w:b/>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EA1B78" w:rsidRPr="00F562A8">
        <w:rPr>
          <w:rFonts w:ascii="Times New Roman" w:eastAsiaTheme="minorEastAsia" w:hAnsi="Times New Roman" w:cs="Times New Roman"/>
          <w:sz w:val="26"/>
          <w:szCs w:val="26"/>
        </w:rPr>
        <w:t>2/2.4</w:t>
      </w:r>
      <w:r w:rsidR="00EA1B78">
        <w:rPr>
          <w:rFonts w:ascii="Times New Roman" w:eastAsiaTheme="minorEastAsia" w:hAnsi="Times New Roman" w:cs="Times New Roman"/>
          <w:sz w:val="26"/>
          <w:szCs w:val="26"/>
        </w:rPr>
        <w:t>/2.4.1.</w:t>
      </w:r>
      <w:r w:rsidR="009E7344">
        <w:rPr>
          <w:rFonts w:ascii="Times New Roman" w:hAnsi="Times New Roman" w:cs="Times New Roman"/>
          <w:b/>
          <w:sz w:val="26"/>
          <w:szCs w:val="26"/>
        </w:rPr>
        <w:br w:type="page"/>
      </w:r>
    </w:p>
    <w:p w14:paraId="1F82B6A7" w14:textId="0FD7A981" w:rsidR="00306BF5" w:rsidRPr="00F562A8" w:rsidRDefault="00306BF5" w:rsidP="00A55966">
      <w:pPr>
        <w:pStyle w:val="ab"/>
        <w:spacing w:before="120" w:after="0" w:line="240" w:lineRule="auto"/>
        <w:ind w:left="0"/>
        <w:contextualSpacing w:val="0"/>
        <w:jc w:val="center"/>
        <w:outlineLvl w:val="1"/>
        <w:rPr>
          <w:rFonts w:ascii="Times New Roman" w:hAnsi="Times New Roman" w:cs="Times New Roman"/>
          <w:b/>
          <w:sz w:val="26"/>
          <w:szCs w:val="26"/>
        </w:rPr>
      </w:pPr>
      <w:bookmarkStart w:id="174" w:name="_Toc110506963"/>
      <w:r w:rsidRPr="00F562A8">
        <w:rPr>
          <w:rFonts w:ascii="Times New Roman" w:hAnsi="Times New Roman" w:cs="Times New Roman"/>
          <w:b/>
          <w:sz w:val="26"/>
          <w:szCs w:val="26"/>
        </w:rPr>
        <w:t>3.6.2 Сегмент 2. «Жилая застройка (среднеэтажная и многоэтажная)»</w:t>
      </w:r>
      <w:bookmarkEnd w:id="141"/>
      <w:bookmarkEnd w:id="174"/>
    </w:p>
    <w:p w14:paraId="5B075425" w14:textId="77777777" w:rsidR="00C54197" w:rsidRPr="00F562A8" w:rsidRDefault="00C54197" w:rsidP="006F6435">
      <w:pPr>
        <w:spacing w:line="276" w:lineRule="auto"/>
        <w:rPr>
          <w:rFonts w:ascii="Times New Roman" w:hAnsi="Times New Roman" w:cs="Times New Roman"/>
          <w:sz w:val="16"/>
          <w:szCs w:val="16"/>
        </w:rPr>
      </w:pPr>
    </w:p>
    <w:p w14:paraId="74A5F01E" w14:textId="5EDDC9B5" w:rsidR="00306BF5" w:rsidRPr="00F562A8" w:rsidRDefault="00B15076" w:rsidP="002D4BEA">
      <w:pPr>
        <w:pStyle w:val="ab"/>
        <w:ind w:left="0"/>
        <w:jc w:val="center"/>
        <w:outlineLvl w:val="2"/>
        <w:rPr>
          <w:rFonts w:ascii="Times New Roman" w:hAnsi="Times New Roman" w:cs="Times New Roman"/>
          <w:i/>
          <w:sz w:val="26"/>
          <w:szCs w:val="26"/>
        </w:rPr>
      </w:pPr>
      <w:bookmarkStart w:id="175" w:name="_Toc110506964"/>
      <w:bookmarkStart w:id="176" w:name="_Hlk13842097"/>
      <w:bookmarkEnd w:id="142"/>
      <w:r w:rsidRPr="009E7344">
        <w:rPr>
          <w:rFonts w:ascii="Times New Roman" w:hAnsi="Times New Roman" w:cs="Times New Roman"/>
          <w:i/>
          <w:sz w:val="26"/>
          <w:szCs w:val="26"/>
        </w:rPr>
        <w:t xml:space="preserve">3.6.2.1. </w:t>
      </w:r>
      <w:r w:rsidR="00306BF5" w:rsidRPr="009E7344">
        <w:rPr>
          <w:rFonts w:ascii="Times New Roman" w:hAnsi="Times New Roman" w:cs="Times New Roman"/>
          <w:i/>
          <w:sz w:val="26"/>
          <w:szCs w:val="26"/>
        </w:rPr>
        <w:t>Расчет</w:t>
      </w:r>
      <w:r w:rsidR="00306BF5" w:rsidRPr="00F562A8">
        <w:rPr>
          <w:rFonts w:ascii="Times New Roman" w:hAnsi="Times New Roman" w:cs="Times New Roman"/>
          <w:i/>
          <w:sz w:val="26"/>
          <w:szCs w:val="26"/>
        </w:rPr>
        <w:t xml:space="preserve"> кадастровой стоимости земельных участков группы </w:t>
      </w:r>
      <w:r w:rsidR="00C06A94" w:rsidRPr="00C06A94">
        <w:rPr>
          <w:rFonts w:ascii="Times New Roman" w:hAnsi="Times New Roman" w:cs="Times New Roman"/>
          <w:i/>
          <w:sz w:val="26"/>
          <w:szCs w:val="26"/>
        </w:rPr>
        <w:t>МЖЗ/Воронеж</w:t>
      </w:r>
      <w:bookmarkEnd w:id="175"/>
    </w:p>
    <w:p w14:paraId="41622459" w14:textId="77777777" w:rsidR="00FA13C8" w:rsidRPr="00F562A8" w:rsidRDefault="00FA13C8" w:rsidP="006F6435">
      <w:pPr>
        <w:spacing w:after="0" w:line="276" w:lineRule="auto"/>
        <w:ind w:firstLine="709"/>
        <w:jc w:val="both"/>
        <w:rPr>
          <w:rFonts w:ascii="Times New Roman" w:eastAsiaTheme="minorEastAsia" w:hAnsi="Times New Roman" w:cs="Times New Roman"/>
          <w:sz w:val="16"/>
          <w:szCs w:val="16"/>
        </w:rPr>
      </w:pPr>
    </w:p>
    <w:p w14:paraId="7A37A3D8" w14:textId="7DDE2FF5" w:rsidR="00BC1622" w:rsidRPr="00F562A8" w:rsidRDefault="00FA13C8" w:rsidP="006F6435">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w:t>
      </w:r>
      <w:r w:rsidRPr="00637AE9">
        <w:rPr>
          <w:rFonts w:ascii="Times New Roman" w:eastAsiaTheme="minorEastAsia" w:hAnsi="Times New Roman" w:cs="Times New Roman"/>
          <w:sz w:val="26"/>
          <w:szCs w:val="26"/>
        </w:rPr>
        <w:t>в Приложении 2/2</w:t>
      </w:r>
      <w:r w:rsidR="000610AA" w:rsidRPr="00637AE9">
        <w:rPr>
          <w:rFonts w:ascii="Times New Roman" w:eastAsiaTheme="minorEastAsia" w:hAnsi="Times New Roman" w:cs="Times New Roman"/>
          <w:sz w:val="26"/>
          <w:szCs w:val="26"/>
        </w:rPr>
        <w:t>.</w:t>
      </w:r>
      <w:r w:rsidRPr="00637AE9">
        <w:rPr>
          <w:rFonts w:ascii="Times New Roman" w:eastAsiaTheme="minorEastAsia" w:hAnsi="Times New Roman" w:cs="Times New Roman"/>
          <w:sz w:val="26"/>
          <w:szCs w:val="26"/>
        </w:rPr>
        <w:t>4</w:t>
      </w:r>
      <w:r w:rsidR="00EA1B78">
        <w:rPr>
          <w:rFonts w:ascii="Times New Roman" w:eastAsiaTheme="minorEastAsia" w:hAnsi="Times New Roman" w:cs="Times New Roman"/>
          <w:sz w:val="26"/>
          <w:szCs w:val="26"/>
        </w:rPr>
        <w:t>/</w:t>
      </w:r>
      <w:r w:rsidR="002D6F65">
        <w:rPr>
          <w:rFonts w:ascii="Times New Roman" w:eastAsiaTheme="minorEastAsia" w:hAnsi="Times New Roman" w:cs="Times New Roman"/>
          <w:sz w:val="26"/>
          <w:szCs w:val="26"/>
        </w:rPr>
        <w:t>2.4.2</w:t>
      </w:r>
    </w:p>
    <w:p w14:paraId="11C5846A" w14:textId="39CDE630" w:rsidR="006548E3" w:rsidRDefault="006548E3" w:rsidP="006F6435">
      <w:pPr>
        <w:spacing w:after="0" w:line="276" w:lineRule="auto"/>
        <w:ind w:firstLine="709"/>
        <w:jc w:val="both"/>
        <w:rPr>
          <w:rFonts w:ascii="Times New Roman" w:hAnsi="Times New Roman" w:cs="Times New Roman"/>
          <w:sz w:val="26"/>
          <w:szCs w:val="26"/>
        </w:rPr>
      </w:pPr>
      <w:bookmarkStart w:id="177" w:name="_Hlk13832592"/>
      <w:r>
        <w:rPr>
          <w:rFonts w:ascii="Times New Roman" w:hAnsi="Times New Roman" w:cs="Times New Roman"/>
          <w:sz w:val="26"/>
          <w:szCs w:val="26"/>
        </w:rPr>
        <w:t xml:space="preserve">В состав группы </w:t>
      </w:r>
      <w:r w:rsidRPr="006548E3">
        <w:rPr>
          <w:rFonts w:ascii="Times New Roman" w:hAnsi="Times New Roman" w:cs="Times New Roman"/>
          <w:sz w:val="26"/>
          <w:szCs w:val="26"/>
        </w:rPr>
        <w:t>МЖЗ/Воронеж</w:t>
      </w:r>
      <w:r>
        <w:rPr>
          <w:rFonts w:ascii="Times New Roman" w:hAnsi="Times New Roman" w:cs="Times New Roman"/>
          <w:sz w:val="26"/>
          <w:szCs w:val="26"/>
        </w:rPr>
        <w:t xml:space="preserve">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Pr="006548E3">
        <w:rPr>
          <w:rFonts w:ascii="Times New Roman" w:hAnsi="Times New Roman" w:cs="Times New Roman"/>
          <w:sz w:val="26"/>
          <w:szCs w:val="26"/>
        </w:rPr>
        <w:t>02:000, 02:050, 02:051, 02:060, 02:061</w:t>
      </w:r>
      <w:r>
        <w:rPr>
          <w:rFonts w:ascii="Times New Roman" w:hAnsi="Times New Roman" w:cs="Times New Roman"/>
          <w:sz w:val="26"/>
          <w:szCs w:val="26"/>
        </w:rPr>
        <w:t>.</w:t>
      </w:r>
    </w:p>
    <w:p w14:paraId="1CF9ABBB" w14:textId="6EA3822A"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C06A94" w:rsidRPr="00C06A94">
        <w:rPr>
          <w:rFonts w:ascii="Times New Roman" w:hAnsi="Times New Roman" w:cs="Times New Roman"/>
          <w:sz w:val="26"/>
          <w:szCs w:val="26"/>
        </w:rPr>
        <w:t>МЖЗ/Воронеж</w:t>
      </w:r>
      <w:r w:rsidR="00C06A94" w:rsidRPr="00F562A8">
        <w:rPr>
          <w:rFonts w:ascii="Times New Roman" w:hAnsi="Times New Roman" w:cs="Times New Roman"/>
          <w:sz w:val="26"/>
          <w:szCs w:val="26"/>
        </w:rPr>
        <w:t xml:space="preserve"> </w:t>
      </w:r>
      <w:r w:rsidRPr="00F562A8">
        <w:rPr>
          <w:rFonts w:ascii="Times New Roman" w:hAnsi="Times New Roman" w:cs="Times New Roman"/>
          <w:sz w:val="26"/>
          <w:szCs w:val="26"/>
        </w:rPr>
        <w:t>использовалс</w:t>
      </w:r>
      <w:r w:rsidR="00EC0FDE">
        <w:rPr>
          <w:rFonts w:ascii="Times New Roman" w:hAnsi="Times New Roman" w:cs="Times New Roman"/>
          <w:sz w:val="26"/>
          <w:szCs w:val="26"/>
        </w:rPr>
        <w:t>я</w:t>
      </w:r>
      <w:r w:rsidRPr="00F562A8">
        <w:rPr>
          <w:rFonts w:ascii="Times New Roman" w:hAnsi="Times New Roman" w:cs="Times New Roman"/>
          <w:sz w:val="26"/>
          <w:szCs w:val="26"/>
        </w:rPr>
        <w:t xml:space="preserve"> метод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313DF017" w14:textId="5715DAEE" w:rsidR="00306BF5" w:rsidRPr="00F562A8" w:rsidRDefault="00F77023" w:rsidP="006F6435">
      <w:pPr>
        <w:pStyle w:val="ConsPlusNormal"/>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Согласно п.45.1.1 Указаний</w:t>
      </w:r>
      <w:r w:rsidR="00306BF5" w:rsidRPr="00F562A8">
        <w:rPr>
          <w:rFonts w:ascii="Times New Roman" w:hAnsi="Times New Roman" w:cs="Times New Roman"/>
          <w:sz w:val="26"/>
          <w:szCs w:val="26"/>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30305CF3"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4A6AB1C4"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7A327DB9"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7E0E1405"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7D2300B8"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42DF8B41"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14EE128F" w14:textId="2B71D289" w:rsidR="00306BF5" w:rsidRPr="00F562A8" w:rsidRDefault="00306BF5" w:rsidP="006F6435">
      <w:pPr>
        <w:tabs>
          <w:tab w:val="left" w:pos="1890"/>
        </w:tabs>
        <w:spacing w:after="0" w:line="276" w:lineRule="auto"/>
        <w:ind w:firstLine="709"/>
        <w:jc w:val="both"/>
        <w:rPr>
          <w:rFonts w:ascii="Times New Roman" w:hAnsi="Times New Roman" w:cs="Times New Roman"/>
          <w:sz w:val="26"/>
          <w:szCs w:val="26"/>
        </w:rPr>
      </w:pPr>
      <w:bookmarkStart w:id="178" w:name="_Hlk13842134"/>
      <w:bookmarkEnd w:id="176"/>
      <w:bookmarkEnd w:id="177"/>
      <w:r w:rsidRPr="00F562A8">
        <w:rPr>
          <w:rFonts w:ascii="Times New Roman" w:hAnsi="Times New Roman" w:cs="Times New Roman"/>
          <w:sz w:val="26"/>
          <w:szCs w:val="26"/>
        </w:rPr>
        <w:t xml:space="preserve">Для расчета кадастровой стоимости земельных участков, расположенных в г.о.г. Воронеж, </w:t>
      </w:r>
      <w:bookmarkEnd w:id="178"/>
      <w:r w:rsidRPr="00F562A8">
        <w:rPr>
          <w:rFonts w:ascii="Times New Roman" w:hAnsi="Times New Roman" w:cs="Times New Roman"/>
          <w:sz w:val="26"/>
          <w:szCs w:val="26"/>
        </w:rPr>
        <w:t xml:space="preserve">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=1, …, 11 представлены в таблиц</w:t>
      </w:r>
      <w:r w:rsidR="00012B25">
        <w:rPr>
          <w:rFonts w:ascii="Times New Roman" w:hAnsi="Times New Roman" w:cs="Times New Roman"/>
          <w:sz w:val="26"/>
          <w:szCs w:val="26"/>
        </w:rPr>
        <w:t>ах</w:t>
      </w:r>
      <w:r w:rsidRPr="00F562A8">
        <w:rPr>
          <w:rFonts w:ascii="Times New Roman" w:hAnsi="Times New Roman" w:cs="Times New Roman"/>
          <w:sz w:val="26"/>
          <w:szCs w:val="26"/>
        </w:rPr>
        <w:t xml:space="preserve"> </w:t>
      </w:r>
      <w:r w:rsidR="00BC1622" w:rsidRPr="00F562A8">
        <w:rPr>
          <w:rFonts w:ascii="Times New Roman" w:eastAsia="Times New Roman" w:hAnsi="Times New Roman" w:cs="Times New Roman"/>
          <w:sz w:val="26"/>
          <w:szCs w:val="26"/>
        </w:rPr>
        <w:t>3.</w:t>
      </w:r>
      <w:r w:rsidR="00012B25">
        <w:rPr>
          <w:rFonts w:ascii="Times New Roman" w:eastAsia="Times New Roman" w:hAnsi="Times New Roman" w:cs="Times New Roman"/>
          <w:sz w:val="26"/>
          <w:szCs w:val="26"/>
        </w:rPr>
        <w:t>4 и 3.5, пунктов 3.4 и 3.5 соответственно</w:t>
      </w:r>
      <w:r w:rsidRPr="00F562A8">
        <w:rPr>
          <w:rFonts w:ascii="Times New Roman" w:hAnsi="Times New Roman" w:cs="Times New Roman"/>
          <w:sz w:val="26"/>
          <w:szCs w:val="26"/>
        </w:rPr>
        <w:t>.</w:t>
      </w:r>
    </w:p>
    <w:p w14:paraId="04BCE4CC" w14:textId="77777777" w:rsidR="00306BF5" w:rsidRPr="00F562A8" w:rsidRDefault="00306BF5" w:rsidP="006F6435">
      <w:pPr>
        <w:spacing w:after="0" w:line="276" w:lineRule="auto"/>
        <w:ind w:firstLine="709"/>
        <w:jc w:val="both"/>
        <w:rPr>
          <w:rFonts w:ascii="Times New Roman" w:hAnsi="Times New Roman" w:cs="Times New Roman"/>
          <w:sz w:val="26"/>
          <w:szCs w:val="26"/>
        </w:rPr>
      </w:pPr>
      <w:bookmarkStart w:id="179" w:name="_Hlk13840758"/>
      <w:bookmarkStart w:id="180" w:name="_Hlk13832705"/>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5DA21084" w14:textId="77777777" w:rsidR="00306BF5" w:rsidRPr="00F562A8" w:rsidRDefault="00306BF5" w:rsidP="006F6435">
      <w:pPr>
        <w:spacing w:after="0" w:line="276" w:lineRule="auto"/>
        <w:ind w:firstLine="709"/>
        <w:jc w:val="both"/>
        <w:rPr>
          <w:rFonts w:ascii="Times New Roman" w:hAnsi="Times New Roman" w:cs="Times New Roman"/>
          <w:sz w:val="26"/>
          <w:szCs w:val="26"/>
        </w:rPr>
      </w:pPr>
      <w:bookmarkStart w:id="181" w:name="_Hlk13831865"/>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bookmarkEnd w:id="179"/>
    <w:bookmarkEnd w:id="180"/>
    <w:bookmarkEnd w:id="181"/>
    <w:p w14:paraId="2D6090D0" w14:textId="610A76EB"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610ADB">
        <w:rPr>
          <w:rFonts w:ascii="Times New Roman" w:hAnsi="Times New Roman" w:cs="Times New Roman"/>
          <w:sz w:val="26"/>
          <w:szCs w:val="26"/>
        </w:rPr>
        <w:t>2</w:t>
      </w:r>
      <w:r w:rsidRPr="00F562A8">
        <w:rPr>
          <w:rFonts w:ascii="Times New Roman" w:hAnsi="Times New Roman" w:cs="Times New Roman"/>
          <w:sz w:val="26"/>
          <w:szCs w:val="26"/>
        </w:rPr>
        <w:t>:</w:t>
      </w:r>
    </w:p>
    <w:p w14:paraId="6CA054E0" w14:textId="2C743268"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CC6905" w:rsidRPr="00F562A8">
        <w:rPr>
          <w:rFonts w:ascii="Times New Roman" w:hAnsi="Times New Roman" w:cs="Times New Roman"/>
          <w:sz w:val="26"/>
          <w:szCs w:val="26"/>
        </w:rPr>
        <w:t>расстояние объекта до историко-культурного центра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5DE502FE" w14:textId="0B3C5D88"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расстояние объекта до центра</w:t>
      </w:r>
      <w:r w:rsidR="00CC6905" w:rsidRPr="00F562A8">
        <w:rPr>
          <w:rFonts w:ascii="Times New Roman" w:hAnsi="Times New Roman" w:cs="Times New Roman"/>
          <w:sz w:val="26"/>
          <w:szCs w:val="26"/>
        </w:rPr>
        <w:t xml:space="preserve"> населенного пункта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1</w:t>
      </w:r>
      <w:r w:rsidR="00DF4097">
        <w:rPr>
          <w:rFonts w:ascii="Times New Roman" w:hAnsi="Times New Roman" w:cs="Times New Roman"/>
          <w:sz w:val="26"/>
          <w:szCs w:val="26"/>
        </w:rPr>
        <w:t>.</w:t>
      </w:r>
    </w:p>
    <w:p w14:paraId="58D90D10" w14:textId="77777777" w:rsidR="00306BF5" w:rsidRPr="00F562A8" w:rsidRDefault="00306BF5" w:rsidP="006F6435">
      <w:pPr>
        <w:spacing w:after="0" w:line="276" w:lineRule="auto"/>
        <w:ind w:firstLine="709"/>
        <w:jc w:val="both"/>
        <w:rPr>
          <w:rFonts w:ascii="Times New Roman" w:hAnsi="Times New Roman" w:cs="Times New Roman"/>
          <w:sz w:val="26"/>
          <w:szCs w:val="26"/>
        </w:rPr>
      </w:pPr>
      <w:bookmarkStart w:id="182" w:name="_Hlk13834356"/>
      <w:bookmarkStart w:id="183" w:name="_Hlk13832767"/>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19D6FF19"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68052537" w14:textId="705E705C" w:rsidR="00306BF5" w:rsidRPr="00F562A8" w:rsidRDefault="00306BF5" w:rsidP="006F6435">
      <w:pPr>
        <w:spacing w:after="0" w:line="276" w:lineRule="auto"/>
        <w:ind w:firstLine="709"/>
        <w:jc w:val="both"/>
        <w:rPr>
          <w:rFonts w:ascii="Times New Roman" w:hAnsi="Times New Roman" w:cs="Times New Roman"/>
          <w:sz w:val="26"/>
          <w:szCs w:val="26"/>
        </w:rPr>
      </w:pPr>
      <w:bookmarkStart w:id="184" w:name="_Hlk13834393"/>
      <w:bookmarkEnd w:id="182"/>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5871E1">
        <w:rPr>
          <w:rFonts w:ascii="Times New Roman" w:hAnsi="Times New Roman" w:cs="Times New Roman"/>
          <w:sz w:val="26"/>
          <w:szCs w:val="26"/>
        </w:rPr>
        <w:t>двух</w:t>
      </w:r>
      <w:r w:rsidRPr="00F562A8">
        <w:rPr>
          <w:rFonts w:ascii="Times New Roman" w:hAnsi="Times New Roman" w:cs="Times New Roman"/>
          <w:sz w:val="26"/>
          <w:szCs w:val="26"/>
        </w:rPr>
        <w:t>факторные модели:</w:t>
      </w:r>
    </w:p>
    <w:p w14:paraId="2871A598" w14:textId="77777777" w:rsidR="00306BF5" w:rsidRPr="00F562A8" w:rsidRDefault="00306BF5" w:rsidP="006F6435">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398FD90F" wp14:editId="5E86D6D6">
            <wp:extent cx="2209800" cy="247650"/>
            <wp:effectExtent l="0" t="0" r="0" b="0"/>
            <wp:docPr id="126" name="Рисунок 126"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2AEA804D"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75ECA708" wp14:editId="12D0CF33">
            <wp:extent cx="1352550" cy="266700"/>
            <wp:effectExtent l="0" t="0" r="0" b="0"/>
            <wp:docPr id="127" name="Рисунок 127"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0148D9C7"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6FA9A394" wp14:editId="59F54C9D">
            <wp:extent cx="1266825" cy="266700"/>
            <wp:effectExtent l="0" t="0" r="0" b="0"/>
            <wp:docPr id="576" name="Рисунок 576"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62D74590"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77948DD6"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19123EF5"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328919F3" wp14:editId="50B53CDE">
            <wp:extent cx="209550" cy="247650"/>
            <wp:effectExtent l="0" t="0" r="0" b="0"/>
            <wp:docPr id="577" name="Рисунок 577"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53ECF653" wp14:editId="44B2BAA6">
            <wp:extent cx="200025" cy="247650"/>
            <wp:effectExtent l="0" t="0" r="9525" b="0"/>
            <wp:docPr id="578" name="Рисунок 578"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17AF4CBF" wp14:editId="3B1FF814">
            <wp:extent cx="209550" cy="247650"/>
            <wp:effectExtent l="0" t="0" r="0" b="0"/>
            <wp:docPr id="579" name="Рисунок 579"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bookmarkEnd w:id="183"/>
    <w:bookmarkEnd w:id="184"/>
    <w:p w14:paraId="6C060C5A" w14:textId="39CB00BA" w:rsidR="00306BF5" w:rsidRPr="00F562A8" w:rsidRDefault="00610ADB" w:rsidP="00610ADB">
      <w:pPr>
        <w:spacing w:after="0" w:line="276" w:lineRule="auto"/>
        <w:jc w:val="center"/>
        <w:rPr>
          <w:rFonts w:ascii="Times New Roman" w:hAnsi="Times New Roman" w:cs="Times New Roman"/>
          <w:lang w:val="en-US"/>
        </w:rPr>
      </w:pPr>
      <w:r w:rsidRPr="00DE0CE0">
        <w:rPr>
          <w:noProof/>
          <w:lang w:eastAsia="ru-RU"/>
        </w:rPr>
        <w:drawing>
          <wp:inline distT="0" distB="0" distL="0" distR="0" wp14:anchorId="3ADEA935" wp14:editId="4B445944">
            <wp:extent cx="5723890" cy="1038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srcRect r="24396"/>
                    <a:stretch/>
                  </pic:blipFill>
                  <pic:spPr bwMode="auto">
                    <a:xfrm>
                      <a:off x="0" y="0"/>
                      <a:ext cx="6067179" cy="1100492"/>
                    </a:xfrm>
                    <a:prstGeom prst="rect">
                      <a:avLst/>
                    </a:prstGeom>
                    <a:ln>
                      <a:noFill/>
                    </a:ln>
                    <a:extLst>
                      <a:ext uri="{53640926-AAD7-44D8-BBD7-CCE9431645EC}">
                        <a14:shadowObscured xmlns:a14="http://schemas.microsoft.com/office/drawing/2010/main"/>
                      </a:ext>
                    </a:extLst>
                  </pic:spPr>
                </pic:pic>
              </a:graphicData>
            </a:graphic>
          </wp:inline>
        </w:drawing>
      </w:r>
    </w:p>
    <w:p w14:paraId="3F14C03F" w14:textId="16DE3732" w:rsidR="00306BF5" w:rsidRPr="00F562A8" w:rsidRDefault="00306BF5" w:rsidP="006F6435">
      <w:pPr>
        <w:spacing w:after="0" w:line="276" w:lineRule="auto"/>
        <w:ind w:firstLine="709"/>
        <w:jc w:val="center"/>
        <w:rPr>
          <w:rFonts w:ascii="Times New Roman" w:hAnsi="Times New Roman" w:cs="Times New Roman"/>
          <w:sz w:val="26"/>
          <w:szCs w:val="26"/>
        </w:rPr>
      </w:pPr>
      <w:bookmarkStart w:id="185" w:name="_Hlk13832877"/>
      <w:r w:rsidRPr="00F562A8">
        <w:rPr>
          <w:rFonts w:ascii="Times New Roman" w:hAnsi="Times New Roman" w:cs="Times New Roman"/>
          <w:sz w:val="26"/>
          <w:szCs w:val="26"/>
        </w:rPr>
        <w:t>Рис.3.</w:t>
      </w:r>
      <w:r w:rsidR="003A42F0" w:rsidRPr="00F562A8">
        <w:rPr>
          <w:rFonts w:ascii="Times New Roman" w:hAnsi="Times New Roman" w:cs="Times New Roman"/>
          <w:sz w:val="26"/>
          <w:szCs w:val="26"/>
        </w:rPr>
        <w:t>6.2.1</w:t>
      </w:r>
      <w:r w:rsidR="00593E17">
        <w:rPr>
          <w:rFonts w:ascii="Times New Roman" w:hAnsi="Times New Roman" w:cs="Times New Roman"/>
          <w:sz w:val="26"/>
          <w:szCs w:val="26"/>
        </w:rPr>
        <w:t>.</w:t>
      </w:r>
      <w:r w:rsidR="00E831DD">
        <w:rPr>
          <w:rFonts w:ascii="Times New Roman" w:hAnsi="Times New Roman" w:cs="Times New Roman"/>
          <w:sz w:val="26"/>
          <w:szCs w:val="26"/>
        </w:rPr>
        <w:t>1</w:t>
      </w:r>
      <w:r w:rsidR="003A42F0" w:rsidRPr="00F562A8">
        <w:rPr>
          <w:rFonts w:ascii="Times New Roman" w:hAnsi="Times New Roman" w:cs="Times New Roman"/>
          <w:sz w:val="26"/>
          <w:szCs w:val="26"/>
        </w:rPr>
        <w:t xml:space="preserve"> </w:t>
      </w:r>
      <w:r w:rsidRPr="00F562A8">
        <w:rPr>
          <w:rFonts w:ascii="Times New Roman" w:hAnsi="Times New Roman" w:cs="Times New Roman"/>
          <w:sz w:val="26"/>
          <w:szCs w:val="26"/>
        </w:rPr>
        <w:t xml:space="preserve">- Множественные регрессионные </w:t>
      </w:r>
      <w:r w:rsidR="005871E1">
        <w:rPr>
          <w:rFonts w:ascii="Times New Roman" w:hAnsi="Times New Roman" w:cs="Times New Roman"/>
          <w:sz w:val="26"/>
          <w:szCs w:val="26"/>
        </w:rPr>
        <w:t>дву</w:t>
      </w:r>
      <w:r w:rsidRPr="00F562A8">
        <w:rPr>
          <w:rFonts w:ascii="Times New Roman" w:hAnsi="Times New Roman" w:cs="Times New Roman"/>
          <w:sz w:val="26"/>
          <w:szCs w:val="26"/>
        </w:rPr>
        <w:t>хфакторные модели</w:t>
      </w:r>
    </w:p>
    <w:p w14:paraId="7B2021B6" w14:textId="77777777" w:rsidR="00B15076" w:rsidRPr="00F562A8" w:rsidRDefault="00B15076" w:rsidP="006F6435">
      <w:pPr>
        <w:pStyle w:val="ConsPlusNormal"/>
        <w:spacing w:line="276" w:lineRule="auto"/>
        <w:ind w:firstLine="709"/>
        <w:jc w:val="both"/>
        <w:rPr>
          <w:rFonts w:ascii="Times New Roman" w:hAnsi="Times New Roman" w:cs="Times New Roman"/>
          <w:sz w:val="26"/>
          <w:szCs w:val="26"/>
        </w:rPr>
      </w:pPr>
    </w:p>
    <w:p w14:paraId="1A200BED" w14:textId="6F9C5B2C"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8B4E7C">
        <w:rPr>
          <w:rFonts w:ascii="Times New Roman" w:hAnsi="Times New Roman" w:cs="Times New Roman"/>
          <w:sz w:val="26"/>
          <w:szCs w:val="26"/>
        </w:rPr>
        <w:t>Согласно п.</w:t>
      </w:r>
      <w:r w:rsidR="008B4E7C" w:rsidRPr="008B4E7C">
        <w:rPr>
          <w:rFonts w:ascii="Times New Roman" w:hAnsi="Times New Roman" w:cs="Times New Roman"/>
          <w:sz w:val="26"/>
          <w:szCs w:val="26"/>
        </w:rPr>
        <w:t>45</w:t>
      </w:r>
      <w:r w:rsidRPr="008B4E7C">
        <w:rPr>
          <w:rFonts w:ascii="Times New Roman" w:hAnsi="Times New Roman" w:cs="Times New Roman"/>
          <w:sz w:val="26"/>
          <w:szCs w:val="26"/>
        </w:rPr>
        <w:t>.1.2 Указаний</w:t>
      </w:r>
      <w:r w:rsidRPr="00F562A8">
        <w:rPr>
          <w:rFonts w:ascii="Times New Roman" w:hAnsi="Times New Roman" w:cs="Times New Roman"/>
          <w:sz w:val="26"/>
          <w:szCs w:val="26"/>
        </w:rPr>
        <w:t>, анализ качества статистической модели включает в себя комплекс процедур, предусматривающий проверки, в том числе:</w:t>
      </w:r>
    </w:p>
    <w:p w14:paraId="5A76512C"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0814E92B"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2541C47B"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671B5C74"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1FB6A9B5"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3D9936E2"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39DB436F" w14:textId="77777777" w:rsidR="00306BF5" w:rsidRPr="00F562A8" w:rsidRDefault="00306BF5" w:rsidP="00BB124E">
      <w:pPr>
        <w:pStyle w:val="ConsPlusNormal"/>
        <w:tabs>
          <w:tab w:val="left" w:pos="851"/>
        </w:tabs>
        <w:spacing w:line="276" w:lineRule="auto"/>
        <w:ind w:left="284" w:firstLine="426"/>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bookmarkEnd w:id="185"/>
    <w:p w14:paraId="2BB6D02B" w14:textId="42348843" w:rsidR="00306BF5" w:rsidRPr="00F562A8" w:rsidRDefault="00AE5DBA" w:rsidP="00F22300">
      <w:pPr>
        <w:pStyle w:val="ConsPlusNormal"/>
        <w:spacing w:line="276" w:lineRule="auto"/>
        <w:jc w:val="center"/>
        <w:rPr>
          <w:rFonts w:ascii="Times New Roman" w:hAnsi="Times New Roman" w:cs="Times New Roman"/>
          <w:noProof/>
        </w:rPr>
      </w:pPr>
      <w:r w:rsidRPr="00DE0CE0">
        <w:rPr>
          <w:noProof/>
        </w:rPr>
        <w:drawing>
          <wp:inline distT="0" distB="0" distL="0" distR="0" wp14:anchorId="5C109E51" wp14:editId="0B7980A2">
            <wp:extent cx="5943477" cy="139065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6059942" cy="1417900"/>
                    </a:xfrm>
                    <a:prstGeom prst="rect">
                      <a:avLst/>
                    </a:prstGeom>
                  </pic:spPr>
                </pic:pic>
              </a:graphicData>
            </a:graphic>
          </wp:inline>
        </w:drawing>
      </w:r>
    </w:p>
    <w:p w14:paraId="1F5CC91B" w14:textId="75EF6B5C" w:rsidR="00306BF5" w:rsidRPr="00F562A8" w:rsidRDefault="00306BF5" w:rsidP="006F6435">
      <w:pPr>
        <w:pStyle w:val="ConsPlusNormal"/>
        <w:spacing w:line="276" w:lineRule="auto"/>
        <w:ind w:firstLine="709"/>
        <w:jc w:val="center"/>
        <w:rPr>
          <w:rFonts w:ascii="Times New Roman" w:hAnsi="Times New Roman" w:cs="Times New Roman"/>
          <w:sz w:val="26"/>
          <w:szCs w:val="26"/>
        </w:rPr>
      </w:pPr>
      <w:bookmarkStart w:id="186" w:name="_Hlk13832125"/>
      <w:bookmarkStart w:id="187" w:name="_Hlk13832969"/>
      <w:bookmarkStart w:id="188" w:name="_Hlk13833421"/>
      <w:r w:rsidRPr="00F562A8">
        <w:rPr>
          <w:rFonts w:ascii="Times New Roman" w:hAnsi="Times New Roman" w:cs="Times New Roman"/>
          <w:sz w:val="26"/>
          <w:szCs w:val="26"/>
        </w:rPr>
        <w:t>Рис.</w:t>
      </w:r>
      <w:r w:rsidR="003A42F0" w:rsidRPr="00F562A8">
        <w:rPr>
          <w:rFonts w:ascii="Times New Roman" w:hAnsi="Times New Roman" w:cs="Times New Roman"/>
          <w:sz w:val="26"/>
          <w:szCs w:val="26"/>
        </w:rPr>
        <w:t xml:space="preserve"> 3.6.2.</w:t>
      </w:r>
      <w:r w:rsidR="00593E17">
        <w:rPr>
          <w:rFonts w:ascii="Times New Roman" w:hAnsi="Times New Roman" w:cs="Times New Roman"/>
          <w:sz w:val="26"/>
          <w:szCs w:val="26"/>
        </w:rPr>
        <w:t>1.</w:t>
      </w:r>
      <w:r w:rsidR="00E831DD">
        <w:rPr>
          <w:rFonts w:ascii="Times New Roman" w:hAnsi="Times New Roman" w:cs="Times New Roman"/>
          <w:sz w:val="26"/>
          <w:szCs w:val="26"/>
        </w:rPr>
        <w:t>2</w:t>
      </w:r>
      <w:r w:rsidR="003A42F0" w:rsidRPr="00F562A8">
        <w:rPr>
          <w:rFonts w:ascii="Times New Roman" w:hAnsi="Times New Roman" w:cs="Times New Roman"/>
          <w:sz w:val="26"/>
          <w:szCs w:val="26"/>
        </w:rPr>
        <w:t xml:space="preserve"> </w:t>
      </w:r>
      <w:r w:rsidRPr="00F562A8">
        <w:rPr>
          <w:rFonts w:ascii="Times New Roman" w:hAnsi="Times New Roman" w:cs="Times New Roman"/>
          <w:sz w:val="26"/>
          <w:szCs w:val="26"/>
        </w:rPr>
        <w:t>-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459BCF39"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bookmarkStart w:id="189" w:name="_Hlk13832115"/>
      <w:bookmarkEnd w:id="186"/>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0569A350"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bookmarkEnd w:id="187"/>
      <w:bookmarkEnd w:id="189"/>
    </w:p>
    <w:bookmarkEnd w:id="188"/>
    <w:p w14:paraId="40AAF33A"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эмпирические данные модели,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7941D6A0" w14:textId="5FF3BAA5" w:rsidR="00306BF5" w:rsidRPr="00F562A8" w:rsidRDefault="00FF4C9D" w:rsidP="006F6435">
      <w:pPr>
        <w:spacing w:after="0" w:line="276" w:lineRule="auto"/>
        <w:jc w:val="center"/>
        <w:rPr>
          <w:rFonts w:ascii="Times New Roman" w:hAnsi="Times New Roman" w:cs="Times New Roman"/>
          <w:lang w:val="en-US"/>
        </w:rPr>
      </w:pPr>
      <w:r w:rsidRPr="00DE0CE0">
        <w:rPr>
          <w:noProof/>
          <w:lang w:eastAsia="ru-RU"/>
        </w:rPr>
        <w:drawing>
          <wp:inline distT="0" distB="0" distL="0" distR="0" wp14:anchorId="244C40C2" wp14:editId="1C5D0CC6">
            <wp:extent cx="3048425" cy="10288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048425" cy="1028844"/>
                    </a:xfrm>
                    <a:prstGeom prst="rect">
                      <a:avLst/>
                    </a:prstGeom>
                  </pic:spPr>
                </pic:pic>
              </a:graphicData>
            </a:graphic>
          </wp:inline>
        </w:drawing>
      </w:r>
    </w:p>
    <w:p w14:paraId="6DD3C12B" w14:textId="1D5C77B3" w:rsidR="00306BF5" w:rsidRPr="00F562A8" w:rsidRDefault="00306BF5" w:rsidP="006F6435">
      <w:pPr>
        <w:spacing w:line="276" w:lineRule="auto"/>
        <w:jc w:val="center"/>
        <w:rPr>
          <w:rFonts w:ascii="Times New Roman" w:hAnsi="Times New Roman" w:cs="Times New Roman"/>
          <w:sz w:val="26"/>
          <w:szCs w:val="26"/>
        </w:rPr>
      </w:pPr>
      <w:bookmarkStart w:id="190" w:name="_Hlk13833442"/>
      <w:r w:rsidRPr="00F562A8">
        <w:rPr>
          <w:rFonts w:ascii="Times New Roman" w:hAnsi="Times New Roman" w:cs="Times New Roman"/>
          <w:sz w:val="26"/>
          <w:szCs w:val="26"/>
        </w:rPr>
        <w:t>Рис.</w:t>
      </w:r>
      <w:r w:rsidR="003A42F0" w:rsidRPr="00F562A8">
        <w:rPr>
          <w:rFonts w:ascii="Times New Roman" w:hAnsi="Times New Roman" w:cs="Times New Roman"/>
          <w:sz w:val="26"/>
          <w:szCs w:val="26"/>
        </w:rPr>
        <w:t xml:space="preserve"> 3.6.2.</w:t>
      </w:r>
      <w:r w:rsidR="00593E17">
        <w:rPr>
          <w:rFonts w:ascii="Times New Roman" w:hAnsi="Times New Roman" w:cs="Times New Roman"/>
          <w:sz w:val="26"/>
          <w:szCs w:val="26"/>
        </w:rPr>
        <w:t>1.</w:t>
      </w:r>
      <w:r w:rsidR="00E831DD">
        <w:rPr>
          <w:rFonts w:ascii="Times New Roman" w:hAnsi="Times New Roman" w:cs="Times New Roman"/>
          <w:sz w:val="26"/>
          <w:szCs w:val="26"/>
        </w:rPr>
        <w:t>3</w:t>
      </w:r>
      <w:r w:rsidR="003A42F0" w:rsidRPr="00F562A8">
        <w:rPr>
          <w:rFonts w:ascii="Times New Roman" w:hAnsi="Times New Roman" w:cs="Times New Roman"/>
          <w:sz w:val="26"/>
          <w:szCs w:val="26"/>
        </w:rPr>
        <w:t xml:space="preserve"> </w:t>
      </w:r>
      <w:r w:rsidRPr="00F562A8">
        <w:rPr>
          <w:rFonts w:ascii="Times New Roman" w:hAnsi="Times New Roman" w:cs="Times New Roman"/>
          <w:sz w:val="26"/>
          <w:szCs w:val="26"/>
        </w:rPr>
        <w:t>- Значения F-критерия Фишера</w:t>
      </w:r>
    </w:p>
    <w:bookmarkEnd w:id="190"/>
    <w:p w14:paraId="6FA67100" w14:textId="7CB1B91D"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2D1BBE5D" w14:textId="583FA9E7" w:rsidR="00E12957" w:rsidRPr="00E12957" w:rsidRDefault="002E2411" w:rsidP="00E12957">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i/>
          <w:sz w:val="26"/>
          <w:szCs w:val="26"/>
        </w:rPr>
        <w:t xml:space="preserve">УПКС = </w:t>
      </w:r>
      <w:r w:rsidR="00E12957" w:rsidRPr="00E12957">
        <w:rPr>
          <w:rFonts w:ascii="Times New Roman" w:hAnsi="Times New Roman" w:cs="Times New Roman"/>
          <w:i/>
          <w:sz w:val="26"/>
          <w:szCs w:val="26"/>
        </w:rPr>
        <w:t>3376.14604960101*e^</w:t>
      </w:r>
      <w:r w:rsidR="00E12957">
        <w:rPr>
          <w:rFonts w:ascii="Times New Roman" w:hAnsi="Times New Roman" w:cs="Times New Roman"/>
          <w:i/>
          <w:sz w:val="26"/>
          <w:szCs w:val="26"/>
        </w:rPr>
        <w:t xml:space="preserve"> </w:t>
      </w:r>
      <w:r w:rsidR="00E12957" w:rsidRPr="00E12957">
        <w:rPr>
          <w:rFonts w:ascii="Times New Roman" w:hAnsi="Times New Roman" w:cs="Times New Roman"/>
          <w:i/>
          <w:sz w:val="26"/>
          <w:szCs w:val="26"/>
        </w:rPr>
        <w:t>(+0.000024587963462641</w:t>
      </w:r>
      <w:r w:rsidR="00E12957">
        <w:rPr>
          <w:rFonts w:ascii="Times New Roman" w:hAnsi="Times New Roman" w:cs="Times New Roman"/>
          <w:i/>
          <w:sz w:val="26"/>
          <w:szCs w:val="26"/>
        </w:rPr>
        <w:t xml:space="preserve"> </w:t>
      </w:r>
      <w:r w:rsidR="00E12957" w:rsidRPr="00E12957">
        <w:rPr>
          <w:rFonts w:ascii="Times New Roman" w:hAnsi="Times New Roman" w:cs="Times New Roman"/>
          <w:i/>
          <w:sz w:val="26"/>
          <w:szCs w:val="26"/>
        </w:rPr>
        <w:t>*((14806.456</w:t>
      </w:r>
      <w:r w:rsidR="00E12957">
        <w:rPr>
          <w:rFonts w:ascii="Times New Roman" w:hAnsi="Times New Roman" w:cs="Times New Roman"/>
          <w:i/>
          <w:sz w:val="26"/>
          <w:szCs w:val="26"/>
        </w:rPr>
        <w:t xml:space="preserve"> </w:t>
      </w:r>
      <w:r w:rsidR="00E12957" w:rsidRPr="00E12957">
        <w:rPr>
          <w:rFonts w:ascii="Times New Roman" w:hAnsi="Times New Roman" w:cs="Times New Roman"/>
          <w:i/>
          <w:sz w:val="26"/>
          <w:szCs w:val="26"/>
        </w:rPr>
        <w:t>+</w:t>
      </w:r>
      <w:r w:rsidR="00E12957">
        <w:rPr>
          <w:rFonts w:ascii="Times New Roman" w:hAnsi="Times New Roman" w:cs="Times New Roman"/>
          <w:i/>
          <w:sz w:val="26"/>
          <w:szCs w:val="26"/>
        </w:rPr>
        <w:t xml:space="preserve"> </w:t>
      </w:r>
      <w:r w:rsidR="00E12957" w:rsidRPr="00E12957">
        <w:rPr>
          <w:rFonts w:ascii="Times New Roman" w:hAnsi="Times New Roman" w:cs="Times New Roman"/>
          <w:i/>
          <w:sz w:val="26"/>
          <w:szCs w:val="26"/>
        </w:rPr>
        <w:t>-1680.63</w:t>
      </w:r>
      <w:r w:rsidR="00E12957">
        <w:rPr>
          <w:rFonts w:ascii="Times New Roman" w:hAnsi="Times New Roman" w:cs="Times New Roman"/>
          <w:i/>
          <w:sz w:val="26"/>
          <w:szCs w:val="26"/>
        </w:rPr>
        <w:t xml:space="preserve"> </w:t>
      </w:r>
      <w:r w:rsidR="00E12957" w:rsidRPr="00E12957">
        <w:rPr>
          <w:rFonts w:ascii="Times New Roman" w:hAnsi="Times New Roman" w:cs="Times New Roman"/>
          <w:i/>
          <w:sz w:val="26"/>
          <w:szCs w:val="26"/>
        </w:rPr>
        <w:t>-</w:t>
      </w:r>
      <w:r w:rsidR="00E12957">
        <w:rPr>
          <w:rFonts w:ascii="Times New Roman" w:hAnsi="Times New Roman" w:cs="Times New Roman"/>
          <w:i/>
          <w:sz w:val="26"/>
          <w:szCs w:val="26"/>
        </w:rPr>
        <w:t xml:space="preserve"> </w:t>
      </w:r>
      <w:r w:rsidR="00E12957" w:rsidRPr="00E12957">
        <w:rPr>
          <w:rFonts w:ascii="Times New Roman" w:hAnsi="Times New Roman" w:cs="Times New Roman"/>
          <w:i/>
          <w:sz w:val="26"/>
          <w:szCs w:val="26"/>
        </w:rPr>
        <w:t>гнп Расстояние объекта до историко-культурного центра))</w:t>
      </w:r>
      <w:r w:rsidR="00E12957">
        <w:rPr>
          <w:rFonts w:ascii="Times New Roman" w:hAnsi="Times New Roman" w:cs="Times New Roman"/>
          <w:i/>
          <w:sz w:val="26"/>
          <w:szCs w:val="26"/>
        </w:rPr>
        <w:t xml:space="preserve"> </w:t>
      </w:r>
      <w:r w:rsidR="00E12957" w:rsidRPr="00E12957">
        <w:rPr>
          <w:rFonts w:ascii="Times New Roman" w:hAnsi="Times New Roman" w:cs="Times New Roman"/>
          <w:i/>
          <w:sz w:val="26"/>
          <w:szCs w:val="26"/>
        </w:rPr>
        <w:t>+0.0000332834674576033*((15257.18+-1075.376-гнп Расстояние объекта до центра населенного пункта)))</w:t>
      </w:r>
    </w:p>
    <w:p w14:paraId="3403B701" w14:textId="7E675B92"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7A29B331" w14:textId="7AA308FA" w:rsidR="00306BF5" w:rsidRPr="00F562A8" w:rsidRDefault="00D2284B" w:rsidP="006F6435">
      <w:pPr>
        <w:spacing w:after="0" w:line="276" w:lineRule="auto"/>
        <w:jc w:val="center"/>
        <w:rPr>
          <w:rFonts w:ascii="Times New Roman" w:hAnsi="Times New Roman" w:cs="Times New Roman"/>
          <w:sz w:val="26"/>
          <w:szCs w:val="26"/>
        </w:rPr>
      </w:pPr>
      <w:r w:rsidRPr="00DE0CE0">
        <w:rPr>
          <w:noProof/>
          <w:lang w:eastAsia="ru-RU"/>
        </w:rPr>
        <w:drawing>
          <wp:inline distT="0" distB="0" distL="0" distR="0" wp14:anchorId="69950D6F" wp14:editId="1631414E">
            <wp:extent cx="5810250" cy="3333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850548" cy="3356872"/>
                    </a:xfrm>
                    <a:prstGeom prst="rect">
                      <a:avLst/>
                    </a:prstGeom>
                  </pic:spPr>
                </pic:pic>
              </a:graphicData>
            </a:graphic>
          </wp:inline>
        </w:drawing>
      </w:r>
    </w:p>
    <w:p w14:paraId="2CCC4528" w14:textId="7386247E" w:rsidR="00306BF5" w:rsidRPr="00F562A8" w:rsidRDefault="00306BF5" w:rsidP="006F6435">
      <w:pPr>
        <w:spacing w:after="0" w:line="276" w:lineRule="auto"/>
        <w:ind w:firstLine="709"/>
        <w:jc w:val="center"/>
        <w:rPr>
          <w:rFonts w:ascii="Times New Roman" w:hAnsi="Times New Roman" w:cs="Times New Roman"/>
          <w:sz w:val="26"/>
          <w:szCs w:val="26"/>
        </w:rPr>
      </w:pPr>
      <w:bookmarkStart w:id="191" w:name="_Hlk13832183"/>
      <w:r w:rsidRPr="00F562A8">
        <w:rPr>
          <w:rFonts w:ascii="Times New Roman" w:hAnsi="Times New Roman" w:cs="Times New Roman"/>
          <w:sz w:val="26"/>
          <w:szCs w:val="26"/>
        </w:rPr>
        <w:t>Рис.</w:t>
      </w:r>
      <w:r w:rsidR="003A42F0" w:rsidRPr="00F562A8">
        <w:rPr>
          <w:rFonts w:ascii="Times New Roman" w:hAnsi="Times New Roman" w:cs="Times New Roman"/>
          <w:sz w:val="26"/>
          <w:szCs w:val="26"/>
        </w:rPr>
        <w:t xml:space="preserve"> 3.6.2.</w:t>
      </w:r>
      <w:r w:rsidR="00593E17">
        <w:rPr>
          <w:rFonts w:ascii="Times New Roman" w:hAnsi="Times New Roman" w:cs="Times New Roman"/>
          <w:sz w:val="26"/>
          <w:szCs w:val="26"/>
        </w:rPr>
        <w:t>1.</w:t>
      </w:r>
      <w:r w:rsidR="00E831DD">
        <w:rPr>
          <w:rFonts w:ascii="Times New Roman" w:hAnsi="Times New Roman" w:cs="Times New Roman"/>
          <w:sz w:val="26"/>
          <w:szCs w:val="26"/>
        </w:rPr>
        <w:t>4</w:t>
      </w:r>
      <w:r w:rsidR="003A42F0" w:rsidRPr="00F562A8">
        <w:rPr>
          <w:rFonts w:ascii="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bookmarkEnd w:id="191"/>
    <w:p w14:paraId="1A04CFE7" w14:textId="66ED7AEB" w:rsidR="000610AA" w:rsidRPr="006548E3" w:rsidRDefault="00306BF5" w:rsidP="00C81C56">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Как видно из статистических показателей, представленных выше, все коэффициенты регрессионной модели ненулевые, связь между факторами и кадастровой стоимостью обратная, то есть при росте каждого фактора кадастровая стоимость уменьшается. Малые значения средней ошибки аппроксимации и среднеквадратической ошибки оценки свидетельствуют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w:t>
      </w:r>
      <w:r w:rsidRPr="006548E3">
        <w:rPr>
          <w:rFonts w:ascii="Times New Roman" w:hAnsi="Times New Roman" w:cs="Times New Roman"/>
          <w:sz w:val="26"/>
          <w:szCs w:val="26"/>
        </w:rPr>
        <w:t>прогнозировании.</w:t>
      </w:r>
    </w:p>
    <w:p w14:paraId="4D51DE55" w14:textId="295E92BE" w:rsidR="00994221" w:rsidRDefault="00C9034B" w:rsidP="00994221">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2D6F65" w:rsidRPr="00637AE9">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/2.4.2</w:t>
      </w:r>
    </w:p>
    <w:p w14:paraId="4D3E0452" w14:textId="18338146" w:rsidR="00905F38" w:rsidRDefault="00905F38" w:rsidP="006F6435">
      <w:pPr>
        <w:spacing w:before="120" w:after="120" w:line="276" w:lineRule="auto"/>
        <w:ind w:firstLine="709"/>
        <w:jc w:val="center"/>
        <w:rPr>
          <w:rFonts w:ascii="Times New Roman" w:eastAsiaTheme="minorEastAsia" w:hAnsi="Times New Roman" w:cs="Times New Roman"/>
          <w:i/>
          <w:sz w:val="16"/>
          <w:szCs w:val="16"/>
        </w:rPr>
      </w:pPr>
    </w:p>
    <w:p w14:paraId="0AF31B9F" w14:textId="2B77574A" w:rsidR="00EE5E82" w:rsidRDefault="00EE5E82" w:rsidP="006F6435">
      <w:pPr>
        <w:spacing w:before="120" w:after="120" w:line="276" w:lineRule="auto"/>
        <w:ind w:firstLine="709"/>
        <w:jc w:val="center"/>
        <w:rPr>
          <w:rFonts w:ascii="Times New Roman" w:eastAsiaTheme="minorEastAsia" w:hAnsi="Times New Roman" w:cs="Times New Roman"/>
          <w:i/>
          <w:sz w:val="16"/>
          <w:szCs w:val="16"/>
        </w:rPr>
      </w:pPr>
    </w:p>
    <w:p w14:paraId="1C5C7206" w14:textId="1B6008AB" w:rsidR="00EE5E82" w:rsidRDefault="00EE5E82" w:rsidP="006F6435">
      <w:pPr>
        <w:spacing w:before="120" w:after="120" w:line="276" w:lineRule="auto"/>
        <w:ind w:firstLine="709"/>
        <w:jc w:val="center"/>
        <w:rPr>
          <w:rFonts w:ascii="Times New Roman" w:eastAsiaTheme="minorEastAsia" w:hAnsi="Times New Roman" w:cs="Times New Roman"/>
          <w:i/>
          <w:sz w:val="16"/>
          <w:szCs w:val="16"/>
        </w:rPr>
      </w:pPr>
    </w:p>
    <w:p w14:paraId="4E39402B" w14:textId="282509F5" w:rsidR="00EE5E82" w:rsidRDefault="00EE5E82" w:rsidP="006F6435">
      <w:pPr>
        <w:spacing w:before="120" w:after="120" w:line="276" w:lineRule="auto"/>
        <w:ind w:firstLine="709"/>
        <w:jc w:val="center"/>
        <w:rPr>
          <w:rFonts w:ascii="Times New Roman" w:eastAsiaTheme="minorEastAsia" w:hAnsi="Times New Roman" w:cs="Times New Roman"/>
          <w:i/>
          <w:sz w:val="16"/>
          <w:szCs w:val="16"/>
        </w:rPr>
      </w:pPr>
    </w:p>
    <w:p w14:paraId="2FFBD71E" w14:textId="77777777" w:rsidR="00EE5E82" w:rsidRPr="00F562A8" w:rsidRDefault="00EE5E82" w:rsidP="006F6435">
      <w:pPr>
        <w:spacing w:before="120" w:after="120" w:line="276" w:lineRule="auto"/>
        <w:ind w:firstLine="709"/>
        <w:jc w:val="center"/>
        <w:rPr>
          <w:rFonts w:ascii="Times New Roman" w:eastAsiaTheme="minorEastAsia" w:hAnsi="Times New Roman" w:cs="Times New Roman"/>
          <w:i/>
          <w:sz w:val="16"/>
          <w:szCs w:val="16"/>
        </w:rPr>
      </w:pPr>
    </w:p>
    <w:p w14:paraId="7DDDA79D" w14:textId="0CF7A4A3" w:rsidR="00306BF5" w:rsidRPr="00F562A8" w:rsidRDefault="00B15076" w:rsidP="002D4BEA">
      <w:pPr>
        <w:pStyle w:val="ab"/>
        <w:ind w:left="0"/>
        <w:jc w:val="center"/>
        <w:outlineLvl w:val="2"/>
        <w:rPr>
          <w:rFonts w:ascii="Times New Roman" w:hAnsi="Times New Roman" w:cs="Times New Roman"/>
          <w:i/>
          <w:sz w:val="26"/>
          <w:szCs w:val="26"/>
        </w:rPr>
      </w:pPr>
      <w:bookmarkStart w:id="192" w:name="_Toc110506965"/>
      <w:r w:rsidRPr="009E7344">
        <w:rPr>
          <w:rFonts w:ascii="Times New Roman" w:hAnsi="Times New Roman" w:cs="Times New Roman"/>
          <w:i/>
          <w:sz w:val="26"/>
          <w:szCs w:val="26"/>
        </w:rPr>
        <w:t xml:space="preserve">3.6.2.2. </w:t>
      </w:r>
      <w:r w:rsidR="00306BF5" w:rsidRPr="009E7344">
        <w:rPr>
          <w:rFonts w:ascii="Times New Roman" w:hAnsi="Times New Roman" w:cs="Times New Roman"/>
          <w:i/>
          <w:sz w:val="26"/>
          <w:szCs w:val="26"/>
        </w:rPr>
        <w:t>Расчет</w:t>
      </w:r>
      <w:r w:rsidR="00306BF5" w:rsidRPr="00F562A8">
        <w:rPr>
          <w:rFonts w:ascii="Times New Roman" w:hAnsi="Times New Roman" w:cs="Times New Roman"/>
          <w:i/>
          <w:sz w:val="26"/>
          <w:szCs w:val="26"/>
        </w:rPr>
        <w:t xml:space="preserve"> кадастровой стоимости земельных участков группы </w:t>
      </w:r>
      <w:r w:rsidR="00CC0905" w:rsidRPr="00C06A94">
        <w:rPr>
          <w:rFonts w:ascii="Times New Roman" w:hAnsi="Times New Roman" w:cs="Times New Roman"/>
          <w:i/>
          <w:sz w:val="26"/>
          <w:szCs w:val="26"/>
        </w:rPr>
        <w:t>МЖЗ/</w:t>
      </w:r>
      <w:r w:rsidR="00CC0905">
        <w:rPr>
          <w:rFonts w:ascii="Times New Roman" w:hAnsi="Times New Roman" w:cs="Times New Roman"/>
          <w:i/>
          <w:sz w:val="26"/>
          <w:szCs w:val="26"/>
        </w:rPr>
        <w:t>ГНП</w:t>
      </w:r>
      <w:bookmarkEnd w:id="192"/>
    </w:p>
    <w:p w14:paraId="0F341474" w14:textId="0E914338" w:rsidR="00FA13C8" w:rsidRPr="00F562A8" w:rsidRDefault="00FA13C8" w:rsidP="006F6435">
      <w:pPr>
        <w:spacing w:after="0" w:line="276" w:lineRule="auto"/>
        <w:ind w:firstLine="567"/>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  Перечень объектов оценки данной группы </w:t>
      </w:r>
      <w:r w:rsidRPr="00905F38">
        <w:rPr>
          <w:rFonts w:ascii="Times New Roman" w:eastAsiaTheme="minorEastAsia" w:hAnsi="Times New Roman" w:cs="Times New Roman"/>
          <w:sz w:val="26"/>
          <w:szCs w:val="26"/>
        </w:rPr>
        <w:t xml:space="preserve">приведен в Приложении </w:t>
      </w:r>
      <w:r w:rsidR="002D6F65" w:rsidRPr="00637AE9">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/2.4.2</w:t>
      </w:r>
    </w:p>
    <w:p w14:paraId="6FC63ECF" w14:textId="6BCFE1D1" w:rsidR="007B7047" w:rsidRDefault="007B7047" w:rsidP="007B7047">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6548E3">
        <w:rPr>
          <w:rFonts w:ascii="Times New Roman" w:hAnsi="Times New Roman" w:cs="Times New Roman"/>
          <w:sz w:val="26"/>
          <w:szCs w:val="26"/>
        </w:rPr>
        <w:t>МЖЗ/</w:t>
      </w:r>
      <w:r>
        <w:rPr>
          <w:rFonts w:ascii="Times New Roman" w:hAnsi="Times New Roman" w:cs="Times New Roman"/>
          <w:sz w:val="26"/>
          <w:szCs w:val="26"/>
        </w:rPr>
        <w:t>ГНП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Pr="006548E3">
        <w:rPr>
          <w:rFonts w:ascii="Times New Roman" w:hAnsi="Times New Roman" w:cs="Times New Roman"/>
          <w:sz w:val="26"/>
          <w:szCs w:val="26"/>
        </w:rPr>
        <w:t>02:000, 02:050, 02:051, 02:060, 02:061</w:t>
      </w:r>
      <w:r>
        <w:rPr>
          <w:rFonts w:ascii="Times New Roman" w:hAnsi="Times New Roman" w:cs="Times New Roman"/>
          <w:sz w:val="26"/>
          <w:szCs w:val="26"/>
        </w:rPr>
        <w:t>.</w:t>
      </w:r>
    </w:p>
    <w:p w14:paraId="3B7428F2" w14:textId="29DF1675"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C44F56" w:rsidRPr="00C06A94">
        <w:rPr>
          <w:rFonts w:ascii="Times New Roman" w:hAnsi="Times New Roman" w:cs="Times New Roman"/>
          <w:sz w:val="26"/>
          <w:szCs w:val="26"/>
        </w:rPr>
        <w:t>МЖЗ/</w:t>
      </w:r>
      <w:r w:rsidR="00C44F56">
        <w:rPr>
          <w:rFonts w:ascii="Times New Roman" w:hAnsi="Times New Roman" w:cs="Times New Roman"/>
          <w:sz w:val="26"/>
          <w:szCs w:val="26"/>
        </w:rPr>
        <w:t xml:space="preserve">ГНП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7253AFF1" w14:textId="14D640D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Согласно п.</w:t>
      </w:r>
      <w:r w:rsidR="008B4E7C">
        <w:rPr>
          <w:rFonts w:ascii="Times New Roman" w:eastAsia="Times New Roman" w:hAnsi="Times New Roman" w:cs="Times New Roman"/>
          <w:sz w:val="26"/>
          <w:szCs w:val="26"/>
          <w:lang w:eastAsia="ru-RU"/>
        </w:rPr>
        <w:t>45.</w:t>
      </w:r>
      <w:r w:rsidRPr="00F562A8">
        <w:rPr>
          <w:rFonts w:ascii="Times New Roman" w:eastAsia="Times New Roman" w:hAnsi="Times New Roman" w:cs="Times New Roman"/>
          <w:sz w:val="26"/>
          <w:szCs w:val="26"/>
          <w:lang w:eastAsia="ru-RU"/>
        </w:rPr>
        <w:t>1.1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0F919D33"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Порядок подготовки и построения модели оценки кадастровой стоимости включает:</w:t>
      </w:r>
    </w:p>
    <w:p w14:paraId="60486FB0"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1) определение перечня ценообразующих факторов, описывающих влияние местоположения объектов недвижимости как составного фактора;</w:t>
      </w:r>
    </w:p>
    <w:p w14:paraId="55F19BB0"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2) определение состава ценообразующих факторов, включаемых в статистическую модель, с учетом местоположения объектов недвижимости;</w:t>
      </w:r>
    </w:p>
    <w:p w14:paraId="30EE863B"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3) определение общего вида функций, связывающих зависимую переменную с каждым из ценообразующих факторов;</w:t>
      </w:r>
    </w:p>
    <w:p w14:paraId="49A0505D"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2637CBD7"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5) анализ показателей качества статистической модели.</w:t>
      </w:r>
    </w:p>
    <w:p w14:paraId="30D51CDC" w14:textId="77777777" w:rsidR="00012B25" w:rsidRPr="00F562A8" w:rsidRDefault="00306BF5" w:rsidP="00012B25">
      <w:pPr>
        <w:tabs>
          <w:tab w:val="left" w:pos="1890"/>
        </w:tabs>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городских населенных пунктах Воронежской области,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012B25" w:rsidRPr="00F562A8">
        <w:rPr>
          <w:rFonts w:ascii="Times New Roman" w:hAnsi="Times New Roman" w:cs="Times New Roman"/>
          <w:sz w:val="26"/>
          <w:szCs w:val="26"/>
        </w:rPr>
        <w:t>представлены в таблиц</w:t>
      </w:r>
      <w:r w:rsidR="00012B25">
        <w:rPr>
          <w:rFonts w:ascii="Times New Roman" w:hAnsi="Times New Roman" w:cs="Times New Roman"/>
          <w:sz w:val="26"/>
          <w:szCs w:val="26"/>
        </w:rPr>
        <w:t>ах</w:t>
      </w:r>
      <w:r w:rsidR="00012B25" w:rsidRPr="00F562A8">
        <w:rPr>
          <w:rFonts w:ascii="Times New Roman" w:hAnsi="Times New Roman" w:cs="Times New Roman"/>
          <w:sz w:val="26"/>
          <w:szCs w:val="26"/>
        </w:rPr>
        <w:t xml:space="preserve"> </w:t>
      </w:r>
      <w:r w:rsidR="00012B25" w:rsidRPr="00F562A8">
        <w:rPr>
          <w:rFonts w:ascii="Times New Roman" w:eastAsia="Times New Roman" w:hAnsi="Times New Roman" w:cs="Times New Roman"/>
          <w:sz w:val="26"/>
          <w:szCs w:val="26"/>
        </w:rPr>
        <w:t>3.</w:t>
      </w:r>
      <w:r w:rsidR="00012B25">
        <w:rPr>
          <w:rFonts w:ascii="Times New Roman" w:eastAsia="Times New Roman" w:hAnsi="Times New Roman" w:cs="Times New Roman"/>
          <w:sz w:val="26"/>
          <w:szCs w:val="26"/>
        </w:rPr>
        <w:t>4 и 3.5, пунктов 3.4 и 3.5 соответственно</w:t>
      </w:r>
      <w:r w:rsidR="00012B25" w:rsidRPr="00F562A8">
        <w:rPr>
          <w:rFonts w:ascii="Times New Roman" w:hAnsi="Times New Roman" w:cs="Times New Roman"/>
          <w:sz w:val="26"/>
          <w:szCs w:val="26"/>
        </w:rPr>
        <w:t>.</w:t>
      </w:r>
    </w:p>
    <w:p w14:paraId="0D0A2743" w14:textId="163D96C6"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5990F2EF"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28C49122" w14:textId="738EAB6A"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E06CF3" w:rsidRPr="00F562A8">
        <w:rPr>
          <w:rFonts w:ascii="Times New Roman" w:hAnsi="Times New Roman" w:cs="Times New Roman"/>
          <w:sz w:val="26"/>
          <w:szCs w:val="26"/>
        </w:rPr>
        <w:t>2</w:t>
      </w:r>
      <w:r w:rsidRPr="00F562A8">
        <w:rPr>
          <w:rFonts w:ascii="Times New Roman" w:hAnsi="Times New Roman" w:cs="Times New Roman"/>
          <w:sz w:val="26"/>
          <w:szCs w:val="26"/>
        </w:rPr>
        <w:t>:</w:t>
      </w:r>
    </w:p>
    <w:p w14:paraId="18009980" w14:textId="6CFBCA0B"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E06CF3" w:rsidRPr="00F562A8">
        <w:rPr>
          <w:rFonts w:ascii="Times New Roman" w:hAnsi="Times New Roman" w:cs="Times New Roman"/>
          <w:sz w:val="26"/>
          <w:szCs w:val="26"/>
        </w:rPr>
        <w:t>расстояние объекта до общественно-делового центра</w:t>
      </w:r>
      <w:r w:rsidRPr="00F562A8">
        <w:rPr>
          <w:rFonts w:ascii="Times New Roman" w:hAnsi="Times New Roman" w:cs="Times New Roman"/>
          <w:sz w:val="26"/>
          <w:szCs w:val="26"/>
        </w:rPr>
        <w:t xml:space="preserve">: </w:t>
      </w:r>
      <w:r w:rsidR="00DF4097" w:rsidRPr="00F562A8">
        <w:rPr>
          <w:rFonts w:ascii="Times New Roman" w:hAnsi="Times New Roman" w:cs="Times New Roman"/>
          <w:sz w:val="26"/>
          <w:szCs w:val="26"/>
        </w:rPr>
        <w:t>Х</w:t>
      </w:r>
      <w:r w:rsidR="00DF4097"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218047A9" w14:textId="536DE44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E06CF3" w:rsidRPr="00F562A8">
        <w:rPr>
          <w:rFonts w:ascii="Times New Roman" w:hAnsi="Times New Roman" w:cs="Times New Roman"/>
          <w:sz w:val="26"/>
          <w:szCs w:val="26"/>
        </w:rPr>
        <w:t>среднемесячная заработная плата в муниципальном районе, городском округе</w:t>
      </w:r>
      <w:r w:rsidRPr="00F562A8">
        <w:rPr>
          <w:rFonts w:ascii="Times New Roman" w:hAnsi="Times New Roman" w:cs="Times New Roman"/>
          <w:sz w:val="26"/>
          <w:szCs w:val="26"/>
        </w:rPr>
        <w:t xml:space="preserve">: </w:t>
      </w:r>
      <w:r w:rsidR="00DF4097" w:rsidRPr="00F562A8">
        <w:rPr>
          <w:rFonts w:ascii="Times New Roman" w:hAnsi="Times New Roman" w:cs="Times New Roman"/>
          <w:sz w:val="26"/>
          <w:szCs w:val="26"/>
        </w:rPr>
        <w:t>Х</w:t>
      </w:r>
      <w:r w:rsidR="00DF4097" w:rsidRPr="00F562A8">
        <w:rPr>
          <w:rFonts w:ascii="Times New Roman" w:hAnsi="Times New Roman" w:cs="Times New Roman"/>
          <w:sz w:val="26"/>
          <w:szCs w:val="26"/>
          <w:vertAlign w:val="subscript"/>
        </w:rPr>
        <w:t>1</w:t>
      </w:r>
      <w:r w:rsidR="00DF4097">
        <w:rPr>
          <w:rFonts w:ascii="Times New Roman" w:hAnsi="Times New Roman" w:cs="Times New Roman"/>
          <w:sz w:val="26"/>
          <w:szCs w:val="26"/>
          <w:vertAlign w:val="subscript"/>
        </w:rPr>
        <w:t>.</w:t>
      </w:r>
    </w:p>
    <w:p w14:paraId="5149D025"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17C30CA9"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30C9747B" w14:textId="0B8ECE1C"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711522" w:rsidRPr="00F562A8">
        <w:rPr>
          <w:rFonts w:ascii="Times New Roman" w:hAnsi="Times New Roman" w:cs="Times New Roman"/>
          <w:sz w:val="26"/>
          <w:szCs w:val="26"/>
        </w:rPr>
        <w:t>дву</w:t>
      </w:r>
      <w:r w:rsidRPr="00F562A8">
        <w:rPr>
          <w:rFonts w:ascii="Times New Roman" w:hAnsi="Times New Roman" w:cs="Times New Roman"/>
          <w:sz w:val="26"/>
          <w:szCs w:val="26"/>
        </w:rPr>
        <w:t>хфакторные модели:</w:t>
      </w:r>
    </w:p>
    <w:p w14:paraId="3B86584B" w14:textId="77777777" w:rsidR="00306BF5" w:rsidRPr="00F562A8" w:rsidRDefault="00306BF5" w:rsidP="006F6435">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63B34EFB" wp14:editId="70E9EE70">
            <wp:extent cx="2209800" cy="247650"/>
            <wp:effectExtent l="0" t="0" r="0" b="0"/>
            <wp:docPr id="585" name="Рисунок 585"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2BF60545"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596D372C" wp14:editId="4DEA6FD2">
            <wp:extent cx="1352550" cy="266700"/>
            <wp:effectExtent l="0" t="0" r="0" b="0"/>
            <wp:docPr id="49" name="Рисунок 49"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1835019C"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35D0A727" wp14:editId="20A9512C">
            <wp:extent cx="1266825" cy="266700"/>
            <wp:effectExtent l="0" t="0" r="0" b="0"/>
            <wp:docPr id="586" name="Рисунок 586"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448B7378"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34D9AC78"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X</w:t>
      </w:r>
      <w:r w:rsidRPr="00F562A8">
        <w:rPr>
          <w:rFonts w:ascii="Times New Roman" w:eastAsia="Times New Roman" w:hAnsi="Times New Roman" w:cs="Times New Roman"/>
          <w:sz w:val="26"/>
          <w:szCs w:val="26"/>
          <w:vertAlign w:val="subscript"/>
          <w:lang w:eastAsia="ru-RU"/>
        </w:rPr>
        <w:t>1</w:t>
      </w:r>
      <w:r w:rsidRPr="00F562A8">
        <w:rPr>
          <w:rFonts w:ascii="Times New Roman" w:eastAsia="Times New Roman" w:hAnsi="Times New Roman" w:cs="Times New Roman"/>
          <w:sz w:val="26"/>
          <w:szCs w:val="26"/>
          <w:lang w:eastAsia="ru-RU"/>
        </w:rPr>
        <w:t>, ..., X</w:t>
      </w:r>
      <w:r w:rsidRPr="00F562A8">
        <w:rPr>
          <w:rFonts w:ascii="Times New Roman" w:eastAsia="Times New Roman" w:hAnsi="Times New Roman" w:cs="Times New Roman"/>
          <w:sz w:val="26"/>
          <w:szCs w:val="26"/>
          <w:vertAlign w:val="subscript"/>
          <w:lang w:eastAsia="ru-RU"/>
        </w:rPr>
        <w:t>n</w:t>
      </w:r>
      <w:r w:rsidRPr="00F562A8">
        <w:rPr>
          <w:rFonts w:ascii="Times New Roman" w:eastAsia="Times New Roman" w:hAnsi="Times New Roman" w:cs="Times New Roman"/>
          <w:sz w:val="26"/>
          <w:szCs w:val="26"/>
          <w:lang w:eastAsia="ru-RU"/>
        </w:rPr>
        <w:t xml:space="preserve"> - ценообразующие факторы объектов недвижимости;</w:t>
      </w:r>
    </w:p>
    <w:p w14:paraId="1DBA4453"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noProof/>
          <w:position w:val="-8"/>
          <w:sz w:val="26"/>
          <w:szCs w:val="26"/>
          <w:lang w:eastAsia="ru-RU"/>
        </w:rPr>
        <w:drawing>
          <wp:inline distT="0" distB="0" distL="0" distR="0" wp14:anchorId="1A9BBBD6" wp14:editId="6381B2B8">
            <wp:extent cx="209550" cy="247650"/>
            <wp:effectExtent l="0" t="0" r="0" b="0"/>
            <wp:docPr id="587" name="Рисунок 587"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w:t>
      </w:r>
      <w:r w:rsidRPr="00F562A8">
        <w:rPr>
          <w:rFonts w:ascii="Times New Roman" w:eastAsia="Times New Roman" w:hAnsi="Times New Roman" w:cs="Times New Roman"/>
          <w:noProof/>
          <w:position w:val="-8"/>
          <w:sz w:val="26"/>
          <w:szCs w:val="26"/>
          <w:lang w:eastAsia="ru-RU"/>
        </w:rPr>
        <w:drawing>
          <wp:inline distT="0" distB="0" distL="0" distR="0" wp14:anchorId="01B21C9B" wp14:editId="29001F08">
            <wp:extent cx="200025" cy="247650"/>
            <wp:effectExtent l="0" t="0" r="9525" b="0"/>
            <wp:docPr id="588" name="Рисунок 588"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 </w:t>
      </w:r>
      <w:r w:rsidRPr="00F562A8">
        <w:rPr>
          <w:rFonts w:ascii="Times New Roman" w:eastAsia="Times New Roman" w:hAnsi="Times New Roman" w:cs="Times New Roman"/>
          <w:noProof/>
          <w:position w:val="-8"/>
          <w:sz w:val="26"/>
          <w:szCs w:val="26"/>
          <w:lang w:eastAsia="ru-RU"/>
        </w:rPr>
        <w:drawing>
          <wp:inline distT="0" distB="0" distL="0" distR="0" wp14:anchorId="04B33CA5" wp14:editId="6B2A3C0A">
            <wp:extent cx="209550" cy="247650"/>
            <wp:effectExtent l="0" t="0" r="0" b="0"/>
            <wp:docPr id="53" name="Рисунок 53"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 коэффициенты модели.</w:t>
      </w:r>
    </w:p>
    <w:p w14:paraId="0DDBD7A2" w14:textId="757E66A6" w:rsidR="00306BF5" w:rsidRPr="00F562A8" w:rsidRDefault="0014756B" w:rsidP="006F6435">
      <w:pPr>
        <w:spacing w:after="0" w:line="276" w:lineRule="auto"/>
        <w:jc w:val="center"/>
        <w:rPr>
          <w:rFonts w:ascii="Times New Roman" w:hAnsi="Times New Roman" w:cs="Times New Roman"/>
          <w:sz w:val="24"/>
          <w:lang w:val="en-US"/>
        </w:rPr>
      </w:pPr>
      <w:r w:rsidRPr="003C2DCF">
        <w:rPr>
          <w:noProof/>
          <w:lang w:eastAsia="ru-RU"/>
        </w:rPr>
        <w:drawing>
          <wp:inline distT="0" distB="0" distL="0" distR="0" wp14:anchorId="5A749386" wp14:editId="33F9F3DA">
            <wp:extent cx="5573458" cy="104775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3"/>
                    <a:srcRect r="20734"/>
                    <a:stretch/>
                  </pic:blipFill>
                  <pic:spPr bwMode="auto">
                    <a:xfrm>
                      <a:off x="0" y="0"/>
                      <a:ext cx="5580728" cy="1049117"/>
                    </a:xfrm>
                    <a:prstGeom prst="rect">
                      <a:avLst/>
                    </a:prstGeom>
                    <a:ln>
                      <a:noFill/>
                    </a:ln>
                    <a:extLst>
                      <a:ext uri="{53640926-AAD7-44D8-BBD7-CCE9431645EC}">
                        <a14:shadowObscured xmlns:a14="http://schemas.microsoft.com/office/drawing/2010/main"/>
                      </a:ext>
                    </a:extLst>
                  </pic:spPr>
                </pic:pic>
              </a:graphicData>
            </a:graphic>
          </wp:inline>
        </w:drawing>
      </w:r>
    </w:p>
    <w:p w14:paraId="45EC0D29" w14:textId="5AE07924"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3A42F0" w:rsidRPr="00F562A8">
        <w:rPr>
          <w:rFonts w:ascii="Times New Roman" w:hAnsi="Times New Roman" w:cs="Times New Roman"/>
          <w:sz w:val="26"/>
          <w:szCs w:val="26"/>
        </w:rPr>
        <w:t>3.6.2.</w:t>
      </w:r>
      <w:r w:rsidR="00DA57FC">
        <w:rPr>
          <w:rFonts w:ascii="Times New Roman" w:hAnsi="Times New Roman" w:cs="Times New Roman"/>
          <w:sz w:val="26"/>
          <w:szCs w:val="26"/>
        </w:rPr>
        <w:t>2.</w:t>
      </w:r>
      <w:r w:rsidR="00E831DD">
        <w:rPr>
          <w:rFonts w:ascii="Times New Roman" w:hAnsi="Times New Roman" w:cs="Times New Roman"/>
          <w:sz w:val="26"/>
          <w:szCs w:val="26"/>
        </w:rPr>
        <w:t>1</w:t>
      </w:r>
      <w:r w:rsidR="003A42F0" w:rsidRPr="00F562A8">
        <w:rPr>
          <w:rFonts w:ascii="Times New Roman" w:hAnsi="Times New Roman" w:cs="Times New Roman"/>
          <w:sz w:val="26"/>
          <w:szCs w:val="26"/>
        </w:rPr>
        <w:t xml:space="preserve"> </w:t>
      </w:r>
      <w:r w:rsidRPr="00F562A8">
        <w:rPr>
          <w:rFonts w:ascii="Times New Roman" w:hAnsi="Times New Roman" w:cs="Times New Roman"/>
          <w:sz w:val="26"/>
          <w:szCs w:val="26"/>
        </w:rPr>
        <w:t xml:space="preserve">- Множественные регрессионные </w:t>
      </w:r>
      <w:r w:rsidR="00711522" w:rsidRPr="00F562A8">
        <w:rPr>
          <w:rFonts w:ascii="Times New Roman" w:hAnsi="Times New Roman" w:cs="Times New Roman"/>
          <w:sz w:val="26"/>
          <w:szCs w:val="26"/>
        </w:rPr>
        <w:t>дву</w:t>
      </w:r>
      <w:r w:rsidRPr="00F562A8">
        <w:rPr>
          <w:rFonts w:ascii="Times New Roman" w:hAnsi="Times New Roman" w:cs="Times New Roman"/>
          <w:sz w:val="26"/>
          <w:szCs w:val="26"/>
        </w:rPr>
        <w:t>хфакторные модели</w:t>
      </w:r>
    </w:p>
    <w:p w14:paraId="0BC1B74A" w14:textId="1E9DE79F"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Согласно п.</w:t>
      </w:r>
      <w:r w:rsidR="008B4E7C">
        <w:rPr>
          <w:rFonts w:ascii="Times New Roman" w:eastAsia="Times New Roman" w:hAnsi="Times New Roman" w:cs="Times New Roman"/>
          <w:sz w:val="26"/>
          <w:szCs w:val="26"/>
          <w:lang w:eastAsia="ru-RU"/>
        </w:rPr>
        <w:t>45</w:t>
      </w:r>
      <w:r w:rsidRPr="00F562A8">
        <w:rPr>
          <w:rFonts w:ascii="Times New Roman" w:eastAsia="Times New Roman" w:hAnsi="Times New Roman" w:cs="Times New Roman"/>
          <w:sz w:val="26"/>
          <w:szCs w:val="26"/>
          <w:lang w:eastAsia="ru-RU"/>
        </w:rPr>
        <w:t>.1.2 Указаний, анализ качества статистической модели включает в себя комплекс процедур, предусматривающий проверки, в том числе:</w:t>
      </w:r>
    </w:p>
    <w:p w14:paraId="21A139BF"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41312024"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обоснованности знаков при коэффициентах статистического уравнения, то есть их соответствия характеру влияния ценообразующих факторов;</w:t>
      </w:r>
    </w:p>
    <w:p w14:paraId="14AAD10F"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7822E6F7"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t-критерию Стьюдента проверки значимости параметров моделей;</w:t>
      </w:r>
    </w:p>
    <w:p w14:paraId="6E038C9C"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средней ошибке аппроксимации;</w:t>
      </w:r>
    </w:p>
    <w:p w14:paraId="193638AE"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коэффициенту детерминации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w:t>
      </w:r>
    </w:p>
    <w:p w14:paraId="5029365D"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расчетному значению F-критерия Фишера, обосновывающего адекватность регрессионной модели.</w:t>
      </w:r>
    </w:p>
    <w:p w14:paraId="58176EBE" w14:textId="23303E8C" w:rsidR="00306BF5" w:rsidRPr="00F562A8" w:rsidRDefault="0014756B" w:rsidP="0014756B">
      <w:pPr>
        <w:widowControl w:val="0"/>
        <w:autoSpaceDE w:val="0"/>
        <w:autoSpaceDN w:val="0"/>
        <w:spacing w:after="0" w:line="276" w:lineRule="auto"/>
        <w:jc w:val="center"/>
        <w:rPr>
          <w:rFonts w:ascii="Times New Roman" w:eastAsia="Times New Roman" w:hAnsi="Times New Roman" w:cs="Times New Roman"/>
          <w:sz w:val="26"/>
          <w:szCs w:val="26"/>
          <w:lang w:eastAsia="ru-RU"/>
        </w:rPr>
      </w:pPr>
      <w:r w:rsidRPr="003C2DCF">
        <w:rPr>
          <w:noProof/>
          <w:lang w:eastAsia="ru-RU"/>
        </w:rPr>
        <w:drawing>
          <wp:inline distT="0" distB="0" distL="0" distR="0" wp14:anchorId="29426A2E" wp14:editId="447A961E">
            <wp:extent cx="6027870" cy="1209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4"/>
                    <a:srcRect t="5758" r="5673" b="9308"/>
                    <a:stretch/>
                  </pic:blipFill>
                  <pic:spPr bwMode="auto">
                    <a:xfrm>
                      <a:off x="0" y="0"/>
                      <a:ext cx="6036503" cy="1211407"/>
                    </a:xfrm>
                    <a:prstGeom prst="rect">
                      <a:avLst/>
                    </a:prstGeom>
                    <a:ln>
                      <a:noFill/>
                    </a:ln>
                    <a:extLst>
                      <a:ext uri="{53640926-AAD7-44D8-BBD7-CCE9431645EC}">
                        <a14:shadowObscured xmlns:a14="http://schemas.microsoft.com/office/drawing/2010/main"/>
                      </a:ext>
                    </a:extLst>
                  </pic:spPr>
                </pic:pic>
              </a:graphicData>
            </a:graphic>
          </wp:inline>
        </w:drawing>
      </w:r>
    </w:p>
    <w:p w14:paraId="16004A84" w14:textId="042AA6EC" w:rsidR="00306BF5" w:rsidRPr="00F562A8" w:rsidRDefault="00306BF5" w:rsidP="006F6435">
      <w:pPr>
        <w:widowControl w:val="0"/>
        <w:autoSpaceDE w:val="0"/>
        <w:autoSpaceDN w:val="0"/>
        <w:spacing w:after="0" w:line="276" w:lineRule="auto"/>
        <w:ind w:firstLine="709"/>
        <w:jc w:val="center"/>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Рис.</w:t>
      </w:r>
      <w:r w:rsidR="003A42F0" w:rsidRPr="00F562A8">
        <w:rPr>
          <w:rFonts w:ascii="Times New Roman" w:hAnsi="Times New Roman" w:cs="Times New Roman"/>
          <w:sz w:val="26"/>
          <w:szCs w:val="26"/>
        </w:rPr>
        <w:t xml:space="preserve"> 3.6.2.</w:t>
      </w:r>
      <w:r w:rsidR="00DA57FC">
        <w:rPr>
          <w:rFonts w:ascii="Times New Roman" w:hAnsi="Times New Roman" w:cs="Times New Roman"/>
          <w:sz w:val="26"/>
          <w:szCs w:val="26"/>
        </w:rPr>
        <w:t>2.</w:t>
      </w:r>
      <w:r w:rsidR="00E831DD">
        <w:rPr>
          <w:rFonts w:ascii="Times New Roman" w:hAnsi="Times New Roman" w:cs="Times New Roman"/>
          <w:sz w:val="26"/>
          <w:szCs w:val="26"/>
        </w:rPr>
        <w:t>2</w:t>
      </w:r>
      <w:r w:rsidR="003A42F0" w:rsidRPr="00F562A8">
        <w:rPr>
          <w:rFonts w:ascii="Times New Roman" w:hAnsi="Times New Roman" w:cs="Times New Roman"/>
          <w:sz w:val="26"/>
          <w:szCs w:val="26"/>
        </w:rPr>
        <w:t xml:space="preserve"> </w:t>
      </w:r>
      <w:r w:rsidRPr="00F562A8">
        <w:rPr>
          <w:rFonts w:ascii="Times New Roman" w:eastAsia="Times New Roman" w:hAnsi="Times New Roman" w:cs="Times New Roman"/>
          <w:sz w:val="26"/>
          <w:szCs w:val="26"/>
          <w:lang w:eastAsia="ru-RU"/>
        </w:rPr>
        <w:t>- Значения t-критерия Стьюдента, средней ошибки аппроксимации, коэффициента детерминации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 xml:space="preserve"> и F-критерия Фишера</w:t>
      </w:r>
    </w:p>
    <w:p w14:paraId="2437551D"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Показатели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79C904FC" w14:textId="77777777" w:rsidR="00306BF5" w:rsidRPr="00F562A8" w:rsidRDefault="00306BF5" w:rsidP="006F643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2FD13461"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 xml:space="preserve">равны: </w:t>
      </w:r>
    </w:p>
    <w:p w14:paraId="07D33865" w14:textId="7FD5E5B3" w:rsidR="00306BF5" w:rsidRPr="00F562A8" w:rsidRDefault="0014756B" w:rsidP="0014756B">
      <w:pPr>
        <w:spacing w:after="0" w:line="276" w:lineRule="auto"/>
        <w:jc w:val="center"/>
        <w:rPr>
          <w:rFonts w:ascii="Times New Roman" w:hAnsi="Times New Roman" w:cs="Times New Roman"/>
          <w:sz w:val="26"/>
          <w:szCs w:val="26"/>
          <w:lang w:val="en-US"/>
        </w:rPr>
      </w:pPr>
      <w:r w:rsidRPr="003C2DCF">
        <w:rPr>
          <w:noProof/>
          <w:lang w:eastAsia="ru-RU"/>
        </w:rPr>
        <w:drawing>
          <wp:inline distT="0" distB="0" distL="0" distR="0" wp14:anchorId="79AAD694" wp14:editId="29F6E5AD">
            <wp:extent cx="3057952" cy="981212"/>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057952" cy="981212"/>
                    </a:xfrm>
                    <a:prstGeom prst="rect">
                      <a:avLst/>
                    </a:prstGeom>
                  </pic:spPr>
                </pic:pic>
              </a:graphicData>
            </a:graphic>
          </wp:inline>
        </w:drawing>
      </w:r>
    </w:p>
    <w:p w14:paraId="4D273549" w14:textId="391E77AC" w:rsidR="00306BF5" w:rsidRPr="00F562A8" w:rsidRDefault="00306BF5" w:rsidP="006F6435">
      <w:pPr>
        <w:spacing w:after="120"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w:t>
      </w:r>
      <w:r w:rsidR="003A42F0" w:rsidRPr="00F562A8">
        <w:rPr>
          <w:rFonts w:ascii="Times New Roman" w:hAnsi="Times New Roman" w:cs="Times New Roman"/>
          <w:sz w:val="26"/>
          <w:szCs w:val="26"/>
        </w:rPr>
        <w:t xml:space="preserve"> 3.6.2.</w:t>
      </w:r>
      <w:r w:rsidR="00DA57FC">
        <w:rPr>
          <w:rFonts w:ascii="Times New Roman" w:hAnsi="Times New Roman" w:cs="Times New Roman"/>
          <w:sz w:val="26"/>
          <w:szCs w:val="26"/>
        </w:rPr>
        <w:t>2.</w:t>
      </w:r>
      <w:r w:rsidR="00E831DD">
        <w:rPr>
          <w:rFonts w:ascii="Times New Roman" w:hAnsi="Times New Roman" w:cs="Times New Roman"/>
          <w:sz w:val="26"/>
          <w:szCs w:val="26"/>
        </w:rPr>
        <w:t>3</w:t>
      </w:r>
      <w:r w:rsidR="003A42F0" w:rsidRPr="00F562A8">
        <w:rPr>
          <w:rFonts w:ascii="Times New Roman" w:hAnsi="Times New Roman" w:cs="Times New Roman"/>
          <w:sz w:val="26"/>
          <w:szCs w:val="26"/>
        </w:rPr>
        <w:t xml:space="preserve"> </w:t>
      </w:r>
      <w:r w:rsidRPr="00F562A8">
        <w:rPr>
          <w:rFonts w:ascii="Times New Roman" w:hAnsi="Times New Roman" w:cs="Times New Roman"/>
          <w:sz w:val="26"/>
          <w:szCs w:val="26"/>
        </w:rPr>
        <w:t xml:space="preserve">- Значения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p>
    <w:p w14:paraId="74340D01"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4FFFE56A" w14:textId="15D2BFC5" w:rsidR="0014756B" w:rsidRPr="0014756B" w:rsidRDefault="00CC6905" w:rsidP="0014756B">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i/>
          <w:sz w:val="26"/>
          <w:szCs w:val="26"/>
        </w:rPr>
        <w:t xml:space="preserve">УПКС = </w:t>
      </w:r>
      <w:r w:rsidR="0014756B" w:rsidRPr="0014756B">
        <w:rPr>
          <w:rFonts w:ascii="Times New Roman" w:hAnsi="Times New Roman" w:cs="Times New Roman"/>
          <w:i/>
          <w:sz w:val="26"/>
          <w:szCs w:val="26"/>
        </w:rPr>
        <w:t>1520.04976669158*e^(+0.0000395564892619393*((6695.217+-2078.912</w:t>
      </w:r>
      <w:r w:rsidR="0014756B">
        <w:rPr>
          <w:rFonts w:ascii="Times New Roman" w:hAnsi="Times New Roman" w:cs="Times New Roman"/>
          <w:i/>
          <w:sz w:val="26"/>
          <w:szCs w:val="26"/>
        </w:rPr>
        <w:t xml:space="preserve"> </w:t>
      </w:r>
      <w:r w:rsidR="0014756B" w:rsidRPr="0014756B">
        <w:rPr>
          <w:rFonts w:ascii="Times New Roman" w:hAnsi="Times New Roman" w:cs="Times New Roman"/>
          <w:i/>
          <w:sz w:val="26"/>
          <w:szCs w:val="26"/>
        </w:rPr>
        <w:t>-</w:t>
      </w:r>
      <w:r w:rsidR="0014756B">
        <w:rPr>
          <w:rFonts w:ascii="Times New Roman" w:hAnsi="Times New Roman" w:cs="Times New Roman"/>
          <w:i/>
          <w:sz w:val="26"/>
          <w:szCs w:val="26"/>
        </w:rPr>
        <w:t xml:space="preserve"> </w:t>
      </w:r>
      <w:r w:rsidR="0014756B" w:rsidRPr="0014756B">
        <w:rPr>
          <w:rFonts w:ascii="Times New Roman" w:hAnsi="Times New Roman" w:cs="Times New Roman"/>
          <w:i/>
          <w:sz w:val="26"/>
          <w:szCs w:val="26"/>
        </w:rPr>
        <w:t>гнп Расстояние объекта до общественно-делового центра))</w:t>
      </w:r>
      <w:r w:rsidR="0014756B">
        <w:rPr>
          <w:rFonts w:ascii="Times New Roman" w:hAnsi="Times New Roman" w:cs="Times New Roman"/>
          <w:i/>
          <w:sz w:val="26"/>
          <w:szCs w:val="26"/>
        </w:rPr>
        <w:t xml:space="preserve"> </w:t>
      </w:r>
      <w:r w:rsidR="0014756B" w:rsidRPr="0014756B">
        <w:rPr>
          <w:rFonts w:ascii="Times New Roman" w:hAnsi="Times New Roman" w:cs="Times New Roman"/>
          <w:i/>
          <w:sz w:val="26"/>
          <w:szCs w:val="26"/>
        </w:rPr>
        <w:t>+0.0000174169648694993*__Среднемесячная заработная плата в муниципальном районе, городском округе)</w:t>
      </w:r>
    </w:p>
    <w:p w14:paraId="3EC57DB4" w14:textId="41CC26F9"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3AB61AED" w14:textId="7C9F4F45" w:rsidR="00306BF5" w:rsidRPr="00F562A8" w:rsidRDefault="00972131" w:rsidP="006F6435">
      <w:pPr>
        <w:spacing w:after="0" w:line="276" w:lineRule="auto"/>
        <w:rPr>
          <w:rFonts w:ascii="Times New Roman" w:hAnsi="Times New Roman" w:cs="Times New Roman"/>
          <w:sz w:val="24"/>
        </w:rPr>
      </w:pPr>
      <w:r w:rsidRPr="003C2DCF">
        <w:rPr>
          <w:noProof/>
          <w:lang w:eastAsia="ru-RU"/>
        </w:rPr>
        <w:drawing>
          <wp:inline distT="0" distB="0" distL="0" distR="0" wp14:anchorId="17C074F6" wp14:editId="1EDC185C">
            <wp:extent cx="5939790" cy="3149898"/>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939790" cy="3149898"/>
                    </a:xfrm>
                    <a:prstGeom prst="rect">
                      <a:avLst/>
                    </a:prstGeom>
                  </pic:spPr>
                </pic:pic>
              </a:graphicData>
            </a:graphic>
          </wp:inline>
        </w:drawing>
      </w:r>
    </w:p>
    <w:p w14:paraId="7733C91D" w14:textId="5077758D" w:rsidR="00306BF5" w:rsidRPr="00F562A8" w:rsidRDefault="00306BF5" w:rsidP="006F6435">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w:t>
      </w:r>
      <w:r w:rsidR="003A42F0" w:rsidRPr="00F562A8">
        <w:rPr>
          <w:rFonts w:ascii="Times New Roman" w:hAnsi="Times New Roman" w:cs="Times New Roman"/>
          <w:sz w:val="26"/>
          <w:szCs w:val="26"/>
        </w:rPr>
        <w:t xml:space="preserve"> 3.6.2.</w:t>
      </w:r>
      <w:r w:rsidR="00DA57FC">
        <w:rPr>
          <w:rFonts w:ascii="Times New Roman" w:hAnsi="Times New Roman" w:cs="Times New Roman"/>
          <w:sz w:val="26"/>
          <w:szCs w:val="26"/>
        </w:rPr>
        <w:t>2.</w:t>
      </w:r>
      <w:r w:rsidR="00E831DD">
        <w:rPr>
          <w:rFonts w:ascii="Times New Roman" w:hAnsi="Times New Roman" w:cs="Times New Roman"/>
          <w:sz w:val="26"/>
          <w:szCs w:val="26"/>
        </w:rPr>
        <w:t>4</w:t>
      </w:r>
      <w:r w:rsidR="00DA57FC">
        <w:rPr>
          <w:rFonts w:ascii="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7DCD496D" w14:textId="77777777" w:rsidR="00E06CF3" w:rsidRPr="00F562A8" w:rsidRDefault="00E06CF3"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фактором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 xml:space="preserve"> и кадастровой стоимостью обратная, то есть при росте этого фактора кадастровая стоимость уменьшается. Влияние фактора Х</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xml:space="preserve"> на кадастровую стоимость прямое и с ростом фактора кадастровая стоимость растет.</w:t>
      </w:r>
      <w:r w:rsidRPr="00F562A8">
        <w:rPr>
          <w:rFonts w:ascii="Times New Roman" w:hAnsi="Times New Roman" w:cs="Times New Roman"/>
          <w:sz w:val="28"/>
          <w:szCs w:val="24"/>
        </w:rPr>
        <w:t xml:space="preserve"> </w:t>
      </w:r>
      <w:r w:rsidRPr="00F562A8">
        <w:rPr>
          <w:rFonts w:ascii="Times New Roman" w:hAnsi="Times New Roman" w:cs="Times New Roman"/>
          <w:sz w:val="26"/>
          <w:szCs w:val="26"/>
        </w:rPr>
        <w:t>Малые значения средней ошибки аппроксимации и среднеквадратической ошибки оценки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04F24BF7" w14:textId="560F53ED" w:rsidR="007B7562" w:rsidRDefault="00C9034B" w:rsidP="006F6435">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2D6F65" w:rsidRPr="00637AE9">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/2.4.2</w:t>
      </w:r>
    </w:p>
    <w:p w14:paraId="0036A2C3" w14:textId="1E427C6B" w:rsidR="00B1113F" w:rsidRDefault="00B1113F" w:rsidP="006F6435">
      <w:pPr>
        <w:spacing w:after="0" w:line="276" w:lineRule="auto"/>
        <w:ind w:firstLine="709"/>
        <w:jc w:val="both"/>
        <w:rPr>
          <w:rFonts w:ascii="Times New Roman" w:eastAsiaTheme="minorEastAsia" w:hAnsi="Times New Roman" w:cs="Times New Roman"/>
          <w:sz w:val="26"/>
          <w:szCs w:val="26"/>
        </w:rPr>
      </w:pPr>
    </w:p>
    <w:p w14:paraId="1B5628B6" w14:textId="13544C8D" w:rsidR="00306BF5" w:rsidRPr="00F562A8" w:rsidRDefault="00B15076" w:rsidP="002D4BEA">
      <w:pPr>
        <w:pStyle w:val="ab"/>
        <w:ind w:left="0"/>
        <w:jc w:val="center"/>
        <w:outlineLvl w:val="2"/>
        <w:rPr>
          <w:rFonts w:ascii="Times New Roman" w:hAnsi="Times New Roman" w:cs="Times New Roman"/>
          <w:i/>
          <w:sz w:val="26"/>
          <w:szCs w:val="26"/>
        </w:rPr>
      </w:pPr>
      <w:bookmarkStart w:id="193" w:name="_Toc110506966"/>
      <w:bookmarkStart w:id="194" w:name="_Hlk41904932"/>
      <w:r w:rsidRPr="009E7344">
        <w:rPr>
          <w:rFonts w:ascii="Times New Roman" w:hAnsi="Times New Roman" w:cs="Times New Roman"/>
          <w:i/>
          <w:sz w:val="26"/>
          <w:szCs w:val="26"/>
        </w:rPr>
        <w:t xml:space="preserve">3.6.2.3. </w:t>
      </w:r>
      <w:r w:rsidR="00306BF5" w:rsidRPr="009E7344">
        <w:rPr>
          <w:rFonts w:ascii="Times New Roman" w:hAnsi="Times New Roman" w:cs="Times New Roman"/>
          <w:i/>
          <w:sz w:val="26"/>
          <w:szCs w:val="26"/>
        </w:rPr>
        <w:t>Расчет кадастровой стоимости</w:t>
      </w:r>
      <w:r w:rsidR="00306BF5" w:rsidRPr="00F562A8">
        <w:rPr>
          <w:rFonts w:ascii="Times New Roman" w:hAnsi="Times New Roman" w:cs="Times New Roman"/>
          <w:i/>
          <w:sz w:val="26"/>
          <w:szCs w:val="26"/>
        </w:rPr>
        <w:t xml:space="preserve"> земельных участков группы </w:t>
      </w:r>
      <w:r w:rsidR="00302217" w:rsidRPr="00C06A94">
        <w:rPr>
          <w:rFonts w:ascii="Times New Roman" w:hAnsi="Times New Roman" w:cs="Times New Roman"/>
          <w:i/>
          <w:sz w:val="26"/>
          <w:szCs w:val="26"/>
        </w:rPr>
        <w:t>МЖЗ/</w:t>
      </w:r>
      <w:r w:rsidR="00302217">
        <w:rPr>
          <w:rFonts w:ascii="Times New Roman" w:hAnsi="Times New Roman" w:cs="Times New Roman"/>
          <w:i/>
          <w:sz w:val="26"/>
          <w:szCs w:val="26"/>
        </w:rPr>
        <w:t>СНП</w:t>
      </w:r>
      <w:bookmarkEnd w:id="193"/>
    </w:p>
    <w:p w14:paraId="53647CF2" w14:textId="782F8BE4" w:rsidR="00306BF5" w:rsidRPr="00F562A8" w:rsidRDefault="00306BF5" w:rsidP="006F6435">
      <w:pPr>
        <w:spacing w:after="0" w:line="276" w:lineRule="auto"/>
        <w:ind w:firstLine="567"/>
        <w:jc w:val="both"/>
        <w:rPr>
          <w:rFonts w:ascii="Times New Roman" w:eastAsiaTheme="minorEastAsia" w:hAnsi="Times New Roman" w:cs="Times New Roman"/>
          <w:sz w:val="26"/>
          <w:szCs w:val="26"/>
        </w:rPr>
      </w:pPr>
      <w:bookmarkStart w:id="195" w:name="_Hlk41897700"/>
      <w:r w:rsidRPr="00F562A8">
        <w:rPr>
          <w:rFonts w:ascii="Times New Roman" w:eastAsiaTheme="minorEastAsia" w:hAnsi="Times New Roman" w:cs="Times New Roman"/>
          <w:sz w:val="26"/>
          <w:szCs w:val="26"/>
        </w:rPr>
        <w:t xml:space="preserve">Перечень объектов оценки данной группы приведен </w:t>
      </w:r>
      <w:r w:rsidRPr="004C67F6">
        <w:rPr>
          <w:rFonts w:ascii="Times New Roman" w:eastAsiaTheme="minorEastAsia" w:hAnsi="Times New Roman" w:cs="Times New Roman"/>
          <w:sz w:val="26"/>
          <w:szCs w:val="26"/>
        </w:rPr>
        <w:t xml:space="preserve">в Приложении </w:t>
      </w:r>
      <w:r w:rsidR="002D6F65" w:rsidRPr="00637AE9">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/2.4.2</w:t>
      </w:r>
    </w:p>
    <w:p w14:paraId="713F3D13" w14:textId="301B3CAA" w:rsidR="00BA7A24" w:rsidRDefault="00BA7A24" w:rsidP="00BA7A24">
      <w:pPr>
        <w:spacing w:after="0" w:line="276" w:lineRule="auto"/>
        <w:ind w:firstLine="709"/>
        <w:jc w:val="both"/>
        <w:rPr>
          <w:rFonts w:ascii="Times New Roman" w:hAnsi="Times New Roman" w:cs="Times New Roman"/>
          <w:sz w:val="26"/>
          <w:szCs w:val="26"/>
        </w:rPr>
      </w:pPr>
      <w:bookmarkStart w:id="196" w:name="_Toc14102072"/>
      <w:bookmarkEnd w:id="195"/>
      <w:r>
        <w:rPr>
          <w:rFonts w:ascii="Times New Roman" w:hAnsi="Times New Roman" w:cs="Times New Roman"/>
          <w:sz w:val="26"/>
          <w:szCs w:val="26"/>
        </w:rPr>
        <w:t xml:space="preserve">В состав группы </w:t>
      </w:r>
      <w:r w:rsidRPr="006548E3">
        <w:rPr>
          <w:rFonts w:ascii="Times New Roman" w:hAnsi="Times New Roman" w:cs="Times New Roman"/>
          <w:sz w:val="26"/>
          <w:szCs w:val="26"/>
        </w:rPr>
        <w:t>МЖЗ/</w:t>
      </w:r>
      <w:r>
        <w:rPr>
          <w:rFonts w:ascii="Times New Roman" w:hAnsi="Times New Roman" w:cs="Times New Roman"/>
          <w:sz w:val="26"/>
          <w:szCs w:val="26"/>
        </w:rPr>
        <w:t>СНП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Pr="006548E3">
        <w:rPr>
          <w:rFonts w:ascii="Times New Roman" w:hAnsi="Times New Roman" w:cs="Times New Roman"/>
          <w:sz w:val="26"/>
          <w:szCs w:val="26"/>
        </w:rPr>
        <w:t>02:000, 02:050, 02:051, 02:060, 02:061</w:t>
      </w:r>
      <w:r>
        <w:rPr>
          <w:rFonts w:ascii="Times New Roman" w:hAnsi="Times New Roman" w:cs="Times New Roman"/>
          <w:sz w:val="26"/>
          <w:szCs w:val="26"/>
        </w:rPr>
        <w:t>.</w:t>
      </w:r>
    </w:p>
    <w:p w14:paraId="673968C1" w14:textId="0FA4ED4E" w:rsidR="0022060B" w:rsidRPr="00F562A8" w:rsidRDefault="0022060B" w:rsidP="0022060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Pr="00C06A94">
        <w:rPr>
          <w:rFonts w:ascii="Times New Roman" w:hAnsi="Times New Roman" w:cs="Times New Roman"/>
          <w:sz w:val="26"/>
          <w:szCs w:val="26"/>
        </w:rPr>
        <w:t>МЖЗ/</w:t>
      </w:r>
      <w:r w:rsidR="00302217">
        <w:rPr>
          <w:rFonts w:ascii="Times New Roman" w:hAnsi="Times New Roman" w:cs="Times New Roman"/>
          <w:sz w:val="26"/>
          <w:szCs w:val="26"/>
        </w:rPr>
        <w:t>С</w:t>
      </w:r>
      <w:r>
        <w:rPr>
          <w:rFonts w:ascii="Times New Roman" w:hAnsi="Times New Roman" w:cs="Times New Roman"/>
          <w:sz w:val="26"/>
          <w:szCs w:val="26"/>
        </w:rPr>
        <w:t xml:space="preserve">НП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2074955F" w14:textId="052E24D0"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Согласно п.</w:t>
      </w:r>
      <w:r w:rsidR="008B4E7C">
        <w:rPr>
          <w:rFonts w:ascii="Times New Roman" w:eastAsia="Times New Roman" w:hAnsi="Times New Roman" w:cs="Times New Roman"/>
          <w:sz w:val="26"/>
          <w:szCs w:val="26"/>
          <w:lang w:eastAsia="ru-RU"/>
        </w:rPr>
        <w:t>45</w:t>
      </w:r>
      <w:r w:rsidRPr="00F562A8">
        <w:rPr>
          <w:rFonts w:ascii="Times New Roman" w:eastAsia="Times New Roman" w:hAnsi="Times New Roman" w:cs="Times New Roman"/>
          <w:sz w:val="26"/>
          <w:szCs w:val="26"/>
          <w:lang w:eastAsia="ru-RU"/>
        </w:rPr>
        <w:t>.1.1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33932E83"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Порядок подготовки и построения модели оценки кадастровой стоимости включает:</w:t>
      </w:r>
    </w:p>
    <w:p w14:paraId="306C18A1"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1) определение перечня ценообразующих факторов, описывающих влияние местоположения объектов недвижимости как составного фактора;</w:t>
      </w:r>
    </w:p>
    <w:p w14:paraId="3DF9A571"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2) определение состава ценообразующих факторов, включаемых в статистическую модель, с учетом местоположения объектов недвижимости;</w:t>
      </w:r>
    </w:p>
    <w:p w14:paraId="2D4CA86F"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3) определение общего вида функций, связывающих зависимую переменную с каждым из ценообразующих факторов;</w:t>
      </w:r>
    </w:p>
    <w:p w14:paraId="70E66FA1"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5355745D"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5) анализ показателей качества статистической модели.</w:t>
      </w:r>
    </w:p>
    <w:p w14:paraId="2B230582" w14:textId="77777777" w:rsidR="00012B25" w:rsidRPr="00F562A8" w:rsidRDefault="0022060B" w:rsidP="00012B25">
      <w:pPr>
        <w:tabs>
          <w:tab w:val="left" w:pos="1890"/>
        </w:tabs>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w:t>
      </w:r>
      <w:r w:rsidR="00110566">
        <w:rPr>
          <w:rFonts w:ascii="Times New Roman" w:hAnsi="Times New Roman" w:cs="Times New Roman"/>
          <w:sz w:val="26"/>
          <w:szCs w:val="26"/>
        </w:rPr>
        <w:t>сельских</w:t>
      </w:r>
      <w:r w:rsidRPr="00F562A8">
        <w:rPr>
          <w:rFonts w:ascii="Times New Roman" w:hAnsi="Times New Roman" w:cs="Times New Roman"/>
          <w:sz w:val="26"/>
          <w:szCs w:val="26"/>
        </w:rPr>
        <w:t xml:space="preserve"> населенных пунктах Воронежской области,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012B25" w:rsidRPr="00F562A8">
        <w:rPr>
          <w:rFonts w:ascii="Times New Roman" w:hAnsi="Times New Roman" w:cs="Times New Roman"/>
          <w:sz w:val="26"/>
          <w:szCs w:val="26"/>
        </w:rPr>
        <w:t>представлены в таблиц</w:t>
      </w:r>
      <w:r w:rsidR="00012B25">
        <w:rPr>
          <w:rFonts w:ascii="Times New Roman" w:hAnsi="Times New Roman" w:cs="Times New Roman"/>
          <w:sz w:val="26"/>
          <w:szCs w:val="26"/>
        </w:rPr>
        <w:t>ах</w:t>
      </w:r>
      <w:r w:rsidR="00012B25" w:rsidRPr="00F562A8">
        <w:rPr>
          <w:rFonts w:ascii="Times New Roman" w:hAnsi="Times New Roman" w:cs="Times New Roman"/>
          <w:sz w:val="26"/>
          <w:szCs w:val="26"/>
        </w:rPr>
        <w:t xml:space="preserve"> </w:t>
      </w:r>
      <w:r w:rsidR="00012B25" w:rsidRPr="00F562A8">
        <w:rPr>
          <w:rFonts w:ascii="Times New Roman" w:eastAsia="Times New Roman" w:hAnsi="Times New Roman" w:cs="Times New Roman"/>
          <w:sz w:val="26"/>
          <w:szCs w:val="26"/>
        </w:rPr>
        <w:t>3.</w:t>
      </w:r>
      <w:r w:rsidR="00012B25">
        <w:rPr>
          <w:rFonts w:ascii="Times New Roman" w:eastAsia="Times New Roman" w:hAnsi="Times New Roman" w:cs="Times New Roman"/>
          <w:sz w:val="26"/>
          <w:szCs w:val="26"/>
        </w:rPr>
        <w:t>4 и 3.5, пунктов 3.4 и 3.5 соответственно</w:t>
      </w:r>
      <w:r w:rsidR="00012B25" w:rsidRPr="00F562A8">
        <w:rPr>
          <w:rFonts w:ascii="Times New Roman" w:hAnsi="Times New Roman" w:cs="Times New Roman"/>
          <w:sz w:val="26"/>
          <w:szCs w:val="26"/>
        </w:rPr>
        <w:t>.</w:t>
      </w:r>
    </w:p>
    <w:p w14:paraId="7A757DE4" w14:textId="73147F3A" w:rsidR="0022060B" w:rsidRPr="00F562A8" w:rsidRDefault="0022060B" w:rsidP="0022060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086B9934" w14:textId="77777777" w:rsidR="0022060B" w:rsidRPr="00F562A8" w:rsidRDefault="0022060B" w:rsidP="0022060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22E11FA8" w14:textId="77777777" w:rsidR="0022060B" w:rsidRPr="00F562A8" w:rsidRDefault="0022060B" w:rsidP="0022060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 данном случае таких факторов было выявлено 2:</w:t>
      </w:r>
    </w:p>
    <w:p w14:paraId="3188399D" w14:textId="5B13960A" w:rsidR="0022060B" w:rsidRPr="00F562A8" w:rsidRDefault="0022060B" w:rsidP="0022060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585D80">
        <w:rPr>
          <w:rFonts w:ascii="Times New Roman" w:hAnsi="Times New Roman" w:cs="Times New Roman"/>
          <w:sz w:val="26"/>
          <w:szCs w:val="26"/>
        </w:rPr>
        <w:t>р</w:t>
      </w:r>
      <w:r w:rsidR="00585D80" w:rsidRPr="00585D80">
        <w:rPr>
          <w:rFonts w:ascii="Times New Roman" w:hAnsi="Times New Roman" w:cs="Times New Roman"/>
          <w:sz w:val="26"/>
          <w:szCs w:val="26"/>
        </w:rPr>
        <w:t>асстояние от населенного пункта до центра субъекта РФ (г. Воронеж)</w:t>
      </w:r>
      <w:r w:rsidRPr="00F562A8">
        <w:rPr>
          <w:rFonts w:ascii="Times New Roman" w:hAnsi="Times New Roman" w:cs="Times New Roman"/>
          <w:sz w:val="26"/>
          <w:szCs w:val="26"/>
        </w:rPr>
        <w:t>: Х</w:t>
      </w:r>
      <w:r w:rsidR="007860E2">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5216FDBF" w14:textId="7BF27F67" w:rsidR="0022060B" w:rsidRPr="00F562A8" w:rsidRDefault="0022060B" w:rsidP="0022060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267B30">
        <w:rPr>
          <w:rFonts w:ascii="Times New Roman" w:hAnsi="Times New Roman" w:cs="Times New Roman"/>
          <w:sz w:val="26"/>
          <w:szCs w:val="26"/>
        </w:rPr>
        <w:t>с</w:t>
      </w:r>
      <w:r w:rsidR="00267B30" w:rsidRPr="00267B30">
        <w:rPr>
          <w:rFonts w:ascii="Times New Roman" w:hAnsi="Times New Roman" w:cs="Times New Roman"/>
          <w:sz w:val="26"/>
          <w:szCs w:val="26"/>
        </w:rPr>
        <w:t>реднемесячная заработная плата в муниципальном районе, городском округе</w:t>
      </w:r>
      <w:r w:rsidRPr="00F562A8">
        <w:rPr>
          <w:rFonts w:ascii="Times New Roman" w:hAnsi="Times New Roman" w:cs="Times New Roman"/>
          <w:sz w:val="26"/>
          <w:szCs w:val="26"/>
        </w:rPr>
        <w:t>: Х</w:t>
      </w:r>
      <w:r w:rsidR="007860E2">
        <w:rPr>
          <w:rFonts w:ascii="Times New Roman" w:hAnsi="Times New Roman" w:cs="Times New Roman"/>
          <w:sz w:val="26"/>
          <w:szCs w:val="26"/>
          <w:vertAlign w:val="subscript"/>
        </w:rPr>
        <w:t>1</w:t>
      </w:r>
      <w:r w:rsidRPr="00F562A8">
        <w:rPr>
          <w:rFonts w:ascii="Times New Roman" w:hAnsi="Times New Roman" w:cs="Times New Roman"/>
          <w:sz w:val="26"/>
          <w:szCs w:val="26"/>
        </w:rPr>
        <w:t>;</w:t>
      </w:r>
    </w:p>
    <w:p w14:paraId="57116DB0" w14:textId="77777777" w:rsidR="0022060B" w:rsidRPr="00F562A8" w:rsidRDefault="0022060B" w:rsidP="0022060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52A9E8F4" w14:textId="77777777" w:rsidR="0022060B" w:rsidRPr="00F562A8" w:rsidRDefault="0022060B" w:rsidP="0022060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5B5AC7AF" w14:textId="77777777" w:rsidR="0022060B" w:rsidRPr="00F562A8" w:rsidRDefault="0022060B" w:rsidP="0022060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На основании отбора факторов были построены множественные регрессионные двухфакторные модели:</w:t>
      </w:r>
    </w:p>
    <w:p w14:paraId="44AB65C2" w14:textId="77777777" w:rsidR="0022060B" w:rsidRPr="00F562A8" w:rsidRDefault="0022060B" w:rsidP="0022060B">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2D6172BF" wp14:editId="0E7BD644">
            <wp:extent cx="2209800" cy="247650"/>
            <wp:effectExtent l="0" t="0" r="0" b="0"/>
            <wp:docPr id="12" name="Рисунок 12"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7E6B8D81" w14:textId="77777777" w:rsidR="0022060B" w:rsidRPr="00F562A8" w:rsidRDefault="0022060B" w:rsidP="0022060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3FD7B01E" wp14:editId="508C3854">
            <wp:extent cx="1352550" cy="266700"/>
            <wp:effectExtent l="0" t="0" r="0" b="0"/>
            <wp:docPr id="13" name="Рисунок 13"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7F207962" w14:textId="77777777" w:rsidR="0022060B" w:rsidRPr="00F562A8" w:rsidRDefault="0022060B" w:rsidP="0022060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2E59C8A8" wp14:editId="45739C37">
            <wp:extent cx="1266825" cy="266700"/>
            <wp:effectExtent l="0" t="0" r="0" b="0"/>
            <wp:docPr id="14" name="Рисунок 14"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1BDD979E" w14:textId="77777777" w:rsidR="0022060B" w:rsidRPr="00F562A8" w:rsidRDefault="0022060B" w:rsidP="0022060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1F0E5B59"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X</w:t>
      </w:r>
      <w:r w:rsidRPr="00F562A8">
        <w:rPr>
          <w:rFonts w:ascii="Times New Roman" w:eastAsia="Times New Roman" w:hAnsi="Times New Roman" w:cs="Times New Roman"/>
          <w:sz w:val="26"/>
          <w:szCs w:val="26"/>
          <w:vertAlign w:val="subscript"/>
          <w:lang w:eastAsia="ru-RU"/>
        </w:rPr>
        <w:t>1</w:t>
      </w:r>
      <w:r w:rsidRPr="00F562A8">
        <w:rPr>
          <w:rFonts w:ascii="Times New Roman" w:eastAsia="Times New Roman" w:hAnsi="Times New Roman" w:cs="Times New Roman"/>
          <w:sz w:val="26"/>
          <w:szCs w:val="26"/>
          <w:lang w:eastAsia="ru-RU"/>
        </w:rPr>
        <w:t>, ..., X</w:t>
      </w:r>
      <w:r w:rsidRPr="00F562A8">
        <w:rPr>
          <w:rFonts w:ascii="Times New Roman" w:eastAsia="Times New Roman" w:hAnsi="Times New Roman" w:cs="Times New Roman"/>
          <w:sz w:val="26"/>
          <w:szCs w:val="26"/>
          <w:vertAlign w:val="subscript"/>
          <w:lang w:eastAsia="ru-RU"/>
        </w:rPr>
        <w:t>n</w:t>
      </w:r>
      <w:r w:rsidRPr="00F562A8">
        <w:rPr>
          <w:rFonts w:ascii="Times New Roman" w:eastAsia="Times New Roman" w:hAnsi="Times New Roman" w:cs="Times New Roman"/>
          <w:sz w:val="26"/>
          <w:szCs w:val="26"/>
          <w:lang w:eastAsia="ru-RU"/>
        </w:rPr>
        <w:t xml:space="preserve"> - ценообразующие факторы объектов недвижимости;</w:t>
      </w:r>
    </w:p>
    <w:p w14:paraId="04D31BBC"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noProof/>
          <w:position w:val="-8"/>
          <w:sz w:val="26"/>
          <w:szCs w:val="26"/>
          <w:lang w:eastAsia="ru-RU"/>
        </w:rPr>
        <w:drawing>
          <wp:inline distT="0" distB="0" distL="0" distR="0" wp14:anchorId="7F3CB2E2" wp14:editId="56A77E30">
            <wp:extent cx="209550" cy="247650"/>
            <wp:effectExtent l="0" t="0" r="0" b="0"/>
            <wp:docPr id="15" name="Рисунок 15"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w:t>
      </w:r>
      <w:r w:rsidRPr="00F562A8">
        <w:rPr>
          <w:rFonts w:ascii="Times New Roman" w:eastAsia="Times New Roman" w:hAnsi="Times New Roman" w:cs="Times New Roman"/>
          <w:noProof/>
          <w:position w:val="-8"/>
          <w:sz w:val="26"/>
          <w:szCs w:val="26"/>
          <w:lang w:eastAsia="ru-RU"/>
        </w:rPr>
        <w:drawing>
          <wp:inline distT="0" distB="0" distL="0" distR="0" wp14:anchorId="72A0DB77" wp14:editId="201050E1">
            <wp:extent cx="200025" cy="247650"/>
            <wp:effectExtent l="0" t="0" r="9525" b="0"/>
            <wp:docPr id="17" name="Рисунок 17"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 </w:t>
      </w:r>
      <w:r w:rsidRPr="00F562A8">
        <w:rPr>
          <w:rFonts w:ascii="Times New Roman" w:eastAsia="Times New Roman" w:hAnsi="Times New Roman" w:cs="Times New Roman"/>
          <w:noProof/>
          <w:position w:val="-8"/>
          <w:sz w:val="26"/>
          <w:szCs w:val="26"/>
          <w:lang w:eastAsia="ru-RU"/>
        </w:rPr>
        <w:drawing>
          <wp:inline distT="0" distB="0" distL="0" distR="0" wp14:anchorId="2CFB89E7" wp14:editId="48E6254E">
            <wp:extent cx="209550" cy="247650"/>
            <wp:effectExtent l="0" t="0" r="0" b="0"/>
            <wp:docPr id="18" name="Рисунок 18"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 коэффициенты модели.</w:t>
      </w:r>
    </w:p>
    <w:p w14:paraId="31DBA9D4" w14:textId="60421B4F" w:rsidR="0022060B" w:rsidRPr="00F562A8" w:rsidRDefault="000B70AB" w:rsidP="0022060B">
      <w:pPr>
        <w:spacing w:after="0" w:line="276" w:lineRule="auto"/>
        <w:jc w:val="center"/>
        <w:rPr>
          <w:rFonts w:ascii="Times New Roman" w:hAnsi="Times New Roman" w:cs="Times New Roman"/>
          <w:sz w:val="24"/>
          <w:lang w:val="en-US"/>
        </w:rPr>
      </w:pPr>
      <w:r w:rsidRPr="00B21241">
        <w:rPr>
          <w:noProof/>
          <w:lang w:eastAsia="ru-RU"/>
        </w:rPr>
        <w:drawing>
          <wp:inline distT="0" distB="0" distL="0" distR="0" wp14:anchorId="74E56317" wp14:editId="4079272E">
            <wp:extent cx="4295776" cy="974541"/>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316499" cy="979242"/>
                    </a:xfrm>
                    <a:prstGeom prst="rect">
                      <a:avLst/>
                    </a:prstGeom>
                  </pic:spPr>
                </pic:pic>
              </a:graphicData>
            </a:graphic>
          </wp:inline>
        </w:drawing>
      </w:r>
    </w:p>
    <w:p w14:paraId="530EFC23" w14:textId="319A493E" w:rsidR="0022060B" w:rsidRPr="00F562A8" w:rsidRDefault="0022060B" w:rsidP="0022060B">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BA7A24" w:rsidRPr="00F562A8">
        <w:rPr>
          <w:rFonts w:ascii="Times New Roman" w:eastAsia="Times New Roman" w:hAnsi="Times New Roman" w:cs="Times New Roman"/>
          <w:sz w:val="26"/>
          <w:szCs w:val="26"/>
        </w:rPr>
        <w:t>3.6.2.</w:t>
      </w:r>
      <w:r w:rsidR="00BA7A24">
        <w:rPr>
          <w:rFonts w:ascii="Times New Roman" w:eastAsia="Times New Roman" w:hAnsi="Times New Roman" w:cs="Times New Roman"/>
          <w:sz w:val="26"/>
          <w:szCs w:val="26"/>
        </w:rPr>
        <w:t>3.</w:t>
      </w:r>
      <w:r w:rsidR="00673F7C">
        <w:rPr>
          <w:rFonts w:ascii="Times New Roman" w:eastAsia="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двухфакторные модели</w:t>
      </w:r>
    </w:p>
    <w:p w14:paraId="00EBA78E" w14:textId="69F265D4"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Согласно п.</w:t>
      </w:r>
      <w:r w:rsidR="008B4E7C">
        <w:rPr>
          <w:rFonts w:ascii="Times New Roman" w:eastAsia="Times New Roman" w:hAnsi="Times New Roman" w:cs="Times New Roman"/>
          <w:sz w:val="26"/>
          <w:szCs w:val="26"/>
          <w:lang w:eastAsia="ru-RU"/>
        </w:rPr>
        <w:t>45</w:t>
      </w:r>
      <w:r w:rsidRPr="00F562A8">
        <w:rPr>
          <w:rFonts w:ascii="Times New Roman" w:eastAsia="Times New Roman" w:hAnsi="Times New Roman" w:cs="Times New Roman"/>
          <w:sz w:val="26"/>
          <w:szCs w:val="26"/>
          <w:lang w:eastAsia="ru-RU"/>
        </w:rPr>
        <w:t>.1.2 Указаний, анализ качества статистической модели включает в себя комплекс процедур, предусматривающий проверки, в том числе:</w:t>
      </w:r>
    </w:p>
    <w:p w14:paraId="6B87A815"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4E4821FE"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обоснованности знаков при коэффициентах статистического уравнения, то есть их соответствия характеру влияния ценообразующих факторов;</w:t>
      </w:r>
    </w:p>
    <w:p w14:paraId="404CF619"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6389FB57"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t-критерию Стьюдента проверки значимости параметров моделей;</w:t>
      </w:r>
    </w:p>
    <w:p w14:paraId="3F7C25C7"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средней ошибке аппроксимации;</w:t>
      </w:r>
    </w:p>
    <w:p w14:paraId="18C20FB9"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коэффициенту детерминации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w:t>
      </w:r>
    </w:p>
    <w:p w14:paraId="67E1EA2C"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расчетному значению F-критерия Фишера, обосновывающего адекватность регрессионной модели.</w:t>
      </w:r>
    </w:p>
    <w:p w14:paraId="60E17C24" w14:textId="35DDD8AC" w:rsidR="0022060B" w:rsidRPr="00F562A8" w:rsidRDefault="000B70AB" w:rsidP="0022060B">
      <w:pPr>
        <w:widowControl w:val="0"/>
        <w:autoSpaceDE w:val="0"/>
        <w:autoSpaceDN w:val="0"/>
        <w:spacing w:after="0" w:line="276" w:lineRule="auto"/>
        <w:jc w:val="center"/>
        <w:rPr>
          <w:rFonts w:ascii="Times New Roman" w:eastAsia="Times New Roman" w:hAnsi="Times New Roman" w:cs="Times New Roman"/>
          <w:sz w:val="26"/>
          <w:szCs w:val="26"/>
          <w:lang w:eastAsia="ru-RU"/>
        </w:rPr>
      </w:pPr>
      <w:r w:rsidRPr="00B21241">
        <w:rPr>
          <w:noProof/>
          <w:lang w:eastAsia="ru-RU"/>
        </w:rPr>
        <w:drawing>
          <wp:inline distT="0" distB="0" distL="0" distR="0" wp14:anchorId="1DFE5473" wp14:editId="23958D1E">
            <wp:extent cx="5924550" cy="1246151"/>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8"/>
                    <a:srcRect r="7909"/>
                    <a:stretch/>
                  </pic:blipFill>
                  <pic:spPr bwMode="auto">
                    <a:xfrm>
                      <a:off x="0" y="0"/>
                      <a:ext cx="5973516" cy="1256450"/>
                    </a:xfrm>
                    <a:prstGeom prst="rect">
                      <a:avLst/>
                    </a:prstGeom>
                    <a:ln>
                      <a:noFill/>
                    </a:ln>
                    <a:extLst>
                      <a:ext uri="{53640926-AAD7-44D8-BBD7-CCE9431645EC}">
                        <a14:shadowObscured xmlns:a14="http://schemas.microsoft.com/office/drawing/2010/main"/>
                      </a:ext>
                    </a:extLst>
                  </pic:spPr>
                </pic:pic>
              </a:graphicData>
            </a:graphic>
          </wp:inline>
        </w:drawing>
      </w:r>
    </w:p>
    <w:p w14:paraId="456448F8" w14:textId="0D102041" w:rsidR="0022060B" w:rsidRPr="00F562A8" w:rsidRDefault="0022060B" w:rsidP="0022060B">
      <w:pPr>
        <w:widowControl w:val="0"/>
        <w:autoSpaceDE w:val="0"/>
        <w:autoSpaceDN w:val="0"/>
        <w:spacing w:after="0" w:line="276" w:lineRule="auto"/>
        <w:ind w:firstLine="709"/>
        <w:jc w:val="center"/>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Рис.</w:t>
      </w:r>
      <w:r w:rsidRPr="00F562A8">
        <w:rPr>
          <w:rFonts w:ascii="Times New Roman" w:hAnsi="Times New Roman" w:cs="Times New Roman"/>
          <w:sz w:val="26"/>
          <w:szCs w:val="26"/>
        </w:rPr>
        <w:t xml:space="preserve"> </w:t>
      </w:r>
      <w:r w:rsidR="00BA7A24" w:rsidRPr="00F562A8">
        <w:rPr>
          <w:rFonts w:ascii="Times New Roman" w:eastAsia="Times New Roman" w:hAnsi="Times New Roman" w:cs="Times New Roman"/>
          <w:sz w:val="26"/>
          <w:szCs w:val="26"/>
        </w:rPr>
        <w:t>3.6.2.</w:t>
      </w:r>
      <w:r w:rsidR="00BA7A24">
        <w:rPr>
          <w:rFonts w:ascii="Times New Roman" w:eastAsia="Times New Roman" w:hAnsi="Times New Roman" w:cs="Times New Roman"/>
          <w:sz w:val="26"/>
          <w:szCs w:val="26"/>
        </w:rPr>
        <w:t>3.</w:t>
      </w:r>
      <w:r w:rsidR="00673F7C">
        <w:rPr>
          <w:rFonts w:ascii="Times New Roman" w:eastAsia="Times New Roman" w:hAnsi="Times New Roman" w:cs="Times New Roman"/>
          <w:sz w:val="26"/>
          <w:szCs w:val="26"/>
        </w:rPr>
        <w:t>2</w:t>
      </w:r>
      <w:r w:rsidR="00BA7A24">
        <w:rPr>
          <w:rFonts w:ascii="Times New Roman" w:eastAsia="Times New Roman" w:hAnsi="Times New Roman" w:cs="Times New Roman"/>
          <w:sz w:val="26"/>
          <w:szCs w:val="26"/>
        </w:rPr>
        <w:t xml:space="preserve"> </w:t>
      </w:r>
      <w:r w:rsidRPr="00F562A8">
        <w:rPr>
          <w:rFonts w:ascii="Times New Roman" w:eastAsia="Times New Roman" w:hAnsi="Times New Roman" w:cs="Times New Roman"/>
          <w:sz w:val="26"/>
          <w:szCs w:val="26"/>
          <w:lang w:eastAsia="ru-RU"/>
        </w:rPr>
        <w:t>- Значения t-критерия Стьюдента, средней ошибки аппроксимации, коэффициента детерминации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 xml:space="preserve"> и F-критерия Фишера</w:t>
      </w:r>
    </w:p>
    <w:p w14:paraId="33502E68"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Показатели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26111D3B" w14:textId="77777777" w:rsidR="0022060B" w:rsidRPr="00F562A8" w:rsidRDefault="0022060B" w:rsidP="0022060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799B24EA" w14:textId="77777777" w:rsidR="0022060B" w:rsidRPr="00F562A8" w:rsidRDefault="0022060B" w:rsidP="0022060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 xml:space="preserve">равны: </w:t>
      </w:r>
    </w:p>
    <w:p w14:paraId="4FE425F5" w14:textId="6AD72FBA" w:rsidR="0022060B" w:rsidRPr="00F562A8" w:rsidRDefault="000B70AB" w:rsidP="0022060B">
      <w:pPr>
        <w:spacing w:after="0" w:line="276" w:lineRule="auto"/>
        <w:jc w:val="center"/>
        <w:rPr>
          <w:rFonts w:ascii="Times New Roman" w:hAnsi="Times New Roman" w:cs="Times New Roman"/>
          <w:sz w:val="26"/>
          <w:szCs w:val="26"/>
          <w:lang w:val="en-US"/>
        </w:rPr>
      </w:pPr>
      <w:r w:rsidRPr="00B21241">
        <w:rPr>
          <w:noProof/>
          <w:lang w:eastAsia="ru-RU"/>
        </w:rPr>
        <w:drawing>
          <wp:inline distT="0" distB="0" distL="0" distR="0" wp14:anchorId="643C38B8" wp14:editId="7558CDAC">
            <wp:extent cx="3057952" cy="1000265"/>
            <wp:effectExtent l="0" t="0" r="0"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057952" cy="1000265"/>
                    </a:xfrm>
                    <a:prstGeom prst="rect">
                      <a:avLst/>
                    </a:prstGeom>
                  </pic:spPr>
                </pic:pic>
              </a:graphicData>
            </a:graphic>
          </wp:inline>
        </w:drawing>
      </w:r>
    </w:p>
    <w:p w14:paraId="7E911911" w14:textId="4F4F3C26" w:rsidR="0022060B" w:rsidRPr="00F562A8" w:rsidRDefault="0022060B" w:rsidP="0022060B">
      <w:pPr>
        <w:spacing w:after="120" w:line="276" w:lineRule="auto"/>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BA7A24" w:rsidRPr="00F562A8">
        <w:rPr>
          <w:rFonts w:ascii="Times New Roman" w:eastAsia="Times New Roman" w:hAnsi="Times New Roman" w:cs="Times New Roman"/>
          <w:sz w:val="26"/>
          <w:szCs w:val="26"/>
        </w:rPr>
        <w:t>3.6.2.</w:t>
      </w:r>
      <w:r w:rsidR="00BA7A24">
        <w:rPr>
          <w:rFonts w:ascii="Times New Roman" w:eastAsia="Times New Roman" w:hAnsi="Times New Roman" w:cs="Times New Roman"/>
          <w:sz w:val="26"/>
          <w:szCs w:val="26"/>
        </w:rPr>
        <w:t>3.</w:t>
      </w:r>
      <w:r w:rsidR="00673F7C">
        <w:rPr>
          <w:rFonts w:ascii="Times New Roman" w:eastAsia="Times New Roman" w:hAnsi="Times New Roman" w:cs="Times New Roman"/>
          <w:sz w:val="26"/>
          <w:szCs w:val="26"/>
        </w:rPr>
        <w:t>3</w:t>
      </w:r>
      <w:r w:rsidR="00BA7A24">
        <w:rPr>
          <w:rFonts w:ascii="Times New Roman" w:eastAsia="Times New Roman" w:hAnsi="Times New Roman" w:cs="Times New Roman"/>
          <w:sz w:val="26"/>
          <w:szCs w:val="26"/>
        </w:rPr>
        <w:t xml:space="preserve"> </w:t>
      </w:r>
      <w:r w:rsidRPr="00F562A8">
        <w:rPr>
          <w:rFonts w:ascii="Times New Roman" w:hAnsi="Times New Roman" w:cs="Times New Roman"/>
          <w:sz w:val="26"/>
          <w:szCs w:val="26"/>
        </w:rPr>
        <w:t xml:space="preserve">- Значения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p>
    <w:p w14:paraId="1F7BA50D" w14:textId="77777777" w:rsidR="0022060B" w:rsidRPr="00F562A8" w:rsidRDefault="0022060B" w:rsidP="0022060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5A443D67" w14:textId="33BAF616" w:rsidR="0091445C" w:rsidRPr="0091445C" w:rsidRDefault="0022060B" w:rsidP="0091445C">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i/>
          <w:sz w:val="26"/>
          <w:szCs w:val="26"/>
        </w:rPr>
        <w:t xml:space="preserve">УПКС = </w:t>
      </w:r>
      <w:r w:rsidR="000B70AB" w:rsidRPr="000B70AB">
        <w:rPr>
          <w:rFonts w:ascii="Times New Roman" w:hAnsi="Times New Roman" w:cs="Times New Roman"/>
          <w:i/>
          <w:sz w:val="26"/>
          <w:szCs w:val="26"/>
        </w:rPr>
        <w:t>292.196565170994*e^(+0.00190825537151868*((300.00+-14.00-СНП Расстояние от населенного пункта до центра субъекта РФ (г. Воронеж)))+0.0000399643009385682*__</w:t>
      </w:r>
      <w:bookmarkStart w:id="197" w:name="_Hlk105496288"/>
      <w:r w:rsidR="000B70AB" w:rsidRPr="000B70AB">
        <w:rPr>
          <w:rFonts w:ascii="Times New Roman" w:hAnsi="Times New Roman" w:cs="Times New Roman"/>
          <w:i/>
          <w:sz w:val="26"/>
          <w:szCs w:val="26"/>
        </w:rPr>
        <w:t>Среднемесячная заработная плата в муниципальном районе, городском округе</w:t>
      </w:r>
      <w:bookmarkEnd w:id="197"/>
      <w:r w:rsidR="000B70AB" w:rsidRPr="000B70AB">
        <w:rPr>
          <w:rFonts w:ascii="Times New Roman" w:hAnsi="Times New Roman" w:cs="Times New Roman"/>
          <w:i/>
          <w:sz w:val="26"/>
          <w:szCs w:val="26"/>
        </w:rPr>
        <w:t>)</w:t>
      </w:r>
    </w:p>
    <w:p w14:paraId="3BE423AD" w14:textId="77777777" w:rsidR="0022060B" w:rsidRPr="00F562A8" w:rsidRDefault="0022060B" w:rsidP="0022060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3A39846E" w14:textId="660C7F36" w:rsidR="0022060B" w:rsidRPr="00F562A8" w:rsidRDefault="00222BA1" w:rsidP="00A20CC4">
      <w:pPr>
        <w:spacing w:after="0" w:line="276" w:lineRule="auto"/>
        <w:jc w:val="center"/>
        <w:rPr>
          <w:rFonts w:ascii="Times New Roman" w:hAnsi="Times New Roman" w:cs="Times New Roman"/>
          <w:sz w:val="24"/>
        </w:rPr>
      </w:pPr>
      <w:r w:rsidRPr="00B21241">
        <w:rPr>
          <w:noProof/>
          <w:lang w:eastAsia="ru-RU"/>
        </w:rPr>
        <w:drawing>
          <wp:inline distT="0" distB="0" distL="0" distR="0" wp14:anchorId="28FB7AC6" wp14:editId="0455AE4D">
            <wp:extent cx="5939790" cy="3040055"/>
            <wp:effectExtent l="0" t="0" r="3810" b="825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939790" cy="3040055"/>
                    </a:xfrm>
                    <a:prstGeom prst="rect">
                      <a:avLst/>
                    </a:prstGeom>
                  </pic:spPr>
                </pic:pic>
              </a:graphicData>
            </a:graphic>
          </wp:inline>
        </w:drawing>
      </w:r>
    </w:p>
    <w:p w14:paraId="4B9A4EF8" w14:textId="3B53979D" w:rsidR="0022060B" w:rsidRPr="00F562A8" w:rsidRDefault="0022060B" w:rsidP="0022060B">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BA7A24" w:rsidRPr="00F562A8">
        <w:rPr>
          <w:rFonts w:ascii="Times New Roman" w:eastAsia="Times New Roman" w:hAnsi="Times New Roman" w:cs="Times New Roman"/>
          <w:sz w:val="26"/>
          <w:szCs w:val="26"/>
        </w:rPr>
        <w:t>3.6.2.</w:t>
      </w:r>
      <w:r w:rsidR="00BA7A24">
        <w:rPr>
          <w:rFonts w:ascii="Times New Roman" w:eastAsia="Times New Roman" w:hAnsi="Times New Roman" w:cs="Times New Roman"/>
          <w:sz w:val="26"/>
          <w:szCs w:val="26"/>
        </w:rPr>
        <w:t>3.</w:t>
      </w:r>
      <w:r w:rsidR="00673F7C">
        <w:rPr>
          <w:rFonts w:ascii="Times New Roman" w:eastAsia="Times New Roman" w:hAnsi="Times New Roman" w:cs="Times New Roman"/>
          <w:sz w:val="26"/>
          <w:szCs w:val="26"/>
        </w:rPr>
        <w:t>4</w:t>
      </w:r>
      <w:r w:rsidR="00BA7A24">
        <w:rPr>
          <w:rFonts w:ascii="Times New Roman" w:eastAsia="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79D46638" w14:textId="77777777" w:rsidR="0022060B" w:rsidRPr="00F562A8" w:rsidRDefault="0022060B" w:rsidP="0022060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фактором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 xml:space="preserve"> и кадастровой стоимостью обратная, то есть при росте этого фактора кадастровая стоимость уменьшается. Влияние фактора Х</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xml:space="preserve"> на кадастровую стоимость прямое и с ростом фактора кадастровая стоимость растет.</w:t>
      </w:r>
      <w:r w:rsidRPr="00F562A8">
        <w:rPr>
          <w:rFonts w:ascii="Times New Roman" w:hAnsi="Times New Roman" w:cs="Times New Roman"/>
          <w:sz w:val="28"/>
          <w:szCs w:val="24"/>
        </w:rPr>
        <w:t xml:space="preserve"> </w:t>
      </w:r>
      <w:r w:rsidRPr="00F562A8">
        <w:rPr>
          <w:rFonts w:ascii="Times New Roman" w:hAnsi="Times New Roman" w:cs="Times New Roman"/>
          <w:sz w:val="26"/>
          <w:szCs w:val="26"/>
        </w:rPr>
        <w:t>Малые значения средней ошибки аппроксимации и среднеквадратической ошибки оценки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64626249" w14:textId="7A9A68F1" w:rsidR="0022060B" w:rsidRDefault="00C9034B" w:rsidP="0022060B">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2D6F65" w:rsidRPr="00637AE9">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/2.4.2</w:t>
      </w:r>
    </w:p>
    <w:p w14:paraId="56BD7FB9" w14:textId="5066AA95" w:rsidR="00C81C56" w:rsidRPr="00F562A8" w:rsidRDefault="00C81C56" w:rsidP="006F6435">
      <w:pPr>
        <w:spacing w:after="0" w:line="276" w:lineRule="auto"/>
        <w:ind w:firstLine="567"/>
        <w:jc w:val="both"/>
        <w:rPr>
          <w:rFonts w:ascii="Times New Roman" w:hAnsi="Times New Roman" w:cs="Times New Roman"/>
          <w:bCs/>
          <w:sz w:val="26"/>
          <w:szCs w:val="26"/>
        </w:rPr>
      </w:pPr>
    </w:p>
    <w:p w14:paraId="37F742EF" w14:textId="399A6E50" w:rsidR="00C036C3" w:rsidRPr="00F562A8" w:rsidRDefault="00C036C3" w:rsidP="002D4BEA">
      <w:pPr>
        <w:pStyle w:val="ab"/>
        <w:ind w:left="0"/>
        <w:jc w:val="center"/>
        <w:outlineLvl w:val="2"/>
        <w:rPr>
          <w:rFonts w:ascii="Times New Roman" w:hAnsi="Times New Roman" w:cs="Times New Roman"/>
          <w:i/>
          <w:sz w:val="26"/>
          <w:szCs w:val="26"/>
        </w:rPr>
      </w:pPr>
      <w:bookmarkStart w:id="198" w:name="_Toc110506967"/>
      <w:r w:rsidRPr="009E7344">
        <w:rPr>
          <w:rFonts w:ascii="Times New Roman" w:hAnsi="Times New Roman" w:cs="Times New Roman"/>
          <w:i/>
          <w:sz w:val="26"/>
          <w:szCs w:val="26"/>
        </w:rPr>
        <w:t>3.6.2.</w:t>
      </w:r>
      <w:r w:rsidRPr="00F562A8">
        <w:rPr>
          <w:rFonts w:ascii="Times New Roman" w:hAnsi="Times New Roman" w:cs="Times New Roman"/>
          <w:i/>
          <w:sz w:val="26"/>
          <w:szCs w:val="26"/>
        </w:rPr>
        <w:t xml:space="preserve">4 Расчет кадастровой стоимости земельных участков группы </w:t>
      </w:r>
      <w:r w:rsidR="0022060B">
        <w:rPr>
          <w:rFonts w:ascii="Times New Roman" w:hAnsi="Times New Roman" w:cs="Times New Roman"/>
          <w:i/>
          <w:sz w:val="26"/>
          <w:szCs w:val="26"/>
        </w:rPr>
        <w:t>МЖЗ/УПКС</w:t>
      </w:r>
      <w:bookmarkEnd w:id="198"/>
    </w:p>
    <w:p w14:paraId="2D548338" w14:textId="288E3AC2" w:rsidR="00C036C3" w:rsidRPr="00F562A8" w:rsidRDefault="00C036C3" w:rsidP="00C036C3">
      <w:pPr>
        <w:spacing w:after="0" w:line="276" w:lineRule="auto"/>
        <w:ind w:firstLine="567"/>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2D6F65" w:rsidRPr="00637AE9">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/2.4.2</w:t>
      </w:r>
    </w:p>
    <w:p w14:paraId="207318CE" w14:textId="198578EC" w:rsidR="00FC75C2" w:rsidRDefault="00FC75C2" w:rsidP="00FC75C2">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6548E3">
        <w:rPr>
          <w:rFonts w:ascii="Times New Roman" w:hAnsi="Times New Roman" w:cs="Times New Roman"/>
          <w:sz w:val="26"/>
          <w:szCs w:val="26"/>
        </w:rPr>
        <w:t>МЖЗ/</w:t>
      </w:r>
      <w:r>
        <w:rPr>
          <w:rFonts w:ascii="Times New Roman" w:hAnsi="Times New Roman" w:cs="Times New Roman"/>
          <w:sz w:val="26"/>
          <w:szCs w:val="26"/>
        </w:rPr>
        <w:t>УПКС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Pr="006548E3">
        <w:rPr>
          <w:rFonts w:ascii="Times New Roman" w:hAnsi="Times New Roman" w:cs="Times New Roman"/>
          <w:sz w:val="26"/>
          <w:szCs w:val="26"/>
        </w:rPr>
        <w:t>02:000, 02:050, 02:051, 02:060, 02:061</w:t>
      </w:r>
      <w:r>
        <w:rPr>
          <w:rFonts w:ascii="Times New Roman" w:hAnsi="Times New Roman" w:cs="Times New Roman"/>
          <w:sz w:val="26"/>
          <w:szCs w:val="26"/>
        </w:rPr>
        <w:t>.</w:t>
      </w:r>
    </w:p>
    <w:p w14:paraId="23CF9D3F" w14:textId="61A0A149" w:rsidR="00C036C3" w:rsidRPr="00F562A8" w:rsidRDefault="00C036C3" w:rsidP="00C036C3">
      <w:pPr>
        <w:spacing w:after="0" w:line="300" w:lineRule="auto"/>
        <w:ind w:firstLine="567"/>
        <w:jc w:val="both"/>
        <w:rPr>
          <w:rFonts w:ascii="Times New Roman" w:hAnsi="Times New Roman" w:cs="Times New Roman"/>
          <w:bCs/>
          <w:sz w:val="26"/>
          <w:szCs w:val="26"/>
        </w:rPr>
      </w:pPr>
      <w:r w:rsidRPr="00F562A8">
        <w:rPr>
          <w:rFonts w:ascii="Times New Roman" w:hAnsi="Times New Roman" w:cs="Times New Roman"/>
          <w:bCs/>
          <w:sz w:val="26"/>
          <w:szCs w:val="26"/>
        </w:rPr>
        <w:t xml:space="preserve">В группу </w:t>
      </w:r>
      <w:r w:rsidR="0022060B">
        <w:rPr>
          <w:rFonts w:ascii="Times New Roman" w:hAnsi="Times New Roman" w:cs="Times New Roman"/>
          <w:bCs/>
          <w:sz w:val="26"/>
          <w:szCs w:val="26"/>
        </w:rPr>
        <w:t>МЖЗ/УПКС</w:t>
      </w:r>
      <w:r w:rsidRPr="00F562A8">
        <w:rPr>
          <w:rFonts w:ascii="Times New Roman" w:hAnsi="Times New Roman" w:cs="Times New Roman"/>
          <w:bCs/>
          <w:sz w:val="26"/>
          <w:szCs w:val="26"/>
        </w:rPr>
        <w:t xml:space="preserve"> включены </w:t>
      </w:r>
      <w:r w:rsidR="0022060B" w:rsidRPr="00F562A8">
        <w:rPr>
          <w:rFonts w:ascii="Times New Roman" w:hAnsi="Times New Roman" w:cs="Times New Roman"/>
          <w:bCs/>
          <w:sz w:val="26"/>
          <w:szCs w:val="26"/>
        </w:rPr>
        <w:t>объекты,</w:t>
      </w:r>
      <w:r w:rsidRPr="00F562A8">
        <w:rPr>
          <w:rFonts w:ascii="Times New Roman" w:hAnsi="Times New Roman" w:cs="Times New Roman"/>
          <w:bCs/>
          <w:sz w:val="26"/>
          <w:szCs w:val="26"/>
        </w:rPr>
        <w:t xml:space="preserve"> не имеющие точной характеристики местоположения объектов (без факторов). </w:t>
      </w:r>
    </w:p>
    <w:p w14:paraId="6ED04C3B" w14:textId="390ECB71" w:rsidR="00C036C3" w:rsidRPr="00F562A8" w:rsidRDefault="00CD463F" w:rsidP="00C036C3">
      <w:pPr>
        <w:spacing w:after="0" w:line="300" w:lineRule="auto"/>
        <w:ind w:firstLine="567"/>
        <w:jc w:val="both"/>
        <w:rPr>
          <w:rFonts w:ascii="Times New Roman" w:eastAsiaTheme="minorEastAsia" w:hAnsi="Times New Roman" w:cs="Times New Roman"/>
          <w:sz w:val="26"/>
          <w:szCs w:val="26"/>
        </w:rPr>
      </w:pPr>
      <w:r w:rsidRPr="00CD463F">
        <w:rPr>
          <w:rFonts w:ascii="Times New Roman" w:hAnsi="Times New Roman" w:cs="Times New Roman"/>
          <w:bCs/>
          <w:sz w:val="26"/>
          <w:szCs w:val="26"/>
        </w:rPr>
        <w:t>Расчет кадастровой стоимости земельных участков данной группы проведен на основании средних удельных показателей кадастровой стоимости текущего сегмента с учетом кода расчета вида использования в соответствии с пунктом 45.3 Методических указаний</w:t>
      </w:r>
      <w:r w:rsidR="00FC75C2">
        <w:rPr>
          <w:rFonts w:ascii="Times New Roman" w:hAnsi="Times New Roman" w:cs="Times New Roman"/>
          <w:bCs/>
          <w:sz w:val="26"/>
          <w:szCs w:val="26"/>
        </w:rPr>
        <w:t>.</w:t>
      </w:r>
      <w:r w:rsidR="00C036C3" w:rsidRPr="00F562A8">
        <w:rPr>
          <w:rFonts w:ascii="Times New Roman" w:eastAsiaTheme="minorEastAsia" w:hAnsi="Times New Roman" w:cs="Times New Roman"/>
          <w:sz w:val="26"/>
          <w:szCs w:val="26"/>
        </w:rPr>
        <w:t xml:space="preserve"> </w:t>
      </w:r>
    </w:p>
    <w:p w14:paraId="2725CE38" w14:textId="079F74C9" w:rsidR="00C4389A" w:rsidRDefault="00C4389A" w:rsidP="00CD463F">
      <w:pPr>
        <w:spacing w:after="0" w:line="300" w:lineRule="auto"/>
        <w:ind w:firstLine="567"/>
        <w:jc w:val="both"/>
        <w:rPr>
          <w:rFonts w:ascii="Times New Roman" w:hAnsi="Times New Roman" w:cs="Times New Roman"/>
          <w:b/>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2D6F65" w:rsidRPr="00637AE9">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/2.4.2</w:t>
      </w:r>
      <w:r>
        <w:rPr>
          <w:rFonts w:ascii="Times New Roman" w:hAnsi="Times New Roman" w:cs="Times New Roman"/>
          <w:b/>
          <w:sz w:val="26"/>
          <w:szCs w:val="26"/>
        </w:rPr>
        <w:br w:type="page"/>
      </w:r>
    </w:p>
    <w:p w14:paraId="0841E363" w14:textId="6C02167E" w:rsidR="00306BF5" w:rsidRDefault="00306BF5" w:rsidP="00A55966">
      <w:pPr>
        <w:pStyle w:val="ab"/>
        <w:spacing w:before="120" w:after="0" w:line="240" w:lineRule="auto"/>
        <w:ind w:left="0"/>
        <w:contextualSpacing w:val="0"/>
        <w:jc w:val="center"/>
        <w:outlineLvl w:val="1"/>
        <w:rPr>
          <w:rFonts w:ascii="Times New Roman" w:hAnsi="Times New Roman" w:cs="Times New Roman"/>
          <w:b/>
          <w:sz w:val="26"/>
          <w:szCs w:val="26"/>
        </w:rPr>
      </w:pPr>
      <w:bookmarkStart w:id="199" w:name="_Toc110506968"/>
      <w:r w:rsidRPr="00F562A8">
        <w:rPr>
          <w:rFonts w:ascii="Times New Roman" w:hAnsi="Times New Roman" w:cs="Times New Roman"/>
          <w:b/>
          <w:sz w:val="26"/>
          <w:szCs w:val="26"/>
        </w:rPr>
        <w:t>3.6.3 Сегмент 3. «Общественное использование»</w:t>
      </w:r>
      <w:bookmarkEnd w:id="196"/>
      <w:bookmarkEnd w:id="199"/>
    </w:p>
    <w:p w14:paraId="79B9937E" w14:textId="77777777" w:rsidR="00250300" w:rsidRPr="00F562A8" w:rsidRDefault="00250300" w:rsidP="00250300">
      <w:pPr>
        <w:spacing w:after="0" w:line="276" w:lineRule="auto"/>
        <w:ind w:firstLine="709"/>
        <w:jc w:val="both"/>
        <w:rPr>
          <w:rFonts w:ascii="Times New Roman" w:hAnsi="Times New Roman" w:cs="Times New Roman"/>
          <w:b/>
          <w:sz w:val="26"/>
          <w:szCs w:val="26"/>
        </w:rPr>
      </w:pPr>
    </w:p>
    <w:p w14:paraId="0A05A6DC" w14:textId="31E3D588" w:rsidR="00306BF5" w:rsidRPr="00F562A8" w:rsidRDefault="00B15076" w:rsidP="002D4BEA">
      <w:pPr>
        <w:pStyle w:val="ab"/>
        <w:ind w:left="0"/>
        <w:jc w:val="center"/>
        <w:outlineLvl w:val="2"/>
        <w:rPr>
          <w:rFonts w:ascii="Times New Roman" w:hAnsi="Times New Roman" w:cs="Times New Roman"/>
          <w:i/>
          <w:sz w:val="26"/>
          <w:szCs w:val="26"/>
        </w:rPr>
      </w:pPr>
      <w:bookmarkStart w:id="200" w:name="_Toc110506969"/>
      <w:r w:rsidRPr="009E7344">
        <w:rPr>
          <w:rFonts w:ascii="Times New Roman" w:hAnsi="Times New Roman" w:cs="Times New Roman"/>
          <w:i/>
          <w:sz w:val="26"/>
          <w:szCs w:val="26"/>
        </w:rPr>
        <w:t xml:space="preserve">3.6.3.1. </w:t>
      </w:r>
      <w:r w:rsidR="00306BF5" w:rsidRPr="009E7344">
        <w:rPr>
          <w:rFonts w:ascii="Times New Roman" w:hAnsi="Times New Roman" w:cs="Times New Roman"/>
          <w:i/>
          <w:sz w:val="26"/>
          <w:szCs w:val="26"/>
        </w:rPr>
        <w:t>Расчет</w:t>
      </w:r>
      <w:r w:rsidR="00306BF5" w:rsidRPr="00F562A8">
        <w:rPr>
          <w:rFonts w:ascii="Times New Roman" w:hAnsi="Times New Roman" w:cs="Times New Roman"/>
          <w:i/>
          <w:sz w:val="26"/>
          <w:szCs w:val="26"/>
        </w:rPr>
        <w:t xml:space="preserve"> кадастровой стоимости земельных участков групп</w:t>
      </w:r>
      <w:r w:rsidR="00C036C3" w:rsidRPr="00F562A8">
        <w:rPr>
          <w:rFonts w:ascii="Times New Roman" w:hAnsi="Times New Roman" w:cs="Times New Roman"/>
          <w:i/>
          <w:sz w:val="26"/>
          <w:szCs w:val="26"/>
        </w:rPr>
        <w:t>ы</w:t>
      </w:r>
      <w:r w:rsidR="00306BF5" w:rsidRPr="00F562A8">
        <w:rPr>
          <w:rFonts w:ascii="Times New Roman" w:hAnsi="Times New Roman" w:cs="Times New Roman"/>
          <w:i/>
          <w:sz w:val="26"/>
          <w:szCs w:val="26"/>
        </w:rPr>
        <w:t xml:space="preserve"> </w:t>
      </w:r>
      <w:r w:rsidR="00B829E3">
        <w:rPr>
          <w:rFonts w:ascii="Times New Roman" w:hAnsi="Times New Roman" w:cs="Times New Roman"/>
          <w:i/>
          <w:sz w:val="26"/>
          <w:szCs w:val="26"/>
        </w:rPr>
        <w:t>СОЦ/Воронеж</w:t>
      </w:r>
      <w:bookmarkEnd w:id="200"/>
    </w:p>
    <w:p w14:paraId="61005E52" w14:textId="043435B6" w:rsidR="007004E3" w:rsidRPr="00F562A8" w:rsidRDefault="007004E3" w:rsidP="007004E3">
      <w:pPr>
        <w:spacing w:after="0" w:line="276" w:lineRule="auto"/>
        <w:ind w:firstLine="709"/>
        <w:jc w:val="both"/>
        <w:rPr>
          <w:rFonts w:ascii="Times New Roman" w:eastAsiaTheme="minorEastAsia" w:hAnsi="Times New Roman" w:cs="Times New Roman"/>
          <w:sz w:val="26"/>
          <w:szCs w:val="26"/>
        </w:rPr>
      </w:pPr>
      <w:bookmarkStart w:id="201" w:name="_Hlk42010611"/>
      <w:r w:rsidRPr="009E7344">
        <w:rPr>
          <w:rFonts w:ascii="Times New Roman" w:eastAsiaTheme="minorEastAsia" w:hAnsi="Times New Roman" w:cs="Times New Roman"/>
          <w:sz w:val="26"/>
          <w:szCs w:val="26"/>
        </w:rPr>
        <w:t>Перечень объектов оценки данной группы приведен в Приложении 2/2.4</w:t>
      </w:r>
      <w:r w:rsidR="002D6F65">
        <w:rPr>
          <w:rFonts w:ascii="Times New Roman" w:eastAsiaTheme="minorEastAsia" w:hAnsi="Times New Roman" w:cs="Times New Roman"/>
          <w:sz w:val="26"/>
          <w:szCs w:val="26"/>
        </w:rPr>
        <w:t>/2.4.3</w:t>
      </w:r>
    </w:p>
    <w:p w14:paraId="32A45679" w14:textId="2C3DC041" w:rsidR="00F72A6D" w:rsidRDefault="00F72A6D" w:rsidP="00F72A6D">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F72A6D">
        <w:rPr>
          <w:rFonts w:ascii="Times New Roman" w:hAnsi="Times New Roman" w:cs="Times New Roman"/>
          <w:sz w:val="26"/>
          <w:szCs w:val="26"/>
        </w:rPr>
        <w:t>СОЦ/Воронеж</w:t>
      </w:r>
      <w:r>
        <w:rPr>
          <w:rFonts w:ascii="Times New Roman" w:hAnsi="Times New Roman" w:cs="Times New Roman"/>
          <w:sz w:val="26"/>
          <w:szCs w:val="26"/>
        </w:rPr>
        <w:t xml:space="preserve">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Pr="00F72A6D">
        <w:rPr>
          <w:rFonts w:ascii="Times New Roman" w:hAnsi="Times New Roman" w:cs="Times New Roman"/>
          <w:sz w:val="26"/>
          <w:szCs w:val="26"/>
        </w:rPr>
        <w:t>03:000, 01:143, 03:010, 03:013, 03:020, 03:021, 03:022, 03:023, 03:030, 03:031, 03:032, 03:033, 03:034, 03:035, 03:040, 03:041, 03:042, 03:050, 03:051, 03:052, 03:060, 03:061, 03:062, 03:065, 03:070, 03:071, 03:072, 03:073, 03:080, 03:081, 03:082, 03:083, 03:090, 03:091, 03:092, 03:100, 03:101, 03:102, 03:103, 03:104, 05:010, 05:011, 05:012, 05:020, 05:021, 05:051, 07:021, 07:022, 08:022, 08:030, 08:041, 09:030</w:t>
      </w:r>
      <w:r>
        <w:rPr>
          <w:rFonts w:ascii="Times New Roman" w:hAnsi="Times New Roman" w:cs="Times New Roman"/>
          <w:sz w:val="26"/>
          <w:szCs w:val="26"/>
        </w:rPr>
        <w:t>.</w:t>
      </w:r>
    </w:p>
    <w:p w14:paraId="662F5FE1" w14:textId="5FE0C933" w:rsidR="007004E3" w:rsidRPr="00F562A8" w:rsidRDefault="007004E3" w:rsidP="007004E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B829E3">
        <w:rPr>
          <w:rFonts w:ascii="Times New Roman" w:hAnsi="Times New Roman" w:cs="Times New Roman"/>
          <w:sz w:val="26"/>
          <w:szCs w:val="26"/>
        </w:rPr>
        <w:t>СОЦ</w:t>
      </w:r>
      <w:r w:rsidRPr="00C06A94">
        <w:rPr>
          <w:rFonts w:ascii="Times New Roman" w:hAnsi="Times New Roman" w:cs="Times New Roman"/>
          <w:sz w:val="26"/>
          <w:szCs w:val="26"/>
        </w:rPr>
        <w:t>/Воронеж</w:t>
      </w:r>
      <w:r w:rsidRPr="00F562A8">
        <w:rPr>
          <w:rFonts w:ascii="Times New Roman" w:hAnsi="Times New Roman" w:cs="Times New Roman"/>
          <w:sz w:val="26"/>
          <w:szCs w:val="26"/>
        </w:rPr>
        <w:t xml:space="preserve"> использовалс</w:t>
      </w:r>
      <w:r>
        <w:rPr>
          <w:rFonts w:ascii="Times New Roman" w:hAnsi="Times New Roman" w:cs="Times New Roman"/>
          <w:sz w:val="26"/>
          <w:szCs w:val="26"/>
        </w:rPr>
        <w:t>я</w:t>
      </w:r>
      <w:r w:rsidRPr="00F562A8">
        <w:rPr>
          <w:rFonts w:ascii="Times New Roman" w:hAnsi="Times New Roman" w:cs="Times New Roman"/>
          <w:sz w:val="26"/>
          <w:szCs w:val="26"/>
        </w:rPr>
        <w:t xml:space="preserve"> метод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427E30C0" w14:textId="16CA9656"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8B4E7C">
        <w:rPr>
          <w:rFonts w:ascii="Times New Roman" w:hAnsi="Times New Roman" w:cs="Times New Roman"/>
          <w:sz w:val="26"/>
          <w:szCs w:val="26"/>
        </w:rPr>
        <w:t>Согласно п.</w:t>
      </w:r>
      <w:r w:rsidR="008B4E7C" w:rsidRPr="008B4E7C">
        <w:rPr>
          <w:rFonts w:ascii="Times New Roman" w:hAnsi="Times New Roman" w:cs="Times New Roman"/>
          <w:sz w:val="26"/>
          <w:szCs w:val="26"/>
        </w:rPr>
        <w:t>45</w:t>
      </w:r>
      <w:r w:rsidRPr="008B4E7C">
        <w:rPr>
          <w:rFonts w:ascii="Times New Roman" w:hAnsi="Times New Roman" w:cs="Times New Roman"/>
          <w:sz w:val="26"/>
          <w:szCs w:val="26"/>
        </w:rPr>
        <w:t>.1.1 Указаний, под</w:t>
      </w:r>
      <w:r w:rsidRPr="00F562A8">
        <w:rPr>
          <w:rFonts w:ascii="Times New Roman" w:hAnsi="Times New Roman" w:cs="Times New Roman"/>
          <w:sz w:val="26"/>
          <w:szCs w:val="26"/>
        </w:rPr>
        <w:t xml:space="preserve">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7E2112CF" w14:textId="77777777"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55DB7FF7" w14:textId="77777777"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60C90ECE" w14:textId="77777777"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1C49DA24" w14:textId="77777777"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584260BB" w14:textId="77777777"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0585D4FB" w14:textId="77777777"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410F0FBD" w14:textId="6228AA36" w:rsidR="0013778A" w:rsidRDefault="007004E3" w:rsidP="00012B25">
      <w:pPr>
        <w:tabs>
          <w:tab w:val="left" w:pos="1890"/>
        </w:tabs>
        <w:spacing w:after="0" w:line="276" w:lineRule="auto"/>
        <w:ind w:firstLine="709"/>
        <w:jc w:val="both"/>
        <w:rPr>
          <w:rFonts w:ascii="Times New Roman" w:eastAsia="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г.о.г. Воронеж,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11 </w:t>
      </w:r>
      <w:r w:rsidR="00012B25" w:rsidRPr="00F562A8">
        <w:rPr>
          <w:rFonts w:ascii="Times New Roman" w:hAnsi="Times New Roman" w:cs="Times New Roman"/>
          <w:sz w:val="26"/>
          <w:szCs w:val="26"/>
        </w:rPr>
        <w:t>представлены в таблиц</w:t>
      </w:r>
      <w:r w:rsidR="00012B25">
        <w:rPr>
          <w:rFonts w:ascii="Times New Roman" w:hAnsi="Times New Roman" w:cs="Times New Roman"/>
          <w:sz w:val="26"/>
          <w:szCs w:val="26"/>
        </w:rPr>
        <w:t>ах</w:t>
      </w:r>
      <w:r w:rsidR="00012B25" w:rsidRPr="00F562A8">
        <w:rPr>
          <w:rFonts w:ascii="Times New Roman" w:hAnsi="Times New Roman" w:cs="Times New Roman"/>
          <w:sz w:val="26"/>
          <w:szCs w:val="26"/>
        </w:rPr>
        <w:t xml:space="preserve"> </w:t>
      </w:r>
      <w:r w:rsidR="00012B25" w:rsidRPr="00F562A8">
        <w:rPr>
          <w:rFonts w:ascii="Times New Roman" w:eastAsia="Times New Roman" w:hAnsi="Times New Roman" w:cs="Times New Roman"/>
          <w:sz w:val="26"/>
          <w:szCs w:val="26"/>
        </w:rPr>
        <w:t>3.</w:t>
      </w:r>
      <w:r w:rsidR="00012B25">
        <w:rPr>
          <w:rFonts w:ascii="Times New Roman" w:eastAsia="Times New Roman" w:hAnsi="Times New Roman" w:cs="Times New Roman"/>
          <w:sz w:val="26"/>
          <w:szCs w:val="26"/>
        </w:rPr>
        <w:t>4 и 3.5, пунктов 3.4 и 3.5 соответственно</w:t>
      </w:r>
      <w:r w:rsidR="00012B25" w:rsidRPr="00F562A8">
        <w:rPr>
          <w:rFonts w:ascii="Times New Roman" w:hAnsi="Times New Roman" w:cs="Times New Roman"/>
          <w:sz w:val="26"/>
          <w:szCs w:val="26"/>
        </w:rPr>
        <w:t>.</w:t>
      </w:r>
    </w:p>
    <w:p w14:paraId="79F336E1" w14:textId="77777777" w:rsidR="007004E3" w:rsidRPr="00F562A8" w:rsidRDefault="007004E3" w:rsidP="007004E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028D527F" w14:textId="77777777" w:rsidR="007004E3" w:rsidRPr="00F562A8" w:rsidRDefault="007004E3" w:rsidP="007004E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02A29640" w14:textId="5916298C" w:rsidR="007004E3" w:rsidRPr="00F562A8" w:rsidRDefault="007004E3" w:rsidP="007004E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4B6984">
        <w:rPr>
          <w:rFonts w:ascii="Times New Roman" w:hAnsi="Times New Roman" w:cs="Times New Roman"/>
          <w:sz w:val="26"/>
          <w:szCs w:val="26"/>
        </w:rPr>
        <w:t>3</w:t>
      </w:r>
      <w:r w:rsidRPr="00F562A8">
        <w:rPr>
          <w:rFonts w:ascii="Times New Roman" w:hAnsi="Times New Roman" w:cs="Times New Roman"/>
          <w:sz w:val="26"/>
          <w:szCs w:val="26"/>
        </w:rPr>
        <w:t>:</w:t>
      </w:r>
    </w:p>
    <w:p w14:paraId="326ACD00" w14:textId="77777777" w:rsidR="007004E3" w:rsidRPr="00F562A8" w:rsidRDefault="007004E3" w:rsidP="007004E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расстояние объекта до историко-культурного центра: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464748DE" w14:textId="5D213C13" w:rsidR="007004E3" w:rsidRDefault="007004E3" w:rsidP="007004E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расстояние объекта до центра населенного пункта: Х</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w:t>
      </w:r>
    </w:p>
    <w:p w14:paraId="5470B43C" w14:textId="74732F50" w:rsidR="00A56F35" w:rsidRPr="00F562A8" w:rsidRDefault="00A56F35" w:rsidP="00A56F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ц</w:t>
      </w:r>
      <w:r w:rsidRPr="00A56F35">
        <w:rPr>
          <w:rFonts w:ascii="Times New Roman" w:hAnsi="Times New Roman" w:cs="Times New Roman"/>
          <w:sz w:val="26"/>
          <w:szCs w:val="26"/>
        </w:rPr>
        <w:t>ентральное теплоснабжение</w:t>
      </w:r>
      <w:r w:rsidRPr="00F562A8">
        <w:rPr>
          <w:rFonts w:ascii="Times New Roman" w:hAnsi="Times New Roman" w:cs="Times New Roman"/>
          <w:sz w:val="26"/>
          <w:szCs w:val="26"/>
        </w:rPr>
        <w:t>: Х</w:t>
      </w:r>
      <w:r>
        <w:rPr>
          <w:rFonts w:ascii="Times New Roman" w:hAnsi="Times New Roman" w:cs="Times New Roman"/>
          <w:sz w:val="26"/>
          <w:szCs w:val="26"/>
          <w:vertAlign w:val="subscript"/>
        </w:rPr>
        <w:t>2</w:t>
      </w:r>
      <w:r>
        <w:rPr>
          <w:rFonts w:ascii="Times New Roman" w:hAnsi="Times New Roman" w:cs="Times New Roman"/>
          <w:sz w:val="26"/>
          <w:szCs w:val="26"/>
        </w:rPr>
        <w:t>.</w:t>
      </w:r>
    </w:p>
    <w:p w14:paraId="37C356F9" w14:textId="77777777" w:rsidR="007004E3" w:rsidRPr="00F562A8" w:rsidRDefault="007004E3" w:rsidP="007004E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5BEC5EA1" w14:textId="77777777" w:rsidR="007004E3" w:rsidRPr="00F562A8" w:rsidRDefault="007004E3" w:rsidP="007004E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15F72DF8" w14:textId="77777777" w:rsidR="007004E3" w:rsidRPr="00F562A8" w:rsidRDefault="007004E3" w:rsidP="007004E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На основании отбора факторов были построены множественные регрессионные трехфакторные модели:</w:t>
      </w:r>
    </w:p>
    <w:p w14:paraId="46AB30A6" w14:textId="77777777" w:rsidR="007004E3" w:rsidRPr="00F562A8" w:rsidRDefault="007004E3" w:rsidP="007004E3">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78DD893B" wp14:editId="65E690CC">
            <wp:extent cx="2209800" cy="247650"/>
            <wp:effectExtent l="0" t="0" r="0" b="0"/>
            <wp:docPr id="10" name="Рисунок 10"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30763AEE" w14:textId="77777777" w:rsidR="007004E3" w:rsidRPr="00F562A8" w:rsidRDefault="007004E3" w:rsidP="007004E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594DBF65" wp14:editId="16B46501">
            <wp:extent cx="1352550" cy="266700"/>
            <wp:effectExtent l="0" t="0" r="0" b="0"/>
            <wp:docPr id="19" name="Рисунок 19"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42BF8225" w14:textId="77777777" w:rsidR="007004E3" w:rsidRPr="00F562A8" w:rsidRDefault="007004E3" w:rsidP="007004E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21938CA4" wp14:editId="348728AD">
            <wp:extent cx="1266825" cy="266700"/>
            <wp:effectExtent l="0" t="0" r="0" b="0"/>
            <wp:docPr id="20" name="Рисунок 20"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47F09C6F" w14:textId="77777777" w:rsidR="007004E3" w:rsidRPr="00F562A8" w:rsidRDefault="007004E3" w:rsidP="007004E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74AE23BD" w14:textId="77777777"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579E0C8F" w14:textId="77777777"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4030380F" wp14:editId="14E36EAB">
            <wp:extent cx="209550" cy="247650"/>
            <wp:effectExtent l="0" t="0" r="0" b="0"/>
            <wp:docPr id="21" name="Рисунок 21"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74195A14" wp14:editId="0BA1A7CE">
            <wp:extent cx="200025" cy="247650"/>
            <wp:effectExtent l="0" t="0" r="9525" b="0"/>
            <wp:docPr id="22" name="Рисунок 22"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53AF4B19" wp14:editId="06E0DFF1">
            <wp:extent cx="209550" cy="247650"/>
            <wp:effectExtent l="0" t="0" r="0" b="0"/>
            <wp:docPr id="25" name="Рисунок 25"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6554B060" w14:textId="1CF8F33E" w:rsidR="007004E3" w:rsidRPr="00F562A8" w:rsidRDefault="00675A67" w:rsidP="007004E3">
      <w:pPr>
        <w:spacing w:after="0" w:line="276" w:lineRule="auto"/>
        <w:jc w:val="center"/>
        <w:rPr>
          <w:rFonts w:ascii="Times New Roman" w:hAnsi="Times New Roman" w:cs="Times New Roman"/>
          <w:lang w:val="en-US"/>
        </w:rPr>
      </w:pPr>
      <w:r w:rsidRPr="008E7596">
        <w:rPr>
          <w:noProof/>
          <w:lang w:eastAsia="ru-RU"/>
        </w:rPr>
        <w:drawing>
          <wp:inline distT="0" distB="0" distL="0" distR="0" wp14:anchorId="162736F3" wp14:editId="1CE51F92">
            <wp:extent cx="5939790" cy="847634"/>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939790" cy="847634"/>
                    </a:xfrm>
                    <a:prstGeom prst="rect">
                      <a:avLst/>
                    </a:prstGeom>
                  </pic:spPr>
                </pic:pic>
              </a:graphicData>
            </a:graphic>
          </wp:inline>
        </w:drawing>
      </w:r>
    </w:p>
    <w:p w14:paraId="7CFF3853" w14:textId="307E1D86" w:rsidR="007004E3" w:rsidRPr="00F562A8" w:rsidRDefault="007004E3" w:rsidP="007004E3">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3A40A1" w:rsidRPr="003A40A1">
        <w:rPr>
          <w:rFonts w:ascii="Times New Roman" w:eastAsia="Times New Roman" w:hAnsi="Times New Roman" w:cs="Times New Roman"/>
          <w:sz w:val="26"/>
          <w:szCs w:val="26"/>
        </w:rPr>
        <w:t xml:space="preserve"> </w:t>
      </w:r>
      <w:r w:rsidR="003A40A1" w:rsidRPr="00F562A8">
        <w:rPr>
          <w:rFonts w:ascii="Times New Roman" w:eastAsia="Times New Roman" w:hAnsi="Times New Roman" w:cs="Times New Roman"/>
          <w:sz w:val="26"/>
          <w:szCs w:val="26"/>
        </w:rPr>
        <w:t>3.6.</w:t>
      </w:r>
      <w:r w:rsidR="003A40A1">
        <w:rPr>
          <w:rFonts w:ascii="Times New Roman" w:eastAsia="Times New Roman" w:hAnsi="Times New Roman" w:cs="Times New Roman"/>
          <w:sz w:val="26"/>
          <w:szCs w:val="26"/>
        </w:rPr>
        <w:t>3</w:t>
      </w:r>
      <w:r w:rsidR="003A40A1" w:rsidRPr="00F562A8">
        <w:rPr>
          <w:rFonts w:ascii="Times New Roman" w:eastAsia="Times New Roman" w:hAnsi="Times New Roman" w:cs="Times New Roman"/>
          <w:sz w:val="26"/>
          <w:szCs w:val="26"/>
        </w:rPr>
        <w:t>.1</w:t>
      </w:r>
      <w:r w:rsidR="003A40A1">
        <w:rPr>
          <w:rFonts w:ascii="Times New Roman" w:eastAsia="Times New Roman" w:hAnsi="Times New Roman" w:cs="Times New Roman"/>
          <w:sz w:val="26"/>
          <w:szCs w:val="26"/>
        </w:rPr>
        <w:t>.</w:t>
      </w:r>
      <w:r w:rsidR="0013750C">
        <w:rPr>
          <w:rFonts w:ascii="Times New Roman" w:eastAsia="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трехфакторные модели</w:t>
      </w:r>
    </w:p>
    <w:p w14:paraId="125CE0B0" w14:textId="7B6441DD"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8B4E7C">
        <w:rPr>
          <w:rFonts w:ascii="Times New Roman" w:hAnsi="Times New Roman" w:cs="Times New Roman"/>
          <w:sz w:val="26"/>
          <w:szCs w:val="26"/>
        </w:rPr>
        <w:t>Согласно п.</w:t>
      </w:r>
      <w:r w:rsidR="008B4E7C" w:rsidRPr="008B4E7C">
        <w:rPr>
          <w:rFonts w:ascii="Times New Roman" w:hAnsi="Times New Roman" w:cs="Times New Roman"/>
          <w:sz w:val="26"/>
          <w:szCs w:val="26"/>
        </w:rPr>
        <w:t>45</w:t>
      </w:r>
      <w:r w:rsidRPr="008B4E7C">
        <w:rPr>
          <w:rFonts w:ascii="Times New Roman" w:hAnsi="Times New Roman" w:cs="Times New Roman"/>
          <w:sz w:val="26"/>
          <w:szCs w:val="26"/>
        </w:rPr>
        <w:t>.1.2 Указа</w:t>
      </w:r>
      <w:r w:rsidRPr="00F562A8">
        <w:rPr>
          <w:rFonts w:ascii="Times New Roman" w:hAnsi="Times New Roman" w:cs="Times New Roman"/>
          <w:sz w:val="26"/>
          <w:szCs w:val="26"/>
        </w:rPr>
        <w:t>ний, анализ качества статистической модели включает в себя комплекс процедур, предусматривающий проверки, в том числе:</w:t>
      </w:r>
    </w:p>
    <w:p w14:paraId="1024827A" w14:textId="77777777"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63AE412F" w14:textId="77777777"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2F079120" w14:textId="77777777"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5057456D" w14:textId="77777777"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3F0F4768" w14:textId="77777777"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48332E55" w14:textId="77777777"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6E854CA4" w14:textId="77777777" w:rsidR="007004E3" w:rsidRPr="00F562A8" w:rsidRDefault="007004E3" w:rsidP="007004E3">
      <w:pPr>
        <w:pStyle w:val="ConsPlusNormal"/>
        <w:tabs>
          <w:tab w:val="left" w:pos="851"/>
        </w:tabs>
        <w:spacing w:line="276" w:lineRule="auto"/>
        <w:ind w:left="284" w:firstLine="426"/>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0ADA20A6" w14:textId="4AB3188C" w:rsidR="007004E3" w:rsidRPr="00F562A8" w:rsidRDefault="00675A67" w:rsidP="007004E3">
      <w:pPr>
        <w:pStyle w:val="ConsPlusNormal"/>
        <w:spacing w:line="276" w:lineRule="auto"/>
        <w:jc w:val="center"/>
        <w:rPr>
          <w:rFonts w:ascii="Times New Roman" w:hAnsi="Times New Roman" w:cs="Times New Roman"/>
          <w:noProof/>
        </w:rPr>
      </w:pPr>
      <w:r w:rsidRPr="008E7596">
        <w:rPr>
          <w:noProof/>
        </w:rPr>
        <w:drawing>
          <wp:inline distT="0" distB="0" distL="0" distR="0" wp14:anchorId="3ACD0D49" wp14:editId="2678CF4B">
            <wp:extent cx="5915025" cy="1329766"/>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2"/>
                    <a:srcRect r="7755"/>
                    <a:stretch/>
                  </pic:blipFill>
                  <pic:spPr bwMode="auto">
                    <a:xfrm>
                      <a:off x="0" y="0"/>
                      <a:ext cx="5928077" cy="1332700"/>
                    </a:xfrm>
                    <a:prstGeom prst="rect">
                      <a:avLst/>
                    </a:prstGeom>
                    <a:ln>
                      <a:noFill/>
                    </a:ln>
                    <a:extLst>
                      <a:ext uri="{53640926-AAD7-44D8-BBD7-CCE9431645EC}">
                        <a14:shadowObscured xmlns:a14="http://schemas.microsoft.com/office/drawing/2010/main"/>
                      </a:ext>
                    </a:extLst>
                  </pic:spPr>
                </pic:pic>
              </a:graphicData>
            </a:graphic>
          </wp:inline>
        </w:drawing>
      </w:r>
    </w:p>
    <w:p w14:paraId="6D233786" w14:textId="26414FE2" w:rsidR="007004E3" w:rsidRPr="00F562A8" w:rsidRDefault="007004E3" w:rsidP="007004E3">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3A40A1" w:rsidRPr="00F562A8">
        <w:rPr>
          <w:rFonts w:ascii="Times New Roman" w:eastAsia="Times New Roman" w:hAnsi="Times New Roman" w:cs="Times New Roman"/>
          <w:sz w:val="26"/>
          <w:szCs w:val="26"/>
        </w:rPr>
        <w:t>3.6.</w:t>
      </w:r>
      <w:r w:rsidR="003A40A1">
        <w:rPr>
          <w:rFonts w:ascii="Times New Roman" w:eastAsia="Times New Roman" w:hAnsi="Times New Roman" w:cs="Times New Roman"/>
          <w:sz w:val="26"/>
          <w:szCs w:val="26"/>
        </w:rPr>
        <w:t>3</w:t>
      </w:r>
      <w:r w:rsidR="003A40A1" w:rsidRPr="00F562A8">
        <w:rPr>
          <w:rFonts w:ascii="Times New Roman" w:eastAsia="Times New Roman" w:hAnsi="Times New Roman" w:cs="Times New Roman"/>
          <w:sz w:val="26"/>
          <w:szCs w:val="26"/>
        </w:rPr>
        <w:t>.1</w:t>
      </w:r>
      <w:r w:rsidR="003A40A1">
        <w:rPr>
          <w:rFonts w:ascii="Times New Roman" w:eastAsia="Times New Roman" w:hAnsi="Times New Roman" w:cs="Times New Roman"/>
          <w:sz w:val="26"/>
          <w:szCs w:val="26"/>
        </w:rPr>
        <w:t>.</w:t>
      </w:r>
      <w:r w:rsidR="0013750C">
        <w:rPr>
          <w:rFonts w:ascii="Times New Roman" w:eastAsia="Times New Roman" w:hAnsi="Times New Roman" w:cs="Times New Roman"/>
          <w:sz w:val="26"/>
          <w:szCs w:val="26"/>
        </w:rPr>
        <w:t>2</w:t>
      </w:r>
      <w:r w:rsidR="003A40A1">
        <w:rPr>
          <w:rFonts w:ascii="Times New Roman" w:eastAsia="Times New Roman" w:hAnsi="Times New Roman" w:cs="Times New Roman"/>
          <w:sz w:val="26"/>
          <w:szCs w:val="26"/>
        </w:rPr>
        <w:t xml:space="preserve"> </w:t>
      </w:r>
      <w:r w:rsidRPr="00F562A8">
        <w:rPr>
          <w:rFonts w:ascii="Times New Roman" w:hAnsi="Times New Roman" w:cs="Times New Roman"/>
          <w:sz w:val="26"/>
          <w:szCs w:val="26"/>
        </w:rPr>
        <w:t>-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7BCA48EA" w14:textId="77777777" w:rsidR="0013778A" w:rsidRDefault="0013778A" w:rsidP="007004E3">
      <w:pPr>
        <w:pStyle w:val="ConsPlusNormal"/>
        <w:spacing w:line="276" w:lineRule="auto"/>
        <w:ind w:firstLine="709"/>
        <w:jc w:val="both"/>
        <w:rPr>
          <w:rFonts w:ascii="Times New Roman" w:hAnsi="Times New Roman" w:cs="Times New Roman"/>
          <w:sz w:val="26"/>
          <w:szCs w:val="26"/>
        </w:rPr>
      </w:pPr>
    </w:p>
    <w:p w14:paraId="7B160ADC" w14:textId="79DBAEB5"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17AB8B71" w14:textId="77777777" w:rsidR="007004E3" w:rsidRPr="00F562A8" w:rsidRDefault="007004E3" w:rsidP="007004E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2B1128B9" w14:textId="77777777" w:rsidR="007004E3" w:rsidRPr="00F562A8" w:rsidRDefault="007004E3" w:rsidP="007004E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эмпирические данные модели,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4C53FD4D" w14:textId="4AB996D7" w:rsidR="007004E3" w:rsidRPr="00F562A8" w:rsidRDefault="004C67F6" w:rsidP="007004E3">
      <w:pPr>
        <w:spacing w:after="0" w:line="276" w:lineRule="auto"/>
        <w:jc w:val="center"/>
        <w:rPr>
          <w:rFonts w:ascii="Times New Roman" w:hAnsi="Times New Roman" w:cs="Times New Roman"/>
          <w:lang w:val="en-US"/>
        </w:rPr>
      </w:pPr>
      <w:r w:rsidRPr="008E7596">
        <w:rPr>
          <w:noProof/>
          <w:lang w:eastAsia="ru-RU"/>
        </w:rPr>
        <w:drawing>
          <wp:inline distT="0" distB="0" distL="0" distR="0" wp14:anchorId="5422BCDE" wp14:editId="53B465FE">
            <wp:extent cx="3077004" cy="1047896"/>
            <wp:effectExtent l="0" t="0" r="952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077004" cy="1047896"/>
                    </a:xfrm>
                    <a:prstGeom prst="rect">
                      <a:avLst/>
                    </a:prstGeom>
                  </pic:spPr>
                </pic:pic>
              </a:graphicData>
            </a:graphic>
          </wp:inline>
        </w:drawing>
      </w:r>
    </w:p>
    <w:p w14:paraId="4D294060" w14:textId="1B803624" w:rsidR="007004E3" w:rsidRPr="00F562A8" w:rsidRDefault="007004E3" w:rsidP="007004E3">
      <w:pPr>
        <w:spacing w:line="276" w:lineRule="auto"/>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3A40A1" w:rsidRPr="00F562A8">
        <w:rPr>
          <w:rFonts w:ascii="Times New Roman" w:eastAsia="Times New Roman" w:hAnsi="Times New Roman" w:cs="Times New Roman"/>
          <w:sz w:val="26"/>
          <w:szCs w:val="26"/>
        </w:rPr>
        <w:t>3.6.</w:t>
      </w:r>
      <w:r w:rsidR="003A40A1">
        <w:rPr>
          <w:rFonts w:ascii="Times New Roman" w:eastAsia="Times New Roman" w:hAnsi="Times New Roman" w:cs="Times New Roman"/>
          <w:sz w:val="26"/>
          <w:szCs w:val="26"/>
        </w:rPr>
        <w:t>3</w:t>
      </w:r>
      <w:r w:rsidR="003A40A1" w:rsidRPr="00F562A8">
        <w:rPr>
          <w:rFonts w:ascii="Times New Roman" w:eastAsia="Times New Roman" w:hAnsi="Times New Roman" w:cs="Times New Roman"/>
          <w:sz w:val="26"/>
          <w:szCs w:val="26"/>
        </w:rPr>
        <w:t>.1</w:t>
      </w:r>
      <w:r w:rsidR="003A40A1">
        <w:rPr>
          <w:rFonts w:ascii="Times New Roman" w:eastAsia="Times New Roman" w:hAnsi="Times New Roman" w:cs="Times New Roman"/>
          <w:sz w:val="26"/>
          <w:szCs w:val="26"/>
        </w:rPr>
        <w:t>.</w:t>
      </w:r>
      <w:r w:rsidR="0013750C">
        <w:rPr>
          <w:rFonts w:ascii="Times New Roman" w:eastAsia="Times New Roman" w:hAnsi="Times New Roman" w:cs="Times New Roman"/>
          <w:sz w:val="26"/>
          <w:szCs w:val="26"/>
        </w:rPr>
        <w:t>3</w:t>
      </w:r>
      <w:r w:rsidR="003A40A1">
        <w:rPr>
          <w:rFonts w:ascii="Times New Roman" w:eastAsia="Times New Roman" w:hAnsi="Times New Roman" w:cs="Times New Roman"/>
          <w:sz w:val="26"/>
          <w:szCs w:val="26"/>
        </w:rPr>
        <w:t xml:space="preserve"> </w:t>
      </w:r>
      <w:r w:rsidRPr="00F562A8">
        <w:rPr>
          <w:rFonts w:ascii="Times New Roman" w:hAnsi="Times New Roman" w:cs="Times New Roman"/>
          <w:sz w:val="26"/>
          <w:szCs w:val="26"/>
        </w:rPr>
        <w:t>- Значения F-критерия Фишера</w:t>
      </w:r>
    </w:p>
    <w:p w14:paraId="42976EB4" w14:textId="77777777" w:rsidR="007004E3" w:rsidRPr="00F562A8" w:rsidRDefault="007004E3" w:rsidP="007004E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7F94A856" w14:textId="5B985FB0" w:rsidR="004C67F6" w:rsidRPr="008E7596" w:rsidRDefault="007004E3" w:rsidP="004C67F6">
      <w:pPr>
        <w:spacing w:after="0" w:line="240" w:lineRule="auto"/>
        <w:ind w:firstLine="709"/>
        <w:jc w:val="both"/>
        <w:rPr>
          <w:rFonts w:ascii="Arial" w:eastAsia="Times New Roman" w:hAnsi="Arial" w:cs="Arial"/>
          <w:sz w:val="20"/>
          <w:szCs w:val="20"/>
          <w:lang w:eastAsia="ru-RU"/>
        </w:rPr>
      </w:pPr>
      <w:r w:rsidRPr="00F562A8">
        <w:rPr>
          <w:rFonts w:ascii="Times New Roman" w:hAnsi="Times New Roman" w:cs="Times New Roman"/>
          <w:i/>
          <w:sz w:val="26"/>
          <w:szCs w:val="26"/>
        </w:rPr>
        <w:t xml:space="preserve">УПКС = </w:t>
      </w:r>
      <w:r w:rsidR="004C67F6" w:rsidRPr="004C67F6">
        <w:rPr>
          <w:rFonts w:ascii="Times New Roman" w:hAnsi="Times New Roman" w:cs="Times New Roman"/>
          <w:i/>
          <w:sz w:val="26"/>
          <w:szCs w:val="26"/>
        </w:rPr>
        <w:t>243.331613508691*e^(+0.000012749106579688*((30268.483+3.495-гнп Расстояние объекта до историко-культурного центра))</w:t>
      </w:r>
      <w:r w:rsidR="004C67F6">
        <w:rPr>
          <w:rFonts w:ascii="Times New Roman" w:hAnsi="Times New Roman" w:cs="Times New Roman"/>
          <w:i/>
          <w:sz w:val="26"/>
          <w:szCs w:val="26"/>
        </w:rPr>
        <w:t xml:space="preserve"> </w:t>
      </w:r>
      <w:r w:rsidR="004C67F6" w:rsidRPr="004C67F6">
        <w:rPr>
          <w:rFonts w:ascii="Times New Roman" w:hAnsi="Times New Roman" w:cs="Times New Roman"/>
          <w:i/>
          <w:sz w:val="26"/>
          <w:szCs w:val="26"/>
        </w:rPr>
        <w:t>+0.000070474852052</w:t>
      </w:r>
      <w:r w:rsidR="004C67F6">
        <w:rPr>
          <w:rFonts w:ascii="Times New Roman" w:hAnsi="Times New Roman" w:cs="Times New Roman"/>
          <w:i/>
          <w:sz w:val="26"/>
          <w:szCs w:val="26"/>
        </w:rPr>
        <w:t xml:space="preserve"> </w:t>
      </w:r>
      <w:r w:rsidR="004C67F6" w:rsidRPr="004C67F6">
        <w:rPr>
          <w:rFonts w:ascii="Times New Roman" w:hAnsi="Times New Roman" w:cs="Times New Roman"/>
          <w:i/>
          <w:sz w:val="26"/>
          <w:szCs w:val="26"/>
        </w:rPr>
        <w:t>8719*((37027.30+99.339-гнп Расстояние объекта до центра населенного пункта))+0.473275801037874*([гнп Центральное теплоснабжение]))</w:t>
      </w:r>
    </w:p>
    <w:p w14:paraId="07F23A02" w14:textId="45E50F9C" w:rsidR="007004E3" w:rsidRPr="00F562A8" w:rsidRDefault="007004E3" w:rsidP="004C67F6">
      <w:pPr>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72A80D41" w14:textId="4794A1FA" w:rsidR="007004E3" w:rsidRPr="00F562A8" w:rsidRDefault="004C67F6" w:rsidP="007004E3">
      <w:pPr>
        <w:spacing w:after="0" w:line="276" w:lineRule="auto"/>
        <w:jc w:val="center"/>
        <w:rPr>
          <w:rFonts w:ascii="Times New Roman" w:hAnsi="Times New Roman" w:cs="Times New Roman"/>
          <w:sz w:val="26"/>
          <w:szCs w:val="26"/>
        </w:rPr>
      </w:pPr>
      <w:r w:rsidRPr="008E7596">
        <w:rPr>
          <w:noProof/>
          <w:lang w:eastAsia="ru-RU"/>
        </w:rPr>
        <w:drawing>
          <wp:inline distT="0" distB="0" distL="0" distR="0" wp14:anchorId="34D59812" wp14:editId="07D78774">
            <wp:extent cx="5424976" cy="3131466"/>
            <wp:effectExtent l="0" t="0" r="4445"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427965" cy="3133191"/>
                    </a:xfrm>
                    <a:prstGeom prst="rect">
                      <a:avLst/>
                    </a:prstGeom>
                  </pic:spPr>
                </pic:pic>
              </a:graphicData>
            </a:graphic>
          </wp:inline>
        </w:drawing>
      </w:r>
    </w:p>
    <w:p w14:paraId="34116F19" w14:textId="2A34B29B" w:rsidR="007004E3" w:rsidRPr="00F562A8" w:rsidRDefault="007004E3" w:rsidP="007004E3">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3A40A1" w:rsidRPr="00F562A8">
        <w:rPr>
          <w:rFonts w:ascii="Times New Roman" w:eastAsia="Times New Roman" w:hAnsi="Times New Roman" w:cs="Times New Roman"/>
          <w:sz w:val="26"/>
          <w:szCs w:val="26"/>
        </w:rPr>
        <w:t>3.6.</w:t>
      </w:r>
      <w:r w:rsidR="003A40A1">
        <w:rPr>
          <w:rFonts w:ascii="Times New Roman" w:eastAsia="Times New Roman" w:hAnsi="Times New Roman" w:cs="Times New Roman"/>
          <w:sz w:val="26"/>
          <w:szCs w:val="26"/>
        </w:rPr>
        <w:t>3</w:t>
      </w:r>
      <w:r w:rsidR="003A40A1" w:rsidRPr="00F562A8">
        <w:rPr>
          <w:rFonts w:ascii="Times New Roman" w:eastAsia="Times New Roman" w:hAnsi="Times New Roman" w:cs="Times New Roman"/>
          <w:sz w:val="26"/>
          <w:szCs w:val="26"/>
        </w:rPr>
        <w:t>.1</w:t>
      </w:r>
      <w:r w:rsidR="003A40A1">
        <w:rPr>
          <w:rFonts w:ascii="Times New Roman" w:eastAsia="Times New Roman" w:hAnsi="Times New Roman" w:cs="Times New Roman"/>
          <w:sz w:val="26"/>
          <w:szCs w:val="26"/>
        </w:rPr>
        <w:t>.</w:t>
      </w:r>
      <w:r w:rsidR="0013750C">
        <w:rPr>
          <w:rFonts w:ascii="Times New Roman" w:eastAsia="Times New Roman" w:hAnsi="Times New Roman" w:cs="Times New Roman"/>
          <w:sz w:val="26"/>
          <w:szCs w:val="26"/>
        </w:rPr>
        <w:t>4</w:t>
      </w:r>
      <w:r w:rsidRPr="00F562A8">
        <w:rPr>
          <w:rFonts w:ascii="Times New Roman" w:hAnsi="Times New Roman" w:cs="Times New Roman"/>
          <w:sz w:val="26"/>
          <w:szCs w:val="26"/>
        </w:rPr>
        <w:t xml:space="preserve"> - Характеристика экспоненциальной модели и анализ качества выборки</w:t>
      </w:r>
    </w:p>
    <w:p w14:paraId="09102312" w14:textId="77777777" w:rsidR="00994221" w:rsidRDefault="00994221" w:rsidP="0099422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ненулевые, связь между факторами и кадастровой стоимостью обратная, то есть при росте каждого фактора кадастровая стоимость уменьшается. Малые значения средней ошибки аппроксимации и среднеквадратической ошибки оценки свидетельствуют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50455C18" w14:textId="6CD8B329" w:rsidR="00AA0C56" w:rsidRDefault="00D92354" w:rsidP="00AA0C56">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2D6F65" w:rsidRPr="009E7344">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/2.4.3</w:t>
      </w:r>
    </w:p>
    <w:p w14:paraId="4477A8C3" w14:textId="77777777" w:rsidR="004C67F6" w:rsidRPr="00F562A8" w:rsidRDefault="004C67F6" w:rsidP="006F6435">
      <w:pPr>
        <w:spacing w:after="0" w:line="276" w:lineRule="auto"/>
        <w:ind w:firstLine="567"/>
        <w:jc w:val="both"/>
        <w:rPr>
          <w:rFonts w:ascii="Times New Roman" w:hAnsi="Times New Roman" w:cs="Times New Roman"/>
          <w:bCs/>
          <w:sz w:val="26"/>
          <w:szCs w:val="26"/>
        </w:rPr>
      </w:pPr>
    </w:p>
    <w:p w14:paraId="037E565F" w14:textId="77777777" w:rsidR="00961FF2" w:rsidRPr="00B11E8D" w:rsidRDefault="00B15076" w:rsidP="00B11E8D">
      <w:pPr>
        <w:pStyle w:val="ab"/>
        <w:ind w:left="0"/>
        <w:jc w:val="center"/>
        <w:outlineLvl w:val="2"/>
        <w:rPr>
          <w:rFonts w:ascii="Times New Roman" w:hAnsi="Times New Roman" w:cs="Times New Roman"/>
          <w:i/>
          <w:sz w:val="26"/>
          <w:szCs w:val="26"/>
        </w:rPr>
      </w:pPr>
      <w:bookmarkStart w:id="202" w:name="_Toc110506970"/>
      <w:bookmarkStart w:id="203" w:name="_Hlk42079160"/>
      <w:bookmarkStart w:id="204" w:name="_Hlk41927293"/>
      <w:bookmarkEnd w:id="194"/>
      <w:bookmarkEnd w:id="201"/>
      <w:r w:rsidRPr="009E7344">
        <w:rPr>
          <w:rFonts w:ascii="Times New Roman" w:hAnsi="Times New Roman" w:cs="Times New Roman"/>
          <w:i/>
          <w:sz w:val="26"/>
          <w:szCs w:val="26"/>
        </w:rPr>
        <w:t>3.6.3.2</w:t>
      </w:r>
      <w:r w:rsidRPr="00B11E8D">
        <w:rPr>
          <w:rFonts w:ascii="Times New Roman" w:hAnsi="Times New Roman" w:cs="Times New Roman"/>
          <w:i/>
          <w:sz w:val="26"/>
          <w:szCs w:val="26"/>
        </w:rPr>
        <w:t xml:space="preserve">. </w:t>
      </w:r>
      <w:r w:rsidR="00306BF5" w:rsidRPr="00B11E8D">
        <w:rPr>
          <w:rFonts w:ascii="Times New Roman" w:hAnsi="Times New Roman" w:cs="Times New Roman"/>
          <w:i/>
          <w:sz w:val="26"/>
          <w:szCs w:val="26"/>
        </w:rPr>
        <w:t xml:space="preserve">Расчет кадастровой стоимости земельных участков группы </w:t>
      </w:r>
      <w:r w:rsidR="00961FF2" w:rsidRPr="00B11E8D">
        <w:rPr>
          <w:rFonts w:ascii="Times New Roman" w:hAnsi="Times New Roman" w:cs="Times New Roman"/>
          <w:i/>
          <w:sz w:val="26"/>
          <w:szCs w:val="26"/>
        </w:rPr>
        <w:t>СОЦ/6 ГНП</w:t>
      </w:r>
      <w:bookmarkEnd w:id="202"/>
    </w:p>
    <w:p w14:paraId="72AA39B6" w14:textId="509D5EC4" w:rsidR="000538B5" w:rsidRPr="00F562A8" w:rsidRDefault="000538B5" w:rsidP="000538B5">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2D6F65" w:rsidRPr="009E7344">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/2.4.3</w:t>
      </w:r>
    </w:p>
    <w:p w14:paraId="0C8FB238" w14:textId="3A3BFEA8" w:rsidR="00571A90" w:rsidRDefault="00571A90" w:rsidP="00571A90">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F72A6D">
        <w:rPr>
          <w:rFonts w:ascii="Times New Roman" w:hAnsi="Times New Roman" w:cs="Times New Roman"/>
          <w:sz w:val="26"/>
          <w:szCs w:val="26"/>
        </w:rPr>
        <w:t>СОЦ/</w:t>
      </w:r>
      <w:r>
        <w:rPr>
          <w:rFonts w:ascii="Times New Roman" w:hAnsi="Times New Roman" w:cs="Times New Roman"/>
          <w:sz w:val="26"/>
          <w:szCs w:val="26"/>
        </w:rPr>
        <w:t>6 ГНП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Pr="00F72A6D">
        <w:rPr>
          <w:rFonts w:ascii="Times New Roman" w:hAnsi="Times New Roman" w:cs="Times New Roman"/>
          <w:sz w:val="26"/>
          <w:szCs w:val="26"/>
        </w:rPr>
        <w:t>03:000, 01:143, 03:010, 03:013, 03:020, 03:021, 03:022, 03:023, 03:030, 03:031, 03:032, 03:033, 03:034, 03:035, 03:040, 03:041, 03:042, 03:050, 03:051, 03:052, 03:060, 03:061, 03:062, 03:065, 03:070, 03:071, 03:072, 03:073, 03:080, 03:081, 03:082, 03:083, 03:090, 03:091, 03:092, 03:100, 03:101, 03:102, 03:103, 03:104, 05:010, 05:011, 05:012, 05:020, 05:021, 05:051, 07:021, 07:022, 08:022, 08:030, 08:041, 09:030</w:t>
      </w:r>
      <w:r>
        <w:rPr>
          <w:rFonts w:ascii="Times New Roman" w:hAnsi="Times New Roman" w:cs="Times New Roman"/>
          <w:sz w:val="26"/>
          <w:szCs w:val="26"/>
        </w:rPr>
        <w:t>.</w:t>
      </w:r>
    </w:p>
    <w:p w14:paraId="0774F448" w14:textId="40C52861" w:rsidR="000538B5" w:rsidRPr="00F562A8" w:rsidRDefault="000538B5" w:rsidP="000538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w:t>
      </w:r>
      <w:r w:rsidRPr="00963254">
        <w:rPr>
          <w:rFonts w:ascii="Times New Roman" w:hAnsi="Times New Roman" w:cs="Times New Roman"/>
          <w:sz w:val="26"/>
          <w:szCs w:val="26"/>
        </w:rPr>
        <w:t xml:space="preserve">группы </w:t>
      </w:r>
      <w:r w:rsidR="00961FF2">
        <w:rPr>
          <w:rFonts w:ascii="Times New Roman" w:hAnsi="Times New Roman" w:cs="Times New Roman"/>
          <w:sz w:val="26"/>
          <w:szCs w:val="26"/>
        </w:rPr>
        <w:t>СОЦ</w:t>
      </w:r>
      <w:r w:rsidRPr="005D5311">
        <w:rPr>
          <w:rFonts w:ascii="Times New Roman" w:hAnsi="Times New Roman" w:cs="Times New Roman"/>
          <w:sz w:val="26"/>
          <w:szCs w:val="26"/>
        </w:rPr>
        <w:t>/</w:t>
      </w:r>
      <w:r w:rsidRPr="00963254">
        <w:rPr>
          <w:rFonts w:ascii="Times New Roman" w:hAnsi="Times New Roman" w:cs="Times New Roman"/>
          <w:sz w:val="26"/>
          <w:szCs w:val="26"/>
        </w:rPr>
        <w:t>6 ГНП</w:t>
      </w:r>
      <w:r w:rsidRPr="00F562A8">
        <w:rPr>
          <w:rFonts w:ascii="Times New Roman" w:hAnsi="Times New Roman" w:cs="Times New Roman"/>
          <w:i/>
          <w:sz w:val="26"/>
          <w:szCs w:val="26"/>
        </w:rPr>
        <w:t xml:space="preserve"> </w:t>
      </w:r>
      <w:r>
        <w:rPr>
          <w:rFonts w:ascii="Times New Roman" w:hAnsi="Times New Roman" w:cs="Times New Roman"/>
          <w:i/>
          <w:sz w:val="26"/>
          <w:szCs w:val="26"/>
        </w:rPr>
        <w:t xml:space="preserve">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2CCC16B2" w14:textId="5013A4CB"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615491">
        <w:rPr>
          <w:rFonts w:ascii="Times New Roman" w:hAnsi="Times New Roman" w:cs="Times New Roman"/>
          <w:sz w:val="26"/>
          <w:szCs w:val="26"/>
        </w:rPr>
        <w:t>45.1.1</w:t>
      </w:r>
      <w:r w:rsidRPr="00F562A8">
        <w:rPr>
          <w:rFonts w:ascii="Times New Roman" w:hAnsi="Times New Roman" w:cs="Times New Roman"/>
          <w:sz w:val="26"/>
          <w:szCs w:val="26"/>
        </w:rPr>
        <w:t xml:space="preserve">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2C8F6868"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14A52B09"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1F70B62A"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42091E15"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72D3E7A3"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466A5A84"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7C5F509E" w14:textId="77777777" w:rsidR="00012B25" w:rsidRPr="00F562A8" w:rsidRDefault="000538B5" w:rsidP="00012B25">
      <w:pPr>
        <w:tabs>
          <w:tab w:val="left" w:pos="1890"/>
        </w:tabs>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6 городских населенных пунктах Воронежской области, с численностью населения выше 30000 человек: г. </w:t>
      </w:r>
      <w:r w:rsidR="008C54E1">
        <w:rPr>
          <w:rFonts w:ascii="Times New Roman" w:hAnsi="Times New Roman" w:cs="Times New Roman"/>
          <w:sz w:val="26"/>
          <w:szCs w:val="26"/>
        </w:rPr>
        <w:t xml:space="preserve">  </w:t>
      </w:r>
      <w:r w:rsidRPr="00F562A8">
        <w:rPr>
          <w:rFonts w:ascii="Times New Roman" w:hAnsi="Times New Roman" w:cs="Times New Roman"/>
          <w:sz w:val="26"/>
          <w:szCs w:val="26"/>
        </w:rPr>
        <w:t xml:space="preserve">Борисоглебск, г. Россошь, г. Лиски, г. Острогожск, </w:t>
      </w:r>
      <w:r w:rsidR="0013778A">
        <w:rPr>
          <w:rFonts w:ascii="Times New Roman" w:hAnsi="Times New Roman" w:cs="Times New Roman"/>
          <w:sz w:val="26"/>
          <w:szCs w:val="26"/>
        </w:rPr>
        <w:br/>
      </w:r>
      <w:r w:rsidRPr="00F562A8">
        <w:rPr>
          <w:rFonts w:ascii="Times New Roman" w:hAnsi="Times New Roman" w:cs="Times New Roman"/>
          <w:sz w:val="26"/>
          <w:szCs w:val="26"/>
        </w:rPr>
        <w:t xml:space="preserve">г. Нововоронеж, с. Новая Усмань,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012B25" w:rsidRPr="00F562A8">
        <w:rPr>
          <w:rFonts w:ascii="Times New Roman" w:hAnsi="Times New Roman" w:cs="Times New Roman"/>
          <w:sz w:val="26"/>
          <w:szCs w:val="26"/>
        </w:rPr>
        <w:t>представлены в таблиц</w:t>
      </w:r>
      <w:r w:rsidR="00012B25">
        <w:rPr>
          <w:rFonts w:ascii="Times New Roman" w:hAnsi="Times New Roman" w:cs="Times New Roman"/>
          <w:sz w:val="26"/>
          <w:szCs w:val="26"/>
        </w:rPr>
        <w:t>ах</w:t>
      </w:r>
      <w:r w:rsidR="00012B25" w:rsidRPr="00F562A8">
        <w:rPr>
          <w:rFonts w:ascii="Times New Roman" w:hAnsi="Times New Roman" w:cs="Times New Roman"/>
          <w:sz w:val="26"/>
          <w:szCs w:val="26"/>
        </w:rPr>
        <w:t xml:space="preserve"> </w:t>
      </w:r>
      <w:r w:rsidR="00012B25" w:rsidRPr="00F562A8">
        <w:rPr>
          <w:rFonts w:ascii="Times New Roman" w:eastAsia="Times New Roman" w:hAnsi="Times New Roman" w:cs="Times New Roman"/>
          <w:sz w:val="26"/>
          <w:szCs w:val="26"/>
        </w:rPr>
        <w:t>3.</w:t>
      </w:r>
      <w:r w:rsidR="00012B25">
        <w:rPr>
          <w:rFonts w:ascii="Times New Roman" w:eastAsia="Times New Roman" w:hAnsi="Times New Roman" w:cs="Times New Roman"/>
          <w:sz w:val="26"/>
          <w:szCs w:val="26"/>
        </w:rPr>
        <w:t>4 и 3.5, пунктов 3.4 и 3.5 соответственно</w:t>
      </w:r>
      <w:r w:rsidR="00012B25" w:rsidRPr="00F562A8">
        <w:rPr>
          <w:rFonts w:ascii="Times New Roman" w:hAnsi="Times New Roman" w:cs="Times New Roman"/>
          <w:sz w:val="26"/>
          <w:szCs w:val="26"/>
        </w:rPr>
        <w:t>.</w:t>
      </w:r>
    </w:p>
    <w:p w14:paraId="1A79FE2F" w14:textId="77777777" w:rsidR="000538B5" w:rsidRPr="00F562A8" w:rsidRDefault="000538B5" w:rsidP="000538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551921FF" w14:textId="77777777" w:rsidR="000538B5" w:rsidRPr="00F562A8" w:rsidRDefault="000538B5" w:rsidP="000538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403A1412" w14:textId="298D11CB" w:rsidR="000538B5" w:rsidRPr="00F562A8" w:rsidRDefault="000538B5" w:rsidP="000538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EE7545">
        <w:rPr>
          <w:rFonts w:ascii="Times New Roman" w:hAnsi="Times New Roman" w:cs="Times New Roman"/>
          <w:sz w:val="26"/>
          <w:szCs w:val="26"/>
        </w:rPr>
        <w:t>2</w:t>
      </w:r>
      <w:r w:rsidRPr="00F562A8">
        <w:rPr>
          <w:rFonts w:ascii="Times New Roman" w:hAnsi="Times New Roman" w:cs="Times New Roman"/>
          <w:sz w:val="26"/>
          <w:szCs w:val="26"/>
        </w:rPr>
        <w:t>:</w:t>
      </w:r>
    </w:p>
    <w:p w14:paraId="0F20C79D" w14:textId="5B5D40D7" w:rsidR="000538B5" w:rsidRPr="00F562A8" w:rsidRDefault="000538B5" w:rsidP="000538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8C54E1" w:rsidRPr="00F562A8">
        <w:rPr>
          <w:rFonts w:ascii="Times New Roman" w:hAnsi="Times New Roman" w:cs="Times New Roman"/>
          <w:sz w:val="26"/>
          <w:szCs w:val="26"/>
        </w:rPr>
        <w:t>расстояние объекта до общественно-делового центра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77969A0A" w14:textId="1504140E" w:rsidR="000538B5" w:rsidRPr="00F562A8" w:rsidRDefault="000538B5" w:rsidP="000538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расстояние </w:t>
      </w:r>
      <w:r w:rsidR="008C54E1" w:rsidRPr="008C54E1">
        <w:rPr>
          <w:rFonts w:ascii="Times New Roman" w:hAnsi="Times New Roman" w:cs="Times New Roman"/>
          <w:sz w:val="26"/>
          <w:szCs w:val="26"/>
        </w:rPr>
        <w:t>от населенного пункта до центра субъекта РФ (г.Воронеж)</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1</w:t>
      </w:r>
      <w:r w:rsidR="00D568A9">
        <w:rPr>
          <w:rFonts w:ascii="Times New Roman" w:hAnsi="Times New Roman" w:cs="Times New Roman"/>
          <w:sz w:val="26"/>
          <w:szCs w:val="26"/>
        </w:rPr>
        <w:t>.</w:t>
      </w:r>
    </w:p>
    <w:p w14:paraId="0EAF6DC6" w14:textId="77777777" w:rsidR="000538B5" w:rsidRPr="00F562A8" w:rsidRDefault="000538B5" w:rsidP="000538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7B1306B7" w14:textId="77777777" w:rsidR="000538B5" w:rsidRPr="00F562A8" w:rsidRDefault="000538B5" w:rsidP="000538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23F586C1" w14:textId="7D425D4D" w:rsidR="000538B5" w:rsidRPr="00F562A8" w:rsidRDefault="000538B5" w:rsidP="000538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13778A">
        <w:rPr>
          <w:rFonts w:ascii="Times New Roman" w:hAnsi="Times New Roman" w:cs="Times New Roman"/>
          <w:sz w:val="26"/>
          <w:szCs w:val="26"/>
        </w:rPr>
        <w:t>двух</w:t>
      </w:r>
      <w:r w:rsidRPr="00F562A8">
        <w:rPr>
          <w:rFonts w:ascii="Times New Roman" w:hAnsi="Times New Roman" w:cs="Times New Roman"/>
          <w:sz w:val="26"/>
          <w:szCs w:val="26"/>
        </w:rPr>
        <w:t>факторные модели:</w:t>
      </w:r>
    </w:p>
    <w:p w14:paraId="1D3F5FB9" w14:textId="77777777" w:rsidR="000538B5" w:rsidRPr="00F562A8" w:rsidRDefault="000538B5" w:rsidP="000538B5">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45230BC8" wp14:editId="6C87CE7F">
            <wp:extent cx="2209800" cy="247650"/>
            <wp:effectExtent l="0" t="0" r="0" b="0"/>
            <wp:docPr id="896" name="Рисунок 896"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23480C3C" w14:textId="77777777" w:rsidR="000538B5" w:rsidRPr="00F562A8" w:rsidRDefault="000538B5" w:rsidP="000538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3109CBFC" wp14:editId="5FE3411C">
            <wp:extent cx="1352550" cy="266700"/>
            <wp:effectExtent l="0" t="0" r="0" b="0"/>
            <wp:docPr id="897" name="Рисунок 897"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1E0A0CFA" w14:textId="77777777" w:rsidR="000538B5" w:rsidRPr="00F562A8" w:rsidRDefault="000538B5" w:rsidP="000538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2C45C2B6" wp14:editId="0B4B9D68">
            <wp:extent cx="1266825" cy="266700"/>
            <wp:effectExtent l="0" t="0" r="0" b="0"/>
            <wp:docPr id="901" name="Рисунок 901"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02A0889F" w14:textId="77777777" w:rsidR="000538B5" w:rsidRPr="00F562A8" w:rsidRDefault="000538B5" w:rsidP="000538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63A5FF45"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723EED28"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6EE257B9" wp14:editId="7C4C5634">
            <wp:extent cx="209550" cy="247650"/>
            <wp:effectExtent l="0" t="0" r="0" b="0"/>
            <wp:docPr id="912" name="Рисунок 912"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17940ECA" wp14:editId="260825A3">
            <wp:extent cx="200025" cy="247650"/>
            <wp:effectExtent l="0" t="0" r="9525" b="0"/>
            <wp:docPr id="914" name="Рисунок 914"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2198B848" wp14:editId="7AE2625E">
            <wp:extent cx="209550" cy="247650"/>
            <wp:effectExtent l="0" t="0" r="0" b="0"/>
            <wp:docPr id="921" name="Рисунок 921"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731D085F" w14:textId="539C64B6" w:rsidR="000538B5" w:rsidRPr="00F562A8" w:rsidRDefault="007E1EA3" w:rsidP="000538B5">
      <w:pPr>
        <w:spacing w:after="0" w:line="276" w:lineRule="auto"/>
        <w:jc w:val="both"/>
        <w:rPr>
          <w:rFonts w:ascii="Times New Roman" w:hAnsi="Times New Roman" w:cs="Times New Roman"/>
          <w:lang w:val="en-US"/>
        </w:rPr>
      </w:pPr>
      <w:r w:rsidRPr="0058240C">
        <w:rPr>
          <w:noProof/>
          <w:lang w:eastAsia="ru-RU"/>
        </w:rPr>
        <w:drawing>
          <wp:inline distT="0" distB="0" distL="0" distR="0" wp14:anchorId="012C4A23" wp14:editId="2374D1AB">
            <wp:extent cx="5939790" cy="1042559"/>
            <wp:effectExtent l="0" t="0" r="3810" b="5715"/>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939790" cy="1042559"/>
                    </a:xfrm>
                    <a:prstGeom prst="rect">
                      <a:avLst/>
                    </a:prstGeom>
                  </pic:spPr>
                </pic:pic>
              </a:graphicData>
            </a:graphic>
          </wp:inline>
        </w:drawing>
      </w:r>
    </w:p>
    <w:p w14:paraId="3BD713A2" w14:textId="4956F509" w:rsidR="000538B5" w:rsidRPr="00F562A8" w:rsidRDefault="000538B5" w:rsidP="00571A90">
      <w:pPr>
        <w:spacing w:after="0" w:line="300" w:lineRule="auto"/>
        <w:ind w:firstLine="709"/>
        <w:jc w:val="right"/>
        <w:rPr>
          <w:rFonts w:ascii="Times New Roman" w:hAnsi="Times New Roman" w:cs="Times New Roman"/>
          <w:sz w:val="26"/>
          <w:szCs w:val="26"/>
        </w:rPr>
      </w:pPr>
      <w:r w:rsidRPr="00F562A8">
        <w:rPr>
          <w:rFonts w:ascii="Times New Roman" w:hAnsi="Times New Roman" w:cs="Times New Roman"/>
          <w:lang w:val="en-US"/>
        </w:rPr>
        <w:tab/>
      </w:r>
      <w:r w:rsidRPr="00F562A8">
        <w:rPr>
          <w:rFonts w:ascii="Times New Roman" w:hAnsi="Times New Roman" w:cs="Times New Roman"/>
          <w:sz w:val="26"/>
          <w:szCs w:val="26"/>
        </w:rPr>
        <w:t xml:space="preserve">Рис. </w:t>
      </w:r>
      <w:r w:rsidR="00571A90" w:rsidRPr="00F562A8">
        <w:rPr>
          <w:rFonts w:ascii="Times New Roman" w:hAnsi="Times New Roman" w:cs="Times New Roman"/>
          <w:sz w:val="26"/>
          <w:szCs w:val="26"/>
        </w:rPr>
        <w:t>3.6.3.</w:t>
      </w:r>
      <w:r w:rsidR="00571A90">
        <w:rPr>
          <w:rFonts w:ascii="Times New Roman" w:hAnsi="Times New Roman" w:cs="Times New Roman"/>
          <w:sz w:val="26"/>
          <w:szCs w:val="26"/>
        </w:rPr>
        <w:t>2.</w:t>
      </w:r>
      <w:r w:rsidR="00B20D6F">
        <w:rPr>
          <w:rFonts w:ascii="Times New Roman" w:hAnsi="Times New Roman" w:cs="Times New Roman"/>
          <w:sz w:val="26"/>
          <w:szCs w:val="26"/>
        </w:rPr>
        <w:t>1</w:t>
      </w:r>
      <w:r w:rsidR="00571A90">
        <w:rPr>
          <w:rFonts w:ascii="Times New Roman" w:hAnsi="Times New Roman" w:cs="Times New Roman"/>
          <w:sz w:val="26"/>
          <w:szCs w:val="26"/>
        </w:rPr>
        <w:t xml:space="preserve"> </w:t>
      </w:r>
      <w:r w:rsidRPr="00F562A8">
        <w:rPr>
          <w:rFonts w:ascii="Times New Roman" w:hAnsi="Times New Roman" w:cs="Times New Roman"/>
          <w:sz w:val="26"/>
          <w:szCs w:val="26"/>
        </w:rPr>
        <w:t xml:space="preserve">- Множественные регрессионные </w:t>
      </w:r>
      <w:r w:rsidR="0013778A">
        <w:rPr>
          <w:rFonts w:ascii="Times New Roman" w:hAnsi="Times New Roman" w:cs="Times New Roman"/>
          <w:sz w:val="26"/>
          <w:szCs w:val="26"/>
        </w:rPr>
        <w:t>дву</w:t>
      </w:r>
      <w:r w:rsidRPr="00F562A8">
        <w:rPr>
          <w:rFonts w:ascii="Times New Roman" w:hAnsi="Times New Roman" w:cs="Times New Roman"/>
          <w:sz w:val="26"/>
          <w:szCs w:val="26"/>
        </w:rPr>
        <w:t>хфакторные модели</w:t>
      </w:r>
    </w:p>
    <w:p w14:paraId="4518EFB7" w14:textId="5C0A0D50"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68B10C5B"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6B33E6D5"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412B692C"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396E9720"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62A86DCE"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7289671A"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1C454689"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28AFB370" w14:textId="7AB7B237" w:rsidR="000538B5" w:rsidRPr="00F562A8" w:rsidRDefault="00893DB3" w:rsidP="000538B5">
      <w:pPr>
        <w:pStyle w:val="ConsPlusNormal"/>
        <w:spacing w:line="276" w:lineRule="auto"/>
        <w:jc w:val="center"/>
        <w:rPr>
          <w:rFonts w:ascii="Times New Roman" w:hAnsi="Times New Roman" w:cs="Times New Roman"/>
          <w:sz w:val="26"/>
          <w:szCs w:val="26"/>
        </w:rPr>
      </w:pPr>
      <w:r w:rsidRPr="0058240C">
        <w:rPr>
          <w:noProof/>
        </w:rPr>
        <w:drawing>
          <wp:inline distT="0" distB="0" distL="0" distR="0" wp14:anchorId="739529D7" wp14:editId="3EB4D926">
            <wp:extent cx="5886450" cy="1302216"/>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srcRect r="7274"/>
                    <a:stretch/>
                  </pic:blipFill>
                  <pic:spPr bwMode="auto">
                    <a:xfrm>
                      <a:off x="0" y="0"/>
                      <a:ext cx="5902765" cy="1305825"/>
                    </a:xfrm>
                    <a:prstGeom prst="rect">
                      <a:avLst/>
                    </a:prstGeom>
                    <a:ln>
                      <a:noFill/>
                    </a:ln>
                    <a:extLst>
                      <a:ext uri="{53640926-AAD7-44D8-BBD7-CCE9431645EC}">
                        <a14:shadowObscured xmlns:a14="http://schemas.microsoft.com/office/drawing/2010/main"/>
                      </a:ext>
                    </a:extLst>
                  </pic:spPr>
                </pic:pic>
              </a:graphicData>
            </a:graphic>
          </wp:inline>
        </w:drawing>
      </w:r>
    </w:p>
    <w:p w14:paraId="778395F8" w14:textId="7CCF48AB" w:rsidR="000538B5" w:rsidRPr="00F562A8" w:rsidRDefault="000538B5" w:rsidP="000538B5">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571A90" w:rsidRPr="00F562A8">
        <w:rPr>
          <w:rFonts w:ascii="Times New Roman" w:hAnsi="Times New Roman" w:cs="Times New Roman"/>
          <w:sz w:val="26"/>
          <w:szCs w:val="26"/>
        </w:rPr>
        <w:t>3.6.3.</w:t>
      </w:r>
      <w:r w:rsidR="00571A90">
        <w:rPr>
          <w:rFonts w:ascii="Times New Roman" w:hAnsi="Times New Roman" w:cs="Times New Roman"/>
          <w:sz w:val="26"/>
          <w:szCs w:val="26"/>
        </w:rPr>
        <w:t>2.</w:t>
      </w:r>
      <w:r w:rsidR="00B20D6F">
        <w:rPr>
          <w:rFonts w:ascii="Times New Roman" w:hAnsi="Times New Roman" w:cs="Times New Roman"/>
          <w:sz w:val="26"/>
          <w:szCs w:val="26"/>
        </w:rPr>
        <w:t>2</w:t>
      </w:r>
      <w:r w:rsidR="00571A90">
        <w:rPr>
          <w:rFonts w:ascii="Times New Roman" w:hAnsi="Times New Roman" w:cs="Times New Roman"/>
          <w:sz w:val="26"/>
          <w:szCs w:val="26"/>
        </w:rPr>
        <w:t xml:space="preserve"> </w:t>
      </w:r>
      <w:r w:rsidRPr="00F562A8">
        <w:rPr>
          <w:rFonts w:ascii="Times New Roman" w:hAnsi="Times New Roman" w:cs="Times New Roman"/>
          <w:sz w:val="26"/>
          <w:szCs w:val="26"/>
        </w:rPr>
        <w:t>-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0E1D3379"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114C5D7C" w14:textId="77777777" w:rsidR="000538B5" w:rsidRPr="00F562A8" w:rsidRDefault="000538B5" w:rsidP="000538B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39AB1E30" w14:textId="77777777" w:rsidR="000538B5" w:rsidRPr="00F562A8" w:rsidRDefault="000538B5" w:rsidP="000538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74B1DD7E" w14:textId="69BCE38B" w:rsidR="000538B5" w:rsidRPr="00F562A8" w:rsidRDefault="00893DB3" w:rsidP="000538B5">
      <w:pPr>
        <w:spacing w:after="0" w:line="276" w:lineRule="auto"/>
        <w:jc w:val="center"/>
        <w:rPr>
          <w:rFonts w:ascii="Times New Roman" w:hAnsi="Times New Roman" w:cs="Times New Roman"/>
          <w:lang w:val="en-US"/>
        </w:rPr>
      </w:pPr>
      <w:r w:rsidRPr="0058240C">
        <w:rPr>
          <w:noProof/>
          <w:lang w:eastAsia="ru-RU"/>
        </w:rPr>
        <w:drawing>
          <wp:inline distT="0" distB="0" distL="0" distR="0" wp14:anchorId="785A6BF4" wp14:editId="3FEC5D1C">
            <wp:extent cx="3067478" cy="100979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3067478" cy="1009791"/>
                    </a:xfrm>
                    <a:prstGeom prst="rect">
                      <a:avLst/>
                    </a:prstGeom>
                  </pic:spPr>
                </pic:pic>
              </a:graphicData>
            </a:graphic>
          </wp:inline>
        </w:drawing>
      </w:r>
    </w:p>
    <w:p w14:paraId="668B249B" w14:textId="746C9704" w:rsidR="000538B5" w:rsidRPr="00F562A8" w:rsidRDefault="000538B5" w:rsidP="000538B5">
      <w:pPr>
        <w:spacing w:line="276" w:lineRule="auto"/>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571A90" w:rsidRPr="00F562A8">
        <w:rPr>
          <w:rFonts w:ascii="Times New Roman" w:hAnsi="Times New Roman" w:cs="Times New Roman"/>
          <w:sz w:val="26"/>
          <w:szCs w:val="26"/>
        </w:rPr>
        <w:t>3.6.3.</w:t>
      </w:r>
      <w:r w:rsidR="00571A90">
        <w:rPr>
          <w:rFonts w:ascii="Times New Roman" w:hAnsi="Times New Roman" w:cs="Times New Roman"/>
          <w:sz w:val="26"/>
          <w:szCs w:val="26"/>
        </w:rPr>
        <w:t>2.</w:t>
      </w:r>
      <w:r w:rsidR="00B20D6F">
        <w:rPr>
          <w:rFonts w:ascii="Times New Roman" w:hAnsi="Times New Roman" w:cs="Times New Roman"/>
          <w:sz w:val="26"/>
          <w:szCs w:val="26"/>
        </w:rPr>
        <w:t>3</w:t>
      </w:r>
      <w:r w:rsidR="00571A90">
        <w:rPr>
          <w:rFonts w:ascii="Times New Roman" w:hAnsi="Times New Roman" w:cs="Times New Roman"/>
          <w:sz w:val="26"/>
          <w:szCs w:val="26"/>
        </w:rPr>
        <w:t xml:space="preserve"> </w:t>
      </w:r>
      <w:r w:rsidRPr="00F562A8">
        <w:rPr>
          <w:rFonts w:ascii="Times New Roman" w:hAnsi="Times New Roman" w:cs="Times New Roman"/>
          <w:sz w:val="26"/>
          <w:szCs w:val="26"/>
        </w:rPr>
        <w:t>- Значения F-критерия Фишера</w:t>
      </w:r>
    </w:p>
    <w:p w14:paraId="030835A4" w14:textId="2803487E" w:rsidR="000538B5" w:rsidRPr="00F562A8" w:rsidRDefault="000538B5" w:rsidP="0013778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6CFE7432" w14:textId="2C42C556" w:rsidR="000538B5" w:rsidRPr="00F562A8" w:rsidRDefault="000538B5" w:rsidP="00C16B1E">
      <w:pPr>
        <w:spacing w:after="0" w:line="276" w:lineRule="auto"/>
        <w:ind w:firstLine="709"/>
        <w:jc w:val="both"/>
        <w:rPr>
          <w:rFonts w:ascii="Times New Roman" w:eastAsia="Times New Roman" w:hAnsi="Times New Roman" w:cs="Times New Roman"/>
          <w:sz w:val="20"/>
          <w:szCs w:val="20"/>
          <w:lang w:eastAsia="ru-RU"/>
        </w:rPr>
      </w:pPr>
      <w:r w:rsidRPr="00F562A8">
        <w:rPr>
          <w:rFonts w:ascii="Times New Roman" w:hAnsi="Times New Roman" w:cs="Times New Roman"/>
          <w:i/>
          <w:sz w:val="26"/>
          <w:szCs w:val="26"/>
        </w:rPr>
        <w:t>УПКС =</w:t>
      </w:r>
      <w:r w:rsidR="00893DB3" w:rsidRPr="00893DB3">
        <w:rPr>
          <w:rFonts w:ascii="Times New Roman" w:hAnsi="Times New Roman" w:cs="Times New Roman"/>
          <w:i/>
          <w:sz w:val="26"/>
          <w:szCs w:val="26"/>
        </w:rPr>
        <w:t>1493.40383766198</w:t>
      </w:r>
      <w:r w:rsidR="00893DB3">
        <w:rPr>
          <w:rFonts w:ascii="Times New Roman" w:hAnsi="Times New Roman" w:cs="Times New Roman"/>
          <w:i/>
          <w:sz w:val="26"/>
          <w:szCs w:val="26"/>
        </w:rPr>
        <w:t xml:space="preserve"> </w:t>
      </w:r>
      <w:r w:rsidR="00893DB3" w:rsidRPr="00893DB3">
        <w:rPr>
          <w:rFonts w:ascii="Times New Roman" w:hAnsi="Times New Roman" w:cs="Times New Roman"/>
          <w:i/>
          <w:sz w:val="26"/>
          <w:szCs w:val="26"/>
        </w:rPr>
        <w:t>*e^(+0.00010579022705097</w:t>
      </w:r>
      <w:r w:rsidR="00893DB3">
        <w:rPr>
          <w:rFonts w:ascii="Times New Roman" w:hAnsi="Times New Roman" w:cs="Times New Roman"/>
          <w:i/>
          <w:sz w:val="26"/>
          <w:szCs w:val="26"/>
        </w:rPr>
        <w:t xml:space="preserve"> </w:t>
      </w:r>
      <w:r w:rsidR="00893DB3" w:rsidRPr="00893DB3">
        <w:rPr>
          <w:rFonts w:ascii="Times New Roman" w:hAnsi="Times New Roman" w:cs="Times New Roman"/>
          <w:i/>
          <w:sz w:val="26"/>
          <w:szCs w:val="26"/>
        </w:rPr>
        <w:t>*((7724.492+0.509</w:t>
      </w:r>
      <w:r w:rsidR="00893DB3">
        <w:rPr>
          <w:rFonts w:ascii="Times New Roman" w:hAnsi="Times New Roman" w:cs="Times New Roman"/>
          <w:i/>
          <w:sz w:val="26"/>
          <w:szCs w:val="26"/>
        </w:rPr>
        <w:t xml:space="preserve"> </w:t>
      </w:r>
      <w:r w:rsidR="00893DB3" w:rsidRPr="00893DB3">
        <w:rPr>
          <w:rFonts w:ascii="Times New Roman" w:hAnsi="Times New Roman" w:cs="Times New Roman"/>
          <w:i/>
          <w:sz w:val="26"/>
          <w:szCs w:val="26"/>
        </w:rPr>
        <w:t>-гнп Расстояние объекта до общественно-делового центра))</w:t>
      </w:r>
      <w:r w:rsidR="00893DB3">
        <w:rPr>
          <w:rFonts w:ascii="Times New Roman" w:hAnsi="Times New Roman" w:cs="Times New Roman"/>
          <w:i/>
          <w:sz w:val="26"/>
          <w:szCs w:val="26"/>
        </w:rPr>
        <w:t xml:space="preserve"> </w:t>
      </w:r>
      <w:r w:rsidR="00893DB3" w:rsidRPr="00893DB3">
        <w:rPr>
          <w:rFonts w:ascii="Times New Roman" w:hAnsi="Times New Roman" w:cs="Times New Roman"/>
          <w:i/>
          <w:sz w:val="26"/>
          <w:szCs w:val="26"/>
        </w:rPr>
        <w:t>+0.00207347267219491</w:t>
      </w:r>
      <w:r w:rsidR="00893DB3">
        <w:rPr>
          <w:rFonts w:ascii="Times New Roman" w:hAnsi="Times New Roman" w:cs="Times New Roman"/>
          <w:i/>
          <w:sz w:val="26"/>
          <w:szCs w:val="26"/>
        </w:rPr>
        <w:t xml:space="preserve"> </w:t>
      </w:r>
      <w:r w:rsidR="00893DB3" w:rsidRPr="00893DB3">
        <w:rPr>
          <w:rFonts w:ascii="Times New Roman" w:hAnsi="Times New Roman" w:cs="Times New Roman"/>
          <w:i/>
          <w:sz w:val="26"/>
          <w:szCs w:val="26"/>
        </w:rPr>
        <w:t>*((236.00+10.00-гнп Расстояние от населенного пункта до центра субъекта РФ (г.Воронеж))))</w:t>
      </w:r>
    </w:p>
    <w:p w14:paraId="78BC9507" w14:textId="77777777" w:rsidR="000538B5" w:rsidRPr="00F562A8" w:rsidRDefault="000538B5" w:rsidP="000538B5">
      <w:pPr>
        <w:spacing w:after="0" w:line="276" w:lineRule="auto"/>
        <w:ind w:firstLine="708"/>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366E4683" w14:textId="72344C6A" w:rsidR="000538B5" w:rsidRPr="00F562A8" w:rsidRDefault="00C038E0" w:rsidP="000538B5">
      <w:pPr>
        <w:spacing w:after="0" w:line="276" w:lineRule="auto"/>
        <w:jc w:val="center"/>
        <w:rPr>
          <w:rFonts w:ascii="Times New Roman" w:hAnsi="Times New Roman" w:cs="Times New Roman"/>
          <w:i/>
          <w:szCs w:val="24"/>
        </w:rPr>
      </w:pPr>
      <w:r w:rsidRPr="0058240C">
        <w:rPr>
          <w:noProof/>
          <w:lang w:eastAsia="ru-RU"/>
        </w:rPr>
        <w:drawing>
          <wp:inline distT="0" distB="0" distL="0" distR="0" wp14:anchorId="64B4F0D6" wp14:editId="1FF76D99">
            <wp:extent cx="5939790" cy="3144819"/>
            <wp:effectExtent l="0" t="0" r="381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939790" cy="3144819"/>
                    </a:xfrm>
                    <a:prstGeom prst="rect">
                      <a:avLst/>
                    </a:prstGeom>
                  </pic:spPr>
                </pic:pic>
              </a:graphicData>
            </a:graphic>
          </wp:inline>
        </w:drawing>
      </w:r>
    </w:p>
    <w:p w14:paraId="3F93EFB9" w14:textId="2E9624B8" w:rsidR="000538B5" w:rsidRPr="00F562A8" w:rsidRDefault="000538B5" w:rsidP="000538B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571A90" w:rsidRPr="00F562A8">
        <w:rPr>
          <w:rFonts w:ascii="Times New Roman" w:hAnsi="Times New Roman" w:cs="Times New Roman"/>
          <w:sz w:val="26"/>
          <w:szCs w:val="26"/>
        </w:rPr>
        <w:t>3.6.3.</w:t>
      </w:r>
      <w:r w:rsidR="00571A90">
        <w:rPr>
          <w:rFonts w:ascii="Times New Roman" w:hAnsi="Times New Roman" w:cs="Times New Roman"/>
          <w:sz w:val="26"/>
          <w:szCs w:val="26"/>
        </w:rPr>
        <w:t>2.</w:t>
      </w:r>
      <w:r w:rsidR="00B20D6F">
        <w:rPr>
          <w:rFonts w:ascii="Times New Roman" w:hAnsi="Times New Roman" w:cs="Times New Roman"/>
          <w:sz w:val="26"/>
          <w:szCs w:val="26"/>
        </w:rPr>
        <w:t>4</w:t>
      </w:r>
      <w:r w:rsidR="00571A90">
        <w:rPr>
          <w:rFonts w:ascii="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296067C5" w14:textId="14F6B772" w:rsidR="000538B5" w:rsidRPr="00F562A8" w:rsidRDefault="000538B5" w:rsidP="000538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факторами</w:t>
      </w:r>
      <w:r w:rsidR="00C038E0">
        <w:rPr>
          <w:rFonts w:ascii="Times New Roman" w:hAnsi="Times New Roman" w:cs="Times New Roman"/>
          <w:sz w:val="26"/>
          <w:szCs w:val="26"/>
        </w:rPr>
        <w:t xml:space="preserve"> </w:t>
      </w:r>
      <w:r w:rsidRPr="00F562A8">
        <w:rPr>
          <w:rFonts w:ascii="Times New Roman" w:hAnsi="Times New Roman" w:cs="Times New Roman"/>
          <w:sz w:val="26"/>
          <w:szCs w:val="26"/>
        </w:rPr>
        <w:t>и кадастровой стоимостью обратная, то есть при росте этих факторов кадастровая стоимость уменьшается. 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bookmarkEnd w:id="203"/>
    <w:bookmarkEnd w:id="204"/>
    <w:p w14:paraId="693CFA07" w14:textId="2DD6DC04" w:rsidR="000538B5" w:rsidRDefault="00A31F98" w:rsidP="000538B5">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2D6F65" w:rsidRPr="009E7344">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/2.4.3.</w:t>
      </w:r>
    </w:p>
    <w:p w14:paraId="2CBE0241" w14:textId="015B54B4" w:rsidR="000538B5" w:rsidRDefault="000538B5">
      <w:pPr>
        <w:rPr>
          <w:rFonts w:ascii="Times New Roman" w:eastAsiaTheme="minorEastAsia" w:hAnsi="Times New Roman" w:cs="Times New Roman"/>
          <w:sz w:val="26"/>
          <w:szCs w:val="26"/>
        </w:rPr>
      </w:pPr>
    </w:p>
    <w:p w14:paraId="314BBF2B" w14:textId="360F151A" w:rsidR="00C036C3" w:rsidRPr="00B11E8D" w:rsidRDefault="00C036C3" w:rsidP="00B11E8D">
      <w:pPr>
        <w:pStyle w:val="ab"/>
        <w:ind w:left="0"/>
        <w:jc w:val="center"/>
        <w:outlineLvl w:val="2"/>
        <w:rPr>
          <w:rFonts w:ascii="Times New Roman" w:hAnsi="Times New Roman" w:cs="Times New Roman"/>
          <w:i/>
          <w:sz w:val="26"/>
          <w:szCs w:val="26"/>
        </w:rPr>
      </w:pPr>
      <w:bookmarkStart w:id="205" w:name="_Toc110506971"/>
      <w:r w:rsidRPr="00B11E8D">
        <w:rPr>
          <w:rFonts w:ascii="Times New Roman" w:hAnsi="Times New Roman" w:cs="Times New Roman"/>
          <w:i/>
          <w:sz w:val="26"/>
          <w:szCs w:val="26"/>
        </w:rPr>
        <w:t>3</w:t>
      </w:r>
      <w:r w:rsidRPr="00C16B1E">
        <w:rPr>
          <w:rFonts w:ascii="Times New Roman" w:hAnsi="Times New Roman" w:cs="Times New Roman"/>
          <w:i/>
          <w:sz w:val="26"/>
          <w:szCs w:val="26"/>
        </w:rPr>
        <w:t>.6.3.3 Расчет кадастровой</w:t>
      </w:r>
      <w:r w:rsidRPr="00B11E8D">
        <w:rPr>
          <w:rFonts w:ascii="Times New Roman" w:hAnsi="Times New Roman" w:cs="Times New Roman"/>
          <w:i/>
          <w:sz w:val="26"/>
          <w:szCs w:val="26"/>
        </w:rPr>
        <w:t xml:space="preserve"> стоимости земельных участков группы </w:t>
      </w:r>
      <w:r w:rsidR="00101E38" w:rsidRPr="00B11E8D">
        <w:rPr>
          <w:rFonts w:ascii="Times New Roman" w:hAnsi="Times New Roman" w:cs="Times New Roman"/>
          <w:i/>
          <w:sz w:val="26"/>
          <w:szCs w:val="26"/>
        </w:rPr>
        <w:t>СОЦ/Прочие ГНП</w:t>
      </w:r>
      <w:bookmarkEnd w:id="205"/>
    </w:p>
    <w:p w14:paraId="26AEC6B1" w14:textId="2B4C7C8F" w:rsidR="003F5D43" w:rsidRPr="00F562A8" w:rsidRDefault="003F5D43" w:rsidP="003F5D43">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2D6F65" w:rsidRPr="009E7344">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/2.4.3.</w:t>
      </w:r>
    </w:p>
    <w:p w14:paraId="7C7005EC" w14:textId="622AE2C6" w:rsidR="00ED1A41" w:rsidRDefault="00ED1A41" w:rsidP="00ED1A41">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F72A6D">
        <w:rPr>
          <w:rFonts w:ascii="Times New Roman" w:hAnsi="Times New Roman" w:cs="Times New Roman"/>
          <w:sz w:val="26"/>
          <w:szCs w:val="26"/>
        </w:rPr>
        <w:t>СОЦ/</w:t>
      </w:r>
      <w:r>
        <w:rPr>
          <w:rFonts w:ascii="Times New Roman" w:hAnsi="Times New Roman" w:cs="Times New Roman"/>
          <w:sz w:val="26"/>
          <w:szCs w:val="26"/>
        </w:rPr>
        <w:t>Прочие ГНП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Pr="00F72A6D">
        <w:rPr>
          <w:rFonts w:ascii="Times New Roman" w:hAnsi="Times New Roman" w:cs="Times New Roman"/>
          <w:sz w:val="26"/>
          <w:szCs w:val="26"/>
        </w:rPr>
        <w:t>03:000, 01:143, 03:010, 03:013, 03:020, 03:021, 03:022, 03:023, 03:030, 03:031, 03:032, 03:033, 03:034, 03:035, 03:040, 03:041, 03:042, 03:050, 03:051, 03:052, 03:060, 03:061, 03:062, 03:065, 03:070, 03:071, 03:072, 03:073, 03:080, 03:081, 03:082, 03:083, 03:090, 03:091, 03:092, 03:100, 03:101, 03:102, 03:103, 03:104, 05:010, 05:011, 05:012, 05:020, 05:021, 05:051, 07:021, 07:022, 08:022, 08:030, 08:041, 09:030</w:t>
      </w:r>
      <w:r>
        <w:rPr>
          <w:rFonts w:ascii="Times New Roman" w:hAnsi="Times New Roman" w:cs="Times New Roman"/>
          <w:sz w:val="26"/>
          <w:szCs w:val="26"/>
        </w:rPr>
        <w:t>.</w:t>
      </w:r>
    </w:p>
    <w:p w14:paraId="1A093198" w14:textId="73AE6C2A" w:rsidR="003F5D43" w:rsidRPr="00F562A8" w:rsidRDefault="003F5D43" w:rsidP="003F5D4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101E38">
        <w:rPr>
          <w:rFonts w:ascii="Times New Roman" w:hAnsi="Times New Roman" w:cs="Times New Roman"/>
          <w:sz w:val="26"/>
          <w:szCs w:val="26"/>
        </w:rPr>
        <w:t>СОЦ</w:t>
      </w:r>
      <w:r w:rsidRPr="00327E6F">
        <w:rPr>
          <w:rFonts w:ascii="Times New Roman" w:hAnsi="Times New Roman" w:cs="Times New Roman"/>
          <w:sz w:val="26"/>
          <w:szCs w:val="26"/>
        </w:rPr>
        <w:t>/Прочие ГНП</w:t>
      </w:r>
      <w:r w:rsidRPr="00F562A8">
        <w:rPr>
          <w:rFonts w:ascii="Times New Roman" w:hAnsi="Times New Roman" w:cs="Times New Roman"/>
          <w:sz w:val="26"/>
          <w:szCs w:val="26"/>
        </w:rPr>
        <w:t xml:space="preserve"> 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6DC05E05" w14:textId="21F23D28"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615491">
        <w:rPr>
          <w:rFonts w:ascii="Times New Roman" w:hAnsi="Times New Roman" w:cs="Times New Roman"/>
          <w:sz w:val="26"/>
          <w:szCs w:val="26"/>
        </w:rPr>
        <w:t>45.1.1</w:t>
      </w:r>
      <w:r w:rsidRPr="00F562A8">
        <w:rPr>
          <w:rFonts w:ascii="Times New Roman" w:hAnsi="Times New Roman" w:cs="Times New Roman"/>
          <w:sz w:val="26"/>
          <w:szCs w:val="26"/>
        </w:rPr>
        <w:t xml:space="preserve">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07E3E2CD" w14:textId="77777777"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4C80850C" w14:textId="77777777"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797D0E7F" w14:textId="77777777"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4DA228FA" w14:textId="77777777"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610AEEFC" w14:textId="77777777"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7B7F3686" w14:textId="77777777"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1F693EEB" w14:textId="77777777" w:rsidR="00012B25" w:rsidRPr="00F562A8" w:rsidRDefault="003F5D43" w:rsidP="00012B25">
      <w:pPr>
        <w:tabs>
          <w:tab w:val="left" w:pos="1890"/>
        </w:tabs>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w:t>
      </w:r>
      <w:r>
        <w:rPr>
          <w:rFonts w:ascii="Times New Roman" w:hAnsi="Times New Roman" w:cs="Times New Roman"/>
          <w:sz w:val="26"/>
          <w:szCs w:val="26"/>
        </w:rPr>
        <w:t xml:space="preserve">прочих </w:t>
      </w:r>
      <w:r w:rsidRPr="00F562A8">
        <w:rPr>
          <w:rFonts w:ascii="Times New Roman" w:hAnsi="Times New Roman" w:cs="Times New Roman"/>
          <w:sz w:val="26"/>
          <w:szCs w:val="26"/>
        </w:rPr>
        <w:t xml:space="preserve">городских населенных пунктах Воронежской </w:t>
      </w:r>
      <w:r w:rsidRPr="009E0501">
        <w:rPr>
          <w:rFonts w:ascii="Times New Roman" w:hAnsi="Times New Roman" w:cs="Times New Roman"/>
          <w:sz w:val="26"/>
          <w:szCs w:val="26"/>
        </w:rPr>
        <w:t>области, с численностью населения меньше 30000 человек, ставится задача статистическими методами определить влияние ценообразующих факторов на кадастровую</w:t>
      </w:r>
      <w:r w:rsidRPr="00F562A8">
        <w:rPr>
          <w:rFonts w:ascii="Times New Roman" w:hAnsi="Times New Roman" w:cs="Times New Roman"/>
          <w:sz w:val="26"/>
          <w:szCs w:val="26"/>
        </w:rPr>
        <w:t xml:space="preserve">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22 </w:t>
      </w:r>
      <w:r w:rsidR="00012B25" w:rsidRPr="00F562A8">
        <w:rPr>
          <w:rFonts w:ascii="Times New Roman" w:hAnsi="Times New Roman" w:cs="Times New Roman"/>
          <w:sz w:val="26"/>
          <w:szCs w:val="26"/>
        </w:rPr>
        <w:t>представлены в таблиц</w:t>
      </w:r>
      <w:r w:rsidR="00012B25">
        <w:rPr>
          <w:rFonts w:ascii="Times New Roman" w:hAnsi="Times New Roman" w:cs="Times New Roman"/>
          <w:sz w:val="26"/>
          <w:szCs w:val="26"/>
        </w:rPr>
        <w:t>ах</w:t>
      </w:r>
      <w:r w:rsidR="00012B25" w:rsidRPr="00F562A8">
        <w:rPr>
          <w:rFonts w:ascii="Times New Roman" w:hAnsi="Times New Roman" w:cs="Times New Roman"/>
          <w:sz w:val="26"/>
          <w:szCs w:val="26"/>
        </w:rPr>
        <w:t xml:space="preserve"> </w:t>
      </w:r>
      <w:r w:rsidR="00012B25" w:rsidRPr="00F562A8">
        <w:rPr>
          <w:rFonts w:ascii="Times New Roman" w:eastAsia="Times New Roman" w:hAnsi="Times New Roman" w:cs="Times New Roman"/>
          <w:sz w:val="26"/>
          <w:szCs w:val="26"/>
        </w:rPr>
        <w:t>3.</w:t>
      </w:r>
      <w:r w:rsidR="00012B25">
        <w:rPr>
          <w:rFonts w:ascii="Times New Roman" w:eastAsia="Times New Roman" w:hAnsi="Times New Roman" w:cs="Times New Roman"/>
          <w:sz w:val="26"/>
          <w:szCs w:val="26"/>
        </w:rPr>
        <w:t>4 и 3.5, пунктов 3.4 и 3.5 соответственно</w:t>
      </w:r>
      <w:r w:rsidR="00012B25" w:rsidRPr="00F562A8">
        <w:rPr>
          <w:rFonts w:ascii="Times New Roman" w:hAnsi="Times New Roman" w:cs="Times New Roman"/>
          <w:sz w:val="26"/>
          <w:szCs w:val="26"/>
        </w:rPr>
        <w:t>.</w:t>
      </w:r>
    </w:p>
    <w:p w14:paraId="0CA68373" w14:textId="77777777" w:rsidR="003F5D43" w:rsidRPr="00F562A8" w:rsidRDefault="003F5D43" w:rsidP="003F5D4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6B0D7C0F" w14:textId="77777777" w:rsidR="003F5D43" w:rsidRPr="00F562A8" w:rsidRDefault="003F5D43" w:rsidP="003F5D4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7F5D4EDF" w14:textId="2368DCB8" w:rsidR="003F5D43" w:rsidRPr="00F562A8" w:rsidRDefault="003F5D43" w:rsidP="003F5D4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DF65FA">
        <w:rPr>
          <w:rFonts w:ascii="Times New Roman" w:hAnsi="Times New Roman" w:cs="Times New Roman"/>
          <w:sz w:val="26"/>
          <w:szCs w:val="26"/>
        </w:rPr>
        <w:t>3</w:t>
      </w:r>
      <w:r w:rsidRPr="00F562A8">
        <w:rPr>
          <w:rFonts w:ascii="Times New Roman" w:hAnsi="Times New Roman" w:cs="Times New Roman"/>
          <w:sz w:val="26"/>
          <w:szCs w:val="26"/>
        </w:rPr>
        <w:t>:</w:t>
      </w:r>
    </w:p>
    <w:p w14:paraId="39A7B1EE" w14:textId="5FCC82DC" w:rsidR="003F5D43" w:rsidRPr="00F562A8" w:rsidRDefault="003F5D43" w:rsidP="003F5D4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DF65FA" w:rsidRPr="00DF65FA">
        <w:rPr>
          <w:rFonts w:ascii="Times New Roman" w:hAnsi="Times New Roman" w:cs="Times New Roman"/>
          <w:sz w:val="26"/>
          <w:szCs w:val="26"/>
        </w:rPr>
        <w:t>расстояние до остановок общественного транспорта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7161C71B" w14:textId="77777777" w:rsidR="003F5D43" w:rsidRPr="00F562A8" w:rsidRDefault="003F5D43" w:rsidP="003F5D4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расстояние объекта до центра населенного пункта: Х</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w:t>
      </w:r>
    </w:p>
    <w:p w14:paraId="4F205A3B" w14:textId="23492940" w:rsidR="003F5D43" w:rsidRPr="00F562A8" w:rsidRDefault="003F5D43" w:rsidP="003F5D43">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расстояние объекта от населенного пункта до центра муниципального района (городского округа</w:t>
      </w:r>
      <w:r w:rsidRPr="00F562A8">
        <w:rPr>
          <w:rFonts w:ascii="Times New Roman" w:hAnsi="Times New Roman" w:cs="Times New Roman"/>
          <w:i/>
          <w:sz w:val="26"/>
          <w:szCs w:val="26"/>
        </w:rPr>
        <w:t>)</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2</w:t>
      </w:r>
      <w:r w:rsidR="00DF65FA">
        <w:rPr>
          <w:rFonts w:ascii="Times New Roman" w:hAnsi="Times New Roman" w:cs="Times New Roman"/>
          <w:sz w:val="26"/>
          <w:szCs w:val="26"/>
          <w:vertAlign w:val="subscript"/>
        </w:rPr>
        <w:t>.</w:t>
      </w:r>
    </w:p>
    <w:p w14:paraId="568C9E45" w14:textId="77777777" w:rsidR="003F5D43" w:rsidRPr="00F562A8" w:rsidRDefault="003F5D43" w:rsidP="003F5D4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6BA09328" w14:textId="77777777" w:rsidR="003F5D43" w:rsidRPr="00F562A8" w:rsidRDefault="003F5D43" w:rsidP="003F5D4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0A3A5A6C" w14:textId="438675CA" w:rsidR="003F5D43" w:rsidRPr="00F562A8" w:rsidRDefault="003F5D43" w:rsidP="003F5D4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13778A">
        <w:rPr>
          <w:rFonts w:ascii="Times New Roman" w:hAnsi="Times New Roman" w:cs="Times New Roman"/>
          <w:sz w:val="26"/>
          <w:szCs w:val="26"/>
        </w:rPr>
        <w:t>трех</w:t>
      </w:r>
      <w:r w:rsidRPr="00F562A8">
        <w:rPr>
          <w:rFonts w:ascii="Times New Roman" w:hAnsi="Times New Roman" w:cs="Times New Roman"/>
          <w:sz w:val="26"/>
          <w:szCs w:val="26"/>
        </w:rPr>
        <w:t>факторные модели:</w:t>
      </w:r>
    </w:p>
    <w:p w14:paraId="7BABA27E" w14:textId="77777777" w:rsidR="003F5D43" w:rsidRPr="00F562A8" w:rsidRDefault="003F5D43" w:rsidP="003F5D43">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7ACA917E" wp14:editId="483C9A5D">
            <wp:extent cx="2209800" cy="247650"/>
            <wp:effectExtent l="0" t="0" r="0" b="0"/>
            <wp:docPr id="931" name="Рисунок 931"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0285C3FF" w14:textId="77777777" w:rsidR="003F5D43" w:rsidRPr="00F562A8" w:rsidRDefault="003F5D43" w:rsidP="003F5D4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57FACAE9" wp14:editId="4B47206A">
            <wp:extent cx="1352550" cy="266700"/>
            <wp:effectExtent l="0" t="0" r="0" b="0"/>
            <wp:docPr id="932" name="Рисунок 932"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60BCC9CD" w14:textId="77777777" w:rsidR="003F5D43" w:rsidRPr="00F562A8" w:rsidRDefault="003F5D43" w:rsidP="003F5D4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02B35F33" wp14:editId="3657CF17">
            <wp:extent cx="1266825" cy="266700"/>
            <wp:effectExtent l="0" t="0" r="0" b="0"/>
            <wp:docPr id="933" name="Рисунок 933"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4596B835" w14:textId="77777777" w:rsidR="003F5D43" w:rsidRPr="00F562A8" w:rsidRDefault="003F5D43" w:rsidP="003F5D4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4225A7F7" w14:textId="77777777"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39A978FC" w14:textId="77777777"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61B07B99" wp14:editId="4A82900C">
            <wp:extent cx="209550" cy="247650"/>
            <wp:effectExtent l="0" t="0" r="0" b="0"/>
            <wp:docPr id="939" name="Рисунок 939"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0DDCF2AE" wp14:editId="7056BA46">
            <wp:extent cx="200025" cy="247650"/>
            <wp:effectExtent l="0" t="0" r="9525" b="0"/>
            <wp:docPr id="940" name="Рисунок 940"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4A35110E" wp14:editId="70DC2937">
            <wp:extent cx="209550" cy="247650"/>
            <wp:effectExtent l="0" t="0" r="0" b="0"/>
            <wp:docPr id="941" name="Рисунок 941"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3593359D" w14:textId="518616F7" w:rsidR="003F5D43" w:rsidRPr="00F562A8" w:rsidRDefault="0020712F" w:rsidP="003F5D43">
      <w:pPr>
        <w:spacing w:after="0" w:line="276" w:lineRule="auto"/>
        <w:jc w:val="both"/>
        <w:rPr>
          <w:rFonts w:ascii="Times New Roman" w:hAnsi="Times New Roman" w:cs="Times New Roman"/>
          <w:lang w:val="en-US"/>
        </w:rPr>
      </w:pPr>
      <w:r>
        <w:rPr>
          <w:noProof/>
          <w:lang w:eastAsia="ru-RU"/>
        </w:rPr>
        <w:drawing>
          <wp:inline distT="0" distB="0" distL="0" distR="0" wp14:anchorId="5BCC5B1E" wp14:editId="39140EBC">
            <wp:extent cx="5939790" cy="767080"/>
            <wp:effectExtent l="0" t="0" r="3810" b="0"/>
            <wp:docPr id="660" name="Рисунок 660"/>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19"/>
                    <a:stretch>
                      <a:fillRect/>
                    </a:stretch>
                  </pic:blipFill>
                  <pic:spPr>
                    <a:xfrm>
                      <a:off x="0" y="0"/>
                      <a:ext cx="5939790" cy="767080"/>
                    </a:xfrm>
                    <a:prstGeom prst="rect">
                      <a:avLst/>
                    </a:prstGeom>
                  </pic:spPr>
                </pic:pic>
              </a:graphicData>
            </a:graphic>
          </wp:inline>
        </w:drawing>
      </w:r>
    </w:p>
    <w:p w14:paraId="6B7C883F" w14:textId="78ED55CC" w:rsidR="003F5D43" w:rsidRPr="00F562A8" w:rsidRDefault="003F5D43" w:rsidP="003F5D43">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ED1A41" w:rsidRPr="00F562A8">
        <w:rPr>
          <w:rFonts w:ascii="Times New Roman" w:hAnsi="Times New Roman" w:cs="Times New Roman"/>
          <w:sz w:val="26"/>
          <w:szCs w:val="26"/>
        </w:rPr>
        <w:t>3.6.3.</w:t>
      </w:r>
      <w:r w:rsidR="00ED1A41">
        <w:rPr>
          <w:rFonts w:ascii="Times New Roman" w:hAnsi="Times New Roman" w:cs="Times New Roman"/>
          <w:sz w:val="26"/>
          <w:szCs w:val="26"/>
        </w:rPr>
        <w:t>3</w:t>
      </w:r>
      <w:r w:rsidR="00ED1A41" w:rsidRPr="00F562A8">
        <w:rPr>
          <w:rFonts w:ascii="Times New Roman" w:hAnsi="Times New Roman" w:cs="Times New Roman"/>
          <w:sz w:val="26"/>
          <w:szCs w:val="26"/>
        </w:rPr>
        <w:t>.</w:t>
      </w:r>
      <w:r w:rsidR="00B20D6F">
        <w:rPr>
          <w:rFonts w:ascii="Times New Roman" w:hAnsi="Times New Roman" w:cs="Times New Roman"/>
          <w:sz w:val="26"/>
          <w:szCs w:val="26"/>
        </w:rPr>
        <w:t>1</w:t>
      </w:r>
      <w:r w:rsidR="00ED1A41">
        <w:rPr>
          <w:rFonts w:ascii="Times New Roman" w:hAnsi="Times New Roman" w:cs="Times New Roman"/>
          <w:sz w:val="26"/>
          <w:szCs w:val="26"/>
        </w:rPr>
        <w:t xml:space="preserve"> </w:t>
      </w:r>
      <w:r w:rsidRPr="00F562A8">
        <w:rPr>
          <w:rFonts w:ascii="Times New Roman" w:hAnsi="Times New Roman" w:cs="Times New Roman"/>
          <w:sz w:val="26"/>
          <w:szCs w:val="26"/>
        </w:rPr>
        <w:t xml:space="preserve">- Множественные регрессионные </w:t>
      </w:r>
      <w:r w:rsidR="0013778A">
        <w:rPr>
          <w:rFonts w:ascii="Times New Roman" w:hAnsi="Times New Roman" w:cs="Times New Roman"/>
          <w:sz w:val="26"/>
          <w:szCs w:val="26"/>
        </w:rPr>
        <w:t>трех</w:t>
      </w:r>
      <w:r w:rsidRPr="00F562A8">
        <w:rPr>
          <w:rFonts w:ascii="Times New Roman" w:hAnsi="Times New Roman" w:cs="Times New Roman"/>
          <w:sz w:val="26"/>
          <w:szCs w:val="26"/>
        </w:rPr>
        <w:t>факторные модели</w:t>
      </w:r>
    </w:p>
    <w:p w14:paraId="54AC938F" w14:textId="77777777" w:rsidR="003B5B09" w:rsidRDefault="003B5B09" w:rsidP="003F5D43">
      <w:pPr>
        <w:pStyle w:val="ConsPlusNormal"/>
        <w:spacing w:line="276" w:lineRule="auto"/>
        <w:ind w:firstLine="709"/>
        <w:jc w:val="both"/>
        <w:rPr>
          <w:rFonts w:ascii="Times New Roman" w:hAnsi="Times New Roman" w:cs="Times New Roman"/>
          <w:sz w:val="26"/>
          <w:szCs w:val="26"/>
        </w:rPr>
      </w:pPr>
    </w:p>
    <w:p w14:paraId="2383CC47" w14:textId="281BFC58"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12408F25" w14:textId="77777777"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51C03FA1" w14:textId="77777777"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5755DE60" w14:textId="77777777"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1440EF61" w14:textId="77777777"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1A2C224D" w14:textId="77777777"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2A2C9115" w14:textId="77777777"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0AC69372" w14:textId="77777777"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7F133475" w14:textId="49CE6E4E" w:rsidR="003F5D43" w:rsidRPr="00F562A8" w:rsidRDefault="0020712F" w:rsidP="003F5D43">
      <w:pPr>
        <w:spacing w:after="0" w:line="276" w:lineRule="auto"/>
        <w:jc w:val="center"/>
        <w:rPr>
          <w:rFonts w:ascii="Times New Roman" w:hAnsi="Times New Roman" w:cs="Times New Roman"/>
        </w:rPr>
      </w:pPr>
      <w:r>
        <w:rPr>
          <w:noProof/>
          <w:lang w:eastAsia="ru-RU"/>
        </w:rPr>
        <w:drawing>
          <wp:inline distT="0" distB="0" distL="0" distR="0" wp14:anchorId="3832AA73" wp14:editId="2CE17F7D">
            <wp:extent cx="5867400" cy="1457325"/>
            <wp:effectExtent l="0" t="0" r="0" b="9525"/>
            <wp:docPr id="659" name="Рисунок 659"/>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20"/>
                    <a:srcRect r="7633"/>
                    <a:stretch/>
                  </pic:blipFill>
                  <pic:spPr bwMode="auto">
                    <a:xfrm>
                      <a:off x="0" y="0"/>
                      <a:ext cx="5867400" cy="1457325"/>
                    </a:xfrm>
                    <a:prstGeom prst="rect">
                      <a:avLst/>
                    </a:prstGeom>
                    <a:ln>
                      <a:noFill/>
                    </a:ln>
                    <a:extLst>
                      <a:ext uri="{53640926-AAD7-44D8-BBD7-CCE9431645EC}">
                        <a14:shadowObscured xmlns:a14="http://schemas.microsoft.com/office/drawing/2010/main"/>
                      </a:ext>
                    </a:extLst>
                  </pic:spPr>
                </pic:pic>
              </a:graphicData>
            </a:graphic>
          </wp:inline>
        </w:drawing>
      </w:r>
    </w:p>
    <w:p w14:paraId="1ED0679D" w14:textId="5C45F9AC" w:rsidR="003F5D43" w:rsidRPr="00F562A8" w:rsidRDefault="003F5D43" w:rsidP="003F5D43">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ED1A41" w:rsidRPr="00F562A8">
        <w:rPr>
          <w:rFonts w:ascii="Times New Roman" w:hAnsi="Times New Roman" w:cs="Times New Roman"/>
          <w:sz w:val="26"/>
          <w:szCs w:val="26"/>
        </w:rPr>
        <w:t>3.6.3.</w:t>
      </w:r>
      <w:r w:rsidR="00ED1A41">
        <w:rPr>
          <w:rFonts w:ascii="Times New Roman" w:hAnsi="Times New Roman" w:cs="Times New Roman"/>
          <w:sz w:val="26"/>
          <w:szCs w:val="26"/>
        </w:rPr>
        <w:t>3</w:t>
      </w:r>
      <w:r w:rsidR="00ED1A41" w:rsidRPr="00F562A8">
        <w:rPr>
          <w:rFonts w:ascii="Times New Roman" w:hAnsi="Times New Roman" w:cs="Times New Roman"/>
          <w:sz w:val="26"/>
          <w:szCs w:val="26"/>
        </w:rPr>
        <w:t>.</w:t>
      </w:r>
      <w:r w:rsidR="00B20D6F">
        <w:rPr>
          <w:rFonts w:ascii="Times New Roman" w:hAnsi="Times New Roman" w:cs="Times New Roman"/>
          <w:sz w:val="26"/>
          <w:szCs w:val="26"/>
        </w:rPr>
        <w:t>2</w:t>
      </w:r>
      <w:r w:rsidR="00ED1A41">
        <w:rPr>
          <w:rFonts w:ascii="Times New Roman" w:hAnsi="Times New Roman" w:cs="Times New Roman"/>
          <w:sz w:val="26"/>
          <w:szCs w:val="26"/>
        </w:rPr>
        <w:t xml:space="preserve"> </w:t>
      </w:r>
      <w:r w:rsidRPr="00F562A8">
        <w:rPr>
          <w:rFonts w:ascii="Times New Roman" w:hAnsi="Times New Roman" w:cs="Times New Roman"/>
          <w:sz w:val="26"/>
          <w:szCs w:val="26"/>
        </w:rPr>
        <w:t>-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6D6DCB45" w14:textId="77777777" w:rsidR="003B5B09" w:rsidRDefault="003B5B09" w:rsidP="003F5D43">
      <w:pPr>
        <w:pStyle w:val="ConsPlusNormal"/>
        <w:spacing w:line="276" w:lineRule="auto"/>
        <w:ind w:firstLine="709"/>
        <w:jc w:val="both"/>
        <w:rPr>
          <w:rFonts w:ascii="Times New Roman" w:hAnsi="Times New Roman" w:cs="Times New Roman"/>
          <w:sz w:val="26"/>
          <w:szCs w:val="26"/>
        </w:rPr>
      </w:pPr>
    </w:p>
    <w:p w14:paraId="3C23B64C" w14:textId="28EED4FE"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4115474B" w14:textId="77777777" w:rsidR="003F5D43" w:rsidRPr="00F562A8" w:rsidRDefault="003F5D43" w:rsidP="003F5D4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685CDF3C" w14:textId="15B430BD" w:rsidR="003F5D43" w:rsidRDefault="003F5D43" w:rsidP="003F5D4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3CBE71DE" w14:textId="77777777" w:rsidR="00235E84" w:rsidRPr="00F562A8" w:rsidRDefault="00235E84" w:rsidP="003F5D43">
      <w:pPr>
        <w:spacing w:after="0" w:line="276" w:lineRule="auto"/>
        <w:ind w:firstLine="709"/>
        <w:jc w:val="both"/>
        <w:rPr>
          <w:rFonts w:ascii="Times New Roman" w:hAnsi="Times New Roman" w:cs="Times New Roman"/>
          <w:sz w:val="26"/>
          <w:szCs w:val="26"/>
        </w:rPr>
      </w:pPr>
    </w:p>
    <w:p w14:paraId="4DECFC94" w14:textId="056725FA" w:rsidR="003F5D43" w:rsidRPr="00F562A8" w:rsidRDefault="00DF65FA" w:rsidP="003F5D43">
      <w:pPr>
        <w:spacing w:after="0" w:line="276" w:lineRule="auto"/>
        <w:jc w:val="center"/>
        <w:rPr>
          <w:rFonts w:ascii="Times New Roman" w:hAnsi="Times New Roman" w:cs="Times New Roman"/>
          <w:sz w:val="26"/>
          <w:szCs w:val="26"/>
          <w:lang w:val="en-US"/>
        </w:rPr>
      </w:pPr>
      <w:r w:rsidRPr="000651C9">
        <w:rPr>
          <w:noProof/>
          <w:lang w:eastAsia="ru-RU"/>
        </w:rPr>
        <w:drawing>
          <wp:inline distT="0" distB="0" distL="0" distR="0" wp14:anchorId="122FC508" wp14:editId="5B052658">
            <wp:extent cx="2839720" cy="990805"/>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2898487" cy="1011309"/>
                    </a:xfrm>
                    <a:prstGeom prst="rect">
                      <a:avLst/>
                    </a:prstGeom>
                  </pic:spPr>
                </pic:pic>
              </a:graphicData>
            </a:graphic>
          </wp:inline>
        </w:drawing>
      </w:r>
    </w:p>
    <w:p w14:paraId="17A2964E" w14:textId="19EB5D31" w:rsidR="003F5D43" w:rsidRPr="00F562A8" w:rsidRDefault="003F5D43" w:rsidP="003F5D43">
      <w:pPr>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ED1A41" w:rsidRPr="00F562A8">
        <w:rPr>
          <w:rFonts w:ascii="Times New Roman" w:hAnsi="Times New Roman" w:cs="Times New Roman"/>
          <w:sz w:val="26"/>
          <w:szCs w:val="26"/>
        </w:rPr>
        <w:t>3.6.3.</w:t>
      </w:r>
      <w:r w:rsidR="00ED1A41">
        <w:rPr>
          <w:rFonts w:ascii="Times New Roman" w:hAnsi="Times New Roman" w:cs="Times New Roman"/>
          <w:sz w:val="26"/>
          <w:szCs w:val="26"/>
        </w:rPr>
        <w:t>3</w:t>
      </w:r>
      <w:r w:rsidR="00ED1A41" w:rsidRPr="00F562A8">
        <w:rPr>
          <w:rFonts w:ascii="Times New Roman" w:hAnsi="Times New Roman" w:cs="Times New Roman"/>
          <w:sz w:val="26"/>
          <w:szCs w:val="26"/>
        </w:rPr>
        <w:t>.</w:t>
      </w:r>
      <w:r w:rsidR="00B20D6F">
        <w:rPr>
          <w:rFonts w:ascii="Times New Roman" w:hAnsi="Times New Roman" w:cs="Times New Roman"/>
          <w:sz w:val="26"/>
          <w:szCs w:val="26"/>
        </w:rPr>
        <w:t>3</w:t>
      </w:r>
      <w:r w:rsidR="00ED1A41">
        <w:rPr>
          <w:rFonts w:ascii="Times New Roman" w:hAnsi="Times New Roman" w:cs="Times New Roman"/>
          <w:sz w:val="26"/>
          <w:szCs w:val="26"/>
        </w:rPr>
        <w:t xml:space="preserve"> </w:t>
      </w:r>
      <w:r w:rsidRPr="00F562A8">
        <w:rPr>
          <w:rFonts w:ascii="Times New Roman" w:hAnsi="Times New Roman" w:cs="Times New Roman"/>
          <w:sz w:val="26"/>
          <w:szCs w:val="26"/>
        </w:rPr>
        <w:t>- Значения F-критерия Фишера</w:t>
      </w:r>
    </w:p>
    <w:p w14:paraId="536CEE53" w14:textId="77777777" w:rsidR="003F5D43" w:rsidRPr="00F562A8" w:rsidRDefault="003F5D43" w:rsidP="003F5D43">
      <w:pPr>
        <w:spacing w:after="0" w:line="276"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все три модели адекватно описывают статистические данные и их можно использовать для анализа и прогнозирования кадастровой стоимости (результативного признака). </w:t>
      </w:r>
    </w:p>
    <w:p w14:paraId="14FFC4A4" w14:textId="77777777" w:rsidR="003F5D43" w:rsidRPr="00F562A8" w:rsidRDefault="003F5D43" w:rsidP="003F5D4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Наибольшее значение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имеет аддитивная модель, однако было учтено то, что она построена на основании ограниченной выборочной совокупности и адекватна на ограниченных интервалах независимых переменных. При расширении исходных данных прогнозное значение кадастровой стоимости может перейти в отрицательную область, что противоречит ее смыслу. Исходя из этого, для прогнозирования рационально выбрать экспоненциальную модель, которая всегда дает положительный прогноз. Экспоненциальная регрессионная модель имеет вид:</w:t>
      </w:r>
    </w:p>
    <w:p w14:paraId="4F410E76" w14:textId="5E5DD7AA" w:rsidR="0020712F" w:rsidRDefault="003F5D43" w:rsidP="0020712F">
      <w:pPr>
        <w:spacing w:after="0" w:line="240" w:lineRule="auto"/>
        <w:ind w:firstLine="851"/>
        <w:jc w:val="both"/>
        <w:rPr>
          <w:rFonts w:ascii="Arial" w:eastAsia="Times New Roman" w:hAnsi="Arial" w:cs="Arial"/>
          <w:sz w:val="20"/>
          <w:szCs w:val="20"/>
          <w:lang w:eastAsia="ru-RU"/>
        </w:rPr>
      </w:pPr>
      <w:r w:rsidRPr="00F562A8">
        <w:rPr>
          <w:rFonts w:ascii="Times New Roman" w:hAnsi="Times New Roman" w:cs="Times New Roman"/>
          <w:i/>
          <w:sz w:val="26"/>
          <w:szCs w:val="26"/>
        </w:rPr>
        <w:t xml:space="preserve">УПКС = </w:t>
      </w:r>
      <w:r w:rsidR="0020712F" w:rsidRPr="0020712F">
        <w:rPr>
          <w:rFonts w:ascii="Times New Roman" w:hAnsi="Times New Roman" w:cs="Times New Roman"/>
          <w:i/>
          <w:sz w:val="26"/>
          <w:szCs w:val="26"/>
        </w:rPr>
        <w:t>222.08418826047*e^(+0.000187882653686658*((2799.753+-1053.546-гнп Расстояние до остановок общественного транспорта))</w:t>
      </w:r>
      <w:r w:rsidR="0020712F">
        <w:rPr>
          <w:rFonts w:ascii="Times New Roman" w:hAnsi="Times New Roman" w:cs="Times New Roman"/>
          <w:i/>
          <w:sz w:val="26"/>
          <w:szCs w:val="26"/>
        </w:rPr>
        <w:t xml:space="preserve"> </w:t>
      </w:r>
      <w:r w:rsidR="0020712F" w:rsidRPr="0020712F">
        <w:rPr>
          <w:rFonts w:ascii="Times New Roman" w:hAnsi="Times New Roman" w:cs="Times New Roman"/>
          <w:i/>
          <w:sz w:val="26"/>
          <w:szCs w:val="26"/>
        </w:rPr>
        <w:t>+0.00047259413517889*((6903.283+-3785.927-гнп Расстояние объекта до центра населенного пункта))+0.0331098711285477*((42.00+0.00-гнп Расстояние от населенного пункта до центра муниципального района  (городского округа))))</w:t>
      </w:r>
    </w:p>
    <w:p w14:paraId="3DC6A418" w14:textId="5DE5AD95" w:rsidR="00CF062F" w:rsidRDefault="00CF062F" w:rsidP="0020712F">
      <w:pPr>
        <w:ind w:firstLine="709"/>
        <w:jc w:val="both"/>
        <w:rPr>
          <w:rFonts w:ascii="Times New Roman" w:hAnsi="Times New Roman" w:cs="Times New Roman"/>
          <w:sz w:val="26"/>
          <w:szCs w:val="26"/>
        </w:rPr>
      </w:pPr>
      <w:r w:rsidRPr="00F415B0">
        <w:rPr>
          <w:noProof/>
          <w:lang w:eastAsia="ru-RU"/>
        </w:rPr>
        <w:drawing>
          <wp:inline distT="0" distB="0" distL="0" distR="0" wp14:anchorId="09BEBA2C" wp14:editId="3B300D2E">
            <wp:extent cx="5556856" cy="3228975"/>
            <wp:effectExtent l="0" t="0" r="635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5566986" cy="3234861"/>
                    </a:xfrm>
                    <a:prstGeom prst="rect">
                      <a:avLst/>
                    </a:prstGeom>
                  </pic:spPr>
                </pic:pic>
              </a:graphicData>
            </a:graphic>
          </wp:inline>
        </w:drawing>
      </w:r>
    </w:p>
    <w:p w14:paraId="7FFFD821" w14:textId="6FA6A939" w:rsidR="003F5D43" w:rsidRPr="00F562A8" w:rsidRDefault="003F5D43" w:rsidP="00CF062F">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ED1A41" w:rsidRPr="00F562A8">
        <w:rPr>
          <w:rFonts w:ascii="Times New Roman" w:hAnsi="Times New Roman" w:cs="Times New Roman"/>
          <w:sz w:val="26"/>
          <w:szCs w:val="26"/>
        </w:rPr>
        <w:t>3.6.3.</w:t>
      </w:r>
      <w:r w:rsidR="00ED1A41">
        <w:rPr>
          <w:rFonts w:ascii="Times New Roman" w:hAnsi="Times New Roman" w:cs="Times New Roman"/>
          <w:sz w:val="26"/>
          <w:szCs w:val="26"/>
        </w:rPr>
        <w:t>3</w:t>
      </w:r>
      <w:r w:rsidR="00ED1A41" w:rsidRPr="00F562A8">
        <w:rPr>
          <w:rFonts w:ascii="Times New Roman" w:hAnsi="Times New Roman" w:cs="Times New Roman"/>
          <w:sz w:val="26"/>
          <w:szCs w:val="26"/>
        </w:rPr>
        <w:t>.</w:t>
      </w:r>
      <w:r w:rsidR="00B20D6F">
        <w:rPr>
          <w:rFonts w:ascii="Times New Roman" w:hAnsi="Times New Roman" w:cs="Times New Roman"/>
          <w:sz w:val="26"/>
          <w:szCs w:val="26"/>
        </w:rPr>
        <w:t>4</w:t>
      </w:r>
      <w:r w:rsidR="00ED1A41">
        <w:rPr>
          <w:rFonts w:ascii="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151367F2" w14:textId="61DE131B" w:rsidR="003F5D43" w:rsidRPr="00F562A8" w:rsidRDefault="003F5D43" w:rsidP="003F5D4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Как видно из статистических показателей, представленных выше, все коэффициенты регрессионной модели значимые. </w:t>
      </w:r>
      <w:r w:rsidR="00121F5C" w:rsidRPr="00F562A8">
        <w:rPr>
          <w:rFonts w:ascii="Times New Roman" w:hAnsi="Times New Roman" w:cs="Times New Roman"/>
          <w:sz w:val="26"/>
          <w:szCs w:val="26"/>
        </w:rPr>
        <w:t>Связь между факторами</w:t>
      </w:r>
      <w:r w:rsidR="00121F5C">
        <w:rPr>
          <w:rFonts w:ascii="Times New Roman" w:hAnsi="Times New Roman" w:cs="Times New Roman"/>
          <w:sz w:val="26"/>
          <w:szCs w:val="26"/>
        </w:rPr>
        <w:t xml:space="preserve"> </w:t>
      </w:r>
      <w:r w:rsidR="00121F5C" w:rsidRPr="00F562A8">
        <w:rPr>
          <w:rFonts w:ascii="Times New Roman" w:hAnsi="Times New Roman" w:cs="Times New Roman"/>
          <w:sz w:val="26"/>
          <w:szCs w:val="26"/>
        </w:rPr>
        <w:t>и кадастровой стоимостью обратная, то есть при росте этих факторов кадастровая стоимость уменьшается</w:t>
      </w:r>
      <w:r>
        <w:rPr>
          <w:rFonts w:ascii="Times New Roman" w:hAnsi="Times New Roman" w:cs="Times New Roman"/>
          <w:sz w:val="26"/>
          <w:szCs w:val="26"/>
        </w:rPr>
        <w:t xml:space="preserve">. </w:t>
      </w:r>
      <w:r w:rsidRPr="00F562A8">
        <w:rPr>
          <w:rFonts w:ascii="Times New Roman" w:hAnsi="Times New Roman" w:cs="Times New Roman"/>
          <w:sz w:val="26"/>
          <w:szCs w:val="26"/>
        </w:rPr>
        <w:t>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24876F6E" w14:textId="71FBE836" w:rsidR="003F5D43" w:rsidRDefault="003E22A4" w:rsidP="003F5D43">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2D6F65" w:rsidRPr="009E7344">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/2.4.3.</w:t>
      </w:r>
    </w:p>
    <w:p w14:paraId="464A0293" w14:textId="77777777" w:rsidR="002861FC" w:rsidRPr="00B47B93" w:rsidRDefault="002861FC" w:rsidP="00B47B93">
      <w:pPr>
        <w:spacing w:after="0" w:line="276" w:lineRule="auto"/>
        <w:ind w:firstLine="709"/>
        <w:jc w:val="both"/>
        <w:rPr>
          <w:rFonts w:ascii="Times New Roman" w:hAnsi="Times New Roman" w:cs="Times New Roman"/>
          <w:sz w:val="26"/>
          <w:szCs w:val="26"/>
        </w:rPr>
      </w:pPr>
    </w:p>
    <w:p w14:paraId="56CBC782" w14:textId="5C3D48F0" w:rsidR="00B47B93" w:rsidRPr="006E5B92" w:rsidRDefault="00B47B93" w:rsidP="00B47B93">
      <w:pPr>
        <w:pStyle w:val="ab"/>
        <w:ind w:left="0"/>
        <w:jc w:val="center"/>
        <w:outlineLvl w:val="2"/>
        <w:rPr>
          <w:rFonts w:ascii="Times New Roman" w:hAnsi="Times New Roman" w:cs="Times New Roman"/>
          <w:i/>
          <w:sz w:val="26"/>
          <w:szCs w:val="26"/>
        </w:rPr>
      </w:pPr>
      <w:bookmarkStart w:id="206" w:name="_Toc110506972"/>
      <w:r w:rsidRPr="006E5B92">
        <w:rPr>
          <w:rFonts w:ascii="Times New Roman" w:hAnsi="Times New Roman" w:cs="Times New Roman"/>
          <w:i/>
          <w:sz w:val="26"/>
          <w:szCs w:val="26"/>
        </w:rPr>
        <w:t xml:space="preserve">3.6.3.4. Расчет кадастровой стоимости земельных участков группы </w:t>
      </w:r>
      <w:r w:rsidR="001A244B" w:rsidRPr="006E5B92">
        <w:rPr>
          <w:rFonts w:ascii="Times New Roman" w:hAnsi="Times New Roman" w:cs="Times New Roman"/>
          <w:i/>
          <w:sz w:val="26"/>
          <w:szCs w:val="26"/>
        </w:rPr>
        <w:t>СОЦ/</w:t>
      </w:r>
      <w:r w:rsidRPr="006E5B92">
        <w:rPr>
          <w:rFonts w:ascii="Times New Roman" w:hAnsi="Times New Roman" w:cs="Times New Roman"/>
          <w:i/>
          <w:sz w:val="26"/>
          <w:szCs w:val="26"/>
        </w:rPr>
        <w:t>СНП</w:t>
      </w:r>
      <w:bookmarkEnd w:id="206"/>
    </w:p>
    <w:p w14:paraId="20518930" w14:textId="1B81E29D" w:rsidR="002861FC" w:rsidRPr="00F562A8" w:rsidRDefault="002861FC" w:rsidP="002861FC">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2D6F65" w:rsidRPr="009E7344">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/2.4.3.</w:t>
      </w:r>
    </w:p>
    <w:p w14:paraId="7308AA5C" w14:textId="0F739EE2" w:rsidR="002861FC" w:rsidRDefault="002861FC" w:rsidP="002861FC">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F72A6D">
        <w:rPr>
          <w:rFonts w:ascii="Times New Roman" w:hAnsi="Times New Roman" w:cs="Times New Roman"/>
          <w:sz w:val="26"/>
          <w:szCs w:val="26"/>
        </w:rPr>
        <w:t>СОЦ/</w:t>
      </w:r>
      <w:r>
        <w:rPr>
          <w:rFonts w:ascii="Times New Roman" w:hAnsi="Times New Roman" w:cs="Times New Roman"/>
          <w:sz w:val="26"/>
          <w:szCs w:val="26"/>
        </w:rPr>
        <w:t>СНП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Pr="00F72A6D">
        <w:rPr>
          <w:rFonts w:ascii="Times New Roman" w:hAnsi="Times New Roman" w:cs="Times New Roman"/>
          <w:sz w:val="26"/>
          <w:szCs w:val="26"/>
        </w:rPr>
        <w:t>03:000, 01:143, 03:010, 03:013, 03:020, 03:021, 03:022, 03:023, 03:030, 03:031, 03:032, 03:033, 03:034, 03:035, 03:040, 03:041, 03:042, 03:050, 03:051, 03:052, 03:060, 03:061, 03:062, 03:065, 03:070, 03:071, 03:072, 03:073, 03:080, 03:081, 03:082, 03:083, 03:090, 03:091, 03:092, 03:100, 03:101, 03:102, 03:103, 03:104, 05:010, 05:011, 05:012, 05:020, 05:021, 05:051, 07:021, 07:022, 08:022, 08:030, 08:041, 09:030</w:t>
      </w:r>
      <w:r>
        <w:rPr>
          <w:rFonts w:ascii="Times New Roman" w:hAnsi="Times New Roman" w:cs="Times New Roman"/>
          <w:sz w:val="26"/>
          <w:szCs w:val="26"/>
        </w:rPr>
        <w:t>.</w:t>
      </w:r>
    </w:p>
    <w:p w14:paraId="2E7C86E8" w14:textId="0E8869A5" w:rsidR="002861FC" w:rsidRPr="003B5B09" w:rsidRDefault="002861FC" w:rsidP="002861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Pr>
          <w:rFonts w:ascii="Times New Roman" w:hAnsi="Times New Roman" w:cs="Times New Roman"/>
          <w:sz w:val="26"/>
          <w:szCs w:val="26"/>
        </w:rPr>
        <w:t>СОЦ</w:t>
      </w:r>
      <w:r w:rsidRPr="00327E6F">
        <w:rPr>
          <w:rFonts w:ascii="Times New Roman" w:hAnsi="Times New Roman" w:cs="Times New Roman"/>
          <w:sz w:val="26"/>
          <w:szCs w:val="26"/>
        </w:rPr>
        <w:t>/</w:t>
      </w:r>
      <w:r>
        <w:rPr>
          <w:rFonts w:ascii="Times New Roman" w:hAnsi="Times New Roman" w:cs="Times New Roman"/>
          <w:sz w:val="26"/>
          <w:szCs w:val="26"/>
        </w:rPr>
        <w:t>СНП</w:t>
      </w:r>
      <w:r w:rsidRPr="00F562A8">
        <w:rPr>
          <w:rFonts w:ascii="Times New Roman" w:hAnsi="Times New Roman" w:cs="Times New Roman"/>
          <w:sz w:val="26"/>
          <w:szCs w:val="26"/>
        </w:rPr>
        <w:t xml:space="preserve"> 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w:t>
      </w:r>
      <w:r w:rsidRPr="003B5B09">
        <w:rPr>
          <w:rFonts w:ascii="Times New Roman" w:hAnsi="Times New Roman" w:cs="Times New Roman"/>
          <w:sz w:val="26"/>
          <w:szCs w:val="26"/>
        </w:rPr>
        <w:t>методов в каждом конкретном случае эмпирических данных строилась статистическая модель оценки.</w:t>
      </w:r>
    </w:p>
    <w:p w14:paraId="7A5032F1"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Согласно п.45.1.1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71BF3E62"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Порядок подготовки и построения модели оценки кадастровой стоимости включает:</w:t>
      </w:r>
    </w:p>
    <w:p w14:paraId="50C9391A"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52A06BE4"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6F57F4AC"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1C526B70"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20F07265"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5) анализ показателей качества статистической модели.</w:t>
      </w:r>
    </w:p>
    <w:p w14:paraId="371AC21C" w14:textId="77777777" w:rsidR="00012B25" w:rsidRPr="00F562A8" w:rsidRDefault="00531FB8" w:rsidP="00012B25">
      <w:pPr>
        <w:tabs>
          <w:tab w:val="left" w:pos="1890"/>
        </w:tabs>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w:t>
      </w:r>
      <w:r>
        <w:rPr>
          <w:rFonts w:ascii="Times New Roman" w:hAnsi="Times New Roman" w:cs="Times New Roman"/>
          <w:sz w:val="26"/>
          <w:szCs w:val="26"/>
        </w:rPr>
        <w:t>сельских</w:t>
      </w:r>
      <w:r w:rsidRPr="00F562A8">
        <w:rPr>
          <w:rFonts w:ascii="Times New Roman" w:hAnsi="Times New Roman" w:cs="Times New Roman"/>
          <w:sz w:val="26"/>
          <w:szCs w:val="26"/>
        </w:rPr>
        <w:t xml:space="preserve"> населенных пунктах Воронежской области</w:t>
      </w:r>
      <w:r w:rsidR="002861FC" w:rsidRPr="003B5B09">
        <w:rPr>
          <w:rFonts w:ascii="Times New Roman" w:hAnsi="Times New Roman" w:cs="Times New Roman"/>
          <w:sz w:val="26"/>
          <w:szCs w:val="26"/>
        </w:rPr>
        <w:t xml:space="preserve">,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002861FC" w:rsidRPr="003B5B09">
        <w:rPr>
          <w:rFonts w:ascii="Times New Roman" w:hAnsi="Times New Roman" w:cs="Times New Roman"/>
          <w:sz w:val="26"/>
          <w:szCs w:val="26"/>
          <w:lang w:val="en-US"/>
        </w:rPr>
        <w:t>Y</w:t>
      </w:r>
      <w:r w:rsidR="002861FC" w:rsidRPr="003B5B09">
        <w:rPr>
          <w:rFonts w:ascii="Times New Roman" w:hAnsi="Times New Roman" w:cs="Times New Roman"/>
          <w:sz w:val="26"/>
          <w:szCs w:val="26"/>
        </w:rPr>
        <w:t xml:space="preserve">- кадастровая стоимость и факторы, на него влияющие </w:t>
      </w:r>
      <w:r w:rsidR="002861FC" w:rsidRPr="003B5B09">
        <w:rPr>
          <w:rFonts w:ascii="Times New Roman" w:hAnsi="Times New Roman" w:cs="Times New Roman"/>
          <w:sz w:val="26"/>
          <w:szCs w:val="26"/>
          <w:lang w:val="en-US"/>
        </w:rPr>
        <w:t>X</w:t>
      </w:r>
      <w:r w:rsidR="002861FC" w:rsidRPr="003B5B09">
        <w:rPr>
          <w:rFonts w:ascii="Times New Roman" w:hAnsi="Times New Roman" w:cs="Times New Roman"/>
          <w:sz w:val="26"/>
          <w:szCs w:val="26"/>
          <w:vertAlign w:val="subscript"/>
          <w:lang w:val="en-US"/>
        </w:rPr>
        <w:t>i</w:t>
      </w:r>
      <w:r w:rsidR="002861FC" w:rsidRPr="003B5B09">
        <w:rPr>
          <w:rFonts w:ascii="Times New Roman" w:hAnsi="Times New Roman" w:cs="Times New Roman"/>
          <w:sz w:val="26"/>
          <w:szCs w:val="26"/>
        </w:rPr>
        <w:t xml:space="preserve">, где </w:t>
      </w:r>
      <w:r w:rsidR="002861FC" w:rsidRPr="003B5B09">
        <w:rPr>
          <w:rFonts w:ascii="Times New Roman" w:hAnsi="Times New Roman" w:cs="Times New Roman"/>
          <w:sz w:val="26"/>
          <w:szCs w:val="26"/>
          <w:lang w:val="en-US"/>
        </w:rPr>
        <w:t>i</w:t>
      </w:r>
      <w:r w:rsidR="002861FC" w:rsidRPr="003B5B09">
        <w:rPr>
          <w:rFonts w:ascii="Times New Roman" w:hAnsi="Times New Roman" w:cs="Times New Roman"/>
          <w:sz w:val="26"/>
          <w:szCs w:val="26"/>
        </w:rPr>
        <w:t xml:space="preserve">=1, …, 22 </w:t>
      </w:r>
      <w:r w:rsidR="00012B25" w:rsidRPr="00F562A8">
        <w:rPr>
          <w:rFonts w:ascii="Times New Roman" w:hAnsi="Times New Roman" w:cs="Times New Roman"/>
          <w:sz w:val="26"/>
          <w:szCs w:val="26"/>
        </w:rPr>
        <w:t>представлены в таблиц</w:t>
      </w:r>
      <w:r w:rsidR="00012B25">
        <w:rPr>
          <w:rFonts w:ascii="Times New Roman" w:hAnsi="Times New Roman" w:cs="Times New Roman"/>
          <w:sz w:val="26"/>
          <w:szCs w:val="26"/>
        </w:rPr>
        <w:t>ах</w:t>
      </w:r>
      <w:r w:rsidR="00012B25" w:rsidRPr="00F562A8">
        <w:rPr>
          <w:rFonts w:ascii="Times New Roman" w:hAnsi="Times New Roman" w:cs="Times New Roman"/>
          <w:sz w:val="26"/>
          <w:szCs w:val="26"/>
        </w:rPr>
        <w:t xml:space="preserve"> </w:t>
      </w:r>
      <w:r w:rsidR="00012B25" w:rsidRPr="00F562A8">
        <w:rPr>
          <w:rFonts w:ascii="Times New Roman" w:eastAsia="Times New Roman" w:hAnsi="Times New Roman" w:cs="Times New Roman"/>
          <w:sz w:val="26"/>
          <w:szCs w:val="26"/>
        </w:rPr>
        <w:t>3.</w:t>
      </w:r>
      <w:r w:rsidR="00012B25">
        <w:rPr>
          <w:rFonts w:ascii="Times New Roman" w:eastAsia="Times New Roman" w:hAnsi="Times New Roman" w:cs="Times New Roman"/>
          <w:sz w:val="26"/>
          <w:szCs w:val="26"/>
        </w:rPr>
        <w:t>4 и 3.5, пунктов 3.4 и 3.5 соответственно</w:t>
      </w:r>
      <w:r w:rsidR="00012B25" w:rsidRPr="00F562A8">
        <w:rPr>
          <w:rFonts w:ascii="Times New Roman" w:hAnsi="Times New Roman" w:cs="Times New Roman"/>
          <w:sz w:val="26"/>
          <w:szCs w:val="26"/>
        </w:rPr>
        <w:t>.</w:t>
      </w:r>
    </w:p>
    <w:p w14:paraId="3D282D69" w14:textId="77777777" w:rsidR="002861FC" w:rsidRPr="003B5B09" w:rsidRDefault="002861FC" w:rsidP="002861FC">
      <w:pPr>
        <w:spacing w:after="0"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4962E77E" w14:textId="77777777" w:rsidR="002861FC" w:rsidRPr="003B5B09" w:rsidRDefault="002861FC" w:rsidP="002861FC">
      <w:pPr>
        <w:spacing w:after="0"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3409E7CC" w14:textId="77777777" w:rsidR="008821A1" w:rsidRPr="00F562A8" w:rsidRDefault="008821A1" w:rsidP="008821A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Pr>
          <w:rFonts w:ascii="Times New Roman" w:hAnsi="Times New Roman" w:cs="Times New Roman"/>
          <w:sz w:val="26"/>
          <w:szCs w:val="26"/>
        </w:rPr>
        <w:t>4</w:t>
      </w:r>
      <w:r w:rsidRPr="00F562A8">
        <w:rPr>
          <w:rFonts w:ascii="Times New Roman" w:hAnsi="Times New Roman" w:cs="Times New Roman"/>
          <w:sz w:val="26"/>
          <w:szCs w:val="26"/>
        </w:rPr>
        <w:t>:</w:t>
      </w:r>
    </w:p>
    <w:p w14:paraId="7B0E5153" w14:textId="77777777" w:rsidR="008821A1" w:rsidRPr="00F562A8" w:rsidRDefault="008821A1" w:rsidP="008821A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ч</w:t>
      </w:r>
      <w:r w:rsidRPr="002C2141">
        <w:rPr>
          <w:rFonts w:ascii="Times New Roman" w:hAnsi="Times New Roman" w:cs="Times New Roman"/>
          <w:sz w:val="26"/>
          <w:szCs w:val="26"/>
        </w:rPr>
        <w:t>исленность населения в населенном пункте</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6F52E3A5" w14:textId="77777777" w:rsidR="008821A1" w:rsidRDefault="008821A1" w:rsidP="008821A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н</w:t>
      </w:r>
      <w:r w:rsidRPr="002C2141">
        <w:rPr>
          <w:rFonts w:ascii="Times New Roman" w:hAnsi="Times New Roman" w:cs="Times New Roman"/>
          <w:sz w:val="26"/>
          <w:szCs w:val="26"/>
        </w:rPr>
        <w:t>аличие в населенном пункте или вблизи (до 1 км) остановок общественного транспорта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1</w:t>
      </w:r>
      <w:r>
        <w:rPr>
          <w:rFonts w:ascii="Times New Roman" w:hAnsi="Times New Roman" w:cs="Times New Roman"/>
          <w:sz w:val="26"/>
          <w:szCs w:val="26"/>
        </w:rPr>
        <w:t>;</w:t>
      </w:r>
    </w:p>
    <w:p w14:paraId="59F432F1" w14:textId="77777777" w:rsidR="008821A1" w:rsidRDefault="008821A1" w:rsidP="008821A1">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р</w:t>
      </w:r>
      <w:r w:rsidRPr="002C2141">
        <w:rPr>
          <w:rFonts w:ascii="Times New Roman" w:hAnsi="Times New Roman" w:cs="Times New Roman"/>
          <w:sz w:val="26"/>
          <w:szCs w:val="26"/>
        </w:rPr>
        <w:t>асстояние от населенного пункта до центра муниципального района (городского округа)</w:t>
      </w:r>
      <w:r w:rsidRPr="00F562A8">
        <w:rPr>
          <w:rFonts w:ascii="Times New Roman" w:hAnsi="Times New Roman" w:cs="Times New Roman"/>
          <w:sz w:val="26"/>
          <w:szCs w:val="26"/>
        </w:rPr>
        <w:t>: Х</w:t>
      </w:r>
      <w:r>
        <w:rPr>
          <w:rFonts w:ascii="Times New Roman" w:hAnsi="Times New Roman" w:cs="Times New Roman"/>
          <w:sz w:val="26"/>
          <w:szCs w:val="26"/>
          <w:vertAlign w:val="subscript"/>
        </w:rPr>
        <w:t>2;</w:t>
      </w:r>
    </w:p>
    <w:p w14:paraId="08532717" w14:textId="77777777" w:rsidR="008821A1" w:rsidRPr="00F562A8" w:rsidRDefault="008821A1" w:rsidP="008821A1">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р</w:t>
      </w:r>
      <w:r w:rsidRPr="002C2141">
        <w:rPr>
          <w:rFonts w:ascii="Times New Roman" w:hAnsi="Times New Roman" w:cs="Times New Roman"/>
          <w:sz w:val="26"/>
          <w:szCs w:val="26"/>
        </w:rPr>
        <w:t>асстояние от населенного пункта до центра субъекта РФ (г. Воронеж)</w:t>
      </w:r>
      <w:r w:rsidRPr="00F562A8">
        <w:rPr>
          <w:rFonts w:ascii="Times New Roman" w:hAnsi="Times New Roman" w:cs="Times New Roman"/>
          <w:sz w:val="26"/>
          <w:szCs w:val="26"/>
        </w:rPr>
        <w:t>: Х</w:t>
      </w:r>
      <w:r>
        <w:rPr>
          <w:rFonts w:ascii="Times New Roman" w:hAnsi="Times New Roman" w:cs="Times New Roman"/>
          <w:sz w:val="26"/>
          <w:szCs w:val="26"/>
          <w:vertAlign w:val="subscript"/>
        </w:rPr>
        <w:t>3.</w:t>
      </w:r>
    </w:p>
    <w:p w14:paraId="07108B8D" w14:textId="77777777" w:rsidR="002861FC" w:rsidRPr="003B5B09" w:rsidRDefault="002861FC" w:rsidP="002861FC">
      <w:pPr>
        <w:spacing w:after="0"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20C65F9D" w14:textId="77777777" w:rsidR="002861FC" w:rsidRPr="003B5B09" w:rsidRDefault="002861FC" w:rsidP="002861FC">
      <w:pPr>
        <w:spacing w:after="0"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754ED722" w14:textId="7732B053" w:rsidR="002861FC" w:rsidRPr="003B5B09" w:rsidRDefault="002861FC" w:rsidP="002861FC">
      <w:pPr>
        <w:spacing w:after="0"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 xml:space="preserve">На основании отбора факторов были построены множественные регрессионные </w:t>
      </w:r>
      <w:r w:rsidR="0013778A">
        <w:rPr>
          <w:rFonts w:ascii="Times New Roman" w:hAnsi="Times New Roman" w:cs="Times New Roman"/>
          <w:sz w:val="26"/>
          <w:szCs w:val="26"/>
        </w:rPr>
        <w:t>четырех</w:t>
      </w:r>
      <w:r w:rsidRPr="003B5B09">
        <w:rPr>
          <w:rFonts w:ascii="Times New Roman" w:hAnsi="Times New Roman" w:cs="Times New Roman"/>
          <w:sz w:val="26"/>
          <w:szCs w:val="26"/>
        </w:rPr>
        <w:t>факторные модели:</w:t>
      </w:r>
    </w:p>
    <w:p w14:paraId="6CA03008" w14:textId="77777777" w:rsidR="002861FC" w:rsidRPr="003B5B09" w:rsidRDefault="002861FC" w:rsidP="002861FC">
      <w:pPr>
        <w:spacing w:after="0" w:line="276" w:lineRule="auto"/>
        <w:ind w:firstLine="709"/>
        <w:jc w:val="both"/>
        <w:rPr>
          <w:rFonts w:ascii="Times New Roman" w:hAnsi="Times New Roman" w:cs="Times New Roman"/>
          <w:i/>
          <w:sz w:val="26"/>
          <w:szCs w:val="26"/>
        </w:rPr>
      </w:pPr>
      <w:r w:rsidRPr="003B5B09">
        <w:rPr>
          <w:rFonts w:ascii="Times New Roman" w:hAnsi="Times New Roman" w:cs="Times New Roman"/>
          <w:sz w:val="26"/>
          <w:szCs w:val="26"/>
        </w:rPr>
        <w:t xml:space="preserve">-аддитивная (линейная): </w:t>
      </w:r>
      <w:r w:rsidRPr="003B5B09">
        <w:rPr>
          <w:rFonts w:ascii="Times New Roman" w:hAnsi="Times New Roman" w:cs="Times New Roman"/>
          <w:noProof/>
          <w:position w:val="-8"/>
          <w:sz w:val="26"/>
          <w:szCs w:val="26"/>
          <w:lang w:eastAsia="ru-RU"/>
        </w:rPr>
        <w:drawing>
          <wp:inline distT="0" distB="0" distL="0" distR="0" wp14:anchorId="097F2AF5" wp14:editId="6E9F9F24">
            <wp:extent cx="2209800" cy="247650"/>
            <wp:effectExtent l="0" t="0" r="0" b="0"/>
            <wp:docPr id="925" name="Рисунок 925"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3B5B09">
        <w:rPr>
          <w:rFonts w:ascii="Times New Roman" w:hAnsi="Times New Roman" w:cs="Times New Roman"/>
          <w:sz w:val="26"/>
          <w:szCs w:val="26"/>
        </w:rPr>
        <w:t>;</w:t>
      </w:r>
    </w:p>
    <w:p w14:paraId="585F8656" w14:textId="77777777" w:rsidR="002861FC" w:rsidRPr="003B5B09" w:rsidRDefault="002861FC" w:rsidP="002861FC">
      <w:pPr>
        <w:spacing w:after="0"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-мультипликативная:</w:t>
      </w:r>
      <w:r w:rsidRPr="003B5B09">
        <w:rPr>
          <w:rFonts w:ascii="Times New Roman" w:hAnsi="Times New Roman" w:cs="Times New Roman"/>
          <w:noProof/>
          <w:position w:val="-9"/>
          <w:sz w:val="26"/>
          <w:szCs w:val="26"/>
          <w:lang w:eastAsia="ru-RU"/>
        </w:rPr>
        <w:drawing>
          <wp:inline distT="0" distB="0" distL="0" distR="0" wp14:anchorId="7CA9135F" wp14:editId="7D5927E8">
            <wp:extent cx="1352550" cy="266700"/>
            <wp:effectExtent l="0" t="0" r="0" b="0"/>
            <wp:docPr id="926" name="Рисунок 926"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3B5B09">
        <w:rPr>
          <w:rFonts w:ascii="Times New Roman" w:hAnsi="Times New Roman" w:cs="Times New Roman"/>
          <w:sz w:val="26"/>
          <w:szCs w:val="26"/>
        </w:rPr>
        <w:t>;;</w:t>
      </w:r>
    </w:p>
    <w:p w14:paraId="63B16C94" w14:textId="77777777" w:rsidR="002861FC" w:rsidRPr="003B5B09" w:rsidRDefault="002861FC" w:rsidP="002861FC">
      <w:pPr>
        <w:spacing w:after="0"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-экспоненциальная:</w:t>
      </w:r>
      <w:r w:rsidRPr="003B5B09">
        <w:rPr>
          <w:rFonts w:ascii="Times New Roman" w:hAnsi="Times New Roman" w:cs="Times New Roman"/>
          <w:noProof/>
          <w:position w:val="-9"/>
          <w:sz w:val="26"/>
          <w:szCs w:val="26"/>
          <w:lang w:eastAsia="ru-RU"/>
        </w:rPr>
        <w:drawing>
          <wp:inline distT="0" distB="0" distL="0" distR="0" wp14:anchorId="605CEDFC" wp14:editId="6822BC61">
            <wp:extent cx="1266825" cy="266700"/>
            <wp:effectExtent l="0" t="0" r="0" b="0"/>
            <wp:docPr id="934" name="Рисунок 934"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3B5B09">
        <w:rPr>
          <w:rFonts w:ascii="Times New Roman" w:hAnsi="Times New Roman" w:cs="Times New Roman"/>
          <w:sz w:val="26"/>
          <w:szCs w:val="26"/>
        </w:rPr>
        <w:t xml:space="preserve">, </w:t>
      </w:r>
    </w:p>
    <w:p w14:paraId="289F53B7" w14:textId="77777777" w:rsidR="002861FC" w:rsidRPr="003B5B09" w:rsidRDefault="002861FC" w:rsidP="002861FC">
      <w:pPr>
        <w:spacing w:after="0"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где Y - модельное значение зависимой переменной;</w:t>
      </w:r>
    </w:p>
    <w:p w14:paraId="035B672E"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X</w:t>
      </w:r>
      <w:r w:rsidRPr="003B5B09">
        <w:rPr>
          <w:rFonts w:ascii="Times New Roman" w:hAnsi="Times New Roman" w:cs="Times New Roman"/>
          <w:sz w:val="26"/>
          <w:szCs w:val="26"/>
          <w:vertAlign w:val="subscript"/>
        </w:rPr>
        <w:t>1</w:t>
      </w:r>
      <w:r w:rsidRPr="003B5B09">
        <w:rPr>
          <w:rFonts w:ascii="Times New Roman" w:hAnsi="Times New Roman" w:cs="Times New Roman"/>
          <w:sz w:val="26"/>
          <w:szCs w:val="26"/>
        </w:rPr>
        <w:t>, ..., X</w:t>
      </w:r>
      <w:r w:rsidRPr="003B5B09">
        <w:rPr>
          <w:rFonts w:ascii="Times New Roman" w:hAnsi="Times New Roman" w:cs="Times New Roman"/>
          <w:sz w:val="26"/>
          <w:szCs w:val="26"/>
          <w:vertAlign w:val="subscript"/>
        </w:rPr>
        <w:t>n</w:t>
      </w:r>
      <w:r w:rsidRPr="003B5B09">
        <w:rPr>
          <w:rFonts w:ascii="Times New Roman" w:hAnsi="Times New Roman" w:cs="Times New Roman"/>
          <w:sz w:val="26"/>
          <w:szCs w:val="26"/>
        </w:rPr>
        <w:t xml:space="preserve"> - ценообразующие факторы объектов недвижимости;</w:t>
      </w:r>
    </w:p>
    <w:p w14:paraId="6491FF10"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noProof/>
          <w:position w:val="-8"/>
          <w:sz w:val="26"/>
          <w:szCs w:val="26"/>
        </w:rPr>
        <w:drawing>
          <wp:inline distT="0" distB="0" distL="0" distR="0" wp14:anchorId="17A1BB4B" wp14:editId="329AEEDC">
            <wp:extent cx="209550" cy="247650"/>
            <wp:effectExtent l="0" t="0" r="0" b="0"/>
            <wp:docPr id="935" name="Рисунок 935"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3B5B09">
        <w:rPr>
          <w:rFonts w:ascii="Times New Roman" w:hAnsi="Times New Roman" w:cs="Times New Roman"/>
          <w:sz w:val="26"/>
          <w:szCs w:val="26"/>
        </w:rPr>
        <w:t xml:space="preserve">, </w:t>
      </w:r>
      <w:r w:rsidRPr="003B5B09">
        <w:rPr>
          <w:rFonts w:ascii="Times New Roman" w:hAnsi="Times New Roman" w:cs="Times New Roman"/>
          <w:noProof/>
          <w:position w:val="-8"/>
          <w:sz w:val="26"/>
          <w:szCs w:val="26"/>
        </w:rPr>
        <w:drawing>
          <wp:inline distT="0" distB="0" distL="0" distR="0" wp14:anchorId="7CCA33C0" wp14:editId="7430580A">
            <wp:extent cx="200025" cy="247650"/>
            <wp:effectExtent l="0" t="0" r="9525" b="0"/>
            <wp:docPr id="936" name="Рисунок 936"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3B5B09">
        <w:rPr>
          <w:rFonts w:ascii="Times New Roman" w:hAnsi="Times New Roman" w:cs="Times New Roman"/>
          <w:sz w:val="26"/>
          <w:szCs w:val="26"/>
        </w:rPr>
        <w:t xml:space="preserve">, ..., </w:t>
      </w:r>
      <w:r w:rsidRPr="003B5B09">
        <w:rPr>
          <w:rFonts w:ascii="Times New Roman" w:hAnsi="Times New Roman" w:cs="Times New Roman"/>
          <w:noProof/>
          <w:position w:val="-8"/>
          <w:sz w:val="26"/>
          <w:szCs w:val="26"/>
        </w:rPr>
        <w:drawing>
          <wp:inline distT="0" distB="0" distL="0" distR="0" wp14:anchorId="7DAE6B3E" wp14:editId="27553438">
            <wp:extent cx="209550" cy="247650"/>
            <wp:effectExtent l="0" t="0" r="0" b="0"/>
            <wp:docPr id="937" name="Рисунок 937"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3B5B09">
        <w:rPr>
          <w:rFonts w:ascii="Times New Roman" w:hAnsi="Times New Roman" w:cs="Times New Roman"/>
          <w:sz w:val="26"/>
          <w:szCs w:val="26"/>
        </w:rPr>
        <w:t xml:space="preserve"> - коэффициенты модели.</w:t>
      </w:r>
    </w:p>
    <w:p w14:paraId="4FF30139" w14:textId="2021CAC9" w:rsidR="002861FC" w:rsidRPr="003B5B09" w:rsidRDefault="003B5B09" w:rsidP="002861FC">
      <w:pPr>
        <w:spacing w:after="0" w:line="276" w:lineRule="auto"/>
        <w:jc w:val="both"/>
        <w:rPr>
          <w:rFonts w:ascii="Times New Roman" w:hAnsi="Times New Roman" w:cs="Times New Roman"/>
          <w:lang w:val="en-US"/>
        </w:rPr>
      </w:pPr>
      <w:r w:rsidRPr="00105E60">
        <w:rPr>
          <w:noProof/>
          <w:lang w:eastAsia="ru-RU"/>
        </w:rPr>
        <w:drawing>
          <wp:inline distT="0" distB="0" distL="0" distR="0" wp14:anchorId="5D1F75CF" wp14:editId="1B1C1A18">
            <wp:extent cx="5939790" cy="758744"/>
            <wp:effectExtent l="0" t="0" r="3810" b="381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939790" cy="758744"/>
                    </a:xfrm>
                    <a:prstGeom prst="rect">
                      <a:avLst/>
                    </a:prstGeom>
                  </pic:spPr>
                </pic:pic>
              </a:graphicData>
            </a:graphic>
          </wp:inline>
        </w:drawing>
      </w:r>
    </w:p>
    <w:p w14:paraId="3882BD93" w14:textId="6C8460E1" w:rsidR="002861FC" w:rsidRPr="003B5B09" w:rsidRDefault="002861FC" w:rsidP="006131C6">
      <w:pPr>
        <w:spacing w:after="0" w:line="276" w:lineRule="auto"/>
        <w:ind w:firstLine="708"/>
        <w:jc w:val="right"/>
        <w:rPr>
          <w:rFonts w:ascii="Times New Roman" w:hAnsi="Times New Roman" w:cs="Times New Roman"/>
          <w:sz w:val="26"/>
          <w:szCs w:val="26"/>
        </w:rPr>
      </w:pPr>
      <w:r w:rsidRPr="003B5B09">
        <w:rPr>
          <w:rFonts w:ascii="Times New Roman" w:hAnsi="Times New Roman" w:cs="Times New Roman"/>
          <w:sz w:val="26"/>
          <w:szCs w:val="26"/>
        </w:rPr>
        <w:t xml:space="preserve">Рис. </w:t>
      </w:r>
      <w:r w:rsidR="006131C6" w:rsidRPr="003B5B09">
        <w:rPr>
          <w:rFonts w:ascii="Times New Roman" w:hAnsi="Times New Roman" w:cs="Times New Roman"/>
          <w:sz w:val="26"/>
          <w:szCs w:val="26"/>
        </w:rPr>
        <w:t>3.6.3.4.</w:t>
      </w:r>
      <w:r w:rsidR="006E5B92" w:rsidRPr="003B5B09">
        <w:rPr>
          <w:rFonts w:ascii="Times New Roman" w:hAnsi="Times New Roman" w:cs="Times New Roman"/>
          <w:sz w:val="26"/>
          <w:szCs w:val="26"/>
        </w:rPr>
        <w:t>1</w:t>
      </w:r>
      <w:r w:rsidR="006131C6" w:rsidRPr="003B5B09">
        <w:rPr>
          <w:rFonts w:ascii="Times New Roman" w:hAnsi="Times New Roman" w:cs="Times New Roman"/>
          <w:sz w:val="26"/>
          <w:szCs w:val="26"/>
        </w:rPr>
        <w:t xml:space="preserve"> </w:t>
      </w:r>
      <w:r w:rsidRPr="003B5B09">
        <w:rPr>
          <w:rFonts w:ascii="Times New Roman" w:hAnsi="Times New Roman" w:cs="Times New Roman"/>
          <w:sz w:val="26"/>
          <w:szCs w:val="26"/>
        </w:rPr>
        <w:t xml:space="preserve">- Множественные регрессионные </w:t>
      </w:r>
      <w:r w:rsidR="0013778A">
        <w:rPr>
          <w:rFonts w:ascii="Times New Roman" w:hAnsi="Times New Roman" w:cs="Times New Roman"/>
          <w:sz w:val="26"/>
          <w:szCs w:val="26"/>
        </w:rPr>
        <w:t>четырех</w:t>
      </w:r>
      <w:r w:rsidRPr="003B5B09">
        <w:rPr>
          <w:rFonts w:ascii="Times New Roman" w:hAnsi="Times New Roman" w:cs="Times New Roman"/>
          <w:sz w:val="26"/>
          <w:szCs w:val="26"/>
        </w:rPr>
        <w:t>факторные модели</w:t>
      </w:r>
    </w:p>
    <w:p w14:paraId="0AAF9064"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Согласно п.45.1.2 Указаний, анализ качества статистической модели включает в себя комплекс процедур, предусматривающий проверки, в том числе:</w:t>
      </w:r>
    </w:p>
    <w:p w14:paraId="0C42F398"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7F87C896"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17270F71"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508819B9"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 по t-критерию Стьюдента проверки значимости параметров моделей;</w:t>
      </w:r>
    </w:p>
    <w:p w14:paraId="104FA67A"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 по средней ошибке аппроксимации;</w:t>
      </w:r>
    </w:p>
    <w:p w14:paraId="5AB248BF"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 по коэффициенту детерминации R</w:t>
      </w:r>
      <w:r w:rsidRPr="003B5B09">
        <w:rPr>
          <w:rFonts w:ascii="Times New Roman" w:hAnsi="Times New Roman" w:cs="Times New Roman"/>
          <w:sz w:val="26"/>
          <w:szCs w:val="26"/>
          <w:vertAlign w:val="superscript"/>
        </w:rPr>
        <w:t>2</w:t>
      </w:r>
      <w:r w:rsidRPr="003B5B09">
        <w:rPr>
          <w:rFonts w:ascii="Times New Roman" w:hAnsi="Times New Roman" w:cs="Times New Roman"/>
          <w:sz w:val="26"/>
          <w:szCs w:val="26"/>
        </w:rPr>
        <w:t>;</w:t>
      </w:r>
    </w:p>
    <w:p w14:paraId="049DAA99"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2FA64F94" w14:textId="68A4A069" w:rsidR="002861FC" w:rsidRPr="003B5B09" w:rsidRDefault="00262211" w:rsidP="002861FC">
      <w:pPr>
        <w:spacing w:after="0" w:line="276" w:lineRule="auto"/>
        <w:jc w:val="center"/>
        <w:rPr>
          <w:rFonts w:ascii="Times New Roman" w:hAnsi="Times New Roman" w:cs="Times New Roman"/>
        </w:rPr>
      </w:pPr>
      <w:r w:rsidRPr="00105E60">
        <w:rPr>
          <w:noProof/>
          <w:lang w:eastAsia="ru-RU"/>
        </w:rPr>
        <w:drawing>
          <wp:inline distT="0" distB="0" distL="0" distR="0" wp14:anchorId="03444674" wp14:editId="5FDACC5E">
            <wp:extent cx="5947522" cy="146685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4"/>
                    <a:srcRect r="7118"/>
                    <a:stretch/>
                  </pic:blipFill>
                  <pic:spPr bwMode="auto">
                    <a:xfrm>
                      <a:off x="0" y="0"/>
                      <a:ext cx="5969648" cy="1472307"/>
                    </a:xfrm>
                    <a:prstGeom prst="rect">
                      <a:avLst/>
                    </a:prstGeom>
                    <a:ln>
                      <a:noFill/>
                    </a:ln>
                    <a:extLst>
                      <a:ext uri="{53640926-AAD7-44D8-BBD7-CCE9431645EC}">
                        <a14:shadowObscured xmlns:a14="http://schemas.microsoft.com/office/drawing/2010/main"/>
                      </a:ext>
                    </a:extLst>
                  </pic:spPr>
                </pic:pic>
              </a:graphicData>
            </a:graphic>
          </wp:inline>
        </w:drawing>
      </w:r>
    </w:p>
    <w:p w14:paraId="1A47A9C0" w14:textId="5EE76CBF" w:rsidR="002861FC" w:rsidRPr="003B5B09" w:rsidRDefault="002861FC" w:rsidP="00012B25">
      <w:pPr>
        <w:spacing w:after="0" w:line="276" w:lineRule="auto"/>
        <w:ind w:firstLine="708"/>
        <w:jc w:val="center"/>
        <w:rPr>
          <w:rFonts w:ascii="Times New Roman" w:hAnsi="Times New Roman" w:cs="Times New Roman"/>
          <w:sz w:val="26"/>
          <w:szCs w:val="26"/>
        </w:rPr>
      </w:pPr>
      <w:r w:rsidRPr="003B5B09">
        <w:rPr>
          <w:rFonts w:ascii="Times New Roman" w:hAnsi="Times New Roman" w:cs="Times New Roman"/>
          <w:sz w:val="26"/>
          <w:szCs w:val="26"/>
        </w:rPr>
        <w:t xml:space="preserve">Рис. </w:t>
      </w:r>
      <w:r w:rsidR="006131C6" w:rsidRPr="003B5B09">
        <w:rPr>
          <w:rFonts w:ascii="Times New Roman" w:hAnsi="Times New Roman" w:cs="Times New Roman"/>
          <w:sz w:val="26"/>
          <w:szCs w:val="26"/>
        </w:rPr>
        <w:t>3.6.3.4.</w:t>
      </w:r>
      <w:r w:rsidR="006E5B92" w:rsidRPr="003B5B09">
        <w:rPr>
          <w:rFonts w:ascii="Times New Roman" w:hAnsi="Times New Roman" w:cs="Times New Roman"/>
          <w:sz w:val="26"/>
          <w:szCs w:val="26"/>
        </w:rPr>
        <w:t>2</w:t>
      </w:r>
      <w:r w:rsidR="006131C6" w:rsidRPr="003B5B09">
        <w:rPr>
          <w:rFonts w:ascii="Times New Roman" w:hAnsi="Times New Roman" w:cs="Times New Roman"/>
          <w:sz w:val="26"/>
          <w:szCs w:val="26"/>
        </w:rPr>
        <w:t xml:space="preserve"> </w:t>
      </w:r>
      <w:r w:rsidRPr="003B5B09">
        <w:rPr>
          <w:rFonts w:ascii="Times New Roman" w:hAnsi="Times New Roman" w:cs="Times New Roman"/>
          <w:sz w:val="26"/>
          <w:szCs w:val="26"/>
        </w:rPr>
        <w:t>- Значения t-критерия Стьюдента, средней ошибки аппроксимации, коэффициента детерминации R</w:t>
      </w:r>
      <w:r w:rsidRPr="003B5B09">
        <w:rPr>
          <w:rFonts w:ascii="Times New Roman" w:hAnsi="Times New Roman" w:cs="Times New Roman"/>
          <w:sz w:val="26"/>
          <w:szCs w:val="26"/>
          <w:vertAlign w:val="superscript"/>
        </w:rPr>
        <w:t>2</w:t>
      </w:r>
      <w:r w:rsidRPr="003B5B09">
        <w:rPr>
          <w:rFonts w:ascii="Times New Roman" w:hAnsi="Times New Roman" w:cs="Times New Roman"/>
          <w:sz w:val="26"/>
          <w:szCs w:val="26"/>
        </w:rPr>
        <w:t xml:space="preserve"> и F-критерия Фишера</w:t>
      </w:r>
    </w:p>
    <w:p w14:paraId="4A47DB14"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Показатели R</w:t>
      </w:r>
      <w:r w:rsidRPr="003B5B09">
        <w:rPr>
          <w:rFonts w:ascii="Times New Roman" w:hAnsi="Times New Roman" w:cs="Times New Roman"/>
          <w:sz w:val="26"/>
          <w:szCs w:val="26"/>
          <w:vertAlign w:val="superscript"/>
        </w:rPr>
        <w:t>2</w:t>
      </w:r>
      <w:r w:rsidRPr="003B5B09">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41AC6E2D" w14:textId="77777777" w:rsidR="002861FC" w:rsidRPr="003B5B09" w:rsidRDefault="002861FC" w:rsidP="002861FC">
      <w:pPr>
        <w:pStyle w:val="ConsPlusNormal"/>
        <w:spacing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0F0B7B02" w14:textId="77777777" w:rsidR="002861FC" w:rsidRPr="003B5B09" w:rsidRDefault="002861FC" w:rsidP="002861FC">
      <w:pPr>
        <w:spacing w:after="0"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3B5B09">
        <w:rPr>
          <w:rFonts w:ascii="Times New Roman" w:hAnsi="Times New Roman" w:cs="Times New Roman"/>
          <w:sz w:val="26"/>
          <w:szCs w:val="26"/>
          <w:lang w:val="en-US"/>
        </w:rPr>
        <w:t>F</w:t>
      </w:r>
      <w:r w:rsidRPr="003B5B09">
        <w:rPr>
          <w:rFonts w:ascii="Times New Roman" w:hAnsi="Times New Roman" w:cs="Times New Roman"/>
          <w:sz w:val="26"/>
          <w:szCs w:val="26"/>
        </w:rPr>
        <w:t xml:space="preserve">-критерию Фишера. Статистики </w:t>
      </w:r>
      <w:r w:rsidRPr="003B5B09">
        <w:rPr>
          <w:rFonts w:ascii="Times New Roman" w:hAnsi="Times New Roman" w:cs="Times New Roman"/>
          <w:sz w:val="26"/>
          <w:szCs w:val="26"/>
          <w:lang w:val="en-US"/>
        </w:rPr>
        <w:t>F</w:t>
      </w:r>
      <w:r w:rsidRPr="003B5B09">
        <w:rPr>
          <w:rFonts w:ascii="Times New Roman" w:hAnsi="Times New Roman" w:cs="Times New Roman"/>
          <w:sz w:val="26"/>
          <w:szCs w:val="26"/>
        </w:rPr>
        <w:t>-критерия Фишера</w:t>
      </w:r>
      <w:r w:rsidRPr="003B5B09">
        <w:rPr>
          <w:rFonts w:ascii="Times New Roman" w:hAnsi="Times New Roman" w:cs="Times New Roman"/>
          <w:sz w:val="26"/>
          <w:szCs w:val="26"/>
          <w:lang w:val="en-US"/>
        </w:rPr>
        <w:t xml:space="preserve"> </w:t>
      </w:r>
      <w:r w:rsidRPr="003B5B09">
        <w:rPr>
          <w:rFonts w:ascii="Times New Roman" w:hAnsi="Times New Roman" w:cs="Times New Roman"/>
          <w:sz w:val="26"/>
          <w:szCs w:val="26"/>
        </w:rPr>
        <w:t>равны:</w:t>
      </w:r>
    </w:p>
    <w:p w14:paraId="467ABA37" w14:textId="4EC692E8" w:rsidR="002861FC" w:rsidRPr="003B5B09" w:rsidRDefault="00262211" w:rsidP="002861FC">
      <w:pPr>
        <w:spacing w:after="0" w:line="276" w:lineRule="auto"/>
        <w:jc w:val="center"/>
        <w:rPr>
          <w:rFonts w:ascii="Times New Roman" w:hAnsi="Times New Roman" w:cs="Times New Roman"/>
          <w:sz w:val="26"/>
          <w:szCs w:val="26"/>
          <w:lang w:val="en-US"/>
        </w:rPr>
      </w:pPr>
      <w:r w:rsidRPr="00105E60">
        <w:rPr>
          <w:noProof/>
          <w:lang w:eastAsia="ru-RU"/>
        </w:rPr>
        <w:drawing>
          <wp:inline distT="0" distB="0" distL="0" distR="0" wp14:anchorId="31C335BD" wp14:editId="28F15E97">
            <wp:extent cx="3067478" cy="1009791"/>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3067478" cy="1009791"/>
                    </a:xfrm>
                    <a:prstGeom prst="rect">
                      <a:avLst/>
                    </a:prstGeom>
                  </pic:spPr>
                </pic:pic>
              </a:graphicData>
            </a:graphic>
          </wp:inline>
        </w:drawing>
      </w:r>
    </w:p>
    <w:p w14:paraId="6D46BC8D" w14:textId="1857AC86" w:rsidR="002861FC" w:rsidRPr="003B5B09" w:rsidRDefault="002861FC" w:rsidP="002861FC">
      <w:pPr>
        <w:spacing w:line="276" w:lineRule="auto"/>
        <w:ind w:firstLine="709"/>
        <w:jc w:val="center"/>
        <w:rPr>
          <w:rFonts w:ascii="Times New Roman" w:hAnsi="Times New Roman" w:cs="Times New Roman"/>
          <w:sz w:val="26"/>
          <w:szCs w:val="26"/>
        </w:rPr>
      </w:pPr>
      <w:r w:rsidRPr="003B5B09">
        <w:rPr>
          <w:rFonts w:ascii="Times New Roman" w:hAnsi="Times New Roman" w:cs="Times New Roman"/>
          <w:sz w:val="26"/>
          <w:szCs w:val="26"/>
        </w:rPr>
        <w:t>Рис. 3.6.3.</w:t>
      </w:r>
      <w:r w:rsidR="0006435E" w:rsidRPr="003B5B09">
        <w:rPr>
          <w:rFonts w:ascii="Times New Roman" w:hAnsi="Times New Roman" w:cs="Times New Roman"/>
          <w:sz w:val="26"/>
          <w:szCs w:val="26"/>
        </w:rPr>
        <w:t>4</w:t>
      </w:r>
      <w:r w:rsidRPr="003B5B09">
        <w:rPr>
          <w:rFonts w:ascii="Times New Roman" w:hAnsi="Times New Roman" w:cs="Times New Roman"/>
          <w:sz w:val="26"/>
          <w:szCs w:val="26"/>
        </w:rPr>
        <w:t>.</w:t>
      </w:r>
      <w:r w:rsidR="006E5B92" w:rsidRPr="003B5B09">
        <w:rPr>
          <w:rFonts w:ascii="Times New Roman" w:hAnsi="Times New Roman" w:cs="Times New Roman"/>
          <w:sz w:val="26"/>
          <w:szCs w:val="26"/>
        </w:rPr>
        <w:t>3</w:t>
      </w:r>
      <w:r w:rsidRPr="003B5B09">
        <w:rPr>
          <w:rFonts w:ascii="Times New Roman" w:hAnsi="Times New Roman" w:cs="Times New Roman"/>
          <w:sz w:val="26"/>
          <w:szCs w:val="26"/>
        </w:rPr>
        <w:t xml:space="preserve"> - Значения F-критерия Фишера</w:t>
      </w:r>
    </w:p>
    <w:p w14:paraId="4DBC4EA1" w14:textId="77777777" w:rsidR="002861FC" w:rsidRPr="003B5B09" w:rsidRDefault="002861FC" w:rsidP="002861FC">
      <w:pPr>
        <w:spacing w:after="0" w:line="276" w:lineRule="auto"/>
        <w:ind w:firstLine="567"/>
        <w:jc w:val="both"/>
        <w:rPr>
          <w:rFonts w:ascii="Times New Roman" w:hAnsi="Times New Roman" w:cs="Times New Roman"/>
          <w:sz w:val="26"/>
          <w:szCs w:val="26"/>
        </w:rPr>
      </w:pPr>
      <w:r w:rsidRPr="003B5B09">
        <w:rPr>
          <w:rFonts w:ascii="Times New Roman" w:hAnsi="Times New Roman" w:cs="Times New Roman"/>
          <w:sz w:val="26"/>
          <w:szCs w:val="26"/>
        </w:rPr>
        <w:t xml:space="preserve">Из сравнения </w:t>
      </w:r>
      <w:r w:rsidRPr="003B5B09">
        <w:rPr>
          <w:rFonts w:ascii="Times New Roman" w:hAnsi="Times New Roman" w:cs="Times New Roman"/>
          <w:sz w:val="26"/>
          <w:szCs w:val="26"/>
          <w:lang w:val="en-US"/>
        </w:rPr>
        <w:t>F</w:t>
      </w:r>
      <w:r w:rsidRPr="003B5B09">
        <w:rPr>
          <w:rFonts w:ascii="Times New Roman" w:hAnsi="Times New Roman" w:cs="Times New Roman"/>
          <w:sz w:val="26"/>
          <w:szCs w:val="26"/>
        </w:rPr>
        <w:t xml:space="preserve">-статистики с ее критическим значением на уровне значимости α=0,05 доказано, что все три модели адекватно описывают статистические данные и их можно использовать для анализа и прогнозирования кадастровой стоимости (результативного признака). </w:t>
      </w:r>
    </w:p>
    <w:p w14:paraId="4C21556C" w14:textId="77777777" w:rsidR="002861FC" w:rsidRPr="003B5B09" w:rsidRDefault="002861FC" w:rsidP="002861FC">
      <w:pPr>
        <w:spacing w:after="0"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 xml:space="preserve">Наибольшее значение </w:t>
      </w:r>
      <w:r w:rsidRPr="003B5B09">
        <w:rPr>
          <w:rFonts w:ascii="Times New Roman" w:hAnsi="Times New Roman" w:cs="Times New Roman"/>
          <w:sz w:val="26"/>
          <w:szCs w:val="26"/>
          <w:lang w:val="en-US"/>
        </w:rPr>
        <w:t>F</w:t>
      </w:r>
      <w:r w:rsidRPr="003B5B09">
        <w:rPr>
          <w:rFonts w:ascii="Times New Roman" w:hAnsi="Times New Roman" w:cs="Times New Roman"/>
          <w:sz w:val="26"/>
          <w:szCs w:val="26"/>
        </w:rPr>
        <w:t>-статистики имеет аддитивная модель, однако было учтено то, что она построена на основании ограниченной выборочной совокупности и адекватна на ограниченных интервалах независимых переменных. При расширении исходных данных прогнозное значение кадастровой стоимости может перейти в отрицательную область, что противоречит ее смыслу. Исходя из этого, для прогнозирования рационально выбрать экспоненциальную модель, которая всегда дает положительный прогноз. Экспоненциальная регрессионная модель имеет вид:</w:t>
      </w:r>
    </w:p>
    <w:p w14:paraId="11AAC365" w14:textId="6FF5F924" w:rsidR="002861FC" w:rsidRPr="003B5B09" w:rsidRDefault="002861FC" w:rsidP="00262211">
      <w:pPr>
        <w:ind w:firstLine="709"/>
        <w:jc w:val="both"/>
        <w:rPr>
          <w:rFonts w:ascii="Times New Roman" w:hAnsi="Times New Roman" w:cs="Times New Roman"/>
          <w:sz w:val="26"/>
          <w:szCs w:val="26"/>
        </w:rPr>
      </w:pPr>
      <w:r w:rsidRPr="003B5B09">
        <w:rPr>
          <w:rFonts w:ascii="Times New Roman" w:hAnsi="Times New Roman" w:cs="Times New Roman"/>
          <w:i/>
          <w:sz w:val="26"/>
          <w:szCs w:val="26"/>
        </w:rPr>
        <w:t xml:space="preserve">УПКС = </w:t>
      </w:r>
      <w:r w:rsidR="00262211" w:rsidRPr="00262211">
        <w:rPr>
          <w:rFonts w:ascii="Times New Roman" w:hAnsi="Times New Roman" w:cs="Times New Roman"/>
          <w:i/>
          <w:sz w:val="26"/>
          <w:szCs w:val="26"/>
        </w:rPr>
        <w:t>301.782048269126*e^(+0.000101059743704859*__Численность населения в населенном пункте+0.645508696071778*([СНП Наличие в населенном пункте или вблизи (до 1 км) остановок общественного транспорта])</w:t>
      </w:r>
      <w:r w:rsidR="00262211">
        <w:rPr>
          <w:rFonts w:ascii="Times New Roman" w:hAnsi="Times New Roman" w:cs="Times New Roman"/>
          <w:i/>
          <w:sz w:val="26"/>
          <w:szCs w:val="26"/>
        </w:rPr>
        <w:t xml:space="preserve"> </w:t>
      </w:r>
      <w:r w:rsidR="00262211" w:rsidRPr="00262211">
        <w:rPr>
          <w:rFonts w:ascii="Times New Roman" w:hAnsi="Times New Roman" w:cs="Times New Roman"/>
          <w:i/>
          <w:sz w:val="26"/>
          <w:szCs w:val="26"/>
        </w:rPr>
        <w:t>+0.00422596452440026*((78.00+-13.00-СНП Расстояние от населенного пункта до центра муниципального района (городского округа)))</w:t>
      </w:r>
      <w:r w:rsidR="00262211">
        <w:rPr>
          <w:rFonts w:ascii="Times New Roman" w:hAnsi="Times New Roman" w:cs="Times New Roman"/>
          <w:i/>
          <w:sz w:val="26"/>
          <w:szCs w:val="26"/>
        </w:rPr>
        <w:t xml:space="preserve"> </w:t>
      </w:r>
      <w:r w:rsidR="00262211" w:rsidRPr="00262211">
        <w:rPr>
          <w:rFonts w:ascii="Times New Roman" w:hAnsi="Times New Roman" w:cs="Times New Roman"/>
          <w:i/>
          <w:sz w:val="26"/>
          <w:szCs w:val="26"/>
        </w:rPr>
        <w:t>+0.00175182891182731</w:t>
      </w:r>
      <w:r w:rsidR="00C654CB">
        <w:rPr>
          <w:rFonts w:ascii="Times New Roman" w:hAnsi="Times New Roman" w:cs="Times New Roman"/>
          <w:i/>
          <w:sz w:val="26"/>
          <w:szCs w:val="26"/>
        </w:rPr>
        <w:t xml:space="preserve"> </w:t>
      </w:r>
      <w:r w:rsidR="00262211" w:rsidRPr="00262211">
        <w:rPr>
          <w:rFonts w:ascii="Times New Roman" w:hAnsi="Times New Roman" w:cs="Times New Roman"/>
          <w:i/>
          <w:sz w:val="26"/>
          <w:szCs w:val="26"/>
        </w:rPr>
        <w:t>*((365.00+-38.00-СНП Расстояние от населенного пункта до центра субъекта РФ (г. Воронеж))))</w:t>
      </w:r>
    </w:p>
    <w:p w14:paraId="7D3C4948" w14:textId="61A10950" w:rsidR="00262211" w:rsidRDefault="00262211" w:rsidP="002861FC">
      <w:pPr>
        <w:spacing w:after="0" w:line="276" w:lineRule="auto"/>
        <w:jc w:val="center"/>
        <w:rPr>
          <w:rFonts w:ascii="Times New Roman" w:hAnsi="Times New Roman" w:cs="Times New Roman"/>
          <w:sz w:val="26"/>
          <w:szCs w:val="26"/>
        </w:rPr>
      </w:pPr>
      <w:r w:rsidRPr="00105E60">
        <w:rPr>
          <w:noProof/>
          <w:lang w:eastAsia="ru-RU"/>
        </w:rPr>
        <w:drawing>
          <wp:inline distT="0" distB="0" distL="0" distR="0" wp14:anchorId="20D49475" wp14:editId="25199620">
            <wp:extent cx="5939790" cy="3700384"/>
            <wp:effectExtent l="0" t="0" r="381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5939790" cy="3700384"/>
                    </a:xfrm>
                    <a:prstGeom prst="rect">
                      <a:avLst/>
                    </a:prstGeom>
                  </pic:spPr>
                </pic:pic>
              </a:graphicData>
            </a:graphic>
          </wp:inline>
        </w:drawing>
      </w:r>
    </w:p>
    <w:p w14:paraId="5F16BB07" w14:textId="12CDD39F" w:rsidR="002861FC" w:rsidRPr="003B5B09" w:rsidRDefault="002861FC" w:rsidP="002861FC">
      <w:pPr>
        <w:spacing w:after="0" w:line="276" w:lineRule="auto"/>
        <w:jc w:val="center"/>
        <w:rPr>
          <w:rFonts w:ascii="Times New Roman" w:hAnsi="Times New Roman" w:cs="Times New Roman"/>
          <w:sz w:val="26"/>
          <w:szCs w:val="26"/>
        </w:rPr>
      </w:pPr>
      <w:r w:rsidRPr="003B5B09">
        <w:rPr>
          <w:rFonts w:ascii="Times New Roman" w:hAnsi="Times New Roman" w:cs="Times New Roman"/>
          <w:sz w:val="26"/>
          <w:szCs w:val="26"/>
        </w:rPr>
        <w:t>Рис. 3.6.3.</w:t>
      </w:r>
      <w:r w:rsidR="0006435E" w:rsidRPr="003B5B09">
        <w:rPr>
          <w:rFonts w:ascii="Times New Roman" w:hAnsi="Times New Roman" w:cs="Times New Roman"/>
          <w:sz w:val="26"/>
          <w:szCs w:val="26"/>
        </w:rPr>
        <w:t>4</w:t>
      </w:r>
      <w:r w:rsidRPr="003B5B09">
        <w:rPr>
          <w:rFonts w:ascii="Times New Roman" w:hAnsi="Times New Roman" w:cs="Times New Roman"/>
          <w:sz w:val="26"/>
          <w:szCs w:val="26"/>
        </w:rPr>
        <w:t>.</w:t>
      </w:r>
      <w:r w:rsidR="006E5B92" w:rsidRPr="003B5B09">
        <w:rPr>
          <w:rFonts w:ascii="Times New Roman" w:hAnsi="Times New Roman" w:cs="Times New Roman"/>
          <w:sz w:val="26"/>
          <w:szCs w:val="26"/>
        </w:rPr>
        <w:t>4</w:t>
      </w:r>
      <w:r w:rsidRPr="003B5B09">
        <w:rPr>
          <w:rFonts w:ascii="Times New Roman" w:hAnsi="Times New Roman" w:cs="Times New Roman"/>
          <w:sz w:val="26"/>
          <w:szCs w:val="26"/>
        </w:rPr>
        <w:t xml:space="preserve"> - Характеристика экспоненциальной модели и анализ качества выборки</w:t>
      </w:r>
    </w:p>
    <w:p w14:paraId="0611E45F" w14:textId="074AC086" w:rsidR="002861FC" w:rsidRPr="003B5B09" w:rsidRDefault="002861FC" w:rsidP="002861FC">
      <w:pPr>
        <w:spacing w:after="0" w:line="276" w:lineRule="auto"/>
        <w:ind w:firstLine="709"/>
        <w:jc w:val="both"/>
        <w:rPr>
          <w:rFonts w:ascii="Times New Roman" w:hAnsi="Times New Roman" w:cs="Times New Roman"/>
          <w:sz w:val="26"/>
          <w:szCs w:val="26"/>
        </w:rPr>
      </w:pPr>
      <w:r w:rsidRPr="003B5B09">
        <w:rPr>
          <w:rFonts w:ascii="Times New Roman" w:hAnsi="Times New Roman" w:cs="Times New Roman"/>
          <w:sz w:val="26"/>
          <w:szCs w:val="26"/>
        </w:rPr>
        <w:t xml:space="preserve">Как видно из статистических показателей, представленных выше, все коэффициенты регрессионной модели значимые. </w:t>
      </w:r>
      <w:r w:rsidR="00F614E4" w:rsidRPr="00F562A8">
        <w:rPr>
          <w:rFonts w:ascii="Times New Roman" w:hAnsi="Times New Roman" w:cs="Times New Roman"/>
          <w:sz w:val="26"/>
          <w:szCs w:val="26"/>
        </w:rPr>
        <w:t>Связь между факторами Х</w:t>
      </w:r>
      <w:r w:rsidR="00F614E4">
        <w:rPr>
          <w:rFonts w:ascii="Times New Roman" w:hAnsi="Times New Roman" w:cs="Times New Roman"/>
          <w:sz w:val="26"/>
          <w:szCs w:val="26"/>
          <w:vertAlign w:val="subscript"/>
        </w:rPr>
        <w:t>2</w:t>
      </w:r>
      <w:r w:rsidR="00F614E4" w:rsidRPr="00F562A8">
        <w:rPr>
          <w:rFonts w:ascii="Times New Roman" w:hAnsi="Times New Roman" w:cs="Times New Roman"/>
          <w:sz w:val="26"/>
          <w:szCs w:val="26"/>
          <w:vertAlign w:val="subscript"/>
        </w:rPr>
        <w:t xml:space="preserve"> </w:t>
      </w:r>
      <w:r w:rsidR="00F614E4" w:rsidRPr="00F562A8">
        <w:rPr>
          <w:rFonts w:ascii="Times New Roman" w:hAnsi="Times New Roman" w:cs="Times New Roman"/>
          <w:sz w:val="26"/>
          <w:szCs w:val="26"/>
        </w:rPr>
        <w:t>и Х</w:t>
      </w:r>
      <w:r w:rsidR="00F614E4">
        <w:rPr>
          <w:rFonts w:ascii="Times New Roman" w:hAnsi="Times New Roman" w:cs="Times New Roman"/>
          <w:sz w:val="26"/>
          <w:szCs w:val="26"/>
          <w:vertAlign w:val="subscript"/>
        </w:rPr>
        <w:t>3</w:t>
      </w:r>
      <w:r w:rsidR="00F614E4" w:rsidRPr="00F562A8">
        <w:rPr>
          <w:rFonts w:ascii="Times New Roman" w:hAnsi="Times New Roman" w:cs="Times New Roman"/>
          <w:sz w:val="26"/>
          <w:szCs w:val="26"/>
        </w:rPr>
        <w:t xml:space="preserve"> и кадастровой стоимостью обратная, то есть при росте этих факторов кадастровая стоимость уменьшается. Влияние фактор</w:t>
      </w:r>
      <w:r w:rsidR="00F614E4">
        <w:rPr>
          <w:rFonts w:ascii="Times New Roman" w:hAnsi="Times New Roman" w:cs="Times New Roman"/>
          <w:sz w:val="26"/>
          <w:szCs w:val="26"/>
        </w:rPr>
        <w:t xml:space="preserve">а </w:t>
      </w:r>
      <w:r w:rsidR="00F614E4" w:rsidRPr="00F562A8">
        <w:rPr>
          <w:rFonts w:ascii="Times New Roman" w:hAnsi="Times New Roman" w:cs="Times New Roman"/>
          <w:sz w:val="26"/>
          <w:szCs w:val="26"/>
        </w:rPr>
        <w:t>Х</w:t>
      </w:r>
      <w:r w:rsidR="00F614E4">
        <w:rPr>
          <w:rFonts w:ascii="Times New Roman" w:hAnsi="Times New Roman" w:cs="Times New Roman"/>
          <w:sz w:val="26"/>
          <w:szCs w:val="26"/>
          <w:vertAlign w:val="subscript"/>
        </w:rPr>
        <w:t xml:space="preserve">о </w:t>
      </w:r>
      <w:r w:rsidR="00F614E4" w:rsidRPr="00F562A8">
        <w:rPr>
          <w:rFonts w:ascii="Times New Roman" w:hAnsi="Times New Roman" w:cs="Times New Roman"/>
          <w:sz w:val="26"/>
          <w:szCs w:val="26"/>
        </w:rPr>
        <w:t>на кадастровую стоимость прямое и с ростом фактор</w:t>
      </w:r>
      <w:r w:rsidR="00F614E4">
        <w:rPr>
          <w:rFonts w:ascii="Times New Roman" w:hAnsi="Times New Roman" w:cs="Times New Roman"/>
          <w:sz w:val="26"/>
          <w:szCs w:val="26"/>
        </w:rPr>
        <w:t>а</w:t>
      </w:r>
      <w:r w:rsidR="00F614E4" w:rsidRPr="00F562A8">
        <w:rPr>
          <w:rFonts w:ascii="Times New Roman" w:hAnsi="Times New Roman" w:cs="Times New Roman"/>
          <w:sz w:val="26"/>
          <w:szCs w:val="26"/>
        </w:rPr>
        <w:t xml:space="preserve"> кадастровая стоимость растет</w:t>
      </w:r>
      <w:r w:rsidRPr="003B5B09">
        <w:rPr>
          <w:rFonts w:ascii="Times New Roman" w:hAnsi="Times New Roman" w:cs="Times New Roman"/>
          <w:sz w:val="26"/>
          <w:szCs w:val="26"/>
        </w:rPr>
        <w:t>. 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345EB53C" w14:textId="1389A5AA" w:rsidR="0013778A" w:rsidRDefault="00634E9D" w:rsidP="002861FC">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2D6F65" w:rsidRPr="009E7344">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/2.4.3.</w:t>
      </w:r>
    </w:p>
    <w:p w14:paraId="30F47DCC" w14:textId="6D13F0D9" w:rsidR="0013778A" w:rsidRDefault="0013778A">
      <w:pPr>
        <w:rPr>
          <w:rFonts w:ascii="Times New Roman" w:eastAsiaTheme="minorEastAsia" w:hAnsi="Times New Roman" w:cs="Times New Roman"/>
          <w:sz w:val="26"/>
          <w:szCs w:val="26"/>
        </w:rPr>
      </w:pPr>
    </w:p>
    <w:p w14:paraId="676DE7FB" w14:textId="75206EB1" w:rsidR="00306BF5" w:rsidRPr="006F1997" w:rsidRDefault="00B15076" w:rsidP="002D4BEA">
      <w:pPr>
        <w:pStyle w:val="ab"/>
        <w:ind w:left="0"/>
        <w:jc w:val="center"/>
        <w:outlineLvl w:val="2"/>
        <w:rPr>
          <w:rFonts w:ascii="Times New Roman" w:hAnsi="Times New Roman" w:cs="Times New Roman"/>
          <w:i/>
          <w:sz w:val="26"/>
          <w:szCs w:val="26"/>
        </w:rPr>
      </w:pPr>
      <w:bookmarkStart w:id="207" w:name="_Toc110506973"/>
      <w:bookmarkStart w:id="208" w:name="_Hlk41990232"/>
      <w:r w:rsidRPr="00C16B1E">
        <w:rPr>
          <w:rFonts w:ascii="Times New Roman" w:hAnsi="Times New Roman" w:cs="Times New Roman"/>
          <w:i/>
          <w:sz w:val="26"/>
          <w:szCs w:val="26"/>
        </w:rPr>
        <w:t>3.6.3.</w:t>
      </w:r>
      <w:r w:rsidR="00B11E8D" w:rsidRPr="00C16B1E">
        <w:rPr>
          <w:rFonts w:ascii="Times New Roman" w:hAnsi="Times New Roman" w:cs="Times New Roman"/>
          <w:i/>
          <w:sz w:val="26"/>
          <w:szCs w:val="26"/>
        </w:rPr>
        <w:t>5</w:t>
      </w:r>
      <w:r w:rsidRPr="00C16B1E">
        <w:rPr>
          <w:rFonts w:ascii="Times New Roman" w:hAnsi="Times New Roman" w:cs="Times New Roman"/>
          <w:i/>
          <w:sz w:val="26"/>
          <w:szCs w:val="26"/>
        </w:rPr>
        <w:t xml:space="preserve">. </w:t>
      </w:r>
      <w:r w:rsidR="00306BF5" w:rsidRPr="00C16B1E">
        <w:rPr>
          <w:rFonts w:ascii="Times New Roman" w:hAnsi="Times New Roman" w:cs="Times New Roman"/>
          <w:i/>
          <w:sz w:val="26"/>
          <w:szCs w:val="26"/>
        </w:rPr>
        <w:t>Расчет</w:t>
      </w:r>
      <w:r w:rsidR="00306BF5" w:rsidRPr="006F1997">
        <w:rPr>
          <w:rFonts w:ascii="Times New Roman" w:hAnsi="Times New Roman" w:cs="Times New Roman"/>
          <w:i/>
          <w:sz w:val="26"/>
          <w:szCs w:val="26"/>
        </w:rPr>
        <w:t xml:space="preserve"> кадастровой стоимости земельных участков группы </w:t>
      </w:r>
      <w:r w:rsidR="001A244B" w:rsidRPr="006F1997">
        <w:rPr>
          <w:rFonts w:ascii="Times New Roman" w:hAnsi="Times New Roman" w:cs="Times New Roman"/>
          <w:i/>
          <w:sz w:val="26"/>
          <w:szCs w:val="26"/>
        </w:rPr>
        <w:t>СОЦ/</w:t>
      </w:r>
      <w:r w:rsidR="00B435C6" w:rsidRPr="006F1997">
        <w:rPr>
          <w:rFonts w:ascii="Times New Roman" w:hAnsi="Times New Roman" w:cs="Times New Roman"/>
          <w:i/>
          <w:sz w:val="26"/>
          <w:szCs w:val="26"/>
        </w:rPr>
        <w:t>Памятники</w:t>
      </w:r>
      <w:bookmarkEnd w:id="207"/>
    </w:p>
    <w:p w14:paraId="7E697E31" w14:textId="5DF6F847" w:rsidR="00306BF5" w:rsidRPr="006F1997" w:rsidRDefault="00306BF5" w:rsidP="006F6435">
      <w:pPr>
        <w:spacing w:after="0" w:line="276" w:lineRule="auto"/>
        <w:ind w:firstLine="567"/>
        <w:jc w:val="both"/>
        <w:rPr>
          <w:rFonts w:ascii="Times New Roman" w:eastAsiaTheme="minorEastAsia" w:hAnsi="Times New Roman" w:cs="Times New Roman"/>
          <w:sz w:val="26"/>
          <w:szCs w:val="26"/>
        </w:rPr>
      </w:pPr>
      <w:bookmarkStart w:id="209" w:name="_Toc14102073"/>
      <w:r w:rsidRPr="006F1997">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2D6F65" w:rsidRPr="009E7344">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/2.4.3.</w:t>
      </w:r>
    </w:p>
    <w:p w14:paraId="0F8BE65C" w14:textId="1020DAF8" w:rsidR="00C04303" w:rsidRDefault="00C04303" w:rsidP="00F63CCD">
      <w:pPr>
        <w:spacing w:after="0" w:line="276" w:lineRule="auto"/>
        <w:ind w:firstLine="567"/>
        <w:jc w:val="both"/>
        <w:rPr>
          <w:rFonts w:ascii="Times New Roman" w:eastAsiaTheme="minorEastAsia" w:hAnsi="Times New Roman" w:cs="Times New Roman"/>
          <w:sz w:val="26"/>
          <w:szCs w:val="26"/>
        </w:rPr>
      </w:pPr>
      <w:r>
        <w:rPr>
          <w:rFonts w:ascii="Times New Roman" w:hAnsi="Times New Roman" w:cs="Times New Roman"/>
          <w:sz w:val="26"/>
          <w:szCs w:val="26"/>
        </w:rPr>
        <w:t xml:space="preserve">В состав группы </w:t>
      </w:r>
      <w:r w:rsidRPr="00F72A6D">
        <w:rPr>
          <w:rFonts w:ascii="Times New Roman" w:hAnsi="Times New Roman" w:cs="Times New Roman"/>
          <w:sz w:val="26"/>
          <w:szCs w:val="26"/>
        </w:rPr>
        <w:t>СОЦ/</w:t>
      </w:r>
      <w:r>
        <w:rPr>
          <w:rFonts w:ascii="Times New Roman" w:hAnsi="Times New Roman" w:cs="Times New Roman"/>
          <w:sz w:val="26"/>
          <w:szCs w:val="26"/>
        </w:rPr>
        <w:t>Памятники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C04303">
        <w:t xml:space="preserve"> </w:t>
      </w:r>
      <w:r w:rsidRPr="00C04303">
        <w:rPr>
          <w:rFonts w:ascii="Times New Roman" w:hAnsi="Times New Roman" w:cs="Times New Roman"/>
          <w:sz w:val="26"/>
          <w:szCs w:val="26"/>
        </w:rPr>
        <w:t>09:030</w:t>
      </w:r>
      <w:r>
        <w:rPr>
          <w:rFonts w:ascii="Times New Roman" w:hAnsi="Times New Roman" w:cs="Times New Roman"/>
          <w:sz w:val="26"/>
          <w:szCs w:val="26"/>
        </w:rPr>
        <w:t>.</w:t>
      </w:r>
    </w:p>
    <w:p w14:paraId="7152A7C8" w14:textId="7A1EED8B" w:rsidR="000C574B" w:rsidRPr="000F4B7E" w:rsidRDefault="00306BF5" w:rsidP="00F63CCD">
      <w:pPr>
        <w:spacing w:after="0" w:line="276" w:lineRule="auto"/>
        <w:ind w:firstLine="567"/>
        <w:jc w:val="both"/>
        <w:rPr>
          <w:rFonts w:ascii="Times New Roman" w:eastAsiaTheme="minorEastAsia" w:hAnsi="Times New Roman" w:cs="Times New Roman"/>
          <w:i/>
          <w:sz w:val="26"/>
          <w:szCs w:val="26"/>
        </w:rPr>
      </w:pPr>
      <w:r w:rsidRPr="006F1997">
        <w:rPr>
          <w:rFonts w:ascii="Times New Roman" w:eastAsiaTheme="minorEastAsia" w:hAnsi="Times New Roman" w:cs="Times New Roman"/>
          <w:sz w:val="26"/>
          <w:szCs w:val="26"/>
        </w:rPr>
        <w:t xml:space="preserve">Расчет земельных участков, отнесенных к группе </w:t>
      </w:r>
      <w:r w:rsidR="001A244B" w:rsidRPr="006F1997">
        <w:rPr>
          <w:rFonts w:ascii="Times New Roman" w:hAnsi="Times New Roman" w:cs="Times New Roman"/>
          <w:sz w:val="26"/>
          <w:szCs w:val="26"/>
        </w:rPr>
        <w:t>СОЦ/Памятники</w:t>
      </w:r>
      <w:r w:rsidRPr="006F1997">
        <w:rPr>
          <w:rFonts w:ascii="Times New Roman" w:eastAsiaTheme="minorEastAsia" w:hAnsi="Times New Roman" w:cs="Times New Roman"/>
          <w:sz w:val="26"/>
          <w:szCs w:val="26"/>
        </w:rPr>
        <w:t xml:space="preserve"> (памятники истории и культуры, в том числе: объекты археологического наследия, достопримечательные места, места бытования исторических промыслов, производств и ремесел, недействующие военные и гражданских захоронений, объекты культурного наследия, хозяйственная деятельность, являющаяся историческим </w:t>
      </w:r>
      <w:r w:rsidRPr="00F63CCD">
        <w:rPr>
          <w:rFonts w:ascii="Times New Roman" w:eastAsiaTheme="minorEastAsia" w:hAnsi="Times New Roman" w:cs="Times New Roman"/>
          <w:sz w:val="26"/>
          <w:szCs w:val="26"/>
        </w:rPr>
        <w:t>промыслом или ремеслом) проводился в соответствии с п. 7.1.2 Указаний в рамках затратного подхода</w:t>
      </w:r>
      <w:r w:rsidR="00F63CCD" w:rsidRPr="00F63CCD">
        <w:rPr>
          <w:rFonts w:ascii="Times New Roman" w:eastAsiaTheme="minorEastAsia" w:hAnsi="Times New Roman" w:cs="Times New Roman"/>
          <w:sz w:val="26"/>
          <w:szCs w:val="26"/>
        </w:rPr>
        <w:t xml:space="preserve">, </w:t>
      </w:r>
      <w:r w:rsidR="00F63CCD" w:rsidRPr="000F4B7E">
        <w:rPr>
          <w:rFonts w:ascii="Times New Roman" w:eastAsiaTheme="minorEastAsia" w:hAnsi="Times New Roman" w:cs="Times New Roman"/>
          <w:i/>
          <w:sz w:val="26"/>
          <w:szCs w:val="26"/>
        </w:rPr>
        <w:t xml:space="preserve">методом затрат на межевание и оформление прав на земельный участок и рассчитывается на основании данных межевых организаций о средней стоимости затрат на межевание и оформление прав на земельный участок. </w:t>
      </w:r>
    </w:p>
    <w:p w14:paraId="7F65AC3B" w14:textId="1160FF45" w:rsidR="00F63CCD" w:rsidRPr="000F4B7E" w:rsidRDefault="00F63CCD" w:rsidP="00F63CCD">
      <w:pPr>
        <w:spacing w:after="0" w:line="276" w:lineRule="auto"/>
        <w:ind w:firstLine="567"/>
        <w:jc w:val="both"/>
        <w:rPr>
          <w:rFonts w:ascii="Times New Roman" w:eastAsiaTheme="minorEastAsia" w:hAnsi="Times New Roman" w:cs="Times New Roman"/>
          <w:i/>
          <w:sz w:val="26"/>
          <w:szCs w:val="26"/>
        </w:rPr>
      </w:pPr>
      <w:r w:rsidRPr="000F4B7E">
        <w:rPr>
          <w:rFonts w:ascii="Times New Roman" w:eastAsiaTheme="minorEastAsia" w:hAnsi="Times New Roman" w:cs="Times New Roman"/>
          <w:i/>
          <w:sz w:val="26"/>
          <w:szCs w:val="26"/>
        </w:rPr>
        <w:t xml:space="preserve">Исключение составляют земельные участки площадью от 1 000 000 кв.м. Для данной группы затраты на межевание </w:t>
      </w:r>
      <w:r w:rsidR="0013778A">
        <w:rPr>
          <w:rFonts w:ascii="Times New Roman" w:eastAsiaTheme="minorEastAsia" w:hAnsi="Times New Roman" w:cs="Times New Roman"/>
          <w:i/>
          <w:sz w:val="26"/>
          <w:szCs w:val="26"/>
        </w:rPr>
        <w:t>приняты</w:t>
      </w:r>
      <w:r w:rsidRPr="000F4B7E">
        <w:rPr>
          <w:rFonts w:ascii="Times New Roman" w:eastAsiaTheme="minorEastAsia" w:hAnsi="Times New Roman" w:cs="Times New Roman"/>
          <w:i/>
          <w:sz w:val="26"/>
          <w:szCs w:val="26"/>
        </w:rPr>
        <w:t xml:space="preserve"> на основании данных представленных «Научно-производственное предприятие «Компьютерные технологии» (Исх. №412/БЕА/22 от 21.04.2022).</w:t>
      </w:r>
    </w:p>
    <w:p w14:paraId="68850F79" w14:textId="77777777" w:rsidR="00F63CCD" w:rsidRPr="00C72454" w:rsidRDefault="00F63CCD" w:rsidP="00F63CCD">
      <w:pPr>
        <w:spacing w:after="0" w:line="276" w:lineRule="auto"/>
        <w:ind w:firstLine="567"/>
        <w:jc w:val="both"/>
        <w:rPr>
          <w:rFonts w:ascii="Times New Roman" w:eastAsiaTheme="minorEastAsia" w:hAnsi="Times New Roman" w:cs="Times New Roman"/>
          <w:sz w:val="26"/>
          <w:szCs w:val="26"/>
        </w:rPr>
      </w:pPr>
      <w:r w:rsidRPr="00C72454">
        <w:rPr>
          <w:rFonts w:ascii="Times New Roman" w:eastAsiaTheme="minorEastAsia" w:hAnsi="Times New Roman" w:cs="Times New Roman"/>
          <w:sz w:val="26"/>
          <w:szCs w:val="26"/>
        </w:rPr>
        <w:t>В соответствии со ст.</w:t>
      </w:r>
      <w:r>
        <w:rPr>
          <w:rFonts w:ascii="Times New Roman" w:eastAsiaTheme="minorEastAsia" w:hAnsi="Times New Roman" w:cs="Times New Roman"/>
          <w:sz w:val="26"/>
          <w:szCs w:val="26"/>
        </w:rPr>
        <w:t xml:space="preserve"> </w:t>
      </w:r>
      <w:r w:rsidRPr="00C72454">
        <w:rPr>
          <w:rFonts w:ascii="Times New Roman" w:eastAsiaTheme="minorEastAsia" w:hAnsi="Times New Roman" w:cs="Times New Roman"/>
          <w:sz w:val="26"/>
          <w:szCs w:val="26"/>
        </w:rPr>
        <w:t>14 ФЗ от 13.07.15 N 218-ФЗ «О государственной регистрации недвижимости» основанием для осуществления государственного кадастрового учета объекта недвижимости, в том числе, являются межевой план, технический план или акт обследования, подготовленные в результате проведения кадастровых работ в установленном федеральным законом порядке, утвержденная в установленном федеральным законом порядке карта-план территории, подготовленная в результате выполнения комплексных кадастровых работ.</w:t>
      </w:r>
    </w:p>
    <w:p w14:paraId="53AF7397" w14:textId="77777777" w:rsidR="00F63CCD" w:rsidRPr="00C72454" w:rsidRDefault="00F63CCD" w:rsidP="00F63CCD">
      <w:pPr>
        <w:spacing w:after="0" w:line="300" w:lineRule="auto"/>
        <w:ind w:firstLine="567"/>
        <w:jc w:val="both"/>
        <w:rPr>
          <w:rFonts w:ascii="Times New Roman" w:eastAsiaTheme="minorEastAsia" w:hAnsi="Times New Roman" w:cs="Times New Roman"/>
          <w:sz w:val="26"/>
          <w:szCs w:val="26"/>
        </w:rPr>
      </w:pPr>
      <w:r w:rsidRPr="00C72454">
        <w:rPr>
          <w:rFonts w:ascii="Times New Roman" w:eastAsiaTheme="minorEastAsia" w:hAnsi="Times New Roman" w:cs="Times New Roman"/>
          <w:sz w:val="26"/>
          <w:szCs w:val="26"/>
        </w:rPr>
        <w:t>Т.е. для постановки на государственный кадастровый учет необходимо провести кадастровые работы. Таким образом, затраты на создание участка складываются из расходов на проведение межевания земельного участка и оформление прав на объект недвижимости.</w:t>
      </w:r>
    </w:p>
    <w:p w14:paraId="0CF25182" w14:textId="77777777" w:rsidR="00F63CCD" w:rsidRPr="00C72454" w:rsidRDefault="00F63CCD" w:rsidP="00F63CCD">
      <w:pPr>
        <w:spacing w:after="0" w:line="300" w:lineRule="auto"/>
        <w:ind w:firstLine="567"/>
        <w:jc w:val="both"/>
        <w:rPr>
          <w:rFonts w:ascii="Times New Roman" w:eastAsiaTheme="minorEastAsia" w:hAnsi="Times New Roman" w:cs="Times New Roman"/>
          <w:sz w:val="26"/>
          <w:szCs w:val="26"/>
        </w:rPr>
      </w:pPr>
      <w:r w:rsidRPr="00C72454">
        <w:rPr>
          <w:rFonts w:ascii="Times New Roman" w:eastAsiaTheme="minorEastAsia" w:hAnsi="Times New Roman" w:cs="Times New Roman"/>
          <w:sz w:val="26"/>
          <w:szCs w:val="26"/>
        </w:rPr>
        <w:t xml:space="preserve"> В соответствии с положениями действующего законодательства межевые работы имеют право проводить геодезические организации и сертифицированные кадастровые инженеры, имеющие соответствующую лицензию на ведение деятельности. </w:t>
      </w:r>
    </w:p>
    <w:p w14:paraId="472DA00C" w14:textId="0B154F43" w:rsidR="00F63CCD" w:rsidRPr="00C72454" w:rsidRDefault="00F63CCD" w:rsidP="00F63CCD">
      <w:pPr>
        <w:spacing w:after="0" w:line="300" w:lineRule="auto"/>
        <w:ind w:firstLine="567"/>
        <w:jc w:val="both"/>
        <w:rPr>
          <w:rFonts w:ascii="Times New Roman" w:eastAsiaTheme="minorEastAsia" w:hAnsi="Times New Roman" w:cs="Times New Roman"/>
          <w:sz w:val="26"/>
          <w:szCs w:val="26"/>
        </w:rPr>
      </w:pPr>
      <w:r w:rsidRPr="00C72454">
        <w:rPr>
          <w:rFonts w:ascii="Times New Roman" w:eastAsiaTheme="minorEastAsia" w:hAnsi="Times New Roman" w:cs="Times New Roman"/>
          <w:sz w:val="26"/>
          <w:szCs w:val="26"/>
        </w:rPr>
        <w:t xml:space="preserve">Для целей определения затрат на проведение кадастровых работ по межеванию и оформление прав на объект недвижимости, Исполнителем были направлены соответствующие запросы, о предоставлении информации о существующем уровне цен на рынке услуг в данной сфере, в ряд компаний, действующих на территории Воронежской области (Приложение </w:t>
      </w:r>
      <w:r w:rsidR="004F32D5" w:rsidRPr="004F32D5">
        <w:rPr>
          <w:rFonts w:ascii="Times New Roman" w:eastAsiaTheme="minorEastAsia" w:hAnsi="Times New Roman" w:cs="Times New Roman"/>
          <w:sz w:val="26"/>
          <w:szCs w:val="26"/>
        </w:rPr>
        <w:t>1/1.2/1.2.1/1.2.1.5</w:t>
      </w:r>
      <w:r w:rsidRPr="004F32D5">
        <w:rPr>
          <w:rFonts w:ascii="Times New Roman" w:eastAsiaTheme="minorEastAsia" w:hAnsi="Times New Roman" w:cs="Times New Roman"/>
          <w:sz w:val="26"/>
          <w:szCs w:val="26"/>
        </w:rPr>
        <w:t>).</w:t>
      </w:r>
      <w:r w:rsidRPr="00C72454">
        <w:rPr>
          <w:rFonts w:ascii="Times New Roman" w:eastAsiaTheme="minorEastAsia" w:hAnsi="Times New Roman" w:cs="Times New Roman"/>
          <w:sz w:val="26"/>
          <w:szCs w:val="26"/>
        </w:rPr>
        <w:t xml:space="preserve"> </w:t>
      </w:r>
    </w:p>
    <w:p w14:paraId="3C61D290" w14:textId="77777777" w:rsidR="00F63CCD" w:rsidRPr="00C72454" w:rsidRDefault="00F63CCD" w:rsidP="00F63CCD">
      <w:pPr>
        <w:spacing w:after="0" w:line="300" w:lineRule="auto"/>
        <w:ind w:firstLine="567"/>
        <w:jc w:val="both"/>
        <w:rPr>
          <w:rFonts w:ascii="Times New Roman" w:eastAsiaTheme="minorEastAsia" w:hAnsi="Times New Roman" w:cs="Times New Roman"/>
          <w:sz w:val="26"/>
          <w:szCs w:val="26"/>
        </w:rPr>
      </w:pPr>
      <w:r w:rsidRPr="00C72454">
        <w:rPr>
          <w:rFonts w:ascii="Times New Roman" w:eastAsiaTheme="minorEastAsia" w:hAnsi="Times New Roman" w:cs="Times New Roman"/>
          <w:sz w:val="26"/>
          <w:szCs w:val="26"/>
        </w:rPr>
        <w:t>В ответ на запросы были предоставлены данные о средней стоимости затрат на межевание и оформление прав от следующих организаций Воронежской области:</w:t>
      </w:r>
      <w:r>
        <w:rPr>
          <w:rFonts w:ascii="Times New Roman" w:eastAsiaTheme="minorEastAsia" w:hAnsi="Times New Roman" w:cs="Times New Roman"/>
          <w:sz w:val="26"/>
          <w:szCs w:val="26"/>
        </w:rPr>
        <w:t xml:space="preserve"> </w:t>
      </w:r>
      <w:r w:rsidRPr="00C72454">
        <w:rPr>
          <w:rFonts w:ascii="Times New Roman" w:eastAsiaTheme="minorEastAsia" w:hAnsi="Times New Roman" w:cs="Times New Roman"/>
          <w:sz w:val="26"/>
          <w:szCs w:val="26"/>
        </w:rPr>
        <w:t>ООО «Инженерная геодезия и топография», ООО НПП «Компьютерные технологии»</w:t>
      </w:r>
      <w:r>
        <w:rPr>
          <w:rFonts w:ascii="Times New Roman" w:eastAsiaTheme="minorEastAsia" w:hAnsi="Times New Roman" w:cs="Times New Roman"/>
          <w:sz w:val="26"/>
          <w:szCs w:val="26"/>
        </w:rPr>
        <w:t>, м</w:t>
      </w:r>
      <w:r w:rsidRPr="0081027F">
        <w:rPr>
          <w:rFonts w:ascii="Times New Roman" w:eastAsiaTheme="minorEastAsia" w:hAnsi="Times New Roman" w:cs="Times New Roman"/>
          <w:sz w:val="26"/>
          <w:szCs w:val="26"/>
        </w:rPr>
        <w:t xml:space="preserve">униципальное казенное предприятие городского округа город Воронеж </w:t>
      </w:r>
      <w:r>
        <w:rPr>
          <w:rFonts w:ascii="Times New Roman" w:eastAsiaTheme="minorEastAsia" w:hAnsi="Times New Roman" w:cs="Times New Roman"/>
          <w:sz w:val="26"/>
          <w:szCs w:val="26"/>
        </w:rPr>
        <w:t>«</w:t>
      </w:r>
      <w:r w:rsidRPr="0081027F">
        <w:rPr>
          <w:rFonts w:ascii="Times New Roman" w:eastAsiaTheme="minorEastAsia" w:hAnsi="Times New Roman" w:cs="Times New Roman"/>
          <w:sz w:val="26"/>
          <w:szCs w:val="26"/>
        </w:rPr>
        <w:t>Управление главного архитектора</w:t>
      </w:r>
      <w:r>
        <w:rPr>
          <w:rFonts w:ascii="Times New Roman" w:eastAsiaTheme="minorEastAsia" w:hAnsi="Times New Roman" w:cs="Times New Roman"/>
          <w:sz w:val="26"/>
          <w:szCs w:val="26"/>
        </w:rPr>
        <w:t>»</w:t>
      </w:r>
      <w:r w:rsidRPr="00C72454">
        <w:rPr>
          <w:rFonts w:ascii="Times New Roman" w:eastAsiaTheme="minorEastAsia" w:hAnsi="Times New Roman" w:cs="Times New Roman"/>
          <w:sz w:val="26"/>
          <w:szCs w:val="26"/>
        </w:rPr>
        <w:t>,</w:t>
      </w:r>
    </w:p>
    <w:p w14:paraId="0FD7AEDD" w14:textId="77777777" w:rsidR="00F63CCD" w:rsidRPr="00C72454" w:rsidRDefault="00F63CCD" w:rsidP="00F63CCD">
      <w:pPr>
        <w:spacing w:after="0" w:line="300" w:lineRule="auto"/>
        <w:ind w:firstLine="567"/>
        <w:jc w:val="both"/>
        <w:rPr>
          <w:rFonts w:ascii="Times New Roman" w:eastAsiaTheme="minorEastAsia" w:hAnsi="Times New Roman" w:cs="Times New Roman"/>
          <w:sz w:val="26"/>
          <w:szCs w:val="26"/>
        </w:rPr>
      </w:pPr>
      <w:r w:rsidRPr="00C72454">
        <w:rPr>
          <w:rFonts w:ascii="Times New Roman" w:eastAsiaTheme="minorEastAsia" w:hAnsi="Times New Roman" w:cs="Times New Roman"/>
          <w:sz w:val="26"/>
          <w:szCs w:val="26"/>
        </w:rPr>
        <w:t>В результате анализа предоставленных данных были определены средние значения затрат на межевание и оформление прав в зависимости от диапазона по площади, в который попадают земельные участки</w:t>
      </w:r>
      <w:r>
        <w:rPr>
          <w:rFonts w:ascii="Times New Roman" w:eastAsiaTheme="minorEastAsia" w:hAnsi="Times New Roman" w:cs="Times New Roman"/>
          <w:sz w:val="26"/>
          <w:szCs w:val="26"/>
        </w:rPr>
        <w:t xml:space="preserve">. </w:t>
      </w:r>
    </w:p>
    <w:p w14:paraId="605C11E0" w14:textId="77777777" w:rsidR="00F63CCD" w:rsidRPr="00C72454" w:rsidRDefault="00F63CCD" w:rsidP="00F63CCD">
      <w:pPr>
        <w:spacing w:after="0" w:line="300" w:lineRule="auto"/>
        <w:ind w:firstLine="567"/>
        <w:jc w:val="both"/>
        <w:rPr>
          <w:rFonts w:ascii="Times New Roman" w:eastAsiaTheme="minorEastAsia" w:hAnsi="Times New Roman" w:cs="Times New Roman"/>
          <w:sz w:val="26"/>
          <w:szCs w:val="26"/>
        </w:rPr>
      </w:pPr>
      <w:r w:rsidRPr="00C72454">
        <w:rPr>
          <w:rFonts w:ascii="Times New Roman" w:eastAsiaTheme="minorEastAsia" w:hAnsi="Times New Roman" w:cs="Times New Roman"/>
          <w:sz w:val="26"/>
          <w:szCs w:val="26"/>
        </w:rPr>
        <w:t>Предоставленная информация сведена в нижеследующую таблицу.</w:t>
      </w:r>
    </w:p>
    <w:p w14:paraId="6C88A49D" w14:textId="77777777" w:rsidR="001408C8" w:rsidRDefault="001408C8" w:rsidP="00F63CCD">
      <w:pPr>
        <w:spacing w:after="0" w:line="276" w:lineRule="auto"/>
        <w:jc w:val="right"/>
        <w:rPr>
          <w:rFonts w:ascii="Times New Roman" w:eastAsia="Times New Roman" w:hAnsi="Times New Roman" w:cs="Times New Roman"/>
          <w:sz w:val="26"/>
          <w:szCs w:val="26"/>
          <w:lang w:eastAsia="ru-RU"/>
        </w:rPr>
      </w:pPr>
    </w:p>
    <w:p w14:paraId="2F5E8F37" w14:textId="20C97B37" w:rsidR="00F63CCD" w:rsidRPr="00934A18" w:rsidRDefault="00F63CCD" w:rsidP="00934A18">
      <w:pPr>
        <w:spacing w:after="0" w:line="240" w:lineRule="auto"/>
        <w:ind w:firstLine="567"/>
        <w:jc w:val="right"/>
        <w:rPr>
          <w:rFonts w:ascii="Times New Roman" w:hAnsi="Times New Roman" w:cs="Times New Roman"/>
          <w:sz w:val="26"/>
          <w:szCs w:val="26"/>
        </w:rPr>
      </w:pPr>
      <w:r w:rsidRPr="00934A18">
        <w:rPr>
          <w:rFonts w:ascii="Times New Roman" w:hAnsi="Times New Roman" w:cs="Times New Roman"/>
          <w:sz w:val="26"/>
          <w:szCs w:val="26"/>
        </w:rPr>
        <w:t xml:space="preserve">Таблица </w:t>
      </w:r>
      <w:r w:rsidR="009A4516" w:rsidRPr="009A4516">
        <w:rPr>
          <w:rFonts w:ascii="Times New Roman" w:hAnsi="Times New Roman" w:cs="Times New Roman"/>
          <w:sz w:val="26"/>
          <w:szCs w:val="26"/>
        </w:rPr>
        <w:t>3.6.3.5</w:t>
      </w:r>
    </w:p>
    <w:p w14:paraId="59A90DE4" w14:textId="77777777" w:rsidR="00F63CCD" w:rsidRPr="00934A18" w:rsidRDefault="00F63CCD" w:rsidP="00934A18">
      <w:pPr>
        <w:spacing w:after="0" w:line="240" w:lineRule="auto"/>
        <w:ind w:firstLine="567"/>
        <w:jc w:val="right"/>
        <w:rPr>
          <w:rFonts w:ascii="Times New Roman" w:hAnsi="Times New Roman" w:cs="Times New Roman"/>
          <w:sz w:val="26"/>
          <w:szCs w:val="26"/>
        </w:rPr>
      </w:pPr>
      <w:r w:rsidRPr="00934A18">
        <w:rPr>
          <w:rFonts w:ascii="Times New Roman" w:hAnsi="Times New Roman" w:cs="Times New Roman"/>
          <w:sz w:val="26"/>
          <w:szCs w:val="26"/>
        </w:rPr>
        <w:t>Расчет стоимости работ по межеванию, руб.</w:t>
      </w:r>
    </w:p>
    <w:tbl>
      <w:tblPr>
        <w:tblStyle w:val="ae"/>
        <w:tblW w:w="9665" w:type="dxa"/>
        <w:tblLook w:val="04A0" w:firstRow="1" w:lastRow="0" w:firstColumn="1" w:lastColumn="0" w:noHBand="0" w:noVBand="1"/>
      </w:tblPr>
      <w:tblGrid>
        <w:gridCol w:w="443"/>
        <w:gridCol w:w="1817"/>
        <w:gridCol w:w="1920"/>
        <w:gridCol w:w="1923"/>
        <w:gridCol w:w="2142"/>
        <w:gridCol w:w="1420"/>
      </w:tblGrid>
      <w:tr w:rsidR="00F63CCD" w:rsidRPr="00F63CCD" w14:paraId="6FA7907A" w14:textId="77777777" w:rsidTr="00F63CCD">
        <w:tc>
          <w:tcPr>
            <w:tcW w:w="444" w:type="dxa"/>
            <w:vAlign w:val="center"/>
          </w:tcPr>
          <w:p w14:paraId="4586C6A9"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w:t>
            </w:r>
          </w:p>
        </w:tc>
        <w:tc>
          <w:tcPr>
            <w:tcW w:w="1880" w:type="dxa"/>
            <w:vAlign w:val="center"/>
          </w:tcPr>
          <w:p w14:paraId="5E800B46"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Площадь земельного участка, м</w:t>
            </w:r>
            <w:r w:rsidRPr="00F63CCD">
              <w:rPr>
                <w:rFonts w:ascii="Times New Roman" w:eastAsia="Times New Roman" w:hAnsi="Times New Roman" w:cs="Times New Roman"/>
                <w:sz w:val="22"/>
                <w:vertAlign w:val="superscript"/>
              </w:rPr>
              <w:t>2</w:t>
            </w:r>
          </w:p>
        </w:tc>
        <w:tc>
          <w:tcPr>
            <w:tcW w:w="1782" w:type="dxa"/>
            <w:shd w:val="clear" w:color="auto" w:fill="auto"/>
            <w:vAlign w:val="center"/>
          </w:tcPr>
          <w:p w14:paraId="713D5A03"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Общество с ограниченной ответственностью «Инженерная геодезия и топография»</w:t>
            </w:r>
            <w:r w:rsidRPr="00F63CCD">
              <w:rPr>
                <w:rFonts w:ascii="Times New Roman" w:eastAsia="Times New Roman" w:hAnsi="Times New Roman" w:cs="Times New Roman"/>
                <w:sz w:val="22"/>
              </w:rPr>
              <w:br/>
              <w:t>(Исх. №90 от 28.04.2022), руб.</w:t>
            </w:r>
          </w:p>
        </w:tc>
        <w:tc>
          <w:tcPr>
            <w:tcW w:w="1923" w:type="dxa"/>
            <w:shd w:val="clear" w:color="auto" w:fill="auto"/>
            <w:vAlign w:val="center"/>
          </w:tcPr>
          <w:p w14:paraId="59B32045"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Научно-производственное предприятие «Компьютерные технологии» (Исх. №412/БЕА/22 от 21.04.2022), руб.</w:t>
            </w:r>
          </w:p>
        </w:tc>
        <w:tc>
          <w:tcPr>
            <w:tcW w:w="2188" w:type="dxa"/>
            <w:shd w:val="clear" w:color="auto" w:fill="auto"/>
            <w:vAlign w:val="center"/>
          </w:tcPr>
          <w:p w14:paraId="47E9E895"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Муниципальное казенное предприятие городского округа город Воронеж «Управление главного архитектора» (Исх. №64 от 25.01.2022), руб.</w:t>
            </w:r>
          </w:p>
        </w:tc>
        <w:tc>
          <w:tcPr>
            <w:tcW w:w="1448" w:type="dxa"/>
            <w:vAlign w:val="center"/>
          </w:tcPr>
          <w:p w14:paraId="738C7D15"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Средняя стоимость работ, руб.</w:t>
            </w:r>
          </w:p>
        </w:tc>
      </w:tr>
      <w:tr w:rsidR="00F63CCD" w:rsidRPr="00F63CCD" w14:paraId="761C3EFC" w14:textId="77777777" w:rsidTr="00F63CCD">
        <w:trPr>
          <w:trHeight w:val="132"/>
        </w:trPr>
        <w:tc>
          <w:tcPr>
            <w:tcW w:w="444" w:type="dxa"/>
          </w:tcPr>
          <w:p w14:paraId="0A5E9049" w14:textId="77777777" w:rsidR="00F63CCD" w:rsidRPr="00F63CCD" w:rsidRDefault="00F63CCD" w:rsidP="00F22E0A">
            <w:pPr>
              <w:spacing w:line="276" w:lineRule="auto"/>
              <w:jc w:val="both"/>
              <w:rPr>
                <w:rFonts w:ascii="Times New Roman" w:eastAsia="Times New Roman" w:hAnsi="Times New Roman" w:cs="Times New Roman"/>
                <w:sz w:val="22"/>
              </w:rPr>
            </w:pPr>
            <w:r w:rsidRPr="00F63CCD">
              <w:rPr>
                <w:rFonts w:ascii="Times New Roman" w:eastAsia="Times New Roman" w:hAnsi="Times New Roman" w:cs="Times New Roman"/>
                <w:sz w:val="22"/>
              </w:rPr>
              <w:t>1</w:t>
            </w:r>
          </w:p>
        </w:tc>
        <w:tc>
          <w:tcPr>
            <w:tcW w:w="1880" w:type="dxa"/>
            <w:shd w:val="clear" w:color="auto" w:fill="auto"/>
            <w:vAlign w:val="center"/>
          </w:tcPr>
          <w:p w14:paraId="68D1ECA6" w14:textId="77777777" w:rsidR="00F63CCD" w:rsidRPr="00F63CCD" w:rsidRDefault="00F63CCD" w:rsidP="00F22E0A">
            <w:pPr>
              <w:spacing w:line="276" w:lineRule="auto"/>
              <w:rPr>
                <w:rFonts w:ascii="Times New Roman" w:eastAsia="Times New Roman" w:hAnsi="Times New Roman" w:cs="Times New Roman"/>
                <w:sz w:val="22"/>
              </w:rPr>
            </w:pPr>
            <w:r w:rsidRPr="00F63CCD">
              <w:rPr>
                <w:rFonts w:ascii="Times New Roman" w:eastAsia="Times New Roman" w:hAnsi="Times New Roman" w:cs="Times New Roman"/>
                <w:sz w:val="22"/>
              </w:rPr>
              <w:t>до 100</w:t>
            </w:r>
          </w:p>
        </w:tc>
        <w:tc>
          <w:tcPr>
            <w:tcW w:w="1782" w:type="dxa"/>
            <w:shd w:val="clear" w:color="auto" w:fill="auto"/>
            <w:vAlign w:val="center"/>
          </w:tcPr>
          <w:p w14:paraId="58709BFB"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30 000,00</w:t>
            </w:r>
          </w:p>
        </w:tc>
        <w:tc>
          <w:tcPr>
            <w:tcW w:w="1923" w:type="dxa"/>
            <w:shd w:val="clear" w:color="auto" w:fill="auto"/>
            <w:vAlign w:val="center"/>
          </w:tcPr>
          <w:p w14:paraId="731CD9CD"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23 040,00</w:t>
            </w:r>
          </w:p>
        </w:tc>
        <w:tc>
          <w:tcPr>
            <w:tcW w:w="2188" w:type="dxa"/>
            <w:shd w:val="clear" w:color="auto" w:fill="auto"/>
            <w:vAlign w:val="center"/>
          </w:tcPr>
          <w:p w14:paraId="34DC83B6"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10 000,00</w:t>
            </w:r>
          </w:p>
        </w:tc>
        <w:tc>
          <w:tcPr>
            <w:tcW w:w="1448" w:type="dxa"/>
            <w:shd w:val="clear" w:color="auto" w:fill="FFFFFF" w:themeFill="background1"/>
            <w:vAlign w:val="center"/>
          </w:tcPr>
          <w:p w14:paraId="0AB5A8E0"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21 013,33</w:t>
            </w:r>
          </w:p>
        </w:tc>
      </w:tr>
      <w:tr w:rsidR="00F63CCD" w:rsidRPr="00F63CCD" w14:paraId="15527751" w14:textId="77777777" w:rsidTr="00F63CCD">
        <w:trPr>
          <w:trHeight w:val="126"/>
        </w:trPr>
        <w:tc>
          <w:tcPr>
            <w:tcW w:w="444" w:type="dxa"/>
          </w:tcPr>
          <w:p w14:paraId="34A950CB" w14:textId="77777777" w:rsidR="00F63CCD" w:rsidRPr="00F63CCD" w:rsidRDefault="00F63CCD" w:rsidP="00F22E0A">
            <w:pPr>
              <w:spacing w:line="276" w:lineRule="auto"/>
              <w:jc w:val="both"/>
              <w:rPr>
                <w:rFonts w:ascii="Times New Roman" w:eastAsia="Times New Roman" w:hAnsi="Times New Roman" w:cs="Times New Roman"/>
                <w:sz w:val="22"/>
              </w:rPr>
            </w:pPr>
            <w:r w:rsidRPr="00F63CCD">
              <w:rPr>
                <w:rFonts w:ascii="Times New Roman" w:eastAsia="Times New Roman" w:hAnsi="Times New Roman" w:cs="Times New Roman"/>
                <w:sz w:val="22"/>
              </w:rPr>
              <w:t>2</w:t>
            </w:r>
          </w:p>
        </w:tc>
        <w:tc>
          <w:tcPr>
            <w:tcW w:w="1880" w:type="dxa"/>
            <w:shd w:val="clear" w:color="auto" w:fill="auto"/>
            <w:vAlign w:val="center"/>
          </w:tcPr>
          <w:p w14:paraId="5E8D5057" w14:textId="77777777" w:rsidR="00F63CCD" w:rsidRPr="00F63CCD" w:rsidRDefault="00F63CCD" w:rsidP="00F22E0A">
            <w:pPr>
              <w:spacing w:line="276" w:lineRule="auto"/>
              <w:rPr>
                <w:rFonts w:ascii="Times New Roman" w:eastAsia="Times New Roman" w:hAnsi="Times New Roman" w:cs="Times New Roman"/>
                <w:sz w:val="22"/>
              </w:rPr>
            </w:pPr>
            <w:r w:rsidRPr="00F63CCD">
              <w:rPr>
                <w:rFonts w:ascii="Times New Roman" w:eastAsia="Times New Roman" w:hAnsi="Times New Roman" w:cs="Times New Roman"/>
                <w:sz w:val="22"/>
              </w:rPr>
              <w:t>от 100 до 5 000</w:t>
            </w:r>
          </w:p>
        </w:tc>
        <w:tc>
          <w:tcPr>
            <w:tcW w:w="1782" w:type="dxa"/>
            <w:shd w:val="clear" w:color="auto" w:fill="auto"/>
            <w:vAlign w:val="center"/>
          </w:tcPr>
          <w:p w14:paraId="6E4FF637"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40 000,00</w:t>
            </w:r>
          </w:p>
        </w:tc>
        <w:tc>
          <w:tcPr>
            <w:tcW w:w="1923" w:type="dxa"/>
            <w:shd w:val="clear" w:color="auto" w:fill="auto"/>
            <w:vAlign w:val="center"/>
          </w:tcPr>
          <w:p w14:paraId="0CA5894E"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37 728,00</w:t>
            </w:r>
          </w:p>
        </w:tc>
        <w:tc>
          <w:tcPr>
            <w:tcW w:w="2188" w:type="dxa"/>
            <w:shd w:val="clear" w:color="auto" w:fill="auto"/>
            <w:vAlign w:val="center"/>
          </w:tcPr>
          <w:p w14:paraId="45912969"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12 750,00</w:t>
            </w:r>
          </w:p>
        </w:tc>
        <w:tc>
          <w:tcPr>
            <w:tcW w:w="1448" w:type="dxa"/>
            <w:shd w:val="clear" w:color="auto" w:fill="FFFFFF" w:themeFill="background1"/>
            <w:vAlign w:val="center"/>
          </w:tcPr>
          <w:p w14:paraId="6CEE8433"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30 159,33</w:t>
            </w:r>
          </w:p>
        </w:tc>
      </w:tr>
      <w:tr w:rsidR="00F63CCD" w:rsidRPr="00F63CCD" w14:paraId="1D1DE633" w14:textId="77777777" w:rsidTr="00F63CCD">
        <w:trPr>
          <w:trHeight w:val="262"/>
        </w:trPr>
        <w:tc>
          <w:tcPr>
            <w:tcW w:w="444" w:type="dxa"/>
          </w:tcPr>
          <w:p w14:paraId="17B8095D" w14:textId="77777777" w:rsidR="00F63CCD" w:rsidRPr="00F63CCD" w:rsidRDefault="00F63CCD" w:rsidP="00F22E0A">
            <w:pPr>
              <w:spacing w:line="276" w:lineRule="auto"/>
              <w:jc w:val="both"/>
              <w:rPr>
                <w:rFonts w:ascii="Times New Roman" w:eastAsia="Times New Roman" w:hAnsi="Times New Roman" w:cs="Times New Roman"/>
                <w:sz w:val="22"/>
              </w:rPr>
            </w:pPr>
            <w:r w:rsidRPr="00F63CCD">
              <w:rPr>
                <w:rFonts w:ascii="Times New Roman" w:eastAsia="Times New Roman" w:hAnsi="Times New Roman" w:cs="Times New Roman"/>
                <w:sz w:val="22"/>
              </w:rPr>
              <w:t>3</w:t>
            </w:r>
          </w:p>
        </w:tc>
        <w:tc>
          <w:tcPr>
            <w:tcW w:w="1880" w:type="dxa"/>
            <w:shd w:val="clear" w:color="auto" w:fill="auto"/>
            <w:vAlign w:val="center"/>
          </w:tcPr>
          <w:p w14:paraId="0A4BEB56" w14:textId="77777777" w:rsidR="00F63CCD" w:rsidRPr="00F63CCD" w:rsidRDefault="00F63CCD" w:rsidP="00F22E0A">
            <w:pPr>
              <w:spacing w:line="276" w:lineRule="auto"/>
              <w:rPr>
                <w:rFonts w:ascii="Times New Roman" w:eastAsia="Times New Roman" w:hAnsi="Times New Roman" w:cs="Times New Roman"/>
                <w:sz w:val="22"/>
              </w:rPr>
            </w:pPr>
            <w:r w:rsidRPr="00F63CCD">
              <w:rPr>
                <w:rFonts w:ascii="Times New Roman" w:eastAsia="Times New Roman" w:hAnsi="Times New Roman" w:cs="Times New Roman"/>
                <w:sz w:val="22"/>
              </w:rPr>
              <w:t>от 5 000 до 10 000</w:t>
            </w:r>
          </w:p>
        </w:tc>
        <w:tc>
          <w:tcPr>
            <w:tcW w:w="1782" w:type="dxa"/>
            <w:shd w:val="clear" w:color="auto" w:fill="auto"/>
            <w:vAlign w:val="center"/>
          </w:tcPr>
          <w:p w14:paraId="1D8FFEB6"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50 000,00</w:t>
            </w:r>
          </w:p>
        </w:tc>
        <w:tc>
          <w:tcPr>
            <w:tcW w:w="1923" w:type="dxa"/>
            <w:shd w:val="clear" w:color="auto" w:fill="auto"/>
            <w:vAlign w:val="center"/>
          </w:tcPr>
          <w:p w14:paraId="382B55FF"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52 715,00</w:t>
            </w:r>
          </w:p>
        </w:tc>
        <w:tc>
          <w:tcPr>
            <w:tcW w:w="2188" w:type="dxa"/>
            <w:shd w:val="clear" w:color="auto" w:fill="auto"/>
            <w:vAlign w:val="center"/>
          </w:tcPr>
          <w:p w14:paraId="718EF538"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15 500,00</w:t>
            </w:r>
          </w:p>
        </w:tc>
        <w:tc>
          <w:tcPr>
            <w:tcW w:w="1448" w:type="dxa"/>
            <w:shd w:val="clear" w:color="auto" w:fill="FFFFFF" w:themeFill="background1"/>
            <w:vAlign w:val="center"/>
          </w:tcPr>
          <w:p w14:paraId="14626087"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39 405,00</w:t>
            </w:r>
          </w:p>
        </w:tc>
      </w:tr>
      <w:tr w:rsidR="00F63CCD" w:rsidRPr="00F63CCD" w14:paraId="0F0BE64B" w14:textId="77777777" w:rsidTr="00F63CCD">
        <w:trPr>
          <w:trHeight w:val="70"/>
        </w:trPr>
        <w:tc>
          <w:tcPr>
            <w:tcW w:w="444" w:type="dxa"/>
          </w:tcPr>
          <w:p w14:paraId="1F14ED20" w14:textId="77777777" w:rsidR="00F63CCD" w:rsidRPr="00F63CCD" w:rsidRDefault="00F63CCD" w:rsidP="00F22E0A">
            <w:pPr>
              <w:spacing w:line="276" w:lineRule="auto"/>
              <w:jc w:val="both"/>
              <w:rPr>
                <w:rFonts w:ascii="Times New Roman" w:eastAsia="Times New Roman" w:hAnsi="Times New Roman" w:cs="Times New Roman"/>
                <w:sz w:val="22"/>
              </w:rPr>
            </w:pPr>
            <w:r w:rsidRPr="00F63CCD">
              <w:rPr>
                <w:rFonts w:ascii="Times New Roman" w:eastAsia="Times New Roman" w:hAnsi="Times New Roman" w:cs="Times New Roman"/>
                <w:sz w:val="22"/>
              </w:rPr>
              <w:t>4</w:t>
            </w:r>
          </w:p>
        </w:tc>
        <w:tc>
          <w:tcPr>
            <w:tcW w:w="1880" w:type="dxa"/>
            <w:shd w:val="clear" w:color="auto" w:fill="auto"/>
            <w:vAlign w:val="center"/>
          </w:tcPr>
          <w:p w14:paraId="00D999C1" w14:textId="77777777" w:rsidR="00F63CCD" w:rsidRPr="00F63CCD" w:rsidRDefault="00F63CCD" w:rsidP="00F22E0A">
            <w:pPr>
              <w:spacing w:line="276" w:lineRule="auto"/>
              <w:rPr>
                <w:rFonts w:ascii="Times New Roman" w:eastAsia="Times New Roman" w:hAnsi="Times New Roman" w:cs="Times New Roman"/>
                <w:sz w:val="22"/>
              </w:rPr>
            </w:pPr>
            <w:r w:rsidRPr="00F63CCD">
              <w:rPr>
                <w:rFonts w:ascii="Times New Roman" w:eastAsia="Times New Roman" w:hAnsi="Times New Roman" w:cs="Times New Roman"/>
                <w:sz w:val="22"/>
              </w:rPr>
              <w:t>от 10 000 до 100 000</w:t>
            </w:r>
          </w:p>
        </w:tc>
        <w:tc>
          <w:tcPr>
            <w:tcW w:w="1782" w:type="dxa"/>
            <w:shd w:val="clear" w:color="auto" w:fill="auto"/>
            <w:vAlign w:val="center"/>
          </w:tcPr>
          <w:p w14:paraId="36EC2C46"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70 000,00</w:t>
            </w:r>
          </w:p>
        </w:tc>
        <w:tc>
          <w:tcPr>
            <w:tcW w:w="1923" w:type="dxa"/>
            <w:shd w:val="clear" w:color="auto" w:fill="auto"/>
            <w:vAlign w:val="center"/>
          </w:tcPr>
          <w:p w14:paraId="1D6B44E3"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158 839,00</w:t>
            </w:r>
          </w:p>
        </w:tc>
        <w:tc>
          <w:tcPr>
            <w:tcW w:w="2188" w:type="dxa"/>
            <w:shd w:val="clear" w:color="auto" w:fill="auto"/>
            <w:vAlign w:val="center"/>
          </w:tcPr>
          <w:p w14:paraId="373E7409"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15 500,00</w:t>
            </w:r>
          </w:p>
        </w:tc>
        <w:tc>
          <w:tcPr>
            <w:tcW w:w="1448" w:type="dxa"/>
            <w:shd w:val="clear" w:color="auto" w:fill="FFFFFF" w:themeFill="background1"/>
            <w:vAlign w:val="center"/>
          </w:tcPr>
          <w:p w14:paraId="71F64041" w14:textId="77777777" w:rsidR="00F63CCD" w:rsidRPr="00F63CCD" w:rsidRDefault="00F63CCD"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81 446,33</w:t>
            </w:r>
          </w:p>
        </w:tc>
      </w:tr>
    </w:tbl>
    <w:p w14:paraId="3236212D" w14:textId="33AC7F8D" w:rsidR="00F63CCD" w:rsidRPr="00C72454" w:rsidRDefault="003E67B8" w:rsidP="00F63CCD">
      <w:pPr>
        <w:spacing w:after="0" w:line="300" w:lineRule="auto"/>
        <w:ind w:firstLine="567"/>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Расчет кадастровой стоимости земельных участков </w:t>
      </w:r>
      <w:r w:rsidR="00F63CCD">
        <w:rPr>
          <w:rFonts w:ascii="Times New Roman" w:eastAsiaTheme="minorEastAsia" w:hAnsi="Times New Roman" w:cs="Times New Roman"/>
          <w:sz w:val="26"/>
          <w:szCs w:val="26"/>
        </w:rPr>
        <w:t>площадью от 1 000 000 кв.м. проводи</w:t>
      </w:r>
      <w:r w:rsidR="0013778A">
        <w:rPr>
          <w:rFonts w:ascii="Times New Roman" w:eastAsiaTheme="minorEastAsia" w:hAnsi="Times New Roman" w:cs="Times New Roman"/>
          <w:sz w:val="26"/>
          <w:szCs w:val="26"/>
        </w:rPr>
        <w:t>лось</w:t>
      </w:r>
      <w:r w:rsidR="00F63CCD">
        <w:rPr>
          <w:rFonts w:ascii="Times New Roman" w:eastAsiaTheme="minorEastAsia" w:hAnsi="Times New Roman" w:cs="Times New Roman"/>
          <w:sz w:val="26"/>
          <w:szCs w:val="26"/>
        </w:rPr>
        <w:t xml:space="preserve"> по формуле: </w:t>
      </w:r>
      <w:r w:rsidR="00C935E5">
        <w:rPr>
          <w:rFonts w:ascii="Times New Roman" w:eastAsiaTheme="minorEastAsia" w:hAnsi="Times New Roman" w:cs="Times New Roman"/>
          <w:b/>
          <w:sz w:val="26"/>
          <w:szCs w:val="26"/>
        </w:rPr>
        <w:t>0,34 * Площадь земельного участка + 34 110</w:t>
      </w:r>
      <w:r w:rsidR="00F63CCD">
        <w:rPr>
          <w:rFonts w:ascii="Times New Roman" w:eastAsiaTheme="minorEastAsia" w:hAnsi="Times New Roman" w:cs="Times New Roman"/>
          <w:sz w:val="26"/>
          <w:szCs w:val="26"/>
        </w:rPr>
        <w:t>.</w:t>
      </w:r>
    </w:p>
    <w:p w14:paraId="61A382E7" w14:textId="2F3EB71A" w:rsidR="00F63CCD" w:rsidRPr="0086637C" w:rsidRDefault="004E579B" w:rsidP="00F63CCD">
      <w:pPr>
        <w:spacing w:after="0" w:line="276" w:lineRule="auto"/>
        <w:ind w:firstLine="567"/>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2D6F65" w:rsidRPr="009E7344">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/2.4.3.</w:t>
      </w:r>
    </w:p>
    <w:p w14:paraId="4949F84E" w14:textId="77777777" w:rsidR="000E3768" w:rsidRDefault="000E3768" w:rsidP="00F63CCD">
      <w:pPr>
        <w:spacing w:after="0" w:line="276" w:lineRule="auto"/>
        <w:ind w:firstLine="567"/>
        <w:jc w:val="both"/>
        <w:rPr>
          <w:rFonts w:ascii="Times New Roman" w:eastAsiaTheme="minorEastAsia" w:hAnsi="Times New Roman" w:cs="Times New Roman"/>
          <w:sz w:val="26"/>
          <w:szCs w:val="26"/>
          <w:highlight w:val="yellow"/>
        </w:rPr>
      </w:pPr>
    </w:p>
    <w:p w14:paraId="52BA5ECF" w14:textId="5162434B" w:rsidR="001A244B" w:rsidRPr="009A4516" w:rsidRDefault="001A244B" w:rsidP="001A244B">
      <w:pPr>
        <w:pStyle w:val="ab"/>
        <w:ind w:left="0"/>
        <w:jc w:val="center"/>
        <w:outlineLvl w:val="2"/>
        <w:rPr>
          <w:rFonts w:ascii="Times New Roman" w:hAnsi="Times New Roman" w:cs="Times New Roman"/>
          <w:i/>
          <w:sz w:val="26"/>
          <w:szCs w:val="26"/>
        </w:rPr>
      </w:pPr>
      <w:bookmarkStart w:id="210" w:name="_Toc110506974"/>
      <w:bookmarkEnd w:id="208"/>
      <w:r w:rsidRPr="00C16B1E">
        <w:rPr>
          <w:rFonts w:ascii="Times New Roman" w:hAnsi="Times New Roman" w:cs="Times New Roman"/>
          <w:i/>
          <w:sz w:val="26"/>
          <w:szCs w:val="26"/>
        </w:rPr>
        <w:t>3.6.3.</w:t>
      </w:r>
      <w:r w:rsidR="00B11E8D" w:rsidRPr="00C16B1E">
        <w:rPr>
          <w:rFonts w:ascii="Times New Roman" w:hAnsi="Times New Roman" w:cs="Times New Roman"/>
          <w:i/>
          <w:sz w:val="26"/>
          <w:szCs w:val="26"/>
        </w:rPr>
        <w:t>6</w:t>
      </w:r>
      <w:r w:rsidRPr="00C16B1E">
        <w:rPr>
          <w:rFonts w:ascii="Times New Roman" w:hAnsi="Times New Roman" w:cs="Times New Roman"/>
          <w:i/>
          <w:sz w:val="26"/>
          <w:szCs w:val="26"/>
        </w:rPr>
        <w:t>. Расчет</w:t>
      </w:r>
      <w:r w:rsidRPr="009A4516">
        <w:rPr>
          <w:rFonts w:ascii="Times New Roman" w:hAnsi="Times New Roman" w:cs="Times New Roman"/>
          <w:i/>
          <w:sz w:val="26"/>
          <w:szCs w:val="26"/>
        </w:rPr>
        <w:t xml:space="preserve"> кадастровой стоимости земельных участков группы СОЦ/УПКС</w:t>
      </w:r>
      <w:bookmarkEnd w:id="210"/>
    </w:p>
    <w:p w14:paraId="52D40A82" w14:textId="0DB94D54" w:rsidR="001A244B" w:rsidRPr="00F562A8" w:rsidRDefault="001A244B" w:rsidP="001A244B">
      <w:pPr>
        <w:spacing w:after="0" w:line="276" w:lineRule="auto"/>
        <w:ind w:firstLine="567"/>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2D6F65" w:rsidRPr="009E7344">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/2.4.3.</w:t>
      </w:r>
    </w:p>
    <w:p w14:paraId="7C6CD1C0" w14:textId="0D2E8874" w:rsidR="009A4516" w:rsidRDefault="009A4516" w:rsidP="009A4516">
      <w:pPr>
        <w:spacing w:after="0" w:line="276" w:lineRule="auto"/>
        <w:ind w:firstLine="567"/>
        <w:jc w:val="both"/>
        <w:rPr>
          <w:rFonts w:ascii="Times New Roman" w:eastAsiaTheme="minorEastAsia" w:hAnsi="Times New Roman" w:cs="Times New Roman"/>
          <w:sz w:val="26"/>
          <w:szCs w:val="26"/>
        </w:rPr>
      </w:pPr>
      <w:r>
        <w:rPr>
          <w:rFonts w:ascii="Times New Roman" w:hAnsi="Times New Roman" w:cs="Times New Roman"/>
          <w:sz w:val="26"/>
          <w:szCs w:val="26"/>
        </w:rPr>
        <w:t xml:space="preserve">В состав группы </w:t>
      </w:r>
      <w:r w:rsidRPr="00F72A6D">
        <w:rPr>
          <w:rFonts w:ascii="Times New Roman" w:hAnsi="Times New Roman" w:cs="Times New Roman"/>
          <w:sz w:val="26"/>
          <w:szCs w:val="26"/>
        </w:rPr>
        <w:t>СОЦ/</w:t>
      </w:r>
      <w:r>
        <w:rPr>
          <w:rFonts w:ascii="Times New Roman" w:hAnsi="Times New Roman" w:cs="Times New Roman"/>
          <w:sz w:val="26"/>
          <w:szCs w:val="26"/>
        </w:rPr>
        <w:t>УПКС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C04303">
        <w:t xml:space="preserve"> </w:t>
      </w:r>
      <w:r w:rsidRPr="009A4516">
        <w:rPr>
          <w:rFonts w:ascii="Times New Roman" w:hAnsi="Times New Roman" w:cs="Times New Roman"/>
          <w:sz w:val="26"/>
          <w:szCs w:val="26"/>
        </w:rPr>
        <w:t>03:000, 01:143, 03:010, 03:013, 03:020, 03:021, 03:022, 03:023, 03:030, 03:031, 03:032, 03:033, 03:034, 03:035, 03:040, 03:041, 03:042, 03:050, 03:051, 03:052, 03:060, 03:061, 03:062, 03:065, 03:070, 03:071, 03:072, 03:073, 03:080, 03:081, 03:082, 03:083, 03:090, 03:091, 03:092, 03:100, 03:101, 03:102, 03:103, 03:104, 05:010, 05:011, 05:012, 05:020, 05:021, 05:051, 07:021, 07:022, 08:022, 08:030, 08:041, 09:030</w:t>
      </w:r>
      <w:r>
        <w:rPr>
          <w:rFonts w:ascii="Times New Roman" w:hAnsi="Times New Roman" w:cs="Times New Roman"/>
          <w:sz w:val="26"/>
          <w:szCs w:val="26"/>
        </w:rPr>
        <w:t>.</w:t>
      </w:r>
    </w:p>
    <w:p w14:paraId="2BA3F8DE" w14:textId="4CC1B6FB" w:rsidR="001A244B" w:rsidRPr="00F562A8" w:rsidRDefault="001A244B" w:rsidP="001A244B">
      <w:pPr>
        <w:spacing w:after="0" w:line="300" w:lineRule="auto"/>
        <w:ind w:firstLine="567"/>
        <w:jc w:val="both"/>
        <w:rPr>
          <w:rFonts w:ascii="Times New Roman" w:hAnsi="Times New Roman" w:cs="Times New Roman"/>
          <w:bCs/>
          <w:sz w:val="26"/>
          <w:szCs w:val="26"/>
        </w:rPr>
      </w:pPr>
      <w:r w:rsidRPr="00F562A8">
        <w:rPr>
          <w:rFonts w:ascii="Times New Roman" w:hAnsi="Times New Roman" w:cs="Times New Roman"/>
          <w:bCs/>
          <w:sz w:val="26"/>
          <w:szCs w:val="26"/>
        </w:rPr>
        <w:t xml:space="preserve">В группу </w:t>
      </w:r>
      <w:r>
        <w:rPr>
          <w:rFonts w:ascii="Times New Roman" w:hAnsi="Times New Roman" w:cs="Times New Roman"/>
          <w:bCs/>
          <w:sz w:val="26"/>
          <w:szCs w:val="26"/>
        </w:rPr>
        <w:t>СОЦ/</w:t>
      </w:r>
      <w:r w:rsidR="00F21C31">
        <w:rPr>
          <w:rFonts w:ascii="Times New Roman" w:hAnsi="Times New Roman" w:cs="Times New Roman"/>
          <w:bCs/>
          <w:sz w:val="26"/>
          <w:szCs w:val="26"/>
        </w:rPr>
        <w:t>У</w:t>
      </w:r>
      <w:r>
        <w:rPr>
          <w:rFonts w:ascii="Times New Roman" w:hAnsi="Times New Roman" w:cs="Times New Roman"/>
          <w:bCs/>
          <w:sz w:val="26"/>
          <w:szCs w:val="26"/>
        </w:rPr>
        <w:t>П</w:t>
      </w:r>
      <w:r w:rsidR="00567DDF">
        <w:rPr>
          <w:rFonts w:ascii="Times New Roman" w:hAnsi="Times New Roman" w:cs="Times New Roman"/>
          <w:bCs/>
          <w:sz w:val="26"/>
          <w:szCs w:val="26"/>
        </w:rPr>
        <w:t>КС</w:t>
      </w:r>
      <w:r w:rsidRPr="00F562A8">
        <w:rPr>
          <w:rFonts w:ascii="Times New Roman" w:hAnsi="Times New Roman" w:cs="Times New Roman"/>
          <w:bCs/>
          <w:sz w:val="26"/>
          <w:szCs w:val="26"/>
        </w:rPr>
        <w:t xml:space="preserve"> включены объекты, не имеющие точной характеристики местоположения объектов (без факторов). </w:t>
      </w:r>
    </w:p>
    <w:p w14:paraId="4BF5638D" w14:textId="77777777" w:rsidR="005D3D87" w:rsidRPr="005D3D87" w:rsidRDefault="005D3D87" w:rsidP="005D3D87">
      <w:pPr>
        <w:spacing w:after="0" w:line="300" w:lineRule="auto"/>
        <w:ind w:firstLine="567"/>
        <w:jc w:val="both"/>
        <w:rPr>
          <w:rFonts w:ascii="Times New Roman" w:hAnsi="Times New Roman" w:cs="Times New Roman"/>
          <w:bCs/>
          <w:sz w:val="26"/>
          <w:szCs w:val="26"/>
        </w:rPr>
      </w:pPr>
      <w:r w:rsidRPr="005D3D87">
        <w:rPr>
          <w:rFonts w:ascii="Times New Roman" w:hAnsi="Times New Roman" w:cs="Times New Roman"/>
          <w:bCs/>
          <w:sz w:val="26"/>
          <w:szCs w:val="26"/>
        </w:rPr>
        <w:t xml:space="preserve">Расчет кадастровой стоимости земельных участков данной группы проведен по минимальному значению удельных показателей кадастровой стоимости земельных участков текущего сегмента с учетом кода расчета вида использования по кадастровому кварталу, в котором расположены объекты оценки. </w:t>
      </w:r>
    </w:p>
    <w:p w14:paraId="45227EF3" w14:textId="1FF8EC98" w:rsidR="009A4516" w:rsidRPr="00F562A8" w:rsidRDefault="005D3D87" w:rsidP="005D3D87">
      <w:pPr>
        <w:spacing w:after="0" w:line="300" w:lineRule="auto"/>
        <w:ind w:firstLine="567"/>
        <w:jc w:val="both"/>
        <w:rPr>
          <w:rFonts w:ascii="Times New Roman" w:eastAsiaTheme="minorEastAsia" w:hAnsi="Times New Roman" w:cs="Times New Roman"/>
          <w:sz w:val="26"/>
          <w:szCs w:val="26"/>
        </w:rPr>
      </w:pPr>
      <w:r w:rsidRPr="005D3D87">
        <w:rPr>
          <w:rFonts w:ascii="Times New Roman" w:hAnsi="Times New Roman" w:cs="Times New Roman"/>
          <w:bCs/>
          <w:sz w:val="26"/>
          <w:szCs w:val="26"/>
        </w:rPr>
        <w:t>В случае отсутствия таких показателей, по минимальным значениям удельных показателей кадастровой стоимости в населенном пункте, а в случае отсутствия и этих значений, по минимальным значениям удельных показателей кадастровой стоимости в муниципальном районе, а в случае отсутствия и этих значений, по минимальным значениям удельных показателей кадастровой стоимости Воронежской области</w:t>
      </w:r>
      <w:r w:rsidR="009A4516">
        <w:rPr>
          <w:rFonts w:ascii="Times New Roman" w:hAnsi="Times New Roman" w:cs="Times New Roman"/>
          <w:bCs/>
          <w:sz w:val="26"/>
          <w:szCs w:val="26"/>
        </w:rPr>
        <w:t>.</w:t>
      </w:r>
      <w:r w:rsidR="009A4516" w:rsidRPr="00F562A8">
        <w:rPr>
          <w:rFonts w:ascii="Times New Roman" w:eastAsiaTheme="minorEastAsia" w:hAnsi="Times New Roman" w:cs="Times New Roman"/>
          <w:sz w:val="26"/>
          <w:szCs w:val="26"/>
        </w:rPr>
        <w:t xml:space="preserve"> </w:t>
      </w:r>
    </w:p>
    <w:p w14:paraId="28D3CFF4" w14:textId="2ED04999" w:rsidR="00EE5E82" w:rsidRDefault="004E579B" w:rsidP="00934A18">
      <w:pPr>
        <w:spacing w:after="0" w:line="300" w:lineRule="auto"/>
        <w:ind w:firstLine="567"/>
        <w:jc w:val="both"/>
        <w:rPr>
          <w:rFonts w:ascii="Times New Roman" w:hAnsi="Times New Roman" w:cs="Times New Roman"/>
          <w:b/>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2D6F65" w:rsidRPr="009E7344">
        <w:rPr>
          <w:rFonts w:ascii="Times New Roman" w:eastAsiaTheme="minorEastAsia" w:hAnsi="Times New Roman" w:cs="Times New Roman"/>
          <w:sz w:val="26"/>
          <w:szCs w:val="26"/>
        </w:rPr>
        <w:t>2/2.4</w:t>
      </w:r>
      <w:r w:rsidR="002D6F65">
        <w:rPr>
          <w:rFonts w:ascii="Times New Roman" w:eastAsiaTheme="minorEastAsia" w:hAnsi="Times New Roman" w:cs="Times New Roman"/>
          <w:sz w:val="26"/>
          <w:szCs w:val="26"/>
        </w:rPr>
        <w:t>/2.4.3</w:t>
      </w:r>
      <w:r w:rsidR="00EE5E82">
        <w:rPr>
          <w:rFonts w:ascii="Times New Roman" w:hAnsi="Times New Roman" w:cs="Times New Roman"/>
          <w:b/>
          <w:sz w:val="26"/>
          <w:szCs w:val="26"/>
        </w:rPr>
        <w:br w:type="page"/>
      </w:r>
    </w:p>
    <w:p w14:paraId="4528A7FF" w14:textId="310BB2B6" w:rsidR="00306BF5" w:rsidRPr="00F562A8" w:rsidRDefault="00306BF5" w:rsidP="00A55966">
      <w:pPr>
        <w:pStyle w:val="ab"/>
        <w:spacing w:before="120" w:after="0" w:line="240" w:lineRule="auto"/>
        <w:ind w:left="0"/>
        <w:contextualSpacing w:val="0"/>
        <w:jc w:val="center"/>
        <w:outlineLvl w:val="1"/>
        <w:rPr>
          <w:rFonts w:ascii="Times New Roman" w:hAnsi="Times New Roman" w:cs="Times New Roman"/>
          <w:b/>
          <w:sz w:val="26"/>
          <w:szCs w:val="26"/>
        </w:rPr>
      </w:pPr>
      <w:bookmarkStart w:id="211" w:name="_Toc110506975"/>
      <w:r w:rsidRPr="00F562A8">
        <w:rPr>
          <w:rFonts w:ascii="Times New Roman" w:hAnsi="Times New Roman" w:cs="Times New Roman"/>
          <w:b/>
          <w:sz w:val="26"/>
          <w:szCs w:val="26"/>
        </w:rPr>
        <w:t>3.6.4 Сегмент 4. «Предпринимательство»</w:t>
      </w:r>
      <w:bookmarkEnd w:id="209"/>
      <w:bookmarkEnd w:id="211"/>
    </w:p>
    <w:p w14:paraId="6030D0CB" w14:textId="77777777" w:rsidR="00B15076" w:rsidRPr="00F562A8" w:rsidRDefault="00B15076" w:rsidP="006F6435">
      <w:pPr>
        <w:spacing w:line="276" w:lineRule="auto"/>
        <w:rPr>
          <w:rFonts w:ascii="Times New Roman" w:hAnsi="Times New Roman" w:cs="Times New Roman"/>
          <w:sz w:val="16"/>
          <w:szCs w:val="16"/>
        </w:rPr>
      </w:pPr>
    </w:p>
    <w:p w14:paraId="43C1B6E8" w14:textId="4A06B39F" w:rsidR="00306BF5" w:rsidRPr="00F562A8" w:rsidRDefault="00B15076" w:rsidP="002D4BEA">
      <w:pPr>
        <w:pStyle w:val="ab"/>
        <w:ind w:left="0"/>
        <w:jc w:val="center"/>
        <w:outlineLvl w:val="2"/>
        <w:rPr>
          <w:rFonts w:ascii="Times New Roman" w:hAnsi="Times New Roman" w:cs="Times New Roman"/>
          <w:i/>
          <w:sz w:val="26"/>
          <w:szCs w:val="26"/>
        </w:rPr>
      </w:pPr>
      <w:bookmarkStart w:id="212" w:name="_Toc110506976"/>
      <w:r w:rsidRPr="00C16B1E">
        <w:rPr>
          <w:rFonts w:ascii="Times New Roman" w:hAnsi="Times New Roman" w:cs="Times New Roman"/>
          <w:i/>
          <w:sz w:val="26"/>
          <w:szCs w:val="26"/>
        </w:rPr>
        <w:t>3.6.4.1.</w:t>
      </w:r>
      <w:r w:rsidRPr="00F562A8">
        <w:rPr>
          <w:rFonts w:ascii="Times New Roman" w:hAnsi="Times New Roman" w:cs="Times New Roman"/>
          <w:i/>
          <w:sz w:val="26"/>
          <w:szCs w:val="26"/>
        </w:rPr>
        <w:t xml:space="preserve"> </w:t>
      </w:r>
      <w:r w:rsidR="00306BF5" w:rsidRPr="00F562A8">
        <w:rPr>
          <w:rFonts w:ascii="Times New Roman" w:hAnsi="Times New Roman" w:cs="Times New Roman"/>
          <w:i/>
          <w:sz w:val="26"/>
          <w:szCs w:val="26"/>
        </w:rPr>
        <w:t xml:space="preserve">Расчет кадастровой стоимости земельных участков группы </w:t>
      </w:r>
      <w:r w:rsidR="00A44D3E" w:rsidRPr="00A44D3E">
        <w:rPr>
          <w:rFonts w:ascii="Times New Roman" w:hAnsi="Times New Roman" w:cs="Times New Roman"/>
          <w:i/>
          <w:sz w:val="26"/>
          <w:szCs w:val="26"/>
        </w:rPr>
        <w:t>ПРЕДПРИНИМАТЕЛЬСТВО</w:t>
      </w:r>
      <w:r w:rsidR="00A44D3E">
        <w:rPr>
          <w:rFonts w:ascii="Times New Roman" w:hAnsi="Times New Roman" w:cs="Times New Roman"/>
          <w:i/>
          <w:sz w:val="26"/>
          <w:szCs w:val="26"/>
        </w:rPr>
        <w:t>/</w:t>
      </w:r>
      <w:r w:rsidR="00A44D3E" w:rsidRPr="00A44D3E">
        <w:rPr>
          <w:rFonts w:ascii="Times New Roman" w:hAnsi="Times New Roman" w:cs="Times New Roman"/>
          <w:i/>
          <w:sz w:val="26"/>
          <w:szCs w:val="26"/>
        </w:rPr>
        <w:t>ВОРОНЕЖ</w:t>
      </w:r>
      <w:bookmarkEnd w:id="212"/>
    </w:p>
    <w:p w14:paraId="62217332" w14:textId="554B7632" w:rsidR="002163ED" w:rsidRPr="00F562A8" w:rsidRDefault="002163ED" w:rsidP="006F6435">
      <w:pPr>
        <w:spacing w:after="0" w:line="276" w:lineRule="auto"/>
        <w:ind w:firstLine="567"/>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  Перечень объектов оценки данной группы приведен в Приложении 2/2</w:t>
      </w:r>
      <w:r w:rsidR="000610AA" w:rsidRPr="00F562A8">
        <w:rPr>
          <w:rFonts w:ascii="Times New Roman" w:eastAsiaTheme="minorEastAsia" w:hAnsi="Times New Roman" w:cs="Times New Roman"/>
          <w:sz w:val="26"/>
          <w:szCs w:val="26"/>
        </w:rPr>
        <w:t>.</w:t>
      </w:r>
      <w:r w:rsidRPr="00F562A8">
        <w:rPr>
          <w:rFonts w:ascii="Times New Roman" w:eastAsiaTheme="minorEastAsia" w:hAnsi="Times New Roman" w:cs="Times New Roman"/>
          <w:sz w:val="26"/>
          <w:szCs w:val="26"/>
        </w:rPr>
        <w:t>4</w:t>
      </w:r>
      <w:r w:rsidR="004F4695">
        <w:rPr>
          <w:rFonts w:ascii="Times New Roman" w:eastAsiaTheme="minorEastAsia" w:hAnsi="Times New Roman" w:cs="Times New Roman"/>
          <w:sz w:val="26"/>
          <w:szCs w:val="26"/>
        </w:rPr>
        <w:t>/2.4.4</w:t>
      </w:r>
    </w:p>
    <w:p w14:paraId="6890A2BA" w14:textId="4C6F987E" w:rsidR="00391992" w:rsidRDefault="00391992" w:rsidP="00D75A9A">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w:t>
      </w:r>
      <w:r w:rsidRPr="00391992">
        <w:rPr>
          <w:rFonts w:ascii="Times New Roman" w:hAnsi="Times New Roman" w:cs="Times New Roman"/>
          <w:sz w:val="26"/>
          <w:szCs w:val="26"/>
        </w:rPr>
        <w:t>группы ПРЕДПРИНИМАТЕЛЬСТВО/ВОРОНЕЖ</w:t>
      </w:r>
      <w:r>
        <w:rPr>
          <w:rFonts w:ascii="Times New Roman" w:hAnsi="Times New Roman" w:cs="Times New Roman"/>
          <w:sz w:val="26"/>
          <w:szCs w:val="26"/>
        </w:rPr>
        <w:t xml:space="preserve">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Pr>
          <w:rFonts w:ascii="Times New Roman" w:hAnsi="Times New Roman" w:cs="Times New Roman"/>
          <w:sz w:val="26"/>
          <w:szCs w:val="26"/>
        </w:rPr>
        <w:t xml:space="preserve"> </w:t>
      </w:r>
      <w:r w:rsidRPr="00391992">
        <w:rPr>
          <w:rFonts w:ascii="Times New Roman" w:hAnsi="Times New Roman" w:cs="Times New Roman"/>
          <w:sz w:val="26"/>
          <w:szCs w:val="26"/>
        </w:rPr>
        <w:t>04:000, 01:183, 02:017, 02:053, 02:063, 03:063, 03:064, 04:010, 04:020, 04:030, 04:040, 04:050, 04:060, 04:080, 04:081, 04:082, 04:083, 04:084, 04:096, 04:100, 05:013, 05:050, 08:021</w:t>
      </w:r>
      <w:r>
        <w:rPr>
          <w:rFonts w:ascii="Times New Roman" w:hAnsi="Times New Roman" w:cs="Times New Roman"/>
          <w:sz w:val="26"/>
          <w:szCs w:val="26"/>
        </w:rPr>
        <w:t>.</w:t>
      </w:r>
    </w:p>
    <w:p w14:paraId="7992B0E1" w14:textId="191227E1" w:rsidR="00306BF5" w:rsidRPr="00F562A8" w:rsidRDefault="00306BF5" w:rsidP="00D75A9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A44D3E" w:rsidRPr="00A44D3E">
        <w:rPr>
          <w:rFonts w:ascii="Times New Roman" w:hAnsi="Times New Roman" w:cs="Times New Roman"/>
          <w:sz w:val="26"/>
          <w:szCs w:val="26"/>
        </w:rPr>
        <w:t xml:space="preserve">ПРЕДПРИНИМАТЕЛЬСТВО/ВОРОНЕЖ </w:t>
      </w:r>
      <w:r w:rsidRPr="00A44D3E">
        <w:rPr>
          <w:rFonts w:ascii="Times New Roman" w:hAnsi="Times New Roman" w:cs="Times New Roman"/>
          <w:sz w:val="26"/>
          <w:szCs w:val="26"/>
        </w:rPr>
        <w:t>использовались</w:t>
      </w:r>
      <w:r w:rsidRPr="00F562A8">
        <w:rPr>
          <w:rFonts w:ascii="Times New Roman" w:hAnsi="Times New Roman" w:cs="Times New Roman"/>
          <w:sz w:val="26"/>
          <w:szCs w:val="26"/>
        </w:rPr>
        <w:t xml:space="preserve">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0B989656" w14:textId="3C4761D1"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615491">
        <w:rPr>
          <w:rFonts w:ascii="Times New Roman" w:hAnsi="Times New Roman" w:cs="Times New Roman"/>
          <w:sz w:val="26"/>
          <w:szCs w:val="26"/>
        </w:rPr>
        <w:t>45.1.1</w:t>
      </w:r>
      <w:r w:rsidRPr="00F562A8">
        <w:rPr>
          <w:rFonts w:ascii="Times New Roman" w:hAnsi="Times New Roman" w:cs="Times New Roman"/>
          <w:sz w:val="26"/>
          <w:szCs w:val="26"/>
        </w:rPr>
        <w:t xml:space="preserve">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77CC189C"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6BD921CA"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03F22BD0"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7C876D8D"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7282B3C1"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1B36E4EF"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7769DA9F" w14:textId="77777777" w:rsidR="00072205" w:rsidRPr="00F562A8" w:rsidRDefault="00306BF5" w:rsidP="00072205">
      <w:pPr>
        <w:tabs>
          <w:tab w:val="left" w:pos="1890"/>
        </w:tabs>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г.о.г Воронеж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12 </w:t>
      </w:r>
      <w:r w:rsidR="00072205" w:rsidRPr="00F562A8">
        <w:rPr>
          <w:rFonts w:ascii="Times New Roman" w:hAnsi="Times New Roman" w:cs="Times New Roman"/>
          <w:sz w:val="26"/>
          <w:szCs w:val="26"/>
        </w:rPr>
        <w:t>представлены в таблиц</w:t>
      </w:r>
      <w:r w:rsidR="00072205">
        <w:rPr>
          <w:rFonts w:ascii="Times New Roman" w:hAnsi="Times New Roman" w:cs="Times New Roman"/>
          <w:sz w:val="26"/>
          <w:szCs w:val="26"/>
        </w:rPr>
        <w:t>ах</w:t>
      </w:r>
      <w:r w:rsidR="00072205" w:rsidRPr="00F562A8">
        <w:rPr>
          <w:rFonts w:ascii="Times New Roman" w:hAnsi="Times New Roman" w:cs="Times New Roman"/>
          <w:sz w:val="26"/>
          <w:szCs w:val="26"/>
        </w:rPr>
        <w:t xml:space="preserve"> </w:t>
      </w:r>
      <w:r w:rsidR="00072205" w:rsidRPr="00F562A8">
        <w:rPr>
          <w:rFonts w:ascii="Times New Roman" w:eastAsia="Times New Roman" w:hAnsi="Times New Roman" w:cs="Times New Roman"/>
          <w:sz w:val="26"/>
          <w:szCs w:val="26"/>
        </w:rPr>
        <w:t>3.</w:t>
      </w:r>
      <w:r w:rsidR="00072205">
        <w:rPr>
          <w:rFonts w:ascii="Times New Roman" w:eastAsia="Times New Roman" w:hAnsi="Times New Roman" w:cs="Times New Roman"/>
          <w:sz w:val="26"/>
          <w:szCs w:val="26"/>
        </w:rPr>
        <w:t>4 и 3.5, пунктов 3.4 и 3.5 соответственно</w:t>
      </w:r>
      <w:r w:rsidR="00072205" w:rsidRPr="00F562A8">
        <w:rPr>
          <w:rFonts w:ascii="Times New Roman" w:hAnsi="Times New Roman" w:cs="Times New Roman"/>
          <w:sz w:val="26"/>
          <w:szCs w:val="26"/>
        </w:rPr>
        <w:t>.</w:t>
      </w:r>
    </w:p>
    <w:p w14:paraId="216965C7" w14:textId="20EA00E1"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63723D10" w14:textId="77777777" w:rsidR="00306BF5" w:rsidRPr="00C654CB"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w:t>
      </w:r>
      <w:r w:rsidRPr="00C654CB">
        <w:rPr>
          <w:rFonts w:ascii="Times New Roman" w:hAnsi="Times New Roman" w:cs="Times New Roman"/>
          <w:sz w:val="26"/>
          <w:szCs w:val="26"/>
        </w:rPr>
        <w:t xml:space="preserve">к. </w:t>
      </w:r>
    </w:p>
    <w:p w14:paraId="309D6A60" w14:textId="75F79886" w:rsidR="00306BF5" w:rsidRPr="00C654CB" w:rsidRDefault="00306BF5" w:rsidP="006F6435">
      <w:pPr>
        <w:spacing w:after="0" w:line="276" w:lineRule="auto"/>
        <w:ind w:firstLine="709"/>
        <w:jc w:val="both"/>
        <w:rPr>
          <w:rFonts w:ascii="Times New Roman" w:hAnsi="Times New Roman" w:cs="Times New Roman"/>
          <w:sz w:val="26"/>
          <w:szCs w:val="26"/>
        </w:rPr>
      </w:pPr>
      <w:r w:rsidRPr="00C654CB">
        <w:rPr>
          <w:rFonts w:ascii="Times New Roman" w:hAnsi="Times New Roman" w:cs="Times New Roman"/>
          <w:sz w:val="26"/>
          <w:szCs w:val="26"/>
        </w:rPr>
        <w:t xml:space="preserve">В данном случае таких факторов было выявлено </w:t>
      </w:r>
      <w:r w:rsidR="00C654CB" w:rsidRPr="00C654CB">
        <w:rPr>
          <w:rFonts w:ascii="Times New Roman" w:hAnsi="Times New Roman" w:cs="Times New Roman"/>
          <w:sz w:val="26"/>
          <w:szCs w:val="26"/>
        </w:rPr>
        <w:t>2</w:t>
      </w:r>
      <w:r w:rsidRPr="00C654CB">
        <w:rPr>
          <w:rFonts w:ascii="Times New Roman" w:hAnsi="Times New Roman" w:cs="Times New Roman"/>
          <w:sz w:val="26"/>
          <w:szCs w:val="26"/>
        </w:rPr>
        <w:t>:</w:t>
      </w:r>
    </w:p>
    <w:p w14:paraId="2206BD5E" w14:textId="3E2EE6AD" w:rsidR="00306BF5" w:rsidRPr="00C654CB" w:rsidRDefault="00306BF5" w:rsidP="006F6435">
      <w:pPr>
        <w:spacing w:after="0" w:line="276" w:lineRule="auto"/>
        <w:ind w:firstLine="709"/>
        <w:jc w:val="both"/>
        <w:rPr>
          <w:rFonts w:ascii="Times New Roman" w:hAnsi="Times New Roman" w:cs="Times New Roman"/>
          <w:sz w:val="26"/>
          <w:szCs w:val="26"/>
        </w:rPr>
      </w:pPr>
      <w:r w:rsidRPr="00C654CB">
        <w:rPr>
          <w:rFonts w:ascii="Times New Roman" w:hAnsi="Times New Roman" w:cs="Times New Roman"/>
          <w:sz w:val="26"/>
          <w:szCs w:val="26"/>
        </w:rPr>
        <w:t xml:space="preserve">- </w:t>
      </w:r>
      <w:r w:rsidR="00C654CB">
        <w:rPr>
          <w:rFonts w:ascii="Times New Roman" w:hAnsi="Times New Roman" w:cs="Times New Roman"/>
          <w:sz w:val="26"/>
          <w:szCs w:val="26"/>
        </w:rPr>
        <w:t>р</w:t>
      </w:r>
      <w:r w:rsidR="00C654CB" w:rsidRPr="00C654CB">
        <w:rPr>
          <w:rFonts w:ascii="Times New Roman" w:hAnsi="Times New Roman" w:cs="Times New Roman"/>
          <w:sz w:val="26"/>
          <w:szCs w:val="26"/>
        </w:rPr>
        <w:t>асстояние объекта до центра населенного пункта</w:t>
      </w:r>
      <w:r w:rsidRPr="00C654CB">
        <w:rPr>
          <w:rFonts w:ascii="Times New Roman" w:hAnsi="Times New Roman" w:cs="Times New Roman"/>
          <w:sz w:val="26"/>
          <w:szCs w:val="26"/>
        </w:rPr>
        <w:t>: Х</w:t>
      </w:r>
      <w:r w:rsidRPr="00C654CB">
        <w:rPr>
          <w:rFonts w:ascii="Times New Roman" w:hAnsi="Times New Roman" w:cs="Times New Roman"/>
          <w:sz w:val="26"/>
          <w:szCs w:val="26"/>
          <w:vertAlign w:val="subscript"/>
        </w:rPr>
        <w:t>0</w:t>
      </w:r>
      <w:r w:rsidRPr="00C654CB">
        <w:rPr>
          <w:rFonts w:ascii="Times New Roman" w:hAnsi="Times New Roman" w:cs="Times New Roman"/>
          <w:sz w:val="26"/>
          <w:szCs w:val="26"/>
        </w:rPr>
        <w:t>;</w:t>
      </w:r>
    </w:p>
    <w:p w14:paraId="779B867A" w14:textId="43BAF2B5" w:rsidR="00306BF5" w:rsidRPr="00C654CB" w:rsidRDefault="00306BF5" w:rsidP="006F6435">
      <w:pPr>
        <w:spacing w:after="0" w:line="276" w:lineRule="auto"/>
        <w:ind w:firstLine="709"/>
        <w:jc w:val="both"/>
        <w:rPr>
          <w:rFonts w:ascii="Times New Roman" w:hAnsi="Times New Roman" w:cs="Times New Roman"/>
          <w:sz w:val="26"/>
          <w:szCs w:val="26"/>
        </w:rPr>
      </w:pPr>
      <w:r w:rsidRPr="00C654CB">
        <w:rPr>
          <w:rFonts w:ascii="Times New Roman" w:hAnsi="Times New Roman" w:cs="Times New Roman"/>
          <w:sz w:val="26"/>
          <w:szCs w:val="26"/>
        </w:rPr>
        <w:t xml:space="preserve">- </w:t>
      </w:r>
      <w:r w:rsidR="00C654CB">
        <w:rPr>
          <w:rFonts w:ascii="Times New Roman" w:hAnsi="Times New Roman" w:cs="Times New Roman"/>
          <w:sz w:val="26"/>
          <w:szCs w:val="26"/>
        </w:rPr>
        <w:t>ц</w:t>
      </w:r>
      <w:r w:rsidR="00C654CB" w:rsidRPr="00C654CB">
        <w:rPr>
          <w:rFonts w:ascii="Times New Roman" w:hAnsi="Times New Roman" w:cs="Times New Roman"/>
          <w:sz w:val="26"/>
          <w:szCs w:val="26"/>
        </w:rPr>
        <w:t>ентральное теплоснабжение</w:t>
      </w:r>
      <w:r w:rsidRPr="00C654CB">
        <w:rPr>
          <w:rFonts w:ascii="Times New Roman" w:hAnsi="Times New Roman" w:cs="Times New Roman"/>
          <w:sz w:val="26"/>
          <w:szCs w:val="26"/>
        </w:rPr>
        <w:t>: Х</w:t>
      </w:r>
      <w:r w:rsidRPr="00C654CB">
        <w:rPr>
          <w:rFonts w:ascii="Times New Roman" w:hAnsi="Times New Roman" w:cs="Times New Roman"/>
          <w:sz w:val="26"/>
          <w:szCs w:val="26"/>
          <w:vertAlign w:val="subscript"/>
        </w:rPr>
        <w:t>1</w:t>
      </w:r>
      <w:r w:rsidR="00C654CB" w:rsidRPr="00C654CB">
        <w:rPr>
          <w:rFonts w:ascii="Times New Roman" w:hAnsi="Times New Roman" w:cs="Times New Roman"/>
          <w:sz w:val="26"/>
          <w:szCs w:val="26"/>
        </w:rPr>
        <w:t>.</w:t>
      </w:r>
    </w:p>
    <w:p w14:paraId="01A55E55"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40209DFF"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3E5A258A" w14:textId="0726B716"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220BC0" w:rsidRPr="00F562A8">
        <w:rPr>
          <w:rFonts w:ascii="Times New Roman" w:hAnsi="Times New Roman" w:cs="Times New Roman"/>
          <w:sz w:val="26"/>
          <w:szCs w:val="26"/>
        </w:rPr>
        <w:t>двух</w:t>
      </w:r>
      <w:r w:rsidRPr="00F562A8">
        <w:rPr>
          <w:rFonts w:ascii="Times New Roman" w:hAnsi="Times New Roman" w:cs="Times New Roman"/>
          <w:sz w:val="26"/>
          <w:szCs w:val="26"/>
        </w:rPr>
        <w:t>факторные модели:</w:t>
      </w:r>
    </w:p>
    <w:p w14:paraId="235F05A3" w14:textId="77777777" w:rsidR="00306BF5" w:rsidRPr="00F562A8" w:rsidRDefault="00306BF5" w:rsidP="006F6435">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5FCE0B65" wp14:editId="7E980352">
            <wp:extent cx="2209800" cy="247650"/>
            <wp:effectExtent l="0" t="0" r="0" b="0"/>
            <wp:docPr id="206" name="Рисунок 206"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0F680447"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28C454A1" wp14:editId="0EEF7770">
            <wp:extent cx="1352550" cy="266700"/>
            <wp:effectExtent l="0" t="0" r="0" b="0"/>
            <wp:docPr id="207" name="Рисунок 207"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2478C4E7"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13C5BA17" wp14:editId="2380B2E3">
            <wp:extent cx="1266825" cy="266700"/>
            <wp:effectExtent l="0" t="0" r="0" b="0"/>
            <wp:docPr id="208" name="Рисунок 208"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482692BB"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0AD7EE59"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18DF7AB7"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1B5B8097" wp14:editId="2060D755">
            <wp:extent cx="209550" cy="247650"/>
            <wp:effectExtent l="0" t="0" r="0" b="0"/>
            <wp:docPr id="209" name="Рисунок 209"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3E318D61" wp14:editId="0E09903E">
            <wp:extent cx="200025" cy="247650"/>
            <wp:effectExtent l="0" t="0" r="9525" b="0"/>
            <wp:docPr id="210" name="Рисунок 210"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1FEF5160" wp14:editId="3B1181DA">
            <wp:extent cx="209550" cy="247650"/>
            <wp:effectExtent l="0" t="0" r="0" b="0"/>
            <wp:docPr id="211" name="Рисунок 211"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507382AA" w14:textId="375340E3" w:rsidR="00306BF5" w:rsidRPr="00F562A8" w:rsidRDefault="00E23F61" w:rsidP="006F6435">
      <w:pPr>
        <w:spacing w:after="0" w:line="276" w:lineRule="auto"/>
        <w:jc w:val="center"/>
        <w:rPr>
          <w:rFonts w:ascii="Times New Roman" w:hAnsi="Times New Roman" w:cs="Times New Roman"/>
          <w:lang w:val="en-US"/>
        </w:rPr>
      </w:pPr>
      <w:r w:rsidRPr="0038406B">
        <w:rPr>
          <w:noProof/>
          <w:lang w:eastAsia="ru-RU"/>
        </w:rPr>
        <w:drawing>
          <wp:inline distT="0" distB="0" distL="0" distR="0" wp14:anchorId="7F5C1553" wp14:editId="7EAFBF85">
            <wp:extent cx="5939790" cy="1094623"/>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939790" cy="1094623"/>
                    </a:xfrm>
                    <a:prstGeom prst="rect">
                      <a:avLst/>
                    </a:prstGeom>
                  </pic:spPr>
                </pic:pic>
              </a:graphicData>
            </a:graphic>
          </wp:inline>
        </w:drawing>
      </w:r>
    </w:p>
    <w:p w14:paraId="7A6898D5" w14:textId="210A72A5"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3A42F0" w:rsidRPr="00F562A8">
        <w:rPr>
          <w:rFonts w:ascii="Times New Roman" w:hAnsi="Times New Roman" w:cs="Times New Roman"/>
          <w:sz w:val="26"/>
          <w:szCs w:val="26"/>
        </w:rPr>
        <w:t xml:space="preserve"> 3.6.4.1</w:t>
      </w:r>
      <w:r w:rsidR="00DA57FC">
        <w:rPr>
          <w:rFonts w:ascii="Times New Roman" w:hAnsi="Times New Roman" w:cs="Times New Roman"/>
          <w:sz w:val="26"/>
          <w:szCs w:val="26"/>
        </w:rPr>
        <w:t>.</w:t>
      </w:r>
      <w:r w:rsidR="00076D7D">
        <w:rPr>
          <w:rFonts w:ascii="Times New Roman" w:hAnsi="Times New Roman" w:cs="Times New Roman"/>
          <w:sz w:val="26"/>
          <w:szCs w:val="26"/>
        </w:rPr>
        <w:t>1</w:t>
      </w:r>
      <w:r w:rsidR="003A42F0" w:rsidRPr="00F562A8">
        <w:rPr>
          <w:rFonts w:ascii="Times New Roman" w:hAnsi="Times New Roman" w:cs="Times New Roman"/>
          <w:sz w:val="26"/>
          <w:szCs w:val="26"/>
        </w:rPr>
        <w:t xml:space="preserve"> </w:t>
      </w:r>
      <w:r w:rsidRPr="00F562A8">
        <w:rPr>
          <w:rFonts w:ascii="Times New Roman" w:hAnsi="Times New Roman" w:cs="Times New Roman"/>
          <w:sz w:val="26"/>
          <w:szCs w:val="26"/>
        </w:rPr>
        <w:t xml:space="preserve">- Множественные регрессионные </w:t>
      </w:r>
      <w:r w:rsidR="00220BC0" w:rsidRPr="00F562A8">
        <w:rPr>
          <w:rFonts w:ascii="Times New Roman" w:hAnsi="Times New Roman" w:cs="Times New Roman"/>
          <w:sz w:val="26"/>
          <w:szCs w:val="26"/>
        </w:rPr>
        <w:t>двух</w:t>
      </w:r>
      <w:r w:rsidRPr="00F562A8">
        <w:rPr>
          <w:rFonts w:ascii="Times New Roman" w:hAnsi="Times New Roman" w:cs="Times New Roman"/>
          <w:sz w:val="26"/>
          <w:szCs w:val="26"/>
        </w:rPr>
        <w:t>факторные модели</w:t>
      </w:r>
    </w:p>
    <w:p w14:paraId="19BC24DC" w14:textId="19E01421"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61DEBA9A"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38A98601"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5A86A8F5"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7B0C9B9D"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2DBAC35B"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70E5547F"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28E76F32"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51A189BC" w14:textId="3A395A5B" w:rsidR="00306BF5" w:rsidRPr="00F562A8" w:rsidRDefault="00E23F61" w:rsidP="006F6435">
      <w:pPr>
        <w:spacing w:after="0" w:line="276" w:lineRule="auto"/>
        <w:jc w:val="both"/>
        <w:rPr>
          <w:rFonts w:ascii="Times New Roman" w:hAnsi="Times New Roman" w:cs="Times New Roman"/>
        </w:rPr>
      </w:pPr>
      <w:r w:rsidRPr="0038406B">
        <w:rPr>
          <w:noProof/>
          <w:lang w:eastAsia="ru-RU"/>
        </w:rPr>
        <w:drawing>
          <wp:inline distT="0" distB="0" distL="0" distR="0" wp14:anchorId="27B2BA5A" wp14:editId="7EF26BDE">
            <wp:extent cx="5905500" cy="1247852"/>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8"/>
                    <a:srcRect r="7268"/>
                    <a:stretch/>
                  </pic:blipFill>
                  <pic:spPr bwMode="auto">
                    <a:xfrm>
                      <a:off x="0" y="0"/>
                      <a:ext cx="5919145" cy="1250735"/>
                    </a:xfrm>
                    <a:prstGeom prst="rect">
                      <a:avLst/>
                    </a:prstGeom>
                    <a:ln>
                      <a:noFill/>
                    </a:ln>
                    <a:extLst>
                      <a:ext uri="{53640926-AAD7-44D8-BBD7-CCE9431645EC}">
                        <a14:shadowObscured xmlns:a14="http://schemas.microsoft.com/office/drawing/2010/main"/>
                      </a:ext>
                    </a:extLst>
                  </pic:spPr>
                </pic:pic>
              </a:graphicData>
            </a:graphic>
          </wp:inline>
        </w:drawing>
      </w:r>
    </w:p>
    <w:p w14:paraId="3D2DD075" w14:textId="3F03EA38" w:rsidR="00306BF5" w:rsidRPr="00F562A8" w:rsidRDefault="00306BF5" w:rsidP="006F6435">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3A42F0" w:rsidRPr="00F562A8">
        <w:rPr>
          <w:rFonts w:ascii="Times New Roman" w:hAnsi="Times New Roman" w:cs="Times New Roman"/>
          <w:sz w:val="26"/>
          <w:szCs w:val="26"/>
        </w:rPr>
        <w:t xml:space="preserve"> 3.6.4.</w:t>
      </w:r>
      <w:r w:rsidR="00DA57FC">
        <w:rPr>
          <w:rFonts w:ascii="Times New Roman" w:hAnsi="Times New Roman" w:cs="Times New Roman"/>
          <w:sz w:val="26"/>
          <w:szCs w:val="26"/>
        </w:rPr>
        <w:t>1.</w:t>
      </w:r>
      <w:r w:rsidR="00076D7D">
        <w:rPr>
          <w:rFonts w:ascii="Times New Roman" w:hAnsi="Times New Roman" w:cs="Times New Roman"/>
          <w:sz w:val="26"/>
          <w:szCs w:val="26"/>
        </w:rPr>
        <w:t>2</w:t>
      </w:r>
      <w:r w:rsidR="003A42F0" w:rsidRPr="00F562A8">
        <w:rPr>
          <w:rFonts w:ascii="Times New Roman" w:hAnsi="Times New Roman" w:cs="Times New Roman"/>
          <w:sz w:val="26"/>
          <w:szCs w:val="26"/>
        </w:rPr>
        <w:t xml:space="preserve"> </w:t>
      </w:r>
      <w:r w:rsidRPr="00F562A8">
        <w:rPr>
          <w:rFonts w:ascii="Times New Roman" w:hAnsi="Times New Roman" w:cs="Times New Roman"/>
          <w:sz w:val="26"/>
          <w:szCs w:val="26"/>
        </w:rPr>
        <w:t>-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21A2E635"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01664098"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4AC8C9AE"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13EDF67A" w14:textId="22359472" w:rsidR="00306BF5" w:rsidRPr="00F562A8" w:rsidRDefault="00E23F61" w:rsidP="006F6435">
      <w:pPr>
        <w:spacing w:after="0" w:line="276" w:lineRule="auto"/>
        <w:jc w:val="center"/>
        <w:rPr>
          <w:rFonts w:ascii="Times New Roman" w:hAnsi="Times New Roman" w:cs="Times New Roman"/>
          <w:lang w:val="en-US"/>
        </w:rPr>
      </w:pPr>
      <w:r w:rsidRPr="0038406B">
        <w:rPr>
          <w:noProof/>
          <w:lang w:eastAsia="ru-RU"/>
        </w:rPr>
        <w:drawing>
          <wp:inline distT="0" distB="0" distL="0" distR="0" wp14:anchorId="47C849A0" wp14:editId="69BD676C">
            <wp:extent cx="3086531" cy="1038370"/>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086531" cy="1038370"/>
                    </a:xfrm>
                    <a:prstGeom prst="rect">
                      <a:avLst/>
                    </a:prstGeom>
                  </pic:spPr>
                </pic:pic>
              </a:graphicData>
            </a:graphic>
          </wp:inline>
        </w:drawing>
      </w:r>
    </w:p>
    <w:p w14:paraId="2B15523B" w14:textId="0CD6FC9F" w:rsidR="00306BF5" w:rsidRPr="00F562A8" w:rsidRDefault="00306BF5" w:rsidP="006F6435">
      <w:pPr>
        <w:spacing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w:t>
      </w:r>
      <w:r w:rsidR="003A42F0" w:rsidRPr="00F562A8">
        <w:rPr>
          <w:rFonts w:ascii="Times New Roman" w:hAnsi="Times New Roman" w:cs="Times New Roman"/>
          <w:sz w:val="26"/>
          <w:szCs w:val="26"/>
        </w:rPr>
        <w:t xml:space="preserve"> 3.6.4.</w:t>
      </w:r>
      <w:r w:rsidR="00DA57FC">
        <w:rPr>
          <w:rFonts w:ascii="Times New Roman" w:hAnsi="Times New Roman" w:cs="Times New Roman"/>
          <w:sz w:val="26"/>
          <w:szCs w:val="26"/>
        </w:rPr>
        <w:t>1.</w:t>
      </w:r>
      <w:r w:rsidR="00076D7D">
        <w:rPr>
          <w:rFonts w:ascii="Times New Roman" w:hAnsi="Times New Roman" w:cs="Times New Roman"/>
          <w:sz w:val="26"/>
          <w:szCs w:val="26"/>
        </w:rPr>
        <w:t>3</w:t>
      </w:r>
      <w:r w:rsidR="003A42F0" w:rsidRPr="00F562A8">
        <w:rPr>
          <w:rFonts w:ascii="Times New Roman" w:hAnsi="Times New Roman" w:cs="Times New Roman"/>
          <w:sz w:val="26"/>
          <w:szCs w:val="26"/>
        </w:rPr>
        <w:t xml:space="preserve"> </w:t>
      </w:r>
      <w:r w:rsidRPr="00F562A8">
        <w:rPr>
          <w:rFonts w:ascii="Times New Roman" w:hAnsi="Times New Roman" w:cs="Times New Roman"/>
          <w:sz w:val="26"/>
          <w:szCs w:val="26"/>
        </w:rPr>
        <w:t>- Значения F-критерия Фишера</w:t>
      </w:r>
    </w:p>
    <w:p w14:paraId="6C0065D7"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38514161" w14:textId="77777777" w:rsidR="001E16E2" w:rsidRPr="001E16E2" w:rsidRDefault="00306BF5" w:rsidP="00DF6EE0">
      <w:pPr>
        <w:spacing w:after="0" w:line="240" w:lineRule="auto"/>
        <w:ind w:firstLine="709"/>
        <w:jc w:val="both"/>
        <w:rPr>
          <w:rFonts w:ascii="Times New Roman" w:hAnsi="Times New Roman" w:cs="Times New Roman"/>
          <w:i/>
          <w:sz w:val="26"/>
          <w:szCs w:val="26"/>
        </w:rPr>
      </w:pPr>
      <w:r w:rsidRPr="00F562A8">
        <w:rPr>
          <w:rFonts w:ascii="Times New Roman" w:hAnsi="Times New Roman" w:cs="Times New Roman"/>
          <w:i/>
          <w:sz w:val="26"/>
          <w:szCs w:val="26"/>
        </w:rPr>
        <w:t xml:space="preserve">УПКС = </w:t>
      </w:r>
      <w:r w:rsidR="001E16E2" w:rsidRPr="001E16E2">
        <w:rPr>
          <w:rFonts w:ascii="Times New Roman" w:hAnsi="Times New Roman" w:cs="Times New Roman"/>
          <w:i/>
          <w:sz w:val="26"/>
          <w:szCs w:val="26"/>
        </w:rPr>
        <w:t xml:space="preserve">985.111635300901*e^(+0.000113033373751342*((16809.646+-1550.859-гнп </w:t>
      </w:r>
      <w:bookmarkStart w:id="213" w:name="_Hlk106524970"/>
      <w:r w:rsidR="001E16E2" w:rsidRPr="001E16E2">
        <w:rPr>
          <w:rFonts w:ascii="Times New Roman" w:hAnsi="Times New Roman" w:cs="Times New Roman"/>
          <w:i/>
          <w:sz w:val="26"/>
          <w:szCs w:val="26"/>
        </w:rPr>
        <w:t>Расстояние объекта до центра населенного пункта</w:t>
      </w:r>
      <w:bookmarkEnd w:id="213"/>
      <w:r w:rsidR="001E16E2" w:rsidRPr="001E16E2">
        <w:rPr>
          <w:rFonts w:ascii="Times New Roman" w:hAnsi="Times New Roman" w:cs="Times New Roman"/>
          <w:i/>
          <w:sz w:val="26"/>
          <w:szCs w:val="26"/>
        </w:rPr>
        <w:t xml:space="preserve">))+0.741672520371616*([гнп </w:t>
      </w:r>
      <w:bookmarkStart w:id="214" w:name="_Hlk106524984"/>
      <w:r w:rsidR="001E16E2" w:rsidRPr="001E16E2">
        <w:rPr>
          <w:rFonts w:ascii="Times New Roman" w:hAnsi="Times New Roman" w:cs="Times New Roman"/>
          <w:i/>
          <w:sz w:val="26"/>
          <w:szCs w:val="26"/>
        </w:rPr>
        <w:t>Центральное теплоснабжение</w:t>
      </w:r>
      <w:bookmarkEnd w:id="214"/>
      <w:r w:rsidR="001E16E2" w:rsidRPr="001E16E2">
        <w:rPr>
          <w:rFonts w:ascii="Times New Roman" w:hAnsi="Times New Roman" w:cs="Times New Roman"/>
          <w:i/>
          <w:sz w:val="26"/>
          <w:szCs w:val="26"/>
        </w:rPr>
        <w:t>]))</w:t>
      </w:r>
    </w:p>
    <w:p w14:paraId="21C7B81B" w14:textId="16E5B9EF"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32618151" w14:textId="1D370558" w:rsidR="00306BF5" w:rsidRPr="00F562A8" w:rsidRDefault="00E23F61" w:rsidP="006F6435">
      <w:pPr>
        <w:spacing w:after="0" w:line="276" w:lineRule="auto"/>
        <w:jc w:val="center"/>
        <w:rPr>
          <w:rFonts w:ascii="Times New Roman" w:hAnsi="Times New Roman" w:cs="Times New Roman"/>
          <w:i/>
          <w:szCs w:val="24"/>
        </w:rPr>
      </w:pPr>
      <w:r w:rsidRPr="0038406B">
        <w:rPr>
          <w:noProof/>
          <w:lang w:eastAsia="ru-RU"/>
        </w:rPr>
        <w:drawing>
          <wp:inline distT="0" distB="0" distL="0" distR="0" wp14:anchorId="198A6108" wp14:editId="2708F1F5">
            <wp:extent cx="5939790" cy="3074976"/>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939790" cy="3074976"/>
                    </a:xfrm>
                    <a:prstGeom prst="rect">
                      <a:avLst/>
                    </a:prstGeom>
                  </pic:spPr>
                </pic:pic>
              </a:graphicData>
            </a:graphic>
          </wp:inline>
        </w:drawing>
      </w:r>
    </w:p>
    <w:p w14:paraId="61AABD91" w14:textId="338D84B9"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3A42F0" w:rsidRPr="00F562A8">
        <w:rPr>
          <w:rFonts w:ascii="Times New Roman" w:hAnsi="Times New Roman" w:cs="Times New Roman"/>
          <w:sz w:val="26"/>
          <w:szCs w:val="26"/>
        </w:rPr>
        <w:t xml:space="preserve"> 3.6.4.</w:t>
      </w:r>
      <w:r w:rsidR="00DA57FC">
        <w:rPr>
          <w:rFonts w:ascii="Times New Roman" w:hAnsi="Times New Roman" w:cs="Times New Roman"/>
          <w:sz w:val="26"/>
          <w:szCs w:val="26"/>
        </w:rPr>
        <w:t>1.</w:t>
      </w:r>
      <w:r w:rsidR="00076D7D">
        <w:rPr>
          <w:rFonts w:ascii="Times New Roman" w:hAnsi="Times New Roman" w:cs="Times New Roman"/>
          <w:sz w:val="26"/>
          <w:szCs w:val="26"/>
        </w:rPr>
        <w:t>4</w:t>
      </w:r>
      <w:r w:rsidR="00E86619" w:rsidRPr="00F562A8">
        <w:rPr>
          <w:rFonts w:ascii="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6E3745E7" w14:textId="1EB955AC"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Как видно из статистических показателей, представленных выше, все коэффициенты регрессионной модели значимые. </w:t>
      </w:r>
      <w:r w:rsidR="00262211" w:rsidRPr="00A31B13">
        <w:rPr>
          <w:rFonts w:ascii="Times New Roman" w:hAnsi="Times New Roman" w:cs="Times New Roman"/>
          <w:sz w:val="26"/>
          <w:szCs w:val="26"/>
        </w:rPr>
        <w:t>Связь между фактор</w:t>
      </w:r>
      <w:r w:rsidR="00A31B13" w:rsidRPr="00A31B13">
        <w:rPr>
          <w:rFonts w:ascii="Times New Roman" w:hAnsi="Times New Roman" w:cs="Times New Roman"/>
          <w:sz w:val="26"/>
          <w:szCs w:val="26"/>
        </w:rPr>
        <w:t>о</w:t>
      </w:r>
      <w:r w:rsidR="00262211" w:rsidRPr="00A31B13">
        <w:rPr>
          <w:rFonts w:ascii="Times New Roman" w:hAnsi="Times New Roman" w:cs="Times New Roman"/>
          <w:sz w:val="26"/>
          <w:szCs w:val="26"/>
        </w:rPr>
        <w:t xml:space="preserve">м </w:t>
      </w:r>
      <w:r w:rsidR="00A31B13" w:rsidRPr="00A31B13">
        <w:rPr>
          <w:rFonts w:ascii="Times New Roman" w:hAnsi="Times New Roman" w:cs="Times New Roman"/>
          <w:sz w:val="26"/>
          <w:szCs w:val="26"/>
        </w:rPr>
        <w:t xml:space="preserve">Хо </w:t>
      </w:r>
      <w:r w:rsidR="00262211" w:rsidRPr="00A31B13">
        <w:rPr>
          <w:rFonts w:ascii="Times New Roman" w:hAnsi="Times New Roman" w:cs="Times New Roman"/>
          <w:sz w:val="26"/>
          <w:szCs w:val="26"/>
        </w:rPr>
        <w:t>и кадастровой стоимостью обратная, то есть при росте эт</w:t>
      </w:r>
      <w:r w:rsidR="00A31B13">
        <w:rPr>
          <w:rFonts w:ascii="Times New Roman" w:hAnsi="Times New Roman" w:cs="Times New Roman"/>
          <w:sz w:val="26"/>
          <w:szCs w:val="26"/>
        </w:rPr>
        <w:t>ого</w:t>
      </w:r>
      <w:r w:rsidR="00262211" w:rsidRPr="00A31B13">
        <w:rPr>
          <w:rFonts w:ascii="Times New Roman" w:hAnsi="Times New Roman" w:cs="Times New Roman"/>
          <w:sz w:val="26"/>
          <w:szCs w:val="26"/>
        </w:rPr>
        <w:t xml:space="preserve"> фактор</w:t>
      </w:r>
      <w:r w:rsidR="00A31B13">
        <w:rPr>
          <w:rFonts w:ascii="Times New Roman" w:hAnsi="Times New Roman" w:cs="Times New Roman"/>
          <w:sz w:val="26"/>
          <w:szCs w:val="26"/>
        </w:rPr>
        <w:t>а</w:t>
      </w:r>
      <w:r w:rsidR="00262211" w:rsidRPr="00A31B13">
        <w:rPr>
          <w:rFonts w:ascii="Times New Roman" w:hAnsi="Times New Roman" w:cs="Times New Roman"/>
          <w:sz w:val="26"/>
          <w:szCs w:val="26"/>
        </w:rPr>
        <w:t xml:space="preserve"> кадастровая стоимость уменьшается. </w:t>
      </w:r>
      <w:r w:rsidRPr="00F562A8">
        <w:rPr>
          <w:rFonts w:ascii="Times New Roman" w:hAnsi="Times New Roman" w:cs="Times New Roman"/>
          <w:sz w:val="26"/>
          <w:szCs w:val="26"/>
        </w:rPr>
        <w:t>Малые значения средней ошибки аппроксимации и среднеквадратической ошибки оценки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7431B804" w14:textId="2A2BCEB2" w:rsidR="00A82538" w:rsidRDefault="004E579B" w:rsidP="00A82538">
      <w:pPr>
        <w:spacing w:after="0" w:line="276" w:lineRule="auto"/>
        <w:ind w:firstLine="709"/>
        <w:jc w:val="both"/>
        <w:rPr>
          <w:rFonts w:ascii="Times New Roman" w:eastAsiaTheme="minorEastAsia" w:hAnsi="Times New Roman" w:cs="Times New Roman"/>
          <w:sz w:val="26"/>
          <w:szCs w:val="26"/>
        </w:rPr>
      </w:pPr>
      <w:bookmarkStart w:id="215" w:name="_Hlk42252487"/>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4F4695" w:rsidRPr="00F562A8">
        <w:rPr>
          <w:rFonts w:ascii="Times New Roman" w:eastAsiaTheme="minorEastAsia" w:hAnsi="Times New Roman" w:cs="Times New Roman"/>
          <w:sz w:val="26"/>
          <w:szCs w:val="26"/>
        </w:rPr>
        <w:t>2/2.4</w:t>
      </w:r>
      <w:r w:rsidR="004F4695">
        <w:rPr>
          <w:rFonts w:ascii="Times New Roman" w:eastAsiaTheme="minorEastAsia" w:hAnsi="Times New Roman" w:cs="Times New Roman"/>
          <w:sz w:val="26"/>
          <w:szCs w:val="26"/>
        </w:rPr>
        <w:t>/2.4.4.</w:t>
      </w:r>
    </w:p>
    <w:p w14:paraId="6F7E13A3" w14:textId="77777777" w:rsidR="00C40B24" w:rsidRDefault="00C40B24" w:rsidP="001C349B">
      <w:pPr>
        <w:tabs>
          <w:tab w:val="right" w:pos="9072"/>
        </w:tabs>
        <w:spacing w:after="0" w:line="276" w:lineRule="auto"/>
        <w:ind w:firstLine="709"/>
        <w:contextualSpacing/>
        <w:jc w:val="both"/>
        <w:rPr>
          <w:rFonts w:ascii="Times New Roman" w:eastAsiaTheme="minorEastAsia" w:hAnsi="Times New Roman" w:cs="Times New Roman"/>
          <w:sz w:val="26"/>
          <w:szCs w:val="26"/>
        </w:rPr>
      </w:pPr>
    </w:p>
    <w:p w14:paraId="17FA2C3E" w14:textId="5F0B8599" w:rsidR="00C40B24" w:rsidRPr="00F562A8" w:rsidRDefault="00B15076" w:rsidP="00C40B24">
      <w:pPr>
        <w:pStyle w:val="ab"/>
        <w:ind w:left="0"/>
        <w:jc w:val="center"/>
        <w:outlineLvl w:val="2"/>
        <w:rPr>
          <w:rFonts w:ascii="Times New Roman" w:hAnsi="Times New Roman" w:cs="Times New Roman"/>
          <w:i/>
          <w:sz w:val="26"/>
          <w:szCs w:val="26"/>
        </w:rPr>
      </w:pPr>
      <w:bookmarkStart w:id="216" w:name="_Toc110506977"/>
      <w:bookmarkStart w:id="217" w:name="_Hlk13834778"/>
      <w:bookmarkEnd w:id="215"/>
      <w:r w:rsidRPr="00760482">
        <w:rPr>
          <w:rFonts w:ascii="Times New Roman" w:hAnsi="Times New Roman" w:cs="Times New Roman"/>
          <w:i/>
          <w:sz w:val="26"/>
          <w:szCs w:val="26"/>
        </w:rPr>
        <w:t>3.6.4.</w:t>
      </w:r>
      <w:r w:rsidR="00345244" w:rsidRPr="00760482">
        <w:rPr>
          <w:rFonts w:ascii="Times New Roman" w:hAnsi="Times New Roman" w:cs="Times New Roman"/>
          <w:i/>
          <w:sz w:val="26"/>
          <w:szCs w:val="26"/>
        </w:rPr>
        <w:t>2</w:t>
      </w:r>
      <w:r w:rsidRPr="00760482">
        <w:rPr>
          <w:rFonts w:ascii="Times New Roman" w:hAnsi="Times New Roman" w:cs="Times New Roman"/>
          <w:i/>
          <w:sz w:val="26"/>
          <w:szCs w:val="26"/>
        </w:rPr>
        <w:t>.</w:t>
      </w:r>
      <w:r w:rsidRPr="00F562A8">
        <w:rPr>
          <w:rFonts w:ascii="Times New Roman" w:hAnsi="Times New Roman" w:cs="Times New Roman"/>
          <w:i/>
          <w:sz w:val="26"/>
          <w:szCs w:val="26"/>
        </w:rPr>
        <w:t xml:space="preserve"> </w:t>
      </w:r>
      <w:r w:rsidR="00306BF5" w:rsidRPr="00F562A8">
        <w:rPr>
          <w:rFonts w:ascii="Times New Roman" w:hAnsi="Times New Roman" w:cs="Times New Roman"/>
          <w:i/>
          <w:sz w:val="26"/>
          <w:szCs w:val="26"/>
        </w:rPr>
        <w:t xml:space="preserve">Расчет кадастровой стоимости земельных участков группы </w:t>
      </w:r>
      <w:r w:rsidR="00C40B24" w:rsidRPr="00A44D3E">
        <w:rPr>
          <w:rFonts w:ascii="Times New Roman" w:hAnsi="Times New Roman" w:cs="Times New Roman"/>
          <w:i/>
          <w:sz w:val="26"/>
          <w:szCs w:val="26"/>
        </w:rPr>
        <w:t>ПРЕДПРИНИМАТЕЛЬСТВО</w:t>
      </w:r>
      <w:r w:rsidR="00C40B24">
        <w:rPr>
          <w:rFonts w:ascii="Times New Roman" w:hAnsi="Times New Roman" w:cs="Times New Roman"/>
          <w:i/>
          <w:sz w:val="26"/>
          <w:szCs w:val="26"/>
        </w:rPr>
        <w:t>/6 ГНП</w:t>
      </w:r>
      <w:bookmarkEnd w:id="216"/>
    </w:p>
    <w:p w14:paraId="59035E4A" w14:textId="07D11B42" w:rsidR="006513B9" w:rsidRPr="00F562A8" w:rsidRDefault="005505AB" w:rsidP="006F6435">
      <w:pPr>
        <w:tabs>
          <w:tab w:val="right" w:pos="9072"/>
        </w:tabs>
        <w:spacing w:after="0" w:line="276" w:lineRule="auto"/>
        <w:ind w:firstLine="709"/>
        <w:contextualSpacing/>
        <w:jc w:val="both"/>
        <w:rPr>
          <w:rFonts w:ascii="Times New Roman" w:hAnsi="Times New Roman" w:cs="Times New Roman"/>
          <w:i/>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4F4695" w:rsidRPr="00F562A8">
        <w:rPr>
          <w:rFonts w:ascii="Times New Roman" w:eastAsiaTheme="minorEastAsia" w:hAnsi="Times New Roman" w:cs="Times New Roman"/>
          <w:sz w:val="26"/>
          <w:szCs w:val="26"/>
        </w:rPr>
        <w:t>2/2.4</w:t>
      </w:r>
      <w:r w:rsidR="004F4695">
        <w:rPr>
          <w:rFonts w:ascii="Times New Roman" w:eastAsiaTheme="minorEastAsia" w:hAnsi="Times New Roman" w:cs="Times New Roman"/>
          <w:sz w:val="26"/>
          <w:szCs w:val="26"/>
        </w:rPr>
        <w:t>/2.4.4.</w:t>
      </w:r>
    </w:p>
    <w:bookmarkEnd w:id="217"/>
    <w:p w14:paraId="52C69F7E" w14:textId="1BD15593" w:rsidR="00345244" w:rsidRDefault="00345244" w:rsidP="00345244">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w:t>
      </w:r>
      <w:r w:rsidRPr="00391992">
        <w:rPr>
          <w:rFonts w:ascii="Times New Roman" w:hAnsi="Times New Roman" w:cs="Times New Roman"/>
          <w:sz w:val="26"/>
          <w:szCs w:val="26"/>
        </w:rPr>
        <w:t xml:space="preserve">группы </w:t>
      </w:r>
      <w:r w:rsidRPr="00345244">
        <w:rPr>
          <w:rFonts w:ascii="Times New Roman" w:hAnsi="Times New Roman" w:cs="Times New Roman"/>
          <w:sz w:val="26"/>
          <w:szCs w:val="26"/>
        </w:rPr>
        <w:t>ПРЕДПРИНИМАТЕЛЬСТВО/6 ГНП</w:t>
      </w:r>
      <w:r>
        <w:rPr>
          <w:rFonts w:ascii="Times New Roman" w:hAnsi="Times New Roman" w:cs="Times New Roman"/>
          <w:sz w:val="26"/>
          <w:szCs w:val="26"/>
        </w:rPr>
        <w:t xml:space="preserve">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Pr>
          <w:rFonts w:ascii="Times New Roman" w:hAnsi="Times New Roman" w:cs="Times New Roman"/>
          <w:sz w:val="26"/>
          <w:szCs w:val="26"/>
        </w:rPr>
        <w:t xml:space="preserve"> </w:t>
      </w:r>
      <w:r w:rsidRPr="00391992">
        <w:rPr>
          <w:rFonts w:ascii="Times New Roman" w:hAnsi="Times New Roman" w:cs="Times New Roman"/>
          <w:sz w:val="26"/>
          <w:szCs w:val="26"/>
        </w:rPr>
        <w:t>04:000, 01:183, 02:017, 02:053, 02:063, 03:063, 03:064, 04:010, 04:020, 04:030, 04:040, 04:050, 04:060, 04:080, 04:081, 04:082, 04:083, 04:084, 04:096, 04:100, 05:013, 05:050, 08:021</w:t>
      </w:r>
      <w:r>
        <w:rPr>
          <w:rFonts w:ascii="Times New Roman" w:hAnsi="Times New Roman" w:cs="Times New Roman"/>
          <w:sz w:val="26"/>
          <w:szCs w:val="26"/>
        </w:rPr>
        <w:t>.</w:t>
      </w:r>
    </w:p>
    <w:p w14:paraId="28779FA4" w14:textId="58112D1A" w:rsidR="00306BF5" w:rsidRPr="00F562A8" w:rsidRDefault="00306BF5" w:rsidP="006F6435">
      <w:pPr>
        <w:spacing w:after="0" w:line="276" w:lineRule="auto"/>
        <w:ind w:firstLine="709"/>
        <w:jc w:val="both"/>
        <w:rPr>
          <w:rFonts w:ascii="Times New Roman" w:hAnsi="Times New Roman" w:cs="Times New Roman"/>
          <w:sz w:val="26"/>
          <w:szCs w:val="26"/>
        </w:rPr>
      </w:pPr>
      <w:r w:rsidRPr="00C40B24">
        <w:rPr>
          <w:rFonts w:ascii="Times New Roman" w:hAnsi="Times New Roman" w:cs="Times New Roman"/>
          <w:sz w:val="26"/>
          <w:szCs w:val="26"/>
        </w:rPr>
        <w:t xml:space="preserve">При расчете кадастровой стоимости земельных участков группы </w:t>
      </w:r>
      <w:r w:rsidR="00C40B24" w:rsidRPr="00C40B24">
        <w:rPr>
          <w:rFonts w:ascii="Times New Roman" w:hAnsi="Times New Roman" w:cs="Times New Roman"/>
          <w:sz w:val="26"/>
          <w:szCs w:val="26"/>
        </w:rPr>
        <w:t>ПРЕДПРИНИМАТЕЛЬСТВО/6</w:t>
      </w:r>
      <w:r w:rsidR="00C40B24">
        <w:rPr>
          <w:rFonts w:ascii="Times New Roman" w:hAnsi="Times New Roman" w:cs="Times New Roman"/>
          <w:sz w:val="26"/>
          <w:szCs w:val="26"/>
        </w:rPr>
        <w:t xml:space="preserve"> </w:t>
      </w:r>
      <w:r w:rsidR="00C40B24" w:rsidRPr="00C40B24">
        <w:rPr>
          <w:rFonts w:ascii="Times New Roman" w:hAnsi="Times New Roman" w:cs="Times New Roman"/>
          <w:sz w:val="26"/>
          <w:szCs w:val="26"/>
        </w:rPr>
        <w:t>ГНП</w:t>
      </w:r>
      <w:r w:rsidR="00C40B24" w:rsidRPr="00F562A8">
        <w:rPr>
          <w:rFonts w:ascii="Times New Roman" w:hAnsi="Times New Roman" w:cs="Times New Roman"/>
          <w:sz w:val="26"/>
          <w:szCs w:val="26"/>
        </w:rPr>
        <w:t xml:space="preserve">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1034228F" w14:textId="6D06A6F8"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615491">
        <w:rPr>
          <w:rFonts w:ascii="Times New Roman" w:hAnsi="Times New Roman" w:cs="Times New Roman"/>
          <w:sz w:val="26"/>
          <w:szCs w:val="26"/>
        </w:rPr>
        <w:t>45.1.1</w:t>
      </w:r>
      <w:r w:rsidRPr="00F562A8">
        <w:rPr>
          <w:rFonts w:ascii="Times New Roman" w:hAnsi="Times New Roman" w:cs="Times New Roman"/>
          <w:sz w:val="26"/>
          <w:szCs w:val="26"/>
        </w:rPr>
        <w:t xml:space="preserve">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3B1E8278"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1C800A1E"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7710D02D"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5B0F3FCA"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730F0285"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21E095DD"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7A5204BC" w14:textId="77777777" w:rsidR="00072205" w:rsidRPr="00F562A8" w:rsidRDefault="00306BF5" w:rsidP="00072205">
      <w:pPr>
        <w:tabs>
          <w:tab w:val="left" w:pos="1890"/>
        </w:tabs>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6 </w:t>
      </w:r>
      <w:r w:rsidR="009822BE">
        <w:rPr>
          <w:rFonts w:ascii="Times New Roman" w:hAnsi="Times New Roman" w:cs="Times New Roman"/>
          <w:sz w:val="26"/>
          <w:szCs w:val="26"/>
        </w:rPr>
        <w:t xml:space="preserve">городских </w:t>
      </w:r>
      <w:r w:rsidRPr="00F562A8">
        <w:rPr>
          <w:rFonts w:ascii="Times New Roman" w:hAnsi="Times New Roman" w:cs="Times New Roman"/>
          <w:sz w:val="26"/>
          <w:szCs w:val="26"/>
        </w:rPr>
        <w:t xml:space="preserve">населенных пунктах Воронежской области, с численностью населения выше 30000 человек: г. Борисоглебск, г. Россошь, г. Лиски, г. Острогожск, г. Нововоронеж, с. Новая Усмань,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072205" w:rsidRPr="00F562A8">
        <w:rPr>
          <w:rFonts w:ascii="Times New Roman" w:hAnsi="Times New Roman" w:cs="Times New Roman"/>
          <w:sz w:val="26"/>
          <w:szCs w:val="26"/>
        </w:rPr>
        <w:t>представлены в таблиц</w:t>
      </w:r>
      <w:r w:rsidR="00072205">
        <w:rPr>
          <w:rFonts w:ascii="Times New Roman" w:hAnsi="Times New Roman" w:cs="Times New Roman"/>
          <w:sz w:val="26"/>
          <w:szCs w:val="26"/>
        </w:rPr>
        <w:t>ах</w:t>
      </w:r>
      <w:r w:rsidR="00072205" w:rsidRPr="00F562A8">
        <w:rPr>
          <w:rFonts w:ascii="Times New Roman" w:hAnsi="Times New Roman" w:cs="Times New Roman"/>
          <w:sz w:val="26"/>
          <w:szCs w:val="26"/>
        </w:rPr>
        <w:t xml:space="preserve"> </w:t>
      </w:r>
      <w:r w:rsidR="00072205" w:rsidRPr="00F562A8">
        <w:rPr>
          <w:rFonts w:ascii="Times New Roman" w:eastAsia="Times New Roman" w:hAnsi="Times New Roman" w:cs="Times New Roman"/>
          <w:sz w:val="26"/>
          <w:szCs w:val="26"/>
        </w:rPr>
        <w:t>3.</w:t>
      </w:r>
      <w:r w:rsidR="00072205">
        <w:rPr>
          <w:rFonts w:ascii="Times New Roman" w:eastAsia="Times New Roman" w:hAnsi="Times New Roman" w:cs="Times New Roman"/>
          <w:sz w:val="26"/>
          <w:szCs w:val="26"/>
        </w:rPr>
        <w:t>4 и 3.5, пунктов 3.4 и 3.5 соответственно</w:t>
      </w:r>
      <w:r w:rsidR="00072205" w:rsidRPr="00F562A8">
        <w:rPr>
          <w:rFonts w:ascii="Times New Roman" w:hAnsi="Times New Roman" w:cs="Times New Roman"/>
          <w:sz w:val="26"/>
          <w:szCs w:val="26"/>
        </w:rPr>
        <w:t>.</w:t>
      </w:r>
    </w:p>
    <w:p w14:paraId="234406F9" w14:textId="21381D6C"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03CC4844"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4EFD08F5" w14:textId="630A1F4A"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741F69">
        <w:rPr>
          <w:rFonts w:ascii="Times New Roman" w:hAnsi="Times New Roman" w:cs="Times New Roman"/>
          <w:sz w:val="26"/>
          <w:szCs w:val="26"/>
        </w:rPr>
        <w:t>3</w:t>
      </w:r>
      <w:r w:rsidRPr="00F562A8">
        <w:rPr>
          <w:rFonts w:ascii="Times New Roman" w:hAnsi="Times New Roman" w:cs="Times New Roman"/>
          <w:sz w:val="26"/>
          <w:szCs w:val="26"/>
        </w:rPr>
        <w:t>:</w:t>
      </w:r>
    </w:p>
    <w:p w14:paraId="5C4D77F1" w14:textId="5ECE9F4B" w:rsidR="00306BF5"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087AEA" w:rsidRPr="00AF6DB3">
        <w:rPr>
          <w:rFonts w:ascii="Times New Roman" w:hAnsi="Times New Roman" w:cs="Times New Roman"/>
          <w:sz w:val="26"/>
          <w:szCs w:val="26"/>
        </w:rPr>
        <w:t>расстояние объекта до центра населенного пункта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4FC0EEDE" w14:textId="5259C0AA" w:rsidR="00AF6DB3" w:rsidRPr="00F562A8" w:rsidRDefault="00AF6DB3" w:rsidP="006F6435">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087AEA" w:rsidRPr="00F562A8">
        <w:rPr>
          <w:rFonts w:ascii="Times New Roman" w:hAnsi="Times New Roman" w:cs="Times New Roman"/>
          <w:sz w:val="26"/>
          <w:szCs w:val="26"/>
        </w:rPr>
        <w:t>расстояние от населенного пункта до центра субъекта РФ (г. Воронеж)</w:t>
      </w:r>
      <w:r w:rsidRPr="00AF6DB3">
        <w:rPr>
          <w:rFonts w:ascii="Times New Roman" w:hAnsi="Times New Roman" w:cs="Times New Roman"/>
          <w:sz w:val="26"/>
          <w:szCs w:val="26"/>
        </w:rPr>
        <w:t>:</w:t>
      </w:r>
      <w:r>
        <w:t xml:space="preserve"> </w:t>
      </w:r>
      <w:r w:rsidRPr="00F562A8">
        <w:rPr>
          <w:rFonts w:ascii="Times New Roman" w:hAnsi="Times New Roman" w:cs="Times New Roman"/>
          <w:sz w:val="26"/>
          <w:szCs w:val="26"/>
        </w:rPr>
        <w:t>Х</w:t>
      </w:r>
      <w:r>
        <w:rPr>
          <w:rFonts w:ascii="Times New Roman" w:hAnsi="Times New Roman" w:cs="Times New Roman"/>
          <w:sz w:val="26"/>
          <w:szCs w:val="26"/>
          <w:vertAlign w:val="subscript"/>
        </w:rPr>
        <w:t>1;</w:t>
      </w:r>
    </w:p>
    <w:p w14:paraId="22FF49B2" w14:textId="71448681"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087AEA" w:rsidRPr="00F562A8">
        <w:rPr>
          <w:rFonts w:ascii="Times New Roman" w:hAnsi="Times New Roman" w:cs="Times New Roman"/>
          <w:sz w:val="26"/>
          <w:szCs w:val="26"/>
        </w:rPr>
        <w:t>центральное теплоснабжение</w:t>
      </w:r>
      <w:r w:rsidRPr="00F562A8">
        <w:rPr>
          <w:rFonts w:ascii="Times New Roman" w:hAnsi="Times New Roman" w:cs="Times New Roman"/>
          <w:sz w:val="26"/>
          <w:szCs w:val="26"/>
        </w:rPr>
        <w:t xml:space="preserve">: </w:t>
      </w:r>
      <w:r w:rsidR="00AF6DB3" w:rsidRPr="00F562A8">
        <w:rPr>
          <w:rFonts w:ascii="Times New Roman" w:hAnsi="Times New Roman" w:cs="Times New Roman"/>
          <w:sz w:val="26"/>
          <w:szCs w:val="26"/>
        </w:rPr>
        <w:t>Х</w:t>
      </w:r>
      <w:r w:rsidR="00AF6DB3">
        <w:rPr>
          <w:rFonts w:ascii="Times New Roman" w:hAnsi="Times New Roman" w:cs="Times New Roman"/>
          <w:sz w:val="26"/>
          <w:szCs w:val="26"/>
          <w:vertAlign w:val="subscript"/>
        </w:rPr>
        <w:t>2</w:t>
      </w:r>
      <w:r w:rsidR="00087AEA">
        <w:rPr>
          <w:rFonts w:ascii="Times New Roman" w:hAnsi="Times New Roman" w:cs="Times New Roman"/>
          <w:sz w:val="26"/>
          <w:szCs w:val="26"/>
        </w:rPr>
        <w:t>.</w:t>
      </w:r>
    </w:p>
    <w:p w14:paraId="36BAEFC8"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3C8D9563"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1EA8C69E" w14:textId="2A8EF130"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220BC0" w:rsidRPr="00F562A8">
        <w:rPr>
          <w:rFonts w:ascii="Times New Roman" w:hAnsi="Times New Roman" w:cs="Times New Roman"/>
          <w:sz w:val="26"/>
          <w:szCs w:val="26"/>
        </w:rPr>
        <w:t>тре</w:t>
      </w:r>
      <w:r w:rsidRPr="00F562A8">
        <w:rPr>
          <w:rFonts w:ascii="Times New Roman" w:hAnsi="Times New Roman" w:cs="Times New Roman"/>
          <w:sz w:val="26"/>
          <w:szCs w:val="26"/>
        </w:rPr>
        <w:t>хфакторные модели:</w:t>
      </w:r>
    </w:p>
    <w:p w14:paraId="4BD85218" w14:textId="77777777" w:rsidR="00306BF5" w:rsidRPr="00F562A8" w:rsidRDefault="00306BF5" w:rsidP="006F6435">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7354044C" wp14:editId="7935C5AD">
            <wp:extent cx="2209800" cy="247650"/>
            <wp:effectExtent l="0" t="0" r="0" b="0"/>
            <wp:docPr id="217" name="Рисунок 217"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44D2537C"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1EED779C" wp14:editId="17125598">
            <wp:extent cx="1352550" cy="266700"/>
            <wp:effectExtent l="0" t="0" r="0" b="0"/>
            <wp:docPr id="218" name="Рисунок 218"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53D9A40C"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356A6B5B" wp14:editId="4EA5524E">
            <wp:extent cx="1266825" cy="266700"/>
            <wp:effectExtent l="0" t="0" r="0" b="0"/>
            <wp:docPr id="219" name="Рисунок 219"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5F773EB1"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7CAD0070"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13F6B75C"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375368C8" wp14:editId="15E79075">
            <wp:extent cx="209550" cy="247650"/>
            <wp:effectExtent l="0" t="0" r="0" b="0"/>
            <wp:docPr id="220" name="Рисунок 220"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6F9D9D23" wp14:editId="0CA2303E">
            <wp:extent cx="200025" cy="247650"/>
            <wp:effectExtent l="0" t="0" r="9525" b="0"/>
            <wp:docPr id="221" name="Рисунок 221"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45217CFC" wp14:editId="30C4ADCF">
            <wp:extent cx="209550" cy="247650"/>
            <wp:effectExtent l="0" t="0" r="0" b="0"/>
            <wp:docPr id="222" name="Рисунок 222"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7AE502D5" w14:textId="7F25F845" w:rsidR="00306BF5" w:rsidRPr="00F562A8" w:rsidRDefault="00087AEA" w:rsidP="006F6435">
      <w:pPr>
        <w:spacing w:after="0" w:line="276" w:lineRule="auto"/>
        <w:jc w:val="center"/>
        <w:rPr>
          <w:rFonts w:ascii="Times New Roman" w:hAnsi="Times New Roman" w:cs="Times New Roman"/>
          <w:lang w:val="en-US"/>
        </w:rPr>
      </w:pPr>
      <w:r w:rsidRPr="004C3B4A">
        <w:rPr>
          <w:noProof/>
          <w:lang w:eastAsia="ru-RU"/>
        </w:rPr>
        <w:drawing>
          <wp:inline distT="0" distB="0" distL="0" distR="0" wp14:anchorId="2006E4BE" wp14:editId="2B372F7F">
            <wp:extent cx="5939790" cy="827951"/>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939790" cy="827951"/>
                    </a:xfrm>
                    <a:prstGeom prst="rect">
                      <a:avLst/>
                    </a:prstGeom>
                  </pic:spPr>
                </pic:pic>
              </a:graphicData>
            </a:graphic>
          </wp:inline>
        </w:drawing>
      </w:r>
    </w:p>
    <w:p w14:paraId="3EAAB158" w14:textId="4AD033E2"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E431CA" w:rsidRPr="00F562A8">
        <w:rPr>
          <w:rFonts w:ascii="Times New Roman" w:hAnsi="Times New Roman" w:cs="Times New Roman"/>
          <w:sz w:val="26"/>
          <w:szCs w:val="26"/>
        </w:rPr>
        <w:t xml:space="preserve"> </w:t>
      </w:r>
      <w:r w:rsidR="009757ED" w:rsidRPr="00F562A8">
        <w:rPr>
          <w:rFonts w:ascii="Times New Roman" w:hAnsi="Times New Roman" w:cs="Times New Roman"/>
          <w:sz w:val="26"/>
          <w:szCs w:val="26"/>
        </w:rPr>
        <w:t>3.6.4.</w:t>
      </w:r>
      <w:r w:rsidR="009757ED">
        <w:rPr>
          <w:rFonts w:ascii="Times New Roman" w:hAnsi="Times New Roman" w:cs="Times New Roman"/>
          <w:sz w:val="26"/>
          <w:szCs w:val="26"/>
        </w:rPr>
        <w:t>2.</w:t>
      </w:r>
      <w:r w:rsidR="00076D7D">
        <w:rPr>
          <w:rFonts w:ascii="Times New Roman" w:hAnsi="Times New Roman" w:cs="Times New Roman"/>
          <w:sz w:val="26"/>
          <w:szCs w:val="26"/>
        </w:rPr>
        <w:t>1</w:t>
      </w:r>
      <w:r w:rsidR="009757ED">
        <w:rPr>
          <w:rFonts w:ascii="Times New Roman" w:hAnsi="Times New Roman" w:cs="Times New Roman"/>
          <w:sz w:val="26"/>
          <w:szCs w:val="26"/>
        </w:rPr>
        <w:t xml:space="preserve"> </w:t>
      </w:r>
      <w:r w:rsidRPr="00F562A8">
        <w:rPr>
          <w:rFonts w:ascii="Times New Roman" w:hAnsi="Times New Roman" w:cs="Times New Roman"/>
          <w:sz w:val="26"/>
          <w:szCs w:val="26"/>
        </w:rPr>
        <w:t xml:space="preserve">- Множественные регрессионные </w:t>
      </w:r>
      <w:r w:rsidR="00220BC0" w:rsidRPr="00F562A8">
        <w:rPr>
          <w:rFonts w:ascii="Times New Roman" w:hAnsi="Times New Roman" w:cs="Times New Roman"/>
          <w:sz w:val="26"/>
          <w:szCs w:val="26"/>
        </w:rPr>
        <w:t>тре</w:t>
      </w:r>
      <w:r w:rsidRPr="00F562A8">
        <w:rPr>
          <w:rFonts w:ascii="Times New Roman" w:hAnsi="Times New Roman" w:cs="Times New Roman"/>
          <w:sz w:val="26"/>
          <w:szCs w:val="26"/>
        </w:rPr>
        <w:t>хфакторные модели</w:t>
      </w:r>
    </w:p>
    <w:p w14:paraId="3562627F" w14:textId="3BB92065"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1A6980B3"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5C7B0F58"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78088546"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79EDB441"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2F291C1F"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5728AA80"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4E21D727"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0347C72B" w14:textId="67021108" w:rsidR="00306BF5" w:rsidRPr="00F562A8" w:rsidRDefault="00087AEA" w:rsidP="006F6435">
      <w:pPr>
        <w:pStyle w:val="ConsPlusNormal"/>
        <w:spacing w:line="276" w:lineRule="auto"/>
        <w:jc w:val="center"/>
        <w:rPr>
          <w:rFonts w:ascii="Times New Roman" w:hAnsi="Times New Roman" w:cs="Times New Roman"/>
          <w:sz w:val="26"/>
          <w:szCs w:val="26"/>
        </w:rPr>
      </w:pPr>
      <w:r w:rsidRPr="004C3B4A">
        <w:rPr>
          <w:noProof/>
        </w:rPr>
        <w:drawing>
          <wp:inline distT="0" distB="0" distL="0" distR="0" wp14:anchorId="23941A66" wp14:editId="26B87CBB">
            <wp:extent cx="5999806" cy="1466850"/>
            <wp:effectExtent l="0" t="0" r="127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2"/>
                    <a:srcRect r="7438"/>
                    <a:stretch/>
                  </pic:blipFill>
                  <pic:spPr bwMode="auto">
                    <a:xfrm>
                      <a:off x="0" y="0"/>
                      <a:ext cx="6007106" cy="1468635"/>
                    </a:xfrm>
                    <a:prstGeom prst="rect">
                      <a:avLst/>
                    </a:prstGeom>
                    <a:ln>
                      <a:noFill/>
                    </a:ln>
                    <a:extLst>
                      <a:ext uri="{53640926-AAD7-44D8-BBD7-CCE9431645EC}">
                        <a14:shadowObscured xmlns:a14="http://schemas.microsoft.com/office/drawing/2010/main"/>
                      </a:ext>
                    </a:extLst>
                  </pic:spPr>
                </pic:pic>
              </a:graphicData>
            </a:graphic>
          </wp:inline>
        </w:drawing>
      </w:r>
    </w:p>
    <w:p w14:paraId="73B0617C" w14:textId="68E5C711" w:rsidR="00306BF5" w:rsidRPr="00F562A8" w:rsidRDefault="00306BF5" w:rsidP="006F6435">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E431CA" w:rsidRPr="00F562A8">
        <w:rPr>
          <w:rFonts w:ascii="Times New Roman" w:hAnsi="Times New Roman" w:cs="Times New Roman"/>
          <w:sz w:val="26"/>
          <w:szCs w:val="26"/>
        </w:rPr>
        <w:t xml:space="preserve"> </w:t>
      </w:r>
      <w:r w:rsidR="009757ED" w:rsidRPr="00F562A8">
        <w:rPr>
          <w:rFonts w:ascii="Times New Roman" w:hAnsi="Times New Roman" w:cs="Times New Roman"/>
          <w:sz w:val="26"/>
          <w:szCs w:val="26"/>
        </w:rPr>
        <w:t>3.6.4.</w:t>
      </w:r>
      <w:r w:rsidR="009757ED">
        <w:rPr>
          <w:rFonts w:ascii="Times New Roman" w:hAnsi="Times New Roman" w:cs="Times New Roman"/>
          <w:sz w:val="26"/>
          <w:szCs w:val="26"/>
        </w:rPr>
        <w:t>2.</w:t>
      </w:r>
      <w:r w:rsidR="00076D7D">
        <w:rPr>
          <w:rFonts w:ascii="Times New Roman" w:hAnsi="Times New Roman" w:cs="Times New Roman"/>
          <w:sz w:val="26"/>
          <w:szCs w:val="26"/>
        </w:rPr>
        <w:t>2</w:t>
      </w:r>
      <w:r w:rsidR="009757ED">
        <w:rPr>
          <w:rFonts w:ascii="Times New Roman" w:hAnsi="Times New Roman" w:cs="Times New Roman"/>
          <w:sz w:val="26"/>
          <w:szCs w:val="26"/>
        </w:rPr>
        <w:t xml:space="preserve"> </w:t>
      </w:r>
      <w:r w:rsidRPr="00F562A8">
        <w:rPr>
          <w:rFonts w:ascii="Times New Roman" w:hAnsi="Times New Roman" w:cs="Times New Roman"/>
          <w:sz w:val="26"/>
          <w:szCs w:val="26"/>
        </w:rPr>
        <w:t>-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5098B9F9"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0E2373D4"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011F54DA"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2A06D197" w14:textId="34FE0742" w:rsidR="00306BF5" w:rsidRPr="00F562A8" w:rsidRDefault="00087AEA" w:rsidP="00250300">
      <w:pPr>
        <w:spacing w:after="0" w:line="276" w:lineRule="auto"/>
        <w:jc w:val="center"/>
        <w:rPr>
          <w:rFonts w:ascii="Times New Roman" w:hAnsi="Times New Roman" w:cs="Times New Roman"/>
          <w:sz w:val="26"/>
          <w:szCs w:val="26"/>
          <w:lang w:val="en-US"/>
        </w:rPr>
      </w:pPr>
      <w:r w:rsidRPr="004C3B4A">
        <w:rPr>
          <w:noProof/>
          <w:lang w:eastAsia="ru-RU"/>
        </w:rPr>
        <w:drawing>
          <wp:inline distT="0" distB="0" distL="0" distR="0" wp14:anchorId="586FCCD1" wp14:editId="44C15473">
            <wp:extent cx="3067050" cy="1066800"/>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3"/>
                    <a:srcRect r="923"/>
                    <a:stretch/>
                  </pic:blipFill>
                  <pic:spPr bwMode="auto">
                    <a:xfrm>
                      <a:off x="0" y="0"/>
                      <a:ext cx="3067478" cy="1066949"/>
                    </a:xfrm>
                    <a:prstGeom prst="rect">
                      <a:avLst/>
                    </a:prstGeom>
                    <a:ln>
                      <a:noFill/>
                    </a:ln>
                    <a:extLst>
                      <a:ext uri="{53640926-AAD7-44D8-BBD7-CCE9431645EC}">
                        <a14:shadowObscured xmlns:a14="http://schemas.microsoft.com/office/drawing/2010/main"/>
                      </a:ext>
                    </a:extLst>
                  </pic:spPr>
                </pic:pic>
              </a:graphicData>
            </a:graphic>
          </wp:inline>
        </w:drawing>
      </w:r>
    </w:p>
    <w:p w14:paraId="62A34FA4" w14:textId="36C98254"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E431CA" w:rsidRPr="00F562A8">
        <w:rPr>
          <w:rFonts w:ascii="Times New Roman" w:hAnsi="Times New Roman" w:cs="Times New Roman"/>
          <w:sz w:val="26"/>
          <w:szCs w:val="26"/>
        </w:rPr>
        <w:t xml:space="preserve"> </w:t>
      </w:r>
      <w:r w:rsidR="009757ED" w:rsidRPr="00F562A8">
        <w:rPr>
          <w:rFonts w:ascii="Times New Roman" w:hAnsi="Times New Roman" w:cs="Times New Roman"/>
          <w:sz w:val="26"/>
          <w:szCs w:val="26"/>
        </w:rPr>
        <w:t>3.6.4.</w:t>
      </w:r>
      <w:r w:rsidR="009757ED">
        <w:rPr>
          <w:rFonts w:ascii="Times New Roman" w:hAnsi="Times New Roman" w:cs="Times New Roman"/>
          <w:sz w:val="26"/>
          <w:szCs w:val="26"/>
        </w:rPr>
        <w:t>2.</w:t>
      </w:r>
      <w:r w:rsidR="00076D7D">
        <w:rPr>
          <w:rFonts w:ascii="Times New Roman" w:hAnsi="Times New Roman" w:cs="Times New Roman"/>
          <w:sz w:val="26"/>
          <w:szCs w:val="26"/>
        </w:rPr>
        <w:t>3</w:t>
      </w:r>
      <w:r w:rsidR="009757ED">
        <w:rPr>
          <w:rFonts w:ascii="Times New Roman" w:hAnsi="Times New Roman" w:cs="Times New Roman"/>
          <w:sz w:val="26"/>
          <w:szCs w:val="26"/>
        </w:rPr>
        <w:t xml:space="preserve"> </w:t>
      </w:r>
      <w:r w:rsidRPr="00F562A8">
        <w:rPr>
          <w:rFonts w:ascii="Times New Roman" w:hAnsi="Times New Roman" w:cs="Times New Roman"/>
          <w:sz w:val="26"/>
          <w:szCs w:val="26"/>
        </w:rPr>
        <w:t>- Значения F-критерия Фишера</w:t>
      </w:r>
    </w:p>
    <w:p w14:paraId="2E333E5A"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195F9A99" w14:textId="01F9D074" w:rsidR="00FC223D" w:rsidRPr="004C3B4A" w:rsidRDefault="00306BF5" w:rsidP="00FC223D">
      <w:pPr>
        <w:spacing w:after="0" w:line="240" w:lineRule="auto"/>
        <w:jc w:val="both"/>
        <w:rPr>
          <w:rFonts w:ascii="Arial" w:eastAsia="Times New Roman" w:hAnsi="Arial" w:cs="Arial"/>
          <w:sz w:val="20"/>
          <w:szCs w:val="20"/>
          <w:lang w:eastAsia="ru-RU"/>
        </w:rPr>
      </w:pPr>
      <w:r w:rsidRPr="00F562A8">
        <w:rPr>
          <w:rFonts w:ascii="Times New Roman" w:hAnsi="Times New Roman" w:cs="Times New Roman"/>
          <w:i/>
          <w:sz w:val="26"/>
          <w:szCs w:val="26"/>
        </w:rPr>
        <w:t>УПКС=</w:t>
      </w:r>
      <w:r w:rsidR="00FC223D" w:rsidRPr="00FC223D">
        <w:rPr>
          <w:rFonts w:ascii="Times New Roman" w:hAnsi="Times New Roman" w:cs="Times New Roman"/>
          <w:i/>
          <w:sz w:val="26"/>
          <w:szCs w:val="26"/>
        </w:rPr>
        <w:t>796.932694248889*e^(+0.000151635085283742*((9205.882+-283.20099999</w:t>
      </w:r>
      <w:r w:rsidR="00FC223D">
        <w:rPr>
          <w:rFonts w:ascii="Times New Roman" w:hAnsi="Times New Roman" w:cs="Times New Roman"/>
          <w:i/>
          <w:sz w:val="26"/>
          <w:szCs w:val="26"/>
        </w:rPr>
        <w:t xml:space="preserve"> </w:t>
      </w:r>
      <w:r w:rsidR="00FC223D" w:rsidRPr="00FC223D">
        <w:rPr>
          <w:rFonts w:ascii="Times New Roman" w:hAnsi="Times New Roman" w:cs="Times New Roman"/>
          <w:i/>
          <w:sz w:val="26"/>
          <w:szCs w:val="26"/>
        </w:rPr>
        <w:t>9999-гнп Расстояние объекта до центра населенного пункта))</w:t>
      </w:r>
      <w:r w:rsidR="00FC223D">
        <w:rPr>
          <w:rFonts w:ascii="Times New Roman" w:hAnsi="Times New Roman" w:cs="Times New Roman"/>
          <w:i/>
          <w:sz w:val="26"/>
          <w:szCs w:val="26"/>
        </w:rPr>
        <w:t xml:space="preserve"> </w:t>
      </w:r>
      <w:r w:rsidR="00FC223D" w:rsidRPr="00FC223D">
        <w:rPr>
          <w:rFonts w:ascii="Times New Roman" w:hAnsi="Times New Roman" w:cs="Times New Roman"/>
          <w:i/>
          <w:sz w:val="26"/>
          <w:szCs w:val="26"/>
        </w:rPr>
        <w:t>+0.00114231215222616*((236.00+10.00-гнп Расстояние от населенного пункта до центра субъекта РФ (г.Воронеж)))+0.676154643565003*([гнп Центральное теплоснабжение]))</w:t>
      </w:r>
    </w:p>
    <w:p w14:paraId="38A0AF24" w14:textId="01AE5E2D" w:rsidR="00306BF5" w:rsidRPr="00F562A8" w:rsidRDefault="00306BF5" w:rsidP="00FC223D">
      <w:pPr>
        <w:ind w:firstLine="851"/>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F-статистики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4F65CAC3" w14:textId="2E169E92" w:rsidR="00306BF5" w:rsidRPr="00F562A8" w:rsidRDefault="0003177A" w:rsidP="006F6435">
      <w:pPr>
        <w:spacing w:after="0" w:line="276" w:lineRule="auto"/>
        <w:jc w:val="center"/>
        <w:rPr>
          <w:rFonts w:ascii="Times New Roman" w:hAnsi="Times New Roman" w:cs="Times New Roman"/>
        </w:rPr>
      </w:pPr>
      <w:r w:rsidRPr="004C3B4A">
        <w:rPr>
          <w:noProof/>
          <w:lang w:eastAsia="ru-RU"/>
        </w:rPr>
        <w:drawing>
          <wp:inline distT="0" distB="0" distL="0" distR="0" wp14:anchorId="0C41A9C6" wp14:editId="0C04C56D">
            <wp:extent cx="5939790" cy="3406411"/>
            <wp:effectExtent l="0" t="0" r="3810" b="381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939790" cy="3406411"/>
                    </a:xfrm>
                    <a:prstGeom prst="rect">
                      <a:avLst/>
                    </a:prstGeom>
                  </pic:spPr>
                </pic:pic>
              </a:graphicData>
            </a:graphic>
          </wp:inline>
        </w:drawing>
      </w:r>
    </w:p>
    <w:p w14:paraId="0F20720F" w14:textId="7D242507"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E431CA" w:rsidRPr="00F562A8">
        <w:rPr>
          <w:rFonts w:ascii="Times New Roman" w:hAnsi="Times New Roman" w:cs="Times New Roman"/>
          <w:sz w:val="26"/>
          <w:szCs w:val="26"/>
        </w:rPr>
        <w:t xml:space="preserve"> </w:t>
      </w:r>
      <w:r w:rsidR="009757ED" w:rsidRPr="00F562A8">
        <w:rPr>
          <w:rFonts w:ascii="Times New Roman" w:hAnsi="Times New Roman" w:cs="Times New Roman"/>
          <w:sz w:val="26"/>
          <w:szCs w:val="26"/>
        </w:rPr>
        <w:t>3.6.4.</w:t>
      </w:r>
      <w:r w:rsidR="009757ED">
        <w:rPr>
          <w:rFonts w:ascii="Times New Roman" w:hAnsi="Times New Roman" w:cs="Times New Roman"/>
          <w:sz w:val="26"/>
          <w:szCs w:val="26"/>
        </w:rPr>
        <w:t>2.</w:t>
      </w:r>
      <w:r w:rsidR="00076D7D">
        <w:rPr>
          <w:rFonts w:ascii="Times New Roman" w:hAnsi="Times New Roman" w:cs="Times New Roman"/>
          <w:sz w:val="26"/>
          <w:szCs w:val="26"/>
        </w:rPr>
        <w:t>4</w:t>
      </w:r>
      <w:r w:rsidR="009757ED">
        <w:rPr>
          <w:rFonts w:ascii="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1CF75306" w14:textId="073D31AA" w:rsidR="00CB3FE1" w:rsidRPr="00F562A8" w:rsidRDefault="00CB3FE1"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Как видно из статистических показателей, представленных выше, все коэффициенты регрессионной модели значимые. </w:t>
      </w:r>
      <w:r w:rsidR="00D05092">
        <w:rPr>
          <w:rFonts w:ascii="Times New Roman" w:hAnsi="Times New Roman" w:cs="Times New Roman"/>
          <w:sz w:val="26"/>
          <w:szCs w:val="26"/>
        </w:rPr>
        <w:t>С</w:t>
      </w:r>
      <w:r w:rsidRPr="00F562A8">
        <w:rPr>
          <w:rFonts w:ascii="Times New Roman" w:hAnsi="Times New Roman" w:cs="Times New Roman"/>
          <w:sz w:val="26"/>
          <w:szCs w:val="26"/>
        </w:rPr>
        <w:t xml:space="preserve">вязь между </w:t>
      </w:r>
      <w:r w:rsidR="00A53867" w:rsidRPr="00F562A8">
        <w:rPr>
          <w:rFonts w:ascii="Times New Roman" w:hAnsi="Times New Roman" w:cs="Times New Roman"/>
          <w:sz w:val="26"/>
          <w:szCs w:val="26"/>
        </w:rPr>
        <w:t>факторами</w:t>
      </w:r>
      <w:r w:rsidR="001E7B2A">
        <w:rPr>
          <w:rFonts w:ascii="Times New Roman" w:hAnsi="Times New Roman" w:cs="Times New Roman"/>
          <w:sz w:val="26"/>
          <w:szCs w:val="26"/>
        </w:rPr>
        <w:t xml:space="preserve"> и</w:t>
      </w:r>
      <w:r w:rsidRPr="00F562A8">
        <w:rPr>
          <w:rFonts w:ascii="Times New Roman" w:hAnsi="Times New Roman" w:cs="Times New Roman"/>
          <w:sz w:val="26"/>
          <w:szCs w:val="26"/>
          <w:vertAlign w:val="subscript"/>
        </w:rPr>
        <w:t xml:space="preserve"> </w:t>
      </w:r>
      <w:r w:rsidRPr="00F562A8">
        <w:rPr>
          <w:rFonts w:ascii="Times New Roman" w:hAnsi="Times New Roman" w:cs="Times New Roman"/>
          <w:sz w:val="26"/>
          <w:szCs w:val="26"/>
        </w:rPr>
        <w:t>кадастровой стоимостью обратная, то есть при росте каждого фактора кадастровая стоимость уменьшается. Малые значения средней ошибки аппроксимации и среднеквадратической ошибки оценки свидетельствуют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1E9169C5" w14:textId="7D076A91" w:rsidR="007B7562" w:rsidRDefault="00B1235C" w:rsidP="006F6435">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4F4695" w:rsidRPr="00F562A8">
        <w:rPr>
          <w:rFonts w:ascii="Times New Roman" w:eastAsiaTheme="minorEastAsia" w:hAnsi="Times New Roman" w:cs="Times New Roman"/>
          <w:sz w:val="26"/>
          <w:szCs w:val="26"/>
        </w:rPr>
        <w:t>2/2.4</w:t>
      </w:r>
      <w:r w:rsidR="004F4695">
        <w:rPr>
          <w:rFonts w:ascii="Times New Roman" w:eastAsiaTheme="minorEastAsia" w:hAnsi="Times New Roman" w:cs="Times New Roman"/>
          <w:sz w:val="26"/>
          <w:szCs w:val="26"/>
        </w:rPr>
        <w:t>/2.4.4.</w:t>
      </w:r>
    </w:p>
    <w:p w14:paraId="6BEF8AC2" w14:textId="454604EE" w:rsidR="00087AEA" w:rsidRDefault="00087AEA" w:rsidP="006F6435">
      <w:pPr>
        <w:spacing w:after="0" w:line="276" w:lineRule="auto"/>
        <w:ind w:firstLine="709"/>
        <w:jc w:val="both"/>
        <w:rPr>
          <w:rFonts w:ascii="Times New Roman" w:eastAsiaTheme="minorEastAsia" w:hAnsi="Times New Roman" w:cs="Times New Roman"/>
          <w:sz w:val="26"/>
          <w:szCs w:val="26"/>
        </w:rPr>
      </w:pPr>
    </w:p>
    <w:p w14:paraId="5CF27BE6" w14:textId="5C79234F" w:rsidR="00306BF5" w:rsidRPr="00F562A8" w:rsidRDefault="00B15076" w:rsidP="002D4BEA">
      <w:pPr>
        <w:pStyle w:val="ab"/>
        <w:ind w:left="0"/>
        <w:jc w:val="center"/>
        <w:outlineLvl w:val="2"/>
        <w:rPr>
          <w:rFonts w:ascii="Times New Roman" w:hAnsi="Times New Roman" w:cs="Times New Roman"/>
          <w:i/>
          <w:sz w:val="26"/>
          <w:szCs w:val="26"/>
        </w:rPr>
      </w:pPr>
      <w:bookmarkStart w:id="218" w:name="_Toc110506978"/>
      <w:bookmarkStart w:id="219" w:name="_Hlk13835349"/>
      <w:r w:rsidRPr="0069505B">
        <w:rPr>
          <w:rFonts w:ascii="Times New Roman" w:hAnsi="Times New Roman" w:cs="Times New Roman"/>
          <w:i/>
          <w:sz w:val="26"/>
          <w:szCs w:val="26"/>
        </w:rPr>
        <w:t>3.6.4.</w:t>
      </w:r>
      <w:r w:rsidR="0005668B" w:rsidRPr="0069505B">
        <w:rPr>
          <w:rFonts w:ascii="Times New Roman" w:hAnsi="Times New Roman" w:cs="Times New Roman"/>
          <w:i/>
          <w:sz w:val="26"/>
          <w:szCs w:val="26"/>
        </w:rPr>
        <w:t>3</w:t>
      </w:r>
      <w:r w:rsidRPr="0069505B">
        <w:rPr>
          <w:rFonts w:ascii="Times New Roman" w:hAnsi="Times New Roman" w:cs="Times New Roman"/>
          <w:i/>
          <w:sz w:val="26"/>
          <w:szCs w:val="26"/>
        </w:rPr>
        <w:t xml:space="preserve">. </w:t>
      </w:r>
      <w:r w:rsidR="00306BF5" w:rsidRPr="0069505B">
        <w:rPr>
          <w:rFonts w:ascii="Times New Roman" w:hAnsi="Times New Roman" w:cs="Times New Roman"/>
          <w:i/>
          <w:sz w:val="26"/>
          <w:szCs w:val="26"/>
        </w:rPr>
        <w:t>Расчет</w:t>
      </w:r>
      <w:r w:rsidR="00306BF5" w:rsidRPr="00F562A8">
        <w:rPr>
          <w:rFonts w:ascii="Times New Roman" w:hAnsi="Times New Roman" w:cs="Times New Roman"/>
          <w:i/>
          <w:sz w:val="26"/>
          <w:szCs w:val="26"/>
        </w:rPr>
        <w:t xml:space="preserve"> кадастровой стоимости земельных участков группы </w:t>
      </w:r>
      <w:r w:rsidR="00A53A0E" w:rsidRPr="00A44D3E">
        <w:rPr>
          <w:rFonts w:ascii="Times New Roman" w:hAnsi="Times New Roman" w:cs="Times New Roman"/>
          <w:i/>
          <w:sz w:val="26"/>
          <w:szCs w:val="26"/>
        </w:rPr>
        <w:t>ПРЕДПРИНИМАТЕЛЬСТВО</w:t>
      </w:r>
      <w:r w:rsidR="00A53A0E">
        <w:rPr>
          <w:rFonts w:ascii="Times New Roman" w:hAnsi="Times New Roman" w:cs="Times New Roman"/>
          <w:i/>
          <w:sz w:val="26"/>
          <w:szCs w:val="26"/>
        </w:rPr>
        <w:t>/ПРОЧИЕ ГНП</w:t>
      </w:r>
      <w:bookmarkEnd w:id="218"/>
    </w:p>
    <w:bookmarkEnd w:id="219"/>
    <w:p w14:paraId="0850FC5F" w14:textId="197CF435" w:rsidR="005505AB" w:rsidRPr="00F562A8" w:rsidRDefault="005505AB" w:rsidP="006F6435">
      <w:pPr>
        <w:spacing w:after="0" w:line="276" w:lineRule="auto"/>
        <w:ind w:firstLine="709"/>
        <w:jc w:val="both"/>
        <w:rPr>
          <w:rFonts w:ascii="Times New Roman"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4F4695" w:rsidRPr="00F562A8">
        <w:rPr>
          <w:rFonts w:ascii="Times New Roman" w:eastAsiaTheme="minorEastAsia" w:hAnsi="Times New Roman" w:cs="Times New Roman"/>
          <w:sz w:val="26"/>
          <w:szCs w:val="26"/>
        </w:rPr>
        <w:t>2/2.4</w:t>
      </w:r>
      <w:r w:rsidR="004F4695">
        <w:rPr>
          <w:rFonts w:ascii="Times New Roman" w:eastAsiaTheme="minorEastAsia" w:hAnsi="Times New Roman" w:cs="Times New Roman"/>
          <w:sz w:val="26"/>
          <w:szCs w:val="26"/>
        </w:rPr>
        <w:t>/2.4.4.</w:t>
      </w:r>
    </w:p>
    <w:p w14:paraId="0BF8184E" w14:textId="2B14E5A8" w:rsidR="0005668B" w:rsidRDefault="0005668B" w:rsidP="0005668B">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w:t>
      </w:r>
      <w:r w:rsidRPr="00391992">
        <w:rPr>
          <w:rFonts w:ascii="Times New Roman" w:hAnsi="Times New Roman" w:cs="Times New Roman"/>
          <w:sz w:val="26"/>
          <w:szCs w:val="26"/>
        </w:rPr>
        <w:t xml:space="preserve">группы </w:t>
      </w:r>
      <w:r w:rsidRPr="00345244">
        <w:rPr>
          <w:rFonts w:ascii="Times New Roman" w:hAnsi="Times New Roman" w:cs="Times New Roman"/>
          <w:sz w:val="26"/>
          <w:szCs w:val="26"/>
        </w:rPr>
        <w:t>ПРЕДПРИНИМАТЕЛЬСТВО/</w:t>
      </w:r>
      <w:r>
        <w:rPr>
          <w:rFonts w:ascii="Times New Roman" w:hAnsi="Times New Roman" w:cs="Times New Roman"/>
          <w:sz w:val="26"/>
          <w:szCs w:val="26"/>
        </w:rPr>
        <w:t>ПРОЧИЕ</w:t>
      </w:r>
      <w:r w:rsidRPr="00345244">
        <w:rPr>
          <w:rFonts w:ascii="Times New Roman" w:hAnsi="Times New Roman" w:cs="Times New Roman"/>
          <w:sz w:val="26"/>
          <w:szCs w:val="26"/>
        </w:rPr>
        <w:t xml:space="preserve"> ГНП</w:t>
      </w:r>
      <w:r>
        <w:rPr>
          <w:rFonts w:ascii="Times New Roman" w:hAnsi="Times New Roman" w:cs="Times New Roman"/>
          <w:sz w:val="26"/>
          <w:szCs w:val="26"/>
        </w:rPr>
        <w:t xml:space="preserve">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Pr>
          <w:rFonts w:ascii="Times New Roman" w:hAnsi="Times New Roman" w:cs="Times New Roman"/>
          <w:sz w:val="26"/>
          <w:szCs w:val="26"/>
        </w:rPr>
        <w:t xml:space="preserve"> </w:t>
      </w:r>
      <w:r w:rsidRPr="00391992">
        <w:rPr>
          <w:rFonts w:ascii="Times New Roman" w:hAnsi="Times New Roman" w:cs="Times New Roman"/>
          <w:sz w:val="26"/>
          <w:szCs w:val="26"/>
        </w:rPr>
        <w:t>04:000, 01:183, 02:017, 02:053, 02:063, 03:063, 03:064, 04:010, 04:020, 04:030, 04:040, 04:050, 04:060, 04:080, 04:081, 04:082, 04:083, 04:084, 04:096, 04:100, 05:013, 05:050, 08:021</w:t>
      </w:r>
      <w:r>
        <w:rPr>
          <w:rFonts w:ascii="Times New Roman" w:hAnsi="Times New Roman" w:cs="Times New Roman"/>
          <w:sz w:val="26"/>
          <w:szCs w:val="26"/>
        </w:rPr>
        <w:t>.</w:t>
      </w:r>
    </w:p>
    <w:p w14:paraId="5D8820D6" w14:textId="2E4C7B05"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A53A0E" w:rsidRPr="00A53A0E">
        <w:rPr>
          <w:rFonts w:ascii="Times New Roman" w:hAnsi="Times New Roman" w:cs="Times New Roman"/>
          <w:sz w:val="26"/>
          <w:szCs w:val="26"/>
        </w:rPr>
        <w:t>ПРЕДПРИНИМАТЕЛЬСТВО/ПРОЧИЕ ГНП</w:t>
      </w:r>
      <w:r w:rsidR="00A53A0E" w:rsidRPr="00F562A8">
        <w:rPr>
          <w:rFonts w:ascii="Times New Roman" w:hAnsi="Times New Roman" w:cs="Times New Roman"/>
          <w:sz w:val="26"/>
          <w:szCs w:val="26"/>
        </w:rPr>
        <w:t xml:space="preserve">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4A609C5D" w14:textId="49964154"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615491">
        <w:rPr>
          <w:rFonts w:ascii="Times New Roman" w:hAnsi="Times New Roman" w:cs="Times New Roman"/>
          <w:sz w:val="26"/>
          <w:szCs w:val="26"/>
        </w:rPr>
        <w:t>45.1.1</w:t>
      </w:r>
      <w:r w:rsidRPr="00F562A8">
        <w:rPr>
          <w:rFonts w:ascii="Times New Roman" w:hAnsi="Times New Roman" w:cs="Times New Roman"/>
          <w:sz w:val="26"/>
          <w:szCs w:val="26"/>
        </w:rPr>
        <w:t xml:space="preserve">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775B87D4"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0D76CD60"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21B18B02"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332E88DF"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1B458EE2"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56872C99"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2AB96BDF" w14:textId="77777777" w:rsidR="00072205" w:rsidRPr="00F562A8" w:rsidRDefault="00306BF5" w:rsidP="00072205">
      <w:pPr>
        <w:tabs>
          <w:tab w:val="left" w:pos="1890"/>
        </w:tabs>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w:t>
      </w:r>
      <w:r w:rsidR="00C22098" w:rsidRPr="00F562A8">
        <w:rPr>
          <w:rFonts w:ascii="Times New Roman" w:hAnsi="Times New Roman" w:cs="Times New Roman"/>
          <w:sz w:val="26"/>
          <w:szCs w:val="26"/>
        </w:rPr>
        <w:t xml:space="preserve">городских </w:t>
      </w:r>
      <w:r w:rsidRPr="00F562A8">
        <w:rPr>
          <w:rFonts w:ascii="Times New Roman" w:hAnsi="Times New Roman" w:cs="Times New Roman"/>
          <w:sz w:val="26"/>
          <w:szCs w:val="26"/>
        </w:rPr>
        <w:t xml:space="preserve">населенных пунктах Воронежской области, с численностью населения меньше 30000 человек,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072205" w:rsidRPr="00F562A8">
        <w:rPr>
          <w:rFonts w:ascii="Times New Roman" w:hAnsi="Times New Roman" w:cs="Times New Roman"/>
          <w:sz w:val="26"/>
          <w:szCs w:val="26"/>
        </w:rPr>
        <w:t>представлены в таблиц</w:t>
      </w:r>
      <w:r w:rsidR="00072205">
        <w:rPr>
          <w:rFonts w:ascii="Times New Roman" w:hAnsi="Times New Roman" w:cs="Times New Roman"/>
          <w:sz w:val="26"/>
          <w:szCs w:val="26"/>
        </w:rPr>
        <w:t>ах</w:t>
      </w:r>
      <w:r w:rsidR="00072205" w:rsidRPr="00F562A8">
        <w:rPr>
          <w:rFonts w:ascii="Times New Roman" w:hAnsi="Times New Roman" w:cs="Times New Roman"/>
          <w:sz w:val="26"/>
          <w:szCs w:val="26"/>
        </w:rPr>
        <w:t xml:space="preserve"> </w:t>
      </w:r>
      <w:r w:rsidR="00072205" w:rsidRPr="00F562A8">
        <w:rPr>
          <w:rFonts w:ascii="Times New Roman" w:eastAsia="Times New Roman" w:hAnsi="Times New Roman" w:cs="Times New Roman"/>
          <w:sz w:val="26"/>
          <w:szCs w:val="26"/>
        </w:rPr>
        <w:t>3.</w:t>
      </w:r>
      <w:r w:rsidR="00072205">
        <w:rPr>
          <w:rFonts w:ascii="Times New Roman" w:eastAsia="Times New Roman" w:hAnsi="Times New Roman" w:cs="Times New Roman"/>
          <w:sz w:val="26"/>
          <w:szCs w:val="26"/>
        </w:rPr>
        <w:t>4 и 3.5, пунктов 3.4 и 3.5 соответственно</w:t>
      </w:r>
      <w:r w:rsidR="00072205" w:rsidRPr="00F562A8">
        <w:rPr>
          <w:rFonts w:ascii="Times New Roman" w:hAnsi="Times New Roman" w:cs="Times New Roman"/>
          <w:sz w:val="26"/>
          <w:szCs w:val="26"/>
        </w:rPr>
        <w:t>.</w:t>
      </w:r>
    </w:p>
    <w:p w14:paraId="6EC629E0" w14:textId="3CC8AE8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43417694"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416EDD83" w14:textId="1A9DBC21"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FC35E5">
        <w:rPr>
          <w:rFonts w:ascii="Times New Roman" w:hAnsi="Times New Roman" w:cs="Times New Roman"/>
          <w:sz w:val="26"/>
          <w:szCs w:val="26"/>
        </w:rPr>
        <w:t>4</w:t>
      </w:r>
      <w:r w:rsidRPr="00F562A8">
        <w:rPr>
          <w:rFonts w:ascii="Times New Roman" w:hAnsi="Times New Roman" w:cs="Times New Roman"/>
          <w:sz w:val="26"/>
          <w:szCs w:val="26"/>
        </w:rPr>
        <w:t>:</w:t>
      </w:r>
    </w:p>
    <w:p w14:paraId="5534CAF2" w14:textId="09828F0E"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FC35E5">
        <w:rPr>
          <w:rFonts w:ascii="Times New Roman" w:hAnsi="Times New Roman" w:cs="Times New Roman"/>
          <w:sz w:val="26"/>
          <w:szCs w:val="26"/>
        </w:rPr>
        <w:t>к</w:t>
      </w:r>
      <w:r w:rsidR="00FC35E5" w:rsidRPr="00FC35E5">
        <w:rPr>
          <w:rFonts w:ascii="Times New Roman" w:hAnsi="Times New Roman" w:cs="Times New Roman"/>
          <w:sz w:val="26"/>
          <w:szCs w:val="26"/>
        </w:rPr>
        <w:t>оличество общеобразовательных школ в населенном пункте</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655A9661" w14:textId="2B1372EB"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w:t>
      </w:r>
      <w:r w:rsidR="006513B9" w:rsidRPr="00F562A8">
        <w:rPr>
          <w:rFonts w:ascii="Times New Roman" w:hAnsi="Times New Roman" w:cs="Times New Roman"/>
          <w:sz w:val="26"/>
          <w:szCs w:val="26"/>
        </w:rPr>
        <w:t xml:space="preserve"> </w:t>
      </w:r>
      <w:r w:rsidR="00FC35E5">
        <w:rPr>
          <w:rFonts w:ascii="Times New Roman" w:hAnsi="Times New Roman" w:cs="Times New Roman"/>
          <w:sz w:val="26"/>
          <w:szCs w:val="26"/>
        </w:rPr>
        <w:t>р</w:t>
      </w:r>
      <w:r w:rsidR="00FC35E5" w:rsidRPr="00FC35E5">
        <w:rPr>
          <w:rFonts w:ascii="Times New Roman" w:hAnsi="Times New Roman" w:cs="Times New Roman"/>
          <w:sz w:val="26"/>
          <w:szCs w:val="26"/>
        </w:rPr>
        <w:t>асстояние объекта до общественно-делового центра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w:t>
      </w:r>
    </w:p>
    <w:p w14:paraId="5F47F9BA" w14:textId="01A5100C" w:rsidR="00306BF5"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w:t>
      </w:r>
      <w:r w:rsidR="00FC35E5">
        <w:rPr>
          <w:rFonts w:ascii="Times New Roman" w:hAnsi="Times New Roman" w:cs="Times New Roman"/>
          <w:sz w:val="26"/>
          <w:szCs w:val="26"/>
        </w:rPr>
        <w:t xml:space="preserve"> р</w:t>
      </w:r>
      <w:r w:rsidR="00FC35E5" w:rsidRPr="00FC35E5">
        <w:rPr>
          <w:rFonts w:ascii="Times New Roman" w:hAnsi="Times New Roman" w:cs="Times New Roman"/>
          <w:sz w:val="26"/>
          <w:szCs w:val="26"/>
        </w:rPr>
        <w:t>асстояние от населенного пункта до центра муниципального района (городского округа)</w:t>
      </w:r>
      <w:r w:rsidRPr="00F562A8">
        <w:rPr>
          <w:rFonts w:ascii="Times New Roman" w:hAnsi="Times New Roman" w:cs="Times New Roman"/>
          <w:sz w:val="26"/>
          <w:szCs w:val="26"/>
        </w:rPr>
        <w:t xml:space="preserve">: </w:t>
      </w:r>
      <w:r w:rsidR="00FC35E5" w:rsidRPr="00F562A8">
        <w:rPr>
          <w:rFonts w:ascii="Times New Roman" w:hAnsi="Times New Roman" w:cs="Times New Roman"/>
          <w:sz w:val="26"/>
          <w:szCs w:val="26"/>
        </w:rPr>
        <w:t>Х</w:t>
      </w:r>
      <w:r w:rsidR="00FC35E5">
        <w:rPr>
          <w:rFonts w:ascii="Times New Roman" w:hAnsi="Times New Roman" w:cs="Times New Roman"/>
          <w:sz w:val="26"/>
          <w:szCs w:val="26"/>
          <w:vertAlign w:val="subscript"/>
        </w:rPr>
        <w:t>2</w:t>
      </w:r>
      <w:r w:rsidR="00FC35E5">
        <w:rPr>
          <w:rFonts w:ascii="Times New Roman" w:hAnsi="Times New Roman" w:cs="Times New Roman"/>
          <w:sz w:val="26"/>
          <w:szCs w:val="26"/>
        </w:rPr>
        <w:t>;</w:t>
      </w:r>
    </w:p>
    <w:p w14:paraId="7D3284BA" w14:textId="2BF42A97" w:rsidR="00FC35E5" w:rsidRPr="00F562A8" w:rsidRDefault="00FC35E5" w:rsidP="006F6435">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 ч</w:t>
      </w:r>
      <w:r w:rsidRPr="00FC35E5">
        <w:rPr>
          <w:rFonts w:ascii="Times New Roman" w:hAnsi="Times New Roman" w:cs="Times New Roman"/>
          <w:sz w:val="26"/>
          <w:szCs w:val="26"/>
        </w:rPr>
        <w:t>исленность населения в населенном пункте:</w:t>
      </w:r>
      <w:r>
        <w:t xml:space="preserve"> </w:t>
      </w:r>
      <w:r w:rsidRPr="00F562A8">
        <w:rPr>
          <w:rFonts w:ascii="Times New Roman" w:hAnsi="Times New Roman" w:cs="Times New Roman"/>
          <w:sz w:val="26"/>
          <w:szCs w:val="26"/>
        </w:rPr>
        <w:t>Х</w:t>
      </w:r>
      <w:r>
        <w:rPr>
          <w:rFonts w:ascii="Times New Roman" w:hAnsi="Times New Roman" w:cs="Times New Roman"/>
          <w:sz w:val="26"/>
          <w:szCs w:val="26"/>
          <w:vertAlign w:val="subscript"/>
        </w:rPr>
        <w:t>3.</w:t>
      </w:r>
    </w:p>
    <w:p w14:paraId="40DA1F9B"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0AFB53B4"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66C6E46C" w14:textId="26BC3C86"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13778A">
        <w:rPr>
          <w:rFonts w:ascii="Times New Roman" w:hAnsi="Times New Roman" w:cs="Times New Roman"/>
          <w:sz w:val="26"/>
          <w:szCs w:val="26"/>
        </w:rPr>
        <w:t>четыре</w:t>
      </w:r>
      <w:r w:rsidRPr="00F562A8">
        <w:rPr>
          <w:rFonts w:ascii="Times New Roman" w:hAnsi="Times New Roman" w:cs="Times New Roman"/>
          <w:sz w:val="26"/>
          <w:szCs w:val="26"/>
        </w:rPr>
        <w:t>хфакторные модели:</w:t>
      </w:r>
    </w:p>
    <w:p w14:paraId="773600BC" w14:textId="77777777" w:rsidR="00306BF5" w:rsidRPr="00F562A8" w:rsidRDefault="00306BF5" w:rsidP="006F6435">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733FC5F6" wp14:editId="709A6D4B">
            <wp:extent cx="2209800" cy="247650"/>
            <wp:effectExtent l="0" t="0" r="0" b="0"/>
            <wp:docPr id="228" name="Рисунок 228"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6DC73603" w14:textId="5861E783"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6F5FCB0F" wp14:editId="48FDDF2E">
            <wp:extent cx="1352550" cy="266700"/>
            <wp:effectExtent l="0" t="0" r="0" b="0"/>
            <wp:docPr id="229" name="Рисунок 229"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0E700BE7"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4E67D4BB" wp14:editId="0058EECB">
            <wp:extent cx="1266825" cy="266700"/>
            <wp:effectExtent l="0" t="0" r="0" b="0"/>
            <wp:docPr id="230" name="Рисунок 230"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7B85454D"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42C09781"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71810581"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6ECD8197" wp14:editId="5CF15F43">
            <wp:extent cx="209550" cy="247650"/>
            <wp:effectExtent l="0" t="0" r="0" b="0"/>
            <wp:docPr id="231" name="Рисунок 231"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32E07AA9" wp14:editId="68CE7FC2">
            <wp:extent cx="200025" cy="247650"/>
            <wp:effectExtent l="0" t="0" r="9525" b="0"/>
            <wp:docPr id="232" name="Рисунок 232"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55081190" wp14:editId="3196A438">
            <wp:extent cx="209550" cy="247650"/>
            <wp:effectExtent l="0" t="0" r="0" b="0"/>
            <wp:docPr id="233" name="Рисунок 233"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7DBD174D" w14:textId="7E67789C" w:rsidR="00306BF5" w:rsidRPr="00F562A8" w:rsidRDefault="001E7B2A" w:rsidP="006F6435">
      <w:pPr>
        <w:spacing w:after="0" w:line="276" w:lineRule="auto"/>
        <w:jc w:val="center"/>
        <w:rPr>
          <w:rFonts w:ascii="Times New Roman" w:hAnsi="Times New Roman" w:cs="Times New Roman"/>
          <w:lang w:val="en-US"/>
        </w:rPr>
      </w:pPr>
      <w:r w:rsidRPr="00EA5AF3">
        <w:rPr>
          <w:noProof/>
          <w:lang w:eastAsia="ru-RU"/>
        </w:rPr>
        <w:drawing>
          <wp:inline distT="0" distB="0" distL="0" distR="0" wp14:anchorId="59DE24FC" wp14:editId="07F28866">
            <wp:extent cx="5939790" cy="723823"/>
            <wp:effectExtent l="0" t="0" r="3810" b="63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939790" cy="723823"/>
                    </a:xfrm>
                    <a:prstGeom prst="rect">
                      <a:avLst/>
                    </a:prstGeom>
                  </pic:spPr>
                </pic:pic>
              </a:graphicData>
            </a:graphic>
          </wp:inline>
        </w:drawing>
      </w:r>
    </w:p>
    <w:p w14:paraId="5A33E579" w14:textId="678B4C4F"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E716BD" w:rsidRPr="00F562A8">
        <w:rPr>
          <w:rFonts w:ascii="Times New Roman" w:hAnsi="Times New Roman" w:cs="Times New Roman"/>
          <w:sz w:val="26"/>
          <w:szCs w:val="26"/>
        </w:rPr>
        <w:t xml:space="preserve"> </w:t>
      </w:r>
      <w:r w:rsidR="0005668B" w:rsidRPr="00F562A8">
        <w:rPr>
          <w:rFonts w:ascii="Times New Roman" w:hAnsi="Times New Roman" w:cs="Times New Roman"/>
          <w:sz w:val="26"/>
          <w:szCs w:val="26"/>
        </w:rPr>
        <w:t>3.6.4.</w:t>
      </w:r>
      <w:r w:rsidR="0005668B">
        <w:rPr>
          <w:rFonts w:ascii="Times New Roman" w:hAnsi="Times New Roman" w:cs="Times New Roman"/>
          <w:sz w:val="26"/>
          <w:szCs w:val="26"/>
        </w:rPr>
        <w:t>3.</w:t>
      </w:r>
      <w:r w:rsidR="004867DA">
        <w:rPr>
          <w:rFonts w:ascii="Times New Roman" w:hAnsi="Times New Roman" w:cs="Times New Roman"/>
          <w:sz w:val="26"/>
          <w:szCs w:val="26"/>
        </w:rPr>
        <w:t>1</w:t>
      </w:r>
      <w:r w:rsidR="0005668B">
        <w:rPr>
          <w:rFonts w:ascii="Times New Roman" w:hAnsi="Times New Roman" w:cs="Times New Roman"/>
          <w:sz w:val="26"/>
          <w:szCs w:val="26"/>
        </w:rPr>
        <w:t xml:space="preserve"> </w:t>
      </w:r>
      <w:r w:rsidRPr="00F562A8">
        <w:rPr>
          <w:rFonts w:ascii="Times New Roman" w:hAnsi="Times New Roman" w:cs="Times New Roman"/>
          <w:sz w:val="26"/>
          <w:szCs w:val="26"/>
        </w:rPr>
        <w:t xml:space="preserve">- Множественные регрессионные </w:t>
      </w:r>
      <w:r w:rsidR="0013778A">
        <w:rPr>
          <w:rFonts w:ascii="Times New Roman" w:hAnsi="Times New Roman" w:cs="Times New Roman"/>
          <w:sz w:val="26"/>
          <w:szCs w:val="26"/>
        </w:rPr>
        <w:t>четыре</w:t>
      </w:r>
      <w:r w:rsidRPr="00F562A8">
        <w:rPr>
          <w:rFonts w:ascii="Times New Roman" w:hAnsi="Times New Roman" w:cs="Times New Roman"/>
          <w:sz w:val="26"/>
          <w:szCs w:val="26"/>
        </w:rPr>
        <w:t>хфакторные модели</w:t>
      </w:r>
    </w:p>
    <w:p w14:paraId="13F74095" w14:textId="0963A4F9"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0F753DA4"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1FCA882F"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37D7311E"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55840EA9"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46333D2A"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36BE50F2"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3E3421D7"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71030B58" w14:textId="33307B28" w:rsidR="00306BF5" w:rsidRPr="00F562A8" w:rsidRDefault="00FE1776" w:rsidP="006F6435">
      <w:pPr>
        <w:spacing w:after="0" w:line="276" w:lineRule="auto"/>
        <w:jc w:val="center"/>
        <w:rPr>
          <w:rFonts w:ascii="Times New Roman" w:hAnsi="Times New Roman" w:cs="Times New Roman"/>
        </w:rPr>
      </w:pPr>
      <w:r w:rsidRPr="00EA5AF3">
        <w:rPr>
          <w:noProof/>
          <w:lang w:eastAsia="ru-RU"/>
        </w:rPr>
        <w:drawing>
          <wp:inline distT="0" distB="0" distL="0" distR="0" wp14:anchorId="2F322A59" wp14:editId="366CFFC1">
            <wp:extent cx="5886450" cy="1423068"/>
            <wp:effectExtent l="0" t="0" r="0" b="571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6"/>
                    <a:srcRect r="7274"/>
                    <a:stretch/>
                  </pic:blipFill>
                  <pic:spPr bwMode="auto">
                    <a:xfrm>
                      <a:off x="0" y="0"/>
                      <a:ext cx="5934765" cy="1434748"/>
                    </a:xfrm>
                    <a:prstGeom prst="rect">
                      <a:avLst/>
                    </a:prstGeom>
                    <a:ln>
                      <a:noFill/>
                    </a:ln>
                    <a:extLst>
                      <a:ext uri="{53640926-AAD7-44D8-BBD7-CCE9431645EC}">
                        <a14:shadowObscured xmlns:a14="http://schemas.microsoft.com/office/drawing/2010/main"/>
                      </a:ext>
                    </a:extLst>
                  </pic:spPr>
                </pic:pic>
              </a:graphicData>
            </a:graphic>
          </wp:inline>
        </w:drawing>
      </w:r>
    </w:p>
    <w:p w14:paraId="1CD731CC" w14:textId="3844EE7C" w:rsidR="00306BF5" w:rsidRPr="00F562A8" w:rsidRDefault="00306BF5" w:rsidP="006F6435">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E716BD" w:rsidRPr="00F562A8">
        <w:rPr>
          <w:rFonts w:ascii="Times New Roman" w:hAnsi="Times New Roman" w:cs="Times New Roman"/>
          <w:sz w:val="26"/>
          <w:szCs w:val="26"/>
        </w:rPr>
        <w:t xml:space="preserve"> </w:t>
      </w:r>
      <w:r w:rsidR="0005668B" w:rsidRPr="00F562A8">
        <w:rPr>
          <w:rFonts w:ascii="Times New Roman" w:hAnsi="Times New Roman" w:cs="Times New Roman"/>
          <w:sz w:val="26"/>
          <w:szCs w:val="26"/>
        </w:rPr>
        <w:t>3.6.4.</w:t>
      </w:r>
      <w:r w:rsidR="0005668B">
        <w:rPr>
          <w:rFonts w:ascii="Times New Roman" w:hAnsi="Times New Roman" w:cs="Times New Roman"/>
          <w:sz w:val="26"/>
          <w:szCs w:val="26"/>
        </w:rPr>
        <w:t>3.</w:t>
      </w:r>
      <w:r w:rsidR="004867DA">
        <w:rPr>
          <w:rFonts w:ascii="Times New Roman" w:hAnsi="Times New Roman" w:cs="Times New Roman"/>
          <w:sz w:val="26"/>
          <w:szCs w:val="26"/>
        </w:rPr>
        <w:t>2</w:t>
      </w:r>
      <w:r w:rsidR="0005668B">
        <w:rPr>
          <w:rFonts w:ascii="Times New Roman" w:hAnsi="Times New Roman" w:cs="Times New Roman"/>
          <w:sz w:val="26"/>
          <w:szCs w:val="26"/>
        </w:rPr>
        <w:t xml:space="preserve"> </w:t>
      </w:r>
      <w:r w:rsidRPr="00F562A8">
        <w:rPr>
          <w:rFonts w:ascii="Times New Roman" w:hAnsi="Times New Roman" w:cs="Times New Roman"/>
          <w:sz w:val="26"/>
          <w:szCs w:val="26"/>
        </w:rPr>
        <w:t>-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069E1849"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7A164C55"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447B5256"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4A129804" w14:textId="6A569E07" w:rsidR="00306BF5" w:rsidRPr="00F562A8" w:rsidRDefault="00FE1776" w:rsidP="006F6435">
      <w:pPr>
        <w:spacing w:after="0" w:line="276" w:lineRule="auto"/>
        <w:jc w:val="center"/>
        <w:rPr>
          <w:rFonts w:ascii="Times New Roman" w:hAnsi="Times New Roman" w:cs="Times New Roman"/>
          <w:lang w:val="en-US"/>
        </w:rPr>
      </w:pPr>
      <w:r w:rsidRPr="00EA5AF3">
        <w:rPr>
          <w:noProof/>
          <w:lang w:eastAsia="ru-RU"/>
        </w:rPr>
        <w:drawing>
          <wp:inline distT="0" distB="0" distL="0" distR="0" wp14:anchorId="1A690F8A" wp14:editId="4B85E2B2">
            <wp:extent cx="3077004" cy="952633"/>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3077004" cy="952633"/>
                    </a:xfrm>
                    <a:prstGeom prst="rect">
                      <a:avLst/>
                    </a:prstGeom>
                  </pic:spPr>
                </pic:pic>
              </a:graphicData>
            </a:graphic>
          </wp:inline>
        </w:drawing>
      </w:r>
    </w:p>
    <w:p w14:paraId="465EA513" w14:textId="406A10AD"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E716BD" w:rsidRPr="00F562A8">
        <w:rPr>
          <w:rFonts w:ascii="Times New Roman" w:hAnsi="Times New Roman" w:cs="Times New Roman"/>
          <w:sz w:val="26"/>
          <w:szCs w:val="26"/>
        </w:rPr>
        <w:t xml:space="preserve"> </w:t>
      </w:r>
      <w:r w:rsidR="0005668B" w:rsidRPr="00F562A8">
        <w:rPr>
          <w:rFonts w:ascii="Times New Roman" w:hAnsi="Times New Roman" w:cs="Times New Roman"/>
          <w:sz w:val="26"/>
          <w:szCs w:val="26"/>
        </w:rPr>
        <w:t>3.6.4.</w:t>
      </w:r>
      <w:r w:rsidR="0005668B">
        <w:rPr>
          <w:rFonts w:ascii="Times New Roman" w:hAnsi="Times New Roman" w:cs="Times New Roman"/>
          <w:sz w:val="26"/>
          <w:szCs w:val="26"/>
        </w:rPr>
        <w:t>3.</w:t>
      </w:r>
      <w:r w:rsidR="004867DA">
        <w:rPr>
          <w:rFonts w:ascii="Times New Roman" w:hAnsi="Times New Roman" w:cs="Times New Roman"/>
          <w:sz w:val="26"/>
          <w:szCs w:val="26"/>
        </w:rPr>
        <w:t>3</w:t>
      </w:r>
      <w:r w:rsidR="00E716BD" w:rsidRPr="00F562A8">
        <w:rPr>
          <w:rFonts w:ascii="Times New Roman" w:hAnsi="Times New Roman" w:cs="Times New Roman"/>
          <w:sz w:val="26"/>
          <w:szCs w:val="26"/>
        </w:rPr>
        <w:t xml:space="preserve"> </w:t>
      </w:r>
      <w:r w:rsidRPr="00F562A8">
        <w:rPr>
          <w:rFonts w:ascii="Times New Roman" w:hAnsi="Times New Roman" w:cs="Times New Roman"/>
          <w:sz w:val="26"/>
          <w:szCs w:val="26"/>
        </w:rPr>
        <w:t>- Значения F-критерия Фишера</w:t>
      </w:r>
    </w:p>
    <w:p w14:paraId="37EF98A7" w14:textId="77777777" w:rsidR="00306BF5" w:rsidRPr="00F562A8" w:rsidRDefault="00306BF5" w:rsidP="006F6435">
      <w:pPr>
        <w:spacing w:after="0" w:line="276"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все три модели адекватно описывают статистические данные и их можно использовать для анализа и прогнозирования кадастровой стоимости (результативного признака). </w:t>
      </w:r>
    </w:p>
    <w:p w14:paraId="7DC014D5"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Наибольшее значение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имеет аддитивная модель, однако было учтено то, что она построена на основании ограниченной выборочной совокупности и адекватна на ограниченных интервалах независимых переменных. При расширении исходных данных прогнозное значение кадастровой стоимости может перейти в отрицательную область, что противоречит ее смыслу. Исходя из этого, для прогнозирования рационально выбрать экспоненциальную модель, которая всегда дает положительный прогноз. Экспоненциальная регрессионная модель имеет вид:</w:t>
      </w:r>
    </w:p>
    <w:p w14:paraId="15EA175F" w14:textId="3A121710" w:rsidR="00BF5984" w:rsidRDefault="00306BF5" w:rsidP="00F46FCA">
      <w:pPr>
        <w:ind w:firstLine="851"/>
        <w:jc w:val="both"/>
      </w:pPr>
      <w:r w:rsidRPr="00F562A8">
        <w:rPr>
          <w:rFonts w:ascii="Times New Roman" w:hAnsi="Times New Roman" w:cs="Times New Roman"/>
          <w:i/>
          <w:sz w:val="26"/>
          <w:szCs w:val="26"/>
        </w:rPr>
        <w:t xml:space="preserve">УПКС = </w:t>
      </w:r>
      <w:r w:rsidR="00BF5984" w:rsidRPr="00BF5984">
        <w:rPr>
          <w:rFonts w:ascii="Times New Roman" w:hAnsi="Times New Roman" w:cs="Times New Roman"/>
          <w:i/>
          <w:sz w:val="26"/>
          <w:szCs w:val="26"/>
        </w:rPr>
        <w:t>1449.94066078048*e^(+0.0643878269101205</w:t>
      </w:r>
      <w:r w:rsidR="00BF5984">
        <w:rPr>
          <w:rFonts w:ascii="Times New Roman" w:hAnsi="Times New Roman" w:cs="Times New Roman"/>
          <w:i/>
          <w:sz w:val="26"/>
          <w:szCs w:val="26"/>
        </w:rPr>
        <w:t xml:space="preserve"> </w:t>
      </w:r>
      <w:r w:rsidR="00BF5984" w:rsidRPr="00BF5984">
        <w:rPr>
          <w:rFonts w:ascii="Times New Roman" w:hAnsi="Times New Roman" w:cs="Times New Roman"/>
          <w:i/>
          <w:sz w:val="26"/>
          <w:szCs w:val="26"/>
        </w:rPr>
        <w:t xml:space="preserve">*гнп </w:t>
      </w:r>
      <w:bookmarkStart w:id="220" w:name="_Hlk105423362"/>
      <w:r w:rsidR="00BF5984" w:rsidRPr="00BF5984">
        <w:rPr>
          <w:rFonts w:ascii="Times New Roman" w:hAnsi="Times New Roman" w:cs="Times New Roman"/>
          <w:i/>
          <w:sz w:val="26"/>
          <w:szCs w:val="26"/>
        </w:rPr>
        <w:t>Количество общеобразовательных школ в населенном пункте</w:t>
      </w:r>
      <w:bookmarkEnd w:id="220"/>
      <w:r w:rsidR="00BF5984">
        <w:rPr>
          <w:rFonts w:ascii="Times New Roman" w:hAnsi="Times New Roman" w:cs="Times New Roman"/>
          <w:i/>
          <w:sz w:val="26"/>
          <w:szCs w:val="26"/>
        </w:rPr>
        <w:t xml:space="preserve"> </w:t>
      </w:r>
      <w:r w:rsidR="00BF5984" w:rsidRPr="00BF5984">
        <w:rPr>
          <w:rFonts w:ascii="Times New Roman" w:hAnsi="Times New Roman" w:cs="Times New Roman"/>
          <w:i/>
          <w:sz w:val="26"/>
          <w:szCs w:val="26"/>
        </w:rPr>
        <w:t>+0.00019544920</w:t>
      </w:r>
      <w:r w:rsidR="00BF5984">
        <w:rPr>
          <w:rFonts w:ascii="Times New Roman" w:hAnsi="Times New Roman" w:cs="Times New Roman"/>
          <w:i/>
          <w:sz w:val="26"/>
          <w:szCs w:val="26"/>
        </w:rPr>
        <w:t xml:space="preserve"> </w:t>
      </w:r>
      <w:r w:rsidR="00BF5984" w:rsidRPr="00BF5984">
        <w:rPr>
          <w:rFonts w:ascii="Times New Roman" w:hAnsi="Times New Roman" w:cs="Times New Roman"/>
          <w:i/>
          <w:sz w:val="26"/>
          <w:szCs w:val="26"/>
        </w:rPr>
        <w:t xml:space="preserve">1115692*((7101.795+-2555.207-гнп </w:t>
      </w:r>
      <w:bookmarkStart w:id="221" w:name="_Hlk105423380"/>
      <w:r w:rsidR="00BF5984" w:rsidRPr="00BF5984">
        <w:rPr>
          <w:rFonts w:ascii="Times New Roman" w:hAnsi="Times New Roman" w:cs="Times New Roman"/>
          <w:i/>
          <w:sz w:val="26"/>
          <w:szCs w:val="26"/>
        </w:rPr>
        <w:t>Расстояние объекта до общественно-делового центра</w:t>
      </w:r>
      <w:bookmarkEnd w:id="221"/>
      <w:r w:rsidR="00BF5984" w:rsidRPr="00BF5984">
        <w:rPr>
          <w:rFonts w:ascii="Times New Roman" w:hAnsi="Times New Roman" w:cs="Times New Roman"/>
          <w:i/>
          <w:sz w:val="26"/>
          <w:szCs w:val="26"/>
        </w:rPr>
        <w:t xml:space="preserve">))+0.00997051750918511*((42.00+-19.00-гнп </w:t>
      </w:r>
      <w:bookmarkStart w:id="222" w:name="_Hlk105423393"/>
      <w:r w:rsidR="00BF5984" w:rsidRPr="00BF5984">
        <w:rPr>
          <w:rFonts w:ascii="Times New Roman" w:hAnsi="Times New Roman" w:cs="Times New Roman"/>
          <w:i/>
          <w:sz w:val="26"/>
          <w:szCs w:val="26"/>
        </w:rPr>
        <w:t>Расстояние от населенного пункта до центра муниципального района  (городского округа)</w:t>
      </w:r>
      <w:bookmarkEnd w:id="222"/>
      <w:r w:rsidR="00BF5984" w:rsidRPr="00BF5984">
        <w:rPr>
          <w:rFonts w:ascii="Times New Roman" w:hAnsi="Times New Roman" w:cs="Times New Roman"/>
          <w:i/>
          <w:sz w:val="26"/>
          <w:szCs w:val="26"/>
        </w:rPr>
        <w:t>))</w:t>
      </w:r>
      <w:r w:rsidR="00F46FCA">
        <w:rPr>
          <w:rFonts w:ascii="Times New Roman" w:hAnsi="Times New Roman" w:cs="Times New Roman"/>
          <w:i/>
          <w:sz w:val="26"/>
          <w:szCs w:val="26"/>
        </w:rPr>
        <w:t xml:space="preserve"> </w:t>
      </w:r>
      <w:r w:rsidR="00BF5984" w:rsidRPr="00BF5984">
        <w:rPr>
          <w:rFonts w:ascii="Times New Roman" w:hAnsi="Times New Roman" w:cs="Times New Roman"/>
          <w:i/>
          <w:sz w:val="26"/>
          <w:szCs w:val="26"/>
        </w:rPr>
        <w:t>+0.00000666850444443684*__</w:t>
      </w:r>
      <w:bookmarkStart w:id="223" w:name="_Hlk105423405"/>
      <w:r w:rsidR="00BF5984" w:rsidRPr="00BF5984">
        <w:rPr>
          <w:rFonts w:ascii="Times New Roman" w:hAnsi="Times New Roman" w:cs="Times New Roman"/>
          <w:i/>
          <w:sz w:val="26"/>
          <w:szCs w:val="26"/>
        </w:rPr>
        <w:t>Численность населения в населенном пункте</w:t>
      </w:r>
      <w:bookmarkEnd w:id="223"/>
      <w:r w:rsidR="00BF5984" w:rsidRPr="00BF5984">
        <w:rPr>
          <w:rFonts w:ascii="Times New Roman" w:hAnsi="Times New Roman" w:cs="Times New Roman"/>
          <w:i/>
          <w:sz w:val="26"/>
          <w:szCs w:val="26"/>
        </w:rPr>
        <w:t>)</w:t>
      </w:r>
    </w:p>
    <w:p w14:paraId="04FEC757" w14:textId="77777777" w:rsidR="00BF5984" w:rsidRPr="00F562A8" w:rsidRDefault="00BF5984" w:rsidP="00BF5984">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F-статистики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3EC1CFA4" w14:textId="068D0A2A" w:rsidR="00306BF5" w:rsidRPr="00F562A8" w:rsidRDefault="00BF5984" w:rsidP="006F6435">
      <w:pPr>
        <w:spacing w:after="0" w:line="276" w:lineRule="auto"/>
        <w:jc w:val="center"/>
        <w:rPr>
          <w:rFonts w:ascii="Times New Roman" w:hAnsi="Times New Roman" w:cs="Times New Roman"/>
        </w:rPr>
      </w:pPr>
      <w:r w:rsidRPr="00EA5AF3">
        <w:rPr>
          <w:noProof/>
          <w:lang w:eastAsia="ru-RU"/>
        </w:rPr>
        <w:drawing>
          <wp:inline distT="0" distB="0" distL="0" distR="0" wp14:anchorId="2A4A0D53" wp14:editId="139642CA">
            <wp:extent cx="5939790" cy="3721337"/>
            <wp:effectExtent l="0" t="0" r="381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939790" cy="3721337"/>
                    </a:xfrm>
                    <a:prstGeom prst="rect">
                      <a:avLst/>
                    </a:prstGeom>
                  </pic:spPr>
                </pic:pic>
              </a:graphicData>
            </a:graphic>
          </wp:inline>
        </w:drawing>
      </w:r>
    </w:p>
    <w:p w14:paraId="2C479F25" w14:textId="0AB7AF9D"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E716BD" w:rsidRPr="00F562A8">
        <w:rPr>
          <w:rFonts w:ascii="Times New Roman" w:hAnsi="Times New Roman" w:cs="Times New Roman"/>
          <w:sz w:val="26"/>
          <w:szCs w:val="26"/>
        </w:rPr>
        <w:t xml:space="preserve"> </w:t>
      </w:r>
      <w:r w:rsidR="0005668B" w:rsidRPr="00F562A8">
        <w:rPr>
          <w:rFonts w:ascii="Times New Roman" w:hAnsi="Times New Roman" w:cs="Times New Roman"/>
          <w:sz w:val="26"/>
          <w:szCs w:val="26"/>
        </w:rPr>
        <w:t>3.6.4.</w:t>
      </w:r>
      <w:r w:rsidR="0005668B">
        <w:rPr>
          <w:rFonts w:ascii="Times New Roman" w:hAnsi="Times New Roman" w:cs="Times New Roman"/>
          <w:sz w:val="26"/>
          <w:szCs w:val="26"/>
        </w:rPr>
        <w:t>3.</w:t>
      </w:r>
      <w:r w:rsidR="004867DA">
        <w:rPr>
          <w:rFonts w:ascii="Times New Roman" w:hAnsi="Times New Roman" w:cs="Times New Roman"/>
          <w:sz w:val="26"/>
          <w:szCs w:val="26"/>
        </w:rPr>
        <w:t>4</w:t>
      </w:r>
      <w:r w:rsidR="0005668B">
        <w:rPr>
          <w:rFonts w:ascii="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52B11CBE" w14:textId="6D62B826"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факторами Х</w:t>
      </w:r>
      <w:r w:rsidR="00BF5984">
        <w:rPr>
          <w:rFonts w:ascii="Times New Roman" w:hAnsi="Times New Roman" w:cs="Times New Roman"/>
          <w:sz w:val="26"/>
          <w:szCs w:val="26"/>
          <w:vertAlign w:val="subscript"/>
        </w:rPr>
        <w:t>2</w:t>
      </w:r>
      <w:r w:rsidRPr="00F562A8">
        <w:rPr>
          <w:rFonts w:ascii="Times New Roman" w:hAnsi="Times New Roman" w:cs="Times New Roman"/>
          <w:sz w:val="26"/>
          <w:szCs w:val="26"/>
          <w:vertAlign w:val="subscript"/>
        </w:rPr>
        <w:t xml:space="preserve"> </w:t>
      </w:r>
      <w:r w:rsidRPr="00F562A8">
        <w:rPr>
          <w:rFonts w:ascii="Times New Roman" w:hAnsi="Times New Roman" w:cs="Times New Roman"/>
          <w:sz w:val="26"/>
          <w:szCs w:val="26"/>
        </w:rPr>
        <w:t>и Х</w:t>
      </w:r>
      <w:r w:rsidR="005F165E"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xml:space="preserve"> и кадастровой стоимостью обратная, то есть при росте этих факторов кадастровая стоимость уменьшается. Влияние факторов</w:t>
      </w:r>
      <w:r w:rsidR="00A06688">
        <w:rPr>
          <w:rFonts w:ascii="Times New Roman" w:hAnsi="Times New Roman" w:cs="Times New Roman"/>
          <w:sz w:val="26"/>
          <w:szCs w:val="26"/>
        </w:rPr>
        <w:t xml:space="preserve"> </w:t>
      </w:r>
      <w:r w:rsidR="00BF5984" w:rsidRPr="00F562A8">
        <w:rPr>
          <w:rFonts w:ascii="Times New Roman" w:hAnsi="Times New Roman" w:cs="Times New Roman"/>
          <w:sz w:val="26"/>
          <w:szCs w:val="26"/>
        </w:rPr>
        <w:t>Х</w:t>
      </w:r>
      <w:r w:rsidR="00BF5984">
        <w:rPr>
          <w:rFonts w:ascii="Times New Roman" w:hAnsi="Times New Roman" w:cs="Times New Roman"/>
          <w:sz w:val="26"/>
          <w:szCs w:val="26"/>
          <w:vertAlign w:val="subscript"/>
        </w:rPr>
        <w:t xml:space="preserve">о </w:t>
      </w:r>
      <w:r w:rsidR="00BF5984" w:rsidRPr="00BF5984">
        <w:rPr>
          <w:rFonts w:ascii="Times New Roman" w:hAnsi="Times New Roman" w:cs="Times New Roman"/>
          <w:sz w:val="26"/>
          <w:szCs w:val="26"/>
        </w:rPr>
        <w:t>и</w:t>
      </w:r>
      <w:r w:rsidR="00BF5984">
        <w:rPr>
          <w:rFonts w:ascii="Times New Roman" w:hAnsi="Times New Roman" w:cs="Times New Roman"/>
          <w:sz w:val="26"/>
          <w:szCs w:val="26"/>
          <w:vertAlign w:val="subscript"/>
        </w:rPr>
        <w:t xml:space="preserve"> </w:t>
      </w:r>
      <w:r w:rsidRPr="00F562A8">
        <w:rPr>
          <w:rFonts w:ascii="Times New Roman" w:hAnsi="Times New Roman" w:cs="Times New Roman"/>
          <w:sz w:val="26"/>
          <w:szCs w:val="26"/>
        </w:rPr>
        <w:t>Х</w:t>
      </w:r>
      <w:r w:rsidR="00BF5984">
        <w:rPr>
          <w:rFonts w:ascii="Times New Roman" w:hAnsi="Times New Roman" w:cs="Times New Roman"/>
          <w:sz w:val="26"/>
          <w:szCs w:val="26"/>
          <w:vertAlign w:val="subscript"/>
        </w:rPr>
        <w:t>3</w:t>
      </w:r>
      <w:r w:rsidRPr="00F562A8">
        <w:rPr>
          <w:rFonts w:ascii="Times New Roman" w:hAnsi="Times New Roman" w:cs="Times New Roman"/>
          <w:sz w:val="26"/>
          <w:szCs w:val="26"/>
        </w:rPr>
        <w:t xml:space="preserve"> на кадастровую стоимость прямое и с ростом факторов кадастровая стоимость растет.  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1040BCA3" w14:textId="58655685" w:rsidR="007B7562" w:rsidRDefault="00B1235C" w:rsidP="006F6435">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4F4695" w:rsidRPr="00F562A8">
        <w:rPr>
          <w:rFonts w:ascii="Times New Roman" w:eastAsiaTheme="minorEastAsia" w:hAnsi="Times New Roman" w:cs="Times New Roman"/>
          <w:sz w:val="26"/>
          <w:szCs w:val="26"/>
        </w:rPr>
        <w:t>2/2.4</w:t>
      </w:r>
      <w:r w:rsidR="004F4695">
        <w:rPr>
          <w:rFonts w:ascii="Times New Roman" w:eastAsiaTheme="minorEastAsia" w:hAnsi="Times New Roman" w:cs="Times New Roman"/>
          <w:sz w:val="26"/>
          <w:szCs w:val="26"/>
        </w:rPr>
        <w:t>/2.4.4.</w:t>
      </w:r>
    </w:p>
    <w:p w14:paraId="136A6101" w14:textId="73181FC1" w:rsidR="00250300" w:rsidRDefault="00250300" w:rsidP="006F6435">
      <w:pPr>
        <w:spacing w:after="0" w:line="276" w:lineRule="auto"/>
        <w:ind w:firstLine="709"/>
        <w:jc w:val="both"/>
        <w:rPr>
          <w:rFonts w:ascii="Times New Roman" w:eastAsiaTheme="minorEastAsia" w:hAnsi="Times New Roman" w:cs="Times New Roman"/>
          <w:sz w:val="26"/>
          <w:szCs w:val="26"/>
        </w:rPr>
      </w:pPr>
    </w:p>
    <w:p w14:paraId="154C0618" w14:textId="376FCB9A" w:rsidR="00306BF5" w:rsidRPr="002E4495" w:rsidRDefault="00B15076" w:rsidP="002D4BEA">
      <w:pPr>
        <w:pStyle w:val="ab"/>
        <w:ind w:left="0"/>
        <w:jc w:val="center"/>
        <w:outlineLvl w:val="2"/>
        <w:rPr>
          <w:rFonts w:ascii="Times New Roman" w:hAnsi="Times New Roman" w:cs="Times New Roman"/>
          <w:i/>
          <w:sz w:val="26"/>
          <w:szCs w:val="26"/>
        </w:rPr>
      </w:pPr>
      <w:bookmarkStart w:id="224" w:name="_Toc110506979"/>
      <w:bookmarkStart w:id="225" w:name="_Hlk42016661"/>
      <w:r w:rsidRPr="000B0328">
        <w:rPr>
          <w:rFonts w:ascii="Times New Roman" w:hAnsi="Times New Roman" w:cs="Times New Roman"/>
          <w:i/>
          <w:sz w:val="26"/>
          <w:szCs w:val="26"/>
        </w:rPr>
        <w:t>3.6.4.</w:t>
      </w:r>
      <w:r w:rsidR="002E4495" w:rsidRPr="000B0328">
        <w:rPr>
          <w:rFonts w:ascii="Times New Roman" w:hAnsi="Times New Roman" w:cs="Times New Roman"/>
          <w:i/>
          <w:sz w:val="26"/>
          <w:szCs w:val="26"/>
        </w:rPr>
        <w:t>4</w:t>
      </w:r>
      <w:r w:rsidRPr="000B0328">
        <w:rPr>
          <w:rFonts w:ascii="Times New Roman" w:hAnsi="Times New Roman" w:cs="Times New Roman"/>
          <w:i/>
          <w:sz w:val="26"/>
          <w:szCs w:val="26"/>
        </w:rPr>
        <w:t>.</w:t>
      </w:r>
      <w:r w:rsidRPr="00B22A09">
        <w:rPr>
          <w:rFonts w:ascii="Times New Roman" w:hAnsi="Times New Roman" w:cs="Times New Roman"/>
          <w:i/>
          <w:sz w:val="26"/>
          <w:szCs w:val="26"/>
        </w:rPr>
        <w:t xml:space="preserve"> </w:t>
      </w:r>
      <w:r w:rsidR="00306BF5" w:rsidRPr="00B22A09">
        <w:rPr>
          <w:rFonts w:ascii="Times New Roman" w:hAnsi="Times New Roman" w:cs="Times New Roman"/>
          <w:i/>
          <w:sz w:val="26"/>
          <w:szCs w:val="26"/>
        </w:rPr>
        <w:t xml:space="preserve">Расчет кадастровой стоимости земельных участков группы </w:t>
      </w:r>
      <w:r w:rsidR="002E4495" w:rsidRPr="00B22A09">
        <w:rPr>
          <w:rFonts w:ascii="Times New Roman" w:hAnsi="Times New Roman" w:cs="Times New Roman"/>
          <w:i/>
          <w:sz w:val="26"/>
          <w:szCs w:val="26"/>
        </w:rPr>
        <w:t>ПРЕДПРИНИМАТЕЛЬСТВО/СНП</w:t>
      </w:r>
      <w:bookmarkEnd w:id="224"/>
    </w:p>
    <w:p w14:paraId="1A620545" w14:textId="450AE32E" w:rsidR="002E4495" w:rsidRPr="00F562A8" w:rsidRDefault="002E4495" w:rsidP="002E4495">
      <w:pPr>
        <w:spacing w:after="0" w:line="276" w:lineRule="auto"/>
        <w:ind w:firstLine="709"/>
        <w:jc w:val="both"/>
        <w:rPr>
          <w:rFonts w:ascii="Times New Roman" w:hAnsi="Times New Roman" w:cs="Times New Roman"/>
          <w:sz w:val="26"/>
          <w:szCs w:val="26"/>
        </w:rPr>
      </w:pPr>
      <w:bookmarkStart w:id="226" w:name="_Toc14102074"/>
      <w:bookmarkEnd w:id="225"/>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4F4695" w:rsidRPr="00F562A8">
        <w:rPr>
          <w:rFonts w:ascii="Times New Roman" w:eastAsiaTheme="minorEastAsia" w:hAnsi="Times New Roman" w:cs="Times New Roman"/>
          <w:sz w:val="26"/>
          <w:szCs w:val="26"/>
        </w:rPr>
        <w:t>2/2.4</w:t>
      </w:r>
      <w:r w:rsidR="004F4695">
        <w:rPr>
          <w:rFonts w:ascii="Times New Roman" w:eastAsiaTheme="minorEastAsia" w:hAnsi="Times New Roman" w:cs="Times New Roman"/>
          <w:sz w:val="26"/>
          <w:szCs w:val="26"/>
        </w:rPr>
        <w:t>/2.4.4.</w:t>
      </w:r>
    </w:p>
    <w:p w14:paraId="3D70F05F" w14:textId="33F11A06" w:rsidR="002E4495" w:rsidRDefault="002E4495" w:rsidP="002E4495">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w:t>
      </w:r>
      <w:r w:rsidRPr="00391992">
        <w:rPr>
          <w:rFonts w:ascii="Times New Roman" w:hAnsi="Times New Roman" w:cs="Times New Roman"/>
          <w:sz w:val="26"/>
          <w:szCs w:val="26"/>
        </w:rPr>
        <w:t xml:space="preserve">группы </w:t>
      </w:r>
      <w:r w:rsidRPr="00345244">
        <w:rPr>
          <w:rFonts w:ascii="Times New Roman" w:hAnsi="Times New Roman" w:cs="Times New Roman"/>
          <w:sz w:val="26"/>
          <w:szCs w:val="26"/>
        </w:rPr>
        <w:t>ПРЕДПРИНИМАТЕЛЬСТВО/</w:t>
      </w:r>
      <w:r>
        <w:rPr>
          <w:rFonts w:ascii="Times New Roman" w:hAnsi="Times New Roman" w:cs="Times New Roman"/>
          <w:sz w:val="26"/>
          <w:szCs w:val="26"/>
        </w:rPr>
        <w:t>С</w:t>
      </w:r>
      <w:r w:rsidRPr="00345244">
        <w:rPr>
          <w:rFonts w:ascii="Times New Roman" w:hAnsi="Times New Roman" w:cs="Times New Roman"/>
          <w:sz w:val="26"/>
          <w:szCs w:val="26"/>
        </w:rPr>
        <w:t>НП</w:t>
      </w:r>
      <w:r>
        <w:rPr>
          <w:rFonts w:ascii="Times New Roman" w:hAnsi="Times New Roman" w:cs="Times New Roman"/>
          <w:sz w:val="26"/>
          <w:szCs w:val="26"/>
        </w:rPr>
        <w:t xml:space="preserve">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Pr>
          <w:rFonts w:ascii="Times New Roman" w:hAnsi="Times New Roman" w:cs="Times New Roman"/>
          <w:sz w:val="26"/>
          <w:szCs w:val="26"/>
        </w:rPr>
        <w:t xml:space="preserve"> </w:t>
      </w:r>
      <w:r w:rsidRPr="00391992">
        <w:rPr>
          <w:rFonts w:ascii="Times New Roman" w:hAnsi="Times New Roman" w:cs="Times New Roman"/>
          <w:sz w:val="26"/>
          <w:szCs w:val="26"/>
        </w:rPr>
        <w:t>04:000, 01:183, 02:017, 02:053, 02:063, 03:063, 03:064, 04:010, 04:020, 04:030, 04:040, 04:050, 04:060, 04:080, 04:081, 04:082, 04:083, 04:084, 04:096, 04:100, 05:013, 05:050, 08:021</w:t>
      </w:r>
      <w:r>
        <w:rPr>
          <w:rFonts w:ascii="Times New Roman" w:hAnsi="Times New Roman" w:cs="Times New Roman"/>
          <w:sz w:val="26"/>
          <w:szCs w:val="26"/>
        </w:rPr>
        <w:t>.</w:t>
      </w:r>
    </w:p>
    <w:p w14:paraId="30C25137" w14:textId="1845FE8D" w:rsidR="002E4495" w:rsidRPr="00F562A8" w:rsidRDefault="002E4495" w:rsidP="002E449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Pr="00A53A0E">
        <w:rPr>
          <w:rFonts w:ascii="Times New Roman" w:hAnsi="Times New Roman" w:cs="Times New Roman"/>
          <w:sz w:val="26"/>
          <w:szCs w:val="26"/>
        </w:rPr>
        <w:t>ПРЕДПРИНИМАТЕЛЬСТВО/</w:t>
      </w:r>
      <w:r>
        <w:rPr>
          <w:rFonts w:ascii="Times New Roman" w:hAnsi="Times New Roman" w:cs="Times New Roman"/>
          <w:sz w:val="26"/>
          <w:szCs w:val="26"/>
        </w:rPr>
        <w:t>С</w:t>
      </w:r>
      <w:r w:rsidRPr="00345244">
        <w:rPr>
          <w:rFonts w:ascii="Times New Roman" w:hAnsi="Times New Roman" w:cs="Times New Roman"/>
          <w:sz w:val="26"/>
          <w:szCs w:val="26"/>
        </w:rPr>
        <w:t>НП</w:t>
      </w:r>
      <w:r w:rsidRPr="00F562A8">
        <w:rPr>
          <w:rFonts w:ascii="Times New Roman" w:hAnsi="Times New Roman" w:cs="Times New Roman"/>
          <w:sz w:val="26"/>
          <w:szCs w:val="26"/>
        </w:rPr>
        <w:t xml:space="preserve"> 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29B2899E"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Pr>
          <w:rFonts w:ascii="Times New Roman" w:hAnsi="Times New Roman" w:cs="Times New Roman"/>
          <w:sz w:val="26"/>
          <w:szCs w:val="26"/>
        </w:rPr>
        <w:t>45.1.1</w:t>
      </w:r>
      <w:r w:rsidRPr="00F562A8">
        <w:rPr>
          <w:rFonts w:ascii="Times New Roman" w:hAnsi="Times New Roman" w:cs="Times New Roman"/>
          <w:sz w:val="26"/>
          <w:szCs w:val="26"/>
        </w:rPr>
        <w:t xml:space="preserve">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415635AF"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235658C3"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4297F0AE"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59F913C2"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4377DD6E"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6876AAA3"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189D8DF0" w14:textId="77777777" w:rsidR="00072205" w:rsidRPr="00F562A8" w:rsidRDefault="00531FB8" w:rsidP="00072205">
      <w:pPr>
        <w:tabs>
          <w:tab w:val="left" w:pos="1890"/>
        </w:tabs>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w:t>
      </w:r>
      <w:r>
        <w:rPr>
          <w:rFonts w:ascii="Times New Roman" w:hAnsi="Times New Roman" w:cs="Times New Roman"/>
          <w:sz w:val="26"/>
          <w:szCs w:val="26"/>
        </w:rPr>
        <w:t>сельских</w:t>
      </w:r>
      <w:r w:rsidRPr="00F562A8">
        <w:rPr>
          <w:rFonts w:ascii="Times New Roman" w:hAnsi="Times New Roman" w:cs="Times New Roman"/>
          <w:sz w:val="26"/>
          <w:szCs w:val="26"/>
        </w:rPr>
        <w:t xml:space="preserve"> населенных пунктах Воронежской области</w:t>
      </w:r>
      <w:r w:rsidR="002E4495" w:rsidRPr="00F562A8">
        <w:rPr>
          <w:rFonts w:ascii="Times New Roman" w:hAnsi="Times New Roman" w:cs="Times New Roman"/>
          <w:sz w:val="26"/>
          <w:szCs w:val="26"/>
        </w:rPr>
        <w:t xml:space="preserve">,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002E4495" w:rsidRPr="00F562A8">
        <w:rPr>
          <w:rFonts w:ascii="Times New Roman" w:hAnsi="Times New Roman" w:cs="Times New Roman"/>
          <w:sz w:val="26"/>
          <w:szCs w:val="26"/>
          <w:lang w:val="en-US"/>
        </w:rPr>
        <w:t>Y</w:t>
      </w:r>
      <w:r w:rsidR="002E4495" w:rsidRPr="00F562A8">
        <w:rPr>
          <w:rFonts w:ascii="Times New Roman" w:hAnsi="Times New Roman" w:cs="Times New Roman"/>
          <w:sz w:val="26"/>
          <w:szCs w:val="26"/>
        </w:rPr>
        <w:t xml:space="preserve">- кадастровая стоимость и факторы, на него влияющие </w:t>
      </w:r>
      <w:r w:rsidR="002E4495" w:rsidRPr="00F562A8">
        <w:rPr>
          <w:rFonts w:ascii="Times New Roman" w:hAnsi="Times New Roman" w:cs="Times New Roman"/>
          <w:sz w:val="26"/>
          <w:szCs w:val="26"/>
          <w:lang w:val="en-US"/>
        </w:rPr>
        <w:t>X</w:t>
      </w:r>
      <w:r w:rsidR="002E4495" w:rsidRPr="00F562A8">
        <w:rPr>
          <w:rFonts w:ascii="Times New Roman" w:hAnsi="Times New Roman" w:cs="Times New Roman"/>
          <w:sz w:val="26"/>
          <w:szCs w:val="26"/>
          <w:vertAlign w:val="subscript"/>
          <w:lang w:val="en-US"/>
        </w:rPr>
        <w:t>i</w:t>
      </w:r>
      <w:r w:rsidR="002E4495" w:rsidRPr="00F562A8">
        <w:rPr>
          <w:rFonts w:ascii="Times New Roman" w:hAnsi="Times New Roman" w:cs="Times New Roman"/>
          <w:sz w:val="26"/>
          <w:szCs w:val="26"/>
        </w:rPr>
        <w:t xml:space="preserve">, где </w:t>
      </w:r>
      <w:r w:rsidR="002E4495" w:rsidRPr="00F562A8">
        <w:rPr>
          <w:rFonts w:ascii="Times New Roman" w:hAnsi="Times New Roman" w:cs="Times New Roman"/>
          <w:sz w:val="26"/>
          <w:szCs w:val="26"/>
          <w:lang w:val="en-US"/>
        </w:rPr>
        <w:t>i</w:t>
      </w:r>
      <w:r w:rsidR="002E4495" w:rsidRPr="00F562A8">
        <w:rPr>
          <w:rFonts w:ascii="Times New Roman" w:hAnsi="Times New Roman" w:cs="Times New Roman"/>
          <w:sz w:val="26"/>
          <w:szCs w:val="26"/>
        </w:rPr>
        <w:t xml:space="preserve">=1, …, 21 </w:t>
      </w:r>
      <w:r w:rsidR="00072205" w:rsidRPr="00F562A8">
        <w:rPr>
          <w:rFonts w:ascii="Times New Roman" w:hAnsi="Times New Roman" w:cs="Times New Roman"/>
          <w:sz w:val="26"/>
          <w:szCs w:val="26"/>
        </w:rPr>
        <w:t>представлены в таблиц</w:t>
      </w:r>
      <w:r w:rsidR="00072205">
        <w:rPr>
          <w:rFonts w:ascii="Times New Roman" w:hAnsi="Times New Roman" w:cs="Times New Roman"/>
          <w:sz w:val="26"/>
          <w:szCs w:val="26"/>
        </w:rPr>
        <w:t>ах</w:t>
      </w:r>
      <w:r w:rsidR="00072205" w:rsidRPr="00F562A8">
        <w:rPr>
          <w:rFonts w:ascii="Times New Roman" w:hAnsi="Times New Roman" w:cs="Times New Roman"/>
          <w:sz w:val="26"/>
          <w:szCs w:val="26"/>
        </w:rPr>
        <w:t xml:space="preserve"> </w:t>
      </w:r>
      <w:r w:rsidR="00072205" w:rsidRPr="00F562A8">
        <w:rPr>
          <w:rFonts w:ascii="Times New Roman" w:eastAsia="Times New Roman" w:hAnsi="Times New Roman" w:cs="Times New Roman"/>
          <w:sz w:val="26"/>
          <w:szCs w:val="26"/>
        </w:rPr>
        <w:t>3.</w:t>
      </w:r>
      <w:r w:rsidR="00072205">
        <w:rPr>
          <w:rFonts w:ascii="Times New Roman" w:eastAsia="Times New Roman" w:hAnsi="Times New Roman" w:cs="Times New Roman"/>
          <w:sz w:val="26"/>
          <w:szCs w:val="26"/>
        </w:rPr>
        <w:t>4 и 3.5, пунктов 3.4 и 3.5 соответственно</w:t>
      </w:r>
      <w:r w:rsidR="00072205" w:rsidRPr="00F562A8">
        <w:rPr>
          <w:rFonts w:ascii="Times New Roman" w:hAnsi="Times New Roman" w:cs="Times New Roman"/>
          <w:sz w:val="26"/>
          <w:szCs w:val="26"/>
        </w:rPr>
        <w:t>.</w:t>
      </w:r>
    </w:p>
    <w:p w14:paraId="2BA8B4B7" w14:textId="49E40F24" w:rsidR="002E4495" w:rsidRPr="00F562A8" w:rsidRDefault="002E4495" w:rsidP="002E449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022989CE" w14:textId="77777777" w:rsidR="002E4495" w:rsidRPr="00F562A8" w:rsidRDefault="002E4495" w:rsidP="002E449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0E985597" w14:textId="77777777" w:rsidR="002E4495" w:rsidRPr="00F562A8" w:rsidRDefault="002E4495" w:rsidP="002E449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Pr>
          <w:rFonts w:ascii="Times New Roman" w:hAnsi="Times New Roman" w:cs="Times New Roman"/>
          <w:sz w:val="26"/>
          <w:szCs w:val="26"/>
        </w:rPr>
        <w:t>4</w:t>
      </w:r>
      <w:r w:rsidRPr="00F562A8">
        <w:rPr>
          <w:rFonts w:ascii="Times New Roman" w:hAnsi="Times New Roman" w:cs="Times New Roman"/>
          <w:sz w:val="26"/>
          <w:szCs w:val="26"/>
        </w:rPr>
        <w:t>:</w:t>
      </w:r>
    </w:p>
    <w:p w14:paraId="05184CB7" w14:textId="7447557A" w:rsidR="002E4495" w:rsidRPr="00F562A8" w:rsidRDefault="002E4495" w:rsidP="002E449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E126D4">
        <w:rPr>
          <w:rFonts w:ascii="Times New Roman" w:hAnsi="Times New Roman" w:cs="Times New Roman"/>
          <w:sz w:val="26"/>
          <w:szCs w:val="26"/>
        </w:rPr>
        <w:t>р</w:t>
      </w:r>
      <w:r w:rsidR="00E126D4" w:rsidRPr="00E126D4">
        <w:rPr>
          <w:rFonts w:ascii="Times New Roman" w:hAnsi="Times New Roman" w:cs="Times New Roman"/>
          <w:sz w:val="26"/>
          <w:szCs w:val="26"/>
        </w:rPr>
        <w:t>асстояние от населенного пункта до центра муниципального района (городского округа)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1043BE35" w14:textId="565EF68C" w:rsidR="002E4495" w:rsidRPr="00F562A8" w:rsidRDefault="002E4495" w:rsidP="002E449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E126D4">
        <w:rPr>
          <w:rFonts w:ascii="Times New Roman" w:hAnsi="Times New Roman" w:cs="Times New Roman"/>
          <w:sz w:val="26"/>
          <w:szCs w:val="26"/>
        </w:rPr>
        <w:t>р</w:t>
      </w:r>
      <w:r w:rsidR="00E126D4" w:rsidRPr="00E126D4">
        <w:rPr>
          <w:rFonts w:ascii="Times New Roman" w:hAnsi="Times New Roman" w:cs="Times New Roman"/>
          <w:sz w:val="26"/>
          <w:szCs w:val="26"/>
        </w:rPr>
        <w:t>асстояние от населенного пункта до центра субъекта РФ (г. Воронеж)</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w:t>
      </w:r>
    </w:p>
    <w:p w14:paraId="11E4B3CD" w14:textId="2269E9F3" w:rsidR="002E4495" w:rsidRDefault="002E4495" w:rsidP="002E449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w:t>
      </w:r>
      <w:r>
        <w:rPr>
          <w:rFonts w:ascii="Times New Roman" w:hAnsi="Times New Roman" w:cs="Times New Roman"/>
          <w:sz w:val="26"/>
          <w:szCs w:val="26"/>
        </w:rPr>
        <w:t xml:space="preserve"> </w:t>
      </w:r>
      <w:r w:rsidR="00E126D4">
        <w:rPr>
          <w:rFonts w:ascii="Times New Roman" w:hAnsi="Times New Roman" w:cs="Times New Roman"/>
          <w:sz w:val="26"/>
          <w:szCs w:val="26"/>
        </w:rPr>
        <w:t>ч</w:t>
      </w:r>
      <w:r w:rsidR="00E126D4" w:rsidRPr="00E126D4">
        <w:rPr>
          <w:rFonts w:ascii="Times New Roman" w:hAnsi="Times New Roman" w:cs="Times New Roman"/>
          <w:sz w:val="26"/>
          <w:szCs w:val="26"/>
        </w:rPr>
        <w:t>исленность населения в населенном пункте</w:t>
      </w:r>
      <w:r w:rsidRPr="00F562A8">
        <w:rPr>
          <w:rFonts w:ascii="Times New Roman" w:hAnsi="Times New Roman" w:cs="Times New Roman"/>
          <w:sz w:val="26"/>
          <w:szCs w:val="26"/>
        </w:rPr>
        <w:t>: Х</w:t>
      </w:r>
      <w:r>
        <w:rPr>
          <w:rFonts w:ascii="Times New Roman" w:hAnsi="Times New Roman" w:cs="Times New Roman"/>
          <w:sz w:val="26"/>
          <w:szCs w:val="26"/>
          <w:vertAlign w:val="subscript"/>
        </w:rPr>
        <w:t>2</w:t>
      </w:r>
      <w:r>
        <w:rPr>
          <w:rFonts w:ascii="Times New Roman" w:hAnsi="Times New Roman" w:cs="Times New Roman"/>
          <w:sz w:val="26"/>
          <w:szCs w:val="26"/>
        </w:rPr>
        <w:t>;</w:t>
      </w:r>
    </w:p>
    <w:p w14:paraId="0DD269F6" w14:textId="16713FCC" w:rsidR="002E4495" w:rsidRPr="00F562A8" w:rsidRDefault="002E4495" w:rsidP="002E4495">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 </w:t>
      </w:r>
      <w:r w:rsidR="00E126D4">
        <w:rPr>
          <w:rFonts w:ascii="Times New Roman" w:hAnsi="Times New Roman" w:cs="Times New Roman"/>
          <w:sz w:val="26"/>
          <w:szCs w:val="26"/>
        </w:rPr>
        <w:t>н</w:t>
      </w:r>
      <w:r w:rsidR="00E126D4" w:rsidRPr="00E126D4">
        <w:rPr>
          <w:rFonts w:ascii="Times New Roman" w:hAnsi="Times New Roman" w:cs="Times New Roman"/>
          <w:sz w:val="26"/>
          <w:szCs w:val="26"/>
        </w:rPr>
        <w:t>аличие в населенном пункте или вблизи (до 1 км) остановок общественного транспорта</w:t>
      </w:r>
      <w:r w:rsidRPr="00FC35E5">
        <w:rPr>
          <w:rFonts w:ascii="Times New Roman" w:hAnsi="Times New Roman" w:cs="Times New Roman"/>
          <w:sz w:val="26"/>
          <w:szCs w:val="26"/>
        </w:rPr>
        <w:t>:</w:t>
      </w:r>
      <w:r>
        <w:t xml:space="preserve"> </w:t>
      </w:r>
      <w:r w:rsidRPr="00F562A8">
        <w:rPr>
          <w:rFonts w:ascii="Times New Roman" w:hAnsi="Times New Roman" w:cs="Times New Roman"/>
          <w:sz w:val="26"/>
          <w:szCs w:val="26"/>
        </w:rPr>
        <w:t>Х</w:t>
      </w:r>
      <w:r>
        <w:rPr>
          <w:rFonts w:ascii="Times New Roman" w:hAnsi="Times New Roman" w:cs="Times New Roman"/>
          <w:sz w:val="26"/>
          <w:szCs w:val="26"/>
          <w:vertAlign w:val="subscript"/>
        </w:rPr>
        <w:t>3.</w:t>
      </w:r>
    </w:p>
    <w:p w14:paraId="5C37B578" w14:textId="77777777" w:rsidR="002E4495" w:rsidRPr="00F562A8" w:rsidRDefault="002E4495" w:rsidP="002E449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603991C9" w14:textId="77777777" w:rsidR="002E4495" w:rsidRPr="00F562A8" w:rsidRDefault="002E4495" w:rsidP="002E449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1B9ABA04" w14:textId="7B5973CB" w:rsidR="002E4495" w:rsidRPr="00F562A8" w:rsidRDefault="002E4495" w:rsidP="002E449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13778A">
        <w:rPr>
          <w:rFonts w:ascii="Times New Roman" w:hAnsi="Times New Roman" w:cs="Times New Roman"/>
          <w:sz w:val="26"/>
          <w:szCs w:val="26"/>
        </w:rPr>
        <w:t>четыре</w:t>
      </w:r>
      <w:r w:rsidRPr="00F562A8">
        <w:rPr>
          <w:rFonts w:ascii="Times New Roman" w:hAnsi="Times New Roman" w:cs="Times New Roman"/>
          <w:sz w:val="26"/>
          <w:szCs w:val="26"/>
        </w:rPr>
        <w:t>хфакторные модели:</w:t>
      </w:r>
    </w:p>
    <w:p w14:paraId="19DEF7CF" w14:textId="77777777" w:rsidR="002E4495" w:rsidRPr="00F562A8" w:rsidRDefault="002E4495" w:rsidP="002E4495">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3D4BE787" wp14:editId="23FDFB04">
            <wp:extent cx="2209800" cy="247650"/>
            <wp:effectExtent l="0" t="0" r="0" b="0"/>
            <wp:docPr id="946" name="Рисунок 946"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19D57733" w14:textId="77777777" w:rsidR="002E4495" w:rsidRPr="00F562A8" w:rsidRDefault="002E4495" w:rsidP="002E449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61937B2E" wp14:editId="71E96C6C">
            <wp:extent cx="1352550" cy="266700"/>
            <wp:effectExtent l="0" t="0" r="0" b="0"/>
            <wp:docPr id="947" name="Рисунок 947"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2D4A9F71" w14:textId="77777777" w:rsidR="002E4495" w:rsidRPr="00F562A8" w:rsidRDefault="002E4495" w:rsidP="002E449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22F16DD6" wp14:editId="230F754C">
            <wp:extent cx="1266825" cy="266700"/>
            <wp:effectExtent l="0" t="0" r="0" b="0"/>
            <wp:docPr id="948" name="Рисунок 948"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22D38992" w14:textId="77777777" w:rsidR="002E4495" w:rsidRPr="00F562A8" w:rsidRDefault="002E4495" w:rsidP="002E449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28515F83"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54C9E447"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2313B42F" wp14:editId="45F4452B">
            <wp:extent cx="209550" cy="247650"/>
            <wp:effectExtent l="0" t="0" r="0" b="0"/>
            <wp:docPr id="949" name="Рисунок 949"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470E5125" wp14:editId="0B4BE012">
            <wp:extent cx="200025" cy="247650"/>
            <wp:effectExtent l="0" t="0" r="9525" b="0"/>
            <wp:docPr id="950" name="Рисунок 950"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78DFCE07" wp14:editId="3CEFEB4A">
            <wp:extent cx="209550" cy="247650"/>
            <wp:effectExtent l="0" t="0" r="0" b="0"/>
            <wp:docPr id="951" name="Рисунок 951"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604760C4" w14:textId="498CF63F" w:rsidR="002E4495" w:rsidRPr="00F562A8" w:rsidRDefault="007C6398" w:rsidP="002E4495">
      <w:pPr>
        <w:spacing w:after="0" w:line="276" w:lineRule="auto"/>
        <w:jc w:val="center"/>
        <w:rPr>
          <w:rFonts w:ascii="Times New Roman" w:hAnsi="Times New Roman" w:cs="Times New Roman"/>
          <w:lang w:val="en-US"/>
        </w:rPr>
      </w:pPr>
      <w:r w:rsidRPr="00946428">
        <w:rPr>
          <w:noProof/>
          <w:lang w:eastAsia="ru-RU"/>
        </w:rPr>
        <w:drawing>
          <wp:inline distT="0" distB="0" distL="0" distR="0" wp14:anchorId="6DD35E2A" wp14:editId="14778DF0">
            <wp:extent cx="5939790" cy="737156"/>
            <wp:effectExtent l="0" t="0" r="3810" b="635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5939790" cy="737156"/>
                    </a:xfrm>
                    <a:prstGeom prst="rect">
                      <a:avLst/>
                    </a:prstGeom>
                  </pic:spPr>
                </pic:pic>
              </a:graphicData>
            </a:graphic>
          </wp:inline>
        </w:drawing>
      </w:r>
    </w:p>
    <w:p w14:paraId="2D582B67" w14:textId="18078832" w:rsidR="002E4495" w:rsidRPr="00F562A8" w:rsidRDefault="002E4495" w:rsidP="002E449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3.6.4.</w:t>
      </w:r>
      <w:r>
        <w:rPr>
          <w:rFonts w:ascii="Times New Roman" w:hAnsi="Times New Roman" w:cs="Times New Roman"/>
          <w:sz w:val="26"/>
          <w:szCs w:val="26"/>
        </w:rPr>
        <w:t>4.</w:t>
      </w:r>
      <w:r w:rsidR="00DD7D25">
        <w:rPr>
          <w:rFonts w:ascii="Times New Roman" w:hAnsi="Times New Roman" w:cs="Times New Roman"/>
          <w:sz w:val="26"/>
          <w:szCs w:val="26"/>
        </w:rPr>
        <w:t>1</w:t>
      </w:r>
      <w:r>
        <w:rPr>
          <w:rFonts w:ascii="Times New Roman" w:hAnsi="Times New Roman" w:cs="Times New Roman"/>
          <w:sz w:val="26"/>
          <w:szCs w:val="26"/>
        </w:rPr>
        <w:t xml:space="preserve"> </w:t>
      </w:r>
      <w:r w:rsidRPr="00F562A8">
        <w:rPr>
          <w:rFonts w:ascii="Times New Roman" w:hAnsi="Times New Roman" w:cs="Times New Roman"/>
          <w:sz w:val="26"/>
          <w:szCs w:val="26"/>
        </w:rPr>
        <w:t xml:space="preserve">- Множественные регрессионные </w:t>
      </w:r>
      <w:r w:rsidR="0013778A">
        <w:rPr>
          <w:rFonts w:ascii="Times New Roman" w:hAnsi="Times New Roman" w:cs="Times New Roman"/>
          <w:sz w:val="26"/>
          <w:szCs w:val="26"/>
        </w:rPr>
        <w:t>четырех</w:t>
      </w:r>
      <w:r w:rsidRPr="00F562A8">
        <w:rPr>
          <w:rFonts w:ascii="Times New Roman" w:hAnsi="Times New Roman" w:cs="Times New Roman"/>
          <w:sz w:val="26"/>
          <w:szCs w:val="26"/>
        </w:rPr>
        <w:t>факторные модели</w:t>
      </w:r>
    </w:p>
    <w:p w14:paraId="2A85CCFC" w14:textId="7400AF24"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6A15ACB9"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5C90127E"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1E224B16"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24A74045"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3F59502A"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60651E78"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224EB8D0"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4114C786" w14:textId="11DD608C" w:rsidR="002E4495" w:rsidRPr="00F562A8" w:rsidRDefault="007C6398" w:rsidP="002E4495">
      <w:pPr>
        <w:spacing w:after="0" w:line="276" w:lineRule="auto"/>
        <w:jc w:val="center"/>
        <w:rPr>
          <w:rFonts w:ascii="Times New Roman" w:hAnsi="Times New Roman" w:cs="Times New Roman"/>
        </w:rPr>
      </w:pPr>
      <w:r w:rsidRPr="00946428">
        <w:rPr>
          <w:noProof/>
          <w:lang w:eastAsia="ru-RU"/>
        </w:rPr>
        <w:drawing>
          <wp:inline distT="0" distB="0" distL="0" distR="0" wp14:anchorId="4EFB8A27" wp14:editId="6379858A">
            <wp:extent cx="5906859" cy="144780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0"/>
                    <a:srcRect r="8237"/>
                    <a:stretch/>
                  </pic:blipFill>
                  <pic:spPr bwMode="auto">
                    <a:xfrm>
                      <a:off x="0" y="0"/>
                      <a:ext cx="5927828" cy="1452940"/>
                    </a:xfrm>
                    <a:prstGeom prst="rect">
                      <a:avLst/>
                    </a:prstGeom>
                    <a:ln>
                      <a:noFill/>
                    </a:ln>
                    <a:extLst>
                      <a:ext uri="{53640926-AAD7-44D8-BBD7-CCE9431645EC}">
                        <a14:shadowObscured xmlns:a14="http://schemas.microsoft.com/office/drawing/2010/main"/>
                      </a:ext>
                    </a:extLst>
                  </pic:spPr>
                </pic:pic>
              </a:graphicData>
            </a:graphic>
          </wp:inline>
        </w:drawing>
      </w:r>
    </w:p>
    <w:p w14:paraId="55372FDA" w14:textId="209EFB42" w:rsidR="002E4495" w:rsidRPr="00F562A8" w:rsidRDefault="002E4495" w:rsidP="002E4495">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3.6.4.</w:t>
      </w:r>
      <w:r>
        <w:rPr>
          <w:rFonts w:ascii="Times New Roman" w:hAnsi="Times New Roman" w:cs="Times New Roman"/>
          <w:sz w:val="26"/>
          <w:szCs w:val="26"/>
        </w:rPr>
        <w:t>4.</w:t>
      </w:r>
      <w:r w:rsidR="00DD7D25">
        <w:rPr>
          <w:rFonts w:ascii="Times New Roman" w:hAnsi="Times New Roman" w:cs="Times New Roman"/>
          <w:sz w:val="26"/>
          <w:szCs w:val="26"/>
        </w:rPr>
        <w:t>2</w:t>
      </w:r>
      <w:r>
        <w:rPr>
          <w:rFonts w:ascii="Times New Roman" w:hAnsi="Times New Roman" w:cs="Times New Roman"/>
          <w:sz w:val="26"/>
          <w:szCs w:val="26"/>
        </w:rPr>
        <w:t xml:space="preserve"> </w:t>
      </w:r>
      <w:r w:rsidRPr="00F562A8">
        <w:rPr>
          <w:rFonts w:ascii="Times New Roman" w:hAnsi="Times New Roman" w:cs="Times New Roman"/>
          <w:sz w:val="26"/>
          <w:szCs w:val="26"/>
        </w:rPr>
        <w:t>-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4133A5AC"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75678B67" w14:textId="77777777" w:rsidR="002E4495" w:rsidRPr="00F562A8" w:rsidRDefault="002E4495" w:rsidP="002E449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205BD90B" w14:textId="77777777" w:rsidR="002E4495" w:rsidRPr="00F562A8" w:rsidRDefault="002E4495" w:rsidP="002E449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7EA240C0" w14:textId="0C4EAA29" w:rsidR="002E4495" w:rsidRPr="00F562A8" w:rsidRDefault="007C6398" w:rsidP="002E4495">
      <w:pPr>
        <w:spacing w:after="0" w:line="276" w:lineRule="auto"/>
        <w:jc w:val="center"/>
        <w:rPr>
          <w:rFonts w:ascii="Times New Roman" w:hAnsi="Times New Roman" w:cs="Times New Roman"/>
          <w:lang w:val="en-US"/>
        </w:rPr>
      </w:pPr>
      <w:r w:rsidRPr="00946428">
        <w:rPr>
          <w:noProof/>
          <w:lang w:eastAsia="ru-RU"/>
        </w:rPr>
        <w:drawing>
          <wp:inline distT="0" distB="0" distL="0" distR="0" wp14:anchorId="6FC39C35" wp14:editId="3E4C87E1">
            <wp:extent cx="3067478" cy="1066949"/>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3067478" cy="1066949"/>
                    </a:xfrm>
                    <a:prstGeom prst="rect">
                      <a:avLst/>
                    </a:prstGeom>
                  </pic:spPr>
                </pic:pic>
              </a:graphicData>
            </a:graphic>
          </wp:inline>
        </w:drawing>
      </w:r>
    </w:p>
    <w:p w14:paraId="319B0A13" w14:textId="1106DD7A" w:rsidR="002E4495" w:rsidRPr="00F562A8" w:rsidRDefault="002E4495" w:rsidP="002E449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3.6.4.</w:t>
      </w:r>
      <w:r>
        <w:rPr>
          <w:rFonts w:ascii="Times New Roman" w:hAnsi="Times New Roman" w:cs="Times New Roman"/>
          <w:sz w:val="26"/>
          <w:szCs w:val="26"/>
        </w:rPr>
        <w:t>4.</w:t>
      </w:r>
      <w:r w:rsidR="00DD7D25">
        <w:rPr>
          <w:rFonts w:ascii="Times New Roman" w:hAnsi="Times New Roman" w:cs="Times New Roman"/>
          <w:sz w:val="26"/>
          <w:szCs w:val="26"/>
        </w:rPr>
        <w:t>3</w:t>
      </w:r>
      <w:r w:rsidRPr="00F562A8">
        <w:rPr>
          <w:rFonts w:ascii="Times New Roman" w:hAnsi="Times New Roman" w:cs="Times New Roman"/>
          <w:sz w:val="26"/>
          <w:szCs w:val="26"/>
        </w:rPr>
        <w:t xml:space="preserve"> - Значения F-критерия Фишера</w:t>
      </w:r>
    </w:p>
    <w:p w14:paraId="23DE4C5A" w14:textId="77777777" w:rsidR="002E4495" w:rsidRPr="00F562A8" w:rsidRDefault="002E4495" w:rsidP="002E4495">
      <w:pPr>
        <w:spacing w:after="0" w:line="276"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все три модели адекватно описывают статистические данные и их можно использовать для анализа и прогнозирования кадастровой стоимости (результативного признака). </w:t>
      </w:r>
    </w:p>
    <w:p w14:paraId="2223DD2F" w14:textId="77777777" w:rsidR="002E4495" w:rsidRPr="00F562A8" w:rsidRDefault="002E4495" w:rsidP="002E449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Наибольшее значение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имеет аддитивная модель, однако было учтено то, что она построена на основании ограниченной выборочной совокупности и адекватна на ограниченных интервалах независимых переменных. При расширении исходных данных прогнозное значение кадастровой стоимости может перейти в отрицательную область, что противоречит ее смыслу. Исходя из этого, для прогнозирования рационально выбрать экспоненциальную модель, которая всегда дает положительный прогноз. Экспоненциальная регрессионная модель имеет вид:</w:t>
      </w:r>
    </w:p>
    <w:p w14:paraId="7C59291D" w14:textId="7B232C9A" w:rsidR="007C6398" w:rsidRDefault="002E4495" w:rsidP="007C6398">
      <w:pPr>
        <w:ind w:firstLine="709"/>
        <w:jc w:val="both"/>
        <w:rPr>
          <w:rFonts w:ascii="Arial" w:eastAsia="Times New Roman" w:hAnsi="Arial" w:cs="Arial"/>
          <w:sz w:val="20"/>
          <w:szCs w:val="20"/>
          <w:lang w:eastAsia="ru-RU"/>
        </w:rPr>
      </w:pPr>
      <w:r w:rsidRPr="00F562A8">
        <w:rPr>
          <w:rFonts w:ascii="Times New Roman" w:hAnsi="Times New Roman" w:cs="Times New Roman"/>
          <w:i/>
          <w:sz w:val="26"/>
          <w:szCs w:val="26"/>
        </w:rPr>
        <w:t xml:space="preserve">УПКС = </w:t>
      </w:r>
      <w:r w:rsidR="007C6398" w:rsidRPr="007C6398">
        <w:rPr>
          <w:rFonts w:ascii="Times New Roman" w:hAnsi="Times New Roman" w:cs="Times New Roman"/>
          <w:i/>
          <w:sz w:val="26"/>
          <w:szCs w:val="26"/>
        </w:rPr>
        <w:t xml:space="preserve">301.782048269274*e^(+0.00422596452440001*((78.00+-13.00-СНП </w:t>
      </w:r>
      <w:bookmarkStart w:id="227" w:name="_Hlk106526268"/>
      <w:r w:rsidR="007C6398" w:rsidRPr="007C6398">
        <w:rPr>
          <w:rFonts w:ascii="Times New Roman" w:hAnsi="Times New Roman" w:cs="Times New Roman"/>
          <w:i/>
          <w:sz w:val="26"/>
          <w:szCs w:val="26"/>
        </w:rPr>
        <w:t>Расстояние от населенного пункта до центра муниципального района (городского округа)</w:t>
      </w:r>
      <w:bookmarkEnd w:id="227"/>
      <w:r w:rsidR="007C6398" w:rsidRPr="007C6398">
        <w:rPr>
          <w:rFonts w:ascii="Times New Roman" w:hAnsi="Times New Roman" w:cs="Times New Roman"/>
          <w:i/>
          <w:sz w:val="26"/>
          <w:szCs w:val="26"/>
        </w:rPr>
        <w:t xml:space="preserve">))+0.00175182891182732*((365.00+-38.00-СНП </w:t>
      </w:r>
      <w:bookmarkStart w:id="228" w:name="_Hlk106526288"/>
      <w:r w:rsidR="007C6398" w:rsidRPr="007C6398">
        <w:rPr>
          <w:rFonts w:ascii="Times New Roman" w:hAnsi="Times New Roman" w:cs="Times New Roman"/>
          <w:i/>
          <w:sz w:val="26"/>
          <w:szCs w:val="26"/>
        </w:rPr>
        <w:t>Расстояние от населенного пункта до центра субъекта РФ (г. Воронеж)</w:t>
      </w:r>
      <w:bookmarkEnd w:id="228"/>
      <w:r w:rsidR="007C6398" w:rsidRPr="007C6398">
        <w:rPr>
          <w:rFonts w:ascii="Times New Roman" w:hAnsi="Times New Roman" w:cs="Times New Roman"/>
          <w:i/>
          <w:sz w:val="26"/>
          <w:szCs w:val="26"/>
        </w:rPr>
        <w:t>))</w:t>
      </w:r>
      <w:r w:rsidR="007C6398">
        <w:rPr>
          <w:rFonts w:ascii="Times New Roman" w:hAnsi="Times New Roman" w:cs="Times New Roman"/>
          <w:i/>
          <w:sz w:val="26"/>
          <w:szCs w:val="26"/>
        </w:rPr>
        <w:t xml:space="preserve"> </w:t>
      </w:r>
      <w:r w:rsidR="007C6398" w:rsidRPr="007C6398">
        <w:rPr>
          <w:rFonts w:ascii="Times New Roman" w:hAnsi="Times New Roman" w:cs="Times New Roman"/>
          <w:i/>
          <w:sz w:val="26"/>
          <w:szCs w:val="26"/>
        </w:rPr>
        <w:t>+0.000101059743704874</w:t>
      </w:r>
      <w:r w:rsidR="007C6398">
        <w:rPr>
          <w:rFonts w:ascii="Times New Roman" w:hAnsi="Times New Roman" w:cs="Times New Roman"/>
          <w:i/>
          <w:sz w:val="26"/>
          <w:szCs w:val="26"/>
        </w:rPr>
        <w:t xml:space="preserve"> </w:t>
      </w:r>
      <w:r w:rsidR="007C6398" w:rsidRPr="007C6398">
        <w:rPr>
          <w:rFonts w:ascii="Times New Roman" w:hAnsi="Times New Roman" w:cs="Times New Roman"/>
          <w:i/>
          <w:sz w:val="26"/>
          <w:szCs w:val="26"/>
        </w:rPr>
        <w:t>*__</w:t>
      </w:r>
      <w:bookmarkStart w:id="229" w:name="_Hlk106526298"/>
      <w:r w:rsidR="007C6398" w:rsidRPr="007C6398">
        <w:rPr>
          <w:rFonts w:ascii="Times New Roman" w:hAnsi="Times New Roman" w:cs="Times New Roman"/>
          <w:i/>
          <w:sz w:val="26"/>
          <w:szCs w:val="26"/>
        </w:rPr>
        <w:t>Численность населения в населенном пункте</w:t>
      </w:r>
      <w:bookmarkEnd w:id="229"/>
      <w:r w:rsidR="007C6398" w:rsidRPr="007C6398">
        <w:rPr>
          <w:rFonts w:ascii="Times New Roman" w:hAnsi="Times New Roman" w:cs="Times New Roman"/>
          <w:i/>
          <w:sz w:val="26"/>
          <w:szCs w:val="26"/>
        </w:rPr>
        <w:t xml:space="preserve">+0.645508696071435*([СНП </w:t>
      </w:r>
      <w:bookmarkStart w:id="230" w:name="_Hlk106526309"/>
      <w:r w:rsidR="007C6398" w:rsidRPr="007C6398">
        <w:rPr>
          <w:rFonts w:ascii="Times New Roman" w:hAnsi="Times New Roman" w:cs="Times New Roman"/>
          <w:i/>
          <w:sz w:val="26"/>
          <w:szCs w:val="26"/>
        </w:rPr>
        <w:t>Наличие в населенном пункте или вблизи (до 1 км) остановок общественного транспорта</w:t>
      </w:r>
      <w:bookmarkEnd w:id="230"/>
      <w:r w:rsidR="007C6398" w:rsidRPr="007C6398">
        <w:rPr>
          <w:rFonts w:ascii="Times New Roman" w:hAnsi="Times New Roman" w:cs="Times New Roman"/>
          <w:i/>
          <w:sz w:val="26"/>
          <w:szCs w:val="26"/>
        </w:rPr>
        <w:t>]))</w:t>
      </w:r>
    </w:p>
    <w:p w14:paraId="0AF03C9B" w14:textId="2408B01E" w:rsidR="002E4495" w:rsidRPr="00F562A8" w:rsidRDefault="002E4495" w:rsidP="007C6398">
      <w:pPr>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F-статистики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3D51B67D" w14:textId="792A2522" w:rsidR="002E4495" w:rsidRPr="00F562A8" w:rsidRDefault="00DD142D" w:rsidP="002E4495">
      <w:pPr>
        <w:spacing w:after="0" w:line="276" w:lineRule="auto"/>
        <w:jc w:val="center"/>
        <w:rPr>
          <w:rFonts w:ascii="Times New Roman" w:hAnsi="Times New Roman" w:cs="Times New Roman"/>
        </w:rPr>
      </w:pPr>
      <w:r w:rsidRPr="00946428">
        <w:rPr>
          <w:noProof/>
          <w:lang w:eastAsia="ru-RU"/>
        </w:rPr>
        <w:drawing>
          <wp:inline distT="0" distB="0" distL="0" distR="0" wp14:anchorId="10A39887" wp14:editId="3EEBDA80">
            <wp:extent cx="5939790" cy="3735306"/>
            <wp:effectExtent l="0" t="0" r="381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939790" cy="3735306"/>
                    </a:xfrm>
                    <a:prstGeom prst="rect">
                      <a:avLst/>
                    </a:prstGeom>
                  </pic:spPr>
                </pic:pic>
              </a:graphicData>
            </a:graphic>
          </wp:inline>
        </w:drawing>
      </w:r>
    </w:p>
    <w:p w14:paraId="02D2AB63" w14:textId="6018C4D7" w:rsidR="002E4495" w:rsidRPr="00F562A8" w:rsidRDefault="002E4495" w:rsidP="002E449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3.6.4.</w:t>
      </w:r>
      <w:r>
        <w:rPr>
          <w:rFonts w:ascii="Times New Roman" w:hAnsi="Times New Roman" w:cs="Times New Roman"/>
          <w:sz w:val="26"/>
          <w:szCs w:val="26"/>
        </w:rPr>
        <w:t>4.</w:t>
      </w:r>
      <w:r w:rsidR="00DD7D25">
        <w:rPr>
          <w:rFonts w:ascii="Times New Roman" w:hAnsi="Times New Roman" w:cs="Times New Roman"/>
          <w:sz w:val="26"/>
          <w:szCs w:val="26"/>
        </w:rPr>
        <w:t>4</w:t>
      </w:r>
      <w:r>
        <w:rPr>
          <w:rFonts w:ascii="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67059D80" w14:textId="76B056EA" w:rsidR="002E4495" w:rsidRPr="00F562A8" w:rsidRDefault="002E4495" w:rsidP="002E449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Как видно из статистических показателей, представленных выше, все коэффициенты регрессионной модели значимые. Связь между факторами </w:t>
      </w:r>
      <w:r w:rsidR="00DD142D" w:rsidRPr="00F562A8">
        <w:rPr>
          <w:rFonts w:ascii="Times New Roman" w:hAnsi="Times New Roman" w:cs="Times New Roman"/>
          <w:sz w:val="26"/>
          <w:szCs w:val="26"/>
        </w:rPr>
        <w:t>Х</w:t>
      </w:r>
      <w:r w:rsidR="00DD142D">
        <w:rPr>
          <w:rFonts w:ascii="Times New Roman" w:hAnsi="Times New Roman" w:cs="Times New Roman"/>
          <w:sz w:val="26"/>
          <w:szCs w:val="26"/>
          <w:vertAlign w:val="subscript"/>
        </w:rPr>
        <w:t>о</w:t>
      </w:r>
      <w:r w:rsidRPr="00F562A8">
        <w:rPr>
          <w:rFonts w:ascii="Times New Roman" w:hAnsi="Times New Roman" w:cs="Times New Roman"/>
          <w:sz w:val="26"/>
          <w:szCs w:val="26"/>
          <w:vertAlign w:val="subscript"/>
        </w:rPr>
        <w:t xml:space="preserve"> </w:t>
      </w:r>
      <w:r w:rsidRPr="00F562A8">
        <w:rPr>
          <w:rFonts w:ascii="Times New Roman" w:hAnsi="Times New Roman" w:cs="Times New Roman"/>
          <w:sz w:val="26"/>
          <w:szCs w:val="26"/>
        </w:rPr>
        <w:t>и Х</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xml:space="preserve"> и кадастровой стоимостью обратная, то есть при росте этих факторов кадастровая стоимость уменьшается. Влияние фактор</w:t>
      </w:r>
      <w:r w:rsidR="00DD142D">
        <w:rPr>
          <w:rFonts w:ascii="Times New Roman" w:hAnsi="Times New Roman" w:cs="Times New Roman"/>
          <w:sz w:val="26"/>
          <w:szCs w:val="26"/>
        </w:rPr>
        <w:t>а</w:t>
      </w:r>
      <w:r>
        <w:rPr>
          <w:rFonts w:ascii="Times New Roman" w:hAnsi="Times New Roman" w:cs="Times New Roman"/>
          <w:sz w:val="26"/>
          <w:szCs w:val="26"/>
          <w:vertAlign w:val="subscript"/>
        </w:rPr>
        <w:t xml:space="preserve"> </w:t>
      </w:r>
      <w:r w:rsidRPr="00F562A8">
        <w:rPr>
          <w:rFonts w:ascii="Times New Roman" w:hAnsi="Times New Roman" w:cs="Times New Roman"/>
          <w:sz w:val="26"/>
          <w:szCs w:val="26"/>
        </w:rPr>
        <w:t>Х</w:t>
      </w:r>
      <w:r w:rsidR="00DD142D">
        <w:rPr>
          <w:rFonts w:ascii="Times New Roman" w:hAnsi="Times New Roman" w:cs="Times New Roman"/>
          <w:sz w:val="26"/>
          <w:szCs w:val="26"/>
          <w:vertAlign w:val="subscript"/>
        </w:rPr>
        <w:t>2</w:t>
      </w:r>
      <w:r w:rsidRPr="00F562A8">
        <w:rPr>
          <w:rFonts w:ascii="Times New Roman" w:hAnsi="Times New Roman" w:cs="Times New Roman"/>
          <w:sz w:val="26"/>
          <w:szCs w:val="26"/>
        </w:rPr>
        <w:t xml:space="preserve"> на кадастровую стоимость прямое и с ростом фактор</w:t>
      </w:r>
      <w:r w:rsidR="00DD142D">
        <w:rPr>
          <w:rFonts w:ascii="Times New Roman" w:hAnsi="Times New Roman" w:cs="Times New Roman"/>
          <w:sz w:val="26"/>
          <w:szCs w:val="26"/>
        </w:rPr>
        <w:t>а</w:t>
      </w:r>
      <w:r w:rsidRPr="00F562A8">
        <w:rPr>
          <w:rFonts w:ascii="Times New Roman" w:hAnsi="Times New Roman" w:cs="Times New Roman"/>
          <w:sz w:val="26"/>
          <w:szCs w:val="26"/>
        </w:rPr>
        <w:t xml:space="preserve"> кадастровая стоимость растет.  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5D781B9B" w14:textId="24A5F3A2" w:rsidR="002E4495" w:rsidRDefault="007934F5" w:rsidP="002E4495">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4F4695" w:rsidRPr="00F562A8">
        <w:rPr>
          <w:rFonts w:ascii="Times New Roman" w:eastAsiaTheme="minorEastAsia" w:hAnsi="Times New Roman" w:cs="Times New Roman"/>
          <w:sz w:val="26"/>
          <w:szCs w:val="26"/>
        </w:rPr>
        <w:t>2/2.4</w:t>
      </w:r>
      <w:r w:rsidR="004F4695">
        <w:rPr>
          <w:rFonts w:ascii="Times New Roman" w:eastAsiaTheme="minorEastAsia" w:hAnsi="Times New Roman" w:cs="Times New Roman"/>
          <w:sz w:val="26"/>
          <w:szCs w:val="26"/>
        </w:rPr>
        <w:t>/2.4.4.</w:t>
      </w:r>
    </w:p>
    <w:p w14:paraId="07F18881" w14:textId="56C94053" w:rsidR="002E4495" w:rsidRDefault="002E4495" w:rsidP="002E4495">
      <w:pPr>
        <w:shd w:val="clear" w:color="auto" w:fill="FFFFFF"/>
        <w:spacing w:after="0" w:line="276" w:lineRule="auto"/>
        <w:jc w:val="both"/>
        <w:rPr>
          <w:rFonts w:ascii="Times New Roman" w:hAnsi="Times New Roman" w:cs="Times New Roman"/>
          <w:sz w:val="16"/>
          <w:szCs w:val="16"/>
        </w:rPr>
      </w:pPr>
    </w:p>
    <w:p w14:paraId="6D61F902" w14:textId="2115AE28" w:rsidR="00C22098" w:rsidRPr="009229AA" w:rsidRDefault="00C22098" w:rsidP="002D4BEA">
      <w:pPr>
        <w:pStyle w:val="ab"/>
        <w:ind w:left="0"/>
        <w:jc w:val="center"/>
        <w:outlineLvl w:val="2"/>
        <w:rPr>
          <w:rFonts w:ascii="Times New Roman" w:hAnsi="Times New Roman" w:cs="Times New Roman"/>
          <w:i/>
          <w:sz w:val="26"/>
          <w:szCs w:val="26"/>
        </w:rPr>
      </w:pPr>
      <w:bookmarkStart w:id="231" w:name="_Toc110506980"/>
      <w:r w:rsidRPr="00A70FB5">
        <w:rPr>
          <w:rFonts w:ascii="Times New Roman" w:hAnsi="Times New Roman" w:cs="Times New Roman"/>
          <w:i/>
          <w:sz w:val="26"/>
          <w:szCs w:val="26"/>
        </w:rPr>
        <w:t>3.6.4.</w:t>
      </w:r>
      <w:r w:rsidR="009229AA" w:rsidRPr="00A70FB5">
        <w:rPr>
          <w:rFonts w:ascii="Times New Roman" w:hAnsi="Times New Roman" w:cs="Times New Roman"/>
          <w:i/>
          <w:sz w:val="26"/>
          <w:szCs w:val="26"/>
        </w:rPr>
        <w:t>5</w:t>
      </w:r>
      <w:r w:rsidRPr="00A70FB5">
        <w:rPr>
          <w:rFonts w:ascii="Times New Roman" w:hAnsi="Times New Roman" w:cs="Times New Roman"/>
          <w:i/>
          <w:sz w:val="26"/>
          <w:szCs w:val="26"/>
        </w:rPr>
        <w:t>.</w:t>
      </w:r>
      <w:r w:rsidRPr="009229AA">
        <w:rPr>
          <w:rFonts w:ascii="Times New Roman" w:hAnsi="Times New Roman" w:cs="Times New Roman"/>
          <w:i/>
          <w:sz w:val="26"/>
          <w:szCs w:val="26"/>
        </w:rPr>
        <w:t xml:space="preserve"> Расчет кадастровой стоимости земельных участков группы </w:t>
      </w:r>
      <w:r w:rsidR="009229AA" w:rsidRPr="009229AA">
        <w:rPr>
          <w:rFonts w:ascii="Times New Roman" w:hAnsi="Times New Roman" w:cs="Times New Roman"/>
          <w:i/>
          <w:sz w:val="26"/>
          <w:szCs w:val="26"/>
        </w:rPr>
        <w:t>ПРЕДПРИНИМАТЕЛЬСТВО/УПКС</w:t>
      </w:r>
      <w:bookmarkEnd w:id="231"/>
    </w:p>
    <w:p w14:paraId="0483F068" w14:textId="55846CA4" w:rsidR="009229AA" w:rsidRPr="00F562A8" w:rsidRDefault="009229AA" w:rsidP="009229AA">
      <w:pPr>
        <w:spacing w:after="0" w:line="276" w:lineRule="auto"/>
        <w:ind w:firstLine="567"/>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4F4695" w:rsidRPr="00F562A8">
        <w:rPr>
          <w:rFonts w:ascii="Times New Roman" w:eastAsiaTheme="minorEastAsia" w:hAnsi="Times New Roman" w:cs="Times New Roman"/>
          <w:sz w:val="26"/>
          <w:szCs w:val="26"/>
        </w:rPr>
        <w:t>2/2.4</w:t>
      </w:r>
      <w:r w:rsidR="004F4695">
        <w:rPr>
          <w:rFonts w:ascii="Times New Roman" w:eastAsiaTheme="minorEastAsia" w:hAnsi="Times New Roman" w:cs="Times New Roman"/>
          <w:sz w:val="26"/>
          <w:szCs w:val="26"/>
        </w:rPr>
        <w:t>/2.4.4.</w:t>
      </w:r>
    </w:p>
    <w:p w14:paraId="05C12C55" w14:textId="77777777" w:rsidR="00C73C06" w:rsidRDefault="009229AA" w:rsidP="00C73C06">
      <w:pPr>
        <w:spacing w:after="0"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9229AA">
        <w:rPr>
          <w:rFonts w:ascii="Times New Roman" w:hAnsi="Times New Roman" w:cs="Times New Roman"/>
          <w:sz w:val="26"/>
          <w:szCs w:val="26"/>
        </w:rPr>
        <w:t>ПРЕДПРИНИМАТЕЛЬСТВО</w:t>
      </w:r>
      <w:r w:rsidRPr="00F72A6D">
        <w:rPr>
          <w:rFonts w:ascii="Times New Roman" w:hAnsi="Times New Roman" w:cs="Times New Roman"/>
          <w:sz w:val="26"/>
          <w:szCs w:val="26"/>
        </w:rPr>
        <w:t>/</w:t>
      </w:r>
      <w:r>
        <w:rPr>
          <w:rFonts w:ascii="Times New Roman" w:hAnsi="Times New Roman" w:cs="Times New Roman"/>
          <w:sz w:val="26"/>
          <w:szCs w:val="26"/>
        </w:rPr>
        <w:t>УПКС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9229AA">
        <w:rPr>
          <w:rFonts w:ascii="Times New Roman" w:hAnsi="Times New Roman" w:cs="Times New Roman"/>
          <w:sz w:val="26"/>
          <w:szCs w:val="26"/>
        </w:rPr>
        <w:t xml:space="preserve"> 04:000, 01:183, 02:017, 02:053, 02:063, 03:063, 03:064, 04:010, 04:020, 04:030, 04:040, 04:050, 04:060, 04:080, 04:081, 04:082, 04:083, 04:084, 04:096, 04:100, 05:013, 05:050, 08:021</w:t>
      </w:r>
      <w:r>
        <w:rPr>
          <w:rFonts w:ascii="Times New Roman" w:hAnsi="Times New Roman" w:cs="Times New Roman"/>
          <w:sz w:val="26"/>
          <w:szCs w:val="26"/>
        </w:rPr>
        <w:t>.</w:t>
      </w:r>
    </w:p>
    <w:p w14:paraId="2A3173B4" w14:textId="656F9C04" w:rsidR="009229AA" w:rsidRPr="00F562A8" w:rsidRDefault="009229AA" w:rsidP="00C73C06">
      <w:pPr>
        <w:spacing w:after="0" w:line="276" w:lineRule="auto"/>
        <w:ind w:firstLine="567"/>
        <w:jc w:val="both"/>
        <w:rPr>
          <w:rFonts w:ascii="Times New Roman" w:hAnsi="Times New Roman" w:cs="Times New Roman"/>
          <w:bCs/>
          <w:sz w:val="26"/>
          <w:szCs w:val="26"/>
        </w:rPr>
      </w:pPr>
      <w:r w:rsidRPr="009229AA">
        <w:rPr>
          <w:rFonts w:ascii="Times New Roman" w:hAnsi="Times New Roman" w:cs="Times New Roman"/>
          <w:sz w:val="26"/>
          <w:szCs w:val="26"/>
        </w:rPr>
        <w:t>В группу ПРЕДПРИНИМАТЕЛЬСТВО/УПКС включены объекты, не имеющие точной характеристики местоположения объектов (без факторов</w:t>
      </w:r>
      <w:r w:rsidRPr="00F562A8">
        <w:rPr>
          <w:rFonts w:ascii="Times New Roman" w:hAnsi="Times New Roman" w:cs="Times New Roman"/>
          <w:bCs/>
          <w:sz w:val="26"/>
          <w:szCs w:val="26"/>
        </w:rPr>
        <w:t>)</w:t>
      </w:r>
      <w:r w:rsidR="00876670">
        <w:rPr>
          <w:rFonts w:ascii="Times New Roman" w:hAnsi="Times New Roman" w:cs="Times New Roman"/>
          <w:bCs/>
          <w:sz w:val="26"/>
          <w:szCs w:val="26"/>
        </w:rPr>
        <w:t xml:space="preserve"> и </w:t>
      </w:r>
      <w:r w:rsidR="00C15798" w:rsidRPr="00C15798">
        <w:rPr>
          <w:rFonts w:ascii="Times New Roman" w:hAnsi="Times New Roman" w:cs="Times New Roman"/>
          <w:bCs/>
          <w:sz w:val="26"/>
          <w:szCs w:val="26"/>
        </w:rPr>
        <w:t>объекты</w:t>
      </w:r>
      <w:r w:rsidR="00C15798">
        <w:rPr>
          <w:rFonts w:ascii="Times New Roman" w:hAnsi="Times New Roman" w:cs="Times New Roman"/>
          <w:bCs/>
          <w:sz w:val="26"/>
          <w:szCs w:val="26"/>
        </w:rPr>
        <w:t xml:space="preserve"> </w:t>
      </w:r>
      <w:r w:rsidR="00C15798" w:rsidRPr="00C15798">
        <w:rPr>
          <w:rFonts w:ascii="Times New Roman" w:hAnsi="Times New Roman" w:cs="Times New Roman"/>
          <w:bCs/>
          <w:sz w:val="26"/>
          <w:szCs w:val="26"/>
        </w:rPr>
        <w:t>входящие в массив 36:34:0116, 36:34:0117</w:t>
      </w:r>
      <w:r w:rsidRPr="00F562A8">
        <w:rPr>
          <w:rFonts w:ascii="Times New Roman" w:hAnsi="Times New Roman" w:cs="Times New Roman"/>
          <w:bCs/>
          <w:sz w:val="26"/>
          <w:szCs w:val="26"/>
        </w:rPr>
        <w:t xml:space="preserve">. </w:t>
      </w:r>
    </w:p>
    <w:p w14:paraId="1B9166D1" w14:textId="77777777" w:rsidR="00B12003" w:rsidRPr="00B12003" w:rsidRDefault="00B12003" w:rsidP="00B12003">
      <w:pPr>
        <w:spacing w:after="0" w:line="300" w:lineRule="auto"/>
        <w:ind w:firstLine="567"/>
        <w:jc w:val="both"/>
        <w:rPr>
          <w:rFonts w:ascii="Times New Roman" w:hAnsi="Times New Roman" w:cs="Times New Roman"/>
          <w:bCs/>
          <w:sz w:val="26"/>
          <w:szCs w:val="26"/>
        </w:rPr>
      </w:pPr>
      <w:r w:rsidRPr="00B12003">
        <w:rPr>
          <w:rFonts w:ascii="Times New Roman" w:hAnsi="Times New Roman" w:cs="Times New Roman"/>
          <w:bCs/>
          <w:sz w:val="26"/>
          <w:szCs w:val="26"/>
        </w:rPr>
        <w:t xml:space="preserve">Расчет кадастровой стоимости земельных участков данной группы проведен по минимальному значению удельных показателей кадастровой стоимости земельных участков текущего сегмента без учета кода расчета вида использования по кадастровому кварталу, в котором расположены объекты оценки. </w:t>
      </w:r>
    </w:p>
    <w:p w14:paraId="46308759" w14:textId="342217E6" w:rsidR="009229AA" w:rsidRPr="00F562A8" w:rsidRDefault="00B12003" w:rsidP="00B12003">
      <w:pPr>
        <w:spacing w:after="0" w:line="300" w:lineRule="auto"/>
        <w:ind w:firstLine="567"/>
        <w:jc w:val="both"/>
        <w:rPr>
          <w:rFonts w:ascii="Times New Roman" w:eastAsiaTheme="minorEastAsia" w:hAnsi="Times New Roman" w:cs="Times New Roman"/>
          <w:sz w:val="26"/>
          <w:szCs w:val="26"/>
        </w:rPr>
      </w:pPr>
      <w:r w:rsidRPr="00B12003">
        <w:rPr>
          <w:rFonts w:ascii="Times New Roman" w:hAnsi="Times New Roman" w:cs="Times New Roman"/>
          <w:bCs/>
          <w:sz w:val="26"/>
          <w:szCs w:val="26"/>
        </w:rPr>
        <w:t>В случае отсутствия таких показателей, по минимальным значениям удельных показателей кадастровой стоимости в населенном пункте, а в случае отсутствия и этих значений, по минимальным значениям удельных показателей кадастровой стоимости в муниципальном районе, а в случае отсутствия и этих значений, по минимальным значениям удельных показателей кадастровой стоимости Воронежской области</w:t>
      </w:r>
      <w:r w:rsidR="009229AA">
        <w:rPr>
          <w:rFonts w:ascii="Times New Roman" w:hAnsi="Times New Roman" w:cs="Times New Roman"/>
          <w:bCs/>
          <w:sz w:val="26"/>
          <w:szCs w:val="26"/>
        </w:rPr>
        <w:t>.</w:t>
      </w:r>
      <w:r w:rsidR="009229AA" w:rsidRPr="00F562A8">
        <w:rPr>
          <w:rFonts w:ascii="Times New Roman" w:eastAsiaTheme="minorEastAsia" w:hAnsi="Times New Roman" w:cs="Times New Roman"/>
          <w:sz w:val="26"/>
          <w:szCs w:val="26"/>
        </w:rPr>
        <w:t xml:space="preserve"> </w:t>
      </w:r>
    </w:p>
    <w:p w14:paraId="4EC53BB2" w14:textId="119B2889" w:rsidR="009229AA" w:rsidRPr="00F562A8" w:rsidRDefault="007934F5" w:rsidP="009229AA">
      <w:pPr>
        <w:spacing w:after="0" w:line="300" w:lineRule="auto"/>
        <w:ind w:firstLine="567"/>
        <w:jc w:val="both"/>
        <w:rPr>
          <w:rFonts w:ascii="Times New Roman" w:hAnsi="Times New Roman" w:cs="Times New Roman"/>
          <w:bCs/>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4F4695" w:rsidRPr="00F562A8">
        <w:rPr>
          <w:rFonts w:ascii="Times New Roman" w:eastAsiaTheme="minorEastAsia" w:hAnsi="Times New Roman" w:cs="Times New Roman"/>
          <w:sz w:val="26"/>
          <w:szCs w:val="26"/>
        </w:rPr>
        <w:t>2/2.4</w:t>
      </w:r>
      <w:r w:rsidR="004F4695">
        <w:rPr>
          <w:rFonts w:ascii="Times New Roman" w:eastAsiaTheme="minorEastAsia" w:hAnsi="Times New Roman" w:cs="Times New Roman"/>
          <w:sz w:val="26"/>
          <w:szCs w:val="26"/>
        </w:rPr>
        <w:t>/2.4.4.</w:t>
      </w:r>
    </w:p>
    <w:p w14:paraId="6DBD9928" w14:textId="1119D7C5" w:rsidR="00B1113F" w:rsidRDefault="00B1113F" w:rsidP="00C22098">
      <w:pPr>
        <w:spacing w:after="0" w:line="276" w:lineRule="auto"/>
        <w:ind w:firstLine="709"/>
        <w:jc w:val="both"/>
        <w:rPr>
          <w:rFonts w:ascii="Times New Roman" w:eastAsiaTheme="minorEastAsia" w:hAnsi="Times New Roman" w:cs="Times New Roman"/>
          <w:sz w:val="26"/>
          <w:szCs w:val="26"/>
        </w:rPr>
      </w:pPr>
    </w:p>
    <w:p w14:paraId="5000F2FE" w14:textId="18D653D8" w:rsidR="005505AB" w:rsidRPr="00F562A8" w:rsidRDefault="00A76705" w:rsidP="00A55966">
      <w:pPr>
        <w:pStyle w:val="ab"/>
        <w:spacing w:before="120" w:after="0" w:line="240" w:lineRule="auto"/>
        <w:ind w:left="0"/>
        <w:contextualSpacing w:val="0"/>
        <w:jc w:val="center"/>
        <w:outlineLvl w:val="1"/>
        <w:rPr>
          <w:rFonts w:ascii="Times New Roman" w:hAnsi="Times New Roman" w:cs="Times New Roman"/>
          <w:b/>
          <w:sz w:val="26"/>
          <w:szCs w:val="26"/>
        </w:rPr>
      </w:pPr>
      <w:bookmarkStart w:id="232" w:name="_Toc110506981"/>
      <w:r w:rsidRPr="00F562A8">
        <w:rPr>
          <w:rFonts w:ascii="Times New Roman" w:hAnsi="Times New Roman" w:cs="Times New Roman"/>
          <w:b/>
          <w:sz w:val="26"/>
          <w:szCs w:val="26"/>
        </w:rPr>
        <w:t xml:space="preserve">3.6.5. </w:t>
      </w:r>
      <w:r w:rsidR="00306BF5" w:rsidRPr="00F562A8">
        <w:rPr>
          <w:rFonts w:ascii="Times New Roman" w:hAnsi="Times New Roman" w:cs="Times New Roman"/>
          <w:b/>
          <w:sz w:val="26"/>
          <w:szCs w:val="26"/>
        </w:rPr>
        <w:t>Сегмент 5. «Отдых (рекреация)»</w:t>
      </w:r>
      <w:bookmarkEnd w:id="226"/>
      <w:bookmarkEnd w:id="232"/>
    </w:p>
    <w:p w14:paraId="30217FA8" w14:textId="77777777" w:rsidR="00C22098" w:rsidRPr="00F562A8" w:rsidRDefault="00C22098" w:rsidP="00C22098">
      <w:pPr>
        <w:spacing w:line="240" w:lineRule="auto"/>
        <w:rPr>
          <w:rFonts w:ascii="Times New Roman" w:hAnsi="Times New Roman" w:cs="Times New Roman"/>
          <w:sz w:val="16"/>
          <w:szCs w:val="16"/>
        </w:rPr>
      </w:pPr>
    </w:p>
    <w:p w14:paraId="3E577BC4" w14:textId="4C81B1F3" w:rsidR="00306BF5" w:rsidRPr="00F562A8" w:rsidRDefault="00B15076" w:rsidP="002D4BEA">
      <w:pPr>
        <w:pStyle w:val="ab"/>
        <w:ind w:left="0"/>
        <w:jc w:val="center"/>
        <w:outlineLvl w:val="2"/>
        <w:rPr>
          <w:rFonts w:ascii="Times New Roman" w:hAnsi="Times New Roman" w:cs="Times New Roman"/>
          <w:i/>
          <w:sz w:val="26"/>
          <w:szCs w:val="26"/>
        </w:rPr>
      </w:pPr>
      <w:bookmarkStart w:id="233" w:name="_Toc110506982"/>
      <w:r w:rsidRPr="00A70FB5">
        <w:rPr>
          <w:rFonts w:ascii="Times New Roman" w:hAnsi="Times New Roman" w:cs="Times New Roman"/>
          <w:i/>
          <w:sz w:val="26"/>
          <w:szCs w:val="26"/>
        </w:rPr>
        <w:t>3.6.5.1.</w:t>
      </w:r>
      <w:r w:rsidRPr="00F562A8">
        <w:rPr>
          <w:rFonts w:ascii="Times New Roman" w:hAnsi="Times New Roman" w:cs="Times New Roman"/>
          <w:i/>
          <w:sz w:val="26"/>
          <w:szCs w:val="26"/>
        </w:rPr>
        <w:t xml:space="preserve"> </w:t>
      </w:r>
      <w:r w:rsidR="00306BF5" w:rsidRPr="00F562A8">
        <w:rPr>
          <w:rFonts w:ascii="Times New Roman" w:hAnsi="Times New Roman" w:cs="Times New Roman"/>
          <w:i/>
          <w:sz w:val="26"/>
          <w:szCs w:val="26"/>
        </w:rPr>
        <w:t xml:space="preserve">Расчет кадастровой стоимости земельных участков группы </w:t>
      </w:r>
      <w:r w:rsidR="00823203" w:rsidRPr="00823203">
        <w:rPr>
          <w:rFonts w:ascii="Times New Roman" w:hAnsi="Times New Roman" w:cs="Times New Roman"/>
          <w:i/>
          <w:sz w:val="26"/>
          <w:szCs w:val="26"/>
        </w:rPr>
        <w:t>ГОСТИНИЦЫ/ВОРОНЕЖ</w:t>
      </w:r>
      <w:bookmarkEnd w:id="233"/>
    </w:p>
    <w:p w14:paraId="4661BB99" w14:textId="72A60514" w:rsidR="00F13AA2" w:rsidRPr="00F562A8" w:rsidRDefault="00F13AA2" w:rsidP="00F13AA2">
      <w:pPr>
        <w:spacing w:after="0" w:line="276" w:lineRule="auto"/>
        <w:ind w:firstLine="567"/>
        <w:jc w:val="both"/>
        <w:rPr>
          <w:rFonts w:ascii="Times New Roman" w:eastAsiaTheme="minorEastAsia" w:hAnsi="Times New Roman" w:cs="Times New Roman"/>
          <w:sz w:val="26"/>
          <w:szCs w:val="26"/>
        </w:rPr>
      </w:pPr>
      <w:bookmarkStart w:id="234" w:name="_Hlk42166665"/>
      <w:r w:rsidRPr="00F562A8">
        <w:rPr>
          <w:rFonts w:ascii="Times New Roman" w:eastAsiaTheme="minorEastAsia" w:hAnsi="Times New Roman" w:cs="Times New Roman"/>
          <w:sz w:val="26"/>
          <w:szCs w:val="26"/>
        </w:rPr>
        <w:t xml:space="preserve">  Перечень объектов 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4000B690" w14:textId="7091F415" w:rsidR="00DF479E" w:rsidRDefault="00DF479E" w:rsidP="00F13AA2">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DF479E">
        <w:rPr>
          <w:rFonts w:ascii="Times New Roman" w:hAnsi="Times New Roman" w:cs="Times New Roman"/>
          <w:sz w:val="26"/>
          <w:szCs w:val="26"/>
        </w:rPr>
        <w:t>ГОСТИНИЦЫ/ВОРОНЕЖ</w:t>
      </w:r>
      <w:r>
        <w:rPr>
          <w:rFonts w:ascii="Times New Roman" w:hAnsi="Times New Roman" w:cs="Times New Roman"/>
          <w:sz w:val="26"/>
          <w:szCs w:val="26"/>
        </w:rPr>
        <w:t xml:space="preserve">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DF479E">
        <w:rPr>
          <w:rFonts w:ascii="Times New Roman" w:hAnsi="Times New Roman" w:cs="Times New Roman"/>
          <w:sz w:val="26"/>
          <w:szCs w:val="26"/>
        </w:rPr>
        <w:t xml:space="preserve"> 04:070, 04:097</w:t>
      </w:r>
      <w:r>
        <w:rPr>
          <w:rFonts w:ascii="Times New Roman" w:hAnsi="Times New Roman" w:cs="Times New Roman"/>
          <w:sz w:val="26"/>
          <w:szCs w:val="26"/>
        </w:rPr>
        <w:t>.</w:t>
      </w:r>
    </w:p>
    <w:p w14:paraId="2E66AB55" w14:textId="45ED69CD"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823203" w:rsidRPr="00823203">
        <w:rPr>
          <w:rFonts w:ascii="Times New Roman" w:hAnsi="Times New Roman" w:cs="Times New Roman"/>
          <w:sz w:val="26"/>
          <w:szCs w:val="26"/>
        </w:rPr>
        <w:t>ГОСТИНИЦЫ</w:t>
      </w:r>
      <w:r w:rsidRPr="00A44D3E">
        <w:rPr>
          <w:rFonts w:ascii="Times New Roman" w:hAnsi="Times New Roman" w:cs="Times New Roman"/>
          <w:sz w:val="26"/>
          <w:szCs w:val="26"/>
        </w:rPr>
        <w:t>/ВОРОНЕЖ использовались</w:t>
      </w:r>
      <w:r w:rsidRPr="00F562A8">
        <w:rPr>
          <w:rFonts w:ascii="Times New Roman" w:hAnsi="Times New Roman" w:cs="Times New Roman"/>
          <w:sz w:val="26"/>
          <w:szCs w:val="26"/>
        </w:rPr>
        <w:t xml:space="preserve">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33C7B20C" w14:textId="6BDA65A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615491">
        <w:rPr>
          <w:rFonts w:ascii="Times New Roman" w:hAnsi="Times New Roman" w:cs="Times New Roman"/>
          <w:sz w:val="26"/>
          <w:szCs w:val="26"/>
        </w:rPr>
        <w:t>45.1.1</w:t>
      </w:r>
      <w:r w:rsidRPr="00F562A8">
        <w:rPr>
          <w:rFonts w:ascii="Times New Roman" w:hAnsi="Times New Roman" w:cs="Times New Roman"/>
          <w:sz w:val="26"/>
          <w:szCs w:val="26"/>
        </w:rPr>
        <w:t xml:space="preserve">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0F064BDB" w14:textId="7777777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7F98CDB2" w14:textId="7777777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24182E43" w14:textId="7777777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4EB378E9" w14:textId="7777777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563261CD" w14:textId="7777777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65DEE989" w14:textId="7777777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33B21479" w14:textId="7EC90CAB"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г.о.г Воронеж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12 </w:t>
      </w:r>
      <w:r w:rsidR="003016A0" w:rsidRPr="00F562A8">
        <w:rPr>
          <w:rFonts w:ascii="Times New Roman" w:hAnsi="Times New Roman" w:cs="Times New Roman"/>
          <w:sz w:val="26"/>
          <w:szCs w:val="26"/>
        </w:rPr>
        <w:t>представлены в таблиц</w:t>
      </w:r>
      <w:r w:rsidR="003016A0">
        <w:rPr>
          <w:rFonts w:ascii="Times New Roman" w:hAnsi="Times New Roman" w:cs="Times New Roman"/>
          <w:sz w:val="26"/>
          <w:szCs w:val="26"/>
        </w:rPr>
        <w:t>ах</w:t>
      </w:r>
      <w:r w:rsidR="003016A0" w:rsidRPr="00F562A8">
        <w:rPr>
          <w:rFonts w:ascii="Times New Roman" w:hAnsi="Times New Roman" w:cs="Times New Roman"/>
          <w:sz w:val="26"/>
          <w:szCs w:val="26"/>
        </w:rPr>
        <w:t xml:space="preserve"> </w:t>
      </w:r>
      <w:r w:rsidR="003016A0" w:rsidRPr="00F562A8">
        <w:rPr>
          <w:rFonts w:ascii="Times New Roman" w:eastAsia="Times New Roman" w:hAnsi="Times New Roman" w:cs="Times New Roman"/>
          <w:sz w:val="26"/>
          <w:szCs w:val="26"/>
        </w:rPr>
        <w:t>3.</w:t>
      </w:r>
      <w:r w:rsidR="003016A0">
        <w:rPr>
          <w:rFonts w:ascii="Times New Roman" w:eastAsia="Times New Roman" w:hAnsi="Times New Roman" w:cs="Times New Roman"/>
          <w:sz w:val="26"/>
          <w:szCs w:val="26"/>
        </w:rPr>
        <w:t>4 и 3.5, пунктов 3.4 и 3.5 соответственно</w:t>
      </w:r>
      <w:r w:rsidR="003016A0" w:rsidRPr="00F562A8">
        <w:rPr>
          <w:rFonts w:ascii="Times New Roman" w:hAnsi="Times New Roman" w:cs="Times New Roman"/>
          <w:sz w:val="26"/>
          <w:szCs w:val="26"/>
        </w:rPr>
        <w:t>.</w:t>
      </w:r>
    </w:p>
    <w:p w14:paraId="3165EAC7" w14:textId="2B7612B7"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2DEC969B" w14:textId="77777777"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685A88A1" w14:textId="77777777"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 данном случае таких факторов было выявлено 2:</w:t>
      </w:r>
    </w:p>
    <w:p w14:paraId="74387DE6" w14:textId="40E59D4D"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расстояние объекта до</w:t>
      </w:r>
      <w:r w:rsidR="00823203" w:rsidRPr="00823203">
        <w:rPr>
          <w:rFonts w:ascii="Times New Roman" w:hAnsi="Times New Roman" w:cs="Times New Roman"/>
          <w:sz w:val="26"/>
          <w:szCs w:val="26"/>
        </w:rPr>
        <w:t xml:space="preserve"> общественно-делового центра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3642D299" w14:textId="7D60A0DE"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823203" w:rsidRPr="00F562A8">
        <w:rPr>
          <w:rFonts w:ascii="Times New Roman" w:hAnsi="Times New Roman" w:cs="Times New Roman"/>
          <w:sz w:val="26"/>
          <w:szCs w:val="26"/>
        </w:rPr>
        <w:t>расстояние объекта до центра населенного пункта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w:t>
      </w:r>
    </w:p>
    <w:p w14:paraId="3C95FCBE" w14:textId="77777777"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610DD199" w14:textId="77777777"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6A2ECCD8" w14:textId="77777777"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На основании отбора факторов были построены множественные регрессионные двухфакторные модели:</w:t>
      </w:r>
    </w:p>
    <w:p w14:paraId="20757AC0" w14:textId="77777777" w:rsidR="00F13AA2" w:rsidRPr="00F562A8" w:rsidRDefault="00F13AA2" w:rsidP="00F13AA2">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748C00D9" wp14:editId="3A097381">
            <wp:extent cx="2209800" cy="247650"/>
            <wp:effectExtent l="0" t="0" r="0" b="0"/>
            <wp:docPr id="610" name="Рисунок 610"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55F2CA07" w14:textId="77777777"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17A0F136" wp14:editId="145253D3">
            <wp:extent cx="1352550" cy="266700"/>
            <wp:effectExtent l="0" t="0" r="0" b="0"/>
            <wp:docPr id="611" name="Рисунок 611"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5E3D43CF" w14:textId="77777777"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356689C3" wp14:editId="39BFDBF3">
            <wp:extent cx="1266825" cy="266700"/>
            <wp:effectExtent l="0" t="0" r="0" b="0"/>
            <wp:docPr id="612" name="Рисунок 612"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6F5F5129" w14:textId="77777777"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36B9807D" w14:textId="7777777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05831926" w14:textId="7777777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1065D884" wp14:editId="2E2FEE43">
            <wp:extent cx="209550" cy="247650"/>
            <wp:effectExtent l="0" t="0" r="0" b="0"/>
            <wp:docPr id="613" name="Рисунок 613"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7FD43D8D" wp14:editId="0C4A59CA">
            <wp:extent cx="200025" cy="247650"/>
            <wp:effectExtent l="0" t="0" r="9525" b="0"/>
            <wp:docPr id="614" name="Рисунок 614"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1B634EC3" wp14:editId="4BD1410B">
            <wp:extent cx="209550" cy="247650"/>
            <wp:effectExtent l="0" t="0" r="0" b="0"/>
            <wp:docPr id="615" name="Рисунок 615"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11688333" w14:textId="55D0FF0E" w:rsidR="00F13AA2" w:rsidRPr="00F562A8" w:rsidRDefault="001E4409" w:rsidP="00F13AA2">
      <w:pPr>
        <w:spacing w:after="0" w:line="276" w:lineRule="auto"/>
        <w:jc w:val="center"/>
        <w:rPr>
          <w:rFonts w:ascii="Times New Roman" w:hAnsi="Times New Roman" w:cs="Times New Roman"/>
          <w:lang w:val="en-US"/>
        </w:rPr>
      </w:pPr>
      <w:r w:rsidRPr="00D01A69">
        <w:rPr>
          <w:noProof/>
          <w:lang w:eastAsia="ru-RU"/>
        </w:rPr>
        <w:drawing>
          <wp:inline distT="0" distB="0" distL="0" distR="0" wp14:anchorId="65FF4D57" wp14:editId="6DB86393">
            <wp:extent cx="5939790" cy="943509"/>
            <wp:effectExtent l="0" t="0" r="3810" b="9525"/>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5939790" cy="943509"/>
                    </a:xfrm>
                    <a:prstGeom prst="rect">
                      <a:avLst/>
                    </a:prstGeom>
                  </pic:spPr>
                </pic:pic>
              </a:graphicData>
            </a:graphic>
          </wp:inline>
        </w:drawing>
      </w:r>
    </w:p>
    <w:p w14:paraId="717DFE70" w14:textId="12C4A7BA" w:rsidR="00F13AA2" w:rsidRPr="00F562A8" w:rsidRDefault="00F13AA2" w:rsidP="00F13AA2">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3876E4">
        <w:rPr>
          <w:rFonts w:ascii="Times New Roman" w:hAnsi="Times New Roman" w:cs="Times New Roman"/>
          <w:sz w:val="26"/>
          <w:szCs w:val="26"/>
        </w:rPr>
        <w:t>5</w:t>
      </w:r>
      <w:r w:rsidRPr="00F562A8">
        <w:rPr>
          <w:rFonts w:ascii="Times New Roman" w:hAnsi="Times New Roman" w:cs="Times New Roman"/>
          <w:sz w:val="26"/>
          <w:szCs w:val="26"/>
        </w:rPr>
        <w:t>.1</w:t>
      </w:r>
      <w:r>
        <w:rPr>
          <w:rFonts w:ascii="Times New Roman" w:hAnsi="Times New Roman" w:cs="Times New Roman"/>
          <w:sz w:val="26"/>
          <w:szCs w:val="26"/>
        </w:rPr>
        <w:t>.</w:t>
      </w:r>
      <w:r w:rsidR="00A0287F">
        <w:rPr>
          <w:rFonts w:ascii="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двухфакторные модели</w:t>
      </w:r>
    </w:p>
    <w:p w14:paraId="16F525DF" w14:textId="77777777" w:rsidR="0013778A" w:rsidRDefault="0013778A" w:rsidP="00F13AA2">
      <w:pPr>
        <w:pStyle w:val="ConsPlusNormal"/>
        <w:spacing w:line="276" w:lineRule="auto"/>
        <w:ind w:firstLine="709"/>
        <w:jc w:val="both"/>
        <w:rPr>
          <w:rFonts w:ascii="Times New Roman" w:hAnsi="Times New Roman" w:cs="Times New Roman"/>
          <w:sz w:val="26"/>
          <w:szCs w:val="26"/>
        </w:rPr>
      </w:pPr>
    </w:p>
    <w:p w14:paraId="0996F066" w14:textId="5207F955"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7E912722" w14:textId="7777777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21973864" w14:textId="7777777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415B23AD" w14:textId="7777777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60748B66" w14:textId="7777777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7214A2F1" w14:textId="7777777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1CBBDE0E" w14:textId="7777777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6E428524" w14:textId="7777777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08FAAFEA" w14:textId="5407D674" w:rsidR="00F13AA2" w:rsidRPr="00F562A8" w:rsidRDefault="001E4409" w:rsidP="00C82B5A">
      <w:pPr>
        <w:spacing w:after="0" w:line="276" w:lineRule="auto"/>
        <w:jc w:val="center"/>
        <w:rPr>
          <w:rFonts w:ascii="Times New Roman" w:hAnsi="Times New Roman" w:cs="Times New Roman"/>
        </w:rPr>
      </w:pPr>
      <w:r w:rsidRPr="00D01A69">
        <w:rPr>
          <w:noProof/>
          <w:lang w:eastAsia="ru-RU"/>
        </w:rPr>
        <w:drawing>
          <wp:inline distT="0" distB="0" distL="0" distR="0" wp14:anchorId="76247DC8" wp14:editId="38BA08D8">
            <wp:extent cx="6067425" cy="1303451"/>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a:srcRect r="8394"/>
                    <a:stretch/>
                  </pic:blipFill>
                  <pic:spPr bwMode="auto">
                    <a:xfrm>
                      <a:off x="0" y="0"/>
                      <a:ext cx="6106423" cy="1311829"/>
                    </a:xfrm>
                    <a:prstGeom prst="rect">
                      <a:avLst/>
                    </a:prstGeom>
                    <a:ln>
                      <a:noFill/>
                    </a:ln>
                    <a:extLst>
                      <a:ext uri="{53640926-AAD7-44D8-BBD7-CCE9431645EC}">
                        <a14:shadowObscured xmlns:a14="http://schemas.microsoft.com/office/drawing/2010/main"/>
                      </a:ext>
                    </a:extLst>
                  </pic:spPr>
                </pic:pic>
              </a:graphicData>
            </a:graphic>
          </wp:inline>
        </w:drawing>
      </w:r>
    </w:p>
    <w:p w14:paraId="143B64F9" w14:textId="743DE8C5" w:rsidR="00F13AA2" w:rsidRPr="00F562A8" w:rsidRDefault="00F13AA2" w:rsidP="00F13AA2">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3876E4">
        <w:rPr>
          <w:rFonts w:ascii="Times New Roman" w:hAnsi="Times New Roman" w:cs="Times New Roman"/>
          <w:sz w:val="26"/>
          <w:szCs w:val="26"/>
        </w:rPr>
        <w:t>5</w:t>
      </w:r>
      <w:r w:rsidRPr="00F562A8">
        <w:rPr>
          <w:rFonts w:ascii="Times New Roman" w:hAnsi="Times New Roman" w:cs="Times New Roman"/>
          <w:sz w:val="26"/>
          <w:szCs w:val="26"/>
        </w:rPr>
        <w:t>.</w:t>
      </w:r>
      <w:r>
        <w:rPr>
          <w:rFonts w:ascii="Times New Roman" w:hAnsi="Times New Roman" w:cs="Times New Roman"/>
          <w:sz w:val="26"/>
          <w:szCs w:val="26"/>
        </w:rPr>
        <w:t>1.</w:t>
      </w:r>
      <w:r w:rsidR="00A0287F">
        <w:rPr>
          <w:rFonts w:ascii="Times New Roman" w:hAnsi="Times New Roman" w:cs="Times New Roman"/>
          <w:sz w:val="26"/>
          <w:szCs w:val="26"/>
        </w:rPr>
        <w:t>2</w:t>
      </w:r>
      <w:r w:rsidRPr="00F562A8">
        <w:rPr>
          <w:rFonts w:ascii="Times New Roman" w:hAnsi="Times New Roman" w:cs="Times New Roman"/>
          <w:sz w:val="26"/>
          <w:szCs w:val="26"/>
        </w:rPr>
        <w:t xml:space="preserve"> -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7227F42E" w14:textId="77777777" w:rsidR="0013778A" w:rsidRDefault="0013778A" w:rsidP="00F13AA2">
      <w:pPr>
        <w:pStyle w:val="ConsPlusNormal"/>
        <w:spacing w:line="276" w:lineRule="auto"/>
        <w:ind w:firstLine="709"/>
        <w:jc w:val="both"/>
        <w:rPr>
          <w:rFonts w:ascii="Times New Roman" w:hAnsi="Times New Roman" w:cs="Times New Roman"/>
          <w:sz w:val="26"/>
          <w:szCs w:val="26"/>
        </w:rPr>
      </w:pPr>
    </w:p>
    <w:p w14:paraId="459D6A71" w14:textId="55BA9661"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43093D8D" w14:textId="77777777" w:rsidR="00F13AA2" w:rsidRPr="00F562A8" w:rsidRDefault="00F13AA2" w:rsidP="00F13AA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548B3585" w14:textId="77777777"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7B910D59" w14:textId="6A4FFFAF" w:rsidR="00F13AA2" w:rsidRPr="00F562A8" w:rsidRDefault="007143DD" w:rsidP="00F13AA2">
      <w:pPr>
        <w:spacing w:after="0" w:line="276" w:lineRule="auto"/>
        <w:jc w:val="center"/>
        <w:rPr>
          <w:rFonts w:ascii="Times New Roman" w:hAnsi="Times New Roman" w:cs="Times New Roman"/>
          <w:lang w:val="en-US"/>
        </w:rPr>
      </w:pPr>
      <w:r w:rsidRPr="001D4C83">
        <w:rPr>
          <w:noProof/>
          <w:lang w:eastAsia="ru-RU"/>
        </w:rPr>
        <w:drawing>
          <wp:inline distT="0" distB="0" distL="0" distR="0" wp14:anchorId="52D1F3D3" wp14:editId="5B83CCAD">
            <wp:extent cx="3038899" cy="1066949"/>
            <wp:effectExtent l="0" t="0" r="9525"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3038899" cy="1066949"/>
                    </a:xfrm>
                    <a:prstGeom prst="rect">
                      <a:avLst/>
                    </a:prstGeom>
                  </pic:spPr>
                </pic:pic>
              </a:graphicData>
            </a:graphic>
          </wp:inline>
        </w:drawing>
      </w:r>
    </w:p>
    <w:p w14:paraId="06BA0DF7" w14:textId="599437DE" w:rsidR="00F13AA2" w:rsidRPr="00F562A8" w:rsidRDefault="00F13AA2" w:rsidP="00F13AA2">
      <w:pPr>
        <w:spacing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 3.6.</w:t>
      </w:r>
      <w:r w:rsidR="003876E4">
        <w:rPr>
          <w:rFonts w:ascii="Times New Roman" w:hAnsi="Times New Roman" w:cs="Times New Roman"/>
          <w:sz w:val="26"/>
          <w:szCs w:val="26"/>
        </w:rPr>
        <w:t>5</w:t>
      </w:r>
      <w:r w:rsidRPr="00F562A8">
        <w:rPr>
          <w:rFonts w:ascii="Times New Roman" w:hAnsi="Times New Roman" w:cs="Times New Roman"/>
          <w:sz w:val="26"/>
          <w:szCs w:val="26"/>
        </w:rPr>
        <w:t>.</w:t>
      </w:r>
      <w:r>
        <w:rPr>
          <w:rFonts w:ascii="Times New Roman" w:hAnsi="Times New Roman" w:cs="Times New Roman"/>
          <w:sz w:val="26"/>
          <w:szCs w:val="26"/>
        </w:rPr>
        <w:t>1.</w:t>
      </w:r>
      <w:r w:rsidR="00A0287F">
        <w:rPr>
          <w:rFonts w:ascii="Times New Roman" w:hAnsi="Times New Roman" w:cs="Times New Roman"/>
          <w:sz w:val="26"/>
          <w:szCs w:val="26"/>
        </w:rPr>
        <w:t>3</w:t>
      </w:r>
      <w:r w:rsidRPr="00F562A8">
        <w:rPr>
          <w:rFonts w:ascii="Times New Roman" w:hAnsi="Times New Roman" w:cs="Times New Roman"/>
          <w:sz w:val="26"/>
          <w:szCs w:val="26"/>
        </w:rPr>
        <w:t xml:space="preserve"> - Значения F-критерия Фишера</w:t>
      </w:r>
    </w:p>
    <w:p w14:paraId="2AB66F4F" w14:textId="77777777"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6B115454" w14:textId="4222C5A6" w:rsidR="001E4409" w:rsidRPr="00D01A69" w:rsidRDefault="00F13AA2" w:rsidP="0013778A">
      <w:pPr>
        <w:spacing w:after="0" w:line="240" w:lineRule="auto"/>
        <w:ind w:firstLine="709"/>
        <w:jc w:val="center"/>
        <w:rPr>
          <w:rFonts w:ascii="Arial" w:eastAsia="Times New Roman" w:hAnsi="Arial" w:cs="Arial"/>
          <w:sz w:val="20"/>
          <w:szCs w:val="20"/>
          <w:lang w:eastAsia="ru-RU"/>
        </w:rPr>
      </w:pPr>
      <w:r w:rsidRPr="00F562A8">
        <w:rPr>
          <w:rFonts w:ascii="Times New Roman" w:hAnsi="Times New Roman" w:cs="Times New Roman"/>
          <w:i/>
          <w:sz w:val="26"/>
          <w:szCs w:val="26"/>
        </w:rPr>
        <w:t xml:space="preserve">УПКС = </w:t>
      </w:r>
      <w:r w:rsidR="001E4409" w:rsidRPr="001E4409">
        <w:rPr>
          <w:rFonts w:ascii="Times New Roman" w:hAnsi="Times New Roman" w:cs="Times New Roman"/>
          <w:i/>
          <w:sz w:val="26"/>
          <w:szCs w:val="26"/>
        </w:rPr>
        <w:t>1573.88224220964*e^(+0.0000548699238451496*((10594.252</w:t>
      </w:r>
      <w:r w:rsidR="001E4409">
        <w:rPr>
          <w:rFonts w:ascii="Times New Roman" w:hAnsi="Times New Roman" w:cs="Times New Roman"/>
          <w:i/>
          <w:sz w:val="26"/>
          <w:szCs w:val="26"/>
        </w:rPr>
        <w:t xml:space="preserve"> </w:t>
      </w:r>
      <w:r w:rsidR="001E4409" w:rsidRPr="001E4409">
        <w:rPr>
          <w:rFonts w:ascii="Times New Roman" w:hAnsi="Times New Roman" w:cs="Times New Roman"/>
          <w:i/>
          <w:sz w:val="26"/>
          <w:szCs w:val="26"/>
        </w:rPr>
        <w:t>+69.179</w:t>
      </w:r>
      <w:r w:rsidR="001E4409">
        <w:rPr>
          <w:rFonts w:ascii="Times New Roman" w:hAnsi="Times New Roman" w:cs="Times New Roman"/>
          <w:i/>
          <w:sz w:val="26"/>
          <w:szCs w:val="26"/>
        </w:rPr>
        <w:t xml:space="preserve"> </w:t>
      </w:r>
      <w:r w:rsidR="001E4409" w:rsidRPr="001E4409">
        <w:rPr>
          <w:rFonts w:ascii="Times New Roman" w:hAnsi="Times New Roman" w:cs="Times New Roman"/>
          <w:i/>
          <w:sz w:val="26"/>
          <w:szCs w:val="26"/>
        </w:rPr>
        <w:t>-гнп Расстояние объекта до общественно-делового центра))</w:t>
      </w:r>
      <w:r w:rsidR="001E4409">
        <w:rPr>
          <w:rFonts w:ascii="Times New Roman" w:hAnsi="Times New Roman" w:cs="Times New Roman"/>
          <w:i/>
          <w:sz w:val="26"/>
          <w:szCs w:val="26"/>
        </w:rPr>
        <w:t xml:space="preserve"> </w:t>
      </w:r>
      <w:r w:rsidR="001E4409" w:rsidRPr="001E4409">
        <w:rPr>
          <w:rFonts w:ascii="Times New Roman" w:hAnsi="Times New Roman" w:cs="Times New Roman"/>
          <w:i/>
          <w:sz w:val="26"/>
          <w:szCs w:val="26"/>
        </w:rPr>
        <w:t>+0.0000888614627177796*((15400.847+175.571-гнп Расстояние объекта до центра населенного пункта)))</w:t>
      </w:r>
    </w:p>
    <w:p w14:paraId="2527D0CD" w14:textId="77777777"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3001248A" w14:textId="6F3C1402" w:rsidR="00F13AA2" w:rsidRPr="00F562A8" w:rsidRDefault="001E4409" w:rsidP="00F13AA2">
      <w:pPr>
        <w:spacing w:after="0" w:line="276" w:lineRule="auto"/>
        <w:jc w:val="center"/>
        <w:rPr>
          <w:rFonts w:ascii="Times New Roman" w:hAnsi="Times New Roman" w:cs="Times New Roman"/>
          <w:i/>
          <w:szCs w:val="24"/>
        </w:rPr>
      </w:pPr>
      <w:r w:rsidRPr="00D01A69">
        <w:rPr>
          <w:noProof/>
          <w:lang w:eastAsia="ru-RU"/>
        </w:rPr>
        <w:drawing>
          <wp:inline distT="0" distB="0" distL="0" distR="0" wp14:anchorId="51839937" wp14:editId="77D631A9">
            <wp:extent cx="5939790" cy="3061643"/>
            <wp:effectExtent l="0" t="0" r="3810" b="5715"/>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5939790" cy="3061643"/>
                    </a:xfrm>
                    <a:prstGeom prst="rect">
                      <a:avLst/>
                    </a:prstGeom>
                  </pic:spPr>
                </pic:pic>
              </a:graphicData>
            </a:graphic>
          </wp:inline>
        </w:drawing>
      </w:r>
    </w:p>
    <w:p w14:paraId="36E39F32" w14:textId="202EAC7D" w:rsidR="00F13AA2" w:rsidRPr="00F562A8" w:rsidRDefault="00F13AA2" w:rsidP="00F13AA2">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78662C">
        <w:rPr>
          <w:rFonts w:ascii="Times New Roman" w:hAnsi="Times New Roman" w:cs="Times New Roman"/>
          <w:sz w:val="26"/>
          <w:szCs w:val="26"/>
        </w:rPr>
        <w:t>5</w:t>
      </w:r>
      <w:r w:rsidRPr="00F562A8">
        <w:rPr>
          <w:rFonts w:ascii="Times New Roman" w:hAnsi="Times New Roman" w:cs="Times New Roman"/>
          <w:sz w:val="26"/>
          <w:szCs w:val="26"/>
        </w:rPr>
        <w:t>.</w:t>
      </w:r>
      <w:r>
        <w:rPr>
          <w:rFonts w:ascii="Times New Roman" w:hAnsi="Times New Roman" w:cs="Times New Roman"/>
          <w:sz w:val="26"/>
          <w:szCs w:val="26"/>
        </w:rPr>
        <w:t>1.</w:t>
      </w:r>
      <w:r w:rsidR="00A0287F">
        <w:rPr>
          <w:rFonts w:ascii="Times New Roman" w:hAnsi="Times New Roman" w:cs="Times New Roman"/>
          <w:sz w:val="26"/>
          <w:szCs w:val="26"/>
        </w:rPr>
        <w:t>4</w:t>
      </w:r>
      <w:r w:rsidRPr="00F562A8">
        <w:rPr>
          <w:rFonts w:ascii="Times New Roman" w:hAnsi="Times New Roman" w:cs="Times New Roman"/>
          <w:sz w:val="26"/>
          <w:szCs w:val="26"/>
        </w:rPr>
        <w:t xml:space="preserve"> - Характеристика экспоненциальной модели и анализ качества выборки</w:t>
      </w:r>
    </w:p>
    <w:p w14:paraId="555F0B91" w14:textId="228533FA" w:rsidR="00F13AA2" w:rsidRPr="00F562A8" w:rsidRDefault="00F13AA2" w:rsidP="00F13AA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w:t>
      </w:r>
      <w:r w:rsidR="007143DD">
        <w:rPr>
          <w:rFonts w:ascii="Times New Roman" w:hAnsi="Times New Roman" w:cs="Times New Roman"/>
          <w:sz w:val="26"/>
          <w:szCs w:val="26"/>
        </w:rPr>
        <w:t>а</w:t>
      </w:r>
      <w:r w:rsidRPr="00F562A8">
        <w:rPr>
          <w:rFonts w:ascii="Times New Roman" w:hAnsi="Times New Roman" w:cs="Times New Roman"/>
          <w:sz w:val="26"/>
          <w:szCs w:val="26"/>
        </w:rPr>
        <w:t>м</w:t>
      </w:r>
      <w:r w:rsidR="007143DD">
        <w:rPr>
          <w:rFonts w:ascii="Times New Roman" w:hAnsi="Times New Roman" w:cs="Times New Roman"/>
          <w:sz w:val="26"/>
          <w:szCs w:val="26"/>
        </w:rPr>
        <w:t>и</w:t>
      </w:r>
      <w:r w:rsidRPr="00F562A8">
        <w:rPr>
          <w:rFonts w:ascii="Times New Roman" w:hAnsi="Times New Roman" w:cs="Times New Roman"/>
          <w:sz w:val="26"/>
          <w:szCs w:val="26"/>
        </w:rPr>
        <w:t xml:space="preserve"> и кадастровой стоимостью обратная, то есть при росте этого фактора кадастровая стоимость уменьшается. Малые значения средней ошибки аппроксимации и среднеквадратической ошибки оценки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3A4BA1AD" w14:textId="2B564262" w:rsidR="00F13AA2" w:rsidRDefault="007C6B81" w:rsidP="00F13AA2">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4677E2B8" w14:textId="77777777" w:rsidR="00306BF5" w:rsidRPr="00F562A8" w:rsidRDefault="00306BF5" w:rsidP="006F6435">
      <w:pPr>
        <w:spacing w:line="276" w:lineRule="auto"/>
        <w:rPr>
          <w:rFonts w:ascii="Times New Roman" w:hAnsi="Times New Roman" w:cs="Times New Roman"/>
        </w:rPr>
      </w:pPr>
    </w:p>
    <w:p w14:paraId="646B75DE" w14:textId="745EAC26" w:rsidR="00306BF5" w:rsidRPr="00F562A8" w:rsidRDefault="00B15076" w:rsidP="002D4BEA">
      <w:pPr>
        <w:pStyle w:val="ab"/>
        <w:ind w:left="0"/>
        <w:jc w:val="center"/>
        <w:outlineLvl w:val="2"/>
        <w:rPr>
          <w:rFonts w:ascii="Times New Roman" w:hAnsi="Times New Roman" w:cs="Times New Roman"/>
          <w:i/>
          <w:sz w:val="26"/>
          <w:szCs w:val="26"/>
        </w:rPr>
      </w:pPr>
      <w:bookmarkStart w:id="235" w:name="_Toc110506983"/>
      <w:bookmarkEnd w:id="234"/>
      <w:r w:rsidRPr="00520219">
        <w:rPr>
          <w:rFonts w:ascii="Times New Roman" w:hAnsi="Times New Roman" w:cs="Times New Roman"/>
          <w:i/>
          <w:sz w:val="26"/>
          <w:szCs w:val="26"/>
        </w:rPr>
        <w:t xml:space="preserve">3.6.5.2. </w:t>
      </w:r>
      <w:r w:rsidR="00306BF5" w:rsidRPr="00520219">
        <w:rPr>
          <w:rFonts w:ascii="Times New Roman" w:hAnsi="Times New Roman" w:cs="Times New Roman"/>
          <w:i/>
          <w:sz w:val="26"/>
          <w:szCs w:val="26"/>
        </w:rPr>
        <w:t>Расчет</w:t>
      </w:r>
      <w:r w:rsidR="00306BF5" w:rsidRPr="00F562A8">
        <w:rPr>
          <w:rFonts w:ascii="Times New Roman" w:hAnsi="Times New Roman" w:cs="Times New Roman"/>
          <w:i/>
          <w:sz w:val="26"/>
          <w:szCs w:val="26"/>
        </w:rPr>
        <w:t xml:space="preserve"> кадастровой стоимости земельных участков группы </w:t>
      </w:r>
      <w:r w:rsidR="00B06966" w:rsidRPr="00B06966">
        <w:rPr>
          <w:rFonts w:ascii="Times New Roman" w:hAnsi="Times New Roman" w:cs="Times New Roman"/>
          <w:i/>
          <w:sz w:val="26"/>
          <w:szCs w:val="26"/>
        </w:rPr>
        <w:t>ГОСТИНИЦЫ/</w:t>
      </w:r>
      <w:r w:rsidR="00CD6DDF">
        <w:rPr>
          <w:rFonts w:ascii="Times New Roman" w:hAnsi="Times New Roman" w:cs="Times New Roman"/>
          <w:i/>
          <w:sz w:val="26"/>
          <w:szCs w:val="26"/>
        </w:rPr>
        <w:t>ГНП</w:t>
      </w:r>
      <w:bookmarkEnd w:id="235"/>
    </w:p>
    <w:p w14:paraId="19B727F1" w14:textId="3A8D3CD1" w:rsidR="00CD6DDF" w:rsidRPr="00F562A8" w:rsidRDefault="00CD6DDF" w:rsidP="00E62FE8">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w:t>
      </w:r>
      <w:r w:rsidRPr="00D871E6">
        <w:rPr>
          <w:rFonts w:ascii="Times New Roman" w:eastAsiaTheme="minorEastAsia" w:hAnsi="Times New Roman" w:cs="Times New Roman"/>
          <w:sz w:val="26"/>
          <w:szCs w:val="26"/>
        </w:rPr>
        <w:t xml:space="preserve">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64FB13E0" w14:textId="48E2B2E0" w:rsidR="00E62FE8" w:rsidRDefault="00E62FE8" w:rsidP="00E62FE8">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DF479E">
        <w:rPr>
          <w:rFonts w:ascii="Times New Roman" w:hAnsi="Times New Roman" w:cs="Times New Roman"/>
          <w:sz w:val="26"/>
          <w:szCs w:val="26"/>
        </w:rPr>
        <w:t>ГОСТИНИЦЫ/</w:t>
      </w:r>
      <w:r>
        <w:rPr>
          <w:rFonts w:ascii="Times New Roman" w:hAnsi="Times New Roman" w:cs="Times New Roman"/>
          <w:sz w:val="26"/>
          <w:szCs w:val="26"/>
        </w:rPr>
        <w:t>ГНП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DF479E">
        <w:rPr>
          <w:rFonts w:ascii="Times New Roman" w:hAnsi="Times New Roman" w:cs="Times New Roman"/>
          <w:sz w:val="26"/>
          <w:szCs w:val="26"/>
        </w:rPr>
        <w:t xml:space="preserve"> 04:070, 04:097</w:t>
      </w:r>
      <w:r>
        <w:rPr>
          <w:rFonts w:ascii="Times New Roman" w:hAnsi="Times New Roman" w:cs="Times New Roman"/>
          <w:sz w:val="26"/>
          <w:szCs w:val="26"/>
        </w:rPr>
        <w:t>.</w:t>
      </w:r>
    </w:p>
    <w:p w14:paraId="2283F9A2" w14:textId="6A83FFD9" w:rsidR="00CD6DDF" w:rsidRPr="00F562A8" w:rsidRDefault="00CD6DDF" w:rsidP="00CD6DD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Pr="00CD6DDF">
        <w:rPr>
          <w:rFonts w:ascii="Times New Roman" w:hAnsi="Times New Roman" w:cs="Times New Roman"/>
          <w:sz w:val="26"/>
          <w:szCs w:val="26"/>
        </w:rPr>
        <w:t>ГОСТИНИЦЫ/ГНП использовались методы математической статистики, а именно</w:t>
      </w:r>
      <w:r w:rsidRPr="00F562A8">
        <w:rPr>
          <w:rFonts w:ascii="Times New Roman" w:hAnsi="Times New Roman" w:cs="Times New Roman"/>
          <w:sz w:val="26"/>
          <w:szCs w:val="26"/>
        </w:rPr>
        <w:t xml:space="preserve">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3C0C6E5B" w14:textId="6220A0DD"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Согласно п.</w:t>
      </w:r>
      <w:r w:rsidR="00615491">
        <w:rPr>
          <w:rFonts w:ascii="Times New Roman" w:eastAsia="Times New Roman" w:hAnsi="Times New Roman" w:cs="Times New Roman"/>
          <w:sz w:val="26"/>
          <w:szCs w:val="26"/>
          <w:lang w:eastAsia="ru-RU"/>
        </w:rPr>
        <w:t>45.1.1</w:t>
      </w:r>
      <w:r w:rsidRPr="00F562A8">
        <w:rPr>
          <w:rFonts w:ascii="Times New Roman" w:eastAsia="Times New Roman" w:hAnsi="Times New Roman" w:cs="Times New Roman"/>
          <w:sz w:val="26"/>
          <w:szCs w:val="26"/>
          <w:lang w:eastAsia="ru-RU"/>
        </w:rPr>
        <w:t xml:space="preserve">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43F25CDE" w14:textId="77777777"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Порядок подготовки и построения модели оценки кадастровой стоимости включает:</w:t>
      </w:r>
    </w:p>
    <w:p w14:paraId="43E19940" w14:textId="77777777"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1) определение перечня ценообразующих факторов, описывающих влияние местоположения объектов недвижимости как составного фактора;</w:t>
      </w:r>
    </w:p>
    <w:p w14:paraId="40C0F59B" w14:textId="77777777"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2) определение состава ценообразующих факторов, включаемых в статистическую модель, с учетом местоположения объектов недвижимости;</w:t>
      </w:r>
    </w:p>
    <w:p w14:paraId="459B0E7B" w14:textId="77777777"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3) определение общего вида функций, связывающих зависимую переменную с каждым из ценообразующих факторов;</w:t>
      </w:r>
    </w:p>
    <w:p w14:paraId="68874FFC" w14:textId="77777777"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2A146571" w14:textId="77777777"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5) анализ показателей качества статистической модели.</w:t>
      </w:r>
    </w:p>
    <w:p w14:paraId="448923D7" w14:textId="77777777" w:rsidR="003016A0" w:rsidRDefault="00CD6DDF" w:rsidP="003016A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городских населенных пунктах Воронежской области,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3016A0" w:rsidRPr="00F562A8">
        <w:rPr>
          <w:rFonts w:ascii="Times New Roman" w:hAnsi="Times New Roman" w:cs="Times New Roman"/>
          <w:sz w:val="26"/>
          <w:szCs w:val="26"/>
        </w:rPr>
        <w:t>представлены в таблиц</w:t>
      </w:r>
      <w:r w:rsidR="003016A0">
        <w:rPr>
          <w:rFonts w:ascii="Times New Roman" w:hAnsi="Times New Roman" w:cs="Times New Roman"/>
          <w:sz w:val="26"/>
          <w:szCs w:val="26"/>
        </w:rPr>
        <w:t>ах</w:t>
      </w:r>
      <w:r w:rsidR="003016A0" w:rsidRPr="00F562A8">
        <w:rPr>
          <w:rFonts w:ascii="Times New Roman" w:hAnsi="Times New Roman" w:cs="Times New Roman"/>
          <w:sz w:val="26"/>
          <w:szCs w:val="26"/>
        </w:rPr>
        <w:t xml:space="preserve"> </w:t>
      </w:r>
      <w:r w:rsidR="003016A0" w:rsidRPr="00F562A8">
        <w:rPr>
          <w:rFonts w:ascii="Times New Roman" w:eastAsia="Times New Roman" w:hAnsi="Times New Roman" w:cs="Times New Roman"/>
          <w:sz w:val="26"/>
          <w:szCs w:val="26"/>
        </w:rPr>
        <w:t>3.</w:t>
      </w:r>
      <w:r w:rsidR="003016A0">
        <w:rPr>
          <w:rFonts w:ascii="Times New Roman" w:eastAsia="Times New Roman" w:hAnsi="Times New Roman" w:cs="Times New Roman"/>
          <w:sz w:val="26"/>
          <w:szCs w:val="26"/>
        </w:rPr>
        <w:t>4 и 3.5, пунктов 3.4 и 3.5 соответственно</w:t>
      </w:r>
      <w:r w:rsidR="003016A0" w:rsidRPr="00F562A8">
        <w:rPr>
          <w:rFonts w:ascii="Times New Roman" w:hAnsi="Times New Roman" w:cs="Times New Roman"/>
          <w:sz w:val="26"/>
          <w:szCs w:val="26"/>
        </w:rPr>
        <w:t>.</w:t>
      </w:r>
    </w:p>
    <w:p w14:paraId="1D102711" w14:textId="6DE9EC3C" w:rsidR="00CD6DDF" w:rsidRPr="00F562A8" w:rsidRDefault="00CD6DDF" w:rsidP="00CD6DD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0FB76F00" w14:textId="77777777" w:rsidR="00CD6DDF" w:rsidRPr="00F562A8" w:rsidRDefault="00CD6DDF" w:rsidP="00CD6DD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0B2A12D8" w14:textId="77777777" w:rsidR="00CD6DDF" w:rsidRPr="00F562A8" w:rsidRDefault="00CD6DDF" w:rsidP="00CD6DD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 данном случае таких факторов было выявлено 2:</w:t>
      </w:r>
    </w:p>
    <w:p w14:paraId="682192A7" w14:textId="689029AC" w:rsidR="00CD6DDF" w:rsidRPr="00F562A8" w:rsidRDefault="00CD6DDF" w:rsidP="00CD6DD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расстояние объекта до </w:t>
      </w:r>
      <w:r w:rsidR="00EA2B57" w:rsidRPr="00EA2B57">
        <w:rPr>
          <w:rFonts w:ascii="Times New Roman" w:hAnsi="Times New Roman" w:cs="Times New Roman"/>
          <w:sz w:val="26"/>
          <w:szCs w:val="26"/>
        </w:rPr>
        <w:t>центра населенного пункта</w:t>
      </w:r>
      <w:r w:rsidRPr="00F562A8">
        <w:rPr>
          <w:rFonts w:ascii="Times New Roman" w:hAnsi="Times New Roman" w:cs="Times New Roman"/>
          <w:sz w:val="26"/>
          <w:szCs w:val="26"/>
        </w:rPr>
        <w:t>: Х</w:t>
      </w:r>
      <w:r w:rsidR="004E688C">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6B03F49F" w14:textId="4E9B4088" w:rsidR="00CD6DDF" w:rsidRPr="00F562A8" w:rsidRDefault="00CD6DDF" w:rsidP="00CD6DD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EA2B57">
        <w:rPr>
          <w:rFonts w:ascii="Times New Roman" w:hAnsi="Times New Roman" w:cs="Times New Roman"/>
          <w:sz w:val="26"/>
          <w:szCs w:val="26"/>
        </w:rPr>
        <w:t>ч</w:t>
      </w:r>
      <w:r w:rsidR="00EA2B57" w:rsidRPr="00EA2B57">
        <w:rPr>
          <w:rFonts w:ascii="Times New Roman" w:hAnsi="Times New Roman" w:cs="Times New Roman"/>
          <w:sz w:val="26"/>
          <w:szCs w:val="26"/>
        </w:rPr>
        <w:t>исленность населения в населенном пункте</w:t>
      </w:r>
      <w:r w:rsidRPr="00F562A8">
        <w:rPr>
          <w:rFonts w:ascii="Times New Roman" w:hAnsi="Times New Roman" w:cs="Times New Roman"/>
          <w:sz w:val="26"/>
          <w:szCs w:val="26"/>
        </w:rPr>
        <w:t>: Х</w:t>
      </w:r>
      <w:r w:rsidR="004E688C">
        <w:rPr>
          <w:rFonts w:ascii="Times New Roman" w:hAnsi="Times New Roman" w:cs="Times New Roman"/>
          <w:sz w:val="26"/>
          <w:szCs w:val="26"/>
          <w:vertAlign w:val="subscript"/>
        </w:rPr>
        <w:t>1</w:t>
      </w:r>
      <w:r w:rsidR="00E86C86">
        <w:rPr>
          <w:rFonts w:ascii="Times New Roman" w:hAnsi="Times New Roman" w:cs="Times New Roman"/>
          <w:sz w:val="26"/>
          <w:szCs w:val="26"/>
        </w:rPr>
        <w:t>.</w:t>
      </w:r>
    </w:p>
    <w:p w14:paraId="11CC5D71" w14:textId="77777777" w:rsidR="00CD6DDF" w:rsidRPr="00F562A8" w:rsidRDefault="00CD6DDF" w:rsidP="00CD6DD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68297E42" w14:textId="77777777" w:rsidR="00CD6DDF" w:rsidRPr="00F562A8" w:rsidRDefault="00CD6DDF" w:rsidP="00CD6DD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1ADD8B63" w14:textId="77777777" w:rsidR="00CD6DDF" w:rsidRPr="00F562A8" w:rsidRDefault="00CD6DDF" w:rsidP="00CD6DD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На основании отбора факторов были построены множественные регрессионные двухфакторные модели:</w:t>
      </w:r>
    </w:p>
    <w:p w14:paraId="40390D89" w14:textId="77777777" w:rsidR="00CD6DDF" w:rsidRPr="00F562A8" w:rsidRDefault="00CD6DDF" w:rsidP="00CD6DDF">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5BC45501" wp14:editId="15FDF25D">
            <wp:extent cx="2209800" cy="247650"/>
            <wp:effectExtent l="0" t="0" r="0" b="0"/>
            <wp:docPr id="628" name="Рисунок 628"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67C91FED" w14:textId="77777777" w:rsidR="00CD6DDF" w:rsidRPr="00F562A8" w:rsidRDefault="00CD6DDF" w:rsidP="00CD6DD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4A479BF2" wp14:editId="38367BAA">
            <wp:extent cx="1352550" cy="266700"/>
            <wp:effectExtent l="0" t="0" r="0" b="0"/>
            <wp:docPr id="629" name="Рисунок 629"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29DABB2A" w14:textId="77777777" w:rsidR="00CD6DDF" w:rsidRPr="00F562A8" w:rsidRDefault="00CD6DDF" w:rsidP="00CD6DD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1D33000D" wp14:editId="4895BDA7">
            <wp:extent cx="1266825" cy="266700"/>
            <wp:effectExtent l="0" t="0" r="0" b="0"/>
            <wp:docPr id="630" name="Рисунок 630"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474AFB98" w14:textId="77777777" w:rsidR="00CD6DDF" w:rsidRPr="00F562A8" w:rsidRDefault="00CD6DDF" w:rsidP="00CD6DD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22A2DF0C" w14:textId="77777777"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X</w:t>
      </w:r>
      <w:r w:rsidRPr="00F562A8">
        <w:rPr>
          <w:rFonts w:ascii="Times New Roman" w:eastAsia="Times New Roman" w:hAnsi="Times New Roman" w:cs="Times New Roman"/>
          <w:sz w:val="26"/>
          <w:szCs w:val="26"/>
          <w:vertAlign w:val="subscript"/>
          <w:lang w:eastAsia="ru-RU"/>
        </w:rPr>
        <w:t>1</w:t>
      </w:r>
      <w:r w:rsidRPr="00F562A8">
        <w:rPr>
          <w:rFonts w:ascii="Times New Roman" w:eastAsia="Times New Roman" w:hAnsi="Times New Roman" w:cs="Times New Roman"/>
          <w:sz w:val="26"/>
          <w:szCs w:val="26"/>
          <w:lang w:eastAsia="ru-RU"/>
        </w:rPr>
        <w:t>, ..., X</w:t>
      </w:r>
      <w:r w:rsidRPr="00F562A8">
        <w:rPr>
          <w:rFonts w:ascii="Times New Roman" w:eastAsia="Times New Roman" w:hAnsi="Times New Roman" w:cs="Times New Roman"/>
          <w:sz w:val="26"/>
          <w:szCs w:val="26"/>
          <w:vertAlign w:val="subscript"/>
          <w:lang w:eastAsia="ru-RU"/>
        </w:rPr>
        <w:t>n</w:t>
      </w:r>
      <w:r w:rsidRPr="00F562A8">
        <w:rPr>
          <w:rFonts w:ascii="Times New Roman" w:eastAsia="Times New Roman" w:hAnsi="Times New Roman" w:cs="Times New Roman"/>
          <w:sz w:val="26"/>
          <w:szCs w:val="26"/>
          <w:lang w:eastAsia="ru-RU"/>
        </w:rPr>
        <w:t xml:space="preserve"> - ценообразующие факторы объектов недвижимости;</w:t>
      </w:r>
    </w:p>
    <w:p w14:paraId="5D538741" w14:textId="77777777"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noProof/>
          <w:position w:val="-8"/>
          <w:sz w:val="26"/>
          <w:szCs w:val="26"/>
          <w:lang w:eastAsia="ru-RU"/>
        </w:rPr>
        <w:drawing>
          <wp:inline distT="0" distB="0" distL="0" distR="0" wp14:anchorId="33997BB9" wp14:editId="222C29B2">
            <wp:extent cx="209550" cy="247650"/>
            <wp:effectExtent l="0" t="0" r="0" b="0"/>
            <wp:docPr id="631" name="Рисунок 631"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w:t>
      </w:r>
      <w:r w:rsidRPr="00F562A8">
        <w:rPr>
          <w:rFonts w:ascii="Times New Roman" w:eastAsia="Times New Roman" w:hAnsi="Times New Roman" w:cs="Times New Roman"/>
          <w:noProof/>
          <w:position w:val="-8"/>
          <w:sz w:val="26"/>
          <w:szCs w:val="26"/>
          <w:lang w:eastAsia="ru-RU"/>
        </w:rPr>
        <w:drawing>
          <wp:inline distT="0" distB="0" distL="0" distR="0" wp14:anchorId="13486211" wp14:editId="5AE6D5D4">
            <wp:extent cx="200025" cy="247650"/>
            <wp:effectExtent l="0" t="0" r="9525" b="0"/>
            <wp:docPr id="632" name="Рисунок 632"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 </w:t>
      </w:r>
      <w:r w:rsidRPr="00F562A8">
        <w:rPr>
          <w:rFonts w:ascii="Times New Roman" w:eastAsia="Times New Roman" w:hAnsi="Times New Roman" w:cs="Times New Roman"/>
          <w:noProof/>
          <w:position w:val="-8"/>
          <w:sz w:val="26"/>
          <w:szCs w:val="26"/>
          <w:lang w:eastAsia="ru-RU"/>
        </w:rPr>
        <w:drawing>
          <wp:inline distT="0" distB="0" distL="0" distR="0" wp14:anchorId="64A613EF" wp14:editId="5257A392">
            <wp:extent cx="209550" cy="247650"/>
            <wp:effectExtent l="0" t="0" r="0" b="0"/>
            <wp:docPr id="633" name="Рисунок 633"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 коэффициенты модели.</w:t>
      </w:r>
    </w:p>
    <w:p w14:paraId="6878B5C8" w14:textId="0DC6E271" w:rsidR="00CD6DDF" w:rsidRPr="00F562A8" w:rsidRDefault="00E86C86" w:rsidP="00CD6DDF">
      <w:pPr>
        <w:spacing w:after="0" w:line="276" w:lineRule="auto"/>
        <w:jc w:val="center"/>
        <w:rPr>
          <w:rFonts w:ascii="Times New Roman" w:hAnsi="Times New Roman" w:cs="Times New Roman"/>
          <w:sz w:val="24"/>
          <w:lang w:val="en-US"/>
        </w:rPr>
      </w:pPr>
      <w:r w:rsidRPr="00197C3E">
        <w:rPr>
          <w:noProof/>
          <w:lang w:eastAsia="ru-RU"/>
        </w:rPr>
        <w:drawing>
          <wp:inline distT="0" distB="0" distL="0" distR="0" wp14:anchorId="085125BB" wp14:editId="2C211F9F">
            <wp:extent cx="5782482" cy="1190791"/>
            <wp:effectExtent l="0" t="0" r="8890" b="9525"/>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782482" cy="1190791"/>
                    </a:xfrm>
                    <a:prstGeom prst="rect">
                      <a:avLst/>
                    </a:prstGeom>
                  </pic:spPr>
                </pic:pic>
              </a:graphicData>
            </a:graphic>
          </wp:inline>
        </w:drawing>
      </w:r>
    </w:p>
    <w:p w14:paraId="79E2AC71" w14:textId="3031A546" w:rsidR="00CD6DDF" w:rsidRPr="00F562A8" w:rsidRDefault="00CD6DDF" w:rsidP="00CD6DDF">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w:t>
      </w:r>
      <w:r w:rsidR="00D871E6" w:rsidRPr="00F562A8">
        <w:rPr>
          <w:rFonts w:ascii="Times New Roman" w:eastAsia="Times New Roman" w:hAnsi="Times New Roman" w:cs="Times New Roman"/>
          <w:sz w:val="26"/>
          <w:szCs w:val="26"/>
        </w:rPr>
        <w:t>3.6.</w:t>
      </w:r>
      <w:r w:rsidR="00D871E6">
        <w:rPr>
          <w:rFonts w:ascii="Times New Roman" w:eastAsia="Times New Roman" w:hAnsi="Times New Roman" w:cs="Times New Roman"/>
          <w:sz w:val="26"/>
          <w:szCs w:val="26"/>
        </w:rPr>
        <w:t>5</w:t>
      </w:r>
      <w:r w:rsidR="00D871E6" w:rsidRPr="00F562A8">
        <w:rPr>
          <w:rFonts w:ascii="Times New Roman" w:eastAsia="Times New Roman" w:hAnsi="Times New Roman" w:cs="Times New Roman"/>
          <w:sz w:val="26"/>
          <w:szCs w:val="26"/>
        </w:rPr>
        <w:t>.2</w:t>
      </w:r>
      <w:r w:rsidR="00D871E6">
        <w:rPr>
          <w:rFonts w:ascii="Times New Roman" w:eastAsia="Times New Roman" w:hAnsi="Times New Roman" w:cs="Times New Roman"/>
          <w:sz w:val="26"/>
          <w:szCs w:val="26"/>
        </w:rPr>
        <w:t>.</w:t>
      </w:r>
      <w:r w:rsidR="00E65546">
        <w:rPr>
          <w:rFonts w:ascii="Times New Roman" w:eastAsia="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двухфакторные модели</w:t>
      </w:r>
    </w:p>
    <w:p w14:paraId="07FE75BF" w14:textId="32322B53"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Согласно п.</w:t>
      </w:r>
      <w:r w:rsidR="00B11E8D">
        <w:rPr>
          <w:rFonts w:ascii="Times New Roman" w:eastAsia="Times New Roman" w:hAnsi="Times New Roman" w:cs="Times New Roman"/>
          <w:sz w:val="26"/>
          <w:szCs w:val="26"/>
          <w:lang w:eastAsia="ru-RU"/>
        </w:rPr>
        <w:t>45.1.2</w:t>
      </w:r>
      <w:r w:rsidRPr="00F562A8">
        <w:rPr>
          <w:rFonts w:ascii="Times New Roman" w:eastAsia="Times New Roman" w:hAnsi="Times New Roman" w:cs="Times New Roman"/>
          <w:sz w:val="26"/>
          <w:szCs w:val="26"/>
          <w:lang w:eastAsia="ru-RU"/>
        </w:rPr>
        <w:t xml:space="preserve"> Указаний, анализ качества статистической модели включает в себя комплекс процедур, предусматривающий проверки, в том числе:</w:t>
      </w:r>
    </w:p>
    <w:p w14:paraId="47F7DC41" w14:textId="77777777"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0AC9887A" w14:textId="77777777"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обоснованности знаков при коэффициентах статистического уравнения, то есть их соответствия характеру влияния ценообразующих факторов;</w:t>
      </w:r>
    </w:p>
    <w:p w14:paraId="70856225" w14:textId="77777777"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48131DA0" w14:textId="77777777"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t-критерию Стьюдента проверки значимости параметров моделей;</w:t>
      </w:r>
    </w:p>
    <w:p w14:paraId="20646A74" w14:textId="77777777"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средней ошибке аппроксимации;</w:t>
      </w:r>
    </w:p>
    <w:p w14:paraId="4754AA20" w14:textId="77777777"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коэффициенту детерминации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w:t>
      </w:r>
    </w:p>
    <w:p w14:paraId="160F5A21" w14:textId="618F8858" w:rsidR="00CD6DDF"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расчетному значению F-критерия Фишера, обосновывающего адекватность регрессионной модели.</w:t>
      </w:r>
    </w:p>
    <w:p w14:paraId="79B06A24" w14:textId="77777777" w:rsidR="00E86C86" w:rsidRDefault="00E86C86" w:rsidP="00CD6DDF">
      <w:pPr>
        <w:widowControl w:val="0"/>
        <w:autoSpaceDE w:val="0"/>
        <w:autoSpaceDN w:val="0"/>
        <w:spacing w:after="0" w:line="276" w:lineRule="auto"/>
        <w:jc w:val="center"/>
        <w:rPr>
          <w:noProof/>
        </w:rPr>
      </w:pPr>
      <w:r w:rsidRPr="00197C3E">
        <w:rPr>
          <w:noProof/>
          <w:lang w:eastAsia="ru-RU"/>
        </w:rPr>
        <w:drawing>
          <wp:inline distT="0" distB="0" distL="0" distR="0" wp14:anchorId="016DCA19" wp14:editId="641AA99E">
            <wp:extent cx="5866474" cy="1238250"/>
            <wp:effectExtent l="0" t="0" r="127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8"/>
                    <a:srcRect r="8232"/>
                    <a:stretch/>
                  </pic:blipFill>
                  <pic:spPr bwMode="auto">
                    <a:xfrm>
                      <a:off x="0" y="0"/>
                      <a:ext cx="5897123" cy="1244719"/>
                    </a:xfrm>
                    <a:prstGeom prst="rect">
                      <a:avLst/>
                    </a:prstGeom>
                    <a:ln>
                      <a:noFill/>
                    </a:ln>
                    <a:extLst>
                      <a:ext uri="{53640926-AAD7-44D8-BBD7-CCE9431645EC}">
                        <a14:shadowObscured xmlns:a14="http://schemas.microsoft.com/office/drawing/2010/main"/>
                      </a:ext>
                    </a:extLst>
                  </pic:spPr>
                </pic:pic>
              </a:graphicData>
            </a:graphic>
          </wp:inline>
        </w:drawing>
      </w:r>
    </w:p>
    <w:p w14:paraId="5F2303C5" w14:textId="7F89F04A" w:rsidR="00CD6DDF" w:rsidRPr="00F562A8" w:rsidRDefault="00CD6DDF" w:rsidP="00CD6DDF">
      <w:pPr>
        <w:widowControl w:val="0"/>
        <w:autoSpaceDE w:val="0"/>
        <w:autoSpaceDN w:val="0"/>
        <w:spacing w:after="0" w:line="276" w:lineRule="auto"/>
        <w:ind w:firstLine="709"/>
        <w:jc w:val="center"/>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Рис.</w:t>
      </w:r>
      <w:r w:rsidRPr="00F562A8">
        <w:rPr>
          <w:rFonts w:ascii="Times New Roman" w:hAnsi="Times New Roman" w:cs="Times New Roman"/>
          <w:sz w:val="26"/>
          <w:szCs w:val="26"/>
        </w:rPr>
        <w:t xml:space="preserve"> </w:t>
      </w:r>
      <w:r w:rsidR="00D871E6" w:rsidRPr="00F562A8">
        <w:rPr>
          <w:rFonts w:ascii="Times New Roman" w:eastAsia="Times New Roman" w:hAnsi="Times New Roman" w:cs="Times New Roman"/>
          <w:sz w:val="26"/>
          <w:szCs w:val="26"/>
        </w:rPr>
        <w:t>3.6.</w:t>
      </w:r>
      <w:r w:rsidR="00D871E6">
        <w:rPr>
          <w:rFonts w:ascii="Times New Roman" w:eastAsia="Times New Roman" w:hAnsi="Times New Roman" w:cs="Times New Roman"/>
          <w:sz w:val="26"/>
          <w:szCs w:val="26"/>
        </w:rPr>
        <w:t>5</w:t>
      </w:r>
      <w:r w:rsidR="00D871E6" w:rsidRPr="00F562A8">
        <w:rPr>
          <w:rFonts w:ascii="Times New Roman" w:eastAsia="Times New Roman" w:hAnsi="Times New Roman" w:cs="Times New Roman"/>
          <w:sz w:val="26"/>
          <w:szCs w:val="26"/>
        </w:rPr>
        <w:t>.2</w:t>
      </w:r>
      <w:r w:rsidR="00D871E6">
        <w:rPr>
          <w:rFonts w:ascii="Times New Roman" w:eastAsia="Times New Roman" w:hAnsi="Times New Roman" w:cs="Times New Roman"/>
          <w:sz w:val="26"/>
          <w:szCs w:val="26"/>
        </w:rPr>
        <w:t>.</w:t>
      </w:r>
      <w:r w:rsidR="00E65546">
        <w:rPr>
          <w:rFonts w:ascii="Times New Roman" w:eastAsia="Times New Roman" w:hAnsi="Times New Roman" w:cs="Times New Roman"/>
          <w:sz w:val="26"/>
          <w:szCs w:val="26"/>
        </w:rPr>
        <w:t>2</w:t>
      </w:r>
      <w:r w:rsidR="00D871E6">
        <w:rPr>
          <w:rFonts w:ascii="Times New Roman" w:eastAsia="Times New Roman" w:hAnsi="Times New Roman" w:cs="Times New Roman"/>
          <w:sz w:val="26"/>
          <w:szCs w:val="26"/>
        </w:rPr>
        <w:t xml:space="preserve"> </w:t>
      </w:r>
      <w:r w:rsidRPr="00F562A8">
        <w:rPr>
          <w:rFonts w:ascii="Times New Roman" w:eastAsia="Times New Roman" w:hAnsi="Times New Roman" w:cs="Times New Roman"/>
          <w:sz w:val="26"/>
          <w:szCs w:val="26"/>
          <w:lang w:eastAsia="ru-RU"/>
        </w:rPr>
        <w:t>- Значения t-критерия Стьюдента, средней ошибки аппроксимации, коэффициента детерминации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 xml:space="preserve"> и F-критерия Фишера</w:t>
      </w:r>
    </w:p>
    <w:p w14:paraId="5D5474D5" w14:textId="77777777"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Показатели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0C12E82C" w14:textId="77777777" w:rsidR="00CD6DDF" w:rsidRPr="00F562A8" w:rsidRDefault="00CD6DDF" w:rsidP="00CD6DDF">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4C619CD3" w14:textId="2E0D0B88" w:rsidR="00CD6DDF" w:rsidRDefault="00CD6DDF" w:rsidP="00CD6DD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 xml:space="preserve">равны: </w:t>
      </w:r>
    </w:p>
    <w:p w14:paraId="57CA375F" w14:textId="29B8C096" w:rsidR="00CD6DDF" w:rsidRPr="00F562A8" w:rsidRDefault="003B59C8" w:rsidP="00CD6DDF">
      <w:pPr>
        <w:spacing w:after="0" w:line="276" w:lineRule="auto"/>
        <w:jc w:val="center"/>
        <w:rPr>
          <w:rFonts w:ascii="Times New Roman" w:hAnsi="Times New Roman" w:cs="Times New Roman"/>
          <w:sz w:val="26"/>
          <w:szCs w:val="26"/>
          <w:lang w:val="en-US"/>
        </w:rPr>
      </w:pPr>
      <w:r w:rsidRPr="00027607">
        <w:rPr>
          <w:noProof/>
          <w:lang w:eastAsia="ru-RU"/>
        </w:rPr>
        <w:drawing>
          <wp:inline distT="0" distB="0" distL="0" distR="0" wp14:anchorId="5992612F" wp14:editId="5FA72163">
            <wp:extent cx="3019846" cy="1009791"/>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3019846" cy="1009791"/>
                    </a:xfrm>
                    <a:prstGeom prst="rect">
                      <a:avLst/>
                    </a:prstGeom>
                  </pic:spPr>
                </pic:pic>
              </a:graphicData>
            </a:graphic>
          </wp:inline>
        </w:drawing>
      </w:r>
    </w:p>
    <w:p w14:paraId="03BB26DC" w14:textId="10E2DB4B" w:rsidR="00CD6DDF" w:rsidRPr="00F562A8" w:rsidRDefault="00CD6DDF" w:rsidP="00CD6DDF">
      <w:pPr>
        <w:spacing w:after="120" w:line="276" w:lineRule="auto"/>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D871E6" w:rsidRPr="00F562A8">
        <w:rPr>
          <w:rFonts w:ascii="Times New Roman" w:eastAsia="Times New Roman" w:hAnsi="Times New Roman" w:cs="Times New Roman"/>
          <w:sz w:val="26"/>
          <w:szCs w:val="26"/>
        </w:rPr>
        <w:t>3.6.</w:t>
      </w:r>
      <w:r w:rsidR="00D871E6">
        <w:rPr>
          <w:rFonts w:ascii="Times New Roman" w:eastAsia="Times New Roman" w:hAnsi="Times New Roman" w:cs="Times New Roman"/>
          <w:sz w:val="26"/>
          <w:szCs w:val="26"/>
        </w:rPr>
        <w:t>5</w:t>
      </w:r>
      <w:r w:rsidR="00D871E6" w:rsidRPr="00F562A8">
        <w:rPr>
          <w:rFonts w:ascii="Times New Roman" w:eastAsia="Times New Roman" w:hAnsi="Times New Roman" w:cs="Times New Roman"/>
          <w:sz w:val="26"/>
          <w:szCs w:val="26"/>
        </w:rPr>
        <w:t>.2</w:t>
      </w:r>
      <w:r w:rsidR="00D871E6">
        <w:rPr>
          <w:rFonts w:ascii="Times New Roman" w:eastAsia="Times New Roman" w:hAnsi="Times New Roman" w:cs="Times New Roman"/>
          <w:sz w:val="26"/>
          <w:szCs w:val="26"/>
        </w:rPr>
        <w:t>.</w:t>
      </w:r>
      <w:r w:rsidR="00E65546">
        <w:rPr>
          <w:rFonts w:ascii="Times New Roman" w:eastAsia="Times New Roman" w:hAnsi="Times New Roman" w:cs="Times New Roman"/>
          <w:sz w:val="26"/>
          <w:szCs w:val="26"/>
        </w:rPr>
        <w:t>3</w:t>
      </w:r>
      <w:r w:rsidR="00D871E6">
        <w:rPr>
          <w:rFonts w:ascii="Times New Roman" w:eastAsia="Times New Roman" w:hAnsi="Times New Roman" w:cs="Times New Roman"/>
          <w:sz w:val="26"/>
          <w:szCs w:val="26"/>
        </w:rPr>
        <w:t xml:space="preserve"> </w:t>
      </w:r>
      <w:r w:rsidRPr="00F562A8">
        <w:rPr>
          <w:rFonts w:ascii="Times New Roman" w:hAnsi="Times New Roman" w:cs="Times New Roman"/>
          <w:sz w:val="26"/>
          <w:szCs w:val="26"/>
        </w:rPr>
        <w:t xml:space="preserve">- Значения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p>
    <w:p w14:paraId="3DCE7640" w14:textId="77777777" w:rsidR="00CD6DDF" w:rsidRPr="00F562A8" w:rsidRDefault="00CD6DDF" w:rsidP="00CD6DD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349B5529" w14:textId="101149A9" w:rsidR="00CD6DDF" w:rsidRPr="0014756B" w:rsidRDefault="00CD6DDF" w:rsidP="00CD6DDF">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i/>
          <w:sz w:val="26"/>
          <w:szCs w:val="26"/>
        </w:rPr>
        <w:t xml:space="preserve">УПКС = </w:t>
      </w:r>
      <w:r w:rsidR="00E86C86" w:rsidRPr="00E86C86">
        <w:rPr>
          <w:rFonts w:ascii="Times New Roman" w:hAnsi="Times New Roman" w:cs="Times New Roman"/>
          <w:i/>
          <w:sz w:val="26"/>
          <w:szCs w:val="26"/>
        </w:rPr>
        <w:t>2407.96474331761*e^(+0.000214289368162884*((4943.943+-1349.62-гнп Расстояние объекта до центра населенного пункта))</w:t>
      </w:r>
      <w:r w:rsidR="00E86C86">
        <w:rPr>
          <w:rFonts w:ascii="Times New Roman" w:hAnsi="Times New Roman" w:cs="Times New Roman"/>
          <w:i/>
          <w:sz w:val="26"/>
          <w:szCs w:val="26"/>
        </w:rPr>
        <w:t xml:space="preserve"> </w:t>
      </w:r>
      <w:r w:rsidR="00E86C86" w:rsidRPr="00E86C86">
        <w:rPr>
          <w:rFonts w:ascii="Times New Roman" w:hAnsi="Times New Roman" w:cs="Times New Roman"/>
          <w:i/>
          <w:sz w:val="26"/>
          <w:szCs w:val="26"/>
        </w:rPr>
        <w:t>+0.00000521491134212624*__Численность населения в населенном пункте)</w:t>
      </w:r>
    </w:p>
    <w:p w14:paraId="461ECC8D" w14:textId="77777777" w:rsidR="00CD6DDF" w:rsidRPr="00F562A8" w:rsidRDefault="00CD6DDF" w:rsidP="00CD6DD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269A2214" w14:textId="2C7AE312" w:rsidR="00CD6DDF" w:rsidRPr="00F562A8" w:rsidRDefault="00E86C86" w:rsidP="00CD6DDF">
      <w:pPr>
        <w:spacing w:after="0" w:line="276" w:lineRule="auto"/>
        <w:rPr>
          <w:rFonts w:ascii="Times New Roman" w:hAnsi="Times New Roman" w:cs="Times New Roman"/>
          <w:sz w:val="24"/>
        </w:rPr>
      </w:pPr>
      <w:r w:rsidRPr="00197C3E">
        <w:rPr>
          <w:noProof/>
          <w:lang w:eastAsia="ru-RU"/>
        </w:rPr>
        <w:drawing>
          <wp:inline distT="0" distB="0" distL="0" distR="0" wp14:anchorId="65692B0D" wp14:editId="16113069">
            <wp:extent cx="5939790" cy="3113072"/>
            <wp:effectExtent l="0" t="0" r="381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939790" cy="3113072"/>
                    </a:xfrm>
                    <a:prstGeom prst="rect">
                      <a:avLst/>
                    </a:prstGeom>
                  </pic:spPr>
                </pic:pic>
              </a:graphicData>
            </a:graphic>
          </wp:inline>
        </w:drawing>
      </w:r>
    </w:p>
    <w:p w14:paraId="021A1F7A" w14:textId="2344CE03" w:rsidR="00CD6DDF" w:rsidRPr="00F562A8" w:rsidRDefault="00CD6DDF" w:rsidP="00CD6DDF">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D871E6" w:rsidRPr="00F562A8">
        <w:rPr>
          <w:rFonts w:ascii="Times New Roman" w:eastAsia="Times New Roman" w:hAnsi="Times New Roman" w:cs="Times New Roman"/>
          <w:sz w:val="26"/>
          <w:szCs w:val="26"/>
        </w:rPr>
        <w:t>3.6.</w:t>
      </w:r>
      <w:r w:rsidR="00D871E6">
        <w:rPr>
          <w:rFonts w:ascii="Times New Roman" w:eastAsia="Times New Roman" w:hAnsi="Times New Roman" w:cs="Times New Roman"/>
          <w:sz w:val="26"/>
          <w:szCs w:val="26"/>
        </w:rPr>
        <w:t>5</w:t>
      </w:r>
      <w:r w:rsidR="00D871E6" w:rsidRPr="00F562A8">
        <w:rPr>
          <w:rFonts w:ascii="Times New Roman" w:eastAsia="Times New Roman" w:hAnsi="Times New Roman" w:cs="Times New Roman"/>
          <w:sz w:val="26"/>
          <w:szCs w:val="26"/>
        </w:rPr>
        <w:t>.2</w:t>
      </w:r>
      <w:r w:rsidR="00D871E6">
        <w:rPr>
          <w:rFonts w:ascii="Times New Roman" w:eastAsia="Times New Roman" w:hAnsi="Times New Roman" w:cs="Times New Roman"/>
          <w:sz w:val="26"/>
          <w:szCs w:val="26"/>
        </w:rPr>
        <w:t>.</w:t>
      </w:r>
      <w:r w:rsidR="00E65546">
        <w:rPr>
          <w:rFonts w:ascii="Times New Roman" w:eastAsia="Times New Roman" w:hAnsi="Times New Roman" w:cs="Times New Roman"/>
          <w:sz w:val="26"/>
          <w:szCs w:val="26"/>
        </w:rPr>
        <w:t>4</w:t>
      </w:r>
      <w:r w:rsidR="00D871E6">
        <w:rPr>
          <w:rFonts w:ascii="Times New Roman" w:eastAsia="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3F36465D" w14:textId="77777777" w:rsidR="00CD6DDF" w:rsidRPr="00F562A8" w:rsidRDefault="00CD6DDF" w:rsidP="00CD6DD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фактором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 xml:space="preserve"> и кадастровой стоимостью обратная, то есть при росте этого фактора кадастровая стоимость уменьшается. Влияние фактора Х</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xml:space="preserve"> на кадастровую стоимость прямое и с ростом фактора кадастровая стоимость растет.</w:t>
      </w:r>
      <w:r w:rsidRPr="00F562A8">
        <w:rPr>
          <w:rFonts w:ascii="Times New Roman" w:hAnsi="Times New Roman" w:cs="Times New Roman"/>
          <w:sz w:val="28"/>
          <w:szCs w:val="24"/>
        </w:rPr>
        <w:t xml:space="preserve"> </w:t>
      </w:r>
      <w:r w:rsidRPr="00F562A8">
        <w:rPr>
          <w:rFonts w:ascii="Times New Roman" w:hAnsi="Times New Roman" w:cs="Times New Roman"/>
          <w:sz w:val="26"/>
          <w:szCs w:val="26"/>
        </w:rPr>
        <w:t>Малые значения средней ошибки аппроксимации и среднеквадратической ошибки оценки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20363CB9" w14:textId="7C5E8970" w:rsidR="00CD6DDF" w:rsidRDefault="007C6B81" w:rsidP="00CD6DDF">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0C064D26" w14:textId="59A3580D" w:rsidR="00FC6743" w:rsidRDefault="00FC6743" w:rsidP="006F6435">
      <w:pPr>
        <w:spacing w:line="276" w:lineRule="auto"/>
        <w:ind w:firstLine="709"/>
        <w:jc w:val="center"/>
        <w:rPr>
          <w:rFonts w:ascii="Times New Roman" w:eastAsiaTheme="minorEastAsia" w:hAnsi="Times New Roman" w:cs="Times New Roman"/>
          <w:i/>
          <w:sz w:val="16"/>
          <w:szCs w:val="16"/>
        </w:rPr>
      </w:pPr>
    </w:p>
    <w:p w14:paraId="4D1144B3" w14:textId="3DC68FDB" w:rsidR="00306BF5" w:rsidRPr="007E23C5" w:rsidRDefault="00B15076" w:rsidP="002D4BEA">
      <w:pPr>
        <w:pStyle w:val="ab"/>
        <w:ind w:left="0"/>
        <w:jc w:val="center"/>
        <w:outlineLvl w:val="2"/>
        <w:rPr>
          <w:rFonts w:ascii="Times New Roman" w:hAnsi="Times New Roman" w:cs="Times New Roman"/>
          <w:i/>
          <w:sz w:val="26"/>
          <w:szCs w:val="26"/>
        </w:rPr>
      </w:pPr>
      <w:bookmarkStart w:id="236" w:name="_Toc110506984"/>
      <w:r w:rsidRPr="007E23C5">
        <w:rPr>
          <w:rFonts w:ascii="Times New Roman" w:hAnsi="Times New Roman" w:cs="Times New Roman"/>
          <w:i/>
          <w:sz w:val="26"/>
          <w:szCs w:val="26"/>
        </w:rPr>
        <w:t xml:space="preserve">3.6.5.3. </w:t>
      </w:r>
      <w:r w:rsidR="00306BF5" w:rsidRPr="007E23C5">
        <w:rPr>
          <w:rFonts w:ascii="Times New Roman" w:hAnsi="Times New Roman" w:cs="Times New Roman"/>
          <w:i/>
          <w:sz w:val="26"/>
          <w:szCs w:val="26"/>
        </w:rPr>
        <w:t xml:space="preserve">Расчет кадастровой стоимости земельных участков группы </w:t>
      </w:r>
      <w:r w:rsidR="008440F2" w:rsidRPr="007E23C5">
        <w:rPr>
          <w:rFonts w:ascii="Times New Roman" w:hAnsi="Times New Roman" w:cs="Times New Roman"/>
          <w:i/>
          <w:sz w:val="26"/>
          <w:szCs w:val="26"/>
        </w:rPr>
        <w:t>ГОСТИНИЦЫ/СНП</w:t>
      </w:r>
      <w:bookmarkEnd w:id="236"/>
    </w:p>
    <w:p w14:paraId="1A054583" w14:textId="57A35D2B" w:rsidR="008440F2" w:rsidRPr="00F562A8" w:rsidRDefault="008440F2" w:rsidP="002D4540">
      <w:pPr>
        <w:spacing w:after="0" w:line="276" w:lineRule="auto"/>
        <w:ind w:firstLine="709"/>
        <w:jc w:val="both"/>
        <w:rPr>
          <w:rFonts w:ascii="Times New Roman" w:eastAsiaTheme="minorEastAsia" w:hAnsi="Times New Roman" w:cs="Times New Roman"/>
          <w:sz w:val="26"/>
          <w:szCs w:val="26"/>
        </w:rPr>
      </w:pPr>
      <w:r w:rsidRPr="007E23C5">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24282DA1" w14:textId="123AE848" w:rsidR="002D4540" w:rsidRDefault="002D4540" w:rsidP="002D4540">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DF479E">
        <w:rPr>
          <w:rFonts w:ascii="Times New Roman" w:hAnsi="Times New Roman" w:cs="Times New Roman"/>
          <w:sz w:val="26"/>
          <w:szCs w:val="26"/>
        </w:rPr>
        <w:t>ГОСТИНИЦЫ/</w:t>
      </w:r>
      <w:r>
        <w:rPr>
          <w:rFonts w:ascii="Times New Roman" w:hAnsi="Times New Roman" w:cs="Times New Roman"/>
          <w:sz w:val="26"/>
          <w:szCs w:val="26"/>
        </w:rPr>
        <w:t>СНП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DF479E">
        <w:rPr>
          <w:rFonts w:ascii="Times New Roman" w:hAnsi="Times New Roman" w:cs="Times New Roman"/>
          <w:sz w:val="26"/>
          <w:szCs w:val="26"/>
        </w:rPr>
        <w:t xml:space="preserve"> 04:070, 04:097</w:t>
      </w:r>
      <w:r>
        <w:rPr>
          <w:rFonts w:ascii="Times New Roman" w:hAnsi="Times New Roman" w:cs="Times New Roman"/>
          <w:sz w:val="26"/>
          <w:szCs w:val="26"/>
        </w:rPr>
        <w:t>.</w:t>
      </w:r>
    </w:p>
    <w:p w14:paraId="574869D0" w14:textId="6140ED71" w:rsidR="008440F2" w:rsidRPr="00F562A8" w:rsidRDefault="008440F2" w:rsidP="008440F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Pr="008440F2">
        <w:rPr>
          <w:rFonts w:ascii="Times New Roman" w:hAnsi="Times New Roman" w:cs="Times New Roman"/>
          <w:sz w:val="26"/>
          <w:szCs w:val="26"/>
        </w:rPr>
        <w:t>ГОСТИНИЦЫ/СНП</w:t>
      </w:r>
      <w:r>
        <w:rPr>
          <w:rFonts w:ascii="Times New Roman" w:hAnsi="Times New Roman" w:cs="Times New Roman"/>
          <w:sz w:val="26"/>
          <w:szCs w:val="26"/>
        </w:rPr>
        <w:t xml:space="preserve">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10102562" w14:textId="52DBCC8F"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Согласно п.</w:t>
      </w:r>
      <w:r w:rsidR="00615491">
        <w:rPr>
          <w:rFonts w:ascii="Times New Roman" w:eastAsia="Times New Roman" w:hAnsi="Times New Roman" w:cs="Times New Roman"/>
          <w:sz w:val="26"/>
          <w:szCs w:val="26"/>
          <w:lang w:eastAsia="ru-RU"/>
        </w:rPr>
        <w:t>45.1.1</w:t>
      </w:r>
      <w:r w:rsidRPr="00F562A8">
        <w:rPr>
          <w:rFonts w:ascii="Times New Roman" w:eastAsia="Times New Roman" w:hAnsi="Times New Roman" w:cs="Times New Roman"/>
          <w:sz w:val="26"/>
          <w:szCs w:val="26"/>
          <w:lang w:eastAsia="ru-RU"/>
        </w:rPr>
        <w:t xml:space="preserve">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5676EBC1"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Порядок подготовки и построения модели оценки кадастровой стоимости включает:</w:t>
      </w:r>
    </w:p>
    <w:p w14:paraId="2B3F2C12"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1) определение перечня ценообразующих факторов, описывающих влияние местоположения объектов недвижимости как составного фактора;</w:t>
      </w:r>
    </w:p>
    <w:p w14:paraId="318A8A07"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2) определение состава ценообразующих факторов, включаемых в статистическую модель, с учетом местоположения объектов недвижимости;</w:t>
      </w:r>
    </w:p>
    <w:p w14:paraId="2ADE0011"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3) определение общего вида функций, связывающих зависимую переменную с каждым из ценообразующих факторов;</w:t>
      </w:r>
    </w:p>
    <w:p w14:paraId="21B557A1"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44EF91F5"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5) анализ показателей качества статистической модели.</w:t>
      </w:r>
    </w:p>
    <w:p w14:paraId="243B3A39" w14:textId="2FBB281B" w:rsidR="00DC7772" w:rsidRDefault="008440F2" w:rsidP="003016A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w:t>
      </w:r>
      <w:r>
        <w:rPr>
          <w:rFonts w:ascii="Times New Roman" w:hAnsi="Times New Roman" w:cs="Times New Roman"/>
          <w:sz w:val="26"/>
          <w:szCs w:val="26"/>
        </w:rPr>
        <w:t>сельских</w:t>
      </w:r>
      <w:r w:rsidRPr="00F562A8">
        <w:rPr>
          <w:rFonts w:ascii="Times New Roman" w:hAnsi="Times New Roman" w:cs="Times New Roman"/>
          <w:sz w:val="26"/>
          <w:szCs w:val="26"/>
        </w:rPr>
        <w:t xml:space="preserve"> населенных пунктах Воронежской области,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3016A0" w:rsidRPr="00F562A8">
        <w:rPr>
          <w:rFonts w:ascii="Times New Roman" w:hAnsi="Times New Roman" w:cs="Times New Roman"/>
          <w:sz w:val="26"/>
          <w:szCs w:val="26"/>
        </w:rPr>
        <w:t>представлены в таблиц</w:t>
      </w:r>
      <w:r w:rsidR="003016A0">
        <w:rPr>
          <w:rFonts w:ascii="Times New Roman" w:hAnsi="Times New Roman" w:cs="Times New Roman"/>
          <w:sz w:val="26"/>
          <w:szCs w:val="26"/>
        </w:rPr>
        <w:t>ах</w:t>
      </w:r>
      <w:r w:rsidR="003016A0" w:rsidRPr="00F562A8">
        <w:rPr>
          <w:rFonts w:ascii="Times New Roman" w:hAnsi="Times New Roman" w:cs="Times New Roman"/>
          <w:sz w:val="26"/>
          <w:szCs w:val="26"/>
        </w:rPr>
        <w:t xml:space="preserve"> </w:t>
      </w:r>
      <w:r w:rsidR="003016A0" w:rsidRPr="00F562A8">
        <w:rPr>
          <w:rFonts w:ascii="Times New Roman" w:eastAsia="Times New Roman" w:hAnsi="Times New Roman" w:cs="Times New Roman"/>
          <w:sz w:val="26"/>
          <w:szCs w:val="26"/>
        </w:rPr>
        <w:t>3.</w:t>
      </w:r>
      <w:r w:rsidR="003016A0">
        <w:rPr>
          <w:rFonts w:ascii="Times New Roman" w:eastAsia="Times New Roman" w:hAnsi="Times New Roman" w:cs="Times New Roman"/>
          <w:sz w:val="26"/>
          <w:szCs w:val="26"/>
        </w:rPr>
        <w:t>4 и 3.5, пунктов 3.4 и 3.5 соответственно</w:t>
      </w:r>
      <w:r w:rsidR="003016A0" w:rsidRPr="00F562A8">
        <w:rPr>
          <w:rFonts w:ascii="Times New Roman" w:hAnsi="Times New Roman" w:cs="Times New Roman"/>
          <w:sz w:val="26"/>
          <w:szCs w:val="26"/>
        </w:rPr>
        <w:t>.</w:t>
      </w:r>
      <w:r w:rsidR="003016A0">
        <w:rPr>
          <w:rFonts w:ascii="Times New Roman" w:hAnsi="Times New Roman" w:cs="Times New Roman"/>
          <w:sz w:val="26"/>
          <w:szCs w:val="26"/>
        </w:rPr>
        <w:t xml:space="preserve"> </w:t>
      </w:r>
    </w:p>
    <w:p w14:paraId="5DC4752C" w14:textId="6523A9F0" w:rsidR="008440F2" w:rsidRPr="00F562A8" w:rsidRDefault="008440F2" w:rsidP="008440F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54D007E1" w14:textId="77777777" w:rsidR="008440F2" w:rsidRPr="00F562A8" w:rsidRDefault="008440F2" w:rsidP="008440F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4BCB2172" w14:textId="3A833C7B" w:rsidR="008440F2" w:rsidRPr="00F562A8" w:rsidRDefault="008440F2" w:rsidP="008440F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0756E9">
        <w:rPr>
          <w:rFonts w:ascii="Times New Roman" w:hAnsi="Times New Roman" w:cs="Times New Roman"/>
          <w:sz w:val="26"/>
          <w:szCs w:val="26"/>
        </w:rPr>
        <w:t>3</w:t>
      </w:r>
      <w:r w:rsidRPr="00F562A8">
        <w:rPr>
          <w:rFonts w:ascii="Times New Roman" w:hAnsi="Times New Roman" w:cs="Times New Roman"/>
          <w:sz w:val="26"/>
          <w:szCs w:val="26"/>
        </w:rPr>
        <w:t>:</w:t>
      </w:r>
    </w:p>
    <w:p w14:paraId="4ACF0308" w14:textId="3AD3B001" w:rsidR="008440F2" w:rsidRPr="00F562A8" w:rsidRDefault="008440F2" w:rsidP="008440F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р</w:t>
      </w:r>
      <w:r w:rsidRPr="00585D80">
        <w:rPr>
          <w:rFonts w:ascii="Times New Roman" w:hAnsi="Times New Roman" w:cs="Times New Roman"/>
          <w:sz w:val="26"/>
          <w:szCs w:val="26"/>
        </w:rPr>
        <w:t>асстояние от населенного пункта до центра субъекта РФ (г. Воронеж)</w:t>
      </w:r>
      <w:r w:rsidRPr="00F562A8">
        <w:rPr>
          <w:rFonts w:ascii="Times New Roman" w:hAnsi="Times New Roman" w:cs="Times New Roman"/>
          <w:sz w:val="26"/>
          <w:szCs w:val="26"/>
        </w:rPr>
        <w:t>: Х</w:t>
      </w:r>
      <w:r w:rsidR="000756E9">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02B423F9" w14:textId="7EDBB5ED" w:rsidR="008440F2" w:rsidRDefault="008440F2" w:rsidP="008440F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7E48B4">
        <w:rPr>
          <w:rFonts w:ascii="Times New Roman" w:hAnsi="Times New Roman" w:cs="Times New Roman"/>
          <w:sz w:val="26"/>
          <w:szCs w:val="26"/>
        </w:rPr>
        <w:t>н</w:t>
      </w:r>
      <w:r w:rsidR="000756E9" w:rsidRPr="007E48B4">
        <w:rPr>
          <w:rFonts w:ascii="Times New Roman" w:hAnsi="Times New Roman" w:cs="Times New Roman"/>
          <w:sz w:val="26"/>
          <w:szCs w:val="26"/>
        </w:rPr>
        <w:t>аличие центральной канализации</w:t>
      </w:r>
      <w:r w:rsidRPr="00F562A8">
        <w:rPr>
          <w:rFonts w:ascii="Times New Roman" w:hAnsi="Times New Roman" w:cs="Times New Roman"/>
          <w:sz w:val="26"/>
          <w:szCs w:val="26"/>
        </w:rPr>
        <w:t>: Х</w:t>
      </w:r>
      <w:r w:rsidR="000756E9">
        <w:rPr>
          <w:rFonts w:ascii="Times New Roman" w:hAnsi="Times New Roman" w:cs="Times New Roman"/>
          <w:sz w:val="26"/>
          <w:szCs w:val="26"/>
          <w:vertAlign w:val="subscript"/>
        </w:rPr>
        <w:t>1</w:t>
      </w:r>
      <w:r w:rsidRPr="00F562A8">
        <w:rPr>
          <w:rFonts w:ascii="Times New Roman" w:hAnsi="Times New Roman" w:cs="Times New Roman"/>
          <w:sz w:val="26"/>
          <w:szCs w:val="26"/>
        </w:rPr>
        <w:t>;</w:t>
      </w:r>
    </w:p>
    <w:p w14:paraId="688D894D" w14:textId="24AF4B9C" w:rsidR="000756E9" w:rsidRPr="00F562A8" w:rsidRDefault="000756E9" w:rsidP="000756E9">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w:t>
      </w:r>
      <w:r w:rsidR="007E48B4">
        <w:rPr>
          <w:rFonts w:ascii="Times New Roman" w:hAnsi="Times New Roman" w:cs="Times New Roman"/>
          <w:sz w:val="26"/>
          <w:szCs w:val="26"/>
        </w:rPr>
        <w:t xml:space="preserve"> р</w:t>
      </w:r>
      <w:r w:rsidRPr="000756E9">
        <w:rPr>
          <w:rFonts w:ascii="Times New Roman" w:hAnsi="Times New Roman" w:cs="Times New Roman"/>
          <w:sz w:val="26"/>
          <w:szCs w:val="26"/>
        </w:rPr>
        <w:t>асстояние до ближайшей к населенному пункту дороги федерального значения</w:t>
      </w:r>
      <w:r w:rsidRPr="00F562A8">
        <w:rPr>
          <w:rFonts w:ascii="Times New Roman" w:hAnsi="Times New Roman" w:cs="Times New Roman"/>
          <w:sz w:val="26"/>
          <w:szCs w:val="26"/>
        </w:rPr>
        <w:t>: Х</w:t>
      </w:r>
      <w:r>
        <w:rPr>
          <w:rFonts w:ascii="Times New Roman" w:hAnsi="Times New Roman" w:cs="Times New Roman"/>
          <w:sz w:val="26"/>
          <w:szCs w:val="26"/>
          <w:vertAlign w:val="subscript"/>
        </w:rPr>
        <w:t>2</w:t>
      </w:r>
      <w:r w:rsidRPr="00F562A8">
        <w:rPr>
          <w:rFonts w:ascii="Times New Roman" w:hAnsi="Times New Roman" w:cs="Times New Roman"/>
          <w:sz w:val="26"/>
          <w:szCs w:val="26"/>
        </w:rPr>
        <w:t>;</w:t>
      </w:r>
    </w:p>
    <w:p w14:paraId="53D4C7AB" w14:textId="77777777" w:rsidR="008440F2" w:rsidRPr="00F562A8" w:rsidRDefault="008440F2" w:rsidP="008440F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24FCDE84" w14:textId="77777777" w:rsidR="008440F2" w:rsidRPr="00F562A8" w:rsidRDefault="008440F2" w:rsidP="008440F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13F12DF2" w14:textId="7EC10D5C" w:rsidR="008440F2" w:rsidRPr="00F562A8" w:rsidRDefault="008440F2" w:rsidP="008440F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0E3BBF">
        <w:rPr>
          <w:rFonts w:ascii="Times New Roman" w:hAnsi="Times New Roman" w:cs="Times New Roman"/>
          <w:sz w:val="26"/>
          <w:szCs w:val="26"/>
        </w:rPr>
        <w:t>трех</w:t>
      </w:r>
      <w:r w:rsidRPr="00F562A8">
        <w:rPr>
          <w:rFonts w:ascii="Times New Roman" w:hAnsi="Times New Roman" w:cs="Times New Roman"/>
          <w:sz w:val="26"/>
          <w:szCs w:val="26"/>
        </w:rPr>
        <w:t>хфакторные модели:</w:t>
      </w:r>
    </w:p>
    <w:p w14:paraId="267C550A" w14:textId="77777777" w:rsidR="008440F2" w:rsidRPr="00F562A8" w:rsidRDefault="008440F2" w:rsidP="008440F2">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66971DB4" wp14:editId="4E5B734F">
            <wp:extent cx="2209800" cy="247650"/>
            <wp:effectExtent l="0" t="0" r="0" b="0"/>
            <wp:docPr id="642" name="Рисунок 642"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0AD715FC" w14:textId="77777777" w:rsidR="008440F2" w:rsidRPr="00F562A8" w:rsidRDefault="008440F2" w:rsidP="008440F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25636D46" wp14:editId="7263EC85">
            <wp:extent cx="1352550" cy="266700"/>
            <wp:effectExtent l="0" t="0" r="0" b="0"/>
            <wp:docPr id="643" name="Рисунок 643"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7873249C" w14:textId="77777777" w:rsidR="008440F2" w:rsidRPr="00F562A8" w:rsidRDefault="008440F2" w:rsidP="008440F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7E759F33" wp14:editId="01697585">
            <wp:extent cx="1266825" cy="266700"/>
            <wp:effectExtent l="0" t="0" r="0" b="0"/>
            <wp:docPr id="644" name="Рисунок 644"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74505A1F" w14:textId="77777777" w:rsidR="008440F2" w:rsidRPr="00F562A8" w:rsidRDefault="008440F2" w:rsidP="008440F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499E555E"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X</w:t>
      </w:r>
      <w:r w:rsidRPr="00F562A8">
        <w:rPr>
          <w:rFonts w:ascii="Times New Roman" w:eastAsia="Times New Roman" w:hAnsi="Times New Roman" w:cs="Times New Roman"/>
          <w:sz w:val="26"/>
          <w:szCs w:val="26"/>
          <w:vertAlign w:val="subscript"/>
          <w:lang w:eastAsia="ru-RU"/>
        </w:rPr>
        <w:t>1</w:t>
      </w:r>
      <w:r w:rsidRPr="00F562A8">
        <w:rPr>
          <w:rFonts w:ascii="Times New Roman" w:eastAsia="Times New Roman" w:hAnsi="Times New Roman" w:cs="Times New Roman"/>
          <w:sz w:val="26"/>
          <w:szCs w:val="26"/>
          <w:lang w:eastAsia="ru-RU"/>
        </w:rPr>
        <w:t>, ..., X</w:t>
      </w:r>
      <w:r w:rsidRPr="00F562A8">
        <w:rPr>
          <w:rFonts w:ascii="Times New Roman" w:eastAsia="Times New Roman" w:hAnsi="Times New Roman" w:cs="Times New Roman"/>
          <w:sz w:val="26"/>
          <w:szCs w:val="26"/>
          <w:vertAlign w:val="subscript"/>
          <w:lang w:eastAsia="ru-RU"/>
        </w:rPr>
        <w:t>n</w:t>
      </w:r>
      <w:r w:rsidRPr="00F562A8">
        <w:rPr>
          <w:rFonts w:ascii="Times New Roman" w:eastAsia="Times New Roman" w:hAnsi="Times New Roman" w:cs="Times New Roman"/>
          <w:sz w:val="26"/>
          <w:szCs w:val="26"/>
          <w:lang w:eastAsia="ru-RU"/>
        </w:rPr>
        <w:t xml:space="preserve"> - ценообразующие факторы объектов недвижимости;</w:t>
      </w:r>
    </w:p>
    <w:p w14:paraId="5A3DC599"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noProof/>
          <w:position w:val="-8"/>
          <w:sz w:val="26"/>
          <w:szCs w:val="26"/>
          <w:lang w:eastAsia="ru-RU"/>
        </w:rPr>
        <w:drawing>
          <wp:inline distT="0" distB="0" distL="0" distR="0" wp14:anchorId="45CE2AE2" wp14:editId="11500975">
            <wp:extent cx="209550" cy="247650"/>
            <wp:effectExtent l="0" t="0" r="0" b="0"/>
            <wp:docPr id="645" name="Рисунок 645"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w:t>
      </w:r>
      <w:r w:rsidRPr="00F562A8">
        <w:rPr>
          <w:rFonts w:ascii="Times New Roman" w:eastAsia="Times New Roman" w:hAnsi="Times New Roman" w:cs="Times New Roman"/>
          <w:noProof/>
          <w:position w:val="-8"/>
          <w:sz w:val="26"/>
          <w:szCs w:val="26"/>
          <w:lang w:eastAsia="ru-RU"/>
        </w:rPr>
        <w:drawing>
          <wp:inline distT="0" distB="0" distL="0" distR="0" wp14:anchorId="468774EB" wp14:editId="559D23AD">
            <wp:extent cx="200025" cy="247650"/>
            <wp:effectExtent l="0" t="0" r="9525" b="0"/>
            <wp:docPr id="646" name="Рисунок 646"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 </w:t>
      </w:r>
      <w:r w:rsidRPr="00F562A8">
        <w:rPr>
          <w:rFonts w:ascii="Times New Roman" w:eastAsia="Times New Roman" w:hAnsi="Times New Roman" w:cs="Times New Roman"/>
          <w:noProof/>
          <w:position w:val="-8"/>
          <w:sz w:val="26"/>
          <w:szCs w:val="26"/>
          <w:lang w:eastAsia="ru-RU"/>
        </w:rPr>
        <w:drawing>
          <wp:inline distT="0" distB="0" distL="0" distR="0" wp14:anchorId="086E888E" wp14:editId="137967DC">
            <wp:extent cx="209550" cy="247650"/>
            <wp:effectExtent l="0" t="0" r="0" b="0"/>
            <wp:docPr id="647" name="Рисунок 647"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 коэффициенты модели.</w:t>
      </w:r>
    </w:p>
    <w:p w14:paraId="0ED25F3E" w14:textId="5DDC6868" w:rsidR="008440F2" w:rsidRPr="00F562A8" w:rsidRDefault="000B3CE4" w:rsidP="008440F2">
      <w:pPr>
        <w:spacing w:after="0" w:line="276" w:lineRule="auto"/>
        <w:jc w:val="center"/>
        <w:rPr>
          <w:rFonts w:ascii="Times New Roman" w:hAnsi="Times New Roman" w:cs="Times New Roman"/>
          <w:sz w:val="24"/>
          <w:lang w:val="en-US"/>
        </w:rPr>
      </w:pPr>
      <w:r w:rsidRPr="00FA36DD">
        <w:rPr>
          <w:noProof/>
          <w:lang w:eastAsia="ru-RU"/>
        </w:rPr>
        <w:drawing>
          <wp:inline distT="0" distB="0" distL="0" distR="0" wp14:anchorId="1B20ECCE" wp14:editId="33ABB8C7">
            <wp:extent cx="5939790" cy="893349"/>
            <wp:effectExtent l="0" t="0" r="3810" b="254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5939790" cy="893349"/>
                    </a:xfrm>
                    <a:prstGeom prst="rect">
                      <a:avLst/>
                    </a:prstGeom>
                  </pic:spPr>
                </pic:pic>
              </a:graphicData>
            </a:graphic>
          </wp:inline>
        </w:drawing>
      </w:r>
    </w:p>
    <w:p w14:paraId="379C8D23" w14:textId="4E26CF05" w:rsidR="008440F2" w:rsidRPr="00F562A8" w:rsidRDefault="008440F2" w:rsidP="008440F2">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2D4540" w:rsidRPr="00F562A8">
        <w:rPr>
          <w:rFonts w:ascii="Times New Roman" w:eastAsia="Times New Roman" w:hAnsi="Times New Roman" w:cs="Times New Roman"/>
          <w:sz w:val="26"/>
          <w:szCs w:val="26"/>
        </w:rPr>
        <w:t>3.6.</w:t>
      </w:r>
      <w:r w:rsidR="002D4540">
        <w:rPr>
          <w:rFonts w:ascii="Times New Roman" w:eastAsia="Times New Roman" w:hAnsi="Times New Roman" w:cs="Times New Roman"/>
          <w:sz w:val="26"/>
          <w:szCs w:val="26"/>
        </w:rPr>
        <w:t>5</w:t>
      </w:r>
      <w:r w:rsidR="002D4540" w:rsidRPr="00F562A8">
        <w:rPr>
          <w:rFonts w:ascii="Times New Roman" w:eastAsia="Times New Roman" w:hAnsi="Times New Roman" w:cs="Times New Roman"/>
          <w:sz w:val="26"/>
          <w:szCs w:val="26"/>
        </w:rPr>
        <w:t>.</w:t>
      </w:r>
      <w:r w:rsidR="002D4540">
        <w:rPr>
          <w:rFonts w:ascii="Times New Roman" w:eastAsia="Times New Roman" w:hAnsi="Times New Roman" w:cs="Times New Roman"/>
          <w:sz w:val="26"/>
          <w:szCs w:val="26"/>
        </w:rPr>
        <w:t>3.</w:t>
      </w:r>
      <w:r w:rsidR="00E65546">
        <w:rPr>
          <w:rFonts w:ascii="Times New Roman" w:eastAsia="Times New Roman" w:hAnsi="Times New Roman" w:cs="Times New Roman"/>
          <w:sz w:val="26"/>
          <w:szCs w:val="26"/>
        </w:rPr>
        <w:t>1</w:t>
      </w:r>
      <w:r w:rsidR="002D4540">
        <w:rPr>
          <w:rFonts w:ascii="Times New Roman" w:eastAsia="Times New Roman" w:hAnsi="Times New Roman" w:cs="Times New Roman"/>
          <w:sz w:val="26"/>
          <w:szCs w:val="26"/>
        </w:rPr>
        <w:t xml:space="preserve"> </w:t>
      </w:r>
      <w:r w:rsidRPr="00F562A8">
        <w:rPr>
          <w:rFonts w:ascii="Times New Roman" w:hAnsi="Times New Roman" w:cs="Times New Roman"/>
          <w:sz w:val="26"/>
          <w:szCs w:val="26"/>
        </w:rPr>
        <w:t xml:space="preserve">- Множественные регрессионные </w:t>
      </w:r>
      <w:r w:rsidR="000E3BBF">
        <w:rPr>
          <w:rFonts w:ascii="Times New Roman" w:hAnsi="Times New Roman" w:cs="Times New Roman"/>
          <w:sz w:val="26"/>
          <w:szCs w:val="26"/>
        </w:rPr>
        <w:t>тре</w:t>
      </w:r>
      <w:r w:rsidRPr="00F562A8">
        <w:rPr>
          <w:rFonts w:ascii="Times New Roman" w:hAnsi="Times New Roman" w:cs="Times New Roman"/>
          <w:sz w:val="26"/>
          <w:szCs w:val="26"/>
        </w:rPr>
        <w:t>хфакторные модели</w:t>
      </w:r>
    </w:p>
    <w:p w14:paraId="0BDF59B9" w14:textId="3BA61D98"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Согласно п.</w:t>
      </w:r>
      <w:r w:rsidR="00B11E8D">
        <w:rPr>
          <w:rFonts w:ascii="Times New Roman" w:eastAsia="Times New Roman" w:hAnsi="Times New Roman" w:cs="Times New Roman"/>
          <w:sz w:val="26"/>
          <w:szCs w:val="26"/>
          <w:lang w:eastAsia="ru-RU"/>
        </w:rPr>
        <w:t>45.1.2</w:t>
      </w:r>
      <w:r w:rsidRPr="00F562A8">
        <w:rPr>
          <w:rFonts w:ascii="Times New Roman" w:eastAsia="Times New Roman" w:hAnsi="Times New Roman" w:cs="Times New Roman"/>
          <w:sz w:val="26"/>
          <w:szCs w:val="26"/>
          <w:lang w:eastAsia="ru-RU"/>
        </w:rPr>
        <w:t xml:space="preserve"> Указаний, анализ качества статистической модели включает в себя комплекс процедур, предусматривающий проверки, в том числе:</w:t>
      </w:r>
    </w:p>
    <w:p w14:paraId="1281D82A"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1A4E8173"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обоснованности знаков при коэффициентах статистического уравнения, то есть их соответствия характеру влияния ценообразующих факторов;</w:t>
      </w:r>
    </w:p>
    <w:p w14:paraId="50C8E979"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46B1B8D9"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t-критерию Стьюдента проверки значимости параметров моделей;</w:t>
      </w:r>
    </w:p>
    <w:p w14:paraId="2B0D3A45"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средней ошибке аппроксимации;</w:t>
      </w:r>
    </w:p>
    <w:p w14:paraId="35812FF3"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коэффициенту детерминации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w:t>
      </w:r>
    </w:p>
    <w:p w14:paraId="381950AC"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расчетному значению F-критерия Фишера, обосновывающего адекватность регрессионной модели.</w:t>
      </w:r>
    </w:p>
    <w:p w14:paraId="3E38B6B1" w14:textId="4F771E09" w:rsidR="008440F2" w:rsidRPr="00F562A8" w:rsidRDefault="000B3CE4" w:rsidP="008440F2">
      <w:pPr>
        <w:widowControl w:val="0"/>
        <w:autoSpaceDE w:val="0"/>
        <w:autoSpaceDN w:val="0"/>
        <w:spacing w:after="0" w:line="276" w:lineRule="auto"/>
        <w:jc w:val="center"/>
        <w:rPr>
          <w:rFonts w:ascii="Times New Roman" w:eastAsia="Times New Roman" w:hAnsi="Times New Roman" w:cs="Times New Roman"/>
          <w:sz w:val="26"/>
          <w:szCs w:val="26"/>
          <w:lang w:eastAsia="ru-RU"/>
        </w:rPr>
      </w:pPr>
      <w:r w:rsidRPr="00FA36DD">
        <w:rPr>
          <w:noProof/>
          <w:lang w:eastAsia="ru-RU"/>
        </w:rPr>
        <w:drawing>
          <wp:inline distT="0" distB="0" distL="0" distR="0" wp14:anchorId="5EB0269E" wp14:editId="0D22CC7B">
            <wp:extent cx="5905500" cy="1316647"/>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2"/>
                    <a:srcRect r="7273"/>
                    <a:stretch/>
                  </pic:blipFill>
                  <pic:spPr bwMode="auto">
                    <a:xfrm>
                      <a:off x="0" y="0"/>
                      <a:ext cx="5941058" cy="1324575"/>
                    </a:xfrm>
                    <a:prstGeom prst="rect">
                      <a:avLst/>
                    </a:prstGeom>
                    <a:ln>
                      <a:noFill/>
                    </a:ln>
                    <a:extLst>
                      <a:ext uri="{53640926-AAD7-44D8-BBD7-CCE9431645EC}">
                        <a14:shadowObscured xmlns:a14="http://schemas.microsoft.com/office/drawing/2010/main"/>
                      </a:ext>
                    </a:extLst>
                  </pic:spPr>
                </pic:pic>
              </a:graphicData>
            </a:graphic>
          </wp:inline>
        </w:drawing>
      </w:r>
    </w:p>
    <w:p w14:paraId="20C586D5" w14:textId="043FE2C7" w:rsidR="008440F2" w:rsidRPr="00F562A8" w:rsidRDefault="008440F2" w:rsidP="008440F2">
      <w:pPr>
        <w:widowControl w:val="0"/>
        <w:autoSpaceDE w:val="0"/>
        <w:autoSpaceDN w:val="0"/>
        <w:spacing w:after="0" w:line="276" w:lineRule="auto"/>
        <w:ind w:firstLine="709"/>
        <w:jc w:val="center"/>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Рис.</w:t>
      </w:r>
      <w:r w:rsidRPr="00F562A8">
        <w:rPr>
          <w:rFonts w:ascii="Times New Roman" w:hAnsi="Times New Roman" w:cs="Times New Roman"/>
          <w:sz w:val="26"/>
          <w:szCs w:val="26"/>
        </w:rPr>
        <w:t xml:space="preserve"> </w:t>
      </w:r>
      <w:r w:rsidR="002D4540" w:rsidRPr="00F562A8">
        <w:rPr>
          <w:rFonts w:ascii="Times New Roman" w:eastAsia="Times New Roman" w:hAnsi="Times New Roman" w:cs="Times New Roman"/>
          <w:sz w:val="26"/>
          <w:szCs w:val="26"/>
        </w:rPr>
        <w:t>3.6.</w:t>
      </w:r>
      <w:r w:rsidR="002D4540">
        <w:rPr>
          <w:rFonts w:ascii="Times New Roman" w:eastAsia="Times New Roman" w:hAnsi="Times New Roman" w:cs="Times New Roman"/>
          <w:sz w:val="26"/>
          <w:szCs w:val="26"/>
        </w:rPr>
        <w:t>5</w:t>
      </w:r>
      <w:r w:rsidR="002D4540" w:rsidRPr="00F562A8">
        <w:rPr>
          <w:rFonts w:ascii="Times New Roman" w:eastAsia="Times New Roman" w:hAnsi="Times New Roman" w:cs="Times New Roman"/>
          <w:sz w:val="26"/>
          <w:szCs w:val="26"/>
        </w:rPr>
        <w:t>.</w:t>
      </w:r>
      <w:r w:rsidR="002D4540">
        <w:rPr>
          <w:rFonts w:ascii="Times New Roman" w:eastAsia="Times New Roman" w:hAnsi="Times New Roman" w:cs="Times New Roman"/>
          <w:sz w:val="26"/>
          <w:szCs w:val="26"/>
        </w:rPr>
        <w:t>3.</w:t>
      </w:r>
      <w:r w:rsidR="00E65546">
        <w:rPr>
          <w:rFonts w:ascii="Times New Roman" w:eastAsia="Times New Roman" w:hAnsi="Times New Roman" w:cs="Times New Roman"/>
          <w:sz w:val="26"/>
          <w:szCs w:val="26"/>
        </w:rPr>
        <w:t>2</w:t>
      </w:r>
      <w:r w:rsidR="002D4540">
        <w:rPr>
          <w:rFonts w:ascii="Times New Roman" w:eastAsia="Times New Roman" w:hAnsi="Times New Roman" w:cs="Times New Roman"/>
          <w:sz w:val="26"/>
          <w:szCs w:val="26"/>
        </w:rPr>
        <w:t xml:space="preserve"> </w:t>
      </w:r>
      <w:r w:rsidRPr="00F562A8">
        <w:rPr>
          <w:rFonts w:ascii="Times New Roman" w:eastAsia="Times New Roman" w:hAnsi="Times New Roman" w:cs="Times New Roman"/>
          <w:sz w:val="26"/>
          <w:szCs w:val="26"/>
          <w:lang w:eastAsia="ru-RU"/>
        </w:rPr>
        <w:t>- Значения t-критерия Стьюдента, средней ошибки аппроксимации, коэффициента детерминации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 xml:space="preserve"> и F-критерия Фишера</w:t>
      </w:r>
    </w:p>
    <w:p w14:paraId="54D26DBF"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Показатели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27C92675" w14:textId="77777777" w:rsidR="008440F2" w:rsidRPr="00F562A8" w:rsidRDefault="008440F2" w:rsidP="008440F2">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6AD529D2" w14:textId="77777777" w:rsidR="008440F2" w:rsidRPr="00F562A8" w:rsidRDefault="008440F2" w:rsidP="008440F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 xml:space="preserve">равны: </w:t>
      </w:r>
    </w:p>
    <w:p w14:paraId="0EB25CE5" w14:textId="4B011BF2" w:rsidR="008440F2" w:rsidRPr="00F562A8" w:rsidRDefault="00C6146B" w:rsidP="008440F2">
      <w:pPr>
        <w:spacing w:after="0" w:line="276" w:lineRule="auto"/>
        <w:jc w:val="center"/>
        <w:rPr>
          <w:rFonts w:ascii="Times New Roman" w:hAnsi="Times New Roman" w:cs="Times New Roman"/>
          <w:sz w:val="26"/>
          <w:szCs w:val="26"/>
          <w:lang w:val="en-US"/>
        </w:rPr>
      </w:pPr>
      <w:r w:rsidRPr="00E43080">
        <w:rPr>
          <w:noProof/>
          <w:lang w:eastAsia="ru-RU"/>
        </w:rPr>
        <w:drawing>
          <wp:inline distT="0" distB="0" distL="0" distR="0" wp14:anchorId="0DF2ED95" wp14:editId="3B9129E5">
            <wp:extent cx="3057952" cy="1019317"/>
            <wp:effectExtent l="0" t="0" r="9525" b="9525"/>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3057952" cy="1019317"/>
                    </a:xfrm>
                    <a:prstGeom prst="rect">
                      <a:avLst/>
                    </a:prstGeom>
                  </pic:spPr>
                </pic:pic>
              </a:graphicData>
            </a:graphic>
          </wp:inline>
        </w:drawing>
      </w:r>
    </w:p>
    <w:p w14:paraId="6BA27D8D" w14:textId="5A80BD88" w:rsidR="008440F2" w:rsidRPr="00F562A8" w:rsidRDefault="008440F2" w:rsidP="008440F2">
      <w:pPr>
        <w:spacing w:after="120" w:line="276" w:lineRule="auto"/>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2D4540" w:rsidRPr="00F562A8">
        <w:rPr>
          <w:rFonts w:ascii="Times New Roman" w:eastAsia="Times New Roman" w:hAnsi="Times New Roman" w:cs="Times New Roman"/>
          <w:sz w:val="26"/>
          <w:szCs w:val="26"/>
        </w:rPr>
        <w:t>3.6.</w:t>
      </w:r>
      <w:r w:rsidR="002D4540">
        <w:rPr>
          <w:rFonts w:ascii="Times New Roman" w:eastAsia="Times New Roman" w:hAnsi="Times New Roman" w:cs="Times New Roman"/>
          <w:sz w:val="26"/>
          <w:szCs w:val="26"/>
        </w:rPr>
        <w:t>5</w:t>
      </w:r>
      <w:r w:rsidR="002D4540" w:rsidRPr="00F562A8">
        <w:rPr>
          <w:rFonts w:ascii="Times New Roman" w:eastAsia="Times New Roman" w:hAnsi="Times New Roman" w:cs="Times New Roman"/>
          <w:sz w:val="26"/>
          <w:szCs w:val="26"/>
        </w:rPr>
        <w:t>.</w:t>
      </w:r>
      <w:r w:rsidR="002D4540">
        <w:rPr>
          <w:rFonts w:ascii="Times New Roman" w:eastAsia="Times New Roman" w:hAnsi="Times New Roman" w:cs="Times New Roman"/>
          <w:sz w:val="26"/>
          <w:szCs w:val="26"/>
        </w:rPr>
        <w:t>3.</w:t>
      </w:r>
      <w:r w:rsidR="00E65546">
        <w:rPr>
          <w:rFonts w:ascii="Times New Roman" w:eastAsia="Times New Roman" w:hAnsi="Times New Roman" w:cs="Times New Roman"/>
          <w:sz w:val="26"/>
          <w:szCs w:val="26"/>
        </w:rPr>
        <w:t>3</w:t>
      </w:r>
      <w:r w:rsidR="002D4540">
        <w:rPr>
          <w:rFonts w:ascii="Times New Roman" w:eastAsia="Times New Roman" w:hAnsi="Times New Roman" w:cs="Times New Roman"/>
          <w:sz w:val="26"/>
          <w:szCs w:val="26"/>
        </w:rPr>
        <w:t xml:space="preserve"> </w:t>
      </w:r>
      <w:r w:rsidRPr="00F562A8">
        <w:rPr>
          <w:rFonts w:ascii="Times New Roman" w:hAnsi="Times New Roman" w:cs="Times New Roman"/>
          <w:sz w:val="26"/>
          <w:szCs w:val="26"/>
        </w:rPr>
        <w:t xml:space="preserve">- Значения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p>
    <w:p w14:paraId="53B78B8C" w14:textId="77777777" w:rsidR="008440F2" w:rsidRPr="00F562A8" w:rsidRDefault="008440F2" w:rsidP="008440F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2C8B60E7" w14:textId="4114E29E" w:rsidR="00C6146B" w:rsidRPr="00C6146B" w:rsidRDefault="008440F2" w:rsidP="00072214">
      <w:pPr>
        <w:ind w:firstLine="709"/>
        <w:jc w:val="both"/>
        <w:rPr>
          <w:rFonts w:ascii="Times New Roman" w:hAnsi="Times New Roman" w:cs="Times New Roman"/>
          <w:i/>
          <w:sz w:val="26"/>
          <w:szCs w:val="26"/>
        </w:rPr>
      </w:pPr>
      <w:r w:rsidRPr="00F562A8">
        <w:rPr>
          <w:rFonts w:ascii="Times New Roman" w:hAnsi="Times New Roman" w:cs="Times New Roman"/>
          <w:i/>
          <w:sz w:val="26"/>
          <w:szCs w:val="26"/>
        </w:rPr>
        <w:t xml:space="preserve">УПКС = </w:t>
      </w:r>
      <w:r w:rsidR="00072214" w:rsidRPr="00072214">
        <w:rPr>
          <w:rFonts w:ascii="Times New Roman" w:hAnsi="Times New Roman" w:cs="Times New Roman"/>
          <w:i/>
          <w:sz w:val="26"/>
          <w:szCs w:val="26"/>
        </w:rPr>
        <w:t>292.517556285735*e^(+0.0016420796682105*((285.00+8.00-СНП Расстояние от населенного пункта до центра субъекта РФ (г. Воронеж)))</w:t>
      </w:r>
      <w:r w:rsidR="00072214">
        <w:rPr>
          <w:rFonts w:ascii="Times New Roman" w:hAnsi="Times New Roman" w:cs="Times New Roman"/>
          <w:i/>
          <w:sz w:val="26"/>
          <w:szCs w:val="26"/>
        </w:rPr>
        <w:t xml:space="preserve"> </w:t>
      </w:r>
      <w:r w:rsidR="00072214" w:rsidRPr="00072214">
        <w:rPr>
          <w:rFonts w:ascii="Times New Roman" w:hAnsi="Times New Roman" w:cs="Times New Roman"/>
          <w:i/>
          <w:sz w:val="26"/>
          <w:szCs w:val="26"/>
        </w:rPr>
        <w:t>+1.13222687601088*([СНП Наличие центральной канализации])</w:t>
      </w:r>
      <w:r w:rsidR="00072214">
        <w:rPr>
          <w:rFonts w:ascii="Times New Roman" w:hAnsi="Times New Roman" w:cs="Times New Roman"/>
          <w:i/>
          <w:sz w:val="26"/>
          <w:szCs w:val="26"/>
        </w:rPr>
        <w:t xml:space="preserve"> </w:t>
      </w:r>
      <w:r w:rsidR="00072214" w:rsidRPr="00072214">
        <w:rPr>
          <w:rFonts w:ascii="Times New Roman" w:hAnsi="Times New Roman" w:cs="Times New Roman"/>
          <w:i/>
          <w:sz w:val="26"/>
          <w:szCs w:val="26"/>
        </w:rPr>
        <w:t>+0.00771261083370893*((116.00+-21.30-СНП Расстояние до ближайшей к населенному пункту дороги федерального значения)))</w:t>
      </w:r>
    </w:p>
    <w:p w14:paraId="709BA98E" w14:textId="77777777" w:rsidR="008440F2" w:rsidRPr="00F562A8" w:rsidRDefault="008440F2" w:rsidP="008440F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1EC49E8E" w14:textId="5F873D16" w:rsidR="008440F2" w:rsidRPr="00F562A8" w:rsidRDefault="00211F9A" w:rsidP="008440F2">
      <w:pPr>
        <w:spacing w:after="0" w:line="276" w:lineRule="auto"/>
        <w:jc w:val="center"/>
        <w:rPr>
          <w:rFonts w:ascii="Times New Roman" w:hAnsi="Times New Roman" w:cs="Times New Roman"/>
          <w:sz w:val="24"/>
        </w:rPr>
      </w:pPr>
      <w:r w:rsidRPr="00FA36DD">
        <w:rPr>
          <w:noProof/>
          <w:lang w:eastAsia="ru-RU"/>
        </w:rPr>
        <w:drawing>
          <wp:inline distT="0" distB="0" distL="0" distR="0" wp14:anchorId="73426E01" wp14:editId="078B04AA">
            <wp:extent cx="5182359" cy="2943225"/>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5202128" cy="2954453"/>
                    </a:xfrm>
                    <a:prstGeom prst="rect">
                      <a:avLst/>
                    </a:prstGeom>
                  </pic:spPr>
                </pic:pic>
              </a:graphicData>
            </a:graphic>
          </wp:inline>
        </w:drawing>
      </w:r>
    </w:p>
    <w:p w14:paraId="78036BB3" w14:textId="64CAD7DA" w:rsidR="008440F2" w:rsidRPr="00F562A8" w:rsidRDefault="008440F2" w:rsidP="008440F2">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2D4540" w:rsidRPr="00F562A8">
        <w:rPr>
          <w:rFonts w:ascii="Times New Roman" w:eastAsia="Times New Roman" w:hAnsi="Times New Roman" w:cs="Times New Roman"/>
          <w:sz w:val="26"/>
          <w:szCs w:val="26"/>
        </w:rPr>
        <w:t>3.6.</w:t>
      </w:r>
      <w:r w:rsidR="002D4540">
        <w:rPr>
          <w:rFonts w:ascii="Times New Roman" w:eastAsia="Times New Roman" w:hAnsi="Times New Roman" w:cs="Times New Roman"/>
          <w:sz w:val="26"/>
          <w:szCs w:val="26"/>
        </w:rPr>
        <w:t>5</w:t>
      </w:r>
      <w:r w:rsidR="002D4540" w:rsidRPr="00F562A8">
        <w:rPr>
          <w:rFonts w:ascii="Times New Roman" w:eastAsia="Times New Roman" w:hAnsi="Times New Roman" w:cs="Times New Roman"/>
          <w:sz w:val="26"/>
          <w:szCs w:val="26"/>
        </w:rPr>
        <w:t>.</w:t>
      </w:r>
      <w:r w:rsidR="002D4540">
        <w:rPr>
          <w:rFonts w:ascii="Times New Roman" w:eastAsia="Times New Roman" w:hAnsi="Times New Roman" w:cs="Times New Roman"/>
          <w:sz w:val="26"/>
          <w:szCs w:val="26"/>
        </w:rPr>
        <w:t>3.</w:t>
      </w:r>
      <w:r w:rsidR="00E65546">
        <w:rPr>
          <w:rFonts w:ascii="Times New Roman" w:eastAsia="Times New Roman" w:hAnsi="Times New Roman" w:cs="Times New Roman"/>
          <w:sz w:val="26"/>
          <w:szCs w:val="26"/>
        </w:rPr>
        <w:t>4</w:t>
      </w:r>
      <w:r w:rsidR="002D4540">
        <w:rPr>
          <w:rFonts w:ascii="Times New Roman" w:eastAsia="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3647A21F" w14:textId="4989E92E" w:rsidR="008440F2" w:rsidRPr="00F562A8" w:rsidRDefault="008440F2" w:rsidP="008440F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w:t>
      </w:r>
      <w:r w:rsidR="00421B40">
        <w:rPr>
          <w:rFonts w:ascii="Times New Roman" w:hAnsi="Times New Roman" w:cs="Times New Roman"/>
          <w:sz w:val="26"/>
          <w:szCs w:val="26"/>
        </w:rPr>
        <w:t>ами</w:t>
      </w:r>
      <w:r w:rsidRPr="00F562A8">
        <w:rPr>
          <w:rFonts w:ascii="Times New Roman" w:hAnsi="Times New Roman" w:cs="Times New Roman"/>
          <w:sz w:val="26"/>
          <w:szCs w:val="26"/>
        </w:rPr>
        <w:t xml:space="preserve"> </w:t>
      </w:r>
      <w:r w:rsidR="00211F9A" w:rsidRPr="00F562A8">
        <w:rPr>
          <w:rFonts w:ascii="Times New Roman" w:hAnsi="Times New Roman" w:cs="Times New Roman"/>
          <w:sz w:val="26"/>
          <w:szCs w:val="26"/>
        </w:rPr>
        <w:t>Х</w:t>
      </w:r>
      <w:r w:rsidR="00211F9A">
        <w:rPr>
          <w:rFonts w:ascii="Times New Roman" w:hAnsi="Times New Roman" w:cs="Times New Roman"/>
          <w:sz w:val="26"/>
          <w:szCs w:val="26"/>
          <w:vertAlign w:val="subscript"/>
        </w:rPr>
        <w:t xml:space="preserve">0, </w:t>
      </w:r>
      <w:r w:rsidR="00211F9A" w:rsidRPr="00F562A8">
        <w:rPr>
          <w:rFonts w:ascii="Times New Roman" w:hAnsi="Times New Roman" w:cs="Times New Roman"/>
          <w:sz w:val="26"/>
          <w:szCs w:val="26"/>
        </w:rPr>
        <w:t>Х</w:t>
      </w:r>
      <w:r w:rsidR="00211F9A">
        <w:rPr>
          <w:rFonts w:ascii="Times New Roman" w:hAnsi="Times New Roman" w:cs="Times New Roman"/>
          <w:sz w:val="26"/>
          <w:szCs w:val="26"/>
          <w:vertAlign w:val="subscript"/>
        </w:rPr>
        <w:t xml:space="preserve">2 </w:t>
      </w:r>
      <w:r w:rsidRPr="00F562A8">
        <w:rPr>
          <w:rFonts w:ascii="Times New Roman" w:hAnsi="Times New Roman" w:cs="Times New Roman"/>
          <w:sz w:val="26"/>
          <w:szCs w:val="26"/>
        </w:rPr>
        <w:t>и кадастровой стоимостью обратная, то есть при росте этого фактора кадастровая стоимость уменьшается. Малые значения средней ошибки аппроксимации и среднеквадратической ошибки оценки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75234EE8" w14:textId="075D2908" w:rsidR="008440F2" w:rsidRDefault="007C6B81" w:rsidP="008440F2">
      <w:pPr>
        <w:spacing w:after="0" w:line="276" w:lineRule="auto"/>
        <w:ind w:firstLine="709"/>
        <w:jc w:val="both"/>
        <w:rPr>
          <w:rFonts w:ascii="Times New Roman" w:eastAsiaTheme="minorEastAsia" w:hAnsi="Times New Roman" w:cs="Times New Roman"/>
          <w:sz w:val="26"/>
          <w:szCs w:val="26"/>
          <w:highlight w:val="yellow"/>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440B72B0" w14:textId="77777777" w:rsidR="00211F9A" w:rsidRDefault="00211F9A" w:rsidP="008440F2">
      <w:pPr>
        <w:spacing w:after="0" w:line="276" w:lineRule="auto"/>
        <w:ind w:firstLine="709"/>
        <w:jc w:val="both"/>
        <w:rPr>
          <w:rFonts w:ascii="Times New Roman" w:eastAsiaTheme="minorEastAsia" w:hAnsi="Times New Roman" w:cs="Times New Roman"/>
          <w:sz w:val="26"/>
          <w:szCs w:val="26"/>
        </w:rPr>
      </w:pPr>
    </w:p>
    <w:p w14:paraId="53322A5B" w14:textId="7621E516" w:rsidR="00FC4D12" w:rsidRPr="00DC7772" w:rsidRDefault="00FC4D12" w:rsidP="00FC4D12">
      <w:pPr>
        <w:pStyle w:val="ab"/>
        <w:ind w:left="0"/>
        <w:jc w:val="center"/>
        <w:outlineLvl w:val="2"/>
        <w:rPr>
          <w:rFonts w:ascii="Times New Roman" w:hAnsi="Times New Roman" w:cs="Times New Roman"/>
          <w:i/>
          <w:sz w:val="26"/>
          <w:szCs w:val="26"/>
        </w:rPr>
      </w:pPr>
      <w:bookmarkStart w:id="237" w:name="_Toc110506985"/>
      <w:r w:rsidRPr="00DC7772">
        <w:rPr>
          <w:rFonts w:ascii="Times New Roman" w:hAnsi="Times New Roman" w:cs="Times New Roman"/>
          <w:i/>
          <w:sz w:val="26"/>
          <w:szCs w:val="26"/>
        </w:rPr>
        <w:t>3.6.3.4. Расчет кадастровой стоимости земельных участков группы ГОСТИНИЦЫ/УПКС</w:t>
      </w:r>
      <w:bookmarkEnd w:id="237"/>
    </w:p>
    <w:p w14:paraId="468FD573" w14:textId="38C5BFFF" w:rsidR="00FC4D12" w:rsidRPr="00F562A8" w:rsidRDefault="00FC4D12" w:rsidP="00FC4D12">
      <w:pPr>
        <w:spacing w:after="0" w:line="276" w:lineRule="auto"/>
        <w:ind w:firstLine="567"/>
        <w:jc w:val="both"/>
        <w:rPr>
          <w:rFonts w:ascii="Times New Roman" w:eastAsiaTheme="minorEastAsia" w:hAnsi="Times New Roman" w:cs="Times New Roman"/>
          <w:sz w:val="26"/>
          <w:szCs w:val="26"/>
        </w:rPr>
      </w:pPr>
      <w:r w:rsidRPr="00DC7772">
        <w:rPr>
          <w:rFonts w:ascii="Times New Roman" w:eastAsiaTheme="minorEastAsia" w:hAnsi="Times New Roman" w:cs="Times New Roman"/>
          <w:sz w:val="26"/>
          <w:szCs w:val="26"/>
        </w:rPr>
        <w:t>Перечень объектов оценки</w:t>
      </w:r>
      <w:r w:rsidRPr="00F562A8">
        <w:rPr>
          <w:rFonts w:ascii="Times New Roman" w:eastAsiaTheme="minorEastAsia" w:hAnsi="Times New Roman" w:cs="Times New Roman"/>
          <w:sz w:val="26"/>
          <w:szCs w:val="26"/>
        </w:rPr>
        <w:t xml:space="preserve">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4D54C909" w14:textId="295EC22D" w:rsidR="00CB4126" w:rsidRDefault="00CB4126" w:rsidP="00B853E9">
      <w:pPr>
        <w:spacing w:after="0"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00B853E9" w:rsidRPr="00FC4D12">
        <w:rPr>
          <w:rFonts w:ascii="Times New Roman" w:hAnsi="Times New Roman" w:cs="Times New Roman"/>
          <w:bCs/>
          <w:sz w:val="26"/>
          <w:szCs w:val="26"/>
        </w:rPr>
        <w:t>ГОСТИНИЦЫ</w:t>
      </w:r>
      <w:r w:rsidR="00B853E9">
        <w:rPr>
          <w:rFonts w:ascii="Times New Roman" w:hAnsi="Times New Roman" w:cs="Times New Roman"/>
          <w:bCs/>
          <w:sz w:val="26"/>
          <w:szCs w:val="26"/>
        </w:rPr>
        <w:t>/УПКС</w:t>
      </w:r>
      <w:r w:rsidR="00B853E9" w:rsidRPr="00F562A8">
        <w:rPr>
          <w:rFonts w:ascii="Times New Roman" w:hAnsi="Times New Roman" w:cs="Times New Roman"/>
          <w:bCs/>
          <w:sz w:val="26"/>
          <w:szCs w:val="26"/>
        </w:rPr>
        <w:t xml:space="preserve"> </w:t>
      </w:r>
      <w:r>
        <w:rPr>
          <w:rFonts w:ascii="Times New Roman" w:hAnsi="Times New Roman" w:cs="Times New Roman"/>
          <w:sz w:val="26"/>
          <w:szCs w:val="26"/>
        </w:rPr>
        <w:t>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00B853E9" w:rsidRPr="00B853E9">
        <w:rPr>
          <w:rFonts w:ascii="Times New Roman" w:hAnsi="Times New Roman" w:cs="Times New Roman"/>
          <w:sz w:val="26"/>
          <w:szCs w:val="26"/>
        </w:rPr>
        <w:t>04:070, 04:097</w:t>
      </w:r>
      <w:r>
        <w:rPr>
          <w:rFonts w:ascii="Times New Roman" w:hAnsi="Times New Roman" w:cs="Times New Roman"/>
          <w:sz w:val="26"/>
          <w:szCs w:val="26"/>
        </w:rPr>
        <w:t>.</w:t>
      </w:r>
    </w:p>
    <w:p w14:paraId="16FC884D" w14:textId="121EE704" w:rsidR="00FC4D12" w:rsidRPr="00F562A8" w:rsidRDefault="00FC4D12" w:rsidP="00FC4D12">
      <w:pPr>
        <w:spacing w:after="0" w:line="300" w:lineRule="auto"/>
        <w:ind w:firstLine="567"/>
        <w:jc w:val="both"/>
        <w:rPr>
          <w:rFonts w:ascii="Times New Roman" w:hAnsi="Times New Roman" w:cs="Times New Roman"/>
          <w:bCs/>
          <w:sz w:val="26"/>
          <w:szCs w:val="26"/>
        </w:rPr>
      </w:pPr>
      <w:r w:rsidRPr="00F562A8">
        <w:rPr>
          <w:rFonts w:ascii="Times New Roman" w:hAnsi="Times New Roman" w:cs="Times New Roman"/>
          <w:bCs/>
          <w:sz w:val="26"/>
          <w:szCs w:val="26"/>
        </w:rPr>
        <w:t xml:space="preserve">В группу </w:t>
      </w:r>
      <w:r w:rsidRPr="00FC4D12">
        <w:rPr>
          <w:rFonts w:ascii="Times New Roman" w:hAnsi="Times New Roman" w:cs="Times New Roman"/>
          <w:bCs/>
          <w:sz w:val="26"/>
          <w:szCs w:val="26"/>
        </w:rPr>
        <w:t>ГОСТИНИЦЫ</w:t>
      </w:r>
      <w:r>
        <w:rPr>
          <w:rFonts w:ascii="Times New Roman" w:hAnsi="Times New Roman" w:cs="Times New Roman"/>
          <w:bCs/>
          <w:sz w:val="26"/>
          <w:szCs w:val="26"/>
        </w:rPr>
        <w:t>/</w:t>
      </w:r>
      <w:r w:rsidR="00691269">
        <w:rPr>
          <w:rFonts w:ascii="Times New Roman" w:hAnsi="Times New Roman" w:cs="Times New Roman"/>
          <w:bCs/>
          <w:sz w:val="26"/>
          <w:szCs w:val="26"/>
        </w:rPr>
        <w:t>УПКС</w:t>
      </w:r>
      <w:r w:rsidRPr="00F562A8">
        <w:rPr>
          <w:rFonts w:ascii="Times New Roman" w:hAnsi="Times New Roman" w:cs="Times New Roman"/>
          <w:bCs/>
          <w:sz w:val="26"/>
          <w:szCs w:val="26"/>
        </w:rPr>
        <w:t xml:space="preserve"> включены объекты, не имеющие точной характеристики местоположения объектов (без факторов). </w:t>
      </w:r>
    </w:p>
    <w:p w14:paraId="62AFCDBD" w14:textId="041DEB6B" w:rsidR="00CB4126" w:rsidRPr="00F562A8" w:rsidRDefault="00141EC8" w:rsidP="00CB4126">
      <w:pPr>
        <w:spacing w:after="0" w:line="300" w:lineRule="auto"/>
        <w:ind w:firstLine="567"/>
        <w:jc w:val="both"/>
        <w:rPr>
          <w:rFonts w:ascii="Times New Roman" w:eastAsiaTheme="minorEastAsia" w:hAnsi="Times New Roman" w:cs="Times New Roman"/>
          <w:sz w:val="26"/>
          <w:szCs w:val="26"/>
        </w:rPr>
      </w:pPr>
      <w:r w:rsidRPr="00141EC8">
        <w:rPr>
          <w:rFonts w:ascii="Times New Roman" w:hAnsi="Times New Roman" w:cs="Times New Roman"/>
          <w:bCs/>
          <w:sz w:val="26"/>
          <w:szCs w:val="26"/>
        </w:rPr>
        <w:t>Расчет кадастровой стоимости земельных участков данной группы проведен на основании средних удельных показателей кадастровой стоимости текущего сегмента с учетом кода расчета вида использования в соответствии с пунктом 45.3 Методических указаний</w:t>
      </w:r>
      <w:r w:rsidR="00CB4126">
        <w:rPr>
          <w:rFonts w:ascii="Times New Roman" w:hAnsi="Times New Roman" w:cs="Times New Roman"/>
          <w:bCs/>
          <w:sz w:val="26"/>
          <w:szCs w:val="26"/>
        </w:rPr>
        <w:t>.</w:t>
      </w:r>
      <w:r w:rsidR="00CB4126" w:rsidRPr="00F562A8">
        <w:rPr>
          <w:rFonts w:ascii="Times New Roman" w:eastAsiaTheme="minorEastAsia" w:hAnsi="Times New Roman" w:cs="Times New Roman"/>
          <w:sz w:val="26"/>
          <w:szCs w:val="26"/>
        </w:rPr>
        <w:t xml:space="preserve"> </w:t>
      </w:r>
    </w:p>
    <w:p w14:paraId="447C06F4" w14:textId="26E9D270" w:rsidR="00DC7772" w:rsidRDefault="007C6B81" w:rsidP="00FC4D12">
      <w:pPr>
        <w:spacing w:after="0" w:line="300" w:lineRule="auto"/>
        <w:ind w:firstLine="567"/>
        <w:jc w:val="both"/>
        <w:rPr>
          <w:rFonts w:ascii="Times New Roman" w:hAnsi="Times New Roman" w:cs="Times New Roman"/>
          <w:bCs/>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046BF321" w14:textId="28DD1504" w:rsidR="00FC4D12" w:rsidRDefault="00FC4D12" w:rsidP="00FC4D12">
      <w:pPr>
        <w:spacing w:after="0" w:line="300" w:lineRule="auto"/>
        <w:ind w:firstLine="567"/>
        <w:jc w:val="both"/>
        <w:rPr>
          <w:rFonts w:ascii="Times New Roman" w:hAnsi="Times New Roman" w:cs="Times New Roman"/>
          <w:bCs/>
          <w:sz w:val="26"/>
          <w:szCs w:val="26"/>
        </w:rPr>
      </w:pPr>
      <w:r w:rsidRPr="00F562A8">
        <w:rPr>
          <w:rFonts w:ascii="Times New Roman" w:hAnsi="Times New Roman" w:cs="Times New Roman"/>
          <w:bCs/>
          <w:sz w:val="26"/>
          <w:szCs w:val="26"/>
        </w:rPr>
        <w:t xml:space="preserve"> </w:t>
      </w:r>
    </w:p>
    <w:p w14:paraId="5CF592E2" w14:textId="062047ED" w:rsidR="00306BF5" w:rsidRPr="00F562A8" w:rsidRDefault="00B15076" w:rsidP="002D4BEA">
      <w:pPr>
        <w:pStyle w:val="ab"/>
        <w:ind w:left="0"/>
        <w:jc w:val="center"/>
        <w:outlineLvl w:val="2"/>
        <w:rPr>
          <w:rFonts w:ascii="Times New Roman" w:hAnsi="Times New Roman" w:cs="Times New Roman"/>
          <w:i/>
          <w:sz w:val="26"/>
          <w:szCs w:val="26"/>
        </w:rPr>
      </w:pPr>
      <w:bookmarkStart w:id="238" w:name="_Toc110506986"/>
      <w:r w:rsidRPr="00DC7772">
        <w:rPr>
          <w:rFonts w:ascii="Times New Roman" w:hAnsi="Times New Roman" w:cs="Times New Roman"/>
          <w:i/>
          <w:sz w:val="26"/>
          <w:szCs w:val="26"/>
        </w:rPr>
        <w:t>3.6.5.</w:t>
      </w:r>
      <w:r w:rsidR="00B11E8D" w:rsidRPr="00DC7772">
        <w:rPr>
          <w:rFonts w:ascii="Times New Roman" w:hAnsi="Times New Roman" w:cs="Times New Roman"/>
          <w:i/>
          <w:sz w:val="26"/>
          <w:szCs w:val="26"/>
        </w:rPr>
        <w:t>5</w:t>
      </w:r>
      <w:r w:rsidRPr="00DC7772">
        <w:rPr>
          <w:rFonts w:ascii="Times New Roman" w:hAnsi="Times New Roman" w:cs="Times New Roman"/>
          <w:i/>
          <w:sz w:val="26"/>
          <w:szCs w:val="26"/>
        </w:rPr>
        <w:t xml:space="preserve">. </w:t>
      </w:r>
      <w:r w:rsidR="00306BF5" w:rsidRPr="00DC7772">
        <w:rPr>
          <w:rFonts w:ascii="Times New Roman" w:hAnsi="Times New Roman" w:cs="Times New Roman"/>
          <w:i/>
          <w:sz w:val="26"/>
          <w:szCs w:val="26"/>
        </w:rPr>
        <w:t>Расчет кадастровой</w:t>
      </w:r>
      <w:r w:rsidR="00306BF5" w:rsidRPr="00F562A8">
        <w:rPr>
          <w:rFonts w:ascii="Times New Roman" w:hAnsi="Times New Roman" w:cs="Times New Roman"/>
          <w:i/>
          <w:sz w:val="26"/>
          <w:szCs w:val="26"/>
        </w:rPr>
        <w:t xml:space="preserve"> стоимости земельных участков группы </w:t>
      </w:r>
      <w:r w:rsidR="00EB21D5" w:rsidRPr="00EB21D5">
        <w:rPr>
          <w:rFonts w:ascii="Times New Roman" w:hAnsi="Times New Roman" w:cs="Times New Roman"/>
          <w:i/>
          <w:sz w:val="26"/>
          <w:szCs w:val="26"/>
        </w:rPr>
        <w:t>ОТДЫХ/Воронеж</w:t>
      </w:r>
      <w:bookmarkEnd w:id="238"/>
    </w:p>
    <w:p w14:paraId="66651F4D" w14:textId="2298027D" w:rsidR="00100361" w:rsidRPr="00F562A8" w:rsidRDefault="00100361" w:rsidP="00100361">
      <w:pPr>
        <w:spacing w:after="0" w:line="276" w:lineRule="auto"/>
        <w:ind w:firstLine="567"/>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  Перечень объектов 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5FD61865" w14:textId="52D80466" w:rsidR="00B853E9" w:rsidRDefault="00B853E9" w:rsidP="009456EB">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B853E9">
        <w:rPr>
          <w:rFonts w:ascii="Times New Roman" w:hAnsi="Times New Roman" w:cs="Times New Roman"/>
          <w:bCs/>
          <w:sz w:val="26"/>
          <w:szCs w:val="26"/>
        </w:rPr>
        <w:t>ОТДЫХ</w:t>
      </w:r>
      <w:r>
        <w:rPr>
          <w:rFonts w:ascii="Times New Roman" w:hAnsi="Times New Roman" w:cs="Times New Roman"/>
          <w:bCs/>
          <w:sz w:val="26"/>
          <w:szCs w:val="26"/>
        </w:rPr>
        <w:t>/</w:t>
      </w:r>
      <w:r w:rsidRPr="00B853E9">
        <w:rPr>
          <w:rFonts w:ascii="Times New Roman" w:hAnsi="Times New Roman" w:cs="Times New Roman"/>
          <w:bCs/>
          <w:sz w:val="26"/>
          <w:szCs w:val="26"/>
        </w:rPr>
        <w:t>Воронеж</w:t>
      </w:r>
      <w:r w:rsidRPr="00F562A8">
        <w:rPr>
          <w:rFonts w:ascii="Times New Roman" w:hAnsi="Times New Roman" w:cs="Times New Roman"/>
          <w:bCs/>
          <w:sz w:val="26"/>
          <w:szCs w:val="26"/>
        </w:rPr>
        <w:t xml:space="preserve"> </w:t>
      </w:r>
      <w:r>
        <w:rPr>
          <w:rFonts w:ascii="Times New Roman" w:hAnsi="Times New Roman" w:cs="Times New Roman"/>
          <w:sz w:val="26"/>
          <w:szCs w:val="26"/>
        </w:rPr>
        <w:t>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Pr="00B853E9">
        <w:rPr>
          <w:rFonts w:ascii="Times New Roman" w:hAnsi="Times New Roman" w:cs="Times New Roman"/>
          <w:sz w:val="26"/>
          <w:szCs w:val="26"/>
        </w:rPr>
        <w:t>05:000, 02:040, 05:014, 05:022, 05:030, 08:040, 09:021, 09:023</w:t>
      </w:r>
      <w:r>
        <w:rPr>
          <w:rFonts w:ascii="Times New Roman" w:hAnsi="Times New Roman" w:cs="Times New Roman"/>
          <w:sz w:val="26"/>
          <w:szCs w:val="26"/>
        </w:rPr>
        <w:t>.</w:t>
      </w:r>
    </w:p>
    <w:p w14:paraId="506EA949" w14:textId="4C249A1F" w:rsidR="00100361" w:rsidRPr="00F562A8" w:rsidRDefault="00100361" w:rsidP="00EB21D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При расчете кадастровой стоимости земельных участков группы</w:t>
      </w:r>
      <w:r w:rsidR="00EB21D5">
        <w:rPr>
          <w:rFonts w:ascii="Times New Roman" w:hAnsi="Times New Roman" w:cs="Times New Roman"/>
          <w:sz w:val="26"/>
          <w:szCs w:val="26"/>
        </w:rPr>
        <w:t xml:space="preserve"> ОТДЫХ</w:t>
      </w:r>
      <w:r w:rsidRPr="00A44D3E">
        <w:rPr>
          <w:rFonts w:ascii="Times New Roman" w:hAnsi="Times New Roman" w:cs="Times New Roman"/>
          <w:sz w:val="26"/>
          <w:szCs w:val="26"/>
        </w:rPr>
        <w:t>/ВОРОНЕЖ использовались</w:t>
      </w:r>
      <w:r w:rsidRPr="00F562A8">
        <w:rPr>
          <w:rFonts w:ascii="Times New Roman" w:hAnsi="Times New Roman" w:cs="Times New Roman"/>
          <w:sz w:val="26"/>
          <w:szCs w:val="26"/>
        </w:rPr>
        <w:t xml:space="preserve">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406126F8" w14:textId="16356419"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615491">
        <w:rPr>
          <w:rFonts w:ascii="Times New Roman" w:hAnsi="Times New Roman" w:cs="Times New Roman"/>
          <w:sz w:val="26"/>
          <w:szCs w:val="26"/>
        </w:rPr>
        <w:t>45.1.1</w:t>
      </w:r>
      <w:r w:rsidRPr="00F562A8">
        <w:rPr>
          <w:rFonts w:ascii="Times New Roman" w:hAnsi="Times New Roman" w:cs="Times New Roman"/>
          <w:sz w:val="26"/>
          <w:szCs w:val="26"/>
        </w:rPr>
        <w:t xml:space="preserve">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6A20BC93"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04EF545C"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6C83F1AF"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1CDBC37B"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35E717BB"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7D8636CC"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20F13675" w14:textId="709ECC87" w:rsidR="00100361" w:rsidRPr="00F562A8" w:rsidRDefault="00100361" w:rsidP="0010036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г.о.г Воронеж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12 </w:t>
      </w:r>
      <w:r w:rsidR="003016A0" w:rsidRPr="00F562A8">
        <w:rPr>
          <w:rFonts w:ascii="Times New Roman" w:hAnsi="Times New Roman" w:cs="Times New Roman"/>
          <w:sz w:val="26"/>
          <w:szCs w:val="26"/>
        </w:rPr>
        <w:t>представлены в таблиц</w:t>
      </w:r>
      <w:r w:rsidR="003016A0">
        <w:rPr>
          <w:rFonts w:ascii="Times New Roman" w:hAnsi="Times New Roman" w:cs="Times New Roman"/>
          <w:sz w:val="26"/>
          <w:szCs w:val="26"/>
        </w:rPr>
        <w:t>ах</w:t>
      </w:r>
      <w:r w:rsidR="003016A0" w:rsidRPr="00F562A8">
        <w:rPr>
          <w:rFonts w:ascii="Times New Roman" w:hAnsi="Times New Roman" w:cs="Times New Roman"/>
          <w:sz w:val="26"/>
          <w:szCs w:val="26"/>
        </w:rPr>
        <w:t xml:space="preserve"> </w:t>
      </w:r>
      <w:r w:rsidR="003016A0" w:rsidRPr="00F562A8">
        <w:rPr>
          <w:rFonts w:ascii="Times New Roman" w:eastAsia="Times New Roman" w:hAnsi="Times New Roman" w:cs="Times New Roman"/>
          <w:sz w:val="26"/>
          <w:szCs w:val="26"/>
        </w:rPr>
        <w:t>3.</w:t>
      </w:r>
      <w:r w:rsidR="003016A0">
        <w:rPr>
          <w:rFonts w:ascii="Times New Roman" w:eastAsia="Times New Roman" w:hAnsi="Times New Roman" w:cs="Times New Roman"/>
          <w:sz w:val="26"/>
          <w:szCs w:val="26"/>
        </w:rPr>
        <w:t>4 и 3.5, пунктов 3.4 и 3.5 соответственно</w:t>
      </w:r>
      <w:r w:rsidR="003016A0" w:rsidRPr="00F562A8">
        <w:rPr>
          <w:rFonts w:ascii="Times New Roman" w:hAnsi="Times New Roman" w:cs="Times New Roman"/>
          <w:sz w:val="26"/>
          <w:szCs w:val="26"/>
        </w:rPr>
        <w:t>.</w:t>
      </w:r>
    </w:p>
    <w:p w14:paraId="7CB2B0BB" w14:textId="04FBDCD6" w:rsidR="00100361" w:rsidRPr="00F562A8" w:rsidRDefault="00100361" w:rsidP="0010036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6E32F323" w14:textId="77777777" w:rsidR="00100361" w:rsidRPr="00F562A8" w:rsidRDefault="00100361" w:rsidP="0010036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33A673A3" w14:textId="792926B1" w:rsidR="00100361" w:rsidRPr="00F562A8" w:rsidRDefault="00100361" w:rsidP="0010036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512E42">
        <w:rPr>
          <w:rFonts w:ascii="Times New Roman" w:hAnsi="Times New Roman" w:cs="Times New Roman"/>
          <w:sz w:val="26"/>
          <w:szCs w:val="26"/>
        </w:rPr>
        <w:t>3</w:t>
      </w:r>
      <w:r w:rsidRPr="00F562A8">
        <w:rPr>
          <w:rFonts w:ascii="Times New Roman" w:hAnsi="Times New Roman" w:cs="Times New Roman"/>
          <w:sz w:val="26"/>
          <w:szCs w:val="26"/>
        </w:rPr>
        <w:t>:</w:t>
      </w:r>
    </w:p>
    <w:p w14:paraId="13AEF9AD" w14:textId="0615AA6B" w:rsidR="00100361" w:rsidRPr="00F562A8" w:rsidRDefault="00100361" w:rsidP="0010036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расстояние объекта до</w:t>
      </w:r>
      <w:r w:rsidRPr="00823203">
        <w:rPr>
          <w:rFonts w:ascii="Times New Roman" w:hAnsi="Times New Roman" w:cs="Times New Roman"/>
          <w:sz w:val="26"/>
          <w:szCs w:val="26"/>
        </w:rPr>
        <w:t xml:space="preserve"> </w:t>
      </w:r>
      <w:r w:rsidR="00512E42" w:rsidRPr="00512E42">
        <w:rPr>
          <w:rFonts w:ascii="Times New Roman" w:hAnsi="Times New Roman" w:cs="Times New Roman"/>
          <w:sz w:val="26"/>
          <w:szCs w:val="26"/>
        </w:rPr>
        <w:t>ближайших ж/д вокзала, станции, платформы</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3AAD23EF" w14:textId="388AA5F3" w:rsidR="00100361" w:rsidRDefault="00100361" w:rsidP="0010036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расстояние объекта до центра населенного пункта: Х</w:t>
      </w:r>
      <w:r w:rsidRPr="00F562A8">
        <w:rPr>
          <w:rFonts w:ascii="Times New Roman" w:hAnsi="Times New Roman" w:cs="Times New Roman"/>
          <w:sz w:val="26"/>
          <w:szCs w:val="26"/>
          <w:vertAlign w:val="subscript"/>
        </w:rPr>
        <w:t>1</w:t>
      </w:r>
      <w:r w:rsidR="00512E42">
        <w:rPr>
          <w:rFonts w:ascii="Times New Roman" w:hAnsi="Times New Roman" w:cs="Times New Roman"/>
          <w:sz w:val="26"/>
          <w:szCs w:val="26"/>
        </w:rPr>
        <w:t>;</w:t>
      </w:r>
    </w:p>
    <w:p w14:paraId="27AD3238" w14:textId="6D48D11C" w:rsidR="00512E42" w:rsidRPr="00F562A8" w:rsidRDefault="00512E42" w:rsidP="00512E4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ц</w:t>
      </w:r>
      <w:r w:rsidRPr="00512E42">
        <w:rPr>
          <w:rFonts w:ascii="Times New Roman" w:hAnsi="Times New Roman" w:cs="Times New Roman"/>
          <w:sz w:val="26"/>
          <w:szCs w:val="26"/>
        </w:rPr>
        <w:t>ентральная канализация</w:t>
      </w:r>
      <w:r w:rsidRPr="00F562A8">
        <w:rPr>
          <w:rFonts w:ascii="Times New Roman" w:hAnsi="Times New Roman" w:cs="Times New Roman"/>
          <w:sz w:val="26"/>
          <w:szCs w:val="26"/>
        </w:rPr>
        <w:t>: Х</w:t>
      </w:r>
      <w:r>
        <w:rPr>
          <w:rFonts w:ascii="Times New Roman" w:hAnsi="Times New Roman" w:cs="Times New Roman"/>
          <w:sz w:val="26"/>
          <w:szCs w:val="26"/>
          <w:vertAlign w:val="subscript"/>
        </w:rPr>
        <w:t>2</w:t>
      </w:r>
      <w:r w:rsidRPr="00F562A8">
        <w:rPr>
          <w:rFonts w:ascii="Times New Roman" w:hAnsi="Times New Roman" w:cs="Times New Roman"/>
          <w:sz w:val="26"/>
          <w:szCs w:val="26"/>
        </w:rPr>
        <w:t>.</w:t>
      </w:r>
    </w:p>
    <w:p w14:paraId="1F48699C" w14:textId="77777777" w:rsidR="00100361" w:rsidRPr="00F562A8" w:rsidRDefault="00100361" w:rsidP="0010036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38083AB9" w14:textId="77777777" w:rsidR="00100361" w:rsidRPr="00F562A8" w:rsidRDefault="00100361" w:rsidP="0010036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2EC195C3" w14:textId="34BD9273" w:rsidR="00100361" w:rsidRPr="00F562A8" w:rsidRDefault="00100361" w:rsidP="0010036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0E3BBF">
        <w:rPr>
          <w:rFonts w:ascii="Times New Roman" w:hAnsi="Times New Roman" w:cs="Times New Roman"/>
          <w:sz w:val="26"/>
          <w:szCs w:val="26"/>
        </w:rPr>
        <w:t>трех</w:t>
      </w:r>
      <w:r w:rsidRPr="00F562A8">
        <w:rPr>
          <w:rFonts w:ascii="Times New Roman" w:hAnsi="Times New Roman" w:cs="Times New Roman"/>
          <w:sz w:val="26"/>
          <w:szCs w:val="26"/>
        </w:rPr>
        <w:t>хфакторные модели:</w:t>
      </w:r>
    </w:p>
    <w:p w14:paraId="539B296A" w14:textId="77777777" w:rsidR="00100361" w:rsidRPr="00F562A8" w:rsidRDefault="00100361" w:rsidP="00100361">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11F9F463" wp14:editId="3D213755">
            <wp:extent cx="2209800" cy="247650"/>
            <wp:effectExtent l="0" t="0" r="0" b="0"/>
            <wp:docPr id="657" name="Рисунок 657"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02909D9B" w14:textId="77777777" w:rsidR="00100361" w:rsidRPr="00F562A8" w:rsidRDefault="00100361" w:rsidP="0010036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3E549427" wp14:editId="4DC47D46">
            <wp:extent cx="1352550" cy="266700"/>
            <wp:effectExtent l="0" t="0" r="0" b="0"/>
            <wp:docPr id="665" name="Рисунок 665"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00FAEB79" w14:textId="77777777" w:rsidR="00100361" w:rsidRPr="00F562A8" w:rsidRDefault="00100361" w:rsidP="0010036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0606CFDC" wp14:editId="4E60CDD7">
            <wp:extent cx="1266825" cy="266700"/>
            <wp:effectExtent l="0" t="0" r="0" b="0"/>
            <wp:docPr id="666" name="Рисунок 666"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35284239" w14:textId="77777777" w:rsidR="00100361" w:rsidRPr="00F562A8" w:rsidRDefault="00100361" w:rsidP="0010036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64815732"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50FB05B2"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72C57D4E" wp14:editId="1D650F20">
            <wp:extent cx="209550" cy="247650"/>
            <wp:effectExtent l="0" t="0" r="0" b="0"/>
            <wp:docPr id="667" name="Рисунок 667"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490206C8" wp14:editId="6DCAFD6C">
            <wp:extent cx="200025" cy="247650"/>
            <wp:effectExtent l="0" t="0" r="9525" b="0"/>
            <wp:docPr id="668" name="Рисунок 668"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1F68FF1D" wp14:editId="1A0FBE26">
            <wp:extent cx="209550" cy="247650"/>
            <wp:effectExtent l="0" t="0" r="0" b="0"/>
            <wp:docPr id="669" name="Рисунок 669"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49166ECE" w14:textId="5B0D6CC5" w:rsidR="00100361" w:rsidRPr="00F562A8" w:rsidRDefault="002C619E" w:rsidP="00100361">
      <w:pPr>
        <w:spacing w:after="0" w:line="276" w:lineRule="auto"/>
        <w:jc w:val="center"/>
        <w:rPr>
          <w:rFonts w:ascii="Times New Roman" w:hAnsi="Times New Roman" w:cs="Times New Roman"/>
          <w:lang w:val="en-US"/>
        </w:rPr>
      </w:pPr>
      <w:r w:rsidRPr="009B20C1">
        <w:rPr>
          <w:b/>
          <w:noProof/>
          <w:lang w:eastAsia="ru-RU"/>
        </w:rPr>
        <w:drawing>
          <wp:inline distT="0" distB="0" distL="0" distR="0" wp14:anchorId="5E620477" wp14:editId="7B93400F">
            <wp:extent cx="5939790" cy="820967"/>
            <wp:effectExtent l="0" t="0" r="381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5939790" cy="820967"/>
                    </a:xfrm>
                    <a:prstGeom prst="rect">
                      <a:avLst/>
                    </a:prstGeom>
                  </pic:spPr>
                </pic:pic>
              </a:graphicData>
            </a:graphic>
          </wp:inline>
        </w:drawing>
      </w:r>
    </w:p>
    <w:p w14:paraId="7CA5B950" w14:textId="61277568" w:rsidR="00100361" w:rsidRPr="00F562A8" w:rsidRDefault="00100361" w:rsidP="00100361">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9456EB" w:rsidRPr="00F562A8">
        <w:rPr>
          <w:rFonts w:ascii="Times New Roman" w:hAnsi="Times New Roman" w:cs="Times New Roman"/>
          <w:sz w:val="26"/>
          <w:szCs w:val="26"/>
        </w:rPr>
        <w:t>3.6.</w:t>
      </w:r>
      <w:r w:rsidR="009456EB">
        <w:rPr>
          <w:rFonts w:ascii="Times New Roman" w:hAnsi="Times New Roman" w:cs="Times New Roman"/>
          <w:sz w:val="26"/>
          <w:szCs w:val="26"/>
        </w:rPr>
        <w:t>5</w:t>
      </w:r>
      <w:r w:rsidR="009456EB" w:rsidRPr="00F562A8">
        <w:rPr>
          <w:rFonts w:ascii="Times New Roman" w:hAnsi="Times New Roman" w:cs="Times New Roman"/>
          <w:sz w:val="26"/>
          <w:szCs w:val="26"/>
        </w:rPr>
        <w:t>.</w:t>
      </w:r>
      <w:r w:rsidR="009456EB">
        <w:rPr>
          <w:rFonts w:ascii="Times New Roman" w:hAnsi="Times New Roman" w:cs="Times New Roman"/>
          <w:sz w:val="26"/>
          <w:szCs w:val="26"/>
        </w:rPr>
        <w:t>5.</w:t>
      </w:r>
      <w:r w:rsidR="0039273F">
        <w:rPr>
          <w:rFonts w:ascii="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w:t>
      </w:r>
      <w:r w:rsidR="000E3BBF">
        <w:rPr>
          <w:rFonts w:ascii="Times New Roman" w:hAnsi="Times New Roman" w:cs="Times New Roman"/>
          <w:sz w:val="26"/>
          <w:szCs w:val="26"/>
        </w:rPr>
        <w:t>трех</w:t>
      </w:r>
      <w:r w:rsidRPr="00F562A8">
        <w:rPr>
          <w:rFonts w:ascii="Times New Roman" w:hAnsi="Times New Roman" w:cs="Times New Roman"/>
          <w:sz w:val="26"/>
          <w:szCs w:val="26"/>
        </w:rPr>
        <w:t>хфакторные модели</w:t>
      </w:r>
    </w:p>
    <w:p w14:paraId="7CC32227" w14:textId="5D8869F0"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6502282E"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1ECC49D9"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1E39DB35"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2C9B3DC6"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5A9D8D46"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6941A70B"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16B2516D"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51EA82CF" w14:textId="1F4CFBA0" w:rsidR="00100361" w:rsidRPr="00F562A8" w:rsidRDefault="002C619E" w:rsidP="00100361">
      <w:pPr>
        <w:spacing w:after="0" w:line="276" w:lineRule="auto"/>
        <w:jc w:val="center"/>
        <w:rPr>
          <w:rFonts w:ascii="Times New Roman" w:hAnsi="Times New Roman" w:cs="Times New Roman"/>
        </w:rPr>
      </w:pPr>
      <w:r w:rsidRPr="009B20C1">
        <w:rPr>
          <w:b/>
          <w:noProof/>
          <w:lang w:eastAsia="ru-RU"/>
        </w:rPr>
        <w:drawing>
          <wp:inline distT="0" distB="0" distL="0" distR="0" wp14:anchorId="0D984B8A" wp14:editId="5041C343">
            <wp:extent cx="5848350" cy="1311141"/>
            <wp:effectExtent l="0" t="0" r="0" b="381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6"/>
                    <a:srcRect r="7594"/>
                    <a:stretch/>
                  </pic:blipFill>
                  <pic:spPr bwMode="auto">
                    <a:xfrm>
                      <a:off x="0" y="0"/>
                      <a:ext cx="5864124" cy="1314677"/>
                    </a:xfrm>
                    <a:prstGeom prst="rect">
                      <a:avLst/>
                    </a:prstGeom>
                    <a:ln>
                      <a:noFill/>
                    </a:ln>
                    <a:extLst>
                      <a:ext uri="{53640926-AAD7-44D8-BBD7-CCE9431645EC}">
                        <a14:shadowObscured xmlns:a14="http://schemas.microsoft.com/office/drawing/2010/main"/>
                      </a:ext>
                    </a:extLst>
                  </pic:spPr>
                </pic:pic>
              </a:graphicData>
            </a:graphic>
          </wp:inline>
        </w:drawing>
      </w:r>
    </w:p>
    <w:p w14:paraId="2CA93297" w14:textId="23FAEC27" w:rsidR="00100361" w:rsidRPr="00F562A8" w:rsidRDefault="00100361" w:rsidP="00100361">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9456EB" w:rsidRPr="00F562A8">
        <w:rPr>
          <w:rFonts w:ascii="Times New Roman" w:hAnsi="Times New Roman" w:cs="Times New Roman"/>
          <w:sz w:val="26"/>
          <w:szCs w:val="26"/>
        </w:rPr>
        <w:t>3.6.</w:t>
      </w:r>
      <w:r w:rsidR="009456EB">
        <w:rPr>
          <w:rFonts w:ascii="Times New Roman" w:hAnsi="Times New Roman" w:cs="Times New Roman"/>
          <w:sz w:val="26"/>
          <w:szCs w:val="26"/>
        </w:rPr>
        <w:t>5</w:t>
      </w:r>
      <w:r w:rsidR="009456EB" w:rsidRPr="00F562A8">
        <w:rPr>
          <w:rFonts w:ascii="Times New Roman" w:hAnsi="Times New Roman" w:cs="Times New Roman"/>
          <w:sz w:val="26"/>
          <w:szCs w:val="26"/>
        </w:rPr>
        <w:t>.</w:t>
      </w:r>
      <w:r w:rsidR="009456EB">
        <w:rPr>
          <w:rFonts w:ascii="Times New Roman" w:hAnsi="Times New Roman" w:cs="Times New Roman"/>
          <w:sz w:val="26"/>
          <w:szCs w:val="26"/>
        </w:rPr>
        <w:t>5.</w:t>
      </w:r>
      <w:r w:rsidR="0039273F">
        <w:rPr>
          <w:rFonts w:ascii="Times New Roman" w:hAnsi="Times New Roman" w:cs="Times New Roman"/>
          <w:sz w:val="26"/>
          <w:szCs w:val="26"/>
        </w:rPr>
        <w:t>2</w:t>
      </w:r>
      <w:r w:rsidR="009456EB">
        <w:rPr>
          <w:rFonts w:ascii="Times New Roman" w:hAnsi="Times New Roman" w:cs="Times New Roman"/>
          <w:sz w:val="26"/>
          <w:szCs w:val="26"/>
        </w:rPr>
        <w:t xml:space="preserve"> </w:t>
      </w:r>
      <w:r w:rsidRPr="00F562A8">
        <w:rPr>
          <w:rFonts w:ascii="Times New Roman" w:hAnsi="Times New Roman" w:cs="Times New Roman"/>
          <w:sz w:val="26"/>
          <w:szCs w:val="26"/>
        </w:rPr>
        <w:t>-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72069A34"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0256A472" w14:textId="77777777" w:rsidR="00100361" w:rsidRPr="00F562A8" w:rsidRDefault="00100361" w:rsidP="00100361">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50EF5E17" w14:textId="77777777" w:rsidR="00100361" w:rsidRPr="00F562A8" w:rsidRDefault="00100361" w:rsidP="0010036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09F96670" w14:textId="54629F1A" w:rsidR="00100361" w:rsidRPr="00F562A8" w:rsidRDefault="002C619E" w:rsidP="00100361">
      <w:pPr>
        <w:spacing w:after="0" w:line="276" w:lineRule="auto"/>
        <w:jc w:val="center"/>
        <w:rPr>
          <w:rFonts w:ascii="Times New Roman" w:hAnsi="Times New Roman" w:cs="Times New Roman"/>
          <w:lang w:val="en-US"/>
        </w:rPr>
      </w:pPr>
      <w:r w:rsidRPr="009B20C1">
        <w:rPr>
          <w:b/>
          <w:noProof/>
          <w:lang w:eastAsia="ru-RU"/>
        </w:rPr>
        <w:drawing>
          <wp:inline distT="0" distB="0" distL="0" distR="0" wp14:anchorId="3573E3B7" wp14:editId="39F3ADE3">
            <wp:extent cx="3077004" cy="1066949"/>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3077004" cy="1066949"/>
                    </a:xfrm>
                    <a:prstGeom prst="rect">
                      <a:avLst/>
                    </a:prstGeom>
                  </pic:spPr>
                </pic:pic>
              </a:graphicData>
            </a:graphic>
          </wp:inline>
        </w:drawing>
      </w:r>
    </w:p>
    <w:p w14:paraId="3FDB8525" w14:textId="46F12909" w:rsidR="00100361" w:rsidRPr="00F562A8" w:rsidRDefault="00100361" w:rsidP="00100361">
      <w:pPr>
        <w:spacing w:line="276" w:lineRule="auto"/>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9456EB" w:rsidRPr="00F562A8">
        <w:rPr>
          <w:rFonts w:ascii="Times New Roman" w:hAnsi="Times New Roman" w:cs="Times New Roman"/>
          <w:sz w:val="26"/>
          <w:szCs w:val="26"/>
        </w:rPr>
        <w:t>3.6.</w:t>
      </w:r>
      <w:r w:rsidR="009456EB">
        <w:rPr>
          <w:rFonts w:ascii="Times New Roman" w:hAnsi="Times New Roman" w:cs="Times New Roman"/>
          <w:sz w:val="26"/>
          <w:szCs w:val="26"/>
        </w:rPr>
        <w:t>5</w:t>
      </w:r>
      <w:r w:rsidR="009456EB" w:rsidRPr="00F562A8">
        <w:rPr>
          <w:rFonts w:ascii="Times New Roman" w:hAnsi="Times New Roman" w:cs="Times New Roman"/>
          <w:sz w:val="26"/>
          <w:szCs w:val="26"/>
        </w:rPr>
        <w:t>.</w:t>
      </w:r>
      <w:r w:rsidR="009456EB">
        <w:rPr>
          <w:rFonts w:ascii="Times New Roman" w:hAnsi="Times New Roman" w:cs="Times New Roman"/>
          <w:sz w:val="26"/>
          <w:szCs w:val="26"/>
        </w:rPr>
        <w:t>5.</w:t>
      </w:r>
      <w:r w:rsidR="0039273F">
        <w:rPr>
          <w:rFonts w:ascii="Times New Roman" w:hAnsi="Times New Roman" w:cs="Times New Roman"/>
          <w:sz w:val="26"/>
          <w:szCs w:val="26"/>
        </w:rPr>
        <w:t>3</w:t>
      </w:r>
      <w:r w:rsidR="009456EB">
        <w:rPr>
          <w:rFonts w:ascii="Times New Roman" w:hAnsi="Times New Roman" w:cs="Times New Roman"/>
          <w:sz w:val="26"/>
          <w:szCs w:val="26"/>
        </w:rPr>
        <w:t xml:space="preserve"> </w:t>
      </w:r>
      <w:r w:rsidRPr="00F562A8">
        <w:rPr>
          <w:rFonts w:ascii="Times New Roman" w:hAnsi="Times New Roman" w:cs="Times New Roman"/>
          <w:sz w:val="26"/>
          <w:szCs w:val="26"/>
        </w:rPr>
        <w:t>- Значения F-критерия Фишера</w:t>
      </w:r>
    </w:p>
    <w:p w14:paraId="638FA798" w14:textId="77777777" w:rsidR="00100361" w:rsidRPr="00F562A8" w:rsidRDefault="00100361" w:rsidP="0010036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407C9B31" w14:textId="203ED2D5" w:rsidR="002C619E" w:rsidRPr="009B20C1" w:rsidRDefault="00100361" w:rsidP="002C619E">
      <w:pPr>
        <w:spacing w:after="0" w:line="240" w:lineRule="auto"/>
        <w:ind w:firstLine="709"/>
        <w:jc w:val="both"/>
        <w:rPr>
          <w:rFonts w:ascii="Arial" w:eastAsia="Times New Roman" w:hAnsi="Arial" w:cs="Arial"/>
          <w:sz w:val="20"/>
          <w:szCs w:val="20"/>
          <w:lang w:eastAsia="ru-RU"/>
        </w:rPr>
      </w:pPr>
      <w:r w:rsidRPr="00F562A8">
        <w:rPr>
          <w:rFonts w:ascii="Times New Roman" w:hAnsi="Times New Roman" w:cs="Times New Roman"/>
          <w:i/>
          <w:sz w:val="26"/>
          <w:szCs w:val="26"/>
        </w:rPr>
        <w:t>УПКС =</w:t>
      </w:r>
      <w:r w:rsidR="002C619E" w:rsidRPr="002C619E">
        <w:rPr>
          <w:rFonts w:ascii="Times New Roman" w:hAnsi="Times New Roman" w:cs="Times New Roman"/>
          <w:i/>
          <w:sz w:val="26"/>
          <w:szCs w:val="26"/>
        </w:rPr>
        <w:t xml:space="preserve"> 717.126978725604*e^(+0.00004677275868814*((12203.2568858136+-1940.90388581363-гнп Расстояние до ближайших ж/д вокзала, станции, платформы))+0.0000281839839137778*((38143.858+505.621-гнп Расстояние объекта до центра населенного пункта))+0.188528279080024*([гнп Центральная канализация]))</w:t>
      </w:r>
    </w:p>
    <w:p w14:paraId="150CC0D7" w14:textId="2F508EA2" w:rsidR="00100361" w:rsidRPr="00F562A8" w:rsidRDefault="00100361" w:rsidP="00FA530A">
      <w:pPr>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254EA344" w14:textId="544A2CDB" w:rsidR="00100361" w:rsidRPr="00F562A8" w:rsidRDefault="001744D8" w:rsidP="00100361">
      <w:pPr>
        <w:spacing w:after="0" w:line="276" w:lineRule="auto"/>
        <w:jc w:val="center"/>
        <w:rPr>
          <w:rFonts w:ascii="Times New Roman" w:hAnsi="Times New Roman" w:cs="Times New Roman"/>
          <w:i/>
          <w:szCs w:val="24"/>
        </w:rPr>
      </w:pPr>
      <w:r w:rsidRPr="009B20C1">
        <w:rPr>
          <w:b/>
          <w:noProof/>
          <w:lang w:eastAsia="ru-RU"/>
        </w:rPr>
        <w:drawing>
          <wp:inline distT="0" distB="0" distL="0" distR="0" wp14:anchorId="1E3B6B25" wp14:editId="452BEACF">
            <wp:extent cx="5805170" cy="2847975"/>
            <wp:effectExtent l="0" t="0" r="5080" b="9525"/>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815032" cy="2852813"/>
                    </a:xfrm>
                    <a:prstGeom prst="rect">
                      <a:avLst/>
                    </a:prstGeom>
                  </pic:spPr>
                </pic:pic>
              </a:graphicData>
            </a:graphic>
          </wp:inline>
        </w:drawing>
      </w:r>
    </w:p>
    <w:p w14:paraId="54DA3328" w14:textId="5EC04EFB" w:rsidR="00100361" w:rsidRPr="00F562A8" w:rsidRDefault="00100361" w:rsidP="00100361">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9456EB" w:rsidRPr="00F562A8">
        <w:rPr>
          <w:rFonts w:ascii="Times New Roman" w:hAnsi="Times New Roman" w:cs="Times New Roman"/>
          <w:sz w:val="26"/>
          <w:szCs w:val="26"/>
        </w:rPr>
        <w:t>3.6.</w:t>
      </w:r>
      <w:r w:rsidR="009456EB">
        <w:rPr>
          <w:rFonts w:ascii="Times New Roman" w:hAnsi="Times New Roman" w:cs="Times New Roman"/>
          <w:sz w:val="26"/>
          <w:szCs w:val="26"/>
        </w:rPr>
        <w:t>5</w:t>
      </w:r>
      <w:r w:rsidR="009456EB" w:rsidRPr="00F562A8">
        <w:rPr>
          <w:rFonts w:ascii="Times New Roman" w:hAnsi="Times New Roman" w:cs="Times New Roman"/>
          <w:sz w:val="26"/>
          <w:szCs w:val="26"/>
        </w:rPr>
        <w:t>.</w:t>
      </w:r>
      <w:r w:rsidR="009456EB">
        <w:rPr>
          <w:rFonts w:ascii="Times New Roman" w:hAnsi="Times New Roman" w:cs="Times New Roman"/>
          <w:sz w:val="26"/>
          <w:szCs w:val="26"/>
        </w:rPr>
        <w:t>5.</w:t>
      </w:r>
      <w:r w:rsidR="0039273F">
        <w:rPr>
          <w:rFonts w:ascii="Times New Roman" w:hAnsi="Times New Roman" w:cs="Times New Roman"/>
          <w:sz w:val="26"/>
          <w:szCs w:val="26"/>
        </w:rPr>
        <w:t>4</w:t>
      </w:r>
      <w:r w:rsidR="009456EB">
        <w:rPr>
          <w:rFonts w:ascii="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51E95BFF" w14:textId="6896E636" w:rsidR="00100361" w:rsidRPr="00DC7772" w:rsidRDefault="00100361" w:rsidP="0010036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w:t>
      </w:r>
      <w:r>
        <w:rPr>
          <w:rFonts w:ascii="Times New Roman" w:hAnsi="Times New Roman" w:cs="Times New Roman"/>
          <w:sz w:val="26"/>
          <w:szCs w:val="26"/>
        </w:rPr>
        <w:t>а</w:t>
      </w:r>
      <w:r w:rsidRPr="00F562A8">
        <w:rPr>
          <w:rFonts w:ascii="Times New Roman" w:hAnsi="Times New Roman" w:cs="Times New Roman"/>
          <w:sz w:val="26"/>
          <w:szCs w:val="26"/>
        </w:rPr>
        <w:t>м</w:t>
      </w:r>
      <w:r>
        <w:rPr>
          <w:rFonts w:ascii="Times New Roman" w:hAnsi="Times New Roman" w:cs="Times New Roman"/>
          <w:sz w:val="26"/>
          <w:szCs w:val="26"/>
        </w:rPr>
        <w:t>и</w:t>
      </w:r>
      <w:r w:rsidR="00FA530A" w:rsidRPr="00FA530A">
        <w:rPr>
          <w:rFonts w:ascii="Times New Roman" w:hAnsi="Times New Roman" w:cs="Times New Roman"/>
          <w:sz w:val="26"/>
          <w:szCs w:val="26"/>
        </w:rPr>
        <w:t xml:space="preserve"> </w:t>
      </w:r>
      <w:r w:rsidR="00FA530A" w:rsidRPr="00F562A8">
        <w:rPr>
          <w:rFonts w:ascii="Times New Roman" w:hAnsi="Times New Roman" w:cs="Times New Roman"/>
          <w:sz w:val="26"/>
          <w:szCs w:val="26"/>
        </w:rPr>
        <w:t>Х</w:t>
      </w:r>
      <w:r w:rsidR="00FA530A">
        <w:rPr>
          <w:rFonts w:ascii="Times New Roman" w:hAnsi="Times New Roman" w:cs="Times New Roman"/>
          <w:sz w:val="26"/>
          <w:szCs w:val="26"/>
          <w:vertAlign w:val="subscript"/>
        </w:rPr>
        <w:t xml:space="preserve">0, </w:t>
      </w:r>
      <w:r w:rsidR="00FA530A" w:rsidRPr="00F562A8">
        <w:rPr>
          <w:rFonts w:ascii="Times New Roman" w:hAnsi="Times New Roman" w:cs="Times New Roman"/>
          <w:sz w:val="26"/>
          <w:szCs w:val="26"/>
        </w:rPr>
        <w:t>Х</w:t>
      </w:r>
      <w:r w:rsidR="00FA530A">
        <w:rPr>
          <w:rFonts w:ascii="Times New Roman" w:hAnsi="Times New Roman" w:cs="Times New Roman"/>
          <w:sz w:val="26"/>
          <w:szCs w:val="26"/>
          <w:vertAlign w:val="subscript"/>
        </w:rPr>
        <w:t>1</w:t>
      </w:r>
      <w:r w:rsidRPr="00F562A8">
        <w:rPr>
          <w:rFonts w:ascii="Times New Roman" w:hAnsi="Times New Roman" w:cs="Times New Roman"/>
          <w:sz w:val="26"/>
          <w:szCs w:val="26"/>
        </w:rPr>
        <w:t xml:space="preserve"> и кадастровой стоимостью обратная, то есть при росте этого фактора кадастровая стоимость уменьшается. Малые значения средней ошибки аппроксимации и среднеквадратической ошибки оценки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w:t>
      </w:r>
      <w:r w:rsidRPr="00DC7772">
        <w:rPr>
          <w:rFonts w:ascii="Times New Roman" w:hAnsi="Times New Roman" w:cs="Times New Roman"/>
          <w:sz w:val="26"/>
          <w:szCs w:val="26"/>
        </w:rPr>
        <w:t>модели. Все это позволяет использовать полученную регрессионную модель в практических расчетах и в прогнозировании.</w:t>
      </w:r>
    </w:p>
    <w:p w14:paraId="007B3702" w14:textId="76BC038B" w:rsidR="00100361" w:rsidRPr="00DC7772" w:rsidRDefault="00E34753" w:rsidP="00100361">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5B550671" w14:textId="767CFB3D" w:rsidR="00BA16B4" w:rsidRPr="00DC7772" w:rsidRDefault="00BA16B4" w:rsidP="006F6435">
      <w:pPr>
        <w:spacing w:line="276" w:lineRule="auto"/>
        <w:ind w:firstLine="709"/>
        <w:jc w:val="center"/>
        <w:rPr>
          <w:rFonts w:ascii="Times New Roman" w:eastAsiaTheme="minorEastAsia" w:hAnsi="Times New Roman" w:cs="Times New Roman"/>
          <w:i/>
          <w:sz w:val="16"/>
          <w:szCs w:val="16"/>
        </w:rPr>
      </w:pPr>
    </w:p>
    <w:p w14:paraId="251D677F" w14:textId="3E5A6CAE" w:rsidR="00306BF5" w:rsidRPr="00F562A8" w:rsidRDefault="00B15076" w:rsidP="002D4BEA">
      <w:pPr>
        <w:pStyle w:val="ab"/>
        <w:ind w:left="0"/>
        <w:jc w:val="center"/>
        <w:outlineLvl w:val="2"/>
        <w:rPr>
          <w:rFonts w:ascii="Times New Roman" w:hAnsi="Times New Roman" w:cs="Times New Roman"/>
          <w:i/>
          <w:sz w:val="26"/>
          <w:szCs w:val="26"/>
        </w:rPr>
      </w:pPr>
      <w:bookmarkStart w:id="239" w:name="_Toc110506987"/>
      <w:r w:rsidRPr="00DC7772">
        <w:rPr>
          <w:rFonts w:ascii="Times New Roman" w:hAnsi="Times New Roman" w:cs="Times New Roman"/>
          <w:i/>
          <w:sz w:val="26"/>
          <w:szCs w:val="26"/>
        </w:rPr>
        <w:t>3.6.5.</w:t>
      </w:r>
      <w:r w:rsidR="00B11E8D" w:rsidRPr="00DC7772">
        <w:rPr>
          <w:rFonts w:ascii="Times New Roman" w:hAnsi="Times New Roman" w:cs="Times New Roman"/>
          <w:i/>
          <w:sz w:val="26"/>
          <w:szCs w:val="26"/>
        </w:rPr>
        <w:t>6</w:t>
      </w:r>
      <w:r w:rsidRPr="00DC7772">
        <w:rPr>
          <w:rFonts w:ascii="Times New Roman" w:hAnsi="Times New Roman" w:cs="Times New Roman"/>
          <w:i/>
          <w:sz w:val="26"/>
          <w:szCs w:val="26"/>
        </w:rPr>
        <w:t xml:space="preserve">. </w:t>
      </w:r>
      <w:r w:rsidR="00306BF5" w:rsidRPr="00DC7772">
        <w:rPr>
          <w:rFonts w:ascii="Times New Roman" w:hAnsi="Times New Roman" w:cs="Times New Roman"/>
          <w:i/>
          <w:sz w:val="26"/>
          <w:szCs w:val="26"/>
        </w:rPr>
        <w:t>Расчет</w:t>
      </w:r>
      <w:r w:rsidR="00306BF5" w:rsidRPr="00F562A8">
        <w:rPr>
          <w:rFonts w:ascii="Times New Roman" w:hAnsi="Times New Roman" w:cs="Times New Roman"/>
          <w:i/>
          <w:sz w:val="26"/>
          <w:szCs w:val="26"/>
        </w:rPr>
        <w:t xml:space="preserve"> кадастровой стоимости земельных участков группы </w:t>
      </w:r>
      <w:r w:rsidR="00F701E5" w:rsidRPr="00F701E5">
        <w:rPr>
          <w:rFonts w:ascii="Times New Roman" w:hAnsi="Times New Roman" w:cs="Times New Roman"/>
          <w:i/>
          <w:sz w:val="26"/>
          <w:szCs w:val="26"/>
        </w:rPr>
        <w:t>ОТДЫХ/6 ГНП</w:t>
      </w:r>
      <w:bookmarkEnd w:id="239"/>
    </w:p>
    <w:p w14:paraId="31DEE3C4" w14:textId="7C7F7A6B" w:rsidR="002F3D30" w:rsidRPr="00F562A8" w:rsidRDefault="002F3D30" w:rsidP="002F3D30">
      <w:pPr>
        <w:tabs>
          <w:tab w:val="right" w:pos="9072"/>
        </w:tabs>
        <w:spacing w:after="0" w:line="276" w:lineRule="auto"/>
        <w:ind w:firstLine="709"/>
        <w:contextualSpacing/>
        <w:jc w:val="both"/>
        <w:rPr>
          <w:rFonts w:ascii="Times New Roman" w:hAnsi="Times New Roman" w:cs="Times New Roman"/>
          <w:i/>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5EEBF41F" w14:textId="3A6BC101" w:rsidR="009456EB" w:rsidRDefault="009456EB" w:rsidP="009456EB">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9456EB">
        <w:rPr>
          <w:rFonts w:ascii="Times New Roman" w:hAnsi="Times New Roman" w:cs="Times New Roman"/>
          <w:sz w:val="26"/>
          <w:szCs w:val="26"/>
        </w:rPr>
        <w:t>ОТДЫХ/</w:t>
      </w:r>
      <w:r>
        <w:rPr>
          <w:rFonts w:ascii="Times New Roman" w:hAnsi="Times New Roman" w:cs="Times New Roman"/>
          <w:sz w:val="26"/>
          <w:szCs w:val="26"/>
        </w:rPr>
        <w:t xml:space="preserve">6 </w:t>
      </w:r>
      <w:r w:rsidRPr="009456EB">
        <w:rPr>
          <w:rFonts w:ascii="Times New Roman" w:hAnsi="Times New Roman" w:cs="Times New Roman"/>
          <w:sz w:val="26"/>
          <w:szCs w:val="26"/>
        </w:rPr>
        <w:t xml:space="preserve">ГНП </w:t>
      </w:r>
      <w:r>
        <w:rPr>
          <w:rFonts w:ascii="Times New Roman" w:hAnsi="Times New Roman" w:cs="Times New Roman"/>
          <w:sz w:val="26"/>
          <w:szCs w:val="26"/>
        </w:rPr>
        <w:t>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Pr="00B853E9">
        <w:rPr>
          <w:rFonts w:ascii="Times New Roman" w:hAnsi="Times New Roman" w:cs="Times New Roman"/>
          <w:sz w:val="26"/>
          <w:szCs w:val="26"/>
        </w:rPr>
        <w:t>05:000, 02:040, 05:014, 05:022, 05:030, 08:040, 09:021, 09:023</w:t>
      </w:r>
      <w:r>
        <w:rPr>
          <w:rFonts w:ascii="Times New Roman" w:hAnsi="Times New Roman" w:cs="Times New Roman"/>
          <w:sz w:val="26"/>
          <w:szCs w:val="26"/>
        </w:rPr>
        <w:t>.</w:t>
      </w:r>
    </w:p>
    <w:p w14:paraId="4ED4AB52" w14:textId="7E787E4E" w:rsidR="002F3D30" w:rsidRPr="00F562A8" w:rsidRDefault="002F3D30" w:rsidP="002F3D30">
      <w:pPr>
        <w:spacing w:after="0" w:line="276" w:lineRule="auto"/>
        <w:ind w:firstLine="709"/>
        <w:jc w:val="both"/>
        <w:rPr>
          <w:rFonts w:ascii="Times New Roman" w:hAnsi="Times New Roman" w:cs="Times New Roman"/>
          <w:sz w:val="26"/>
          <w:szCs w:val="26"/>
        </w:rPr>
      </w:pPr>
      <w:r w:rsidRPr="00C40B24">
        <w:rPr>
          <w:rFonts w:ascii="Times New Roman" w:hAnsi="Times New Roman" w:cs="Times New Roman"/>
          <w:sz w:val="26"/>
          <w:szCs w:val="26"/>
        </w:rPr>
        <w:t xml:space="preserve">При расчете кадастровой стоимости земельных участков группы </w:t>
      </w:r>
      <w:r w:rsidR="00F701E5" w:rsidRPr="00F701E5">
        <w:rPr>
          <w:rFonts w:ascii="Times New Roman" w:hAnsi="Times New Roman" w:cs="Times New Roman"/>
          <w:sz w:val="26"/>
          <w:szCs w:val="26"/>
        </w:rPr>
        <w:t>ОТДЫХ</w:t>
      </w:r>
      <w:r w:rsidRPr="00C40B24">
        <w:rPr>
          <w:rFonts w:ascii="Times New Roman" w:hAnsi="Times New Roman" w:cs="Times New Roman"/>
          <w:sz w:val="26"/>
          <w:szCs w:val="26"/>
        </w:rPr>
        <w:t>/6</w:t>
      </w:r>
      <w:r>
        <w:rPr>
          <w:rFonts w:ascii="Times New Roman" w:hAnsi="Times New Roman" w:cs="Times New Roman"/>
          <w:sz w:val="26"/>
          <w:szCs w:val="26"/>
        </w:rPr>
        <w:t xml:space="preserve"> </w:t>
      </w:r>
      <w:r w:rsidRPr="00C40B24">
        <w:rPr>
          <w:rFonts w:ascii="Times New Roman" w:hAnsi="Times New Roman" w:cs="Times New Roman"/>
          <w:sz w:val="26"/>
          <w:szCs w:val="26"/>
        </w:rPr>
        <w:t>ГНП</w:t>
      </w:r>
      <w:r w:rsidRPr="00F562A8">
        <w:rPr>
          <w:rFonts w:ascii="Times New Roman" w:hAnsi="Times New Roman" w:cs="Times New Roman"/>
          <w:sz w:val="26"/>
          <w:szCs w:val="26"/>
        </w:rPr>
        <w:t xml:space="preserve"> 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4FBD4FD1" w14:textId="5BE61E28"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615491">
        <w:rPr>
          <w:rFonts w:ascii="Times New Roman" w:hAnsi="Times New Roman" w:cs="Times New Roman"/>
          <w:sz w:val="26"/>
          <w:szCs w:val="26"/>
        </w:rPr>
        <w:t>45.1.1</w:t>
      </w:r>
      <w:r w:rsidRPr="00F562A8">
        <w:rPr>
          <w:rFonts w:ascii="Times New Roman" w:hAnsi="Times New Roman" w:cs="Times New Roman"/>
          <w:sz w:val="26"/>
          <w:szCs w:val="26"/>
        </w:rPr>
        <w:t xml:space="preserve">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2CABD566"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5726870A"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7C17746E"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2ADA8C16"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1D3CDFAB"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435D5506"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6E939FF8" w14:textId="3E0D4D7C" w:rsidR="002F3D30" w:rsidRPr="00F562A8" w:rsidRDefault="002F3D30" w:rsidP="002F3D3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6 </w:t>
      </w:r>
      <w:r>
        <w:rPr>
          <w:rFonts w:ascii="Times New Roman" w:hAnsi="Times New Roman" w:cs="Times New Roman"/>
          <w:sz w:val="26"/>
          <w:szCs w:val="26"/>
        </w:rPr>
        <w:t xml:space="preserve">городских </w:t>
      </w:r>
      <w:r w:rsidRPr="00F562A8">
        <w:rPr>
          <w:rFonts w:ascii="Times New Roman" w:hAnsi="Times New Roman" w:cs="Times New Roman"/>
          <w:sz w:val="26"/>
          <w:szCs w:val="26"/>
        </w:rPr>
        <w:t xml:space="preserve">населенных пунктах Воронежской области, с численностью населения выше 30000 человек: г. Борисоглебск, г. Россошь, г. Лиски, г. Острогожск, г. Нововоронеж, с. Новая Усмань,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3016A0" w:rsidRPr="00F562A8">
        <w:rPr>
          <w:rFonts w:ascii="Times New Roman" w:hAnsi="Times New Roman" w:cs="Times New Roman"/>
          <w:sz w:val="26"/>
          <w:szCs w:val="26"/>
        </w:rPr>
        <w:t>представлены в таблиц</w:t>
      </w:r>
      <w:r w:rsidR="003016A0">
        <w:rPr>
          <w:rFonts w:ascii="Times New Roman" w:hAnsi="Times New Roman" w:cs="Times New Roman"/>
          <w:sz w:val="26"/>
          <w:szCs w:val="26"/>
        </w:rPr>
        <w:t>ах</w:t>
      </w:r>
      <w:r w:rsidR="003016A0" w:rsidRPr="00F562A8">
        <w:rPr>
          <w:rFonts w:ascii="Times New Roman" w:hAnsi="Times New Roman" w:cs="Times New Roman"/>
          <w:sz w:val="26"/>
          <w:szCs w:val="26"/>
        </w:rPr>
        <w:t xml:space="preserve"> </w:t>
      </w:r>
      <w:r w:rsidR="003016A0" w:rsidRPr="00F562A8">
        <w:rPr>
          <w:rFonts w:ascii="Times New Roman" w:eastAsia="Times New Roman" w:hAnsi="Times New Roman" w:cs="Times New Roman"/>
          <w:sz w:val="26"/>
          <w:szCs w:val="26"/>
        </w:rPr>
        <w:t>3.</w:t>
      </w:r>
      <w:r w:rsidR="003016A0">
        <w:rPr>
          <w:rFonts w:ascii="Times New Roman" w:eastAsia="Times New Roman" w:hAnsi="Times New Roman" w:cs="Times New Roman"/>
          <w:sz w:val="26"/>
          <w:szCs w:val="26"/>
        </w:rPr>
        <w:t>4 и 3.5, пунктов 3.4 и 3.5 соответственно</w:t>
      </w:r>
      <w:r w:rsidR="003016A0" w:rsidRPr="00F562A8">
        <w:rPr>
          <w:rFonts w:ascii="Times New Roman" w:hAnsi="Times New Roman" w:cs="Times New Roman"/>
          <w:sz w:val="26"/>
          <w:szCs w:val="26"/>
        </w:rPr>
        <w:t>.</w:t>
      </w:r>
    </w:p>
    <w:p w14:paraId="44ED7DF4" w14:textId="1985917C" w:rsidR="002F3D30" w:rsidRPr="00F562A8" w:rsidRDefault="002F3D30" w:rsidP="002F3D3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6605C803" w14:textId="77777777" w:rsidR="002F3D30" w:rsidRPr="00F562A8" w:rsidRDefault="002F3D30" w:rsidP="002F3D3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06D71B25" w14:textId="32418D30" w:rsidR="002F3D30" w:rsidRPr="00F562A8" w:rsidRDefault="002F3D30" w:rsidP="002F3D3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F701E5">
        <w:rPr>
          <w:rFonts w:ascii="Times New Roman" w:hAnsi="Times New Roman" w:cs="Times New Roman"/>
          <w:sz w:val="26"/>
          <w:szCs w:val="26"/>
        </w:rPr>
        <w:t>2</w:t>
      </w:r>
      <w:r w:rsidRPr="00F562A8">
        <w:rPr>
          <w:rFonts w:ascii="Times New Roman" w:hAnsi="Times New Roman" w:cs="Times New Roman"/>
          <w:sz w:val="26"/>
          <w:szCs w:val="26"/>
        </w:rPr>
        <w:t>:</w:t>
      </w:r>
    </w:p>
    <w:p w14:paraId="05391E2E" w14:textId="7407E57C" w:rsidR="002F3D30" w:rsidRDefault="002F3D30" w:rsidP="002F3D3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F701E5">
        <w:rPr>
          <w:rFonts w:ascii="Times New Roman" w:hAnsi="Times New Roman" w:cs="Times New Roman"/>
          <w:sz w:val="26"/>
          <w:szCs w:val="26"/>
        </w:rPr>
        <w:t>ц</w:t>
      </w:r>
      <w:r w:rsidR="00F701E5" w:rsidRPr="00F701E5">
        <w:rPr>
          <w:rFonts w:ascii="Times New Roman" w:hAnsi="Times New Roman" w:cs="Times New Roman"/>
          <w:sz w:val="26"/>
          <w:szCs w:val="26"/>
        </w:rPr>
        <w:t>ентральное водоснабжение</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4B8B1557" w14:textId="7E847613" w:rsidR="002F3D30" w:rsidRPr="00F562A8" w:rsidRDefault="002F3D30" w:rsidP="00F701E5">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F701E5">
        <w:rPr>
          <w:rFonts w:ascii="Times New Roman" w:hAnsi="Times New Roman" w:cs="Times New Roman"/>
          <w:sz w:val="26"/>
          <w:szCs w:val="26"/>
        </w:rPr>
        <w:t>ч</w:t>
      </w:r>
      <w:r w:rsidR="00F701E5" w:rsidRPr="00F701E5">
        <w:rPr>
          <w:rFonts w:ascii="Times New Roman" w:hAnsi="Times New Roman" w:cs="Times New Roman"/>
          <w:sz w:val="26"/>
          <w:szCs w:val="26"/>
        </w:rPr>
        <w:t>исленность населения в населенном пункте</w:t>
      </w:r>
      <w:r w:rsidRPr="00AF6DB3">
        <w:rPr>
          <w:rFonts w:ascii="Times New Roman" w:hAnsi="Times New Roman" w:cs="Times New Roman"/>
          <w:sz w:val="26"/>
          <w:szCs w:val="26"/>
        </w:rPr>
        <w:t>:</w:t>
      </w:r>
      <w:r>
        <w:t xml:space="preserve"> </w:t>
      </w:r>
      <w:r w:rsidRPr="00F562A8">
        <w:rPr>
          <w:rFonts w:ascii="Times New Roman" w:hAnsi="Times New Roman" w:cs="Times New Roman"/>
          <w:sz w:val="26"/>
          <w:szCs w:val="26"/>
        </w:rPr>
        <w:t>Х</w:t>
      </w:r>
      <w:r>
        <w:rPr>
          <w:rFonts w:ascii="Times New Roman" w:hAnsi="Times New Roman" w:cs="Times New Roman"/>
          <w:sz w:val="26"/>
          <w:szCs w:val="26"/>
          <w:vertAlign w:val="subscript"/>
        </w:rPr>
        <w:t>1</w:t>
      </w:r>
      <w:r w:rsidR="00F701E5">
        <w:rPr>
          <w:rFonts w:ascii="Times New Roman" w:hAnsi="Times New Roman" w:cs="Times New Roman"/>
          <w:sz w:val="26"/>
          <w:szCs w:val="26"/>
          <w:vertAlign w:val="subscript"/>
        </w:rPr>
        <w:t>.</w:t>
      </w:r>
    </w:p>
    <w:p w14:paraId="31BE875F" w14:textId="77777777" w:rsidR="002F3D30" w:rsidRPr="00F562A8" w:rsidRDefault="002F3D30" w:rsidP="002F3D3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755C0D0B" w14:textId="77777777" w:rsidR="002F3D30" w:rsidRPr="00F562A8" w:rsidRDefault="002F3D30" w:rsidP="002F3D3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676D4E6A" w14:textId="4C29F4A4" w:rsidR="002F3D30" w:rsidRPr="00F562A8" w:rsidRDefault="002F3D30" w:rsidP="002F3D3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0E3BBF">
        <w:rPr>
          <w:rFonts w:ascii="Times New Roman" w:hAnsi="Times New Roman" w:cs="Times New Roman"/>
          <w:sz w:val="26"/>
          <w:szCs w:val="26"/>
        </w:rPr>
        <w:t>дву</w:t>
      </w:r>
      <w:r w:rsidRPr="00F562A8">
        <w:rPr>
          <w:rFonts w:ascii="Times New Roman" w:hAnsi="Times New Roman" w:cs="Times New Roman"/>
          <w:sz w:val="26"/>
          <w:szCs w:val="26"/>
        </w:rPr>
        <w:t>хфакторные модели:</w:t>
      </w:r>
    </w:p>
    <w:p w14:paraId="6766163E" w14:textId="77777777" w:rsidR="002F3D30" w:rsidRPr="00F562A8" w:rsidRDefault="002F3D30" w:rsidP="002F3D30">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60AD59BB" wp14:editId="75584B40">
            <wp:extent cx="2209800" cy="247650"/>
            <wp:effectExtent l="0" t="0" r="0" b="0"/>
            <wp:docPr id="678" name="Рисунок 678"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52702B47" w14:textId="77777777" w:rsidR="002F3D30" w:rsidRPr="00F562A8" w:rsidRDefault="002F3D30" w:rsidP="002F3D3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574BBACD" wp14:editId="0F4A41B0">
            <wp:extent cx="1352550" cy="266700"/>
            <wp:effectExtent l="0" t="0" r="0" b="0"/>
            <wp:docPr id="679" name="Рисунок 679"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34392C11" w14:textId="77777777" w:rsidR="002F3D30" w:rsidRPr="00F562A8" w:rsidRDefault="002F3D30" w:rsidP="002F3D3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2EC6B00A" wp14:editId="175C44D4">
            <wp:extent cx="1266825" cy="266700"/>
            <wp:effectExtent l="0" t="0" r="0" b="0"/>
            <wp:docPr id="680" name="Рисунок 680"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105C69E3" w14:textId="77777777" w:rsidR="002F3D30" w:rsidRPr="00F562A8" w:rsidRDefault="002F3D30" w:rsidP="002F3D3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4456D78C"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5297E489"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49C940A6" wp14:editId="48C1ECA8">
            <wp:extent cx="209550" cy="247650"/>
            <wp:effectExtent l="0" t="0" r="0" b="0"/>
            <wp:docPr id="681" name="Рисунок 681"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52A0C664" wp14:editId="7CE7D09A">
            <wp:extent cx="200025" cy="247650"/>
            <wp:effectExtent l="0" t="0" r="9525" b="0"/>
            <wp:docPr id="682" name="Рисунок 682"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643AA1D3" wp14:editId="385EFB7D">
            <wp:extent cx="209550" cy="247650"/>
            <wp:effectExtent l="0" t="0" r="0" b="0"/>
            <wp:docPr id="683" name="Рисунок 683"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28272AF8" w14:textId="2D641AFA" w:rsidR="002F3D30" w:rsidRPr="00F562A8" w:rsidRDefault="002129F9" w:rsidP="002F3D30">
      <w:pPr>
        <w:spacing w:after="0" w:line="276" w:lineRule="auto"/>
        <w:jc w:val="center"/>
        <w:rPr>
          <w:rFonts w:ascii="Times New Roman" w:hAnsi="Times New Roman" w:cs="Times New Roman"/>
          <w:lang w:val="en-US"/>
        </w:rPr>
      </w:pPr>
      <w:r w:rsidRPr="000A790E">
        <w:rPr>
          <w:noProof/>
          <w:lang w:eastAsia="ru-RU"/>
        </w:rPr>
        <w:drawing>
          <wp:inline distT="0" distB="0" distL="0" distR="0" wp14:anchorId="569B3FE8" wp14:editId="3772904C">
            <wp:extent cx="4076700" cy="112395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9"/>
                    <a:srcRect b="5600"/>
                    <a:stretch/>
                  </pic:blipFill>
                  <pic:spPr bwMode="auto">
                    <a:xfrm>
                      <a:off x="0" y="0"/>
                      <a:ext cx="4077269" cy="1124107"/>
                    </a:xfrm>
                    <a:prstGeom prst="rect">
                      <a:avLst/>
                    </a:prstGeom>
                    <a:ln>
                      <a:noFill/>
                    </a:ln>
                    <a:extLst>
                      <a:ext uri="{53640926-AAD7-44D8-BBD7-CCE9431645EC}">
                        <a14:shadowObscured xmlns:a14="http://schemas.microsoft.com/office/drawing/2010/main"/>
                      </a:ext>
                    </a:extLst>
                  </pic:spPr>
                </pic:pic>
              </a:graphicData>
            </a:graphic>
          </wp:inline>
        </w:drawing>
      </w:r>
    </w:p>
    <w:p w14:paraId="01A845B6" w14:textId="40F8FC91" w:rsidR="002F3D30" w:rsidRPr="00F562A8" w:rsidRDefault="002F3D30" w:rsidP="002F3D30">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9456EB" w:rsidRPr="00F562A8">
        <w:rPr>
          <w:rFonts w:ascii="Times New Roman" w:hAnsi="Times New Roman" w:cs="Times New Roman"/>
          <w:sz w:val="26"/>
          <w:szCs w:val="26"/>
        </w:rPr>
        <w:t>3.6.</w:t>
      </w:r>
      <w:r w:rsidR="009456EB">
        <w:rPr>
          <w:rFonts w:ascii="Times New Roman" w:hAnsi="Times New Roman" w:cs="Times New Roman"/>
          <w:sz w:val="26"/>
          <w:szCs w:val="26"/>
        </w:rPr>
        <w:t>5</w:t>
      </w:r>
      <w:r w:rsidR="009456EB" w:rsidRPr="00F562A8">
        <w:rPr>
          <w:rFonts w:ascii="Times New Roman" w:hAnsi="Times New Roman" w:cs="Times New Roman"/>
          <w:sz w:val="26"/>
          <w:szCs w:val="26"/>
        </w:rPr>
        <w:t>.</w:t>
      </w:r>
      <w:r w:rsidR="009456EB">
        <w:rPr>
          <w:rFonts w:ascii="Times New Roman" w:hAnsi="Times New Roman" w:cs="Times New Roman"/>
          <w:sz w:val="26"/>
          <w:szCs w:val="26"/>
        </w:rPr>
        <w:t>6</w:t>
      </w:r>
      <w:r w:rsidR="009456EB" w:rsidRPr="00F562A8">
        <w:rPr>
          <w:rFonts w:ascii="Times New Roman" w:hAnsi="Times New Roman" w:cs="Times New Roman"/>
          <w:sz w:val="26"/>
          <w:szCs w:val="26"/>
        </w:rPr>
        <w:t>.</w:t>
      </w:r>
      <w:r w:rsidR="0039273F">
        <w:rPr>
          <w:rFonts w:ascii="Times New Roman" w:hAnsi="Times New Roman" w:cs="Times New Roman"/>
          <w:sz w:val="26"/>
          <w:szCs w:val="26"/>
        </w:rPr>
        <w:t>1</w:t>
      </w:r>
      <w:r w:rsidR="009456EB">
        <w:rPr>
          <w:rFonts w:ascii="Times New Roman" w:hAnsi="Times New Roman" w:cs="Times New Roman"/>
          <w:sz w:val="26"/>
          <w:szCs w:val="26"/>
        </w:rPr>
        <w:t xml:space="preserve"> </w:t>
      </w:r>
      <w:r w:rsidRPr="00F562A8">
        <w:rPr>
          <w:rFonts w:ascii="Times New Roman" w:hAnsi="Times New Roman" w:cs="Times New Roman"/>
          <w:sz w:val="26"/>
          <w:szCs w:val="26"/>
        </w:rPr>
        <w:t xml:space="preserve">- Множественные регрессионные </w:t>
      </w:r>
      <w:r w:rsidR="000E3BBF">
        <w:rPr>
          <w:rFonts w:ascii="Times New Roman" w:hAnsi="Times New Roman" w:cs="Times New Roman"/>
          <w:sz w:val="26"/>
          <w:szCs w:val="26"/>
        </w:rPr>
        <w:t>двух</w:t>
      </w:r>
      <w:r w:rsidRPr="00F562A8">
        <w:rPr>
          <w:rFonts w:ascii="Times New Roman" w:hAnsi="Times New Roman" w:cs="Times New Roman"/>
          <w:sz w:val="26"/>
          <w:szCs w:val="26"/>
        </w:rPr>
        <w:t>факторные модели</w:t>
      </w:r>
    </w:p>
    <w:p w14:paraId="2F8713E3" w14:textId="3985E429"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6C12AADA"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23316C2A"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3A0F45F9"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76FC3C91"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45AC8215"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06073FC4"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5F25F767"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4E9102E8" w14:textId="4A04979C" w:rsidR="002F3D30" w:rsidRPr="00F562A8" w:rsidRDefault="002129F9" w:rsidP="002F3D30">
      <w:pPr>
        <w:pStyle w:val="ConsPlusNormal"/>
        <w:spacing w:line="276" w:lineRule="auto"/>
        <w:jc w:val="center"/>
        <w:rPr>
          <w:rFonts w:ascii="Times New Roman" w:hAnsi="Times New Roman" w:cs="Times New Roman"/>
          <w:sz w:val="26"/>
          <w:szCs w:val="26"/>
        </w:rPr>
      </w:pPr>
      <w:r w:rsidRPr="000A790E">
        <w:rPr>
          <w:noProof/>
        </w:rPr>
        <w:drawing>
          <wp:inline distT="0" distB="0" distL="0" distR="0" wp14:anchorId="6EA287E3" wp14:editId="3FBAFBE2">
            <wp:extent cx="5781050" cy="122872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0"/>
                    <a:srcRect r="7913"/>
                    <a:stretch/>
                  </pic:blipFill>
                  <pic:spPr bwMode="auto">
                    <a:xfrm>
                      <a:off x="0" y="0"/>
                      <a:ext cx="5799855" cy="1232722"/>
                    </a:xfrm>
                    <a:prstGeom prst="rect">
                      <a:avLst/>
                    </a:prstGeom>
                    <a:ln>
                      <a:noFill/>
                    </a:ln>
                    <a:extLst>
                      <a:ext uri="{53640926-AAD7-44D8-BBD7-CCE9431645EC}">
                        <a14:shadowObscured xmlns:a14="http://schemas.microsoft.com/office/drawing/2010/main"/>
                      </a:ext>
                    </a:extLst>
                  </pic:spPr>
                </pic:pic>
              </a:graphicData>
            </a:graphic>
          </wp:inline>
        </w:drawing>
      </w:r>
    </w:p>
    <w:p w14:paraId="2C296BFA" w14:textId="215596B0" w:rsidR="002F3D30" w:rsidRPr="00F562A8" w:rsidRDefault="002F3D30" w:rsidP="002F3D30">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9456EB" w:rsidRPr="00F562A8">
        <w:rPr>
          <w:rFonts w:ascii="Times New Roman" w:hAnsi="Times New Roman" w:cs="Times New Roman"/>
          <w:sz w:val="26"/>
          <w:szCs w:val="26"/>
        </w:rPr>
        <w:t>3.6.</w:t>
      </w:r>
      <w:r w:rsidR="009456EB">
        <w:rPr>
          <w:rFonts w:ascii="Times New Roman" w:hAnsi="Times New Roman" w:cs="Times New Roman"/>
          <w:sz w:val="26"/>
          <w:szCs w:val="26"/>
        </w:rPr>
        <w:t>5</w:t>
      </w:r>
      <w:r w:rsidR="009456EB" w:rsidRPr="00F562A8">
        <w:rPr>
          <w:rFonts w:ascii="Times New Roman" w:hAnsi="Times New Roman" w:cs="Times New Roman"/>
          <w:sz w:val="26"/>
          <w:szCs w:val="26"/>
        </w:rPr>
        <w:t>.</w:t>
      </w:r>
      <w:r w:rsidR="009456EB">
        <w:rPr>
          <w:rFonts w:ascii="Times New Roman" w:hAnsi="Times New Roman" w:cs="Times New Roman"/>
          <w:sz w:val="26"/>
          <w:szCs w:val="26"/>
        </w:rPr>
        <w:t>6</w:t>
      </w:r>
      <w:r w:rsidR="009456EB" w:rsidRPr="00F562A8">
        <w:rPr>
          <w:rFonts w:ascii="Times New Roman" w:hAnsi="Times New Roman" w:cs="Times New Roman"/>
          <w:sz w:val="26"/>
          <w:szCs w:val="26"/>
        </w:rPr>
        <w:t>.</w:t>
      </w:r>
      <w:r w:rsidR="0039273F">
        <w:rPr>
          <w:rFonts w:ascii="Times New Roman" w:hAnsi="Times New Roman" w:cs="Times New Roman"/>
          <w:sz w:val="26"/>
          <w:szCs w:val="26"/>
        </w:rPr>
        <w:t>2</w:t>
      </w:r>
      <w:r w:rsidR="009456EB">
        <w:rPr>
          <w:rFonts w:ascii="Times New Roman" w:hAnsi="Times New Roman" w:cs="Times New Roman"/>
          <w:sz w:val="26"/>
          <w:szCs w:val="26"/>
        </w:rPr>
        <w:t xml:space="preserve"> </w:t>
      </w:r>
      <w:r w:rsidRPr="00F562A8">
        <w:rPr>
          <w:rFonts w:ascii="Times New Roman" w:hAnsi="Times New Roman" w:cs="Times New Roman"/>
          <w:sz w:val="26"/>
          <w:szCs w:val="26"/>
        </w:rPr>
        <w:t>-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4C202CA9"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095E3D3E" w14:textId="77777777" w:rsidR="002F3D30" w:rsidRPr="00F562A8" w:rsidRDefault="002F3D30" w:rsidP="002F3D30">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7F6031EF" w14:textId="77777777" w:rsidR="002F3D30" w:rsidRPr="00F562A8" w:rsidRDefault="002F3D30" w:rsidP="002F3D3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2868A9CB" w14:textId="5FDF3349" w:rsidR="002F3D30" w:rsidRPr="00F562A8" w:rsidRDefault="00445DDE" w:rsidP="00445DDE">
      <w:pPr>
        <w:spacing w:after="0" w:line="276" w:lineRule="auto"/>
        <w:jc w:val="center"/>
        <w:rPr>
          <w:rFonts w:ascii="Times New Roman" w:hAnsi="Times New Roman" w:cs="Times New Roman"/>
          <w:sz w:val="26"/>
          <w:szCs w:val="26"/>
          <w:lang w:val="en-US"/>
        </w:rPr>
      </w:pPr>
      <w:r w:rsidRPr="00244AC4">
        <w:rPr>
          <w:noProof/>
          <w:lang w:eastAsia="ru-RU"/>
        </w:rPr>
        <w:drawing>
          <wp:inline distT="0" distB="0" distL="0" distR="0" wp14:anchorId="23378D35" wp14:editId="2530E573">
            <wp:extent cx="3086531" cy="1028844"/>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3086531" cy="1028844"/>
                    </a:xfrm>
                    <a:prstGeom prst="rect">
                      <a:avLst/>
                    </a:prstGeom>
                  </pic:spPr>
                </pic:pic>
              </a:graphicData>
            </a:graphic>
          </wp:inline>
        </w:drawing>
      </w:r>
    </w:p>
    <w:p w14:paraId="52468FE9" w14:textId="0AC6A48C" w:rsidR="002F3D30" w:rsidRPr="00F562A8" w:rsidRDefault="002F3D30" w:rsidP="002F3D30">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9456EB" w:rsidRPr="00F562A8">
        <w:rPr>
          <w:rFonts w:ascii="Times New Roman" w:hAnsi="Times New Roman" w:cs="Times New Roman"/>
          <w:sz w:val="26"/>
          <w:szCs w:val="26"/>
        </w:rPr>
        <w:t>3.6.</w:t>
      </w:r>
      <w:r w:rsidR="009456EB">
        <w:rPr>
          <w:rFonts w:ascii="Times New Roman" w:hAnsi="Times New Roman" w:cs="Times New Roman"/>
          <w:sz w:val="26"/>
          <w:szCs w:val="26"/>
        </w:rPr>
        <w:t>5</w:t>
      </w:r>
      <w:r w:rsidR="009456EB" w:rsidRPr="00F562A8">
        <w:rPr>
          <w:rFonts w:ascii="Times New Roman" w:hAnsi="Times New Roman" w:cs="Times New Roman"/>
          <w:sz w:val="26"/>
          <w:szCs w:val="26"/>
        </w:rPr>
        <w:t>.</w:t>
      </w:r>
      <w:r w:rsidR="009456EB">
        <w:rPr>
          <w:rFonts w:ascii="Times New Roman" w:hAnsi="Times New Roman" w:cs="Times New Roman"/>
          <w:sz w:val="26"/>
          <w:szCs w:val="26"/>
        </w:rPr>
        <w:t>6</w:t>
      </w:r>
      <w:r w:rsidR="009456EB" w:rsidRPr="00F562A8">
        <w:rPr>
          <w:rFonts w:ascii="Times New Roman" w:hAnsi="Times New Roman" w:cs="Times New Roman"/>
          <w:sz w:val="26"/>
          <w:szCs w:val="26"/>
        </w:rPr>
        <w:t>.</w:t>
      </w:r>
      <w:r w:rsidR="0039273F">
        <w:rPr>
          <w:rFonts w:ascii="Times New Roman" w:hAnsi="Times New Roman" w:cs="Times New Roman"/>
          <w:sz w:val="26"/>
          <w:szCs w:val="26"/>
        </w:rPr>
        <w:t>3</w:t>
      </w:r>
      <w:r w:rsidR="009456EB">
        <w:rPr>
          <w:rFonts w:ascii="Times New Roman" w:hAnsi="Times New Roman" w:cs="Times New Roman"/>
          <w:sz w:val="26"/>
          <w:szCs w:val="26"/>
        </w:rPr>
        <w:t xml:space="preserve"> </w:t>
      </w:r>
      <w:r w:rsidRPr="00F562A8">
        <w:rPr>
          <w:rFonts w:ascii="Times New Roman" w:hAnsi="Times New Roman" w:cs="Times New Roman"/>
          <w:sz w:val="26"/>
          <w:szCs w:val="26"/>
        </w:rPr>
        <w:t>- Значения F-критерия Фишера</w:t>
      </w:r>
    </w:p>
    <w:p w14:paraId="780BBC33" w14:textId="77777777" w:rsidR="002F3D30" w:rsidRPr="00F562A8" w:rsidRDefault="002F3D30" w:rsidP="002F3D3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204E926B" w14:textId="2D4A816F" w:rsidR="002129F9" w:rsidRPr="002129F9" w:rsidRDefault="002F3D30" w:rsidP="002129F9">
      <w:pPr>
        <w:spacing w:after="0" w:line="240" w:lineRule="auto"/>
        <w:ind w:firstLine="709"/>
        <w:jc w:val="both"/>
        <w:rPr>
          <w:rFonts w:ascii="Times New Roman" w:hAnsi="Times New Roman" w:cs="Times New Roman"/>
          <w:i/>
          <w:sz w:val="26"/>
          <w:szCs w:val="26"/>
        </w:rPr>
      </w:pPr>
      <w:r w:rsidRPr="00F562A8">
        <w:rPr>
          <w:rFonts w:ascii="Times New Roman" w:hAnsi="Times New Roman" w:cs="Times New Roman"/>
          <w:i/>
          <w:sz w:val="26"/>
          <w:szCs w:val="26"/>
        </w:rPr>
        <w:t>УПКС=</w:t>
      </w:r>
      <w:r w:rsidR="002129F9" w:rsidRPr="002129F9">
        <w:rPr>
          <w:rFonts w:ascii="Times New Roman" w:hAnsi="Times New Roman" w:cs="Times New Roman"/>
          <w:i/>
          <w:sz w:val="26"/>
          <w:szCs w:val="26"/>
        </w:rPr>
        <w:t>683.239110462645*e^(+0.621993535181204*([гнп Центральное водоснабжение])+0.00000471119135678792*__Численность населения в населенном пункте)</w:t>
      </w:r>
    </w:p>
    <w:p w14:paraId="3256386C" w14:textId="77777777" w:rsidR="002F3D30" w:rsidRPr="00F562A8" w:rsidRDefault="002F3D30" w:rsidP="002F3D3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F-статистики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30BF4DBE" w14:textId="3D7F5742" w:rsidR="002F3D30" w:rsidRPr="00F562A8" w:rsidRDefault="00581634" w:rsidP="002F3D30">
      <w:pPr>
        <w:spacing w:after="0" w:line="276" w:lineRule="auto"/>
        <w:jc w:val="center"/>
        <w:rPr>
          <w:rFonts w:ascii="Times New Roman" w:hAnsi="Times New Roman" w:cs="Times New Roman"/>
        </w:rPr>
      </w:pPr>
      <w:r w:rsidRPr="000A790E">
        <w:rPr>
          <w:noProof/>
          <w:lang w:eastAsia="ru-RU"/>
        </w:rPr>
        <w:drawing>
          <wp:inline distT="0" distB="0" distL="0" distR="0" wp14:anchorId="394428B7" wp14:editId="2CF49185">
            <wp:extent cx="5939790" cy="3068627"/>
            <wp:effectExtent l="0" t="0" r="381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5939790" cy="3068627"/>
                    </a:xfrm>
                    <a:prstGeom prst="rect">
                      <a:avLst/>
                    </a:prstGeom>
                  </pic:spPr>
                </pic:pic>
              </a:graphicData>
            </a:graphic>
          </wp:inline>
        </w:drawing>
      </w:r>
    </w:p>
    <w:p w14:paraId="361648F1" w14:textId="6DF2BD65" w:rsidR="002F3D30" w:rsidRPr="00F562A8" w:rsidRDefault="002F3D30" w:rsidP="002F3D30">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9456EB" w:rsidRPr="00F562A8">
        <w:rPr>
          <w:rFonts w:ascii="Times New Roman" w:hAnsi="Times New Roman" w:cs="Times New Roman"/>
          <w:sz w:val="26"/>
          <w:szCs w:val="26"/>
        </w:rPr>
        <w:t>3.6.</w:t>
      </w:r>
      <w:r w:rsidR="009456EB">
        <w:rPr>
          <w:rFonts w:ascii="Times New Roman" w:hAnsi="Times New Roman" w:cs="Times New Roman"/>
          <w:sz w:val="26"/>
          <w:szCs w:val="26"/>
        </w:rPr>
        <w:t>5</w:t>
      </w:r>
      <w:r w:rsidR="009456EB" w:rsidRPr="00F562A8">
        <w:rPr>
          <w:rFonts w:ascii="Times New Roman" w:hAnsi="Times New Roman" w:cs="Times New Roman"/>
          <w:sz w:val="26"/>
          <w:szCs w:val="26"/>
        </w:rPr>
        <w:t>.</w:t>
      </w:r>
      <w:r w:rsidR="009456EB">
        <w:rPr>
          <w:rFonts w:ascii="Times New Roman" w:hAnsi="Times New Roman" w:cs="Times New Roman"/>
          <w:sz w:val="26"/>
          <w:szCs w:val="26"/>
        </w:rPr>
        <w:t>6</w:t>
      </w:r>
      <w:r w:rsidR="009456EB" w:rsidRPr="00F562A8">
        <w:rPr>
          <w:rFonts w:ascii="Times New Roman" w:hAnsi="Times New Roman" w:cs="Times New Roman"/>
          <w:sz w:val="26"/>
          <w:szCs w:val="26"/>
        </w:rPr>
        <w:t>.</w:t>
      </w:r>
      <w:r w:rsidR="0039273F">
        <w:rPr>
          <w:rFonts w:ascii="Times New Roman" w:hAnsi="Times New Roman" w:cs="Times New Roman"/>
          <w:sz w:val="26"/>
          <w:szCs w:val="26"/>
        </w:rPr>
        <w:t>4</w:t>
      </w:r>
      <w:r w:rsidR="009456EB">
        <w:rPr>
          <w:rFonts w:ascii="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0FF91401" w14:textId="45DB1D2D" w:rsidR="002F3D30" w:rsidRPr="00F562A8" w:rsidRDefault="002F3D30" w:rsidP="002F3D3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Как видно из статистических показателей, представленных выше, все коэффициенты регрессионной модели значимые. </w:t>
      </w:r>
      <w:r w:rsidR="00490140" w:rsidRPr="00F562A8">
        <w:rPr>
          <w:rFonts w:ascii="Times New Roman" w:hAnsi="Times New Roman" w:cs="Times New Roman"/>
          <w:sz w:val="26"/>
          <w:szCs w:val="26"/>
        </w:rPr>
        <w:t>Влияние фактор</w:t>
      </w:r>
      <w:r w:rsidR="00490140">
        <w:rPr>
          <w:rFonts w:ascii="Times New Roman" w:hAnsi="Times New Roman" w:cs="Times New Roman"/>
          <w:sz w:val="26"/>
          <w:szCs w:val="26"/>
        </w:rPr>
        <w:t>а</w:t>
      </w:r>
      <w:r w:rsidR="00490140">
        <w:rPr>
          <w:rFonts w:ascii="Times New Roman" w:hAnsi="Times New Roman" w:cs="Times New Roman"/>
          <w:sz w:val="26"/>
          <w:szCs w:val="26"/>
          <w:vertAlign w:val="subscript"/>
        </w:rPr>
        <w:t xml:space="preserve"> </w:t>
      </w:r>
      <w:r w:rsidR="00490140" w:rsidRPr="00F562A8">
        <w:rPr>
          <w:rFonts w:ascii="Times New Roman" w:hAnsi="Times New Roman" w:cs="Times New Roman"/>
          <w:sz w:val="26"/>
          <w:szCs w:val="26"/>
        </w:rPr>
        <w:t xml:space="preserve">на кадастровую стоимость прямое и с ростом факторов кадастровая стоимость </w:t>
      </w:r>
      <w:r w:rsidR="00490140" w:rsidRPr="00490140">
        <w:rPr>
          <w:rFonts w:ascii="Times New Roman" w:hAnsi="Times New Roman" w:cs="Times New Roman"/>
          <w:sz w:val="26"/>
          <w:szCs w:val="26"/>
        </w:rPr>
        <w:t>растет</w:t>
      </w:r>
      <w:r w:rsidRPr="00490140">
        <w:rPr>
          <w:rFonts w:ascii="Times New Roman" w:hAnsi="Times New Roman" w:cs="Times New Roman"/>
          <w:sz w:val="26"/>
          <w:szCs w:val="26"/>
        </w:rPr>
        <w:t>.</w:t>
      </w:r>
      <w:r w:rsidRPr="00F562A8">
        <w:rPr>
          <w:rFonts w:ascii="Times New Roman" w:hAnsi="Times New Roman" w:cs="Times New Roman"/>
          <w:sz w:val="26"/>
          <w:szCs w:val="26"/>
        </w:rPr>
        <w:t xml:space="preserve"> Малые значения средней ошибки аппроксимации и среднеквадратической ошибки оценки свидетельствуют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618124A8" w14:textId="3D216D6B" w:rsidR="002F3D30" w:rsidRDefault="00E34753" w:rsidP="002F3D30">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7F2EEB6B" w14:textId="77777777" w:rsidR="00660550" w:rsidRDefault="00660550" w:rsidP="002F3D30">
      <w:pPr>
        <w:spacing w:after="0" w:line="276" w:lineRule="auto"/>
        <w:ind w:firstLine="709"/>
        <w:jc w:val="both"/>
        <w:rPr>
          <w:rFonts w:ascii="Times New Roman" w:eastAsiaTheme="minorEastAsia" w:hAnsi="Times New Roman" w:cs="Times New Roman"/>
          <w:sz w:val="26"/>
          <w:szCs w:val="26"/>
        </w:rPr>
      </w:pPr>
    </w:p>
    <w:p w14:paraId="62CB3CC8" w14:textId="0B971854" w:rsidR="001A48D7" w:rsidRPr="00DC7772" w:rsidRDefault="002D4BEA" w:rsidP="002D4BEA">
      <w:pPr>
        <w:pStyle w:val="ab"/>
        <w:ind w:left="0"/>
        <w:jc w:val="center"/>
        <w:outlineLvl w:val="2"/>
        <w:rPr>
          <w:rFonts w:ascii="Times New Roman" w:hAnsi="Times New Roman" w:cs="Times New Roman"/>
          <w:i/>
          <w:sz w:val="26"/>
          <w:szCs w:val="26"/>
        </w:rPr>
      </w:pPr>
      <w:bookmarkStart w:id="240" w:name="_Toc110506988"/>
      <w:r w:rsidRPr="00DC7772">
        <w:rPr>
          <w:rFonts w:ascii="Times New Roman" w:hAnsi="Times New Roman" w:cs="Times New Roman"/>
          <w:i/>
          <w:sz w:val="26"/>
          <w:szCs w:val="26"/>
        </w:rPr>
        <w:t>3.6.5.</w:t>
      </w:r>
      <w:r w:rsidR="00B11E8D" w:rsidRPr="00DC7772">
        <w:rPr>
          <w:rFonts w:ascii="Times New Roman" w:hAnsi="Times New Roman" w:cs="Times New Roman"/>
          <w:i/>
          <w:sz w:val="26"/>
          <w:szCs w:val="26"/>
        </w:rPr>
        <w:t>7</w:t>
      </w:r>
      <w:r w:rsidRPr="00DC7772">
        <w:rPr>
          <w:rFonts w:ascii="Times New Roman" w:hAnsi="Times New Roman" w:cs="Times New Roman"/>
          <w:i/>
          <w:sz w:val="26"/>
          <w:szCs w:val="26"/>
        </w:rPr>
        <w:t xml:space="preserve">. </w:t>
      </w:r>
      <w:r w:rsidR="001A48D7" w:rsidRPr="00DC7772">
        <w:rPr>
          <w:rFonts w:ascii="Times New Roman" w:hAnsi="Times New Roman" w:cs="Times New Roman"/>
          <w:i/>
          <w:sz w:val="26"/>
          <w:szCs w:val="26"/>
        </w:rPr>
        <w:t>Расчет кадастровой стоимости земельных участков группы</w:t>
      </w:r>
      <w:r w:rsidR="00211858" w:rsidRPr="00DC7772">
        <w:rPr>
          <w:rFonts w:ascii="Times New Roman" w:hAnsi="Times New Roman" w:cs="Times New Roman"/>
          <w:i/>
          <w:sz w:val="26"/>
          <w:szCs w:val="26"/>
        </w:rPr>
        <w:t xml:space="preserve"> ОТДЫХ/ПРОЧИЕ ГНП</w:t>
      </w:r>
      <w:bookmarkEnd w:id="240"/>
    </w:p>
    <w:p w14:paraId="48F0BAAD" w14:textId="77777777" w:rsidR="006B6B44" w:rsidRDefault="00211858" w:rsidP="00571E3C">
      <w:pPr>
        <w:spacing w:after="0" w:line="276" w:lineRule="auto"/>
        <w:ind w:firstLine="709"/>
        <w:jc w:val="both"/>
        <w:rPr>
          <w:rFonts w:ascii="Times New Roman" w:eastAsiaTheme="minorEastAsia" w:hAnsi="Times New Roman" w:cs="Times New Roman"/>
          <w:sz w:val="26"/>
          <w:szCs w:val="26"/>
        </w:rPr>
      </w:pPr>
      <w:r w:rsidRPr="00DC7772">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2BAB75D7" w14:textId="3FD42734" w:rsidR="00571E3C" w:rsidRDefault="00571E3C" w:rsidP="00571E3C">
      <w:pPr>
        <w:spacing w:after="0" w:line="276" w:lineRule="auto"/>
        <w:ind w:firstLine="709"/>
        <w:jc w:val="both"/>
        <w:rPr>
          <w:rFonts w:ascii="Times New Roman" w:hAnsi="Times New Roman" w:cs="Times New Roman"/>
          <w:sz w:val="26"/>
          <w:szCs w:val="26"/>
        </w:rPr>
      </w:pPr>
      <w:r w:rsidRPr="00DC7772">
        <w:rPr>
          <w:rFonts w:ascii="Times New Roman" w:hAnsi="Times New Roman" w:cs="Times New Roman"/>
          <w:sz w:val="26"/>
          <w:szCs w:val="26"/>
        </w:rPr>
        <w:t>В состав группы ОТДЫХ/</w:t>
      </w:r>
      <w:r w:rsidR="00E107C1" w:rsidRPr="00DC7772">
        <w:rPr>
          <w:rFonts w:ascii="Times New Roman" w:hAnsi="Times New Roman" w:cs="Times New Roman"/>
          <w:sz w:val="26"/>
          <w:szCs w:val="26"/>
        </w:rPr>
        <w:t>ПРОЧИЕ</w:t>
      </w:r>
      <w:r w:rsidRPr="00DC7772">
        <w:rPr>
          <w:rFonts w:ascii="Times New Roman" w:hAnsi="Times New Roman" w:cs="Times New Roman"/>
          <w:sz w:val="26"/>
          <w:szCs w:val="26"/>
        </w:rPr>
        <w:t xml:space="preserve"> ГНП вошли следующие коды расчета видов использования</w:t>
      </w:r>
      <w:r w:rsidRPr="00F562A8">
        <w:rPr>
          <w:rFonts w:ascii="Times New Roman" w:hAnsi="Times New Roman" w:cs="Times New Roman"/>
          <w:sz w:val="26"/>
          <w:szCs w:val="26"/>
        </w:rPr>
        <w:t>:</w:t>
      </w:r>
      <w:r w:rsidRPr="006548E3">
        <w:t xml:space="preserve"> </w:t>
      </w:r>
      <w:r w:rsidRPr="00B853E9">
        <w:rPr>
          <w:rFonts w:ascii="Times New Roman" w:hAnsi="Times New Roman" w:cs="Times New Roman"/>
          <w:sz w:val="26"/>
          <w:szCs w:val="26"/>
        </w:rPr>
        <w:t>05:000, 02:040, 05:014, 05:022, 05:030, 08:040, 09:021, 09:023</w:t>
      </w:r>
      <w:r>
        <w:rPr>
          <w:rFonts w:ascii="Times New Roman" w:hAnsi="Times New Roman" w:cs="Times New Roman"/>
          <w:sz w:val="26"/>
          <w:szCs w:val="26"/>
        </w:rPr>
        <w:t>.</w:t>
      </w:r>
    </w:p>
    <w:p w14:paraId="56FA57F1" w14:textId="7B36F11F" w:rsidR="00211858" w:rsidRPr="00F562A8" w:rsidRDefault="00211858" w:rsidP="00211858">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Pr>
          <w:rFonts w:ascii="Times New Roman" w:hAnsi="Times New Roman" w:cs="Times New Roman"/>
          <w:sz w:val="26"/>
          <w:szCs w:val="26"/>
        </w:rPr>
        <w:t>ОТДЫХ</w:t>
      </w:r>
      <w:r w:rsidRPr="00A53A0E">
        <w:rPr>
          <w:rFonts w:ascii="Times New Roman" w:hAnsi="Times New Roman" w:cs="Times New Roman"/>
          <w:sz w:val="26"/>
          <w:szCs w:val="26"/>
        </w:rPr>
        <w:t>/ПРОЧИЕ ГНП</w:t>
      </w:r>
      <w:r w:rsidRPr="00F562A8">
        <w:rPr>
          <w:rFonts w:ascii="Times New Roman" w:hAnsi="Times New Roman" w:cs="Times New Roman"/>
          <w:sz w:val="26"/>
          <w:szCs w:val="26"/>
        </w:rPr>
        <w:t xml:space="preserve"> 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5D0CA39F" w14:textId="2E15CECF"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615491">
        <w:rPr>
          <w:rFonts w:ascii="Times New Roman" w:hAnsi="Times New Roman" w:cs="Times New Roman"/>
          <w:sz w:val="26"/>
          <w:szCs w:val="26"/>
        </w:rPr>
        <w:t>45.1.1</w:t>
      </w:r>
      <w:r w:rsidRPr="00F562A8">
        <w:rPr>
          <w:rFonts w:ascii="Times New Roman" w:hAnsi="Times New Roman" w:cs="Times New Roman"/>
          <w:sz w:val="26"/>
          <w:szCs w:val="26"/>
        </w:rPr>
        <w:t xml:space="preserve">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48EDFA41"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6CA6743D"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48C64630"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797F8D5B"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2D5EC7CF"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28240B78"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09D8C813" w14:textId="1CBCA6B3" w:rsidR="00211858" w:rsidRPr="00F562A8" w:rsidRDefault="00211858" w:rsidP="00211858">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городских населенных пунктах Воронежской области, с численностью населения меньше 30000 человек,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3016A0" w:rsidRPr="00F562A8">
        <w:rPr>
          <w:rFonts w:ascii="Times New Roman" w:hAnsi="Times New Roman" w:cs="Times New Roman"/>
          <w:sz w:val="26"/>
          <w:szCs w:val="26"/>
        </w:rPr>
        <w:t>представлены в таблиц</w:t>
      </w:r>
      <w:r w:rsidR="003016A0">
        <w:rPr>
          <w:rFonts w:ascii="Times New Roman" w:hAnsi="Times New Roman" w:cs="Times New Roman"/>
          <w:sz w:val="26"/>
          <w:szCs w:val="26"/>
        </w:rPr>
        <w:t>ах</w:t>
      </w:r>
      <w:r w:rsidR="003016A0" w:rsidRPr="00F562A8">
        <w:rPr>
          <w:rFonts w:ascii="Times New Roman" w:hAnsi="Times New Roman" w:cs="Times New Roman"/>
          <w:sz w:val="26"/>
          <w:szCs w:val="26"/>
        </w:rPr>
        <w:t xml:space="preserve"> </w:t>
      </w:r>
      <w:r w:rsidR="003016A0" w:rsidRPr="00F562A8">
        <w:rPr>
          <w:rFonts w:ascii="Times New Roman" w:eastAsia="Times New Roman" w:hAnsi="Times New Roman" w:cs="Times New Roman"/>
          <w:sz w:val="26"/>
          <w:szCs w:val="26"/>
        </w:rPr>
        <w:t>3.</w:t>
      </w:r>
      <w:r w:rsidR="003016A0">
        <w:rPr>
          <w:rFonts w:ascii="Times New Roman" w:eastAsia="Times New Roman" w:hAnsi="Times New Roman" w:cs="Times New Roman"/>
          <w:sz w:val="26"/>
          <w:szCs w:val="26"/>
        </w:rPr>
        <w:t>4 и 3.5, пунктов 3.4 и 3.5 соответственно</w:t>
      </w:r>
      <w:r w:rsidR="003016A0" w:rsidRPr="00F562A8">
        <w:rPr>
          <w:rFonts w:ascii="Times New Roman" w:hAnsi="Times New Roman" w:cs="Times New Roman"/>
          <w:sz w:val="26"/>
          <w:szCs w:val="26"/>
        </w:rPr>
        <w:t>.</w:t>
      </w:r>
    </w:p>
    <w:p w14:paraId="17406B03" w14:textId="0F4D8C8F" w:rsidR="00211858" w:rsidRPr="00F562A8" w:rsidRDefault="00211858" w:rsidP="00211858">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1D56148E" w14:textId="77777777" w:rsidR="00211858" w:rsidRPr="00F562A8" w:rsidRDefault="00211858" w:rsidP="00211858">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0A5F437C" w14:textId="68781D69" w:rsidR="00211858" w:rsidRPr="00F562A8" w:rsidRDefault="00211858" w:rsidP="00211858">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D65F59">
        <w:rPr>
          <w:rFonts w:ascii="Times New Roman" w:hAnsi="Times New Roman" w:cs="Times New Roman"/>
          <w:sz w:val="26"/>
          <w:szCs w:val="26"/>
        </w:rPr>
        <w:t>2</w:t>
      </w:r>
      <w:r w:rsidRPr="00F562A8">
        <w:rPr>
          <w:rFonts w:ascii="Times New Roman" w:hAnsi="Times New Roman" w:cs="Times New Roman"/>
          <w:sz w:val="26"/>
          <w:szCs w:val="26"/>
        </w:rPr>
        <w:t>:</w:t>
      </w:r>
    </w:p>
    <w:p w14:paraId="135647FD" w14:textId="69BF4BD5" w:rsidR="00211858" w:rsidRPr="00F562A8" w:rsidRDefault="00211858" w:rsidP="00211858">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р</w:t>
      </w:r>
      <w:r w:rsidRPr="00FC35E5">
        <w:rPr>
          <w:rFonts w:ascii="Times New Roman" w:hAnsi="Times New Roman" w:cs="Times New Roman"/>
          <w:sz w:val="26"/>
          <w:szCs w:val="26"/>
        </w:rPr>
        <w:t xml:space="preserve">асстояние объекта до </w:t>
      </w:r>
      <w:r w:rsidR="00D65F59" w:rsidRPr="00D65F59">
        <w:rPr>
          <w:rFonts w:ascii="Times New Roman" w:hAnsi="Times New Roman" w:cs="Times New Roman"/>
          <w:sz w:val="26"/>
          <w:szCs w:val="26"/>
        </w:rPr>
        <w:t>центра населенного пункта</w:t>
      </w:r>
      <w:r w:rsidRPr="00F562A8">
        <w:rPr>
          <w:rFonts w:ascii="Times New Roman" w:hAnsi="Times New Roman" w:cs="Times New Roman"/>
          <w:sz w:val="26"/>
          <w:szCs w:val="26"/>
        </w:rPr>
        <w:t>: Х</w:t>
      </w:r>
      <w:r w:rsidR="00D65F59">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5B87DD88" w14:textId="57135F69" w:rsidR="00211858" w:rsidRPr="00F562A8" w:rsidRDefault="00211858" w:rsidP="00211858">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ч</w:t>
      </w:r>
      <w:r w:rsidRPr="00FC35E5">
        <w:rPr>
          <w:rFonts w:ascii="Times New Roman" w:hAnsi="Times New Roman" w:cs="Times New Roman"/>
          <w:sz w:val="26"/>
          <w:szCs w:val="26"/>
        </w:rPr>
        <w:t>исленность населения в населенном пункте:</w:t>
      </w:r>
      <w:r>
        <w:t xml:space="preserve"> </w:t>
      </w:r>
      <w:r w:rsidRPr="00F562A8">
        <w:rPr>
          <w:rFonts w:ascii="Times New Roman" w:hAnsi="Times New Roman" w:cs="Times New Roman"/>
          <w:sz w:val="26"/>
          <w:szCs w:val="26"/>
        </w:rPr>
        <w:t>Х</w:t>
      </w:r>
      <w:r w:rsidR="00D65F59">
        <w:rPr>
          <w:rFonts w:ascii="Times New Roman" w:hAnsi="Times New Roman" w:cs="Times New Roman"/>
          <w:sz w:val="26"/>
          <w:szCs w:val="26"/>
          <w:vertAlign w:val="subscript"/>
        </w:rPr>
        <w:t>1</w:t>
      </w:r>
      <w:r>
        <w:rPr>
          <w:rFonts w:ascii="Times New Roman" w:hAnsi="Times New Roman" w:cs="Times New Roman"/>
          <w:sz w:val="26"/>
          <w:szCs w:val="26"/>
          <w:vertAlign w:val="subscript"/>
        </w:rPr>
        <w:t>.</w:t>
      </w:r>
    </w:p>
    <w:p w14:paraId="064A8273" w14:textId="77777777" w:rsidR="00211858" w:rsidRPr="00F562A8" w:rsidRDefault="00211858" w:rsidP="00211858">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737B39A9" w14:textId="77777777" w:rsidR="00211858" w:rsidRPr="00F562A8" w:rsidRDefault="00211858" w:rsidP="00211858">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595FF7F6" w14:textId="44D69A0D" w:rsidR="00211858" w:rsidRPr="00F562A8" w:rsidRDefault="00211858" w:rsidP="00211858">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0E3BBF">
        <w:rPr>
          <w:rFonts w:ascii="Times New Roman" w:hAnsi="Times New Roman" w:cs="Times New Roman"/>
          <w:sz w:val="26"/>
          <w:szCs w:val="26"/>
        </w:rPr>
        <w:t>двух</w:t>
      </w:r>
      <w:r w:rsidRPr="00F562A8">
        <w:rPr>
          <w:rFonts w:ascii="Times New Roman" w:hAnsi="Times New Roman" w:cs="Times New Roman"/>
          <w:sz w:val="26"/>
          <w:szCs w:val="26"/>
        </w:rPr>
        <w:t>факторные модели:</w:t>
      </w:r>
    </w:p>
    <w:p w14:paraId="51B8840A" w14:textId="77777777" w:rsidR="00211858" w:rsidRPr="00F562A8" w:rsidRDefault="00211858" w:rsidP="00211858">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4E7A6231" wp14:editId="4815CC77">
            <wp:extent cx="2209800" cy="247650"/>
            <wp:effectExtent l="0" t="0" r="0" b="0"/>
            <wp:docPr id="693" name="Рисунок 693"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2EAE4E26" w14:textId="77777777" w:rsidR="00211858" w:rsidRPr="00F562A8" w:rsidRDefault="00211858" w:rsidP="00211858">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0751C2D5" wp14:editId="66AC116F">
            <wp:extent cx="1352550" cy="266700"/>
            <wp:effectExtent l="0" t="0" r="0" b="0"/>
            <wp:docPr id="695" name="Рисунок 695"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6FF8CB76" w14:textId="77777777" w:rsidR="00211858" w:rsidRPr="00F562A8" w:rsidRDefault="00211858" w:rsidP="00211858">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7225C808" wp14:editId="2E77CCA6">
            <wp:extent cx="1266825" cy="266700"/>
            <wp:effectExtent l="0" t="0" r="0" b="0"/>
            <wp:docPr id="696" name="Рисунок 696"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36A26EE5" w14:textId="77777777" w:rsidR="00211858" w:rsidRPr="00F562A8" w:rsidRDefault="00211858" w:rsidP="00211858">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108518F1"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5D1A8F8B"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44F2CBF4" wp14:editId="31872CB4">
            <wp:extent cx="209550" cy="247650"/>
            <wp:effectExtent l="0" t="0" r="0" b="0"/>
            <wp:docPr id="697" name="Рисунок 697"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29CABFCC" wp14:editId="622CB6BF">
            <wp:extent cx="200025" cy="247650"/>
            <wp:effectExtent l="0" t="0" r="9525" b="0"/>
            <wp:docPr id="699" name="Рисунок 699"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686B9BB8" wp14:editId="0341D5FD">
            <wp:extent cx="209550" cy="247650"/>
            <wp:effectExtent l="0" t="0" r="0" b="0"/>
            <wp:docPr id="700" name="Рисунок 700"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5F01B7F6" w14:textId="2BBF4C5E" w:rsidR="00211858" w:rsidRPr="00F562A8" w:rsidRDefault="00EB1313" w:rsidP="00211858">
      <w:pPr>
        <w:spacing w:after="0" w:line="276" w:lineRule="auto"/>
        <w:jc w:val="center"/>
        <w:rPr>
          <w:rFonts w:ascii="Times New Roman" w:hAnsi="Times New Roman" w:cs="Times New Roman"/>
          <w:lang w:val="en-US"/>
        </w:rPr>
      </w:pPr>
      <w:r w:rsidRPr="00DC4DE2">
        <w:rPr>
          <w:noProof/>
          <w:lang w:eastAsia="ru-RU"/>
        </w:rPr>
        <w:drawing>
          <wp:inline distT="0" distB="0" distL="0" distR="0" wp14:anchorId="15626115" wp14:editId="4F9BEC26">
            <wp:extent cx="5939790" cy="941604"/>
            <wp:effectExtent l="0" t="0" r="381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939790" cy="941604"/>
                    </a:xfrm>
                    <a:prstGeom prst="rect">
                      <a:avLst/>
                    </a:prstGeom>
                  </pic:spPr>
                </pic:pic>
              </a:graphicData>
            </a:graphic>
          </wp:inline>
        </w:drawing>
      </w:r>
    </w:p>
    <w:p w14:paraId="5FFB4ADB" w14:textId="46AF3410" w:rsidR="00211858" w:rsidRPr="00F562A8" w:rsidRDefault="00211858" w:rsidP="00211858">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E107C1" w:rsidRPr="00F562A8">
        <w:rPr>
          <w:rFonts w:ascii="Times New Roman" w:hAnsi="Times New Roman" w:cs="Times New Roman"/>
          <w:sz w:val="26"/>
          <w:szCs w:val="26"/>
        </w:rPr>
        <w:t>3.6.</w:t>
      </w:r>
      <w:r w:rsidR="00E107C1">
        <w:rPr>
          <w:rFonts w:ascii="Times New Roman" w:hAnsi="Times New Roman" w:cs="Times New Roman"/>
          <w:sz w:val="26"/>
          <w:szCs w:val="26"/>
        </w:rPr>
        <w:t>5</w:t>
      </w:r>
      <w:r w:rsidR="00E107C1" w:rsidRPr="00F562A8">
        <w:rPr>
          <w:rFonts w:ascii="Times New Roman" w:hAnsi="Times New Roman" w:cs="Times New Roman"/>
          <w:sz w:val="26"/>
          <w:szCs w:val="26"/>
        </w:rPr>
        <w:t>.</w:t>
      </w:r>
      <w:r w:rsidR="00E107C1">
        <w:rPr>
          <w:rFonts w:ascii="Times New Roman" w:hAnsi="Times New Roman" w:cs="Times New Roman"/>
          <w:sz w:val="26"/>
          <w:szCs w:val="26"/>
        </w:rPr>
        <w:t>7.</w:t>
      </w:r>
      <w:r w:rsidR="0039273F">
        <w:rPr>
          <w:rFonts w:ascii="Times New Roman" w:hAnsi="Times New Roman" w:cs="Times New Roman"/>
          <w:sz w:val="26"/>
          <w:szCs w:val="26"/>
        </w:rPr>
        <w:t>1</w:t>
      </w:r>
      <w:r w:rsidR="00E107C1">
        <w:rPr>
          <w:rFonts w:ascii="Times New Roman" w:hAnsi="Times New Roman" w:cs="Times New Roman"/>
          <w:sz w:val="26"/>
          <w:szCs w:val="26"/>
        </w:rPr>
        <w:t xml:space="preserve"> </w:t>
      </w:r>
      <w:r w:rsidRPr="00F562A8">
        <w:rPr>
          <w:rFonts w:ascii="Times New Roman" w:hAnsi="Times New Roman" w:cs="Times New Roman"/>
          <w:sz w:val="26"/>
          <w:szCs w:val="26"/>
        </w:rPr>
        <w:t xml:space="preserve">- Множественные регрессионные </w:t>
      </w:r>
      <w:r w:rsidR="000E3BBF">
        <w:rPr>
          <w:rFonts w:ascii="Times New Roman" w:hAnsi="Times New Roman" w:cs="Times New Roman"/>
          <w:sz w:val="26"/>
          <w:szCs w:val="26"/>
        </w:rPr>
        <w:t>двух</w:t>
      </w:r>
      <w:r w:rsidRPr="00F562A8">
        <w:rPr>
          <w:rFonts w:ascii="Times New Roman" w:hAnsi="Times New Roman" w:cs="Times New Roman"/>
          <w:sz w:val="26"/>
          <w:szCs w:val="26"/>
        </w:rPr>
        <w:t>хфакторные модели</w:t>
      </w:r>
    </w:p>
    <w:p w14:paraId="4673A261" w14:textId="6242C773"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5D292F84"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1010B159"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6B70675D"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523A584A"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2359F251"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4CB1C253"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5A78CD22"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6762692A" w14:textId="6FA05EEA" w:rsidR="00211858" w:rsidRPr="00F562A8" w:rsidRDefault="00EB1313" w:rsidP="00211858">
      <w:pPr>
        <w:spacing w:after="0" w:line="276" w:lineRule="auto"/>
        <w:jc w:val="center"/>
        <w:rPr>
          <w:rFonts w:ascii="Times New Roman" w:hAnsi="Times New Roman" w:cs="Times New Roman"/>
        </w:rPr>
      </w:pPr>
      <w:r w:rsidRPr="00DC4DE2">
        <w:rPr>
          <w:noProof/>
          <w:lang w:eastAsia="ru-RU"/>
        </w:rPr>
        <w:drawing>
          <wp:inline distT="0" distB="0" distL="0" distR="0" wp14:anchorId="5A8B6117" wp14:editId="04955613">
            <wp:extent cx="5686425" cy="1214692"/>
            <wp:effectExtent l="0" t="0" r="0" b="508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4"/>
                    <a:srcRect r="8073"/>
                    <a:stretch/>
                  </pic:blipFill>
                  <pic:spPr bwMode="auto">
                    <a:xfrm>
                      <a:off x="0" y="0"/>
                      <a:ext cx="5738633" cy="1225844"/>
                    </a:xfrm>
                    <a:prstGeom prst="rect">
                      <a:avLst/>
                    </a:prstGeom>
                    <a:ln>
                      <a:noFill/>
                    </a:ln>
                    <a:extLst>
                      <a:ext uri="{53640926-AAD7-44D8-BBD7-CCE9431645EC}">
                        <a14:shadowObscured xmlns:a14="http://schemas.microsoft.com/office/drawing/2010/main"/>
                      </a:ext>
                    </a:extLst>
                  </pic:spPr>
                </pic:pic>
              </a:graphicData>
            </a:graphic>
          </wp:inline>
        </w:drawing>
      </w:r>
    </w:p>
    <w:p w14:paraId="45696BF7" w14:textId="7FD1AB82" w:rsidR="00211858" w:rsidRPr="00F562A8" w:rsidRDefault="00211858" w:rsidP="00211858">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E107C1" w:rsidRPr="00F562A8">
        <w:rPr>
          <w:rFonts w:ascii="Times New Roman" w:hAnsi="Times New Roman" w:cs="Times New Roman"/>
          <w:sz w:val="26"/>
          <w:szCs w:val="26"/>
        </w:rPr>
        <w:t>3.6.</w:t>
      </w:r>
      <w:r w:rsidR="00E107C1">
        <w:rPr>
          <w:rFonts w:ascii="Times New Roman" w:hAnsi="Times New Roman" w:cs="Times New Roman"/>
          <w:sz w:val="26"/>
          <w:szCs w:val="26"/>
        </w:rPr>
        <w:t>5</w:t>
      </w:r>
      <w:r w:rsidR="00E107C1" w:rsidRPr="00F562A8">
        <w:rPr>
          <w:rFonts w:ascii="Times New Roman" w:hAnsi="Times New Roman" w:cs="Times New Roman"/>
          <w:sz w:val="26"/>
          <w:szCs w:val="26"/>
        </w:rPr>
        <w:t>.</w:t>
      </w:r>
      <w:r w:rsidR="00E107C1">
        <w:rPr>
          <w:rFonts w:ascii="Times New Roman" w:hAnsi="Times New Roman" w:cs="Times New Roman"/>
          <w:sz w:val="26"/>
          <w:szCs w:val="26"/>
        </w:rPr>
        <w:t>7.</w:t>
      </w:r>
      <w:r w:rsidR="0039273F">
        <w:rPr>
          <w:rFonts w:ascii="Times New Roman" w:hAnsi="Times New Roman" w:cs="Times New Roman"/>
          <w:sz w:val="26"/>
          <w:szCs w:val="26"/>
        </w:rPr>
        <w:t>2</w:t>
      </w:r>
      <w:r w:rsidRPr="00F562A8">
        <w:rPr>
          <w:rFonts w:ascii="Times New Roman" w:hAnsi="Times New Roman" w:cs="Times New Roman"/>
          <w:sz w:val="26"/>
          <w:szCs w:val="26"/>
        </w:rPr>
        <w:t xml:space="preserve"> -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785FB84C"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0B2E2616" w14:textId="77777777" w:rsidR="00211858" w:rsidRPr="00F562A8" w:rsidRDefault="00211858" w:rsidP="00211858">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0477D1D1" w14:textId="77777777" w:rsidR="00211858" w:rsidRPr="00F562A8" w:rsidRDefault="00211858" w:rsidP="00211858">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03B8FEC5" w14:textId="45E306C5" w:rsidR="00211858" w:rsidRPr="00F562A8" w:rsidRDefault="00EB1313" w:rsidP="00211858">
      <w:pPr>
        <w:spacing w:after="0" w:line="276" w:lineRule="auto"/>
        <w:jc w:val="center"/>
        <w:rPr>
          <w:rFonts w:ascii="Times New Roman" w:hAnsi="Times New Roman" w:cs="Times New Roman"/>
          <w:lang w:val="en-US"/>
        </w:rPr>
      </w:pPr>
      <w:r w:rsidRPr="00DC4DE2">
        <w:rPr>
          <w:noProof/>
          <w:lang w:eastAsia="ru-RU"/>
        </w:rPr>
        <w:drawing>
          <wp:inline distT="0" distB="0" distL="0" distR="0" wp14:anchorId="6669AF3F" wp14:editId="47BC07F1">
            <wp:extent cx="2962275" cy="969307"/>
            <wp:effectExtent l="0" t="0" r="0" b="254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2971021" cy="972169"/>
                    </a:xfrm>
                    <a:prstGeom prst="rect">
                      <a:avLst/>
                    </a:prstGeom>
                  </pic:spPr>
                </pic:pic>
              </a:graphicData>
            </a:graphic>
          </wp:inline>
        </w:drawing>
      </w:r>
    </w:p>
    <w:p w14:paraId="6B1275C0" w14:textId="0582CED8" w:rsidR="00211858" w:rsidRPr="00F562A8" w:rsidRDefault="00211858" w:rsidP="00211858">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E107C1" w:rsidRPr="00F562A8">
        <w:rPr>
          <w:rFonts w:ascii="Times New Roman" w:hAnsi="Times New Roman" w:cs="Times New Roman"/>
          <w:sz w:val="26"/>
          <w:szCs w:val="26"/>
        </w:rPr>
        <w:t>3.6.</w:t>
      </w:r>
      <w:r w:rsidR="00E107C1">
        <w:rPr>
          <w:rFonts w:ascii="Times New Roman" w:hAnsi="Times New Roman" w:cs="Times New Roman"/>
          <w:sz w:val="26"/>
          <w:szCs w:val="26"/>
        </w:rPr>
        <w:t>5</w:t>
      </w:r>
      <w:r w:rsidR="00E107C1" w:rsidRPr="00F562A8">
        <w:rPr>
          <w:rFonts w:ascii="Times New Roman" w:hAnsi="Times New Roman" w:cs="Times New Roman"/>
          <w:sz w:val="26"/>
          <w:szCs w:val="26"/>
        </w:rPr>
        <w:t>.</w:t>
      </w:r>
      <w:r w:rsidR="00E107C1">
        <w:rPr>
          <w:rFonts w:ascii="Times New Roman" w:hAnsi="Times New Roman" w:cs="Times New Roman"/>
          <w:sz w:val="26"/>
          <w:szCs w:val="26"/>
        </w:rPr>
        <w:t>7.</w:t>
      </w:r>
      <w:r w:rsidR="0039273F">
        <w:rPr>
          <w:rFonts w:ascii="Times New Roman" w:hAnsi="Times New Roman" w:cs="Times New Roman"/>
          <w:sz w:val="26"/>
          <w:szCs w:val="26"/>
        </w:rPr>
        <w:t>3</w:t>
      </w:r>
      <w:r w:rsidRPr="00F562A8">
        <w:rPr>
          <w:rFonts w:ascii="Times New Roman" w:hAnsi="Times New Roman" w:cs="Times New Roman"/>
          <w:sz w:val="26"/>
          <w:szCs w:val="26"/>
        </w:rPr>
        <w:t xml:space="preserve"> - Значения F-критерия Фишера</w:t>
      </w:r>
    </w:p>
    <w:p w14:paraId="3E3C2AB4" w14:textId="77777777" w:rsidR="00211858" w:rsidRPr="00F562A8" w:rsidRDefault="00211858" w:rsidP="00211858">
      <w:pPr>
        <w:spacing w:after="0" w:line="276"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все три модели адекватно описывают статистические данные и их можно использовать для анализа и прогнозирования кадастровой стоимости (результативного признака). </w:t>
      </w:r>
    </w:p>
    <w:p w14:paraId="253F2138" w14:textId="77777777" w:rsidR="00211858" w:rsidRPr="00F562A8" w:rsidRDefault="00211858" w:rsidP="00211858">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Наибольшее значение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имеет аддитивная модель, однако было учтено то, что она построена на основании ограниченной выборочной совокупности и адекватна на ограниченных интервалах независимых переменных. При расширении исходных данных прогнозное значение кадастровой стоимости может перейти в отрицательную область, что противоречит ее смыслу. Исходя из этого, для прогнозирования рационально выбрать экспоненциальную модель, которая всегда дает положительный прогноз. Экспоненциальная регрессионная модель имеет вид:</w:t>
      </w:r>
    </w:p>
    <w:p w14:paraId="38519B0F" w14:textId="37CF4D25" w:rsidR="00EB1313" w:rsidRDefault="00211858" w:rsidP="008F5391">
      <w:pPr>
        <w:ind w:firstLine="709"/>
        <w:jc w:val="both"/>
      </w:pPr>
      <w:r w:rsidRPr="00F562A8">
        <w:rPr>
          <w:rFonts w:ascii="Times New Roman" w:hAnsi="Times New Roman" w:cs="Times New Roman"/>
          <w:i/>
          <w:sz w:val="26"/>
          <w:szCs w:val="26"/>
        </w:rPr>
        <w:t xml:space="preserve">УПКС = </w:t>
      </w:r>
      <w:r w:rsidR="00EB1313" w:rsidRPr="00EB1313">
        <w:rPr>
          <w:rFonts w:ascii="Times New Roman" w:hAnsi="Times New Roman" w:cs="Times New Roman"/>
          <w:i/>
          <w:sz w:val="26"/>
          <w:szCs w:val="26"/>
        </w:rPr>
        <w:t>816.968554839743*e^(+0.000173757608155511*((5098.653+-780.549-</w:t>
      </w:r>
      <w:r w:rsidR="00A66A46">
        <w:rPr>
          <w:rFonts w:ascii="Times New Roman" w:hAnsi="Times New Roman" w:cs="Times New Roman"/>
          <w:i/>
          <w:sz w:val="26"/>
          <w:szCs w:val="26"/>
        </w:rPr>
        <w:t xml:space="preserve"> </w:t>
      </w:r>
      <w:r w:rsidR="00EB1313" w:rsidRPr="00EB1313">
        <w:rPr>
          <w:rFonts w:ascii="Times New Roman" w:hAnsi="Times New Roman" w:cs="Times New Roman"/>
          <w:i/>
          <w:sz w:val="26"/>
          <w:szCs w:val="26"/>
        </w:rPr>
        <w:t xml:space="preserve">гнп Расстояние объекта до </w:t>
      </w:r>
      <w:bookmarkStart w:id="241" w:name="_Hlk105492457"/>
      <w:r w:rsidR="00EB1313" w:rsidRPr="00EB1313">
        <w:rPr>
          <w:rFonts w:ascii="Times New Roman" w:hAnsi="Times New Roman" w:cs="Times New Roman"/>
          <w:i/>
          <w:sz w:val="26"/>
          <w:szCs w:val="26"/>
        </w:rPr>
        <w:t>центра населенного пункта</w:t>
      </w:r>
      <w:bookmarkEnd w:id="241"/>
      <w:r w:rsidR="00EB1313" w:rsidRPr="00EB1313">
        <w:rPr>
          <w:rFonts w:ascii="Times New Roman" w:hAnsi="Times New Roman" w:cs="Times New Roman"/>
          <w:i/>
          <w:sz w:val="26"/>
          <w:szCs w:val="26"/>
        </w:rPr>
        <w:t>))-0.0000089949579</w:t>
      </w:r>
      <w:r w:rsidR="00A66A46">
        <w:rPr>
          <w:rFonts w:ascii="Times New Roman" w:hAnsi="Times New Roman" w:cs="Times New Roman"/>
          <w:i/>
          <w:sz w:val="26"/>
          <w:szCs w:val="26"/>
        </w:rPr>
        <w:t xml:space="preserve"> </w:t>
      </w:r>
      <w:r w:rsidR="00EB1313" w:rsidRPr="00EB1313">
        <w:rPr>
          <w:rFonts w:ascii="Times New Roman" w:hAnsi="Times New Roman" w:cs="Times New Roman"/>
          <w:i/>
          <w:sz w:val="26"/>
          <w:szCs w:val="26"/>
        </w:rPr>
        <w:t>6020774*((27158.00+3200.00-__Численность населения в населенном пункте)))</w:t>
      </w:r>
    </w:p>
    <w:p w14:paraId="110FF5B5" w14:textId="56488CE2" w:rsidR="00211858" w:rsidRPr="00F562A8" w:rsidRDefault="00211858" w:rsidP="00EB1313">
      <w:pPr>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F-статистики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2C51DE33" w14:textId="3FFDD6A5" w:rsidR="00211858" w:rsidRPr="00F562A8" w:rsidRDefault="00EB1313" w:rsidP="00211858">
      <w:pPr>
        <w:spacing w:after="0" w:line="276" w:lineRule="auto"/>
        <w:jc w:val="center"/>
        <w:rPr>
          <w:rFonts w:ascii="Times New Roman" w:hAnsi="Times New Roman" w:cs="Times New Roman"/>
        </w:rPr>
      </w:pPr>
      <w:r w:rsidRPr="00DC4DE2">
        <w:rPr>
          <w:noProof/>
          <w:lang w:eastAsia="ru-RU"/>
        </w:rPr>
        <w:drawing>
          <wp:inline distT="0" distB="0" distL="0" distR="0" wp14:anchorId="44B4D7AD" wp14:editId="421183B2">
            <wp:extent cx="5577250" cy="2893255"/>
            <wp:effectExtent l="0" t="0" r="4445" b="254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5586635" cy="2898123"/>
                    </a:xfrm>
                    <a:prstGeom prst="rect">
                      <a:avLst/>
                    </a:prstGeom>
                  </pic:spPr>
                </pic:pic>
              </a:graphicData>
            </a:graphic>
          </wp:inline>
        </w:drawing>
      </w:r>
    </w:p>
    <w:p w14:paraId="5BC612E8" w14:textId="447B0E18" w:rsidR="00211858" w:rsidRPr="00F562A8" w:rsidRDefault="00211858" w:rsidP="00211858">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E107C1" w:rsidRPr="00F562A8">
        <w:rPr>
          <w:rFonts w:ascii="Times New Roman" w:hAnsi="Times New Roman" w:cs="Times New Roman"/>
          <w:sz w:val="26"/>
          <w:szCs w:val="26"/>
        </w:rPr>
        <w:t>3.6.</w:t>
      </w:r>
      <w:r w:rsidR="00E107C1">
        <w:rPr>
          <w:rFonts w:ascii="Times New Roman" w:hAnsi="Times New Roman" w:cs="Times New Roman"/>
          <w:sz w:val="26"/>
          <w:szCs w:val="26"/>
        </w:rPr>
        <w:t>5</w:t>
      </w:r>
      <w:r w:rsidR="00E107C1" w:rsidRPr="00F562A8">
        <w:rPr>
          <w:rFonts w:ascii="Times New Roman" w:hAnsi="Times New Roman" w:cs="Times New Roman"/>
          <w:sz w:val="26"/>
          <w:szCs w:val="26"/>
        </w:rPr>
        <w:t>.</w:t>
      </w:r>
      <w:r w:rsidR="00E107C1">
        <w:rPr>
          <w:rFonts w:ascii="Times New Roman" w:hAnsi="Times New Roman" w:cs="Times New Roman"/>
          <w:sz w:val="26"/>
          <w:szCs w:val="26"/>
        </w:rPr>
        <w:t>7.</w:t>
      </w:r>
      <w:r w:rsidR="0039273F">
        <w:rPr>
          <w:rFonts w:ascii="Times New Roman" w:hAnsi="Times New Roman" w:cs="Times New Roman"/>
          <w:sz w:val="26"/>
          <w:szCs w:val="26"/>
        </w:rPr>
        <w:t>4</w:t>
      </w:r>
      <w:r w:rsidR="00C779E6">
        <w:rPr>
          <w:rFonts w:ascii="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58D039F4" w14:textId="3B32BA3D" w:rsidR="00211858" w:rsidRPr="00F562A8" w:rsidRDefault="00211858" w:rsidP="00211858">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w:t>
      </w:r>
      <w:r w:rsidR="005F44B3">
        <w:rPr>
          <w:rFonts w:ascii="Times New Roman" w:hAnsi="Times New Roman" w:cs="Times New Roman"/>
          <w:sz w:val="26"/>
          <w:szCs w:val="26"/>
        </w:rPr>
        <w:t>о</w:t>
      </w:r>
      <w:r w:rsidRPr="00F562A8">
        <w:rPr>
          <w:rFonts w:ascii="Times New Roman" w:hAnsi="Times New Roman" w:cs="Times New Roman"/>
          <w:sz w:val="26"/>
          <w:szCs w:val="26"/>
        </w:rPr>
        <w:t>м Х</w:t>
      </w:r>
      <w:r w:rsidR="005F44B3">
        <w:rPr>
          <w:rFonts w:ascii="Times New Roman" w:hAnsi="Times New Roman" w:cs="Times New Roman"/>
          <w:sz w:val="26"/>
          <w:szCs w:val="26"/>
          <w:vertAlign w:val="subscript"/>
        </w:rPr>
        <w:t>0</w:t>
      </w:r>
      <w:r w:rsidRPr="00F562A8">
        <w:rPr>
          <w:rFonts w:ascii="Times New Roman" w:hAnsi="Times New Roman" w:cs="Times New Roman"/>
          <w:sz w:val="26"/>
          <w:szCs w:val="26"/>
        </w:rPr>
        <w:t xml:space="preserve"> и кадастровой стоимостью обратная, то есть при росте этих факторов кадастровая стоимость уменьшается. Влияние фактор</w:t>
      </w:r>
      <w:r w:rsidR="005F44B3">
        <w:rPr>
          <w:rFonts w:ascii="Times New Roman" w:hAnsi="Times New Roman" w:cs="Times New Roman"/>
          <w:sz w:val="26"/>
          <w:szCs w:val="26"/>
        </w:rPr>
        <w:t>а</w:t>
      </w:r>
      <w:r>
        <w:rPr>
          <w:rFonts w:ascii="Times New Roman" w:hAnsi="Times New Roman" w:cs="Times New Roman"/>
          <w:sz w:val="26"/>
          <w:szCs w:val="26"/>
          <w:vertAlign w:val="subscript"/>
        </w:rPr>
        <w:t xml:space="preserve"> </w:t>
      </w:r>
      <w:r w:rsidRPr="00F562A8">
        <w:rPr>
          <w:rFonts w:ascii="Times New Roman" w:hAnsi="Times New Roman" w:cs="Times New Roman"/>
          <w:sz w:val="26"/>
          <w:szCs w:val="26"/>
        </w:rPr>
        <w:t>Х</w:t>
      </w:r>
      <w:r w:rsidR="005F44B3">
        <w:rPr>
          <w:rFonts w:ascii="Times New Roman" w:hAnsi="Times New Roman" w:cs="Times New Roman"/>
          <w:sz w:val="26"/>
          <w:szCs w:val="26"/>
          <w:vertAlign w:val="subscript"/>
        </w:rPr>
        <w:t>1</w:t>
      </w:r>
      <w:r w:rsidRPr="00F562A8">
        <w:rPr>
          <w:rFonts w:ascii="Times New Roman" w:hAnsi="Times New Roman" w:cs="Times New Roman"/>
          <w:sz w:val="26"/>
          <w:szCs w:val="26"/>
        </w:rPr>
        <w:t xml:space="preserve"> на кадастровую стоимость прямое и с ростом факторов кадастровая стоимость растет.  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474C2027" w14:textId="3C8836B2" w:rsidR="00211858" w:rsidRDefault="00E34753" w:rsidP="00211858">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6575D85B" w14:textId="7C576CB9" w:rsidR="0052246A" w:rsidRDefault="0052246A" w:rsidP="00211858">
      <w:pPr>
        <w:spacing w:after="0" w:line="276" w:lineRule="auto"/>
        <w:ind w:firstLine="709"/>
        <w:jc w:val="both"/>
        <w:rPr>
          <w:rFonts w:ascii="Times New Roman" w:eastAsiaTheme="minorEastAsia" w:hAnsi="Times New Roman" w:cs="Times New Roman"/>
          <w:sz w:val="26"/>
          <w:szCs w:val="26"/>
        </w:rPr>
      </w:pPr>
    </w:p>
    <w:p w14:paraId="40F2E5E6" w14:textId="77777777" w:rsidR="0052246A" w:rsidRDefault="0052246A" w:rsidP="00211858">
      <w:pPr>
        <w:spacing w:after="0" w:line="276" w:lineRule="auto"/>
        <w:ind w:firstLine="709"/>
        <w:jc w:val="both"/>
        <w:rPr>
          <w:rFonts w:ascii="Times New Roman" w:eastAsiaTheme="minorEastAsia" w:hAnsi="Times New Roman" w:cs="Times New Roman"/>
          <w:sz w:val="26"/>
          <w:szCs w:val="26"/>
        </w:rPr>
      </w:pPr>
    </w:p>
    <w:p w14:paraId="273CDE6E" w14:textId="77777777" w:rsidR="00660550" w:rsidRDefault="00660550" w:rsidP="00211858">
      <w:pPr>
        <w:spacing w:after="0" w:line="276" w:lineRule="auto"/>
        <w:ind w:firstLine="709"/>
        <w:jc w:val="both"/>
        <w:rPr>
          <w:rFonts w:ascii="Times New Roman" w:eastAsiaTheme="minorEastAsia" w:hAnsi="Times New Roman" w:cs="Times New Roman"/>
          <w:sz w:val="26"/>
          <w:szCs w:val="26"/>
        </w:rPr>
      </w:pPr>
    </w:p>
    <w:p w14:paraId="48B0FC88" w14:textId="41788B9F" w:rsidR="00660550" w:rsidRPr="00DC7772" w:rsidRDefault="00660550" w:rsidP="00660550">
      <w:pPr>
        <w:pStyle w:val="ab"/>
        <w:ind w:left="0"/>
        <w:jc w:val="center"/>
        <w:outlineLvl w:val="2"/>
        <w:rPr>
          <w:rFonts w:ascii="Times New Roman" w:hAnsi="Times New Roman" w:cs="Times New Roman"/>
          <w:i/>
          <w:sz w:val="26"/>
          <w:szCs w:val="26"/>
        </w:rPr>
      </w:pPr>
      <w:bookmarkStart w:id="242" w:name="_Toc110506989"/>
      <w:r w:rsidRPr="00DC7772">
        <w:rPr>
          <w:rFonts w:ascii="Times New Roman" w:hAnsi="Times New Roman" w:cs="Times New Roman"/>
          <w:i/>
          <w:sz w:val="26"/>
          <w:szCs w:val="26"/>
        </w:rPr>
        <w:t>3.6.5.</w:t>
      </w:r>
      <w:r w:rsidR="00B11E8D" w:rsidRPr="00DC7772">
        <w:rPr>
          <w:rFonts w:ascii="Times New Roman" w:hAnsi="Times New Roman" w:cs="Times New Roman"/>
          <w:i/>
          <w:sz w:val="26"/>
          <w:szCs w:val="26"/>
        </w:rPr>
        <w:t>8</w:t>
      </w:r>
      <w:r w:rsidRPr="00DC7772">
        <w:rPr>
          <w:rFonts w:ascii="Times New Roman" w:hAnsi="Times New Roman" w:cs="Times New Roman"/>
          <w:i/>
          <w:sz w:val="26"/>
          <w:szCs w:val="26"/>
        </w:rPr>
        <w:t>. Расчет кадастровой стоимости земельных участков группы ОТДЫХ/СНП</w:t>
      </w:r>
      <w:bookmarkEnd w:id="242"/>
    </w:p>
    <w:p w14:paraId="63FDF16E" w14:textId="16CDF9A3" w:rsidR="00A76705" w:rsidRPr="00DC7772" w:rsidRDefault="00A76705" w:rsidP="00A76705">
      <w:pPr>
        <w:spacing w:after="0" w:line="300" w:lineRule="auto"/>
        <w:ind w:firstLine="567"/>
        <w:jc w:val="both"/>
        <w:rPr>
          <w:rFonts w:ascii="Times New Roman" w:hAnsi="Times New Roman" w:cs="Times New Roman"/>
          <w:bCs/>
          <w:sz w:val="16"/>
          <w:szCs w:val="16"/>
        </w:rPr>
      </w:pPr>
    </w:p>
    <w:p w14:paraId="3A41F55A" w14:textId="1BA828BE" w:rsidR="00660550" w:rsidRPr="00F562A8" w:rsidRDefault="00660550" w:rsidP="00C779E6">
      <w:pPr>
        <w:spacing w:after="0" w:line="276" w:lineRule="auto"/>
        <w:ind w:firstLine="709"/>
        <w:jc w:val="both"/>
        <w:rPr>
          <w:rFonts w:ascii="Times New Roman" w:eastAsiaTheme="minorEastAsia" w:hAnsi="Times New Roman" w:cs="Times New Roman"/>
          <w:sz w:val="26"/>
          <w:szCs w:val="26"/>
        </w:rPr>
      </w:pPr>
      <w:r w:rsidRPr="00DC7772">
        <w:rPr>
          <w:rFonts w:ascii="Times New Roman" w:eastAsiaTheme="minorEastAsia" w:hAnsi="Times New Roman" w:cs="Times New Roman"/>
          <w:sz w:val="26"/>
          <w:szCs w:val="26"/>
        </w:rPr>
        <w:t>Перечень</w:t>
      </w:r>
      <w:r w:rsidRPr="00F562A8">
        <w:rPr>
          <w:rFonts w:ascii="Times New Roman" w:eastAsiaTheme="minorEastAsia" w:hAnsi="Times New Roman" w:cs="Times New Roman"/>
          <w:sz w:val="26"/>
          <w:szCs w:val="26"/>
        </w:rPr>
        <w:t xml:space="preserve"> объектов оценки данной группы приведен </w:t>
      </w:r>
      <w:r w:rsidRPr="00DF46D2">
        <w:rPr>
          <w:rFonts w:ascii="Times New Roman" w:eastAsiaTheme="minorEastAsia" w:hAnsi="Times New Roman" w:cs="Times New Roman"/>
          <w:sz w:val="26"/>
          <w:szCs w:val="26"/>
        </w:rPr>
        <w:t xml:space="preserve">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599AC508" w14:textId="3A2DD55D" w:rsidR="00C779E6" w:rsidRDefault="00C779E6" w:rsidP="00C779E6">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9456EB">
        <w:rPr>
          <w:rFonts w:ascii="Times New Roman" w:hAnsi="Times New Roman" w:cs="Times New Roman"/>
          <w:sz w:val="26"/>
          <w:szCs w:val="26"/>
        </w:rPr>
        <w:t>ОТДЫХ/</w:t>
      </w:r>
      <w:r>
        <w:rPr>
          <w:rFonts w:ascii="Times New Roman" w:hAnsi="Times New Roman" w:cs="Times New Roman"/>
          <w:sz w:val="26"/>
          <w:szCs w:val="26"/>
        </w:rPr>
        <w:t>С</w:t>
      </w:r>
      <w:r w:rsidRPr="009456EB">
        <w:rPr>
          <w:rFonts w:ascii="Times New Roman" w:hAnsi="Times New Roman" w:cs="Times New Roman"/>
          <w:sz w:val="26"/>
          <w:szCs w:val="26"/>
        </w:rPr>
        <w:t xml:space="preserve">НП </w:t>
      </w:r>
      <w:r>
        <w:rPr>
          <w:rFonts w:ascii="Times New Roman" w:hAnsi="Times New Roman" w:cs="Times New Roman"/>
          <w:sz w:val="26"/>
          <w:szCs w:val="26"/>
        </w:rPr>
        <w:t>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Pr="00B853E9">
        <w:rPr>
          <w:rFonts w:ascii="Times New Roman" w:hAnsi="Times New Roman" w:cs="Times New Roman"/>
          <w:sz w:val="26"/>
          <w:szCs w:val="26"/>
        </w:rPr>
        <w:t>05:000, 02:040, 05:014, 05:022, 05:030, 08:040, 09:021, 09:023</w:t>
      </w:r>
      <w:r>
        <w:rPr>
          <w:rFonts w:ascii="Times New Roman" w:hAnsi="Times New Roman" w:cs="Times New Roman"/>
          <w:sz w:val="26"/>
          <w:szCs w:val="26"/>
        </w:rPr>
        <w:t>.</w:t>
      </w:r>
    </w:p>
    <w:p w14:paraId="0F6E56F0" w14:textId="32910A07"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Pr="00660550">
        <w:rPr>
          <w:rFonts w:ascii="Times New Roman" w:hAnsi="Times New Roman" w:cs="Times New Roman"/>
          <w:sz w:val="26"/>
          <w:szCs w:val="26"/>
        </w:rPr>
        <w:t>ОТДЫХ</w:t>
      </w:r>
      <w:r w:rsidRPr="00211858">
        <w:rPr>
          <w:rFonts w:ascii="Times New Roman" w:hAnsi="Times New Roman" w:cs="Times New Roman"/>
          <w:i/>
          <w:sz w:val="26"/>
          <w:szCs w:val="26"/>
        </w:rPr>
        <w:t>/</w:t>
      </w:r>
      <w:r>
        <w:rPr>
          <w:rFonts w:ascii="Times New Roman" w:hAnsi="Times New Roman" w:cs="Times New Roman"/>
          <w:sz w:val="26"/>
          <w:szCs w:val="26"/>
        </w:rPr>
        <w:t xml:space="preserve">СНП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1709F57B" w14:textId="76F9B60D"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Согласно п.</w:t>
      </w:r>
      <w:r w:rsidR="00615491">
        <w:rPr>
          <w:rFonts w:ascii="Times New Roman" w:eastAsia="Times New Roman" w:hAnsi="Times New Roman" w:cs="Times New Roman"/>
          <w:sz w:val="26"/>
          <w:szCs w:val="26"/>
          <w:lang w:eastAsia="ru-RU"/>
        </w:rPr>
        <w:t>45.1.1</w:t>
      </w:r>
      <w:r w:rsidRPr="00F562A8">
        <w:rPr>
          <w:rFonts w:ascii="Times New Roman" w:eastAsia="Times New Roman" w:hAnsi="Times New Roman" w:cs="Times New Roman"/>
          <w:sz w:val="26"/>
          <w:szCs w:val="26"/>
          <w:lang w:eastAsia="ru-RU"/>
        </w:rPr>
        <w:t xml:space="preserve">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741B1D50"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Порядок подготовки и построения модели оценки кадастровой стоимости включает:</w:t>
      </w:r>
    </w:p>
    <w:p w14:paraId="4F4077A7"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1) определение перечня ценообразующих факторов, описывающих влияние местоположения объектов недвижимости как составного фактора;</w:t>
      </w:r>
    </w:p>
    <w:p w14:paraId="773B2997"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2) определение состава ценообразующих факторов, включаемых в статистическую модель, с учетом местоположения объектов недвижимости;</w:t>
      </w:r>
    </w:p>
    <w:p w14:paraId="33B78396"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3) определение общего вида функций, связывающих зависимую переменную с каждым из ценообразующих факторов;</w:t>
      </w:r>
    </w:p>
    <w:p w14:paraId="223FE38A"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0808FB01"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5) анализ показателей качества статистической модели.</w:t>
      </w:r>
    </w:p>
    <w:p w14:paraId="5B920EFB" w14:textId="0A8A2252"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w:t>
      </w:r>
      <w:r>
        <w:rPr>
          <w:rFonts w:ascii="Times New Roman" w:hAnsi="Times New Roman" w:cs="Times New Roman"/>
          <w:sz w:val="26"/>
          <w:szCs w:val="26"/>
        </w:rPr>
        <w:t>сельских</w:t>
      </w:r>
      <w:r w:rsidRPr="00F562A8">
        <w:rPr>
          <w:rFonts w:ascii="Times New Roman" w:hAnsi="Times New Roman" w:cs="Times New Roman"/>
          <w:sz w:val="26"/>
          <w:szCs w:val="26"/>
        </w:rPr>
        <w:t xml:space="preserve"> населенных пунктах Воронежской области,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3016A0" w:rsidRPr="00F562A8">
        <w:rPr>
          <w:rFonts w:ascii="Times New Roman" w:hAnsi="Times New Roman" w:cs="Times New Roman"/>
          <w:sz w:val="26"/>
          <w:szCs w:val="26"/>
        </w:rPr>
        <w:t>представлены в таблиц</w:t>
      </w:r>
      <w:r w:rsidR="003016A0">
        <w:rPr>
          <w:rFonts w:ascii="Times New Roman" w:hAnsi="Times New Roman" w:cs="Times New Roman"/>
          <w:sz w:val="26"/>
          <w:szCs w:val="26"/>
        </w:rPr>
        <w:t>ах</w:t>
      </w:r>
      <w:r w:rsidR="003016A0" w:rsidRPr="00F562A8">
        <w:rPr>
          <w:rFonts w:ascii="Times New Roman" w:hAnsi="Times New Roman" w:cs="Times New Roman"/>
          <w:sz w:val="26"/>
          <w:szCs w:val="26"/>
        </w:rPr>
        <w:t xml:space="preserve"> </w:t>
      </w:r>
      <w:r w:rsidR="003016A0" w:rsidRPr="00F562A8">
        <w:rPr>
          <w:rFonts w:ascii="Times New Roman" w:eastAsia="Times New Roman" w:hAnsi="Times New Roman" w:cs="Times New Roman"/>
          <w:sz w:val="26"/>
          <w:szCs w:val="26"/>
        </w:rPr>
        <w:t>3.</w:t>
      </w:r>
      <w:r w:rsidR="003016A0">
        <w:rPr>
          <w:rFonts w:ascii="Times New Roman" w:eastAsia="Times New Roman" w:hAnsi="Times New Roman" w:cs="Times New Roman"/>
          <w:sz w:val="26"/>
          <w:szCs w:val="26"/>
        </w:rPr>
        <w:t>4 и 3.5, пунктов 3.4 и 3.5 соответственно</w:t>
      </w:r>
      <w:r w:rsidR="003016A0" w:rsidRPr="00F562A8">
        <w:rPr>
          <w:rFonts w:ascii="Times New Roman" w:hAnsi="Times New Roman" w:cs="Times New Roman"/>
          <w:sz w:val="26"/>
          <w:szCs w:val="26"/>
        </w:rPr>
        <w:t>.</w:t>
      </w:r>
    </w:p>
    <w:p w14:paraId="6CECB8B1" w14:textId="4117FFB7"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507657C2" w14:textId="77777777"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6711983F" w14:textId="77777777"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 данном случае таких факторов было выявлено 2:</w:t>
      </w:r>
    </w:p>
    <w:p w14:paraId="290AA2DF" w14:textId="4382F876"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7860E2">
        <w:rPr>
          <w:rFonts w:ascii="Times New Roman" w:hAnsi="Times New Roman" w:cs="Times New Roman"/>
          <w:sz w:val="26"/>
          <w:szCs w:val="26"/>
        </w:rPr>
        <w:t>ч</w:t>
      </w:r>
      <w:r w:rsidR="007860E2" w:rsidRPr="007860E2">
        <w:rPr>
          <w:rFonts w:ascii="Times New Roman" w:hAnsi="Times New Roman" w:cs="Times New Roman"/>
          <w:sz w:val="26"/>
          <w:szCs w:val="26"/>
        </w:rPr>
        <w:t>исленность населения в муниципальном районе, городском округе</w:t>
      </w:r>
      <w:r w:rsidRPr="00F562A8">
        <w:rPr>
          <w:rFonts w:ascii="Times New Roman" w:hAnsi="Times New Roman" w:cs="Times New Roman"/>
          <w:sz w:val="26"/>
          <w:szCs w:val="26"/>
        </w:rPr>
        <w:t>: Х</w:t>
      </w:r>
      <w:r w:rsidR="007860E2">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181713C4" w14:textId="626401C3"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7860E2">
        <w:rPr>
          <w:rFonts w:ascii="Times New Roman" w:hAnsi="Times New Roman" w:cs="Times New Roman"/>
          <w:sz w:val="26"/>
          <w:szCs w:val="26"/>
        </w:rPr>
        <w:t>р</w:t>
      </w:r>
      <w:r w:rsidR="007860E2" w:rsidRPr="007860E2">
        <w:rPr>
          <w:rFonts w:ascii="Times New Roman" w:hAnsi="Times New Roman" w:cs="Times New Roman"/>
          <w:sz w:val="26"/>
          <w:szCs w:val="26"/>
        </w:rPr>
        <w:t>асстояние до ближайшей к населенному пункту дороги федерального значения</w:t>
      </w:r>
      <w:r w:rsidRPr="00F562A8">
        <w:rPr>
          <w:rFonts w:ascii="Times New Roman" w:hAnsi="Times New Roman" w:cs="Times New Roman"/>
          <w:sz w:val="26"/>
          <w:szCs w:val="26"/>
        </w:rPr>
        <w:t>: Х</w:t>
      </w:r>
      <w:r w:rsidR="007860E2">
        <w:rPr>
          <w:rFonts w:ascii="Times New Roman" w:hAnsi="Times New Roman" w:cs="Times New Roman"/>
          <w:sz w:val="26"/>
          <w:szCs w:val="26"/>
          <w:vertAlign w:val="subscript"/>
        </w:rPr>
        <w:t>1</w:t>
      </w:r>
      <w:r w:rsidR="00BF33AF">
        <w:rPr>
          <w:rFonts w:ascii="Times New Roman" w:hAnsi="Times New Roman" w:cs="Times New Roman"/>
          <w:sz w:val="26"/>
          <w:szCs w:val="26"/>
        </w:rPr>
        <w:t>.</w:t>
      </w:r>
    </w:p>
    <w:p w14:paraId="485DF602" w14:textId="77777777"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57B38038" w14:textId="77777777"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1C4AC7DA" w14:textId="77777777"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На основании отбора факторов были построены множественные регрессионные двухфакторные модели:</w:t>
      </w:r>
    </w:p>
    <w:p w14:paraId="7BE1B20F" w14:textId="77777777" w:rsidR="00660550" w:rsidRPr="00F562A8" w:rsidRDefault="00660550" w:rsidP="00660550">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7DF3505C" wp14:editId="7A5ECB59">
            <wp:extent cx="2209800" cy="247650"/>
            <wp:effectExtent l="0" t="0" r="0" b="0"/>
            <wp:docPr id="236" name="Рисунок 236"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1C78EEAD" w14:textId="77777777"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21AC098C" wp14:editId="5FF70F35">
            <wp:extent cx="1352550" cy="266700"/>
            <wp:effectExtent l="0" t="0" r="0" b="0"/>
            <wp:docPr id="237" name="Рисунок 237"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666914D3" w14:textId="77777777"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240F4BCF" wp14:editId="79DBF8B9">
            <wp:extent cx="1266825" cy="266700"/>
            <wp:effectExtent l="0" t="0" r="0" b="0"/>
            <wp:docPr id="238" name="Рисунок 238"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6850C269" w14:textId="77777777"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7D3F153A"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X</w:t>
      </w:r>
      <w:r w:rsidRPr="00F562A8">
        <w:rPr>
          <w:rFonts w:ascii="Times New Roman" w:eastAsia="Times New Roman" w:hAnsi="Times New Roman" w:cs="Times New Roman"/>
          <w:sz w:val="26"/>
          <w:szCs w:val="26"/>
          <w:vertAlign w:val="subscript"/>
          <w:lang w:eastAsia="ru-RU"/>
        </w:rPr>
        <w:t>1</w:t>
      </w:r>
      <w:r w:rsidRPr="00F562A8">
        <w:rPr>
          <w:rFonts w:ascii="Times New Roman" w:eastAsia="Times New Roman" w:hAnsi="Times New Roman" w:cs="Times New Roman"/>
          <w:sz w:val="26"/>
          <w:szCs w:val="26"/>
          <w:lang w:eastAsia="ru-RU"/>
        </w:rPr>
        <w:t>, ..., X</w:t>
      </w:r>
      <w:r w:rsidRPr="00F562A8">
        <w:rPr>
          <w:rFonts w:ascii="Times New Roman" w:eastAsia="Times New Roman" w:hAnsi="Times New Roman" w:cs="Times New Roman"/>
          <w:sz w:val="26"/>
          <w:szCs w:val="26"/>
          <w:vertAlign w:val="subscript"/>
          <w:lang w:eastAsia="ru-RU"/>
        </w:rPr>
        <w:t>n</w:t>
      </w:r>
      <w:r w:rsidRPr="00F562A8">
        <w:rPr>
          <w:rFonts w:ascii="Times New Roman" w:eastAsia="Times New Roman" w:hAnsi="Times New Roman" w:cs="Times New Roman"/>
          <w:sz w:val="26"/>
          <w:szCs w:val="26"/>
          <w:lang w:eastAsia="ru-RU"/>
        </w:rPr>
        <w:t xml:space="preserve"> - ценообразующие факторы объектов недвижимости;</w:t>
      </w:r>
    </w:p>
    <w:p w14:paraId="781E3F2A"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noProof/>
          <w:position w:val="-8"/>
          <w:sz w:val="26"/>
          <w:szCs w:val="26"/>
          <w:lang w:eastAsia="ru-RU"/>
        </w:rPr>
        <w:drawing>
          <wp:inline distT="0" distB="0" distL="0" distR="0" wp14:anchorId="06E1B7B6" wp14:editId="1C51872D">
            <wp:extent cx="209550" cy="247650"/>
            <wp:effectExtent l="0" t="0" r="0" b="0"/>
            <wp:docPr id="239" name="Рисунок 239"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w:t>
      </w:r>
      <w:r w:rsidRPr="00F562A8">
        <w:rPr>
          <w:rFonts w:ascii="Times New Roman" w:eastAsia="Times New Roman" w:hAnsi="Times New Roman" w:cs="Times New Roman"/>
          <w:noProof/>
          <w:position w:val="-8"/>
          <w:sz w:val="26"/>
          <w:szCs w:val="26"/>
          <w:lang w:eastAsia="ru-RU"/>
        </w:rPr>
        <w:drawing>
          <wp:inline distT="0" distB="0" distL="0" distR="0" wp14:anchorId="7EBB9CD0" wp14:editId="7E7BE519">
            <wp:extent cx="200025" cy="247650"/>
            <wp:effectExtent l="0" t="0" r="9525" b="0"/>
            <wp:docPr id="240" name="Рисунок 240"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 </w:t>
      </w:r>
      <w:r w:rsidRPr="00F562A8">
        <w:rPr>
          <w:rFonts w:ascii="Times New Roman" w:eastAsia="Times New Roman" w:hAnsi="Times New Roman" w:cs="Times New Roman"/>
          <w:noProof/>
          <w:position w:val="-8"/>
          <w:sz w:val="26"/>
          <w:szCs w:val="26"/>
          <w:lang w:eastAsia="ru-RU"/>
        </w:rPr>
        <w:drawing>
          <wp:inline distT="0" distB="0" distL="0" distR="0" wp14:anchorId="7210F4ED" wp14:editId="0F912A40">
            <wp:extent cx="209550" cy="247650"/>
            <wp:effectExtent l="0" t="0" r="0" b="0"/>
            <wp:docPr id="248" name="Рисунок 248"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 коэффициенты модели.</w:t>
      </w:r>
    </w:p>
    <w:p w14:paraId="3B6A1A15" w14:textId="143F7398" w:rsidR="00660550" w:rsidRPr="00F562A8" w:rsidRDefault="00BF33AF" w:rsidP="00660550">
      <w:pPr>
        <w:spacing w:after="0" w:line="276" w:lineRule="auto"/>
        <w:jc w:val="center"/>
        <w:rPr>
          <w:rFonts w:ascii="Times New Roman" w:hAnsi="Times New Roman" w:cs="Times New Roman"/>
          <w:sz w:val="24"/>
          <w:lang w:val="en-US"/>
        </w:rPr>
      </w:pPr>
      <w:r w:rsidRPr="0036134F">
        <w:rPr>
          <w:noProof/>
          <w:lang w:eastAsia="ru-RU"/>
        </w:rPr>
        <w:drawing>
          <wp:inline distT="0" distB="0" distL="0" distR="0" wp14:anchorId="3ABE0495" wp14:editId="26C2A4F8">
            <wp:extent cx="5401429" cy="1171739"/>
            <wp:effectExtent l="0" t="0" r="0"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5401429" cy="1171739"/>
                    </a:xfrm>
                    <a:prstGeom prst="rect">
                      <a:avLst/>
                    </a:prstGeom>
                  </pic:spPr>
                </pic:pic>
              </a:graphicData>
            </a:graphic>
          </wp:inline>
        </w:drawing>
      </w:r>
    </w:p>
    <w:p w14:paraId="707759CA" w14:textId="4181BBE0" w:rsidR="00660550" w:rsidRPr="00F562A8" w:rsidRDefault="00660550" w:rsidP="00660550">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C779E6" w:rsidRPr="00F562A8">
        <w:rPr>
          <w:rFonts w:ascii="Times New Roman" w:eastAsia="Times New Roman" w:hAnsi="Times New Roman" w:cs="Times New Roman"/>
          <w:sz w:val="26"/>
          <w:szCs w:val="26"/>
        </w:rPr>
        <w:t>3.6.</w:t>
      </w:r>
      <w:r w:rsidR="00C779E6">
        <w:rPr>
          <w:rFonts w:ascii="Times New Roman" w:eastAsia="Times New Roman" w:hAnsi="Times New Roman" w:cs="Times New Roman"/>
          <w:sz w:val="26"/>
          <w:szCs w:val="26"/>
        </w:rPr>
        <w:t>5</w:t>
      </w:r>
      <w:r w:rsidR="00C779E6" w:rsidRPr="00F562A8">
        <w:rPr>
          <w:rFonts w:ascii="Times New Roman" w:eastAsia="Times New Roman" w:hAnsi="Times New Roman" w:cs="Times New Roman"/>
          <w:sz w:val="26"/>
          <w:szCs w:val="26"/>
        </w:rPr>
        <w:t>.</w:t>
      </w:r>
      <w:r w:rsidR="00C779E6">
        <w:rPr>
          <w:rFonts w:ascii="Times New Roman" w:eastAsia="Times New Roman" w:hAnsi="Times New Roman" w:cs="Times New Roman"/>
          <w:sz w:val="26"/>
          <w:szCs w:val="26"/>
        </w:rPr>
        <w:t>8.</w:t>
      </w:r>
      <w:r w:rsidR="00D00C04">
        <w:rPr>
          <w:rFonts w:ascii="Times New Roman" w:eastAsia="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двухфакторные модели</w:t>
      </w:r>
    </w:p>
    <w:p w14:paraId="2DBC8322" w14:textId="5BBF7A15"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Согласно п.</w:t>
      </w:r>
      <w:r w:rsidR="00B11E8D">
        <w:rPr>
          <w:rFonts w:ascii="Times New Roman" w:eastAsia="Times New Roman" w:hAnsi="Times New Roman" w:cs="Times New Roman"/>
          <w:sz w:val="26"/>
          <w:szCs w:val="26"/>
          <w:lang w:eastAsia="ru-RU"/>
        </w:rPr>
        <w:t>45.1.2</w:t>
      </w:r>
      <w:r w:rsidRPr="00F562A8">
        <w:rPr>
          <w:rFonts w:ascii="Times New Roman" w:eastAsia="Times New Roman" w:hAnsi="Times New Roman" w:cs="Times New Roman"/>
          <w:sz w:val="26"/>
          <w:szCs w:val="26"/>
          <w:lang w:eastAsia="ru-RU"/>
        </w:rPr>
        <w:t xml:space="preserve"> Указаний, анализ качества статистической модели включает в себя комплекс процедур, предусматривающий проверки, в том числе:</w:t>
      </w:r>
    </w:p>
    <w:p w14:paraId="33FF86CB"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6CE2F29C"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обоснованности знаков при коэффициентах статистического уравнения, то есть их соответствия характеру влияния ценообразующих факторов;</w:t>
      </w:r>
    </w:p>
    <w:p w14:paraId="598234D8"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73322B24"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t-критерию Стьюдента проверки значимости параметров моделей;</w:t>
      </w:r>
    </w:p>
    <w:p w14:paraId="66ADFAC3"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средней ошибке аппроксимации;</w:t>
      </w:r>
    </w:p>
    <w:p w14:paraId="3B7A0041"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коэффициенту детерминации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w:t>
      </w:r>
    </w:p>
    <w:p w14:paraId="5268894A"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расчетному значению F-критерия Фишера, обосновывающего адекватность регрессионной модели.</w:t>
      </w:r>
    </w:p>
    <w:p w14:paraId="0F67C742" w14:textId="4740C448" w:rsidR="00660550" w:rsidRPr="00F562A8" w:rsidRDefault="00BF33AF" w:rsidP="00660550">
      <w:pPr>
        <w:widowControl w:val="0"/>
        <w:autoSpaceDE w:val="0"/>
        <w:autoSpaceDN w:val="0"/>
        <w:spacing w:after="0" w:line="276" w:lineRule="auto"/>
        <w:jc w:val="center"/>
        <w:rPr>
          <w:rFonts w:ascii="Times New Roman" w:eastAsia="Times New Roman" w:hAnsi="Times New Roman" w:cs="Times New Roman"/>
          <w:sz w:val="26"/>
          <w:szCs w:val="26"/>
          <w:lang w:eastAsia="ru-RU"/>
        </w:rPr>
      </w:pPr>
      <w:r w:rsidRPr="0036134F">
        <w:rPr>
          <w:noProof/>
          <w:lang w:eastAsia="ru-RU"/>
        </w:rPr>
        <w:drawing>
          <wp:inline distT="0" distB="0" distL="0" distR="0" wp14:anchorId="065603AD" wp14:editId="4147A260">
            <wp:extent cx="5800725" cy="1212879"/>
            <wp:effectExtent l="0" t="0" r="0" b="635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8"/>
                    <a:srcRect r="8232"/>
                    <a:stretch/>
                  </pic:blipFill>
                  <pic:spPr bwMode="auto">
                    <a:xfrm>
                      <a:off x="0" y="0"/>
                      <a:ext cx="5824242" cy="1217796"/>
                    </a:xfrm>
                    <a:prstGeom prst="rect">
                      <a:avLst/>
                    </a:prstGeom>
                    <a:ln>
                      <a:noFill/>
                    </a:ln>
                    <a:extLst>
                      <a:ext uri="{53640926-AAD7-44D8-BBD7-CCE9431645EC}">
                        <a14:shadowObscured xmlns:a14="http://schemas.microsoft.com/office/drawing/2010/main"/>
                      </a:ext>
                    </a:extLst>
                  </pic:spPr>
                </pic:pic>
              </a:graphicData>
            </a:graphic>
          </wp:inline>
        </w:drawing>
      </w:r>
    </w:p>
    <w:p w14:paraId="1B53ED9F" w14:textId="1B8AACF6" w:rsidR="00660550" w:rsidRPr="00F562A8" w:rsidRDefault="00660550" w:rsidP="00660550">
      <w:pPr>
        <w:widowControl w:val="0"/>
        <w:autoSpaceDE w:val="0"/>
        <w:autoSpaceDN w:val="0"/>
        <w:spacing w:after="0" w:line="276" w:lineRule="auto"/>
        <w:ind w:firstLine="709"/>
        <w:jc w:val="center"/>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Рис.</w:t>
      </w:r>
      <w:r w:rsidRPr="00F562A8">
        <w:rPr>
          <w:rFonts w:ascii="Times New Roman" w:hAnsi="Times New Roman" w:cs="Times New Roman"/>
          <w:sz w:val="26"/>
          <w:szCs w:val="26"/>
        </w:rPr>
        <w:t xml:space="preserve"> </w:t>
      </w:r>
      <w:r w:rsidR="00C779E6" w:rsidRPr="00F562A8">
        <w:rPr>
          <w:rFonts w:ascii="Times New Roman" w:eastAsia="Times New Roman" w:hAnsi="Times New Roman" w:cs="Times New Roman"/>
          <w:sz w:val="26"/>
          <w:szCs w:val="26"/>
        </w:rPr>
        <w:t>3.6.</w:t>
      </w:r>
      <w:r w:rsidR="00C779E6">
        <w:rPr>
          <w:rFonts w:ascii="Times New Roman" w:eastAsia="Times New Roman" w:hAnsi="Times New Roman" w:cs="Times New Roman"/>
          <w:sz w:val="26"/>
          <w:szCs w:val="26"/>
        </w:rPr>
        <w:t>5</w:t>
      </w:r>
      <w:r w:rsidR="00C779E6" w:rsidRPr="00F562A8">
        <w:rPr>
          <w:rFonts w:ascii="Times New Roman" w:eastAsia="Times New Roman" w:hAnsi="Times New Roman" w:cs="Times New Roman"/>
          <w:sz w:val="26"/>
          <w:szCs w:val="26"/>
        </w:rPr>
        <w:t>.</w:t>
      </w:r>
      <w:r w:rsidR="00C779E6">
        <w:rPr>
          <w:rFonts w:ascii="Times New Roman" w:eastAsia="Times New Roman" w:hAnsi="Times New Roman" w:cs="Times New Roman"/>
          <w:sz w:val="26"/>
          <w:szCs w:val="26"/>
        </w:rPr>
        <w:t>8.</w:t>
      </w:r>
      <w:r w:rsidR="00D00C04">
        <w:rPr>
          <w:rFonts w:ascii="Times New Roman" w:eastAsia="Times New Roman" w:hAnsi="Times New Roman" w:cs="Times New Roman"/>
          <w:sz w:val="26"/>
          <w:szCs w:val="26"/>
        </w:rPr>
        <w:t>2</w:t>
      </w:r>
      <w:r w:rsidR="00C779E6">
        <w:rPr>
          <w:rFonts w:ascii="Times New Roman" w:eastAsia="Times New Roman" w:hAnsi="Times New Roman" w:cs="Times New Roman"/>
          <w:sz w:val="26"/>
          <w:szCs w:val="26"/>
        </w:rPr>
        <w:t xml:space="preserve"> </w:t>
      </w:r>
      <w:r w:rsidRPr="00F562A8">
        <w:rPr>
          <w:rFonts w:ascii="Times New Roman" w:eastAsia="Times New Roman" w:hAnsi="Times New Roman" w:cs="Times New Roman"/>
          <w:sz w:val="26"/>
          <w:szCs w:val="26"/>
          <w:lang w:eastAsia="ru-RU"/>
        </w:rPr>
        <w:t>- Значения t-критерия Стьюдента, средней ошибки аппроксимации, коэффициента детерминации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 xml:space="preserve"> и F-критерия Фишера</w:t>
      </w:r>
    </w:p>
    <w:p w14:paraId="7DCF9A8A"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Показатели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20689FAA" w14:textId="77777777" w:rsidR="00660550" w:rsidRPr="00F562A8" w:rsidRDefault="00660550" w:rsidP="00660550">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68C1F63A" w14:textId="77777777"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 xml:space="preserve">равны: </w:t>
      </w:r>
    </w:p>
    <w:p w14:paraId="740FF51F" w14:textId="6820814F" w:rsidR="00660550" w:rsidRPr="00F562A8" w:rsidRDefault="00F60FB0" w:rsidP="00660550">
      <w:pPr>
        <w:spacing w:after="0" w:line="276" w:lineRule="auto"/>
        <w:jc w:val="center"/>
        <w:rPr>
          <w:rFonts w:ascii="Times New Roman" w:hAnsi="Times New Roman" w:cs="Times New Roman"/>
          <w:sz w:val="26"/>
          <w:szCs w:val="26"/>
          <w:lang w:val="en-US"/>
        </w:rPr>
      </w:pPr>
      <w:r w:rsidRPr="0092089E">
        <w:rPr>
          <w:noProof/>
          <w:lang w:eastAsia="ru-RU"/>
        </w:rPr>
        <w:drawing>
          <wp:inline distT="0" distB="0" distL="0" distR="0" wp14:anchorId="32F33515" wp14:editId="374834DB">
            <wp:extent cx="3048425" cy="1019317"/>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3048425" cy="1019317"/>
                    </a:xfrm>
                    <a:prstGeom prst="rect">
                      <a:avLst/>
                    </a:prstGeom>
                  </pic:spPr>
                </pic:pic>
              </a:graphicData>
            </a:graphic>
          </wp:inline>
        </w:drawing>
      </w:r>
    </w:p>
    <w:p w14:paraId="233B8F3D" w14:textId="7579FAB3" w:rsidR="00660550" w:rsidRPr="00F562A8" w:rsidRDefault="00660550" w:rsidP="00660550">
      <w:pPr>
        <w:spacing w:after="120" w:line="276" w:lineRule="auto"/>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C779E6" w:rsidRPr="00F562A8">
        <w:rPr>
          <w:rFonts w:ascii="Times New Roman" w:eastAsia="Times New Roman" w:hAnsi="Times New Roman" w:cs="Times New Roman"/>
          <w:sz w:val="26"/>
          <w:szCs w:val="26"/>
        </w:rPr>
        <w:t>3.6.</w:t>
      </w:r>
      <w:r w:rsidR="00C779E6">
        <w:rPr>
          <w:rFonts w:ascii="Times New Roman" w:eastAsia="Times New Roman" w:hAnsi="Times New Roman" w:cs="Times New Roman"/>
          <w:sz w:val="26"/>
          <w:szCs w:val="26"/>
        </w:rPr>
        <w:t>5</w:t>
      </w:r>
      <w:r w:rsidR="00C779E6" w:rsidRPr="00F562A8">
        <w:rPr>
          <w:rFonts w:ascii="Times New Roman" w:eastAsia="Times New Roman" w:hAnsi="Times New Roman" w:cs="Times New Roman"/>
          <w:sz w:val="26"/>
          <w:szCs w:val="26"/>
        </w:rPr>
        <w:t>.</w:t>
      </w:r>
      <w:r w:rsidR="00C779E6">
        <w:rPr>
          <w:rFonts w:ascii="Times New Roman" w:eastAsia="Times New Roman" w:hAnsi="Times New Roman" w:cs="Times New Roman"/>
          <w:sz w:val="26"/>
          <w:szCs w:val="26"/>
        </w:rPr>
        <w:t>8.</w:t>
      </w:r>
      <w:r w:rsidR="00236A22">
        <w:rPr>
          <w:rFonts w:ascii="Times New Roman" w:eastAsia="Times New Roman" w:hAnsi="Times New Roman" w:cs="Times New Roman"/>
          <w:sz w:val="26"/>
          <w:szCs w:val="26"/>
        </w:rPr>
        <w:t>3</w:t>
      </w:r>
      <w:r w:rsidR="00C779E6">
        <w:rPr>
          <w:rFonts w:ascii="Times New Roman" w:eastAsia="Times New Roman" w:hAnsi="Times New Roman" w:cs="Times New Roman"/>
          <w:sz w:val="26"/>
          <w:szCs w:val="26"/>
        </w:rPr>
        <w:t xml:space="preserve"> </w:t>
      </w:r>
      <w:r w:rsidRPr="00F562A8">
        <w:rPr>
          <w:rFonts w:ascii="Times New Roman" w:hAnsi="Times New Roman" w:cs="Times New Roman"/>
          <w:sz w:val="26"/>
          <w:szCs w:val="26"/>
        </w:rPr>
        <w:t xml:space="preserve">- Значения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p>
    <w:p w14:paraId="3EF2DD12" w14:textId="77777777"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48990F92" w14:textId="47EC3604" w:rsidR="00BF33AF" w:rsidRPr="0036134F" w:rsidRDefault="00660550" w:rsidP="00BF33AF">
      <w:pPr>
        <w:spacing w:after="0" w:line="240" w:lineRule="auto"/>
        <w:ind w:firstLine="851"/>
        <w:jc w:val="both"/>
        <w:rPr>
          <w:rFonts w:ascii="Arial" w:eastAsia="Times New Roman" w:hAnsi="Arial" w:cs="Arial"/>
          <w:sz w:val="20"/>
          <w:szCs w:val="20"/>
          <w:lang w:eastAsia="ru-RU"/>
        </w:rPr>
      </w:pPr>
      <w:r w:rsidRPr="00F562A8">
        <w:rPr>
          <w:rFonts w:ascii="Times New Roman" w:hAnsi="Times New Roman" w:cs="Times New Roman"/>
          <w:i/>
          <w:sz w:val="26"/>
          <w:szCs w:val="26"/>
        </w:rPr>
        <w:t xml:space="preserve">УПКС = </w:t>
      </w:r>
      <w:r w:rsidR="00BF33AF" w:rsidRPr="00BF33AF">
        <w:rPr>
          <w:rFonts w:ascii="Times New Roman" w:hAnsi="Times New Roman" w:cs="Times New Roman"/>
          <w:i/>
          <w:sz w:val="26"/>
          <w:szCs w:val="26"/>
        </w:rPr>
        <w:t>175.778121860366*e^(+0.00000767402598273881*__Численность населения в муниципальном районе, городском округе+0.0103184648966594</w:t>
      </w:r>
      <w:r w:rsidR="00BF33AF">
        <w:rPr>
          <w:rFonts w:ascii="Times New Roman" w:hAnsi="Times New Roman" w:cs="Times New Roman"/>
          <w:i/>
          <w:sz w:val="26"/>
          <w:szCs w:val="26"/>
        </w:rPr>
        <w:t xml:space="preserve"> </w:t>
      </w:r>
      <w:r w:rsidR="00BF33AF" w:rsidRPr="00BF33AF">
        <w:rPr>
          <w:rFonts w:ascii="Times New Roman" w:hAnsi="Times New Roman" w:cs="Times New Roman"/>
          <w:i/>
          <w:sz w:val="26"/>
          <w:szCs w:val="26"/>
        </w:rPr>
        <w:t>*((116.70+-26.70-СНП Расстояние до ближайшей к населенному пункту дороги федерального значения)))</w:t>
      </w:r>
    </w:p>
    <w:p w14:paraId="5856BEF5" w14:textId="77777777"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12E89AAB" w14:textId="3E83C504" w:rsidR="00660550" w:rsidRPr="00F562A8" w:rsidRDefault="00DF46D2" w:rsidP="00660550">
      <w:pPr>
        <w:spacing w:after="0" w:line="276" w:lineRule="auto"/>
        <w:jc w:val="center"/>
        <w:rPr>
          <w:rFonts w:ascii="Times New Roman" w:hAnsi="Times New Roman" w:cs="Times New Roman"/>
          <w:sz w:val="24"/>
        </w:rPr>
      </w:pPr>
      <w:r w:rsidRPr="0036134F">
        <w:rPr>
          <w:noProof/>
          <w:lang w:eastAsia="ru-RU"/>
        </w:rPr>
        <w:drawing>
          <wp:inline distT="0" distB="0" distL="0" distR="0" wp14:anchorId="59850F6D" wp14:editId="64D445B9">
            <wp:extent cx="5939790" cy="3001324"/>
            <wp:effectExtent l="0" t="0" r="3810" b="889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5939790" cy="3001324"/>
                    </a:xfrm>
                    <a:prstGeom prst="rect">
                      <a:avLst/>
                    </a:prstGeom>
                  </pic:spPr>
                </pic:pic>
              </a:graphicData>
            </a:graphic>
          </wp:inline>
        </w:drawing>
      </w:r>
    </w:p>
    <w:p w14:paraId="0082478D" w14:textId="30B56B83" w:rsidR="00660550" w:rsidRPr="00F562A8" w:rsidRDefault="00660550" w:rsidP="00660550">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C779E6" w:rsidRPr="00F562A8">
        <w:rPr>
          <w:rFonts w:ascii="Times New Roman" w:eastAsia="Times New Roman" w:hAnsi="Times New Roman" w:cs="Times New Roman"/>
          <w:sz w:val="26"/>
          <w:szCs w:val="26"/>
        </w:rPr>
        <w:t>3.6.</w:t>
      </w:r>
      <w:r w:rsidR="00C779E6">
        <w:rPr>
          <w:rFonts w:ascii="Times New Roman" w:eastAsia="Times New Roman" w:hAnsi="Times New Roman" w:cs="Times New Roman"/>
          <w:sz w:val="26"/>
          <w:szCs w:val="26"/>
        </w:rPr>
        <w:t>5</w:t>
      </w:r>
      <w:r w:rsidR="00C779E6" w:rsidRPr="00F562A8">
        <w:rPr>
          <w:rFonts w:ascii="Times New Roman" w:eastAsia="Times New Roman" w:hAnsi="Times New Roman" w:cs="Times New Roman"/>
          <w:sz w:val="26"/>
          <w:szCs w:val="26"/>
        </w:rPr>
        <w:t>.</w:t>
      </w:r>
      <w:r w:rsidR="00C779E6">
        <w:rPr>
          <w:rFonts w:ascii="Times New Roman" w:eastAsia="Times New Roman" w:hAnsi="Times New Roman" w:cs="Times New Roman"/>
          <w:sz w:val="26"/>
          <w:szCs w:val="26"/>
        </w:rPr>
        <w:t>8.</w:t>
      </w:r>
      <w:r w:rsidR="00236A22">
        <w:rPr>
          <w:rFonts w:ascii="Times New Roman" w:eastAsia="Times New Roman" w:hAnsi="Times New Roman" w:cs="Times New Roman"/>
          <w:sz w:val="26"/>
          <w:szCs w:val="26"/>
        </w:rPr>
        <w:t>4</w:t>
      </w:r>
      <w:r w:rsidR="00C779E6">
        <w:rPr>
          <w:rFonts w:ascii="Times New Roman" w:eastAsia="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20FF8CE5" w14:textId="22703261" w:rsidR="00660550" w:rsidRPr="00F562A8" w:rsidRDefault="00660550" w:rsidP="00660550">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фактором Х</w:t>
      </w:r>
      <w:r w:rsidR="00C6672A">
        <w:rPr>
          <w:rFonts w:ascii="Times New Roman" w:hAnsi="Times New Roman" w:cs="Times New Roman"/>
          <w:sz w:val="26"/>
          <w:szCs w:val="26"/>
          <w:vertAlign w:val="subscript"/>
        </w:rPr>
        <w:t>1</w:t>
      </w:r>
      <w:r w:rsidRPr="00F562A8">
        <w:rPr>
          <w:rFonts w:ascii="Times New Roman" w:hAnsi="Times New Roman" w:cs="Times New Roman"/>
          <w:sz w:val="26"/>
          <w:szCs w:val="26"/>
        </w:rPr>
        <w:t xml:space="preserve"> и кадастровой стоимостью обратная, то есть при росте этого фактора кадастровая стоимость уменьшается. Влияние фактора Х</w:t>
      </w:r>
      <w:r w:rsidR="00C6672A">
        <w:rPr>
          <w:rFonts w:ascii="Times New Roman" w:hAnsi="Times New Roman" w:cs="Times New Roman"/>
          <w:sz w:val="26"/>
          <w:szCs w:val="26"/>
          <w:vertAlign w:val="subscript"/>
        </w:rPr>
        <w:t>0</w:t>
      </w:r>
      <w:r w:rsidRPr="00F562A8">
        <w:rPr>
          <w:rFonts w:ascii="Times New Roman" w:hAnsi="Times New Roman" w:cs="Times New Roman"/>
          <w:sz w:val="26"/>
          <w:szCs w:val="26"/>
        </w:rPr>
        <w:t xml:space="preserve"> на кадастровую стоимость прямое и с ростом фактора кадастровая стоимость растет.</w:t>
      </w:r>
      <w:r w:rsidRPr="00F562A8">
        <w:rPr>
          <w:rFonts w:ascii="Times New Roman" w:hAnsi="Times New Roman" w:cs="Times New Roman"/>
          <w:sz w:val="28"/>
          <w:szCs w:val="24"/>
        </w:rPr>
        <w:t xml:space="preserve"> </w:t>
      </w:r>
      <w:r w:rsidRPr="00F562A8">
        <w:rPr>
          <w:rFonts w:ascii="Times New Roman" w:hAnsi="Times New Roman" w:cs="Times New Roman"/>
          <w:sz w:val="26"/>
          <w:szCs w:val="26"/>
        </w:rPr>
        <w:t>Малые значения средней ошибки аппроксимации и среднеквадратической ошибки оценки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06CCE82A" w14:textId="38584D37" w:rsidR="00660550" w:rsidRDefault="00E34753" w:rsidP="00660550">
      <w:pPr>
        <w:spacing w:after="0" w:line="276" w:lineRule="auto"/>
        <w:ind w:firstLine="709"/>
        <w:jc w:val="both"/>
        <w:rPr>
          <w:rFonts w:ascii="Times New Roman" w:eastAsiaTheme="minorEastAsia" w:hAnsi="Times New Roman" w:cs="Times New Roman"/>
          <w:sz w:val="26"/>
          <w:szCs w:val="26"/>
          <w:highlight w:val="yellow"/>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0BA3AEED" w14:textId="6029F920" w:rsidR="00B31F06" w:rsidRDefault="00B31F06" w:rsidP="00B31F06">
      <w:pPr>
        <w:spacing w:after="0" w:line="276" w:lineRule="auto"/>
        <w:ind w:firstLine="709"/>
        <w:jc w:val="both"/>
        <w:rPr>
          <w:rFonts w:ascii="Times New Roman" w:eastAsiaTheme="minorEastAsia" w:hAnsi="Times New Roman" w:cs="Times New Roman"/>
          <w:sz w:val="26"/>
          <w:szCs w:val="26"/>
        </w:rPr>
      </w:pPr>
    </w:p>
    <w:p w14:paraId="217A834E" w14:textId="01A001B2" w:rsidR="00B31F06" w:rsidRPr="000C0260" w:rsidRDefault="00B31F06" w:rsidP="00B31F06">
      <w:pPr>
        <w:pStyle w:val="ab"/>
        <w:ind w:left="0"/>
        <w:jc w:val="center"/>
        <w:outlineLvl w:val="2"/>
        <w:rPr>
          <w:rFonts w:ascii="Times New Roman" w:hAnsi="Times New Roman" w:cs="Times New Roman"/>
          <w:i/>
          <w:sz w:val="26"/>
          <w:szCs w:val="26"/>
        </w:rPr>
      </w:pPr>
      <w:bookmarkStart w:id="243" w:name="_Toc110506990"/>
      <w:r w:rsidRPr="00DC7772">
        <w:rPr>
          <w:rFonts w:ascii="Times New Roman" w:hAnsi="Times New Roman" w:cs="Times New Roman"/>
          <w:i/>
          <w:sz w:val="26"/>
          <w:szCs w:val="26"/>
        </w:rPr>
        <w:t>3.6.3.</w:t>
      </w:r>
      <w:r w:rsidR="00B11E8D" w:rsidRPr="00DC7772">
        <w:rPr>
          <w:rFonts w:ascii="Times New Roman" w:hAnsi="Times New Roman" w:cs="Times New Roman"/>
          <w:i/>
          <w:sz w:val="26"/>
          <w:szCs w:val="26"/>
        </w:rPr>
        <w:t>9</w:t>
      </w:r>
      <w:r w:rsidRPr="00DC7772">
        <w:rPr>
          <w:rFonts w:ascii="Times New Roman" w:hAnsi="Times New Roman" w:cs="Times New Roman"/>
          <w:i/>
          <w:sz w:val="26"/>
          <w:szCs w:val="26"/>
        </w:rPr>
        <w:t>. Расчет</w:t>
      </w:r>
      <w:r w:rsidRPr="000C0260">
        <w:rPr>
          <w:rFonts w:ascii="Times New Roman" w:hAnsi="Times New Roman" w:cs="Times New Roman"/>
          <w:i/>
          <w:sz w:val="26"/>
          <w:szCs w:val="26"/>
        </w:rPr>
        <w:t xml:space="preserve"> кадастровой стоимости земельных участков группы </w:t>
      </w:r>
      <w:r w:rsidR="00430559" w:rsidRPr="000C0260">
        <w:rPr>
          <w:rFonts w:ascii="Times New Roman" w:hAnsi="Times New Roman" w:cs="Times New Roman"/>
          <w:i/>
          <w:sz w:val="26"/>
          <w:szCs w:val="26"/>
        </w:rPr>
        <w:t>ОТДЫХ</w:t>
      </w:r>
      <w:r w:rsidRPr="000C0260">
        <w:rPr>
          <w:rFonts w:ascii="Times New Roman" w:hAnsi="Times New Roman" w:cs="Times New Roman"/>
          <w:i/>
          <w:sz w:val="26"/>
          <w:szCs w:val="26"/>
        </w:rPr>
        <w:t>/УПКС</w:t>
      </w:r>
      <w:bookmarkEnd w:id="243"/>
    </w:p>
    <w:p w14:paraId="740C0C91" w14:textId="4E9CFAB4" w:rsidR="00B31F06" w:rsidRPr="00F562A8" w:rsidRDefault="00B31F06" w:rsidP="00B31F06">
      <w:pPr>
        <w:spacing w:after="0" w:line="276" w:lineRule="auto"/>
        <w:ind w:firstLine="567"/>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08EB2171" w14:textId="145B8F26" w:rsidR="000C0260" w:rsidRDefault="000C0260" w:rsidP="006F7A30">
      <w:pPr>
        <w:spacing w:after="0"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9456EB">
        <w:rPr>
          <w:rFonts w:ascii="Times New Roman" w:hAnsi="Times New Roman" w:cs="Times New Roman"/>
          <w:sz w:val="26"/>
          <w:szCs w:val="26"/>
        </w:rPr>
        <w:t>ОТДЫХ/</w:t>
      </w:r>
      <w:r>
        <w:rPr>
          <w:rFonts w:ascii="Times New Roman" w:hAnsi="Times New Roman" w:cs="Times New Roman"/>
          <w:sz w:val="26"/>
          <w:szCs w:val="26"/>
        </w:rPr>
        <w:t>УПКС</w:t>
      </w:r>
      <w:r w:rsidRPr="009456EB">
        <w:rPr>
          <w:rFonts w:ascii="Times New Roman" w:hAnsi="Times New Roman" w:cs="Times New Roman"/>
          <w:sz w:val="26"/>
          <w:szCs w:val="26"/>
        </w:rPr>
        <w:t xml:space="preserve"> </w:t>
      </w:r>
      <w:r>
        <w:rPr>
          <w:rFonts w:ascii="Times New Roman" w:hAnsi="Times New Roman" w:cs="Times New Roman"/>
          <w:sz w:val="26"/>
          <w:szCs w:val="26"/>
        </w:rPr>
        <w:t>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Pr="00B853E9">
        <w:rPr>
          <w:rFonts w:ascii="Times New Roman" w:hAnsi="Times New Roman" w:cs="Times New Roman"/>
          <w:sz w:val="26"/>
          <w:szCs w:val="26"/>
        </w:rPr>
        <w:t>05:000, 02:040, 05:014, 05:022, 05:030, 08:040, 09:021, 09:023</w:t>
      </w:r>
      <w:r>
        <w:rPr>
          <w:rFonts w:ascii="Times New Roman" w:hAnsi="Times New Roman" w:cs="Times New Roman"/>
          <w:sz w:val="26"/>
          <w:szCs w:val="26"/>
        </w:rPr>
        <w:t>.</w:t>
      </w:r>
    </w:p>
    <w:p w14:paraId="0D4B1096" w14:textId="41EA47F3" w:rsidR="00B31F06" w:rsidRPr="00F562A8" w:rsidRDefault="00B31F06" w:rsidP="00B31F06">
      <w:pPr>
        <w:spacing w:after="0" w:line="300" w:lineRule="auto"/>
        <w:ind w:firstLine="567"/>
        <w:jc w:val="both"/>
        <w:rPr>
          <w:rFonts w:ascii="Times New Roman" w:hAnsi="Times New Roman" w:cs="Times New Roman"/>
          <w:bCs/>
          <w:sz w:val="26"/>
          <w:szCs w:val="26"/>
        </w:rPr>
      </w:pPr>
      <w:r w:rsidRPr="00F562A8">
        <w:rPr>
          <w:rFonts w:ascii="Times New Roman" w:hAnsi="Times New Roman" w:cs="Times New Roman"/>
          <w:bCs/>
          <w:sz w:val="26"/>
          <w:szCs w:val="26"/>
        </w:rPr>
        <w:t xml:space="preserve">В группу </w:t>
      </w:r>
      <w:r w:rsidR="00430559" w:rsidRPr="00430559">
        <w:rPr>
          <w:rFonts w:ascii="Times New Roman" w:hAnsi="Times New Roman" w:cs="Times New Roman"/>
          <w:bCs/>
          <w:sz w:val="26"/>
          <w:szCs w:val="26"/>
        </w:rPr>
        <w:t>ОТДЫХ</w:t>
      </w:r>
      <w:r>
        <w:rPr>
          <w:rFonts w:ascii="Times New Roman" w:hAnsi="Times New Roman" w:cs="Times New Roman"/>
          <w:bCs/>
          <w:sz w:val="26"/>
          <w:szCs w:val="26"/>
        </w:rPr>
        <w:t>/УПКС</w:t>
      </w:r>
      <w:r w:rsidRPr="00F562A8">
        <w:rPr>
          <w:rFonts w:ascii="Times New Roman" w:hAnsi="Times New Roman" w:cs="Times New Roman"/>
          <w:bCs/>
          <w:sz w:val="26"/>
          <w:szCs w:val="26"/>
        </w:rPr>
        <w:t xml:space="preserve"> включены объекты, не имеющие точной характеристики местоположения объектов (без факторов). </w:t>
      </w:r>
    </w:p>
    <w:p w14:paraId="73C9F657" w14:textId="21D2A647" w:rsidR="000C0260" w:rsidRPr="00F562A8" w:rsidRDefault="00141EC8" w:rsidP="000C0260">
      <w:pPr>
        <w:spacing w:after="0" w:line="300" w:lineRule="auto"/>
        <w:ind w:firstLine="567"/>
        <w:jc w:val="both"/>
        <w:rPr>
          <w:rFonts w:ascii="Times New Roman" w:eastAsiaTheme="minorEastAsia" w:hAnsi="Times New Roman" w:cs="Times New Roman"/>
          <w:sz w:val="26"/>
          <w:szCs w:val="26"/>
        </w:rPr>
      </w:pPr>
      <w:r w:rsidRPr="00141EC8">
        <w:rPr>
          <w:rFonts w:ascii="Times New Roman" w:hAnsi="Times New Roman" w:cs="Times New Roman"/>
          <w:bCs/>
          <w:sz w:val="26"/>
          <w:szCs w:val="26"/>
        </w:rPr>
        <w:t>Расчет кадастровой стоимости земельных участков данной группы проведен на основании средних удельных показателей кадастровой стоимости текущего сегмента с учетом кода расчета вида использования в соответствии с пунктом 45.3 Методических указаний</w:t>
      </w:r>
      <w:r w:rsidR="000C0260">
        <w:rPr>
          <w:rFonts w:ascii="Times New Roman" w:hAnsi="Times New Roman" w:cs="Times New Roman"/>
          <w:bCs/>
          <w:sz w:val="26"/>
          <w:szCs w:val="26"/>
        </w:rPr>
        <w:t>.</w:t>
      </w:r>
      <w:r w:rsidR="000C0260" w:rsidRPr="00F562A8">
        <w:rPr>
          <w:rFonts w:ascii="Times New Roman" w:eastAsiaTheme="minorEastAsia" w:hAnsi="Times New Roman" w:cs="Times New Roman"/>
          <w:sz w:val="26"/>
          <w:szCs w:val="26"/>
        </w:rPr>
        <w:t xml:space="preserve"> </w:t>
      </w:r>
    </w:p>
    <w:p w14:paraId="7D74C196" w14:textId="73FCFF00" w:rsidR="00B31F06" w:rsidRDefault="00E34753" w:rsidP="00B31F06">
      <w:pPr>
        <w:spacing w:after="0" w:line="300" w:lineRule="auto"/>
        <w:ind w:firstLine="567"/>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/2.4.5.</w:t>
      </w:r>
    </w:p>
    <w:p w14:paraId="2F2D21F3" w14:textId="77777777" w:rsidR="0052246A" w:rsidRPr="00F562A8" w:rsidRDefault="0052246A" w:rsidP="00B31F06">
      <w:pPr>
        <w:spacing w:after="0" w:line="300" w:lineRule="auto"/>
        <w:ind w:firstLine="567"/>
        <w:jc w:val="both"/>
        <w:rPr>
          <w:rFonts w:ascii="Times New Roman" w:hAnsi="Times New Roman" w:cs="Times New Roman"/>
          <w:bCs/>
          <w:sz w:val="26"/>
          <w:szCs w:val="26"/>
        </w:rPr>
      </w:pPr>
    </w:p>
    <w:p w14:paraId="1FA92B2A" w14:textId="376C4995" w:rsidR="005505AB" w:rsidRPr="00F562A8" w:rsidRDefault="00A76705" w:rsidP="00A55966">
      <w:pPr>
        <w:pStyle w:val="ab"/>
        <w:spacing w:before="120" w:after="0" w:line="240" w:lineRule="auto"/>
        <w:ind w:left="0"/>
        <w:contextualSpacing w:val="0"/>
        <w:jc w:val="center"/>
        <w:outlineLvl w:val="1"/>
        <w:rPr>
          <w:rFonts w:ascii="Times New Roman" w:hAnsi="Times New Roman" w:cs="Times New Roman"/>
          <w:b/>
          <w:sz w:val="26"/>
          <w:szCs w:val="26"/>
        </w:rPr>
      </w:pPr>
      <w:bookmarkStart w:id="244" w:name="_Toc14102075"/>
      <w:bookmarkStart w:id="245" w:name="_Toc110506991"/>
      <w:r w:rsidRPr="00F562A8">
        <w:rPr>
          <w:rFonts w:ascii="Times New Roman" w:hAnsi="Times New Roman" w:cs="Times New Roman"/>
          <w:b/>
          <w:sz w:val="26"/>
          <w:szCs w:val="26"/>
        </w:rPr>
        <w:t xml:space="preserve">3.6.6. </w:t>
      </w:r>
      <w:r w:rsidR="00306BF5" w:rsidRPr="00F562A8">
        <w:rPr>
          <w:rFonts w:ascii="Times New Roman" w:hAnsi="Times New Roman" w:cs="Times New Roman"/>
          <w:b/>
          <w:sz w:val="26"/>
          <w:szCs w:val="26"/>
        </w:rPr>
        <w:t>Сегмент 6. «Производственная деятельность»</w:t>
      </w:r>
      <w:bookmarkStart w:id="246" w:name="_Hlk13841071"/>
      <w:bookmarkEnd w:id="244"/>
      <w:bookmarkEnd w:id="245"/>
    </w:p>
    <w:p w14:paraId="066F722F" w14:textId="77777777" w:rsidR="00C574FC" w:rsidRDefault="00C574FC" w:rsidP="00C574FC">
      <w:pPr>
        <w:spacing w:after="0" w:line="300" w:lineRule="auto"/>
        <w:ind w:firstLine="567"/>
        <w:jc w:val="both"/>
        <w:rPr>
          <w:rFonts w:ascii="Times New Roman" w:hAnsi="Times New Roman" w:cs="Times New Roman"/>
          <w:i/>
          <w:sz w:val="26"/>
          <w:szCs w:val="26"/>
          <w:highlight w:val="green"/>
        </w:rPr>
      </w:pPr>
    </w:p>
    <w:p w14:paraId="1BC677CF" w14:textId="5D71BE9C" w:rsidR="00C574FC" w:rsidRPr="00F562A8" w:rsidRDefault="00C574FC" w:rsidP="00C574FC">
      <w:pPr>
        <w:pStyle w:val="ab"/>
        <w:ind w:left="0"/>
        <w:jc w:val="center"/>
        <w:outlineLvl w:val="2"/>
        <w:rPr>
          <w:rFonts w:ascii="Times New Roman" w:hAnsi="Times New Roman" w:cs="Times New Roman"/>
          <w:i/>
          <w:sz w:val="26"/>
          <w:szCs w:val="26"/>
        </w:rPr>
      </w:pPr>
      <w:bookmarkStart w:id="247" w:name="_Toc110506992"/>
      <w:r w:rsidRPr="00DC7772">
        <w:rPr>
          <w:rFonts w:ascii="Times New Roman" w:hAnsi="Times New Roman" w:cs="Times New Roman"/>
          <w:i/>
          <w:sz w:val="26"/>
          <w:szCs w:val="26"/>
        </w:rPr>
        <w:t>3.6.6.1.</w:t>
      </w:r>
      <w:r w:rsidRPr="00F562A8">
        <w:rPr>
          <w:rFonts w:ascii="Times New Roman" w:hAnsi="Times New Roman" w:cs="Times New Roman"/>
          <w:i/>
          <w:sz w:val="26"/>
          <w:szCs w:val="26"/>
        </w:rPr>
        <w:t xml:space="preserve"> Расчет кадастровой стоимости земельных участков группы </w:t>
      </w:r>
      <w:r w:rsidRPr="00983D64">
        <w:rPr>
          <w:rFonts w:ascii="Times New Roman" w:hAnsi="Times New Roman" w:cs="Times New Roman"/>
          <w:i/>
          <w:sz w:val="26"/>
          <w:szCs w:val="26"/>
        </w:rPr>
        <w:t>ПРОИЗВОДСТВО</w:t>
      </w:r>
      <w:r>
        <w:rPr>
          <w:rFonts w:ascii="Times New Roman" w:hAnsi="Times New Roman" w:cs="Times New Roman"/>
          <w:i/>
          <w:sz w:val="26"/>
          <w:szCs w:val="26"/>
        </w:rPr>
        <w:t>/</w:t>
      </w:r>
      <w:r w:rsidRPr="005844F6">
        <w:rPr>
          <w:rFonts w:ascii="Times New Roman" w:hAnsi="Times New Roman" w:cs="Times New Roman"/>
          <w:i/>
          <w:sz w:val="26"/>
          <w:szCs w:val="26"/>
        </w:rPr>
        <w:t>АЗС-ПС</w:t>
      </w:r>
      <w:r w:rsidRPr="007B18C9">
        <w:rPr>
          <w:rFonts w:ascii="Times New Roman" w:hAnsi="Times New Roman" w:cs="Times New Roman"/>
          <w:i/>
          <w:sz w:val="26"/>
          <w:szCs w:val="26"/>
        </w:rPr>
        <w:t>/Воронеж</w:t>
      </w:r>
      <w:bookmarkEnd w:id="247"/>
    </w:p>
    <w:p w14:paraId="1D153E29" w14:textId="4C90AF9A" w:rsidR="006F7A30" w:rsidRPr="00F562A8" w:rsidRDefault="006F7A30" w:rsidP="006F7A30">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Перечень объектов оценки данной группы приведен в Приложении 2/2.4</w:t>
      </w:r>
      <w:r w:rsidR="006B6B44">
        <w:rPr>
          <w:rFonts w:ascii="Times New Roman" w:eastAsiaTheme="minorEastAsia" w:hAnsi="Times New Roman" w:cs="Times New Roman"/>
          <w:sz w:val="26"/>
          <w:szCs w:val="26"/>
        </w:rPr>
        <w:t>/2.4.6</w:t>
      </w:r>
    </w:p>
    <w:p w14:paraId="52FE6304" w14:textId="6C06D8E0" w:rsidR="006F7A30" w:rsidRDefault="006F7A30" w:rsidP="006F7A30">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6F7A30">
        <w:rPr>
          <w:rFonts w:ascii="Times New Roman" w:hAnsi="Times New Roman" w:cs="Times New Roman"/>
          <w:sz w:val="26"/>
          <w:szCs w:val="26"/>
        </w:rPr>
        <w:t>ПРОИЗВОДСТВО/АЗС-ПС/Воронеж</w:t>
      </w:r>
      <w:r>
        <w:rPr>
          <w:rFonts w:ascii="Times New Roman" w:hAnsi="Times New Roman" w:cs="Times New Roman"/>
          <w:sz w:val="26"/>
          <w:szCs w:val="26"/>
        </w:rPr>
        <w:t xml:space="preserve">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Pr="006F7A30">
        <w:rPr>
          <w:rFonts w:ascii="Times New Roman" w:hAnsi="Times New Roman" w:cs="Times New Roman"/>
          <w:sz w:val="26"/>
          <w:szCs w:val="26"/>
        </w:rPr>
        <w:t>04:095, 04:098, 04:099</w:t>
      </w:r>
      <w:r>
        <w:rPr>
          <w:rFonts w:ascii="Times New Roman" w:hAnsi="Times New Roman" w:cs="Times New Roman"/>
          <w:sz w:val="26"/>
          <w:szCs w:val="26"/>
        </w:rPr>
        <w:t>.</w:t>
      </w:r>
    </w:p>
    <w:p w14:paraId="1520E45C"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Pr="0043473D">
        <w:rPr>
          <w:rFonts w:ascii="Times New Roman" w:hAnsi="Times New Roman" w:cs="Times New Roman"/>
          <w:sz w:val="26"/>
          <w:szCs w:val="26"/>
        </w:rPr>
        <w:t>ПРОИЗВОДСТВО/</w:t>
      </w:r>
      <w:r w:rsidRPr="005844F6">
        <w:rPr>
          <w:rFonts w:ascii="Times New Roman" w:hAnsi="Times New Roman" w:cs="Times New Roman"/>
          <w:sz w:val="26"/>
          <w:szCs w:val="26"/>
        </w:rPr>
        <w:t>АЗС-ПС</w:t>
      </w:r>
      <w:r w:rsidRPr="00691A90">
        <w:rPr>
          <w:rFonts w:ascii="Times New Roman" w:hAnsi="Times New Roman" w:cs="Times New Roman"/>
          <w:sz w:val="26"/>
          <w:szCs w:val="26"/>
        </w:rPr>
        <w:t>/Воронеж</w:t>
      </w:r>
      <w:r w:rsidRPr="00F562A8">
        <w:rPr>
          <w:rFonts w:ascii="Times New Roman" w:hAnsi="Times New Roman" w:cs="Times New Roman"/>
          <w:sz w:val="26"/>
          <w:szCs w:val="26"/>
        </w:rPr>
        <w:t xml:space="preserve"> 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29E551B9"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Согласно п.45.1.1 Указаний</w:t>
      </w:r>
      <w:r w:rsidRPr="00F562A8">
        <w:rPr>
          <w:rFonts w:ascii="Times New Roman" w:hAnsi="Times New Roman" w:cs="Times New Roman"/>
          <w:sz w:val="26"/>
          <w:szCs w:val="26"/>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5D7CF7CD"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1E3B6C42"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68B4F252"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00C12589"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0CC9A1E9"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2E551068"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106343EF" w14:textId="583BCE59"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г.о.г Воронеж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12 </w:t>
      </w:r>
      <w:r w:rsidR="00497BF1" w:rsidRPr="00F562A8">
        <w:rPr>
          <w:rFonts w:ascii="Times New Roman" w:hAnsi="Times New Roman" w:cs="Times New Roman"/>
          <w:sz w:val="26"/>
          <w:szCs w:val="26"/>
        </w:rPr>
        <w:t>представлены в таблиц</w:t>
      </w:r>
      <w:r w:rsidR="00497BF1">
        <w:rPr>
          <w:rFonts w:ascii="Times New Roman" w:hAnsi="Times New Roman" w:cs="Times New Roman"/>
          <w:sz w:val="26"/>
          <w:szCs w:val="26"/>
        </w:rPr>
        <w:t>ах</w:t>
      </w:r>
      <w:r w:rsidR="00497BF1" w:rsidRPr="00F562A8">
        <w:rPr>
          <w:rFonts w:ascii="Times New Roman" w:hAnsi="Times New Roman" w:cs="Times New Roman"/>
          <w:sz w:val="26"/>
          <w:szCs w:val="26"/>
        </w:rPr>
        <w:t xml:space="preserve"> </w:t>
      </w:r>
      <w:r w:rsidR="00497BF1" w:rsidRPr="00F562A8">
        <w:rPr>
          <w:rFonts w:ascii="Times New Roman" w:eastAsia="Times New Roman" w:hAnsi="Times New Roman" w:cs="Times New Roman"/>
          <w:sz w:val="26"/>
          <w:szCs w:val="26"/>
        </w:rPr>
        <w:t>3.</w:t>
      </w:r>
      <w:r w:rsidR="00497BF1">
        <w:rPr>
          <w:rFonts w:ascii="Times New Roman" w:eastAsia="Times New Roman" w:hAnsi="Times New Roman" w:cs="Times New Roman"/>
          <w:sz w:val="26"/>
          <w:szCs w:val="26"/>
        </w:rPr>
        <w:t>4 и 3.5, пунктов 3.4 и 3.5 соответственно</w:t>
      </w:r>
      <w:r w:rsidR="00497BF1" w:rsidRPr="00F562A8">
        <w:rPr>
          <w:rFonts w:ascii="Times New Roman" w:hAnsi="Times New Roman" w:cs="Times New Roman"/>
          <w:sz w:val="26"/>
          <w:szCs w:val="26"/>
        </w:rPr>
        <w:t>.</w:t>
      </w:r>
    </w:p>
    <w:p w14:paraId="0D34B140" w14:textId="395866ED"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3980A703"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1793F1DD"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Pr>
          <w:rFonts w:ascii="Times New Roman" w:hAnsi="Times New Roman" w:cs="Times New Roman"/>
          <w:sz w:val="26"/>
          <w:szCs w:val="26"/>
        </w:rPr>
        <w:t>3</w:t>
      </w:r>
      <w:r w:rsidRPr="00F562A8">
        <w:rPr>
          <w:rFonts w:ascii="Times New Roman" w:hAnsi="Times New Roman" w:cs="Times New Roman"/>
          <w:sz w:val="26"/>
          <w:szCs w:val="26"/>
        </w:rPr>
        <w:t>:</w:t>
      </w:r>
    </w:p>
    <w:p w14:paraId="21B2619C"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расстояние объекта до </w:t>
      </w:r>
      <w:r w:rsidRPr="004055F0">
        <w:rPr>
          <w:rFonts w:ascii="Times New Roman" w:hAnsi="Times New Roman" w:cs="Times New Roman"/>
          <w:sz w:val="26"/>
          <w:szCs w:val="26"/>
        </w:rPr>
        <w:t>общественно-делового центра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53576B99" w14:textId="77777777" w:rsidR="00C574FC"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р</w:t>
      </w:r>
      <w:r w:rsidRPr="004055F0">
        <w:rPr>
          <w:rFonts w:ascii="Times New Roman" w:hAnsi="Times New Roman" w:cs="Times New Roman"/>
          <w:sz w:val="26"/>
          <w:szCs w:val="26"/>
        </w:rPr>
        <w:t>асстояние объекта до центра населенного пункта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1</w:t>
      </w:r>
      <w:r>
        <w:rPr>
          <w:rFonts w:ascii="Times New Roman" w:hAnsi="Times New Roman" w:cs="Times New Roman"/>
          <w:sz w:val="26"/>
          <w:szCs w:val="26"/>
        </w:rPr>
        <w:t>;</w:t>
      </w:r>
    </w:p>
    <w:p w14:paraId="5BC7A2D3" w14:textId="2789EC01"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ц</w:t>
      </w:r>
      <w:r w:rsidRPr="004055F0">
        <w:rPr>
          <w:rFonts w:ascii="Times New Roman" w:hAnsi="Times New Roman" w:cs="Times New Roman"/>
          <w:sz w:val="26"/>
          <w:szCs w:val="26"/>
        </w:rPr>
        <w:t>ентральное теплоснабжение</w:t>
      </w:r>
      <w:r w:rsidRPr="00F562A8">
        <w:rPr>
          <w:rFonts w:ascii="Times New Roman" w:hAnsi="Times New Roman" w:cs="Times New Roman"/>
          <w:sz w:val="26"/>
          <w:szCs w:val="26"/>
        </w:rPr>
        <w:t>: Х</w:t>
      </w:r>
      <w:r>
        <w:rPr>
          <w:rFonts w:ascii="Times New Roman" w:hAnsi="Times New Roman" w:cs="Times New Roman"/>
          <w:sz w:val="26"/>
          <w:szCs w:val="26"/>
          <w:vertAlign w:val="subscript"/>
        </w:rPr>
        <w:t>2</w:t>
      </w:r>
      <w:r w:rsidR="000A00E2">
        <w:rPr>
          <w:rFonts w:ascii="Times New Roman" w:hAnsi="Times New Roman" w:cs="Times New Roman"/>
          <w:sz w:val="26"/>
          <w:szCs w:val="26"/>
        </w:rPr>
        <w:t>.</w:t>
      </w:r>
    </w:p>
    <w:p w14:paraId="14BE551E"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64D418EB"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37CCD1FA" w14:textId="4567273A"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E86A40">
        <w:rPr>
          <w:rFonts w:ascii="Times New Roman" w:hAnsi="Times New Roman" w:cs="Times New Roman"/>
          <w:sz w:val="26"/>
          <w:szCs w:val="26"/>
        </w:rPr>
        <w:t>трех</w:t>
      </w:r>
      <w:r w:rsidRPr="00F562A8">
        <w:rPr>
          <w:rFonts w:ascii="Times New Roman" w:hAnsi="Times New Roman" w:cs="Times New Roman"/>
          <w:sz w:val="26"/>
          <w:szCs w:val="26"/>
        </w:rPr>
        <w:t>факторные модели:</w:t>
      </w:r>
    </w:p>
    <w:p w14:paraId="47A03F28" w14:textId="77777777" w:rsidR="00C574FC" w:rsidRPr="00F562A8" w:rsidRDefault="00C574FC" w:rsidP="00C574FC">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3003BA34" wp14:editId="1A0B1F0E">
            <wp:extent cx="2209800" cy="247650"/>
            <wp:effectExtent l="0" t="0" r="0" b="0"/>
            <wp:docPr id="747" name="Рисунок 747"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69A3CB7A"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37B31E79" wp14:editId="6DA4DF3F">
            <wp:extent cx="1352550" cy="266700"/>
            <wp:effectExtent l="0" t="0" r="0" b="0"/>
            <wp:docPr id="748" name="Рисунок 748"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4BC20161"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6915652D" wp14:editId="74D761C3">
            <wp:extent cx="1266825" cy="266700"/>
            <wp:effectExtent l="0" t="0" r="0" b="0"/>
            <wp:docPr id="749" name="Рисунок 749"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6CBBBBF4"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7926780C"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53D860AA"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05CE5DB2" wp14:editId="58ED1FD9">
            <wp:extent cx="209550" cy="247650"/>
            <wp:effectExtent l="0" t="0" r="0" b="0"/>
            <wp:docPr id="750" name="Рисунок 750"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1BEBABCA" wp14:editId="3B2A23B3">
            <wp:extent cx="200025" cy="247650"/>
            <wp:effectExtent l="0" t="0" r="9525" b="0"/>
            <wp:docPr id="751" name="Рисунок 751"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5AA85029" wp14:editId="06180F56">
            <wp:extent cx="209550" cy="247650"/>
            <wp:effectExtent l="0" t="0" r="0" b="0"/>
            <wp:docPr id="752" name="Рисунок 752"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2F0140C9" w14:textId="7479EF2C" w:rsidR="00C574FC" w:rsidRPr="00F562A8" w:rsidRDefault="000A00E2" w:rsidP="00C574FC">
      <w:pPr>
        <w:spacing w:after="0" w:line="276" w:lineRule="auto"/>
        <w:jc w:val="center"/>
        <w:rPr>
          <w:rFonts w:ascii="Times New Roman" w:hAnsi="Times New Roman" w:cs="Times New Roman"/>
          <w:lang w:val="en-US"/>
        </w:rPr>
      </w:pPr>
      <w:r w:rsidRPr="00CF505F">
        <w:rPr>
          <w:noProof/>
          <w:lang w:eastAsia="ru-RU"/>
        </w:rPr>
        <w:drawing>
          <wp:inline distT="0" distB="0" distL="0" distR="0" wp14:anchorId="2CC2AF33" wp14:editId="298BD512">
            <wp:extent cx="5939790" cy="791760"/>
            <wp:effectExtent l="0" t="0" r="3810" b="889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5939790" cy="791760"/>
                    </a:xfrm>
                    <a:prstGeom prst="rect">
                      <a:avLst/>
                    </a:prstGeom>
                  </pic:spPr>
                </pic:pic>
              </a:graphicData>
            </a:graphic>
          </wp:inline>
        </w:drawing>
      </w:r>
    </w:p>
    <w:p w14:paraId="5E1F2F7E" w14:textId="2C559182" w:rsidR="00C574FC" w:rsidRPr="00F562A8" w:rsidRDefault="00C574FC" w:rsidP="006F7A30">
      <w:pPr>
        <w:spacing w:after="0" w:line="276" w:lineRule="auto"/>
        <w:ind w:firstLine="709"/>
        <w:jc w:val="right"/>
        <w:rPr>
          <w:rFonts w:ascii="Times New Roman" w:hAnsi="Times New Roman" w:cs="Times New Roman"/>
          <w:sz w:val="26"/>
          <w:szCs w:val="26"/>
        </w:rPr>
      </w:pPr>
      <w:r w:rsidRPr="00F562A8">
        <w:rPr>
          <w:rFonts w:ascii="Times New Roman" w:hAnsi="Times New Roman" w:cs="Times New Roman"/>
          <w:sz w:val="26"/>
          <w:szCs w:val="26"/>
        </w:rPr>
        <w:t xml:space="preserve">Рис. </w:t>
      </w:r>
      <w:r w:rsidR="006F7A30" w:rsidRPr="00F562A8">
        <w:rPr>
          <w:rFonts w:ascii="Times New Roman" w:hAnsi="Times New Roman" w:cs="Times New Roman"/>
          <w:sz w:val="26"/>
          <w:szCs w:val="26"/>
        </w:rPr>
        <w:t>3.6.</w:t>
      </w:r>
      <w:r w:rsidR="006F7A30">
        <w:rPr>
          <w:rFonts w:ascii="Times New Roman" w:hAnsi="Times New Roman" w:cs="Times New Roman"/>
          <w:sz w:val="26"/>
          <w:szCs w:val="26"/>
        </w:rPr>
        <w:t>6</w:t>
      </w:r>
      <w:r w:rsidR="006F7A30" w:rsidRPr="00F562A8">
        <w:rPr>
          <w:rFonts w:ascii="Times New Roman" w:hAnsi="Times New Roman" w:cs="Times New Roman"/>
          <w:sz w:val="26"/>
          <w:szCs w:val="26"/>
        </w:rPr>
        <w:t>.1</w:t>
      </w:r>
      <w:r w:rsidR="006F7A30">
        <w:rPr>
          <w:rFonts w:ascii="Times New Roman" w:hAnsi="Times New Roman" w:cs="Times New Roman"/>
          <w:sz w:val="26"/>
          <w:szCs w:val="26"/>
        </w:rPr>
        <w:t>.</w:t>
      </w:r>
      <w:r w:rsidR="006E7FD0">
        <w:rPr>
          <w:rFonts w:ascii="Times New Roman" w:hAnsi="Times New Roman" w:cs="Times New Roman"/>
          <w:sz w:val="26"/>
          <w:szCs w:val="26"/>
        </w:rPr>
        <w:t>1</w:t>
      </w:r>
      <w:r w:rsidR="006F7A30">
        <w:rPr>
          <w:rFonts w:ascii="Times New Roman" w:hAnsi="Times New Roman" w:cs="Times New Roman"/>
          <w:sz w:val="26"/>
          <w:szCs w:val="26"/>
        </w:rPr>
        <w:t xml:space="preserve"> </w:t>
      </w:r>
      <w:r w:rsidRPr="00F562A8">
        <w:rPr>
          <w:rFonts w:ascii="Times New Roman" w:hAnsi="Times New Roman" w:cs="Times New Roman"/>
          <w:sz w:val="26"/>
          <w:szCs w:val="26"/>
        </w:rPr>
        <w:t xml:space="preserve">- Множественные регрессионные </w:t>
      </w:r>
      <w:r w:rsidR="00E86A40">
        <w:rPr>
          <w:rFonts w:ascii="Times New Roman" w:hAnsi="Times New Roman" w:cs="Times New Roman"/>
          <w:sz w:val="26"/>
          <w:szCs w:val="26"/>
        </w:rPr>
        <w:t>тре</w:t>
      </w:r>
      <w:r w:rsidRPr="00F562A8">
        <w:rPr>
          <w:rFonts w:ascii="Times New Roman" w:hAnsi="Times New Roman" w:cs="Times New Roman"/>
          <w:sz w:val="26"/>
          <w:szCs w:val="26"/>
        </w:rPr>
        <w:t>хфакторные модели</w:t>
      </w:r>
    </w:p>
    <w:p w14:paraId="6D6DD1C2"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2914E947"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22460E8E"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74A9152E"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159E7D60"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7C3C827F"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38672BF0"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690D5BF2"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408D30E0" w14:textId="69D92618" w:rsidR="00C574FC" w:rsidRPr="00F562A8" w:rsidRDefault="000A00E2" w:rsidP="00C574FC">
      <w:pPr>
        <w:spacing w:after="0" w:line="276" w:lineRule="auto"/>
        <w:jc w:val="center"/>
        <w:rPr>
          <w:rFonts w:ascii="Times New Roman" w:hAnsi="Times New Roman" w:cs="Times New Roman"/>
        </w:rPr>
      </w:pPr>
      <w:r w:rsidRPr="00CF505F">
        <w:rPr>
          <w:noProof/>
          <w:lang w:eastAsia="ru-RU"/>
        </w:rPr>
        <w:drawing>
          <wp:inline distT="0" distB="0" distL="0" distR="0" wp14:anchorId="5332B92A" wp14:editId="233F1E7A">
            <wp:extent cx="5913942" cy="13525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2"/>
                    <a:srcRect r="8716"/>
                    <a:stretch/>
                  </pic:blipFill>
                  <pic:spPr bwMode="auto">
                    <a:xfrm>
                      <a:off x="0" y="0"/>
                      <a:ext cx="5932602" cy="1356818"/>
                    </a:xfrm>
                    <a:prstGeom prst="rect">
                      <a:avLst/>
                    </a:prstGeom>
                    <a:ln>
                      <a:noFill/>
                    </a:ln>
                    <a:extLst>
                      <a:ext uri="{53640926-AAD7-44D8-BBD7-CCE9431645EC}">
                        <a14:shadowObscured xmlns:a14="http://schemas.microsoft.com/office/drawing/2010/main"/>
                      </a:ext>
                    </a:extLst>
                  </pic:spPr>
                </pic:pic>
              </a:graphicData>
            </a:graphic>
          </wp:inline>
        </w:drawing>
      </w:r>
    </w:p>
    <w:p w14:paraId="0398D2AD" w14:textId="28043C48" w:rsidR="00C574FC" w:rsidRPr="00F562A8" w:rsidRDefault="00C574FC" w:rsidP="00C574FC">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6F7A30">
        <w:rPr>
          <w:rFonts w:ascii="Times New Roman" w:hAnsi="Times New Roman" w:cs="Times New Roman"/>
          <w:sz w:val="26"/>
          <w:szCs w:val="26"/>
        </w:rPr>
        <w:t>6</w:t>
      </w:r>
      <w:r w:rsidRPr="00F562A8">
        <w:rPr>
          <w:rFonts w:ascii="Times New Roman" w:hAnsi="Times New Roman" w:cs="Times New Roman"/>
          <w:sz w:val="26"/>
          <w:szCs w:val="26"/>
        </w:rPr>
        <w:t>.</w:t>
      </w:r>
      <w:r>
        <w:rPr>
          <w:rFonts w:ascii="Times New Roman" w:hAnsi="Times New Roman" w:cs="Times New Roman"/>
          <w:sz w:val="26"/>
          <w:szCs w:val="26"/>
        </w:rPr>
        <w:t>1.</w:t>
      </w:r>
      <w:r w:rsidR="006E7FD0">
        <w:rPr>
          <w:rFonts w:ascii="Times New Roman" w:hAnsi="Times New Roman" w:cs="Times New Roman"/>
          <w:sz w:val="26"/>
          <w:szCs w:val="26"/>
        </w:rPr>
        <w:t>2</w:t>
      </w:r>
      <w:r w:rsidRPr="00F562A8">
        <w:rPr>
          <w:rFonts w:ascii="Times New Roman" w:hAnsi="Times New Roman" w:cs="Times New Roman"/>
          <w:sz w:val="26"/>
          <w:szCs w:val="26"/>
        </w:rPr>
        <w:t xml:space="preserve"> -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18D6ED66"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085E1E87"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1DC5C490"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47127F89" w14:textId="24604574" w:rsidR="00C574FC" w:rsidRPr="00F562A8" w:rsidRDefault="000A00E2" w:rsidP="00C574FC">
      <w:pPr>
        <w:spacing w:after="0" w:line="276" w:lineRule="auto"/>
        <w:jc w:val="center"/>
        <w:rPr>
          <w:rFonts w:ascii="Times New Roman" w:hAnsi="Times New Roman" w:cs="Times New Roman"/>
          <w:lang w:val="en-US"/>
        </w:rPr>
      </w:pPr>
      <w:r w:rsidRPr="00CF505F">
        <w:rPr>
          <w:noProof/>
          <w:lang w:eastAsia="ru-RU"/>
        </w:rPr>
        <w:drawing>
          <wp:inline distT="0" distB="0" distL="0" distR="0" wp14:anchorId="78CA6E13" wp14:editId="08EDC30B">
            <wp:extent cx="3067478" cy="1076475"/>
            <wp:effectExtent l="0" t="0" r="0"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3067478" cy="1076475"/>
                    </a:xfrm>
                    <a:prstGeom prst="rect">
                      <a:avLst/>
                    </a:prstGeom>
                  </pic:spPr>
                </pic:pic>
              </a:graphicData>
            </a:graphic>
          </wp:inline>
        </w:drawing>
      </w:r>
    </w:p>
    <w:p w14:paraId="2BB37F97" w14:textId="42EE0E94" w:rsidR="00C574FC" w:rsidRPr="00F562A8" w:rsidRDefault="00C574FC" w:rsidP="00C574FC">
      <w:pPr>
        <w:spacing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 3.6.</w:t>
      </w:r>
      <w:r w:rsidR="006F7A30">
        <w:rPr>
          <w:rFonts w:ascii="Times New Roman" w:hAnsi="Times New Roman" w:cs="Times New Roman"/>
          <w:sz w:val="26"/>
          <w:szCs w:val="26"/>
        </w:rPr>
        <w:t>6</w:t>
      </w:r>
      <w:r w:rsidRPr="00F562A8">
        <w:rPr>
          <w:rFonts w:ascii="Times New Roman" w:hAnsi="Times New Roman" w:cs="Times New Roman"/>
          <w:sz w:val="26"/>
          <w:szCs w:val="26"/>
        </w:rPr>
        <w:t>.</w:t>
      </w:r>
      <w:r>
        <w:rPr>
          <w:rFonts w:ascii="Times New Roman" w:hAnsi="Times New Roman" w:cs="Times New Roman"/>
          <w:sz w:val="26"/>
          <w:szCs w:val="26"/>
        </w:rPr>
        <w:t>1.</w:t>
      </w:r>
      <w:r w:rsidR="006E7FD0">
        <w:rPr>
          <w:rFonts w:ascii="Times New Roman" w:hAnsi="Times New Roman" w:cs="Times New Roman"/>
          <w:sz w:val="26"/>
          <w:szCs w:val="26"/>
        </w:rPr>
        <w:t>3</w:t>
      </w:r>
      <w:r w:rsidRPr="00F562A8">
        <w:rPr>
          <w:rFonts w:ascii="Times New Roman" w:hAnsi="Times New Roman" w:cs="Times New Roman"/>
          <w:sz w:val="26"/>
          <w:szCs w:val="26"/>
        </w:rPr>
        <w:t xml:space="preserve"> - Значения F-критерия Фишера</w:t>
      </w:r>
    </w:p>
    <w:p w14:paraId="20328F03"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42A3D320" w14:textId="4185E4B5" w:rsidR="001E69E7" w:rsidRDefault="00C574FC" w:rsidP="00C574FC">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i/>
          <w:sz w:val="26"/>
          <w:szCs w:val="26"/>
        </w:rPr>
        <w:t xml:space="preserve">УПКС = </w:t>
      </w:r>
      <w:r w:rsidR="001E69E7" w:rsidRPr="001E69E7">
        <w:rPr>
          <w:rFonts w:ascii="Times New Roman" w:hAnsi="Times New Roman" w:cs="Times New Roman"/>
          <w:i/>
          <w:sz w:val="26"/>
          <w:szCs w:val="26"/>
        </w:rPr>
        <w:t>634.280645703912*e^(+0.0000620135743992499*((10304.761</w:t>
      </w:r>
      <w:r w:rsidR="001E69E7">
        <w:rPr>
          <w:rFonts w:ascii="Times New Roman" w:hAnsi="Times New Roman" w:cs="Times New Roman"/>
          <w:i/>
          <w:sz w:val="26"/>
          <w:szCs w:val="26"/>
        </w:rPr>
        <w:t xml:space="preserve"> </w:t>
      </w:r>
      <w:r w:rsidR="001E69E7" w:rsidRPr="001E69E7">
        <w:rPr>
          <w:rFonts w:ascii="Times New Roman" w:hAnsi="Times New Roman" w:cs="Times New Roman"/>
          <w:i/>
          <w:sz w:val="26"/>
          <w:szCs w:val="26"/>
        </w:rPr>
        <w:t>+81.205-гнп Расстояние объекта до общественно-делового центра))</w:t>
      </w:r>
      <w:r w:rsidR="001E69E7">
        <w:rPr>
          <w:rFonts w:ascii="Times New Roman" w:hAnsi="Times New Roman" w:cs="Times New Roman"/>
          <w:i/>
          <w:sz w:val="26"/>
          <w:szCs w:val="26"/>
        </w:rPr>
        <w:t xml:space="preserve"> </w:t>
      </w:r>
      <w:r w:rsidR="001E69E7" w:rsidRPr="001E69E7">
        <w:rPr>
          <w:rFonts w:ascii="Times New Roman" w:hAnsi="Times New Roman" w:cs="Times New Roman"/>
          <w:i/>
          <w:sz w:val="26"/>
          <w:szCs w:val="26"/>
        </w:rPr>
        <w:t>+0.0000916299774179906*((14790.387+344.991999999999-гнп Расстояние объекта до центра населенного пункта))+0.756621721104356*([гнп Центральное теплоснабжение]))</w:t>
      </w:r>
    </w:p>
    <w:p w14:paraId="2FE3B510" w14:textId="5980F0D4"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4DA5F855" w14:textId="57EF84BA" w:rsidR="00C574FC" w:rsidRPr="00F562A8" w:rsidRDefault="00336969" w:rsidP="00C574FC">
      <w:pPr>
        <w:spacing w:after="0" w:line="276" w:lineRule="auto"/>
        <w:jc w:val="center"/>
        <w:rPr>
          <w:rFonts w:ascii="Times New Roman" w:hAnsi="Times New Roman" w:cs="Times New Roman"/>
          <w:i/>
          <w:szCs w:val="24"/>
        </w:rPr>
      </w:pPr>
      <w:r w:rsidRPr="00CF505F">
        <w:rPr>
          <w:noProof/>
          <w:lang w:eastAsia="ru-RU"/>
        </w:rPr>
        <w:drawing>
          <wp:inline distT="0" distB="0" distL="0" distR="0" wp14:anchorId="3CD8CA76" wp14:editId="071551CB">
            <wp:extent cx="5939790" cy="3375934"/>
            <wp:effectExtent l="0" t="0" r="381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5939790" cy="3375934"/>
                    </a:xfrm>
                    <a:prstGeom prst="rect">
                      <a:avLst/>
                    </a:prstGeom>
                  </pic:spPr>
                </pic:pic>
              </a:graphicData>
            </a:graphic>
          </wp:inline>
        </w:drawing>
      </w:r>
    </w:p>
    <w:p w14:paraId="7334C6B1" w14:textId="691DF55E" w:rsidR="00C574FC" w:rsidRPr="00F562A8" w:rsidRDefault="00C574FC" w:rsidP="00C574FC">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6F7A30">
        <w:rPr>
          <w:rFonts w:ascii="Times New Roman" w:hAnsi="Times New Roman" w:cs="Times New Roman"/>
          <w:sz w:val="26"/>
          <w:szCs w:val="26"/>
        </w:rPr>
        <w:t>6</w:t>
      </w:r>
      <w:r w:rsidRPr="00F562A8">
        <w:rPr>
          <w:rFonts w:ascii="Times New Roman" w:hAnsi="Times New Roman" w:cs="Times New Roman"/>
          <w:sz w:val="26"/>
          <w:szCs w:val="26"/>
        </w:rPr>
        <w:t>.</w:t>
      </w:r>
      <w:r>
        <w:rPr>
          <w:rFonts w:ascii="Times New Roman" w:hAnsi="Times New Roman" w:cs="Times New Roman"/>
          <w:sz w:val="26"/>
          <w:szCs w:val="26"/>
        </w:rPr>
        <w:t>1.</w:t>
      </w:r>
      <w:r w:rsidR="006E7FD0">
        <w:rPr>
          <w:rFonts w:ascii="Times New Roman" w:hAnsi="Times New Roman" w:cs="Times New Roman"/>
          <w:sz w:val="26"/>
          <w:szCs w:val="26"/>
        </w:rPr>
        <w:t>4</w:t>
      </w:r>
      <w:r w:rsidRPr="00F562A8">
        <w:rPr>
          <w:rFonts w:ascii="Times New Roman" w:hAnsi="Times New Roman" w:cs="Times New Roman"/>
          <w:sz w:val="26"/>
          <w:szCs w:val="26"/>
        </w:rPr>
        <w:t xml:space="preserve"> - Характеристика экспоненциальной модели и анализ качества выборки</w:t>
      </w:r>
    </w:p>
    <w:p w14:paraId="4AB77122" w14:textId="39AEC4F8" w:rsidR="00C574FC"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w:t>
      </w:r>
      <w:r>
        <w:rPr>
          <w:rFonts w:ascii="Times New Roman" w:hAnsi="Times New Roman" w:cs="Times New Roman"/>
          <w:sz w:val="26"/>
          <w:szCs w:val="26"/>
        </w:rPr>
        <w:t>а</w:t>
      </w:r>
      <w:r w:rsidRPr="00F562A8">
        <w:rPr>
          <w:rFonts w:ascii="Times New Roman" w:hAnsi="Times New Roman" w:cs="Times New Roman"/>
          <w:sz w:val="26"/>
          <w:szCs w:val="26"/>
        </w:rPr>
        <w:t>м</w:t>
      </w:r>
      <w:r>
        <w:rPr>
          <w:rFonts w:ascii="Times New Roman" w:hAnsi="Times New Roman" w:cs="Times New Roman"/>
          <w:sz w:val="26"/>
          <w:szCs w:val="26"/>
        </w:rPr>
        <w:t>и</w:t>
      </w:r>
      <w:r w:rsidRPr="00F562A8">
        <w:rPr>
          <w:rFonts w:ascii="Times New Roman" w:hAnsi="Times New Roman" w:cs="Times New Roman"/>
          <w:sz w:val="26"/>
          <w:szCs w:val="26"/>
        </w:rPr>
        <w:t xml:space="preserve"> </w:t>
      </w:r>
      <w:r w:rsidR="00336969" w:rsidRPr="00F562A8">
        <w:rPr>
          <w:rFonts w:ascii="Times New Roman" w:hAnsi="Times New Roman" w:cs="Times New Roman"/>
          <w:sz w:val="26"/>
          <w:szCs w:val="26"/>
        </w:rPr>
        <w:t>Х</w:t>
      </w:r>
      <w:r w:rsidR="00336969" w:rsidRPr="00F562A8">
        <w:rPr>
          <w:rFonts w:ascii="Times New Roman" w:hAnsi="Times New Roman" w:cs="Times New Roman"/>
          <w:sz w:val="26"/>
          <w:szCs w:val="26"/>
          <w:vertAlign w:val="subscript"/>
        </w:rPr>
        <w:t>0</w:t>
      </w:r>
      <w:r w:rsidR="00336969">
        <w:rPr>
          <w:rFonts w:ascii="Times New Roman" w:hAnsi="Times New Roman" w:cs="Times New Roman"/>
          <w:sz w:val="26"/>
          <w:szCs w:val="26"/>
          <w:vertAlign w:val="subscript"/>
        </w:rPr>
        <w:t xml:space="preserve">, </w:t>
      </w:r>
      <w:r w:rsidR="00336969" w:rsidRPr="00F562A8">
        <w:rPr>
          <w:rFonts w:ascii="Times New Roman" w:hAnsi="Times New Roman" w:cs="Times New Roman"/>
          <w:sz w:val="26"/>
          <w:szCs w:val="26"/>
        </w:rPr>
        <w:t>Х</w:t>
      </w:r>
      <w:r w:rsidR="00336969">
        <w:rPr>
          <w:rFonts w:ascii="Times New Roman" w:hAnsi="Times New Roman" w:cs="Times New Roman"/>
          <w:sz w:val="26"/>
          <w:szCs w:val="26"/>
          <w:vertAlign w:val="subscript"/>
        </w:rPr>
        <w:t xml:space="preserve">1 </w:t>
      </w:r>
      <w:r w:rsidRPr="00F562A8">
        <w:rPr>
          <w:rFonts w:ascii="Times New Roman" w:hAnsi="Times New Roman" w:cs="Times New Roman"/>
          <w:sz w:val="26"/>
          <w:szCs w:val="26"/>
        </w:rPr>
        <w:t>и кадастровой стоимостью обратная, то есть при росте этого фактора кадастровая стоимость уменьшается. Малые значения средней ошибки аппроксимации и среднеквадратической ошибки оценки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7A7BF080" w14:textId="2659D764" w:rsidR="00C574FC" w:rsidRDefault="00E34753" w:rsidP="00C574FC">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3EB24777" w14:textId="77777777" w:rsidR="00497BF1" w:rsidRDefault="00497BF1" w:rsidP="00C574FC">
      <w:pPr>
        <w:spacing w:after="0" w:line="276" w:lineRule="auto"/>
        <w:ind w:firstLine="709"/>
        <w:jc w:val="both"/>
        <w:rPr>
          <w:rFonts w:ascii="Times New Roman" w:eastAsiaTheme="minorEastAsia" w:hAnsi="Times New Roman" w:cs="Times New Roman"/>
          <w:sz w:val="26"/>
          <w:szCs w:val="26"/>
          <w:highlight w:val="yellow"/>
        </w:rPr>
      </w:pPr>
    </w:p>
    <w:p w14:paraId="34F2D7A2" w14:textId="75FD3F45" w:rsidR="00C574FC" w:rsidRPr="00F562A8" w:rsidRDefault="00C574FC" w:rsidP="00C574FC">
      <w:pPr>
        <w:pStyle w:val="ab"/>
        <w:ind w:left="0"/>
        <w:jc w:val="center"/>
        <w:outlineLvl w:val="2"/>
        <w:rPr>
          <w:rFonts w:ascii="Times New Roman" w:hAnsi="Times New Roman" w:cs="Times New Roman"/>
          <w:i/>
          <w:sz w:val="26"/>
          <w:szCs w:val="26"/>
        </w:rPr>
      </w:pPr>
      <w:bookmarkStart w:id="248" w:name="_Toc110506993"/>
      <w:r w:rsidRPr="00DC7772">
        <w:rPr>
          <w:rFonts w:ascii="Times New Roman" w:hAnsi="Times New Roman" w:cs="Times New Roman"/>
          <w:i/>
          <w:sz w:val="26"/>
          <w:szCs w:val="26"/>
        </w:rPr>
        <w:t>3.6.6.2. Расчет</w:t>
      </w:r>
      <w:r w:rsidRPr="00F562A8">
        <w:rPr>
          <w:rFonts w:ascii="Times New Roman" w:hAnsi="Times New Roman" w:cs="Times New Roman"/>
          <w:i/>
          <w:sz w:val="26"/>
          <w:szCs w:val="26"/>
        </w:rPr>
        <w:t xml:space="preserve"> кадастровой стоимости земельных участков группы </w:t>
      </w:r>
      <w:r w:rsidRPr="00983D64">
        <w:rPr>
          <w:rFonts w:ascii="Times New Roman" w:hAnsi="Times New Roman" w:cs="Times New Roman"/>
          <w:i/>
          <w:sz w:val="26"/>
          <w:szCs w:val="26"/>
        </w:rPr>
        <w:t>ПРОИЗВОДСТВО</w:t>
      </w:r>
      <w:r>
        <w:rPr>
          <w:rFonts w:ascii="Times New Roman" w:hAnsi="Times New Roman" w:cs="Times New Roman"/>
          <w:i/>
          <w:sz w:val="26"/>
          <w:szCs w:val="26"/>
        </w:rPr>
        <w:t>/</w:t>
      </w:r>
      <w:r w:rsidRPr="005844F6">
        <w:rPr>
          <w:rFonts w:ascii="Times New Roman" w:hAnsi="Times New Roman" w:cs="Times New Roman"/>
          <w:i/>
          <w:sz w:val="26"/>
          <w:szCs w:val="26"/>
        </w:rPr>
        <w:t>АЗС-ПС</w:t>
      </w:r>
      <w:r w:rsidRPr="00D45BC3">
        <w:rPr>
          <w:rFonts w:ascii="Times New Roman" w:hAnsi="Times New Roman" w:cs="Times New Roman"/>
          <w:i/>
          <w:sz w:val="26"/>
          <w:szCs w:val="26"/>
        </w:rPr>
        <w:t>/ГНП</w:t>
      </w:r>
      <w:bookmarkEnd w:id="248"/>
    </w:p>
    <w:p w14:paraId="63472C1B" w14:textId="77777777" w:rsidR="00C574FC" w:rsidRPr="00F562A8" w:rsidRDefault="00C574FC" w:rsidP="00C574FC">
      <w:pPr>
        <w:pStyle w:val="ConsPlusNormal"/>
        <w:spacing w:line="276" w:lineRule="auto"/>
        <w:ind w:firstLine="709"/>
        <w:contextualSpacing/>
        <w:jc w:val="center"/>
        <w:rPr>
          <w:rFonts w:ascii="Times New Roman" w:hAnsi="Times New Roman" w:cs="Times New Roman"/>
          <w:i/>
          <w:sz w:val="16"/>
          <w:szCs w:val="16"/>
        </w:rPr>
      </w:pPr>
    </w:p>
    <w:p w14:paraId="3C73E1DF" w14:textId="00A2C8E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09B14C73" w14:textId="7E064C0E" w:rsidR="006F7A30" w:rsidRDefault="006F7A30" w:rsidP="006F7A30">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6F7A30">
        <w:rPr>
          <w:rFonts w:ascii="Times New Roman" w:hAnsi="Times New Roman" w:cs="Times New Roman"/>
          <w:sz w:val="26"/>
          <w:szCs w:val="26"/>
        </w:rPr>
        <w:t>ПРОИЗВОДСТВО/АЗС-ПС/</w:t>
      </w:r>
      <w:r>
        <w:rPr>
          <w:rFonts w:ascii="Times New Roman" w:hAnsi="Times New Roman" w:cs="Times New Roman"/>
          <w:sz w:val="26"/>
          <w:szCs w:val="26"/>
        </w:rPr>
        <w:t>ГНП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Pr="006F7A30">
        <w:rPr>
          <w:rFonts w:ascii="Times New Roman" w:hAnsi="Times New Roman" w:cs="Times New Roman"/>
          <w:sz w:val="26"/>
          <w:szCs w:val="26"/>
        </w:rPr>
        <w:t>04:095, 04:098, 04:099</w:t>
      </w:r>
      <w:r>
        <w:rPr>
          <w:rFonts w:ascii="Times New Roman" w:hAnsi="Times New Roman" w:cs="Times New Roman"/>
          <w:sz w:val="26"/>
          <w:szCs w:val="26"/>
        </w:rPr>
        <w:t>.</w:t>
      </w:r>
    </w:p>
    <w:p w14:paraId="44AD0E97" w14:textId="7B44B532"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Pr="00C109D4">
        <w:rPr>
          <w:rFonts w:ascii="Times New Roman" w:hAnsi="Times New Roman" w:cs="Times New Roman"/>
          <w:sz w:val="26"/>
          <w:szCs w:val="26"/>
        </w:rPr>
        <w:t>ПРОИЗВОДСТВО/АЗС-ПС</w:t>
      </w:r>
      <w:r w:rsidRPr="00A53A0E">
        <w:rPr>
          <w:rFonts w:ascii="Times New Roman" w:hAnsi="Times New Roman" w:cs="Times New Roman"/>
          <w:sz w:val="26"/>
          <w:szCs w:val="26"/>
        </w:rPr>
        <w:t>/ГНП</w:t>
      </w:r>
      <w:r w:rsidRPr="00F562A8">
        <w:rPr>
          <w:rFonts w:ascii="Times New Roman" w:hAnsi="Times New Roman" w:cs="Times New Roman"/>
          <w:sz w:val="26"/>
          <w:szCs w:val="26"/>
        </w:rPr>
        <w:t xml:space="preserve"> 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3E1583E2"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Согласно п.45.1.1 Указаний</w:t>
      </w:r>
      <w:r w:rsidRPr="00F562A8">
        <w:rPr>
          <w:rFonts w:ascii="Times New Roman" w:hAnsi="Times New Roman" w:cs="Times New Roman"/>
          <w:sz w:val="26"/>
          <w:szCs w:val="26"/>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5A714473"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465BD754"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4C608C67"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2EF731EC"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5C42F0CA"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0F1C6F38"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50E37828" w14:textId="77777777" w:rsidR="00C574FC" w:rsidRPr="00DE636F" w:rsidRDefault="00C574FC" w:rsidP="00C574FC">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Рынок недвижимости в городских населенных пунктах отличается от рынка недвижимости в сельских населенных пунктах существенным образом. В некрупных городах, поселках и селах предложение и спрос на недвижимость недостаточно объемен, или практически отсутствует. Это объясняется тем, что рынок недвижимости является своеобразным индикатором деловой активности в населенных пунктах. В соответствии с различиями в уровне социально-экономического развития населенных пунктов региона может различаться и степень развитости локальных рынков недвижимости.</w:t>
      </w:r>
    </w:p>
    <w:p w14:paraId="418574F1" w14:textId="77777777" w:rsidR="00C574FC" w:rsidRPr="00DE636F" w:rsidRDefault="00C574FC" w:rsidP="00C574FC">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По этой причине, в данной модели взят фактор Х</w:t>
      </w:r>
      <w:r w:rsidRPr="00DE636F">
        <w:rPr>
          <w:rFonts w:ascii="Times New Roman" w:hAnsi="Times New Roman" w:cs="Times New Roman"/>
          <w:sz w:val="26"/>
          <w:szCs w:val="26"/>
          <w:vertAlign w:val="subscript"/>
        </w:rPr>
        <w:t xml:space="preserve">0 </w:t>
      </w:r>
      <w:r w:rsidRPr="00DE636F">
        <w:rPr>
          <w:rFonts w:ascii="Times New Roman" w:hAnsi="Times New Roman" w:cs="Times New Roman"/>
          <w:sz w:val="26"/>
          <w:szCs w:val="26"/>
        </w:rPr>
        <w:t xml:space="preserve">«Наименование </w:t>
      </w:r>
      <w:r>
        <w:rPr>
          <w:rFonts w:ascii="Times New Roman" w:hAnsi="Times New Roman" w:cs="Times New Roman"/>
          <w:sz w:val="26"/>
          <w:szCs w:val="26"/>
        </w:rPr>
        <w:t>района</w:t>
      </w:r>
      <w:r w:rsidRPr="00DE636F">
        <w:rPr>
          <w:rFonts w:ascii="Times New Roman" w:hAnsi="Times New Roman" w:cs="Times New Roman"/>
          <w:sz w:val="26"/>
          <w:szCs w:val="26"/>
        </w:rPr>
        <w:t>», объединяющий населенные пункты Воронежской области, по степени социально-экономических показателей (по данным территориального органа Федеральной службы государственной статистики).</w:t>
      </w:r>
    </w:p>
    <w:p w14:paraId="0DA41B1C" w14:textId="77777777" w:rsidR="00497BF1" w:rsidRDefault="00C574FC" w:rsidP="00497BF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городских населенных пунктах Воронежской области,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497BF1" w:rsidRPr="00F562A8">
        <w:rPr>
          <w:rFonts w:ascii="Times New Roman" w:hAnsi="Times New Roman" w:cs="Times New Roman"/>
          <w:sz w:val="26"/>
          <w:szCs w:val="26"/>
        </w:rPr>
        <w:t>представлены в таблиц</w:t>
      </w:r>
      <w:r w:rsidR="00497BF1">
        <w:rPr>
          <w:rFonts w:ascii="Times New Roman" w:hAnsi="Times New Roman" w:cs="Times New Roman"/>
          <w:sz w:val="26"/>
          <w:szCs w:val="26"/>
        </w:rPr>
        <w:t>ах</w:t>
      </w:r>
      <w:r w:rsidR="00497BF1" w:rsidRPr="00F562A8">
        <w:rPr>
          <w:rFonts w:ascii="Times New Roman" w:hAnsi="Times New Roman" w:cs="Times New Roman"/>
          <w:sz w:val="26"/>
          <w:szCs w:val="26"/>
        </w:rPr>
        <w:t xml:space="preserve"> </w:t>
      </w:r>
      <w:r w:rsidR="00497BF1" w:rsidRPr="00F562A8">
        <w:rPr>
          <w:rFonts w:ascii="Times New Roman" w:eastAsia="Times New Roman" w:hAnsi="Times New Roman" w:cs="Times New Roman"/>
          <w:sz w:val="26"/>
          <w:szCs w:val="26"/>
        </w:rPr>
        <w:t>3.</w:t>
      </w:r>
      <w:r w:rsidR="00497BF1">
        <w:rPr>
          <w:rFonts w:ascii="Times New Roman" w:eastAsia="Times New Roman" w:hAnsi="Times New Roman" w:cs="Times New Roman"/>
          <w:sz w:val="26"/>
          <w:szCs w:val="26"/>
        </w:rPr>
        <w:t>4 и 3.5, пунктов 3.4 и 3.5 соответственно</w:t>
      </w:r>
      <w:r w:rsidR="00497BF1" w:rsidRPr="00F562A8">
        <w:rPr>
          <w:rFonts w:ascii="Times New Roman" w:hAnsi="Times New Roman" w:cs="Times New Roman"/>
          <w:sz w:val="26"/>
          <w:szCs w:val="26"/>
        </w:rPr>
        <w:t>.</w:t>
      </w:r>
    </w:p>
    <w:p w14:paraId="476B00C8" w14:textId="0F7132C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6F09E620"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69CE41EC"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Pr>
          <w:rFonts w:ascii="Times New Roman" w:hAnsi="Times New Roman" w:cs="Times New Roman"/>
          <w:sz w:val="26"/>
          <w:szCs w:val="26"/>
        </w:rPr>
        <w:t>6</w:t>
      </w:r>
      <w:r w:rsidRPr="00F562A8">
        <w:rPr>
          <w:rFonts w:ascii="Times New Roman" w:hAnsi="Times New Roman" w:cs="Times New Roman"/>
          <w:sz w:val="26"/>
          <w:szCs w:val="26"/>
        </w:rPr>
        <w:t>:</w:t>
      </w:r>
    </w:p>
    <w:p w14:paraId="28C3F4F2" w14:textId="77777777" w:rsidR="00C574FC"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н</w:t>
      </w:r>
      <w:r w:rsidRPr="003A177A">
        <w:rPr>
          <w:rFonts w:ascii="Times New Roman" w:hAnsi="Times New Roman" w:cs="Times New Roman"/>
          <w:sz w:val="26"/>
          <w:szCs w:val="26"/>
        </w:rPr>
        <w:t>аименование района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0098A536"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р</w:t>
      </w:r>
      <w:r w:rsidRPr="003D4EFA">
        <w:rPr>
          <w:rFonts w:ascii="Times New Roman" w:hAnsi="Times New Roman" w:cs="Times New Roman"/>
          <w:sz w:val="26"/>
          <w:szCs w:val="26"/>
        </w:rPr>
        <w:t xml:space="preserve">асстояние объекта до общественно-делового центра: </w:t>
      </w:r>
      <w:r w:rsidRPr="00F562A8">
        <w:rPr>
          <w:rFonts w:ascii="Times New Roman" w:hAnsi="Times New Roman" w:cs="Times New Roman"/>
          <w:sz w:val="26"/>
          <w:szCs w:val="26"/>
        </w:rPr>
        <w:t>Х</w:t>
      </w:r>
      <w:r w:rsidRPr="00F562A8">
        <w:rPr>
          <w:rFonts w:ascii="Times New Roman" w:hAnsi="Times New Roman" w:cs="Times New Roman"/>
          <w:sz w:val="26"/>
          <w:szCs w:val="26"/>
          <w:vertAlign w:val="subscript"/>
        </w:rPr>
        <w:t>1</w:t>
      </w:r>
      <w:r>
        <w:rPr>
          <w:rFonts w:ascii="Times New Roman" w:hAnsi="Times New Roman" w:cs="Times New Roman"/>
          <w:sz w:val="26"/>
          <w:szCs w:val="26"/>
          <w:vertAlign w:val="subscript"/>
        </w:rPr>
        <w:t>;</w:t>
      </w:r>
      <w:r w:rsidRPr="003D4EFA">
        <w:rPr>
          <w:rFonts w:ascii="Times New Roman" w:hAnsi="Times New Roman" w:cs="Times New Roman"/>
          <w:sz w:val="26"/>
          <w:szCs w:val="26"/>
        </w:rPr>
        <w:t xml:space="preserve"> </w:t>
      </w:r>
    </w:p>
    <w:p w14:paraId="7B06AC0E"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р</w:t>
      </w:r>
      <w:r w:rsidRPr="003A177A">
        <w:rPr>
          <w:rFonts w:ascii="Times New Roman" w:hAnsi="Times New Roman" w:cs="Times New Roman"/>
          <w:sz w:val="26"/>
          <w:szCs w:val="26"/>
        </w:rPr>
        <w:t>асстояние объекта до центра населенного пункта</w:t>
      </w:r>
      <w:r w:rsidRPr="00F562A8">
        <w:rPr>
          <w:rFonts w:ascii="Times New Roman" w:hAnsi="Times New Roman" w:cs="Times New Roman"/>
          <w:sz w:val="26"/>
          <w:szCs w:val="26"/>
        </w:rPr>
        <w:t>: Х</w:t>
      </w:r>
      <w:r>
        <w:rPr>
          <w:rFonts w:ascii="Times New Roman" w:hAnsi="Times New Roman" w:cs="Times New Roman"/>
          <w:sz w:val="26"/>
          <w:szCs w:val="26"/>
          <w:vertAlign w:val="subscript"/>
        </w:rPr>
        <w:t>2</w:t>
      </w:r>
      <w:r>
        <w:rPr>
          <w:rFonts w:ascii="Times New Roman" w:hAnsi="Times New Roman" w:cs="Times New Roman"/>
          <w:sz w:val="26"/>
          <w:szCs w:val="26"/>
        </w:rPr>
        <w:t>;</w:t>
      </w:r>
    </w:p>
    <w:p w14:paraId="4A039211" w14:textId="77777777" w:rsidR="00C574FC"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w:t>
      </w:r>
      <w:r>
        <w:rPr>
          <w:rFonts w:ascii="Times New Roman" w:hAnsi="Times New Roman" w:cs="Times New Roman"/>
          <w:sz w:val="26"/>
          <w:szCs w:val="26"/>
        </w:rPr>
        <w:t xml:space="preserve"> р</w:t>
      </w:r>
      <w:r w:rsidRPr="00FC35E5">
        <w:rPr>
          <w:rFonts w:ascii="Times New Roman" w:hAnsi="Times New Roman" w:cs="Times New Roman"/>
          <w:sz w:val="26"/>
          <w:szCs w:val="26"/>
        </w:rPr>
        <w:t>асстояние от населенного пункта до центра муниципального района (городского округа)</w:t>
      </w:r>
      <w:r w:rsidRPr="00F562A8">
        <w:rPr>
          <w:rFonts w:ascii="Times New Roman" w:hAnsi="Times New Roman" w:cs="Times New Roman"/>
          <w:sz w:val="26"/>
          <w:szCs w:val="26"/>
        </w:rPr>
        <w:t>: Х</w:t>
      </w:r>
      <w:r>
        <w:rPr>
          <w:rFonts w:ascii="Times New Roman" w:hAnsi="Times New Roman" w:cs="Times New Roman"/>
          <w:sz w:val="26"/>
          <w:szCs w:val="26"/>
          <w:vertAlign w:val="subscript"/>
        </w:rPr>
        <w:t>3</w:t>
      </w:r>
      <w:r>
        <w:rPr>
          <w:rFonts w:ascii="Times New Roman" w:hAnsi="Times New Roman" w:cs="Times New Roman"/>
          <w:sz w:val="26"/>
          <w:szCs w:val="26"/>
        </w:rPr>
        <w:t>;</w:t>
      </w:r>
    </w:p>
    <w:p w14:paraId="06077AA9" w14:textId="77777777" w:rsidR="00C574FC" w:rsidRDefault="00C574FC" w:rsidP="00C574FC">
      <w:pPr>
        <w:spacing w:after="0" w:line="276" w:lineRule="auto"/>
        <w:ind w:firstLine="709"/>
        <w:jc w:val="both"/>
        <w:rPr>
          <w:rFonts w:ascii="Times New Roman" w:hAnsi="Times New Roman" w:cs="Times New Roman"/>
          <w:sz w:val="26"/>
          <w:szCs w:val="26"/>
        </w:rPr>
      </w:pPr>
      <w:r w:rsidRPr="003A177A">
        <w:rPr>
          <w:rFonts w:ascii="Times New Roman" w:hAnsi="Times New Roman" w:cs="Times New Roman"/>
          <w:sz w:val="26"/>
          <w:szCs w:val="26"/>
        </w:rPr>
        <w:t xml:space="preserve">- </w:t>
      </w:r>
      <w:r>
        <w:rPr>
          <w:rFonts w:ascii="Times New Roman" w:hAnsi="Times New Roman" w:cs="Times New Roman"/>
          <w:sz w:val="26"/>
          <w:szCs w:val="26"/>
        </w:rPr>
        <w:t>р</w:t>
      </w:r>
      <w:r w:rsidRPr="003D4EFA">
        <w:rPr>
          <w:rFonts w:ascii="Times New Roman" w:hAnsi="Times New Roman" w:cs="Times New Roman"/>
          <w:sz w:val="26"/>
          <w:szCs w:val="26"/>
        </w:rPr>
        <w:t>асстояние от населенного пункта до центра субъекта РФ (г.Воронеж):</w:t>
      </w:r>
      <w:r w:rsidRPr="003A177A">
        <w:rPr>
          <w:rFonts w:ascii="Times New Roman" w:hAnsi="Times New Roman" w:cs="Times New Roman"/>
          <w:sz w:val="26"/>
          <w:szCs w:val="26"/>
        </w:rPr>
        <w:t xml:space="preserve"> </w:t>
      </w:r>
      <w:r w:rsidRPr="00F562A8">
        <w:rPr>
          <w:rFonts w:ascii="Times New Roman" w:hAnsi="Times New Roman" w:cs="Times New Roman"/>
          <w:sz w:val="26"/>
          <w:szCs w:val="26"/>
        </w:rPr>
        <w:t>Х</w:t>
      </w:r>
      <w:r>
        <w:rPr>
          <w:rFonts w:ascii="Times New Roman" w:hAnsi="Times New Roman" w:cs="Times New Roman"/>
          <w:sz w:val="26"/>
          <w:szCs w:val="26"/>
          <w:vertAlign w:val="subscript"/>
        </w:rPr>
        <w:t>4;</w:t>
      </w:r>
    </w:p>
    <w:p w14:paraId="67F948C2" w14:textId="77777777" w:rsidR="00C574FC" w:rsidRDefault="00C574FC" w:rsidP="00C574FC">
      <w:pPr>
        <w:spacing w:after="0" w:line="276" w:lineRule="auto"/>
        <w:ind w:firstLine="709"/>
        <w:jc w:val="both"/>
        <w:rPr>
          <w:rFonts w:ascii="Times New Roman" w:hAnsi="Times New Roman" w:cs="Times New Roman"/>
          <w:sz w:val="26"/>
          <w:szCs w:val="26"/>
          <w:vertAlign w:val="subscript"/>
        </w:rPr>
      </w:pPr>
      <w:r>
        <w:rPr>
          <w:rFonts w:ascii="Times New Roman" w:hAnsi="Times New Roman" w:cs="Times New Roman"/>
          <w:sz w:val="26"/>
          <w:szCs w:val="26"/>
        </w:rPr>
        <w:t xml:space="preserve"> - с</w:t>
      </w:r>
      <w:r w:rsidRPr="003D4EFA">
        <w:rPr>
          <w:rFonts w:ascii="Times New Roman" w:hAnsi="Times New Roman" w:cs="Times New Roman"/>
          <w:sz w:val="26"/>
          <w:szCs w:val="26"/>
        </w:rPr>
        <w:t>татус автодороги, на которой расположен объект (ФЗ – федерального значения; РЗ – регионального значения; МЗ – местного (межмуниципального) значения</w:t>
      </w:r>
      <w:r w:rsidRPr="00FC35E5">
        <w:rPr>
          <w:rFonts w:ascii="Times New Roman" w:hAnsi="Times New Roman" w:cs="Times New Roman"/>
          <w:sz w:val="26"/>
          <w:szCs w:val="26"/>
        </w:rPr>
        <w:t>:</w:t>
      </w:r>
      <w:r>
        <w:t xml:space="preserve"> </w:t>
      </w:r>
      <w:r w:rsidRPr="00F562A8">
        <w:rPr>
          <w:rFonts w:ascii="Times New Roman" w:hAnsi="Times New Roman" w:cs="Times New Roman"/>
          <w:sz w:val="26"/>
          <w:szCs w:val="26"/>
        </w:rPr>
        <w:t>Х</w:t>
      </w:r>
      <w:r>
        <w:rPr>
          <w:rFonts w:ascii="Times New Roman" w:hAnsi="Times New Roman" w:cs="Times New Roman"/>
          <w:sz w:val="26"/>
          <w:szCs w:val="26"/>
          <w:vertAlign w:val="subscript"/>
        </w:rPr>
        <w:t>5.</w:t>
      </w:r>
    </w:p>
    <w:p w14:paraId="6169307D"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1B760879"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1A2FD45D" w14:textId="08A8DAF4"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E86A40">
        <w:rPr>
          <w:rFonts w:ascii="Times New Roman" w:hAnsi="Times New Roman" w:cs="Times New Roman"/>
          <w:sz w:val="26"/>
          <w:szCs w:val="26"/>
        </w:rPr>
        <w:t>шести</w:t>
      </w:r>
      <w:r w:rsidRPr="00F562A8">
        <w:rPr>
          <w:rFonts w:ascii="Times New Roman" w:hAnsi="Times New Roman" w:cs="Times New Roman"/>
          <w:sz w:val="26"/>
          <w:szCs w:val="26"/>
        </w:rPr>
        <w:t>факторные модели:</w:t>
      </w:r>
    </w:p>
    <w:p w14:paraId="37F2B56C" w14:textId="77777777" w:rsidR="00C574FC" w:rsidRPr="00F562A8" w:rsidRDefault="00C574FC" w:rsidP="00C574FC">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1A8F8A47" wp14:editId="0FB89200">
            <wp:extent cx="2209800" cy="247650"/>
            <wp:effectExtent l="0" t="0" r="0" b="0"/>
            <wp:docPr id="762" name="Рисунок 762"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7526CE91"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36C5B310" wp14:editId="597334F8">
            <wp:extent cx="1352550" cy="266700"/>
            <wp:effectExtent l="0" t="0" r="0" b="0"/>
            <wp:docPr id="763" name="Рисунок 763"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6CCF84D0"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33C3E4DD" wp14:editId="7D2FB2CC">
            <wp:extent cx="1266825" cy="266700"/>
            <wp:effectExtent l="0" t="0" r="0" b="0"/>
            <wp:docPr id="764" name="Рисунок 764"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70270E61"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255F91F5"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5E6F1B13"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29EB2503" wp14:editId="3CF7A2F5">
            <wp:extent cx="209550" cy="247650"/>
            <wp:effectExtent l="0" t="0" r="0" b="0"/>
            <wp:docPr id="765" name="Рисунок 765"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033353B2" wp14:editId="631E7A1A">
            <wp:extent cx="200025" cy="247650"/>
            <wp:effectExtent l="0" t="0" r="9525" b="0"/>
            <wp:docPr id="766" name="Рисунок 766"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233F1842" wp14:editId="46925A2B">
            <wp:extent cx="209550" cy="247650"/>
            <wp:effectExtent l="0" t="0" r="0" b="0"/>
            <wp:docPr id="767" name="Рисунок 767"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676E9525" w14:textId="585B66C1" w:rsidR="00C574FC" w:rsidRDefault="00E52EC3" w:rsidP="00C574FC">
      <w:pPr>
        <w:spacing w:after="0" w:line="276" w:lineRule="auto"/>
        <w:jc w:val="center"/>
        <w:rPr>
          <w:noProof/>
        </w:rPr>
      </w:pPr>
      <w:r w:rsidRPr="009F6082">
        <w:rPr>
          <w:noProof/>
          <w:lang w:eastAsia="ru-RU"/>
        </w:rPr>
        <w:drawing>
          <wp:inline distT="0" distB="0" distL="0" distR="0" wp14:anchorId="491BEBC1" wp14:editId="3B63FDB8">
            <wp:extent cx="5934971" cy="1123950"/>
            <wp:effectExtent l="0" t="0" r="889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5945532" cy="1125950"/>
                    </a:xfrm>
                    <a:prstGeom prst="rect">
                      <a:avLst/>
                    </a:prstGeom>
                  </pic:spPr>
                </pic:pic>
              </a:graphicData>
            </a:graphic>
          </wp:inline>
        </w:drawing>
      </w:r>
    </w:p>
    <w:p w14:paraId="185CA634" w14:textId="51283209" w:rsidR="00C574FC" w:rsidRPr="00F562A8" w:rsidRDefault="00C574FC" w:rsidP="00C574FC">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6F7A30">
        <w:rPr>
          <w:rFonts w:ascii="Times New Roman" w:hAnsi="Times New Roman" w:cs="Times New Roman"/>
          <w:sz w:val="26"/>
          <w:szCs w:val="26"/>
        </w:rPr>
        <w:t>6</w:t>
      </w:r>
      <w:r w:rsidRPr="00F562A8">
        <w:rPr>
          <w:rFonts w:ascii="Times New Roman" w:hAnsi="Times New Roman" w:cs="Times New Roman"/>
          <w:sz w:val="26"/>
          <w:szCs w:val="26"/>
        </w:rPr>
        <w:t>.</w:t>
      </w:r>
      <w:r w:rsidR="006F7A30">
        <w:rPr>
          <w:rFonts w:ascii="Times New Roman" w:hAnsi="Times New Roman" w:cs="Times New Roman"/>
          <w:sz w:val="26"/>
          <w:szCs w:val="26"/>
        </w:rPr>
        <w:t>2</w:t>
      </w:r>
      <w:r>
        <w:rPr>
          <w:rFonts w:ascii="Times New Roman" w:hAnsi="Times New Roman" w:cs="Times New Roman"/>
          <w:sz w:val="26"/>
          <w:szCs w:val="26"/>
        </w:rPr>
        <w:t>.</w:t>
      </w:r>
      <w:r w:rsidR="006E7FD0">
        <w:rPr>
          <w:rFonts w:ascii="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w:t>
      </w:r>
      <w:r w:rsidR="00E86A40">
        <w:rPr>
          <w:rFonts w:ascii="Times New Roman" w:hAnsi="Times New Roman" w:cs="Times New Roman"/>
          <w:sz w:val="26"/>
          <w:szCs w:val="26"/>
        </w:rPr>
        <w:t>шести</w:t>
      </w:r>
      <w:r w:rsidRPr="00F562A8">
        <w:rPr>
          <w:rFonts w:ascii="Times New Roman" w:hAnsi="Times New Roman" w:cs="Times New Roman"/>
          <w:sz w:val="26"/>
          <w:szCs w:val="26"/>
        </w:rPr>
        <w:t>факторные модели</w:t>
      </w:r>
    </w:p>
    <w:p w14:paraId="2C462D7C" w14:textId="77777777" w:rsidR="00E86A40" w:rsidRDefault="00E86A40" w:rsidP="00C574FC">
      <w:pPr>
        <w:pStyle w:val="ConsPlusNormal"/>
        <w:spacing w:line="276" w:lineRule="auto"/>
        <w:ind w:firstLine="709"/>
        <w:jc w:val="both"/>
        <w:rPr>
          <w:rFonts w:ascii="Times New Roman" w:hAnsi="Times New Roman" w:cs="Times New Roman"/>
          <w:sz w:val="26"/>
          <w:szCs w:val="26"/>
        </w:rPr>
      </w:pPr>
    </w:p>
    <w:p w14:paraId="3560D2BC" w14:textId="0609426E"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5E8158D3"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23399163"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728B4AAB"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64BC7BCD"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2DE66714"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7B0D2A8D"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43265D95"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31E0E86F" w14:textId="1E774B94" w:rsidR="00C574FC" w:rsidRPr="00F562A8" w:rsidRDefault="00E52EC3" w:rsidP="00C574FC">
      <w:pPr>
        <w:spacing w:after="0" w:line="276" w:lineRule="auto"/>
        <w:jc w:val="center"/>
        <w:rPr>
          <w:rFonts w:ascii="Times New Roman" w:hAnsi="Times New Roman" w:cs="Times New Roman"/>
        </w:rPr>
      </w:pPr>
      <w:r w:rsidRPr="009F6082">
        <w:rPr>
          <w:noProof/>
          <w:lang w:eastAsia="ru-RU"/>
        </w:rPr>
        <w:drawing>
          <wp:inline distT="0" distB="0" distL="0" distR="0" wp14:anchorId="039FDDC8" wp14:editId="3570CCC6">
            <wp:extent cx="5829300" cy="1590976"/>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6"/>
                    <a:srcRect r="7761"/>
                    <a:stretch/>
                  </pic:blipFill>
                  <pic:spPr bwMode="auto">
                    <a:xfrm>
                      <a:off x="0" y="0"/>
                      <a:ext cx="5856594" cy="1598425"/>
                    </a:xfrm>
                    <a:prstGeom prst="rect">
                      <a:avLst/>
                    </a:prstGeom>
                    <a:ln>
                      <a:noFill/>
                    </a:ln>
                    <a:extLst>
                      <a:ext uri="{53640926-AAD7-44D8-BBD7-CCE9431645EC}">
                        <a14:shadowObscured xmlns:a14="http://schemas.microsoft.com/office/drawing/2010/main"/>
                      </a:ext>
                    </a:extLst>
                  </pic:spPr>
                </pic:pic>
              </a:graphicData>
            </a:graphic>
          </wp:inline>
        </w:drawing>
      </w:r>
    </w:p>
    <w:p w14:paraId="1C41B2DB" w14:textId="74006959" w:rsidR="00C574FC" w:rsidRPr="00F562A8" w:rsidRDefault="00C574FC" w:rsidP="00C574FC">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6F7A30" w:rsidRPr="00F562A8">
        <w:rPr>
          <w:rFonts w:ascii="Times New Roman" w:hAnsi="Times New Roman" w:cs="Times New Roman"/>
          <w:sz w:val="26"/>
          <w:szCs w:val="26"/>
        </w:rPr>
        <w:t>3.6.</w:t>
      </w:r>
      <w:r w:rsidR="006F7A30">
        <w:rPr>
          <w:rFonts w:ascii="Times New Roman" w:hAnsi="Times New Roman" w:cs="Times New Roman"/>
          <w:sz w:val="26"/>
          <w:szCs w:val="26"/>
        </w:rPr>
        <w:t>6</w:t>
      </w:r>
      <w:r w:rsidR="006F7A30" w:rsidRPr="00F562A8">
        <w:rPr>
          <w:rFonts w:ascii="Times New Roman" w:hAnsi="Times New Roman" w:cs="Times New Roman"/>
          <w:sz w:val="26"/>
          <w:szCs w:val="26"/>
        </w:rPr>
        <w:t>.</w:t>
      </w:r>
      <w:r w:rsidR="006F7A30">
        <w:rPr>
          <w:rFonts w:ascii="Times New Roman" w:hAnsi="Times New Roman" w:cs="Times New Roman"/>
          <w:sz w:val="26"/>
          <w:szCs w:val="26"/>
        </w:rPr>
        <w:t>2.</w:t>
      </w:r>
      <w:r w:rsidR="006E7FD0">
        <w:rPr>
          <w:rFonts w:ascii="Times New Roman" w:hAnsi="Times New Roman" w:cs="Times New Roman"/>
          <w:sz w:val="26"/>
          <w:szCs w:val="26"/>
        </w:rPr>
        <w:t>2</w:t>
      </w:r>
      <w:r w:rsidR="006F7A30">
        <w:rPr>
          <w:rFonts w:ascii="Times New Roman" w:hAnsi="Times New Roman" w:cs="Times New Roman"/>
          <w:sz w:val="26"/>
          <w:szCs w:val="26"/>
        </w:rPr>
        <w:t xml:space="preserve"> </w:t>
      </w:r>
      <w:r w:rsidRPr="00F562A8">
        <w:rPr>
          <w:rFonts w:ascii="Times New Roman" w:hAnsi="Times New Roman" w:cs="Times New Roman"/>
          <w:sz w:val="26"/>
          <w:szCs w:val="26"/>
        </w:rPr>
        <w:t>-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67776FDD" w14:textId="77777777" w:rsidR="00E86A40" w:rsidRDefault="00E86A40" w:rsidP="00C574FC">
      <w:pPr>
        <w:pStyle w:val="ConsPlusNormal"/>
        <w:spacing w:line="276" w:lineRule="auto"/>
        <w:ind w:firstLine="709"/>
        <w:jc w:val="both"/>
        <w:rPr>
          <w:rFonts w:ascii="Times New Roman" w:hAnsi="Times New Roman" w:cs="Times New Roman"/>
          <w:sz w:val="26"/>
          <w:szCs w:val="26"/>
        </w:rPr>
      </w:pPr>
    </w:p>
    <w:p w14:paraId="1F774ECE" w14:textId="50E4755E"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3F17071C" w14:textId="77777777" w:rsidR="00C574FC" w:rsidRPr="00F562A8" w:rsidRDefault="00C574FC" w:rsidP="00C574FC">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71788194"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371004C0" w14:textId="77777777" w:rsidR="00C574FC" w:rsidRPr="00F562A8" w:rsidRDefault="00C574FC" w:rsidP="00C574FC">
      <w:pPr>
        <w:spacing w:after="0" w:line="276" w:lineRule="auto"/>
        <w:jc w:val="center"/>
        <w:rPr>
          <w:rFonts w:ascii="Times New Roman" w:hAnsi="Times New Roman" w:cs="Times New Roman"/>
          <w:lang w:val="en-US"/>
        </w:rPr>
      </w:pPr>
      <w:r w:rsidRPr="00641311">
        <w:rPr>
          <w:b/>
          <w:noProof/>
          <w:lang w:eastAsia="ru-RU"/>
        </w:rPr>
        <w:drawing>
          <wp:inline distT="0" distB="0" distL="0" distR="0" wp14:anchorId="0B201305" wp14:editId="33775D39">
            <wp:extent cx="2838450" cy="966655"/>
            <wp:effectExtent l="0" t="0" r="0" b="508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7"/>
                    <a:srcRect r="6377"/>
                    <a:stretch/>
                  </pic:blipFill>
                  <pic:spPr bwMode="auto">
                    <a:xfrm>
                      <a:off x="0" y="0"/>
                      <a:ext cx="2846389" cy="969359"/>
                    </a:xfrm>
                    <a:prstGeom prst="rect">
                      <a:avLst/>
                    </a:prstGeom>
                    <a:ln>
                      <a:noFill/>
                    </a:ln>
                    <a:extLst>
                      <a:ext uri="{53640926-AAD7-44D8-BBD7-CCE9431645EC}">
                        <a14:shadowObscured xmlns:a14="http://schemas.microsoft.com/office/drawing/2010/main"/>
                      </a:ext>
                    </a:extLst>
                  </pic:spPr>
                </pic:pic>
              </a:graphicData>
            </a:graphic>
          </wp:inline>
        </w:drawing>
      </w:r>
    </w:p>
    <w:p w14:paraId="7C93087F" w14:textId="15006BF0" w:rsidR="00C574FC" w:rsidRPr="00F562A8" w:rsidRDefault="00C574FC" w:rsidP="00C574FC">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 xml:space="preserve">Рис. </w:t>
      </w:r>
      <w:r w:rsidR="006F7A30" w:rsidRPr="00F562A8">
        <w:rPr>
          <w:rFonts w:ascii="Times New Roman" w:hAnsi="Times New Roman" w:cs="Times New Roman"/>
          <w:sz w:val="26"/>
          <w:szCs w:val="26"/>
        </w:rPr>
        <w:t>3.6.</w:t>
      </w:r>
      <w:r w:rsidR="006F7A30">
        <w:rPr>
          <w:rFonts w:ascii="Times New Roman" w:hAnsi="Times New Roman" w:cs="Times New Roman"/>
          <w:sz w:val="26"/>
          <w:szCs w:val="26"/>
        </w:rPr>
        <w:t>6</w:t>
      </w:r>
      <w:r w:rsidR="006F7A30" w:rsidRPr="00F562A8">
        <w:rPr>
          <w:rFonts w:ascii="Times New Roman" w:hAnsi="Times New Roman" w:cs="Times New Roman"/>
          <w:sz w:val="26"/>
          <w:szCs w:val="26"/>
        </w:rPr>
        <w:t>.</w:t>
      </w:r>
      <w:r w:rsidR="006F7A30">
        <w:rPr>
          <w:rFonts w:ascii="Times New Roman" w:hAnsi="Times New Roman" w:cs="Times New Roman"/>
          <w:sz w:val="26"/>
          <w:szCs w:val="26"/>
        </w:rPr>
        <w:t>2.</w:t>
      </w:r>
      <w:r w:rsidR="006E7FD0">
        <w:rPr>
          <w:rFonts w:ascii="Times New Roman" w:hAnsi="Times New Roman" w:cs="Times New Roman"/>
          <w:sz w:val="26"/>
          <w:szCs w:val="26"/>
        </w:rPr>
        <w:t>3</w:t>
      </w:r>
      <w:r w:rsidRPr="00F562A8">
        <w:rPr>
          <w:rFonts w:ascii="Times New Roman" w:hAnsi="Times New Roman" w:cs="Times New Roman"/>
          <w:sz w:val="26"/>
          <w:szCs w:val="26"/>
        </w:rPr>
        <w:t xml:space="preserve"> - Значения F-критерия Фишера</w:t>
      </w:r>
    </w:p>
    <w:p w14:paraId="2FB9ECAB" w14:textId="77777777" w:rsidR="00C574FC" w:rsidRPr="00F562A8" w:rsidRDefault="00C574FC" w:rsidP="00C574FC">
      <w:pPr>
        <w:spacing w:after="0" w:line="276"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все три модели адекватно описывают статистические данные и их можно использовать для анализа и прогнозирования кадастровой стоимости (результативного признака). </w:t>
      </w:r>
    </w:p>
    <w:p w14:paraId="0AB931C5"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Наибольшее значение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имеет аддитивная модель, однако было учтено то, что она построена на основании ограниченной выборочной совокупности и адекватна на ограниченных интервалах независимых переменных. При расширении исходных данных прогнозное значение кадастровой стоимости может перейти в отрицательную область, что противоречит ее смыслу. Исходя из этого, для прогнозирования рационально выбрать экспоненциальную модель, которая всегда дает положительный прогноз. Экспоненциальная регрессионная модель имеет вид:</w:t>
      </w:r>
    </w:p>
    <w:p w14:paraId="7DB6F747" w14:textId="50456EBF" w:rsidR="00C574FC" w:rsidRDefault="00C574FC" w:rsidP="00C574FC">
      <w:pPr>
        <w:ind w:firstLine="709"/>
        <w:jc w:val="both"/>
        <w:rPr>
          <w:rFonts w:ascii="Times New Roman" w:hAnsi="Times New Roman" w:cs="Times New Roman"/>
          <w:i/>
          <w:sz w:val="26"/>
          <w:szCs w:val="26"/>
        </w:rPr>
      </w:pPr>
      <w:r w:rsidRPr="00F562A8">
        <w:rPr>
          <w:rFonts w:ascii="Times New Roman" w:hAnsi="Times New Roman" w:cs="Times New Roman"/>
          <w:i/>
          <w:sz w:val="26"/>
          <w:szCs w:val="26"/>
        </w:rPr>
        <w:t xml:space="preserve">УПКС = </w:t>
      </w:r>
      <w:r w:rsidR="00C05827" w:rsidRPr="00C05827">
        <w:rPr>
          <w:rFonts w:ascii="Times New Roman" w:hAnsi="Times New Roman" w:cs="Times New Roman"/>
          <w:i/>
          <w:sz w:val="26"/>
          <w:szCs w:val="26"/>
        </w:rPr>
        <w:t>4.08400096292426*e^(+0.963759040494294*([__Наименование района])+0.0000478358207623021*((7806.17+12.179-гнп Расстояние объекта до общественно-делового центра))+0.0000535933593149791*((8370.706+46.986-гнп Расстояние объекта до центра населенного пункта))</w:t>
      </w:r>
      <w:r w:rsidR="00C05827">
        <w:rPr>
          <w:rFonts w:ascii="Times New Roman" w:hAnsi="Times New Roman" w:cs="Times New Roman"/>
          <w:i/>
          <w:sz w:val="26"/>
          <w:szCs w:val="26"/>
        </w:rPr>
        <w:t xml:space="preserve"> </w:t>
      </w:r>
      <w:r w:rsidR="00C05827" w:rsidRPr="00C05827">
        <w:rPr>
          <w:rFonts w:ascii="Times New Roman" w:hAnsi="Times New Roman" w:cs="Times New Roman"/>
          <w:i/>
          <w:sz w:val="26"/>
          <w:szCs w:val="26"/>
        </w:rPr>
        <w:t>+0.024771225226885*((42.00+0.00-гнп Расстояние от населенного пункта до центра муниципального района  (городского округа)))</w:t>
      </w:r>
      <w:r w:rsidR="00C05827">
        <w:rPr>
          <w:rFonts w:ascii="Times New Roman" w:hAnsi="Times New Roman" w:cs="Times New Roman"/>
          <w:i/>
          <w:sz w:val="26"/>
          <w:szCs w:val="26"/>
        </w:rPr>
        <w:t xml:space="preserve"> </w:t>
      </w:r>
      <w:r w:rsidR="00C05827" w:rsidRPr="00C05827">
        <w:rPr>
          <w:rFonts w:ascii="Times New Roman" w:hAnsi="Times New Roman" w:cs="Times New Roman"/>
          <w:i/>
          <w:sz w:val="26"/>
          <w:szCs w:val="26"/>
        </w:rPr>
        <w:t>+0.000716848621208713*((280.00+10.00-гнп Расстояние от населенного пункта до центра субъекта РФ (г.Воронеж)))+3.9776580938766*([_Статус автодороги, на которой расположен объект (ФЗ – федерального значения; РЗ – регионального значения; МЗ – местного (межмуниципального) значения)]))</w:t>
      </w:r>
    </w:p>
    <w:p w14:paraId="6F395F25" w14:textId="1469C110" w:rsidR="00C574FC" w:rsidRDefault="00C574FC" w:rsidP="00C05827">
      <w:pPr>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F-статистики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382031CB" w14:textId="0A534EE2" w:rsidR="00C05827" w:rsidRPr="00F562A8" w:rsidRDefault="00C05827" w:rsidP="00C05827">
      <w:pPr>
        <w:jc w:val="center"/>
        <w:rPr>
          <w:rFonts w:ascii="Times New Roman" w:hAnsi="Times New Roman" w:cs="Times New Roman"/>
          <w:sz w:val="26"/>
          <w:szCs w:val="26"/>
        </w:rPr>
      </w:pPr>
      <w:r w:rsidRPr="009F6082">
        <w:rPr>
          <w:noProof/>
          <w:lang w:eastAsia="ru-RU"/>
        </w:rPr>
        <w:drawing>
          <wp:inline distT="0" distB="0" distL="0" distR="0" wp14:anchorId="3905ECF9" wp14:editId="01C028B2">
            <wp:extent cx="5661660" cy="2346971"/>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5688883" cy="2358256"/>
                    </a:xfrm>
                    <a:prstGeom prst="rect">
                      <a:avLst/>
                    </a:prstGeom>
                  </pic:spPr>
                </pic:pic>
              </a:graphicData>
            </a:graphic>
          </wp:inline>
        </w:drawing>
      </w:r>
    </w:p>
    <w:p w14:paraId="0703EE21" w14:textId="3E8E48E8" w:rsidR="00C574FC" w:rsidRPr="00F562A8" w:rsidRDefault="00C05827" w:rsidP="00C574FC">
      <w:pPr>
        <w:spacing w:after="0" w:line="276" w:lineRule="auto"/>
        <w:jc w:val="center"/>
        <w:rPr>
          <w:rFonts w:ascii="Times New Roman" w:hAnsi="Times New Roman" w:cs="Times New Roman"/>
        </w:rPr>
      </w:pPr>
      <w:r w:rsidRPr="009F6082">
        <w:rPr>
          <w:noProof/>
          <w:lang w:eastAsia="ru-RU"/>
        </w:rPr>
        <w:drawing>
          <wp:inline distT="0" distB="0" distL="0" distR="0" wp14:anchorId="16FE048E" wp14:editId="517C9CC7">
            <wp:extent cx="5564403" cy="3956050"/>
            <wp:effectExtent l="0" t="0" r="0" b="635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5569151" cy="3959426"/>
                    </a:xfrm>
                    <a:prstGeom prst="rect">
                      <a:avLst/>
                    </a:prstGeom>
                  </pic:spPr>
                </pic:pic>
              </a:graphicData>
            </a:graphic>
          </wp:inline>
        </w:drawing>
      </w:r>
    </w:p>
    <w:p w14:paraId="3CD319D1" w14:textId="55BF37CD" w:rsidR="00C574FC" w:rsidRPr="00F562A8" w:rsidRDefault="00C574FC" w:rsidP="00C574FC">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6F7A30">
        <w:rPr>
          <w:rFonts w:ascii="Times New Roman" w:hAnsi="Times New Roman" w:cs="Times New Roman"/>
          <w:sz w:val="26"/>
          <w:szCs w:val="26"/>
        </w:rPr>
        <w:t>6</w:t>
      </w:r>
      <w:r w:rsidRPr="00F562A8">
        <w:rPr>
          <w:rFonts w:ascii="Times New Roman" w:hAnsi="Times New Roman" w:cs="Times New Roman"/>
          <w:sz w:val="26"/>
          <w:szCs w:val="26"/>
        </w:rPr>
        <w:t>.</w:t>
      </w:r>
      <w:r w:rsidR="006F7A30">
        <w:rPr>
          <w:rFonts w:ascii="Times New Roman" w:hAnsi="Times New Roman" w:cs="Times New Roman"/>
          <w:sz w:val="26"/>
          <w:szCs w:val="26"/>
        </w:rPr>
        <w:t>2</w:t>
      </w:r>
      <w:r>
        <w:rPr>
          <w:rFonts w:ascii="Times New Roman" w:hAnsi="Times New Roman" w:cs="Times New Roman"/>
          <w:sz w:val="26"/>
          <w:szCs w:val="26"/>
        </w:rPr>
        <w:t>.</w:t>
      </w:r>
      <w:r w:rsidR="006E7FD0">
        <w:rPr>
          <w:rFonts w:ascii="Times New Roman" w:hAnsi="Times New Roman" w:cs="Times New Roman"/>
          <w:sz w:val="26"/>
          <w:szCs w:val="26"/>
        </w:rPr>
        <w:t>4</w:t>
      </w:r>
      <w:r w:rsidRPr="00F562A8">
        <w:rPr>
          <w:rFonts w:ascii="Times New Roman" w:hAnsi="Times New Roman" w:cs="Times New Roman"/>
          <w:sz w:val="26"/>
          <w:szCs w:val="26"/>
        </w:rPr>
        <w:t xml:space="preserve"> - Характеристика экспоненциальной модели и анализ качества выборки</w:t>
      </w:r>
    </w:p>
    <w:p w14:paraId="099238C0" w14:textId="3534EE2A" w:rsidR="00C574FC"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факторами</w:t>
      </w:r>
      <w:r w:rsidR="00C05827">
        <w:rPr>
          <w:rFonts w:ascii="Times New Roman" w:hAnsi="Times New Roman" w:cs="Times New Roman"/>
          <w:sz w:val="26"/>
          <w:szCs w:val="26"/>
        </w:rPr>
        <w:t xml:space="preserve"> </w:t>
      </w:r>
      <w:r w:rsidR="00C05827" w:rsidRPr="00F562A8">
        <w:rPr>
          <w:rFonts w:ascii="Times New Roman" w:hAnsi="Times New Roman" w:cs="Times New Roman"/>
          <w:sz w:val="26"/>
          <w:szCs w:val="26"/>
        </w:rPr>
        <w:t>Х</w:t>
      </w:r>
      <w:r w:rsidR="00C05827" w:rsidRPr="00F562A8">
        <w:rPr>
          <w:rFonts w:ascii="Times New Roman" w:hAnsi="Times New Roman" w:cs="Times New Roman"/>
          <w:sz w:val="26"/>
          <w:szCs w:val="26"/>
          <w:vertAlign w:val="subscript"/>
        </w:rPr>
        <w:t>1</w:t>
      </w:r>
      <w:r w:rsidR="00C05827">
        <w:rPr>
          <w:rFonts w:ascii="Times New Roman" w:hAnsi="Times New Roman" w:cs="Times New Roman"/>
          <w:sz w:val="26"/>
          <w:szCs w:val="26"/>
          <w:vertAlign w:val="subscript"/>
        </w:rPr>
        <w:t xml:space="preserve">, </w:t>
      </w:r>
      <w:r w:rsidR="00C05827" w:rsidRPr="00F562A8">
        <w:rPr>
          <w:rFonts w:ascii="Times New Roman" w:hAnsi="Times New Roman" w:cs="Times New Roman"/>
          <w:sz w:val="26"/>
          <w:szCs w:val="26"/>
        </w:rPr>
        <w:t>Х</w:t>
      </w:r>
      <w:r w:rsidR="00C05827">
        <w:rPr>
          <w:rFonts w:ascii="Times New Roman" w:hAnsi="Times New Roman" w:cs="Times New Roman"/>
          <w:sz w:val="26"/>
          <w:szCs w:val="26"/>
          <w:vertAlign w:val="subscript"/>
        </w:rPr>
        <w:t xml:space="preserve">2, </w:t>
      </w:r>
      <w:r w:rsidR="00C05827" w:rsidRPr="00F562A8">
        <w:rPr>
          <w:rFonts w:ascii="Times New Roman" w:hAnsi="Times New Roman" w:cs="Times New Roman"/>
          <w:sz w:val="26"/>
          <w:szCs w:val="26"/>
        </w:rPr>
        <w:t>Х</w:t>
      </w:r>
      <w:r w:rsidR="00C05827">
        <w:rPr>
          <w:rFonts w:ascii="Times New Roman" w:hAnsi="Times New Roman" w:cs="Times New Roman"/>
          <w:sz w:val="26"/>
          <w:szCs w:val="26"/>
          <w:vertAlign w:val="subscript"/>
        </w:rPr>
        <w:t xml:space="preserve">3, </w:t>
      </w:r>
      <w:r w:rsidR="00C05827" w:rsidRPr="00F562A8">
        <w:rPr>
          <w:rFonts w:ascii="Times New Roman" w:hAnsi="Times New Roman" w:cs="Times New Roman"/>
          <w:sz w:val="26"/>
          <w:szCs w:val="26"/>
        </w:rPr>
        <w:t>Х</w:t>
      </w:r>
      <w:r w:rsidR="00C05827">
        <w:rPr>
          <w:rFonts w:ascii="Times New Roman" w:hAnsi="Times New Roman" w:cs="Times New Roman"/>
          <w:sz w:val="26"/>
          <w:szCs w:val="26"/>
          <w:vertAlign w:val="subscript"/>
        </w:rPr>
        <w:t>4</w:t>
      </w:r>
      <w:r w:rsidRPr="00F562A8">
        <w:rPr>
          <w:rFonts w:ascii="Times New Roman" w:hAnsi="Times New Roman" w:cs="Times New Roman"/>
          <w:sz w:val="26"/>
          <w:szCs w:val="26"/>
        </w:rPr>
        <w:t xml:space="preserve"> и кадастровой стоимостью обратная, то есть при росте этих факторов кадастровая стоимость уменьшается. 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4997DEB6" w14:textId="581826D9" w:rsidR="00C574FC" w:rsidRDefault="007111F5" w:rsidP="00C574FC">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5E10063B" w14:textId="0EB92C8A" w:rsidR="00C574FC" w:rsidRDefault="00C574FC" w:rsidP="00C574FC">
      <w:pPr>
        <w:spacing w:after="0" w:line="276" w:lineRule="auto"/>
        <w:ind w:firstLine="709"/>
        <w:jc w:val="both"/>
        <w:rPr>
          <w:rFonts w:ascii="Times New Roman" w:hAnsi="Times New Roman" w:cs="Times New Roman"/>
          <w:sz w:val="26"/>
          <w:szCs w:val="26"/>
        </w:rPr>
      </w:pPr>
    </w:p>
    <w:p w14:paraId="27CBE378" w14:textId="003F5C91" w:rsidR="00C574FC" w:rsidRPr="00CA3F72" w:rsidRDefault="00C574FC" w:rsidP="00C574FC">
      <w:pPr>
        <w:pStyle w:val="ab"/>
        <w:ind w:left="0"/>
        <w:jc w:val="center"/>
        <w:outlineLvl w:val="2"/>
        <w:rPr>
          <w:rFonts w:ascii="Times New Roman" w:hAnsi="Times New Roman" w:cs="Times New Roman"/>
          <w:i/>
          <w:sz w:val="26"/>
          <w:szCs w:val="26"/>
        </w:rPr>
      </w:pPr>
      <w:bookmarkStart w:id="249" w:name="_Toc110506994"/>
      <w:r w:rsidRPr="00DC7772">
        <w:rPr>
          <w:rFonts w:ascii="Times New Roman" w:hAnsi="Times New Roman" w:cs="Times New Roman"/>
          <w:i/>
          <w:sz w:val="26"/>
          <w:szCs w:val="26"/>
        </w:rPr>
        <w:t>3.6.6.3. Расчет</w:t>
      </w:r>
      <w:r w:rsidRPr="00F562A8">
        <w:rPr>
          <w:rFonts w:ascii="Times New Roman" w:hAnsi="Times New Roman" w:cs="Times New Roman"/>
          <w:i/>
          <w:sz w:val="26"/>
          <w:szCs w:val="26"/>
        </w:rPr>
        <w:t xml:space="preserve"> кадастровой стоимости земельных участков группы </w:t>
      </w:r>
      <w:r w:rsidRPr="00983D64">
        <w:rPr>
          <w:rFonts w:ascii="Times New Roman" w:hAnsi="Times New Roman" w:cs="Times New Roman"/>
          <w:i/>
          <w:sz w:val="26"/>
          <w:szCs w:val="26"/>
        </w:rPr>
        <w:t>ПРОИЗВОДСТВО</w:t>
      </w:r>
      <w:r>
        <w:rPr>
          <w:rFonts w:ascii="Times New Roman" w:hAnsi="Times New Roman" w:cs="Times New Roman"/>
          <w:i/>
          <w:sz w:val="26"/>
          <w:szCs w:val="26"/>
        </w:rPr>
        <w:t>/</w:t>
      </w:r>
      <w:r w:rsidRPr="005844F6">
        <w:rPr>
          <w:rFonts w:ascii="Times New Roman" w:hAnsi="Times New Roman" w:cs="Times New Roman"/>
          <w:i/>
          <w:sz w:val="26"/>
          <w:szCs w:val="26"/>
        </w:rPr>
        <w:t>АЗС-ПС</w:t>
      </w:r>
      <w:r w:rsidRPr="00D45BC3">
        <w:rPr>
          <w:rFonts w:ascii="Times New Roman" w:hAnsi="Times New Roman" w:cs="Times New Roman"/>
          <w:i/>
          <w:sz w:val="26"/>
          <w:szCs w:val="26"/>
        </w:rPr>
        <w:t>/</w:t>
      </w:r>
      <w:r>
        <w:rPr>
          <w:rFonts w:ascii="Times New Roman" w:hAnsi="Times New Roman" w:cs="Times New Roman"/>
          <w:i/>
          <w:sz w:val="26"/>
          <w:szCs w:val="26"/>
          <w:lang w:val="en-US"/>
        </w:rPr>
        <w:t>C</w:t>
      </w:r>
      <w:r w:rsidRPr="00D45BC3">
        <w:rPr>
          <w:rFonts w:ascii="Times New Roman" w:hAnsi="Times New Roman" w:cs="Times New Roman"/>
          <w:i/>
          <w:sz w:val="26"/>
          <w:szCs w:val="26"/>
        </w:rPr>
        <w:t>НП</w:t>
      </w:r>
      <w:r w:rsidRPr="00CA3F72">
        <w:rPr>
          <w:rFonts w:ascii="Times New Roman" w:hAnsi="Times New Roman" w:cs="Times New Roman"/>
          <w:i/>
          <w:sz w:val="26"/>
          <w:szCs w:val="26"/>
        </w:rPr>
        <w:t xml:space="preserve"> </w:t>
      </w:r>
      <w:r>
        <w:rPr>
          <w:rFonts w:ascii="Times New Roman" w:hAnsi="Times New Roman" w:cs="Times New Roman"/>
          <w:i/>
          <w:sz w:val="26"/>
          <w:szCs w:val="26"/>
        </w:rPr>
        <w:t>МС</w:t>
      </w:r>
      <w:bookmarkEnd w:id="249"/>
    </w:p>
    <w:p w14:paraId="53E24ADC" w14:textId="77777777" w:rsidR="00C574FC" w:rsidRPr="00F562A8" w:rsidRDefault="00C574FC" w:rsidP="00C574FC">
      <w:pPr>
        <w:pStyle w:val="ConsPlusNormal"/>
        <w:spacing w:line="276" w:lineRule="auto"/>
        <w:ind w:firstLine="709"/>
        <w:contextualSpacing/>
        <w:jc w:val="center"/>
        <w:rPr>
          <w:rFonts w:ascii="Times New Roman" w:hAnsi="Times New Roman" w:cs="Times New Roman"/>
          <w:i/>
          <w:sz w:val="16"/>
          <w:szCs w:val="16"/>
        </w:rPr>
      </w:pPr>
    </w:p>
    <w:p w14:paraId="2B5EB2B7" w14:textId="2F3D4321"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041FC3A1" w14:textId="12FD842A" w:rsidR="00713526" w:rsidRDefault="00713526" w:rsidP="00713526">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6F7A30">
        <w:rPr>
          <w:rFonts w:ascii="Times New Roman" w:hAnsi="Times New Roman" w:cs="Times New Roman"/>
          <w:sz w:val="26"/>
          <w:szCs w:val="26"/>
        </w:rPr>
        <w:t>ПРОИЗВОДСТВО/АЗС-ПС/</w:t>
      </w:r>
      <w:r>
        <w:rPr>
          <w:rFonts w:ascii="Times New Roman" w:hAnsi="Times New Roman" w:cs="Times New Roman"/>
          <w:sz w:val="26"/>
          <w:szCs w:val="26"/>
        </w:rPr>
        <w:t>СНП МС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Pr="006F7A30">
        <w:rPr>
          <w:rFonts w:ascii="Times New Roman" w:hAnsi="Times New Roman" w:cs="Times New Roman"/>
          <w:sz w:val="26"/>
          <w:szCs w:val="26"/>
        </w:rPr>
        <w:t>04:095, 04:098, 04:099</w:t>
      </w:r>
      <w:r>
        <w:rPr>
          <w:rFonts w:ascii="Times New Roman" w:hAnsi="Times New Roman" w:cs="Times New Roman"/>
          <w:sz w:val="26"/>
          <w:szCs w:val="26"/>
        </w:rPr>
        <w:t>.</w:t>
      </w:r>
    </w:p>
    <w:p w14:paraId="6AFAD352" w14:textId="247ABAF5"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Pr="00C109D4">
        <w:rPr>
          <w:rFonts w:ascii="Times New Roman" w:hAnsi="Times New Roman" w:cs="Times New Roman"/>
          <w:sz w:val="26"/>
          <w:szCs w:val="26"/>
        </w:rPr>
        <w:t>ПРОИЗВОДСТВО/АЗС-ПС</w:t>
      </w:r>
      <w:r w:rsidRPr="008440F2">
        <w:rPr>
          <w:rFonts w:ascii="Times New Roman" w:hAnsi="Times New Roman" w:cs="Times New Roman"/>
          <w:sz w:val="26"/>
          <w:szCs w:val="26"/>
        </w:rPr>
        <w:t>/СНП</w:t>
      </w:r>
      <w:r>
        <w:rPr>
          <w:rFonts w:ascii="Times New Roman" w:hAnsi="Times New Roman" w:cs="Times New Roman"/>
          <w:sz w:val="26"/>
          <w:szCs w:val="26"/>
        </w:rPr>
        <w:t xml:space="preserve"> МС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3389DD83"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Согласно п.45.1.1 Указаний</w:t>
      </w:r>
      <w:r w:rsidRPr="00F562A8">
        <w:rPr>
          <w:rFonts w:ascii="Times New Roman" w:eastAsia="Times New Roman" w:hAnsi="Times New Roman" w:cs="Times New Roman"/>
          <w:sz w:val="26"/>
          <w:szCs w:val="26"/>
          <w:lang w:eastAsia="ru-RU"/>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4B03B3A5"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Порядок подготовки и построения модели оценки кадастровой стоимости включает:</w:t>
      </w:r>
    </w:p>
    <w:p w14:paraId="680F9E9A"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1) определение перечня ценообразующих факторов, описывающих влияние местоположения объектов недвижимости как составного фактора;</w:t>
      </w:r>
    </w:p>
    <w:p w14:paraId="3A4455BC"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2) определение состава ценообразующих факторов, включаемых в статистическую модель, с учетом местоположения объектов недвижимости;</w:t>
      </w:r>
    </w:p>
    <w:p w14:paraId="6A99D454"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3) определение общего вида функций, связывающих зависимую переменную с каждым из ценообразующих факторов;</w:t>
      </w:r>
    </w:p>
    <w:p w14:paraId="2A737BD9"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2B630BCD"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5) анализ показателей качества статистической модели.</w:t>
      </w:r>
    </w:p>
    <w:p w14:paraId="11C87464" w14:textId="6EBF88AD" w:rsidR="00E86A40"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w:t>
      </w:r>
      <w:r>
        <w:rPr>
          <w:rFonts w:ascii="Times New Roman" w:hAnsi="Times New Roman" w:cs="Times New Roman"/>
          <w:sz w:val="26"/>
          <w:szCs w:val="26"/>
        </w:rPr>
        <w:t>сельских</w:t>
      </w:r>
      <w:r w:rsidRPr="00F562A8">
        <w:rPr>
          <w:rFonts w:ascii="Times New Roman" w:hAnsi="Times New Roman" w:cs="Times New Roman"/>
          <w:sz w:val="26"/>
          <w:szCs w:val="26"/>
        </w:rPr>
        <w:t xml:space="preserve"> населенных пунктах </w:t>
      </w:r>
      <w:r>
        <w:rPr>
          <w:rFonts w:ascii="Times New Roman" w:hAnsi="Times New Roman" w:cs="Times New Roman"/>
          <w:sz w:val="26"/>
          <w:szCs w:val="26"/>
        </w:rPr>
        <w:t xml:space="preserve">и на межселенной территории </w:t>
      </w:r>
      <w:r w:rsidRPr="00F562A8">
        <w:rPr>
          <w:rFonts w:ascii="Times New Roman" w:hAnsi="Times New Roman" w:cs="Times New Roman"/>
          <w:sz w:val="26"/>
          <w:szCs w:val="26"/>
        </w:rPr>
        <w:t xml:space="preserve">Воронежской области,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497BF1" w:rsidRPr="00F562A8">
        <w:rPr>
          <w:rFonts w:ascii="Times New Roman" w:hAnsi="Times New Roman" w:cs="Times New Roman"/>
          <w:sz w:val="26"/>
          <w:szCs w:val="26"/>
        </w:rPr>
        <w:t>представлены в таблиц</w:t>
      </w:r>
      <w:r w:rsidR="00497BF1">
        <w:rPr>
          <w:rFonts w:ascii="Times New Roman" w:hAnsi="Times New Roman" w:cs="Times New Roman"/>
          <w:sz w:val="26"/>
          <w:szCs w:val="26"/>
        </w:rPr>
        <w:t>ах</w:t>
      </w:r>
      <w:r w:rsidR="00497BF1" w:rsidRPr="00F562A8">
        <w:rPr>
          <w:rFonts w:ascii="Times New Roman" w:hAnsi="Times New Roman" w:cs="Times New Roman"/>
          <w:sz w:val="26"/>
          <w:szCs w:val="26"/>
        </w:rPr>
        <w:t xml:space="preserve"> </w:t>
      </w:r>
      <w:r w:rsidR="00497BF1" w:rsidRPr="00F562A8">
        <w:rPr>
          <w:rFonts w:ascii="Times New Roman" w:eastAsia="Times New Roman" w:hAnsi="Times New Roman" w:cs="Times New Roman"/>
          <w:sz w:val="26"/>
          <w:szCs w:val="26"/>
        </w:rPr>
        <w:t>3.</w:t>
      </w:r>
      <w:r w:rsidR="00497BF1">
        <w:rPr>
          <w:rFonts w:ascii="Times New Roman" w:eastAsia="Times New Roman" w:hAnsi="Times New Roman" w:cs="Times New Roman"/>
          <w:sz w:val="26"/>
          <w:szCs w:val="26"/>
        </w:rPr>
        <w:t>4 и 3.5, пунктов 3.4 и 3.5 соответственно</w:t>
      </w:r>
      <w:r w:rsidR="00497BF1" w:rsidRPr="00F562A8">
        <w:rPr>
          <w:rFonts w:ascii="Times New Roman" w:hAnsi="Times New Roman" w:cs="Times New Roman"/>
          <w:sz w:val="26"/>
          <w:szCs w:val="26"/>
        </w:rPr>
        <w:t>.</w:t>
      </w:r>
    </w:p>
    <w:p w14:paraId="52011019" w14:textId="7FADFB10"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0DD36182"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01506437"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Pr>
          <w:rFonts w:ascii="Times New Roman" w:hAnsi="Times New Roman" w:cs="Times New Roman"/>
          <w:sz w:val="26"/>
          <w:szCs w:val="26"/>
        </w:rPr>
        <w:t>4</w:t>
      </w:r>
      <w:r w:rsidRPr="00F562A8">
        <w:rPr>
          <w:rFonts w:ascii="Times New Roman" w:hAnsi="Times New Roman" w:cs="Times New Roman"/>
          <w:sz w:val="26"/>
          <w:szCs w:val="26"/>
        </w:rPr>
        <w:t>:</w:t>
      </w:r>
    </w:p>
    <w:p w14:paraId="04213700"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ч</w:t>
      </w:r>
      <w:r w:rsidRPr="00762185">
        <w:rPr>
          <w:rFonts w:ascii="Times New Roman" w:hAnsi="Times New Roman" w:cs="Times New Roman"/>
          <w:sz w:val="26"/>
          <w:szCs w:val="26"/>
        </w:rPr>
        <w:t>исленность населения в населенном пункте</w:t>
      </w:r>
      <w:r w:rsidRPr="00F562A8">
        <w:rPr>
          <w:rFonts w:ascii="Times New Roman" w:hAnsi="Times New Roman" w:cs="Times New Roman"/>
          <w:sz w:val="26"/>
          <w:szCs w:val="26"/>
        </w:rPr>
        <w:t>: Х</w:t>
      </w:r>
      <w:r>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0947A424" w14:textId="77777777" w:rsidR="00C574FC"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р</w:t>
      </w:r>
      <w:r w:rsidRPr="00762185">
        <w:rPr>
          <w:rFonts w:ascii="Times New Roman" w:hAnsi="Times New Roman" w:cs="Times New Roman"/>
          <w:sz w:val="26"/>
          <w:szCs w:val="26"/>
        </w:rPr>
        <w:t xml:space="preserve">асстояние от населенного пункта до </w:t>
      </w:r>
      <w:r w:rsidRPr="00E42EE1">
        <w:rPr>
          <w:rFonts w:ascii="Times New Roman" w:hAnsi="Times New Roman" w:cs="Times New Roman"/>
          <w:sz w:val="26"/>
          <w:szCs w:val="26"/>
        </w:rPr>
        <w:t>районного центра</w:t>
      </w:r>
      <w:r w:rsidRPr="00F562A8">
        <w:rPr>
          <w:rFonts w:ascii="Times New Roman" w:hAnsi="Times New Roman" w:cs="Times New Roman"/>
          <w:sz w:val="26"/>
          <w:szCs w:val="26"/>
        </w:rPr>
        <w:t>: Х</w:t>
      </w:r>
      <w:r>
        <w:rPr>
          <w:rFonts w:ascii="Times New Roman" w:hAnsi="Times New Roman" w:cs="Times New Roman"/>
          <w:sz w:val="26"/>
          <w:szCs w:val="26"/>
          <w:vertAlign w:val="subscript"/>
        </w:rPr>
        <w:t>1</w:t>
      </w:r>
      <w:r w:rsidRPr="00F562A8">
        <w:rPr>
          <w:rFonts w:ascii="Times New Roman" w:hAnsi="Times New Roman" w:cs="Times New Roman"/>
          <w:sz w:val="26"/>
          <w:szCs w:val="26"/>
        </w:rPr>
        <w:t>;</w:t>
      </w:r>
    </w:p>
    <w:p w14:paraId="1C70AD57" w14:textId="77777777" w:rsidR="00C574FC"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w:t>
      </w:r>
      <w:r>
        <w:rPr>
          <w:rFonts w:ascii="Times New Roman" w:hAnsi="Times New Roman" w:cs="Times New Roman"/>
          <w:sz w:val="26"/>
          <w:szCs w:val="26"/>
        </w:rPr>
        <w:t xml:space="preserve"> р</w:t>
      </w:r>
      <w:r w:rsidRPr="00762185">
        <w:rPr>
          <w:rFonts w:ascii="Times New Roman" w:hAnsi="Times New Roman" w:cs="Times New Roman"/>
          <w:sz w:val="26"/>
          <w:szCs w:val="26"/>
        </w:rPr>
        <w:t>асстояние</w:t>
      </w:r>
      <w:r w:rsidRPr="0017699A">
        <w:t xml:space="preserve"> </w:t>
      </w:r>
      <w:r w:rsidRPr="00762185">
        <w:rPr>
          <w:rFonts w:ascii="Times New Roman" w:hAnsi="Times New Roman" w:cs="Times New Roman"/>
          <w:sz w:val="26"/>
          <w:szCs w:val="26"/>
        </w:rPr>
        <w:t>от населенного пункта до центра субъекта РФ (г. Воронеж)</w:t>
      </w:r>
      <w:r w:rsidRPr="00F562A8">
        <w:rPr>
          <w:rFonts w:ascii="Times New Roman" w:hAnsi="Times New Roman" w:cs="Times New Roman"/>
          <w:sz w:val="26"/>
          <w:szCs w:val="26"/>
        </w:rPr>
        <w:t>: Х</w:t>
      </w:r>
      <w:r>
        <w:rPr>
          <w:rFonts w:ascii="Times New Roman" w:hAnsi="Times New Roman" w:cs="Times New Roman"/>
          <w:sz w:val="26"/>
          <w:szCs w:val="26"/>
          <w:vertAlign w:val="subscript"/>
        </w:rPr>
        <w:t>2</w:t>
      </w:r>
      <w:r w:rsidRPr="00F562A8">
        <w:rPr>
          <w:rFonts w:ascii="Times New Roman" w:hAnsi="Times New Roman" w:cs="Times New Roman"/>
          <w:sz w:val="26"/>
          <w:szCs w:val="26"/>
        </w:rPr>
        <w:t>;</w:t>
      </w:r>
    </w:p>
    <w:p w14:paraId="29B695EA" w14:textId="77777777" w:rsidR="00C574FC" w:rsidRPr="00F562A8" w:rsidRDefault="00C574FC" w:rsidP="00C574FC">
      <w:pPr>
        <w:spacing w:after="0" w:line="276" w:lineRule="auto"/>
        <w:ind w:firstLine="709"/>
        <w:jc w:val="both"/>
        <w:rPr>
          <w:rFonts w:ascii="Times New Roman" w:hAnsi="Times New Roman" w:cs="Times New Roman"/>
          <w:sz w:val="26"/>
          <w:szCs w:val="26"/>
        </w:rPr>
      </w:pPr>
      <w:r>
        <w:t>-</w:t>
      </w:r>
      <w:r w:rsidRPr="00E42EE1">
        <w:rPr>
          <w:rFonts w:ascii="Times New Roman" w:hAnsi="Times New Roman" w:cs="Times New Roman"/>
          <w:sz w:val="26"/>
          <w:szCs w:val="26"/>
        </w:rPr>
        <w:t xml:space="preserve"> статус автодороги, на которой расположен объект (ФЗ – федерального значения; РЗ – регионального значения; МЗ – местного (межмуниципального) значения</w:t>
      </w:r>
      <w:r w:rsidRPr="00F562A8">
        <w:rPr>
          <w:rFonts w:ascii="Times New Roman" w:hAnsi="Times New Roman" w:cs="Times New Roman"/>
          <w:sz w:val="26"/>
          <w:szCs w:val="26"/>
        </w:rPr>
        <w:t>: Х</w:t>
      </w:r>
      <w:r>
        <w:rPr>
          <w:rFonts w:ascii="Times New Roman" w:hAnsi="Times New Roman" w:cs="Times New Roman"/>
          <w:sz w:val="26"/>
          <w:szCs w:val="26"/>
          <w:vertAlign w:val="subscript"/>
        </w:rPr>
        <w:t>3</w:t>
      </w:r>
      <w:r>
        <w:rPr>
          <w:rFonts w:ascii="Times New Roman" w:hAnsi="Times New Roman" w:cs="Times New Roman"/>
          <w:sz w:val="26"/>
          <w:szCs w:val="26"/>
        </w:rPr>
        <w:t>.</w:t>
      </w:r>
    </w:p>
    <w:p w14:paraId="5CA1FD9C"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4D8B2E13"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6F737806" w14:textId="0E99A51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E86A40">
        <w:rPr>
          <w:rFonts w:ascii="Times New Roman" w:hAnsi="Times New Roman" w:cs="Times New Roman"/>
          <w:sz w:val="26"/>
          <w:szCs w:val="26"/>
        </w:rPr>
        <w:t>четыре</w:t>
      </w:r>
      <w:r w:rsidRPr="00F562A8">
        <w:rPr>
          <w:rFonts w:ascii="Times New Roman" w:hAnsi="Times New Roman" w:cs="Times New Roman"/>
          <w:sz w:val="26"/>
          <w:szCs w:val="26"/>
        </w:rPr>
        <w:t>хфакторные модели:</w:t>
      </w:r>
    </w:p>
    <w:p w14:paraId="3BD07850" w14:textId="77777777" w:rsidR="00C574FC" w:rsidRPr="00F562A8" w:rsidRDefault="00C574FC" w:rsidP="00C574FC">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5F7F384C" wp14:editId="2E9FB54B">
            <wp:extent cx="2209800" cy="247650"/>
            <wp:effectExtent l="0" t="0" r="0" b="0"/>
            <wp:docPr id="777" name="Рисунок 777"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47A471E6"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3FFAD77C" wp14:editId="152996B4">
            <wp:extent cx="1352550" cy="266700"/>
            <wp:effectExtent l="0" t="0" r="0" b="0"/>
            <wp:docPr id="778" name="Рисунок 778"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0AB2606C"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77872505" wp14:editId="16A42269">
            <wp:extent cx="1266825" cy="266700"/>
            <wp:effectExtent l="0" t="0" r="0" b="0"/>
            <wp:docPr id="779" name="Рисунок 779"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7829B6DE"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73596638"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X</w:t>
      </w:r>
      <w:r w:rsidRPr="00F562A8">
        <w:rPr>
          <w:rFonts w:ascii="Times New Roman" w:eastAsia="Times New Roman" w:hAnsi="Times New Roman" w:cs="Times New Roman"/>
          <w:sz w:val="26"/>
          <w:szCs w:val="26"/>
          <w:vertAlign w:val="subscript"/>
          <w:lang w:eastAsia="ru-RU"/>
        </w:rPr>
        <w:t>1</w:t>
      </w:r>
      <w:r w:rsidRPr="00F562A8">
        <w:rPr>
          <w:rFonts w:ascii="Times New Roman" w:eastAsia="Times New Roman" w:hAnsi="Times New Roman" w:cs="Times New Roman"/>
          <w:sz w:val="26"/>
          <w:szCs w:val="26"/>
          <w:lang w:eastAsia="ru-RU"/>
        </w:rPr>
        <w:t>, ..., X</w:t>
      </w:r>
      <w:r w:rsidRPr="00F562A8">
        <w:rPr>
          <w:rFonts w:ascii="Times New Roman" w:eastAsia="Times New Roman" w:hAnsi="Times New Roman" w:cs="Times New Roman"/>
          <w:sz w:val="26"/>
          <w:szCs w:val="26"/>
          <w:vertAlign w:val="subscript"/>
          <w:lang w:eastAsia="ru-RU"/>
        </w:rPr>
        <w:t>n</w:t>
      </w:r>
      <w:r w:rsidRPr="00F562A8">
        <w:rPr>
          <w:rFonts w:ascii="Times New Roman" w:eastAsia="Times New Roman" w:hAnsi="Times New Roman" w:cs="Times New Roman"/>
          <w:sz w:val="26"/>
          <w:szCs w:val="26"/>
          <w:lang w:eastAsia="ru-RU"/>
        </w:rPr>
        <w:t xml:space="preserve"> - ценообразующие факторы объектов недвижимости;</w:t>
      </w:r>
    </w:p>
    <w:p w14:paraId="47B3710C"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noProof/>
          <w:position w:val="-8"/>
          <w:sz w:val="26"/>
          <w:szCs w:val="26"/>
          <w:lang w:eastAsia="ru-RU"/>
        </w:rPr>
        <w:drawing>
          <wp:inline distT="0" distB="0" distL="0" distR="0" wp14:anchorId="31C8D7B5" wp14:editId="01081220">
            <wp:extent cx="209550" cy="247650"/>
            <wp:effectExtent l="0" t="0" r="0" b="0"/>
            <wp:docPr id="780" name="Рисунок 780"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w:t>
      </w:r>
      <w:r w:rsidRPr="00F562A8">
        <w:rPr>
          <w:rFonts w:ascii="Times New Roman" w:eastAsia="Times New Roman" w:hAnsi="Times New Roman" w:cs="Times New Roman"/>
          <w:noProof/>
          <w:position w:val="-8"/>
          <w:sz w:val="26"/>
          <w:szCs w:val="26"/>
          <w:lang w:eastAsia="ru-RU"/>
        </w:rPr>
        <w:drawing>
          <wp:inline distT="0" distB="0" distL="0" distR="0" wp14:anchorId="2DAC0129" wp14:editId="3AB549D4">
            <wp:extent cx="200025" cy="247650"/>
            <wp:effectExtent l="0" t="0" r="9525" b="0"/>
            <wp:docPr id="781" name="Рисунок 781"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 </w:t>
      </w:r>
      <w:r w:rsidRPr="00F562A8">
        <w:rPr>
          <w:rFonts w:ascii="Times New Roman" w:eastAsia="Times New Roman" w:hAnsi="Times New Roman" w:cs="Times New Roman"/>
          <w:noProof/>
          <w:position w:val="-8"/>
          <w:sz w:val="26"/>
          <w:szCs w:val="26"/>
          <w:lang w:eastAsia="ru-RU"/>
        </w:rPr>
        <w:drawing>
          <wp:inline distT="0" distB="0" distL="0" distR="0" wp14:anchorId="57DE1761" wp14:editId="7E33BFCC">
            <wp:extent cx="209550" cy="247650"/>
            <wp:effectExtent l="0" t="0" r="0" b="0"/>
            <wp:docPr id="782" name="Рисунок 782"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 коэффициенты модели.</w:t>
      </w:r>
    </w:p>
    <w:p w14:paraId="4A04B931" w14:textId="7045DA74" w:rsidR="00C574FC" w:rsidRPr="00F562A8" w:rsidRDefault="007F77DA" w:rsidP="00C574FC">
      <w:pPr>
        <w:spacing w:after="0" w:line="276" w:lineRule="auto"/>
        <w:jc w:val="center"/>
        <w:rPr>
          <w:rFonts w:ascii="Times New Roman" w:hAnsi="Times New Roman" w:cs="Times New Roman"/>
          <w:sz w:val="24"/>
          <w:lang w:val="en-US"/>
        </w:rPr>
      </w:pPr>
      <w:r w:rsidRPr="00124907">
        <w:rPr>
          <w:noProof/>
          <w:lang w:eastAsia="ru-RU"/>
        </w:rPr>
        <w:drawing>
          <wp:inline distT="0" distB="0" distL="0" distR="0" wp14:anchorId="5A9499E0" wp14:editId="43CED172">
            <wp:extent cx="5939790" cy="763188"/>
            <wp:effectExtent l="0" t="0" r="381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5939790" cy="763188"/>
                    </a:xfrm>
                    <a:prstGeom prst="rect">
                      <a:avLst/>
                    </a:prstGeom>
                  </pic:spPr>
                </pic:pic>
              </a:graphicData>
            </a:graphic>
          </wp:inline>
        </w:drawing>
      </w:r>
    </w:p>
    <w:p w14:paraId="324172DB" w14:textId="34DEC8B9" w:rsidR="00C574FC" w:rsidRPr="00F562A8" w:rsidRDefault="00C574FC" w:rsidP="00C574FC">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713526">
        <w:rPr>
          <w:rFonts w:ascii="Times New Roman" w:hAnsi="Times New Roman" w:cs="Times New Roman"/>
          <w:sz w:val="26"/>
          <w:szCs w:val="26"/>
        </w:rPr>
        <w:t>6</w:t>
      </w:r>
      <w:r w:rsidRPr="00F562A8">
        <w:rPr>
          <w:rFonts w:ascii="Times New Roman" w:hAnsi="Times New Roman" w:cs="Times New Roman"/>
          <w:sz w:val="26"/>
          <w:szCs w:val="26"/>
        </w:rPr>
        <w:t>.</w:t>
      </w:r>
      <w:r w:rsidR="00713526">
        <w:rPr>
          <w:rFonts w:ascii="Times New Roman" w:hAnsi="Times New Roman" w:cs="Times New Roman"/>
          <w:sz w:val="26"/>
          <w:szCs w:val="26"/>
        </w:rPr>
        <w:t>3</w:t>
      </w:r>
      <w:r>
        <w:rPr>
          <w:rFonts w:ascii="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w:t>
      </w:r>
      <w:r w:rsidR="00E86A40">
        <w:rPr>
          <w:rFonts w:ascii="Times New Roman" w:hAnsi="Times New Roman" w:cs="Times New Roman"/>
          <w:sz w:val="26"/>
          <w:szCs w:val="26"/>
        </w:rPr>
        <w:t>четырех</w:t>
      </w:r>
      <w:r w:rsidRPr="00F562A8">
        <w:rPr>
          <w:rFonts w:ascii="Times New Roman" w:hAnsi="Times New Roman" w:cs="Times New Roman"/>
          <w:sz w:val="26"/>
          <w:szCs w:val="26"/>
        </w:rPr>
        <w:t>факторные модели</w:t>
      </w:r>
    </w:p>
    <w:p w14:paraId="13DFFE2C"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Согласно п.</w:t>
      </w:r>
      <w:r>
        <w:rPr>
          <w:rFonts w:ascii="Times New Roman" w:eastAsia="Times New Roman" w:hAnsi="Times New Roman" w:cs="Times New Roman"/>
          <w:sz w:val="26"/>
          <w:szCs w:val="26"/>
          <w:lang w:eastAsia="ru-RU"/>
        </w:rPr>
        <w:t>45.1.2</w:t>
      </w:r>
      <w:r w:rsidRPr="00F562A8">
        <w:rPr>
          <w:rFonts w:ascii="Times New Roman" w:eastAsia="Times New Roman" w:hAnsi="Times New Roman" w:cs="Times New Roman"/>
          <w:sz w:val="26"/>
          <w:szCs w:val="26"/>
          <w:lang w:eastAsia="ru-RU"/>
        </w:rPr>
        <w:t xml:space="preserve"> Указаний, анализ качества статистической модели включает в себя комплекс процедур, предусматривающий проверки, в том числе:</w:t>
      </w:r>
    </w:p>
    <w:p w14:paraId="1326A3D2"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4C676DDB"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обоснованности знаков при коэффициентах статистического уравнения, то есть их соответствия характеру влияния ценообразующих факторов;</w:t>
      </w:r>
    </w:p>
    <w:p w14:paraId="36EE37BC"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6BDD0495"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t-критерию Стьюдента проверки значимости параметров моделей;</w:t>
      </w:r>
    </w:p>
    <w:p w14:paraId="1905A771"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средней ошибке аппроксимации;</w:t>
      </w:r>
    </w:p>
    <w:p w14:paraId="08F54F54"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коэффициенту детерминации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w:t>
      </w:r>
    </w:p>
    <w:p w14:paraId="45F1029C"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расчетному значению F-критерия Фишера, обосновывающего адекватность регрессионной модели.</w:t>
      </w:r>
    </w:p>
    <w:p w14:paraId="49FE043F" w14:textId="3706EE69" w:rsidR="00C574FC" w:rsidRDefault="007F77DA" w:rsidP="00C574FC">
      <w:r w:rsidRPr="00124907">
        <w:rPr>
          <w:noProof/>
          <w:lang w:eastAsia="ru-RU"/>
        </w:rPr>
        <w:drawing>
          <wp:inline distT="0" distB="0" distL="0" distR="0" wp14:anchorId="612C2AF0" wp14:editId="6A4546E6">
            <wp:extent cx="5911717" cy="14287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1"/>
                    <a:srcRect r="7117"/>
                    <a:stretch/>
                  </pic:blipFill>
                  <pic:spPr bwMode="auto">
                    <a:xfrm>
                      <a:off x="0" y="0"/>
                      <a:ext cx="5917937" cy="1430253"/>
                    </a:xfrm>
                    <a:prstGeom prst="rect">
                      <a:avLst/>
                    </a:prstGeom>
                    <a:ln>
                      <a:noFill/>
                    </a:ln>
                    <a:extLst>
                      <a:ext uri="{53640926-AAD7-44D8-BBD7-CCE9431645EC}">
                        <a14:shadowObscured xmlns:a14="http://schemas.microsoft.com/office/drawing/2010/main"/>
                      </a:ext>
                    </a:extLst>
                  </pic:spPr>
                </pic:pic>
              </a:graphicData>
            </a:graphic>
          </wp:inline>
        </w:drawing>
      </w:r>
    </w:p>
    <w:p w14:paraId="30F5BC1B" w14:textId="2023B73F" w:rsidR="00C574FC" w:rsidRPr="00F562A8" w:rsidRDefault="00C574FC" w:rsidP="00C574FC">
      <w:pPr>
        <w:widowControl w:val="0"/>
        <w:autoSpaceDE w:val="0"/>
        <w:autoSpaceDN w:val="0"/>
        <w:spacing w:after="0" w:line="276" w:lineRule="auto"/>
        <w:ind w:firstLine="709"/>
        <w:jc w:val="center"/>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Рис.</w:t>
      </w:r>
      <w:r w:rsidRPr="00F562A8">
        <w:rPr>
          <w:rFonts w:ascii="Times New Roman" w:hAnsi="Times New Roman" w:cs="Times New Roman"/>
          <w:sz w:val="26"/>
          <w:szCs w:val="26"/>
        </w:rPr>
        <w:t xml:space="preserve"> 3.6.</w:t>
      </w:r>
      <w:r w:rsidR="00713526">
        <w:rPr>
          <w:rFonts w:ascii="Times New Roman" w:hAnsi="Times New Roman" w:cs="Times New Roman"/>
          <w:sz w:val="26"/>
          <w:szCs w:val="26"/>
        </w:rPr>
        <w:t>6</w:t>
      </w:r>
      <w:r w:rsidRPr="00F562A8">
        <w:rPr>
          <w:rFonts w:ascii="Times New Roman" w:hAnsi="Times New Roman" w:cs="Times New Roman"/>
          <w:sz w:val="26"/>
          <w:szCs w:val="26"/>
        </w:rPr>
        <w:t>.</w:t>
      </w:r>
      <w:r w:rsidR="00713526">
        <w:rPr>
          <w:rFonts w:ascii="Times New Roman" w:hAnsi="Times New Roman" w:cs="Times New Roman"/>
          <w:sz w:val="26"/>
          <w:szCs w:val="26"/>
        </w:rPr>
        <w:t>3</w:t>
      </w:r>
      <w:r>
        <w:rPr>
          <w:rFonts w:ascii="Times New Roman" w:hAnsi="Times New Roman" w:cs="Times New Roman"/>
          <w:sz w:val="26"/>
          <w:szCs w:val="26"/>
        </w:rPr>
        <w:t>.2</w:t>
      </w:r>
      <w:r w:rsidRPr="00F562A8">
        <w:rPr>
          <w:rFonts w:ascii="Times New Roman" w:hAnsi="Times New Roman" w:cs="Times New Roman"/>
          <w:sz w:val="26"/>
          <w:szCs w:val="26"/>
        </w:rPr>
        <w:t xml:space="preserve"> </w:t>
      </w:r>
      <w:r w:rsidRPr="00F562A8">
        <w:rPr>
          <w:rFonts w:ascii="Times New Roman" w:eastAsia="Times New Roman" w:hAnsi="Times New Roman" w:cs="Times New Roman"/>
          <w:sz w:val="26"/>
          <w:szCs w:val="26"/>
          <w:lang w:eastAsia="ru-RU"/>
        </w:rPr>
        <w:t>- Значения t-критерия Стьюдента, средней ошибки аппроксимации, коэффициента детерминации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 xml:space="preserve"> и F-критерия Фишера</w:t>
      </w:r>
    </w:p>
    <w:p w14:paraId="5E3E1BC4"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Показатели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0FBC24BE" w14:textId="77777777" w:rsidR="00C574FC" w:rsidRPr="00F562A8" w:rsidRDefault="00C574FC" w:rsidP="00C574FC">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3FDA4E23"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 xml:space="preserve">равны: </w:t>
      </w:r>
    </w:p>
    <w:p w14:paraId="34F468A3" w14:textId="3CD28A77" w:rsidR="00C574FC" w:rsidRPr="00F562A8" w:rsidRDefault="007F77DA" w:rsidP="00C574FC">
      <w:pPr>
        <w:spacing w:after="0" w:line="276" w:lineRule="auto"/>
        <w:jc w:val="center"/>
        <w:rPr>
          <w:rFonts w:ascii="Times New Roman" w:hAnsi="Times New Roman" w:cs="Times New Roman"/>
          <w:sz w:val="26"/>
          <w:szCs w:val="26"/>
          <w:lang w:val="en-US"/>
        </w:rPr>
      </w:pPr>
      <w:r w:rsidRPr="00124907">
        <w:rPr>
          <w:noProof/>
          <w:lang w:eastAsia="ru-RU"/>
        </w:rPr>
        <w:drawing>
          <wp:inline distT="0" distB="0" distL="0" distR="0" wp14:anchorId="5CC6E2B6" wp14:editId="54F457A0">
            <wp:extent cx="3096057" cy="1047896"/>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3096057" cy="1047896"/>
                    </a:xfrm>
                    <a:prstGeom prst="rect">
                      <a:avLst/>
                    </a:prstGeom>
                  </pic:spPr>
                </pic:pic>
              </a:graphicData>
            </a:graphic>
          </wp:inline>
        </w:drawing>
      </w:r>
    </w:p>
    <w:p w14:paraId="1F5EF97A" w14:textId="4D329C11" w:rsidR="00C574FC" w:rsidRPr="00F562A8" w:rsidRDefault="00C574FC" w:rsidP="00C574FC">
      <w:pPr>
        <w:spacing w:after="120"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 3.6.</w:t>
      </w:r>
      <w:r w:rsidR="00713526">
        <w:rPr>
          <w:rFonts w:ascii="Times New Roman" w:hAnsi="Times New Roman" w:cs="Times New Roman"/>
          <w:sz w:val="26"/>
          <w:szCs w:val="26"/>
        </w:rPr>
        <w:t>6</w:t>
      </w:r>
      <w:r w:rsidRPr="00F562A8">
        <w:rPr>
          <w:rFonts w:ascii="Times New Roman" w:hAnsi="Times New Roman" w:cs="Times New Roman"/>
          <w:sz w:val="26"/>
          <w:szCs w:val="26"/>
        </w:rPr>
        <w:t>.</w:t>
      </w:r>
      <w:r w:rsidR="00713526">
        <w:rPr>
          <w:rFonts w:ascii="Times New Roman" w:hAnsi="Times New Roman" w:cs="Times New Roman"/>
          <w:sz w:val="26"/>
          <w:szCs w:val="26"/>
        </w:rPr>
        <w:t>3</w:t>
      </w:r>
      <w:r>
        <w:rPr>
          <w:rFonts w:ascii="Times New Roman" w:hAnsi="Times New Roman" w:cs="Times New Roman"/>
          <w:sz w:val="26"/>
          <w:szCs w:val="26"/>
        </w:rPr>
        <w:t>.3</w:t>
      </w:r>
      <w:r w:rsidRPr="00F562A8">
        <w:rPr>
          <w:rFonts w:ascii="Times New Roman" w:hAnsi="Times New Roman" w:cs="Times New Roman"/>
          <w:sz w:val="26"/>
          <w:szCs w:val="26"/>
        </w:rPr>
        <w:t xml:space="preserve"> - Значения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p>
    <w:p w14:paraId="19958302"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75BB07C5" w14:textId="54ED592B" w:rsidR="007F77DA" w:rsidRPr="00124907" w:rsidRDefault="00C574FC" w:rsidP="007F77DA">
      <w:pPr>
        <w:spacing w:after="0" w:line="240" w:lineRule="auto"/>
        <w:ind w:firstLine="851"/>
        <w:jc w:val="both"/>
        <w:rPr>
          <w:rFonts w:ascii="Arial" w:eastAsia="Times New Roman" w:hAnsi="Arial" w:cs="Arial"/>
          <w:sz w:val="20"/>
          <w:szCs w:val="20"/>
          <w:lang w:eastAsia="ru-RU"/>
        </w:rPr>
      </w:pPr>
      <w:r w:rsidRPr="00F562A8">
        <w:rPr>
          <w:rFonts w:ascii="Times New Roman" w:hAnsi="Times New Roman" w:cs="Times New Roman"/>
          <w:i/>
          <w:sz w:val="26"/>
          <w:szCs w:val="26"/>
        </w:rPr>
        <w:t xml:space="preserve">УПКС = </w:t>
      </w:r>
      <w:r w:rsidR="007F77DA" w:rsidRPr="007F77DA">
        <w:rPr>
          <w:rFonts w:ascii="Times New Roman" w:hAnsi="Times New Roman" w:cs="Times New Roman"/>
          <w:i/>
          <w:sz w:val="26"/>
          <w:szCs w:val="26"/>
        </w:rPr>
        <w:t>200.102994580331*e^(+0.0000260242041870828*__Численность населения в населенном пункте+0.0225358327506884*((45.813+0.00-_Расстояние до районного центра))+0.00341782869064049*((248.072+-9.74000000000001-_Расстояние до центра субъекта РФ (г. Воронеж)))</w:t>
      </w:r>
      <w:r w:rsidR="007F77DA">
        <w:rPr>
          <w:rFonts w:ascii="Times New Roman" w:hAnsi="Times New Roman" w:cs="Times New Roman"/>
          <w:i/>
          <w:sz w:val="26"/>
          <w:szCs w:val="26"/>
        </w:rPr>
        <w:t xml:space="preserve"> </w:t>
      </w:r>
      <w:r w:rsidR="007F77DA" w:rsidRPr="007F77DA">
        <w:rPr>
          <w:rFonts w:ascii="Times New Roman" w:hAnsi="Times New Roman" w:cs="Times New Roman"/>
          <w:i/>
          <w:sz w:val="26"/>
          <w:szCs w:val="26"/>
        </w:rPr>
        <w:t>+0.813294282774344*([_Статус автодороги, на которой расположен объект (ФЗ – федерального значения; РЗ – регионального значения; МЗ – местного (межмуниципального) значения)]))</w:t>
      </w:r>
    </w:p>
    <w:p w14:paraId="117B3C7B" w14:textId="30F658D7" w:rsidR="00C574FC" w:rsidRDefault="00C574FC" w:rsidP="007F77DA">
      <w:pPr>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3FCBF0DB" w14:textId="282BF9B4" w:rsidR="00C574FC" w:rsidRPr="00F562A8" w:rsidRDefault="00DB6A67" w:rsidP="00C574FC">
      <w:pPr>
        <w:spacing w:after="0" w:line="276" w:lineRule="auto"/>
        <w:jc w:val="center"/>
        <w:rPr>
          <w:rFonts w:ascii="Times New Roman" w:hAnsi="Times New Roman" w:cs="Times New Roman"/>
          <w:sz w:val="26"/>
          <w:szCs w:val="26"/>
        </w:rPr>
      </w:pPr>
      <w:r w:rsidRPr="00124907">
        <w:rPr>
          <w:noProof/>
          <w:lang w:eastAsia="ru-RU"/>
        </w:rPr>
        <w:drawing>
          <wp:inline distT="0" distB="0" distL="0" distR="0" wp14:anchorId="2B3306A6" wp14:editId="61675EA1">
            <wp:extent cx="5212715" cy="3343827"/>
            <wp:effectExtent l="0" t="0" r="698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5223085" cy="3350479"/>
                    </a:xfrm>
                    <a:prstGeom prst="rect">
                      <a:avLst/>
                    </a:prstGeom>
                  </pic:spPr>
                </pic:pic>
              </a:graphicData>
            </a:graphic>
          </wp:inline>
        </w:drawing>
      </w:r>
    </w:p>
    <w:p w14:paraId="0DE3E7EA" w14:textId="7B054446" w:rsidR="00C574FC" w:rsidRPr="00F562A8" w:rsidRDefault="00C574FC" w:rsidP="00C574FC">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 3.6.</w:t>
      </w:r>
      <w:r w:rsidR="00713526">
        <w:rPr>
          <w:rFonts w:ascii="Times New Roman" w:hAnsi="Times New Roman" w:cs="Times New Roman"/>
          <w:sz w:val="26"/>
          <w:szCs w:val="26"/>
        </w:rPr>
        <w:t>6</w:t>
      </w:r>
      <w:r w:rsidRPr="00F562A8">
        <w:rPr>
          <w:rFonts w:ascii="Times New Roman" w:hAnsi="Times New Roman" w:cs="Times New Roman"/>
          <w:sz w:val="26"/>
          <w:szCs w:val="26"/>
        </w:rPr>
        <w:t>.</w:t>
      </w:r>
      <w:r w:rsidR="00713526">
        <w:rPr>
          <w:rFonts w:ascii="Times New Roman" w:hAnsi="Times New Roman" w:cs="Times New Roman"/>
          <w:sz w:val="26"/>
          <w:szCs w:val="26"/>
        </w:rPr>
        <w:t>3</w:t>
      </w:r>
      <w:r>
        <w:rPr>
          <w:rFonts w:ascii="Times New Roman" w:hAnsi="Times New Roman" w:cs="Times New Roman"/>
          <w:sz w:val="26"/>
          <w:szCs w:val="26"/>
        </w:rPr>
        <w:t xml:space="preserve">.4 </w:t>
      </w:r>
      <w:r w:rsidRPr="00F562A8">
        <w:rPr>
          <w:rFonts w:ascii="Times New Roman" w:hAnsi="Times New Roman" w:cs="Times New Roman"/>
          <w:sz w:val="26"/>
          <w:szCs w:val="26"/>
        </w:rPr>
        <w:t>- Характеристика экспоненциальной модели и анализ качества выборки</w:t>
      </w:r>
    </w:p>
    <w:p w14:paraId="7B44B420" w14:textId="77777777" w:rsidR="00C574FC" w:rsidRPr="00F562A8" w:rsidRDefault="00C574FC" w:rsidP="00C574FC">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w:t>
      </w:r>
      <w:r>
        <w:rPr>
          <w:rFonts w:ascii="Times New Roman" w:hAnsi="Times New Roman" w:cs="Times New Roman"/>
          <w:sz w:val="26"/>
          <w:szCs w:val="26"/>
        </w:rPr>
        <w:t xml:space="preserve">ами </w:t>
      </w:r>
      <w:r w:rsidRPr="00F562A8">
        <w:rPr>
          <w:rFonts w:ascii="Times New Roman" w:hAnsi="Times New Roman" w:cs="Times New Roman"/>
          <w:sz w:val="26"/>
          <w:szCs w:val="26"/>
        </w:rPr>
        <w:t>Х</w:t>
      </w:r>
      <w:r>
        <w:rPr>
          <w:rFonts w:ascii="Times New Roman" w:hAnsi="Times New Roman" w:cs="Times New Roman"/>
          <w:sz w:val="26"/>
          <w:szCs w:val="26"/>
          <w:vertAlign w:val="subscript"/>
        </w:rPr>
        <w:t>1</w:t>
      </w:r>
      <w:r w:rsidRPr="00490140">
        <w:rPr>
          <w:rFonts w:ascii="Times New Roman" w:hAnsi="Times New Roman" w:cs="Times New Roman"/>
          <w:sz w:val="26"/>
          <w:szCs w:val="26"/>
        </w:rPr>
        <w:t>,</w:t>
      </w:r>
      <w:r>
        <w:rPr>
          <w:rFonts w:ascii="Times New Roman" w:hAnsi="Times New Roman" w:cs="Times New Roman"/>
          <w:sz w:val="26"/>
          <w:szCs w:val="26"/>
          <w:vertAlign w:val="subscript"/>
        </w:rPr>
        <w:t xml:space="preserve"> </w:t>
      </w:r>
      <w:r w:rsidRPr="00F562A8">
        <w:rPr>
          <w:rFonts w:ascii="Times New Roman" w:hAnsi="Times New Roman" w:cs="Times New Roman"/>
          <w:sz w:val="26"/>
          <w:szCs w:val="26"/>
        </w:rPr>
        <w:t>Х</w:t>
      </w:r>
      <w:r>
        <w:rPr>
          <w:rFonts w:ascii="Times New Roman" w:hAnsi="Times New Roman" w:cs="Times New Roman"/>
          <w:sz w:val="26"/>
          <w:szCs w:val="26"/>
          <w:vertAlign w:val="subscript"/>
        </w:rPr>
        <w:t>2</w:t>
      </w:r>
      <w:r w:rsidRPr="00F562A8">
        <w:rPr>
          <w:rFonts w:ascii="Times New Roman" w:hAnsi="Times New Roman" w:cs="Times New Roman"/>
          <w:sz w:val="26"/>
          <w:szCs w:val="26"/>
        </w:rPr>
        <w:t xml:space="preserve"> и кадастровой стоимостью обратная, то есть при росте этого фактора кадастровая стоимость уменьшается.</w:t>
      </w:r>
      <w:r w:rsidRPr="00490140">
        <w:rPr>
          <w:rFonts w:ascii="Times New Roman" w:hAnsi="Times New Roman" w:cs="Times New Roman"/>
          <w:sz w:val="26"/>
          <w:szCs w:val="26"/>
        </w:rPr>
        <w:t xml:space="preserve"> </w:t>
      </w:r>
      <w:r w:rsidRPr="00F562A8">
        <w:rPr>
          <w:rFonts w:ascii="Times New Roman" w:hAnsi="Times New Roman" w:cs="Times New Roman"/>
          <w:sz w:val="26"/>
          <w:szCs w:val="26"/>
        </w:rPr>
        <w:t>Влияние фактор</w:t>
      </w:r>
      <w:r>
        <w:rPr>
          <w:rFonts w:ascii="Times New Roman" w:hAnsi="Times New Roman" w:cs="Times New Roman"/>
          <w:sz w:val="26"/>
          <w:szCs w:val="26"/>
        </w:rPr>
        <w:t xml:space="preserve">а </w:t>
      </w:r>
      <w:r w:rsidRPr="00F562A8">
        <w:rPr>
          <w:rFonts w:ascii="Times New Roman" w:hAnsi="Times New Roman" w:cs="Times New Roman"/>
          <w:sz w:val="26"/>
          <w:szCs w:val="26"/>
        </w:rPr>
        <w:t>Х</w:t>
      </w:r>
      <w:r>
        <w:rPr>
          <w:rFonts w:ascii="Times New Roman" w:hAnsi="Times New Roman" w:cs="Times New Roman"/>
          <w:sz w:val="26"/>
          <w:szCs w:val="26"/>
          <w:vertAlign w:val="subscript"/>
        </w:rPr>
        <w:t xml:space="preserve">0 </w:t>
      </w:r>
      <w:r w:rsidRPr="00F562A8">
        <w:rPr>
          <w:rFonts w:ascii="Times New Roman" w:hAnsi="Times New Roman" w:cs="Times New Roman"/>
          <w:sz w:val="26"/>
          <w:szCs w:val="26"/>
        </w:rPr>
        <w:t xml:space="preserve">на кадастровую стоимость прямое и с ростом факторов кадастровая стоимость </w:t>
      </w:r>
      <w:r w:rsidRPr="00490140">
        <w:rPr>
          <w:rFonts w:ascii="Times New Roman" w:hAnsi="Times New Roman" w:cs="Times New Roman"/>
          <w:sz w:val="26"/>
          <w:szCs w:val="26"/>
        </w:rPr>
        <w:t>растет</w:t>
      </w:r>
      <w:r>
        <w:rPr>
          <w:rFonts w:ascii="Times New Roman" w:hAnsi="Times New Roman" w:cs="Times New Roman"/>
          <w:sz w:val="26"/>
          <w:szCs w:val="26"/>
        </w:rPr>
        <w:t>.</w:t>
      </w:r>
      <w:r w:rsidRPr="00F562A8">
        <w:rPr>
          <w:rFonts w:ascii="Times New Roman" w:hAnsi="Times New Roman" w:cs="Times New Roman"/>
          <w:sz w:val="26"/>
          <w:szCs w:val="26"/>
        </w:rPr>
        <w:t xml:space="preserve"> Малые значения средней ошибки аппроксимации и среднеквадратической ошибки оценки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15BF31B4" w14:textId="108269AF" w:rsidR="00C574FC" w:rsidRDefault="007111F5" w:rsidP="00C574FC">
      <w:pPr>
        <w:spacing w:after="0" w:line="276" w:lineRule="auto"/>
        <w:ind w:firstLine="709"/>
        <w:jc w:val="both"/>
        <w:rPr>
          <w:rFonts w:ascii="Times New Roman" w:eastAsiaTheme="minorEastAsia" w:hAnsi="Times New Roman" w:cs="Times New Roman"/>
          <w:sz w:val="26"/>
          <w:szCs w:val="26"/>
          <w:highlight w:val="yellow"/>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274CF598" w14:textId="77777777" w:rsidR="00C574FC" w:rsidRDefault="00C574FC" w:rsidP="00C574FC">
      <w:pPr>
        <w:spacing w:after="0" w:line="276" w:lineRule="auto"/>
        <w:ind w:firstLine="709"/>
        <w:jc w:val="both"/>
        <w:rPr>
          <w:rFonts w:ascii="Times New Roman" w:eastAsiaTheme="minorEastAsia" w:hAnsi="Times New Roman" w:cs="Times New Roman"/>
          <w:sz w:val="26"/>
          <w:szCs w:val="26"/>
          <w:highlight w:val="yellow"/>
        </w:rPr>
      </w:pPr>
    </w:p>
    <w:p w14:paraId="4E769FCF" w14:textId="2A6C1377" w:rsidR="00C574FC" w:rsidRPr="00F562A8" w:rsidRDefault="00C574FC" w:rsidP="00C574FC">
      <w:pPr>
        <w:pStyle w:val="ab"/>
        <w:ind w:left="0"/>
        <w:jc w:val="center"/>
        <w:outlineLvl w:val="2"/>
        <w:rPr>
          <w:rFonts w:ascii="Times New Roman" w:hAnsi="Times New Roman" w:cs="Times New Roman"/>
          <w:i/>
          <w:sz w:val="26"/>
          <w:szCs w:val="26"/>
        </w:rPr>
      </w:pPr>
      <w:bookmarkStart w:id="250" w:name="_Toc110506995"/>
      <w:r w:rsidRPr="00DC7772">
        <w:rPr>
          <w:rFonts w:ascii="Times New Roman" w:hAnsi="Times New Roman" w:cs="Times New Roman"/>
          <w:i/>
          <w:sz w:val="26"/>
          <w:szCs w:val="26"/>
        </w:rPr>
        <w:t>3.6.6.4 Расчет кадастровой стоимости</w:t>
      </w:r>
      <w:r w:rsidRPr="00F562A8">
        <w:rPr>
          <w:rFonts w:ascii="Times New Roman" w:hAnsi="Times New Roman" w:cs="Times New Roman"/>
          <w:i/>
          <w:sz w:val="26"/>
          <w:szCs w:val="26"/>
        </w:rPr>
        <w:t xml:space="preserve"> земельных участков группы </w:t>
      </w:r>
      <w:r w:rsidRPr="00CA3F72">
        <w:rPr>
          <w:rFonts w:ascii="Times New Roman" w:hAnsi="Times New Roman" w:cs="Times New Roman"/>
          <w:i/>
          <w:sz w:val="26"/>
          <w:szCs w:val="26"/>
        </w:rPr>
        <w:t>ПРОИЗВОДСТВО/АЗС-ПС/Вокзалы</w:t>
      </w:r>
      <w:bookmarkEnd w:id="250"/>
    </w:p>
    <w:p w14:paraId="37DDAF00" w14:textId="27311783" w:rsidR="00C574FC" w:rsidRPr="00F562A8" w:rsidRDefault="00C574FC" w:rsidP="00C574FC">
      <w:pPr>
        <w:spacing w:after="0" w:line="276" w:lineRule="auto"/>
        <w:ind w:firstLine="709"/>
        <w:contextualSpacing/>
        <w:jc w:val="both"/>
        <w:rPr>
          <w:rFonts w:ascii="Times New Roman" w:eastAsia="Calibri"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38BA286C" w14:textId="7ECD3A69" w:rsidR="00546496" w:rsidRDefault="00546496" w:rsidP="00546496">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546496">
        <w:rPr>
          <w:rFonts w:ascii="Times New Roman" w:hAnsi="Times New Roman" w:cs="Times New Roman"/>
          <w:sz w:val="26"/>
          <w:szCs w:val="26"/>
        </w:rPr>
        <w:t>ПРОИЗВОДСТВО/АЗС-ПС/Вокзалы</w:t>
      </w:r>
      <w:r>
        <w:rPr>
          <w:rFonts w:ascii="Times New Roman" w:hAnsi="Times New Roman" w:cs="Times New Roman"/>
          <w:sz w:val="26"/>
          <w:szCs w:val="26"/>
        </w:rPr>
        <w:t xml:space="preserve">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546496">
        <w:rPr>
          <w:rFonts w:ascii="Times New Roman" w:hAnsi="Times New Roman" w:cs="Times New Roman"/>
          <w:sz w:val="26"/>
          <w:szCs w:val="26"/>
        </w:rPr>
        <w:t xml:space="preserve"> 05:040, 07:011, 07:012, 07:014, 07:015, 07:020, 07:030, 07:031, 07:040, 07:041, 07:042</w:t>
      </w:r>
      <w:r>
        <w:rPr>
          <w:rFonts w:ascii="Times New Roman" w:hAnsi="Times New Roman" w:cs="Times New Roman"/>
          <w:sz w:val="26"/>
          <w:szCs w:val="26"/>
        </w:rPr>
        <w:t>.</w:t>
      </w:r>
    </w:p>
    <w:p w14:paraId="58AD8AB4" w14:textId="24C8534E" w:rsidR="00546496" w:rsidRPr="00546496" w:rsidRDefault="00546496" w:rsidP="00546496">
      <w:pPr>
        <w:spacing w:after="0" w:line="300" w:lineRule="auto"/>
        <w:ind w:firstLine="567"/>
        <w:jc w:val="both"/>
        <w:rPr>
          <w:rFonts w:ascii="Times New Roman" w:hAnsi="Times New Roman" w:cs="Times New Roman"/>
          <w:sz w:val="26"/>
          <w:szCs w:val="26"/>
        </w:rPr>
      </w:pPr>
      <w:r w:rsidRPr="00546496">
        <w:rPr>
          <w:rFonts w:ascii="Times New Roman" w:hAnsi="Times New Roman" w:cs="Times New Roman"/>
          <w:sz w:val="26"/>
          <w:szCs w:val="26"/>
        </w:rPr>
        <w:t xml:space="preserve">В группу ПРОИЗВОДСТВО/АЗС-ПС/Вокзалы включены объекты, не имеющие точной характеристики местоположения объектов (без факторов). </w:t>
      </w:r>
    </w:p>
    <w:p w14:paraId="0EF506A5" w14:textId="77777777" w:rsidR="00141EC8" w:rsidRPr="00141EC8" w:rsidRDefault="00141EC8" w:rsidP="00141EC8">
      <w:pPr>
        <w:spacing w:after="0" w:line="300" w:lineRule="auto"/>
        <w:ind w:firstLine="567"/>
        <w:jc w:val="both"/>
        <w:rPr>
          <w:rFonts w:ascii="Times New Roman" w:hAnsi="Times New Roman" w:cs="Times New Roman"/>
          <w:sz w:val="26"/>
          <w:szCs w:val="26"/>
        </w:rPr>
      </w:pPr>
      <w:r w:rsidRPr="00141EC8">
        <w:rPr>
          <w:rFonts w:ascii="Times New Roman" w:hAnsi="Times New Roman" w:cs="Times New Roman"/>
          <w:sz w:val="26"/>
          <w:szCs w:val="26"/>
        </w:rPr>
        <w:t xml:space="preserve">Расчет кадастровой стоимости земельных участков данной группы проведен на основании средних удельных показателей кадастровой стоимости текущего сегмента без учета кода расчета вида использования по кадастровому кварталу, в котором расположены объекты оценки. </w:t>
      </w:r>
    </w:p>
    <w:p w14:paraId="14AF0292" w14:textId="690CA2C2" w:rsidR="00546496" w:rsidRPr="00F562A8" w:rsidRDefault="00141EC8" w:rsidP="00141EC8">
      <w:pPr>
        <w:spacing w:after="0" w:line="300" w:lineRule="auto"/>
        <w:ind w:firstLine="567"/>
        <w:jc w:val="both"/>
        <w:rPr>
          <w:rFonts w:ascii="Times New Roman" w:eastAsiaTheme="minorEastAsia" w:hAnsi="Times New Roman" w:cs="Times New Roman"/>
          <w:sz w:val="26"/>
          <w:szCs w:val="26"/>
        </w:rPr>
      </w:pPr>
      <w:r w:rsidRPr="00141EC8">
        <w:rPr>
          <w:rFonts w:ascii="Times New Roman" w:hAnsi="Times New Roman" w:cs="Times New Roman"/>
          <w:sz w:val="26"/>
          <w:szCs w:val="26"/>
        </w:rPr>
        <w:t>В случае отсутствия таких показателей, по средним значениям удельных показателей кадастровой стоимости в населенном пункте, а в случае отсутствия и этих значений, по средним значениям удельных показателей кадастровой стоимости в муниципальном районе , а в случае отсутствия и этих значений, по средним значениям удельных показателей кадастровой стоимости Воронежской области</w:t>
      </w:r>
      <w:r w:rsidR="00937E97" w:rsidRPr="00937E97">
        <w:rPr>
          <w:rFonts w:ascii="Times New Roman" w:hAnsi="Times New Roman" w:cs="Times New Roman"/>
          <w:sz w:val="26"/>
          <w:szCs w:val="26"/>
        </w:rPr>
        <w:t>.</w:t>
      </w:r>
    </w:p>
    <w:p w14:paraId="19025317" w14:textId="55F0DB62" w:rsidR="00546496" w:rsidRPr="00F562A8" w:rsidRDefault="007111F5" w:rsidP="00546496">
      <w:pPr>
        <w:spacing w:after="0" w:line="300" w:lineRule="auto"/>
        <w:ind w:firstLine="567"/>
        <w:jc w:val="both"/>
        <w:rPr>
          <w:rFonts w:ascii="Times New Roman" w:hAnsi="Times New Roman" w:cs="Times New Roman"/>
          <w:bCs/>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727466F2" w14:textId="77777777" w:rsidR="00C574FC" w:rsidRDefault="00C574FC" w:rsidP="00C574FC">
      <w:pPr>
        <w:tabs>
          <w:tab w:val="right" w:pos="9072"/>
        </w:tabs>
        <w:spacing w:after="0" w:line="276" w:lineRule="auto"/>
        <w:contextualSpacing/>
        <w:rPr>
          <w:rFonts w:ascii="Times New Roman" w:eastAsiaTheme="minorEastAsia" w:hAnsi="Times New Roman" w:cs="Times New Roman"/>
          <w:i/>
          <w:sz w:val="16"/>
          <w:szCs w:val="16"/>
        </w:rPr>
      </w:pPr>
    </w:p>
    <w:p w14:paraId="769E3FD5" w14:textId="43F51D0E" w:rsidR="00C574FC" w:rsidRPr="00F562A8" w:rsidRDefault="00C574FC" w:rsidP="00C574FC">
      <w:pPr>
        <w:pStyle w:val="ab"/>
        <w:ind w:left="0"/>
        <w:jc w:val="center"/>
        <w:outlineLvl w:val="2"/>
        <w:rPr>
          <w:rFonts w:ascii="Times New Roman" w:hAnsi="Times New Roman" w:cs="Times New Roman"/>
          <w:i/>
          <w:sz w:val="26"/>
          <w:szCs w:val="26"/>
        </w:rPr>
      </w:pPr>
      <w:bookmarkStart w:id="251" w:name="_Toc110506996"/>
      <w:r w:rsidRPr="00CD59AB">
        <w:rPr>
          <w:rFonts w:ascii="Times New Roman" w:hAnsi="Times New Roman" w:cs="Times New Roman"/>
          <w:i/>
          <w:sz w:val="26"/>
          <w:szCs w:val="26"/>
        </w:rPr>
        <w:t>3.6.6.5 Расчет кадастровой</w:t>
      </w:r>
      <w:r w:rsidRPr="009128CB">
        <w:rPr>
          <w:rFonts w:ascii="Times New Roman" w:hAnsi="Times New Roman" w:cs="Times New Roman"/>
          <w:i/>
          <w:sz w:val="26"/>
          <w:szCs w:val="26"/>
        </w:rPr>
        <w:t xml:space="preserve"> стоимости земельных участков группы ПРОИЗВОДСТВО/Линейные</w:t>
      </w:r>
      <w:bookmarkEnd w:id="251"/>
    </w:p>
    <w:p w14:paraId="3A4AED1F" w14:textId="65AF06CA" w:rsidR="009128CB" w:rsidRPr="007F5234" w:rsidRDefault="009128CB" w:rsidP="009128CB">
      <w:pPr>
        <w:spacing w:after="0" w:line="276" w:lineRule="auto"/>
        <w:ind w:firstLine="709"/>
        <w:contextualSpacing/>
        <w:jc w:val="both"/>
        <w:rPr>
          <w:rFonts w:ascii="Times New Roman" w:eastAsia="Calibri" w:hAnsi="Times New Roman" w:cs="Times New Roman"/>
          <w:sz w:val="26"/>
          <w:szCs w:val="26"/>
        </w:rPr>
      </w:pPr>
      <w:r w:rsidRPr="007F5234">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6777873D" w14:textId="3D298585" w:rsidR="009128CB" w:rsidRPr="00CD59AB" w:rsidRDefault="009128CB" w:rsidP="009128CB">
      <w:pPr>
        <w:spacing w:after="0" w:line="276" w:lineRule="auto"/>
        <w:ind w:firstLine="709"/>
        <w:jc w:val="both"/>
        <w:rPr>
          <w:rFonts w:ascii="Times New Roman" w:hAnsi="Times New Roman" w:cs="Times New Roman"/>
          <w:sz w:val="26"/>
          <w:szCs w:val="26"/>
        </w:rPr>
      </w:pPr>
      <w:r w:rsidRPr="007F5234">
        <w:rPr>
          <w:rFonts w:ascii="Times New Roman" w:hAnsi="Times New Roman" w:cs="Times New Roman"/>
          <w:sz w:val="26"/>
          <w:szCs w:val="26"/>
        </w:rPr>
        <w:t xml:space="preserve">В состав группы ПРОИЗВОДСТВО/Линейные вошли следующие коды расчета видов использования: 03:011, 06:074, 06:080, 07:010, 07:015, 07:020, 07:030, 07:050, </w:t>
      </w:r>
      <w:r w:rsidRPr="00CD59AB">
        <w:rPr>
          <w:rFonts w:ascii="Times New Roman" w:hAnsi="Times New Roman" w:cs="Times New Roman"/>
          <w:sz w:val="26"/>
          <w:szCs w:val="26"/>
        </w:rPr>
        <w:t>12:001.</w:t>
      </w:r>
    </w:p>
    <w:p w14:paraId="1F527397" w14:textId="6B6F15C6" w:rsidR="00CE0A81" w:rsidRPr="00CD59AB" w:rsidRDefault="003E67B8" w:rsidP="00CE0A81">
      <w:pPr>
        <w:pStyle w:val="ConsPlusNormal"/>
        <w:spacing w:line="276" w:lineRule="auto"/>
        <w:ind w:firstLine="709"/>
        <w:jc w:val="both"/>
        <w:rPr>
          <w:rFonts w:ascii="Times New Roman" w:hAnsi="Times New Roman" w:cs="Times New Roman"/>
          <w:sz w:val="26"/>
          <w:szCs w:val="26"/>
          <w:lang w:eastAsia="en-US"/>
        </w:rPr>
      </w:pPr>
      <w:r w:rsidRPr="00CD59AB">
        <w:rPr>
          <w:rFonts w:ascii="Times New Roman" w:hAnsi="Times New Roman" w:cs="Times New Roman"/>
          <w:bCs/>
          <w:sz w:val="26"/>
          <w:szCs w:val="26"/>
        </w:rPr>
        <w:t xml:space="preserve">Расчет кадастровой стоимости земельных участков </w:t>
      </w:r>
      <w:r w:rsidR="00CE0A81" w:rsidRPr="00CD59AB">
        <w:rPr>
          <w:rFonts w:ascii="Times New Roman" w:hAnsi="Times New Roman" w:cs="Times New Roman"/>
          <w:bCs/>
          <w:sz w:val="26"/>
          <w:szCs w:val="26"/>
        </w:rPr>
        <w:t xml:space="preserve">данной группы проведен по </w:t>
      </w:r>
      <w:r w:rsidR="00CD59AB" w:rsidRPr="00CD59AB">
        <w:rPr>
          <w:rFonts w:ascii="Times New Roman" w:hAnsi="Times New Roman" w:cs="Times New Roman"/>
          <w:sz w:val="26"/>
          <w:szCs w:val="26"/>
          <w:lang w:eastAsia="en-US"/>
        </w:rPr>
        <w:t>среднему</w:t>
      </w:r>
      <w:r w:rsidR="00CE0A81" w:rsidRPr="00CD59AB">
        <w:rPr>
          <w:rFonts w:ascii="Times New Roman" w:hAnsi="Times New Roman" w:cs="Times New Roman"/>
          <w:sz w:val="26"/>
          <w:szCs w:val="26"/>
          <w:lang w:eastAsia="en-US"/>
        </w:rPr>
        <w:t xml:space="preserve"> значению </w:t>
      </w:r>
      <w:r w:rsidR="00CD59AB" w:rsidRPr="00CD59AB">
        <w:rPr>
          <w:rFonts w:ascii="Times New Roman" w:hAnsi="Times New Roman" w:cs="Times New Roman"/>
          <w:sz w:val="26"/>
          <w:szCs w:val="26"/>
          <w:lang w:eastAsia="en-US"/>
        </w:rPr>
        <w:t xml:space="preserve">из минимальных </w:t>
      </w:r>
      <w:r w:rsidR="00CE0A81" w:rsidRPr="00CD59AB">
        <w:rPr>
          <w:rFonts w:ascii="Times New Roman" w:hAnsi="Times New Roman" w:cs="Times New Roman"/>
          <w:sz w:val="26"/>
          <w:szCs w:val="26"/>
          <w:lang w:eastAsia="en-US"/>
        </w:rPr>
        <w:t xml:space="preserve">удельных показателей кадастровой стоимости </w:t>
      </w:r>
      <w:r w:rsidR="00E85686">
        <w:rPr>
          <w:rFonts w:ascii="Times New Roman" w:hAnsi="Times New Roman" w:cs="Times New Roman"/>
          <w:sz w:val="26"/>
          <w:szCs w:val="26"/>
          <w:lang w:eastAsia="en-US"/>
        </w:rPr>
        <w:t>земельных участков всех сегментов того муниципального района</w:t>
      </w:r>
      <w:r w:rsidR="00CE0A81" w:rsidRPr="00CD59AB">
        <w:rPr>
          <w:rFonts w:ascii="Times New Roman" w:hAnsi="Times New Roman" w:cs="Times New Roman"/>
          <w:sz w:val="26"/>
          <w:szCs w:val="26"/>
          <w:lang w:eastAsia="en-US"/>
        </w:rPr>
        <w:t xml:space="preserve">, в котором расположены объекты оценки. </w:t>
      </w:r>
    </w:p>
    <w:p w14:paraId="79BC9588" w14:textId="3C64AB88" w:rsidR="00CE0A81" w:rsidRPr="00483EA0" w:rsidRDefault="007111F5" w:rsidP="00CE0A81">
      <w:pPr>
        <w:pStyle w:val="ConsPlusNormal"/>
        <w:spacing w:line="276" w:lineRule="auto"/>
        <w:ind w:firstLine="709"/>
        <w:jc w:val="both"/>
        <w:rPr>
          <w:rFonts w:ascii="Times New Roman" w:hAnsi="Times New Roman" w:cs="Times New Roman"/>
          <w:sz w:val="26"/>
          <w:szCs w:val="26"/>
          <w:lang w:eastAsia="en-US"/>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hAnsi="Times New Roman" w:cs="Times New Roman"/>
          <w:sz w:val="26"/>
          <w:szCs w:val="26"/>
        </w:rPr>
        <w:t>2/2.4</w:t>
      </w:r>
      <w:r w:rsidR="006B6B44">
        <w:rPr>
          <w:rFonts w:ascii="Times New Roman" w:hAnsi="Times New Roman" w:cs="Times New Roman"/>
          <w:sz w:val="26"/>
          <w:szCs w:val="26"/>
        </w:rPr>
        <w:t>/2.4.6.</w:t>
      </w:r>
    </w:p>
    <w:p w14:paraId="504FACAC" w14:textId="77777777" w:rsidR="00A76705" w:rsidRPr="007B18C9" w:rsidRDefault="00A76705" w:rsidP="00A76705">
      <w:pPr>
        <w:rPr>
          <w:rFonts w:ascii="Times New Roman" w:hAnsi="Times New Roman" w:cs="Times New Roman"/>
          <w:i/>
          <w:sz w:val="26"/>
          <w:szCs w:val="26"/>
        </w:rPr>
      </w:pPr>
    </w:p>
    <w:p w14:paraId="477CDED0" w14:textId="7D155B71" w:rsidR="00306BF5" w:rsidRPr="00F562A8" w:rsidRDefault="00B15076" w:rsidP="002D4BEA">
      <w:pPr>
        <w:pStyle w:val="ab"/>
        <w:ind w:left="0"/>
        <w:jc w:val="center"/>
        <w:outlineLvl w:val="2"/>
        <w:rPr>
          <w:rFonts w:ascii="Times New Roman" w:hAnsi="Times New Roman" w:cs="Times New Roman"/>
          <w:i/>
          <w:sz w:val="26"/>
          <w:szCs w:val="26"/>
        </w:rPr>
      </w:pPr>
      <w:bookmarkStart w:id="252" w:name="_Toc110506997"/>
      <w:r w:rsidRPr="00DC7772">
        <w:rPr>
          <w:rFonts w:ascii="Times New Roman" w:hAnsi="Times New Roman" w:cs="Times New Roman"/>
          <w:i/>
          <w:sz w:val="26"/>
          <w:szCs w:val="26"/>
        </w:rPr>
        <w:t>3.6.6.</w:t>
      </w:r>
      <w:r w:rsidR="00C574FC" w:rsidRPr="00DC7772">
        <w:rPr>
          <w:rFonts w:ascii="Times New Roman" w:hAnsi="Times New Roman" w:cs="Times New Roman"/>
          <w:i/>
          <w:sz w:val="26"/>
          <w:szCs w:val="26"/>
        </w:rPr>
        <w:t>6</w:t>
      </w:r>
      <w:r w:rsidRPr="00DC7772">
        <w:rPr>
          <w:rFonts w:ascii="Times New Roman" w:hAnsi="Times New Roman" w:cs="Times New Roman"/>
          <w:i/>
          <w:sz w:val="26"/>
          <w:szCs w:val="26"/>
        </w:rPr>
        <w:t xml:space="preserve">. </w:t>
      </w:r>
      <w:r w:rsidR="00306BF5" w:rsidRPr="00DC7772">
        <w:rPr>
          <w:rFonts w:ascii="Times New Roman" w:hAnsi="Times New Roman" w:cs="Times New Roman"/>
          <w:i/>
          <w:sz w:val="26"/>
          <w:szCs w:val="26"/>
        </w:rPr>
        <w:t>Расчет</w:t>
      </w:r>
      <w:r w:rsidR="00306BF5" w:rsidRPr="00F562A8">
        <w:rPr>
          <w:rFonts w:ascii="Times New Roman" w:hAnsi="Times New Roman" w:cs="Times New Roman"/>
          <w:i/>
          <w:sz w:val="26"/>
          <w:szCs w:val="26"/>
        </w:rPr>
        <w:t xml:space="preserve"> кадастровой стоимости земельных участков группы </w:t>
      </w:r>
      <w:r w:rsidR="00983D64" w:rsidRPr="00983D64">
        <w:rPr>
          <w:rFonts w:ascii="Times New Roman" w:hAnsi="Times New Roman" w:cs="Times New Roman"/>
          <w:i/>
          <w:sz w:val="26"/>
          <w:szCs w:val="26"/>
        </w:rPr>
        <w:t>ПРОИЗВОДСТВО</w:t>
      </w:r>
      <w:r w:rsidR="00983D64">
        <w:rPr>
          <w:rFonts w:ascii="Times New Roman" w:hAnsi="Times New Roman" w:cs="Times New Roman"/>
          <w:i/>
          <w:sz w:val="26"/>
          <w:szCs w:val="26"/>
        </w:rPr>
        <w:t>/</w:t>
      </w:r>
      <w:r w:rsidR="007B18C9" w:rsidRPr="007B18C9">
        <w:rPr>
          <w:rFonts w:ascii="Times New Roman" w:hAnsi="Times New Roman" w:cs="Times New Roman"/>
          <w:i/>
          <w:sz w:val="26"/>
          <w:szCs w:val="26"/>
        </w:rPr>
        <w:t>ПРОМ/Воронеж</w:t>
      </w:r>
      <w:bookmarkEnd w:id="252"/>
    </w:p>
    <w:bookmarkEnd w:id="246"/>
    <w:p w14:paraId="76876B70" w14:textId="6405C83D" w:rsidR="005505AB" w:rsidRPr="00F562A8" w:rsidRDefault="005505AB" w:rsidP="006F6435">
      <w:pPr>
        <w:spacing w:after="0" w:line="276" w:lineRule="auto"/>
        <w:ind w:firstLine="709"/>
        <w:contextualSpacing/>
        <w:jc w:val="both"/>
        <w:rPr>
          <w:rFonts w:ascii="Times New Roman" w:eastAsia="Calibri"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2A02266C" w14:textId="6E6A180C" w:rsidR="00C574FC" w:rsidRDefault="00C574FC" w:rsidP="00C574FC">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00F10BEE" w:rsidRPr="00F10BEE">
        <w:rPr>
          <w:rFonts w:ascii="Times New Roman" w:hAnsi="Times New Roman" w:cs="Times New Roman"/>
          <w:sz w:val="26"/>
          <w:szCs w:val="26"/>
        </w:rPr>
        <w:t>ПРОИЗВОДСТВО/ПРОМ/Воронеж</w:t>
      </w:r>
      <w:r w:rsidR="00F10BEE">
        <w:rPr>
          <w:rFonts w:ascii="Times New Roman" w:hAnsi="Times New Roman" w:cs="Times New Roman"/>
          <w:sz w:val="26"/>
          <w:szCs w:val="26"/>
        </w:rPr>
        <w:t xml:space="preserve"> </w:t>
      </w:r>
      <w:r>
        <w:rPr>
          <w:rFonts w:ascii="Times New Roman" w:hAnsi="Times New Roman" w:cs="Times New Roman"/>
          <w:sz w:val="26"/>
          <w:szCs w:val="26"/>
        </w:rPr>
        <w:t>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00F10BEE" w:rsidRPr="00F10BEE">
        <w:rPr>
          <w:rFonts w:ascii="Times New Roman" w:hAnsi="Times New Roman" w:cs="Times New Roman"/>
          <w:sz w:val="26"/>
          <w:szCs w:val="26"/>
        </w:rPr>
        <w:t>06:000,  03:012, 03:093, 06:020, 06:021, 06:030, 06:031, 06:040, 06:050, 06:060, 06:070, 06:071, 06:072, 06:073, 06:090, 06:091, 06:092, 06:093, 06:100, 06:101, 06:110, 06:111, 07:013, 07:051, 08:010, 08:012, 08:013, 08:031, 10:011</w:t>
      </w:r>
      <w:r>
        <w:rPr>
          <w:rFonts w:ascii="Times New Roman" w:hAnsi="Times New Roman" w:cs="Times New Roman"/>
          <w:sz w:val="26"/>
          <w:szCs w:val="26"/>
        </w:rPr>
        <w:t>.</w:t>
      </w:r>
    </w:p>
    <w:p w14:paraId="1C7CAFD3" w14:textId="4FBC9AB2"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43473D" w:rsidRPr="0043473D">
        <w:rPr>
          <w:rFonts w:ascii="Times New Roman" w:hAnsi="Times New Roman" w:cs="Times New Roman"/>
          <w:sz w:val="26"/>
          <w:szCs w:val="26"/>
        </w:rPr>
        <w:t>ПРОИЗВОДСТВО/</w:t>
      </w:r>
      <w:r w:rsidR="007B18C9" w:rsidRPr="0043473D">
        <w:rPr>
          <w:rFonts w:ascii="Times New Roman" w:hAnsi="Times New Roman" w:cs="Times New Roman"/>
          <w:sz w:val="26"/>
          <w:szCs w:val="26"/>
        </w:rPr>
        <w:t>ПРОМ</w:t>
      </w:r>
      <w:r w:rsidR="007B18C9" w:rsidRPr="00691A90">
        <w:rPr>
          <w:rFonts w:ascii="Times New Roman" w:hAnsi="Times New Roman" w:cs="Times New Roman"/>
          <w:sz w:val="26"/>
          <w:szCs w:val="26"/>
        </w:rPr>
        <w:t>/Воронеж</w:t>
      </w:r>
      <w:r w:rsidR="007B18C9" w:rsidRPr="00F562A8">
        <w:rPr>
          <w:rFonts w:ascii="Times New Roman" w:hAnsi="Times New Roman" w:cs="Times New Roman"/>
          <w:sz w:val="26"/>
          <w:szCs w:val="26"/>
        </w:rPr>
        <w:t xml:space="preserve">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61662F59" w14:textId="37907EEB"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615491">
        <w:rPr>
          <w:rFonts w:ascii="Times New Roman" w:hAnsi="Times New Roman" w:cs="Times New Roman"/>
          <w:sz w:val="26"/>
          <w:szCs w:val="26"/>
        </w:rPr>
        <w:t>45.1.1</w:t>
      </w:r>
      <w:r w:rsidRPr="00F562A8">
        <w:rPr>
          <w:rFonts w:ascii="Times New Roman" w:hAnsi="Times New Roman" w:cs="Times New Roman"/>
          <w:sz w:val="26"/>
          <w:szCs w:val="26"/>
        </w:rPr>
        <w:t xml:space="preserve"> Указаний,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283346EB"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52347A30"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424074F4"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3DD39599"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791EEA11"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32068610"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3F51DF44" w14:textId="6CCA28F1" w:rsidR="00A706CB" w:rsidRPr="00F562A8"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г.о.г Воронеж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12 </w:t>
      </w:r>
      <w:r w:rsidR="00497BF1" w:rsidRPr="00F562A8">
        <w:rPr>
          <w:rFonts w:ascii="Times New Roman" w:hAnsi="Times New Roman" w:cs="Times New Roman"/>
          <w:sz w:val="26"/>
          <w:szCs w:val="26"/>
        </w:rPr>
        <w:t>представлены в таблиц</w:t>
      </w:r>
      <w:r w:rsidR="00497BF1">
        <w:rPr>
          <w:rFonts w:ascii="Times New Roman" w:hAnsi="Times New Roman" w:cs="Times New Roman"/>
          <w:sz w:val="26"/>
          <w:szCs w:val="26"/>
        </w:rPr>
        <w:t>ах</w:t>
      </w:r>
      <w:r w:rsidR="00497BF1" w:rsidRPr="00F562A8">
        <w:rPr>
          <w:rFonts w:ascii="Times New Roman" w:hAnsi="Times New Roman" w:cs="Times New Roman"/>
          <w:sz w:val="26"/>
          <w:szCs w:val="26"/>
        </w:rPr>
        <w:t xml:space="preserve"> </w:t>
      </w:r>
      <w:r w:rsidR="00497BF1" w:rsidRPr="00F562A8">
        <w:rPr>
          <w:rFonts w:ascii="Times New Roman" w:eastAsia="Times New Roman" w:hAnsi="Times New Roman" w:cs="Times New Roman"/>
          <w:sz w:val="26"/>
          <w:szCs w:val="26"/>
        </w:rPr>
        <w:t>3.</w:t>
      </w:r>
      <w:r w:rsidR="00497BF1">
        <w:rPr>
          <w:rFonts w:ascii="Times New Roman" w:eastAsia="Times New Roman" w:hAnsi="Times New Roman" w:cs="Times New Roman"/>
          <w:sz w:val="26"/>
          <w:szCs w:val="26"/>
        </w:rPr>
        <w:t>4 и 3.5, пунктов 3.4 и 3.5 соответственно</w:t>
      </w:r>
      <w:r w:rsidR="00497BF1" w:rsidRPr="00F562A8">
        <w:rPr>
          <w:rFonts w:ascii="Times New Roman" w:hAnsi="Times New Roman" w:cs="Times New Roman"/>
          <w:sz w:val="26"/>
          <w:szCs w:val="26"/>
        </w:rPr>
        <w:t>.</w:t>
      </w:r>
    </w:p>
    <w:p w14:paraId="5C9E7969" w14:textId="60AF9FF1" w:rsidR="00A706CB" w:rsidRPr="00F562A8"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46A499BF" w14:textId="77777777" w:rsidR="00A706CB" w:rsidRPr="00F562A8"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33AAFDBE" w14:textId="60832A2E" w:rsidR="00A706CB" w:rsidRPr="00F562A8"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Pr>
          <w:rFonts w:ascii="Times New Roman" w:hAnsi="Times New Roman" w:cs="Times New Roman"/>
          <w:sz w:val="26"/>
          <w:szCs w:val="26"/>
        </w:rPr>
        <w:t>3</w:t>
      </w:r>
      <w:r w:rsidRPr="00F562A8">
        <w:rPr>
          <w:rFonts w:ascii="Times New Roman" w:hAnsi="Times New Roman" w:cs="Times New Roman"/>
          <w:sz w:val="26"/>
          <w:szCs w:val="26"/>
        </w:rPr>
        <w:t>:</w:t>
      </w:r>
    </w:p>
    <w:p w14:paraId="41D53532" w14:textId="77777777" w:rsidR="00A706CB" w:rsidRPr="00F562A8"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расстояние объекта до центра населенного пункта: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2B668A78" w14:textId="4DF6D65F" w:rsidR="00A706CB"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центральное теплоснабжение: Х</w:t>
      </w:r>
      <w:r w:rsidRPr="00F562A8">
        <w:rPr>
          <w:rFonts w:ascii="Times New Roman" w:hAnsi="Times New Roman" w:cs="Times New Roman"/>
          <w:sz w:val="26"/>
          <w:szCs w:val="26"/>
          <w:vertAlign w:val="subscript"/>
        </w:rPr>
        <w:t>1</w:t>
      </w:r>
      <w:r>
        <w:rPr>
          <w:rFonts w:ascii="Times New Roman" w:hAnsi="Times New Roman" w:cs="Times New Roman"/>
          <w:sz w:val="26"/>
          <w:szCs w:val="26"/>
        </w:rPr>
        <w:t>;</w:t>
      </w:r>
    </w:p>
    <w:p w14:paraId="18B05376" w14:textId="31679550" w:rsidR="00A706CB" w:rsidRPr="00F562A8"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н</w:t>
      </w:r>
      <w:r w:rsidRPr="00A706CB">
        <w:rPr>
          <w:rFonts w:ascii="Times New Roman" w:hAnsi="Times New Roman" w:cs="Times New Roman"/>
          <w:sz w:val="26"/>
          <w:szCs w:val="26"/>
        </w:rPr>
        <w:t>аличие подъездных путей с твердым покрытием</w:t>
      </w:r>
      <w:r w:rsidRPr="00F562A8">
        <w:rPr>
          <w:rFonts w:ascii="Times New Roman" w:hAnsi="Times New Roman" w:cs="Times New Roman"/>
          <w:sz w:val="26"/>
          <w:szCs w:val="26"/>
        </w:rPr>
        <w:t>: Х</w:t>
      </w:r>
      <w:r>
        <w:rPr>
          <w:rFonts w:ascii="Times New Roman" w:hAnsi="Times New Roman" w:cs="Times New Roman"/>
          <w:sz w:val="26"/>
          <w:szCs w:val="26"/>
          <w:vertAlign w:val="subscript"/>
        </w:rPr>
        <w:t>2</w:t>
      </w:r>
      <w:r w:rsidR="00DA7233">
        <w:rPr>
          <w:rFonts w:ascii="Times New Roman" w:hAnsi="Times New Roman" w:cs="Times New Roman"/>
          <w:sz w:val="26"/>
          <w:szCs w:val="26"/>
        </w:rPr>
        <w:t>.</w:t>
      </w:r>
    </w:p>
    <w:p w14:paraId="17DAE621" w14:textId="77777777" w:rsidR="00A706CB" w:rsidRPr="00F562A8"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43BB2CDF" w14:textId="77777777" w:rsidR="00A706CB" w:rsidRPr="00F562A8"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7EB53948" w14:textId="5A1CA12D" w:rsidR="00A706CB" w:rsidRPr="00F562A8"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597DFF">
        <w:rPr>
          <w:rFonts w:ascii="Times New Roman" w:hAnsi="Times New Roman" w:cs="Times New Roman"/>
          <w:sz w:val="26"/>
          <w:szCs w:val="26"/>
        </w:rPr>
        <w:t>тре</w:t>
      </w:r>
      <w:r w:rsidRPr="00F562A8">
        <w:rPr>
          <w:rFonts w:ascii="Times New Roman" w:hAnsi="Times New Roman" w:cs="Times New Roman"/>
          <w:sz w:val="26"/>
          <w:szCs w:val="26"/>
        </w:rPr>
        <w:t>хфакторные модели:</w:t>
      </w:r>
    </w:p>
    <w:p w14:paraId="096369EF" w14:textId="77777777" w:rsidR="00A706CB" w:rsidRPr="00F562A8" w:rsidRDefault="00A706CB" w:rsidP="00A706CB">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23534255" wp14:editId="4C248F38">
            <wp:extent cx="2209800" cy="247650"/>
            <wp:effectExtent l="0" t="0" r="0" b="0"/>
            <wp:docPr id="279" name="Рисунок 279"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45E3A328" w14:textId="77777777" w:rsidR="00A706CB" w:rsidRPr="00F562A8"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3197371A" wp14:editId="1129BF88">
            <wp:extent cx="1352550" cy="266700"/>
            <wp:effectExtent l="0" t="0" r="0" b="0"/>
            <wp:docPr id="280" name="Рисунок 280"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48F70B40" w14:textId="77777777" w:rsidR="00A706CB" w:rsidRPr="00F562A8"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09A58B24" wp14:editId="2ED7A98A">
            <wp:extent cx="1266825" cy="266700"/>
            <wp:effectExtent l="0" t="0" r="0" b="0"/>
            <wp:docPr id="281" name="Рисунок 281"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4877684C" w14:textId="77777777" w:rsidR="00A706CB" w:rsidRPr="00F562A8"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27E9017B"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30EA854E"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228FD539" wp14:editId="02F3A721">
            <wp:extent cx="209550" cy="247650"/>
            <wp:effectExtent l="0" t="0" r="0" b="0"/>
            <wp:docPr id="282" name="Рисунок 282"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585F5209" wp14:editId="5BDB1430">
            <wp:extent cx="200025" cy="247650"/>
            <wp:effectExtent l="0" t="0" r="9525" b="0"/>
            <wp:docPr id="289" name="Рисунок 289"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7EA25C03" wp14:editId="35B0D27B">
            <wp:extent cx="209550" cy="247650"/>
            <wp:effectExtent l="0" t="0" r="0" b="0"/>
            <wp:docPr id="290" name="Рисунок 290"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3008CEF7" w14:textId="48DFF0F3" w:rsidR="00A706CB" w:rsidRPr="00F562A8" w:rsidRDefault="00DA7233" w:rsidP="00A706CB">
      <w:pPr>
        <w:spacing w:after="0" w:line="276" w:lineRule="auto"/>
        <w:jc w:val="center"/>
        <w:rPr>
          <w:rFonts w:ascii="Times New Roman" w:hAnsi="Times New Roman" w:cs="Times New Roman"/>
          <w:lang w:val="en-US"/>
        </w:rPr>
      </w:pPr>
      <w:r w:rsidRPr="00C5657E">
        <w:rPr>
          <w:noProof/>
          <w:lang w:eastAsia="ru-RU"/>
        </w:rPr>
        <w:drawing>
          <wp:inline distT="0" distB="0" distL="0" distR="0" wp14:anchorId="5CFD0BE1" wp14:editId="19F0E077">
            <wp:extent cx="5939790" cy="975256"/>
            <wp:effectExtent l="0" t="0" r="381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5939790" cy="975256"/>
                    </a:xfrm>
                    <a:prstGeom prst="rect">
                      <a:avLst/>
                    </a:prstGeom>
                  </pic:spPr>
                </pic:pic>
              </a:graphicData>
            </a:graphic>
          </wp:inline>
        </w:drawing>
      </w:r>
    </w:p>
    <w:p w14:paraId="5CF89419" w14:textId="3A6B99BB" w:rsidR="00A706CB" w:rsidRPr="00F562A8" w:rsidRDefault="00A706CB" w:rsidP="00A706CB">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F10BEE">
        <w:rPr>
          <w:rFonts w:ascii="Times New Roman" w:hAnsi="Times New Roman" w:cs="Times New Roman"/>
          <w:sz w:val="26"/>
          <w:szCs w:val="26"/>
        </w:rPr>
        <w:t>6</w:t>
      </w:r>
      <w:r w:rsidRPr="00F562A8">
        <w:rPr>
          <w:rFonts w:ascii="Times New Roman" w:hAnsi="Times New Roman" w:cs="Times New Roman"/>
          <w:sz w:val="26"/>
          <w:szCs w:val="26"/>
        </w:rPr>
        <w:t>.</w:t>
      </w:r>
      <w:r w:rsidR="00F10BEE">
        <w:rPr>
          <w:rFonts w:ascii="Times New Roman" w:hAnsi="Times New Roman" w:cs="Times New Roman"/>
          <w:sz w:val="26"/>
          <w:szCs w:val="26"/>
        </w:rPr>
        <w:t>6</w:t>
      </w:r>
      <w:r>
        <w:rPr>
          <w:rFonts w:ascii="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w:t>
      </w:r>
      <w:r w:rsidR="00597DFF">
        <w:rPr>
          <w:rFonts w:ascii="Times New Roman" w:hAnsi="Times New Roman" w:cs="Times New Roman"/>
          <w:sz w:val="26"/>
          <w:szCs w:val="26"/>
        </w:rPr>
        <w:t>трех</w:t>
      </w:r>
      <w:r w:rsidRPr="00F562A8">
        <w:rPr>
          <w:rFonts w:ascii="Times New Roman" w:hAnsi="Times New Roman" w:cs="Times New Roman"/>
          <w:sz w:val="26"/>
          <w:szCs w:val="26"/>
        </w:rPr>
        <w:t>факторные модели</w:t>
      </w:r>
    </w:p>
    <w:p w14:paraId="47567007" w14:textId="3DB828AE"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5A149A6D"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6375384A"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22FD4FEB"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6AEFA676"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06D1F0A3"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3F0942C1"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6152C007"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3E9DA52F" w14:textId="7392B5E2" w:rsidR="00A706CB" w:rsidRPr="00F562A8" w:rsidRDefault="00A52574" w:rsidP="00A52574">
      <w:pPr>
        <w:spacing w:after="0" w:line="276" w:lineRule="auto"/>
        <w:jc w:val="center"/>
        <w:rPr>
          <w:rFonts w:ascii="Times New Roman" w:hAnsi="Times New Roman" w:cs="Times New Roman"/>
        </w:rPr>
      </w:pPr>
      <w:r w:rsidRPr="004549AF">
        <w:rPr>
          <w:noProof/>
          <w:lang w:eastAsia="ru-RU"/>
        </w:rPr>
        <w:drawing>
          <wp:inline distT="0" distB="0" distL="0" distR="0" wp14:anchorId="2213C87E" wp14:editId="5B6DED18">
            <wp:extent cx="5981925" cy="1339702"/>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5"/>
                    <a:srcRect r="7591"/>
                    <a:stretch/>
                  </pic:blipFill>
                  <pic:spPr bwMode="auto">
                    <a:xfrm>
                      <a:off x="0" y="0"/>
                      <a:ext cx="6016297" cy="1347400"/>
                    </a:xfrm>
                    <a:prstGeom prst="rect">
                      <a:avLst/>
                    </a:prstGeom>
                    <a:ln>
                      <a:noFill/>
                    </a:ln>
                    <a:extLst>
                      <a:ext uri="{53640926-AAD7-44D8-BBD7-CCE9431645EC}">
                        <a14:shadowObscured xmlns:a14="http://schemas.microsoft.com/office/drawing/2010/main"/>
                      </a:ext>
                    </a:extLst>
                  </pic:spPr>
                </pic:pic>
              </a:graphicData>
            </a:graphic>
          </wp:inline>
        </w:drawing>
      </w:r>
    </w:p>
    <w:p w14:paraId="40D6D158" w14:textId="3EAFD12E" w:rsidR="00A706CB" w:rsidRPr="00F562A8" w:rsidRDefault="00A706CB" w:rsidP="00A706CB">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F10BEE">
        <w:rPr>
          <w:rFonts w:ascii="Times New Roman" w:hAnsi="Times New Roman" w:cs="Times New Roman"/>
          <w:sz w:val="26"/>
          <w:szCs w:val="26"/>
        </w:rPr>
        <w:t>6</w:t>
      </w:r>
      <w:r w:rsidRPr="00F562A8">
        <w:rPr>
          <w:rFonts w:ascii="Times New Roman" w:hAnsi="Times New Roman" w:cs="Times New Roman"/>
          <w:sz w:val="26"/>
          <w:szCs w:val="26"/>
        </w:rPr>
        <w:t>.</w:t>
      </w:r>
      <w:r w:rsidR="00F10BEE">
        <w:rPr>
          <w:rFonts w:ascii="Times New Roman" w:hAnsi="Times New Roman" w:cs="Times New Roman"/>
          <w:sz w:val="26"/>
          <w:szCs w:val="26"/>
        </w:rPr>
        <w:t>6</w:t>
      </w:r>
      <w:r>
        <w:rPr>
          <w:rFonts w:ascii="Times New Roman" w:hAnsi="Times New Roman" w:cs="Times New Roman"/>
          <w:sz w:val="26"/>
          <w:szCs w:val="26"/>
        </w:rPr>
        <w:t>.</w:t>
      </w:r>
      <w:r w:rsidRPr="00F562A8">
        <w:rPr>
          <w:rFonts w:ascii="Times New Roman" w:hAnsi="Times New Roman" w:cs="Times New Roman"/>
          <w:sz w:val="26"/>
          <w:szCs w:val="26"/>
        </w:rPr>
        <w:t>2 -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0C29EB92"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3F3F0845" w14:textId="77777777" w:rsidR="00A706CB" w:rsidRPr="00F562A8" w:rsidRDefault="00A706CB" w:rsidP="00A706CB">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702D1CCD" w14:textId="77777777" w:rsidR="00A706CB" w:rsidRPr="00F562A8"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0DB6C73B" w14:textId="4C1F38C6" w:rsidR="00A706CB" w:rsidRPr="00F562A8" w:rsidRDefault="000B5E6E" w:rsidP="00A706CB">
      <w:pPr>
        <w:spacing w:after="0" w:line="276" w:lineRule="auto"/>
        <w:jc w:val="center"/>
        <w:rPr>
          <w:rFonts w:ascii="Times New Roman" w:hAnsi="Times New Roman" w:cs="Times New Roman"/>
          <w:lang w:val="en-US"/>
        </w:rPr>
      </w:pPr>
      <w:r w:rsidRPr="004549AF">
        <w:rPr>
          <w:noProof/>
          <w:lang w:eastAsia="ru-RU"/>
        </w:rPr>
        <w:drawing>
          <wp:inline distT="0" distB="0" distL="0" distR="0" wp14:anchorId="12C96E14" wp14:editId="5490A538">
            <wp:extent cx="3077004" cy="1019317"/>
            <wp:effectExtent l="0" t="0" r="9525"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3077004" cy="1019317"/>
                    </a:xfrm>
                    <a:prstGeom prst="rect">
                      <a:avLst/>
                    </a:prstGeom>
                  </pic:spPr>
                </pic:pic>
              </a:graphicData>
            </a:graphic>
          </wp:inline>
        </w:drawing>
      </w:r>
    </w:p>
    <w:p w14:paraId="3805E57F" w14:textId="6445E3B1" w:rsidR="00A706CB" w:rsidRPr="00F562A8" w:rsidRDefault="00A706CB" w:rsidP="00A706CB">
      <w:pPr>
        <w:spacing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 3.6.</w:t>
      </w:r>
      <w:r w:rsidR="00F10BEE">
        <w:rPr>
          <w:rFonts w:ascii="Times New Roman" w:hAnsi="Times New Roman" w:cs="Times New Roman"/>
          <w:sz w:val="26"/>
          <w:szCs w:val="26"/>
        </w:rPr>
        <w:t>6</w:t>
      </w:r>
      <w:r w:rsidRPr="00F562A8">
        <w:rPr>
          <w:rFonts w:ascii="Times New Roman" w:hAnsi="Times New Roman" w:cs="Times New Roman"/>
          <w:sz w:val="26"/>
          <w:szCs w:val="26"/>
        </w:rPr>
        <w:t>.</w:t>
      </w:r>
      <w:r w:rsidR="00F10BEE">
        <w:rPr>
          <w:rFonts w:ascii="Times New Roman" w:hAnsi="Times New Roman" w:cs="Times New Roman"/>
          <w:sz w:val="26"/>
          <w:szCs w:val="26"/>
        </w:rPr>
        <w:t>6</w:t>
      </w:r>
      <w:r>
        <w:rPr>
          <w:rFonts w:ascii="Times New Roman" w:hAnsi="Times New Roman" w:cs="Times New Roman"/>
          <w:sz w:val="26"/>
          <w:szCs w:val="26"/>
        </w:rPr>
        <w:t>.</w:t>
      </w:r>
      <w:r w:rsidRPr="00F562A8">
        <w:rPr>
          <w:rFonts w:ascii="Times New Roman" w:hAnsi="Times New Roman" w:cs="Times New Roman"/>
          <w:sz w:val="26"/>
          <w:szCs w:val="26"/>
        </w:rPr>
        <w:t>3 - Значения F-критерия Фишера</w:t>
      </w:r>
    </w:p>
    <w:p w14:paraId="5542026A" w14:textId="77777777" w:rsidR="00A706CB" w:rsidRPr="00F562A8"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60638F12" w14:textId="2623D20F" w:rsidR="00A706CB" w:rsidRPr="00F562A8" w:rsidRDefault="00A706CB" w:rsidP="00DA7233">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i/>
          <w:sz w:val="26"/>
          <w:szCs w:val="26"/>
        </w:rPr>
        <w:t xml:space="preserve">УПКС = </w:t>
      </w:r>
      <w:r w:rsidR="000B5E6E" w:rsidRPr="000B5E6E">
        <w:rPr>
          <w:rFonts w:ascii="Times New Roman" w:hAnsi="Times New Roman" w:cs="Times New Roman"/>
          <w:i/>
          <w:sz w:val="26"/>
          <w:szCs w:val="26"/>
        </w:rPr>
        <w:t>55.6188342682054*e^(+0.0000312611787565323*((38511.872+</w:t>
      </w:r>
      <w:r w:rsidR="00DA7233">
        <w:rPr>
          <w:rFonts w:ascii="Times New Roman" w:hAnsi="Times New Roman" w:cs="Times New Roman"/>
          <w:i/>
          <w:sz w:val="26"/>
          <w:szCs w:val="26"/>
        </w:rPr>
        <w:t xml:space="preserve"> </w:t>
      </w:r>
      <w:r w:rsidR="000B5E6E" w:rsidRPr="000B5E6E">
        <w:rPr>
          <w:rFonts w:ascii="Times New Roman" w:hAnsi="Times New Roman" w:cs="Times New Roman"/>
          <w:i/>
          <w:sz w:val="26"/>
          <w:szCs w:val="26"/>
        </w:rPr>
        <w:t>146.818-гнп Расстояние объекта до центра населенного пункта))+0.593245341281338*([гнп Центральное теплоснабжение])</w:t>
      </w:r>
      <w:r w:rsidR="00DA7233">
        <w:rPr>
          <w:rFonts w:ascii="Times New Roman" w:hAnsi="Times New Roman" w:cs="Times New Roman"/>
          <w:i/>
          <w:sz w:val="26"/>
          <w:szCs w:val="26"/>
        </w:rPr>
        <w:t xml:space="preserve"> </w:t>
      </w:r>
      <w:r w:rsidR="000B5E6E" w:rsidRPr="000B5E6E">
        <w:rPr>
          <w:rFonts w:ascii="Times New Roman" w:hAnsi="Times New Roman" w:cs="Times New Roman"/>
          <w:i/>
          <w:sz w:val="26"/>
          <w:szCs w:val="26"/>
        </w:rPr>
        <w:t>+1.97538542228854*([_</w:t>
      </w:r>
      <w:bookmarkStart w:id="253" w:name="_Hlk105508640"/>
      <w:r w:rsidR="000B5E6E" w:rsidRPr="000B5E6E">
        <w:rPr>
          <w:rFonts w:ascii="Times New Roman" w:hAnsi="Times New Roman" w:cs="Times New Roman"/>
          <w:i/>
          <w:sz w:val="26"/>
          <w:szCs w:val="26"/>
        </w:rPr>
        <w:t>Наличие подъездных путей с твердым покрытием</w:t>
      </w:r>
      <w:bookmarkEnd w:id="253"/>
      <w:r w:rsidR="000B5E6E" w:rsidRPr="000B5E6E">
        <w:rPr>
          <w:rFonts w:ascii="Times New Roman" w:hAnsi="Times New Roman" w:cs="Times New Roman"/>
          <w:i/>
          <w:sz w:val="26"/>
          <w:szCs w:val="26"/>
        </w:rPr>
        <w:t>]))</w:t>
      </w:r>
    </w:p>
    <w:p w14:paraId="66749B53" w14:textId="77777777" w:rsidR="00A706CB" w:rsidRPr="00F562A8"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644E7640" w14:textId="60E3F353" w:rsidR="00A706CB" w:rsidRPr="00F562A8" w:rsidRDefault="00B72310" w:rsidP="00A706CB">
      <w:pPr>
        <w:spacing w:after="0" w:line="276" w:lineRule="auto"/>
        <w:jc w:val="center"/>
        <w:rPr>
          <w:rFonts w:ascii="Times New Roman" w:hAnsi="Times New Roman" w:cs="Times New Roman"/>
          <w:i/>
          <w:szCs w:val="24"/>
        </w:rPr>
      </w:pPr>
      <w:r w:rsidRPr="004549AF">
        <w:rPr>
          <w:noProof/>
          <w:lang w:eastAsia="ru-RU"/>
        </w:rPr>
        <w:drawing>
          <wp:inline distT="0" distB="0" distL="0" distR="0" wp14:anchorId="1B7EE52E" wp14:editId="1EC40441">
            <wp:extent cx="5939790" cy="3398157"/>
            <wp:effectExtent l="0" t="0" r="381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5939790" cy="3398157"/>
                    </a:xfrm>
                    <a:prstGeom prst="rect">
                      <a:avLst/>
                    </a:prstGeom>
                  </pic:spPr>
                </pic:pic>
              </a:graphicData>
            </a:graphic>
          </wp:inline>
        </w:drawing>
      </w:r>
    </w:p>
    <w:p w14:paraId="311B5C21" w14:textId="744C467D" w:rsidR="00A706CB" w:rsidRPr="00F562A8" w:rsidRDefault="00A706CB" w:rsidP="00A706CB">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F10BEE">
        <w:rPr>
          <w:rFonts w:ascii="Times New Roman" w:hAnsi="Times New Roman" w:cs="Times New Roman"/>
          <w:sz w:val="26"/>
          <w:szCs w:val="26"/>
        </w:rPr>
        <w:t>6</w:t>
      </w:r>
      <w:r w:rsidRPr="00F562A8">
        <w:rPr>
          <w:rFonts w:ascii="Times New Roman" w:hAnsi="Times New Roman" w:cs="Times New Roman"/>
          <w:sz w:val="26"/>
          <w:szCs w:val="26"/>
        </w:rPr>
        <w:t>.</w:t>
      </w:r>
      <w:r w:rsidR="00F10BEE">
        <w:rPr>
          <w:rFonts w:ascii="Times New Roman" w:hAnsi="Times New Roman" w:cs="Times New Roman"/>
          <w:sz w:val="26"/>
          <w:szCs w:val="26"/>
        </w:rPr>
        <w:t>6</w:t>
      </w:r>
      <w:r>
        <w:rPr>
          <w:rFonts w:ascii="Times New Roman" w:hAnsi="Times New Roman" w:cs="Times New Roman"/>
          <w:sz w:val="26"/>
          <w:szCs w:val="26"/>
        </w:rPr>
        <w:t>.</w:t>
      </w:r>
      <w:r w:rsidRPr="00F562A8">
        <w:rPr>
          <w:rFonts w:ascii="Times New Roman" w:hAnsi="Times New Roman" w:cs="Times New Roman"/>
          <w:sz w:val="26"/>
          <w:szCs w:val="26"/>
        </w:rPr>
        <w:t>4 - Характеристика экспоненциальной модели и анализ качества выборки</w:t>
      </w:r>
    </w:p>
    <w:p w14:paraId="01AA2087" w14:textId="099C6750" w:rsidR="00A706CB" w:rsidRDefault="00A706CB" w:rsidP="00A706CB">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Как видно из статистических показателей, представленных выше, все коэффициенты регрессионной модели значимые. Связь между фактором </w:t>
      </w:r>
      <w:r w:rsidR="002748F6" w:rsidRPr="00F562A8">
        <w:rPr>
          <w:rFonts w:ascii="Times New Roman" w:hAnsi="Times New Roman" w:cs="Times New Roman"/>
          <w:sz w:val="26"/>
          <w:szCs w:val="26"/>
        </w:rPr>
        <w:t>Х</w:t>
      </w:r>
      <w:r w:rsidR="002748F6" w:rsidRPr="00F562A8">
        <w:rPr>
          <w:rFonts w:ascii="Times New Roman" w:hAnsi="Times New Roman" w:cs="Times New Roman"/>
          <w:sz w:val="26"/>
          <w:szCs w:val="26"/>
          <w:vertAlign w:val="subscript"/>
        </w:rPr>
        <w:t>0</w:t>
      </w:r>
      <w:r w:rsidR="002748F6">
        <w:rPr>
          <w:rFonts w:ascii="Times New Roman" w:hAnsi="Times New Roman" w:cs="Times New Roman"/>
          <w:sz w:val="26"/>
          <w:szCs w:val="26"/>
          <w:vertAlign w:val="subscript"/>
        </w:rPr>
        <w:t xml:space="preserve"> </w:t>
      </w:r>
      <w:r w:rsidRPr="00F562A8">
        <w:rPr>
          <w:rFonts w:ascii="Times New Roman" w:hAnsi="Times New Roman" w:cs="Times New Roman"/>
          <w:sz w:val="26"/>
          <w:szCs w:val="26"/>
        </w:rPr>
        <w:t>и кадастровой стоимостью обратная, то есть при росте этого фактора кадастровая стоимость уменьшается. Малые значения средней ошибки аппроксимации и среднеквадратической ошибки оценки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70625AB2" w14:textId="7E67A287" w:rsidR="00690253" w:rsidRDefault="00690253" w:rsidP="00A706CB">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При построении модели были использованны аналоги с различными площадями. Максимальная площадь аналога, используемого в модели равна 130 000 кв.м. Для объектов оцени, привышающих площадь 130 000 кв.м применяется поправка на площадь</w:t>
      </w:r>
      <w:r w:rsidR="006362DC">
        <w:rPr>
          <w:rFonts w:ascii="Times New Roman" w:hAnsi="Times New Roman" w:cs="Times New Roman"/>
          <w:sz w:val="26"/>
          <w:szCs w:val="26"/>
        </w:rPr>
        <w:t>, на основании среднего значения коэффициента торможения (-0,190).</w:t>
      </w:r>
    </w:p>
    <w:p w14:paraId="1665AF8B" w14:textId="6738E175" w:rsidR="00690253" w:rsidRDefault="00690253" w:rsidP="00A706CB">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Корректировка взята на основании </w:t>
      </w:r>
      <w:r w:rsidR="008153A1">
        <w:rPr>
          <w:rFonts w:ascii="Times New Roman" w:hAnsi="Times New Roman" w:cs="Times New Roman"/>
          <w:sz w:val="26"/>
          <w:szCs w:val="26"/>
        </w:rPr>
        <w:t>«</w:t>
      </w:r>
      <w:r>
        <w:rPr>
          <w:rFonts w:ascii="Times New Roman" w:hAnsi="Times New Roman" w:cs="Times New Roman"/>
          <w:sz w:val="26"/>
          <w:szCs w:val="26"/>
        </w:rPr>
        <w:t>Справочника оценщика недвижимости, Лейфер 2020</w:t>
      </w:r>
      <w:r w:rsidR="008153A1">
        <w:rPr>
          <w:rFonts w:ascii="Times New Roman" w:hAnsi="Times New Roman" w:cs="Times New Roman"/>
          <w:sz w:val="26"/>
          <w:szCs w:val="26"/>
        </w:rPr>
        <w:t>».</w:t>
      </w:r>
    </w:p>
    <w:p w14:paraId="5AC4A816" w14:textId="0532CF59" w:rsidR="00690253" w:rsidRDefault="006362DC" w:rsidP="006362DC">
      <w:pPr>
        <w:spacing w:after="0" w:line="276" w:lineRule="auto"/>
        <w:ind w:firstLine="709"/>
        <w:jc w:val="center"/>
        <w:rPr>
          <w:rFonts w:ascii="Times New Roman" w:hAnsi="Times New Roman" w:cs="Times New Roman"/>
          <w:sz w:val="26"/>
          <w:szCs w:val="26"/>
        </w:rPr>
      </w:pPr>
      <w:r w:rsidRPr="006362DC">
        <w:rPr>
          <w:rFonts w:ascii="Times New Roman" w:hAnsi="Times New Roman" w:cs="Times New Roman"/>
          <w:noProof/>
          <w:sz w:val="26"/>
          <w:szCs w:val="26"/>
          <w:lang w:eastAsia="ru-RU"/>
        </w:rPr>
        <w:drawing>
          <wp:inline distT="0" distB="0" distL="0" distR="0" wp14:anchorId="3FAA068C" wp14:editId="124B99E9">
            <wp:extent cx="3740223" cy="2800543"/>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8"/>
                    <a:srcRect b="31045"/>
                    <a:stretch/>
                  </pic:blipFill>
                  <pic:spPr bwMode="auto">
                    <a:xfrm>
                      <a:off x="0" y="0"/>
                      <a:ext cx="3743716" cy="2803158"/>
                    </a:xfrm>
                    <a:prstGeom prst="rect">
                      <a:avLst/>
                    </a:prstGeom>
                    <a:ln>
                      <a:noFill/>
                    </a:ln>
                    <a:extLst>
                      <a:ext uri="{53640926-AAD7-44D8-BBD7-CCE9431645EC}">
                        <a14:shadowObscured xmlns:a14="http://schemas.microsoft.com/office/drawing/2010/main"/>
                      </a:ext>
                    </a:extLst>
                  </pic:spPr>
                </pic:pic>
              </a:graphicData>
            </a:graphic>
          </wp:inline>
        </w:drawing>
      </w:r>
    </w:p>
    <w:p w14:paraId="09492EE0" w14:textId="0C2E2E1B" w:rsidR="005A5CF5" w:rsidRPr="00723D8C" w:rsidRDefault="005A5CF5" w:rsidP="006362DC">
      <w:pPr>
        <w:spacing w:after="0" w:line="276" w:lineRule="auto"/>
        <w:ind w:firstLine="709"/>
        <w:jc w:val="center"/>
        <w:rPr>
          <w:rFonts w:ascii="Times New Roman" w:hAnsi="Times New Roman" w:cs="Times New Roman"/>
          <w:sz w:val="28"/>
          <w:szCs w:val="26"/>
        </w:rPr>
      </w:pPr>
      <w:r w:rsidRPr="00723D8C">
        <w:rPr>
          <w:rFonts w:ascii="Times New Roman" w:hAnsi="Times New Roman" w:cs="Times New Roman"/>
          <w:i/>
          <w:noProof/>
          <w:sz w:val="20"/>
          <w:szCs w:val="18"/>
        </w:rPr>
        <w:t>Источник: «Справочника оценщика недвижимости-2020. Земельные участки. Часть 2», под ред. Лейфера Л. А. стр. 1</w:t>
      </w:r>
      <w:r w:rsidR="008153A1" w:rsidRPr="00723D8C">
        <w:rPr>
          <w:rFonts w:ascii="Times New Roman" w:hAnsi="Times New Roman" w:cs="Times New Roman"/>
          <w:i/>
          <w:noProof/>
          <w:sz w:val="20"/>
          <w:szCs w:val="18"/>
        </w:rPr>
        <w:t>22</w:t>
      </w:r>
      <w:r w:rsidRPr="00723D8C">
        <w:rPr>
          <w:rFonts w:ascii="Times New Roman" w:hAnsi="Times New Roman" w:cs="Times New Roman"/>
          <w:i/>
          <w:noProof/>
          <w:sz w:val="20"/>
          <w:szCs w:val="18"/>
        </w:rPr>
        <w:t xml:space="preserve">. </w:t>
      </w:r>
    </w:p>
    <w:p w14:paraId="55DA2E1E" w14:textId="77777777" w:rsidR="007111F5" w:rsidRDefault="007111F5" w:rsidP="00A706CB">
      <w:pPr>
        <w:spacing w:after="0" w:line="276" w:lineRule="auto"/>
        <w:ind w:firstLine="709"/>
        <w:jc w:val="both"/>
        <w:rPr>
          <w:rFonts w:ascii="Times New Roman" w:hAnsi="Times New Roman" w:cs="Times New Roman"/>
          <w:bCs/>
          <w:color w:val="000000" w:themeColor="text1"/>
          <w:sz w:val="26"/>
          <w:szCs w:val="26"/>
        </w:rPr>
      </w:pPr>
    </w:p>
    <w:p w14:paraId="76AE99E8" w14:textId="6FD83E47" w:rsidR="00A706CB" w:rsidRDefault="007111F5" w:rsidP="00A706CB">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501C774C" w14:textId="2F29808A" w:rsidR="007335EB" w:rsidRDefault="007335EB" w:rsidP="00A706CB">
      <w:pPr>
        <w:spacing w:after="0" w:line="276" w:lineRule="auto"/>
        <w:ind w:firstLine="709"/>
        <w:jc w:val="both"/>
        <w:rPr>
          <w:rFonts w:ascii="Times New Roman" w:eastAsiaTheme="minorEastAsia" w:hAnsi="Times New Roman" w:cs="Times New Roman"/>
          <w:sz w:val="26"/>
          <w:szCs w:val="26"/>
        </w:rPr>
      </w:pPr>
    </w:p>
    <w:p w14:paraId="28FF1F10" w14:textId="36CE313D" w:rsidR="00690253" w:rsidRPr="00F562A8" w:rsidRDefault="00690253" w:rsidP="00690253">
      <w:pPr>
        <w:pStyle w:val="ab"/>
        <w:ind w:left="0"/>
        <w:jc w:val="center"/>
        <w:outlineLvl w:val="2"/>
        <w:rPr>
          <w:rFonts w:ascii="Times New Roman" w:hAnsi="Times New Roman" w:cs="Times New Roman"/>
          <w:i/>
          <w:sz w:val="26"/>
          <w:szCs w:val="26"/>
        </w:rPr>
      </w:pPr>
      <w:bookmarkStart w:id="254" w:name="_Toc110506998"/>
      <w:r w:rsidRPr="00DC7772">
        <w:rPr>
          <w:rFonts w:ascii="Times New Roman" w:hAnsi="Times New Roman" w:cs="Times New Roman"/>
          <w:i/>
          <w:sz w:val="26"/>
          <w:szCs w:val="26"/>
        </w:rPr>
        <w:t>3.6.6.</w:t>
      </w:r>
      <w:r w:rsidR="00C574FC" w:rsidRPr="00DC7772">
        <w:rPr>
          <w:rFonts w:ascii="Times New Roman" w:hAnsi="Times New Roman" w:cs="Times New Roman"/>
          <w:i/>
          <w:sz w:val="26"/>
          <w:szCs w:val="26"/>
        </w:rPr>
        <w:t>7</w:t>
      </w:r>
      <w:r w:rsidRPr="00DC7772">
        <w:rPr>
          <w:rFonts w:ascii="Times New Roman" w:hAnsi="Times New Roman" w:cs="Times New Roman"/>
          <w:i/>
          <w:sz w:val="26"/>
          <w:szCs w:val="26"/>
        </w:rPr>
        <w:t>. Расчет</w:t>
      </w:r>
      <w:r w:rsidRPr="00F562A8">
        <w:rPr>
          <w:rFonts w:ascii="Times New Roman" w:hAnsi="Times New Roman" w:cs="Times New Roman"/>
          <w:i/>
          <w:sz w:val="26"/>
          <w:szCs w:val="26"/>
        </w:rPr>
        <w:t xml:space="preserve"> кадастровой стоимости земельных участков группы </w:t>
      </w:r>
      <w:r w:rsidR="00533CF0" w:rsidRPr="00983D64">
        <w:rPr>
          <w:rFonts w:ascii="Times New Roman" w:hAnsi="Times New Roman" w:cs="Times New Roman"/>
          <w:i/>
          <w:sz w:val="26"/>
          <w:szCs w:val="26"/>
        </w:rPr>
        <w:t>ПРОИЗВОДСТВО</w:t>
      </w:r>
      <w:r w:rsidR="00533CF0">
        <w:rPr>
          <w:rFonts w:ascii="Times New Roman" w:hAnsi="Times New Roman" w:cs="Times New Roman"/>
          <w:i/>
          <w:sz w:val="26"/>
          <w:szCs w:val="26"/>
        </w:rPr>
        <w:t>/</w:t>
      </w:r>
      <w:r w:rsidRPr="00D45BC3">
        <w:rPr>
          <w:rFonts w:ascii="Times New Roman" w:hAnsi="Times New Roman" w:cs="Times New Roman"/>
          <w:i/>
          <w:sz w:val="26"/>
          <w:szCs w:val="26"/>
        </w:rPr>
        <w:t>ПРОМ/</w:t>
      </w:r>
      <w:r w:rsidRPr="00690253">
        <w:rPr>
          <w:rFonts w:ascii="Times New Roman" w:hAnsi="Times New Roman" w:cs="Times New Roman"/>
          <w:i/>
          <w:sz w:val="26"/>
          <w:szCs w:val="26"/>
        </w:rPr>
        <w:t>Воронеж КОММ</w:t>
      </w:r>
      <w:bookmarkEnd w:id="254"/>
    </w:p>
    <w:p w14:paraId="4F84A7E3" w14:textId="2CAB05C9" w:rsidR="007335EB" w:rsidRPr="00F562A8" w:rsidRDefault="007335EB" w:rsidP="007335EB">
      <w:pPr>
        <w:spacing w:after="0" w:line="276" w:lineRule="auto"/>
        <w:ind w:firstLine="709"/>
        <w:jc w:val="both"/>
        <w:rPr>
          <w:rFonts w:ascii="Times New Roman"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7415DAA6" w14:textId="746A4050" w:rsidR="007335EB" w:rsidRPr="001E6A8D" w:rsidRDefault="007335EB" w:rsidP="007335EB">
      <w:pPr>
        <w:spacing w:after="0" w:line="276" w:lineRule="auto"/>
        <w:ind w:firstLine="709"/>
        <w:contextualSpacing/>
        <w:jc w:val="both"/>
        <w:rPr>
          <w:rFonts w:ascii="Times New Roman" w:eastAsia="Calibri" w:hAnsi="Times New Roman" w:cs="Times New Roman"/>
          <w:sz w:val="26"/>
          <w:szCs w:val="26"/>
        </w:rPr>
      </w:pPr>
      <w:r w:rsidRPr="001E6A8D">
        <w:rPr>
          <w:rFonts w:ascii="Times New Roman" w:eastAsia="Calibri" w:hAnsi="Times New Roman" w:cs="Times New Roman"/>
          <w:sz w:val="26"/>
          <w:szCs w:val="26"/>
        </w:rPr>
        <w:t xml:space="preserve">Земельные участки, отнесенные в группу </w:t>
      </w:r>
      <w:r w:rsidR="003A06F9" w:rsidRPr="003A06F9">
        <w:rPr>
          <w:rFonts w:ascii="Times New Roman" w:eastAsia="Calibri" w:hAnsi="Times New Roman" w:cs="Times New Roman"/>
          <w:sz w:val="26"/>
          <w:szCs w:val="26"/>
        </w:rPr>
        <w:t>ПРОИЗВОДСТВО/ПРОМ/Воронеж КОММ</w:t>
      </w:r>
      <w:r w:rsidRPr="001E6A8D">
        <w:rPr>
          <w:rFonts w:ascii="Times New Roman" w:eastAsia="Calibri" w:hAnsi="Times New Roman" w:cs="Times New Roman"/>
          <w:sz w:val="26"/>
          <w:szCs w:val="26"/>
        </w:rPr>
        <w:t xml:space="preserve">, </w:t>
      </w:r>
      <w:r w:rsidR="002D08EF">
        <w:rPr>
          <w:rFonts w:ascii="Times New Roman" w:eastAsia="Calibri" w:hAnsi="Times New Roman" w:cs="Times New Roman"/>
          <w:sz w:val="26"/>
          <w:szCs w:val="26"/>
        </w:rPr>
        <w:t>с кодом вид</w:t>
      </w:r>
      <w:r w:rsidR="00E03B40">
        <w:rPr>
          <w:rFonts w:ascii="Times New Roman" w:eastAsia="Calibri" w:hAnsi="Times New Roman" w:cs="Times New Roman"/>
          <w:sz w:val="26"/>
          <w:szCs w:val="26"/>
        </w:rPr>
        <w:t>а</w:t>
      </w:r>
      <w:r w:rsidR="002D08EF">
        <w:rPr>
          <w:rFonts w:ascii="Times New Roman" w:eastAsia="Calibri" w:hAnsi="Times New Roman" w:cs="Times New Roman"/>
          <w:sz w:val="26"/>
          <w:szCs w:val="26"/>
        </w:rPr>
        <w:t xml:space="preserve"> рас</w:t>
      </w:r>
      <w:r w:rsidR="00E03B40">
        <w:rPr>
          <w:rFonts w:ascii="Times New Roman" w:eastAsia="Calibri" w:hAnsi="Times New Roman" w:cs="Times New Roman"/>
          <w:sz w:val="26"/>
          <w:szCs w:val="26"/>
        </w:rPr>
        <w:t>чета</w:t>
      </w:r>
      <w:r w:rsidR="002D08EF">
        <w:rPr>
          <w:rFonts w:ascii="Times New Roman" w:eastAsia="Calibri" w:hAnsi="Times New Roman" w:cs="Times New Roman"/>
          <w:sz w:val="26"/>
          <w:szCs w:val="26"/>
        </w:rPr>
        <w:t xml:space="preserve"> </w:t>
      </w:r>
      <w:r w:rsidR="002D08EF" w:rsidRPr="002D08EF">
        <w:rPr>
          <w:rFonts w:ascii="Times New Roman" w:eastAsia="Calibri" w:hAnsi="Times New Roman" w:cs="Times New Roman"/>
          <w:sz w:val="26"/>
          <w:szCs w:val="26"/>
        </w:rPr>
        <w:t>03:012, 07:051</w:t>
      </w:r>
      <w:r w:rsidR="002D08EF">
        <w:rPr>
          <w:rFonts w:ascii="Times New Roman" w:eastAsia="Calibri" w:hAnsi="Times New Roman" w:cs="Times New Roman"/>
          <w:sz w:val="26"/>
          <w:szCs w:val="26"/>
        </w:rPr>
        <w:t xml:space="preserve">, </w:t>
      </w:r>
      <w:r w:rsidRPr="001E6A8D">
        <w:rPr>
          <w:rFonts w:ascii="Times New Roman" w:eastAsia="Calibri" w:hAnsi="Times New Roman" w:cs="Times New Roman"/>
          <w:sz w:val="26"/>
          <w:szCs w:val="26"/>
        </w:rPr>
        <w:t xml:space="preserve">были рассчитаны в соответствии с п. </w:t>
      </w:r>
      <w:r w:rsidR="00F310EA">
        <w:rPr>
          <w:rFonts w:ascii="Times New Roman" w:eastAsia="Calibri" w:hAnsi="Times New Roman" w:cs="Times New Roman"/>
          <w:sz w:val="26"/>
          <w:szCs w:val="26"/>
        </w:rPr>
        <w:t>45</w:t>
      </w:r>
      <w:r w:rsidRPr="001E6A8D">
        <w:rPr>
          <w:rFonts w:ascii="Times New Roman" w:eastAsia="Calibri" w:hAnsi="Times New Roman" w:cs="Times New Roman"/>
          <w:sz w:val="26"/>
          <w:szCs w:val="26"/>
        </w:rPr>
        <w:t>.2. Указаний с применением метода типового (эталонного) объекта недвижимости</w:t>
      </w:r>
      <w:r w:rsidR="002D08EF">
        <w:rPr>
          <w:rFonts w:ascii="Times New Roman" w:eastAsia="Calibri" w:hAnsi="Times New Roman" w:cs="Times New Roman"/>
          <w:sz w:val="26"/>
          <w:szCs w:val="26"/>
        </w:rPr>
        <w:t>.</w:t>
      </w:r>
    </w:p>
    <w:p w14:paraId="0571F91C" w14:textId="77777777" w:rsidR="007335EB" w:rsidRPr="001E6A8D" w:rsidRDefault="007335EB" w:rsidP="007335EB">
      <w:pPr>
        <w:spacing w:after="0" w:line="276" w:lineRule="auto"/>
        <w:ind w:firstLine="709"/>
        <w:contextualSpacing/>
        <w:jc w:val="both"/>
        <w:rPr>
          <w:rFonts w:ascii="Times New Roman" w:eastAsia="Calibri" w:hAnsi="Times New Roman" w:cs="Times New Roman"/>
          <w:sz w:val="26"/>
          <w:szCs w:val="26"/>
        </w:rPr>
      </w:pPr>
      <w:r w:rsidRPr="001E6A8D">
        <w:rPr>
          <w:rFonts w:ascii="Times New Roman" w:eastAsia="Calibri" w:hAnsi="Times New Roman" w:cs="Times New Roman"/>
          <w:sz w:val="26"/>
          <w:szCs w:val="26"/>
        </w:rPr>
        <w:t>При применении метода типового (эталонного) объекта недвижимости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 Метод типового (эталонного) объекта недвижимости предполагает следующую последовательность:</w:t>
      </w:r>
    </w:p>
    <w:p w14:paraId="006E62BE" w14:textId="77777777" w:rsidR="007335EB" w:rsidRPr="001E6A8D" w:rsidRDefault="007335EB" w:rsidP="007335EB">
      <w:pPr>
        <w:spacing w:after="0" w:line="276" w:lineRule="auto"/>
        <w:ind w:firstLine="709"/>
        <w:contextualSpacing/>
        <w:jc w:val="both"/>
        <w:rPr>
          <w:rFonts w:ascii="Times New Roman" w:eastAsia="Calibri" w:hAnsi="Times New Roman" w:cs="Times New Roman"/>
          <w:sz w:val="26"/>
          <w:szCs w:val="26"/>
        </w:rPr>
      </w:pPr>
      <w:r w:rsidRPr="001E6A8D">
        <w:rPr>
          <w:rFonts w:ascii="Times New Roman" w:eastAsia="Calibri" w:hAnsi="Times New Roman" w:cs="Times New Roman"/>
          <w:sz w:val="26"/>
          <w:szCs w:val="26"/>
        </w:rPr>
        <w:t>1) определяется группа (подгруппа) объектов недвижимости, в которой возможно (целесообразно) типологизировать объекты недвижимости;</w:t>
      </w:r>
    </w:p>
    <w:p w14:paraId="25CED603" w14:textId="77777777" w:rsidR="007335EB" w:rsidRPr="001E6A8D" w:rsidRDefault="007335EB" w:rsidP="007335EB">
      <w:pPr>
        <w:spacing w:after="0" w:line="276" w:lineRule="auto"/>
        <w:ind w:firstLine="709"/>
        <w:contextualSpacing/>
        <w:jc w:val="both"/>
        <w:rPr>
          <w:rFonts w:ascii="Times New Roman" w:eastAsia="Calibri" w:hAnsi="Times New Roman" w:cs="Times New Roman"/>
          <w:sz w:val="26"/>
          <w:szCs w:val="26"/>
        </w:rPr>
      </w:pPr>
      <w:r w:rsidRPr="001E6A8D">
        <w:rPr>
          <w:rFonts w:ascii="Times New Roman" w:eastAsia="Calibri" w:hAnsi="Times New Roman" w:cs="Times New Roman"/>
          <w:sz w:val="26"/>
          <w:szCs w:val="26"/>
        </w:rPr>
        <w:t>2) 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14:paraId="0AF4F368" w14:textId="77777777" w:rsidR="007335EB" w:rsidRPr="001E6A8D" w:rsidRDefault="007335EB" w:rsidP="007335EB">
      <w:pPr>
        <w:spacing w:after="0" w:line="276" w:lineRule="auto"/>
        <w:ind w:firstLine="709"/>
        <w:contextualSpacing/>
        <w:jc w:val="both"/>
        <w:rPr>
          <w:rFonts w:ascii="Times New Roman" w:eastAsia="Calibri" w:hAnsi="Times New Roman" w:cs="Times New Roman"/>
          <w:sz w:val="26"/>
          <w:szCs w:val="26"/>
        </w:rPr>
      </w:pPr>
      <w:r w:rsidRPr="001E6A8D">
        <w:rPr>
          <w:rFonts w:ascii="Times New Roman" w:eastAsia="Calibri" w:hAnsi="Times New Roman" w:cs="Times New Roman"/>
          <w:sz w:val="26"/>
          <w:szCs w:val="26"/>
        </w:rPr>
        <w:t>3) проводится типологизация объектов недвижимости;</w:t>
      </w:r>
    </w:p>
    <w:p w14:paraId="722A923D" w14:textId="77777777" w:rsidR="007335EB" w:rsidRPr="001E6A8D" w:rsidRDefault="007335EB" w:rsidP="007335EB">
      <w:pPr>
        <w:spacing w:after="0" w:line="276" w:lineRule="auto"/>
        <w:ind w:firstLine="709"/>
        <w:contextualSpacing/>
        <w:jc w:val="both"/>
        <w:rPr>
          <w:rFonts w:ascii="Times New Roman" w:eastAsia="Calibri" w:hAnsi="Times New Roman" w:cs="Times New Roman"/>
          <w:sz w:val="26"/>
          <w:szCs w:val="26"/>
        </w:rPr>
      </w:pPr>
      <w:r w:rsidRPr="001E6A8D">
        <w:rPr>
          <w:rFonts w:ascii="Times New Roman" w:eastAsia="Calibri" w:hAnsi="Times New Roman" w:cs="Times New Roman"/>
          <w:sz w:val="26"/>
          <w:szCs w:val="26"/>
        </w:rPr>
        <w:t>4) формируется типовой (эталонный) объект недвижимости;</w:t>
      </w:r>
    </w:p>
    <w:p w14:paraId="66393238" w14:textId="77777777" w:rsidR="007335EB" w:rsidRPr="001E6A8D" w:rsidRDefault="007335EB" w:rsidP="007335EB">
      <w:pPr>
        <w:spacing w:after="0" w:line="276" w:lineRule="auto"/>
        <w:ind w:firstLine="709"/>
        <w:contextualSpacing/>
        <w:jc w:val="both"/>
        <w:rPr>
          <w:rFonts w:ascii="Times New Roman" w:eastAsia="Calibri" w:hAnsi="Times New Roman" w:cs="Times New Roman"/>
          <w:sz w:val="26"/>
          <w:szCs w:val="26"/>
        </w:rPr>
      </w:pPr>
      <w:r w:rsidRPr="001E6A8D">
        <w:rPr>
          <w:rFonts w:ascii="Times New Roman" w:eastAsia="Calibri" w:hAnsi="Times New Roman" w:cs="Times New Roman"/>
          <w:sz w:val="26"/>
          <w:szCs w:val="26"/>
        </w:rPr>
        <w:t>5) определяется стоимость типового (эталонного) объекта недвижимости;</w:t>
      </w:r>
    </w:p>
    <w:p w14:paraId="3B4880E9" w14:textId="77777777" w:rsidR="007335EB" w:rsidRPr="001E6A8D" w:rsidRDefault="007335EB" w:rsidP="007335EB">
      <w:pPr>
        <w:spacing w:after="120" w:line="276" w:lineRule="auto"/>
        <w:ind w:firstLine="709"/>
        <w:contextualSpacing/>
        <w:jc w:val="both"/>
        <w:rPr>
          <w:rFonts w:ascii="Times New Roman" w:eastAsia="Calibri" w:hAnsi="Times New Roman" w:cs="Times New Roman"/>
          <w:sz w:val="26"/>
          <w:szCs w:val="26"/>
        </w:rPr>
      </w:pPr>
      <w:r w:rsidRPr="001E6A8D">
        <w:rPr>
          <w:rFonts w:ascii="Times New Roman" w:eastAsia="Calibri" w:hAnsi="Times New Roman" w:cs="Times New Roman"/>
          <w:sz w:val="26"/>
          <w:szCs w:val="26"/>
        </w:rPr>
        <w:t>6) корректируется стоимость объектов недвижимости при распространении на них стоимости типового (эталонного) объекта недвижимости.</w:t>
      </w:r>
    </w:p>
    <w:p w14:paraId="236E8CB2" w14:textId="77777777" w:rsidR="007335EB" w:rsidRPr="005E0D27" w:rsidRDefault="007335EB" w:rsidP="007335EB">
      <w:pPr>
        <w:spacing w:after="0" w:line="276" w:lineRule="auto"/>
        <w:ind w:firstLine="709"/>
        <w:contextualSpacing/>
        <w:jc w:val="both"/>
        <w:rPr>
          <w:rFonts w:ascii="Times New Roman" w:eastAsia="Calibri" w:hAnsi="Times New Roman" w:cs="Times New Roman"/>
          <w:sz w:val="26"/>
          <w:szCs w:val="26"/>
        </w:rPr>
      </w:pPr>
      <w:r w:rsidRPr="005E0D27">
        <w:rPr>
          <w:rFonts w:ascii="Times New Roman" w:eastAsia="Calibri" w:hAnsi="Times New Roman" w:cs="Times New Roman"/>
          <w:sz w:val="26"/>
          <w:szCs w:val="26"/>
        </w:rPr>
        <w:t xml:space="preserve">Под эталонным земельным участком понимается земельный участок, обладающий в разрезе факторов кластеризации (типологизации) наиболее вероятными характеристиками по отношению к земельным участкам, входящим в группу. При этом под наиболее вероятными характеристиками понимаются средние или наиболее часто встречающиеся характеристики земельного участка. </w:t>
      </w:r>
    </w:p>
    <w:p w14:paraId="63185F6E" w14:textId="77777777" w:rsidR="007335EB" w:rsidRPr="005E0D27" w:rsidRDefault="007335EB" w:rsidP="007335EB">
      <w:pPr>
        <w:spacing w:after="0" w:line="276" w:lineRule="auto"/>
        <w:ind w:firstLine="709"/>
        <w:contextualSpacing/>
        <w:jc w:val="both"/>
        <w:rPr>
          <w:rFonts w:ascii="Times New Roman" w:eastAsia="Calibri" w:hAnsi="Times New Roman" w:cs="Times New Roman"/>
          <w:sz w:val="16"/>
          <w:szCs w:val="16"/>
        </w:rPr>
      </w:pPr>
    </w:p>
    <w:p w14:paraId="3911E5D7" w14:textId="77777777" w:rsidR="007335EB" w:rsidRPr="005E0D27" w:rsidRDefault="007335EB" w:rsidP="007335EB">
      <w:pPr>
        <w:autoSpaceDE w:val="0"/>
        <w:autoSpaceDN w:val="0"/>
        <w:adjustRightInd w:val="0"/>
        <w:spacing w:after="0" w:line="276" w:lineRule="auto"/>
        <w:ind w:firstLine="709"/>
        <w:contextualSpacing/>
        <w:jc w:val="center"/>
        <w:rPr>
          <w:rFonts w:ascii="Times New Roman" w:eastAsia="Calibri" w:hAnsi="Times New Roman" w:cs="Times New Roman"/>
          <w:i/>
          <w:sz w:val="26"/>
          <w:szCs w:val="26"/>
        </w:rPr>
      </w:pPr>
      <w:r w:rsidRPr="005E0D27">
        <w:rPr>
          <w:rFonts w:ascii="Times New Roman" w:eastAsia="Calibri" w:hAnsi="Times New Roman" w:cs="Times New Roman"/>
          <w:i/>
          <w:sz w:val="26"/>
          <w:szCs w:val="26"/>
        </w:rPr>
        <w:t>Расчет рыночной стоимости типовых (эталонных) земельных участков</w:t>
      </w:r>
    </w:p>
    <w:p w14:paraId="7EAB2BA3" w14:textId="77777777" w:rsidR="007335EB" w:rsidRPr="005E0D27" w:rsidRDefault="007335EB" w:rsidP="007335EB">
      <w:pPr>
        <w:autoSpaceDE w:val="0"/>
        <w:autoSpaceDN w:val="0"/>
        <w:adjustRightInd w:val="0"/>
        <w:spacing w:after="0" w:line="276" w:lineRule="auto"/>
        <w:ind w:firstLine="709"/>
        <w:contextualSpacing/>
        <w:jc w:val="center"/>
        <w:rPr>
          <w:rFonts w:ascii="Times New Roman" w:eastAsia="Calibri" w:hAnsi="Times New Roman" w:cs="Times New Roman"/>
          <w:i/>
          <w:sz w:val="16"/>
          <w:szCs w:val="16"/>
        </w:rPr>
      </w:pPr>
    </w:p>
    <w:p w14:paraId="07B617CF" w14:textId="77777777" w:rsidR="007335EB" w:rsidRPr="005E0D27" w:rsidRDefault="007335EB" w:rsidP="007335EB">
      <w:pPr>
        <w:spacing w:after="0" w:line="276" w:lineRule="auto"/>
        <w:ind w:firstLine="709"/>
        <w:contextualSpacing/>
        <w:jc w:val="both"/>
        <w:rPr>
          <w:rFonts w:ascii="Times New Roman" w:eastAsia="Calibri" w:hAnsi="Times New Roman" w:cs="Times New Roman"/>
          <w:sz w:val="26"/>
          <w:szCs w:val="26"/>
        </w:rPr>
      </w:pPr>
      <w:r w:rsidRPr="005E0D27">
        <w:rPr>
          <w:rFonts w:ascii="Times New Roman" w:eastAsia="Calibri" w:hAnsi="Times New Roman" w:cs="Times New Roman"/>
          <w:sz w:val="26"/>
          <w:szCs w:val="26"/>
        </w:rPr>
        <w:t>При расчете кадастровой стоимости типовых (эталонных) земельных участков может быть использована методология любого их трех подходов к оценке:</w:t>
      </w:r>
    </w:p>
    <w:p w14:paraId="6FBC22F5" w14:textId="77777777" w:rsidR="007335EB" w:rsidRPr="005E0D27" w:rsidRDefault="007335EB" w:rsidP="00C1026B">
      <w:pPr>
        <w:numPr>
          <w:ilvl w:val="0"/>
          <w:numId w:val="12"/>
        </w:numPr>
        <w:tabs>
          <w:tab w:val="num" w:pos="360"/>
          <w:tab w:val="num" w:pos="720"/>
        </w:tabs>
        <w:autoSpaceDE w:val="0"/>
        <w:autoSpaceDN w:val="0"/>
        <w:adjustRightInd w:val="0"/>
        <w:spacing w:after="0" w:line="276" w:lineRule="auto"/>
        <w:ind w:left="360" w:firstLine="709"/>
        <w:contextualSpacing/>
        <w:jc w:val="both"/>
        <w:rPr>
          <w:rFonts w:ascii="Times New Roman" w:hAnsi="Times New Roman" w:cs="Times New Roman"/>
          <w:i/>
          <w:sz w:val="26"/>
          <w:szCs w:val="26"/>
        </w:rPr>
      </w:pPr>
      <w:r w:rsidRPr="005E0D27">
        <w:rPr>
          <w:rFonts w:ascii="Times New Roman" w:hAnsi="Times New Roman" w:cs="Times New Roman"/>
          <w:i/>
          <w:sz w:val="26"/>
          <w:szCs w:val="26"/>
        </w:rPr>
        <w:t>сравнительный подход;</w:t>
      </w:r>
    </w:p>
    <w:p w14:paraId="1F960B24" w14:textId="77777777" w:rsidR="007335EB" w:rsidRPr="005E0D27" w:rsidRDefault="007335EB" w:rsidP="00C1026B">
      <w:pPr>
        <w:numPr>
          <w:ilvl w:val="0"/>
          <w:numId w:val="12"/>
        </w:numPr>
        <w:tabs>
          <w:tab w:val="num" w:pos="360"/>
          <w:tab w:val="num" w:pos="720"/>
        </w:tabs>
        <w:autoSpaceDE w:val="0"/>
        <w:autoSpaceDN w:val="0"/>
        <w:adjustRightInd w:val="0"/>
        <w:spacing w:after="0" w:line="276" w:lineRule="auto"/>
        <w:ind w:left="360" w:firstLine="709"/>
        <w:contextualSpacing/>
        <w:jc w:val="both"/>
        <w:rPr>
          <w:rFonts w:ascii="Times New Roman" w:hAnsi="Times New Roman" w:cs="Times New Roman"/>
          <w:i/>
          <w:sz w:val="26"/>
          <w:szCs w:val="26"/>
        </w:rPr>
      </w:pPr>
      <w:r w:rsidRPr="005E0D27">
        <w:rPr>
          <w:rFonts w:ascii="Times New Roman" w:hAnsi="Times New Roman" w:cs="Times New Roman"/>
          <w:i/>
          <w:sz w:val="26"/>
          <w:szCs w:val="26"/>
        </w:rPr>
        <w:t>доходный подход;</w:t>
      </w:r>
    </w:p>
    <w:p w14:paraId="5A361A8D" w14:textId="77777777" w:rsidR="007335EB" w:rsidRPr="005E0D27" w:rsidRDefault="007335EB" w:rsidP="00C1026B">
      <w:pPr>
        <w:numPr>
          <w:ilvl w:val="0"/>
          <w:numId w:val="12"/>
        </w:numPr>
        <w:tabs>
          <w:tab w:val="num" w:pos="360"/>
          <w:tab w:val="num" w:pos="720"/>
        </w:tabs>
        <w:autoSpaceDE w:val="0"/>
        <w:autoSpaceDN w:val="0"/>
        <w:adjustRightInd w:val="0"/>
        <w:spacing w:after="0" w:line="276" w:lineRule="auto"/>
        <w:ind w:left="360" w:firstLine="709"/>
        <w:contextualSpacing/>
        <w:jc w:val="both"/>
        <w:rPr>
          <w:rFonts w:ascii="Times New Roman" w:hAnsi="Times New Roman" w:cs="Times New Roman"/>
          <w:i/>
          <w:sz w:val="26"/>
          <w:szCs w:val="26"/>
        </w:rPr>
      </w:pPr>
      <w:r w:rsidRPr="005E0D27">
        <w:rPr>
          <w:rFonts w:ascii="Times New Roman" w:hAnsi="Times New Roman" w:cs="Times New Roman"/>
          <w:i/>
          <w:sz w:val="26"/>
          <w:szCs w:val="26"/>
        </w:rPr>
        <w:t>затратный подход</w:t>
      </w:r>
    </w:p>
    <w:p w14:paraId="68A56F15" w14:textId="77777777" w:rsidR="007335EB" w:rsidRPr="005E0D27" w:rsidRDefault="007335EB" w:rsidP="007335EB">
      <w:pPr>
        <w:spacing w:after="0" w:line="276" w:lineRule="auto"/>
        <w:ind w:firstLine="709"/>
        <w:contextualSpacing/>
        <w:jc w:val="both"/>
        <w:rPr>
          <w:rFonts w:ascii="Times New Roman" w:eastAsia="Calibri" w:hAnsi="Times New Roman" w:cs="Times New Roman"/>
          <w:sz w:val="26"/>
          <w:szCs w:val="26"/>
        </w:rPr>
      </w:pPr>
      <w:r w:rsidRPr="005E0D27">
        <w:rPr>
          <w:rFonts w:ascii="Times New Roman" w:eastAsia="Calibri" w:hAnsi="Times New Roman" w:cs="Times New Roman"/>
          <w:sz w:val="26"/>
          <w:szCs w:val="26"/>
        </w:rPr>
        <w:t>Подход к оценке предоставляет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14:paraId="2DA36CFE" w14:textId="77777777" w:rsidR="007335EB" w:rsidRPr="005E0D27" w:rsidRDefault="007335EB" w:rsidP="007335EB">
      <w:pPr>
        <w:spacing w:after="0" w:line="276" w:lineRule="auto"/>
        <w:ind w:firstLine="709"/>
        <w:contextualSpacing/>
        <w:jc w:val="both"/>
        <w:rPr>
          <w:rFonts w:ascii="Times New Roman" w:eastAsia="Calibri" w:hAnsi="Times New Roman" w:cs="Times New Roman"/>
          <w:sz w:val="26"/>
          <w:szCs w:val="26"/>
        </w:rPr>
      </w:pPr>
      <w:r w:rsidRPr="005E0D27">
        <w:rPr>
          <w:rFonts w:ascii="Times New Roman" w:eastAsia="Calibri" w:hAnsi="Times New Roman" w:cs="Times New Roman"/>
          <w:sz w:val="26"/>
          <w:szCs w:val="26"/>
        </w:rPr>
        <w:t>Ниже в таблице приведено обоснование применения/отказа методов оценки в рамках различных подходов к оценке.</w:t>
      </w:r>
    </w:p>
    <w:p w14:paraId="0346D129" w14:textId="77777777" w:rsidR="00CC1C7C" w:rsidRDefault="00CC1C7C" w:rsidP="007335EB">
      <w:pPr>
        <w:autoSpaceDE w:val="0"/>
        <w:autoSpaceDN w:val="0"/>
        <w:adjustRightInd w:val="0"/>
        <w:spacing w:after="0" w:line="276" w:lineRule="auto"/>
        <w:ind w:firstLine="709"/>
        <w:jc w:val="right"/>
        <w:rPr>
          <w:rFonts w:ascii="Times New Roman" w:eastAsia="Calibri" w:hAnsi="Times New Roman" w:cs="Times New Roman"/>
          <w:sz w:val="26"/>
          <w:szCs w:val="26"/>
        </w:rPr>
      </w:pPr>
    </w:p>
    <w:p w14:paraId="0797176E" w14:textId="77777777" w:rsidR="00CC1C7C" w:rsidRDefault="00CC1C7C" w:rsidP="007335EB">
      <w:pPr>
        <w:autoSpaceDE w:val="0"/>
        <w:autoSpaceDN w:val="0"/>
        <w:adjustRightInd w:val="0"/>
        <w:spacing w:after="0" w:line="276" w:lineRule="auto"/>
        <w:ind w:firstLine="709"/>
        <w:jc w:val="right"/>
        <w:rPr>
          <w:rFonts w:ascii="Times New Roman" w:eastAsia="Calibri" w:hAnsi="Times New Roman" w:cs="Times New Roman"/>
          <w:sz w:val="26"/>
          <w:szCs w:val="26"/>
        </w:rPr>
      </w:pPr>
    </w:p>
    <w:p w14:paraId="751F92EA" w14:textId="77777777" w:rsidR="00CC1C7C" w:rsidRDefault="00CC1C7C" w:rsidP="007335EB">
      <w:pPr>
        <w:autoSpaceDE w:val="0"/>
        <w:autoSpaceDN w:val="0"/>
        <w:adjustRightInd w:val="0"/>
        <w:spacing w:after="0" w:line="276" w:lineRule="auto"/>
        <w:ind w:firstLine="709"/>
        <w:jc w:val="right"/>
        <w:rPr>
          <w:rFonts w:ascii="Times New Roman" w:eastAsia="Calibri" w:hAnsi="Times New Roman" w:cs="Times New Roman"/>
          <w:sz w:val="26"/>
          <w:szCs w:val="26"/>
        </w:rPr>
      </w:pPr>
    </w:p>
    <w:p w14:paraId="517C4EBD" w14:textId="77777777" w:rsidR="00CC1C7C" w:rsidRDefault="00CC1C7C" w:rsidP="007335EB">
      <w:pPr>
        <w:autoSpaceDE w:val="0"/>
        <w:autoSpaceDN w:val="0"/>
        <w:adjustRightInd w:val="0"/>
        <w:spacing w:after="0" w:line="276" w:lineRule="auto"/>
        <w:ind w:firstLine="709"/>
        <w:jc w:val="right"/>
        <w:rPr>
          <w:rFonts w:ascii="Times New Roman" w:eastAsia="Calibri" w:hAnsi="Times New Roman" w:cs="Times New Roman"/>
          <w:sz w:val="26"/>
          <w:szCs w:val="26"/>
        </w:rPr>
      </w:pPr>
    </w:p>
    <w:p w14:paraId="097E46A6" w14:textId="77777777" w:rsidR="00CC1C7C" w:rsidRDefault="00CC1C7C" w:rsidP="007335EB">
      <w:pPr>
        <w:autoSpaceDE w:val="0"/>
        <w:autoSpaceDN w:val="0"/>
        <w:adjustRightInd w:val="0"/>
        <w:spacing w:after="0" w:line="276" w:lineRule="auto"/>
        <w:ind w:firstLine="709"/>
        <w:jc w:val="right"/>
        <w:rPr>
          <w:rFonts w:ascii="Times New Roman" w:eastAsia="Calibri" w:hAnsi="Times New Roman" w:cs="Times New Roman"/>
          <w:sz w:val="26"/>
          <w:szCs w:val="26"/>
        </w:rPr>
      </w:pPr>
    </w:p>
    <w:p w14:paraId="722016B7" w14:textId="77777777" w:rsidR="00CC1C7C" w:rsidRDefault="00CC1C7C" w:rsidP="007335EB">
      <w:pPr>
        <w:autoSpaceDE w:val="0"/>
        <w:autoSpaceDN w:val="0"/>
        <w:adjustRightInd w:val="0"/>
        <w:spacing w:after="0" w:line="276" w:lineRule="auto"/>
        <w:ind w:firstLine="709"/>
        <w:jc w:val="right"/>
        <w:rPr>
          <w:rFonts w:ascii="Times New Roman" w:eastAsia="Calibri" w:hAnsi="Times New Roman" w:cs="Times New Roman"/>
          <w:sz w:val="26"/>
          <w:szCs w:val="26"/>
        </w:rPr>
      </w:pPr>
    </w:p>
    <w:p w14:paraId="1B1257B4" w14:textId="77777777" w:rsidR="00CC1C7C" w:rsidRDefault="00CC1C7C" w:rsidP="007335EB">
      <w:pPr>
        <w:autoSpaceDE w:val="0"/>
        <w:autoSpaceDN w:val="0"/>
        <w:adjustRightInd w:val="0"/>
        <w:spacing w:after="0" w:line="276" w:lineRule="auto"/>
        <w:ind w:firstLine="709"/>
        <w:jc w:val="center"/>
        <w:rPr>
          <w:rFonts w:ascii="Times New Roman" w:eastAsia="Calibri" w:hAnsi="Times New Roman" w:cs="Times New Roman"/>
          <w:sz w:val="26"/>
          <w:szCs w:val="26"/>
        </w:rPr>
        <w:sectPr w:rsidR="00CC1C7C" w:rsidSect="00056A98">
          <w:footerReference w:type="default" r:id="rId289"/>
          <w:type w:val="nextColumn"/>
          <w:pgSz w:w="11906" w:h="16838"/>
          <w:pgMar w:top="1134" w:right="851" w:bottom="1134" w:left="1701" w:header="708" w:footer="708" w:gutter="0"/>
          <w:cols w:space="708"/>
          <w:docGrid w:linePitch="360"/>
        </w:sectPr>
      </w:pPr>
    </w:p>
    <w:p w14:paraId="414BCC48" w14:textId="61C000E6" w:rsidR="00CC1C7C" w:rsidRPr="005E0D27" w:rsidRDefault="00CC1C7C" w:rsidP="00CC1C7C">
      <w:pPr>
        <w:autoSpaceDE w:val="0"/>
        <w:autoSpaceDN w:val="0"/>
        <w:adjustRightInd w:val="0"/>
        <w:spacing w:after="0" w:line="276" w:lineRule="auto"/>
        <w:ind w:firstLine="709"/>
        <w:jc w:val="right"/>
        <w:rPr>
          <w:rFonts w:ascii="Times New Roman" w:hAnsi="Times New Roman" w:cs="Times New Roman"/>
          <w:sz w:val="26"/>
          <w:szCs w:val="26"/>
        </w:rPr>
      </w:pPr>
      <w:r w:rsidRPr="005E0D27">
        <w:rPr>
          <w:rFonts w:ascii="Times New Roman" w:eastAsia="Calibri" w:hAnsi="Times New Roman" w:cs="Times New Roman"/>
          <w:sz w:val="26"/>
          <w:szCs w:val="26"/>
        </w:rPr>
        <w:t xml:space="preserve">Таблица </w:t>
      </w:r>
      <w:r w:rsidRPr="005E0D27">
        <w:rPr>
          <w:rFonts w:ascii="Times New Roman" w:hAnsi="Times New Roman" w:cs="Times New Roman"/>
          <w:sz w:val="26"/>
          <w:szCs w:val="26"/>
        </w:rPr>
        <w:t>3.6.</w:t>
      </w:r>
      <w:r w:rsidR="001C26DA">
        <w:rPr>
          <w:rFonts w:ascii="Times New Roman" w:hAnsi="Times New Roman" w:cs="Times New Roman"/>
          <w:sz w:val="26"/>
          <w:szCs w:val="26"/>
        </w:rPr>
        <w:t>6</w:t>
      </w:r>
      <w:r w:rsidRPr="005E0D27">
        <w:rPr>
          <w:rFonts w:ascii="Times New Roman" w:hAnsi="Times New Roman" w:cs="Times New Roman"/>
          <w:sz w:val="26"/>
          <w:szCs w:val="26"/>
        </w:rPr>
        <w:t>.</w:t>
      </w:r>
      <w:r w:rsidR="001C26DA">
        <w:rPr>
          <w:rFonts w:ascii="Times New Roman" w:hAnsi="Times New Roman" w:cs="Times New Roman"/>
          <w:sz w:val="26"/>
          <w:szCs w:val="26"/>
        </w:rPr>
        <w:t>7</w:t>
      </w:r>
    </w:p>
    <w:p w14:paraId="7B3A7FCB" w14:textId="086F14DA" w:rsidR="007335EB" w:rsidRPr="00CC1C7C" w:rsidRDefault="007335EB" w:rsidP="007335EB">
      <w:pPr>
        <w:autoSpaceDE w:val="0"/>
        <w:autoSpaceDN w:val="0"/>
        <w:adjustRightInd w:val="0"/>
        <w:spacing w:after="0" w:line="276" w:lineRule="auto"/>
        <w:ind w:firstLine="709"/>
        <w:jc w:val="center"/>
        <w:rPr>
          <w:rFonts w:ascii="Times New Roman" w:eastAsia="Calibri" w:hAnsi="Times New Roman" w:cs="Times New Roman"/>
        </w:rPr>
      </w:pPr>
      <w:r w:rsidRPr="00CC1C7C">
        <w:rPr>
          <w:rFonts w:ascii="Times New Roman" w:eastAsia="Calibri" w:hAnsi="Times New Roman" w:cs="Times New Roman"/>
        </w:rPr>
        <w:t>Выбор подходов и методов оценки типового (эталонного) земельного участка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976"/>
        <w:gridCol w:w="8777"/>
      </w:tblGrid>
      <w:tr w:rsidR="007335EB" w:rsidRPr="00CC1C7C" w14:paraId="21A3C32E" w14:textId="77777777" w:rsidTr="006F1997">
        <w:trPr>
          <w:trHeight w:val="20"/>
          <w:tblHeader/>
        </w:trPr>
        <w:tc>
          <w:tcPr>
            <w:tcW w:w="964" w:type="pct"/>
            <w:shd w:val="clear" w:color="auto" w:fill="auto"/>
            <w:vAlign w:val="center"/>
          </w:tcPr>
          <w:p w14:paraId="0E459B2A" w14:textId="77777777" w:rsidR="007335EB" w:rsidRPr="00CC1C7C" w:rsidRDefault="007335EB" w:rsidP="00944D96">
            <w:pPr>
              <w:snapToGrid w:val="0"/>
              <w:spacing w:line="276" w:lineRule="auto"/>
              <w:jc w:val="center"/>
              <w:rPr>
                <w:rFonts w:ascii="Times New Roman" w:eastAsia="Calibri" w:hAnsi="Times New Roman" w:cs="Times New Roman"/>
                <w:b/>
              </w:rPr>
            </w:pPr>
            <w:r w:rsidRPr="00CC1C7C">
              <w:rPr>
                <w:rFonts w:ascii="Times New Roman" w:eastAsia="Calibri" w:hAnsi="Times New Roman" w:cs="Times New Roman"/>
                <w:b/>
              </w:rPr>
              <w:t>Подход к оценке</w:t>
            </w:r>
          </w:p>
        </w:tc>
        <w:tc>
          <w:tcPr>
            <w:tcW w:w="1022" w:type="pct"/>
            <w:shd w:val="clear" w:color="auto" w:fill="auto"/>
            <w:vAlign w:val="center"/>
          </w:tcPr>
          <w:p w14:paraId="1F5E5D05" w14:textId="77777777" w:rsidR="007335EB" w:rsidRPr="00CC1C7C" w:rsidRDefault="007335EB" w:rsidP="00944D96">
            <w:pPr>
              <w:snapToGrid w:val="0"/>
              <w:spacing w:line="276" w:lineRule="auto"/>
              <w:jc w:val="center"/>
              <w:rPr>
                <w:rFonts w:ascii="Times New Roman" w:eastAsia="Calibri" w:hAnsi="Times New Roman" w:cs="Times New Roman"/>
                <w:b/>
              </w:rPr>
            </w:pPr>
            <w:r w:rsidRPr="00CC1C7C">
              <w:rPr>
                <w:rFonts w:ascii="Times New Roman" w:eastAsia="Calibri" w:hAnsi="Times New Roman" w:cs="Times New Roman"/>
                <w:b/>
              </w:rPr>
              <w:t>Метод оценки в рамках подхода к оценке</w:t>
            </w:r>
          </w:p>
        </w:tc>
        <w:tc>
          <w:tcPr>
            <w:tcW w:w="3014" w:type="pct"/>
            <w:shd w:val="clear" w:color="auto" w:fill="auto"/>
            <w:vAlign w:val="center"/>
          </w:tcPr>
          <w:p w14:paraId="02235C97" w14:textId="77777777" w:rsidR="007335EB" w:rsidRPr="00CC1C7C" w:rsidRDefault="007335EB" w:rsidP="00944D96">
            <w:pPr>
              <w:snapToGrid w:val="0"/>
              <w:spacing w:line="276" w:lineRule="auto"/>
              <w:jc w:val="center"/>
              <w:rPr>
                <w:rFonts w:ascii="Times New Roman" w:eastAsia="Calibri" w:hAnsi="Times New Roman" w:cs="Times New Roman"/>
                <w:b/>
              </w:rPr>
            </w:pPr>
            <w:r w:rsidRPr="00CC1C7C">
              <w:rPr>
                <w:rFonts w:ascii="Times New Roman" w:eastAsia="Calibri" w:hAnsi="Times New Roman" w:cs="Times New Roman"/>
                <w:b/>
              </w:rPr>
              <w:t>Обоснование отказа от использования подхода к оценке / Обоснование выбора примененных методов оценки в рамках подходов</w:t>
            </w:r>
          </w:p>
        </w:tc>
      </w:tr>
      <w:tr w:rsidR="007335EB" w:rsidRPr="00CC1C7C" w14:paraId="60D77B8C" w14:textId="77777777" w:rsidTr="006F1997">
        <w:trPr>
          <w:trHeight w:val="20"/>
        </w:trPr>
        <w:tc>
          <w:tcPr>
            <w:tcW w:w="964" w:type="pct"/>
            <w:vMerge w:val="restart"/>
            <w:shd w:val="clear" w:color="auto" w:fill="auto"/>
            <w:vAlign w:val="center"/>
          </w:tcPr>
          <w:p w14:paraId="228389A4" w14:textId="77777777" w:rsidR="007335EB" w:rsidRPr="00CC1C7C" w:rsidRDefault="007335EB" w:rsidP="006F1997">
            <w:pPr>
              <w:snapToGrid w:val="0"/>
              <w:spacing w:line="276" w:lineRule="auto"/>
              <w:jc w:val="both"/>
              <w:rPr>
                <w:rFonts w:ascii="Times New Roman" w:eastAsia="Calibri" w:hAnsi="Times New Roman" w:cs="Times New Roman"/>
              </w:rPr>
            </w:pPr>
            <w:r w:rsidRPr="00CC1C7C">
              <w:rPr>
                <w:rFonts w:ascii="Times New Roman" w:eastAsia="Calibri" w:hAnsi="Times New Roman" w:cs="Times New Roman"/>
              </w:rPr>
              <w:t>Доходный подход</w:t>
            </w:r>
          </w:p>
        </w:tc>
        <w:tc>
          <w:tcPr>
            <w:tcW w:w="1022" w:type="pct"/>
            <w:shd w:val="clear" w:color="auto" w:fill="auto"/>
            <w:vAlign w:val="center"/>
          </w:tcPr>
          <w:p w14:paraId="2B441F76" w14:textId="77777777" w:rsidR="007335EB" w:rsidRPr="00CC1C7C" w:rsidRDefault="007335EB" w:rsidP="006F1997">
            <w:pPr>
              <w:snapToGrid w:val="0"/>
              <w:spacing w:line="276" w:lineRule="auto"/>
              <w:jc w:val="both"/>
              <w:rPr>
                <w:rFonts w:ascii="Times New Roman" w:eastAsia="Calibri" w:hAnsi="Times New Roman" w:cs="Times New Roman"/>
              </w:rPr>
            </w:pPr>
            <w:r w:rsidRPr="00CC1C7C">
              <w:rPr>
                <w:rFonts w:ascii="Times New Roman" w:eastAsia="Calibri" w:hAnsi="Times New Roman" w:cs="Times New Roman"/>
              </w:rPr>
              <w:t>метод капитализации дохода</w:t>
            </w:r>
          </w:p>
        </w:tc>
        <w:tc>
          <w:tcPr>
            <w:tcW w:w="3014" w:type="pct"/>
            <w:shd w:val="clear" w:color="auto" w:fill="auto"/>
            <w:vAlign w:val="center"/>
          </w:tcPr>
          <w:p w14:paraId="6F77C543" w14:textId="77777777" w:rsidR="007335EB" w:rsidRPr="00CC1C7C" w:rsidRDefault="007335EB" w:rsidP="006F1997">
            <w:pPr>
              <w:snapToGrid w:val="0"/>
              <w:spacing w:line="276" w:lineRule="auto"/>
              <w:jc w:val="both"/>
              <w:rPr>
                <w:rFonts w:ascii="Times New Roman" w:eastAsia="Calibri" w:hAnsi="Times New Roman" w:cs="Times New Roman"/>
              </w:rPr>
            </w:pPr>
            <w:r w:rsidRPr="00CC1C7C">
              <w:rPr>
                <w:rFonts w:ascii="Times New Roman" w:eastAsia="Calibri" w:hAnsi="Times New Roman" w:cs="Times New Roman"/>
              </w:rPr>
              <w:t>Отсутствие свободной информации о рынке аренды земельных участков, поскольку в большинстве случаев арендодателем выступает государство, не позволило в полной мере использовать метод капитализации дохода.</w:t>
            </w:r>
          </w:p>
        </w:tc>
      </w:tr>
      <w:tr w:rsidR="007335EB" w:rsidRPr="00CC1C7C" w14:paraId="2087FD9F" w14:textId="77777777" w:rsidTr="006F1997">
        <w:trPr>
          <w:trHeight w:val="20"/>
        </w:trPr>
        <w:tc>
          <w:tcPr>
            <w:tcW w:w="964" w:type="pct"/>
            <w:vMerge/>
            <w:shd w:val="clear" w:color="auto" w:fill="auto"/>
            <w:vAlign w:val="center"/>
          </w:tcPr>
          <w:p w14:paraId="45AB8C64" w14:textId="77777777" w:rsidR="007335EB" w:rsidRPr="00CC1C7C" w:rsidRDefault="007335EB" w:rsidP="006F1997">
            <w:pPr>
              <w:snapToGrid w:val="0"/>
              <w:spacing w:line="276" w:lineRule="auto"/>
              <w:jc w:val="both"/>
              <w:rPr>
                <w:rFonts w:ascii="Times New Roman" w:eastAsia="Calibri" w:hAnsi="Times New Roman" w:cs="Times New Roman"/>
              </w:rPr>
            </w:pPr>
          </w:p>
        </w:tc>
        <w:tc>
          <w:tcPr>
            <w:tcW w:w="1022" w:type="pct"/>
            <w:shd w:val="clear" w:color="auto" w:fill="auto"/>
            <w:vAlign w:val="center"/>
          </w:tcPr>
          <w:p w14:paraId="6135ACB2" w14:textId="77777777" w:rsidR="007335EB" w:rsidRPr="00CC1C7C" w:rsidRDefault="007335EB" w:rsidP="006F1997">
            <w:pPr>
              <w:snapToGrid w:val="0"/>
              <w:spacing w:line="276" w:lineRule="auto"/>
              <w:jc w:val="both"/>
              <w:rPr>
                <w:rFonts w:ascii="Times New Roman" w:eastAsia="Calibri" w:hAnsi="Times New Roman" w:cs="Times New Roman"/>
              </w:rPr>
            </w:pPr>
            <w:r w:rsidRPr="00CC1C7C">
              <w:rPr>
                <w:rFonts w:ascii="Times New Roman" w:eastAsia="Calibri" w:hAnsi="Times New Roman" w:cs="Times New Roman"/>
              </w:rPr>
              <w:t>метод остатка</w:t>
            </w:r>
          </w:p>
        </w:tc>
        <w:tc>
          <w:tcPr>
            <w:tcW w:w="3014" w:type="pct"/>
            <w:shd w:val="clear" w:color="auto" w:fill="auto"/>
            <w:vAlign w:val="center"/>
          </w:tcPr>
          <w:p w14:paraId="632F16BB" w14:textId="77777777" w:rsidR="007335EB" w:rsidRPr="00CC1C7C" w:rsidRDefault="007335EB" w:rsidP="006F1997">
            <w:pPr>
              <w:snapToGrid w:val="0"/>
              <w:spacing w:line="276" w:lineRule="auto"/>
              <w:jc w:val="both"/>
              <w:rPr>
                <w:rFonts w:ascii="Times New Roman" w:eastAsia="Calibri" w:hAnsi="Times New Roman" w:cs="Times New Roman"/>
              </w:rPr>
            </w:pPr>
            <w:r w:rsidRPr="00CC1C7C">
              <w:rPr>
                <w:rFonts w:ascii="Times New Roman" w:eastAsia="Calibri" w:hAnsi="Times New Roman" w:cs="Times New Roman"/>
              </w:rPr>
              <w:t>Исполнитель принял решение не использовать данный метод, поскольку не располагает необходимой информацией для проведения достоверного расчета.</w:t>
            </w:r>
          </w:p>
        </w:tc>
      </w:tr>
      <w:tr w:rsidR="007335EB" w:rsidRPr="00CC1C7C" w14:paraId="0640932C" w14:textId="77777777" w:rsidTr="006F1997">
        <w:trPr>
          <w:trHeight w:val="20"/>
        </w:trPr>
        <w:tc>
          <w:tcPr>
            <w:tcW w:w="964" w:type="pct"/>
            <w:vMerge/>
            <w:shd w:val="clear" w:color="auto" w:fill="auto"/>
            <w:vAlign w:val="center"/>
          </w:tcPr>
          <w:p w14:paraId="1C196FA4" w14:textId="77777777" w:rsidR="007335EB" w:rsidRPr="00CC1C7C" w:rsidRDefault="007335EB" w:rsidP="006F1997">
            <w:pPr>
              <w:snapToGrid w:val="0"/>
              <w:spacing w:line="276" w:lineRule="auto"/>
              <w:jc w:val="both"/>
              <w:rPr>
                <w:rFonts w:ascii="Times New Roman" w:eastAsia="Calibri" w:hAnsi="Times New Roman" w:cs="Times New Roman"/>
              </w:rPr>
            </w:pPr>
          </w:p>
        </w:tc>
        <w:tc>
          <w:tcPr>
            <w:tcW w:w="1022" w:type="pct"/>
            <w:shd w:val="clear" w:color="auto" w:fill="auto"/>
            <w:vAlign w:val="center"/>
          </w:tcPr>
          <w:p w14:paraId="16DCA6DF" w14:textId="77777777" w:rsidR="007335EB" w:rsidRPr="00CC1C7C" w:rsidRDefault="007335EB" w:rsidP="00944D96">
            <w:pPr>
              <w:snapToGrid w:val="0"/>
              <w:spacing w:line="276" w:lineRule="auto"/>
              <w:rPr>
                <w:rFonts w:ascii="Times New Roman" w:eastAsia="Calibri" w:hAnsi="Times New Roman" w:cs="Times New Roman"/>
              </w:rPr>
            </w:pPr>
            <w:r w:rsidRPr="00CC1C7C">
              <w:rPr>
                <w:rFonts w:ascii="Times New Roman" w:eastAsia="Calibri" w:hAnsi="Times New Roman" w:cs="Times New Roman"/>
              </w:rPr>
              <w:t>метод предполагаемого использования</w:t>
            </w:r>
          </w:p>
        </w:tc>
        <w:tc>
          <w:tcPr>
            <w:tcW w:w="3014" w:type="pct"/>
            <w:shd w:val="clear" w:color="auto" w:fill="auto"/>
            <w:vAlign w:val="center"/>
          </w:tcPr>
          <w:p w14:paraId="29FA66A5" w14:textId="77777777" w:rsidR="007335EB" w:rsidRPr="00CC1C7C" w:rsidRDefault="007335EB" w:rsidP="006F1997">
            <w:pPr>
              <w:snapToGrid w:val="0"/>
              <w:spacing w:line="276" w:lineRule="auto"/>
              <w:jc w:val="both"/>
              <w:rPr>
                <w:rFonts w:ascii="Times New Roman" w:eastAsia="Calibri" w:hAnsi="Times New Roman" w:cs="Times New Roman"/>
              </w:rPr>
            </w:pPr>
            <w:r w:rsidRPr="00CC1C7C">
              <w:rPr>
                <w:rFonts w:ascii="Times New Roman" w:eastAsia="Calibri" w:hAnsi="Times New Roman" w:cs="Times New Roman"/>
              </w:rPr>
              <w:t xml:space="preserve">В рамках данной работы применение данного метода связано с большим количеством ограничений и допущений в оценке, что в свою очередь может привести к получению некорректного результата. Исполнитель принял решение отказаться от использования метода, поскольку отсутствуют сведения о каком-либо дальнейшем использовании объектов оценки. </w:t>
            </w:r>
          </w:p>
        </w:tc>
      </w:tr>
      <w:tr w:rsidR="007335EB" w:rsidRPr="00CC1C7C" w14:paraId="0CB18DC5" w14:textId="77777777" w:rsidTr="006F1997">
        <w:trPr>
          <w:trHeight w:val="20"/>
        </w:trPr>
        <w:tc>
          <w:tcPr>
            <w:tcW w:w="964" w:type="pct"/>
            <w:vMerge w:val="restart"/>
            <w:shd w:val="clear" w:color="auto" w:fill="auto"/>
            <w:vAlign w:val="center"/>
          </w:tcPr>
          <w:p w14:paraId="765AC08B" w14:textId="77777777" w:rsidR="007335EB" w:rsidRPr="00CC1C7C" w:rsidRDefault="007335EB" w:rsidP="006F1997">
            <w:pPr>
              <w:snapToGrid w:val="0"/>
              <w:spacing w:line="276" w:lineRule="auto"/>
              <w:jc w:val="both"/>
              <w:rPr>
                <w:rFonts w:ascii="Times New Roman" w:eastAsia="Calibri" w:hAnsi="Times New Roman" w:cs="Times New Roman"/>
              </w:rPr>
            </w:pPr>
            <w:r w:rsidRPr="00CC1C7C">
              <w:rPr>
                <w:rFonts w:ascii="Times New Roman" w:eastAsia="Calibri" w:hAnsi="Times New Roman" w:cs="Times New Roman"/>
              </w:rPr>
              <w:t>Сравнительный подход</w:t>
            </w:r>
          </w:p>
        </w:tc>
        <w:tc>
          <w:tcPr>
            <w:tcW w:w="1022" w:type="pct"/>
            <w:shd w:val="clear" w:color="auto" w:fill="auto"/>
            <w:vAlign w:val="center"/>
          </w:tcPr>
          <w:p w14:paraId="1299923B" w14:textId="77777777" w:rsidR="007335EB" w:rsidRPr="00CC1C7C" w:rsidRDefault="007335EB" w:rsidP="006F1997">
            <w:pPr>
              <w:snapToGrid w:val="0"/>
              <w:spacing w:line="276" w:lineRule="auto"/>
              <w:jc w:val="both"/>
              <w:rPr>
                <w:rFonts w:ascii="Times New Roman" w:eastAsia="Calibri" w:hAnsi="Times New Roman" w:cs="Times New Roman"/>
              </w:rPr>
            </w:pPr>
            <w:r w:rsidRPr="00CC1C7C">
              <w:rPr>
                <w:rFonts w:ascii="Times New Roman" w:eastAsia="Calibri" w:hAnsi="Times New Roman" w:cs="Times New Roman"/>
              </w:rPr>
              <w:t>метод сравнения продаж</w:t>
            </w:r>
          </w:p>
        </w:tc>
        <w:tc>
          <w:tcPr>
            <w:tcW w:w="3014" w:type="pct"/>
            <w:shd w:val="clear" w:color="auto" w:fill="auto"/>
            <w:vAlign w:val="center"/>
          </w:tcPr>
          <w:p w14:paraId="288B8D1E" w14:textId="77777777" w:rsidR="007335EB" w:rsidRPr="00CC1C7C" w:rsidRDefault="007335EB" w:rsidP="006F1997">
            <w:pPr>
              <w:snapToGrid w:val="0"/>
              <w:spacing w:line="276" w:lineRule="auto"/>
              <w:jc w:val="both"/>
              <w:rPr>
                <w:rFonts w:ascii="Times New Roman" w:eastAsia="Calibri" w:hAnsi="Times New Roman" w:cs="Times New Roman"/>
              </w:rPr>
            </w:pPr>
            <w:r w:rsidRPr="00CC1C7C">
              <w:rPr>
                <w:rFonts w:ascii="Times New Roman" w:eastAsia="Calibri" w:hAnsi="Times New Roman" w:cs="Times New Roman"/>
              </w:rPr>
              <w:t>Учитывая достаточный уровень развитости рынка земельных участков, аналогичных типовому (эталонному) земельному участку, в рамках настоящей работы применялся метод сравнения продаж.</w:t>
            </w:r>
          </w:p>
        </w:tc>
      </w:tr>
      <w:tr w:rsidR="007335EB" w:rsidRPr="00CC1C7C" w14:paraId="5DC2BE84" w14:textId="77777777" w:rsidTr="006F1997">
        <w:trPr>
          <w:trHeight w:val="20"/>
        </w:trPr>
        <w:tc>
          <w:tcPr>
            <w:tcW w:w="964" w:type="pct"/>
            <w:vMerge/>
            <w:shd w:val="clear" w:color="auto" w:fill="auto"/>
            <w:vAlign w:val="center"/>
          </w:tcPr>
          <w:p w14:paraId="12987830" w14:textId="77777777" w:rsidR="007335EB" w:rsidRPr="00CC1C7C" w:rsidRDefault="007335EB" w:rsidP="006F1997">
            <w:pPr>
              <w:snapToGrid w:val="0"/>
              <w:spacing w:line="276" w:lineRule="auto"/>
              <w:jc w:val="both"/>
              <w:rPr>
                <w:rFonts w:ascii="Times New Roman" w:eastAsia="Calibri" w:hAnsi="Times New Roman" w:cs="Times New Roman"/>
              </w:rPr>
            </w:pPr>
          </w:p>
        </w:tc>
        <w:tc>
          <w:tcPr>
            <w:tcW w:w="1022" w:type="pct"/>
            <w:shd w:val="clear" w:color="auto" w:fill="auto"/>
            <w:vAlign w:val="center"/>
          </w:tcPr>
          <w:p w14:paraId="7E47970F" w14:textId="77777777" w:rsidR="007335EB" w:rsidRPr="00CC1C7C" w:rsidRDefault="007335EB" w:rsidP="006F1997">
            <w:pPr>
              <w:snapToGrid w:val="0"/>
              <w:spacing w:line="276" w:lineRule="auto"/>
              <w:jc w:val="both"/>
              <w:rPr>
                <w:rFonts w:ascii="Times New Roman" w:eastAsia="Calibri" w:hAnsi="Times New Roman" w:cs="Times New Roman"/>
              </w:rPr>
            </w:pPr>
            <w:r w:rsidRPr="00CC1C7C">
              <w:rPr>
                <w:rFonts w:ascii="Times New Roman" w:eastAsia="Calibri" w:hAnsi="Times New Roman" w:cs="Times New Roman"/>
              </w:rPr>
              <w:t>метод выделения</w:t>
            </w:r>
          </w:p>
        </w:tc>
        <w:tc>
          <w:tcPr>
            <w:tcW w:w="3014" w:type="pct"/>
            <w:shd w:val="clear" w:color="auto" w:fill="auto"/>
            <w:vAlign w:val="center"/>
          </w:tcPr>
          <w:p w14:paraId="1B7B218C" w14:textId="77777777" w:rsidR="007335EB" w:rsidRPr="00CC1C7C" w:rsidRDefault="007335EB" w:rsidP="006F1997">
            <w:pPr>
              <w:snapToGrid w:val="0"/>
              <w:spacing w:line="276" w:lineRule="auto"/>
              <w:jc w:val="both"/>
              <w:rPr>
                <w:rFonts w:ascii="Times New Roman" w:eastAsia="Calibri" w:hAnsi="Times New Roman" w:cs="Times New Roman"/>
              </w:rPr>
            </w:pPr>
            <w:r w:rsidRPr="00CC1C7C">
              <w:rPr>
                <w:rFonts w:ascii="Times New Roman" w:eastAsia="Calibri" w:hAnsi="Times New Roman" w:cs="Times New Roman"/>
              </w:rPr>
              <w:t>Этот метод представляет собой косвенный метод определения стоимости объекта оценки, и при наличии рынка свободных земельных участков (позволяющий применить прямой метод – метод сравнения продаж) данный метод может дать некорректный результат, поэтому Исполнитель принял решение не применять данный метод в рамках настоящей работы.</w:t>
            </w:r>
          </w:p>
        </w:tc>
      </w:tr>
      <w:tr w:rsidR="007335EB" w:rsidRPr="00CC1C7C" w14:paraId="45C9285F" w14:textId="77777777" w:rsidTr="006F1997">
        <w:trPr>
          <w:trHeight w:val="2150"/>
        </w:trPr>
        <w:tc>
          <w:tcPr>
            <w:tcW w:w="964" w:type="pct"/>
            <w:vMerge/>
            <w:shd w:val="clear" w:color="auto" w:fill="auto"/>
            <w:vAlign w:val="center"/>
          </w:tcPr>
          <w:p w14:paraId="1313B2CF" w14:textId="77777777" w:rsidR="007335EB" w:rsidRPr="00CC1C7C" w:rsidRDefault="007335EB" w:rsidP="006F1997">
            <w:pPr>
              <w:snapToGrid w:val="0"/>
              <w:spacing w:line="276" w:lineRule="auto"/>
              <w:jc w:val="both"/>
              <w:rPr>
                <w:rFonts w:ascii="Times New Roman" w:eastAsia="Calibri" w:hAnsi="Times New Roman" w:cs="Times New Roman"/>
              </w:rPr>
            </w:pPr>
          </w:p>
        </w:tc>
        <w:tc>
          <w:tcPr>
            <w:tcW w:w="1022" w:type="pct"/>
            <w:shd w:val="clear" w:color="auto" w:fill="auto"/>
            <w:vAlign w:val="center"/>
          </w:tcPr>
          <w:p w14:paraId="75BF7567" w14:textId="77777777" w:rsidR="007335EB" w:rsidRPr="00CC1C7C" w:rsidRDefault="007335EB" w:rsidP="006F1997">
            <w:pPr>
              <w:snapToGrid w:val="0"/>
              <w:spacing w:line="276" w:lineRule="auto"/>
              <w:jc w:val="both"/>
              <w:rPr>
                <w:rFonts w:ascii="Times New Roman" w:eastAsia="Calibri" w:hAnsi="Times New Roman" w:cs="Times New Roman"/>
              </w:rPr>
            </w:pPr>
            <w:r w:rsidRPr="00CC1C7C">
              <w:rPr>
                <w:rFonts w:ascii="Times New Roman" w:eastAsia="Calibri" w:hAnsi="Times New Roman" w:cs="Times New Roman"/>
              </w:rPr>
              <w:t>метод распределения</w:t>
            </w:r>
          </w:p>
        </w:tc>
        <w:tc>
          <w:tcPr>
            <w:tcW w:w="3014" w:type="pct"/>
            <w:shd w:val="clear" w:color="auto" w:fill="auto"/>
            <w:vAlign w:val="center"/>
          </w:tcPr>
          <w:p w14:paraId="4D07F830" w14:textId="77777777" w:rsidR="007335EB" w:rsidRPr="00CC1C7C" w:rsidRDefault="007335EB" w:rsidP="006F1997">
            <w:pPr>
              <w:snapToGrid w:val="0"/>
              <w:spacing w:line="276" w:lineRule="auto"/>
              <w:jc w:val="both"/>
              <w:rPr>
                <w:rFonts w:ascii="Times New Roman" w:eastAsia="Calibri" w:hAnsi="Times New Roman" w:cs="Times New Roman"/>
              </w:rPr>
            </w:pPr>
            <w:r w:rsidRPr="00CC1C7C">
              <w:rPr>
                <w:rFonts w:ascii="Times New Roman" w:eastAsia="Calibri" w:hAnsi="Times New Roman" w:cs="Times New Roman"/>
              </w:rPr>
              <w:t>Этот метод представляет собой косвенный метод определения стоимости объекта оценки, и при наличии рынка свободных земельных участков (позволяющий применить прямой метод – метод сравнения продаж) данный метод может дать некорректный результат, поэтому Исполнитель принял решение не применять данный метод в рамках настоящей работы.</w:t>
            </w:r>
          </w:p>
        </w:tc>
      </w:tr>
      <w:tr w:rsidR="007335EB" w:rsidRPr="00CC1C7C" w14:paraId="7DD4E1C0" w14:textId="77777777" w:rsidTr="006F1997">
        <w:trPr>
          <w:trHeight w:val="20"/>
        </w:trPr>
        <w:tc>
          <w:tcPr>
            <w:tcW w:w="964" w:type="pct"/>
            <w:shd w:val="clear" w:color="auto" w:fill="auto"/>
            <w:vAlign w:val="center"/>
          </w:tcPr>
          <w:p w14:paraId="511EA3AC" w14:textId="77777777" w:rsidR="007335EB" w:rsidRPr="00CC1C7C" w:rsidRDefault="007335EB" w:rsidP="006F1997">
            <w:pPr>
              <w:snapToGrid w:val="0"/>
              <w:spacing w:line="276" w:lineRule="auto"/>
              <w:jc w:val="both"/>
              <w:rPr>
                <w:rFonts w:ascii="Times New Roman" w:eastAsia="Calibri" w:hAnsi="Times New Roman" w:cs="Times New Roman"/>
              </w:rPr>
            </w:pPr>
            <w:r w:rsidRPr="00CC1C7C">
              <w:rPr>
                <w:rFonts w:ascii="Times New Roman" w:eastAsia="Calibri" w:hAnsi="Times New Roman" w:cs="Times New Roman"/>
              </w:rPr>
              <w:t>Затратный подход</w:t>
            </w:r>
          </w:p>
        </w:tc>
        <w:tc>
          <w:tcPr>
            <w:tcW w:w="1022" w:type="pct"/>
            <w:shd w:val="clear" w:color="auto" w:fill="auto"/>
            <w:vAlign w:val="center"/>
          </w:tcPr>
          <w:p w14:paraId="1F79CB30" w14:textId="77777777" w:rsidR="007335EB" w:rsidRPr="00CC1C7C" w:rsidRDefault="007335EB" w:rsidP="006F1997">
            <w:pPr>
              <w:snapToGrid w:val="0"/>
              <w:spacing w:line="276" w:lineRule="auto"/>
              <w:jc w:val="both"/>
              <w:rPr>
                <w:rFonts w:ascii="Times New Roman" w:eastAsia="Calibri" w:hAnsi="Times New Roman" w:cs="Times New Roman"/>
              </w:rPr>
            </w:pPr>
            <w:r w:rsidRPr="00CC1C7C">
              <w:rPr>
                <w:rFonts w:ascii="Times New Roman" w:eastAsia="Calibri" w:hAnsi="Times New Roman" w:cs="Times New Roman"/>
              </w:rPr>
              <w:t>-</w:t>
            </w:r>
          </w:p>
        </w:tc>
        <w:tc>
          <w:tcPr>
            <w:tcW w:w="3014" w:type="pct"/>
            <w:shd w:val="clear" w:color="auto" w:fill="auto"/>
            <w:vAlign w:val="center"/>
          </w:tcPr>
          <w:p w14:paraId="1E74B1C7" w14:textId="77777777" w:rsidR="007335EB" w:rsidRPr="00CC1C7C" w:rsidRDefault="007335EB" w:rsidP="006F1997">
            <w:pPr>
              <w:snapToGrid w:val="0"/>
              <w:spacing w:line="276" w:lineRule="auto"/>
              <w:jc w:val="both"/>
              <w:rPr>
                <w:rFonts w:ascii="Times New Roman" w:eastAsia="Calibri" w:hAnsi="Times New Roman" w:cs="Times New Roman"/>
              </w:rPr>
            </w:pPr>
            <w:r w:rsidRPr="00CC1C7C">
              <w:rPr>
                <w:rFonts w:ascii="Times New Roman" w:eastAsia="Calibri" w:hAnsi="Times New Roman" w:cs="Times New Roman"/>
              </w:rPr>
              <w:t>Затратный подход, в основном, не применяется при оценке стоимости земельных участков, его применение обосновано в том случае, когда невозможно определить стоимость земельных участков иными подходами (см. п. 7.1.2 Указаний). Учитывая наличие рыночной информации о предложениях/сделках к продаже земельных участков (позволяющих применить прямой метод – метод сравнения продаж), было принято решение отказаться от использования затратного подхода при расчете стоимости земельных участков данной группы.</w:t>
            </w:r>
          </w:p>
        </w:tc>
      </w:tr>
    </w:tbl>
    <w:p w14:paraId="13086712" w14:textId="77777777" w:rsidR="00CC1C7C" w:rsidRDefault="00CC1C7C" w:rsidP="007335EB">
      <w:pPr>
        <w:autoSpaceDE w:val="0"/>
        <w:autoSpaceDN w:val="0"/>
        <w:adjustRightInd w:val="0"/>
        <w:spacing w:before="240" w:after="0" w:line="276" w:lineRule="auto"/>
        <w:ind w:firstLine="709"/>
        <w:contextualSpacing/>
        <w:jc w:val="both"/>
        <w:rPr>
          <w:rFonts w:ascii="Times New Roman" w:eastAsia="Calibri" w:hAnsi="Times New Roman" w:cs="Times New Roman"/>
          <w:sz w:val="26"/>
          <w:szCs w:val="26"/>
        </w:rPr>
        <w:sectPr w:rsidR="00CC1C7C" w:rsidSect="00CC1C7C">
          <w:type w:val="nextColumn"/>
          <w:pgSz w:w="16838" w:h="11906" w:orient="landscape"/>
          <w:pgMar w:top="1701" w:right="1134" w:bottom="851" w:left="1134" w:header="709" w:footer="709" w:gutter="0"/>
          <w:cols w:space="708"/>
          <w:docGrid w:linePitch="360"/>
        </w:sectPr>
      </w:pPr>
    </w:p>
    <w:p w14:paraId="6AE5875F" w14:textId="29BB5714" w:rsidR="007335EB" w:rsidRPr="005E0D27" w:rsidRDefault="007335EB" w:rsidP="007335EB">
      <w:pPr>
        <w:autoSpaceDE w:val="0"/>
        <w:autoSpaceDN w:val="0"/>
        <w:adjustRightInd w:val="0"/>
        <w:spacing w:before="240" w:after="0" w:line="276" w:lineRule="auto"/>
        <w:ind w:firstLine="709"/>
        <w:contextualSpacing/>
        <w:jc w:val="both"/>
        <w:rPr>
          <w:rFonts w:ascii="Times New Roman" w:eastAsia="Calibri" w:hAnsi="Times New Roman" w:cs="Times New Roman"/>
          <w:sz w:val="26"/>
          <w:szCs w:val="26"/>
        </w:rPr>
      </w:pPr>
    </w:p>
    <w:p w14:paraId="028734D6" w14:textId="77777777" w:rsidR="007335EB" w:rsidRPr="005E0D27" w:rsidRDefault="007335EB" w:rsidP="007335EB">
      <w:pPr>
        <w:spacing w:after="120" w:line="276" w:lineRule="auto"/>
        <w:ind w:firstLine="709"/>
        <w:contextualSpacing/>
        <w:jc w:val="both"/>
        <w:rPr>
          <w:rFonts w:ascii="Times New Roman" w:eastAsia="Calibri" w:hAnsi="Times New Roman" w:cs="Times New Roman"/>
          <w:sz w:val="26"/>
          <w:szCs w:val="26"/>
        </w:rPr>
      </w:pPr>
      <w:r w:rsidRPr="005E0D27">
        <w:rPr>
          <w:rFonts w:ascii="Times New Roman" w:eastAsia="Calibri" w:hAnsi="Times New Roman" w:cs="Times New Roman"/>
          <w:sz w:val="26"/>
          <w:szCs w:val="26"/>
        </w:rPr>
        <w:t>Поскольку Исполнитель располагает достаточным объемом рыночной информации о ценах предложений/сделок к продаже объектов, схожих с оцениваемым типовым (эталонным) объектов, было принято решение стоимость типового объекта определять в рамках сравнительного подхода методом сравнения продаж.</w:t>
      </w:r>
    </w:p>
    <w:p w14:paraId="1802A9D2" w14:textId="34402102" w:rsidR="007335EB" w:rsidRPr="005E0D27" w:rsidRDefault="007335EB" w:rsidP="007335EB">
      <w:pPr>
        <w:spacing w:after="120" w:line="276" w:lineRule="auto"/>
        <w:ind w:firstLine="709"/>
        <w:contextualSpacing/>
        <w:jc w:val="both"/>
        <w:rPr>
          <w:rFonts w:ascii="Times New Roman" w:eastAsia="Calibri" w:hAnsi="Times New Roman" w:cs="Times New Roman"/>
          <w:sz w:val="26"/>
          <w:szCs w:val="26"/>
        </w:rPr>
      </w:pPr>
      <w:r w:rsidRPr="005E0D27">
        <w:rPr>
          <w:rFonts w:ascii="Times New Roman" w:eastAsia="Calibri" w:hAnsi="Times New Roman" w:cs="Times New Roman"/>
          <w:sz w:val="26"/>
          <w:szCs w:val="26"/>
        </w:rPr>
        <w:t xml:space="preserve">Расчет стоимости земельных участка, отнесенных к группе </w:t>
      </w:r>
      <w:r w:rsidR="003A06F9" w:rsidRPr="003A06F9">
        <w:rPr>
          <w:rFonts w:ascii="Times New Roman" w:eastAsia="Calibri" w:hAnsi="Times New Roman" w:cs="Times New Roman"/>
          <w:sz w:val="26"/>
          <w:szCs w:val="26"/>
        </w:rPr>
        <w:t>ПРОИЗВОДСТВО/ПРОМ/Воронеж КОММ</w:t>
      </w:r>
      <w:r w:rsidRPr="005E0D27">
        <w:rPr>
          <w:rFonts w:ascii="Times New Roman" w:hAnsi="Times New Roman" w:cs="Times New Roman"/>
          <w:i/>
          <w:sz w:val="26"/>
          <w:szCs w:val="26"/>
        </w:rPr>
        <w:t>,</w:t>
      </w:r>
      <w:r w:rsidRPr="005E0D27">
        <w:rPr>
          <w:rFonts w:ascii="Times New Roman" w:eastAsia="Calibri" w:hAnsi="Times New Roman" w:cs="Times New Roman"/>
          <w:sz w:val="26"/>
          <w:szCs w:val="26"/>
        </w:rPr>
        <w:t xml:space="preserve"> согласно описанной выше последовательности приведен далее.</w:t>
      </w:r>
    </w:p>
    <w:p w14:paraId="393999FC" w14:textId="299F994C" w:rsidR="007335EB" w:rsidRPr="00B91035" w:rsidRDefault="007335EB" w:rsidP="00C1026B">
      <w:pPr>
        <w:pStyle w:val="ab"/>
        <w:numPr>
          <w:ilvl w:val="1"/>
          <w:numId w:val="16"/>
        </w:numPr>
        <w:tabs>
          <w:tab w:val="num" w:pos="1134"/>
        </w:tabs>
        <w:autoSpaceDE w:val="0"/>
        <w:autoSpaceDN w:val="0"/>
        <w:adjustRightInd w:val="0"/>
        <w:spacing w:before="120" w:after="0" w:line="276" w:lineRule="auto"/>
        <w:ind w:left="0" w:firstLine="709"/>
        <w:jc w:val="both"/>
        <w:rPr>
          <w:rFonts w:ascii="Times New Roman" w:eastAsia="Calibri" w:hAnsi="Times New Roman" w:cs="Times New Roman"/>
          <w:i/>
          <w:sz w:val="26"/>
          <w:szCs w:val="26"/>
        </w:rPr>
      </w:pPr>
      <w:r w:rsidRPr="00B91035">
        <w:rPr>
          <w:rFonts w:ascii="Times New Roman" w:eastAsia="Calibri" w:hAnsi="Times New Roman" w:cs="Times New Roman"/>
          <w:i/>
          <w:sz w:val="26"/>
          <w:szCs w:val="26"/>
        </w:rPr>
        <w:t>Определение группы (подгруппы), в которой возможно (целесообразно) типологизировать объекты недвижимости</w:t>
      </w:r>
    </w:p>
    <w:p w14:paraId="71D527F8" w14:textId="77777777" w:rsidR="007335EB" w:rsidRPr="00B470DF" w:rsidRDefault="007335EB" w:rsidP="007335EB">
      <w:pPr>
        <w:spacing w:after="120" w:line="276" w:lineRule="auto"/>
        <w:ind w:firstLine="709"/>
        <w:contextualSpacing/>
        <w:jc w:val="both"/>
        <w:rPr>
          <w:rFonts w:ascii="Times New Roman" w:eastAsia="Calibri" w:hAnsi="Times New Roman" w:cs="Times New Roman"/>
          <w:sz w:val="26"/>
          <w:szCs w:val="26"/>
        </w:rPr>
      </w:pPr>
      <w:r w:rsidRPr="00B470DF">
        <w:rPr>
          <w:rFonts w:ascii="Times New Roman" w:eastAsia="Calibri" w:hAnsi="Times New Roman" w:cs="Times New Roman"/>
          <w:sz w:val="26"/>
          <w:szCs w:val="26"/>
        </w:rPr>
        <w:t>Оцениваемые земельные участки с кодами расчета</w:t>
      </w:r>
      <w:r w:rsidRPr="005A05B1">
        <w:rPr>
          <w:rFonts w:ascii="Times New Roman" w:eastAsia="Calibri" w:hAnsi="Times New Roman" w:cs="Times New Roman"/>
          <w:sz w:val="26"/>
          <w:szCs w:val="26"/>
        </w:rPr>
        <w:t xml:space="preserve"> 07:051</w:t>
      </w:r>
      <w:r w:rsidRPr="00B470DF">
        <w:rPr>
          <w:rFonts w:ascii="Times New Roman" w:eastAsia="Calibri" w:hAnsi="Times New Roman" w:cs="Times New Roman"/>
          <w:sz w:val="26"/>
          <w:szCs w:val="26"/>
        </w:rPr>
        <w:t>,</w:t>
      </w:r>
      <w:r w:rsidRPr="005A05B1">
        <w:t xml:space="preserve"> </w:t>
      </w:r>
      <w:r w:rsidRPr="005A05B1">
        <w:rPr>
          <w:rFonts w:ascii="Times New Roman" w:eastAsia="Calibri" w:hAnsi="Times New Roman" w:cs="Times New Roman"/>
          <w:sz w:val="26"/>
          <w:szCs w:val="26"/>
        </w:rPr>
        <w:t>03:012</w:t>
      </w:r>
      <w:r w:rsidRPr="00B470DF">
        <w:rPr>
          <w:rFonts w:ascii="Times New Roman" w:eastAsia="Calibri" w:hAnsi="Times New Roman" w:cs="Times New Roman"/>
          <w:sz w:val="26"/>
          <w:szCs w:val="26"/>
        </w:rPr>
        <w:t xml:space="preserve"> территориально располагающиеся в г. Воронеж, отнесены к сегменту «</w:t>
      </w:r>
      <w:r w:rsidRPr="009171E6">
        <w:rPr>
          <w:rFonts w:ascii="Times New Roman" w:eastAsia="Calibri" w:hAnsi="Times New Roman" w:cs="Times New Roman"/>
          <w:sz w:val="26"/>
          <w:szCs w:val="26"/>
        </w:rPr>
        <w:t>Производственная деятельность</w:t>
      </w:r>
      <w:r w:rsidRPr="00B470DF">
        <w:rPr>
          <w:rFonts w:ascii="Times New Roman" w:eastAsia="Calibri" w:hAnsi="Times New Roman" w:cs="Times New Roman"/>
          <w:sz w:val="26"/>
          <w:szCs w:val="26"/>
        </w:rPr>
        <w:t>».</w:t>
      </w:r>
    </w:p>
    <w:p w14:paraId="196B439E" w14:textId="3CA7C1A1" w:rsidR="007335EB" w:rsidRPr="00B91035" w:rsidRDefault="007335EB" w:rsidP="00C1026B">
      <w:pPr>
        <w:pStyle w:val="ab"/>
        <w:numPr>
          <w:ilvl w:val="1"/>
          <w:numId w:val="16"/>
        </w:numPr>
        <w:autoSpaceDE w:val="0"/>
        <w:autoSpaceDN w:val="0"/>
        <w:adjustRightInd w:val="0"/>
        <w:spacing w:before="120" w:after="0" w:line="276" w:lineRule="auto"/>
        <w:ind w:left="0" w:firstLine="709"/>
        <w:jc w:val="both"/>
        <w:rPr>
          <w:rFonts w:ascii="Times New Roman" w:eastAsia="Calibri" w:hAnsi="Times New Roman" w:cs="Times New Roman"/>
          <w:i/>
          <w:sz w:val="26"/>
          <w:szCs w:val="26"/>
        </w:rPr>
      </w:pPr>
      <w:r w:rsidRPr="00B91035">
        <w:rPr>
          <w:rFonts w:ascii="Times New Roman" w:eastAsia="Calibri" w:hAnsi="Times New Roman" w:cs="Times New Roman"/>
          <w:i/>
          <w:sz w:val="26"/>
          <w:szCs w:val="26"/>
        </w:rPr>
        <w:t>Определение оснований типологизации и ее проведение</w:t>
      </w:r>
    </w:p>
    <w:p w14:paraId="430DB4E1" w14:textId="77777777" w:rsidR="007335EB" w:rsidRPr="00063AA8" w:rsidRDefault="007335EB" w:rsidP="00B91035">
      <w:pPr>
        <w:autoSpaceDE w:val="0"/>
        <w:autoSpaceDN w:val="0"/>
        <w:adjustRightInd w:val="0"/>
        <w:spacing w:after="0" w:line="276" w:lineRule="auto"/>
        <w:ind w:firstLine="709"/>
        <w:contextualSpacing/>
        <w:jc w:val="both"/>
        <w:rPr>
          <w:rFonts w:ascii="Times New Roman" w:eastAsia="Calibri" w:hAnsi="Times New Roman" w:cs="Times New Roman"/>
          <w:sz w:val="26"/>
          <w:szCs w:val="26"/>
        </w:rPr>
      </w:pPr>
      <w:r w:rsidRPr="00063AA8">
        <w:rPr>
          <w:rFonts w:ascii="Times New Roman" w:eastAsia="Calibri" w:hAnsi="Times New Roman" w:cs="Times New Roman"/>
          <w:sz w:val="26"/>
          <w:szCs w:val="26"/>
        </w:rPr>
        <w:t xml:space="preserve">Типологизация объектов недвижимости проводилась на основании принадлежности объектов оценки по местоположению </w:t>
      </w:r>
    </w:p>
    <w:p w14:paraId="7FE0E337" w14:textId="7FE39B43" w:rsidR="007335EB" w:rsidRPr="00B91035" w:rsidRDefault="007335EB" w:rsidP="00C1026B">
      <w:pPr>
        <w:pStyle w:val="ab"/>
        <w:numPr>
          <w:ilvl w:val="1"/>
          <w:numId w:val="16"/>
        </w:numPr>
        <w:autoSpaceDE w:val="0"/>
        <w:autoSpaceDN w:val="0"/>
        <w:adjustRightInd w:val="0"/>
        <w:spacing w:before="120" w:after="0" w:line="276" w:lineRule="auto"/>
        <w:ind w:left="0" w:firstLine="709"/>
        <w:jc w:val="both"/>
        <w:rPr>
          <w:rFonts w:ascii="Times New Roman" w:eastAsia="Calibri" w:hAnsi="Times New Roman" w:cs="Times New Roman"/>
          <w:i/>
          <w:sz w:val="26"/>
          <w:szCs w:val="26"/>
        </w:rPr>
      </w:pPr>
      <w:r w:rsidRPr="00B91035">
        <w:rPr>
          <w:rFonts w:ascii="Times New Roman" w:eastAsia="Calibri" w:hAnsi="Times New Roman" w:cs="Times New Roman"/>
          <w:i/>
          <w:sz w:val="26"/>
          <w:szCs w:val="26"/>
        </w:rPr>
        <w:t>Типологизация объектов недвижимости</w:t>
      </w:r>
    </w:p>
    <w:p w14:paraId="7179C01F" w14:textId="77777777" w:rsidR="007335EB" w:rsidRPr="00114427" w:rsidRDefault="007335EB" w:rsidP="00B91035">
      <w:pPr>
        <w:spacing w:after="0" w:line="276"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К</w:t>
      </w:r>
      <w:r w:rsidRPr="00114427">
        <w:rPr>
          <w:rFonts w:ascii="Times New Roman" w:eastAsia="Calibri" w:hAnsi="Times New Roman" w:cs="Times New Roman"/>
          <w:sz w:val="26"/>
          <w:szCs w:val="26"/>
        </w:rPr>
        <w:t xml:space="preserve"> данной группе, </w:t>
      </w:r>
      <w:r w:rsidRPr="002D08EF">
        <w:rPr>
          <w:rFonts w:ascii="Times New Roman" w:eastAsia="Calibri" w:hAnsi="Times New Roman" w:cs="Times New Roman"/>
          <w:sz w:val="26"/>
          <w:szCs w:val="26"/>
        </w:rPr>
        <w:t>отнесено 2 197 земел</w:t>
      </w:r>
      <w:r w:rsidRPr="00114427">
        <w:rPr>
          <w:rFonts w:ascii="Times New Roman" w:eastAsia="Calibri" w:hAnsi="Times New Roman" w:cs="Times New Roman"/>
          <w:sz w:val="26"/>
          <w:szCs w:val="26"/>
        </w:rPr>
        <w:t xml:space="preserve">ьных участков, расположенных в г. Воронеж. </w:t>
      </w:r>
    </w:p>
    <w:p w14:paraId="66CC4AF0" w14:textId="1BC12FA7" w:rsidR="007335EB" w:rsidRPr="00B91035" w:rsidRDefault="007335EB" w:rsidP="00C1026B">
      <w:pPr>
        <w:pStyle w:val="ab"/>
        <w:numPr>
          <w:ilvl w:val="1"/>
          <w:numId w:val="16"/>
        </w:numPr>
        <w:autoSpaceDE w:val="0"/>
        <w:autoSpaceDN w:val="0"/>
        <w:adjustRightInd w:val="0"/>
        <w:spacing w:before="120" w:after="0" w:line="276" w:lineRule="auto"/>
        <w:ind w:left="0" w:firstLine="709"/>
        <w:jc w:val="both"/>
        <w:rPr>
          <w:rFonts w:ascii="Times New Roman" w:eastAsia="Calibri" w:hAnsi="Times New Roman" w:cs="Times New Roman"/>
          <w:i/>
          <w:sz w:val="26"/>
          <w:szCs w:val="26"/>
        </w:rPr>
      </w:pPr>
      <w:r w:rsidRPr="00B91035">
        <w:rPr>
          <w:rFonts w:ascii="Times New Roman" w:eastAsia="Calibri" w:hAnsi="Times New Roman" w:cs="Times New Roman"/>
          <w:i/>
          <w:sz w:val="26"/>
          <w:szCs w:val="26"/>
        </w:rPr>
        <w:t>формируется типовой (эталонный) объект недвижимости;</w:t>
      </w:r>
    </w:p>
    <w:p w14:paraId="4663C5C2" w14:textId="77777777" w:rsidR="007335EB" w:rsidRPr="00B91035" w:rsidRDefault="007335EB" w:rsidP="00B91035">
      <w:pPr>
        <w:spacing w:after="0" w:line="276" w:lineRule="auto"/>
        <w:ind w:firstLine="709"/>
        <w:jc w:val="both"/>
        <w:rPr>
          <w:rFonts w:ascii="Times New Roman" w:eastAsia="Calibri" w:hAnsi="Times New Roman" w:cs="Times New Roman"/>
          <w:b/>
          <w:iCs/>
          <w:sz w:val="26"/>
          <w:szCs w:val="26"/>
        </w:rPr>
      </w:pPr>
      <w:r w:rsidRPr="0006184A">
        <w:rPr>
          <w:rFonts w:ascii="Times New Roman" w:eastAsia="Calibri" w:hAnsi="Times New Roman" w:cs="Times New Roman"/>
          <w:iCs/>
          <w:sz w:val="26"/>
          <w:szCs w:val="26"/>
        </w:rPr>
        <w:t xml:space="preserve">В качестве эталонного земельного участка был выбран земельный участок с кадастровым № </w:t>
      </w:r>
      <w:r w:rsidRPr="00B91035">
        <w:rPr>
          <w:rFonts w:ascii="Times New Roman" w:eastAsia="Calibri" w:hAnsi="Times New Roman" w:cs="Times New Roman"/>
          <w:b/>
          <w:iCs/>
          <w:sz w:val="26"/>
          <w:szCs w:val="26"/>
        </w:rPr>
        <w:t>36:34:0602001:39064</w:t>
      </w:r>
    </w:p>
    <w:p w14:paraId="7CA684E1" w14:textId="08328BE7" w:rsidR="007335EB" w:rsidRPr="00B91035" w:rsidRDefault="007335EB" w:rsidP="00C1026B">
      <w:pPr>
        <w:pStyle w:val="ab"/>
        <w:numPr>
          <w:ilvl w:val="1"/>
          <w:numId w:val="16"/>
        </w:numPr>
        <w:ind w:left="0" w:firstLine="851"/>
        <w:rPr>
          <w:rFonts w:ascii="Times New Roman" w:eastAsia="Calibri" w:hAnsi="Times New Roman" w:cs="Times New Roman"/>
          <w:i/>
          <w:sz w:val="26"/>
          <w:szCs w:val="26"/>
        </w:rPr>
      </w:pPr>
      <w:r w:rsidRPr="00B91035">
        <w:rPr>
          <w:rFonts w:ascii="Times New Roman" w:eastAsia="Calibri" w:hAnsi="Times New Roman" w:cs="Times New Roman"/>
          <w:i/>
          <w:sz w:val="26"/>
          <w:szCs w:val="26"/>
        </w:rPr>
        <w:t>определяется стоимость типового (эталонного) объекта недвижимости.</w:t>
      </w:r>
    </w:p>
    <w:p w14:paraId="1B44B10A" w14:textId="77777777" w:rsidR="007335EB" w:rsidRPr="00114427"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Расчет эталонного земельного участка методом сравнения продаж приведен далее.</w:t>
      </w:r>
    </w:p>
    <w:p w14:paraId="35488581" w14:textId="77777777" w:rsidR="007335EB" w:rsidRPr="00114427" w:rsidRDefault="007335EB" w:rsidP="007335EB">
      <w:pPr>
        <w:spacing w:after="0" w:line="276" w:lineRule="auto"/>
        <w:contextualSpacing/>
        <w:jc w:val="center"/>
        <w:rPr>
          <w:rFonts w:ascii="Times New Roman" w:eastAsia="Calibri" w:hAnsi="Times New Roman" w:cs="Times New Roman"/>
          <w:i/>
          <w:sz w:val="26"/>
          <w:szCs w:val="26"/>
        </w:rPr>
      </w:pPr>
      <w:r w:rsidRPr="00114427">
        <w:rPr>
          <w:rFonts w:ascii="Times New Roman" w:eastAsia="Calibri" w:hAnsi="Times New Roman" w:cs="Times New Roman"/>
          <w:i/>
          <w:sz w:val="26"/>
          <w:szCs w:val="26"/>
        </w:rPr>
        <w:t>Описание метода сравнения продаж</w:t>
      </w:r>
    </w:p>
    <w:p w14:paraId="3A367A88" w14:textId="77777777" w:rsidR="007335EB" w:rsidRPr="00114427"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Алгоритм применения метода сравнения продаж в рамках сравнительного подхода имеет следующий вид:</w:t>
      </w:r>
    </w:p>
    <w:p w14:paraId="570796FC" w14:textId="77777777" w:rsidR="007335EB" w:rsidRPr="00114427" w:rsidRDefault="007335EB" w:rsidP="00C1026B">
      <w:pPr>
        <w:numPr>
          <w:ilvl w:val="0"/>
          <w:numId w:val="10"/>
        </w:numPr>
        <w:tabs>
          <w:tab w:val="left" w:pos="0"/>
        </w:tabs>
        <w:overflowPunct w:val="0"/>
        <w:autoSpaceDE w:val="0"/>
        <w:autoSpaceDN w:val="0"/>
        <w:adjustRightInd w:val="0"/>
        <w:spacing w:after="0" w:line="276" w:lineRule="auto"/>
        <w:ind w:left="0" w:firstLine="709"/>
        <w:contextualSpacing/>
        <w:jc w:val="both"/>
        <w:textAlignment w:val="baseline"/>
        <w:rPr>
          <w:rFonts w:ascii="Times New Roman" w:eastAsia="Calibri" w:hAnsi="Times New Roman" w:cs="Times New Roman"/>
          <w:sz w:val="26"/>
          <w:szCs w:val="26"/>
        </w:rPr>
      </w:pPr>
      <w:r w:rsidRPr="00114427">
        <w:rPr>
          <w:rFonts w:ascii="Times New Roman" w:eastAsia="Calibri" w:hAnsi="Times New Roman" w:cs="Times New Roman"/>
          <w:sz w:val="26"/>
          <w:szCs w:val="26"/>
        </w:rPr>
        <w:t>сбор данных о рынке продаж и предложений по земельным участкам, сходным с оцениваемым объектом. При выборе объектов-аналогов предпочтение отдавалось объектам, сопоставимым по площади с типовым (эталонным) объектом;</w:t>
      </w:r>
    </w:p>
    <w:p w14:paraId="59382ABF" w14:textId="77777777" w:rsidR="007335EB" w:rsidRPr="00114427" w:rsidRDefault="007335EB" w:rsidP="00C1026B">
      <w:pPr>
        <w:numPr>
          <w:ilvl w:val="0"/>
          <w:numId w:val="10"/>
        </w:numPr>
        <w:tabs>
          <w:tab w:val="left" w:pos="0"/>
        </w:tabs>
        <w:overflowPunct w:val="0"/>
        <w:autoSpaceDE w:val="0"/>
        <w:autoSpaceDN w:val="0"/>
        <w:adjustRightInd w:val="0"/>
        <w:spacing w:after="0" w:line="276" w:lineRule="auto"/>
        <w:ind w:left="0" w:firstLine="709"/>
        <w:contextualSpacing/>
        <w:jc w:val="both"/>
        <w:textAlignment w:val="baseline"/>
        <w:rPr>
          <w:rFonts w:ascii="Times New Roman" w:eastAsia="Calibri" w:hAnsi="Times New Roman" w:cs="Times New Roman"/>
          <w:sz w:val="26"/>
          <w:szCs w:val="26"/>
        </w:rPr>
      </w:pPr>
      <w:r w:rsidRPr="00114427">
        <w:rPr>
          <w:rFonts w:ascii="Times New Roman" w:eastAsia="Calibri" w:hAnsi="Times New Roman" w:cs="Times New Roman"/>
          <w:sz w:val="26"/>
          <w:szCs w:val="26"/>
        </w:rPr>
        <w:t>выбор единицы сравнения;</w:t>
      </w:r>
    </w:p>
    <w:p w14:paraId="5ACCBC20" w14:textId="77777777" w:rsidR="007335EB" w:rsidRPr="00114427" w:rsidRDefault="007335EB" w:rsidP="00C1026B">
      <w:pPr>
        <w:numPr>
          <w:ilvl w:val="0"/>
          <w:numId w:val="10"/>
        </w:numPr>
        <w:tabs>
          <w:tab w:val="left" w:pos="0"/>
        </w:tabs>
        <w:overflowPunct w:val="0"/>
        <w:autoSpaceDE w:val="0"/>
        <w:autoSpaceDN w:val="0"/>
        <w:adjustRightInd w:val="0"/>
        <w:spacing w:after="0" w:line="276" w:lineRule="auto"/>
        <w:ind w:left="0" w:firstLine="709"/>
        <w:contextualSpacing/>
        <w:jc w:val="both"/>
        <w:textAlignment w:val="baseline"/>
        <w:rPr>
          <w:rFonts w:ascii="Times New Roman" w:eastAsia="Calibri" w:hAnsi="Times New Roman" w:cs="Times New Roman"/>
          <w:sz w:val="26"/>
          <w:szCs w:val="26"/>
        </w:rPr>
      </w:pPr>
      <w:r w:rsidRPr="00114427">
        <w:rPr>
          <w:rFonts w:ascii="Times New Roman" w:eastAsia="Calibri" w:hAnsi="Times New Roman" w:cs="Times New Roman"/>
          <w:sz w:val="26"/>
          <w:szCs w:val="26"/>
        </w:rPr>
        <w:t>определение элементов, по которым осуществляется сравнение типового (эталонного) объекта с объектами-аналогами (далее – элементов (единиц) сравнения);</w:t>
      </w:r>
    </w:p>
    <w:p w14:paraId="7B59F030" w14:textId="77777777" w:rsidR="007335EB" w:rsidRPr="00114427" w:rsidRDefault="007335EB" w:rsidP="00C1026B">
      <w:pPr>
        <w:numPr>
          <w:ilvl w:val="0"/>
          <w:numId w:val="10"/>
        </w:numPr>
        <w:tabs>
          <w:tab w:val="left" w:pos="0"/>
        </w:tabs>
        <w:overflowPunct w:val="0"/>
        <w:autoSpaceDE w:val="0"/>
        <w:autoSpaceDN w:val="0"/>
        <w:adjustRightInd w:val="0"/>
        <w:spacing w:after="0" w:line="276" w:lineRule="auto"/>
        <w:ind w:left="0" w:firstLine="709"/>
        <w:contextualSpacing/>
        <w:jc w:val="both"/>
        <w:textAlignment w:val="baseline"/>
        <w:rPr>
          <w:rFonts w:ascii="Times New Roman" w:eastAsia="Calibri" w:hAnsi="Times New Roman" w:cs="Times New Roman"/>
          <w:sz w:val="26"/>
          <w:szCs w:val="26"/>
        </w:rPr>
      </w:pPr>
      <w:r w:rsidRPr="00114427">
        <w:rPr>
          <w:rFonts w:ascii="Times New Roman" w:eastAsia="Calibri" w:hAnsi="Times New Roman" w:cs="Times New Roman"/>
          <w:sz w:val="26"/>
          <w:szCs w:val="26"/>
        </w:rPr>
        <w:t>определение по каждому из элементов сравнения характера и степени отличий каждого аналога от типового (эталонного) объекта;</w:t>
      </w:r>
    </w:p>
    <w:p w14:paraId="4460561A" w14:textId="77777777" w:rsidR="007335EB" w:rsidRPr="00114427" w:rsidRDefault="007335EB" w:rsidP="00C1026B">
      <w:pPr>
        <w:numPr>
          <w:ilvl w:val="0"/>
          <w:numId w:val="10"/>
        </w:numPr>
        <w:tabs>
          <w:tab w:val="left" w:pos="0"/>
        </w:tabs>
        <w:overflowPunct w:val="0"/>
        <w:autoSpaceDE w:val="0"/>
        <w:autoSpaceDN w:val="0"/>
        <w:adjustRightInd w:val="0"/>
        <w:spacing w:after="0" w:line="276" w:lineRule="auto"/>
        <w:ind w:left="0" w:firstLine="709"/>
        <w:contextualSpacing/>
        <w:jc w:val="both"/>
        <w:textAlignment w:val="baseline"/>
        <w:rPr>
          <w:rFonts w:ascii="Times New Roman" w:eastAsia="Calibri" w:hAnsi="Times New Roman" w:cs="Times New Roman"/>
          <w:sz w:val="26"/>
          <w:szCs w:val="26"/>
        </w:rPr>
      </w:pPr>
      <w:r w:rsidRPr="00114427">
        <w:rPr>
          <w:rFonts w:ascii="Times New Roman" w:eastAsia="Calibri" w:hAnsi="Times New Roman" w:cs="Times New Roman"/>
          <w:sz w:val="26"/>
          <w:szCs w:val="26"/>
        </w:rPr>
        <w:t>определение по каждому из элементов сравнения корректировок цен аналогов, соответствующих характеру и степени отличий каждого аналога от типового (эталонного) объекта;</w:t>
      </w:r>
    </w:p>
    <w:p w14:paraId="3ED3F63E" w14:textId="77777777" w:rsidR="007335EB" w:rsidRPr="00114427" w:rsidRDefault="007335EB" w:rsidP="00C1026B">
      <w:pPr>
        <w:numPr>
          <w:ilvl w:val="0"/>
          <w:numId w:val="10"/>
        </w:numPr>
        <w:tabs>
          <w:tab w:val="left" w:pos="0"/>
        </w:tabs>
        <w:overflowPunct w:val="0"/>
        <w:autoSpaceDE w:val="0"/>
        <w:autoSpaceDN w:val="0"/>
        <w:adjustRightInd w:val="0"/>
        <w:spacing w:after="0" w:line="276" w:lineRule="auto"/>
        <w:ind w:left="0" w:firstLine="709"/>
        <w:contextualSpacing/>
        <w:jc w:val="both"/>
        <w:textAlignment w:val="baseline"/>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корректировка по каждому из элементов сравнения цен каждого аналога, сглаживающая их отличия от типового (эталонного) объекта. </w:t>
      </w:r>
    </w:p>
    <w:p w14:paraId="649A7759" w14:textId="77777777" w:rsidR="007335EB" w:rsidRPr="00114427" w:rsidRDefault="007335EB" w:rsidP="007335EB">
      <w:pPr>
        <w:tabs>
          <w:tab w:val="left" w:pos="0"/>
        </w:tabs>
        <w:overflowPunct w:val="0"/>
        <w:autoSpaceDE w:val="0"/>
        <w:autoSpaceDN w:val="0"/>
        <w:adjustRightInd w:val="0"/>
        <w:spacing w:after="0" w:line="276" w:lineRule="auto"/>
        <w:contextualSpacing/>
        <w:jc w:val="both"/>
        <w:textAlignment w:val="baseline"/>
        <w:rPr>
          <w:rFonts w:ascii="Times New Roman" w:eastAsia="Calibri" w:hAnsi="Times New Roman" w:cs="Times New Roman"/>
          <w:sz w:val="16"/>
          <w:szCs w:val="16"/>
        </w:rPr>
      </w:pPr>
    </w:p>
    <w:p w14:paraId="14E16E79" w14:textId="77777777" w:rsidR="007335EB" w:rsidRPr="00114427" w:rsidRDefault="007335EB" w:rsidP="007335EB">
      <w:pPr>
        <w:spacing w:after="0" w:line="276" w:lineRule="auto"/>
        <w:contextualSpacing/>
        <w:jc w:val="center"/>
        <w:rPr>
          <w:rFonts w:ascii="Times New Roman" w:eastAsia="Calibri" w:hAnsi="Times New Roman" w:cs="Times New Roman"/>
          <w:i/>
          <w:sz w:val="26"/>
          <w:szCs w:val="26"/>
        </w:rPr>
      </w:pPr>
      <w:r w:rsidRPr="00114427">
        <w:rPr>
          <w:rFonts w:ascii="Times New Roman" w:eastAsia="Calibri" w:hAnsi="Times New Roman" w:cs="Times New Roman"/>
          <w:i/>
          <w:sz w:val="26"/>
          <w:szCs w:val="26"/>
        </w:rPr>
        <w:t>Сбор данных о рынке продаж и предложений по земельным участкам</w:t>
      </w:r>
    </w:p>
    <w:p w14:paraId="2757C2F8" w14:textId="118013D9" w:rsidR="007335EB" w:rsidRPr="00F30272" w:rsidRDefault="007335EB" w:rsidP="007335EB">
      <w:pPr>
        <w:spacing w:line="276" w:lineRule="auto"/>
        <w:ind w:firstLine="709"/>
        <w:jc w:val="both"/>
        <w:rPr>
          <w:rFonts w:ascii="Times New Roman" w:eastAsia="Calibri" w:hAnsi="Times New Roman" w:cs="Times New Roman"/>
          <w:sz w:val="26"/>
          <w:szCs w:val="26"/>
          <w:highlight w:val="yellow"/>
        </w:rPr>
      </w:pPr>
      <w:r w:rsidRPr="00114427">
        <w:rPr>
          <w:rFonts w:ascii="Times New Roman" w:eastAsia="Calibri" w:hAnsi="Times New Roman" w:cs="Times New Roman"/>
          <w:sz w:val="26"/>
          <w:szCs w:val="26"/>
        </w:rPr>
        <w:t xml:space="preserve">В процессе реализации 1-го этапа применения метода сравнения продаж для определения рыночной стоимости типового (эталонного) объекта Исполнитель анализировал информацию </w:t>
      </w:r>
      <w:r w:rsidR="00B91035">
        <w:rPr>
          <w:rFonts w:ascii="Times New Roman" w:eastAsia="Calibri" w:hAnsi="Times New Roman" w:cs="Times New Roman"/>
          <w:sz w:val="26"/>
          <w:szCs w:val="26"/>
        </w:rPr>
        <w:t xml:space="preserve">по сделкам </w:t>
      </w:r>
      <w:r w:rsidR="00B91035" w:rsidRPr="00B91035">
        <w:rPr>
          <w:rFonts w:ascii="Times New Roman" w:eastAsia="Calibri" w:hAnsi="Times New Roman" w:cs="Times New Roman"/>
          <w:sz w:val="26"/>
          <w:szCs w:val="26"/>
        </w:rPr>
        <w:t>Росреестра</w:t>
      </w:r>
      <w:r w:rsidRPr="00B91035">
        <w:rPr>
          <w:rFonts w:ascii="Times New Roman" w:eastAsia="Calibri" w:hAnsi="Times New Roman" w:cs="Times New Roman"/>
          <w:sz w:val="26"/>
          <w:szCs w:val="26"/>
        </w:rPr>
        <w:t xml:space="preserve">. </w:t>
      </w:r>
    </w:p>
    <w:p w14:paraId="6CDF619C" w14:textId="77777777" w:rsidR="007335EB" w:rsidRPr="00114427" w:rsidRDefault="007335EB" w:rsidP="007335EB">
      <w:pPr>
        <w:spacing w:line="276" w:lineRule="auto"/>
        <w:ind w:firstLine="709"/>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На основе анализа Исполнитель выявил объекты недвижимости, наиболее сопоставимые с типовым (эталонным) объектом, из которых была подготовлена выборка объектов, являющихся аналогами типовому (эталонному) объекту.</w:t>
      </w:r>
    </w:p>
    <w:p w14:paraId="50B07C61" w14:textId="77777777" w:rsidR="007335EB" w:rsidRPr="00114427" w:rsidRDefault="007335EB" w:rsidP="007335EB">
      <w:pPr>
        <w:spacing w:after="0" w:line="276" w:lineRule="auto"/>
        <w:contextualSpacing/>
        <w:jc w:val="center"/>
        <w:rPr>
          <w:rFonts w:ascii="Times New Roman" w:eastAsia="Calibri" w:hAnsi="Times New Roman" w:cs="Times New Roman"/>
          <w:i/>
          <w:sz w:val="26"/>
          <w:szCs w:val="26"/>
        </w:rPr>
      </w:pPr>
      <w:r w:rsidRPr="00114427">
        <w:rPr>
          <w:rFonts w:ascii="Times New Roman" w:eastAsia="Calibri" w:hAnsi="Times New Roman" w:cs="Times New Roman"/>
          <w:i/>
          <w:sz w:val="26"/>
          <w:szCs w:val="26"/>
        </w:rPr>
        <w:t>Выбор единицы сравнения</w:t>
      </w:r>
    </w:p>
    <w:p w14:paraId="323BFCA0" w14:textId="77777777" w:rsidR="007335EB" w:rsidRPr="00114427"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Единица сравнения — это адекватные, подходящие единицы сравнения, которые передают информацию об объекте недвижимости наиболее эффективным и понятным способом; выбор их впрямую влияет на результат. Выбираются они в соответствии с рыночным стандартом и должны быть типичными для определенного сегмента рынка.</w:t>
      </w:r>
    </w:p>
    <w:p w14:paraId="42574657" w14:textId="77777777" w:rsidR="007335EB" w:rsidRPr="00114427"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Можно выделить три основных критерия выбора единицы сравнения:</w:t>
      </w:r>
    </w:p>
    <w:p w14:paraId="293244A2" w14:textId="77777777" w:rsidR="007335EB" w:rsidRPr="00114427"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единица сравнения используется покупателями и продавцами на конкретном сегменте рынка;</w:t>
      </w:r>
    </w:p>
    <w:p w14:paraId="087FCA34" w14:textId="77777777" w:rsidR="007335EB" w:rsidRPr="00114427"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единица сравнения является общей для типового (эталонного) объекта и объектов-аналогов;</w:t>
      </w:r>
    </w:p>
    <w:p w14:paraId="297CEE14" w14:textId="77777777" w:rsidR="007335EB" w:rsidRPr="00114427"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единица сравнения является удельной характеристикой, что существенно ослабляет зависимость этой характеристики от общего количества ценообразующих факторов.</w:t>
      </w:r>
    </w:p>
    <w:p w14:paraId="38C65028" w14:textId="77777777" w:rsidR="007335EB" w:rsidRPr="00114427"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При сделках с земельными участками используются следующие единицы сравнения: </w:t>
      </w:r>
    </w:p>
    <w:p w14:paraId="2AFDCEAC" w14:textId="77777777" w:rsidR="007335EB" w:rsidRPr="00114427"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 - цена за </w:t>
      </w:r>
      <w:smartTag w:uri="urn:schemas-microsoft-com:office:smarttags" w:element="metricconverter">
        <w:smartTagPr>
          <w:attr w:name="ProductID" w:val="1 га"/>
        </w:smartTagPr>
        <w:r w:rsidRPr="00114427">
          <w:rPr>
            <w:rFonts w:ascii="Times New Roman" w:eastAsia="Calibri" w:hAnsi="Times New Roman" w:cs="Times New Roman"/>
            <w:sz w:val="26"/>
            <w:szCs w:val="26"/>
          </w:rPr>
          <w:t>1 га</w:t>
        </w:r>
      </w:smartTag>
      <w:r w:rsidRPr="00114427">
        <w:rPr>
          <w:rFonts w:ascii="Times New Roman" w:eastAsia="Calibri" w:hAnsi="Times New Roman" w:cs="Times New Roman"/>
          <w:sz w:val="26"/>
          <w:szCs w:val="26"/>
        </w:rPr>
        <w:t xml:space="preserve"> (сельскохозяйственные и лесные угодья либо территории промышленной зоны и т.п.); </w:t>
      </w:r>
    </w:p>
    <w:p w14:paraId="65EE628A" w14:textId="77777777" w:rsidR="007335EB" w:rsidRPr="00114427"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 - цена за 1 сотку (под строительство индивидуального дома, коттеджа, загородной дачи);  </w:t>
      </w:r>
    </w:p>
    <w:p w14:paraId="054741F8" w14:textId="77777777" w:rsidR="007335EB" w:rsidRPr="00114427"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 - цена за 1 кв. м (под строительство зданий, гаражей, торговых киосков, павильонов и прочего). </w:t>
      </w:r>
    </w:p>
    <w:p w14:paraId="2BE508C9" w14:textId="77777777" w:rsidR="00B91035"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В рамках данного расчет в качестве единицы сравнения Исполнителем был принят удельный показатель стоимости за 1 кв. м земельного участка.</w:t>
      </w:r>
    </w:p>
    <w:p w14:paraId="78F848C9" w14:textId="053F4B6C" w:rsidR="00723D8C" w:rsidRDefault="007335EB" w:rsidP="00283AB1">
      <w:pPr>
        <w:spacing w:after="0" w:line="276" w:lineRule="auto"/>
        <w:ind w:firstLine="709"/>
        <w:contextualSpacing/>
        <w:jc w:val="both"/>
        <w:rPr>
          <w:rFonts w:ascii="Times New Roman" w:eastAsia="Calibri" w:hAnsi="Times New Roman" w:cs="Times New Roman"/>
          <w:i/>
          <w:sz w:val="26"/>
          <w:szCs w:val="26"/>
        </w:rPr>
      </w:pPr>
      <w:r w:rsidRPr="00114427">
        <w:rPr>
          <w:rFonts w:ascii="Times New Roman" w:eastAsia="Calibri" w:hAnsi="Times New Roman" w:cs="Times New Roman"/>
          <w:sz w:val="26"/>
          <w:szCs w:val="26"/>
        </w:rPr>
        <w:t xml:space="preserve"> </w:t>
      </w:r>
    </w:p>
    <w:p w14:paraId="23FCADB1" w14:textId="42029AC5" w:rsidR="007335EB" w:rsidRPr="00114427" w:rsidRDefault="007335EB" w:rsidP="007335EB">
      <w:pPr>
        <w:spacing w:after="0" w:line="276" w:lineRule="auto"/>
        <w:contextualSpacing/>
        <w:jc w:val="center"/>
        <w:rPr>
          <w:rFonts w:ascii="Times New Roman" w:eastAsia="Calibri" w:hAnsi="Times New Roman" w:cs="Times New Roman"/>
          <w:i/>
          <w:sz w:val="26"/>
          <w:szCs w:val="26"/>
        </w:rPr>
      </w:pPr>
      <w:r w:rsidRPr="00114427">
        <w:rPr>
          <w:rFonts w:ascii="Times New Roman" w:eastAsia="Calibri" w:hAnsi="Times New Roman" w:cs="Times New Roman"/>
          <w:i/>
          <w:sz w:val="26"/>
          <w:szCs w:val="26"/>
        </w:rPr>
        <w:t>Определение элементов, по которым осуществляется сравнение</w:t>
      </w:r>
    </w:p>
    <w:p w14:paraId="2FA0340C" w14:textId="77777777" w:rsidR="007335EB" w:rsidRPr="00114427"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В качестве основных факторов стоимости эталонного земельного участка рассматриваются:</w:t>
      </w:r>
    </w:p>
    <w:p w14:paraId="2FF9748C" w14:textId="6909C1FB" w:rsidR="007335EB" w:rsidRPr="00B91035" w:rsidRDefault="007335EB" w:rsidP="003D478C">
      <w:pPr>
        <w:pStyle w:val="ab"/>
        <w:numPr>
          <w:ilvl w:val="0"/>
          <w:numId w:val="33"/>
        </w:numPr>
        <w:spacing w:after="0" w:line="276" w:lineRule="auto"/>
        <w:ind w:left="0" w:firstLine="851"/>
        <w:jc w:val="both"/>
        <w:rPr>
          <w:rFonts w:ascii="Times New Roman" w:eastAsia="Calibri" w:hAnsi="Times New Roman" w:cs="Times New Roman"/>
          <w:sz w:val="26"/>
          <w:szCs w:val="26"/>
        </w:rPr>
      </w:pPr>
      <w:r w:rsidRPr="00B91035">
        <w:rPr>
          <w:rFonts w:ascii="Times New Roman" w:eastAsia="Calibri" w:hAnsi="Times New Roman" w:cs="Times New Roman"/>
          <w:sz w:val="26"/>
          <w:szCs w:val="26"/>
        </w:rPr>
        <w:t xml:space="preserve">Состав передаваемых прав. Учитывается разница в наборе прав, передаваемых в сделке (собственность/аренда). </w:t>
      </w:r>
    </w:p>
    <w:p w14:paraId="0FF8DD94" w14:textId="77777777" w:rsidR="007335EB" w:rsidRPr="00114427" w:rsidRDefault="007335EB" w:rsidP="00C1026B">
      <w:pPr>
        <w:numPr>
          <w:ilvl w:val="0"/>
          <w:numId w:val="16"/>
        </w:numPr>
        <w:spacing w:after="0" w:line="276" w:lineRule="auto"/>
        <w:ind w:left="0" w:firstLine="851"/>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Условия финансирования. Учитывается различие в форме оплаты, соотношении собственных и заемных средств, возможности использования ипотечного кредита и т.д. </w:t>
      </w:r>
    </w:p>
    <w:p w14:paraId="59592B84" w14:textId="77777777" w:rsidR="007335EB" w:rsidRPr="00114427" w:rsidRDefault="007335EB" w:rsidP="00C1026B">
      <w:pPr>
        <w:numPr>
          <w:ilvl w:val="0"/>
          <w:numId w:val="16"/>
        </w:numPr>
        <w:spacing w:after="0" w:line="276" w:lineRule="auto"/>
        <w:ind w:left="0" w:firstLine="851"/>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Условия продажи. Учитывается продажа на открытом рынке (публичная оферта), продажа в условиях банкротства или ликвидации, аффилированность продавца и покупателя, цена предложения или сделки (наличие возможности торга). </w:t>
      </w:r>
    </w:p>
    <w:p w14:paraId="4CE73BFF" w14:textId="77777777" w:rsidR="007335EB" w:rsidRPr="00114427" w:rsidRDefault="007335EB" w:rsidP="00C1026B">
      <w:pPr>
        <w:numPr>
          <w:ilvl w:val="0"/>
          <w:numId w:val="16"/>
        </w:numPr>
        <w:spacing w:after="0" w:line="276" w:lineRule="auto"/>
        <w:ind w:left="0" w:firstLine="851"/>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Дата продажи / предложения. Учитывается изменение рыночных условий с течением времени. </w:t>
      </w:r>
    </w:p>
    <w:p w14:paraId="5DF585B1" w14:textId="77777777" w:rsidR="007335EB" w:rsidRPr="00114427" w:rsidRDefault="007335EB" w:rsidP="00C1026B">
      <w:pPr>
        <w:numPr>
          <w:ilvl w:val="0"/>
          <w:numId w:val="16"/>
        </w:numPr>
        <w:spacing w:after="0" w:line="276" w:lineRule="auto"/>
        <w:ind w:left="0" w:firstLine="851"/>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Месторасположение. Учитывается типичное окружение, плотность застройки (при анализе месторасположения следует учитывать расположение относительно наиболее привлекательных районов, принимать во внимание фактор транспортной доступности). </w:t>
      </w:r>
    </w:p>
    <w:p w14:paraId="2F16D242" w14:textId="77777777" w:rsidR="007335EB" w:rsidRPr="00114427" w:rsidRDefault="007335EB" w:rsidP="00C1026B">
      <w:pPr>
        <w:numPr>
          <w:ilvl w:val="0"/>
          <w:numId w:val="16"/>
        </w:numPr>
        <w:spacing w:after="0" w:line="276" w:lineRule="auto"/>
        <w:ind w:left="0" w:firstLine="851"/>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Физические характеристики. Учитывается рельеф, размер, форма, наличие улучшений, рекреационная ценность территории и др. </w:t>
      </w:r>
    </w:p>
    <w:p w14:paraId="198D0A97" w14:textId="77777777" w:rsidR="007335EB" w:rsidRPr="00114427" w:rsidRDefault="007335EB" w:rsidP="00C1026B">
      <w:pPr>
        <w:numPr>
          <w:ilvl w:val="0"/>
          <w:numId w:val="16"/>
        </w:numPr>
        <w:spacing w:after="0" w:line="276" w:lineRule="auto"/>
        <w:ind w:left="0" w:firstLine="851"/>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Характер пользования. Учитывается различие в стоимости земельных участков, различающихся по виду использования. В случае, если подобранные аналоги относятся к тому же сегменту рынка, что типовой (эталонный) объект, но вид использования не совпадает, допустимо включение таких аналогов в расчет условии введения соответствующей корректировки. </w:t>
      </w:r>
    </w:p>
    <w:p w14:paraId="52DC09D0" w14:textId="77777777" w:rsidR="007335EB" w:rsidRPr="00F30272" w:rsidRDefault="007335EB" w:rsidP="007335EB">
      <w:pPr>
        <w:spacing w:after="0" w:line="276" w:lineRule="auto"/>
        <w:ind w:left="709"/>
        <w:contextualSpacing/>
        <w:jc w:val="both"/>
        <w:rPr>
          <w:rFonts w:ascii="Times New Roman" w:eastAsia="Calibri" w:hAnsi="Times New Roman" w:cs="Times New Roman"/>
          <w:sz w:val="26"/>
          <w:szCs w:val="26"/>
          <w:highlight w:val="yellow"/>
        </w:rPr>
      </w:pPr>
    </w:p>
    <w:p w14:paraId="5E714AED" w14:textId="77777777" w:rsidR="007335EB" w:rsidRPr="00114427" w:rsidRDefault="007335EB" w:rsidP="007335EB">
      <w:pPr>
        <w:tabs>
          <w:tab w:val="left" w:pos="1455"/>
        </w:tabs>
        <w:spacing w:after="0" w:line="276" w:lineRule="auto"/>
        <w:contextualSpacing/>
        <w:jc w:val="center"/>
        <w:rPr>
          <w:rFonts w:ascii="Times New Roman" w:eastAsia="Calibri" w:hAnsi="Times New Roman" w:cs="Times New Roman"/>
          <w:i/>
          <w:sz w:val="26"/>
          <w:szCs w:val="26"/>
        </w:rPr>
      </w:pPr>
      <w:r w:rsidRPr="00114427">
        <w:rPr>
          <w:rFonts w:ascii="Times New Roman" w:eastAsia="Calibri" w:hAnsi="Times New Roman" w:cs="Times New Roman"/>
          <w:i/>
          <w:sz w:val="26"/>
          <w:szCs w:val="26"/>
        </w:rPr>
        <w:t>Определение по каждому из элементов сравнения корректировок цен аналогов</w:t>
      </w:r>
    </w:p>
    <w:p w14:paraId="3B54422F" w14:textId="77777777" w:rsidR="007335EB" w:rsidRPr="00114427" w:rsidRDefault="007335EB" w:rsidP="007335EB">
      <w:pPr>
        <w:tabs>
          <w:tab w:val="left" w:pos="1455"/>
        </w:tabs>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Поправки могут быть выражены в процентном или денежном отношении. Денежная поправка может вноситься как к цене всего участка (абсолютная денежная корректировка), так и к цене единицы сравнения (относительная денежная корректировка). В рамках данного расчета корректировки вносились в процентном соотношении.</w:t>
      </w:r>
    </w:p>
    <w:p w14:paraId="2A7BE7FB" w14:textId="77777777" w:rsidR="007335EB" w:rsidRPr="00114427" w:rsidRDefault="007335EB" w:rsidP="00C1026B">
      <w:pPr>
        <w:numPr>
          <w:ilvl w:val="0"/>
          <w:numId w:val="11"/>
        </w:numPr>
        <w:tabs>
          <w:tab w:val="num" w:pos="720"/>
        </w:tabs>
        <w:spacing w:after="0" w:line="276" w:lineRule="auto"/>
        <w:ind w:left="0"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в первую очередь проводятся корректировки, относящиеся к условиям сделки и состоянию рынка (состав передаваемых прав, условия финансирования, условия продажи, дата продажи / предложения).</w:t>
      </w:r>
    </w:p>
    <w:p w14:paraId="6E7F5907" w14:textId="77777777" w:rsidR="007335EB" w:rsidRPr="00114427" w:rsidRDefault="007335EB" w:rsidP="00C1026B">
      <w:pPr>
        <w:numPr>
          <w:ilvl w:val="0"/>
          <w:numId w:val="11"/>
        </w:numPr>
        <w:tabs>
          <w:tab w:val="num" w:pos="720"/>
        </w:tabs>
        <w:spacing w:after="0" w:line="276" w:lineRule="auto"/>
        <w:ind w:left="0"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во вторую очередь проводятся корректировки, относящиеся непосредственно к объекту оценки, которые проводятся путем применения указанных корректировок к результату, полученному после корректировки на условия сделки и состоянию рынка, в любом порядке. </w:t>
      </w:r>
    </w:p>
    <w:p w14:paraId="2687615F" w14:textId="77777777" w:rsidR="007335EB" w:rsidRPr="00114427" w:rsidRDefault="007335EB" w:rsidP="007335EB">
      <w:pPr>
        <w:autoSpaceDE w:val="0"/>
        <w:autoSpaceDN w:val="0"/>
        <w:adjustRightInd w:val="0"/>
        <w:spacing w:before="240"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Каждая сопоставимая продажа сравнивается с типовым (эталонным) объектом (в нашем случае это земельный участок, обладающий характерными для данной группы признаками, такими как функциональное назначение (разрешенное использование), площадь, наличие необходимых коммуникаций и др.). В цену сопоставимой продажи вносятся поправки, отражающие существенные различия между ними. Такой подход оправдан с той точки зрения, что потенциальный покупатель прежде, чем принять решение о покупке объекта недвижимости, проанализирует текущие рыночные предложения и придет к заключению о возможной цене предлагаемого объекта, учитывая все его достоинства и недостатки относительно объектов сравнения. </w:t>
      </w:r>
    </w:p>
    <w:p w14:paraId="32AF4EDB" w14:textId="77777777" w:rsidR="007335EB" w:rsidRPr="00114427"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В случае, если объект оценки имеет относительно лучшие характеристики, то цена объекта-аналога корректируется в сторону повышения, и наоборот. </w:t>
      </w:r>
    </w:p>
    <w:p w14:paraId="0A70FD21" w14:textId="77777777" w:rsidR="007335EB" w:rsidRPr="00114427"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Кадастровая стоимость эталонного земельного участка </w:t>
      </w:r>
      <w:r>
        <w:rPr>
          <w:rFonts w:ascii="Times New Roman" w:eastAsia="Calibri" w:hAnsi="Times New Roman" w:cs="Times New Roman"/>
          <w:sz w:val="26"/>
          <w:szCs w:val="26"/>
        </w:rPr>
        <w:t>определяется</w:t>
      </w:r>
      <w:r w:rsidRPr="00114427">
        <w:rPr>
          <w:rFonts w:ascii="Times New Roman" w:eastAsia="Calibri" w:hAnsi="Times New Roman" w:cs="Times New Roman"/>
          <w:sz w:val="26"/>
          <w:szCs w:val="26"/>
        </w:rPr>
        <w:t xml:space="preserve"> как средневзвешенное значение полученных стоимостей объектов-аналогов. </w:t>
      </w:r>
    </w:p>
    <w:p w14:paraId="2BAB9F1A" w14:textId="7113F43F" w:rsidR="007335EB" w:rsidRPr="00114427"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 xml:space="preserve">Информация по объектам-аналогам, используемым для расчета стоимости эталонных земельных участков, приведена в Приложении </w:t>
      </w:r>
      <w:r w:rsidR="00723D8C" w:rsidRPr="001F5B6B">
        <w:rPr>
          <w:rFonts w:ascii="Times New Roman" w:eastAsia="Calibri" w:hAnsi="Times New Roman" w:cs="Times New Roman"/>
          <w:sz w:val="26"/>
          <w:szCs w:val="26"/>
        </w:rPr>
        <w:t>1/1.6.2.</w:t>
      </w:r>
    </w:p>
    <w:p w14:paraId="72036030" w14:textId="77777777" w:rsidR="007335EB" w:rsidRPr="00114427" w:rsidRDefault="007335EB" w:rsidP="007335EB">
      <w:pPr>
        <w:spacing w:after="0" w:line="276" w:lineRule="auto"/>
        <w:ind w:firstLine="709"/>
        <w:contextualSpacing/>
        <w:jc w:val="both"/>
        <w:rPr>
          <w:rFonts w:ascii="Times New Roman" w:eastAsia="Calibri" w:hAnsi="Times New Roman" w:cs="Times New Roman"/>
          <w:sz w:val="26"/>
          <w:szCs w:val="26"/>
        </w:rPr>
      </w:pPr>
      <w:r w:rsidRPr="00114427">
        <w:rPr>
          <w:rFonts w:ascii="Times New Roman" w:eastAsia="Calibri" w:hAnsi="Times New Roman" w:cs="Times New Roman"/>
          <w:sz w:val="26"/>
          <w:szCs w:val="26"/>
        </w:rPr>
        <w:t>Выбранные объекты-аналоги и эталонный земельный участок сопоставимы по всем основным элементам сравнения</w:t>
      </w:r>
      <w:r>
        <w:rPr>
          <w:rFonts w:ascii="Times New Roman" w:eastAsia="Calibri" w:hAnsi="Times New Roman" w:cs="Times New Roman"/>
          <w:sz w:val="26"/>
          <w:szCs w:val="26"/>
        </w:rPr>
        <w:t>, поэтому</w:t>
      </w:r>
      <w:r w:rsidRPr="00114427">
        <w:rPr>
          <w:rFonts w:ascii="Times New Roman" w:eastAsia="Calibri" w:hAnsi="Times New Roman" w:cs="Times New Roman"/>
          <w:sz w:val="26"/>
          <w:szCs w:val="26"/>
        </w:rPr>
        <w:t xml:space="preserve"> </w:t>
      </w:r>
      <w:r w:rsidRPr="00114427">
        <w:rPr>
          <w:rFonts w:ascii="Times New Roman" w:hAnsi="Times New Roman" w:cs="Times New Roman"/>
          <w:sz w:val="26"/>
          <w:szCs w:val="26"/>
        </w:rPr>
        <w:t>введение корректировок не требуется.</w:t>
      </w:r>
    </w:p>
    <w:p w14:paraId="068E170A" w14:textId="77777777" w:rsidR="007335EB" w:rsidRPr="005836FD" w:rsidRDefault="007335EB" w:rsidP="007335EB">
      <w:pPr>
        <w:tabs>
          <w:tab w:val="right" w:pos="9072"/>
        </w:tabs>
        <w:spacing w:after="0" w:line="276" w:lineRule="auto"/>
        <w:ind w:firstLine="709"/>
        <w:contextualSpacing/>
        <w:jc w:val="both"/>
        <w:rPr>
          <w:rFonts w:ascii="Times New Roman" w:hAnsi="Times New Roman" w:cs="Times New Roman"/>
          <w:sz w:val="26"/>
          <w:szCs w:val="26"/>
        </w:rPr>
      </w:pPr>
      <w:r w:rsidRPr="001B772C">
        <w:rPr>
          <w:rFonts w:ascii="Times New Roman" w:hAnsi="Times New Roman" w:cs="Times New Roman"/>
          <w:sz w:val="26"/>
          <w:szCs w:val="26"/>
        </w:rPr>
        <w:t>Заключительным этапом метода сравнения продаж сравнительного подхода является анализ произведенных расчетов с целью получения итоговой величины стоимости 1м</w:t>
      </w:r>
      <w:r w:rsidRPr="001B772C">
        <w:rPr>
          <w:rFonts w:ascii="Times New Roman" w:hAnsi="Times New Roman" w:cs="Times New Roman"/>
          <w:sz w:val="26"/>
          <w:szCs w:val="26"/>
          <w:vertAlign w:val="superscript"/>
        </w:rPr>
        <w:t>2</w:t>
      </w:r>
      <w:r w:rsidRPr="001B772C">
        <w:rPr>
          <w:rFonts w:ascii="Times New Roman" w:hAnsi="Times New Roman" w:cs="Times New Roman"/>
          <w:sz w:val="26"/>
          <w:szCs w:val="26"/>
        </w:rPr>
        <w:t xml:space="preserve"> объекта недвижимости. Наибольший вес присваивается скорректированным величинам цен тех отобранных аналогов, к которым вводилось меньшее количество и величина корректировок. Иначе говоря, наибольший вес при согласовании результатов корректировок будут иметь те аналоги, которые наиболее сопоставимы с типовым (эталонным) объектом.</w:t>
      </w:r>
      <w:r w:rsidRPr="005836FD">
        <w:rPr>
          <w:rFonts w:ascii="Times New Roman" w:hAnsi="Times New Roman" w:cs="Times New Roman"/>
          <w:sz w:val="26"/>
          <w:szCs w:val="26"/>
        </w:rPr>
        <w:t xml:space="preserve"> </w:t>
      </w:r>
      <w:r>
        <w:rPr>
          <w:rFonts w:ascii="Times New Roman" w:hAnsi="Times New Roman" w:cs="Times New Roman"/>
          <w:sz w:val="26"/>
          <w:szCs w:val="26"/>
        </w:rPr>
        <w:t xml:space="preserve">Поскольку корректировки к удельным значениям цен аналогов не применялись, </w:t>
      </w:r>
      <w:r w:rsidRPr="001B772C">
        <w:rPr>
          <w:rFonts w:ascii="Times New Roman" w:hAnsi="Times New Roman" w:cs="Times New Roman"/>
          <w:sz w:val="26"/>
          <w:szCs w:val="26"/>
        </w:rPr>
        <w:t>итогов</w:t>
      </w:r>
      <w:r>
        <w:rPr>
          <w:rFonts w:ascii="Times New Roman" w:hAnsi="Times New Roman" w:cs="Times New Roman"/>
          <w:sz w:val="26"/>
          <w:szCs w:val="26"/>
        </w:rPr>
        <w:t>ая</w:t>
      </w:r>
      <w:r w:rsidRPr="001B772C">
        <w:rPr>
          <w:rFonts w:ascii="Times New Roman" w:hAnsi="Times New Roman" w:cs="Times New Roman"/>
          <w:sz w:val="26"/>
          <w:szCs w:val="26"/>
        </w:rPr>
        <w:t xml:space="preserve"> величин</w:t>
      </w:r>
      <w:r>
        <w:rPr>
          <w:rFonts w:ascii="Times New Roman" w:hAnsi="Times New Roman" w:cs="Times New Roman"/>
          <w:sz w:val="26"/>
          <w:szCs w:val="26"/>
        </w:rPr>
        <w:t>а</w:t>
      </w:r>
      <w:r w:rsidRPr="001B772C">
        <w:rPr>
          <w:rFonts w:ascii="Times New Roman" w:hAnsi="Times New Roman" w:cs="Times New Roman"/>
          <w:sz w:val="26"/>
          <w:szCs w:val="26"/>
        </w:rPr>
        <w:t xml:space="preserve"> стоимости 1м</w:t>
      </w:r>
      <w:r w:rsidRPr="001B772C">
        <w:rPr>
          <w:rFonts w:ascii="Times New Roman" w:hAnsi="Times New Roman" w:cs="Times New Roman"/>
          <w:sz w:val="26"/>
          <w:szCs w:val="26"/>
          <w:vertAlign w:val="superscript"/>
        </w:rPr>
        <w:t>2</w:t>
      </w:r>
      <w:r w:rsidRPr="001B772C">
        <w:rPr>
          <w:rFonts w:ascii="Times New Roman" w:hAnsi="Times New Roman" w:cs="Times New Roman"/>
          <w:sz w:val="26"/>
          <w:szCs w:val="26"/>
        </w:rPr>
        <w:t xml:space="preserve"> </w:t>
      </w:r>
      <w:r>
        <w:rPr>
          <w:rFonts w:ascii="Times New Roman" w:hAnsi="Times New Roman" w:cs="Times New Roman"/>
          <w:sz w:val="26"/>
          <w:szCs w:val="26"/>
        </w:rPr>
        <w:t>эталонного объекта получена как их среднее значение.</w:t>
      </w:r>
    </w:p>
    <w:p w14:paraId="3F9322A3" w14:textId="77777777" w:rsidR="007335EB" w:rsidRPr="006F0929" w:rsidRDefault="007335EB" w:rsidP="007335EB">
      <w:pPr>
        <w:spacing w:after="0" w:line="276" w:lineRule="auto"/>
        <w:ind w:firstLine="709"/>
        <w:contextualSpacing/>
        <w:jc w:val="both"/>
        <w:rPr>
          <w:rFonts w:ascii="Times New Roman" w:eastAsia="Calibri" w:hAnsi="Times New Roman" w:cs="Times New Roman"/>
          <w:sz w:val="26"/>
          <w:szCs w:val="26"/>
        </w:rPr>
      </w:pPr>
      <w:r w:rsidRPr="00D82022">
        <w:rPr>
          <w:rFonts w:ascii="Times New Roman" w:eastAsia="Calibri" w:hAnsi="Times New Roman" w:cs="Times New Roman"/>
          <w:sz w:val="26"/>
          <w:szCs w:val="26"/>
        </w:rPr>
        <w:t xml:space="preserve">При распространении на объекты оценки стоимости эталонного объекта оценки внесены корректировки на </w:t>
      </w:r>
      <w:r>
        <w:rPr>
          <w:rFonts w:ascii="Times New Roman" w:eastAsia="Calibri" w:hAnsi="Times New Roman" w:cs="Times New Roman"/>
          <w:sz w:val="26"/>
          <w:szCs w:val="26"/>
        </w:rPr>
        <w:t xml:space="preserve">площадь, в соответствии с </w:t>
      </w:r>
      <w:r w:rsidRPr="003E60DE">
        <w:rPr>
          <w:rFonts w:ascii="Times New Roman" w:hAnsi="Times New Roman" w:cs="Times New Roman"/>
          <w:sz w:val="26"/>
          <w:szCs w:val="26"/>
        </w:rPr>
        <w:t>данным</w:t>
      </w:r>
      <w:r>
        <w:rPr>
          <w:rFonts w:ascii="Times New Roman" w:hAnsi="Times New Roman" w:cs="Times New Roman"/>
          <w:sz w:val="26"/>
          <w:szCs w:val="26"/>
        </w:rPr>
        <w:t>и издания</w:t>
      </w:r>
      <w:r w:rsidRPr="003E60DE">
        <w:rPr>
          <w:rFonts w:ascii="Times New Roman" w:hAnsi="Times New Roman" w:cs="Times New Roman"/>
          <w:sz w:val="26"/>
          <w:szCs w:val="26"/>
        </w:rPr>
        <w:t xml:space="preserve"> «Справочник оценщика недвижимости</w:t>
      </w:r>
      <w:r>
        <w:rPr>
          <w:rFonts w:ascii="Times New Roman" w:hAnsi="Times New Roman" w:cs="Times New Roman"/>
          <w:sz w:val="26"/>
          <w:szCs w:val="26"/>
        </w:rPr>
        <w:t xml:space="preserve">-2020, земельные участки, часть 2» под редакцией Лейфера Л.А., где </w:t>
      </w:r>
      <w:r w:rsidRPr="007F03B9">
        <w:rPr>
          <w:rFonts w:ascii="Times New Roman" w:hAnsi="Times New Roman" w:cs="Times New Roman"/>
          <w:sz w:val="26"/>
          <w:szCs w:val="26"/>
        </w:rPr>
        <w:t>зависимость удельной цены земельного участка от площади объекта представлена следующ</w:t>
      </w:r>
      <w:r>
        <w:rPr>
          <w:rFonts w:ascii="Times New Roman" w:hAnsi="Times New Roman" w:cs="Times New Roman"/>
          <w:sz w:val="26"/>
          <w:szCs w:val="26"/>
        </w:rPr>
        <w:t>им</w:t>
      </w:r>
      <w:r w:rsidRPr="007F03B9">
        <w:rPr>
          <w:rFonts w:ascii="Times New Roman" w:hAnsi="Times New Roman" w:cs="Times New Roman"/>
          <w:sz w:val="26"/>
          <w:szCs w:val="26"/>
        </w:rPr>
        <w:t xml:space="preserve"> </w:t>
      </w:r>
      <w:r>
        <w:rPr>
          <w:rFonts w:ascii="Times New Roman" w:hAnsi="Times New Roman" w:cs="Times New Roman"/>
          <w:sz w:val="26"/>
          <w:szCs w:val="26"/>
        </w:rPr>
        <w:t>образом:</w:t>
      </w:r>
    </w:p>
    <w:p w14:paraId="0AA4AC4C" w14:textId="77777777" w:rsidR="007335EB" w:rsidRDefault="007335EB" w:rsidP="007335EB">
      <w:pPr>
        <w:spacing w:after="0" w:line="276" w:lineRule="auto"/>
        <w:ind w:firstLine="284"/>
        <w:contextualSpacing/>
        <w:jc w:val="center"/>
        <w:rPr>
          <w:rFonts w:ascii="Times New Roman" w:eastAsia="Calibri" w:hAnsi="Times New Roman" w:cs="Times New Roman"/>
          <w:sz w:val="26"/>
          <w:szCs w:val="26"/>
        </w:rPr>
      </w:pPr>
      <w:r>
        <w:rPr>
          <w:noProof/>
          <w:lang w:eastAsia="ru-RU"/>
        </w:rPr>
        <w:drawing>
          <wp:inline distT="0" distB="0" distL="0" distR="0" wp14:anchorId="359A71E9" wp14:editId="585608D7">
            <wp:extent cx="2832136" cy="2234924"/>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2857348" cy="2254819"/>
                    </a:xfrm>
                    <a:prstGeom prst="rect">
                      <a:avLst/>
                    </a:prstGeom>
                  </pic:spPr>
                </pic:pic>
              </a:graphicData>
            </a:graphic>
          </wp:inline>
        </w:drawing>
      </w:r>
    </w:p>
    <w:tbl>
      <w:tblPr>
        <w:tblStyle w:val="7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335EB" w:rsidRPr="00F30272" w14:paraId="7E784F49" w14:textId="77777777" w:rsidTr="006F1997">
        <w:trPr>
          <w:jc w:val="center"/>
        </w:trPr>
        <w:tc>
          <w:tcPr>
            <w:tcW w:w="5000" w:type="pct"/>
          </w:tcPr>
          <w:p w14:paraId="48B26277" w14:textId="722BD726" w:rsidR="007335EB" w:rsidRPr="00F30272" w:rsidRDefault="007335EB" w:rsidP="006F1997">
            <w:pPr>
              <w:tabs>
                <w:tab w:val="right" w:pos="9072"/>
              </w:tabs>
              <w:spacing w:line="276" w:lineRule="auto"/>
              <w:jc w:val="center"/>
              <w:rPr>
                <w:rFonts w:ascii="Times New Roman" w:hAnsi="Times New Roman" w:cs="Times New Roman"/>
                <w:i/>
                <w:noProof/>
                <w:sz w:val="18"/>
                <w:szCs w:val="18"/>
                <w:highlight w:val="yellow"/>
              </w:rPr>
            </w:pPr>
            <w:r w:rsidRPr="007F03B9">
              <w:rPr>
                <w:rFonts w:ascii="Times New Roman" w:hAnsi="Times New Roman" w:cs="Times New Roman"/>
                <w:i/>
                <w:noProof/>
                <w:sz w:val="18"/>
                <w:szCs w:val="18"/>
              </w:rPr>
              <w:t>Источник: «Справочника оценщика недвижимости</w:t>
            </w:r>
            <w:r>
              <w:rPr>
                <w:rFonts w:ascii="Times New Roman" w:hAnsi="Times New Roman" w:cs="Times New Roman"/>
                <w:i/>
                <w:noProof/>
                <w:sz w:val="18"/>
                <w:szCs w:val="18"/>
              </w:rPr>
              <w:t>-2020. Земельные участки. Часть 2», под ред. Лейфера Л. А.</w:t>
            </w:r>
            <w:r w:rsidRPr="007F03B9">
              <w:rPr>
                <w:rFonts w:ascii="Times New Roman" w:hAnsi="Times New Roman" w:cs="Times New Roman"/>
                <w:i/>
                <w:noProof/>
                <w:sz w:val="18"/>
                <w:szCs w:val="18"/>
              </w:rPr>
              <w:t xml:space="preserve"> стр. </w:t>
            </w:r>
            <w:r>
              <w:rPr>
                <w:rFonts w:ascii="Times New Roman" w:hAnsi="Times New Roman" w:cs="Times New Roman"/>
                <w:i/>
                <w:noProof/>
                <w:sz w:val="18"/>
                <w:szCs w:val="18"/>
              </w:rPr>
              <w:t>116</w:t>
            </w:r>
          </w:p>
        </w:tc>
      </w:tr>
    </w:tbl>
    <w:p w14:paraId="68869E7A" w14:textId="5FFAD7CD" w:rsidR="007335EB" w:rsidRDefault="007335EB" w:rsidP="007335EB">
      <w:pPr>
        <w:tabs>
          <w:tab w:val="right" w:pos="9072"/>
        </w:tabs>
        <w:spacing w:after="0" w:line="276" w:lineRule="auto"/>
        <w:ind w:firstLine="709"/>
        <w:jc w:val="center"/>
        <w:rPr>
          <w:rFonts w:ascii="Times New Roman" w:hAnsi="Times New Roman" w:cs="Times New Roman"/>
          <w:sz w:val="26"/>
          <w:szCs w:val="26"/>
        </w:rPr>
      </w:pPr>
      <w:r w:rsidRPr="001C26DA">
        <w:rPr>
          <w:rFonts w:ascii="Times New Roman" w:hAnsi="Times New Roman" w:cs="Times New Roman"/>
          <w:sz w:val="26"/>
          <w:szCs w:val="26"/>
        </w:rPr>
        <w:t>Рис. 3.6.</w:t>
      </w:r>
      <w:r w:rsidR="001C26DA" w:rsidRPr="001C26DA">
        <w:rPr>
          <w:rFonts w:ascii="Times New Roman" w:hAnsi="Times New Roman" w:cs="Times New Roman"/>
          <w:sz w:val="26"/>
          <w:szCs w:val="26"/>
        </w:rPr>
        <w:t>6</w:t>
      </w:r>
      <w:r w:rsidRPr="001C26DA">
        <w:rPr>
          <w:rFonts w:ascii="Times New Roman" w:hAnsi="Times New Roman" w:cs="Times New Roman"/>
          <w:sz w:val="26"/>
          <w:szCs w:val="26"/>
        </w:rPr>
        <w:t>.</w:t>
      </w:r>
      <w:r w:rsidR="001C26DA" w:rsidRPr="001C26DA">
        <w:rPr>
          <w:rFonts w:ascii="Times New Roman" w:hAnsi="Times New Roman" w:cs="Times New Roman"/>
          <w:sz w:val="26"/>
          <w:szCs w:val="26"/>
        </w:rPr>
        <w:t>7</w:t>
      </w:r>
      <w:r w:rsidRPr="001C26DA">
        <w:rPr>
          <w:rFonts w:ascii="Times New Roman" w:hAnsi="Times New Roman" w:cs="Times New Roman"/>
          <w:sz w:val="26"/>
          <w:szCs w:val="26"/>
        </w:rPr>
        <w:t>.</w:t>
      </w:r>
      <w:r w:rsidR="001C26DA" w:rsidRPr="001C26DA">
        <w:rPr>
          <w:rFonts w:ascii="Times New Roman" w:hAnsi="Times New Roman" w:cs="Times New Roman"/>
          <w:sz w:val="26"/>
          <w:szCs w:val="26"/>
        </w:rPr>
        <w:t>1</w:t>
      </w:r>
      <w:r w:rsidRPr="001C26DA">
        <w:rPr>
          <w:rFonts w:ascii="Times New Roman" w:hAnsi="Times New Roman" w:cs="Times New Roman"/>
          <w:sz w:val="26"/>
          <w:szCs w:val="26"/>
        </w:rPr>
        <w:t xml:space="preserve"> - Значения корректирующих</w:t>
      </w:r>
      <w:r w:rsidRPr="00E16424">
        <w:rPr>
          <w:rFonts w:ascii="Times New Roman" w:hAnsi="Times New Roman" w:cs="Times New Roman"/>
          <w:sz w:val="26"/>
          <w:szCs w:val="26"/>
        </w:rPr>
        <w:t xml:space="preserve"> коэффициентов на </w:t>
      </w:r>
      <w:r>
        <w:rPr>
          <w:rFonts w:ascii="Times New Roman" w:hAnsi="Times New Roman" w:cs="Times New Roman"/>
          <w:sz w:val="26"/>
          <w:szCs w:val="26"/>
        </w:rPr>
        <w:t>площадь</w:t>
      </w:r>
    </w:p>
    <w:p w14:paraId="6B3399A6" w14:textId="41340E2C" w:rsidR="007335EB" w:rsidRDefault="007335EB" w:rsidP="001C26DA">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Для объектов площадью в пределах 1 га корректировка не применялась, поскольку и эталонный объект, и аналоги, взятые для расчета его стоимости, имеют площадь в пределах 1 га. </w:t>
      </w:r>
      <w:r w:rsidRPr="00AD28C3">
        <w:rPr>
          <w:rFonts w:ascii="Times New Roman" w:hAnsi="Times New Roman" w:cs="Times New Roman"/>
          <w:sz w:val="26"/>
          <w:szCs w:val="26"/>
        </w:rPr>
        <w:t>Для объектов оценки</w:t>
      </w:r>
      <w:r>
        <w:rPr>
          <w:rFonts w:ascii="Times New Roman" w:hAnsi="Times New Roman" w:cs="Times New Roman"/>
          <w:sz w:val="26"/>
          <w:szCs w:val="26"/>
        </w:rPr>
        <w:t xml:space="preserve"> площадью свыше 1 га, </w:t>
      </w:r>
      <w:r w:rsidRPr="00AD28C3">
        <w:rPr>
          <w:rFonts w:ascii="Times New Roman" w:hAnsi="Times New Roman" w:cs="Times New Roman"/>
          <w:sz w:val="26"/>
          <w:szCs w:val="26"/>
        </w:rPr>
        <w:t>примен</w:t>
      </w:r>
      <w:r>
        <w:rPr>
          <w:rFonts w:ascii="Times New Roman" w:hAnsi="Times New Roman" w:cs="Times New Roman"/>
          <w:sz w:val="26"/>
          <w:szCs w:val="26"/>
        </w:rPr>
        <w:t>ена</w:t>
      </w:r>
      <w:r w:rsidRPr="00AD28C3">
        <w:rPr>
          <w:rFonts w:ascii="Times New Roman" w:hAnsi="Times New Roman" w:cs="Times New Roman"/>
          <w:sz w:val="26"/>
          <w:szCs w:val="26"/>
        </w:rPr>
        <w:t xml:space="preserve"> поправка на основании среднего значения коэффициента торможения (-0,187).</w:t>
      </w:r>
      <w:r>
        <w:rPr>
          <w:rFonts w:ascii="Times New Roman" w:hAnsi="Times New Roman" w:cs="Times New Roman"/>
          <w:sz w:val="26"/>
          <w:szCs w:val="26"/>
        </w:rPr>
        <w:t xml:space="preserve"> Для объектов оценки, превышающих по площади 50 га, применено значение поправки для 50 га, поскольку определено, что для объектов большей площади в данном сегменте увеличение площади не отражается на цене.</w:t>
      </w:r>
    </w:p>
    <w:p w14:paraId="2468DEFC" w14:textId="0123E229" w:rsidR="00DC7772" w:rsidRDefault="000E57D4" w:rsidP="007335EB">
      <w:pPr>
        <w:spacing w:after="0" w:line="276" w:lineRule="auto"/>
        <w:ind w:firstLine="709"/>
        <w:jc w:val="both"/>
        <w:rPr>
          <w:rFonts w:ascii="Times New Roman" w:eastAsiaTheme="minorEastAsia" w:hAnsi="Times New Roman" w:cs="Times New Roman"/>
          <w:sz w:val="26"/>
          <w:szCs w:val="26"/>
        </w:rPr>
      </w:pPr>
      <w:r w:rsidRPr="001B772C">
        <w:rPr>
          <w:rFonts w:ascii="Times New Roman" w:hAnsi="Times New Roman" w:cs="Times New Roman"/>
          <w:sz w:val="26"/>
          <w:szCs w:val="26"/>
        </w:rPr>
        <w:t xml:space="preserve">Расчет </w:t>
      </w:r>
      <w:r w:rsidRPr="00220663">
        <w:rPr>
          <w:rFonts w:ascii="Times New Roman" w:hAnsi="Times New Roman" w:cs="Times New Roman"/>
          <w:sz w:val="26"/>
          <w:szCs w:val="26"/>
        </w:rPr>
        <w:t xml:space="preserve">кадастровой стоимости типового (эталонного) земельного участка представлен в Приложении </w:t>
      </w:r>
      <w:r w:rsidR="00FF372E" w:rsidRPr="00F562A8">
        <w:rPr>
          <w:rFonts w:ascii="Times New Roman" w:eastAsiaTheme="minorEastAsia" w:hAnsi="Times New Roman" w:cs="Times New Roman"/>
          <w:sz w:val="26"/>
          <w:szCs w:val="26"/>
        </w:rPr>
        <w:t>2/2.</w:t>
      </w:r>
      <w:r w:rsidR="00FF372E">
        <w:rPr>
          <w:rFonts w:ascii="Times New Roman" w:eastAsiaTheme="minorEastAsia" w:hAnsi="Times New Roman" w:cs="Times New Roman"/>
          <w:sz w:val="26"/>
          <w:szCs w:val="26"/>
        </w:rPr>
        <w:t>6/2.6.2</w:t>
      </w:r>
    </w:p>
    <w:p w14:paraId="22207C8A" w14:textId="77777777" w:rsidR="00306BF5" w:rsidRPr="00F562A8" w:rsidRDefault="00306BF5" w:rsidP="006F6435">
      <w:pPr>
        <w:pStyle w:val="ConsPlusNormal"/>
        <w:spacing w:line="276" w:lineRule="auto"/>
        <w:ind w:firstLine="709"/>
        <w:jc w:val="both"/>
        <w:rPr>
          <w:rFonts w:ascii="Times New Roman" w:hAnsi="Times New Roman" w:cs="Times New Roman"/>
          <w:b/>
          <w:sz w:val="16"/>
          <w:szCs w:val="16"/>
        </w:rPr>
      </w:pPr>
    </w:p>
    <w:p w14:paraId="53566FA1" w14:textId="06A192BF" w:rsidR="00306BF5" w:rsidRPr="00F562A8" w:rsidRDefault="00B15076" w:rsidP="002D4BEA">
      <w:pPr>
        <w:pStyle w:val="ab"/>
        <w:ind w:left="0"/>
        <w:jc w:val="center"/>
        <w:outlineLvl w:val="2"/>
        <w:rPr>
          <w:rFonts w:ascii="Times New Roman" w:hAnsi="Times New Roman" w:cs="Times New Roman"/>
          <w:i/>
          <w:sz w:val="26"/>
          <w:szCs w:val="26"/>
        </w:rPr>
      </w:pPr>
      <w:bookmarkStart w:id="255" w:name="_Toc110506999"/>
      <w:bookmarkStart w:id="256" w:name="_Hlk13841369"/>
      <w:r w:rsidRPr="00DC7772">
        <w:rPr>
          <w:rFonts w:ascii="Times New Roman" w:hAnsi="Times New Roman" w:cs="Times New Roman"/>
          <w:i/>
          <w:sz w:val="26"/>
          <w:szCs w:val="26"/>
        </w:rPr>
        <w:t>3.6.6.</w:t>
      </w:r>
      <w:r w:rsidR="00C574FC" w:rsidRPr="00DC7772">
        <w:rPr>
          <w:rFonts w:ascii="Times New Roman" w:hAnsi="Times New Roman" w:cs="Times New Roman"/>
          <w:i/>
          <w:sz w:val="26"/>
          <w:szCs w:val="26"/>
        </w:rPr>
        <w:t>8</w:t>
      </w:r>
      <w:r w:rsidRPr="00DC7772">
        <w:rPr>
          <w:rFonts w:ascii="Times New Roman" w:hAnsi="Times New Roman" w:cs="Times New Roman"/>
          <w:i/>
          <w:sz w:val="26"/>
          <w:szCs w:val="26"/>
        </w:rPr>
        <w:t xml:space="preserve">. </w:t>
      </w:r>
      <w:r w:rsidR="00306BF5" w:rsidRPr="00DC7772">
        <w:rPr>
          <w:rFonts w:ascii="Times New Roman" w:hAnsi="Times New Roman" w:cs="Times New Roman"/>
          <w:i/>
          <w:sz w:val="26"/>
          <w:szCs w:val="26"/>
        </w:rPr>
        <w:t>Расчет</w:t>
      </w:r>
      <w:r w:rsidR="00306BF5" w:rsidRPr="00F562A8">
        <w:rPr>
          <w:rFonts w:ascii="Times New Roman" w:hAnsi="Times New Roman" w:cs="Times New Roman"/>
          <w:i/>
          <w:sz w:val="26"/>
          <w:szCs w:val="26"/>
        </w:rPr>
        <w:t xml:space="preserve"> кадастровой стоимости земельных участков группы </w:t>
      </w:r>
      <w:r w:rsidR="00533CF0" w:rsidRPr="00983D64">
        <w:rPr>
          <w:rFonts w:ascii="Times New Roman" w:hAnsi="Times New Roman" w:cs="Times New Roman"/>
          <w:i/>
          <w:sz w:val="26"/>
          <w:szCs w:val="26"/>
        </w:rPr>
        <w:t>ПРОИЗВОДСТВО</w:t>
      </w:r>
      <w:r w:rsidR="00533CF0">
        <w:rPr>
          <w:rFonts w:ascii="Times New Roman" w:hAnsi="Times New Roman" w:cs="Times New Roman"/>
          <w:i/>
          <w:sz w:val="26"/>
          <w:szCs w:val="26"/>
        </w:rPr>
        <w:t>/</w:t>
      </w:r>
      <w:r w:rsidR="00D45BC3" w:rsidRPr="00D45BC3">
        <w:rPr>
          <w:rFonts w:ascii="Times New Roman" w:hAnsi="Times New Roman" w:cs="Times New Roman"/>
          <w:i/>
          <w:sz w:val="26"/>
          <w:szCs w:val="26"/>
        </w:rPr>
        <w:t>ПРОМ/ГНП</w:t>
      </w:r>
      <w:bookmarkEnd w:id="255"/>
    </w:p>
    <w:p w14:paraId="360567DA" w14:textId="77777777" w:rsidR="00306BF5" w:rsidRPr="00F562A8" w:rsidRDefault="00306BF5" w:rsidP="006F6435">
      <w:pPr>
        <w:pStyle w:val="ConsPlusNormal"/>
        <w:spacing w:line="276" w:lineRule="auto"/>
        <w:ind w:firstLine="709"/>
        <w:contextualSpacing/>
        <w:jc w:val="center"/>
        <w:rPr>
          <w:rFonts w:ascii="Times New Roman" w:hAnsi="Times New Roman" w:cs="Times New Roman"/>
          <w:i/>
          <w:sz w:val="16"/>
          <w:szCs w:val="16"/>
        </w:rPr>
      </w:pPr>
    </w:p>
    <w:bookmarkEnd w:id="256"/>
    <w:p w14:paraId="27ED7C6B" w14:textId="6E05AFB7" w:rsidR="00D45BC3" w:rsidRPr="00F562A8"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0D50F02C" w14:textId="33D26723" w:rsidR="001C26DA" w:rsidRDefault="001C26DA" w:rsidP="001C26DA">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F10BEE">
        <w:rPr>
          <w:rFonts w:ascii="Times New Roman" w:hAnsi="Times New Roman" w:cs="Times New Roman"/>
          <w:sz w:val="26"/>
          <w:szCs w:val="26"/>
        </w:rPr>
        <w:t>ПРОИЗВОДСТВО/ПРОМ/</w:t>
      </w:r>
      <w:r w:rsidRPr="00A53A0E">
        <w:rPr>
          <w:rFonts w:ascii="Times New Roman" w:hAnsi="Times New Roman" w:cs="Times New Roman"/>
          <w:sz w:val="26"/>
          <w:szCs w:val="26"/>
        </w:rPr>
        <w:t>ГНП</w:t>
      </w:r>
      <w:r>
        <w:rPr>
          <w:rFonts w:ascii="Times New Roman" w:hAnsi="Times New Roman" w:cs="Times New Roman"/>
          <w:sz w:val="26"/>
          <w:szCs w:val="26"/>
        </w:rPr>
        <w:t xml:space="preserve">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1C26DA">
        <w:rPr>
          <w:rFonts w:ascii="Times New Roman" w:hAnsi="Times New Roman" w:cs="Times New Roman"/>
          <w:sz w:val="26"/>
          <w:szCs w:val="26"/>
        </w:rPr>
        <w:t xml:space="preserve"> 06:000,  03:012, 03:093, 06:020, 06:021, 06:030, 06:031, 06:040, 06:050, 06:060, 06:070, 06:071, 06:072, 06:073, 06:090, 06:091, 06:092, 06:093, 06:100, 06:101, 06:110, 06:111, 07:013, 07:051, 08:010, 08:012, 08:013, 08:031, 10:011</w:t>
      </w:r>
      <w:r>
        <w:rPr>
          <w:rFonts w:ascii="Times New Roman" w:hAnsi="Times New Roman" w:cs="Times New Roman"/>
          <w:sz w:val="26"/>
          <w:szCs w:val="26"/>
        </w:rPr>
        <w:t>.</w:t>
      </w:r>
    </w:p>
    <w:p w14:paraId="5CCAD59C" w14:textId="69EC1BAD" w:rsidR="00D45BC3" w:rsidRPr="00F562A8"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533CF0" w:rsidRPr="00533CF0">
        <w:rPr>
          <w:rFonts w:ascii="Times New Roman" w:hAnsi="Times New Roman" w:cs="Times New Roman"/>
          <w:sz w:val="26"/>
          <w:szCs w:val="26"/>
        </w:rPr>
        <w:t>ПРОИЗВОДСТВО/</w:t>
      </w:r>
      <w:r w:rsidRPr="00A53A0E">
        <w:rPr>
          <w:rFonts w:ascii="Times New Roman" w:hAnsi="Times New Roman" w:cs="Times New Roman"/>
          <w:sz w:val="26"/>
          <w:szCs w:val="26"/>
        </w:rPr>
        <w:t>ПР</w:t>
      </w:r>
      <w:r>
        <w:rPr>
          <w:rFonts w:ascii="Times New Roman" w:hAnsi="Times New Roman" w:cs="Times New Roman"/>
          <w:sz w:val="26"/>
          <w:szCs w:val="26"/>
        </w:rPr>
        <w:t>О</w:t>
      </w:r>
      <w:r w:rsidRPr="00A53A0E">
        <w:rPr>
          <w:rFonts w:ascii="Times New Roman" w:hAnsi="Times New Roman" w:cs="Times New Roman"/>
          <w:sz w:val="26"/>
          <w:szCs w:val="26"/>
        </w:rPr>
        <w:t>М/ГНП</w:t>
      </w:r>
      <w:r w:rsidRPr="00F562A8">
        <w:rPr>
          <w:rFonts w:ascii="Times New Roman" w:hAnsi="Times New Roman" w:cs="Times New Roman"/>
          <w:sz w:val="26"/>
          <w:szCs w:val="26"/>
        </w:rPr>
        <w:t xml:space="preserve"> 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6C71991C" w14:textId="67771E93" w:rsidR="00D45BC3" w:rsidRPr="00F562A8" w:rsidRDefault="00F77023" w:rsidP="00D45BC3">
      <w:pPr>
        <w:pStyle w:val="ConsPlusNormal"/>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Согласно п.45.1.1 Указаний</w:t>
      </w:r>
      <w:r w:rsidR="00D45BC3" w:rsidRPr="00F562A8">
        <w:rPr>
          <w:rFonts w:ascii="Times New Roman" w:hAnsi="Times New Roman" w:cs="Times New Roman"/>
          <w:sz w:val="26"/>
          <w:szCs w:val="26"/>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5D0BC666"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27C72161"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1D58566A"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60F7E19E"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209764AF"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6AFE51D5"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505B3B5A" w14:textId="77777777" w:rsidR="001253C0" w:rsidRPr="00DE636F" w:rsidRDefault="001253C0" w:rsidP="001253C0">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Рынок недвижимости в городских населенных пунктах отличается от рынка недвижимости в сельских населенных пунктах существенным образом. В некрупных городах, поселках и селах предложение и спрос на недвижимость недостаточно объемен, или практически отсутствует. Это объясняется тем, что рынок недвижимости является своеобразным индикатором деловой активности в населенных пунктах. В соответствии с различиями в уровне социально-экономического развития населенных пунктов региона может различаться и степень развитости локальных рынков недвижимости.</w:t>
      </w:r>
    </w:p>
    <w:p w14:paraId="5700CAEB" w14:textId="77777777" w:rsidR="001253C0" w:rsidRPr="00DE636F" w:rsidRDefault="001253C0" w:rsidP="001253C0">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По этой причине, в данной модели взят фактор Х</w:t>
      </w:r>
      <w:r w:rsidRPr="00DE636F">
        <w:rPr>
          <w:rFonts w:ascii="Times New Roman" w:hAnsi="Times New Roman" w:cs="Times New Roman"/>
          <w:sz w:val="26"/>
          <w:szCs w:val="26"/>
          <w:vertAlign w:val="subscript"/>
        </w:rPr>
        <w:t xml:space="preserve">0 </w:t>
      </w:r>
      <w:r w:rsidRPr="00DE636F">
        <w:rPr>
          <w:rFonts w:ascii="Times New Roman" w:hAnsi="Times New Roman" w:cs="Times New Roman"/>
          <w:sz w:val="26"/>
          <w:szCs w:val="26"/>
        </w:rPr>
        <w:t xml:space="preserve">«Наименование </w:t>
      </w:r>
      <w:r>
        <w:rPr>
          <w:rFonts w:ascii="Times New Roman" w:hAnsi="Times New Roman" w:cs="Times New Roman"/>
          <w:sz w:val="26"/>
          <w:szCs w:val="26"/>
        </w:rPr>
        <w:t>района</w:t>
      </w:r>
      <w:r w:rsidRPr="00DE636F">
        <w:rPr>
          <w:rFonts w:ascii="Times New Roman" w:hAnsi="Times New Roman" w:cs="Times New Roman"/>
          <w:sz w:val="26"/>
          <w:szCs w:val="26"/>
        </w:rPr>
        <w:t>», объединяющий населенные пункты Воронежской области, по степени социально-экономических показателей (по данным территориального органа Федеральной службы государственной статистики).</w:t>
      </w:r>
    </w:p>
    <w:p w14:paraId="343067CB" w14:textId="77777777" w:rsidR="00497BF1" w:rsidRDefault="00D45BC3" w:rsidP="00497BF1">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городских населенных пунктах Воронежской области,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497BF1" w:rsidRPr="00F562A8">
        <w:rPr>
          <w:rFonts w:ascii="Times New Roman" w:hAnsi="Times New Roman" w:cs="Times New Roman"/>
          <w:sz w:val="26"/>
          <w:szCs w:val="26"/>
        </w:rPr>
        <w:t>представлены в таблиц</w:t>
      </w:r>
      <w:r w:rsidR="00497BF1">
        <w:rPr>
          <w:rFonts w:ascii="Times New Roman" w:hAnsi="Times New Roman" w:cs="Times New Roman"/>
          <w:sz w:val="26"/>
          <w:szCs w:val="26"/>
        </w:rPr>
        <w:t>ах</w:t>
      </w:r>
      <w:r w:rsidR="00497BF1" w:rsidRPr="00F562A8">
        <w:rPr>
          <w:rFonts w:ascii="Times New Roman" w:hAnsi="Times New Roman" w:cs="Times New Roman"/>
          <w:sz w:val="26"/>
          <w:szCs w:val="26"/>
        </w:rPr>
        <w:t xml:space="preserve"> </w:t>
      </w:r>
      <w:r w:rsidR="00497BF1" w:rsidRPr="00F562A8">
        <w:rPr>
          <w:rFonts w:ascii="Times New Roman" w:eastAsia="Times New Roman" w:hAnsi="Times New Roman" w:cs="Times New Roman"/>
          <w:sz w:val="26"/>
          <w:szCs w:val="26"/>
        </w:rPr>
        <w:t>3.</w:t>
      </w:r>
      <w:r w:rsidR="00497BF1">
        <w:rPr>
          <w:rFonts w:ascii="Times New Roman" w:eastAsia="Times New Roman" w:hAnsi="Times New Roman" w:cs="Times New Roman"/>
          <w:sz w:val="26"/>
          <w:szCs w:val="26"/>
        </w:rPr>
        <w:t>4 и 3.5, пунктов 3.4 и 3.5 соответственно</w:t>
      </w:r>
      <w:r w:rsidR="00497BF1" w:rsidRPr="00F562A8">
        <w:rPr>
          <w:rFonts w:ascii="Times New Roman" w:hAnsi="Times New Roman" w:cs="Times New Roman"/>
          <w:sz w:val="26"/>
          <w:szCs w:val="26"/>
        </w:rPr>
        <w:t>.</w:t>
      </w:r>
    </w:p>
    <w:p w14:paraId="13EE96E0" w14:textId="6E4F74BA" w:rsidR="00D45BC3" w:rsidRPr="00F562A8"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431EDC07" w14:textId="77777777" w:rsidR="00D45BC3" w:rsidRPr="00F562A8"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11EBCB6B" w14:textId="7B9E5310" w:rsidR="00D45BC3" w:rsidRPr="00F562A8"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3A177A">
        <w:rPr>
          <w:rFonts w:ascii="Times New Roman" w:hAnsi="Times New Roman" w:cs="Times New Roman"/>
          <w:sz w:val="26"/>
          <w:szCs w:val="26"/>
        </w:rPr>
        <w:t>5</w:t>
      </w:r>
      <w:r w:rsidRPr="00F562A8">
        <w:rPr>
          <w:rFonts w:ascii="Times New Roman" w:hAnsi="Times New Roman" w:cs="Times New Roman"/>
          <w:sz w:val="26"/>
          <w:szCs w:val="26"/>
        </w:rPr>
        <w:t>:</w:t>
      </w:r>
    </w:p>
    <w:p w14:paraId="1DE7774E" w14:textId="29DE7D78" w:rsidR="00D45BC3"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3A177A">
        <w:rPr>
          <w:rFonts w:ascii="Times New Roman" w:hAnsi="Times New Roman" w:cs="Times New Roman"/>
          <w:sz w:val="26"/>
          <w:szCs w:val="26"/>
        </w:rPr>
        <w:t>н</w:t>
      </w:r>
      <w:r w:rsidR="003A177A" w:rsidRPr="003A177A">
        <w:rPr>
          <w:rFonts w:ascii="Times New Roman" w:hAnsi="Times New Roman" w:cs="Times New Roman"/>
          <w:sz w:val="26"/>
          <w:szCs w:val="26"/>
        </w:rPr>
        <w:t>аименование района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57802854" w14:textId="01DE6CB0" w:rsidR="00846C9D" w:rsidRPr="00F562A8" w:rsidRDefault="00846C9D" w:rsidP="00D45BC3">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ч</w:t>
      </w:r>
      <w:r w:rsidRPr="00FC35E5">
        <w:rPr>
          <w:rFonts w:ascii="Times New Roman" w:hAnsi="Times New Roman" w:cs="Times New Roman"/>
          <w:sz w:val="26"/>
          <w:szCs w:val="26"/>
        </w:rPr>
        <w:t>исленность населения в населенном пункте:</w:t>
      </w:r>
      <w:r>
        <w:t xml:space="preserve"> </w:t>
      </w:r>
      <w:r w:rsidRPr="00F562A8">
        <w:rPr>
          <w:rFonts w:ascii="Times New Roman" w:hAnsi="Times New Roman" w:cs="Times New Roman"/>
          <w:sz w:val="26"/>
          <w:szCs w:val="26"/>
        </w:rPr>
        <w:t>Х</w:t>
      </w:r>
      <w:r w:rsidR="00D97ACA">
        <w:rPr>
          <w:rFonts w:ascii="Times New Roman" w:hAnsi="Times New Roman" w:cs="Times New Roman"/>
          <w:sz w:val="26"/>
          <w:szCs w:val="26"/>
          <w:vertAlign w:val="subscript"/>
        </w:rPr>
        <w:t>1</w:t>
      </w:r>
    </w:p>
    <w:p w14:paraId="53D89DFD" w14:textId="06AD651E" w:rsidR="00D45BC3" w:rsidRPr="00F562A8"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3A177A">
        <w:rPr>
          <w:rFonts w:ascii="Times New Roman" w:hAnsi="Times New Roman" w:cs="Times New Roman"/>
          <w:sz w:val="26"/>
          <w:szCs w:val="26"/>
        </w:rPr>
        <w:t>р</w:t>
      </w:r>
      <w:r w:rsidR="003A177A" w:rsidRPr="003A177A">
        <w:rPr>
          <w:rFonts w:ascii="Times New Roman" w:hAnsi="Times New Roman" w:cs="Times New Roman"/>
          <w:sz w:val="26"/>
          <w:szCs w:val="26"/>
        </w:rPr>
        <w:t>асстояние объекта до центра населенного пункта</w:t>
      </w:r>
      <w:r w:rsidRPr="00F562A8">
        <w:rPr>
          <w:rFonts w:ascii="Times New Roman" w:hAnsi="Times New Roman" w:cs="Times New Roman"/>
          <w:sz w:val="26"/>
          <w:szCs w:val="26"/>
        </w:rPr>
        <w:t>: Х</w:t>
      </w:r>
      <w:r w:rsidR="00D97ACA">
        <w:rPr>
          <w:rFonts w:ascii="Times New Roman" w:hAnsi="Times New Roman" w:cs="Times New Roman"/>
          <w:sz w:val="26"/>
          <w:szCs w:val="26"/>
          <w:vertAlign w:val="subscript"/>
        </w:rPr>
        <w:t>2</w:t>
      </w:r>
      <w:r w:rsidRPr="00F562A8">
        <w:rPr>
          <w:rFonts w:ascii="Times New Roman" w:hAnsi="Times New Roman" w:cs="Times New Roman"/>
          <w:sz w:val="26"/>
          <w:szCs w:val="26"/>
        </w:rPr>
        <w:t>;</w:t>
      </w:r>
    </w:p>
    <w:p w14:paraId="3831C4A8" w14:textId="19BB1437" w:rsidR="00D45BC3"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w:t>
      </w:r>
      <w:r>
        <w:rPr>
          <w:rFonts w:ascii="Times New Roman" w:hAnsi="Times New Roman" w:cs="Times New Roman"/>
          <w:sz w:val="26"/>
          <w:szCs w:val="26"/>
        </w:rPr>
        <w:t xml:space="preserve"> р</w:t>
      </w:r>
      <w:r w:rsidRPr="00FC35E5">
        <w:rPr>
          <w:rFonts w:ascii="Times New Roman" w:hAnsi="Times New Roman" w:cs="Times New Roman"/>
          <w:sz w:val="26"/>
          <w:szCs w:val="26"/>
        </w:rPr>
        <w:t>асстояние от населенного пункта до центра муниципального района (городского округа)</w:t>
      </w:r>
      <w:r w:rsidRPr="00F562A8">
        <w:rPr>
          <w:rFonts w:ascii="Times New Roman" w:hAnsi="Times New Roman" w:cs="Times New Roman"/>
          <w:sz w:val="26"/>
          <w:szCs w:val="26"/>
        </w:rPr>
        <w:t>: Х</w:t>
      </w:r>
      <w:r w:rsidR="00D97ACA">
        <w:rPr>
          <w:rFonts w:ascii="Times New Roman" w:hAnsi="Times New Roman" w:cs="Times New Roman"/>
          <w:sz w:val="26"/>
          <w:szCs w:val="26"/>
          <w:vertAlign w:val="subscript"/>
        </w:rPr>
        <w:t>3</w:t>
      </w:r>
      <w:r>
        <w:rPr>
          <w:rFonts w:ascii="Times New Roman" w:hAnsi="Times New Roman" w:cs="Times New Roman"/>
          <w:sz w:val="26"/>
          <w:szCs w:val="26"/>
        </w:rPr>
        <w:t>;</w:t>
      </w:r>
    </w:p>
    <w:p w14:paraId="63E30CDB" w14:textId="39C17226" w:rsidR="003A177A" w:rsidRDefault="003A177A" w:rsidP="00D45BC3">
      <w:pPr>
        <w:spacing w:after="0" w:line="276" w:lineRule="auto"/>
        <w:ind w:firstLine="709"/>
        <w:jc w:val="both"/>
        <w:rPr>
          <w:rFonts w:ascii="Times New Roman" w:hAnsi="Times New Roman" w:cs="Times New Roman"/>
          <w:sz w:val="26"/>
          <w:szCs w:val="26"/>
        </w:rPr>
      </w:pPr>
      <w:r w:rsidRPr="003A177A">
        <w:rPr>
          <w:rFonts w:ascii="Times New Roman" w:hAnsi="Times New Roman" w:cs="Times New Roman"/>
          <w:sz w:val="26"/>
          <w:szCs w:val="26"/>
        </w:rPr>
        <w:t xml:space="preserve">- </w:t>
      </w:r>
      <w:r>
        <w:rPr>
          <w:rFonts w:ascii="Times New Roman" w:hAnsi="Times New Roman" w:cs="Times New Roman"/>
          <w:sz w:val="26"/>
          <w:szCs w:val="26"/>
        </w:rPr>
        <w:t>ц</w:t>
      </w:r>
      <w:r w:rsidRPr="003A177A">
        <w:rPr>
          <w:rFonts w:ascii="Times New Roman" w:hAnsi="Times New Roman" w:cs="Times New Roman"/>
          <w:sz w:val="26"/>
          <w:szCs w:val="26"/>
        </w:rPr>
        <w:t>ентральное водоснабжение</w:t>
      </w:r>
      <w:r>
        <w:t>:</w:t>
      </w:r>
      <w:r w:rsidRPr="003A177A">
        <w:rPr>
          <w:rFonts w:ascii="Times New Roman" w:hAnsi="Times New Roman" w:cs="Times New Roman"/>
          <w:sz w:val="26"/>
          <w:szCs w:val="26"/>
        </w:rPr>
        <w:t xml:space="preserve"> </w:t>
      </w:r>
      <w:r w:rsidRPr="00F562A8">
        <w:rPr>
          <w:rFonts w:ascii="Times New Roman" w:hAnsi="Times New Roman" w:cs="Times New Roman"/>
          <w:sz w:val="26"/>
          <w:szCs w:val="26"/>
        </w:rPr>
        <w:t>Х</w:t>
      </w:r>
      <w:r w:rsidR="00D97ACA">
        <w:rPr>
          <w:rFonts w:ascii="Times New Roman" w:hAnsi="Times New Roman" w:cs="Times New Roman"/>
          <w:sz w:val="26"/>
          <w:szCs w:val="26"/>
          <w:vertAlign w:val="subscript"/>
        </w:rPr>
        <w:t>4.</w:t>
      </w:r>
    </w:p>
    <w:p w14:paraId="36A3636F" w14:textId="77777777" w:rsidR="00D45BC3" w:rsidRPr="00F562A8"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352A6574" w14:textId="77777777" w:rsidR="00D45BC3" w:rsidRPr="00F562A8"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3682DB99" w14:textId="12844476" w:rsidR="00D45BC3" w:rsidRPr="00F562A8"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8345AC">
        <w:rPr>
          <w:rFonts w:ascii="Times New Roman" w:hAnsi="Times New Roman" w:cs="Times New Roman"/>
          <w:sz w:val="26"/>
          <w:szCs w:val="26"/>
        </w:rPr>
        <w:t>пяти</w:t>
      </w:r>
      <w:r w:rsidRPr="00F562A8">
        <w:rPr>
          <w:rFonts w:ascii="Times New Roman" w:hAnsi="Times New Roman" w:cs="Times New Roman"/>
          <w:sz w:val="26"/>
          <w:szCs w:val="26"/>
        </w:rPr>
        <w:t>факторные модели:</w:t>
      </w:r>
    </w:p>
    <w:p w14:paraId="552F48DC" w14:textId="77777777" w:rsidR="00D45BC3" w:rsidRPr="00F562A8" w:rsidRDefault="00D45BC3" w:rsidP="00D45BC3">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7769797D" wp14:editId="2466B3C3">
            <wp:extent cx="2209800" cy="247650"/>
            <wp:effectExtent l="0" t="0" r="0" b="0"/>
            <wp:docPr id="299" name="Рисунок 299"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120AF651" w14:textId="77777777" w:rsidR="00D45BC3" w:rsidRPr="00F562A8"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130B035A" wp14:editId="288C606C">
            <wp:extent cx="1352550" cy="266700"/>
            <wp:effectExtent l="0" t="0" r="0" b="0"/>
            <wp:docPr id="300" name="Рисунок 300"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49984576" w14:textId="77777777" w:rsidR="00D45BC3" w:rsidRPr="00F562A8"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2C5BE913" wp14:editId="5D094F93">
            <wp:extent cx="1266825" cy="266700"/>
            <wp:effectExtent l="0" t="0" r="0" b="0"/>
            <wp:docPr id="301" name="Рисунок 301"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71AD9702" w14:textId="77777777" w:rsidR="00D45BC3" w:rsidRPr="00F562A8"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2B870B15"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76C0F912"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493E93CB" wp14:editId="00B8A0FA">
            <wp:extent cx="209550" cy="247650"/>
            <wp:effectExtent l="0" t="0" r="0" b="0"/>
            <wp:docPr id="302" name="Рисунок 302"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46043C36" wp14:editId="2B86AF99">
            <wp:extent cx="200025" cy="247650"/>
            <wp:effectExtent l="0" t="0" r="9525" b="0"/>
            <wp:docPr id="303" name="Рисунок 303"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690B4690" wp14:editId="709EF52D">
            <wp:extent cx="209550" cy="247650"/>
            <wp:effectExtent l="0" t="0" r="0" b="0"/>
            <wp:docPr id="304" name="Рисунок 304"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0615EF94" w14:textId="254C07B8" w:rsidR="006574DD" w:rsidRDefault="00402996" w:rsidP="00D45BC3">
      <w:pPr>
        <w:spacing w:after="0" w:line="276" w:lineRule="auto"/>
        <w:jc w:val="center"/>
        <w:rPr>
          <w:noProof/>
        </w:rPr>
      </w:pPr>
      <w:r w:rsidRPr="00D40444">
        <w:rPr>
          <w:noProof/>
          <w:lang w:eastAsia="ru-RU"/>
        </w:rPr>
        <w:drawing>
          <wp:inline distT="0" distB="0" distL="0" distR="0" wp14:anchorId="559D0936" wp14:editId="0CEE1944">
            <wp:extent cx="5939790" cy="715569"/>
            <wp:effectExtent l="0" t="0" r="3810" b="889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5939790" cy="715569"/>
                    </a:xfrm>
                    <a:prstGeom prst="rect">
                      <a:avLst/>
                    </a:prstGeom>
                  </pic:spPr>
                </pic:pic>
              </a:graphicData>
            </a:graphic>
          </wp:inline>
        </w:drawing>
      </w:r>
    </w:p>
    <w:p w14:paraId="3EF5291D" w14:textId="17C75A56" w:rsidR="00D45BC3" w:rsidRPr="00F562A8" w:rsidRDefault="00D45BC3" w:rsidP="00D45BC3">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F7471C">
        <w:rPr>
          <w:rFonts w:ascii="Times New Roman" w:hAnsi="Times New Roman" w:cs="Times New Roman"/>
          <w:sz w:val="26"/>
          <w:szCs w:val="26"/>
        </w:rPr>
        <w:t>6</w:t>
      </w:r>
      <w:r w:rsidRPr="00F562A8">
        <w:rPr>
          <w:rFonts w:ascii="Times New Roman" w:hAnsi="Times New Roman" w:cs="Times New Roman"/>
          <w:sz w:val="26"/>
          <w:szCs w:val="26"/>
        </w:rPr>
        <w:t>.</w:t>
      </w:r>
      <w:r w:rsidR="00F7471C">
        <w:rPr>
          <w:rFonts w:ascii="Times New Roman" w:hAnsi="Times New Roman" w:cs="Times New Roman"/>
          <w:sz w:val="26"/>
          <w:szCs w:val="26"/>
        </w:rPr>
        <w:t>8</w:t>
      </w:r>
      <w:r>
        <w:rPr>
          <w:rFonts w:ascii="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w:t>
      </w:r>
      <w:r w:rsidR="008345AC">
        <w:rPr>
          <w:rFonts w:ascii="Times New Roman" w:hAnsi="Times New Roman" w:cs="Times New Roman"/>
          <w:sz w:val="26"/>
          <w:szCs w:val="26"/>
        </w:rPr>
        <w:t>пяти</w:t>
      </w:r>
      <w:r w:rsidRPr="00F562A8">
        <w:rPr>
          <w:rFonts w:ascii="Times New Roman" w:hAnsi="Times New Roman" w:cs="Times New Roman"/>
          <w:sz w:val="26"/>
          <w:szCs w:val="26"/>
        </w:rPr>
        <w:t>факторные модели</w:t>
      </w:r>
    </w:p>
    <w:p w14:paraId="5E372516" w14:textId="7EEE2E84"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049697E2"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204D793E"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57310595"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0EAFF89A"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0FE0ECC3"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42E7ACE3"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4CE05535"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5531BCCD" w14:textId="7AE80ED1" w:rsidR="00D45BC3" w:rsidRPr="00F562A8" w:rsidRDefault="00730A8E" w:rsidP="00D45BC3">
      <w:pPr>
        <w:spacing w:after="0" w:line="276" w:lineRule="auto"/>
        <w:jc w:val="center"/>
        <w:rPr>
          <w:rFonts w:ascii="Times New Roman" w:hAnsi="Times New Roman" w:cs="Times New Roman"/>
        </w:rPr>
      </w:pPr>
      <w:r w:rsidRPr="00D40444">
        <w:rPr>
          <w:noProof/>
          <w:lang w:eastAsia="ru-RU"/>
        </w:rPr>
        <w:drawing>
          <wp:inline distT="0" distB="0" distL="0" distR="0" wp14:anchorId="1955902A" wp14:editId="243BCCD7">
            <wp:extent cx="5894961" cy="1515232"/>
            <wp:effectExtent l="0" t="0" r="0" b="889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2"/>
                    <a:srcRect r="8092"/>
                    <a:stretch/>
                  </pic:blipFill>
                  <pic:spPr bwMode="auto">
                    <a:xfrm>
                      <a:off x="0" y="0"/>
                      <a:ext cx="5919920" cy="1521648"/>
                    </a:xfrm>
                    <a:prstGeom prst="rect">
                      <a:avLst/>
                    </a:prstGeom>
                    <a:ln>
                      <a:noFill/>
                    </a:ln>
                    <a:extLst>
                      <a:ext uri="{53640926-AAD7-44D8-BBD7-CCE9431645EC}">
                        <a14:shadowObscured xmlns:a14="http://schemas.microsoft.com/office/drawing/2010/main"/>
                      </a:ext>
                    </a:extLst>
                  </pic:spPr>
                </pic:pic>
              </a:graphicData>
            </a:graphic>
          </wp:inline>
        </w:drawing>
      </w:r>
    </w:p>
    <w:p w14:paraId="7024E98C" w14:textId="365DF8A4" w:rsidR="00D45BC3" w:rsidRPr="00F562A8" w:rsidRDefault="00D45BC3" w:rsidP="00D45BC3">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F7471C">
        <w:rPr>
          <w:rFonts w:ascii="Times New Roman" w:hAnsi="Times New Roman" w:cs="Times New Roman"/>
          <w:sz w:val="26"/>
          <w:szCs w:val="26"/>
        </w:rPr>
        <w:t>6</w:t>
      </w:r>
      <w:r w:rsidRPr="00F562A8">
        <w:rPr>
          <w:rFonts w:ascii="Times New Roman" w:hAnsi="Times New Roman" w:cs="Times New Roman"/>
          <w:sz w:val="26"/>
          <w:szCs w:val="26"/>
        </w:rPr>
        <w:t>.</w:t>
      </w:r>
      <w:r w:rsidR="00F7471C">
        <w:rPr>
          <w:rFonts w:ascii="Times New Roman" w:hAnsi="Times New Roman" w:cs="Times New Roman"/>
          <w:sz w:val="26"/>
          <w:szCs w:val="26"/>
        </w:rPr>
        <w:t>8</w:t>
      </w:r>
      <w:r>
        <w:rPr>
          <w:rFonts w:ascii="Times New Roman" w:hAnsi="Times New Roman" w:cs="Times New Roman"/>
          <w:sz w:val="26"/>
          <w:szCs w:val="26"/>
        </w:rPr>
        <w:t>.2</w:t>
      </w:r>
      <w:r w:rsidRPr="00F562A8">
        <w:rPr>
          <w:rFonts w:ascii="Times New Roman" w:hAnsi="Times New Roman" w:cs="Times New Roman"/>
          <w:sz w:val="26"/>
          <w:szCs w:val="26"/>
        </w:rPr>
        <w:t xml:space="preserve"> -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5320A156"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25DA354A" w14:textId="77777777" w:rsidR="00D45BC3" w:rsidRPr="00F562A8" w:rsidRDefault="00D45BC3" w:rsidP="00D45BC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3F3B1194" w14:textId="77777777" w:rsidR="00D45BC3" w:rsidRPr="00F562A8"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581E2F5C" w14:textId="3943FB50" w:rsidR="00D45BC3" w:rsidRPr="00F562A8" w:rsidRDefault="00730A8E" w:rsidP="00D45BC3">
      <w:pPr>
        <w:spacing w:after="0" w:line="276" w:lineRule="auto"/>
        <w:jc w:val="center"/>
        <w:rPr>
          <w:rFonts w:ascii="Times New Roman" w:hAnsi="Times New Roman" w:cs="Times New Roman"/>
          <w:lang w:val="en-US"/>
        </w:rPr>
      </w:pPr>
      <w:r w:rsidRPr="00D40444">
        <w:rPr>
          <w:noProof/>
          <w:lang w:eastAsia="ru-RU"/>
        </w:rPr>
        <w:drawing>
          <wp:inline distT="0" distB="0" distL="0" distR="0" wp14:anchorId="0CF6EC52" wp14:editId="77D4C985">
            <wp:extent cx="3019846" cy="1028844"/>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3019846" cy="1028844"/>
                    </a:xfrm>
                    <a:prstGeom prst="rect">
                      <a:avLst/>
                    </a:prstGeom>
                  </pic:spPr>
                </pic:pic>
              </a:graphicData>
            </a:graphic>
          </wp:inline>
        </w:drawing>
      </w:r>
    </w:p>
    <w:p w14:paraId="190BB909" w14:textId="44E203B4" w:rsidR="00D45BC3" w:rsidRPr="00F562A8" w:rsidRDefault="00D45BC3" w:rsidP="00D45BC3">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F7471C">
        <w:rPr>
          <w:rFonts w:ascii="Times New Roman" w:hAnsi="Times New Roman" w:cs="Times New Roman"/>
          <w:sz w:val="26"/>
          <w:szCs w:val="26"/>
        </w:rPr>
        <w:t>6</w:t>
      </w:r>
      <w:r w:rsidRPr="00F562A8">
        <w:rPr>
          <w:rFonts w:ascii="Times New Roman" w:hAnsi="Times New Roman" w:cs="Times New Roman"/>
          <w:sz w:val="26"/>
          <w:szCs w:val="26"/>
        </w:rPr>
        <w:t>.</w:t>
      </w:r>
      <w:r w:rsidR="00F7471C">
        <w:rPr>
          <w:rFonts w:ascii="Times New Roman" w:hAnsi="Times New Roman" w:cs="Times New Roman"/>
          <w:sz w:val="26"/>
          <w:szCs w:val="26"/>
        </w:rPr>
        <w:t>8</w:t>
      </w:r>
      <w:r>
        <w:rPr>
          <w:rFonts w:ascii="Times New Roman" w:hAnsi="Times New Roman" w:cs="Times New Roman"/>
          <w:sz w:val="26"/>
          <w:szCs w:val="26"/>
        </w:rPr>
        <w:t>.3</w:t>
      </w:r>
      <w:r w:rsidRPr="00F562A8">
        <w:rPr>
          <w:rFonts w:ascii="Times New Roman" w:hAnsi="Times New Roman" w:cs="Times New Roman"/>
          <w:sz w:val="26"/>
          <w:szCs w:val="26"/>
        </w:rPr>
        <w:t xml:space="preserve"> - Значения F-критерия Фишера</w:t>
      </w:r>
    </w:p>
    <w:p w14:paraId="71C65539" w14:textId="77777777" w:rsidR="00D45BC3" w:rsidRPr="00F562A8" w:rsidRDefault="00D45BC3" w:rsidP="00D45BC3">
      <w:pPr>
        <w:spacing w:after="0" w:line="276"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все три модели адекватно описывают статистические данные и их можно использовать для анализа и прогнозирования кадастровой стоимости (результативного признака). </w:t>
      </w:r>
    </w:p>
    <w:p w14:paraId="60C06C6F" w14:textId="77777777" w:rsidR="00D45BC3" w:rsidRPr="00F562A8"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Наибольшее значение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имеет аддитивная модель, однако было учтено то, что она построена на основании ограниченной выборочной совокупности и адекватна на ограниченных интервалах независимых переменных. При расширении исходных данных прогнозное значение кадастровой стоимости может перейти в отрицательную область, что противоречит ее смыслу. Исходя из этого, для прогнозирования рационально выбрать экспоненциальную модель, которая всегда дает положительный прогноз. Экспоненциальная регрессионная модель имеет вид:</w:t>
      </w:r>
    </w:p>
    <w:p w14:paraId="43DF5DCF" w14:textId="61C87BCB" w:rsidR="00730A8E" w:rsidRPr="00730A8E" w:rsidRDefault="00D45BC3" w:rsidP="00730A8E">
      <w:pPr>
        <w:ind w:firstLine="709"/>
        <w:jc w:val="both"/>
        <w:rPr>
          <w:rFonts w:ascii="Times New Roman" w:hAnsi="Times New Roman" w:cs="Times New Roman"/>
          <w:i/>
          <w:sz w:val="26"/>
          <w:szCs w:val="26"/>
        </w:rPr>
      </w:pPr>
      <w:r w:rsidRPr="00F562A8">
        <w:rPr>
          <w:rFonts w:ascii="Times New Roman" w:hAnsi="Times New Roman" w:cs="Times New Roman"/>
          <w:i/>
          <w:sz w:val="26"/>
          <w:szCs w:val="26"/>
        </w:rPr>
        <w:t xml:space="preserve">УПКС = </w:t>
      </w:r>
      <w:r w:rsidR="00730A8E" w:rsidRPr="00730A8E">
        <w:rPr>
          <w:rFonts w:ascii="Times New Roman" w:hAnsi="Times New Roman" w:cs="Times New Roman"/>
          <w:i/>
          <w:sz w:val="26"/>
          <w:szCs w:val="26"/>
        </w:rPr>
        <w:t>107.575235363696*e^(+0.367770741795833*([__Наименование района])+0.00000634862586730628*__Численность населения в населенном пункте+0.0000925537649752356*((11186.107+-2410.80-гнп Расстояние объекта до центра населенного пункта))+0.0243517518474985*((42.00+0.00-гнп Расстояние от населенного пункта до центра муниципального района  (городского округа)))+0.260372679530805*([гнп Центральное водоснабжение]))</w:t>
      </w:r>
    </w:p>
    <w:p w14:paraId="705DF0CA" w14:textId="03B7F930" w:rsidR="00D45BC3" w:rsidRPr="00F562A8" w:rsidRDefault="00D45BC3" w:rsidP="00730A8E">
      <w:pPr>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F-статистики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5EEB645A" w14:textId="451CAA8C" w:rsidR="00D45BC3" w:rsidRDefault="00730A8E" w:rsidP="00D45BC3">
      <w:pPr>
        <w:spacing w:after="0" w:line="276" w:lineRule="auto"/>
        <w:jc w:val="center"/>
        <w:rPr>
          <w:noProof/>
        </w:rPr>
      </w:pPr>
      <w:r w:rsidRPr="00D40444">
        <w:rPr>
          <w:noProof/>
          <w:lang w:eastAsia="ru-RU"/>
        </w:rPr>
        <w:drawing>
          <wp:inline distT="0" distB="0" distL="0" distR="0" wp14:anchorId="0E4C74F3" wp14:editId="15C1C12D">
            <wp:extent cx="5939790" cy="2266708"/>
            <wp:effectExtent l="0" t="0" r="3810" b="635"/>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5939790" cy="2266708"/>
                    </a:xfrm>
                    <a:prstGeom prst="rect">
                      <a:avLst/>
                    </a:prstGeom>
                  </pic:spPr>
                </pic:pic>
              </a:graphicData>
            </a:graphic>
          </wp:inline>
        </w:drawing>
      </w:r>
    </w:p>
    <w:p w14:paraId="55BC964A" w14:textId="4DD0CCBF" w:rsidR="00026149" w:rsidRPr="00F562A8" w:rsidRDefault="00730A8E" w:rsidP="00D45BC3">
      <w:pPr>
        <w:spacing w:after="0" w:line="276" w:lineRule="auto"/>
        <w:jc w:val="center"/>
        <w:rPr>
          <w:rFonts w:ascii="Times New Roman" w:hAnsi="Times New Roman" w:cs="Times New Roman"/>
        </w:rPr>
      </w:pPr>
      <w:r w:rsidRPr="00D40444">
        <w:rPr>
          <w:noProof/>
          <w:lang w:eastAsia="ru-RU"/>
        </w:rPr>
        <w:drawing>
          <wp:inline distT="0" distB="0" distL="0" distR="0" wp14:anchorId="5E917434" wp14:editId="0396DE0A">
            <wp:extent cx="5939790" cy="4189282"/>
            <wp:effectExtent l="0" t="0" r="3810" b="1905"/>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5939790" cy="4189282"/>
                    </a:xfrm>
                    <a:prstGeom prst="rect">
                      <a:avLst/>
                    </a:prstGeom>
                  </pic:spPr>
                </pic:pic>
              </a:graphicData>
            </a:graphic>
          </wp:inline>
        </w:drawing>
      </w:r>
    </w:p>
    <w:p w14:paraId="0775AAFD" w14:textId="02A3F07D" w:rsidR="00D45BC3" w:rsidRPr="00F562A8" w:rsidRDefault="00D45BC3" w:rsidP="00D45BC3">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F7471C">
        <w:rPr>
          <w:rFonts w:ascii="Times New Roman" w:hAnsi="Times New Roman" w:cs="Times New Roman"/>
          <w:sz w:val="26"/>
          <w:szCs w:val="26"/>
        </w:rPr>
        <w:t>6</w:t>
      </w:r>
      <w:r w:rsidRPr="00F562A8">
        <w:rPr>
          <w:rFonts w:ascii="Times New Roman" w:hAnsi="Times New Roman" w:cs="Times New Roman"/>
          <w:sz w:val="26"/>
          <w:szCs w:val="26"/>
        </w:rPr>
        <w:t>.</w:t>
      </w:r>
      <w:r w:rsidR="00F7471C">
        <w:rPr>
          <w:rFonts w:ascii="Times New Roman" w:hAnsi="Times New Roman" w:cs="Times New Roman"/>
          <w:sz w:val="26"/>
          <w:szCs w:val="26"/>
        </w:rPr>
        <w:t>8</w:t>
      </w:r>
      <w:r>
        <w:rPr>
          <w:rFonts w:ascii="Times New Roman" w:hAnsi="Times New Roman" w:cs="Times New Roman"/>
          <w:sz w:val="26"/>
          <w:szCs w:val="26"/>
        </w:rPr>
        <w:t>.4</w:t>
      </w:r>
      <w:r w:rsidRPr="00F562A8">
        <w:rPr>
          <w:rFonts w:ascii="Times New Roman" w:hAnsi="Times New Roman" w:cs="Times New Roman"/>
          <w:sz w:val="26"/>
          <w:szCs w:val="26"/>
        </w:rPr>
        <w:t xml:space="preserve"> - Характеристика экспоненциальной модели и анализ качества выборки</w:t>
      </w:r>
    </w:p>
    <w:p w14:paraId="482D5AAA" w14:textId="0C1E8A7D" w:rsidR="00D45BC3" w:rsidRDefault="00D45BC3" w:rsidP="00D45BC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факторами Х</w:t>
      </w:r>
      <w:r w:rsidR="00730A8E">
        <w:rPr>
          <w:rFonts w:ascii="Times New Roman" w:hAnsi="Times New Roman" w:cs="Times New Roman"/>
          <w:sz w:val="26"/>
          <w:szCs w:val="26"/>
          <w:vertAlign w:val="subscript"/>
        </w:rPr>
        <w:t xml:space="preserve">2, </w:t>
      </w:r>
      <w:r w:rsidRPr="00F562A8">
        <w:rPr>
          <w:rFonts w:ascii="Times New Roman" w:hAnsi="Times New Roman" w:cs="Times New Roman"/>
          <w:sz w:val="26"/>
          <w:szCs w:val="26"/>
        </w:rPr>
        <w:t>Х</w:t>
      </w:r>
      <w:r w:rsidR="00730A8E">
        <w:rPr>
          <w:rFonts w:ascii="Times New Roman" w:hAnsi="Times New Roman" w:cs="Times New Roman"/>
          <w:sz w:val="26"/>
          <w:szCs w:val="26"/>
          <w:vertAlign w:val="subscript"/>
        </w:rPr>
        <w:t>3</w:t>
      </w:r>
      <w:r w:rsidRPr="00F562A8">
        <w:rPr>
          <w:rFonts w:ascii="Times New Roman" w:hAnsi="Times New Roman" w:cs="Times New Roman"/>
          <w:sz w:val="26"/>
          <w:szCs w:val="26"/>
        </w:rPr>
        <w:t xml:space="preserve"> и кадастровой стоимостью обратная, то есть при росте этих факторов кадастровая стоимость уменьшается. Влияние фактор</w:t>
      </w:r>
      <w:r w:rsidR="00C21E2C">
        <w:rPr>
          <w:rFonts w:ascii="Times New Roman" w:hAnsi="Times New Roman" w:cs="Times New Roman"/>
          <w:sz w:val="26"/>
          <w:szCs w:val="26"/>
        </w:rPr>
        <w:t>а</w:t>
      </w:r>
      <w:r>
        <w:rPr>
          <w:rFonts w:ascii="Times New Roman" w:hAnsi="Times New Roman" w:cs="Times New Roman"/>
          <w:sz w:val="26"/>
          <w:szCs w:val="26"/>
        </w:rPr>
        <w:t xml:space="preserve"> </w:t>
      </w:r>
      <w:r w:rsidRPr="00F562A8">
        <w:rPr>
          <w:rFonts w:ascii="Times New Roman" w:hAnsi="Times New Roman" w:cs="Times New Roman"/>
          <w:sz w:val="26"/>
          <w:szCs w:val="26"/>
        </w:rPr>
        <w:t>Х</w:t>
      </w:r>
      <w:r w:rsidR="00730A8E">
        <w:rPr>
          <w:rFonts w:ascii="Times New Roman" w:hAnsi="Times New Roman" w:cs="Times New Roman"/>
          <w:sz w:val="26"/>
          <w:szCs w:val="26"/>
          <w:vertAlign w:val="subscript"/>
        </w:rPr>
        <w:t>1</w:t>
      </w:r>
      <w:r>
        <w:rPr>
          <w:rFonts w:ascii="Times New Roman" w:hAnsi="Times New Roman" w:cs="Times New Roman"/>
          <w:sz w:val="26"/>
          <w:szCs w:val="26"/>
          <w:vertAlign w:val="subscript"/>
        </w:rPr>
        <w:t xml:space="preserve"> </w:t>
      </w:r>
      <w:r w:rsidRPr="00F562A8">
        <w:rPr>
          <w:rFonts w:ascii="Times New Roman" w:hAnsi="Times New Roman" w:cs="Times New Roman"/>
          <w:sz w:val="26"/>
          <w:szCs w:val="26"/>
        </w:rPr>
        <w:t>на кадастровую стоимость прямое и с ростом фактор</w:t>
      </w:r>
      <w:r w:rsidR="00412639">
        <w:rPr>
          <w:rFonts w:ascii="Times New Roman" w:hAnsi="Times New Roman" w:cs="Times New Roman"/>
          <w:sz w:val="26"/>
          <w:szCs w:val="26"/>
        </w:rPr>
        <w:t>а</w:t>
      </w:r>
      <w:r w:rsidRPr="00F562A8">
        <w:rPr>
          <w:rFonts w:ascii="Times New Roman" w:hAnsi="Times New Roman" w:cs="Times New Roman"/>
          <w:sz w:val="26"/>
          <w:szCs w:val="26"/>
        </w:rPr>
        <w:t xml:space="preserve"> кадастровая стоимость растет.  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6EC2494B" w14:textId="533BDBBC" w:rsidR="00D704C3" w:rsidRDefault="00D704C3" w:rsidP="00D704C3">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При построении модели были использованны аналоги с различными площадями. Максимальная площадь аналога, используемого в модели равна 53 378 кв.м. Для объектов оцени, привышающих площадь 53 378 кв.м. применяется поправка на площадь, на основании среднего значения коэффициента торможения (-0,190).</w:t>
      </w:r>
    </w:p>
    <w:p w14:paraId="25319019" w14:textId="77777777" w:rsidR="008153A1" w:rsidRDefault="008153A1" w:rsidP="008153A1">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Корректировка взята на основании «Справочника оценщика недвижимости, Лейфер 2020».</w:t>
      </w:r>
    </w:p>
    <w:p w14:paraId="7971D80F" w14:textId="77777777" w:rsidR="008153A1" w:rsidRDefault="008153A1" w:rsidP="008153A1">
      <w:pPr>
        <w:spacing w:after="0" w:line="276" w:lineRule="auto"/>
        <w:ind w:firstLine="709"/>
        <w:jc w:val="center"/>
        <w:rPr>
          <w:rFonts w:ascii="Times New Roman" w:hAnsi="Times New Roman" w:cs="Times New Roman"/>
          <w:sz w:val="26"/>
          <w:szCs w:val="26"/>
        </w:rPr>
      </w:pPr>
      <w:r w:rsidRPr="006362DC">
        <w:rPr>
          <w:rFonts w:ascii="Times New Roman" w:hAnsi="Times New Roman" w:cs="Times New Roman"/>
          <w:noProof/>
          <w:sz w:val="26"/>
          <w:szCs w:val="26"/>
          <w:lang w:eastAsia="ru-RU"/>
        </w:rPr>
        <w:drawing>
          <wp:inline distT="0" distB="0" distL="0" distR="0" wp14:anchorId="416B98D9" wp14:editId="57D38A75">
            <wp:extent cx="3740223" cy="2800543"/>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8"/>
                    <a:srcRect b="31045"/>
                    <a:stretch/>
                  </pic:blipFill>
                  <pic:spPr bwMode="auto">
                    <a:xfrm>
                      <a:off x="0" y="0"/>
                      <a:ext cx="3743716" cy="2803158"/>
                    </a:xfrm>
                    <a:prstGeom prst="rect">
                      <a:avLst/>
                    </a:prstGeom>
                    <a:ln>
                      <a:noFill/>
                    </a:ln>
                    <a:extLst>
                      <a:ext uri="{53640926-AAD7-44D8-BBD7-CCE9431645EC}">
                        <a14:shadowObscured xmlns:a14="http://schemas.microsoft.com/office/drawing/2010/main"/>
                      </a:ext>
                    </a:extLst>
                  </pic:spPr>
                </pic:pic>
              </a:graphicData>
            </a:graphic>
          </wp:inline>
        </w:drawing>
      </w:r>
    </w:p>
    <w:p w14:paraId="1F7AB482" w14:textId="35D2EE43" w:rsidR="008153A1" w:rsidRDefault="008153A1" w:rsidP="008153A1">
      <w:pPr>
        <w:spacing w:after="0" w:line="276" w:lineRule="auto"/>
        <w:ind w:firstLine="709"/>
        <w:jc w:val="center"/>
        <w:rPr>
          <w:rFonts w:ascii="Times New Roman" w:hAnsi="Times New Roman" w:cs="Times New Roman"/>
          <w:i/>
          <w:noProof/>
          <w:szCs w:val="18"/>
        </w:rPr>
      </w:pPr>
      <w:r w:rsidRPr="00F7471C">
        <w:rPr>
          <w:rFonts w:ascii="Times New Roman" w:hAnsi="Times New Roman" w:cs="Times New Roman"/>
          <w:i/>
          <w:noProof/>
          <w:szCs w:val="18"/>
        </w:rPr>
        <w:t xml:space="preserve">Источник: «Справочника оценщика недвижимости-2020. Земельные участки. Часть 2», под ред. Лейфера Л. А. стр. 122. </w:t>
      </w:r>
    </w:p>
    <w:p w14:paraId="16BED797" w14:textId="620B828B" w:rsidR="00F7471C" w:rsidRDefault="00F7471C" w:rsidP="00F7471C">
      <w:pPr>
        <w:tabs>
          <w:tab w:val="right" w:pos="9072"/>
        </w:tabs>
        <w:spacing w:after="0" w:line="276" w:lineRule="auto"/>
        <w:ind w:firstLine="709"/>
        <w:jc w:val="center"/>
        <w:rPr>
          <w:rFonts w:ascii="Times New Roman" w:hAnsi="Times New Roman" w:cs="Times New Roman"/>
          <w:sz w:val="26"/>
          <w:szCs w:val="26"/>
        </w:rPr>
      </w:pPr>
      <w:r w:rsidRPr="001C26DA">
        <w:rPr>
          <w:rFonts w:ascii="Times New Roman" w:hAnsi="Times New Roman" w:cs="Times New Roman"/>
          <w:sz w:val="26"/>
          <w:szCs w:val="26"/>
        </w:rPr>
        <w:t>Рис. 3.6.6.</w:t>
      </w:r>
      <w:r>
        <w:rPr>
          <w:rFonts w:ascii="Times New Roman" w:hAnsi="Times New Roman" w:cs="Times New Roman"/>
          <w:sz w:val="26"/>
          <w:szCs w:val="26"/>
        </w:rPr>
        <w:t>8</w:t>
      </w:r>
      <w:r w:rsidRPr="001C26DA">
        <w:rPr>
          <w:rFonts w:ascii="Times New Roman" w:hAnsi="Times New Roman" w:cs="Times New Roman"/>
          <w:sz w:val="26"/>
          <w:szCs w:val="26"/>
        </w:rPr>
        <w:t>.1 - Значения корректирующих</w:t>
      </w:r>
      <w:r w:rsidRPr="00E16424">
        <w:rPr>
          <w:rFonts w:ascii="Times New Roman" w:hAnsi="Times New Roman" w:cs="Times New Roman"/>
          <w:sz w:val="26"/>
          <w:szCs w:val="26"/>
        </w:rPr>
        <w:t xml:space="preserve"> коэффициентов на </w:t>
      </w:r>
      <w:r>
        <w:rPr>
          <w:rFonts w:ascii="Times New Roman" w:hAnsi="Times New Roman" w:cs="Times New Roman"/>
          <w:sz w:val="26"/>
          <w:szCs w:val="26"/>
        </w:rPr>
        <w:t>площадь</w:t>
      </w:r>
    </w:p>
    <w:p w14:paraId="2D8C063E" w14:textId="77777777" w:rsidR="007111F5" w:rsidRDefault="007111F5" w:rsidP="00D45BC3">
      <w:pPr>
        <w:spacing w:after="0" w:line="276" w:lineRule="auto"/>
        <w:ind w:firstLine="709"/>
        <w:jc w:val="both"/>
        <w:rPr>
          <w:rFonts w:ascii="Times New Roman" w:hAnsi="Times New Roman" w:cs="Times New Roman"/>
          <w:bCs/>
          <w:color w:val="000000" w:themeColor="text1"/>
          <w:sz w:val="26"/>
          <w:szCs w:val="26"/>
        </w:rPr>
      </w:pPr>
    </w:p>
    <w:p w14:paraId="0EFC12CA" w14:textId="1184C526" w:rsidR="00D45BC3" w:rsidRDefault="007111F5" w:rsidP="00D45BC3">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6BDEC9B8" w14:textId="18E9DC04" w:rsidR="008548AD" w:rsidRDefault="008548AD" w:rsidP="00D45BC3">
      <w:pPr>
        <w:spacing w:after="0" w:line="276" w:lineRule="auto"/>
        <w:ind w:firstLine="709"/>
        <w:jc w:val="both"/>
        <w:rPr>
          <w:rFonts w:ascii="Times New Roman" w:eastAsiaTheme="minorEastAsia" w:hAnsi="Times New Roman" w:cs="Times New Roman"/>
          <w:sz w:val="26"/>
          <w:szCs w:val="26"/>
        </w:rPr>
      </w:pPr>
    </w:p>
    <w:p w14:paraId="01EE5661" w14:textId="77777777" w:rsidR="00306BF5" w:rsidRPr="00F562A8" w:rsidRDefault="00306BF5" w:rsidP="006F6435">
      <w:pPr>
        <w:spacing w:after="0" w:line="276" w:lineRule="auto"/>
        <w:ind w:firstLine="709"/>
        <w:jc w:val="both"/>
        <w:rPr>
          <w:rFonts w:ascii="Times New Roman" w:hAnsi="Times New Roman" w:cs="Times New Roman"/>
          <w:sz w:val="16"/>
          <w:szCs w:val="16"/>
        </w:rPr>
      </w:pPr>
    </w:p>
    <w:p w14:paraId="2F746A02" w14:textId="05532F5C" w:rsidR="00306BF5" w:rsidRPr="00F562A8" w:rsidRDefault="00696100" w:rsidP="002D4BEA">
      <w:pPr>
        <w:pStyle w:val="ab"/>
        <w:ind w:left="0"/>
        <w:jc w:val="center"/>
        <w:outlineLvl w:val="2"/>
        <w:rPr>
          <w:rFonts w:ascii="Times New Roman" w:hAnsi="Times New Roman" w:cs="Times New Roman"/>
          <w:i/>
          <w:sz w:val="26"/>
          <w:szCs w:val="26"/>
        </w:rPr>
      </w:pPr>
      <w:bookmarkStart w:id="257" w:name="_Toc110507000"/>
      <w:bookmarkStart w:id="258" w:name="_Hlk13841616"/>
      <w:r w:rsidRPr="00DC7772">
        <w:rPr>
          <w:rFonts w:ascii="Times New Roman" w:hAnsi="Times New Roman" w:cs="Times New Roman"/>
          <w:i/>
          <w:sz w:val="26"/>
          <w:szCs w:val="26"/>
        </w:rPr>
        <w:t>3.6.6.</w:t>
      </w:r>
      <w:r w:rsidR="00C574FC" w:rsidRPr="00DC7772">
        <w:rPr>
          <w:rFonts w:ascii="Times New Roman" w:hAnsi="Times New Roman" w:cs="Times New Roman"/>
          <w:i/>
          <w:sz w:val="26"/>
          <w:szCs w:val="26"/>
        </w:rPr>
        <w:t>9</w:t>
      </w:r>
      <w:r w:rsidRPr="00DC7772">
        <w:rPr>
          <w:rFonts w:ascii="Times New Roman" w:hAnsi="Times New Roman" w:cs="Times New Roman"/>
          <w:i/>
          <w:sz w:val="26"/>
          <w:szCs w:val="26"/>
        </w:rPr>
        <w:t xml:space="preserve">. </w:t>
      </w:r>
      <w:r w:rsidR="00306BF5" w:rsidRPr="00DC7772">
        <w:rPr>
          <w:rFonts w:ascii="Times New Roman" w:hAnsi="Times New Roman" w:cs="Times New Roman"/>
          <w:i/>
          <w:sz w:val="26"/>
          <w:szCs w:val="26"/>
        </w:rPr>
        <w:t>Расчет</w:t>
      </w:r>
      <w:r w:rsidR="00306BF5" w:rsidRPr="00F562A8">
        <w:rPr>
          <w:rFonts w:ascii="Times New Roman" w:hAnsi="Times New Roman" w:cs="Times New Roman"/>
          <w:i/>
          <w:sz w:val="26"/>
          <w:szCs w:val="26"/>
        </w:rPr>
        <w:t xml:space="preserve"> кадастровой стоимости земельных участков группы </w:t>
      </w:r>
      <w:r w:rsidR="00533CF0" w:rsidRPr="00983D64">
        <w:rPr>
          <w:rFonts w:ascii="Times New Roman" w:hAnsi="Times New Roman" w:cs="Times New Roman"/>
          <w:i/>
          <w:sz w:val="26"/>
          <w:szCs w:val="26"/>
        </w:rPr>
        <w:t>ПРОИЗВОДСТВО</w:t>
      </w:r>
      <w:r w:rsidR="00533CF0">
        <w:rPr>
          <w:rFonts w:ascii="Times New Roman" w:hAnsi="Times New Roman" w:cs="Times New Roman"/>
          <w:i/>
          <w:sz w:val="26"/>
          <w:szCs w:val="26"/>
        </w:rPr>
        <w:t>/</w:t>
      </w:r>
      <w:r w:rsidR="009F619D" w:rsidRPr="009F619D">
        <w:rPr>
          <w:rFonts w:ascii="Times New Roman" w:hAnsi="Times New Roman" w:cs="Times New Roman"/>
          <w:i/>
          <w:sz w:val="26"/>
          <w:szCs w:val="26"/>
        </w:rPr>
        <w:t>ПРОМ/СНП</w:t>
      </w:r>
      <w:bookmarkEnd w:id="257"/>
    </w:p>
    <w:bookmarkEnd w:id="258"/>
    <w:p w14:paraId="39B4C40A" w14:textId="04A3526B" w:rsidR="000E0BFE" w:rsidRPr="00F562A8" w:rsidRDefault="000E0BFE" w:rsidP="000E0BFE">
      <w:pPr>
        <w:spacing w:after="0" w:line="276" w:lineRule="auto"/>
        <w:ind w:firstLine="709"/>
        <w:jc w:val="both"/>
        <w:rPr>
          <w:rFonts w:ascii="Times New Roman"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66D1739F" w14:textId="1331419A" w:rsidR="000E0BFE" w:rsidRDefault="000E0BFE" w:rsidP="000E0BFE">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F10BEE">
        <w:rPr>
          <w:rFonts w:ascii="Times New Roman" w:hAnsi="Times New Roman" w:cs="Times New Roman"/>
          <w:sz w:val="26"/>
          <w:szCs w:val="26"/>
        </w:rPr>
        <w:t>ПРОИЗВОДСТВО/ПРОМ/</w:t>
      </w:r>
      <w:r>
        <w:rPr>
          <w:rFonts w:ascii="Times New Roman" w:hAnsi="Times New Roman" w:cs="Times New Roman"/>
          <w:sz w:val="26"/>
          <w:szCs w:val="26"/>
        </w:rPr>
        <w:t>С</w:t>
      </w:r>
      <w:r w:rsidRPr="00A53A0E">
        <w:rPr>
          <w:rFonts w:ascii="Times New Roman" w:hAnsi="Times New Roman" w:cs="Times New Roman"/>
          <w:sz w:val="26"/>
          <w:szCs w:val="26"/>
        </w:rPr>
        <w:t>НП</w:t>
      </w:r>
      <w:r>
        <w:rPr>
          <w:rFonts w:ascii="Times New Roman" w:hAnsi="Times New Roman" w:cs="Times New Roman"/>
          <w:sz w:val="26"/>
          <w:szCs w:val="26"/>
        </w:rPr>
        <w:t xml:space="preserve">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1C26DA">
        <w:rPr>
          <w:rFonts w:ascii="Times New Roman" w:hAnsi="Times New Roman" w:cs="Times New Roman"/>
          <w:sz w:val="26"/>
          <w:szCs w:val="26"/>
        </w:rPr>
        <w:t xml:space="preserve"> 06:000,  03:012, 03:093, 06:020, 06:021, 06:030, 06:031, 06:040, 06:050, 06:060, 06:070, 06:071, 06:072, 06:073, 06:090, 06:091, 06:092, 06:093, 06:100, 06:101, 06:110, 06:111, 07:013, 07:051, 08:010, 08:012, 08:013, 08:031, 10:011</w:t>
      </w:r>
      <w:r>
        <w:rPr>
          <w:rFonts w:ascii="Times New Roman" w:hAnsi="Times New Roman" w:cs="Times New Roman"/>
          <w:sz w:val="26"/>
          <w:szCs w:val="26"/>
        </w:rPr>
        <w:t>.</w:t>
      </w:r>
    </w:p>
    <w:p w14:paraId="19A6F566" w14:textId="6B0BDC29" w:rsidR="00F7654D" w:rsidRPr="00F562A8"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533CF0" w:rsidRPr="00533CF0">
        <w:rPr>
          <w:rFonts w:ascii="Times New Roman" w:hAnsi="Times New Roman" w:cs="Times New Roman"/>
          <w:sz w:val="26"/>
          <w:szCs w:val="26"/>
        </w:rPr>
        <w:t>ПРОИЗВОДСТВО</w:t>
      </w:r>
      <w:r w:rsidR="00533CF0">
        <w:rPr>
          <w:rFonts w:ascii="Times New Roman" w:hAnsi="Times New Roman" w:cs="Times New Roman"/>
          <w:i/>
          <w:sz w:val="26"/>
          <w:szCs w:val="26"/>
        </w:rPr>
        <w:t>/</w:t>
      </w:r>
      <w:r w:rsidR="009F619D">
        <w:rPr>
          <w:rFonts w:ascii="Times New Roman" w:hAnsi="Times New Roman" w:cs="Times New Roman"/>
          <w:sz w:val="26"/>
          <w:szCs w:val="26"/>
        </w:rPr>
        <w:t>ПРОМ</w:t>
      </w:r>
      <w:r w:rsidRPr="008440F2">
        <w:rPr>
          <w:rFonts w:ascii="Times New Roman" w:hAnsi="Times New Roman" w:cs="Times New Roman"/>
          <w:sz w:val="26"/>
          <w:szCs w:val="26"/>
        </w:rPr>
        <w:t>/СНП</w:t>
      </w:r>
      <w:r>
        <w:rPr>
          <w:rFonts w:ascii="Times New Roman" w:hAnsi="Times New Roman" w:cs="Times New Roman"/>
          <w:sz w:val="26"/>
          <w:szCs w:val="26"/>
        </w:rPr>
        <w:t xml:space="preserve">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35211BE1" w14:textId="58DD48F6" w:rsidR="00F7654D" w:rsidRPr="00F562A8" w:rsidRDefault="00F77023"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Согласно п.45.1.1 Указаний</w:t>
      </w:r>
      <w:r w:rsidR="00F7654D" w:rsidRPr="00F562A8">
        <w:rPr>
          <w:rFonts w:ascii="Times New Roman" w:eastAsia="Times New Roman" w:hAnsi="Times New Roman" w:cs="Times New Roman"/>
          <w:sz w:val="26"/>
          <w:szCs w:val="26"/>
          <w:lang w:eastAsia="ru-RU"/>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523747B3"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Порядок подготовки и построения модели оценки кадастровой стоимости включает:</w:t>
      </w:r>
    </w:p>
    <w:p w14:paraId="2DC68A60"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1) определение перечня ценообразующих факторов, описывающих влияние местоположения объектов недвижимости как составного фактора;</w:t>
      </w:r>
    </w:p>
    <w:p w14:paraId="34B75161"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2) определение состава ценообразующих факторов, включаемых в статистическую модель, с учетом местоположения объектов недвижимости;</w:t>
      </w:r>
    </w:p>
    <w:p w14:paraId="77B9BB2B"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3) определение общего вида функций, связывающих зависимую переменную с каждым из ценообразующих факторов;</w:t>
      </w:r>
    </w:p>
    <w:p w14:paraId="2B4E6505"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79864927"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5) анализ показателей качества статистической модели.</w:t>
      </w:r>
    </w:p>
    <w:p w14:paraId="02FF52D2" w14:textId="4A5A849B" w:rsidR="009F619D" w:rsidRPr="00DE636F" w:rsidRDefault="009F619D" w:rsidP="009F619D">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xml:space="preserve">Рынок недвижимости в </w:t>
      </w:r>
      <w:r>
        <w:rPr>
          <w:rFonts w:ascii="Times New Roman" w:hAnsi="Times New Roman" w:cs="Times New Roman"/>
          <w:sz w:val="26"/>
          <w:szCs w:val="26"/>
        </w:rPr>
        <w:t xml:space="preserve">сельских </w:t>
      </w:r>
      <w:r w:rsidRPr="00DE636F">
        <w:rPr>
          <w:rFonts w:ascii="Times New Roman" w:hAnsi="Times New Roman" w:cs="Times New Roman"/>
          <w:sz w:val="26"/>
          <w:szCs w:val="26"/>
        </w:rPr>
        <w:t>населенных пунктах отличается от рынка недвижимости</w:t>
      </w:r>
      <w:r>
        <w:rPr>
          <w:rFonts w:ascii="Times New Roman" w:hAnsi="Times New Roman" w:cs="Times New Roman"/>
          <w:sz w:val="26"/>
          <w:szCs w:val="26"/>
        </w:rPr>
        <w:t xml:space="preserve"> в</w:t>
      </w:r>
      <w:r w:rsidRPr="00DE636F">
        <w:rPr>
          <w:rFonts w:ascii="Times New Roman" w:hAnsi="Times New Roman" w:cs="Times New Roman"/>
          <w:sz w:val="26"/>
          <w:szCs w:val="26"/>
        </w:rPr>
        <w:t xml:space="preserve"> </w:t>
      </w:r>
      <w:r>
        <w:rPr>
          <w:rFonts w:ascii="Times New Roman" w:hAnsi="Times New Roman" w:cs="Times New Roman"/>
          <w:sz w:val="26"/>
          <w:szCs w:val="26"/>
        </w:rPr>
        <w:t>городских</w:t>
      </w:r>
      <w:r w:rsidRPr="00DE636F">
        <w:rPr>
          <w:rFonts w:ascii="Times New Roman" w:hAnsi="Times New Roman" w:cs="Times New Roman"/>
          <w:sz w:val="26"/>
          <w:szCs w:val="26"/>
        </w:rPr>
        <w:t xml:space="preserve"> населенных пунктах существенным образом. В некрупных селах предложение и спрос на недвижимость недостаточно объемен, или практически отсутствует. Это объясняется тем, что рынок недвижимости является своеобразным индикатором деловой активности в населенных пунктах. В соответствии с различиями в уровне социально-экономического развития населенных пунктов региона может различаться и степень развитости локальных рынков недвижимости.</w:t>
      </w:r>
    </w:p>
    <w:p w14:paraId="1818FA1D" w14:textId="77777777" w:rsidR="009F619D" w:rsidRPr="00DE636F" w:rsidRDefault="009F619D" w:rsidP="009F619D">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По этой причине, в данной модели взят фактор Х</w:t>
      </w:r>
      <w:r w:rsidRPr="00DE636F">
        <w:rPr>
          <w:rFonts w:ascii="Times New Roman" w:hAnsi="Times New Roman" w:cs="Times New Roman"/>
          <w:sz w:val="26"/>
          <w:szCs w:val="26"/>
          <w:vertAlign w:val="subscript"/>
        </w:rPr>
        <w:t xml:space="preserve">0 </w:t>
      </w:r>
      <w:r w:rsidRPr="00DE636F">
        <w:rPr>
          <w:rFonts w:ascii="Times New Roman" w:hAnsi="Times New Roman" w:cs="Times New Roman"/>
          <w:sz w:val="26"/>
          <w:szCs w:val="26"/>
        </w:rPr>
        <w:t xml:space="preserve">«Наименование </w:t>
      </w:r>
      <w:r>
        <w:rPr>
          <w:rFonts w:ascii="Times New Roman" w:hAnsi="Times New Roman" w:cs="Times New Roman"/>
          <w:sz w:val="26"/>
          <w:szCs w:val="26"/>
        </w:rPr>
        <w:t>района</w:t>
      </w:r>
      <w:r w:rsidRPr="00DE636F">
        <w:rPr>
          <w:rFonts w:ascii="Times New Roman" w:hAnsi="Times New Roman" w:cs="Times New Roman"/>
          <w:sz w:val="26"/>
          <w:szCs w:val="26"/>
        </w:rPr>
        <w:t>», объединяющий населенные пункты Воронежской области, по степени социально-экономических показателей (по данным территориального органа Федеральной службы государственной статистики).</w:t>
      </w:r>
    </w:p>
    <w:p w14:paraId="2FB1634A" w14:textId="70D28DF4" w:rsidR="00F7654D"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w:t>
      </w:r>
      <w:r>
        <w:rPr>
          <w:rFonts w:ascii="Times New Roman" w:hAnsi="Times New Roman" w:cs="Times New Roman"/>
          <w:sz w:val="26"/>
          <w:szCs w:val="26"/>
        </w:rPr>
        <w:t>сельских</w:t>
      </w:r>
      <w:r w:rsidRPr="00F562A8">
        <w:rPr>
          <w:rFonts w:ascii="Times New Roman" w:hAnsi="Times New Roman" w:cs="Times New Roman"/>
          <w:sz w:val="26"/>
          <w:szCs w:val="26"/>
        </w:rPr>
        <w:t xml:space="preserve"> населенных пунктах Воронежской области,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497BF1" w:rsidRPr="00F562A8">
        <w:rPr>
          <w:rFonts w:ascii="Times New Roman" w:hAnsi="Times New Roman" w:cs="Times New Roman"/>
          <w:sz w:val="26"/>
          <w:szCs w:val="26"/>
        </w:rPr>
        <w:t>представлены в таблиц</w:t>
      </w:r>
      <w:r w:rsidR="00497BF1">
        <w:rPr>
          <w:rFonts w:ascii="Times New Roman" w:hAnsi="Times New Roman" w:cs="Times New Roman"/>
          <w:sz w:val="26"/>
          <w:szCs w:val="26"/>
        </w:rPr>
        <w:t>ах</w:t>
      </w:r>
      <w:r w:rsidR="00497BF1" w:rsidRPr="00F562A8">
        <w:rPr>
          <w:rFonts w:ascii="Times New Roman" w:hAnsi="Times New Roman" w:cs="Times New Roman"/>
          <w:sz w:val="26"/>
          <w:szCs w:val="26"/>
        </w:rPr>
        <w:t xml:space="preserve"> </w:t>
      </w:r>
      <w:r w:rsidR="00497BF1" w:rsidRPr="00F562A8">
        <w:rPr>
          <w:rFonts w:ascii="Times New Roman" w:eastAsia="Times New Roman" w:hAnsi="Times New Roman" w:cs="Times New Roman"/>
          <w:sz w:val="26"/>
          <w:szCs w:val="26"/>
        </w:rPr>
        <w:t>3.</w:t>
      </w:r>
      <w:r w:rsidR="00497BF1">
        <w:rPr>
          <w:rFonts w:ascii="Times New Roman" w:eastAsia="Times New Roman" w:hAnsi="Times New Roman" w:cs="Times New Roman"/>
          <w:sz w:val="26"/>
          <w:szCs w:val="26"/>
        </w:rPr>
        <w:t>4 и 3.5, пунктов 3.4 и 3.5 соответственно</w:t>
      </w:r>
      <w:r w:rsidR="00497BF1" w:rsidRPr="00F562A8">
        <w:rPr>
          <w:rFonts w:ascii="Times New Roman" w:hAnsi="Times New Roman" w:cs="Times New Roman"/>
          <w:sz w:val="26"/>
          <w:szCs w:val="26"/>
        </w:rPr>
        <w:t>.</w:t>
      </w:r>
    </w:p>
    <w:p w14:paraId="4B3138D0" w14:textId="78982B34" w:rsidR="00F7654D" w:rsidRPr="00F562A8"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3A5D6246" w14:textId="77777777" w:rsidR="00F7654D" w:rsidRPr="00F562A8"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2B8FE1AF" w14:textId="0D1FCD46" w:rsidR="00F7654D" w:rsidRPr="00F562A8"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762185">
        <w:rPr>
          <w:rFonts w:ascii="Times New Roman" w:hAnsi="Times New Roman" w:cs="Times New Roman"/>
          <w:sz w:val="26"/>
          <w:szCs w:val="26"/>
        </w:rPr>
        <w:t>7</w:t>
      </w:r>
      <w:r w:rsidRPr="00F562A8">
        <w:rPr>
          <w:rFonts w:ascii="Times New Roman" w:hAnsi="Times New Roman" w:cs="Times New Roman"/>
          <w:sz w:val="26"/>
          <w:szCs w:val="26"/>
        </w:rPr>
        <w:t>:</w:t>
      </w:r>
    </w:p>
    <w:p w14:paraId="49D1D0A3" w14:textId="303080CD" w:rsidR="00F7654D" w:rsidRPr="00F562A8"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762185">
        <w:rPr>
          <w:rFonts w:ascii="Times New Roman" w:hAnsi="Times New Roman" w:cs="Times New Roman"/>
          <w:sz w:val="26"/>
          <w:szCs w:val="26"/>
        </w:rPr>
        <w:t>н</w:t>
      </w:r>
      <w:r w:rsidR="00762185" w:rsidRPr="00762185">
        <w:rPr>
          <w:rFonts w:ascii="Times New Roman" w:hAnsi="Times New Roman" w:cs="Times New Roman"/>
          <w:sz w:val="26"/>
          <w:szCs w:val="26"/>
        </w:rPr>
        <w:t>аименование района</w:t>
      </w:r>
      <w:r w:rsidRPr="00F562A8">
        <w:rPr>
          <w:rFonts w:ascii="Times New Roman" w:hAnsi="Times New Roman" w:cs="Times New Roman"/>
          <w:sz w:val="26"/>
          <w:szCs w:val="26"/>
        </w:rPr>
        <w:t>: Х</w:t>
      </w:r>
      <w:r>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113DE3CB" w14:textId="712033A4" w:rsidR="00F7654D"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762185">
        <w:rPr>
          <w:rFonts w:ascii="Times New Roman" w:hAnsi="Times New Roman" w:cs="Times New Roman"/>
          <w:sz w:val="26"/>
          <w:szCs w:val="26"/>
        </w:rPr>
        <w:t>р</w:t>
      </w:r>
      <w:r w:rsidR="00762185" w:rsidRPr="00762185">
        <w:rPr>
          <w:rFonts w:ascii="Times New Roman" w:hAnsi="Times New Roman" w:cs="Times New Roman"/>
          <w:sz w:val="26"/>
          <w:szCs w:val="26"/>
        </w:rPr>
        <w:t>асстояние от населенного пункта до центра муниципального района (городского округа)</w:t>
      </w:r>
      <w:r w:rsidRPr="00F562A8">
        <w:rPr>
          <w:rFonts w:ascii="Times New Roman" w:hAnsi="Times New Roman" w:cs="Times New Roman"/>
          <w:sz w:val="26"/>
          <w:szCs w:val="26"/>
        </w:rPr>
        <w:t>: Х</w:t>
      </w:r>
      <w:r>
        <w:rPr>
          <w:rFonts w:ascii="Times New Roman" w:hAnsi="Times New Roman" w:cs="Times New Roman"/>
          <w:sz w:val="26"/>
          <w:szCs w:val="26"/>
          <w:vertAlign w:val="subscript"/>
        </w:rPr>
        <w:t>1</w:t>
      </w:r>
      <w:r w:rsidRPr="00F562A8">
        <w:rPr>
          <w:rFonts w:ascii="Times New Roman" w:hAnsi="Times New Roman" w:cs="Times New Roman"/>
          <w:sz w:val="26"/>
          <w:szCs w:val="26"/>
        </w:rPr>
        <w:t>;</w:t>
      </w:r>
    </w:p>
    <w:p w14:paraId="0E58AFC7" w14:textId="152AA460" w:rsidR="00F7654D"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w:t>
      </w:r>
      <w:r>
        <w:rPr>
          <w:rFonts w:ascii="Times New Roman" w:hAnsi="Times New Roman" w:cs="Times New Roman"/>
          <w:sz w:val="26"/>
          <w:szCs w:val="26"/>
        </w:rPr>
        <w:t xml:space="preserve"> </w:t>
      </w:r>
      <w:r w:rsidR="00762185">
        <w:rPr>
          <w:rFonts w:ascii="Times New Roman" w:hAnsi="Times New Roman" w:cs="Times New Roman"/>
          <w:sz w:val="26"/>
          <w:szCs w:val="26"/>
        </w:rPr>
        <w:t>р</w:t>
      </w:r>
      <w:r w:rsidR="00762185" w:rsidRPr="00762185">
        <w:rPr>
          <w:rFonts w:ascii="Times New Roman" w:hAnsi="Times New Roman" w:cs="Times New Roman"/>
          <w:sz w:val="26"/>
          <w:szCs w:val="26"/>
        </w:rPr>
        <w:t>асстояние</w:t>
      </w:r>
      <w:r w:rsidR="00762185" w:rsidRPr="0017699A">
        <w:t xml:space="preserve"> </w:t>
      </w:r>
      <w:r w:rsidR="00762185" w:rsidRPr="00762185">
        <w:rPr>
          <w:rFonts w:ascii="Times New Roman" w:hAnsi="Times New Roman" w:cs="Times New Roman"/>
          <w:sz w:val="26"/>
          <w:szCs w:val="26"/>
        </w:rPr>
        <w:t>от населенного пункта до центра субъекта РФ (г. Воронеж)</w:t>
      </w:r>
      <w:r w:rsidRPr="00F562A8">
        <w:rPr>
          <w:rFonts w:ascii="Times New Roman" w:hAnsi="Times New Roman" w:cs="Times New Roman"/>
          <w:sz w:val="26"/>
          <w:szCs w:val="26"/>
        </w:rPr>
        <w:t>: Х</w:t>
      </w:r>
      <w:r>
        <w:rPr>
          <w:rFonts w:ascii="Times New Roman" w:hAnsi="Times New Roman" w:cs="Times New Roman"/>
          <w:sz w:val="26"/>
          <w:szCs w:val="26"/>
          <w:vertAlign w:val="subscript"/>
        </w:rPr>
        <w:t>2</w:t>
      </w:r>
      <w:r w:rsidRPr="00F562A8">
        <w:rPr>
          <w:rFonts w:ascii="Times New Roman" w:hAnsi="Times New Roman" w:cs="Times New Roman"/>
          <w:sz w:val="26"/>
          <w:szCs w:val="26"/>
        </w:rPr>
        <w:t>;</w:t>
      </w:r>
    </w:p>
    <w:p w14:paraId="62151EEB" w14:textId="6AF2F5CA" w:rsidR="00762185" w:rsidRPr="00F562A8" w:rsidRDefault="00762185" w:rsidP="00762185">
      <w:pPr>
        <w:spacing w:after="0" w:line="276" w:lineRule="auto"/>
        <w:ind w:firstLine="709"/>
        <w:jc w:val="both"/>
        <w:rPr>
          <w:rFonts w:ascii="Times New Roman" w:hAnsi="Times New Roman" w:cs="Times New Roman"/>
          <w:sz w:val="26"/>
          <w:szCs w:val="26"/>
        </w:rPr>
      </w:pPr>
      <w:r>
        <w:t xml:space="preserve">- </w:t>
      </w:r>
      <w:r>
        <w:rPr>
          <w:rFonts w:ascii="Times New Roman" w:hAnsi="Times New Roman" w:cs="Times New Roman"/>
          <w:sz w:val="26"/>
          <w:szCs w:val="26"/>
        </w:rPr>
        <w:t>ч</w:t>
      </w:r>
      <w:r w:rsidRPr="00762185">
        <w:rPr>
          <w:rFonts w:ascii="Times New Roman" w:hAnsi="Times New Roman" w:cs="Times New Roman"/>
          <w:sz w:val="26"/>
          <w:szCs w:val="26"/>
        </w:rPr>
        <w:t>исленность населения в населенном пункте</w:t>
      </w:r>
      <w:r w:rsidRPr="00F562A8">
        <w:rPr>
          <w:rFonts w:ascii="Times New Roman" w:hAnsi="Times New Roman" w:cs="Times New Roman"/>
          <w:sz w:val="26"/>
          <w:szCs w:val="26"/>
        </w:rPr>
        <w:t>: Х</w:t>
      </w:r>
      <w:r w:rsidR="00F03904">
        <w:rPr>
          <w:rFonts w:ascii="Times New Roman" w:hAnsi="Times New Roman" w:cs="Times New Roman"/>
          <w:sz w:val="26"/>
          <w:szCs w:val="26"/>
          <w:vertAlign w:val="subscript"/>
        </w:rPr>
        <w:t>3</w:t>
      </w:r>
      <w:r w:rsidRPr="00F562A8">
        <w:rPr>
          <w:rFonts w:ascii="Times New Roman" w:hAnsi="Times New Roman" w:cs="Times New Roman"/>
          <w:sz w:val="26"/>
          <w:szCs w:val="26"/>
        </w:rPr>
        <w:t>;</w:t>
      </w:r>
    </w:p>
    <w:p w14:paraId="5F50031F" w14:textId="04EB6637" w:rsidR="00762185" w:rsidRPr="00F562A8" w:rsidRDefault="00762185" w:rsidP="00762185">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н</w:t>
      </w:r>
      <w:r w:rsidRPr="00762185">
        <w:rPr>
          <w:rFonts w:ascii="Times New Roman" w:hAnsi="Times New Roman" w:cs="Times New Roman"/>
          <w:sz w:val="26"/>
          <w:szCs w:val="26"/>
        </w:rPr>
        <w:t>аличие в населенном пункте магазина</w:t>
      </w:r>
      <w:r w:rsidRPr="00F562A8">
        <w:rPr>
          <w:rFonts w:ascii="Times New Roman" w:hAnsi="Times New Roman" w:cs="Times New Roman"/>
          <w:sz w:val="26"/>
          <w:szCs w:val="26"/>
        </w:rPr>
        <w:t>: Х</w:t>
      </w:r>
      <w:r w:rsidR="00F03904">
        <w:rPr>
          <w:rFonts w:ascii="Times New Roman" w:hAnsi="Times New Roman" w:cs="Times New Roman"/>
          <w:sz w:val="26"/>
          <w:szCs w:val="26"/>
          <w:vertAlign w:val="subscript"/>
        </w:rPr>
        <w:t>4</w:t>
      </w:r>
      <w:r w:rsidRPr="00F562A8">
        <w:rPr>
          <w:rFonts w:ascii="Times New Roman" w:hAnsi="Times New Roman" w:cs="Times New Roman"/>
          <w:sz w:val="26"/>
          <w:szCs w:val="26"/>
        </w:rPr>
        <w:t>;</w:t>
      </w:r>
    </w:p>
    <w:p w14:paraId="1B94AFBB" w14:textId="4CDDB17B" w:rsidR="00762185" w:rsidRPr="00F562A8" w:rsidRDefault="00762185" w:rsidP="00762185">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н</w:t>
      </w:r>
      <w:r w:rsidRPr="00762185">
        <w:rPr>
          <w:rFonts w:ascii="Times New Roman" w:hAnsi="Times New Roman" w:cs="Times New Roman"/>
          <w:sz w:val="26"/>
          <w:szCs w:val="26"/>
        </w:rPr>
        <w:t>аличие в населенном пункте центрального водоснабжения</w:t>
      </w:r>
      <w:r w:rsidRPr="00F562A8">
        <w:rPr>
          <w:rFonts w:ascii="Times New Roman" w:hAnsi="Times New Roman" w:cs="Times New Roman"/>
          <w:sz w:val="26"/>
          <w:szCs w:val="26"/>
        </w:rPr>
        <w:t>: Х</w:t>
      </w:r>
      <w:r w:rsidR="00F03904">
        <w:rPr>
          <w:rFonts w:ascii="Times New Roman" w:hAnsi="Times New Roman" w:cs="Times New Roman"/>
          <w:sz w:val="26"/>
          <w:szCs w:val="26"/>
          <w:vertAlign w:val="subscript"/>
        </w:rPr>
        <w:t>5</w:t>
      </w:r>
      <w:r w:rsidRPr="00F562A8">
        <w:rPr>
          <w:rFonts w:ascii="Times New Roman" w:hAnsi="Times New Roman" w:cs="Times New Roman"/>
          <w:sz w:val="26"/>
          <w:szCs w:val="26"/>
        </w:rPr>
        <w:t>;</w:t>
      </w:r>
    </w:p>
    <w:p w14:paraId="322648E4" w14:textId="3426C017" w:rsidR="00762185" w:rsidRPr="00F562A8" w:rsidRDefault="00762185" w:rsidP="00762185">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н</w:t>
      </w:r>
      <w:r w:rsidRPr="00762185">
        <w:rPr>
          <w:rFonts w:ascii="Times New Roman" w:hAnsi="Times New Roman" w:cs="Times New Roman"/>
          <w:sz w:val="26"/>
          <w:szCs w:val="26"/>
        </w:rPr>
        <w:t>аличие дороги с твердым покрытием</w:t>
      </w:r>
      <w:r w:rsidRPr="00F562A8">
        <w:rPr>
          <w:rFonts w:ascii="Times New Roman" w:hAnsi="Times New Roman" w:cs="Times New Roman"/>
          <w:sz w:val="26"/>
          <w:szCs w:val="26"/>
        </w:rPr>
        <w:t>: Х</w:t>
      </w:r>
      <w:r w:rsidR="00F03904">
        <w:rPr>
          <w:rFonts w:ascii="Times New Roman" w:hAnsi="Times New Roman" w:cs="Times New Roman"/>
          <w:sz w:val="26"/>
          <w:szCs w:val="26"/>
          <w:vertAlign w:val="subscript"/>
        </w:rPr>
        <w:t>6</w:t>
      </w:r>
      <w:r w:rsidR="00883ED0">
        <w:rPr>
          <w:rFonts w:ascii="Times New Roman" w:hAnsi="Times New Roman" w:cs="Times New Roman"/>
          <w:sz w:val="26"/>
          <w:szCs w:val="26"/>
        </w:rPr>
        <w:t>.</w:t>
      </w:r>
    </w:p>
    <w:p w14:paraId="7B5C0E47" w14:textId="77777777" w:rsidR="00F7654D" w:rsidRPr="00F562A8"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159CA159" w14:textId="77777777" w:rsidR="00F7654D" w:rsidRPr="00F562A8"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34E68802" w14:textId="6649F2A8" w:rsidR="00F7654D" w:rsidRPr="00F562A8"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8345AC">
        <w:rPr>
          <w:rFonts w:ascii="Times New Roman" w:hAnsi="Times New Roman" w:cs="Times New Roman"/>
          <w:sz w:val="26"/>
          <w:szCs w:val="26"/>
        </w:rPr>
        <w:t>семи</w:t>
      </w:r>
      <w:r w:rsidRPr="00F562A8">
        <w:rPr>
          <w:rFonts w:ascii="Times New Roman" w:hAnsi="Times New Roman" w:cs="Times New Roman"/>
          <w:sz w:val="26"/>
          <w:szCs w:val="26"/>
        </w:rPr>
        <w:t>факторные модели:</w:t>
      </w:r>
    </w:p>
    <w:p w14:paraId="0AFC82CE" w14:textId="77777777" w:rsidR="00F7654D" w:rsidRPr="00F562A8" w:rsidRDefault="00F7654D" w:rsidP="00F7654D">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32D7614A" wp14:editId="0BBC1633">
            <wp:extent cx="2209800" cy="247650"/>
            <wp:effectExtent l="0" t="0" r="0" b="0"/>
            <wp:docPr id="315" name="Рисунок 315"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1432D6A8" w14:textId="77777777" w:rsidR="00F7654D" w:rsidRPr="00F562A8"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49AC4C7D" wp14:editId="71FF2675">
            <wp:extent cx="1352550" cy="266700"/>
            <wp:effectExtent l="0" t="0" r="0" b="0"/>
            <wp:docPr id="316" name="Рисунок 316"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7D6198E2" w14:textId="77777777" w:rsidR="00F7654D" w:rsidRPr="00F562A8"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6473488B" wp14:editId="35B2E805">
            <wp:extent cx="1266825" cy="266700"/>
            <wp:effectExtent l="0" t="0" r="0" b="0"/>
            <wp:docPr id="317" name="Рисунок 317"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24331C9A" w14:textId="77777777" w:rsidR="00F7654D" w:rsidRPr="00F562A8"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57DCF538"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X</w:t>
      </w:r>
      <w:r w:rsidRPr="00F562A8">
        <w:rPr>
          <w:rFonts w:ascii="Times New Roman" w:eastAsia="Times New Roman" w:hAnsi="Times New Roman" w:cs="Times New Roman"/>
          <w:sz w:val="26"/>
          <w:szCs w:val="26"/>
          <w:vertAlign w:val="subscript"/>
          <w:lang w:eastAsia="ru-RU"/>
        </w:rPr>
        <w:t>1</w:t>
      </w:r>
      <w:r w:rsidRPr="00F562A8">
        <w:rPr>
          <w:rFonts w:ascii="Times New Roman" w:eastAsia="Times New Roman" w:hAnsi="Times New Roman" w:cs="Times New Roman"/>
          <w:sz w:val="26"/>
          <w:szCs w:val="26"/>
          <w:lang w:eastAsia="ru-RU"/>
        </w:rPr>
        <w:t>, ..., X</w:t>
      </w:r>
      <w:r w:rsidRPr="00F562A8">
        <w:rPr>
          <w:rFonts w:ascii="Times New Roman" w:eastAsia="Times New Roman" w:hAnsi="Times New Roman" w:cs="Times New Roman"/>
          <w:sz w:val="26"/>
          <w:szCs w:val="26"/>
          <w:vertAlign w:val="subscript"/>
          <w:lang w:eastAsia="ru-RU"/>
        </w:rPr>
        <w:t>n</w:t>
      </w:r>
      <w:r w:rsidRPr="00F562A8">
        <w:rPr>
          <w:rFonts w:ascii="Times New Roman" w:eastAsia="Times New Roman" w:hAnsi="Times New Roman" w:cs="Times New Roman"/>
          <w:sz w:val="26"/>
          <w:szCs w:val="26"/>
          <w:lang w:eastAsia="ru-RU"/>
        </w:rPr>
        <w:t xml:space="preserve"> - ценообразующие факторы объектов недвижимости;</w:t>
      </w:r>
    </w:p>
    <w:p w14:paraId="52B844CD"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noProof/>
          <w:position w:val="-8"/>
          <w:sz w:val="26"/>
          <w:szCs w:val="26"/>
          <w:lang w:eastAsia="ru-RU"/>
        </w:rPr>
        <w:drawing>
          <wp:inline distT="0" distB="0" distL="0" distR="0" wp14:anchorId="2B7BD465" wp14:editId="488FF298">
            <wp:extent cx="209550" cy="247650"/>
            <wp:effectExtent l="0" t="0" r="0" b="0"/>
            <wp:docPr id="318" name="Рисунок 318"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w:t>
      </w:r>
      <w:r w:rsidRPr="00F562A8">
        <w:rPr>
          <w:rFonts w:ascii="Times New Roman" w:eastAsia="Times New Roman" w:hAnsi="Times New Roman" w:cs="Times New Roman"/>
          <w:noProof/>
          <w:position w:val="-8"/>
          <w:sz w:val="26"/>
          <w:szCs w:val="26"/>
          <w:lang w:eastAsia="ru-RU"/>
        </w:rPr>
        <w:drawing>
          <wp:inline distT="0" distB="0" distL="0" distR="0" wp14:anchorId="555A8B22" wp14:editId="0D986FFF">
            <wp:extent cx="200025" cy="247650"/>
            <wp:effectExtent l="0" t="0" r="9525" b="0"/>
            <wp:docPr id="319" name="Рисунок 319"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 </w:t>
      </w:r>
      <w:r w:rsidRPr="00F562A8">
        <w:rPr>
          <w:rFonts w:ascii="Times New Roman" w:eastAsia="Times New Roman" w:hAnsi="Times New Roman" w:cs="Times New Roman"/>
          <w:noProof/>
          <w:position w:val="-8"/>
          <w:sz w:val="26"/>
          <w:szCs w:val="26"/>
          <w:lang w:eastAsia="ru-RU"/>
        </w:rPr>
        <w:drawing>
          <wp:inline distT="0" distB="0" distL="0" distR="0" wp14:anchorId="2C0D388B" wp14:editId="123EFB19">
            <wp:extent cx="209550" cy="247650"/>
            <wp:effectExtent l="0" t="0" r="0" b="0"/>
            <wp:docPr id="704" name="Рисунок 704"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 коэффициенты модели.</w:t>
      </w:r>
    </w:p>
    <w:p w14:paraId="0234560D" w14:textId="7483CE62" w:rsidR="00F7654D" w:rsidRPr="00F562A8" w:rsidRDefault="006C2F37" w:rsidP="00F7654D">
      <w:pPr>
        <w:spacing w:after="0" w:line="276" w:lineRule="auto"/>
        <w:jc w:val="center"/>
        <w:rPr>
          <w:rFonts w:ascii="Times New Roman" w:hAnsi="Times New Roman" w:cs="Times New Roman"/>
          <w:sz w:val="24"/>
          <w:lang w:val="en-US"/>
        </w:rPr>
      </w:pPr>
      <w:r w:rsidRPr="00FC7A76">
        <w:rPr>
          <w:noProof/>
          <w:lang w:eastAsia="ru-RU"/>
        </w:rPr>
        <w:drawing>
          <wp:inline distT="0" distB="0" distL="0" distR="0" wp14:anchorId="0DD0E181" wp14:editId="4E36B087">
            <wp:extent cx="5939790" cy="611440"/>
            <wp:effectExtent l="0" t="0" r="381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939790" cy="611440"/>
                    </a:xfrm>
                    <a:prstGeom prst="rect">
                      <a:avLst/>
                    </a:prstGeom>
                  </pic:spPr>
                </pic:pic>
              </a:graphicData>
            </a:graphic>
          </wp:inline>
        </w:drawing>
      </w:r>
    </w:p>
    <w:p w14:paraId="2CD5E194" w14:textId="6D8CCFF5" w:rsidR="00F7654D" w:rsidRPr="00F562A8" w:rsidRDefault="00F7654D" w:rsidP="00F7654D">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0E0BFE">
        <w:rPr>
          <w:rFonts w:ascii="Times New Roman" w:hAnsi="Times New Roman" w:cs="Times New Roman"/>
          <w:sz w:val="26"/>
          <w:szCs w:val="26"/>
        </w:rPr>
        <w:t>6</w:t>
      </w:r>
      <w:r w:rsidRPr="00F562A8">
        <w:rPr>
          <w:rFonts w:ascii="Times New Roman" w:hAnsi="Times New Roman" w:cs="Times New Roman"/>
          <w:sz w:val="26"/>
          <w:szCs w:val="26"/>
        </w:rPr>
        <w:t>.</w:t>
      </w:r>
      <w:r w:rsidR="000E0BFE">
        <w:rPr>
          <w:rFonts w:ascii="Times New Roman" w:hAnsi="Times New Roman" w:cs="Times New Roman"/>
          <w:sz w:val="26"/>
          <w:szCs w:val="26"/>
        </w:rPr>
        <w:t>9</w:t>
      </w:r>
      <w:r>
        <w:rPr>
          <w:rFonts w:ascii="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w:t>
      </w:r>
      <w:r w:rsidR="008345AC">
        <w:rPr>
          <w:rFonts w:ascii="Times New Roman" w:hAnsi="Times New Roman" w:cs="Times New Roman"/>
          <w:sz w:val="26"/>
          <w:szCs w:val="26"/>
        </w:rPr>
        <w:t>семи</w:t>
      </w:r>
      <w:r w:rsidRPr="00F562A8">
        <w:rPr>
          <w:rFonts w:ascii="Times New Roman" w:hAnsi="Times New Roman" w:cs="Times New Roman"/>
          <w:sz w:val="26"/>
          <w:szCs w:val="26"/>
        </w:rPr>
        <w:t>факторные модели</w:t>
      </w:r>
    </w:p>
    <w:p w14:paraId="243BAEBB" w14:textId="277E0C73"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Согласно п.</w:t>
      </w:r>
      <w:r w:rsidR="00B11E8D">
        <w:rPr>
          <w:rFonts w:ascii="Times New Roman" w:eastAsia="Times New Roman" w:hAnsi="Times New Roman" w:cs="Times New Roman"/>
          <w:sz w:val="26"/>
          <w:szCs w:val="26"/>
          <w:lang w:eastAsia="ru-RU"/>
        </w:rPr>
        <w:t>45.1.2</w:t>
      </w:r>
      <w:r w:rsidRPr="00F562A8">
        <w:rPr>
          <w:rFonts w:ascii="Times New Roman" w:eastAsia="Times New Roman" w:hAnsi="Times New Roman" w:cs="Times New Roman"/>
          <w:sz w:val="26"/>
          <w:szCs w:val="26"/>
          <w:lang w:eastAsia="ru-RU"/>
        </w:rPr>
        <w:t xml:space="preserve"> Указаний, анализ качества статистической модели включает в себя комплекс процедур, предусматривающий проверки, в том числе:</w:t>
      </w:r>
    </w:p>
    <w:p w14:paraId="20AAFCC0"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5AAF09CC"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обоснованности знаков при коэффициентах статистического уравнения, то есть их соответствия характеру влияния ценообразующих факторов;</w:t>
      </w:r>
    </w:p>
    <w:p w14:paraId="0817ABDB"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0F28B4BF"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t-критерию Стьюдента проверки значимости параметров моделей;</w:t>
      </w:r>
    </w:p>
    <w:p w14:paraId="27AAC21A"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средней ошибке аппроксимации;</w:t>
      </w:r>
    </w:p>
    <w:p w14:paraId="5CE53A8F"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коэффициенту детерминации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w:t>
      </w:r>
    </w:p>
    <w:p w14:paraId="610454FE"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расчетному значению F-критерия Фишера, обосновывающего адекватность регрессионной модели.</w:t>
      </w:r>
    </w:p>
    <w:p w14:paraId="7E3D7454" w14:textId="16E54232" w:rsidR="00F7654D" w:rsidRPr="00F562A8" w:rsidRDefault="006C2F37" w:rsidP="00F7654D">
      <w:pPr>
        <w:widowControl w:val="0"/>
        <w:autoSpaceDE w:val="0"/>
        <w:autoSpaceDN w:val="0"/>
        <w:spacing w:after="0" w:line="276" w:lineRule="auto"/>
        <w:jc w:val="center"/>
        <w:rPr>
          <w:rFonts w:ascii="Times New Roman" w:eastAsia="Times New Roman" w:hAnsi="Times New Roman" w:cs="Times New Roman"/>
          <w:sz w:val="26"/>
          <w:szCs w:val="26"/>
          <w:lang w:eastAsia="ru-RU"/>
        </w:rPr>
      </w:pPr>
      <w:r w:rsidRPr="00FC7A76">
        <w:rPr>
          <w:noProof/>
          <w:lang w:eastAsia="ru-RU"/>
        </w:rPr>
        <w:drawing>
          <wp:inline distT="0" distB="0" distL="0" distR="0" wp14:anchorId="2286710E" wp14:editId="5AE5AD16">
            <wp:extent cx="5810250" cy="1685953"/>
            <wp:effectExtent l="0" t="0" r="0"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7"/>
                    <a:srcRect r="8081"/>
                    <a:stretch/>
                  </pic:blipFill>
                  <pic:spPr bwMode="auto">
                    <a:xfrm>
                      <a:off x="0" y="0"/>
                      <a:ext cx="5842969" cy="1695447"/>
                    </a:xfrm>
                    <a:prstGeom prst="rect">
                      <a:avLst/>
                    </a:prstGeom>
                    <a:ln>
                      <a:noFill/>
                    </a:ln>
                    <a:extLst>
                      <a:ext uri="{53640926-AAD7-44D8-BBD7-CCE9431645EC}">
                        <a14:shadowObscured xmlns:a14="http://schemas.microsoft.com/office/drawing/2010/main"/>
                      </a:ext>
                    </a:extLst>
                  </pic:spPr>
                </pic:pic>
              </a:graphicData>
            </a:graphic>
          </wp:inline>
        </w:drawing>
      </w:r>
    </w:p>
    <w:p w14:paraId="16A4B57A" w14:textId="2B17C236" w:rsidR="00F7654D" w:rsidRPr="00F562A8" w:rsidRDefault="00F7654D" w:rsidP="00F7654D">
      <w:pPr>
        <w:widowControl w:val="0"/>
        <w:autoSpaceDE w:val="0"/>
        <w:autoSpaceDN w:val="0"/>
        <w:spacing w:after="0" w:line="276" w:lineRule="auto"/>
        <w:ind w:firstLine="709"/>
        <w:jc w:val="center"/>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Рис.</w:t>
      </w:r>
      <w:r w:rsidRPr="00F562A8">
        <w:rPr>
          <w:rFonts w:ascii="Times New Roman" w:hAnsi="Times New Roman" w:cs="Times New Roman"/>
          <w:sz w:val="26"/>
          <w:szCs w:val="26"/>
        </w:rPr>
        <w:t xml:space="preserve"> 3.6.</w:t>
      </w:r>
      <w:r w:rsidR="000E0BFE">
        <w:rPr>
          <w:rFonts w:ascii="Times New Roman" w:hAnsi="Times New Roman" w:cs="Times New Roman"/>
          <w:sz w:val="26"/>
          <w:szCs w:val="26"/>
        </w:rPr>
        <w:t>6</w:t>
      </w:r>
      <w:r w:rsidRPr="00F562A8">
        <w:rPr>
          <w:rFonts w:ascii="Times New Roman" w:hAnsi="Times New Roman" w:cs="Times New Roman"/>
          <w:sz w:val="26"/>
          <w:szCs w:val="26"/>
        </w:rPr>
        <w:t>.</w:t>
      </w:r>
      <w:r w:rsidR="000E0BFE">
        <w:rPr>
          <w:rFonts w:ascii="Times New Roman" w:hAnsi="Times New Roman" w:cs="Times New Roman"/>
          <w:sz w:val="26"/>
          <w:szCs w:val="26"/>
        </w:rPr>
        <w:t>9</w:t>
      </w:r>
      <w:r>
        <w:rPr>
          <w:rFonts w:ascii="Times New Roman" w:hAnsi="Times New Roman" w:cs="Times New Roman"/>
          <w:sz w:val="26"/>
          <w:szCs w:val="26"/>
        </w:rPr>
        <w:t>.2</w:t>
      </w:r>
      <w:r w:rsidRPr="00F562A8">
        <w:rPr>
          <w:rFonts w:ascii="Times New Roman" w:hAnsi="Times New Roman" w:cs="Times New Roman"/>
          <w:sz w:val="26"/>
          <w:szCs w:val="26"/>
        </w:rPr>
        <w:t xml:space="preserve"> </w:t>
      </w:r>
      <w:r w:rsidRPr="00F562A8">
        <w:rPr>
          <w:rFonts w:ascii="Times New Roman" w:eastAsia="Times New Roman" w:hAnsi="Times New Roman" w:cs="Times New Roman"/>
          <w:sz w:val="26"/>
          <w:szCs w:val="26"/>
          <w:lang w:eastAsia="ru-RU"/>
        </w:rPr>
        <w:t>- Значения t-критерия Стьюдента, средней ошибки аппроксимации, коэффициента детерминации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 xml:space="preserve"> и F-критерия Фишера</w:t>
      </w:r>
    </w:p>
    <w:p w14:paraId="47D2BFA5"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Показатели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7B0EEADD" w14:textId="77777777" w:rsidR="00F7654D" w:rsidRPr="00F562A8" w:rsidRDefault="00F7654D" w:rsidP="00F7654D">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06551CE5" w14:textId="77777777" w:rsidR="00F7654D" w:rsidRPr="00F562A8"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 xml:space="preserve">равны: </w:t>
      </w:r>
    </w:p>
    <w:p w14:paraId="0A42335E" w14:textId="18D73E12" w:rsidR="00F7654D" w:rsidRPr="00F562A8" w:rsidRDefault="006C2F37" w:rsidP="00F7654D">
      <w:pPr>
        <w:spacing w:after="0" w:line="276" w:lineRule="auto"/>
        <w:jc w:val="center"/>
        <w:rPr>
          <w:rFonts w:ascii="Times New Roman" w:hAnsi="Times New Roman" w:cs="Times New Roman"/>
          <w:sz w:val="26"/>
          <w:szCs w:val="26"/>
          <w:lang w:val="en-US"/>
        </w:rPr>
      </w:pPr>
      <w:r w:rsidRPr="00FC7A76">
        <w:rPr>
          <w:noProof/>
          <w:lang w:eastAsia="ru-RU"/>
        </w:rPr>
        <w:drawing>
          <wp:inline distT="0" distB="0" distL="0" distR="0" wp14:anchorId="6BA720B0" wp14:editId="059DFBF3">
            <wp:extent cx="3096057" cy="1076475"/>
            <wp:effectExtent l="0" t="0" r="9525"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3096057" cy="1076475"/>
                    </a:xfrm>
                    <a:prstGeom prst="rect">
                      <a:avLst/>
                    </a:prstGeom>
                  </pic:spPr>
                </pic:pic>
              </a:graphicData>
            </a:graphic>
          </wp:inline>
        </w:drawing>
      </w:r>
    </w:p>
    <w:p w14:paraId="28B95D24" w14:textId="2588F4B9" w:rsidR="00F7654D" w:rsidRPr="00F562A8" w:rsidRDefault="00F7654D" w:rsidP="00F7654D">
      <w:pPr>
        <w:spacing w:after="120"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 3.6.</w:t>
      </w:r>
      <w:r w:rsidR="000E0BFE">
        <w:rPr>
          <w:rFonts w:ascii="Times New Roman" w:hAnsi="Times New Roman" w:cs="Times New Roman"/>
          <w:sz w:val="26"/>
          <w:szCs w:val="26"/>
        </w:rPr>
        <w:t>6</w:t>
      </w:r>
      <w:r w:rsidRPr="00F562A8">
        <w:rPr>
          <w:rFonts w:ascii="Times New Roman" w:hAnsi="Times New Roman" w:cs="Times New Roman"/>
          <w:sz w:val="26"/>
          <w:szCs w:val="26"/>
        </w:rPr>
        <w:t>.</w:t>
      </w:r>
      <w:r w:rsidR="000E0BFE">
        <w:rPr>
          <w:rFonts w:ascii="Times New Roman" w:hAnsi="Times New Roman" w:cs="Times New Roman"/>
          <w:sz w:val="26"/>
          <w:szCs w:val="26"/>
        </w:rPr>
        <w:t>9</w:t>
      </w:r>
      <w:r>
        <w:rPr>
          <w:rFonts w:ascii="Times New Roman" w:hAnsi="Times New Roman" w:cs="Times New Roman"/>
          <w:sz w:val="26"/>
          <w:szCs w:val="26"/>
        </w:rPr>
        <w:t>.3</w:t>
      </w:r>
      <w:r w:rsidRPr="00F562A8">
        <w:rPr>
          <w:rFonts w:ascii="Times New Roman" w:hAnsi="Times New Roman" w:cs="Times New Roman"/>
          <w:sz w:val="26"/>
          <w:szCs w:val="26"/>
        </w:rPr>
        <w:t xml:space="preserve"> - Значения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p>
    <w:p w14:paraId="6A36E632" w14:textId="77777777" w:rsidR="00F7654D" w:rsidRPr="00F562A8"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572A0E3D" w14:textId="17612E27" w:rsidR="00F7654D" w:rsidRPr="00C6146B" w:rsidRDefault="00F7654D" w:rsidP="006C2F37">
      <w:pPr>
        <w:ind w:firstLine="851"/>
        <w:jc w:val="both"/>
        <w:rPr>
          <w:rFonts w:ascii="Times New Roman" w:hAnsi="Times New Roman" w:cs="Times New Roman"/>
          <w:i/>
          <w:sz w:val="26"/>
          <w:szCs w:val="26"/>
        </w:rPr>
      </w:pPr>
      <w:r w:rsidRPr="00F562A8">
        <w:rPr>
          <w:rFonts w:ascii="Times New Roman" w:hAnsi="Times New Roman" w:cs="Times New Roman"/>
          <w:i/>
          <w:sz w:val="26"/>
          <w:szCs w:val="26"/>
        </w:rPr>
        <w:t xml:space="preserve">УПКС = </w:t>
      </w:r>
      <w:r w:rsidR="006C2F37" w:rsidRPr="006C2F37">
        <w:rPr>
          <w:rFonts w:ascii="Times New Roman" w:hAnsi="Times New Roman" w:cs="Times New Roman"/>
          <w:i/>
          <w:sz w:val="26"/>
          <w:szCs w:val="26"/>
        </w:rPr>
        <w:t>14.4004372205665*e^(+0.132721311120503*([__Наименование района])+0.00658904896209274*((78.00+-3.00-СНП Расстояние от населенного пункта до центра муниципального района (городского округа)))</w:t>
      </w:r>
      <w:r w:rsidR="006C2F37">
        <w:rPr>
          <w:rFonts w:ascii="Times New Roman" w:hAnsi="Times New Roman" w:cs="Times New Roman"/>
          <w:i/>
          <w:sz w:val="26"/>
          <w:szCs w:val="26"/>
        </w:rPr>
        <w:t xml:space="preserve"> </w:t>
      </w:r>
      <w:r w:rsidR="006C2F37" w:rsidRPr="006C2F37">
        <w:rPr>
          <w:rFonts w:ascii="Times New Roman" w:hAnsi="Times New Roman" w:cs="Times New Roman"/>
          <w:i/>
          <w:sz w:val="26"/>
          <w:szCs w:val="26"/>
        </w:rPr>
        <w:t>+0.00250058302325564*((367.00+6.00-СНП Расстояние от населенного пункта до центра субъекта РФ (г. Воронеж)))</w:t>
      </w:r>
      <w:r w:rsidR="006C2F37">
        <w:rPr>
          <w:rFonts w:ascii="Times New Roman" w:hAnsi="Times New Roman" w:cs="Times New Roman"/>
          <w:i/>
          <w:sz w:val="26"/>
          <w:szCs w:val="26"/>
        </w:rPr>
        <w:t xml:space="preserve"> </w:t>
      </w:r>
      <w:r w:rsidR="006C2F37" w:rsidRPr="006C2F37">
        <w:rPr>
          <w:rFonts w:ascii="Times New Roman" w:hAnsi="Times New Roman" w:cs="Times New Roman"/>
          <w:i/>
          <w:sz w:val="26"/>
          <w:szCs w:val="26"/>
        </w:rPr>
        <w:t>+0.000127956355426819*__Численность населения в населенном пункте+0.616203757757337*([СНП Наличие в населенном пункте магазина])</w:t>
      </w:r>
      <w:r w:rsidR="006C2F37">
        <w:rPr>
          <w:rFonts w:ascii="Times New Roman" w:hAnsi="Times New Roman" w:cs="Times New Roman"/>
          <w:i/>
          <w:sz w:val="26"/>
          <w:szCs w:val="26"/>
        </w:rPr>
        <w:t xml:space="preserve"> </w:t>
      </w:r>
      <w:r w:rsidR="006C2F37" w:rsidRPr="006C2F37">
        <w:rPr>
          <w:rFonts w:ascii="Times New Roman" w:hAnsi="Times New Roman" w:cs="Times New Roman"/>
          <w:i/>
          <w:sz w:val="26"/>
          <w:szCs w:val="26"/>
        </w:rPr>
        <w:t>+0.270026428615842*([СНП Наличие в населенном пункте центрального водоснабжения])+0.284185985452535*([СНП Наличие дороги с твердым покрытием]))</w:t>
      </w:r>
    </w:p>
    <w:p w14:paraId="03712097" w14:textId="78FE9824" w:rsidR="00F7654D"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5A1F9D81" w14:textId="36EA62FE" w:rsidR="000D2F11" w:rsidRPr="00F562A8" w:rsidRDefault="00112E60" w:rsidP="000D2F11">
      <w:pPr>
        <w:spacing w:after="0" w:line="276" w:lineRule="auto"/>
        <w:jc w:val="center"/>
        <w:rPr>
          <w:rFonts w:ascii="Times New Roman" w:hAnsi="Times New Roman" w:cs="Times New Roman"/>
          <w:sz w:val="26"/>
          <w:szCs w:val="26"/>
        </w:rPr>
      </w:pPr>
      <w:r w:rsidRPr="00FC7A76">
        <w:rPr>
          <w:noProof/>
          <w:lang w:eastAsia="ru-RU"/>
        </w:rPr>
        <w:drawing>
          <wp:inline distT="0" distB="0" distL="0" distR="0" wp14:anchorId="26E7F400" wp14:editId="016265DC">
            <wp:extent cx="5939790" cy="2462902"/>
            <wp:effectExtent l="0" t="0" r="381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5939790" cy="2462902"/>
                    </a:xfrm>
                    <a:prstGeom prst="rect">
                      <a:avLst/>
                    </a:prstGeom>
                  </pic:spPr>
                </pic:pic>
              </a:graphicData>
            </a:graphic>
          </wp:inline>
        </w:drawing>
      </w:r>
    </w:p>
    <w:p w14:paraId="25FBFFF2" w14:textId="6129389C" w:rsidR="00F7654D" w:rsidRDefault="00112E60" w:rsidP="00F7654D">
      <w:pPr>
        <w:spacing w:after="0" w:line="276" w:lineRule="auto"/>
        <w:jc w:val="center"/>
        <w:rPr>
          <w:noProof/>
        </w:rPr>
      </w:pPr>
      <w:r w:rsidRPr="00FC7A76">
        <w:rPr>
          <w:noProof/>
          <w:lang w:eastAsia="ru-RU"/>
        </w:rPr>
        <w:drawing>
          <wp:inline distT="0" distB="0" distL="0" distR="0" wp14:anchorId="0209B342" wp14:editId="2A53852F">
            <wp:extent cx="5939790" cy="4459763"/>
            <wp:effectExtent l="0" t="0" r="381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5939790" cy="4459763"/>
                    </a:xfrm>
                    <a:prstGeom prst="rect">
                      <a:avLst/>
                    </a:prstGeom>
                  </pic:spPr>
                </pic:pic>
              </a:graphicData>
            </a:graphic>
          </wp:inline>
        </w:drawing>
      </w:r>
    </w:p>
    <w:p w14:paraId="1D5E84BD" w14:textId="36AB3524" w:rsidR="000D2F11" w:rsidRPr="00F562A8" w:rsidRDefault="00112E60" w:rsidP="00F7654D">
      <w:pPr>
        <w:spacing w:after="0" w:line="276" w:lineRule="auto"/>
        <w:jc w:val="center"/>
        <w:rPr>
          <w:rFonts w:ascii="Times New Roman" w:hAnsi="Times New Roman" w:cs="Times New Roman"/>
          <w:sz w:val="24"/>
        </w:rPr>
      </w:pPr>
      <w:r w:rsidRPr="00FC7A76">
        <w:rPr>
          <w:noProof/>
          <w:lang w:eastAsia="ru-RU"/>
        </w:rPr>
        <w:drawing>
          <wp:inline distT="0" distB="0" distL="0" distR="0" wp14:anchorId="6E2471A8" wp14:editId="1B85762A">
            <wp:extent cx="5174930" cy="940947"/>
            <wp:effectExtent l="0" t="0" r="698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5192456" cy="944134"/>
                    </a:xfrm>
                    <a:prstGeom prst="rect">
                      <a:avLst/>
                    </a:prstGeom>
                  </pic:spPr>
                </pic:pic>
              </a:graphicData>
            </a:graphic>
          </wp:inline>
        </w:drawing>
      </w:r>
    </w:p>
    <w:p w14:paraId="4F96BE81" w14:textId="63A24D81" w:rsidR="00F7654D" w:rsidRPr="00F562A8" w:rsidRDefault="00F7654D" w:rsidP="00F7654D">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 3.6.</w:t>
      </w:r>
      <w:r w:rsidR="000E0BFE">
        <w:rPr>
          <w:rFonts w:ascii="Times New Roman" w:hAnsi="Times New Roman" w:cs="Times New Roman"/>
          <w:sz w:val="26"/>
          <w:szCs w:val="26"/>
        </w:rPr>
        <w:t>6</w:t>
      </w:r>
      <w:r w:rsidRPr="00F562A8">
        <w:rPr>
          <w:rFonts w:ascii="Times New Roman" w:hAnsi="Times New Roman" w:cs="Times New Roman"/>
          <w:sz w:val="26"/>
          <w:szCs w:val="26"/>
        </w:rPr>
        <w:t>.</w:t>
      </w:r>
      <w:r w:rsidR="000E0BFE">
        <w:rPr>
          <w:rFonts w:ascii="Times New Roman" w:hAnsi="Times New Roman" w:cs="Times New Roman"/>
          <w:sz w:val="26"/>
          <w:szCs w:val="26"/>
        </w:rPr>
        <w:t>9</w:t>
      </w:r>
      <w:r>
        <w:rPr>
          <w:rFonts w:ascii="Times New Roman" w:hAnsi="Times New Roman" w:cs="Times New Roman"/>
          <w:sz w:val="26"/>
          <w:szCs w:val="26"/>
        </w:rPr>
        <w:t xml:space="preserve">.4 </w:t>
      </w:r>
      <w:r w:rsidRPr="00F562A8">
        <w:rPr>
          <w:rFonts w:ascii="Times New Roman" w:hAnsi="Times New Roman" w:cs="Times New Roman"/>
          <w:sz w:val="26"/>
          <w:szCs w:val="26"/>
        </w:rPr>
        <w:t>- Характеристика экспоненциальной модели и анализ качества выборки</w:t>
      </w:r>
    </w:p>
    <w:p w14:paraId="651741AA" w14:textId="0E373FD1" w:rsidR="00F7654D" w:rsidRPr="00F562A8" w:rsidRDefault="00F7654D" w:rsidP="00F7654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w:t>
      </w:r>
      <w:r>
        <w:rPr>
          <w:rFonts w:ascii="Times New Roman" w:hAnsi="Times New Roman" w:cs="Times New Roman"/>
          <w:sz w:val="26"/>
          <w:szCs w:val="26"/>
        </w:rPr>
        <w:t>ами</w:t>
      </w:r>
      <w:r w:rsidR="00490140">
        <w:rPr>
          <w:rFonts w:ascii="Times New Roman" w:hAnsi="Times New Roman" w:cs="Times New Roman"/>
          <w:sz w:val="26"/>
          <w:szCs w:val="26"/>
        </w:rPr>
        <w:t xml:space="preserve"> </w:t>
      </w:r>
      <w:r w:rsidR="00490140" w:rsidRPr="00F562A8">
        <w:rPr>
          <w:rFonts w:ascii="Times New Roman" w:hAnsi="Times New Roman" w:cs="Times New Roman"/>
          <w:sz w:val="26"/>
          <w:szCs w:val="26"/>
        </w:rPr>
        <w:t>Х</w:t>
      </w:r>
      <w:r w:rsidR="00490140">
        <w:rPr>
          <w:rFonts w:ascii="Times New Roman" w:hAnsi="Times New Roman" w:cs="Times New Roman"/>
          <w:sz w:val="26"/>
          <w:szCs w:val="26"/>
          <w:vertAlign w:val="subscript"/>
        </w:rPr>
        <w:t>1</w:t>
      </w:r>
      <w:r w:rsidR="00490140" w:rsidRPr="00490140">
        <w:rPr>
          <w:rFonts w:ascii="Times New Roman" w:hAnsi="Times New Roman" w:cs="Times New Roman"/>
          <w:sz w:val="26"/>
          <w:szCs w:val="26"/>
        </w:rPr>
        <w:t>,</w:t>
      </w:r>
      <w:r w:rsidR="00490140">
        <w:rPr>
          <w:rFonts w:ascii="Times New Roman" w:hAnsi="Times New Roman" w:cs="Times New Roman"/>
          <w:sz w:val="26"/>
          <w:szCs w:val="26"/>
          <w:vertAlign w:val="subscript"/>
        </w:rPr>
        <w:t xml:space="preserve"> </w:t>
      </w:r>
      <w:r w:rsidR="00490140" w:rsidRPr="00F562A8">
        <w:rPr>
          <w:rFonts w:ascii="Times New Roman" w:hAnsi="Times New Roman" w:cs="Times New Roman"/>
          <w:sz w:val="26"/>
          <w:szCs w:val="26"/>
        </w:rPr>
        <w:t>Х</w:t>
      </w:r>
      <w:r w:rsidR="00490140">
        <w:rPr>
          <w:rFonts w:ascii="Times New Roman" w:hAnsi="Times New Roman" w:cs="Times New Roman"/>
          <w:sz w:val="26"/>
          <w:szCs w:val="26"/>
          <w:vertAlign w:val="subscript"/>
        </w:rPr>
        <w:t>2</w:t>
      </w:r>
      <w:r w:rsidRPr="00F562A8">
        <w:rPr>
          <w:rFonts w:ascii="Times New Roman" w:hAnsi="Times New Roman" w:cs="Times New Roman"/>
          <w:sz w:val="26"/>
          <w:szCs w:val="26"/>
        </w:rPr>
        <w:t xml:space="preserve"> и кадастровой стоимостью обратная, то есть при росте этого фактора кадастровая стоимость уменьшается.</w:t>
      </w:r>
      <w:r w:rsidR="00490140" w:rsidRPr="00490140">
        <w:rPr>
          <w:rFonts w:ascii="Times New Roman" w:hAnsi="Times New Roman" w:cs="Times New Roman"/>
          <w:sz w:val="26"/>
          <w:szCs w:val="26"/>
        </w:rPr>
        <w:t xml:space="preserve"> </w:t>
      </w:r>
      <w:r w:rsidR="00490140" w:rsidRPr="00F562A8">
        <w:rPr>
          <w:rFonts w:ascii="Times New Roman" w:hAnsi="Times New Roman" w:cs="Times New Roman"/>
          <w:sz w:val="26"/>
          <w:szCs w:val="26"/>
        </w:rPr>
        <w:t>Влияние фактор</w:t>
      </w:r>
      <w:r w:rsidR="00490140">
        <w:rPr>
          <w:rFonts w:ascii="Times New Roman" w:hAnsi="Times New Roman" w:cs="Times New Roman"/>
          <w:sz w:val="26"/>
          <w:szCs w:val="26"/>
        </w:rPr>
        <w:t xml:space="preserve">а </w:t>
      </w:r>
      <w:r w:rsidR="00490140" w:rsidRPr="00F562A8">
        <w:rPr>
          <w:rFonts w:ascii="Times New Roman" w:hAnsi="Times New Roman" w:cs="Times New Roman"/>
          <w:sz w:val="26"/>
          <w:szCs w:val="26"/>
        </w:rPr>
        <w:t>Х</w:t>
      </w:r>
      <w:r w:rsidR="00490140">
        <w:rPr>
          <w:rFonts w:ascii="Times New Roman" w:hAnsi="Times New Roman" w:cs="Times New Roman"/>
          <w:sz w:val="26"/>
          <w:szCs w:val="26"/>
          <w:vertAlign w:val="subscript"/>
        </w:rPr>
        <w:t xml:space="preserve">3 </w:t>
      </w:r>
      <w:r w:rsidR="00490140" w:rsidRPr="00F562A8">
        <w:rPr>
          <w:rFonts w:ascii="Times New Roman" w:hAnsi="Times New Roman" w:cs="Times New Roman"/>
          <w:sz w:val="26"/>
          <w:szCs w:val="26"/>
        </w:rPr>
        <w:t>на кадастровую стоимость прямое и с ростом фактор</w:t>
      </w:r>
      <w:r w:rsidR="00412639">
        <w:rPr>
          <w:rFonts w:ascii="Times New Roman" w:hAnsi="Times New Roman" w:cs="Times New Roman"/>
          <w:sz w:val="26"/>
          <w:szCs w:val="26"/>
        </w:rPr>
        <w:t xml:space="preserve">а </w:t>
      </w:r>
      <w:r w:rsidR="00490140" w:rsidRPr="00F562A8">
        <w:rPr>
          <w:rFonts w:ascii="Times New Roman" w:hAnsi="Times New Roman" w:cs="Times New Roman"/>
          <w:sz w:val="26"/>
          <w:szCs w:val="26"/>
        </w:rPr>
        <w:t xml:space="preserve">кадастровая стоимость </w:t>
      </w:r>
      <w:r w:rsidR="00490140" w:rsidRPr="00490140">
        <w:rPr>
          <w:rFonts w:ascii="Times New Roman" w:hAnsi="Times New Roman" w:cs="Times New Roman"/>
          <w:sz w:val="26"/>
          <w:szCs w:val="26"/>
        </w:rPr>
        <w:t>растет</w:t>
      </w:r>
      <w:r w:rsidR="00F9551E">
        <w:rPr>
          <w:rFonts w:ascii="Times New Roman" w:hAnsi="Times New Roman" w:cs="Times New Roman"/>
          <w:sz w:val="26"/>
          <w:szCs w:val="26"/>
        </w:rPr>
        <w:t>.</w:t>
      </w:r>
      <w:r w:rsidRPr="00F562A8">
        <w:rPr>
          <w:rFonts w:ascii="Times New Roman" w:hAnsi="Times New Roman" w:cs="Times New Roman"/>
          <w:sz w:val="26"/>
          <w:szCs w:val="26"/>
        </w:rPr>
        <w:t xml:space="preserve"> Малые значения средней ошибки аппроксимации и среднеквадратической ошибки оценки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483EF8B0" w14:textId="508848D1" w:rsidR="00F7654D" w:rsidRDefault="007111F5" w:rsidP="00F7654D">
      <w:pPr>
        <w:spacing w:after="0" w:line="276" w:lineRule="auto"/>
        <w:ind w:firstLine="709"/>
        <w:jc w:val="both"/>
        <w:rPr>
          <w:rFonts w:ascii="Times New Roman" w:eastAsiaTheme="minorEastAsia" w:hAnsi="Times New Roman" w:cs="Times New Roman"/>
          <w:sz w:val="26"/>
          <w:szCs w:val="26"/>
          <w:highlight w:val="yellow"/>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2F6584FF" w14:textId="16959602" w:rsidR="00696100" w:rsidRDefault="00696100" w:rsidP="006F6435">
      <w:pPr>
        <w:spacing w:line="276" w:lineRule="auto"/>
        <w:jc w:val="center"/>
        <w:rPr>
          <w:rFonts w:ascii="Times New Roman" w:eastAsiaTheme="minorEastAsia" w:hAnsi="Times New Roman" w:cs="Times New Roman"/>
          <w:i/>
          <w:sz w:val="16"/>
          <w:szCs w:val="16"/>
        </w:rPr>
      </w:pPr>
    </w:p>
    <w:p w14:paraId="03A893A3" w14:textId="77777777" w:rsidR="008004ED" w:rsidRPr="00F562A8" w:rsidRDefault="008004ED" w:rsidP="006F6435">
      <w:pPr>
        <w:spacing w:line="276" w:lineRule="auto"/>
        <w:jc w:val="center"/>
        <w:rPr>
          <w:rFonts w:ascii="Times New Roman" w:eastAsiaTheme="minorEastAsia" w:hAnsi="Times New Roman" w:cs="Times New Roman"/>
          <w:i/>
          <w:sz w:val="16"/>
          <w:szCs w:val="16"/>
        </w:rPr>
      </w:pPr>
    </w:p>
    <w:p w14:paraId="237FFA5E" w14:textId="66EE4C37" w:rsidR="00947DB5" w:rsidRPr="00F562A8" w:rsidRDefault="00947DB5" w:rsidP="00947DB5">
      <w:pPr>
        <w:pStyle w:val="ab"/>
        <w:ind w:left="0"/>
        <w:jc w:val="center"/>
        <w:outlineLvl w:val="2"/>
        <w:rPr>
          <w:rFonts w:ascii="Times New Roman" w:hAnsi="Times New Roman" w:cs="Times New Roman"/>
          <w:i/>
          <w:sz w:val="26"/>
          <w:szCs w:val="26"/>
        </w:rPr>
      </w:pPr>
      <w:bookmarkStart w:id="259" w:name="_Toc110507001"/>
      <w:r w:rsidRPr="00DC7772">
        <w:rPr>
          <w:rFonts w:ascii="Times New Roman" w:hAnsi="Times New Roman" w:cs="Times New Roman"/>
          <w:i/>
          <w:sz w:val="26"/>
          <w:szCs w:val="26"/>
        </w:rPr>
        <w:t>3.6.6.</w:t>
      </w:r>
      <w:r w:rsidR="006F7A30" w:rsidRPr="00DC7772">
        <w:rPr>
          <w:rFonts w:ascii="Times New Roman" w:hAnsi="Times New Roman" w:cs="Times New Roman"/>
          <w:i/>
          <w:sz w:val="26"/>
          <w:szCs w:val="26"/>
        </w:rPr>
        <w:t>10</w:t>
      </w:r>
      <w:r w:rsidRPr="00DC7772">
        <w:rPr>
          <w:rFonts w:ascii="Times New Roman" w:hAnsi="Times New Roman" w:cs="Times New Roman"/>
          <w:i/>
          <w:sz w:val="26"/>
          <w:szCs w:val="26"/>
        </w:rPr>
        <w:t>. Расчет</w:t>
      </w:r>
      <w:r w:rsidRPr="00F562A8">
        <w:rPr>
          <w:rFonts w:ascii="Times New Roman" w:hAnsi="Times New Roman" w:cs="Times New Roman"/>
          <w:i/>
          <w:sz w:val="26"/>
          <w:szCs w:val="26"/>
        </w:rPr>
        <w:t xml:space="preserve"> кадастровой стоимости земельных участков группы </w:t>
      </w:r>
      <w:r w:rsidR="00533CF0" w:rsidRPr="00983D64">
        <w:rPr>
          <w:rFonts w:ascii="Times New Roman" w:hAnsi="Times New Roman" w:cs="Times New Roman"/>
          <w:i/>
          <w:sz w:val="26"/>
          <w:szCs w:val="26"/>
        </w:rPr>
        <w:t>ПРОИЗВОДСТВО</w:t>
      </w:r>
      <w:r w:rsidR="00533CF0">
        <w:rPr>
          <w:rFonts w:ascii="Times New Roman" w:hAnsi="Times New Roman" w:cs="Times New Roman"/>
          <w:i/>
          <w:sz w:val="26"/>
          <w:szCs w:val="26"/>
        </w:rPr>
        <w:t>/</w:t>
      </w:r>
      <w:r w:rsidRPr="009F619D">
        <w:rPr>
          <w:rFonts w:ascii="Times New Roman" w:hAnsi="Times New Roman" w:cs="Times New Roman"/>
          <w:i/>
          <w:sz w:val="26"/>
          <w:szCs w:val="26"/>
        </w:rPr>
        <w:t>ПРОМ/</w:t>
      </w:r>
      <w:r w:rsidR="00741C46">
        <w:rPr>
          <w:rFonts w:ascii="Times New Roman" w:hAnsi="Times New Roman" w:cs="Times New Roman"/>
          <w:i/>
          <w:sz w:val="26"/>
          <w:szCs w:val="26"/>
        </w:rPr>
        <w:t>МС</w:t>
      </w:r>
      <w:bookmarkEnd w:id="259"/>
    </w:p>
    <w:p w14:paraId="6AE46674" w14:textId="3A1BFEEA" w:rsidR="001E4B41" w:rsidRPr="00F562A8" w:rsidRDefault="001E4B41" w:rsidP="001E4B41">
      <w:pPr>
        <w:spacing w:after="0" w:line="276" w:lineRule="auto"/>
        <w:ind w:firstLine="709"/>
        <w:jc w:val="both"/>
        <w:rPr>
          <w:rFonts w:ascii="Times New Roman"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573B594D" w14:textId="77777777" w:rsidR="001E4B41" w:rsidRDefault="001E4B41" w:rsidP="001E4B41">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F10BEE">
        <w:rPr>
          <w:rFonts w:ascii="Times New Roman" w:hAnsi="Times New Roman" w:cs="Times New Roman"/>
          <w:sz w:val="26"/>
          <w:szCs w:val="26"/>
        </w:rPr>
        <w:t>ПРОИЗВОДСТВО/ПРОМ/</w:t>
      </w:r>
      <w:r>
        <w:rPr>
          <w:rFonts w:ascii="Times New Roman" w:hAnsi="Times New Roman" w:cs="Times New Roman"/>
          <w:sz w:val="26"/>
          <w:szCs w:val="26"/>
        </w:rPr>
        <w:t>С</w:t>
      </w:r>
      <w:r w:rsidRPr="00A53A0E">
        <w:rPr>
          <w:rFonts w:ascii="Times New Roman" w:hAnsi="Times New Roman" w:cs="Times New Roman"/>
          <w:sz w:val="26"/>
          <w:szCs w:val="26"/>
        </w:rPr>
        <w:t>НП</w:t>
      </w:r>
      <w:r>
        <w:rPr>
          <w:rFonts w:ascii="Times New Roman" w:hAnsi="Times New Roman" w:cs="Times New Roman"/>
          <w:sz w:val="26"/>
          <w:szCs w:val="26"/>
        </w:rPr>
        <w:t xml:space="preserve">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1C26DA">
        <w:rPr>
          <w:rFonts w:ascii="Times New Roman" w:hAnsi="Times New Roman" w:cs="Times New Roman"/>
          <w:sz w:val="26"/>
          <w:szCs w:val="26"/>
        </w:rPr>
        <w:t xml:space="preserve"> 06:000,  03:012, 03:093, 06:020, 06:021, 06:030, 06:031, 06:040, 06:050, 06:060, 06:070, 06:071, 06:072, 06:073, 06:090, 06:091, 06:092, 06:093, 06:100, 06:101, 06:110, 06:111, 07:013, 07:051, 08:010, 08:012, 08:013, 08:031, 10:011</w:t>
      </w:r>
      <w:r>
        <w:rPr>
          <w:rFonts w:ascii="Times New Roman" w:hAnsi="Times New Roman" w:cs="Times New Roman"/>
          <w:sz w:val="26"/>
          <w:szCs w:val="26"/>
        </w:rPr>
        <w:t>.</w:t>
      </w:r>
    </w:p>
    <w:p w14:paraId="7FB4B4A6" w14:textId="445DA403" w:rsidR="00947DB5" w:rsidRPr="00F562A8"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533CF0" w:rsidRPr="00533CF0">
        <w:rPr>
          <w:rFonts w:ascii="Times New Roman" w:hAnsi="Times New Roman" w:cs="Times New Roman"/>
          <w:sz w:val="26"/>
          <w:szCs w:val="26"/>
        </w:rPr>
        <w:t>ПРОИЗВОДСТВО</w:t>
      </w:r>
      <w:r w:rsidR="00533CF0">
        <w:rPr>
          <w:rFonts w:ascii="Times New Roman" w:hAnsi="Times New Roman" w:cs="Times New Roman"/>
          <w:i/>
          <w:sz w:val="26"/>
          <w:szCs w:val="26"/>
        </w:rPr>
        <w:t>/</w:t>
      </w:r>
      <w:r>
        <w:rPr>
          <w:rFonts w:ascii="Times New Roman" w:hAnsi="Times New Roman" w:cs="Times New Roman"/>
          <w:sz w:val="26"/>
          <w:szCs w:val="26"/>
        </w:rPr>
        <w:t>ПРОМ</w:t>
      </w:r>
      <w:r w:rsidRPr="008440F2">
        <w:rPr>
          <w:rFonts w:ascii="Times New Roman" w:hAnsi="Times New Roman" w:cs="Times New Roman"/>
          <w:sz w:val="26"/>
          <w:szCs w:val="26"/>
        </w:rPr>
        <w:t>/</w:t>
      </w:r>
      <w:r w:rsidR="00741C46">
        <w:rPr>
          <w:rFonts w:ascii="Times New Roman" w:hAnsi="Times New Roman" w:cs="Times New Roman"/>
          <w:sz w:val="26"/>
          <w:szCs w:val="26"/>
        </w:rPr>
        <w:t>МС</w:t>
      </w:r>
      <w:r>
        <w:rPr>
          <w:rFonts w:ascii="Times New Roman" w:hAnsi="Times New Roman" w:cs="Times New Roman"/>
          <w:sz w:val="26"/>
          <w:szCs w:val="26"/>
        </w:rPr>
        <w:t xml:space="preserve">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52832F9A" w14:textId="39F73D22" w:rsidR="00947DB5" w:rsidRPr="00F562A8" w:rsidRDefault="00F77023"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Согласно п.45.1.1 Указаний</w:t>
      </w:r>
      <w:r w:rsidR="00947DB5" w:rsidRPr="00F562A8">
        <w:rPr>
          <w:rFonts w:ascii="Times New Roman" w:eastAsia="Times New Roman" w:hAnsi="Times New Roman" w:cs="Times New Roman"/>
          <w:sz w:val="26"/>
          <w:szCs w:val="26"/>
          <w:lang w:eastAsia="ru-RU"/>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0DC604FC"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Порядок подготовки и построения модели оценки кадастровой стоимости включает:</w:t>
      </w:r>
    </w:p>
    <w:p w14:paraId="00B9E974"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1) определение перечня ценообразующих факторов, описывающих влияние местоположения объектов недвижимости как составного фактора;</w:t>
      </w:r>
    </w:p>
    <w:p w14:paraId="773DB990"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2) определение состава ценообразующих факторов, включаемых в статистическую модель, с учетом местоположения объектов недвижимости;</w:t>
      </w:r>
    </w:p>
    <w:p w14:paraId="1604D2E3"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3) определение общего вида функций, связывающих зависимую переменную с каждым из ценообразующих факторов;</w:t>
      </w:r>
    </w:p>
    <w:p w14:paraId="521AF9FF"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6FF599EE"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5) анализ показателей качества статистической модели.</w:t>
      </w:r>
    </w:p>
    <w:p w14:paraId="16328E36" w14:textId="725456D3" w:rsidR="00947DB5"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w:t>
      </w:r>
      <w:r w:rsidR="00ED2AA7">
        <w:rPr>
          <w:rFonts w:ascii="Times New Roman" w:hAnsi="Times New Roman" w:cs="Times New Roman"/>
          <w:sz w:val="26"/>
          <w:szCs w:val="26"/>
        </w:rPr>
        <w:t>межселенной территории</w:t>
      </w:r>
      <w:r w:rsidRPr="00F562A8">
        <w:rPr>
          <w:rFonts w:ascii="Times New Roman" w:hAnsi="Times New Roman" w:cs="Times New Roman"/>
          <w:sz w:val="26"/>
          <w:szCs w:val="26"/>
        </w:rPr>
        <w:t xml:space="preserve"> Воронежской области,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497BF1" w:rsidRPr="00F562A8">
        <w:rPr>
          <w:rFonts w:ascii="Times New Roman" w:hAnsi="Times New Roman" w:cs="Times New Roman"/>
          <w:sz w:val="26"/>
          <w:szCs w:val="26"/>
        </w:rPr>
        <w:t>представлены в таблиц</w:t>
      </w:r>
      <w:r w:rsidR="00497BF1">
        <w:rPr>
          <w:rFonts w:ascii="Times New Roman" w:hAnsi="Times New Roman" w:cs="Times New Roman"/>
          <w:sz w:val="26"/>
          <w:szCs w:val="26"/>
        </w:rPr>
        <w:t>ах</w:t>
      </w:r>
      <w:r w:rsidR="00497BF1" w:rsidRPr="00F562A8">
        <w:rPr>
          <w:rFonts w:ascii="Times New Roman" w:hAnsi="Times New Roman" w:cs="Times New Roman"/>
          <w:sz w:val="26"/>
          <w:szCs w:val="26"/>
        </w:rPr>
        <w:t xml:space="preserve"> </w:t>
      </w:r>
      <w:r w:rsidR="00497BF1" w:rsidRPr="00F562A8">
        <w:rPr>
          <w:rFonts w:ascii="Times New Roman" w:eastAsia="Times New Roman" w:hAnsi="Times New Roman" w:cs="Times New Roman"/>
          <w:sz w:val="26"/>
          <w:szCs w:val="26"/>
        </w:rPr>
        <w:t>3.</w:t>
      </w:r>
      <w:r w:rsidR="00497BF1">
        <w:rPr>
          <w:rFonts w:ascii="Times New Roman" w:eastAsia="Times New Roman" w:hAnsi="Times New Roman" w:cs="Times New Roman"/>
          <w:sz w:val="26"/>
          <w:szCs w:val="26"/>
        </w:rPr>
        <w:t>4 и 3.5, пунктов 3.4 и 3.5 соответственно</w:t>
      </w:r>
      <w:r w:rsidR="00497BF1" w:rsidRPr="00F562A8">
        <w:rPr>
          <w:rFonts w:ascii="Times New Roman" w:hAnsi="Times New Roman" w:cs="Times New Roman"/>
          <w:sz w:val="26"/>
          <w:szCs w:val="26"/>
        </w:rPr>
        <w:t>.</w:t>
      </w:r>
    </w:p>
    <w:p w14:paraId="06A1003E" w14:textId="1E958B72" w:rsidR="00947DB5" w:rsidRPr="00F562A8"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69930E55" w14:textId="77777777" w:rsidR="00947DB5" w:rsidRPr="00F562A8"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4999BB7B" w14:textId="188B78E1" w:rsidR="00947DB5" w:rsidRPr="00F562A8"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3E06E7">
        <w:rPr>
          <w:rFonts w:ascii="Times New Roman" w:hAnsi="Times New Roman" w:cs="Times New Roman"/>
          <w:sz w:val="26"/>
          <w:szCs w:val="26"/>
        </w:rPr>
        <w:t>4</w:t>
      </w:r>
      <w:r w:rsidRPr="00F562A8">
        <w:rPr>
          <w:rFonts w:ascii="Times New Roman" w:hAnsi="Times New Roman" w:cs="Times New Roman"/>
          <w:sz w:val="26"/>
          <w:szCs w:val="26"/>
        </w:rPr>
        <w:t>:</w:t>
      </w:r>
    </w:p>
    <w:p w14:paraId="29BA270A" w14:textId="62D67257" w:rsidR="00947DB5" w:rsidRPr="00F562A8"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3E06E7">
        <w:rPr>
          <w:rFonts w:ascii="Times New Roman" w:hAnsi="Times New Roman" w:cs="Times New Roman"/>
          <w:sz w:val="26"/>
          <w:szCs w:val="26"/>
        </w:rPr>
        <w:t>н</w:t>
      </w:r>
      <w:r w:rsidR="003E06E7" w:rsidRPr="003E06E7">
        <w:rPr>
          <w:rFonts w:ascii="Times New Roman" w:hAnsi="Times New Roman" w:cs="Times New Roman"/>
          <w:sz w:val="26"/>
          <w:szCs w:val="26"/>
        </w:rPr>
        <w:t>аличие подъездных путей с твердым покрытием</w:t>
      </w:r>
      <w:r w:rsidRPr="00F562A8">
        <w:rPr>
          <w:rFonts w:ascii="Times New Roman" w:hAnsi="Times New Roman" w:cs="Times New Roman"/>
          <w:sz w:val="26"/>
          <w:szCs w:val="26"/>
        </w:rPr>
        <w:t>: Х</w:t>
      </w:r>
      <w:r>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65787DCD" w14:textId="458A428B" w:rsidR="00947DB5"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3E06E7">
        <w:rPr>
          <w:rFonts w:ascii="Times New Roman" w:hAnsi="Times New Roman" w:cs="Times New Roman"/>
          <w:sz w:val="26"/>
          <w:szCs w:val="26"/>
        </w:rPr>
        <w:t>р</w:t>
      </w:r>
      <w:r w:rsidR="003E06E7" w:rsidRPr="003E06E7">
        <w:rPr>
          <w:rFonts w:ascii="Times New Roman" w:hAnsi="Times New Roman" w:cs="Times New Roman"/>
          <w:sz w:val="26"/>
          <w:szCs w:val="26"/>
        </w:rPr>
        <w:t>асстояние до районного центра</w:t>
      </w:r>
      <w:r w:rsidRPr="00F562A8">
        <w:rPr>
          <w:rFonts w:ascii="Times New Roman" w:hAnsi="Times New Roman" w:cs="Times New Roman"/>
          <w:sz w:val="26"/>
          <w:szCs w:val="26"/>
        </w:rPr>
        <w:t>: Х</w:t>
      </w:r>
      <w:r>
        <w:rPr>
          <w:rFonts w:ascii="Times New Roman" w:hAnsi="Times New Roman" w:cs="Times New Roman"/>
          <w:sz w:val="26"/>
          <w:szCs w:val="26"/>
          <w:vertAlign w:val="subscript"/>
        </w:rPr>
        <w:t>1</w:t>
      </w:r>
      <w:r w:rsidRPr="00F562A8">
        <w:rPr>
          <w:rFonts w:ascii="Times New Roman" w:hAnsi="Times New Roman" w:cs="Times New Roman"/>
          <w:sz w:val="26"/>
          <w:szCs w:val="26"/>
        </w:rPr>
        <w:t>;</w:t>
      </w:r>
    </w:p>
    <w:p w14:paraId="5A7F1323" w14:textId="77777777" w:rsidR="00947DB5"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w:t>
      </w:r>
      <w:r>
        <w:rPr>
          <w:rFonts w:ascii="Times New Roman" w:hAnsi="Times New Roman" w:cs="Times New Roman"/>
          <w:sz w:val="26"/>
          <w:szCs w:val="26"/>
        </w:rPr>
        <w:t xml:space="preserve"> р</w:t>
      </w:r>
      <w:r w:rsidRPr="00762185">
        <w:rPr>
          <w:rFonts w:ascii="Times New Roman" w:hAnsi="Times New Roman" w:cs="Times New Roman"/>
          <w:sz w:val="26"/>
          <w:szCs w:val="26"/>
        </w:rPr>
        <w:t>асстояние</w:t>
      </w:r>
      <w:r w:rsidRPr="0017699A">
        <w:t xml:space="preserve"> </w:t>
      </w:r>
      <w:r w:rsidRPr="00762185">
        <w:rPr>
          <w:rFonts w:ascii="Times New Roman" w:hAnsi="Times New Roman" w:cs="Times New Roman"/>
          <w:sz w:val="26"/>
          <w:szCs w:val="26"/>
        </w:rPr>
        <w:t>от населенного пункта до центра субъекта РФ (г. Воронеж)</w:t>
      </w:r>
      <w:r w:rsidRPr="00F562A8">
        <w:rPr>
          <w:rFonts w:ascii="Times New Roman" w:hAnsi="Times New Roman" w:cs="Times New Roman"/>
          <w:sz w:val="26"/>
          <w:szCs w:val="26"/>
        </w:rPr>
        <w:t>: Х</w:t>
      </w:r>
      <w:r>
        <w:rPr>
          <w:rFonts w:ascii="Times New Roman" w:hAnsi="Times New Roman" w:cs="Times New Roman"/>
          <w:sz w:val="26"/>
          <w:szCs w:val="26"/>
          <w:vertAlign w:val="subscript"/>
        </w:rPr>
        <w:t>2</w:t>
      </w:r>
      <w:r w:rsidRPr="00F562A8">
        <w:rPr>
          <w:rFonts w:ascii="Times New Roman" w:hAnsi="Times New Roman" w:cs="Times New Roman"/>
          <w:sz w:val="26"/>
          <w:szCs w:val="26"/>
        </w:rPr>
        <w:t>;</w:t>
      </w:r>
    </w:p>
    <w:p w14:paraId="580E149C" w14:textId="3204600F" w:rsidR="00947DB5" w:rsidRPr="00F562A8" w:rsidRDefault="00947DB5" w:rsidP="00947DB5">
      <w:pPr>
        <w:spacing w:after="0" w:line="276" w:lineRule="auto"/>
        <w:ind w:firstLine="709"/>
        <w:jc w:val="both"/>
        <w:rPr>
          <w:rFonts w:ascii="Times New Roman" w:hAnsi="Times New Roman" w:cs="Times New Roman"/>
          <w:sz w:val="26"/>
          <w:szCs w:val="26"/>
        </w:rPr>
      </w:pPr>
      <w:r>
        <w:t xml:space="preserve">- </w:t>
      </w:r>
      <w:r w:rsidR="003E06E7">
        <w:rPr>
          <w:rFonts w:ascii="Times New Roman" w:hAnsi="Times New Roman" w:cs="Times New Roman"/>
          <w:sz w:val="26"/>
          <w:szCs w:val="26"/>
        </w:rPr>
        <w:t>р</w:t>
      </w:r>
      <w:r w:rsidR="003E06E7" w:rsidRPr="003E06E7">
        <w:rPr>
          <w:rFonts w:ascii="Times New Roman" w:hAnsi="Times New Roman" w:cs="Times New Roman"/>
          <w:sz w:val="26"/>
          <w:szCs w:val="26"/>
        </w:rPr>
        <w:t xml:space="preserve">асстояние до </w:t>
      </w:r>
      <w:r w:rsidR="00883D39" w:rsidRPr="00883D39">
        <w:rPr>
          <w:rFonts w:ascii="Times New Roman" w:hAnsi="Times New Roman" w:cs="Times New Roman"/>
          <w:sz w:val="26"/>
          <w:szCs w:val="26"/>
        </w:rPr>
        <w:t>ближайшего населенного пункта</w:t>
      </w:r>
      <w:r w:rsidRPr="00F562A8">
        <w:rPr>
          <w:rFonts w:ascii="Times New Roman" w:hAnsi="Times New Roman" w:cs="Times New Roman"/>
          <w:sz w:val="26"/>
          <w:szCs w:val="26"/>
        </w:rPr>
        <w:t>: Х</w:t>
      </w:r>
      <w:r>
        <w:rPr>
          <w:rFonts w:ascii="Times New Roman" w:hAnsi="Times New Roman" w:cs="Times New Roman"/>
          <w:sz w:val="26"/>
          <w:szCs w:val="26"/>
          <w:vertAlign w:val="subscript"/>
        </w:rPr>
        <w:t>3</w:t>
      </w:r>
      <w:r w:rsidR="003E06E7">
        <w:rPr>
          <w:rFonts w:ascii="Times New Roman" w:hAnsi="Times New Roman" w:cs="Times New Roman"/>
          <w:sz w:val="26"/>
          <w:szCs w:val="26"/>
        </w:rPr>
        <w:t>.</w:t>
      </w:r>
    </w:p>
    <w:p w14:paraId="74E07A50" w14:textId="77777777" w:rsidR="00947DB5" w:rsidRPr="00F562A8"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62C1442C" w14:textId="77777777" w:rsidR="00947DB5" w:rsidRPr="00F562A8"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2B614897" w14:textId="6D5C6D4B" w:rsidR="00947DB5" w:rsidRPr="00F562A8"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8345AC">
        <w:rPr>
          <w:rFonts w:ascii="Times New Roman" w:hAnsi="Times New Roman" w:cs="Times New Roman"/>
          <w:sz w:val="26"/>
          <w:szCs w:val="26"/>
        </w:rPr>
        <w:t>четыре</w:t>
      </w:r>
      <w:r w:rsidRPr="00F562A8">
        <w:rPr>
          <w:rFonts w:ascii="Times New Roman" w:hAnsi="Times New Roman" w:cs="Times New Roman"/>
          <w:sz w:val="26"/>
          <w:szCs w:val="26"/>
        </w:rPr>
        <w:t>хфакторные модели:</w:t>
      </w:r>
    </w:p>
    <w:p w14:paraId="4E2AA551" w14:textId="77777777" w:rsidR="00947DB5" w:rsidRPr="00F562A8" w:rsidRDefault="00947DB5" w:rsidP="00947DB5">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104FC71B" wp14:editId="5F960D0E">
            <wp:extent cx="2209800" cy="247650"/>
            <wp:effectExtent l="0" t="0" r="0" b="0"/>
            <wp:docPr id="721" name="Рисунок 721"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5514F3CF" w14:textId="77777777" w:rsidR="00947DB5" w:rsidRPr="00F562A8"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1A7FBF69" wp14:editId="31DED325">
            <wp:extent cx="1352550" cy="266700"/>
            <wp:effectExtent l="0" t="0" r="0" b="0"/>
            <wp:docPr id="722" name="Рисунок 722"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1FDA2ECF" w14:textId="77777777" w:rsidR="00947DB5" w:rsidRPr="00F562A8"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4C570E87" wp14:editId="42D533F3">
            <wp:extent cx="1266825" cy="266700"/>
            <wp:effectExtent l="0" t="0" r="0" b="0"/>
            <wp:docPr id="723" name="Рисунок 723"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1042702D" w14:textId="77777777" w:rsidR="00947DB5" w:rsidRPr="00F562A8"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5FD631EE"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X</w:t>
      </w:r>
      <w:r w:rsidRPr="00F562A8">
        <w:rPr>
          <w:rFonts w:ascii="Times New Roman" w:eastAsia="Times New Roman" w:hAnsi="Times New Roman" w:cs="Times New Roman"/>
          <w:sz w:val="26"/>
          <w:szCs w:val="26"/>
          <w:vertAlign w:val="subscript"/>
          <w:lang w:eastAsia="ru-RU"/>
        </w:rPr>
        <w:t>1</w:t>
      </w:r>
      <w:r w:rsidRPr="00F562A8">
        <w:rPr>
          <w:rFonts w:ascii="Times New Roman" w:eastAsia="Times New Roman" w:hAnsi="Times New Roman" w:cs="Times New Roman"/>
          <w:sz w:val="26"/>
          <w:szCs w:val="26"/>
          <w:lang w:eastAsia="ru-RU"/>
        </w:rPr>
        <w:t>, ..., X</w:t>
      </w:r>
      <w:r w:rsidRPr="00F562A8">
        <w:rPr>
          <w:rFonts w:ascii="Times New Roman" w:eastAsia="Times New Roman" w:hAnsi="Times New Roman" w:cs="Times New Roman"/>
          <w:sz w:val="26"/>
          <w:szCs w:val="26"/>
          <w:vertAlign w:val="subscript"/>
          <w:lang w:eastAsia="ru-RU"/>
        </w:rPr>
        <w:t>n</w:t>
      </w:r>
      <w:r w:rsidRPr="00F562A8">
        <w:rPr>
          <w:rFonts w:ascii="Times New Roman" w:eastAsia="Times New Roman" w:hAnsi="Times New Roman" w:cs="Times New Roman"/>
          <w:sz w:val="26"/>
          <w:szCs w:val="26"/>
          <w:lang w:eastAsia="ru-RU"/>
        </w:rPr>
        <w:t xml:space="preserve"> - ценообразующие факторы объектов недвижимости;</w:t>
      </w:r>
    </w:p>
    <w:p w14:paraId="37467185"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noProof/>
          <w:position w:val="-8"/>
          <w:sz w:val="26"/>
          <w:szCs w:val="26"/>
          <w:lang w:eastAsia="ru-RU"/>
        </w:rPr>
        <w:drawing>
          <wp:inline distT="0" distB="0" distL="0" distR="0" wp14:anchorId="0836C221" wp14:editId="37C21F17">
            <wp:extent cx="209550" cy="247650"/>
            <wp:effectExtent l="0" t="0" r="0" b="0"/>
            <wp:docPr id="724" name="Рисунок 724"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w:t>
      </w:r>
      <w:r w:rsidRPr="00F562A8">
        <w:rPr>
          <w:rFonts w:ascii="Times New Roman" w:eastAsia="Times New Roman" w:hAnsi="Times New Roman" w:cs="Times New Roman"/>
          <w:noProof/>
          <w:position w:val="-8"/>
          <w:sz w:val="26"/>
          <w:szCs w:val="26"/>
          <w:lang w:eastAsia="ru-RU"/>
        </w:rPr>
        <w:drawing>
          <wp:inline distT="0" distB="0" distL="0" distR="0" wp14:anchorId="2D2F8A8D" wp14:editId="13E30ADB">
            <wp:extent cx="200025" cy="247650"/>
            <wp:effectExtent l="0" t="0" r="9525" b="0"/>
            <wp:docPr id="725" name="Рисунок 725"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 </w:t>
      </w:r>
      <w:r w:rsidRPr="00F562A8">
        <w:rPr>
          <w:rFonts w:ascii="Times New Roman" w:eastAsia="Times New Roman" w:hAnsi="Times New Roman" w:cs="Times New Roman"/>
          <w:noProof/>
          <w:position w:val="-8"/>
          <w:sz w:val="26"/>
          <w:szCs w:val="26"/>
          <w:lang w:eastAsia="ru-RU"/>
        </w:rPr>
        <w:drawing>
          <wp:inline distT="0" distB="0" distL="0" distR="0" wp14:anchorId="08243FEA" wp14:editId="71B4AB01">
            <wp:extent cx="209550" cy="247650"/>
            <wp:effectExtent l="0" t="0" r="0" b="0"/>
            <wp:docPr id="726" name="Рисунок 726"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eastAsia="Times New Roman" w:hAnsi="Times New Roman" w:cs="Times New Roman"/>
          <w:sz w:val="26"/>
          <w:szCs w:val="26"/>
          <w:lang w:eastAsia="ru-RU"/>
        </w:rPr>
        <w:t xml:space="preserve"> - коэффициенты модели.</w:t>
      </w:r>
    </w:p>
    <w:p w14:paraId="247DD109" w14:textId="41E04F24" w:rsidR="00947DB5" w:rsidRPr="00F562A8" w:rsidRDefault="00883D39" w:rsidP="00947DB5">
      <w:pPr>
        <w:spacing w:after="0" w:line="276" w:lineRule="auto"/>
        <w:jc w:val="center"/>
        <w:rPr>
          <w:rFonts w:ascii="Times New Roman" w:hAnsi="Times New Roman" w:cs="Times New Roman"/>
          <w:sz w:val="24"/>
          <w:lang w:val="en-US"/>
        </w:rPr>
      </w:pPr>
      <w:r w:rsidRPr="00790027">
        <w:rPr>
          <w:noProof/>
          <w:lang w:eastAsia="ru-RU"/>
        </w:rPr>
        <w:drawing>
          <wp:inline distT="0" distB="0" distL="0" distR="0" wp14:anchorId="4E95F1F6" wp14:editId="2280CA5E">
            <wp:extent cx="5939790" cy="659060"/>
            <wp:effectExtent l="0" t="0" r="3810" b="825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5939790" cy="659060"/>
                    </a:xfrm>
                    <a:prstGeom prst="rect">
                      <a:avLst/>
                    </a:prstGeom>
                  </pic:spPr>
                </pic:pic>
              </a:graphicData>
            </a:graphic>
          </wp:inline>
        </w:drawing>
      </w:r>
    </w:p>
    <w:p w14:paraId="09C91852" w14:textId="268149E1" w:rsidR="00947DB5" w:rsidRPr="00F562A8" w:rsidRDefault="00947DB5" w:rsidP="00947DB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1E4B41">
        <w:rPr>
          <w:rFonts w:ascii="Times New Roman" w:hAnsi="Times New Roman" w:cs="Times New Roman"/>
          <w:sz w:val="26"/>
          <w:szCs w:val="26"/>
        </w:rPr>
        <w:t>6</w:t>
      </w:r>
      <w:r w:rsidRPr="00F562A8">
        <w:rPr>
          <w:rFonts w:ascii="Times New Roman" w:hAnsi="Times New Roman" w:cs="Times New Roman"/>
          <w:sz w:val="26"/>
          <w:szCs w:val="26"/>
        </w:rPr>
        <w:t>.</w:t>
      </w:r>
      <w:r w:rsidR="001E4B41">
        <w:rPr>
          <w:rFonts w:ascii="Times New Roman" w:hAnsi="Times New Roman" w:cs="Times New Roman"/>
          <w:sz w:val="26"/>
          <w:szCs w:val="26"/>
        </w:rPr>
        <w:t>10</w:t>
      </w:r>
      <w:r>
        <w:rPr>
          <w:rFonts w:ascii="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w:t>
      </w:r>
      <w:r w:rsidR="008345AC">
        <w:rPr>
          <w:rFonts w:ascii="Times New Roman" w:hAnsi="Times New Roman" w:cs="Times New Roman"/>
          <w:sz w:val="26"/>
          <w:szCs w:val="26"/>
        </w:rPr>
        <w:t>четыре</w:t>
      </w:r>
      <w:r w:rsidRPr="00F562A8">
        <w:rPr>
          <w:rFonts w:ascii="Times New Roman" w:hAnsi="Times New Roman" w:cs="Times New Roman"/>
          <w:sz w:val="26"/>
          <w:szCs w:val="26"/>
        </w:rPr>
        <w:t>хфакторные модели</w:t>
      </w:r>
    </w:p>
    <w:p w14:paraId="02B6B14C" w14:textId="710C2BAE"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Согласно п.</w:t>
      </w:r>
      <w:r w:rsidR="00B11E8D">
        <w:rPr>
          <w:rFonts w:ascii="Times New Roman" w:eastAsia="Times New Roman" w:hAnsi="Times New Roman" w:cs="Times New Roman"/>
          <w:sz w:val="26"/>
          <w:szCs w:val="26"/>
          <w:lang w:eastAsia="ru-RU"/>
        </w:rPr>
        <w:t>45.1.2</w:t>
      </w:r>
      <w:r w:rsidRPr="00F562A8">
        <w:rPr>
          <w:rFonts w:ascii="Times New Roman" w:eastAsia="Times New Roman" w:hAnsi="Times New Roman" w:cs="Times New Roman"/>
          <w:sz w:val="26"/>
          <w:szCs w:val="26"/>
          <w:lang w:eastAsia="ru-RU"/>
        </w:rPr>
        <w:t xml:space="preserve"> Указаний, анализ качества статистической модели включает в себя комплекс процедур, предусматривающий проверки, в том числе:</w:t>
      </w:r>
    </w:p>
    <w:p w14:paraId="35BC6A3B"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18442710"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обоснованности знаков при коэффициентах статистического уравнения, то есть их соответствия характеру влияния ценообразующих факторов;</w:t>
      </w:r>
    </w:p>
    <w:p w14:paraId="099B6230"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291288F5"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t-критерию Стьюдента проверки значимости параметров моделей;</w:t>
      </w:r>
    </w:p>
    <w:p w14:paraId="471CD75A"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средней ошибке аппроксимации;</w:t>
      </w:r>
    </w:p>
    <w:p w14:paraId="387E61F3"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коэффициенту детерминации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w:t>
      </w:r>
    </w:p>
    <w:p w14:paraId="63808157"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 по расчетному значению F-критерия Фишера, обосновывающего адекватность регрессионной модели.</w:t>
      </w:r>
    </w:p>
    <w:p w14:paraId="53EECD2E" w14:textId="1E310D99" w:rsidR="00947DB5" w:rsidRPr="00F562A8" w:rsidRDefault="00883D39" w:rsidP="00947DB5">
      <w:pPr>
        <w:widowControl w:val="0"/>
        <w:autoSpaceDE w:val="0"/>
        <w:autoSpaceDN w:val="0"/>
        <w:spacing w:after="0" w:line="276" w:lineRule="auto"/>
        <w:jc w:val="center"/>
        <w:rPr>
          <w:rFonts w:ascii="Times New Roman" w:eastAsia="Times New Roman" w:hAnsi="Times New Roman" w:cs="Times New Roman"/>
          <w:sz w:val="26"/>
          <w:szCs w:val="26"/>
          <w:lang w:eastAsia="ru-RU"/>
        </w:rPr>
      </w:pPr>
      <w:r w:rsidRPr="00790027">
        <w:rPr>
          <w:noProof/>
          <w:lang w:eastAsia="ru-RU"/>
        </w:rPr>
        <w:drawing>
          <wp:inline distT="0" distB="0" distL="0" distR="0" wp14:anchorId="4CB51415" wp14:editId="11DB29EC">
            <wp:extent cx="5934075" cy="1458837"/>
            <wp:effectExtent l="0" t="0" r="0" b="825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3"/>
                    <a:srcRect r="8078"/>
                    <a:stretch/>
                  </pic:blipFill>
                  <pic:spPr bwMode="auto">
                    <a:xfrm>
                      <a:off x="0" y="0"/>
                      <a:ext cx="5954006" cy="1463737"/>
                    </a:xfrm>
                    <a:prstGeom prst="rect">
                      <a:avLst/>
                    </a:prstGeom>
                    <a:ln>
                      <a:noFill/>
                    </a:ln>
                    <a:extLst>
                      <a:ext uri="{53640926-AAD7-44D8-BBD7-CCE9431645EC}">
                        <a14:shadowObscured xmlns:a14="http://schemas.microsoft.com/office/drawing/2010/main"/>
                      </a:ext>
                    </a:extLst>
                  </pic:spPr>
                </pic:pic>
              </a:graphicData>
            </a:graphic>
          </wp:inline>
        </w:drawing>
      </w:r>
    </w:p>
    <w:p w14:paraId="0B42511B" w14:textId="09F87B68" w:rsidR="00947DB5" w:rsidRPr="00F562A8" w:rsidRDefault="00947DB5" w:rsidP="00947DB5">
      <w:pPr>
        <w:widowControl w:val="0"/>
        <w:autoSpaceDE w:val="0"/>
        <w:autoSpaceDN w:val="0"/>
        <w:spacing w:after="0" w:line="276" w:lineRule="auto"/>
        <w:ind w:firstLine="709"/>
        <w:jc w:val="center"/>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Рис.</w:t>
      </w:r>
      <w:r w:rsidRPr="00F562A8">
        <w:rPr>
          <w:rFonts w:ascii="Times New Roman" w:hAnsi="Times New Roman" w:cs="Times New Roman"/>
          <w:sz w:val="26"/>
          <w:szCs w:val="26"/>
        </w:rPr>
        <w:t xml:space="preserve"> 3.6.</w:t>
      </w:r>
      <w:r w:rsidR="001E4B41">
        <w:rPr>
          <w:rFonts w:ascii="Times New Roman" w:hAnsi="Times New Roman" w:cs="Times New Roman"/>
          <w:sz w:val="26"/>
          <w:szCs w:val="26"/>
        </w:rPr>
        <w:t>6</w:t>
      </w:r>
      <w:r w:rsidRPr="00F562A8">
        <w:rPr>
          <w:rFonts w:ascii="Times New Roman" w:hAnsi="Times New Roman" w:cs="Times New Roman"/>
          <w:sz w:val="26"/>
          <w:szCs w:val="26"/>
        </w:rPr>
        <w:t>.</w:t>
      </w:r>
      <w:r w:rsidR="001E4B41">
        <w:rPr>
          <w:rFonts w:ascii="Times New Roman" w:hAnsi="Times New Roman" w:cs="Times New Roman"/>
          <w:sz w:val="26"/>
          <w:szCs w:val="26"/>
        </w:rPr>
        <w:t>10</w:t>
      </w:r>
      <w:r>
        <w:rPr>
          <w:rFonts w:ascii="Times New Roman" w:hAnsi="Times New Roman" w:cs="Times New Roman"/>
          <w:sz w:val="26"/>
          <w:szCs w:val="26"/>
        </w:rPr>
        <w:t>.2</w:t>
      </w:r>
      <w:r w:rsidRPr="00F562A8">
        <w:rPr>
          <w:rFonts w:ascii="Times New Roman" w:hAnsi="Times New Roman" w:cs="Times New Roman"/>
          <w:sz w:val="26"/>
          <w:szCs w:val="26"/>
        </w:rPr>
        <w:t xml:space="preserve"> </w:t>
      </w:r>
      <w:r w:rsidRPr="00F562A8">
        <w:rPr>
          <w:rFonts w:ascii="Times New Roman" w:eastAsia="Times New Roman" w:hAnsi="Times New Roman" w:cs="Times New Roman"/>
          <w:sz w:val="26"/>
          <w:szCs w:val="26"/>
          <w:lang w:eastAsia="ru-RU"/>
        </w:rPr>
        <w:t>- Значения t-критерия Стьюдента, средней ошибки аппроксимации, коэффициента детерминации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 xml:space="preserve"> и F-критерия Фишера</w:t>
      </w:r>
    </w:p>
    <w:p w14:paraId="0A2E21CC"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Показатели R</w:t>
      </w:r>
      <w:r w:rsidRPr="00F562A8">
        <w:rPr>
          <w:rFonts w:ascii="Times New Roman" w:eastAsia="Times New Roman" w:hAnsi="Times New Roman" w:cs="Times New Roman"/>
          <w:sz w:val="26"/>
          <w:szCs w:val="26"/>
          <w:vertAlign w:val="superscript"/>
          <w:lang w:eastAsia="ru-RU"/>
        </w:rPr>
        <w:t>2</w:t>
      </w:r>
      <w:r w:rsidRPr="00F562A8">
        <w:rPr>
          <w:rFonts w:ascii="Times New Roman" w:eastAsia="Times New Roman" w:hAnsi="Times New Roman" w:cs="Times New Roman"/>
          <w:sz w:val="26"/>
          <w:szCs w:val="26"/>
          <w:lang w:eastAsia="ru-RU"/>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26D3504D" w14:textId="77777777" w:rsidR="00947DB5" w:rsidRPr="00F562A8" w:rsidRDefault="00947DB5" w:rsidP="00947DB5">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F562A8">
        <w:rPr>
          <w:rFonts w:ascii="Times New Roman" w:eastAsia="Times New Roman" w:hAnsi="Times New Roman" w:cs="Times New Roman"/>
          <w:sz w:val="26"/>
          <w:szCs w:val="26"/>
          <w:lang w:eastAsia="ru-RU"/>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13BC4E80" w14:textId="77777777" w:rsidR="00947DB5" w:rsidRPr="00F562A8"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 xml:space="preserve">равны: </w:t>
      </w:r>
    </w:p>
    <w:p w14:paraId="3A1C44A4" w14:textId="28C78537" w:rsidR="00947DB5" w:rsidRPr="00F562A8" w:rsidRDefault="00883D39" w:rsidP="00947DB5">
      <w:pPr>
        <w:spacing w:after="0" w:line="276" w:lineRule="auto"/>
        <w:jc w:val="center"/>
        <w:rPr>
          <w:rFonts w:ascii="Times New Roman" w:hAnsi="Times New Roman" w:cs="Times New Roman"/>
          <w:sz w:val="26"/>
          <w:szCs w:val="26"/>
          <w:lang w:val="en-US"/>
        </w:rPr>
      </w:pPr>
      <w:r w:rsidRPr="00790027">
        <w:rPr>
          <w:noProof/>
          <w:lang w:eastAsia="ru-RU"/>
        </w:rPr>
        <w:drawing>
          <wp:inline distT="0" distB="0" distL="0" distR="0" wp14:anchorId="21ACACCC" wp14:editId="20A97A96">
            <wp:extent cx="2733040" cy="93632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4"/>
                    <a:srcRect b="7500"/>
                    <a:stretch/>
                  </pic:blipFill>
                  <pic:spPr bwMode="auto">
                    <a:xfrm>
                      <a:off x="0" y="0"/>
                      <a:ext cx="2752802" cy="943090"/>
                    </a:xfrm>
                    <a:prstGeom prst="rect">
                      <a:avLst/>
                    </a:prstGeom>
                    <a:ln>
                      <a:noFill/>
                    </a:ln>
                    <a:extLst>
                      <a:ext uri="{53640926-AAD7-44D8-BBD7-CCE9431645EC}">
                        <a14:shadowObscured xmlns:a14="http://schemas.microsoft.com/office/drawing/2010/main"/>
                      </a:ext>
                    </a:extLst>
                  </pic:spPr>
                </pic:pic>
              </a:graphicData>
            </a:graphic>
          </wp:inline>
        </w:drawing>
      </w:r>
    </w:p>
    <w:p w14:paraId="69820DA2" w14:textId="38CF31D6" w:rsidR="00947DB5" w:rsidRPr="00F562A8" w:rsidRDefault="00947DB5" w:rsidP="00947DB5">
      <w:pPr>
        <w:spacing w:after="120"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 3.6.</w:t>
      </w:r>
      <w:r w:rsidR="001E4B41">
        <w:rPr>
          <w:rFonts w:ascii="Times New Roman" w:hAnsi="Times New Roman" w:cs="Times New Roman"/>
          <w:sz w:val="26"/>
          <w:szCs w:val="26"/>
        </w:rPr>
        <w:t>6</w:t>
      </w:r>
      <w:r w:rsidRPr="00F562A8">
        <w:rPr>
          <w:rFonts w:ascii="Times New Roman" w:hAnsi="Times New Roman" w:cs="Times New Roman"/>
          <w:sz w:val="26"/>
          <w:szCs w:val="26"/>
        </w:rPr>
        <w:t>.</w:t>
      </w:r>
      <w:r w:rsidR="001E4B41">
        <w:rPr>
          <w:rFonts w:ascii="Times New Roman" w:hAnsi="Times New Roman" w:cs="Times New Roman"/>
          <w:sz w:val="26"/>
          <w:szCs w:val="26"/>
        </w:rPr>
        <w:t>10</w:t>
      </w:r>
      <w:r>
        <w:rPr>
          <w:rFonts w:ascii="Times New Roman" w:hAnsi="Times New Roman" w:cs="Times New Roman"/>
          <w:sz w:val="26"/>
          <w:szCs w:val="26"/>
        </w:rPr>
        <w:t>.3</w:t>
      </w:r>
      <w:r w:rsidRPr="00F562A8">
        <w:rPr>
          <w:rFonts w:ascii="Times New Roman" w:hAnsi="Times New Roman" w:cs="Times New Roman"/>
          <w:sz w:val="26"/>
          <w:szCs w:val="26"/>
        </w:rPr>
        <w:t xml:space="preserve"> - Значения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p>
    <w:p w14:paraId="3D51F9AF" w14:textId="77777777" w:rsidR="00947DB5" w:rsidRPr="00F562A8"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0CE495C1" w14:textId="074F0539" w:rsidR="00947DB5" w:rsidRPr="00C6146B" w:rsidRDefault="00947DB5" w:rsidP="00883D39">
      <w:pPr>
        <w:ind w:firstLine="851"/>
        <w:jc w:val="both"/>
        <w:rPr>
          <w:rFonts w:ascii="Times New Roman" w:hAnsi="Times New Roman" w:cs="Times New Roman"/>
          <w:i/>
          <w:sz w:val="26"/>
          <w:szCs w:val="26"/>
        </w:rPr>
      </w:pPr>
      <w:r w:rsidRPr="00F562A8">
        <w:rPr>
          <w:rFonts w:ascii="Times New Roman" w:hAnsi="Times New Roman" w:cs="Times New Roman"/>
          <w:i/>
          <w:sz w:val="26"/>
          <w:szCs w:val="26"/>
        </w:rPr>
        <w:t xml:space="preserve">УПКС = </w:t>
      </w:r>
      <w:r w:rsidR="00883D39" w:rsidRPr="00883D39">
        <w:rPr>
          <w:rFonts w:ascii="Times New Roman" w:hAnsi="Times New Roman" w:cs="Times New Roman"/>
          <w:i/>
          <w:sz w:val="26"/>
          <w:szCs w:val="26"/>
        </w:rPr>
        <w:t>0.000321625248424843*e^(+11.5431494833573*([_Наличие подъездных путей с твердым покрытием])+0.0427556995960688*((46.414+-13.531-_Расстояние до районного центра))+0.0057914404068611*((254.506+-2.333-_Расстояние до центра субъекта РФ (г. Воронеж)))</w:t>
      </w:r>
      <w:r w:rsidR="00883D39">
        <w:rPr>
          <w:rFonts w:ascii="Times New Roman" w:hAnsi="Times New Roman" w:cs="Times New Roman"/>
          <w:i/>
          <w:sz w:val="26"/>
          <w:szCs w:val="26"/>
        </w:rPr>
        <w:t xml:space="preserve"> </w:t>
      </w:r>
      <w:r w:rsidR="00883D39" w:rsidRPr="00883D39">
        <w:rPr>
          <w:rFonts w:ascii="Times New Roman" w:hAnsi="Times New Roman" w:cs="Times New Roman"/>
          <w:i/>
          <w:sz w:val="26"/>
          <w:szCs w:val="26"/>
        </w:rPr>
        <w:t xml:space="preserve">+0.108945776715945*((10.317+-6.23-_Расстояние до </w:t>
      </w:r>
      <w:bookmarkStart w:id="260" w:name="_Hlk106531145"/>
      <w:r w:rsidR="00883D39" w:rsidRPr="00883D39">
        <w:rPr>
          <w:rFonts w:ascii="Times New Roman" w:hAnsi="Times New Roman" w:cs="Times New Roman"/>
          <w:i/>
          <w:sz w:val="26"/>
          <w:szCs w:val="26"/>
        </w:rPr>
        <w:t>ближайшего населенного пункта</w:t>
      </w:r>
      <w:bookmarkEnd w:id="260"/>
      <w:r w:rsidR="00883D39" w:rsidRPr="00883D39">
        <w:rPr>
          <w:rFonts w:ascii="Times New Roman" w:hAnsi="Times New Roman" w:cs="Times New Roman"/>
          <w:i/>
          <w:sz w:val="26"/>
          <w:szCs w:val="26"/>
        </w:rPr>
        <w:t>)))</w:t>
      </w:r>
    </w:p>
    <w:p w14:paraId="3851C529" w14:textId="77777777" w:rsidR="00947DB5"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34058AA4" w14:textId="1A6A4054" w:rsidR="00947DB5" w:rsidRPr="00F562A8" w:rsidRDefault="00951013" w:rsidP="00947DB5">
      <w:pPr>
        <w:spacing w:after="0" w:line="276" w:lineRule="auto"/>
        <w:jc w:val="center"/>
        <w:rPr>
          <w:rFonts w:ascii="Times New Roman" w:hAnsi="Times New Roman" w:cs="Times New Roman"/>
          <w:sz w:val="26"/>
          <w:szCs w:val="26"/>
        </w:rPr>
      </w:pPr>
      <w:r w:rsidRPr="00790027">
        <w:rPr>
          <w:noProof/>
          <w:lang w:eastAsia="ru-RU"/>
        </w:rPr>
        <w:drawing>
          <wp:inline distT="0" distB="0" distL="0" distR="0" wp14:anchorId="061401A2" wp14:editId="25DE1261">
            <wp:extent cx="4548744" cy="2828925"/>
            <wp:effectExtent l="0" t="0" r="444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4561567" cy="2836900"/>
                    </a:xfrm>
                    <a:prstGeom prst="rect">
                      <a:avLst/>
                    </a:prstGeom>
                  </pic:spPr>
                </pic:pic>
              </a:graphicData>
            </a:graphic>
          </wp:inline>
        </w:drawing>
      </w:r>
    </w:p>
    <w:p w14:paraId="1A429C7D" w14:textId="2A3BBDB6" w:rsidR="00947DB5" w:rsidRPr="00F562A8" w:rsidRDefault="00947DB5" w:rsidP="00947DB5">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 3.6.</w:t>
      </w:r>
      <w:r w:rsidR="001E4B41">
        <w:rPr>
          <w:rFonts w:ascii="Times New Roman" w:hAnsi="Times New Roman" w:cs="Times New Roman"/>
          <w:sz w:val="26"/>
          <w:szCs w:val="26"/>
        </w:rPr>
        <w:t>6</w:t>
      </w:r>
      <w:r w:rsidRPr="00F562A8">
        <w:rPr>
          <w:rFonts w:ascii="Times New Roman" w:hAnsi="Times New Roman" w:cs="Times New Roman"/>
          <w:sz w:val="26"/>
          <w:szCs w:val="26"/>
        </w:rPr>
        <w:t>.</w:t>
      </w:r>
      <w:r w:rsidR="001E4B41">
        <w:rPr>
          <w:rFonts w:ascii="Times New Roman" w:hAnsi="Times New Roman" w:cs="Times New Roman"/>
          <w:sz w:val="26"/>
          <w:szCs w:val="26"/>
        </w:rPr>
        <w:t>10</w:t>
      </w:r>
      <w:r>
        <w:rPr>
          <w:rFonts w:ascii="Times New Roman" w:hAnsi="Times New Roman" w:cs="Times New Roman"/>
          <w:sz w:val="26"/>
          <w:szCs w:val="26"/>
        </w:rPr>
        <w:t xml:space="preserve">.4 </w:t>
      </w:r>
      <w:r w:rsidRPr="00F562A8">
        <w:rPr>
          <w:rFonts w:ascii="Times New Roman" w:hAnsi="Times New Roman" w:cs="Times New Roman"/>
          <w:sz w:val="26"/>
          <w:szCs w:val="26"/>
        </w:rPr>
        <w:t>- Характеристика экспоненциальной модели и анализ качества выборки</w:t>
      </w:r>
    </w:p>
    <w:p w14:paraId="087A1618" w14:textId="53D987B8" w:rsidR="00947DB5" w:rsidRPr="00F562A8" w:rsidRDefault="00947DB5" w:rsidP="00947DB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w:t>
      </w:r>
      <w:r>
        <w:rPr>
          <w:rFonts w:ascii="Times New Roman" w:hAnsi="Times New Roman" w:cs="Times New Roman"/>
          <w:sz w:val="26"/>
          <w:szCs w:val="26"/>
        </w:rPr>
        <w:t xml:space="preserve">ами </w:t>
      </w:r>
      <w:r w:rsidRPr="00F562A8">
        <w:rPr>
          <w:rFonts w:ascii="Times New Roman" w:hAnsi="Times New Roman" w:cs="Times New Roman"/>
          <w:sz w:val="26"/>
          <w:szCs w:val="26"/>
        </w:rPr>
        <w:t>и кадастровой стоимостью обратная, то есть при росте этого фактора кадастровая стоимость уменьшается.</w:t>
      </w:r>
      <w:r w:rsidRPr="00490140">
        <w:rPr>
          <w:rFonts w:ascii="Times New Roman" w:hAnsi="Times New Roman" w:cs="Times New Roman"/>
          <w:sz w:val="26"/>
          <w:szCs w:val="26"/>
        </w:rPr>
        <w:t xml:space="preserve"> </w:t>
      </w:r>
      <w:r w:rsidRPr="00F562A8">
        <w:rPr>
          <w:rFonts w:ascii="Times New Roman" w:hAnsi="Times New Roman" w:cs="Times New Roman"/>
          <w:sz w:val="26"/>
          <w:szCs w:val="26"/>
        </w:rPr>
        <w:t>Малые значения средней ошибки аппроксимации и среднеквадратической ошибки оценки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4EAE506A" w14:textId="4C6FCE43" w:rsidR="00947DB5" w:rsidRDefault="00B757FC" w:rsidP="00947DB5">
      <w:pPr>
        <w:spacing w:after="0" w:line="276" w:lineRule="auto"/>
        <w:ind w:firstLine="709"/>
        <w:jc w:val="both"/>
        <w:rPr>
          <w:rFonts w:ascii="Times New Roman" w:eastAsiaTheme="minorEastAsia" w:hAnsi="Times New Roman" w:cs="Times New Roman"/>
          <w:sz w:val="26"/>
          <w:szCs w:val="26"/>
          <w:highlight w:val="yellow"/>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5A9BBBC9" w14:textId="560DC141" w:rsidR="00947DB5" w:rsidRDefault="00947DB5" w:rsidP="009E76E5">
      <w:pPr>
        <w:spacing w:after="0" w:line="276" w:lineRule="auto"/>
        <w:ind w:firstLine="709"/>
        <w:jc w:val="both"/>
        <w:rPr>
          <w:rFonts w:ascii="Times New Roman" w:hAnsi="Times New Roman" w:cs="Times New Roman"/>
          <w:i/>
          <w:sz w:val="26"/>
          <w:szCs w:val="26"/>
        </w:rPr>
      </w:pPr>
    </w:p>
    <w:p w14:paraId="1487BEF1" w14:textId="1872182C" w:rsidR="00306BF5" w:rsidRDefault="00696100" w:rsidP="00EB54E4">
      <w:pPr>
        <w:pStyle w:val="ab"/>
        <w:ind w:left="0"/>
        <w:jc w:val="center"/>
        <w:outlineLvl w:val="2"/>
        <w:rPr>
          <w:rFonts w:ascii="Times New Roman" w:hAnsi="Times New Roman" w:cs="Times New Roman"/>
          <w:i/>
          <w:sz w:val="26"/>
          <w:szCs w:val="26"/>
        </w:rPr>
      </w:pPr>
      <w:bookmarkStart w:id="261" w:name="_Toc110507002"/>
      <w:r w:rsidRPr="00DC7772">
        <w:rPr>
          <w:rFonts w:ascii="Times New Roman" w:hAnsi="Times New Roman" w:cs="Times New Roman"/>
          <w:i/>
          <w:sz w:val="26"/>
          <w:szCs w:val="26"/>
        </w:rPr>
        <w:t>3.6.6.</w:t>
      </w:r>
      <w:r w:rsidR="006F7A30" w:rsidRPr="00DC7772">
        <w:rPr>
          <w:rFonts w:ascii="Times New Roman" w:hAnsi="Times New Roman" w:cs="Times New Roman"/>
          <w:i/>
          <w:sz w:val="26"/>
          <w:szCs w:val="26"/>
        </w:rPr>
        <w:t>11</w:t>
      </w:r>
      <w:r w:rsidRPr="00DC7772">
        <w:rPr>
          <w:rFonts w:ascii="Times New Roman" w:hAnsi="Times New Roman" w:cs="Times New Roman"/>
          <w:i/>
          <w:sz w:val="26"/>
          <w:szCs w:val="26"/>
        </w:rPr>
        <w:t xml:space="preserve">. </w:t>
      </w:r>
      <w:r w:rsidR="00306BF5" w:rsidRPr="00DC7772">
        <w:rPr>
          <w:rFonts w:ascii="Times New Roman" w:hAnsi="Times New Roman" w:cs="Times New Roman"/>
          <w:i/>
          <w:sz w:val="26"/>
          <w:szCs w:val="26"/>
        </w:rPr>
        <w:t>Расчет кадастровой</w:t>
      </w:r>
      <w:r w:rsidR="00306BF5" w:rsidRPr="00F562A8">
        <w:rPr>
          <w:rFonts w:ascii="Times New Roman" w:hAnsi="Times New Roman" w:cs="Times New Roman"/>
          <w:i/>
          <w:sz w:val="26"/>
          <w:szCs w:val="26"/>
        </w:rPr>
        <w:t xml:space="preserve"> стоимости земельных участков групп </w:t>
      </w:r>
      <w:r w:rsidR="00533CF0" w:rsidRPr="00983D64">
        <w:rPr>
          <w:rFonts w:ascii="Times New Roman" w:hAnsi="Times New Roman" w:cs="Times New Roman"/>
          <w:i/>
          <w:sz w:val="26"/>
          <w:szCs w:val="26"/>
        </w:rPr>
        <w:t>ПРОИЗВОДСТВО</w:t>
      </w:r>
      <w:r w:rsidR="00533CF0">
        <w:rPr>
          <w:rFonts w:ascii="Times New Roman" w:hAnsi="Times New Roman" w:cs="Times New Roman"/>
          <w:i/>
          <w:sz w:val="26"/>
          <w:szCs w:val="26"/>
        </w:rPr>
        <w:t>/ПРОМ/</w:t>
      </w:r>
      <w:r w:rsidR="00EB54E4" w:rsidRPr="00EB54E4">
        <w:rPr>
          <w:rFonts w:ascii="Times New Roman" w:hAnsi="Times New Roman" w:cs="Times New Roman"/>
          <w:i/>
          <w:sz w:val="26"/>
          <w:szCs w:val="26"/>
        </w:rPr>
        <w:t>Карьеры и ГТС</w:t>
      </w:r>
      <w:bookmarkEnd w:id="261"/>
    </w:p>
    <w:p w14:paraId="62F1EA49" w14:textId="7925873F" w:rsidR="00356437" w:rsidRPr="00356437" w:rsidRDefault="00356437" w:rsidP="00356437">
      <w:pPr>
        <w:spacing w:after="0" w:line="276" w:lineRule="auto"/>
        <w:ind w:firstLine="567"/>
        <w:jc w:val="both"/>
        <w:rPr>
          <w:rFonts w:ascii="Times New Roman"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w:t>
      </w:r>
      <w:r w:rsidRPr="00356437">
        <w:rPr>
          <w:rFonts w:ascii="Times New Roman" w:hAnsi="Times New Roman" w:cs="Times New Roman"/>
          <w:sz w:val="26"/>
          <w:szCs w:val="26"/>
        </w:rPr>
        <w:t xml:space="preserve">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75B5CF81" w14:textId="4B04593C" w:rsidR="00356437" w:rsidRDefault="00356437" w:rsidP="00356437">
      <w:pPr>
        <w:spacing w:after="0"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356437">
        <w:rPr>
          <w:rFonts w:ascii="Times New Roman" w:hAnsi="Times New Roman" w:cs="Times New Roman"/>
          <w:sz w:val="26"/>
          <w:szCs w:val="26"/>
        </w:rPr>
        <w:t>ПРОИЗВОДСТВО/ПРОМ/Карьеры и ГТС</w:t>
      </w:r>
      <w:r>
        <w:rPr>
          <w:rFonts w:ascii="Times New Roman" w:hAnsi="Times New Roman" w:cs="Times New Roman"/>
          <w:sz w:val="26"/>
          <w:szCs w:val="26"/>
        </w:rPr>
        <w:t xml:space="preserve">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6548E3">
        <w:t xml:space="preserve"> </w:t>
      </w:r>
      <w:r w:rsidRPr="00356437">
        <w:rPr>
          <w:rFonts w:ascii="Times New Roman" w:hAnsi="Times New Roman" w:cs="Times New Roman"/>
          <w:sz w:val="26"/>
          <w:szCs w:val="26"/>
        </w:rPr>
        <w:t>06:010, 06:011, 06:012, 06:013, 06:014, 07:032, 11:030</w:t>
      </w:r>
      <w:r>
        <w:rPr>
          <w:rFonts w:ascii="Times New Roman" w:hAnsi="Times New Roman" w:cs="Times New Roman"/>
          <w:sz w:val="26"/>
          <w:szCs w:val="26"/>
        </w:rPr>
        <w:t>.</w:t>
      </w:r>
    </w:p>
    <w:p w14:paraId="55A34C84" w14:textId="7CEE201B" w:rsidR="00356437" w:rsidRPr="00F562A8" w:rsidRDefault="003E67B8" w:rsidP="00356437">
      <w:pPr>
        <w:spacing w:after="0" w:line="300" w:lineRule="auto"/>
        <w:ind w:firstLine="567"/>
        <w:jc w:val="both"/>
        <w:rPr>
          <w:rFonts w:ascii="Times New Roman" w:eastAsiaTheme="minorEastAsia" w:hAnsi="Times New Roman" w:cs="Times New Roman"/>
          <w:sz w:val="26"/>
          <w:szCs w:val="26"/>
        </w:rPr>
      </w:pPr>
      <w:r>
        <w:rPr>
          <w:rFonts w:ascii="Times New Roman" w:hAnsi="Times New Roman" w:cs="Times New Roman"/>
          <w:bCs/>
          <w:sz w:val="26"/>
          <w:szCs w:val="26"/>
        </w:rPr>
        <w:t xml:space="preserve">Расчет кадастровой стоимости земельных участков </w:t>
      </w:r>
      <w:r w:rsidR="00356437" w:rsidRPr="00F562A8">
        <w:rPr>
          <w:rFonts w:ascii="Times New Roman" w:hAnsi="Times New Roman" w:cs="Times New Roman"/>
          <w:bCs/>
          <w:sz w:val="26"/>
          <w:szCs w:val="26"/>
        </w:rPr>
        <w:t xml:space="preserve">данной группы </w:t>
      </w:r>
      <w:r w:rsidR="00356437">
        <w:rPr>
          <w:rFonts w:ascii="Times New Roman" w:hAnsi="Times New Roman" w:cs="Times New Roman"/>
          <w:bCs/>
          <w:sz w:val="26"/>
          <w:szCs w:val="26"/>
        </w:rPr>
        <w:t xml:space="preserve">проведен </w:t>
      </w:r>
      <w:r w:rsidR="00356437" w:rsidRPr="00356437">
        <w:rPr>
          <w:rFonts w:ascii="Times New Roman" w:hAnsi="Times New Roman" w:cs="Times New Roman"/>
          <w:bCs/>
          <w:sz w:val="26"/>
          <w:szCs w:val="26"/>
        </w:rPr>
        <w:t>с применение</w:t>
      </w:r>
      <w:r w:rsidR="00DE45CF">
        <w:rPr>
          <w:rFonts w:ascii="Times New Roman" w:hAnsi="Times New Roman" w:cs="Times New Roman"/>
          <w:bCs/>
          <w:sz w:val="26"/>
          <w:szCs w:val="26"/>
        </w:rPr>
        <w:t>м</w:t>
      </w:r>
      <w:r w:rsidR="00356437" w:rsidRPr="00356437">
        <w:rPr>
          <w:rFonts w:ascii="Times New Roman" w:hAnsi="Times New Roman" w:cs="Times New Roman"/>
          <w:bCs/>
          <w:sz w:val="26"/>
          <w:szCs w:val="26"/>
        </w:rPr>
        <w:t xml:space="preserve"> средних </w:t>
      </w:r>
      <w:r w:rsidR="00356437">
        <w:rPr>
          <w:rFonts w:ascii="Times New Roman" w:hAnsi="Times New Roman" w:cs="Times New Roman"/>
          <w:bCs/>
          <w:sz w:val="26"/>
          <w:szCs w:val="26"/>
        </w:rPr>
        <w:t>удельных показателей кадастровой стоимости</w:t>
      </w:r>
      <w:r w:rsidR="00356437" w:rsidRPr="00356437">
        <w:rPr>
          <w:rFonts w:ascii="Times New Roman" w:hAnsi="Times New Roman" w:cs="Times New Roman"/>
          <w:bCs/>
          <w:sz w:val="26"/>
          <w:szCs w:val="26"/>
        </w:rPr>
        <w:t xml:space="preserve"> по </w:t>
      </w:r>
      <w:r w:rsidR="00356437">
        <w:rPr>
          <w:rFonts w:ascii="Times New Roman" w:hAnsi="Times New Roman" w:cs="Times New Roman"/>
          <w:bCs/>
          <w:sz w:val="26"/>
          <w:szCs w:val="26"/>
        </w:rPr>
        <w:t>сельским населенным пунктам</w:t>
      </w:r>
      <w:r w:rsidR="00356437" w:rsidRPr="00356437">
        <w:rPr>
          <w:rFonts w:ascii="Times New Roman" w:hAnsi="Times New Roman" w:cs="Times New Roman"/>
          <w:bCs/>
          <w:sz w:val="26"/>
          <w:szCs w:val="26"/>
        </w:rPr>
        <w:t xml:space="preserve"> района и по минимальным </w:t>
      </w:r>
      <w:r w:rsidR="00356437">
        <w:rPr>
          <w:rFonts w:ascii="Times New Roman" w:hAnsi="Times New Roman" w:cs="Times New Roman"/>
          <w:bCs/>
          <w:sz w:val="26"/>
          <w:szCs w:val="26"/>
        </w:rPr>
        <w:t xml:space="preserve">удельным показателям кадастровой стоимости </w:t>
      </w:r>
      <w:r w:rsidR="00DE45CF">
        <w:rPr>
          <w:rFonts w:ascii="Times New Roman" w:hAnsi="Times New Roman" w:cs="Times New Roman"/>
          <w:bCs/>
          <w:sz w:val="26"/>
          <w:szCs w:val="26"/>
        </w:rPr>
        <w:t xml:space="preserve">земельных участков, расположенных в </w:t>
      </w:r>
      <w:r w:rsidR="00356437">
        <w:rPr>
          <w:rFonts w:ascii="Times New Roman" w:hAnsi="Times New Roman" w:cs="Times New Roman"/>
          <w:bCs/>
          <w:sz w:val="26"/>
          <w:szCs w:val="26"/>
        </w:rPr>
        <w:t>городских населенных пунктов</w:t>
      </w:r>
      <w:r w:rsidR="00356437" w:rsidRPr="00356437">
        <w:rPr>
          <w:rFonts w:ascii="Times New Roman" w:hAnsi="Times New Roman" w:cs="Times New Roman"/>
          <w:bCs/>
          <w:sz w:val="26"/>
          <w:szCs w:val="26"/>
        </w:rPr>
        <w:t xml:space="preserve"> в группах ПРОМ и СХ Пром</w:t>
      </w:r>
      <w:r w:rsidR="00356437">
        <w:rPr>
          <w:rFonts w:ascii="Times New Roman" w:hAnsi="Times New Roman" w:cs="Times New Roman"/>
          <w:bCs/>
          <w:sz w:val="26"/>
          <w:szCs w:val="26"/>
        </w:rPr>
        <w:t>.</w:t>
      </w:r>
      <w:r w:rsidR="00356437" w:rsidRPr="00F562A8">
        <w:rPr>
          <w:rFonts w:ascii="Times New Roman" w:eastAsiaTheme="minorEastAsia" w:hAnsi="Times New Roman" w:cs="Times New Roman"/>
          <w:sz w:val="26"/>
          <w:szCs w:val="26"/>
        </w:rPr>
        <w:t xml:space="preserve"> </w:t>
      </w:r>
    </w:p>
    <w:p w14:paraId="74BB41E9" w14:textId="1BBBEA20" w:rsidR="00356437" w:rsidRPr="00F562A8" w:rsidRDefault="00B757FC" w:rsidP="00356437">
      <w:pPr>
        <w:spacing w:after="0" w:line="300" w:lineRule="auto"/>
        <w:ind w:firstLine="567"/>
        <w:jc w:val="both"/>
        <w:rPr>
          <w:rFonts w:ascii="Times New Roman" w:hAnsi="Times New Roman" w:cs="Times New Roman"/>
          <w:bCs/>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747A801B" w14:textId="77777777" w:rsidR="00840D51" w:rsidRDefault="00840D51" w:rsidP="00356437">
      <w:pPr>
        <w:spacing w:after="0" w:line="276" w:lineRule="auto"/>
        <w:ind w:firstLine="709"/>
        <w:jc w:val="both"/>
        <w:rPr>
          <w:rFonts w:ascii="Times New Roman" w:hAnsi="Times New Roman" w:cs="Times New Roman"/>
          <w:i/>
          <w:sz w:val="26"/>
          <w:szCs w:val="26"/>
        </w:rPr>
      </w:pPr>
    </w:p>
    <w:p w14:paraId="459E5A03" w14:textId="1064576C" w:rsidR="00AC249B" w:rsidRPr="00F562A8" w:rsidRDefault="00B13AC9" w:rsidP="002D4BEA">
      <w:pPr>
        <w:pStyle w:val="ab"/>
        <w:ind w:left="0"/>
        <w:jc w:val="center"/>
        <w:outlineLvl w:val="2"/>
        <w:rPr>
          <w:rFonts w:ascii="Times New Roman" w:hAnsi="Times New Roman" w:cs="Times New Roman"/>
          <w:i/>
          <w:sz w:val="26"/>
          <w:szCs w:val="26"/>
        </w:rPr>
      </w:pPr>
      <w:bookmarkStart w:id="262" w:name="_Toc110507003"/>
      <w:r w:rsidRPr="00F562A8">
        <w:rPr>
          <w:rFonts w:ascii="Times New Roman" w:hAnsi="Times New Roman" w:cs="Times New Roman"/>
          <w:i/>
          <w:sz w:val="26"/>
          <w:szCs w:val="26"/>
        </w:rPr>
        <w:t>3.6.6.</w:t>
      </w:r>
      <w:r w:rsidR="006F7A30">
        <w:rPr>
          <w:rFonts w:ascii="Times New Roman" w:hAnsi="Times New Roman" w:cs="Times New Roman"/>
          <w:i/>
          <w:sz w:val="26"/>
          <w:szCs w:val="26"/>
        </w:rPr>
        <w:t>12</w:t>
      </w:r>
      <w:r w:rsidRPr="00F562A8">
        <w:rPr>
          <w:rFonts w:ascii="Times New Roman" w:hAnsi="Times New Roman" w:cs="Times New Roman"/>
          <w:i/>
          <w:sz w:val="26"/>
          <w:szCs w:val="26"/>
        </w:rPr>
        <w:t xml:space="preserve">. </w:t>
      </w:r>
      <w:r w:rsidR="00AC249B" w:rsidRPr="00F562A8">
        <w:rPr>
          <w:rFonts w:ascii="Times New Roman" w:hAnsi="Times New Roman" w:cs="Times New Roman"/>
          <w:i/>
          <w:sz w:val="26"/>
          <w:szCs w:val="26"/>
        </w:rPr>
        <w:t xml:space="preserve">Расчет кадастровой стоимости земельных участков групп </w:t>
      </w:r>
      <w:r w:rsidR="00533CF0" w:rsidRPr="00983D64">
        <w:rPr>
          <w:rFonts w:ascii="Times New Roman" w:hAnsi="Times New Roman" w:cs="Times New Roman"/>
          <w:i/>
          <w:sz w:val="26"/>
          <w:szCs w:val="26"/>
        </w:rPr>
        <w:t>ПРОИЗВОДСТВО</w:t>
      </w:r>
      <w:r w:rsidR="00533CF0">
        <w:rPr>
          <w:rFonts w:ascii="Times New Roman" w:hAnsi="Times New Roman" w:cs="Times New Roman"/>
          <w:i/>
          <w:sz w:val="26"/>
          <w:szCs w:val="26"/>
        </w:rPr>
        <w:t>/</w:t>
      </w:r>
      <w:r w:rsidR="00F21B1B" w:rsidRPr="00F21B1B">
        <w:rPr>
          <w:rFonts w:ascii="Times New Roman" w:hAnsi="Times New Roman" w:cs="Times New Roman"/>
          <w:i/>
          <w:sz w:val="26"/>
          <w:szCs w:val="26"/>
        </w:rPr>
        <w:t>ПРОМ/СХ</w:t>
      </w:r>
      <w:bookmarkEnd w:id="262"/>
    </w:p>
    <w:p w14:paraId="6228FBE8" w14:textId="3AAFE641" w:rsidR="00840D51" w:rsidRPr="00F562A8" w:rsidRDefault="00840D51" w:rsidP="00840D51">
      <w:pPr>
        <w:spacing w:after="0" w:line="276" w:lineRule="auto"/>
        <w:ind w:firstLine="709"/>
        <w:jc w:val="both"/>
        <w:rPr>
          <w:rFonts w:ascii="Times New Roman"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p>
    <w:p w14:paraId="5954E2B3" w14:textId="2BF9C7BD" w:rsidR="00840D51" w:rsidRPr="00951013" w:rsidRDefault="00840D51" w:rsidP="00840D51">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В состав группы ПРОИЗВОДСТВО/ПРОМ/С</w:t>
      </w:r>
      <w:r w:rsidR="00A51BF9" w:rsidRPr="00951013">
        <w:rPr>
          <w:rFonts w:ascii="Times New Roman" w:hAnsi="Times New Roman" w:cs="Times New Roman"/>
          <w:sz w:val="26"/>
          <w:szCs w:val="26"/>
        </w:rPr>
        <w:t>Х</w:t>
      </w:r>
      <w:r w:rsidRPr="00951013">
        <w:rPr>
          <w:rFonts w:ascii="Times New Roman" w:hAnsi="Times New Roman" w:cs="Times New Roman"/>
          <w:sz w:val="26"/>
          <w:szCs w:val="26"/>
        </w:rPr>
        <w:t xml:space="preserve"> вошли следующие коды расчета видов использования: </w:t>
      </w:r>
      <w:r w:rsidR="008B78FD" w:rsidRPr="00951013">
        <w:rPr>
          <w:rFonts w:ascii="Times New Roman" w:hAnsi="Times New Roman" w:cs="Times New Roman"/>
          <w:sz w:val="26"/>
          <w:szCs w:val="26"/>
        </w:rPr>
        <w:t>01:087, 01:088, 01:090, 01:091, 01:092, 01:100, 01:101, 01:102, 01:110, 01:111, 01:112, 01:122, 01:132</w:t>
      </w:r>
      <w:r w:rsidRPr="00951013">
        <w:rPr>
          <w:rFonts w:ascii="Times New Roman" w:hAnsi="Times New Roman" w:cs="Times New Roman"/>
          <w:sz w:val="26"/>
          <w:szCs w:val="26"/>
        </w:rPr>
        <w:t>.</w:t>
      </w:r>
    </w:p>
    <w:p w14:paraId="2AFFC9F9" w14:textId="1A917CA7" w:rsidR="00F21B1B" w:rsidRPr="00951013"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 xml:space="preserve">При расчете кадастровой стоимости земельных участков группы </w:t>
      </w:r>
      <w:r w:rsidR="00533CF0" w:rsidRPr="00951013">
        <w:rPr>
          <w:rFonts w:ascii="Times New Roman" w:hAnsi="Times New Roman" w:cs="Times New Roman"/>
          <w:sz w:val="26"/>
          <w:szCs w:val="26"/>
        </w:rPr>
        <w:t>ПРОИЗВОДСТВО</w:t>
      </w:r>
      <w:r w:rsidR="00533CF0" w:rsidRPr="00951013">
        <w:rPr>
          <w:rFonts w:ascii="Times New Roman" w:hAnsi="Times New Roman" w:cs="Times New Roman"/>
          <w:i/>
          <w:sz w:val="26"/>
          <w:szCs w:val="26"/>
        </w:rPr>
        <w:t>/</w:t>
      </w:r>
      <w:r w:rsidRPr="00951013">
        <w:rPr>
          <w:rFonts w:ascii="Times New Roman" w:hAnsi="Times New Roman" w:cs="Times New Roman"/>
          <w:sz w:val="26"/>
          <w:szCs w:val="26"/>
        </w:rPr>
        <w:t>ПРОМ/СХ 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31F42C73" w14:textId="0E7DDB30" w:rsidR="00F21B1B" w:rsidRPr="00951013" w:rsidRDefault="00F77023"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Согласно п.45.1.1 Указаний</w:t>
      </w:r>
      <w:r w:rsidR="00F21B1B" w:rsidRPr="00951013">
        <w:rPr>
          <w:rFonts w:ascii="Times New Roman" w:eastAsia="Times New Roman" w:hAnsi="Times New Roman" w:cs="Times New Roman"/>
          <w:sz w:val="26"/>
          <w:szCs w:val="26"/>
          <w:lang w:eastAsia="ru-RU"/>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7F5A0D31"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Порядок подготовки и построения модели оценки кадастровой стоимости включает:</w:t>
      </w:r>
    </w:p>
    <w:p w14:paraId="3CB913B3"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1) определение перечня ценообразующих факторов, описывающих влияние местоположения объектов недвижимости как составного фактора;</w:t>
      </w:r>
    </w:p>
    <w:p w14:paraId="2335A075"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2) определение состава ценообразующих факторов, включаемых в статистическую модель, с учетом местоположения объектов недвижимости;</w:t>
      </w:r>
    </w:p>
    <w:p w14:paraId="5B596798"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3) определение общего вида функций, связывающих зависимую переменную с каждым из ценообразующих факторов;</w:t>
      </w:r>
    </w:p>
    <w:p w14:paraId="0FE809D0"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53CD3100"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5) анализ показателей качества статистической модели.</w:t>
      </w:r>
    </w:p>
    <w:p w14:paraId="01DDAEEF" w14:textId="74192267" w:rsidR="008345AC"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 xml:space="preserve">Для расчета кадастровой стоимости земельных участков, </w:t>
      </w:r>
      <w:r w:rsidR="00951013">
        <w:rPr>
          <w:rFonts w:ascii="Times New Roman" w:hAnsi="Times New Roman" w:cs="Times New Roman"/>
          <w:sz w:val="26"/>
          <w:szCs w:val="26"/>
        </w:rPr>
        <w:t xml:space="preserve">группы </w:t>
      </w:r>
      <w:r w:rsidR="00951013" w:rsidRPr="00951013">
        <w:rPr>
          <w:rFonts w:ascii="Times New Roman" w:hAnsi="Times New Roman" w:cs="Times New Roman"/>
          <w:sz w:val="26"/>
          <w:szCs w:val="26"/>
        </w:rPr>
        <w:t>ПРОИЗВОДСТВО/ПРОМ/СХ</w:t>
      </w:r>
      <w:r w:rsidRPr="00951013">
        <w:rPr>
          <w:rFonts w:ascii="Times New Roman" w:hAnsi="Times New Roman" w:cs="Times New Roman"/>
          <w:sz w:val="26"/>
          <w:szCs w:val="26"/>
        </w:rPr>
        <w:t xml:space="preserve">,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951013">
        <w:rPr>
          <w:rFonts w:ascii="Times New Roman" w:hAnsi="Times New Roman" w:cs="Times New Roman"/>
          <w:sz w:val="26"/>
          <w:szCs w:val="26"/>
          <w:lang w:val="en-US"/>
        </w:rPr>
        <w:t>Y</w:t>
      </w:r>
      <w:r w:rsidRPr="00951013">
        <w:rPr>
          <w:rFonts w:ascii="Times New Roman" w:hAnsi="Times New Roman" w:cs="Times New Roman"/>
          <w:sz w:val="26"/>
          <w:szCs w:val="26"/>
        </w:rPr>
        <w:t xml:space="preserve">- кадастровая стоимость и факторы, на него влияющие </w:t>
      </w:r>
      <w:r w:rsidRPr="00951013">
        <w:rPr>
          <w:rFonts w:ascii="Times New Roman" w:hAnsi="Times New Roman" w:cs="Times New Roman"/>
          <w:sz w:val="26"/>
          <w:szCs w:val="26"/>
          <w:lang w:val="en-US"/>
        </w:rPr>
        <w:t>X</w:t>
      </w:r>
      <w:r w:rsidRPr="00951013">
        <w:rPr>
          <w:rFonts w:ascii="Times New Roman" w:hAnsi="Times New Roman" w:cs="Times New Roman"/>
          <w:sz w:val="26"/>
          <w:szCs w:val="26"/>
          <w:vertAlign w:val="subscript"/>
          <w:lang w:val="en-US"/>
        </w:rPr>
        <w:t>i</w:t>
      </w:r>
      <w:r w:rsidRPr="00951013">
        <w:rPr>
          <w:rFonts w:ascii="Times New Roman" w:hAnsi="Times New Roman" w:cs="Times New Roman"/>
          <w:sz w:val="26"/>
          <w:szCs w:val="26"/>
        </w:rPr>
        <w:t xml:space="preserve">, где </w:t>
      </w:r>
      <w:r w:rsidRPr="00951013">
        <w:rPr>
          <w:rFonts w:ascii="Times New Roman" w:hAnsi="Times New Roman" w:cs="Times New Roman"/>
          <w:sz w:val="26"/>
          <w:szCs w:val="26"/>
          <w:lang w:val="en-US"/>
        </w:rPr>
        <w:t>i</w:t>
      </w:r>
      <w:r w:rsidRPr="00951013">
        <w:rPr>
          <w:rFonts w:ascii="Times New Roman" w:hAnsi="Times New Roman" w:cs="Times New Roman"/>
          <w:sz w:val="26"/>
          <w:szCs w:val="26"/>
        </w:rPr>
        <w:t xml:space="preserve">=1, …, 21 </w:t>
      </w:r>
      <w:r w:rsidR="00FA454A" w:rsidRPr="00F562A8">
        <w:rPr>
          <w:rFonts w:ascii="Times New Roman" w:hAnsi="Times New Roman" w:cs="Times New Roman"/>
          <w:sz w:val="26"/>
          <w:szCs w:val="26"/>
        </w:rPr>
        <w:t>представлены в таблиц</w:t>
      </w:r>
      <w:r w:rsidR="00FA454A">
        <w:rPr>
          <w:rFonts w:ascii="Times New Roman" w:hAnsi="Times New Roman" w:cs="Times New Roman"/>
          <w:sz w:val="26"/>
          <w:szCs w:val="26"/>
        </w:rPr>
        <w:t>ах</w:t>
      </w:r>
      <w:r w:rsidR="00FA454A" w:rsidRPr="00F562A8">
        <w:rPr>
          <w:rFonts w:ascii="Times New Roman" w:hAnsi="Times New Roman" w:cs="Times New Roman"/>
          <w:sz w:val="26"/>
          <w:szCs w:val="26"/>
        </w:rPr>
        <w:t xml:space="preserve"> </w:t>
      </w:r>
      <w:r w:rsidR="00FA454A" w:rsidRPr="00F562A8">
        <w:rPr>
          <w:rFonts w:ascii="Times New Roman" w:eastAsia="Times New Roman" w:hAnsi="Times New Roman" w:cs="Times New Roman"/>
          <w:sz w:val="26"/>
          <w:szCs w:val="26"/>
        </w:rPr>
        <w:t>3.</w:t>
      </w:r>
      <w:r w:rsidR="00FA454A">
        <w:rPr>
          <w:rFonts w:ascii="Times New Roman" w:eastAsia="Times New Roman" w:hAnsi="Times New Roman" w:cs="Times New Roman"/>
          <w:sz w:val="26"/>
          <w:szCs w:val="26"/>
        </w:rPr>
        <w:t>4 и 3.5, пунктов 3.4 и 3.5 соответственно</w:t>
      </w:r>
      <w:r w:rsidR="00FA454A" w:rsidRPr="00F562A8">
        <w:rPr>
          <w:rFonts w:ascii="Times New Roman" w:hAnsi="Times New Roman" w:cs="Times New Roman"/>
          <w:sz w:val="26"/>
          <w:szCs w:val="26"/>
        </w:rPr>
        <w:t>.</w:t>
      </w:r>
    </w:p>
    <w:p w14:paraId="5C70E848" w14:textId="5C3D7BED" w:rsidR="00F21B1B" w:rsidRPr="00951013"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728BE71F" w14:textId="77777777" w:rsidR="00F21B1B" w:rsidRPr="00951013"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7C2E8FB6" w14:textId="32763ED0" w:rsidR="00F21B1B" w:rsidRPr="00951013"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 xml:space="preserve">В данном случае таких факторов было выявлено </w:t>
      </w:r>
      <w:r w:rsidR="00951013">
        <w:rPr>
          <w:rFonts w:ascii="Times New Roman" w:hAnsi="Times New Roman" w:cs="Times New Roman"/>
          <w:sz w:val="26"/>
          <w:szCs w:val="26"/>
        </w:rPr>
        <w:t>2</w:t>
      </w:r>
      <w:r w:rsidRPr="00951013">
        <w:rPr>
          <w:rFonts w:ascii="Times New Roman" w:hAnsi="Times New Roman" w:cs="Times New Roman"/>
          <w:sz w:val="26"/>
          <w:szCs w:val="26"/>
        </w:rPr>
        <w:t>:</w:t>
      </w:r>
    </w:p>
    <w:p w14:paraId="214C3846" w14:textId="77777777" w:rsidR="00F21B1B" w:rsidRPr="00951013"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 наличие подъездных путей с твердым покрытием: Х</w:t>
      </w:r>
      <w:r w:rsidRPr="00951013">
        <w:rPr>
          <w:rFonts w:ascii="Times New Roman" w:hAnsi="Times New Roman" w:cs="Times New Roman"/>
          <w:sz w:val="26"/>
          <w:szCs w:val="26"/>
          <w:vertAlign w:val="subscript"/>
        </w:rPr>
        <w:t>0</w:t>
      </w:r>
      <w:r w:rsidRPr="00951013">
        <w:rPr>
          <w:rFonts w:ascii="Times New Roman" w:hAnsi="Times New Roman" w:cs="Times New Roman"/>
          <w:sz w:val="26"/>
          <w:szCs w:val="26"/>
        </w:rPr>
        <w:t>;</w:t>
      </w:r>
    </w:p>
    <w:p w14:paraId="0417925A" w14:textId="39E77096" w:rsidR="00F21B1B" w:rsidRPr="00951013"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 xml:space="preserve">- расстояние до </w:t>
      </w:r>
      <w:r w:rsidR="00951013" w:rsidRPr="00951013">
        <w:rPr>
          <w:rFonts w:ascii="Times New Roman" w:hAnsi="Times New Roman" w:cs="Times New Roman"/>
          <w:sz w:val="26"/>
          <w:szCs w:val="26"/>
        </w:rPr>
        <w:t>центра субъекта РФ (г. Воронеж)</w:t>
      </w:r>
      <w:r w:rsidRPr="00951013">
        <w:rPr>
          <w:rFonts w:ascii="Times New Roman" w:hAnsi="Times New Roman" w:cs="Times New Roman"/>
          <w:sz w:val="26"/>
          <w:szCs w:val="26"/>
        </w:rPr>
        <w:t>: Х</w:t>
      </w:r>
      <w:r w:rsidRPr="00951013">
        <w:rPr>
          <w:rFonts w:ascii="Times New Roman" w:hAnsi="Times New Roman" w:cs="Times New Roman"/>
          <w:sz w:val="26"/>
          <w:szCs w:val="26"/>
          <w:vertAlign w:val="subscript"/>
        </w:rPr>
        <w:t>1</w:t>
      </w:r>
      <w:r w:rsidR="00951013">
        <w:rPr>
          <w:rFonts w:ascii="Times New Roman" w:hAnsi="Times New Roman" w:cs="Times New Roman"/>
          <w:sz w:val="26"/>
          <w:szCs w:val="26"/>
        </w:rPr>
        <w:t>.</w:t>
      </w:r>
    </w:p>
    <w:p w14:paraId="245FA1AF" w14:textId="77777777" w:rsidR="00F21B1B" w:rsidRPr="00951013"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03CA6C9A" w14:textId="77777777" w:rsidR="00F21B1B" w:rsidRPr="00951013"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07B50200" w14:textId="77777777" w:rsidR="00F21B1B" w:rsidRPr="00951013"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На основании отбора факторов были построены множественные регрессионные двухфакторные модели:</w:t>
      </w:r>
    </w:p>
    <w:p w14:paraId="461A7A5D" w14:textId="77777777" w:rsidR="00F21B1B" w:rsidRPr="00951013" w:rsidRDefault="00F21B1B" w:rsidP="00F21B1B">
      <w:pPr>
        <w:spacing w:after="0" w:line="276" w:lineRule="auto"/>
        <w:ind w:firstLine="709"/>
        <w:jc w:val="both"/>
        <w:rPr>
          <w:rFonts w:ascii="Times New Roman" w:hAnsi="Times New Roman" w:cs="Times New Roman"/>
          <w:i/>
          <w:sz w:val="26"/>
          <w:szCs w:val="26"/>
        </w:rPr>
      </w:pPr>
      <w:r w:rsidRPr="00951013">
        <w:rPr>
          <w:rFonts w:ascii="Times New Roman" w:hAnsi="Times New Roman" w:cs="Times New Roman"/>
          <w:sz w:val="26"/>
          <w:szCs w:val="26"/>
        </w:rPr>
        <w:t xml:space="preserve">-аддитивная (линейная): </w:t>
      </w:r>
      <w:r w:rsidRPr="00951013">
        <w:rPr>
          <w:rFonts w:ascii="Times New Roman" w:hAnsi="Times New Roman" w:cs="Times New Roman"/>
          <w:noProof/>
          <w:position w:val="-8"/>
          <w:sz w:val="26"/>
          <w:szCs w:val="26"/>
          <w:lang w:eastAsia="ru-RU"/>
        </w:rPr>
        <w:drawing>
          <wp:inline distT="0" distB="0" distL="0" distR="0" wp14:anchorId="0C4F2F49" wp14:editId="54D5A90F">
            <wp:extent cx="2209800" cy="247650"/>
            <wp:effectExtent l="0" t="0" r="0" b="0"/>
            <wp:docPr id="737" name="Рисунок 737"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951013">
        <w:rPr>
          <w:rFonts w:ascii="Times New Roman" w:hAnsi="Times New Roman" w:cs="Times New Roman"/>
          <w:sz w:val="26"/>
          <w:szCs w:val="26"/>
        </w:rPr>
        <w:t>;</w:t>
      </w:r>
    </w:p>
    <w:p w14:paraId="00D51CC1" w14:textId="77777777" w:rsidR="00F21B1B" w:rsidRPr="00951013"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-мультипликативная:</w:t>
      </w:r>
      <w:r w:rsidRPr="00951013">
        <w:rPr>
          <w:rFonts w:ascii="Times New Roman" w:hAnsi="Times New Roman" w:cs="Times New Roman"/>
          <w:noProof/>
          <w:position w:val="-9"/>
          <w:sz w:val="26"/>
          <w:szCs w:val="26"/>
          <w:lang w:eastAsia="ru-RU"/>
        </w:rPr>
        <w:drawing>
          <wp:inline distT="0" distB="0" distL="0" distR="0" wp14:anchorId="23C37E5D" wp14:editId="1DD38E6E">
            <wp:extent cx="1352550" cy="266700"/>
            <wp:effectExtent l="0" t="0" r="0" b="0"/>
            <wp:docPr id="738" name="Рисунок 738"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951013">
        <w:rPr>
          <w:rFonts w:ascii="Times New Roman" w:hAnsi="Times New Roman" w:cs="Times New Roman"/>
          <w:sz w:val="26"/>
          <w:szCs w:val="26"/>
        </w:rPr>
        <w:t>;;</w:t>
      </w:r>
    </w:p>
    <w:p w14:paraId="0ABCB8DC" w14:textId="77777777" w:rsidR="00F21B1B" w:rsidRPr="00951013"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-экспоненциальная:</w:t>
      </w:r>
      <w:r w:rsidRPr="00951013">
        <w:rPr>
          <w:rFonts w:ascii="Times New Roman" w:hAnsi="Times New Roman" w:cs="Times New Roman"/>
          <w:noProof/>
          <w:position w:val="-9"/>
          <w:sz w:val="26"/>
          <w:szCs w:val="26"/>
          <w:lang w:eastAsia="ru-RU"/>
        </w:rPr>
        <w:drawing>
          <wp:inline distT="0" distB="0" distL="0" distR="0" wp14:anchorId="580BC0DD" wp14:editId="55F2D33F">
            <wp:extent cx="1266825" cy="266700"/>
            <wp:effectExtent l="0" t="0" r="0" b="0"/>
            <wp:docPr id="739" name="Рисунок 739"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951013">
        <w:rPr>
          <w:rFonts w:ascii="Times New Roman" w:hAnsi="Times New Roman" w:cs="Times New Roman"/>
          <w:sz w:val="26"/>
          <w:szCs w:val="26"/>
        </w:rPr>
        <w:t xml:space="preserve">, </w:t>
      </w:r>
    </w:p>
    <w:p w14:paraId="050C91DD" w14:textId="77777777" w:rsidR="00F21B1B" w:rsidRPr="00951013"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где Y - модельное значение зависимой переменной;</w:t>
      </w:r>
    </w:p>
    <w:p w14:paraId="4E448445"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X</w:t>
      </w:r>
      <w:r w:rsidRPr="00951013">
        <w:rPr>
          <w:rFonts w:ascii="Times New Roman" w:eastAsia="Times New Roman" w:hAnsi="Times New Roman" w:cs="Times New Roman"/>
          <w:sz w:val="26"/>
          <w:szCs w:val="26"/>
          <w:vertAlign w:val="subscript"/>
          <w:lang w:eastAsia="ru-RU"/>
        </w:rPr>
        <w:t>1</w:t>
      </w:r>
      <w:r w:rsidRPr="00951013">
        <w:rPr>
          <w:rFonts w:ascii="Times New Roman" w:eastAsia="Times New Roman" w:hAnsi="Times New Roman" w:cs="Times New Roman"/>
          <w:sz w:val="26"/>
          <w:szCs w:val="26"/>
          <w:lang w:eastAsia="ru-RU"/>
        </w:rPr>
        <w:t>, ..., X</w:t>
      </w:r>
      <w:r w:rsidRPr="00951013">
        <w:rPr>
          <w:rFonts w:ascii="Times New Roman" w:eastAsia="Times New Roman" w:hAnsi="Times New Roman" w:cs="Times New Roman"/>
          <w:sz w:val="26"/>
          <w:szCs w:val="26"/>
          <w:vertAlign w:val="subscript"/>
          <w:lang w:eastAsia="ru-RU"/>
        </w:rPr>
        <w:t>n</w:t>
      </w:r>
      <w:r w:rsidRPr="00951013">
        <w:rPr>
          <w:rFonts w:ascii="Times New Roman" w:eastAsia="Times New Roman" w:hAnsi="Times New Roman" w:cs="Times New Roman"/>
          <w:sz w:val="26"/>
          <w:szCs w:val="26"/>
          <w:lang w:eastAsia="ru-RU"/>
        </w:rPr>
        <w:t xml:space="preserve"> - ценообразующие факторы объектов недвижимости;</w:t>
      </w:r>
    </w:p>
    <w:p w14:paraId="35931702"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noProof/>
          <w:position w:val="-8"/>
          <w:sz w:val="26"/>
          <w:szCs w:val="26"/>
          <w:lang w:eastAsia="ru-RU"/>
        </w:rPr>
        <w:drawing>
          <wp:inline distT="0" distB="0" distL="0" distR="0" wp14:anchorId="5F9F067B" wp14:editId="72C87A6B">
            <wp:extent cx="209550" cy="247650"/>
            <wp:effectExtent l="0" t="0" r="0" b="0"/>
            <wp:docPr id="740" name="Рисунок 740"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951013">
        <w:rPr>
          <w:rFonts w:ascii="Times New Roman" w:eastAsia="Times New Roman" w:hAnsi="Times New Roman" w:cs="Times New Roman"/>
          <w:sz w:val="26"/>
          <w:szCs w:val="26"/>
          <w:lang w:eastAsia="ru-RU"/>
        </w:rPr>
        <w:t xml:space="preserve">, </w:t>
      </w:r>
      <w:r w:rsidRPr="00951013">
        <w:rPr>
          <w:rFonts w:ascii="Times New Roman" w:eastAsia="Times New Roman" w:hAnsi="Times New Roman" w:cs="Times New Roman"/>
          <w:noProof/>
          <w:position w:val="-8"/>
          <w:sz w:val="26"/>
          <w:szCs w:val="26"/>
          <w:lang w:eastAsia="ru-RU"/>
        </w:rPr>
        <w:drawing>
          <wp:inline distT="0" distB="0" distL="0" distR="0" wp14:anchorId="100D3DA1" wp14:editId="67020C8C">
            <wp:extent cx="200025" cy="247650"/>
            <wp:effectExtent l="0" t="0" r="9525" b="0"/>
            <wp:docPr id="741" name="Рисунок 741"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951013">
        <w:rPr>
          <w:rFonts w:ascii="Times New Roman" w:eastAsia="Times New Roman" w:hAnsi="Times New Roman" w:cs="Times New Roman"/>
          <w:sz w:val="26"/>
          <w:szCs w:val="26"/>
          <w:lang w:eastAsia="ru-RU"/>
        </w:rPr>
        <w:t xml:space="preserve">, ..., </w:t>
      </w:r>
      <w:r w:rsidRPr="00951013">
        <w:rPr>
          <w:rFonts w:ascii="Times New Roman" w:eastAsia="Times New Roman" w:hAnsi="Times New Roman" w:cs="Times New Roman"/>
          <w:noProof/>
          <w:position w:val="-8"/>
          <w:sz w:val="26"/>
          <w:szCs w:val="26"/>
          <w:lang w:eastAsia="ru-RU"/>
        </w:rPr>
        <w:drawing>
          <wp:inline distT="0" distB="0" distL="0" distR="0" wp14:anchorId="54A84680" wp14:editId="56A58F10">
            <wp:extent cx="209550" cy="247650"/>
            <wp:effectExtent l="0" t="0" r="0" b="0"/>
            <wp:docPr id="742" name="Рисунок 742"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951013">
        <w:rPr>
          <w:rFonts w:ascii="Times New Roman" w:eastAsia="Times New Roman" w:hAnsi="Times New Roman" w:cs="Times New Roman"/>
          <w:sz w:val="26"/>
          <w:szCs w:val="26"/>
          <w:lang w:eastAsia="ru-RU"/>
        </w:rPr>
        <w:t xml:space="preserve"> - коэффициенты модели.</w:t>
      </w:r>
    </w:p>
    <w:p w14:paraId="66E671E7" w14:textId="207C693E" w:rsidR="00F21B1B" w:rsidRPr="00951013" w:rsidRDefault="00951013" w:rsidP="00F21B1B">
      <w:pPr>
        <w:spacing w:after="0" w:line="276" w:lineRule="auto"/>
        <w:jc w:val="center"/>
        <w:rPr>
          <w:rFonts w:ascii="Times New Roman" w:hAnsi="Times New Roman" w:cs="Times New Roman"/>
          <w:sz w:val="24"/>
          <w:lang w:val="en-US"/>
        </w:rPr>
      </w:pPr>
      <w:r w:rsidRPr="00D802FB">
        <w:rPr>
          <w:noProof/>
          <w:lang w:eastAsia="ru-RU"/>
        </w:rPr>
        <w:drawing>
          <wp:inline distT="0" distB="0" distL="0" distR="0" wp14:anchorId="6E6F2712" wp14:editId="6C1A7C81">
            <wp:extent cx="5343526" cy="1043517"/>
            <wp:effectExtent l="0" t="0" r="0" b="444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5379675" cy="1050576"/>
                    </a:xfrm>
                    <a:prstGeom prst="rect">
                      <a:avLst/>
                    </a:prstGeom>
                  </pic:spPr>
                </pic:pic>
              </a:graphicData>
            </a:graphic>
          </wp:inline>
        </w:drawing>
      </w:r>
    </w:p>
    <w:p w14:paraId="31ACA461" w14:textId="04AAF6DD" w:rsidR="00F21B1B" w:rsidRPr="00951013" w:rsidRDefault="00F21B1B" w:rsidP="00F21B1B">
      <w:pPr>
        <w:spacing w:after="0" w:line="276" w:lineRule="auto"/>
        <w:ind w:firstLine="709"/>
        <w:jc w:val="center"/>
        <w:rPr>
          <w:rFonts w:ascii="Times New Roman" w:hAnsi="Times New Roman" w:cs="Times New Roman"/>
          <w:sz w:val="26"/>
          <w:szCs w:val="26"/>
        </w:rPr>
      </w:pPr>
      <w:r w:rsidRPr="00951013">
        <w:rPr>
          <w:rFonts w:ascii="Times New Roman" w:hAnsi="Times New Roman" w:cs="Times New Roman"/>
          <w:sz w:val="26"/>
          <w:szCs w:val="26"/>
        </w:rPr>
        <w:t>Рис. 3.6.</w:t>
      </w:r>
      <w:r w:rsidR="00A51BF9" w:rsidRPr="00951013">
        <w:rPr>
          <w:rFonts w:ascii="Times New Roman" w:hAnsi="Times New Roman" w:cs="Times New Roman"/>
          <w:sz w:val="26"/>
          <w:szCs w:val="26"/>
        </w:rPr>
        <w:t>6</w:t>
      </w:r>
      <w:r w:rsidRPr="00951013">
        <w:rPr>
          <w:rFonts w:ascii="Times New Roman" w:hAnsi="Times New Roman" w:cs="Times New Roman"/>
          <w:sz w:val="26"/>
          <w:szCs w:val="26"/>
        </w:rPr>
        <w:t>.</w:t>
      </w:r>
      <w:r w:rsidR="00A51BF9" w:rsidRPr="00951013">
        <w:rPr>
          <w:rFonts w:ascii="Times New Roman" w:hAnsi="Times New Roman" w:cs="Times New Roman"/>
          <w:sz w:val="26"/>
          <w:szCs w:val="26"/>
        </w:rPr>
        <w:t>1</w:t>
      </w:r>
      <w:r w:rsidRPr="00951013">
        <w:rPr>
          <w:rFonts w:ascii="Times New Roman" w:hAnsi="Times New Roman" w:cs="Times New Roman"/>
          <w:sz w:val="26"/>
          <w:szCs w:val="26"/>
        </w:rPr>
        <w:t>2.1 - Множественные регрессионные двухфакторные модели</w:t>
      </w:r>
    </w:p>
    <w:p w14:paraId="472AE193" w14:textId="1681D44C"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Согласно п.</w:t>
      </w:r>
      <w:r w:rsidR="00B11E8D" w:rsidRPr="00951013">
        <w:rPr>
          <w:rFonts w:ascii="Times New Roman" w:eastAsia="Times New Roman" w:hAnsi="Times New Roman" w:cs="Times New Roman"/>
          <w:sz w:val="26"/>
          <w:szCs w:val="26"/>
          <w:lang w:eastAsia="ru-RU"/>
        </w:rPr>
        <w:t>45.1.2</w:t>
      </w:r>
      <w:r w:rsidRPr="00951013">
        <w:rPr>
          <w:rFonts w:ascii="Times New Roman" w:eastAsia="Times New Roman" w:hAnsi="Times New Roman" w:cs="Times New Roman"/>
          <w:sz w:val="26"/>
          <w:szCs w:val="26"/>
          <w:lang w:eastAsia="ru-RU"/>
        </w:rPr>
        <w:t xml:space="preserve"> Указаний, анализ качества статистической модели включает в себя комплекс процедур, предусматривающий проверки, в том числе:</w:t>
      </w:r>
    </w:p>
    <w:p w14:paraId="531C910E"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09F598F6"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 обоснованности знаков при коэффициентах статистического уравнения, то есть их соответствия характеру влияния ценообразующих факторов;</w:t>
      </w:r>
    </w:p>
    <w:p w14:paraId="2DF9C4CC"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61FF9F1F"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 по t-критерию Стьюдента проверки значимости параметров моделей;</w:t>
      </w:r>
    </w:p>
    <w:p w14:paraId="26886060"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 по средней ошибке аппроксимации;</w:t>
      </w:r>
    </w:p>
    <w:p w14:paraId="58E5FCDE"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 по коэффициенту детерминации R</w:t>
      </w:r>
      <w:r w:rsidRPr="00951013">
        <w:rPr>
          <w:rFonts w:ascii="Times New Roman" w:eastAsia="Times New Roman" w:hAnsi="Times New Roman" w:cs="Times New Roman"/>
          <w:sz w:val="26"/>
          <w:szCs w:val="26"/>
          <w:vertAlign w:val="superscript"/>
          <w:lang w:eastAsia="ru-RU"/>
        </w:rPr>
        <w:t>2</w:t>
      </w:r>
      <w:r w:rsidRPr="00951013">
        <w:rPr>
          <w:rFonts w:ascii="Times New Roman" w:eastAsia="Times New Roman" w:hAnsi="Times New Roman" w:cs="Times New Roman"/>
          <w:sz w:val="26"/>
          <w:szCs w:val="26"/>
          <w:lang w:eastAsia="ru-RU"/>
        </w:rPr>
        <w:t>;</w:t>
      </w:r>
    </w:p>
    <w:p w14:paraId="0A22C11F"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 по расчетному значению F-критерия Фишера, обосновывающего адекватность регрессионной модели.</w:t>
      </w:r>
    </w:p>
    <w:p w14:paraId="72576806" w14:textId="27DC73AB" w:rsidR="00F21B1B" w:rsidRPr="00951013" w:rsidRDefault="00951013" w:rsidP="00F21B1B">
      <w:pPr>
        <w:widowControl w:val="0"/>
        <w:autoSpaceDE w:val="0"/>
        <w:autoSpaceDN w:val="0"/>
        <w:spacing w:after="0" w:line="276" w:lineRule="auto"/>
        <w:jc w:val="center"/>
        <w:rPr>
          <w:rFonts w:ascii="Times New Roman" w:eastAsia="Times New Roman" w:hAnsi="Times New Roman" w:cs="Times New Roman"/>
          <w:sz w:val="26"/>
          <w:szCs w:val="26"/>
          <w:lang w:eastAsia="ru-RU"/>
        </w:rPr>
      </w:pPr>
      <w:r w:rsidRPr="00D802FB">
        <w:rPr>
          <w:noProof/>
          <w:lang w:eastAsia="ru-RU"/>
        </w:rPr>
        <w:drawing>
          <wp:inline distT="0" distB="0" distL="0" distR="0" wp14:anchorId="521C9EE9" wp14:editId="2EA99205">
            <wp:extent cx="5762625" cy="1193210"/>
            <wp:effectExtent l="0" t="0" r="0" b="698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7"/>
                    <a:srcRect r="7589"/>
                    <a:stretch/>
                  </pic:blipFill>
                  <pic:spPr bwMode="auto">
                    <a:xfrm>
                      <a:off x="0" y="0"/>
                      <a:ext cx="5778471" cy="1196491"/>
                    </a:xfrm>
                    <a:prstGeom prst="rect">
                      <a:avLst/>
                    </a:prstGeom>
                    <a:ln>
                      <a:noFill/>
                    </a:ln>
                    <a:extLst>
                      <a:ext uri="{53640926-AAD7-44D8-BBD7-CCE9431645EC}">
                        <a14:shadowObscured xmlns:a14="http://schemas.microsoft.com/office/drawing/2010/main"/>
                      </a:ext>
                    </a:extLst>
                  </pic:spPr>
                </pic:pic>
              </a:graphicData>
            </a:graphic>
          </wp:inline>
        </w:drawing>
      </w:r>
    </w:p>
    <w:p w14:paraId="1E3E9D00" w14:textId="64DCDD8F" w:rsidR="00F21B1B" w:rsidRPr="00951013" w:rsidRDefault="00F21B1B" w:rsidP="00F21B1B">
      <w:pPr>
        <w:widowControl w:val="0"/>
        <w:autoSpaceDE w:val="0"/>
        <w:autoSpaceDN w:val="0"/>
        <w:spacing w:after="0" w:line="276" w:lineRule="auto"/>
        <w:ind w:firstLine="709"/>
        <w:jc w:val="center"/>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Рис.</w:t>
      </w:r>
      <w:r w:rsidRPr="00951013">
        <w:rPr>
          <w:rFonts w:ascii="Times New Roman" w:hAnsi="Times New Roman" w:cs="Times New Roman"/>
          <w:sz w:val="26"/>
          <w:szCs w:val="26"/>
        </w:rPr>
        <w:t xml:space="preserve"> 3.6.</w:t>
      </w:r>
      <w:r w:rsidR="00A51BF9" w:rsidRPr="00951013">
        <w:rPr>
          <w:rFonts w:ascii="Times New Roman" w:hAnsi="Times New Roman" w:cs="Times New Roman"/>
          <w:sz w:val="26"/>
          <w:szCs w:val="26"/>
        </w:rPr>
        <w:t>6</w:t>
      </w:r>
      <w:r w:rsidRPr="00951013">
        <w:rPr>
          <w:rFonts w:ascii="Times New Roman" w:hAnsi="Times New Roman" w:cs="Times New Roman"/>
          <w:sz w:val="26"/>
          <w:szCs w:val="26"/>
        </w:rPr>
        <w:t>.</w:t>
      </w:r>
      <w:r w:rsidR="00A51BF9" w:rsidRPr="00951013">
        <w:rPr>
          <w:rFonts w:ascii="Times New Roman" w:hAnsi="Times New Roman" w:cs="Times New Roman"/>
          <w:sz w:val="26"/>
          <w:szCs w:val="26"/>
        </w:rPr>
        <w:t>1</w:t>
      </w:r>
      <w:r w:rsidRPr="00951013">
        <w:rPr>
          <w:rFonts w:ascii="Times New Roman" w:hAnsi="Times New Roman" w:cs="Times New Roman"/>
          <w:sz w:val="26"/>
          <w:szCs w:val="26"/>
        </w:rPr>
        <w:t xml:space="preserve">2.2 </w:t>
      </w:r>
      <w:r w:rsidRPr="00951013">
        <w:rPr>
          <w:rFonts w:ascii="Times New Roman" w:eastAsia="Times New Roman" w:hAnsi="Times New Roman" w:cs="Times New Roman"/>
          <w:sz w:val="26"/>
          <w:szCs w:val="26"/>
          <w:lang w:eastAsia="ru-RU"/>
        </w:rPr>
        <w:t>- Значения t-критерия Стьюдента, средней ошибки аппроксимации, коэффициента детерминации R</w:t>
      </w:r>
      <w:r w:rsidRPr="00951013">
        <w:rPr>
          <w:rFonts w:ascii="Times New Roman" w:eastAsia="Times New Roman" w:hAnsi="Times New Roman" w:cs="Times New Roman"/>
          <w:sz w:val="26"/>
          <w:szCs w:val="26"/>
          <w:vertAlign w:val="superscript"/>
          <w:lang w:eastAsia="ru-RU"/>
        </w:rPr>
        <w:t>2</w:t>
      </w:r>
      <w:r w:rsidRPr="00951013">
        <w:rPr>
          <w:rFonts w:ascii="Times New Roman" w:eastAsia="Times New Roman" w:hAnsi="Times New Roman" w:cs="Times New Roman"/>
          <w:sz w:val="26"/>
          <w:szCs w:val="26"/>
          <w:lang w:eastAsia="ru-RU"/>
        </w:rPr>
        <w:t xml:space="preserve"> и F-критерия Фишера</w:t>
      </w:r>
    </w:p>
    <w:p w14:paraId="6319D55A"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Показатели R</w:t>
      </w:r>
      <w:r w:rsidRPr="00951013">
        <w:rPr>
          <w:rFonts w:ascii="Times New Roman" w:eastAsia="Times New Roman" w:hAnsi="Times New Roman" w:cs="Times New Roman"/>
          <w:sz w:val="26"/>
          <w:szCs w:val="26"/>
          <w:vertAlign w:val="superscript"/>
          <w:lang w:eastAsia="ru-RU"/>
        </w:rPr>
        <w:t>2</w:t>
      </w:r>
      <w:r w:rsidRPr="00951013">
        <w:rPr>
          <w:rFonts w:ascii="Times New Roman" w:eastAsia="Times New Roman" w:hAnsi="Times New Roman" w:cs="Times New Roman"/>
          <w:sz w:val="26"/>
          <w:szCs w:val="26"/>
          <w:lang w:eastAsia="ru-RU"/>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711ABB0E" w14:textId="77777777" w:rsidR="00F21B1B" w:rsidRPr="00951013" w:rsidRDefault="00F21B1B" w:rsidP="00F21B1B">
      <w:pPr>
        <w:widowControl w:val="0"/>
        <w:autoSpaceDE w:val="0"/>
        <w:autoSpaceDN w:val="0"/>
        <w:spacing w:after="0" w:line="276" w:lineRule="auto"/>
        <w:ind w:firstLine="709"/>
        <w:jc w:val="both"/>
        <w:rPr>
          <w:rFonts w:ascii="Times New Roman" w:eastAsia="Times New Roman" w:hAnsi="Times New Roman" w:cs="Times New Roman"/>
          <w:sz w:val="26"/>
          <w:szCs w:val="26"/>
          <w:lang w:eastAsia="ru-RU"/>
        </w:rPr>
      </w:pPr>
      <w:r w:rsidRPr="00951013">
        <w:rPr>
          <w:rFonts w:ascii="Times New Roman" w:eastAsia="Times New Roman" w:hAnsi="Times New Roman" w:cs="Times New Roman"/>
          <w:sz w:val="26"/>
          <w:szCs w:val="26"/>
          <w:lang w:eastAsia="ru-RU"/>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2986EE5D" w14:textId="77777777" w:rsidR="00F21B1B" w:rsidRPr="00951013"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951013">
        <w:rPr>
          <w:rFonts w:ascii="Times New Roman" w:hAnsi="Times New Roman" w:cs="Times New Roman"/>
          <w:sz w:val="26"/>
          <w:szCs w:val="26"/>
          <w:lang w:val="en-US"/>
        </w:rPr>
        <w:t>F</w:t>
      </w:r>
      <w:r w:rsidRPr="00951013">
        <w:rPr>
          <w:rFonts w:ascii="Times New Roman" w:hAnsi="Times New Roman" w:cs="Times New Roman"/>
          <w:sz w:val="26"/>
          <w:szCs w:val="26"/>
        </w:rPr>
        <w:t xml:space="preserve">-критерию Фишера. Статистики </w:t>
      </w:r>
      <w:r w:rsidRPr="00951013">
        <w:rPr>
          <w:rFonts w:ascii="Times New Roman" w:hAnsi="Times New Roman" w:cs="Times New Roman"/>
          <w:sz w:val="26"/>
          <w:szCs w:val="26"/>
          <w:lang w:val="en-US"/>
        </w:rPr>
        <w:t>F</w:t>
      </w:r>
      <w:r w:rsidRPr="00951013">
        <w:rPr>
          <w:rFonts w:ascii="Times New Roman" w:hAnsi="Times New Roman" w:cs="Times New Roman"/>
          <w:sz w:val="26"/>
          <w:szCs w:val="26"/>
        </w:rPr>
        <w:t>-критерия Фишера</w:t>
      </w:r>
      <w:r w:rsidRPr="00951013">
        <w:rPr>
          <w:rFonts w:ascii="Times New Roman" w:hAnsi="Times New Roman" w:cs="Times New Roman"/>
          <w:sz w:val="26"/>
          <w:szCs w:val="26"/>
          <w:lang w:val="en-US"/>
        </w:rPr>
        <w:t xml:space="preserve"> </w:t>
      </w:r>
      <w:r w:rsidRPr="00951013">
        <w:rPr>
          <w:rFonts w:ascii="Times New Roman" w:hAnsi="Times New Roman" w:cs="Times New Roman"/>
          <w:sz w:val="26"/>
          <w:szCs w:val="26"/>
        </w:rPr>
        <w:t xml:space="preserve">равны: </w:t>
      </w:r>
    </w:p>
    <w:p w14:paraId="38733D61" w14:textId="78231FAE" w:rsidR="00F21B1B" w:rsidRPr="00951013" w:rsidRDefault="00951013" w:rsidP="00F21B1B">
      <w:pPr>
        <w:spacing w:after="0" w:line="276" w:lineRule="auto"/>
        <w:jc w:val="center"/>
        <w:rPr>
          <w:rFonts w:ascii="Times New Roman" w:hAnsi="Times New Roman" w:cs="Times New Roman"/>
          <w:sz w:val="26"/>
          <w:szCs w:val="26"/>
          <w:lang w:val="en-US"/>
        </w:rPr>
      </w:pPr>
      <w:r w:rsidRPr="00D802FB">
        <w:rPr>
          <w:noProof/>
          <w:lang w:eastAsia="ru-RU"/>
        </w:rPr>
        <w:drawing>
          <wp:inline distT="0" distB="0" distL="0" distR="0" wp14:anchorId="10395A82" wp14:editId="48AE10AB">
            <wp:extent cx="2809875" cy="927953"/>
            <wp:effectExtent l="0" t="0" r="0" b="571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2817574" cy="930496"/>
                    </a:xfrm>
                    <a:prstGeom prst="rect">
                      <a:avLst/>
                    </a:prstGeom>
                  </pic:spPr>
                </pic:pic>
              </a:graphicData>
            </a:graphic>
          </wp:inline>
        </w:drawing>
      </w:r>
    </w:p>
    <w:p w14:paraId="380672AD" w14:textId="33B08054" w:rsidR="00F21B1B" w:rsidRPr="00951013" w:rsidRDefault="00F21B1B" w:rsidP="00F21B1B">
      <w:pPr>
        <w:spacing w:after="120" w:line="276" w:lineRule="auto"/>
        <w:jc w:val="center"/>
        <w:rPr>
          <w:rFonts w:ascii="Times New Roman" w:hAnsi="Times New Roman" w:cs="Times New Roman"/>
          <w:sz w:val="26"/>
          <w:szCs w:val="26"/>
        </w:rPr>
      </w:pPr>
      <w:r w:rsidRPr="00951013">
        <w:rPr>
          <w:rFonts w:ascii="Times New Roman" w:hAnsi="Times New Roman" w:cs="Times New Roman"/>
          <w:sz w:val="26"/>
          <w:szCs w:val="26"/>
        </w:rPr>
        <w:t>Рис. 3.6.</w:t>
      </w:r>
      <w:r w:rsidR="00A51BF9" w:rsidRPr="00951013">
        <w:rPr>
          <w:rFonts w:ascii="Times New Roman" w:hAnsi="Times New Roman" w:cs="Times New Roman"/>
          <w:sz w:val="26"/>
          <w:szCs w:val="26"/>
        </w:rPr>
        <w:t>6</w:t>
      </w:r>
      <w:r w:rsidRPr="00951013">
        <w:rPr>
          <w:rFonts w:ascii="Times New Roman" w:hAnsi="Times New Roman" w:cs="Times New Roman"/>
          <w:sz w:val="26"/>
          <w:szCs w:val="26"/>
        </w:rPr>
        <w:t>.</w:t>
      </w:r>
      <w:r w:rsidR="00A51BF9" w:rsidRPr="00951013">
        <w:rPr>
          <w:rFonts w:ascii="Times New Roman" w:hAnsi="Times New Roman" w:cs="Times New Roman"/>
          <w:sz w:val="26"/>
          <w:szCs w:val="26"/>
        </w:rPr>
        <w:t>1</w:t>
      </w:r>
      <w:r w:rsidRPr="00951013">
        <w:rPr>
          <w:rFonts w:ascii="Times New Roman" w:hAnsi="Times New Roman" w:cs="Times New Roman"/>
          <w:sz w:val="26"/>
          <w:szCs w:val="26"/>
        </w:rPr>
        <w:t xml:space="preserve">2.3 - Значения </w:t>
      </w:r>
      <w:r w:rsidRPr="00951013">
        <w:rPr>
          <w:rFonts w:ascii="Times New Roman" w:hAnsi="Times New Roman" w:cs="Times New Roman"/>
          <w:sz w:val="26"/>
          <w:szCs w:val="26"/>
          <w:lang w:val="en-US"/>
        </w:rPr>
        <w:t>F</w:t>
      </w:r>
      <w:r w:rsidRPr="00951013">
        <w:rPr>
          <w:rFonts w:ascii="Times New Roman" w:hAnsi="Times New Roman" w:cs="Times New Roman"/>
          <w:sz w:val="26"/>
          <w:szCs w:val="26"/>
        </w:rPr>
        <w:t>-критерия Фишера</w:t>
      </w:r>
    </w:p>
    <w:p w14:paraId="6A6A38C7" w14:textId="77777777" w:rsidR="00F21B1B" w:rsidRPr="00951013"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 xml:space="preserve">Из сравнения </w:t>
      </w:r>
      <w:r w:rsidRPr="00951013">
        <w:rPr>
          <w:rFonts w:ascii="Times New Roman" w:hAnsi="Times New Roman" w:cs="Times New Roman"/>
          <w:sz w:val="26"/>
          <w:szCs w:val="26"/>
          <w:lang w:val="en-US"/>
        </w:rPr>
        <w:t>F</w:t>
      </w:r>
      <w:r w:rsidRPr="00951013">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081113A5" w14:textId="212007B8" w:rsidR="00F21B1B" w:rsidRPr="00951013" w:rsidRDefault="00F21B1B" w:rsidP="00951013">
      <w:pPr>
        <w:ind w:firstLine="709"/>
        <w:jc w:val="both"/>
        <w:rPr>
          <w:rFonts w:ascii="Times New Roman" w:hAnsi="Times New Roman" w:cs="Times New Roman"/>
          <w:i/>
          <w:sz w:val="26"/>
          <w:szCs w:val="26"/>
        </w:rPr>
      </w:pPr>
      <w:r w:rsidRPr="00951013">
        <w:rPr>
          <w:rFonts w:ascii="Times New Roman" w:hAnsi="Times New Roman" w:cs="Times New Roman"/>
          <w:i/>
          <w:sz w:val="26"/>
          <w:szCs w:val="26"/>
        </w:rPr>
        <w:t xml:space="preserve">УПКС = </w:t>
      </w:r>
      <w:r w:rsidR="00951013" w:rsidRPr="00951013">
        <w:rPr>
          <w:rFonts w:ascii="Times New Roman" w:hAnsi="Times New Roman" w:cs="Times New Roman"/>
          <w:i/>
          <w:sz w:val="26"/>
          <w:szCs w:val="26"/>
        </w:rPr>
        <w:t xml:space="preserve">1.35750927679199*e^(+2.10179297627094*([_Наличие подъездных путей с твердым покрытием])+0.0103398863952136*((257.632+-32.708-_Расстояние до </w:t>
      </w:r>
      <w:bookmarkStart w:id="263" w:name="_Hlk106531424"/>
      <w:r w:rsidR="00951013" w:rsidRPr="00951013">
        <w:rPr>
          <w:rFonts w:ascii="Times New Roman" w:hAnsi="Times New Roman" w:cs="Times New Roman"/>
          <w:i/>
          <w:sz w:val="26"/>
          <w:szCs w:val="26"/>
        </w:rPr>
        <w:t>центра субъекта РФ (г. Воронеж)</w:t>
      </w:r>
      <w:bookmarkEnd w:id="263"/>
      <w:r w:rsidR="00951013" w:rsidRPr="00951013">
        <w:rPr>
          <w:rFonts w:ascii="Times New Roman" w:hAnsi="Times New Roman" w:cs="Times New Roman"/>
          <w:i/>
          <w:sz w:val="26"/>
          <w:szCs w:val="26"/>
        </w:rPr>
        <w:t>)))</w:t>
      </w:r>
    </w:p>
    <w:p w14:paraId="122B6342" w14:textId="77777777" w:rsidR="00F21B1B" w:rsidRPr="00951013"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 xml:space="preserve">Из сравнения </w:t>
      </w:r>
      <w:r w:rsidRPr="00951013">
        <w:rPr>
          <w:rFonts w:ascii="Times New Roman" w:hAnsi="Times New Roman" w:cs="Times New Roman"/>
          <w:sz w:val="26"/>
          <w:szCs w:val="26"/>
          <w:lang w:val="en-US"/>
        </w:rPr>
        <w:t>F</w:t>
      </w:r>
      <w:r w:rsidRPr="00951013">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258B84F0" w14:textId="69BA7F1C" w:rsidR="00F21B1B" w:rsidRPr="00951013" w:rsidRDefault="004C0EB4" w:rsidP="00F21B1B">
      <w:pPr>
        <w:spacing w:after="0" w:line="276" w:lineRule="auto"/>
        <w:jc w:val="center"/>
        <w:rPr>
          <w:rFonts w:ascii="Times New Roman" w:hAnsi="Times New Roman" w:cs="Times New Roman"/>
          <w:sz w:val="26"/>
          <w:szCs w:val="26"/>
        </w:rPr>
      </w:pPr>
      <w:r w:rsidRPr="00D802FB">
        <w:rPr>
          <w:noProof/>
          <w:lang w:eastAsia="ru-RU"/>
        </w:rPr>
        <w:drawing>
          <wp:inline distT="0" distB="0" distL="0" distR="0" wp14:anchorId="1D3F4C82" wp14:editId="6AD69177">
            <wp:extent cx="5805857" cy="3027983"/>
            <wp:effectExtent l="0" t="0" r="4445" b="127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5808490" cy="3029356"/>
                    </a:xfrm>
                    <a:prstGeom prst="rect">
                      <a:avLst/>
                    </a:prstGeom>
                  </pic:spPr>
                </pic:pic>
              </a:graphicData>
            </a:graphic>
          </wp:inline>
        </w:drawing>
      </w:r>
    </w:p>
    <w:p w14:paraId="7477BA3C" w14:textId="681E747E" w:rsidR="00F21B1B" w:rsidRPr="00951013" w:rsidRDefault="00F21B1B" w:rsidP="00F21B1B">
      <w:pPr>
        <w:spacing w:after="0" w:line="276" w:lineRule="auto"/>
        <w:jc w:val="center"/>
        <w:rPr>
          <w:rFonts w:ascii="Times New Roman" w:hAnsi="Times New Roman" w:cs="Times New Roman"/>
          <w:sz w:val="26"/>
          <w:szCs w:val="26"/>
        </w:rPr>
      </w:pPr>
      <w:r w:rsidRPr="00951013">
        <w:rPr>
          <w:rFonts w:ascii="Times New Roman" w:hAnsi="Times New Roman" w:cs="Times New Roman"/>
          <w:sz w:val="26"/>
          <w:szCs w:val="26"/>
        </w:rPr>
        <w:t>Рис. 3.6.</w:t>
      </w:r>
      <w:r w:rsidR="00A51BF9" w:rsidRPr="00951013">
        <w:rPr>
          <w:rFonts w:ascii="Times New Roman" w:hAnsi="Times New Roman" w:cs="Times New Roman"/>
          <w:sz w:val="26"/>
          <w:szCs w:val="26"/>
        </w:rPr>
        <w:t>6</w:t>
      </w:r>
      <w:r w:rsidRPr="00951013">
        <w:rPr>
          <w:rFonts w:ascii="Times New Roman" w:hAnsi="Times New Roman" w:cs="Times New Roman"/>
          <w:sz w:val="26"/>
          <w:szCs w:val="26"/>
        </w:rPr>
        <w:t>.</w:t>
      </w:r>
      <w:r w:rsidR="00A51BF9" w:rsidRPr="00951013">
        <w:rPr>
          <w:rFonts w:ascii="Times New Roman" w:hAnsi="Times New Roman" w:cs="Times New Roman"/>
          <w:sz w:val="26"/>
          <w:szCs w:val="26"/>
        </w:rPr>
        <w:t>1</w:t>
      </w:r>
      <w:r w:rsidRPr="00951013">
        <w:rPr>
          <w:rFonts w:ascii="Times New Roman" w:hAnsi="Times New Roman" w:cs="Times New Roman"/>
          <w:sz w:val="26"/>
          <w:szCs w:val="26"/>
        </w:rPr>
        <w:t>2.4 - Характеристика экспоненциальной модели и анализ качества выборки</w:t>
      </w:r>
    </w:p>
    <w:p w14:paraId="303081D7" w14:textId="7C1A4D5F" w:rsidR="00F21B1B" w:rsidRPr="00951013" w:rsidRDefault="00F21B1B" w:rsidP="00F21B1B">
      <w:pPr>
        <w:spacing w:after="0" w:line="276" w:lineRule="auto"/>
        <w:ind w:firstLine="709"/>
        <w:jc w:val="both"/>
        <w:rPr>
          <w:rFonts w:ascii="Times New Roman" w:hAnsi="Times New Roman" w:cs="Times New Roman"/>
          <w:sz w:val="26"/>
          <w:szCs w:val="26"/>
        </w:rPr>
      </w:pPr>
      <w:r w:rsidRPr="00951013">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w:t>
      </w:r>
      <w:r w:rsidR="004C0EB4">
        <w:rPr>
          <w:rFonts w:ascii="Times New Roman" w:hAnsi="Times New Roman" w:cs="Times New Roman"/>
          <w:sz w:val="26"/>
          <w:szCs w:val="26"/>
        </w:rPr>
        <w:t>ом</w:t>
      </w:r>
      <w:r w:rsidRPr="00951013">
        <w:rPr>
          <w:rFonts w:ascii="Times New Roman" w:hAnsi="Times New Roman" w:cs="Times New Roman"/>
          <w:sz w:val="26"/>
          <w:szCs w:val="26"/>
        </w:rPr>
        <w:t xml:space="preserve"> и кадастровой стоимостью обратная, то есть при росте этого фактора кадастровая стоимость уменьшается. Малые значения средней ошибки аппроксимации и среднеквадратической ошибки оценки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2DBD9213" w14:textId="20B81DF3" w:rsidR="00B422FF" w:rsidRDefault="00B757FC" w:rsidP="008004ED">
      <w:pPr>
        <w:spacing w:after="0" w:line="276" w:lineRule="auto"/>
        <w:ind w:firstLine="709"/>
        <w:jc w:val="both"/>
        <w:rPr>
          <w:rFonts w:ascii="Times New Roman" w:hAnsi="Times New Roman" w:cs="Times New Roman"/>
          <w:b/>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2/2.4</w:t>
      </w:r>
      <w:r w:rsidR="006B6B44">
        <w:rPr>
          <w:rFonts w:ascii="Times New Roman" w:eastAsiaTheme="minorEastAsia" w:hAnsi="Times New Roman" w:cs="Times New Roman"/>
          <w:sz w:val="26"/>
          <w:szCs w:val="26"/>
        </w:rPr>
        <w:t>/2.4.6.</w:t>
      </w:r>
      <w:r w:rsidR="00B422FF">
        <w:rPr>
          <w:rFonts w:ascii="Times New Roman" w:hAnsi="Times New Roman" w:cs="Times New Roman"/>
          <w:b/>
          <w:sz w:val="26"/>
          <w:szCs w:val="26"/>
        </w:rPr>
        <w:br w:type="page"/>
      </w:r>
    </w:p>
    <w:p w14:paraId="19BF3930" w14:textId="00613F14" w:rsidR="007B7562" w:rsidRPr="00F562A8" w:rsidRDefault="00A76705" w:rsidP="00A55966">
      <w:pPr>
        <w:pStyle w:val="ab"/>
        <w:spacing w:before="120" w:after="0" w:line="240" w:lineRule="auto"/>
        <w:ind w:left="0"/>
        <w:contextualSpacing w:val="0"/>
        <w:jc w:val="center"/>
        <w:outlineLvl w:val="1"/>
        <w:rPr>
          <w:rFonts w:ascii="Times New Roman" w:hAnsi="Times New Roman" w:cs="Times New Roman"/>
          <w:b/>
          <w:sz w:val="26"/>
          <w:szCs w:val="26"/>
        </w:rPr>
      </w:pPr>
      <w:bookmarkStart w:id="264" w:name="_Toc110507004"/>
      <w:r w:rsidRPr="00F562A8">
        <w:rPr>
          <w:rFonts w:ascii="Times New Roman" w:hAnsi="Times New Roman" w:cs="Times New Roman"/>
          <w:b/>
          <w:sz w:val="26"/>
          <w:szCs w:val="26"/>
        </w:rPr>
        <w:t xml:space="preserve">3.6.7. </w:t>
      </w:r>
      <w:r w:rsidR="00306BF5" w:rsidRPr="00F562A8">
        <w:rPr>
          <w:rFonts w:ascii="Times New Roman" w:hAnsi="Times New Roman" w:cs="Times New Roman"/>
          <w:b/>
          <w:sz w:val="26"/>
          <w:szCs w:val="26"/>
        </w:rPr>
        <w:t>Сегмент 7. «Транспорт»</w:t>
      </w:r>
      <w:bookmarkEnd w:id="264"/>
    </w:p>
    <w:p w14:paraId="2DDAE61F" w14:textId="77777777" w:rsidR="00A65F2E" w:rsidRPr="00F562A8" w:rsidRDefault="00A65F2E" w:rsidP="00A65F2E">
      <w:pPr>
        <w:pStyle w:val="ConsPlusNormal"/>
        <w:ind w:firstLine="540"/>
        <w:jc w:val="both"/>
        <w:rPr>
          <w:rFonts w:ascii="Times New Roman" w:hAnsi="Times New Roman" w:cs="Times New Roman"/>
          <w:b/>
          <w:sz w:val="16"/>
          <w:szCs w:val="16"/>
        </w:rPr>
      </w:pPr>
    </w:p>
    <w:p w14:paraId="54DA446D" w14:textId="22D9B693" w:rsidR="001B5D97" w:rsidRPr="00F562A8" w:rsidRDefault="001B5D97" w:rsidP="001B5D97">
      <w:pPr>
        <w:pStyle w:val="ab"/>
        <w:ind w:left="0"/>
        <w:jc w:val="center"/>
        <w:outlineLvl w:val="2"/>
        <w:rPr>
          <w:rFonts w:ascii="Times New Roman" w:hAnsi="Times New Roman" w:cs="Times New Roman"/>
          <w:i/>
          <w:sz w:val="26"/>
          <w:szCs w:val="26"/>
        </w:rPr>
      </w:pPr>
      <w:bookmarkStart w:id="265" w:name="_Toc110507005"/>
      <w:r w:rsidRPr="00DC7772">
        <w:rPr>
          <w:rFonts w:ascii="Times New Roman" w:hAnsi="Times New Roman" w:cs="Times New Roman"/>
          <w:i/>
          <w:sz w:val="26"/>
          <w:szCs w:val="26"/>
        </w:rPr>
        <w:t>3.6.</w:t>
      </w:r>
      <w:r w:rsidR="00B11E8D" w:rsidRPr="00DC7772">
        <w:rPr>
          <w:rFonts w:ascii="Times New Roman" w:hAnsi="Times New Roman" w:cs="Times New Roman"/>
          <w:i/>
          <w:sz w:val="26"/>
          <w:szCs w:val="26"/>
        </w:rPr>
        <w:t>7</w:t>
      </w:r>
      <w:r w:rsidRPr="00DC7772">
        <w:rPr>
          <w:rFonts w:ascii="Times New Roman" w:hAnsi="Times New Roman" w:cs="Times New Roman"/>
          <w:i/>
          <w:sz w:val="26"/>
          <w:szCs w:val="26"/>
        </w:rPr>
        <w:t>.1. Расчет</w:t>
      </w:r>
      <w:r w:rsidRPr="00F562A8">
        <w:rPr>
          <w:rFonts w:ascii="Times New Roman" w:hAnsi="Times New Roman" w:cs="Times New Roman"/>
          <w:i/>
          <w:sz w:val="26"/>
          <w:szCs w:val="26"/>
        </w:rPr>
        <w:t xml:space="preserve"> кадастровой стоимости земельных участков группы </w:t>
      </w:r>
      <w:r w:rsidRPr="001B5D97">
        <w:rPr>
          <w:rFonts w:ascii="Times New Roman" w:hAnsi="Times New Roman" w:cs="Times New Roman"/>
          <w:i/>
          <w:sz w:val="26"/>
          <w:szCs w:val="26"/>
        </w:rPr>
        <w:t>ТРАНСПОРТ</w:t>
      </w:r>
      <w:r w:rsidRPr="007B18C9">
        <w:rPr>
          <w:rFonts w:ascii="Times New Roman" w:hAnsi="Times New Roman" w:cs="Times New Roman"/>
          <w:i/>
          <w:sz w:val="26"/>
          <w:szCs w:val="26"/>
        </w:rPr>
        <w:t>/Воронеж</w:t>
      </w:r>
      <w:bookmarkEnd w:id="265"/>
    </w:p>
    <w:p w14:paraId="547FDFB0" w14:textId="47A40D48" w:rsidR="001B5D97" w:rsidRPr="00F562A8" w:rsidRDefault="001B5D97" w:rsidP="001B5D97">
      <w:pPr>
        <w:spacing w:after="0" w:line="276" w:lineRule="auto"/>
        <w:ind w:firstLine="709"/>
        <w:contextualSpacing/>
        <w:jc w:val="both"/>
        <w:rPr>
          <w:rFonts w:ascii="Times New Roman" w:eastAsia="Calibri" w:hAnsi="Times New Roman" w:cs="Times New Roman"/>
          <w:sz w:val="26"/>
          <w:szCs w:val="26"/>
        </w:rPr>
      </w:pPr>
      <w:r w:rsidRPr="00F562A8">
        <w:rPr>
          <w:rFonts w:ascii="Times New Roman" w:eastAsiaTheme="minorEastAsia" w:hAnsi="Times New Roman" w:cs="Times New Roman"/>
          <w:sz w:val="26"/>
          <w:szCs w:val="26"/>
        </w:rPr>
        <w:t>Перечень объектов оценки данной группы приведен в Приложении 2/2</w:t>
      </w:r>
      <w:r>
        <w:rPr>
          <w:rFonts w:ascii="Times New Roman" w:eastAsiaTheme="minorEastAsia" w:hAnsi="Times New Roman" w:cs="Times New Roman"/>
          <w:sz w:val="26"/>
          <w:szCs w:val="26"/>
        </w:rPr>
        <w:t>.</w:t>
      </w:r>
      <w:r w:rsidRPr="00F562A8">
        <w:rPr>
          <w:rFonts w:ascii="Times New Roman" w:eastAsiaTheme="minorEastAsia" w:hAnsi="Times New Roman" w:cs="Times New Roman"/>
          <w:sz w:val="26"/>
          <w:szCs w:val="26"/>
        </w:rPr>
        <w:t>4</w:t>
      </w:r>
      <w:r w:rsidR="006B6B44">
        <w:rPr>
          <w:rFonts w:ascii="Times New Roman" w:eastAsiaTheme="minorEastAsia" w:hAnsi="Times New Roman" w:cs="Times New Roman"/>
          <w:sz w:val="26"/>
          <w:szCs w:val="26"/>
        </w:rPr>
        <w:t>/2.4.7.</w:t>
      </w:r>
    </w:p>
    <w:p w14:paraId="41645869" w14:textId="52E12949" w:rsidR="00EC2386" w:rsidRDefault="00EC2386" w:rsidP="00EC2386">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EC2386">
        <w:rPr>
          <w:rFonts w:ascii="Times New Roman" w:hAnsi="Times New Roman" w:cs="Times New Roman"/>
          <w:sz w:val="26"/>
          <w:szCs w:val="26"/>
        </w:rPr>
        <w:t>ТРАНСПОРТ/Воронеж</w:t>
      </w:r>
      <w:r>
        <w:rPr>
          <w:rFonts w:ascii="Times New Roman" w:hAnsi="Times New Roman" w:cs="Times New Roman"/>
          <w:sz w:val="26"/>
          <w:szCs w:val="26"/>
        </w:rPr>
        <w:t xml:space="preserve"> 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1C26DA">
        <w:rPr>
          <w:rFonts w:ascii="Times New Roman" w:hAnsi="Times New Roman" w:cs="Times New Roman"/>
          <w:sz w:val="26"/>
          <w:szCs w:val="26"/>
        </w:rPr>
        <w:t xml:space="preserve"> </w:t>
      </w:r>
      <w:r w:rsidRPr="00EC2386">
        <w:rPr>
          <w:rFonts w:ascii="Times New Roman" w:hAnsi="Times New Roman" w:cs="Times New Roman"/>
          <w:sz w:val="26"/>
          <w:szCs w:val="26"/>
        </w:rPr>
        <w:t>07:000, 02:071, 04:021, 04:031, 04:090, 04:091, 04:092, 04:093, 04:094, 07:023, 07:024</w:t>
      </w:r>
      <w:r>
        <w:rPr>
          <w:rFonts w:ascii="Times New Roman" w:hAnsi="Times New Roman" w:cs="Times New Roman"/>
          <w:sz w:val="26"/>
          <w:szCs w:val="26"/>
        </w:rPr>
        <w:t>.</w:t>
      </w:r>
    </w:p>
    <w:p w14:paraId="48B557D3" w14:textId="76FC16C0" w:rsidR="001B5D97" w:rsidRPr="00F562A8" w:rsidRDefault="001B5D97" w:rsidP="001B5D97">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Pr="001B5D97">
        <w:rPr>
          <w:rFonts w:ascii="Times New Roman" w:hAnsi="Times New Roman" w:cs="Times New Roman"/>
          <w:sz w:val="26"/>
          <w:szCs w:val="26"/>
        </w:rPr>
        <w:t>ТРАНСПОРТ</w:t>
      </w:r>
      <w:r w:rsidRPr="00691A90">
        <w:rPr>
          <w:rFonts w:ascii="Times New Roman" w:hAnsi="Times New Roman" w:cs="Times New Roman"/>
          <w:sz w:val="26"/>
          <w:szCs w:val="26"/>
        </w:rPr>
        <w:t>/Воронеж</w:t>
      </w:r>
      <w:r w:rsidRPr="00F562A8">
        <w:rPr>
          <w:rFonts w:ascii="Times New Roman" w:hAnsi="Times New Roman" w:cs="Times New Roman"/>
          <w:sz w:val="26"/>
          <w:szCs w:val="26"/>
        </w:rPr>
        <w:t xml:space="preserve"> 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6FF72147" w14:textId="0339CEEE" w:rsidR="001B5D97" w:rsidRPr="00F562A8" w:rsidRDefault="00F77023" w:rsidP="001B5D97">
      <w:pPr>
        <w:pStyle w:val="ConsPlusNormal"/>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Согласно п.45.1.1 Указаний</w:t>
      </w:r>
      <w:r w:rsidR="001B5D97" w:rsidRPr="00F562A8">
        <w:rPr>
          <w:rFonts w:ascii="Times New Roman" w:hAnsi="Times New Roman" w:cs="Times New Roman"/>
          <w:sz w:val="26"/>
          <w:szCs w:val="26"/>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76C482A5"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6BD4FCD5"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64F4722F"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10CD6A31"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336F899B"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58FED4CD"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50BBBFA2" w14:textId="77777777" w:rsidR="00FA454A" w:rsidRDefault="001B5D97" w:rsidP="00FA454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г.о.г Воронеж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12 </w:t>
      </w:r>
      <w:r w:rsidR="00FA454A" w:rsidRPr="00F562A8">
        <w:rPr>
          <w:rFonts w:ascii="Times New Roman" w:hAnsi="Times New Roman" w:cs="Times New Roman"/>
          <w:sz w:val="26"/>
          <w:szCs w:val="26"/>
        </w:rPr>
        <w:t>представлены в таблиц</w:t>
      </w:r>
      <w:r w:rsidR="00FA454A">
        <w:rPr>
          <w:rFonts w:ascii="Times New Roman" w:hAnsi="Times New Roman" w:cs="Times New Roman"/>
          <w:sz w:val="26"/>
          <w:szCs w:val="26"/>
        </w:rPr>
        <w:t>ах</w:t>
      </w:r>
      <w:r w:rsidR="00FA454A" w:rsidRPr="00F562A8">
        <w:rPr>
          <w:rFonts w:ascii="Times New Roman" w:hAnsi="Times New Roman" w:cs="Times New Roman"/>
          <w:sz w:val="26"/>
          <w:szCs w:val="26"/>
        </w:rPr>
        <w:t xml:space="preserve"> </w:t>
      </w:r>
      <w:r w:rsidR="00FA454A" w:rsidRPr="00F562A8">
        <w:rPr>
          <w:rFonts w:ascii="Times New Roman" w:eastAsia="Times New Roman" w:hAnsi="Times New Roman" w:cs="Times New Roman"/>
          <w:sz w:val="26"/>
          <w:szCs w:val="26"/>
        </w:rPr>
        <w:t>3.</w:t>
      </w:r>
      <w:r w:rsidR="00FA454A">
        <w:rPr>
          <w:rFonts w:ascii="Times New Roman" w:eastAsia="Times New Roman" w:hAnsi="Times New Roman" w:cs="Times New Roman"/>
          <w:sz w:val="26"/>
          <w:szCs w:val="26"/>
        </w:rPr>
        <w:t>4 и 3.5, пунктов 3.4 и 3.5 соответственно</w:t>
      </w:r>
      <w:r w:rsidR="00FA454A" w:rsidRPr="00F562A8">
        <w:rPr>
          <w:rFonts w:ascii="Times New Roman" w:hAnsi="Times New Roman" w:cs="Times New Roman"/>
          <w:sz w:val="26"/>
          <w:szCs w:val="26"/>
        </w:rPr>
        <w:t>.</w:t>
      </w:r>
    </w:p>
    <w:p w14:paraId="6801DB17" w14:textId="510CB4D1" w:rsidR="001B5D97" w:rsidRPr="00F562A8" w:rsidRDefault="001B5D97" w:rsidP="001B5D97">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2A3EF532" w14:textId="77777777" w:rsidR="001B5D97" w:rsidRPr="00F562A8" w:rsidRDefault="001B5D97" w:rsidP="001B5D97">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4C5151F6" w14:textId="4687F567" w:rsidR="001B5D97" w:rsidRPr="00F562A8" w:rsidRDefault="001B5D97" w:rsidP="001B5D97">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966104">
        <w:rPr>
          <w:rFonts w:ascii="Times New Roman" w:hAnsi="Times New Roman" w:cs="Times New Roman"/>
          <w:sz w:val="26"/>
          <w:szCs w:val="26"/>
        </w:rPr>
        <w:t>2</w:t>
      </w:r>
      <w:r w:rsidRPr="00F562A8">
        <w:rPr>
          <w:rFonts w:ascii="Times New Roman" w:hAnsi="Times New Roman" w:cs="Times New Roman"/>
          <w:sz w:val="26"/>
          <w:szCs w:val="26"/>
        </w:rPr>
        <w:t>:</w:t>
      </w:r>
    </w:p>
    <w:p w14:paraId="66C21931" w14:textId="06EF6912" w:rsidR="001B5D97" w:rsidRPr="00F562A8" w:rsidRDefault="001B5D97" w:rsidP="001B5D97">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расстояние объекта до </w:t>
      </w:r>
      <w:r w:rsidR="00966104" w:rsidRPr="00966104">
        <w:rPr>
          <w:rFonts w:ascii="Times New Roman" w:hAnsi="Times New Roman" w:cs="Times New Roman"/>
          <w:sz w:val="26"/>
          <w:szCs w:val="26"/>
        </w:rPr>
        <w:t>остановок общественного транспорта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3F4D49F0" w14:textId="3FA188A5" w:rsidR="001B5D97" w:rsidRDefault="001B5D97" w:rsidP="001B5D97">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р</w:t>
      </w:r>
      <w:r w:rsidRPr="004055F0">
        <w:rPr>
          <w:rFonts w:ascii="Times New Roman" w:hAnsi="Times New Roman" w:cs="Times New Roman"/>
          <w:sz w:val="26"/>
          <w:szCs w:val="26"/>
        </w:rPr>
        <w:t>асстояние объекта до центра населенного пункта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1</w:t>
      </w:r>
      <w:r w:rsidR="00966104">
        <w:rPr>
          <w:rFonts w:ascii="Times New Roman" w:hAnsi="Times New Roman" w:cs="Times New Roman"/>
          <w:sz w:val="26"/>
          <w:szCs w:val="26"/>
        </w:rPr>
        <w:t>.</w:t>
      </w:r>
    </w:p>
    <w:p w14:paraId="731E4AD3" w14:textId="77777777" w:rsidR="001B5D97" w:rsidRPr="00F562A8" w:rsidRDefault="001B5D97" w:rsidP="001B5D97">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6C2985B9" w14:textId="77777777" w:rsidR="001B5D97" w:rsidRPr="00F562A8" w:rsidRDefault="001B5D97" w:rsidP="001B5D97">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0FFBFAD4" w14:textId="77777777" w:rsidR="001B5D97" w:rsidRPr="00F562A8" w:rsidRDefault="001B5D97" w:rsidP="001B5D97">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На основании отбора факторов были построены множественные регрессионные двухфакторные модели:</w:t>
      </w:r>
    </w:p>
    <w:p w14:paraId="50D24ACA" w14:textId="77777777" w:rsidR="001B5D97" w:rsidRPr="00F562A8" w:rsidRDefault="001B5D97" w:rsidP="001B5D97">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2B9A67ED" wp14:editId="5D91B2AE">
            <wp:extent cx="2209800" cy="247650"/>
            <wp:effectExtent l="0" t="0" r="0" b="0"/>
            <wp:docPr id="797" name="Рисунок 797"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2E8C14EE" w14:textId="77777777" w:rsidR="001B5D97" w:rsidRPr="00F562A8" w:rsidRDefault="001B5D97" w:rsidP="001B5D97">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3980B745" wp14:editId="1A03A7C9">
            <wp:extent cx="1352550" cy="266700"/>
            <wp:effectExtent l="0" t="0" r="0" b="0"/>
            <wp:docPr id="798" name="Рисунок 798"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4F0BB75E" w14:textId="77777777" w:rsidR="001B5D97" w:rsidRPr="00F562A8" w:rsidRDefault="001B5D97" w:rsidP="001B5D97">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19489C12" wp14:editId="11980E0C">
            <wp:extent cx="1266825" cy="266700"/>
            <wp:effectExtent l="0" t="0" r="0" b="0"/>
            <wp:docPr id="799" name="Рисунок 799"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0F8660E0" w14:textId="77777777" w:rsidR="001B5D97" w:rsidRPr="00F562A8" w:rsidRDefault="001B5D97" w:rsidP="001B5D97">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313F2F0B"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5FFC7F47"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115F9BFB" wp14:editId="1BEFB9D0">
            <wp:extent cx="209550" cy="247650"/>
            <wp:effectExtent l="0" t="0" r="0" b="0"/>
            <wp:docPr id="800" name="Рисунок 800"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56B81AEE" wp14:editId="6FEE0967">
            <wp:extent cx="200025" cy="247650"/>
            <wp:effectExtent l="0" t="0" r="9525" b="0"/>
            <wp:docPr id="801" name="Рисунок 801"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19EBB8AB" wp14:editId="03184287">
            <wp:extent cx="209550" cy="247650"/>
            <wp:effectExtent l="0" t="0" r="0" b="0"/>
            <wp:docPr id="802" name="Рисунок 802"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74ABAF2A" w14:textId="0196398D" w:rsidR="001B5D97" w:rsidRPr="00F562A8" w:rsidRDefault="00B43607" w:rsidP="001B5D97">
      <w:pPr>
        <w:spacing w:after="0" w:line="276" w:lineRule="auto"/>
        <w:jc w:val="center"/>
        <w:rPr>
          <w:rFonts w:ascii="Times New Roman" w:hAnsi="Times New Roman" w:cs="Times New Roman"/>
          <w:lang w:val="en-US"/>
        </w:rPr>
      </w:pPr>
      <w:r w:rsidRPr="004256FB">
        <w:rPr>
          <w:noProof/>
          <w:lang w:eastAsia="ru-RU"/>
        </w:rPr>
        <w:drawing>
          <wp:inline distT="0" distB="0" distL="0" distR="0" wp14:anchorId="714874D1" wp14:editId="68CC52ED">
            <wp:extent cx="5939790" cy="841920"/>
            <wp:effectExtent l="0" t="0" r="381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5939790" cy="841920"/>
                    </a:xfrm>
                    <a:prstGeom prst="rect">
                      <a:avLst/>
                    </a:prstGeom>
                  </pic:spPr>
                </pic:pic>
              </a:graphicData>
            </a:graphic>
          </wp:inline>
        </w:drawing>
      </w:r>
    </w:p>
    <w:p w14:paraId="796BDF6E" w14:textId="67F39762" w:rsidR="001B5D97" w:rsidRPr="00F562A8" w:rsidRDefault="001B5D97" w:rsidP="001B5D97">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EC2386">
        <w:rPr>
          <w:rFonts w:ascii="Times New Roman" w:hAnsi="Times New Roman" w:cs="Times New Roman"/>
          <w:sz w:val="26"/>
          <w:szCs w:val="26"/>
        </w:rPr>
        <w:t>7</w:t>
      </w:r>
      <w:r w:rsidRPr="00F562A8">
        <w:rPr>
          <w:rFonts w:ascii="Times New Roman" w:hAnsi="Times New Roman" w:cs="Times New Roman"/>
          <w:sz w:val="26"/>
          <w:szCs w:val="26"/>
        </w:rPr>
        <w:t>.1</w:t>
      </w:r>
      <w:r>
        <w:rPr>
          <w:rFonts w:ascii="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двухфакторные модели</w:t>
      </w:r>
    </w:p>
    <w:p w14:paraId="3A6784DC" w14:textId="6CDA39CD"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3060B62D"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0939B66A"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0617C0BA"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5849463B"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0E183B26"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52A1E1FE"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2767A82A"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4EAB1365" w14:textId="7C508079" w:rsidR="001B5D97" w:rsidRPr="00F562A8" w:rsidRDefault="00B43607" w:rsidP="001B5D97">
      <w:pPr>
        <w:spacing w:after="0" w:line="276" w:lineRule="auto"/>
        <w:jc w:val="center"/>
        <w:rPr>
          <w:rFonts w:ascii="Times New Roman" w:hAnsi="Times New Roman" w:cs="Times New Roman"/>
        </w:rPr>
      </w:pPr>
      <w:r w:rsidRPr="004256FB">
        <w:rPr>
          <w:noProof/>
          <w:lang w:eastAsia="ru-RU"/>
        </w:rPr>
        <w:drawing>
          <wp:inline distT="0" distB="0" distL="0" distR="0" wp14:anchorId="4B949235" wp14:editId="031A5950">
            <wp:extent cx="5979841" cy="1257300"/>
            <wp:effectExtent l="0" t="0" r="1905"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1"/>
                    <a:srcRect r="8229"/>
                    <a:stretch/>
                  </pic:blipFill>
                  <pic:spPr bwMode="auto">
                    <a:xfrm>
                      <a:off x="0" y="0"/>
                      <a:ext cx="5986402" cy="1258680"/>
                    </a:xfrm>
                    <a:prstGeom prst="rect">
                      <a:avLst/>
                    </a:prstGeom>
                    <a:ln>
                      <a:noFill/>
                    </a:ln>
                    <a:extLst>
                      <a:ext uri="{53640926-AAD7-44D8-BBD7-CCE9431645EC}">
                        <a14:shadowObscured xmlns:a14="http://schemas.microsoft.com/office/drawing/2010/main"/>
                      </a:ext>
                    </a:extLst>
                  </pic:spPr>
                </pic:pic>
              </a:graphicData>
            </a:graphic>
          </wp:inline>
        </w:drawing>
      </w:r>
    </w:p>
    <w:p w14:paraId="1413F61E" w14:textId="295EE725" w:rsidR="001B5D97" w:rsidRPr="00F562A8" w:rsidRDefault="001B5D97" w:rsidP="001B5D97">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EC2386">
        <w:rPr>
          <w:rFonts w:ascii="Times New Roman" w:hAnsi="Times New Roman" w:cs="Times New Roman"/>
          <w:sz w:val="26"/>
          <w:szCs w:val="26"/>
        </w:rPr>
        <w:t>7</w:t>
      </w:r>
      <w:r w:rsidRPr="00F562A8">
        <w:rPr>
          <w:rFonts w:ascii="Times New Roman" w:hAnsi="Times New Roman" w:cs="Times New Roman"/>
          <w:sz w:val="26"/>
          <w:szCs w:val="26"/>
        </w:rPr>
        <w:t>.</w:t>
      </w:r>
      <w:r>
        <w:rPr>
          <w:rFonts w:ascii="Times New Roman" w:hAnsi="Times New Roman" w:cs="Times New Roman"/>
          <w:sz w:val="26"/>
          <w:szCs w:val="26"/>
        </w:rPr>
        <w:t>1.</w:t>
      </w:r>
      <w:r w:rsidRPr="00F562A8">
        <w:rPr>
          <w:rFonts w:ascii="Times New Roman" w:hAnsi="Times New Roman" w:cs="Times New Roman"/>
          <w:sz w:val="26"/>
          <w:szCs w:val="26"/>
        </w:rPr>
        <w:t>2 -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5CD58A01"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071C2F8B" w14:textId="77777777" w:rsidR="001B5D97" w:rsidRPr="00F562A8" w:rsidRDefault="001B5D97" w:rsidP="001B5D97">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5F589F8A" w14:textId="77777777" w:rsidR="001B5D97" w:rsidRPr="00F562A8" w:rsidRDefault="001B5D97" w:rsidP="001B5D97">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65ED6C3D" w14:textId="73F77A7F" w:rsidR="001B5D97" w:rsidRPr="00F562A8" w:rsidRDefault="00966104" w:rsidP="001B5D97">
      <w:pPr>
        <w:spacing w:after="0" w:line="276" w:lineRule="auto"/>
        <w:jc w:val="center"/>
        <w:rPr>
          <w:rFonts w:ascii="Times New Roman" w:hAnsi="Times New Roman" w:cs="Times New Roman"/>
          <w:lang w:val="en-US"/>
        </w:rPr>
      </w:pPr>
      <w:r w:rsidRPr="00CB344E">
        <w:rPr>
          <w:noProof/>
          <w:lang w:eastAsia="ru-RU"/>
        </w:rPr>
        <w:drawing>
          <wp:inline distT="0" distB="0" distL="0" distR="0" wp14:anchorId="3CD1DE50" wp14:editId="56C47773">
            <wp:extent cx="2617997" cy="888977"/>
            <wp:effectExtent l="0" t="0" r="0" b="6985"/>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2642180" cy="897189"/>
                    </a:xfrm>
                    <a:prstGeom prst="rect">
                      <a:avLst/>
                    </a:prstGeom>
                  </pic:spPr>
                </pic:pic>
              </a:graphicData>
            </a:graphic>
          </wp:inline>
        </w:drawing>
      </w:r>
    </w:p>
    <w:p w14:paraId="605E4AB5" w14:textId="0F265F1A" w:rsidR="001B5D97" w:rsidRPr="00F562A8" w:rsidRDefault="001B5D97" w:rsidP="001B5D97">
      <w:pPr>
        <w:spacing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 3.6.</w:t>
      </w:r>
      <w:r w:rsidR="00EC2386">
        <w:rPr>
          <w:rFonts w:ascii="Times New Roman" w:hAnsi="Times New Roman" w:cs="Times New Roman"/>
          <w:sz w:val="26"/>
          <w:szCs w:val="26"/>
        </w:rPr>
        <w:t>7</w:t>
      </w:r>
      <w:r w:rsidRPr="00F562A8">
        <w:rPr>
          <w:rFonts w:ascii="Times New Roman" w:hAnsi="Times New Roman" w:cs="Times New Roman"/>
          <w:sz w:val="26"/>
          <w:szCs w:val="26"/>
        </w:rPr>
        <w:t>.</w:t>
      </w:r>
      <w:r>
        <w:rPr>
          <w:rFonts w:ascii="Times New Roman" w:hAnsi="Times New Roman" w:cs="Times New Roman"/>
          <w:sz w:val="26"/>
          <w:szCs w:val="26"/>
        </w:rPr>
        <w:t>1.</w:t>
      </w:r>
      <w:r w:rsidRPr="00F562A8">
        <w:rPr>
          <w:rFonts w:ascii="Times New Roman" w:hAnsi="Times New Roman" w:cs="Times New Roman"/>
          <w:sz w:val="26"/>
          <w:szCs w:val="26"/>
        </w:rPr>
        <w:t>3 - Значения F-критерия Фишера</w:t>
      </w:r>
    </w:p>
    <w:p w14:paraId="1C64E6D6" w14:textId="77777777" w:rsidR="001B5D97" w:rsidRPr="00F562A8" w:rsidRDefault="001B5D97" w:rsidP="001B5D97">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09523171" w14:textId="73E2B8D9" w:rsidR="00B43607" w:rsidRPr="004256FB" w:rsidRDefault="001B5D97" w:rsidP="00B43607">
      <w:pPr>
        <w:spacing w:after="0" w:line="240" w:lineRule="auto"/>
        <w:ind w:firstLine="709"/>
        <w:jc w:val="both"/>
        <w:rPr>
          <w:rFonts w:ascii="Arial" w:eastAsia="Times New Roman" w:hAnsi="Arial" w:cs="Arial"/>
          <w:sz w:val="20"/>
          <w:szCs w:val="20"/>
          <w:lang w:eastAsia="ru-RU"/>
        </w:rPr>
      </w:pPr>
      <w:r w:rsidRPr="00F562A8">
        <w:rPr>
          <w:rFonts w:ascii="Times New Roman" w:hAnsi="Times New Roman" w:cs="Times New Roman"/>
          <w:i/>
          <w:sz w:val="26"/>
          <w:szCs w:val="26"/>
        </w:rPr>
        <w:t xml:space="preserve">УПКС = </w:t>
      </w:r>
      <w:r w:rsidR="00B43607" w:rsidRPr="00B43607">
        <w:rPr>
          <w:rFonts w:ascii="Times New Roman" w:hAnsi="Times New Roman" w:cs="Times New Roman"/>
          <w:i/>
          <w:sz w:val="26"/>
          <w:szCs w:val="26"/>
        </w:rPr>
        <w:t>1602.91441582905*e^(+0.0000897244329366853*((2387.106+-1119.997-гнп Расстояние до остановок общественного транспорта))</w:t>
      </w:r>
      <w:r w:rsidR="00B43607">
        <w:rPr>
          <w:rFonts w:ascii="Times New Roman" w:hAnsi="Times New Roman" w:cs="Times New Roman"/>
          <w:i/>
          <w:sz w:val="26"/>
          <w:szCs w:val="26"/>
        </w:rPr>
        <w:t xml:space="preserve"> </w:t>
      </w:r>
      <w:r w:rsidR="00B43607" w:rsidRPr="00B43607">
        <w:rPr>
          <w:rFonts w:ascii="Times New Roman" w:hAnsi="Times New Roman" w:cs="Times New Roman"/>
          <w:i/>
          <w:sz w:val="26"/>
          <w:szCs w:val="26"/>
        </w:rPr>
        <w:t>+0.0000792250776634478*((36137.938+-22551.118-гнп Расстояние объекта до центра населенного пункта)))</w:t>
      </w:r>
    </w:p>
    <w:p w14:paraId="02CE3AD2" w14:textId="27C3459C" w:rsidR="001B5D97" w:rsidRPr="00F562A8" w:rsidRDefault="001B5D97" w:rsidP="001B5D97">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3CB343FC" w14:textId="312E4794" w:rsidR="001B5D97" w:rsidRPr="00F562A8" w:rsidRDefault="00B43607" w:rsidP="001B5D97">
      <w:pPr>
        <w:spacing w:after="0" w:line="276" w:lineRule="auto"/>
        <w:jc w:val="center"/>
        <w:rPr>
          <w:rFonts w:ascii="Times New Roman" w:hAnsi="Times New Roman" w:cs="Times New Roman"/>
          <w:i/>
          <w:szCs w:val="24"/>
        </w:rPr>
      </w:pPr>
      <w:r w:rsidRPr="004256FB">
        <w:rPr>
          <w:noProof/>
          <w:lang w:eastAsia="ru-RU"/>
        </w:rPr>
        <w:drawing>
          <wp:inline distT="0" distB="0" distL="0" distR="0" wp14:anchorId="3D5E2A19" wp14:editId="61952160">
            <wp:extent cx="5939790" cy="3135930"/>
            <wp:effectExtent l="0" t="0" r="3810" b="762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5939790" cy="3135930"/>
                    </a:xfrm>
                    <a:prstGeom prst="rect">
                      <a:avLst/>
                    </a:prstGeom>
                  </pic:spPr>
                </pic:pic>
              </a:graphicData>
            </a:graphic>
          </wp:inline>
        </w:drawing>
      </w:r>
    </w:p>
    <w:p w14:paraId="4443EF25" w14:textId="01025ECC" w:rsidR="001B5D97" w:rsidRPr="00F562A8" w:rsidRDefault="001B5D97" w:rsidP="001B5D97">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EC2386">
        <w:rPr>
          <w:rFonts w:ascii="Times New Roman" w:hAnsi="Times New Roman" w:cs="Times New Roman"/>
          <w:sz w:val="26"/>
          <w:szCs w:val="26"/>
        </w:rPr>
        <w:t>7</w:t>
      </w:r>
      <w:r w:rsidRPr="00F562A8">
        <w:rPr>
          <w:rFonts w:ascii="Times New Roman" w:hAnsi="Times New Roman" w:cs="Times New Roman"/>
          <w:sz w:val="26"/>
          <w:szCs w:val="26"/>
        </w:rPr>
        <w:t>.</w:t>
      </w:r>
      <w:r>
        <w:rPr>
          <w:rFonts w:ascii="Times New Roman" w:hAnsi="Times New Roman" w:cs="Times New Roman"/>
          <w:sz w:val="26"/>
          <w:szCs w:val="26"/>
        </w:rPr>
        <w:t>1.</w:t>
      </w:r>
      <w:r w:rsidRPr="00F562A8">
        <w:rPr>
          <w:rFonts w:ascii="Times New Roman" w:hAnsi="Times New Roman" w:cs="Times New Roman"/>
          <w:sz w:val="26"/>
          <w:szCs w:val="26"/>
        </w:rPr>
        <w:t>4 - Характеристика экспоненциальной модели и анализ качества выборки</w:t>
      </w:r>
    </w:p>
    <w:p w14:paraId="7D3A2BB0" w14:textId="77777777" w:rsidR="001B5D97" w:rsidRDefault="001B5D97" w:rsidP="001B5D97">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w:t>
      </w:r>
      <w:r>
        <w:rPr>
          <w:rFonts w:ascii="Times New Roman" w:hAnsi="Times New Roman" w:cs="Times New Roman"/>
          <w:sz w:val="26"/>
          <w:szCs w:val="26"/>
        </w:rPr>
        <w:t>а</w:t>
      </w:r>
      <w:r w:rsidRPr="00F562A8">
        <w:rPr>
          <w:rFonts w:ascii="Times New Roman" w:hAnsi="Times New Roman" w:cs="Times New Roman"/>
          <w:sz w:val="26"/>
          <w:szCs w:val="26"/>
        </w:rPr>
        <w:t>м</w:t>
      </w:r>
      <w:r>
        <w:rPr>
          <w:rFonts w:ascii="Times New Roman" w:hAnsi="Times New Roman" w:cs="Times New Roman"/>
          <w:sz w:val="26"/>
          <w:szCs w:val="26"/>
        </w:rPr>
        <w:t>и</w:t>
      </w:r>
      <w:r w:rsidRPr="00F562A8">
        <w:rPr>
          <w:rFonts w:ascii="Times New Roman" w:hAnsi="Times New Roman" w:cs="Times New Roman"/>
          <w:sz w:val="26"/>
          <w:szCs w:val="26"/>
        </w:rPr>
        <w:t xml:space="preserve"> и кадастровой стоимостью обратная, то есть при росте этого фактора кадастровая стоимость уменьшается. Малые значения средней ошибки аппроксимации и среднеквадратической ошибки оценки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3BAB098E" w14:textId="082741B4" w:rsidR="001B5D97" w:rsidRDefault="00B757FC" w:rsidP="001B5D97">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6B6B44" w:rsidRPr="00F562A8">
        <w:rPr>
          <w:rFonts w:ascii="Times New Roman" w:eastAsiaTheme="minorEastAsia" w:hAnsi="Times New Roman" w:cs="Times New Roman"/>
          <w:sz w:val="26"/>
          <w:szCs w:val="26"/>
        </w:rPr>
        <w:t>2/2</w:t>
      </w:r>
      <w:r w:rsidR="006B6B44">
        <w:rPr>
          <w:rFonts w:ascii="Times New Roman" w:eastAsiaTheme="minorEastAsia" w:hAnsi="Times New Roman" w:cs="Times New Roman"/>
          <w:sz w:val="26"/>
          <w:szCs w:val="26"/>
        </w:rPr>
        <w:t>.</w:t>
      </w:r>
      <w:r w:rsidR="006B6B44" w:rsidRPr="00F562A8">
        <w:rPr>
          <w:rFonts w:ascii="Times New Roman" w:eastAsiaTheme="minorEastAsia" w:hAnsi="Times New Roman" w:cs="Times New Roman"/>
          <w:sz w:val="26"/>
          <w:szCs w:val="26"/>
        </w:rPr>
        <w:t>4</w:t>
      </w:r>
      <w:r w:rsidR="006B6B44">
        <w:rPr>
          <w:rFonts w:ascii="Times New Roman" w:eastAsiaTheme="minorEastAsia" w:hAnsi="Times New Roman" w:cs="Times New Roman"/>
          <w:sz w:val="26"/>
          <w:szCs w:val="26"/>
        </w:rPr>
        <w:t>/2.4.7.</w:t>
      </w:r>
    </w:p>
    <w:p w14:paraId="2E755490" w14:textId="77777777" w:rsidR="00503908" w:rsidRPr="00F562A8" w:rsidRDefault="00503908" w:rsidP="006F6435">
      <w:pPr>
        <w:spacing w:before="120" w:line="276" w:lineRule="auto"/>
        <w:rPr>
          <w:rFonts w:ascii="Times New Roman" w:hAnsi="Times New Roman" w:cs="Times New Roman"/>
          <w:i/>
          <w:sz w:val="16"/>
          <w:szCs w:val="16"/>
        </w:rPr>
      </w:pPr>
    </w:p>
    <w:p w14:paraId="56948B21" w14:textId="0117BD04" w:rsidR="007438CE" w:rsidRPr="00F562A8" w:rsidRDefault="007438CE" w:rsidP="007438CE">
      <w:pPr>
        <w:pStyle w:val="ab"/>
        <w:ind w:left="0"/>
        <w:jc w:val="center"/>
        <w:outlineLvl w:val="2"/>
        <w:rPr>
          <w:rFonts w:ascii="Times New Roman" w:hAnsi="Times New Roman" w:cs="Times New Roman"/>
          <w:i/>
          <w:sz w:val="26"/>
          <w:szCs w:val="26"/>
        </w:rPr>
      </w:pPr>
      <w:bookmarkStart w:id="266" w:name="_Toc110507006"/>
      <w:r w:rsidRPr="00DC7772">
        <w:rPr>
          <w:rFonts w:ascii="Times New Roman" w:hAnsi="Times New Roman" w:cs="Times New Roman"/>
          <w:i/>
          <w:sz w:val="26"/>
          <w:szCs w:val="26"/>
        </w:rPr>
        <w:t>3.6.</w:t>
      </w:r>
      <w:r w:rsidR="00B11E8D" w:rsidRPr="00DC7772">
        <w:rPr>
          <w:rFonts w:ascii="Times New Roman" w:hAnsi="Times New Roman" w:cs="Times New Roman"/>
          <w:i/>
          <w:sz w:val="26"/>
          <w:szCs w:val="26"/>
        </w:rPr>
        <w:t>7</w:t>
      </w:r>
      <w:r w:rsidRPr="00DC7772">
        <w:rPr>
          <w:rFonts w:ascii="Times New Roman" w:hAnsi="Times New Roman" w:cs="Times New Roman"/>
          <w:i/>
          <w:sz w:val="26"/>
          <w:szCs w:val="26"/>
        </w:rPr>
        <w:t>.2. Расчет кадастровой</w:t>
      </w:r>
      <w:r w:rsidRPr="00F562A8">
        <w:rPr>
          <w:rFonts w:ascii="Times New Roman" w:hAnsi="Times New Roman" w:cs="Times New Roman"/>
          <w:i/>
          <w:sz w:val="26"/>
          <w:szCs w:val="26"/>
        </w:rPr>
        <w:t xml:space="preserve"> стоимости земельных участков группы </w:t>
      </w:r>
      <w:r w:rsidRPr="00CB1C5E">
        <w:rPr>
          <w:rFonts w:ascii="Times New Roman" w:hAnsi="Times New Roman" w:cs="Times New Roman"/>
          <w:i/>
          <w:sz w:val="26"/>
          <w:szCs w:val="26"/>
        </w:rPr>
        <w:t>ТРАНСПОРТ/ГНП</w:t>
      </w:r>
      <w:bookmarkEnd w:id="266"/>
    </w:p>
    <w:p w14:paraId="6F58D4EF" w14:textId="6743CCC2" w:rsidR="007438CE" w:rsidRPr="00F562A8"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D1336B" w:rsidRPr="00F562A8">
        <w:rPr>
          <w:rFonts w:ascii="Times New Roman" w:eastAsiaTheme="minorEastAsia" w:hAnsi="Times New Roman" w:cs="Times New Roman"/>
          <w:sz w:val="26"/>
          <w:szCs w:val="26"/>
        </w:rPr>
        <w:t>2/2</w:t>
      </w:r>
      <w:r w:rsidR="00D1336B">
        <w:rPr>
          <w:rFonts w:ascii="Times New Roman" w:eastAsiaTheme="minorEastAsia" w:hAnsi="Times New Roman" w:cs="Times New Roman"/>
          <w:sz w:val="26"/>
          <w:szCs w:val="26"/>
        </w:rPr>
        <w:t>.</w:t>
      </w:r>
      <w:r w:rsidR="00D1336B" w:rsidRPr="00F562A8">
        <w:rPr>
          <w:rFonts w:ascii="Times New Roman" w:eastAsiaTheme="minorEastAsia" w:hAnsi="Times New Roman" w:cs="Times New Roman"/>
          <w:sz w:val="26"/>
          <w:szCs w:val="26"/>
        </w:rPr>
        <w:t>4</w:t>
      </w:r>
      <w:r w:rsidR="00D1336B">
        <w:rPr>
          <w:rFonts w:ascii="Times New Roman" w:eastAsiaTheme="minorEastAsia" w:hAnsi="Times New Roman" w:cs="Times New Roman"/>
          <w:sz w:val="26"/>
          <w:szCs w:val="26"/>
        </w:rPr>
        <w:t>/2.4.7.</w:t>
      </w:r>
    </w:p>
    <w:p w14:paraId="03326F1F" w14:textId="24FB8696" w:rsidR="004E23E2" w:rsidRDefault="004E23E2" w:rsidP="004E23E2">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EC2386">
        <w:rPr>
          <w:rFonts w:ascii="Times New Roman" w:hAnsi="Times New Roman" w:cs="Times New Roman"/>
          <w:sz w:val="26"/>
          <w:szCs w:val="26"/>
        </w:rPr>
        <w:t>ТРАНСПОРТ</w:t>
      </w:r>
      <w:r w:rsidRPr="00CB1C5E">
        <w:rPr>
          <w:rFonts w:ascii="Times New Roman" w:eastAsiaTheme="minorEastAsia" w:hAnsi="Times New Roman" w:cs="Times New Roman"/>
          <w:sz w:val="26"/>
          <w:szCs w:val="26"/>
        </w:rPr>
        <w:t xml:space="preserve">/ГНП </w:t>
      </w:r>
      <w:r>
        <w:rPr>
          <w:rFonts w:ascii="Times New Roman" w:hAnsi="Times New Roman" w:cs="Times New Roman"/>
          <w:sz w:val="26"/>
          <w:szCs w:val="26"/>
        </w:rPr>
        <w:t>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1C26DA">
        <w:rPr>
          <w:rFonts w:ascii="Times New Roman" w:hAnsi="Times New Roman" w:cs="Times New Roman"/>
          <w:sz w:val="26"/>
          <w:szCs w:val="26"/>
        </w:rPr>
        <w:t xml:space="preserve"> </w:t>
      </w:r>
      <w:r w:rsidRPr="00EC2386">
        <w:rPr>
          <w:rFonts w:ascii="Times New Roman" w:hAnsi="Times New Roman" w:cs="Times New Roman"/>
          <w:sz w:val="26"/>
          <w:szCs w:val="26"/>
        </w:rPr>
        <w:t>07:000, 02:071, 04:021, 04:031, 04:090, 04:091, 04:092, 04:093, 04:094, 07:023, 07:024</w:t>
      </w:r>
      <w:r>
        <w:rPr>
          <w:rFonts w:ascii="Times New Roman" w:hAnsi="Times New Roman" w:cs="Times New Roman"/>
          <w:sz w:val="26"/>
          <w:szCs w:val="26"/>
        </w:rPr>
        <w:t>.</w:t>
      </w:r>
    </w:p>
    <w:p w14:paraId="3DEDD028" w14:textId="5B9B8B19" w:rsidR="007438CE" w:rsidRPr="00F562A8"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CB1C5E" w:rsidRPr="00CB1C5E">
        <w:rPr>
          <w:rFonts w:ascii="Times New Roman" w:eastAsiaTheme="minorEastAsia" w:hAnsi="Times New Roman" w:cs="Times New Roman"/>
          <w:sz w:val="26"/>
          <w:szCs w:val="26"/>
        </w:rPr>
        <w:t xml:space="preserve">ТРАНСПОРТ/ГНП </w:t>
      </w:r>
      <w:r w:rsidRPr="00CB1C5E">
        <w:rPr>
          <w:rFonts w:ascii="Times New Roman" w:eastAsiaTheme="minorEastAsia" w:hAnsi="Times New Roman" w:cs="Times New Roman"/>
          <w:sz w:val="26"/>
          <w:szCs w:val="26"/>
        </w:rPr>
        <w:t>использовались методы математической статистики, а именно для выявления взаимосвязей между</w:t>
      </w:r>
      <w:r w:rsidRPr="00F562A8">
        <w:rPr>
          <w:rFonts w:ascii="Times New Roman" w:hAnsi="Times New Roman" w:cs="Times New Roman"/>
          <w:sz w:val="26"/>
          <w:szCs w:val="26"/>
        </w:rPr>
        <w:t xml:space="preserve">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675767C5" w14:textId="0EAACB27" w:rsidR="007438CE" w:rsidRPr="00F562A8" w:rsidRDefault="00F77023" w:rsidP="007438CE">
      <w:pPr>
        <w:pStyle w:val="ConsPlusNormal"/>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Согласно п.45.1.1 Указаний</w:t>
      </w:r>
      <w:r w:rsidR="007438CE" w:rsidRPr="00F562A8">
        <w:rPr>
          <w:rFonts w:ascii="Times New Roman" w:hAnsi="Times New Roman" w:cs="Times New Roman"/>
          <w:sz w:val="26"/>
          <w:szCs w:val="26"/>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1F34D738"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49315357"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0456FBD6"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1808024F"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064D41B5"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5CDE6849"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508E2B42" w14:textId="77777777" w:rsidR="00FA454A" w:rsidRDefault="007438CE" w:rsidP="00FA454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городских населенных пунктах Воронежской области,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FA454A" w:rsidRPr="00F562A8">
        <w:rPr>
          <w:rFonts w:ascii="Times New Roman" w:hAnsi="Times New Roman" w:cs="Times New Roman"/>
          <w:sz w:val="26"/>
          <w:szCs w:val="26"/>
        </w:rPr>
        <w:t>представлены в таблиц</w:t>
      </w:r>
      <w:r w:rsidR="00FA454A">
        <w:rPr>
          <w:rFonts w:ascii="Times New Roman" w:hAnsi="Times New Roman" w:cs="Times New Roman"/>
          <w:sz w:val="26"/>
          <w:szCs w:val="26"/>
        </w:rPr>
        <w:t>ах</w:t>
      </w:r>
      <w:r w:rsidR="00FA454A" w:rsidRPr="00F562A8">
        <w:rPr>
          <w:rFonts w:ascii="Times New Roman" w:hAnsi="Times New Roman" w:cs="Times New Roman"/>
          <w:sz w:val="26"/>
          <w:szCs w:val="26"/>
        </w:rPr>
        <w:t xml:space="preserve"> </w:t>
      </w:r>
      <w:r w:rsidR="00FA454A" w:rsidRPr="00F562A8">
        <w:rPr>
          <w:rFonts w:ascii="Times New Roman" w:eastAsia="Times New Roman" w:hAnsi="Times New Roman" w:cs="Times New Roman"/>
          <w:sz w:val="26"/>
          <w:szCs w:val="26"/>
        </w:rPr>
        <w:t>3.</w:t>
      </w:r>
      <w:r w:rsidR="00FA454A">
        <w:rPr>
          <w:rFonts w:ascii="Times New Roman" w:eastAsia="Times New Roman" w:hAnsi="Times New Roman" w:cs="Times New Roman"/>
          <w:sz w:val="26"/>
          <w:szCs w:val="26"/>
        </w:rPr>
        <w:t>4 и 3.5, пунктов 3.4 и 3.5 соответственно</w:t>
      </w:r>
      <w:r w:rsidR="00FA454A" w:rsidRPr="00F562A8">
        <w:rPr>
          <w:rFonts w:ascii="Times New Roman" w:hAnsi="Times New Roman" w:cs="Times New Roman"/>
          <w:sz w:val="26"/>
          <w:szCs w:val="26"/>
        </w:rPr>
        <w:t>.</w:t>
      </w:r>
    </w:p>
    <w:p w14:paraId="75169E61" w14:textId="143EA60F" w:rsidR="007438CE" w:rsidRPr="00F562A8"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7FC6F86E" w14:textId="77777777" w:rsidR="007438CE" w:rsidRPr="00F562A8"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0F358448" w14:textId="53A35FF4" w:rsidR="007438CE" w:rsidRPr="00F562A8"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523904">
        <w:rPr>
          <w:rFonts w:ascii="Times New Roman" w:hAnsi="Times New Roman" w:cs="Times New Roman"/>
          <w:sz w:val="26"/>
          <w:szCs w:val="26"/>
        </w:rPr>
        <w:t>3</w:t>
      </w:r>
      <w:r w:rsidRPr="00F562A8">
        <w:rPr>
          <w:rFonts w:ascii="Times New Roman" w:hAnsi="Times New Roman" w:cs="Times New Roman"/>
          <w:sz w:val="26"/>
          <w:szCs w:val="26"/>
        </w:rPr>
        <w:t>:</w:t>
      </w:r>
    </w:p>
    <w:p w14:paraId="13207C6D" w14:textId="3FD613FA" w:rsidR="007438CE" w:rsidRPr="00F562A8"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523904">
        <w:rPr>
          <w:rFonts w:ascii="Times New Roman" w:hAnsi="Times New Roman" w:cs="Times New Roman"/>
          <w:sz w:val="26"/>
          <w:szCs w:val="26"/>
        </w:rPr>
        <w:t>р</w:t>
      </w:r>
      <w:r w:rsidR="00523904" w:rsidRPr="00523904">
        <w:rPr>
          <w:rFonts w:ascii="Times New Roman" w:hAnsi="Times New Roman" w:cs="Times New Roman"/>
          <w:sz w:val="26"/>
          <w:szCs w:val="26"/>
        </w:rPr>
        <w:t>асстояние до ближайшей автомобильной дороги населенного пункта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605212E6" w14:textId="5D81FCB8" w:rsidR="007438CE" w:rsidRPr="00F562A8"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р</w:t>
      </w:r>
      <w:r w:rsidRPr="003A177A">
        <w:rPr>
          <w:rFonts w:ascii="Times New Roman" w:hAnsi="Times New Roman" w:cs="Times New Roman"/>
          <w:sz w:val="26"/>
          <w:szCs w:val="26"/>
        </w:rPr>
        <w:t xml:space="preserve">асстояние объекта до </w:t>
      </w:r>
      <w:r w:rsidR="00523904" w:rsidRPr="00523904">
        <w:rPr>
          <w:rFonts w:ascii="Times New Roman" w:hAnsi="Times New Roman" w:cs="Times New Roman"/>
          <w:sz w:val="26"/>
          <w:szCs w:val="26"/>
        </w:rPr>
        <w:t>остановок общественного транспорта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w:t>
      </w:r>
    </w:p>
    <w:p w14:paraId="47ABEF53" w14:textId="294CDC05" w:rsidR="007438CE"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w:t>
      </w:r>
      <w:r>
        <w:rPr>
          <w:rFonts w:ascii="Times New Roman" w:hAnsi="Times New Roman" w:cs="Times New Roman"/>
          <w:sz w:val="26"/>
          <w:szCs w:val="26"/>
        </w:rPr>
        <w:t xml:space="preserve"> </w:t>
      </w:r>
      <w:r w:rsidR="00523904">
        <w:rPr>
          <w:rFonts w:ascii="Times New Roman" w:hAnsi="Times New Roman" w:cs="Times New Roman"/>
          <w:sz w:val="26"/>
          <w:szCs w:val="26"/>
        </w:rPr>
        <w:t>р</w:t>
      </w:r>
      <w:r w:rsidR="00523904" w:rsidRPr="003A177A">
        <w:rPr>
          <w:rFonts w:ascii="Times New Roman" w:hAnsi="Times New Roman" w:cs="Times New Roman"/>
          <w:sz w:val="26"/>
          <w:szCs w:val="26"/>
        </w:rPr>
        <w:t>асстояние объекта до центра населенного пункта</w:t>
      </w:r>
      <w:r w:rsidRPr="00F562A8">
        <w:rPr>
          <w:rFonts w:ascii="Times New Roman" w:hAnsi="Times New Roman" w:cs="Times New Roman"/>
          <w:sz w:val="26"/>
          <w:szCs w:val="26"/>
        </w:rPr>
        <w:t>: Х</w:t>
      </w:r>
      <w:r>
        <w:rPr>
          <w:rFonts w:ascii="Times New Roman" w:hAnsi="Times New Roman" w:cs="Times New Roman"/>
          <w:sz w:val="26"/>
          <w:szCs w:val="26"/>
          <w:vertAlign w:val="subscript"/>
        </w:rPr>
        <w:t>2</w:t>
      </w:r>
      <w:r w:rsidR="00523904">
        <w:rPr>
          <w:rFonts w:ascii="Times New Roman" w:hAnsi="Times New Roman" w:cs="Times New Roman"/>
          <w:sz w:val="26"/>
          <w:szCs w:val="26"/>
        </w:rPr>
        <w:t>.</w:t>
      </w:r>
    </w:p>
    <w:p w14:paraId="7D79C281" w14:textId="77777777" w:rsidR="007438CE" w:rsidRPr="00F562A8"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4327D74F" w14:textId="77777777" w:rsidR="007438CE" w:rsidRPr="00F562A8"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6A7BC2B2" w14:textId="77777777" w:rsidR="007438CE" w:rsidRPr="00F562A8"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На основании отбора факторов были построены множественные регрессионные трехфакторные модели:</w:t>
      </w:r>
    </w:p>
    <w:p w14:paraId="28E90E11" w14:textId="77777777" w:rsidR="007438CE" w:rsidRPr="00F562A8" w:rsidRDefault="007438CE" w:rsidP="007438CE">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1BB66CCF" wp14:editId="4078FA72">
            <wp:extent cx="2209800" cy="247650"/>
            <wp:effectExtent l="0" t="0" r="0" b="0"/>
            <wp:docPr id="812" name="Рисунок 812"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0FCD6F21" w14:textId="77777777" w:rsidR="007438CE" w:rsidRPr="00F562A8"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7C2CB88F" wp14:editId="5AB13B49">
            <wp:extent cx="1352550" cy="266700"/>
            <wp:effectExtent l="0" t="0" r="0" b="0"/>
            <wp:docPr id="813" name="Рисунок 813"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572D0D5E" w14:textId="77777777" w:rsidR="007438CE" w:rsidRPr="00F562A8"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5C3C4ABE" wp14:editId="100C3218">
            <wp:extent cx="1266825" cy="266700"/>
            <wp:effectExtent l="0" t="0" r="0" b="0"/>
            <wp:docPr id="814" name="Рисунок 814"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7666BAD1" w14:textId="77777777" w:rsidR="007438CE" w:rsidRPr="00F562A8"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5E19E4CD"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226B7680"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3EEA78BE" wp14:editId="4426E970">
            <wp:extent cx="209550" cy="247650"/>
            <wp:effectExtent l="0" t="0" r="0" b="0"/>
            <wp:docPr id="815" name="Рисунок 815"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23D6546B" wp14:editId="70714178">
            <wp:extent cx="200025" cy="247650"/>
            <wp:effectExtent l="0" t="0" r="9525" b="0"/>
            <wp:docPr id="816" name="Рисунок 816"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43E98610" wp14:editId="70C8FC2F">
            <wp:extent cx="209550" cy="247650"/>
            <wp:effectExtent l="0" t="0" r="0" b="0"/>
            <wp:docPr id="817" name="Рисунок 817"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0FADC0CE" w14:textId="397C919E" w:rsidR="007438CE" w:rsidRDefault="002564E4" w:rsidP="007438CE">
      <w:pPr>
        <w:spacing w:after="0" w:line="276" w:lineRule="auto"/>
        <w:jc w:val="center"/>
        <w:rPr>
          <w:noProof/>
        </w:rPr>
      </w:pPr>
      <w:r w:rsidRPr="0092605E">
        <w:rPr>
          <w:noProof/>
          <w:lang w:eastAsia="ru-RU"/>
        </w:rPr>
        <w:drawing>
          <wp:inline distT="0" distB="0" distL="0" distR="0" wp14:anchorId="7D437348" wp14:editId="4341418D">
            <wp:extent cx="5939790" cy="696521"/>
            <wp:effectExtent l="0" t="0" r="3810" b="889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5939790" cy="696521"/>
                    </a:xfrm>
                    <a:prstGeom prst="rect">
                      <a:avLst/>
                    </a:prstGeom>
                  </pic:spPr>
                </pic:pic>
              </a:graphicData>
            </a:graphic>
          </wp:inline>
        </w:drawing>
      </w:r>
    </w:p>
    <w:p w14:paraId="17CA4A13" w14:textId="4EA0BCDE" w:rsidR="007438CE" w:rsidRPr="00F562A8" w:rsidRDefault="007438CE" w:rsidP="007438CE">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72654B">
        <w:rPr>
          <w:rFonts w:ascii="Times New Roman" w:hAnsi="Times New Roman" w:cs="Times New Roman"/>
          <w:sz w:val="26"/>
          <w:szCs w:val="26"/>
        </w:rPr>
        <w:t>7</w:t>
      </w:r>
      <w:r w:rsidRPr="00F562A8">
        <w:rPr>
          <w:rFonts w:ascii="Times New Roman" w:hAnsi="Times New Roman" w:cs="Times New Roman"/>
          <w:sz w:val="26"/>
          <w:szCs w:val="26"/>
        </w:rPr>
        <w:t>.</w:t>
      </w:r>
      <w:r w:rsidR="0072654B">
        <w:rPr>
          <w:rFonts w:ascii="Times New Roman" w:hAnsi="Times New Roman" w:cs="Times New Roman"/>
          <w:sz w:val="26"/>
          <w:szCs w:val="26"/>
        </w:rPr>
        <w:t>2</w:t>
      </w:r>
      <w:r>
        <w:rPr>
          <w:rFonts w:ascii="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трехфакторные модели</w:t>
      </w:r>
    </w:p>
    <w:p w14:paraId="468866F6" w14:textId="0F183661"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79E2BDB6"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0A94E0DD"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0C832793"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1E91E91A"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5EA854D9"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7ACBF0D4"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7CE2F9B6"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2A92AF55" w14:textId="28320F51" w:rsidR="007438CE" w:rsidRPr="00F562A8" w:rsidRDefault="00183C53" w:rsidP="007438CE">
      <w:pPr>
        <w:spacing w:after="0" w:line="276" w:lineRule="auto"/>
        <w:jc w:val="center"/>
        <w:rPr>
          <w:rFonts w:ascii="Times New Roman" w:hAnsi="Times New Roman" w:cs="Times New Roman"/>
        </w:rPr>
      </w:pPr>
      <w:r w:rsidRPr="0092605E">
        <w:rPr>
          <w:noProof/>
          <w:lang w:eastAsia="ru-RU"/>
        </w:rPr>
        <w:drawing>
          <wp:inline distT="0" distB="0" distL="0" distR="0" wp14:anchorId="47E2AF81" wp14:editId="476CFB75">
            <wp:extent cx="5772150" cy="1298985"/>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5"/>
                    <a:srcRect r="7756"/>
                    <a:stretch/>
                  </pic:blipFill>
                  <pic:spPr bwMode="auto">
                    <a:xfrm>
                      <a:off x="0" y="0"/>
                      <a:ext cx="5796091" cy="1304373"/>
                    </a:xfrm>
                    <a:prstGeom prst="rect">
                      <a:avLst/>
                    </a:prstGeom>
                    <a:ln>
                      <a:noFill/>
                    </a:ln>
                    <a:extLst>
                      <a:ext uri="{53640926-AAD7-44D8-BBD7-CCE9431645EC}">
                        <a14:shadowObscured xmlns:a14="http://schemas.microsoft.com/office/drawing/2010/main"/>
                      </a:ext>
                    </a:extLst>
                  </pic:spPr>
                </pic:pic>
              </a:graphicData>
            </a:graphic>
          </wp:inline>
        </w:drawing>
      </w:r>
    </w:p>
    <w:p w14:paraId="585D1F3A" w14:textId="2A6935B0" w:rsidR="007438CE" w:rsidRPr="00F562A8" w:rsidRDefault="007438CE" w:rsidP="007438CE">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72654B">
        <w:rPr>
          <w:rFonts w:ascii="Times New Roman" w:hAnsi="Times New Roman" w:cs="Times New Roman"/>
          <w:sz w:val="26"/>
          <w:szCs w:val="26"/>
        </w:rPr>
        <w:t>7</w:t>
      </w:r>
      <w:r w:rsidRPr="00F562A8">
        <w:rPr>
          <w:rFonts w:ascii="Times New Roman" w:hAnsi="Times New Roman" w:cs="Times New Roman"/>
          <w:sz w:val="26"/>
          <w:szCs w:val="26"/>
        </w:rPr>
        <w:t>.</w:t>
      </w:r>
      <w:r w:rsidR="0072654B">
        <w:rPr>
          <w:rFonts w:ascii="Times New Roman" w:hAnsi="Times New Roman" w:cs="Times New Roman"/>
          <w:sz w:val="26"/>
          <w:szCs w:val="26"/>
        </w:rPr>
        <w:t>2</w:t>
      </w:r>
      <w:r>
        <w:rPr>
          <w:rFonts w:ascii="Times New Roman" w:hAnsi="Times New Roman" w:cs="Times New Roman"/>
          <w:sz w:val="26"/>
          <w:szCs w:val="26"/>
        </w:rPr>
        <w:t>.2</w:t>
      </w:r>
      <w:r w:rsidRPr="00F562A8">
        <w:rPr>
          <w:rFonts w:ascii="Times New Roman" w:hAnsi="Times New Roman" w:cs="Times New Roman"/>
          <w:sz w:val="26"/>
          <w:szCs w:val="26"/>
        </w:rPr>
        <w:t xml:space="preserve"> -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0783DBA0"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688D3DA6" w14:textId="77777777" w:rsidR="007438CE" w:rsidRPr="00F562A8" w:rsidRDefault="007438CE" w:rsidP="007438CE">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0D82EFCF" w14:textId="77777777" w:rsidR="007438CE" w:rsidRPr="00F562A8"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73369E41" w14:textId="053835ED" w:rsidR="007438CE" w:rsidRPr="00F562A8" w:rsidRDefault="00584504" w:rsidP="007438CE">
      <w:pPr>
        <w:spacing w:after="0" w:line="276" w:lineRule="auto"/>
        <w:jc w:val="center"/>
        <w:rPr>
          <w:rFonts w:ascii="Times New Roman" w:hAnsi="Times New Roman" w:cs="Times New Roman"/>
          <w:lang w:val="en-US"/>
        </w:rPr>
      </w:pPr>
      <w:r w:rsidRPr="002D0CB9">
        <w:rPr>
          <w:noProof/>
          <w:lang w:eastAsia="ru-RU"/>
        </w:rPr>
        <w:drawing>
          <wp:inline distT="0" distB="0" distL="0" distR="0" wp14:anchorId="531B15BE" wp14:editId="511DF476">
            <wp:extent cx="3077004" cy="990738"/>
            <wp:effectExtent l="0" t="0" r="9525"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3077004" cy="990738"/>
                    </a:xfrm>
                    <a:prstGeom prst="rect">
                      <a:avLst/>
                    </a:prstGeom>
                  </pic:spPr>
                </pic:pic>
              </a:graphicData>
            </a:graphic>
          </wp:inline>
        </w:drawing>
      </w:r>
    </w:p>
    <w:p w14:paraId="11621D73" w14:textId="1BC553BD" w:rsidR="007438CE" w:rsidRPr="00F562A8" w:rsidRDefault="007438CE" w:rsidP="007438CE">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72654B">
        <w:rPr>
          <w:rFonts w:ascii="Times New Roman" w:hAnsi="Times New Roman" w:cs="Times New Roman"/>
          <w:sz w:val="26"/>
          <w:szCs w:val="26"/>
        </w:rPr>
        <w:t>7</w:t>
      </w:r>
      <w:r w:rsidRPr="00F562A8">
        <w:rPr>
          <w:rFonts w:ascii="Times New Roman" w:hAnsi="Times New Roman" w:cs="Times New Roman"/>
          <w:sz w:val="26"/>
          <w:szCs w:val="26"/>
        </w:rPr>
        <w:t>.</w:t>
      </w:r>
      <w:r w:rsidR="0072654B">
        <w:rPr>
          <w:rFonts w:ascii="Times New Roman" w:hAnsi="Times New Roman" w:cs="Times New Roman"/>
          <w:sz w:val="26"/>
          <w:szCs w:val="26"/>
        </w:rPr>
        <w:t>2</w:t>
      </w:r>
      <w:r>
        <w:rPr>
          <w:rFonts w:ascii="Times New Roman" w:hAnsi="Times New Roman" w:cs="Times New Roman"/>
          <w:sz w:val="26"/>
          <w:szCs w:val="26"/>
        </w:rPr>
        <w:t>.3</w:t>
      </w:r>
      <w:r w:rsidRPr="00F562A8">
        <w:rPr>
          <w:rFonts w:ascii="Times New Roman" w:hAnsi="Times New Roman" w:cs="Times New Roman"/>
          <w:sz w:val="26"/>
          <w:szCs w:val="26"/>
        </w:rPr>
        <w:t xml:space="preserve"> - Значения F-критерия Фишера</w:t>
      </w:r>
    </w:p>
    <w:p w14:paraId="7C1085BD" w14:textId="77777777" w:rsidR="007438CE" w:rsidRPr="00F562A8" w:rsidRDefault="007438CE" w:rsidP="007438CE">
      <w:pPr>
        <w:spacing w:after="0" w:line="276"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все три модели адекватно описывают статистические данные и их можно использовать для анализа и прогнозирования кадастровой стоимости (результативного признака). </w:t>
      </w:r>
    </w:p>
    <w:p w14:paraId="20E79002" w14:textId="77777777" w:rsidR="007438CE" w:rsidRPr="00F562A8"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Наибольшее значение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имеет аддитивная модель, однако было учтено то, что она построена на основании ограниченной выборочной совокупности и адекватна на ограниченных интервалах независимых переменных. При расширении исходных данных прогнозное значение кадастровой стоимости может перейти в отрицательную область, что противоречит ее смыслу. Исходя из этого, для прогнозирования рационально выбрать экспоненциальную модель, которая всегда дает положительный прогноз. Экспоненциальная регрессионная модель имеет вид:</w:t>
      </w:r>
    </w:p>
    <w:p w14:paraId="6E8C6960" w14:textId="364625C3" w:rsidR="007438CE" w:rsidRDefault="007438CE" w:rsidP="00584504">
      <w:pPr>
        <w:ind w:firstLine="709"/>
        <w:jc w:val="both"/>
      </w:pPr>
      <w:r w:rsidRPr="00F562A8">
        <w:rPr>
          <w:rFonts w:ascii="Times New Roman" w:hAnsi="Times New Roman" w:cs="Times New Roman"/>
          <w:i/>
          <w:sz w:val="26"/>
          <w:szCs w:val="26"/>
        </w:rPr>
        <w:t xml:space="preserve">УПКС = </w:t>
      </w:r>
      <w:r w:rsidR="00183C53" w:rsidRPr="00183C53">
        <w:rPr>
          <w:rFonts w:ascii="Times New Roman" w:hAnsi="Times New Roman" w:cs="Times New Roman"/>
          <w:i/>
          <w:sz w:val="26"/>
          <w:szCs w:val="26"/>
        </w:rPr>
        <w:t>1019.0369963385*e^(+0.000323570106285165*((1316.298+-1040.294-гнп Расстояние до  ближайшей автомобильной дороги населенного пункта))</w:t>
      </w:r>
      <w:r w:rsidR="00183C53">
        <w:rPr>
          <w:rFonts w:ascii="Times New Roman" w:hAnsi="Times New Roman" w:cs="Times New Roman"/>
          <w:i/>
          <w:sz w:val="26"/>
          <w:szCs w:val="26"/>
        </w:rPr>
        <w:t xml:space="preserve"> </w:t>
      </w:r>
      <w:r w:rsidR="00183C53" w:rsidRPr="00183C53">
        <w:rPr>
          <w:rFonts w:ascii="Times New Roman" w:hAnsi="Times New Roman" w:cs="Times New Roman"/>
          <w:i/>
          <w:sz w:val="26"/>
          <w:szCs w:val="26"/>
        </w:rPr>
        <w:t>+0.000135614668225745*((5086.727+-3467.10-гнп Расстояние до остановок общественного транспорта))+0.0000852494819405056*((6564.154+-492.564-гнп Расстояние объекта до центра населенного пункта)))</w:t>
      </w:r>
    </w:p>
    <w:p w14:paraId="1BB3811D" w14:textId="77777777" w:rsidR="007438CE" w:rsidRPr="00F562A8"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F-статистики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506CE51D" w14:textId="118E180A" w:rsidR="007438CE" w:rsidRPr="00F562A8" w:rsidRDefault="00183C53" w:rsidP="007438CE">
      <w:pPr>
        <w:spacing w:after="0" w:line="276" w:lineRule="auto"/>
        <w:jc w:val="center"/>
        <w:rPr>
          <w:rFonts w:ascii="Times New Roman" w:hAnsi="Times New Roman" w:cs="Times New Roman"/>
        </w:rPr>
      </w:pPr>
      <w:r w:rsidRPr="0092605E">
        <w:rPr>
          <w:noProof/>
          <w:lang w:eastAsia="ru-RU"/>
        </w:rPr>
        <w:drawing>
          <wp:inline distT="0" distB="0" distL="0" distR="0" wp14:anchorId="24EFA8A4" wp14:editId="4685ADBC">
            <wp:extent cx="5577367" cy="3193795"/>
            <wp:effectExtent l="0" t="0" r="4445" b="6985"/>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5579723" cy="3195144"/>
                    </a:xfrm>
                    <a:prstGeom prst="rect">
                      <a:avLst/>
                    </a:prstGeom>
                  </pic:spPr>
                </pic:pic>
              </a:graphicData>
            </a:graphic>
          </wp:inline>
        </w:drawing>
      </w:r>
    </w:p>
    <w:p w14:paraId="7C9E707C" w14:textId="72540AFF" w:rsidR="007438CE" w:rsidRPr="00F562A8" w:rsidRDefault="007438CE" w:rsidP="007438CE">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sidR="0072654B">
        <w:rPr>
          <w:rFonts w:ascii="Times New Roman" w:hAnsi="Times New Roman" w:cs="Times New Roman"/>
          <w:sz w:val="26"/>
          <w:szCs w:val="26"/>
        </w:rPr>
        <w:t>7</w:t>
      </w:r>
      <w:r w:rsidRPr="00F562A8">
        <w:rPr>
          <w:rFonts w:ascii="Times New Roman" w:hAnsi="Times New Roman" w:cs="Times New Roman"/>
          <w:sz w:val="26"/>
          <w:szCs w:val="26"/>
        </w:rPr>
        <w:t>.</w:t>
      </w:r>
      <w:r w:rsidR="0072654B">
        <w:rPr>
          <w:rFonts w:ascii="Times New Roman" w:hAnsi="Times New Roman" w:cs="Times New Roman"/>
          <w:sz w:val="26"/>
          <w:szCs w:val="26"/>
        </w:rPr>
        <w:t>2</w:t>
      </w:r>
      <w:r>
        <w:rPr>
          <w:rFonts w:ascii="Times New Roman" w:hAnsi="Times New Roman" w:cs="Times New Roman"/>
          <w:sz w:val="26"/>
          <w:szCs w:val="26"/>
        </w:rPr>
        <w:t>.4</w:t>
      </w:r>
      <w:r w:rsidRPr="00F562A8">
        <w:rPr>
          <w:rFonts w:ascii="Times New Roman" w:hAnsi="Times New Roman" w:cs="Times New Roman"/>
          <w:sz w:val="26"/>
          <w:szCs w:val="26"/>
        </w:rPr>
        <w:t xml:space="preserve"> - Характеристика экспоненциальной модели и анализ качества выборки</w:t>
      </w:r>
    </w:p>
    <w:p w14:paraId="654E34EA" w14:textId="7DBAF9D2" w:rsidR="007438CE" w:rsidRDefault="007438CE" w:rsidP="007438CE">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факторами и кадастровой стоимостью обратная, то есть при росте этих факторов кадастровая стоимость уменьшается. 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52B8EF05" w14:textId="3AAFB530" w:rsidR="007438CE" w:rsidRDefault="00B757FC" w:rsidP="007438CE">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D1336B" w:rsidRPr="00F562A8">
        <w:rPr>
          <w:rFonts w:ascii="Times New Roman" w:eastAsiaTheme="minorEastAsia" w:hAnsi="Times New Roman" w:cs="Times New Roman"/>
          <w:sz w:val="26"/>
          <w:szCs w:val="26"/>
        </w:rPr>
        <w:t>2/2</w:t>
      </w:r>
      <w:r w:rsidR="00D1336B">
        <w:rPr>
          <w:rFonts w:ascii="Times New Roman" w:eastAsiaTheme="minorEastAsia" w:hAnsi="Times New Roman" w:cs="Times New Roman"/>
          <w:sz w:val="26"/>
          <w:szCs w:val="26"/>
        </w:rPr>
        <w:t>.</w:t>
      </w:r>
      <w:r w:rsidR="00D1336B" w:rsidRPr="00F562A8">
        <w:rPr>
          <w:rFonts w:ascii="Times New Roman" w:eastAsiaTheme="minorEastAsia" w:hAnsi="Times New Roman" w:cs="Times New Roman"/>
          <w:sz w:val="26"/>
          <w:szCs w:val="26"/>
        </w:rPr>
        <w:t>4</w:t>
      </w:r>
      <w:r w:rsidR="00D1336B">
        <w:rPr>
          <w:rFonts w:ascii="Times New Roman" w:eastAsiaTheme="minorEastAsia" w:hAnsi="Times New Roman" w:cs="Times New Roman"/>
          <w:sz w:val="26"/>
          <w:szCs w:val="26"/>
        </w:rPr>
        <w:t>/2.4.7.</w:t>
      </w:r>
    </w:p>
    <w:p w14:paraId="2CCB7B18" w14:textId="77777777" w:rsidR="00FA454A" w:rsidRPr="00B422FF" w:rsidRDefault="00FA454A" w:rsidP="00B422FF">
      <w:pPr>
        <w:spacing w:after="0" w:line="276" w:lineRule="auto"/>
        <w:ind w:firstLine="709"/>
        <w:jc w:val="both"/>
        <w:rPr>
          <w:rFonts w:ascii="Times New Roman" w:hAnsi="Times New Roman" w:cs="Times New Roman"/>
          <w:sz w:val="26"/>
          <w:szCs w:val="26"/>
        </w:rPr>
      </w:pPr>
    </w:p>
    <w:p w14:paraId="085E61DF" w14:textId="77777777" w:rsidR="00FA454A" w:rsidRPr="00B422FF" w:rsidRDefault="00FA454A" w:rsidP="00B422FF">
      <w:pPr>
        <w:spacing w:after="0" w:line="276" w:lineRule="auto"/>
        <w:ind w:firstLine="709"/>
        <w:jc w:val="both"/>
        <w:rPr>
          <w:rFonts w:ascii="Times New Roman" w:hAnsi="Times New Roman" w:cs="Times New Roman"/>
          <w:sz w:val="26"/>
          <w:szCs w:val="26"/>
        </w:rPr>
      </w:pPr>
    </w:p>
    <w:p w14:paraId="719E60FE" w14:textId="77777777" w:rsidR="00FA454A" w:rsidRPr="00B422FF" w:rsidRDefault="00FA454A" w:rsidP="00B422FF">
      <w:pPr>
        <w:spacing w:after="0" w:line="276" w:lineRule="auto"/>
        <w:ind w:firstLine="709"/>
        <w:jc w:val="both"/>
        <w:rPr>
          <w:rFonts w:ascii="Times New Roman" w:hAnsi="Times New Roman" w:cs="Times New Roman"/>
          <w:sz w:val="26"/>
          <w:szCs w:val="26"/>
        </w:rPr>
      </w:pPr>
    </w:p>
    <w:p w14:paraId="53ACC569" w14:textId="77777777" w:rsidR="00FA454A" w:rsidRPr="00B422FF" w:rsidRDefault="00FA454A" w:rsidP="00B422FF">
      <w:pPr>
        <w:spacing w:after="0" w:line="276" w:lineRule="auto"/>
        <w:ind w:firstLine="709"/>
        <w:jc w:val="both"/>
        <w:rPr>
          <w:rFonts w:ascii="Times New Roman" w:hAnsi="Times New Roman" w:cs="Times New Roman"/>
          <w:sz w:val="26"/>
          <w:szCs w:val="26"/>
        </w:rPr>
      </w:pPr>
    </w:p>
    <w:p w14:paraId="6F87EF2C" w14:textId="77777777" w:rsidR="00FA454A" w:rsidRPr="00B422FF" w:rsidRDefault="00FA454A" w:rsidP="00B422FF">
      <w:pPr>
        <w:spacing w:after="0" w:line="276" w:lineRule="auto"/>
        <w:ind w:firstLine="709"/>
        <w:jc w:val="both"/>
        <w:rPr>
          <w:rFonts w:ascii="Times New Roman" w:hAnsi="Times New Roman" w:cs="Times New Roman"/>
          <w:sz w:val="26"/>
          <w:szCs w:val="26"/>
        </w:rPr>
      </w:pPr>
    </w:p>
    <w:p w14:paraId="14216DF4" w14:textId="77777777" w:rsidR="00FA454A" w:rsidRPr="00B422FF" w:rsidRDefault="00FA454A" w:rsidP="00B422FF">
      <w:pPr>
        <w:spacing w:after="0" w:line="276" w:lineRule="auto"/>
        <w:ind w:firstLine="709"/>
        <w:jc w:val="both"/>
        <w:rPr>
          <w:rFonts w:ascii="Times New Roman" w:hAnsi="Times New Roman" w:cs="Times New Roman"/>
          <w:sz w:val="26"/>
          <w:szCs w:val="26"/>
        </w:rPr>
      </w:pPr>
    </w:p>
    <w:p w14:paraId="1D199ECD" w14:textId="77777777" w:rsidR="00FA454A" w:rsidRDefault="00FA454A" w:rsidP="00B422FF">
      <w:pPr>
        <w:spacing w:after="0" w:line="276" w:lineRule="auto"/>
        <w:ind w:firstLine="709"/>
        <w:jc w:val="both"/>
        <w:rPr>
          <w:rFonts w:ascii="Times New Roman" w:hAnsi="Times New Roman" w:cs="Times New Roman"/>
          <w:i/>
          <w:sz w:val="26"/>
          <w:szCs w:val="26"/>
        </w:rPr>
      </w:pPr>
    </w:p>
    <w:p w14:paraId="0406A4B6" w14:textId="6183ECA0" w:rsidR="0020586A" w:rsidRPr="00F562A8" w:rsidRDefault="0020586A" w:rsidP="0020586A">
      <w:pPr>
        <w:pStyle w:val="ab"/>
        <w:ind w:left="0"/>
        <w:jc w:val="center"/>
        <w:outlineLvl w:val="2"/>
        <w:rPr>
          <w:rFonts w:ascii="Times New Roman" w:hAnsi="Times New Roman" w:cs="Times New Roman"/>
          <w:i/>
          <w:sz w:val="26"/>
          <w:szCs w:val="26"/>
        </w:rPr>
      </w:pPr>
      <w:bookmarkStart w:id="267" w:name="_Toc110507007"/>
      <w:r w:rsidRPr="00DC7772">
        <w:rPr>
          <w:rFonts w:ascii="Times New Roman" w:hAnsi="Times New Roman" w:cs="Times New Roman"/>
          <w:i/>
          <w:sz w:val="26"/>
          <w:szCs w:val="26"/>
        </w:rPr>
        <w:t>3.6.7.</w:t>
      </w:r>
      <w:r w:rsidR="00C7646B" w:rsidRPr="00DC7772">
        <w:rPr>
          <w:rFonts w:ascii="Times New Roman" w:hAnsi="Times New Roman" w:cs="Times New Roman"/>
          <w:i/>
          <w:sz w:val="26"/>
          <w:szCs w:val="26"/>
        </w:rPr>
        <w:t>3</w:t>
      </w:r>
      <w:r w:rsidRPr="00DC7772">
        <w:rPr>
          <w:rFonts w:ascii="Times New Roman" w:hAnsi="Times New Roman" w:cs="Times New Roman"/>
          <w:i/>
          <w:sz w:val="26"/>
          <w:szCs w:val="26"/>
        </w:rPr>
        <w:t>.</w:t>
      </w:r>
      <w:r w:rsidRPr="00F562A8">
        <w:rPr>
          <w:rFonts w:ascii="Times New Roman" w:hAnsi="Times New Roman" w:cs="Times New Roman"/>
          <w:i/>
          <w:sz w:val="26"/>
          <w:szCs w:val="26"/>
        </w:rPr>
        <w:t xml:space="preserve"> Расчет кадастровой стоимости земельных участков группы </w:t>
      </w:r>
      <w:r w:rsidRPr="00CB1C5E">
        <w:rPr>
          <w:rFonts w:ascii="Times New Roman" w:hAnsi="Times New Roman" w:cs="Times New Roman"/>
          <w:i/>
          <w:sz w:val="26"/>
          <w:szCs w:val="26"/>
        </w:rPr>
        <w:t>ТРАНСПОРТ/</w:t>
      </w:r>
      <w:r w:rsidR="00C7646B">
        <w:rPr>
          <w:rFonts w:ascii="Times New Roman" w:hAnsi="Times New Roman" w:cs="Times New Roman"/>
          <w:i/>
          <w:sz w:val="26"/>
          <w:szCs w:val="26"/>
        </w:rPr>
        <w:t>С</w:t>
      </w:r>
      <w:r w:rsidRPr="00CB1C5E">
        <w:rPr>
          <w:rFonts w:ascii="Times New Roman" w:hAnsi="Times New Roman" w:cs="Times New Roman"/>
          <w:i/>
          <w:sz w:val="26"/>
          <w:szCs w:val="26"/>
        </w:rPr>
        <w:t>НП</w:t>
      </w:r>
      <w:bookmarkEnd w:id="267"/>
    </w:p>
    <w:p w14:paraId="0DE996BD" w14:textId="77777777" w:rsidR="0020586A" w:rsidRPr="00F562A8" w:rsidRDefault="0020586A" w:rsidP="0020586A">
      <w:pPr>
        <w:pStyle w:val="ConsPlusNormal"/>
        <w:spacing w:line="276" w:lineRule="auto"/>
        <w:ind w:firstLine="709"/>
        <w:contextualSpacing/>
        <w:jc w:val="center"/>
        <w:rPr>
          <w:rFonts w:ascii="Times New Roman" w:hAnsi="Times New Roman" w:cs="Times New Roman"/>
          <w:i/>
          <w:sz w:val="16"/>
          <w:szCs w:val="16"/>
        </w:rPr>
      </w:pPr>
    </w:p>
    <w:p w14:paraId="5548821D" w14:textId="20C52126" w:rsidR="0020586A" w:rsidRPr="00F562A8" w:rsidRDefault="0020586A" w:rsidP="0020586A">
      <w:pPr>
        <w:spacing w:after="0" w:line="276" w:lineRule="auto"/>
        <w:ind w:firstLine="709"/>
        <w:jc w:val="both"/>
        <w:rPr>
          <w:rFonts w:ascii="Times New Roman"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D1336B" w:rsidRPr="00F562A8">
        <w:rPr>
          <w:rFonts w:ascii="Times New Roman" w:eastAsiaTheme="minorEastAsia" w:hAnsi="Times New Roman" w:cs="Times New Roman"/>
          <w:sz w:val="26"/>
          <w:szCs w:val="26"/>
        </w:rPr>
        <w:t>2/2</w:t>
      </w:r>
      <w:r w:rsidR="00D1336B">
        <w:rPr>
          <w:rFonts w:ascii="Times New Roman" w:eastAsiaTheme="minorEastAsia" w:hAnsi="Times New Roman" w:cs="Times New Roman"/>
          <w:sz w:val="26"/>
          <w:szCs w:val="26"/>
        </w:rPr>
        <w:t>.</w:t>
      </w:r>
      <w:r w:rsidR="00D1336B" w:rsidRPr="00F562A8">
        <w:rPr>
          <w:rFonts w:ascii="Times New Roman" w:eastAsiaTheme="minorEastAsia" w:hAnsi="Times New Roman" w:cs="Times New Roman"/>
          <w:sz w:val="26"/>
          <w:szCs w:val="26"/>
        </w:rPr>
        <w:t>4</w:t>
      </w:r>
      <w:r w:rsidR="00D1336B">
        <w:rPr>
          <w:rFonts w:ascii="Times New Roman" w:eastAsiaTheme="minorEastAsia" w:hAnsi="Times New Roman" w:cs="Times New Roman"/>
          <w:sz w:val="26"/>
          <w:szCs w:val="26"/>
        </w:rPr>
        <w:t>/2.4.7.</w:t>
      </w:r>
    </w:p>
    <w:p w14:paraId="59B467E1" w14:textId="6B570007" w:rsidR="0020586A" w:rsidRDefault="0020586A" w:rsidP="0020586A">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состав группы </w:t>
      </w:r>
      <w:r w:rsidRPr="00EC2386">
        <w:rPr>
          <w:rFonts w:ascii="Times New Roman" w:hAnsi="Times New Roman" w:cs="Times New Roman"/>
          <w:sz w:val="26"/>
          <w:szCs w:val="26"/>
        </w:rPr>
        <w:t>ТРАНСПОРТ</w:t>
      </w:r>
      <w:r w:rsidRPr="00CB1C5E">
        <w:rPr>
          <w:rFonts w:ascii="Times New Roman" w:eastAsiaTheme="minorEastAsia" w:hAnsi="Times New Roman" w:cs="Times New Roman"/>
          <w:sz w:val="26"/>
          <w:szCs w:val="26"/>
        </w:rPr>
        <w:t>/</w:t>
      </w:r>
      <w:r w:rsidR="00C7646B">
        <w:rPr>
          <w:rFonts w:ascii="Times New Roman" w:eastAsiaTheme="minorEastAsia" w:hAnsi="Times New Roman" w:cs="Times New Roman"/>
          <w:sz w:val="26"/>
          <w:szCs w:val="26"/>
        </w:rPr>
        <w:t>С</w:t>
      </w:r>
      <w:r w:rsidRPr="00CB1C5E">
        <w:rPr>
          <w:rFonts w:ascii="Times New Roman" w:eastAsiaTheme="minorEastAsia" w:hAnsi="Times New Roman" w:cs="Times New Roman"/>
          <w:sz w:val="26"/>
          <w:szCs w:val="26"/>
        </w:rPr>
        <w:t xml:space="preserve">НП </w:t>
      </w:r>
      <w:r>
        <w:rPr>
          <w:rFonts w:ascii="Times New Roman" w:hAnsi="Times New Roman" w:cs="Times New Roman"/>
          <w:sz w:val="26"/>
          <w:szCs w:val="26"/>
        </w:rPr>
        <w:t>вошли следующие к</w:t>
      </w:r>
      <w:r w:rsidRPr="00F562A8">
        <w:rPr>
          <w:rFonts w:ascii="Times New Roman" w:hAnsi="Times New Roman" w:cs="Times New Roman"/>
          <w:sz w:val="26"/>
          <w:szCs w:val="26"/>
        </w:rPr>
        <w:t>од</w:t>
      </w:r>
      <w:r>
        <w:rPr>
          <w:rFonts w:ascii="Times New Roman" w:hAnsi="Times New Roman" w:cs="Times New Roman"/>
          <w:sz w:val="26"/>
          <w:szCs w:val="26"/>
        </w:rPr>
        <w:t>ы</w:t>
      </w:r>
      <w:r w:rsidRPr="00F562A8">
        <w:rPr>
          <w:rFonts w:ascii="Times New Roman" w:hAnsi="Times New Roman" w:cs="Times New Roman"/>
          <w:sz w:val="26"/>
          <w:szCs w:val="26"/>
        </w:rPr>
        <w:t xml:space="preserve"> расчета видов использования:</w:t>
      </w:r>
      <w:r w:rsidRPr="001C26DA">
        <w:rPr>
          <w:rFonts w:ascii="Times New Roman" w:hAnsi="Times New Roman" w:cs="Times New Roman"/>
          <w:sz w:val="26"/>
          <w:szCs w:val="26"/>
        </w:rPr>
        <w:t xml:space="preserve"> </w:t>
      </w:r>
      <w:r w:rsidRPr="00EC2386">
        <w:rPr>
          <w:rFonts w:ascii="Times New Roman" w:hAnsi="Times New Roman" w:cs="Times New Roman"/>
          <w:sz w:val="26"/>
          <w:szCs w:val="26"/>
        </w:rPr>
        <w:t>07:000, 02:071, 04:021, 04:031, 04:090, 04:091, 04:092, 04:093, 04:094, 07:023, 07:024</w:t>
      </w:r>
      <w:r>
        <w:rPr>
          <w:rFonts w:ascii="Times New Roman" w:hAnsi="Times New Roman" w:cs="Times New Roman"/>
          <w:sz w:val="26"/>
          <w:szCs w:val="26"/>
        </w:rPr>
        <w:t>.</w:t>
      </w:r>
    </w:p>
    <w:p w14:paraId="7901F84E" w14:textId="0369DA75" w:rsidR="0020586A" w:rsidRPr="00F562A8" w:rsidRDefault="0020586A" w:rsidP="0020586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Pr="00CB1C5E">
        <w:rPr>
          <w:rFonts w:ascii="Times New Roman" w:eastAsiaTheme="minorEastAsia" w:hAnsi="Times New Roman" w:cs="Times New Roman"/>
          <w:sz w:val="26"/>
          <w:szCs w:val="26"/>
        </w:rPr>
        <w:t>ТРАНСПОРТ/</w:t>
      </w:r>
      <w:r w:rsidR="00C7646B">
        <w:rPr>
          <w:rFonts w:ascii="Times New Roman" w:eastAsiaTheme="minorEastAsia" w:hAnsi="Times New Roman" w:cs="Times New Roman"/>
          <w:sz w:val="26"/>
          <w:szCs w:val="26"/>
        </w:rPr>
        <w:t>С</w:t>
      </w:r>
      <w:r w:rsidRPr="00CB1C5E">
        <w:rPr>
          <w:rFonts w:ascii="Times New Roman" w:eastAsiaTheme="minorEastAsia" w:hAnsi="Times New Roman" w:cs="Times New Roman"/>
          <w:sz w:val="26"/>
          <w:szCs w:val="26"/>
        </w:rPr>
        <w:t>НП использовались методы математической статистики, а именно для выявления взаимосвязей между</w:t>
      </w:r>
      <w:r w:rsidRPr="00F562A8">
        <w:rPr>
          <w:rFonts w:ascii="Times New Roman" w:hAnsi="Times New Roman" w:cs="Times New Roman"/>
          <w:sz w:val="26"/>
          <w:szCs w:val="26"/>
        </w:rPr>
        <w:t xml:space="preserve">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5B9FB2CF"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Согласно п.45.1.1 Указаний</w:t>
      </w:r>
      <w:r w:rsidRPr="00F562A8">
        <w:rPr>
          <w:rFonts w:ascii="Times New Roman" w:hAnsi="Times New Roman" w:cs="Times New Roman"/>
          <w:sz w:val="26"/>
          <w:szCs w:val="26"/>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189B8D63"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228BCECE"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68898562"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7ECEE48D"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62230143"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73F453E8"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71ECFB91" w14:textId="6DE8AB48" w:rsidR="0020586A" w:rsidRDefault="0020586A" w:rsidP="00FA454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w:t>
      </w:r>
      <w:r w:rsidR="00183C53">
        <w:rPr>
          <w:rFonts w:ascii="Times New Roman" w:hAnsi="Times New Roman" w:cs="Times New Roman"/>
          <w:sz w:val="26"/>
          <w:szCs w:val="26"/>
        </w:rPr>
        <w:t>сельских</w:t>
      </w:r>
      <w:r w:rsidRPr="00F562A8">
        <w:rPr>
          <w:rFonts w:ascii="Times New Roman" w:hAnsi="Times New Roman" w:cs="Times New Roman"/>
          <w:sz w:val="26"/>
          <w:szCs w:val="26"/>
        </w:rPr>
        <w:t xml:space="preserve"> населенных пунктах Воронежской области,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21 </w:t>
      </w:r>
      <w:r w:rsidR="00FA454A" w:rsidRPr="00F562A8">
        <w:rPr>
          <w:rFonts w:ascii="Times New Roman" w:hAnsi="Times New Roman" w:cs="Times New Roman"/>
          <w:sz w:val="26"/>
          <w:szCs w:val="26"/>
        </w:rPr>
        <w:t>представлены в таблиц</w:t>
      </w:r>
      <w:r w:rsidR="00FA454A">
        <w:rPr>
          <w:rFonts w:ascii="Times New Roman" w:hAnsi="Times New Roman" w:cs="Times New Roman"/>
          <w:sz w:val="26"/>
          <w:szCs w:val="26"/>
        </w:rPr>
        <w:t>ах</w:t>
      </w:r>
      <w:r w:rsidR="00FA454A" w:rsidRPr="00F562A8">
        <w:rPr>
          <w:rFonts w:ascii="Times New Roman" w:hAnsi="Times New Roman" w:cs="Times New Roman"/>
          <w:sz w:val="26"/>
          <w:szCs w:val="26"/>
        </w:rPr>
        <w:t xml:space="preserve"> </w:t>
      </w:r>
      <w:r w:rsidR="00FA454A" w:rsidRPr="00F562A8">
        <w:rPr>
          <w:rFonts w:ascii="Times New Roman" w:eastAsia="Times New Roman" w:hAnsi="Times New Roman" w:cs="Times New Roman"/>
          <w:sz w:val="26"/>
          <w:szCs w:val="26"/>
        </w:rPr>
        <w:t>3.</w:t>
      </w:r>
      <w:r w:rsidR="00FA454A">
        <w:rPr>
          <w:rFonts w:ascii="Times New Roman" w:eastAsia="Times New Roman" w:hAnsi="Times New Roman" w:cs="Times New Roman"/>
          <w:sz w:val="26"/>
          <w:szCs w:val="26"/>
        </w:rPr>
        <w:t>4 и 3.5, пунктов 3.4 и 3.5 соответственно</w:t>
      </w:r>
      <w:r w:rsidR="00FA454A" w:rsidRPr="00F562A8">
        <w:rPr>
          <w:rFonts w:ascii="Times New Roman" w:hAnsi="Times New Roman" w:cs="Times New Roman"/>
          <w:sz w:val="26"/>
          <w:szCs w:val="26"/>
        </w:rPr>
        <w:t>.</w:t>
      </w:r>
      <w:r w:rsidR="00FA454A">
        <w:rPr>
          <w:rFonts w:ascii="Times New Roman" w:hAnsi="Times New Roman" w:cs="Times New Roman"/>
          <w:sz w:val="26"/>
          <w:szCs w:val="26"/>
        </w:rPr>
        <w:t xml:space="preserve"> </w:t>
      </w:r>
    </w:p>
    <w:p w14:paraId="2B7BCB4F" w14:textId="77777777" w:rsidR="0020586A" w:rsidRPr="00F562A8" w:rsidRDefault="0020586A" w:rsidP="0020586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47336340" w14:textId="77777777" w:rsidR="0020586A" w:rsidRPr="00F562A8" w:rsidRDefault="0020586A" w:rsidP="0020586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19736804" w14:textId="7D982132" w:rsidR="0020586A" w:rsidRPr="00F562A8" w:rsidRDefault="0020586A" w:rsidP="0020586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183C53">
        <w:rPr>
          <w:rFonts w:ascii="Times New Roman" w:hAnsi="Times New Roman" w:cs="Times New Roman"/>
          <w:sz w:val="26"/>
          <w:szCs w:val="26"/>
        </w:rPr>
        <w:t>2</w:t>
      </w:r>
      <w:r w:rsidRPr="00F562A8">
        <w:rPr>
          <w:rFonts w:ascii="Times New Roman" w:hAnsi="Times New Roman" w:cs="Times New Roman"/>
          <w:sz w:val="26"/>
          <w:szCs w:val="26"/>
        </w:rPr>
        <w:t>:</w:t>
      </w:r>
    </w:p>
    <w:p w14:paraId="7B6A2C27" w14:textId="5551DECC" w:rsidR="0020586A" w:rsidRPr="00F562A8" w:rsidRDefault="0020586A" w:rsidP="0020586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р</w:t>
      </w:r>
      <w:r w:rsidRPr="00523904">
        <w:rPr>
          <w:rFonts w:ascii="Times New Roman" w:hAnsi="Times New Roman" w:cs="Times New Roman"/>
          <w:sz w:val="26"/>
          <w:szCs w:val="26"/>
        </w:rPr>
        <w:t xml:space="preserve">асстояние </w:t>
      </w:r>
      <w:r w:rsidR="00183C53" w:rsidRPr="00183C53">
        <w:rPr>
          <w:rFonts w:ascii="Times New Roman" w:hAnsi="Times New Roman" w:cs="Times New Roman"/>
          <w:sz w:val="26"/>
          <w:szCs w:val="26"/>
        </w:rPr>
        <w:t>от населенного пункта до центра субъекта РФ (г. Воронеж</w:t>
      </w:r>
      <w:r w:rsidR="00183C53" w:rsidRPr="008E1B75">
        <w:rPr>
          <w:rFonts w:ascii="Arial" w:eastAsia="Times New Roman" w:hAnsi="Arial" w:cs="Arial"/>
          <w:sz w:val="20"/>
          <w:szCs w:val="20"/>
          <w:lang w:eastAsia="ru-RU"/>
        </w:rPr>
        <w:t>)</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332CD80B" w14:textId="5F5E86E0" w:rsidR="0020586A" w:rsidRPr="00F562A8" w:rsidRDefault="0020586A" w:rsidP="0020586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183C53">
        <w:rPr>
          <w:rFonts w:ascii="Times New Roman" w:hAnsi="Times New Roman" w:cs="Times New Roman"/>
          <w:sz w:val="26"/>
          <w:szCs w:val="26"/>
        </w:rPr>
        <w:t>ч</w:t>
      </w:r>
      <w:r w:rsidR="00183C53" w:rsidRPr="00183C53">
        <w:rPr>
          <w:rFonts w:ascii="Times New Roman" w:hAnsi="Times New Roman" w:cs="Times New Roman"/>
          <w:sz w:val="26"/>
          <w:szCs w:val="26"/>
        </w:rPr>
        <w:t>исленность населения в населенном пункте</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1</w:t>
      </w:r>
      <w:r w:rsidR="00183C53">
        <w:rPr>
          <w:rFonts w:ascii="Times New Roman" w:hAnsi="Times New Roman" w:cs="Times New Roman"/>
          <w:sz w:val="26"/>
          <w:szCs w:val="26"/>
          <w:vertAlign w:val="subscript"/>
        </w:rPr>
        <w:t>.</w:t>
      </w:r>
    </w:p>
    <w:p w14:paraId="062CB31C" w14:textId="77777777" w:rsidR="0020586A" w:rsidRPr="00F562A8" w:rsidRDefault="0020586A" w:rsidP="0020586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7BDFF363" w14:textId="77777777" w:rsidR="0020586A" w:rsidRPr="00F562A8" w:rsidRDefault="0020586A" w:rsidP="0020586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59892256" w14:textId="5111A0A7" w:rsidR="0020586A" w:rsidRPr="00F562A8" w:rsidRDefault="0020586A" w:rsidP="0020586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8345AC">
        <w:rPr>
          <w:rFonts w:ascii="Times New Roman" w:hAnsi="Times New Roman" w:cs="Times New Roman"/>
          <w:sz w:val="26"/>
          <w:szCs w:val="26"/>
        </w:rPr>
        <w:t>дву</w:t>
      </w:r>
      <w:r w:rsidRPr="00F562A8">
        <w:rPr>
          <w:rFonts w:ascii="Times New Roman" w:hAnsi="Times New Roman" w:cs="Times New Roman"/>
          <w:sz w:val="26"/>
          <w:szCs w:val="26"/>
        </w:rPr>
        <w:t>хфакторные модели:</w:t>
      </w:r>
    </w:p>
    <w:p w14:paraId="7CF7235E" w14:textId="77777777" w:rsidR="0020586A" w:rsidRPr="00F562A8" w:rsidRDefault="0020586A" w:rsidP="0020586A">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58E20854" wp14:editId="72665BA6">
            <wp:extent cx="2209800" cy="247650"/>
            <wp:effectExtent l="0" t="0" r="0" b="0"/>
            <wp:docPr id="72" name="Рисунок 72"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3014BD18" w14:textId="77777777" w:rsidR="0020586A" w:rsidRPr="00F562A8" w:rsidRDefault="0020586A" w:rsidP="0020586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5BD6E70A" wp14:editId="5E6A4EA9">
            <wp:extent cx="1352550" cy="266700"/>
            <wp:effectExtent l="0" t="0" r="0" b="0"/>
            <wp:docPr id="73" name="Рисунок 73"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26A70395" w14:textId="77777777" w:rsidR="0020586A" w:rsidRPr="00F562A8" w:rsidRDefault="0020586A" w:rsidP="0020586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2F58960B" wp14:editId="7480E601">
            <wp:extent cx="1266825" cy="266700"/>
            <wp:effectExtent l="0" t="0" r="0" b="0"/>
            <wp:docPr id="76" name="Рисунок 76"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70413801" w14:textId="77777777" w:rsidR="0020586A" w:rsidRPr="00F562A8" w:rsidRDefault="0020586A" w:rsidP="0020586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110E6624"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70713C95"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1004B58B" wp14:editId="1FB54EAB">
            <wp:extent cx="209550" cy="247650"/>
            <wp:effectExtent l="0" t="0" r="0" b="0"/>
            <wp:docPr id="82" name="Рисунок 82"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0997C04E" wp14:editId="1DB91D12">
            <wp:extent cx="200025" cy="247650"/>
            <wp:effectExtent l="0" t="0" r="9525" b="0"/>
            <wp:docPr id="89" name="Рисунок 89"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619CFFDF" wp14:editId="5F110106">
            <wp:extent cx="209550" cy="247650"/>
            <wp:effectExtent l="0" t="0" r="0" b="0"/>
            <wp:docPr id="97" name="Рисунок 97"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432E013C" w14:textId="68272E2A" w:rsidR="0020586A" w:rsidRDefault="00183C53" w:rsidP="0020586A">
      <w:pPr>
        <w:spacing w:after="0" w:line="276" w:lineRule="auto"/>
        <w:jc w:val="center"/>
        <w:rPr>
          <w:noProof/>
        </w:rPr>
      </w:pPr>
      <w:r w:rsidRPr="008E1B75">
        <w:rPr>
          <w:noProof/>
          <w:lang w:eastAsia="ru-RU"/>
        </w:rPr>
        <w:drawing>
          <wp:inline distT="0" distB="0" distL="0" distR="0" wp14:anchorId="60328F00" wp14:editId="7FB8D8C9">
            <wp:extent cx="5514977" cy="1030172"/>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5547227" cy="1036196"/>
                    </a:xfrm>
                    <a:prstGeom prst="rect">
                      <a:avLst/>
                    </a:prstGeom>
                  </pic:spPr>
                </pic:pic>
              </a:graphicData>
            </a:graphic>
          </wp:inline>
        </w:drawing>
      </w:r>
    </w:p>
    <w:p w14:paraId="56F24438" w14:textId="2553B978" w:rsidR="0020586A" w:rsidRPr="00F562A8" w:rsidRDefault="0020586A" w:rsidP="0020586A">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Pr>
          <w:rFonts w:ascii="Times New Roman" w:hAnsi="Times New Roman" w:cs="Times New Roman"/>
          <w:sz w:val="26"/>
          <w:szCs w:val="26"/>
        </w:rPr>
        <w:t>7</w:t>
      </w:r>
      <w:r w:rsidRPr="00F562A8">
        <w:rPr>
          <w:rFonts w:ascii="Times New Roman" w:hAnsi="Times New Roman" w:cs="Times New Roman"/>
          <w:sz w:val="26"/>
          <w:szCs w:val="26"/>
        </w:rPr>
        <w:t>.</w:t>
      </w:r>
      <w:r w:rsidR="00C7646B">
        <w:rPr>
          <w:rFonts w:ascii="Times New Roman" w:hAnsi="Times New Roman" w:cs="Times New Roman"/>
          <w:sz w:val="26"/>
          <w:szCs w:val="26"/>
        </w:rPr>
        <w:t>3</w:t>
      </w:r>
      <w:r>
        <w:rPr>
          <w:rFonts w:ascii="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w:t>
      </w:r>
      <w:r w:rsidR="008345AC">
        <w:rPr>
          <w:rFonts w:ascii="Times New Roman" w:hAnsi="Times New Roman" w:cs="Times New Roman"/>
          <w:sz w:val="26"/>
          <w:szCs w:val="26"/>
        </w:rPr>
        <w:t>дву</w:t>
      </w:r>
      <w:r w:rsidRPr="00F562A8">
        <w:rPr>
          <w:rFonts w:ascii="Times New Roman" w:hAnsi="Times New Roman" w:cs="Times New Roman"/>
          <w:sz w:val="26"/>
          <w:szCs w:val="26"/>
        </w:rPr>
        <w:t>хфакторные модели</w:t>
      </w:r>
    </w:p>
    <w:p w14:paraId="273007FD"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78AF411C"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7661C4F5"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1FCDD987"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371EC086"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31CC9C2A"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118FB5AD"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51396D16"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231ACA86" w14:textId="5663E839" w:rsidR="0020586A" w:rsidRPr="00F562A8" w:rsidRDefault="00183C53" w:rsidP="0020586A">
      <w:pPr>
        <w:spacing w:after="0" w:line="276" w:lineRule="auto"/>
        <w:jc w:val="center"/>
        <w:rPr>
          <w:rFonts w:ascii="Times New Roman" w:hAnsi="Times New Roman" w:cs="Times New Roman"/>
        </w:rPr>
      </w:pPr>
      <w:r w:rsidRPr="008E1B75">
        <w:rPr>
          <w:noProof/>
          <w:lang w:eastAsia="ru-RU"/>
        </w:rPr>
        <w:drawing>
          <wp:inline distT="0" distB="0" distL="0" distR="0" wp14:anchorId="577FC8FA" wp14:editId="06F3ADA0">
            <wp:extent cx="5881688" cy="1266825"/>
            <wp:effectExtent l="0" t="0" r="508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9"/>
                    <a:srcRect r="8233"/>
                    <a:stretch/>
                  </pic:blipFill>
                  <pic:spPr bwMode="auto">
                    <a:xfrm>
                      <a:off x="0" y="0"/>
                      <a:ext cx="5906510" cy="1272171"/>
                    </a:xfrm>
                    <a:prstGeom prst="rect">
                      <a:avLst/>
                    </a:prstGeom>
                    <a:ln>
                      <a:noFill/>
                    </a:ln>
                    <a:extLst>
                      <a:ext uri="{53640926-AAD7-44D8-BBD7-CCE9431645EC}">
                        <a14:shadowObscured xmlns:a14="http://schemas.microsoft.com/office/drawing/2010/main"/>
                      </a:ext>
                    </a:extLst>
                  </pic:spPr>
                </pic:pic>
              </a:graphicData>
            </a:graphic>
          </wp:inline>
        </w:drawing>
      </w:r>
    </w:p>
    <w:p w14:paraId="55D82EE0" w14:textId="4F557AF0" w:rsidR="0020586A" w:rsidRPr="00F562A8" w:rsidRDefault="0020586A" w:rsidP="0020586A">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Pr>
          <w:rFonts w:ascii="Times New Roman" w:hAnsi="Times New Roman" w:cs="Times New Roman"/>
          <w:sz w:val="26"/>
          <w:szCs w:val="26"/>
        </w:rPr>
        <w:t>7</w:t>
      </w:r>
      <w:r w:rsidRPr="00F562A8">
        <w:rPr>
          <w:rFonts w:ascii="Times New Roman" w:hAnsi="Times New Roman" w:cs="Times New Roman"/>
          <w:sz w:val="26"/>
          <w:szCs w:val="26"/>
        </w:rPr>
        <w:t>.</w:t>
      </w:r>
      <w:r w:rsidR="00C7646B">
        <w:rPr>
          <w:rFonts w:ascii="Times New Roman" w:hAnsi="Times New Roman" w:cs="Times New Roman"/>
          <w:sz w:val="26"/>
          <w:szCs w:val="26"/>
        </w:rPr>
        <w:t>3</w:t>
      </w:r>
      <w:r>
        <w:rPr>
          <w:rFonts w:ascii="Times New Roman" w:hAnsi="Times New Roman" w:cs="Times New Roman"/>
          <w:sz w:val="26"/>
          <w:szCs w:val="26"/>
        </w:rPr>
        <w:t>.2</w:t>
      </w:r>
      <w:r w:rsidRPr="00F562A8">
        <w:rPr>
          <w:rFonts w:ascii="Times New Roman" w:hAnsi="Times New Roman" w:cs="Times New Roman"/>
          <w:sz w:val="26"/>
          <w:szCs w:val="26"/>
        </w:rPr>
        <w:t xml:space="preserve"> -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618B2A0E"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32D93D65" w14:textId="77777777" w:rsidR="0020586A" w:rsidRPr="00F562A8" w:rsidRDefault="0020586A" w:rsidP="0020586A">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53150B28" w14:textId="77777777" w:rsidR="0020586A" w:rsidRPr="00F562A8" w:rsidRDefault="0020586A" w:rsidP="0020586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6959D199" w14:textId="48202F59" w:rsidR="0020586A" w:rsidRPr="00F562A8" w:rsidRDefault="00183C53" w:rsidP="0020586A">
      <w:pPr>
        <w:spacing w:after="0" w:line="276" w:lineRule="auto"/>
        <w:jc w:val="center"/>
        <w:rPr>
          <w:rFonts w:ascii="Times New Roman" w:hAnsi="Times New Roman" w:cs="Times New Roman"/>
          <w:lang w:val="en-US"/>
        </w:rPr>
      </w:pPr>
      <w:r w:rsidRPr="008E1B75">
        <w:rPr>
          <w:noProof/>
          <w:lang w:eastAsia="ru-RU"/>
        </w:rPr>
        <w:drawing>
          <wp:inline distT="0" distB="0" distL="0" distR="0" wp14:anchorId="74FCA957" wp14:editId="1BF95AE1">
            <wp:extent cx="3077004" cy="1076475"/>
            <wp:effectExtent l="0" t="0" r="9525" b="9525"/>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3077004" cy="1076475"/>
                    </a:xfrm>
                    <a:prstGeom prst="rect">
                      <a:avLst/>
                    </a:prstGeom>
                  </pic:spPr>
                </pic:pic>
              </a:graphicData>
            </a:graphic>
          </wp:inline>
        </w:drawing>
      </w:r>
    </w:p>
    <w:p w14:paraId="35CAD325" w14:textId="285FF9CD" w:rsidR="0020586A" w:rsidRPr="00F562A8" w:rsidRDefault="0020586A" w:rsidP="0020586A">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Pr>
          <w:rFonts w:ascii="Times New Roman" w:hAnsi="Times New Roman" w:cs="Times New Roman"/>
          <w:sz w:val="26"/>
          <w:szCs w:val="26"/>
        </w:rPr>
        <w:t>7</w:t>
      </w:r>
      <w:r w:rsidRPr="00F562A8">
        <w:rPr>
          <w:rFonts w:ascii="Times New Roman" w:hAnsi="Times New Roman" w:cs="Times New Roman"/>
          <w:sz w:val="26"/>
          <w:szCs w:val="26"/>
        </w:rPr>
        <w:t>.</w:t>
      </w:r>
      <w:r w:rsidR="00C7646B">
        <w:rPr>
          <w:rFonts w:ascii="Times New Roman" w:hAnsi="Times New Roman" w:cs="Times New Roman"/>
          <w:sz w:val="26"/>
          <w:szCs w:val="26"/>
        </w:rPr>
        <w:t>3</w:t>
      </w:r>
      <w:r>
        <w:rPr>
          <w:rFonts w:ascii="Times New Roman" w:hAnsi="Times New Roman" w:cs="Times New Roman"/>
          <w:sz w:val="26"/>
          <w:szCs w:val="26"/>
        </w:rPr>
        <w:t>.3</w:t>
      </w:r>
      <w:r w:rsidRPr="00F562A8">
        <w:rPr>
          <w:rFonts w:ascii="Times New Roman" w:hAnsi="Times New Roman" w:cs="Times New Roman"/>
          <w:sz w:val="26"/>
          <w:szCs w:val="26"/>
        </w:rPr>
        <w:t xml:space="preserve"> - Значения F-критерия Фишера</w:t>
      </w:r>
    </w:p>
    <w:p w14:paraId="4112EFE2" w14:textId="77777777" w:rsidR="0020586A" w:rsidRPr="00F562A8" w:rsidRDefault="0020586A" w:rsidP="0020586A">
      <w:pPr>
        <w:spacing w:after="0" w:line="276"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все три модели адекватно описывают статистические данные и их можно использовать для анализа и прогнозирования кадастровой стоимости (результативного признака). </w:t>
      </w:r>
    </w:p>
    <w:p w14:paraId="0E8988D9" w14:textId="77777777" w:rsidR="0020586A" w:rsidRPr="00F562A8" w:rsidRDefault="0020586A" w:rsidP="0020586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Наибольшее значение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имеет аддитивная модель, однако было учтено то, что она построена на основании ограниченной выборочной совокупности и адекватна на ограниченных интервалах независимых переменных. При расширении исходных данных прогнозное значение кадастровой стоимости может перейти в отрицательную область, что противоречит ее смыслу. Исходя из этого, для прогнозирования рационально выбрать экспоненциальную модель, которая всегда дает положительный прогноз. Экспоненциальная регрессионная модель имеет вид:</w:t>
      </w:r>
    </w:p>
    <w:p w14:paraId="1CB8E0E6" w14:textId="77777777" w:rsidR="00183C53" w:rsidRPr="008E1B75" w:rsidRDefault="0020586A" w:rsidP="00183C53">
      <w:pPr>
        <w:spacing w:after="0" w:line="240" w:lineRule="auto"/>
        <w:ind w:firstLine="709"/>
        <w:jc w:val="both"/>
        <w:rPr>
          <w:rFonts w:ascii="Arial" w:eastAsia="Times New Roman" w:hAnsi="Arial" w:cs="Arial"/>
          <w:sz w:val="20"/>
          <w:szCs w:val="20"/>
          <w:lang w:eastAsia="ru-RU"/>
        </w:rPr>
      </w:pPr>
      <w:r w:rsidRPr="00F562A8">
        <w:rPr>
          <w:rFonts w:ascii="Times New Roman" w:hAnsi="Times New Roman" w:cs="Times New Roman"/>
          <w:i/>
          <w:sz w:val="26"/>
          <w:szCs w:val="26"/>
        </w:rPr>
        <w:t xml:space="preserve">УПКС = </w:t>
      </w:r>
      <w:r w:rsidR="00183C53" w:rsidRPr="00183C53">
        <w:rPr>
          <w:rFonts w:ascii="Times New Roman" w:hAnsi="Times New Roman" w:cs="Times New Roman"/>
          <w:i/>
          <w:sz w:val="26"/>
          <w:szCs w:val="26"/>
        </w:rPr>
        <w:t xml:space="preserve">326.010657808754*e^(+0.0021059528246276*((320.00+-54.00-СНП Расстояние </w:t>
      </w:r>
      <w:bookmarkStart w:id="268" w:name="_Hlk106532163"/>
      <w:r w:rsidR="00183C53" w:rsidRPr="00183C53">
        <w:rPr>
          <w:rFonts w:ascii="Times New Roman" w:hAnsi="Times New Roman" w:cs="Times New Roman"/>
          <w:i/>
          <w:sz w:val="26"/>
          <w:szCs w:val="26"/>
        </w:rPr>
        <w:t>от населенного пункта до центра субъекта РФ (г. Воронеж)</w:t>
      </w:r>
      <w:bookmarkEnd w:id="268"/>
      <w:r w:rsidR="00183C53" w:rsidRPr="00183C53">
        <w:rPr>
          <w:rFonts w:ascii="Times New Roman" w:hAnsi="Times New Roman" w:cs="Times New Roman"/>
          <w:i/>
          <w:sz w:val="26"/>
          <w:szCs w:val="26"/>
        </w:rPr>
        <w:t>))+0.000114574831258613*__</w:t>
      </w:r>
      <w:bookmarkStart w:id="269" w:name="_Hlk106532176"/>
      <w:r w:rsidR="00183C53" w:rsidRPr="00183C53">
        <w:rPr>
          <w:rFonts w:ascii="Times New Roman" w:hAnsi="Times New Roman" w:cs="Times New Roman"/>
          <w:i/>
          <w:sz w:val="26"/>
          <w:szCs w:val="26"/>
        </w:rPr>
        <w:t>Численность населения в населенном пункте</w:t>
      </w:r>
      <w:bookmarkEnd w:id="269"/>
      <w:r w:rsidR="00183C53" w:rsidRPr="00183C53">
        <w:rPr>
          <w:rFonts w:ascii="Times New Roman" w:hAnsi="Times New Roman" w:cs="Times New Roman"/>
          <w:i/>
          <w:sz w:val="26"/>
          <w:szCs w:val="26"/>
        </w:rPr>
        <w:t>)</w:t>
      </w:r>
    </w:p>
    <w:p w14:paraId="1A81FC29" w14:textId="38DF2F88" w:rsidR="0020586A" w:rsidRDefault="0020586A" w:rsidP="00183C53">
      <w:pPr>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F-статистики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07B374A2" w14:textId="47033546" w:rsidR="0020586A" w:rsidRPr="00F562A8" w:rsidRDefault="00FA475C" w:rsidP="0020586A">
      <w:pPr>
        <w:spacing w:after="0" w:line="276" w:lineRule="auto"/>
        <w:jc w:val="center"/>
        <w:rPr>
          <w:rFonts w:ascii="Times New Roman" w:hAnsi="Times New Roman" w:cs="Times New Roman"/>
        </w:rPr>
      </w:pPr>
      <w:r w:rsidRPr="008E1B75">
        <w:rPr>
          <w:noProof/>
          <w:lang w:eastAsia="ru-RU"/>
        </w:rPr>
        <w:drawing>
          <wp:inline distT="0" distB="0" distL="0" distR="0" wp14:anchorId="6CC0D656" wp14:editId="1761C336">
            <wp:extent cx="5939155" cy="2524125"/>
            <wp:effectExtent l="0" t="0" r="4445" b="9525"/>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5940261" cy="2524595"/>
                    </a:xfrm>
                    <a:prstGeom prst="rect">
                      <a:avLst/>
                    </a:prstGeom>
                  </pic:spPr>
                </pic:pic>
              </a:graphicData>
            </a:graphic>
          </wp:inline>
        </w:drawing>
      </w:r>
    </w:p>
    <w:p w14:paraId="0A8E2620" w14:textId="4244CDB9" w:rsidR="0020586A" w:rsidRPr="00F562A8" w:rsidRDefault="0020586A" w:rsidP="0020586A">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w:t>
      </w:r>
      <w:r>
        <w:rPr>
          <w:rFonts w:ascii="Times New Roman" w:hAnsi="Times New Roman" w:cs="Times New Roman"/>
          <w:sz w:val="26"/>
          <w:szCs w:val="26"/>
        </w:rPr>
        <w:t>7</w:t>
      </w:r>
      <w:r w:rsidRPr="00F562A8">
        <w:rPr>
          <w:rFonts w:ascii="Times New Roman" w:hAnsi="Times New Roman" w:cs="Times New Roman"/>
          <w:sz w:val="26"/>
          <w:szCs w:val="26"/>
        </w:rPr>
        <w:t>.</w:t>
      </w:r>
      <w:r w:rsidR="00C7646B">
        <w:rPr>
          <w:rFonts w:ascii="Times New Roman" w:hAnsi="Times New Roman" w:cs="Times New Roman"/>
          <w:sz w:val="26"/>
          <w:szCs w:val="26"/>
        </w:rPr>
        <w:t>3</w:t>
      </w:r>
      <w:r>
        <w:rPr>
          <w:rFonts w:ascii="Times New Roman" w:hAnsi="Times New Roman" w:cs="Times New Roman"/>
          <w:sz w:val="26"/>
          <w:szCs w:val="26"/>
        </w:rPr>
        <w:t>.4</w:t>
      </w:r>
      <w:r w:rsidRPr="00F562A8">
        <w:rPr>
          <w:rFonts w:ascii="Times New Roman" w:hAnsi="Times New Roman" w:cs="Times New Roman"/>
          <w:sz w:val="26"/>
          <w:szCs w:val="26"/>
        </w:rPr>
        <w:t xml:space="preserve"> - Характеристика экспоненциальной модели и анализ качества выборки</w:t>
      </w:r>
    </w:p>
    <w:p w14:paraId="0A5940BE" w14:textId="155F7FAC" w:rsidR="0020586A" w:rsidRDefault="0020586A" w:rsidP="0020586A">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w:t>
      </w:r>
      <w:r w:rsidR="00FA475C">
        <w:rPr>
          <w:rFonts w:ascii="Times New Roman" w:hAnsi="Times New Roman" w:cs="Times New Roman"/>
          <w:sz w:val="26"/>
          <w:szCs w:val="26"/>
        </w:rPr>
        <w:t>о</w:t>
      </w:r>
      <w:r w:rsidRPr="00F562A8">
        <w:rPr>
          <w:rFonts w:ascii="Times New Roman" w:hAnsi="Times New Roman" w:cs="Times New Roman"/>
          <w:sz w:val="26"/>
          <w:szCs w:val="26"/>
        </w:rPr>
        <w:t>м</w:t>
      </w:r>
      <w:r w:rsidR="00FA475C">
        <w:rPr>
          <w:rFonts w:ascii="Times New Roman" w:hAnsi="Times New Roman" w:cs="Times New Roman"/>
          <w:sz w:val="26"/>
          <w:szCs w:val="26"/>
        </w:rPr>
        <w:t xml:space="preserve"> </w:t>
      </w:r>
      <w:r w:rsidR="00FA475C" w:rsidRPr="00F562A8">
        <w:rPr>
          <w:rFonts w:ascii="Times New Roman" w:hAnsi="Times New Roman" w:cs="Times New Roman"/>
          <w:sz w:val="26"/>
          <w:szCs w:val="26"/>
        </w:rPr>
        <w:t>Х</w:t>
      </w:r>
      <w:r w:rsidR="00FA475C"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 xml:space="preserve"> и кадастровой стоимостью обратная, то есть при росте эт</w:t>
      </w:r>
      <w:r w:rsidR="00FA475C">
        <w:rPr>
          <w:rFonts w:ascii="Times New Roman" w:hAnsi="Times New Roman" w:cs="Times New Roman"/>
          <w:sz w:val="26"/>
          <w:szCs w:val="26"/>
        </w:rPr>
        <w:t>ого</w:t>
      </w:r>
      <w:r w:rsidRPr="00F562A8">
        <w:rPr>
          <w:rFonts w:ascii="Times New Roman" w:hAnsi="Times New Roman" w:cs="Times New Roman"/>
          <w:sz w:val="26"/>
          <w:szCs w:val="26"/>
        </w:rPr>
        <w:t xml:space="preserve"> фактор</w:t>
      </w:r>
      <w:r w:rsidR="00FA475C">
        <w:rPr>
          <w:rFonts w:ascii="Times New Roman" w:hAnsi="Times New Roman" w:cs="Times New Roman"/>
          <w:sz w:val="26"/>
          <w:szCs w:val="26"/>
        </w:rPr>
        <w:t>а</w:t>
      </w:r>
      <w:r w:rsidRPr="00F562A8">
        <w:rPr>
          <w:rFonts w:ascii="Times New Roman" w:hAnsi="Times New Roman" w:cs="Times New Roman"/>
          <w:sz w:val="26"/>
          <w:szCs w:val="26"/>
        </w:rPr>
        <w:t xml:space="preserve"> кадастровая стоимость уменьшается.</w:t>
      </w:r>
      <w:r w:rsidR="00FA475C">
        <w:rPr>
          <w:rFonts w:ascii="Times New Roman" w:hAnsi="Times New Roman" w:cs="Times New Roman"/>
          <w:sz w:val="26"/>
          <w:szCs w:val="26"/>
        </w:rPr>
        <w:t xml:space="preserve"> </w:t>
      </w:r>
      <w:r w:rsidR="00FA475C" w:rsidRPr="00F562A8">
        <w:rPr>
          <w:rFonts w:ascii="Times New Roman" w:hAnsi="Times New Roman" w:cs="Times New Roman"/>
          <w:sz w:val="26"/>
          <w:szCs w:val="26"/>
        </w:rPr>
        <w:t>Влияние фактор</w:t>
      </w:r>
      <w:r w:rsidR="00FA475C">
        <w:rPr>
          <w:rFonts w:ascii="Times New Roman" w:hAnsi="Times New Roman" w:cs="Times New Roman"/>
          <w:sz w:val="26"/>
          <w:szCs w:val="26"/>
        </w:rPr>
        <w:t xml:space="preserve">а </w:t>
      </w:r>
      <w:r w:rsidR="00FA475C" w:rsidRPr="00F562A8">
        <w:rPr>
          <w:rFonts w:ascii="Times New Roman" w:hAnsi="Times New Roman" w:cs="Times New Roman"/>
          <w:sz w:val="26"/>
          <w:szCs w:val="26"/>
        </w:rPr>
        <w:t>Х</w:t>
      </w:r>
      <w:r w:rsidR="00FA475C">
        <w:rPr>
          <w:rFonts w:ascii="Times New Roman" w:hAnsi="Times New Roman" w:cs="Times New Roman"/>
          <w:sz w:val="26"/>
          <w:szCs w:val="26"/>
          <w:vertAlign w:val="subscript"/>
        </w:rPr>
        <w:t xml:space="preserve">1 </w:t>
      </w:r>
      <w:r w:rsidR="00FA475C" w:rsidRPr="00F562A8">
        <w:rPr>
          <w:rFonts w:ascii="Times New Roman" w:hAnsi="Times New Roman" w:cs="Times New Roman"/>
          <w:sz w:val="26"/>
          <w:szCs w:val="26"/>
        </w:rPr>
        <w:t>на кадастровую стоимость прямое и с ростом фактор</w:t>
      </w:r>
      <w:r w:rsidR="00FA475C">
        <w:rPr>
          <w:rFonts w:ascii="Times New Roman" w:hAnsi="Times New Roman" w:cs="Times New Roman"/>
          <w:sz w:val="26"/>
          <w:szCs w:val="26"/>
        </w:rPr>
        <w:t>а</w:t>
      </w:r>
      <w:r w:rsidR="00FA475C" w:rsidRPr="00F562A8">
        <w:rPr>
          <w:rFonts w:ascii="Times New Roman" w:hAnsi="Times New Roman" w:cs="Times New Roman"/>
          <w:sz w:val="26"/>
          <w:szCs w:val="26"/>
        </w:rPr>
        <w:t xml:space="preserve"> кадастровая стоимость </w:t>
      </w:r>
      <w:r w:rsidR="00FA475C" w:rsidRPr="00490140">
        <w:rPr>
          <w:rFonts w:ascii="Times New Roman" w:hAnsi="Times New Roman" w:cs="Times New Roman"/>
          <w:sz w:val="26"/>
          <w:szCs w:val="26"/>
        </w:rPr>
        <w:t>растет</w:t>
      </w:r>
      <w:r w:rsidR="00FA475C">
        <w:rPr>
          <w:rFonts w:ascii="Times New Roman" w:hAnsi="Times New Roman" w:cs="Times New Roman"/>
          <w:sz w:val="26"/>
          <w:szCs w:val="26"/>
        </w:rPr>
        <w:t>.</w:t>
      </w:r>
      <w:r w:rsidRPr="00F562A8">
        <w:rPr>
          <w:rFonts w:ascii="Times New Roman" w:hAnsi="Times New Roman" w:cs="Times New Roman"/>
          <w:sz w:val="26"/>
          <w:szCs w:val="26"/>
        </w:rPr>
        <w:t xml:space="preserve"> 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1D156575" w14:textId="3F8F7462" w:rsidR="0020586A" w:rsidRDefault="00B757FC" w:rsidP="0020586A">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D1336B" w:rsidRPr="00F562A8">
        <w:rPr>
          <w:rFonts w:ascii="Times New Roman" w:eastAsiaTheme="minorEastAsia" w:hAnsi="Times New Roman" w:cs="Times New Roman"/>
          <w:sz w:val="26"/>
          <w:szCs w:val="26"/>
        </w:rPr>
        <w:t>2/2</w:t>
      </w:r>
      <w:r w:rsidR="00D1336B">
        <w:rPr>
          <w:rFonts w:ascii="Times New Roman" w:eastAsiaTheme="minorEastAsia" w:hAnsi="Times New Roman" w:cs="Times New Roman"/>
          <w:sz w:val="26"/>
          <w:szCs w:val="26"/>
        </w:rPr>
        <w:t>.</w:t>
      </w:r>
      <w:r w:rsidR="00D1336B" w:rsidRPr="00F562A8">
        <w:rPr>
          <w:rFonts w:ascii="Times New Roman" w:eastAsiaTheme="minorEastAsia" w:hAnsi="Times New Roman" w:cs="Times New Roman"/>
          <w:sz w:val="26"/>
          <w:szCs w:val="26"/>
        </w:rPr>
        <w:t>4</w:t>
      </w:r>
      <w:r w:rsidR="00D1336B">
        <w:rPr>
          <w:rFonts w:ascii="Times New Roman" w:eastAsiaTheme="minorEastAsia" w:hAnsi="Times New Roman" w:cs="Times New Roman"/>
          <w:sz w:val="26"/>
          <w:szCs w:val="26"/>
        </w:rPr>
        <w:t>/2.4.7.</w:t>
      </w:r>
    </w:p>
    <w:p w14:paraId="1B30F536" w14:textId="77777777" w:rsidR="007A0D6E" w:rsidRDefault="007A0D6E" w:rsidP="00114501">
      <w:pPr>
        <w:spacing w:after="0" w:line="276" w:lineRule="auto"/>
        <w:ind w:firstLine="709"/>
        <w:jc w:val="both"/>
        <w:rPr>
          <w:rFonts w:ascii="Times New Roman" w:hAnsi="Times New Roman" w:cs="Times New Roman"/>
          <w:i/>
          <w:sz w:val="26"/>
          <w:szCs w:val="26"/>
        </w:rPr>
      </w:pPr>
    </w:p>
    <w:p w14:paraId="513404D7" w14:textId="77777777" w:rsidR="007A0D6E" w:rsidRDefault="007A0D6E" w:rsidP="002B081A">
      <w:pPr>
        <w:spacing w:after="0" w:line="276" w:lineRule="auto"/>
        <w:ind w:firstLine="709"/>
        <w:jc w:val="both"/>
        <w:rPr>
          <w:rFonts w:ascii="Times New Roman" w:hAnsi="Times New Roman" w:cs="Times New Roman"/>
          <w:i/>
          <w:sz w:val="26"/>
          <w:szCs w:val="26"/>
        </w:rPr>
      </w:pPr>
    </w:p>
    <w:p w14:paraId="01F76D0B" w14:textId="403BCCFE" w:rsidR="00845263" w:rsidRPr="00F562A8" w:rsidRDefault="00954B5D" w:rsidP="0020586A">
      <w:pPr>
        <w:pStyle w:val="ab"/>
        <w:ind w:left="0" w:firstLine="567"/>
        <w:jc w:val="center"/>
        <w:outlineLvl w:val="2"/>
        <w:rPr>
          <w:rFonts w:ascii="Times New Roman" w:hAnsi="Times New Roman" w:cs="Times New Roman"/>
          <w:i/>
          <w:sz w:val="26"/>
          <w:szCs w:val="26"/>
        </w:rPr>
      </w:pPr>
      <w:bookmarkStart w:id="270" w:name="_Toc110507008"/>
      <w:r w:rsidRPr="00DC7772">
        <w:rPr>
          <w:rFonts w:ascii="Times New Roman" w:hAnsi="Times New Roman" w:cs="Times New Roman"/>
          <w:i/>
          <w:sz w:val="26"/>
          <w:szCs w:val="26"/>
        </w:rPr>
        <w:t>3.6.7.</w:t>
      </w:r>
      <w:r w:rsidR="0020586A" w:rsidRPr="00DC7772">
        <w:rPr>
          <w:rFonts w:ascii="Times New Roman" w:hAnsi="Times New Roman" w:cs="Times New Roman"/>
          <w:i/>
          <w:sz w:val="26"/>
          <w:szCs w:val="26"/>
        </w:rPr>
        <w:t>4</w:t>
      </w:r>
      <w:r w:rsidRPr="00DC7772">
        <w:rPr>
          <w:rFonts w:ascii="Times New Roman" w:hAnsi="Times New Roman" w:cs="Times New Roman"/>
          <w:i/>
          <w:sz w:val="26"/>
          <w:szCs w:val="26"/>
        </w:rPr>
        <w:t>.</w:t>
      </w:r>
      <w:r w:rsidRPr="00F562A8">
        <w:rPr>
          <w:rFonts w:ascii="Times New Roman" w:hAnsi="Times New Roman" w:cs="Times New Roman"/>
          <w:i/>
          <w:sz w:val="26"/>
          <w:szCs w:val="26"/>
        </w:rPr>
        <w:t xml:space="preserve"> </w:t>
      </w:r>
      <w:r w:rsidR="00BD1264" w:rsidRPr="00F562A8">
        <w:rPr>
          <w:rFonts w:ascii="Times New Roman" w:hAnsi="Times New Roman" w:cs="Times New Roman"/>
          <w:i/>
          <w:sz w:val="26"/>
          <w:szCs w:val="26"/>
        </w:rPr>
        <w:t xml:space="preserve">Расчет земельных участков, отнесенные к группе </w:t>
      </w:r>
      <w:r w:rsidR="00845263" w:rsidRPr="00CB1C5E">
        <w:rPr>
          <w:rFonts w:ascii="Times New Roman" w:hAnsi="Times New Roman" w:cs="Times New Roman"/>
          <w:i/>
          <w:sz w:val="26"/>
          <w:szCs w:val="26"/>
        </w:rPr>
        <w:t>ТРАНСПОРТ/</w:t>
      </w:r>
      <w:r w:rsidR="00845263">
        <w:rPr>
          <w:rFonts w:ascii="Times New Roman" w:hAnsi="Times New Roman" w:cs="Times New Roman"/>
          <w:i/>
          <w:sz w:val="26"/>
          <w:szCs w:val="26"/>
        </w:rPr>
        <w:t>УПКС</w:t>
      </w:r>
      <w:bookmarkEnd w:id="270"/>
    </w:p>
    <w:p w14:paraId="2E217282" w14:textId="6C596FF3" w:rsidR="00A50F7F" w:rsidRPr="00F562A8" w:rsidRDefault="00A50F7F" w:rsidP="007A0D6E">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D1336B" w:rsidRPr="00F562A8">
        <w:rPr>
          <w:rFonts w:ascii="Times New Roman" w:eastAsiaTheme="minorEastAsia" w:hAnsi="Times New Roman" w:cs="Times New Roman"/>
          <w:sz w:val="26"/>
          <w:szCs w:val="26"/>
        </w:rPr>
        <w:t>2/2</w:t>
      </w:r>
      <w:r w:rsidR="00D1336B">
        <w:rPr>
          <w:rFonts w:ascii="Times New Roman" w:eastAsiaTheme="minorEastAsia" w:hAnsi="Times New Roman" w:cs="Times New Roman"/>
          <w:sz w:val="26"/>
          <w:szCs w:val="26"/>
        </w:rPr>
        <w:t>.</w:t>
      </w:r>
      <w:r w:rsidR="00D1336B" w:rsidRPr="00F562A8">
        <w:rPr>
          <w:rFonts w:ascii="Times New Roman" w:eastAsiaTheme="minorEastAsia" w:hAnsi="Times New Roman" w:cs="Times New Roman"/>
          <w:sz w:val="26"/>
          <w:szCs w:val="26"/>
        </w:rPr>
        <w:t>4</w:t>
      </w:r>
      <w:r w:rsidR="00D1336B">
        <w:rPr>
          <w:rFonts w:ascii="Times New Roman" w:eastAsiaTheme="minorEastAsia" w:hAnsi="Times New Roman" w:cs="Times New Roman"/>
          <w:sz w:val="26"/>
          <w:szCs w:val="26"/>
        </w:rPr>
        <w:t>/2.4.7.</w:t>
      </w:r>
    </w:p>
    <w:p w14:paraId="5432AFC8" w14:textId="63F4C53F" w:rsidR="00A50F7F" w:rsidRPr="00A50F7F" w:rsidRDefault="00A50F7F" w:rsidP="007A0D6E">
      <w:pPr>
        <w:spacing w:after="0" w:line="276" w:lineRule="auto"/>
        <w:ind w:firstLine="709"/>
        <w:jc w:val="both"/>
        <w:rPr>
          <w:rFonts w:ascii="Times New Roman" w:hAnsi="Times New Roman" w:cs="Times New Roman"/>
          <w:bCs/>
          <w:sz w:val="26"/>
          <w:szCs w:val="26"/>
        </w:rPr>
      </w:pPr>
      <w:r>
        <w:rPr>
          <w:rFonts w:ascii="Times New Roman" w:hAnsi="Times New Roman" w:cs="Times New Roman"/>
          <w:sz w:val="26"/>
          <w:szCs w:val="26"/>
        </w:rPr>
        <w:t>В со</w:t>
      </w:r>
      <w:r w:rsidRPr="00A50F7F">
        <w:rPr>
          <w:rFonts w:ascii="Times New Roman" w:hAnsi="Times New Roman" w:cs="Times New Roman"/>
          <w:bCs/>
          <w:sz w:val="26"/>
          <w:szCs w:val="26"/>
        </w:rPr>
        <w:t>став группы ТРАНСПОРТ/УПКС вошли следующие коды расчета видов использования: 07:000, 02:071, 04:021, 04:031, 04:090, 04:091, 04:092, 04:093, 04:094, 07:023, 07:024.</w:t>
      </w:r>
    </w:p>
    <w:p w14:paraId="378E5B3B" w14:textId="7E9D7384" w:rsidR="00A50F7F" w:rsidRPr="00F562A8" w:rsidRDefault="00A50F7F" w:rsidP="007A0D6E">
      <w:pPr>
        <w:spacing w:after="0" w:line="300" w:lineRule="auto"/>
        <w:ind w:firstLine="709"/>
        <w:jc w:val="both"/>
        <w:rPr>
          <w:rFonts w:ascii="Times New Roman" w:hAnsi="Times New Roman" w:cs="Times New Roman"/>
          <w:bCs/>
          <w:sz w:val="26"/>
          <w:szCs w:val="26"/>
        </w:rPr>
      </w:pPr>
      <w:r w:rsidRPr="00F562A8">
        <w:rPr>
          <w:rFonts w:ascii="Times New Roman" w:hAnsi="Times New Roman" w:cs="Times New Roman"/>
          <w:bCs/>
          <w:sz w:val="26"/>
          <w:szCs w:val="26"/>
        </w:rPr>
        <w:t xml:space="preserve">В группу </w:t>
      </w:r>
      <w:r w:rsidRPr="00A50F7F">
        <w:rPr>
          <w:rFonts w:ascii="Times New Roman" w:hAnsi="Times New Roman" w:cs="Times New Roman"/>
          <w:bCs/>
          <w:sz w:val="26"/>
          <w:szCs w:val="26"/>
        </w:rPr>
        <w:t>ТРАНСПОРТ</w:t>
      </w:r>
      <w:r>
        <w:rPr>
          <w:rFonts w:ascii="Times New Roman" w:hAnsi="Times New Roman" w:cs="Times New Roman"/>
          <w:bCs/>
          <w:sz w:val="26"/>
          <w:szCs w:val="26"/>
        </w:rPr>
        <w:t>/УПКС</w:t>
      </w:r>
      <w:r w:rsidRPr="00F562A8">
        <w:rPr>
          <w:rFonts w:ascii="Times New Roman" w:hAnsi="Times New Roman" w:cs="Times New Roman"/>
          <w:bCs/>
          <w:sz w:val="26"/>
          <w:szCs w:val="26"/>
        </w:rPr>
        <w:t xml:space="preserve"> включены объекты, не имеющие точной характеристики местоположения объектов (без факторов). </w:t>
      </w:r>
    </w:p>
    <w:p w14:paraId="5C81F248" w14:textId="77777777" w:rsidR="00B32218" w:rsidRPr="00B32218" w:rsidRDefault="00B32218" w:rsidP="00B32218">
      <w:pPr>
        <w:spacing w:after="0" w:line="300" w:lineRule="auto"/>
        <w:ind w:firstLine="709"/>
        <w:jc w:val="both"/>
        <w:rPr>
          <w:rFonts w:ascii="Times New Roman" w:hAnsi="Times New Roman" w:cs="Times New Roman"/>
          <w:bCs/>
          <w:sz w:val="26"/>
          <w:szCs w:val="26"/>
        </w:rPr>
      </w:pPr>
      <w:r w:rsidRPr="00B32218">
        <w:rPr>
          <w:rFonts w:ascii="Times New Roman" w:hAnsi="Times New Roman" w:cs="Times New Roman"/>
          <w:bCs/>
          <w:sz w:val="26"/>
          <w:szCs w:val="26"/>
        </w:rPr>
        <w:t xml:space="preserve">Расчет кадастровой стоимости земельных участков данной группы проведен на основании средних удельных показателей кадастровой стоимости текущего сегмента с учетом кода расчета вида использования по кадастровому кварталу, в котором расположены объекты оценки. </w:t>
      </w:r>
    </w:p>
    <w:p w14:paraId="495CA9F6" w14:textId="30888D46" w:rsidR="009D2B9A" w:rsidRDefault="00B32218" w:rsidP="00B32218">
      <w:pPr>
        <w:spacing w:after="0" w:line="300" w:lineRule="auto"/>
        <w:ind w:firstLine="709"/>
        <w:jc w:val="both"/>
        <w:rPr>
          <w:rFonts w:ascii="Times New Roman" w:hAnsi="Times New Roman" w:cs="Times New Roman"/>
          <w:bCs/>
          <w:sz w:val="26"/>
          <w:szCs w:val="26"/>
        </w:rPr>
      </w:pPr>
      <w:r w:rsidRPr="00B32218">
        <w:rPr>
          <w:rFonts w:ascii="Times New Roman" w:hAnsi="Times New Roman" w:cs="Times New Roman"/>
          <w:bCs/>
          <w:sz w:val="26"/>
          <w:szCs w:val="26"/>
        </w:rPr>
        <w:t xml:space="preserve">В случае отсутствия таких показателей, по средним значениям удельных показателей кадастровой стоимости в населенном пункте, а в случае отсутствия и этих значений, по средним значениям удельных показателей кадастровой стоимости в муниципальном районе, а в случае отсутствия и этих значений, по средним значениям удельных показателей кадастровой </w:t>
      </w:r>
      <w:r w:rsidR="00094CDD" w:rsidRPr="00094CDD">
        <w:rPr>
          <w:rFonts w:ascii="Times New Roman" w:hAnsi="Times New Roman" w:cs="Times New Roman"/>
          <w:bCs/>
          <w:sz w:val="26"/>
          <w:szCs w:val="26"/>
        </w:rPr>
        <w:t>Воронежской области</w:t>
      </w:r>
      <w:r w:rsidRPr="00B32218">
        <w:rPr>
          <w:rFonts w:ascii="Times New Roman" w:hAnsi="Times New Roman" w:cs="Times New Roman"/>
          <w:bCs/>
          <w:sz w:val="26"/>
          <w:szCs w:val="26"/>
        </w:rPr>
        <w:t xml:space="preserve">. </w:t>
      </w:r>
    </w:p>
    <w:p w14:paraId="46A35591" w14:textId="61064A49" w:rsidR="00A50F7F" w:rsidRPr="00F562A8" w:rsidRDefault="00B757FC" w:rsidP="00B32218">
      <w:pPr>
        <w:spacing w:after="0" w:line="300" w:lineRule="auto"/>
        <w:ind w:firstLine="709"/>
        <w:jc w:val="both"/>
        <w:rPr>
          <w:rFonts w:ascii="Times New Roman" w:hAnsi="Times New Roman" w:cs="Times New Roman"/>
          <w:bCs/>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D1336B" w:rsidRPr="00F562A8">
        <w:rPr>
          <w:rFonts w:ascii="Times New Roman" w:eastAsiaTheme="minorEastAsia" w:hAnsi="Times New Roman" w:cs="Times New Roman"/>
          <w:sz w:val="26"/>
          <w:szCs w:val="26"/>
        </w:rPr>
        <w:t>2/2</w:t>
      </w:r>
      <w:r w:rsidR="00D1336B">
        <w:rPr>
          <w:rFonts w:ascii="Times New Roman" w:eastAsiaTheme="minorEastAsia" w:hAnsi="Times New Roman" w:cs="Times New Roman"/>
          <w:sz w:val="26"/>
          <w:szCs w:val="26"/>
        </w:rPr>
        <w:t>.</w:t>
      </w:r>
      <w:r w:rsidR="00D1336B" w:rsidRPr="00F562A8">
        <w:rPr>
          <w:rFonts w:ascii="Times New Roman" w:eastAsiaTheme="minorEastAsia" w:hAnsi="Times New Roman" w:cs="Times New Roman"/>
          <w:sz w:val="26"/>
          <w:szCs w:val="26"/>
        </w:rPr>
        <w:t>4</w:t>
      </w:r>
      <w:r w:rsidR="00D1336B">
        <w:rPr>
          <w:rFonts w:ascii="Times New Roman" w:eastAsiaTheme="minorEastAsia" w:hAnsi="Times New Roman" w:cs="Times New Roman"/>
          <w:sz w:val="26"/>
          <w:szCs w:val="26"/>
        </w:rPr>
        <w:t>/2.4.7.</w:t>
      </w:r>
    </w:p>
    <w:p w14:paraId="2B28FD63" w14:textId="099F735B" w:rsidR="005A2B1C" w:rsidRDefault="005A2B1C" w:rsidP="006F6435">
      <w:pPr>
        <w:spacing w:after="0" w:line="276" w:lineRule="auto"/>
        <w:rPr>
          <w:rFonts w:ascii="Times New Roman" w:eastAsiaTheme="minorEastAsia" w:hAnsi="Times New Roman" w:cs="Times New Roman"/>
          <w:i/>
          <w:sz w:val="16"/>
          <w:szCs w:val="16"/>
        </w:rPr>
      </w:pPr>
    </w:p>
    <w:p w14:paraId="3196CFEB" w14:textId="29731A8D" w:rsidR="00160119" w:rsidRPr="00F562A8" w:rsidRDefault="00A76705" w:rsidP="00A55966">
      <w:pPr>
        <w:pStyle w:val="ab"/>
        <w:spacing w:before="120" w:after="0" w:line="240" w:lineRule="auto"/>
        <w:ind w:left="0"/>
        <w:contextualSpacing w:val="0"/>
        <w:jc w:val="center"/>
        <w:outlineLvl w:val="1"/>
        <w:rPr>
          <w:rFonts w:ascii="Times New Roman" w:hAnsi="Times New Roman" w:cs="Times New Roman"/>
          <w:b/>
          <w:sz w:val="26"/>
          <w:szCs w:val="26"/>
        </w:rPr>
      </w:pPr>
      <w:bookmarkStart w:id="271" w:name="_Toc110507009"/>
      <w:r w:rsidRPr="00F562A8">
        <w:rPr>
          <w:rFonts w:ascii="Times New Roman" w:hAnsi="Times New Roman" w:cs="Times New Roman"/>
          <w:b/>
          <w:sz w:val="26"/>
          <w:szCs w:val="26"/>
        </w:rPr>
        <w:t xml:space="preserve">3.6.8. </w:t>
      </w:r>
      <w:r w:rsidR="00306BF5" w:rsidRPr="00F562A8">
        <w:rPr>
          <w:rFonts w:ascii="Times New Roman" w:hAnsi="Times New Roman" w:cs="Times New Roman"/>
          <w:b/>
          <w:sz w:val="26"/>
          <w:szCs w:val="26"/>
        </w:rPr>
        <w:t>Сегмент 8. «Обеспечение обороны и безопасности»</w:t>
      </w:r>
      <w:bookmarkEnd w:id="271"/>
      <w:r w:rsidR="00306BF5" w:rsidRPr="00F562A8">
        <w:rPr>
          <w:rFonts w:ascii="Times New Roman" w:hAnsi="Times New Roman" w:cs="Times New Roman"/>
          <w:b/>
          <w:sz w:val="26"/>
          <w:szCs w:val="26"/>
        </w:rPr>
        <w:t xml:space="preserve"> </w:t>
      </w:r>
    </w:p>
    <w:p w14:paraId="4D48E664" w14:textId="77777777" w:rsidR="00696100" w:rsidRPr="00F562A8" w:rsidRDefault="00696100" w:rsidP="006F6435">
      <w:pPr>
        <w:pStyle w:val="ab"/>
        <w:spacing w:after="0" w:line="276" w:lineRule="auto"/>
        <w:ind w:left="1069"/>
        <w:rPr>
          <w:rFonts w:ascii="Times New Roman" w:eastAsiaTheme="minorEastAsia" w:hAnsi="Times New Roman" w:cs="Times New Roman"/>
          <w:i/>
          <w:sz w:val="16"/>
          <w:szCs w:val="16"/>
        </w:rPr>
      </w:pPr>
    </w:p>
    <w:p w14:paraId="7DA2CAF1" w14:textId="77CC6BDB" w:rsidR="00696100" w:rsidRPr="00F562A8" w:rsidRDefault="00696100" w:rsidP="002D4BEA">
      <w:pPr>
        <w:pStyle w:val="ab"/>
        <w:ind w:left="0"/>
        <w:jc w:val="center"/>
        <w:outlineLvl w:val="2"/>
        <w:rPr>
          <w:rFonts w:ascii="Times New Roman" w:hAnsi="Times New Roman" w:cs="Times New Roman"/>
          <w:i/>
          <w:sz w:val="26"/>
          <w:szCs w:val="26"/>
        </w:rPr>
      </w:pPr>
      <w:bookmarkStart w:id="272" w:name="_Toc110507010"/>
      <w:r w:rsidRPr="00DC7772">
        <w:rPr>
          <w:rFonts w:ascii="Times New Roman" w:hAnsi="Times New Roman" w:cs="Times New Roman"/>
          <w:i/>
          <w:sz w:val="26"/>
          <w:szCs w:val="26"/>
        </w:rPr>
        <w:t>3.6.8.1.</w:t>
      </w:r>
      <w:r w:rsidRPr="00F562A8">
        <w:rPr>
          <w:rFonts w:ascii="Times New Roman" w:hAnsi="Times New Roman" w:cs="Times New Roman"/>
          <w:i/>
          <w:sz w:val="26"/>
          <w:szCs w:val="26"/>
        </w:rPr>
        <w:t xml:space="preserve"> Расчет кадастровой стоимости земельных участков группы </w:t>
      </w:r>
      <w:r w:rsidR="007B32AA">
        <w:rPr>
          <w:rFonts w:ascii="Times New Roman" w:hAnsi="Times New Roman" w:cs="Times New Roman"/>
          <w:i/>
          <w:sz w:val="26"/>
          <w:szCs w:val="26"/>
        </w:rPr>
        <w:t>БЕЗОПАСНОСТЬ</w:t>
      </w:r>
      <w:bookmarkEnd w:id="272"/>
    </w:p>
    <w:p w14:paraId="4D731812" w14:textId="7DF88402" w:rsidR="007B7562" w:rsidRPr="00F562A8" w:rsidRDefault="007B7562" w:rsidP="006F6435">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Перечень объектов оценки данной группы приведен в Приложении 2/2.4</w:t>
      </w:r>
      <w:r w:rsidR="00D1336B">
        <w:rPr>
          <w:rFonts w:ascii="Times New Roman" w:eastAsiaTheme="minorEastAsia" w:hAnsi="Times New Roman" w:cs="Times New Roman"/>
          <w:sz w:val="26"/>
          <w:szCs w:val="26"/>
        </w:rPr>
        <w:t>/2.4.8.</w:t>
      </w:r>
    </w:p>
    <w:p w14:paraId="659D8A14" w14:textId="78CC77BB" w:rsidR="007B32AA" w:rsidRDefault="007B32AA" w:rsidP="007B32AA">
      <w:pPr>
        <w:pStyle w:val="ConsPlusNormal"/>
        <w:spacing w:line="276" w:lineRule="auto"/>
        <w:ind w:firstLine="709"/>
        <w:jc w:val="both"/>
        <w:rPr>
          <w:rFonts w:ascii="Times New Roman" w:hAnsi="Times New Roman" w:cs="Times New Roman"/>
          <w:sz w:val="26"/>
          <w:szCs w:val="26"/>
          <w:lang w:eastAsia="en-US"/>
        </w:rPr>
      </w:pPr>
      <w:r>
        <w:rPr>
          <w:rFonts w:ascii="Times New Roman" w:hAnsi="Times New Roman" w:cs="Times New Roman"/>
          <w:sz w:val="26"/>
          <w:szCs w:val="26"/>
          <w:lang w:eastAsia="en-US"/>
        </w:rPr>
        <w:t>В со</w:t>
      </w:r>
      <w:r w:rsidRPr="007B32AA">
        <w:rPr>
          <w:rFonts w:ascii="Times New Roman" w:hAnsi="Times New Roman" w:cs="Times New Roman"/>
          <w:sz w:val="26"/>
          <w:szCs w:val="26"/>
          <w:lang w:eastAsia="en-US"/>
        </w:rPr>
        <w:t>став группы БЕЗОПАСНОСТЬ вошли следующие</w:t>
      </w:r>
      <w:r w:rsidRPr="00A50F7F">
        <w:rPr>
          <w:rFonts w:ascii="Times New Roman" w:hAnsi="Times New Roman" w:cs="Times New Roman"/>
          <w:bCs/>
          <w:sz w:val="26"/>
          <w:szCs w:val="26"/>
        </w:rPr>
        <w:t xml:space="preserve"> коды расчета видов использования:</w:t>
      </w:r>
      <w:r w:rsidRPr="007B32AA">
        <w:t xml:space="preserve"> </w:t>
      </w:r>
      <w:r w:rsidRPr="007B32AA">
        <w:rPr>
          <w:rFonts w:ascii="Times New Roman" w:hAnsi="Times New Roman" w:cs="Times New Roman"/>
          <w:bCs/>
          <w:sz w:val="26"/>
          <w:szCs w:val="26"/>
        </w:rPr>
        <w:t>08:000, 08:020</w:t>
      </w:r>
      <w:r>
        <w:rPr>
          <w:rFonts w:ascii="Times New Roman" w:hAnsi="Times New Roman" w:cs="Times New Roman"/>
          <w:bCs/>
          <w:sz w:val="26"/>
          <w:szCs w:val="26"/>
        </w:rPr>
        <w:t>.</w:t>
      </w:r>
    </w:p>
    <w:p w14:paraId="22774B6A" w14:textId="473B8634" w:rsidR="007B32AA" w:rsidRDefault="003E67B8" w:rsidP="006F6435">
      <w:pPr>
        <w:spacing w:after="0" w:line="276" w:lineRule="auto"/>
        <w:ind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Расчет кадастровой стоимости земельных участков </w:t>
      </w:r>
      <w:r w:rsidR="007B32AA">
        <w:rPr>
          <w:rFonts w:ascii="Times New Roman" w:eastAsiaTheme="minorEastAsia" w:hAnsi="Times New Roman" w:cs="Times New Roman"/>
          <w:sz w:val="26"/>
          <w:szCs w:val="26"/>
        </w:rPr>
        <w:t>группы</w:t>
      </w:r>
      <w:r w:rsidR="007B32AA" w:rsidRPr="007B32AA">
        <w:rPr>
          <w:rFonts w:ascii="Times New Roman" w:hAnsi="Times New Roman" w:cs="Times New Roman"/>
          <w:sz w:val="26"/>
          <w:szCs w:val="26"/>
        </w:rPr>
        <w:t xml:space="preserve"> БЕЗОПАСНОСТЬ</w:t>
      </w:r>
      <w:r w:rsidR="007B32AA">
        <w:rPr>
          <w:rFonts w:ascii="Times New Roman" w:hAnsi="Times New Roman" w:cs="Times New Roman"/>
          <w:sz w:val="26"/>
          <w:szCs w:val="26"/>
        </w:rPr>
        <w:t xml:space="preserve"> проведен по </w:t>
      </w:r>
      <w:r w:rsidR="007B32AA" w:rsidRPr="007B32AA">
        <w:rPr>
          <w:rFonts w:ascii="Times New Roman" w:eastAsiaTheme="minorEastAsia" w:hAnsi="Times New Roman" w:cs="Times New Roman"/>
          <w:sz w:val="26"/>
          <w:szCs w:val="26"/>
        </w:rPr>
        <w:t>минимальн</w:t>
      </w:r>
      <w:r w:rsidR="00936EEB">
        <w:rPr>
          <w:rFonts w:ascii="Times New Roman" w:eastAsiaTheme="minorEastAsia" w:hAnsi="Times New Roman" w:cs="Times New Roman"/>
          <w:sz w:val="26"/>
          <w:szCs w:val="26"/>
        </w:rPr>
        <w:t>ы</w:t>
      </w:r>
      <w:r w:rsidR="00FE273F">
        <w:rPr>
          <w:rFonts w:ascii="Times New Roman" w:eastAsiaTheme="minorEastAsia" w:hAnsi="Times New Roman" w:cs="Times New Roman"/>
          <w:sz w:val="26"/>
          <w:szCs w:val="26"/>
        </w:rPr>
        <w:t>м</w:t>
      </w:r>
      <w:r w:rsidR="007B32AA" w:rsidRPr="007B32AA">
        <w:rPr>
          <w:rFonts w:ascii="Times New Roman" w:eastAsiaTheme="minorEastAsia" w:hAnsi="Times New Roman" w:cs="Times New Roman"/>
          <w:sz w:val="26"/>
          <w:szCs w:val="26"/>
        </w:rPr>
        <w:t xml:space="preserve"> </w:t>
      </w:r>
      <w:r w:rsidR="007B32AA">
        <w:rPr>
          <w:rFonts w:ascii="Times New Roman" w:eastAsiaTheme="minorEastAsia" w:hAnsi="Times New Roman" w:cs="Times New Roman"/>
          <w:sz w:val="26"/>
          <w:szCs w:val="26"/>
        </w:rPr>
        <w:t>удельн</w:t>
      </w:r>
      <w:r w:rsidR="00936EEB">
        <w:rPr>
          <w:rFonts w:ascii="Times New Roman" w:eastAsiaTheme="minorEastAsia" w:hAnsi="Times New Roman" w:cs="Times New Roman"/>
          <w:sz w:val="26"/>
          <w:szCs w:val="26"/>
        </w:rPr>
        <w:t>ы</w:t>
      </w:r>
      <w:r w:rsidR="00FE273F">
        <w:rPr>
          <w:rFonts w:ascii="Times New Roman" w:eastAsiaTheme="minorEastAsia" w:hAnsi="Times New Roman" w:cs="Times New Roman"/>
          <w:sz w:val="26"/>
          <w:szCs w:val="26"/>
        </w:rPr>
        <w:t>м</w:t>
      </w:r>
      <w:r w:rsidR="007B32AA">
        <w:rPr>
          <w:rFonts w:ascii="Times New Roman" w:eastAsiaTheme="minorEastAsia" w:hAnsi="Times New Roman" w:cs="Times New Roman"/>
          <w:sz w:val="26"/>
          <w:szCs w:val="26"/>
        </w:rPr>
        <w:t xml:space="preserve"> показател</w:t>
      </w:r>
      <w:r w:rsidR="00FE273F">
        <w:rPr>
          <w:rFonts w:ascii="Times New Roman" w:eastAsiaTheme="minorEastAsia" w:hAnsi="Times New Roman" w:cs="Times New Roman"/>
          <w:sz w:val="26"/>
          <w:szCs w:val="26"/>
        </w:rPr>
        <w:t>ям</w:t>
      </w:r>
      <w:r w:rsidR="007B32AA">
        <w:rPr>
          <w:rFonts w:ascii="Times New Roman" w:eastAsiaTheme="minorEastAsia" w:hAnsi="Times New Roman" w:cs="Times New Roman"/>
          <w:sz w:val="26"/>
          <w:szCs w:val="26"/>
        </w:rPr>
        <w:t xml:space="preserve"> кадастровой стоимости</w:t>
      </w:r>
      <w:r w:rsidR="007B32AA" w:rsidRPr="007B32AA">
        <w:rPr>
          <w:rFonts w:ascii="Times New Roman" w:eastAsiaTheme="minorEastAsia" w:hAnsi="Times New Roman" w:cs="Times New Roman"/>
          <w:sz w:val="26"/>
          <w:szCs w:val="26"/>
        </w:rPr>
        <w:t xml:space="preserve"> группы </w:t>
      </w:r>
      <w:r w:rsidR="007B32AA">
        <w:rPr>
          <w:rFonts w:ascii="Times New Roman" w:eastAsiaTheme="minorEastAsia" w:hAnsi="Times New Roman" w:cs="Times New Roman"/>
          <w:sz w:val="26"/>
          <w:szCs w:val="26"/>
        </w:rPr>
        <w:t>ПРОИЗВОДСТВО/</w:t>
      </w:r>
      <w:r w:rsidR="007B32AA" w:rsidRPr="007B32AA">
        <w:rPr>
          <w:rFonts w:ascii="Times New Roman" w:eastAsiaTheme="minorEastAsia" w:hAnsi="Times New Roman" w:cs="Times New Roman"/>
          <w:sz w:val="26"/>
          <w:szCs w:val="26"/>
        </w:rPr>
        <w:t>ПРОМ 6 сегмента кадастрового квартала, в котором расположены объекты оценки</w:t>
      </w:r>
      <w:r w:rsidR="007B32AA">
        <w:rPr>
          <w:rFonts w:ascii="Times New Roman" w:eastAsiaTheme="minorEastAsia" w:hAnsi="Times New Roman" w:cs="Times New Roman"/>
          <w:sz w:val="26"/>
          <w:szCs w:val="26"/>
        </w:rPr>
        <w:t>.</w:t>
      </w:r>
      <w:r w:rsidR="007B32AA" w:rsidRPr="007B32AA">
        <w:rPr>
          <w:rFonts w:ascii="Times New Roman" w:eastAsiaTheme="minorEastAsia" w:hAnsi="Times New Roman" w:cs="Times New Roman"/>
          <w:sz w:val="26"/>
          <w:szCs w:val="26"/>
        </w:rPr>
        <w:t xml:space="preserve"> </w:t>
      </w:r>
      <w:r w:rsidR="007B32AA">
        <w:rPr>
          <w:rFonts w:ascii="Times New Roman" w:eastAsiaTheme="minorEastAsia" w:hAnsi="Times New Roman" w:cs="Times New Roman"/>
          <w:sz w:val="26"/>
          <w:szCs w:val="26"/>
        </w:rPr>
        <w:t>В</w:t>
      </w:r>
      <w:r w:rsidR="007B32AA" w:rsidRPr="007B32AA">
        <w:rPr>
          <w:rFonts w:ascii="Times New Roman" w:eastAsiaTheme="minorEastAsia" w:hAnsi="Times New Roman" w:cs="Times New Roman"/>
          <w:sz w:val="26"/>
          <w:szCs w:val="26"/>
        </w:rPr>
        <w:t xml:space="preserve"> случае отсутствия</w:t>
      </w:r>
      <w:r w:rsidR="007B32AA">
        <w:rPr>
          <w:rFonts w:ascii="Times New Roman" w:eastAsiaTheme="minorEastAsia" w:hAnsi="Times New Roman" w:cs="Times New Roman"/>
          <w:sz w:val="26"/>
          <w:szCs w:val="26"/>
        </w:rPr>
        <w:t xml:space="preserve"> таки</w:t>
      </w:r>
      <w:r w:rsidR="00FE273F">
        <w:rPr>
          <w:rFonts w:ascii="Times New Roman" w:eastAsiaTheme="minorEastAsia" w:hAnsi="Times New Roman" w:cs="Times New Roman"/>
          <w:sz w:val="26"/>
          <w:szCs w:val="26"/>
        </w:rPr>
        <w:t>х показателей, расчет проведен по</w:t>
      </w:r>
      <w:r w:rsidR="007B32AA" w:rsidRPr="007B32AA">
        <w:rPr>
          <w:rFonts w:ascii="Times New Roman" w:eastAsiaTheme="minorEastAsia" w:hAnsi="Times New Roman" w:cs="Times New Roman"/>
          <w:sz w:val="26"/>
          <w:szCs w:val="26"/>
        </w:rPr>
        <w:t xml:space="preserve"> минимальны</w:t>
      </w:r>
      <w:r w:rsidR="00FE273F">
        <w:rPr>
          <w:rFonts w:ascii="Times New Roman" w:eastAsiaTheme="minorEastAsia" w:hAnsi="Times New Roman" w:cs="Times New Roman"/>
          <w:sz w:val="26"/>
          <w:szCs w:val="26"/>
        </w:rPr>
        <w:t>м</w:t>
      </w:r>
      <w:r w:rsidR="007B32AA" w:rsidRPr="007B32AA">
        <w:rPr>
          <w:rFonts w:ascii="Times New Roman" w:eastAsiaTheme="minorEastAsia" w:hAnsi="Times New Roman" w:cs="Times New Roman"/>
          <w:sz w:val="26"/>
          <w:szCs w:val="26"/>
        </w:rPr>
        <w:t xml:space="preserve"> </w:t>
      </w:r>
      <w:r w:rsidR="007B32AA">
        <w:rPr>
          <w:rFonts w:ascii="Times New Roman" w:eastAsiaTheme="minorEastAsia" w:hAnsi="Times New Roman" w:cs="Times New Roman"/>
          <w:sz w:val="26"/>
          <w:szCs w:val="26"/>
        </w:rPr>
        <w:t>удельны</w:t>
      </w:r>
      <w:r w:rsidR="00FE273F">
        <w:rPr>
          <w:rFonts w:ascii="Times New Roman" w:eastAsiaTheme="minorEastAsia" w:hAnsi="Times New Roman" w:cs="Times New Roman"/>
          <w:sz w:val="26"/>
          <w:szCs w:val="26"/>
        </w:rPr>
        <w:t>м</w:t>
      </w:r>
      <w:r w:rsidR="007B32AA">
        <w:rPr>
          <w:rFonts w:ascii="Times New Roman" w:eastAsiaTheme="minorEastAsia" w:hAnsi="Times New Roman" w:cs="Times New Roman"/>
          <w:sz w:val="26"/>
          <w:szCs w:val="26"/>
        </w:rPr>
        <w:t xml:space="preserve"> показател</w:t>
      </w:r>
      <w:r w:rsidR="00FE273F">
        <w:rPr>
          <w:rFonts w:ascii="Times New Roman" w:eastAsiaTheme="minorEastAsia" w:hAnsi="Times New Roman" w:cs="Times New Roman"/>
          <w:sz w:val="26"/>
          <w:szCs w:val="26"/>
        </w:rPr>
        <w:t>ям</w:t>
      </w:r>
      <w:r w:rsidR="007B32AA">
        <w:rPr>
          <w:rFonts w:ascii="Times New Roman" w:eastAsiaTheme="minorEastAsia" w:hAnsi="Times New Roman" w:cs="Times New Roman"/>
          <w:sz w:val="26"/>
          <w:szCs w:val="26"/>
        </w:rPr>
        <w:t xml:space="preserve"> кадастровой стоимости</w:t>
      </w:r>
      <w:r w:rsidR="007B32AA" w:rsidRPr="007B32AA">
        <w:rPr>
          <w:rFonts w:ascii="Times New Roman" w:eastAsiaTheme="minorEastAsia" w:hAnsi="Times New Roman" w:cs="Times New Roman"/>
          <w:sz w:val="26"/>
          <w:szCs w:val="26"/>
        </w:rPr>
        <w:t xml:space="preserve"> в населенном пункте, </w:t>
      </w:r>
      <w:r w:rsidR="00FE273F">
        <w:rPr>
          <w:rFonts w:ascii="Times New Roman" w:eastAsiaTheme="minorEastAsia" w:hAnsi="Times New Roman" w:cs="Times New Roman"/>
          <w:sz w:val="26"/>
          <w:szCs w:val="26"/>
        </w:rPr>
        <w:t xml:space="preserve">а </w:t>
      </w:r>
      <w:r w:rsidR="007B32AA" w:rsidRPr="007B32AA">
        <w:rPr>
          <w:rFonts w:ascii="Times New Roman" w:eastAsiaTheme="minorEastAsia" w:hAnsi="Times New Roman" w:cs="Times New Roman"/>
          <w:sz w:val="26"/>
          <w:szCs w:val="26"/>
        </w:rPr>
        <w:t>в случае</w:t>
      </w:r>
      <w:r w:rsidR="00FE273F">
        <w:rPr>
          <w:rFonts w:ascii="Times New Roman" w:eastAsiaTheme="minorEastAsia" w:hAnsi="Times New Roman" w:cs="Times New Roman"/>
          <w:sz w:val="26"/>
          <w:szCs w:val="26"/>
        </w:rPr>
        <w:t xml:space="preserve"> их</w:t>
      </w:r>
      <w:r w:rsidR="007B32AA" w:rsidRPr="007B32AA">
        <w:rPr>
          <w:rFonts w:ascii="Times New Roman" w:eastAsiaTheme="minorEastAsia" w:hAnsi="Times New Roman" w:cs="Times New Roman"/>
          <w:sz w:val="26"/>
          <w:szCs w:val="26"/>
        </w:rPr>
        <w:t xml:space="preserve"> отсутствия</w:t>
      </w:r>
      <w:r w:rsidR="00FE273F">
        <w:rPr>
          <w:rFonts w:ascii="Times New Roman" w:eastAsiaTheme="minorEastAsia" w:hAnsi="Times New Roman" w:cs="Times New Roman"/>
          <w:sz w:val="26"/>
          <w:szCs w:val="26"/>
        </w:rPr>
        <w:t xml:space="preserve">, по </w:t>
      </w:r>
      <w:r w:rsidR="007B32AA" w:rsidRPr="007B32AA">
        <w:rPr>
          <w:rFonts w:ascii="Times New Roman" w:eastAsiaTheme="minorEastAsia" w:hAnsi="Times New Roman" w:cs="Times New Roman"/>
          <w:sz w:val="26"/>
          <w:szCs w:val="26"/>
        </w:rPr>
        <w:t>минимальны</w:t>
      </w:r>
      <w:r w:rsidR="00FE273F">
        <w:rPr>
          <w:rFonts w:ascii="Times New Roman" w:eastAsiaTheme="minorEastAsia" w:hAnsi="Times New Roman" w:cs="Times New Roman"/>
          <w:sz w:val="26"/>
          <w:szCs w:val="26"/>
        </w:rPr>
        <w:t>м</w:t>
      </w:r>
      <w:r w:rsidR="007B32AA" w:rsidRPr="007B32AA">
        <w:rPr>
          <w:rFonts w:ascii="Times New Roman" w:eastAsiaTheme="minorEastAsia" w:hAnsi="Times New Roman" w:cs="Times New Roman"/>
          <w:sz w:val="26"/>
          <w:szCs w:val="26"/>
        </w:rPr>
        <w:t xml:space="preserve"> </w:t>
      </w:r>
      <w:r w:rsidR="00FE273F">
        <w:rPr>
          <w:rFonts w:ascii="Times New Roman" w:eastAsiaTheme="minorEastAsia" w:hAnsi="Times New Roman" w:cs="Times New Roman"/>
          <w:sz w:val="26"/>
          <w:szCs w:val="26"/>
        </w:rPr>
        <w:t>удельным показателям кадастровой стоимости</w:t>
      </w:r>
      <w:r w:rsidR="007B32AA" w:rsidRPr="007B32AA">
        <w:rPr>
          <w:rFonts w:ascii="Times New Roman" w:eastAsiaTheme="minorEastAsia" w:hAnsi="Times New Roman" w:cs="Times New Roman"/>
          <w:sz w:val="26"/>
          <w:szCs w:val="26"/>
        </w:rPr>
        <w:t xml:space="preserve"> муниципального района</w:t>
      </w:r>
      <w:r w:rsidR="00FE273F">
        <w:rPr>
          <w:rFonts w:ascii="Times New Roman" w:eastAsiaTheme="minorEastAsia" w:hAnsi="Times New Roman" w:cs="Times New Roman"/>
          <w:sz w:val="26"/>
          <w:szCs w:val="26"/>
        </w:rPr>
        <w:t>.</w:t>
      </w:r>
      <w:r w:rsidR="007B32AA" w:rsidRPr="007B32AA">
        <w:rPr>
          <w:rFonts w:ascii="Times New Roman" w:eastAsiaTheme="minorEastAsia" w:hAnsi="Times New Roman" w:cs="Times New Roman"/>
          <w:sz w:val="26"/>
          <w:szCs w:val="26"/>
        </w:rPr>
        <w:t xml:space="preserve"> </w:t>
      </w:r>
    </w:p>
    <w:p w14:paraId="200A075F" w14:textId="4246824D" w:rsidR="004250E9" w:rsidRDefault="00B757FC" w:rsidP="008345AC">
      <w:pPr>
        <w:spacing w:after="0" w:line="276" w:lineRule="auto"/>
        <w:ind w:firstLine="709"/>
        <w:jc w:val="both"/>
        <w:rPr>
          <w:rFonts w:ascii="Times New Roman" w:hAnsi="Times New Roman" w:cs="Times New Roman"/>
          <w:b/>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D1336B" w:rsidRPr="00F562A8">
        <w:rPr>
          <w:rFonts w:ascii="Times New Roman" w:eastAsiaTheme="minorEastAsia" w:hAnsi="Times New Roman" w:cs="Times New Roman"/>
          <w:sz w:val="26"/>
          <w:szCs w:val="26"/>
        </w:rPr>
        <w:t>2/2.4</w:t>
      </w:r>
      <w:r w:rsidR="00D1336B">
        <w:rPr>
          <w:rFonts w:ascii="Times New Roman" w:eastAsiaTheme="minorEastAsia" w:hAnsi="Times New Roman" w:cs="Times New Roman"/>
          <w:sz w:val="26"/>
          <w:szCs w:val="26"/>
        </w:rPr>
        <w:t>/2.4.8.</w:t>
      </w:r>
      <w:r w:rsidR="004250E9">
        <w:rPr>
          <w:rFonts w:ascii="Times New Roman" w:hAnsi="Times New Roman" w:cs="Times New Roman"/>
          <w:b/>
          <w:sz w:val="26"/>
          <w:szCs w:val="26"/>
        </w:rPr>
        <w:br w:type="page"/>
      </w:r>
    </w:p>
    <w:p w14:paraId="2749EF57" w14:textId="0298192A" w:rsidR="00160119" w:rsidRPr="00F562A8" w:rsidRDefault="00A76705" w:rsidP="00A55966">
      <w:pPr>
        <w:pStyle w:val="ab"/>
        <w:spacing w:before="120" w:after="0" w:line="240" w:lineRule="auto"/>
        <w:ind w:left="0"/>
        <w:contextualSpacing w:val="0"/>
        <w:jc w:val="center"/>
        <w:outlineLvl w:val="1"/>
        <w:rPr>
          <w:rFonts w:ascii="Times New Roman" w:hAnsi="Times New Roman" w:cs="Times New Roman"/>
          <w:b/>
          <w:sz w:val="26"/>
          <w:szCs w:val="26"/>
        </w:rPr>
      </w:pPr>
      <w:bookmarkStart w:id="273" w:name="_Toc110507011"/>
      <w:r w:rsidRPr="00F562A8">
        <w:rPr>
          <w:rFonts w:ascii="Times New Roman" w:hAnsi="Times New Roman" w:cs="Times New Roman"/>
          <w:b/>
          <w:sz w:val="26"/>
          <w:szCs w:val="26"/>
        </w:rPr>
        <w:t xml:space="preserve">3.6.9. </w:t>
      </w:r>
      <w:r w:rsidR="00306BF5" w:rsidRPr="00F562A8">
        <w:rPr>
          <w:rFonts w:ascii="Times New Roman" w:hAnsi="Times New Roman" w:cs="Times New Roman"/>
          <w:b/>
          <w:sz w:val="26"/>
          <w:szCs w:val="26"/>
        </w:rPr>
        <w:t>Сегмент 9. «Охраняемые природные территории и благоустройство»</w:t>
      </w:r>
      <w:bookmarkEnd w:id="273"/>
      <w:r w:rsidR="00306BF5" w:rsidRPr="00F562A8">
        <w:rPr>
          <w:rFonts w:ascii="Times New Roman" w:hAnsi="Times New Roman" w:cs="Times New Roman"/>
          <w:b/>
          <w:sz w:val="26"/>
          <w:szCs w:val="26"/>
        </w:rPr>
        <w:t xml:space="preserve"> </w:t>
      </w:r>
    </w:p>
    <w:p w14:paraId="6C8E583E" w14:textId="77777777" w:rsidR="00A76705" w:rsidRPr="00F562A8" w:rsidRDefault="00A76705" w:rsidP="00A76705">
      <w:pPr>
        <w:rPr>
          <w:rFonts w:ascii="Times New Roman" w:hAnsi="Times New Roman" w:cs="Times New Roman"/>
          <w:sz w:val="16"/>
          <w:szCs w:val="16"/>
        </w:rPr>
      </w:pPr>
    </w:p>
    <w:p w14:paraId="01DE3125" w14:textId="4D01451D" w:rsidR="00306BF5" w:rsidRPr="00F562A8" w:rsidRDefault="00696100" w:rsidP="002D4BEA">
      <w:pPr>
        <w:pStyle w:val="ab"/>
        <w:ind w:left="0"/>
        <w:jc w:val="center"/>
        <w:outlineLvl w:val="2"/>
        <w:rPr>
          <w:rFonts w:ascii="Times New Roman" w:hAnsi="Times New Roman" w:cs="Times New Roman"/>
          <w:i/>
          <w:sz w:val="26"/>
          <w:szCs w:val="26"/>
        </w:rPr>
      </w:pPr>
      <w:bookmarkStart w:id="274" w:name="_Toc110507012"/>
      <w:r w:rsidRPr="00DC7772">
        <w:rPr>
          <w:rFonts w:ascii="Times New Roman" w:hAnsi="Times New Roman" w:cs="Times New Roman"/>
          <w:i/>
          <w:sz w:val="26"/>
          <w:szCs w:val="26"/>
        </w:rPr>
        <w:t>3.6.9.1.</w:t>
      </w:r>
      <w:r w:rsidRPr="00F562A8">
        <w:rPr>
          <w:rFonts w:ascii="Times New Roman" w:hAnsi="Times New Roman" w:cs="Times New Roman"/>
          <w:i/>
          <w:sz w:val="26"/>
          <w:szCs w:val="26"/>
        </w:rPr>
        <w:t xml:space="preserve"> </w:t>
      </w:r>
      <w:r w:rsidR="00306BF5" w:rsidRPr="00F562A8">
        <w:rPr>
          <w:rFonts w:ascii="Times New Roman" w:hAnsi="Times New Roman" w:cs="Times New Roman"/>
          <w:i/>
          <w:sz w:val="26"/>
          <w:szCs w:val="26"/>
        </w:rPr>
        <w:t xml:space="preserve">Расчет кадастровой стоимости земельных участков группы </w:t>
      </w:r>
      <w:r w:rsidR="004250E9" w:rsidRPr="004250E9">
        <w:rPr>
          <w:rFonts w:ascii="Times New Roman" w:hAnsi="Times New Roman" w:cs="Times New Roman"/>
          <w:i/>
          <w:sz w:val="26"/>
          <w:szCs w:val="26"/>
        </w:rPr>
        <w:t>БЛАГОУСТРОЙСТВО</w:t>
      </w:r>
      <w:bookmarkEnd w:id="274"/>
    </w:p>
    <w:p w14:paraId="46F92B82" w14:textId="77777777" w:rsidR="007B7562" w:rsidRPr="00F562A8" w:rsidRDefault="007B7562" w:rsidP="005651EB">
      <w:pPr>
        <w:spacing w:after="0" w:line="240" w:lineRule="auto"/>
        <w:ind w:firstLine="567"/>
        <w:jc w:val="both"/>
        <w:rPr>
          <w:rFonts w:ascii="Times New Roman" w:eastAsiaTheme="minorEastAsia" w:hAnsi="Times New Roman" w:cs="Times New Roman"/>
          <w:sz w:val="16"/>
          <w:szCs w:val="16"/>
        </w:rPr>
      </w:pPr>
    </w:p>
    <w:p w14:paraId="23DC0AF2" w14:textId="65E455DC" w:rsidR="007B7562" w:rsidRPr="00F562A8" w:rsidRDefault="007B7562" w:rsidP="007A0D6E">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Перечень объектов оценки данной группы приведен в Приложении 2/2.4</w:t>
      </w:r>
      <w:r w:rsidR="009403B6">
        <w:rPr>
          <w:rFonts w:ascii="Times New Roman" w:eastAsiaTheme="minorEastAsia" w:hAnsi="Times New Roman" w:cs="Times New Roman"/>
          <w:sz w:val="26"/>
          <w:szCs w:val="26"/>
        </w:rPr>
        <w:t>/2.4.9.</w:t>
      </w:r>
    </w:p>
    <w:p w14:paraId="1D74E887" w14:textId="77777777" w:rsidR="008D01AD" w:rsidRDefault="00306BF5" w:rsidP="007A0D6E">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Земельные участки, отнесенные к группе </w:t>
      </w:r>
      <w:r w:rsidR="004250E9" w:rsidRPr="004250E9">
        <w:rPr>
          <w:rFonts w:ascii="Times New Roman" w:eastAsiaTheme="minorEastAsia" w:hAnsi="Times New Roman" w:cs="Times New Roman"/>
          <w:sz w:val="26"/>
          <w:szCs w:val="26"/>
        </w:rPr>
        <w:t>БЛАГОУСТРОЙСТВО</w:t>
      </w:r>
      <w:r w:rsidRPr="00F562A8">
        <w:rPr>
          <w:rFonts w:ascii="Times New Roman" w:eastAsiaTheme="minorEastAsia" w:hAnsi="Times New Roman" w:cs="Times New Roman"/>
          <w:sz w:val="26"/>
          <w:szCs w:val="26"/>
        </w:rPr>
        <w:t xml:space="preserve">, включают в себя следующие коды расчета вида использования </w:t>
      </w:r>
      <w:r w:rsidR="008D01AD" w:rsidRPr="008D01AD">
        <w:rPr>
          <w:rFonts w:ascii="Times New Roman" w:eastAsiaTheme="minorEastAsia" w:hAnsi="Times New Roman" w:cs="Times New Roman"/>
          <w:sz w:val="26"/>
          <w:szCs w:val="26"/>
        </w:rPr>
        <w:t>09:000, 02:016, 02:032, 02:052, 02:062, 05:031, 09:010, 09:020, 09:022, 12:002, 12:003</w:t>
      </w:r>
      <w:r w:rsidRPr="00F562A8">
        <w:rPr>
          <w:rFonts w:ascii="Times New Roman" w:eastAsiaTheme="minorEastAsia" w:hAnsi="Times New Roman" w:cs="Times New Roman"/>
          <w:sz w:val="26"/>
          <w:szCs w:val="26"/>
        </w:rPr>
        <w:t xml:space="preserve">.  </w:t>
      </w:r>
    </w:p>
    <w:p w14:paraId="34C090DB" w14:textId="46FFEC4A" w:rsidR="004250E9" w:rsidRPr="000F4B7E" w:rsidRDefault="004250E9" w:rsidP="007A0D6E">
      <w:pPr>
        <w:spacing w:after="0" w:line="276" w:lineRule="auto"/>
        <w:ind w:firstLine="709"/>
        <w:jc w:val="both"/>
        <w:rPr>
          <w:rFonts w:ascii="Times New Roman" w:eastAsiaTheme="minorEastAsia" w:hAnsi="Times New Roman" w:cs="Times New Roman"/>
          <w:i/>
          <w:sz w:val="26"/>
          <w:szCs w:val="26"/>
        </w:rPr>
      </w:pPr>
      <w:r w:rsidRPr="000F4B7E">
        <w:rPr>
          <w:rFonts w:ascii="Times New Roman" w:eastAsiaTheme="minorEastAsia" w:hAnsi="Times New Roman" w:cs="Times New Roman"/>
          <w:i/>
          <w:sz w:val="26"/>
          <w:szCs w:val="26"/>
        </w:rPr>
        <w:t>Расчет кадастровой стоимости групп</w:t>
      </w:r>
      <w:r w:rsidR="00FF5BF3">
        <w:rPr>
          <w:rFonts w:ascii="Times New Roman" w:eastAsiaTheme="minorEastAsia" w:hAnsi="Times New Roman" w:cs="Times New Roman"/>
          <w:i/>
          <w:sz w:val="26"/>
          <w:szCs w:val="26"/>
        </w:rPr>
        <w:t>ы</w:t>
      </w:r>
      <w:r w:rsidRPr="000F4B7E">
        <w:rPr>
          <w:rFonts w:ascii="Times New Roman" w:eastAsiaTheme="minorEastAsia" w:hAnsi="Times New Roman" w:cs="Times New Roman"/>
          <w:i/>
          <w:sz w:val="26"/>
          <w:szCs w:val="26"/>
        </w:rPr>
        <w:t xml:space="preserve"> БЛАГОУСТРОЙСТВО проводился в соответствии с п. </w:t>
      </w:r>
      <w:r w:rsidR="005F7B7E">
        <w:rPr>
          <w:rFonts w:ascii="Times New Roman" w:eastAsiaTheme="minorEastAsia" w:hAnsi="Times New Roman" w:cs="Times New Roman"/>
          <w:i/>
          <w:sz w:val="26"/>
          <w:szCs w:val="26"/>
        </w:rPr>
        <w:t>44</w:t>
      </w:r>
      <w:r w:rsidRPr="000F4B7E">
        <w:rPr>
          <w:rFonts w:ascii="Times New Roman" w:eastAsiaTheme="minorEastAsia" w:hAnsi="Times New Roman" w:cs="Times New Roman"/>
          <w:i/>
          <w:sz w:val="26"/>
          <w:szCs w:val="26"/>
        </w:rPr>
        <w:t>.2 Указаний в рамках затратного подхода, методом затрат на межевание и оформление прав на земельный участок и рассчитыва</w:t>
      </w:r>
      <w:r w:rsidR="00FF5BF3">
        <w:rPr>
          <w:rFonts w:ascii="Times New Roman" w:eastAsiaTheme="minorEastAsia" w:hAnsi="Times New Roman" w:cs="Times New Roman"/>
          <w:i/>
          <w:sz w:val="26"/>
          <w:szCs w:val="26"/>
        </w:rPr>
        <w:t>л</w:t>
      </w:r>
      <w:r w:rsidRPr="000F4B7E">
        <w:rPr>
          <w:rFonts w:ascii="Times New Roman" w:eastAsiaTheme="minorEastAsia" w:hAnsi="Times New Roman" w:cs="Times New Roman"/>
          <w:i/>
          <w:sz w:val="26"/>
          <w:szCs w:val="26"/>
        </w:rPr>
        <w:t xml:space="preserve">ся на основании данных межевых организаций о средней стоимости затрат на межевание и оформление прав на земельный участок. </w:t>
      </w:r>
    </w:p>
    <w:p w14:paraId="5A81F04F" w14:textId="5B35F289" w:rsidR="004250E9" w:rsidRPr="000F4B7E" w:rsidRDefault="004250E9" w:rsidP="007A0D6E">
      <w:pPr>
        <w:spacing w:after="0" w:line="276" w:lineRule="auto"/>
        <w:ind w:firstLine="709"/>
        <w:jc w:val="both"/>
        <w:rPr>
          <w:rFonts w:ascii="Times New Roman" w:eastAsiaTheme="minorEastAsia" w:hAnsi="Times New Roman" w:cs="Times New Roman"/>
          <w:i/>
          <w:sz w:val="26"/>
          <w:szCs w:val="26"/>
        </w:rPr>
      </w:pPr>
      <w:r w:rsidRPr="000F4B7E">
        <w:rPr>
          <w:rFonts w:ascii="Times New Roman" w:eastAsiaTheme="minorEastAsia" w:hAnsi="Times New Roman" w:cs="Times New Roman"/>
          <w:i/>
          <w:sz w:val="26"/>
          <w:szCs w:val="26"/>
        </w:rPr>
        <w:t>Исключение составляют земельные участки площадью от 1 000 000 кв.м. Для данной группы затраты на межевание взяты на основании данных представленных «Научно-производственное предприятие «Компьютерные технологии» (Исх. №412/БЕА/22 от 21.04.2022).</w:t>
      </w:r>
      <w:r w:rsidR="003136AB" w:rsidRPr="003136AB">
        <w:rPr>
          <w:rFonts w:ascii="Times New Roman" w:eastAsiaTheme="minorEastAsia" w:hAnsi="Times New Roman" w:cs="Times New Roman"/>
          <w:sz w:val="26"/>
          <w:szCs w:val="26"/>
        </w:rPr>
        <w:t xml:space="preserve"> </w:t>
      </w:r>
    </w:p>
    <w:p w14:paraId="2C3C1AA4" w14:textId="77777777" w:rsidR="004250E9" w:rsidRPr="00C72454" w:rsidRDefault="004250E9" w:rsidP="007A0D6E">
      <w:pPr>
        <w:spacing w:after="0" w:line="276" w:lineRule="auto"/>
        <w:ind w:firstLine="709"/>
        <w:jc w:val="both"/>
        <w:rPr>
          <w:rFonts w:ascii="Times New Roman" w:eastAsiaTheme="minorEastAsia" w:hAnsi="Times New Roman" w:cs="Times New Roman"/>
          <w:sz w:val="26"/>
          <w:szCs w:val="26"/>
        </w:rPr>
      </w:pPr>
      <w:r w:rsidRPr="00C72454">
        <w:rPr>
          <w:rFonts w:ascii="Times New Roman" w:eastAsiaTheme="minorEastAsia" w:hAnsi="Times New Roman" w:cs="Times New Roman"/>
          <w:sz w:val="26"/>
          <w:szCs w:val="26"/>
        </w:rPr>
        <w:t>В соответствии со ст.</w:t>
      </w:r>
      <w:r>
        <w:rPr>
          <w:rFonts w:ascii="Times New Roman" w:eastAsiaTheme="minorEastAsia" w:hAnsi="Times New Roman" w:cs="Times New Roman"/>
          <w:sz w:val="26"/>
          <w:szCs w:val="26"/>
        </w:rPr>
        <w:t xml:space="preserve"> </w:t>
      </w:r>
      <w:r w:rsidRPr="00C72454">
        <w:rPr>
          <w:rFonts w:ascii="Times New Roman" w:eastAsiaTheme="minorEastAsia" w:hAnsi="Times New Roman" w:cs="Times New Roman"/>
          <w:sz w:val="26"/>
          <w:szCs w:val="26"/>
        </w:rPr>
        <w:t>14 ФЗ от 13.07.15 N 218-ФЗ «О государственной регистрации недвижимости» основанием для осуществления государственного кадастрового учета объекта недвижимости, в том числе, являются межевой план, технический план или акт обследования, подготовленные в результате проведения кадастровых работ в установленном федеральным законом порядке, утвержденная в установленном федеральным законом порядке карта-план территории, подготовленная в результате выполнения комплексных кадастровых работ.</w:t>
      </w:r>
    </w:p>
    <w:p w14:paraId="18D6C02D" w14:textId="77777777" w:rsidR="004250E9" w:rsidRPr="00C72454" w:rsidRDefault="004250E9" w:rsidP="007A0D6E">
      <w:pPr>
        <w:spacing w:after="0" w:line="300" w:lineRule="auto"/>
        <w:ind w:firstLine="709"/>
        <w:jc w:val="both"/>
        <w:rPr>
          <w:rFonts w:ascii="Times New Roman" w:eastAsiaTheme="minorEastAsia" w:hAnsi="Times New Roman" w:cs="Times New Roman"/>
          <w:sz w:val="26"/>
          <w:szCs w:val="26"/>
        </w:rPr>
      </w:pPr>
      <w:r w:rsidRPr="00C72454">
        <w:rPr>
          <w:rFonts w:ascii="Times New Roman" w:eastAsiaTheme="minorEastAsia" w:hAnsi="Times New Roman" w:cs="Times New Roman"/>
          <w:sz w:val="26"/>
          <w:szCs w:val="26"/>
        </w:rPr>
        <w:t>Т.е. для постановки на государственный кадастровый учет необходимо провести кадастровые работы. Таким образом, затраты на создание участка складываются из расходов на проведение межевания земельного участка и оформление прав на объект недвижимости.</w:t>
      </w:r>
    </w:p>
    <w:p w14:paraId="0197337A" w14:textId="77777777" w:rsidR="004250E9" w:rsidRPr="00C72454" w:rsidRDefault="004250E9" w:rsidP="007A0D6E">
      <w:pPr>
        <w:spacing w:after="0" w:line="300" w:lineRule="auto"/>
        <w:ind w:firstLine="709"/>
        <w:jc w:val="both"/>
        <w:rPr>
          <w:rFonts w:ascii="Times New Roman" w:eastAsiaTheme="minorEastAsia" w:hAnsi="Times New Roman" w:cs="Times New Roman"/>
          <w:sz w:val="26"/>
          <w:szCs w:val="26"/>
        </w:rPr>
      </w:pPr>
      <w:r w:rsidRPr="00C72454">
        <w:rPr>
          <w:rFonts w:ascii="Times New Roman" w:eastAsiaTheme="minorEastAsia" w:hAnsi="Times New Roman" w:cs="Times New Roman"/>
          <w:sz w:val="26"/>
          <w:szCs w:val="26"/>
        </w:rPr>
        <w:t xml:space="preserve"> В соответствии с положениями действующего законодательства межевые работы имеют право проводить геодезические организации и сертифицированные кадастровые инженеры, имеющие соответствующую лицензию на ведение деятельности. </w:t>
      </w:r>
    </w:p>
    <w:p w14:paraId="209E7A7B" w14:textId="7B094B24" w:rsidR="004250E9" w:rsidRPr="00C72454" w:rsidRDefault="004250E9" w:rsidP="007A0D6E">
      <w:pPr>
        <w:spacing w:after="0" w:line="300" w:lineRule="auto"/>
        <w:ind w:firstLine="709"/>
        <w:jc w:val="both"/>
        <w:rPr>
          <w:rFonts w:ascii="Times New Roman" w:eastAsiaTheme="minorEastAsia" w:hAnsi="Times New Roman" w:cs="Times New Roman"/>
          <w:sz w:val="26"/>
          <w:szCs w:val="26"/>
        </w:rPr>
      </w:pPr>
      <w:r w:rsidRPr="00C72454">
        <w:rPr>
          <w:rFonts w:ascii="Times New Roman" w:eastAsiaTheme="minorEastAsia" w:hAnsi="Times New Roman" w:cs="Times New Roman"/>
          <w:sz w:val="26"/>
          <w:szCs w:val="26"/>
        </w:rPr>
        <w:t>Для целей определения затрат на проведение кадастровых работ по межеванию и оформление прав на объект недвижимости, Исполнителем были направлены соответствующие запросы, о предоставлении информации о существующем уровне цен на рынке услуг в данной сфере, в ряд компаний, действующих на территории Воронежской области (</w:t>
      </w:r>
      <w:r w:rsidRPr="00C45ED3">
        <w:rPr>
          <w:rFonts w:ascii="Times New Roman" w:eastAsiaTheme="minorEastAsia" w:hAnsi="Times New Roman" w:cs="Times New Roman"/>
          <w:sz w:val="26"/>
          <w:szCs w:val="26"/>
        </w:rPr>
        <w:t xml:space="preserve">Приложение </w:t>
      </w:r>
      <w:r w:rsidR="00C45ED3" w:rsidRPr="00C45ED3">
        <w:rPr>
          <w:rFonts w:ascii="Times New Roman" w:eastAsiaTheme="minorEastAsia" w:hAnsi="Times New Roman" w:cs="Times New Roman"/>
          <w:sz w:val="26"/>
          <w:szCs w:val="26"/>
        </w:rPr>
        <w:t>1/1.2/1.2.1/1.2.1.5</w:t>
      </w:r>
      <w:r w:rsidRPr="00C45ED3">
        <w:rPr>
          <w:rFonts w:ascii="Times New Roman" w:eastAsiaTheme="minorEastAsia" w:hAnsi="Times New Roman" w:cs="Times New Roman"/>
          <w:sz w:val="26"/>
          <w:szCs w:val="26"/>
        </w:rPr>
        <w:t>).</w:t>
      </w:r>
      <w:r w:rsidRPr="00C72454">
        <w:rPr>
          <w:rFonts w:ascii="Times New Roman" w:eastAsiaTheme="minorEastAsia" w:hAnsi="Times New Roman" w:cs="Times New Roman"/>
          <w:sz w:val="26"/>
          <w:szCs w:val="26"/>
        </w:rPr>
        <w:t xml:space="preserve"> </w:t>
      </w:r>
    </w:p>
    <w:p w14:paraId="7ACD8C22" w14:textId="77777777" w:rsidR="004250E9" w:rsidRPr="00C72454" w:rsidRDefault="004250E9" w:rsidP="007A0D6E">
      <w:pPr>
        <w:spacing w:after="0" w:line="300" w:lineRule="auto"/>
        <w:ind w:firstLine="709"/>
        <w:jc w:val="both"/>
        <w:rPr>
          <w:rFonts w:ascii="Times New Roman" w:eastAsiaTheme="minorEastAsia" w:hAnsi="Times New Roman" w:cs="Times New Roman"/>
          <w:sz w:val="26"/>
          <w:szCs w:val="26"/>
        </w:rPr>
      </w:pPr>
      <w:r w:rsidRPr="00C72454">
        <w:rPr>
          <w:rFonts w:ascii="Times New Roman" w:eastAsiaTheme="minorEastAsia" w:hAnsi="Times New Roman" w:cs="Times New Roman"/>
          <w:sz w:val="26"/>
          <w:szCs w:val="26"/>
        </w:rPr>
        <w:t>В ответ на запросы были предоставлены данные о средней стоимости затрат на межевание и оформление прав от следующих организаций Воронежской области:</w:t>
      </w:r>
      <w:r>
        <w:rPr>
          <w:rFonts w:ascii="Times New Roman" w:eastAsiaTheme="minorEastAsia" w:hAnsi="Times New Roman" w:cs="Times New Roman"/>
          <w:sz w:val="26"/>
          <w:szCs w:val="26"/>
        </w:rPr>
        <w:t xml:space="preserve"> </w:t>
      </w:r>
      <w:r w:rsidRPr="00C72454">
        <w:rPr>
          <w:rFonts w:ascii="Times New Roman" w:eastAsiaTheme="minorEastAsia" w:hAnsi="Times New Roman" w:cs="Times New Roman"/>
          <w:sz w:val="26"/>
          <w:szCs w:val="26"/>
        </w:rPr>
        <w:t>ООО «Инженерная геодезия и топография», ООО НПП «Компьютерные технологии»</w:t>
      </w:r>
      <w:r>
        <w:rPr>
          <w:rFonts w:ascii="Times New Roman" w:eastAsiaTheme="minorEastAsia" w:hAnsi="Times New Roman" w:cs="Times New Roman"/>
          <w:sz w:val="26"/>
          <w:szCs w:val="26"/>
        </w:rPr>
        <w:t>, м</w:t>
      </w:r>
      <w:r w:rsidRPr="0081027F">
        <w:rPr>
          <w:rFonts w:ascii="Times New Roman" w:eastAsiaTheme="minorEastAsia" w:hAnsi="Times New Roman" w:cs="Times New Roman"/>
          <w:sz w:val="26"/>
          <w:szCs w:val="26"/>
        </w:rPr>
        <w:t xml:space="preserve">униципальное казенное предприятие городского округа город Воронеж </w:t>
      </w:r>
      <w:r>
        <w:rPr>
          <w:rFonts w:ascii="Times New Roman" w:eastAsiaTheme="minorEastAsia" w:hAnsi="Times New Roman" w:cs="Times New Roman"/>
          <w:sz w:val="26"/>
          <w:szCs w:val="26"/>
        </w:rPr>
        <w:t>«</w:t>
      </w:r>
      <w:r w:rsidRPr="0081027F">
        <w:rPr>
          <w:rFonts w:ascii="Times New Roman" w:eastAsiaTheme="minorEastAsia" w:hAnsi="Times New Roman" w:cs="Times New Roman"/>
          <w:sz w:val="26"/>
          <w:szCs w:val="26"/>
        </w:rPr>
        <w:t>Управление главного архитектора</w:t>
      </w:r>
      <w:r>
        <w:rPr>
          <w:rFonts w:ascii="Times New Roman" w:eastAsiaTheme="minorEastAsia" w:hAnsi="Times New Roman" w:cs="Times New Roman"/>
          <w:sz w:val="26"/>
          <w:szCs w:val="26"/>
        </w:rPr>
        <w:t>»</w:t>
      </w:r>
      <w:r w:rsidRPr="00C72454">
        <w:rPr>
          <w:rFonts w:ascii="Times New Roman" w:eastAsiaTheme="minorEastAsia" w:hAnsi="Times New Roman" w:cs="Times New Roman"/>
          <w:sz w:val="26"/>
          <w:szCs w:val="26"/>
        </w:rPr>
        <w:t>,</w:t>
      </w:r>
    </w:p>
    <w:p w14:paraId="3A85FCAF" w14:textId="77777777" w:rsidR="004250E9" w:rsidRPr="00C72454" w:rsidRDefault="004250E9" w:rsidP="007A0D6E">
      <w:pPr>
        <w:spacing w:after="0" w:line="300" w:lineRule="auto"/>
        <w:ind w:firstLine="709"/>
        <w:jc w:val="both"/>
        <w:rPr>
          <w:rFonts w:ascii="Times New Roman" w:eastAsiaTheme="minorEastAsia" w:hAnsi="Times New Roman" w:cs="Times New Roman"/>
          <w:sz w:val="26"/>
          <w:szCs w:val="26"/>
        </w:rPr>
      </w:pPr>
      <w:r w:rsidRPr="00C72454">
        <w:rPr>
          <w:rFonts w:ascii="Times New Roman" w:eastAsiaTheme="minorEastAsia" w:hAnsi="Times New Roman" w:cs="Times New Roman"/>
          <w:sz w:val="26"/>
          <w:szCs w:val="26"/>
        </w:rPr>
        <w:t>В результате анализа предоставленных данных были определены средние значения затрат на межевание и оформление прав в зависимости от диапазона по площади, в который попадают земельные участки</w:t>
      </w:r>
      <w:r>
        <w:rPr>
          <w:rFonts w:ascii="Times New Roman" w:eastAsiaTheme="minorEastAsia" w:hAnsi="Times New Roman" w:cs="Times New Roman"/>
          <w:sz w:val="26"/>
          <w:szCs w:val="26"/>
        </w:rPr>
        <w:t xml:space="preserve">. </w:t>
      </w:r>
    </w:p>
    <w:p w14:paraId="413B9F43" w14:textId="77777777" w:rsidR="004250E9" w:rsidRPr="00C72454" w:rsidRDefault="004250E9" w:rsidP="007A0D6E">
      <w:pPr>
        <w:spacing w:after="0" w:line="300" w:lineRule="auto"/>
        <w:ind w:firstLine="709"/>
        <w:jc w:val="both"/>
        <w:rPr>
          <w:rFonts w:ascii="Times New Roman" w:eastAsiaTheme="minorEastAsia" w:hAnsi="Times New Roman" w:cs="Times New Roman"/>
          <w:sz w:val="26"/>
          <w:szCs w:val="26"/>
        </w:rPr>
      </w:pPr>
      <w:r w:rsidRPr="00C72454">
        <w:rPr>
          <w:rFonts w:ascii="Times New Roman" w:eastAsiaTheme="minorEastAsia" w:hAnsi="Times New Roman" w:cs="Times New Roman"/>
          <w:sz w:val="26"/>
          <w:szCs w:val="26"/>
        </w:rPr>
        <w:t>Предоставленная информация сведена в нижеследующую таблицу.</w:t>
      </w:r>
    </w:p>
    <w:p w14:paraId="2759B771" w14:textId="18D16F9A" w:rsidR="004250E9" w:rsidRPr="00C72454" w:rsidRDefault="004250E9" w:rsidP="004250E9">
      <w:pPr>
        <w:spacing w:after="0" w:line="276" w:lineRule="auto"/>
        <w:jc w:val="right"/>
        <w:rPr>
          <w:rFonts w:ascii="Times New Roman" w:eastAsiaTheme="minorEastAsia" w:hAnsi="Times New Roman" w:cs="Times New Roman"/>
          <w:sz w:val="26"/>
          <w:szCs w:val="26"/>
        </w:rPr>
      </w:pPr>
      <w:r w:rsidRPr="002C1ACD">
        <w:rPr>
          <w:rFonts w:ascii="Times New Roman" w:eastAsia="Times New Roman" w:hAnsi="Times New Roman" w:cs="Times New Roman"/>
          <w:sz w:val="26"/>
          <w:szCs w:val="26"/>
          <w:lang w:eastAsia="ru-RU"/>
        </w:rPr>
        <w:t xml:space="preserve">Таблица </w:t>
      </w:r>
      <w:r w:rsidR="002C1ACD" w:rsidRPr="002C1ACD">
        <w:rPr>
          <w:rFonts w:ascii="Times New Roman" w:eastAsia="Times New Roman" w:hAnsi="Times New Roman" w:cs="Times New Roman"/>
          <w:sz w:val="26"/>
          <w:szCs w:val="26"/>
          <w:lang w:eastAsia="ru-RU"/>
        </w:rPr>
        <w:t>3.6.9.1</w:t>
      </w:r>
    </w:p>
    <w:p w14:paraId="37DF2552" w14:textId="77777777" w:rsidR="004250E9" w:rsidRPr="00C72454" w:rsidRDefault="004250E9" w:rsidP="004250E9">
      <w:pPr>
        <w:spacing w:after="0" w:line="276" w:lineRule="auto"/>
        <w:ind w:firstLine="567"/>
        <w:jc w:val="center"/>
        <w:rPr>
          <w:rFonts w:ascii="Times New Roman" w:eastAsia="Times New Roman" w:hAnsi="Times New Roman" w:cs="Times New Roman"/>
          <w:bCs/>
          <w:sz w:val="26"/>
          <w:szCs w:val="26"/>
          <w:lang w:eastAsia="ru-RU"/>
        </w:rPr>
      </w:pPr>
      <w:r w:rsidRPr="00C72454">
        <w:rPr>
          <w:rFonts w:ascii="Times New Roman" w:eastAsia="Times New Roman" w:hAnsi="Times New Roman" w:cs="Times New Roman"/>
          <w:bCs/>
          <w:sz w:val="26"/>
          <w:szCs w:val="26"/>
          <w:lang w:eastAsia="ru-RU"/>
        </w:rPr>
        <w:t>Расчет стоимости работ по межеванию, руб.</w:t>
      </w:r>
    </w:p>
    <w:tbl>
      <w:tblPr>
        <w:tblStyle w:val="ae"/>
        <w:tblW w:w="9665" w:type="dxa"/>
        <w:tblLook w:val="04A0" w:firstRow="1" w:lastRow="0" w:firstColumn="1" w:lastColumn="0" w:noHBand="0" w:noVBand="1"/>
      </w:tblPr>
      <w:tblGrid>
        <w:gridCol w:w="443"/>
        <w:gridCol w:w="1817"/>
        <w:gridCol w:w="1920"/>
        <w:gridCol w:w="1923"/>
        <w:gridCol w:w="2142"/>
        <w:gridCol w:w="1420"/>
      </w:tblGrid>
      <w:tr w:rsidR="004250E9" w:rsidRPr="00F63CCD" w14:paraId="2A38827C" w14:textId="77777777" w:rsidTr="00F22E0A">
        <w:tc>
          <w:tcPr>
            <w:tcW w:w="444" w:type="dxa"/>
            <w:vAlign w:val="center"/>
          </w:tcPr>
          <w:p w14:paraId="06A78845"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w:t>
            </w:r>
          </w:p>
        </w:tc>
        <w:tc>
          <w:tcPr>
            <w:tcW w:w="1880" w:type="dxa"/>
            <w:vAlign w:val="center"/>
          </w:tcPr>
          <w:p w14:paraId="64236B7F"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Площадь земельного участка, м</w:t>
            </w:r>
            <w:r w:rsidRPr="00F63CCD">
              <w:rPr>
                <w:rFonts w:ascii="Times New Roman" w:eastAsia="Times New Roman" w:hAnsi="Times New Roman" w:cs="Times New Roman"/>
                <w:sz w:val="22"/>
                <w:vertAlign w:val="superscript"/>
              </w:rPr>
              <w:t>2</w:t>
            </w:r>
          </w:p>
        </w:tc>
        <w:tc>
          <w:tcPr>
            <w:tcW w:w="1782" w:type="dxa"/>
            <w:shd w:val="clear" w:color="auto" w:fill="auto"/>
            <w:vAlign w:val="center"/>
          </w:tcPr>
          <w:p w14:paraId="3DDFDC53"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Общество с ограниченной ответственностью «Инженерная геодезия и топография»</w:t>
            </w:r>
            <w:r w:rsidRPr="00F63CCD">
              <w:rPr>
                <w:rFonts w:ascii="Times New Roman" w:eastAsia="Times New Roman" w:hAnsi="Times New Roman" w:cs="Times New Roman"/>
                <w:sz w:val="22"/>
              </w:rPr>
              <w:br/>
              <w:t>(Исх. №90 от 28.04.2022), руб.</w:t>
            </w:r>
          </w:p>
        </w:tc>
        <w:tc>
          <w:tcPr>
            <w:tcW w:w="1923" w:type="dxa"/>
            <w:shd w:val="clear" w:color="auto" w:fill="auto"/>
            <w:vAlign w:val="center"/>
          </w:tcPr>
          <w:p w14:paraId="5014394A"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Научно-производственное предприятие «Компьютерные технологии» (Исх. №412/БЕА/22 от 21.04.2022), руб.</w:t>
            </w:r>
          </w:p>
        </w:tc>
        <w:tc>
          <w:tcPr>
            <w:tcW w:w="2188" w:type="dxa"/>
            <w:shd w:val="clear" w:color="auto" w:fill="auto"/>
            <w:vAlign w:val="center"/>
          </w:tcPr>
          <w:p w14:paraId="32E69D42"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Муниципальное казенное предприятие городского округа город Воронеж «Управление главного архитектора» (Исх. №64 от 25.01.2022), руб.</w:t>
            </w:r>
          </w:p>
        </w:tc>
        <w:tc>
          <w:tcPr>
            <w:tcW w:w="1448" w:type="dxa"/>
            <w:vAlign w:val="center"/>
          </w:tcPr>
          <w:p w14:paraId="542BAA7E"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Средняя стоимость работ, руб.</w:t>
            </w:r>
          </w:p>
        </w:tc>
      </w:tr>
      <w:tr w:rsidR="004250E9" w:rsidRPr="00F63CCD" w14:paraId="451D267D" w14:textId="77777777" w:rsidTr="00F22E0A">
        <w:trPr>
          <w:trHeight w:val="132"/>
        </w:trPr>
        <w:tc>
          <w:tcPr>
            <w:tcW w:w="444" w:type="dxa"/>
          </w:tcPr>
          <w:p w14:paraId="54F2994D" w14:textId="77777777" w:rsidR="004250E9" w:rsidRPr="00F63CCD" w:rsidRDefault="004250E9" w:rsidP="00F22E0A">
            <w:pPr>
              <w:spacing w:line="276" w:lineRule="auto"/>
              <w:jc w:val="both"/>
              <w:rPr>
                <w:rFonts w:ascii="Times New Roman" w:eastAsia="Times New Roman" w:hAnsi="Times New Roman" w:cs="Times New Roman"/>
                <w:sz w:val="22"/>
              </w:rPr>
            </w:pPr>
            <w:r w:rsidRPr="00F63CCD">
              <w:rPr>
                <w:rFonts w:ascii="Times New Roman" w:eastAsia="Times New Roman" w:hAnsi="Times New Roman" w:cs="Times New Roman"/>
                <w:sz w:val="22"/>
              </w:rPr>
              <w:t>1</w:t>
            </w:r>
          </w:p>
        </w:tc>
        <w:tc>
          <w:tcPr>
            <w:tcW w:w="1880" w:type="dxa"/>
            <w:shd w:val="clear" w:color="auto" w:fill="auto"/>
            <w:vAlign w:val="center"/>
          </w:tcPr>
          <w:p w14:paraId="79EFF909" w14:textId="77777777" w:rsidR="004250E9" w:rsidRPr="00F63CCD" w:rsidRDefault="004250E9" w:rsidP="00F22E0A">
            <w:pPr>
              <w:spacing w:line="276" w:lineRule="auto"/>
              <w:rPr>
                <w:rFonts w:ascii="Times New Roman" w:eastAsia="Times New Roman" w:hAnsi="Times New Roman" w:cs="Times New Roman"/>
                <w:sz w:val="22"/>
              </w:rPr>
            </w:pPr>
            <w:r w:rsidRPr="00F63CCD">
              <w:rPr>
                <w:rFonts w:ascii="Times New Roman" w:eastAsia="Times New Roman" w:hAnsi="Times New Roman" w:cs="Times New Roman"/>
                <w:sz w:val="22"/>
              </w:rPr>
              <w:t>до 100</w:t>
            </w:r>
          </w:p>
        </w:tc>
        <w:tc>
          <w:tcPr>
            <w:tcW w:w="1782" w:type="dxa"/>
            <w:shd w:val="clear" w:color="auto" w:fill="auto"/>
            <w:vAlign w:val="center"/>
          </w:tcPr>
          <w:p w14:paraId="0631B4DA"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30 000,00</w:t>
            </w:r>
          </w:p>
        </w:tc>
        <w:tc>
          <w:tcPr>
            <w:tcW w:w="1923" w:type="dxa"/>
            <w:shd w:val="clear" w:color="auto" w:fill="auto"/>
            <w:vAlign w:val="center"/>
          </w:tcPr>
          <w:p w14:paraId="3BF3B5EF"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23 040,00</w:t>
            </w:r>
          </w:p>
        </w:tc>
        <w:tc>
          <w:tcPr>
            <w:tcW w:w="2188" w:type="dxa"/>
            <w:shd w:val="clear" w:color="auto" w:fill="auto"/>
            <w:vAlign w:val="center"/>
          </w:tcPr>
          <w:p w14:paraId="0F976825"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10 000,00</w:t>
            </w:r>
          </w:p>
        </w:tc>
        <w:tc>
          <w:tcPr>
            <w:tcW w:w="1448" w:type="dxa"/>
            <w:shd w:val="clear" w:color="auto" w:fill="FFFFFF" w:themeFill="background1"/>
            <w:vAlign w:val="center"/>
          </w:tcPr>
          <w:p w14:paraId="3E831082"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21 013,33</w:t>
            </w:r>
          </w:p>
        </w:tc>
      </w:tr>
      <w:tr w:rsidR="004250E9" w:rsidRPr="00F63CCD" w14:paraId="576E4C57" w14:textId="77777777" w:rsidTr="00F22E0A">
        <w:trPr>
          <w:trHeight w:val="126"/>
        </w:trPr>
        <w:tc>
          <w:tcPr>
            <w:tcW w:w="444" w:type="dxa"/>
          </w:tcPr>
          <w:p w14:paraId="0A5A6C65" w14:textId="77777777" w:rsidR="004250E9" w:rsidRPr="00F63CCD" w:rsidRDefault="004250E9" w:rsidP="00F22E0A">
            <w:pPr>
              <w:spacing w:line="276" w:lineRule="auto"/>
              <w:jc w:val="both"/>
              <w:rPr>
                <w:rFonts w:ascii="Times New Roman" w:eastAsia="Times New Roman" w:hAnsi="Times New Roman" w:cs="Times New Roman"/>
                <w:sz w:val="22"/>
              </w:rPr>
            </w:pPr>
            <w:r w:rsidRPr="00F63CCD">
              <w:rPr>
                <w:rFonts w:ascii="Times New Roman" w:eastAsia="Times New Roman" w:hAnsi="Times New Roman" w:cs="Times New Roman"/>
                <w:sz w:val="22"/>
              </w:rPr>
              <w:t>2</w:t>
            </w:r>
          </w:p>
        </w:tc>
        <w:tc>
          <w:tcPr>
            <w:tcW w:w="1880" w:type="dxa"/>
            <w:shd w:val="clear" w:color="auto" w:fill="auto"/>
            <w:vAlign w:val="center"/>
          </w:tcPr>
          <w:p w14:paraId="49FD1025" w14:textId="77777777" w:rsidR="004250E9" w:rsidRPr="00F63CCD" w:rsidRDefault="004250E9" w:rsidP="00F22E0A">
            <w:pPr>
              <w:spacing w:line="276" w:lineRule="auto"/>
              <w:rPr>
                <w:rFonts w:ascii="Times New Roman" w:eastAsia="Times New Roman" w:hAnsi="Times New Roman" w:cs="Times New Roman"/>
                <w:sz w:val="22"/>
              </w:rPr>
            </w:pPr>
            <w:r w:rsidRPr="00F63CCD">
              <w:rPr>
                <w:rFonts w:ascii="Times New Roman" w:eastAsia="Times New Roman" w:hAnsi="Times New Roman" w:cs="Times New Roman"/>
                <w:sz w:val="22"/>
              </w:rPr>
              <w:t>от 100 до 5 000</w:t>
            </w:r>
          </w:p>
        </w:tc>
        <w:tc>
          <w:tcPr>
            <w:tcW w:w="1782" w:type="dxa"/>
            <w:shd w:val="clear" w:color="auto" w:fill="auto"/>
            <w:vAlign w:val="center"/>
          </w:tcPr>
          <w:p w14:paraId="0C6130CA"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40 000,00</w:t>
            </w:r>
          </w:p>
        </w:tc>
        <w:tc>
          <w:tcPr>
            <w:tcW w:w="1923" w:type="dxa"/>
            <w:shd w:val="clear" w:color="auto" w:fill="auto"/>
            <w:vAlign w:val="center"/>
          </w:tcPr>
          <w:p w14:paraId="07996497"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37 728,00</w:t>
            </w:r>
          </w:p>
        </w:tc>
        <w:tc>
          <w:tcPr>
            <w:tcW w:w="2188" w:type="dxa"/>
            <w:shd w:val="clear" w:color="auto" w:fill="auto"/>
            <w:vAlign w:val="center"/>
          </w:tcPr>
          <w:p w14:paraId="22B4B8F8"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12 750,00</w:t>
            </w:r>
          </w:p>
        </w:tc>
        <w:tc>
          <w:tcPr>
            <w:tcW w:w="1448" w:type="dxa"/>
            <w:shd w:val="clear" w:color="auto" w:fill="FFFFFF" w:themeFill="background1"/>
            <w:vAlign w:val="center"/>
          </w:tcPr>
          <w:p w14:paraId="0A28B9D8"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30 159,33</w:t>
            </w:r>
          </w:p>
        </w:tc>
      </w:tr>
      <w:tr w:rsidR="004250E9" w:rsidRPr="00F63CCD" w14:paraId="538FB99C" w14:textId="77777777" w:rsidTr="00F22E0A">
        <w:trPr>
          <w:trHeight w:val="262"/>
        </w:trPr>
        <w:tc>
          <w:tcPr>
            <w:tcW w:w="444" w:type="dxa"/>
          </w:tcPr>
          <w:p w14:paraId="3D737A46" w14:textId="77777777" w:rsidR="004250E9" w:rsidRPr="00F63CCD" w:rsidRDefault="004250E9" w:rsidP="00F22E0A">
            <w:pPr>
              <w:spacing w:line="276" w:lineRule="auto"/>
              <w:jc w:val="both"/>
              <w:rPr>
                <w:rFonts w:ascii="Times New Roman" w:eastAsia="Times New Roman" w:hAnsi="Times New Roman" w:cs="Times New Roman"/>
                <w:sz w:val="22"/>
              </w:rPr>
            </w:pPr>
            <w:r w:rsidRPr="00F63CCD">
              <w:rPr>
                <w:rFonts w:ascii="Times New Roman" w:eastAsia="Times New Roman" w:hAnsi="Times New Roman" w:cs="Times New Roman"/>
                <w:sz w:val="22"/>
              </w:rPr>
              <w:t>3</w:t>
            </w:r>
          </w:p>
        </w:tc>
        <w:tc>
          <w:tcPr>
            <w:tcW w:w="1880" w:type="dxa"/>
            <w:shd w:val="clear" w:color="auto" w:fill="auto"/>
            <w:vAlign w:val="center"/>
          </w:tcPr>
          <w:p w14:paraId="1226B303" w14:textId="77777777" w:rsidR="004250E9" w:rsidRPr="00F63CCD" w:rsidRDefault="004250E9" w:rsidP="00F22E0A">
            <w:pPr>
              <w:spacing w:line="276" w:lineRule="auto"/>
              <w:rPr>
                <w:rFonts w:ascii="Times New Roman" w:eastAsia="Times New Roman" w:hAnsi="Times New Roman" w:cs="Times New Roman"/>
                <w:sz w:val="22"/>
              </w:rPr>
            </w:pPr>
            <w:r w:rsidRPr="00F63CCD">
              <w:rPr>
                <w:rFonts w:ascii="Times New Roman" w:eastAsia="Times New Roman" w:hAnsi="Times New Roman" w:cs="Times New Roman"/>
                <w:sz w:val="22"/>
              </w:rPr>
              <w:t>от 5 000 до 10 000</w:t>
            </w:r>
          </w:p>
        </w:tc>
        <w:tc>
          <w:tcPr>
            <w:tcW w:w="1782" w:type="dxa"/>
            <w:shd w:val="clear" w:color="auto" w:fill="auto"/>
            <w:vAlign w:val="center"/>
          </w:tcPr>
          <w:p w14:paraId="71AE3CEC"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50 000,00</w:t>
            </w:r>
          </w:p>
        </w:tc>
        <w:tc>
          <w:tcPr>
            <w:tcW w:w="1923" w:type="dxa"/>
            <w:shd w:val="clear" w:color="auto" w:fill="auto"/>
            <w:vAlign w:val="center"/>
          </w:tcPr>
          <w:p w14:paraId="44642AD6"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52 715,00</w:t>
            </w:r>
          </w:p>
        </w:tc>
        <w:tc>
          <w:tcPr>
            <w:tcW w:w="2188" w:type="dxa"/>
            <w:shd w:val="clear" w:color="auto" w:fill="auto"/>
            <w:vAlign w:val="center"/>
          </w:tcPr>
          <w:p w14:paraId="51CC2C62"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15 500,00</w:t>
            </w:r>
          </w:p>
        </w:tc>
        <w:tc>
          <w:tcPr>
            <w:tcW w:w="1448" w:type="dxa"/>
            <w:shd w:val="clear" w:color="auto" w:fill="FFFFFF" w:themeFill="background1"/>
            <w:vAlign w:val="center"/>
          </w:tcPr>
          <w:p w14:paraId="20CF80DF"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39 405,00</w:t>
            </w:r>
          </w:p>
        </w:tc>
      </w:tr>
      <w:tr w:rsidR="004250E9" w:rsidRPr="00F63CCD" w14:paraId="6E4B46D2" w14:textId="77777777" w:rsidTr="00F22E0A">
        <w:trPr>
          <w:trHeight w:val="70"/>
        </w:trPr>
        <w:tc>
          <w:tcPr>
            <w:tcW w:w="444" w:type="dxa"/>
          </w:tcPr>
          <w:p w14:paraId="4BD08444" w14:textId="77777777" w:rsidR="004250E9" w:rsidRPr="00F63CCD" w:rsidRDefault="004250E9" w:rsidP="00F22E0A">
            <w:pPr>
              <w:spacing w:line="276" w:lineRule="auto"/>
              <w:jc w:val="both"/>
              <w:rPr>
                <w:rFonts w:ascii="Times New Roman" w:eastAsia="Times New Roman" w:hAnsi="Times New Roman" w:cs="Times New Roman"/>
                <w:sz w:val="22"/>
              </w:rPr>
            </w:pPr>
            <w:r w:rsidRPr="00F63CCD">
              <w:rPr>
                <w:rFonts w:ascii="Times New Roman" w:eastAsia="Times New Roman" w:hAnsi="Times New Roman" w:cs="Times New Roman"/>
                <w:sz w:val="22"/>
              </w:rPr>
              <w:t>4</w:t>
            </w:r>
          </w:p>
        </w:tc>
        <w:tc>
          <w:tcPr>
            <w:tcW w:w="1880" w:type="dxa"/>
            <w:shd w:val="clear" w:color="auto" w:fill="auto"/>
            <w:vAlign w:val="center"/>
          </w:tcPr>
          <w:p w14:paraId="196F0271" w14:textId="77777777" w:rsidR="004250E9" w:rsidRPr="00F63CCD" w:rsidRDefault="004250E9" w:rsidP="00F22E0A">
            <w:pPr>
              <w:spacing w:line="276" w:lineRule="auto"/>
              <w:rPr>
                <w:rFonts w:ascii="Times New Roman" w:eastAsia="Times New Roman" w:hAnsi="Times New Roman" w:cs="Times New Roman"/>
                <w:sz w:val="22"/>
              </w:rPr>
            </w:pPr>
            <w:r w:rsidRPr="00F63CCD">
              <w:rPr>
                <w:rFonts w:ascii="Times New Roman" w:eastAsia="Times New Roman" w:hAnsi="Times New Roman" w:cs="Times New Roman"/>
                <w:sz w:val="22"/>
              </w:rPr>
              <w:t>от 10 000 до 100 000</w:t>
            </w:r>
          </w:p>
        </w:tc>
        <w:tc>
          <w:tcPr>
            <w:tcW w:w="1782" w:type="dxa"/>
            <w:shd w:val="clear" w:color="auto" w:fill="auto"/>
            <w:vAlign w:val="center"/>
          </w:tcPr>
          <w:p w14:paraId="52BD6571"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70 000,00</w:t>
            </w:r>
          </w:p>
        </w:tc>
        <w:tc>
          <w:tcPr>
            <w:tcW w:w="1923" w:type="dxa"/>
            <w:shd w:val="clear" w:color="auto" w:fill="auto"/>
            <w:vAlign w:val="center"/>
          </w:tcPr>
          <w:p w14:paraId="46E98953"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158 839,00</w:t>
            </w:r>
          </w:p>
        </w:tc>
        <w:tc>
          <w:tcPr>
            <w:tcW w:w="2188" w:type="dxa"/>
            <w:shd w:val="clear" w:color="auto" w:fill="auto"/>
            <w:vAlign w:val="center"/>
          </w:tcPr>
          <w:p w14:paraId="084616DD"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15 500,00</w:t>
            </w:r>
          </w:p>
        </w:tc>
        <w:tc>
          <w:tcPr>
            <w:tcW w:w="1448" w:type="dxa"/>
            <w:shd w:val="clear" w:color="auto" w:fill="FFFFFF" w:themeFill="background1"/>
            <w:vAlign w:val="center"/>
          </w:tcPr>
          <w:p w14:paraId="03E7CA5F" w14:textId="77777777" w:rsidR="004250E9" w:rsidRPr="00F63CCD" w:rsidRDefault="004250E9" w:rsidP="00F22E0A">
            <w:pPr>
              <w:spacing w:line="276" w:lineRule="auto"/>
              <w:jc w:val="center"/>
              <w:rPr>
                <w:rFonts w:ascii="Times New Roman" w:eastAsia="Times New Roman" w:hAnsi="Times New Roman" w:cs="Times New Roman"/>
                <w:sz w:val="22"/>
              </w:rPr>
            </w:pPr>
            <w:r w:rsidRPr="00F63CCD">
              <w:rPr>
                <w:rFonts w:ascii="Times New Roman" w:eastAsia="Times New Roman" w:hAnsi="Times New Roman" w:cs="Times New Roman"/>
                <w:sz w:val="22"/>
              </w:rPr>
              <w:t>81 446,33</w:t>
            </w:r>
          </w:p>
        </w:tc>
      </w:tr>
    </w:tbl>
    <w:p w14:paraId="58E8DBDA" w14:textId="77777777" w:rsidR="004250E9" w:rsidRPr="00C72454" w:rsidRDefault="004250E9" w:rsidP="004250E9">
      <w:pPr>
        <w:spacing w:after="0" w:line="276" w:lineRule="auto"/>
        <w:jc w:val="both"/>
        <w:rPr>
          <w:rFonts w:ascii="Times New Roman" w:eastAsiaTheme="minorEastAsia" w:hAnsi="Times New Roman" w:cs="Times New Roman"/>
          <w:sz w:val="16"/>
          <w:szCs w:val="16"/>
        </w:rPr>
      </w:pPr>
    </w:p>
    <w:p w14:paraId="784713E2" w14:textId="1BA8B369" w:rsidR="004250E9" w:rsidRPr="00C72454" w:rsidRDefault="003E67B8" w:rsidP="00C935E5">
      <w:pPr>
        <w:spacing w:after="0" w:line="300" w:lineRule="auto"/>
        <w:ind w:firstLine="567"/>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Расчет кадастровой стоимости земельных участков </w:t>
      </w:r>
      <w:r w:rsidR="004250E9">
        <w:rPr>
          <w:rFonts w:ascii="Times New Roman" w:eastAsiaTheme="minorEastAsia" w:hAnsi="Times New Roman" w:cs="Times New Roman"/>
          <w:sz w:val="26"/>
          <w:szCs w:val="26"/>
        </w:rPr>
        <w:t xml:space="preserve">площадью от 1 000 000 кв.м. </w:t>
      </w:r>
      <w:r w:rsidR="008345AC">
        <w:rPr>
          <w:rFonts w:ascii="Times New Roman" w:eastAsiaTheme="minorEastAsia" w:hAnsi="Times New Roman" w:cs="Times New Roman"/>
          <w:sz w:val="26"/>
          <w:szCs w:val="26"/>
        </w:rPr>
        <w:t xml:space="preserve">было </w:t>
      </w:r>
      <w:r w:rsidR="004250E9">
        <w:rPr>
          <w:rFonts w:ascii="Times New Roman" w:eastAsiaTheme="minorEastAsia" w:hAnsi="Times New Roman" w:cs="Times New Roman"/>
          <w:sz w:val="26"/>
          <w:szCs w:val="26"/>
        </w:rPr>
        <w:t>пров</w:t>
      </w:r>
      <w:r w:rsidR="008345AC">
        <w:rPr>
          <w:rFonts w:ascii="Times New Roman" w:eastAsiaTheme="minorEastAsia" w:hAnsi="Times New Roman" w:cs="Times New Roman"/>
          <w:sz w:val="26"/>
          <w:szCs w:val="26"/>
        </w:rPr>
        <w:t>едено</w:t>
      </w:r>
      <w:r w:rsidR="004250E9">
        <w:rPr>
          <w:rFonts w:ascii="Times New Roman" w:eastAsiaTheme="minorEastAsia" w:hAnsi="Times New Roman" w:cs="Times New Roman"/>
          <w:sz w:val="26"/>
          <w:szCs w:val="26"/>
        </w:rPr>
        <w:t xml:space="preserve"> по формуле:</w:t>
      </w:r>
      <w:r w:rsidR="00C935E5">
        <w:rPr>
          <w:rFonts w:ascii="Times New Roman" w:eastAsiaTheme="minorEastAsia" w:hAnsi="Times New Roman" w:cs="Times New Roman"/>
          <w:sz w:val="26"/>
          <w:szCs w:val="26"/>
        </w:rPr>
        <w:t xml:space="preserve"> </w:t>
      </w:r>
      <w:r w:rsidR="004250E9" w:rsidRPr="0013475A">
        <w:rPr>
          <w:rFonts w:ascii="Times New Roman" w:eastAsiaTheme="minorEastAsia" w:hAnsi="Times New Roman" w:cs="Times New Roman"/>
          <w:b/>
          <w:sz w:val="26"/>
          <w:szCs w:val="26"/>
        </w:rPr>
        <w:t xml:space="preserve">0,34 </w:t>
      </w:r>
      <w:r w:rsidR="00C935E5">
        <w:rPr>
          <w:rFonts w:ascii="Times New Roman" w:eastAsiaTheme="minorEastAsia" w:hAnsi="Times New Roman" w:cs="Times New Roman"/>
          <w:b/>
          <w:sz w:val="26"/>
          <w:szCs w:val="26"/>
        </w:rPr>
        <w:t>* Площадь земельного участка</w:t>
      </w:r>
      <w:r w:rsidR="004250E9" w:rsidRPr="0013475A">
        <w:rPr>
          <w:rFonts w:ascii="Times New Roman" w:eastAsiaTheme="minorEastAsia" w:hAnsi="Times New Roman" w:cs="Times New Roman"/>
          <w:b/>
          <w:sz w:val="26"/>
          <w:szCs w:val="26"/>
        </w:rPr>
        <w:t xml:space="preserve"> + 34</w:t>
      </w:r>
      <w:r w:rsidR="00C935E5">
        <w:rPr>
          <w:rFonts w:ascii="Times New Roman" w:eastAsiaTheme="minorEastAsia" w:hAnsi="Times New Roman" w:cs="Times New Roman"/>
          <w:b/>
          <w:sz w:val="26"/>
          <w:szCs w:val="26"/>
        </w:rPr>
        <w:t> </w:t>
      </w:r>
      <w:r w:rsidR="004250E9" w:rsidRPr="0013475A">
        <w:rPr>
          <w:rFonts w:ascii="Times New Roman" w:eastAsiaTheme="minorEastAsia" w:hAnsi="Times New Roman" w:cs="Times New Roman"/>
          <w:b/>
          <w:sz w:val="26"/>
          <w:szCs w:val="26"/>
        </w:rPr>
        <w:t>110</w:t>
      </w:r>
      <w:r w:rsidR="00C935E5">
        <w:rPr>
          <w:rFonts w:ascii="Times New Roman" w:eastAsiaTheme="minorEastAsia" w:hAnsi="Times New Roman" w:cs="Times New Roman"/>
          <w:b/>
          <w:sz w:val="26"/>
          <w:szCs w:val="26"/>
        </w:rPr>
        <w:t>.</w:t>
      </w:r>
    </w:p>
    <w:p w14:paraId="59D2AF33" w14:textId="79C12BE1" w:rsidR="004250E9" w:rsidRDefault="0064713D" w:rsidP="004250E9">
      <w:pPr>
        <w:spacing w:after="0" w:line="276" w:lineRule="auto"/>
        <w:ind w:firstLine="567"/>
        <w:jc w:val="both"/>
        <w:rPr>
          <w:rFonts w:ascii="Times New Roman" w:eastAsiaTheme="minorEastAsia" w:hAnsi="Times New Roman" w:cs="Times New Roman"/>
          <w:sz w:val="26"/>
          <w:szCs w:val="26"/>
          <w:highlight w:val="yellow"/>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9403B6" w:rsidRPr="00F562A8">
        <w:rPr>
          <w:rFonts w:ascii="Times New Roman" w:eastAsiaTheme="minorEastAsia" w:hAnsi="Times New Roman" w:cs="Times New Roman"/>
          <w:sz w:val="26"/>
          <w:szCs w:val="26"/>
        </w:rPr>
        <w:t>2/2.4</w:t>
      </w:r>
      <w:r w:rsidR="009403B6">
        <w:rPr>
          <w:rFonts w:ascii="Times New Roman" w:eastAsiaTheme="minorEastAsia" w:hAnsi="Times New Roman" w:cs="Times New Roman"/>
          <w:sz w:val="26"/>
          <w:szCs w:val="26"/>
        </w:rPr>
        <w:t>/2.4.9.</w:t>
      </w:r>
    </w:p>
    <w:p w14:paraId="5A3BF1F7" w14:textId="77777777" w:rsidR="00D97FE2" w:rsidRPr="00F562A8" w:rsidRDefault="00D97FE2" w:rsidP="006F6435">
      <w:pPr>
        <w:spacing w:after="0" w:line="276" w:lineRule="auto"/>
        <w:jc w:val="both"/>
        <w:rPr>
          <w:rFonts w:ascii="Times New Roman" w:eastAsiaTheme="minorEastAsia" w:hAnsi="Times New Roman" w:cs="Times New Roman"/>
          <w:sz w:val="26"/>
          <w:szCs w:val="26"/>
        </w:rPr>
      </w:pPr>
    </w:p>
    <w:p w14:paraId="37D8E06F" w14:textId="77777777" w:rsidR="00671F60" w:rsidRDefault="00671F60">
      <w:pPr>
        <w:rPr>
          <w:rFonts w:ascii="Times New Roman" w:hAnsi="Times New Roman" w:cs="Times New Roman"/>
          <w:b/>
          <w:sz w:val="26"/>
          <w:szCs w:val="26"/>
        </w:rPr>
      </w:pPr>
      <w:r>
        <w:rPr>
          <w:rFonts w:ascii="Times New Roman" w:hAnsi="Times New Roman" w:cs="Times New Roman"/>
          <w:b/>
          <w:sz w:val="26"/>
          <w:szCs w:val="26"/>
        </w:rPr>
        <w:br w:type="page"/>
      </w:r>
    </w:p>
    <w:p w14:paraId="2CA4E413" w14:textId="4B813B9D" w:rsidR="00696100" w:rsidRPr="00F562A8" w:rsidRDefault="00A76705" w:rsidP="00A55966">
      <w:pPr>
        <w:pStyle w:val="ab"/>
        <w:spacing w:before="120" w:after="0" w:line="240" w:lineRule="auto"/>
        <w:ind w:left="0"/>
        <w:contextualSpacing w:val="0"/>
        <w:jc w:val="center"/>
        <w:outlineLvl w:val="1"/>
        <w:rPr>
          <w:rFonts w:ascii="Times New Roman" w:hAnsi="Times New Roman" w:cs="Times New Roman"/>
          <w:b/>
          <w:sz w:val="26"/>
          <w:szCs w:val="26"/>
        </w:rPr>
      </w:pPr>
      <w:bookmarkStart w:id="275" w:name="_Toc110507013"/>
      <w:r w:rsidRPr="00F562A8">
        <w:rPr>
          <w:rFonts w:ascii="Times New Roman" w:hAnsi="Times New Roman" w:cs="Times New Roman"/>
          <w:b/>
          <w:sz w:val="26"/>
          <w:szCs w:val="26"/>
        </w:rPr>
        <w:t xml:space="preserve">3.6.10. </w:t>
      </w:r>
      <w:r w:rsidR="00306BF5" w:rsidRPr="00F562A8">
        <w:rPr>
          <w:rFonts w:ascii="Times New Roman" w:hAnsi="Times New Roman" w:cs="Times New Roman"/>
          <w:b/>
          <w:sz w:val="26"/>
          <w:szCs w:val="26"/>
        </w:rPr>
        <w:t>Сегмент 10. «Использование лесов»</w:t>
      </w:r>
      <w:bookmarkEnd w:id="275"/>
    </w:p>
    <w:p w14:paraId="2EAA367D" w14:textId="77777777" w:rsidR="00A65F2E" w:rsidRPr="00F562A8" w:rsidRDefault="00A65F2E" w:rsidP="00A65F2E">
      <w:pPr>
        <w:spacing w:after="0" w:line="276" w:lineRule="auto"/>
        <w:ind w:firstLine="567"/>
        <w:jc w:val="both"/>
        <w:rPr>
          <w:rFonts w:ascii="Times New Roman" w:hAnsi="Times New Roman" w:cs="Times New Roman"/>
          <w:b/>
          <w:sz w:val="16"/>
          <w:szCs w:val="16"/>
        </w:rPr>
      </w:pPr>
    </w:p>
    <w:p w14:paraId="4EA32255" w14:textId="77777777" w:rsidR="00D73274" w:rsidRPr="00F562A8" w:rsidRDefault="00D73274" w:rsidP="00D73274">
      <w:pPr>
        <w:pStyle w:val="ab"/>
        <w:spacing w:line="276" w:lineRule="auto"/>
        <w:ind w:left="0"/>
        <w:jc w:val="center"/>
        <w:outlineLvl w:val="2"/>
        <w:rPr>
          <w:rFonts w:ascii="Times New Roman" w:hAnsi="Times New Roman" w:cs="Times New Roman"/>
          <w:i/>
          <w:sz w:val="26"/>
          <w:szCs w:val="26"/>
        </w:rPr>
      </w:pPr>
      <w:bookmarkStart w:id="276" w:name="_Toc106610382"/>
      <w:bookmarkStart w:id="277" w:name="_Toc110507014"/>
      <w:r w:rsidRPr="00F562A8">
        <w:rPr>
          <w:rFonts w:ascii="Times New Roman" w:hAnsi="Times New Roman" w:cs="Times New Roman"/>
          <w:i/>
          <w:sz w:val="26"/>
          <w:szCs w:val="26"/>
        </w:rPr>
        <w:t xml:space="preserve">3.6.10.1. Расчет кадастровой стоимости земельных участков группы </w:t>
      </w:r>
      <w:r>
        <w:rPr>
          <w:rFonts w:ascii="Times New Roman" w:hAnsi="Times New Roman" w:cs="Times New Roman"/>
          <w:i/>
          <w:sz w:val="26"/>
          <w:szCs w:val="26"/>
        </w:rPr>
        <w:t>ЛЕС</w:t>
      </w:r>
      <w:bookmarkEnd w:id="276"/>
      <w:bookmarkEnd w:id="277"/>
    </w:p>
    <w:p w14:paraId="6368E5A0" w14:textId="77777777" w:rsidR="00D73274" w:rsidRPr="00F562A8" w:rsidRDefault="00D73274" w:rsidP="00D73274">
      <w:pPr>
        <w:pStyle w:val="ab"/>
        <w:spacing w:after="0" w:line="276" w:lineRule="auto"/>
        <w:ind w:left="1069"/>
        <w:rPr>
          <w:rFonts w:ascii="Times New Roman" w:eastAsiaTheme="minorEastAsia" w:hAnsi="Times New Roman" w:cs="Times New Roman"/>
          <w:i/>
          <w:sz w:val="16"/>
          <w:szCs w:val="16"/>
        </w:rPr>
      </w:pPr>
    </w:p>
    <w:p w14:paraId="4A3E27A8" w14:textId="77777777" w:rsidR="00D73274" w:rsidRDefault="00D73274" w:rsidP="00D73274">
      <w:pPr>
        <w:spacing w:after="0" w:line="240" w:lineRule="auto"/>
        <w:ind w:firstLine="567"/>
        <w:contextualSpacing/>
        <w:jc w:val="both"/>
        <w:rPr>
          <w:rFonts w:ascii="Times New Roman" w:hAnsi="Times New Roman" w:cs="Times New Roman"/>
          <w:sz w:val="26"/>
          <w:szCs w:val="26"/>
        </w:rPr>
      </w:pPr>
      <w:r w:rsidRPr="00C22CCB">
        <w:rPr>
          <w:rFonts w:ascii="Times New Roman" w:hAnsi="Times New Roman" w:cs="Times New Roman"/>
          <w:sz w:val="26"/>
          <w:szCs w:val="26"/>
        </w:rPr>
        <w:t xml:space="preserve">    Перечень объектов оценки данной группы приведен в Приложении 2/2.4</w:t>
      </w:r>
      <w:r>
        <w:rPr>
          <w:rFonts w:ascii="Times New Roman" w:hAnsi="Times New Roman" w:cs="Times New Roman"/>
          <w:sz w:val="26"/>
          <w:szCs w:val="26"/>
        </w:rPr>
        <w:t>/2.4.10.</w:t>
      </w:r>
    </w:p>
    <w:p w14:paraId="4D842D86" w14:textId="77777777" w:rsidR="00D73274" w:rsidRDefault="00D73274" w:rsidP="00D73274">
      <w:pPr>
        <w:spacing w:after="0" w:line="276" w:lineRule="auto"/>
        <w:ind w:firstLine="567"/>
        <w:contextualSpacing/>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Земельные участки, отнесенные к группе </w:t>
      </w:r>
      <w:r>
        <w:rPr>
          <w:rFonts w:ascii="Times New Roman" w:eastAsiaTheme="minorEastAsia" w:hAnsi="Times New Roman" w:cs="Times New Roman"/>
          <w:sz w:val="26"/>
          <w:szCs w:val="26"/>
        </w:rPr>
        <w:t>ЛЕС</w:t>
      </w:r>
      <w:r w:rsidRPr="00F562A8">
        <w:rPr>
          <w:rFonts w:ascii="Times New Roman" w:eastAsiaTheme="minorEastAsia" w:hAnsi="Times New Roman" w:cs="Times New Roman"/>
          <w:sz w:val="26"/>
          <w:szCs w:val="26"/>
        </w:rPr>
        <w:t xml:space="preserve">, включают в себя следующие коды расчета вида использования </w:t>
      </w:r>
      <w:r w:rsidRPr="000A7533">
        <w:rPr>
          <w:rFonts w:ascii="Times New Roman" w:eastAsiaTheme="minorEastAsia" w:hAnsi="Times New Roman" w:cs="Times New Roman"/>
          <w:sz w:val="26"/>
          <w:szCs w:val="26"/>
        </w:rPr>
        <w:t>10:000, 10:010, 10:020, 10:030, 10:040</w:t>
      </w:r>
      <w:r w:rsidRPr="00F562A8">
        <w:rPr>
          <w:rFonts w:ascii="Times New Roman" w:eastAsiaTheme="minorEastAsia" w:hAnsi="Times New Roman" w:cs="Times New Roman"/>
          <w:sz w:val="26"/>
          <w:szCs w:val="26"/>
        </w:rPr>
        <w:t xml:space="preserve">.  </w:t>
      </w:r>
    </w:p>
    <w:p w14:paraId="62D3512F"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 xml:space="preserve">Кадастровая стоимость земельных участков 10 сегмента «Использование лесов» определяется согласно п. 59.4 </w:t>
      </w:r>
      <w:r>
        <w:rPr>
          <w:rFonts w:ascii="Times New Roman" w:hAnsi="Times New Roman" w:cs="Times New Roman"/>
          <w:sz w:val="26"/>
          <w:szCs w:val="26"/>
        </w:rPr>
        <w:t>Указаний</w:t>
      </w:r>
      <w:r w:rsidRPr="00671F60">
        <w:rPr>
          <w:rFonts w:ascii="Times New Roman" w:hAnsi="Times New Roman" w:cs="Times New Roman"/>
          <w:sz w:val="26"/>
          <w:szCs w:val="26"/>
        </w:rPr>
        <w:t>. В соответствии с данным пунктом определение кадастровой стоимости земельных участков 10 сегмента осуществляется в следующем порядке:</w:t>
      </w:r>
    </w:p>
    <w:p w14:paraId="5FDE5A4E" w14:textId="77777777" w:rsidR="00D73274" w:rsidRPr="008C6779" w:rsidRDefault="00D73274" w:rsidP="00D73274">
      <w:pPr>
        <w:numPr>
          <w:ilvl w:val="0"/>
          <w:numId w:val="44"/>
        </w:numPr>
        <w:tabs>
          <w:tab w:val="left" w:pos="1134"/>
        </w:tabs>
        <w:spacing w:after="0" w:line="276" w:lineRule="auto"/>
        <w:ind w:left="0" w:firstLine="709"/>
        <w:contextualSpacing/>
        <w:jc w:val="both"/>
        <w:rPr>
          <w:rFonts w:ascii="Times New Roman" w:eastAsia="Times New Roman" w:hAnsi="Times New Roman" w:cs="Times New Roman"/>
          <w:sz w:val="26"/>
          <w:szCs w:val="26"/>
          <w:lang w:eastAsia="ru-RU"/>
        </w:rPr>
      </w:pPr>
      <w:r w:rsidRPr="008C6779">
        <w:rPr>
          <w:rFonts w:ascii="Times New Roman" w:eastAsia="Times New Roman" w:hAnsi="Times New Roman" w:cs="Times New Roman"/>
          <w:sz w:val="26"/>
          <w:szCs w:val="26"/>
          <w:lang w:eastAsia="ru-RU"/>
        </w:rPr>
        <w:t>определение основных лесообразующих пород на территории субъекта Российской Федерации;</w:t>
      </w:r>
    </w:p>
    <w:p w14:paraId="703B4131" w14:textId="77777777" w:rsidR="00D73274" w:rsidRPr="008C6779" w:rsidRDefault="00D73274" w:rsidP="00D73274">
      <w:pPr>
        <w:numPr>
          <w:ilvl w:val="0"/>
          <w:numId w:val="44"/>
        </w:numPr>
        <w:tabs>
          <w:tab w:val="left" w:pos="1134"/>
        </w:tabs>
        <w:spacing w:after="0" w:line="276" w:lineRule="auto"/>
        <w:ind w:left="0" w:firstLine="709"/>
        <w:contextualSpacing/>
        <w:jc w:val="both"/>
        <w:rPr>
          <w:rFonts w:ascii="Times New Roman" w:eastAsia="Times New Roman" w:hAnsi="Times New Roman" w:cs="Times New Roman"/>
          <w:sz w:val="26"/>
          <w:szCs w:val="26"/>
          <w:lang w:eastAsia="ru-RU"/>
        </w:rPr>
      </w:pPr>
      <w:r w:rsidRPr="008C6779">
        <w:rPr>
          <w:rFonts w:ascii="Times New Roman" w:eastAsia="Times New Roman" w:hAnsi="Times New Roman" w:cs="Times New Roman"/>
          <w:sz w:val="26"/>
          <w:szCs w:val="26"/>
          <w:lang w:eastAsia="ru-RU"/>
        </w:rPr>
        <w:t>определение запаса лесных насаждений на 1 гектар по основным лесообразующим породам и оборотам рубки;</w:t>
      </w:r>
    </w:p>
    <w:p w14:paraId="2C40F35B" w14:textId="77777777" w:rsidR="00D73274" w:rsidRPr="008C6779" w:rsidRDefault="00D73274" w:rsidP="00D73274">
      <w:pPr>
        <w:numPr>
          <w:ilvl w:val="0"/>
          <w:numId w:val="44"/>
        </w:numPr>
        <w:tabs>
          <w:tab w:val="left" w:pos="1134"/>
        </w:tabs>
        <w:spacing w:after="0" w:line="276" w:lineRule="auto"/>
        <w:ind w:left="0" w:firstLine="709"/>
        <w:contextualSpacing/>
        <w:jc w:val="both"/>
        <w:rPr>
          <w:rFonts w:ascii="Times New Roman" w:eastAsia="Times New Roman" w:hAnsi="Times New Roman" w:cs="Times New Roman"/>
          <w:sz w:val="26"/>
          <w:szCs w:val="26"/>
          <w:lang w:eastAsia="ru-RU"/>
        </w:rPr>
      </w:pPr>
      <w:r w:rsidRPr="008C6779">
        <w:rPr>
          <w:rFonts w:ascii="Times New Roman" w:eastAsia="Times New Roman" w:hAnsi="Times New Roman" w:cs="Times New Roman"/>
          <w:sz w:val="26"/>
          <w:szCs w:val="26"/>
          <w:lang w:eastAsia="ru-RU"/>
        </w:rPr>
        <w:t>определение возраста рубок по основным лесообразующим породам и оборотам рубок;</w:t>
      </w:r>
    </w:p>
    <w:p w14:paraId="52C4BBF4" w14:textId="77777777" w:rsidR="00D73274" w:rsidRPr="008C6779" w:rsidRDefault="00D73274" w:rsidP="00D73274">
      <w:pPr>
        <w:numPr>
          <w:ilvl w:val="0"/>
          <w:numId w:val="44"/>
        </w:numPr>
        <w:tabs>
          <w:tab w:val="left" w:pos="1134"/>
        </w:tabs>
        <w:spacing w:after="0" w:line="276" w:lineRule="auto"/>
        <w:ind w:left="0" w:firstLine="709"/>
        <w:contextualSpacing/>
        <w:jc w:val="both"/>
        <w:rPr>
          <w:rFonts w:ascii="Times New Roman" w:eastAsia="Times New Roman" w:hAnsi="Times New Roman" w:cs="Times New Roman"/>
          <w:sz w:val="26"/>
          <w:szCs w:val="26"/>
          <w:lang w:eastAsia="ru-RU"/>
        </w:rPr>
      </w:pPr>
      <w:r w:rsidRPr="008C6779">
        <w:rPr>
          <w:rFonts w:ascii="Times New Roman" w:eastAsia="Times New Roman" w:hAnsi="Times New Roman" w:cs="Times New Roman"/>
          <w:sz w:val="26"/>
          <w:szCs w:val="26"/>
          <w:lang w:eastAsia="ru-RU"/>
        </w:rPr>
        <w:t>определение рыночной стоимости 1 куб. м древесины по основным лесообразующим породам и оборотам рубки;</w:t>
      </w:r>
    </w:p>
    <w:p w14:paraId="606B6DEF" w14:textId="77777777" w:rsidR="00D73274" w:rsidRPr="008C6779" w:rsidRDefault="00D73274" w:rsidP="00D73274">
      <w:pPr>
        <w:numPr>
          <w:ilvl w:val="0"/>
          <w:numId w:val="44"/>
        </w:numPr>
        <w:tabs>
          <w:tab w:val="left" w:pos="1134"/>
        </w:tabs>
        <w:spacing w:after="0" w:line="276" w:lineRule="auto"/>
        <w:ind w:left="0" w:firstLine="709"/>
        <w:contextualSpacing/>
        <w:jc w:val="both"/>
        <w:rPr>
          <w:rFonts w:ascii="Times New Roman" w:eastAsia="Times New Roman" w:hAnsi="Times New Roman" w:cs="Times New Roman"/>
          <w:sz w:val="26"/>
          <w:szCs w:val="26"/>
          <w:lang w:eastAsia="ru-RU"/>
        </w:rPr>
      </w:pPr>
      <w:r w:rsidRPr="008C6779">
        <w:rPr>
          <w:rFonts w:ascii="Times New Roman" w:eastAsia="Times New Roman" w:hAnsi="Times New Roman" w:cs="Times New Roman"/>
          <w:sz w:val="26"/>
          <w:szCs w:val="26"/>
          <w:lang w:eastAsia="ru-RU"/>
        </w:rPr>
        <w:t>определение продуктивности 1 гектара земель, занятых насаждениями по основным лесообразующим породам и оборотам рубки в денежном выражении;</w:t>
      </w:r>
    </w:p>
    <w:p w14:paraId="1465520D" w14:textId="77777777" w:rsidR="00D73274" w:rsidRPr="008C6779" w:rsidRDefault="00D73274" w:rsidP="00D73274">
      <w:pPr>
        <w:numPr>
          <w:ilvl w:val="0"/>
          <w:numId w:val="44"/>
        </w:numPr>
        <w:tabs>
          <w:tab w:val="left" w:pos="1134"/>
        </w:tabs>
        <w:spacing w:after="0" w:line="276" w:lineRule="auto"/>
        <w:ind w:left="0" w:firstLine="709"/>
        <w:contextualSpacing/>
        <w:jc w:val="both"/>
        <w:rPr>
          <w:rFonts w:ascii="Times New Roman" w:eastAsia="Times New Roman" w:hAnsi="Times New Roman" w:cs="Times New Roman"/>
          <w:sz w:val="26"/>
          <w:szCs w:val="26"/>
          <w:lang w:eastAsia="ru-RU"/>
        </w:rPr>
      </w:pPr>
      <w:r w:rsidRPr="008C6779">
        <w:rPr>
          <w:rFonts w:ascii="Times New Roman" w:eastAsia="Times New Roman" w:hAnsi="Times New Roman" w:cs="Times New Roman"/>
          <w:sz w:val="26"/>
          <w:szCs w:val="26"/>
          <w:lang w:eastAsia="ru-RU"/>
        </w:rPr>
        <w:t>определение затрат на воспроизводство 1 гектара земель, занятых насаждениями по основным лесообразующим породам и оборотам рубки;</w:t>
      </w:r>
    </w:p>
    <w:p w14:paraId="0E09899A" w14:textId="77777777" w:rsidR="00D73274" w:rsidRPr="008C6779" w:rsidRDefault="00D73274" w:rsidP="00D73274">
      <w:pPr>
        <w:numPr>
          <w:ilvl w:val="0"/>
          <w:numId w:val="44"/>
        </w:numPr>
        <w:tabs>
          <w:tab w:val="left" w:pos="1134"/>
        </w:tabs>
        <w:spacing w:after="0" w:line="276" w:lineRule="auto"/>
        <w:ind w:left="0" w:firstLine="709"/>
        <w:contextualSpacing/>
        <w:jc w:val="both"/>
        <w:rPr>
          <w:rFonts w:ascii="Times New Roman" w:eastAsia="Times New Roman" w:hAnsi="Times New Roman" w:cs="Times New Roman"/>
          <w:sz w:val="26"/>
          <w:szCs w:val="26"/>
          <w:lang w:eastAsia="ru-RU"/>
        </w:rPr>
      </w:pPr>
      <w:r w:rsidRPr="008C6779">
        <w:rPr>
          <w:rFonts w:ascii="Times New Roman" w:eastAsia="Times New Roman" w:hAnsi="Times New Roman" w:cs="Times New Roman"/>
          <w:sz w:val="26"/>
          <w:szCs w:val="26"/>
          <w:lang w:eastAsia="ru-RU"/>
        </w:rPr>
        <w:t>определение удельного показателя рентного дохода земель, занятых спелыми насаждениями по основным лесообразующим породам и оборотам рубки;</w:t>
      </w:r>
    </w:p>
    <w:p w14:paraId="1EF09A5C" w14:textId="77777777" w:rsidR="00D73274" w:rsidRPr="008C6779" w:rsidRDefault="00D73274" w:rsidP="00D73274">
      <w:pPr>
        <w:numPr>
          <w:ilvl w:val="0"/>
          <w:numId w:val="44"/>
        </w:numPr>
        <w:tabs>
          <w:tab w:val="left" w:pos="1134"/>
        </w:tabs>
        <w:spacing w:after="0" w:line="276" w:lineRule="auto"/>
        <w:ind w:left="0" w:firstLine="709"/>
        <w:contextualSpacing/>
        <w:jc w:val="both"/>
        <w:rPr>
          <w:rFonts w:ascii="Times New Roman" w:eastAsia="Times New Roman" w:hAnsi="Times New Roman" w:cs="Times New Roman"/>
          <w:sz w:val="26"/>
          <w:szCs w:val="26"/>
          <w:lang w:eastAsia="ru-RU"/>
        </w:rPr>
      </w:pPr>
      <w:r w:rsidRPr="008C6779">
        <w:rPr>
          <w:rFonts w:ascii="Times New Roman" w:eastAsia="Times New Roman" w:hAnsi="Times New Roman" w:cs="Times New Roman"/>
          <w:sz w:val="26"/>
          <w:szCs w:val="26"/>
          <w:lang w:eastAsia="ru-RU"/>
        </w:rPr>
        <w:t>определение величины коэффициента капитализации;</w:t>
      </w:r>
    </w:p>
    <w:p w14:paraId="0F5E84DB" w14:textId="77777777" w:rsidR="00D73274" w:rsidRPr="008C6779" w:rsidRDefault="00D73274" w:rsidP="00D73274">
      <w:pPr>
        <w:numPr>
          <w:ilvl w:val="0"/>
          <w:numId w:val="44"/>
        </w:numPr>
        <w:tabs>
          <w:tab w:val="left" w:pos="1134"/>
        </w:tabs>
        <w:spacing w:after="0" w:line="276" w:lineRule="auto"/>
        <w:ind w:left="0" w:firstLine="709"/>
        <w:contextualSpacing/>
        <w:jc w:val="both"/>
        <w:rPr>
          <w:rFonts w:ascii="Times New Roman" w:eastAsia="Times New Roman" w:hAnsi="Times New Roman" w:cs="Times New Roman"/>
          <w:sz w:val="26"/>
          <w:szCs w:val="26"/>
          <w:lang w:eastAsia="ru-RU"/>
        </w:rPr>
      </w:pPr>
      <w:r w:rsidRPr="008C6779">
        <w:rPr>
          <w:rFonts w:ascii="Times New Roman" w:eastAsia="Times New Roman" w:hAnsi="Times New Roman" w:cs="Times New Roman"/>
          <w:sz w:val="26"/>
          <w:szCs w:val="26"/>
          <w:lang w:eastAsia="ru-RU"/>
        </w:rPr>
        <w:t>определение удельного показателя кадастровой стоимости земель, занятых спелыми насаждениями по основным лесообразующим породам и оборотам рубки;</w:t>
      </w:r>
    </w:p>
    <w:p w14:paraId="381B7956" w14:textId="77777777" w:rsidR="00D73274" w:rsidRPr="008C6779" w:rsidRDefault="00D73274" w:rsidP="00D73274">
      <w:pPr>
        <w:numPr>
          <w:ilvl w:val="0"/>
          <w:numId w:val="44"/>
        </w:numPr>
        <w:tabs>
          <w:tab w:val="left" w:pos="1134"/>
        </w:tabs>
        <w:spacing w:after="0" w:line="276" w:lineRule="auto"/>
        <w:ind w:left="0" w:firstLine="709"/>
        <w:contextualSpacing/>
        <w:jc w:val="both"/>
        <w:rPr>
          <w:rFonts w:ascii="Times New Roman" w:eastAsia="Times New Roman" w:hAnsi="Times New Roman" w:cs="Times New Roman"/>
          <w:sz w:val="26"/>
          <w:szCs w:val="26"/>
          <w:lang w:eastAsia="ru-RU"/>
        </w:rPr>
      </w:pPr>
      <w:r w:rsidRPr="008C6779">
        <w:rPr>
          <w:rFonts w:ascii="Times New Roman" w:eastAsia="Times New Roman" w:hAnsi="Times New Roman" w:cs="Times New Roman"/>
          <w:sz w:val="26"/>
          <w:szCs w:val="26"/>
          <w:lang w:eastAsia="ru-RU"/>
        </w:rPr>
        <w:t>определение по каждой основной лесообразующей породе и оборотам рубки количества лет, через которое насаждения войдут в категорию спелых;</w:t>
      </w:r>
    </w:p>
    <w:p w14:paraId="110A9F6D" w14:textId="77777777" w:rsidR="00D73274" w:rsidRPr="008C6779" w:rsidRDefault="00D73274" w:rsidP="00D73274">
      <w:pPr>
        <w:numPr>
          <w:ilvl w:val="0"/>
          <w:numId w:val="44"/>
        </w:numPr>
        <w:tabs>
          <w:tab w:val="left" w:pos="1134"/>
        </w:tabs>
        <w:spacing w:after="0" w:line="276" w:lineRule="auto"/>
        <w:ind w:left="0" w:firstLine="709"/>
        <w:contextualSpacing/>
        <w:jc w:val="both"/>
        <w:rPr>
          <w:rFonts w:ascii="Times New Roman" w:eastAsia="Times New Roman" w:hAnsi="Times New Roman" w:cs="Times New Roman"/>
          <w:sz w:val="26"/>
          <w:szCs w:val="26"/>
          <w:lang w:eastAsia="ru-RU"/>
        </w:rPr>
      </w:pPr>
      <w:r w:rsidRPr="008C6779">
        <w:rPr>
          <w:rFonts w:ascii="Times New Roman" w:eastAsia="Times New Roman" w:hAnsi="Times New Roman" w:cs="Times New Roman"/>
          <w:sz w:val="26"/>
          <w:szCs w:val="26"/>
          <w:lang w:eastAsia="ru-RU"/>
        </w:rPr>
        <w:t>определение ставки дисконтирования;</w:t>
      </w:r>
    </w:p>
    <w:p w14:paraId="5F92E180" w14:textId="77777777" w:rsidR="00D73274" w:rsidRPr="008C6779" w:rsidRDefault="00D73274" w:rsidP="00D73274">
      <w:pPr>
        <w:numPr>
          <w:ilvl w:val="0"/>
          <w:numId w:val="44"/>
        </w:numPr>
        <w:tabs>
          <w:tab w:val="left" w:pos="1134"/>
        </w:tabs>
        <w:spacing w:after="0" w:line="276" w:lineRule="auto"/>
        <w:ind w:left="0" w:firstLine="709"/>
        <w:contextualSpacing/>
        <w:jc w:val="both"/>
        <w:rPr>
          <w:rFonts w:ascii="Times New Roman" w:eastAsia="Times New Roman" w:hAnsi="Times New Roman" w:cs="Times New Roman"/>
          <w:sz w:val="26"/>
          <w:szCs w:val="26"/>
          <w:lang w:eastAsia="ru-RU"/>
        </w:rPr>
      </w:pPr>
      <w:r w:rsidRPr="008C6779">
        <w:rPr>
          <w:rFonts w:ascii="Times New Roman" w:eastAsia="Times New Roman" w:hAnsi="Times New Roman" w:cs="Times New Roman"/>
          <w:sz w:val="26"/>
          <w:szCs w:val="26"/>
          <w:lang w:eastAsia="ru-RU"/>
        </w:rPr>
        <w:t>дисконтирование удельного показателя кадастровой стоимости земель, занятых неспелыми насаждениями по основным лесообразующим породам и оборотам рубки;</w:t>
      </w:r>
    </w:p>
    <w:p w14:paraId="20E1E197" w14:textId="77777777" w:rsidR="00D73274" w:rsidRPr="008C6779" w:rsidRDefault="00D73274" w:rsidP="00D73274">
      <w:pPr>
        <w:numPr>
          <w:ilvl w:val="0"/>
          <w:numId w:val="44"/>
        </w:numPr>
        <w:tabs>
          <w:tab w:val="left" w:pos="1134"/>
        </w:tabs>
        <w:spacing w:after="0" w:line="276" w:lineRule="auto"/>
        <w:ind w:left="0" w:firstLine="709"/>
        <w:contextualSpacing/>
        <w:jc w:val="both"/>
        <w:rPr>
          <w:rFonts w:ascii="Times New Roman" w:eastAsia="Times New Roman" w:hAnsi="Times New Roman" w:cs="Times New Roman"/>
          <w:sz w:val="26"/>
          <w:szCs w:val="26"/>
          <w:lang w:eastAsia="ru-RU"/>
        </w:rPr>
      </w:pPr>
      <w:r w:rsidRPr="008C6779">
        <w:rPr>
          <w:rFonts w:ascii="Times New Roman" w:eastAsia="Times New Roman" w:hAnsi="Times New Roman" w:cs="Times New Roman"/>
          <w:sz w:val="26"/>
          <w:szCs w:val="26"/>
          <w:lang w:eastAsia="ru-RU"/>
        </w:rPr>
        <w:t>определение площадей спелых и неспелых насаждений по основным лесообразующим породам и оборотам рубки;</w:t>
      </w:r>
    </w:p>
    <w:p w14:paraId="14981B86" w14:textId="77777777" w:rsidR="00D73274" w:rsidRPr="008C6779" w:rsidRDefault="00D73274" w:rsidP="00D73274">
      <w:pPr>
        <w:numPr>
          <w:ilvl w:val="0"/>
          <w:numId w:val="44"/>
        </w:numPr>
        <w:tabs>
          <w:tab w:val="left" w:pos="1134"/>
        </w:tabs>
        <w:spacing w:after="0" w:line="276" w:lineRule="auto"/>
        <w:ind w:left="0" w:firstLine="709"/>
        <w:contextualSpacing/>
        <w:jc w:val="both"/>
        <w:rPr>
          <w:rFonts w:ascii="Times New Roman" w:eastAsia="Times New Roman" w:hAnsi="Times New Roman" w:cs="Times New Roman"/>
          <w:sz w:val="26"/>
          <w:szCs w:val="26"/>
          <w:lang w:eastAsia="ru-RU"/>
        </w:rPr>
      </w:pPr>
      <w:r w:rsidRPr="008C6779">
        <w:rPr>
          <w:rFonts w:ascii="Times New Roman" w:eastAsia="Times New Roman" w:hAnsi="Times New Roman" w:cs="Times New Roman"/>
          <w:sz w:val="26"/>
          <w:szCs w:val="26"/>
          <w:lang w:eastAsia="ru-RU"/>
        </w:rPr>
        <w:t>определение кадастровой стоимости земель лесного фонда, занятых спелыми и неспелыми насаждениями по основным лесообразующим породам и оборотам рубки;</w:t>
      </w:r>
    </w:p>
    <w:p w14:paraId="2A64A9F7" w14:textId="77777777" w:rsidR="00D73274" w:rsidRPr="008C6779" w:rsidRDefault="00D73274" w:rsidP="00D73274">
      <w:pPr>
        <w:numPr>
          <w:ilvl w:val="0"/>
          <w:numId w:val="44"/>
        </w:numPr>
        <w:tabs>
          <w:tab w:val="left" w:pos="1134"/>
        </w:tabs>
        <w:spacing w:after="0" w:line="276" w:lineRule="auto"/>
        <w:ind w:left="0" w:firstLine="709"/>
        <w:contextualSpacing/>
        <w:jc w:val="both"/>
        <w:rPr>
          <w:rFonts w:ascii="Times New Roman" w:eastAsia="Times New Roman" w:hAnsi="Times New Roman" w:cs="Times New Roman"/>
          <w:sz w:val="26"/>
          <w:szCs w:val="26"/>
          <w:lang w:eastAsia="ru-RU"/>
        </w:rPr>
      </w:pPr>
      <w:r w:rsidRPr="008C6779">
        <w:rPr>
          <w:rFonts w:ascii="Times New Roman" w:eastAsia="Times New Roman" w:hAnsi="Times New Roman" w:cs="Times New Roman"/>
          <w:sz w:val="26"/>
          <w:szCs w:val="26"/>
          <w:lang w:eastAsia="ru-RU"/>
        </w:rPr>
        <w:t>определение удельного показателя кадастровой стоимости земель лесничеств субъекта РФ;</w:t>
      </w:r>
    </w:p>
    <w:p w14:paraId="72D92ABD" w14:textId="77777777" w:rsidR="00D73274" w:rsidRPr="008C6779" w:rsidRDefault="00D73274" w:rsidP="00D73274">
      <w:pPr>
        <w:numPr>
          <w:ilvl w:val="0"/>
          <w:numId w:val="44"/>
        </w:numPr>
        <w:tabs>
          <w:tab w:val="left" w:pos="1134"/>
        </w:tabs>
        <w:spacing w:after="0" w:line="276" w:lineRule="auto"/>
        <w:ind w:left="0" w:firstLine="709"/>
        <w:contextualSpacing/>
        <w:jc w:val="both"/>
        <w:rPr>
          <w:rFonts w:ascii="Times New Roman" w:eastAsia="Times New Roman" w:hAnsi="Times New Roman" w:cs="Times New Roman"/>
          <w:sz w:val="26"/>
          <w:szCs w:val="26"/>
          <w:lang w:eastAsia="ru-RU"/>
        </w:rPr>
      </w:pPr>
      <w:r w:rsidRPr="008C6779">
        <w:rPr>
          <w:rFonts w:ascii="Times New Roman" w:eastAsia="Times New Roman" w:hAnsi="Times New Roman" w:cs="Times New Roman"/>
          <w:sz w:val="26"/>
          <w:szCs w:val="26"/>
          <w:lang w:eastAsia="ru-RU"/>
        </w:rPr>
        <w:t>определение кадастровой стоимости земельных участков.</w:t>
      </w:r>
    </w:p>
    <w:p w14:paraId="104995D7"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В Лесном плане Воронежской области форма № 2-ГЛР «Распределение площади лесов и запасов древесины по преобладающим породам и группам возраста», необходимая для расчетов, представлена в разрезе лесничеств Воронежской области (</w:t>
      </w:r>
      <w:r>
        <w:rPr>
          <w:rFonts w:ascii="Times New Roman" w:hAnsi="Times New Roman" w:cs="Times New Roman"/>
          <w:sz w:val="26"/>
          <w:szCs w:val="26"/>
        </w:rPr>
        <w:t>Приложение</w:t>
      </w:r>
      <w:r w:rsidRPr="00C45ED3">
        <w:rPr>
          <w:rFonts w:ascii="Times New Roman" w:eastAsiaTheme="minorEastAsia" w:hAnsi="Times New Roman" w:cs="Times New Roman"/>
          <w:sz w:val="26"/>
          <w:szCs w:val="26"/>
        </w:rPr>
        <w:t xml:space="preserve"> 1/1.2/1.2.1/1.2.1.</w:t>
      </w:r>
      <w:r>
        <w:rPr>
          <w:rFonts w:ascii="Times New Roman" w:eastAsiaTheme="minorEastAsia" w:hAnsi="Times New Roman" w:cs="Times New Roman"/>
          <w:sz w:val="26"/>
          <w:szCs w:val="26"/>
        </w:rPr>
        <w:t>7</w:t>
      </w:r>
      <w:r w:rsidRPr="00C22CCB">
        <w:rPr>
          <w:rFonts w:ascii="Times New Roman" w:hAnsi="Times New Roman" w:cs="Times New Roman"/>
          <w:sz w:val="26"/>
          <w:szCs w:val="26"/>
        </w:rPr>
        <w:t>).</w:t>
      </w:r>
    </w:p>
    <w:p w14:paraId="72061246"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Кадастровая стоимость объектов оценки 10 сегмента определена на основании информации о лесном фонде, представленной Управлением лесного хозяйства Воронежской области в письме от 01.04.2022 № 64-12/856 (</w:t>
      </w:r>
      <w:r>
        <w:rPr>
          <w:rFonts w:ascii="Times New Roman" w:hAnsi="Times New Roman" w:cs="Times New Roman"/>
          <w:sz w:val="26"/>
          <w:szCs w:val="26"/>
        </w:rPr>
        <w:t xml:space="preserve">Приложение </w:t>
      </w:r>
      <w:r w:rsidRPr="00C45ED3">
        <w:rPr>
          <w:rFonts w:ascii="Times New Roman" w:eastAsiaTheme="minorEastAsia" w:hAnsi="Times New Roman" w:cs="Times New Roman"/>
          <w:sz w:val="26"/>
          <w:szCs w:val="26"/>
        </w:rPr>
        <w:t>1/1.2/1.2.1/1.2.1.</w:t>
      </w:r>
      <w:r>
        <w:rPr>
          <w:rFonts w:ascii="Times New Roman" w:eastAsiaTheme="minorEastAsia" w:hAnsi="Times New Roman" w:cs="Times New Roman"/>
          <w:sz w:val="26"/>
          <w:szCs w:val="26"/>
        </w:rPr>
        <w:t>7</w:t>
      </w:r>
      <w:r w:rsidRPr="00C22CCB">
        <w:rPr>
          <w:rFonts w:ascii="Times New Roman" w:hAnsi="Times New Roman" w:cs="Times New Roman"/>
          <w:sz w:val="26"/>
          <w:szCs w:val="26"/>
        </w:rPr>
        <w:t>).</w:t>
      </w:r>
    </w:p>
    <w:p w14:paraId="6DF7F7F8"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Ниже приведен расчет УПКС земель лесного фонда на уровне лесничеств Воронежской области, которые в дальнейшем будут использованы для определения кадастровой стоимости земельных участков.</w:t>
      </w:r>
    </w:p>
    <w:p w14:paraId="5CF0DEB3"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1F9C71BD" w14:textId="77777777" w:rsidR="00D73274" w:rsidRPr="00C22CCB" w:rsidRDefault="00D73274" w:rsidP="00D73274">
      <w:pPr>
        <w:spacing w:after="0" w:line="276" w:lineRule="auto"/>
        <w:contextualSpacing/>
        <w:jc w:val="center"/>
        <w:rPr>
          <w:rFonts w:ascii="Times New Roman" w:hAnsi="Times New Roman" w:cs="Times New Roman"/>
          <w:i/>
          <w:sz w:val="26"/>
          <w:szCs w:val="26"/>
        </w:rPr>
      </w:pPr>
      <w:r w:rsidRPr="00C22CCB">
        <w:rPr>
          <w:rFonts w:ascii="Times New Roman" w:hAnsi="Times New Roman" w:cs="Times New Roman"/>
          <w:i/>
          <w:sz w:val="26"/>
          <w:szCs w:val="26"/>
        </w:rPr>
        <w:t>Определение основных лесообразующих пород на территории субъекта Российской Федерации</w:t>
      </w:r>
    </w:p>
    <w:p w14:paraId="4FC42B0A"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33B3EE22"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Перечень основных лесообразующих пород для каждого лесничества сформирован на основании Формы 2-ГЛР «Распределение площади лесов и запасов древесины по преобладающим породам и группам возраста», предоставленной Управлением лесного хозяйства Воронежской области: сосна, ель, лиственница, дуб высокоствольный, дуб низкоствольный, ясень, клен, вяз, акация белая, осина, ольха серая, ольха черная, берёза и др. (</w:t>
      </w:r>
      <w:r>
        <w:rPr>
          <w:rFonts w:ascii="Times New Roman" w:hAnsi="Times New Roman" w:cs="Times New Roman"/>
          <w:sz w:val="26"/>
          <w:szCs w:val="26"/>
        </w:rPr>
        <w:t>Приложение</w:t>
      </w:r>
      <w:r w:rsidRPr="00C45ED3">
        <w:rPr>
          <w:rFonts w:ascii="Times New Roman" w:eastAsiaTheme="minorEastAsia" w:hAnsi="Times New Roman" w:cs="Times New Roman"/>
          <w:sz w:val="26"/>
          <w:szCs w:val="26"/>
        </w:rPr>
        <w:t xml:space="preserve"> 1/1.2/1.2.1/1.2.1.</w:t>
      </w:r>
      <w:r>
        <w:rPr>
          <w:rFonts w:ascii="Times New Roman" w:eastAsiaTheme="minorEastAsia" w:hAnsi="Times New Roman" w:cs="Times New Roman"/>
          <w:sz w:val="26"/>
          <w:szCs w:val="26"/>
        </w:rPr>
        <w:t>7</w:t>
      </w:r>
      <w:r w:rsidRPr="00C22CCB">
        <w:rPr>
          <w:rFonts w:ascii="Times New Roman" w:hAnsi="Times New Roman" w:cs="Times New Roman"/>
          <w:sz w:val="26"/>
          <w:szCs w:val="26"/>
        </w:rPr>
        <w:t>).</w:t>
      </w:r>
    </w:p>
    <w:p w14:paraId="18C35D7B"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19E5E3F8" w14:textId="77777777" w:rsidR="00D73274" w:rsidRPr="00C22CCB" w:rsidRDefault="00D73274" w:rsidP="00D73274">
      <w:pPr>
        <w:spacing w:after="0" w:line="276" w:lineRule="auto"/>
        <w:contextualSpacing/>
        <w:jc w:val="center"/>
        <w:rPr>
          <w:rFonts w:ascii="Times New Roman" w:hAnsi="Times New Roman" w:cs="Times New Roman"/>
          <w:i/>
          <w:sz w:val="26"/>
          <w:szCs w:val="26"/>
        </w:rPr>
      </w:pPr>
      <w:r w:rsidRPr="00C22CCB">
        <w:rPr>
          <w:rFonts w:ascii="Times New Roman" w:hAnsi="Times New Roman" w:cs="Times New Roman"/>
          <w:i/>
          <w:sz w:val="26"/>
          <w:szCs w:val="26"/>
        </w:rPr>
        <w:t>Определение запаса лесных насаждений на 1 гектар по основным лесообразующим породам и оборотам рубки</w:t>
      </w:r>
    </w:p>
    <w:p w14:paraId="236761FC"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5026BF90"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Определение запаса лесных насаждений на 1 гектар основано на информации из Формы 2-ГЛР «Распределение площади лесов и запасов древесины по преобладающим породам и группам возраста», предоставленной Управлением лесного хозяйства Воронежской области (</w:t>
      </w:r>
      <w:r>
        <w:rPr>
          <w:rFonts w:ascii="Times New Roman" w:hAnsi="Times New Roman" w:cs="Times New Roman"/>
          <w:sz w:val="26"/>
          <w:szCs w:val="26"/>
        </w:rPr>
        <w:t xml:space="preserve">Приложение </w:t>
      </w:r>
      <w:r w:rsidRPr="00C45ED3">
        <w:rPr>
          <w:rFonts w:ascii="Times New Roman" w:eastAsiaTheme="minorEastAsia" w:hAnsi="Times New Roman" w:cs="Times New Roman"/>
          <w:sz w:val="26"/>
          <w:szCs w:val="26"/>
        </w:rPr>
        <w:t>1/1.2/1.2.1/1.2.1</w:t>
      </w:r>
      <w:r w:rsidRPr="00A65E76">
        <w:rPr>
          <w:rFonts w:ascii="Times New Roman" w:eastAsiaTheme="minorEastAsia" w:hAnsi="Times New Roman" w:cs="Times New Roman"/>
          <w:sz w:val="26"/>
          <w:szCs w:val="26"/>
        </w:rPr>
        <w:t>.7</w:t>
      </w:r>
      <w:r w:rsidRPr="00A65E76">
        <w:rPr>
          <w:rFonts w:ascii="Times New Roman" w:hAnsi="Times New Roman" w:cs="Times New Roman"/>
          <w:sz w:val="26"/>
          <w:szCs w:val="26"/>
        </w:rPr>
        <w:t>) и выполняется</w:t>
      </w:r>
      <w:r w:rsidRPr="00C22CCB">
        <w:rPr>
          <w:rFonts w:ascii="Times New Roman" w:hAnsi="Times New Roman" w:cs="Times New Roman"/>
          <w:sz w:val="26"/>
          <w:szCs w:val="26"/>
        </w:rPr>
        <w:t xml:space="preserve"> по формуле:</w:t>
      </w:r>
    </w:p>
    <w:p w14:paraId="798FC7EF"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1BF606C0" w14:textId="77777777" w:rsidR="00D73274" w:rsidRDefault="00FF7453" w:rsidP="00D73274">
      <w:pPr>
        <w:spacing w:after="0" w:line="276" w:lineRule="auto"/>
        <w:ind w:firstLine="708"/>
        <w:contextualSpacing/>
        <w:jc w:val="center"/>
        <w:rPr>
          <w:rFonts w:ascii="Times New Roman" w:hAnsi="Times New Roman" w:cs="Times New Roman"/>
          <w:sz w:val="26"/>
          <w:szCs w:val="26"/>
        </w:rPr>
      </w:pP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га</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куб.м</m:t>
            </m:r>
          </m:sub>
        </m:sSub>
        <m:r>
          <m:rPr>
            <m:sty m:val="p"/>
          </m:rPr>
          <w:rPr>
            <w:rFonts w:ascii="Cambria Math" w:hAnsi="Cambria Math" w:cs="Times New Roman"/>
            <w:sz w:val="26"/>
            <w:szCs w:val="26"/>
          </w:rPr>
          <m:t>/S×1000</m:t>
        </m:r>
      </m:oMath>
      <w:r w:rsidR="00D73274" w:rsidRPr="00671F60">
        <w:rPr>
          <w:rFonts w:ascii="Times New Roman" w:hAnsi="Times New Roman" w:cs="Times New Roman"/>
          <w:sz w:val="26"/>
          <w:szCs w:val="26"/>
        </w:rPr>
        <w:t>, где</w:t>
      </w:r>
    </w:p>
    <w:p w14:paraId="486DAF05"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32E0204B"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Зга – запас лесных насаждений на 1 гектар по основным лесообразующим породам и оборотам рубки, куб. м;</w:t>
      </w:r>
    </w:p>
    <w:p w14:paraId="5B43B00A"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Зкуб.м – запас лесных насаждений по основным лесообразующим породам и оборотам рубки, тыс. куб. м;</w:t>
      </w:r>
    </w:p>
    <w:p w14:paraId="4EC564D2"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S – Площадь земель, занятых лесными насаждениями (покрытых лесной растительностью) по основным лесообразующим породам и оборотам рубки, га.</w:t>
      </w:r>
    </w:p>
    <w:p w14:paraId="05B9A96E"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По терминологии и в соответствии с ГОСТ 18486-87 «Лесоводство. Термины и определения»:</w:t>
      </w:r>
    </w:p>
    <w:p w14:paraId="3EA58BF8"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древостой – совокупность деревьев, являющихся основным компонентом насаждения;</w:t>
      </w:r>
    </w:p>
    <w:p w14:paraId="6FF78CF8"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класс возраста древостоя – возрастной интервал, применяемый для характеристики возрастной структуры древостоев в зависимости от породы (классы возраста устанавливаются в 5, 10, 20, 40 лет);</w:t>
      </w:r>
    </w:p>
    <w:p w14:paraId="06E80B2C"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возраст спелости древостоя – возраст, в котором древостой приобретает количественные и качественные показатели, наиболее соответствующие целям хозяйства;</w:t>
      </w:r>
    </w:p>
    <w:p w14:paraId="0F013AE1"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молодой древостой (молодняк) – древостой в возрасте от его смыкания до конца второго класса возраста;</w:t>
      </w:r>
    </w:p>
    <w:p w14:paraId="3D3C7D70"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средневозрастный древостой – древостой в возрасте от начала третьего класса возраста до приспевающего возраста;</w:t>
      </w:r>
    </w:p>
    <w:p w14:paraId="54A51843"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приспевающий древостой – древостой, класс возраста которого предшествует возрасту спелости;</w:t>
      </w:r>
    </w:p>
    <w:p w14:paraId="5CA0B5BA"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спелый древостой – древостой, достигший возраста спелости;</w:t>
      </w:r>
    </w:p>
    <w:p w14:paraId="1C689649"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перестойный древостой – древостой в возрасте, превышающем начало периода спелости на два и более класса возраста.</w:t>
      </w:r>
    </w:p>
    <w:p w14:paraId="735A2FB4"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 xml:space="preserve">Расчет запаса лесных насаждений на 1 гектар по основным лесообразующим породам и оборотам рубки представлен в </w:t>
      </w:r>
      <w:r w:rsidRPr="0000573C">
        <w:rPr>
          <w:rFonts w:ascii="Times New Roman" w:hAnsi="Times New Roman" w:cs="Times New Roman"/>
          <w:sz w:val="26"/>
          <w:szCs w:val="26"/>
        </w:rPr>
        <w:t>Приложени</w:t>
      </w:r>
      <w:r>
        <w:rPr>
          <w:rFonts w:ascii="Times New Roman" w:hAnsi="Times New Roman" w:cs="Times New Roman"/>
          <w:sz w:val="26"/>
          <w:szCs w:val="26"/>
        </w:rPr>
        <w:t>и</w:t>
      </w:r>
      <w:r w:rsidRPr="0000573C">
        <w:rPr>
          <w:rFonts w:ascii="Times New Roman" w:hAnsi="Times New Roman" w:cs="Times New Roman"/>
          <w:sz w:val="26"/>
          <w:szCs w:val="26"/>
        </w:rPr>
        <w:t xml:space="preserve"> </w:t>
      </w:r>
      <w:r w:rsidRPr="00C22CCB">
        <w:rPr>
          <w:rFonts w:ascii="Times New Roman" w:hAnsi="Times New Roman" w:cs="Times New Roman"/>
          <w:sz w:val="26"/>
          <w:szCs w:val="26"/>
        </w:rPr>
        <w:t>2/2.4</w:t>
      </w:r>
      <w:r>
        <w:rPr>
          <w:rFonts w:ascii="Times New Roman" w:hAnsi="Times New Roman" w:cs="Times New Roman"/>
          <w:sz w:val="26"/>
          <w:szCs w:val="26"/>
        </w:rPr>
        <w:t>/2.4.10.</w:t>
      </w:r>
    </w:p>
    <w:p w14:paraId="65E50DA4"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1F493328" w14:textId="77777777" w:rsidR="00D73274" w:rsidRPr="00C22CCB" w:rsidRDefault="00D73274" w:rsidP="00D73274">
      <w:pPr>
        <w:spacing w:after="0" w:line="276" w:lineRule="auto"/>
        <w:contextualSpacing/>
        <w:jc w:val="center"/>
        <w:rPr>
          <w:rFonts w:ascii="Times New Roman" w:hAnsi="Times New Roman" w:cs="Times New Roman"/>
          <w:i/>
          <w:sz w:val="26"/>
          <w:szCs w:val="26"/>
        </w:rPr>
      </w:pPr>
      <w:r w:rsidRPr="00C22CCB">
        <w:rPr>
          <w:rFonts w:ascii="Times New Roman" w:hAnsi="Times New Roman" w:cs="Times New Roman"/>
          <w:i/>
          <w:sz w:val="26"/>
          <w:szCs w:val="26"/>
        </w:rPr>
        <w:t>Определение возраста рубок по основным лесообразующим породам и оборотам рубок</w:t>
      </w:r>
    </w:p>
    <w:p w14:paraId="563C528E"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6338074C"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Возраст рубок определен на основании Приложения 1, предоставленного Управлением лесного хозяйства Воронежской области и в соответствии с Приказом Рослесхоза от 09.04.2015 №105 «Об установлении возрастов рубок» (</w:t>
      </w:r>
      <w:r>
        <w:rPr>
          <w:rFonts w:ascii="Times New Roman" w:hAnsi="Times New Roman" w:cs="Times New Roman"/>
          <w:sz w:val="26"/>
          <w:szCs w:val="26"/>
        </w:rPr>
        <w:t xml:space="preserve">Приложение </w:t>
      </w:r>
      <w:r w:rsidRPr="00C45ED3">
        <w:rPr>
          <w:rFonts w:ascii="Times New Roman" w:eastAsiaTheme="minorEastAsia" w:hAnsi="Times New Roman" w:cs="Times New Roman"/>
          <w:sz w:val="26"/>
          <w:szCs w:val="26"/>
        </w:rPr>
        <w:t>1/1.2/1.2.1/1.2.1</w:t>
      </w:r>
      <w:r w:rsidRPr="00A65E76">
        <w:rPr>
          <w:rFonts w:ascii="Times New Roman" w:eastAsiaTheme="minorEastAsia" w:hAnsi="Times New Roman" w:cs="Times New Roman"/>
          <w:sz w:val="26"/>
          <w:szCs w:val="26"/>
        </w:rPr>
        <w:t>.7</w:t>
      </w:r>
      <w:r w:rsidRPr="00C22CCB">
        <w:rPr>
          <w:rFonts w:ascii="Times New Roman" w:hAnsi="Times New Roman" w:cs="Times New Roman"/>
          <w:sz w:val="26"/>
          <w:szCs w:val="26"/>
        </w:rPr>
        <w:t>).</w:t>
      </w:r>
    </w:p>
    <w:p w14:paraId="777CD628"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По терминологии и в соответствии с ГОСТ 18486-87 «Лесоводство. Термины и определения»:</w:t>
      </w:r>
    </w:p>
    <w:p w14:paraId="0B30BDC9"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возраст рубки – возраст спелых древостоев, устанавливаемый для рубки их в соответствии с целевым назначением лесов.</w:t>
      </w:r>
    </w:p>
    <w:p w14:paraId="67ED883B"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1E9032D3" w14:textId="77777777" w:rsidR="00D73274" w:rsidRPr="00F562A8" w:rsidRDefault="00D73274" w:rsidP="00D73274">
      <w:pPr>
        <w:spacing w:after="0" w:line="276" w:lineRule="auto"/>
        <w:contextualSpacing/>
        <w:jc w:val="center"/>
        <w:rPr>
          <w:rFonts w:ascii="Times New Roman" w:eastAsia="Calibri" w:hAnsi="Times New Roman" w:cs="Times New Roman"/>
          <w:i/>
          <w:sz w:val="26"/>
          <w:szCs w:val="26"/>
          <w:lang w:eastAsia="ru-RU"/>
        </w:rPr>
      </w:pPr>
      <w:r w:rsidRPr="00F562A8">
        <w:rPr>
          <w:rFonts w:ascii="Times New Roman" w:eastAsia="Times New Roman" w:hAnsi="Times New Roman" w:cs="Times New Roman"/>
          <w:i/>
          <w:sz w:val="26"/>
          <w:szCs w:val="26"/>
          <w:lang w:eastAsia="ru-RU"/>
        </w:rPr>
        <w:t>Определение рыночной стоимости 1 куб. м</w:t>
      </w:r>
      <w:r>
        <w:rPr>
          <w:rFonts w:ascii="Times New Roman" w:eastAsia="Times New Roman" w:hAnsi="Times New Roman" w:cs="Times New Roman"/>
          <w:i/>
          <w:sz w:val="26"/>
          <w:szCs w:val="26"/>
          <w:lang w:eastAsia="ru-RU"/>
        </w:rPr>
        <w:t>.</w:t>
      </w:r>
      <w:r w:rsidRPr="00F562A8">
        <w:rPr>
          <w:rFonts w:ascii="Times New Roman" w:eastAsia="Times New Roman" w:hAnsi="Times New Roman" w:cs="Times New Roman"/>
          <w:i/>
          <w:sz w:val="26"/>
          <w:szCs w:val="26"/>
          <w:lang w:eastAsia="ru-RU"/>
        </w:rPr>
        <w:t xml:space="preserve"> древесины</w:t>
      </w:r>
      <w:r w:rsidRPr="00F562A8">
        <w:rPr>
          <w:rFonts w:ascii="Times New Roman" w:eastAsia="Calibri" w:hAnsi="Times New Roman" w:cs="Times New Roman"/>
          <w:i/>
          <w:sz w:val="26"/>
          <w:szCs w:val="26"/>
          <w:lang w:eastAsia="ru-RU"/>
        </w:rPr>
        <w:t xml:space="preserve"> по основным лесообразующим породам и оборотам рубки</w:t>
      </w:r>
    </w:p>
    <w:p w14:paraId="1CFA9801"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54A61F8D" w14:textId="77777777" w:rsidR="00D73274" w:rsidRPr="00F562A8" w:rsidRDefault="00D73274" w:rsidP="00D73274">
      <w:pPr>
        <w:spacing w:after="0" w:line="276" w:lineRule="auto"/>
        <w:ind w:firstLine="709"/>
        <w:contextualSpacing/>
        <w:jc w:val="both"/>
        <w:rPr>
          <w:rFonts w:ascii="Times New Roman" w:eastAsia="Calibri" w:hAnsi="Times New Roman" w:cs="Times New Roman"/>
          <w:sz w:val="26"/>
          <w:szCs w:val="26"/>
          <w:lang w:eastAsia="ru-RU"/>
        </w:rPr>
      </w:pPr>
      <w:r w:rsidRPr="00F562A8">
        <w:rPr>
          <w:rFonts w:ascii="Times New Roman" w:eastAsia="Calibri" w:hAnsi="Times New Roman" w:cs="Times New Roman"/>
          <w:sz w:val="26"/>
          <w:szCs w:val="26"/>
          <w:lang w:eastAsia="ru-RU"/>
        </w:rPr>
        <w:t xml:space="preserve">Рыночная стоимость 1 куб. м древесины спелых насаждений по основным лесообразующим породам и оборотам рубки, сложившаяся по результатам лесных аукционов (средние данные по Воронежской области) определена на основании </w:t>
      </w:r>
      <w:r>
        <w:rPr>
          <w:rFonts w:ascii="Times New Roman" w:eastAsia="Calibri" w:hAnsi="Times New Roman" w:cs="Times New Roman"/>
          <w:sz w:val="26"/>
          <w:szCs w:val="26"/>
          <w:lang w:eastAsia="ru-RU"/>
        </w:rPr>
        <w:t>письма</w:t>
      </w:r>
      <w:r w:rsidRPr="00F562A8">
        <w:rPr>
          <w:rFonts w:ascii="Times New Roman" w:eastAsia="Calibri" w:hAnsi="Times New Roman" w:cs="Times New Roman"/>
          <w:sz w:val="26"/>
          <w:szCs w:val="26"/>
          <w:lang w:eastAsia="ru-RU"/>
        </w:rPr>
        <w:t xml:space="preserve"> Управлени</w:t>
      </w:r>
      <w:r>
        <w:rPr>
          <w:rFonts w:ascii="Times New Roman" w:eastAsia="Calibri" w:hAnsi="Times New Roman" w:cs="Times New Roman"/>
          <w:sz w:val="26"/>
          <w:szCs w:val="26"/>
          <w:lang w:eastAsia="ru-RU"/>
        </w:rPr>
        <w:t>я</w:t>
      </w:r>
      <w:r w:rsidRPr="00F562A8">
        <w:rPr>
          <w:rFonts w:ascii="Times New Roman" w:eastAsia="Calibri" w:hAnsi="Times New Roman" w:cs="Times New Roman"/>
          <w:sz w:val="26"/>
          <w:szCs w:val="26"/>
          <w:lang w:eastAsia="ru-RU"/>
        </w:rPr>
        <w:t xml:space="preserve"> лесного хозяйства</w:t>
      </w:r>
      <w:r>
        <w:rPr>
          <w:rFonts w:ascii="Times New Roman" w:eastAsia="Calibri" w:hAnsi="Times New Roman" w:cs="Times New Roman"/>
          <w:sz w:val="26"/>
          <w:szCs w:val="26"/>
          <w:lang w:eastAsia="ru-RU"/>
        </w:rPr>
        <w:t xml:space="preserve"> </w:t>
      </w:r>
      <w:r w:rsidRPr="00F562A8">
        <w:rPr>
          <w:rFonts w:ascii="Times New Roman" w:eastAsia="Calibri" w:hAnsi="Times New Roman" w:cs="Times New Roman"/>
          <w:sz w:val="26"/>
          <w:szCs w:val="26"/>
          <w:lang w:eastAsia="ru-RU"/>
        </w:rPr>
        <w:t xml:space="preserve">Воронежской области </w:t>
      </w:r>
      <w:r>
        <w:rPr>
          <w:rFonts w:ascii="Times New Roman" w:eastAsia="Calibri" w:hAnsi="Times New Roman" w:cs="Times New Roman"/>
          <w:sz w:val="26"/>
          <w:szCs w:val="26"/>
          <w:lang w:eastAsia="ru-RU"/>
        </w:rPr>
        <w:t>от 20.06.2022</w:t>
      </w:r>
      <w:r>
        <w:rPr>
          <w:rFonts w:ascii="Times New Roman" w:eastAsia="Calibri" w:hAnsi="Times New Roman" w:cs="Times New Roman"/>
          <w:sz w:val="26"/>
          <w:szCs w:val="26"/>
          <w:lang w:eastAsia="ru-RU"/>
        </w:rPr>
        <w:br/>
        <w:t>№ 64-11/3325 (</w:t>
      </w:r>
      <w:r>
        <w:rPr>
          <w:rFonts w:ascii="Times New Roman" w:hAnsi="Times New Roman" w:cs="Times New Roman"/>
          <w:sz w:val="26"/>
          <w:szCs w:val="26"/>
        </w:rPr>
        <w:t xml:space="preserve">Приложение </w:t>
      </w:r>
      <w:r w:rsidRPr="00C45ED3">
        <w:rPr>
          <w:rFonts w:ascii="Times New Roman" w:eastAsiaTheme="minorEastAsia" w:hAnsi="Times New Roman" w:cs="Times New Roman"/>
          <w:sz w:val="26"/>
          <w:szCs w:val="26"/>
        </w:rPr>
        <w:t>1/1.2/1.2.1/1.2.1</w:t>
      </w:r>
      <w:r w:rsidRPr="00A65E76">
        <w:rPr>
          <w:rFonts w:ascii="Times New Roman" w:eastAsiaTheme="minorEastAsia" w:hAnsi="Times New Roman" w:cs="Times New Roman"/>
          <w:sz w:val="26"/>
          <w:szCs w:val="26"/>
        </w:rPr>
        <w:t>.7</w:t>
      </w:r>
      <w:r>
        <w:rPr>
          <w:rFonts w:ascii="Times New Roman" w:eastAsia="Calibri" w:hAnsi="Times New Roman" w:cs="Times New Roman"/>
          <w:sz w:val="26"/>
          <w:szCs w:val="26"/>
          <w:lang w:eastAsia="ru-RU"/>
        </w:rPr>
        <w:t xml:space="preserve">) </w:t>
      </w:r>
      <w:r w:rsidRPr="00F562A8">
        <w:rPr>
          <w:rFonts w:ascii="Times New Roman" w:eastAsia="Calibri" w:hAnsi="Times New Roman" w:cs="Times New Roman"/>
          <w:sz w:val="26"/>
          <w:szCs w:val="26"/>
          <w:lang w:eastAsia="ru-RU"/>
        </w:rPr>
        <w:t xml:space="preserve">и рассчитана в Приложении </w:t>
      </w:r>
      <w:r w:rsidRPr="00C22CCB">
        <w:rPr>
          <w:rFonts w:ascii="Times New Roman" w:hAnsi="Times New Roman" w:cs="Times New Roman"/>
          <w:sz w:val="26"/>
          <w:szCs w:val="26"/>
        </w:rPr>
        <w:t>2/2.4</w:t>
      </w:r>
      <w:r>
        <w:rPr>
          <w:rFonts w:ascii="Times New Roman" w:hAnsi="Times New Roman" w:cs="Times New Roman"/>
          <w:sz w:val="26"/>
          <w:szCs w:val="26"/>
        </w:rPr>
        <w:t>/2.4.10</w:t>
      </w:r>
      <w:r w:rsidRPr="00F562A8">
        <w:rPr>
          <w:rFonts w:ascii="Times New Roman" w:eastAsia="Calibri" w:hAnsi="Times New Roman" w:cs="Times New Roman"/>
          <w:sz w:val="26"/>
          <w:szCs w:val="26"/>
          <w:lang w:eastAsia="ru-RU"/>
        </w:rPr>
        <w:t>.</w:t>
      </w:r>
    </w:p>
    <w:p w14:paraId="04153F1D" w14:textId="77777777" w:rsidR="00D73274" w:rsidRPr="00F562A8" w:rsidRDefault="00D73274" w:rsidP="00D73274">
      <w:pPr>
        <w:spacing w:after="0" w:line="276" w:lineRule="auto"/>
        <w:ind w:firstLine="709"/>
        <w:contextualSpacing/>
        <w:jc w:val="both"/>
        <w:rPr>
          <w:rFonts w:ascii="Times New Roman" w:eastAsia="Calibri" w:hAnsi="Times New Roman" w:cs="Times New Roman"/>
          <w:sz w:val="26"/>
          <w:szCs w:val="26"/>
          <w:lang w:eastAsia="ru-RU"/>
        </w:rPr>
      </w:pPr>
      <w:r w:rsidRPr="00F562A8">
        <w:rPr>
          <w:rFonts w:ascii="Times New Roman" w:eastAsia="Calibri" w:hAnsi="Times New Roman" w:cs="Times New Roman"/>
          <w:sz w:val="26"/>
          <w:szCs w:val="26"/>
          <w:lang w:eastAsia="ru-RU"/>
        </w:rPr>
        <w:t xml:space="preserve">Процентное отношение реализации видов древесины – деловая и дровяная составляет </w:t>
      </w:r>
      <w:r>
        <w:rPr>
          <w:rFonts w:ascii="Times New Roman" w:eastAsia="Calibri" w:hAnsi="Times New Roman" w:cs="Times New Roman"/>
          <w:sz w:val="26"/>
          <w:szCs w:val="26"/>
          <w:lang w:eastAsia="ru-RU"/>
        </w:rPr>
        <w:t>11,8</w:t>
      </w:r>
      <w:r w:rsidRPr="00F562A8">
        <w:rPr>
          <w:rFonts w:ascii="Times New Roman" w:eastAsia="Calibri" w:hAnsi="Times New Roman" w:cs="Times New Roman"/>
          <w:sz w:val="26"/>
          <w:szCs w:val="26"/>
          <w:lang w:eastAsia="ru-RU"/>
        </w:rPr>
        <w:t xml:space="preserve">% и </w:t>
      </w:r>
      <w:r>
        <w:rPr>
          <w:rFonts w:ascii="Times New Roman" w:eastAsia="Calibri" w:hAnsi="Times New Roman" w:cs="Times New Roman"/>
          <w:sz w:val="26"/>
          <w:szCs w:val="26"/>
          <w:lang w:eastAsia="ru-RU"/>
        </w:rPr>
        <w:t>88,2</w:t>
      </w:r>
      <w:r w:rsidRPr="00F562A8">
        <w:rPr>
          <w:rFonts w:ascii="Times New Roman" w:eastAsia="Calibri" w:hAnsi="Times New Roman" w:cs="Times New Roman"/>
          <w:sz w:val="26"/>
          <w:szCs w:val="26"/>
          <w:lang w:eastAsia="ru-RU"/>
        </w:rPr>
        <w:t xml:space="preserve">% соответственно. Определение расчета рыночной стоимости 1 куб. м древесины выполняется по формуле: </w:t>
      </w:r>
    </w:p>
    <w:p w14:paraId="3E22FBAD" w14:textId="77777777" w:rsidR="00D73274" w:rsidRPr="00F562A8" w:rsidRDefault="00FF7453" w:rsidP="00D73274">
      <w:pPr>
        <w:spacing w:after="0" w:line="276" w:lineRule="auto"/>
        <w:ind w:firstLine="709"/>
        <w:contextualSpacing/>
        <w:jc w:val="center"/>
        <w:rPr>
          <w:rFonts w:ascii="Times New Roman" w:eastAsia="Calibri" w:hAnsi="Times New Roman" w:cs="Times New Roman"/>
          <w:sz w:val="26"/>
          <w:szCs w:val="26"/>
          <w:lang w:eastAsia="ru-RU"/>
        </w:rPr>
      </w:pPr>
      <m:oMath>
        <m:sSub>
          <m:sSubPr>
            <m:ctrlPr>
              <w:rPr>
                <w:rFonts w:ascii="Cambria Math" w:eastAsia="Calibri" w:hAnsi="Cambria Math" w:cs="Times New Roman"/>
                <w:sz w:val="26"/>
                <w:szCs w:val="26"/>
                <w:lang w:eastAsia="ru-RU"/>
              </w:rPr>
            </m:ctrlPr>
          </m:sSubPr>
          <m:e>
            <m:r>
              <m:rPr>
                <m:sty m:val="p"/>
              </m:rPr>
              <w:rPr>
                <w:rFonts w:ascii="Cambria Math" w:eastAsia="Calibri" w:hAnsi="Cambria Math" w:cs="Times New Roman"/>
                <w:sz w:val="26"/>
                <w:szCs w:val="26"/>
                <w:lang w:eastAsia="ru-RU"/>
              </w:rPr>
              <m:t>С</m:t>
            </m:r>
          </m:e>
          <m:sub>
            <m:r>
              <m:rPr>
                <m:sty m:val="p"/>
              </m:rPr>
              <w:rPr>
                <w:rFonts w:ascii="Cambria Math" w:eastAsia="Calibri" w:hAnsi="Cambria Math" w:cs="Times New Roman"/>
                <w:sz w:val="26"/>
                <w:szCs w:val="26"/>
                <w:lang w:eastAsia="ru-RU"/>
              </w:rPr>
              <m:t>рын.</m:t>
            </m:r>
          </m:sub>
        </m:sSub>
        <m:r>
          <m:rPr>
            <m:sty m:val="p"/>
          </m:rPr>
          <w:rPr>
            <w:rFonts w:ascii="Cambria Math" w:eastAsia="Calibri" w:hAnsi="Cambria Math" w:cs="Times New Roman"/>
            <w:sz w:val="26"/>
            <w:szCs w:val="26"/>
            <w:lang w:eastAsia="ru-RU"/>
          </w:rPr>
          <m:t>=</m:t>
        </m:r>
        <m:f>
          <m:fPr>
            <m:ctrlPr>
              <w:rPr>
                <w:rFonts w:ascii="Cambria Math" w:eastAsia="Calibri" w:hAnsi="Cambria Math" w:cs="Times New Roman"/>
                <w:sz w:val="26"/>
                <w:szCs w:val="26"/>
                <w:lang w:eastAsia="ru-RU"/>
              </w:rPr>
            </m:ctrlPr>
          </m:fPr>
          <m:num>
            <m:sSub>
              <m:sSubPr>
                <m:ctrlPr>
                  <w:rPr>
                    <w:rFonts w:ascii="Cambria Math" w:eastAsia="Calibri" w:hAnsi="Cambria Math" w:cs="Times New Roman"/>
                    <w:sz w:val="26"/>
                    <w:szCs w:val="26"/>
                    <w:lang w:eastAsia="ru-RU"/>
                  </w:rPr>
                </m:ctrlPr>
              </m:sSubPr>
              <m:e>
                <m:r>
                  <m:rPr>
                    <m:sty m:val="p"/>
                  </m:rPr>
                  <w:rPr>
                    <w:rFonts w:ascii="Cambria Math" w:eastAsia="Calibri" w:hAnsi="Cambria Math" w:cs="Times New Roman"/>
                    <w:sz w:val="26"/>
                    <w:szCs w:val="26"/>
                    <w:lang w:eastAsia="ru-RU"/>
                  </w:rPr>
                  <m:t>Ц</m:t>
                </m:r>
              </m:e>
              <m:sub>
                <m:r>
                  <m:rPr>
                    <m:sty m:val="p"/>
                  </m:rPr>
                  <w:rPr>
                    <w:rFonts w:ascii="Cambria Math" w:eastAsia="Calibri" w:hAnsi="Cambria Math" w:cs="Times New Roman"/>
                    <w:sz w:val="26"/>
                    <w:szCs w:val="26"/>
                    <w:lang w:eastAsia="ru-RU"/>
                  </w:rPr>
                  <m:t>дел.</m:t>
                </m:r>
              </m:sub>
            </m:sSub>
          </m:num>
          <m:den>
            <m:r>
              <m:rPr>
                <m:sty m:val="b"/>
              </m:rPr>
              <w:rPr>
                <w:rFonts w:ascii="Cambria Math" w:eastAsia="Calibri" w:hAnsi="Cambria Math" w:cs="Times New Roman"/>
                <w:sz w:val="26"/>
                <w:szCs w:val="26"/>
                <w:lang w:eastAsia="ru-RU"/>
              </w:rPr>
              <m:t>11,8</m:t>
            </m:r>
            <m:r>
              <m:rPr>
                <m:sty m:val="p"/>
              </m:rPr>
              <w:rPr>
                <w:rFonts w:ascii="Cambria Math" w:eastAsia="Calibri" w:hAnsi="Cambria Math" w:cs="Times New Roman"/>
                <w:sz w:val="26"/>
                <w:szCs w:val="26"/>
                <w:lang w:eastAsia="ru-RU"/>
              </w:rPr>
              <m:t>%</m:t>
            </m:r>
          </m:den>
        </m:f>
        <m:r>
          <m:rPr>
            <m:sty m:val="p"/>
          </m:rPr>
          <w:rPr>
            <w:rFonts w:ascii="Cambria Math" w:eastAsia="Calibri" w:hAnsi="Cambria Math" w:cs="Times New Roman"/>
            <w:sz w:val="26"/>
            <w:szCs w:val="26"/>
            <w:lang w:eastAsia="ru-RU"/>
          </w:rPr>
          <m:t>+</m:t>
        </m:r>
        <m:f>
          <m:fPr>
            <m:ctrlPr>
              <w:rPr>
                <w:rFonts w:ascii="Cambria Math" w:eastAsia="Calibri" w:hAnsi="Cambria Math" w:cs="Times New Roman"/>
                <w:sz w:val="26"/>
                <w:szCs w:val="26"/>
                <w:lang w:eastAsia="ru-RU"/>
              </w:rPr>
            </m:ctrlPr>
          </m:fPr>
          <m:num>
            <m:sSub>
              <m:sSubPr>
                <m:ctrlPr>
                  <w:rPr>
                    <w:rFonts w:ascii="Cambria Math" w:eastAsia="Calibri" w:hAnsi="Cambria Math" w:cs="Times New Roman"/>
                    <w:sz w:val="26"/>
                    <w:szCs w:val="26"/>
                    <w:lang w:eastAsia="ru-RU"/>
                  </w:rPr>
                </m:ctrlPr>
              </m:sSubPr>
              <m:e>
                <m:r>
                  <m:rPr>
                    <m:sty m:val="p"/>
                  </m:rPr>
                  <w:rPr>
                    <w:rFonts w:ascii="Cambria Math" w:eastAsia="Calibri" w:hAnsi="Cambria Math" w:cs="Times New Roman"/>
                    <w:sz w:val="26"/>
                    <w:szCs w:val="26"/>
                    <w:lang w:eastAsia="ru-RU"/>
                  </w:rPr>
                  <m:t>Ц</m:t>
                </m:r>
              </m:e>
              <m:sub>
                <m:r>
                  <m:rPr>
                    <m:sty m:val="p"/>
                  </m:rPr>
                  <w:rPr>
                    <w:rFonts w:ascii="Cambria Math" w:eastAsia="Calibri" w:hAnsi="Cambria Math" w:cs="Times New Roman"/>
                    <w:sz w:val="26"/>
                    <w:szCs w:val="26"/>
                    <w:lang w:eastAsia="ru-RU"/>
                  </w:rPr>
                  <m:t>дров.</m:t>
                </m:r>
              </m:sub>
            </m:sSub>
          </m:num>
          <m:den>
            <m:r>
              <m:rPr>
                <m:sty m:val="b"/>
              </m:rPr>
              <w:rPr>
                <w:rFonts w:ascii="Cambria Math" w:eastAsia="Calibri" w:hAnsi="Cambria Math" w:cs="Times New Roman"/>
                <w:sz w:val="26"/>
                <w:szCs w:val="26"/>
                <w:lang w:eastAsia="ru-RU"/>
              </w:rPr>
              <m:t>88,2</m:t>
            </m:r>
            <m:r>
              <m:rPr>
                <m:sty m:val="p"/>
              </m:rPr>
              <w:rPr>
                <w:rFonts w:ascii="Cambria Math" w:eastAsia="Calibri" w:hAnsi="Cambria Math" w:cs="Times New Roman"/>
                <w:sz w:val="26"/>
                <w:szCs w:val="26"/>
                <w:lang w:eastAsia="ru-RU"/>
              </w:rPr>
              <m:t>%</m:t>
            </m:r>
          </m:den>
        </m:f>
      </m:oMath>
      <w:r w:rsidR="00D73274" w:rsidRPr="00F562A8">
        <w:rPr>
          <w:rFonts w:ascii="Times New Roman" w:eastAsia="Calibri" w:hAnsi="Times New Roman" w:cs="Times New Roman"/>
          <w:sz w:val="26"/>
          <w:szCs w:val="26"/>
          <w:lang w:eastAsia="ru-RU"/>
        </w:rPr>
        <w:t xml:space="preserve"> , где</w:t>
      </w:r>
    </w:p>
    <w:p w14:paraId="5F1DE1E7" w14:textId="77777777" w:rsidR="00D73274" w:rsidRPr="00F562A8" w:rsidRDefault="00D73274" w:rsidP="00D73274">
      <w:pPr>
        <w:spacing w:after="0" w:line="276" w:lineRule="auto"/>
        <w:ind w:firstLine="709"/>
        <w:contextualSpacing/>
        <w:jc w:val="both"/>
        <w:rPr>
          <w:rFonts w:ascii="Times New Roman" w:eastAsia="Calibri" w:hAnsi="Times New Roman" w:cs="Times New Roman"/>
          <w:sz w:val="26"/>
          <w:szCs w:val="26"/>
          <w:lang w:eastAsia="ru-RU"/>
        </w:rPr>
      </w:pPr>
      <w:r w:rsidRPr="00F562A8">
        <w:rPr>
          <w:rFonts w:ascii="Times New Roman" w:eastAsia="Calibri" w:hAnsi="Times New Roman" w:cs="Times New Roman"/>
          <w:sz w:val="26"/>
          <w:szCs w:val="26"/>
          <w:lang w:eastAsia="ru-RU"/>
        </w:rPr>
        <w:t>Срын. – рыночная стоимость 1 куб. м древесины по основным лесообразующим породам и оборотам рубки, руб.;</w:t>
      </w:r>
    </w:p>
    <w:p w14:paraId="187054C1" w14:textId="77777777" w:rsidR="00D73274" w:rsidRPr="00F562A8" w:rsidRDefault="00D73274" w:rsidP="00D73274">
      <w:pPr>
        <w:spacing w:after="0" w:line="276" w:lineRule="auto"/>
        <w:ind w:firstLine="709"/>
        <w:contextualSpacing/>
        <w:jc w:val="both"/>
        <w:rPr>
          <w:rFonts w:ascii="Times New Roman" w:eastAsia="Calibri" w:hAnsi="Times New Roman" w:cs="Times New Roman"/>
          <w:sz w:val="26"/>
          <w:szCs w:val="26"/>
          <w:lang w:eastAsia="ru-RU"/>
        </w:rPr>
      </w:pPr>
      <w:r w:rsidRPr="00F562A8">
        <w:rPr>
          <w:rFonts w:ascii="Times New Roman" w:eastAsia="Calibri" w:hAnsi="Times New Roman" w:cs="Times New Roman"/>
          <w:sz w:val="26"/>
          <w:szCs w:val="26"/>
          <w:lang w:eastAsia="ru-RU"/>
        </w:rPr>
        <w:t>Цдел. – рыночная цена 1 куб. м деловой древесины, руб.;</w:t>
      </w:r>
    </w:p>
    <w:p w14:paraId="287030EE" w14:textId="77777777" w:rsidR="00D73274" w:rsidRPr="00F562A8" w:rsidRDefault="00D73274" w:rsidP="00D73274">
      <w:pPr>
        <w:spacing w:after="0" w:line="276" w:lineRule="auto"/>
        <w:ind w:firstLine="709"/>
        <w:contextualSpacing/>
        <w:jc w:val="both"/>
        <w:rPr>
          <w:rFonts w:ascii="Times New Roman" w:eastAsia="Calibri" w:hAnsi="Times New Roman" w:cs="Times New Roman"/>
          <w:sz w:val="26"/>
          <w:szCs w:val="26"/>
          <w:lang w:eastAsia="ru-RU"/>
        </w:rPr>
      </w:pPr>
      <w:r w:rsidRPr="00F562A8">
        <w:rPr>
          <w:rFonts w:ascii="Times New Roman" w:eastAsia="Calibri" w:hAnsi="Times New Roman" w:cs="Times New Roman"/>
          <w:sz w:val="26"/>
          <w:szCs w:val="26"/>
          <w:lang w:eastAsia="ru-RU"/>
        </w:rPr>
        <w:t>Цдров. - рыночная цена 1 куб. м дровяной древесины, руб.;</w:t>
      </w:r>
    </w:p>
    <w:p w14:paraId="7311D281" w14:textId="77777777" w:rsidR="00D73274" w:rsidRDefault="00D73274" w:rsidP="00D73274">
      <w:pPr>
        <w:spacing w:after="0" w:line="276"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11,8</w:t>
      </w:r>
      <w:r w:rsidRPr="00F562A8">
        <w:rPr>
          <w:rFonts w:ascii="Times New Roman" w:eastAsia="Calibri" w:hAnsi="Times New Roman" w:cs="Times New Roman"/>
          <w:sz w:val="26"/>
          <w:szCs w:val="26"/>
          <w:lang w:eastAsia="ru-RU"/>
        </w:rPr>
        <w:t xml:space="preserve">% и </w:t>
      </w:r>
      <w:r>
        <w:rPr>
          <w:rFonts w:ascii="Times New Roman" w:eastAsia="Calibri" w:hAnsi="Times New Roman" w:cs="Times New Roman"/>
          <w:sz w:val="26"/>
          <w:szCs w:val="26"/>
          <w:lang w:eastAsia="ru-RU"/>
        </w:rPr>
        <w:t>88,2</w:t>
      </w:r>
      <w:r w:rsidRPr="00F562A8">
        <w:rPr>
          <w:rFonts w:ascii="Times New Roman" w:eastAsia="Calibri" w:hAnsi="Times New Roman" w:cs="Times New Roman"/>
          <w:sz w:val="26"/>
          <w:szCs w:val="26"/>
          <w:lang w:eastAsia="ru-RU"/>
        </w:rPr>
        <w:t>% - Процентное отношение реализации видов древесины: деловая и дровяная.</w:t>
      </w:r>
    </w:p>
    <w:p w14:paraId="0DC599F9" w14:textId="77777777" w:rsidR="00D73274" w:rsidRDefault="00D73274" w:rsidP="00D73274">
      <w:pPr>
        <w:spacing w:after="0" w:line="276"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При определении рыночной стоимости </w:t>
      </w:r>
      <w:r w:rsidRPr="0081587E">
        <w:rPr>
          <w:rFonts w:ascii="Times New Roman" w:eastAsia="Calibri" w:hAnsi="Times New Roman" w:cs="Times New Roman"/>
          <w:sz w:val="26"/>
          <w:szCs w:val="26"/>
          <w:lang w:eastAsia="ru-RU"/>
        </w:rPr>
        <w:t>1 куб. м</w:t>
      </w:r>
      <w:r>
        <w:rPr>
          <w:rFonts w:ascii="Times New Roman" w:eastAsia="Calibri" w:hAnsi="Times New Roman" w:cs="Times New Roman"/>
          <w:sz w:val="26"/>
          <w:szCs w:val="26"/>
          <w:lang w:eastAsia="ru-RU"/>
        </w:rPr>
        <w:t>.</w:t>
      </w:r>
      <w:r w:rsidRPr="0081587E">
        <w:rPr>
          <w:rFonts w:ascii="Times New Roman" w:eastAsia="Calibri" w:hAnsi="Times New Roman" w:cs="Times New Roman"/>
          <w:sz w:val="26"/>
          <w:szCs w:val="26"/>
          <w:lang w:eastAsia="ru-RU"/>
        </w:rPr>
        <w:t xml:space="preserve"> древесины</w:t>
      </w:r>
      <w:r w:rsidRPr="0081587E">
        <w:t xml:space="preserve"> </w:t>
      </w:r>
      <w:r w:rsidRPr="0081587E">
        <w:rPr>
          <w:rFonts w:ascii="Times New Roman" w:eastAsia="Calibri" w:hAnsi="Times New Roman" w:cs="Times New Roman"/>
          <w:sz w:val="26"/>
          <w:szCs w:val="26"/>
          <w:lang w:eastAsia="ru-RU"/>
        </w:rPr>
        <w:t>по основным лесообразующим породам и оборотам рубки</w:t>
      </w:r>
      <w:r>
        <w:rPr>
          <w:rFonts w:ascii="Times New Roman" w:eastAsia="Calibri" w:hAnsi="Times New Roman" w:cs="Times New Roman"/>
          <w:sz w:val="26"/>
          <w:szCs w:val="26"/>
          <w:lang w:eastAsia="ru-RU"/>
        </w:rPr>
        <w:t xml:space="preserve"> использовались следующие допущения:</w:t>
      </w:r>
    </w:p>
    <w:p w14:paraId="70B0A9B7" w14:textId="77777777" w:rsidR="00D73274" w:rsidRDefault="00D73274" w:rsidP="00D73274">
      <w:pPr>
        <w:spacing w:after="0" w:line="276"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Значение рыночной цены 1 куб. м. древесины вида «Сосна» проставлялось остальным хвойным видам древесины – «Ель», «Лиственница», «Кедр»;</w:t>
      </w:r>
    </w:p>
    <w:p w14:paraId="446BBD87" w14:textId="77777777" w:rsidR="00D73274" w:rsidRDefault="00D73274" w:rsidP="00D73274">
      <w:pPr>
        <w:spacing w:after="0" w:line="276"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Значение рыночной цены 1 куб. м. древесины вида «Ольха черная» проставлялось виду древесины «Ольха серая»;</w:t>
      </w:r>
    </w:p>
    <w:p w14:paraId="7452BB2F" w14:textId="77777777" w:rsidR="00D73274" w:rsidRDefault="00D73274" w:rsidP="00D73274">
      <w:pPr>
        <w:spacing w:after="0" w:line="276"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Значение рыночной цены 1 куб. м. для древесины вида «Вяз и другие ильмовые» определено как среднее между видами древесины «Вяз» и «Ильм»;</w:t>
      </w:r>
    </w:p>
    <w:p w14:paraId="24E3DD6E" w14:textId="77777777" w:rsidR="00D73274" w:rsidRDefault="00D73274" w:rsidP="00D73274">
      <w:pPr>
        <w:spacing w:after="0" w:line="276"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Значение рыночной цены 1 куб. м. древесины вида «Акация белая» проставлялось по минимальному значению среди древесным пород, а именно по виду древесины «Осина».</w:t>
      </w:r>
    </w:p>
    <w:p w14:paraId="54B29967" w14:textId="77777777" w:rsidR="00D73274" w:rsidRPr="00F562A8" w:rsidRDefault="00D73274" w:rsidP="00D73274">
      <w:pPr>
        <w:spacing w:after="0" w:line="276" w:lineRule="auto"/>
        <w:ind w:firstLine="709"/>
        <w:jc w:val="right"/>
        <w:rPr>
          <w:rFonts w:ascii="Times New Roman" w:eastAsia="Calibri" w:hAnsi="Times New Roman" w:cs="Times New Roman"/>
          <w:sz w:val="26"/>
          <w:szCs w:val="26"/>
          <w:lang w:eastAsia="ru-RU"/>
        </w:rPr>
      </w:pPr>
      <w:r w:rsidRPr="00F562A8">
        <w:rPr>
          <w:rFonts w:ascii="Times New Roman" w:eastAsia="Calibri" w:hAnsi="Times New Roman" w:cs="Times New Roman"/>
          <w:sz w:val="26"/>
          <w:szCs w:val="26"/>
          <w:lang w:eastAsia="ru-RU"/>
        </w:rPr>
        <w:t>Таблица 3.6.10.</w:t>
      </w:r>
      <w:r>
        <w:rPr>
          <w:rFonts w:ascii="Times New Roman" w:eastAsia="Calibri" w:hAnsi="Times New Roman" w:cs="Times New Roman"/>
          <w:sz w:val="26"/>
          <w:szCs w:val="26"/>
          <w:lang w:eastAsia="ru-RU"/>
        </w:rPr>
        <w:t>1.1</w:t>
      </w:r>
    </w:p>
    <w:p w14:paraId="62B3F974" w14:textId="77777777" w:rsidR="00D73274" w:rsidRPr="00F562A8" w:rsidRDefault="00D73274" w:rsidP="00D73274">
      <w:pPr>
        <w:spacing w:after="0" w:line="276" w:lineRule="auto"/>
        <w:contextualSpacing/>
        <w:jc w:val="center"/>
        <w:rPr>
          <w:rFonts w:ascii="Times New Roman" w:eastAsia="Times New Roman" w:hAnsi="Times New Roman" w:cs="Times New Roman"/>
          <w:color w:val="000000" w:themeColor="text1"/>
          <w:sz w:val="26"/>
          <w:szCs w:val="26"/>
          <w:lang w:eastAsia="ru-RU"/>
        </w:rPr>
      </w:pPr>
      <w:r w:rsidRPr="00F562A8">
        <w:rPr>
          <w:rFonts w:ascii="Times New Roman" w:eastAsia="Times New Roman" w:hAnsi="Times New Roman" w:cs="Times New Roman"/>
          <w:color w:val="000000"/>
          <w:sz w:val="26"/>
          <w:szCs w:val="26"/>
          <w:lang w:eastAsia="ru-RU"/>
        </w:rPr>
        <w:t xml:space="preserve">Рыночная стоимость 1 куб. м древесины </w:t>
      </w:r>
      <w:r w:rsidRPr="00F562A8">
        <w:rPr>
          <w:rFonts w:ascii="Times New Roman" w:eastAsia="Calibri" w:hAnsi="Times New Roman" w:cs="Times New Roman"/>
          <w:sz w:val="26"/>
          <w:szCs w:val="26"/>
          <w:lang w:eastAsia="ru-RU"/>
        </w:rPr>
        <w:t>по основным лесообразующим породам и оборотам рубки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961"/>
      </w:tblGrid>
      <w:tr w:rsidR="00D73274" w:rsidRPr="00F562A8" w14:paraId="3EEFDC7E" w14:textId="77777777" w:rsidTr="00FE1791">
        <w:trPr>
          <w:trHeight w:val="300"/>
        </w:trPr>
        <w:tc>
          <w:tcPr>
            <w:tcW w:w="4390" w:type="dxa"/>
            <w:shd w:val="clear" w:color="auto" w:fill="auto"/>
            <w:noWrap/>
            <w:vAlign w:val="bottom"/>
            <w:hideMark/>
          </w:tcPr>
          <w:p w14:paraId="2D75CCB4" w14:textId="77777777" w:rsidR="00D73274" w:rsidRPr="00F562A8" w:rsidRDefault="00D73274" w:rsidP="00FE1791">
            <w:pPr>
              <w:spacing w:after="0" w:line="276" w:lineRule="auto"/>
              <w:contextualSpacing/>
              <w:jc w:val="center"/>
              <w:rPr>
                <w:rFonts w:ascii="Times New Roman" w:eastAsia="Times New Roman" w:hAnsi="Times New Roman" w:cs="Times New Roman"/>
                <w:b/>
                <w:color w:val="000000"/>
                <w:lang w:eastAsia="ru-RU"/>
              </w:rPr>
            </w:pPr>
            <w:r w:rsidRPr="00F562A8">
              <w:rPr>
                <w:rFonts w:ascii="Times New Roman" w:eastAsia="Times New Roman" w:hAnsi="Times New Roman" w:cs="Times New Roman"/>
                <w:b/>
                <w:color w:val="000000"/>
                <w:lang w:eastAsia="ru-RU"/>
              </w:rPr>
              <w:t>Древесная порода</w:t>
            </w:r>
          </w:p>
        </w:tc>
        <w:tc>
          <w:tcPr>
            <w:tcW w:w="4961" w:type="dxa"/>
            <w:shd w:val="clear" w:color="auto" w:fill="auto"/>
            <w:noWrap/>
            <w:vAlign w:val="bottom"/>
            <w:hideMark/>
          </w:tcPr>
          <w:p w14:paraId="1B3AEF02" w14:textId="77777777" w:rsidR="00D73274" w:rsidRPr="00F562A8" w:rsidRDefault="00D73274" w:rsidP="00FE1791">
            <w:pPr>
              <w:spacing w:after="0" w:line="276" w:lineRule="auto"/>
              <w:contextualSpacing/>
              <w:jc w:val="center"/>
              <w:rPr>
                <w:rFonts w:ascii="Times New Roman" w:eastAsia="Times New Roman" w:hAnsi="Times New Roman" w:cs="Times New Roman"/>
                <w:b/>
                <w:color w:val="000000"/>
                <w:lang w:eastAsia="ru-RU"/>
              </w:rPr>
            </w:pPr>
            <w:r w:rsidRPr="00F562A8">
              <w:rPr>
                <w:rFonts w:ascii="Times New Roman" w:eastAsia="Times New Roman" w:hAnsi="Times New Roman" w:cs="Times New Roman"/>
                <w:b/>
                <w:color w:val="000000"/>
                <w:lang w:eastAsia="ru-RU"/>
              </w:rPr>
              <w:t>Рыночная стоимость 1 куб. м древесины, руб.</w:t>
            </w:r>
          </w:p>
        </w:tc>
      </w:tr>
      <w:tr w:rsidR="00D73274" w:rsidRPr="00F562A8" w14:paraId="0AAFD4C3" w14:textId="77777777" w:rsidTr="00FE1791">
        <w:trPr>
          <w:trHeight w:val="300"/>
        </w:trPr>
        <w:tc>
          <w:tcPr>
            <w:tcW w:w="4390" w:type="dxa"/>
            <w:shd w:val="clear" w:color="auto" w:fill="auto"/>
            <w:noWrap/>
            <w:vAlign w:val="bottom"/>
            <w:hideMark/>
          </w:tcPr>
          <w:p w14:paraId="12EAB387" w14:textId="77777777" w:rsidR="00D73274" w:rsidRPr="00F562A8" w:rsidRDefault="00D73274" w:rsidP="00FE1791">
            <w:pPr>
              <w:spacing w:after="0" w:line="276" w:lineRule="auto"/>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Хвойные (сосна, ель, лиственница, кедр)</w:t>
            </w:r>
          </w:p>
        </w:tc>
        <w:tc>
          <w:tcPr>
            <w:tcW w:w="4961" w:type="dxa"/>
            <w:shd w:val="clear" w:color="auto" w:fill="auto"/>
            <w:noWrap/>
            <w:hideMark/>
          </w:tcPr>
          <w:p w14:paraId="50F60F25" w14:textId="77777777" w:rsidR="00D73274" w:rsidRPr="0081587E" w:rsidRDefault="00D73274" w:rsidP="00FE1791">
            <w:pPr>
              <w:spacing w:after="0" w:line="276" w:lineRule="auto"/>
              <w:contextualSpacing/>
              <w:jc w:val="center"/>
              <w:rPr>
                <w:rFonts w:ascii="Times New Roman" w:eastAsia="Times New Roman" w:hAnsi="Times New Roman" w:cs="Times New Roman"/>
                <w:color w:val="000000"/>
                <w:lang w:eastAsia="ru-RU"/>
              </w:rPr>
            </w:pPr>
            <w:r w:rsidRPr="0081587E">
              <w:rPr>
                <w:rFonts w:ascii="Times New Roman" w:hAnsi="Times New Roman" w:cs="Times New Roman"/>
              </w:rPr>
              <w:t>876,00</w:t>
            </w:r>
          </w:p>
        </w:tc>
      </w:tr>
      <w:tr w:rsidR="00D73274" w:rsidRPr="00F562A8" w14:paraId="74E9FB79" w14:textId="77777777" w:rsidTr="00FE1791">
        <w:trPr>
          <w:trHeight w:val="300"/>
        </w:trPr>
        <w:tc>
          <w:tcPr>
            <w:tcW w:w="4390" w:type="dxa"/>
            <w:shd w:val="clear" w:color="auto" w:fill="auto"/>
            <w:noWrap/>
            <w:vAlign w:val="bottom"/>
            <w:hideMark/>
          </w:tcPr>
          <w:p w14:paraId="1681F9E9" w14:textId="77777777" w:rsidR="00D73274" w:rsidRPr="00F562A8" w:rsidRDefault="00D73274" w:rsidP="00FE1791">
            <w:pPr>
              <w:spacing w:after="0" w:line="276" w:lineRule="auto"/>
              <w:contextualSpacing/>
              <w:jc w:val="center"/>
              <w:rPr>
                <w:rFonts w:ascii="Times New Roman" w:eastAsia="Times New Roman" w:hAnsi="Times New Roman" w:cs="Times New Roman"/>
                <w:color w:val="000000"/>
                <w:lang w:eastAsia="ru-RU"/>
              </w:rPr>
            </w:pPr>
            <w:r w:rsidRPr="00F562A8">
              <w:rPr>
                <w:rFonts w:ascii="Times New Roman" w:eastAsia="Times New Roman" w:hAnsi="Times New Roman" w:cs="Times New Roman"/>
                <w:color w:val="000000"/>
                <w:lang w:eastAsia="ru-RU"/>
              </w:rPr>
              <w:t>Дуб высокоствольный</w:t>
            </w:r>
          </w:p>
        </w:tc>
        <w:tc>
          <w:tcPr>
            <w:tcW w:w="4961" w:type="dxa"/>
            <w:shd w:val="clear" w:color="auto" w:fill="auto"/>
            <w:noWrap/>
            <w:hideMark/>
          </w:tcPr>
          <w:p w14:paraId="135D148C" w14:textId="77777777" w:rsidR="00D73274" w:rsidRPr="0081587E" w:rsidRDefault="00D73274" w:rsidP="00FE1791">
            <w:pPr>
              <w:spacing w:after="0" w:line="276" w:lineRule="auto"/>
              <w:contextualSpacing/>
              <w:jc w:val="center"/>
              <w:rPr>
                <w:rFonts w:ascii="Times New Roman" w:eastAsia="Times New Roman" w:hAnsi="Times New Roman" w:cs="Times New Roman"/>
                <w:color w:val="000000"/>
                <w:lang w:eastAsia="ru-RU"/>
              </w:rPr>
            </w:pPr>
            <w:r w:rsidRPr="0081587E">
              <w:rPr>
                <w:rFonts w:ascii="Times New Roman" w:hAnsi="Times New Roman" w:cs="Times New Roman"/>
              </w:rPr>
              <w:t>868,73</w:t>
            </w:r>
          </w:p>
        </w:tc>
      </w:tr>
      <w:tr w:rsidR="00D73274" w:rsidRPr="00F562A8" w14:paraId="3B526005" w14:textId="77777777" w:rsidTr="00FE1791">
        <w:trPr>
          <w:trHeight w:val="300"/>
        </w:trPr>
        <w:tc>
          <w:tcPr>
            <w:tcW w:w="4390" w:type="dxa"/>
            <w:shd w:val="clear" w:color="auto" w:fill="auto"/>
            <w:noWrap/>
            <w:vAlign w:val="bottom"/>
            <w:hideMark/>
          </w:tcPr>
          <w:p w14:paraId="4F614F23" w14:textId="77777777" w:rsidR="00D73274" w:rsidRPr="00F562A8" w:rsidRDefault="00D73274" w:rsidP="00FE1791">
            <w:pPr>
              <w:spacing w:after="0" w:line="276" w:lineRule="auto"/>
              <w:contextualSpacing/>
              <w:jc w:val="center"/>
              <w:rPr>
                <w:rFonts w:ascii="Times New Roman" w:eastAsia="Times New Roman" w:hAnsi="Times New Roman" w:cs="Times New Roman"/>
                <w:color w:val="000000"/>
                <w:lang w:eastAsia="ru-RU"/>
              </w:rPr>
            </w:pPr>
            <w:r w:rsidRPr="00F562A8">
              <w:rPr>
                <w:rFonts w:ascii="Times New Roman" w:eastAsia="Times New Roman" w:hAnsi="Times New Roman" w:cs="Times New Roman"/>
                <w:color w:val="000000"/>
                <w:lang w:eastAsia="ru-RU"/>
              </w:rPr>
              <w:t>Дуб низкоствольный</w:t>
            </w:r>
          </w:p>
        </w:tc>
        <w:tc>
          <w:tcPr>
            <w:tcW w:w="4961" w:type="dxa"/>
            <w:shd w:val="clear" w:color="auto" w:fill="auto"/>
            <w:noWrap/>
            <w:hideMark/>
          </w:tcPr>
          <w:p w14:paraId="6325C70E" w14:textId="77777777" w:rsidR="00D73274" w:rsidRPr="0081587E" w:rsidRDefault="00D73274" w:rsidP="00FE1791">
            <w:pPr>
              <w:spacing w:after="0" w:line="276" w:lineRule="auto"/>
              <w:contextualSpacing/>
              <w:jc w:val="center"/>
              <w:rPr>
                <w:rFonts w:ascii="Times New Roman" w:eastAsia="Times New Roman" w:hAnsi="Times New Roman" w:cs="Times New Roman"/>
                <w:color w:val="000000"/>
                <w:lang w:eastAsia="ru-RU"/>
              </w:rPr>
            </w:pPr>
            <w:r w:rsidRPr="0081587E">
              <w:rPr>
                <w:rFonts w:ascii="Times New Roman" w:hAnsi="Times New Roman" w:cs="Times New Roman"/>
              </w:rPr>
              <w:t>1 223,57</w:t>
            </w:r>
          </w:p>
        </w:tc>
      </w:tr>
      <w:tr w:rsidR="00D73274" w:rsidRPr="00F562A8" w14:paraId="4223257D" w14:textId="77777777" w:rsidTr="00FE1791">
        <w:trPr>
          <w:trHeight w:val="300"/>
        </w:trPr>
        <w:tc>
          <w:tcPr>
            <w:tcW w:w="4390" w:type="dxa"/>
            <w:shd w:val="clear" w:color="auto" w:fill="auto"/>
            <w:noWrap/>
            <w:vAlign w:val="bottom"/>
            <w:hideMark/>
          </w:tcPr>
          <w:p w14:paraId="623A63ED" w14:textId="77777777" w:rsidR="00D73274" w:rsidRPr="00F562A8" w:rsidRDefault="00D73274" w:rsidP="00FE1791">
            <w:pPr>
              <w:spacing w:after="0" w:line="276" w:lineRule="auto"/>
              <w:contextualSpacing/>
              <w:jc w:val="center"/>
              <w:rPr>
                <w:rFonts w:ascii="Times New Roman" w:eastAsia="Times New Roman" w:hAnsi="Times New Roman" w:cs="Times New Roman"/>
                <w:color w:val="000000"/>
                <w:lang w:eastAsia="ru-RU"/>
              </w:rPr>
            </w:pPr>
            <w:r w:rsidRPr="00F562A8">
              <w:rPr>
                <w:rFonts w:ascii="Times New Roman" w:eastAsia="Times New Roman" w:hAnsi="Times New Roman" w:cs="Times New Roman"/>
                <w:color w:val="000000"/>
                <w:lang w:eastAsia="ru-RU"/>
              </w:rPr>
              <w:t>Ясень</w:t>
            </w:r>
          </w:p>
        </w:tc>
        <w:tc>
          <w:tcPr>
            <w:tcW w:w="4961" w:type="dxa"/>
            <w:shd w:val="clear" w:color="auto" w:fill="auto"/>
            <w:noWrap/>
            <w:hideMark/>
          </w:tcPr>
          <w:p w14:paraId="75185934" w14:textId="77777777" w:rsidR="00D73274" w:rsidRPr="0081587E" w:rsidRDefault="00D73274" w:rsidP="00FE1791">
            <w:pPr>
              <w:spacing w:after="0" w:line="276" w:lineRule="auto"/>
              <w:contextualSpacing/>
              <w:jc w:val="center"/>
              <w:rPr>
                <w:rFonts w:ascii="Times New Roman" w:eastAsia="Times New Roman" w:hAnsi="Times New Roman" w:cs="Times New Roman"/>
                <w:color w:val="000000"/>
                <w:lang w:eastAsia="ru-RU"/>
              </w:rPr>
            </w:pPr>
            <w:r w:rsidRPr="0081587E">
              <w:rPr>
                <w:rFonts w:ascii="Times New Roman" w:hAnsi="Times New Roman" w:cs="Times New Roman"/>
              </w:rPr>
              <w:t>814,55</w:t>
            </w:r>
          </w:p>
        </w:tc>
      </w:tr>
      <w:tr w:rsidR="00D73274" w:rsidRPr="00F562A8" w14:paraId="01749490" w14:textId="77777777" w:rsidTr="00FE1791">
        <w:trPr>
          <w:trHeight w:val="300"/>
        </w:trPr>
        <w:tc>
          <w:tcPr>
            <w:tcW w:w="4390" w:type="dxa"/>
            <w:shd w:val="clear" w:color="auto" w:fill="auto"/>
            <w:noWrap/>
            <w:vAlign w:val="bottom"/>
            <w:hideMark/>
          </w:tcPr>
          <w:p w14:paraId="59620127" w14:textId="77777777" w:rsidR="00D73274" w:rsidRPr="00F562A8" w:rsidRDefault="00D73274" w:rsidP="00FE1791">
            <w:pPr>
              <w:spacing w:after="0" w:line="276" w:lineRule="auto"/>
              <w:contextualSpacing/>
              <w:jc w:val="center"/>
              <w:rPr>
                <w:rFonts w:ascii="Times New Roman" w:eastAsia="Times New Roman" w:hAnsi="Times New Roman" w:cs="Times New Roman"/>
                <w:color w:val="000000"/>
                <w:lang w:eastAsia="ru-RU"/>
              </w:rPr>
            </w:pPr>
            <w:r w:rsidRPr="00F562A8">
              <w:rPr>
                <w:rFonts w:ascii="Times New Roman" w:eastAsia="Times New Roman" w:hAnsi="Times New Roman" w:cs="Times New Roman"/>
                <w:color w:val="000000"/>
                <w:lang w:eastAsia="ru-RU"/>
              </w:rPr>
              <w:t>Клен</w:t>
            </w:r>
          </w:p>
        </w:tc>
        <w:tc>
          <w:tcPr>
            <w:tcW w:w="4961" w:type="dxa"/>
            <w:shd w:val="clear" w:color="auto" w:fill="auto"/>
            <w:noWrap/>
            <w:hideMark/>
          </w:tcPr>
          <w:p w14:paraId="1FD31FB8" w14:textId="77777777" w:rsidR="00D73274" w:rsidRPr="0081587E" w:rsidRDefault="00D73274" w:rsidP="00FE1791">
            <w:pPr>
              <w:spacing w:after="0" w:line="276" w:lineRule="auto"/>
              <w:contextualSpacing/>
              <w:jc w:val="center"/>
              <w:rPr>
                <w:rFonts w:ascii="Times New Roman" w:eastAsia="Times New Roman" w:hAnsi="Times New Roman" w:cs="Times New Roman"/>
                <w:color w:val="000000"/>
                <w:lang w:eastAsia="ru-RU"/>
              </w:rPr>
            </w:pPr>
            <w:r w:rsidRPr="0081587E">
              <w:rPr>
                <w:rFonts w:ascii="Times New Roman" w:hAnsi="Times New Roman" w:cs="Times New Roman"/>
              </w:rPr>
              <w:t>919,49</w:t>
            </w:r>
          </w:p>
        </w:tc>
      </w:tr>
      <w:tr w:rsidR="00D73274" w:rsidRPr="00F562A8" w14:paraId="5E09043B" w14:textId="77777777" w:rsidTr="00FE1791">
        <w:trPr>
          <w:trHeight w:val="300"/>
        </w:trPr>
        <w:tc>
          <w:tcPr>
            <w:tcW w:w="4390" w:type="dxa"/>
            <w:shd w:val="clear" w:color="auto" w:fill="auto"/>
            <w:noWrap/>
            <w:vAlign w:val="bottom"/>
            <w:hideMark/>
          </w:tcPr>
          <w:p w14:paraId="70740D0F" w14:textId="77777777" w:rsidR="00D73274" w:rsidRPr="00F562A8" w:rsidRDefault="00D73274" w:rsidP="00FE1791">
            <w:pPr>
              <w:spacing w:after="0" w:line="276" w:lineRule="auto"/>
              <w:contextualSpacing/>
              <w:jc w:val="center"/>
              <w:rPr>
                <w:rFonts w:ascii="Times New Roman" w:eastAsia="Times New Roman" w:hAnsi="Times New Roman" w:cs="Times New Roman"/>
                <w:color w:val="000000"/>
                <w:lang w:eastAsia="ru-RU"/>
              </w:rPr>
            </w:pPr>
            <w:r w:rsidRPr="0081587E">
              <w:rPr>
                <w:rFonts w:ascii="Times New Roman" w:eastAsia="Times New Roman" w:hAnsi="Times New Roman" w:cs="Times New Roman"/>
                <w:color w:val="000000"/>
                <w:lang w:eastAsia="ru-RU"/>
              </w:rPr>
              <w:t>Вяз и другие ильмовые</w:t>
            </w:r>
          </w:p>
        </w:tc>
        <w:tc>
          <w:tcPr>
            <w:tcW w:w="4961" w:type="dxa"/>
            <w:shd w:val="clear" w:color="auto" w:fill="auto"/>
            <w:noWrap/>
            <w:hideMark/>
          </w:tcPr>
          <w:p w14:paraId="2F25F3DC" w14:textId="77777777" w:rsidR="00D73274" w:rsidRPr="0081587E" w:rsidRDefault="00D73274" w:rsidP="00FE1791">
            <w:pPr>
              <w:spacing w:after="0" w:line="276" w:lineRule="auto"/>
              <w:contextualSpacing/>
              <w:jc w:val="center"/>
              <w:rPr>
                <w:rFonts w:ascii="Times New Roman" w:eastAsia="Times New Roman" w:hAnsi="Times New Roman" w:cs="Times New Roman"/>
                <w:color w:val="000000"/>
                <w:lang w:eastAsia="ru-RU"/>
              </w:rPr>
            </w:pPr>
            <w:r w:rsidRPr="0081587E">
              <w:rPr>
                <w:rFonts w:ascii="Times New Roman" w:hAnsi="Times New Roman" w:cs="Times New Roman"/>
              </w:rPr>
              <w:t>85,49</w:t>
            </w:r>
          </w:p>
        </w:tc>
      </w:tr>
      <w:tr w:rsidR="00D73274" w:rsidRPr="00F562A8" w14:paraId="4CBE37DA" w14:textId="77777777" w:rsidTr="00FE1791">
        <w:trPr>
          <w:trHeight w:val="300"/>
        </w:trPr>
        <w:tc>
          <w:tcPr>
            <w:tcW w:w="4390" w:type="dxa"/>
            <w:shd w:val="clear" w:color="auto" w:fill="auto"/>
            <w:noWrap/>
            <w:vAlign w:val="bottom"/>
            <w:hideMark/>
          </w:tcPr>
          <w:p w14:paraId="1AF425F3" w14:textId="77777777" w:rsidR="00D73274" w:rsidRPr="00F562A8" w:rsidRDefault="00D73274" w:rsidP="00FE1791">
            <w:pPr>
              <w:spacing w:after="0" w:line="276" w:lineRule="auto"/>
              <w:contextualSpacing/>
              <w:jc w:val="center"/>
              <w:rPr>
                <w:rFonts w:ascii="Times New Roman" w:eastAsia="Times New Roman" w:hAnsi="Times New Roman" w:cs="Times New Roman"/>
                <w:color w:val="000000"/>
                <w:lang w:eastAsia="ru-RU"/>
              </w:rPr>
            </w:pPr>
            <w:r w:rsidRPr="00F562A8">
              <w:rPr>
                <w:rFonts w:ascii="Times New Roman" w:eastAsia="Times New Roman" w:hAnsi="Times New Roman" w:cs="Times New Roman"/>
                <w:color w:val="000000"/>
                <w:lang w:eastAsia="ru-RU"/>
              </w:rPr>
              <w:t>Липа</w:t>
            </w:r>
          </w:p>
        </w:tc>
        <w:tc>
          <w:tcPr>
            <w:tcW w:w="4961" w:type="dxa"/>
            <w:shd w:val="clear" w:color="auto" w:fill="auto"/>
            <w:noWrap/>
            <w:hideMark/>
          </w:tcPr>
          <w:p w14:paraId="23609EF1" w14:textId="77777777" w:rsidR="00D73274" w:rsidRPr="0081587E" w:rsidRDefault="00D73274" w:rsidP="00FE1791">
            <w:pPr>
              <w:spacing w:after="0" w:line="276" w:lineRule="auto"/>
              <w:contextualSpacing/>
              <w:jc w:val="center"/>
              <w:rPr>
                <w:rFonts w:ascii="Times New Roman" w:eastAsia="Times New Roman" w:hAnsi="Times New Roman" w:cs="Times New Roman"/>
                <w:color w:val="000000"/>
                <w:lang w:eastAsia="ru-RU"/>
              </w:rPr>
            </w:pPr>
            <w:r w:rsidRPr="0081587E">
              <w:rPr>
                <w:rFonts w:ascii="Times New Roman" w:hAnsi="Times New Roman" w:cs="Times New Roman"/>
              </w:rPr>
              <w:t>66,62</w:t>
            </w:r>
          </w:p>
        </w:tc>
      </w:tr>
      <w:tr w:rsidR="00D73274" w:rsidRPr="00F562A8" w14:paraId="43EE38F8" w14:textId="77777777" w:rsidTr="00FE1791">
        <w:trPr>
          <w:trHeight w:val="300"/>
        </w:trPr>
        <w:tc>
          <w:tcPr>
            <w:tcW w:w="4390" w:type="dxa"/>
            <w:shd w:val="clear" w:color="auto" w:fill="auto"/>
            <w:noWrap/>
            <w:vAlign w:val="bottom"/>
            <w:hideMark/>
          </w:tcPr>
          <w:p w14:paraId="387177CB" w14:textId="77777777" w:rsidR="00D73274" w:rsidRPr="00F562A8" w:rsidRDefault="00D73274" w:rsidP="00FE1791">
            <w:pPr>
              <w:spacing w:after="0" w:line="276" w:lineRule="auto"/>
              <w:contextualSpacing/>
              <w:jc w:val="center"/>
              <w:rPr>
                <w:rFonts w:ascii="Times New Roman" w:eastAsia="Times New Roman" w:hAnsi="Times New Roman" w:cs="Times New Roman"/>
                <w:color w:val="000000"/>
                <w:lang w:eastAsia="ru-RU"/>
              </w:rPr>
            </w:pPr>
            <w:r w:rsidRPr="00F562A8">
              <w:rPr>
                <w:rFonts w:ascii="Times New Roman" w:eastAsia="Times New Roman" w:hAnsi="Times New Roman" w:cs="Times New Roman"/>
                <w:color w:val="000000"/>
                <w:lang w:eastAsia="ru-RU"/>
              </w:rPr>
              <w:t>Осина</w:t>
            </w:r>
            <w:r>
              <w:rPr>
                <w:rFonts w:ascii="Times New Roman" w:eastAsia="Times New Roman" w:hAnsi="Times New Roman" w:cs="Times New Roman"/>
                <w:color w:val="000000"/>
                <w:lang w:eastAsia="ru-RU"/>
              </w:rPr>
              <w:t>, акация белая</w:t>
            </w:r>
          </w:p>
        </w:tc>
        <w:tc>
          <w:tcPr>
            <w:tcW w:w="4961" w:type="dxa"/>
            <w:shd w:val="clear" w:color="auto" w:fill="auto"/>
            <w:noWrap/>
            <w:hideMark/>
          </w:tcPr>
          <w:p w14:paraId="740D792A" w14:textId="77777777" w:rsidR="00D73274" w:rsidRPr="0081587E" w:rsidRDefault="00D73274" w:rsidP="00FE1791">
            <w:pPr>
              <w:spacing w:after="0" w:line="276" w:lineRule="auto"/>
              <w:contextualSpacing/>
              <w:jc w:val="center"/>
              <w:rPr>
                <w:rFonts w:ascii="Times New Roman" w:eastAsia="Times New Roman" w:hAnsi="Times New Roman" w:cs="Times New Roman"/>
                <w:color w:val="000000"/>
                <w:lang w:eastAsia="ru-RU"/>
              </w:rPr>
            </w:pPr>
            <w:r w:rsidRPr="0081587E">
              <w:rPr>
                <w:rFonts w:ascii="Times New Roman" w:hAnsi="Times New Roman" w:cs="Times New Roman"/>
              </w:rPr>
              <w:t>27,90</w:t>
            </w:r>
          </w:p>
        </w:tc>
      </w:tr>
      <w:tr w:rsidR="00D73274" w:rsidRPr="00F562A8" w14:paraId="19E9C386" w14:textId="77777777" w:rsidTr="00FE1791">
        <w:trPr>
          <w:trHeight w:val="300"/>
        </w:trPr>
        <w:tc>
          <w:tcPr>
            <w:tcW w:w="4390" w:type="dxa"/>
            <w:shd w:val="clear" w:color="auto" w:fill="auto"/>
            <w:noWrap/>
            <w:vAlign w:val="bottom"/>
            <w:hideMark/>
          </w:tcPr>
          <w:p w14:paraId="250C4D8C" w14:textId="77777777" w:rsidR="00D73274" w:rsidRPr="00F562A8" w:rsidRDefault="00D73274" w:rsidP="00FE1791">
            <w:pPr>
              <w:spacing w:after="0" w:line="276" w:lineRule="auto"/>
              <w:contextualSpacing/>
              <w:jc w:val="center"/>
              <w:rPr>
                <w:rFonts w:ascii="Times New Roman" w:eastAsia="Times New Roman" w:hAnsi="Times New Roman" w:cs="Times New Roman"/>
                <w:color w:val="000000"/>
                <w:lang w:eastAsia="ru-RU"/>
              </w:rPr>
            </w:pPr>
            <w:r w:rsidRPr="00F562A8">
              <w:rPr>
                <w:rFonts w:ascii="Times New Roman" w:eastAsia="Times New Roman" w:hAnsi="Times New Roman" w:cs="Times New Roman"/>
                <w:color w:val="000000"/>
                <w:lang w:eastAsia="ru-RU"/>
              </w:rPr>
              <w:t>Береза</w:t>
            </w:r>
          </w:p>
        </w:tc>
        <w:tc>
          <w:tcPr>
            <w:tcW w:w="4961" w:type="dxa"/>
            <w:shd w:val="clear" w:color="auto" w:fill="auto"/>
            <w:noWrap/>
            <w:hideMark/>
          </w:tcPr>
          <w:p w14:paraId="6407CA53" w14:textId="77777777" w:rsidR="00D73274" w:rsidRPr="0081587E" w:rsidRDefault="00D73274" w:rsidP="00FE1791">
            <w:pPr>
              <w:spacing w:after="0" w:line="276" w:lineRule="auto"/>
              <w:contextualSpacing/>
              <w:jc w:val="center"/>
              <w:rPr>
                <w:rFonts w:ascii="Times New Roman" w:eastAsia="Times New Roman" w:hAnsi="Times New Roman" w:cs="Times New Roman"/>
                <w:color w:val="000000"/>
                <w:lang w:eastAsia="ru-RU"/>
              </w:rPr>
            </w:pPr>
            <w:r w:rsidRPr="0081587E">
              <w:rPr>
                <w:rFonts w:ascii="Times New Roman" w:hAnsi="Times New Roman" w:cs="Times New Roman"/>
              </w:rPr>
              <w:t>118,12</w:t>
            </w:r>
          </w:p>
        </w:tc>
      </w:tr>
      <w:tr w:rsidR="00D73274" w:rsidRPr="00F562A8" w14:paraId="1C10673B" w14:textId="77777777" w:rsidTr="00FE1791">
        <w:trPr>
          <w:trHeight w:val="300"/>
        </w:trPr>
        <w:tc>
          <w:tcPr>
            <w:tcW w:w="4390" w:type="dxa"/>
            <w:shd w:val="clear" w:color="auto" w:fill="auto"/>
            <w:noWrap/>
            <w:vAlign w:val="bottom"/>
            <w:hideMark/>
          </w:tcPr>
          <w:p w14:paraId="37FE9856" w14:textId="77777777" w:rsidR="00D73274" w:rsidRPr="00F562A8" w:rsidRDefault="00D73274" w:rsidP="00FE1791">
            <w:pPr>
              <w:spacing w:after="0" w:line="276" w:lineRule="auto"/>
              <w:contextualSpacing/>
              <w:jc w:val="center"/>
              <w:rPr>
                <w:rFonts w:ascii="Times New Roman" w:eastAsia="Times New Roman" w:hAnsi="Times New Roman" w:cs="Times New Roman"/>
                <w:color w:val="000000"/>
                <w:lang w:eastAsia="ru-RU"/>
              </w:rPr>
            </w:pPr>
            <w:r w:rsidRPr="00F562A8">
              <w:rPr>
                <w:rFonts w:ascii="Times New Roman" w:eastAsia="Times New Roman" w:hAnsi="Times New Roman" w:cs="Times New Roman"/>
                <w:color w:val="000000"/>
                <w:lang w:eastAsia="ru-RU"/>
              </w:rPr>
              <w:t>Ольха черная</w:t>
            </w:r>
            <w:r>
              <w:rPr>
                <w:rFonts w:ascii="Times New Roman" w:eastAsia="Times New Roman" w:hAnsi="Times New Roman" w:cs="Times New Roman"/>
                <w:color w:val="000000"/>
                <w:lang w:eastAsia="ru-RU"/>
              </w:rPr>
              <w:t>, ольха серая</w:t>
            </w:r>
          </w:p>
        </w:tc>
        <w:tc>
          <w:tcPr>
            <w:tcW w:w="4961" w:type="dxa"/>
            <w:shd w:val="clear" w:color="auto" w:fill="auto"/>
            <w:noWrap/>
            <w:hideMark/>
          </w:tcPr>
          <w:p w14:paraId="3D26FEF9" w14:textId="77777777" w:rsidR="00D73274" w:rsidRPr="0081587E" w:rsidRDefault="00D73274" w:rsidP="00FE1791">
            <w:pPr>
              <w:spacing w:after="0" w:line="276" w:lineRule="auto"/>
              <w:contextualSpacing/>
              <w:jc w:val="center"/>
              <w:rPr>
                <w:rFonts w:ascii="Times New Roman" w:eastAsia="Times New Roman" w:hAnsi="Times New Roman" w:cs="Times New Roman"/>
                <w:color w:val="000000"/>
                <w:lang w:eastAsia="ru-RU"/>
              </w:rPr>
            </w:pPr>
            <w:r w:rsidRPr="0081587E">
              <w:rPr>
                <w:rFonts w:ascii="Times New Roman" w:hAnsi="Times New Roman" w:cs="Times New Roman"/>
              </w:rPr>
              <w:t>529,29</w:t>
            </w:r>
          </w:p>
        </w:tc>
      </w:tr>
      <w:tr w:rsidR="00D73274" w:rsidRPr="00F562A8" w14:paraId="49CCE48D" w14:textId="77777777" w:rsidTr="00FE1791">
        <w:trPr>
          <w:trHeight w:val="300"/>
        </w:trPr>
        <w:tc>
          <w:tcPr>
            <w:tcW w:w="4390" w:type="dxa"/>
            <w:shd w:val="clear" w:color="auto" w:fill="auto"/>
            <w:noWrap/>
            <w:vAlign w:val="bottom"/>
            <w:hideMark/>
          </w:tcPr>
          <w:p w14:paraId="3C5514EE" w14:textId="77777777" w:rsidR="00D73274" w:rsidRPr="00F562A8" w:rsidRDefault="00D73274" w:rsidP="00FE1791">
            <w:pPr>
              <w:spacing w:after="0" w:line="276" w:lineRule="auto"/>
              <w:contextualSpacing/>
              <w:jc w:val="center"/>
              <w:rPr>
                <w:rFonts w:ascii="Times New Roman" w:eastAsia="Times New Roman" w:hAnsi="Times New Roman" w:cs="Times New Roman"/>
                <w:color w:val="000000"/>
                <w:lang w:eastAsia="ru-RU"/>
              </w:rPr>
            </w:pPr>
            <w:r w:rsidRPr="00F562A8">
              <w:rPr>
                <w:rFonts w:ascii="Times New Roman" w:eastAsia="Times New Roman" w:hAnsi="Times New Roman" w:cs="Times New Roman"/>
                <w:color w:val="000000"/>
                <w:lang w:eastAsia="ru-RU"/>
              </w:rPr>
              <w:t>Тополь</w:t>
            </w:r>
          </w:p>
        </w:tc>
        <w:tc>
          <w:tcPr>
            <w:tcW w:w="4961" w:type="dxa"/>
            <w:shd w:val="clear" w:color="auto" w:fill="auto"/>
            <w:noWrap/>
            <w:hideMark/>
          </w:tcPr>
          <w:p w14:paraId="2710C7C7" w14:textId="77777777" w:rsidR="00D73274" w:rsidRPr="0081587E" w:rsidRDefault="00D73274" w:rsidP="00FE1791">
            <w:pPr>
              <w:spacing w:after="0" w:line="276" w:lineRule="auto"/>
              <w:contextualSpacing/>
              <w:jc w:val="center"/>
              <w:rPr>
                <w:rFonts w:ascii="Times New Roman" w:eastAsia="Times New Roman" w:hAnsi="Times New Roman" w:cs="Times New Roman"/>
                <w:color w:val="000000"/>
                <w:lang w:eastAsia="ru-RU"/>
              </w:rPr>
            </w:pPr>
            <w:r w:rsidRPr="0081587E">
              <w:rPr>
                <w:rFonts w:ascii="Times New Roman" w:hAnsi="Times New Roman" w:cs="Times New Roman"/>
              </w:rPr>
              <w:t>164,60</w:t>
            </w:r>
          </w:p>
        </w:tc>
      </w:tr>
      <w:tr w:rsidR="00D73274" w:rsidRPr="00F562A8" w14:paraId="7F58ECF9" w14:textId="77777777" w:rsidTr="00FE1791">
        <w:trPr>
          <w:trHeight w:val="300"/>
        </w:trPr>
        <w:tc>
          <w:tcPr>
            <w:tcW w:w="4390" w:type="dxa"/>
            <w:shd w:val="clear" w:color="auto" w:fill="auto"/>
            <w:noWrap/>
            <w:vAlign w:val="bottom"/>
            <w:hideMark/>
          </w:tcPr>
          <w:p w14:paraId="5468C518" w14:textId="77777777" w:rsidR="00D73274" w:rsidRPr="00F562A8" w:rsidRDefault="00D73274" w:rsidP="00FE1791">
            <w:pPr>
              <w:spacing w:after="0" w:line="276" w:lineRule="auto"/>
              <w:contextualSpacing/>
              <w:jc w:val="center"/>
              <w:rPr>
                <w:rFonts w:ascii="Times New Roman" w:eastAsia="Times New Roman" w:hAnsi="Times New Roman" w:cs="Times New Roman"/>
                <w:color w:val="000000"/>
                <w:lang w:eastAsia="ru-RU"/>
              </w:rPr>
            </w:pPr>
            <w:r w:rsidRPr="00F562A8">
              <w:rPr>
                <w:rFonts w:ascii="Times New Roman" w:eastAsia="Times New Roman" w:hAnsi="Times New Roman" w:cs="Times New Roman"/>
                <w:color w:val="000000"/>
                <w:lang w:eastAsia="ru-RU"/>
              </w:rPr>
              <w:t>Ивы древовидные</w:t>
            </w:r>
          </w:p>
        </w:tc>
        <w:tc>
          <w:tcPr>
            <w:tcW w:w="4961" w:type="dxa"/>
            <w:shd w:val="clear" w:color="auto" w:fill="auto"/>
            <w:noWrap/>
            <w:hideMark/>
          </w:tcPr>
          <w:p w14:paraId="525E1BAF" w14:textId="77777777" w:rsidR="00D73274" w:rsidRPr="0081587E" w:rsidRDefault="00D73274" w:rsidP="00FE1791">
            <w:pPr>
              <w:spacing w:after="0" w:line="276" w:lineRule="auto"/>
              <w:contextualSpacing/>
              <w:jc w:val="center"/>
              <w:rPr>
                <w:rFonts w:ascii="Times New Roman" w:eastAsia="Times New Roman" w:hAnsi="Times New Roman" w:cs="Times New Roman"/>
                <w:color w:val="000000"/>
                <w:lang w:eastAsia="ru-RU"/>
              </w:rPr>
            </w:pPr>
            <w:r w:rsidRPr="0081587E">
              <w:rPr>
                <w:rFonts w:ascii="Times New Roman" w:hAnsi="Times New Roman" w:cs="Times New Roman"/>
              </w:rPr>
              <w:t>193,89</w:t>
            </w:r>
          </w:p>
        </w:tc>
      </w:tr>
    </w:tbl>
    <w:p w14:paraId="11881BF3"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2DA4E6C3" w14:textId="77777777" w:rsidR="00D73274" w:rsidRDefault="00D73274" w:rsidP="00D73274">
      <w:pPr>
        <w:spacing w:after="0" w:line="276" w:lineRule="auto"/>
        <w:contextualSpacing/>
        <w:jc w:val="center"/>
        <w:rPr>
          <w:rFonts w:ascii="Times New Roman" w:hAnsi="Times New Roman" w:cs="Times New Roman"/>
          <w:i/>
          <w:sz w:val="26"/>
          <w:szCs w:val="26"/>
        </w:rPr>
      </w:pPr>
    </w:p>
    <w:p w14:paraId="3A969326" w14:textId="77777777" w:rsidR="00D73274" w:rsidRPr="00C22CCB" w:rsidRDefault="00D73274" w:rsidP="00D73274">
      <w:pPr>
        <w:spacing w:after="0" w:line="276" w:lineRule="auto"/>
        <w:contextualSpacing/>
        <w:jc w:val="center"/>
        <w:rPr>
          <w:rFonts w:ascii="Times New Roman" w:hAnsi="Times New Roman" w:cs="Times New Roman"/>
          <w:i/>
          <w:sz w:val="26"/>
          <w:szCs w:val="26"/>
        </w:rPr>
      </w:pPr>
      <w:r w:rsidRPr="00C22CCB">
        <w:rPr>
          <w:rFonts w:ascii="Times New Roman" w:hAnsi="Times New Roman" w:cs="Times New Roman"/>
          <w:i/>
          <w:sz w:val="26"/>
          <w:szCs w:val="26"/>
        </w:rPr>
        <w:t>Определение продуктивности 1 гектара земель, занятых насаждениями по основным лесообразующим породам и оборотам рубки в денежном выражении</w:t>
      </w:r>
    </w:p>
    <w:p w14:paraId="3D97F1BF" w14:textId="77777777" w:rsidR="00D73274" w:rsidRPr="00C22CCB" w:rsidRDefault="00D73274" w:rsidP="00D73274">
      <w:pPr>
        <w:spacing w:after="0" w:line="276" w:lineRule="auto"/>
        <w:ind w:firstLine="708"/>
        <w:contextualSpacing/>
        <w:jc w:val="center"/>
        <w:rPr>
          <w:rFonts w:ascii="Times New Roman" w:hAnsi="Times New Roman" w:cs="Times New Roman"/>
          <w:i/>
          <w:sz w:val="26"/>
          <w:szCs w:val="26"/>
        </w:rPr>
      </w:pPr>
    </w:p>
    <w:p w14:paraId="0921F72B"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Определение продуктивности 1 гектара земель выполняется по формуле:</w:t>
      </w:r>
    </w:p>
    <w:p w14:paraId="7713EABC"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p>
    <w:p w14:paraId="52211E64" w14:textId="77777777" w:rsidR="00D73274" w:rsidRPr="00671F60" w:rsidRDefault="00D73274" w:rsidP="00D73274">
      <w:pPr>
        <w:spacing w:after="0" w:line="276" w:lineRule="auto"/>
        <w:ind w:firstLine="708"/>
        <w:contextualSpacing/>
        <w:jc w:val="center"/>
        <w:rPr>
          <w:rFonts w:ascii="Times New Roman" w:hAnsi="Times New Roman" w:cs="Times New Roman"/>
          <w:sz w:val="26"/>
          <w:szCs w:val="26"/>
        </w:rPr>
      </w:pPr>
      <m:oMath>
        <m:r>
          <m:rPr>
            <m:sty m:val="p"/>
          </m:rPr>
          <w:rPr>
            <w:rFonts w:ascii="Cambria Math" w:hAnsi="Cambria Math" w:cs="Times New Roman"/>
            <w:sz w:val="26"/>
            <w:szCs w:val="26"/>
          </w:rPr>
          <m:t>П=(ЗД×РЦ)/N</m:t>
        </m:r>
      </m:oMath>
      <w:r w:rsidRPr="00671F60">
        <w:rPr>
          <w:rFonts w:ascii="Times New Roman" w:hAnsi="Times New Roman" w:cs="Times New Roman"/>
          <w:sz w:val="26"/>
          <w:szCs w:val="26"/>
        </w:rPr>
        <w:t>, где</w:t>
      </w:r>
    </w:p>
    <w:p w14:paraId="5B97B1FA"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p>
    <w:p w14:paraId="6593A0E1"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П - продуктивность 1 гектара земель, руб.;</w:t>
      </w:r>
    </w:p>
    <w:p w14:paraId="6B8FC881"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ЗД – запас древесины на 1 гектар, куб. м;</w:t>
      </w:r>
    </w:p>
    <w:p w14:paraId="060BE4DE"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РЦ - рыночная цена 1 куб. м древесины, руб./куб. м;</w:t>
      </w:r>
    </w:p>
    <w:p w14:paraId="1157D0A0"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N – число лет в обороте рубки по основным лесообразующим породам.</w:t>
      </w:r>
    </w:p>
    <w:p w14:paraId="70EB3189"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 xml:space="preserve">Расчет продуктивности 1 га земель по основным лесообразующим породам и оборотам рубки представлен в </w:t>
      </w:r>
      <w:r w:rsidRPr="0000573C">
        <w:rPr>
          <w:rFonts w:ascii="Times New Roman" w:hAnsi="Times New Roman" w:cs="Times New Roman"/>
          <w:sz w:val="26"/>
          <w:szCs w:val="26"/>
        </w:rPr>
        <w:t xml:space="preserve">Приложение </w:t>
      </w:r>
      <w:r w:rsidRPr="00C22CCB">
        <w:rPr>
          <w:rFonts w:ascii="Times New Roman" w:hAnsi="Times New Roman" w:cs="Times New Roman"/>
          <w:sz w:val="26"/>
          <w:szCs w:val="26"/>
        </w:rPr>
        <w:t>2/2.4</w:t>
      </w:r>
      <w:r>
        <w:rPr>
          <w:rFonts w:ascii="Times New Roman" w:hAnsi="Times New Roman" w:cs="Times New Roman"/>
          <w:sz w:val="26"/>
          <w:szCs w:val="26"/>
        </w:rPr>
        <w:t>/2.4.10</w:t>
      </w:r>
      <w:r w:rsidRPr="00C22CCB">
        <w:rPr>
          <w:rFonts w:ascii="Times New Roman" w:hAnsi="Times New Roman" w:cs="Times New Roman"/>
          <w:sz w:val="26"/>
          <w:szCs w:val="26"/>
        </w:rPr>
        <w:t>.</w:t>
      </w:r>
    </w:p>
    <w:p w14:paraId="09D84371"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p>
    <w:p w14:paraId="48A00477" w14:textId="77777777" w:rsidR="00D73274" w:rsidRPr="00C22CCB" w:rsidRDefault="00D73274" w:rsidP="00D73274">
      <w:pPr>
        <w:spacing w:after="0" w:line="276" w:lineRule="auto"/>
        <w:contextualSpacing/>
        <w:jc w:val="center"/>
        <w:rPr>
          <w:rFonts w:ascii="Times New Roman" w:hAnsi="Times New Roman" w:cs="Times New Roman"/>
          <w:i/>
          <w:sz w:val="26"/>
          <w:szCs w:val="26"/>
        </w:rPr>
      </w:pPr>
      <w:r w:rsidRPr="00C22CCB">
        <w:rPr>
          <w:rFonts w:ascii="Times New Roman" w:hAnsi="Times New Roman" w:cs="Times New Roman"/>
          <w:i/>
          <w:sz w:val="26"/>
          <w:szCs w:val="26"/>
        </w:rPr>
        <w:t>Определение затрат на воспроизводство 1 гектара земель, занятых насаждениями по основным лесообразующим породам и оборотам рубки</w:t>
      </w:r>
    </w:p>
    <w:p w14:paraId="3DD82ED5"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298986E9"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Расходы, предусмотренные на содержание органа исполнительной власти Воронежской области, осуществляющего полномочия в области лесных отношений, в 2021 году составляют 48 337,0 тыс. рублей, в том числе за счет средств субвенций из федерального бюджета – 39 096,1 тыс. рублей, за счет средств из бюджета области – 6 949,8 тыс. рублей, за счет межбюджетного трансферта за достижение показателей деятельности органами исполнительной власти субъекта РФ из федерального бюджета – 2 291,1 тыс. руб.</w:t>
      </w:r>
    </w:p>
    <w:p w14:paraId="1C0950D8"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Расходы на охрану, защиту, воспроизводство лесов за 2021 год составили 233 963,9 тыс. руб. Расходы на 1 гектар лесного фонда на охрану, защиту, воспроизводство лесов и управление – 282 300,9 руб./476000 га = 593,1 руб./га.</w:t>
      </w:r>
      <w:r w:rsidRPr="00C22CCB">
        <w:rPr>
          <w:rFonts w:ascii="Times New Roman" w:hAnsi="Times New Roman" w:cs="Times New Roman"/>
          <w:sz w:val="26"/>
          <w:szCs w:val="26"/>
        </w:rPr>
        <w:t xml:space="preserve"> (</w:t>
      </w:r>
      <w:r w:rsidRPr="0000573C">
        <w:rPr>
          <w:rFonts w:ascii="Times New Roman" w:hAnsi="Times New Roman" w:cs="Times New Roman"/>
          <w:sz w:val="26"/>
          <w:szCs w:val="26"/>
        </w:rPr>
        <w:t xml:space="preserve">Приложение </w:t>
      </w:r>
      <w:r w:rsidRPr="00C22CCB">
        <w:rPr>
          <w:rFonts w:ascii="Times New Roman" w:hAnsi="Times New Roman" w:cs="Times New Roman"/>
          <w:sz w:val="26"/>
          <w:szCs w:val="26"/>
        </w:rPr>
        <w:t>2/2.4</w:t>
      </w:r>
      <w:r>
        <w:rPr>
          <w:rFonts w:ascii="Times New Roman" w:hAnsi="Times New Roman" w:cs="Times New Roman"/>
          <w:sz w:val="26"/>
          <w:szCs w:val="26"/>
        </w:rPr>
        <w:t>/2.4.10</w:t>
      </w:r>
      <w:r w:rsidRPr="00C22CCB">
        <w:rPr>
          <w:rFonts w:ascii="Times New Roman" w:hAnsi="Times New Roman" w:cs="Times New Roman"/>
          <w:sz w:val="26"/>
          <w:szCs w:val="26"/>
        </w:rPr>
        <w:t>).</w:t>
      </w:r>
    </w:p>
    <w:p w14:paraId="2C6F2ACA"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3FC94353" w14:textId="77777777" w:rsidR="00D73274" w:rsidRPr="00C22CCB" w:rsidRDefault="00D73274" w:rsidP="00D73274">
      <w:pPr>
        <w:spacing w:after="0" w:line="276" w:lineRule="auto"/>
        <w:contextualSpacing/>
        <w:jc w:val="center"/>
        <w:rPr>
          <w:rFonts w:ascii="Times New Roman" w:hAnsi="Times New Roman" w:cs="Times New Roman"/>
          <w:i/>
          <w:sz w:val="26"/>
          <w:szCs w:val="26"/>
        </w:rPr>
      </w:pPr>
      <w:r w:rsidRPr="00C22CCB">
        <w:rPr>
          <w:rFonts w:ascii="Times New Roman" w:hAnsi="Times New Roman" w:cs="Times New Roman"/>
          <w:i/>
          <w:sz w:val="26"/>
          <w:szCs w:val="26"/>
        </w:rPr>
        <w:t>Определение удельного показателя рентного дохода земель, занятых спелыми насаждениями по основным лесообразующим породам и оборотам рубки</w:t>
      </w:r>
    </w:p>
    <w:p w14:paraId="2728ACFB"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5E80ED40"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Определение удельного показателя рентного дохода земель выполняется по формуле:</w:t>
      </w:r>
    </w:p>
    <w:p w14:paraId="131AA8D0"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00CAF102" w14:textId="77777777" w:rsidR="00D73274" w:rsidRDefault="00D73274" w:rsidP="00D73274">
      <w:pPr>
        <w:spacing w:after="0" w:line="276" w:lineRule="auto"/>
        <w:ind w:firstLine="708"/>
        <w:contextualSpacing/>
        <w:jc w:val="center"/>
        <w:rPr>
          <w:rFonts w:ascii="Times New Roman" w:hAnsi="Times New Roman" w:cs="Times New Roman"/>
          <w:sz w:val="26"/>
          <w:szCs w:val="26"/>
        </w:rPr>
      </w:pPr>
      <m:oMath>
        <m:r>
          <m:rPr>
            <m:sty m:val="p"/>
          </m:rPr>
          <w:rPr>
            <w:rFonts w:ascii="Cambria Math" w:hAnsi="Cambria Math" w:cs="Times New Roman"/>
            <w:sz w:val="26"/>
            <w:szCs w:val="26"/>
          </w:rPr>
          <m:t>УПРД=</m:t>
        </m:r>
        <m:sSub>
          <m:sSubPr>
            <m:ctrlPr>
              <w:rPr>
                <w:rFonts w:ascii="Cambria Math" w:hAnsi="Cambria Math" w:cs="Times New Roman"/>
                <w:sz w:val="26"/>
                <w:szCs w:val="26"/>
              </w:rPr>
            </m:ctrlPr>
          </m:sSubPr>
          <m:e>
            <m:r>
              <m:rPr>
                <m:sty m:val="p"/>
              </m:rPr>
              <w:rPr>
                <w:rFonts w:ascii="Cambria Math" w:hAnsi="Cambria Math" w:cs="Times New Roman"/>
                <w:sz w:val="26"/>
                <w:szCs w:val="26"/>
              </w:rPr>
              <m:t>С</m:t>
            </m:r>
          </m:e>
          <m:sub>
            <m:r>
              <m:rPr>
                <m:sty m:val="p"/>
              </m:rPr>
              <w:rPr>
                <w:rFonts w:ascii="Cambria Math" w:hAnsi="Cambria Math" w:cs="Times New Roman"/>
                <w:sz w:val="26"/>
                <w:szCs w:val="26"/>
              </w:rPr>
              <m:t>продуктивность</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С</m:t>
            </m:r>
          </m:e>
          <m:sub>
            <m:r>
              <m:rPr>
                <m:sty m:val="p"/>
              </m:rPr>
              <w:rPr>
                <w:rFonts w:ascii="Cambria Math" w:hAnsi="Cambria Math" w:cs="Times New Roman"/>
                <w:sz w:val="26"/>
                <w:szCs w:val="26"/>
              </w:rPr>
              <m:t>затраты</m:t>
            </m:r>
          </m:sub>
        </m:sSub>
      </m:oMath>
      <w:r w:rsidRPr="00671F60">
        <w:rPr>
          <w:rFonts w:ascii="Times New Roman" w:hAnsi="Times New Roman" w:cs="Times New Roman"/>
          <w:sz w:val="26"/>
          <w:szCs w:val="26"/>
        </w:rPr>
        <w:t>, где</w:t>
      </w:r>
    </w:p>
    <w:p w14:paraId="048C8B1C"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p>
    <w:p w14:paraId="1EC15930"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УПРД – удельный показатель рентного дохода земель, руб./га;</w:t>
      </w:r>
    </w:p>
    <w:p w14:paraId="7A874542"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C</w:t>
      </w:r>
      <w:r w:rsidRPr="00C22CCB">
        <w:rPr>
          <w:rFonts w:ascii="Times New Roman" w:hAnsi="Times New Roman" w:cs="Times New Roman"/>
          <w:sz w:val="26"/>
          <w:szCs w:val="26"/>
        </w:rPr>
        <w:t>продуктивность</w:t>
      </w:r>
      <w:r w:rsidRPr="00671F60">
        <w:rPr>
          <w:rFonts w:ascii="Times New Roman" w:hAnsi="Times New Roman" w:cs="Times New Roman"/>
          <w:sz w:val="26"/>
          <w:szCs w:val="26"/>
        </w:rPr>
        <w:t xml:space="preserve"> – стоимость </w:t>
      </w:r>
      <w:r w:rsidRPr="00C22CCB">
        <w:rPr>
          <w:rFonts w:ascii="Times New Roman" w:hAnsi="Times New Roman" w:cs="Times New Roman"/>
          <w:sz w:val="26"/>
          <w:szCs w:val="26"/>
        </w:rPr>
        <w:t>продуктивности 1 гектара земель, занятых насаждениями по основным лесообразующим породам и оборотам рубки в денежном выражении, руб./га;</w:t>
      </w:r>
    </w:p>
    <w:p w14:paraId="3278E615"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C</w:t>
      </w:r>
      <w:r w:rsidRPr="00C22CCB">
        <w:rPr>
          <w:rFonts w:ascii="Times New Roman" w:hAnsi="Times New Roman" w:cs="Times New Roman"/>
          <w:sz w:val="26"/>
          <w:szCs w:val="26"/>
        </w:rPr>
        <w:t>затраты</w:t>
      </w:r>
      <w:r w:rsidRPr="00671F60">
        <w:rPr>
          <w:rFonts w:ascii="Times New Roman" w:hAnsi="Times New Roman" w:cs="Times New Roman"/>
          <w:sz w:val="26"/>
          <w:szCs w:val="26"/>
        </w:rPr>
        <w:t xml:space="preserve"> – стоимость </w:t>
      </w:r>
      <w:r w:rsidRPr="00C22CCB">
        <w:rPr>
          <w:rFonts w:ascii="Times New Roman" w:hAnsi="Times New Roman" w:cs="Times New Roman"/>
          <w:sz w:val="26"/>
          <w:szCs w:val="26"/>
        </w:rPr>
        <w:t>затрат на воспроизводство 1 гектара земель, занятых насаждениями по основным лесообразующим породам и оборотам рубки, руб./га.</w:t>
      </w:r>
    </w:p>
    <w:p w14:paraId="631F817A"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 xml:space="preserve">Расчет </w:t>
      </w:r>
      <w:r w:rsidRPr="00C22CCB">
        <w:rPr>
          <w:rFonts w:ascii="Times New Roman" w:hAnsi="Times New Roman" w:cs="Times New Roman"/>
          <w:sz w:val="26"/>
          <w:szCs w:val="26"/>
        </w:rPr>
        <w:t xml:space="preserve">удельного показателя рентного дохода земель, занятых спелыми насаждениями по основным лесообразующим породам и оборотам рубки представлен в </w:t>
      </w:r>
      <w:r w:rsidRPr="0000573C">
        <w:rPr>
          <w:rFonts w:ascii="Times New Roman" w:hAnsi="Times New Roman" w:cs="Times New Roman"/>
          <w:sz w:val="26"/>
          <w:szCs w:val="26"/>
        </w:rPr>
        <w:t>Приложени</w:t>
      </w:r>
      <w:r>
        <w:rPr>
          <w:rFonts w:ascii="Times New Roman" w:hAnsi="Times New Roman" w:cs="Times New Roman"/>
          <w:sz w:val="26"/>
          <w:szCs w:val="26"/>
        </w:rPr>
        <w:t>и</w:t>
      </w:r>
      <w:r w:rsidRPr="0000573C">
        <w:rPr>
          <w:rFonts w:ascii="Times New Roman" w:hAnsi="Times New Roman" w:cs="Times New Roman"/>
          <w:sz w:val="26"/>
          <w:szCs w:val="26"/>
        </w:rPr>
        <w:t xml:space="preserve"> </w:t>
      </w:r>
      <w:r w:rsidRPr="00C22CCB">
        <w:rPr>
          <w:rFonts w:ascii="Times New Roman" w:hAnsi="Times New Roman" w:cs="Times New Roman"/>
          <w:sz w:val="26"/>
          <w:szCs w:val="26"/>
        </w:rPr>
        <w:t>2/2.4</w:t>
      </w:r>
      <w:r>
        <w:rPr>
          <w:rFonts w:ascii="Times New Roman" w:hAnsi="Times New Roman" w:cs="Times New Roman"/>
          <w:sz w:val="26"/>
          <w:szCs w:val="26"/>
        </w:rPr>
        <w:t>/2.4.10</w:t>
      </w:r>
      <w:r w:rsidRPr="00C22CCB">
        <w:rPr>
          <w:rFonts w:ascii="Times New Roman" w:hAnsi="Times New Roman" w:cs="Times New Roman"/>
          <w:sz w:val="26"/>
          <w:szCs w:val="26"/>
        </w:rPr>
        <w:t>.</w:t>
      </w:r>
    </w:p>
    <w:p w14:paraId="4AB71AF5"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В результате расчета выявлены породы с отрицательным показателем рентного дохода. Для дальнейшего расчета УПКС лесничеств отрицательное значение УПРД принимается равным нулю. Следовательно, в дальнейших расчетах упоминание пород с нулевыми показателями считается нецелесообразным.</w:t>
      </w:r>
    </w:p>
    <w:p w14:paraId="6D920996"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16869E81" w14:textId="77777777" w:rsidR="00D73274" w:rsidRPr="00C22CCB" w:rsidRDefault="00D73274" w:rsidP="00D73274">
      <w:pPr>
        <w:spacing w:after="0" w:line="276" w:lineRule="auto"/>
        <w:contextualSpacing/>
        <w:jc w:val="center"/>
        <w:rPr>
          <w:rFonts w:ascii="Times New Roman" w:hAnsi="Times New Roman" w:cs="Times New Roman"/>
          <w:i/>
          <w:sz w:val="26"/>
          <w:szCs w:val="26"/>
        </w:rPr>
      </w:pPr>
      <w:r w:rsidRPr="00C22CCB">
        <w:rPr>
          <w:rFonts w:ascii="Times New Roman" w:hAnsi="Times New Roman" w:cs="Times New Roman"/>
          <w:i/>
          <w:sz w:val="26"/>
          <w:szCs w:val="26"/>
        </w:rPr>
        <w:t>Определение величины коэффициента капитализации</w:t>
      </w:r>
    </w:p>
    <w:p w14:paraId="457B7AA1"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2D1C3C12"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Коэффициент капитализации – это ставка, применяемая для приведения потока доходов к единой сумме стоимости. С экономической точки зрения, коэффициент капитализации отражает норму доходности инвестора.</w:t>
      </w:r>
    </w:p>
    <w:p w14:paraId="2F394041"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В качестве ставки капитализации использовались данные Центрального банка РФ – значение кривой бескупонной доходности государственных облигаций, сроком погашения 3 лет (</w:t>
      </w:r>
      <w:r w:rsidRPr="0000573C">
        <w:rPr>
          <w:rFonts w:ascii="Times New Roman" w:hAnsi="Times New Roman" w:cs="Times New Roman"/>
          <w:sz w:val="26"/>
          <w:szCs w:val="26"/>
        </w:rPr>
        <w:t>см. Рисунок 3.6.10.1</w:t>
      </w:r>
      <w:r w:rsidRPr="00671F60">
        <w:rPr>
          <w:rFonts w:ascii="Times New Roman" w:hAnsi="Times New Roman" w:cs="Times New Roman"/>
          <w:sz w:val="26"/>
          <w:szCs w:val="26"/>
        </w:rPr>
        <w:t xml:space="preserve">). </w:t>
      </w:r>
    </w:p>
    <w:p w14:paraId="4262BC8E"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Коэффициент капитализации, использованный в рамках расчета, принят равным 8,4%.</w:t>
      </w:r>
    </w:p>
    <w:p w14:paraId="60E85D3D" w14:textId="77777777" w:rsidR="00D73274" w:rsidRPr="00671F60" w:rsidRDefault="00D73274" w:rsidP="00D73274">
      <w:pPr>
        <w:spacing w:after="0" w:line="276" w:lineRule="auto"/>
        <w:contextualSpacing/>
        <w:jc w:val="both"/>
        <w:rPr>
          <w:rFonts w:ascii="Times New Roman" w:hAnsi="Times New Roman" w:cs="Times New Roman"/>
          <w:sz w:val="26"/>
          <w:szCs w:val="26"/>
        </w:rPr>
      </w:pPr>
      <w:r w:rsidRPr="00671F60">
        <w:rPr>
          <w:rFonts w:ascii="Times New Roman" w:hAnsi="Times New Roman" w:cs="Times New Roman"/>
          <w:noProof/>
          <w:sz w:val="26"/>
          <w:szCs w:val="26"/>
          <w:lang w:eastAsia="ru-RU"/>
        </w:rPr>
        <w:drawing>
          <wp:inline distT="0" distB="0" distL="0" distR="0" wp14:anchorId="0426F6E7" wp14:editId="65DAB875">
            <wp:extent cx="5943600" cy="3400425"/>
            <wp:effectExtent l="0" t="0" r="0"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14:paraId="4D4DDC34"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 xml:space="preserve">Рисунок </w:t>
      </w:r>
      <w:r w:rsidRPr="0000573C">
        <w:rPr>
          <w:rFonts w:ascii="Times New Roman" w:hAnsi="Times New Roman" w:cs="Times New Roman"/>
          <w:sz w:val="26"/>
          <w:szCs w:val="26"/>
        </w:rPr>
        <w:t>3.6.10.1.</w:t>
      </w:r>
      <w:r w:rsidRPr="00671F60">
        <w:rPr>
          <w:rFonts w:ascii="Times New Roman" w:hAnsi="Times New Roman" w:cs="Times New Roman"/>
          <w:sz w:val="26"/>
          <w:szCs w:val="26"/>
        </w:rPr>
        <w:t xml:space="preserve"> – Кривая бескупонной доходности государственных облигаций</w:t>
      </w:r>
    </w:p>
    <w:p w14:paraId="3F059813" w14:textId="1E824902" w:rsidR="00D73274" w:rsidRDefault="00D73274" w:rsidP="00D73274">
      <w:pPr>
        <w:spacing w:after="0" w:line="276" w:lineRule="auto"/>
        <w:ind w:firstLine="708"/>
        <w:contextualSpacing/>
        <w:jc w:val="both"/>
        <w:rPr>
          <w:rFonts w:ascii="Times New Roman" w:hAnsi="Times New Roman" w:cs="Times New Roman"/>
          <w:sz w:val="26"/>
          <w:szCs w:val="26"/>
        </w:rPr>
      </w:pPr>
    </w:p>
    <w:p w14:paraId="0737A6B3" w14:textId="566F8040" w:rsidR="00D6615B" w:rsidRDefault="00D6615B" w:rsidP="00D73274">
      <w:pPr>
        <w:spacing w:after="0" w:line="276" w:lineRule="auto"/>
        <w:ind w:firstLine="708"/>
        <w:contextualSpacing/>
        <w:jc w:val="both"/>
        <w:rPr>
          <w:rFonts w:ascii="Times New Roman" w:hAnsi="Times New Roman" w:cs="Times New Roman"/>
          <w:sz w:val="26"/>
          <w:szCs w:val="26"/>
        </w:rPr>
      </w:pPr>
    </w:p>
    <w:p w14:paraId="0E98082C" w14:textId="77777777" w:rsidR="00D6615B" w:rsidRDefault="00D6615B" w:rsidP="00D73274">
      <w:pPr>
        <w:spacing w:after="0" w:line="276" w:lineRule="auto"/>
        <w:ind w:firstLine="708"/>
        <w:contextualSpacing/>
        <w:jc w:val="both"/>
        <w:rPr>
          <w:rFonts w:ascii="Times New Roman" w:hAnsi="Times New Roman" w:cs="Times New Roman"/>
          <w:sz w:val="26"/>
          <w:szCs w:val="26"/>
        </w:rPr>
      </w:pPr>
    </w:p>
    <w:p w14:paraId="3BB2DB20" w14:textId="77777777" w:rsidR="00D73274" w:rsidRPr="00C22CCB" w:rsidRDefault="00D73274" w:rsidP="00D73274">
      <w:pPr>
        <w:spacing w:after="0" w:line="276" w:lineRule="auto"/>
        <w:contextualSpacing/>
        <w:jc w:val="center"/>
        <w:rPr>
          <w:rFonts w:ascii="Times New Roman" w:hAnsi="Times New Roman" w:cs="Times New Roman"/>
          <w:i/>
          <w:sz w:val="26"/>
          <w:szCs w:val="26"/>
        </w:rPr>
      </w:pPr>
      <w:r w:rsidRPr="00C22CCB">
        <w:rPr>
          <w:rFonts w:ascii="Times New Roman" w:hAnsi="Times New Roman" w:cs="Times New Roman"/>
          <w:i/>
          <w:sz w:val="26"/>
          <w:szCs w:val="26"/>
        </w:rPr>
        <w:t>Определение удельного показателя кадастровой стоимости земель, занятых спелыми насаждениями по основным лесообразующим породам и оборотам рубки</w:t>
      </w:r>
    </w:p>
    <w:p w14:paraId="578D2687"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5D0BE2F5"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Определение удельного показателя кадастровой стоимости земель, занятых спелыми насаждениями по основным лесообразующим породам и оборотам рубки выполняется по формуле:</w:t>
      </w:r>
    </w:p>
    <w:p w14:paraId="498EF436" w14:textId="77777777" w:rsidR="00D73274" w:rsidRDefault="00FF7453" w:rsidP="00D73274">
      <w:pPr>
        <w:spacing w:after="0" w:line="276" w:lineRule="auto"/>
        <w:ind w:firstLine="708"/>
        <w:contextualSpacing/>
        <w:jc w:val="center"/>
        <w:rPr>
          <w:rFonts w:ascii="Times New Roman" w:hAnsi="Times New Roman" w:cs="Times New Roman"/>
          <w:sz w:val="26"/>
          <w:szCs w:val="26"/>
        </w:rPr>
      </w:pPr>
      <m:oMath>
        <m:sSub>
          <m:sSubPr>
            <m:ctrlPr>
              <w:rPr>
                <w:rFonts w:ascii="Cambria Math" w:hAnsi="Cambria Math" w:cs="Times New Roman"/>
                <w:sz w:val="26"/>
                <w:szCs w:val="26"/>
              </w:rPr>
            </m:ctrlPr>
          </m:sSubPr>
          <m:e>
            <m:r>
              <m:rPr>
                <m:sty m:val="p"/>
              </m:rPr>
              <w:rPr>
                <w:rFonts w:ascii="Cambria Math" w:hAnsi="Cambria Math" w:cs="Times New Roman"/>
                <w:sz w:val="26"/>
                <w:szCs w:val="26"/>
              </w:rPr>
              <m:t>УПКС</m:t>
            </m:r>
          </m:e>
          <m:sub>
            <m:r>
              <m:rPr>
                <m:sty m:val="p"/>
              </m:rPr>
              <w:rPr>
                <w:rFonts w:ascii="Cambria Math" w:hAnsi="Cambria Math" w:cs="Times New Roman"/>
                <w:sz w:val="26"/>
                <w:szCs w:val="26"/>
              </w:rPr>
              <m:t>спел</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УПРД</m:t>
            </m:r>
          </m:num>
          <m:den>
            <m:sSub>
              <m:sSubPr>
                <m:ctrlPr>
                  <w:rPr>
                    <w:rFonts w:ascii="Cambria Math" w:hAnsi="Cambria Math" w:cs="Times New Roman"/>
                    <w:sz w:val="26"/>
                    <w:szCs w:val="26"/>
                  </w:rPr>
                </m:ctrlPr>
              </m:sSubPr>
              <m:e>
                <m:r>
                  <m:rPr>
                    <m:sty m:val="p"/>
                  </m:rPr>
                  <w:rPr>
                    <w:rFonts w:ascii="Cambria Math" w:hAnsi="Cambria Math" w:cs="Times New Roman"/>
                    <w:sz w:val="26"/>
                    <w:szCs w:val="26"/>
                  </w:rPr>
                  <m:t>К</m:t>
                </m:r>
              </m:e>
              <m:sub>
                <m:r>
                  <m:rPr>
                    <m:sty m:val="p"/>
                  </m:rPr>
                  <w:rPr>
                    <w:rFonts w:ascii="Cambria Math" w:hAnsi="Cambria Math" w:cs="Times New Roman"/>
                    <w:sz w:val="26"/>
                    <w:szCs w:val="26"/>
                  </w:rPr>
                  <m:t>к</m:t>
                </m:r>
              </m:sub>
            </m:sSub>
          </m:den>
        </m:f>
      </m:oMath>
      <w:r w:rsidR="00D73274" w:rsidRPr="00671F60">
        <w:rPr>
          <w:rFonts w:ascii="Times New Roman" w:hAnsi="Times New Roman" w:cs="Times New Roman"/>
          <w:sz w:val="26"/>
          <w:szCs w:val="26"/>
        </w:rPr>
        <w:t xml:space="preserve"> , где</w:t>
      </w:r>
    </w:p>
    <w:p w14:paraId="63324E93"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УПКСспел – удельный показатель кадастровой стоимости земель по основным лесообразующим породам и оборотам рубки, руб./га;</w:t>
      </w:r>
    </w:p>
    <w:p w14:paraId="1BFD3B24"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УПРД – удельный показатель рентного дохода земель (показатель земельной ренты), руб./га;</w:t>
      </w:r>
    </w:p>
    <w:p w14:paraId="5CD29078"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Кк – коэффициент капитализации земельной ренты, %.</w:t>
      </w:r>
    </w:p>
    <w:p w14:paraId="14FD34DF"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 xml:space="preserve">Расчет удельного показателя кадастровой стоимости земельных участков, занятых спелыми насаждениями по основным лесообразующим породам и оборотам рубки представлен в </w:t>
      </w:r>
      <w:r w:rsidRPr="0000573C">
        <w:rPr>
          <w:rFonts w:ascii="Times New Roman" w:hAnsi="Times New Roman" w:cs="Times New Roman"/>
          <w:sz w:val="26"/>
          <w:szCs w:val="26"/>
        </w:rPr>
        <w:t>Приложени</w:t>
      </w:r>
      <w:r>
        <w:rPr>
          <w:rFonts w:ascii="Times New Roman" w:hAnsi="Times New Roman" w:cs="Times New Roman"/>
          <w:sz w:val="26"/>
          <w:szCs w:val="26"/>
        </w:rPr>
        <w:t>и</w:t>
      </w:r>
      <w:r w:rsidRPr="0000573C">
        <w:rPr>
          <w:rFonts w:ascii="Times New Roman" w:hAnsi="Times New Roman" w:cs="Times New Roman"/>
          <w:sz w:val="26"/>
          <w:szCs w:val="26"/>
        </w:rPr>
        <w:t xml:space="preserve"> </w:t>
      </w:r>
      <w:r w:rsidRPr="00C22CCB">
        <w:rPr>
          <w:rFonts w:ascii="Times New Roman" w:hAnsi="Times New Roman" w:cs="Times New Roman"/>
          <w:sz w:val="26"/>
          <w:szCs w:val="26"/>
        </w:rPr>
        <w:t>2/2.4</w:t>
      </w:r>
      <w:r>
        <w:rPr>
          <w:rFonts w:ascii="Times New Roman" w:hAnsi="Times New Roman" w:cs="Times New Roman"/>
          <w:sz w:val="26"/>
          <w:szCs w:val="26"/>
        </w:rPr>
        <w:t>/2.4.10</w:t>
      </w:r>
      <w:r w:rsidRPr="00C22CCB">
        <w:rPr>
          <w:rFonts w:ascii="Times New Roman" w:hAnsi="Times New Roman" w:cs="Times New Roman"/>
          <w:sz w:val="26"/>
          <w:szCs w:val="26"/>
        </w:rPr>
        <w:t>.</w:t>
      </w:r>
    </w:p>
    <w:p w14:paraId="50E20A5B"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0AB41982" w14:textId="77777777" w:rsidR="00D73274" w:rsidRPr="005309E9" w:rsidRDefault="00D73274" w:rsidP="00D73274">
      <w:pPr>
        <w:spacing w:after="0" w:line="276" w:lineRule="auto"/>
        <w:contextualSpacing/>
        <w:jc w:val="center"/>
        <w:rPr>
          <w:rFonts w:ascii="Times New Roman" w:hAnsi="Times New Roman" w:cs="Times New Roman"/>
          <w:i/>
          <w:sz w:val="26"/>
          <w:szCs w:val="26"/>
        </w:rPr>
      </w:pPr>
      <w:r w:rsidRPr="005309E9">
        <w:rPr>
          <w:rFonts w:ascii="Times New Roman" w:hAnsi="Times New Roman" w:cs="Times New Roman"/>
          <w:i/>
          <w:sz w:val="26"/>
          <w:szCs w:val="26"/>
        </w:rPr>
        <w:t>Определение по каждой основной лесообразующей породе и оборотам рубки количества лет, через которое насаждения войдут в категорию спелых</w:t>
      </w:r>
    </w:p>
    <w:p w14:paraId="3A43388A"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3FDCD555"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Данные о минимальном количестве лет, через которое насаждения войдут в категорию спелых (число лет в обороте рубки) определены на основании Приложения 3, предоставленного Управлением лесного хозяйства Воронежской области (</w:t>
      </w:r>
      <w:r>
        <w:rPr>
          <w:rFonts w:ascii="Times New Roman" w:hAnsi="Times New Roman" w:cs="Times New Roman"/>
          <w:sz w:val="26"/>
          <w:szCs w:val="26"/>
        </w:rPr>
        <w:t>Приложение</w:t>
      </w:r>
      <w:r w:rsidRPr="00C45ED3">
        <w:rPr>
          <w:rFonts w:ascii="Times New Roman" w:eastAsiaTheme="minorEastAsia" w:hAnsi="Times New Roman" w:cs="Times New Roman"/>
          <w:sz w:val="26"/>
          <w:szCs w:val="26"/>
        </w:rPr>
        <w:t xml:space="preserve"> 1/1.2/1.2.1/1.2.1.</w:t>
      </w:r>
      <w:r>
        <w:rPr>
          <w:rFonts w:ascii="Times New Roman" w:eastAsiaTheme="minorEastAsia" w:hAnsi="Times New Roman" w:cs="Times New Roman"/>
          <w:sz w:val="26"/>
          <w:szCs w:val="26"/>
        </w:rPr>
        <w:t>7</w:t>
      </w:r>
      <w:r w:rsidRPr="00C22CCB">
        <w:rPr>
          <w:rFonts w:ascii="Times New Roman" w:hAnsi="Times New Roman" w:cs="Times New Roman"/>
          <w:sz w:val="26"/>
          <w:szCs w:val="26"/>
        </w:rPr>
        <w:t xml:space="preserve">), и представлены в таблице </w:t>
      </w:r>
      <w:r w:rsidRPr="0000573C">
        <w:rPr>
          <w:rFonts w:ascii="Times New Roman" w:hAnsi="Times New Roman" w:cs="Times New Roman"/>
          <w:sz w:val="26"/>
          <w:szCs w:val="26"/>
        </w:rPr>
        <w:t>3.6.10.1</w:t>
      </w:r>
      <w:r w:rsidRPr="00C22CCB">
        <w:rPr>
          <w:rFonts w:ascii="Times New Roman" w:hAnsi="Times New Roman" w:cs="Times New Roman"/>
          <w:sz w:val="26"/>
          <w:szCs w:val="26"/>
        </w:rPr>
        <w:t>.</w:t>
      </w:r>
      <w:r>
        <w:rPr>
          <w:rFonts w:ascii="Times New Roman" w:hAnsi="Times New Roman" w:cs="Times New Roman"/>
          <w:sz w:val="26"/>
          <w:szCs w:val="26"/>
        </w:rPr>
        <w:t>2</w:t>
      </w:r>
    </w:p>
    <w:p w14:paraId="15F0F77F"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58537FE7" w14:textId="77777777" w:rsidR="00D73274" w:rsidRPr="00C22CCB" w:rsidRDefault="00D73274" w:rsidP="00D73274">
      <w:pPr>
        <w:spacing w:after="0" w:line="276" w:lineRule="auto"/>
        <w:ind w:firstLine="708"/>
        <w:contextualSpacing/>
        <w:jc w:val="center"/>
        <w:rPr>
          <w:rFonts w:ascii="Times New Roman" w:hAnsi="Times New Roman" w:cs="Times New Roman"/>
          <w:sz w:val="26"/>
          <w:szCs w:val="26"/>
        </w:rPr>
      </w:pPr>
      <w:r w:rsidRPr="00C22CCB">
        <w:rPr>
          <w:rFonts w:ascii="Times New Roman" w:hAnsi="Times New Roman" w:cs="Times New Roman"/>
          <w:sz w:val="26"/>
          <w:szCs w:val="26"/>
        </w:rPr>
        <w:t>Число лет в обороте рубки (количество лет, через которое насаждения войдут в категорию спелых)</w:t>
      </w:r>
    </w:p>
    <w:p w14:paraId="165EA6AC" w14:textId="77777777" w:rsidR="00D73274" w:rsidRPr="00C22CCB" w:rsidRDefault="00D73274" w:rsidP="00D73274">
      <w:pPr>
        <w:spacing w:after="0" w:line="276" w:lineRule="auto"/>
        <w:ind w:firstLine="708"/>
        <w:contextualSpacing/>
        <w:jc w:val="right"/>
        <w:rPr>
          <w:rFonts w:ascii="Times New Roman" w:hAnsi="Times New Roman" w:cs="Times New Roman"/>
          <w:sz w:val="26"/>
          <w:szCs w:val="26"/>
        </w:rPr>
      </w:pPr>
      <w:r w:rsidRPr="00C22CCB">
        <w:rPr>
          <w:rFonts w:ascii="Times New Roman" w:hAnsi="Times New Roman" w:cs="Times New Roman"/>
          <w:sz w:val="26"/>
          <w:szCs w:val="26"/>
        </w:rPr>
        <w:t xml:space="preserve">Таблица </w:t>
      </w:r>
      <w:r w:rsidRPr="0000573C">
        <w:rPr>
          <w:rFonts w:ascii="Times New Roman" w:hAnsi="Times New Roman" w:cs="Times New Roman"/>
          <w:sz w:val="26"/>
          <w:szCs w:val="26"/>
        </w:rPr>
        <w:t>3.6.10.1</w:t>
      </w:r>
      <w:r>
        <w:rPr>
          <w:rFonts w:ascii="Times New Roman" w:hAnsi="Times New Roman" w:cs="Times New Roman"/>
          <w:sz w:val="26"/>
          <w:szCs w:val="26"/>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1977"/>
        <w:gridCol w:w="2164"/>
        <w:gridCol w:w="1824"/>
      </w:tblGrid>
      <w:tr w:rsidR="00D73274" w:rsidRPr="00C22CCB" w14:paraId="6139A1A1" w14:textId="77777777" w:rsidTr="00FE1791">
        <w:trPr>
          <w:trHeight w:val="519"/>
        </w:trPr>
        <w:tc>
          <w:tcPr>
            <w:tcW w:w="3397" w:type="dxa"/>
            <w:vMerge w:val="restart"/>
            <w:shd w:val="clear" w:color="auto" w:fill="auto"/>
            <w:vAlign w:val="center"/>
          </w:tcPr>
          <w:p w14:paraId="482CE196"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Лесообразующая порода</w:t>
            </w:r>
          </w:p>
        </w:tc>
        <w:tc>
          <w:tcPr>
            <w:tcW w:w="5948" w:type="dxa"/>
            <w:gridSpan w:val="3"/>
            <w:shd w:val="clear" w:color="auto" w:fill="auto"/>
          </w:tcPr>
          <w:p w14:paraId="7CD70DCE"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Количество лет, через которое насаждения войдут в категорию спелых</w:t>
            </w:r>
          </w:p>
        </w:tc>
      </w:tr>
      <w:tr w:rsidR="00D73274" w:rsidRPr="00C22CCB" w14:paraId="22730D4F" w14:textId="77777777" w:rsidTr="00FE1791">
        <w:tc>
          <w:tcPr>
            <w:tcW w:w="3397" w:type="dxa"/>
            <w:vMerge/>
            <w:shd w:val="clear" w:color="auto" w:fill="auto"/>
          </w:tcPr>
          <w:p w14:paraId="7AFA78D3"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p>
        </w:tc>
        <w:tc>
          <w:tcPr>
            <w:tcW w:w="1985" w:type="dxa"/>
            <w:shd w:val="clear" w:color="auto" w:fill="auto"/>
          </w:tcPr>
          <w:p w14:paraId="75FA2099"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Молодняки</w:t>
            </w:r>
          </w:p>
        </w:tc>
        <w:tc>
          <w:tcPr>
            <w:tcW w:w="2164" w:type="dxa"/>
            <w:shd w:val="clear" w:color="auto" w:fill="auto"/>
          </w:tcPr>
          <w:p w14:paraId="17C187CB"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Средневозрастные</w:t>
            </w:r>
          </w:p>
        </w:tc>
        <w:tc>
          <w:tcPr>
            <w:tcW w:w="1799" w:type="dxa"/>
            <w:shd w:val="clear" w:color="auto" w:fill="auto"/>
          </w:tcPr>
          <w:p w14:paraId="7683341C" w14:textId="77777777" w:rsidR="00D73274" w:rsidRPr="00C22CCB" w:rsidRDefault="00D73274" w:rsidP="00FE1791">
            <w:pPr>
              <w:spacing w:after="0" w:line="276" w:lineRule="auto"/>
              <w:ind w:firstLine="25"/>
              <w:contextualSpacing/>
              <w:jc w:val="both"/>
              <w:rPr>
                <w:rFonts w:ascii="Times New Roman" w:hAnsi="Times New Roman" w:cs="Times New Roman"/>
                <w:sz w:val="24"/>
                <w:szCs w:val="24"/>
              </w:rPr>
            </w:pPr>
            <w:r w:rsidRPr="00C22CCB">
              <w:rPr>
                <w:rFonts w:ascii="Times New Roman" w:hAnsi="Times New Roman" w:cs="Times New Roman"/>
                <w:sz w:val="24"/>
                <w:szCs w:val="24"/>
              </w:rPr>
              <w:t>Приспевающие</w:t>
            </w:r>
          </w:p>
        </w:tc>
      </w:tr>
      <w:tr w:rsidR="00D73274" w:rsidRPr="00C22CCB" w14:paraId="30823AF1" w14:textId="77777777" w:rsidTr="00FE1791">
        <w:tc>
          <w:tcPr>
            <w:tcW w:w="3397" w:type="dxa"/>
            <w:shd w:val="clear" w:color="auto" w:fill="auto"/>
          </w:tcPr>
          <w:p w14:paraId="32D26259"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Сосна</w:t>
            </w:r>
          </w:p>
        </w:tc>
        <w:tc>
          <w:tcPr>
            <w:tcW w:w="1985" w:type="dxa"/>
            <w:shd w:val="clear" w:color="auto" w:fill="auto"/>
          </w:tcPr>
          <w:p w14:paraId="4C13B138"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81</w:t>
            </w:r>
          </w:p>
        </w:tc>
        <w:tc>
          <w:tcPr>
            <w:tcW w:w="2164" w:type="dxa"/>
            <w:shd w:val="clear" w:color="auto" w:fill="auto"/>
          </w:tcPr>
          <w:p w14:paraId="2A8296B9"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21</w:t>
            </w:r>
          </w:p>
        </w:tc>
        <w:tc>
          <w:tcPr>
            <w:tcW w:w="1799" w:type="dxa"/>
            <w:shd w:val="clear" w:color="auto" w:fill="auto"/>
          </w:tcPr>
          <w:p w14:paraId="6EDD07D4"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w:t>
            </w:r>
          </w:p>
        </w:tc>
      </w:tr>
      <w:tr w:rsidR="00D73274" w:rsidRPr="00C22CCB" w14:paraId="6C27F6C9" w14:textId="77777777" w:rsidTr="00FE1791">
        <w:tc>
          <w:tcPr>
            <w:tcW w:w="3397" w:type="dxa"/>
            <w:shd w:val="clear" w:color="auto" w:fill="auto"/>
          </w:tcPr>
          <w:p w14:paraId="0F1BEAD3"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Дуб высокоствольный</w:t>
            </w:r>
          </w:p>
        </w:tc>
        <w:tc>
          <w:tcPr>
            <w:tcW w:w="1985" w:type="dxa"/>
            <w:shd w:val="clear" w:color="auto" w:fill="auto"/>
          </w:tcPr>
          <w:p w14:paraId="3D0C47C4"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101</w:t>
            </w:r>
          </w:p>
        </w:tc>
        <w:tc>
          <w:tcPr>
            <w:tcW w:w="2164" w:type="dxa"/>
            <w:shd w:val="clear" w:color="auto" w:fill="auto"/>
          </w:tcPr>
          <w:p w14:paraId="1B29FD00"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21</w:t>
            </w:r>
          </w:p>
        </w:tc>
        <w:tc>
          <w:tcPr>
            <w:tcW w:w="1799" w:type="dxa"/>
            <w:shd w:val="clear" w:color="auto" w:fill="auto"/>
          </w:tcPr>
          <w:p w14:paraId="34DBB7D3"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w:t>
            </w:r>
          </w:p>
        </w:tc>
      </w:tr>
      <w:tr w:rsidR="00D73274" w:rsidRPr="00C22CCB" w14:paraId="4AF908F1" w14:textId="77777777" w:rsidTr="00FE1791">
        <w:tc>
          <w:tcPr>
            <w:tcW w:w="3397" w:type="dxa"/>
            <w:shd w:val="clear" w:color="auto" w:fill="auto"/>
          </w:tcPr>
          <w:p w14:paraId="543374C1"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Дуб низкоствольный</w:t>
            </w:r>
          </w:p>
        </w:tc>
        <w:tc>
          <w:tcPr>
            <w:tcW w:w="1985" w:type="dxa"/>
            <w:shd w:val="clear" w:color="auto" w:fill="auto"/>
          </w:tcPr>
          <w:p w14:paraId="5512F424"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61</w:t>
            </w:r>
          </w:p>
        </w:tc>
        <w:tc>
          <w:tcPr>
            <w:tcW w:w="2164" w:type="dxa"/>
            <w:shd w:val="clear" w:color="auto" w:fill="auto"/>
          </w:tcPr>
          <w:p w14:paraId="532CF5B9"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11</w:t>
            </w:r>
          </w:p>
        </w:tc>
        <w:tc>
          <w:tcPr>
            <w:tcW w:w="1799" w:type="dxa"/>
            <w:shd w:val="clear" w:color="auto" w:fill="auto"/>
          </w:tcPr>
          <w:p w14:paraId="7EDBA294"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w:t>
            </w:r>
          </w:p>
        </w:tc>
      </w:tr>
      <w:tr w:rsidR="00D73274" w:rsidRPr="00C22CCB" w14:paraId="3786BB41" w14:textId="77777777" w:rsidTr="00FE1791">
        <w:tc>
          <w:tcPr>
            <w:tcW w:w="3397" w:type="dxa"/>
            <w:shd w:val="clear" w:color="auto" w:fill="auto"/>
          </w:tcPr>
          <w:p w14:paraId="4ED8E515"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Ясень</w:t>
            </w:r>
          </w:p>
        </w:tc>
        <w:tc>
          <w:tcPr>
            <w:tcW w:w="1985" w:type="dxa"/>
            <w:shd w:val="clear" w:color="auto" w:fill="auto"/>
          </w:tcPr>
          <w:p w14:paraId="71D9472B"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61</w:t>
            </w:r>
          </w:p>
        </w:tc>
        <w:tc>
          <w:tcPr>
            <w:tcW w:w="2164" w:type="dxa"/>
            <w:shd w:val="clear" w:color="auto" w:fill="auto"/>
          </w:tcPr>
          <w:p w14:paraId="378C3615"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11</w:t>
            </w:r>
          </w:p>
        </w:tc>
        <w:tc>
          <w:tcPr>
            <w:tcW w:w="1799" w:type="dxa"/>
            <w:shd w:val="clear" w:color="auto" w:fill="auto"/>
          </w:tcPr>
          <w:p w14:paraId="1903880B"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w:t>
            </w:r>
          </w:p>
        </w:tc>
      </w:tr>
      <w:tr w:rsidR="00D73274" w:rsidRPr="00C22CCB" w14:paraId="7B483CC9" w14:textId="77777777" w:rsidTr="00FE1791">
        <w:tc>
          <w:tcPr>
            <w:tcW w:w="3397" w:type="dxa"/>
            <w:shd w:val="clear" w:color="auto" w:fill="auto"/>
          </w:tcPr>
          <w:p w14:paraId="46CA7B5D"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Клен</w:t>
            </w:r>
          </w:p>
        </w:tc>
        <w:tc>
          <w:tcPr>
            <w:tcW w:w="1985" w:type="dxa"/>
            <w:shd w:val="clear" w:color="auto" w:fill="auto"/>
          </w:tcPr>
          <w:p w14:paraId="60EB74F3"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61</w:t>
            </w:r>
          </w:p>
        </w:tc>
        <w:tc>
          <w:tcPr>
            <w:tcW w:w="2164" w:type="dxa"/>
            <w:shd w:val="clear" w:color="auto" w:fill="auto"/>
          </w:tcPr>
          <w:p w14:paraId="43F28A22"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11</w:t>
            </w:r>
          </w:p>
        </w:tc>
        <w:tc>
          <w:tcPr>
            <w:tcW w:w="1799" w:type="dxa"/>
            <w:shd w:val="clear" w:color="auto" w:fill="auto"/>
          </w:tcPr>
          <w:p w14:paraId="4AAA1DDB"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w:t>
            </w:r>
          </w:p>
        </w:tc>
      </w:tr>
      <w:tr w:rsidR="00D73274" w:rsidRPr="00C22CCB" w14:paraId="3C59455D" w14:textId="77777777" w:rsidTr="00FE1791">
        <w:tc>
          <w:tcPr>
            <w:tcW w:w="3397" w:type="dxa"/>
            <w:shd w:val="clear" w:color="auto" w:fill="auto"/>
          </w:tcPr>
          <w:p w14:paraId="1D50F03F"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Вяз и другие ильмовые</w:t>
            </w:r>
          </w:p>
        </w:tc>
        <w:tc>
          <w:tcPr>
            <w:tcW w:w="1985" w:type="dxa"/>
            <w:shd w:val="clear" w:color="auto" w:fill="auto"/>
          </w:tcPr>
          <w:p w14:paraId="451D52DD"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61</w:t>
            </w:r>
          </w:p>
        </w:tc>
        <w:tc>
          <w:tcPr>
            <w:tcW w:w="2164" w:type="dxa"/>
            <w:shd w:val="clear" w:color="auto" w:fill="auto"/>
          </w:tcPr>
          <w:p w14:paraId="1100C80C"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11</w:t>
            </w:r>
          </w:p>
        </w:tc>
        <w:tc>
          <w:tcPr>
            <w:tcW w:w="1799" w:type="dxa"/>
            <w:shd w:val="clear" w:color="auto" w:fill="auto"/>
          </w:tcPr>
          <w:p w14:paraId="66072D14"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w:t>
            </w:r>
          </w:p>
        </w:tc>
      </w:tr>
      <w:tr w:rsidR="00D73274" w:rsidRPr="00C22CCB" w14:paraId="54BE56F4" w14:textId="77777777" w:rsidTr="00FE1791">
        <w:tc>
          <w:tcPr>
            <w:tcW w:w="3397" w:type="dxa"/>
            <w:shd w:val="clear" w:color="auto" w:fill="auto"/>
          </w:tcPr>
          <w:p w14:paraId="47C6C63E"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Береза</w:t>
            </w:r>
          </w:p>
        </w:tc>
        <w:tc>
          <w:tcPr>
            <w:tcW w:w="1985" w:type="dxa"/>
            <w:shd w:val="clear" w:color="auto" w:fill="auto"/>
          </w:tcPr>
          <w:p w14:paraId="2FB020FA"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41</w:t>
            </w:r>
          </w:p>
        </w:tc>
        <w:tc>
          <w:tcPr>
            <w:tcW w:w="2164" w:type="dxa"/>
            <w:shd w:val="clear" w:color="auto" w:fill="auto"/>
          </w:tcPr>
          <w:p w14:paraId="12EDD23E"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11</w:t>
            </w:r>
          </w:p>
        </w:tc>
        <w:tc>
          <w:tcPr>
            <w:tcW w:w="1799" w:type="dxa"/>
            <w:shd w:val="clear" w:color="auto" w:fill="auto"/>
          </w:tcPr>
          <w:p w14:paraId="48A74993"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w:t>
            </w:r>
          </w:p>
        </w:tc>
      </w:tr>
      <w:tr w:rsidR="00D73274" w:rsidRPr="00C22CCB" w14:paraId="2F5CD37E" w14:textId="77777777" w:rsidTr="00FE1791">
        <w:tc>
          <w:tcPr>
            <w:tcW w:w="3397" w:type="dxa"/>
            <w:shd w:val="clear" w:color="auto" w:fill="auto"/>
          </w:tcPr>
          <w:p w14:paraId="251AC494"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Осина</w:t>
            </w:r>
          </w:p>
        </w:tc>
        <w:tc>
          <w:tcPr>
            <w:tcW w:w="1985" w:type="dxa"/>
            <w:shd w:val="clear" w:color="auto" w:fill="auto"/>
          </w:tcPr>
          <w:p w14:paraId="0EF437DD"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21</w:t>
            </w:r>
          </w:p>
        </w:tc>
        <w:tc>
          <w:tcPr>
            <w:tcW w:w="2164" w:type="dxa"/>
            <w:shd w:val="clear" w:color="auto" w:fill="auto"/>
          </w:tcPr>
          <w:p w14:paraId="4A0FC172"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11</w:t>
            </w:r>
          </w:p>
        </w:tc>
        <w:tc>
          <w:tcPr>
            <w:tcW w:w="1799" w:type="dxa"/>
            <w:shd w:val="clear" w:color="auto" w:fill="auto"/>
          </w:tcPr>
          <w:p w14:paraId="597D1A0A"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w:t>
            </w:r>
          </w:p>
        </w:tc>
      </w:tr>
      <w:tr w:rsidR="00D73274" w:rsidRPr="00C22CCB" w14:paraId="23AD2704" w14:textId="77777777" w:rsidTr="00FE1791">
        <w:tc>
          <w:tcPr>
            <w:tcW w:w="3397" w:type="dxa"/>
            <w:shd w:val="clear" w:color="auto" w:fill="auto"/>
          </w:tcPr>
          <w:p w14:paraId="172A44CB"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Ольха серая</w:t>
            </w:r>
          </w:p>
        </w:tc>
        <w:tc>
          <w:tcPr>
            <w:tcW w:w="1985" w:type="dxa"/>
            <w:shd w:val="clear" w:color="auto" w:fill="auto"/>
          </w:tcPr>
          <w:p w14:paraId="4B9DE62E"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21</w:t>
            </w:r>
          </w:p>
        </w:tc>
        <w:tc>
          <w:tcPr>
            <w:tcW w:w="2164" w:type="dxa"/>
            <w:shd w:val="clear" w:color="auto" w:fill="auto"/>
          </w:tcPr>
          <w:p w14:paraId="039442AA"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11</w:t>
            </w:r>
          </w:p>
        </w:tc>
        <w:tc>
          <w:tcPr>
            <w:tcW w:w="1799" w:type="dxa"/>
            <w:shd w:val="clear" w:color="auto" w:fill="auto"/>
          </w:tcPr>
          <w:p w14:paraId="69CE1FF7"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w:t>
            </w:r>
          </w:p>
        </w:tc>
      </w:tr>
      <w:tr w:rsidR="00D73274" w:rsidRPr="00C22CCB" w14:paraId="1024CE20" w14:textId="77777777" w:rsidTr="00FE1791">
        <w:tc>
          <w:tcPr>
            <w:tcW w:w="3397" w:type="dxa"/>
            <w:shd w:val="clear" w:color="auto" w:fill="auto"/>
          </w:tcPr>
          <w:p w14:paraId="44BE8797"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Ольха черная</w:t>
            </w:r>
          </w:p>
        </w:tc>
        <w:tc>
          <w:tcPr>
            <w:tcW w:w="1985" w:type="dxa"/>
            <w:shd w:val="clear" w:color="auto" w:fill="auto"/>
          </w:tcPr>
          <w:p w14:paraId="5C647C1A"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31</w:t>
            </w:r>
          </w:p>
        </w:tc>
        <w:tc>
          <w:tcPr>
            <w:tcW w:w="2164" w:type="dxa"/>
            <w:shd w:val="clear" w:color="auto" w:fill="auto"/>
          </w:tcPr>
          <w:p w14:paraId="15F9DFE4"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11</w:t>
            </w:r>
          </w:p>
        </w:tc>
        <w:tc>
          <w:tcPr>
            <w:tcW w:w="1799" w:type="dxa"/>
            <w:shd w:val="clear" w:color="auto" w:fill="auto"/>
          </w:tcPr>
          <w:p w14:paraId="2E0EFDA1"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w:t>
            </w:r>
          </w:p>
        </w:tc>
      </w:tr>
      <w:tr w:rsidR="00D73274" w:rsidRPr="00C22CCB" w14:paraId="110CF708" w14:textId="77777777" w:rsidTr="00FE1791">
        <w:tc>
          <w:tcPr>
            <w:tcW w:w="3397" w:type="dxa"/>
            <w:shd w:val="clear" w:color="auto" w:fill="auto"/>
          </w:tcPr>
          <w:p w14:paraId="6F0463C9"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Липа</w:t>
            </w:r>
          </w:p>
        </w:tc>
        <w:tc>
          <w:tcPr>
            <w:tcW w:w="1985" w:type="dxa"/>
            <w:shd w:val="clear" w:color="auto" w:fill="auto"/>
          </w:tcPr>
          <w:p w14:paraId="1674FEC6"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61</w:t>
            </w:r>
          </w:p>
        </w:tc>
        <w:tc>
          <w:tcPr>
            <w:tcW w:w="2164" w:type="dxa"/>
            <w:shd w:val="clear" w:color="auto" w:fill="auto"/>
          </w:tcPr>
          <w:p w14:paraId="215EA303"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21</w:t>
            </w:r>
          </w:p>
        </w:tc>
        <w:tc>
          <w:tcPr>
            <w:tcW w:w="1799" w:type="dxa"/>
            <w:shd w:val="clear" w:color="auto" w:fill="auto"/>
          </w:tcPr>
          <w:p w14:paraId="46A05C97"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w:t>
            </w:r>
          </w:p>
        </w:tc>
      </w:tr>
      <w:tr w:rsidR="00D73274" w:rsidRPr="00C22CCB" w14:paraId="45C93966" w14:textId="77777777" w:rsidTr="00FE1791">
        <w:tc>
          <w:tcPr>
            <w:tcW w:w="3397" w:type="dxa"/>
            <w:shd w:val="clear" w:color="auto" w:fill="auto"/>
          </w:tcPr>
          <w:p w14:paraId="396DB025"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Тополь</w:t>
            </w:r>
          </w:p>
        </w:tc>
        <w:tc>
          <w:tcPr>
            <w:tcW w:w="1985" w:type="dxa"/>
            <w:shd w:val="clear" w:color="auto" w:fill="auto"/>
          </w:tcPr>
          <w:p w14:paraId="400B44CC"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21</w:t>
            </w:r>
          </w:p>
        </w:tc>
        <w:tc>
          <w:tcPr>
            <w:tcW w:w="2164" w:type="dxa"/>
            <w:shd w:val="clear" w:color="auto" w:fill="auto"/>
          </w:tcPr>
          <w:p w14:paraId="0B5B1949"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11</w:t>
            </w:r>
          </w:p>
        </w:tc>
        <w:tc>
          <w:tcPr>
            <w:tcW w:w="1799" w:type="dxa"/>
            <w:shd w:val="clear" w:color="auto" w:fill="auto"/>
          </w:tcPr>
          <w:p w14:paraId="40E5AA76"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w:t>
            </w:r>
          </w:p>
        </w:tc>
      </w:tr>
      <w:tr w:rsidR="00D73274" w:rsidRPr="00C22CCB" w14:paraId="3352B6B0" w14:textId="77777777" w:rsidTr="00FE1791">
        <w:tc>
          <w:tcPr>
            <w:tcW w:w="3397" w:type="dxa"/>
            <w:shd w:val="clear" w:color="auto" w:fill="auto"/>
          </w:tcPr>
          <w:p w14:paraId="53ABD14D"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Ивы древовидные</w:t>
            </w:r>
          </w:p>
        </w:tc>
        <w:tc>
          <w:tcPr>
            <w:tcW w:w="1985" w:type="dxa"/>
            <w:shd w:val="clear" w:color="auto" w:fill="auto"/>
          </w:tcPr>
          <w:p w14:paraId="01894940"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21</w:t>
            </w:r>
          </w:p>
        </w:tc>
        <w:tc>
          <w:tcPr>
            <w:tcW w:w="2164" w:type="dxa"/>
            <w:shd w:val="clear" w:color="auto" w:fill="auto"/>
          </w:tcPr>
          <w:p w14:paraId="0ACBBA4D"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11</w:t>
            </w:r>
          </w:p>
        </w:tc>
        <w:tc>
          <w:tcPr>
            <w:tcW w:w="1799" w:type="dxa"/>
            <w:shd w:val="clear" w:color="auto" w:fill="auto"/>
          </w:tcPr>
          <w:p w14:paraId="44B6C93B"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w:t>
            </w:r>
          </w:p>
        </w:tc>
      </w:tr>
      <w:tr w:rsidR="00D73274" w:rsidRPr="00C22CCB" w14:paraId="59E0F77B" w14:textId="77777777" w:rsidTr="00034BB4">
        <w:tc>
          <w:tcPr>
            <w:tcW w:w="3397" w:type="dxa"/>
            <w:shd w:val="clear" w:color="auto" w:fill="auto"/>
          </w:tcPr>
          <w:p w14:paraId="07373C6E"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Прочие лесообразующие породы</w:t>
            </w:r>
          </w:p>
        </w:tc>
        <w:tc>
          <w:tcPr>
            <w:tcW w:w="1985" w:type="dxa"/>
            <w:shd w:val="clear" w:color="auto" w:fill="auto"/>
            <w:vAlign w:val="center"/>
          </w:tcPr>
          <w:p w14:paraId="6D160E2B" w14:textId="77777777" w:rsidR="00D73274" w:rsidRPr="00C22CCB" w:rsidRDefault="00D73274" w:rsidP="00034BB4">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41</w:t>
            </w:r>
          </w:p>
        </w:tc>
        <w:tc>
          <w:tcPr>
            <w:tcW w:w="2164" w:type="dxa"/>
            <w:shd w:val="clear" w:color="auto" w:fill="auto"/>
            <w:vAlign w:val="center"/>
          </w:tcPr>
          <w:p w14:paraId="022A6908" w14:textId="77777777" w:rsidR="00D73274" w:rsidRPr="00C22CCB" w:rsidRDefault="00D73274" w:rsidP="00034BB4">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11</w:t>
            </w:r>
          </w:p>
        </w:tc>
        <w:tc>
          <w:tcPr>
            <w:tcW w:w="1799" w:type="dxa"/>
            <w:shd w:val="clear" w:color="auto" w:fill="auto"/>
            <w:vAlign w:val="center"/>
          </w:tcPr>
          <w:p w14:paraId="300C107A" w14:textId="77777777" w:rsidR="00D73274" w:rsidRPr="00C22CCB" w:rsidRDefault="00D73274" w:rsidP="00034BB4">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w:t>
            </w:r>
          </w:p>
        </w:tc>
      </w:tr>
      <w:tr w:rsidR="00D73274" w:rsidRPr="00C22CCB" w14:paraId="4C8F159A" w14:textId="77777777" w:rsidTr="00034BB4">
        <w:tc>
          <w:tcPr>
            <w:tcW w:w="3397" w:type="dxa"/>
            <w:shd w:val="clear" w:color="auto" w:fill="auto"/>
          </w:tcPr>
          <w:p w14:paraId="26830E64" w14:textId="77777777" w:rsidR="00D73274" w:rsidRPr="00C22CCB" w:rsidRDefault="00D73274" w:rsidP="00FE1791">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Прочие древесные породы и кустарники</w:t>
            </w:r>
          </w:p>
        </w:tc>
        <w:tc>
          <w:tcPr>
            <w:tcW w:w="1985" w:type="dxa"/>
            <w:shd w:val="clear" w:color="auto" w:fill="auto"/>
            <w:vAlign w:val="center"/>
          </w:tcPr>
          <w:p w14:paraId="0CCBCA9A" w14:textId="77777777" w:rsidR="00D73274" w:rsidRPr="00C22CCB" w:rsidRDefault="00D73274" w:rsidP="00034BB4">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3</w:t>
            </w:r>
          </w:p>
        </w:tc>
        <w:tc>
          <w:tcPr>
            <w:tcW w:w="2164" w:type="dxa"/>
            <w:shd w:val="clear" w:color="auto" w:fill="auto"/>
            <w:vAlign w:val="center"/>
          </w:tcPr>
          <w:p w14:paraId="0128393C" w14:textId="77777777" w:rsidR="00D73274" w:rsidRPr="00C22CCB" w:rsidRDefault="00D73274" w:rsidP="00034BB4">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2</w:t>
            </w:r>
          </w:p>
        </w:tc>
        <w:tc>
          <w:tcPr>
            <w:tcW w:w="1799" w:type="dxa"/>
            <w:shd w:val="clear" w:color="auto" w:fill="auto"/>
            <w:vAlign w:val="center"/>
          </w:tcPr>
          <w:p w14:paraId="7F286A9D" w14:textId="77777777" w:rsidR="00D73274" w:rsidRPr="00C22CCB" w:rsidRDefault="00D73274" w:rsidP="00034BB4">
            <w:pPr>
              <w:spacing w:after="0" w:line="276" w:lineRule="auto"/>
              <w:ind w:firstLine="25"/>
              <w:contextualSpacing/>
              <w:jc w:val="center"/>
              <w:rPr>
                <w:rFonts w:ascii="Times New Roman" w:hAnsi="Times New Roman" w:cs="Times New Roman"/>
                <w:sz w:val="24"/>
                <w:szCs w:val="24"/>
              </w:rPr>
            </w:pPr>
            <w:r w:rsidRPr="00C22CCB">
              <w:rPr>
                <w:rFonts w:ascii="Times New Roman" w:hAnsi="Times New Roman" w:cs="Times New Roman"/>
                <w:sz w:val="24"/>
                <w:szCs w:val="24"/>
              </w:rPr>
              <w:t>1</w:t>
            </w:r>
          </w:p>
        </w:tc>
      </w:tr>
    </w:tbl>
    <w:p w14:paraId="283C9109"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3694C2D0" w14:textId="77777777" w:rsidR="00D73274" w:rsidRPr="00C22CCB" w:rsidRDefault="00D73274" w:rsidP="00D73274">
      <w:pPr>
        <w:spacing w:after="0" w:line="276" w:lineRule="auto"/>
        <w:contextualSpacing/>
        <w:jc w:val="center"/>
        <w:rPr>
          <w:rFonts w:ascii="Times New Roman" w:hAnsi="Times New Roman" w:cs="Times New Roman"/>
          <w:i/>
          <w:sz w:val="26"/>
          <w:szCs w:val="26"/>
        </w:rPr>
      </w:pPr>
      <w:r w:rsidRPr="00C22CCB">
        <w:rPr>
          <w:rFonts w:ascii="Times New Roman" w:hAnsi="Times New Roman" w:cs="Times New Roman"/>
          <w:i/>
          <w:sz w:val="26"/>
          <w:szCs w:val="26"/>
        </w:rPr>
        <w:t>Определение ставки дисконтирования</w:t>
      </w:r>
    </w:p>
    <w:p w14:paraId="6D85739B"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Ставка капитализации, в общем виде, отражает текущую доходность вложений в объект недвижимости и состоит из двух составляющих - ставки дисконтирования и ставки возврата капитала. Ставка дисконтирования — это уровень доходности вложений в объект без учета изменения стоимости самого объекта. Ставка возврата капитала учитывает изменение стоимости самого объекта в конце срока его эксплуатации и отвечает за возврат вложенных в объект средств.</w:t>
      </w:r>
    </w:p>
    <w:p w14:paraId="33B0FCDE"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Поскольку земля является не изнашиваемым активом, ставка капитализации для земельного участка равна ставке дисконтирования.</w:t>
      </w:r>
    </w:p>
    <w:p w14:paraId="27E1985B"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Ставка капитализации была рассчитана выше и составляет 8,4%.</w:t>
      </w:r>
    </w:p>
    <w:p w14:paraId="149EAE62"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Таким образом, величина ставки дисконтирования, применяемой в данных расчетах, составляет 8,4%.</w:t>
      </w:r>
    </w:p>
    <w:p w14:paraId="2694987B"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p>
    <w:p w14:paraId="2DAA66F9" w14:textId="77777777" w:rsidR="00D73274" w:rsidRPr="00C22CCB" w:rsidRDefault="00D73274" w:rsidP="00D73274">
      <w:pPr>
        <w:spacing w:after="0" w:line="276" w:lineRule="auto"/>
        <w:contextualSpacing/>
        <w:jc w:val="center"/>
        <w:rPr>
          <w:rFonts w:ascii="Times New Roman" w:hAnsi="Times New Roman" w:cs="Times New Roman"/>
          <w:i/>
          <w:sz w:val="26"/>
          <w:szCs w:val="26"/>
        </w:rPr>
      </w:pPr>
      <w:r w:rsidRPr="00C22CCB">
        <w:rPr>
          <w:rFonts w:ascii="Times New Roman" w:hAnsi="Times New Roman" w:cs="Times New Roman"/>
          <w:i/>
          <w:sz w:val="26"/>
          <w:szCs w:val="26"/>
        </w:rPr>
        <w:t>Дисконтирование удельного показателя кадастровой стоимости земель, занятых неспелыми насаждениями по основным лесообразующим породам и оборотам рубки</w:t>
      </w:r>
    </w:p>
    <w:p w14:paraId="7D3D3273"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2FC5575F"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Дисконтирование удельного показателя кадастровой стоимости земель, занятых неспелыми насаждениями по основным лесообразующим породам и оборотам рубки выполняется по формуле:</w:t>
      </w:r>
    </w:p>
    <w:p w14:paraId="40B59913"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11BE4546" w14:textId="77777777" w:rsidR="00D73274" w:rsidRPr="00C22CCB" w:rsidRDefault="00D73274" w:rsidP="00D73274">
      <w:pPr>
        <w:spacing w:after="0" w:line="276" w:lineRule="auto"/>
        <w:ind w:firstLine="708"/>
        <w:contextualSpacing/>
        <w:jc w:val="center"/>
        <w:rPr>
          <w:rFonts w:ascii="Times New Roman" w:hAnsi="Times New Roman" w:cs="Times New Roman"/>
          <w:sz w:val="26"/>
          <w:szCs w:val="26"/>
        </w:rPr>
      </w:pPr>
      <m:oMath>
        <m:r>
          <m:rPr>
            <m:sty m:val="p"/>
          </m:rPr>
          <w:rPr>
            <w:rFonts w:ascii="Cambria Math" w:hAnsi="Cambria Math" w:cs="Times New Roman"/>
            <w:sz w:val="26"/>
            <w:szCs w:val="26"/>
          </w:rPr>
          <m:t>УПКС=</m:t>
        </m:r>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УПКС</m:t>
                </m:r>
              </m:e>
              <m:sub>
                <m:r>
                  <m:rPr>
                    <m:sty m:val="p"/>
                  </m:rPr>
                  <w:rPr>
                    <w:rFonts w:ascii="Cambria Math" w:hAnsi="Cambria Math" w:cs="Times New Roman"/>
                    <w:sz w:val="26"/>
                    <w:szCs w:val="26"/>
                  </w:rPr>
                  <m:t>спел</m:t>
                </m:r>
              </m:sub>
            </m:sSub>
          </m:num>
          <m:den>
            <m:sSup>
              <m:sSupPr>
                <m:ctrlPr>
                  <w:rPr>
                    <w:rFonts w:ascii="Cambria Math" w:hAnsi="Cambria Math" w:cs="Times New Roman"/>
                    <w:sz w:val="26"/>
                    <w:szCs w:val="26"/>
                  </w:rPr>
                </m:ctrlPr>
              </m:sSupPr>
              <m:e>
                <m:d>
                  <m:dPr>
                    <m:ctrlPr>
                      <w:rPr>
                        <w:rFonts w:ascii="Cambria Math" w:hAnsi="Cambria Math" w:cs="Times New Roman"/>
                        <w:sz w:val="26"/>
                        <w:szCs w:val="26"/>
                      </w:rPr>
                    </m:ctrlPr>
                  </m:dPr>
                  <m:e>
                    <m:r>
                      <m:rPr>
                        <m:sty m:val="p"/>
                      </m:rPr>
                      <w:rPr>
                        <w:rFonts w:ascii="Cambria Math" w:hAnsi="Cambria Math" w:cs="Times New Roman"/>
                        <w:sz w:val="26"/>
                        <w:szCs w:val="26"/>
                      </w:rPr>
                      <m:t>1+</m:t>
                    </m:r>
                    <m:sSub>
                      <m:sSubPr>
                        <m:ctrlPr>
                          <w:rPr>
                            <w:rFonts w:ascii="Cambria Math" w:hAnsi="Cambria Math" w:cs="Times New Roman"/>
                            <w:sz w:val="26"/>
                            <w:szCs w:val="26"/>
                          </w:rPr>
                        </m:ctrlPr>
                      </m:sSubPr>
                      <m:e>
                        <m:r>
                          <m:rPr>
                            <m:sty m:val="p"/>
                          </m:rPr>
                          <w:rPr>
                            <w:rFonts w:ascii="Cambria Math" w:hAnsi="Cambria Math" w:cs="Times New Roman"/>
                            <w:sz w:val="26"/>
                            <w:szCs w:val="26"/>
                          </w:rPr>
                          <m:t>С</m:t>
                        </m:r>
                      </m:e>
                      <m:sub>
                        <m:r>
                          <m:rPr>
                            <m:sty m:val="p"/>
                          </m:rPr>
                          <w:rPr>
                            <w:rFonts w:ascii="Cambria Math" w:hAnsi="Cambria Math" w:cs="Times New Roman"/>
                            <w:sz w:val="26"/>
                            <w:szCs w:val="26"/>
                          </w:rPr>
                          <m:t>д</m:t>
                        </m:r>
                      </m:sub>
                    </m:sSub>
                  </m:e>
                </m:d>
              </m:e>
              <m:sup>
                <m:r>
                  <m:rPr>
                    <m:sty m:val="p"/>
                  </m:rPr>
                  <w:rPr>
                    <w:rFonts w:ascii="Cambria Math" w:hAnsi="Cambria Math" w:cs="Times New Roman"/>
                    <w:sz w:val="26"/>
                    <w:szCs w:val="26"/>
                  </w:rPr>
                  <m:t>N</m:t>
                </m:r>
              </m:sup>
            </m:sSup>
          </m:den>
        </m:f>
      </m:oMath>
      <w:r w:rsidRPr="00C22CCB">
        <w:rPr>
          <w:rFonts w:ascii="Times New Roman" w:hAnsi="Times New Roman" w:cs="Times New Roman"/>
          <w:sz w:val="26"/>
          <w:szCs w:val="26"/>
        </w:rPr>
        <w:t xml:space="preserve"> </w:t>
      </w:r>
      <w:r w:rsidRPr="00671F60">
        <w:rPr>
          <w:rFonts w:ascii="Times New Roman" w:hAnsi="Times New Roman" w:cs="Times New Roman"/>
          <w:sz w:val="26"/>
          <w:szCs w:val="26"/>
        </w:rPr>
        <w:t>, где</w:t>
      </w:r>
    </w:p>
    <w:p w14:paraId="4B7439F6"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УПКС - удельный показатель кадастровой стоимости земель, занятых неспелыми насаждениями по основным лесообразующим породам и оборотам рубки, руб./га;</w:t>
      </w:r>
    </w:p>
    <w:p w14:paraId="44E080A9"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Сд – ставка дисконтирования, %;</w:t>
      </w:r>
    </w:p>
    <w:p w14:paraId="73B4BB9E" w14:textId="77777777" w:rsidR="00D73274" w:rsidRPr="00671F60" w:rsidRDefault="00D73274" w:rsidP="00D73274">
      <w:pPr>
        <w:spacing w:after="0" w:line="276" w:lineRule="auto"/>
        <w:ind w:firstLine="708"/>
        <w:contextualSpacing/>
        <w:jc w:val="both"/>
        <w:rPr>
          <w:rFonts w:ascii="Times New Roman" w:hAnsi="Times New Roman" w:cs="Times New Roman"/>
          <w:sz w:val="26"/>
          <w:szCs w:val="26"/>
        </w:rPr>
      </w:pPr>
      <w:r w:rsidRPr="00671F60">
        <w:rPr>
          <w:rFonts w:ascii="Times New Roman" w:hAnsi="Times New Roman" w:cs="Times New Roman"/>
          <w:sz w:val="26"/>
          <w:szCs w:val="26"/>
        </w:rPr>
        <w:t>N - количество лет, через которое насаждения войдут в категорию спелых.</w:t>
      </w:r>
    </w:p>
    <w:p w14:paraId="778E8FA3"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 xml:space="preserve">Расчет дисконтированного удельного показателя кадастровой стоимости земель, занятых спелыми насаждениями по основным лесообразующим породам и оборотам рубки представлен в </w:t>
      </w:r>
      <w:r w:rsidRPr="0000573C">
        <w:rPr>
          <w:rFonts w:ascii="Times New Roman" w:hAnsi="Times New Roman" w:cs="Times New Roman"/>
          <w:sz w:val="26"/>
          <w:szCs w:val="26"/>
        </w:rPr>
        <w:t>Приложени</w:t>
      </w:r>
      <w:r>
        <w:rPr>
          <w:rFonts w:ascii="Times New Roman" w:hAnsi="Times New Roman" w:cs="Times New Roman"/>
          <w:sz w:val="26"/>
          <w:szCs w:val="26"/>
        </w:rPr>
        <w:t>и</w:t>
      </w:r>
      <w:r w:rsidRPr="0000573C">
        <w:rPr>
          <w:rFonts w:ascii="Times New Roman" w:hAnsi="Times New Roman" w:cs="Times New Roman"/>
          <w:sz w:val="26"/>
          <w:szCs w:val="26"/>
        </w:rPr>
        <w:t xml:space="preserve"> </w:t>
      </w:r>
      <w:r w:rsidRPr="00C22CCB">
        <w:rPr>
          <w:rFonts w:ascii="Times New Roman" w:hAnsi="Times New Roman" w:cs="Times New Roman"/>
          <w:sz w:val="26"/>
          <w:szCs w:val="26"/>
        </w:rPr>
        <w:t>2/2.4</w:t>
      </w:r>
      <w:r>
        <w:rPr>
          <w:rFonts w:ascii="Times New Roman" w:hAnsi="Times New Roman" w:cs="Times New Roman"/>
          <w:sz w:val="26"/>
          <w:szCs w:val="26"/>
        </w:rPr>
        <w:t>/2.4.10</w:t>
      </w:r>
      <w:r w:rsidRPr="0000573C">
        <w:rPr>
          <w:rFonts w:ascii="Times New Roman" w:hAnsi="Times New Roman" w:cs="Times New Roman"/>
          <w:sz w:val="26"/>
          <w:szCs w:val="26"/>
        </w:rPr>
        <w:t>.</w:t>
      </w:r>
    </w:p>
    <w:p w14:paraId="77FF3941" w14:textId="77777777" w:rsidR="00D6615B" w:rsidRDefault="00D6615B" w:rsidP="00D73274">
      <w:pPr>
        <w:spacing w:after="0" w:line="276" w:lineRule="auto"/>
        <w:contextualSpacing/>
        <w:jc w:val="center"/>
        <w:rPr>
          <w:rFonts w:ascii="Times New Roman" w:hAnsi="Times New Roman" w:cs="Times New Roman"/>
          <w:i/>
          <w:sz w:val="26"/>
          <w:szCs w:val="26"/>
        </w:rPr>
      </w:pPr>
    </w:p>
    <w:p w14:paraId="7C466111" w14:textId="715D96EA" w:rsidR="00D6615B" w:rsidRDefault="00D6615B" w:rsidP="00D73274">
      <w:pPr>
        <w:spacing w:after="0" w:line="276" w:lineRule="auto"/>
        <w:contextualSpacing/>
        <w:jc w:val="center"/>
        <w:rPr>
          <w:rFonts w:ascii="Times New Roman" w:hAnsi="Times New Roman" w:cs="Times New Roman"/>
          <w:i/>
          <w:sz w:val="26"/>
          <w:szCs w:val="26"/>
        </w:rPr>
      </w:pPr>
    </w:p>
    <w:p w14:paraId="2E7388D8" w14:textId="2155876F" w:rsidR="00114501" w:rsidRDefault="00114501" w:rsidP="00D73274">
      <w:pPr>
        <w:spacing w:after="0" w:line="276" w:lineRule="auto"/>
        <w:contextualSpacing/>
        <w:jc w:val="center"/>
        <w:rPr>
          <w:rFonts w:ascii="Times New Roman" w:hAnsi="Times New Roman" w:cs="Times New Roman"/>
          <w:i/>
          <w:sz w:val="26"/>
          <w:szCs w:val="26"/>
        </w:rPr>
      </w:pPr>
    </w:p>
    <w:p w14:paraId="6939734E" w14:textId="77777777" w:rsidR="00114501" w:rsidRDefault="00114501" w:rsidP="00D73274">
      <w:pPr>
        <w:spacing w:after="0" w:line="276" w:lineRule="auto"/>
        <w:contextualSpacing/>
        <w:jc w:val="center"/>
        <w:rPr>
          <w:rFonts w:ascii="Times New Roman" w:hAnsi="Times New Roman" w:cs="Times New Roman"/>
          <w:i/>
          <w:sz w:val="26"/>
          <w:szCs w:val="26"/>
        </w:rPr>
      </w:pPr>
    </w:p>
    <w:p w14:paraId="033A1B2F" w14:textId="15446794" w:rsidR="00D73274" w:rsidRPr="00C22CCB" w:rsidRDefault="00D73274" w:rsidP="00D73274">
      <w:pPr>
        <w:spacing w:after="0" w:line="276" w:lineRule="auto"/>
        <w:contextualSpacing/>
        <w:jc w:val="center"/>
        <w:rPr>
          <w:rFonts w:ascii="Times New Roman" w:hAnsi="Times New Roman" w:cs="Times New Roman"/>
          <w:i/>
          <w:sz w:val="26"/>
          <w:szCs w:val="26"/>
        </w:rPr>
      </w:pPr>
      <w:r w:rsidRPr="00C22CCB">
        <w:rPr>
          <w:rFonts w:ascii="Times New Roman" w:hAnsi="Times New Roman" w:cs="Times New Roman"/>
          <w:i/>
          <w:sz w:val="26"/>
          <w:szCs w:val="26"/>
        </w:rPr>
        <w:t>Определение площадей спелых и неспелых насаждений по основным лесообразующим породам и оборотам рубки</w:t>
      </w:r>
    </w:p>
    <w:p w14:paraId="67319DE2"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7582CFB3"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Определение площадей спелых и неспелых насаждений по основным лесообразующим породам и оборотам рубки основано на информации из Формы 2-ГЛР «Распределение площади лесов и запасов древесины по преобладающим породам и группам возраста», предоставленной Управлением лесного хозяйства Воронежской области (</w:t>
      </w:r>
      <w:r>
        <w:rPr>
          <w:rFonts w:ascii="Times New Roman" w:hAnsi="Times New Roman" w:cs="Times New Roman"/>
          <w:sz w:val="26"/>
          <w:szCs w:val="26"/>
        </w:rPr>
        <w:t>Приложение</w:t>
      </w:r>
      <w:r w:rsidRPr="00C45ED3">
        <w:rPr>
          <w:rFonts w:ascii="Times New Roman" w:eastAsiaTheme="minorEastAsia" w:hAnsi="Times New Roman" w:cs="Times New Roman"/>
          <w:sz w:val="26"/>
          <w:szCs w:val="26"/>
        </w:rPr>
        <w:t xml:space="preserve"> 1/1.2/1.2.1/1</w:t>
      </w:r>
      <w:r w:rsidRPr="00A65E76">
        <w:rPr>
          <w:rFonts w:ascii="Times New Roman" w:eastAsiaTheme="minorEastAsia" w:hAnsi="Times New Roman" w:cs="Times New Roman"/>
          <w:sz w:val="26"/>
          <w:szCs w:val="26"/>
        </w:rPr>
        <w:t>.2.1.7</w:t>
      </w:r>
      <w:r w:rsidRPr="00A65E76">
        <w:rPr>
          <w:rFonts w:ascii="Times New Roman" w:hAnsi="Times New Roman" w:cs="Times New Roman"/>
          <w:sz w:val="26"/>
          <w:szCs w:val="26"/>
        </w:rPr>
        <w:t>).</w:t>
      </w:r>
    </w:p>
    <w:p w14:paraId="36670CC0"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2A60EC01" w14:textId="77777777" w:rsidR="00D73274" w:rsidRPr="007237DE" w:rsidRDefault="00D73274" w:rsidP="00D73274">
      <w:pPr>
        <w:spacing w:after="0" w:line="276" w:lineRule="auto"/>
        <w:contextualSpacing/>
        <w:jc w:val="center"/>
        <w:rPr>
          <w:rFonts w:ascii="Times New Roman" w:hAnsi="Times New Roman" w:cs="Times New Roman"/>
          <w:i/>
          <w:sz w:val="26"/>
          <w:szCs w:val="26"/>
        </w:rPr>
      </w:pPr>
      <w:r w:rsidRPr="007237DE">
        <w:rPr>
          <w:rFonts w:ascii="Times New Roman" w:hAnsi="Times New Roman" w:cs="Times New Roman"/>
          <w:i/>
          <w:sz w:val="26"/>
          <w:szCs w:val="26"/>
        </w:rPr>
        <w:t>Определение кадастровой стоимости земель лесного фонда</w:t>
      </w:r>
      <w:bookmarkStart w:id="278" w:name="_Hlk40262701"/>
      <w:r w:rsidRPr="007237DE">
        <w:rPr>
          <w:rFonts w:ascii="Times New Roman" w:hAnsi="Times New Roman" w:cs="Times New Roman"/>
          <w:i/>
          <w:sz w:val="26"/>
          <w:szCs w:val="26"/>
        </w:rPr>
        <w:t>, занятых спелыми и неспелыми насаждениями по основным лесообразующим породам и оборотам рубки</w:t>
      </w:r>
      <w:bookmarkEnd w:id="278"/>
    </w:p>
    <w:p w14:paraId="634ABC6D"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452B882D"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Определение кадастровой стоимости земель выполняется по формуле:</w:t>
      </w:r>
    </w:p>
    <w:p w14:paraId="426C7939" w14:textId="77777777" w:rsidR="00D73274" w:rsidRPr="00C22CCB" w:rsidRDefault="00D73274" w:rsidP="00D73274">
      <w:pPr>
        <w:spacing w:after="0" w:line="276" w:lineRule="auto"/>
        <w:ind w:firstLine="708"/>
        <w:contextualSpacing/>
        <w:jc w:val="center"/>
        <w:rPr>
          <w:rFonts w:ascii="Times New Roman" w:hAnsi="Times New Roman" w:cs="Times New Roman"/>
          <w:sz w:val="26"/>
          <w:szCs w:val="26"/>
        </w:rPr>
      </w:pPr>
      <m:oMath>
        <m:r>
          <m:rPr>
            <m:sty m:val="p"/>
          </m:rPr>
          <w:rPr>
            <w:rFonts w:ascii="Cambria Math" w:hAnsi="Cambria Math" w:cs="Times New Roman"/>
            <w:sz w:val="26"/>
            <w:szCs w:val="26"/>
          </w:rPr>
          <m:t>КС=S*УПКС</m:t>
        </m:r>
      </m:oMath>
      <w:r w:rsidRPr="00C22CCB">
        <w:rPr>
          <w:rFonts w:ascii="Times New Roman" w:hAnsi="Times New Roman" w:cs="Times New Roman"/>
          <w:sz w:val="26"/>
          <w:szCs w:val="26"/>
        </w:rPr>
        <w:t>, где</w:t>
      </w:r>
    </w:p>
    <w:p w14:paraId="244D29DE"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КС – кадастровая стоимость земель лесного фонда, занятых спелыми и неспелыми насаждениями по основным лесообразующим породам и оборотам рубки, руб.;</w:t>
      </w:r>
    </w:p>
    <w:p w14:paraId="3F4BE9CA"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S – площадь земель лесного фонда, занятых спелыми и неспелыми насаждениями по основным лесообразующим породам и оборотам рубки, га;</w:t>
      </w:r>
    </w:p>
    <w:p w14:paraId="5E54B070"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УПКС – удельный показатель кадастровой стоимости земель лесного фонда, занятых спелыми и неспелыми насаждениями по основным лесообразующим породам и оборотам рубки, руб./га.</w:t>
      </w:r>
    </w:p>
    <w:p w14:paraId="7201B285"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 xml:space="preserve">Расчет кадастровой стоимости земель лесного фонда, занятых спелыми и неспелыми насаждениями по основным лесообразующим породам и оборотам рубки представлен в </w:t>
      </w:r>
      <w:r w:rsidRPr="0000573C">
        <w:rPr>
          <w:rFonts w:ascii="Times New Roman" w:hAnsi="Times New Roman" w:cs="Times New Roman"/>
          <w:sz w:val="26"/>
          <w:szCs w:val="26"/>
        </w:rPr>
        <w:t>Приложени</w:t>
      </w:r>
      <w:r>
        <w:rPr>
          <w:rFonts w:ascii="Times New Roman" w:hAnsi="Times New Roman" w:cs="Times New Roman"/>
          <w:sz w:val="26"/>
          <w:szCs w:val="26"/>
        </w:rPr>
        <w:t>и</w:t>
      </w:r>
      <w:r w:rsidRPr="0000573C">
        <w:rPr>
          <w:rFonts w:ascii="Times New Roman" w:hAnsi="Times New Roman" w:cs="Times New Roman"/>
          <w:sz w:val="26"/>
          <w:szCs w:val="26"/>
        </w:rPr>
        <w:t xml:space="preserve"> </w:t>
      </w:r>
      <w:r w:rsidRPr="00C22CCB">
        <w:rPr>
          <w:rFonts w:ascii="Times New Roman" w:hAnsi="Times New Roman" w:cs="Times New Roman"/>
          <w:sz w:val="26"/>
          <w:szCs w:val="26"/>
        </w:rPr>
        <w:t>2/2.4</w:t>
      </w:r>
      <w:r>
        <w:rPr>
          <w:rFonts w:ascii="Times New Roman" w:hAnsi="Times New Roman" w:cs="Times New Roman"/>
          <w:sz w:val="26"/>
          <w:szCs w:val="26"/>
        </w:rPr>
        <w:t>/2.4.10.</w:t>
      </w:r>
    </w:p>
    <w:p w14:paraId="462A7F7E" w14:textId="77777777" w:rsidR="00D73274" w:rsidRPr="007237DE" w:rsidRDefault="00D73274" w:rsidP="00D73274">
      <w:pPr>
        <w:spacing w:after="0" w:line="276" w:lineRule="auto"/>
        <w:ind w:firstLine="708"/>
        <w:contextualSpacing/>
        <w:jc w:val="center"/>
        <w:rPr>
          <w:rFonts w:ascii="Times New Roman" w:hAnsi="Times New Roman" w:cs="Times New Roman"/>
          <w:i/>
          <w:sz w:val="26"/>
          <w:szCs w:val="26"/>
        </w:rPr>
      </w:pPr>
    </w:p>
    <w:p w14:paraId="6769E342" w14:textId="77777777" w:rsidR="00D73274" w:rsidRPr="007237DE" w:rsidRDefault="00D73274" w:rsidP="00D73274">
      <w:pPr>
        <w:spacing w:after="0" w:line="276" w:lineRule="auto"/>
        <w:contextualSpacing/>
        <w:jc w:val="center"/>
        <w:rPr>
          <w:rFonts w:ascii="Times New Roman" w:hAnsi="Times New Roman" w:cs="Times New Roman"/>
          <w:i/>
          <w:sz w:val="26"/>
          <w:szCs w:val="26"/>
        </w:rPr>
      </w:pPr>
      <w:r w:rsidRPr="007237DE">
        <w:rPr>
          <w:rFonts w:ascii="Times New Roman" w:hAnsi="Times New Roman" w:cs="Times New Roman"/>
          <w:i/>
          <w:sz w:val="26"/>
          <w:szCs w:val="26"/>
        </w:rPr>
        <w:t>Определение удельного показателя кадастровой стоимости земель лесничеств субъекта РФ</w:t>
      </w:r>
    </w:p>
    <w:p w14:paraId="644036B0"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p>
    <w:p w14:paraId="0E7EE45E" w14:textId="77777777" w:rsidR="00D73274" w:rsidRPr="00C22CCB" w:rsidRDefault="00FF7453" w:rsidP="00D73274">
      <w:pPr>
        <w:spacing w:after="0" w:line="276" w:lineRule="auto"/>
        <w:ind w:firstLine="708"/>
        <w:contextualSpacing/>
        <w:jc w:val="center"/>
        <w:rPr>
          <w:rFonts w:ascii="Times New Roman" w:hAnsi="Times New Roman" w:cs="Times New Roman"/>
          <w:sz w:val="26"/>
          <w:szCs w:val="26"/>
        </w:rPr>
      </w:pPr>
      <m:oMath>
        <m:sSub>
          <m:sSubPr>
            <m:ctrlPr>
              <w:rPr>
                <w:rFonts w:ascii="Cambria Math" w:hAnsi="Cambria Math" w:cs="Times New Roman"/>
                <w:sz w:val="26"/>
                <w:szCs w:val="26"/>
              </w:rPr>
            </m:ctrlPr>
          </m:sSubPr>
          <m:e>
            <m:r>
              <m:rPr>
                <m:sty m:val="p"/>
              </m:rPr>
              <w:rPr>
                <w:rFonts w:ascii="Cambria Math" w:hAnsi="Cambria Math" w:cs="Times New Roman"/>
                <w:sz w:val="26"/>
                <w:szCs w:val="26"/>
              </w:rPr>
              <m:t>УПКС</m:t>
            </m:r>
          </m:e>
          <m:sub>
            <m:r>
              <m:rPr>
                <m:sty m:val="p"/>
              </m:rPr>
              <w:rPr>
                <w:rFonts w:ascii="Cambria Math" w:hAnsi="Cambria Math" w:cs="Times New Roman"/>
                <w:sz w:val="26"/>
                <w:szCs w:val="26"/>
              </w:rPr>
              <m:t>лесничества</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КС</m:t>
            </m:r>
          </m:e>
          <m:sub>
            <m:r>
              <m:rPr>
                <m:sty m:val="p"/>
              </m:rPr>
              <w:rPr>
                <w:rFonts w:ascii="Cambria Math" w:hAnsi="Cambria Math" w:cs="Times New Roman"/>
                <w:sz w:val="26"/>
                <w:szCs w:val="26"/>
              </w:rPr>
              <m:t>лесничества</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S</m:t>
            </m:r>
          </m:e>
          <m:sub>
            <m:r>
              <m:rPr>
                <m:sty m:val="p"/>
              </m:rPr>
              <w:rPr>
                <w:rFonts w:ascii="Cambria Math" w:hAnsi="Cambria Math" w:cs="Times New Roman"/>
                <w:sz w:val="26"/>
                <w:szCs w:val="26"/>
              </w:rPr>
              <m:t>лесничества</m:t>
            </m:r>
          </m:sub>
        </m:sSub>
      </m:oMath>
      <w:r w:rsidR="00D73274" w:rsidRPr="00C22CCB">
        <w:rPr>
          <w:rFonts w:ascii="Times New Roman" w:hAnsi="Times New Roman" w:cs="Times New Roman"/>
          <w:sz w:val="26"/>
          <w:szCs w:val="26"/>
        </w:rPr>
        <w:t>, где</w:t>
      </w:r>
    </w:p>
    <w:p w14:paraId="1B6860C1"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УПКС</w:t>
      </w:r>
      <w:r w:rsidRPr="00D946E6">
        <w:rPr>
          <w:rFonts w:ascii="Times New Roman" w:hAnsi="Times New Roman" w:cs="Times New Roman"/>
          <w:sz w:val="18"/>
          <w:szCs w:val="26"/>
        </w:rPr>
        <w:t xml:space="preserve">лесничества </w:t>
      </w:r>
      <w:r w:rsidRPr="00C22CCB">
        <w:rPr>
          <w:rFonts w:ascii="Times New Roman" w:hAnsi="Times New Roman" w:cs="Times New Roman"/>
          <w:sz w:val="26"/>
          <w:szCs w:val="26"/>
        </w:rPr>
        <w:t>– удельный показатель кадастровой стоимости земель лесничества, руб./га;</w:t>
      </w:r>
    </w:p>
    <w:p w14:paraId="0E548C8E"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КС</w:t>
      </w:r>
      <w:r w:rsidRPr="00D946E6">
        <w:rPr>
          <w:rFonts w:ascii="Times New Roman" w:hAnsi="Times New Roman" w:cs="Times New Roman"/>
          <w:sz w:val="18"/>
          <w:szCs w:val="26"/>
        </w:rPr>
        <w:t>лесничества</w:t>
      </w:r>
      <w:r w:rsidRPr="00C22CCB">
        <w:rPr>
          <w:rFonts w:ascii="Times New Roman" w:hAnsi="Times New Roman" w:cs="Times New Roman"/>
          <w:sz w:val="26"/>
          <w:szCs w:val="26"/>
        </w:rPr>
        <w:t xml:space="preserve"> – кадастровая стоимость земель лесничества, руб.;</w:t>
      </w:r>
    </w:p>
    <w:p w14:paraId="5CA0DF27"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S</w:t>
      </w:r>
      <w:r w:rsidRPr="00D946E6">
        <w:rPr>
          <w:rFonts w:ascii="Times New Roman" w:hAnsi="Times New Roman" w:cs="Times New Roman"/>
          <w:sz w:val="18"/>
          <w:szCs w:val="26"/>
        </w:rPr>
        <w:t>лесничества</w:t>
      </w:r>
      <w:r w:rsidRPr="00C22CCB">
        <w:rPr>
          <w:rFonts w:ascii="Times New Roman" w:hAnsi="Times New Roman" w:cs="Times New Roman"/>
          <w:sz w:val="26"/>
          <w:szCs w:val="26"/>
        </w:rPr>
        <w:t xml:space="preserve"> – площадь земель лесничества, га.</w:t>
      </w:r>
    </w:p>
    <w:p w14:paraId="229DC485" w14:textId="77777777" w:rsidR="00D73274" w:rsidRPr="00C22CCB" w:rsidRDefault="00D73274" w:rsidP="00D73274">
      <w:pPr>
        <w:spacing w:after="0" w:line="276" w:lineRule="auto"/>
        <w:ind w:firstLine="708"/>
        <w:contextualSpacing/>
        <w:jc w:val="both"/>
        <w:rPr>
          <w:rFonts w:ascii="Times New Roman" w:hAnsi="Times New Roman" w:cs="Times New Roman"/>
          <w:sz w:val="26"/>
          <w:szCs w:val="26"/>
        </w:rPr>
      </w:pPr>
      <w:r w:rsidRPr="00C22CCB">
        <w:rPr>
          <w:rFonts w:ascii="Times New Roman" w:hAnsi="Times New Roman" w:cs="Times New Roman"/>
          <w:sz w:val="26"/>
          <w:szCs w:val="26"/>
        </w:rPr>
        <w:t xml:space="preserve">Расчет удельного показателя кадастровой стоимости земель лесничеств </w:t>
      </w:r>
      <w:r w:rsidRPr="0000573C">
        <w:rPr>
          <w:rFonts w:ascii="Times New Roman" w:hAnsi="Times New Roman" w:cs="Times New Roman"/>
          <w:sz w:val="26"/>
          <w:szCs w:val="26"/>
        </w:rPr>
        <w:t>Воронежской области представлен в Приложени</w:t>
      </w:r>
      <w:r>
        <w:rPr>
          <w:rFonts w:ascii="Times New Roman" w:hAnsi="Times New Roman" w:cs="Times New Roman"/>
          <w:sz w:val="26"/>
          <w:szCs w:val="26"/>
        </w:rPr>
        <w:t>и</w:t>
      </w:r>
      <w:r w:rsidRPr="0000573C">
        <w:rPr>
          <w:rFonts w:ascii="Times New Roman" w:hAnsi="Times New Roman" w:cs="Times New Roman"/>
          <w:sz w:val="26"/>
          <w:szCs w:val="26"/>
        </w:rPr>
        <w:t xml:space="preserve"> </w:t>
      </w:r>
      <w:r w:rsidRPr="00C22CCB">
        <w:rPr>
          <w:rFonts w:ascii="Times New Roman" w:hAnsi="Times New Roman" w:cs="Times New Roman"/>
          <w:sz w:val="26"/>
          <w:szCs w:val="26"/>
        </w:rPr>
        <w:t>2/2.4</w:t>
      </w:r>
      <w:r>
        <w:rPr>
          <w:rFonts w:ascii="Times New Roman" w:hAnsi="Times New Roman" w:cs="Times New Roman"/>
          <w:sz w:val="26"/>
          <w:szCs w:val="26"/>
        </w:rPr>
        <w:t>/2.4.10</w:t>
      </w:r>
      <w:r w:rsidRPr="0000573C">
        <w:rPr>
          <w:rFonts w:ascii="Times New Roman" w:hAnsi="Times New Roman" w:cs="Times New Roman"/>
          <w:sz w:val="26"/>
          <w:szCs w:val="26"/>
        </w:rPr>
        <w:t>, результаты показаны в таблице 3.6.10.1</w:t>
      </w:r>
      <w:r w:rsidRPr="00C22CCB">
        <w:rPr>
          <w:rFonts w:ascii="Times New Roman" w:hAnsi="Times New Roman" w:cs="Times New Roman"/>
          <w:sz w:val="26"/>
          <w:szCs w:val="26"/>
        </w:rPr>
        <w:t>.</w:t>
      </w:r>
      <w:r>
        <w:rPr>
          <w:rFonts w:ascii="Times New Roman" w:hAnsi="Times New Roman" w:cs="Times New Roman"/>
          <w:sz w:val="26"/>
          <w:szCs w:val="26"/>
        </w:rPr>
        <w:t>3.</w:t>
      </w:r>
    </w:p>
    <w:p w14:paraId="1988E4A1" w14:textId="7AB38B28" w:rsidR="00D73274" w:rsidRDefault="00D73274" w:rsidP="00D73274">
      <w:pPr>
        <w:spacing w:after="0" w:line="276" w:lineRule="auto"/>
        <w:ind w:firstLine="708"/>
        <w:contextualSpacing/>
        <w:jc w:val="both"/>
        <w:rPr>
          <w:rFonts w:ascii="Times New Roman" w:hAnsi="Times New Roman" w:cs="Times New Roman"/>
          <w:sz w:val="26"/>
          <w:szCs w:val="26"/>
        </w:rPr>
      </w:pPr>
    </w:p>
    <w:p w14:paraId="54EE6BFA" w14:textId="59B125C4" w:rsidR="00034BB4" w:rsidRDefault="00034BB4" w:rsidP="00D73274">
      <w:pPr>
        <w:spacing w:after="0" w:line="276" w:lineRule="auto"/>
        <w:ind w:firstLine="708"/>
        <w:contextualSpacing/>
        <w:jc w:val="both"/>
        <w:rPr>
          <w:rFonts w:ascii="Times New Roman" w:hAnsi="Times New Roman" w:cs="Times New Roman"/>
          <w:sz w:val="26"/>
          <w:szCs w:val="26"/>
        </w:rPr>
      </w:pPr>
    </w:p>
    <w:p w14:paraId="7C02C922" w14:textId="11EB2400" w:rsidR="00034BB4" w:rsidRDefault="00034BB4" w:rsidP="00D73274">
      <w:pPr>
        <w:spacing w:after="0" w:line="276" w:lineRule="auto"/>
        <w:ind w:firstLine="708"/>
        <w:contextualSpacing/>
        <w:jc w:val="both"/>
        <w:rPr>
          <w:rFonts w:ascii="Times New Roman" w:hAnsi="Times New Roman" w:cs="Times New Roman"/>
          <w:sz w:val="26"/>
          <w:szCs w:val="26"/>
        </w:rPr>
      </w:pPr>
    </w:p>
    <w:p w14:paraId="04D0D737" w14:textId="77777777" w:rsidR="00034BB4" w:rsidRDefault="00034BB4" w:rsidP="00D73274">
      <w:pPr>
        <w:spacing w:after="0" w:line="276" w:lineRule="auto"/>
        <w:ind w:firstLine="708"/>
        <w:contextualSpacing/>
        <w:jc w:val="both"/>
        <w:rPr>
          <w:rFonts w:ascii="Times New Roman" w:hAnsi="Times New Roman" w:cs="Times New Roman"/>
          <w:sz w:val="26"/>
          <w:szCs w:val="26"/>
        </w:rPr>
      </w:pPr>
    </w:p>
    <w:p w14:paraId="33B7C4D0" w14:textId="77777777" w:rsidR="00D73274" w:rsidRPr="00C22CCB" w:rsidRDefault="00D73274" w:rsidP="00D73274">
      <w:pPr>
        <w:spacing w:after="0" w:line="276" w:lineRule="auto"/>
        <w:ind w:firstLine="708"/>
        <w:contextualSpacing/>
        <w:jc w:val="center"/>
        <w:rPr>
          <w:rFonts w:ascii="Times New Roman" w:hAnsi="Times New Roman" w:cs="Times New Roman"/>
          <w:sz w:val="26"/>
          <w:szCs w:val="26"/>
        </w:rPr>
      </w:pPr>
      <w:r w:rsidRPr="00C22CCB">
        <w:rPr>
          <w:rFonts w:ascii="Times New Roman" w:hAnsi="Times New Roman" w:cs="Times New Roman"/>
          <w:sz w:val="26"/>
          <w:szCs w:val="26"/>
        </w:rPr>
        <w:t>Удельный показатель кадастровой стоимости земель лесничеств Воронежской области</w:t>
      </w:r>
    </w:p>
    <w:p w14:paraId="2C062E9D" w14:textId="77777777" w:rsidR="00D73274" w:rsidRPr="00C22CCB" w:rsidRDefault="00D73274" w:rsidP="00D73274">
      <w:pPr>
        <w:spacing w:after="0" w:line="276" w:lineRule="auto"/>
        <w:ind w:firstLine="708"/>
        <w:contextualSpacing/>
        <w:jc w:val="right"/>
        <w:rPr>
          <w:rFonts w:ascii="Times New Roman" w:hAnsi="Times New Roman" w:cs="Times New Roman"/>
          <w:sz w:val="26"/>
          <w:szCs w:val="26"/>
        </w:rPr>
      </w:pPr>
      <w:r w:rsidRPr="00C22CCB">
        <w:rPr>
          <w:rFonts w:ascii="Times New Roman" w:hAnsi="Times New Roman" w:cs="Times New Roman"/>
          <w:sz w:val="26"/>
          <w:szCs w:val="26"/>
        </w:rPr>
        <w:t xml:space="preserve">Таблица </w:t>
      </w:r>
      <w:r w:rsidRPr="0000573C">
        <w:rPr>
          <w:rFonts w:ascii="Times New Roman" w:hAnsi="Times New Roman" w:cs="Times New Roman"/>
          <w:sz w:val="26"/>
          <w:szCs w:val="26"/>
        </w:rPr>
        <w:t>3.6.10.1</w:t>
      </w:r>
      <w:r w:rsidRPr="00C22CCB">
        <w:rPr>
          <w:rFonts w:ascii="Times New Roman" w:hAnsi="Times New Roman" w:cs="Times New Roman"/>
          <w:sz w:val="26"/>
          <w:szCs w:val="26"/>
        </w:rPr>
        <w:t>.</w:t>
      </w:r>
      <w:r>
        <w:rPr>
          <w:rFonts w:ascii="Times New Roman" w:hAnsi="Times New Roman" w:cs="Times New Roman"/>
          <w:sz w:val="26"/>
          <w:szCs w:val="26"/>
        </w:rPr>
        <w:t>3</w:t>
      </w:r>
      <w:r w:rsidRPr="00C22CCB">
        <w:rPr>
          <w:rFonts w:ascii="Times New Roman" w:hAnsi="Times New Roman" w:cs="Times New Roman"/>
          <w:sz w:val="26"/>
          <w:szCs w:val="26"/>
        </w:rPr>
        <w:t xml:space="preserve"> </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1801"/>
        <w:gridCol w:w="2066"/>
        <w:gridCol w:w="1600"/>
        <w:gridCol w:w="1481"/>
      </w:tblGrid>
      <w:tr w:rsidR="00D73274" w:rsidRPr="007237DE" w14:paraId="31E93D10" w14:textId="77777777" w:rsidTr="00FE1791">
        <w:trPr>
          <w:trHeight w:val="1890"/>
          <w:jc w:val="center"/>
        </w:trPr>
        <w:tc>
          <w:tcPr>
            <w:tcW w:w="2589" w:type="dxa"/>
            <w:shd w:val="clear" w:color="auto" w:fill="auto"/>
            <w:vAlign w:val="center"/>
            <w:hideMark/>
          </w:tcPr>
          <w:p w14:paraId="043708B7"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Наименование лесничества</w:t>
            </w:r>
          </w:p>
        </w:tc>
        <w:tc>
          <w:tcPr>
            <w:tcW w:w="1801" w:type="dxa"/>
            <w:shd w:val="clear" w:color="auto" w:fill="auto"/>
            <w:vAlign w:val="center"/>
            <w:hideMark/>
          </w:tcPr>
          <w:p w14:paraId="4E56197D"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Кадастровая стоимость, руб.</w:t>
            </w:r>
          </w:p>
        </w:tc>
        <w:tc>
          <w:tcPr>
            <w:tcW w:w="2066" w:type="dxa"/>
            <w:shd w:val="clear" w:color="auto" w:fill="auto"/>
            <w:vAlign w:val="center"/>
            <w:hideMark/>
          </w:tcPr>
          <w:p w14:paraId="581CB56A"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Площадь земли, покрытой лесной растительностью, га</w:t>
            </w:r>
          </w:p>
        </w:tc>
        <w:tc>
          <w:tcPr>
            <w:tcW w:w="1600" w:type="dxa"/>
            <w:shd w:val="clear" w:color="auto" w:fill="auto"/>
            <w:vAlign w:val="center"/>
            <w:hideMark/>
          </w:tcPr>
          <w:p w14:paraId="606877A7"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Удельный показатель кадастровой стоимости земель, руб./га</w:t>
            </w:r>
          </w:p>
        </w:tc>
        <w:tc>
          <w:tcPr>
            <w:tcW w:w="1481" w:type="dxa"/>
            <w:shd w:val="clear" w:color="auto" w:fill="auto"/>
            <w:vAlign w:val="center"/>
            <w:hideMark/>
          </w:tcPr>
          <w:p w14:paraId="22C31AD6"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Удельный показатель кадастровой стоимости земель, руб./м2</w:t>
            </w:r>
          </w:p>
        </w:tc>
      </w:tr>
      <w:tr w:rsidR="00D73274" w:rsidRPr="007237DE" w14:paraId="58E178C3" w14:textId="77777777" w:rsidTr="00FE1791">
        <w:trPr>
          <w:trHeight w:val="315"/>
          <w:jc w:val="center"/>
        </w:trPr>
        <w:tc>
          <w:tcPr>
            <w:tcW w:w="2589" w:type="dxa"/>
            <w:shd w:val="clear" w:color="auto" w:fill="auto"/>
            <w:vAlign w:val="center"/>
          </w:tcPr>
          <w:p w14:paraId="5BD866ED"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Аннинское</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18351"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132 629 412,87</w:t>
            </w:r>
          </w:p>
        </w:tc>
        <w:tc>
          <w:tcPr>
            <w:tcW w:w="2066" w:type="dxa"/>
            <w:tcBorders>
              <w:top w:val="single" w:sz="4" w:space="0" w:color="auto"/>
              <w:left w:val="nil"/>
              <w:bottom w:val="single" w:sz="4" w:space="0" w:color="auto"/>
              <w:right w:val="single" w:sz="4" w:space="0" w:color="auto"/>
            </w:tcBorders>
            <w:shd w:val="clear" w:color="auto" w:fill="auto"/>
            <w:noWrap/>
            <w:vAlign w:val="center"/>
          </w:tcPr>
          <w:p w14:paraId="27477F83"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16 857</w:t>
            </w: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7CF38A32"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7 867,91</w:t>
            </w:r>
          </w:p>
        </w:tc>
        <w:tc>
          <w:tcPr>
            <w:tcW w:w="1481" w:type="dxa"/>
            <w:tcBorders>
              <w:top w:val="single" w:sz="4" w:space="0" w:color="auto"/>
              <w:left w:val="nil"/>
              <w:bottom w:val="single" w:sz="4" w:space="0" w:color="auto"/>
              <w:right w:val="single" w:sz="4" w:space="0" w:color="auto"/>
            </w:tcBorders>
            <w:shd w:val="clear" w:color="auto" w:fill="auto"/>
            <w:noWrap/>
            <w:vAlign w:val="center"/>
          </w:tcPr>
          <w:p w14:paraId="2609968D"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0,79</w:t>
            </w:r>
          </w:p>
        </w:tc>
      </w:tr>
      <w:tr w:rsidR="00D73274" w:rsidRPr="007237DE" w14:paraId="4531DA57" w14:textId="77777777" w:rsidTr="00FE1791">
        <w:trPr>
          <w:trHeight w:val="315"/>
          <w:jc w:val="center"/>
        </w:trPr>
        <w:tc>
          <w:tcPr>
            <w:tcW w:w="2589" w:type="dxa"/>
            <w:shd w:val="clear" w:color="auto" w:fill="auto"/>
            <w:vAlign w:val="center"/>
          </w:tcPr>
          <w:p w14:paraId="5CE2AD00"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Бобровское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7F13C2DF"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125 682 794,17</w:t>
            </w:r>
          </w:p>
        </w:tc>
        <w:tc>
          <w:tcPr>
            <w:tcW w:w="2066" w:type="dxa"/>
            <w:tcBorders>
              <w:top w:val="nil"/>
              <w:left w:val="nil"/>
              <w:bottom w:val="single" w:sz="4" w:space="0" w:color="auto"/>
              <w:right w:val="single" w:sz="4" w:space="0" w:color="auto"/>
            </w:tcBorders>
            <w:shd w:val="clear" w:color="auto" w:fill="auto"/>
            <w:noWrap/>
            <w:vAlign w:val="center"/>
          </w:tcPr>
          <w:p w14:paraId="3427D81A"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20 641</w:t>
            </w:r>
          </w:p>
        </w:tc>
        <w:tc>
          <w:tcPr>
            <w:tcW w:w="1600" w:type="dxa"/>
            <w:tcBorders>
              <w:top w:val="nil"/>
              <w:left w:val="nil"/>
              <w:bottom w:val="single" w:sz="4" w:space="0" w:color="auto"/>
              <w:right w:val="single" w:sz="4" w:space="0" w:color="auto"/>
            </w:tcBorders>
            <w:shd w:val="clear" w:color="auto" w:fill="auto"/>
            <w:noWrap/>
            <w:vAlign w:val="center"/>
          </w:tcPr>
          <w:p w14:paraId="779A3748"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6 088,99</w:t>
            </w:r>
          </w:p>
        </w:tc>
        <w:tc>
          <w:tcPr>
            <w:tcW w:w="1481" w:type="dxa"/>
            <w:tcBorders>
              <w:top w:val="nil"/>
              <w:left w:val="nil"/>
              <w:bottom w:val="single" w:sz="4" w:space="0" w:color="auto"/>
              <w:right w:val="single" w:sz="4" w:space="0" w:color="auto"/>
            </w:tcBorders>
            <w:shd w:val="clear" w:color="auto" w:fill="auto"/>
            <w:noWrap/>
            <w:vAlign w:val="center"/>
          </w:tcPr>
          <w:p w14:paraId="7247BD30"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0,61</w:t>
            </w:r>
          </w:p>
        </w:tc>
      </w:tr>
      <w:tr w:rsidR="00D73274" w:rsidRPr="007237DE" w14:paraId="129DE48E" w14:textId="77777777" w:rsidTr="00FE1791">
        <w:trPr>
          <w:trHeight w:val="315"/>
          <w:jc w:val="center"/>
        </w:trPr>
        <w:tc>
          <w:tcPr>
            <w:tcW w:w="2589" w:type="dxa"/>
            <w:shd w:val="clear" w:color="auto" w:fill="auto"/>
            <w:vAlign w:val="center"/>
          </w:tcPr>
          <w:p w14:paraId="249217D8"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Богучарское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13A983F3"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52 038 784,33</w:t>
            </w:r>
          </w:p>
        </w:tc>
        <w:tc>
          <w:tcPr>
            <w:tcW w:w="2066" w:type="dxa"/>
            <w:tcBorders>
              <w:top w:val="nil"/>
              <w:left w:val="nil"/>
              <w:bottom w:val="single" w:sz="4" w:space="0" w:color="auto"/>
              <w:right w:val="single" w:sz="4" w:space="0" w:color="auto"/>
            </w:tcBorders>
            <w:shd w:val="clear" w:color="auto" w:fill="auto"/>
            <w:noWrap/>
            <w:vAlign w:val="center"/>
          </w:tcPr>
          <w:p w14:paraId="6937C9E1"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8 752</w:t>
            </w:r>
          </w:p>
        </w:tc>
        <w:tc>
          <w:tcPr>
            <w:tcW w:w="1600" w:type="dxa"/>
            <w:tcBorders>
              <w:top w:val="nil"/>
              <w:left w:val="nil"/>
              <w:bottom w:val="single" w:sz="4" w:space="0" w:color="auto"/>
              <w:right w:val="single" w:sz="4" w:space="0" w:color="auto"/>
            </w:tcBorders>
            <w:shd w:val="clear" w:color="auto" w:fill="auto"/>
            <w:noWrap/>
            <w:vAlign w:val="center"/>
          </w:tcPr>
          <w:p w14:paraId="1C48BD51"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5 945,93</w:t>
            </w:r>
          </w:p>
        </w:tc>
        <w:tc>
          <w:tcPr>
            <w:tcW w:w="1481" w:type="dxa"/>
            <w:tcBorders>
              <w:top w:val="nil"/>
              <w:left w:val="nil"/>
              <w:bottom w:val="single" w:sz="4" w:space="0" w:color="auto"/>
              <w:right w:val="single" w:sz="4" w:space="0" w:color="auto"/>
            </w:tcBorders>
            <w:shd w:val="clear" w:color="auto" w:fill="auto"/>
            <w:noWrap/>
            <w:vAlign w:val="center"/>
          </w:tcPr>
          <w:p w14:paraId="2D939A94"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0,59</w:t>
            </w:r>
          </w:p>
        </w:tc>
      </w:tr>
      <w:tr w:rsidR="00D73274" w:rsidRPr="007237DE" w14:paraId="6FD42CB8" w14:textId="77777777" w:rsidTr="00FE1791">
        <w:trPr>
          <w:trHeight w:val="315"/>
          <w:jc w:val="center"/>
        </w:trPr>
        <w:tc>
          <w:tcPr>
            <w:tcW w:w="2589" w:type="dxa"/>
            <w:shd w:val="clear" w:color="auto" w:fill="auto"/>
            <w:vAlign w:val="center"/>
          </w:tcPr>
          <w:p w14:paraId="4E55C552"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Бутурлиновское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4B7FBB4C"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241 550 422,59</w:t>
            </w:r>
          </w:p>
        </w:tc>
        <w:tc>
          <w:tcPr>
            <w:tcW w:w="2066" w:type="dxa"/>
            <w:tcBorders>
              <w:top w:val="nil"/>
              <w:left w:val="nil"/>
              <w:bottom w:val="single" w:sz="4" w:space="0" w:color="auto"/>
              <w:right w:val="single" w:sz="4" w:space="0" w:color="auto"/>
            </w:tcBorders>
            <w:shd w:val="clear" w:color="auto" w:fill="auto"/>
            <w:noWrap/>
            <w:vAlign w:val="center"/>
          </w:tcPr>
          <w:p w14:paraId="7E412AA6"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22 056</w:t>
            </w:r>
          </w:p>
        </w:tc>
        <w:tc>
          <w:tcPr>
            <w:tcW w:w="1600" w:type="dxa"/>
            <w:tcBorders>
              <w:top w:val="nil"/>
              <w:left w:val="nil"/>
              <w:bottom w:val="single" w:sz="4" w:space="0" w:color="auto"/>
              <w:right w:val="single" w:sz="4" w:space="0" w:color="auto"/>
            </w:tcBorders>
            <w:shd w:val="clear" w:color="auto" w:fill="auto"/>
            <w:noWrap/>
            <w:vAlign w:val="center"/>
          </w:tcPr>
          <w:p w14:paraId="250E0C8E"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10 951,69</w:t>
            </w:r>
          </w:p>
        </w:tc>
        <w:tc>
          <w:tcPr>
            <w:tcW w:w="1481" w:type="dxa"/>
            <w:tcBorders>
              <w:top w:val="nil"/>
              <w:left w:val="nil"/>
              <w:bottom w:val="single" w:sz="4" w:space="0" w:color="auto"/>
              <w:right w:val="single" w:sz="4" w:space="0" w:color="auto"/>
            </w:tcBorders>
            <w:shd w:val="clear" w:color="auto" w:fill="auto"/>
            <w:noWrap/>
            <w:vAlign w:val="center"/>
          </w:tcPr>
          <w:p w14:paraId="27046CF1"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1,10</w:t>
            </w:r>
          </w:p>
        </w:tc>
      </w:tr>
      <w:tr w:rsidR="00D73274" w:rsidRPr="007237DE" w14:paraId="20AB56C9" w14:textId="77777777" w:rsidTr="00FE1791">
        <w:trPr>
          <w:trHeight w:val="315"/>
          <w:jc w:val="center"/>
        </w:trPr>
        <w:tc>
          <w:tcPr>
            <w:tcW w:w="2589" w:type="dxa"/>
            <w:shd w:val="clear" w:color="auto" w:fill="auto"/>
            <w:vAlign w:val="center"/>
          </w:tcPr>
          <w:p w14:paraId="39C48083"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Воронежское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4282EA32"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169 121 458,88</w:t>
            </w:r>
          </w:p>
        </w:tc>
        <w:tc>
          <w:tcPr>
            <w:tcW w:w="2066" w:type="dxa"/>
            <w:tcBorders>
              <w:top w:val="nil"/>
              <w:left w:val="nil"/>
              <w:bottom w:val="single" w:sz="4" w:space="0" w:color="auto"/>
              <w:right w:val="single" w:sz="4" w:space="0" w:color="auto"/>
            </w:tcBorders>
            <w:shd w:val="clear" w:color="auto" w:fill="auto"/>
            <w:noWrap/>
            <w:vAlign w:val="center"/>
          </w:tcPr>
          <w:p w14:paraId="335F5A61"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24 087</w:t>
            </w:r>
          </w:p>
        </w:tc>
        <w:tc>
          <w:tcPr>
            <w:tcW w:w="1600" w:type="dxa"/>
            <w:tcBorders>
              <w:top w:val="nil"/>
              <w:left w:val="nil"/>
              <w:bottom w:val="single" w:sz="4" w:space="0" w:color="auto"/>
              <w:right w:val="single" w:sz="4" w:space="0" w:color="auto"/>
            </w:tcBorders>
            <w:shd w:val="clear" w:color="auto" w:fill="auto"/>
            <w:noWrap/>
            <w:vAlign w:val="center"/>
          </w:tcPr>
          <w:p w14:paraId="6C1B0963"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7 021,28</w:t>
            </w:r>
          </w:p>
        </w:tc>
        <w:tc>
          <w:tcPr>
            <w:tcW w:w="1481" w:type="dxa"/>
            <w:tcBorders>
              <w:top w:val="nil"/>
              <w:left w:val="nil"/>
              <w:bottom w:val="single" w:sz="4" w:space="0" w:color="auto"/>
              <w:right w:val="single" w:sz="4" w:space="0" w:color="auto"/>
            </w:tcBorders>
            <w:shd w:val="clear" w:color="auto" w:fill="auto"/>
            <w:noWrap/>
            <w:vAlign w:val="center"/>
          </w:tcPr>
          <w:p w14:paraId="6444061C"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0,70</w:t>
            </w:r>
          </w:p>
        </w:tc>
      </w:tr>
      <w:tr w:rsidR="00D73274" w:rsidRPr="007237DE" w14:paraId="225D5DDA" w14:textId="77777777" w:rsidTr="00FE1791">
        <w:trPr>
          <w:trHeight w:val="315"/>
          <w:jc w:val="center"/>
        </w:trPr>
        <w:tc>
          <w:tcPr>
            <w:tcW w:w="2589" w:type="dxa"/>
            <w:shd w:val="clear" w:color="auto" w:fill="auto"/>
            <w:vAlign w:val="center"/>
          </w:tcPr>
          <w:p w14:paraId="682D2519"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Воронцовское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26F5263F"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188 678 077,91</w:t>
            </w:r>
          </w:p>
        </w:tc>
        <w:tc>
          <w:tcPr>
            <w:tcW w:w="2066" w:type="dxa"/>
            <w:tcBorders>
              <w:top w:val="nil"/>
              <w:left w:val="nil"/>
              <w:bottom w:val="single" w:sz="4" w:space="0" w:color="auto"/>
              <w:right w:val="single" w:sz="4" w:space="0" w:color="auto"/>
            </w:tcBorders>
            <w:shd w:val="clear" w:color="auto" w:fill="auto"/>
            <w:noWrap/>
            <w:vAlign w:val="center"/>
          </w:tcPr>
          <w:p w14:paraId="25C90386"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14 954</w:t>
            </w:r>
          </w:p>
        </w:tc>
        <w:tc>
          <w:tcPr>
            <w:tcW w:w="1600" w:type="dxa"/>
            <w:tcBorders>
              <w:top w:val="nil"/>
              <w:left w:val="nil"/>
              <w:bottom w:val="single" w:sz="4" w:space="0" w:color="auto"/>
              <w:right w:val="single" w:sz="4" w:space="0" w:color="auto"/>
            </w:tcBorders>
            <w:shd w:val="clear" w:color="auto" w:fill="auto"/>
            <w:noWrap/>
            <w:vAlign w:val="center"/>
          </w:tcPr>
          <w:p w14:paraId="2B98EDD8"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12 617,23</w:t>
            </w:r>
          </w:p>
        </w:tc>
        <w:tc>
          <w:tcPr>
            <w:tcW w:w="1481" w:type="dxa"/>
            <w:tcBorders>
              <w:top w:val="nil"/>
              <w:left w:val="nil"/>
              <w:bottom w:val="single" w:sz="4" w:space="0" w:color="auto"/>
              <w:right w:val="single" w:sz="4" w:space="0" w:color="auto"/>
            </w:tcBorders>
            <w:shd w:val="clear" w:color="auto" w:fill="auto"/>
            <w:noWrap/>
            <w:vAlign w:val="center"/>
          </w:tcPr>
          <w:p w14:paraId="24E939DB"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1,26</w:t>
            </w:r>
          </w:p>
        </w:tc>
      </w:tr>
      <w:tr w:rsidR="00D73274" w:rsidRPr="007237DE" w14:paraId="6CCD1D28" w14:textId="77777777" w:rsidTr="00FE1791">
        <w:trPr>
          <w:trHeight w:val="315"/>
          <w:jc w:val="center"/>
        </w:trPr>
        <w:tc>
          <w:tcPr>
            <w:tcW w:w="2589" w:type="dxa"/>
            <w:shd w:val="clear" w:color="auto" w:fill="auto"/>
            <w:vAlign w:val="center"/>
          </w:tcPr>
          <w:p w14:paraId="72E63F1F"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Давыдовское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06107AAE"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73 243 205,86</w:t>
            </w:r>
          </w:p>
        </w:tc>
        <w:tc>
          <w:tcPr>
            <w:tcW w:w="2066" w:type="dxa"/>
            <w:tcBorders>
              <w:top w:val="nil"/>
              <w:left w:val="nil"/>
              <w:bottom w:val="single" w:sz="4" w:space="0" w:color="auto"/>
              <w:right w:val="single" w:sz="4" w:space="0" w:color="auto"/>
            </w:tcBorders>
            <w:shd w:val="clear" w:color="auto" w:fill="auto"/>
            <w:noWrap/>
            <w:vAlign w:val="center"/>
          </w:tcPr>
          <w:p w14:paraId="413F26C6"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14 341</w:t>
            </w:r>
          </w:p>
        </w:tc>
        <w:tc>
          <w:tcPr>
            <w:tcW w:w="1600" w:type="dxa"/>
            <w:tcBorders>
              <w:top w:val="nil"/>
              <w:left w:val="nil"/>
              <w:bottom w:val="single" w:sz="4" w:space="0" w:color="auto"/>
              <w:right w:val="single" w:sz="4" w:space="0" w:color="auto"/>
            </w:tcBorders>
            <w:shd w:val="clear" w:color="auto" w:fill="auto"/>
            <w:noWrap/>
            <w:vAlign w:val="center"/>
          </w:tcPr>
          <w:p w14:paraId="2EBF514C"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5 107,26</w:t>
            </w:r>
          </w:p>
        </w:tc>
        <w:tc>
          <w:tcPr>
            <w:tcW w:w="1481" w:type="dxa"/>
            <w:tcBorders>
              <w:top w:val="nil"/>
              <w:left w:val="nil"/>
              <w:bottom w:val="single" w:sz="4" w:space="0" w:color="auto"/>
              <w:right w:val="single" w:sz="4" w:space="0" w:color="auto"/>
            </w:tcBorders>
            <w:shd w:val="clear" w:color="auto" w:fill="auto"/>
            <w:noWrap/>
            <w:vAlign w:val="center"/>
          </w:tcPr>
          <w:p w14:paraId="7C9EA281"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0,51</w:t>
            </w:r>
          </w:p>
        </w:tc>
      </w:tr>
      <w:tr w:rsidR="00D73274" w:rsidRPr="007237DE" w14:paraId="2030E35D" w14:textId="77777777" w:rsidTr="00FE1791">
        <w:trPr>
          <w:trHeight w:val="315"/>
          <w:jc w:val="center"/>
        </w:trPr>
        <w:tc>
          <w:tcPr>
            <w:tcW w:w="2589" w:type="dxa"/>
            <w:shd w:val="clear" w:color="auto" w:fill="auto"/>
            <w:vAlign w:val="center"/>
          </w:tcPr>
          <w:p w14:paraId="13E46FC2"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Донское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3DA0326E"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55 017 111,65</w:t>
            </w:r>
          </w:p>
        </w:tc>
        <w:tc>
          <w:tcPr>
            <w:tcW w:w="2066" w:type="dxa"/>
            <w:tcBorders>
              <w:top w:val="nil"/>
              <w:left w:val="nil"/>
              <w:bottom w:val="single" w:sz="4" w:space="0" w:color="auto"/>
              <w:right w:val="single" w:sz="4" w:space="0" w:color="auto"/>
            </w:tcBorders>
            <w:shd w:val="clear" w:color="auto" w:fill="auto"/>
            <w:noWrap/>
            <w:vAlign w:val="center"/>
          </w:tcPr>
          <w:p w14:paraId="45BB6E57"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9 655</w:t>
            </w:r>
          </w:p>
        </w:tc>
        <w:tc>
          <w:tcPr>
            <w:tcW w:w="1600" w:type="dxa"/>
            <w:tcBorders>
              <w:top w:val="nil"/>
              <w:left w:val="nil"/>
              <w:bottom w:val="single" w:sz="4" w:space="0" w:color="auto"/>
              <w:right w:val="single" w:sz="4" w:space="0" w:color="auto"/>
            </w:tcBorders>
            <w:shd w:val="clear" w:color="auto" w:fill="auto"/>
            <w:noWrap/>
            <w:vAlign w:val="center"/>
          </w:tcPr>
          <w:p w14:paraId="4284EB47"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5 698,30</w:t>
            </w:r>
          </w:p>
        </w:tc>
        <w:tc>
          <w:tcPr>
            <w:tcW w:w="1481" w:type="dxa"/>
            <w:tcBorders>
              <w:top w:val="nil"/>
              <w:left w:val="nil"/>
              <w:bottom w:val="single" w:sz="4" w:space="0" w:color="auto"/>
              <w:right w:val="single" w:sz="4" w:space="0" w:color="auto"/>
            </w:tcBorders>
            <w:shd w:val="clear" w:color="auto" w:fill="auto"/>
            <w:noWrap/>
            <w:vAlign w:val="center"/>
          </w:tcPr>
          <w:p w14:paraId="0042DD50"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0,57</w:t>
            </w:r>
          </w:p>
        </w:tc>
      </w:tr>
      <w:tr w:rsidR="00D73274" w:rsidRPr="007237DE" w14:paraId="60B0DFD9" w14:textId="77777777" w:rsidTr="00FE1791">
        <w:trPr>
          <w:trHeight w:val="315"/>
          <w:jc w:val="center"/>
        </w:trPr>
        <w:tc>
          <w:tcPr>
            <w:tcW w:w="2589" w:type="dxa"/>
            <w:shd w:val="clear" w:color="auto" w:fill="auto"/>
            <w:vAlign w:val="center"/>
          </w:tcPr>
          <w:p w14:paraId="0E8F1B17"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Калачеевское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230EFAFA"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169 780 943,51</w:t>
            </w:r>
          </w:p>
        </w:tc>
        <w:tc>
          <w:tcPr>
            <w:tcW w:w="2066" w:type="dxa"/>
            <w:tcBorders>
              <w:top w:val="nil"/>
              <w:left w:val="nil"/>
              <w:bottom w:val="single" w:sz="4" w:space="0" w:color="auto"/>
              <w:right w:val="single" w:sz="4" w:space="0" w:color="auto"/>
            </w:tcBorders>
            <w:shd w:val="clear" w:color="auto" w:fill="auto"/>
            <w:noWrap/>
            <w:vAlign w:val="center"/>
          </w:tcPr>
          <w:p w14:paraId="10BF1673"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23 769</w:t>
            </w:r>
          </w:p>
        </w:tc>
        <w:tc>
          <w:tcPr>
            <w:tcW w:w="1600" w:type="dxa"/>
            <w:tcBorders>
              <w:top w:val="nil"/>
              <w:left w:val="nil"/>
              <w:bottom w:val="single" w:sz="4" w:space="0" w:color="auto"/>
              <w:right w:val="single" w:sz="4" w:space="0" w:color="auto"/>
            </w:tcBorders>
            <w:shd w:val="clear" w:color="auto" w:fill="auto"/>
            <w:noWrap/>
            <w:vAlign w:val="center"/>
          </w:tcPr>
          <w:p w14:paraId="0DCCF426"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7 142,96</w:t>
            </w:r>
          </w:p>
        </w:tc>
        <w:tc>
          <w:tcPr>
            <w:tcW w:w="1481" w:type="dxa"/>
            <w:tcBorders>
              <w:top w:val="nil"/>
              <w:left w:val="nil"/>
              <w:bottom w:val="single" w:sz="4" w:space="0" w:color="auto"/>
              <w:right w:val="single" w:sz="4" w:space="0" w:color="auto"/>
            </w:tcBorders>
            <w:shd w:val="clear" w:color="auto" w:fill="auto"/>
            <w:noWrap/>
            <w:vAlign w:val="center"/>
          </w:tcPr>
          <w:p w14:paraId="0ABF1C64"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0,71</w:t>
            </w:r>
          </w:p>
        </w:tc>
      </w:tr>
      <w:tr w:rsidR="00D73274" w:rsidRPr="007237DE" w14:paraId="2362B7E9" w14:textId="77777777" w:rsidTr="00FE1791">
        <w:trPr>
          <w:trHeight w:val="315"/>
          <w:jc w:val="center"/>
        </w:trPr>
        <w:tc>
          <w:tcPr>
            <w:tcW w:w="2589" w:type="dxa"/>
            <w:shd w:val="clear" w:color="auto" w:fill="auto"/>
            <w:vAlign w:val="center"/>
          </w:tcPr>
          <w:p w14:paraId="7C887885"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Кантемировское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1A848DB7"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52 700 706,70</w:t>
            </w:r>
          </w:p>
        </w:tc>
        <w:tc>
          <w:tcPr>
            <w:tcW w:w="2066" w:type="dxa"/>
            <w:tcBorders>
              <w:top w:val="nil"/>
              <w:left w:val="nil"/>
              <w:bottom w:val="single" w:sz="4" w:space="0" w:color="auto"/>
              <w:right w:val="single" w:sz="4" w:space="0" w:color="auto"/>
            </w:tcBorders>
            <w:shd w:val="clear" w:color="auto" w:fill="auto"/>
            <w:noWrap/>
            <w:vAlign w:val="center"/>
          </w:tcPr>
          <w:p w14:paraId="6A3D61A5"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5 406</w:t>
            </w:r>
          </w:p>
        </w:tc>
        <w:tc>
          <w:tcPr>
            <w:tcW w:w="1600" w:type="dxa"/>
            <w:tcBorders>
              <w:top w:val="nil"/>
              <w:left w:val="nil"/>
              <w:bottom w:val="single" w:sz="4" w:space="0" w:color="auto"/>
              <w:right w:val="single" w:sz="4" w:space="0" w:color="auto"/>
            </w:tcBorders>
            <w:shd w:val="clear" w:color="auto" w:fill="auto"/>
            <w:noWrap/>
            <w:vAlign w:val="center"/>
          </w:tcPr>
          <w:p w14:paraId="4FD7F1AC"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9 748,56</w:t>
            </w:r>
          </w:p>
        </w:tc>
        <w:tc>
          <w:tcPr>
            <w:tcW w:w="1481" w:type="dxa"/>
            <w:tcBorders>
              <w:top w:val="nil"/>
              <w:left w:val="nil"/>
              <w:bottom w:val="single" w:sz="4" w:space="0" w:color="auto"/>
              <w:right w:val="single" w:sz="4" w:space="0" w:color="auto"/>
            </w:tcBorders>
            <w:shd w:val="clear" w:color="auto" w:fill="auto"/>
            <w:noWrap/>
            <w:vAlign w:val="center"/>
          </w:tcPr>
          <w:p w14:paraId="2A5F418E"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0,97</w:t>
            </w:r>
          </w:p>
        </w:tc>
      </w:tr>
      <w:tr w:rsidR="00D73274" w:rsidRPr="007237DE" w14:paraId="51C3E374" w14:textId="77777777" w:rsidTr="00FE1791">
        <w:trPr>
          <w:trHeight w:val="315"/>
          <w:jc w:val="center"/>
        </w:trPr>
        <w:tc>
          <w:tcPr>
            <w:tcW w:w="2589" w:type="dxa"/>
            <w:shd w:val="clear" w:color="auto" w:fill="auto"/>
            <w:vAlign w:val="center"/>
          </w:tcPr>
          <w:p w14:paraId="1D361886"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Новоусманское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3F578CF8"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101 966 900,14</w:t>
            </w:r>
          </w:p>
        </w:tc>
        <w:tc>
          <w:tcPr>
            <w:tcW w:w="2066" w:type="dxa"/>
            <w:tcBorders>
              <w:top w:val="nil"/>
              <w:left w:val="nil"/>
              <w:bottom w:val="single" w:sz="4" w:space="0" w:color="auto"/>
              <w:right w:val="single" w:sz="4" w:space="0" w:color="auto"/>
            </w:tcBorders>
            <w:shd w:val="clear" w:color="auto" w:fill="auto"/>
            <w:noWrap/>
            <w:vAlign w:val="center"/>
          </w:tcPr>
          <w:p w14:paraId="1CC7DA17"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13 139</w:t>
            </w:r>
          </w:p>
        </w:tc>
        <w:tc>
          <w:tcPr>
            <w:tcW w:w="1600" w:type="dxa"/>
            <w:tcBorders>
              <w:top w:val="nil"/>
              <w:left w:val="nil"/>
              <w:bottom w:val="single" w:sz="4" w:space="0" w:color="auto"/>
              <w:right w:val="single" w:sz="4" w:space="0" w:color="auto"/>
            </w:tcBorders>
            <w:shd w:val="clear" w:color="auto" w:fill="auto"/>
            <w:noWrap/>
            <w:vAlign w:val="center"/>
          </w:tcPr>
          <w:p w14:paraId="3A066F96"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7 760,63</w:t>
            </w:r>
          </w:p>
        </w:tc>
        <w:tc>
          <w:tcPr>
            <w:tcW w:w="1481" w:type="dxa"/>
            <w:tcBorders>
              <w:top w:val="nil"/>
              <w:left w:val="nil"/>
              <w:bottom w:val="single" w:sz="4" w:space="0" w:color="auto"/>
              <w:right w:val="single" w:sz="4" w:space="0" w:color="auto"/>
            </w:tcBorders>
            <w:shd w:val="clear" w:color="auto" w:fill="auto"/>
            <w:noWrap/>
            <w:vAlign w:val="center"/>
          </w:tcPr>
          <w:p w14:paraId="23F38F0E"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0,78</w:t>
            </w:r>
          </w:p>
        </w:tc>
      </w:tr>
      <w:tr w:rsidR="00D73274" w:rsidRPr="007237DE" w14:paraId="4539474B" w14:textId="77777777" w:rsidTr="00FE1791">
        <w:trPr>
          <w:trHeight w:val="315"/>
          <w:jc w:val="center"/>
        </w:trPr>
        <w:tc>
          <w:tcPr>
            <w:tcW w:w="2589" w:type="dxa"/>
            <w:shd w:val="clear" w:color="auto" w:fill="auto"/>
            <w:vAlign w:val="center"/>
          </w:tcPr>
          <w:p w14:paraId="62F9AB09"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Новохоперское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1F236691"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64 040 946,44</w:t>
            </w:r>
          </w:p>
        </w:tc>
        <w:tc>
          <w:tcPr>
            <w:tcW w:w="2066" w:type="dxa"/>
            <w:tcBorders>
              <w:top w:val="nil"/>
              <w:left w:val="nil"/>
              <w:bottom w:val="single" w:sz="4" w:space="0" w:color="auto"/>
              <w:right w:val="single" w:sz="4" w:space="0" w:color="auto"/>
            </w:tcBorders>
            <w:shd w:val="clear" w:color="auto" w:fill="auto"/>
            <w:noWrap/>
            <w:vAlign w:val="center"/>
          </w:tcPr>
          <w:p w14:paraId="2C228A8A"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12 164</w:t>
            </w:r>
          </w:p>
        </w:tc>
        <w:tc>
          <w:tcPr>
            <w:tcW w:w="1600" w:type="dxa"/>
            <w:tcBorders>
              <w:top w:val="nil"/>
              <w:left w:val="nil"/>
              <w:bottom w:val="single" w:sz="4" w:space="0" w:color="auto"/>
              <w:right w:val="single" w:sz="4" w:space="0" w:color="auto"/>
            </w:tcBorders>
            <w:shd w:val="clear" w:color="auto" w:fill="auto"/>
            <w:noWrap/>
            <w:vAlign w:val="center"/>
          </w:tcPr>
          <w:p w14:paraId="44299D02"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5 264,79</w:t>
            </w:r>
          </w:p>
        </w:tc>
        <w:tc>
          <w:tcPr>
            <w:tcW w:w="1481" w:type="dxa"/>
            <w:tcBorders>
              <w:top w:val="nil"/>
              <w:left w:val="nil"/>
              <w:bottom w:val="single" w:sz="4" w:space="0" w:color="auto"/>
              <w:right w:val="single" w:sz="4" w:space="0" w:color="auto"/>
            </w:tcBorders>
            <w:shd w:val="clear" w:color="auto" w:fill="auto"/>
            <w:noWrap/>
            <w:vAlign w:val="center"/>
          </w:tcPr>
          <w:p w14:paraId="0B793D81"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0,53</w:t>
            </w:r>
          </w:p>
        </w:tc>
      </w:tr>
      <w:tr w:rsidR="00D73274" w:rsidRPr="007237DE" w14:paraId="3B727700" w14:textId="77777777" w:rsidTr="00FE1791">
        <w:trPr>
          <w:trHeight w:val="315"/>
          <w:jc w:val="center"/>
        </w:trPr>
        <w:tc>
          <w:tcPr>
            <w:tcW w:w="2589" w:type="dxa"/>
            <w:shd w:val="clear" w:color="auto" w:fill="auto"/>
            <w:vAlign w:val="center"/>
          </w:tcPr>
          <w:p w14:paraId="4170E263"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Острогожское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22A9B726"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232 245 057,00</w:t>
            </w:r>
          </w:p>
        </w:tc>
        <w:tc>
          <w:tcPr>
            <w:tcW w:w="2066" w:type="dxa"/>
            <w:tcBorders>
              <w:top w:val="nil"/>
              <w:left w:val="nil"/>
              <w:bottom w:val="single" w:sz="4" w:space="0" w:color="auto"/>
              <w:right w:val="single" w:sz="4" w:space="0" w:color="auto"/>
            </w:tcBorders>
            <w:shd w:val="clear" w:color="auto" w:fill="auto"/>
            <w:noWrap/>
            <w:vAlign w:val="center"/>
          </w:tcPr>
          <w:p w14:paraId="63E3F5B5"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23 195</w:t>
            </w:r>
          </w:p>
        </w:tc>
        <w:tc>
          <w:tcPr>
            <w:tcW w:w="1600" w:type="dxa"/>
            <w:tcBorders>
              <w:top w:val="nil"/>
              <w:left w:val="nil"/>
              <w:bottom w:val="single" w:sz="4" w:space="0" w:color="auto"/>
              <w:right w:val="single" w:sz="4" w:space="0" w:color="auto"/>
            </w:tcBorders>
            <w:shd w:val="clear" w:color="auto" w:fill="auto"/>
            <w:noWrap/>
            <w:vAlign w:val="center"/>
          </w:tcPr>
          <w:p w14:paraId="3B5616D7"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10 012,72</w:t>
            </w:r>
          </w:p>
        </w:tc>
        <w:tc>
          <w:tcPr>
            <w:tcW w:w="1481" w:type="dxa"/>
            <w:tcBorders>
              <w:top w:val="nil"/>
              <w:left w:val="nil"/>
              <w:bottom w:val="single" w:sz="4" w:space="0" w:color="auto"/>
              <w:right w:val="single" w:sz="4" w:space="0" w:color="auto"/>
            </w:tcBorders>
            <w:shd w:val="clear" w:color="auto" w:fill="auto"/>
            <w:noWrap/>
            <w:vAlign w:val="center"/>
          </w:tcPr>
          <w:p w14:paraId="70B71A22"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1,00</w:t>
            </w:r>
          </w:p>
        </w:tc>
      </w:tr>
      <w:tr w:rsidR="00D73274" w:rsidRPr="007237DE" w14:paraId="43008DB0" w14:textId="77777777" w:rsidTr="00FE1791">
        <w:trPr>
          <w:trHeight w:val="315"/>
          <w:jc w:val="center"/>
        </w:trPr>
        <w:tc>
          <w:tcPr>
            <w:tcW w:w="2589" w:type="dxa"/>
            <w:shd w:val="clear" w:color="auto" w:fill="auto"/>
            <w:vAlign w:val="center"/>
          </w:tcPr>
          <w:p w14:paraId="314BFD2A"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Павловское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4B3BF6A5"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127 079 375,07</w:t>
            </w:r>
          </w:p>
        </w:tc>
        <w:tc>
          <w:tcPr>
            <w:tcW w:w="2066" w:type="dxa"/>
            <w:tcBorders>
              <w:top w:val="nil"/>
              <w:left w:val="nil"/>
              <w:bottom w:val="single" w:sz="4" w:space="0" w:color="auto"/>
              <w:right w:val="single" w:sz="4" w:space="0" w:color="auto"/>
            </w:tcBorders>
            <w:shd w:val="clear" w:color="auto" w:fill="auto"/>
            <w:noWrap/>
            <w:vAlign w:val="center"/>
          </w:tcPr>
          <w:p w14:paraId="5671EF3B"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17 960</w:t>
            </w:r>
          </w:p>
        </w:tc>
        <w:tc>
          <w:tcPr>
            <w:tcW w:w="1600" w:type="dxa"/>
            <w:tcBorders>
              <w:top w:val="nil"/>
              <w:left w:val="nil"/>
              <w:bottom w:val="single" w:sz="4" w:space="0" w:color="auto"/>
              <w:right w:val="single" w:sz="4" w:space="0" w:color="auto"/>
            </w:tcBorders>
            <w:shd w:val="clear" w:color="auto" w:fill="auto"/>
            <w:noWrap/>
            <w:vAlign w:val="center"/>
          </w:tcPr>
          <w:p w14:paraId="6BF39BB9"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7 075,69</w:t>
            </w:r>
          </w:p>
        </w:tc>
        <w:tc>
          <w:tcPr>
            <w:tcW w:w="1481" w:type="dxa"/>
            <w:tcBorders>
              <w:top w:val="nil"/>
              <w:left w:val="nil"/>
              <w:bottom w:val="single" w:sz="4" w:space="0" w:color="auto"/>
              <w:right w:val="single" w:sz="4" w:space="0" w:color="auto"/>
            </w:tcBorders>
            <w:shd w:val="clear" w:color="auto" w:fill="auto"/>
            <w:noWrap/>
            <w:vAlign w:val="center"/>
          </w:tcPr>
          <w:p w14:paraId="7BA9FA9F"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0,71</w:t>
            </w:r>
          </w:p>
        </w:tc>
      </w:tr>
      <w:tr w:rsidR="00D73274" w:rsidRPr="007237DE" w14:paraId="4EE9CA71" w14:textId="77777777" w:rsidTr="00FE1791">
        <w:trPr>
          <w:trHeight w:val="315"/>
          <w:jc w:val="center"/>
        </w:trPr>
        <w:tc>
          <w:tcPr>
            <w:tcW w:w="2589" w:type="dxa"/>
            <w:shd w:val="clear" w:color="auto" w:fill="auto"/>
            <w:vAlign w:val="center"/>
          </w:tcPr>
          <w:p w14:paraId="07487062"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Песковское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010C121B"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92 009 319,19</w:t>
            </w:r>
          </w:p>
        </w:tc>
        <w:tc>
          <w:tcPr>
            <w:tcW w:w="2066" w:type="dxa"/>
            <w:tcBorders>
              <w:top w:val="nil"/>
              <w:left w:val="nil"/>
              <w:bottom w:val="single" w:sz="4" w:space="0" w:color="auto"/>
              <w:right w:val="single" w:sz="4" w:space="0" w:color="auto"/>
            </w:tcBorders>
            <w:shd w:val="clear" w:color="auto" w:fill="auto"/>
            <w:noWrap/>
            <w:vAlign w:val="center"/>
          </w:tcPr>
          <w:p w14:paraId="471F599E"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12 892</w:t>
            </w:r>
          </w:p>
        </w:tc>
        <w:tc>
          <w:tcPr>
            <w:tcW w:w="1600" w:type="dxa"/>
            <w:tcBorders>
              <w:top w:val="nil"/>
              <w:left w:val="nil"/>
              <w:bottom w:val="single" w:sz="4" w:space="0" w:color="auto"/>
              <w:right w:val="single" w:sz="4" w:space="0" w:color="auto"/>
            </w:tcBorders>
            <w:shd w:val="clear" w:color="auto" w:fill="auto"/>
            <w:noWrap/>
            <w:vAlign w:val="center"/>
          </w:tcPr>
          <w:p w14:paraId="18BDEB01"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7 136,93</w:t>
            </w:r>
          </w:p>
        </w:tc>
        <w:tc>
          <w:tcPr>
            <w:tcW w:w="1481" w:type="dxa"/>
            <w:tcBorders>
              <w:top w:val="nil"/>
              <w:left w:val="nil"/>
              <w:bottom w:val="single" w:sz="4" w:space="0" w:color="auto"/>
              <w:right w:val="single" w:sz="4" w:space="0" w:color="auto"/>
            </w:tcBorders>
            <w:shd w:val="clear" w:color="auto" w:fill="auto"/>
            <w:noWrap/>
            <w:vAlign w:val="center"/>
          </w:tcPr>
          <w:p w14:paraId="48ED33D2"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0,71</w:t>
            </w:r>
          </w:p>
        </w:tc>
      </w:tr>
      <w:tr w:rsidR="00D73274" w:rsidRPr="007237DE" w14:paraId="42A23E66" w14:textId="77777777" w:rsidTr="00FE1791">
        <w:trPr>
          <w:trHeight w:val="315"/>
          <w:jc w:val="center"/>
        </w:trPr>
        <w:tc>
          <w:tcPr>
            <w:tcW w:w="2589" w:type="dxa"/>
            <w:shd w:val="clear" w:color="auto" w:fill="auto"/>
            <w:vAlign w:val="center"/>
          </w:tcPr>
          <w:p w14:paraId="7A083201"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Пригородное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27735237"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92 077 978,62</w:t>
            </w:r>
          </w:p>
        </w:tc>
        <w:tc>
          <w:tcPr>
            <w:tcW w:w="2066" w:type="dxa"/>
            <w:tcBorders>
              <w:top w:val="nil"/>
              <w:left w:val="nil"/>
              <w:bottom w:val="single" w:sz="4" w:space="0" w:color="auto"/>
              <w:right w:val="single" w:sz="4" w:space="0" w:color="auto"/>
            </w:tcBorders>
            <w:shd w:val="clear" w:color="auto" w:fill="auto"/>
            <w:noWrap/>
            <w:vAlign w:val="center"/>
          </w:tcPr>
          <w:p w14:paraId="0E25D995"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8 730</w:t>
            </w:r>
          </w:p>
        </w:tc>
        <w:tc>
          <w:tcPr>
            <w:tcW w:w="1600" w:type="dxa"/>
            <w:tcBorders>
              <w:top w:val="nil"/>
              <w:left w:val="nil"/>
              <w:bottom w:val="single" w:sz="4" w:space="0" w:color="auto"/>
              <w:right w:val="single" w:sz="4" w:space="0" w:color="auto"/>
            </w:tcBorders>
            <w:shd w:val="clear" w:color="auto" w:fill="auto"/>
            <w:noWrap/>
            <w:vAlign w:val="center"/>
          </w:tcPr>
          <w:p w14:paraId="5D18D52F"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10 547,31</w:t>
            </w:r>
          </w:p>
        </w:tc>
        <w:tc>
          <w:tcPr>
            <w:tcW w:w="1481" w:type="dxa"/>
            <w:tcBorders>
              <w:top w:val="nil"/>
              <w:left w:val="nil"/>
              <w:bottom w:val="single" w:sz="4" w:space="0" w:color="auto"/>
              <w:right w:val="single" w:sz="4" w:space="0" w:color="auto"/>
            </w:tcBorders>
            <w:shd w:val="clear" w:color="auto" w:fill="auto"/>
            <w:noWrap/>
            <w:vAlign w:val="center"/>
          </w:tcPr>
          <w:p w14:paraId="1CB764C9"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1,05</w:t>
            </w:r>
          </w:p>
        </w:tc>
      </w:tr>
      <w:tr w:rsidR="00D73274" w:rsidRPr="007237DE" w14:paraId="6E0CD5F5" w14:textId="77777777" w:rsidTr="00FE1791">
        <w:trPr>
          <w:trHeight w:val="315"/>
          <w:jc w:val="center"/>
        </w:trPr>
        <w:tc>
          <w:tcPr>
            <w:tcW w:w="2589" w:type="dxa"/>
            <w:shd w:val="clear" w:color="auto" w:fill="auto"/>
            <w:vAlign w:val="center"/>
          </w:tcPr>
          <w:p w14:paraId="65409E8D"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Россошанское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7B0F7CB5"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95 225 541,19</w:t>
            </w:r>
          </w:p>
        </w:tc>
        <w:tc>
          <w:tcPr>
            <w:tcW w:w="2066" w:type="dxa"/>
            <w:tcBorders>
              <w:top w:val="nil"/>
              <w:left w:val="nil"/>
              <w:bottom w:val="single" w:sz="4" w:space="0" w:color="auto"/>
              <w:right w:val="single" w:sz="4" w:space="0" w:color="auto"/>
            </w:tcBorders>
            <w:shd w:val="clear" w:color="auto" w:fill="auto"/>
            <w:noWrap/>
            <w:vAlign w:val="center"/>
          </w:tcPr>
          <w:p w14:paraId="1C3024C4"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9 088</w:t>
            </w:r>
          </w:p>
        </w:tc>
        <w:tc>
          <w:tcPr>
            <w:tcW w:w="1600" w:type="dxa"/>
            <w:tcBorders>
              <w:top w:val="nil"/>
              <w:left w:val="nil"/>
              <w:bottom w:val="single" w:sz="4" w:space="0" w:color="auto"/>
              <w:right w:val="single" w:sz="4" w:space="0" w:color="auto"/>
            </w:tcBorders>
            <w:shd w:val="clear" w:color="auto" w:fill="auto"/>
            <w:noWrap/>
            <w:vAlign w:val="center"/>
          </w:tcPr>
          <w:p w14:paraId="7DFF342A"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10 478,16</w:t>
            </w:r>
          </w:p>
        </w:tc>
        <w:tc>
          <w:tcPr>
            <w:tcW w:w="1481" w:type="dxa"/>
            <w:tcBorders>
              <w:top w:val="nil"/>
              <w:left w:val="nil"/>
              <w:bottom w:val="single" w:sz="4" w:space="0" w:color="auto"/>
              <w:right w:val="single" w:sz="4" w:space="0" w:color="auto"/>
            </w:tcBorders>
            <w:shd w:val="clear" w:color="auto" w:fill="auto"/>
            <w:noWrap/>
            <w:vAlign w:val="center"/>
          </w:tcPr>
          <w:p w14:paraId="42811B9B"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1,05</w:t>
            </w:r>
          </w:p>
        </w:tc>
      </w:tr>
      <w:tr w:rsidR="00D73274" w:rsidRPr="007237DE" w14:paraId="20ABFACA" w14:textId="77777777" w:rsidTr="00FE1791">
        <w:trPr>
          <w:trHeight w:val="315"/>
          <w:jc w:val="center"/>
        </w:trPr>
        <w:tc>
          <w:tcPr>
            <w:tcW w:w="2589" w:type="dxa"/>
            <w:shd w:val="clear" w:color="auto" w:fill="auto"/>
            <w:vAlign w:val="center"/>
          </w:tcPr>
          <w:p w14:paraId="7D79113C"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Савальское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2897271B"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63 987 024,87</w:t>
            </w:r>
          </w:p>
        </w:tc>
        <w:tc>
          <w:tcPr>
            <w:tcW w:w="2066" w:type="dxa"/>
            <w:tcBorders>
              <w:top w:val="nil"/>
              <w:left w:val="nil"/>
              <w:bottom w:val="single" w:sz="4" w:space="0" w:color="auto"/>
              <w:right w:val="single" w:sz="4" w:space="0" w:color="auto"/>
            </w:tcBorders>
            <w:shd w:val="clear" w:color="auto" w:fill="auto"/>
            <w:noWrap/>
            <w:vAlign w:val="center"/>
          </w:tcPr>
          <w:p w14:paraId="49C3F779"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14 966</w:t>
            </w:r>
          </w:p>
        </w:tc>
        <w:tc>
          <w:tcPr>
            <w:tcW w:w="1600" w:type="dxa"/>
            <w:tcBorders>
              <w:top w:val="nil"/>
              <w:left w:val="nil"/>
              <w:bottom w:val="single" w:sz="4" w:space="0" w:color="auto"/>
              <w:right w:val="single" w:sz="4" w:space="0" w:color="auto"/>
            </w:tcBorders>
            <w:shd w:val="clear" w:color="auto" w:fill="auto"/>
            <w:noWrap/>
            <w:vAlign w:val="center"/>
          </w:tcPr>
          <w:p w14:paraId="7DF9AD6D"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4 275,49</w:t>
            </w:r>
          </w:p>
        </w:tc>
        <w:tc>
          <w:tcPr>
            <w:tcW w:w="1481" w:type="dxa"/>
            <w:tcBorders>
              <w:top w:val="nil"/>
              <w:left w:val="nil"/>
              <w:bottom w:val="single" w:sz="4" w:space="0" w:color="auto"/>
              <w:right w:val="single" w:sz="4" w:space="0" w:color="auto"/>
            </w:tcBorders>
            <w:shd w:val="clear" w:color="auto" w:fill="auto"/>
            <w:noWrap/>
            <w:vAlign w:val="center"/>
          </w:tcPr>
          <w:p w14:paraId="6E7F31F2"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0,43</w:t>
            </w:r>
          </w:p>
        </w:tc>
      </w:tr>
      <w:tr w:rsidR="00D73274" w:rsidRPr="007237DE" w14:paraId="15240AF3" w14:textId="77777777" w:rsidTr="00FE1791">
        <w:trPr>
          <w:trHeight w:val="315"/>
          <w:jc w:val="center"/>
        </w:trPr>
        <w:tc>
          <w:tcPr>
            <w:tcW w:w="2589" w:type="dxa"/>
            <w:shd w:val="clear" w:color="auto" w:fill="auto"/>
            <w:vAlign w:val="center"/>
          </w:tcPr>
          <w:p w14:paraId="00C0E430"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Семилукское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02FEBFE3"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157 466 140,12</w:t>
            </w:r>
          </w:p>
        </w:tc>
        <w:tc>
          <w:tcPr>
            <w:tcW w:w="2066" w:type="dxa"/>
            <w:tcBorders>
              <w:top w:val="nil"/>
              <w:left w:val="nil"/>
              <w:bottom w:val="single" w:sz="4" w:space="0" w:color="auto"/>
              <w:right w:val="single" w:sz="4" w:space="0" w:color="auto"/>
            </w:tcBorders>
            <w:shd w:val="clear" w:color="auto" w:fill="auto"/>
            <w:noWrap/>
            <w:vAlign w:val="center"/>
          </w:tcPr>
          <w:p w14:paraId="02140EA8"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15 342</w:t>
            </w:r>
          </w:p>
        </w:tc>
        <w:tc>
          <w:tcPr>
            <w:tcW w:w="1600" w:type="dxa"/>
            <w:tcBorders>
              <w:top w:val="nil"/>
              <w:left w:val="nil"/>
              <w:bottom w:val="single" w:sz="4" w:space="0" w:color="auto"/>
              <w:right w:val="single" w:sz="4" w:space="0" w:color="auto"/>
            </w:tcBorders>
            <w:shd w:val="clear" w:color="auto" w:fill="auto"/>
            <w:noWrap/>
            <w:vAlign w:val="center"/>
          </w:tcPr>
          <w:p w14:paraId="568301EE"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10 263,73</w:t>
            </w:r>
          </w:p>
        </w:tc>
        <w:tc>
          <w:tcPr>
            <w:tcW w:w="1481" w:type="dxa"/>
            <w:tcBorders>
              <w:top w:val="nil"/>
              <w:left w:val="nil"/>
              <w:bottom w:val="single" w:sz="4" w:space="0" w:color="auto"/>
              <w:right w:val="single" w:sz="4" w:space="0" w:color="auto"/>
            </w:tcBorders>
            <w:shd w:val="clear" w:color="auto" w:fill="auto"/>
            <w:noWrap/>
            <w:vAlign w:val="center"/>
          </w:tcPr>
          <w:p w14:paraId="7AEDF02E"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1,03</w:t>
            </w:r>
          </w:p>
        </w:tc>
      </w:tr>
      <w:tr w:rsidR="00D73274" w:rsidRPr="007237DE" w14:paraId="70344E41" w14:textId="77777777" w:rsidTr="00FE1791">
        <w:trPr>
          <w:trHeight w:val="315"/>
          <w:jc w:val="center"/>
        </w:trPr>
        <w:tc>
          <w:tcPr>
            <w:tcW w:w="2589" w:type="dxa"/>
            <w:shd w:val="clear" w:color="auto" w:fill="auto"/>
            <w:vAlign w:val="center"/>
          </w:tcPr>
          <w:p w14:paraId="22C4D808"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Сомовское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74A076E1"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54 482 497,17</w:t>
            </w:r>
          </w:p>
        </w:tc>
        <w:tc>
          <w:tcPr>
            <w:tcW w:w="2066" w:type="dxa"/>
            <w:tcBorders>
              <w:top w:val="nil"/>
              <w:left w:val="nil"/>
              <w:bottom w:val="single" w:sz="4" w:space="0" w:color="auto"/>
              <w:right w:val="single" w:sz="4" w:space="0" w:color="auto"/>
            </w:tcBorders>
            <w:shd w:val="clear" w:color="auto" w:fill="auto"/>
            <w:noWrap/>
            <w:vAlign w:val="center"/>
          </w:tcPr>
          <w:p w14:paraId="4AFD9CFC"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7 255</w:t>
            </w:r>
          </w:p>
        </w:tc>
        <w:tc>
          <w:tcPr>
            <w:tcW w:w="1600" w:type="dxa"/>
            <w:tcBorders>
              <w:top w:val="nil"/>
              <w:left w:val="nil"/>
              <w:bottom w:val="single" w:sz="4" w:space="0" w:color="auto"/>
              <w:right w:val="single" w:sz="4" w:space="0" w:color="auto"/>
            </w:tcBorders>
            <w:shd w:val="clear" w:color="auto" w:fill="auto"/>
            <w:noWrap/>
            <w:vAlign w:val="center"/>
          </w:tcPr>
          <w:p w14:paraId="7E7C4423"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7 509,65</w:t>
            </w:r>
          </w:p>
        </w:tc>
        <w:tc>
          <w:tcPr>
            <w:tcW w:w="1481" w:type="dxa"/>
            <w:tcBorders>
              <w:top w:val="nil"/>
              <w:left w:val="nil"/>
              <w:bottom w:val="single" w:sz="4" w:space="0" w:color="auto"/>
              <w:right w:val="single" w:sz="4" w:space="0" w:color="auto"/>
            </w:tcBorders>
            <w:shd w:val="clear" w:color="auto" w:fill="auto"/>
            <w:noWrap/>
            <w:vAlign w:val="center"/>
          </w:tcPr>
          <w:p w14:paraId="004EF5B2"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0,75</w:t>
            </w:r>
          </w:p>
        </w:tc>
      </w:tr>
      <w:tr w:rsidR="00D73274" w:rsidRPr="007237DE" w14:paraId="27C9048F" w14:textId="77777777" w:rsidTr="00FE1791">
        <w:trPr>
          <w:trHeight w:val="315"/>
          <w:jc w:val="center"/>
        </w:trPr>
        <w:tc>
          <w:tcPr>
            <w:tcW w:w="2589" w:type="dxa"/>
            <w:shd w:val="clear" w:color="auto" w:fill="auto"/>
            <w:vAlign w:val="center"/>
          </w:tcPr>
          <w:p w14:paraId="21AB1458"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Теллермановское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3B383814"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252 031 525,90</w:t>
            </w:r>
          </w:p>
        </w:tc>
        <w:tc>
          <w:tcPr>
            <w:tcW w:w="2066" w:type="dxa"/>
            <w:tcBorders>
              <w:top w:val="nil"/>
              <w:left w:val="nil"/>
              <w:bottom w:val="single" w:sz="4" w:space="0" w:color="auto"/>
              <w:right w:val="single" w:sz="4" w:space="0" w:color="auto"/>
            </w:tcBorders>
            <w:shd w:val="clear" w:color="auto" w:fill="auto"/>
            <w:noWrap/>
            <w:vAlign w:val="center"/>
          </w:tcPr>
          <w:p w14:paraId="76CC355F"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33 599</w:t>
            </w:r>
          </w:p>
        </w:tc>
        <w:tc>
          <w:tcPr>
            <w:tcW w:w="1600" w:type="dxa"/>
            <w:tcBorders>
              <w:top w:val="nil"/>
              <w:left w:val="nil"/>
              <w:bottom w:val="single" w:sz="4" w:space="0" w:color="auto"/>
              <w:right w:val="single" w:sz="4" w:space="0" w:color="auto"/>
            </w:tcBorders>
            <w:shd w:val="clear" w:color="auto" w:fill="auto"/>
            <w:noWrap/>
            <w:vAlign w:val="center"/>
          </w:tcPr>
          <w:p w14:paraId="1328831D"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7 501,16</w:t>
            </w:r>
          </w:p>
        </w:tc>
        <w:tc>
          <w:tcPr>
            <w:tcW w:w="1481" w:type="dxa"/>
            <w:tcBorders>
              <w:top w:val="nil"/>
              <w:left w:val="nil"/>
              <w:bottom w:val="single" w:sz="4" w:space="0" w:color="auto"/>
              <w:right w:val="single" w:sz="4" w:space="0" w:color="auto"/>
            </w:tcBorders>
            <w:shd w:val="clear" w:color="auto" w:fill="auto"/>
            <w:noWrap/>
            <w:vAlign w:val="center"/>
          </w:tcPr>
          <w:p w14:paraId="143A9DEB"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0,75</w:t>
            </w:r>
          </w:p>
        </w:tc>
      </w:tr>
      <w:tr w:rsidR="00D73274" w:rsidRPr="007237DE" w14:paraId="27638AF5" w14:textId="77777777" w:rsidTr="00FE1791">
        <w:trPr>
          <w:trHeight w:val="315"/>
          <w:jc w:val="center"/>
        </w:trPr>
        <w:tc>
          <w:tcPr>
            <w:tcW w:w="2589" w:type="dxa"/>
            <w:shd w:val="clear" w:color="auto" w:fill="auto"/>
            <w:vAlign w:val="center"/>
          </w:tcPr>
          <w:p w14:paraId="65C0A0AA"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Хреновское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29E074DF"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76 371 066,70</w:t>
            </w:r>
          </w:p>
        </w:tc>
        <w:tc>
          <w:tcPr>
            <w:tcW w:w="2066" w:type="dxa"/>
            <w:tcBorders>
              <w:top w:val="nil"/>
              <w:left w:val="nil"/>
              <w:bottom w:val="single" w:sz="4" w:space="0" w:color="auto"/>
              <w:right w:val="single" w:sz="4" w:space="0" w:color="auto"/>
            </w:tcBorders>
            <w:shd w:val="clear" w:color="auto" w:fill="auto"/>
            <w:noWrap/>
            <w:vAlign w:val="center"/>
          </w:tcPr>
          <w:p w14:paraId="22F0640F"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13 260</w:t>
            </w:r>
          </w:p>
        </w:tc>
        <w:tc>
          <w:tcPr>
            <w:tcW w:w="1600" w:type="dxa"/>
            <w:tcBorders>
              <w:top w:val="nil"/>
              <w:left w:val="nil"/>
              <w:bottom w:val="single" w:sz="4" w:space="0" w:color="auto"/>
              <w:right w:val="single" w:sz="4" w:space="0" w:color="auto"/>
            </w:tcBorders>
            <w:shd w:val="clear" w:color="auto" w:fill="auto"/>
            <w:noWrap/>
            <w:vAlign w:val="center"/>
          </w:tcPr>
          <w:p w14:paraId="7B3B4D24"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5 759,51</w:t>
            </w:r>
          </w:p>
        </w:tc>
        <w:tc>
          <w:tcPr>
            <w:tcW w:w="1481" w:type="dxa"/>
            <w:tcBorders>
              <w:top w:val="nil"/>
              <w:left w:val="nil"/>
              <w:bottom w:val="single" w:sz="4" w:space="0" w:color="auto"/>
              <w:right w:val="single" w:sz="4" w:space="0" w:color="auto"/>
            </w:tcBorders>
            <w:shd w:val="clear" w:color="auto" w:fill="auto"/>
            <w:noWrap/>
            <w:vAlign w:val="center"/>
          </w:tcPr>
          <w:p w14:paraId="2D0B5909"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0,58</w:t>
            </w:r>
          </w:p>
        </w:tc>
      </w:tr>
      <w:tr w:rsidR="00D73274" w:rsidRPr="007237DE" w14:paraId="2EC298DA" w14:textId="77777777" w:rsidTr="00FE1791">
        <w:trPr>
          <w:trHeight w:val="315"/>
          <w:jc w:val="center"/>
        </w:trPr>
        <w:tc>
          <w:tcPr>
            <w:tcW w:w="2589" w:type="dxa"/>
            <w:shd w:val="clear" w:color="auto" w:fill="auto"/>
            <w:vAlign w:val="center"/>
          </w:tcPr>
          <w:p w14:paraId="30D6A6EE"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7237DE">
              <w:rPr>
                <w:rFonts w:ascii="Times New Roman" w:hAnsi="Times New Roman" w:cs="Times New Roman"/>
                <w:sz w:val="24"/>
                <w:szCs w:val="24"/>
              </w:rPr>
              <w:t>Эртильское</w:t>
            </w:r>
          </w:p>
        </w:tc>
        <w:tc>
          <w:tcPr>
            <w:tcW w:w="1801" w:type="dxa"/>
            <w:tcBorders>
              <w:top w:val="nil"/>
              <w:left w:val="single" w:sz="4" w:space="0" w:color="auto"/>
              <w:bottom w:val="single" w:sz="4" w:space="0" w:color="auto"/>
              <w:right w:val="single" w:sz="4" w:space="0" w:color="auto"/>
            </w:tcBorders>
            <w:shd w:val="clear" w:color="auto" w:fill="auto"/>
            <w:noWrap/>
            <w:vAlign w:val="center"/>
          </w:tcPr>
          <w:p w14:paraId="35CECEB4"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8 452 707,23</w:t>
            </w:r>
          </w:p>
        </w:tc>
        <w:tc>
          <w:tcPr>
            <w:tcW w:w="2066" w:type="dxa"/>
            <w:tcBorders>
              <w:top w:val="nil"/>
              <w:left w:val="nil"/>
              <w:bottom w:val="single" w:sz="4" w:space="0" w:color="auto"/>
              <w:right w:val="single" w:sz="4" w:space="0" w:color="auto"/>
            </w:tcBorders>
            <w:shd w:val="clear" w:color="auto" w:fill="auto"/>
            <w:noWrap/>
            <w:vAlign w:val="center"/>
          </w:tcPr>
          <w:p w14:paraId="59DCABDA"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2 621</w:t>
            </w:r>
          </w:p>
        </w:tc>
        <w:tc>
          <w:tcPr>
            <w:tcW w:w="1600" w:type="dxa"/>
            <w:tcBorders>
              <w:top w:val="nil"/>
              <w:left w:val="nil"/>
              <w:bottom w:val="single" w:sz="4" w:space="0" w:color="auto"/>
              <w:right w:val="single" w:sz="4" w:space="0" w:color="auto"/>
            </w:tcBorders>
            <w:shd w:val="clear" w:color="auto" w:fill="auto"/>
            <w:noWrap/>
            <w:vAlign w:val="center"/>
          </w:tcPr>
          <w:p w14:paraId="01B9A995"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3 224,99</w:t>
            </w:r>
          </w:p>
        </w:tc>
        <w:tc>
          <w:tcPr>
            <w:tcW w:w="1481" w:type="dxa"/>
            <w:tcBorders>
              <w:top w:val="nil"/>
              <w:left w:val="nil"/>
              <w:bottom w:val="single" w:sz="4" w:space="0" w:color="auto"/>
              <w:right w:val="single" w:sz="4" w:space="0" w:color="auto"/>
            </w:tcBorders>
            <w:shd w:val="clear" w:color="auto" w:fill="auto"/>
            <w:noWrap/>
            <w:vAlign w:val="center"/>
          </w:tcPr>
          <w:p w14:paraId="4AAB755F" w14:textId="77777777" w:rsidR="00D73274" w:rsidRPr="007237DE" w:rsidRDefault="00D73274" w:rsidP="00FE1791">
            <w:pPr>
              <w:spacing w:after="0" w:line="276" w:lineRule="auto"/>
              <w:contextualSpacing/>
              <w:jc w:val="center"/>
              <w:rPr>
                <w:rFonts w:ascii="Times New Roman" w:hAnsi="Times New Roman" w:cs="Times New Roman"/>
                <w:sz w:val="24"/>
                <w:szCs w:val="24"/>
              </w:rPr>
            </w:pPr>
            <w:r w:rsidRPr="00C734F1">
              <w:rPr>
                <w:rFonts w:ascii="Times New Roman" w:hAnsi="Times New Roman" w:cs="Times New Roman"/>
                <w:sz w:val="24"/>
                <w:szCs w:val="24"/>
              </w:rPr>
              <w:t>0,32</w:t>
            </w:r>
          </w:p>
        </w:tc>
      </w:tr>
    </w:tbl>
    <w:p w14:paraId="7A6EBDC8" w14:textId="77777777" w:rsidR="00D73274" w:rsidRPr="007237DE" w:rsidRDefault="00D73274" w:rsidP="00D73274">
      <w:pPr>
        <w:spacing w:after="0" w:line="276" w:lineRule="auto"/>
        <w:ind w:firstLine="708"/>
        <w:contextualSpacing/>
        <w:jc w:val="both"/>
        <w:rPr>
          <w:rFonts w:ascii="Times New Roman" w:hAnsi="Times New Roman" w:cs="Times New Roman"/>
          <w:sz w:val="26"/>
          <w:szCs w:val="26"/>
        </w:rPr>
      </w:pPr>
    </w:p>
    <w:p w14:paraId="057392A7" w14:textId="77777777" w:rsidR="00D73274" w:rsidRPr="007237DE" w:rsidRDefault="00D73274" w:rsidP="00D73274">
      <w:pPr>
        <w:spacing w:after="0" w:line="276" w:lineRule="auto"/>
        <w:contextualSpacing/>
        <w:jc w:val="center"/>
        <w:rPr>
          <w:rFonts w:ascii="Times New Roman" w:hAnsi="Times New Roman" w:cs="Times New Roman"/>
          <w:i/>
          <w:sz w:val="26"/>
          <w:szCs w:val="26"/>
        </w:rPr>
      </w:pPr>
      <w:r w:rsidRPr="007237DE">
        <w:rPr>
          <w:rFonts w:ascii="Times New Roman" w:hAnsi="Times New Roman" w:cs="Times New Roman"/>
          <w:i/>
          <w:sz w:val="26"/>
          <w:szCs w:val="26"/>
        </w:rPr>
        <w:t>Определение кадастровой стоимости земельных участков</w:t>
      </w:r>
    </w:p>
    <w:p w14:paraId="3DCDC0D9" w14:textId="77777777" w:rsidR="00D73274" w:rsidRPr="007237DE" w:rsidRDefault="00D73274" w:rsidP="00D73274">
      <w:pPr>
        <w:spacing w:after="0" w:line="276" w:lineRule="auto"/>
        <w:ind w:firstLine="708"/>
        <w:contextualSpacing/>
        <w:jc w:val="both"/>
        <w:rPr>
          <w:rFonts w:ascii="Times New Roman" w:hAnsi="Times New Roman" w:cs="Times New Roman"/>
          <w:sz w:val="26"/>
          <w:szCs w:val="26"/>
        </w:rPr>
      </w:pPr>
      <w:r w:rsidRPr="007237DE">
        <w:rPr>
          <w:rFonts w:ascii="Times New Roman" w:hAnsi="Times New Roman" w:cs="Times New Roman"/>
          <w:sz w:val="26"/>
          <w:szCs w:val="26"/>
        </w:rPr>
        <w:t>Определение кадастровой стоимости земельных участков выполняется по формуле:</w:t>
      </w:r>
    </w:p>
    <w:p w14:paraId="196C16CE" w14:textId="77777777" w:rsidR="00D73274" w:rsidRPr="007237DE" w:rsidRDefault="00D73274" w:rsidP="00D73274">
      <w:pPr>
        <w:spacing w:after="0" w:line="276" w:lineRule="auto"/>
        <w:ind w:firstLine="708"/>
        <w:contextualSpacing/>
        <w:jc w:val="center"/>
        <w:rPr>
          <w:rFonts w:ascii="Times New Roman" w:hAnsi="Times New Roman" w:cs="Times New Roman"/>
          <w:sz w:val="26"/>
          <w:szCs w:val="26"/>
        </w:rPr>
      </w:pPr>
      <m:oMath>
        <m:r>
          <m:rPr>
            <m:sty m:val="p"/>
          </m:rPr>
          <w:rPr>
            <w:rFonts w:ascii="Cambria Math" w:hAnsi="Cambria Math" w:cs="Times New Roman"/>
            <w:sz w:val="26"/>
            <w:szCs w:val="26"/>
          </w:rPr>
          <m:t>КС ЗУ=</m:t>
        </m:r>
        <m:sSub>
          <m:sSubPr>
            <m:ctrlPr>
              <w:rPr>
                <w:rFonts w:ascii="Cambria Math" w:hAnsi="Cambria Math" w:cs="Times New Roman"/>
                <w:sz w:val="26"/>
                <w:szCs w:val="26"/>
              </w:rPr>
            </m:ctrlPr>
          </m:sSubPr>
          <m:e>
            <m:r>
              <m:rPr>
                <m:sty m:val="p"/>
              </m:rPr>
              <w:rPr>
                <w:rFonts w:ascii="Cambria Math" w:hAnsi="Cambria Math" w:cs="Times New Roman"/>
                <w:sz w:val="26"/>
                <w:szCs w:val="26"/>
              </w:rPr>
              <m:t>УПКС</m:t>
            </m:r>
          </m:e>
          <m:sub>
            <m:r>
              <m:rPr>
                <m:sty m:val="p"/>
              </m:rPr>
              <w:rPr>
                <w:rFonts w:ascii="Cambria Math" w:hAnsi="Cambria Math" w:cs="Times New Roman"/>
                <w:sz w:val="26"/>
                <w:szCs w:val="26"/>
              </w:rPr>
              <m:t>лесничества</m:t>
            </m:r>
          </m:sub>
        </m:sSub>
        <m:r>
          <m:rPr>
            <m:sty m:val="p"/>
          </m:rPr>
          <w:rPr>
            <w:rFonts w:ascii="Cambria Math" w:hAnsi="Cambria Math" w:cs="Times New Roman"/>
            <w:sz w:val="26"/>
            <w:szCs w:val="26"/>
          </w:rPr>
          <m:t>*S</m:t>
        </m:r>
      </m:oMath>
      <w:r w:rsidRPr="007237DE">
        <w:rPr>
          <w:rFonts w:ascii="Times New Roman" w:hAnsi="Times New Roman" w:cs="Times New Roman"/>
          <w:sz w:val="26"/>
          <w:szCs w:val="26"/>
        </w:rPr>
        <w:t>, где</w:t>
      </w:r>
    </w:p>
    <w:p w14:paraId="62B3ABBC" w14:textId="77777777" w:rsidR="00D73274" w:rsidRPr="007237DE" w:rsidRDefault="00D73274" w:rsidP="00D73274">
      <w:pPr>
        <w:spacing w:after="0" w:line="276" w:lineRule="auto"/>
        <w:ind w:firstLine="708"/>
        <w:contextualSpacing/>
        <w:jc w:val="both"/>
        <w:rPr>
          <w:rFonts w:ascii="Times New Roman" w:hAnsi="Times New Roman" w:cs="Times New Roman"/>
          <w:sz w:val="26"/>
          <w:szCs w:val="26"/>
        </w:rPr>
      </w:pPr>
      <w:r w:rsidRPr="007237DE">
        <w:rPr>
          <w:rFonts w:ascii="Times New Roman" w:hAnsi="Times New Roman" w:cs="Times New Roman"/>
          <w:sz w:val="26"/>
          <w:szCs w:val="26"/>
        </w:rPr>
        <w:t>КС ЗУ – кадастровая стоимость земельного участка, руб.;</w:t>
      </w:r>
    </w:p>
    <w:p w14:paraId="21D02F67" w14:textId="77777777" w:rsidR="00D73274" w:rsidRPr="007237DE" w:rsidRDefault="00D73274" w:rsidP="00D73274">
      <w:pPr>
        <w:spacing w:after="0" w:line="276" w:lineRule="auto"/>
        <w:ind w:firstLine="708"/>
        <w:contextualSpacing/>
        <w:jc w:val="both"/>
        <w:rPr>
          <w:rFonts w:ascii="Times New Roman" w:hAnsi="Times New Roman" w:cs="Times New Roman"/>
          <w:sz w:val="26"/>
          <w:szCs w:val="26"/>
        </w:rPr>
      </w:pPr>
      <w:r w:rsidRPr="007237DE">
        <w:rPr>
          <w:rFonts w:ascii="Times New Roman" w:hAnsi="Times New Roman" w:cs="Times New Roman"/>
          <w:sz w:val="26"/>
          <w:szCs w:val="26"/>
        </w:rPr>
        <w:t>УПКС</w:t>
      </w:r>
      <w:r w:rsidRPr="00D73274">
        <w:rPr>
          <w:rFonts w:ascii="Times New Roman" w:hAnsi="Times New Roman" w:cs="Times New Roman"/>
          <w:sz w:val="18"/>
          <w:szCs w:val="26"/>
        </w:rPr>
        <w:t>лесничества</w:t>
      </w:r>
      <w:r w:rsidRPr="007237DE">
        <w:rPr>
          <w:rFonts w:ascii="Times New Roman" w:hAnsi="Times New Roman" w:cs="Times New Roman"/>
          <w:sz w:val="26"/>
          <w:szCs w:val="26"/>
        </w:rPr>
        <w:t xml:space="preserve"> – удельный показатель кадастровой стоимости лесничества, в котором расположен земельный участок, руб./кв. м;</w:t>
      </w:r>
    </w:p>
    <w:p w14:paraId="4AB74FAB" w14:textId="77777777" w:rsidR="00D73274" w:rsidRPr="007237DE" w:rsidRDefault="00D73274" w:rsidP="00D73274">
      <w:pPr>
        <w:spacing w:after="0" w:line="276" w:lineRule="auto"/>
        <w:ind w:firstLine="708"/>
        <w:contextualSpacing/>
        <w:jc w:val="both"/>
        <w:rPr>
          <w:rFonts w:ascii="Times New Roman" w:hAnsi="Times New Roman" w:cs="Times New Roman"/>
          <w:sz w:val="26"/>
          <w:szCs w:val="26"/>
        </w:rPr>
      </w:pPr>
      <w:r w:rsidRPr="007237DE">
        <w:rPr>
          <w:rFonts w:ascii="Times New Roman" w:hAnsi="Times New Roman" w:cs="Times New Roman"/>
          <w:sz w:val="26"/>
          <w:szCs w:val="26"/>
        </w:rPr>
        <w:t>S – площадь земельного участка, кв. м.</w:t>
      </w:r>
    </w:p>
    <w:p w14:paraId="7578375F" w14:textId="2805C134" w:rsidR="00D73274" w:rsidRPr="007237DE" w:rsidRDefault="00D30D16" w:rsidP="00D73274">
      <w:pPr>
        <w:spacing w:after="0" w:line="276" w:lineRule="auto"/>
        <w:ind w:firstLine="708"/>
        <w:contextualSpacing/>
        <w:jc w:val="both"/>
        <w:rPr>
          <w:rFonts w:ascii="Times New Roman"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D73274" w:rsidRPr="00C22CCB">
        <w:rPr>
          <w:rFonts w:ascii="Times New Roman" w:hAnsi="Times New Roman" w:cs="Times New Roman"/>
          <w:sz w:val="26"/>
          <w:szCs w:val="26"/>
        </w:rPr>
        <w:t>2/2.4</w:t>
      </w:r>
      <w:r w:rsidR="00D73274">
        <w:rPr>
          <w:rFonts w:ascii="Times New Roman" w:hAnsi="Times New Roman" w:cs="Times New Roman"/>
          <w:sz w:val="26"/>
          <w:szCs w:val="26"/>
        </w:rPr>
        <w:t>/2.4.10.</w:t>
      </w:r>
    </w:p>
    <w:p w14:paraId="27EE8FD4" w14:textId="399EBA66" w:rsidR="00E91EA2" w:rsidRPr="00F562A8" w:rsidRDefault="00B422FF" w:rsidP="00114501">
      <w:pPr>
        <w:pStyle w:val="ab"/>
        <w:spacing w:before="120" w:after="0" w:line="240" w:lineRule="auto"/>
        <w:ind w:left="0"/>
        <w:contextualSpacing w:val="0"/>
        <w:jc w:val="center"/>
        <w:outlineLvl w:val="1"/>
        <w:rPr>
          <w:rFonts w:ascii="Times New Roman" w:hAnsi="Times New Roman" w:cs="Times New Roman"/>
          <w:b/>
          <w:sz w:val="26"/>
          <w:szCs w:val="26"/>
        </w:rPr>
      </w:pPr>
      <w:r>
        <w:rPr>
          <w:rFonts w:ascii="Times New Roman" w:hAnsi="Times New Roman" w:cs="Times New Roman"/>
          <w:b/>
          <w:sz w:val="26"/>
          <w:szCs w:val="26"/>
        </w:rPr>
        <w:br w:type="page"/>
      </w:r>
      <w:bookmarkStart w:id="279" w:name="_Toc110507015"/>
      <w:r w:rsidR="00A76705" w:rsidRPr="00F562A8">
        <w:rPr>
          <w:rFonts w:ascii="Times New Roman" w:hAnsi="Times New Roman" w:cs="Times New Roman"/>
          <w:b/>
          <w:sz w:val="26"/>
          <w:szCs w:val="26"/>
        </w:rPr>
        <w:t xml:space="preserve">3.6.11. </w:t>
      </w:r>
      <w:r w:rsidR="00306BF5" w:rsidRPr="00F562A8">
        <w:rPr>
          <w:rFonts w:ascii="Times New Roman" w:hAnsi="Times New Roman" w:cs="Times New Roman"/>
          <w:b/>
          <w:sz w:val="26"/>
          <w:szCs w:val="26"/>
        </w:rPr>
        <w:t>Сегмент 11 «Водные объекты»</w:t>
      </w:r>
      <w:bookmarkEnd w:id="279"/>
    </w:p>
    <w:p w14:paraId="42D97BF6" w14:textId="77777777" w:rsidR="0094124C" w:rsidRPr="00F562A8" w:rsidRDefault="0094124C" w:rsidP="006F6435">
      <w:pPr>
        <w:spacing w:line="276" w:lineRule="auto"/>
        <w:rPr>
          <w:rFonts w:ascii="Times New Roman" w:hAnsi="Times New Roman" w:cs="Times New Roman"/>
          <w:sz w:val="16"/>
          <w:szCs w:val="16"/>
        </w:rPr>
      </w:pPr>
    </w:p>
    <w:p w14:paraId="24B7B97F" w14:textId="7938DFAC" w:rsidR="00235F1F" w:rsidRPr="00F562A8" w:rsidRDefault="0094124C" w:rsidP="00D6615B">
      <w:pPr>
        <w:pStyle w:val="ab"/>
        <w:ind w:left="0" w:firstLine="709"/>
        <w:jc w:val="center"/>
        <w:outlineLvl w:val="2"/>
        <w:rPr>
          <w:rFonts w:ascii="Times New Roman" w:eastAsiaTheme="minorEastAsia" w:hAnsi="Times New Roman" w:cs="Times New Roman"/>
          <w:i/>
          <w:sz w:val="16"/>
          <w:szCs w:val="16"/>
        </w:rPr>
      </w:pPr>
      <w:bookmarkStart w:id="280" w:name="_Toc110507016"/>
      <w:r w:rsidRPr="00DC7772">
        <w:rPr>
          <w:rFonts w:ascii="Times New Roman" w:hAnsi="Times New Roman" w:cs="Times New Roman"/>
          <w:i/>
          <w:sz w:val="26"/>
          <w:szCs w:val="26"/>
        </w:rPr>
        <w:t>3.6.11.1.</w:t>
      </w:r>
      <w:r w:rsidRPr="00F562A8">
        <w:rPr>
          <w:rFonts w:ascii="Times New Roman" w:hAnsi="Times New Roman" w:cs="Times New Roman"/>
          <w:i/>
          <w:sz w:val="26"/>
          <w:szCs w:val="26"/>
        </w:rPr>
        <w:t xml:space="preserve"> </w:t>
      </w:r>
      <w:r w:rsidR="00235F1F" w:rsidRPr="00F562A8">
        <w:rPr>
          <w:rFonts w:ascii="Times New Roman" w:hAnsi="Times New Roman" w:cs="Times New Roman"/>
          <w:i/>
          <w:sz w:val="26"/>
          <w:szCs w:val="26"/>
        </w:rPr>
        <w:t xml:space="preserve">Расчет кадастровой стоимости земельных участков </w:t>
      </w:r>
      <w:r w:rsidR="00665E69" w:rsidRPr="00F562A8">
        <w:rPr>
          <w:rFonts w:ascii="Times New Roman" w:hAnsi="Times New Roman" w:cs="Times New Roman"/>
          <w:i/>
          <w:sz w:val="26"/>
          <w:szCs w:val="26"/>
        </w:rPr>
        <w:t xml:space="preserve">группы </w:t>
      </w:r>
      <w:r w:rsidR="00665E69" w:rsidRPr="002A2D77">
        <w:rPr>
          <w:rFonts w:ascii="Times New Roman" w:hAnsi="Times New Roman" w:cs="Times New Roman"/>
          <w:i/>
          <w:sz w:val="26"/>
          <w:szCs w:val="26"/>
        </w:rPr>
        <w:t>ВОДОЕМЫ</w:t>
      </w:r>
      <w:bookmarkEnd w:id="280"/>
    </w:p>
    <w:p w14:paraId="65DFB71A" w14:textId="494DC0D8" w:rsidR="00D41CFB" w:rsidRDefault="00D41CFB" w:rsidP="00D41CFB">
      <w:pPr>
        <w:spacing w:after="0" w:line="276" w:lineRule="auto"/>
        <w:ind w:firstLine="567"/>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  Перечень объектов оценки данной группы приведен в Приложении 2/2.4</w:t>
      </w:r>
      <w:r w:rsidR="009403B6">
        <w:rPr>
          <w:rFonts w:ascii="Times New Roman" w:eastAsiaTheme="minorEastAsia" w:hAnsi="Times New Roman" w:cs="Times New Roman"/>
          <w:sz w:val="26"/>
          <w:szCs w:val="26"/>
        </w:rPr>
        <w:t>/2.4.11.</w:t>
      </w:r>
    </w:p>
    <w:p w14:paraId="75300CBD" w14:textId="76D08195" w:rsidR="006C1D26" w:rsidRDefault="006C1D26" w:rsidP="006C1D26">
      <w:pPr>
        <w:spacing w:after="0" w:line="276" w:lineRule="auto"/>
        <w:ind w:firstLine="709"/>
        <w:jc w:val="both"/>
        <w:rPr>
          <w:rFonts w:ascii="Times New Roman" w:eastAsiaTheme="minorEastAsia" w:hAnsi="Times New Roman" w:cs="Times New Roman"/>
          <w:sz w:val="26"/>
          <w:szCs w:val="26"/>
        </w:rPr>
      </w:pPr>
      <w:r w:rsidRPr="00483EA0">
        <w:rPr>
          <w:rFonts w:ascii="Times New Roman" w:eastAsiaTheme="minorEastAsia" w:hAnsi="Times New Roman" w:cs="Times New Roman"/>
          <w:sz w:val="26"/>
          <w:szCs w:val="26"/>
        </w:rPr>
        <w:t xml:space="preserve">К группе </w:t>
      </w:r>
      <w:r w:rsidRPr="003A09A9">
        <w:rPr>
          <w:rFonts w:ascii="Times New Roman" w:eastAsia="Times New Roman" w:hAnsi="Times New Roman" w:cs="Times New Roman"/>
          <w:color w:val="000000" w:themeColor="text1"/>
          <w:sz w:val="26"/>
          <w:szCs w:val="26"/>
        </w:rPr>
        <w:t>ВОДОЕМЫ</w:t>
      </w:r>
      <w:r w:rsidRPr="00483EA0">
        <w:rPr>
          <w:rFonts w:ascii="Times New Roman" w:eastAsiaTheme="minorEastAsia" w:hAnsi="Times New Roman" w:cs="Times New Roman"/>
          <w:sz w:val="26"/>
          <w:szCs w:val="26"/>
        </w:rPr>
        <w:t xml:space="preserve"> относятся земельные участки с кодом расчета вида использования </w:t>
      </w:r>
      <w:r w:rsidRPr="003A09A9">
        <w:rPr>
          <w:rFonts w:ascii="Times New Roman" w:eastAsia="Times New Roman" w:hAnsi="Times New Roman" w:cs="Times New Roman"/>
          <w:color w:val="000000" w:themeColor="text1"/>
          <w:sz w:val="26"/>
          <w:szCs w:val="26"/>
        </w:rPr>
        <w:t>11:000</w:t>
      </w:r>
      <w:r w:rsidRPr="00483EA0">
        <w:rPr>
          <w:rFonts w:ascii="Times New Roman" w:eastAsiaTheme="minorEastAsia" w:hAnsi="Times New Roman" w:cs="Times New Roman"/>
          <w:sz w:val="26"/>
          <w:szCs w:val="26"/>
        </w:rPr>
        <w:t>.</w:t>
      </w:r>
    </w:p>
    <w:p w14:paraId="625B6400" w14:textId="58924CCB" w:rsidR="007C5873" w:rsidRPr="00F562A8" w:rsidRDefault="007C5873" w:rsidP="006C1D26">
      <w:pPr>
        <w:spacing w:before="120" w:after="0" w:line="276" w:lineRule="auto"/>
        <w:ind w:firstLine="709"/>
        <w:jc w:val="both"/>
        <w:rPr>
          <w:rFonts w:ascii="Times New Roman" w:eastAsia="Times New Roman" w:hAnsi="Times New Roman" w:cs="Times New Roman"/>
          <w:color w:val="000000" w:themeColor="text1"/>
          <w:sz w:val="26"/>
          <w:szCs w:val="26"/>
        </w:rPr>
      </w:pPr>
      <w:r w:rsidRPr="00F562A8">
        <w:rPr>
          <w:rFonts w:ascii="Times New Roman" w:eastAsiaTheme="minorEastAsia" w:hAnsi="Times New Roman" w:cs="Times New Roman"/>
          <w:sz w:val="26"/>
          <w:szCs w:val="26"/>
        </w:rPr>
        <w:t xml:space="preserve">В соответствии с п. </w:t>
      </w:r>
      <w:r w:rsidRPr="00114961">
        <w:rPr>
          <w:rFonts w:ascii="Times New Roman" w:eastAsiaTheme="minorEastAsia" w:hAnsi="Times New Roman" w:cs="Times New Roman"/>
          <w:sz w:val="26"/>
          <w:szCs w:val="26"/>
        </w:rPr>
        <w:t xml:space="preserve">57.8 </w:t>
      </w:r>
      <w:r w:rsidRPr="00F562A8">
        <w:rPr>
          <w:rFonts w:ascii="Times New Roman" w:eastAsiaTheme="minorEastAsia" w:hAnsi="Times New Roman" w:cs="Times New Roman"/>
          <w:sz w:val="26"/>
          <w:szCs w:val="26"/>
        </w:rPr>
        <w:t>земельные участки, занятые обособленными водными объектами или их частями, в том числе участки, занятые объектами рыбного хозяйства</w:t>
      </w:r>
      <w:r>
        <w:rPr>
          <w:rFonts w:ascii="Times New Roman" w:eastAsiaTheme="minorEastAsia" w:hAnsi="Times New Roman" w:cs="Times New Roman"/>
          <w:sz w:val="26"/>
          <w:szCs w:val="26"/>
        </w:rPr>
        <w:t>,</w:t>
      </w:r>
      <w:r w:rsidRPr="00F562A8">
        <w:rPr>
          <w:rFonts w:ascii="Times New Roman" w:eastAsiaTheme="minorEastAsia" w:hAnsi="Times New Roman" w:cs="Times New Roman"/>
          <w:sz w:val="26"/>
          <w:szCs w:val="26"/>
        </w:rPr>
        <w:t xml:space="preserve"> код расчета вида использования</w:t>
      </w:r>
      <w:r>
        <w:rPr>
          <w:rFonts w:ascii="Times New Roman" w:eastAsiaTheme="minorEastAsia" w:hAnsi="Times New Roman" w:cs="Times New Roman"/>
          <w:sz w:val="26"/>
          <w:szCs w:val="26"/>
        </w:rPr>
        <w:t xml:space="preserve"> 11:000</w:t>
      </w:r>
      <w:r w:rsidRPr="00F562A8">
        <w:rPr>
          <w:rFonts w:ascii="Times New Roman" w:eastAsiaTheme="minorEastAsia" w:hAnsi="Times New Roman" w:cs="Times New Roman"/>
          <w:sz w:val="26"/>
          <w:szCs w:val="26"/>
        </w:rPr>
        <w:t>, оцениваются для целей Указаний исходя из возможности разведения рыбы.</w:t>
      </w:r>
      <w:r w:rsidRPr="00F562A8">
        <w:rPr>
          <w:rFonts w:ascii="Times New Roman" w:eastAsia="Times New Roman" w:hAnsi="Times New Roman" w:cs="Times New Roman"/>
          <w:color w:val="000000" w:themeColor="text1"/>
          <w:sz w:val="26"/>
          <w:szCs w:val="26"/>
        </w:rPr>
        <w:t xml:space="preserve"> Расчет кадастровой стоимости при этом осуществляется способом прямой капитализации в рамках доходного подхода на основании показателей, предоставленных в ответ на запрос ГБУ ВО «ЦГКО ВО»</w:t>
      </w:r>
      <w:r w:rsidR="00C4204A">
        <w:rPr>
          <w:rFonts w:ascii="Times New Roman" w:eastAsia="Times New Roman" w:hAnsi="Times New Roman" w:cs="Times New Roman"/>
          <w:color w:val="000000" w:themeColor="text1"/>
          <w:sz w:val="26"/>
          <w:szCs w:val="26"/>
        </w:rPr>
        <w:t>,</w:t>
      </w:r>
      <w:r w:rsidRPr="00F562A8">
        <w:rPr>
          <w:rFonts w:ascii="Times New Roman" w:eastAsia="Times New Roman" w:hAnsi="Times New Roman" w:cs="Times New Roman"/>
          <w:color w:val="000000" w:themeColor="text1"/>
          <w:sz w:val="26"/>
          <w:szCs w:val="26"/>
        </w:rPr>
        <w:t xml:space="preserve"> организациями, деятельностью которых является рыборазведение. </w:t>
      </w:r>
    </w:p>
    <w:p w14:paraId="671AEDB7" w14:textId="3692CF4D" w:rsidR="00665E69" w:rsidRPr="007C5873" w:rsidRDefault="00665E69" w:rsidP="007C5873">
      <w:pPr>
        <w:spacing w:after="0" w:line="276" w:lineRule="auto"/>
        <w:ind w:firstLine="709"/>
        <w:jc w:val="both"/>
        <w:rPr>
          <w:rFonts w:ascii="Times New Roman" w:eastAsia="Times New Roman" w:hAnsi="Times New Roman" w:cs="Times New Roman"/>
          <w:color w:val="000000" w:themeColor="text1"/>
          <w:sz w:val="26"/>
          <w:szCs w:val="26"/>
        </w:rPr>
      </w:pPr>
      <w:r w:rsidRPr="007C5873">
        <w:rPr>
          <w:rFonts w:ascii="Times New Roman" w:eastAsia="Times New Roman" w:hAnsi="Times New Roman" w:cs="Times New Roman"/>
          <w:color w:val="000000" w:themeColor="text1"/>
          <w:sz w:val="26"/>
          <w:szCs w:val="26"/>
        </w:rPr>
        <w:t xml:space="preserve">В группу </w:t>
      </w:r>
      <w:r w:rsidR="007B2D90">
        <w:rPr>
          <w:rFonts w:ascii="Times New Roman" w:eastAsia="Times New Roman" w:hAnsi="Times New Roman" w:cs="Times New Roman"/>
          <w:color w:val="000000" w:themeColor="text1"/>
          <w:sz w:val="26"/>
          <w:szCs w:val="26"/>
        </w:rPr>
        <w:t xml:space="preserve">ВОДОЕМЫ </w:t>
      </w:r>
      <w:r w:rsidRPr="007C5873">
        <w:rPr>
          <w:rFonts w:ascii="Times New Roman" w:eastAsia="Times New Roman" w:hAnsi="Times New Roman" w:cs="Times New Roman"/>
          <w:color w:val="000000" w:themeColor="text1"/>
          <w:sz w:val="26"/>
          <w:szCs w:val="26"/>
        </w:rPr>
        <w:t xml:space="preserve">входит 772 земельных участка под водными объектами. Из них к категории земель населенных пунктов относится </w:t>
      </w:r>
      <w:r w:rsidRPr="007C5873">
        <w:rPr>
          <w:rFonts w:ascii="Times New Roman" w:eastAsia="Times New Roman" w:hAnsi="Times New Roman" w:cs="Times New Roman"/>
          <w:i/>
          <w:color w:val="000000" w:themeColor="text1"/>
          <w:sz w:val="26"/>
          <w:szCs w:val="26"/>
        </w:rPr>
        <w:t>112 земельных участков, к категории земель сельскохозяйственного назначения 633 земельных участка, 4 к категории земли промышленности, энергетики, транспорта, земли обороны, безопасности и земли иного специального назначения и 23 земельных участка к категории земель водного фонда</w:t>
      </w:r>
      <w:r w:rsidRPr="007C5873">
        <w:rPr>
          <w:rFonts w:ascii="Times New Roman" w:eastAsia="Times New Roman" w:hAnsi="Times New Roman" w:cs="Times New Roman"/>
          <w:color w:val="000000" w:themeColor="text1"/>
          <w:sz w:val="26"/>
          <w:szCs w:val="26"/>
        </w:rPr>
        <w:t>.</w:t>
      </w:r>
    </w:p>
    <w:p w14:paraId="1F1B51D9" w14:textId="79E1A018" w:rsidR="00665E69" w:rsidRDefault="00665E69" w:rsidP="007C5873">
      <w:pPr>
        <w:spacing w:after="0" w:line="276" w:lineRule="auto"/>
        <w:ind w:firstLine="709"/>
        <w:jc w:val="both"/>
        <w:rPr>
          <w:rFonts w:ascii="Times New Roman" w:eastAsia="Times New Roman" w:hAnsi="Times New Roman" w:cs="Times New Roman"/>
          <w:i/>
          <w:color w:val="000000" w:themeColor="text1"/>
          <w:sz w:val="26"/>
          <w:szCs w:val="26"/>
        </w:rPr>
      </w:pPr>
      <w:r w:rsidRPr="007C5873">
        <w:rPr>
          <w:rFonts w:ascii="Times New Roman" w:eastAsia="Times New Roman" w:hAnsi="Times New Roman" w:cs="Times New Roman"/>
          <w:i/>
          <w:color w:val="000000" w:themeColor="text1"/>
          <w:sz w:val="26"/>
          <w:szCs w:val="26"/>
        </w:rPr>
        <w:t xml:space="preserve">Кадастровая стоимость земельных участков группы </w:t>
      </w:r>
      <w:r w:rsidR="003A09A9" w:rsidRPr="002A2D77">
        <w:rPr>
          <w:rFonts w:ascii="Times New Roman" w:hAnsi="Times New Roman" w:cs="Times New Roman"/>
          <w:i/>
          <w:sz w:val="26"/>
          <w:szCs w:val="26"/>
        </w:rPr>
        <w:t>ВОДОЕМЫ</w:t>
      </w:r>
      <w:r w:rsidR="003A09A9" w:rsidRPr="007C5873">
        <w:rPr>
          <w:rFonts w:ascii="Times New Roman" w:eastAsia="Times New Roman" w:hAnsi="Times New Roman" w:cs="Times New Roman"/>
          <w:i/>
          <w:color w:val="000000" w:themeColor="text1"/>
          <w:sz w:val="26"/>
          <w:szCs w:val="26"/>
        </w:rPr>
        <w:t xml:space="preserve"> </w:t>
      </w:r>
      <w:r w:rsidR="003A09A9">
        <w:rPr>
          <w:rFonts w:ascii="Times New Roman" w:eastAsia="Times New Roman" w:hAnsi="Times New Roman" w:cs="Times New Roman"/>
          <w:i/>
          <w:color w:val="000000" w:themeColor="text1"/>
          <w:sz w:val="26"/>
          <w:szCs w:val="26"/>
        </w:rPr>
        <w:t xml:space="preserve">(код расчета 11:000) </w:t>
      </w:r>
      <w:r w:rsidRPr="007C5873">
        <w:rPr>
          <w:rFonts w:ascii="Times New Roman" w:eastAsia="Times New Roman" w:hAnsi="Times New Roman" w:cs="Times New Roman"/>
          <w:i/>
          <w:color w:val="000000" w:themeColor="text1"/>
          <w:sz w:val="26"/>
          <w:szCs w:val="26"/>
        </w:rPr>
        <w:t>рассчитывается как сумма произведений УПКС водного зеркала на площадь земельного участка под водной поверхностью и средне</w:t>
      </w:r>
      <w:r w:rsidR="006C1D26">
        <w:rPr>
          <w:rFonts w:ascii="Times New Roman" w:eastAsia="Times New Roman" w:hAnsi="Times New Roman" w:cs="Times New Roman"/>
          <w:i/>
          <w:color w:val="000000" w:themeColor="text1"/>
          <w:sz w:val="26"/>
          <w:szCs w:val="26"/>
        </w:rPr>
        <w:t>го</w:t>
      </w:r>
      <w:r w:rsidRPr="007C5873">
        <w:rPr>
          <w:rFonts w:ascii="Times New Roman" w:eastAsia="Times New Roman" w:hAnsi="Times New Roman" w:cs="Times New Roman"/>
          <w:i/>
          <w:color w:val="000000" w:themeColor="text1"/>
          <w:sz w:val="26"/>
          <w:szCs w:val="26"/>
        </w:rPr>
        <w:t xml:space="preserve"> по району значени</w:t>
      </w:r>
      <w:r w:rsidR="006C1D26">
        <w:rPr>
          <w:rFonts w:ascii="Times New Roman" w:eastAsia="Times New Roman" w:hAnsi="Times New Roman" w:cs="Times New Roman"/>
          <w:i/>
          <w:color w:val="000000" w:themeColor="text1"/>
          <w:sz w:val="26"/>
          <w:szCs w:val="26"/>
        </w:rPr>
        <w:t>я</w:t>
      </w:r>
      <w:r w:rsidRPr="007C5873">
        <w:rPr>
          <w:rFonts w:ascii="Times New Roman" w:eastAsia="Times New Roman" w:hAnsi="Times New Roman" w:cs="Times New Roman"/>
          <w:i/>
          <w:color w:val="000000" w:themeColor="text1"/>
          <w:sz w:val="26"/>
          <w:szCs w:val="26"/>
        </w:rPr>
        <w:t xml:space="preserve"> УПКС земель сельскохозяйственного назначения на площадь земельного участка не занятого водной поверхностью.</w:t>
      </w:r>
    </w:p>
    <w:p w14:paraId="1945D6EC" w14:textId="115C3692" w:rsidR="006C1D26" w:rsidRPr="007C5873" w:rsidRDefault="006C1D26" w:rsidP="007C5873">
      <w:pPr>
        <w:spacing w:after="0" w:line="276" w:lineRule="auto"/>
        <w:ind w:firstLine="709"/>
        <w:jc w:val="both"/>
        <w:rPr>
          <w:rFonts w:ascii="Times New Roman" w:eastAsia="Times New Roman" w:hAnsi="Times New Roman" w:cs="Times New Roman"/>
          <w:i/>
          <w:color w:val="000000" w:themeColor="text1"/>
          <w:sz w:val="26"/>
          <w:szCs w:val="26"/>
        </w:rPr>
      </w:pPr>
      <w:r>
        <w:rPr>
          <w:rFonts w:ascii="Times New Roman" w:eastAsia="Times New Roman" w:hAnsi="Times New Roman" w:cs="Times New Roman"/>
          <w:color w:val="000000" w:themeColor="text1"/>
          <w:sz w:val="26"/>
          <w:szCs w:val="26"/>
        </w:rPr>
        <w:t xml:space="preserve">Описание расчета группы </w:t>
      </w:r>
      <w:r w:rsidRPr="003A09A9">
        <w:rPr>
          <w:rFonts w:ascii="Times New Roman" w:eastAsia="Times New Roman" w:hAnsi="Times New Roman" w:cs="Times New Roman"/>
          <w:color w:val="000000" w:themeColor="text1"/>
          <w:sz w:val="26"/>
          <w:szCs w:val="26"/>
        </w:rPr>
        <w:t xml:space="preserve">ВОДОЕМЫ (код расчета 11:000) </w:t>
      </w:r>
      <w:r w:rsidRPr="006C1D26">
        <w:rPr>
          <w:rFonts w:ascii="Times New Roman" w:eastAsia="Times New Roman" w:hAnsi="Times New Roman" w:cs="Times New Roman"/>
          <w:color w:val="000000" w:themeColor="text1"/>
          <w:sz w:val="26"/>
          <w:szCs w:val="26"/>
        </w:rPr>
        <w:t>соответствует описанию расчета группы ПРУДЫ (код расчета 01:130) в главе 3.6.1.2</w:t>
      </w:r>
      <w:r w:rsidR="005C3B60">
        <w:rPr>
          <w:rFonts w:ascii="Times New Roman" w:eastAsia="Times New Roman" w:hAnsi="Times New Roman" w:cs="Times New Roman"/>
          <w:color w:val="000000" w:themeColor="text1"/>
          <w:sz w:val="26"/>
          <w:szCs w:val="26"/>
        </w:rPr>
        <w:t>.</w:t>
      </w:r>
    </w:p>
    <w:p w14:paraId="48C9FD72" w14:textId="32A0C59D" w:rsidR="00FF372E" w:rsidRDefault="0064713D" w:rsidP="00FF372E">
      <w:pPr>
        <w:spacing w:after="0" w:line="276" w:lineRule="auto"/>
        <w:ind w:firstLine="709"/>
        <w:jc w:val="both"/>
        <w:rPr>
          <w:rFonts w:ascii="Times New Roman"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FF372E" w:rsidRPr="00DE2810">
        <w:rPr>
          <w:rFonts w:ascii="Times New Roman" w:eastAsiaTheme="minorEastAsia" w:hAnsi="Times New Roman" w:cs="Times New Roman"/>
          <w:sz w:val="26"/>
          <w:szCs w:val="26"/>
        </w:rPr>
        <w:t>2/2.6/2.6.</w:t>
      </w:r>
      <w:r w:rsidR="00DE2810" w:rsidRPr="00DE2810">
        <w:rPr>
          <w:rFonts w:ascii="Times New Roman" w:eastAsiaTheme="minorEastAsia" w:hAnsi="Times New Roman" w:cs="Times New Roman"/>
          <w:sz w:val="26"/>
          <w:szCs w:val="26"/>
        </w:rPr>
        <w:t>3</w:t>
      </w:r>
    </w:p>
    <w:p w14:paraId="281AC7B2" w14:textId="2BC1693A" w:rsidR="00244000" w:rsidRDefault="00244000" w:rsidP="00665E69">
      <w:pPr>
        <w:spacing w:after="0" w:line="276" w:lineRule="auto"/>
        <w:ind w:firstLine="709"/>
        <w:jc w:val="both"/>
        <w:rPr>
          <w:rFonts w:ascii="Times New Roman" w:eastAsiaTheme="minorEastAsia" w:hAnsi="Times New Roman" w:cs="Times New Roman"/>
          <w:sz w:val="26"/>
          <w:szCs w:val="26"/>
        </w:rPr>
      </w:pPr>
    </w:p>
    <w:p w14:paraId="35EEA7D1" w14:textId="1FA8DD49" w:rsidR="003A09A9" w:rsidRDefault="003A09A9" w:rsidP="00665E69">
      <w:pPr>
        <w:spacing w:after="0" w:line="276" w:lineRule="auto"/>
        <w:ind w:firstLine="709"/>
        <w:jc w:val="both"/>
        <w:rPr>
          <w:rFonts w:ascii="Times New Roman" w:eastAsiaTheme="minorEastAsia" w:hAnsi="Times New Roman" w:cs="Times New Roman"/>
          <w:sz w:val="26"/>
          <w:szCs w:val="26"/>
        </w:rPr>
      </w:pPr>
    </w:p>
    <w:p w14:paraId="20A36780" w14:textId="77777777" w:rsidR="006C1D26" w:rsidRDefault="006C1D26">
      <w:pPr>
        <w:rPr>
          <w:rFonts w:ascii="Times New Roman" w:hAnsi="Times New Roman" w:cs="Times New Roman"/>
          <w:i/>
          <w:sz w:val="26"/>
          <w:szCs w:val="26"/>
        </w:rPr>
      </w:pPr>
      <w:r>
        <w:rPr>
          <w:rFonts w:ascii="Times New Roman" w:hAnsi="Times New Roman" w:cs="Times New Roman"/>
          <w:i/>
          <w:sz w:val="26"/>
          <w:szCs w:val="26"/>
        </w:rPr>
        <w:br w:type="page"/>
      </w:r>
    </w:p>
    <w:p w14:paraId="4C3AF6DE" w14:textId="2B267A38" w:rsidR="00AB716D" w:rsidRPr="00483EA0" w:rsidRDefault="00483EA0" w:rsidP="00483EA0">
      <w:pPr>
        <w:pStyle w:val="ab"/>
        <w:ind w:left="0"/>
        <w:jc w:val="center"/>
        <w:outlineLvl w:val="2"/>
        <w:rPr>
          <w:rFonts w:ascii="Times New Roman" w:hAnsi="Times New Roman" w:cs="Times New Roman"/>
          <w:i/>
          <w:sz w:val="26"/>
          <w:szCs w:val="26"/>
        </w:rPr>
      </w:pPr>
      <w:bookmarkStart w:id="281" w:name="_Toc110507017"/>
      <w:r w:rsidRPr="002356C5">
        <w:rPr>
          <w:rFonts w:ascii="Times New Roman" w:hAnsi="Times New Roman" w:cs="Times New Roman"/>
          <w:i/>
          <w:sz w:val="26"/>
          <w:szCs w:val="26"/>
        </w:rPr>
        <w:t xml:space="preserve">3.6.11.2. </w:t>
      </w:r>
      <w:r w:rsidR="000521EE" w:rsidRPr="002356C5">
        <w:rPr>
          <w:rFonts w:ascii="Times New Roman" w:hAnsi="Times New Roman" w:cs="Times New Roman"/>
          <w:i/>
          <w:sz w:val="26"/>
          <w:szCs w:val="26"/>
        </w:rPr>
        <w:t>Расчет кадастровой</w:t>
      </w:r>
      <w:r w:rsidR="000521EE" w:rsidRPr="00F562A8">
        <w:rPr>
          <w:rFonts w:ascii="Times New Roman" w:hAnsi="Times New Roman" w:cs="Times New Roman"/>
          <w:i/>
          <w:sz w:val="26"/>
          <w:szCs w:val="26"/>
        </w:rPr>
        <w:t xml:space="preserve"> стоимости земельных участков групп</w:t>
      </w:r>
      <w:r w:rsidR="00C4204A">
        <w:rPr>
          <w:rFonts w:ascii="Times New Roman" w:hAnsi="Times New Roman" w:cs="Times New Roman"/>
          <w:i/>
          <w:sz w:val="26"/>
          <w:szCs w:val="26"/>
        </w:rPr>
        <w:t>ы</w:t>
      </w:r>
      <w:r w:rsidR="000521EE">
        <w:rPr>
          <w:rFonts w:ascii="Times New Roman" w:hAnsi="Times New Roman" w:cs="Times New Roman"/>
          <w:i/>
          <w:sz w:val="26"/>
          <w:szCs w:val="26"/>
        </w:rPr>
        <w:t xml:space="preserve"> </w:t>
      </w:r>
      <w:r w:rsidR="009B1518" w:rsidRPr="009B1518">
        <w:rPr>
          <w:rFonts w:ascii="Times New Roman" w:hAnsi="Times New Roman" w:cs="Times New Roman"/>
          <w:i/>
          <w:sz w:val="26"/>
          <w:szCs w:val="26"/>
        </w:rPr>
        <w:t>ВОДОПОЛЬЗОВАНИЕ</w:t>
      </w:r>
      <w:bookmarkEnd w:id="281"/>
    </w:p>
    <w:p w14:paraId="176FB0A8" w14:textId="1A159FEA" w:rsidR="00A13143" w:rsidRPr="00B35048" w:rsidRDefault="00A13143" w:rsidP="00A13143">
      <w:pPr>
        <w:spacing w:after="0" w:line="276" w:lineRule="auto"/>
        <w:ind w:firstLine="709"/>
        <w:jc w:val="both"/>
        <w:rPr>
          <w:rFonts w:ascii="Times New Roman" w:eastAsiaTheme="minorEastAsia" w:hAnsi="Times New Roman" w:cs="Times New Roman"/>
          <w:sz w:val="26"/>
          <w:szCs w:val="26"/>
        </w:rPr>
      </w:pPr>
      <w:bookmarkStart w:id="282" w:name="_Hlk106609162"/>
      <w:r w:rsidRPr="00B3504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9403B6" w:rsidRPr="00F562A8">
        <w:rPr>
          <w:rFonts w:ascii="Times New Roman" w:eastAsiaTheme="minorEastAsia" w:hAnsi="Times New Roman" w:cs="Times New Roman"/>
          <w:sz w:val="26"/>
          <w:szCs w:val="26"/>
        </w:rPr>
        <w:t>2/2.4</w:t>
      </w:r>
      <w:r w:rsidR="009403B6">
        <w:rPr>
          <w:rFonts w:ascii="Times New Roman" w:eastAsiaTheme="minorEastAsia" w:hAnsi="Times New Roman" w:cs="Times New Roman"/>
          <w:sz w:val="26"/>
          <w:szCs w:val="26"/>
        </w:rPr>
        <w:t>/2.4.11.</w:t>
      </w:r>
    </w:p>
    <w:p w14:paraId="32D8CEEF" w14:textId="15D78E2C" w:rsidR="00A13143" w:rsidRPr="00B35048" w:rsidRDefault="00A13143" w:rsidP="00A13143">
      <w:pPr>
        <w:pStyle w:val="ConsPlusNormal"/>
        <w:spacing w:line="276" w:lineRule="auto"/>
        <w:ind w:firstLine="709"/>
        <w:jc w:val="both"/>
        <w:rPr>
          <w:rFonts w:ascii="Times New Roman" w:hAnsi="Times New Roman" w:cs="Times New Roman"/>
          <w:sz w:val="26"/>
          <w:szCs w:val="26"/>
          <w:lang w:eastAsia="en-US"/>
        </w:rPr>
      </w:pPr>
      <w:r w:rsidRPr="00B35048">
        <w:rPr>
          <w:rFonts w:ascii="Times New Roman" w:hAnsi="Times New Roman" w:cs="Times New Roman"/>
          <w:sz w:val="26"/>
          <w:szCs w:val="26"/>
          <w:lang w:eastAsia="en-US"/>
        </w:rPr>
        <w:t>В состав группы ВОДОПОЛЬЗОВАНИЕ вошли следующие</w:t>
      </w:r>
      <w:r w:rsidRPr="00B35048">
        <w:rPr>
          <w:rFonts w:ascii="Times New Roman" w:hAnsi="Times New Roman" w:cs="Times New Roman"/>
          <w:bCs/>
          <w:sz w:val="26"/>
          <w:szCs w:val="26"/>
        </w:rPr>
        <w:t xml:space="preserve"> коды расчета видов использования:</w:t>
      </w:r>
      <w:r w:rsidRPr="00B35048">
        <w:t xml:space="preserve"> </w:t>
      </w:r>
      <w:r w:rsidRPr="00B35048">
        <w:rPr>
          <w:rFonts w:ascii="Times New Roman" w:hAnsi="Times New Roman" w:cs="Times New Roman"/>
          <w:bCs/>
          <w:sz w:val="26"/>
          <w:szCs w:val="26"/>
        </w:rPr>
        <w:t>11:010, 11:020.</w:t>
      </w:r>
    </w:p>
    <w:p w14:paraId="403BA1D2" w14:textId="77777777" w:rsidR="00440F60" w:rsidRPr="00440F60" w:rsidRDefault="00440F60" w:rsidP="00440F60">
      <w:pPr>
        <w:pStyle w:val="ConsPlusNormal"/>
        <w:spacing w:line="276" w:lineRule="auto"/>
        <w:ind w:firstLine="709"/>
        <w:jc w:val="both"/>
        <w:rPr>
          <w:rFonts w:ascii="Times New Roman" w:hAnsi="Times New Roman" w:cs="Times New Roman"/>
          <w:sz w:val="26"/>
          <w:szCs w:val="26"/>
          <w:lang w:eastAsia="en-US"/>
        </w:rPr>
      </w:pPr>
      <w:r w:rsidRPr="00440F60">
        <w:rPr>
          <w:rFonts w:ascii="Times New Roman" w:hAnsi="Times New Roman" w:cs="Times New Roman"/>
          <w:sz w:val="26"/>
          <w:szCs w:val="26"/>
          <w:lang w:eastAsia="en-US"/>
        </w:rPr>
        <w:t xml:space="preserve">Расчет кадастровой стоимости земельных участков данной группы проведен по минимальному значению удельных показателей кадастровой стоимости земельных участков группы ВОДОЕМЫ без учета кода расчета вида использования по кадастровому кварталу, в котором расположены объекты оценки. </w:t>
      </w:r>
    </w:p>
    <w:p w14:paraId="52BAFD24" w14:textId="4ABBB919" w:rsidR="00B91A8C" w:rsidRPr="00B35048" w:rsidRDefault="00440F60" w:rsidP="00440F60">
      <w:pPr>
        <w:pStyle w:val="ConsPlusNormal"/>
        <w:spacing w:line="276" w:lineRule="auto"/>
        <w:ind w:firstLine="709"/>
        <w:jc w:val="both"/>
        <w:rPr>
          <w:rFonts w:ascii="Times New Roman" w:hAnsi="Times New Roman" w:cs="Times New Roman"/>
          <w:sz w:val="26"/>
          <w:szCs w:val="26"/>
          <w:lang w:eastAsia="en-US"/>
        </w:rPr>
      </w:pPr>
      <w:r w:rsidRPr="00440F60">
        <w:rPr>
          <w:rFonts w:ascii="Times New Roman" w:hAnsi="Times New Roman" w:cs="Times New Roman"/>
          <w:sz w:val="26"/>
          <w:szCs w:val="26"/>
          <w:lang w:eastAsia="en-US"/>
        </w:rPr>
        <w:t>В случае отсутствия таких показателей, по минимальным значениям удельных показателей кадастровой стоимости в населенном пункте, а в случае отсутствия и этих значений, по минимальным значениям удельных показателей кадастровой стоимости в муниципальном районе, а в случае отсутствия и этих значений, по минимальным значениям удельных показателей кадастровой стоимости Воронежской области</w:t>
      </w:r>
      <w:r w:rsidR="00A13143" w:rsidRPr="00B35048">
        <w:rPr>
          <w:rFonts w:ascii="Times New Roman" w:hAnsi="Times New Roman" w:cs="Times New Roman"/>
          <w:sz w:val="26"/>
          <w:szCs w:val="26"/>
          <w:lang w:eastAsia="en-US"/>
        </w:rPr>
        <w:t>.</w:t>
      </w:r>
      <w:r w:rsidR="00B91A8C" w:rsidRPr="00B35048">
        <w:rPr>
          <w:rFonts w:ascii="Times New Roman" w:hAnsi="Times New Roman" w:cs="Times New Roman"/>
          <w:sz w:val="26"/>
          <w:szCs w:val="26"/>
          <w:lang w:eastAsia="en-US"/>
        </w:rPr>
        <w:t xml:space="preserve"> </w:t>
      </w:r>
    </w:p>
    <w:bookmarkEnd w:id="282"/>
    <w:p w14:paraId="48A3B6D0" w14:textId="50D86B39" w:rsidR="00306BF5" w:rsidRPr="00B35048" w:rsidRDefault="00D30D16" w:rsidP="00483EA0">
      <w:pPr>
        <w:pStyle w:val="ConsPlusNormal"/>
        <w:spacing w:line="276" w:lineRule="auto"/>
        <w:ind w:firstLine="709"/>
        <w:jc w:val="both"/>
        <w:rPr>
          <w:rFonts w:ascii="Times New Roman" w:hAnsi="Times New Roman" w:cs="Times New Roman"/>
          <w:sz w:val="26"/>
          <w:szCs w:val="26"/>
          <w:lang w:eastAsia="en-US"/>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9403B6" w:rsidRPr="00F562A8">
        <w:rPr>
          <w:rFonts w:ascii="Times New Roman" w:hAnsi="Times New Roman" w:cs="Times New Roman"/>
          <w:sz w:val="26"/>
          <w:szCs w:val="26"/>
        </w:rPr>
        <w:t>2/2.4</w:t>
      </w:r>
      <w:r w:rsidR="009403B6">
        <w:rPr>
          <w:rFonts w:ascii="Times New Roman" w:hAnsi="Times New Roman" w:cs="Times New Roman"/>
          <w:sz w:val="26"/>
          <w:szCs w:val="26"/>
        </w:rPr>
        <w:t>/2.4.11.</w:t>
      </w:r>
    </w:p>
    <w:p w14:paraId="6BCAB557" w14:textId="77777777" w:rsidR="0094124C" w:rsidRPr="00F562A8" w:rsidRDefault="0094124C" w:rsidP="006F6435">
      <w:pPr>
        <w:spacing w:after="0" w:line="276" w:lineRule="auto"/>
        <w:ind w:firstLine="709"/>
        <w:contextualSpacing/>
        <w:jc w:val="both"/>
        <w:rPr>
          <w:rFonts w:ascii="Times New Roman" w:hAnsi="Times New Roman" w:cs="Times New Roman"/>
          <w:sz w:val="16"/>
          <w:szCs w:val="16"/>
        </w:rPr>
      </w:pPr>
    </w:p>
    <w:p w14:paraId="4BA92161" w14:textId="1926850D" w:rsidR="00306BF5" w:rsidRDefault="00306BF5" w:rsidP="006F6435">
      <w:pPr>
        <w:spacing w:after="0" w:line="276" w:lineRule="auto"/>
        <w:jc w:val="both"/>
        <w:rPr>
          <w:rFonts w:ascii="Times New Roman" w:eastAsiaTheme="minorEastAsia" w:hAnsi="Times New Roman" w:cs="Times New Roman"/>
          <w:sz w:val="16"/>
          <w:szCs w:val="16"/>
        </w:rPr>
      </w:pPr>
    </w:p>
    <w:p w14:paraId="32725B95" w14:textId="7844EA62" w:rsidR="00306BF5" w:rsidRPr="00C1026B" w:rsidRDefault="00A76705" w:rsidP="00A55966">
      <w:pPr>
        <w:pStyle w:val="ab"/>
        <w:spacing w:before="120" w:after="0" w:line="240" w:lineRule="auto"/>
        <w:ind w:left="0"/>
        <w:contextualSpacing w:val="0"/>
        <w:jc w:val="center"/>
        <w:outlineLvl w:val="1"/>
        <w:rPr>
          <w:rFonts w:ascii="Times New Roman" w:hAnsi="Times New Roman" w:cs="Times New Roman"/>
          <w:b/>
          <w:sz w:val="26"/>
          <w:szCs w:val="26"/>
        </w:rPr>
      </w:pPr>
      <w:bookmarkStart w:id="283" w:name="_Toc110507018"/>
      <w:r w:rsidRPr="00C1026B">
        <w:rPr>
          <w:rFonts w:ascii="Times New Roman" w:hAnsi="Times New Roman" w:cs="Times New Roman"/>
          <w:b/>
          <w:sz w:val="26"/>
          <w:szCs w:val="26"/>
        </w:rPr>
        <w:t xml:space="preserve">3.6.12. </w:t>
      </w:r>
      <w:r w:rsidR="00306BF5" w:rsidRPr="00C1026B">
        <w:rPr>
          <w:rFonts w:ascii="Times New Roman" w:hAnsi="Times New Roman" w:cs="Times New Roman"/>
          <w:b/>
          <w:sz w:val="26"/>
          <w:szCs w:val="26"/>
        </w:rPr>
        <w:t>Сегмент 12. «Специальное, ритуальное использование, запас»</w:t>
      </w:r>
      <w:bookmarkEnd w:id="283"/>
      <w:r w:rsidR="00306BF5" w:rsidRPr="00C1026B">
        <w:rPr>
          <w:rFonts w:ascii="Times New Roman" w:hAnsi="Times New Roman" w:cs="Times New Roman"/>
          <w:b/>
          <w:sz w:val="26"/>
          <w:szCs w:val="26"/>
        </w:rPr>
        <w:t xml:space="preserve"> </w:t>
      </w:r>
    </w:p>
    <w:p w14:paraId="716853C9" w14:textId="77777777" w:rsidR="008453E3" w:rsidRPr="00504BC2" w:rsidRDefault="008453E3" w:rsidP="006F6435">
      <w:pPr>
        <w:spacing w:line="276" w:lineRule="auto"/>
        <w:rPr>
          <w:rFonts w:ascii="Times New Roman" w:hAnsi="Times New Roman" w:cs="Times New Roman"/>
          <w:color w:val="FF0000"/>
          <w:sz w:val="16"/>
          <w:szCs w:val="16"/>
        </w:rPr>
      </w:pPr>
    </w:p>
    <w:p w14:paraId="7C69C8F9" w14:textId="77777777" w:rsidR="00C1026B" w:rsidRPr="00F562A8" w:rsidRDefault="00C1026B" w:rsidP="00C1026B">
      <w:pPr>
        <w:pStyle w:val="ab"/>
        <w:ind w:left="0"/>
        <w:jc w:val="center"/>
        <w:outlineLvl w:val="2"/>
        <w:rPr>
          <w:rFonts w:ascii="Times New Roman" w:hAnsi="Times New Roman" w:cs="Times New Roman"/>
          <w:i/>
          <w:sz w:val="26"/>
          <w:szCs w:val="26"/>
        </w:rPr>
      </w:pPr>
      <w:bookmarkStart w:id="284" w:name="_Toc51837461"/>
      <w:bookmarkStart w:id="285" w:name="_Toc110507019"/>
      <w:r w:rsidRPr="00F562A8">
        <w:rPr>
          <w:rFonts w:ascii="Times New Roman" w:hAnsi="Times New Roman" w:cs="Times New Roman"/>
          <w:i/>
          <w:sz w:val="26"/>
          <w:szCs w:val="26"/>
        </w:rPr>
        <w:t xml:space="preserve">3.6.12.1. Расчет </w:t>
      </w:r>
      <w:r w:rsidRPr="00483EA0">
        <w:rPr>
          <w:rFonts w:ascii="Times New Roman" w:hAnsi="Times New Roman" w:cs="Times New Roman"/>
          <w:i/>
          <w:sz w:val="26"/>
          <w:szCs w:val="26"/>
        </w:rPr>
        <w:t>кадастровой стоимости земельных участков группы</w:t>
      </w:r>
      <w:bookmarkEnd w:id="284"/>
      <w:r>
        <w:rPr>
          <w:rFonts w:ascii="Times New Roman" w:hAnsi="Times New Roman" w:cs="Times New Roman"/>
          <w:i/>
          <w:sz w:val="26"/>
          <w:szCs w:val="26"/>
        </w:rPr>
        <w:br/>
      </w:r>
      <w:r>
        <w:rPr>
          <w:rFonts w:ascii="Times New Roman" w:eastAsiaTheme="minorEastAsia" w:hAnsi="Times New Roman" w:cs="Times New Roman"/>
          <w:i/>
          <w:sz w:val="26"/>
          <w:szCs w:val="26"/>
        </w:rPr>
        <w:t>ВС ПОЛИГОНЫ</w:t>
      </w:r>
      <w:bookmarkEnd w:id="285"/>
    </w:p>
    <w:p w14:paraId="014FFD89" w14:textId="77777777" w:rsidR="00C1026B" w:rsidRPr="00F562A8" w:rsidRDefault="00C1026B" w:rsidP="00C1026B">
      <w:pPr>
        <w:pStyle w:val="ab"/>
        <w:spacing w:after="0" w:line="276" w:lineRule="auto"/>
        <w:ind w:left="1069"/>
        <w:rPr>
          <w:rFonts w:ascii="Times New Roman" w:eastAsiaTheme="minorEastAsia" w:hAnsi="Times New Roman" w:cs="Times New Roman"/>
          <w:i/>
          <w:sz w:val="16"/>
          <w:szCs w:val="16"/>
        </w:rPr>
      </w:pPr>
    </w:p>
    <w:p w14:paraId="74BE14A8" w14:textId="29DC2BA8" w:rsidR="00C1026B" w:rsidRPr="00483EA0" w:rsidRDefault="00C1026B" w:rsidP="00C1026B">
      <w:pPr>
        <w:spacing w:after="0" w:line="276" w:lineRule="auto"/>
        <w:ind w:firstLine="709"/>
        <w:jc w:val="both"/>
        <w:rPr>
          <w:rFonts w:ascii="Times New Roman" w:eastAsiaTheme="minorEastAsia" w:hAnsi="Times New Roman" w:cs="Times New Roman"/>
          <w:sz w:val="26"/>
          <w:szCs w:val="26"/>
        </w:rPr>
      </w:pPr>
      <w:r w:rsidRPr="00483EA0">
        <w:rPr>
          <w:rFonts w:ascii="Times New Roman" w:eastAsiaTheme="minorEastAsia" w:hAnsi="Times New Roman" w:cs="Times New Roman"/>
          <w:sz w:val="26"/>
          <w:szCs w:val="26"/>
        </w:rPr>
        <w:t>Перечень объектов оценки данной группы приведен в Приложении 2/2.4</w:t>
      </w:r>
      <w:r w:rsidR="002C7430">
        <w:rPr>
          <w:rFonts w:ascii="Times New Roman" w:eastAsiaTheme="minorEastAsia" w:hAnsi="Times New Roman" w:cs="Times New Roman"/>
          <w:sz w:val="26"/>
          <w:szCs w:val="26"/>
        </w:rPr>
        <w:t>/2.4.12.</w:t>
      </w:r>
    </w:p>
    <w:p w14:paraId="3B2B7176" w14:textId="77777777" w:rsidR="00C1026B" w:rsidRDefault="00C1026B" w:rsidP="00C1026B">
      <w:pPr>
        <w:spacing w:after="0" w:line="276" w:lineRule="auto"/>
        <w:ind w:firstLine="709"/>
        <w:jc w:val="both"/>
        <w:rPr>
          <w:rFonts w:ascii="Times New Roman" w:eastAsiaTheme="minorEastAsia" w:hAnsi="Times New Roman" w:cs="Times New Roman"/>
          <w:sz w:val="26"/>
          <w:szCs w:val="26"/>
        </w:rPr>
      </w:pPr>
      <w:r w:rsidRPr="00483EA0">
        <w:rPr>
          <w:rFonts w:ascii="Times New Roman" w:eastAsiaTheme="minorEastAsia" w:hAnsi="Times New Roman" w:cs="Times New Roman"/>
          <w:sz w:val="26"/>
          <w:szCs w:val="26"/>
        </w:rPr>
        <w:t xml:space="preserve">К группе </w:t>
      </w:r>
      <w:r>
        <w:rPr>
          <w:rFonts w:ascii="Times New Roman" w:eastAsiaTheme="minorEastAsia" w:hAnsi="Times New Roman" w:cs="Times New Roman"/>
          <w:sz w:val="26"/>
          <w:szCs w:val="26"/>
        </w:rPr>
        <w:t>ВС ПОЛИГОНЫ</w:t>
      </w:r>
      <w:r w:rsidRPr="00483EA0">
        <w:rPr>
          <w:rFonts w:ascii="Times New Roman" w:eastAsiaTheme="minorEastAsia" w:hAnsi="Times New Roman" w:cs="Times New Roman"/>
          <w:sz w:val="26"/>
          <w:szCs w:val="26"/>
        </w:rPr>
        <w:t xml:space="preserve"> относятся земельные участки с кодом расчета вида использования 08:011.</w:t>
      </w:r>
    </w:p>
    <w:p w14:paraId="0CAC87A0" w14:textId="77777777" w:rsidR="00C1026B" w:rsidRDefault="00C1026B" w:rsidP="00C1026B">
      <w:pPr>
        <w:spacing w:after="0" w:line="276" w:lineRule="auto"/>
        <w:ind w:firstLine="709"/>
        <w:jc w:val="both"/>
        <w:rPr>
          <w:rFonts w:ascii="Times New Roman" w:hAnsi="Times New Roman" w:cs="Times New Roman"/>
          <w:sz w:val="26"/>
          <w:szCs w:val="26"/>
        </w:rPr>
      </w:pPr>
      <w:r>
        <w:rPr>
          <w:rFonts w:ascii="Times New Roman" w:eastAsiaTheme="minorEastAsia" w:hAnsi="Times New Roman" w:cs="Times New Roman"/>
          <w:sz w:val="26"/>
          <w:szCs w:val="26"/>
        </w:rPr>
        <w:t xml:space="preserve">Кадастровая стоимость определятся сравнительным подходом методом индексации прошлых результатов в соответствии </w:t>
      </w:r>
      <w:r>
        <w:rPr>
          <w:rFonts w:ascii="Times New Roman" w:hAnsi="Times New Roman" w:cs="Times New Roman"/>
          <w:sz w:val="26"/>
          <w:szCs w:val="26"/>
        </w:rPr>
        <w:t xml:space="preserve">с п. 45.4 </w:t>
      </w:r>
      <w:r w:rsidRPr="00483EA0">
        <w:rPr>
          <w:rFonts w:ascii="Times New Roman" w:hAnsi="Times New Roman" w:cs="Times New Roman"/>
          <w:sz w:val="26"/>
          <w:szCs w:val="26"/>
        </w:rPr>
        <w:t>Указаний</w:t>
      </w:r>
      <w:r>
        <w:rPr>
          <w:rFonts w:ascii="Times New Roman" w:hAnsi="Times New Roman" w:cs="Times New Roman"/>
          <w:sz w:val="26"/>
          <w:szCs w:val="26"/>
        </w:rPr>
        <w:t>.</w:t>
      </w:r>
    </w:p>
    <w:p w14:paraId="51DBAABD" w14:textId="77777777" w:rsidR="00C1026B" w:rsidRDefault="00C1026B" w:rsidP="00C1026B">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Индексации подлежат земельные участки, кадастровая стоимость которых определена Учреждением в рамках предыдущих ГКО (земельные участки населенных пунктов, лесного фонда, водного фонда, земель промышленности и иного специального назначения).</w:t>
      </w:r>
    </w:p>
    <w:p w14:paraId="5EA5AA03" w14:textId="77777777" w:rsidR="00C1026B" w:rsidRPr="007D7AAD" w:rsidRDefault="00C1026B" w:rsidP="003F1B39">
      <w:pPr>
        <w:pStyle w:val="ab"/>
        <w:numPr>
          <w:ilvl w:val="0"/>
          <w:numId w:val="37"/>
        </w:numPr>
        <w:tabs>
          <w:tab w:val="left" w:pos="993"/>
        </w:tabs>
        <w:spacing w:after="0" w:line="276" w:lineRule="auto"/>
        <w:ind w:left="0" w:firstLine="709"/>
        <w:jc w:val="both"/>
        <w:rPr>
          <w:rFonts w:ascii="Times New Roman" w:hAnsi="Times New Roman" w:cs="Times New Roman"/>
          <w:sz w:val="26"/>
          <w:szCs w:val="26"/>
        </w:rPr>
      </w:pPr>
      <w:r w:rsidRPr="007D7AAD">
        <w:rPr>
          <w:rFonts w:ascii="Times New Roman" w:hAnsi="Times New Roman" w:cs="Times New Roman"/>
          <w:sz w:val="26"/>
          <w:szCs w:val="26"/>
        </w:rPr>
        <w:t>Расчет индекса пересчета кадастровой стоимости</w:t>
      </w:r>
    </w:p>
    <w:p w14:paraId="14783119" w14:textId="77777777" w:rsidR="00C1026B" w:rsidRDefault="00C1026B" w:rsidP="00C1026B">
      <w:pPr>
        <w:spacing w:after="0" w:line="300" w:lineRule="auto"/>
        <w:ind w:firstLine="709"/>
        <w:jc w:val="both"/>
        <w:rPr>
          <w:rFonts w:ascii="Times New Roman" w:hAnsi="Times New Roman" w:cs="Times New Roman"/>
          <w:bCs/>
          <w:sz w:val="26"/>
          <w:szCs w:val="26"/>
        </w:rPr>
      </w:pPr>
      <w:r>
        <w:rPr>
          <w:rFonts w:ascii="Times New Roman" w:eastAsiaTheme="minorEastAsia" w:hAnsi="Times New Roman" w:cs="Times New Roman"/>
          <w:sz w:val="26"/>
          <w:szCs w:val="26"/>
        </w:rPr>
        <w:t xml:space="preserve">При анализе баз определения индекса пересчета кадастровой стоимости, определенной по состоянию на 01.01.2020 г. </w:t>
      </w:r>
      <w:r>
        <w:rPr>
          <w:rFonts w:ascii="Times New Roman" w:hAnsi="Times New Roman" w:cs="Times New Roman"/>
          <w:bCs/>
          <w:sz w:val="26"/>
          <w:szCs w:val="26"/>
        </w:rPr>
        <w:t>в рамках предыдущего тура оценки, а также, определенной на другие даты, к дате определения кадастровой стоимости - 01.01.2022 г., были рассмотрены различные источники информации.</w:t>
      </w:r>
    </w:p>
    <w:p w14:paraId="62005729" w14:textId="77777777" w:rsidR="00C1026B" w:rsidRDefault="00C1026B" w:rsidP="00C1026B">
      <w:pPr>
        <w:spacing w:after="0" w:line="300" w:lineRule="auto"/>
        <w:ind w:firstLine="709"/>
        <w:jc w:val="both"/>
        <w:rPr>
          <w:rFonts w:ascii="Times New Roman" w:eastAsia="Calibri" w:hAnsi="Times New Roman" w:cs="Times New Roman"/>
          <w:sz w:val="26"/>
          <w:szCs w:val="26"/>
          <w:u w:val="single"/>
        </w:rPr>
      </w:pPr>
      <w:r>
        <w:rPr>
          <w:rFonts w:ascii="Times New Roman" w:hAnsi="Times New Roman" w:cs="Times New Roman"/>
          <w:sz w:val="26"/>
          <w:szCs w:val="26"/>
        </w:rPr>
        <w:t xml:space="preserve">Принято решение определять индекс пересчета на основании данных </w:t>
      </w:r>
      <w:r>
        <w:rPr>
          <w:rFonts w:ascii="Times New Roman" w:eastAsia="Calibri" w:hAnsi="Times New Roman" w:cs="Times New Roman"/>
          <w:sz w:val="26"/>
          <w:szCs w:val="26"/>
        </w:rPr>
        <w:t>исследования рынка земельных участков, проведенного некоммерческой организацией «Ассоциация развития рынка недвижимости «СтатРиелт» (</w:t>
      </w:r>
      <w:hyperlink r:id="rId323" w:history="1">
        <w:r>
          <w:rPr>
            <w:rStyle w:val="ad"/>
            <w:rFonts w:ascii="Times New Roman" w:hAnsi="Times New Roman" w:cs="Times New Roman"/>
            <w:sz w:val="26"/>
            <w:szCs w:val="26"/>
          </w:rPr>
          <w:t>https://statrielt.ru/</w:t>
        </w:r>
      </w:hyperlink>
      <w:r>
        <w:rPr>
          <w:rFonts w:ascii="Times New Roman" w:hAnsi="Times New Roman" w:cs="Times New Roman"/>
          <w:sz w:val="26"/>
          <w:szCs w:val="26"/>
        </w:rPr>
        <w:t>).</w:t>
      </w:r>
    </w:p>
    <w:p w14:paraId="421C99E2" w14:textId="77777777" w:rsidR="00C1026B" w:rsidRDefault="00C1026B" w:rsidP="00C1026B">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2934D7AD" wp14:editId="16D2EDFD">
            <wp:extent cx="5095026" cy="3404849"/>
            <wp:effectExtent l="0" t="0" r="0" b="5715"/>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95026" cy="3404849"/>
                    </a:xfrm>
                    <a:prstGeom prst="rect">
                      <a:avLst/>
                    </a:prstGeom>
                    <a:noFill/>
                    <a:ln>
                      <a:noFill/>
                    </a:ln>
                  </pic:spPr>
                </pic:pic>
              </a:graphicData>
            </a:graphic>
          </wp:inline>
        </w:drawing>
      </w:r>
    </w:p>
    <w:p w14:paraId="5E4852B5" w14:textId="4C084895" w:rsidR="00C1026B" w:rsidRDefault="00C1026B" w:rsidP="00C1026B">
      <w:pPr>
        <w:ind w:firstLine="709"/>
        <w:jc w:val="center"/>
        <w:rPr>
          <w:rFonts w:ascii="Times New Roman" w:eastAsia="Calibri" w:hAnsi="Times New Roman" w:cs="Times New Roman"/>
          <w:sz w:val="26"/>
          <w:szCs w:val="26"/>
        </w:rPr>
      </w:pPr>
      <w:r w:rsidRPr="00C1026B">
        <w:rPr>
          <w:rFonts w:ascii="Times New Roman" w:eastAsia="Calibri" w:hAnsi="Times New Roman" w:cs="Times New Roman"/>
          <w:sz w:val="26"/>
          <w:szCs w:val="26"/>
        </w:rPr>
        <w:t>Рис.3.</w:t>
      </w:r>
      <w:r>
        <w:rPr>
          <w:rFonts w:ascii="Times New Roman" w:eastAsia="Calibri" w:hAnsi="Times New Roman" w:cs="Times New Roman"/>
          <w:sz w:val="26"/>
          <w:szCs w:val="26"/>
        </w:rPr>
        <w:t>6</w:t>
      </w:r>
      <w:r w:rsidRPr="00C1026B">
        <w:rPr>
          <w:rFonts w:ascii="Times New Roman" w:eastAsia="Calibri" w:hAnsi="Times New Roman" w:cs="Times New Roman"/>
          <w:sz w:val="26"/>
          <w:szCs w:val="26"/>
        </w:rPr>
        <w:t>.12.1</w:t>
      </w:r>
      <w:r>
        <w:rPr>
          <w:rFonts w:ascii="Times New Roman" w:eastAsia="Calibri" w:hAnsi="Times New Roman" w:cs="Times New Roman"/>
          <w:sz w:val="26"/>
          <w:szCs w:val="26"/>
        </w:rPr>
        <w:t xml:space="preserve"> -</w:t>
      </w:r>
      <w:r>
        <w:rPr>
          <w:rFonts w:ascii="Times New Roman" w:hAnsi="Times New Roman" w:cs="Times New Roman"/>
          <w:sz w:val="26"/>
          <w:szCs w:val="26"/>
        </w:rPr>
        <w:t xml:space="preserve"> </w:t>
      </w:r>
      <w:r>
        <w:rPr>
          <w:rFonts w:ascii="Times New Roman" w:eastAsia="Calibri" w:hAnsi="Times New Roman" w:cs="Times New Roman"/>
          <w:sz w:val="26"/>
          <w:szCs w:val="26"/>
        </w:rPr>
        <w:t>Индексы изменения рыночных цен (в рублях) земельных участков по данным некоммерческой организации «Ассоциация развития рынка недвижимости «СтатРиелт»</w:t>
      </w:r>
      <w:r>
        <w:rPr>
          <w:rStyle w:val="af2"/>
          <w:rFonts w:ascii="Times New Roman" w:eastAsia="Calibri" w:hAnsi="Times New Roman" w:cs="Times New Roman"/>
          <w:sz w:val="26"/>
          <w:szCs w:val="26"/>
        </w:rPr>
        <w:footnoteReference w:id="130"/>
      </w:r>
      <w:r>
        <w:rPr>
          <w:rFonts w:ascii="Times New Roman" w:eastAsia="Calibri" w:hAnsi="Times New Roman" w:cs="Times New Roman"/>
          <w:sz w:val="26"/>
          <w:szCs w:val="26"/>
        </w:rPr>
        <w:t xml:space="preserve"> </w:t>
      </w:r>
    </w:p>
    <w:p w14:paraId="1799E144" w14:textId="77777777" w:rsidR="00C1026B" w:rsidRDefault="00C1026B" w:rsidP="00C1026B">
      <w:pPr>
        <w:spacing w:after="0" w:line="30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определен индекс пересчета по полугодиям, значения рассчитываем по столбцу «продажа земельных участков категории «Промышленности, транспорта, связи и иного специального назначения».</w:t>
      </w:r>
    </w:p>
    <w:p w14:paraId="0563BCAE" w14:textId="7ACD6AE9" w:rsidR="00C1026B" w:rsidRDefault="00C1026B" w:rsidP="00C1026B">
      <w:pPr>
        <w:spacing w:after="0" w:line="300" w:lineRule="auto"/>
        <w:ind w:firstLine="709"/>
        <w:jc w:val="right"/>
        <w:rPr>
          <w:rFonts w:ascii="Times New Roman" w:hAnsi="Times New Roman" w:cs="Times New Roman"/>
          <w:sz w:val="26"/>
          <w:szCs w:val="26"/>
        </w:rPr>
      </w:pPr>
      <w:r>
        <w:rPr>
          <w:rFonts w:ascii="Times New Roman" w:hAnsi="Times New Roman" w:cs="Times New Roman"/>
          <w:sz w:val="26"/>
          <w:szCs w:val="26"/>
        </w:rPr>
        <w:t xml:space="preserve">Таблица </w:t>
      </w:r>
      <w:r w:rsidRPr="00C1026B">
        <w:rPr>
          <w:rFonts w:ascii="Times New Roman" w:eastAsia="Calibri" w:hAnsi="Times New Roman" w:cs="Times New Roman"/>
          <w:sz w:val="26"/>
          <w:szCs w:val="26"/>
        </w:rPr>
        <w:t>3.</w:t>
      </w:r>
      <w:r>
        <w:rPr>
          <w:rFonts w:ascii="Times New Roman" w:eastAsia="Calibri" w:hAnsi="Times New Roman" w:cs="Times New Roman"/>
          <w:sz w:val="26"/>
          <w:szCs w:val="26"/>
        </w:rPr>
        <w:t>6</w:t>
      </w:r>
      <w:r w:rsidRPr="00C1026B">
        <w:rPr>
          <w:rFonts w:ascii="Times New Roman" w:eastAsia="Calibri" w:hAnsi="Times New Roman" w:cs="Times New Roman"/>
          <w:sz w:val="26"/>
          <w:szCs w:val="26"/>
        </w:rPr>
        <w:t>.12.1</w:t>
      </w:r>
    </w:p>
    <w:p w14:paraId="5E4A23EB" w14:textId="77777777" w:rsidR="00C1026B" w:rsidRDefault="00C1026B" w:rsidP="00C1026B">
      <w:pPr>
        <w:spacing w:after="0" w:line="300" w:lineRule="auto"/>
        <w:jc w:val="center"/>
        <w:rPr>
          <w:rFonts w:ascii="Times New Roman" w:hAnsi="Times New Roman" w:cs="Times New Roman"/>
          <w:sz w:val="26"/>
          <w:szCs w:val="26"/>
        </w:rPr>
      </w:pPr>
      <w:r>
        <w:rPr>
          <w:rFonts w:ascii="Times New Roman" w:hAnsi="Times New Roman" w:cs="Times New Roman"/>
          <w:sz w:val="26"/>
          <w:szCs w:val="26"/>
        </w:rPr>
        <w:t>Индекс пересчета кадастровой стоимости для 12 сегмента «</w:t>
      </w:r>
      <w:r>
        <w:rPr>
          <w:rFonts w:ascii="Times New Roman" w:eastAsiaTheme="minorEastAsia" w:hAnsi="Times New Roman" w:cs="Times New Roman"/>
          <w:sz w:val="26"/>
          <w:szCs w:val="26"/>
          <w:lang w:eastAsia="ru-RU"/>
        </w:rPr>
        <w:t>Специальное, ритуальное использование, запас»</w:t>
      </w:r>
      <w:r>
        <w:rPr>
          <w:rFonts w:ascii="Times New Roman" w:hAnsi="Times New Roman" w:cs="Times New Roman"/>
          <w:sz w:val="26"/>
          <w:szCs w:val="26"/>
        </w:rPr>
        <w:t xml:space="preserve"> к 01.01.2022 г.</w:t>
      </w:r>
    </w:p>
    <w:tbl>
      <w:tblPr>
        <w:tblStyle w:val="ae"/>
        <w:tblW w:w="9351" w:type="dxa"/>
        <w:tblLook w:val="04A0" w:firstRow="1" w:lastRow="0" w:firstColumn="1" w:lastColumn="0" w:noHBand="0" w:noVBand="1"/>
      </w:tblPr>
      <w:tblGrid>
        <w:gridCol w:w="2830"/>
        <w:gridCol w:w="2268"/>
        <w:gridCol w:w="2536"/>
        <w:gridCol w:w="1717"/>
      </w:tblGrid>
      <w:tr w:rsidR="00C1026B" w14:paraId="7D28B56C"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5D50DDDD" w14:textId="77777777" w:rsidR="00C1026B" w:rsidRDefault="00C1026B" w:rsidP="00621890">
            <w:pPr>
              <w:spacing w:line="300" w:lineRule="auto"/>
              <w:jc w:val="center"/>
              <w:rPr>
                <w:rFonts w:ascii="Times New Roman" w:hAnsi="Times New Roman" w:cs="Times New Roman"/>
                <w:b/>
              </w:rPr>
            </w:pPr>
            <w:r>
              <w:rPr>
                <w:rFonts w:ascii="Times New Roman" w:hAnsi="Times New Roman" w:cs="Times New Roman"/>
                <w:b/>
              </w:rPr>
              <w:t>Пересчет к 01.01.2022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5C4BEB" w14:textId="77777777" w:rsidR="00C1026B" w:rsidRDefault="00C1026B" w:rsidP="00621890">
            <w:pPr>
              <w:spacing w:line="300" w:lineRule="auto"/>
              <w:jc w:val="center"/>
              <w:rPr>
                <w:rFonts w:ascii="Times New Roman" w:hAnsi="Times New Roman" w:cs="Times New Roman"/>
                <w:b/>
              </w:rPr>
            </w:pPr>
            <w:r>
              <w:rPr>
                <w:rFonts w:ascii="Times New Roman" w:hAnsi="Times New Roman" w:cs="Times New Roman"/>
                <w:b/>
              </w:rPr>
              <w:t>Расчет</w:t>
            </w:r>
          </w:p>
        </w:tc>
        <w:tc>
          <w:tcPr>
            <w:tcW w:w="2536" w:type="dxa"/>
            <w:tcBorders>
              <w:top w:val="single" w:sz="4" w:space="0" w:color="auto"/>
              <w:left w:val="single" w:sz="4" w:space="0" w:color="auto"/>
              <w:bottom w:val="single" w:sz="4" w:space="0" w:color="auto"/>
              <w:right w:val="single" w:sz="4" w:space="0" w:color="auto"/>
            </w:tcBorders>
            <w:vAlign w:val="center"/>
            <w:hideMark/>
          </w:tcPr>
          <w:p w14:paraId="29D927AD" w14:textId="77777777" w:rsidR="00C1026B" w:rsidRDefault="00C1026B" w:rsidP="00621890">
            <w:pPr>
              <w:spacing w:line="300" w:lineRule="auto"/>
              <w:jc w:val="center"/>
              <w:rPr>
                <w:rFonts w:ascii="Times New Roman" w:hAnsi="Times New Roman" w:cs="Times New Roman"/>
                <w:b/>
              </w:rPr>
            </w:pPr>
            <w:r>
              <w:rPr>
                <w:rFonts w:ascii="Times New Roman" w:hAnsi="Times New Roman" w:cs="Times New Roman"/>
                <w:b/>
              </w:rPr>
              <w:t>Значение индекса</w:t>
            </w:r>
          </w:p>
        </w:tc>
        <w:tc>
          <w:tcPr>
            <w:tcW w:w="1717" w:type="dxa"/>
            <w:tcBorders>
              <w:top w:val="single" w:sz="4" w:space="0" w:color="auto"/>
              <w:left w:val="single" w:sz="4" w:space="0" w:color="auto"/>
              <w:bottom w:val="single" w:sz="4" w:space="0" w:color="auto"/>
              <w:right w:val="single" w:sz="4" w:space="0" w:color="auto"/>
            </w:tcBorders>
            <w:vAlign w:val="center"/>
            <w:hideMark/>
          </w:tcPr>
          <w:p w14:paraId="0AD3DF43" w14:textId="77777777" w:rsidR="00C1026B" w:rsidRDefault="00C1026B" w:rsidP="00621890">
            <w:pPr>
              <w:spacing w:line="300" w:lineRule="auto"/>
              <w:jc w:val="center"/>
              <w:rPr>
                <w:rFonts w:ascii="Times New Roman" w:hAnsi="Times New Roman" w:cs="Times New Roman"/>
                <w:b/>
              </w:rPr>
            </w:pPr>
            <w:r>
              <w:rPr>
                <w:rFonts w:ascii="Times New Roman" w:hAnsi="Times New Roman" w:cs="Times New Roman"/>
                <w:b/>
              </w:rPr>
              <w:t>Индекс, %</w:t>
            </w:r>
          </w:p>
        </w:tc>
      </w:tr>
      <w:tr w:rsidR="00C1026B" w14:paraId="529ED91E"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1DC4F742" w14:textId="77777777" w:rsidR="00C1026B" w:rsidRDefault="00C1026B" w:rsidP="00621890">
            <w:pPr>
              <w:jc w:val="center"/>
              <w:rPr>
                <w:rFonts w:ascii="Times New Roman" w:hAnsi="Times New Roman" w:cs="Times New Roman"/>
              </w:rPr>
            </w:pPr>
            <w:r>
              <w:rPr>
                <w:rFonts w:ascii="Times New Roman" w:hAnsi="Times New Roman" w:cs="Times New Roman"/>
              </w:rPr>
              <w:t>01.01.2020 по 30.06.2020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4E5EBE"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0,98*1*1*0,97</w:t>
            </w:r>
          </w:p>
        </w:tc>
        <w:tc>
          <w:tcPr>
            <w:tcW w:w="2536" w:type="dxa"/>
            <w:tcBorders>
              <w:top w:val="single" w:sz="4" w:space="0" w:color="auto"/>
              <w:left w:val="single" w:sz="4" w:space="0" w:color="auto"/>
              <w:bottom w:val="single" w:sz="4" w:space="0" w:color="auto"/>
              <w:right w:val="single" w:sz="4" w:space="0" w:color="auto"/>
            </w:tcBorders>
            <w:vAlign w:val="center"/>
            <w:hideMark/>
          </w:tcPr>
          <w:p w14:paraId="6195689A"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0,95</w:t>
            </w:r>
          </w:p>
        </w:tc>
        <w:tc>
          <w:tcPr>
            <w:tcW w:w="1717" w:type="dxa"/>
            <w:tcBorders>
              <w:top w:val="single" w:sz="4" w:space="0" w:color="auto"/>
              <w:left w:val="single" w:sz="4" w:space="0" w:color="auto"/>
              <w:bottom w:val="single" w:sz="4" w:space="0" w:color="auto"/>
              <w:right w:val="single" w:sz="4" w:space="0" w:color="auto"/>
            </w:tcBorders>
            <w:vAlign w:val="center"/>
            <w:hideMark/>
          </w:tcPr>
          <w:p w14:paraId="3BDAC405"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-5%</w:t>
            </w:r>
          </w:p>
        </w:tc>
      </w:tr>
      <w:tr w:rsidR="00C1026B" w14:paraId="2EB5B639"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32FC43EB" w14:textId="77777777" w:rsidR="00C1026B" w:rsidRDefault="00C1026B" w:rsidP="00621890">
            <w:pPr>
              <w:jc w:val="center"/>
              <w:rPr>
                <w:rFonts w:ascii="Times New Roman" w:hAnsi="Times New Roman" w:cs="Times New Roman"/>
              </w:rPr>
            </w:pPr>
            <w:r>
              <w:rPr>
                <w:rFonts w:ascii="Times New Roman" w:hAnsi="Times New Roman" w:cs="Times New Roman"/>
              </w:rPr>
              <w:t>01.07.2020 по 31.12.2020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2C6570E"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0,98*1*1</w:t>
            </w:r>
          </w:p>
        </w:tc>
        <w:tc>
          <w:tcPr>
            <w:tcW w:w="2536" w:type="dxa"/>
            <w:tcBorders>
              <w:top w:val="single" w:sz="4" w:space="0" w:color="auto"/>
              <w:left w:val="single" w:sz="4" w:space="0" w:color="auto"/>
              <w:bottom w:val="single" w:sz="4" w:space="0" w:color="auto"/>
              <w:right w:val="single" w:sz="4" w:space="0" w:color="auto"/>
            </w:tcBorders>
            <w:vAlign w:val="center"/>
            <w:hideMark/>
          </w:tcPr>
          <w:p w14:paraId="5E066EE7"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w:t>
            </w:r>
          </w:p>
        </w:tc>
        <w:tc>
          <w:tcPr>
            <w:tcW w:w="1717" w:type="dxa"/>
            <w:tcBorders>
              <w:top w:val="single" w:sz="4" w:space="0" w:color="auto"/>
              <w:left w:val="single" w:sz="4" w:space="0" w:color="auto"/>
              <w:bottom w:val="single" w:sz="4" w:space="0" w:color="auto"/>
              <w:right w:val="single" w:sz="4" w:space="0" w:color="auto"/>
            </w:tcBorders>
            <w:vAlign w:val="center"/>
            <w:hideMark/>
          </w:tcPr>
          <w:p w14:paraId="37D98450"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-2%</w:t>
            </w:r>
          </w:p>
        </w:tc>
      </w:tr>
      <w:tr w:rsidR="00C1026B" w14:paraId="1E6C4EAF"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0C1C754A" w14:textId="77777777" w:rsidR="00C1026B" w:rsidRDefault="00C1026B" w:rsidP="00621890">
            <w:pPr>
              <w:jc w:val="center"/>
              <w:rPr>
                <w:rFonts w:ascii="Times New Roman" w:hAnsi="Times New Roman" w:cs="Times New Roman"/>
              </w:rPr>
            </w:pPr>
            <w:r>
              <w:rPr>
                <w:rFonts w:ascii="Times New Roman" w:hAnsi="Times New Roman" w:cs="Times New Roman"/>
              </w:rPr>
              <w:t>01.01.2021 по 30.06.2021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ACC3D6C"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0,98*1</w:t>
            </w:r>
          </w:p>
        </w:tc>
        <w:tc>
          <w:tcPr>
            <w:tcW w:w="2536" w:type="dxa"/>
            <w:tcBorders>
              <w:top w:val="single" w:sz="4" w:space="0" w:color="auto"/>
              <w:left w:val="single" w:sz="4" w:space="0" w:color="auto"/>
              <w:bottom w:val="single" w:sz="4" w:space="0" w:color="auto"/>
              <w:right w:val="single" w:sz="4" w:space="0" w:color="auto"/>
            </w:tcBorders>
            <w:vAlign w:val="center"/>
            <w:hideMark/>
          </w:tcPr>
          <w:p w14:paraId="485D3226"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w:t>
            </w:r>
          </w:p>
        </w:tc>
        <w:tc>
          <w:tcPr>
            <w:tcW w:w="1717" w:type="dxa"/>
            <w:tcBorders>
              <w:top w:val="single" w:sz="4" w:space="0" w:color="auto"/>
              <w:left w:val="single" w:sz="4" w:space="0" w:color="auto"/>
              <w:bottom w:val="single" w:sz="4" w:space="0" w:color="auto"/>
              <w:right w:val="single" w:sz="4" w:space="0" w:color="auto"/>
            </w:tcBorders>
            <w:vAlign w:val="center"/>
            <w:hideMark/>
          </w:tcPr>
          <w:p w14:paraId="3A59B472"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-2%</w:t>
            </w:r>
          </w:p>
        </w:tc>
      </w:tr>
      <w:tr w:rsidR="00C1026B" w14:paraId="6B98D309"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3C135E2D" w14:textId="77777777" w:rsidR="00C1026B" w:rsidRDefault="00C1026B" w:rsidP="00621890">
            <w:pPr>
              <w:jc w:val="center"/>
              <w:rPr>
                <w:rFonts w:ascii="Times New Roman" w:hAnsi="Times New Roman" w:cs="Times New Roman"/>
                <w:color w:val="000000"/>
              </w:rPr>
            </w:pPr>
            <w:r>
              <w:rPr>
                <w:rFonts w:ascii="Times New Roman" w:hAnsi="Times New Roman" w:cs="Times New Roman"/>
                <w:color w:val="000000"/>
              </w:rPr>
              <w:t>01.07.2021 по 31.12.2021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10AC94"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w:t>
            </w:r>
          </w:p>
        </w:tc>
        <w:tc>
          <w:tcPr>
            <w:tcW w:w="2536" w:type="dxa"/>
            <w:tcBorders>
              <w:top w:val="single" w:sz="4" w:space="0" w:color="auto"/>
              <w:left w:val="single" w:sz="4" w:space="0" w:color="auto"/>
              <w:bottom w:val="single" w:sz="4" w:space="0" w:color="auto"/>
              <w:right w:val="single" w:sz="4" w:space="0" w:color="auto"/>
            </w:tcBorders>
            <w:vAlign w:val="center"/>
            <w:hideMark/>
          </w:tcPr>
          <w:p w14:paraId="70B98780"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w:t>
            </w:r>
          </w:p>
        </w:tc>
        <w:tc>
          <w:tcPr>
            <w:tcW w:w="1717" w:type="dxa"/>
            <w:tcBorders>
              <w:top w:val="single" w:sz="4" w:space="0" w:color="auto"/>
              <w:left w:val="single" w:sz="4" w:space="0" w:color="auto"/>
              <w:bottom w:val="single" w:sz="4" w:space="0" w:color="auto"/>
              <w:right w:val="single" w:sz="4" w:space="0" w:color="auto"/>
            </w:tcBorders>
            <w:vAlign w:val="center"/>
            <w:hideMark/>
          </w:tcPr>
          <w:p w14:paraId="18901C42"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-2%</w:t>
            </w:r>
          </w:p>
        </w:tc>
      </w:tr>
    </w:tbl>
    <w:p w14:paraId="60E4EFE9" w14:textId="77777777" w:rsidR="00C1026B" w:rsidRPr="00180DD3" w:rsidRDefault="00C1026B" w:rsidP="003F1B39">
      <w:pPr>
        <w:pStyle w:val="ab"/>
        <w:numPr>
          <w:ilvl w:val="0"/>
          <w:numId w:val="37"/>
        </w:numPr>
        <w:tabs>
          <w:tab w:val="left" w:pos="993"/>
        </w:tabs>
        <w:spacing w:before="120" w:after="0" w:line="300" w:lineRule="auto"/>
        <w:ind w:left="0"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Расчет кадастровой</w:t>
      </w:r>
      <w:r w:rsidRPr="004F28D2">
        <w:rPr>
          <w:rFonts w:ascii="Times New Roman" w:eastAsiaTheme="minorEastAsia" w:hAnsi="Times New Roman" w:cs="Times New Roman"/>
          <w:sz w:val="26"/>
          <w:szCs w:val="26"/>
        </w:rPr>
        <w:t xml:space="preserve"> стоимост</w:t>
      </w:r>
      <w:r>
        <w:rPr>
          <w:rFonts w:ascii="Times New Roman" w:eastAsiaTheme="minorEastAsia" w:hAnsi="Times New Roman" w:cs="Times New Roman"/>
          <w:sz w:val="26"/>
          <w:szCs w:val="26"/>
        </w:rPr>
        <w:t>и</w:t>
      </w:r>
      <w:r w:rsidRPr="004F28D2">
        <w:rPr>
          <w:rFonts w:ascii="Times New Roman" w:eastAsiaTheme="minorEastAsia" w:hAnsi="Times New Roman" w:cs="Times New Roman"/>
          <w:sz w:val="26"/>
          <w:szCs w:val="26"/>
        </w:rPr>
        <w:t xml:space="preserve"> объектов оценки </w:t>
      </w:r>
      <w:r>
        <w:rPr>
          <w:rFonts w:ascii="Times New Roman" w:eastAsiaTheme="minorEastAsia" w:hAnsi="Times New Roman" w:cs="Times New Roman"/>
          <w:sz w:val="26"/>
          <w:szCs w:val="26"/>
        </w:rPr>
        <w:t xml:space="preserve">представляет собой </w:t>
      </w:r>
      <w:r w:rsidRPr="004F28D2">
        <w:rPr>
          <w:rFonts w:ascii="Times New Roman" w:eastAsiaTheme="minorEastAsia" w:hAnsi="Times New Roman" w:cs="Times New Roman"/>
          <w:sz w:val="26"/>
          <w:szCs w:val="26"/>
        </w:rPr>
        <w:t>произведение соответствующего индекса</w:t>
      </w:r>
      <w:r>
        <w:rPr>
          <w:rFonts w:ascii="Times New Roman" w:eastAsiaTheme="minorEastAsia" w:hAnsi="Times New Roman" w:cs="Times New Roman"/>
          <w:sz w:val="26"/>
          <w:szCs w:val="26"/>
        </w:rPr>
        <w:t>, выбранного в зависимости от указанной в Перечне даты</w:t>
      </w:r>
      <w:r w:rsidRPr="004F28D2">
        <w:t xml:space="preserve"> </w:t>
      </w:r>
      <w:r w:rsidRPr="004F28D2">
        <w:rPr>
          <w:rFonts w:ascii="Times New Roman" w:eastAsiaTheme="minorEastAsia" w:hAnsi="Times New Roman" w:cs="Times New Roman"/>
          <w:sz w:val="26"/>
          <w:szCs w:val="26"/>
        </w:rPr>
        <w:t>определения кадастровой стоимости</w:t>
      </w:r>
      <w:r>
        <w:rPr>
          <w:rFonts w:ascii="Times New Roman" w:eastAsiaTheme="minorEastAsia" w:hAnsi="Times New Roman" w:cs="Times New Roman"/>
          <w:sz w:val="26"/>
          <w:szCs w:val="26"/>
        </w:rPr>
        <w:t xml:space="preserve"> предыдущего тура оценки </w:t>
      </w:r>
      <w:r w:rsidRPr="004F28D2">
        <w:rPr>
          <w:rFonts w:ascii="Times New Roman" w:eastAsiaTheme="minorEastAsia" w:hAnsi="Times New Roman" w:cs="Times New Roman"/>
          <w:sz w:val="26"/>
          <w:szCs w:val="26"/>
        </w:rPr>
        <w:t xml:space="preserve">на </w:t>
      </w:r>
      <w:r>
        <w:rPr>
          <w:rFonts w:ascii="Times New Roman" w:eastAsiaTheme="minorEastAsia" w:hAnsi="Times New Roman" w:cs="Times New Roman"/>
          <w:sz w:val="26"/>
          <w:szCs w:val="26"/>
        </w:rPr>
        <w:t xml:space="preserve">указанную в Перечне </w:t>
      </w:r>
      <w:r w:rsidRPr="004F28D2">
        <w:rPr>
          <w:rFonts w:ascii="Times New Roman" w:hAnsi="Times New Roman" w:cs="Times New Roman"/>
          <w:bCs/>
          <w:sz w:val="26"/>
          <w:szCs w:val="26"/>
        </w:rPr>
        <w:t xml:space="preserve">кадастровую стоимость </w:t>
      </w:r>
      <w:r>
        <w:rPr>
          <w:rFonts w:ascii="Times New Roman" w:hAnsi="Times New Roman" w:cs="Times New Roman"/>
          <w:bCs/>
          <w:sz w:val="26"/>
          <w:szCs w:val="26"/>
        </w:rPr>
        <w:t>предыдущего тура оценки.</w:t>
      </w:r>
    </w:p>
    <w:p w14:paraId="49D4B05C" w14:textId="177E2699" w:rsidR="00C1026B" w:rsidRDefault="00C1026B" w:rsidP="003F1B39">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Результаты представлены в Приложении </w:t>
      </w:r>
      <w:r w:rsidR="002C7430" w:rsidRPr="00483EA0">
        <w:rPr>
          <w:rFonts w:ascii="Times New Roman" w:hAnsi="Times New Roman" w:cs="Times New Roman"/>
          <w:sz w:val="26"/>
          <w:szCs w:val="26"/>
        </w:rPr>
        <w:t>2/2.4</w:t>
      </w:r>
      <w:r w:rsidR="002C7430">
        <w:rPr>
          <w:rFonts w:ascii="Times New Roman" w:hAnsi="Times New Roman" w:cs="Times New Roman"/>
          <w:sz w:val="26"/>
          <w:szCs w:val="26"/>
        </w:rPr>
        <w:t>/2.4.12.</w:t>
      </w:r>
    </w:p>
    <w:p w14:paraId="7F7E96C7" w14:textId="5D4F542F" w:rsidR="00C1026B" w:rsidRDefault="00C1026B" w:rsidP="00C1026B">
      <w:pPr>
        <w:pStyle w:val="ConsPlusNormal"/>
        <w:spacing w:line="276" w:lineRule="auto"/>
        <w:ind w:firstLine="709"/>
        <w:jc w:val="both"/>
        <w:rPr>
          <w:rFonts w:ascii="Times New Roman" w:hAnsi="Times New Roman" w:cs="Times New Roman"/>
          <w:sz w:val="26"/>
          <w:szCs w:val="26"/>
        </w:rPr>
      </w:pPr>
    </w:p>
    <w:p w14:paraId="475D7BCC" w14:textId="0D55482D" w:rsidR="00B422FF" w:rsidRDefault="00B422FF" w:rsidP="00C1026B">
      <w:pPr>
        <w:pStyle w:val="ConsPlusNormal"/>
        <w:spacing w:line="276" w:lineRule="auto"/>
        <w:ind w:firstLine="709"/>
        <w:jc w:val="both"/>
        <w:rPr>
          <w:rFonts w:ascii="Times New Roman" w:hAnsi="Times New Roman" w:cs="Times New Roman"/>
          <w:sz w:val="26"/>
          <w:szCs w:val="26"/>
        </w:rPr>
      </w:pPr>
    </w:p>
    <w:p w14:paraId="1BBEAF8E" w14:textId="77777777" w:rsidR="003F1B39" w:rsidRDefault="003F1B39" w:rsidP="00C1026B">
      <w:pPr>
        <w:pStyle w:val="ConsPlusNormal"/>
        <w:spacing w:line="276" w:lineRule="auto"/>
        <w:ind w:firstLine="709"/>
        <w:jc w:val="both"/>
        <w:rPr>
          <w:rFonts w:ascii="Times New Roman" w:hAnsi="Times New Roman" w:cs="Times New Roman"/>
          <w:sz w:val="26"/>
          <w:szCs w:val="26"/>
        </w:rPr>
      </w:pPr>
    </w:p>
    <w:p w14:paraId="366B5CEF" w14:textId="77777777" w:rsidR="00C1026B" w:rsidRPr="005A41E5" w:rsidRDefault="00C1026B" w:rsidP="00C1026B">
      <w:pPr>
        <w:pStyle w:val="ab"/>
        <w:ind w:left="0" w:firstLine="709"/>
        <w:jc w:val="center"/>
        <w:outlineLvl w:val="2"/>
        <w:rPr>
          <w:rFonts w:ascii="Times New Roman" w:hAnsi="Times New Roman" w:cs="Times New Roman"/>
          <w:i/>
          <w:sz w:val="26"/>
          <w:szCs w:val="26"/>
        </w:rPr>
      </w:pPr>
      <w:bookmarkStart w:id="286" w:name="_Toc51837462"/>
      <w:bookmarkStart w:id="287" w:name="_Toc110507020"/>
      <w:r w:rsidRPr="00F562A8">
        <w:rPr>
          <w:rFonts w:ascii="Times New Roman" w:hAnsi="Times New Roman" w:cs="Times New Roman"/>
          <w:i/>
          <w:sz w:val="26"/>
          <w:szCs w:val="26"/>
        </w:rPr>
        <w:t>3.6.12.</w:t>
      </w:r>
      <w:r>
        <w:rPr>
          <w:rFonts w:ascii="Times New Roman" w:hAnsi="Times New Roman" w:cs="Times New Roman"/>
          <w:i/>
          <w:sz w:val="26"/>
          <w:szCs w:val="26"/>
        </w:rPr>
        <w:t>2</w:t>
      </w:r>
      <w:r w:rsidRPr="00F562A8">
        <w:rPr>
          <w:rFonts w:ascii="Times New Roman" w:hAnsi="Times New Roman" w:cs="Times New Roman"/>
          <w:i/>
          <w:sz w:val="26"/>
          <w:szCs w:val="26"/>
        </w:rPr>
        <w:t xml:space="preserve">. </w:t>
      </w:r>
      <w:r w:rsidRPr="005A41E5">
        <w:rPr>
          <w:rFonts w:ascii="Times New Roman" w:hAnsi="Times New Roman" w:cs="Times New Roman"/>
          <w:i/>
          <w:sz w:val="26"/>
          <w:szCs w:val="26"/>
        </w:rPr>
        <w:t xml:space="preserve">Расчет кадастровой стоимости земельных участков группы </w:t>
      </w:r>
      <w:bookmarkEnd w:id="286"/>
      <w:r>
        <w:rPr>
          <w:rFonts w:ascii="Times New Roman" w:hAnsi="Times New Roman" w:cs="Times New Roman"/>
          <w:i/>
          <w:sz w:val="26"/>
          <w:szCs w:val="26"/>
        </w:rPr>
        <w:t>КЛАДБИЩА</w:t>
      </w:r>
      <w:bookmarkEnd w:id="287"/>
    </w:p>
    <w:p w14:paraId="4FD9146A" w14:textId="77777777" w:rsidR="00C1026B" w:rsidRPr="005A41E5" w:rsidRDefault="00C1026B" w:rsidP="00C1026B">
      <w:pPr>
        <w:pStyle w:val="ab"/>
        <w:spacing w:after="0" w:line="300" w:lineRule="auto"/>
        <w:ind w:left="1069" w:firstLine="709"/>
        <w:rPr>
          <w:rFonts w:ascii="Times New Roman" w:eastAsiaTheme="minorEastAsia" w:hAnsi="Times New Roman" w:cs="Times New Roman"/>
          <w:i/>
          <w:sz w:val="16"/>
          <w:szCs w:val="16"/>
        </w:rPr>
      </w:pPr>
    </w:p>
    <w:p w14:paraId="55F10D4F" w14:textId="31284B4B" w:rsidR="00C1026B" w:rsidRPr="00483EA0" w:rsidRDefault="00C1026B" w:rsidP="00C1026B">
      <w:pPr>
        <w:spacing w:after="0" w:line="276" w:lineRule="auto"/>
        <w:ind w:firstLine="709"/>
        <w:jc w:val="both"/>
        <w:rPr>
          <w:rFonts w:ascii="Times New Roman" w:eastAsiaTheme="minorEastAsia" w:hAnsi="Times New Roman" w:cs="Times New Roman"/>
          <w:sz w:val="26"/>
          <w:szCs w:val="26"/>
        </w:rPr>
      </w:pPr>
      <w:r w:rsidRPr="00483EA0">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2C7430" w:rsidRPr="00483EA0">
        <w:rPr>
          <w:rFonts w:ascii="Times New Roman" w:eastAsiaTheme="minorEastAsia" w:hAnsi="Times New Roman" w:cs="Times New Roman"/>
          <w:sz w:val="26"/>
          <w:szCs w:val="26"/>
        </w:rPr>
        <w:t>2/2.4</w:t>
      </w:r>
      <w:r w:rsidR="002C7430">
        <w:rPr>
          <w:rFonts w:ascii="Times New Roman" w:eastAsiaTheme="minorEastAsia" w:hAnsi="Times New Roman" w:cs="Times New Roman"/>
          <w:sz w:val="26"/>
          <w:szCs w:val="26"/>
        </w:rPr>
        <w:t>/2.4.12.</w:t>
      </w:r>
    </w:p>
    <w:p w14:paraId="1B9871A2" w14:textId="77777777" w:rsidR="00C1026B" w:rsidRDefault="00C1026B" w:rsidP="00C1026B">
      <w:pPr>
        <w:spacing w:after="0" w:line="276" w:lineRule="auto"/>
        <w:ind w:firstLine="709"/>
        <w:jc w:val="both"/>
        <w:rPr>
          <w:rFonts w:ascii="Times New Roman" w:eastAsiaTheme="minorEastAsia" w:hAnsi="Times New Roman" w:cs="Times New Roman"/>
          <w:sz w:val="26"/>
          <w:szCs w:val="26"/>
        </w:rPr>
      </w:pPr>
      <w:r w:rsidRPr="00483EA0">
        <w:rPr>
          <w:rFonts w:ascii="Times New Roman" w:eastAsiaTheme="minorEastAsia" w:hAnsi="Times New Roman" w:cs="Times New Roman"/>
          <w:sz w:val="26"/>
          <w:szCs w:val="26"/>
        </w:rPr>
        <w:t xml:space="preserve">К группе </w:t>
      </w:r>
      <w:r>
        <w:rPr>
          <w:rFonts w:ascii="Times New Roman" w:eastAsiaTheme="minorEastAsia" w:hAnsi="Times New Roman" w:cs="Times New Roman"/>
          <w:sz w:val="26"/>
          <w:szCs w:val="26"/>
        </w:rPr>
        <w:t>КЛАДБИЩА</w:t>
      </w:r>
      <w:r w:rsidRPr="00483EA0">
        <w:rPr>
          <w:rFonts w:ascii="Times New Roman" w:eastAsiaTheme="minorEastAsia" w:hAnsi="Times New Roman" w:cs="Times New Roman"/>
          <w:sz w:val="26"/>
          <w:szCs w:val="26"/>
        </w:rPr>
        <w:t xml:space="preserve"> относятся земельные участки с кодом расчета вида использования </w:t>
      </w:r>
      <w:r>
        <w:rPr>
          <w:rFonts w:ascii="Times New Roman" w:eastAsiaTheme="minorEastAsia" w:hAnsi="Times New Roman" w:cs="Times New Roman"/>
          <w:sz w:val="26"/>
          <w:szCs w:val="26"/>
        </w:rPr>
        <w:t>12</w:t>
      </w:r>
      <w:r w:rsidRPr="00483EA0">
        <w:rPr>
          <w:rFonts w:ascii="Times New Roman" w:eastAsiaTheme="minorEastAsia" w:hAnsi="Times New Roman" w:cs="Times New Roman"/>
          <w:sz w:val="26"/>
          <w:szCs w:val="26"/>
        </w:rPr>
        <w:t>:0</w:t>
      </w:r>
      <w:r>
        <w:rPr>
          <w:rFonts w:ascii="Times New Roman" w:eastAsiaTheme="minorEastAsia" w:hAnsi="Times New Roman" w:cs="Times New Roman"/>
          <w:sz w:val="26"/>
          <w:szCs w:val="26"/>
        </w:rPr>
        <w:t>10</w:t>
      </w:r>
      <w:r w:rsidRPr="00483EA0">
        <w:rPr>
          <w:rFonts w:ascii="Times New Roman" w:eastAsiaTheme="minorEastAsia" w:hAnsi="Times New Roman" w:cs="Times New Roman"/>
          <w:sz w:val="26"/>
          <w:szCs w:val="26"/>
        </w:rPr>
        <w:t>.</w:t>
      </w:r>
    </w:p>
    <w:p w14:paraId="424C16D6" w14:textId="77777777" w:rsidR="00C1026B" w:rsidRDefault="00C1026B" w:rsidP="00C1026B">
      <w:pPr>
        <w:spacing w:after="0" w:line="276" w:lineRule="auto"/>
        <w:ind w:firstLine="709"/>
        <w:jc w:val="both"/>
        <w:rPr>
          <w:rFonts w:ascii="Times New Roman" w:hAnsi="Times New Roman" w:cs="Times New Roman"/>
          <w:sz w:val="26"/>
          <w:szCs w:val="26"/>
        </w:rPr>
      </w:pPr>
      <w:r>
        <w:rPr>
          <w:rFonts w:ascii="Times New Roman" w:eastAsiaTheme="minorEastAsia" w:hAnsi="Times New Roman" w:cs="Times New Roman"/>
          <w:sz w:val="26"/>
          <w:szCs w:val="26"/>
        </w:rPr>
        <w:t xml:space="preserve">Кадастровая стоимость определятся сравнительным подходом методом индексации прошлых результатов в соответствии </w:t>
      </w:r>
      <w:r>
        <w:rPr>
          <w:rFonts w:ascii="Times New Roman" w:hAnsi="Times New Roman" w:cs="Times New Roman"/>
          <w:sz w:val="26"/>
          <w:szCs w:val="26"/>
        </w:rPr>
        <w:t xml:space="preserve">с п. 45.4 </w:t>
      </w:r>
      <w:r w:rsidRPr="00483EA0">
        <w:rPr>
          <w:rFonts w:ascii="Times New Roman" w:hAnsi="Times New Roman" w:cs="Times New Roman"/>
          <w:sz w:val="26"/>
          <w:szCs w:val="26"/>
        </w:rPr>
        <w:t>Указаний</w:t>
      </w:r>
      <w:r>
        <w:rPr>
          <w:rFonts w:ascii="Times New Roman" w:hAnsi="Times New Roman" w:cs="Times New Roman"/>
          <w:sz w:val="26"/>
          <w:szCs w:val="26"/>
        </w:rPr>
        <w:t>.</w:t>
      </w:r>
    </w:p>
    <w:p w14:paraId="7C14F86A" w14:textId="77777777" w:rsidR="00C1026B" w:rsidRDefault="00C1026B" w:rsidP="00C1026B">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Индексации подлежат земельные участки, кадастровая стоимость которых определена Учреждением в рамках предыдущих ГКО (земельные участки населенных пунктов, лесного фонда, водного фонда, земель промышленности и иного специального назначения).</w:t>
      </w:r>
    </w:p>
    <w:p w14:paraId="4B8AF132" w14:textId="77777777" w:rsidR="00C1026B" w:rsidRPr="007D7AAD" w:rsidRDefault="00C1026B" w:rsidP="003F1B39">
      <w:pPr>
        <w:pStyle w:val="ab"/>
        <w:numPr>
          <w:ilvl w:val="0"/>
          <w:numId w:val="38"/>
        </w:numPr>
        <w:tabs>
          <w:tab w:val="left" w:pos="993"/>
        </w:tabs>
        <w:spacing w:after="0" w:line="276" w:lineRule="auto"/>
        <w:ind w:left="0" w:firstLine="709"/>
        <w:jc w:val="both"/>
        <w:rPr>
          <w:rFonts w:ascii="Times New Roman" w:hAnsi="Times New Roman" w:cs="Times New Roman"/>
          <w:sz w:val="26"/>
          <w:szCs w:val="26"/>
        </w:rPr>
      </w:pPr>
      <w:r w:rsidRPr="007D7AAD">
        <w:rPr>
          <w:rFonts w:ascii="Times New Roman" w:hAnsi="Times New Roman" w:cs="Times New Roman"/>
          <w:sz w:val="26"/>
          <w:szCs w:val="26"/>
        </w:rPr>
        <w:t>Расчет индекса пересчета кадастровой стоимости</w:t>
      </w:r>
    </w:p>
    <w:p w14:paraId="2C53DA37" w14:textId="77777777" w:rsidR="00C1026B" w:rsidRDefault="00C1026B" w:rsidP="00C1026B">
      <w:pPr>
        <w:spacing w:after="0" w:line="300" w:lineRule="auto"/>
        <w:ind w:firstLine="709"/>
        <w:jc w:val="both"/>
        <w:rPr>
          <w:rFonts w:ascii="Times New Roman" w:hAnsi="Times New Roman" w:cs="Times New Roman"/>
          <w:bCs/>
          <w:sz w:val="26"/>
          <w:szCs w:val="26"/>
        </w:rPr>
      </w:pPr>
      <w:r>
        <w:rPr>
          <w:rFonts w:ascii="Times New Roman" w:eastAsiaTheme="minorEastAsia" w:hAnsi="Times New Roman" w:cs="Times New Roman"/>
          <w:sz w:val="26"/>
          <w:szCs w:val="26"/>
        </w:rPr>
        <w:t xml:space="preserve">При анализе баз определения индекса пересчета кадастровой стоимости, определенной по состоянию на 01.01.2020 г. </w:t>
      </w:r>
      <w:r>
        <w:rPr>
          <w:rFonts w:ascii="Times New Roman" w:hAnsi="Times New Roman" w:cs="Times New Roman"/>
          <w:bCs/>
          <w:sz w:val="26"/>
          <w:szCs w:val="26"/>
        </w:rPr>
        <w:t>в рамках предыдущего тура оценки, а также, определенной на другие даты, к дате определения кадастровой стоимости - 01.01.2022 г., были рассмотрены различные источники информации.</w:t>
      </w:r>
    </w:p>
    <w:p w14:paraId="27E73BA9" w14:textId="77777777" w:rsidR="00C1026B" w:rsidRDefault="00C1026B" w:rsidP="00C1026B">
      <w:pPr>
        <w:spacing w:after="0" w:line="300" w:lineRule="auto"/>
        <w:ind w:firstLine="709"/>
        <w:jc w:val="both"/>
        <w:rPr>
          <w:rFonts w:ascii="Times New Roman" w:eastAsia="Calibri" w:hAnsi="Times New Roman" w:cs="Times New Roman"/>
          <w:sz w:val="26"/>
          <w:szCs w:val="26"/>
          <w:u w:val="single"/>
        </w:rPr>
      </w:pPr>
      <w:r>
        <w:rPr>
          <w:rFonts w:ascii="Times New Roman" w:hAnsi="Times New Roman" w:cs="Times New Roman"/>
          <w:sz w:val="26"/>
          <w:szCs w:val="26"/>
        </w:rPr>
        <w:t xml:space="preserve">Принято решение определять индекс пересчета на основании данных </w:t>
      </w:r>
      <w:r>
        <w:rPr>
          <w:rFonts w:ascii="Times New Roman" w:eastAsia="Calibri" w:hAnsi="Times New Roman" w:cs="Times New Roman"/>
          <w:sz w:val="26"/>
          <w:szCs w:val="26"/>
        </w:rPr>
        <w:t>исследования рынка земельных участков, проведенного некоммерческой организацией «Ассоциация развития рынка недвижимости «СтатРиелт» (</w:t>
      </w:r>
      <w:hyperlink r:id="rId324" w:history="1">
        <w:r>
          <w:rPr>
            <w:rStyle w:val="ad"/>
            <w:rFonts w:ascii="Times New Roman" w:hAnsi="Times New Roman" w:cs="Times New Roman"/>
            <w:sz w:val="26"/>
            <w:szCs w:val="26"/>
          </w:rPr>
          <w:t>https://statrielt.ru/</w:t>
        </w:r>
      </w:hyperlink>
      <w:r>
        <w:rPr>
          <w:rFonts w:ascii="Times New Roman" w:hAnsi="Times New Roman" w:cs="Times New Roman"/>
          <w:sz w:val="26"/>
          <w:szCs w:val="26"/>
        </w:rPr>
        <w:t>).</w:t>
      </w:r>
    </w:p>
    <w:p w14:paraId="6CE88767" w14:textId="77777777" w:rsidR="00C1026B" w:rsidRDefault="00C1026B" w:rsidP="00C1026B">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7B020658" wp14:editId="075E1C7C">
            <wp:extent cx="5943600" cy="3971925"/>
            <wp:effectExtent l="0" t="0" r="0" b="9525"/>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14:paraId="2F9F5F6C" w14:textId="734F99CA" w:rsidR="00C1026B" w:rsidRDefault="00C1026B" w:rsidP="00C1026B">
      <w:pPr>
        <w:ind w:firstLine="709"/>
        <w:jc w:val="center"/>
        <w:rPr>
          <w:rFonts w:ascii="Times New Roman" w:eastAsia="Calibri" w:hAnsi="Times New Roman" w:cs="Times New Roman"/>
          <w:sz w:val="26"/>
          <w:szCs w:val="26"/>
        </w:rPr>
      </w:pPr>
      <w:r w:rsidRPr="00C1026B">
        <w:rPr>
          <w:rFonts w:ascii="Times New Roman" w:eastAsia="Calibri" w:hAnsi="Times New Roman" w:cs="Times New Roman"/>
          <w:sz w:val="26"/>
          <w:szCs w:val="26"/>
        </w:rPr>
        <w:t>Рис. 3.6.12.</w:t>
      </w:r>
      <w:r>
        <w:rPr>
          <w:rFonts w:ascii="Times New Roman" w:eastAsia="Calibri" w:hAnsi="Times New Roman" w:cs="Times New Roman"/>
          <w:sz w:val="26"/>
          <w:szCs w:val="26"/>
        </w:rPr>
        <w:t>2 -</w:t>
      </w:r>
      <w:r>
        <w:rPr>
          <w:rFonts w:ascii="Times New Roman" w:hAnsi="Times New Roman" w:cs="Times New Roman"/>
          <w:sz w:val="26"/>
          <w:szCs w:val="26"/>
        </w:rPr>
        <w:t xml:space="preserve"> </w:t>
      </w:r>
      <w:r>
        <w:rPr>
          <w:rFonts w:ascii="Times New Roman" w:eastAsia="Calibri" w:hAnsi="Times New Roman" w:cs="Times New Roman"/>
          <w:sz w:val="26"/>
          <w:szCs w:val="26"/>
        </w:rPr>
        <w:t>Индексы изменения рыночных цен (в рублях) земельных участков по данным некоммерческой организации «Ассоциация развития рынка недвижимости «СтатРиелт»</w:t>
      </w:r>
      <w:r>
        <w:rPr>
          <w:rStyle w:val="af2"/>
          <w:rFonts w:ascii="Times New Roman" w:eastAsia="Calibri" w:hAnsi="Times New Roman" w:cs="Times New Roman"/>
          <w:sz w:val="26"/>
          <w:szCs w:val="26"/>
        </w:rPr>
        <w:footnoteReference w:id="131"/>
      </w:r>
      <w:r>
        <w:rPr>
          <w:rFonts w:ascii="Times New Roman" w:eastAsia="Calibri" w:hAnsi="Times New Roman" w:cs="Times New Roman"/>
          <w:sz w:val="26"/>
          <w:szCs w:val="26"/>
        </w:rPr>
        <w:t xml:space="preserve"> </w:t>
      </w:r>
    </w:p>
    <w:p w14:paraId="101C8662" w14:textId="77777777" w:rsidR="00C1026B" w:rsidRDefault="00C1026B" w:rsidP="00C1026B">
      <w:pPr>
        <w:spacing w:after="0" w:line="30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определен индекс пересчета по полугодиям, значения рассчитываем по столбцу «продажа земельных участков категории «Промышленности, транспорта, связи и иного специального назначения».</w:t>
      </w:r>
    </w:p>
    <w:p w14:paraId="315C1067" w14:textId="62937816" w:rsidR="00C1026B" w:rsidRDefault="00C1026B" w:rsidP="00C1026B">
      <w:pPr>
        <w:spacing w:after="0" w:line="300" w:lineRule="auto"/>
        <w:ind w:firstLine="709"/>
        <w:jc w:val="right"/>
        <w:rPr>
          <w:rFonts w:ascii="Times New Roman" w:hAnsi="Times New Roman" w:cs="Times New Roman"/>
          <w:sz w:val="26"/>
          <w:szCs w:val="26"/>
        </w:rPr>
      </w:pPr>
      <w:r>
        <w:rPr>
          <w:rFonts w:ascii="Times New Roman" w:hAnsi="Times New Roman" w:cs="Times New Roman"/>
          <w:sz w:val="26"/>
          <w:szCs w:val="26"/>
        </w:rPr>
        <w:t xml:space="preserve">Таблица </w:t>
      </w:r>
      <w:r w:rsidRPr="00C1026B">
        <w:rPr>
          <w:rFonts w:ascii="Times New Roman" w:eastAsia="Calibri" w:hAnsi="Times New Roman" w:cs="Times New Roman"/>
          <w:sz w:val="26"/>
          <w:szCs w:val="26"/>
        </w:rPr>
        <w:t>3.</w:t>
      </w:r>
      <w:r>
        <w:rPr>
          <w:rFonts w:ascii="Times New Roman" w:eastAsia="Calibri" w:hAnsi="Times New Roman" w:cs="Times New Roman"/>
          <w:sz w:val="26"/>
          <w:szCs w:val="26"/>
        </w:rPr>
        <w:t>6</w:t>
      </w:r>
      <w:r w:rsidRPr="00C1026B">
        <w:rPr>
          <w:rFonts w:ascii="Times New Roman" w:eastAsia="Calibri" w:hAnsi="Times New Roman" w:cs="Times New Roman"/>
          <w:sz w:val="26"/>
          <w:szCs w:val="26"/>
        </w:rPr>
        <w:t>.12.</w:t>
      </w:r>
      <w:r>
        <w:rPr>
          <w:rFonts w:ascii="Times New Roman" w:eastAsia="Calibri" w:hAnsi="Times New Roman" w:cs="Times New Roman"/>
          <w:sz w:val="26"/>
          <w:szCs w:val="26"/>
        </w:rPr>
        <w:t>2</w:t>
      </w:r>
    </w:p>
    <w:p w14:paraId="33EE1F1A" w14:textId="77777777" w:rsidR="00C1026B" w:rsidRDefault="00C1026B" w:rsidP="00C1026B">
      <w:pPr>
        <w:spacing w:after="0" w:line="300" w:lineRule="auto"/>
        <w:jc w:val="center"/>
        <w:rPr>
          <w:rFonts w:ascii="Times New Roman" w:hAnsi="Times New Roman" w:cs="Times New Roman"/>
          <w:sz w:val="26"/>
          <w:szCs w:val="26"/>
        </w:rPr>
      </w:pPr>
      <w:r>
        <w:rPr>
          <w:rFonts w:ascii="Times New Roman" w:hAnsi="Times New Roman" w:cs="Times New Roman"/>
          <w:sz w:val="26"/>
          <w:szCs w:val="26"/>
        </w:rPr>
        <w:t>Индекс пересчета кадастровой стоимости для 12 сегмента «</w:t>
      </w:r>
      <w:r>
        <w:rPr>
          <w:rFonts w:ascii="Times New Roman" w:eastAsiaTheme="minorEastAsia" w:hAnsi="Times New Roman" w:cs="Times New Roman"/>
          <w:sz w:val="26"/>
          <w:szCs w:val="26"/>
          <w:lang w:eastAsia="ru-RU"/>
        </w:rPr>
        <w:t>Специальное, ритуальное использование, запас»</w:t>
      </w:r>
      <w:r>
        <w:rPr>
          <w:rFonts w:ascii="Times New Roman" w:hAnsi="Times New Roman" w:cs="Times New Roman"/>
          <w:sz w:val="26"/>
          <w:szCs w:val="26"/>
        </w:rPr>
        <w:t xml:space="preserve"> к 01.01.2022 г.</w:t>
      </w:r>
    </w:p>
    <w:tbl>
      <w:tblPr>
        <w:tblStyle w:val="ae"/>
        <w:tblW w:w="9351" w:type="dxa"/>
        <w:tblLook w:val="04A0" w:firstRow="1" w:lastRow="0" w:firstColumn="1" w:lastColumn="0" w:noHBand="0" w:noVBand="1"/>
      </w:tblPr>
      <w:tblGrid>
        <w:gridCol w:w="2830"/>
        <w:gridCol w:w="2268"/>
        <w:gridCol w:w="2536"/>
        <w:gridCol w:w="1717"/>
      </w:tblGrid>
      <w:tr w:rsidR="00C1026B" w14:paraId="475A31CF"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512C008F" w14:textId="77777777" w:rsidR="00C1026B" w:rsidRDefault="00C1026B" w:rsidP="00621890">
            <w:pPr>
              <w:spacing w:line="300" w:lineRule="auto"/>
              <w:jc w:val="center"/>
              <w:rPr>
                <w:rFonts w:ascii="Times New Roman" w:hAnsi="Times New Roman" w:cs="Times New Roman"/>
                <w:b/>
              </w:rPr>
            </w:pPr>
            <w:r>
              <w:rPr>
                <w:rFonts w:ascii="Times New Roman" w:hAnsi="Times New Roman" w:cs="Times New Roman"/>
                <w:b/>
              </w:rPr>
              <w:t>Пересчет к 01.01.2022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1E5F2B" w14:textId="77777777" w:rsidR="00C1026B" w:rsidRDefault="00C1026B" w:rsidP="00621890">
            <w:pPr>
              <w:spacing w:line="300" w:lineRule="auto"/>
              <w:jc w:val="center"/>
              <w:rPr>
                <w:rFonts w:ascii="Times New Roman" w:hAnsi="Times New Roman" w:cs="Times New Roman"/>
                <w:b/>
              </w:rPr>
            </w:pPr>
            <w:r>
              <w:rPr>
                <w:rFonts w:ascii="Times New Roman" w:hAnsi="Times New Roman" w:cs="Times New Roman"/>
                <w:b/>
              </w:rPr>
              <w:t>Расчет</w:t>
            </w:r>
          </w:p>
        </w:tc>
        <w:tc>
          <w:tcPr>
            <w:tcW w:w="2536" w:type="dxa"/>
            <w:tcBorders>
              <w:top w:val="single" w:sz="4" w:space="0" w:color="auto"/>
              <w:left w:val="single" w:sz="4" w:space="0" w:color="auto"/>
              <w:bottom w:val="single" w:sz="4" w:space="0" w:color="auto"/>
              <w:right w:val="single" w:sz="4" w:space="0" w:color="auto"/>
            </w:tcBorders>
            <w:vAlign w:val="center"/>
            <w:hideMark/>
          </w:tcPr>
          <w:p w14:paraId="4835B9B4" w14:textId="77777777" w:rsidR="00C1026B" w:rsidRDefault="00C1026B" w:rsidP="00621890">
            <w:pPr>
              <w:spacing w:line="300" w:lineRule="auto"/>
              <w:jc w:val="center"/>
              <w:rPr>
                <w:rFonts w:ascii="Times New Roman" w:hAnsi="Times New Roman" w:cs="Times New Roman"/>
                <w:b/>
              </w:rPr>
            </w:pPr>
            <w:r>
              <w:rPr>
                <w:rFonts w:ascii="Times New Roman" w:hAnsi="Times New Roman" w:cs="Times New Roman"/>
                <w:b/>
              </w:rPr>
              <w:t>Значение индекса</w:t>
            </w:r>
          </w:p>
        </w:tc>
        <w:tc>
          <w:tcPr>
            <w:tcW w:w="1717" w:type="dxa"/>
            <w:tcBorders>
              <w:top w:val="single" w:sz="4" w:space="0" w:color="auto"/>
              <w:left w:val="single" w:sz="4" w:space="0" w:color="auto"/>
              <w:bottom w:val="single" w:sz="4" w:space="0" w:color="auto"/>
              <w:right w:val="single" w:sz="4" w:space="0" w:color="auto"/>
            </w:tcBorders>
            <w:vAlign w:val="center"/>
            <w:hideMark/>
          </w:tcPr>
          <w:p w14:paraId="50221A5D" w14:textId="77777777" w:rsidR="00C1026B" w:rsidRDefault="00C1026B" w:rsidP="00621890">
            <w:pPr>
              <w:spacing w:line="300" w:lineRule="auto"/>
              <w:jc w:val="center"/>
              <w:rPr>
                <w:rFonts w:ascii="Times New Roman" w:hAnsi="Times New Roman" w:cs="Times New Roman"/>
                <w:b/>
              </w:rPr>
            </w:pPr>
            <w:r>
              <w:rPr>
                <w:rFonts w:ascii="Times New Roman" w:hAnsi="Times New Roman" w:cs="Times New Roman"/>
                <w:b/>
              </w:rPr>
              <w:t>Индекс, %</w:t>
            </w:r>
          </w:p>
        </w:tc>
      </w:tr>
      <w:tr w:rsidR="00C1026B" w14:paraId="4A1A6B63"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6A35ABBC" w14:textId="77777777" w:rsidR="00C1026B" w:rsidRDefault="00C1026B" w:rsidP="00621890">
            <w:pPr>
              <w:jc w:val="center"/>
              <w:rPr>
                <w:rFonts w:ascii="Times New Roman" w:hAnsi="Times New Roman" w:cs="Times New Roman"/>
              </w:rPr>
            </w:pPr>
            <w:r>
              <w:rPr>
                <w:rFonts w:ascii="Times New Roman" w:hAnsi="Times New Roman" w:cs="Times New Roman"/>
              </w:rPr>
              <w:t>01.01.2020 по 30.06.2020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0A4DD3"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0,98*1*1*0,97</w:t>
            </w:r>
          </w:p>
        </w:tc>
        <w:tc>
          <w:tcPr>
            <w:tcW w:w="2536" w:type="dxa"/>
            <w:tcBorders>
              <w:top w:val="single" w:sz="4" w:space="0" w:color="auto"/>
              <w:left w:val="single" w:sz="4" w:space="0" w:color="auto"/>
              <w:bottom w:val="single" w:sz="4" w:space="0" w:color="auto"/>
              <w:right w:val="single" w:sz="4" w:space="0" w:color="auto"/>
            </w:tcBorders>
            <w:vAlign w:val="center"/>
            <w:hideMark/>
          </w:tcPr>
          <w:p w14:paraId="2E585B2A"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0,95</w:t>
            </w:r>
          </w:p>
        </w:tc>
        <w:tc>
          <w:tcPr>
            <w:tcW w:w="1717" w:type="dxa"/>
            <w:tcBorders>
              <w:top w:val="single" w:sz="4" w:space="0" w:color="auto"/>
              <w:left w:val="single" w:sz="4" w:space="0" w:color="auto"/>
              <w:bottom w:val="single" w:sz="4" w:space="0" w:color="auto"/>
              <w:right w:val="single" w:sz="4" w:space="0" w:color="auto"/>
            </w:tcBorders>
            <w:vAlign w:val="center"/>
            <w:hideMark/>
          </w:tcPr>
          <w:p w14:paraId="0EAE26FD"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-5%</w:t>
            </w:r>
          </w:p>
        </w:tc>
      </w:tr>
      <w:tr w:rsidR="00C1026B" w14:paraId="6D3E7D8C"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729686A2" w14:textId="77777777" w:rsidR="00C1026B" w:rsidRDefault="00C1026B" w:rsidP="00621890">
            <w:pPr>
              <w:jc w:val="center"/>
              <w:rPr>
                <w:rFonts w:ascii="Times New Roman" w:hAnsi="Times New Roman" w:cs="Times New Roman"/>
              </w:rPr>
            </w:pPr>
            <w:r>
              <w:rPr>
                <w:rFonts w:ascii="Times New Roman" w:hAnsi="Times New Roman" w:cs="Times New Roman"/>
              </w:rPr>
              <w:t>01.07.2020 по 31.12.2020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3B7F49B"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0,98*1*1</w:t>
            </w:r>
          </w:p>
        </w:tc>
        <w:tc>
          <w:tcPr>
            <w:tcW w:w="2536" w:type="dxa"/>
            <w:tcBorders>
              <w:top w:val="single" w:sz="4" w:space="0" w:color="auto"/>
              <w:left w:val="single" w:sz="4" w:space="0" w:color="auto"/>
              <w:bottom w:val="single" w:sz="4" w:space="0" w:color="auto"/>
              <w:right w:val="single" w:sz="4" w:space="0" w:color="auto"/>
            </w:tcBorders>
            <w:vAlign w:val="center"/>
            <w:hideMark/>
          </w:tcPr>
          <w:p w14:paraId="132FAC9D"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w:t>
            </w:r>
          </w:p>
        </w:tc>
        <w:tc>
          <w:tcPr>
            <w:tcW w:w="1717" w:type="dxa"/>
            <w:tcBorders>
              <w:top w:val="single" w:sz="4" w:space="0" w:color="auto"/>
              <w:left w:val="single" w:sz="4" w:space="0" w:color="auto"/>
              <w:bottom w:val="single" w:sz="4" w:space="0" w:color="auto"/>
              <w:right w:val="single" w:sz="4" w:space="0" w:color="auto"/>
            </w:tcBorders>
            <w:vAlign w:val="center"/>
            <w:hideMark/>
          </w:tcPr>
          <w:p w14:paraId="26FDAF65"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-2%</w:t>
            </w:r>
          </w:p>
        </w:tc>
      </w:tr>
      <w:tr w:rsidR="00C1026B" w14:paraId="2ED89CD9"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1163451F" w14:textId="77777777" w:rsidR="00C1026B" w:rsidRDefault="00C1026B" w:rsidP="00621890">
            <w:pPr>
              <w:jc w:val="center"/>
              <w:rPr>
                <w:rFonts w:ascii="Times New Roman" w:hAnsi="Times New Roman" w:cs="Times New Roman"/>
              </w:rPr>
            </w:pPr>
            <w:r>
              <w:rPr>
                <w:rFonts w:ascii="Times New Roman" w:hAnsi="Times New Roman" w:cs="Times New Roman"/>
              </w:rPr>
              <w:t>01.01.2021 по 30.06.2021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5F610C"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0,98*1</w:t>
            </w:r>
          </w:p>
        </w:tc>
        <w:tc>
          <w:tcPr>
            <w:tcW w:w="2536" w:type="dxa"/>
            <w:tcBorders>
              <w:top w:val="single" w:sz="4" w:space="0" w:color="auto"/>
              <w:left w:val="single" w:sz="4" w:space="0" w:color="auto"/>
              <w:bottom w:val="single" w:sz="4" w:space="0" w:color="auto"/>
              <w:right w:val="single" w:sz="4" w:space="0" w:color="auto"/>
            </w:tcBorders>
            <w:vAlign w:val="center"/>
            <w:hideMark/>
          </w:tcPr>
          <w:p w14:paraId="6E1AD855"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w:t>
            </w:r>
          </w:p>
        </w:tc>
        <w:tc>
          <w:tcPr>
            <w:tcW w:w="1717" w:type="dxa"/>
            <w:tcBorders>
              <w:top w:val="single" w:sz="4" w:space="0" w:color="auto"/>
              <w:left w:val="single" w:sz="4" w:space="0" w:color="auto"/>
              <w:bottom w:val="single" w:sz="4" w:space="0" w:color="auto"/>
              <w:right w:val="single" w:sz="4" w:space="0" w:color="auto"/>
            </w:tcBorders>
            <w:vAlign w:val="center"/>
            <w:hideMark/>
          </w:tcPr>
          <w:p w14:paraId="16EA1FF4"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-2%</w:t>
            </w:r>
          </w:p>
        </w:tc>
      </w:tr>
      <w:tr w:rsidR="00C1026B" w14:paraId="3746DEB9"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4705F611" w14:textId="77777777" w:rsidR="00C1026B" w:rsidRDefault="00C1026B" w:rsidP="00621890">
            <w:pPr>
              <w:jc w:val="center"/>
              <w:rPr>
                <w:rFonts w:ascii="Times New Roman" w:hAnsi="Times New Roman" w:cs="Times New Roman"/>
                <w:color w:val="000000"/>
              </w:rPr>
            </w:pPr>
            <w:r>
              <w:rPr>
                <w:rFonts w:ascii="Times New Roman" w:hAnsi="Times New Roman" w:cs="Times New Roman"/>
                <w:color w:val="000000"/>
              </w:rPr>
              <w:t>01.07.2021 по 31.12.2021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ABDBDB8"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w:t>
            </w:r>
          </w:p>
        </w:tc>
        <w:tc>
          <w:tcPr>
            <w:tcW w:w="2536" w:type="dxa"/>
            <w:tcBorders>
              <w:top w:val="single" w:sz="4" w:space="0" w:color="auto"/>
              <w:left w:val="single" w:sz="4" w:space="0" w:color="auto"/>
              <w:bottom w:val="single" w:sz="4" w:space="0" w:color="auto"/>
              <w:right w:val="single" w:sz="4" w:space="0" w:color="auto"/>
            </w:tcBorders>
            <w:vAlign w:val="center"/>
            <w:hideMark/>
          </w:tcPr>
          <w:p w14:paraId="6C2429FC"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w:t>
            </w:r>
          </w:p>
        </w:tc>
        <w:tc>
          <w:tcPr>
            <w:tcW w:w="1717" w:type="dxa"/>
            <w:tcBorders>
              <w:top w:val="single" w:sz="4" w:space="0" w:color="auto"/>
              <w:left w:val="single" w:sz="4" w:space="0" w:color="auto"/>
              <w:bottom w:val="single" w:sz="4" w:space="0" w:color="auto"/>
              <w:right w:val="single" w:sz="4" w:space="0" w:color="auto"/>
            </w:tcBorders>
            <w:vAlign w:val="center"/>
            <w:hideMark/>
          </w:tcPr>
          <w:p w14:paraId="426BA933"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-2%</w:t>
            </w:r>
          </w:p>
        </w:tc>
      </w:tr>
    </w:tbl>
    <w:p w14:paraId="34DB26D7" w14:textId="77777777" w:rsidR="00C1026B" w:rsidRPr="00180DD3" w:rsidRDefault="00C1026B" w:rsidP="003F1B39">
      <w:pPr>
        <w:pStyle w:val="ab"/>
        <w:numPr>
          <w:ilvl w:val="0"/>
          <w:numId w:val="38"/>
        </w:numPr>
        <w:tabs>
          <w:tab w:val="left" w:pos="993"/>
        </w:tabs>
        <w:spacing w:before="120" w:after="0" w:line="300" w:lineRule="auto"/>
        <w:ind w:left="0"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Расчет кадастровой</w:t>
      </w:r>
      <w:r w:rsidRPr="004F28D2">
        <w:rPr>
          <w:rFonts w:ascii="Times New Roman" w:eastAsiaTheme="minorEastAsia" w:hAnsi="Times New Roman" w:cs="Times New Roman"/>
          <w:sz w:val="26"/>
          <w:szCs w:val="26"/>
        </w:rPr>
        <w:t xml:space="preserve"> стоимост</w:t>
      </w:r>
      <w:r>
        <w:rPr>
          <w:rFonts w:ascii="Times New Roman" w:eastAsiaTheme="minorEastAsia" w:hAnsi="Times New Roman" w:cs="Times New Roman"/>
          <w:sz w:val="26"/>
          <w:szCs w:val="26"/>
        </w:rPr>
        <w:t>и</w:t>
      </w:r>
      <w:r w:rsidRPr="004F28D2">
        <w:rPr>
          <w:rFonts w:ascii="Times New Roman" w:eastAsiaTheme="minorEastAsia" w:hAnsi="Times New Roman" w:cs="Times New Roman"/>
          <w:sz w:val="26"/>
          <w:szCs w:val="26"/>
        </w:rPr>
        <w:t xml:space="preserve"> объектов оценки </w:t>
      </w:r>
      <w:r>
        <w:rPr>
          <w:rFonts w:ascii="Times New Roman" w:eastAsiaTheme="minorEastAsia" w:hAnsi="Times New Roman" w:cs="Times New Roman"/>
          <w:sz w:val="26"/>
          <w:szCs w:val="26"/>
        </w:rPr>
        <w:t xml:space="preserve">представляет собой </w:t>
      </w:r>
      <w:r w:rsidRPr="004F28D2">
        <w:rPr>
          <w:rFonts w:ascii="Times New Roman" w:eastAsiaTheme="minorEastAsia" w:hAnsi="Times New Roman" w:cs="Times New Roman"/>
          <w:sz w:val="26"/>
          <w:szCs w:val="26"/>
        </w:rPr>
        <w:t>произведение соответствующего индекса</w:t>
      </w:r>
      <w:r>
        <w:rPr>
          <w:rFonts w:ascii="Times New Roman" w:eastAsiaTheme="minorEastAsia" w:hAnsi="Times New Roman" w:cs="Times New Roman"/>
          <w:sz w:val="26"/>
          <w:szCs w:val="26"/>
        </w:rPr>
        <w:t>, выбранного в зависимости от указанной в Перечне даты</w:t>
      </w:r>
      <w:r w:rsidRPr="004F28D2">
        <w:t xml:space="preserve"> </w:t>
      </w:r>
      <w:r w:rsidRPr="004F28D2">
        <w:rPr>
          <w:rFonts w:ascii="Times New Roman" w:eastAsiaTheme="minorEastAsia" w:hAnsi="Times New Roman" w:cs="Times New Roman"/>
          <w:sz w:val="26"/>
          <w:szCs w:val="26"/>
        </w:rPr>
        <w:t>определения кадастровой стоимости</w:t>
      </w:r>
      <w:r>
        <w:rPr>
          <w:rFonts w:ascii="Times New Roman" w:eastAsiaTheme="minorEastAsia" w:hAnsi="Times New Roman" w:cs="Times New Roman"/>
          <w:sz w:val="26"/>
          <w:szCs w:val="26"/>
        </w:rPr>
        <w:t xml:space="preserve"> предыдущего тура оценки </w:t>
      </w:r>
      <w:r w:rsidRPr="004F28D2">
        <w:rPr>
          <w:rFonts w:ascii="Times New Roman" w:eastAsiaTheme="minorEastAsia" w:hAnsi="Times New Roman" w:cs="Times New Roman"/>
          <w:sz w:val="26"/>
          <w:szCs w:val="26"/>
        </w:rPr>
        <w:t xml:space="preserve">на </w:t>
      </w:r>
      <w:r>
        <w:rPr>
          <w:rFonts w:ascii="Times New Roman" w:eastAsiaTheme="minorEastAsia" w:hAnsi="Times New Roman" w:cs="Times New Roman"/>
          <w:sz w:val="26"/>
          <w:szCs w:val="26"/>
        </w:rPr>
        <w:t xml:space="preserve">указанную в Перечне </w:t>
      </w:r>
      <w:r w:rsidRPr="004F28D2">
        <w:rPr>
          <w:rFonts w:ascii="Times New Roman" w:hAnsi="Times New Roman" w:cs="Times New Roman"/>
          <w:bCs/>
          <w:sz w:val="26"/>
          <w:szCs w:val="26"/>
        </w:rPr>
        <w:t xml:space="preserve">кадастровую стоимость </w:t>
      </w:r>
      <w:r>
        <w:rPr>
          <w:rFonts w:ascii="Times New Roman" w:hAnsi="Times New Roman" w:cs="Times New Roman"/>
          <w:bCs/>
          <w:sz w:val="26"/>
          <w:szCs w:val="26"/>
        </w:rPr>
        <w:t>предыдущего тура оценки.</w:t>
      </w:r>
    </w:p>
    <w:p w14:paraId="566DD275" w14:textId="35A15869" w:rsidR="00C1026B" w:rsidRDefault="00D30D16" w:rsidP="00C1026B">
      <w:pPr>
        <w:pStyle w:val="ConsPlusNormal"/>
        <w:spacing w:line="276" w:lineRule="auto"/>
        <w:ind w:firstLine="709"/>
        <w:jc w:val="both"/>
        <w:rPr>
          <w:rFonts w:ascii="Times New Roman" w:hAnsi="Times New Roman" w:cs="Times New Roman"/>
          <w:sz w:val="26"/>
          <w:szCs w:val="26"/>
        </w:rPr>
      </w:pPr>
      <w:r w:rsidRPr="0041105F">
        <w:rPr>
          <w:rFonts w:ascii="Times New Roman" w:hAnsi="Times New Roman" w:cs="Times New Roman"/>
          <w:bCs/>
          <w:color w:val="000000" w:themeColor="text1"/>
          <w:sz w:val="26"/>
          <w:szCs w:val="26"/>
        </w:rPr>
        <w:t>Полученные результаты приведены в Приложении</w:t>
      </w:r>
      <w:r w:rsidR="00C1026B" w:rsidRPr="00F562A8">
        <w:rPr>
          <w:rFonts w:ascii="Times New Roman" w:hAnsi="Times New Roman" w:cs="Times New Roman"/>
          <w:sz w:val="26"/>
          <w:szCs w:val="26"/>
        </w:rPr>
        <w:t xml:space="preserve"> </w:t>
      </w:r>
      <w:r w:rsidR="002C7430" w:rsidRPr="00483EA0">
        <w:rPr>
          <w:rFonts w:ascii="Times New Roman" w:hAnsi="Times New Roman" w:cs="Times New Roman"/>
          <w:sz w:val="26"/>
          <w:szCs w:val="26"/>
        </w:rPr>
        <w:t>2/2.4</w:t>
      </w:r>
      <w:r w:rsidR="002C7430">
        <w:rPr>
          <w:rFonts w:ascii="Times New Roman" w:hAnsi="Times New Roman" w:cs="Times New Roman"/>
          <w:sz w:val="26"/>
          <w:szCs w:val="26"/>
        </w:rPr>
        <w:t>/2.4.12.</w:t>
      </w:r>
    </w:p>
    <w:p w14:paraId="781546D3" w14:textId="77777777" w:rsidR="00C1026B" w:rsidRDefault="00C1026B" w:rsidP="00C1026B">
      <w:pPr>
        <w:spacing w:after="0" w:line="300" w:lineRule="auto"/>
        <w:ind w:firstLine="709"/>
        <w:jc w:val="both"/>
        <w:rPr>
          <w:rFonts w:ascii="Times New Roman" w:eastAsiaTheme="minorEastAsia" w:hAnsi="Times New Roman" w:cs="Times New Roman"/>
          <w:sz w:val="16"/>
          <w:szCs w:val="16"/>
        </w:rPr>
      </w:pPr>
    </w:p>
    <w:p w14:paraId="634B12D9" w14:textId="77777777" w:rsidR="00C1026B" w:rsidRDefault="00C1026B" w:rsidP="00C1026B">
      <w:pPr>
        <w:spacing w:after="0" w:line="300" w:lineRule="auto"/>
        <w:ind w:firstLine="709"/>
        <w:jc w:val="both"/>
        <w:rPr>
          <w:rFonts w:ascii="Times New Roman" w:eastAsiaTheme="minorEastAsia" w:hAnsi="Times New Roman" w:cs="Times New Roman"/>
          <w:sz w:val="16"/>
          <w:szCs w:val="16"/>
        </w:rPr>
      </w:pPr>
    </w:p>
    <w:p w14:paraId="521EF4F5" w14:textId="77777777" w:rsidR="00C1026B" w:rsidRPr="005A41E5" w:rsidRDefault="00C1026B" w:rsidP="00C1026B">
      <w:pPr>
        <w:pStyle w:val="ab"/>
        <w:ind w:left="0" w:firstLine="709"/>
        <w:jc w:val="center"/>
        <w:outlineLvl w:val="2"/>
        <w:rPr>
          <w:rFonts w:ascii="Times New Roman" w:hAnsi="Times New Roman" w:cs="Times New Roman"/>
          <w:i/>
          <w:sz w:val="26"/>
          <w:szCs w:val="26"/>
        </w:rPr>
      </w:pPr>
      <w:bookmarkStart w:id="288" w:name="_Toc51837463"/>
      <w:bookmarkStart w:id="289" w:name="_Toc110507021"/>
      <w:r w:rsidRPr="00F562A8">
        <w:rPr>
          <w:rFonts w:ascii="Times New Roman" w:hAnsi="Times New Roman" w:cs="Times New Roman"/>
          <w:i/>
          <w:sz w:val="26"/>
          <w:szCs w:val="26"/>
        </w:rPr>
        <w:t>3.6.12.</w:t>
      </w:r>
      <w:r>
        <w:rPr>
          <w:rFonts w:ascii="Times New Roman" w:hAnsi="Times New Roman" w:cs="Times New Roman"/>
          <w:i/>
          <w:sz w:val="26"/>
          <w:szCs w:val="26"/>
        </w:rPr>
        <w:t>3</w:t>
      </w:r>
      <w:r w:rsidRPr="00F562A8">
        <w:rPr>
          <w:rFonts w:ascii="Times New Roman" w:hAnsi="Times New Roman" w:cs="Times New Roman"/>
          <w:i/>
          <w:sz w:val="26"/>
          <w:szCs w:val="26"/>
        </w:rPr>
        <w:t xml:space="preserve">. </w:t>
      </w:r>
      <w:r w:rsidRPr="005A41E5">
        <w:rPr>
          <w:rFonts w:ascii="Times New Roman" w:hAnsi="Times New Roman" w:cs="Times New Roman"/>
          <w:i/>
          <w:sz w:val="26"/>
          <w:szCs w:val="26"/>
        </w:rPr>
        <w:t xml:space="preserve">Расчет кадастровой стоимости земельных участков группы </w:t>
      </w:r>
      <w:bookmarkEnd w:id="288"/>
      <w:r>
        <w:rPr>
          <w:rFonts w:ascii="Times New Roman" w:hAnsi="Times New Roman" w:cs="Times New Roman"/>
          <w:i/>
          <w:sz w:val="26"/>
          <w:szCs w:val="26"/>
        </w:rPr>
        <w:t>СПЕЦ</w:t>
      </w:r>
      <w:bookmarkEnd w:id="289"/>
    </w:p>
    <w:p w14:paraId="08A84AF3" w14:textId="77777777" w:rsidR="00C1026B" w:rsidRPr="00235F1F" w:rsidRDefault="00C1026B" w:rsidP="00C1026B">
      <w:pPr>
        <w:pStyle w:val="ab"/>
        <w:spacing w:after="0" w:line="300" w:lineRule="auto"/>
        <w:ind w:left="1069" w:firstLine="709"/>
        <w:rPr>
          <w:rFonts w:ascii="Times New Roman" w:eastAsiaTheme="minorEastAsia" w:hAnsi="Times New Roman" w:cs="Times New Roman"/>
          <w:i/>
          <w:sz w:val="16"/>
          <w:szCs w:val="16"/>
        </w:rPr>
      </w:pPr>
    </w:p>
    <w:p w14:paraId="3B500DFD" w14:textId="43B4F7EE" w:rsidR="00C1026B" w:rsidRPr="00483EA0" w:rsidRDefault="00C1026B" w:rsidP="00C1026B">
      <w:pPr>
        <w:spacing w:after="0" w:line="276" w:lineRule="auto"/>
        <w:ind w:firstLine="709"/>
        <w:jc w:val="both"/>
        <w:rPr>
          <w:rFonts w:ascii="Times New Roman" w:eastAsiaTheme="minorEastAsia" w:hAnsi="Times New Roman" w:cs="Times New Roman"/>
          <w:sz w:val="26"/>
          <w:szCs w:val="26"/>
        </w:rPr>
      </w:pPr>
      <w:r w:rsidRPr="00483EA0">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2C7430" w:rsidRPr="00483EA0">
        <w:rPr>
          <w:rFonts w:ascii="Times New Roman" w:eastAsiaTheme="minorEastAsia" w:hAnsi="Times New Roman" w:cs="Times New Roman"/>
          <w:sz w:val="26"/>
          <w:szCs w:val="26"/>
        </w:rPr>
        <w:t>2/2.4</w:t>
      </w:r>
      <w:r w:rsidR="002C7430">
        <w:rPr>
          <w:rFonts w:ascii="Times New Roman" w:eastAsiaTheme="minorEastAsia" w:hAnsi="Times New Roman" w:cs="Times New Roman"/>
          <w:sz w:val="26"/>
          <w:szCs w:val="26"/>
        </w:rPr>
        <w:t>/2.4.12.</w:t>
      </w:r>
    </w:p>
    <w:p w14:paraId="09358838" w14:textId="77777777" w:rsidR="00C1026B" w:rsidRDefault="00C1026B" w:rsidP="00C1026B">
      <w:pPr>
        <w:spacing w:after="0" w:line="276" w:lineRule="auto"/>
        <w:ind w:firstLine="709"/>
        <w:jc w:val="both"/>
        <w:rPr>
          <w:rFonts w:ascii="Times New Roman" w:eastAsiaTheme="minorEastAsia" w:hAnsi="Times New Roman" w:cs="Times New Roman"/>
          <w:sz w:val="26"/>
          <w:szCs w:val="26"/>
        </w:rPr>
      </w:pPr>
      <w:r w:rsidRPr="00483EA0">
        <w:rPr>
          <w:rFonts w:ascii="Times New Roman" w:eastAsiaTheme="minorEastAsia" w:hAnsi="Times New Roman" w:cs="Times New Roman"/>
          <w:sz w:val="26"/>
          <w:szCs w:val="26"/>
        </w:rPr>
        <w:t xml:space="preserve">К группе </w:t>
      </w:r>
      <w:r>
        <w:rPr>
          <w:rFonts w:ascii="Times New Roman" w:eastAsiaTheme="minorEastAsia" w:hAnsi="Times New Roman" w:cs="Times New Roman"/>
          <w:sz w:val="26"/>
          <w:szCs w:val="26"/>
        </w:rPr>
        <w:t>СПЕЦ</w:t>
      </w:r>
      <w:r w:rsidRPr="00483EA0">
        <w:rPr>
          <w:rFonts w:ascii="Times New Roman" w:eastAsiaTheme="minorEastAsia" w:hAnsi="Times New Roman" w:cs="Times New Roman"/>
          <w:sz w:val="26"/>
          <w:szCs w:val="26"/>
        </w:rPr>
        <w:t xml:space="preserve"> относятся земельные участки с код</w:t>
      </w:r>
      <w:r>
        <w:rPr>
          <w:rFonts w:ascii="Times New Roman" w:eastAsiaTheme="minorEastAsia" w:hAnsi="Times New Roman" w:cs="Times New Roman"/>
          <w:sz w:val="26"/>
          <w:szCs w:val="26"/>
        </w:rPr>
        <w:t>ами</w:t>
      </w:r>
      <w:r w:rsidRPr="00483EA0">
        <w:rPr>
          <w:rFonts w:ascii="Times New Roman" w:eastAsiaTheme="minorEastAsia" w:hAnsi="Times New Roman" w:cs="Times New Roman"/>
          <w:sz w:val="26"/>
          <w:szCs w:val="26"/>
        </w:rPr>
        <w:t xml:space="preserve"> расчета вида использования </w:t>
      </w:r>
      <w:r>
        <w:rPr>
          <w:rFonts w:ascii="Times New Roman" w:eastAsiaTheme="minorEastAsia" w:hAnsi="Times New Roman" w:cs="Times New Roman"/>
          <w:sz w:val="26"/>
          <w:szCs w:val="26"/>
        </w:rPr>
        <w:t>12:000, 12:020, 12:021.</w:t>
      </w:r>
    </w:p>
    <w:p w14:paraId="65B76FA2" w14:textId="77777777" w:rsidR="00C1026B" w:rsidRDefault="00C1026B" w:rsidP="00C1026B">
      <w:pPr>
        <w:spacing w:after="0" w:line="276" w:lineRule="auto"/>
        <w:ind w:firstLine="709"/>
        <w:jc w:val="both"/>
        <w:rPr>
          <w:rFonts w:ascii="Times New Roman" w:hAnsi="Times New Roman" w:cs="Times New Roman"/>
          <w:sz w:val="26"/>
          <w:szCs w:val="26"/>
        </w:rPr>
      </w:pPr>
      <w:r>
        <w:rPr>
          <w:rFonts w:ascii="Times New Roman" w:eastAsiaTheme="minorEastAsia" w:hAnsi="Times New Roman" w:cs="Times New Roman"/>
          <w:sz w:val="26"/>
          <w:szCs w:val="26"/>
        </w:rPr>
        <w:t xml:space="preserve">Кадастровая стоимость определятся сравнительным подходом методом индексации прошлых результатов в соответствии </w:t>
      </w:r>
      <w:r>
        <w:rPr>
          <w:rFonts w:ascii="Times New Roman" w:hAnsi="Times New Roman" w:cs="Times New Roman"/>
          <w:sz w:val="26"/>
          <w:szCs w:val="26"/>
        </w:rPr>
        <w:t xml:space="preserve">с п. 45.4 </w:t>
      </w:r>
      <w:r w:rsidRPr="00483EA0">
        <w:rPr>
          <w:rFonts w:ascii="Times New Roman" w:hAnsi="Times New Roman" w:cs="Times New Roman"/>
          <w:sz w:val="26"/>
          <w:szCs w:val="26"/>
        </w:rPr>
        <w:t>Указаний</w:t>
      </w:r>
      <w:r>
        <w:rPr>
          <w:rFonts w:ascii="Times New Roman" w:hAnsi="Times New Roman" w:cs="Times New Roman"/>
          <w:sz w:val="26"/>
          <w:szCs w:val="26"/>
        </w:rPr>
        <w:t>.</w:t>
      </w:r>
    </w:p>
    <w:p w14:paraId="494288E5" w14:textId="77777777" w:rsidR="00C1026B" w:rsidRDefault="00C1026B" w:rsidP="00C1026B">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Индексации подлежат земельные участки, кадастровая стоимость которых определена Учреждением в рамках предыдущих ГКО (земельные участки населенных пунктов, лесного фонда, водного фонда, земель промышленности и иного специального назначения).</w:t>
      </w:r>
    </w:p>
    <w:p w14:paraId="188A9A60" w14:textId="77777777" w:rsidR="00C1026B" w:rsidRPr="007D7AAD" w:rsidRDefault="00C1026B" w:rsidP="003F1B39">
      <w:pPr>
        <w:pStyle w:val="ab"/>
        <w:numPr>
          <w:ilvl w:val="0"/>
          <w:numId w:val="39"/>
        </w:numPr>
        <w:tabs>
          <w:tab w:val="left" w:pos="993"/>
        </w:tabs>
        <w:spacing w:after="0" w:line="276" w:lineRule="auto"/>
        <w:ind w:left="0" w:firstLine="709"/>
        <w:jc w:val="both"/>
        <w:rPr>
          <w:rFonts w:ascii="Times New Roman" w:hAnsi="Times New Roman" w:cs="Times New Roman"/>
          <w:sz w:val="26"/>
          <w:szCs w:val="26"/>
        </w:rPr>
      </w:pPr>
      <w:r w:rsidRPr="007D7AAD">
        <w:rPr>
          <w:rFonts w:ascii="Times New Roman" w:hAnsi="Times New Roman" w:cs="Times New Roman"/>
          <w:sz w:val="26"/>
          <w:szCs w:val="26"/>
        </w:rPr>
        <w:t>Расчет индекса пересчета кадастровой стоимости</w:t>
      </w:r>
    </w:p>
    <w:p w14:paraId="18511EE8" w14:textId="77777777" w:rsidR="00C1026B" w:rsidRDefault="00C1026B" w:rsidP="00C1026B">
      <w:pPr>
        <w:spacing w:after="0" w:line="300" w:lineRule="auto"/>
        <w:ind w:firstLine="709"/>
        <w:jc w:val="both"/>
        <w:rPr>
          <w:rFonts w:ascii="Times New Roman" w:hAnsi="Times New Roman" w:cs="Times New Roman"/>
          <w:bCs/>
          <w:sz w:val="26"/>
          <w:szCs w:val="26"/>
        </w:rPr>
      </w:pPr>
      <w:r>
        <w:rPr>
          <w:rFonts w:ascii="Times New Roman" w:eastAsiaTheme="minorEastAsia" w:hAnsi="Times New Roman" w:cs="Times New Roman"/>
          <w:sz w:val="26"/>
          <w:szCs w:val="26"/>
        </w:rPr>
        <w:t xml:space="preserve">При анализе баз определения индекса пересчета кадастровой стоимости, определенной по состоянию на 01.01.2020 г. </w:t>
      </w:r>
      <w:r>
        <w:rPr>
          <w:rFonts w:ascii="Times New Roman" w:hAnsi="Times New Roman" w:cs="Times New Roman"/>
          <w:bCs/>
          <w:sz w:val="26"/>
          <w:szCs w:val="26"/>
        </w:rPr>
        <w:t>в рамках предыдущего тура оценки, а также, определенной на другие даты, к дате определения кадастровой стоимости - 01.01.2022 г., были рассмотрены различные источники информации.</w:t>
      </w:r>
    </w:p>
    <w:p w14:paraId="7B1B6F70" w14:textId="77777777" w:rsidR="00C1026B" w:rsidRDefault="00C1026B" w:rsidP="00C1026B">
      <w:pPr>
        <w:spacing w:after="0" w:line="300" w:lineRule="auto"/>
        <w:ind w:firstLine="709"/>
        <w:jc w:val="both"/>
        <w:rPr>
          <w:rFonts w:ascii="Times New Roman" w:eastAsia="Calibri" w:hAnsi="Times New Roman" w:cs="Times New Roman"/>
          <w:sz w:val="26"/>
          <w:szCs w:val="26"/>
          <w:u w:val="single"/>
        </w:rPr>
      </w:pPr>
      <w:r>
        <w:rPr>
          <w:rFonts w:ascii="Times New Roman" w:hAnsi="Times New Roman" w:cs="Times New Roman"/>
          <w:sz w:val="26"/>
          <w:szCs w:val="26"/>
        </w:rPr>
        <w:t xml:space="preserve">Принято решение определять индекс пересчета на основании данных </w:t>
      </w:r>
      <w:r>
        <w:rPr>
          <w:rFonts w:ascii="Times New Roman" w:eastAsia="Calibri" w:hAnsi="Times New Roman" w:cs="Times New Roman"/>
          <w:sz w:val="26"/>
          <w:szCs w:val="26"/>
        </w:rPr>
        <w:t>исследования рынка земельных участков, проведенного некоммерческой организацией «Ассоциация развития рынка недвижимости «СтатРиелт» (</w:t>
      </w:r>
      <w:hyperlink r:id="rId325" w:history="1">
        <w:r>
          <w:rPr>
            <w:rStyle w:val="ad"/>
            <w:rFonts w:ascii="Times New Roman" w:hAnsi="Times New Roman" w:cs="Times New Roman"/>
            <w:sz w:val="26"/>
            <w:szCs w:val="26"/>
          </w:rPr>
          <w:t>https://statrielt.ru/</w:t>
        </w:r>
      </w:hyperlink>
      <w:r>
        <w:rPr>
          <w:rFonts w:ascii="Times New Roman" w:hAnsi="Times New Roman" w:cs="Times New Roman"/>
          <w:sz w:val="26"/>
          <w:szCs w:val="26"/>
        </w:rPr>
        <w:t>).</w:t>
      </w:r>
    </w:p>
    <w:p w14:paraId="668F0EA0" w14:textId="77777777" w:rsidR="00C1026B" w:rsidRDefault="00C1026B" w:rsidP="00C1026B">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6564FC97" wp14:editId="619FFE79">
            <wp:extent cx="4876928" cy="3259101"/>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86259" cy="3265337"/>
                    </a:xfrm>
                    <a:prstGeom prst="rect">
                      <a:avLst/>
                    </a:prstGeom>
                    <a:noFill/>
                    <a:ln>
                      <a:noFill/>
                    </a:ln>
                  </pic:spPr>
                </pic:pic>
              </a:graphicData>
            </a:graphic>
          </wp:inline>
        </w:drawing>
      </w:r>
    </w:p>
    <w:p w14:paraId="1931028B" w14:textId="6ABFB4E8" w:rsidR="00C1026B" w:rsidRDefault="00C1026B" w:rsidP="00C1026B">
      <w:pPr>
        <w:ind w:firstLine="709"/>
        <w:jc w:val="center"/>
        <w:rPr>
          <w:rFonts w:ascii="Times New Roman" w:eastAsia="Calibri" w:hAnsi="Times New Roman" w:cs="Times New Roman"/>
          <w:sz w:val="26"/>
          <w:szCs w:val="26"/>
        </w:rPr>
      </w:pPr>
      <w:r w:rsidRPr="0061294B">
        <w:rPr>
          <w:rFonts w:ascii="Times New Roman" w:eastAsia="Calibri" w:hAnsi="Times New Roman" w:cs="Times New Roman"/>
          <w:sz w:val="26"/>
          <w:szCs w:val="26"/>
        </w:rPr>
        <w:t>Рис.</w:t>
      </w:r>
      <w:r w:rsidR="0061294B" w:rsidRPr="0061294B">
        <w:rPr>
          <w:rFonts w:ascii="Times New Roman" w:eastAsia="Calibri" w:hAnsi="Times New Roman" w:cs="Times New Roman"/>
          <w:sz w:val="26"/>
          <w:szCs w:val="26"/>
        </w:rPr>
        <w:t xml:space="preserve"> 3.6.12</w:t>
      </w:r>
      <w:r w:rsidR="0061294B" w:rsidRPr="00C1026B">
        <w:rPr>
          <w:rFonts w:ascii="Times New Roman" w:eastAsia="Calibri" w:hAnsi="Times New Roman" w:cs="Times New Roman"/>
          <w:sz w:val="26"/>
          <w:szCs w:val="26"/>
        </w:rPr>
        <w:t>.</w:t>
      </w:r>
      <w:r w:rsidR="0061294B">
        <w:rPr>
          <w:rFonts w:ascii="Times New Roman" w:eastAsia="Calibri" w:hAnsi="Times New Roman" w:cs="Times New Roman"/>
          <w:sz w:val="26"/>
          <w:szCs w:val="26"/>
        </w:rPr>
        <w:t>3</w:t>
      </w:r>
      <w:r>
        <w:rPr>
          <w:rFonts w:ascii="Times New Roman" w:eastAsia="Calibri" w:hAnsi="Times New Roman" w:cs="Times New Roman"/>
          <w:sz w:val="26"/>
          <w:szCs w:val="26"/>
        </w:rPr>
        <w:t xml:space="preserve"> -</w:t>
      </w:r>
      <w:r>
        <w:rPr>
          <w:rFonts w:ascii="Times New Roman" w:hAnsi="Times New Roman" w:cs="Times New Roman"/>
          <w:sz w:val="26"/>
          <w:szCs w:val="26"/>
        </w:rPr>
        <w:t xml:space="preserve"> </w:t>
      </w:r>
      <w:r>
        <w:rPr>
          <w:rFonts w:ascii="Times New Roman" w:eastAsia="Calibri" w:hAnsi="Times New Roman" w:cs="Times New Roman"/>
          <w:sz w:val="26"/>
          <w:szCs w:val="26"/>
        </w:rPr>
        <w:t>Индексы изменения рыночных цен (в рублях) земельных участков по данным некоммерческой организации «Ассоциация развития рынка недвижимости «СтатРиелт»</w:t>
      </w:r>
      <w:r>
        <w:rPr>
          <w:rStyle w:val="af2"/>
          <w:rFonts w:ascii="Times New Roman" w:eastAsia="Calibri" w:hAnsi="Times New Roman" w:cs="Times New Roman"/>
          <w:sz w:val="26"/>
          <w:szCs w:val="26"/>
        </w:rPr>
        <w:footnoteReference w:id="132"/>
      </w:r>
      <w:r>
        <w:rPr>
          <w:rFonts w:ascii="Times New Roman" w:eastAsia="Calibri" w:hAnsi="Times New Roman" w:cs="Times New Roman"/>
          <w:sz w:val="26"/>
          <w:szCs w:val="26"/>
        </w:rPr>
        <w:t xml:space="preserve"> </w:t>
      </w:r>
    </w:p>
    <w:p w14:paraId="083B4FFD" w14:textId="77777777" w:rsidR="00C1026B" w:rsidRDefault="00C1026B" w:rsidP="00C1026B">
      <w:pPr>
        <w:spacing w:after="0" w:line="30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определен индекс пересчета по полугодиям, значения рассчитываем по столбцу «продажа земельных участков категории «Промышленности, транспорта, связи и иного специального назначения».</w:t>
      </w:r>
    </w:p>
    <w:p w14:paraId="667846F1" w14:textId="64553213" w:rsidR="00C1026B" w:rsidRDefault="00C1026B" w:rsidP="00C1026B">
      <w:pPr>
        <w:spacing w:after="0" w:line="300" w:lineRule="auto"/>
        <w:ind w:firstLine="709"/>
        <w:jc w:val="right"/>
        <w:rPr>
          <w:rFonts w:ascii="Times New Roman" w:hAnsi="Times New Roman" w:cs="Times New Roman"/>
          <w:sz w:val="26"/>
          <w:szCs w:val="26"/>
        </w:rPr>
      </w:pPr>
      <w:r>
        <w:rPr>
          <w:rFonts w:ascii="Times New Roman" w:hAnsi="Times New Roman" w:cs="Times New Roman"/>
          <w:sz w:val="26"/>
          <w:szCs w:val="26"/>
        </w:rPr>
        <w:t xml:space="preserve">Таблица </w:t>
      </w:r>
      <w:r w:rsidR="0061294B" w:rsidRPr="00C1026B">
        <w:rPr>
          <w:rFonts w:ascii="Times New Roman" w:eastAsia="Calibri" w:hAnsi="Times New Roman" w:cs="Times New Roman"/>
          <w:sz w:val="26"/>
          <w:szCs w:val="26"/>
        </w:rPr>
        <w:t>3.</w:t>
      </w:r>
      <w:r w:rsidR="0061294B">
        <w:rPr>
          <w:rFonts w:ascii="Times New Roman" w:eastAsia="Calibri" w:hAnsi="Times New Roman" w:cs="Times New Roman"/>
          <w:sz w:val="26"/>
          <w:szCs w:val="26"/>
        </w:rPr>
        <w:t>6</w:t>
      </w:r>
      <w:r w:rsidR="0061294B" w:rsidRPr="00C1026B">
        <w:rPr>
          <w:rFonts w:ascii="Times New Roman" w:eastAsia="Calibri" w:hAnsi="Times New Roman" w:cs="Times New Roman"/>
          <w:sz w:val="26"/>
          <w:szCs w:val="26"/>
        </w:rPr>
        <w:t>.12.</w:t>
      </w:r>
      <w:r w:rsidR="0061294B">
        <w:rPr>
          <w:rFonts w:ascii="Times New Roman" w:eastAsia="Calibri" w:hAnsi="Times New Roman" w:cs="Times New Roman"/>
          <w:sz w:val="26"/>
          <w:szCs w:val="26"/>
        </w:rPr>
        <w:t>3</w:t>
      </w:r>
    </w:p>
    <w:p w14:paraId="2F4687EF" w14:textId="77777777" w:rsidR="00C1026B" w:rsidRDefault="00C1026B" w:rsidP="00C1026B">
      <w:pPr>
        <w:spacing w:after="0" w:line="300" w:lineRule="auto"/>
        <w:jc w:val="center"/>
        <w:rPr>
          <w:rFonts w:ascii="Times New Roman" w:hAnsi="Times New Roman" w:cs="Times New Roman"/>
          <w:sz w:val="26"/>
          <w:szCs w:val="26"/>
        </w:rPr>
      </w:pPr>
      <w:r>
        <w:rPr>
          <w:rFonts w:ascii="Times New Roman" w:hAnsi="Times New Roman" w:cs="Times New Roman"/>
          <w:sz w:val="26"/>
          <w:szCs w:val="26"/>
        </w:rPr>
        <w:t>Индекс пересчета кадастровой стоимости для 12 сегмента «</w:t>
      </w:r>
      <w:r>
        <w:rPr>
          <w:rFonts w:ascii="Times New Roman" w:eastAsiaTheme="minorEastAsia" w:hAnsi="Times New Roman" w:cs="Times New Roman"/>
          <w:sz w:val="26"/>
          <w:szCs w:val="26"/>
          <w:lang w:eastAsia="ru-RU"/>
        </w:rPr>
        <w:t>Специальное, ритуальное использование, запас»</w:t>
      </w:r>
      <w:r>
        <w:rPr>
          <w:rFonts w:ascii="Times New Roman" w:hAnsi="Times New Roman" w:cs="Times New Roman"/>
          <w:sz w:val="26"/>
          <w:szCs w:val="26"/>
        </w:rPr>
        <w:t xml:space="preserve"> к 01.01.2022 г.</w:t>
      </w:r>
    </w:p>
    <w:tbl>
      <w:tblPr>
        <w:tblStyle w:val="ae"/>
        <w:tblW w:w="9351" w:type="dxa"/>
        <w:tblLook w:val="04A0" w:firstRow="1" w:lastRow="0" w:firstColumn="1" w:lastColumn="0" w:noHBand="0" w:noVBand="1"/>
      </w:tblPr>
      <w:tblGrid>
        <w:gridCol w:w="2830"/>
        <w:gridCol w:w="2268"/>
        <w:gridCol w:w="2536"/>
        <w:gridCol w:w="1717"/>
      </w:tblGrid>
      <w:tr w:rsidR="00C1026B" w14:paraId="021BBE75"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3FD9A362" w14:textId="77777777" w:rsidR="00C1026B" w:rsidRDefault="00C1026B" w:rsidP="00621890">
            <w:pPr>
              <w:spacing w:line="300" w:lineRule="auto"/>
              <w:jc w:val="center"/>
              <w:rPr>
                <w:rFonts w:ascii="Times New Roman" w:hAnsi="Times New Roman" w:cs="Times New Roman"/>
                <w:b/>
              </w:rPr>
            </w:pPr>
            <w:r>
              <w:rPr>
                <w:rFonts w:ascii="Times New Roman" w:hAnsi="Times New Roman" w:cs="Times New Roman"/>
                <w:b/>
              </w:rPr>
              <w:t>Пересчет к 01.01.2022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B5DABFD" w14:textId="77777777" w:rsidR="00C1026B" w:rsidRDefault="00C1026B" w:rsidP="00621890">
            <w:pPr>
              <w:spacing w:line="300" w:lineRule="auto"/>
              <w:jc w:val="center"/>
              <w:rPr>
                <w:rFonts w:ascii="Times New Roman" w:hAnsi="Times New Roman" w:cs="Times New Roman"/>
                <w:b/>
              </w:rPr>
            </w:pPr>
            <w:r>
              <w:rPr>
                <w:rFonts w:ascii="Times New Roman" w:hAnsi="Times New Roman" w:cs="Times New Roman"/>
                <w:b/>
              </w:rPr>
              <w:t>Расчет</w:t>
            </w:r>
          </w:p>
        </w:tc>
        <w:tc>
          <w:tcPr>
            <w:tcW w:w="2536" w:type="dxa"/>
            <w:tcBorders>
              <w:top w:val="single" w:sz="4" w:space="0" w:color="auto"/>
              <w:left w:val="single" w:sz="4" w:space="0" w:color="auto"/>
              <w:bottom w:val="single" w:sz="4" w:space="0" w:color="auto"/>
              <w:right w:val="single" w:sz="4" w:space="0" w:color="auto"/>
            </w:tcBorders>
            <w:vAlign w:val="center"/>
            <w:hideMark/>
          </w:tcPr>
          <w:p w14:paraId="739BC407" w14:textId="77777777" w:rsidR="00C1026B" w:rsidRDefault="00C1026B" w:rsidP="00621890">
            <w:pPr>
              <w:spacing w:line="300" w:lineRule="auto"/>
              <w:jc w:val="center"/>
              <w:rPr>
                <w:rFonts w:ascii="Times New Roman" w:hAnsi="Times New Roman" w:cs="Times New Roman"/>
                <w:b/>
              </w:rPr>
            </w:pPr>
            <w:r>
              <w:rPr>
                <w:rFonts w:ascii="Times New Roman" w:hAnsi="Times New Roman" w:cs="Times New Roman"/>
                <w:b/>
              </w:rPr>
              <w:t>Значение индекса</w:t>
            </w:r>
          </w:p>
        </w:tc>
        <w:tc>
          <w:tcPr>
            <w:tcW w:w="1717" w:type="dxa"/>
            <w:tcBorders>
              <w:top w:val="single" w:sz="4" w:space="0" w:color="auto"/>
              <w:left w:val="single" w:sz="4" w:space="0" w:color="auto"/>
              <w:bottom w:val="single" w:sz="4" w:space="0" w:color="auto"/>
              <w:right w:val="single" w:sz="4" w:space="0" w:color="auto"/>
            </w:tcBorders>
            <w:vAlign w:val="center"/>
            <w:hideMark/>
          </w:tcPr>
          <w:p w14:paraId="39BC2672" w14:textId="77777777" w:rsidR="00C1026B" w:rsidRDefault="00C1026B" w:rsidP="00621890">
            <w:pPr>
              <w:spacing w:line="300" w:lineRule="auto"/>
              <w:jc w:val="center"/>
              <w:rPr>
                <w:rFonts w:ascii="Times New Roman" w:hAnsi="Times New Roman" w:cs="Times New Roman"/>
                <w:b/>
              </w:rPr>
            </w:pPr>
            <w:r>
              <w:rPr>
                <w:rFonts w:ascii="Times New Roman" w:hAnsi="Times New Roman" w:cs="Times New Roman"/>
                <w:b/>
              </w:rPr>
              <w:t>Индекс, %</w:t>
            </w:r>
          </w:p>
        </w:tc>
      </w:tr>
      <w:tr w:rsidR="00C1026B" w14:paraId="1809111F"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7D663636" w14:textId="77777777" w:rsidR="00C1026B" w:rsidRDefault="00C1026B" w:rsidP="00621890">
            <w:pPr>
              <w:jc w:val="center"/>
              <w:rPr>
                <w:rFonts w:ascii="Times New Roman" w:hAnsi="Times New Roman" w:cs="Times New Roman"/>
              </w:rPr>
            </w:pPr>
            <w:r>
              <w:rPr>
                <w:rFonts w:ascii="Times New Roman" w:hAnsi="Times New Roman" w:cs="Times New Roman"/>
              </w:rPr>
              <w:t>01.01.2020 по 30.06.2020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3AC029"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0,98*1*1*0,97</w:t>
            </w:r>
          </w:p>
        </w:tc>
        <w:tc>
          <w:tcPr>
            <w:tcW w:w="2536" w:type="dxa"/>
            <w:tcBorders>
              <w:top w:val="single" w:sz="4" w:space="0" w:color="auto"/>
              <w:left w:val="single" w:sz="4" w:space="0" w:color="auto"/>
              <w:bottom w:val="single" w:sz="4" w:space="0" w:color="auto"/>
              <w:right w:val="single" w:sz="4" w:space="0" w:color="auto"/>
            </w:tcBorders>
            <w:vAlign w:val="center"/>
            <w:hideMark/>
          </w:tcPr>
          <w:p w14:paraId="49EAD01E"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0,95</w:t>
            </w:r>
          </w:p>
        </w:tc>
        <w:tc>
          <w:tcPr>
            <w:tcW w:w="1717" w:type="dxa"/>
            <w:tcBorders>
              <w:top w:val="single" w:sz="4" w:space="0" w:color="auto"/>
              <w:left w:val="single" w:sz="4" w:space="0" w:color="auto"/>
              <w:bottom w:val="single" w:sz="4" w:space="0" w:color="auto"/>
              <w:right w:val="single" w:sz="4" w:space="0" w:color="auto"/>
            </w:tcBorders>
            <w:vAlign w:val="center"/>
            <w:hideMark/>
          </w:tcPr>
          <w:p w14:paraId="503EE5F7"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-5%</w:t>
            </w:r>
          </w:p>
        </w:tc>
      </w:tr>
      <w:tr w:rsidR="00C1026B" w14:paraId="5B428CFD"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2EE28451" w14:textId="77777777" w:rsidR="00C1026B" w:rsidRDefault="00C1026B" w:rsidP="00621890">
            <w:pPr>
              <w:jc w:val="center"/>
              <w:rPr>
                <w:rFonts w:ascii="Times New Roman" w:hAnsi="Times New Roman" w:cs="Times New Roman"/>
              </w:rPr>
            </w:pPr>
            <w:r>
              <w:rPr>
                <w:rFonts w:ascii="Times New Roman" w:hAnsi="Times New Roman" w:cs="Times New Roman"/>
              </w:rPr>
              <w:t>01.07.2020 по 31.12.2020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2FAD7CA"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0,98*1*1</w:t>
            </w:r>
          </w:p>
        </w:tc>
        <w:tc>
          <w:tcPr>
            <w:tcW w:w="2536" w:type="dxa"/>
            <w:tcBorders>
              <w:top w:val="single" w:sz="4" w:space="0" w:color="auto"/>
              <w:left w:val="single" w:sz="4" w:space="0" w:color="auto"/>
              <w:bottom w:val="single" w:sz="4" w:space="0" w:color="auto"/>
              <w:right w:val="single" w:sz="4" w:space="0" w:color="auto"/>
            </w:tcBorders>
            <w:vAlign w:val="center"/>
            <w:hideMark/>
          </w:tcPr>
          <w:p w14:paraId="2C353B59"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w:t>
            </w:r>
          </w:p>
        </w:tc>
        <w:tc>
          <w:tcPr>
            <w:tcW w:w="1717" w:type="dxa"/>
            <w:tcBorders>
              <w:top w:val="single" w:sz="4" w:space="0" w:color="auto"/>
              <w:left w:val="single" w:sz="4" w:space="0" w:color="auto"/>
              <w:bottom w:val="single" w:sz="4" w:space="0" w:color="auto"/>
              <w:right w:val="single" w:sz="4" w:space="0" w:color="auto"/>
            </w:tcBorders>
            <w:vAlign w:val="center"/>
            <w:hideMark/>
          </w:tcPr>
          <w:p w14:paraId="11328C71"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-2%</w:t>
            </w:r>
          </w:p>
        </w:tc>
      </w:tr>
      <w:tr w:rsidR="00C1026B" w14:paraId="0AB0ACEF"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232799C2" w14:textId="77777777" w:rsidR="00C1026B" w:rsidRDefault="00C1026B" w:rsidP="00621890">
            <w:pPr>
              <w:jc w:val="center"/>
              <w:rPr>
                <w:rFonts w:ascii="Times New Roman" w:hAnsi="Times New Roman" w:cs="Times New Roman"/>
              </w:rPr>
            </w:pPr>
            <w:r>
              <w:rPr>
                <w:rFonts w:ascii="Times New Roman" w:hAnsi="Times New Roman" w:cs="Times New Roman"/>
              </w:rPr>
              <w:t>01.01.2021 по 30.06.2021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14264C5"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0,98*1</w:t>
            </w:r>
          </w:p>
        </w:tc>
        <w:tc>
          <w:tcPr>
            <w:tcW w:w="2536" w:type="dxa"/>
            <w:tcBorders>
              <w:top w:val="single" w:sz="4" w:space="0" w:color="auto"/>
              <w:left w:val="single" w:sz="4" w:space="0" w:color="auto"/>
              <w:bottom w:val="single" w:sz="4" w:space="0" w:color="auto"/>
              <w:right w:val="single" w:sz="4" w:space="0" w:color="auto"/>
            </w:tcBorders>
            <w:vAlign w:val="center"/>
            <w:hideMark/>
          </w:tcPr>
          <w:p w14:paraId="2B20A35F"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w:t>
            </w:r>
          </w:p>
        </w:tc>
        <w:tc>
          <w:tcPr>
            <w:tcW w:w="1717" w:type="dxa"/>
            <w:tcBorders>
              <w:top w:val="single" w:sz="4" w:space="0" w:color="auto"/>
              <w:left w:val="single" w:sz="4" w:space="0" w:color="auto"/>
              <w:bottom w:val="single" w:sz="4" w:space="0" w:color="auto"/>
              <w:right w:val="single" w:sz="4" w:space="0" w:color="auto"/>
            </w:tcBorders>
            <w:vAlign w:val="center"/>
            <w:hideMark/>
          </w:tcPr>
          <w:p w14:paraId="1E284A22"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-2%</w:t>
            </w:r>
          </w:p>
        </w:tc>
      </w:tr>
      <w:tr w:rsidR="00C1026B" w14:paraId="17E16F65"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36E6F13E" w14:textId="77777777" w:rsidR="00C1026B" w:rsidRDefault="00C1026B" w:rsidP="00621890">
            <w:pPr>
              <w:jc w:val="center"/>
              <w:rPr>
                <w:rFonts w:ascii="Times New Roman" w:hAnsi="Times New Roman" w:cs="Times New Roman"/>
                <w:color w:val="000000"/>
              </w:rPr>
            </w:pPr>
            <w:r>
              <w:rPr>
                <w:rFonts w:ascii="Times New Roman" w:hAnsi="Times New Roman" w:cs="Times New Roman"/>
                <w:color w:val="000000"/>
              </w:rPr>
              <w:t>01.07.2021 по 31.12.2021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C195A3"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w:t>
            </w:r>
          </w:p>
        </w:tc>
        <w:tc>
          <w:tcPr>
            <w:tcW w:w="2536" w:type="dxa"/>
            <w:tcBorders>
              <w:top w:val="single" w:sz="4" w:space="0" w:color="auto"/>
              <w:left w:val="single" w:sz="4" w:space="0" w:color="auto"/>
              <w:bottom w:val="single" w:sz="4" w:space="0" w:color="auto"/>
              <w:right w:val="single" w:sz="4" w:space="0" w:color="auto"/>
            </w:tcBorders>
            <w:vAlign w:val="center"/>
            <w:hideMark/>
          </w:tcPr>
          <w:p w14:paraId="21967E4F"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w:t>
            </w:r>
          </w:p>
        </w:tc>
        <w:tc>
          <w:tcPr>
            <w:tcW w:w="1717" w:type="dxa"/>
            <w:tcBorders>
              <w:top w:val="single" w:sz="4" w:space="0" w:color="auto"/>
              <w:left w:val="single" w:sz="4" w:space="0" w:color="auto"/>
              <w:bottom w:val="single" w:sz="4" w:space="0" w:color="auto"/>
              <w:right w:val="single" w:sz="4" w:space="0" w:color="auto"/>
            </w:tcBorders>
            <w:vAlign w:val="center"/>
            <w:hideMark/>
          </w:tcPr>
          <w:p w14:paraId="25786C5A"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-2%</w:t>
            </w:r>
          </w:p>
        </w:tc>
      </w:tr>
    </w:tbl>
    <w:p w14:paraId="3E7B4018" w14:textId="77777777" w:rsidR="00C1026B" w:rsidRPr="00180DD3" w:rsidRDefault="00C1026B" w:rsidP="003F1B39">
      <w:pPr>
        <w:pStyle w:val="ab"/>
        <w:numPr>
          <w:ilvl w:val="0"/>
          <w:numId w:val="39"/>
        </w:numPr>
        <w:tabs>
          <w:tab w:val="left" w:pos="993"/>
          <w:tab w:val="left" w:pos="1134"/>
        </w:tabs>
        <w:spacing w:before="120" w:after="0" w:line="300" w:lineRule="auto"/>
        <w:ind w:left="0"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Расчет кадастровой</w:t>
      </w:r>
      <w:r w:rsidRPr="004F28D2">
        <w:rPr>
          <w:rFonts w:ascii="Times New Roman" w:eastAsiaTheme="minorEastAsia" w:hAnsi="Times New Roman" w:cs="Times New Roman"/>
          <w:sz w:val="26"/>
          <w:szCs w:val="26"/>
        </w:rPr>
        <w:t xml:space="preserve"> стоимост</w:t>
      </w:r>
      <w:r>
        <w:rPr>
          <w:rFonts w:ascii="Times New Roman" w:eastAsiaTheme="minorEastAsia" w:hAnsi="Times New Roman" w:cs="Times New Roman"/>
          <w:sz w:val="26"/>
          <w:szCs w:val="26"/>
        </w:rPr>
        <w:t>и</w:t>
      </w:r>
      <w:r w:rsidRPr="004F28D2">
        <w:rPr>
          <w:rFonts w:ascii="Times New Roman" w:eastAsiaTheme="minorEastAsia" w:hAnsi="Times New Roman" w:cs="Times New Roman"/>
          <w:sz w:val="26"/>
          <w:szCs w:val="26"/>
        </w:rPr>
        <w:t xml:space="preserve"> объектов оценки как произведение соответствующего индекса</w:t>
      </w:r>
      <w:r>
        <w:rPr>
          <w:rFonts w:ascii="Times New Roman" w:eastAsiaTheme="minorEastAsia" w:hAnsi="Times New Roman" w:cs="Times New Roman"/>
          <w:sz w:val="26"/>
          <w:szCs w:val="26"/>
        </w:rPr>
        <w:t>, выбранного в зависимости от указанной в Перечне даты</w:t>
      </w:r>
      <w:r w:rsidRPr="004F28D2">
        <w:t xml:space="preserve"> </w:t>
      </w:r>
      <w:r w:rsidRPr="004F28D2">
        <w:rPr>
          <w:rFonts w:ascii="Times New Roman" w:eastAsiaTheme="minorEastAsia" w:hAnsi="Times New Roman" w:cs="Times New Roman"/>
          <w:sz w:val="26"/>
          <w:szCs w:val="26"/>
        </w:rPr>
        <w:t>определения кадастровой стоимости</w:t>
      </w:r>
      <w:r>
        <w:rPr>
          <w:rFonts w:ascii="Times New Roman" w:eastAsiaTheme="minorEastAsia" w:hAnsi="Times New Roman" w:cs="Times New Roman"/>
          <w:sz w:val="26"/>
          <w:szCs w:val="26"/>
        </w:rPr>
        <w:t xml:space="preserve"> предыдущего тура оценки </w:t>
      </w:r>
      <w:r w:rsidRPr="004F28D2">
        <w:rPr>
          <w:rFonts w:ascii="Times New Roman" w:eastAsiaTheme="minorEastAsia" w:hAnsi="Times New Roman" w:cs="Times New Roman"/>
          <w:sz w:val="26"/>
          <w:szCs w:val="26"/>
        </w:rPr>
        <w:t xml:space="preserve">на </w:t>
      </w:r>
      <w:r>
        <w:rPr>
          <w:rFonts w:ascii="Times New Roman" w:eastAsiaTheme="minorEastAsia" w:hAnsi="Times New Roman" w:cs="Times New Roman"/>
          <w:sz w:val="26"/>
          <w:szCs w:val="26"/>
        </w:rPr>
        <w:t xml:space="preserve">указанную в Перечне </w:t>
      </w:r>
      <w:r w:rsidRPr="004F28D2">
        <w:rPr>
          <w:rFonts w:ascii="Times New Roman" w:hAnsi="Times New Roman" w:cs="Times New Roman"/>
          <w:bCs/>
          <w:sz w:val="26"/>
          <w:szCs w:val="26"/>
        </w:rPr>
        <w:t xml:space="preserve">кадастровую стоимость </w:t>
      </w:r>
      <w:r>
        <w:rPr>
          <w:rFonts w:ascii="Times New Roman" w:hAnsi="Times New Roman" w:cs="Times New Roman"/>
          <w:bCs/>
          <w:sz w:val="26"/>
          <w:szCs w:val="26"/>
        </w:rPr>
        <w:t>предыдущего тура оценки.</w:t>
      </w:r>
    </w:p>
    <w:p w14:paraId="1956C0B9" w14:textId="12E8DEC7" w:rsidR="00C1026B" w:rsidRDefault="00D30D16" w:rsidP="00B422FF">
      <w:pPr>
        <w:pStyle w:val="ConsPlusNormal"/>
        <w:spacing w:line="276" w:lineRule="auto"/>
        <w:ind w:firstLine="709"/>
        <w:jc w:val="both"/>
        <w:rPr>
          <w:rFonts w:ascii="Times New Roman"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2C7430" w:rsidRPr="00483EA0">
        <w:rPr>
          <w:rFonts w:ascii="Times New Roman" w:hAnsi="Times New Roman" w:cs="Times New Roman"/>
          <w:sz w:val="26"/>
          <w:szCs w:val="26"/>
        </w:rPr>
        <w:t>2/2.4</w:t>
      </w:r>
      <w:r w:rsidR="002C7430">
        <w:rPr>
          <w:rFonts w:ascii="Times New Roman" w:hAnsi="Times New Roman" w:cs="Times New Roman"/>
          <w:sz w:val="26"/>
          <w:szCs w:val="26"/>
        </w:rPr>
        <w:t>/2.4.12.</w:t>
      </w:r>
    </w:p>
    <w:p w14:paraId="0BC53A7B" w14:textId="77777777" w:rsidR="003F1B39" w:rsidRDefault="003F1B39" w:rsidP="00B422FF">
      <w:pPr>
        <w:pStyle w:val="ConsPlusNormal"/>
        <w:spacing w:line="276" w:lineRule="auto"/>
        <w:ind w:firstLine="709"/>
        <w:jc w:val="both"/>
        <w:rPr>
          <w:rFonts w:ascii="Times New Roman" w:hAnsi="Times New Roman" w:cs="Times New Roman"/>
          <w:sz w:val="26"/>
          <w:szCs w:val="26"/>
        </w:rPr>
      </w:pPr>
    </w:p>
    <w:p w14:paraId="302C312E" w14:textId="25639E0B" w:rsidR="00C1026B" w:rsidRDefault="00C1026B" w:rsidP="00C1026B">
      <w:pPr>
        <w:spacing w:after="0" w:line="300" w:lineRule="auto"/>
        <w:ind w:firstLine="709"/>
        <w:jc w:val="both"/>
        <w:rPr>
          <w:rFonts w:ascii="Times New Roman" w:eastAsiaTheme="minorEastAsia" w:hAnsi="Times New Roman" w:cs="Times New Roman"/>
          <w:sz w:val="16"/>
          <w:szCs w:val="16"/>
        </w:rPr>
      </w:pPr>
    </w:p>
    <w:p w14:paraId="2A677F7D" w14:textId="77777777" w:rsidR="00C1026B" w:rsidRPr="005A41E5" w:rsidRDefault="00C1026B" w:rsidP="00C1026B">
      <w:pPr>
        <w:pStyle w:val="ab"/>
        <w:ind w:left="0" w:firstLine="709"/>
        <w:jc w:val="center"/>
        <w:outlineLvl w:val="2"/>
        <w:rPr>
          <w:rFonts w:ascii="Times New Roman" w:hAnsi="Times New Roman" w:cs="Times New Roman"/>
          <w:i/>
          <w:sz w:val="26"/>
          <w:szCs w:val="26"/>
        </w:rPr>
      </w:pPr>
      <w:bookmarkStart w:id="290" w:name="_Toc51837464"/>
      <w:bookmarkStart w:id="291" w:name="_Toc110507022"/>
      <w:r w:rsidRPr="00F562A8">
        <w:rPr>
          <w:rFonts w:ascii="Times New Roman" w:hAnsi="Times New Roman" w:cs="Times New Roman"/>
          <w:i/>
          <w:sz w:val="26"/>
          <w:szCs w:val="26"/>
        </w:rPr>
        <w:t>3.6.12.</w:t>
      </w:r>
      <w:r>
        <w:rPr>
          <w:rFonts w:ascii="Times New Roman" w:hAnsi="Times New Roman" w:cs="Times New Roman"/>
          <w:i/>
          <w:sz w:val="26"/>
          <w:szCs w:val="26"/>
        </w:rPr>
        <w:t>4</w:t>
      </w:r>
      <w:r w:rsidRPr="00F562A8">
        <w:rPr>
          <w:rFonts w:ascii="Times New Roman" w:hAnsi="Times New Roman" w:cs="Times New Roman"/>
          <w:i/>
          <w:sz w:val="26"/>
          <w:szCs w:val="26"/>
        </w:rPr>
        <w:t xml:space="preserve">. </w:t>
      </w:r>
      <w:r w:rsidRPr="005A41E5">
        <w:rPr>
          <w:rFonts w:ascii="Times New Roman" w:hAnsi="Times New Roman" w:cs="Times New Roman"/>
          <w:i/>
          <w:sz w:val="26"/>
          <w:szCs w:val="26"/>
        </w:rPr>
        <w:t xml:space="preserve">Расчет кадастровой стоимости земельных участков группы </w:t>
      </w:r>
      <w:bookmarkEnd w:id="290"/>
      <w:r>
        <w:rPr>
          <w:rFonts w:ascii="Times New Roman" w:hAnsi="Times New Roman" w:cs="Times New Roman"/>
          <w:i/>
          <w:sz w:val="26"/>
          <w:szCs w:val="26"/>
        </w:rPr>
        <w:t>ЗАПАС</w:t>
      </w:r>
      <w:bookmarkEnd w:id="291"/>
    </w:p>
    <w:p w14:paraId="5F92A6B7" w14:textId="77777777" w:rsidR="00C1026B" w:rsidRPr="00235F1F" w:rsidRDefault="00C1026B" w:rsidP="00C1026B">
      <w:pPr>
        <w:pStyle w:val="ab"/>
        <w:spacing w:after="0" w:line="300" w:lineRule="auto"/>
        <w:ind w:left="1069" w:firstLine="709"/>
        <w:rPr>
          <w:rFonts w:ascii="Times New Roman" w:eastAsiaTheme="minorEastAsia" w:hAnsi="Times New Roman" w:cs="Times New Roman"/>
          <w:i/>
          <w:sz w:val="16"/>
          <w:szCs w:val="16"/>
        </w:rPr>
      </w:pPr>
    </w:p>
    <w:p w14:paraId="18129F30" w14:textId="63B04933" w:rsidR="00C1026B" w:rsidRPr="00483EA0" w:rsidRDefault="00C1026B" w:rsidP="00C1026B">
      <w:pPr>
        <w:spacing w:after="0" w:line="276" w:lineRule="auto"/>
        <w:ind w:firstLine="709"/>
        <w:jc w:val="both"/>
        <w:rPr>
          <w:rFonts w:ascii="Times New Roman" w:eastAsiaTheme="minorEastAsia" w:hAnsi="Times New Roman" w:cs="Times New Roman"/>
          <w:sz w:val="26"/>
          <w:szCs w:val="26"/>
        </w:rPr>
      </w:pPr>
      <w:r w:rsidRPr="00483EA0">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2C7430" w:rsidRPr="00483EA0">
        <w:rPr>
          <w:rFonts w:ascii="Times New Roman" w:eastAsiaTheme="minorEastAsia" w:hAnsi="Times New Roman" w:cs="Times New Roman"/>
          <w:sz w:val="26"/>
          <w:szCs w:val="26"/>
        </w:rPr>
        <w:t>2/2.4</w:t>
      </w:r>
      <w:r w:rsidR="002C7430">
        <w:rPr>
          <w:rFonts w:ascii="Times New Roman" w:eastAsiaTheme="minorEastAsia" w:hAnsi="Times New Roman" w:cs="Times New Roman"/>
          <w:sz w:val="26"/>
          <w:szCs w:val="26"/>
        </w:rPr>
        <w:t>/2.4.12.</w:t>
      </w:r>
    </w:p>
    <w:p w14:paraId="1D71ACB6" w14:textId="77777777" w:rsidR="00C1026B" w:rsidRDefault="00C1026B" w:rsidP="00C1026B">
      <w:pPr>
        <w:spacing w:after="0" w:line="276" w:lineRule="auto"/>
        <w:ind w:firstLine="709"/>
        <w:jc w:val="both"/>
        <w:rPr>
          <w:rFonts w:ascii="Times New Roman" w:eastAsiaTheme="minorEastAsia" w:hAnsi="Times New Roman" w:cs="Times New Roman"/>
          <w:sz w:val="26"/>
          <w:szCs w:val="26"/>
        </w:rPr>
      </w:pPr>
      <w:r w:rsidRPr="00483EA0">
        <w:rPr>
          <w:rFonts w:ascii="Times New Roman" w:eastAsiaTheme="minorEastAsia" w:hAnsi="Times New Roman" w:cs="Times New Roman"/>
          <w:sz w:val="26"/>
          <w:szCs w:val="26"/>
        </w:rPr>
        <w:t xml:space="preserve">К группе </w:t>
      </w:r>
      <w:r>
        <w:rPr>
          <w:rFonts w:ascii="Times New Roman" w:eastAsiaTheme="minorEastAsia" w:hAnsi="Times New Roman" w:cs="Times New Roman"/>
          <w:sz w:val="26"/>
          <w:szCs w:val="26"/>
        </w:rPr>
        <w:t>ЗАПАС</w:t>
      </w:r>
      <w:r w:rsidRPr="00483EA0">
        <w:rPr>
          <w:rFonts w:ascii="Times New Roman" w:eastAsiaTheme="minorEastAsia" w:hAnsi="Times New Roman" w:cs="Times New Roman"/>
          <w:sz w:val="26"/>
          <w:szCs w:val="26"/>
        </w:rPr>
        <w:t xml:space="preserve"> относятся земельные участки с кодом расчета вида использования </w:t>
      </w:r>
      <w:r>
        <w:rPr>
          <w:rFonts w:ascii="Times New Roman" w:eastAsiaTheme="minorEastAsia" w:hAnsi="Times New Roman" w:cs="Times New Roman"/>
          <w:sz w:val="26"/>
          <w:szCs w:val="26"/>
        </w:rPr>
        <w:t>12</w:t>
      </w:r>
      <w:r w:rsidRPr="00483EA0">
        <w:rPr>
          <w:rFonts w:ascii="Times New Roman" w:eastAsiaTheme="minorEastAsia" w:hAnsi="Times New Roman" w:cs="Times New Roman"/>
          <w:sz w:val="26"/>
          <w:szCs w:val="26"/>
        </w:rPr>
        <w:t>:0</w:t>
      </w:r>
      <w:r>
        <w:rPr>
          <w:rFonts w:ascii="Times New Roman" w:eastAsiaTheme="minorEastAsia" w:hAnsi="Times New Roman" w:cs="Times New Roman"/>
          <w:sz w:val="26"/>
          <w:szCs w:val="26"/>
        </w:rPr>
        <w:t>30</w:t>
      </w:r>
      <w:r w:rsidRPr="00483EA0">
        <w:rPr>
          <w:rFonts w:ascii="Times New Roman" w:eastAsiaTheme="minorEastAsia" w:hAnsi="Times New Roman" w:cs="Times New Roman"/>
          <w:sz w:val="26"/>
          <w:szCs w:val="26"/>
        </w:rPr>
        <w:t>.</w:t>
      </w:r>
    </w:p>
    <w:p w14:paraId="2CFB8567" w14:textId="77777777" w:rsidR="00C1026B" w:rsidRDefault="00C1026B" w:rsidP="00C1026B">
      <w:pPr>
        <w:spacing w:after="0" w:line="276" w:lineRule="auto"/>
        <w:ind w:firstLine="709"/>
        <w:jc w:val="both"/>
        <w:rPr>
          <w:rFonts w:ascii="Times New Roman" w:hAnsi="Times New Roman" w:cs="Times New Roman"/>
          <w:sz w:val="26"/>
          <w:szCs w:val="26"/>
        </w:rPr>
      </w:pPr>
      <w:r>
        <w:rPr>
          <w:rFonts w:ascii="Times New Roman" w:eastAsiaTheme="minorEastAsia" w:hAnsi="Times New Roman" w:cs="Times New Roman"/>
          <w:sz w:val="26"/>
          <w:szCs w:val="26"/>
        </w:rPr>
        <w:t xml:space="preserve">Кадастровая стоимость определятся сравнительным подходом методом индексации прошлых результатов в соответствии </w:t>
      </w:r>
      <w:r>
        <w:rPr>
          <w:rFonts w:ascii="Times New Roman" w:hAnsi="Times New Roman" w:cs="Times New Roman"/>
          <w:sz w:val="26"/>
          <w:szCs w:val="26"/>
        </w:rPr>
        <w:t xml:space="preserve">с п. 45.4 </w:t>
      </w:r>
      <w:r w:rsidRPr="00483EA0">
        <w:rPr>
          <w:rFonts w:ascii="Times New Roman" w:hAnsi="Times New Roman" w:cs="Times New Roman"/>
          <w:sz w:val="26"/>
          <w:szCs w:val="26"/>
        </w:rPr>
        <w:t>Указаний</w:t>
      </w:r>
      <w:r>
        <w:rPr>
          <w:rFonts w:ascii="Times New Roman" w:hAnsi="Times New Roman" w:cs="Times New Roman"/>
          <w:sz w:val="26"/>
          <w:szCs w:val="26"/>
        </w:rPr>
        <w:t>.</w:t>
      </w:r>
    </w:p>
    <w:p w14:paraId="48399E9A" w14:textId="77777777" w:rsidR="00C1026B" w:rsidRDefault="00C1026B" w:rsidP="00C1026B">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Индексации подлежат земельные участки, кадастровая стоимость которых определена Учреждением в рамках предыдущих ГКО (земельные участки населенных пунктов, лесного фонда, водного фонда, земель промышленности и иного специального назначения).</w:t>
      </w:r>
    </w:p>
    <w:p w14:paraId="65866025" w14:textId="77777777" w:rsidR="00C1026B" w:rsidRPr="007D7AAD" w:rsidRDefault="00C1026B" w:rsidP="0030375C">
      <w:pPr>
        <w:pStyle w:val="ab"/>
        <w:numPr>
          <w:ilvl w:val="0"/>
          <w:numId w:val="40"/>
        </w:numPr>
        <w:tabs>
          <w:tab w:val="left" w:pos="993"/>
        </w:tabs>
        <w:spacing w:after="0" w:line="276" w:lineRule="auto"/>
        <w:ind w:left="0" w:firstLine="709"/>
        <w:jc w:val="both"/>
        <w:rPr>
          <w:rFonts w:ascii="Times New Roman" w:hAnsi="Times New Roman" w:cs="Times New Roman"/>
          <w:sz w:val="26"/>
          <w:szCs w:val="26"/>
        </w:rPr>
      </w:pPr>
      <w:r w:rsidRPr="007D7AAD">
        <w:rPr>
          <w:rFonts w:ascii="Times New Roman" w:hAnsi="Times New Roman" w:cs="Times New Roman"/>
          <w:sz w:val="26"/>
          <w:szCs w:val="26"/>
        </w:rPr>
        <w:t>Расчет индекса пересчета кадастровой стоимости</w:t>
      </w:r>
    </w:p>
    <w:p w14:paraId="6F23625A" w14:textId="77777777" w:rsidR="00C1026B" w:rsidRDefault="00C1026B" w:rsidP="00C1026B">
      <w:pPr>
        <w:spacing w:after="0" w:line="300" w:lineRule="auto"/>
        <w:ind w:firstLine="709"/>
        <w:jc w:val="both"/>
        <w:rPr>
          <w:rFonts w:ascii="Times New Roman" w:hAnsi="Times New Roman" w:cs="Times New Roman"/>
          <w:bCs/>
          <w:sz w:val="26"/>
          <w:szCs w:val="26"/>
        </w:rPr>
      </w:pPr>
      <w:r>
        <w:rPr>
          <w:rFonts w:ascii="Times New Roman" w:eastAsiaTheme="minorEastAsia" w:hAnsi="Times New Roman" w:cs="Times New Roman"/>
          <w:sz w:val="26"/>
          <w:szCs w:val="26"/>
        </w:rPr>
        <w:t xml:space="preserve">При анализе баз определения индекса пересчета кадастровой стоимости, определенной по состоянию на 01.01.2020 г. </w:t>
      </w:r>
      <w:r>
        <w:rPr>
          <w:rFonts w:ascii="Times New Roman" w:hAnsi="Times New Roman" w:cs="Times New Roman"/>
          <w:bCs/>
          <w:sz w:val="26"/>
          <w:szCs w:val="26"/>
        </w:rPr>
        <w:t>в рамках предыдущего тура оценки, а также, определенной на другие даты, к дате определения кадастровой стоимости - 01.01.2022 г., были рассмотрены различные источники информации.</w:t>
      </w:r>
    </w:p>
    <w:p w14:paraId="3B80FAA6" w14:textId="77777777" w:rsidR="00C1026B" w:rsidRDefault="00C1026B" w:rsidP="00C1026B">
      <w:pPr>
        <w:spacing w:after="0" w:line="300" w:lineRule="auto"/>
        <w:ind w:firstLine="709"/>
        <w:jc w:val="both"/>
        <w:rPr>
          <w:rFonts w:ascii="Times New Roman" w:eastAsia="Calibri" w:hAnsi="Times New Roman" w:cs="Times New Roman"/>
          <w:sz w:val="26"/>
          <w:szCs w:val="26"/>
          <w:u w:val="single"/>
        </w:rPr>
      </w:pPr>
      <w:r>
        <w:rPr>
          <w:rFonts w:ascii="Times New Roman" w:hAnsi="Times New Roman" w:cs="Times New Roman"/>
          <w:sz w:val="26"/>
          <w:szCs w:val="26"/>
        </w:rPr>
        <w:t xml:space="preserve">Принято решение определять индекс пересчета на основании данных </w:t>
      </w:r>
      <w:r>
        <w:rPr>
          <w:rFonts w:ascii="Times New Roman" w:eastAsia="Calibri" w:hAnsi="Times New Roman" w:cs="Times New Roman"/>
          <w:sz w:val="26"/>
          <w:szCs w:val="26"/>
        </w:rPr>
        <w:t>исследования рынка земельных участков, проведенного некоммерческой организацией «Ассоциация развития рынка недвижимости «СтатРиелт» (</w:t>
      </w:r>
      <w:hyperlink r:id="rId326" w:history="1">
        <w:r>
          <w:rPr>
            <w:rStyle w:val="ad"/>
            <w:rFonts w:ascii="Times New Roman" w:hAnsi="Times New Roman" w:cs="Times New Roman"/>
            <w:sz w:val="26"/>
            <w:szCs w:val="26"/>
          </w:rPr>
          <w:t>https://statrielt.ru/</w:t>
        </w:r>
      </w:hyperlink>
      <w:r>
        <w:rPr>
          <w:rFonts w:ascii="Times New Roman" w:hAnsi="Times New Roman" w:cs="Times New Roman"/>
          <w:sz w:val="26"/>
          <w:szCs w:val="26"/>
        </w:rPr>
        <w:t>).</w:t>
      </w:r>
    </w:p>
    <w:p w14:paraId="5E1C9821" w14:textId="77777777" w:rsidR="00C1026B" w:rsidRDefault="00C1026B" w:rsidP="00C1026B">
      <w:pP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6B0C3A5B" wp14:editId="4F27B782">
            <wp:extent cx="5943600" cy="3971925"/>
            <wp:effectExtent l="0" t="0" r="0" b="9525"/>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14:paraId="0A05246D" w14:textId="013FCFDE" w:rsidR="00C1026B" w:rsidRDefault="00C1026B" w:rsidP="00C1026B">
      <w:pPr>
        <w:ind w:firstLine="709"/>
        <w:jc w:val="center"/>
        <w:rPr>
          <w:rFonts w:ascii="Times New Roman" w:eastAsia="Calibri" w:hAnsi="Times New Roman" w:cs="Times New Roman"/>
          <w:sz w:val="26"/>
          <w:szCs w:val="26"/>
        </w:rPr>
      </w:pPr>
      <w:r w:rsidRPr="00447F93">
        <w:rPr>
          <w:rFonts w:ascii="Times New Roman" w:eastAsia="Calibri" w:hAnsi="Times New Roman" w:cs="Times New Roman"/>
          <w:sz w:val="26"/>
          <w:szCs w:val="26"/>
        </w:rPr>
        <w:t>Рис.</w:t>
      </w:r>
      <w:r w:rsidR="00447F93" w:rsidRPr="00447F93">
        <w:rPr>
          <w:rFonts w:ascii="Times New Roman" w:eastAsia="Calibri" w:hAnsi="Times New Roman" w:cs="Times New Roman"/>
          <w:sz w:val="26"/>
          <w:szCs w:val="26"/>
        </w:rPr>
        <w:t xml:space="preserve"> 3</w:t>
      </w:r>
      <w:r w:rsidR="00447F93" w:rsidRPr="00C1026B">
        <w:rPr>
          <w:rFonts w:ascii="Times New Roman" w:eastAsia="Calibri" w:hAnsi="Times New Roman" w:cs="Times New Roman"/>
          <w:sz w:val="26"/>
          <w:szCs w:val="26"/>
        </w:rPr>
        <w:t>.</w:t>
      </w:r>
      <w:r w:rsidR="00447F93">
        <w:rPr>
          <w:rFonts w:ascii="Times New Roman" w:eastAsia="Calibri" w:hAnsi="Times New Roman" w:cs="Times New Roman"/>
          <w:sz w:val="26"/>
          <w:szCs w:val="26"/>
        </w:rPr>
        <w:t>6</w:t>
      </w:r>
      <w:r w:rsidR="00447F93" w:rsidRPr="00C1026B">
        <w:rPr>
          <w:rFonts w:ascii="Times New Roman" w:eastAsia="Calibri" w:hAnsi="Times New Roman" w:cs="Times New Roman"/>
          <w:sz w:val="26"/>
          <w:szCs w:val="26"/>
        </w:rPr>
        <w:t>.12.</w:t>
      </w:r>
      <w:r w:rsidR="00447F93">
        <w:rPr>
          <w:rFonts w:ascii="Times New Roman" w:eastAsia="Calibri" w:hAnsi="Times New Roman" w:cs="Times New Roman"/>
          <w:sz w:val="26"/>
          <w:szCs w:val="26"/>
        </w:rPr>
        <w:t xml:space="preserve">4 </w:t>
      </w:r>
      <w:r>
        <w:rPr>
          <w:rFonts w:ascii="Times New Roman" w:eastAsia="Calibri" w:hAnsi="Times New Roman" w:cs="Times New Roman"/>
          <w:sz w:val="26"/>
          <w:szCs w:val="26"/>
        </w:rPr>
        <w:t>-</w:t>
      </w:r>
      <w:r>
        <w:rPr>
          <w:rFonts w:ascii="Times New Roman" w:hAnsi="Times New Roman" w:cs="Times New Roman"/>
          <w:sz w:val="26"/>
          <w:szCs w:val="26"/>
        </w:rPr>
        <w:t xml:space="preserve"> </w:t>
      </w:r>
      <w:r>
        <w:rPr>
          <w:rFonts w:ascii="Times New Roman" w:eastAsia="Calibri" w:hAnsi="Times New Roman" w:cs="Times New Roman"/>
          <w:sz w:val="26"/>
          <w:szCs w:val="26"/>
        </w:rPr>
        <w:t>Индексы изменения рыночных цен (в рублях) земельных участков по данным некоммерческой организации «Ассоциация развития рынка недвижимости «СтатРиелт»</w:t>
      </w:r>
      <w:r w:rsidR="00447F93">
        <w:rPr>
          <w:rStyle w:val="af2"/>
          <w:rFonts w:ascii="Times New Roman" w:eastAsia="Calibri" w:hAnsi="Times New Roman" w:cs="Times New Roman"/>
          <w:sz w:val="26"/>
          <w:szCs w:val="26"/>
        </w:rPr>
        <w:footnoteReference w:id="133"/>
      </w:r>
      <w:r>
        <w:rPr>
          <w:rFonts w:ascii="Times New Roman" w:eastAsia="Calibri" w:hAnsi="Times New Roman" w:cs="Times New Roman"/>
          <w:sz w:val="26"/>
          <w:szCs w:val="26"/>
        </w:rPr>
        <w:t xml:space="preserve"> </w:t>
      </w:r>
    </w:p>
    <w:p w14:paraId="0253156F" w14:textId="77777777" w:rsidR="00C1026B" w:rsidRDefault="00C1026B" w:rsidP="00C1026B">
      <w:pPr>
        <w:spacing w:after="0" w:line="30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рекомендациями «Статриелт» определен индекс пересчета по полугодиям, значения рассчитываем по столбцу «продажа земельных участков категории «Промышленности, транспорта, связи и иного специального назначения».</w:t>
      </w:r>
    </w:p>
    <w:p w14:paraId="486A00C4" w14:textId="38536C9C" w:rsidR="00C1026B" w:rsidRDefault="00C1026B" w:rsidP="00C1026B">
      <w:pPr>
        <w:spacing w:after="0" w:line="300" w:lineRule="auto"/>
        <w:ind w:firstLine="709"/>
        <w:jc w:val="right"/>
        <w:rPr>
          <w:rFonts w:ascii="Times New Roman" w:hAnsi="Times New Roman" w:cs="Times New Roman"/>
          <w:sz w:val="26"/>
          <w:szCs w:val="26"/>
        </w:rPr>
      </w:pPr>
      <w:r>
        <w:rPr>
          <w:rFonts w:ascii="Times New Roman" w:hAnsi="Times New Roman" w:cs="Times New Roman"/>
          <w:sz w:val="26"/>
          <w:szCs w:val="26"/>
        </w:rPr>
        <w:t xml:space="preserve">Таблица </w:t>
      </w:r>
      <w:r w:rsidR="00447F93" w:rsidRPr="00447F93">
        <w:rPr>
          <w:rFonts w:ascii="Times New Roman" w:eastAsia="Calibri" w:hAnsi="Times New Roman" w:cs="Times New Roman"/>
          <w:sz w:val="26"/>
          <w:szCs w:val="26"/>
        </w:rPr>
        <w:t>3</w:t>
      </w:r>
      <w:r w:rsidR="00447F93" w:rsidRPr="00C1026B">
        <w:rPr>
          <w:rFonts w:ascii="Times New Roman" w:eastAsia="Calibri" w:hAnsi="Times New Roman" w:cs="Times New Roman"/>
          <w:sz w:val="26"/>
          <w:szCs w:val="26"/>
        </w:rPr>
        <w:t>.</w:t>
      </w:r>
      <w:r w:rsidR="00447F93">
        <w:rPr>
          <w:rFonts w:ascii="Times New Roman" w:eastAsia="Calibri" w:hAnsi="Times New Roman" w:cs="Times New Roman"/>
          <w:sz w:val="26"/>
          <w:szCs w:val="26"/>
        </w:rPr>
        <w:t>6</w:t>
      </w:r>
      <w:r w:rsidR="00447F93" w:rsidRPr="00C1026B">
        <w:rPr>
          <w:rFonts w:ascii="Times New Roman" w:eastAsia="Calibri" w:hAnsi="Times New Roman" w:cs="Times New Roman"/>
          <w:sz w:val="26"/>
          <w:szCs w:val="26"/>
        </w:rPr>
        <w:t>.12.</w:t>
      </w:r>
      <w:r w:rsidR="00447F93">
        <w:rPr>
          <w:rFonts w:ascii="Times New Roman" w:eastAsia="Calibri" w:hAnsi="Times New Roman" w:cs="Times New Roman"/>
          <w:sz w:val="26"/>
          <w:szCs w:val="26"/>
        </w:rPr>
        <w:t>4</w:t>
      </w:r>
    </w:p>
    <w:p w14:paraId="25AC36F3" w14:textId="77777777" w:rsidR="00C1026B" w:rsidRDefault="00C1026B" w:rsidP="00C1026B">
      <w:pPr>
        <w:spacing w:after="0" w:line="300" w:lineRule="auto"/>
        <w:jc w:val="center"/>
        <w:rPr>
          <w:rFonts w:ascii="Times New Roman" w:hAnsi="Times New Roman" w:cs="Times New Roman"/>
          <w:sz w:val="26"/>
          <w:szCs w:val="26"/>
        </w:rPr>
      </w:pPr>
      <w:r>
        <w:rPr>
          <w:rFonts w:ascii="Times New Roman" w:hAnsi="Times New Roman" w:cs="Times New Roman"/>
          <w:sz w:val="26"/>
          <w:szCs w:val="26"/>
        </w:rPr>
        <w:t>Индекс пересчета кадастровой стоимости для 12 сегмента «</w:t>
      </w:r>
      <w:r>
        <w:rPr>
          <w:rFonts w:ascii="Times New Roman" w:eastAsiaTheme="minorEastAsia" w:hAnsi="Times New Roman" w:cs="Times New Roman"/>
          <w:sz w:val="26"/>
          <w:szCs w:val="26"/>
          <w:lang w:eastAsia="ru-RU"/>
        </w:rPr>
        <w:t>Специальное, ритуальное использование, запас»</w:t>
      </w:r>
      <w:r>
        <w:rPr>
          <w:rFonts w:ascii="Times New Roman" w:hAnsi="Times New Roman" w:cs="Times New Roman"/>
          <w:sz w:val="26"/>
          <w:szCs w:val="26"/>
        </w:rPr>
        <w:t xml:space="preserve"> к 01.01.2022 г.</w:t>
      </w:r>
    </w:p>
    <w:tbl>
      <w:tblPr>
        <w:tblStyle w:val="ae"/>
        <w:tblW w:w="9351" w:type="dxa"/>
        <w:tblLook w:val="04A0" w:firstRow="1" w:lastRow="0" w:firstColumn="1" w:lastColumn="0" w:noHBand="0" w:noVBand="1"/>
      </w:tblPr>
      <w:tblGrid>
        <w:gridCol w:w="2830"/>
        <w:gridCol w:w="2268"/>
        <w:gridCol w:w="2536"/>
        <w:gridCol w:w="1717"/>
      </w:tblGrid>
      <w:tr w:rsidR="00C1026B" w14:paraId="4FDDCD17"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5AC4C74A" w14:textId="77777777" w:rsidR="00C1026B" w:rsidRDefault="00C1026B" w:rsidP="00621890">
            <w:pPr>
              <w:spacing w:line="300" w:lineRule="auto"/>
              <w:jc w:val="center"/>
              <w:rPr>
                <w:rFonts w:ascii="Times New Roman" w:hAnsi="Times New Roman" w:cs="Times New Roman"/>
                <w:b/>
              </w:rPr>
            </w:pPr>
            <w:r>
              <w:rPr>
                <w:rFonts w:ascii="Times New Roman" w:hAnsi="Times New Roman" w:cs="Times New Roman"/>
                <w:b/>
              </w:rPr>
              <w:t>Пересчет к 01.01.2022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A1E58DE" w14:textId="77777777" w:rsidR="00C1026B" w:rsidRDefault="00C1026B" w:rsidP="00621890">
            <w:pPr>
              <w:spacing w:line="300" w:lineRule="auto"/>
              <w:jc w:val="center"/>
              <w:rPr>
                <w:rFonts w:ascii="Times New Roman" w:hAnsi="Times New Roman" w:cs="Times New Roman"/>
                <w:b/>
              </w:rPr>
            </w:pPr>
            <w:r>
              <w:rPr>
                <w:rFonts w:ascii="Times New Roman" w:hAnsi="Times New Roman" w:cs="Times New Roman"/>
                <w:b/>
              </w:rPr>
              <w:t>Расчет</w:t>
            </w:r>
          </w:p>
        </w:tc>
        <w:tc>
          <w:tcPr>
            <w:tcW w:w="2536" w:type="dxa"/>
            <w:tcBorders>
              <w:top w:val="single" w:sz="4" w:space="0" w:color="auto"/>
              <w:left w:val="single" w:sz="4" w:space="0" w:color="auto"/>
              <w:bottom w:val="single" w:sz="4" w:space="0" w:color="auto"/>
              <w:right w:val="single" w:sz="4" w:space="0" w:color="auto"/>
            </w:tcBorders>
            <w:vAlign w:val="center"/>
            <w:hideMark/>
          </w:tcPr>
          <w:p w14:paraId="09442793" w14:textId="77777777" w:rsidR="00C1026B" w:rsidRDefault="00C1026B" w:rsidP="00621890">
            <w:pPr>
              <w:spacing w:line="300" w:lineRule="auto"/>
              <w:jc w:val="center"/>
              <w:rPr>
                <w:rFonts w:ascii="Times New Roman" w:hAnsi="Times New Roman" w:cs="Times New Roman"/>
                <w:b/>
              </w:rPr>
            </w:pPr>
            <w:r>
              <w:rPr>
                <w:rFonts w:ascii="Times New Roman" w:hAnsi="Times New Roman" w:cs="Times New Roman"/>
                <w:b/>
              </w:rPr>
              <w:t>Значение индекса</w:t>
            </w:r>
          </w:p>
        </w:tc>
        <w:tc>
          <w:tcPr>
            <w:tcW w:w="1717" w:type="dxa"/>
            <w:tcBorders>
              <w:top w:val="single" w:sz="4" w:space="0" w:color="auto"/>
              <w:left w:val="single" w:sz="4" w:space="0" w:color="auto"/>
              <w:bottom w:val="single" w:sz="4" w:space="0" w:color="auto"/>
              <w:right w:val="single" w:sz="4" w:space="0" w:color="auto"/>
            </w:tcBorders>
            <w:vAlign w:val="center"/>
            <w:hideMark/>
          </w:tcPr>
          <w:p w14:paraId="16AEED99" w14:textId="77777777" w:rsidR="00C1026B" w:rsidRDefault="00C1026B" w:rsidP="00621890">
            <w:pPr>
              <w:spacing w:line="300" w:lineRule="auto"/>
              <w:jc w:val="center"/>
              <w:rPr>
                <w:rFonts w:ascii="Times New Roman" w:hAnsi="Times New Roman" w:cs="Times New Roman"/>
                <w:b/>
              </w:rPr>
            </w:pPr>
            <w:r>
              <w:rPr>
                <w:rFonts w:ascii="Times New Roman" w:hAnsi="Times New Roman" w:cs="Times New Roman"/>
                <w:b/>
              </w:rPr>
              <w:t>Индекс, %</w:t>
            </w:r>
          </w:p>
        </w:tc>
      </w:tr>
      <w:tr w:rsidR="00C1026B" w14:paraId="3CEC9B34"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0B11C247" w14:textId="77777777" w:rsidR="00C1026B" w:rsidRDefault="00C1026B" w:rsidP="00621890">
            <w:pPr>
              <w:jc w:val="center"/>
              <w:rPr>
                <w:rFonts w:ascii="Times New Roman" w:hAnsi="Times New Roman" w:cs="Times New Roman"/>
              </w:rPr>
            </w:pPr>
            <w:r>
              <w:rPr>
                <w:rFonts w:ascii="Times New Roman" w:hAnsi="Times New Roman" w:cs="Times New Roman"/>
              </w:rPr>
              <w:t>01.01.2020 по 30.06.2020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56C5E1"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0,98*1*1*0,97</w:t>
            </w:r>
          </w:p>
        </w:tc>
        <w:tc>
          <w:tcPr>
            <w:tcW w:w="2536" w:type="dxa"/>
            <w:tcBorders>
              <w:top w:val="single" w:sz="4" w:space="0" w:color="auto"/>
              <w:left w:val="single" w:sz="4" w:space="0" w:color="auto"/>
              <w:bottom w:val="single" w:sz="4" w:space="0" w:color="auto"/>
              <w:right w:val="single" w:sz="4" w:space="0" w:color="auto"/>
            </w:tcBorders>
            <w:vAlign w:val="center"/>
            <w:hideMark/>
          </w:tcPr>
          <w:p w14:paraId="72F22965"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0,95</w:t>
            </w:r>
          </w:p>
        </w:tc>
        <w:tc>
          <w:tcPr>
            <w:tcW w:w="1717" w:type="dxa"/>
            <w:tcBorders>
              <w:top w:val="single" w:sz="4" w:space="0" w:color="auto"/>
              <w:left w:val="single" w:sz="4" w:space="0" w:color="auto"/>
              <w:bottom w:val="single" w:sz="4" w:space="0" w:color="auto"/>
              <w:right w:val="single" w:sz="4" w:space="0" w:color="auto"/>
            </w:tcBorders>
            <w:vAlign w:val="center"/>
            <w:hideMark/>
          </w:tcPr>
          <w:p w14:paraId="4F2AEDAB"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-5%</w:t>
            </w:r>
          </w:p>
        </w:tc>
      </w:tr>
      <w:tr w:rsidR="00C1026B" w14:paraId="75716A87"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5C0AEAD0" w14:textId="77777777" w:rsidR="00C1026B" w:rsidRDefault="00C1026B" w:rsidP="00621890">
            <w:pPr>
              <w:jc w:val="center"/>
              <w:rPr>
                <w:rFonts w:ascii="Times New Roman" w:hAnsi="Times New Roman" w:cs="Times New Roman"/>
              </w:rPr>
            </w:pPr>
            <w:r>
              <w:rPr>
                <w:rFonts w:ascii="Times New Roman" w:hAnsi="Times New Roman" w:cs="Times New Roman"/>
              </w:rPr>
              <w:t>01.07.2020 по 31.12.2020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DF0DFF"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0,98*1*1</w:t>
            </w:r>
          </w:p>
        </w:tc>
        <w:tc>
          <w:tcPr>
            <w:tcW w:w="2536" w:type="dxa"/>
            <w:tcBorders>
              <w:top w:val="single" w:sz="4" w:space="0" w:color="auto"/>
              <w:left w:val="single" w:sz="4" w:space="0" w:color="auto"/>
              <w:bottom w:val="single" w:sz="4" w:space="0" w:color="auto"/>
              <w:right w:val="single" w:sz="4" w:space="0" w:color="auto"/>
            </w:tcBorders>
            <w:vAlign w:val="center"/>
            <w:hideMark/>
          </w:tcPr>
          <w:p w14:paraId="6D28C0B5"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w:t>
            </w:r>
          </w:p>
        </w:tc>
        <w:tc>
          <w:tcPr>
            <w:tcW w:w="1717" w:type="dxa"/>
            <w:tcBorders>
              <w:top w:val="single" w:sz="4" w:space="0" w:color="auto"/>
              <w:left w:val="single" w:sz="4" w:space="0" w:color="auto"/>
              <w:bottom w:val="single" w:sz="4" w:space="0" w:color="auto"/>
              <w:right w:val="single" w:sz="4" w:space="0" w:color="auto"/>
            </w:tcBorders>
            <w:vAlign w:val="center"/>
            <w:hideMark/>
          </w:tcPr>
          <w:p w14:paraId="4F75CE1F"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-2%</w:t>
            </w:r>
          </w:p>
        </w:tc>
      </w:tr>
      <w:tr w:rsidR="00C1026B" w14:paraId="25B19552"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1B10B322" w14:textId="77777777" w:rsidR="00C1026B" w:rsidRDefault="00C1026B" w:rsidP="00621890">
            <w:pPr>
              <w:jc w:val="center"/>
              <w:rPr>
                <w:rFonts w:ascii="Times New Roman" w:hAnsi="Times New Roman" w:cs="Times New Roman"/>
              </w:rPr>
            </w:pPr>
            <w:r>
              <w:rPr>
                <w:rFonts w:ascii="Times New Roman" w:hAnsi="Times New Roman" w:cs="Times New Roman"/>
              </w:rPr>
              <w:t>01.01.2021 по 30.06.2021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B4DD04"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0,98*1</w:t>
            </w:r>
          </w:p>
        </w:tc>
        <w:tc>
          <w:tcPr>
            <w:tcW w:w="2536" w:type="dxa"/>
            <w:tcBorders>
              <w:top w:val="single" w:sz="4" w:space="0" w:color="auto"/>
              <w:left w:val="single" w:sz="4" w:space="0" w:color="auto"/>
              <w:bottom w:val="single" w:sz="4" w:space="0" w:color="auto"/>
              <w:right w:val="single" w:sz="4" w:space="0" w:color="auto"/>
            </w:tcBorders>
            <w:vAlign w:val="center"/>
            <w:hideMark/>
          </w:tcPr>
          <w:p w14:paraId="378FCF1A"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w:t>
            </w:r>
          </w:p>
        </w:tc>
        <w:tc>
          <w:tcPr>
            <w:tcW w:w="1717" w:type="dxa"/>
            <w:tcBorders>
              <w:top w:val="single" w:sz="4" w:space="0" w:color="auto"/>
              <w:left w:val="single" w:sz="4" w:space="0" w:color="auto"/>
              <w:bottom w:val="single" w:sz="4" w:space="0" w:color="auto"/>
              <w:right w:val="single" w:sz="4" w:space="0" w:color="auto"/>
            </w:tcBorders>
            <w:vAlign w:val="center"/>
            <w:hideMark/>
          </w:tcPr>
          <w:p w14:paraId="2308DA76"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-2%</w:t>
            </w:r>
          </w:p>
        </w:tc>
      </w:tr>
      <w:tr w:rsidR="00C1026B" w14:paraId="04B45043" w14:textId="77777777" w:rsidTr="00621890">
        <w:tc>
          <w:tcPr>
            <w:tcW w:w="2830" w:type="dxa"/>
            <w:tcBorders>
              <w:top w:val="single" w:sz="4" w:space="0" w:color="auto"/>
              <w:left w:val="single" w:sz="4" w:space="0" w:color="auto"/>
              <w:bottom w:val="single" w:sz="4" w:space="0" w:color="auto"/>
              <w:right w:val="single" w:sz="4" w:space="0" w:color="auto"/>
            </w:tcBorders>
            <w:vAlign w:val="center"/>
            <w:hideMark/>
          </w:tcPr>
          <w:p w14:paraId="28BA23F6" w14:textId="77777777" w:rsidR="00C1026B" w:rsidRDefault="00C1026B" w:rsidP="00621890">
            <w:pPr>
              <w:jc w:val="center"/>
              <w:rPr>
                <w:rFonts w:ascii="Times New Roman" w:hAnsi="Times New Roman" w:cs="Times New Roman"/>
                <w:color w:val="000000"/>
              </w:rPr>
            </w:pPr>
            <w:r>
              <w:rPr>
                <w:rFonts w:ascii="Times New Roman" w:hAnsi="Times New Roman" w:cs="Times New Roman"/>
                <w:color w:val="000000"/>
              </w:rPr>
              <w:t>01.07.2021 по 31.12.2021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8025E8D"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w:t>
            </w:r>
          </w:p>
        </w:tc>
        <w:tc>
          <w:tcPr>
            <w:tcW w:w="2536" w:type="dxa"/>
            <w:tcBorders>
              <w:top w:val="single" w:sz="4" w:space="0" w:color="auto"/>
              <w:left w:val="single" w:sz="4" w:space="0" w:color="auto"/>
              <w:bottom w:val="single" w:sz="4" w:space="0" w:color="auto"/>
              <w:right w:val="single" w:sz="4" w:space="0" w:color="auto"/>
            </w:tcBorders>
            <w:vAlign w:val="center"/>
            <w:hideMark/>
          </w:tcPr>
          <w:p w14:paraId="5DF1F3F4"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0,98</w:t>
            </w:r>
          </w:p>
        </w:tc>
        <w:tc>
          <w:tcPr>
            <w:tcW w:w="1717" w:type="dxa"/>
            <w:tcBorders>
              <w:top w:val="single" w:sz="4" w:space="0" w:color="auto"/>
              <w:left w:val="single" w:sz="4" w:space="0" w:color="auto"/>
              <w:bottom w:val="single" w:sz="4" w:space="0" w:color="auto"/>
              <w:right w:val="single" w:sz="4" w:space="0" w:color="auto"/>
            </w:tcBorders>
            <w:vAlign w:val="center"/>
            <w:hideMark/>
          </w:tcPr>
          <w:p w14:paraId="2628C257" w14:textId="77777777" w:rsidR="00C1026B" w:rsidRDefault="00C1026B" w:rsidP="00621890">
            <w:pPr>
              <w:spacing w:line="300" w:lineRule="auto"/>
              <w:jc w:val="center"/>
              <w:rPr>
                <w:rFonts w:ascii="Times New Roman" w:hAnsi="Times New Roman" w:cs="Times New Roman"/>
              </w:rPr>
            </w:pPr>
            <w:r>
              <w:rPr>
                <w:rFonts w:ascii="Times New Roman" w:hAnsi="Times New Roman" w:cs="Times New Roman"/>
              </w:rPr>
              <w:t>-2%</w:t>
            </w:r>
          </w:p>
        </w:tc>
      </w:tr>
    </w:tbl>
    <w:p w14:paraId="1477C6DA" w14:textId="77777777" w:rsidR="00C1026B" w:rsidRPr="00180DD3" w:rsidRDefault="00C1026B" w:rsidP="0030375C">
      <w:pPr>
        <w:pStyle w:val="ab"/>
        <w:numPr>
          <w:ilvl w:val="0"/>
          <w:numId w:val="40"/>
        </w:numPr>
        <w:tabs>
          <w:tab w:val="left" w:pos="993"/>
        </w:tabs>
        <w:spacing w:before="120" w:after="0" w:line="300" w:lineRule="auto"/>
        <w:ind w:left="0"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Расчет кадастровой</w:t>
      </w:r>
      <w:r w:rsidRPr="004F28D2">
        <w:rPr>
          <w:rFonts w:ascii="Times New Roman" w:eastAsiaTheme="minorEastAsia" w:hAnsi="Times New Roman" w:cs="Times New Roman"/>
          <w:sz w:val="26"/>
          <w:szCs w:val="26"/>
        </w:rPr>
        <w:t xml:space="preserve"> стоимост</w:t>
      </w:r>
      <w:r>
        <w:rPr>
          <w:rFonts w:ascii="Times New Roman" w:eastAsiaTheme="minorEastAsia" w:hAnsi="Times New Roman" w:cs="Times New Roman"/>
          <w:sz w:val="26"/>
          <w:szCs w:val="26"/>
        </w:rPr>
        <w:t>и</w:t>
      </w:r>
      <w:r w:rsidRPr="004F28D2">
        <w:rPr>
          <w:rFonts w:ascii="Times New Roman" w:eastAsiaTheme="minorEastAsia" w:hAnsi="Times New Roman" w:cs="Times New Roman"/>
          <w:sz w:val="26"/>
          <w:szCs w:val="26"/>
        </w:rPr>
        <w:t xml:space="preserve"> объектов оценки </w:t>
      </w:r>
      <w:r>
        <w:rPr>
          <w:rFonts w:ascii="Times New Roman" w:eastAsiaTheme="minorEastAsia" w:hAnsi="Times New Roman" w:cs="Times New Roman"/>
          <w:sz w:val="26"/>
          <w:szCs w:val="26"/>
        </w:rPr>
        <w:t xml:space="preserve">представляет собой </w:t>
      </w:r>
      <w:r w:rsidRPr="004F28D2">
        <w:rPr>
          <w:rFonts w:ascii="Times New Roman" w:eastAsiaTheme="minorEastAsia" w:hAnsi="Times New Roman" w:cs="Times New Roman"/>
          <w:sz w:val="26"/>
          <w:szCs w:val="26"/>
        </w:rPr>
        <w:t>произведение соответствующего индекса</w:t>
      </w:r>
      <w:r>
        <w:rPr>
          <w:rFonts w:ascii="Times New Roman" w:eastAsiaTheme="minorEastAsia" w:hAnsi="Times New Roman" w:cs="Times New Roman"/>
          <w:sz w:val="26"/>
          <w:szCs w:val="26"/>
        </w:rPr>
        <w:t>, выбранного в зависимости от указанной в Перечне даты</w:t>
      </w:r>
      <w:r w:rsidRPr="004F28D2">
        <w:t xml:space="preserve"> </w:t>
      </w:r>
      <w:r w:rsidRPr="004F28D2">
        <w:rPr>
          <w:rFonts w:ascii="Times New Roman" w:eastAsiaTheme="minorEastAsia" w:hAnsi="Times New Roman" w:cs="Times New Roman"/>
          <w:sz w:val="26"/>
          <w:szCs w:val="26"/>
        </w:rPr>
        <w:t>определения кадастровой стоимости</w:t>
      </w:r>
      <w:r>
        <w:rPr>
          <w:rFonts w:ascii="Times New Roman" w:eastAsiaTheme="minorEastAsia" w:hAnsi="Times New Roman" w:cs="Times New Roman"/>
          <w:sz w:val="26"/>
          <w:szCs w:val="26"/>
        </w:rPr>
        <w:t xml:space="preserve"> предыдущего тура оценки </w:t>
      </w:r>
      <w:r w:rsidRPr="004F28D2">
        <w:rPr>
          <w:rFonts w:ascii="Times New Roman" w:eastAsiaTheme="minorEastAsia" w:hAnsi="Times New Roman" w:cs="Times New Roman"/>
          <w:sz w:val="26"/>
          <w:szCs w:val="26"/>
        </w:rPr>
        <w:t xml:space="preserve">на </w:t>
      </w:r>
      <w:r>
        <w:rPr>
          <w:rFonts w:ascii="Times New Roman" w:eastAsiaTheme="minorEastAsia" w:hAnsi="Times New Roman" w:cs="Times New Roman"/>
          <w:sz w:val="26"/>
          <w:szCs w:val="26"/>
        </w:rPr>
        <w:t xml:space="preserve">указанную в Перечне </w:t>
      </w:r>
      <w:r w:rsidRPr="004F28D2">
        <w:rPr>
          <w:rFonts w:ascii="Times New Roman" w:hAnsi="Times New Roman" w:cs="Times New Roman"/>
          <w:bCs/>
          <w:sz w:val="26"/>
          <w:szCs w:val="26"/>
        </w:rPr>
        <w:t xml:space="preserve">кадастровую стоимость </w:t>
      </w:r>
      <w:r>
        <w:rPr>
          <w:rFonts w:ascii="Times New Roman" w:hAnsi="Times New Roman" w:cs="Times New Roman"/>
          <w:bCs/>
          <w:sz w:val="26"/>
          <w:szCs w:val="26"/>
        </w:rPr>
        <w:t>предыдущего тура оценки.</w:t>
      </w:r>
    </w:p>
    <w:p w14:paraId="521448A0" w14:textId="2C7320EC" w:rsidR="00C1026B" w:rsidRDefault="00153B5F" w:rsidP="00C1026B">
      <w:pPr>
        <w:pStyle w:val="ConsPlusNormal"/>
        <w:spacing w:line="276" w:lineRule="auto"/>
        <w:ind w:firstLine="709"/>
        <w:jc w:val="both"/>
        <w:rPr>
          <w:rFonts w:ascii="Times New Roman"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2C7430" w:rsidRPr="00483EA0">
        <w:rPr>
          <w:rFonts w:ascii="Times New Roman" w:hAnsi="Times New Roman" w:cs="Times New Roman"/>
          <w:sz w:val="26"/>
          <w:szCs w:val="26"/>
        </w:rPr>
        <w:t>2/2.4</w:t>
      </w:r>
      <w:r w:rsidR="002C7430">
        <w:rPr>
          <w:rFonts w:ascii="Times New Roman" w:hAnsi="Times New Roman" w:cs="Times New Roman"/>
          <w:sz w:val="26"/>
          <w:szCs w:val="26"/>
        </w:rPr>
        <w:t>/2.4.12.</w:t>
      </w:r>
    </w:p>
    <w:p w14:paraId="4E9897F0" w14:textId="4F09BB03" w:rsidR="00693088" w:rsidRDefault="00693088" w:rsidP="00C1026B">
      <w:pPr>
        <w:pStyle w:val="ConsPlusNormal"/>
        <w:spacing w:line="276" w:lineRule="auto"/>
        <w:ind w:firstLine="709"/>
        <w:jc w:val="both"/>
        <w:rPr>
          <w:rFonts w:ascii="Times New Roman" w:hAnsi="Times New Roman" w:cs="Times New Roman"/>
          <w:sz w:val="26"/>
          <w:szCs w:val="26"/>
        </w:rPr>
      </w:pPr>
    </w:p>
    <w:p w14:paraId="5C243015" w14:textId="77777777" w:rsidR="00C1026B" w:rsidRPr="005A41E5" w:rsidRDefault="00C1026B" w:rsidP="00C1026B">
      <w:pPr>
        <w:pStyle w:val="ab"/>
        <w:ind w:left="0"/>
        <w:jc w:val="center"/>
        <w:outlineLvl w:val="2"/>
        <w:rPr>
          <w:rFonts w:ascii="Times New Roman" w:hAnsi="Times New Roman" w:cs="Times New Roman"/>
          <w:i/>
          <w:sz w:val="26"/>
          <w:szCs w:val="26"/>
        </w:rPr>
      </w:pPr>
      <w:bookmarkStart w:id="292" w:name="_Toc110507023"/>
      <w:r w:rsidRPr="00F562A8">
        <w:rPr>
          <w:rFonts w:ascii="Times New Roman" w:hAnsi="Times New Roman" w:cs="Times New Roman"/>
          <w:i/>
          <w:sz w:val="26"/>
          <w:szCs w:val="26"/>
        </w:rPr>
        <w:t>3.6.12.</w:t>
      </w:r>
      <w:r>
        <w:rPr>
          <w:rFonts w:ascii="Times New Roman" w:hAnsi="Times New Roman" w:cs="Times New Roman"/>
          <w:i/>
          <w:sz w:val="26"/>
          <w:szCs w:val="26"/>
        </w:rPr>
        <w:t>5</w:t>
      </w:r>
      <w:r w:rsidRPr="00F562A8">
        <w:rPr>
          <w:rFonts w:ascii="Times New Roman" w:hAnsi="Times New Roman" w:cs="Times New Roman"/>
          <w:i/>
          <w:sz w:val="26"/>
          <w:szCs w:val="26"/>
        </w:rPr>
        <w:t xml:space="preserve">. </w:t>
      </w:r>
      <w:r w:rsidRPr="005A41E5">
        <w:rPr>
          <w:rFonts w:ascii="Times New Roman" w:hAnsi="Times New Roman" w:cs="Times New Roman"/>
          <w:i/>
          <w:sz w:val="26"/>
          <w:szCs w:val="26"/>
        </w:rPr>
        <w:t xml:space="preserve">Расчет кадастровой стоимости земельных участков группы </w:t>
      </w:r>
      <w:r>
        <w:rPr>
          <w:rFonts w:ascii="Times New Roman" w:hAnsi="Times New Roman" w:cs="Times New Roman"/>
          <w:i/>
          <w:sz w:val="26"/>
          <w:szCs w:val="26"/>
        </w:rPr>
        <w:t>УПКС</w:t>
      </w:r>
      <w:bookmarkEnd w:id="292"/>
    </w:p>
    <w:p w14:paraId="73558D10" w14:textId="2943B8AD" w:rsidR="00C1026B" w:rsidRPr="00483EA0" w:rsidRDefault="00C1026B" w:rsidP="00C1026B">
      <w:pPr>
        <w:spacing w:after="0" w:line="276" w:lineRule="auto"/>
        <w:ind w:firstLine="709"/>
        <w:jc w:val="both"/>
        <w:rPr>
          <w:rFonts w:ascii="Times New Roman" w:eastAsiaTheme="minorEastAsia" w:hAnsi="Times New Roman" w:cs="Times New Roman"/>
          <w:sz w:val="26"/>
          <w:szCs w:val="26"/>
        </w:rPr>
      </w:pPr>
      <w:r w:rsidRPr="00483EA0">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2C7430" w:rsidRPr="00483EA0">
        <w:rPr>
          <w:rFonts w:ascii="Times New Roman" w:eastAsiaTheme="minorEastAsia" w:hAnsi="Times New Roman" w:cs="Times New Roman"/>
          <w:sz w:val="26"/>
          <w:szCs w:val="26"/>
        </w:rPr>
        <w:t>2/2.4</w:t>
      </w:r>
      <w:r w:rsidR="002C7430">
        <w:rPr>
          <w:rFonts w:ascii="Times New Roman" w:eastAsiaTheme="minorEastAsia" w:hAnsi="Times New Roman" w:cs="Times New Roman"/>
          <w:sz w:val="26"/>
          <w:szCs w:val="26"/>
        </w:rPr>
        <w:t>/2.4.12.</w:t>
      </w:r>
    </w:p>
    <w:p w14:paraId="34118D2F" w14:textId="77777777" w:rsidR="00C1026B" w:rsidRDefault="00C1026B" w:rsidP="00C1026B">
      <w:pPr>
        <w:spacing w:after="0" w:line="276" w:lineRule="auto"/>
        <w:ind w:firstLine="709"/>
        <w:jc w:val="both"/>
        <w:rPr>
          <w:rFonts w:ascii="Times New Roman" w:eastAsiaTheme="minorEastAsia" w:hAnsi="Times New Roman" w:cs="Times New Roman"/>
          <w:sz w:val="26"/>
          <w:szCs w:val="26"/>
        </w:rPr>
      </w:pPr>
      <w:r w:rsidRPr="00483EA0">
        <w:rPr>
          <w:rFonts w:ascii="Times New Roman" w:eastAsiaTheme="minorEastAsia" w:hAnsi="Times New Roman" w:cs="Times New Roman"/>
          <w:sz w:val="26"/>
          <w:szCs w:val="26"/>
        </w:rPr>
        <w:t xml:space="preserve">К группе </w:t>
      </w:r>
      <w:r>
        <w:rPr>
          <w:rFonts w:ascii="Times New Roman" w:eastAsiaTheme="minorEastAsia" w:hAnsi="Times New Roman" w:cs="Times New Roman"/>
          <w:sz w:val="26"/>
          <w:szCs w:val="26"/>
        </w:rPr>
        <w:t>УПКС</w:t>
      </w:r>
      <w:r w:rsidRPr="00483EA0">
        <w:rPr>
          <w:rFonts w:ascii="Times New Roman" w:eastAsiaTheme="minorEastAsia" w:hAnsi="Times New Roman" w:cs="Times New Roman"/>
          <w:sz w:val="26"/>
          <w:szCs w:val="26"/>
        </w:rPr>
        <w:t xml:space="preserve"> относятся земельные участки с код</w:t>
      </w:r>
      <w:r>
        <w:rPr>
          <w:rFonts w:ascii="Times New Roman" w:eastAsiaTheme="minorEastAsia" w:hAnsi="Times New Roman" w:cs="Times New Roman"/>
          <w:sz w:val="26"/>
          <w:szCs w:val="26"/>
        </w:rPr>
        <w:t>ами</w:t>
      </w:r>
      <w:r w:rsidRPr="00483EA0">
        <w:rPr>
          <w:rFonts w:ascii="Times New Roman" w:eastAsiaTheme="minorEastAsia" w:hAnsi="Times New Roman" w:cs="Times New Roman"/>
          <w:sz w:val="26"/>
          <w:szCs w:val="26"/>
        </w:rPr>
        <w:t xml:space="preserve"> расчета вида использования </w:t>
      </w:r>
      <w:r>
        <w:rPr>
          <w:rFonts w:ascii="Times New Roman" w:eastAsiaTheme="minorEastAsia" w:hAnsi="Times New Roman" w:cs="Times New Roman"/>
          <w:sz w:val="26"/>
          <w:szCs w:val="26"/>
        </w:rPr>
        <w:t>12:000, 12:010, 12:020, 12:021, 12:030, у которых:</w:t>
      </w:r>
    </w:p>
    <w:p w14:paraId="20620CFB" w14:textId="77777777" w:rsidR="00C1026B" w:rsidRDefault="00C1026B" w:rsidP="00C1026B">
      <w:pPr>
        <w:spacing w:after="0" w:line="276" w:lineRule="auto"/>
        <w:ind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отсутствует в Перечне информация о кадастровой стоимости предыдущего тура оценки;</w:t>
      </w:r>
    </w:p>
    <w:p w14:paraId="6C98C8E8" w14:textId="77777777" w:rsidR="00C1026B" w:rsidRDefault="00C1026B" w:rsidP="00C1026B">
      <w:pPr>
        <w:spacing w:after="0" w:line="276" w:lineRule="auto"/>
        <w:ind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указанная в Перечне дата определения предыдущей кадастровой стоимости до 01.01.2020 г.;</w:t>
      </w:r>
    </w:p>
    <w:p w14:paraId="3C605050" w14:textId="77777777" w:rsidR="00C1026B" w:rsidRDefault="00C1026B" w:rsidP="00C1026B">
      <w:pPr>
        <w:spacing w:after="0" w:line="276" w:lineRule="auto"/>
        <w:ind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отсутствует в перечне информация о дате определения предыдущей кадастровой стоимости;</w:t>
      </w:r>
    </w:p>
    <w:p w14:paraId="55F5D36B" w14:textId="77777777" w:rsidR="00C1026B" w:rsidRDefault="00C1026B" w:rsidP="00C1026B">
      <w:pPr>
        <w:spacing w:after="0" w:line="276" w:lineRule="auto"/>
        <w:ind w:firstLine="709"/>
        <w:jc w:val="both"/>
        <w:rPr>
          <w:rFonts w:ascii="Times New Roman" w:eastAsiaTheme="minorEastAsia" w:hAnsi="Times New Roman" w:cs="Times New Roman"/>
          <w:sz w:val="26"/>
          <w:szCs w:val="26"/>
        </w:rPr>
      </w:pPr>
      <w:r w:rsidRPr="005E4478">
        <w:rPr>
          <w:rFonts w:ascii="Times New Roman" w:eastAsiaTheme="minorEastAsia" w:hAnsi="Times New Roman" w:cs="Times New Roman"/>
          <w:sz w:val="26"/>
          <w:szCs w:val="26"/>
        </w:rPr>
        <w:t>- указанный в Перечне УПКС предыдущего тура оценки менее 50 руб./кв.м.</w:t>
      </w:r>
    </w:p>
    <w:p w14:paraId="16083FA7" w14:textId="77777777" w:rsidR="00EA7467" w:rsidRPr="00EA7467" w:rsidRDefault="00EA7467" w:rsidP="00EA7467">
      <w:pPr>
        <w:spacing w:after="0" w:line="276" w:lineRule="auto"/>
        <w:ind w:firstLine="709"/>
        <w:jc w:val="both"/>
        <w:rPr>
          <w:rFonts w:ascii="Times New Roman" w:eastAsiaTheme="minorEastAsia" w:hAnsi="Times New Roman" w:cs="Times New Roman"/>
          <w:sz w:val="26"/>
          <w:szCs w:val="26"/>
        </w:rPr>
      </w:pPr>
      <w:r w:rsidRPr="00EA7467">
        <w:rPr>
          <w:rFonts w:ascii="Times New Roman" w:eastAsiaTheme="minorEastAsia" w:hAnsi="Times New Roman" w:cs="Times New Roman"/>
          <w:sz w:val="26"/>
          <w:szCs w:val="26"/>
        </w:rPr>
        <w:t xml:space="preserve">Расчет кадастровой стоимости земельных участков данной группы проведен по минимальному значению удельных показателей кадастровой стоимости земельных участков текущего сегмента с учетом кода расчета вида использования по кадастровому кварталу, в котором расположены объекты оценки. </w:t>
      </w:r>
    </w:p>
    <w:p w14:paraId="52BC9F37" w14:textId="756AE598" w:rsidR="00C1026B" w:rsidRPr="00671FC7" w:rsidRDefault="00EA7467" w:rsidP="00EA7467">
      <w:pPr>
        <w:spacing w:after="0" w:line="276" w:lineRule="auto"/>
        <w:ind w:firstLine="709"/>
        <w:jc w:val="both"/>
        <w:rPr>
          <w:rFonts w:ascii="Times New Roman" w:eastAsiaTheme="minorEastAsia" w:hAnsi="Times New Roman" w:cs="Times New Roman"/>
          <w:sz w:val="26"/>
          <w:szCs w:val="26"/>
        </w:rPr>
      </w:pPr>
      <w:r w:rsidRPr="00EA7467">
        <w:rPr>
          <w:rFonts w:ascii="Times New Roman" w:eastAsiaTheme="minorEastAsia" w:hAnsi="Times New Roman" w:cs="Times New Roman"/>
          <w:sz w:val="26"/>
          <w:szCs w:val="26"/>
        </w:rPr>
        <w:t>В случае отсутствия таких показателей, по минимальным значениям удельных показателей кадастровой стоимости в населенном пункте, а в случае отсутствия и этих значений, по минимальным значениям удельных показателей кадастровой стоимости в муниципальном районе, а в случае отсутствия и этих значений, по минимальным значениям удельных показателей кадастровой стоимости Воронежской области.</w:t>
      </w:r>
    </w:p>
    <w:p w14:paraId="387C02D1" w14:textId="66C40BDE" w:rsidR="005A41E5" w:rsidRDefault="00153B5F" w:rsidP="00C1026B">
      <w:pPr>
        <w:pStyle w:val="ConsPlusNormal"/>
        <w:spacing w:line="276" w:lineRule="auto"/>
        <w:ind w:firstLine="709"/>
        <w:jc w:val="both"/>
        <w:rPr>
          <w:rFonts w:ascii="Times New Roman"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2C7430" w:rsidRPr="00483EA0">
        <w:rPr>
          <w:rFonts w:ascii="Times New Roman" w:hAnsi="Times New Roman" w:cs="Times New Roman"/>
          <w:sz w:val="26"/>
          <w:szCs w:val="26"/>
        </w:rPr>
        <w:t>2/2.4</w:t>
      </w:r>
      <w:r w:rsidR="002C7430">
        <w:rPr>
          <w:rFonts w:ascii="Times New Roman" w:hAnsi="Times New Roman" w:cs="Times New Roman"/>
          <w:sz w:val="26"/>
          <w:szCs w:val="26"/>
        </w:rPr>
        <w:t>/2.4.12.</w:t>
      </w:r>
    </w:p>
    <w:p w14:paraId="33A4E0B6" w14:textId="20F6E77D" w:rsidR="002E428C" w:rsidRDefault="002E428C" w:rsidP="00C1026B">
      <w:pPr>
        <w:pStyle w:val="ConsPlusNormal"/>
        <w:spacing w:line="276" w:lineRule="auto"/>
        <w:ind w:firstLine="709"/>
        <w:jc w:val="both"/>
        <w:rPr>
          <w:rFonts w:ascii="Times New Roman" w:hAnsi="Times New Roman" w:cs="Times New Roman"/>
          <w:color w:val="FF0000"/>
          <w:sz w:val="26"/>
          <w:szCs w:val="26"/>
        </w:rPr>
      </w:pPr>
    </w:p>
    <w:p w14:paraId="14BC83D0" w14:textId="77777777" w:rsidR="002E428C" w:rsidRPr="00504BC2" w:rsidRDefault="002E428C" w:rsidP="00C1026B">
      <w:pPr>
        <w:pStyle w:val="ConsPlusNormal"/>
        <w:spacing w:line="276" w:lineRule="auto"/>
        <w:ind w:firstLine="709"/>
        <w:jc w:val="both"/>
        <w:rPr>
          <w:rFonts w:ascii="Times New Roman" w:hAnsi="Times New Roman" w:cs="Times New Roman"/>
          <w:color w:val="FF0000"/>
          <w:sz w:val="26"/>
          <w:szCs w:val="26"/>
        </w:rPr>
      </w:pPr>
    </w:p>
    <w:p w14:paraId="4C5E99CA" w14:textId="07A14EC5" w:rsidR="00930A0B" w:rsidRPr="00F562A8" w:rsidRDefault="00A76705" w:rsidP="00A55966">
      <w:pPr>
        <w:pStyle w:val="ab"/>
        <w:spacing w:before="120" w:after="0" w:line="240" w:lineRule="auto"/>
        <w:ind w:left="0"/>
        <w:contextualSpacing w:val="0"/>
        <w:jc w:val="center"/>
        <w:outlineLvl w:val="1"/>
        <w:rPr>
          <w:rFonts w:ascii="Times New Roman" w:hAnsi="Times New Roman" w:cs="Times New Roman"/>
          <w:b/>
          <w:sz w:val="26"/>
          <w:szCs w:val="26"/>
        </w:rPr>
      </w:pPr>
      <w:bookmarkStart w:id="293" w:name="_Toc110507024"/>
      <w:r w:rsidRPr="00F562A8">
        <w:rPr>
          <w:rFonts w:ascii="Times New Roman" w:hAnsi="Times New Roman" w:cs="Times New Roman"/>
          <w:b/>
          <w:sz w:val="26"/>
          <w:szCs w:val="26"/>
        </w:rPr>
        <w:t xml:space="preserve">3.6.13. </w:t>
      </w:r>
      <w:r w:rsidR="00306BF5" w:rsidRPr="00F562A8">
        <w:rPr>
          <w:rFonts w:ascii="Times New Roman" w:hAnsi="Times New Roman" w:cs="Times New Roman"/>
          <w:b/>
          <w:sz w:val="26"/>
          <w:szCs w:val="26"/>
        </w:rPr>
        <w:t>Сегмент 13 «Садоводство и огородничество, малоэтажная жилая застройка»</w:t>
      </w:r>
      <w:bookmarkEnd w:id="293"/>
    </w:p>
    <w:p w14:paraId="654419CA" w14:textId="77777777" w:rsidR="008453E3" w:rsidRPr="00F562A8" w:rsidRDefault="008453E3" w:rsidP="00A76705">
      <w:pPr>
        <w:spacing w:line="240" w:lineRule="auto"/>
        <w:rPr>
          <w:rFonts w:ascii="Times New Roman" w:hAnsi="Times New Roman" w:cs="Times New Roman"/>
          <w:sz w:val="16"/>
          <w:szCs w:val="16"/>
        </w:rPr>
      </w:pPr>
    </w:p>
    <w:p w14:paraId="29BDBA93" w14:textId="43F61AE9" w:rsidR="00306BF5" w:rsidRPr="00F562A8" w:rsidRDefault="0094124C" w:rsidP="002D4BEA">
      <w:pPr>
        <w:pStyle w:val="ab"/>
        <w:ind w:left="0"/>
        <w:jc w:val="center"/>
        <w:outlineLvl w:val="2"/>
        <w:rPr>
          <w:rFonts w:ascii="Times New Roman" w:hAnsi="Times New Roman" w:cs="Times New Roman"/>
          <w:i/>
          <w:sz w:val="26"/>
          <w:szCs w:val="26"/>
        </w:rPr>
      </w:pPr>
      <w:bookmarkStart w:id="294" w:name="_Toc110507025"/>
      <w:r w:rsidRPr="00DC7772">
        <w:rPr>
          <w:rFonts w:ascii="Times New Roman" w:hAnsi="Times New Roman" w:cs="Times New Roman"/>
          <w:i/>
          <w:sz w:val="26"/>
          <w:szCs w:val="26"/>
        </w:rPr>
        <w:t xml:space="preserve">3.6.13.1. </w:t>
      </w:r>
      <w:r w:rsidR="00306BF5" w:rsidRPr="00DC7772">
        <w:rPr>
          <w:rFonts w:ascii="Times New Roman" w:hAnsi="Times New Roman" w:cs="Times New Roman"/>
          <w:i/>
          <w:sz w:val="26"/>
          <w:szCs w:val="26"/>
        </w:rPr>
        <w:t>Расчет</w:t>
      </w:r>
      <w:r w:rsidR="00306BF5" w:rsidRPr="00F562A8">
        <w:rPr>
          <w:rFonts w:ascii="Times New Roman" w:hAnsi="Times New Roman" w:cs="Times New Roman"/>
          <w:i/>
          <w:sz w:val="26"/>
          <w:szCs w:val="26"/>
        </w:rPr>
        <w:t xml:space="preserve"> кадастровой стоимости земельных участков группы </w:t>
      </w:r>
      <w:r w:rsidR="001179CC" w:rsidRPr="001179CC">
        <w:rPr>
          <w:rFonts w:ascii="Times New Roman" w:hAnsi="Times New Roman" w:cs="Times New Roman"/>
          <w:i/>
          <w:sz w:val="26"/>
          <w:szCs w:val="26"/>
        </w:rPr>
        <w:t>ИЖС/Воронеж</w:t>
      </w:r>
      <w:bookmarkEnd w:id="294"/>
    </w:p>
    <w:p w14:paraId="1215B20D" w14:textId="1F9762BB" w:rsidR="00326CD1" w:rsidRPr="00F562A8" w:rsidRDefault="00326CD1" w:rsidP="006F6435">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Перечень объектов оценки данной группы приведен в Приложении 2/2.4</w:t>
      </w:r>
      <w:r w:rsidR="002C7430">
        <w:rPr>
          <w:rFonts w:ascii="Times New Roman" w:eastAsiaTheme="minorEastAsia" w:hAnsi="Times New Roman" w:cs="Times New Roman"/>
          <w:sz w:val="26"/>
          <w:szCs w:val="26"/>
        </w:rPr>
        <w:t>/</w:t>
      </w:r>
      <w:r w:rsidR="00D22BB8">
        <w:rPr>
          <w:rFonts w:ascii="Times New Roman" w:eastAsiaTheme="minorEastAsia" w:hAnsi="Times New Roman" w:cs="Times New Roman"/>
          <w:sz w:val="26"/>
          <w:szCs w:val="26"/>
        </w:rPr>
        <w:t>2.4.13.</w:t>
      </w:r>
    </w:p>
    <w:p w14:paraId="7B75415A" w14:textId="2F0E0C37" w:rsidR="00504BC2" w:rsidRDefault="00504BC2" w:rsidP="006F6435">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В со</w:t>
      </w:r>
      <w:r w:rsidRPr="007B32AA">
        <w:rPr>
          <w:rFonts w:ascii="Times New Roman" w:hAnsi="Times New Roman" w:cs="Times New Roman"/>
          <w:sz w:val="26"/>
          <w:szCs w:val="26"/>
        </w:rPr>
        <w:t xml:space="preserve">став группы </w:t>
      </w:r>
      <w:r w:rsidRPr="00E41814">
        <w:rPr>
          <w:rFonts w:ascii="Times New Roman" w:hAnsi="Times New Roman" w:cs="Times New Roman"/>
          <w:sz w:val="26"/>
          <w:szCs w:val="26"/>
        </w:rPr>
        <w:t>ИЖС/Воронеж</w:t>
      </w:r>
      <w:r w:rsidRPr="007B32AA">
        <w:rPr>
          <w:rFonts w:ascii="Times New Roman" w:hAnsi="Times New Roman" w:cs="Times New Roman"/>
          <w:sz w:val="26"/>
          <w:szCs w:val="26"/>
        </w:rPr>
        <w:t xml:space="preserve"> вошли следующие</w:t>
      </w:r>
      <w:r w:rsidRPr="00A50F7F">
        <w:rPr>
          <w:rFonts w:ascii="Times New Roman" w:hAnsi="Times New Roman" w:cs="Times New Roman"/>
          <w:bCs/>
          <w:sz w:val="26"/>
          <w:szCs w:val="26"/>
        </w:rPr>
        <w:t xml:space="preserve"> коды расчета видов использования:</w:t>
      </w:r>
      <w:r w:rsidRPr="007B32AA">
        <w:t xml:space="preserve"> </w:t>
      </w:r>
      <w:r w:rsidRPr="00504BC2">
        <w:rPr>
          <w:rFonts w:ascii="Times New Roman" w:hAnsi="Times New Roman" w:cs="Times New Roman"/>
          <w:bCs/>
          <w:sz w:val="26"/>
          <w:szCs w:val="26"/>
        </w:rPr>
        <w:t>13:000, 02:010, 02:011, 02:013, 02:014, 02:020, 02:021, 02:030, 02:031</w:t>
      </w:r>
      <w:r>
        <w:rPr>
          <w:rFonts w:ascii="Times New Roman" w:hAnsi="Times New Roman" w:cs="Times New Roman"/>
          <w:bCs/>
          <w:sz w:val="26"/>
          <w:szCs w:val="26"/>
        </w:rPr>
        <w:t>.</w:t>
      </w:r>
    </w:p>
    <w:p w14:paraId="6EAB7304" w14:textId="349CB916"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E41814" w:rsidRPr="00E41814">
        <w:rPr>
          <w:rFonts w:ascii="Times New Roman" w:hAnsi="Times New Roman" w:cs="Times New Roman"/>
          <w:sz w:val="26"/>
          <w:szCs w:val="26"/>
        </w:rPr>
        <w:t>ИЖС/Воронеж</w:t>
      </w:r>
      <w:r w:rsidR="00E41814" w:rsidRPr="00F562A8">
        <w:rPr>
          <w:rFonts w:ascii="Times New Roman" w:hAnsi="Times New Roman" w:cs="Times New Roman"/>
          <w:sz w:val="26"/>
          <w:szCs w:val="26"/>
        </w:rPr>
        <w:t xml:space="preserve">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42684395" w14:textId="6D7F532E" w:rsidR="00306BF5" w:rsidRPr="00F562A8" w:rsidRDefault="00F77023" w:rsidP="006F6435">
      <w:pPr>
        <w:pStyle w:val="ConsPlusNormal"/>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Согласно п.45.1.1 Указаний</w:t>
      </w:r>
      <w:r w:rsidR="00306BF5" w:rsidRPr="00F562A8">
        <w:rPr>
          <w:rFonts w:ascii="Times New Roman" w:hAnsi="Times New Roman" w:cs="Times New Roman"/>
          <w:sz w:val="26"/>
          <w:szCs w:val="26"/>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34F590F5"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4BC6DB13"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26CF3A1A"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76F4B4E2"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24CC4035"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4AC7FFB4"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2F83244E" w14:textId="77777777" w:rsidR="00B422FF" w:rsidRDefault="00306BF5" w:rsidP="00B422F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г.о.г. Воронеж,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12 </w:t>
      </w:r>
      <w:r w:rsidR="00B422FF" w:rsidRPr="00F562A8">
        <w:rPr>
          <w:rFonts w:ascii="Times New Roman" w:hAnsi="Times New Roman" w:cs="Times New Roman"/>
          <w:sz w:val="26"/>
          <w:szCs w:val="26"/>
        </w:rPr>
        <w:t>представлены в таблиц</w:t>
      </w:r>
      <w:r w:rsidR="00B422FF">
        <w:rPr>
          <w:rFonts w:ascii="Times New Roman" w:hAnsi="Times New Roman" w:cs="Times New Roman"/>
          <w:sz w:val="26"/>
          <w:szCs w:val="26"/>
        </w:rPr>
        <w:t>ах</w:t>
      </w:r>
      <w:r w:rsidR="00B422FF" w:rsidRPr="00F562A8">
        <w:rPr>
          <w:rFonts w:ascii="Times New Roman" w:hAnsi="Times New Roman" w:cs="Times New Roman"/>
          <w:sz w:val="26"/>
          <w:szCs w:val="26"/>
        </w:rPr>
        <w:t xml:space="preserve"> </w:t>
      </w:r>
      <w:r w:rsidR="00B422FF" w:rsidRPr="00F562A8">
        <w:rPr>
          <w:rFonts w:ascii="Times New Roman" w:eastAsia="Times New Roman" w:hAnsi="Times New Roman" w:cs="Times New Roman"/>
          <w:sz w:val="26"/>
          <w:szCs w:val="26"/>
        </w:rPr>
        <w:t>3.</w:t>
      </w:r>
      <w:r w:rsidR="00B422FF">
        <w:rPr>
          <w:rFonts w:ascii="Times New Roman" w:eastAsia="Times New Roman" w:hAnsi="Times New Roman" w:cs="Times New Roman"/>
          <w:sz w:val="26"/>
          <w:szCs w:val="26"/>
        </w:rPr>
        <w:t>4 и 3.5, пунктов 3.4 и 3.5 соответственно</w:t>
      </w:r>
      <w:r w:rsidR="00B422FF" w:rsidRPr="00F562A8">
        <w:rPr>
          <w:rFonts w:ascii="Times New Roman" w:hAnsi="Times New Roman" w:cs="Times New Roman"/>
          <w:sz w:val="26"/>
          <w:szCs w:val="26"/>
        </w:rPr>
        <w:t>.</w:t>
      </w:r>
      <w:r w:rsidR="00B422FF">
        <w:rPr>
          <w:rFonts w:ascii="Times New Roman" w:hAnsi="Times New Roman" w:cs="Times New Roman"/>
          <w:sz w:val="26"/>
          <w:szCs w:val="26"/>
        </w:rPr>
        <w:t xml:space="preserve"> </w:t>
      </w:r>
    </w:p>
    <w:p w14:paraId="5C750AA5" w14:textId="2232B893"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112634A9"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01BEED46" w14:textId="3F1EEF1C"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3E4A6B">
        <w:rPr>
          <w:rFonts w:ascii="Times New Roman" w:hAnsi="Times New Roman" w:cs="Times New Roman"/>
          <w:sz w:val="26"/>
          <w:szCs w:val="26"/>
        </w:rPr>
        <w:t>6</w:t>
      </w:r>
      <w:r w:rsidRPr="00F562A8">
        <w:rPr>
          <w:rFonts w:ascii="Times New Roman" w:hAnsi="Times New Roman" w:cs="Times New Roman"/>
          <w:sz w:val="26"/>
          <w:szCs w:val="26"/>
        </w:rPr>
        <w:t>:</w:t>
      </w:r>
    </w:p>
    <w:p w14:paraId="14A13A8C" w14:textId="04C45E1F"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141980">
        <w:rPr>
          <w:rFonts w:ascii="Times New Roman" w:hAnsi="Times New Roman" w:cs="Times New Roman"/>
          <w:sz w:val="26"/>
          <w:szCs w:val="26"/>
        </w:rPr>
        <w:t>р</w:t>
      </w:r>
      <w:r w:rsidR="00141980" w:rsidRPr="00141980">
        <w:rPr>
          <w:rFonts w:ascii="Times New Roman" w:hAnsi="Times New Roman" w:cs="Times New Roman"/>
          <w:sz w:val="26"/>
          <w:szCs w:val="26"/>
        </w:rPr>
        <w:t xml:space="preserve">асстояние до </w:t>
      </w:r>
      <w:r w:rsidR="00621890" w:rsidRPr="00C056A9">
        <w:rPr>
          <w:rFonts w:ascii="Times New Roman" w:hAnsi="Times New Roman" w:cs="Times New Roman"/>
          <w:sz w:val="26"/>
          <w:szCs w:val="26"/>
        </w:rPr>
        <w:t>ближайшей автомобильной дороги населенного пункта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084FD579" w14:textId="1586F31D"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141980" w:rsidRPr="00141980">
        <w:rPr>
          <w:rFonts w:ascii="Times New Roman" w:hAnsi="Times New Roman" w:cs="Times New Roman"/>
          <w:sz w:val="26"/>
          <w:szCs w:val="26"/>
        </w:rPr>
        <w:t xml:space="preserve">расстояние до </w:t>
      </w:r>
      <w:r w:rsidR="00C056A9" w:rsidRPr="00C056A9">
        <w:rPr>
          <w:rFonts w:ascii="Times New Roman" w:hAnsi="Times New Roman" w:cs="Times New Roman"/>
          <w:sz w:val="26"/>
          <w:szCs w:val="26"/>
        </w:rPr>
        <w:t>остановок общественного транспорта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w:t>
      </w:r>
    </w:p>
    <w:p w14:paraId="79BD2772" w14:textId="42B3DFF5"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141980">
        <w:rPr>
          <w:rFonts w:ascii="Times New Roman" w:hAnsi="Times New Roman" w:cs="Times New Roman"/>
          <w:sz w:val="26"/>
          <w:szCs w:val="26"/>
        </w:rPr>
        <w:t>р</w:t>
      </w:r>
      <w:r w:rsidR="00141980" w:rsidRPr="00141980">
        <w:rPr>
          <w:rFonts w:ascii="Times New Roman" w:hAnsi="Times New Roman" w:cs="Times New Roman"/>
          <w:sz w:val="26"/>
          <w:szCs w:val="26"/>
        </w:rPr>
        <w:t xml:space="preserve">асстояние объекта до </w:t>
      </w:r>
      <w:r w:rsidR="00C056A9" w:rsidRPr="00C056A9">
        <w:rPr>
          <w:rFonts w:ascii="Times New Roman" w:hAnsi="Times New Roman" w:cs="Times New Roman"/>
          <w:sz w:val="26"/>
          <w:szCs w:val="26"/>
        </w:rPr>
        <w:t>историко-культурного центра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2</w:t>
      </w:r>
      <w:r w:rsidR="00141980">
        <w:rPr>
          <w:rFonts w:ascii="Times New Roman" w:hAnsi="Times New Roman" w:cs="Times New Roman"/>
          <w:sz w:val="26"/>
          <w:szCs w:val="26"/>
          <w:vertAlign w:val="subscript"/>
        </w:rPr>
        <w:t>;</w:t>
      </w:r>
    </w:p>
    <w:p w14:paraId="4D7A1152" w14:textId="69CB4012" w:rsidR="00141980" w:rsidRDefault="00141980" w:rsidP="006F6435">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xml:space="preserve">-  </w:t>
      </w:r>
      <w:r>
        <w:rPr>
          <w:rFonts w:ascii="Times New Roman" w:hAnsi="Times New Roman" w:cs="Times New Roman"/>
          <w:sz w:val="26"/>
          <w:szCs w:val="26"/>
        </w:rPr>
        <w:t>р</w:t>
      </w:r>
      <w:r w:rsidRPr="00141980">
        <w:rPr>
          <w:rFonts w:ascii="Times New Roman" w:hAnsi="Times New Roman" w:cs="Times New Roman"/>
          <w:sz w:val="26"/>
          <w:szCs w:val="26"/>
        </w:rPr>
        <w:t xml:space="preserve">асстояние объекта до </w:t>
      </w:r>
      <w:r w:rsidR="00C056A9" w:rsidRPr="00C056A9">
        <w:rPr>
          <w:rFonts w:ascii="Times New Roman" w:hAnsi="Times New Roman" w:cs="Times New Roman"/>
          <w:sz w:val="26"/>
          <w:szCs w:val="26"/>
        </w:rPr>
        <w:t>локальных центров, положительно влияющих на стоимость объекта недвижимости</w:t>
      </w:r>
      <w:r w:rsidRPr="00F562A8">
        <w:rPr>
          <w:rFonts w:ascii="Times New Roman" w:hAnsi="Times New Roman" w:cs="Times New Roman"/>
          <w:sz w:val="26"/>
          <w:szCs w:val="26"/>
        </w:rPr>
        <w:t>: Х</w:t>
      </w:r>
      <w:r>
        <w:rPr>
          <w:rFonts w:ascii="Times New Roman" w:hAnsi="Times New Roman" w:cs="Times New Roman"/>
          <w:sz w:val="26"/>
          <w:szCs w:val="26"/>
          <w:vertAlign w:val="subscript"/>
        </w:rPr>
        <w:t>3</w:t>
      </w:r>
      <w:r w:rsidR="007B0F9A">
        <w:rPr>
          <w:rFonts w:ascii="Times New Roman" w:hAnsi="Times New Roman" w:cs="Times New Roman"/>
          <w:sz w:val="26"/>
          <w:szCs w:val="26"/>
          <w:vertAlign w:val="subscript"/>
        </w:rPr>
        <w:t>;</w:t>
      </w:r>
    </w:p>
    <w:p w14:paraId="5A0709DE" w14:textId="5BDBB5FB" w:rsidR="007B0F9A" w:rsidRDefault="007B0F9A" w:rsidP="007B0F9A">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xml:space="preserve">-  </w:t>
      </w:r>
      <w:r>
        <w:rPr>
          <w:rFonts w:ascii="Times New Roman" w:hAnsi="Times New Roman" w:cs="Times New Roman"/>
          <w:sz w:val="26"/>
          <w:szCs w:val="26"/>
        </w:rPr>
        <w:t>ц</w:t>
      </w:r>
      <w:r w:rsidRPr="007B0F9A">
        <w:rPr>
          <w:rFonts w:ascii="Times New Roman" w:hAnsi="Times New Roman" w:cs="Times New Roman"/>
          <w:sz w:val="26"/>
          <w:szCs w:val="26"/>
        </w:rPr>
        <w:t>ентральная канализация</w:t>
      </w:r>
      <w:r w:rsidRPr="00F562A8">
        <w:rPr>
          <w:rFonts w:ascii="Times New Roman" w:hAnsi="Times New Roman" w:cs="Times New Roman"/>
          <w:sz w:val="26"/>
          <w:szCs w:val="26"/>
        </w:rPr>
        <w:t>: Х</w:t>
      </w:r>
      <w:r>
        <w:rPr>
          <w:rFonts w:ascii="Times New Roman" w:hAnsi="Times New Roman" w:cs="Times New Roman"/>
          <w:sz w:val="26"/>
          <w:szCs w:val="26"/>
          <w:vertAlign w:val="subscript"/>
        </w:rPr>
        <w:t>4;</w:t>
      </w:r>
    </w:p>
    <w:p w14:paraId="5B127F82" w14:textId="36134A05" w:rsidR="007B0F9A" w:rsidRDefault="007B0F9A" w:rsidP="007B0F9A">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xml:space="preserve">-  </w:t>
      </w:r>
      <w:r>
        <w:rPr>
          <w:rFonts w:ascii="Times New Roman" w:hAnsi="Times New Roman" w:cs="Times New Roman"/>
          <w:sz w:val="26"/>
          <w:szCs w:val="26"/>
        </w:rPr>
        <w:t>ц</w:t>
      </w:r>
      <w:r w:rsidRPr="007B0F9A">
        <w:rPr>
          <w:rFonts w:ascii="Times New Roman" w:hAnsi="Times New Roman" w:cs="Times New Roman"/>
          <w:sz w:val="26"/>
          <w:szCs w:val="26"/>
        </w:rPr>
        <w:t>ентральное водоснабжение</w:t>
      </w:r>
      <w:r w:rsidRPr="00F562A8">
        <w:rPr>
          <w:rFonts w:ascii="Times New Roman" w:hAnsi="Times New Roman" w:cs="Times New Roman"/>
          <w:sz w:val="26"/>
          <w:szCs w:val="26"/>
        </w:rPr>
        <w:t>: Х</w:t>
      </w:r>
      <w:r>
        <w:rPr>
          <w:rFonts w:ascii="Times New Roman" w:hAnsi="Times New Roman" w:cs="Times New Roman"/>
          <w:sz w:val="26"/>
          <w:szCs w:val="26"/>
          <w:vertAlign w:val="subscript"/>
        </w:rPr>
        <w:t>5.</w:t>
      </w:r>
    </w:p>
    <w:p w14:paraId="689F2BDC" w14:textId="1636C040"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3D62830B"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074A1AF6"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На основании отбора факторов были построены множественные регрессионные трехфакторные модели:</w:t>
      </w:r>
    </w:p>
    <w:p w14:paraId="40F8FA4D" w14:textId="77777777" w:rsidR="00306BF5" w:rsidRPr="00F562A8" w:rsidRDefault="00306BF5" w:rsidP="006F6435">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0ECCFBAC" wp14:editId="68DFA42A">
            <wp:extent cx="2209800" cy="247650"/>
            <wp:effectExtent l="0" t="0" r="0" b="0"/>
            <wp:docPr id="197" name="Рисунок 197"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2AA738E3"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66A9BF50" wp14:editId="191D5B06">
            <wp:extent cx="1352550" cy="266700"/>
            <wp:effectExtent l="0" t="0" r="0" b="0"/>
            <wp:docPr id="198" name="Рисунок 198"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6C3E18EE"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1639AB6E" wp14:editId="3D7261EB">
            <wp:extent cx="1266825" cy="266700"/>
            <wp:effectExtent l="0" t="0" r="0" b="0"/>
            <wp:docPr id="199" name="Рисунок 199"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254F52B5"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6F24A120"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6B462B61"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68234EBC" wp14:editId="2D905E63">
            <wp:extent cx="209550" cy="247650"/>
            <wp:effectExtent l="0" t="0" r="0" b="0"/>
            <wp:docPr id="200" name="Рисунок 200"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1681B882" wp14:editId="09902414">
            <wp:extent cx="200025" cy="247650"/>
            <wp:effectExtent l="0" t="0" r="9525" b="0"/>
            <wp:docPr id="201" name="Рисунок 201"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79C4C65D" wp14:editId="0CFAD958">
            <wp:extent cx="209550" cy="247650"/>
            <wp:effectExtent l="0" t="0" r="0" b="0"/>
            <wp:docPr id="202" name="Рисунок 202"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7DFB11A9" w14:textId="7BE52646" w:rsidR="00306BF5" w:rsidRPr="00F562A8" w:rsidRDefault="00A4523B" w:rsidP="006F6435">
      <w:pPr>
        <w:spacing w:after="0" w:line="276" w:lineRule="auto"/>
        <w:jc w:val="center"/>
        <w:rPr>
          <w:rFonts w:ascii="Times New Roman" w:hAnsi="Times New Roman" w:cs="Times New Roman"/>
          <w:lang w:val="en-US"/>
        </w:rPr>
      </w:pPr>
      <w:r w:rsidRPr="009F55F1">
        <w:rPr>
          <w:noProof/>
          <w:lang w:eastAsia="ru-RU"/>
        </w:rPr>
        <w:drawing>
          <wp:inline distT="0" distB="0" distL="0" distR="0" wp14:anchorId="767F581F" wp14:editId="14437B7D">
            <wp:extent cx="5939790" cy="650170"/>
            <wp:effectExtent l="0" t="0" r="381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5939790" cy="650170"/>
                    </a:xfrm>
                    <a:prstGeom prst="rect">
                      <a:avLst/>
                    </a:prstGeom>
                  </pic:spPr>
                </pic:pic>
              </a:graphicData>
            </a:graphic>
          </wp:inline>
        </w:drawing>
      </w:r>
    </w:p>
    <w:p w14:paraId="23E1701D" w14:textId="0DC2C894"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lang w:val="en-US"/>
        </w:rPr>
        <w:tab/>
      </w:r>
      <w:r w:rsidRPr="00F562A8">
        <w:rPr>
          <w:rFonts w:ascii="Times New Roman" w:hAnsi="Times New Roman" w:cs="Times New Roman"/>
          <w:sz w:val="26"/>
          <w:szCs w:val="26"/>
        </w:rPr>
        <w:t>Рис.</w:t>
      </w:r>
      <w:r w:rsidR="00917CE0" w:rsidRPr="00F562A8">
        <w:rPr>
          <w:rFonts w:ascii="Times New Roman" w:hAnsi="Times New Roman" w:cs="Times New Roman"/>
          <w:sz w:val="26"/>
          <w:szCs w:val="26"/>
        </w:rPr>
        <w:t xml:space="preserve"> </w:t>
      </w:r>
      <w:r w:rsidRPr="00F562A8">
        <w:rPr>
          <w:rFonts w:ascii="Times New Roman" w:hAnsi="Times New Roman" w:cs="Times New Roman"/>
          <w:sz w:val="26"/>
          <w:szCs w:val="26"/>
        </w:rPr>
        <w:t>3.</w:t>
      </w:r>
      <w:r w:rsidR="00917CE0" w:rsidRPr="00F562A8">
        <w:rPr>
          <w:rFonts w:ascii="Times New Roman" w:hAnsi="Times New Roman" w:cs="Times New Roman"/>
          <w:sz w:val="26"/>
          <w:szCs w:val="26"/>
        </w:rPr>
        <w:t>6.13.1</w:t>
      </w:r>
      <w:r w:rsidR="007646A7">
        <w:rPr>
          <w:rFonts w:ascii="Times New Roman" w:hAnsi="Times New Roman" w:cs="Times New Roman"/>
          <w:sz w:val="26"/>
          <w:szCs w:val="26"/>
        </w:rPr>
        <w:t>.1</w:t>
      </w:r>
      <w:r w:rsidR="00917CE0" w:rsidRPr="00F562A8">
        <w:rPr>
          <w:rFonts w:ascii="Times New Roman" w:hAnsi="Times New Roman" w:cs="Times New Roman"/>
          <w:sz w:val="26"/>
          <w:szCs w:val="26"/>
        </w:rPr>
        <w:t xml:space="preserve"> </w:t>
      </w:r>
      <w:r w:rsidRPr="00F562A8">
        <w:rPr>
          <w:rFonts w:ascii="Times New Roman" w:hAnsi="Times New Roman" w:cs="Times New Roman"/>
          <w:sz w:val="26"/>
          <w:szCs w:val="26"/>
        </w:rPr>
        <w:t>- Множественные регрессионные трехфакторные модели</w:t>
      </w:r>
    </w:p>
    <w:p w14:paraId="1A96DBC8" w14:textId="0151619E"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287A59EE"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78D8C3DE"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2EDF15A2"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3F4DB69A"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2363081D"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293B1608"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5AC8EE0C"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69612497" w14:textId="3CA20EF5" w:rsidR="00306BF5" w:rsidRPr="00F562A8" w:rsidRDefault="00A4523B" w:rsidP="003E4A6B">
      <w:pPr>
        <w:pStyle w:val="ConsPlusNormal"/>
        <w:spacing w:line="276" w:lineRule="auto"/>
        <w:jc w:val="center"/>
        <w:rPr>
          <w:rFonts w:ascii="Times New Roman" w:hAnsi="Times New Roman" w:cs="Times New Roman"/>
          <w:sz w:val="26"/>
          <w:szCs w:val="26"/>
        </w:rPr>
      </w:pPr>
      <w:r w:rsidRPr="009F55F1">
        <w:rPr>
          <w:noProof/>
        </w:rPr>
        <w:drawing>
          <wp:inline distT="0" distB="0" distL="0" distR="0" wp14:anchorId="3EC30352" wp14:editId="038E8D1F">
            <wp:extent cx="5862539" cy="1590675"/>
            <wp:effectExtent l="0" t="0" r="508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8"/>
                    <a:srcRect r="8242"/>
                    <a:stretch/>
                  </pic:blipFill>
                  <pic:spPr bwMode="auto">
                    <a:xfrm>
                      <a:off x="0" y="0"/>
                      <a:ext cx="5883121" cy="1596259"/>
                    </a:xfrm>
                    <a:prstGeom prst="rect">
                      <a:avLst/>
                    </a:prstGeom>
                    <a:ln>
                      <a:noFill/>
                    </a:ln>
                    <a:extLst>
                      <a:ext uri="{53640926-AAD7-44D8-BBD7-CCE9431645EC}">
                        <a14:shadowObscured xmlns:a14="http://schemas.microsoft.com/office/drawing/2010/main"/>
                      </a:ext>
                    </a:extLst>
                  </pic:spPr>
                </pic:pic>
              </a:graphicData>
            </a:graphic>
          </wp:inline>
        </w:drawing>
      </w:r>
    </w:p>
    <w:p w14:paraId="4EC593B7" w14:textId="771B0890" w:rsidR="00306BF5" w:rsidRPr="00F562A8" w:rsidRDefault="00306BF5" w:rsidP="006F6435">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917CE0" w:rsidRPr="00F562A8">
        <w:rPr>
          <w:rFonts w:ascii="Times New Roman" w:hAnsi="Times New Roman" w:cs="Times New Roman"/>
          <w:sz w:val="26"/>
          <w:szCs w:val="26"/>
        </w:rPr>
        <w:t xml:space="preserve"> 3.6.13.</w:t>
      </w:r>
      <w:r w:rsidR="007646A7">
        <w:rPr>
          <w:rFonts w:ascii="Times New Roman" w:hAnsi="Times New Roman" w:cs="Times New Roman"/>
          <w:sz w:val="26"/>
          <w:szCs w:val="26"/>
        </w:rPr>
        <w:t>1.</w:t>
      </w:r>
      <w:r w:rsidR="00917CE0" w:rsidRPr="00F562A8">
        <w:rPr>
          <w:rFonts w:ascii="Times New Roman" w:hAnsi="Times New Roman" w:cs="Times New Roman"/>
          <w:sz w:val="26"/>
          <w:szCs w:val="26"/>
        </w:rPr>
        <w:t xml:space="preserve">2 </w:t>
      </w:r>
      <w:r w:rsidRPr="00F562A8">
        <w:rPr>
          <w:rFonts w:ascii="Times New Roman" w:hAnsi="Times New Roman" w:cs="Times New Roman"/>
          <w:sz w:val="26"/>
          <w:szCs w:val="26"/>
        </w:rPr>
        <w:t>-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0CC0ABAD"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5686B74E"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093312AA"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075FC9BF" w14:textId="20167937" w:rsidR="00306BF5" w:rsidRPr="00F562A8" w:rsidRDefault="00A4523B" w:rsidP="006F6435">
      <w:pPr>
        <w:spacing w:after="0" w:line="276" w:lineRule="auto"/>
        <w:jc w:val="center"/>
        <w:rPr>
          <w:rFonts w:ascii="Times New Roman" w:hAnsi="Times New Roman" w:cs="Times New Roman"/>
          <w:lang w:val="en-US"/>
        </w:rPr>
      </w:pPr>
      <w:r w:rsidRPr="009F55F1">
        <w:rPr>
          <w:noProof/>
          <w:lang w:eastAsia="ru-RU"/>
        </w:rPr>
        <w:drawing>
          <wp:inline distT="0" distB="0" distL="0" distR="0" wp14:anchorId="41A6DF07" wp14:editId="39C6F0F3">
            <wp:extent cx="3115110" cy="1076475"/>
            <wp:effectExtent l="0" t="0" r="9525" b="9525"/>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3115110" cy="1076475"/>
                    </a:xfrm>
                    <a:prstGeom prst="rect">
                      <a:avLst/>
                    </a:prstGeom>
                  </pic:spPr>
                </pic:pic>
              </a:graphicData>
            </a:graphic>
          </wp:inline>
        </w:drawing>
      </w:r>
    </w:p>
    <w:p w14:paraId="00CB4A88" w14:textId="0A6D7E42" w:rsidR="00306BF5" w:rsidRPr="00F562A8" w:rsidRDefault="00306BF5" w:rsidP="001C2C58">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w:t>
      </w:r>
      <w:r w:rsidR="00917CE0" w:rsidRPr="00F562A8">
        <w:rPr>
          <w:rFonts w:ascii="Times New Roman" w:hAnsi="Times New Roman" w:cs="Times New Roman"/>
          <w:sz w:val="26"/>
          <w:szCs w:val="26"/>
        </w:rPr>
        <w:t xml:space="preserve"> 3.6.13.</w:t>
      </w:r>
      <w:r w:rsidR="007646A7">
        <w:rPr>
          <w:rFonts w:ascii="Times New Roman" w:hAnsi="Times New Roman" w:cs="Times New Roman"/>
          <w:sz w:val="26"/>
          <w:szCs w:val="26"/>
        </w:rPr>
        <w:t>1.</w:t>
      </w:r>
      <w:r w:rsidR="00917CE0" w:rsidRPr="00F562A8">
        <w:rPr>
          <w:rFonts w:ascii="Times New Roman" w:hAnsi="Times New Roman" w:cs="Times New Roman"/>
          <w:sz w:val="26"/>
          <w:szCs w:val="26"/>
        </w:rPr>
        <w:t xml:space="preserve">3 </w:t>
      </w:r>
      <w:r w:rsidRPr="00F562A8">
        <w:rPr>
          <w:rFonts w:ascii="Times New Roman" w:hAnsi="Times New Roman" w:cs="Times New Roman"/>
          <w:sz w:val="26"/>
          <w:szCs w:val="26"/>
        </w:rPr>
        <w:t>- Значения F-критерия Фишера</w:t>
      </w:r>
    </w:p>
    <w:p w14:paraId="11F6E1FB" w14:textId="77777777" w:rsidR="00306BF5" w:rsidRPr="00F562A8" w:rsidRDefault="00306BF5" w:rsidP="006F6435">
      <w:pPr>
        <w:spacing w:after="0" w:line="276"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все три модели адекватно описывают статистические данные и их можно использовать для анализа и прогнозирования кадастровой стоимости (результативного признака). </w:t>
      </w:r>
    </w:p>
    <w:p w14:paraId="474811DB"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Наибольшее значение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имеет аддитивная модель, однако было учтено то, что она построена на основании ограниченной выборочной совокупности и адекватна на ограниченных интервалах независимых переменных. При расширении исходных данных прогнозное значение кадастровой стоимости может перейти в отрицательную область, что противоречит ее смыслу. Исходя из этого, для прогнозирования рационально выбрать экспоненциальную модель, которая всегда дает положительный прогноз. Экспоненциальная регрессионная модель имеет вид:</w:t>
      </w:r>
    </w:p>
    <w:p w14:paraId="7A9576CC" w14:textId="0F62FC28" w:rsidR="003E4A6B" w:rsidRDefault="00306BF5" w:rsidP="005300DA">
      <w:pPr>
        <w:ind w:firstLine="709"/>
        <w:jc w:val="both"/>
      </w:pPr>
      <w:r w:rsidRPr="00F562A8">
        <w:rPr>
          <w:rFonts w:ascii="Times New Roman" w:hAnsi="Times New Roman" w:cs="Times New Roman"/>
          <w:i/>
          <w:sz w:val="26"/>
          <w:szCs w:val="26"/>
        </w:rPr>
        <w:t xml:space="preserve">УПКС = </w:t>
      </w:r>
      <w:r w:rsidR="005300DA" w:rsidRPr="005300DA">
        <w:rPr>
          <w:rFonts w:ascii="Times New Roman" w:hAnsi="Times New Roman" w:cs="Times New Roman"/>
          <w:i/>
          <w:sz w:val="26"/>
          <w:szCs w:val="26"/>
        </w:rPr>
        <w:t xml:space="preserve">184.561045127147*e^(+0.00115636412795525*((1861.614+-1631.494-гнп Расстояние до  </w:t>
      </w:r>
      <w:bookmarkStart w:id="295" w:name="_Hlk106533314"/>
      <w:r w:rsidR="005300DA" w:rsidRPr="005300DA">
        <w:rPr>
          <w:rFonts w:ascii="Times New Roman" w:hAnsi="Times New Roman" w:cs="Times New Roman"/>
          <w:i/>
          <w:sz w:val="26"/>
          <w:szCs w:val="26"/>
        </w:rPr>
        <w:t>ближайшей автомобильной дороги населенного пункта</w:t>
      </w:r>
      <w:bookmarkEnd w:id="295"/>
      <w:r w:rsidR="005300DA" w:rsidRPr="005300DA">
        <w:rPr>
          <w:rFonts w:ascii="Times New Roman" w:hAnsi="Times New Roman" w:cs="Times New Roman"/>
          <w:i/>
          <w:sz w:val="26"/>
          <w:szCs w:val="26"/>
        </w:rPr>
        <w:t xml:space="preserve">))+0.0000862182120502679*((6781.364+-2815.188-гнп Расстояние до </w:t>
      </w:r>
      <w:bookmarkStart w:id="296" w:name="_Hlk106533334"/>
      <w:r w:rsidR="005300DA" w:rsidRPr="005300DA">
        <w:rPr>
          <w:rFonts w:ascii="Times New Roman" w:hAnsi="Times New Roman" w:cs="Times New Roman"/>
          <w:i/>
          <w:sz w:val="26"/>
          <w:szCs w:val="26"/>
        </w:rPr>
        <w:t>остановок общественного транспорта</w:t>
      </w:r>
      <w:bookmarkEnd w:id="296"/>
      <w:r w:rsidR="005300DA" w:rsidRPr="005300DA">
        <w:rPr>
          <w:rFonts w:ascii="Times New Roman" w:hAnsi="Times New Roman" w:cs="Times New Roman"/>
          <w:i/>
          <w:sz w:val="26"/>
          <w:szCs w:val="26"/>
        </w:rPr>
        <w:t>))</w:t>
      </w:r>
      <w:r w:rsidR="005300DA">
        <w:rPr>
          <w:rFonts w:ascii="Times New Roman" w:hAnsi="Times New Roman" w:cs="Times New Roman"/>
          <w:i/>
          <w:sz w:val="26"/>
          <w:szCs w:val="26"/>
        </w:rPr>
        <w:t xml:space="preserve"> </w:t>
      </w:r>
      <w:r w:rsidR="005300DA" w:rsidRPr="005300DA">
        <w:rPr>
          <w:rFonts w:ascii="Times New Roman" w:hAnsi="Times New Roman" w:cs="Times New Roman"/>
          <w:i/>
          <w:sz w:val="26"/>
          <w:szCs w:val="26"/>
        </w:rPr>
        <w:t>+0.0000288468457364472</w:t>
      </w:r>
      <w:r w:rsidR="005300DA">
        <w:rPr>
          <w:rFonts w:ascii="Times New Roman" w:hAnsi="Times New Roman" w:cs="Times New Roman"/>
          <w:i/>
          <w:sz w:val="26"/>
          <w:szCs w:val="26"/>
        </w:rPr>
        <w:t xml:space="preserve"> </w:t>
      </w:r>
      <w:r w:rsidR="005300DA" w:rsidRPr="005300DA">
        <w:rPr>
          <w:rFonts w:ascii="Times New Roman" w:hAnsi="Times New Roman" w:cs="Times New Roman"/>
          <w:i/>
          <w:sz w:val="26"/>
          <w:szCs w:val="26"/>
        </w:rPr>
        <w:t xml:space="preserve">*((32205.147+42.2140000000009-гнп Расстояние объекта до </w:t>
      </w:r>
      <w:bookmarkStart w:id="297" w:name="_Hlk106533347"/>
      <w:r w:rsidR="005300DA" w:rsidRPr="005300DA">
        <w:rPr>
          <w:rFonts w:ascii="Times New Roman" w:hAnsi="Times New Roman" w:cs="Times New Roman"/>
          <w:i/>
          <w:sz w:val="26"/>
          <w:szCs w:val="26"/>
        </w:rPr>
        <w:t>историко-культурного центра</w:t>
      </w:r>
      <w:bookmarkEnd w:id="297"/>
      <w:r w:rsidR="005300DA" w:rsidRPr="005300DA">
        <w:rPr>
          <w:rFonts w:ascii="Times New Roman" w:hAnsi="Times New Roman" w:cs="Times New Roman"/>
          <w:i/>
          <w:sz w:val="26"/>
          <w:szCs w:val="26"/>
        </w:rPr>
        <w:t xml:space="preserve">))+0.0000130370833016261*((28051.481+-22.4510000000009-гнп Расстояние объекта до </w:t>
      </w:r>
      <w:bookmarkStart w:id="298" w:name="_Hlk106533366"/>
      <w:r w:rsidR="005300DA" w:rsidRPr="005300DA">
        <w:rPr>
          <w:rFonts w:ascii="Times New Roman" w:hAnsi="Times New Roman" w:cs="Times New Roman"/>
          <w:i/>
          <w:sz w:val="26"/>
          <w:szCs w:val="26"/>
        </w:rPr>
        <w:t>локальных центров, положительно влияющих на стоимость объекта недвижимости</w:t>
      </w:r>
      <w:bookmarkEnd w:id="298"/>
      <w:r w:rsidR="005300DA" w:rsidRPr="005300DA">
        <w:rPr>
          <w:rFonts w:ascii="Times New Roman" w:hAnsi="Times New Roman" w:cs="Times New Roman"/>
          <w:i/>
          <w:sz w:val="26"/>
          <w:szCs w:val="26"/>
        </w:rPr>
        <w:t>))+0.533409350442169*([гнп Центральная канализация])</w:t>
      </w:r>
      <w:r w:rsidR="005300DA">
        <w:rPr>
          <w:rFonts w:ascii="Times New Roman" w:hAnsi="Times New Roman" w:cs="Times New Roman"/>
          <w:i/>
          <w:sz w:val="26"/>
          <w:szCs w:val="26"/>
        </w:rPr>
        <w:t xml:space="preserve"> </w:t>
      </w:r>
      <w:r w:rsidR="005300DA" w:rsidRPr="005300DA">
        <w:rPr>
          <w:rFonts w:ascii="Times New Roman" w:hAnsi="Times New Roman" w:cs="Times New Roman"/>
          <w:i/>
          <w:sz w:val="26"/>
          <w:szCs w:val="26"/>
        </w:rPr>
        <w:t>+0.178819877255713*([гнп Центральное водоснабжение]))</w:t>
      </w:r>
    </w:p>
    <w:p w14:paraId="27947384" w14:textId="523AC012" w:rsidR="00306BF5" w:rsidRPr="00F562A8" w:rsidRDefault="0015617A" w:rsidP="003E4A6B">
      <w:pPr>
        <w:spacing w:after="0" w:line="276" w:lineRule="auto"/>
        <w:jc w:val="both"/>
        <w:rPr>
          <w:rFonts w:ascii="Times New Roman" w:hAnsi="Times New Roman" w:cs="Times New Roman"/>
          <w:i/>
          <w:szCs w:val="24"/>
        </w:rPr>
      </w:pPr>
      <w:r w:rsidRPr="009F55F1">
        <w:rPr>
          <w:noProof/>
          <w:lang w:eastAsia="ru-RU"/>
        </w:rPr>
        <w:drawing>
          <wp:inline distT="0" distB="0" distL="0" distR="0" wp14:anchorId="2908E058" wp14:editId="7E6A61E6">
            <wp:extent cx="5939790" cy="4341666"/>
            <wp:effectExtent l="0" t="0" r="3810" b="1905"/>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5939790" cy="4341666"/>
                    </a:xfrm>
                    <a:prstGeom prst="rect">
                      <a:avLst/>
                    </a:prstGeom>
                  </pic:spPr>
                </pic:pic>
              </a:graphicData>
            </a:graphic>
          </wp:inline>
        </w:drawing>
      </w:r>
    </w:p>
    <w:p w14:paraId="05205444" w14:textId="53F4A5BC"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917CE0" w:rsidRPr="00F562A8">
        <w:rPr>
          <w:rFonts w:ascii="Times New Roman" w:hAnsi="Times New Roman" w:cs="Times New Roman"/>
          <w:sz w:val="26"/>
          <w:szCs w:val="26"/>
        </w:rPr>
        <w:t xml:space="preserve"> 3.6.13.</w:t>
      </w:r>
      <w:r w:rsidR="007646A7">
        <w:rPr>
          <w:rFonts w:ascii="Times New Roman" w:hAnsi="Times New Roman" w:cs="Times New Roman"/>
          <w:sz w:val="26"/>
          <w:szCs w:val="26"/>
        </w:rPr>
        <w:t>1.</w:t>
      </w:r>
      <w:r w:rsidR="00917CE0" w:rsidRPr="00F562A8">
        <w:rPr>
          <w:rFonts w:ascii="Times New Roman" w:hAnsi="Times New Roman" w:cs="Times New Roman"/>
          <w:sz w:val="26"/>
          <w:szCs w:val="26"/>
        </w:rPr>
        <w:t xml:space="preserve">4 </w:t>
      </w:r>
      <w:r w:rsidRPr="00F562A8">
        <w:rPr>
          <w:rFonts w:ascii="Times New Roman" w:hAnsi="Times New Roman" w:cs="Times New Roman"/>
          <w:sz w:val="26"/>
          <w:szCs w:val="26"/>
        </w:rPr>
        <w:t>- Характеристика экспоненциальной модели и анализ качества выборки</w:t>
      </w:r>
    </w:p>
    <w:p w14:paraId="444D68DA" w14:textId="171ECE6A"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Как видно из статистических показателей, представленных выше, все коэффициенты регрессионной модели значимые. </w:t>
      </w:r>
      <w:r w:rsidR="00705078" w:rsidRPr="00F562A8">
        <w:rPr>
          <w:rFonts w:ascii="Times New Roman" w:hAnsi="Times New Roman" w:cs="Times New Roman"/>
          <w:sz w:val="26"/>
          <w:szCs w:val="26"/>
        </w:rPr>
        <w:t>Связь между фактор</w:t>
      </w:r>
      <w:r w:rsidR="000079B2">
        <w:rPr>
          <w:rFonts w:ascii="Times New Roman" w:hAnsi="Times New Roman" w:cs="Times New Roman"/>
          <w:sz w:val="26"/>
          <w:szCs w:val="26"/>
        </w:rPr>
        <w:t>а</w:t>
      </w:r>
      <w:r w:rsidR="00705078" w:rsidRPr="00F562A8">
        <w:rPr>
          <w:rFonts w:ascii="Times New Roman" w:hAnsi="Times New Roman" w:cs="Times New Roman"/>
          <w:sz w:val="26"/>
          <w:szCs w:val="26"/>
        </w:rPr>
        <w:t>м</w:t>
      </w:r>
      <w:r w:rsidR="000079B2">
        <w:rPr>
          <w:rFonts w:ascii="Times New Roman" w:hAnsi="Times New Roman" w:cs="Times New Roman"/>
          <w:sz w:val="26"/>
          <w:szCs w:val="26"/>
        </w:rPr>
        <w:t>и</w:t>
      </w:r>
      <w:r w:rsidR="00705078" w:rsidRPr="00F562A8">
        <w:rPr>
          <w:rFonts w:ascii="Times New Roman" w:hAnsi="Times New Roman" w:cs="Times New Roman"/>
          <w:sz w:val="26"/>
          <w:szCs w:val="26"/>
        </w:rPr>
        <w:t xml:space="preserve"> и кадастровой стоимостью </w:t>
      </w:r>
      <w:r w:rsidR="000079B2">
        <w:rPr>
          <w:rFonts w:ascii="Times New Roman" w:hAnsi="Times New Roman" w:cs="Times New Roman"/>
          <w:sz w:val="26"/>
          <w:szCs w:val="26"/>
        </w:rPr>
        <w:t>обратная</w:t>
      </w:r>
      <w:r w:rsidR="00705078" w:rsidRPr="00F562A8">
        <w:rPr>
          <w:rFonts w:ascii="Times New Roman" w:hAnsi="Times New Roman" w:cs="Times New Roman"/>
          <w:sz w:val="26"/>
          <w:szCs w:val="26"/>
        </w:rPr>
        <w:t xml:space="preserve">, то есть при росте этого фактора кадастровая стоимость уменьшается. Малые значения средней ошибки аппроксимации и среднеквадратической ошибки оценки свидетельствует о высокой точности прогноза по построенной модели. </w:t>
      </w:r>
      <w:r w:rsidRPr="00F562A8">
        <w:rPr>
          <w:rFonts w:ascii="Times New Roman" w:hAnsi="Times New Roman" w:cs="Times New Roman"/>
          <w:sz w:val="26"/>
          <w:szCs w:val="26"/>
        </w:rPr>
        <w:t>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799C7597" w14:textId="78B5A429" w:rsidR="00326CD1" w:rsidRDefault="00153B5F" w:rsidP="006F6435">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5999AA4F" w14:textId="663F31C7" w:rsidR="001C2C58" w:rsidRDefault="001C2C58" w:rsidP="006F6435">
      <w:pPr>
        <w:spacing w:after="0" w:line="276" w:lineRule="auto"/>
        <w:ind w:firstLine="709"/>
        <w:jc w:val="both"/>
        <w:rPr>
          <w:rFonts w:ascii="Times New Roman" w:eastAsiaTheme="minorEastAsia" w:hAnsi="Times New Roman" w:cs="Times New Roman"/>
          <w:sz w:val="26"/>
          <w:szCs w:val="26"/>
        </w:rPr>
      </w:pPr>
    </w:p>
    <w:p w14:paraId="5418871B" w14:textId="551482AD" w:rsidR="00D22BB8" w:rsidRDefault="00D22BB8" w:rsidP="006F6435">
      <w:pPr>
        <w:spacing w:after="0" w:line="276" w:lineRule="auto"/>
        <w:ind w:firstLine="709"/>
        <w:jc w:val="both"/>
        <w:rPr>
          <w:rFonts w:ascii="Times New Roman" w:eastAsiaTheme="minorEastAsia" w:hAnsi="Times New Roman" w:cs="Times New Roman"/>
          <w:sz w:val="26"/>
          <w:szCs w:val="26"/>
        </w:rPr>
      </w:pPr>
    </w:p>
    <w:p w14:paraId="0EE6057C" w14:textId="296D2956" w:rsidR="00B422FF" w:rsidRDefault="00B422FF" w:rsidP="006F6435">
      <w:pPr>
        <w:spacing w:after="0" w:line="276" w:lineRule="auto"/>
        <w:ind w:firstLine="709"/>
        <w:jc w:val="both"/>
        <w:rPr>
          <w:rFonts w:ascii="Times New Roman" w:eastAsiaTheme="minorEastAsia" w:hAnsi="Times New Roman" w:cs="Times New Roman"/>
          <w:sz w:val="26"/>
          <w:szCs w:val="26"/>
        </w:rPr>
      </w:pPr>
    </w:p>
    <w:p w14:paraId="5BD78010" w14:textId="51FC9207" w:rsidR="00B422FF" w:rsidRDefault="00B422FF" w:rsidP="006F6435">
      <w:pPr>
        <w:spacing w:after="0" w:line="276" w:lineRule="auto"/>
        <w:ind w:firstLine="709"/>
        <w:jc w:val="both"/>
        <w:rPr>
          <w:rFonts w:ascii="Times New Roman" w:eastAsiaTheme="minorEastAsia" w:hAnsi="Times New Roman" w:cs="Times New Roman"/>
          <w:sz w:val="26"/>
          <w:szCs w:val="26"/>
        </w:rPr>
      </w:pPr>
    </w:p>
    <w:p w14:paraId="617B0330" w14:textId="3DF92069" w:rsidR="00B422FF" w:rsidRDefault="00B422FF" w:rsidP="006F6435">
      <w:pPr>
        <w:spacing w:after="0" w:line="276" w:lineRule="auto"/>
        <w:ind w:firstLine="709"/>
        <w:jc w:val="both"/>
        <w:rPr>
          <w:rFonts w:ascii="Times New Roman" w:eastAsiaTheme="minorEastAsia" w:hAnsi="Times New Roman" w:cs="Times New Roman"/>
          <w:sz w:val="26"/>
          <w:szCs w:val="26"/>
        </w:rPr>
      </w:pPr>
    </w:p>
    <w:p w14:paraId="195D2654" w14:textId="4492AF25" w:rsidR="00B422FF" w:rsidRDefault="00B422FF" w:rsidP="006F6435">
      <w:pPr>
        <w:spacing w:after="0" w:line="276" w:lineRule="auto"/>
        <w:ind w:firstLine="709"/>
        <w:jc w:val="both"/>
        <w:rPr>
          <w:rFonts w:ascii="Times New Roman" w:eastAsiaTheme="minorEastAsia" w:hAnsi="Times New Roman" w:cs="Times New Roman"/>
          <w:sz w:val="26"/>
          <w:szCs w:val="26"/>
        </w:rPr>
      </w:pPr>
    </w:p>
    <w:p w14:paraId="4A55F150" w14:textId="44723226" w:rsidR="00B422FF" w:rsidRDefault="00B422FF" w:rsidP="006F6435">
      <w:pPr>
        <w:spacing w:after="0" w:line="276" w:lineRule="auto"/>
        <w:ind w:firstLine="709"/>
        <w:jc w:val="both"/>
        <w:rPr>
          <w:rFonts w:ascii="Times New Roman" w:eastAsiaTheme="minorEastAsia" w:hAnsi="Times New Roman" w:cs="Times New Roman"/>
          <w:sz w:val="26"/>
          <w:szCs w:val="26"/>
        </w:rPr>
      </w:pPr>
    </w:p>
    <w:p w14:paraId="6BFABC29" w14:textId="61ECD155" w:rsidR="00B422FF" w:rsidRDefault="00B422FF" w:rsidP="006F6435">
      <w:pPr>
        <w:spacing w:after="0" w:line="276" w:lineRule="auto"/>
        <w:ind w:firstLine="709"/>
        <w:jc w:val="both"/>
        <w:rPr>
          <w:rFonts w:ascii="Times New Roman" w:eastAsiaTheme="minorEastAsia" w:hAnsi="Times New Roman" w:cs="Times New Roman"/>
          <w:sz w:val="26"/>
          <w:szCs w:val="26"/>
        </w:rPr>
      </w:pPr>
    </w:p>
    <w:p w14:paraId="55279866" w14:textId="77777777" w:rsidR="00B422FF" w:rsidRDefault="00B422FF" w:rsidP="006F6435">
      <w:pPr>
        <w:spacing w:after="0" w:line="276" w:lineRule="auto"/>
        <w:ind w:firstLine="709"/>
        <w:jc w:val="both"/>
        <w:rPr>
          <w:rFonts w:ascii="Times New Roman" w:eastAsiaTheme="minorEastAsia" w:hAnsi="Times New Roman" w:cs="Times New Roman"/>
          <w:sz w:val="26"/>
          <w:szCs w:val="26"/>
        </w:rPr>
      </w:pPr>
    </w:p>
    <w:p w14:paraId="1D510802" w14:textId="708277F0" w:rsidR="00306BF5" w:rsidRPr="00DE636F" w:rsidRDefault="00FE2D52" w:rsidP="002D4BEA">
      <w:pPr>
        <w:pStyle w:val="ab"/>
        <w:ind w:left="0"/>
        <w:jc w:val="center"/>
        <w:outlineLvl w:val="2"/>
        <w:rPr>
          <w:rFonts w:ascii="Times New Roman" w:hAnsi="Times New Roman" w:cs="Times New Roman"/>
          <w:i/>
          <w:sz w:val="26"/>
          <w:szCs w:val="26"/>
        </w:rPr>
      </w:pPr>
      <w:bookmarkStart w:id="299" w:name="_Toc110507026"/>
      <w:r w:rsidRPr="00DC7772">
        <w:rPr>
          <w:rFonts w:ascii="Times New Roman" w:hAnsi="Times New Roman" w:cs="Times New Roman"/>
          <w:i/>
          <w:sz w:val="26"/>
          <w:szCs w:val="26"/>
        </w:rPr>
        <w:t>3.6.13.</w:t>
      </w:r>
      <w:r w:rsidR="00504BC2" w:rsidRPr="00DC7772">
        <w:rPr>
          <w:rFonts w:ascii="Times New Roman" w:hAnsi="Times New Roman" w:cs="Times New Roman"/>
          <w:i/>
          <w:sz w:val="26"/>
          <w:szCs w:val="26"/>
        </w:rPr>
        <w:t>2</w:t>
      </w:r>
      <w:r w:rsidRPr="00DC7772">
        <w:rPr>
          <w:rFonts w:ascii="Times New Roman" w:hAnsi="Times New Roman" w:cs="Times New Roman"/>
          <w:i/>
          <w:sz w:val="26"/>
          <w:szCs w:val="26"/>
        </w:rPr>
        <w:t>.</w:t>
      </w:r>
      <w:r w:rsidRPr="00F562A8">
        <w:rPr>
          <w:rFonts w:ascii="Times New Roman" w:hAnsi="Times New Roman" w:cs="Times New Roman"/>
          <w:i/>
          <w:sz w:val="26"/>
          <w:szCs w:val="26"/>
        </w:rPr>
        <w:t xml:space="preserve"> </w:t>
      </w:r>
      <w:r w:rsidR="00306BF5" w:rsidRPr="00DE636F">
        <w:rPr>
          <w:rFonts w:ascii="Times New Roman" w:hAnsi="Times New Roman" w:cs="Times New Roman"/>
          <w:i/>
          <w:sz w:val="26"/>
          <w:szCs w:val="26"/>
        </w:rPr>
        <w:t xml:space="preserve">Расчет кадастровой стоимости земельных участков группы </w:t>
      </w:r>
      <w:r w:rsidR="005D5311" w:rsidRPr="00DE636F">
        <w:rPr>
          <w:rFonts w:ascii="Times New Roman" w:hAnsi="Times New Roman" w:cs="Times New Roman"/>
          <w:i/>
          <w:sz w:val="26"/>
          <w:szCs w:val="26"/>
        </w:rPr>
        <w:t>ИЖС/</w:t>
      </w:r>
      <w:r w:rsidR="005E03AC" w:rsidRPr="00DE636F">
        <w:rPr>
          <w:rFonts w:ascii="Times New Roman" w:hAnsi="Times New Roman" w:cs="Times New Roman"/>
          <w:i/>
          <w:sz w:val="26"/>
          <w:szCs w:val="26"/>
        </w:rPr>
        <w:t xml:space="preserve">6 </w:t>
      </w:r>
      <w:r w:rsidR="00BD2FB9" w:rsidRPr="00DE636F">
        <w:rPr>
          <w:rFonts w:ascii="Times New Roman" w:hAnsi="Times New Roman" w:cs="Times New Roman"/>
          <w:i/>
          <w:sz w:val="26"/>
          <w:szCs w:val="26"/>
        </w:rPr>
        <w:t>ГНП</w:t>
      </w:r>
      <w:bookmarkEnd w:id="299"/>
      <w:r w:rsidR="00BD2FB9" w:rsidRPr="00DE636F">
        <w:rPr>
          <w:rFonts w:ascii="Times New Roman" w:hAnsi="Times New Roman" w:cs="Times New Roman"/>
          <w:i/>
          <w:sz w:val="26"/>
          <w:szCs w:val="26"/>
        </w:rPr>
        <w:t xml:space="preserve"> </w:t>
      </w:r>
    </w:p>
    <w:p w14:paraId="0DE49BBD" w14:textId="50F1426C" w:rsidR="002D0712" w:rsidRPr="00DE636F" w:rsidRDefault="002D0712" w:rsidP="006F6435">
      <w:pPr>
        <w:spacing w:after="0" w:line="276" w:lineRule="auto"/>
        <w:ind w:firstLine="709"/>
        <w:jc w:val="both"/>
        <w:rPr>
          <w:rFonts w:ascii="Times New Roman" w:eastAsiaTheme="minorEastAsia" w:hAnsi="Times New Roman" w:cs="Times New Roman"/>
          <w:sz w:val="26"/>
          <w:szCs w:val="26"/>
        </w:rPr>
      </w:pPr>
      <w:r w:rsidRPr="00DE636F">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41299013" w14:textId="21F2D718" w:rsidR="00504BC2" w:rsidRDefault="00504BC2" w:rsidP="00504BC2">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В со</w:t>
      </w:r>
      <w:r w:rsidRPr="007B32AA">
        <w:rPr>
          <w:rFonts w:ascii="Times New Roman" w:hAnsi="Times New Roman" w:cs="Times New Roman"/>
          <w:sz w:val="26"/>
          <w:szCs w:val="26"/>
        </w:rPr>
        <w:t xml:space="preserve">став группы </w:t>
      </w:r>
      <w:r w:rsidRPr="00E41814">
        <w:rPr>
          <w:rFonts w:ascii="Times New Roman" w:hAnsi="Times New Roman" w:cs="Times New Roman"/>
          <w:sz w:val="26"/>
          <w:szCs w:val="26"/>
        </w:rPr>
        <w:t>ИЖС/</w:t>
      </w:r>
      <w:r w:rsidRPr="00DE636F">
        <w:rPr>
          <w:rFonts w:ascii="Times New Roman" w:hAnsi="Times New Roman" w:cs="Times New Roman"/>
          <w:sz w:val="26"/>
          <w:szCs w:val="26"/>
        </w:rPr>
        <w:t>6 ГНП</w:t>
      </w:r>
      <w:r w:rsidRPr="007B32AA">
        <w:rPr>
          <w:rFonts w:ascii="Times New Roman" w:hAnsi="Times New Roman" w:cs="Times New Roman"/>
          <w:sz w:val="26"/>
          <w:szCs w:val="26"/>
        </w:rPr>
        <w:t xml:space="preserve"> вошли следующие</w:t>
      </w:r>
      <w:r w:rsidRPr="00A50F7F">
        <w:rPr>
          <w:rFonts w:ascii="Times New Roman" w:hAnsi="Times New Roman" w:cs="Times New Roman"/>
          <w:bCs/>
          <w:sz w:val="26"/>
          <w:szCs w:val="26"/>
        </w:rPr>
        <w:t xml:space="preserve"> коды расчета видов использования:</w:t>
      </w:r>
      <w:r w:rsidRPr="007B32AA">
        <w:t xml:space="preserve"> </w:t>
      </w:r>
      <w:r w:rsidRPr="00504BC2">
        <w:rPr>
          <w:rFonts w:ascii="Times New Roman" w:hAnsi="Times New Roman" w:cs="Times New Roman"/>
          <w:bCs/>
          <w:sz w:val="26"/>
          <w:szCs w:val="26"/>
        </w:rPr>
        <w:t>13:000, 02:010, 02:011, 02:013, 02:014, 02:020, 02:021, 02:030, 02:031</w:t>
      </w:r>
      <w:r>
        <w:rPr>
          <w:rFonts w:ascii="Times New Roman" w:hAnsi="Times New Roman" w:cs="Times New Roman"/>
          <w:bCs/>
          <w:sz w:val="26"/>
          <w:szCs w:val="26"/>
        </w:rPr>
        <w:t>.</w:t>
      </w:r>
    </w:p>
    <w:p w14:paraId="57A85620" w14:textId="584038AF" w:rsidR="00306BF5" w:rsidRPr="00DE636F" w:rsidRDefault="00306BF5" w:rsidP="006F6435">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xml:space="preserve">При расчете кадастровой стоимости земельных участков группы </w:t>
      </w:r>
      <w:r w:rsidR="005D5311" w:rsidRPr="00DE636F">
        <w:rPr>
          <w:rFonts w:ascii="Times New Roman" w:hAnsi="Times New Roman" w:cs="Times New Roman"/>
          <w:sz w:val="26"/>
          <w:szCs w:val="26"/>
        </w:rPr>
        <w:t>ИЖС/</w:t>
      </w:r>
      <w:r w:rsidR="00963254" w:rsidRPr="00DE636F">
        <w:rPr>
          <w:rFonts w:ascii="Times New Roman" w:hAnsi="Times New Roman" w:cs="Times New Roman"/>
          <w:sz w:val="26"/>
          <w:szCs w:val="26"/>
        </w:rPr>
        <w:t>6 ГНП</w:t>
      </w:r>
      <w:r w:rsidR="00963254" w:rsidRPr="00DE636F">
        <w:rPr>
          <w:rFonts w:ascii="Times New Roman" w:hAnsi="Times New Roman" w:cs="Times New Roman"/>
          <w:i/>
          <w:sz w:val="26"/>
          <w:szCs w:val="26"/>
        </w:rPr>
        <w:t xml:space="preserve">  </w:t>
      </w:r>
      <w:r w:rsidRPr="00DE636F">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6FFCFFA2" w14:textId="7EFB71D5" w:rsidR="00306BF5" w:rsidRPr="00DE636F" w:rsidRDefault="00F77023" w:rsidP="006F6435">
      <w:pPr>
        <w:pStyle w:val="ConsPlusNormal"/>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Согласно п.45.1.1 Указаний</w:t>
      </w:r>
      <w:r w:rsidR="00306BF5" w:rsidRPr="00DE636F">
        <w:rPr>
          <w:rFonts w:ascii="Times New Roman" w:hAnsi="Times New Roman" w:cs="Times New Roman"/>
          <w:sz w:val="26"/>
          <w:szCs w:val="26"/>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57E7ED46"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Порядок подготовки и построения модели оценки кадастровой стоимости включает:</w:t>
      </w:r>
    </w:p>
    <w:p w14:paraId="77868758"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7F0330E7"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38780A86"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70389337"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45748B55"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5) анализ показателей качества статистической модели.</w:t>
      </w:r>
    </w:p>
    <w:p w14:paraId="3B7A6245" w14:textId="77777777" w:rsidR="001B4C5B" w:rsidRPr="00DE636F" w:rsidRDefault="001B4C5B" w:rsidP="009E0501">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Рынок недвижимости в городских населенных пунктах отличается от рынка недвижимости в сельских населенных пунктах существенным образом. В некрупных городах, поселках и селах предложение и спрос на недвижимость недостаточно объемен, или практически отсутствует. Это объясняется тем, что рынок недвижимости является своеобразным индикатором деловой активности в населенных пунктах. В соответствии с различиями в уровне социально-экономического развития населенных пунктов региона может различаться и степень развитости локальных рынков недвижимости.</w:t>
      </w:r>
    </w:p>
    <w:p w14:paraId="39D50054" w14:textId="3A803603" w:rsidR="001B4C5B" w:rsidRPr="00DE636F" w:rsidRDefault="001B4C5B" w:rsidP="009E0501">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По этой причине, в данной модели взят фактор Х</w:t>
      </w:r>
      <w:r w:rsidRPr="00DE636F">
        <w:rPr>
          <w:rFonts w:ascii="Times New Roman" w:hAnsi="Times New Roman" w:cs="Times New Roman"/>
          <w:sz w:val="26"/>
          <w:szCs w:val="26"/>
          <w:vertAlign w:val="subscript"/>
        </w:rPr>
        <w:t xml:space="preserve">0 </w:t>
      </w:r>
      <w:r w:rsidRPr="00DE636F">
        <w:rPr>
          <w:rFonts w:ascii="Times New Roman" w:hAnsi="Times New Roman" w:cs="Times New Roman"/>
          <w:sz w:val="26"/>
          <w:szCs w:val="26"/>
        </w:rPr>
        <w:t xml:space="preserve">«Наименование </w:t>
      </w:r>
      <w:r w:rsidR="00250300">
        <w:rPr>
          <w:rFonts w:ascii="Times New Roman" w:hAnsi="Times New Roman" w:cs="Times New Roman"/>
          <w:sz w:val="26"/>
          <w:szCs w:val="26"/>
        </w:rPr>
        <w:t>района</w:t>
      </w:r>
      <w:r w:rsidRPr="00DE636F">
        <w:rPr>
          <w:rFonts w:ascii="Times New Roman" w:hAnsi="Times New Roman" w:cs="Times New Roman"/>
          <w:sz w:val="26"/>
          <w:szCs w:val="26"/>
        </w:rPr>
        <w:t>», объединяющий населенные пункты Воронежской области, по степени социально-экономических показателей (по данным территориального органа Федеральной службы государственной статистики).</w:t>
      </w:r>
    </w:p>
    <w:p w14:paraId="4400F1A1" w14:textId="77777777" w:rsidR="00B422FF" w:rsidRDefault="00306BF5" w:rsidP="00B422FF">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xml:space="preserve">Для расчета кадастровой стоимости земельных участков, расположенных в 6 </w:t>
      </w:r>
      <w:r w:rsidR="001E0A67" w:rsidRPr="00DE636F">
        <w:rPr>
          <w:rFonts w:ascii="Times New Roman" w:hAnsi="Times New Roman" w:cs="Times New Roman"/>
          <w:sz w:val="26"/>
          <w:szCs w:val="26"/>
        </w:rPr>
        <w:t xml:space="preserve">городских </w:t>
      </w:r>
      <w:r w:rsidRPr="00DE636F">
        <w:rPr>
          <w:rFonts w:ascii="Times New Roman" w:hAnsi="Times New Roman" w:cs="Times New Roman"/>
          <w:sz w:val="26"/>
          <w:szCs w:val="26"/>
        </w:rPr>
        <w:t>населенных пунктах Воронежской области, с численностью населения выше 30000 человек: г.</w:t>
      </w:r>
      <w:r w:rsidR="001E0A67" w:rsidRPr="00DE636F">
        <w:rPr>
          <w:rFonts w:ascii="Times New Roman" w:hAnsi="Times New Roman" w:cs="Times New Roman"/>
          <w:sz w:val="26"/>
          <w:szCs w:val="26"/>
        </w:rPr>
        <w:t xml:space="preserve"> </w:t>
      </w:r>
      <w:r w:rsidRPr="00DE636F">
        <w:rPr>
          <w:rFonts w:ascii="Times New Roman" w:hAnsi="Times New Roman" w:cs="Times New Roman"/>
          <w:sz w:val="26"/>
          <w:szCs w:val="26"/>
        </w:rPr>
        <w:t>Борисоглебск, г. Россошь, г. Лиски, г.</w:t>
      </w:r>
      <w:r w:rsidR="001E0A67" w:rsidRPr="00DE636F">
        <w:rPr>
          <w:rFonts w:ascii="Times New Roman" w:hAnsi="Times New Roman" w:cs="Times New Roman"/>
          <w:sz w:val="26"/>
          <w:szCs w:val="26"/>
        </w:rPr>
        <w:t xml:space="preserve"> </w:t>
      </w:r>
      <w:r w:rsidRPr="00DE636F">
        <w:rPr>
          <w:rFonts w:ascii="Times New Roman" w:hAnsi="Times New Roman" w:cs="Times New Roman"/>
          <w:sz w:val="26"/>
          <w:szCs w:val="26"/>
        </w:rPr>
        <w:t xml:space="preserve">Острогожск, г. Нововоронеж, с. Новая Усмань,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DE636F">
        <w:rPr>
          <w:rFonts w:ascii="Times New Roman" w:hAnsi="Times New Roman" w:cs="Times New Roman"/>
          <w:sz w:val="26"/>
          <w:szCs w:val="26"/>
          <w:lang w:val="en-US"/>
        </w:rPr>
        <w:t>Y</w:t>
      </w:r>
      <w:r w:rsidRPr="00DE636F">
        <w:rPr>
          <w:rFonts w:ascii="Times New Roman" w:hAnsi="Times New Roman" w:cs="Times New Roman"/>
          <w:sz w:val="26"/>
          <w:szCs w:val="26"/>
        </w:rPr>
        <w:t xml:space="preserve">- кадастровая стоимость и факторы, на него влияющие </w:t>
      </w:r>
      <w:r w:rsidRPr="00DE636F">
        <w:rPr>
          <w:rFonts w:ascii="Times New Roman" w:hAnsi="Times New Roman" w:cs="Times New Roman"/>
          <w:sz w:val="26"/>
          <w:szCs w:val="26"/>
          <w:lang w:val="en-US"/>
        </w:rPr>
        <w:t>X</w:t>
      </w:r>
      <w:r w:rsidRPr="00DE636F">
        <w:rPr>
          <w:rFonts w:ascii="Times New Roman" w:hAnsi="Times New Roman" w:cs="Times New Roman"/>
          <w:sz w:val="26"/>
          <w:szCs w:val="26"/>
          <w:vertAlign w:val="subscript"/>
          <w:lang w:val="en-US"/>
        </w:rPr>
        <w:t>i</w:t>
      </w:r>
      <w:r w:rsidRPr="00DE636F">
        <w:rPr>
          <w:rFonts w:ascii="Times New Roman" w:hAnsi="Times New Roman" w:cs="Times New Roman"/>
          <w:sz w:val="26"/>
          <w:szCs w:val="26"/>
        </w:rPr>
        <w:t xml:space="preserve">, где </w:t>
      </w:r>
      <w:r w:rsidRPr="00DE636F">
        <w:rPr>
          <w:rFonts w:ascii="Times New Roman" w:hAnsi="Times New Roman" w:cs="Times New Roman"/>
          <w:sz w:val="26"/>
          <w:szCs w:val="26"/>
          <w:lang w:val="en-US"/>
        </w:rPr>
        <w:t>i</w:t>
      </w:r>
      <w:r w:rsidRPr="00DE636F">
        <w:rPr>
          <w:rFonts w:ascii="Times New Roman" w:hAnsi="Times New Roman" w:cs="Times New Roman"/>
          <w:sz w:val="26"/>
          <w:szCs w:val="26"/>
        </w:rPr>
        <w:t xml:space="preserve">=1, …, 21 </w:t>
      </w:r>
      <w:r w:rsidR="00B422FF" w:rsidRPr="00F562A8">
        <w:rPr>
          <w:rFonts w:ascii="Times New Roman" w:hAnsi="Times New Roman" w:cs="Times New Roman"/>
          <w:sz w:val="26"/>
          <w:szCs w:val="26"/>
        </w:rPr>
        <w:t>представлены в таблиц</w:t>
      </w:r>
      <w:r w:rsidR="00B422FF">
        <w:rPr>
          <w:rFonts w:ascii="Times New Roman" w:hAnsi="Times New Roman" w:cs="Times New Roman"/>
          <w:sz w:val="26"/>
          <w:szCs w:val="26"/>
        </w:rPr>
        <w:t>ах</w:t>
      </w:r>
      <w:r w:rsidR="00B422FF" w:rsidRPr="00F562A8">
        <w:rPr>
          <w:rFonts w:ascii="Times New Roman" w:hAnsi="Times New Roman" w:cs="Times New Roman"/>
          <w:sz w:val="26"/>
          <w:szCs w:val="26"/>
        </w:rPr>
        <w:t xml:space="preserve"> </w:t>
      </w:r>
      <w:r w:rsidR="00B422FF" w:rsidRPr="00F562A8">
        <w:rPr>
          <w:rFonts w:ascii="Times New Roman" w:eastAsia="Times New Roman" w:hAnsi="Times New Roman" w:cs="Times New Roman"/>
          <w:sz w:val="26"/>
          <w:szCs w:val="26"/>
        </w:rPr>
        <w:t>3.</w:t>
      </w:r>
      <w:r w:rsidR="00B422FF">
        <w:rPr>
          <w:rFonts w:ascii="Times New Roman" w:eastAsia="Times New Roman" w:hAnsi="Times New Roman" w:cs="Times New Roman"/>
          <w:sz w:val="26"/>
          <w:szCs w:val="26"/>
        </w:rPr>
        <w:t>4 и 3.5, пунктов 3.4 и 3.5 соответственно</w:t>
      </w:r>
      <w:r w:rsidR="00B422FF" w:rsidRPr="00F562A8">
        <w:rPr>
          <w:rFonts w:ascii="Times New Roman" w:hAnsi="Times New Roman" w:cs="Times New Roman"/>
          <w:sz w:val="26"/>
          <w:szCs w:val="26"/>
        </w:rPr>
        <w:t>.</w:t>
      </w:r>
      <w:r w:rsidR="00B422FF">
        <w:rPr>
          <w:rFonts w:ascii="Times New Roman" w:hAnsi="Times New Roman" w:cs="Times New Roman"/>
          <w:sz w:val="26"/>
          <w:szCs w:val="26"/>
        </w:rPr>
        <w:t xml:space="preserve"> </w:t>
      </w:r>
    </w:p>
    <w:p w14:paraId="394C49FB" w14:textId="7215D57F" w:rsidR="00306BF5" w:rsidRPr="00DE636F" w:rsidRDefault="00306BF5" w:rsidP="006F6435">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3EBEFA60" w14:textId="77777777" w:rsidR="00306BF5" w:rsidRPr="00DE636F" w:rsidRDefault="00306BF5" w:rsidP="006F6435">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3F9806B2" w14:textId="473A70A0" w:rsidR="00306BF5" w:rsidRPr="00DE636F" w:rsidRDefault="00306BF5" w:rsidP="006F6435">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xml:space="preserve">В данном случае таких факторов было выявлено </w:t>
      </w:r>
      <w:r w:rsidR="00250300">
        <w:rPr>
          <w:rFonts w:ascii="Times New Roman" w:hAnsi="Times New Roman" w:cs="Times New Roman"/>
          <w:sz w:val="26"/>
          <w:szCs w:val="26"/>
        </w:rPr>
        <w:t>6</w:t>
      </w:r>
      <w:r w:rsidRPr="00DE636F">
        <w:rPr>
          <w:rFonts w:ascii="Times New Roman" w:hAnsi="Times New Roman" w:cs="Times New Roman"/>
          <w:sz w:val="26"/>
          <w:szCs w:val="26"/>
        </w:rPr>
        <w:t>:</w:t>
      </w:r>
    </w:p>
    <w:p w14:paraId="4645C1FD" w14:textId="7FE8D892" w:rsidR="00306BF5" w:rsidRPr="00DE636F" w:rsidRDefault="00306BF5" w:rsidP="006F6435">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xml:space="preserve">- </w:t>
      </w:r>
      <w:r w:rsidR="009311AF" w:rsidRPr="00DE636F">
        <w:rPr>
          <w:rFonts w:ascii="Times New Roman" w:hAnsi="Times New Roman" w:cs="Times New Roman"/>
          <w:sz w:val="26"/>
          <w:szCs w:val="26"/>
        </w:rPr>
        <w:t xml:space="preserve">наименование </w:t>
      </w:r>
      <w:r w:rsidR="00250300">
        <w:rPr>
          <w:rFonts w:ascii="Times New Roman" w:hAnsi="Times New Roman" w:cs="Times New Roman"/>
          <w:sz w:val="26"/>
          <w:szCs w:val="26"/>
        </w:rPr>
        <w:t>района</w:t>
      </w:r>
      <w:r w:rsidRPr="00DE636F">
        <w:rPr>
          <w:rFonts w:ascii="Times New Roman" w:hAnsi="Times New Roman" w:cs="Times New Roman"/>
          <w:sz w:val="26"/>
          <w:szCs w:val="26"/>
        </w:rPr>
        <w:t>: Х</w:t>
      </w:r>
      <w:r w:rsidRPr="00DE636F">
        <w:rPr>
          <w:rFonts w:ascii="Times New Roman" w:hAnsi="Times New Roman" w:cs="Times New Roman"/>
          <w:sz w:val="26"/>
          <w:szCs w:val="26"/>
          <w:vertAlign w:val="subscript"/>
        </w:rPr>
        <w:t>0</w:t>
      </w:r>
      <w:r w:rsidRPr="00DE636F">
        <w:rPr>
          <w:rFonts w:ascii="Times New Roman" w:hAnsi="Times New Roman" w:cs="Times New Roman"/>
          <w:sz w:val="26"/>
          <w:szCs w:val="26"/>
        </w:rPr>
        <w:t>;</w:t>
      </w:r>
    </w:p>
    <w:p w14:paraId="7D2FF341" w14:textId="3D8F9375" w:rsidR="00306BF5" w:rsidRPr="00DE636F" w:rsidRDefault="00306BF5" w:rsidP="006F6435">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xml:space="preserve">- </w:t>
      </w:r>
      <w:r w:rsidR="006F6084">
        <w:rPr>
          <w:rFonts w:ascii="Times New Roman" w:hAnsi="Times New Roman" w:cs="Times New Roman"/>
          <w:sz w:val="26"/>
          <w:szCs w:val="26"/>
        </w:rPr>
        <w:t>н</w:t>
      </w:r>
      <w:r w:rsidR="006F6084" w:rsidRPr="006F6084">
        <w:rPr>
          <w:rFonts w:ascii="Times New Roman" w:hAnsi="Times New Roman" w:cs="Times New Roman"/>
          <w:sz w:val="26"/>
          <w:szCs w:val="26"/>
        </w:rPr>
        <w:t>аличие подъездных путей с твердым покрытием</w:t>
      </w:r>
      <w:r w:rsidRPr="00DE636F">
        <w:rPr>
          <w:rFonts w:ascii="Times New Roman" w:hAnsi="Times New Roman" w:cs="Times New Roman"/>
          <w:sz w:val="26"/>
          <w:szCs w:val="26"/>
        </w:rPr>
        <w:t>: Х</w:t>
      </w:r>
      <w:r w:rsidRPr="00DE636F">
        <w:rPr>
          <w:rFonts w:ascii="Times New Roman" w:hAnsi="Times New Roman" w:cs="Times New Roman"/>
          <w:sz w:val="26"/>
          <w:szCs w:val="26"/>
          <w:vertAlign w:val="subscript"/>
        </w:rPr>
        <w:t>1</w:t>
      </w:r>
      <w:r w:rsidRPr="00DE636F">
        <w:rPr>
          <w:rFonts w:ascii="Times New Roman" w:hAnsi="Times New Roman" w:cs="Times New Roman"/>
          <w:sz w:val="26"/>
          <w:szCs w:val="26"/>
        </w:rPr>
        <w:t>;</w:t>
      </w:r>
    </w:p>
    <w:p w14:paraId="3393F77B" w14:textId="782ADB12" w:rsidR="00306BF5" w:rsidRDefault="00306BF5" w:rsidP="006F6435">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xml:space="preserve">- </w:t>
      </w:r>
      <w:r w:rsidR="006F6084">
        <w:rPr>
          <w:rFonts w:ascii="Times New Roman" w:hAnsi="Times New Roman" w:cs="Times New Roman"/>
          <w:sz w:val="26"/>
          <w:szCs w:val="26"/>
        </w:rPr>
        <w:t>р</w:t>
      </w:r>
      <w:r w:rsidR="006F6084" w:rsidRPr="006F6084">
        <w:rPr>
          <w:rFonts w:ascii="Times New Roman" w:hAnsi="Times New Roman" w:cs="Times New Roman"/>
          <w:sz w:val="26"/>
          <w:szCs w:val="26"/>
        </w:rPr>
        <w:t>асстояние объекта до локальных центров, положительно влияющих на стоимость объекта недвижимости</w:t>
      </w:r>
      <w:r w:rsidRPr="00DE636F">
        <w:rPr>
          <w:rFonts w:ascii="Times New Roman" w:hAnsi="Times New Roman" w:cs="Times New Roman"/>
          <w:sz w:val="26"/>
          <w:szCs w:val="26"/>
        </w:rPr>
        <w:t>: Х</w:t>
      </w:r>
      <w:r w:rsidRPr="00DE636F">
        <w:rPr>
          <w:rFonts w:ascii="Times New Roman" w:hAnsi="Times New Roman" w:cs="Times New Roman"/>
          <w:sz w:val="26"/>
          <w:szCs w:val="26"/>
          <w:vertAlign w:val="subscript"/>
        </w:rPr>
        <w:t>2</w:t>
      </w:r>
      <w:r w:rsidRPr="00DE636F">
        <w:rPr>
          <w:rFonts w:ascii="Times New Roman" w:hAnsi="Times New Roman" w:cs="Times New Roman"/>
          <w:sz w:val="26"/>
          <w:szCs w:val="26"/>
        </w:rPr>
        <w:t>;</w:t>
      </w:r>
    </w:p>
    <w:p w14:paraId="52CDBDFF" w14:textId="3745C1E3" w:rsidR="006F6084" w:rsidRPr="00DE636F" w:rsidRDefault="006F6084" w:rsidP="006F6084">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xml:space="preserve">- </w:t>
      </w:r>
      <w:r>
        <w:rPr>
          <w:rFonts w:ascii="Times New Roman" w:hAnsi="Times New Roman" w:cs="Times New Roman"/>
          <w:sz w:val="26"/>
          <w:szCs w:val="26"/>
        </w:rPr>
        <w:t>р</w:t>
      </w:r>
      <w:r w:rsidRPr="006F6084">
        <w:rPr>
          <w:rFonts w:ascii="Times New Roman" w:hAnsi="Times New Roman" w:cs="Times New Roman"/>
          <w:sz w:val="26"/>
          <w:szCs w:val="26"/>
        </w:rPr>
        <w:t>асстояние объекта до общественно-делового центра</w:t>
      </w:r>
      <w:r w:rsidRPr="00DE636F">
        <w:rPr>
          <w:rFonts w:ascii="Times New Roman" w:hAnsi="Times New Roman" w:cs="Times New Roman"/>
          <w:sz w:val="26"/>
          <w:szCs w:val="26"/>
        </w:rPr>
        <w:t>: Х</w:t>
      </w:r>
      <w:r>
        <w:rPr>
          <w:rFonts w:ascii="Times New Roman" w:hAnsi="Times New Roman" w:cs="Times New Roman"/>
          <w:sz w:val="26"/>
          <w:szCs w:val="26"/>
          <w:vertAlign w:val="subscript"/>
        </w:rPr>
        <w:t>3</w:t>
      </w:r>
      <w:r w:rsidRPr="00DE636F">
        <w:rPr>
          <w:rFonts w:ascii="Times New Roman" w:hAnsi="Times New Roman" w:cs="Times New Roman"/>
          <w:sz w:val="26"/>
          <w:szCs w:val="26"/>
        </w:rPr>
        <w:t>;</w:t>
      </w:r>
    </w:p>
    <w:p w14:paraId="0307F0C7" w14:textId="549F6DA5" w:rsidR="006F6084" w:rsidRPr="00DE636F" w:rsidRDefault="006F6084" w:rsidP="006F6084">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xml:space="preserve">- </w:t>
      </w:r>
      <w:r>
        <w:rPr>
          <w:rFonts w:ascii="Times New Roman" w:hAnsi="Times New Roman" w:cs="Times New Roman"/>
          <w:sz w:val="26"/>
          <w:szCs w:val="26"/>
        </w:rPr>
        <w:t>р</w:t>
      </w:r>
      <w:r w:rsidRPr="006F6084">
        <w:rPr>
          <w:rFonts w:ascii="Times New Roman" w:hAnsi="Times New Roman" w:cs="Times New Roman"/>
          <w:sz w:val="26"/>
          <w:szCs w:val="26"/>
        </w:rPr>
        <w:t>асстояние объекта до центра населенного пункта</w:t>
      </w:r>
      <w:r w:rsidRPr="00DE636F">
        <w:rPr>
          <w:rFonts w:ascii="Times New Roman" w:hAnsi="Times New Roman" w:cs="Times New Roman"/>
          <w:sz w:val="26"/>
          <w:szCs w:val="26"/>
        </w:rPr>
        <w:t>: Х</w:t>
      </w:r>
      <w:r>
        <w:rPr>
          <w:rFonts w:ascii="Times New Roman" w:hAnsi="Times New Roman" w:cs="Times New Roman"/>
          <w:sz w:val="26"/>
          <w:szCs w:val="26"/>
          <w:vertAlign w:val="subscript"/>
        </w:rPr>
        <w:t>4</w:t>
      </w:r>
      <w:r w:rsidRPr="00DE636F">
        <w:rPr>
          <w:rFonts w:ascii="Times New Roman" w:hAnsi="Times New Roman" w:cs="Times New Roman"/>
          <w:sz w:val="26"/>
          <w:szCs w:val="26"/>
        </w:rPr>
        <w:t>;</w:t>
      </w:r>
    </w:p>
    <w:p w14:paraId="4F691FA5" w14:textId="4030E07E" w:rsidR="006F6084" w:rsidRPr="00DE636F" w:rsidRDefault="006F6084" w:rsidP="006F6084">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xml:space="preserve">- </w:t>
      </w:r>
      <w:r>
        <w:rPr>
          <w:rFonts w:ascii="Times New Roman" w:hAnsi="Times New Roman" w:cs="Times New Roman"/>
          <w:sz w:val="26"/>
          <w:szCs w:val="26"/>
        </w:rPr>
        <w:t>ц</w:t>
      </w:r>
      <w:r w:rsidRPr="006F6084">
        <w:rPr>
          <w:rFonts w:ascii="Times New Roman" w:hAnsi="Times New Roman" w:cs="Times New Roman"/>
          <w:sz w:val="26"/>
          <w:szCs w:val="26"/>
        </w:rPr>
        <w:t>ентральная канализация</w:t>
      </w:r>
      <w:r w:rsidRPr="00DE636F">
        <w:rPr>
          <w:rFonts w:ascii="Times New Roman" w:hAnsi="Times New Roman" w:cs="Times New Roman"/>
          <w:sz w:val="26"/>
          <w:szCs w:val="26"/>
        </w:rPr>
        <w:t>: Х</w:t>
      </w:r>
      <w:r>
        <w:rPr>
          <w:rFonts w:ascii="Times New Roman" w:hAnsi="Times New Roman" w:cs="Times New Roman"/>
          <w:sz w:val="26"/>
          <w:szCs w:val="26"/>
          <w:vertAlign w:val="subscript"/>
        </w:rPr>
        <w:t>5</w:t>
      </w:r>
      <w:r w:rsidR="001C2C58">
        <w:rPr>
          <w:rFonts w:ascii="Times New Roman" w:hAnsi="Times New Roman" w:cs="Times New Roman"/>
          <w:sz w:val="26"/>
          <w:szCs w:val="26"/>
        </w:rPr>
        <w:t>.</w:t>
      </w:r>
    </w:p>
    <w:p w14:paraId="634E417B" w14:textId="77777777" w:rsidR="00306BF5" w:rsidRPr="00DE636F" w:rsidRDefault="00306BF5" w:rsidP="006F6435">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4C32E4D9" w14:textId="77777777" w:rsidR="00306BF5" w:rsidRPr="00DE636F" w:rsidRDefault="00306BF5" w:rsidP="006F6435">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57823884" w14:textId="2FF996F1" w:rsidR="00306BF5" w:rsidRPr="00DE636F" w:rsidRDefault="00306BF5" w:rsidP="006F6435">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xml:space="preserve">На основании отбора факторов были построены множественные регрессионные </w:t>
      </w:r>
      <w:r w:rsidR="001E0A67" w:rsidRPr="00DE636F">
        <w:rPr>
          <w:rFonts w:ascii="Times New Roman" w:hAnsi="Times New Roman" w:cs="Times New Roman"/>
          <w:sz w:val="26"/>
          <w:szCs w:val="26"/>
        </w:rPr>
        <w:t>трех</w:t>
      </w:r>
      <w:r w:rsidRPr="00DE636F">
        <w:rPr>
          <w:rFonts w:ascii="Times New Roman" w:hAnsi="Times New Roman" w:cs="Times New Roman"/>
          <w:sz w:val="26"/>
          <w:szCs w:val="26"/>
        </w:rPr>
        <w:t>факторные модели:</w:t>
      </w:r>
    </w:p>
    <w:p w14:paraId="39BEF812" w14:textId="77777777" w:rsidR="00306BF5" w:rsidRPr="00DE636F" w:rsidRDefault="00306BF5" w:rsidP="006F6435">
      <w:pPr>
        <w:spacing w:after="0" w:line="276" w:lineRule="auto"/>
        <w:ind w:firstLine="709"/>
        <w:jc w:val="both"/>
        <w:rPr>
          <w:rFonts w:ascii="Times New Roman" w:hAnsi="Times New Roman" w:cs="Times New Roman"/>
          <w:i/>
          <w:sz w:val="26"/>
          <w:szCs w:val="26"/>
        </w:rPr>
      </w:pPr>
      <w:r w:rsidRPr="00DE636F">
        <w:rPr>
          <w:rFonts w:ascii="Times New Roman" w:hAnsi="Times New Roman" w:cs="Times New Roman"/>
          <w:sz w:val="26"/>
          <w:szCs w:val="26"/>
        </w:rPr>
        <w:t xml:space="preserve">-аддитивная (линейная): </w:t>
      </w:r>
      <w:r w:rsidRPr="00DE636F">
        <w:rPr>
          <w:rFonts w:ascii="Times New Roman" w:hAnsi="Times New Roman" w:cs="Times New Roman"/>
          <w:noProof/>
          <w:position w:val="-8"/>
          <w:sz w:val="26"/>
          <w:szCs w:val="26"/>
          <w:lang w:eastAsia="ru-RU"/>
        </w:rPr>
        <w:drawing>
          <wp:inline distT="0" distB="0" distL="0" distR="0" wp14:anchorId="21CDE720" wp14:editId="73287F61">
            <wp:extent cx="2209800" cy="247650"/>
            <wp:effectExtent l="0" t="0" r="0" b="0"/>
            <wp:docPr id="241" name="Рисунок 241"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DE636F">
        <w:rPr>
          <w:rFonts w:ascii="Times New Roman" w:hAnsi="Times New Roman" w:cs="Times New Roman"/>
          <w:sz w:val="26"/>
          <w:szCs w:val="26"/>
        </w:rPr>
        <w:t>;</w:t>
      </w:r>
    </w:p>
    <w:p w14:paraId="6E3F9564" w14:textId="77777777" w:rsidR="00306BF5" w:rsidRPr="00DE636F" w:rsidRDefault="00306BF5" w:rsidP="006F6435">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-мультипликативная:</w:t>
      </w:r>
      <w:r w:rsidRPr="00DE636F">
        <w:rPr>
          <w:rFonts w:ascii="Times New Roman" w:hAnsi="Times New Roman" w:cs="Times New Roman"/>
          <w:noProof/>
          <w:position w:val="-9"/>
          <w:sz w:val="26"/>
          <w:szCs w:val="26"/>
          <w:lang w:eastAsia="ru-RU"/>
        </w:rPr>
        <w:drawing>
          <wp:inline distT="0" distB="0" distL="0" distR="0" wp14:anchorId="73AB9463" wp14:editId="18688664">
            <wp:extent cx="1352550" cy="266700"/>
            <wp:effectExtent l="0" t="0" r="0" b="0"/>
            <wp:docPr id="242" name="Рисунок 242"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DE636F">
        <w:rPr>
          <w:rFonts w:ascii="Times New Roman" w:hAnsi="Times New Roman" w:cs="Times New Roman"/>
          <w:sz w:val="26"/>
          <w:szCs w:val="26"/>
        </w:rPr>
        <w:t>;;</w:t>
      </w:r>
    </w:p>
    <w:p w14:paraId="185308C7" w14:textId="77777777" w:rsidR="00306BF5" w:rsidRPr="00DE636F" w:rsidRDefault="00306BF5" w:rsidP="006F6435">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-экспоненциальная:</w:t>
      </w:r>
      <w:r w:rsidRPr="00DE636F">
        <w:rPr>
          <w:rFonts w:ascii="Times New Roman" w:hAnsi="Times New Roman" w:cs="Times New Roman"/>
          <w:noProof/>
          <w:position w:val="-9"/>
          <w:sz w:val="26"/>
          <w:szCs w:val="26"/>
          <w:lang w:eastAsia="ru-RU"/>
        </w:rPr>
        <w:drawing>
          <wp:inline distT="0" distB="0" distL="0" distR="0" wp14:anchorId="7CF85782" wp14:editId="5E42045F">
            <wp:extent cx="1266825" cy="266700"/>
            <wp:effectExtent l="0" t="0" r="0" b="0"/>
            <wp:docPr id="243" name="Рисунок 243"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DE636F">
        <w:rPr>
          <w:rFonts w:ascii="Times New Roman" w:hAnsi="Times New Roman" w:cs="Times New Roman"/>
          <w:sz w:val="26"/>
          <w:szCs w:val="26"/>
        </w:rPr>
        <w:t xml:space="preserve">, </w:t>
      </w:r>
    </w:p>
    <w:p w14:paraId="4484800D" w14:textId="77777777" w:rsidR="00306BF5" w:rsidRPr="00DE636F" w:rsidRDefault="00306BF5" w:rsidP="006F6435">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где Y - модельное значение зависимой переменной;</w:t>
      </w:r>
    </w:p>
    <w:p w14:paraId="2A3150AF"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X</w:t>
      </w:r>
      <w:r w:rsidRPr="00DE636F">
        <w:rPr>
          <w:rFonts w:ascii="Times New Roman" w:hAnsi="Times New Roman" w:cs="Times New Roman"/>
          <w:sz w:val="26"/>
          <w:szCs w:val="26"/>
          <w:vertAlign w:val="subscript"/>
        </w:rPr>
        <w:t>1</w:t>
      </w:r>
      <w:r w:rsidRPr="00DE636F">
        <w:rPr>
          <w:rFonts w:ascii="Times New Roman" w:hAnsi="Times New Roman" w:cs="Times New Roman"/>
          <w:sz w:val="26"/>
          <w:szCs w:val="26"/>
        </w:rPr>
        <w:t>, ..., X</w:t>
      </w:r>
      <w:r w:rsidRPr="00DE636F">
        <w:rPr>
          <w:rFonts w:ascii="Times New Roman" w:hAnsi="Times New Roman" w:cs="Times New Roman"/>
          <w:sz w:val="26"/>
          <w:szCs w:val="26"/>
          <w:vertAlign w:val="subscript"/>
        </w:rPr>
        <w:t>n</w:t>
      </w:r>
      <w:r w:rsidRPr="00DE636F">
        <w:rPr>
          <w:rFonts w:ascii="Times New Roman" w:hAnsi="Times New Roman" w:cs="Times New Roman"/>
          <w:sz w:val="26"/>
          <w:szCs w:val="26"/>
        </w:rPr>
        <w:t xml:space="preserve"> - ценообразующие факторы объектов недвижимости;</w:t>
      </w:r>
    </w:p>
    <w:p w14:paraId="40F11ADF"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noProof/>
          <w:position w:val="-8"/>
          <w:sz w:val="26"/>
          <w:szCs w:val="26"/>
        </w:rPr>
        <w:drawing>
          <wp:inline distT="0" distB="0" distL="0" distR="0" wp14:anchorId="25AE8AF4" wp14:editId="34156F55">
            <wp:extent cx="209550" cy="247650"/>
            <wp:effectExtent l="0" t="0" r="0" b="0"/>
            <wp:docPr id="244" name="Рисунок 244"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DE636F">
        <w:rPr>
          <w:rFonts w:ascii="Times New Roman" w:hAnsi="Times New Roman" w:cs="Times New Roman"/>
          <w:sz w:val="26"/>
          <w:szCs w:val="26"/>
        </w:rPr>
        <w:t xml:space="preserve">, </w:t>
      </w:r>
      <w:r w:rsidRPr="00DE636F">
        <w:rPr>
          <w:rFonts w:ascii="Times New Roman" w:hAnsi="Times New Roman" w:cs="Times New Roman"/>
          <w:noProof/>
          <w:position w:val="-8"/>
          <w:sz w:val="26"/>
          <w:szCs w:val="26"/>
        </w:rPr>
        <w:drawing>
          <wp:inline distT="0" distB="0" distL="0" distR="0" wp14:anchorId="355CEEAA" wp14:editId="493CC0FB">
            <wp:extent cx="200025" cy="247650"/>
            <wp:effectExtent l="0" t="0" r="9525" b="0"/>
            <wp:docPr id="245" name="Рисунок 245"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DE636F">
        <w:rPr>
          <w:rFonts w:ascii="Times New Roman" w:hAnsi="Times New Roman" w:cs="Times New Roman"/>
          <w:sz w:val="26"/>
          <w:szCs w:val="26"/>
        </w:rPr>
        <w:t xml:space="preserve">, ..., </w:t>
      </w:r>
      <w:r w:rsidRPr="00DE636F">
        <w:rPr>
          <w:rFonts w:ascii="Times New Roman" w:hAnsi="Times New Roman" w:cs="Times New Roman"/>
          <w:noProof/>
          <w:position w:val="-8"/>
          <w:sz w:val="26"/>
          <w:szCs w:val="26"/>
        </w:rPr>
        <w:drawing>
          <wp:inline distT="0" distB="0" distL="0" distR="0" wp14:anchorId="3AC43321" wp14:editId="13EA3994">
            <wp:extent cx="209550" cy="247650"/>
            <wp:effectExtent l="0" t="0" r="0" b="0"/>
            <wp:docPr id="246" name="Рисунок 246"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DE636F">
        <w:rPr>
          <w:rFonts w:ascii="Times New Roman" w:hAnsi="Times New Roman" w:cs="Times New Roman"/>
          <w:sz w:val="26"/>
          <w:szCs w:val="26"/>
        </w:rPr>
        <w:t xml:space="preserve"> - коэффициенты модели.</w:t>
      </w:r>
    </w:p>
    <w:p w14:paraId="7CA0B9EB" w14:textId="171417D5" w:rsidR="00306BF5" w:rsidRPr="00DE636F" w:rsidRDefault="001C2C58" w:rsidP="006F6435">
      <w:pPr>
        <w:spacing w:after="0" w:line="276" w:lineRule="auto"/>
        <w:jc w:val="both"/>
        <w:rPr>
          <w:rFonts w:ascii="Times New Roman" w:hAnsi="Times New Roman" w:cs="Times New Roman"/>
          <w:lang w:val="en-US"/>
        </w:rPr>
      </w:pPr>
      <w:r w:rsidRPr="008E2330">
        <w:rPr>
          <w:noProof/>
          <w:lang w:eastAsia="ru-RU"/>
        </w:rPr>
        <w:drawing>
          <wp:inline distT="0" distB="0" distL="0" distR="0" wp14:anchorId="58BA5114" wp14:editId="29B16FA0">
            <wp:extent cx="5939790" cy="714934"/>
            <wp:effectExtent l="0" t="0" r="3810" b="9525"/>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5939790" cy="714934"/>
                    </a:xfrm>
                    <a:prstGeom prst="rect">
                      <a:avLst/>
                    </a:prstGeom>
                  </pic:spPr>
                </pic:pic>
              </a:graphicData>
            </a:graphic>
          </wp:inline>
        </w:drawing>
      </w:r>
    </w:p>
    <w:p w14:paraId="3D097591" w14:textId="0614B6AC" w:rsidR="00306BF5" w:rsidRPr="00DE636F" w:rsidRDefault="00306BF5" w:rsidP="006F6435">
      <w:pPr>
        <w:spacing w:after="0" w:line="276" w:lineRule="auto"/>
        <w:ind w:firstLine="709"/>
        <w:jc w:val="center"/>
        <w:rPr>
          <w:rFonts w:ascii="Times New Roman" w:hAnsi="Times New Roman" w:cs="Times New Roman"/>
          <w:sz w:val="26"/>
          <w:szCs w:val="26"/>
        </w:rPr>
      </w:pPr>
      <w:r w:rsidRPr="00DE636F">
        <w:rPr>
          <w:rFonts w:ascii="Times New Roman" w:hAnsi="Times New Roman" w:cs="Times New Roman"/>
          <w:lang w:val="en-US"/>
        </w:rPr>
        <w:tab/>
      </w:r>
      <w:r w:rsidRPr="00DE636F">
        <w:rPr>
          <w:rFonts w:ascii="Times New Roman" w:hAnsi="Times New Roman" w:cs="Times New Roman"/>
          <w:sz w:val="26"/>
          <w:szCs w:val="26"/>
        </w:rPr>
        <w:t>Рис.</w:t>
      </w:r>
      <w:r w:rsidR="00917CE0" w:rsidRPr="00DE636F">
        <w:rPr>
          <w:rFonts w:ascii="Times New Roman" w:hAnsi="Times New Roman" w:cs="Times New Roman"/>
          <w:sz w:val="26"/>
          <w:szCs w:val="26"/>
        </w:rPr>
        <w:t xml:space="preserve"> 3.6.13.</w:t>
      </w:r>
      <w:r w:rsidR="00504BC2">
        <w:rPr>
          <w:rFonts w:ascii="Times New Roman" w:hAnsi="Times New Roman" w:cs="Times New Roman"/>
          <w:sz w:val="26"/>
          <w:szCs w:val="26"/>
        </w:rPr>
        <w:t>2</w:t>
      </w:r>
      <w:r w:rsidR="007646A7" w:rsidRPr="00DE636F">
        <w:rPr>
          <w:rFonts w:ascii="Times New Roman" w:hAnsi="Times New Roman" w:cs="Times New Roman"/>
          <w:sz w:val="26"/>
          <w:szCs w:val="26"/>
        </w:rPr>
        <w:t>.1</w:t>
      </w:r>
      <w:r w:rsidR="00917CE0" w:rsidRPr="00DE636F">
        <w:rPr>
          <w:rFonts w:ascii="Times New Roman" w:hAnsi="Times New Roman" w:cs="Times New Roman"/>
          <w:sz w:val="26"/>
          <w:szCs w:val="26"/>
        </w:rPr>
        <w:t xml:space="preserve"> </w:t>
      </w:r>
      <w:r w:rsidRPr="00DE636F">
        <w:rPr>
          <w:rFonts w:ascii="Times New Roman" w:hAnsi="Times New Roman" w:cs="Times New Roman"/>
          <w:sz w:val="26"/>
          <w:szCs w:val="26"/>
        </w:rPr>
        <w:t xml:space="preserve">- Множественные регрессионные </w:t>
      </w:r>
      <w:r w:rsidR="001E0A67" w:rsidRPr="00DE636F">
        <w:rPr>
          <w:rFonts w:ascii="Times New Roman" w:hAnsi="Times New Roman" w:cs="Times New Roman"/>
          <w:sz w:val="26"/>
          <w:szCs w:val="26"/>
        </w:rPr>
        <w:t>трех</w:t>
      </w:r>
      <w:r w:rsidRPr="00DE636F">
        <w:rPr>
          <w:rFonts w:ascii="Times New Roman" w:hAnsi="Times New Roman" w:cs="Times New Roman"/>
          <w:sz w:val="26"/>
          <w:szCs w:val="26"/>
        </w:rPr>
        <w:t>факторные модели</w:t>
      </w:r>
    </w:p>
    <w:p w14:paraId="2EF005A2" w14:textId="57392DCD"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DE636F">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4914D60B"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3F6434B2"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02465C32"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604BA13C"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по t-критерию Стьюдента проверки значимости параметров моделей;</w:t>
      </w:r>
    </w:p>
    <w:p w14:paraId="5075680B"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по средней ошибке аппроксимации;</w:t>
      </w:r>
    </w:p>
    <w:p w14:paraId="43255865"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по коэффициенту детерминации R</w:t>
      </w:r>
      <w:r w:rsidRPr="00DE636F">
        <w:rPr>
          <w:rFonts w:ascii="Times New Roman" w:hAnsi="Times New Roman" w:cs="Times New Roman"/>
          <w:sz w:val="26"/>
          <w:szCs w:val="26"/>
          <w:vertAlign w:val="superscript"/>
        </w:rPr>
        <w:t>2</w:t>
      </w:r>
      <w:r w:rsidRPr="00DE636F">
        <w:rPr>
          <w:rFonts w:ascii="Times New Roman" w:hAnsi="Times New Roman" w:cs="Times New Roman"/>
          <w:sz w:val="26"/>
          <w:szCs w:val="26"/>
        </w:rPr>
        <w:t>;</w:t>
      </w:r>
    </w:p>
    <w:p w14:paraId="0ABCF1D6"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0D965BBD" w14:textId="760A67C8" w:rsidR="00306BF5" w:rsidRPr="00DE636F" w:rsidRDefault="001C2C58" w:rsidP="006F6435">
      <w:pPr>
        <w:pStyle w:val="ConsPlusNormal"/>
        <w:spacing w:line="276" w:lineRule="auto"/>
        <w:jc w:val="center"/>
        <w:rPr>
          <w:rFonts w:ascii="Times New Roman" w:hAnsi="Times New Roman" w:cs="Times New Roman"/>
          <w:sz w:val="26"/>
          <w:szCs w:val="26"/>
        </w:rPr>
      </w:pPr>
      <w:r w:rsidRPr="008E2330">
        <w:rPr>
          <w:noProof/>
        </w:rPr>
        <w:drawing>
          <wp:inline distT="0" distB="0" distL="0" distR="0" wp14:anchorId="43B3375F" wp14:editId="0B2474C3">
            <wp:extent cx="5940566" cy="1628775"/>
            <wp:effectExtent l="0" t="0" r="3175"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2"/>
                    <a:srcRect r="8886"/>
                    <a:stretch/>
                  </pic:blipFill>
                  <pic:spPr bwMode="auto">
                    <a:xfrm>
                      <a:off x="0" y="0"/>
                      <a:ext cx="5947891" cy="1630783"/>
                    </a:xfrm>
                    <a:prstGeom prst="rect">
                      <a:avLst/>
                    </a:prstGeom>
                    <a:ln>
                      <a:noFill/>
                    </a:ln>
                    <a:extLst>
                      <a:ext uri="{53640926-AAD7-44D8-BBD7-CCE9431645EC}">
                        <a14:shadowObscured xmlns:a14="http://schemas.microsoft.com/office/drawing/2010/main"/>
                      </a:ext>
                    </a:extLst>
                  </pic:spPr>
                </pic:pic>
              </a:graphicData>
            </a:graphic>
          </wp:inline>
        </w:drawing>
      </w:r>
    </w:p>
    <w:p w14:paraId="5C4A0F97" w14:textId="06360766" w:rsidR="00306BF5" w:rsidRPr="00DE636F" w:rsidRDefault="00306BF5" w:rsidP="006F6435">
      <w:pPr>
        <w:pStyle w:val="ConsPlusNormal"/>
        <w:spacing w:line="276" w:lineRule="auto"/>
        <w:ind w:firstLine="709"/>
        <w:jc w:val="center"/>
        <w:rPr>
          <w:rFonts w:ascii="Times New Roman" w:hAnsi="Times New Roman" w:cs="Times New Roman"/>
          <w:sz w:val="26"/>
          <w:szCs w:val="26"/>
        </w:rPr>
      </w:pPr>
      <w:r w:rsidRPr="00DE636F">
        <w:rPr>
          <w:rFonts w:ascii="Times New Roman" w:hAnsi="Times New Roman" w:cs="Times New Roman"/>
          <w:sz w:val="26"/>
          <w:szCs w:val="26"/>
        </w:rPr>
        <w:t>Рис.</w:t>
      </w:r>
      <w:r w:rsidR="00917CE0" w:rsidRPr="00DE636F">
        <w:rPr>
          <w:rFonts w:ascii="Times New Roman" w:hAnsi="Times New Roman" w:cs="Times New Roman"/>
          <w:sz w:val="26"/>
          <w:szCs w:val="26"/>
        </w:rPr>
        <w:t xml:space="preserve"> 3.6.13.</w:t>
      </w:r>
      <w:r w:rsidR="00504BC2">
        <w:rPr>
          <w:rFonts w:ascii="Times New Roman" w:hAnsi="Times New Roman" w:cs="Times New Roman"/>
          <w:sz w:val="26"/>
          <w:szCs w:val="26"/>
        </w:rPr>
        <w:t>2</w:t>
      </w:r>
      <w:r w:rsidR="007646A7" w:rsidRPr="00DE636F">
        <w:rPr>
          <w:rFonts w:ascii="Times New Roman" w:hAnsi="Times New Roman" w:cs="Times New Roman"/>
          <w:sz w:val="26"/>
          <w:szCs w:val="26"/>
        </w:rPr>
        <w:t>.2</w:t>
      </w:r>
      <w:r w:rsidR="00917CE0" w:rsidRPr="00DE636F">
        <w:rPr>
          <w:rFonts w:ascii="Times New Roman" w:hAnsi="Times New Roman" w:cs="Times New Roman"/>
          <w:sz w:val="26"/>
          <w:szCs w:val="26"/>
        </w:rPr>
        <w:t xml:space="preserve"> </w:t>
      </w:r>
      <w:r w:rsidRPr="00DE636F">
        <w:rPr>
          <w:rFonts w:ascii="Times New Roman" w:hAnsi="Times New Roman" w:cs="Times New Roman"/>
          <w:sz w:val="26"/>
          <w:szCs w:val="26"/>
        </w:rPr>
        <w:t>- Значения t-критерия Стьюдента, средней ошибки аппроксимации, коэффициента детерминации R</w:t>
      </w:r>
      <w:r w:rsidRPr="00DE636F">
        <w:rPr>
          <w:rFonts w:ascii="Times New Roman" w:hAnsi="Times New Roman" w:cs="Times New Roman"/>
          <w:sz w:val="26"/>
          <w:szCs w:val="26"/>
          <w:vertAlign w:val="superscript"/>
        </w:rPr>
        <w:t>2</w:t>
      </w:r>
      <w:r w:rsidRPr="00DE636F">
        <w:rPr>
          <w:rFonts w:ascii="Times New Roman" w:hAnsi="Times New Roman" w:cs="Times New Roman"/>
          <w:sz w:val="26"/>
          <w:szCs w:val="26"/>
        </w:rPr>
        <w:t xml:space="preserve"> и F-критерия Фишера</w:t>
      </w:r>
    </w:p>
    <w:p w14:paraId="2044FAF6"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Показатели R</w:t>
      </w:r>
      <w:r w:rsidRPr="00DE636F">
        <w:rPr>
          <w:rFonts w:ascii="Times New Roman" w:hAnsi="Times New Roman" w:cs="Times New Roman"/>
          <w:sz w:val="26"/>
          <w:szCs w:val="26"/>
          <w:vertAlign w:val="superscript"/>
        </w:rPr>
        <w:t>2</w:t>
      </w:r>
      <w:r w:rsidRPr="00DE636F">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115C6073" w14:textId="77777777" w:rsidR="00306BF5" w:rsidRPr="00DE636F" w:rsidRDefault="00306BF5" w:rsidP="006F6435">
      <w:pPr>
        <w:pStyle w:val="ConsPlusNormal"/>
        <w:spacing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1FECCE48" w14:textId="77777777" w:rsidR="00306BF5" w:rsidRPr="00DE636F" w:rsidRDefault="00306BF5" w:rsidP="006F6435">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DE636F">
        <w:rPr>
          <w:rFonts w:ascii="Times New Roman" w:hAnsi="Times New Roman" w:cs="Times New Roman"/>
          <w:sz w:val="26"/>
          <w:szCs w:val="26"/>
          <w:lang w:val="en-US"/>
        </w:rPr>
        <w:t>F</w:t>
      </w:r>
      <w:r w:rsidRPr="00DE636F">
        <w:rPr>
          <w:rFonts w:ascii="Times New Roman" w:hAnsi="Times New Roman" w:cs="Times New Roman"/>
          <w:sz w:val="26"/>
          <w:szCs w:val="26"/>
        </w:rPr>
        <w:t xml:space="preserve">-критерию Фишера. Статистики </w:t>
      </w:r>
      <w:r w:rsidRPr="00DE636F">
        <w:rPr>
          <w:rFonts w:ascii="Times New Roman" w:hAnsi="Times New Roman" w:cs="Times New Roman"/>
          <w:sz w:val="26"/>
          <w:szCs w:val="26"/>
          <w:lang w:val="en-US"/>
        </w:rPr>
        <w:t>F</w:t>
      </w:r>
      <w:r w:rsidRPr="00DE636F">
        <w:rPr>
          <w:rFonts w:ascii="Times New Roman" w:hAnsi="Times New Roman" w:cs="Times New Roman"/>
          <w:sz w:val="26"/>
          <w:szCs w:val="26"/>
        </w:rPr>
        <w:t>-критерия Фишера</w:t>
      </w:r>
      <w:r w:rsidRPr="00DE636F">
        <w:rPr>
          <w:rFonts w:ascii="Times New Roman" w:hAnsi="Times New Roman" w:cs="Times New Roman"/>
          <w:sz w:val="26"/>
          <w:szCs w:val="26"/>
          <w:lang w:val="en-US"/>
        </w:rPr>
        <w:t xml:space="preserve"> </w:t>
      </w:r>
      <w:r w:rsidRPr="00DE636F">
        <w:rPr>
          <w:rFonts w:ascii="Times New Roman" w:hAnsi="Times New Roman" w:cs="Times New Roman"/>
          <w:sz w:val="26"/>
          <w:szCs w:val="26"/>
        </w:rPr>
        <w:t>равны:</w:t>
      </w:r>
    </w:p>
    <w:p w14:paraId="5AB263F7" w14:textId="05F0BE92" w:rsidR="00306BF5" w:rsidRPr="00DE636F" w:rsidRDefault="00613758" w:rsidP="006F6435">
      <w:pPr>
        <w:spacing w:after="0" w:line="276" w:lineRule="auto"/>
        <w:jc w:val="center"/>
        <w:rPr>
          <w:rFonts w:ascii="Times New Roman" w:hAnsi="Times New Roman" w:cs="Times New Roman"/>
          <w:lang w:val="en-US"/>
        </w:rPr>
      </w:pPr>
      <w:r w:rsidRPr="00EC0C99">
        <w:rPr>
          <w:noProof/>
          <w:lang w:eastAsia="ru-RU"/>
        </w:rPr>
        <w:drawing>
          <wp:inline distT="0" distB="0" distL="0" distR="0" wp14:anchorId="53D4D4F8" wp14:editId="26FAFE0B">
            <wp:extent cx="3057952" cy="1028844"/>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3057952" cy="1028844"/>
                    </a:xfrm>
                    <a:prstGeom prst="rect">
                      <a:avLst/>
                    </a:prstGeom>
                  </pic:spPr>
                </pic:pic>
              </a:graphicData>
            </a:graphic>
          </wp:inline>
        </w:drawing>
      </w:r>
    </w:p>
    <w:p w14:paraId="08B1E356" w14:textId="1A6F4561" w:rsidR="00306BF5" w:rsidRPr="00DE636F" w:rsidRDefault="00306BF5" w:rsidP="006F6435">
      <w:pPr>
        <w:spacing w:line="276" w:lineRule="auto"/>
        <w:jc w:val="center"/>
        <w:rPr>
          <w:rFonts w:ascii="Times New Roman" w:hAnsi="Times New Roman" w:cs="Times New Roman"/>
          <w:sz w:val="26"/>
          <w:szCs w:val="26"/>
        </w:rPr>
      </w:pPr>
      <w:r w:rsidRPr="00DE636F">
        <w:rPr>
          <w:rFonts w:ascii="Times New Roman" w:hAnsi="Times New Roman" w:cs="Times New Roman"/>
          <w:sz w:val="26"/>
          <w:szCs w:val="26"/>
        </w:rPr>
        <w:t>Рис.</w:t>
      </w:r>
      <w:r w:rsidR="00917CE0" w:rsidRPr="00DE636F">
        <w:rPr>
          <w:rFonts w:ascii="Times New Roman" w:hAnsi="Times New Roman" w:cs="Times New Roman"/>
          <w:sz w:val="26"/>
          <w:szCs w:val="26"/>
        </w:rPr>
        <w:t xml:space="preserve"> 3.6.13.</w:t>
      </w:r>
      <w:r w:rsidR="00504BC2">
        <w:rPr>
          <w:rFonts w:ascii="Times New Roman" w:hAnsi="Times New Roman" w:cs="Times New Roman"/>
          <w:sz w:val="26"/>
          <w:szCs w:val="26"/>
        </w:rPr>
        <w:t>2</w:t>
      </w:r>
      <w:r w:rsidR="007646A7" w:rsidRPr="00DE636F">
        <w:rPr>
          <w:rFonts w:ascii="Times New Roman" w:hAnsi="Times New Roman" w:cs="Times New Roman"/>
          <w:sz w:val="26"/>
          <w:szCs w:val="26"/>
        </w:rPr>
        <w:t>.3</w:t>
      </w:r>
      <w:r w:rsidR="00917CE0" w:rsidRPr="00DE636F">
        <w:rPr>
          <w:rFonts w:ascii="Times New Roman" w:hAnsi="Times New Roman" w:cs="Times New Roman"/>
          <w:sz w:val="26"/>
          <w:szCs w:val="26"/>
        </w:rPr>
        <w:t xml:space="preserve"> </w:t>
      </w:r>
      <w:r w:rsidRPr="00DE636F">
        <w:rPr>
          <w:rFonts w:ascii="Times New Roman" w:hAnsi="Times New Roman" w:cs="Times New Roman"/>
          <w:sz w:val="26"/>
          <w:szCs w:val="26"/>
        </w:rPr>
        <w:t>- Значения F-критерия Фишера</w:t>
      </w:r>
    </w:p>
    <w:p w14:paraId="2B6AFD3C" w14:textId="77777777" w:rsidR="00306BF5" w:rsidRPr="00DE636F" w:rsidRDefault="00306BF5" w:rsidP="006F6435">
      <w:pPr>
        <w:spacing w:after="0" w:line="276" w:lineRule="auto"/>
        <w:jc w:val="both"/>
        <w:rPr>
          <w:rFonts w:ascii="Times New Roman" w:hAnsi="Times New Roman" w:cs="Times New Roman"/>
          <w:sz w:val="26"/>
          <w:szCs w:val="26"/>
        </w:rPr>
      </w:pPr>
      <w:r w:rsidRPr="00DE636F">
        <w:rPr>
          <w:rFonts w:ascii="Times New Roman" w:hAnsi="Times New Roman" w:cs="Times New Roman"/>
        </w:rPr>
        <w:tab/>
      </w:r>
      <w:r w:rsidRPr="00DE636F">
        <w:rPr>
          <w:rFonts w:ascii="Times New Roman" w:hAnsi="Times New Roman" w:cs="Times New Roman"/>
          <w:sz w:val="26"/>
          <w:szCs w:val="26"/>
        </w:rPr>
        <w:t xml:space="preserve">Из сравнения </w:t>
      </w:r>
      <w:r w:rsidRPr="00DE636F">
        <w:rPr>
          <w:rFonts w:ascii="Times New Roman" w:hAnsi="Times New Roman" w:cs="Times New Roman"/>
          <w:sz w:val="26"/>
          <w:szCs w:val="26"/>
          <w:lang w:val="en-US"/>
        </w:rPr>
        <w:t>F</w:t>
      </w:r>
      <w:r w:rsidRPr="00DE636F">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1C21F3F2" w14:textId="620AD929" w:rsidR="001B4C5B" w:rsidRPr="00613758" w:rsidRDefault="00306BF5" w:rsidP="001C2C58">
      <w:pPr>
        <w:spacing w:after="0" w:line="276" w:lineRule="auto"/>
        <w:ind w:firstLine="709"/>
        <w:jc w:val="both"/>
        <w:rPr>
          <w:rFonts w:ascii="Times New Roman" w:hAnsi="Times New Roman" w:cs="Times New Roman"/>
          <w:i/>
          <w:sz w:val="26"/>
          <w:szCs w:val="26"/>
        </w:rPr>
      </w:pPr>
      <w:r w:rsidRPr="00DE636F">
        <w:rPr>
          <w:rFonts w:ascii="Times New Roman" w:hAnsi="Times New Roman" w:cs="Times New Roman"/>
          <w:i/>
          <w:sz w:val="26"/>
          <w:szCs w:val="26"/>
        </w:rPr>
        <w:t xml:space="preserve">УПКС = </w:t>
      </w:r>
      <w:r w:rsidR="001C2C58" w:rsidRPr="001C2C58">
        <w:rPr>
          <w:rFonts w:ascii="Times New Roman" w:hAnsi="Times New Roman" w:cs="Times New Roman"/>
          <w:i/>
          <w:sz w:val="26"/>
          <w:szCs w:val="26"/>
        </w:rPr>
        <w:t>81.8304762522713*e^(+0.171144793000403*([__Наименование района])+0.256174988296645*([_Наличие подъездных путей с твердым покрытием])+0.0000122001176677638*((5983.363+-266.560000000001-гнп Расстояние объекта до локальных центров, положительно влияющих на стоимость объекта недвижимости))+0.0000348775756482257*((8267.523+2.523-гнп Расстояние объекта до общественно-делового центра))</w:t>
      </w:r>
      <w:r w:rsidR="001C2C58">
        <w:rPr>
          <w:rFonts w:ascii="Times New Roman" w:hAnsi="Times New Roman" w:cs="Times New Roman"/>
          <w:i/>
          <w:sz w:val="26"/>
          <w:szCs w:val="26"/>
        </w:rPr>
        <w:t xml:space="preserve"> </w:t>
      </w:r>
      <w:r w:rsidR="001C2C58" w:rsidRPr="001C2C58">
        <w:rPr>
          <w:rFonts w:ascii="Times New Roman" w:hAnsi="Times New Roman" w:cs="Times New Roman"/>
          <w:i/>
          <w:sz w:val="26"/>
          <w:szCs w:val="26"/>
        </w:rPr>
        <w:t>+0.0000764341896892053*((8871.236+16.7329999999995-гнп Расстояние объекта до центра населенного пункта))+0.78601258643957*([гнп Центральная канализация]))</w:t>
      </w:r>
    </w:p>
    <w:p w14:paraId="05C82A67" w14:textId="455D01FC" w:rsidR="00306BF5" w:rsidRPr="00DE636F" w:rsidRDefault="00306BF5" w:rsidP="006F6435">
      <w:pPr>
        <w:spacing w:after="0" w:line="276" w:lineRule="auto"/>
        <w:ind w:firstLine="708"/>
        <w:jc w:val="both"/>
        <w:rPr>
          <w:rFonts w:ascii="Times New Roman" w:hAnsi="Times New Roman" w:cs="Times New Roman"/>
          <w:sz w:val="26"/>
          <w:szCs w:val="26"/>
        </w:rPr>
      </w:pPr>
      <w:r w:rsidRPr="00DE636F">
        <w:rPr>
          <w:rFonts w:ascii="Times New Roman" w:hAnsi="Times New Roman" w:cs="Times New Roman"/>
          <w:sz w:val="26"/>
          <w:szCs w:val="26"/>
        </w:rPr>
        <w:t xml:space="preserve">Из сравнения </w:t>
      </w:r>
      <w:r w:rsidRPr="00DE636F">
        <w:rPr>
          <w:rFonts w:ascii="Times New Roman" w:hAnsi="Times New Roman" w:cs="Times New Roman"/>
          <w:sz w:val="26"/>
          <w:szCs w:val="26"/>
          <w:lang w:val="en-US"/>
        </w:rPr>
        <w:t>F</w:t>
      </w:r>
      <w:r w:rsidRPr="00DE636F">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460674BD" w14:textId="31B14922" w:rsidR="00306BF5" w:rsidRDefault="0047129F" w:rsidP="006F6435">
      <w:pPr>
        <w:spacing w:after="0" w:line="276" w:lineRule="auto"/>
        <w:jc w:val="center"/>
        <w:rPr>
          <w:rFonts w:ascii="Times New Roman" w:hAnsi="Times New Roman" w:cs="Times New Roman"/>
          <w:i/>
          <w:szCs w:val="24"/>
        </w:rPr>
      </w:pPr>
      <w:r w:rsidRPr="008E2330">
        <w:rPr>
          <w:noProof/>
          <w:lang w:eastAsia="ru-RU"/>
        </w:rPr>
        <w:drawing>
          <wp:inline distT="0" distB="0" distL="0" distR="0" wp14:anchorId="397E70B2" wp14:editId="60CF5FFD">
            <wp:extent cx="5939790" cy="3951818"/>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5939790" cy="3951818"/>
                    </a:xfrm>
                    <a:prstGeom prst="rect">
                      <a:avLst/>
                    </a:prstGeom>
                  </pic:spPr>
                </pic:pic>
              </a:graphicData>
            </a:graphic>
          </wp:inline>
        </w:drawing>
      </w:r>
      <w:r w:rsidRPr="008E2330">
        <w:rPr>
          <w:noProof/>
          <w:lang w:eastAsia="ru-RU"/>
        </w:rPr>
        <w:drawing>
          <wp:inline distT="0" distB="0" distL="0" distR="0" wp14:anchorId="7A00BB21" wp14:editId="5D62C876">
            <wp:extent cx="5939790" cy="1056527"/>
            <wp:effectExtent l="0" t="0" r="381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5939790" cy="1056527"/>
                    </a:xfrm>
                    <a:prstGeom prst="rect">
                      <a:avLst/>
                    </a:prstGeom>
                  </pic:spPr>
                </pic:pic>
              </a:graphicData>
            </a:graphic>
          </wp:inline>
        </w:drawing>
      </w:r>
    </w:p>
    <w:p w14:paraId="00B94903" w14:textId="63F7F7FC" w:rsidR="00306BF5" w:rsidRPr="00DE636F" w:rsidRDefault="00306BF5" w:rsidP="006F6435">
      <w:pPr>
        <w:spacing w:after="0" w:line="276" w:lineRule="auto"/>
        <w:ind w:firstLine="709"/>
        <w:jc w:val="center"/>
        <w:rPr>
          <w:rFonts w:ascii="Times New Roman" w:hAnsi="Times New Roman" w:cs="Times New Roman"/>
          <w:sz w:val="26"/>
          <w:szCs w:val="26"/>
        </w:rPr>
      </w:pPr>
      <w:r w:rsidRPr="00DE636F">
        <w:rPr>
          <w:rFonts w:ascii="Times New Roman" w:hAnsi="Times New Roman" w:cs="Times New Roman"/>
          <w:sz w:val="26"/>
          <w:szCs w:val="26"/>
        </w:rPr>
        <w:t>Рис.</w:t>
      </w:r>
      <w:r w:rsidR="00917CE0" w:rsidRPr="00DE636F">
        <w:rPr>
          <w:rFonts w:ascii="Times New Roman" w:hAnsi="Times New Roman" w:cs="Times New Roman"/>
          <w:sz w:val="26"/>
          <w:szCs w:val="26"/>
        </w:rPr>
        <w:t xml:space="preserve"> 3.6.13.</w:t>
      </w:r>
      <w:r w:rsidR="00504BC2">
        <w:rPr>
          <w:rFonts w:ascii="Times New Roman" w:hAnsi="Times New Roman" w:cs="Times New Roman"/>
          <w:sz w:val="26"/>
          <w:szCs w:val="26"/>
        </w:rPr>
        <w:t>2</w:t>
      </w:r>
      <w:r w:rsidR="007646A7" w:rsidRPr="00DE636F">
        <w:rPr>
          <w:rFonts w:ascii="Times New Roman" w:hAnsi="Times New Roman" w:cs="Times New Roman"/>
          <w:sz w:val="26"/>
          <w:szCs w:val="26"/>
        </w:rPr>
        <w:t xml:space="preserve">.4 </w:t>
      </w:r>
      <w:r w:rsidRPr="00DE636F">
        <w:rPr>
          <w:rFonts w:ascii="Times New Roman" w:hAnsi="Times New Roman" w:cs="Times New Roman"/>
          <w:sz w:val="26"/>
          <w:szCs w:val="26"/>
        </w:rPr>
        <w:t>- Характеристика экспоненциальной модели и анализ качества выборки</w:t>
      </w:r>
    </w:p>
    <w:p w14:paraId="5F329D1A" w14:textId="612BF660" w:rsidR="00306BF5" w:rsidRPr="00DE636F" w:rsidRDefault="00306BF5" w:rsidP="006F6435">
      <w:pPr>
        <w:spacing w:after="0" w:line="276" w:lineRule="auto"/>
        <w:ind w:firstLine="709"/>
        <w:jc w:val="both"/>
        <w:rPr>
          <w:rFonts w:ascii="Times New Roman" w:hAnsi="Times New Roman" w:cs="Times New Roman"/>
          <w:sz w:val="26"/>
          <w:szCs w:val="26"/>
        </w:rPr>
      </w:pPr>
      <w:r w:rsidRPr="00DE636F">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факторами и кадастровой стоимостью обратная, то есть при росте этих факторов кадастровая стоимость уменьшается. 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483CB12B" w14:textId="02776563" w:rsidR="002D0712" w:rsidRDefault="00153B5F" w:rsidP="006F6435">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72F9056F" w14:textId="77777777" w:rsidR="00DE636F" w:rsidRPr="00DE636F" w:rsidRDefault="00DE636F" w:rsidP="006F6435">
      <w:pPr>
        <w:spacing w:after="0" w:line="276" w:lineRule="auto"/>
        <w:ind w:firstLine="709"/>
        <w:jc w:val="both"/>
        <w:rPr>
          <w:rFonts w:ascii="Times New Roman" w:eastAsiaTheme="minorEastAsia" w:hAnsi="Times New Roman" w:cs="Times New Roman"/>
          <w:sz w:val="26"/>
          <w:szCs w:val="26"/>
        </w:rPr>
      </w:pPr>
    </w:p>
    <w:p w14:paraId="4D3FAC66" w14:textId="523563AE" w:rsidR="000D568A" w:rsidRDefault="000D568A" w:rsidP="006F6435">
      <w:pPr>
        <w:spacing w:after="0" w:line="276" w:lineRule="auto"/>
        <w:ind w:firstLine="709"/>
        <w:jc w:val="both"/>
        <w:rPr>
          <w:rFonts w:ascii="Times New Roman" w:eastAsiaTheme="minorEastAsia" w:hAnsi="Times New Roman" w:cs="Times New Roman"/>
          <w:sz w:val="16"/>
          <w:szCs w:val="16"/>
        </w:rPr>
      </w:pPr>
    </w:p>
    <w:p w14:paraId="653DFE46" w14:textId="1650AB22" w:rsidR="002E428C" w:rsidRDefault="002E428C" w:rsidP="006F6435">
      <w:pPr>
        <w:spacing w:after="0" w:line="276" w:lineRule="auto"/>
        <w:ind w:firstLine="709"/>
        <w:jc w:val="both"/>
        <w:rPr>
          <w:rFonts w:ascii="Times New Roman" w:eastAsiaTheme="minorEastAsia" w:hAnsi="Times New Roman" w:cs="Times New Roman"/>
          <w:sz w:val="16"/>
          <w:szCs w:val="16"/>
        </w:rPr>
      </w:pPr>
    </w:p>
    <w:p w14:paraId="2FC1F9D0" w14:textId="54C71A4B" w:rsidR="002E428C" w:rsidRDefault="002E428C" w:rsidP="006F6435">
      <w:pPr>
        <w:spacing w:after="0" w:line="276" w:lineRule="auto"/>
        <w:ind w:firstLine="709"/>
        <w:jc w:val="both"/>
        <w:rPr>
          <w:rFonts w:ascii="Times New Roman" w:eastAsiaTheme="minorEastAsia" w:hAnsi="Times New Roman" w:cs="Times New Roman"/>
          <w:sz w:val="16"/>
          <w:szCs w:val="16"/>
        </w:rPr>
      </w:pPr>
    </w:p>
    <w:p w14:paraId="75489392" w14:textId="1E94B53C" w:rsidR="002E428C" w:rsidRDefault="002E428C" w:rsidP="006F6435">
      <w:pPr>
        <w:spacing w:after="0" w:line="276" w:lineRule="auto"/>
        <w:ind w:firstLine="709"/>
        <w:jc w:val="both"/>
        <w:rPr>
          <w:rFonts w:ascii="Times New Roman" w:eastAsiaTheme="minorEastAsia" w:hAnsi="Times New Roman" w:cs="Times New Roman"/>
          <w:sz w:val="16"/>
          <w:szCs w:val="16"/>
        </w:rPr>
      </w:pPr>
    </w:p>
    <w:p w14:paraId="49F98F0B" w14:textId="77777777" w:rsidR="002E428C" w:rsidRPr="00D97FE2" w:rsidRDefault="002E428C" w:rsidP="006F6435">
      <w:pPr>
        <w:spacing w:after="0" w:line="276" w:lineRule="auto"/>
        <w:ind w:firstLine="709"/>
        <w:jc w:val="both"/>
        <w:rPr>
          <w:rFonts w:ascii="Times New Roman" w:eastAsiaTheme="minorEastAsia" w:hAnsi="Times New Roman" w:cs="Times New Roman"/>
          <w:sz w:val="16"/>
          <w:szCs w:val="16"/>
        </w:rPr>
      </w:pPr>
    </w:p>
    <w:p w14:paraId="01E63284" w14:textId="586B390A" w:rsidR="00306BF5" w:rsidRPr="00F562A8" w:rsidRDefault="00FE2D52" w:rsidP="002D4BEA">
      <w:pPr>
        <w:pStyle w:val="ab"/>
        <w:ind w:left="0"/>
        <w:jc w:val="center"/>
        <w:outlineLvl w:val="2"/>
        <w:rPr>
          <w:rFonts w:ascii="Times New Roman" w:hAnsi="Times New Roman" w:cs="Times New Roman"/>
          <w:i/>
          <w:sz w:val="26"/>
          <w:szCs w:val="26"/>
        </w:rPr>
      </w:pPr>
      <w:bookmarkStart w:id="300" w:name="_Toc110507027"/>
      <w:r w:rsidRPr="00DC7772">
        <w:rPr>
          <w:rFonts w:ascii="Times New Roman" w:hAnsi="Times New Roman" w:cs="Times New Roman"/>
          <w:i/>
          <w:sz w:val="26"/>
          <w:szCs w:val="26"/>
        </w:rPr>
        <w:t>3.6.13.</w:t>
      </w:r>
      <w:r w:rsidR="00504BC2" w:rsidRPr="00DC7772">
        <w:rPr>
          <w:rFonts w:ascii="Times New Roman" w:hAnsi="Times New Roman" w:cs="Times New Roman"/>
          <w:i/>
          <w:sz w:val="26"/>
          <w:szCs w:val="26"/>
        </w:rPr>
        <w:t>3</w:t>
      </w:r>
      <w:r w:rsidRPr="00DC7772">
        <w:rPr>
          <w:rFonts w:ascii="Times New Roman" w:hAnsi="Times New Roman" w:cs="Times New Roman"/>
          <w:i/>
          <w:sz w:val="26"/>
          <w:szCs w:val="26"/>
        </w:rPr>
        <w:t>.</w:t>
      </w:r>
      <w:r w:rsidRPr="00F562A8">
        <w:rPr>
          <w:rFonts w:ascii="Times New Roman" w:hAnsi="Times New Roman" w:cs="Times New Roman"/>
          <w:i/>
          <w:sz w:val="26"/>
          <w:szCs w:val="26"/>
        </w:rPr>
        <w:t xml:space="preserve"> </w:t>
      </w:r>
      <w:r w:rsidR="00306BF5" w:rsidRPr="00F562A8">
        <w:rPr>
          <w:rFonts w:ascii="Times New Roman" w:hAnsi="Times New Roman" w:cs="Times New Roman"/>
          <w:i/>
          <w:sz w:val="26"/>
          <w:szCs w:val="26"/>
        </w:rPr>
        <w:t xml:space="preserve">Расчет кадастровой стоимости земельных участков группы </w:t>
      </w:r>
      <w:r w:rsidR="005D5311" w:rsidRPr="005D5311">
        <w:rPr>
          <w:rFonts w:ascii="Times New Roman" w:hAnsi="Times New Roman" w:cs="Times New Roman"/>
          <w:i/>
          <w:sz w:val="26"/>
          <w:szCs w:val="26"/>
        </w:rPr>
        <w:t>ИЖС/Прочие ГНП</w:t>
      </w:r>
      <w:bookmarkEnd w:id="300"/>
    </w:p>
    <w:p w14:paraId="627FE515" w14:textId="69C18E24" w:rsidR="002D0712" w:rsidRPr="00F562A8" w:rsidRDefault="002D0712" w:rsidP="006F6435">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59C661CA" w14:textId="2F893FC2" w:rsidR="00504BC2" w:rsidRDefault="00504BC2" w:rsidP="00504BC2">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В со</w:t>
      </w:r>
      <w:r w:rsidRPr="007B32AA">
        <w:rPr>
          <w:rFonts w:ascii="Times New Roman" w:hAnsi="Times New Roman" w:cs="Times New Roman"/>
          <w:sz w:val="26"/>
          <w:szCs w:val="26"/>
        </w:rPr>
        <w:t xml:space="preserve">став группы </w:t>
      </w:r>
      <w:r w:rsidRPr="00E41814">
        <w:rPr>
          <w:rFonts w:ascii="Times New Roman" w:hAnsi="Times New Roman" w:cs="Times New Roman"/>
          <w:sz w:val="26"/>
          <w:szCs w:val="26"/>
        </w:rPr>
        <w:t>ИЖС/</w:t>
      </w:r>
      <w:r w:rsidRPr="00504BC2">
        <w:rPr>
          <w:rFonts w:ascii="Times New Roman" w:hAnsi="Times New Roman" w:cs="Times New Roman"/>
          <w:sz w:val="26"/>
          <w:szCs w:val="26"/>
        </w:rPr>
        <w:t xml:space="preserve"> </w:t>
      </w:r>
      <w:r w:rsidRPr="00327E6F">
        <w:rPr>
          <w:rFonts w:ascii="Times New Roman" w:hAnsi="Times New Roman" w:cs="Times New Roman"/>
          <w:sz w:val="26"/>
          <w:szCs w:val="26"/>
        </w:rPr>
        <w:t>Прочие ГНП</w:t>
      </w:r>
      <w:r w:rsidRPr="00F562A8">
        <w:rPr>
          <w:rFonts w:ascii="Times New Roman" w:hAnsi="Times New Roman" w:cs="Times New Roman"/>
          <w:sz w:val="26"/>
          <w:szCs w:val="26"/>
        </w:rPr>
        <w:t xml:space="preserve"> </w:t>
      </w:r>
      <w:r w:rsidRPr="007B32AA">
        <w:rPr>
          <w:rFonts w:ascii="Times New Roman" w:hAnsi="Times New Roman" w:cs="Times New Roman"/>
          <w:sz w:val="26"/>
          <w:szCs w:val="26"/>
        </w:rPr>
        <w:t>вошли следующие</w:t>
      </w:r>
      <w:r w:rsidRPr="00A50F7F">
        <w:rPr>
          <w:rFonts w:ascii="Times New Roman" w:hAnsi="Times New Roman" w:cs="Times New Roman"/>
          <w:bCs/>
          <w:sz w:val="26"/>
          <w:szCs w:val="26"/>
        </w:rPr>
        <w:t xml:space="preserve"> коды расчета видов использования:</w:t>
      </w:r>
      <w:r w:rsidRPr="007B32AA">
        <w:t xml:space="preserve"> </w:t>
      </w:r>
      <w:r w:rsidRPr="00504BC2">
        <w:rPr>
          <w:rFonts w:ascii="Times New Roman" w:hAnsi="Times New Roman" w:cs="Times New Roman"/>
          <w:bCs/>
          <w:sz w:val="26"/>
          <w:szCs w:val="26"/>
        </w:rPr>
        <w:t>13:000, 02:010, 02:011, 02:013, 02:014, 02:020, 02:021, 02:030, 02:031</w:t>
      </w:r>
      <w:r>
        <w:rPr>
          <w:rFonts w:ascii="Times New Roman" w:hAnsi="Times New Roman" w:cs="Times New Roman"/>
          <w:bCs/>
          <w:sz w:val="26"/>
          <w:szCs w:val="26"/>
        </w:rPr>
        <w:t>.</w:t>
      </w:r>
    </w:p>
    <w:p w14:paraId="772CA221" w14:textId="24782208"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327E6F" w:rsidRPr="00327E6F">
        <w:rPr>
          <w:rFonts w:ascii="Times New Roman" w:hAnsi="Times New Roman" w:cs="Times New Roman"/>
          <w:sz w:val="26"/>
          <w:szCs w:val="26"/>
        </w:rPr>
        <w:t>ИЖС/Прочие ГНП</w:t>
      </w:r>
      <w:r w:rsidR="00327E6F" w:rsidRPr="00F562A8">
        <w:rPr>
          <w:rFonts w:ascii="Times New Roman" w:hAnsi="Times New Roman" w:cs="Times New Roman"/>
          <w:sz w:val="26"/>
          <w:szCs w:val="26"/>
        </w:rPr>
        <w:t xml:space="preserve">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0654C454" w14:textId="48EA6C90" w:rsidR="00306BF5" w:rsidRPr="00F562A8" w:rsidRDefault="00F77023" w:rsidP="006F6435">
      <w:pPr>
        <w:pStyle w:val="ConsPlusNormal"/>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Согласно п.45.1.1 Указаний</w:t>
      </w:r>
      <w:r w:rsidR="00306BF5" w:rsidRPr="00F562A8">
        <w:rPr>
          <w:rFonts w:ascii="Times New Roman" w:hAnsi="Times New Roman" w:cs="Times New Roman"/>
          <w:sz w:val="26"/>
          <w:szCs w:val="26"/>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7CFC8A20"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7F4BF5FE"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20290198"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602EE27C"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01B386B8"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5F43E1E3"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5BF7E00C" w14:textId="77777777" w:rsidR="00B422FF" w:rsidRDefault="00306BF5" w:rsidP="00B422F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w:t>
      </w:r>
      <w:r w:rsidR="00C44BF9">
        <w:rPr>
          <w:rFonts w:ascii="Times New Roman" w:hAnsi="Times New Roman" w:cs="Times New Roman"/>
          <w:sz w:val="26"/>
          <w:szCs w:val="26"/>
        </w:rPr>
        <w:t xml:space="preserve">прочих </w:t>
      </w:r>
      <w:r w:rsidR="001E0A67" w:rsidRPr="00F562A8">
        <w:rPr>
          <w:rFonts w:ascii="Times New Roman" w:hAnsi="Times New Roman" w:cs="Times New Roman"/>
          <w:sz w:val="26"/>
          <w:szCs w:val="26"/>
        </w:rPr>
        <w:t xml:space="preserve">городских </w:t>
      </w:r>
      <w:r w:rsidRPr="00F562A8">
        <w:rPr>
          <w:rFonts w:ascii="Times New Roman" w:hAnsi="Times New Roman" w:cs="Times New Roman"/>
          <w:sz w:val="26"/>
          <w:szCs w:val="26"/>
        </w:rPr>
        <w:t xml:space="preserve">населенных пунктах Воронежской </w:t>
      </w:r>
      <w:r w:rsidRPr="009E0501">
        <w:rPr>
          <w:rFonts w:ascii="Times New Roman" w:hAnsi="Times New Roman" w:cs="Times New Roman"/>
          <w:sz w:val="26"/>
          <w:szCs w:val="26"/>
        </w:rPr>
        <w:t>области, с численностью населения меньше 30000 человек, ставится задача статистическими методами определить влияние ценообразующих факторов на кадастровую</w:t>
      </w:r>
      <w:r w:rsidRPr="00F562A8">
        <w:rPr>
          <w:rFonts w:ascii="Times New Roman" w:hAnsi="Times New Roman" w:cs="Times New Roman"/>
          <w:sz w:val="26"/>
          <w:szCs w:val="26"/>
        </w:rPr>
        <w:t xml:space="preserve">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22 </w:t>
      </w:r>
      <w:r w:rsidR="00B422FF" w:rsidRPr="00F562A8">
        <w:rPr>
          <w:rFonts w:ascii="Times New Roman" w:hAnsi="Times New Roman" w:cs="Times New Roman"/>
          <w:sz w:val="26"/>
          <w:szCs w:val="26"/>
        </w:rPr>
        <w:t>представлены в таблиц</w:t>
      </w:r>
      <w:r w:rsidR="00B422FF">
        <w:rPr>
          <w:rFonts w:ascii="Times New Roman" w:hAnsi="Times New Roman" w:cs="Times New Roman"/>
          <w:sz w:val="26"/>
          <w:szCs w:val="26"/>
        </w:rPr>
        <w:t>ах</w:t>
      </w:r>
      <w:r w:rsidR="00B422FF" w:rsidRPr="00F562A8">
        <w:rPr>
          <w:rFonts w:ascii="Times New Roman" w:hAnsi="Times New Roman" w:cs="Times New Roman"/>
          <w:sz w:val="26"/>
          <w:szCs w:val="26"/>
        </w:rPr>
        <w:t xml:space="preserve"> </w:t>
      </w:r>
      <w:r w:rsidR="00B422FF" w:rsidRPr="00F562A8">
        <w:rPr>
          <w:rFonts w:ascii="Times New Roman" w:eastAsia="Times New Roman" w:hAnsi="Times New Roman" w:cs="Times New Roman"/>
          <w:sz w:val="26"/>
          <w:szCs w:val="26"/>
        </w:rPr>
        <w:t>3.</w:t>
      </w:r>
      <w:r w:rsidR="00B422FF">
        <w:rPr>
          <w:rFonts w:ascii="Times New Roman" w:eastAsia="Times New Roman" w:hAnsi="Times New Roman" w:cs="Times New Roman"/>
          <w:sz w:val="26"/>
          <w:szCs w:val="26"/>
        </w:rPr>
        <w:t>4 и 3.5, пунктов 3.4 и 3.5 соответственно</w:t>
      </w:r>
      <w:r w:rsidR="00B422FF" w:rsidRPr="00F562A8">
        <w:rPr>
          <w:rFonts w:ascii="Times New Roman" w:hAnsi="Times New Roman" w:cs="Times New Roman"/>
          <w:sz w:val="26"/>
          <w:szCs w:val="26"/>
        </w:rPr>
        <w:t>.</w:t>
      </w:r>
      <w:r w:rsidR="00B422FF">
        <w:rPr>
          <w:rFonts w:ascii="Times New Roman" w:hAnsi="Times New Roman" w:cs="Times New Roman"/>
          <w:sz w:val="26"/>
          <w:szCs w:val="26"/>
        </w:rPr>
        <w:t xml:space="preserve"> </w:t>
      </w:r>
    </w:p>
    <w:p w14:paraId="12B8A662"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50D3B772"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65318099" w14:textId="5935F1DC"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C44BF9">
        <w:rPr>
          <w:rFonts w:ascii="Times New Roman" w:hAnsi="Times New Roman" w:cs="Times New Roman"/>
          <w:sz w:val="26"/>
          <w:szCs w:val="26"/>
        </w:rPr>
        <w:t>4</w:t>
      </w:r>
      <w:r w:rsidRPr="00F562A8">
        <w:rPr>
          <w:rFonts w:ascii="Times New Roman" w:hAnsi="Times New Roman" w:cs="Times New Roman"/>
          <w:sz w:val="26"/>
          <w:szCs w:val="26"/>
        </w:rPr>
        <w:t>:</w:t>
      </w:r>
    </w:p>
    <w:p w14:paraId="48F4837D" w14:textId="5DE84609" w:rsidR="00D67CB5" w:rsidRPr="00F562A8" w:rsidRDefault="00D67CB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C44BF9" w:rsidRPr="00F562A8">
        <w:rPr>
          <w:rFonts w:ascii="Times New Roman" w:hAnsi="Times New Roman" w:cs="Times New Roman"/>
          <w:sz w:val="26"/>
          <w:szCs w:val="26"/>
        </w:rPr>
        <w:t>численность населения в населенном пункте</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48CD055A" w14:textId="373A1E0E" w:rsidR="00D67CB5" w:rsidRPr="00F562A8" w:rsidRDefault="00D67CB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C44BF9" w:rsidRPr="00F562A8">
        <w:rPr>
          <w:rFonts w:ascii="Times New Roman" w:hAnsi="Times New Roman" w:cs="Times New Roman"/>
          <w:sz w:val="26"/>
          <w:szCs w:val="26"/>
        </w:rPr>
        <w:t>расстояние объекта до центра населенного пункта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w:t>
      </w:r>
    </w:p>
    <w:p w14:paraId="689C22EB" w14:textId="1CBCF110" w:rsidR="00D67CB5" w:rsidRPr="00F562A8" w:rsidRDefault="00D67CB5" w:rsidP="006F6435">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xml:space="preserve">- </w:t>
      </w:r>
      <w:r w:rsidR="00C44BF9" w:rsidRPr="00F562A8">
        <w:rPr>
          <w:rFonts w:ascii="Times New Roman" w:hAnsi="Times New Roman" w:cs="Times New Roman"/>
          <w:sz w:val="26"/>
          <w:szCs w:val="26"/>
        </w:rPr>
        <w:t>расстояние объекта от населенного пункта до центра муниципального района (городского округа</w:t>
      </w:r>
      <w:r w:rsidR="00C44BF9" w:rsidRPr="00F562A8">
        <w:rPr>
          <w:rFonts w:ascii="Times New Roman" w:hAnsi="Times New Roman" w:cs="Times New Roman"/>
          <w:i/>
          <w:sz w:val="26"/>
          <w:szCs w:val="26"/>
        </w:rPr>
        <w:t>)</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2;</w:t>
      </w:r>
    </w:p>
    <w:p w14:paraId="7B77F455" w14:textId="593D6825" w:rsidR="00D67CB5" w:rsidRPr="00F562A8" w:rsidRDefault="00D67CB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C44BF9" w:rsidRPr="00F562A8">
        <w:rPr>
          <w:rFonts w:ascii="Times New Roman" w:hAnsi="Times New Roman" w:cs="Times New Roman"/>
          <w:sz w:val="26"/>
          <w:szCs w:val="26"/>
        </w:rPr>
        <w:t>центральное водоснабжение</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3</w:t>
      </w:r>
      <w:r w:rsidR="00C44BF9">
        <w:rPr>
          <w:rFonts w:ascii="Times New Roman" w:hAnsi="Times New Roman" w:cs="Times New Roman"/>
          <w:sz w:val="26"/>
          <w:szCs w:val="26"/>
          <w:vertAlign w:val="subscript"/>
        </w:rPr>
        <w:t>.</w:t>
      </w:r>
    </w:p>
    <w:p w14:paraId="66D0ECDF"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781C0A83"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66CC4C2F" w14:textId="35F7677A"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 основании отбора факторов были построены множественные регрессионные </w:t>
      </w:r>
      <w:r w:rsidR="001E0A67" w:rsidRPr="00F562A8">
        <w:rPr>
          <w:rFonts w:ascii="Times New Roman" w:hAnsi="Times New Roman" w:cs="Times New Roman"/>
          <w:sz w:val="26"/>
          <w:szCs w:val="26"/>
        </w:rPr>
        <w:t>пяти</w:t>
      </w:r>
      <w:r w:rsidRPr="00F562A8">
        <w:rPr>
          <w:rFonts w:ascii="Times New Roman" w:hAnsi="Times New Roman" w:cs="Times New Roman"/>
          <w:sz w:val="26"/>
          <w:szCs w:val="26"/>
        </w:rPr>
        <w:t>факторные модели:</w:t>
      </w:r>
    </w:p>
    <w:p w14:paraId="46938602" w14:textId="77777777" w:rsidR="00306BF5" w:rsidRPr="00F562A8" w:rsidRDefault="00306BF5" w:rsidP="006F6435">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72594C46" wp14:editId="66CFFEF5">
            <wp:extent cx="2209800" cy="247650"/>
            <wp:effectExtent l="0" t="0" r="0" b="0"/>
            <wp:docPr id="706" name="Рисунок 706"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2488D9E3"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5474F291" wp14:editId="258A7E4B">
            <wp:extent cx="1352550" cy="266700"/>
            <wp:effectExtent l="0" t="0" r="0" b="0"/>
            <wp:docPr id="707" name="Рисунок 707"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311BA72B"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4D1BC003" wp14:editId="3CA218D8">
            <wp:extent cx="1266825" cy="266700"/>
            <wp:effectExtent l="0" t="0" r="0" b="0"/>
            <wp:docPr id="708" name="Рисунок 708"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0CE8DDF6"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5C97E8D4"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4ACBEB46"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319FE392" wp14:editId="5DEA2E5B">
            <wp:extent cx="209550" cy="247650"/>
            <wp:effectExtent l="0" t="0" r="0" b="0"/>
            <wp:docPr id="709" name="Рисунок 709"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7C013C7C" wp14:editId="567A62AC">
            <wp:extent cx="200025" cy="247650"/>
            <wp:effectExtent l="0" t="0" r="9525" b="0"/>
            <wp:docPr id="710" name="Рисунок 710"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3028439E" wp14:editId="13B6C3CA">
            <wp:extent cx="209550" cy="247650"/>
            <wp:effectExtent l="0" t="0" r="0" b="0"/>
            <wp:docPr id="711" name="Рисунок 711"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0C0DC99B" w14:textId="1A69B2F4" w:rsidR="00306BF5" w:rsidRPr="00F562A8" w:rsidRDefault="0036508F" w:rsidP="006F6435">
      <w:pPr>
        <w:spacing w:after="0" w:line="276" w:lineRule="auto"/>
        <w:jc w:val="both"/>
        <w:rPr>
          <w:rFonts w:ascii="Times New Roman" w:hAnsi="Times New Roman" w:cs="Times New Roman"/>
          <w:lang w:val="en-US"/>
        </w:rPr>
      </w:pPr>
      <w:r w:rsidRPr="00A264E2">
        <w:rPr>
          <w:noProof/>
          <w:lang w:eastAsia="ru-RU"/>
        </w:rPr>
        <w:drawing>
          <wp:inline distT="0" distB="0" distL="0" distR="0" wp14:anchorId="576753DB" wp14:editId="69BD3366">
            <wp:extent cx="5939790" cy="776522"/>
            <wp:effectExtent l="0" t="0" r="3810" b="508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5939790" cy="776522"/>
                    </a:xfrm>
                    <a:prstGeom prst="rect">
                      <a:avLst/>
                    </a:prstGeom>
                  </pic:spPr>
                </pic:pic>
              </a:graphicData>
            </a:graphic>
          </wp:inline>
        </w:drawing>
      </w:r>
    </w:p>
    <w:p w14:paraId="07FBE560" w14:textId="7E25E2A3"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917CE0" w:rsidRPr="00F562A8">
        <w:rPr>
          <w:rFonts w:ascii="Times New Roman" w:hAnsi="Times New Roman" w:cs="Times New Roman"/>
          <w:sz w:val="26"/>
          <w:szCs w:val="26"/>
        </w:rPr>
        <w:t xml:space="preserve"> 3.6.13.</w:t>
      </w:r>
      <w:r w:rsidR="00504BC2">
        <w:rPr>
          <w:rFonts w:ascii="Times New Roman" w:hAnsi="Times New Roman" w:cs="Times New Roman"/>
          <w:sz w:val="26"/>
          <w:szCs w:val="26"/>
        </w:rPr>
        <w:t>3</w:t>
      </w:r>
      <w:r w:rsidR="007646A7">
        <w:rPr>
          <w:rFonts w:ascii="Times New Roman" w:hAnsi="Times New Roman" w:cs="Times New Roman"/>
          <w:sz w:val="26"/>
          <w:szCs w:val="26"/>
        </w:rPr>
        <w:t>.1</w:t>
      </w:r>
      <w:r w:rsidR="00917CE0" w:rsidRPr="00F562A8">
        <w:rPr>
          <w:rFonts w:ascii="Times New Roman" w:hAnsi="Times New Roman" w:cs="Times New Roman"/>
          <w:sz w:val="26"/>
          <w:szCs w:val="26"/>
        </w:rPr>
        <w:t xml:space="preserve"> </w:t>
      </w:r>
      <w:r w:rsidRPr="00F562A8">
        <w:rPr>
          <w:rFonts w:ascii="Times New Roman" w:hAnsi="Times New Roman" w:cs="Times New Roman"/>
          <w:sz w:val="26"/>
          <w:szCs w:val="26"/>
        </w:rPr>
        <w:t xml:space="preserve">- Множественные регрессионные </w:t>
      </w:r>
      <w:r w:rsidR="001E0A67" w:rsidRPr="00F562A8">
        <w:rPr>
          <w:rFonts w:ascii="Times New Roman" w:hAnsi="Times New Roman" w:cs="Times New Roman"/>
          <w:sz w:val="26"/>
          <w:szCs w:val="26"/>
        </w:rPr>
        <w:t>пяти</w:t>
      </w:r>
      <w:r w:rsidRPr="00F562A8">
        <w:rPr>
          <w:rFonts w:ascii="Times New Roman" w:hAnsi="Times New Roman" w:cs="Times New Roman"/>
          <w:sz w:val="26"/>
          <w:szCs w:val="26"/>
        </w:rPr>
        <w:t>факторные модели</w:t>
      </w:r>
    </w:p>
    <w:p w14:paraId="659B51D7" w14:textId="3894C82A"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129F8744"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0D14ED3C"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76DDCCBE"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36048CD6"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679BB24D"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5B141587"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2C8AC8EA"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634A8FEC" w14:textId="335A1EE9" w:rsidR="00306BF5" w:rsidRPr="00F562A8" w:rsidRDefault="0036508F" w:rsidP="009C19A6">
      <w:pPr>
        <w:spacing w:after="0" w:line="276" w:lineRule="auto"/>
        <w:jc w:val="center"/>
        <w:rPr>
          <w:rFonts w:ascii="Times New Roman" w:hAnsi="Times New Roman" w:cs="Times New Roman"/>
        </w:rPr>
      </w:pPr>
      <w:r w:rsidRPr="00A264E2">
        <w:rPr>
          <w:noProof/>
          <w:lang w:eastAsia="ru-RU"/>
        </w:rPr>
        <w:drawing>
          <wp:inline distT="0" distB="0" distL="0" distR="0" wp14:anchorId="3C6D9131" wp14:editId="2B46A14D">
            <wp:extent cx="5838825" cy="1427268"/>
            <wp:effectExtent l="0" t="0" r="0" b="1905"/>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7"/>
                    <a:srcRect r="9039"/>
                    <a:stretch/>
                  </pic:blipFill>
                  <pic:spPr bwMode="auto">
                    <a:xfrm>
                      <a:off x="0" y="0"/>
                      <a:ext cx="5851797" cy="1430439"/>
                    </a:xfrm>
                    <a:prstGeom prst="rect">
                      <a:avLst/>
                    </a:prstGeom>
                    <a:ln>
                      <a:noFill/>
                    </a:ln>
                    <a:extLst>
                      <a:ext uri="{53640926-AAD7-44D8-BBD7-CCE9431645EC}">
                        <a14:shadowObscured xmlns:a14="http://schemas.microsoft.com/office/drawing/2010/main"/>
                      </a:ext>
                    </a:extLst>
                  </pic:spPr>
                </pic:pic>
              </a:graphicData>
            </a:graphic>
          </wp:inline>
        </w:drawing>
      </w:r>
    </w:p>
    <w:p w14:paraId="3E80458C" w14:textId="27004B1B" w:rsidR="00306BF5" w:rsidRPr="00F562A8" w:rsidRDefault="00306BF5" w:rsidP="006F6435">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917CE0" w:rsidRPr="00F562A8">
        <w:rPr>
          <w:rFonts w:ascii="Times New Roman" w:hAnsi="Times New Roman" w:cs="Times New Roman"/>
          <w:sz w:val="26"/>
          <w:szCs w:val="26"/>
        </w:rPr>
        <w:t xml:space="preserve"> 3.6.13.</w:t>
      </w:r>
      <w:r w:rsidR="00504BC2">
        <w:rPr>
          <w:rFonts w:ascii="Times New Roman" w:hAnsi="Times New Roman" w:cs="Times New Roman"/>
          <w:sz w:val="26"/>
          <w:szCs w:val="26"/>
        </w:rPr>
        <w:t>3</w:t>
      </w:r>
      <w:r w:rsidR="007646A7">
        <w:rPr>
          <w:rFonts w:ascii="Times New Roman" w:hAnsi="Times New Roman" w:cs="Times New Roman"/>
          <w:sz w:val="26"/>
          <w:szCs w:val="26"/>
        </w:rPr>
        <w:t>.2</w:t>
      </w:r>
      <w:r w:rsidR="00917CE0" w:rsidRPr="00F562A8">
        <w:rPr>
          <w:rFonts w:ascii="Times New Roman" w:hAnsi="Times New Roman" w:cs="Times New Roman"/>
          <w:sz w:val="26"/>
          <w:szCs w:val="26"/>
        </w:rPr>
        <w:t xml:space="preserve"> </w:t>
      </w:r>
      <w:r w:rsidRPr="00F562A8">
        <w:rPr>
          <w:rFonts w:ascii="Times New Roman" w:hAnsi="Times New Roman" w:cs="Times New Roman"/>
          <w:sz w:val="26"/>
          <w:szCs w:val="26"/>
        </w:rPr>
        <w:t>-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59F8EC84"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3D9669EE"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4E6AB177"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6E27128C" w14:textId="030D15D6" w:rsidR="00306BF5" w:rsidRPr="00F562A8" w:rsidRDefault="00767F92" w:rsidP="00767F92">
      <w:pPr>
        <w:spacing w:after="0" w:line="276" w:lineRule="auto"/>
        <w:jc w:val="center"/>
        <w:rPr>
          <w:rFonts w:ascii="Times New Roman" w:hAnsi="Times New Roman" w:cs="Times New Roman"/>
          <w:sz w:val="26"/>
          <w:szCs w:val="26"/>
          <w:lang w:val="en-US"/>
        </w:rPr>
      </w:pPr>
      <w:r w:rsidRPr="005C0959">
        <w:rPr>
          <w:noProof/>
          <w:lang w:eastAsia="ru-RU"/>
        </w:rPr>
        <w:drawing>
          <wp:inline distT="0" distB="0" distL="0" distR="0" wp14:anchorId="0BF88852" wp14:editId="72F7B8B3">
            <wp:extent cx="2895599" cy="920097"/>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2903749" cy="922687"/>
                    </a:xfrm>
                    <a:prstGeom prst="rect">
                      <a:avLst/>
                    </a:prstGeom>
                  </pic:spPr>
                </pic:pic>
              </a:graphicData>
            </a:graphic>
          </wp:inline>
        </w:drawing>
      </w:r>
    </w:p>
    <w:p w14:paraId="6BFF6969" w14:textId="3B9EFFF9" w:rsidR="00306BF5" w:rsidRPr="00F562A8" w:rsidRDefault="00306BF5" w:rsidP="006F6435">
      <w:pPr>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917CE0" w:rsidRPr="00F562A8">
        <w:rPr>
          <w:rFonts w:ascii="Times New Roman" w:hAnsi="Times New Roman" w:cs="Times New Roman"/>
          <w:sz w:val="26"/>
          <w:szCs w:val="26"/>
        </w:rPr>
        <w:t xml:space="preserve"> 3.6.13.</w:t>
      </w:r>
      <w:r w:rsidR="00504BC2">
        <w:rPr>
          <w:rFonts w:ascii="Times New Roman" w:hAnsi="Times New Roman" w:cs="Times New Roman"/>
          <w:sz w:val="26"/>
          <w:szCs w:val="26"/>
        </w:rPr>
        <w:t>3</w:t>
      </w:r>
      <w:r w:rsidR="007646A7">
        <w:rPr>
          <w:rFonts w:ascii="Times New Roman" w:hAnsi="Times New Roman" w:cs="Times New Roman"/>
          <w:sz w:val="26"/>
          <w:szCs w:val="26"/>
        </w:rPr>
        <w:t>.3</w:t>
      </w:r>
      <w:r w:rsidR="00917CE0" w:rsidRPr="00F562A8">
        <w:rPr>
          <w:rFonts w:ascii="Times New Roman" w:hAnsi="Times New Roman" w:cs="Times New Roman"/>
          <w:sz w:val="26"/>
          <w:szCs w:val="26"/>
        </w:rPr>
        <w:t xml:space="preserve"> </w:t>
      </w:r>
      <w:r w:rsidRPr="00F562A8">
        <w:rPr>
          <w:rFonts w:ascii="Times New Roman" w:hAnsi="Times New Roman" w:cs="Times New Roman"/>
          <w:sz w:val="26"/>
          <w:szCs w:val="26"/>
        </w:rPr>
        <w:t>- Значения F-критерия Фишера</w:t>
      </w:r>
    </w:p>
    <w:p w14:paraId="407BD85B" w14:textId="77777777" w:rsidR="00306BF5" w:rsidRPr="00F562A8" w:rsidRDefault="00306BF5" w:rsidP="006F6435">
      <w:pPr>
        <w:spacing w:after="0" w:line="276"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все три модели адекватно описывают статистические данные и их можно использовать для анализа и прогнозирования кадастровой стоимости (результативного признака). </w:t>
      </w:r>
    </w:p>
    <w:p w14:paraId="6A27F498"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Наибольшее значение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имеет аддитивная модель, однако было учтено то, что она построена на основании ограниченной выборочной совокупности и адекватна на ограниченных интервалах независимых переменных. При расширении исходных данных прогнозное значение кадастровой стоимости может перейти в отрицательную область, что противоречит ее смыслу. Исходя из этого, для прогнозирования рационально выбрать экспоненциальную модель, которая всегда дает положительный прогноз. Экспоненциальная регрессионная модель имеет вид:</w:t>
      </w:r>
    </w:p>
    <w:p w14:paraId="23F6245C" w14:textId="33F5C0AB" w:rsidR="0036508F" w:rsidRPr="00A264E2" w:rsidRDefault="00306BF5" w:rsidP="0036508F">
      <w:pPr>
        <w:spacing w:after="0" w:line="240" w:lineRule="auto"/>
        <w:ind w:firstLine="851"/>
        <w:jc w:val="both"/>
        <w:rPr>
          <w:rFonts w:ascii="Arial" w:eastAsia="Times New Roman" w:hAnsi="Arial" w:cs="Arial"/>
          <w:sz w:val="20"/>
          <w:szCs w:val="20"/>
          <w:lang w:eastAsia="ru-RU"/>
        </w:rPr>
      </w:pPr>
      <w:r w:rsidRPr="00F562A8">
        <w:rPr>
          <w:rFonts w:ascii="Times New Roman" w:hAnsi="Times New Roman" w:cs="Times New Roman"/>
          <w:i/>
          <w:sz w:val="26"/>
          <w:szCs w:val="26"/>
        </w:rPr>
        <w:t>УПКС =</w:t>
      </w:r>
      <w:r w:rsidR="0036508F" w:rsidRPr="0036508F">
        <w:rPr>
          <w:rFonts w:ascii="Times New Roman" w:hAnsi="Times New Roman" w:cs="Times New Roman"/>
          <w:i/>
          <w:sz w:val="26"/>
          <w:szCs w:val="26"/>
        </w:rPr>
        <w:t>55.5819686750465*e^(+0.0000090349256573661*__Численность населения в населенном пункте+0.000206958209142753*((7451.926+-1552.294-гнп Расстояние объекта до центра населенного пункта))</w:t>
      </w:r>
      <w:r w:rsidR="0036508F">
        <w:rPr>
          <w:rFonts w:ascii="Times New Roman" w:hAnsi="Times New Roman" w:cs="Times New Roman"/>
          <w:i/>
          <w:sz w:val="26"/>
          <w:szCs w:val="26"/>
        </w:rPr>
        <w:t xml:space="preserve"> </w:t>
      </w:r>
      <w:r w:rsidR="0036508F" w:rsidRPr="0036508F">
        <w:rPr>
          <w:rFonts w:ascii="Times New Roman" w:hAnsi="Times New Roman" w:cs="Times New Roman"/>
          <w:i/>
          <w:sz w:val="26"/>
          <w:szCs w:val="26"/>
        </w:rPr>
        <w:t>+0.017592508249956*((42.00+0.00-гнп Расстояние от населенного пункта до центра муниципального района  (городского округа)))+0.311737857399885*([гнп Центральное водоснабжение]))</w:t>
      </w:r>
    </w:p>
    <w:p w14:paraId="34A97348" w14:textId="6EEC17CE" w:rsidR="00306BF5" w:rsidRPr="00F562A8" w:rsidRDefault="009E6141" w:rsidP="0036508F">
      <w:pPr>
        <w:jc w:val="both"/>
        <w:rPr>
          <w:rFonts w:ascii="Times New Roman" w:hAnsi="Times New Roman" w:cs="Times New Roman"/>
          <w:i/>
          <w:szCs w:val="24"/>
        </w:rPr>
      </w:pPr>
      <w:r w:rsidRPr="00A264E2">
        <w:rPr>
          <w:noProof/>
          <w:lang w:eastAsia="ru-RU"/>
        </w:rPr>
        <w:drawing>
          <wp:inline distT="0" distB="0" distL="0" distR="0" wp14:anchorId="6ABA76F9" wp14:editId="74294940">
            <wp:extent cx="5939790" cy="3689591"/>
            <wp:effectExtent l="0" t="0" r="3810" b="635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5939790" cy="3689591"/>
                    </a:xfrm>
                    <a:prstGeom prst="rect">
                      <a:avLst/>
                    </a:prstGeom>
                  </pic:spPr>
                </pic:pic>
              </a:graphicData>
            </a:graphic>
          </wp:inline>
        </w:drawing>
      </w:r>
    </w:p>
    <w:p w14:paraId="63B86AFE" w14:textId="5F3CAA16"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917CE0" w:rsidRPr="00F562A8">
        <w:rPr>
          <w:rFonts w:ascii="Times New Roman" w:hAnsi="Times New Roman" w:cs="Times New Roman"/>
          <w:sz w:val="26"/>
          <w:szCs w:val="26"/>
        </w:rPr>
        <w:t xml:space="preserve"> 3.6.13.</w:t>
      </w:r>
      <w:r w:rsidR="00504BC2">
        <w:rPr>
          <w:rFonts w:ascii="Times New Roman" w:hAnsi="Times New Roman" w:cs="Times New Roman"/>
          <w:sz w:val="26"/>
          <w:szCs w:val="26"/>
        </w:rPr>
        <w:t>3</w:t>
      </w:r>
      <w:r w:rsidR="007646A7">
        <w:rPr>
          <w:rFonts w:ascii="Times New Roman" w:hAnsi="Times New Roman" w:cs="Times New Roman"/>
          <w:sz w:val="26"/>
          <w:szCs w:val="26"/>
        </w:rPr>
        <w:t>.4</w:t>
      </w:r>
      <w:r w:rsidR="00917CE0" w:rsidRPr="00F562A8">
        <w:rPr>
          <w:rFonts w:ascii="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34ED8A4F" w14:textId="325B313A"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w:t>
      </w:r>
      <w:r w:rsidR="009E0501">
        <w:rPr>
          <w:rFonts w:ascii="Times New Roman" w:hAnsi="Times New Roman" w:cs="Times New Roman"/>
          <w:sz w:val="26"/>
          <w:szCs w:val="26"/>
        </w:rPr>
        <w:t>а</w:t>
      </w:r>
      <w:r w:rsidRPr="00F562A8">
        <w:rPr>
          <w:rFonts w:ascii="Times New Roman" w:hAnsi="Times New Roman" w:cs="Times New Roman"/>
          <w:sz w:val="26"/>
          <w:szCs w:val="26"/>
        </w:rPr>
        <w:t>м</w:t>
      </w:r>
      <w:r w:rsidR="009E0501">
        <w:rPr>
          <w:rFonts w:ascii="Times New Roman" w:hAnsi="Times New Roman" w:cs="Times New Roman"/>
          <w:sz w:val="26"/>
          <w:szCs w:val="26"/>
        </w:rPr>
        <w:t>и</w:t>
      </w:r>
      <w:r w:rsidR="006353C1" w:rsidRPr="00F562A8">
        <w:rPr>
          <w:rFonts w:ascii="Times New Roman" w:hAnsi="Times New Roman" w:cs="Times New Roman"/>
          <w:sz w:val="26"/>
          <w:szCs w:val="26"/>
        </w:rPr>
        <w:t xml:space="preserve"> Х</w:t>
      </w:r>
      <w:r w:rsidR="006D2DAB">
        <w:rPr>
          <w:rFonts w:ascii="Times New Roman" w:hAnsi="Times New Roman" w:cs="Times New Roman"/>
          <w:sz w:val="26"/>
          <w:szCs w:val="26"/>
          <w:vertAlign w:val="subscript"/>
        </w:rPr>
        <w:t>1,</w:t>
      </w:r>
      <w:r w:rsidR="006353C1" w:rsidRPr="00F562A8">
        <w:rPr>
          <w:rFonts w:ascii="Times New Roman" w:hAnsi="Times New Roman" w:cs="Times New Roman"/>
          <w:sz w:val="26"/>
          <w:szCs w:val="26"/>
          <w:vertAlign w:val="subscript"/>
        </w:rPr>
        <w:t xml:space="preserve"> </w:t>
      </w:r>
      <w:r w:rsidRPr="00F562A8">
        <w:rPr>
          <w:rFonts w:ascii="Times New Roman" w:hAnsi="Times New Roman" w:cs="Times New Roman"/>
          <w:sz w:val="26"/>
          <w:szCs w:val="26"/>
        </w:rPr>
        <w:t>Х</w:t>
      </w:r>
      <w:r w:rsidR="006D2DAB">
        <w:rPr>
          <w:rFonts w:ascii="Times New Roman" w:hAnsi="Times New Roman" w:cs="Times New Roman"/>
          <w:sz w:val="26"/>
          <w:szCs w:val="26"/>
          <w:vertAlign w:val="subscript"/>
        </w:rPr>
        <w:t>2</w:t>
      </w:r>
      <w:r w:rsidR="00622F32" w:rsidRPr="00F562A8">
        <w:rPr>
          <w:rFonts w:ascii="Times New Roman" w:hAnsi="Times New Roman" w:cs="Times New Roman"/>
          <w:sz w:val="26"/>
          <w:szCs w:val="26"/>
          <w:vertAlign w:val="subscript"/>
        </w:rPr>
        <w:t xml:space="preserve"> </w:t>
      </w:r>
      <w:r w:rsidRPr="00F562A8">
        <w:rPr>
          <w:rFonts w:ascii="Times New Roman" w:hAnsi="Times New Roman" w:cs="Times New Roman"/>
          <w:sz w:val="26"/>
          <w:szCs w:val="26"/>
        </w:rPr>
        <w:t>и кадастровой стоимостью обратная, то есть при росте этого фактора кадастровая стоимость уменьшается. Влияние фактора Х</w:t>
      </w:r>
      <w:r w:rsidR="00B72605">
        <w:rPr>
          <w:rFonts w:ascii="Times New Roman" w:hAnsi="Times New Roman" w:cs="Times New Roman"/>
          <w:sz w:val="26"/>
          <w:szCs w:val="26"/>
          <w:vertAlign w:val="subscript"/>
        </w:rPr>
        <w:t>0</w:t>
      </w:r>
      <w:r w:rsidRPr="00F562A8">
        <w:rPr>
          <w:rFonts w:ascii="Times New Roman" w:hAnsi="Times New Roman" w:cs="Times New Roman"/>
          <w:sz w:val="26"/>
          <w:szCs w:val="26"/>
        </w:rPr>
        <w:t xml:space="preserve"> на кадастровую стоимость прямое и с ростом фактора кадастровая стоимость растет</w:t>
      </w:r>
      <w:r w:rsidR="0063261E">
        <w:rPr>
          <w:rFonts w:ascii="Times New Roman" w:hAnsi="Times New Roman" w:cs="Times New Roman"/>
          <w:sz w:val="26"/>
          <w:szCs w:val="26"/>
        </w:rPr>
        <w:t xml:space="preserve">. </w:t>
      </w:r>
      <w:r w:rsidRPr="00F562A8">
        <w:rPr>
          <w:rFonts w:ascii="Times New Roman" w:hAnsi="Times New Roman" w:cs="Times New Roman"/>
          <w:sz w:val="26"/>
          <w:szCs w:val="26"/>
        </w:rPr>
        <w:t>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3F15BC9A" w14:textId="3361062C" w:rsidR="002D0712" w:rsidRDefault="00153B5F" w:rsidP="006F6435">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6E4D79CA" w14:textId="6F7C57AF" w:rsidR="00C06D32" w:rsidRDefault="00C06D32" w:rsidP="006F6435">
      <w:pPr>
        <w:spacing w:after="0" w:line="276" w:lineRule="auto"/>
        <w:ind w:firstLine="709"/>
        <w:jc w:val="both"/>
        <w:rPr>
          <w:rFonts w:ascii="Times New Roman" w:eastAsiaTheme="minorEastAsia" w:hAnsi="Times New Roman" w:cs="Times New Roman"/>
          <w:sz w:val="26"/>
          <w:szCs w:val="26"/>
        </w:rPr>
      </w:pPr>
    </w:p>
    <w:p w14:paraId="3834D74B" w14:textId="25173E2D" w:rsidR="00520F23" w:rsidRPr="00F562A8" w:rsidRDefault="00520F23" w:rsidP="00520F23">
      <w:pPr>
        <w:pStyle w:val="ab"/>
        <w:ind w:left="0"/>
        <w:jc w:val="center"/>
        <w:outlineLvl w:val="2"/>
        <w:rPr>
          <w:rFonts w:ascii="Times New Roman" w:hAnsi="Times New Roman" w:cs="Times New Roman"/>
          <w:i/>
          <w:sz w:val="26"/>
          <w:szCs w:val="26"/>
        </w:rPr>
      </w:pPr>
      <w:bookmarkStart w:id="301" w:name="_Toc110507028"/>
      <w:r w:rsidRPr="00DC7772">
        <w:rPr>
          <w:rFonts w:ascii="Times New Roman" w:hAnsi="Times New Roman" w:cs="Times New Roman"/>
          <w:i/>
          <w:sz w:val="26"/>
          <w:szCs w:val="26"/>
        </w:rPr>
        <w:t>3.6.13.</w:t>
      </w:r>
      <w:r w:rsidR="00504BC2" w:rsidRPr="00DC7772">
        <w:rPr>
          <w:rFonts w:ascii="Times New Roman" w:hAnsi="Times New Roman" w:cs="Times New Roman"/>
          <w:i/>
          <w:sz w:val="26"/>
          <w:szCs w:val="26"/>
        </w:rPr>
        <w:t>4</w:t>
      </w:r>
      <w:r w:rsidRPr="00DC7772">
        <w:rPr>
          <w:rFonts w:ascii="Times New Roman" w:hAnsi="Times New Roman" w:cs="Times New Roman"/>
          <w:i/>
          <w:sz w:val="26"/>
          <w:szCs w:val="26"/>
        </w:rPr>
        <w:t>. Расчет</w:t>
      </w:r>
      <w:r w:rsidRPr="00F562A8">
        <w:rPr>
          <w:rFonts w:ascii="Times New Roman" w:hAnsi="Times New Roman" w:cs="Times New Roman"/>
          <w:i/>
          <w:sz w:val="26"/>
          <w:szCs w:val="26"/>
        </w:rPr>
        <w:t xml:space="preserve"> кадастровой стоимости земельных участков группы </w:t>
      </w:r>
      <w:r w:rsidR="009B3142" w:rsidRPr="009B3142">
        <w:rPr>
          <w:rFonts w:ascii="Times New Roman" w:hAnsi="Times New Roman" w:cs="Times New Roman"/>
          <w:i/>
          <w:sz w:val="26"/>
          <w:szCs w:val="26"/>
        </w:rPr>
        <w:t>ИЖС/СНП/Ближе 60 км</w:t>
      </w:r>
      <w:bookmarkEnd w:id="301"/>
    </w:p>
    <w:p w14:paraId="5E34347B" w14:textId="312F666C" w:rsidR="00520F23" w:rsidRPr="00F562A8" w:rsidRDefault="00520F23" w:rsidP="00520F23">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07B902B1" w14:textId="03895820" w:rsidR="00504BC2" w:rsidRDefault="00504BC2" w:rsidP="00504BC2">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В со</w:t>
      </w:r>
      <w:r w:rsidRPr="007B32AA">
        <w:rPr>
          <w:rFonts w:ascii="Times New Roman" w:hAnsi="Times New Roman" w:cs="Times New Roman"/>
          <w:sz w:val="26"/>
          <w:szCs w:val="26"/>
        </w:rPr>
        <w:t xml:space="preserve">став группы </w:t>
      </w:r>
      <w:r w:rsidRPr="009B3142">
        <w:rPr>
          <w:rFonts w:ascii="Times New Roman" w:hAnsi="Times New Roman" w:cs="Times New Roman"/>
          <w:sz w:val="26"/>
          <w:szCs w:val="26"/>
        </w:rPr>
        <w:t>ИЖС/СНП/Ближе 60 км</w:t>
      </w:r>
      <w:r w:rsidRPr="00F562A8">
        <w:rPr>
          <w:rFonts w:ascii="Times New Roman" w:hAnsi="Times New Roman" w:cs="Times New Roman"/>
          <w:sz w:val="26"/>
          <w:szCs w:val="26"/>
        </w:rPr>
        <w:t xml:space="preserve"> </w:t>
      </w:r>
      <w:r w:rsidRPr="007B32AA">
        <w:rPr>
          <w:rFonts w:ascii="Times New Roman" w:hAnsi="Times New Roman" w:cs="Times New Roman"/>
          <w:sz w:val="26"/>
          <w:szCs w:val="26"/>
        </w:rPr>
        <w:t>вошли следующие</w:t>
      </w:r>
      <w:r w:rsidRPr="00A50F7F">
        <w:rPr>
          <w:rFonts w:ascii="Times New Roman" w:hAnsi="Times New Roman" w:cs="Times New Roman"/>
          <w:bCs/>
          <w:sz w:val="26"/>
          <w:szCs w:val="26"/>
        </w:rPr>
        <w:t xml:space="preserve"> коды расчета видов использования:</w:t>
      </w:r>
      <w:r w:rsidRPr="007B32AA">
        <w:t xml:space="preserve"> </w:t>
      </w:r>
      <w:r w:rsidRPr="00504BC2">
        <w:rPr>
          <w:rFonts w:ascii="Times New Roman" w:hAnsi="Times New Roman" w:cs="Times New Roman"/>
          <w:bCs/>
          <w:sz w:val="26"/>
          <w:szCs w:val="26"/>
        </w:rPr>
        <w:t>13:000, 02:010, 02:011, 02:013, 02:014, 02:020, 02:021, 02:030, 02:031</w:t>
      </w:r>
      <w:r>
        <w:rPr>
          <w:rFonts w:ascii="Times New Roman" w:hAnsi="Times New Roman" w:cs="Times New Roman"/>
          <w:bCs/>
          <w:sz w:val="26"/>
          <w:szCs w:val="26"/>
        </w:rPr>
        <w:t>.</w:t>
      </w:r>
    </w:p>
    <w:p w14:paraId="13CE4387" w14:textId="3555EB0E" w:rsidR="00520F23" w:rsidRPr="00F562A8" w:rsidRDefault="00520F23" w:rsidP="00520F2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9B3142" w:rsidRPr="009B3142">
        <w:rPr>
          <w:rFonts w:ascii="Times New Roman" w:hAnsi="Times New Roman" w:cs="Times New Roman"/>
          <w:sz w:val="26"/>
          <w:szCs w:val="26"/>
        </w:rPr>
        <w:t>ИЖС/СНП/Ближе 60 км</w:t>
      </w:r>
      <w:r w:rsidR="009B3142" w:rsidRPr="00F562A8">
        <w:rPr>
          <w:rFonts w:ascii="Times New Roman" w:hAnsi="Times New Roman" w:cs="Times New Roman"/>
          <w:sz w:val="26"/>
          <w:szCs w:val="26"/>
        </w:rPr>
        <w:t xml:space="preserve">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6B015AA5" w14:textId="7B84EB60" w:rsidR="00520F23" w:rsidRPr="00F562A8" w:rsidRDefault="00F77023" w:rsidP="00520F23">
      <w:pPr>
        <w:pStyle w:val="ConsPlusNormal"/>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Согласно п.45.1.1 Указаний</w:t>
      </w:r>
      <w:r w:rsidR="00520F23" w:rsidRPr="00F562A8">
        <w:rPr>
          <w:rFonts w:ascii="Times New Roman" w:hAnsi="Times New Roman" w:cs="Times New Roman"/>
          <w:sz w:val="26"/>
          <w:szCs w:val="26"/>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2DFF6C85" w14:textId="77777777"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3AF2F878" w14:textId="77777777"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1632D861" w14:textId="77777777"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37A3D156" w14:textId="77777777"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22A2B0C0" w14:textId="77777777"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56638DCA" w14:textId="77777777"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72939DFD" w14:textId="77777777" w:rsidR="00B422FF" w:rsidRDefault="00520F23" w:rsidP="00B422F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w:t>
      </w:r>
      <w:r>
        <w:rPr>
          <w:rFonts w:ascii="Times New Roman" w:hAnsi="Times New Roman" w:cs="Times New Roman"/>
          <w:sz w:val="26"/>
          <w:szCs w:val="26"/>
        </w:rPr>
        <w:t xml:space="preserve">сельских </w:t>
      </w:r>
      <w:r w:rsidRPr="00F562A8">
        <w:rPr>
          <w:rFonts w:ascii="Times New Roman" w:hAnsi="Times New Roman" w:cs="Times New Roman"/>
          <w:sz w:val="26"/>
          <w:szCs w:val="26"/>
        </w:rPr>
        <w:t xml:space="preserve">населенных пунктах Воронежской области, находящихся на расстоянии </w:t>
      </w:r>
      <w:r w:rsidR="00477A13">
        <w:rPr>
          <w:rFonts w:ascii="Times New Roman" w:hAnsi="Times New Roman" w:cs="Times New Roman"/>
          <w:sz w:val="26"/>
          <w:szCs w:val="26"/>
        </w:rPr>
        <w:t>ближе</w:t>
      </w:r>
      <w:r w:rsidRPr="00F562A8">
        <w:rPr>
          <w:rFonts w:ascii="Times New Roman" w:hAnsi="Times New Roman" w:cs="Times New Roman"/>
          <w:sz w:val="26"/>
          <w:szCs w:val="26"/>
        </w:rPr>
        <w:t xml:space="preserve"> 60 км от г. Воронежа,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17 </w:t>
      </w:r>
      <w:r w:rsidR="00B422FF" w:rsidRPr="00F562A8">
        <w:rPr>
          <w:rFonts w:ascii="Times New Roman" w:hAnsi="Times New Roman" w:cs="Times New Roman"/>
          <w:sz w:val="26"/>
          <w:szCs w:val="26"/>
        </w:rPr>
        <w:t>представлены в таблиц</w:t>
      </w:r>
      <w:r w:rsidR="00B422FF">
        <w:rPr>
          <w:rFonts w:ascii="Times New Roman" w:hAnsi="Times New Roman" w:cs="Times New Roman"/>
          <w:sz w:val="26"/>
          <w:szCs w:val="26"/>
        </w:rPr>
        <w:t>ах</w:t>
      </w:r>
      <w:r w:rsidR="00B422FF" w:rsidRPr="00F562A8">
        <w:rPr>
          <w:rFonts w:ascii="Times New Roman" w:hAnsi="Times New Roman" w:cs="Times New Roman"/>
          <w:sz w:val="26"/>
          <w:szCs w:val="26"/>
        </w:rPr>
        <w:t xml:space="preserve"> </w:t>
      </w:r>
      <w:r w:rsidR="00B422FF" w:rsidRPr="00F562A8">
        <w:rPr>
          <w:rFonts w:ascii="Times New Roman" w:eastAsia="Times New Roman" w:hAnsi="Times New Roman" w:cs="Times New Roman"/>
          <w:sz w:val="26"/>
          <w:szCs w:val="26"/>
        </w:rPr>
        <w:t>3.</w:t>
      </w:r>
      <w:r w:rsidR="00B422FF">
        <w:rPr>
          <w:rFonts w:ascii="Times New Roman" w:eastAsia="Times New Roman" w:hAnsi="Times New Roman" w:cs="Times New Roman"/>
          <w:sz w:val="26"/>
          <w:szCs w:val="26"/>
        </w:rPr>
        <w:t>4 и 3.5, пунктов 3.4 и 3.5 соответственно</w:t>
      </w:r>
      <w:r w:rsidR="00B422FF" w:rsidRPr="00F562A8">
        <w:rPr>
          <w:rFonts w:ascii="Times New Roman" w:hAnsi="Times New Roman" w:cs="Times New Roman"/>
          <w:sz w:val="26"/>
          <w:szCs w:val="26"/>
        </w:rPr>
        <w:t>.</w:t>
      </w:r>
      <w:r w:rsidR="00B422FF">
        <w:rPr>
          <w:rFonts w:ascii="Times New Roman" w:hAnsi="Times New Roman" w:cs="Times New Roman"/>
          <w:sz w:val="26"/>
          <w:szCs w:val="26"/>
        </w:rPr>
        <w:t xml:space="preserve"> </w:t>
      </w:r>
    </w:p>
    <w:p w14:paraId="653A1EEA" w14:textId="77777777" w:rsidR="00520F23" w:rsidRPr="00F562A8" w:rsidRDefault="00520F23" w:rsidP="00520F2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01C0E010" w14:textId="77777777" w:rsidR="00520F23" w:rsidRPr="00F562A8" w:rsidRDefault="00520F23" w:rsidP="00520F2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5F606C40" w14:textId="7E9E90DC" w:rsidR="00520F23" w:rsidRPr="00F562A8" w:rsidRDefault="00520F23" w:rsidP="00520F2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D24E84">
        <w:rPr>
          <w:rFonts w:ascii="Times New Roman" w:hAnsi="Times New Roman" w:cs="Times New Roman"/>
          <w:sz w:val="26"/>
          <w:szCs w:val="26"/>
        </w:rPr>
        <w:t>4</w:t>
      </w:r>
      <w:r w:rsidRPr="00F562A8">
        <w:rPr>
          <w:rFonts w:ascii="Times New Roman" w:hAnsi="Times New Roman" w:cs="Times New Roman"/>
          <w:sz w:val="26"/>
          <w:szCs w:val="26"/>
        </w:rPr>
        <w:t>:</w:t>
      </w:r>
    </w:p>
    <w:p w14:paraId="1125B410" w14:textId="38DCBB81" w:rsidR="00520F23" w:rsidRPr="00F562A8" w:rsidRDefault="00520F23" w:rsidP="00520F23">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xml:space="preserve">- </w:t>
      </w:r>
      <w:r w:rsidR="00D24E84">
        <w:rPr>
          <w:rFonts w:ascii="Times New Roman" w:hAnsi="Times New Roman" w:cs="Times New Roman"/>
          <w:sz w:val="26"/>
          <w:szCs w:val="26"/>
        </w:rPr>
        <w:t>ч</w:t>
      </w:r>
      <w:r w:rsidR="00D24E84" w:rsidRPr="00D24E84">
        <w:rPr>
          <w:rFonts w:ascii="Times New Roman" w:hAnsi="Times New Roman" w:cs="Times New Roman"/>
          <w:sz w:val="26"/>
          <w:szCs w:val="26"/>
        </w:rPr>
        <w:t>исленность населения в населенном пункте</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p>
    <w:p w14:paraId="6E798800" w14:textId="77777777" w:rsidR="00520F23" w:rsidRPr="00F562A8" w:rsidRDefault="00520F23" w:rsidP="00520F23">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наличие в населенном пункте магазина: Х</w:t>
      </w:r>
      <w:r w:rsidRPr="00F562A8">
        <w:rPr>
          <w:rFonts w:ascii="Times New Roman" w:hAnsi="Times New Roman" w:cs="Times New Roman"/>
          <w:sz w:val="26"/>
          <w:szCs w:val="26"/>
          <w:vertAlign w:val="subscript"/>
        </w:rPr>
        <w:t>1;</w:t>
      </w:r>
    </w:p>
    <w:p w14:paraId="47635F10" w14:textId="118A5284" w:rsidR="00520F23" w:rsidRPr="00F562A8" w:rsidRDefault="00520F23" w:rsidP="00520F23">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xml:space="preserve">- </w:t>
      </w:r>
      <w:r w:rsidR="00D24E84" w:rsidRPr="00F562A8">
        <w:rPr>
          <w:rFonts w:ascii="Times New Roman" w:hAnsi="Times New Roman" w:cs="Times New Roman"/>
          <w:sz w:val="26"/>
          <w:szCs w:val="26"/>
        </w:rPr>
        <w:t>наличие в населенном пункте центрального водоснабжения</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2;</w:t>
      </w:r>
    </w:p>
    <w:p w14:paraId="4A42B46A" w14:textId="49460E06" w:rsidR="00520F23" w:rsidRPr="00F562A8" w:rsidRDefault="00520F23" w:rsidP="00520F23">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xml:space="preserve">- </w:t>
      </w:r>
      <w:r w:rsidR="00D24E84">
        <w:rPr>
          <w:rFonts w:ascii="Times New Roman" w:hAnsi="Times New Roman" w:cs="Times New Roman"/>
          <w:sz w:val="26"/>
          <w:szCs w:val="26"/>
        </w:rPr>
        <w:t>р</w:t>
      </w:r>
      <w:r w:rsidR="00D24E84" w:rsidRPr="00D24E84">
        <w:rPr>
          <w:rFonts w:ascii="Times New Roman" w:hAnsi="Times New Roman" w:cs="Times New Roman"/>
          <w:sz w:val="26"/>
          <w:szCs w:val="26"/>
        </w:rPr>
        <w:t>асстояние от населенного пункта до центра субъекта РФ (г. Воронеж)</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3</w:t>
      </w:r>
      <w:r w:rsidR="00D24E84">
        <w:rPr>
          <w:rFonts w:ascii="Times New Roman" w:hAnsi="Times New Roman" w:cs="Times New Roman"/>
          <w:sz w:val="26"/>
          <w:szCs w:val="26"/>
          <w:vertAlign w:val="subscript"/>
        </w:rPr>
        <w:t>.</w:t>
      </w:r>
    </w:p>
    <w:p w14:paraId="0AFF8F48" w14:textId="77777777" w:rsidR="00520F23" w:rsidRPr="00F562A8" w:rsidRDefault="00520F23" w:rsidP="00520F2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09286D6B" w14:textId="77777777" w:rsidR="00520F23" w:rsidRPr="00F562A8" w:rsidRDefault="00520F23" w:rsidP="00520F2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6EFA4513" w14:textId="77777777" w:rsidR="00520F23" w:rsidRPr="00F562A8" w:rsidRDefault="00520F23" w:rsidP="00520F2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На основании отбора факторов были построены множественные регрессионные восьмифакторные модели:</w:t>
      </w:r>
    </w:p>
    <w:p w14:paraId="1238E916" w14:textId="77777777" w:rsidR="00520F23" w:rsidRPr="00F562A8" w:rsidRDefault="00520F23" w:rsidP="00520F23">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0CE84791" wp14:editId="460E4CDC">
            <wp:extent cx="2209800" cy="247650"/>
            <wp:effectExtent l="0" t="0" r="0" b="0"/>
            <wp:docPr id="36" name="Рисунок 36"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2C52B541" w14:textId="77777777" w:rsidR="00520F23" w:rsidRPr="00F562A8" w:rsidRDefault="00520F23" w:rsidP="00520F2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2DA75CD4" wp14:editId="08A100BE">
            <wp:extent cx="1352550" cy="266700"/>
            <wp:effectExtent l="0" t="0" r="0" b="0"/>
            <wp:docPr id="37" name="Рисунок 37"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7C00444B" w14:textId="77777777" w:rsidR="00520F23" w:rsidRPr="00F562A8" w:rsidRDefault="00520F23" w:rsidP="00520F2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23A636B1" wp14:editId="3A8CEA96">
            <wp:extent cx="1266825" cy="266700"/>
            <wp:effectExtent l="0" t="0" r="0" b="0"/>
            <wp:docPr id="38" name="Рисунок 38"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3148EE9A" w14:textId="77777777" w:rsidR="00520F23" w:rsidRPr="00F562A8" w:rsidRDefault="00520F23" w:rsidP="00520F2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55F65F70" w14:textId="77777777"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67B82F31" w14:textId="77777777"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4B103E81" wp14:editId="493AB5AD">
            <wp:extent cx="209550" cy="247650"/>
            <wp:effectExtent l="0" t="0" r="0" b="0"/>
            <wp:docPr id="39" name="Рисунок 39"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6C588D61" wp14:editId="1C34B2C8">
            <wp:extent cx="200025" cy="247650"/>
            <wp:effectExtent l="0" t="0" r="9525" b="0"/>
            <wp:docPr id="40" name="Рисунок 40"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2CBB75E7" wp14:editId="2EA6F131">
            <wp:extent cx="209550" cy="247650"/>
            <wp:effectExtent l="0" t="0" r="0" b="0"/>
            <wp:docPr id="41" name="Рисунок 41"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1FF74D09" w14:textId="1648377B" w:rsidR="00520F23" w:rsidRPr="00F562A8" w:rsidRDefault="00454EB8" w:rsidP="00520F23">
      <w:pPr>
        <w:spacing w:after="0" w:line="276" w:lineRule="auto"/>
        <w:jc w:val="both"/>
        <w:rPr>
          <w:rFonts w:ascii="Times New Roman" w:hAnsi="Times New Roman" w:cs="Times New Roman"/>
        </w:rPr>
      </w:pPr>
      <w:r w:rsidRPr="006342B4">
        <w:rPr>
          <w:noProof/>
          <w:lang w:eastAsia="ru-RU"/>
        </w:rPr>
        <w:drawing>
          <wp:inline distT="0" distB="0" distL="0" distR="0" wp14:anchorId="475A9006" wp14:editId="6E7B143A">
            <wp:extent cx="5936827" cy="1000125"/>
            <wp:effectExtent l="0" t="0" r="6985"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0"/>
                    <a:srcRect b="4546"/>
                    <a:stretch/>
                  </pic:blipFill>
                  <pic:spPr bwMode="auto">
                    <a:xfrm>
                      <a:off x="0" y="0"/>
                      <a:ext cx="5939790" cy="1000624"/>
                    </a:xfrm>
                    <a:prstGeom prst="rect">
                      <a:avLst/>
                    </a:prstGeom>
                    <a:ln>
                      <a:noFill/>
                    </a:ln>
                    <a:extLst>
                      <a:ext uri="{53640926-AAD7-44D8-BBD7-CCE9431645EC}">
                        <a14:shadowObscured xmlns:a14="http://schemas.microsoft.com/office/drawing/2010/main"/>
                      </a:ext>
                    </a:extLst>
                  </pic:spPr>
                </pic:pic>
              </a:graphicData>
            </a:graphic>
          </wp:inline>
        </w:drawing>
      </w:r>
    </w:p>
    <w:p w14:paraId="6D530AC3" w14:textId="4430636D" w:rsidR="00520F23" w:rsidRPr="00F562A8" w:rsidRDefault="00520F23" w:rsidP="00520F23">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rPr>
        <w:tab/>
      </w:r>
      <w:r w:rsidRPr="00F562A8">
        <w:rPr>
          <w:rFonts w:ascii="Times New Roman" w:hAnsi="Times New Roman" w:cs="Times New Roman"/>
          <w:sz w:val="26"/>
          <w:szCs w:val="26"/>
        </w:rPr>
        <w:t>Рис. 3.6.13.</w:t>
      </w:r>
      <w:r w:rsidR="00504BC2">
        <w:rPr>
          <w:rFonts w:ascii="Times New Roman" w:hAnsi="Times New Roman" w:cs="Times New Roman"/>
          <w:sz w:val="26"/>
          <w:szCs w:val="26"/>
        </w:rPr>
        <w:t>4</w:t>
      </w:r>
      <w:r>
        <w:rPr>
          <w:rFonts w:ascii="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восьмифакторные модели</w:t>
      </w:r>
    </w:p>
    <w:p w14:paraId="25D0D965" w14:textId="450D48FA"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5830C996" w14:textId="77777777"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62B26DC9" w14:textId="77777777"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722AA03E" w14:textId="77777777"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68525DC3" w14:textId="77777777"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3AE3E9C4" w14:textId="77777777"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548BDB92" w14:textId="77777777"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147341F0" w14:textId="77777777" w:rsidR="00520F23"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5C9BD31F" w14:textId="177B1911" w:rsidR="00520F23" w:rsidRPr="00F562A8" w:rsidRDefault="00947E94" w:rsidP="003F635F">
      <w:pPr>
        <w:pStyle w:val="ConsPlusNormal"/>
        <w:spacing w:line="276" w:lineRule="auto"/>
        <w:jc w:val="center"/>
        <w:rPr>
          <w:rFonts w:ascii="Times New Roman" w:hAnsi="Times New Roman" w:cs="Times New Roman"/>
          <w:sz w:val="26"/>
          <w:szCs w:val="26"/>
        </w:rPr>
      </w:pPr>
      <w:r w:rsidRPr="006342B4">
        <w:rPr>
          <w:noProof/>
        </w:rPr>
        <w:drawing>
          <wp:inline distT="0" distB="0" distL="0" distR="0" wp14:anchorId="46316273" wp14:editId="2439902E">
            <wp:extent cx="5372100" cy="131699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1"/>
                    <a:srcRect r="9522"/>
                    <a:stretch/>
                  </pic:blipFill>
                  <pic:spPr bwMode="auto">
                    <a:xfrm>
                      <a:off x="0" y="0"/>
                      <a:ext cx="5374233" cy="1317513"/>
                    </a:xfrm>
                    <a:prstGeom prst="rect">
                      <a:avLst/>
                    </a:prstGeom>
                    <a:ln>
                      <a:noFill/>
                    </a:ln>
                    <a:extLst>
                      <a:ext uri="{53640926-AAD7-44D8-BBD7-CCE9431645EC}">
                        <a14:shadowObscured xmlns:a14="http://schemas.microsoft.com/office/drawing/2010/main"/>
                      </a:ext>
                    </a:extLst>
                  </pic:spPr>
                </pic:pic>
              </a:graphicData>
            </a:graphic>
          </wp:inline>
        </w:drawing>
      </w:r>
    </w:p>
    <w:p w14:paraId="60FF3F80" w14:textId="67E09E37" w:rsidR="00520F23" w:rsidRPr="00F562A8" w:rsidRDefault="00520F23" w:rsidP="00520F23">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3.6.13.</w:t>
      </w:r>
      <w:r w:rsidR="00504BC2">
        <w:rPr>
          <w:rFonts w:ascii="Times New Roman" w:hAnsi="Times New Roman" w:cs="Times New Roman"/>
          <w:sz w:val="26"/>
          <w:szCs w:val="26"/>
        </w:rPr>
        <w:t>4</w:t>
      </w:r>
      <w:r>
        <w:rPr>
          <w:rFonts w:ascii="Times New Roman" w:hAnsi="Times New Roman" w:cs="Times New Roman"/>
          <w:sz w:val="26"/>
          <w:szCs w:val="26"/>
        </w:rPr>
        <w:t>.2</w:t>
      </w:r>
      <w:r w:rsidRPr="00F562A8">
        <w:rPr>
          <w:rFonts w:ascii="Times New Roman" w:hAnsi="Times New Roman" w:cs="Times New Roman"/>
          <w:sz w:val="26"/>
          <w:szCs w:val="26"/>
        </w:rPr>
        <w:t xml:space="preserve"> -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53EEE239" w14:textId="77777777"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0E697ED9" w14:textId="77777777" w:rsidR="00520F23" w:rsidRPr="00F562A8" w:rsidRDefault="00520F23" w:rsidP="00520F23">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00341205" w14:textId="77777777" w:rsidR="00520F23" w:rsidRPr="00F562A8" w:rsidRDefault="00520F23" w:rsidP="00520F2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68A3EC5B" w14:textId="4D0699C8" w:rsidR="00520F23" w:rsidRPr="00F562A8" w:rsidRDefault="003F635F" w:rsidP="003F635F">
      <w:pPr>
        <w:spacing w:after="0" w:line="276" w:lineRule="auto"/>
        <w:jc w:val="center"/>
        <w:rPr>
          <w:rFonts w:ascii="Times New Roman" w:hAnsi="Times New Roman" w:cs="Times New Roman"/>
          <w:sz w:val="26"/>
          <w:szCs w:val="26"/>
          <w:lang w:val="en-US"/>
        </w:rPr>
      </w:pPr>
      <w:r w:rsidRPr="00097DC1">
        <w:rPr>
          <w:noProof/>
          <w:lang w:eastAsia="ru-RU"/>
        </w:rPr>
        <w:drawing>
          <wp:inline distT="0" distB="0" distL="0" distR="0" wp14:anchorId="4CD6D7E3" wp14:editId="76A5BF6B">
            <wp:extent cx="2838449" cy="905140"/>
            <wp:effectExtent l="0" t="0" r="63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2854042" cy="910112"/>
                    </a:xfrm>
                    <a:prstGeom prst="rect">
                      <a:avLst/>
                    </a:prstGeom>
                  </pic:spPr>
                </pic:pic>
              </a:graphicData>
            </a:graphic>
          </wp:inline>
        </w:drawing>
      </w:r>
    </w:p>
    <w:p w14:paraId="73AF5525" w14:textId="5A138985" w:rsidR="00520F23" w:rsidRPr="00F562A8" w:rsidRDefault="00520F23" w:rsidP="00520F23">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3.6.13.</w:t>
      </w:r>
      <w:r w:rsidR="00504BC2">
        <w:rPr>
          <w:rFonts w:ascii="Times New Roman" w:hAnsi="Times New Roman" w:cs="Times New Roman"/>
          <w:sz w:val="26"/>
          <w:szCs w:val="26"/>
        </w:rPr>
        <w:t>4</w:t>
      </w:r>
      <w:r>
        <w:rPr>
          <w:rFonts w:ascii="Times New Roman" w:hAnsi="Times New Roman" w:cs="Times New Roman"/>
          <w:sz w:val="26"/>
          <w:szCs w:val="26"/>
        </w:rPr>
        <w:t>.3</w:t>
      </w:r>
      <w:r w:rsidRPr="00F562A8">
        <w:rPr>
          <w:rFonts w:ascii="Times New Roman" w:hAnsi="Times New Roman" w:cs="Times New Roman"/>
          <w:sz w:val="26"/>
          <w:szCs w:val="26"/>
        </w:rPr>
        <w:t xml:space="preserve"> - Значения F-критерия Фишера</w:t>
      </w:r>
    </w:p>
    <w:p w14:paraId="28625EDC" w14:textId="77777777" w:rsidR="00520F23" w:rsidRPr="00F562A8" w:rsidRDefault="00520F23" w:rsidP="00520F23">
      <w:pPr>
        <w:spacing w:after="0" w:line="276"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все три модели адекватно описывают статистические данные и их можно использовать для анализа и прогнозирования кадастровой стоимости (результативного признака). </w:t>
      </w:r>
    </w:p>
    <w:p w14:paraId="60DDDF7C" w14:textId="77777777" w:rsidR="00520F23" w:rsidRDefault="00520F23" w:rsidP="00520F2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Наибольшее значение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имеет мультипликативная и экспоненциальная модели, значения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 которых можно считать равными на уровне статистической погрешности, однако предпочтение для прогнозирования целесообразно отдать экспоненциальной модели, как монотонной на широких интервалах исходных данных и как следствие более устойчива к изменению независимых переменных в неограниченном интервале их значений. Экспоненциальная регрессионная модель имеет вид:</w:t>
      </w:r>
    </w:p>
    <w:p w14:paraId="74E87108" w14:textId="3504C67F" w:rsidR="00F3396F" w:rsidRDefault="00520F23" w:rsidP="008160CB">
      <w:pPr>
        <w:ind w:firstLine="709"/>
        <w:jc w:val="both"/>
      </w:pPr>
      <w:r w:rsidRPr="00F562A8">
        <w:rPr>
          <w:rFonts w:ascii="Times New Roman" w:hAnsi="Times New Roman" w:cs="Times New Roman"/>
          <w:i/>
          <w:sz w:val="26"/>
          <w:szCs w:val="26"/>
        </w:rPr>
        <w:t xml:space="preserve">УПКС = </w:t>
      </w:r>
      <w:r w:rsidR="008160CB" w:rsidRPr="008160CB">
        <w:rPr>
          <w:rFonts w:ascii="Times New Roman" w:hAnsi="Times New Roman" w:cs="Times New Roman"/>
          <w:i/>
          <w:sz w:val="26"/>
          <w:szCs w:val="26"/>
        </w:rPr>
        <w:t>42.7772973058032*e^(+0.000123014933392427*__Численность населения в населенном пункте+0.382161074229672*([СНП Наличие в населенном пункте магазина])+0.244920434591325*([СНП Наличие в населенном пункте центрального водоснабжения])</w:t>
      </w:r>
      <w:r w:rsidR="008160CB">
        <w:rPr>
          <w:rFonts w:ascii="Times New Roman" w:hAnsi="Times New Roman" w:cs="Times New Roman"/>
          <w:i/>
          <w:sz w:val="26"/>
          <w:szCs w:val="26"/>
        </w:rPr>
        <w:t xml:space="preserve"> </w:t>
      </w:r>
      <w:r w:rsidR="008160CB" w:rsidRPr="008160CB">
        <w:rPr>
          <w:rFonts w:ascii="Times New Roman" w:hAnsi="Times New Roman" w:cs="Times New Roman"/>
          <w:i/>
          <w:sz w:val="26"/>
          <w:szCs w:val="26"/>
        </w:rPr>
        <w:t>+0.0195620444391618*((60.00+6.00-СНП Расстояние от населенного пункта до центра субъекта РФ (г. Воронеж))))</w:t>
      </w:r>
    </w:p>
    <w:p w14:paraId="5136E8B6" w14:textId="77777777" w:rsidR="00520F23" w:rsidRPr="00F562A8" w:rsidRDefault="00520F23" w:rsidP="00520F2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428A7658" w14:textId="57C35F95" w:rsidR="00520F23" w:rsidRPr="00F562A8" w:rsidRDefault="008160CB" w:rsidP="00520F23">
      <w:pPr>
        <w:spacing w:after="0" w:line="276" w:lineRule="auto"/>
        <w:jc w:val="center"/>
        <w:rPr>
          <w:rFonts w:ascii="Times New Roman" w:hAnsi="Times New Roman" w:cs="Times New Roman"/>
          <w:i/>
          <w:szCs w:val="24"/>
        </w:rPr>
      </w:pPr>
      <w:r w:rsidRPr="006342B4">
        <w:rPr>
          <w:noProof/>
          <w:lang w:eastAsia="ru-RU"/>
        </w:rPr>
        <w:drawing>
          <wp:inline distT="0" distB="0" distL="0" distR="0" wp14:anchorId="462657BE" wp14:editId="45EF477D">
            <wp:extent cx="4892604" cy="3039638"/>
            <wp:effectExtent l="0" t="0" r="3810" b="889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4906164" cy="3048062"/>
                    </a:xfrm>
                    <a:prstGeom prst="rect">
                      <a:avLst/>
                    </a:prstGeom>
                  </pic:spPr>
                </pic:pic>
              </a:graphicData>
            </a:graphic>
          </wp:inline>
        </w:drawing>
      </w:r>
    </w:p>
    <w:p w14:paraId="54EADAD8" w14:textId="30FE9F81" w:rsidR="00520F23" w:rsidRPr="00F562A8" w:rsidRDefault="00520F23" w:rsidP="00520F23">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3.6.13.</w:t>
      </w:r>
      <w:r w:rsidR="00504BC2">
        <w:rPr>
          <w:rFonts w:ascii="Times New Roman" w:hAnsi="Times New Roman" w:cs="Times New Roman"/>
          <w:sz w:val="26"/>
          <w:szCs w:val="26"/>
        </w:rPr>
        <w:t>4</w:t>
      </w:r>
      <w:r>
        <w:rPr>
          <w:rFonts w:ascii="Times New Roman" w:hAnsi="Times New Roman" w:cs="Times New Roman"/>
          <w:sz w:val="26"/>
          <w:szCs w:val="26"/>
        </w:rPr>
        <w:t>.4</w:t>
      </w:r>
      <w:r w:rsidRPr="00F562A8">
        <w:rPr>
          <w:rFonts w:ascii="Times New Roman" w:hAnsi="Times New Roman" w:cs="Times New Roman"/>
          <w:sz w:val="26"/>
          <w:szCs w:val="26"/>
        </w:rPr>
        <w:t xml:space="preserve"> - Характеристика экспоненциальной модели и анализ качества выборки</w:t>
      </w:r>
    </w:p>
    <w:p w14:paraId="50DA783E" w14:textId="08FA4CD7" w:rsidR="00520F23" w:rsidRPr="00F562A8" w:rsidRDefault="00520F23" w:rsidP="00520F23">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фактором Х</w:t>
      </w:r>
      <w:r w:rsidR="00634A32">
        <w:rPr>
          <w:rFonts w:ascii="Times New Roman" w:hAnsi="Times New Roman" w:cs="Times New Roman"/>
          <w:sz w:val="26"/>
          <w:szCs w:val="26"/>
          <w:vertAlign w:val="subscript"/>
        </w:rPr>
        <w:t>3</w:t>
      </w:r>
      <w:r w:rsidRPr="00F562A8">
        <w:rPr>
          <w:rFonts w:ascii="Times New Roman" w:hAnsi="Times New Roman" w:cs="Times New Roman"/>
          <w:sz w:val="26"/>
          <w:szCs w:val="26"/>
          <w:vertAlign w:val="subscript"/>
        </w:rPr>
        <w:t xml:space="preserve"> </w:t>
      </w:r>
      <w:r w:rsidRPr="00F562A8">
        <w:rPr>
          <w:rFonts w:ascii="Times New Roman" w:hAnsi="Times New Roman" w:cs="Times New Roman"/>
          <w:sz w:val="26"/>
          <w:szCs w:val="26"/>
        </w:rPr>
        <w:t>и кадастровой стоимостью обратная, то есть при росте эт</w:t>
      </w:r>
      <w:r w:rsidR="008160CB">
        <w:rPr>
          <w:rFonts w:ascii="Times New Roman" w:hAnsi="Times New Roman" w:cs="Times New Roman"/>
          <w:sz w:val="26"/>
          <w:szCs w:val="26"/>
        </w:rPr>
        <w:t>ого</w:t>
      </w:r>
      <w:r w:rsidRPr="00F562A8">
        <w:rPr>
          <w:rFonts w:ascii="Times New Roman" w:hAnsi="Times New Roman" w:cs="Times New Roman"/>
          <w:sz w:val="26"/>
          <w:szCs w:val="26"/>
        </w:rPr>
        <w:t xml:space="preserve"> фактор</w:t>
      </w:r>
      <w:r w:rsidR="008160CB">
        <w:rPr>
          <w:rFonts w:ascii="Times New Roman" w:hAnsi="Times New Roman" w:cs="Times New Roman"/>
          <w:sz w:val="26"/>
          <w:szCs w:val="26"/>
        </w:rPr>
        <w:t>а</w:t>
      </w:r>
      <w:r w:rsidRPr="00F562A8">
        <w:rPr>
          <w:rFonts w:ascii="Times New Roman" w:hAnsi="Times New Roman" w:cs="Times New Roman"/>
          <w:sz w:val="26"/>
          <w:szCs w:val="26"/>
        </w:rPr>
        <w:t xml:space="preserve"> кадастровая стоимость уменьшается. Влияние фактор</w:t>
      </w:r>
      <w:r>
        <w:rPr>
          <w:rFonts w:ascii="Times New Roman" w:hAnsi="Times New Roman" w:cs="Times New Roman"/>
          <w:sz w:val="26"/>
          <w:szCs w:val="26"/>
        </w:rPr>
        <w:t>а</w:t>
      </w:r>
      <w:r w:rsidRPr="00F562A8">
        <w:rPr>
          <w:rFonts w:ascii="Times New Roman" w:hAnsi="Times New Roman" w:cs="Times New Roman"/>
          <w:sz w:val="26"/>
          <w:szCs w:val="26"/>
        </w:rPr>
        <w:t xml:space="preserve"> Х</w:t>
      </w:r>
      <w:r w:rsidR="00634A32">
        <w:rPr>
          <w:rFonts w:ascii="Times New Roman" w:hAnsi="Times New Roman" w:cs="Times New Roman"/>
          <w:sz w:val="26"/>
          <w:szCs w:val="26"/>
          <w:vertAlign w:val="subscript"/>
        </w:rPr>
        <w:t>0</w:t>
      </w:r>
      <w:r w:rsidRPr="00F562A8">
        <w:rPr>
          <w:rFonts w:ascii="Times New Roman" w:hAnsi="Times New Roman" w:cs="Times New Roman"/>
          <w:sz w:val="26"/>
          <w:szCs w:val="26"/>
        </w:rPr>
        <w:t xml:space="preserve"> на кадастровую стоимость прямое и с ростом фактор</w:t>
      </w:r>
      <w:r>
        <w:rPr>
          <w:rFonts w:ascii="Times New Roman" w:hAnsi="Times New Roman" w:cs="Times New Roman"/>
          <w:sz w:val="26"/>
          <w:szCs w:val="26"/>
        </w:rPr>
        <w:t>а</w:t>
      </w:r>
      <w:r w:rsidRPr="00F562A8">
        <w:rPr>
          <w:rFonts w:ascii="Times New Roman" w:hAnsi="Times New Roman" w:cs="Times New Roman"/>
          <w:sz w:val="26"/>
          <w:szCs w:val="26"/>
        </w:rPr>
        <w:t xml:space="preserve"> кадастровая стоимость растет. 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6843D250" w14:textId="661F7387" w:rsidR="00520F23" w:rsidRDefault="00153B5F" w:rsidP="00520F23">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4F109D05" w14:textId="6F8B9D6A" w:rsidR="00504BC2" w:rsidRDefault="00504BC2" w:rsidP="00520F23">
      <w:pPr>
        <w:spacing w:after="0" w:line="276" w:lineRule="auto"/>
        <w:ind w:firstLine="709"/>
        <w:jc w:val="both"/>
        <w:rPr>
          <w:rFonts w:ascii="Times New Roman" w:eastAsiaTheme="minorEastAsia" w:hAnsi="Times New Roman" w:cs="Times New Roman"/>
          <w:sz w:val="26"/>
          <w:szCs w:val="26"/>
        </w:rPr>
      </w:pPr>
    </w:p>
    <w:p w14:paraId="1C6D4A35" w14:textId="1D48C948" w:rsidR="00634A32" w:rsidRPr="00F562A8" w:rsidRDefault="00634A32" w:rsidP="00634A32">
      <w:pPr>
        <w:pStyle w:val="ab"/>
        <w:ind w:left="0"/>
        <w:jc w:val="center"/>
        <w:outlineLvl w:val="2"/>
        <w:rPr>
          <w:rFonts w:ascii="Times New Roman" w:hAnsi="Times New Roman" w:cs="Times New Roman"/>
          <w:i/>
          <w:sz w:val="26"/>
          <w:szCs w:val="26"/>
        </w:rPr>
      </w:pPr>
      <w:bookmarkStart w:id="302" w:name="_Toc110507029"/>
      <w:r w:rsidRPr="00DC7772">
        <w:rPr>
          <w:rFonts w:ascii="Times New Roman" w:hAnsi="Times New Roman" w:cs="Times New Roman"/>
          <w:i/>
          <w:sz w:val="26"/>
          <w:szCs w:val="26"/>
        </w:rPr>
        <w:t>3.6.13.5. Расчет</w:t>
      </w:r>
      <w:r w:rsidRPr="00F562A8">
        <w:rPr>
          <w:rFonts w:ascii="Times New Roman" w:hAnsi="Times New Roman" w:cs="Times New Roman"/>
          <w:i/>
          <w:sz w:val="26"/>
          <w:szCs w:val="26"/>
        </w:rPr>
        <w:t xml:space="preserve"> кадастровой стоимости земельных участков группы</w:t>
      </w:r>
      <w:r w:rsidR="003E5AD5">
        <w:rPr>
          <w:rFonts w:ascii="Times New Roman" w:hAnsi="Times New Roman" w:cs="Times New Roman"/>
          <w:i/>
          <w:sz w:val="26"/>
          <w:szCs w:val="26"/>
        </w:rPr>
        <w:t xml:space="preserve"> </w:t>
      </w:r>
      <w:r w:rsidR="003E5AD5" w:rsidRPr="003E5AD5">
        <w:rPr>
          <w:rFonts w:ascii="Times New Roman" w:hAnsi="Times New Roman" w:cs="Times New Roman"/>
          <w:i/>
          <w:sz w:val="26"/>
          <w:szCs w:val="26"/>
        </w:rPr>
        <w:t>ИЖС/СНП/Дальше 60 км</w:t>
      </w:r>
      <w:bookmarkEnd w:id="302"/>
    </w:p>
    <w:p w14:paraId="27C4A36E" w14:textId="7723D78A" w:rsidR="00634A32" w:rsidRPr="00F562A8" w:rsidRDefault="00634A32" w:rsidP="00634A32">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736B1C41" w14:textId="18F4CF84" w:rsidR="00504BC2" w:rsidRDefault="00504BC2" w:rsidP="00504BC2">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В со</w:t>
      </w:r>
      <w:r w:rsidRPr="007B32AA">
        <w:rPr>
          <w:rFonts w:ascii="Times New Roman" w:hAnsi="Times New Roman" w:cs="Times New Roman"/>
          <w:sz w:val="26"/>
          <w:szCs w:val="26"/>
        </w:rPr>
        <w:t xml:space="preserve">став группы </w:t>
      </w:r>
      <w:r w:rsidRPr="009B3142">
        <w:rPr>
          <w:rFonts w:ascii="Times New Roman" w:hAnsi="Times New Roman" w:cs="Times New Roman"/>
          <w:sz w:val="26"/>
          <w:szCs w:val="26"/>
        </w:rPr>
        <w:t>ИЖС/СНП/</w:t>
      </w:r>
      <w:r w:rsidRPr="003E5AD5">
        <w:rPr>
          <w:rFonts w:ascii="Times New Roman" w:hAnsi="Times New Roman" w:cs="Times New Roman"/>
          <w:sz w:val="26"/>
          <w:szCs w:val="26"/>
        </w:rPr>
        <w:t>Дальше 60 км</w:t>
      </w:r>
      <w:r w:rsidRPr="00F562A8">
        <w:rPr>
          <w:rFonts w:ascii="Times New Roman" w:hAnsi="Times New Roman" w:cs="Times New Roman"/>
          <w:sz w:val="26"/>
          <w:szCs w:val="26"/>
        </w:rPr>
        <w:t xml:space="preserve"> </w:t>
      </w:r>
      <w:r w:rsidRPr="007B32AA">
        <w:rPr>
          <w:rFonts w:ascii="Times New Roman" w:hAnsi="Times New Roman" w:cs="Times New Roman"/>
          <w:sz w:val="26"/>
          <w:szCs w:val="26"/>
        </w:rPr>
        <w:t>вошли следующие</w:t>
      </w:r>
      <w:r w:rsidRPr="00A50F7F">
        <w:rPr>
          <w:rFonts w:ascii="Times New Roman" w:hAnsi="Times New Roman" w:cs="Times New Roman"/>
          <w:bCs/>
          <w:sz w:val="26"/>
          <w:szCs w:val="26"/>
        </w:rPr>
        <w:t xml:space="preserve"> коды расчета видов использования:</w:t>
      </w:r>
      <w:r w:rsidRPr="007B32AA">
        <w:t xml:space="preserve"> </w:t>
      </w:r>
      <w:r w:rsidRPr="00504BC2">
        <w:rPr>
          <w:rFonts w:ascii="Times New Roman" w:hAnsi="Times New Roman" w:cs="Times New Roman"/>
          <w:bCs/>
          <w:sz w:val="26"/>
          <w:szCs w:val="26"/>
        </w:rPr>
        <w:t>13:000, 02:010, 02:011, 02:013, 02:014, 02:020, 02:021, 02:030, 02:031</w:t>
      </w:r>
      <w:r>
        <w:rPr>
          <w:rFonts w:ascii="Times New Roman" w:hAnsi="Times New Roman" w:cs="Times New Roman"/>
          <w:bCs/>
          <w:sz w:val="26"/>
          <w:szCs w:val="26"/>
        </w:rPr>
        <w:t>.</w:t>
      </w:r>
    </w:p>
    <w:p w14:paraId="3DBE7413" w14:textId="278F28BF" w:rsidR="00634A32" w:rsidRPr="00F562A8" w:rsidRDefault="00634A32" w:rsidP="00634A3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3E5AD5" w:rsidRPr="003E5AD5">
        <w:rPr>
          <w:rFonts w:ascii="Times New Roman" w:hAnsi="Times New Roman" w:cs="Times New Roman"/>
          <w:sz w:val="26"/>
          <w:szCs w:val="26"/>
        </w:rPr>
        <w:t>ИЖС/СНП/Дальше 60 км</w:t>
      </w:r>
      <w:r w:rsidR="003E5AD5" w:rsidRPr="00F562A8">
        <w:rPr>
          <w:rFonts w:ascii="Times New Roman" w:hAnsi="Times New Roman" w:cs="Times New Roman"/>
          <w:sz w:val="26"/>
          <w:szCs w:val="26"/>
        </w:rPr>
        <w:t xml:space="preserve">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4E77D0D2" w14:textId="76B5A941" w:rsidR="00634A32" w:rsidRPr="00F562A8" w:rsidRDefault="00F77023" w:rsidP="00634A32">
      <w:pPr>
        <w:pStyle w:val="ConsPlusNormal"/>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Согласно п.45.1.1 Указаний</w:t>
      </w:r>
      <w:r w:rsidR="00634A32" w:rsidRPr="00F562A8">
        <w:rPr>
          <w:rFonts w:ascii="Times New Roman" w:hAnsi="Times New Roman" w:cs="Times New Roman"/>
          <w:sz w:val="26"/>
          <w:szCs w:val="26"/>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6592F2E9" w14:textId="77777777"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517DC0B1" w14:textId="77777777"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60561D4A" w14:textId="77777777"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62AE9BAA" w14:textId="77777777"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5F96A54B" w14:textId="77777777"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31501499" w14:textId="77777777"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1E243C68" w14:textId="77777777" w:rsidR="00B422FF" w:rsidRDefault="00634A32" w:rsidP="00B422F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w:t>
      </w:r>
      <w:r>
        <w:rPr>
          <w:rFonts w:ascii="Times New Roman" w:hAnsi="Times New Roman" w:cs="Times New Roman"/>
          <w:sz w:val="26"/>
          <w:szCs w:val="26"/>
        </w:rPr>
        <w:t xml:space="preserve">сельских </w:t>
      </w:r>
      <w:r w:rsidRPr="00F562A8">
        <w:rPr>
          <w:rFonts w:ascii="Times New Roman" w:hAnsi="Times New Roman" w:cs="Times New Roman"/>
          <w:sz w:val="26"/>
          <w:szCs w:val="26"/>
        </w:rPr>
        <w:t xml:space="preserve">населенных пунктах Воронежской области, находящихся на расстоянии </w:t>
      </w:r>
      <w:r w:rsidR="00E7596E">
        <w:rPr>
          <w:rFonts w:ascii="Times New Roman" w:hAnsi="Times New Roman" w:cs="Times New Roman"/>
          <w:sz w:val="26"/>
          <w:szCs w:val="26"/>
        </w:rPr>
        <w:t>дальше</w:t>
      </w:r>
      <w:r w:rsidRPr="00F562A8">
        <w:rPr>
          <w:rFonts w:ascii="Times New Roman" w:hAnsi="Times New Roman" w:cs="Times New Roman"/>
          <w:sz w:val="26"/>
          <w:szCs w:val="26"/>
        </w:rPr>
        <w:t xml:space="preserve"> 60 км от г. Воронежа,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17 </w:t>
      </w:r>
      <w:r w:rsidR="00B422FF" w:rsidRPr="00F562A8">
        <w:rPr>
          <w:rFonts w:ascii="Times New Roman" w:hAnsi="Times New Roman" w:cs="Times New Roman"/>
          <w:sz w:val="26"/>
          <w:szCs w:val="26"/>
        </w:rPr>
        <w:t>представлены в таблиц</w:t>
      </w:r>
      <w:r w:rsidR="00B422FF">
        <w:rPr>
          <w:rFonts w:ascii="Times New Roman" w:hAnsi="Times New Roman" w:cs="Times New Roman"/>
          <w:sz w:val="26"/>
          <w:szCs w:val="26"/>
        </w:rPr>
        <w:t>ах</w:t>
      </w:r>
      <w:r w:rsidR="00B422FF" w:rsidRPr="00F562A8">
        <w:rPr>
          <w:rFonts w:ascii="Times New Roman" w:hAnsi="Times New Roman" w:cs="Times New Roman"/>
          <w:sz w:val="26"/>
          <w:szCs w:val="26"/>
        </w:rPr>
        <w:t xml:space="preserve"> </w:t>
      </w:r>
      <w:r w:rsidR="00B422FF" w:rsidRPr="00F562A8">
        <w:rPr>
          <w:rFonts w:ascii="Times New Roman" w:eastAsia="Times New Roman" w:hAnsi="Times New Roman" w:cs="Times New Roman"/>
          <w:sz w:val="26"/>
          <w:szCs w:val="26"/>
        </w:rPr>
        <w:t>3.</w:t>
      </w:r>
      <w:r w:rsidR="00B422FF">
        <w:rPr>
          <w:rFonts w:ascii="Times New Roman" w:eastAsia="Times New Roman" w:hAnsi="Times New Roman" w:cs="Times New Roman"/>
          <w:sz w:val="26"/>
          <w:szCs w:val="26"/>
        </w:rPr>
        <w:t>4 и 3.5, пунктов 3.4 и 3.5 соответственно</w:t>
      </w:r>
      <w:r w:rsidR="00B422FF" w:rsidRPr="00F562A8">
        <w:rPr>
          <w:rFonts w:ascii="Times New Roman" w:hAnsi="Times New Roman" w:cs="Times New Roman"/>
          <w:sz w:val="26"/>
          <w:szCs w:val="26"/>
        </w:rPr>
        <w:t>.</w:t>
      </w:r>
      <w:r w:rsidR="00B422FF">
        <w:rPr>
          <w:rFonts w:ascii="Times New Roman" w:hAnsi="Times New Roman" w:cs="Times New Roman"/>
          <w:sz w:val="26"/>
          <w:szCs w:val="26"/>
        </w:rPr>
        <w:t xml:space="preserve"> </w:t>
      </w:r>
    </w:p>
    <w:p w14:paraId="408E60D5" w14:textId="77777777" w:rsidR="00634A32" w:rsidRPr="00F562A8" w:rsidRDefault="00634A32" w:rsidP="00634A3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31259423" w14:textId="77777777" w:rsidR="00634A32" w:rsidRPr="00F562A8" w:rsidRDefault="00634A32" w:rsidP="00634A3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09B0C481" w14:textId="77777777" w:rsidR="00634A32" w:rsidRPr="00F562A8" w:rsidRDefault="00634A32" w:rsidP="00634A3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 данном случае таких факторов было выявлено 8:</w:t>
      </w:r>
    </w:p>
    <w:p w14:paraId="5D6F4EC5" w14:textId="2792741D" w:rsidR="00634A32" w:rsidRPr="00F562A8" w:rsidRDefault="00634A32" w:rsidP="00634A32">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xml:space="preserve">- </w:t>
      </w:r>
      <w:r w:rsidR="007B45FC" w:rsidRPr="00F562A8">
        <w:rPr>
          <w:rFonts w:ascii="Times New Roman" w:hAnsi="Times New Roman" w:cs="Times New Roman"/>
          <w:sz w:val="26"/>
          <w:szCs w:val="26"/>
        </w:rPr>
        <w:t>численность населения в населенном пункте</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p>
    <w:p w14:paraId="122DC777" w14:textId="37BA25CD" w:rsidR="00634A32" w:rsidRPr="00F562A8" w:rsidRDefault="00634A32" w:rsidP="00634A32">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xml:space="preserve">- </w:t>
      </w:r>
      <w:r w:rsidR="007B45FC" w:rsidRPr="00F562A8">
        <w:rPr>
          <w:rFonts w:ascii="Times New Roman" w:hAnsi="Times New Roman" w:cs="Times New Roman"/>
          <w:sz w:val="26"/>
          <w:szCs w:val="26"/>
        </w:rPr>
        <w:t>наличие в населенном пункте газоснабжения</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1;</w:t>
      </w:r>
    </w:p>
    <w:p w14:paraId="0149E94A" w14:textId="4F9FEF1B" w:rsidR="00634A32" w:rsidRDefault="00634A32" w:rsidP="00634A32">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xml:space="preserve">- </w:t>
      </w:r>
      <w:r w:rsidR="007B45FC" w:rsidRPr="00F562A8">
        <w:rPr>
          <w:rFonts w:ascii="Times New Roman" w:hAnsi="Times New Roman" w:cs="Times New Roman"/>
          <w:sz w:val="26"/>
          <w:szCs w:val="26"/>
        </w:rPr>
        <w:t>наличие в населенном пункте магазина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2;</w:t>
      </w:r>
    </w:p>
    <w:p w14:paraId="45A4C8D5" w14:textId="760482EE" w:rsidR="007B45FC" w:rsidRPr="00F562A8" w:rsidRDefault="007B45FC" w:rsidP="00634A32">
      <w:pPr>
        <w:spacing w:after="0" w:line="276" w:lineRule="auto"/>
        <w:ind w:firstLine="709"/>
        <w:jc w:val="both"/>
        <w:rPr>
          <w:rFonts w:ascii="Times New Roman" w:hAnsi="Times New Roman" w:cs="Times New Roman"/>
          <w:sz w:val="26"/>
          <w:szCs w:val="26"/>
          <w:vertAlign w:val="subscript"/>
        </w:rPr>
      </w:pPr>
      <w:r>
        <w:rPr>
          <w:rFonts w:ascii="Times New Roman" w:hAnsi="Times New Roman" w:cs="Times New Roman"/>
          <w:sz w:val="26"/>
          <w:szCs w:val="26"/>
          <w:vertAlign w:val="subscript"/>
        </w:rPr>
        <w:t xml:space="preserve">- </w:t>
      </w:r>
      <w:r w:rsidRPr="00F562A8">
        <w:rPr>
          <w:rFonts w:ascii="Times New Roman" w:hAnsi="Times New Roman" w:cs="Times New Roman"/>
          <w:sz w:val="26"/>
          <w:szCs w:val="26"/>
        </w:rPr>
        <w:t>наличие в населенном пункте общеобразовательной школы</w:t>
      </w:r>
      <w:r>
        <w:rPr>
          <w:rFonts w:ascii="Times New Roman" w:hAnsi="Times New Roman" w:cs="Times New Roman"/>
          <w:sz w:val="26"/>
          <w:szCs w:val="26"/>
        </w:rPr>
        <w:t>:</w:t>
      </w:r>
      <w:r w:rsidRPr="007B45FC">
        <w:rPr>
          <w:rFonts w:ascii="Times New Roman" w:hAnsi="Times New Roman" w:cs="Times New Roman"/>
          <w:sz w:val="26"/>
          <w:szCs w:val="26"/>
        </w:rPr>
        <w:t xml:space="preserve"> </w:t>
      </w:r>
      <w:r w:rsidRPr="00F562A8">
        <w:rPr>
          <w:rFonts w:ascii="Times New Roman" w:hAnsi="Times New Roman" w:cs="Times New Roman"/>
          <w:sz w:val="26"/>
          <w:szCs w:val="26"/>
        </w:rPr>
        <w:t>Х</w:t>
      </w:r>
      <w:r w:rsidRPr="00F562A8">
        <w:rPr>
          <w:rFonts w:ascii="Times New Roman" w:hAnsi="Times New Roman" w:cs="Times New Roman"/>
          <w:sz w:val="26"/>
          <w:szCs w:val="26"/>
          <w:vertAlign w:val="subscript"/>
        </w:rPr>
        <w:t>3</w:t>
      </w:r>
      <w:r>
        <w:rPr>
          <w:rFonts w:ascii="Times New Roman" w:hAnsi="Times New Roman" w:cs="Times New Roman"/>
          <w:sz w:val="26"/>
          <w:szCs w:val="26"/>
          <w:vertAlign w:val="subscript"/>
        </w:rPr>
        <w:t>;</w:t>
      </w:r>
      <w:r>
        <w:rPr>
          <w:rFonts w:ascii="Times New Roman" w:hAnsi="Times New Roman" w:cs="Times New Roman"/>
          <w:sz w:val="26"/>
          <w:szCs w:val="26"/>
        </w:rPr>
        <w:t xml:space="preserve"> </w:t>
      </w:r>
    </w:p>
    <w:p w14:paraId="0B87732F" w14:textId="31BC3243" w:rsidR="00634A32" w:rsidRPr="00F562A8" w:rsidRDefault="00634A32" w:rsidP="00634A32">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наличие в населенном пункте центрального водоснабжения: Х</w:t>
      </w:r>
      <w:r w:rsidR="007B45FC">
        <w:rPr>
          <w:rFonts w:ascii="Times New Roman" w:hAnsi="Times New Roman" w:cs="Times New Roman"/>
          <w:sz w:val="26"/>
          <w:szCs w:val="26"/>
          <w:vertAlign w:val="subscript"/>
        </w:rPr>
        <w:t>4</w:t>
      </w:r>
      <w:r w:rsidRPr="00F562A8">
        <w:rPr>
          <w:rFonts w:ascii="Times New Roman" w:hAnsi="Times New Roman" w:cs="Times New Roman"/>
          <w:sz w:val="26"/>
          <w:szCs w:val="26"/>
          <w:vertAlign w:val="subscript"/>
        </w:rPr>
        <w:t>;</w:t>
      </w:r>
    </w:p>
    <w:p w14:paraId="665A877F" w14:textId="1FD09B97" w:rsidR="00634A32" w:rsidRPr="00F562A8" w:rsidRDefault="00634A32" w:rsidP="00634A32">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наличие в населенном пункте центрального теплоснабжения: Х</w:t>
      </w:r>
      <w:r w:rsidR="007B45FC">
        <w:rPr>
          <w:rFonts w:ascii="Times New Roman" w:hAnsi="Times New Roman" w:cs="Times New Roman"/>
          <w:sz w:val="26"/>
          <w:szCs w:val="26"/>
          <w:vertAlign w:val="subscript"/>
        </w:rPr>
        <w:t>5</w:t>
      </w:r>
      <w:r w:rsidRPr="00F562A8">
        <w:rPr>
          <w:rFonts w:ascii="Times New Roman" w:hAnsi="Times New Roman" w:cs="Times New Roman"/>
          <w:sz w:val="26"/>
          <w:szCs w:val="26"/>
          <w:vertAlign w:val="subscript"/>
        </w:rPr>
        <w:t>;</w:t>
      </w:r>
    </w:p>
    <w:p w14:paraId="3A0D0C09" w14:textId="77777777" w:rsidR="00634A32" w:rsidRPr="00F562A8" w:rsidRDefault="00634A32" w:rsidP="00634A32">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расстояние от населенного пункта до центра муниципального района (городского округа): Х</w:t>
      </w:r>
      <w:r w:rsidRPr="00F562A8">
        <w:rPr>
          <w:rFonts w:ascii="Times New Roman" w:hAnsi="Times New Roman" w:cs="Times New Roman"/>
          <w:sz w:val="26"/>
          <w:szCs w:val="26"/>
          <w:vertAlign w:val="subscript"/>
        </w:rPr>
        <w:t>6</w:t>
      </w:r>
    </w:p>
    <w:p w14:paraId="21937EDA" w14:textId="58C2187D" w:rsidR="00634A32" w:rsidRPr="00F562A8" w:rsidRDefault="00634A32" w:rsidP="00634A32">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расстояние от населенного пункта до центра субъекта РФ (г. Воронеж): Х</w:t>
      </w:r>
      <w:r w:rsidRPr="00F562A8">
        <w:rPr>
          <w:rFonts w:ascii="Times New Roman" w:hAnsi="Times New Roman" w:cs="Times New Roman"/>
          <w:sz w:val="26"/>
          <w:szCs w:val="26"/>
          <w:vertAlign w:val="subscript"/>
        </w:rPr>
        <w:t>7</w:t>
      </w:r>
      <w:r w:rsidR="007B45FC">
        <w:rPr>
          <w:rFonts w:ascii="Times New Roman" w:hAnsi="Times New Roman" w:cs="Times New Roman"/>
          <w:sz w:val="26"/>
          <w:szCs w:val="26"/>
          <w:vertAlign w:val="subscript"/>
        </w:rPr>
        <w:t>.</w:t>
      </w:r>
    </w:p>
    <w:p w14:paraId="7B8BD395" w14:textId="77777777" w:rsidR="00634A32" w:rsidRPr="00F562A8" w:rsidRDefault="00634A32" w:rsidP="00634A3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3E40EB26" w14:textId="77777777" w:rsidR="00634A32" w:rsidRPr="00F562A8" w:rsidRDefault="00634A32" w:rsidP="00634A3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5B89D98F" w14:textId="77777777" w:rsidR="00634A32" w:rsidRPr="00F562A8" w:rsidRDefault="00634A32" w:rsidP="00634A3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На основании отбора факторов были построены множественные регрессионные восьмифакторные модели:</w:t>
      </w:r>
    </w:p>
    <w:p w14:paraId="526C2B19" w14:textId="77777777" w:rsidR="00634A32" w:rsidRPr="00F562A8" w:rsidRDefault="00634A32" w:rsidP="00634A32">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68C3CF27" wp14:editId="3AEEF4E4">
            <wp:extent cx="2209800" cy="247650"/>
            <wp:effectExtent l="0" t="0" r="0" b="0"/>
            <wp:docPr id="791" name="Рисунок 791"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1ABE4A5B" w14:textId="77777777" w:rsidR="00634A32" w:rsidRPr="00F562A8" w:rsidRDefault="00634A32" w:rsidP="00634A3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7C35B3FA" wp14:editId="33468644">
            <wp:extent cx="1352550" cy="266700"/>
            <wp:effectExtent l="0" t="0" r="0" b="0"/>
            <wp:docPr id="792" name="Рисунок 792"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11374A98" w14:textId="77777777" w:rsidR="00634A32" w:rsidRPr="00F562A8" w:rsidRDefault="00634A32" w:rsidP="00634A3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3399AFB4" wp14:editId="29F64D6E">
            <wp:extent cx="1266825" cy="266700"/>
            <wp:effectExtent l="0" t="0" r="0" b="0"/>
            <wp:docPr id="803" name="Рисунок 803"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11357247" w14:textId="77777777" w:rsidR="00634A32" w:rsidRPr="00F562A8" w:rsidRDefault="00634A32" w:rsidP="00634A3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4A6DC517" w14:textId="77777777"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702EDF24" w14:textId="77777777"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690541E9" wp14:editId="09BE7664">
            <wp:extent cx="209550" cy="247650"/>
            <wp:effectExtent l="0" t="0" r="0" b="0"/>
            <wp:docPr id="820" name="Рисунок 820"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6AD09FA2" wp14:editId="60890ABA">
            <wp:extent cx="200025" cy="247650"/>
            <wp:effectExtent l="0" t="0" r="9525" b="0"/>
            <wp:docPr id="821" name="Рисунок 821"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046D6B99" wp14:editId="74C580E1">
            <wp:extent cx="209550" cy="247650"/>
            <wp:effectExtent l="0" t="0" r="0" b="0"/>
            <wp:docPr id="822" name="Рисунок 822"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51335579" w14:textId="553137C3" w:rsidR="00634A32" w:rsidRPr="00F562A8" w:rsidRDefault="006A0529" w:rsidP="00A2066C">
      <w:pPr>
        <w:spacing w:after="0" w:line="276" w:lineRule="auto"/>
        <w:jc w:val="center"/>
        <w:rPr>
          <w:rFonts w:ascii="Times New Roman" w:hAnsi="Times New Roman" w:cs="Times New Roman"/>
        </w:rPr>
      </w:pPr>
      <w:r w:rsidRPr="004B2C94">
        <w:rPr>
          <w:noProof/>
          <w:lang w:eastAsia="ru-RU"/>
        </w:rPr>
        <w:drawing>
          <wp:inline distT="0" distB="0" distL="0" distR="0" wp14:anchorId="73BE1442" wp14:editId="2F2FBB4D">
            <wp:extent cx="5939790" cy="693981"/>
            <wp:effectExtent l="0" t="0" r="381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5939790" cy="693981"/>
                    </a:xfrm>
                    <a:prstGeom prst="rect">
                      <a:avLst/>
                    </a:prstGeom>
                  </pic:spPr>
                </pic:pic>
              </a:graphicData>
            </a:graphic>
          </wp:inline>
        </w:drawing>
      </w:r>
    </w:p>
    <w:p w14:paraId="3962E44A" w14:textId="34241D70" w:rsidR="00634A32" w:rsidRPr="00F562A8" w:rsidRDefault="00634A32" w:rsidP="00634A32">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rPr>
        <w:tab/>
      </w:r>
      <w:r w:rsidRPr="00F562A8">
        <w:rPr>
          <w:rFonts w:ascii="Times New Roman" w:hAnsi="Times New Roman" w:cs="Times New Roman"/>
          <w:sz w:val="26"/>
          <w:szCs w:val="26"/>
        </w:rPr>
        <w:t>Рис. 3.6.13.</w:t>
      </w:r>
      <w:r w:rsidR="00504BC2">
        <w:rPr>
          <w:rFonts w:ascii="Times New Roman" w:hAnsi="Times New Roman" w:cs="Times New Roman"/>
          <w:sz w:val="26"/>
          <w:szCs w:val="26"/>
        </w:rPr>
        <w:t>5</w:t>
      </w:r>
      <w:r>
        <w:rPr>
          <w:rFonts w:ascii="Times New Roman" w:hAnsi="Times New Roman" w:cs="Times New Roman"/>
          <w:sz w:val="26"/>
          <w:szCs w:val="26"/>
        </w:rPr>
        <w:t>.1</w:t>
      </w:r>
      <w:r w:rsidRPr="00F562A8">
        <w:rPr>
          <w:rFonts w:ascii="Times New Roman" w:hAnsi="Times New Roman" w:cs="Times New Roman"/>
          <w:sz w:val="26"/>
          <w:szCs w:val="26"/>
        </w:rPr>
        <w:t xml:space="preserve"> - Множественные регрессионные восьмифакторные модели</w:t>
      </w:r>
    </w:p>
    <w:p w14:paraId="21DCC2DA" w14:textId="33DCA64E"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2D2BE21D" w14:textId="77777777"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078E3FDD" w14:textId="77777777"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7734C624" w14:textId="77777777"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3EA25082" w14:textId="77777777"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73F767C3" w14:textId="77777777"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75548A30" w14:textId="77777777"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4746586F" w14:textId="77777777" w:rsidR="00634A32"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0511745F" w14:textId="0E0491D2" w:rsidR="00A2066C" w:rsidRDefault="006A0529" w:rsidP="00A2066C">
      <w:pPr>
        <w:pStyle w:val="ConsPlusNormal"/>
        <w:spacing w:line="276" w:lineRule="auto"/>
        <w:jc w:val="center"/>
        <w:rPr>
          <w:rFonts w:ascii="Times New Roman" w:hAnsi="Times New Roman" w:cs="Times New Roman"/>
          <w:noProof/>
        </w:rPr>
      </w:pPr>
      <w:r w:rsidRPr="004B2C94">
        <w:rPr>
          <w:noProof/>
        </w:rPr>
        <w:drawing>
          <wp:inline distT="0" distB="0" distL="0" distR="0" wp14:anchorId="350090D7" wp14:editId="22CC2DC5">
            <wp:extent cx="5939790" cy="1647703"/>
            <wp:effectExtent l="0" t="0" r="381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5939790" cy="1647703"/>
                    </a:xfrm>
                    <a:prstGeom prst="rect">
                      <a:avLst/>
                    </a:prstGeom>
                  </pic:spPr>
                </pic:pic>
              </a:graphicData>
            </a:graphic>
          </wp:inline>
        </w:drawing>
      </w:r>
    </w:p>
    <w:p w14:paraId="0D6B74D3" w14:textId="180807F8" w:rsidR="00634A32" w:rsidRPr="00F562A8" w:rsidRDefault="00634A32" w:rsidP="00634A32">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3.6.13.</w:t>
      </w:r>
      <w:r w:rsidR="00504BC2">
        <w:rPr>
          <w:rFonts w:ascii="Times New Roman" w:hAnsi="Times New Roman" w:cs="Times New Roman"/>
          <w:sz w:val="26"/>
          <w:szCs w:val="26"/>
        </w:rPr>
        <w:t>5</w:t>
      </w:r>
      <w:r>
        <w:rPr>
          <w:rFonts w:ascii="Times New Roman" w:hAnsi="Times New Roman" w:cs="Times New Roman"/>
          <w:sz w:val="26"/>
          <w:szCs w:val="26"/>
        </w:rPr>
        <w:t>.2</w:t>
      </w:r>
      <w:r w:rsidRPr="00F562A8">
        <w:rPr>
          <w:rFonts w:ascii="Times New Roman" w:hAnsi="Times New Roman" w:cs="Times New Roman"/>
          <w:sz w:val="26"/>
          <w:szCs w:val="26"/>
        </w:rPr>
        <w:t xml:space="preserve"> -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791A38FE" w14:textId="77777777"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7E096088" w14:textId="77777777" w:rsidR="00634A32" w:rsidRPr="00F562A8" w:rsidRDefault="00634A32" w:rsidP="00634A32">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48C92FC7" w14:textId="77777777" w:rsidR="00634A32" w:rsidRPr="00F562A8" w:rsidRDefault="00634A32" w:rsidP="00634A3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693AAE32" w14:textId="6BE03405" w:rsidR="00634A32" w:rsidRPr="00F562A8" w:rsidRDefault="006A0529" w:rsidP="00043AFA">
      <w:pPr>
        <w:spacing w:after="0" w:line="276" w:lineRule="auto"/>
        <w:jc w:val="center"/>
        <w:rPr>
          <w:rFonts w:ascii="Times New Roman" w:hAnsi="Times New Roman" w:cs="Times New Roman"/>
          <w:sz w:val="26"/>
          <w:szCs w:val="26"/>
          <w:lang w:val="en-US"/>
        </w:rPr>
      </w:pPr>
      <w:r w:rsidRPr="004B2C94">
        <w:rPr>
          <w:noProof/>
          <w:lang w:eastAsia="ru-RU"/>
        </w:rPr>
        <w:drawing>
          <wp:inline distT="0" distB="0" distL="0" distR="0" wp14:anchorId="7366FADB" wp14:editId="50B2868A">
            <wp:extent cx="3086531" cy="1086002"/>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3086531" cy="1086002"/>
                    </a:xfrm>
                    <a:prstGeom prst="rect">
                      <a:avLst/>
                    </a:prstGeom>
                  </pic:spPr>
                </pic:pic>
              </a:graphicData>
            </a:graphic>
          </wp:inline>
        </w:drawing>
      </w:r>
    </w:p>
    <w:p w14:paraId="0B39AA41" w14:textId="66CBA31D" w:rsidR="00634A32" w:rsidRPr="00F562A8" w:rsidRDefault="00634A32" w:rsidP="00634A32">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3.6.13.</w:t>
      </w:r>
      <w:r w:rsidR="00504BC2">
        <w:rPr>
          <w:rFonts w:ascii="Times New Roman" w:hAnsi="Times New Roman" w:cs="Times New Roman"/>
          <w:sz w:val="26"/>
          <w:szCs w:val="26"/>
        </w:rPr>
        <w:t>5</w:t>
      </w:r>
      <w:r>
        <w:rPr>
          <w:rFonts w:ascii="Times New Roman" w:hAnsi="Times New Roman" w:cs="Times New Roman"/>
          <w:sz w:val="26"/>
          <w:szCs w:val="26"/>
        </w:rPr>
        <w:t>.3</w:t>
      </w:r>
      <w:r w:rsidRPr="00F562A8">
        <w:rPr>
          <w:rFonts w:ascii="Times New Roman" w:hAnsi="Times New Roman" w:cs="Times New Roman"/>
          <w:sz w:val="26"/>
          <w:szCs w:val="26"/>
        </w:rPr>
        <w:t xml:space="preserve"> - Значения F-критерия Фишера</w:t>
      </w:r>
    </w:p>
    <w:p w14:paraId="3E453D48" w14:textId="77777777" w:rsidR="00634A32" w:rsidRPr="00F562A8" w:rsidRDefault="00634A32" w:rsidP="00634A32">
      <w:pPr>
        <w:spacing w:after="0" w:line="276"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все три модели адекватно описывают статистические данные и их можно использовать для анализа и прогнозирования кадастровой стоимости (результативного признака). </w:t>
      </w:r>
    </w:p>
    <w:p w14:paraId="014CB971" w14:textId="50F7BEEB" w:rsidR="00634A32" w:rsidRDefault="00634A32" w:rsidP="00634A3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Наибольшее значение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имеет мультипликативная и экспоненциальная модели, значения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 которых можно считать равными на уровне статистической погрешности, однако предпочтение для прогнозирования целесообразно отдать экспоненциальной модели, как монотонной на широких интервалах исходных данных и как следствие более устойчива к изменению независимых переменных в неограниченном интервале их значений. Экспоненциальная регрессионная модель имеет вид:</w:t>
      </w:r>
    </w:p>
    <w:p w14:paraId="032142FA" w14:textId="270E3869" w:rsidR="00AE5AA1" w:rsidRPr="00AE5AA1" w:rsidRDefault="00634A32" w:rsidP="006A0529">
      <w:pPr>
        <w:ind w:firstLine="851"/>
        <w:jc w:val="both"/>
        <w:rPr>
          <w:rFonts w:ascii="Times New Roman" w:hAnsi="Times New Roman" w:cs="Times New Roman"/>
          <w:i/>
          <w:sz w:val="26"/>
          <w:szCs w:val="26"/>
        </w:rPr>
      </w:pPr>
      <w:r w:rsidRPr="00F562A8">
        <w:rPr>
          <w:rFonts w:ascii="Times New Roman" w:hAnsi="Times New Roman" w:cs="Times New Roman"/>
          <w:i/>
          <w:sz w:val="26"/>
          <w:szCs w:val="26"/>
        </w:rPr>
        <w:t xml:space="preserve">УПКС = </w:t>
      </w:r>
      <w:r w:rsidR="006A0529" w:rsidRPr="006A0529">
        <w:rPr>
          <w:rFonts w:ascii="Times New Roman" w:hAnsi="Times New Roman" w:cs="Times New Roman"/>
          <w:i/>
          <w:sz w:val="26"/>
          <w:szCs w:val="26"/>
        </w:rPr>
        <w:t>5.56863575210554*e^(+0.0000905179608836063*__Численность населения в населенном пункте+0.49223534550549*([СНП Наличие в населенном пункте газоснабжения])+0.510617726637901*([СНП Наличие в населенном пункте магазина])+0.209023414264068*([СНП Наличие в населенном пункте общеобразовательной школы])+0.371337539920507*([СНП Наличие в населенном пункте центрального водоснабжения])+0.373169062483735*([СНП Наличие центрального теплоснабжения])</w:t>
      </w:r>
      <w:r w:rsidR="006A0529">
        <w:rPr>
          <w:rFonts w:ascii="Times New Roman" w:hAnsi="Times New Roman" w:cs="Times New Roman"/>
          <w:i/>
          <w:sz w:val="26"/>
          <w:szCs w:val="26"/>
        </w:rPr>
        <w:t xml:space="preserve"> </w:t>
      </w:r>
      <w:r w:rsidR="006A0529" w:rsidRPr="006A0529">
        <w:rPr>
          <w:rFonts w:ascii="Times New Roman" w:hAnsi="Times New Roman" w:cs="Times New Roman"/>
          <w:i/>
          <w:sz w:val="26"/>
          <w:szCs w:val="26"/>
        </w:rPr>
        <w:t>+0.00381011291419576*((78.00+-1.00-СНП Расстояние от населенного пункта до центра муниципального района (городского округа)))+0.00149028729092767*((365.00+56.00-СНП Расстояние от населенного пункта до центра субъекта РФ (г. Воронеж))))</w:t>
      </w:r>
    </w:p>
    <w:p w14:paraId="6A33BB32" w14:textId="77777777" w:rsidR="00634A32" w:rsidRPr="00F562A8" w:rsidRDefault="00634A32" w:rsidP="00634A3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5DA15CA8" w14:textId="790205AC" w:rsidR="00634A32" w:rsidRDefault="00A37848" w:rsidP="00634A32">
      <w:pPr>
        <w:spacing w:after="0" w:line="276" w:lineRule="auto"/>
        <w:jc w:val="center"/>
        <w:rPr>
          <w:noProof/>
        </w:rPr>
      </w:pPr>
      <w:r w:rsidRPr="004B2C94">
        <w:rPr>
          <w:noProof/>
          <w:lang w:eastAsia="ru-RU"/>
        </w:rPr>
        <w:drawing>
          <wp:inline distT="0" distB="0" distL="0" distR="0" wp14:anchorId="12766C6C" wp14:editId="01BE2777">
            <wp:extent cx="5408230" cy="3781425"/>
            <wp:effectExtent l="0" t="0" r="254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5412894" cy="3784686"/>
                    </a:xfrm>
                    <a:prstGeom prst="rect">
                      <a:avLst/>
                    </a:prstGeom>
                  </pic:spPr>
                </pic:pic>
              </a:graphicData>
            </a:graphic>
          </wp:inline>
        </w:drawing>
      </w:r>
    </w:p>
    <w:p w14:paraId="5DA08D92" w14:textId="16EC4CE9" w:rsidR="00A37848" w:rsidRPr="00F562A8" w:rsidRDefault="00A37848" w:rsidP="00634A32">
      <w:pPr>
        <w:spacing w:after="0" w:line="276" w:lineRule="auto"/>
        <w:jc w:val="center"/>
        <w:rPr>
          <w:rFonts w:ascii="Times New Roman" w:hAnsi="Times New Roman" w:cs="Times New Roman"/>
          <w:i/>
          <w:szCs w:val="24"/>
        </w:rPr>
      </w:pPr>
      <w:r w:rsidRPr="004B2C94">
        <w:rPr>
          <w:noProof/>
          <w:lang w:eastAsia="ru-RU"/>
        </w:rPr>
        <w:drawing>
          <wp:inline distT="0" distB="0" distL="0" distR="0" wp14:anchorId="024F4B0F" wp14:editId="67BF2EF2">
            <wp:extent cx="5422231" cy="895494"/>
            <wp:effectExtent l="0" t="0" r="762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5483397" cy="905596"/>
                    </a:xfrm>
                    <a:prstGeom prst="rect">
                      <a:avLst/>
                    </a:prstGeom>
                  </pic:spPr>
                </pic:pic>
              </a:graphicData>
            </a:graphic>
          </wp:inline>
        </w:drawing>
      </w:r>
    </w:p>
    <w:p w14:paraId="126C7DAA" w14:textId="2D94F946" w:rsidR="00634A32" w:rsidRPr="00F562A8" w:rsidRDefault="00634A32" w:rsidP="00634A32">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 3.6.13.</w:t>
      </w:r>
      <w:r w:rsidR="00504BC2">
        <w:rPr>
          <w:rFonts w:ascii="Times New Roman" w:hAnsi="Times New Roman" w:cs="Times New Roman"/>
          <w:sz w:val="26"/>
          <w:szCs w:val="26"/>
        </w:rPr>
        <w:t>5</w:t>
      </w:r>
      <w:r>
        <w:rPr>
          <w:rFonts w:ascii="Times New Roman" w:hAnsi="Times New Roman" w:cs="Times New Roman"/>
          <w:sz w:val="26"/>
          <w:szCs w:val="26"/>
        </w:rPr>
        <w:t>.4</w:t>
      </w:r>
      <w:r w:rsidRPr="00F562A8">
        <w:rPr>
          <w:rFonts w:ascii="Times New Roman" w:hAnsi="Times New Roman" w:cs="Times New Roman"/>
          <w:sz w:val="26"/>
          <w:szCs w:val="26"/>
        </w:rPr>
        <w:t xml:space="preserve"> - Характеристика экспоненциальной модели и анализ качества выборки</w:t>
      </w:r>
    </w:p>
    <w:p w14:paraId="671D940F" w14:textId="0EEB57F1" w:rsidR="00634A32" w:rsidRPr="00F562A8" w:rsidRDefault="00634A32" w:rsidP="00634A32">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w:t>
      </w:r>
      <w:r w:rsidR="00947A0A">
        <w:rPr>
          <w:rFonts w:ascii="Times New Roman" w:hAnsi="Times New Roman" w:cs="Times New Roman"/>
          <w:sz w:val="26"/>
          <w:szCs w:val="26"/>
        </w:rPr>
        <w:t>а</w:t>
      </w:r>
      <w:r w:rsidRPr="00F562A8">
        <w:rPr>
          <w:rFonts w:ascii="Times New Roman" w:hAnsi="Times New Roman" w:cs="Times New Roman"/>
          <w:sz w:val="26"/>
          <w:szCs w:val="26"/>
        </w:rPr>
        <w:t>м</w:t>
      </w:r>
      <w:r w:rsidR="00947A0A">
        <w:rPr>
          <w:rFonts w:ascii="Times New Roman" w:hAnsi="Times New Roman" w:cs="Times New Roman"/>
          <w:sz w:val="26"/>
          <w:szCs w:val="26"/>
        </w:rPr>
        <w:t>и</w:t>
      </w:r>
      <w:r w:rsidRPr="00F562A8">
        <w:rPr>
          <w:rFonts w:ascii="Times New Roman" w:hAnsi="Times New Roman" w:cs="Times New Roman"/>
          <w:sz w:val="26"/>
          <w:szCs w:val="26"/>
        </w:rPr>
        <w:t xml:space="preserve"> Х</w:t>
      </w:r>
      <w:r w:rsidRPr="00F562A8">
        <w:rPr>
          <w:rFonts w:ascii="Times New Roman" w:hAnsi="Times New Roman" w:cs="Times New Roman"/>
          <w:sz w:val="26"/>
          <w:szCs w:val="26"/>
          <w:vertAlign w:val="subscript"/>
        </w:rPr>
        <w:t xml:space="preserve">6 </w:t>
      </w:r>
      <w:r w:rsidRPr="00F562A8">
        <w:rPr>
          <w:rFonts w:ascii="Times New Roman" w:hAnsi="Times New Roman" w:cs="Times New Roman"/>
          <w:sz w:val="26"/>
          <w:szCs w:val="26"/>
        </w:rPr>
        <w:t>и Х</w:t>
      </w:r>
      <w:r w:rsidRPr="00F562A8">
        <w:rPr>
          <w:rFonts w:ascii="Times New Roman" w:hAnsi="Times New Roman" w:cs="Times New Roman"/>
          <w:sz w:val="26"/>
          <w:szCs w:val="26"/>
          <w:vertAlign w:val="subscript"/>
        </w:rPr>
        <w:t>7</w:t>
      </w:r>
      <w:r w:rsidRPr="00F562A8">
        <w:rPr>
          <w:rFonts w:ascii="Times New Roman" w:hAnsi="Times New Roman" w:cs="Times New Roman"/>
          <w:sz w:val="26"/>
          <w:szCs w:val="26"/>
        </w:rPr>
        <w:t xml:space="preserve"> и кадастровой стоимостью обратная, то есть при росте этих факторов кадастровая стоимость уменьшается. Влияние фактор</w:t>
      </w:r>
      <w:r>
        <w:rPr>
          <w:rFonts w:ascii="Times New Roman" w:hAnsi="Times New Roman" w:cs="Times New Roman"/>
          <w:sz w:val="26"/>
          <w:szCs w:val="26"/>
        </w:rPr>
        <w:t>а</w:t>
      </w:r>
      <w:r w:rsidRPr="00F562A8">
        <w:rPr>
          <w:rFonts w:ascii="Times New Roman" w:hAnsi="Times New Roman" w:cs="Times New Roman"/>
          <w:sz w:val="26"/>
          <w:szCs w:val="26"/>
        </w:rPr>
        <w:t xml:space="preserve"> Х</w:t>
      </w:r>
      <w:r w:rsidR="001D4D7D">
        <w:rPr>
          <w:rFonts w:ascii="Times New Roman" w:hAnsi="Times New Roman" w:cs="Times New Roman"/>
          <w:sz w:val="26"/>
          <w:szCs w:val="26"/>
          <w:vertAlign w:val="subscript"/>
        </w:rPr>
        <w:t>0</w:t>
      </w:r>
      <w:r w:rsidRPr="00F562A8">
        <w:rPr>
          <w:rFonts w:ascii="Times New Roman" w:hAnsi="Times New Roman" w:cs="Times New Roman"/>
          <w:sz w:val="26"/>
          <w:szCs w:val="26"/>
        </w:rPr>
        <w:t xml:space="preserve"> на кадастровую стоимость прямое и с ростом фактор</w:t>
      </w:r>
      <w:r>
        <w:rPr>
          <w:rFonts w:ascii="Times New Roman" w:hAnsi="Times New Roman" w:cs="Times New Roman"/>
          <w:sz w:val="26"/>
          <w:szCs w:val="26"/>
        </w:rPr>
        <w:t>а</w:t>
      </w:r>
      <w:r w:rsidRPr="00F562A8">
        <w:rPr>
          <w:rFonts w:ascii="Times New Roman" w:hAnsi="Times New Roman" w:cs="Times New Roman"/>
          <w:sz w:val="26"/>
          <w:szCs w:val="26"/>
        </w:rPr>
        <w:t xml:space="preserve"> кадастровая стоимость растет. 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74C5F137" w14:textId="1DE33D49" w:rsidR="00634A32" w:rsidRDefault="00153B5F" w:rsidP="00634A32">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6EDFEAA1" w14:textId="09A00E45" w:rsidR="00551965" w:rsidRDefault="00551965" w:rsidP="00551965">
      <w:pPr>
        <w:spacing w:after="0" w:line="300" w:lineRule="auto"/>
        <w:jc w:val="center"/>
        <w:rPr>
          <w:rFonts w:ascii="Times New Roman" w:eastAsiaTheme="minorEastAsia" w:hAnsi="Times New Roman" w:cs="Times New Roman"/>
          <w:i/>
          <w:sz w:val="26"/>
          <w:szCs w:val="26"/>
        </w:rPr>
      </w:pPr>
    </w:p>
    <w:p w14:paraId="61569966" w14:textId="4CF008EF" w:rsidR="00551965" w:rsidRPr="00DC7772" w:rsidRDefault="00551965" w:rsidP="007D34A1">
      <w:pPr>
        <w:pStyle w:val="ab"/>
        <w:ind w:left="0"/>
        <w:jc w:val="center"/>
        <w:outlineLvl w:val="2"/>
        <w:rPr>
          <w:rFonts w:ascii="Times New Roman" w:hAnsi="Times New Roman" w:cs="Times New Roman"/>
          <w:i/>
          <w:sz w:val="26"/>
          <w:szCs w:val="26"/>
        </w:rPr>
      </w:pPr>
      <w:bookmarkStart w:id="303" w:name="_Toc110507030"/>
      <w:r w:rsidRPr="00DC7772">
        <w:rPr>
          <w:rFonts w:ascii="Times New Roman" w:hAnsi="Times New Roman" w:cs="Times New Roman"/>
          <w:i/>
          <w:sz w:val="26"/>
          <w:szCs w:val="26"/>
        </w:rPr>
        <w:t>3.6.13.</w:t>
      </w:r>
      <w:r w:rsidR="001E6660" w:rsidRPr="00DC7772">
        <w:rPr>
          <w:rFonts w:ascii="Times New Roman" w:hAnsi="Times New Roman" w:cs="Times New Roman"/>
          <w:i/>
          <w:sz w:val="26"/>
          <w:szCs w:val="26"/>
        </w:rPr>
        <w:t>6</w:t>
      </w:r>
      <w:r w:rsidRPr="00DC7772">
        <w:rPr>
          <w:rFonts w:ascii="Times New Roman" w:hAnsi="Times New Roman" w:cs="Times New Roman"/>
          <w:i/>
          <w:sz w:val="26"/>
          <w:szCs w:val="26"/>
        </w:rPr>
        <w:t xml:space="preserve">. Расчет кадастровой стоимости земельных участков группы </w:t>
      </w:r>
      <w:r w:rsidR="00395B2D" w:rsidRPr="00DC7772">
        <w:rPr>
          <w:rFonts w:ascii="Times New Roman" w:hAnsi="Times New Roman" w:cs="Times New Roman"/>
          <w:i/>
          <w:sz w:val="26"/>
          <w:szCs w:val="26"/>
        </w:rPr>
        <w:t>ИЖС/УПКС</w:t>
      </w:r>
      <w:bookmarkEnd w:id="303"/>
    </w:p>
    <w:p w14:paraId="1CAD582C" w14:textId="5FC7CC3E" w:rsidR="00882B4D" w:rsidRPr="00DC7772" w:rsidRDefault="00882B4D" w:rsidP="00882B4D">
      <w:pPr>
        <w:spacing w:after="0" w:line="276" w:lineRule="auto"/>
        <w:ind w:firstLine="567"/>
        <w:jc w:val="both"/>
        <w:rPr>
          <w:rFonts w:ascii="Times New Roman" w:eastAsiaTheme="minorEastAsia" w:hAnsi="Times New Roman" w:cs="Times New Roman"/>
          <w:sz w:val="26"/>
          <w:szCs w:val="26"/>
        </w:rPr>
      </w:pPr>
      <w:r w:rsidRPr="00DC7772">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411C3EBD" w14:textId="22D2E5AB" w:rsidR="00882B4D" w:rsidRPr="00DC7772" w:rsidRDefault="00882B4D" w:rsidP="00882B4D">
      <w:pPr>
        <w:spacing w:after="0" w:line="300" w:lineRule="auto"/>
        <w:ind w:firstLine="567"/>
        <w:jc w:val="both"/>
        <w:rPr>
          <w:rFonts w:ascii="Times New Roman" w:eastAsiaTheme="minorEastAsia" w:hAnsi="Times New Roman" w:cs="Times New Roman"/>
          <w:sz w:val="26"/>
          <w:szCs w:val="26"/>
        </w:rPr>
      </w:pPr>
      <w:r w:rsidRPr="00DC7772">
        <w:rPr>
          <w:rFonts w:ascii="Times New Roman" w:eastAsiaTheme="minorEastAsia" w:hAnsi="Times New Roman" w:cs="Times New Roman"/>
          <w:sz w:val="26"/>
          <w:szCs w:val="26"/>
        </w:rPr>
        <w:t>В состав группы ИЖС/УПКС вошли следующие коды расчета видов использования: 13:000, 02:010, 02:011, 02:013, 02:014, 02:020, 02:021, 02:030, 02:031.</w:t>
      </w:r>
    </w:p>
    <w:p w14:paraId="739FBFAF" w14:textId="30B2B0FA" w:rsidR="00882B4D" w:rsidRPr="00DC7772" w:rsidRDefault="00882B4D" w:rsidP="00882B4D">
      <w:pPr>
        <w:spacing w:after="0" w:line="300" w:lineRule="auto"/>
        <w:ind w:firstLine="567"/>
        <w:jc w:val="both"/>
        <w:rPr>
          <w:rFonts w:ascii="Times New Roman" w:eastAsiaTheme="minorEastAsia" w:hAnsi="Times New Roman" w:cs="Times New Roman"/>
          <w:sz w:val="26"/>
          <w:szCs w:val="26"/>
        </w:rPr>
      </w:pPr>
      <w:r w:rsidRPr="00DC7772">
        <w:rPr>
          <w:rFonts w:ascii="Times New Roman" w:eastAsiaTheme="minorEastAsia" w:hAnsi="Times New Roman" w:cs="Times New Roman"/>
          <w:sz w:val="26"/>
          <w:szCs w:val="26"/>
        </w:rPr>
        <w:t xml:space="preserve">В группу ИЖС/УПКС включены объекты, не имеющие точной характеристики местоположения объектов (без факторов). </w:t>
      </w:r>
    </w:p>
    <w:p w14:paraId="52899369" w14:textId="79E3E35B" w:rsidR="00882B4D" w:rsidRPr="00DC7772" w:rsidRDefault="00847C1E" w:rsidP="00882B4D">
      <w:pPr>
        <w:spacing w:after="0" w:line="300" w:lineRule="auto"/>
        <w:ind w:firstLine="567"/>
        <w:jc w:val="both"/>
        <w:rPr>
          <w:rFonts w:ascii="Times New Roman" w:eastAsiaTheme="minorEastAsia" w:hAnsi="Times New Roman" w:cs="Times New Roman"/>
          <w:sz w:val="26"/>
          <w:szCs w:val="26"/>
        </w:rPr>
      </w:pPr>
      <w:r w:rsidRPr="00847C1E">
        <w:rPr>
          <w:rFonts w:ascii="Times New Roman" w:eastAsiaTheme="minorEastAsia" w:hAnsi="Times New Roman" w:cs="Times New Roman"/>
          <w:sz w:val="26"/>
          <w:szCs w:val="26"/>
        </w:rPr>
        <w:t>Расчет кадастровой стоимости земельных участков данной группы проведен на основании средних удельных показателей кадастровой стоимости текущего сегмента с учетом кода расчета вида использования в соответствии с пунктом 45.3 Методических указаний</w:t>
      </w:r>
      <w:r w:rsidR="00882B4D" w:rsidRPr="00DC7772">
        <w:rPr>
          <w:rFonts w:ascii="Times New Roman" w:hAnsi="Times New Roman" w:cs="Times New Roman"/>
          <w:bCs/>
          <w:sz w:val="26"/>
          <w:szCs w:val="26"/>
        </w:rPr>
        <w:t>.</w:t>
      </w:r>
      <w:r w:rsidR="00882B4D" w:rsidRPr="00DC7772">
        <w:rPr>
          <w:rFonts w:ascii="Times New Roman" w:eastAsiaTheme="minorEastAsia" w:hAnsi="Times New Roman" w:cs="Times New Roman"/>
          <w:sz w:val="26"/>
          <w:szCs w:val="26"/>
        </w:rPr>
        <w:t xml:space="preserve"> </w:t>
      </w:r>
    </w:p>
    <w:p w14:paraId="02E90049" w14:textId="7C7B10D1" w:rsidR="00882B4D" w:rsidRPr="00DC7772" w:rsidRDefault="00153B5F" w:rsidP="00882B4D">
      <w:pPr>
        <w:spacing w:after="0" w:line="300" w:lineRule="auto"/>
        <w:ind w:firstLine="567"/>
        <w:jc w:val="both"/>
        <w:rPr>
          <w:rFonts w:ascii="Times New Roman" w:hAnsi="Times New Roman" w:cs="Times New Roman"/>
          <w:bCs/>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3DF61D8E" w14:textId="77777777" w:rsidR="00FE2D52" w:rsidRPr="00DC7772" w:rsidRDefault="00FE2D52" w:rsidP="006F6435">
      <w:pPr>
        <w:spacing w:after="0" w:line="276" w:lineRule="auto"/>
        <w:rPr>
          <w:rFonts w:ascii="Times New Roman" w:hAnsi="Times New Roman" w:cs="Times New Roman"/>
          <w:i/>
          <w:sz w:val="26"/>
          <w:szCs w:val="26"/>
        </w:rPr>
      </w:pPr>
    </w:p>
    <w:p w14:paraId="2D5CD5E5" w14:textId="0CE2E6D0" w:rsidR="00306BF5" w:rsidRPr="00F562A8" w:rsidRDefault="00FE2D52" w:rsidP="002D4BEA">
      <w:pPr>
        <w:pStyle w:val="ab"/>
        <w:ind w:left="0"/>
        <w:jc w:val="center"/>
        <w:outlineLvl w:val="2"/>
        <w:rPr>
          <w:rFonts w:ascii="Times New Roman" w:hAnsi="Times New Roman" w:cs="Times New Roman"/>
          <w:i/>
          <w:sz w:val="26"/>
          <w:szCs w:val="26"/>
        </w:rPr>
      </w:pPr>
      <w:bookmarkStart w:id="304" w:name="_Toc110507031"/>
      <w:r w:rsidRPr="00DC7772">
        <w:rPr>
          <w:rFonts w:ascii="Times New Roman" w:hAnsi="Times New Roman" w:cs="Times New Roman"/>
          <w:i/>
          <w:sz w:val="26"/>
          <w:szCs w:val="26"/>
        </w:rPr>
        <w:t>3.6.13.</w:t>
      </w:r>
      <w:r w:rsidR="00661AF6" w:rsidRPr="00DC7772">
        <w:rPr>
          <w:rFonts w:ascii="Times New Roman" w:hAnsi="Times New Roman" w:cs="Times New Roman"/>
          <w:i/>
          <w:sz w:val="26"/>
          <w:szCs w:val="26"/>
        </w:rPr>
        <w:t>7</w:t>
      </w:r>
      <w:r w:rsidRPr="00DC7772">
        <w:rPr>
          <w:rFonts w:ascii="Times New Roman" w:hAnsi="Times New Roman" w:cs="Times New Roman"/>
          <w:i/>
          <w:sz w:val="26"/>
          <w:szCs w:val="26"/>
        </w:rPr>
        <w:t xml:space="preserve">. </w:t>
      </w:r>
      <w:r w:rsidR="00306BF5" w:rsidRPr="00DC7772">
        <w:rPr>
          <w:rFonts w:ascii="Times New Roman" w:hAnsi="Times New Roman" w:cs="Times New Roman"/>
          <w:i/>
          <w:sz w:val="26"/>
          <w:szCs w:val="26"/>
        </w:rPr>
        <w:t>Расчет</w:t>
      </w:r>
      <w:r w:rsidR="00306BF5" w:rsidRPr="00F562A8">
        <w:rPr>
          <w:rFonts w:ascii="Times New Roman" w:hAnsi="Times New Roman" w:cs="Times New Roman"/>
          <w:i/>
          <w:sz w:val="26"/>
          <w:szCs w:val="26"/>
        </w:rPr>
        <w:t xml:space="preserve"> кадастровой стоимости земельных участков группы </w:t>
      </w:r>
      <w:r w:rsidR="001B2E73" w:rsidRPr="001B2E73">
        <w:rPr>
          <w:rFonts w:ascii="Times New Roman" w:hAnsi="Times New Roman" w:cs="Times New Roman"/>
          <w:i/>
          <w:sz w:val="26"/>
          <w:szCs w:val="26"/>
        </w:rPr>
        <w:t>СОД/Воронеж</w:t>
      </w:r>
      <w:bookmarkEnd w:id="304"/>
      <w:r w:rsidR="001B2E73" w:rsidRPr="00F562A8">
        <w:rPr>
          <w:rFonts w:ascii="Times New Roman" w:hAnsi="Times New Roman" w:cs="Times New Roman"/>
          <w:i/>
          <w:sz w:val="26"/>
          <w:szCs w:val="26"/>
        </w:rPr>
        <w:t xml:space="preserve"> </w:t>
      </w:r>
    </w:p>
    <w:p w14:paraId="581F503F" w14:textId="389996E4" w:rsidR="002D0712" w:rsidRPr="00F562A8" w:rsidRDefault="002D0712" w:rsidP="006F6435">
      <w:pPr>
        <w:spacing w:after="0" w:line="276" w:lineRule="auto"/>
        <w:ind w:firstLine="709"/>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40ACE898" w14:textId="01BAD74A" w:rsidR="00661AF6" w:rsidRPr="00882B4D" w:rsidRDefault="00661AF6" w:rsidP="00D87B61">
      <w:pPr>
        <w:spacing w:after="0" w:line="300" w:lineRule="auto"/>
        <w:ind w:firstLine="709"/>
        <w:jc w:val="both"/>
        <w:rPr>
          <w:rFonts w:ascii="Times New Roman" w:eastAsiaTheme="minorEastAsia" w:hAnsi="Times New Roman" w:cs="Times New Roman"/>
          <w:sz w:val="26"/>
          <w:szCs w:val="26"/>
        </w:rPr>
      </w:pPr>
      <w:r w:rsidRPr="00882B4D">
        <w:rPr>
          <w:rFonts w:ascii="Times New Roman" w:eastAsiaTheme="minorEastAsia" w:hAnsi="Times New Roman" w:cs="Times New Roman"/>
          <w:sz w:val="26"/>
          <w:szCs w:val="26"/>
        </w:rPr>
        <w:t xml:space="preserve">В состав группы </w:t>
      </w:r>
      <w:r w:rsidRPr="00D8590B">
        <w:rPr>
          <w:rFonts w:ascii="Times New Roman" w:hAnsi="Times New Roman" w:cs="Times New Roman"/>
          <w:sz w:val="26"/>
          <w:szCs w:val="26"/>
        </w:rPr>
        <w:t>СОД/Воронеж</w:t>
      </w:r>
      <w:r w:rsidRPr="00F562A8">
        <w:rPr>
          <w:rFonts w:ascii="Times New Roman" w:hAnsi="Times New Roman" w:cs="Times New Roman"/>
          <w:sz w:val="26"/>
          <w:szCs w:val="26"/>
        </w:rPr>
        <w:t xml:space="preserve"> </w:t>
      </w:r>
      <w:r w:rsidRPr="00882B4D">
        <w:rPr>
          <w:rFonts w:ascii="Times New Roman" w:eastAsiaTheme="minorEastAsia" w:hAnsi="Times New Roman" w:cs="Times New Roman"/>
          <w:sz w:val="26"/>
          <w:szCs w:val="26"/>
        </w:rPr>
        <w:t xml:space="preserve">вошли следующие коды расчета видов использования: </w:t>
      </w:r>
      <w:r w:rsidRPr="00661AF6">
        <w:rPr>
          <w:rFonts w:ascii="Times New Roman" w:eastAsiaTheme="minorEastAsia" w:hAnsi="Times New Roman" w:cs="Times New Roman"/>
          <w:sz w:val="26"/>
          <w:szCs w:val="26"/>
        </w:rPr>
        <w:t>13:011, 13:021</w:t>
      </w:r>
      <w:r w:rsidRPr="00882B4D">
        <w:rPr>
          <w:rFonts w:ascii="Times New Roman" w:eastAsiaTheme="minorEastAsia" w:hAnsi="Times New Roman" w:cs="Times New Roman"/>
          <w:sz w:val="26"/>
          <w:szCs w:val="26"/>
        </w:rPr>
        <w:t>.</w:t>
      </w:r>
    </w:p>
    <w:p w14:paraId="5D868F8D" w14:textId="77BD6DA2"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D8590B" w:rsidRPr="00D8590B">
        <w:rPr>
          <w:rFonts w:ascii="Times New Roman" w:hAnsi="Times New Roman" w:cs="Times New Roman"/>
          <w:sz w:val="26"/>
          <w:szCs w:val="26"/>
        </w:rPr>
        <w:t>СОД/Воронеж</w:t>
      </w:r>
      <w:r w:rsidR="00D8590B" w:rsidRPr="00F562A8">
        <w:rPr>
          <w:rFonts w:ascii="Times New Roman" w:hAnsi="Times New Roman" w:cs="Times New Roman"/>
          <w:sz w:val="26"/>
          <w:szCs w:val="26"/>
        </w:rPr>
        <w:t xml:space="preserve">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0E3DFA81" w14:textId="398AB8C7" w:rsidR="00306BF5" w:rsidRPr="00F562A8" w:rsidRDefault="00F77023" w:rsidP="006F6435">
      <w:pPr>
        <w:pStyle w:val="ConsPlusNormal"/>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Согласно п.45.1.1 Указаний</w:t>
      </w:r>
      <w:r w:rsidR="00306BF5" w:rsidRPr="00F562A8">
        <w:rPr>
          <w:rFonts w:ascii="Times New Roman" w:hAnsi="Times New Roman" w:cs="Times New Roman"/>
          <w:sz w:val="26"/>
          <w:szCs w:val="26"/>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7ABFD803"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2CCEF14A"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1A0B63A6"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41FAA0E2"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46FAE62D"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225D31A7"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584B1B9E" w14:textId="77777777" w:rsidR="00B422FF" w:rsidRDefault="00306BF5" w:rsidP="00B422F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расчета кадастровой стоимости земельных участков, расположенных в г.о.г. Воронеж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12 </w:t>
      </w:r>
      <w:r w:rsidR="00B422FF" w:rsidRPr="00F562A8">
        <w:rPr>
          <w:rFonts w:ascii="Times New Roman" w:hAnsi="Times New Roman" w:cs="Times New Roman"/>
          <w:sz w:val="26"/>
          <w:szCs w:val="26"/>
        </w:rPr>
        <w:t>представлены в таблиц</w:t>
      </w:r>
      <w:r w:rsidR="00B422FF">
        <w:rPr>
          <w:rFonts w:ascii="Times New Roman" w:hAnsi="Times New Roman" w:cs="Times New Roman"/>
          <w:sz w:val="26"/>
          <w:szCs w:val="26"/>
        </w:rPr>
        <w:t>ах</w:t>
      </w:r>
      <w:r w:rsidR="00B422FF" w:rsidRPr="00F562A8">
        <w:rPr>
          <w:rFonts w:ascii="Times New Roman" w:hAnsi="Times New Roman" w:cs="Times New Roman"/>
          <w:sz w:val="26"/>
          <w:szCs w:val="26"/>
        </w:rPr>
        <w:t xml:space="preserve"> </w:t>
      </w:r>
      <w:r w:rsidR="00B422FF" w:rsidRPr="00F562A8">
        <w:rPr>
          <w:rFonts w:ascii="Times New Roman" w:eastAsia="Times New Roman" w:hAnsi="Times New Roman" w:cs="Times New Roman"/>
          <w:sz w:val="26"/>
          <w:szCs w:val="26"/>
        </w:rPr>
        <w:t>3.</w:t>
      </w:r>
      <w:r w:rsidR="00B422FF">
        <w:rPr>
          <w:rFonts w:ascii="Times New Roman" w:eastAsia="Times New Roman" w:hAnsi="Times New Roman" w:cs="Times New Roman"/>
          <w:sz w:val="26"/>
          <w:szCs w:val="26"/>
        </w:rPr>
        <w:t>4 и 3.5, пунктов 3.4 и 3.5 соответственно</w:t>
      </w:r>
      <w:r w:rsidR="00B422FF" w:rsidRPr="00F562A8">
        <w:rPr>
          <w:rFonts w:ascii="Times New Roman" w:hAnsi="Times New Roman" w:cs="Times New Roman"/>
          <w:sz w:val="26"/>
          <w:szCs w:val="26"/>
        </w:rPr>
        <w:t>.</w:t>
      </w:r>
      <w:r w:rsidR="00B422FF">
        <w:rPr>
          <w:rFonts w:ascii="Times New Roman" w:hAnsi="Times New Roman" w:cs="Times New Roman"/>
          <w:sz w:val="26"/>
          <w:szCs w:val="26"/>
        </w:rPr>
        <w:t xml:space="preserve"> </w:t>
      </w:r>
    </w:p>
    <w:p w14:paraId="0FDAD0FF" w14:textId="2A43A7AB"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58908833"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3BC5E3E5"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 данном случае таких факторов было выявлено 3:</w:t>
      </w:r>
    </w:p>
    <w:p w14:paraId="31C49A17" w14:textId="130E2A3E"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6C4B97" w:rsidRPr="006C4B97">
        <w:rPr>
          <w:rFonts w:ascii="Times New Roman" w:hAnsi="Times New Roman" w:cs="Times New Roman"/>
          <w:sz w:val="26"/>
          <w:szCs w:val="26"/>
        </w:rPr>
        <w:t>расстояние до центра субъекта РФ (г. Воронеж)</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5E582C49" w14:textId="53E9B7A8" w:rsidR="00306BF5" w:rsidRPr="00F562A8" w:rsidRDefault="00306BF5" w:rsidP="006F6435">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xml:space="preserve">- </w:t>
      </w:r>
      <w:r w:rsidR="006C4B97" w:rsidRPr="006C4B97">
        <w:rPr>
          <w:rFonts w:ascii="Times New Roman" w:hAnsi="Times New Roman" w:cs="Times New Roman"/>
          <w:sz w:val="26"/>
          <w:szCs w:val="26"/>
        </w:rPr>
        <w:t>наличие в населенном пункте газоснабжения</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1;</w:t>
      </w:r>
    </w:p>
    <w:p w14:paraId="77A7D4BE" w14:textId="4D7A6914" w:rsidR="00306BF5" w:rsidRPr="00F562A8" w:rsidRDefault="00306BF5" w:rsidP="006F6435">
      <w:pPr>
        <w:spacing w:after="0" w:line="276" w:lineRule="auto"/>
        <w:ind w:firstLine="709"/>
        <w:jc w:val="both"/>
        <w:rPr>
          <w:rFonts w:ascii="Times New Roman" w:hAnsi="Times New Roman" w:cs="Times New Roman"/>
          <w:sz w:val="26"/>
          <w:szCs w:val="26"/>
          <w:vertAlign w:val="subscript"/>
        </w:rPr>
      </w:pPr>
      <w:r w:rsidRPr="00F562A8">
        <w:rPr>
          <w:rFonts w:ascii="Times New Roman" w:hAnsi="Times New Roman" w:cs="Times New Roman"/>
          <w:sz w:val="26"/>
          <w:szCs w:val="26"/>
        </w:rPr>
        <w:t xml:space="preserve">- </w:t>
      </w:r>
      <w:r w:rsidR="006C4B97" w:rsidRPr="006C4B97">
        <w:rPr>
          <w:rFonts w:ascii="Times New Roman" w:hAnsi="Times New Roman" w:cs="Times New Roman"/>
          <w:sz w:val="26"/>
          <w:szCs w:val="26"/>
        </w:rPr>
        <w:t>наличие дороги с твердым покрытием</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2.</w:t>
      </w:r>
    </w:p>
    <w:p w14:paraId="7C997043"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2574A244"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0681E226"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На основании отбора факторов были построены множественные регрессионные трехфакторные модели:</w:t>
      </w:r>
    </w:p>
    <w:p w14:paraId="3FCD7E4F" w14:textId="77777777" w:rsidR="00306BF5" w:rsidRPr="00F562A8" w:rsidRDefault="00306BF5" w:rsidP="006F6435">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1D04A68A" wp14:editId="5675CE54">
            <wp:extent cx="2209800" cy="247650"/>
            <wp:effectExtent l="0" t="0" r="0" b="0"/>
            <wp:docPr id="828" name="Рисунок 828"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49736082"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00795053" wp14:editId="490B3188">
            <wp:extent cx="1352550" cy="266700"/>
            <wp:effectExtent l="0" t="0" r="0" b="0"/>
            <wp:docPr id="829" name="Рисунок 829"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6A4A43D3"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4D77FCC8" wp14:editId="0F2969D0">
            <wp:extent cx="1266825" cy="266700"/>
            <wp:effectExtent l="0" t="0" r="0" b="0"/>
            <wp:docPr id="830" name="Рисунок 830"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3E18E55F"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5C2440AE"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75D244E0"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42CD0C48" wp14:editId="4F5CF714">
            <wp:extent cx="209550" cy="247650"/>
            <wp:effectExtent l="0" t="0" r="0" b="0"/>
            <wp:docPr id="831" name="Рисунок 831"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3C7F9AB3" wp14:editId="065E961B">
            <wp:extent cx="200025" cy="247650"/>
            <wp:effectExtent l="0" t="0" r="9525" b="0"/>
            <wp:docPr id="426" name="Рисунок 426"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75B12B73" wp14:editId="28DCC9F9">
            <wp:extent cx="209550" cy="247650"/>
            <wp:effectExtent l="0" t="0" r="0" b="0"/>
            <wp:docPr id="427" name="Рисунок 427"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1EA93445" w14:textId="7FA9B8E4" w:rsidR="00306BF5" w:rsidRPr="00F562A8" w:rsidRDefault="006229F3" w:rsidP="006F6435">
      <w:pPr>
        <w:spacing w:after="0" w:line="276" w:lineRule="auto"/>
        <w:jc w:val="both"/>
        <w:rPr>
          <w:rFonts w:ascii="Times New Roman" w:hAnsi="Times New Roman" w:cs="Times New Roman"/>
        </w:rPr>
      </w:pPr>
      <w:r w:rsidRPr="000E55AE">
        <w:rPr>
          <w:noProof/>
          <w:lang w:eastAsia="ru-RU"/>
        </w:rPr>
        <w:drawing>
          <wp:inline distT="0" distB="0" distL="0" distR="0" wp14:anchorId="7A77D0E2" wp14:editId="60C84FC9">
            <wp:extent cx="5939790" cy="1037479"/>
            <wp:effectExtent l="0" t="0" r="381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5939790" cy="1037479"/>
                    </a:xfrm>
                    <a:prstGeom prst="rect">
                      <a:avLst/>
                    </a:prstGeom>
                  </pic:spPr>
                </pic:pic>
              </a:graphicData>
            </a:graphic>
          </wp:inline>
        </w:drawing>
      </w:r>
    </w:p>
    <w:p w14:paraId="5C470E4F" w14:textId="6EE3C05D"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4C1BA8" w:rsidRPr="00F562A8">
        <w:rPr>
          <w:rFonts w:ascii="Times New Roman" w:hAnsi="Times New Roman" w:cs="Times New Roman"/>
          <w:sz w:val="26"/>
          <w:szCs w:val="26"/>
        </w:rPr>
        <w:t xml:space="preserve"> 3.6.13.</w:t>
      </w:r>
      <w:r w:rsidR="0002314F">
        <w:rPr>
          <w:rFonts w:ascii="Times New Roman" w:hAnsi="Times New Roman" w:cs="Times New Roman"/>
          <w:sz w:val="26"/>
          <w:szCs w:val="26"/>
        </w:rPr>
        <w:t>7</w:t>
      </w:r>
      <w:r w:rsidR="00AD7CE0">
        <w:rPr>
          <w:rFonts w:ascii="Times New Roman" w:hAnsi="Times New Roman" w:cs="Times New Roman"/>
          <w:sz w:val="26"/>
          <w:szCs w:val="26"/>
        </w:rPr>
        <w:t>.1</w:t>
      </w:r>
      <w:r w:rsidR="004C1BA8" w:rsidRPr="00F562A8">
        <w:rPr>
          <w:rFonts w:ascii="Times New Roman" w:hAnsi="Times New Roman" w:cs="Times New Roman"/>
          <w:sz w:val="26"/>
          <w:szCs w:val="26"/>
        </w:rPr>
        <w:t xml:space="preserve"> </w:t>
      </w:r>
      <w:r w:rsidRPr="00F562A8">
        <w:rPr>
          <w:rFonts w:ascii="Times New Roman" w:hAnsi="Times New Roman" w:cs="Times New Roman"/>
          <w:sz w:val="26"/>
          <w:szCs w:val="26"/>
        </w:rPr>
        <w:t>- Множественные регрессионные трехфакторные модели</w:t>
      </w:r>
    </w:p>
    <w:p w14:paraId="2CFCE556" w14:textId="10BEC29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7CF6D8A6"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24E2524A"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197BAFA3"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390DB005"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5D26854F"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29D50B35"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6D1BAC1F"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59A7001F" w14:textId="30AE7447" w:rsidR="00306BF5" w:rsidRPr="00F562A8" w:rsidRDefault="006229F3" w:rsidP="00391573">
      <w:pPr>
        <w:pStyle w:val="ConsPlusNormal"/>
        <w:spacing w:line="276" w:lineRule="auto"/>
        <w:jc w:val="center"/>
        <w:rPr>
          <w:rFonts w:ascii="Times New Roman" w:hAnsi="Times New Roman" w:cs="Times New Roman"/>
          <w:sz w:val="26"/>
          <w:szCs w:val="26"/>
        </w:rPr>
      </w:pPr>
      <w:r w:rsidRPr="000E55AE">
        <w:rPr>
          <w:noProof/>
        </w:rPr>
        <w:drawing>
          <wp:inline distT="0" distB="0" distL="0" distR="0" wp14:anchorId="406E2B9B" wp14:editId="273DDB86">
            <wp:extent cx="5753100" cy="1385043"/>
            <wp:effectExtent l="0" t="0" r="0" b="5715"/>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0"/>
                    <a:srcRect r="8400"/>
                    <a:stretch/>
                  </pic:blipFill>
                  <pic:spPr bwMode="auto">
                    <a:xfrm>
                      <a:off x="0" y="0"/>
                      <a:ext cx="5770605" cy="1389257"/>
                    </a:xfrm>
                    <a:prstGeom prst="rect">
                      <a:avLst/>
                    </a:prstGeom>
                    <a:ln>
                      <a:noFill/>
                    </a:ln>
                    <a:extLst>
                      <a:ext uri="{53640926-AAD7-44D8-BBD7-CCE9431645EC}">
                        <a14:shadowObscured xmlns:a14="http://schemas.microsoft.com/office/drawing/2010/main"/>
                      </a:ext>
                    </a:extLst>
                  </pic:spPr>
                </pic:pic>
              </a:graphicData>
            </a:graphic>
          </wp:inline>
        </w:drawing>
      </w:r>
    </w:p>
    <w:p w14:paraId="76BC7D99" w14:textId="0E5C119F" w:rsidR="00306BF5" w:rsidRPr="00F562A8" w:rsidRDefault="00306BF5" w:rsidP="006F6435">
      <w:pPr>
        <w:pStyle w:val="ConsPlusNormal"/>
        <w:spacing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w:t>
      </w:r>
      <w:r w:rsidR="004C1BA8" w:rsidRPr="00F562A8">
        <w:rPr>
          <w:rFonts w:ascii="Times New Roman" w:hAnsi="Times New Roman" w:cs="Times New Roman"/>
          <w:sz w:val="26"/>
          <w:szCs w:val="26"/>
        </w:rPr>
        <w:t xml:space="preserve"> 3.6.13.</w:t>
      </w:r>
      <w:r w:rsidR="00D87B61">
        <w:rPr>
          <w:rFonts w:ascii="Times New Roman" w:hAnsi="Times New Roman" w:cs="Times New Roman"/>
          <w:sz w:val="26"/>
          <w:szCs w:val="26"/>
        </w:rPr>
        <w:t>7</w:t>
      </w:r>
      <w:r w:rsidR="00AD7CE0">
        <w:rPr>
          <w:rFonts w:ascii="Times New Roman" w:hAnsi="Times New Roman" w:cs="Times New Roman"/>
          <w:sz w:val="26"/>
          <w:szCs w:val="26"/>
        </w:rPr>
        <w:t>.2</w:t>
      </w:r>
      <w:r w:rsidR="004C1BA8" w:rsidRPr="00F562A8">
        <w:rPr>
          <w:rFonts w:ascii="Times New Roman" w:hAnsi="Times New Roman" w:cs="Times New Roman"/>
          <w:sz w:val="26"/>
          <w:szCs w:val="26"/>
        </w:rPr>
        <w:t xml:space="preserve"> </w:t>
      </w:r>
      <w:r w:rsidRPr="00F562A8">
        <w:rPr>
          <w:rFonts w:ascii="Times New Roman" w:hAnsi="Times New Roman" w:cs="Times New Roman"/>
          <w:sz w:val="26"/>
          <w:szCs w:val="26"/>
        </w:rPr>
        <w:t xml:space="preserve">- Значения </w:t>
      </w:r>
      <w:r w:rsidRPr="00F562A8">
        <w:rPr>
          <w:rFonts w:ascii="Times New Roman" w:hAnsi="Times New Roman" w:cs="Times New Roman"/>
          <w:sz w:val="26"/>
          <w:szCs w:val="26"/>
          <w:lang w:val="en-US"/>
        </w:rPr>
        <w:t>t</w:t>
      </w:r>
      <w:r w:rsidRPr="00F562A8">
        <w:rPr>
          <w:rFonts w:ascii="Times New Roman" w:hAnsi="Times New Roman" w:cs="Times New Roman"/>
          <w:sz w:val="26"/>
          <w:szCs w:val="26"/>
        </w:rPr>
        <w:t xml:space="preserve">-критерия Стьюдента, средней ошибки аппроксимации, коэффициента детерминации </w:t>
      </w:r>
      <w:r w:rsidRPr="00F562A8">
        <w:rPr>
          <w:rFonts w:ascii="Times New Roman" w:hAnsi="Times New Roman" w:cs="Times New Roman"/>
          <w:sz w:val="26"/>
          <w:szCs w:val="26"/>
          <w:lang w:val="en-US"/>
        </w:rPr>
        <w:t>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p>
    <w:p w14:paraId="382B5CB4"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7290449F"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23A582CC" w14:textId="77777777" w:rsidR="00306BF5" w:rsidRPr="00F562A8" w:rsidRDefault="00306BF5" w:rsidP="006F6435">
      <w:pPr>
        <w:spacing w:after="0" w:line="276" w:lineRule="auto"/>
        <w:jc w:val="both"/>
        <w:rPr>
          <w:rFonts w:ascii="Times New Roman" w:hAnsi="Times New Roman" w:cs="Times New Roman"/>
          <w:sz w:val="26"/>
          <w:szCs w:val="26"/>
        </w:rPr>
      </w:pPr>
      <w:r w:rsidRPr="00F562A8">
        <w:rPr>
          <w:rFonts w:ascii="Times New Roman" w:hAnsi="Times New Roman" w:cs="Times New Roman"/>
          <w:sz w:val="26"/>
          <w:szCs w:val="26"/>
        </w:rPr>
        <w:tab/>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1F97897A" w14:textId="62F95306" w:rsidR="00306BF5" w:rsidRPr="00F562A8" w:rsidRDefault="00C8641B" w:rsidP="006F6435">
      <w:pPr>
        <w:spacing w:after="0" w:line="276" w:lineRule="auto"/>
        <w:jc w:val="center"/>
        <w:rPr>
          <w:rFonts w:ascii="Times New Roman" w:hAnsi="Times New Roman" w:cs="Times New Roman"/>
          <w:lang w:val="en-US"/>
        </w:rPr>
      </w:pPr>
      <w:r w:rsidRPr="00E03557">
        <w:rPr>
          <w:noProof/>
          <w:lang w:eastAsia="ru-RU"/>
        </w:rPr>
        <w:drawing>
          <wp:inline distT="0" distB="0" distL="0" distR="0" wp14:anchorId="6E52EA31" wp14:editId="7DEF5E15">
            <wp:extent cx="3048425" cy="971686"/>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3048425" cy="971686"/>
                    </a:xfrm>
                    <a:prstGeom prst="rect">
                      <a:avLst/>
                    </a:prstGeom>
                  </pic:spPr>
                </pic:pic>
              </a:graphicData>
            </a:graphic>
          </wp:inline>
        </w:drawing>
      </w:r>
    </w:p>
    <w:p w14:paraId="1381DE19" w14:textId="53DEDB71" w:rsidR="00306BF5" w:rsidRPr="00F562A8" w:rsidRDefault="00306BF5" w:rsidP="006F6435">
      <w:pPr>
        <w:spacing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w:t>
      </w:r>
      <w:r w:rsidR="004C1BA8" w:rsidRPr="00F562A8">
        <w:rPr>
          <w:rFonts w:ascii="Times New Roman" w:hAnsi="Times New Roman" w:cs="Times New Roman"/>
          <w:sz w:val="26"/>
          <w:szCs w:val="26"/>
        </w:rPr>
        <w:t xml:space="preserve"> 3.6.13.</w:t>
      </w:r>
      <w:r w:rsidR="00D87B61">
        <w:rPr>
          <w:rFonts w:ascii="Times New Roman" w:hAnsi="Times New Roman" w:cs="Times New Roman"/>
          <w:sz w:val="26"/>
          <w:szCs w:val="26"/>
        </w:rPr>
        <w:t>7</w:t>
      </w:r>
      <w:r w:rsidR="00AD7CE0">
        <w:rPr>
          <w:rFonts w:ascii="Times New Roman" w:hAnsi="Times New Roman" w:cs="Times New Roman"/>
          <w:sz w:val="26"/>
          <w:szCs w:val="26"/>
        </w:rPr>
        <w:t>.3</w:t>
      </w:r>
      <w:r w:rsidR="004C1BA8" w:rsidRPr="00F562A8">
        <w:rPr>
          <w:rFonts w:ascii="Times New Roman" w:hAnsi="Times New Roman" w:cs="Times New Roman"/>
          <w:sz w:val="26"/>
          <w:szCs w:val="26"/>
        </w:rPr>
        <w:t xml:space="preserve"> </w:t>
      </w:r>
      <w:r w:rsidRPr="00F562A8">
        <w:rPr>
          <w:rFonts w:ascii="Times New Roman" w:hAnsi="Times New Roman" w:cs="Times New Roman"/>
          <w:sz w:val="26"/>
          <w:szCs w:val="26"/>
        </w:rPr>
        <w:t>- Значения F-критерия Фишера</w:t>
      </w:r>
    </w:p>
    <w:p w14:paraId="78321136" w14:textId="77777777" w:rsidR="00306BF5" w:rsidRPr="00F562A8" w:rsidRDefault="00306BF5" w:rsidP="006F6435">
      <w:pPr>
        <w:spacing w:after="0" w:line="276"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все три модели адекватно описывают статистические данные и их можно использовать для анализа и прогнозирования кадастровой стоимости (результативного признака). </w:t>
      </w:r>
    </w:p>
    <w:p w14:paraId="33CB444C"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Наибольшее значение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имеет мультипликативная и экспоненциальная модели, значения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 которых можно считать близкими и высокими, однако предпочтение для прогнозирования целесообразно отдать экспоненциальной модели, как монотонной на широких интервалах исходных данных и как следствие более устойчива к изменению независимых переменных в неограниченном интервале их значений. Экспоненциальная регрессионная модель имеет вид:</w:t>
      </w:r>
    </w:p>
    <w:p w14:paraId="03F8946D" w14:textId="77777777" w:rsidR="00E73390" w:rsidRPr="000E55AE" w:rsidRDefault="00306BF5" w:rsidP="00E73390">
      <w:pPr>
        <w:spacing w:after="0" w:line="240" w:lineRule="auto"/>
        <w:ind w:firstLine="851"/>
        <w:jc w:val="both"/>
        <w:rPr>
          <w:rFonts w:ascii="Arial" w:eastAsia="Times New Roman" w:hAnsi="Arial" w:cs="Arial"/>
          <w:sz w:val="20"/>
          <w:szCs w:val="20"/>
          <w:lang w:eastAsia="ru-RU"/>
        </w:rPr>
      </w:pPr>
      <w:r w:rsidRPr="00F562A8">
        <w:rPr>
          <w:rFonts w:ascii="Times New Roman" w:hAnsi="Times New Roman" w:cs="Times New Roman"/>
          <w:i/>
          <w:sz w:val="26"/>
          <w:szCs w:val="26"/>
        </w:rPr>
        <w:t xml:space="preserve">УПКС = </w:t>
      </w:r>
      <w:r w:rsidR="00E73390" w:rsidRPr="00E73390">
        <w:rPr>
          <w:rFonts w:ascii="Times New Roman" w:hAnsi="Times New Roman" w:cs="Times New Roman"/>
          <w:i/>
          <w:sz w:val="26"/>
          <w:szCs w:val="26"/>
        </w:rPr>
        <w:t>137.040406451843*e^(+0.0578585343465336*((36.759+-13.916-_Расстояние до центра субъекта РФ (г. Воронеж)))+0.582489285912719*([СНП Наличие в населенном пункте газоснабжения])+0.243971146471774*([СНП Наличие дороги с твердым покрытием]))</w:t>
      </w:r>
    </w:p>
    <w:p w14:paraId="0604ACC2" w14:textId="2C4EAA4F" w:rsidR="00EC61F2" w:rsidRPr="00F562A8" w:rsidRDefault="00EC61F2"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20E97249" w14:textId="15083AEE" w:rsidR="00306BF5" w:rsidRPr="00F562A8" w:rsidRDefault="00E73390" w:rsidP="006F6435">
      <w:pPr>
        <w:spacing w:after="0" w:line="276" w:lineRule="auto"/>
        <w:jc w:val="center"/>
        <w:rPr>
          <w:rFonts w:ascii="Times New Roman" w:hAnsi="Times New Roman" w:cs="Times New Roman"/>
          <w:i/>
          <w:szCs w:val="24"/>
        </w:rPr>
      </w:pPr>
      <w:r w:rsidRPr="000E55AE">
        <w:rPr>
          <w:noProof/>
          <w:lang w:eastAsia="ru-RU"/>
        </w:rPr>
        <w:drawing>
          <wp:inline distT="0" distB="0" distL="0" distR="0" wp14:anchorId="28006D39" wp14:editId="71C105CB">
            <wp:extent cx="5939790" cy="3413395"/>
            <wp:effectExtent l="0" t="0" r="381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5939790" cy="3413395"/>
                    </a:xfrm>
                    <a:prstGeom prst="rect">
                      <a:avLst/>
                    </a:prstGeom>
                  </pic:spPr>
                </pic:pic>
              </a:graphicData>
            </a:graphic>
          </wp:inline>
        </w:drawing>
      </w:r>
    </w:p>
    <w:p w14:paraId="36D21890" w14:textId="25E3E850"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0875AD" w:rsidRPr="00F562A8">
        <w:rPr>
          <w:rFonts w:ascii="Times New Roman" w:hAnsi="Times New Roman" w:cs="Times New Roman"/>
          <w:sz w:val="26"/>
          <w:szCs w:val="26"/>
        </w:rPr>
        <w:t xml:space="preserve"> 3.6.13.</w:t>
      </w:r>
      <w:r w:rsidR="00D87B61">
        <w:rPr>
          <w:rFonts w:ascii="Times New Roman" w:hAnsi="Times New Roman" w:cs="Times New Roman"/>
          <w:sz w:val="26"/>
          <w:szCs w:val="26"/>
        </w:rPr>
        <w:t>7</w:t>
      </w:r>
      <w:r w:rsidR="00AD7CE0">
        <w:rPr>
          <w:rFonts w:ascii="Times New Roman" w:hAnsi="Times New Roman" w:cs="Times New Roman"/>
          <w:sz w:val="26"/>
          <w:szCs w:val="26"/>
        </w:rPr>
        <w:t>.4</w:t>
      </w:r>
      <w:r w:rsidR="000875AD" w:rsidRPr="00F562A8">
        <w:rPr>
          <w:rFonts w:ascii="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1FD95BDC" w14:textId="09CE2ABE" w:rsidR="00306BF5" w:rsidRPr="00F562A8" w:rsidRDefault="005958C6" w:rsidP="006F6435">
      <w:pPr>
        <w:spacing w:after="0" w:line="276" w:lineRule="auto"/>
        <w:ind w:firstLine="709"/>
        <w:jc w:val="both"/>
        <w:rPr>
          <w:rFonts w:ascii="Times New Roman" w:hAnsi="Times New Roman" w:cs="Times New Roman"/>
          <w:sz w:val="16"/>
          <w:szCs w:val="16"/>
        </w:rPr>
      </w:pPr>
      <w:r w:rsidRPr="00F562A8">
        <w:rPr>
          <w:rFonts w:ascii="Times New Roman" w:hAnsi="Times New Roman" w:cs="Times New Roman"/>
          <w:sz w:val="26"/>
          <w:szCs w:val="26"/>
        </w:rPr>
        <w:t xml:space="preserve">Как видно из статистических показателей, представленных выше, все коэффициенты регрессионной модели значимые. Связь </w:t>
      </w:r>
      <w:r w:rsidR="00947A0A" w:rsidRPr="00F562A8">
        <w:rPr>
          <w:rFonts w:ascii="Times New Roman" w:hAnsi="Times New Roman" w:cs="Times New Roman"/>
          <w:sz w:val="26"/>
          <w:szCs w:val="26"/>
        </w:rPr>
        <w:t>между фактор</w:t>
      </w:r>
      <w:r w:rsidR="00947A0A">
        <w:rPr>
          <w:rFonts w:ascii="Times New Roman" w:hAnsi="Times New Roman" w:cs="Times New Roman"/>
          <w:sz w:val="26"/>
          <w:szCs w:val="26"/>
        </w:rPr>
        <w:t>о</w:t>
      </w:r>
      <w:r w:rsidR="00947A0A" w:rsidRPr="00F562A8">
        <w:rPr>
          <w:rFonts w:ascii="Times New Roman" w:hAnsi="Times New Roman" w:cs="Times New Roman"/>
          <w:sz w:val="26"/>
          <w:szCs w:val="26"/>
        </w:rPr>
        <w:t>м и кадастровой стоимостью обратная, то есть при росте фактора кадастровая стоимость уменьшается</w:t>
      </w:r>
      <w:r w:rsidRPr="00F562A8">
        <w:rPr>
          <w:rFonts w:ascii="Times New Roman" w:hAnsi="Times New Roman" w:cs="Times New Roman"/>
          <w:sz w:val="26"/>
          <w:szCs w:val="26"/>
        </w:rPr>
        <w:t>. 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62D65955" w14:textId="25058010" w:rsidR="005958C6" w:rsidRDefault="00153B5F" w:rsidP="006F6435">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7624B7BD" w14:textId="33541D1B" w:rsidR="003B55E9" w:rsidRDefault="003B55E9" w:rsidP="006F6435">
      <w:pPr>
        <w:spacing w:line="276" w:lineRule="auto"/>
        <w:ind w:firstLine="709"/>
        <w:jc w:val="center"/>
        <w:rPr>
          <w:rFonts w:ascii="Times New Roman" w:eastAsiaTheme="minorEastAsia" w:hAnsi="Times New Roman" w:cs="Times New Roman"/>
          <w:i/>
          <w:sz w:val="16"/>
          <w:szCs w:val="16"/>
        </w:rPr>
      </w:pPr>
    </w:p>
    <w:p w14:paraId="451942A2" w14:textId="0677DB9B" w:rsidR="00306BF5" w:rsidRPr="00AB6617" w:rsidRDefault="00FE2D52" w:rsidP="002D4BEA">
      <w:pPr>
        <w:pStyle w:val="ab"/>
        <w:ind w:left="0"/>
        <w:jc w:val="center"/>
        <w:outlineLvl w:val="2"/>
        <w:rPr>
          <w:rFonts w:ascii="Times New Roman" w:hAnsi="Times New Roman" w:cs="Times New Roman"/>
          <w:i/>
          <w:sz w:val="26"/>
          <w:szCs w:val="26"/>
        </w:rPr>
      </w:pPr>
      <w:bookmarkStart w:id="305" w:name="_Toc110507032"/>
      <w:r w:rsidRPr="00DC7772">
        <w:rPr>
          <w:rFonts w:ascii="Times New Roman" w:hAnsi="Times New Roman" w:cs="Times New Roman"/>
          <w:i/>
          <w:sz w:val="26"/>
          <w:szCs w:val="26"/>
        </w:rPr>
        <w:t>3.6.13.</w:t>
      </w:r>
      <w:r w:rsidR="00142E4F" w:rsidRPr="00DC7772">
        <w:rPr>
          <w:rFonts w:ascii="Times New Roman" w:hAnsi="Times New Roman" w:cs="Times New Roman"/>
          <w:i/>
          <w:sz w:val="26"/>
          <w:szCs w:val="26"/>
        </w:rPr>
        <w:t>8</w:t>
      </w:r>
      <w:r w:rsidRPr="00DC7772">
        <w:rPr>
          <w:rFonts w:ascii="Times New Roman" w:hAnsi="Times New Roman" w:cs="Times New Roman"/>
          <w:i/>
          <w:sz w:val="26"/>
          <w:szCs w:val="26"/>
        </w:rPr>
        <w:t>.</w:t>
      </w:r>
      <w:r w:rsidRPr="00AB6617">
        <w:rPr>
          <w:rFonts w:ascii="Times New Roman" w:hAnsi="Times New Roman" w:cs="Times New Roman"/>
          <w:i/>
          <w:sz w:val="26"/>
          <w:szCs w:val="26"/>
        </w:rPr>
        <w:t xml:space="preserve"> </w:t>
      </w:r>
      <w:r w:rsidR="00306BF5" w:rsidRPr="00AB6617">
        <w:rPr>
          <w:rFonts w:ascii="Times New Roman" w:hAnsi="Times New Roman" w:cs="Times New Roman"/>
          <w:i/>
          <w:sz w:val="26"/>
          <w:szCs w:val="26"/>
        </w:rPr>
        <w:t xml:space="preserve">Расчет кадастровой стоимости земельных участков группы </w:t>
      </w:r>
      <w:r w:rsidR="00AC3047" w:rsidRPr="00AC3047">
        <w:rPr>
          <w:rFonts w:ascii="Times New Roman" w:hAnsi="Times New Roman" w:cs="Times New Roman"/>
          <w:i/>
          <w:sz w:val="26"/>
          <w:szCs w:val="26"/>
        </w:rPr>
        <w:t>СОД/1 группа</w:t>
      </w:r>
      <w:bookmarkEnd w:id="305"/>
    </w:p>
    <w:p w14:paraId="0CA2533F" w14:textId="4337B903" w:rsidR="002D0712" w:rsidRPr="00F562A8" w:rsidRDefault="002D0712" w:rsidP="006F6435">
      <w:pPr>
        <w:spacing w:after="0" w:line="276" w:lineRule="auto"/>
        <w:ind w:firstLine="709"/>
        <w:jc w:val="both"/>
        <w:rPr>
          <w:rFonts w:ascii="Times New Roman" w:eastAsiaTheme="minorEastAsia" w:hAnsi="Times New Roman" w:cs="Times New Roman"/>
          <w:sz w:val="26"/>
          <w:szCs w:val="26"/>
        </w:rPr>
      </w:pPr>
      <w:r w:rsidRPr="00AB6617">
        <w:rPr>
          <w:rFonts w:ascii="Times New Roman" w:eastAsiaTheme="minorEastAsia" w:hAnsi="Times New Roman" w:cs="Times New Roman"/>
          <w:sz w:val="26"/>
          <w:szCs w:val="26"/>
        </w:rPr>
        <w:t>Перечень</w:t>
      </w:r>
      <w:r w:rsidRPr="00F562A8">
        <w:rPr>
          <w:rFonts w:ascii="Times New Roman" w:eastAsiaTheme="minorEastAsia" w:hAnsi="Times New Roman" w:cs="Times New Roman"/>
          <w:sz w:val="26"/>
          <w:szCs w:val="26"/>
        </w:rPr>
        <w:t xml:space="preserve"> объектов оценки данной группы приведен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10D3C44F" w14:textId="072E5BE3" w:rsidR="00D87B61" w:rsidRPr="00882B4D" w:rsidRDefault="00D87B61" w:rsidP="00D87B61">
      <w:pPr>
        <w:spacing w:after="0" w:line="300" w:lineRule="auto"/>
        <w:ind w:firstLine="709"/>
        <w:jc w:val="both"/>
        <w:rPr>
          <w:rFonts w:ascii="Times New Roman" w:eastAsiaTheme="minorEastAsia" w:hAnsi="Times New Roman" w:cs="Times New Roman"/>
          <w:sz w:val="26"/>
          <w:szCs w:val="26"/>
        </w:rPr>
      </w:pPr>
      <w:r w:rsidRPr="00882B4D">
        <w:rPr>
          <w:rFonts w:ascii="Times New Roman" w:eastAsiaTheme="minorEastAsia" w:hAnsi="Times New Roman" w:cs="Times New Roman"/>
          <w:sz w:val="26"/>
          <w:szCs w:val="26"/>
        </w:rPr>
        <w:t xml:space="preserve">В состав группы </w:t>
      </w:r>
      <w:r w:rsidRPr="00D8590B">
        <w:rPr>
          <w:rFonts w:ascii="Times New Roman" w:hAnsi="Times New Roman" w:cs="Times New Roman"/>
          <w:sz w:val="26"/>
          <w:szCs w:val="26"/>
        </w:rPr>
        <w:t>СОД/</w:t>
      </w:r>
      <w:r w:rsidRPr="00AC3047">
        <w:rPr>
          <w:rFonts w:ascii="Times New Roman" w:hAnsi="Times New Roman" w:cs="Times New Roman"/>
          <w:sz w:val="26"/>
          <w:szCs w:val="26"/>
        </w:rPr>
        <w:t>1 группа</w:t>
      </w:r>
      <w:r w:rsidRPr="00F562A8">
        <w:rPr>
          <w:rFonts w:ascii="Times New Roman" w:hAnsi="Times New Roman" w:cs="Times New Roman"/>
          <w:sz w:val="26"/>
          <w:szCs w:val="26"/>
        </w:rPr>
        <w:t xml:space="preserve"> </w:t>
      </w:r>
      <w:r w:rsidRPr="00882B4D">
        <w:rPr>
          <w:rFonts w:ascii="Times New Roman" w:eastAsiaTheme="minorEastAsia" w:hAnsi="Times New Roman" w:cs="Times New Roman"/>
          <w:sz w:val="26"/>
          <w:szCs w:val="26"/>
        </w:rPr>
        <w:t xml:space="preserve">вошли следующие коды расчета видов использования: </w:t>
      </w:r>
      <w:r w:rsidRPr="00661AF6">
        <w:rPr>
          <w:rFonts w:ascii="Times New Roman" w:eastAsiaTheme="minorEastAsia" w:hAnsi="Times New Roman" w:cs="Times New Roman"/>
          <w:sz w:val="26"/>
          <w:szCs w:val="26"/>
        </w:rPr>
        <w:t>13:011, 13:021</w:t>
      </w:r>
      <w:r w:rsidRPr="00882B4D">
        <w:rPr>
          <w:rFonts w:ascii="Times New Roman" w:eastAsiaTheme="minorEastAsia" w:hAnsi="Times New Roman" w:cs="Times New Roman"/>
          <w:sz w:val="26"/>
          <w:szCs w:val="26"/>
        </w:rPr>
        <w:t>.</w:t>
      </w:r>
    </w:p>
    <w:p w14:paraId="751E118C" w14:textId="78706DDE"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При расчете кадастровой стоимости земельных участков группы </w:t>
      </w:r>
      <w:r w:rsidR="00AC3047" w:rsidRPr="00AC3047">
        <w:rPr>
          <w:rFonts w:ascii="Times New Roman" w:hAnsi="Times New Roman" w:cs="Times New Roman"/>
          <w:sz w:val="26"/>
          <w:szCs w:val="26"/>
        </w:rPr>
        <w:t>СОД/1 группа</w:t>
      </w:r>
      <w:r w:rsidR="00AC3047" w:rsidRPr="00F562A8">
        <w:rPr>
          <w:rFonts w:ascii="Times New Roman" w:hAnsi="Times New Roman" w:cs="Times New Roman"/>
          <w:sz w:val="26"/>
          <w:szCs w:val="26"/>
        </w:rPr>
        <w:t xml:space="preserve"> </w:t>
      </w:r>
      <w:r w:rsidRPr="00F562A8">
        <w:rPr>
          <w:rFonts w:ascii="Times New Roman" w:hAnsi="Times New Roman" w:cs="Times New Roman"/>
          <w:sz w:val="26"/>
          <w:szCs w:val="26"/>
        </w:rPr>
        <w:t>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1D9419C1" w14:textId="2DBA8B16" w:rsidR="00306BF5" w:rsidRPr="00F562A8" w:rsidRDefault="00F77023" w:rsidP="006F6435">
      <w:pPr>
        <w:pStyle w:val="ConsPlusNormal"/>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Согласно п.45.1.1 Указаний</w:t>
      </w:r>
      <w:r w:rsidR="00306BF5" w:rsidRPr="00F562A8">
        <w:rPr>
          <w:rFonts w:ascii="Times New Roman" w:hAnsi="Times New Roman" w:cs="Times New Roman"/>
          <w:sz w:val="26"/>
          <w:szCs w:val="26"/>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55ACB82F"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Порядок подготовки и построения модели оценки кадастровой стоимости включает:</w:t>
      </w:r>
    </w:p>
    <w:p w14:paraId="5E22D051"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789EAD2E"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7A66C447"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5384E0B0"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2BAC9462" w14:textId="398032A0" w:rsidR="00306BF5"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5) анализ показателей качества статистической модели.</w:t>
      </w:r>
    </w:p>
    <w:p w14:paraId="03A46A61" w14:textId="4E1C11B6" w:rsidR="009A0BC3" w:rsidRPr="0013459F" w:rsidRDefault="009A0BC3" w:rsidP="009A0BC3">
      <w:pPr>
        <w:spacing w:after="0" w:line="276" w:lineRule="auto"/>
        <w:ind w:firstLine="709"/>
        <w:jc w:val="both"/>
        <w:rPr>
          <w:rFonts w:ascii="Times New Roman" w:hAnsi="Times New Roman" w:cs="Times New Roman"/>
          <w:sz w:val="26"/>
          <w:szCs w:val="26"/>
        </w:rPr>
      </w:pPr>
      <w:r w:rsidRPr="0013459F">
        <w:rPr>
          <w:rFonts w:ascii="Times New Roman" w:hAnsi="Times New Roman" w:cs="Times New Roman"/>
          <w:sz w:val="26"/>
          <w:szCs w:val="26"/>
        </w:rPr>
        <w:t>Рынок недвижимости</w:t>
      </w:r>
      <w:r w:rsidR="00E73390">
        <w:rPr>
          <w:rFonts w:ascii="Times New Roman" w:hAnsi="Times New Roman" w:cs="Times New Roman"/>
          <w:sz w:val="26"/>
          <w:szCs w:val="26"/>
        </w:rPr>
        <w:t xml:space="preserve"> </w:t>
      </w:r>
      <w:r w:rsidR="0077389F" w:rsidRPr="00AC3047">
        <w:rPr>
          <w:rFonts w:ascii="Times New Roman" w:hAnsi="Times New Roman" w:cs="Times New Roman"/>
          <w:sz w:val="26"/>
          <w:szCs w:val="26"/>
        </w:rPr>
        <w:t>СОД/1 группа</w:t>
      </w:r>
      <w:r w:rsidR="0077389F">
        <w:rPr>
          <w:rFonts w:ascii="Times New Roman" w:hAnsi="Times New Roman" w:cs="Times New Roman"/>
          <w:sz w:val="26"/>
          <w:szCs w:val="26"/>
        </w:rPr>
        <w:t xml:space="preserve"> относится к</w:t>
      </w:r>
      <w:r w:rsidR="0070244D">
        <w:rPr>
          <w:rFonts w:ascii="Times New Roman" w:hAnsi="Times New Roman" w:cs="Times New Roman"/>
          <w:sz w:val="26"/>
          <w:szCs w:val="26"/>
        </w:rPr>
        <w:t xml:space="preserve"> </w:t>
      </w:r>
      <w:r w:rsidR="0013459F" w:rsidRPr="0013459F">
        <w:rPr>
          <w:rFonts w:ascii="Times New Roman" w:hAnsi="Times New Roman" w:cs="Times New Roman"/>
          <w:sz w:val="26"/>
          <w:szCs w:val="26"/>
        </w:rPr>
        <w:t>ближайшем</w:t>
      </w:r>
      <w:r w:rsidR="0077389F">
        <w:rPr>
          <w:rFonts w:ascii="Times New Roman" w:hAnsi="Times New Roman" w:cs="Times New Roman"/>
          <w:sz w:val="26"/>
          <w:szCs w:val="26"/>
        </w:rPr>
        <w:t>у</w:t>
      </w:r>
      <w:r w:rsidR="0013459F" w:rsidRPr="0013459F">
        <w:rPr>
          <w:rFonts w:ascii="Times New Roman" w:hAnsi="Times New Roman" w:cs="Times New Roman"/>
          <w:sz w:val="26"/>
          <w:szCs w:val="26"/>
        </w:rPr>
        <w:t xml:space="preserve"> окружени</w:t>
      </w:r>
      <w:r w:rsidR="0077389F">
        <w:rPr>
          <w:rFonts w:ascii="Times New Roman" w:hAnsi="Times New Roman" w:cs="Times New Roman"/>
          <w:sz w:val="26"/>
          <w:szCs w:val="26"/>
        </w:rPr>
        <w:t>ю</w:t>
      </w:r>
      <w:r w:rsidR="0013459F" w:rsidRPr="0013459F">
        <w:rPr>
          <w:rFonts w:ascii="Times New Roman" w:hAnsi="Times New Roman" w:cs="Times New Roman"/>
          <w:sz w:val="26"/>
          <w:szCs w:val="26"/>
        </w:rPr>
        <w:t xml:space="preserve"> г. Воронежа</w:t>
      </w:r>
      <w:r w:rsidR="0077389F">
        <w:rPr>
          <w:rFonts w:ascii="Times New Roman" w:hAnsi="Times New Roman" w:cs="Times New Roman"/>
          <w:sz w:val="26"/>
          <w:szCs w:val="26"/>
        </w:rPr>
        <w:t xml:space="preserve"> и</w:t>
      </w:r>
      <w:r w:rsidRPr="0013459F">
        <w:rPr>
          <w:rFonts w:ascii="Times New Roman" w:hAnsi="Times New Roman" w:cs="Times New Roman"/>
          <w:sz w:val="26"/>
          <w:szCs w:val="26"/>
        </w:rPr>
        <w:t xml:space="preserve"> отличается от рынка недвижимости в </w:t>
      </w:r>
      <w:r w:rsidR="0013459F" w:rsidRPr="0013459F">
        <w:rPr>
          <w:rFonts w:ascii="Times New Roman" w:hAnsi="Times New Roman" w:cs="Times New Roman"/>
          <w:sz w:val="26"/>
          <w:szCs w:val="26"/>
        </w:rPr>
        <w:t>остальных</w:t>
      </w:r>
      <w:r w:rsidRPr="0013459F">
        <w:rPr>
          <w:rFonts w:ascii="Times New Roman" w:hAnsi="Times New Roman" w:cs="Times New Roman"/>
          <w:sz w:val="26"/>
          <w:szCs w:val="26"/>
        </w:rPr>
        <w:t xml:space="preserve"> </w:t>
      </w:r>
      <w:r w:rsidR="0013459F" w:rsidRPr="0013459F">
        <w:rPr>
          <w:rFonts w:ascii="Times New Roman" w:hAnsi="Times New Roman" w:cs="Times New Roman"/>
          <w:sz w:val="26"/>
          <w:szCs w:val="26"/>
        </w:rPr>
        <w:t>район</w:t>
      </w:r>
      <w:r w:rsidR="004E70E4">
        <w:rPr>
          <w:rFonts w:ascii="Times New Roman" w:hAnsi="Times New Roman" w:cs="Times New Roman"/>
          <w:sz w:val="26"/>
          <w:szCs w:val="26"/>
        </w:rPr>
        <w:t>ов</w:t>
      </w:r>
      <w:r w:rsidRPr="0013459F">
        <w:rPr>
          <w:rFonts w:ascii="Times New Roman" w:hAnsi="Times New Roman" w:cs="Times New Roman"/>
          <w:sz w:val="26"/>
          <w:szCs w:val="26"/>
        </w:rPr>
        <w:t>.</w:t>
      </w:r>
      <w:r w:rsidR="006015A4">
        <w:rPr>
          <w:rFonts w:ascii="Times New Roman" w:hAnsi="Times New Roman" w:cs="Times New Roman"/>
          <w:sz w:val="26"/>
          <w:szCs w:val="26"/>
        </w:rPr>
        <w:t xml:space="preserve"> </w:t>
      </w:r>
      <w:r w:rsidR="0013459F">
        <w:rPr>
          <w:rFonts w:ascii="Times New Roman" w:hAnsi="Times New Roman" w:cs="Times New Roman"/>
          <w:sz w:val="26"/>
          <w:szCs w:val="26"/>
        </w:rPr>
        <w:t>Близость областного центра существенно влияет на</w:t>
      </w:r>
      <w:r w:rsidRPr="0013459F">
        <w:rPr>
          <w:rFonts w:ascii="Times New Roman" w:hAnsi="Times New Roman" w:cs="Times New Roman"/>
          <w:sz w:val="26"/>
          <w:szCs w:val="26"/>
        </w:rPr>
        <w:t xml:space="preserve"> предложение и спрос. Это объясняется тем, что рынок недвижимости является своеобразным индикатором деловой активности в населенных пунктах. В соответствии с различиями в уровне социально-экономического развития населенных пунктов региона может различаться и степень развитости локальных рынков недвижимости.</w:t>
      </w:r>
    </w:p>
    <w:p w14:paraId="5591ABFB" w14:textId="743421A1" w:rsidR="009A0BC3" w:rsidRPr="0013459F" w:rsidRDefault="009A0BC3" w:rsidP="009A0BC3">
      <w:pPr>
        <w:spacing w:after="0" w:line="276" w:lineRule="auto"/>
        <w:ind w:firstLine="709"/>
        <w:jc w:val="both"/>
        <w:rPr>
          <w:rFonts w:ascii="Times New Roman" w:hAnsi="Times New Roman" w:cs="Times New Roman"/>
          <w:sz w:val="26"/>
          <w:szCs w:val="26"/>
        </w:rPr>
      </w:pPr>
      <w:r w:rsidRPr="0013459F">
        <w:rPr>
          <w:rFonts w:ascii="Times New Roman" w:hAnsi="Times New Roman" w:cs="Times New Roman"/>
          <w:sz w:val="26"/>
          <w:szCs w:val="26"/>
        </w:rPr>
        <w:t>По этой причине, в данной модели взят фактор Х</w:t>
      </w:r>
      <w:r w:rsidRPr="0013459F">
        <w:rPr>
          <w:rFonts w:ascii="Times New Roman" w:hAnsi="Times New Roman" w:cs="Times New Roman"/>
          <w:sz w:val="26"/>
          <w:szCs w:val="26"/>
          <w:vertAlign w:val="subscript"/>
        </w:rPr>
        <w:t xml:space="preserve">0 </w:t>
      </w:r>
      <w:r w:rsidRPr="0013459F">
        <w:rPr>
          <w:rFonts w:ascii="Times New Roman" w:hAnsi="Times New Roman" w:cs="Times New Roman"/>
          <w:sz w:val="26"/>
          <w:szCs w:val="26"/>
        </w:rPr>
        <w:t xml:space="preserve">«Наименование </w:t>
      </w:r>
      <w:r w:rsidR="0070244D">
        <w:rPr>
          <w:rFonts w:ascii="Times New Roman" w:hAnsi="Times New Roman" w:cs="Times New Roman"/>
          <w:sz w:val="26"/>
          <w:szCs w:val="26"/>
        </w:rPr>
        <w:t>района</w:t>
      </w:r>
      <w:r w:rsidRPr="0013459F">
        <w:rPr>
          <w:rFonts w:ascii="Times New Roman" w:hAnsi="Times New Roman" w:cs="Times New Roman"/>
          <w:sz w:val="26"/>
          <w:szCs w:val="26"/>
        </w:rPr>
        <w:t>», объединяющий населенные пункты трех район</w:t>
      </w:r>
      <w:r w:rsidR="006015A4">
        <w:rPr>
          <w:rFonts w:ascii="Times New Roman" w:hAnsi="Times New Roman" w:cs="Times New Roman"/>
          <w:sz w:val="26"/>
          <w:szCs w:val="26"/>
        </w:rPr>
        <w:t>ов</w:t>
      </w:r>
      <w:r w:rsidRPr="0013459F">
        <w:rPr>
          <w:rFonts w:ascii="Times New Roman" w:hAnsi="Times New Roman" w:cs="Times New Roman"/>
          <w:sz w:val="26"/>
          <w:szCs w:val="26"/>
        </w:rPr>
        <w:t xml:space="preserve"> Воронежской области</w:t>
      </w:r>
      <w:r w:rsidR="006015A4">
        <w:rPr>
          <w:rFonts w:ascii="Times New Roman" w:hAnsi="Times New Roman" w:cs="Times New Roman"/>
          <w:sz w:val="26"/>
          <w:szCs w:val="26"/>
        </w:rPr>
        <w:t xml:space="preserve"> и г. Нововоронеж</w:t>
      </w:r>
      <w:r w:rsidRPr="0013459F">
        <w:rPr>
          <w:rFonts w:ascii="Times New Roman" w:hAnsi="Times New Roman" w:cs="Times New Roman"/>
          <w:sz w:val="26"/>
          <w:szCs w:val="26"/>
        </w:rPr>
        <w:t>, расположенных в ближайшем окружении от г. Воронежа, по степени социально-экономических показателей (по данным территориального органа Федеральной службы государственной статистики).</w:t>
      </w:r>
    </w:p>
    <w:p w14:paraId="51659023" w14:textId="77777777" w:rsidR="00B422FF" w:rsidRDefault="00306BF5" w:rsidP="00B422FF">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расчета кадастровой стоимости земельных участков</w:t>
      </w:r>
      <w:r w:rsidR="00E73390">
        <w:rPr>
          <w:rFonts w:ascii="Times New Roman" w:hAnsi="Times New Roman" w:cs="Times New Roman"/>
          <w:sz w:val="26"/>
          <w:szCs w:val="26"/>
        </w:rPr>
        <w:t xml:space="preserve"> </w:t>
      </w:r>
      <w:r w:rsidR="00E73390" w:rsidRPr="00AC3047">
        <w:rPr>
          <w:rFonts w:ascii="Times New Roman" w:hAnsi="Times New Roman" w:cs="Times New Roman"/>
          <w:sz w:val="26"/>
          <w:szCs w:val="26"/>
        </w:rPr>
        <w:t>СОД/1 группа</w:t>
      </w:r>
      <w:r w:rsidRPr="00F562A8">
        <w:rPr>
          <w:rFonts w:ascii="Times New Roman" w:hAnsi="Times New Roman" w:cs="Times New Roman"/>
          <w:sz w:val="26"/>
          <w:szCs w:val="26"/>
        </w:rPr>
        <w:t xml:space="preserve">, расположенных в </w:t>
      </w:r>
      <w:r w:rsidR="001D7DAC">
        <w:rPr>
          <w:rFonts w:ascii="Times New Roman" w:hAnsi="Times New Roman" w:cs="Times New Roman"/>
          <w:sz w:val="26"/>
          <w:szCs w:val="26"/>
        </w:rPr>
        <w:t>Новоусманском, Рамонском Семилукском</w:t>
      </w:r>
      <w:r w:rsidRPr="00F562A8">
        <w:rPr>
          <w:rFonts w:ascii="Times New Roman" w:hAnsi="Times New Roman" w:cs="Times New Roman"/>
          <w:sz w:val="26"/>
          <w:szCs w:val="26"/>
        </w:rPr>
        <w:t xml:space="preserve"> </w:t>
      </w:r>
      <w:r w:rsidR="001D7DAC">
        <w:rPr>
          <w:rFonts w:ascii="Times New Roman" w:hAnsi="Times New Roman" w:cs="Times New Roman"/>
          <w:sz w:val="26"/>
          <w:szCs w:val="26"/>
        </w:rPr>
        <w:t>ра</w:t>
      </w:r>
      <w:r w:rsidR="0054157F">
        <w:rPr>
          <w:rFonts w:ascii="Times New Roman" w:hAnsi="Times New Roman" w:cs="Times New Roman"/>
          <w:sz w:val="26"/>
          <w:szCs w:val="26"/>
        </w:rPr>
        <w:t>й</w:t>
      </w:r>
      <w:r w:rsidR="001D7DAC">
        <w:rPr>
          <w:rFonts w:ascii="Times New Roman" w:hAnsi="Times New Roman" w:cs="Times New Roman"/>
          <w:sz w:val="26"/>
          <w:szCs w:val="26"/>
        </w:rPr>
        <w:t xml:space="preserve">онах </w:t>
      </w:r>
      <w:r w:rsidR="00E73390">
        <w:rPr>
          <w:rFonts w:ascii="Times New Roman" w:hAnsi="Times New Roman" w:cs="Times New Roman"/>
          <w:sz w:val="26"/>
          <w:szCs w:val="26"/>
        </w:rPr>
        <w:t xml:space="preserve">и г. Нововоронеж </w:t>
      </w:r>
      <w:r w:rsidR="001D7DAC">
        <w:rPr>
          <w:rFonts w:ascii="Times New Roman" w:hAnsi="Times New Roman" w:cs="Times New Roman"/>
          <w:sz w:val="26"/>
          <w:szCs w:val="26"/>
        </w:rPr>
        <w:t xml:space="preserve">Воронежской </w:t>
      </w:r>
      <w:r w:rsidRPr="00F562A8">
        <w:rPr>
          <w:rFonts w:ascii="Times New Roman" w:hAnsi="Times New Roman" w:cs="Times New Roman"/>
          <w:sz w:val="26"/>
          <w:szCs w:val="26"/>
        </w:rPr>
        <w:t xml:space="preserve">области, 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F562A8">
        <w:rPr>
          <w:rFonts w:ascii="Times New Roman" w:hAnsi="Times New Roman" w:cs="Times New Roman"/>
          <w:sz w:val="26"/>
          <w:szCs w:val="26"/>
          <w:lang w:val="en-US"/>
        </w:rPr>
        <w:t>Y</w:t>
      </w:r>
      <w:r w:rsidRPr="00F562A8">
        <w:rPr>
          <w:rFonts w:ascii="Times New Roman" w:hAnsi="Times New Roman" w:cs="Times New Roman"/>
          <w:sz w:val="26"/>
          <w:szCs w:val="26"/>
        </w:rPr>
        <w:t xml:space="preserve">- кадастровая стоимость и факторы, на него влияющие </w:t>
      </w:r>
      <w:r w:rsidRPr="00F562A8">
        <w:rPr>
          <w:rFonts w:ascii="Times New Roman" w:hAnsi="Times New Roman" w:cs="Times New Roman"/>
          <w:sz w:val="26"/>
          <w:szCs w:val="26"/>
          <w:lang w:val="en-US"/>
        </w:rPr>
        <w:t>X</w:t>
      </w:r>
      <w:r w:rsidRPr="00F562A8">
        <w:rPr>
          <w:rFonts w:ascii="Times New Roman" w:hAnsi="Times New Roman" w:cs="Times New Roman"/>
          <w:sz w:val="26"/>
          <w:szCs w:val="26"/>
          <w:vertAlign w:val="subscript"/>
          <w:lang w:val="en-US"/>
        </w:rPr>
        <w:t>i</w:t>
      </w:r>
      <w:r w:rsidRPr="00F562A8">
        <w:rPr>
          <w:rFonts w:ascii="Times New Roman" w:hAnsi="Times New Roman" w:cs="Times New Roman"/>
          <w:sz w:val="26"/>
          <w:szCs w:val="26"/>
        </w:rPr>
        <w:t xml:space="preserve">, где </w:t>
      </w:r>
      <w:r w:rsidRPr="00F562A8">
        <w:rPr>
          <w:rFonts w:ascii="Times New Roman" w:hAnsi="Times New Roman" w:cs="Times New Roman"/>
          <w:sz w:val="26"/>
          <w:szCs w:val="26"/>
          <w:lang w:val="en-US"/>
        </w:rPr>
        <w:t>i</w:t>
      </w:r>
      <w:r w:rsidRPr="00F562A8">
        <w:rPr>
          <w:rFonts w:ascii="Times New Roman" w:hAnsi="Times New Roman" w:cs="Times New Roman"/>
          <w:sz w:val="26"/>
          <w:szCs w:val="26"/>
        </w:rPr>
        <w:t xml:space="preserve">=1, …, 17 </w:t>
      </w:r>
      <w:r w:rsidR="00B422FF" w:rsidRPr="00F562A8">
        <w:rPr>
          <w:rFonts w:ascii="Times New Roman" w:hAnsi="Times New Roman" w:cs="Times New Roman"/>
          <w:sz w:val="26"/>
          <w:szCs w:val="26"/>
        </w:rPr>
        <w:t>представлены в таблиц</w:t>
      </w:r>
      <w:r w:rsidR="00B422FF">
        <w:rPr>
          <w:rFonts w:ascii="Times New Roman" w:hAnsi="Times New Roman" w:cs="Times New Roman"/>
          <w:sz w:val="26"/>
          <w:szCs w:val="26"/>
        </w:rPr>
        <w:t>ах</w:t>
      </w:r>
      <w:r w:rsidR="00B422FF" w:rsidRPr="00F562A8">
        <w:rPr>
          <w:rFonts w:ascii="Times New Roman" w:hAnsi="Times New Roman" w:cs="Times New Roman"/>
          <w:sz w:val="26"/>
          <w:szCs w:val="26"/>
        </w:rPr>
        <w:t xml:space="preserve"> </w:t>
      </w:r>
      <w:r w:rsidR="00B422FF" w:rsidRPr="00F562A8">
        <w:rPr>
          <w:rFonts w:ascii="Times New Roman" w:eastAsia="Times New Roman" w:hAnsi="Times New Roman" w:cs="Times New Roman"/>
          <w:sz w:val="26"/>
          <w:szCs w:val="26"/>
        </w:rPr>
        <w:t>3.</w:t>
      </w:r>
      <w:r w:rsidR="00B422FF">
        <w:rPr>
          <w:rFonts w:ascii="Times New Roman" w:eastAsia="Times New Roman" w:hAnsi="Times New Roman" w:cs="Times New Roman"/>
          <w:sz w:val="26"/>
          <w:szCs w:val="26"/>
        </w:rPr>
        <w:t>4 и 3.5, пунктов 3.4 и 3.5 соответственно</w:t>
      </w:r>
      <w:r w:rsidR="00B422FF" w:rsidRPr="00F562A8">
        <w:rPr>
          <w:rFonts w:ascii="Times New Roman" w:hAnsi="Times New Roman" w:cs="Times New Roman"/>
          <w:sz w:val="26"/>
          <w:szCs w:val="26"/>
        </w:rPr>
        <w:t>.</w:t>
      </w:r>
      <w:r w:rsidR="00B422FF">
        <w:rPr>
          <w:rFonts w:ascii="Times New Roman" w:hAnsi="Times New Roman" w:cs="Times New Roman"/>
          <w:sz w:val="26"/>
          <w:szCs w:val="26"/>
        </w:rPr>
        <w:t xml:space="preserve"> </w:t>
      </w:r>
    </w:p>
    <w:p w14:paraId="34118D7C"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206D9621"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27253FCA" w14:textId="20B736F9"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В данном случае таких факторов было выявлено </w:t>
      </w:r>
      <w:r w:rsidR="00DF268D">
        <w:rPr>
          <w:rFonts w:ascii="Times New Roman" w:hAnsi="Times New Roman" w:cs="Times New Roman"/>
          <w:sz w:val="26"/>
          <w:szCs w:val="26"/>
        </w:rPr>
        <w:t>5</w:t>
      </w:r>
      <w:r w:rsidRPr="00F562A8">
        <w:rPr>
          <w:rFonts w:ascii="Times New Roman" w:hAnsi="Times New Roman" w:cs="Times New Roman"/>
          <w:sz w:val="26"/>
          <w:szCs w:val="26"/>
        </w:rPr>
        <w:t>:</w:t>
      </w:r>
    </w:p>
    <w:p w14:paraId="5B0CED04" w14:textId="53B82934"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305519" w:rsidRPr="00305519">
        <w:rPr>
          <w:rFonts w:ascii="Times New Roman" w:hAnsi="Times New Roman" w:cs="Times New Roman"/>
          <w:sz w:val="26"/>
          <w:szCs w:val="26"/>
        </w:rPr>
        <w:t>наименование района</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0</w:t>
      </w:r>
      <w:r w:rsidRPr="00F562A8">
        <w:rPr>
          <w:rFonts w:ascii="Times New Roman" w:hAnsi="Times New Roman" w:cs="Times New Roman"/>
          <w:sz w:val="26"/>
          <w:szCs w:val="26"/>
        </w:rPr>
        <w:t>;</w:t>
      </w:r>
    </w:p>
    <w:p w14:paraId="19ED9AFB" w14:textId="51E975CD"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w:t>
      </w:r>
      <w:r w:rsidR="00961F93" w:rsidRPr="00F562A8">
        <w:rPr>
          <w:rFonts w:ascii="Times New Roman" w:hAnsi="Times New Roman" w:cs="Times New Roman"/>
          <w:sz w:val="26"/>
          <w:szCs w:val="26"/>
        </w:rPr>
        <w:t xml:space="preserve"> </w:t>
      </w:r>
      <w:r w:rsidR="00305519" w:rsidRPr="00305519">
        <w:rPr>
          <w:rFonts w:ascii="Times New Roman" w:hAnsi="Times New Roman" w:cs="Times New Roman"/>
          <w:sz w:val="26"/>
          <w:szCs w:val="26"/>
        </w:rPr>
        <w:t>расстояние до центра субъекта РФ (г. Воронеж)</w:t>
      </w:r>
      <w:r w:rsidR="00305519">
        <w:t xml:space="preserve">: </w:t>
      </w:r>
      <w:r w:rsidRPr="00F562A8">
        <w:rPr>
          <w:rFonts w:ascii="Times New Roman" w:hAnsi="Times New Roman" w:cs="Times New Roman"/>
          <w:sz w:val="26"/>
          <w:szCs w:val="26"/>
        </w:rPr>
        <w:t>Х</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w:t>
      </w:r>
    </w:p>
    <w:p w14:paraId="4B5F5192" w14:textId="28F53DB9" w:rsidR="00306BF5"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00305519">
        <w:rPr>
          <w:rFonts w:ascii="Times New Roman" w:hAnsi="Times New Roman" w:cs="Times New Roman"/>
          <w:sz w:val="26"/>
          <w:szCs w:val="26"/>
        </w:rPr>
        <w:t>н</w:t>
      </w:r>
      <w:r w:rsidR="00305519" w:rsidRPr="00305519">
        <w:rPr>
          <w:rFonts w:ascii="Times New Roman" w:hAnsi="Times New Roman" w:cs="Times New Roman"/>
          <w:sz w:val="26"/>
          <w:szCs w:val="26"/>
        </w:rPr>
        <w:t>аличие в населенном пункте газоснабжения</w:t>
      </w:r>
      <w:r w:rsidRPr="00F562A8">
        <w:rPr>
          <w:rFonts w:ascii="Times New Roman" w:hAnsi="Times New Roman" w:cs="Times New Roman"/>
          <w:sz w:val="26"/>
          <w:szCs w:val="26"/>
        </w:rPr>
        <w:t>: Х</w:t>
      </w:r>
      <w:r w:rsidRPr="00F562A8">
        <w:rPr>
          <w:rFonts w:ascii="Times New Roman" w:hAnsi="Times New Roman" w:cs="Times New Roman"/>
          <w:sz w:val="26"/>
          <w:szCs w:val="26"/>
          <w:vertAlign w:val="subscript"/>
        </w:rPr>
        <w:t>2</w:t>
      </w:r>
      <w:r w:rsidR="00305519">
        <w:rPr>
          <w:rFonts w:ascii="Times New Roman" w:hAnsi="Times New Roman" w:cs="Times New Roman"/>
          <w:sz w:val="26"/>
          <w:szCs w:val="26"/>
        </w:rPr>
        <w:t>;</w:t>
      </w:r>
    </w:p>
    <w:p w14:paraId="467B6421" w14:textId="7A298281" w:rsidR="00DF268D" w:rsidRDefault="00DF268D" w:rsidP="00DF268D">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Pr>
          <w:rFonts w:ascii="Times New Roman" w:hAnsi="Times New Roman" w:cs="Times New Roman"/>
          <w:sz w:val="26"/>
          <w:szCs w:val="26"/>
        </w:rPr>
        <w:t>н</w:t>
      </w:r>
      <w:r w:rsidRPr="00305519">
        <w:rPr>
          <w:rFonts w:ascii="Times New Roman" w:hAnsi="Times New Roman" w:cs="Times New Roman"/>
          <w:sz w:val="26"/>
          <w:szCs w:val="26"/>
        </w:rPr>
        <w:t xml:space="preserve">аличие в населенном пункте </w:t>
      </w:r>
      <w:r w:rsidRPr="00DF268D">
        <w:rPr>
          <w:rFonts w:ascii="Times New Roman" w:hAnsi="Times New Roman" w:cs="Times New Roman"/>
          <w:sz w:val="26"/>
          <w:szCs w:val="26"/>
        </w:rPr>
        <w:t>центрального водоснабжения</w:t>
      </w:r>
      <w:r w:rsidRPr="00F562A8">
        <w:rPr>
          <w:rFonts w:ascii="Times New Roman" w:hAnsi="Times New Roman" w:cs="Times New Roman"/>
          <w:sz w:val="26"/>
          <w:szCs w:val="26"/>
        </w:rPr>
        <w:t>: Х</w:t>
      </w:r>
      <w:r>
        <w:rPr>
          <w:rFonts w:ascii="Times New Roman" w:hAnsi="Times New Roman" w:cs="Times New Roman"/>
          <w:sz w:val="26"/>
          <w:szCs w:val="26"/>
          <w:vertAlign w:val="subscript"/>
        </w:rPr>
        <w:t>3</w:t>
      </w:r>
      <w:r>
        <w:rPr>
          <w:rFonts w:ascii="Times New Roman" w:hAnsi="Times New Roman" w:cs="Times New Roman"/>
          <w:sz w:val="26"/>
          <w:szCs w:val="26"/>
        </w:rPr>
        <w:t>;</w:t>
      </w:r>
    </w:p>
    <w:p w14:paraId="3EBFA3C4" w14:textId="4E81E1FE" w:rsidR="00305519" w:rsidRDefault="00305519" w:rsidP="00305519">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 </w:t>
      </w:r>
      <w:r w:rsidRPr="00305519">
        <w:rPr>
          <w:rFonts w:ascii="Times New Roman" w:hAnsi="Times New Roman" w:cs="Times New Roman"/>
          <w:sz w:val="26"/>
          <w:szCs w:val="26"/>
        </w:rPr>
        <w:t>наличие дороги с твердым покрытием</w:t>
      </w:r>
      <w:r w:rsidRPr="00F562A8">
        <w:rPr>
          <w:rFonts w:ascii="Times New Roman" w:hAnsi="Times New Roman" w:cs="Times New Roman"/>
          <w:sz w:val="26"/>
          <w:szCs w:val="26"/>
        </w:rPr>
        <w:t>: Х</w:t>
      </w:r>
      <w:r w:rsidR="00DF268D">
        <w:rPr>
          <w:rFonts w:ascii="Times New Roman" w:hAnsi="Times New Roman" w:cs="Times New Roman"/>
          <w:sz w:val="26"/>
          <w:szCs w:val="26"/>
          <w:vertAlign w:val="subscript"/>
        </w:rPr>
        <w:t>4</w:t>
      </w:r>
      <w:r>
        <w:rPr>
          <w:rFonts w:ascii="Times New Roman" w:hAnsi="Times New Roman" w:cs="Times New Roman"/>
          <w:sz w:val="26"/>
          <w:szCs w:val="26"/>
          <w:vertAlign w:val="subscript"/>
        </w:rPr>
        <w:t>.</w:t>
      </w:r>
    </w:p>
    <w:p w14:paraId="22C92555"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19A9F8CF"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28BAE941"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На основании отбора факторов были построены множественные регрессионные трехфакторные модели:</w:t>
      </w:r>
    </w:p>
    <w:p w14:paraId="2593241A" w14:textId="77777777" w:rsidR="00306BF5" w:rsidRPr="00F562A8" w:rsidRDefault="00306BF5" w:rsidP="006F6435">
      <w:pPr>
        <w:spacing w:after="0" w:line="276" w:lineRule="auto"/>
        <w:ind w:firstLine="709"/>
        <w:jc w:val="both"/>
        <w:rPr>
          <w:rFonts w:ascii="Times New Roman" w:hAnsi="Times New Roman" w:cs="Times New Roman"/>
          <w:i/>
          <w:sz w:val="26"/>
          <w:szCs w:val="26"/>
        </w:rPr>
      </w:pPr>
      <w:r w:rsidRPr="00F562A8">
        <w:rPr>
          <w:rFonts w:ascii="Times New Roman" w:hAnsi="Times New Roman" w:cs="Times New Roman"/>
          <w:sz w:val="26"/>
          <w:szCs w:val="26"/>
        </w:rPr>
        <w:t xml:space="preserve">-аддитивная (линейная): </w:t>
      </w:r>
      <w:r w:rsidRPr="00F562A8">
        <w:rPr>
          <w:rFonts w:ascii="Times New Roman" w:hAnsi="Times New Roman" w:cs="Times New Roman"/>
          <w:noProof/>
          <w:position w:val="-8"/>
          <w:sz w:val="26"/>
          <w:szCs w:val="26"/>
          <w:lang w:eastAsia="ru-RU"/>
        </w:rPr>
        <w:drawing>
          <wp:inline distT="0" distB="0" distL="0" distR="0" wp14:anchorId="63567904" wp14:editId="076D7BB4">
            <wp:extent cx="2209800" cy="247650"/>
            <wp:effectExtent l="0" t="0" r="0" b="0"/>
            <wp:docPr id="437" name="Рисунок 437"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F562A8">
        <w:rPr>
          <w:rFonts w:ascii="Times New Roman" w:hAnsi="Times New Roman" w:cs="Times New Roman"/>
          <w:sz w:val="26"/>
          <w:szCs w:val="26"/>
        </w:rPr>
        <w:t>;</w:t>
      </w:r>
    </w:p>
    <w:p w14:paraId="18DCC9D9"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-мультипликативная:</w:t>
      </w:r>
      <w:r w:rsidRPr="00F562A8">
        <w:rPr>
          <w:rFonts w:ascii="Times New Roman" w:hAnsi="Times New Roman" w:cs="Times New Roman"/>
          <w:noProof/>
          <w:position w:val="-9"/>
          <w:sz w:val="26"/>
          <w:szCs w:val="26"/>
          <w:lang w:eastAsia="ru-RU"/>
        </w:rPr>
        <w:drawing>
          <wp:inline distT="0" distB="0" distL="0" distR="0" wp14:anchorId="0E2F556D" wp14:editId="48ECF071">
            <wp:extent cx="1352550" cy="266700"/>
            <wp:effectExtent l="0" t="0" r="0" b="0"/>
            <wp:docPr id="438" name="Рисунок 438"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F562A8">
        <w:rPr>
          <w:rFonts w:ascii="Times New Roman" w:hAnsi="Times New Roman" w:cs="Times New Roman"/>
          <w:sz w:val="26"/>
          <w:szCs w:val="26"/>
        </w:rPr>
        <w:t>;;</w:t>
      </w:r>
    </w:p>
    <w:p w14:paraId="6938397C"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-экспоненциальная:</w:t>
      </w:r>
      <w:r w:rsidRPr="00F562A8">
        <w:rPr>
          <w:rFonts w:ascii="Times New Roman" w:hAnsi="Times New Roman" w:cs="Times New Roman"/>
          <w:noProof/>
          <w:position w:val="-9"/>
          <w:sz w:val="26"/>
          <w:szCs w:val="26"/>
          <w:lang w:eastAsia="ru-RU"/>
        </w:rPr>
        <w:drawing>
          <wp:inline distT="0" distB="0" distL="0" distR="0" wp14:anchorId="44D10195" wp14:editId="21368580">
            <wp:extent cx="1266825" cy="266700"/>
            <wp:effectExtent l="0" t="0" r="0" b="0"/>
            <wp:docPr id="439" name="Рисунок 439"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F562A8">
        <w:rPr>
          <w:rFonts w:ascii="Times New Roman" w:hAnsi="Times New Roman" w:cs="Times New Roman"/>
          <w:sz w:val="26"/>
          <w:szCs w:val="26"/>
        </w:rPr>
        <w:t xml:space="preserve">, </w:t>
      </w:r>
    </w:p>
    <w:p w14:paraId="2D0237F8" w14:textId="77777777"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где Y - модельное значение зависимой переменной;</w:t>
      </w:r>
    </w:p>
    <w:p w14:paraId="4929EA7A"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X</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 X</w:t>
      </w:r>
      <w:r w:rsidRPr="00F562A8">
        <w:rPr>
          <w:rFonts w:ascii="Times New Roman" w:hAnsi="Times New Roman" w:cs="Times New Roman"/>
          <w:sz w:val="26"/>
          <w:szCs w:val="26"/>
          <w:vertAlign w:val="subscript"/>
        </w:rPr>
        <w:t>n</w:t>
      </w:r>
      <w:r w:rsidRPr="00F562A8">
        <w:rPr>
          <w:rFonts w:ascii="Times New Roman" w:hAnsi="Times New Roman" w:cs="Times New Roman"/>
          <w:sz w:val="26"/>
          <w:szCs w:val="26"/>
        </w:rPr>
        <w:t xml:space="preserve"> - ценообразующие факторы объектов недвижимости;</w:t>
      </w:r>
    </w:p>
    <w:p w14:paraId="68152BCD"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noProof/>
          <w:position w:val="-8"/>
          <w:sz w:val="26"/>
          <w:szCs w:val="26"/>
        </w:rPr>
        <w:drawing>
          <wp:inline distT="0" distB="0" distL="0" distR="0" wp14:anchorId="43AC4735" wp14:editId="43348F93">
            <wp:extent cx="209550" cy="247650"/>
            <wp:effectExtent l="0" t="0" r="0" b="0"/>
            <wp:docPr id="440" name="Рисунок 440"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w:t>
      </w:r>
      <w:r w:rsidRPr="00F562A8">
        <w:rPr>
          <w:rFonts w:ascii="Times New Roman" w:hAnsi="Times New Roman" w:cs="Times New Roman"/>
          <w:noProof/>
          <w:position w:val="-8"/>
          <w:sz w:val="26"/>
          <w:szCs w:val="26"/>
        </w:rPr>
        <w:drawing>
          <wp:inline distT="0" distB="0" distL="0" distR="0" wp14:anchorId="5274D3A4" wp14:editId="66E8213A">
            <wp:extent cx="200025" cy="247650"/>
            <wp:effectExtent l="0" t="0" r="9525" b="0"/>
            <wp:docPr id="441" name="Рисунок 441"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w:t>
      </w:r>
      <w:r w:rsidRPr="00F562A8">
        <w:rPr>
          <w:rFonts w:ascii="Times New Roman" w:hAnsi="Times New Roman" w:cs="Times New Roman"/>
          <w:noProof/>
          <w:position w:val="-8"/>
          <w:sz w:val="26"/>
          <w:szCs w:val="26"/>
        </w:rPr>
        <w:drawing>
          <wp:inline distT="0" distB="0" distL="0" distR="0" wp14:anchorId="724FA86D" wp14:editId="74FD4F30">
            <wp:extent cx="209550" cy="247650"/>
            <wp:effectExtent l="0" t="0" r="0" b="0"/>
            <wp:docPr id="442" name="Рисунок 442"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562A8">
        <w:rPr>
          <w:rFonts w:ascii="Times New Roman" w:hAnsi="Times New Roman" w:cs="Times New Roman"/>
          <w:sz w:val="26"/>
          <w:szCs w:val="26"/>
        </w:rPr>
        <w:t xml:space="preserve"> - коэффициенты модели.</w:t>
      </w:r>
    </w:p>
    <w:p w14:paraId="0F3E3D61" w14:textId="68FD7370" w:rsidR="00306BF5" w:rsidRPr="00F562A8" w:rsidRDefault="00262221" w:rsidP="006F6435">
      <w:pPr>
        <w:spacing w:after="0" w:line="276" w:lineRule="auto"/>
        <w:jc w:val="both"/>
        <w:rPr>
          <w:rFonts w:ascii="Times New Roman" w:hAnsi="Times New Roman" w:cs="Times New Roman"/>
          <w:lang w:val="en-US"/>
        </w:rPr>
      </w:pPr>
      <w:r w:rsidRPr="0029082C">
        <w:rPr>
          <w:b/>
          <w:noProof/>
          <w:lang w:eastAsia="ru-RU"/>
        </w:rPr>
        <w:drawing>
          <wp:inline distT="0" distB="0" distL="0" distR="0" wp14:anchorId="4DC83050" wp14:editId="1E02B599">
            <wp:extent cx="5939790" cy="843825"/>
            <wp:effectExtent l="0" t="0" r="381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5939790" cy="843825"/>
                    </a:xfrm>
                    <a:prstGeom prst="rect">
                      <a:avLst/>
                    </a:prstGeom>
                  </pic:spPr>
                </pic:pic>
              </a:graphicData>
            </a:graphic>
          </wp:inline>
        </w:drawing>
      </w:r>
    </w:p>
    <w:p w14:paraId="61C566E9" w14:textId="0BBEF74B"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lang w:val="en-US"/>
        </w:rPr>
        <w:tab/>
      </w:r>
      <w:r w:rsidRPr="00F562A8">
        <w:rPr>
          <w:rFonts w:ascii="Times New Roman" w:hAnsi="Times New Roman" w:cs="Times New Roman"/>
          <w:sz w:val="26"/>
          <w:szCs w:val="26"/>
        </w:rPr>
        <w:t>Рис</w:t>
      </w:r>
      <w:r w:rsidR="000875AD" w:rsidRPr="00F562A8">
        <w:rPr>
          <w:rFonts w:ascii="Times New Roman" w:hAnsi="Times New Roman" w:cs="Times New Roman"/>
          <w:sz w:val="26"/>
          <w:szCs w:val="26"/>
        </w:rPr>
        <w:t>. 3.6.13.</w:t>
      </w:r>
      <w:r w:rsidR="00142E4F">
        <w:rPr>
          <w:rFonts w:ascii="Times New Roman" w:hAnsi="Times New Roman" w:cs="Times New Roman"/>
          <w:sz w:val="26"/>
          <w:szCs w:val="26"/>
        </w:rPr>
        <w:t>8</w:t>
      </w:r>
      <w:r w:rsidR="00AD7CE0">
        <w:rPr>
          <w:rFonts w:ascii="Times New Roman" w:hAnsi="Times New Roman" w:cs="Times New Roman"/>
          <w:sz w:val="26"/>
          <w:szCs w:val="26"/>
        </w:rPr>
        <w:t>.1</w:t>
      </w:r>
      <w:r w:rsidR="000875AD" w:rsidRPr="00F562A8">
        <w:rPr>
          <w:rFonts w:ascii="Times New Roman" w:hAnsi="Times New Roman" w:cs="Times New Roman"/>
          <w:sz w:val="26"/>
          <w:szCs w:val="26"/>
        </w:rPr>
        <w:t xml:space="preserve"> </w:t>
      </w:r>
      <w:r w:rsidRPr="00F562A8">
        <w:rPr>
          <w:rFonts w:ascii="Times New Roman" w:hAnsi="Times New Roman" w:cs="Times New Roman"/>
          <w:sz w:val="26"/>
          <w:szCs w:val="26"/>
        </w:rPr>
        <w:t>- Множественные регрессионные трехфакторные модели</w:t>
      </w:r>
    </w:p>
    <w:p w14:paraId="6D09ED15" w14:textId="7124C4FE"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Согласно п.</w:t>
      </w:r>
      <w:r w:rsidR="00B11E8D">
        <w:rPr>
          <w:rFonts w:ascii="Times New Roman" w:hAnsi="Times New Roman" w:cs="Times New Roman"/>
          <w:sz w:val="26"/>
          <w:szCs w:val="26"/>
        </w:rPr>
        <w:t>45.1.2</w:t>
      </w:r>
      <w:r w:rsidRPr="00F562A8">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30D922CF"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1519337F"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02D94FE1"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65DA1BD0"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t-критерию Стьюдента проверки значимости параметров моделей;</w:t>
      </w:r>
    </w:p>
    <w:p w14:paraId="7B69F9CA"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средней ошибке аппроксимации;</w:t>
      </w:r>
    </w:p>
    <w:p w14:paraId="2BA0BB90"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 по коэффициенту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w:t>
      </w:r>
    </w:p>
    <w:p w14:paraId="50483C7B" w14:textId="5E4DEEC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w:t>
      </w:r>
      <w:r w:rsidR="00A82357" w:rsidRPr="00F562A8">
        <w:rPr>
          <w:rFonts w:ascii="Times New Roman" w:hAnsi="Times New Roman" w:cs="Times New Roman"/>
          <w:sz w:val="26"/>
          <w:szCs w:val="26"/>
        </w:rPr>
        <w:t xml:space="preserve"> </w:t>
      </w:r>
      <w:r w:rsidRPr="00F562A8">
        <w:rPr>
          <w:rFonts w:ascii="Times New Roman" w:hAnsi="Times New Roman" w:cs="Times New Roman"/>
          <w:sz w:val="26"/>
          <w:szCs w:val="26"/>
        </w:rPr>
        <w:t>по расчетному значению F-критерия Фишера, обосновывающего адекватность регрессионной модели.</w:t>
      </w:r>
    </w:p>
    <w:p w14:paraId="7E452B39" w14:textId="5574E1F3" w:rsidR="00306BF5" w:rsidRPr="00F562A8" w:rsidRDefault="00262221" w:rsidP="006F6435">
      <w:pPr>
        <w:pStyle w:val="ConsPlusNormal"/>
        <w:spacing w:line="276" w:lineRule="auto"/>
        <w:jc w:val="center"/>
        <w:rPr>
          <w:rFonts w:ascii="Times New Roman" w:hAnsi="Times New Roman" w:cs="Times New Roman"/>
          <w:sz w:val="26"/>
          <w:szCs w:val="26"/>
        </w:rPr>
      </w:pPr>
      <w:r w:rsidRPr="0029082C">
        <w:rPr>
          <w:b/>
          <w:noProof/>
        </w:rPr>
        <w:drawing>
          <wp:inline distT="0" distB="0" distL="0" distR="0" wp14:anchorId="3CD6EFB2" wp14:editId="4C51AB37">
            <wp:extent cx="5838825" cy="1486557"/>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4"/>
                    <a:srcRect r="8719"/>
                    <a:stretch/>
                  </pic:blipFill>
                  <pic:spPr bwMode="auto">
                    <a:xfrm>
                      <a:off x="0" y="0"/>
                      <a:ext cx="5848680" cy="1489066"/>
                    </a:xfrm>
                    <a:prstGeom prst="rect">
                      <a:avLst/>
                    </a:prstGeom>
                    <a:ln>
                      <a:noFill/>
                    </a:ln>
                    <a:extLst>
                      <a:ext uri="{53640926-AAD7-44D8-BBD7-CCE9431645EC}">
                        <a14:shadowObscured xmlns:a14="http://schemas.microsoft.com/office/drawing/2010/main"/>
                      </a:ext>
                    </a:extLst>
                  </pic:spPr>
                </pic:pic>
              </a:graphicData>
            </a:graphic>
          </wp:inline>
        </w:drawing>
      </w:r>
    </w:p>
    <w:p w14:paraId="3E98232B" w14:textId="01356DD2" w:rsidR="00306BF5" w:rsidRPr="00F562A8" w:rsidRDefault="00306BF5" w:rsidP="006F6435">
      <w:pPr>
        <w:pStyle w:val="ConsPlusNormal"/>
        <w:spacing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0875AD" w:rsidRPr="00F562A8">
        <w:rPr>
          <w:rFonts w:ascii="Times New Roman" w:hAnsi="Times New Roman" w:cs="Times New Roman"/>
          <w:sz w:val="26"/>
          <w:szCs w:val="26"/>
        </w:rPr>
        <w:t xml:space="preserve"> 3.6.13.</w:t>
      </w:r>
      <w:r w:rsidR="00142E4F">
        <w:rPr>
          <w:rFonts w:ascii="Times New Roman" w:hAnsi="Times New Roman" w:cs="Times New Roman"/>
          <w:sz w:val="26"/>
          <w:szCs w:val="26"/>
        </w:rPr>
        <w:t>8</w:t>
      </w:r>
      <w:r w:rsidR="00AD7CE0">
        <w:rPr>
          <w:rFonts w:ascii="Times New Roman" w:hAnsi="Times New Roman" w:cs="Times New Roman"/>
          <w:sz w:val="26"/>
          <w:szCs w:val="26"/>
        </w:rPr>
        <w:t>.2</w:t>
      </w:r>
      <w:r w:rsidR="000875AD" w:rsidRPr="00F562A8">
        <w:rPr>
          <w:rFonts w:ascii="Times New Roman" w:hAnsi="Times New Roman" w:cs="Times New Roman"/>
          <w:sz w:val="26"/>
          <w:szCs w:val="26"/>
        </w:rPr>
        <w:t xml:space="preserve"> </w:t>
      </w:r>
      <w:r w:rsidRPr="00F562A8">
        <w:rPr>
          <w:rFonts w:ascii="Times New Roman" w:hAnsi="Times New Roman" w:cs="Times New Roman"/>
          <w:sz w:val="26"/>
          <w:szCs w:val="26"/>
        </w:rPr>
        <w:t>- Значения t-критерия Стьюдента, средней ошибки аппроксимации, коэффициента детерминации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xml:space="preserve"> и F-критерия Фишера</w:t>
      </w:r>
    </w:p>
    <w:p w14:paraId="6D89ED07"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Показатели R</w:t>
      </w:r>
      <w:r w:rsidRPr="00F562A8">
        <w:rPr>
          <w:rFonts w:ascii="Times New Roman" w:hAnsi="Times New Roman" w:cs="Times New Roman"/>
          <w:sz w:val="26"/>
          <w:szCs w:val="26"/>
          <w:vertAlign w:val="superscript"/>
        </w:rPr>
        <w:t>2</w:t>
      </w:r>
      <w:r w:rsidRPr="00F562A8">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5F571F86" w14:textId="77777777" w:rsidR="00306BF5" w:rsidRPr="00F562A8" w:rsidRDefault="00306BF5" w:rsidP="006F6435">
      <w:pPr>
        <w:pStyle w:val="ConsPlusNormal"/>
        <w:spacing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2C614CCB" w14:textId="77777777" w:rsidR="00306BF5" w:rsidRPr="00F562A8" w:rsidRDefault="00306BF5" w:rsidP="006F6435">
      <w:pPr>
        <w:spacing w:after="0" w:line="276" w:lineRule="auto"/>
        <w:ind w:firstLine="708"/>
        <w:jc w:val="both"/>
        <w:rPr>
          <w:rFonts w:ascii="Times New Roman" w:hAnsi="Times New Roman" w:cs="Times New Roman"/>
          <w:sz w:val="26"/>
          <w:szCs w:val="26"/>
        </w:rPr>
      </w:pPr>
      <w:r w:rsidRPr="00F562A8">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-критерию Фишера. Статистики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-критерия Фишера</w:t>
      </w:r>
      <w:r w:rsidRPr="00F562A8">
        <w:rPr>
          <w:rFonts w:ascii="Times New Roman" w:hAnsi="Times New Roman" w:cs="Times New Roman"/>
          <w:sz w:val="26"/>
          <w:szCs w:val="26"/>
          <w:lang w:val="en-US"/>
        </w:rPr>
        <w:t xml:space="preserve"> </w:t>
      </w:r>
      <w:r w:rsidRPr="00F562A8">
        <w:rPr>
          <w:rFonts w:ascii="Times New Roman" w:hAnsi="Times New Roman" w:cs="Times New Roman"/>
          <w:sz w:val="26"/>
          <w:szCs w:val="26"/>
        </w:rPr>
        <w:t>равны:</w:t>
      </w:r>
    </w:p>
    <w:p w14:paraId="2BCBDDEA" w14:textId="49D4E5D5" w:rsidR="00306BF5" w:rsidRPr="00F562A8" w:rsidRDefault="004D65DB" w:rsidP="006F6435">
      <w:pPr>
        <w:spacing w:after="0" w:line="276" w:lineRule="auto"/>
        <w:jc w:val="center"/>
        <w:rPr>
          <w:rFonts w:ascii="Times New Roman" w:hAnsi="Times New Roman" w:cs="Times New Roman"/>
          <w:sz w:val="26"/>
          <w:szCs w:val="26"/>
          <w:lang w:val="en-US"/>
        </w:rPr>
      </w:pPr>
      <w:r w:rsidRPr="0029082C">
        <w:rPr>
          <w:b/>
          <w:noProof/>
          <w:lang w:eastAsia="ru-RU"/>
        </w:rPr>
        <w:drawing>
          <wp:inline distT="0" distB="0" distL="0" distR="0" wp14:anchorId="0F8DFC55" wp14:editId="55160BF0">
            <wp:extent cx="3105583" cy="1114581"/>
            <wp:effectExtent l="0" t="0" r="0" b="9525"/>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3105583" cy="1114581"/>
                    </a:xfrm>
                    <a:prstGeom prst="rect">
                      <a:avLst/>
                    </a:prstGeom>
                  </pic:spPr>
                </pic:pic>
              </a:graphicData>
            </a:graphic>
          </wp:inline>
        </w:drawing>
      </w:r>
    </w:p>
    <w:p w14:paraId="470D2F80" w14:textId="3E291A37" w:rsidR="00306BF5" w:rsidRPr="00F562A8" w:rsidRDefault="00306BF5" w:rsidP="006F6435">
      <w:pPr>
        <w:spacing w:after="0" w:line="276" w:lineRule="auto"/>
        <w:jc w:val="center"/>
        <w:rPr>
          <w:rFonts w:ascii="Times New Roman" w:hAnsi="Times New Roman" w:cs="Times New Roman"/>
          <w:sz w:val="26"/>
          <w:szCs w:val="26"/>
        </w:rPr>
      </w:pPr>
      <w:r w:rsidRPr="00F562A8">
        <w:rPr>
          <w:rFonts w:ascii="Times New Roman" w:hAnsi="Times New Roman" w:cs="Times New Roman"/>
          <w:sz w:val="26"/>
          <w:szCs w:val="26"/>
        </w:rPr>
        <w:t>Рис.</w:t>
      </w:r>
      <w:r w:rsidR="000875AD" w:rsidRPr="00F562A8">
        <w:rPr>
          <w:rFonts w:ascii="Times New Roman" w:hAnsi="Times New Roman" w:cs="Times New Roman"/>
          <w:sz w:val="26"/>
          <w:szCs w:val="26"/>
        </w:rPr>
        <w:t xml:space="preserve"> 3.6.13.</w:t>
      </w:r>
      <w:r w:rsidR="00142E4F">
        <w:rPr>
          <w:rFonts w:ascii="Times New Roman" w:hAnsi="Times New Roman" w:cs="Times New Roman"/>
          <w:sz w:val="26"/>
          <w:szCs w:val="26"/>
        </w:rPr>
        <w:t>8</w:t>
      </w:r>
      <w:r w:rsidR="00AD7CE0">
        <w:rPr>
          <w:rFonts w:ascii="Times New Roman" w:hAnsi="Times New Roman" w:cs="Times New Roman"/>
          <w:sz w:val="26"/>
          <w:szCs w:val="26"/>
        </w:rPr>
        <w:t>.3</w:t>
      </w:r>
      <w:r w:rsidR="000875AD" w:rsidRPr="00F562A8">
        <w:rPr>
          <w:rFonts w:ascii="Times New Roman" w:hAnsi="Times New Roman" w:cs="Times New Roman"/>
          <w:sz w:val="26"/>
          <w:szCs w:val="26"/>
        </w:rPr>
        <w:t xml:space="preserve"> </w:t>
      </w:r>
      <w:r w:rsidRPr="00F562A8">
        <w:rPr>
          <w:rFonts w:ascii="Times New Roman" w:hAnsi="Times New Roman" w:cs="Times New Roman"/>
          <w:sz w:val="26"/>
          <w:szCs w:val="26"/>
        </w:rPr>
        <w:t>- Значения F-критерия Фишера</w:t>
      </w:r>
    </w:p>
    <w:p w14:paraId="5FE42501" w14:textId="77777777" w:rsidR="00306BF5" w:rsidRPr="00F562A8" w:rsidRDefault="00306BF5" w:rsidP="006F6435">
      <w:pPr>
        <w:spacing w:after="0" w:line="276" w:lineRule="auto"/>
        <w:jc w:val="both"/>
        <w:rPr>
          <w:rFonts w:ascii="Times New Roman" w:hAnsi="Times New Roman" w:cs="Times New Roman"/>
          <w:sz w:val="26"/>
          <w:szCs w:val="26"/>
        </w:rPr>
      </w:pPr>
      <w:r w:rsidRPr="00F562A8">
        <w:rPr>
          <w:rFonts w:ascii="Times New Roman" w:hAnsi="Times New Roman" w:cs="Times New Roman"/>
          <w:sz w:val="26"/>
          <w:szCs w:val="26"/>
        </w:rPr>
        <w:tab/>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3BF9C5CA" w14:textId="4ECB0397" w:rsidR="004D65DB" w:rsidRPr="0029082C" w:rsidRDefault="00306BF5" w:rsidP="004D65DB">
      <w:pPr>
        <w:spacing w:after="0" w:line="240" w:lineRule="auto"/>
        <w:ind w:firstLine="709"/>
        <w:jc w:val="both"/>
        <w:rPr>
          <w:rFonts w:ascii="Arial" w:eastAsia="Times New Roman" w:hAnsi="Arial" w:cs="Arial"/>
          <w:sz w:val="20"/>
          <w:szCs w:val="20"/>
          <w:lang w:eastAsia="ru-RU"/>
        </w:rPr>
      </w:pPr>
      <w:r w:rsidRPr="00F562A8">
        <w:rPr>
          <w:rFonts w:ascii="Times New Roman" w:hAnsi="Times New Roman" w:cs="Times New Roman"/>
          <w:i/>
          <w:sz w:val="26"/>
          <w:szCs w:val="26"/>
        </w:rPr>
        <w:t xml:space="preserve">УПКС = </w:t>
      </w:r>
      <w:r w:rsidR="004D65DB" w:rsidRPr="004D65DB">
        <w:rPr>
          <w:rFonts w:ascii="Times New Roman" w:hAnsi="Times New Roman" w:cs="Times New Roman"/>
          <w:i/>
          <w:sz w:val="26"/>
          <w:szCs w:val="26"/>
        </w:rPr>
        <w:t xml:space="preserve">21.7493726133771*e^(+0.23690353619456*([__Наименование района])+0.0140760792293734*((69.256+-13.804-_Расстояние до центра субъекта РФ (г. Воронеж)))+0.643037824129519*([СНП Наличие в населенном пункте газоснабжения])+0.735873363526013*([СНП Наличие в населенном пункте </w:t>
      </w:r>
      <w:bookmarkStart w:id="306" w:name="_Hlk106535030"/>
      <w:r w:rsidR="004D65DB" w:rsidRPr="004D65DB">
        <w:rPr>
          <w:rFonts w:ascii="Times New Roman" w:hAnsi="Times New Roman" w:cs="Times New Roman"/>
          <w:i/>
          <w:sz w:val="26"/>
          <w:szCs w:val="26"/>
        </w:rPr>
        <w:t>центрального водоснабжения</w:t>
      </w:r>
      <w:bookmarkEnd w:id="306"/>
      <w:r w:rsidR="004D65DB" w:rsidRPr="004D65DB">
        <w:rPr>
          <w:rFonts w:ascii="Times New Roman" w:hAnsi="Times New Roman" w:cs="Times New Roman"/>
          <w:i/>
          <w:sz w:val="26"/>
          <w:szCs w:val="26"/>
        </w:rPr>
        <w:t>])+0.279150348152997*([СНП Наличие дороги с твердым покрытием]))</w:t>
      </w:r>
    </w:p>
    <w:p w14:paraId="32819B14" w14:textId="77777777" w:rsidR="00306BF5" w:rsidRPr="00F562A8" w:rsidRDefault="00306BF5" w:rsidP="006F6435">
      <w:pPr>
        <w:spacing w:after="0" w:line="276" w:lineRule="auto"/>
        <w:ind w:firstLine="567"/>
        <w:jc w:val="both"/>
        <w:rPr>
          <w:rFonts w:ascii="Times New Roman" w:hAnsi="Times New Roman" w:cs="Times New Roman"/>
          <w:sz w:val="26"/>
          <w:szCs w:val="26"/>
        </w:rPr>
      </w:pPr>
      <w:r w:rsidRPr="00F562A8">
        <w:rPr>
          <w:rFonts w:ascii="Times New Roman" w:hAnsi="Times New Roman" w:cs="Times New Roman"/>
          <w:sz w:val="26"/>
          <w:szCs w:val="26"/>
        </w:rPr>
        <w:t xml:space="preserve">Из сравнения </w:t>
      </w:r>
      <w:r w:rsidRPr="00F562A8">
        <w:rPr>
          <w:rFonts w:ascii="Times New Roman" w:hAnsi="Times New Roman" w:cs="Times New Roman"/>
          <w:sz w:val="26"/>
          <w:szCs w:val="26"/>
          <w:lang w:val="en-US"/>
        </w:rPr>
        <w:t>F</w:t>
      </w:r>
      <w:r w:rsidRPr="00F562A8">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45FB2853" w14:textId="1243E700" w:rsidR="00306BF5" w:rsidRPr="00F562A8" w:rsidRDefault="004D65DB" w:rsidP="006F6435">
      <w:pPr>
        <w:spacing w:after="0" w:line="276" w:lineRule="auto"/>
        <w:jc w:val="center"/>
        <w:rPr>
          <w:rFonts w:ascii="Times New Roman" w:hAnsi="Times New Roman" w:cs="Times New Roman"/>
          <w:i/>
          <w:szCs w:val="24"/>
        </w:rPr>
      </w:pPr>
      <w:r w:rsidRPr="0029082C">
        <w:rPr>
          <w:b/>
          <w:noProof/>
          <w:lang w:eastAsia="ru-RU"/>
        </w:rPr>
        <w:drawing>
          <wp:inline distT="0" distB="0" distL="0" distR="0" wp14:anchorId="26EF0DF3" wp14:editId="72B81CBF">
            <wp:extent cx="5523282" cy="4086225"/>
            <wp:effectExtent l="0" t="0" r="127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5525928" cy="4088183"/>
                    </a:xfrm>
                    <a:prstGeom prst="rect">
                      <a:avLst/>
                    </a:prstGeom>
                  </pic:spPr>
                </pic:pic>
              </a:graphicData>
            </a:graphic>
          </wp:inline>
        </w:drawing>
      </w:r>
    </w:p>
    <w:p w14:paraId="4F46DF7A" w14:textId="1FCE0DEE" w:rsidR="00306BF5" w:rsidRPr="00F562A8" w:rsidRDefault="00306BF5" w:rsidP="006F6435">
      <w:pPr>
        <w:spacing w:after="0" w:line="276" w:lineRule="auto"/>
        <w:ind w:firstLine="709"/>
        <w:jc w:val="center"/>
        <w:rPr>
          <w:rFonts w:ascii="Times New Roman" w:hAnsi="Times New Roman" w:cs="Times New Roman"/>
          <w:sz w:val="26"/>
          <w:szCs w:val="26"/>
        </w:rPr>
      </w:pPr>
      <w:r w:rsidRPr="00F562A8">
        <w:rPr>
          <w:rFonts w:ascii="Times New Roman" w:hAnsi="Times New Roman" w:cs="Times New Roman"/>
          <w:sz w:val="26"/>
          <w:szCs w:val="26"/>
        </w:rPr>
        <w:t>Рис.</w:t>
      </w:r>
      <w:r w:rsidR="000875AD" w:rsidRPr="00F562A8">
        <w:rPr>
          <w:rFonts w:ascii="Times New Roman" w:hAnsi="Times New Roman" w:cs="Times New Roman"/>
          <w:sz w:val="26"/>
          <w:szCs w:val="26"/>
        </w:rPr>
        <w:t xml:space="preserve"> 3.6.13.</w:t>
      </w:r>
      <w:r w:rsidR="00142E4F">
        <w:rPr>
          <w:rFonts w:ascii="Times New Roman" w:hAnsi="Times New Roman" w:cs="Times New Roman"/>
          <w:sz w:val="26"/>
          <w:szCs w:val="26"/>
        </w:rPr>
        <w:t>8</w:t>
      </w:r>
      <w:r w:rsidR="00AD7CE0">
        <w:rPr>
          <w:rFonts w:ascii="Times New Roman" w:hAnsi="Times New Roman" w:cs="Times New Roman"/>
          <w:sz w:val="26"/>
          <w:szCs w:val="26"/>
        </w:rPr>
        <w:t>.4</w:t>
      </w:r>
      <w:r w:rsidR="000875AD" w:rsidRPr="00F562A8">
        <w:rPr>
          <w:rFonts w:ascii="Times New Roman" w:hAnsi="Times New Roman" w:cs="Times New Roman"/>
          <w:sz w:val="26"/>
          <w:szCs w:val="26"/>
        </w:rPr>
        <w:t xml:space="preserve"> </w:t>
      </w:r>
      <w:r w:rsidRPr="00F562A8">
        <w:rPr>
          <w:rFonts w:ascii="Times New Roman" w:hAnsi="Times New Roman" w:cs="Times New Roman"/>
          <w:sz w:val="26"/>
          <w:szCs w:val="26"/>
        </w:rPr>
        <w:t>- Характеристика экспоненциальной модели и анализ качества выборки</w:t>
      </w:r>
    </w:p>
    <w:p w14:paraId="5EF883BE" w14:textId="4C140C8D" w:rsidR="00306BF5" w:rsidRPr="00F562A8" w:rsidRDefault="00306BF5" w:rsidP="006F6435">
      <w:pPr>
        <w:spacing w:after="0" w:line="276" w:lineRule="auto"/>
        <w:ind w:firstLine="709"/>
        <w:jc w:val="both"/>
        <w:rPr>
          <w:rFonts w:ascii="Times New Roman" w:hAnsi="Times New Roman" w:cs="Times New Roman"/>
          <w:sz w:val="26"/>
          <w:szCs w:val="26"/>
        </w:rPr>
      </w:pPr>
      <w:r w:rsidRPr="00F562A8">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w:t>
      </w:r>
      <w:r w:rsidR="00AA6779">
        <w:rPr>
          <w:rFonts w:ascii="Times New Roman" w:hAnsi="Times New Roman" w:cs="Times New Roman"/>
          <w:sz w:val="26"/>
          <w:szCs w:val="26"/>
        </w:rPr>
        <w:t>о</w:t>
      </w:r>
      <w:r w:rsidRPr="00F562A8">
        <w:rPr>
          <w:rFonts w:ascii="Times New Roman" w:hAnsi="Times New Roman" w:cs="Times New Roman"/>
          <w:sz w:val="26"/>
          <w:szCs w:val="26"/>
        </w:rPr>
        <w:t>м Х</w:t>
      </w:r>
      <w:r w:rsidRPr="00F562A8">
        <w:rPr>
          <w:rFonts w:ascii="Times New Roman" w:hAnsi="Times New Roman" w:cs="Times New Roman"/>
          <w:sz w:val="26"/>
          <w:szCs w:val="26"/>
          <w:vertAlign w:val="subscript"/>
        </w:rPr>
        <w:t>1</w:t>
      </w:r>
      <w:r w:rsidRPr="00F562A8">
        <w:rPr>
          <w:rFonts w:ascii="Times New Roman" w:hAnsi="Times New Roman" w:cs="Times New Roman"/>
          <w:sz w:val="26"/>
          <w:szCs w:val="26"/>
        </w:rPr>
        <w:t xml:space="preserve"> и кадастровой стоимостью обратная, то есть при росте эт</w:t>
      </w:r>
      <w:r w:rsidR="00AA6779">
        <w:rPr>
          <w:rFonts w:ascii="Times New Roman" w:hAnsi="Times New Roman" w:cs="Times New Roman"/>
          <w:sz w:val="26"/>
          <w:szCs w:val="26"/>
        </w:rPr>
        <w:t>ого</w:t>
      </w:r>
      <w:r w:rsidRPr="00F562A8">
        <w:rPr>
          <w:rFonts w:ascii="Times New Roman" w:hAnsi="Times New Roman" w:cs="Times New Roman"/>
          <w:sz w:val="26"/>
          <w:szCs w:val="26"/>
        </w:rPr>
        <w:t xml:space="preserve"> фактор</w:t>
      </w:r>
      <w:r w:rsidR="00AA6779">
        <w:rPr>
          <w:rFonts w:ascii="Times New Roman" w:hAnsi="Times New Roman" w:cs="Times New Roman"/>
          <w:sz w:val="26"/>
          <w:szCs w:val="26"/>
        </w:rPr>
        <w:t>а</w:t>
      </w:r>
      <w:r w:rsidRPr="00F562A8">
        <w:rPr>
          <w:rFonts w:ascii="Times New Roman" w:hAnsi="Times New Roman" w:cs="Times New Roman"/>
          <w:sz w:val="26"/>
          <w:szCs w:val="26"/>
        </w:rPr>
        <w:t xml:space="preserve"> кадастровая стоимость уменьшается. 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74600C22" w14:textId="772641B6" w:rsidR="002D0712" w:rsidRPr="00DC7772" w:rsidRDefault="00153B5F" w:rsidP="00D97FE2">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20300CFE" w14:textId="44D1C898" w:rsidR="001416BE" w:rsidRPr="00DC7772" w:rsidRDefault="001416BE" w:rsidP="00D97FE2">
      <w:pPr>
        <w:spacing w:after="0" w:line="276" w:lineRule="auto"/>
        <w:ind w:firstLine="709"/>
        <w:jc w:val="both"/>
        <w:rPr>
          <w:rFonts w:ascii="Times New Roman" w:eastAsiaTheme="minorEastAsia" w:hAnsi="Times New Roman" w:cs="Times New Roman"/>
          <w:sz w:val="26"/>
          <w:szCs w:val="26"/>
        </w:rPr>
      </w:pPr>
    </w:p>
    <w:p w14:paraId="5F8455CE" w14:textId="36921AE9" w:rsidR="001416BE" w:rsidRPr="005F211C" w:rsidRDefault="001416BE" w:rsidP="001416BE">
      <w:pPr>
        <w:pStyle w:val="ab"/>
        <w:ind w:left="0"/>
        <w:jc w:val="center"/>
        <w:outlineLvl w:val="2"/>
        <w:rPr>
          <w:rFonts w:ascii="Times New Roman" w:hAnsi="Times New Roman" w:cs="Times New Roman"/>
          <w:i/>
          <w:sz w:val="26"/>
          <w:szCs w:val="26"/>
        </w:rPr>
      </w:pPr>
      <w:bookmarkStart w:id="307" w:name="_Toc110507033"/>
      <w:r w:rsidRPr="00DC7772">
        <w:rPr>
          <w:rFonts w:ascii="Times New Roman" w:hAnsi="Times New Roman" w:cs="Times New Roman"/>
          <w:i/>
          <w:sz w:val="26"/>
          <w:szCs w:val="26"/>
        </w:rPr>
        <w:t>3.6.13.</w:t>
      </w:r>
      <w:r w:rsidR="008D2C72" w:rsidRPr="00DC7772">
        <w:rPr>
          <w:rFonts w:ascii="Times New Roman" w:hAnsi="Times New Roman" w:cs="Times New Roman"/>
          <w:i/>
          <w:sz w:val="26"/>
          <w:szCs w:val="26"/>
        </w:rPr>
        <w:t>9</w:t>
      </w:r>
      <w:r w:rsidRPr="00DC7772">
        <w:rPr>
          <w:rFonts w:ascii="Times New Roman" w:hAnsi="Times New Roman" w:cs="Times New Roman"/>
          <w:i/>
          <w:sz w:val="26"/>
          <w:szCs w:val="26"/>
        </w:rPr>
        <w:t>. Расчет кадастровой стоимости земельных участков группы СОД/2</w:t>
      </w:r>
      <w:r w:rsidRPr="005F211C">
        <w:rPr>
          <w:rFonts w:ascii="Times New Roman" w:hAnsi="Times New Roman" w:cs="Times New Roman"/>
          <w:i/>
          <w:sz w:val="26"/>
          <w:szCs w:val="26"/>
        </w:rPr>
        <w:t xml:space="preserve"> группа</w:t>
      </w:r>
      <w:bookmarkEnd w:id="307"/>
    </w:p>
    <w:p w14:paraId="72DCA570" w14:textId="65093F04" w:rsidR="001416BE" w:rsidRPr="005F211C" w:rsidRDefault="001416BE" w:rsidP="001416BE">
      <w:pPr>
        <w:spacing w:after="0" w:line="276" w:lineRule="auto"/>
        <w:ind w:firstLine="709"/>
        <w:jc w:val="both"/>
        <w:rPr>
          <w:rFonts w:ascii="Times New Roman" w:eastAsiaTheme="minorEastAsia" w:hAnsi="Times New Roman" w:cs="Times New Roman"/>
          <w:sz w:val="26"/>
          <w:szCs w:val="26"/>
        </w:rPr>
      </w:pPr>
      <w:r w:rsidRPr="005F211C">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74050AAB" w14:textId="79918366" w:rsidR="0094430F" w:rsidRPr="00882B4D" w:rsidRDefault="0094430F" w:rsidP="0094430F">
      <w:pPr>
        <w:spacing w:after="0" w:line="300" w:lineRule="auto"/>
        <w:ind w:firstLine="709"/>
        <w:jc w:val="both"/>
        <w:rPr>
          <w:rFonts w:ascii="Times New Roman" w:eastAsiaTheme="minorEastAsia" w:hAnsi="Times New Roman" w:cs="Times New Roman"/>
          <w:sz w:val="26"/>
          <w:szCs w:val="26"/>
        </w:rPr>
      </w:pPr>
      <w:r w:rsidRPr="00882B4D">
        <w:rPr>
          <w:rFonts w:ascii="Times New Roman" w:eastAsiaTheme="minorEastAsia" w:hAnsi="Times New Roman" w:cs="Times New Roman"/>
          <w:sz w:val="26"/>
          <w:szCs w:val="26"/>
        </w:rPr>
        <w:t xml:space="preserve">В состав группы </w:t>
      </w:r>
      <w:r w:rsidRPr="00D8590B">
        <w:rPr>
          <w:rFonts w:ascii="Times New Roman" w:hAnsi="Times New Roman" w:cs="Times New Roman"/>
          <w:sz w:val="26"/>
          <w:szCs w:val="26"/>
        </w:rPr>
        <w:t>СОД/</w:t>
      </w:r>
      <w:r>
        <w:rPr>
          <w:rFonts w:ascii="Times New Roman" w:hAnsi="Times New Roman" w:cs="Times New Roman"/>
          <w:sz w:val="26"/>
          <w:szCs w:val="26"/>
        </w:rPr>
        <w:t>2</w:t>
      </w:r>
      <w:r w:rsidRPr="00AC3047">
        <w:rPr>
          <w:rFonts w:ascii="Times New Roman" w:hAnsi="Times New Roman" w:cs="Times New Roman"/>
          <w:sz w:val="26"/>
          <w:szCs w:val="26"/>
        </w:rPr>
        <w:t xml:space="preserve"> группа</w:t>
      </w:r>
      <w:r w:rsidRPr="00F562A8">
        <w:rPr>
          <w:rFonts w:ascii="Times New Roman" w:hAnsi="Times New Roman" w:cs="Times New Roman"/>
          <w:sz w:val="26"/>
          <w:szCs w:val="26"/>
        </w:rPr>
        <w:t xml:space="preserve"> </w:t>
      </w:r>
      <w:r w:rsidRPr="00882B4D">
        <w:rPr>
          <w:rFonts w:ascii="Times New Roman" w:eastAsiaTheme="minorEastAsia" w:hAnsi="Times New Roman" w:cs="Times New Roman"/>
          <w:sz w:val="26"/>
          <w:szCs w:val="26"/>
        </w:rPr>
        <w:t xml:space="preserve">вошли следующие коды расчета видов использования: </w:t>
      </w:r>
      <w:r w:rsidRPr="00661AF6">
        <w:rPr>
          <w:rFonts w:ascii="Times New Roman" w:eastAsiaTheme="minorEastAsia" w:hAnsi="Times New Roman" w:cs="Times New Roman"/>
          <w:sz w:val="26"/>
          <w:szCs w:val="26"/>
        </w:rPr>
        <w:t>13:011, 13:021</w:t>
      </w:r>
      <w:r w:rsidRPr="00882B4D">
        <w:rPr>
          <w:rFonts w:ascii="Times New Roman" w:eastAsiaTheme="minorEastAsia" w:hAnsi="Times New Roman" w:cs="Times New Roman"/>
          <w:sz w:val="26"/>
          <w:szCs w:val="26"/>
        </w:rPr>
        <w:t>.</w:t>
      </w:r>
    </w:p>
    <w:p w14:paraId="15C39F38" w14:textId="589588D6" w:rsidR="001416BE" w:rsidRPr="005F211C" w:rsidRDefault="001416BE" w:rsidP="001416BE">
      <w:pPr>
        <w:spacing w:after="0"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При расчете кадастровой стоимости земельных участков группы СОД/2 группа использовались методы математической статистики, а именно для выявления взаимосвязей между факторами методы корреляционного анализа, для описания выявленных зависимостей методы множественного регрессионного анализа, для обоснования значимости параметров регрессии и адекватности полученной модели методы проверки статистических гипотез. В результате применения описанных методов в каждом конкретном случае эмпирических данных строилась статистическая модель оценки.</w:t>
      </w:r>
    </w:p>
    <w:p w14:paraId="0CBFDF9E" w14:textId="29AFBBC9" w:rsidR="001416BE" w:rsidRPr="005F211C" w:rsidRDefault="00F77023"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Согласно п.45.1.1 Указаний</w:t>
      </w:r>
      <w:r w:rsidR="001416BE" w:rsidRPr="005F211C">
        <w:rPr>
          <w:rFonts w:ascii="Times New Roman" w:hAnsi="Times New Roman" w:cs="Times New Roman"/>
          <w:sz w:val="26"/>
          <w:szCs w:val="26"/>
        </w:rPr>
        <w:t>, 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14:paraId="37F273AF"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Порядок подготовки и построения модели оценки кадастровой стоимости включает:</w:t>
      </w:r>
    </w:p>
    <w:p w14:paraId="6B4CDEC2"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14:paraId="7F0A9EAD"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14:paraId="557649C2"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3) определение общего вида функций, связывающих зависимую переменную с каждым из ценообразующих факторов;</w:t>
      </w:r>
    </w:p>
    <w:p w14:paraId="35F87B82"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14:paraId="18A6F083"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5) анализ показателей качества статистической модели.</w:t>
      </w:r>
    </w:p>
    <w:p w14:paraId="76470AC1" w14:textId="77777777" w:rsidR="00B422FF" w:rsidRDefault="001416BE" w:rsidP="00B422FF">
      <w:pPr>
        <w:spacing w:after="0"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 xml:space="preserve">Для расчета кадастровой стоимости земельных участков, расположенных в </w:t>
      </w:r>
      <w:r w:rsidR="0077389F" w:rsidRPr="00AC3047">
        <w:rPr>
          <w:rFonts w:ascii="Times New Roman" w:hAnsi="Times New Roman" w:cs="Times New Roman"/>
          <w:sz w:val="26"/>
          <w:szCs w:val="26"/>
        </w:rPr>
        <w:t>СОД/</w:t>
      </w:r>
      <w:r w:rsidR="0077389F">
        <w:rPr>
          <w:rFonts w:ascii="Times New Roman" w:hAnsi="Times New Roman" w:cs="Times New Roman"/>
          <w:sz w:val="26"/>
          <w:szCs w:val="26"/>
        </w:rPr>
        <w:t>2</w:t>
      </w:r>
      <w:r w:rsidR="0077389F" w:rsidRPr="00AC3047">
        <w:rPr>
          <w:rFonts w:ascii="Times New Roman" w:hAnsi="Times New Roman" w:cs="Times New Roman"/>
          <w:sz w:val="26"/>
          <w:szCs w:val="26"/>
        </w:rPr>
        <w:t xml:space="preserve"> </w:t>
      </w:r>
      <w:r w:rsidR="00310F59" w:rsidRPr="00AC3047">
        <w:rPr>
          <w:rFonts w:ascii="Times New Roman" w:hAnsi="Times New Roman" w:cs="Times New Roman"/>
          <w:sz w:val="26"/>
          <w:szCs w:val="26"/>
        </w:rPr>
        <w:t>группа</w:t>
      </w:r>
      <w:r w:rsidR="00310F59">
        <w:rPr>
          <w:rFonts w:ascii="Times New Roman" w:hAnsi="Times New Roman" w:cs="Times New Roman"/>
          <w:sz w:val="26"/>
          <w:szCs w:val="26"/>
        </w:rPr>
        <w:t xml:space="preserve">, </w:t>
      </w:r>
      <w:r w:rsidR="00310F59" w:rsidRPr="00037844">
        <w:rPr>
          <w:rFonts w:ascii="Times New Roman" w:hAnsi="Times New Roman" w:cs="Times New Roman"/>
          <w:sz w:val="26"/>
          <w:szCs w:val="26"/>
        </w:rPr>
        <w:t>районы</w:t>
      </w:r>
      <w:r w:rsidR="00310F59">
        <w:rPr>
          <w:rFonts w:ascii="Times New Roman" w:hAnsi="Times New Roman" w:cs="Times New Roman"/>
          <w:sz w:val="26"/>
          <w:szCs w:val="26"/>
        </w:rPr>
        <w:t xml:space="preserve"> расположенные на удаленности от областного центра </w:t>
      </w:r>
      <w:r w:rsidR="00F77543">
        <w:rPr>
          <w:rFonts w:ascii="Times New Roman" w:hAnsi="Times New Roman" w:cs="Times New Roman"/>
          <w:sz w:val="26"/>
          <w:szCs w:val="26"/>
        </w:rPr>
        <w:t>(</w:t>
      </w:r>
      <w:r w:rsidR="00310F59">
        <w:rPr>
          <w:rFonts w:ascii="Times New Roman" w:hAnsi="Times New Roman" w:cs="Times New Roman"/>
          <w:sz w:val="26"/>
          <w:szCs w:val="26"/>
        </w:rPr>
        <w:t>г. Воронежа</w:t>
      </w:r>
      <w:r w:rsidR="00F77543">
        <w:rPr>
          <w:rFonts w:ascii="Times New Roman" w:hAnsi="Times New Roman" w:cs="Times New Roman"/>
          <w:sz w:val="26"/>
          <w:szCs w:val="26"/>
        </w:rPr>
        <w:t>)</w:t>
      </w:r>
      <w:r w:rsidR="0077389F">
        <w:rPr>
          <w:rFonts w:ascii="Times New Roman" w:hAnsi="Times New Roman" w:cs="Times New Roman"/>
          <w:sz w:val="26"/>
          <w:szCs w:val="26"/>
        </w:rPr>
        <w:t xml:space="preserve"> </w:t>
      </w:r>
      <w:r w:rsidRPr="005F211C">
        <w:rPr>
          <w:rFonts w:ascii="Times New Roman" w:hAnsi="Times New Roman" w:cs="Times New Roman"/>
          <w:sz w:val="26"/>
          <w:szCs w:val="26"/>
        </w:rPr>
        <w:t xml:space="preserve">ставится задача статистическими методами определить влияние ценообразующих факторов на кадастровую стоимость земельных участков данной группы объектов. Результирующий признак </w:t>
      </w:r>
      <w:r w:rsidRPr="005F211C">
        <w:rPr>
          <w:rFonts w:ascii="Times New Roman" w:hAnsi="Times New Roman" w:cs="Times New Roman"/>
          <w:sz w:val="26"/>
          <w:szCs w:val="26"/>
          <w:lang w:val="en-US"/>
        </w:rPr>
        <w:t>Y</w:t>
      </w:r>
      <w:r w:rsidRPr="005F211C">
        <w:rPr>
          <w:rFonts w:ascii="Times New Roman" w:hAnsi="Times New Roman" w:cs="Times New Roman"/>
          <w:sz w:val="26"/>
          <w:szCs w:val="26"/>
        </w:rPr>
        <w:t xml:space="preserve">- кадастровая стоимость и факторы, на него влияющие </w:t>
      </w:r>
      <w:r w:rsidRPr="005F211C">
        <w:rPr>
          <w:rFonts w:ascii="Times New Roman" w:hAnsi="Times New Roman" w:cs="Times New Roman"/>
          <w:sz w:val="26"/>
          <w:szCs w:val="26"/>
          <w:lang w:val="en-US"/>
        </w:rPr>
        <w:t>X</w:t>
      </w:r>
      <w:r w:rsidRPr="005F211C">
        <w:rPr>
          <w:rFonts w:ascii="Times New Roman" w:hAnsi="Times New Roman" w:cs="Times New Roman"/>
          <w:sz w:val="26"/>
          <w:szCs w:val="26"/>
          <w:vertAlign w:val="subscript"/>
          <w:lang w:val="en-US"/>
        </w:rPr>
        <w:t>i</w:t>
      </w:r>
      <w:r w:rsidRPr="005F211C">
        <w:rPr>
          <w:rFonts w:ascii="Times New Roman" w:hAnsi="Times New Roman" w:cs="Times New Roman"/>
          <w:sz w:val="26"/>
          <w:szCs w:val="26"/>
        </w:rPr>
        <w:t xml:space="preserve">, где </w:t>
      </w:r>
      <w:r w:rsidRPr="005F211C">
        <w:rPr>
          <w:rFonts w:ascii="Times New Roman" w:hAnsi="Times New Roman" w:cs="Times New Roman"/>
          <w:sz w:val="26"/>
          <w:szCs w:val="26"/>
          <w:lang w:val="en-US"/>
        </w:rPr>
        <w:t>i</w:t>
      </w:r>
      <w:r w:rsidRPr="005F211C">
        <w:rPr>
          <w:rFonts w:ascii="Times New Roman" w:hAnsi="Times New Roman" w:cs="Times New Roman"/>
          <w:sz w:val="26"/>
          <w:szCs w:val="26"/>
        </w:rPr>
        <w:t xml:space="preserve">=1, …, 17 </w:t>
      </w:r>
      <w:r w:rsidR="00B422FF" w:rsidRPr="00F562A8">
        <w:rPr>
          <w:rFonts w:ascii="Times New Roman" w:hAnsi="Times New Roman" w:cs="Times New Roman"/>
          <w:sz w:val="26"/>
          <w:szCs w:val="26"/>
        </w:rPr>
        <w:t>представлены в таблиц</w:t>
      </w:r>
      <w:r w:rsidR="00B422FF">
        <w:rPr>
          <w:rFonts w:ascii="Times New Roman" w:hAnsi="Times New Roman" w:cs="Times New Roman"/>
          <w:sz w:val="26"/>
          <w:szCs w:val="26"/>
        </w:rPr>
        <w:t>ах</w:t>
      </w:r>
      <w:r w:rsidR="00B422FF" w:rsidRPr="00F562A8">
        <w:rPr>
          <w:rFonts w:ascii="Times New Roman" w:hAnsi="Times New Roman" w:cs="Times New Roman"/>
          <w:sz w:val="26"/>
          <w:szCs w:val="26"/>
        </w:rPr>
        <w:t xml:space="preserve"> </w:t>
      </w:r>
      <w:r w:rsidR="00B422FF" w:rsidRPr="00F562A8">
        <w:rPr>
          <w:rFonts w:ascii="Times New Roman" w:eastAsia="Times New Roman" w:hAnsi="Times New Roman" w:cs="Times New Roman"/>
          <w:sz w:val="26"/>
          <w:szCs w:val="26"/>
        </w:rPr>
        <w:t>3.</w:t>
      </w:r>
      <w:r w:rsidR="00B422FF">
        <w:rPr>
          <w:rFonts w:ascii="Times New Roman" w:eastAsia="Times New Roman" w:hAnsi="Times New Roman" w:cs="Times New Roman"/>
          <w:sz w:val="26"/>
          <w:szCs w:val="26"/>
        </w:rPr>
        <w:t>4 и 3.5, пунктов 3.4 и 3.5 соответственно</w:t>
      </w:r>
      <w:r w:rsidR="00B422FF" w:rsidRPr="00F562A8">
        <w:rPr>
          <w:rFonts w:ascii="Times New Roman" w:hAnsi="Times New Roman" w:cs="Times New Roman"/>
          <w:sz w:val="26"/>
          <w:szCs w:val="26"/>
        </w:rPr>
        <w:t>.</w:t>
      </w:r>
      <w:r w:rsidR="00B422FF">
        <w:rPr>
          <w:rFonts w:ascii="Times New Roman" w:hAnsi="Times New Roman" w:cs="Times New Roman"/>
          <w:sz w:val="26"/>
          <w:szCs w:val="26"/>
        </w:rPr>
        <w:t xml:space="preserve"> </w:t>
      </w:r>
    </w:p>
    <w:p w14:paraId="7F36F77F" w14:textId="77777777" w:rsidR="001416BE" w:rsidRPr="005F211C" w:rsidRDefault="001416BE" w:rsidP="001416BE">
      <w:pPr>
        <w:spacing w:after="0"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Для выбора метода регрессионного анализа была осуществлена проверка нормальности распределения случайных величин, которые представлены выборочными данными. Было показано, что все факторы и результативный признак (зависимая переменная) распределены по закону, близкому к нормальному. Это дает основание использовать параметрические методы регрессионного и корреляционного анализа для нормального распределения генеральных совокупностей.</w:t>
      </w:r>
    </w:p>
    <w:p w14:paraId="7AC1C2A9" w14:textId="77777777" w:rsidR="001416BE" w:rsidRPr="005F211C" w:rsidRDefault="001416BE" w:rsidP="001416BE">
      <w:pPr>
        <w:spacing w:after="0"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 xml:space="preserve">Затем проведена процедура отбора факторов, оказывающих наибольшее влияние на результативный признак. Для этого, была построена корреляционная матрица. Отбор проводился по отсутствию мультиколлинеарности между факторами и по наличию значимого влияния каждого фактора на результирующий признак. </w:t>
      </w:r>
    </w:p>
    <w:p w14:paraId="7655D397" w14:textId="77777777" w:rsidR="001416BE" w:rsidRPr="005F211C" w:rsidRDefault="001416BE" w:rsidP="001416BE">
      <w:pPr>
        <w:spacing w:after="0"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В данном случае таких факторов было выявлено 4:</w:t>
      </w:r>
    </w:p>
    <w:p w14:paraId="7027E633" w14:textId="2857C56E" w:rsidR="001416BE" w:rsidRPr="005F211C" w:rsidRDefault="001416BE" w:rsidP="001416BE">
      <w:pPr>
        <w:spacing w:after="0"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 xml:space="preserve">- </w:t>
      </w:r>
      <w:r w:rsidR="003A210F" w:rsidRPr="005F211C">
        <w:rPr>
          <w:rFonts w:ascii="Times New Roman" w:hAnsi="Times New Roman" w:cs="Times New Roman"/>
          <w:sz w:val="26"/>
          <w:szCs w:val="26"/>
        </w:rPr>
        <w:t>наличие в населенном пункте центрального водоснабжения</w:t>
      </w:r>
      <w:r w:rsidRPr="005F211C">
        <w:t xml:space="preserve">: </w:t>
      </w:r>
      <w:r w:rsidR="00FC1EE0" w:rsidRPr="005F211C">
        <w:rPr>
          <w:rFonts w:ascii="Times New Roman" w:hAnsi="Times New Roman" w:cs="Times New Roman"/>
          <w:sz w:val="26"/>
          <w:szCs w:val="26"/>
        </w:rPr>
        <w:t>Х</w:t>
      </w:r>
      <w:r w:rsidR="00FC1EE0" w:rsidRPr="005F211C">
        <w:rPr>
          <w:rFonts w:ascii="Times New Roman" w:hAnsi="Times New Roman" w:cs="Times New Roman"/>
          <w:sz w:val="26"/>
          <w:szCs w:val="26"/>
          <w:vertAlign w:val="subscript"/>
        </w:rPr>
        <w:t>0</w:t>
      </w:r>
      <w:r w:rsidRPr="005F211C">
        <w:rPr>
          <w:rFonts w:ascii="Times New Roman" w:hAnsi="Times New Roman" w:cs="Times New Roman"/>
          <w:sz w:val="26"/>
          <w:szCs w:val="26"/>
        </w:rPr>
        <w:t>;</w:t>
      </w:r>
    </w:p>
    <w:p w14:paraId="45B72192" w14:textId="48AB8C95" w:rsidR="001416BE" w:rsidRPr="005F211C" w:rsidRDefault="001416BE" w:rsidP="001416BE">
      <w:pPr>
        <w:spacing w:after="0"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 xml:space="preserve">- </w:t>
      </w:r>
      <w:r w:rsidR="003A210F" w:rsidRPr="005F211C">
        <w:rPr>
          <w:rFonts w:ascii="Times New Roman" w:hAnsi="Times New Roman" w:cs="Times New Roman"/>
          <w:sz w:val="26"/>
          <w:szCs w:val="26"/>
        </w:rPr>
        <w:t>наличие дороги с твердым покрытием</w:t>
      </w:r>
      <w:r w:rsidRPr="005F211C">
        <w:rPr>
          <w:rFonts w:ascii="Times New Roman" w:hAnsi="Times New Roman" w:cs="Times New Roman"/>
          <w:sz w:val="26"/>
          <w:szCs w:val="26"/>
        </w:rPr>
        <w:t>: Х</w:t>
      </w:r>
      <w:r w:rsidR="00F5269C">
        <w:rPr>
          <w:rFonts w:ascii="Times New Roman" w:hAnsi="Times New Roman" w:cs="Times New Roman"/>
          <w:sz w:val="26"/>
          <w:szCs w:val="26"/>
          <w:vertAlign w:val="subscript"/>
        </w:rPr>
        <w:t>1</w:t>
      </w:r>
      <w:r w:rsidRPr="005F211C">
        <w:rPr>
          <w:rFonts w:ascii="Times New Roman" w:hAnsi="Times New Roman" w:cs="Times New Roman"/>
          <w:sz w:val="26"/>
          <w:szCs w:val="26"/>
        </w:rPr>
        <w:t>;</w:t>
      </w:r>
    </w:p>
    <w:p w14:paraId="1D8FBF60" w14:textId="5727929D" w:rsidR="001416BE" w:rsidRDefault="001416BE" w:rsidP="001416BE">
      <w:pPr>
        <w:spacing w:after="0" w:line="276" w:lineRule="auto"/>
        <w:ind w:firstLine="709"/>
        <w:jc w:val="both"/>
        <w:rPr>
          <w:rFonts w:ascii="Times New Roman" w:hAnsi="Times New Roman" w:cs="Times New Roman"/>
          <w:sz w:val="26"/>
          <w:szCs w:val="26"/>
          <w:vertAlign w:val="subscript"/>
        </w:rPr>
      </w:pPr>
      <w:r w:rsidRPr="005F211C">
        <w:rPr>
          <w:rFonts w:ascii="Times New Roman" w:hAnsi="Times New Roman" w:cs="Times New Roman"/>
          <w:sz w:val="26"/>
          <w:szCs w:val="26"/>
        </w:rPr>
        <w:t xml:space="preserve">- </w:t>
      </w:r>
      <w:r w:rsidR="003A210F" w:rsidRPr="005F211C">
        <w:rPr>
          <w:rFonts w:ascii="Times New Roman" w:hAnsi="Times New Roman" w:cs="Times New Roman"/>
          <w:sz w:val="26"/>
          <w:szCs w:val="26"/>
        </w:rPr>
        <w:t>расстояние от населенного пункта до центра субъекта РФ (г. Воронеж)</w:t>
      </w:r>
      <w:r w:rsidRPr="005F211C">
        <w:rPr>
          <w:rFonts w:ascii="Times New Roman" w:hAnsi="Times New Roman" w:cs="Times New Roman"/>
          <w:sz w:val="26"/>
          <w:szCs w:val="26"/>
        </w:rPr>
        <w:t>: Х</w:t>
      </w:r>
      <w:r w:rsidR="00F5269C">
        <w:rPr>
          <w:rFonts w:ascii="Times New Roman" w:hAnsi="Times New Roman" w:cs="Times New Roman"/>
          <w:sz w:val="26"/>
          <w:szCs w:val="26"/>
          <w:vertAlign w:val="subscript"/>
        </w:rPr>
        <w:t>2;</w:t>
      </w:r>
    </w:p>
    <w:p w14:paraId="2E35B892" w14:textId="45581D67" w:rsidR="00F5269C" w:rsidRPr="005F211C" w:rsidRDefault="00F5269C" w:rsidP="001416BE">
      <w:pPr>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код района: </w:t>
      </w:r>
      <w:r w:rsidRPr="005F211C">
        <w:rPr>
          <w:rFonts w:ascii="Times New Roman" w:hAnsi="Times New Roman" w:cs="Times New Roman"/>
          <w:sz w:val="26"/>
          <w:szCs w:val="26"/>
        </w:rPr>
        <w:t>Х</w:t>
      </w:r>
      <w:r w:rsidRPr="005F211C">
        <w:rPr>
          <w:rFonts w:ascii="Times New Roman" w:hAnsi="Times New Roman" w:cs="Times New Roman"/>
          <w:sz w:val="26"/>
          <w:szCs w:val="26"/>
          <w:vertAlign w:val="subscript"/>
        </w:rPr>
        <w:t>3</w:t>
      </w:r>
      <w:r>
        <w:rPr>
          <w:rFonts w:ascii="Times New Roman" w:hAnsi="Times New Roman" w:cs="Times New Roman"/>
          <w:sz w:val="26"/>
          <w:szCs w:val="26"/>
          <w:vertAlign w:val="subscript"/>
        </w:rPr>
        <w:t>.</w:t>
      </w:r>
    </w:p>
    <w:p w14:paraId="2EAD777B" w14:textId="77777777" w:rsidR="001416BE" w:rsidRPr="005F211C" w:rsidRDefault="001416BE" w:rsidP="001416BE">
      <w:pPr>
        <w:spacing w:after="0"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 xml:space="preserve">Исследование проводилось на уровне значимости 5% (α=0,05 вероятность совершения статистической ошибки первого рода). </w:t>
      </w:r>
    </w:p>
    <w:p w14:paraId="4FCD669A" w14:textId="77777777" w:rsidR="001416BE" w:rsidRPr="005F211C" w:rsidRDefault="001416BE" w:rsidP="001416BE">
      <w:pPr>
        <w:spacing w:after="0"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 xml:space="preserve">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видом функции влияния для каждого ценообразующего фактора. Полученные функции влияния каждого ценообразующего фактора подвергаются анализу значимости коэффициентов и адекватности вида регрессионной модели на соответствие выявленным закономерностям ценообразования. </w:t>
      </w:r>
    </w:p>
    <w:p w14:paraId="15E5EF46" w14:textId="77777777" w:rsidR="001416BE" w:rsidRPr="005F211C" w:rsidRDefault="001416BE" w:rsidP="001416BE">
      <w:pPr>
        <w:spacing w:after="0"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На основании отбора факторов были построены множественные регрессионные трехфакторные модели:</w:t>
      </w:r>
    </w:p>
    <w:p w14:paraId="3119154A" w14:textId="77777777" w:rsidR="001416BE" w:rsidRPr="005F211C" w:rsidRDefault="001416BE" w:rsidP="001416BE">
      <w:pPr>
        <w:spacing w:after="0" w:line="276" w:lineRule="auto"/>
        <w:ind w:firstLine="709"/>
        <w:jc w:val="both"/>
        <w:rPr>
          <w:rFonts w:ascii="Times New Roman" w:hAnsi="Times New Roman" w:cs="Times New Roman"/>
          <w:i/>
          <w:sz w:val="26"/>
          <w:szCs w:val="26"/>
        </w:rPr>
      </w:pPr>
      <w:r w:rsidRPr="005F211C">
        <w:rPr>
          <w:rFonts w:ascii="Times New Roman" w:hAnsi="Times New Roman" w:cs="Times New Roman"/>
          <w:sz w:val="26"/>
          <w:szCs w:val="26"/>
        </w:rPr>
        <w:t xml:space="preserve">-аддитивная (линейная): </w:t>
      </w:r>
      <w:r w:rsidRPr="005F211C">
        <w:rPr>
          <w:rFonts w:ascii="Times New Roman" w:hAnsi="Times New Roman" w:cs="Times New Roman"/>
          <w:noProof/>
          <w:position w:val="-8"/>
          <w:sz w:val="26"/>
          <w:szCs w:val="26"/>
          <w:lang w:eastAsia="ru-RU"/>
        </w:rPr>
        <w:drawing>
          <wp:inline distT="0" distB="0" distL="0" distR="0" wp14:anchorId="7D65B447" wp14:editId="41C1F7F6">
            <wp:extent cx="2209800" cy="247650"/>
            <wp:effectExtent l="0" t="0" r="0" b="0"/>
            <wp:docPr id="109" name="Рисунок 109" descr="base_32851_30858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32851_308588_32768"/>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5F211C">
        <w:rPr>
          <w:rFonts w:ascii="Times New Roman" w:hAnsi="Times New Roman" w:cs="Times New Roman"/>
          <w:sz w:val="26"/>
          <w:szCs w:val="26"/>
        </w:rPr>
        <w:t>;</w:t>
      </w:r>
    </w:p>
    <w:p w14:paraId="2A528EF3" w14:textId="77777777" w:rsidR="001416BE" w:rsidRPr="005F211C" w:rsidRDefault="001416BE" w:rsidP="001416BE">
      <w:pPr>
        <w:spacing w:after="0"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-мультипликативная:</w:t>
      </w:r>
      <w:r w:rsidRPr="005F211C">
        <w:rPr>
          <w:rFonts w:ascii="Times New Roman" w:hAnsi="Times New Roman" w:cs="Times New Roman"/>
          <w:noProof/>
          <w:position w:val="-9"/>
          <w:sz w:val="26"/>
          <w:szCs w:val="26"/>
          <w:lang w:eastAsia="ru-RU"/>
        </w:rPr>
        <w:drawing>
          <wp:inline distT="0" distB="0" distL="0" distR="0" wp14:anchorId="49526F0F" wp14:editId="7A7B725B">
            <wp:extent cx="1352550" cy="266700"/>
            <wp:effectExtent l="0" t="0" r="0" b="0"/>
            <wp:docPr id="110" name="Рисунок 110" descr="base_32851_30858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32851_308588_32769"/>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r w:rsidRPr="005F211C">
        <w:rPr>
          <w:rFonts w:ascii="Times New Roman" w:hAnsi="Times New Roman" w:cs="Times New Roman"/>
          <w:sz w:val="26"/>
          <w:szCs w:val="26"/>
        </w:rPr>
        <w:t>;;</w:t>
      </w:r>
    </w:p>
    <w:p w14:paraId="3C42DCAA" w14:textId="77777777" w:rsidR="001416BE" w:rsidRPr="005F211C" w:rsidRDefault="001416BE" w:rsidP="001416BE">
      <w:pPr>
        <w:spacing w:after="0"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-экспоненциальная:</w:t>
      </w:r>
      <w:r w:rsidRPr="005F211C">
        <w:rPr>
          <w:rFonts w:ascii="Times New Roman" w:hAnsi="Times New Roman" w:cs="Times New Roman"/>
          <w:noProof/>
          <w:position w:val="-9"/>
          <w:sz w:val="26"/>
          <w:szCs w:val="26"/>
          <w:lang w:eastAsia="ru-RU"/>
        </w:rPr>
        <w:drawing>
          <wp:inline distT="0" distB="0" distL="0" distR="0" wp14:anchorId="6CDEFA14" wp14:editId="412CB632">
            <wp:extent cx="1266825" cy="266700"/>
            <wp:effectExtent l="0" t="0" r="0" b="0"/>
            <wp:docPr id="111" name="Рисунок 111" descr="base_32851_3085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32851_308588_32770"/>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5F211C">
        <w:rPr>
          <w:rFonts w:ascii="Times New Roman" w:hAnsi="Times New Roman" w:cs="Times New Roman"/>
          <w:sz w:val="26"/>
          <w:szCs w:val="26"/>
        </w:rPr>
        <w:t xml:space="preserve">, </w:t>
      </w:r>
    </w:p>
    <w:p w14:paraId="6C183E2C" w14:textId="77777777" w:rsidR="001416BE" w:rsidRPr="005F211C" w:rsidRDefault="001416BE" w:rsidP="001416BE">
      <w:pPr>
        <w:spacing w:after="0"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где Y - модельное значение зависимой переменной;</w:t>
      </w:r>
    </w:p>
    <w:p w14:paraId="791604B5"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X</w:t>
      </w:r>
      <w:r w:rsidRPr="005F211C">
        <w:rPr>
          <w:rFonts w:ascii="Times New Roman" w:hAnsi="Times New Roman" w:cs="Times New Roman"/>
          <w:sz w:val="26"/>
          <w:szCs w:val="26"/>
          <w:vertAlign w:val="subscript"/>
        </w:rPr>
        <w:t>1</w:t>
      </w:r>
      <w:r w:rsidRPr="005F211C">
        <w:rPr>
          <w:rFonts w:ascii="Times New Roman" w:hAnsi="Times New Roman" w:cs="Times New Roman"/>
          <w:sz w:val="26"/>
          <w:szCs w:val="26"/>
        </w:rPr>
        <w:t>, ..., X</w:t>
      </w:r>
      <w:r w:rsidRPr="005F211C">
        <w:rPr>
          <w:rFonts w:ascii="Times New Roman" w:hAnsi="Times New Roman" w:cs="Times New Roman"/>
          <w:sz w:val="26"/>
          <w:szCs w:val="26"/>
          <w:vertAlign w:val="subscript"/>
        </w:rPr>
        <w:t>n</w:t>
      </w:r>
      <w:r w:rsidRPr="005F211C">
        <w:rPr>
          <w:rFonts w:ascii="Times New Roman" w:hAnsi="Times New Roman" w:cs="Times New Roman"/>
          <w:sz w:val="26"/>
          <w:szCs w:val="26"/>
        </w:rPr>
        <w:t xml:space="preserve"> - ценообразующие факторы объектов недвижимости;</w:t>
      </w:r>
    </w:p>
    <w:p w14:paraId="5CBF9527"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noProof/>
          <w:position w:val="-8"/>
          <w:sz w:val="26"/>
          <w:szCs w:val="26"/>
        </w:rPr>
        <w:drawing>
          <wp:inline distT="0" distB="0" distL="0" distR="0" wp14:anchorId="6B56696A" wp14:editId="6D16EBC2">
            <wp:extent cx="209550" cy="247650"/>
            <wp:effectExtent l="0" t="0" r="0" b="0"/>
            <wp:docPr id="112" name="Рисунок 112" descr="base_32851_3085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32851_308588_32771"/>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5F211C">
        <w:rPr>
          <w:rFonts w:ascii="Times New Roman" w:hAnsi="Times New Roman" w:cs="Times New Roman"/>
          <w:sz w:val="26"/>
          <w:szCs w:val="26"/>
        </w:rPr>
        <w:t xml:space="preserve">, </w:t>
      </w:r>
      <w:r w:rsidRPr="005F211C">
        <w:rPr>
          <w:rFonts w:ascii="Times New Roman" w:hAnsi="Times New Roman" w:cs="Times New Roman"/>
          <w:noProof/>
          <w:position w:val="-8"/>
          <w:sz w:val="26"/>
          <w:szCs w:val="26"/>
        </w:rPr>
        <w:drawing>
          <wp:inline distT="0" distB="0" distL="0" distR="0" wp14:anchorId="235F732E" wp14:editId="1FD26F60">
            <wp:extent cx="200025" cy="247650"/>
            <wp:effectExtent l="0" t="0" r="9525" b="0"/>
            <wp:docPr id="113" name="Рисунок 113" descr="base_32851_3085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32851_308588_32772"/>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5F211C">
        <w:rPr>
          <w:rFonts w:ascii="Times New Roman" w:hAnsi="Times New Roman" w:cs="Times New Roman"/>
          <w:sz w:val="26"/>
          <w:szCs w:val="26"/>
        </w:rPr>
        <w:t xml:space="preserve">, ..., </w:t>
      </w:r>
      <w:r w:rsidRPr="005F211C">
        <w:rPr>
          <w:rFonts w:ascii="Times New Roman" w:hAnsi="Times New Roman" w:cs="Times New Roman"/>
          <w:noProof/>
          <w:position w:val="-8"/>
          <w:sz w:val="26"/>
          <w:szCs w:val="26"/>
        </w:rPr>
        <w:drawing>
          <wp:inline distT="0" distB="0" distL="0" distR="0" wp14:anchorId="67076A2C" wp14:editId="228111F2">
            <wp:extent cx="209550" cy="247650"/>
            <wp:effectExtent l="0" t="0" r="0" b="0"/>
            <wp:docPr id="114" name="Рисунок 114" descr="base_32851_308588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32851_308588_32773"/>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5F211C">
        <w:rPr>
          <w:rFonts w:ascii="Times New Roman" w:hAnsi="Times New Roman" w:cs="Times New Roman"/>
          <w:sz w:val="26"/>
          <w:szCs w:val="26"/>
        </w:rPr>
        <w:t xml:space="preserve"> - коэффициенты модели.</w:t>
      </w:r>
    </w:p>
    <w:p w14:paraId="3CC9EDAF" w14:textId="1384755C" w:rsidR="001416BE" w:rsidRPr="005F211C" w:rsidRDefault="002E2520" w:rsidP="001416BE">
      <w:pPr>
        <w:spacing w:after="0" w:line="276" w:lineRule="auto"/>
        <w:jc w:val="both"/>
        <w:rPr>
          <w:rFonts w:ascii="Times New Roman" w:hAnsi="Times New Roman" w:cs="Times New Roman"/>
          <w:lang w:val="en-US"/>
        </w:rPr>
      </w:pPr>
      <w:r w:rsidRPr="009F2C80">
        <w:rPr>
          <w:noProof/>
          <w:lang w:eastAsia="ru-RU"/>
        </w:rPr>
        <w:drawing>
          <wp:inline distT="0" distB="0" distL="0" distR="0" wp14:anchorId="70FE839B" wp14:editId="1FC63FA6">
            <wp:extent cx="5939790" cy="835571"/>
            <wp:effectExtent l="0" t="0" r="3810" b="3175"/>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5939790" cy="835571"/>
                    </a:xfrm>
                    <a:prstGeom prst="rect">
                      <a:avLst/>
                    </a:prstGeom>
                  </pic:spPr>
                </pic:pic>
              </a:graphicData>
            </a:graphic>
          </wp:inline>
        </w:drawing>
      </w:r>
    </w:p>
    <w:p w14:paraId="29B0175C" w14:textId="680A908F" w:rsidR="001416BE" w:rsidRPr="005F211C" w:rsidRDefault="001416BE" w:rsidP="001416BE">
      <w:pPr>
        <w:spacing w:after="0" w:line="276" w:lineRule="auto"/>
        <w:ind w:firstLine="709"/>
        <w:jc w:val="center"/>
        <w:rPr>
          <w:rFonts w:ascii="Times New Roman" w:hAnsi="Times New Roman" w:cs="Times New Roman"/>
          <w:sz w:val="26"/>
          <w:szCs w:val="26"/>
        </w:rPr>
      </w:pPr>
      <w:r w:rsidRPr="005F211C">
        <w:rPr>
          <w:rFonts w:ascii="Times New Roman" w:hAnsi="Times New Roman" w:cs="Times New Roman"/>
          <w:lang w:val="en-US"/>
        </w:rPr>
        <w:tab/>
      </w:r>
      <w:r w:rsidRPr="005F211C">
        <w:rPr>
          <w:rFonts w:ascii="Times New Roman" w:hAnsi="Times New Roman" w:cs="Times New Roman"/>
          <w:sz w:val="26"/>
          <w:szCs w:val="26"/>
        </w:rPr>
        <w:t>Рис. 3.6.13.</w:t>
      </w:r>
      <w:r w:rsidR="0094430F">
        <w:rPr>
          <w:rFonts w:ascii="Times New Roman" w:hAnsi="Times New Roman" w:cs="Times New Roman"/>
          <w:sz w:val="26"/>
          <w:szCs w:val="26"/>
        </w:rPr>
        <w:t>9</w:t>
      </w:r>
      <w:r w:rsidRPr="005F211C">
        <w:rPr>
          <w:rFonts w:ascii="Times New Roman" w:hAnsi="Times New Roman" w:cs="Times New Roman"/>
          <w:sz w:val="26"/>
          <w:szCs w:val="26"/>
        </w:rPr>
        <w:t>.1 - Множественные регрессионные трехфакторные модели</w:t>
      </w:r>
    </w:p>
    <w:p w14:paraId="637CF485" w14:textId="46562859"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Согласно п.</w:t>
      </w:r>
      <w:r w:rsidR="00B11E8D" w:rsidRPr="005F211C">
        <w:rPr>
          <w:rFonts w:ascii="Times New Roman" w:hAnsi="Times New Roman" w:cs="Times New Roman"/>
          <w:sz w:val="26"/>
          <w:szCs w:val="26"/>
        </w:rPr>
        <w:t>45.1.2</w:t>
      </w:r>
      <w:r w:rsidRPr="005F211C">
        <w:rPr>
          <w:rFonts w:ascii="Times New Roman" w:hAnsi="Times New Roman" w:cs="Times New Roman"/>
          <w:sz w:val="26"/>
          <w:szCs w:val="26"/>
        </w:rPr>
        <w:t xml:space="preserve"> Указаний, анализ качества статистической модели включает в себя комплекс процедур, предусматривающий проверки, в том числе:</w:t>
      </w:r>
    </w:p>
    <w:p w14:paraId="4BBD72D3"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3DEAE0B2"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 обоснованности знаков при коэффициентах статистического уравнения, то есть их соответствия характеру влияния ценообразующих факторов;</w:t>
      </w:r>
    </w:p>
    <w:p w14:paraId="76BAD08C"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77DF7A6D"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 по t-критерию Стьюдента проверки значимости параметров моделей;</w:t>
      </w:r>
    </w:p>
    <w:p w14:paraId="53689345"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 по средней ошибке аппроксимации;</w:t>
      </w:r>
    </w:p>
    <w:p w14:paraId="6DE698A7"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 по коэффициенту детерминации R</w:t>
      </w:r>
      <w:r w:rsidRPr="005F211C">
        <w:rPr>
          <w:rFonts w:ascii="Times New Roman" w:hAnsi="Times New Roman" w:cs="Times New Roman"/>
          <w:sz w:val="26"/>
          <w:szCs w:val="26"/>
          <w:vertAlign w:val="superscript"/>
        </w:rPr>
        <w:t>2</w:t>
      </w:r>
      <w:r w:rsidRPr="005F211C">
        <w:rPr>
          <w:rFonts w:ascii="Times New Roman" w:hAnsi="Times New Roman" w:cs="Times New Roman"/>
          <w:sz w:val="26"/>
          <w:szCs w:val="26"/>
        </w:rPr>
        <w:t>;</w:t>
      </w:r>
    </w:p>
    <w:p w14:paraId="427B2FA9"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 по расчетному значению F-критерия Фишера, обосновывающего адекватность регрессионной модели.</w:t>
      </w:r>
    </w:p>
    <w:p w14:paraId="0AE03CF1" w14:textId="141699E8" w:rsidR="001416BE" w:rsidRPr="005F211C" w:rsidRDefault="002E2520" w:rsidP="001416BE">
      <w:pPr>
        <w:pStyle w:val="ConsPlusNormal"/>
        <w:spacing w:line="276" w:lineRule="auto"/>
        <w:jc w:val="center"/>
        <w:rPr>
          <w:rFonts w:ascii="Times New Roman" w:hAnsi="Times New Roman" w:cs="Times New Roman"/>
          <w:sz w:val="26"/>
          <w:szCs w:val="26"/>
        </w:rPr>
      </w:pPr>
      <w:r w:rsidRPr="009F2C80">
        <w:rPr>
          <w:noProof/>
        </w:rPr>
        <w:drawing>
          <wp:inline distT="0" distB="0" distL="0" distR="0" wp14:anchorId="27A2DED8" wp14:editId="78D67E44">
            <wp:extent cx="5819775" cy="139362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8"/>
                    <a:srcRect r="8398"/>
                    <a:stretch/>
                  </pic:blipFill>
                  <pic:spPr bwMode="auto">
                    <a:xfrm>
                      <a:off x="0" y="0"/>
                      <a:ext cx="5846643" cy="1400054"/>
                    </a:xfrm>
                    <a:prstGeom prst="rect">
                      <a:avLst/>
                    </a:prstGeom>
                    <a:ln>
                      <a:noFill/>
                    </a:ln>
                    <a:extLst>
                      <a:ext uri="{53640926-AAD7-44D8-BBD7-CCE9431645EC}">
                        <a14:shadowObscured xmlns:a14="http://schemas.microsoft.com/office/drawing/2010/main"/>
                      </a:ext>
                    </a:extLst>
                  </pic:spPr>
                </pic:pic>
              </a:graphicData>
            </a:graphic>
          </wp:inline>
        </w:drawing>
      </w:r>
    </w:p>
    <w:p w14:paraId="578E9528" w14:textId="4CC9C9E4" w:rsidR="001416BE" w:rsidRPr="005F211C" w:rsidRDefault="001416BE" w:rsidP="001416BE">
      <w:pPr>
        <w:pStyle w:val="ConsPlusNormal"/>
        <w:spacing w:line="276" w:lineRule="auto"/>
        <w:ind w:firstLine="709"/>
        <w:jc w:val="center"/>
        <w:rPr>
          <w:rFonts w:ascii="Times New Roman" w:hAnsi="Times New Roman" w:cs="Times New Roman"/>
          <w:sz w:val="26"/>
          <w:szCs w:val="26"/>
        </w:rPr>
      </w:pPr>
      <w:r w:rsidRPr="005F211C">
        <w:rPr>
          <w:rFonts w:ascii="Times New Roman" w:hAnsi="Times New Roman" w:cs="Times New Roman"/>
          <w:sz w:val="26"/>
          <w:szCs w:val="26"/>
        </w:rPr>
        <w:t>Рис. 3.6.13.</w:t>
      </w:r>
      <w:r w:rsidR="0094430F">
        <w:rPr>
          <w:rFonts w:ascii="Times New Roman" w:hAnsi="Times New Roman" w:cs="Times New Roman"/>
          <w:sz w:val="26"/>
          <w:szCs w:val="26"/>
        </w:rPr>
        <w:t>9</w:t>
      </w:r>
      <w:r w:rsidRPr="005F211C">
        <w:rPr>
          <w:rFonts w:ascii="Times New Roman" w:hAnsi="Times New Roman" w:cs="Times New Roman"/>
          <w:sz w:val="26"/>
          <w:szCs w:val="26"/>
        </w:rPr>
        <w:t>.2 - Значения t-критерия Стьюдента, средней ошибки аппроксимации, коэффициента детерминации R</w:t>
      </w:r>
      <w:r w:rsidRPr="005F211C">
        <w:rPr>
          <w:rFonts w:ascii="Times New Roman" w:hAnsi="Times New Roman" w:cs="Times New Roman"/>
          <w:sz w:val="26"/>
          <w:szCs w:val="26"/>
          <w:vertAlign w:val="superscript"/>
        </w:rPr>
        <w:t>2</w:t>
      </w:r>
      <w:r w:rsidRPr="005F211C">
        <w:rPr>
          <w:rFonts w:ascii="Times New Roman" w:hAnsi="Times New Roman" w:cs="Times New Roman"/>
          <w:sz w:val="26"/>
          <w:szCs w:val="26"/>
        </w:rPr>
        <w:t xml:space="preserve"> и F-критерия Фишера</w:t>
      </w:r>
    </w:p>
    <w:p w14:paraId="13FD14CC"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Показатели R</w:t>
      </w:r>
      <w:r w:rsidRPr="005F211C">
        <w:rPr>
          <w:rFonts w:ascii="Times New Roman" w:hAnsi="Times New Roman" w:cs="Times New Roman"/>
          <w:sz w:val="26"/>
          <w:szCs w:val="26"/>
          <w:vertAlign w:val="superscript"/>
        </w:rPr>
        <w:t>2</w:t>
      </w:r>
      <w:r w:rsidRPr="005F211C">
        <w:rPr>
          <w:rFonts w:ascii="Times New Roman" w:hAnsi="Times New Roman" w:cs="Times New Roman"/>
          <w:sz w:val="26"/>
          <w:szCs w:val="26"/>
        </w:rPr>
        <w:t>, F-критерий Фишера являются дополнительными показателями качества моделей, так как требования к ним выполняются автоматически при выполнении остальных требований.</w:t>
      </w:r>
    </w:p>
    <w:p w14:paraId="6F1393D9" w14:textId="77777777" w:rsidR="001416BE" w:rsidRPr="005F211C" w:rsidRDefault="001416BE" w:rsidP="001416BE">
      <w:pPr>
        <w:pStyle w:val="ConsPlusNormal"/>
        <w:spacing w:line="276" w:lineRule="auto"/>
        <w:ind w:firstLine="709"/>
        <w:jc w:val="both"/>
        <w:rPr>
          <w:rFonts w:ascii="Times New Roman" w:hAnsi="Times New Roman" w:cs="Times New Roman"/>
          <w:sz w:val="26"/>
          <w:szCs w:val="26"/>
        </w:rPr>
      </w:pPr>
      <w:r w:rsidRPr="005F211C">
        <w:rPr>
          <w:rFonts w:ascii="Times New Roman" w:hAnsi="Times New Roman" w:cs="Times New Roman"/>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14:paraId="5D1BDF72" w14:textId="77777777" w:rsidR="001416BE" w:rsidRPr="005F211C" w:rsidRDefault="001416BE" w:rsidP="001416BE">
      <w:pPr>
        <w:spacing w:after="0" w:line="276" w:lineRule="auto"/>
        <w:ind w:firstLine="708"/>
        <w:jc w:val="both"/>
        <w:rPr>
          <w:rFonts w:ascii="Times New Roman" w:hAnsi="Times New Roman" w:cs="Times New Roman"/>
          <w:sz w:val="26"/>
          <w:szCs w:val="26"/>
        </w:rPr>
      </w:pPr>
      <w:r w:rsidRPr="005F211C">
        <w:rPr>
          <w:rFonts w:ascii="Times New Roman" w:hAnsi="Times New Roman" w:cs="Times New Roman"/>
          <w:sz w:val="26"/>
          <w:szCs w:val="26"/>
        </w:rPr>
        <w:t xml:space="preserve">Для выявления модели, наиболее адекватно описывающей данные, была проведена проверка статистической гипотезы об адекватности регрессионной модели по </w:t>
      </w:r>
      <w:r w:rsidRPr="005F211C">
        <w:rPr>
          <w:rFonts w:ascii="Times New Roman" w:hAnsi="Times New Roman" w:cs="Times New Roman"/>
          <w:sz w:val="26"/>
          <w:szCs w:val="26"/>
          <w:lang w:val="en-US"/>
        </w:rPr>
        <w:t>F</w:t>
      </w:r>
      <w:r w:rsidRPr="005F211C">
        <w:rPr>
          <w:rFonts w:ascii="Times New Roman" w:hAnsi="Times New Roman" w:cs="Times New Roman"/>
          <w:sz w:val="26"/>
          <w:szCs w:val="26"/>
        </w:rPr>
        <w:t xml:space="preserve">-критерию Фишера. Статистики </w:t>
      </w:r>
      <w:r w:rsidRPr="005F211C">
        <w:rPr>
          <w:rFonts w:ascii="Times New Roman" w:hAnsi="Times New Roman" w:cs="Times New Roman"/>
          <w:sz w:val="26"/>
          <w:szCs w:val="26"/>
          <w:lang w:val="en-US"/>
        </w:rPr>
        <w:t>F</w:t>
      </w:r>
      <w:r w:rsidRPr="005F211C">
        <w:rPr>
          <w:rFonts w:ascii="Times New Roman" w:hAnsi="Times New Roman" w:cs="Times New Roman"/>
          <w:sz w:val="26"/>
          <w:szCs w:val="26"/>
        </w:rPr>
        <w:t>-критерия Фишера</w:t>
      </w:r>
      <w:r w:rsidRPr="005F211C">
        <w:rPr>
          <w:rFonts w:ascii="Times New Roman" w:hAnsi="Times New Roman" w:cs="Times New Roman"/>
          <w:sz w:val="26"/>
          <w:szCs w:val="26"/>
          <w:lang w:val="en-US"/>
        </w:rPr>
        <w:t xml:space="preserve"> </w:t>
      </w:r>
      <w:r w:rsidRPr="005F211C">
        <w:rPr>
          <w:rFonts w:ascii="Times New Roman" w:hAnsi="Times New Roman" w:cs="Times New Roman"/>
          <w:sz w:val="26"/>
          <w:szCs w:val="26"/>
        </w:rPr>
        <w:t>равны:</w:t>
      </w:r>
    </w:p>
    <w:p w14:paraId="1157FCBF" w14:textId="2C2932E7" w:rsidR="001416BE" w:rsidRPr="005F211C" w:rsidRDefault="002E2520" w:rsidP="001416BE">
      <w:pPr>
        <w:spacing w:after="0" w:line="276" w:lineRule="auto"/>
        <w:jc w:val="center"/>
        <w:rPr>
          <w:rFonts w:ascii="Times New Roman" w:hAnsi="Times New Roman" w:cs="Times New Roman"/>
          <w:sz w:val="26"/>
          <w:szCs w:val="26"/>
          <w:lang w:val="en-US"/>
        </w:rPr>
      </w:pPr>
      <w:r w:rsidRPr="009F2C80">
        <w:rPr>
          <w:noProof/>
          <w:lang w:eastAsia="ru-RU"/>
        </w:rPr>
        <w:drawing>
          <wp:inline distT="0" distB="0" distL="0" distR="0" wp14:anchorId="428E4CAA" wp14:editId="681FEF38">
            <wp:extent cx="3067478" cy="1066949"/>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3067478" cy="1066949"/>
                    </a:xfrm>
                    <a:prstGeom prst="rect">
                      <a:avLst/>
                    </a:prstGeom>
                  </pic:spPr>
                </pic:pic>
              </a:graphicData>
            </a:graphic>
          </wp:inline>
        </w:drawing>
      </w:r>
    </w:p>
    <w:p w14:paraId="7787E72D" w14:textId="7A5D220B" w:rsidR="001416BE" w:rsidRPr="005F211C" w:rsidRDefault="001416BE" w:rsidP="001416BE">
      <w:pPr>
        <w:spacing w:after="0" w:line="276" w:lineRule="auto"/>
        <w:jc w:val="center"/>
        <w:rPr>
          <w:rFonts w:ascii="Times New Roman" w:hAnsi="Times New Roman" w:cs="Times New Roman"/>
          <w:sz w:val="26"/>
          <w:szCs w:val="26"/>
        </w:rPr>
      </w:pPr>
      <w:r w:rsidRPr="005F211C">
        <w:rPr>
          <w:rFonts w:ascii="Times New Roman" w:hAnsi="Times New Roman" w:cs="Times New Roman"/>
          <w:sz w:val="26"/>
          <w:szCs w:val="26"/>
        </w:rPr>
        <w:t>Рис. 3.6.13.</w:t>
      </w:r>
      <w:r w:rsidR="0094430F">
        <w:rPr>
          <w:rFonts w:ascii="Times New Roman" w:hAnsi="Times New Roman" w:cs="Times New Roman"/>
          <w:sz w:val="26"/>
          <w:szCs w:val="26"/>
        </w:rPr>
        <w:t>9</w:t>
      </w:r>
      <w:r w:rsidRPr="005F211C">
        <w:rPr>
          <w:rFonts w:ascii="Times New Roman" w:hAnsi="Times New Roman" w:cs="Times New Roman"/>
          <w:sz w:val="26"/>
          <w:szCs w:val="26"/>
        </w:rPr>
        <w:t>.3 - Значения F-критерия Фишера</w:t>
      </w:r>
    </w:p>
    <w:p w14:paraId="33BCA79A" w14:textId="77777777" w:rsidR="001416BE" w:rsidRPr="005F211C" w:rsidRDefault="001416BE" w:rsidP="001416BE">
      <w:pPr>
        <w:spacing w:after="0" w:line="276" w:lineRule="auto"/>
        <w:jc w:val="both"/>
        <w:rPr>
          <w:rFonts w:ascii="Times New Roman" w:hAnsi="Times New Roman" w:cs="Times New Roman"/>
          <w:sz w:val="26"/>
          <w:szCs w:val="26"/>
        </w:rPr>
      </w:pPr>
      <w:r w:rsidRPr="005F211C">
        <w:rPr>
          <w:rFonts w:ascii="Times New Roman" w:hAnsi="Times New Roman" w:cs="Times New Roman"/>
          <w:sz w:val="26"/>
          <w:szCs w:val="26"/>
        </w:rPr>
        <w:tab/>
        <w:t xml:space="preserve">Из сравнения </w:t>
      </w:r>
      <w:r w:rsidRPr="005F211C">
        <w:rPr>
          <w:rFonts w:ascii="Times New Roman" w:hAnsi="Times New Roman" w:cs="Times New Roman"/>
          <w:sz w:val="26"/>
          <w:szCs w:val="26"/>
          <w:lang w:val="en-US"/>
        </w:rPr>
        <w:t>F</w:t>
      </w:r>
      <w:r w:rsidRPr="005F211C">
        <w:rPr>
          <w:rFonts w:ascii="Times New Roman" w:hAnsi="Times New Roman" w:cs="Times New Roman"/>
          <w:sz w:val="26"/>
          <w:szCs w:val="26"/>
        </w:rPr>
        <w:t>-статистики выявляем наиболее адекватную модель, которой в данном случае является экспоненциальная:</w:t>
      </w:r>
    </w:p>
    <w:p w14:paraId="1C709B24" w14:textId="23F3586C" w:rsidR="00E50BFF" w:rsidRPr="00DC7772" w:rsidRDefault="001416BE" w:rsidP="002E2520">
      <w:pPr>
        <w:ind w:firstLine="709"/>
        <w:jc w:val="both"/>
        <w:rPr>
          <w:rFonts w:ascii="Times New Roman" w:hAnsi="Times New Roman" w:cs="Times New Roman"/>
          <w:i/>
          <w:sz w:val="26"/>
          <w:szCs w:val="26"/>
        </w:rPr>
      </w:pPr>
      <w:r w:rsidRPr="005F211C">
        <w:rPr>
          <w:rFonts w:ascii="Times New Roman" w:hAnsi="Times New Roman" w:cs="Times New Roman"/>
          <w:i/>
          <w:sz w:val="26"/>
          <w:szCs w:val="26"/>
        </w:rPr>
        <w:t xml:space="preserve">УПКС = </w:t>
      </w:r>
      <w:r w:rsidR="002E2520" w:rsidRPr="002E2520">
        <w:rPr>
          <w:rFonts w:ascii="Times New Roman" w:hAnsi="Times New Roman" w:cs="Times New Roman"/>
          <w:i/>
          <w:sz w:val="26"/>
          <w:szCs w:val="26"/>
        </w:rPr>
        <w:t>0.210415832784006*e^(+3.7691140861661*([СНП Наличие в населенном пункте центрального водоснабжения])+0.522005181476009*([СНП Наличие дороги с твердым покрытием])+0.00351171533858851*((324.00+-48.00-СНП Расстояние от населенного пункта до центра субъекта РФ (г. Воронеж</w:t>
      </w:r>
      <w:r w:rsidR="002E2520" w:rsidRPr="00DC7772">
        <w:rPr>
          <w:rFonts w:ascii="Times New Roman" w:hAnsi="Times New Roman" w:cs="Times New Roman"/>
          <w:i/>
          <w:sz w:val="26"/>
          <w:szCs w:val="26"/>
        </w:rPr>
        <w:t>))) +0.0974939419434732*((5.00+1.00-__Код района)))</w:t>
      </w:r>
    </w:p>
    <w:p w14:paraId="4C31E44B" w14:textId="11D11072" w:rsidR="001416BE" w:rsidRPr="00DC7772" w:rsidRDefault="001416BE" w:rsidP="00E50BFF">
      <w:pPr>
        <w:ind w:firstLine="709"/>
        <w:jc w:val="both"/>
        <w:rPr>
          <w:rFonts w:ascii="Times New Roman" w:hAnsi="Times New Roman" w:cs="Times New Roman"/>
          <w:sz w:val="26"/>
          <w:szCs w:val="26"/>
        </w:rPr>
      </w:pPr>
      <w:r w:rsidRPr="00DC7772">
        <w:rPr>
          <w:rFonts w:ascii="Times New Roman" w:hAnsi="Times New Roman" w:cs="Times New Roman"/>
          <w:sz w:val="26"/>
          <w:szCs w:val="26"/>
        </w:rPr>
        <w:t xml:space="preserve">Из сравнения </w:t>
      </w:r>
      <w:r w:rsidRPr="00DC7772">
        <w:rPr>
          <w:rFonts w:ascii="Times New Roman" w:hAnsi="Times New Roman" w:cs="Times New Roman"/>
          <w:sz w:val="26"/>
          <w:szCs w:val="26"/>
          <w:lang w:val="en-US"/>
        </w:rPr>
        <w:t>F</w:t>
      </w:r>
      <w:r w:rsidRPr="00DC7772">
        <w:rPr>
          <w:rFonts w:ascii="Times New Roman" w:hAnsi="Times New Roman" w:cs="Times New Roman"/>
          <w:sz w:val="26"/>
          <w:szCs w:val="26"/>
        </w:rPr>
        <w:t xml:space="preserve">-статистики с ее критическим значением на уровне значимости α=0,05 доказано, что экспоненциальная модель адекватно описывает статистические данные и ее можно использовать для анализа и прогнозирования кадастровой стоимости (результативного признака). </w:t>
      </w:r>
    </w:p>
    <w:p w14:paraId="310FF7F9" w14:textId="75D84E40" w:rsidR="001416BE" w:rsidRPr="00DC7772" w:rsidRDefault="003A64FB" w:rsidP="001416BE">
      <w:pPr>
        <w:spacing w:after="0" w:line="276" w:lineRule="auto"/>
        <w:jc w:val="center"/>
        <w:rPr>
          <w:rFonts w:ascii="Times New Roman" w:hAnsi="Times New Roman" w:cs="Times New Roman"/>
          <w:i/>
          <w:szCs w:val="24"/>
        </w:rPr>
      </w:pPr>
      <w:r w:rsidRPr="00DC7772">
        <w:rPr>
          <w:noProof/>
          <w:lang w:eastAsia="ru-RU"/>
        </w:rPr>
        <w:drawing>
          <wp:inline distT="0" distB="0" distL="0" distR="0" wp14:anchorId="2BF67B4B" wp14:editId="6119136F">
            <wp:extent cx="5263144" cy="3321041"/>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5282675" cy="3333365"/>
                    </a:xfrm>
                    <a:prstGeom prst="rect">
                      <a:avLst/>
                    </a:prstGeom>
                  </pic:spPr>
                </pic:pic>
              </a:graphicData>
            </a:graphic>
          </wp:inline>
        </w:drawing>
      </w:r>
    </w:p>
    <w:p w14:paraId="4CA8E66B" w14:textId="069D5006" w:rsidR="001416BE" w:rsidRPr="00DC7772" w:rsidRDefault="001416BE" w:rsidP="001416BE">
      <w:pPr>
        <w:spacing w:after="0" w:line="276" w:lineRule="auto"/>
        <w:ind w:firstLine="709"/>
        <w:jc w:val="center"/>
        <w:rPr>
          <w:rFonts w:ascii="Times New Roman" w:hAnsi="Times New Roman" w:cs="Times New Roman"/>
          <w:sz w:val="26"/>
          <w:szCs w:val="26"/>
        </w:rPr>
      </w:pPr>
      <w:r w:rsidRPr="00DC7772">
        <w:rPr>
          <w:rFonts w:ascii="Times New Roman" w:hAnsi="Times New Roman" w:cs="Times New Roman"/>
          <w:sz w:val="26"/>
          <w:szCs w:val="26"/>
        </w:rPr>
        <w:t>Рис. 3.6.13.</w:t>
      </w:r>
      <w:r w:rsidR="0094430F" w:rsidRPr="00DC7772">
        <w:rPr>
          <w:rFonts w:ascii="Times New Roman" w:hAnsi="Times New Roman" w:cs="Times New Roman"/>
          <w:sz w:val="26"/>
          <w:szCs w:val="26"/>
        </w:rPr>
        <w:t>9</w:t>
      </w:r>
      <w:r w:rsidRPr="00DC7772">
        <w:rPr>
          <w:rFonts w:ascii="Times New Roman" w:hAnsi="Times New Roman" w:cs="Times New Roman"/>
          <w:sz w:val="26"/>
          <w:szCs w:val="26"/>
        </w:rPr>
        <w:t>.4 - Характеристика экспоненциальной модели и анализ качества выборки</w:t>
      </w:r>
    </w:p>
    <w:p w14:paraId="069C8458" w14:textId="6DED4CF6" w:rsidR="001416BE" w:rsidRPr="00DC7772" w:rsidRDefault="001416BE" w:rsidP="001416BE">
      <w:pPr>
        <w:spacing w:after="0" w:line="276" w:lineRule="auto"/>
        <w:ind w:firstLine="709"/>
        <w:jc w:val="both"/>
        <w:rPr>
          <w:rFonts w:ascii="Times New Roman" w:hAnsi="Times New Roman" w:cs="Times New Roman"/>
          <w:sz w:val="26"/>
          <w:szCs w:val="26"/>
        </w:rPr>
      </w:pPr>
      <w:r w:rsidRPr="00DC7772">
        <w:rPr>
          <w:rFonts w:ascii="Times New Roman" w:hAnsi="Times New Roman" w:cs="Times New Roman"/>
          <w:sz w:val="26"/>
          <w:szCs w:val="26"/>
        </w:rPr>
        <w:t>Как видно из статистических показателей, представленных выше, все коэффициенты регрессионной модели значимые. Связь между фактор</w:t>
      </w:r>
      <w:r w:rsidR="00683D8D" w:rsidRPr="00DC7772">
        <w:rPr>
          <w:rFonts w:ascii="Times New Roman" w:hAnsi="Times New Roman" w:cs="Times New Roman"/>
          <w:sz w:val="26"/>
          <w:szCs w:val="26"/>
        </w:rPr>
        <w:t>а</w:t>
      </w:r>
      <w:r w:rsidRPr="00DC7772">
        <w:rPr>
          <w:rFonts w:ascii="Times New Roman" w:hAnsi="Times New Roman" w:cs="Times New Roman"/>
          <w:sz w:val="26"/>
          <w:szCs w:val="26"/>
        </w:rPr>
        <w:t>м</w:t>
      </w:r>
      <w:r w:rsidR="00683D8D" w:rsidRPr="00DC7772">
        <w:rPr>
          <w:rFonts w:ascii="Times New Roman" w:hAnsi="Times New Roman" w:cs="Times New Roman"/>
          <w:sz w:val="26"/>
          <w:szCs w:val="26"/>
        </w:rPr>
        <w:t>и</w:t>
      </w:r>
      <w:r w:rsidRPr="00DC7772">
        <w:rPr>
          <w:rFonts w:ascii="Times New Roman" w:hAnsi="Times New Roman" w:cs="Times New Roman"/>
          <w:sz w:val="26"/>
          <w:szCs w:val="26"/>
        </w:rPr>
        <w:t xml:space="preserve"> </w:t>
      </w:r>
      <w:r w:rsidR="00683D8D" w:rsidRPr="00DC7772">
        <w:rPr>
          <w:rFonts w:ascii="Times New Roman" w:hAnsi="Times New Roman" w:cs="Times New Roman"/>
          <w:sz w:val="26"/>
          <w:szCs w:val="26"/>
        </w:rPr>
        <w:t>Х</w:t>
      </w:r>
      <w:r w:rsidR="00683D8D" w:rsidRPr="00DC7772">
        <w:rPr>
          <w:rFonts w:ascii="Times New Roman" w:hAnsi="Times New Roman" w:cs="Times New Roman"/>
          <w:sz w:val="26"/>
          <w:szCs w:val="26"/>
          <w:vertAlign w:val="subscript"/>
        </w:rPr>
        <w:t xml:space="preserve">2, </w:t>
      </w:r>
      <w:r w:rsidRPr="00DC7772">
        <w:rPr>
          <w:rFonts w:ascii="Times New Roman" w:hAnsi="Times New Roman" w:cs="Times New Roman"/>
          <w:sz w:val="26"/>
          <w:szCs w:val="26"/>
        </w:rPr>
        <w:t>Х</w:t>
      </w:r>
      <w:r w:rsidR="000F5921" w:rsidRPr="00DC7772">
        <w:rPr>
          <w:rFonts w:ascii="Times New Roman" w:hAnsi="Times New Roman" w:cs="Times New Roman"/>
          <w:sz w:val="26"/>
          <w:szCs w:val="26"/>
          <w:vertAlign w:val="subscript"/>
        </w:rPr>
        <w:t>3</w:t>
      </w:r>
      <w:r w:rsidRPr="00DC7772">
        <w:rPr>
          <w:rFonts w:ascii="Times New Roman" w:hAnsi="Times New Roman" w:cs="Times New Roman"/>
          <w:sz w:val="26"/>
          <w:szCs w:val="26"/>
        </w:rPr>
        <w:t xml:space="preserve"> и кадастровой стоимостью обратная, то есть при росте этого фактора кадастровая стоимость уменьшается. Малые значения средней ошибки аппроксимации и оценки среднеквадратической ошибки свидетельствует о высокой точности прогноза по построенной модели. Коэффициент детерминации, характеризующий совокупное влияние факторов на кадастровую стоимость, высок и значим, что подтверждает правильность отбора факторов при построении регрессионной модели. Все это позволяет использовать полученную регрессионную модель в практических расчетах и в прогнозировании.</w:t>
      </w:r>
    </w:p>
    <w:p w14:paraId="3D8DE5E8" w14:textId="3FB4E388" w:rsidR="001416BE" w:rsidRPr="00DC7772" w:rsidRDefault="00153B5F" w:rsidP="001416BE">
      <w:pPr>
        <w:spacing w:after="0" w:line="276" w:lineRule="auto"/>
        <w:ind w:firstLine="709"/>
        <w:jc w:val="both"/>
        <w:rPr>
          <w:rFonts w:ascii="Times New Roman" w:eastAsiaTheme="minorEastAsia" w:hAnsi="Times New Roman" w:cs="Times New Roman"/>
          <w:sz w:val="26"/>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07B9C921" w14:textId="07966007" w:rsidR="001416BE" w:rsidRDefault="001416BE" w:rsidP="001416BE">
      <w:pPr>
        <w:spacing w:after="0" w:line="276" w:lineRule="auto"/>
        <w:ind w:firstLine="709"/>
        <w:jc w:val="both"/>
        <w:rPr>
          <w:rFonts w:ascii="Times New Roman" w:eastAsiaTheme="minorEastAsia" w:hAnsi="Times New Roman" w:cs="Times New Roman"/>
          <w:sz w:val="16"/>
          <w:szCs w:val="16"/>
        </w:rPr>
      </w:pPr>
    </w:p>
    <w:p w14:paraId="2EEEA950" w14:textId="77777777" w:rsidR="00B52230" w:rsidRPr="00DC7772" w:rsidRDefault="00B52230" w:rsidP="001416BE">
      <w:pPr>
        <w:spacing w:after="0" w:line="276" w:lineRule="auto"/>
        <w:ind w:firstLine="709"/>
        <w:jc w:val="both"/>
        <w:rPr>
          <w:rFonts w:ascii="Times New Roman" w:eastAsiaTheme="minorEastAsia" w:hAnsi="Times New Roman" w:cs="Times New Roman"/>
          <w:sz w:val="16"/>
          <w:szCs w:val="16"/>
        </w:rPr>
      </w:pPr>
    </w:p>
    <w:p w14:paraId="7EE2FE77" w14:textId="7469EC66" w:rsidR="00306BF5" w:rsidRPr="00F562A8" w:rsidRDefault="006F6435" w:rsidP="00074972">
      <w:pPr>
        <w:pStyle w:val="ab"/>
        <w:ind w:left="0"/>
        <w:jc w:val="center"/>
        <w:outlineLvl w:val="2"/>
        <w:rPr>
          <w:rFonts w:ascii="Times New Roman" w:hAnsi="Times New Roman" w:cs="Times New Roman"/>
          <w:i/>
          <w:sz w:val="26"/>
          <w:szCs w:val="26"/>
        </w:rPr>
      </w:pPr>
      <w:bookmarkStart w:id="308" w:name="_Toc110507034"/>
      <w:r w:rsidRPr="00DC7772">
        <w:rPr>
          <w:rFonts w:ascii="Times New Roman" w:hAnsi="Times New Roman" w:cs="Times New Roman"/>
          <w:i/>
          <w:sz w:val="26"/>
          <w:szCs w:val="26"/>
        </w:rPr>
        <w:t>3.6.13.</w:t>
      </w:r>
      <w:r w:rsidR="00AB6617" w:rsidRPr="00DC7772">
        <w:rPr>
          <w:rFonts w:ascii="Times New Roman" w:hAnsi="Times New Roman" w:cs="Times New Roman"/>
          <w:i/>
          <w:sz w:val="26"/>
          <w:szCs w:val="26"/>
        </w:rPr>
        <w:t>1</w:t>
      </w:r>
      <w:r w:rsidR="008D2C72" w:rsidRPr="00DC7772">
        <w:rPr>
          <w:rFonts w:ascii="Times New Roman" w:hAnsi="Times New Roman" w:cs="Times New Roman"/>
          <w:i/>
          <w:sz w:val="26"/>
          <w:szCs w:val="26"/>
        </w:rPr>
        <w:t>0</w:t>
      </w:r>
      <w:r w:rsidRPr="00DC7772">
        <w:rPr>
          <w:rFonts w:ascii="Times New Roman" w:hAnsi="Times New Roman" w:cs="Times New Roman"/>
          <w:i/>
          <w:sz w:val="26"/>
          <w:szCs w:val="26"/>
        </w:rPr>
        <w:t xml:space="preserve">. </w:t>
      </w:r>
      <w:r w:rsidR="00306BF5" w:rsidRPr="00DC7772">
        <w:rPr>
          <w:rFonts w:ascii="Times New Roman" w:hAnsi="Times New Roman" w:cs="Times New Roman"/>
          <w:i/>
          <w:sz w:val="26"/>
          <w:szCs w:val="26"/>
        </w:rPr>
        <w:t>Расчет</w:t>
      </w:r>
      <w:r w:rsidR="00306BF5" w:rsidRPr="00F562A8">
        <w:rPr>
          <w:rFonts w:ascii="Times New Roman" w:hAnsi="Times New Roman" w:cs="Times New Roman"/>
          <w:i/>
          <w:sz w:val="26"/>
          <w:szCs w:val="26"/>
        </w:rPr>
        <w:t xml:space="preserve"> кадастровой стоимости земельных участков группы </w:t>
      </w:r>
      <w:r w:rsidR="0094430F">
        <w:rPr>
          <w:rFonts w:ascii="Times New Roman" w:hAnsi="Times New Roman" w:cs="Times New Roman"/>
          <w:i/>
          <w:sz w:val="26"/>
          <w:szCs w:val="26"/>
        </w:rPr>
        <w:t>СОД/УПКС</w:t>
      </w:r>
      <w:bookmarkEnd w:id="308"/>
      <w:r w:rsidR="00306BF5" w:rsidRPr="00F562A8">
        <w:rPr>
          <w:rFonts w:ascii="Times New Roman" w:hAnsi="Times New Roman" w:cs="Times New Roman"/>
          <w:i/>
          <w:sz w:val="26"/>
          <w:szCs w:val="26"/>
        </w:rPr>
        <w:t xml:space="preserve"> </w:t>
      </w:r>
    </w:p>
    <w:p w14:paraId="2EE873CD" w14:textId="2B9AB75D" w:rsidR="000D42C3" w:rsidRPr="00F562A8" w:rsidRDefault="000D42C3" w:rsidP="000D42C3">
      <w:pPr>
        <w:spacing w:after="0" w:line="276" w:lineRule="auto"/>
        <w:ind w:firstLine="567"/>
        <w:jc w:val="both"/>
        <w:rPr>
          <w:rFonts w:ascii="Times New Roman" w:eastAsiaTheme="minorEastAsia" w:hAnsi="Times New Roman" w:cs="Times New Roman"/>
          <w:sz w:val="26"/>
          <w:szCs w:val="26"/>
        </w:rPr>
      </w:pPr>
      <w:r w:rsidRPr="00F562A8">
        <w:rPr>
          <w:rFonts w:ascii="Times New Roman" w:eastAsiaTheme="minorEastAsia" w:hAnsi="Times New Roman" w:cs="Times New Roman"/>
          <w:sz w:val="26"/>
          <w:szCs w:val="26"/>
        </w:rPr>
        <w:t xml:space="preserve">Перечень объектов оценки данной группы приведен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p>
    <w:p w14:paraId="26AF411D" w14:textId="47AE1F70" w:rsidR="000D42C3" w:rsidRPr="00882B4D" w:rsidRDefault="000D42C3" w:rsidP="000D42C3">
      <w:pPr>
        <w:spacing w:after="0" w:line="300" w:lineRule="auto"/>
        <w:ind w:firstLine="567"/>
        <w:jc w:val="both"/>
        <w:rPr>
          <w:rFonts w:ascii="Times New Roman" w:eastAsiaTheme="minorEastAsia" w:hAnsi="Times New Roman" w:cs="Times New Roman"/>
          <w:sz w:val="26"/>
          <w:szCs w:val="26"/>
        </w:rPr>
      </w:pPr>
      <w:r w:rsidRPr="00882B4D">
        <w:rPr>
          <w:rFonts w:ascii="Times New Roman" w:eastAsiaTheme="minorEastAsia" w:hAnsi="Times New Roman" w:cs="Times New Roman"/>
          <w:sz w:val="26"/>
          <w:szCs w:val="26"/>
        </w:rPr>
        <w:t xml:space="preserve">В состав группы </w:t>
      </w:r>
      <w:r>
        <w:rPr>
          <w:rFonts w:ascii="Times New Roman" w:eastAsiaTheme="minorEastAsia" w:hAnsi="Times New Roman" w:cs="Times New Roman"/>
          <w:sz w:val="26"/>
          <w:szCs w:val="26"/>
        </w:rPr>
        <w:t>СОД</w:t>
      </w:r>
      <w:r w:rsidRPr="00882B4D">
        <w:rPr>
          <w:rFonts w:ascii="Times New Roman" w:eastAsiaTheme="minorEastAsia" w:hAnsi="Times New Roman" w:cs="Times New Roman"/>
          <w:sz w:val="26"/>
          <w:szCs w:val="26"/>
        </w:rPr>
        <w:t xml:space="preserve">/УПКС вошли следующие коды расчета видов использования: </w:t>
      </w:r>
      <w:r w:rsidRPr="000D42C3">
        <w:rPr>
          <w:rFonts w:ascii="Times New Roman" w:eastAsiaTheme="minorEastAsia" w:hAnsi="Times New Roman" w:cs="Times New Roman"/>
          <w:sz w:val="26"/>
          <w:szCs w:val="26"/>
        </w:rPr>
        <w:t>13:011, 13:021</w:t>
      </w:r>
      <w:r w:rsidRPr="00882B4D">
        <w:rPr>
          <w:rFonts w:ascii="Times New Roman" w:eastAsiaTheme="minorEastAsia" w:hAnsi="Times New Roman" w:cs="Times New Roman"/>
          <w:sz w:val="26"/>
          <w:szCs w:val="26"/>
        </w:rPr>
        <w:t>.</w:t>
      </w:r>
    </w:p>
    <w:p w14:paraId="2C61AD82" w14:textId="313A2AAD" w:rsidR="000D42C3" w:rsidRPr="00882B4D" w:rsidRDefault="000D42C3" w:rsidP="000D42C3">
      <w:pPr>
        <w:spacing w:after="0" w:line="300" w:lineRule="auto"/>
        <w:ind w:firstLine="567"/>
        <w:jc w:val="both"/>
        <w:rPr>
          <w:rFonts w:ascii="Times New Roman" w:eastAsiaTheme="minorEastAsia" w:hAnsi="Times New Roman" w:cs="Times New Roman"/>
          <w:sz w:val="26"/>
          <w:szCs w:val="26"/>
        </w:rPr>
      </w:pPr>
      <w:r w:rsidRPr="00882B4D">
        <w:rPr>
          <w:rFonts w:ascii="Times New Roman" w:eastAsiaTheme="minorEastAsia" w:hAnsi="Times New Roman" w:cs="Times New Roman"/>
          <w:sz w:val="26"/>
          <w:szCs w:val="26"/>
        </w:rPr>
        <w:t xml:space="preserve">В группу </w:t>
      </w:r>
      <w:r>
        <w:rPr>
          <w:rFonts w:ascii="Times New Roman" w:eastAsiaTheme="minorEastAsia" w:hAnsi="Times New Roman" w:cs="Times New Roman"/>
          <w:sz w:val="26"/>
          <w:szCs w:val="26"/>
        </w:rPr>
        <w:t>СОД</w:t>
      </w:r>
      <w:r w:rsidRPr="00882B4D">
        <w:rPr>
          <w:rFonts w:ascii="Times New Roman" w:eastAsiaTheme="minorEastAsia" w:hAnsi="Times New Roman" w:cs="Times New Roman"/>
          <w:sz w:val="26"/>
          <w:szCs w:val="26"/>
        </w:rPr>
        <w:t xml:space="preserve">/УПКС включены объекты, не имеющие точной характеристики местоположения объектов (без факторов). </w:t>
      </w:r>
    </w:p>
    <w:p w14:paraId="3A4A2201" w14:textId="30056E61" w:rsidR="000D42C3" w:rsidRPr="00F562A8" w:rsidRDefault="00CB6EA9" w:rsidP="000D42C3">
      <w:pPr>
        <w:spacing w:after="0" w:line="300" w:lineRule="auto"/>
        <w:ind w:firstLine="567"/>
        <w:jc w:val="both"/>
        <w:rPr>
          <w:rFonts w:ascii="Times New Roman" w:eastAsiaTheme="minorEastAsia" w:hAnsi="Times New Roman" w:cs="Times New Roman"/>
          <w:sz w:val="26"/>
          <w:szCs w:val="26"/>
        </w:rPr>
      </w:pPr>
      <w:r w:rsidRPr="00CB6EA9">
        <w:rPr>
          <w:rFonts w:ascii="Times New Roman" w:eastAsiaTheme="minorEastAsia" w:hAnsi="Times New Roman" w:cs="Times New Roman"/>
          <w:sz w:val="26"/>
          <w:szCs w:val="26"/>
        </w:rPr>
        <w:t>Расчет кадастровой стоимости земельных участков данной группы проведен на основании средних удельных показателей кадастровой стоимости текущего сегмента с учетом кода расчета вида использования в соответствии с пунктом 45.3 Методических указаний</w:t>
      </w:r>
      <w:r w:rsidR="000D42C3">
        <w:rPr>
          <w:rFonts w:ascii="Times New Roman" w:hAnsi="Times New Roman" w:cs="Times New Roman"/>
          <w:bCs/>
          <w:sz w:val="26"/>
          <w:szCs w:val="26"/>
        </w:rPr>
        <w:t>.</w:t>
      </w:r>
      <w:r w:rsidR="000D42C3" w:rsidRPr="00F562A8">
        <w:rPr>
          <w:rFonts w:ascii="Times New Roman" w:eastAsiaTheme="minorEastAsia" w:hAnsi="Times New Roman" w:cs="Times New Roman"/>
          <w:sz w:val="26"/>
          <w:szCs w:val="26"/>
        </w:rPr>
        <w:t xml:space="preserve"> </w:t>
      </w:r>
    </w:p>
    <w:p w14:paraId="1EA1F94A" w14:textId="5B68484B" w:rsidR="000D42C3" w:rsidRDefault="00153B5F" w:rsidP="00CB6EA9">
      <w:pPr>
        <w:spacing w:after="0" w:line="300" w:lineRule="auto"/>
        <w:ind w:firstLine="567"/>
        <w:jc w:val="both"/>
        <w:rPr>
          <w:rFonts w:ascii="Times New Roman" w:eastAsiaTheme="majorEastAsia" w:hAnsi="Times New Roman" w:cs="Times New Roman"/>
          <w:b/>
          <w:sz w:val="24"/>
          <w:szCs w:val="26"/>
        </w:rPr>
      </w:pPr>
      <w:r w:rsidRPr="0041105F">
        <w:rPr>
          <w:rFonts w:ascii="Times New Roman" w:hAnsi="Times New Roman" w:cs="Times New Roman"/>
          <w:bCs/>
          <w:color w:val="000000" w:themeColor="text1"/>
          <w:sz w:val="26"/>
          <w:szCs w:val="26"/>
        </w:rPr>
        <w:t xml:space="preserve">Полученные результаты приведены в Приложении </w:t>
      </w:r>
      <w:r w:rsidR="00D22BB8" w:rsidRPr="00F562A8">
        <w:rPr>
          <w:rFonts w:ascii="Times New Roman" w:eastAsiaTheme="minorEastAsia" w:hAnsi="Times New Roman" w:cs="Times New Roman"/>
          <w:sz w:val="26"/>
          <w:szCs w:val="26"/>
        </w:rPr>
        <w:t>2/2.4</w:t>
      </w:r>
      <w:r w:rsidR="00D22BB8">
        <w:rPr>
          <w:rFonts w:ascii="Times New Roman" w:eastAsiaTheme="minorEastAsia" w:hAnsi="Times New Roman" w:cs="Times New Roman"/>
          <w:sz w:val="26"/>
          <w:szCs w:val="26"/>
        </w:rPr>
        <w:t>/2.4.13</w:t>
      </w:r>
      <w:r w:rsidR="000D42C3">
        <w:rPr>
          <w:rFonts w:cs="Times New Roman"/>
        </w:rPr>
        <w:br w:type="page"/>
      </w:r>
    </w:p>
    <w:p w14:paraId="3F9383DA" w14:textId="4CB0D94F" w:rsidR="006F6435" w:rsidRPr="00F562A8" w:rsidRDefault="006F6435" w:rsidP="00C1026B">
      <w:pPr>
        <w:pStyle w:val="20"/>
        <w:numPr>
          <w:ilvl w:val="1"/>
          <w:numId w:val="18"/>
        </w:numPr>
        <w:spacing w:line="276" w:lineRule="auto"/>
        <w:ind w:left="0" w:firstLine="709"/>
        <w:rPr>
          <w:rFonts w:cs="Times New Roman"/>
        </w:rPr>
      </w:pPr>
      <w:r w:rsidRPr="00F562A8">
        <w:rPr>
          <w:rFonts w:cs="Times New Roman"/>
        </w:rPr>
        <w:t xml:space="preserve"> </w:t>
      </w:r>
      <w:bookmarkStart w:id="309" w:name="_Toc497141906"/>
      <w:bookmarkStart w:id="310" w:name="_Toc524001406"/>
      <w:bookmarkStart w:id="311" w:name="_Toc110507035"/>
      <w:r w:rsidRPr="00F562A8">
        <w:rPr>
          <w:rFonts w:cs="Times New Roman"/>
        </w:rPr>
        <w:t xml:space="preserve">Информация об определении кадастровой стоимости </w:t>
      </w:r>
      <w:r w:rsidR="005C5E4C">
        <w:rPr>
          <w:rFonts w:cs="Times New Roman"/>
        </w:rPr>
        <w:t xml:space="preserve">объектов недвижимости в рамках </w:t>
      </w:r>
      <w:r w:rsidRPr="00F562A8">
        <w:rPr>
          <w:rFonts w:cs="Times New Roman"/>
        </w:rPr>
        <w:t>индивидуально</w:t>
      </w:r>
      <w:r w:rsidR="005C5E4C">
        <w:rPr>
          <w:rFonts w:cs="Times New Roman"/>
        </w:rPr>
        <w:t>го расчета</w:t>
      </w:r>
      <w:bookmarkEnd w:id="309"/>
      <w:bookmarkEnd w:id="310"/>
      <w:bookmarkEnd w:id="311"/>
    </w:p>
    <w:p w14:paraId="736B129C" w14:textId="77777777" w:rsidR="006F6435" w:rsidRPr="00F562A8" w:rsidRDefault="006F6435" w:rsidP="006F6435">
      <w:pPr>
        <w:spacing w:line="276" w:lineRule="auto"/>
        <w:rPr>
          <w:rFonts w:ascii="Times New Roman" w:hAnsi="Times New Roman" w:cs="Times New Roman"/>
          <w:sz w:val="16"/>
          <w:szCs w:val="16"/>
        </w:rPr>
      </w:pPr>
    </w:p>
    <w:p w14:paraId="62704D75" w14:textId="77777777" w:rsidR="005D464F" w:rsidRPr="00B30753" w:rsidRDefault="005D464F" w:rsidP="005D464F">
      <w:pPr>
        <w:autoSpaceDE w:val="0"/>
        <w:autoSpaceDN w:val="0"/>
        <w:adjustRightInd w:val="0"/>
        <w:spacing w:after="0" w:line="276" w:lineRule="auto"/>
        <w:ind w:firstLine="709"/>
        <w:jc w:val="both"/>
        <w:rPr>
          <w:rFonts w:ascii="Times New Roman" w:hAnsi="Times New Roman" w:cs="Times New Roman"/>
          <w:sz w:val="26"/>
          <w:szCs w:val="26"/>
        </w:rPr>
      </w:pPr>
      <w:r w:rsidRPr="00B30753">
        <w:rPr>
          <w:rFonts w:ascii="Times New Roman" w:hAnsi="Times New Roman" w:cs="Times New Roman"/>
          <w:sz w:val="26"/>
          <w:szCs w:val="26"/>
        </w:rPr>
        <w:t xml:space="preserve">В соответствии с </w:t>
      </w:r>
      <w:r w:rsidRPr="00F27BDA">
        <w:rPr>
          <w:rFonts w:ascii="Times New Roman" w:hAnsi="Times New Roman" w:cs="Times New Roman"/>
          <w:sz w:val="26"/>
          <w:szCs w:val="26"/>
        </w:rPr>
        <w:t>пунктом 49 Указаний о ГКО</w:t>
      </w:r>
      <w:r w:rsidRPr="00B30753">
        <w:rPr>
          <w:rFonts w:ascii="Times New Roman" w:hAnsi="Times New Roman" w:cs="Times New Roman"/>
          <w:sz w:val="26"/>
          <w:szCs w:val="26"/>
        </w:rPr>
        <w:t xml:space="preserve"> индивидуальный расчет применяется в следующих случаях:</w:t>
      </w:r>
    </w:p>
    <w:p w14:paraId="095865C3" w14:textId="77777777" w:rsidR="005D464F" w:rsidRPr="00B30753" w:rsidRDefault="005D464F" w:rsidP="005D464F">
      <w:pPr>
        <w:autoSpaceDE w:val="0"/>
        <w:autoSpaceDN w:val="0"/>
        <w:adjustRightInd w:val="0"/>
        <w:spacing w:after="0" w:line="276" w:lineRule="auto"/>
        <w:ind w:firstLine="709"/>
        <w:jc w:val="both"/>
        <w:rPr>
          <w:rFonts w:ascii="Times New Roman" w:hAnsi="Times New Roman" w:cs="Times New Roman"/>
          <w:sz w:val="26"/>
          <w:szCs w:val="26"/>
        </w:rPr>
      </w:pPr>
      <w:r w:rsidRPr="00B30753">
        <w:rPr>
          <w:rFonts w:ascii="Times New Roman" w:hAnsi="Times New Roman" w:cs="Times New Roman"/>
          <w:sz w:val="26"/>
          <w:szCs w:val="26"/>
        </w:rPr>
        <w:t>1) требуется определение стоимости эталонного (типового) объекта с заданными характеристиками, относительно которого будут моделироваться стоимости объектов недвижимости;</w:t>
      </w:r>
    </w:p>
    <w:p w14:paraId="1F449EAB" w14:textId="77777777" w:rsidR="005D464F" w:rsidRPr="00B30753" w:rsidRDefault="005D464F" w:rsidP="005D464F">
      <w:pPr>
        <w:autoSpaceDE w:val="0"/>
        <w:autoSpaceDN w:val="0"/>
        <w:adjustRightInd w:val="0"/>
        <w:spacing w:after="0" w:line="276" w:lineRule="auto"/>
        <w:ind w:firstLine="709"/>
        <w:jc w:val="both"/>
        <w:rPr>
          <w:rFonts w:ascii="Times New Roman" w:hAnsi="Times New Roman" w:cs="Times New Roman"/>
          <w:sz w:val="26"/>
          <w:szCs w:val="26"/>
        </w:rPr>
      </w:pPr>
      <w:r w:rsidRPr="00B30753">
        <w:rPr>
          <w:rFonts w:ascii="Times New Roman" w:hAnsi="Times New Roman" w:cs="Times New Roman"/>
          <w:sz w:val="26"/>
          <w:szCs w:val="26"/>
        </w:rPr>
        <w:t>2) требуется определение стоимости конкретных объектов недвижимости с целью обеспечения достаточного количества информации о рынке (сегменте рынка) объектов недвижимости или в случае невозможности продолжения фактического использования объекта недвижимости;</w:t>
      </w:r>
    </w:p>
    <w:p w14:paraId="2687BBC6" w14:textId="77777777" w:rsidR="005D464F" w:rsidRPr="00B30753" w:rsidRDefault="005D464F" w:rsidP="005D464F">
      <w:pPr>
        <w:autoSpaceDE w:val="0"/>
        <w:autoSpaceDN w:val="0"/>
        <w:adjustRightInd w:val="0"/>
        <w:spacing w:after="0" w:line="276" w:lineRule="auto"/>
        <w:ind w:firstLine="709"/>
        <w:jc w:val="both"/>
        <w:rPr>
          <w:rFonts w:ascii="Times New Roman" w:hAnsi="Times New Roman" w:cs="Times New Roman"/>
          <w:sz w:val="26"/>
          <w:szCs w:val="26"/>
        </w:rPr>
      </w:pPr>
      <w:r w:rsidRPr="00B30753">
        <w:rPr>
          <w:rFonts w:ascii="Times New Roman" w:hAnsi="Times New Roman" w:cs="Times New Roman"/>
          <w:sz w:val="26"/>
          <w:szCs w:val="26"/>
        </w:rPr>
        <w:t>3) невозможности расчета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w:t>
      </w:r>
    </w:p>
    <w:p w14:paraId="403B5081" w14:textId="77777777" w:rsidR="005D464F" w:rsidRPr="00B30753" w:rsidRDefault="005D464F" w:rsidP="005D464F">
      <w:pPr>
        <w:autoSpaceDE w:val="0"/>
        <w:autoSpaceDN w:val="0"/>
        <w:adjustRightInd w:val="0"/>
        <w:spacing w:after="0" w:line="276" w:lineRule="auto"/>
        <w:ind w:firstLine="709"/>
        <w:jc w:val="both"/>
        <w:rPr>
          <w:rFonts w:ascii="Times New Roman" w:hAnsi="Times New Roman" w:cs="Times New Roman"/>
          <w:sz w:val="26"/>
          <w:szCs w:val="26"/>
        </w:rPr>
      </w:pPr>
      <w:r w:rsidRPr="00B30753">
        <w:rPr>
          <w:rFonts w:ascii="Times New Roman" w:hAnsi="Times New Roman" w:cs="Times New Roman"/>
          <w:sz w:val="26"/>
          <w:szCs w:val="26"/>
        </w:rPr>
        <w:t>4) определение кадастровой стоимости особо сложных объектов недвижимости, обладающих уникальными характеристиками.</w:t>
      </w:r>
    </w:p>
    <w:p w14:paraId="3E8C39D5" w14:textId="1889BD44" w:rsidR="005D464F" w:rsidRDefault="005D464F" w:rsidP="00A36DE5">
      <w:pPr>
        <w:autoSpaceDE w:val="0"/>
        <w:autoSpaceDN w:val="0"/>
        <w:adjustRightInd w:val="0"/>
        <w:spacing w:after="0" w:line="276" w:lineRule="auto"/>
        <w:ind w:firstLine="709"/>
        <w:jc w:val="both"/>
        <w:rPr>
          <w:rFonts w:ascii="Times New Roman" w:hAnsi="Times New Roman" w:cs="Times New Roman"/>
          <w:sz w:val="26"/>
          <w:szCs w:val="26"/>
        </w:rPr>
      </w:pPr>
      <w:r w:rsidRPr="00B30753">
        <w:rPr>
          <w:rFonts w:ascii="Times New Roman" w:hAnsi="Times New Roman" w:cs="Times New Roman"/>
          <w:sz w:val="26"/>
          <w:szCs w:val="26"/>
        </w:rPr>
        <w:t xml:space="preserve">Для </w:t>
      </w:r>
      <w:r w:rsidR="00A95B09">
        <w:rPr>
          <w:rFonts w:ascii="Times New Roman" w:hAnsi="Times New Roman" w:cs="Times New Roman"/>
          <w:sz w:val="26"/>
          <w:szCs w:val="26"/>
        </w:rPr>
        <w:t xml:space="preserve">расчетной группы Воронеж </w:t>
      </w:r>
      <w:r>
        <w:rPr>
          <w:rFonts w:ascii="Times New Roman" w:hAnsi="Times New Roman" w:cs="Times New Roman"/>
          <w:sz w:val="26"/>
          <w:szCs w:val="26"/>
        </w:rPr>
        <w:t>1</w:t>
      </w:r>
      <w:r w:rsidRPr="00B30753">
        <w:rPr>
          <w:rFonts w:ascii="Times New Roman" w:hAnsi="Times New Roman" w:cs="Times New Roman"/>
          <w:sz w:val="26"/>
          <w:szCs w:val="26"/>
        </w:rPr>
        <w:t xml:space="preserve"> сегмента «</w:t>
      </w:r>
      <w:r w:rsidRPr="008E1C8F">
        <w:rPr>
          <w:rFonts w:ascii="Times New Roman" w:hAnsi="Times New Roman" w:cs="Times New Roman"/>
          <w:sz w:val="26"/>
          <w:szCs w:val="26"/>
        </w:rPr>
        <w:t>Сельскохозяйственное использование</w:t>
      </w:r>
      <w:r w:rsidRPr="00B30753">
        <w:rPr>
          <w:rFonts w:ascii="Times New Roman" w:hAnsi="Times New Roman" w:cs="Times New Roman"/>
          <w:sz w:val="26"/>
          <w:szCs w:val="26"/>
        </w:rPr>
        <w:t xml:space="preserve">» </w:t>
      </w:r>
      <w:r>
        <w:rPr>
          <w:rFonts w:ascii="Times New Roman" w:hAnsi="Times New Roman" w:cs="Times New Roman"/>
          <w:sz w:val="26"/>
          <w:szCs w:val="26"/>
        </w:rPr>
        <w:t xml:space="preserve">выполнено </w:t>
      </w:r>
      <w:r w:rsidRPr="00B30753">
        <w:rPr>
          <w:rFonts w:ascii="Times New Roman" w:hAnsi="Times New Roman" w:cs="Times New Roman"/>
          <w:sz w:val="26"/>
          <w:szCs w:val="26"/>
        </w:rPr>
        <w:t>определение кадастровой стоимости земельных участков с помощью индивидуального расчета эталонн</w:t>
      </w:r>
      <w:r>
        <w:rPr>
          <w:rFonts w:ascii="Times New Roman" w:hAnsi="Times New Roman" w:cs="Times New Roman"/>
          <w:sz w:val="26"/>
          <w:szCs w:val="26"/>
        </w:rPr>
        <w:t>ого</w:t>
      </w:r>
      <w:r w:rsidRPr="00B30753">
        <w:rPr>
          <w:rFonts w:ascii="Times New Roman" w:hAnsi="Times New Roman" w:cs="Times New Roman"/>
          <w:sz w:val="26"/>
          <w:szCs w:val="26"/>
        </w:rPr>
        <w:t xml:space="preserve"> (типов</w:t>
      </w:r>
      <w:r>
        <w:rPr>
          <w:rFonts w:ascii="Times New Roman" w:hAnsi="Times New Roman" w:cs="Times New Roman"/>
          <w:sz w:val="26"/>
          <w:szCs w:val="26"/>
        </w:rPr>
        <w:t>ого</w:t>
      </w:r>
      <w:r w:rsidRPr="00B30753">
        <w:rPr>
          <w:rFonts w:ascii="Times New Roman" w:hAnsi="Times New Roman" w:cs="Times New Roman"/>
          <w:sz w:val="26"/>
          <w:szCs w:val="26"/>
        </w:rPr>
        <w:t>) объект</w:t>
      </w:r>
      <w:r>
        <w:rPr>
          <w:rFonts w:ascii="Times New Roman" w:hAnsi="Times New Roman" w:cs="Times New Roman"/>
          <w:sz w:val="26"/>
          <w:szCs w:val="26"/>
        </w:rPr>
        <w:t>а</w:t>
      </w:r>
      <w:r w:rsidRPr="00B30753">
        <w:rPr>
          <w:rFonts w:ascii="Times New Roman" w:hAnsi="Times New Roman" w:cs="Times New Roman"/>
          <w:sz w:val="26"/>
          <w:szCs w:val="26"/>
        </w:rPr>
        <w:t xml:space="preserve"> недвижимости c кадастровым номер</w:t>
      </w:r>
      <w:r>
        <w:rPr>
          <w:rFonts w:ascii="Times New Roman" w:hAnsi="Times New Roman" w:cs="Times New Roman"/>
          <w:sz w:val="26"/>
          <w:szCs w:val="26"/>
        </w:rPr>
        <w:t xml:space="preserve">ом </w:t>
      </w:r>
      <w:r w:rsidRPr="005D464F">
        <w:rPr>
          <w:rFonts w:ascii="Times New Roman" w:hAnsi="Times New Roman" w:cs="Times New Roman"/>
          <w:b/>
          <w:sz w:val="26"/>
          <w:szCs w:val="26"/>
        </w:rPr>
        <w:t>36:34:0102002:172</w:t>
      </w:r>
      <w:r>
        <w:rPr>
          <w:rFonts w:ascii="Times New Roman" w:hAnsi="Times New Roman" w:cs="Times New Roman"/>
          <w:sz w:val="26"/>
          <w:szCs w:val="26"/>
        </w:rPr>
        <w:t xml:space="preserve">. </w:t>
      </w:r>
      <w:r w:rsidRPr="00B30753">
        <w:rPr>
          <w:rFonts w:ascii="Times New Roman" w:hAnsi="Times New Roman" w:cs="Times New Roman"/>
          <w:sz w:val="26"/>
          <w:szCs w:val="26"/>
        </w:rPr>
        <w:t xml:space="preserve">Описание расчета эталонного (типового) объекта недвижимости для 1 сегмента </w:t>
      </w:r>
      <w:r w:rsidR="00A95B09">
        <w:rPr>
          <w:rFonts w:ascii="Times New Roman" w:hAnsi="Times New Roman" w:cs="Times New Roman"/>
          <w:sz w:val="26"/>
          <w:szCs w:val="26"/>
        </w:rPr>
        <w:t xml:space="preserve">группа Воронеж </w:t>
      </w:r>
      <w:r w:rsidRPr="00A95B09">
        <w:rPr>
          <w:rFonts w:ascii="Times New Roman" w:hAnsi="Times New Roman" w:cs="Times New Roman"/>
          <w:sz w:val="26"/>
          <w:szCs w:val="26"/>
        </w:rPr>
        <w:t>представлено в пункт</w:t>
      </w:r>
      <w:r w:rsidR="00A95B09" w:rsidRPr="00A95B09">
        <w:rPr>
          <w:rFonts w:ascii="Times New Roman" w:hAnsi="Times New Roman" w:cs="Times New Roman"/>
          <w:sz w:val="26"/>
          <w:szCs w:val="26"/>
        </w:rPr>
        <w:t>е</w:t>
      </w:r>
      <w:r w:rsidRPr="00A95B09">
        <w:rPr>
          <w:rFonts w:ascii="Times New Roman" w:hAnsi="Times New Roman" w:cs="Times New Roman"/>
          <w:sz w:val="26"/>
          <w:szCs w:val="26"/>
        </w:rPr>
        <w:t xml:space="preserve"> 3.6.1.1.</w:t>
      </w:r>
      <w:r w:rsidRPr="00A95B09">
        <w:rPr>
          <w:rStyle w:val="40"/>
          <w:rFonts w:cs="Times New Roman"/>
          <w:szCs w:val="26"/>
        </w:rPr>
        <w:t xml:space="preserve"> </w:t>
      </w:r>
      <w:r w:rsidR="00A36DE5" w:rsidRPr="00A36DE5">
        <w:rPr>
          <w:rStyle w:val="40"/>
          <w:rFonts w:cs="Times New Roman"/>
          <w:b w:val="0"/>
          <w:szCs w:val="26"/>
        </w:rPr>
        <w:t>О</w:t>
      </w:r>
      <w:r w:rsidR="00A95B09" w:rsidRPr="00A36DE5">
        <w:rPr>
          <w:rFonts w:ascii="Times New Roman" w:hAnsi="Times New Roman" w:cs="Times New Roman"/>
          <w:sz w:val="26"/>
          <w:szCs w:val="26"/>
        </w:rPr>
        <w:t>т</w:t>
      </w:r>
      <w:r w:rsidR="00A95B09" w:rsidRPr="00A95B09">
        <w:rPr>
          <w:rFonts w:ascii="Times New Roman" w:hAnsi="Times New Roman" w:cs="Times New Roman"/>
          <w:sz w:val="26"/>
          <w:szCs w:val="26"/>
        </w:rPr>
        <w:t>чета</w:t>
      </w:r>
      <w:r>
        <w:rPr>
          <w:rFonts w:ascii="Times New Roman" w:hAnsi="Times New Roman" w:cs="Times New Roman"/>
          <w:sz w:val="26"/>
          <w:szCs w:val="26"/>
        </w:rPr>
        <w:t>.</w:t>
      </w:r>
      <w:r w:rsidRPr="00B30753">
        <w:rPr>
          <w:rFonts w:ascii="Times New Roman" w:hAnsi="Times New Roman" w:cs="Times New Roman"/>
          <w:sz w:val="26"/>
          <w:szCs w:val="26"/>
        </w:rPr>
        <w:t xml:space="preserve"> </w:t>
      </w:r>
    </w:p>
    <w:p w14:paraId="4F27782D" w14:textId="3F50EDF9" w:rsidR="001A482C" w:rsidRDefault="001A482C" w:rsidP="001A482C">
      <w:pPr>
        <w:autoSpaceDE w:val="0"/>
        <w:autoSpaceDN w:val="0"/>
        <w:adjustRightInd w:val="0"/>
        <w:spacing w:after="0" w:line="276" w:lineRule="auto"/>
        <w:ind w:firstLine="709"/>
        <w:jc w:val="both"/>
        <w:rPr>
          <w:rFonts w:ascii="Times New Roman" w:hAnsi="Times New Roman" w:cs="Times New Roman"/>
          <w:sz w:val="26"/>
          <w:szCs w:val="26"/>
        </w:rPr>
      </w:pPr>
      <w:r w:rsidRPr="001A482C">
        <w:rPr>
          <w:rFonts w:ascii="Times New Roman" w:hAnsi="Times New Roman" w:cs="Times New Roman"/>
          <w:sz w:val="26"/>
          <w:szCs w:val="26"/>
        </w:rPr>
        <w:t xml:space="preserve">Для расчетной группы «Пруды» 1 сегмента «Сельскохозяйственное использование» определение кадастровой стоимости земельных участков, входящих в состав группы, выполнено индивидуально </w:t>
      </w:r>
      <w:r w:rsidR="00762A6A" w:rsidRPr="00762A6A">
        <w:rPr>
          <w:rFonts w:ascii="Times New Roman" w:hAnsi="Times New Roman" w:cs="Times New Roman"/>
          <w:sz w:val="26"/>
          <w:szCs w:val="26"/>
        </w:rPr>
        <w:t>как сумма произведений УПКС водного зеркала на площадь земельного участка под водной поверхностью и среднего по району значения УПКС земель сельскохозяйственного назначения на площадь земельного участка не занятого водной поверхностью</w:t>
      </w:r>
      <w:r w:rsidRPr="001A482C">
        <w:rPr>
          <w:rFonts w:ascii="Times New Roman" w:hAnsi="Times New Roman" w:cs="Times New Roman"/>
          <w:sz w:val="26"/>
          <w:szCs w:val="26"/>
        </w:rPr>
        <w:t xml:space="preserve">. Общее количество земельных участков, рассчитанных индивидуально, составляет </w:t>
      </w:r>
      <w:r w:rsidRPr="00762A6A">
        <w:rPr>
          <w:rFonts w:ascii="Times New Roman" w:hAnsi="Times New Roman" w:cs="Times New Roman"/>
          <w:b/>
          <w:sz w:val="26"/>
          <w:szCs w:val="26"/>
        </w:rPr>
        <w:t>326</w:t>
      </w:r>
      <w:r w:rsidRPr="001A482C">
        <w:rPr>
          <w:rFonts w:ascii="Times New Roman" w:hAnsi="Times New Roman" w:cs="Times New Roman"/>
          <w:sz w:val="26"/>
          <w:szCs w:val="26"/>
        </w:rPr>
        <w:t xml:space="preserve"> шт. Описание расчета земельных участков указанной группы приведено в разделе 3.6.1.2 настоящего Отчета.</w:t>
      </w:r>
    </w:p>
    <w:p w14:paraId="35DFD9FE" w14:textId="597B3407" w:rsidR="0051642C" w:rsidRPr="00D16C55" w:rsidRDefault="0051642C" w:rsidP="0051642C">
      <w:pPr>
        <w:autoSpaceDE w:val="0"/>
        <w:autoSpaceDN w:val="0"/>
        <w:adjustRightInd w:val="0"/>
        <w:spacing w:after="0" w:line="276" w:lineRule="auto"/>
        <w:ind w:firstLine="709"/>
        <w:jc w:val="both"/>
        <w:rPr>
          <w:rFonts w:ascii="Times New Roman" w:hAnsi="Times New Roman" w:cs="Times New Roman"/>
          <w:sz w:val="26"/>
          <w:szCs w:val="26"/>
        </w:rPr>
      </w:pPr>
      <w:r w:rsidRPr="00D16C55">
        <w:rPr>
          <w:rFonts w:ascii="Times New Roman" w:hAnsi="Times New Roman" w:cs="Times New Roman"/>
          <w:sz w:val="26"/>
          <w:szCs w:val="26"/>
        </w:rPr>
        <w:t xml:space="preserve">Для расчетной группы «ВОДОЕМЫ» 11 сегмента «Водные объекты» определение кадастровой стоимости земельных участков, входящих в состав группы, выполнено индивидуально как сумма произведений УПКС водного зеркала на площадь земельного участка под водной поверхностью и среднего по району значения УПКС земель сельскохозяйственного назначения на площадь земельного участка не занятого водной поверхностью. Общее количество земельных участков, рассчитанных индивидуально, составляет </w:t>
      </w:r>
      <w:r w:rsidR="00D16C55" w:rsidRPr="00D16C55">
        <w:rPr>
          <w:rFonts w:ascii="Times New Roman" w:hAnsi="Times New Roman" w:cs="Times New Roman"/>
          <w:b/>
          <w:sz w:val="26"/>
          <w:szCs w:val="26"/>
        </w:rPr>
        <w:t>772</w:t>
      </w:r>
      <w:r w:rsidRPr="00D16C55">
        <w:rPr>
          <w:rFonts w:ascii="Times New Roman" w:hAnsi="Times New Roman" w:cs="Times New Roman"/>
          <w:sz w:val="26"/>
          <w:szCs w:val="26"/>
        </w:rPr>
        <w:t xml:space="preserve"> шт. Описание расчета земельных участков указанной группы приведено в разделе 3.6.1.2 настоящего Отчета.</w:t>
      </w:r>
    </w:p>
    <w:p w14:paraId="1EC63B5B" w14:textId="77777777" w:rsidR="0051642C" w:rsidRPr="00B30753" w:rsidRDefault="0051642C" w:rsidP="001A482C">
      <w:pPr>
        <w:autoSpaceDE w:val="0"/>
        <w:autoSpaceDN w:val="0"/>
        <w:adjustRightInd w:val="0"/>
        <w:spacing w:after="0" w:line="276" w:lineRule="auto"/>
        <w:ind w:firstLine="709"/>
        <w:jc w:val="both"/>
        <w:rPr>
          <w:rFonts w:ascii="Times New Roman" w:hAnsi="Times New Roman" w:cs="Times New Roman"/>
          <w:sz w:val="26"/>
          <w:szCs w:val="26"/>
        </w:rPr>
      </w:pPr>
    </w:p>
    <w:p w14:paraId="24937978" w14:textId="1A17EF1C" w:rsidR="005D464F" w:rsidRDefault="005D464F" w:rsidP="005D464F">
      <w:pPr>
        <w:autoSpaceDE w:val="0"/>
        <w:autoSpaceDN w:val="0"/>
        <w:adjustRightInd w:val="0"/>
        <w:spacing w:after="0" w:line="276" w:lineRule="auto"/>
        <w:ind w:firstLine="709"/>
        <w:jc w:val="both"/>
        <w:rPr>
          <w:rFonts w:ascii="Times New Roman" w:hAnsi="Times New Roman" w:cs="Times New Roman"/>
          <w:sz w:val="26"/>
          <w:szCs w:val="26"/>
        </w:rPr>
      </w:pPr>
      <w:r w:rsidRPr="00B30753">
        <w:rPr>
          <w:rFonts w:ascii="Times New Roman" w:hAnsi="Times New Roman" w:cs="Times New Roman"/>
          <w:sz w:val="26"/>
          <w:szCs w:val="26"/>
        </w:rPr>
        <w:t>Для</w:t>
      </w:r>
      <w:r w:rsidR="00A95B09" w:rsidRPr="00A95B09">
        <w:rPr>
          <w:rFonts w:ascii="Times New Roman" w:hAnsi="Times New Roman" w:cs="Times New Roman"/>
          <w:sz w:val="26"/>
          <w:szCs w:val="26"/>
        </w:rPr>
        <w:t xml:space="preserve"> </w:t>
      </w:r>
      <w:r w:rsidR="00A95B09">
        <w:rPr>
          <w:rFonts w:ascii="Times New Roman" w:hAnsi="Times New Roman" w:cs="Times New Roman"/>
          <w:sz w:val="26"/>
          <w:szCs w:val="26"/>
        </w:rPr>
        <w:t xml:space="preserve">расчетной </w:t>
      </w:r>
      <w:r w:rsidR="00A95B09" w:rsidRPr="008320B6">
        <w:rPr>
          <w:rFonts w:ascii="Times New Roman" w:hAnsi="Times New Roman" w:cs="Times New Roman"/>
          <w:sz w:val="26"/>
          <w:szCs w:val="26"/>
        </w:rPr>
        <w:t>групп</w:t>
      </w:r>
      <w:r w:rsidR="00A95B09">
        <w:rPr>
          <w:rFonts w:ascii="Times New Roman" w:hAnsi="Times New Roman" w:cs="Times New Roman"/>
          <w:sz w:val="26"/>
          <w:szCs w:val="26"/>
        </w:rPr>
        <w:t>ы</w:t>
      </w:r>
      <w:r w:rsidR="00A95B09" w:rsidRPr="008320B6">
        <w:rPr>
          <w:rFonts w:ascii="Times New Roman" w:hAnsi="Times New Roman" w:cs="Times New Roman"/>
          <w:sz w:val="26"/>
          <w:szCs w:val="26"/>
        </w:rPr>
        <w:t xml:space="preserve"> «Производство</w:t>
      </w:r>
      <w:r w:rsidR="00A95B09">
        <w:rPr>
          <w:rFonts w:ascii="Times New Roman" w:hAnsi="Times New Roman" w:cs="Times New Roman"/>
          <w:sz w:val="26"/>
          <w:szCs w:val="26"/>
        </w:rPr>
        <w:t>/Пром/</w:t>
      </w:r>
      <w:r w:rsidR="00A95B09" w:rsidRPr="008320B6">
        <w:t xml:space="preserve"> </w:t>
      </w:r>
      <w:r w:rsidR="00A95B09" w:rsidRPr="008320B6">
        <w:rPr>
          <w:rFonts w:ascii="Times New Roman" w:hAnsi="Times New Roman" w:cs="Times New Roman"/>
          <w:sz w:val="26"/>
          <w:szCs w:val="26"/>
        </w:rPr>
        <w:t>Воронеж КОММ</w:t>
      </w:r>
      <w:r w:rsidR="00A95B09">
        <w:rPr>
          <w:rFonts w:ascii="Times New Roman" w:hAnsi="Times New Roman" w:cs="Times New Roman"/>
          <w:sz w:val="26"/>
          <w:szCs w:val="26"/>
        </w:rPr>
        <w:t>»</w:t>
      </w:r>
      <w:r w:rsidRPr="00B30753">
        <w:rPr>
          <w:rFonts w:ascii="Times New Roman" w:hAnsi="Times New Roman" w:cs="Times New Roman"/>
          <w:sz w:val="26"/>
          <w:szCs w:val="26"/>
        </w:rPr>
        <w:t xml:space="preserve"> 6 сегмента «Производственная деятельность» </w:t>
      </w:r>
      <w:r>
        <w:rPr>
          <w:rFonts w:ascii="Times New Roman" w:hAnsi="Times New Roman" w:cs="Times New Roman"/>
          <w:sz w:val="26"/>
          <w:szCs w:val="26"/>
        </w:rPr>
        <w:t xml:space="preserve">выполнено </w:t>
      </w:r>
      <w:r w:rsidRPr="00B30753">
        <w:rPr>
          <w:rFonts w:ascii="Times New Roman" w:hAnsi="Times New Roman" w:cs="Times New Roman"/>
          <w:sz w:val="26"/>
          <w:szCs w:val="26"/>
        </w:rPr>
        <w:t>определение кадастровой стоимости земельных участков с помощью индивидуального эталон</w:t>
      </w:r>
      <w:r>
        <w:rPr>
          <w:rFonts w:ascii="Times New Roman" w:hAnsi="Times New Roman" w:cs="Times New Roman"/>
          <w:sz w:val="26"/>
          <w:szCs w:val="26"/>
        </w:rPr>
        <w:t>ного</w:t>
      </w:r>
      <w:r w:rsidRPr="00B30753">
        <w:rPr>
          <w:rFonts w:ascii="Times New Roman" w:hAnsi="Times New Roman" w:cs="Times New Roman"/>
          <w:sz w:val="26"/>
          <w:szCs w:val="26"/>
        </w:rPr>
        <w:t xml:space="preserve"> (типов</w:t>
      </w:r>
      <w:r>
        <w:rPr>
          <w:rFonts w:ascii="Times New Roman" w:hAnsi="Times New Roman" w:cs="Times New Roman"/>
          <w:sz w:val="26"/>
          <w:szCs w:val="26"/>
        </w:rPr>
        <w:t>ого</w:t>
      </w:r>
      <w:r w:rsidRPr="00B30753">
        <w:rPr>
          <w:rFonts w:ascii="Times New Roman" w:hAnsi="Times New Roman" w:cs="Times New Roman"/>
          <w:sz w:val="26"/>
          <w:szCs w:val="26"/>
        </w:rPr>
        <w:t>) объект</w:t>
      </w:r>
      <w:r>
        <w:rPr>
          <w:rFonts w:ascii="Times New Roman" w:hAnsi="Times New Roman" w:cs="Times New Roman"/>
          <w:sz w:val="26"/>
          <w:szCs w:val="26"/>
        </w:rPr>
        <w:t>а</w:t>
      </w:r>
      <w:r w:rsidRPr="00B30753">
        <w:rPr>
          <w:rFonts w:ascii="Times New Roman" w:hAnsi="Times New Roman" w:cs="Times New Roman"/>
          <w:sz w:val="26"/>
          <w:szCs w:val="26"/>
        </w:rPr>
        <w:t xml:space="preserve"> недвижимости c кадастровым номер</w:t>
      </w:r>
      <w:r>
        <w:rPr>
          <w:rFonts w:ascii="Times New Roman" w:hAnsi="Times New Roman" w:cs="Times New Roman"/>
          <w:sz w:val="26"/>
          <w:szCs w:val="26"/>
        </w:rPr>
        <w:t xml:space="preserve">ом </w:t>
      </w:r>
      <w:r w:rsidRPr="005D464F">
        <w:rPr>
          <w:rFonts w:ascii="Times New Roman" w:hAnsi="Times New Roman" w:cs="Times New Roman"/>
          <w:b/>
          <w:sz w:val="26"/>
          <w:szCs w:val="26"/>
        </w:rPr>
        <w:t>36:34:0602001:39064</w:t>
      </w:r>
      <w:r>
        <w:rPr>
          <w:rFonts w:ascii="Times New Roman" w:hAnsi="Times New Roman" w:cs="Times New Roman"/>
          <w:sz w:val="26"/>
          <w:szCs w:val="26"/>
        </w:rPr>
        <w:t xml:space="preserve">. </w:t>
      </w:r>
      <w:r w:rsidRPr="00B30753">
        <w:rPr>
          <w:rFonts w:ascii="Times New Roman" w:hAnsi="Times New Roman" w:cs="Times New Roman"/>
          <w:sz w:val="26"/>
          <w:szCs w:val="26"/>
        </w:rPr>
        <w:t>Описание расчета эталон</w:t>
      </w:r>
      <w:r w:rsidRPr="00A95B09">
        <w:rPr>
          <w:rFonts w:ascii="Times New Roman" w:hAnsi="Times New Roman" w:cs="Times New Roman"/>
          <w:sz w:val="26"/>
          <w:szCs w:val="26"/>
        </w:rPr>
        <w:t>ного (типового) объекта недвижимости для 6 сегмента представлено в пункт</w:t>
      </w:r>
      <w:r w:rsidR="00A95B09" w:rsidRPr="00A95B09">
        <w:rPr>
          <w:rFonts w:ascii="Times New Roman" w:hAnsi="Times New Roman" w:cs="Times New Roman"/>
          <w:sz w:val="26"/>
          <w:szCs w:val="26"/>
        </w:rPr>
        <w:t>е</w:t>
      </w:r>
      <w:r w:rsidRPr="00A95B09">
        <w:rPr>
          <w:rFonts w:ascii="Times New Roman" w:hAnsi="Times New Roman" w:cs="Times New Roman"/>
          <w:sz w:val="26"/>
          <w:szCs w:val="26"/>
        </w:rPr>
        <w:t xml:space="preserve"> 3.6.6.</w:t>
      </w:r>
      <w:r w:rsidR="005E194A">
        <w:rPr>
          <w:rFonts w:ascii="Times New Roman" w:hAnsi="Times New Roman" w:cs="Times New Roman"/>
          <w:sz w:val="26"/>
          <w:szCs w:val="26"/>
        </w:rPr>
        <w:t>7</w:t>
      </w:r>
      <w:r w:rsidRPr="00A95B09">
        <w:rPr>
          <w:rFonts w:ascii="Times New Roman" w:hAnsi="Times New Roman" w:cs="Times New Roman"/>
          <w:sz w:val="26"/>
          <w:szCs w:val="26"/>
        </w:rPr>
        <w:t xml:space="preserve"> настоящего</w:t>
      </w:r>
      <w:r w:rsidRPr="00B30753">
        <w:rPr>
          <w:rFonts w:ascii="Times New Roman" w:hAnsi="Times New Roman" w:cs="Times New Roman"/>
          <w:sz w:val="26"/>
          <w:szCs w:val="26"/>
        </w:rPr>
        <w:t xml:space="preserve"> Отчета. </w:t>
      </w:r>
    </w:p>
    <w:p w14:paraId="47BBB19C" w14:textId="77777777" w:rsidR="006F6435" w:rsidRPr="00F562A8" w:rsidRDefault="006F6435" w:rsidP="006F6435">
      <w:pPr>
        <w:spacing w:line="276" w:lineRule="auto"/>
        <w:jc w:val="both"/>
        <w:rPr>
          <w:rFonts w:ascii="Times New Roman" w:hAnsi="Times New Roman" w:cs="Times New Roman"/>
          <w:sz w:val="24"/>
          <w:szCs w:val="24"/>
        </w:rPr>
      </w:pPr>
    </w:p>
    <w:p w14:paraId="691ABE8C" w14:textId="77777777" w:rsidR="00520219" w:rsidRDefault="00520219">
      <w:pPr>
        <w:rPr>
          <w:rFonts w:ascii="Times New Roman" w:eastAsiaTheme="majorEastAsia" w:hAnsi="Times New Roman" w:cs="Times New Roman"/>
          <w:b/>
          <w:sz w:val="24"/>
          <w:szCs w:val="32"/>
        </w:rPr>
      </w:pPr>
      <w:r>
        <w:rPr>
          <w:rFonts w:cs="Times New Roman"/>
        </w:rPr>
        <w:br w:type="page"/>
      </w:r>
    </w:p>
    <w:p w14:paraId="67092E77" w14:textId="77777777" w:rsidR="00905E1F" w:rsidRPr="00AC3806" w:rsidRDefault="00905E1F" w:rsidP="00905E1F">
      <w:pPr>
        <w:pStyle w:val="10"/>
        <w:spacing w:line="240" w:lineRule="auto"/>
        <w:ind w:firstLine="709"/>
        <w:rPr>
          <w:rFonts w:cs="Times New Roman"/>
          <w:sz w:val="26"/>
          <w:szCs w:val="26"/>
        </w:rPr>
      </w:pPr>
      <w:bookmarkStart w:id="312" w:name="_Toc106539015"/>
      <w:bookmarkStart w:id="313" w:name="_Toc110507036"/>
      <w:bookmarkEnd w:id="134"/>
      <w:r w:rsidRPr="00AC3806">
        <w:rPr>
          <w:rFonts w:cs="Times New Roman"/>
          <w:sz w:val="26"/>
          <w:szCs w:val="26"/>
        </w:rPr>
        <w:t>4. ЗАКЛЮЧИТЕЛЬНАЯ ГЛАВА</w:t>
      </w:r>
      <w:bookmarkEnd w:id="312"/>
      <w:bookmarkEnd w:id="313"/>
    </w:p>
    <w:p w14:paraId="664882D0" w14:textId="77777777" w:rsidR="00905E1F" w:rsidRPr="00AC3806" w:rsidRDefault="00905E1F" w:rsidP="00905E1F">
      <w:pPr>
        <w:pStyle w:val="20"/>
        <w:ind w:firstLine="709"/>
        <w:rPr>
          <w:rFonts w:cs="Times New Roman"/>
          <w:sz w:val="26"/>
        </w:rPr>
      </w:pPr>
      <w:bookmarkStart w:id="314" w:name="_Toc106539016"/>
      <w:bookmarkStart w:id="315" w:name="_Toc110507037"/>
      <w:r w:rsidRPr="00AC3806">
        <w:rPr>
          <w:rFonts w:eastAsiaTheme="minorEastAsia" w:cs="Times New Roman"/>
          <w:sz w:val="26"/>
        </w:rPr>
        <w:t xml:space="preserve">4.1 </w:t>
      </w:r>
      <w:r w:rsidRPr="00AC3806">
        <w:rPr>
          <w:rFonts w:cs="Times New Roman"/>
          <w:sz w:val="26"/>
        </w:rPr>
        <w:t>Информация об итогах контроля качества результатов определения кадастровой стоимости</w:t>
      </w:r>
      <w:bookmarkEnd w:id="314"/>
      <w:bookmarkEnd w:id="315"/>
    </w:p>
    <w:p w14:paraId="06CF61DF" w14:textId="77777777" w:rsidR="00905E1F" w:rsidRPr="00AC3806" w:rsidRDefault="00905E1F" w:rsidP="00905E1F">
      <w:pPr>
        <w:spacing w:line="240" w:lineRule="auto"/>
        <w:rPr>
          <w:rFonts w:ascii="Times New Roman" w:hAnsi="Times New Roman" w:cs="Times New Roman"/>
          <w:sz w:val="26"/>
          <w:szCs w:val="26"/>
        </w:rPr>
      </w:pPr>
    </w:p>
    <w:p w14:paraId="5CEA6899" w14:textId="77777777" w:rsidR="00905E1F" w:rsidRPr="00AC3806" w:rsidRDefault="00905E1F" w:rsidP="00905E1F">
      <w:pPr>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 xml:space="preserve">В соответствии с гл. </w:t>
      </w:r>
      <w:r w:rsidRPr="00AC3806">
        <w:rPr>
          <w:rFonts w:ascii="Times New Roman" w:hAnsi="Times New Roman" w:cs="Times New Roman"/>
          <w:sz w:val="26"/>
          <w:szCs w:val="26"/>
          <w:lang w:val="en-US"/>
        </w:rPr>
        <w:t>XI</w:t>
      </w:r>
      <w:r w:rsidRPr="00AC3806">
        <w:rPr>
          <w:rFonts w:ascii="Times New Roman" w:hAnsi="Times New Roman" w:cs="Times New Roman"/>
          <w:sz w:val="26"/>
          <w:szCs w:val="26"/>
        </w:rPr>
        <w:t>. Указаний Учреждением проводился контроль качества результатов кадастровой стоимости с участием Департамента имущественных и земельных отношений Воронежской области, который включал в себя следующие процедуры:</w:t>
      </w:r>
    </w:p>
    <w:p w14:paraId="27BBA574" w14:textId="77777777" w:rsidR="00905E1F" w:rsidRPr="00AC3806" w:rsidRDefault="00905E1F" w:rsidP="00905E1F">
      <w:pPr>
        <w:autoSpaceDE w:val="0"/>
        <w:autoSpaceDN w:val="0"/>
        <w:adjustRightInd w:val="0"/>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1) проверку исходных данных об объектах недвижимости, организацию их сверки и уточнения;</w:t>
      </w:r>
    </w:p>
    <w:p w14:paraId="64C70DE2" w14:textId="77777777" w:rsidR="00905E1F" w:rsidRPr="00AC3806" w:rsidRDefault="00905E1F" w:rsidP="00905E1F">
      <w:pPr>
        <w:autoSpaceDE w:val="0"/>
        <w:autoSpaceDN w:val="0"/>
        <w:adjustRightInd w:val="0"/>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 xml:space="preserve"> 2) анализ рынка, сбор и верификацию (в том числе путем осмотра) данных о сделках и предложениях.</w:t>
      </w:r>
    </w:p>
    <w:p w14:paraId="436C8087" w14:textId="77777777" w:rsidR="00905E1F" w:rsidRPr="00AC3806" w:rsidRDefault="00905E1F" w:rsidP="00905E1F">
      <w:pPr>
        <w:autoSpaceDE w:val="0"/>
        <w:autoSpaceDN w:val="0"/>
        <w:adjustRightInd w:val="0"/>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Контроль качества результатов определения кадастровой стоимости осуществлялся на каждом этапе определения кадастровой стоимости.</w:t>
      </w:r>
    </w:p>
    <w:p w14:paraId="348B8453" w14:textId="77777777" w:rsidR="00905E1F" w:rsidRPr="00AC3806" w:rsidRDefault="00905E1F" w:rsidP="00905E1F">
      <w:pPr>
        <w:autoSpaceDE w:val="0"/>
        <w:autoSpaceDN w:val="0"/>
        <w:adjustRightInd w:val="0"/>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Проверка результатов определения кадастровой стоимости:</w:t>
      </w:r>
    </w:p>
    <w:p w14:paraId="6760305A" w14:textId="77777777" w:rsidR="00905E1F" w:rsidRPr="00AC3806" w:rsidRDefault="00905E1F" w:rsidP="00905E1F">
      <w:pPr>
        <w:autoSpaceDE w:val="0"/>
        <w:autoSpaceDN w:val="0"/>
        <w:adjustRightInd w:val="0"/>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1) проверка корректности результатов определения кадастровой стоимости в целом осуществлялась путем анализа соотношений минимальных, средних и максимальных УПКС:</w:t>
      </w:r>
    </w:p>
    <w:p w14:paraId="702BE27B" w14:textId="77777777" w:rsidR="00905E1F" w:rsidRPr="00AC3806" w:rsidRDefault="00905E1F" w:rsidP="00905E1F">
      <w:pPr>
        <w:autoSpaceDE w:val="0"/>
        <w:autoSpaceDN w:val="0"/>
        <w:adjustRightInd w:val="0"/>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 в разрезе групп (подгрупп) объектов недвижимости в каждом из муниципальных образований субъекта Российской Федерации сравнивались УПКС каждой группы (подгруппы) объектов, расположенных в разных муниципальных образованиях субъекта Российской Федерации;</w:t>
      </w:r>
    </w:p>
    <w:p w14:paraId="5E9C7734" w14:textId="77777777" w:rsidR="00905E1F" w:rsidRPr="00AC3806" w:rsidRDefault="00905E1F" w:rsidP="00905E1F">
      <w:pPr>
        <w:autoSpaceDE w:val="0"/>
        <w:autoSpaceDN w:val="0"/>
        <w:adjustRightInd w:val="0"/>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 в разрезе муниципальных образований для разных групп (подгрупп) - сравниваются УПКС разных видов использования, расположенных в границах одного муниципального образования.</w:t>
      </w:r>
    </w:p>
    <w:p w14:paraId="3395DCBC" w14:textId="77777777" w:rsidR="00905E1F" w:rsidRPr="00AC3806" w:rsidRDefault="00905E1F" w:rsidP="00905E1F">
      <w:pPr>
        <w:autoSpaceDE w:val="0"/>
        <w:autoSpaceDN w:val="0"/>
        <w:adjustRightInd w:val="0"/>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Результаты сравнения предоставлены в виде табличных значений, а также диаграмм. Проверка проводилась на непротиворечивость данных с точки зрения логики ценообразования;</w:t>
      </w:r>
    </w:p>
    <w:p w14:paraId="1741DFC8" w14:textId="77777777" w:rsidR="00905E1F" w:rsidRPr="00AC3806" w:rsidRDefault="00905E1F" w:rsidP="00905E1F">
      <w:pPr>
        <w:autoSpaceDE w:val="0"/>
        <w:autoSpaceDN w:val="0"/>
        <w:adjustRightInd w:val="0"/>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2) дополнительно проводилась проверка с использованием результатов оценочного зонирования территории с целью выявления результатов оценки, существенно отличающихся от уровня цен для каждого вида использования объектов.</w:t>
      </w:r>
    </w:p>
    <w:p w14:paraId="5532BA12" w14:textId="77777777" w:rsidR="00905E1F" w:rsidRPr="00AC3806" w:rsidRDefault="00905E1F" w:rsidP="00905E1F">
      <w:pPr>
        <w:autoSpaceDE w:val="0"/>
        <w:autoSpaceDN w:val="0"/>
        <w:adjustRightInd w:val="0"/>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При проверке качества процессов определения кадастровой стоимости может проводиться выборочная проверка индивидуальных расчетов и моделей определения кадастровой стоимости.</w:t>
      </w:r>
    </w:p>
    <w:p w14:paraId="16192A25" w14:textId="77777777" w:rsidR="00905E1F" w:rsidRPr="00AC3806" w:rsidRDefault="00905E1F" w:rsidP="00905E1F">
      <w:pPr>
        <w:autoSpaceDE w:val="0"/>
        <w:autoSpaceDN w:val="0"/>
        <w:adjustRightInd w:val="0"/>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Результат считается подтвержденным, если результат выборочной проверки совпадает с результатом определения кадастровой стоимости в пределах округления итогового значения.</w:t>
      </w:r>
    </w:p>
    <w:p w14:paraId="5E728C9B" w14:textId="77777777" w:rsidR="00905E1F" w:rsidRPr="00AC3806" w:rsidRDefault="00905E1F" w:rsidP="00905E1F">
      <w:pPr>
        <w:autoSpaceDE w:val="0"/>
        <w:autoSpaceDN w:val="0"/>
        <w:adjustRightInd w:val="0"/>
        <w:spacing w:after="0" w:line="240" w:lineRule="auto"/>
        <w:ind w:firstLine="709"/>
        <w:jc w:val="both"/>
        <w:rPr>
          <w:rFonts w:ascii="Times New Roman" w:hAnsi="Times New Roman" w:cs="Times New Roman"/>
          <w:sz w:val="26"/>
          <w:szCs w:val="26"/>
        </w:rPr>
      </w:pPr>
    </w:p>
    <w:p w14:paraId="6B88F4DE" w14:textId="77777777" w:rsidR="00905E1F" w:rsidRPr="00AC3806" w:rsidRDefault="00905E1F" w:rsidP="00905E1F">
      <w:pPr>
        <w:pStyle w:val="20"/>
        <w:rPr>
          <w:rFonts w:cs="Times New Roman"/>
          <w:sz w:val="26"/>
        </w:rPr>
      </w:pPr>
      <w:bookmarkStart w:id="316" w:name="_Toc106539017"/>
      <w:bookmarkStart w:id="317" w:name="_Toc110507038"/>
      <w:r w:rsidRPr="00AC3806">
        <w:rPr>
          <w:rFonts w:cs="Times New Roman"/>
          <w:sz w:val="26"/>
        </w:rPr>
        <w:t>4.1.1 Контроль качества проверки информации, содержащейся в перечне объектов недвижимости, подлежащих государственной кадастровой оценке</w:t>
      </w:r>
      <w:bookmarkEnd w:id="316"/>
      <w:bookmarkEnd w:id="317"/>
    </w:p>
    <w:p w14:paraId="0026CB55" w14:textId="77777777" w:rsidR="00905E1F" w:rsidRPr="00AC3806" w:rsidRDefault="00905E1F" w:rsidP="00905E1F">
      <w:pPr>
        <w:spacing w:line="240" w:lineRule="auto"/>
        <w:rPr>
          <w:rFonts w:ascii="Times New Roman" w:hAnsi="Times New Roman" w:cs="Times New Roman"/>
          <w:sz w:val="26"/>
          <w:szCs w:val="26"/>
        </w:rPr>
      </w:pPr>
    </w:p>
    <w:p w14:paraId="6B5337E5"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Государственным бюджетным учреждением «Центр государственной кадастровой оценки Воронежской области» (далее - Учреждение) 02.02.2022 года получен Перечень, сформированный по состоянию на 01.01.2022 года. Указанный перечень соответствует требованиям, установленным приказом Федеральной службы государственной регистрации, кадастра и картографии от 06.08.2020 №0283.</w:t>
      </w:r>
    </w:p>
    <w:p w14:paraId="729438FC" w14:textId="77777777" w:rsidR="00905E1F" w:rsidRPr="00AC3806" w:rsidRDefault="00905E1F" w:rsidP="00905E1F">
      <w:pPr>
        <w:spacing w:after="0" w:line="240" w:lineRule="auto"/>
        <w:ind w:firstLine="709"/>
        <w:contextualSpacing/>
        <w:jc w:val="both"/>
        <w:rPr>
          <w:rFonts w:ascii="Times New Roman" w:eastAsia="Times New Roman" w:hAnsi="Times New Roman" w:cs="Times New Roman"/>
          <w:spacing w:val="-5"/>
          <w:sz w:val="26"/>
          <w:szCs w:val="26"/>
        </w:rPr>
      </w:pPr>
      <w:r w:rsidRPr="00AC3806">
        <w:rPr>
          <w:rFonts w:ascii="Times New Roman" w:hAnsi="Times New Roman" w:cs="Times New Roman"/>
          <w:sz w:val="26"/>
          <w:szCs w:val="26"/>
        </w:rPr>
        <w:t xml:space="preserve">При обработке Перечня содержащаяся в нем информация, преобразована в формат xls, xlsx. </w:t>
      </w:r>
      <w:r w:rsidRPr="00AC3806">
        <w:rPr>
          <w:rFonts w:ascii="Times New Roman" w:eastAsia="Times New Roman" w:hAnsi="Times New Roman" w:cs="Times New Roman"/>
          <w:spacing w:val="-5"/>
          <w:sz w:val="26"/>
          <w:szCs w:val="26"/>
        </w:rPr>
        <w:t>Перечень земельных участков включает 1 215 409 объект недвижимости, в том числе 12 486 объектов недвижимости лесного фонда, 57 объектов водного фонда, 913 144 объектов категории земель населенных пунктов, 9 975 земли промышленности, энергетики, транспорта, земли обороны, безопасности и земли иного специального назначения, 279 544 объектов сельскохозяйственного назначения, 168 объектов особо охраняемых территорий и объектов, 12 объектов земель запаса, 23 объекта категория, которых не установлена.</w:t>
      </w:r>
    </w:p>
    <w:p w14:paraId="3B5B203F" w14:textId="77777777" w:rsidR="00905E1F" w:rsidRPr="00AC3806" w:rsidRDefault="00905E1F" w:rsidP="00905E1F">
      <w:pPr>
        <w:spacing w:after="0" w:line="240" w:lineRule="auto"/>
        <w:ind w:firstLine="709"/>
        <w:contextualSpacing/>
        <w:jc w:val="both"/>
        <w:rPr>
          <w:rFonts w:ascii="Times New Roman" w:eastAsia="Times New Roman" w:hAnsi="Times New Roman" w:cs="Times New Roman"/>
          <w:spacing w:val="-5"/>
          <w:sz w:val="26"/>
          <w:szCs w:val="26"/>
        </w:rPr>
      </w:pPr>
      <w:r w:rsidRPr="00AC3806">
        <w:rPr>
          <w:rFonts w:ascii="Times New Roman" w:eastAsia="Times New Roman" w:hAnsi="Times New Roman" w:cs="Times New Roman"/>
          <w:spacing w:val="-5"/>
          <w:sz w:val="26"/>
          <w:szCs w:val="26"/>
        </w:rPr>
        <w:t>Сотрудниками отделов кадастровой оценки и картографии ГБУ была проведена проверка предоставленного Перечня земельных участков, в ходе которой выявлено:</w:t>
      </w:r>
    </w:p>
    <w:p w14:paraId="31F0DEBD" w14:textId="77777777" w:rsidR="00905E1F" w:rsidRPr="00AC3806" w:rsidRDefault="00905E1F" w:rsidP="00905E1F">
      <w:pPr>
        <w:spacing w:after="0" w:line="240" w:lineRule="auto"/>
        <w:ind w:firstLine="709"/>
        <w:contextualSpacing/>
        <w:jc w:val="both"/>
        <w:rPr>
          <w:rFonts w:ascii="Times New Roman" w:eastAsia="Times New Roman" w:hAnsi="Times New Roman" w:cs="Times New Roman"/>
          <w:spacing w:val="-5"/>
          <w:sz w:val="26"/>
          <w:szCs w:val="26"/>
        </w:rPr>
      </w:pPr>
      <w:r w:rsidRPr="00AC3806">
        <w:rPr>
          <w:rFonts w:ascii="Times New Roman" w:eastAsia="Times New Roman" w:hAnsi="Times New Roman" w:cs="Times New Roman"/>
          <w:spacing w:val="-5"/>
          <w:sz w:val="26"/>
          <w:szCs w:val="26"/>
        </w:rPr>
        <w:t>- текстовая часть Перечня объектов недвижимости, представлена в формате XML-схемы, общее количество объектов недвижимости, включенных в Перечень – 1 215 409 земельных участков;</w:t>
      </w:r>
    </w:p>
    <w:p w14:paraId="009DC7F0" w14:textId="77777777" w:rsidR="00905E1F" w:rsidRPr="00AC3806" w:rsidRDefault="00905E1F" w:rsidP="00905E1F">
      <w:pPr>
        <w:spacing w:after="0" w:line="240" w:lineRule="auto"/>
        <w:ind w:firstLine="709"/>
        <w:contextualSpacing/>
        <w:jc w:val="both"/>
        <w:rPr>
          <w:rFonts w:ascii="Times New Roman" w:eastAsia="Times New Roman" w:hAnsi="Times New Roman" w:cs="Times New Roman"/>
          <w:spacing w:val="-5"/>
          <w:sz w:val="26"/>
          <w:szCs w:val="26"/>
        </w:rPr>
      </w:pPr>
      <w:r w:rsidRPr="00AC3806">
        <w:rPr>
          <w:rFonts w:ascii="Times New Roman" w:eastAsia="Times New Roman" w:hAnsi="Times New Roman" w:cs="Times New Roman"/>
          <w:spacing w:val="-5"/>
          <w:sz w:val="26"/>
          <w:szCs w:val="26"/>
        </w:rPr>
        <w:t>- в Перечне содержатся сведения о земельном участке другого региона, с кадастровым номером 39:15:120819:21, в связи с чем ГБУ ВО «ЦГКО ВО» просило исключить вышеуказанный объект недвижимости из перечня объектов недвижимости, подлежащих государственной кадастровой оценке в 2022 в Воронежской области.</w:t>
      </w:r>
    </w:p>
    <w:p w14:paraId="400BFC68"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По результатам проверки Перечня подготовлено и направлено в адрес Росреестра Письмо.</w:t>
      </w:r>
    </w:p>
    <w:p w14:paraId="26DF00CB"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Письмом Управления Росреестра по Воронежской области земельный участок другого региона, с кадастровым номером 39:15:120819:21 исключен.</w:t>
      </w:r>
    </w:p>
    <w:p w14:paraId="542E36F9"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Таким образом, в соответствии с Письмом вх. № 10-04313/22 от 31.05.2022 общее количество земельных участков категории земель населенных пунктов, земель лесного фонда, земель водного фонда, земли промышленности, энергетики, транспорта, земли обороны, безопасности и земли иного специального назначения, земель сельскохозяйственного назначения, земель особо охраняемых территорий, земель запаса и земель категория, которых не установлена составило 1 215 408, в том числе 12 486 объектов недвижимости лесного фонда, 57 объектов водного фонда, 913 143 объектов категории земель населенных пунктов, 9 975 земли промышленности, энергетики, транспорта, земли обороны, безопасности и земли иного специального назначения, 279 544 объектов сельскохозяйственного назначения, 168 объектов особо охраняемых территорий и объектов, 12 объектов земель запаса, 23 объекта категория, которых не установлена.</w:t>
      </w:r>
    </w:p>
    <w:p w14:paraId="0BFFD663" w14:textId="77777777" w:rsidR="00905E1F" w:rsidRPr="00AC3806" w:rsidRDefault="00905E1F" w:rsidP="00905E1F">
      <w:pPr>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В итоге был подготовлен окончательный перечень из 1 215 408 объектов оценки.</w:t>
      </w:r>
    </w:p>
    <w:p w14:paraId="70D044F7" w14:textId="77777777" w:rsidR="00905E1F" w:rsidRPr="00AC3806" w:rsidRDefault="00905E1F" w:rsidP="00905E1F">
      <w:pPr>
        <w:spacing w:after="0" w:line="240" w:lineRule="auto"/>
        <w:ind w:firstLine="567"/>
        <w:contextualSpacing/>
        <w:jc w:val="both"/>
        <w:rPr>
          <w:rFonts w:ascii="Times New Roman" w:hAnsi="Times New Roman" w:cs="Times New Roman"/>
          <w:sz w:val="26"/>
          <w:szCs w:val="26"/>
        </w:rPr>
      </w:pPr>
      <w:r w:rsidRPr="00AC3806">
        <w:rPr>
          <w:rFonts w:ascii="Times New Roman" w:hAnsi="Times New Roman" w:cs="Times New Roman"/>
          <w:sz w:val="26"/>
          <w:szCs w:val="26"/>
        </w:rPr>
        <w:t>В целях проверки качества информации об объектах недвижимости, комиссией сделана контрольная выборка 10 земельных участков, содержащихся в Перечне.</w:t>
      </w:r>
    </w:p>
    <w:p w14:paraId="00F2AFFF" w14:textId="77777777" w:rsidR="00905E1F" w:rsidRPr="00AC3806" w:rsidRDefault="00905E1F" w:rsidP="00905E1F">
      <w:pPr>
        <w:spacing w:after="0" w:line="240" w:lineRule="auto"/>
        <w:ind w:firstLine="567"/>
        <w:contextualSpacing/>
        <w:jc w:val="right"/>
        <w:rPr>
          <w:rFonts w:ascii="Times New Roman" w:hAnsi="Times New Roman" w:cs="Times New Roman"/>
          <w:sz w:val="26"/>
          <w:szCs w:val="26"/>
        </w:rPr>
      </w:pPr>
    </w:p>
    <w:p w14:paraId="79566B47" w14:textId="77777777" w:rsidR="00905E1F" w:rsidRPr="00AC3806" w:rsidRDefault="00905E1F" w:rsidP="00905E1F">
      <w:pPr>
        <w:spacing w:after="0" w:line="240" w:lineRule="auto"/>
        <w:ind w:firstLine="567"/>
        <w:contextualSpacing/>
        <w:jc w:val="right"/>
        <w:rPr>
          <w:rFonts w:ascii="Times New Roman" w:hAnsi="Times New Roman" w:cs="Times New Roman"/>
          <w:sz w:val="26"/>
          <w:szCs w:val="26"/>
        </w:rPr>
      </w:pPr>
      <w:r w:rsidRPr="00AC3806">
        <w:rPr>
          <w:rFonts w:ascii="Times New Roman" w:hAnsi="Times New Roman" w:cs="Times New Roman"/>
          <w:sz w:val="26"/>
          <w:szCs w:val="26"/>
        </w:rPr>
        <w:t>Таблица 4.1.1</w:t>
      </w:r>
    </w:p>
    <w:tbl>
      <w:tblPr>
        <w:tblStyle w:val="ae"/>
        <w:tblW w:w="0" w:type="auto"/>
        <w:tblLook w:val="04A0" w:firstRow="1" w:lastRow="0" w:firstColumn="1" w:lastColumn="0" w:noHBand="0" w:noVBand="1"/>
      </w:tblPr>
      <w:tblGrid>
        <w:gridCol w:w="2216"/>
        <w:gridCol w:w="2403"/>
        <w:gridCol w:w="1162"/>
        <w:gridCol w:w="1854"/>
        <w:gridCol w:w="1709"/>
      </w:tblGrid>
      <w:tr w:rsidR="00905E1F" w:rsidRPr="00AC3806" w14:paraId="7674BA24" w14:textId="77777777" w:rsidTr="00C749ED">
        <w:trPr>
          <w:tblHeader/>
        </w:trPr>
        <w:tc>
          <w:tcPr>
            <w:tcW w:w="2217" w:type="dxa"/>
            <w:tcBorders>
              <w:top w:val="single" w:sz="4" w:space="0" w:color="auto"/>
              <w:left w:val="single" w:sz="4" w:space="0" w:color="auto"/>
              <w:bottom w:val="single" w:sz="4" w:space="0" w:color="auto"/>
              <w:right w:val="single" w:sz="4" w:space="0" w:color="auto"/>
            </w:tcBorders>
            <w:vAlign w:val="center"/>
            <w:hideMark/>
          </w:tcPr>
          <w:p w14:paraId="035E71FE" w14:textId="77777777" w:rsidR="00905E1F" w:rsidRPr="00AC3806" w:rsidRDefault="00905E1F" w:rsidP="00C749ED">
            <w:pPr>
              <w:contextualSpacing/>
              <w:jc w:val="center"/>
              <w:rPr>
                <w:rFonts w:ascii="Times New Roman" w:hAnsi="Times New Roman" w:cs="Times New Roman"/>
                <w:b/>
                <w:sz w:val="22"/>
                <w:szCs w:val="22"/>
              </w:rPr>
            </w:pPr>
            <w:bookmarkStart w:id="318" w:name="_Hlk42762928"/>
            <w:r w:rsidRPr="00AC3806">
              <w:rPr>
                <w:rFonts w:ascii="Times New Roman" w:hAnsi="Times New Roman" w:cs="Times New Roman"/>
                <w:b/>
                <w:sz w:val="22"/>
                <w:szCs w:val="22"/>
              </w:rPr>
              <w:t>Кадастровый номер объекта недвижимости</w:t>
            </w:r>
          </w:p>
        </w:tc>
        <w:tc>
          <w:tcPr>
            <w:tcW w:w="2403" w:type="dxa"/>
            <w:tcBorders>
              <w:top w:val="single" w:sz="4" w:space="0" w:color="auto"/>
              <w:left w:val="single" w:sz="4" w:space="0" w:color="auto"/>
              <w:bottom w:val="single" w:sz="4" w:space="0" w:color="auto"/>
              <w:right w:val="single" w:sz="4" w:space="0" w:color="auto"/>
            </w:tcBorders>
            <w:vAlign w:val="center"/>
            <w:hideMark/>
          </w:tcPr>
          <w:p w14:paraId="5947CB34" w14:textId="77777777" w:rsidR="00905E1F" w:rsidRPr="00AC3806" w:rsidRDefault="00905E1F" w:rsidP="00C749ED">
            <w:pPr>
              <w:contextualSpacing/>
              <w:jc w:val="center"/>
              <w:rPr>
                <w:rFonts w:ascii="Times New Roman" w:hAnsi="Times New Roman" w:cs="Times New Roman"/>
                <w:b/>
                <w:sz w:val="22"/>
                <w:szCs w:val="22"/>
              </w:rPr>
            </w:pPr>
            <w:r w:rsidRPr="00AC3806">
              <w:rPr>
                <w:rFonts w:ascii="Times New Roman" w:hAnsi="Times New Roman" w:cs="Times New Roman"/>
                <w:b/>
                <w:sz w:val="22"/>
                <w:szCs w:val="22"/>
              </w:rPr>
              <w:t>Вид разрешенного использования по документу</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24B70FE" w14:textId="77777777" w:rsidR="00905E1F" w:rsidRPr="00AC3806" w:rsidRDefault="00905E1F" w:rsidP="00C749ED">
            <w:pPr>
              <w:contextualSpacing/>
              <w:jc w:val="center"/>
              <w:rPr>
                <w:rFonts w:ascii="Times New Roman" w:hAnsi="Times New Roman" w:cs="Times New Roman"/>
                <w:b/>
                <w:sz w:val="22"/>
                <w:szCs w:val="22"/>
              </w:rPr>
            </w:pPr>
            <w:r w:rsidRPr="00AC3806">
              <w:rPr>
                <w:rFonts w:ascii="Times New Roman" w:hAnsi="Times New Roman" w:cs="Times New Roman"/>
                <w:b/>
                <w:sz w:val="22"/>
                <w:szCs w:val="22"/>
              </w:rPr>
              <w:t>Сегмент</w:t>
            </w:r>
          </w:p>
        </w:tc>
        <w:tc>
          <w:tcPr>
            <w:tcW w:w="1854" w:type="dxa"/>
            <w:tcBorders>
              <w:top w:val="single" w:sz="4" w:space="0" w:color="auto"/>
              <w:left w:val="single" w:sz="4" w:space="0" w:color="auto"/>
              <w:bottom w:val="single" w:sz="4" w:space="0" w:color="auto"/>
              <w:right w:val="single" w:sz="4" w:space="0" w:color="auto"/>
            </w:tcBorders>
            <w:vAlign w:val="center"/>
            <w:hideMark/>
          </w:tcPr>
          <w:p w14:paraId="133A97B8" w14:textId="77777777" w:rsidR="00905E1F" w:rsidRPr="00AC3806" w:rsidRDefault="00905E1F" w:rsidP="00C749ED">
            <w:pPr>
              <w:contextualSpacing/>
              <w:jc w:val="center"/>
              <w:rPr>
                <w:rFonts w:ascii="Times New Roman" w:hAnsi="Times New Roman" w:cs="Times New Roman"/>
                <w:b/>
                <w:sz w:val="22"/>
                <w:szCs w:val="22"/>
              </w:rPr>
            </w:pPr>
            <w:r w:rsidRPr="00AC3806">
              <w:rPr>
                <w:rFonts w:ascii="Times New Roman" w:hAnsi="Times New Roman" w:cs="Times New Roman"/>
                <w:b/>
                <w:sz w:val="22"/>
                <w:szCs w:val="22"/>
              </w:rPr>
              <w:t>Код расчета вида использования</w:t>
            </w:r>
          </w:p>
        </w:tc>
        <w:tc>
          <w:tcPr>
            <w:tcW w:w="1709" w:type="dxa"/>
            <w:tcBorders>
              <w:top w:val="single" w:sz="4" w:space="0" w:color="auto"/>
              <w:left w:val="single" w:sz="4" w:space="0" w:color="auto"/>
              <w:bottom w:val="single" w:sz="4" w:space="0" w:color="auto"/>
              <w:right w:val="single" w:sz="4" w:space="0" w:color="auto"/>
            </w:tcBorders>
            <w:vAlign w:val="center"/>
            <w:hideMark/>
          </w:tcPr>
          <w:p w14:paraId="49DB2058" w14:textId="77777777" w:rsidR="00905E1F" w:rsidRPr="00AC3806" w:rsidRDefault="00905E1F" w:rsidP="00C749ED">
            <w:pPr>
              <w:contextualSpacing/>
              <w:jc w:val="center"/>
              <w:rPr>
                <w:rFonts w:ascii="Times New Roman" w:hAnsi="Times New Roman" w:cs="Times New Roman"/>
                <w:b/>
                <w:sz w:val="22"/>
                <w:szCs w:val="22"/>
              </w:rPr>
            </w:pPr>
            <w:r w:rsidRPr="00AC3806">
              <w:rPr>
                <w:rFonts w:ascii="Times New Roman" w:hAnsi="Times New Roman" w:cs="Times New Roman"/>
                <w:b/>
                <w:sz w:val="22"/>
                <w:szCs w:val="22"/>
              </w:rPr>
              <w:t>Заключение комиссии</w:t>
            </w:r>
          </w:p>
        </w:tc>
      </w:tr>
      <w:tr w:rsidR="00905E1F" w:rsidRPr="00AC3806" w14:paraId="06B2BF6A" w14:textId="77777777" w:rsidTr="00C749ED">
        <w:tc>
          <w:tcPr>
            <w:tcW w:w="2217" w:type="dxa"/>
            <w:tcBorders>
              <w:top w:val="single" w:sz="4" w:space="0" w:color="auto"/>
              <w:left w:val="single" w:sz="4" w:space="0" w:color="auto"/>
              <w:bottom w:val="single" w:sz="4" w:space="0" w:color="auto"/>
              <w:right w:val="single" w:sz="4" w:space="0" w:color="auto"/>
            </w:tcBorders>
            <w:vAlign w:val="center"/>
            <w:hideMark/>
          </w:tcPr>
          <w:p w14:paraId="7715DFAD"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36:16:0101028:48</w:t>
            </w:r>
          </w:p>
        </w:tc>
        <w:tc>
          <w:tcPr>
            <w:tcW w:w="2403" w:type="dxa"/>
            <w:tcBorders>
              <w:top w:val="single" w:sz="4" w:space="0" w:color="auto"/>
              <w:left w:val="single" w:sz="4" w:space="0" w:color="auto"/>
              <w:bottom w:val="single" w:sz="4" w:space="0" w:color="auto"/>
              <w:right w:val="single" w:sz="4" w:space="0" w:color="auto"/>
            </w:tcBorders>
            <w:vAlign w:val="center"/>
            <w:hideMark/>
          </w:tcPr>
          <w:p w14:paraId="1D32DF91"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для ведения личного подсобного хозяйства</w:t>
            </w:r>
          </w:p>
        </w:tc>
        <w:tc>
          <w:tcPr>
            <w:tcW w:w="1162" w:type="dxa"/>
            <w:tcBorders>
              <w:top w:val="single" w:sz="4" w:space="0" w:color="auto"/>
              <w:left w:val="single" w:sz="4" w:space="0" w:color="auto"/>
              <w:bottom w:val="single" w:sz="4" w:space="0" w:color="auto"/>
              <w:right w:val="single" w:sz="4" w:space="0" w:color="auto"/>
            </w:tcBorders>
            <w:vAlign w:val="center"/>
            <w:hideMark/>
          </w:tcPr>
          <w:p w14:paraId="43B790EC"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13</w:t>
            </w:r>
          </w:p>
        </w:tc>
        <w:tc>
          <w:tcPr>
            <w:tcW w:w="1854" w:type="dxa"/>
            <w:tcBorders>
              <w:top w:val="single" w:sz="4" w:space="0" w:color="auto"/>
              <w:left w:val="single" w:sz="4" w:space="0" w:color="auto"/>
              <w:bottom w:val="single" w:sz="4" w:space="0" w:color="auto"/>
              <w:right w:val="single" w:sz="4" w:space="0" w:color="auto"/>
            </w:tcBorders>
            <w:vAlign w:val="center"/>
            <w:hideMark/>
          </w:tcPr>
          <w:p w14:paraId="743F8001"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02:020</w:t>
            </w:r>
          </w:p>
        </w:tc>
        <w:tc>
          <w:tcPr>
            <w:tcW w:w="1709" w:type="dxa"/>
            <w:tcBorders>
              <w:top w:val="single" w:sz="4" w:space="0" w:color="auto"/>
              <w:left w:val="single" w:sz="4" w:space="0" w:color="auto"/>
              <w:bottom w:val="single" w:sz="4" w:space="0" w:color="auto"/>
              <w:right w:val="single" w:sz="4" w:space="0" w:color="auto"/>
            </w:tcBorders>
            <w:vAlign w:val="center"/>
            <w:hideMark/>
          </w:tcPr>
          <w:p w14:paraId="431E9123"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Соответствует</w:t>
            </w:r>
          </w:p>
        </w:tc>
      </w:tr>
      <w:tr w:rsidR="00905E1F" w:rsidRPr="00AC3806" w14:paraId="4E78FA3A" w14:textId="77777777" w:rsidTr="00C749ED">
        <w:tc>
          <w:tcPr>
            <w:tcW w:w="2217" w:type="dxa"/>
            <w:tcBorders>
              <w:top w:val="single" w:sz="4" w:space="0" w:color="auto"/>
              <w:left w:val="single" w:sz="4" w:space="0" w:color="auto"/>
              <w:bottom w:val="single" w:sz="4" w:space="0" w:color="auto"/>
              <w:right w:val="single" w:sz="4" w:space="0" w:color="auto"/>
            </w:tcBorders>
            <w:vAlign w:val="center"/>
            <w:hideMark/>
          </w:tcPr>
          <w:p w14:paraId="1265F4DE"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36:18:5500010:3</w:t>
            </w:r>
          </w:p>
        </w:tc>
        <w:tc>
          <w:tcPr>
            <w:tcW w:w="2403" w:type="dxa"/>
            <w:tcBorders>
              <w:top w:val="single" w:sz="4" w:space="0" w:color="auto"/>
              <w:left w:val="single" w:sz="4" w:space="0" w:color="auto"/>
              <w:bottom w:val="single" w:sz="4" w:space="0" w:color="auto"/>
              <w:right w:val="single" w:sz="4" w:space="0" w:color="auto"/>
            </w:tcBorders>
            <w:vAlign w:val="center"/>
            <w:hideMark/>
          </w:tcPr>
          <w:p w14:paraId="6C6F9454"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под объектами недвижимости (кормоцех)</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F9A56C0"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6</w:t>
            </w:r>
          </w:p>
        </w:tc>
        <w:tc>
          <w:tcPr>
            <w:tcW w:w="1854" w:type="dxa"/>
            <w:tcBorders>
              <w:top w:val="single" w:sz="4" w:space="0" w:color="auto"/>
              <w:left w:val="single" w:sz="4" w:space="0" w:color="auto"/>
              <w:bottom w:val="single" w:sz="4" w:space="0" w:color="auto"/>
              <w:right w:val="single" w:sz="4" w:space="0" w:color="auto"/>
            </w:tcBorders>
            <w:vAlign w:val="center"/>
            <w:hideMark/>
          </w:tcPr>
          <w:p w14:paraId="2EFEBD85"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01:087</w:t>
            </w:r>
          </w:p>
        </w:tc>
        <w:tc>
          <w:tcPr>
            <w:tcW w:w="1709" w:type="dxa"/>
            <w:tcBorders>
              <w:top w:val="single" w:sz="4" w:space="0" w:color="auto"/>
              <w:left w:val="single" w:sz="4" w:space="0" w:color="auto"/>
              <w:bottom w:val="single" w:sz="4" w:space="0" w:color="auto"/>
              <w:right w:val="single" w:sz="4" w:space="0" w:color="auto"/>
            </w:tcBorders>
            <w:vAlign w:val="center"/>
            <w:hideMark/>
          </w:tcPr>
          <w:p w14:paraId="7DB972E0"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Соответствует</w:t>
            </w:r>
          </w:p>
        </w:tc>
      </w:tr>
      <w:tr w:rsidR="00905E1F" w:rsidRPr="00AC3806" w14:paraId="66E099D3" w14:textId="77777777" w:rsidTr="00C749ED">
        <w:tc>
          <w:tcPr>
            <w:tcW w:w="2217" w:type="dxa"/>
            <w:tcBorders>
              <w:top w:val="single" w:sz="4" w:space="0" w:color="auto"/>
              <w:left w:val="single" w:sz="4" w:space="0" w:color="auto"/>
              <w:bottom w:val="single" w:sz="4" w:space="0" w:color="auto"/>
              <w:right w:val="single" w:sz="4" w:space="0" w:color="auto"/>
            </w:tcBorders>
            <w:vAlign w:val="center"/>
            <w:hideMark/>
          </w:tcPr>
          <w:p w14:paraId="122470D8"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36:04:0102024:1113</w:t>
            </w:r>
          </w:p>
        </w:tc>
        <w:tc>
          <w:tcPr>
            <w:tcW w:w="2403" w:type="dxa"/>
            <w:tcBorders>
              <w:top w:val="single" w:sz="4" w:space="0" w:color="auto"/>
              <w:left w:val="single" w:sz="4" w:space="0" w:color="auto"/>
              <w:bottom w:val="single" w:sz="4" w:space="0" w:color="auto"/>
              <w:right w:val="single" w:sz="4" w:space="0" w:color="auto"/>
            </w:tcBorders>
            <w:vAlign w:val="center"/>
            <w:hideMark/>
          </w:tcPr>
          <w:p w14:paraId="1B09C5EB"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Магазины</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0FA8BBB"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4</w:t>
            </w:r>
          </w:p>
        </w:tc>
        <w:tc>
          <w:tcPr>
            <w:tcW w:w="1854" w:type="dxa"/>
            <w:tcBorders>
              <w:top w:val="single" w:sz="4" w:space="0" w:color="auto"/>
              <w:left w:val="single" w:sz="4" w:space="0" w:color="auto"/>
              <w:bottom w:val="single" w:sz="4" w:space="0" w:color="auto"/>
              <w:right w:val="single" w:sz="4" w:space="0" w:color="auto"/>
            </w:tcBorders>
            <w:vAlign w:val="center"/>
            <w:hideMark/>
          </w:tcPr>
          <w:p w14:paraId="06CF6A17"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04:040</w:t>
            </w:r>
          </w:p>
        </w:tc>
        <w:tc>
          <w:tcPr>
            <w:tcW w:w="1709" w:type="dxa"/>
            <w:tcBorders>
              <w:top w:val="single" w:sz="4" w:space="0" w:color="auto"/>
              <w:left w:val="single" w:sz="4" w:space="0" w:color="auto"/>
              <w:bottom w:val="single" w:sz="4" w:space="0" w:color="auto"/>
              <w:right w:val="single" w:sz="4" w:space="0" w:color="auto"/>
            </w:tcBorders>
            <w:vAlign w:val="center"/>
            <w:hideMark/>
          </w:tcPr>
          <w:p w14:paraId="5E25B012"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Соответствует</w:t>
            </w:r>
          </w:p>
        </w:tc>
      </w:tr>
      <w:tr w:rsidR="00905E1F" w:rsidRPr="00AC3806" w14:paraId="7A0DFA7E" w14:textId="77777777" w:rsidTr="00C749ED">
        <w:tc>
          <w:tcPr>
            <w:tcW w:w="2217" w:type="dxa"/>
            <w:tcBorders>
              <w:top w:val="single" w:sz="4" w:space="0" w:color="auto"/>
              <w:left w:val="single" w:sz="4" w:space="0" w:color="auto"/>
              <w:bottom w:val="single" w:sz="4" w:space="0" w:color="auto"/>
              <w:right w:val="single" w:sz="4" w:space="0" w:color="auto"/>
            </w:tcBorders>
            <w:vAlign w:val="center"/>
          </w:tcPr>
          <w:p w14:paraId="517A1416"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36:14:0013901:192</w:t>
            </w:r>
          </w:p>
        </w:tc>
        <w:tc>
          <w:tcPr>
            <w:tcW w:w="2403" w:type="dxa"/>
            <w:tcBorders>
              <w:top w:val="single" w:sz="4" w:space="0" w:color="auto"/>
              <w:left w:val="single" w:sz="4" w:space="0" w:color="auto"/>
              <w:bottom w:val="single" w:sz="4" w:space="0" w:color="auto"/>
              <w:right w:val="single" w:sz="4" w:space="0" w:color="auto"/>
            </w:tcBorders>
            <w:vAlign w:val="center"/>
            <w:hideMark/>
          </w:tcPr>
          <w:p w14:paraId="53616110"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Под жилую застройку Многоэтажную</w:t>
            </w:r>
          </w:p>
        </w:tc>
        <w:tc>
          <w:tcPr>
            <w:tcW w:w="1162" w:type="dxa"/>
            <w:tcBorders>
              <w:top w:val="single" w:sz="4" w:space="0" w:color="auto"/>
              <w:left w:val="single" w:sz="4" w:space="0" w:color="auto"/>
              <w:bottom w:val="single" w:sz="4" w:space="0" w:color="auto"/>
              <w:right w:val="single" w:sz="4" w:space="0" w:color="auto"/>
            </w:tcBorders>
            <w:vAlign w:val="center"/>
            <w:hideMark/>
          </w:tcPr>
          <w:p w14:paraId="59D5912E"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2</w:t>
            </w:r>
          </w:p>
        </w:tc>
        <w:tc>
          <w:tcPr>
            <w:tcW w:w="1854" w:type="dxa"/>
            <w:tcBorders>
              <w:top w:val="single" w:sz="4" w:space="0" w:color="auto"/>
              <w:left w:val="single" w:sz="4" w:space="0" w:color="auto"/>
              <w:bottom w:val="single" w:sz="4" w:space="0" w:color="auto"/>
              <w:right w:val="single" w:sz="4" w:space="0" w:color="auto"/>
            </w:tcBorders>
            <w:vAlign w:val="center"/>
            <w:hideMark/>
          </w:tcPr>
          <w:p w14:paraId="712F80E7"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02:060</w:t>
            </w:r>
          </w:p>
        </w:tc>
        <w:tc>
          <w:tcPr>
            <w:tcW w:w="1709" w:type="dxa"/>
            <w:tcBorders>
              <w:top w:val="single" w:sz="4" w:space="0" w:color="auto"/>
              <w:left w:val="single" w:sz="4" w:space="0" w:color="auto"/>
              <w:bottom w:val="single" w:sz="4" w:space="0" w:color="auto"/>
              <w:right w:val="single" w:sz="4" w:space="0" w:color="auto"/>
            </w:tcBorders>
            <w:vAlign w:val="center"/>
            <w:hideMark/>
          </w:tcPr>
          <w:p w14:paraId="46710D09"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Соответствует</w:t>
            </w:r>
          </w:p>
        </w:tc>
      </w:tr>
      <w:tr w:rsidR="00905E1F" w:rsidRPr="00AC3806" w14:paraId="3E66833F" w14:textId="77777777" w:rsidTr="00C749ED">
        <w:tc>
          <w:tcPr>
            <w:tcW w:w="2217" w:type="dxa"/>
            <w:tcBorders>
              <w:top w:val="single" w:sz="4" w:space="0" w:color="auto"/>
              <w:left w:val="single" w:sz="4" w:space="0" w:color="auto"/>
              <w:bottom w:val="single" w:sz="4" w:space="0" w:color="auto"/>
              <w:right w:val="single" w:sz="4" w:space="0" w:color="auto"/>
            </w:tcBorders>
            <w:vAlign w:val="center"/>
            <w:hideMark/>
          </w:tcPr>
          <w:p w14:paraId="054FA704"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36:20:0100014:1643</w:t>
            </w:r>
          </w:p>
        </w:tc>
        <w:tc>
          <w:tcPr>
            <w:tcW w:w="2403" w:type="dxa"/>
            <w:tcBorders>
              <w:top w:val="single" w:sz="4" w:space="0" w:color="auto"/>
              <w:left w:val="single" w:sz="4" w:space="0" w:color="auto"/>
              <w:bottom w:val="single" w:sz="4" w:space="0" w:color="auto"/>
              <w:right w:val="single" w:sz="4" w:space="0" w:color="auto"/>
            </w:tcBorders>
            <w:vAlign w:val="center"/>
            <w:hideMark/>
          </w:tcPr>
          <w:p w14:paraId="5BC70604"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для строительства объектов образования, социального обеспечения, физической культуры и спорта, культуры и искусства</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D3E9ED1"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3</w:t>
            </w:r>
          </w:p>
        </w:tc>
        <w:tc>
          <w:tcPr>
            <w:tcW w:w="1854" w:type="dxa"/>
            <w:tcBorders>
              <w:top w:val="single" w:sz="4" w:space="0" w:color="auto"/>
              <w:left w:val="single" w:sz="4" w:space="0" w:color="auto"/>
              <w:bottom w:val="single" w:sz="4" w:space="0" w:color="auto"/>
              <w:right w:val="single" w:sz="4" w:space="0" w:color="auto"/>
            </w:tcBorders>
            <w:vAlign w:val="center"/>
            <w:hideMark/>
          </w:tcPr>
          <w:p w14:paraId="665FB02F"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03:050</w:t>
            </w:r>
          </w:p>
        </w:tc>
        <w:tc>
          <w:tcPr>
            <w:tcW w:w="1709" w:type="dxa"/>
            <w:tcBorders>
              <w:top w:val="single" w:sz="4" w:space="0" w:color="auto"/>
              <w:left w:val="single" w:sz="4" w:space="0" w:color="auto"/>
              <w:bottom w:val="single" w:sz="4" w:space="0" w:color="auto"/>
              <w:right w:val="single" w:sz="4" w:space="0" w:color="auto"/>
            </w:tcBorders>
            <w:vAlign w:val="center"/>
            <w:hideMark/>
          </w:tcPr>
          <w:p w14:paraId="7FF6E971"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Соответствует</w:t>
            </w:r>
          </w:p>
        </w:tc>
      </w:tr>
      <w:tr w:rsidR="00905E1F" w:rsidRPr="00AC3806" w14:paraId="5143A6F0" w14:textId="77777777" w:rsidTr="00C749ED">
        <w:tc>
          <w:tcPr>
            <w:tcW w:w="2217" w:type="dxa"/>
            <w:tcBorders>
              <w:top w:val="single" w:sz="4" w:space="0" w:color="auto"/>
              <w:left w:val="single" w:sz="4" w:space="0" w:color="auto"/>
              <w:bottom w:val="single" w:sz="4" w:space="0" w:color="auto"/>
              <w:right w:val="single" w:sz="4" w:space="0" w:color="auto"/>
            </w:tcBorders>
            <w:vAlign w:val="center"/>
          </w:tcPr>
          <w:p w14:paraId="7DC5D0A3"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36:01:0010450:10</w:t>
            </w:r>
          </w:p>
        </w:tc>
        <w:tc>
          <w:tcPr>
            <w:tcW w:w="2403" w:type="dxa"/>
            <w:tcBorders>
              <w:top w:val="single" w:sz="4" w:space="0" w:color="auto"/>
              <w:left w:val="single" w:sz="4" w:space="0" w:color="auto"/>
              <w:bottom w:val="single" w:sz="4" w:space="0" w:color="auto"/>
              <w:right w:val="single" w:sz="4" w:space="0" w:color="auto"/>
            </w:tcBorders>
            <w:vAlign w:val="center"/>
            <w:hideMark/>
          </w:tcPr>
          <w:p w14:paraId="28E20BBB"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гостиницы, гостиничные комплексы</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2E8CAFF"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5</w:t>
            </w:r>
          </w:p>
        </w:tc>
        <w:tc>
          <w:tcPr>
            <w:tcW w:w="1854" w:type="dxa"/>
            <w:tcBorders>
              <w:top w:val="single" w:sz="4" w:space="0" w:color="auto"/>
              <w:left w:val="single" w:sz="4" w:space="0" w:color="auto"/>
              <w:bottom w:val="single" w:sz="4" w:space="0" w:color="auto"/>
              <w:right w:val="single" w:sz="4" w:space="0" w:color="auto"/>
            </w:tcBorders>
            <w:vAlign w:val="center"/>
            <w:hideMark/>
          </w:tcPr>
          <w:p w14:paraId="37C045BF"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04:070</w:t>
            </w:r>
          </w:p>
        </w:tc>
        <w:tc>
          <w:tcPr>
            <w:tcW w:w="1709" w:type="dxa"/>
            <w:tcBorders>
              <w:top w:val="single" w:sz="4" w:space="0" w:color="auto"/>
              <w:left w:val="single" w:sz="4" w:space="0" w:color="auto"/>
              <w:bottom w:val="single" w:sz="4" w:space="0" w:color="auto"/>
              <w:right w:val="single" w:sz="4" w:space="0" w:color="auto"/>
            </w:tcBorders>
            <w:vAlign w:val="center"/>
            <w:hideMark/>
          </w:tcPr>
          <w:p w14:paraId="66407133"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Соответствует</w:t>
            </w:r>
          </w:p>
        </w:tc>
      </w:tr>
      <w:tr w:rsidR="00905E1F" w:rsidRPr="00AC3806" w14:paraId="3A523D44" w14:textId="77777777" w:rsidTr="00C749ED">
        <w:tc>
          <w:tcPr>
            <w:tcW w:w="2217" w:type="dxa"/>
            <w:tcBorders>
              <w:top w:val="single" w:sz="4" w:space="0" w:color="auto"/>
              <w:left w:val="single" w:sz="4" w:space="0" w:color="auto"/>
              <w:bottom w:val="single" w:sz="4" w:space="0" w:color="auto"/>
              <w:right w:val="single" w:sz="4" w:space="0" w:color="auto"/>
            </w:tcBorders>
            <w:vAlign w:val="center"/>
          </w:tcPr>
          <w:p w14:paraId="2B68373B"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36:28:0102016:16</w:t>
            </w:r>
          </w:p>
        </w:tc>
        <w:tc>
          <w:tcPr>
            <w:tcW w:w="2403" w:type="dxa"/>
            <w:tcBorders>
              <w:top w:val="single" w:sz="4" w:space="0" w:color="auto"/>
              <w:left w:val="single" w:sz="4" w:space="0" w:color="auto"/>
              <w:bottom w:val="single" w:sz="4" w:space="0" w:color="auto"/>
              <w:right w:val="single" w:sz="4" w:space="0" w:color="auto"/>
            </w:tcBorders>
            <w:vAlign w:val="center"/>
            <w:hideMark/>
          </w:tcPr>
          <w:p w14:paraId="581B9771"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под объектами промышленности</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58DAF0E"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6</w:t>
            </w:r>
          </w:p>
        </w:tc>
        <w:tc>
          <w:tcPr>
            <w:tcW w:w="1854" w:type="dxa"/>
            <w:tcBorders>
              <w:top w:val="single" w:sz="4" w:space="0" w:color="auto"/>
              <w:left w:val="single" w:sz="4" w:space="0" w:color="auto"/>
              <w:bottom w:val="single" w:sz="4" w:space="0" w:color="auto"/>
              <w:right w:val="single" w:sz="4" w:space="0" w:color="auto"/>
            </w:tcBorders>
            <w:vAlign w:val="center"/>
            <w:hideMark/>
          </w:tcPr>
          <w:p w14:paraId="1781803C"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06:000</w:t>
            </w:r>
          </w:p>
        </w:tc>
        <w:tc>
          <w:tcPr>
            <w:tcW w:w="1709" w:type="dxa"/>
            <w:tcBorders>
              <w:top w:val="single" w:sz="4" w:space="0" w:color="auto"/>
              <w:left w:val="single" w:sz="4" w:space="0" w:color="auto"/>
              <w:bottom w:val="single" w:sz="4" w:space="0" w:color="auto"/>
              <w:right w:val="single" w:sz="4" w:space="0" w:color="auto"/>
            </w:tcBorders>
            <w:vAlign w:val="center"/>
            <w:hideMark/>
          </w:tcPr>
          <w:p w14:paraId="5E213099"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Соответствует</w:t>
            </w:r>
          </w:p>
        </w:tc>
      </w:tr>
      <w:tr w:rsidR="00905E1F" w:rsidRPr="00AC3806" w14:paraId="3739035B" w14:textId="77777777" w:rsidTr="00C749ED">
        <w:tc>
          <w:tcPr>
            <w:tcW w:w="2217" w:type="dxa"/>
            <w:tcBorders>
              <w:top w:val="single" w:sz="4" w:space="0" w:color="auto"/>
              <w:left w:val="single" w:sz="4" w:space="0" w:color="auto"/>
              <w:bottom w:val="single" w:sz="4" w:space="0" w:color="auto"/>
              <w:right w:val="single" w:sz="4" w:space="0" w:color="auto"/>
            </w:tcBorders>
            <w:vAlign w:val="center"/>
            <w:hideMark/>
          </w:tcPr>
          <w:p w14:paraId="000531D3"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36:33:0003001:1470</w:t>
            </w:r>
          </w:p>
        </w:tc>
        <w:tc>
          <w:tcPr>
            <w:tcW w:w="2403" w:type="dxa"/>
            <w:tcBorders>
              <w:top w:val="single" w:sz="4" w:space="0" w:color="auto"/>
              <w:left w:val="single" w:sz="4" w:space="0" w:color="auto"/>
              <w:bottom w:val="single" w:sz="4" w:space="0" w:color="auto"/>
              <w:right w:val="single" w:sz="4" w:space="0" w:color="auto"/>
            </w:tcBorders>
            <w:vAlign w:val="center"/>
            <w:hideMark/>
          </w:tcPr>
          <w:p w14:paraId="62551024"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Индивидуальное жилищное строительство</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4592086"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13</w:t>
            </w:r>
          </w:p>
        </w:tc>
        <w:tc>
          <w:tcPr>
            <w:tcW w:w="1854" w:type="dxa"/>
            <w:tcBorders>
              <w:top w:val="single" w:sz="4" w:space="0" w:color="auto"/>
              <w:left w:val="single" w:sz="4" w:space="0" w:color="auto"/>
              <w:bottom w:val="single" w:sz="4" w:space="0" w:color="auto"/>
              <w:right w:val="single" w:sz="4" w:space="0" w:color="auto"/>
            </w:tcBorders>
            <w:vAlign w:val="center"/>
            <w:hideMark/>
          </w:tcPr>
          <w:p w14:paraId="1A41AE84"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02:010</w:t>
            </w:r>
          </w:p>
        </w:tc>
        <w:tc>
          <w:tcPr>
            <w:tcW w:w="1709" w:type="dxa"/>
            <w:tcBorders>
              <w:top w:val="single" w:sz="4" w:space="0" w:color="auto"/>
              <w:left w:val="single" w:sz="4" w:space="0" w:color="auto"/>
              <w:bottom w:val="single" w:sz="4" w:space="0" w:color="auto"/>
              <w:right w:val="single" w:sz="4" w:space="0" w:color="auto"/>
            </w:tcBorders>
            <w:vAlign w:val="center"/>
            <w:hideMark/>
          </w:tcPr>
          <w:p w14:paraId="64D0BEEA"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Соответствует</w:t>
            </w:r>
          </w:p>
        </w:tc>
      </w:tr>
      <w:tr w:rsidR="00905E1F" w:rsidRPr="00AC3806" w14:paraId="21D54397" w14:textId="77777777" w:rsidTr="00C749ED">
        <w:tc>
          <w:tcPr>
            <w:tcW w:w="2217" w:type="dxa"/>
            <w:tcBorders>
              <w:top w:val="single" w:sz="4" w:space="0" w:color="auto"/>
              <w:left w:val="single" w:sz="4" w:space="0" w:color="auto"/>
              <w:bottom w:val="single" w:sz="4" w:space="0" w:color="auto"/>
              <w:right w:val="single" w:sz="4" w:space="0" w:color="auto"/>
            </w:tcBorders>
            <w:vAlign w:val="center"/>
            <w:hideMark/>
          </w:tcPr>
          <w:p w14:paraId="21428690"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36:23:0103032:10</w:t>
            </w:r>
          </w:p>
        </w:tc>
        <w:tc>
          <w:tcPr>
            <w:tcW w:w="2403" w:type="dxa"/>
            <w:tcBorders>
              <w:top w:val="single" w:sz="4" w:space="0" w:color="auto"/>
              <w:left w:val="single" w:sz="4" w:space="0" w:color="auto"/>
              <w:bottom w:val="single" w:sz="4" w:space="0" w:color="auto"/>
              <w:right w:val="single" w:sz="4" w:space="0" w:color="auto"/>
            </w:tcBorders>
            <w:vAlign w:val="center"/>
            <w:hideMark/>
          </w:tcPr>
          <w:p w14:paraId="10310740"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Для строительства автозаправочной станции</w:t>
            </w:r>
          </w:p>
        </w:tc>
        <w:tc>
          <w:tcPr>
            <w:tcW w:w="1162" w:type="dxa"/>
            <w:tcBorders>
              <w:top w:val="single" w:sz="4" w:space="0" w:color="auto"/>
              <w:left w:val="single" w:sz="4" w:space="0" w:color="auto"/>
              <w:bottom w:val="single" w:sz="4" w:space="0" w:color="auto"/>
              <w:right w:val="single" w:sz="4" w:space="0" w:color="auto"/>
            </w:tcBorders>
            <w:vAlign w:val="center"/>
            <w:hideMark/>
          </w:tcPr>
          <w:p w14:paraId="43EFD9EC"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6</w:t>
            </w:r>
          </w:p>
        </w:tc>
        <w:tc>
          <w:tcPr>
            <w:tcW w:w="1854" w:type="dxa"/>
            <w:tcBorders>
              <w:top w:val="single" w:sz="4" w:space="0" w:color="auto"/>
              <w:left w:val="single" w:sz="4" w:space="0" w:color="auto"/>
              <w:bottom w:val="single" w:sz="4" w:space="0" w:color="auto"/>
              <w:right w:val="single" w:sz="4" w:space="0" w:color="auto"/>
            </w:tcBorders>
            <w:vAlign w:val="center"/>
            <w:hideMark/>
          </w:tcPr>
          <w:p w14:paraId="63880B00"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04:095</w:t>
            </w:r>
          </w:p>
        </w:tc>
        <w:tc>
          <w:tcPr>
            <w:tcW w:w="1709" w:type="dxa"/>
            <w:tcBorders>
              <w:top w:val="single" w:sz="4" w:space="0" w:color="auto"/>
              <w:left w:val="single" w:sz="4" w:space="0" w:color="auto"/>
              <w:bottom w:val="single" w:sz="4" w:space="0" w:color="auto"/>
              <w:right w:val="single" w:sz="4" w:space="0" w:color="auto"/>
            </w:tcBorders>
            <w:vAlign w:val="center"/>
            <w:hideMark/>
          </w:tcPr>
          <w:p w14:paraId="751AD7CA"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Соответствует</w:t>
            </w:r>
          </w:p>
        </w:tc>
      </w:tr>
      <w:tr w:rsidR="00905E1F" w:rsidRPr="00AC3806" w14:paraId="7DB2DB1E" w14:textId="77777777" w:rsidTr="00C749ED">
        <w:tc>
          <w:tcPr>
            <w:tcW w:w="2217" w:type="dxa"/>
            <w:tcBorders>
              <w:top w:val="single" w:sz="4" w:space="0" w:color="auto"/>
              <w:left w:val="single" w:sz="4" w:space="0" w:color="auto"/>
              <w:bottom w:val="single" w:sz="4" w:space="0" w:color="auto"/>
              <w:right w:val="single" w:sz="4" w:space="0" w:color="auto"/>
            </w:tcBorders>
            <w:vAlign w:val="center"/>
            <w:hideMark/>
          </w:tcPr>
          <w:p w14:paraId="0D8EBE37"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36:14:0018501:63</w:t>
            </w:r>
          </w:p>
        </w:tc>
        <w:tc>
          <w:tcPr>
            <w:tcW w:w="2403" w:type="dxa"/>
            <w:tcBorders>
              <w:top w:val="single" w:sz="4" w:space="0" w:color="auto"/>
              <w:left w:val="single" w:sz="4" w:space="0" w:color="auto"/>
              <w:bottom w:val="single" w:sz="4" w:space="0" w:color="auto"/>
              <w:right w:val="single" w:sz="4" w:space="0" w:color="auto"/>
            </w:tcBorders>
            <w:vAlign w:val="center"/>
            <w:hideMark/>
          </w:tcPr>
          <w:p w14:paraId="38240CF6"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Индивидуальное гаражное строительство</w:t>
            </w:r>
          </w:p>
        </w:tc>
        <w:tc>
          <w:tcPr>
            <w:tcW w:w="1162" w:type="dxa"/>
            <w:tcBorders>
              <w:top w:val="single" w:sz="4" w:space="0" w:color="auto"/>
              <w:left w:val="single" w:sz="4" w:space="0" w:color="auto"/>
              <w:bottom w:val="single" w:sz="4" w:space="0" w:color="auto"/>
              <w:right w:val="single" w:sz="4" w:space="0" w:color="auto"/>
            </w:tcBorders>
            <w:vAlign w:val="center"/>
            <w:hideMark/>
          </w:tcPr>
          <w:p w14:paraId="5A12100F"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7</w:t>
            </w:r>
          </w:p>
        </w:tc>
        <w:tc>
          <w:tcPr>
            <w:tcW w:w="1854" w:type="dxa"/>
            <w:tcBorders>
              <w:top w:val="single" w:sz="4" w:space="0" w:color="auto"/>
              <w:left w:val="single" w:sz="4" w:space="0" w:color="auto"/>
              <w:bottom w:val="single" w:sz="4" w:space="0" w:color="auto"/>
              <w:right w:val="single" w:sz="4" w:space="0" w:color="auto"/>
            </w:tcBorders>
            <w:vAlign w:val="center"/>
            <w:hideMark/>
          </w:tcPr>
          <w:p w14:paraId="01FEEF5D"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02:071</w:t>
            </w:r>
          </w:p>
        </w:tc>
        <w:tc>
          <w:tcPr>
            <w:tcW w:w="1709" w:type="dxa"/>
            <w:tcBorders>
              <w:top w:val="single" w:sz="4" w:space="0" w:color="auto"/>
              <w:left w:val="single" w:sz="4" w:space="0" w:color="auto"/>
              <w:bottom w:val="single" w:sz="4" w:space="0" w:color="auto"/>
              <w:right w:val="single" w:sz="4" w:space="0" w:color="auto"/>
            </w:tcBorders>
            <w:vAlign w:val="center"/>
            <w:hideMark/>
          </w:tcPr>
          <w:p w14:paraId="2C316315" w14:textId="77777777" w:rsidR="00905E1F" w:rsidRPr="00AC3806" w:rsidRDefault="00905E1F" w:rsidP="00C749ED">
            <w:pPr>
              <w:contextualSpacing/>
              <w:jc w:val="center"/>
              <w:rPr>
                <w:rFonts w:ascii="Times New Roman" w:hAnsi="Times New Roman" w:cs="Times New Roman"/>
                <w:sz w:val="22"/>
                <w:szCs w:val="22"/>
              </w:rPr>
            </w:pPr>
            <w:r w:rsidRPr="00AC3806">
              <w:rPr>
                <w:rFonts w:ascii="Times New Roman" w:hAnsi="Times New Roman" w:cs="Times New Roman"/>
                <w:sz w:val="22"/>
                <w:szCs w:val="22"/>
              </w:rPr>
              <w:t>Соответствует</w:t>
            </w:r>
          </w:p>
        </w:tc>
        <w:bookmarkEnd w:id="318"/>
      </w:tr>
    </w:tbl>
    <w:p w14:paraId="518D1179" w14:textId="77777777" w:rsidR="00905E1F" w:rsidRPr="00AC3806" w:rsidRDefault="00905E1F" w:rsidP="00905E1F">
      <w:pPr>
        <w:spacing w:after="0" w:line="240" w:lineRule="auto"/>
        <w:ind w:firstLine="709"/>
        <w:contextualSpacing/>
        <w:jc w:val="both"/>
        <w:rPr>
          <w:rFonts w:ascii="Times New Roman" w:hAnsi="Times New Roman" w:cs="Times New Roman"/>
          <w:i/>
          <w:sz w:val="26"/>
          <w:szCs w:val="26"/>
        </w:rPr>
      </w:pPr>
    </w:p>
    <w:p w14:paraId="2BE4274D" w14:textId="77777777" w:rsidR="00905E1F" w:rsidRPr="00AC3806" w:rsidRDefault="00905E1F" w:rsidP="00905E1F">
      <w:pPr>
        <w:spacing w:after="0" w:line="240" w:lineRule="auto"/>
        <w:ind w:firstLine="709"/>
        <w:contextualSpacing/>
        <w:jc w:val="both"/>
        <w:rPr>
          <w:rFonts w:ascii="Times New Roman" w:hAnsi="Times New Roman" w:cs="Times New Roman"/>
          <w:i/>
          <w:sz w:val="26"/>
          <w:szCs w:val="26"/>
        </w:rPr>
      </w:pPr>
      <w:r w:rsidRPr="00AC3806">
        <w:rPr>
          <w:rFonts w:ascii="Times New Roman" w:hAnsi="Times New Roman" w:cs="Times New Roman"/>
          <w:i/>
          <w:sz w:val="26"/>
          <w:szCs w:val="26"/>
        </w:rPr>
        <w:t>Выводы:</w:t>
      </w:r>
    </w:p>
    <w:p w14:paraId="6AC46E5E"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Представленный Перечень соответствует требованиям, установленным приказом Федеральной службы государственной регистрации, кадастра и картографии от 06.08.2020 №0283.</w:t>
      </w:r>
    </w:p>
    <w:p w14:paraId="0CCAEB3C" w14:textId="77777777" w:rsidR="00905E1F" w:rsidRPr="00AC3806" w:rsidRDefault="00905E1F" w:rsidP="00905E1F">
      <w:pPr>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В ходе контрольной выборки выявлено, что сегмент и код расчета вида использования земельных участков, участвующих в выборке, соответствуют их виду разрешенного использования по документу, исходя из этого комиссией сделан вывод о том, что обработка Перечня проведена Учреждением в соответствии с Методическими указаниями, утвержденными приказом Минэкономразвития Российской Федерации от 04.08.2021 № П/0336 (далее – Методические указания).</w:t>
      </w:r>
    </w:p>
    <w:p w14:paraId="5FAF239A" w14:textId="77777777" w:rsidR="00905E1F" w:rsidRPr="00AC3806" w:rsidRDefault="00905E1F" w:rsidP="00905E1F">
      <w:pPr>
        <w:spacing w:line="240" w:lineRule="auto"/>
        <w:rPr>
          <w:rFonts w:ascii="Times New Roman" w:hAnsi="Times New Roman" w:cs="Times New Roman"/>
          <w:sz w:val="26"/>
          <w:szCs w:val="26"/>
        </w:rPr>
      </w:pPr>
    </w:p>
    <w:p w14:paraId="5CF5BDBC" w14:textId="77777777" w:rsidR="00905E1F" w:rsidRPr="00AC3806" w:rsidRDefault="00905E1F" w:rsidP="00905E1F">
      <w:pPr>
        <w:pStyle w:val="20"/>
        <w:ind w:firstLine="709"/>
        <w:rPr>
          <w:rFonts w:eastAsiaTheme="minorEastAsia" w:cs="Times New Roman"/>
          <w:sz w:val="26"/>
        </w:rPr>
      </w:pPr>
      <w:bookmarkStart w:id="319" w:name="_Toc106539018"/>
      <w:bookmarkStart w:id="320" w:name="_Toc110507039"/>
      <w:r w:rsidRPr="00AC3806">
        <w:rPr>
          <w:rFonts w:eastAsiaTheme="minorEastAsia" w:cs="Times New Roman"/>
          <w:sz w:val="26"/>
        </w:rPr>
        <w:t>4.1.2. Контроль качества анализа рынка, сбора и верификации данных о сделках и предложениях</w:t>
      </w:r>
      <w:bookmarkEnd w:id="319"/>
      <w:bookmarkEnd w:id="320"/>
    </w:p>
    <w:p w14:paraId="5A7CB9A0"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В соответствии с Методическими указаниями Учреждением проведен сбор и анализ информации о рынке объектов недвижимости по следующим критериям:</w:t>
      </w:r>
    </w:p>
    <w:p w14:paraId="7DEA1147"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 обзор состояния рынка недвижимости (в целом);</w:t>
      </w:r>
    </w:p>
    <w:p w14:paraId="17A5CF0D"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 обзор сегмента рынка объектов недвижимости.</w:t>
      </w:r>
    </w:p>
    <w:p w14:paraId="4F04DBBF" w14:textId="77777777" w:rsidR="00905E1F" w:rsidRPr="00AC3806" w:rsidRDefault="00905E1F" w:rsidP="00905E1F">
      <w:pPr>
        <w:spacing w:after="0" w:line="276"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Сбор информации о предложениях на рынке объектов недвижимости производился Учреждением в отношении земельных участков и единых объектов недвижимости. В качестве источников информации о рынке недвижимости использовались общероссийские интернет-порталы: www.avito.ru, www.cian.ru, https://www.cmlt.ru/, https://youla.ru, www.rosrealt.ru, www.domofond.ru, www.realty.yandex.ru, https://agroserver.ru, www.move.ru, www.nikvrn.ru, www.rosnedv.ru, www.vrx.ru и другие, а также официальные сайты: www.rosreestr.ru, https://www.govvrn.ru/, https://pkk5.rosreestr.ru, https://2gis.ru (мониторинг рынка Воронежской области). Так же использована информация по торгам земельными участками, проведенным органами местного самоуправления Воронежской области, информация о сделках с земельными участками, предоставленная Управлением Федеральной службы государственной регистрации, кадастра и картографии по Воронежской области (Управление Росреестра по Воронежской области), электронные базы данных АИС МРН и АН "InfoLINE", районные и городские средства массовой информации.</w:t>
      </w:r>
    </w:p>
    <w:p w14:paraId="086F06CE"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На основе собранной рыночной информации Учреждением был проанализирован рынок земельных участков без учета находящихся на них объектов капитального строительства. Анализ рыночной информации осуществляется в отношении следующих сегментов рынка объектов недвижимости:</w:t>
      </w:r>
    </w:p>
    <w:p w14:paraId="2664CD34"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1</w:t>
      </w:r>
      <w:r w:rsidRPr="00AC3806">
        <w:rPr>
          <w:rFonts w:ascii="Times New Roman" w:hAnsi="Times New Roman" w:cs="Times New Roman"/>
          <w:sz w:val="26"/>
          <w:szCs w:val="26"/>
        </w:rPr>
        <w:tab/>
        <w:t>«Жилая застройка».</w:t>
      </w:r>
    </w:p>
    <w:p w14:paraId="0420F87F"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2</w:t>
      </w:r>
      <w:r w:rsidRPr="00AC3806">
        <w:rPr>
          <w:rFonts w:ascii="Times New Roman" w:hAnsi="Times New Roman" w:cs="Times New Roman"/>
          <w:sz w:val="26"/>
          <w:szCs w:val="26"/>
        </w:rPr>
        <w:tab/>
        <w:t>«Садоводческое, огородническое и дачное использование».</w:t>
      </w:r>
    </w:p>
    <w:p w14:paraId="7FE9C0E0"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3</w:t>
      </w:r>
      <w:r w:rsidRPr="00AC3806">
        <w:rPr>
          <w:rFonts w:ascii="Times New Roman" w:hAnsi="Times New Roman" w:cs="Times New Roman"/>
          <w:sz w:val="26"/>
          <w:szCs w:val="26"/>
        </w:rPr>
        <w:tab/>
        <w:t>«Транспорт».</w:t>
      </w:r>
    </w:p>
    <w:p w14:paraId="4599600A"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4</w:t>
      </w:r>
      <w:r w:rsidRPr="00AC3806">
        <w:rPr>
          <w:rFonts w:ascii="Times New Roman" w:hAnsi="Times New Roman" w:cs="Times New Roman"/>
          <w:sz w:val="26"/>
          <w:szCs w:val="26"/>
        </w:rPr>
        <w:tab/>
        <w:t>«Предпринимательство».</w:t>
      </w:r>
    </w:p>
    <w:p w14:paraId="2806337B"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5</w:t>
      </w:r>
      <w:r w:rsidRPr="00AC3806">
        <w:rPr>
          <w:rFonts w:ascii="Times New Roman" w:hAnsi="Times New Roman" w:cs="Times New Roman"/>
          <w:sz w:val="26"/>
          <w:szCs w:val="26"/>
        </w:rPr>
        <w:tab/>
        <w:t>«Отдых (рекреация)».</w:t>
      </w:r>
    </w:p>
    <w:p w14:paraId="10F1B2FA"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6</w:t>
      </w:r>
      <w:r w:rsidRPr="00AC3806">
        <w:rPr>
          <w:rFonts w:ascii="Times New Roman" w:hAnsi="Times New Roman" w:cs="Times New Roman"/>
          <w:sz w:val="26"/>
          <w:szCs w:val="26"/>
        </w:rPr>
        <w:tab/>
        <w:t>«Общественное использование».</w:t>
      </w:r>
    </w:p>
    <w:p w14:paraId="236BEAA0"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7</w:t>
      </w:r>
      <w:r w:rsidRPr="00AC3806">
        <w:rPr>
          <w:rFonts w:ascii="Times New Roman" w:hAnsi="Times New Roman" w:cs="Times New Roman"/>
          <w:sz w:val="26"/>
          <w:szCs w:val="26"/>
        </w:rPr>
        <w:tab/>
        <w:t>«Производственная деятельность».</w:t>
      </w:r>
    </w:p>
    <w:p w14:paraId="7E14D2BD"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При анализе информации осуществлялась проверка информации по следующим критериям:</w:t>
      </w:r>
    </w:p>
    <w:p w14:paraId="7FE59BF6"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 правильность собранной рыночной информации;</w:t>
      </w:r>
    </w:p>
    <w:p w14:paraId="269D1D96"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 достоверность собранной рыночной информации;</w:t>
      </w:r>
    </w:p>
    <w:p w14:paraId="7484C8A6"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 полнота собранной рыночной информации.</w:t>
      </w:r>
    </w:p>
    <w:p w14:paraId="25127B3F"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Анализ рынка, сбор и верификация данных о сделках и предложениях приведены в п. 3.1.3 Отчета.</w:t>
      </w:r>
    </w:p>
    <w:p w14:paraId="510EEBF0" w14:textId="77777777" w:rsidR="00905E1F" w:rsidRPr="00AC3806" w:rsidRDefault="00905E1F" w:rsidP="00905E1F">
      <w:pPr>
        <w:spacing w:after="0" w:line="240" w:lineRule="auto"/>
        <w:ind w:firstLine="709"/>
        <w:contextualSpacing/>
        <w:jc w:val="both"/>
        <w:rPr>
          <w:rFonts w:ascii="Times New Roman" w:hAnsi="Times New Roman" w:cs="Times New Roman"/>
          <w:i/>
          <w:sz w:val="26"/>
          <w:szCs w:val="26"/>
        </w:rPr>
      </w:pPr>
      <w:r w:rsidRPr="00AC3806">
        <w:rPr>
          <w:rFonts w:ascii="Times New Roman" w:hAnsi="Times New Roman" w:cs="Times New Roman"/>
          <w:i/>
          <w:sz w:val="26"/>
          <w:szCs w:val="26"/>
        </w:rPr>
        <w:t>Выводы:</w:t>
      </w:r>
    </w:p>
    <w:p w14:paraId="447E3E0A"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Сбор информации о предложениях на рынке объектов недвижимости производился Учреждением из открытых источников общероссийских интернет-порталов, а также районных и городских средств массовой информации Воронежской области, в том числе и из официальных источников Управления Росреестра и органов власти, местного самоуправления Воронежской области.</w:t>
      </w:r>
    </w:p>
    <w:p w14:paraId="3A1ED608" w14:textId="77777777" w:rsidR="00905E1F" w:rsidRPr="00AC3806" w:rsidRDefault="00905E1F" w:rsidP="00905E1F">
      <w:pPr>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В заключении комиссия приходит к выводу о том, что на дату проведения проверки, информация о рынке объектов недвижимости является достоверной.</w:t>
      </w:r>
    </w:p>
    <w:p w14:paraId="4C05C6EC" w14:textId="77777777" w:rsidR="00905E1F" w:rsidRPr="00AC3806" w:rsidRDefault="00905E1F" w:rsidP="00905E1F">
      <w:pPr>
        <w:spacing w:after="0" w:line="240" w:lineRule="auto"/>
        <w:ind w:firstLine="709"/>
        <w:jc w:val="center"/>
        <w:rPr>
          <w:rFonts w:ascii="Times New Roman" w:eastAsiaTheme="majorEastAsia" w:hAnsi="Times New Roman" w:cs="Times New Roman"/>
          <w:b/>
          <w:sz w:val="26"/>
          <w:szCs w:val="26"/>
        </w:rPr>
      </w:pPr>
    </w:p>
    <w:p w14:paraId="14AD39A8" w14:textId="77777777" w:rsidR="00905E1F" w:rsidRPr="00AC3806" w:rsidRDefault="00905E1F" w:rsidP="00905E1F">
      <w:pPr>
        <w:pStyle w:val="20"/>
        <w:ind w:firstLine="709"/>
        <w:rPr>
          <w:rFonts w:eastAsiaTheme="minorEastAsia" w:cs="Times New Roman"/>
          <w:sz w:val="26"/>
        </w:rPr>
      </w:pPr>
      <w:bookmarkStart w:id="321" w:name="_Toc106539019"/>
      <w:bookmarkStart w:id="322" w:name="_Toc110507040"/>
      <w:r w:rsidRPr="00AC3806">
        <w:rPr>
          <w:rFonts w:eastAsiaTheme="minorEastAsia" w:cs="Times New Roman"/>
          <w:sz w:val="26"/>
        </w:rPr>
        <w:t>4.1.3. Контроль качества статистических моделей</w:t>
      </w:r>
      <w:bookmarkEnd w:id="321"/>
      <w:bookmarkEnd w:id="322"/>
    </w:p>
    <w:p w14:paraId="5489A76A" w14:textId="77777777" w:rsidR="00905E1F" w:rsidRPr="00AC3806" w:rsidRDefault="00905E1F" w:rsidP="00905E1F">
      <w:pPr>
        <w:spacing w:line="240" w:lineRule="auto"/>
        <w:ind w:firstLine="708"/>
        <w:jc w:val="both"/>
        <w:rPr>
          <w:rFonts w:ascii="Times New Roman" w:hAnsi="Times New Roman" w:cs="Times New Roman"/>
          <w:b/>
          <w:sz w:val="26"/>
          <w:szCs w:val="26"/>
        </w:rPr>
      </w:pPr>
    </w:p>
    <w:p w14:paraId="3FE86EFD" w14:textId="77777777" w:rsidR="00905E1F" w:rsidRPr="00AC3806" w:rsidRDefault="00905E1F" w:rsidP="00905E1F">
      <w:pPr>
        <w:spacing w:after="0" w:line="240" w:lineRule="auto"/>
        <w:ind w:firstLine="709"/>
        <w:jc w:val="both"/>
        <w:rPr>
          <w:rFonts w:ascii="Times New Roman" w:hAnsi="Times New Roman" w:cs="Times New Roman"/>
          <w:i/>
          <w:sz w:val="26"/>
          <w:szCs w:val="26"/>
        </w:rPr>
      </w:pPr>
      <w:r w:rsidRPr="00AC3806">
        <w:rPr>
          <w:rFonts w:ascii="Times New Roman" w:hAnsi="Times New Roman" w:cs="Times New Roman"/>
          <w:i/>
          <w:sz w:val="26"/>
          <w:szCs w:val="26"/>
        </w:rPr>
        <w:t>В ходе проверки было установлено:</w:t>
      </w:r>
    </w:p>
    <w:p w14:paraId="52F6C5D0"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В соответствии с п. 45.1. Методических указаний Учреждением для ряда подгрупп объектов недвижимости построены статистические модели, отражающие сложившиеся на рынке закономерности ценообразования. Анализ качества статистической модели включает в себя комплекс процедур, предусматривающий проверку, в том числе:</w:t>
      </w:r>
    </w:p>
    <w:p w14:paraId="600F9799"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 учет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14:paraId="5137BD05"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 обоснованность знаков при коэффициентах статистического уравнения, то есть их соответствия характеру влияния ценообразующих факторов;</w:t>
      </w:r>
    </w:p>
    <w:p w14:paraId="625B4CFE"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14:paraId="63A5A6DB"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 по t-критерию Стьюдента;</w:t>
      </w:r>
    </w:p>
    <w:p w14:paraId="64FEFFB1"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 по средней ошибке аппроксимации;</w:t>
      </w:r>
    </w:p>
    <w:p w14:paraId="25A404DD"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 по коэффициенту детерминации R2;</w:t>
      </w:r>
    </w:p>
    <w:p w14:paraId="205B6AC7"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 по расчетному значению F-критерия Фишера.</w:t>
      </w:r>
    </w:p>
    <w:p w14:paraId="6E1C1B9F"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Анализ качества моделей на примере 5 сегмента подгруппы «Отдых 6 ГНП» приведен далее.</w:t>
      </w:r>
    </w:p>
    <w:p w14:paraId="475C9FF7" w14:textId="77777777" w:rsidR="00905E1F" w:rsidRPr="00AC3806" w:rsidRDefault="00905E1F" w:rsidP="00905E1F">
      <w:pPr>
        <w:spacing w:after="0" w:line="240" w:lineRule="auto"/>
        <w:ind w:firstLine="709"/>
        <w:contextualSpacing/>
        <w:jc w:val="right"/>
        <w:rPr>
          <w:rFonts w:ascii="Times New Roman" w:hAnsi="Times New Roman" w:cs="Times New Roman"/>
          <w:sz w:val="26"/>
          <w:szCs w:val="26"/>
        </w:rPr>
      </w:pPr>
      <w:r w:rsidRPr="00AC3806">
        <w:rPr>
          <w:rFonts w:ascii="Times New Roman" w:hAnsi="Times New Roman" w:cs="Times New Roman"/>
          <w:sz w:val="26"/>
          <w:szCs w:val="26"/>
        </w:rPr>
        <w:t>Таблица 4.1.3.1</w:t>
      </w:r>
    </w:p>
    <w:p w14:paraId="4771B4A6" w14:textId="77777777" w:rsidR="00905E1F" w:rsidRPr="00AC3806" w:rsidRDefault="00905E1F" w:rsidP="00905E1F">
      <w:pPr>
        <w:spacing w:after="0" w:line="240" w:lineRule="auto"/>
        <w:ind w:firstLine="709"/>
        <w:contextualSpacing/>
        <w:jc w:val="center"/>
        <w:rPr>
          <w:rFonts w:ascii="Times New Roman" w:hAnsi="Times New Roman" w:cs="Times New Roman"/>
          <w:sz w:val="26"/>
          <w:szCs w:val="26"/>
        </w:rPr>
      </w:pPr>
      <w:r w:rsidRPr="00AC3806">
        <w:rPr>
          <w:rFonts w:ascii="Times New Roman" w:hAnsi="Times New Roman" w:cs="Times New Roman"/>
          <w:sz w:val="26"/>
          <w:szCs w:val="26"/>
        </w:rPr>
        <w:t>Статистическая значимость модели</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418"/>
        <w:gridCol w:w="2410"/>
        <w:gridCol w:w="2076"/>
        <w:gridCol w:w="1984"/>
      </w:tblGrid>
      <w:tr w:rsidR="00905E1F" w:rsidRPr="00AC3806" w14:paraId="1941D01A" w14:textId="77777777" w:rsidTr="00C749ED">
        <w:trPr>
          <w:trHeight w:val="720"/>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02C300D" w14:textId="77777777" w:rsidR="00905E1F" w:rsidRPr="00AC3806" w:rsidRDefault="00905E1F" w:rsidP="00C749ED">
            <w:pPr>
              <w:spacing w:after="0" w:line="240" w:lineRule="auto"/>
              <w:contextualSpacing/>
              <w:jc w:val="center"/>
              <w:rPr>
                <w:rFonts w:ascii="Times New Roman" w:hAnsi="Times New Roman" w:cs="Times New Roman"/>
                <w:b/>
                <w:szCs w:val="18"/>
              </w:rPr>
            </w:pPr>
            <w:r w:rsidRPr="00AC3806">
              <w:rPr>
                <w:rFonts w:ascii="Times New Roman" w:hAnsi="Times New Roman" w:cs="Times New Roman"/>
                <w:b/>
                <w:szCs w:val="18"/>
              </w:rPr>
              <w:t>№ п/п</w:t>
            </w:r>
          </w:p>
        </w:tc>
        <w:tc>
          <w:tcPr>
            <w:tcW w:w="2418" w:type="dxa"/>
            <w:tcBorders>
              <w:top w:val="single" w:sz="4" w:space="0" w:color="auto"/>
              <w:left w:val="single" w:sz="4" w:space="0" w:color="auto"/>
              <w:bottom w:val="single" w:sz="4" w:space="0" w:color="auto"/>
              <w:right w:val="single" w:sz="4" w:space="0" w:color="auto"/>
            </w:tcBorders>
            <w:vAlign w:val="center"/>
            <w:hideMark/>
          </w:tcPr>
          <w:p w14:paraId="6A3C4434" w14:textId="77777777" w:rsidR="00905E1F" w:rsidRPr="00AC3806" w:rsidRDefault="00905E1F" w:rsidP="00C749ED">
            <w:pPr>
              <w:spacing w:after="0" w:line="240" w:lineRule="auto"/>
              <w:contextualSpacing/>
              <w:jc w:val="center"/>
              <w:rPr>
                <w:rFonts w:ascii="Times New Roman" w:hAnsi="Times New Roman" w:cs="Times New Roman"/>
                <w:b/>
                <w:szCs w:val="18"/>
              </w:rPr>
            </w:pPr>
            <w:r w:rsidRPr="00AC3806">
              <w:rPr>
                <w:rFonts w:ascii="Times New Roman" w:hAnsi="Times New Roman" w:cs="Times New Roman"/>
                <w:b/>
                <w:szCs w:val="18"/>
              </w:rPr>
              <w:t>Название модели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1164DF" w14:textId="77777777" w:rsidR="00905E1F" w:rsidRPr="00AC3806" w:rsidRDefault="00905E1F" w:rsidP="00C749ED">
            <w:pPr>
              <w:spacing w:after="0" w:line="240" w:lineRule="auto"/>
              <w:contextualSpacing/>
              <w:jc w:val="center"/>
              <w:rPr>
                <w:rFonts w:ascii="Times New Roman" w:hAnsi="Times New Roman" w:cs="Times New Roman"/>
                <w:b/>
                <w:szCs w:val="18"/>
              </w:rPr>
            </w:pPr>
            <w:r w:rsidRPr="00AC3806">
              <w:rPr>
                <w:rFonts w:ascii="Times New Roman" w:hAnsi="Times New Roman" w:cs="Times New Roman"/>
                <w:b/>
                <w:szCs w:val="18"/>
              </w:rPr>
              <w:t>Коэффициент детерминации, R2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27577AA8" w14:textId="77777777" w:rsidR="00905E1F" w:rsidRPr="00AC3806" w:rsidRDefault="00905E1F" w:rsidP="00C749ED">
            <w:pPr>
              <w:spacing w:after="0" w:line="240" w:lineRule="auto"/>
              <w:contextualSpacing/>
              <w:jc w:val="center"/>
              <w:rPr>
                <w:rFonts w:ascii="Times New Roman" w:hAnsi="Times New Roman" w:cs="Times New Roman"/>
                <w:b/>
                <w:szCs w:val="18"/>
              </w:rPr>
            </w:pPr>
            <w:r w:rsidRPr="00AC3806">
              <w:rPr>
                <w:rFonts w:ascii="Times New Roman" w:hAnsi="Times New Roman" w:cs="Times New Roman"/>
                <w:b/>
                <w:szCs w:val="18"/>
              </w:rPr>
              <w:t>Критерий Фишера, Fрасч</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20948FC" w14:textId="77777777" w:rsidR="00905E1F" w:rsidRPr="00AC3806" w:rsidRDefault="00905E1F" w:rsidP="00C749ED">
            <w:pPr>
              <w:spacing w:after="0" w:line="240" w:lineRule="auto"/>
              <w:contextualSpacing/>
              <w:jc w:val="center"/>
              <w:rPr>
                <w:rFonts w:ascii="Times New Roman" w:hAnsi="Times New Roman" w:cs="Times New Roman"/>
                <w:b/>
                <w:szCs w:val="18"/>
              </w:rPr>
            </w:pPr>
            <w:r w:rsidRPr="00AC3806">
              <w:rPr>
                <w:rFonts w:ascii="Times New Roman" w:hAnsi="Times New Roman" w:cs="Times New Roman"/>
                <w:b/>
                <w:szCs w:val="18"/>
              </w:rPr>
              <w:t>Статистическая значимость модели (да/нет)</w:t>
            </w:r>
          </w:p>
        </w:tc>
      </w:tr>
      <w:tr w:rsidR="00905E1F" w:rsidRPr="00AC3806" w14:paraId="44A61500" w14:textId="77777777" w:rsidTr="00C749ED">
        <w:trPr>
          <w:trHeight w:val="255"/>
          <w:jc w:val="center"/>
        </w:trPr>
        <w:tc>
          <w:tcPr>
            <w:tcW w:w="696" w:type="dxa"/>
            <w:tcBorders>
              <w:top w:val="single" w:sz="4" w:space="0" w:color="auto"/>
              <w:left w:val="single" w:sz="4" w:space="0" w:color="auto"/>
              <w:bottom w:val="single" w:sz="4" w:space="0" w:color="auto"/>
              <w:right w:val="single" w:sz="4" w:space="0" w:color="auto"/>
            </w:tcBorders>
            <w:noWrap/>
            <w:vAlign w:val="center"/>
            <w:hideMark/>
          </w:tcPr>
          <w:p w14:paraId="0CD94626" w14:textId="77777777" w:rsidR="00905E1F" w:rsidRPr="00AC3806" w:rsidRDefault="00905E1F" w:rsidP="00C749ED">
            <w:pPr>
              <w:spacing w:after="0" w:line="240" w:lineRule="auto"/>
              <w:contextualSpacing/>
              <w:jc w:val="center"/>
              <w:rPr>
                <w:rFonts w:ascii="Times New Roman" w:hAnsi="Times New Roman" w:cs="Times New Roman"/>
                <w:szCs w:val="18"/>
              </w:rPr>
            </w:pPr>
            <w:r w:rsidRPr="00AC3806">
              <w:rPr>
                <w:rFonts w:ascii="Times New Roman" w:hAnsi="Times New Roman" w:cs="Times New Roman"/>
                <w:szCs w:val="18"/>
              </w:rPr>
              <w:t>1</w:t>
            </w:r>
          </w:p>
        </w:tc>
        <w:tc>
          <w:tcPr>
            <w:tcW w:w="2418" w:type="dxa"/>
            <w:tcBorders>
              <w:top w:val="single" w:sz="4" w:space="0" w:color="auto"/>
              <w:left w:val="single" w:sz="4" w:space="0" w:color="auto"/>
              <w:bottom w:val="single" w:sz="4" w:space="0" w:color="auto"/>
              <w:right w:val="single" w:sz="4" w:space="0" w:color="auto"/>
            </w:tcBorders>
            <w:noWrap/>
            <w:vAlign w:val="center"/>
            <w:hideMark/>
          </w:tcPr>
          <w:p w14:paraId="0664C4F9" w14:textId="77777777" w:rsidR="00905E1F" w:rsidRPr="00AC3806" w:rsidRDefault="00905E1F" w:rsidP="00C749ED">
            <w:pPr>
              <w:spacing w:after="0" w:line="240" w:lineRule="auto"/>
              <w:contextualSpacing/>
              <w:jc w:val="center"/>
              <w:rPr>
                <w:rFonts w:ascii="Times New Roman" w:hAnsi="Times New Roman" w:cs="Times New Roman"/>
                <w:szCs w:val="18"/>
              </w:rPr>
            </w:pPr>
            <w:r w:rsidRPr="00AC3806">
              <w:rPr>
                <w:rFonts w:ascii="Times New Roman" w:hAnsi="Times New Roman" w:cs="Times New Roman"/>
                <w:szCs w:val="18"/>
              </w:rPr>
              <w:t>Аддитивная модель</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62E53B87" w14:textId="77777777" w:rsidR="00905E1F" w:rsidRPr="00AC3806" w:rsidRDefault="00905E1F" w:rsidP="00C749ED">
            <w:pPr>
              <w:spacing w:after="0" w:line="240" w:lineRule="auto"/>
              <w:contextualSpacing/>
              <w:jc w:val="center"/>
              <w:rPr>
                <w:rFonts w:ascii="Times New Roman" w:hAnsi="Times New Roman" w:cs="Times New Roman"/>
                <w:szCs w:val="18"/>
              </w:rPr>
            </w:pPr>
            <w:r w:rsidRPr="00AC3806">
              <w:rPr>
                <w:rFonts w:ascii="Times New Roman" w:hAnsi="Times New Roman" w:cs="Times New Roman"/>
                <w:szCs w:val="18"/>
              </w:rPr>
              <w:t>0,690373872</w:t>
            </w:r>
          </w:p>
        </w:tc>
        <w:tc>
          <w:tcPr>
            <w:tcW w:w="2076" w:type="dxa"/>
            <w:tcBorders>
              <w:top w:val="single" w:sz="4" w:space="0" w:color="auto"/>
              <w:left w:val="single" w:sz="4" w:space="0" w:color="auto"/>
              <w:bottom w:val="single" w:sz="4" w:space="0" w:color="auto"/>
              <w:right w:val="single" w:sz="4" w:space="0" w:color="auto"/>
            </w:tcBorders>
            <w:noWrap/>
            <w:vAlign w:val="center"/>
            <w:hideMark/>
          </w:tcPr>
          <w:p w14:paraId="0F29974B" w14:textId="77777777" w:rsidR="00905E1F" w:rsidRPr="00AC3806" w:rsidRDefault="00905E1F" w:rsidP="00C749ED">
            <w:pPr>
              <w:spacing w:after="0" w:line="240" w:lineRule="auto"/>
              <w:contextualSpacing/>
              <w:jc w:val="center"/>
              <w:rPr>
                <w:rFonts w:ascii="Times New Roman" w:hAnsi="Times New Roman" w:cs="Times New Roman"/>
                <w:szCs w:val="18"/>
              </w:rPr>
            </w:pPr>
            <w:r w:rsidRPr="00AC3806">
              <w:rPr>
                <w:rFonts w:ascii="Times New Roman" w:hAnsi="Times New Roman" w:cs="Times New Roman"/>
                <w:szCs w:val="18"/>
              </w:rPr>
              <w:t>6,84033E-10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499DC547" w14:textId="77777777" w:rsidR="00905E1F" w:rsidRPr="00AC3806" w:rsidRDefault="00905E1F" w:rsidP="00C749ED">
            <w:pPr>
              <w:spacing w:after="0" w:line="240" w:lineRule="auto"/>
              <w:contextualSpacing/>
              <w:jc w:val="center"/>
              <w:rPr>
                <w:rFonts w:ascii="Times New Roman" w:hAnsi="Times New Roman" w:cs="Times New Roman"/>
                <w:szCs w:val="18"/>
              </w:rPr>
            </w:pPr>
            <w:r w:rsidRPr="00AC3806">
              <w:rPr>
                <w:rFonts w:ascii="Times New Roman" w:hAnsi="Times New Roman" w:cs="Times New Roman"/>
                <w:szCs w:val="18"/>
              </w:rPr>
              <w:t>да</w:t>
            </w:r>
          </w:p>
        </w:tc>
      </w:tr>
      <w:tr w:rsidR="00905E1F" w:rsidRPr="00AC3806" w14:paraId="5BFBE332" w14:textId="77777777" w:rsidTr="00C749ED">
        <w:trPr>
          <w:trHeight w:val="255"/>
          <w:jc w:val="center"/>
        </w:trPr>
        <w:tc>
          <w:tcPr>
            <w:tcW w:w="696" w:type="dxa"/>
            <w:tcBorders>
              <w:top w:val="single" w:sz="4" w:space="0" w:color="auto"/>
              <w:left w:val="single" w:sz="4" w:space="0" w:color="auto"/>
              <w:bottom w:val="single" w:sz="4" w:space="0" w:color="auto"/>
              <w:right w:val="single" w:sz="4" w:space="0" w:color="auto"/>
            </w:tcBorders>
            <w:noWrap/>
            <w:vAlign w:val="center"/>
            <w:hideMark/>
          </w:tcPr>
          <w:p w14:paraId="32808388" w14:textId="77777777" w:rsidR="00905E1F" w:rsidRPr="00AC3806" w:rsidRDefault="00905E1F" w:rsidP="00C749ED">
            <w:pPr>
              <w:spacing w:after="0" w:line="240" w:lineRule="auto"/>
              <w:contextualSpacing/>
              <w:jc w:val="center"/>
              <w:rPr>
                <w:rFonts w:ascii="Times New Roman" w:hAnsi="Times New Roman" w:cs="Times New Roman"/>
                <w:szCs w:val="18"/>
              </w:rPr>
            </w:pPr>
            <w:r w:rsidRPr="00AC3806">
              <w:rPr>
                <w:rFonts w:ascii="Times New Roman" w:hAnsi="Times New Roman" w:cs="Times New Roman"/>
                <w:szCs w:val="18"/>
              </w:rPr>
              <w:t>2</w:t>
            </w:r>
          </w:p>
        </w:tc>
        <w:tc>
          <w:tcPr>
            <w:tcW w:w="2418" w:type="dxa"/>
            <w:tcBorders>
              <w:top w:val="single" w:sz="4" w:space="0" w:color="auto"/>
              <w:left w:val="single" w:sz="4" w:space="0" w:color="auto"/>
              <w:bottom w:val="single" w:sz="4" w:space="0" w:color="auto"/>
              <w:right w:val="single" w:sz="4" w:space="0" w:color="auto"/>
            </w:tcBorders>
            <w:noWrap/>
            <w:vAlign w:val="center"/>
            <w:hideMark/>
          </w:tcPr>
          <w:p w14:paraId="0742CCC7" w14:textId="77777777" w:rsidR="00905E1F" w:rsidRPr="00AC3806" w:rsidRDefault="00905E1F" w:rsidP="00C749ED">
            <w:pPr>
              <w:spacing w:after="0" w:line="240" w:lineRule="auto"/>
              <w:contextualSpacing/>
              <w:jc w:val="center"/>
              <w:rPr>
                <w:rFonts w:ascii="Times New Roman" w:hAnsi="Times New Roman" w:cs="Times New Roman"/>
                <w:szCs w:val="18"/>
              </w:rPr>
            </w:pPr>
            <w:r w:rsidRPr="00AC3806">
              <w:rPr>
                <w:rFonts w:ascii="Times New Roman" w:hAnsi="Times New Roman" w:cs="Times New Roman"/>
                <w:szCs w:val="18"/>
              </w:rPr>
              <w:t>Мультипликативная модель</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28B6B600" w14:textId="77777777" w:rsidR="00905E1F" w:rsidRPr="00AC3806" w:rsidRDefault="00905E1F" w:rsidP="00C749ED">
            <w:pPr>
              <w:spacing w:after="0" w:line="240" w:lineRule="auto"/>
              <w:contextualSpacing/>
              <w:jc w:val="center"/>
              <w:rPr>
                <w:rFonts w:ascii="Times New Roman" w:hAnsi="Times New Roman" w:cs="Times New Roman"/>
                <w:szCs w:val="18"/>
              </w:rPr>
            </w:pPr>
            <w:r w:rsidRPr="00AC3806">
              <w:rPr>
                <w:rFonts w:ascii="Times New Roman" w:hAnsi="Times New Roman" w:cs="Times New Roman"/>
                <w:szCs w:val="18"/>
              </w:rPr>
              <w:t>0,696127222</w:t>
            </w:r>
          </w:p>
        </w:tc>
        <w:tc>
          <w:tcPr>
            <w:tcW w:w="2076" w:type="dxa"/>
            <w:tcBorders>
              <w:top w:val="single" w:sz="4" w:space="0" w:color="auto"/>
              <w:left w:val="single" w:sz="4" w:space="0" w:color="auto"/>
              <w:bottom w:val="single" w:sz="4" w:space="0" w:color="auto"/>
              <w:right w:val="single" w:sz="4" w:space="0" w:color="auto"/>
            </w:tcBorders>
            <w:noWrap/>
            <w:vAlign w:val="center"/>
            <w:hideMark/>
          </w:tcPr>
          <w:p w14:paraId="0470F153" w14:textId="77777777" w:rsidR="00905E1F" w:rsidRPr="00AC3806" w:rsidRDefault="00905E1F" w:rsidP="00C749ED">
            <w:pPr>
              <w:spacing w:after="0" w:line="240" w:lineRule="auto"/>
              <w:contextualSpacing/>
              <w:jc w:val="center"/>
              <w:rPr>
                <w:rFonts w:ascii="Times New Roman" w:hAnsi="Times New Roman" w:cs="Times New Roman"/>
                <w:szCs w:val="18"/>
              </w:rPr>
            </w:pPr>
            <w:r w:rsidRPr="00AC3806">
              <w:rPr>
                <w:rFonts w:ascii="Times New Roman" w:hAnsi="Times New Roman" w:cs="Times New Roman"/>
                <w:szCs w:val="18"/>
              </w:rPr>
              <w:t>4,88037E-10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7BE6B006" w14:textId="77777777" w:rsidR="00905E1F" w:rsidRPr="00AC3806" w:rsidRDefault="00905E1F" w:rsidP="00C749ED">
            <w:pPr>
              <w:spacing w:after="0" w:line="240" w:lineRule="auto"/>
              <w:contextualSpacing/>
              <w:jc w:val="center"/>
              <w:rPr>
                <w:rFonts w:ascii="Times New Roman" w:hAnsi="Times New Roman" w:cs="Times New Roman"/>
                <w:szCs w:val="18"/>
              </w:rPr>
            </w:pPr>
            <w:r w:rsidRPr="00AC3806">
              <w:rPr>
                <w:rFonts w:ascii="Times New Roman" w:hAnsi="Times New Roman" w:cs="Times New Roman"/>
                <w:szCs w:val="18"/>
              </w:rPr>
              <w:t>да</w:t>
            </w:r>
          </w:p>
        </w:tc>
      </w:tr>
      <w:tr w:rsidR="00905E1F" w:rsidRPr="00AC3806" w14:paraId="099FF057" w14:textId="77777777" w:rsidTr="00C749ED">
        <w:trPr>
          <w:trHeight w:val="255"/>
          <w:jc w:val="center"/>
        </w:trPr>
        <w:tc>
          <w:tcPr>
            <w:tcW w:w="696" w:type="dxa"/>
            <w:tcBorders>
              <w:top w:val="single" w:sz="4" w:space="0" w:color="auto"/>
              <w:left w:val="single" w:sz="4" w:space="0" w:color="auto"/>
              <w:bottom w:val="single" w:sz="4" w:space="0" w:color="auto"/>
              <w:right w:val="single" w:sz="4" w:space="0" w:color="auto"/>
            </w:tcBorders>
            <w:noWrap/>
            <w:vAlign w:val="center"/>
            <w:hideMark/>
          </w:tcPr>
          <w:p w14:paraId="6947C94E" w14:textId="77777777" w:rsidR="00905E1F" w:rsidRPr="00AC3806" w:rsidRDefault="00905E1F" w:rsidP="00C749ED">
            <w:pPr>
              <w:spacing w:after="0" w:line="240" w:lineRule="auto"/>
              <w:contextualSpacing/>
              <w:jc w:val="center"/>
              <w:rPr>
                <w:rFonts w:ascii="Times New Roman" w:hAnsi="Times New Roman" w:cs="Times New Roman"/>
                <w:szCs w:val="18"/>
              </w:rPr>
            </w:pPr>
            <w:r w:rsidRPr="00AC3806">
              <w:rPr>
                <w:rFonts w:ascii="Times New Roman" w:hAnsi="Times New Roman" w:cs="Times New Roman"/>
                <w:szCs w:val="18"/>
              </w:rPr>
              <w:t>3</w:t>
            </w:r>
          </w:p>
        </w:tc>
        <w:tc>
          <w:tcPr>
            <w:tcW w:w="2418" w:type="dxa"/>
            <w:tcBorders>
              <w:top w:val="single" w:sz="4" w:space="0" w:color="auto"/>
              <w:left w:val="single" w:sz="4" w:space="0" w:color="auto"/>
              <w:bottom w:val="single" w:sz="4" w:space="0" w:color="auto"/>
              <w:right w:val="single" w:sz="4" w:space="0" w:color="auto"/>
            </w:tcBorders>
            <w:noWrap/>
            <w:vAlign w:val="center"/>
            <w:hideMark/>
          </w:tcPr>
          <w:p w14:paraId="0202B4DE" w14:textId="77777777" w:rsidR="00905E1F" w:rsidRPr="00AC3806" w:rsidRDefault="00905E1F" w:rsidP="00C749ED">
            <w:pPr>
              <w:spacing w:after="0" w:line="240" w:lineRule="auto"/>
              <w:contextualSpacing/>
              <w:jc w:val="center"/>
              <w:rPr>
                <w:rFonts w:ascii="Times New Roman" w:hAnsi="Times New Roman" w:cs="Times New Roman"/>
                <w:szCs w:val="18"/>
              </w:rPr>
            </w:pPr>
            <w:r w:rsidRPr="00AC3806">
              <w:rPr>
                <w:rFonts w:ascii="Times New Roman" w:hAnsi="Times New Roman" w:cs="Times New Roman"/>
                <w:szCs w:val="18"/>
              </w:rPr>
              <w:t>Экспоненциальная модель</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3CE161F8" w14:textId="77777777" w:rsidR="00905E1F" w:rsidRPr="00AC3806" w:rsidRDefault="00905E1F" w:rsidP="00C749ED">
            <w:pPr>
              <w:spacing w:after="0" w:line="240" w:lineRule="auto"/>
              <w:contextualSpacing/>
              <w:jc w:val="center"/>
              <w:rPr>
                <w:rFonts w:ascii="Times New Roman" w:hAnsi="Times New Roman" w:cs="Times New Roman"/>
                <w:szCs w:val="18"/>
              </w:rPr>
            </w:pPr>
            <w:r w:rsidRPr="00AC3806">
              <w:rPr>
                <w:rFonts w:ascii="Times New Roman" w:hAnsi="Times New Roman" w:cs="Times New Roman"/>
                <w:szCs w:val="18"/>
              </w:rPr>
              <w:t>0,691481829</w:t>
            </w:r>
          </w:p>
        </w:tc>
        <w:tc>
          <w:tcPr>
            <w:tcW w:w="2076" w:type="dxa"/>
            <w:tcBorders>
              <w:top w:val="single" w:sz="4" w:space="0" w:color="auto"/>
              <w:left w:val="single" w:sz="4" w:space="0" w:color="auto"/>
              <w:bottom w:val="single" w:sz="4" w:space="0" w:color="auto"/>
              <w:right w:val="single" w:sz="4" w:space="0" w:color="auto"/>
            </w:tcBorders>
            <w:noWrap/>
            <w:vAlign w:val="center"/>
            <w:hideMark/>
          </w:tcPr>
          <w:p w14:paraId="2D783F37" w14:textId="77777777" w:rsidR="00905E1F" w:rsidRPr="00AC3806" w:rsidRDefault="00905E1F" w:rsidP="00C749ED">
            <w:pPr>
              <w:spacing w:after="0" w:line="240" w:lineRule="auto"/>
              <w:contextualSpacing/>
              <w:jc w:val="center"/>
              <w:rPr>
                <w:rFonts w:ascii="Times New Roman" w:hAnsi="Times New Roman" w:cs="Times New Roman"/>
                <w:szCs w:val="18"/>
              </w:rPr>
            </w:pPr>
            <w:r w:rsidRPr="00AC3806">
              <w:rPr>
                <w:rFonts w:ascii="Times New Roman" w:hAnsi="Times New Roman" w:cs="Times New Roman"/>
                <w:szCs w:val="18"/>
              </w:rPr>
              <w:t>6,41289E-10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791DDC78" w14:textId="77777777" w:rsidR="00905E1F" w:rsidRPr="00AC3806" w:rsidRDefault="00905E1F" w:rsidP="00C749ED">
            <w:pPr>
              <w:spacing w:after="0" w:line="240" w:lineRule="auto"/>
              <w:contextualSpacing/>
              <w:jc w:val="center"/>
              <w:rPr>
                <w:rFonts w:ascii="Times New Roman" w:hAnsi="Times New Roman" w:cs="Times New Roman"/>
                <w:szCs w:val="18"/>
              </w:rPr>
            </w:pPr>
            <w:r w:rsidRPr="00AC3806">
              <w:rPr>
                <w:rFonts w:ascii="Times New Roman" w:hAnsi="Times New Roman" w:cs="Times New Roman"/>
                <w:szCs w:val="18"/>
              </w:rPr>
              <w:t>да</w:t>
            </w:r>
          </w:p>
        </w:tc>
      </w:tr>
    </w:tbl>
    <w:p w14:paraId="57D4001D" w14:textId="77777777" w:rsidR="00905E1F" w:rsidRPr="00AC3806" w:rsidRDefault="00905E1F" w:rsidP="00905E1F">
      <w:pPr>
        <w:spacing w:after="0" w:line="240" w:lineRule="auto"/>
        <w:contextualSpacing/>
        <w:rPr>
          <w:rFonts w:ascii="Times New Roman" w:hAnsi="Times New Roman" w:cs="Times New Roman"/>
          <w:sz w:val="26"/>
          <w:szCs w:val="26"/>
        </w:rPr>
      </w:pPr>
    </w:p>
    <w:p w14:paraId="7B152F73" w14:textId="77777777" w:rsidR="00905E1F" w:rsidRPr="00AC3806" w:rsidRDefault="00905E1F" w:rsidP="00905E1F">
      <w:pPr>
        <w:spacing w:after="0" w:line="240" w:lineRule="auto"/>
        <w:contextualSpacing/>
        <w:jc w:val="right"/>
        <w:rPr>
          <w:rFonts w:ascii="Times New Roman" w:hAnsi="Times New Roman" w:cs="Times New Roman"/>
          <w:sz w:val="26"/>
          <w:szCs w:val="26"/>
        </w:rPr>
      </w:pPr>
      <w:r w:rsidRPr="00AC3806">
        <w:rPr>
          <w:rFonts w:ascii="Times New Roman" w:hAnsi="Times New Roman" w:cs="Times New Roman"/>
          <w:sz w:val="26"/>
          <w:szCs w:val="26"/>
        </w:rPr>
        <w:t>Таблица 4.1.3.2</w:t>
      </w:r>
    </w:p>
    <w:p w14:paraId="76CA4396" w14:textId="77777777" w:rsidR="00905E1F" w:rsidRPr="00AC3806" w:rsidRDefault="00905E1F" w:rsidP="00905E1F">
      <w:pPr>
        <w:spacing w:after="0" w:line="240" w:lineRule="auto"/>
        <w:contextualSpacing/>
        <w:jc w:val="center"/>
        <w:rPr>
          <w:rFonts w:ascii="Times New Roman" w:hAnsi="Times New Roman" w:cs="Times New Roman"/>
          <w:sz w:val="18"/>
          <w:szCs w:val="18"/>
        </w:rPr>
      </w:pPr>
      <w:r w:rsidRPr="00AC3806">
        <w:rPr>
          <w:rFonts w:ascii="Times New Roman" w:hAnsi="Times New Roman" w:cs="Times New Roman"/>
          <w:sz w:val="26"/>
          <w:szCs w:val="26"/>
        </w:rPr>
        <w:t>Анализ качества выборки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559"/>
        <w:gridCol w:w="1276"/>
        <w:gridCol w:w="1276"/>
        <w:gridCol w:w="1277"/>
        <w:gridCol w:w="1277"/>
        <w:gridCol w:w="1277"/>
        <w:gridCol w:w="1418"/>
      </w:tblGrid>
      <w:tr w:rsidR="00905E1F" w:rsidRPr="00AC3806" w14:paraId="6CDCB18E" w14:textId="77777777" w:rsidTr="00C749ED">
        <w:trPr>
          <w:trHeight w:val="255"/>
          <w:jc w:val="center"/>
        </w:trPr>
        <w:tc>
          <w:tcPr>
            <w:tcW w:w="420" w:type="dxa"/>
            <w:vMerge w:val="restart"/>
            <w:tcBorders>
              <w:top w:val="single" w:sz="4" w:space="0" w:color="auto"/>
              <w:left w:val="single" w:sz="4" w:space="0" w:color="auto"/>
              <w:bottom w:val="single" w:sz="4" w:space="0" w:color="auto"/>
              <w:right w:val="single" w:sz="4" w:space="0" w:color="auto"/>
            </w:tcBorders>
            <w:vAlign w:val="center"/>
            <w:hideMark/>
          </w:tcPr>
          <w:p w14:paraId="488FD896" w14:textId="77777777" w:rsidR="00905E1F" w:rsidRPr="00AC3806" w:rsidRDefault="00905E1F" w:rsidP="00C749ED">
            <w:pPr>
              <w:spacing w:after="0" w:line="240" w:lineRule="auto"/>
              <w:contextualSpacing/>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 п/п</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5174DF83" w14:textId="77777777" w:rsidR="00905E1F" w:rsidRPr="00AC3806" w:rsidRDefault="00905E1F" w:rsidP="00C749ED">
            <w:pPr>
              <w:spacing w:after="0" w:line="240" w:lineRule="auto"/>
              <w:contextualSpacing/>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Название статистически значимой модели</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0BAF8972" w14:textId="77777777" w:rsidR="00905E1F" w:rsidRPr="00AC3806" w:rsidRDefault="00905E1F" w:rsidP="00C749ED">
            <w:pPr>
              <w:spacing w:after="0" w:line="240" w:lineRule="auto"/>
              <w:contextualSpacing/>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Линейная модель</w:t>
            </w:r>
          </w:p>
        </w:tc>
        <w:tc>
          <w:tcPr>
            <w:tcW w:w="2554" w:type="dxa"/>
            <w:gridSpan w:val="2"/>
            <w:tcBorders>
              <w:top w:val="single" w:sz="4" w:space="0" w:color="auto"/>
              <w:left w:val="single" w:sz="4" w:space="0" w:color="auto"/>
              <w:bottom w:val="single" w:sz="4" w:space="0" w:color="auto"/>
              <w:right w:val="single" w:sz="4" w:space="0" w:color="auto"/>
            </w:tcBorders>
            <w:vAlign w:val="center"/>
            <w:hideMark/>
          </w:tcPr>
          <w:p w14:paraId="6838A09F" w14:textId="77777777" w:rsidR="00905E1F" w:rsidRPr="00AC3806" w:rsidRDefault="00905E1F" w:rsidP="00C749ED">
            <w:pPr>
              <w:spacing w:after="0" w:line="240" w:lineRule="auto"/>
              <w:contextualSpacing/>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Мультипликативная модель</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5F76D52B" w14:textId="77777777" w:rsidR="00905E1F" w:rsidRPr="00AC3806" w:rsidRDefault="00905E1F" w:rsidP="00C749ED">
            <w:pPr>
              <w:spacing w:after="0" w:line="240" w:lineRule="auto"/>
              <w:contextualSpacing/>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Экспоненциальная модель</w:t>
            </w:r>
          </w:p>
        </w:tc>
      </w:tr>
      <w:tr w:rsidR="00905E1F" w:rsidRPr="00AC3806" w14:paraId="17C5A1A7" w14:textId="77777777" w:rsidTr="00C749ED">
        <w:trPr>
          <w:trHeight w:val="615"/>
          <w:jc w:val="center"/>
        </w:trPr>
        <w:tc>
          <w:tcPr>
            <w:tcW w:w="420" w:type="dxa"/>
            <w:vMerge/>
            <w:tcBorders>
              <w:top w:val="single" w:sz="4" w:space="0" w:color="auto"/>
              <w:left w:val="single" w:sz="4" w:space="0" w:color="auto"/>
              <w:bottom w:val="single" w:sz="4" w:space="0" w:color="auto"/>
              <w:right w:val="single" w:sz="4" w:space="0" w:color="auto"/>
            </w:tcBorders>
            <w:vAlign w:val="center"/>
            <w:hideMark/>
          </w:tcPr>
          <w:p w14:paraId="699473BE" w14:textId="77777777" w:rsidR="00905E1F" w:rsidRPr="00AC3806" w:rsidRDefault="00905E1F" w:rsidP="00C749ED">
            <w:pPr>
              <w:spacing w:after="0" w:line="240" w:lineRule="auto"/>
              <w:jc w:val="center"/>
              <w:rPr>
                <w:rFonts w:ascii="Times New Roman" w:eastAsia="Times New Roman" w:hAnsi="Times New Roman" w:cs="Times New Roman"/>
                <w:b/>
                <w:bCs/>
                <w:sz w:val="2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F29343C" w14:textId="77777777" w:rsidR="00905E1F" w:rsidRPr="00AC3806" w:rsidRDefault="00905E1F" w:rsidP="00C749ED">
            <w:pPr>
              <w:spacing w:after="0" w:line="240" w:lineRule="auto"/>
              <w:jc w:val="center"/>
              <w:rPr>
                <w:rFonts w:ascii="Times New Roman" w:eastAsia="Times New Roman" w:hAnsi="Times New Roman" w:cs="Times New Roman"/>
                <w:b/>
                <w:bCs/>
                <w:sz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AC5D76F" w14:textId="77777777" w:rsidR="00905E1F" w:rsidRPr="00AC3806" w:rsidRDefault="00905E1F" w:rsidP="00C749ED">
            <w:pPr>
              <w:spacing w:after="0" w:line="240" w:lineRule="auto"/>
              <w:contextualSpacing/>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Обучающая выборка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E69E0F" w14:textId="77777777" w:rsidR="00905E1F" w:rsidRPr="00AC3806" w:rsidRDefault="00905E1F" w:rsidP="00C749ED">
            <w:pPr>
              <w:spacing w:after="0" w:line="240" w:lineRule="auto"/>
              <w:contextualSpacing/>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Контрольная выборка</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44A6C1C" w14:textId="77777777" w:rsidR="00905E1F" w:rsidRPr="00AC3806" w:rsidRDefault="00905E1F" w:rsidP="00C749ED">
            <w:pPr>
              <w:spacing w:after="0" w:line="240" w:lineRule="auto"/>
              <w:contextualSpacing/>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Обучающая выборка</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6222CA9" w14:textId="77777777" w:rsidR="00905E1F" w:rsidRPr="00AC3806" w:rsidRDefault="00905E1F" w:rsidP="00C749ED">
            <w:pPr>
              <w:spacing w:after="0" w:line="240" w:lineRule="auto"/>
              <w:contextualSpacing/>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Контрольная выборка</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8183BF6" w14:textId="77777777" w:rsidR="00905E1F" w:rsidRPr="00AC3806" w:rsidRDefault="00905E1F" w:rsidP="00C749ED">
            <w:pPr>
              <w:spacing w:after="0" w:line="240" w:lineRule="auto"/>
              <w:contextualSpacing/>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Обучающая выборка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C15423" w14:textId="77777777" w:rsidR="00905E1F" w:rsidRPr="00AC3806" w:rsidRDefault="00905E1F" w:rsidP="00C749ED">
            <w:pPr>
              <w:spacing w:after="0" w:line="240" w:lineRule="auto"/>
              <w:contextualSpacing/>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Контрольная выборка</w:t>
            </w:r>
          </w:p>
        </w:tc>
      </w:tr>
      <w:tr w:rsidR="00905E1F" w:rsidRPr="00AC3806" w14:paraId="6E2506BE" w14:textId="77777777" w:rsidTr="00C749ED">
        <w:trPr>
          <w:trHeight w:val="510"/>
          <w:jc w:val="center"/>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13D73C77"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376EEE"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Средняя ошибка аппроксимации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A78829"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0,03034709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1F75B7"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0,034494428</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FF3F21B"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0,029847906</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C9BBCC4"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0,034682456</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DA58591"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0,030337734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01E7C4"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0,034044767</w:t>
            </w:r>
          </w:p>
        </w:tc>
      </w:tr>
      <w:tr w:rsidR="00905E1F" w:rsidRPr="00AC3806" w14:paraId="11BAD516" w14:textId="77777777" w:rsidTr="00C749ED">
        <w:trPr>
          <w:trHeight w:val="255"/>
          <w:jc w:val="center"/>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1D809E3D"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433D55"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Коэффициент детерминации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94E868"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0,690373872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A4A14A"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0,625139054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5CC86F9"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0,696127222</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262D84C"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0,620158924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510AD48"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0,691481829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D47C8C"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0,626007996</w:t>
            </w:r>
          </w:p>
        </w:tc>
      </w:tr>
      <w:tr w:rsidR="00905E1F" w:rsidRPr="00AC3806" w14:paraId="21F0D698" w14:textId="77777777" w:rsidTr="00C749ED">
        <w:trPr>
          <w:trHeight w:val="510"/>
          <w:jc w:val="center"/>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78D78BF"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5E035E"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Среднеквадратичная ошибка оценки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B3E7AB"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0,044933787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CB5FA3"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0,046496077</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B20EC38"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0,044623238</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91311DD"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0,046410375</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BA105E2"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0,045079102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B6B643A"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0,046093161</w:t>
            </w:r>
          </w:p>
        </w:tc>
      </w:tr>
      <w:tr w:rsidR="00905E1F" w:rsidRPr="00AC3806" w14:paraId="3917AF75" w14:textId="77777777" w:rsidTr="00C749ED">
        <w:trPr>
          <w:trHeight w:val="510"/>
          <w:jc w:val="center"/>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2F6550AC"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D4ACF3"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Отношение суммы невязок к средней стоимости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FBD7A4"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6,84801E-14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8CA7F7"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0,495397026</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4146C18"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0,034548928</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E83CBDB"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0,465797924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1306335"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0,035045715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5AA925" w14:textId="77777777" w:rsidR="00905E1F" w:rsidRPr="00AC3806" w:rsidRDefault="00905E1F" w:rsidP="00C749ED">
            <w:pPr>
              <w:spacing w:after="0" w:line="240" w:lineRule="auto"/>
              <w:contextualSpacing/>
              <w:jc w:val="center"/>
              <w:rPr>
                <w:rFonts w:ascii="Times New Roman" w:eastAsia="Times New Roman" w:hAnsi="Times New Roman" w:cs="Times New Roman"/>
                <w:sz w:val="20"/>
                <w:lang w:eastAsia="ru-RU"/>
              </w:rPr>
            </w:pPr>
            <w:r w:rsidRPr="00AC3806">
              <w:rPr>
                <w:rFonts w:ascii="Times New Roman" w:eastAsia="Times New Roman" w:hAnsi="Times New Roman" w:cs="Times New Roman"/>
                <w:sz w:val="20"/>
                <w:lang w:eastAsia="ru-RU"/>
              </w:rPr>
              <w:t>0,454701723</w:t>
            </w:r>
          </w:p>
        </w:tc>
      </w:tr>
    </w:tbl>
    <w:p w14:paraId="5CB2EC20" w14:textId="77777777" w:rsidR="00905E1F" w:rsidRPr="00AC3806" w:rsidRDefault="00905E1F" w:rsidP="00905E1F">
      <w:pPr>
        <w:spacing w:after="0" w:line="240" w:lineRule="auto"/>
        <w:contextualSpacing/>
        <w:jc w:val="both"/>
        <w:rPr>
          <w:rFonts w:ascii="Times New Roman" w:hAnsi="Times New Roman" w:cs="Times New Roman"/>
          <w:sz w:val="18"/>
          <w:szCs w:val="18"/>
        </w:rPr>
      </w:pPr>
    </w:p>
    <w:p w14:paraId="5719728C" w14:textId="77777777" w:rsidR="00905E1F" w:rsidRPr="00AC3806" w:rsidRDefault="00905E1F" w:rsidP="00905E1F">
      <w:pPr>
        <w:autoSpaceDE w:val="0"/>
        <w:autoSpaceDN w:val="0"/>
        <w:adjustRightInd w:val="0"/>
        <w:spacing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Проверка качества процессов определения кадастровой стоимости</w:t>
      </w:r>
    </w:p>
    <w:p w14:paraId="064C466B" w14:textId="77777777" w:rsidR="00905E1F" w:rsidRPr="00AC3806" w:rsidRDefault="00905E1F" w:rsidP="00905E1F">
      <w:pPr>
        <w:autoSpaceDE w:val="0"/>
        <w:autoSpaceDN w:val="0"/>
        <w:adjustRightInd w:val="0"/>
        <w:spacing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 xml:space="preserve">В соответствии с п. 66 Методических указаний при проверке качества процессов определения кадастровой стоимости исполнителем проведена выборочная проверка моделей определения кадастровой стоимости. </w:t>
      </w:r>
    </w:p>
    <w:p w14:paraId="37363D61" w14:textId="77777777" w:rsidR="00905E1F" w:rsidRPr="00AC3806" w:rsidRDefault="00905E1F" w:rsidP="00905E1F">
      <w:pPr>
        <w:autoSpaceDE w:val="0"/>
        <w:autoSpaceDN w:val="0"/>
        <w:adjustRightInd w:val="0"/>
        <w:spacing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Результат считается подтвержденным, если результат выборочной проверки совпадает с результатом определения кадастровой стоимости в пределах округления итогового значения.</w:t>
      </w:r>
    </w:p>
    <w:p w14:paraId="36DD8928" w14:textId="77777777" w:rsidR="00905E1F" w:rsidRPr="00AC3806" w:rsidRDefault="00905E1F" w:rsidP="00905E1F">
      <w:pPr>
        <w:autoSpaceDE w:val="0"/>
        <w:autoSpaceDN w:val="0"/>
        <w:adjustRightInd w:val="0"/>
        <w:spacing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Для проверки качества случайным образом выбраны объекты недвижимости, на примере которых были проверены все этапы проведенной оценки.</w:t>
      </w:r>
    </w:p>
    <w:p w14:paraId="6BE391FB" w14:textId="77777777" w:rsidR="00905E1F" w:rsidRPr="00AC3806" w:rsidRDefault="00905E1F" w:rsidP="00905E1F">
      <w:pPr>
        <w:autoSpaceDE w:val="0"/>
        <w:autoSpaceDN w:val="0"/>
        <w:adjustRightInd w:val="0"/>
        <w:spacing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Далее представлен расчет кадастровой стоимости по этим объектам.</w:t>
      </w:r>
    </w:p>
    <w:p w14:paraId="14642AD8" w14:textId="77777777" w:rsidR="00905E1F" w:rsidRPr="00AC3806" w:rsidRDefault="00905E1F" w:rsidP="00905E1F">
      <w:pPr>
        <w:autoSpaceDE w:val="0"/>
        <w:autoSpaceDN w:val="0"/>
        <w:adjustRightInd w:val="0"/>
        <w:spacing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Проверка качества процессов определения кадастровой стоимости на примере объекта с кадастровым номером 36:14:0010801:142.</w:t>
      </w:r>
    </w:p>
    <w:p w14:paraId="61CC603B" w14:textId="77777777" w:rsidR="00905E1F" w:rsidRPr="00AC3806" w:rsidRDefault="00905E1F" w:rsidP="00905E1F">
      <w:pPr>
        <w:autoSpaceDE w:val="0"/>
        <w:autoSpaceDN w:val="0"/>
        <w:adjustRightInd w:val="0"/>
        <w:spacing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На основе сведений о виде использования участка по документу, предоставленных в перечне объектов недвижимости, объект с кадастровым номером 36:14:0010801:142 отнесен к 5 сегменту, и к расчетной подгруппе «Отдых 6 ГНП».</w:t>
      </w:r>
    </w:p>
    <w:p w14:paraId="7894A760" w14:textId="77777777" w:rsidR="00905E1F" w:rsidRPr="00AC3806" w:rsidRDefault="00905E1F" w:rsidP="00905E1F">
      <w:pPr>
        <w:autoSpaceDE w:val="0"/>
        <w:autoSpaceDN w:val="0"/>
        <w:adjustRightInd w:val="0"/>
        <w:spacing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 xml:space="preserve">Под моделью расчета понимается математическая формула, отображающая связь между зависимой переменной и значениями соответствующих факторов стоимости. </w:t>
      </w:r>
    </w:p>
    <w:p w14:paraId="79E5F5F2" w14:textId="77777777" w:rsidR="00905E1F" w:rsidRPr="00AC3806" w:rsidRDefault="00905E1F" w:rsidP="00905E1F">
      <w:pPr>
        <w:autoSpaceDE w:val="0"/>
        <w:autoSpaceDN w:val="0"/>
        <w:adjustRightInd w:val="0"/>
        <w:spacing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В результате проведенного анализа для определения кадастровой стоимости, была построена экспоненциальная модель.</w:t>
      </w:r>
    </w:p>
    <w:p w14:paraId="061950A9" w14:textId="77777777" w:rsidR="00905E1F" w:rsidRPr="00AC3806" w:rsidRDefault="00905E1F" w:rsidP="00905E1F">
      <w:pPr>
        <w:autoSpaceDE w:val="0"/>
        <w:autoSpaceDN w:val="0"/>
        <w:adjustRightInd w:val="0"/>
        <w:spacing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Модельный УПКС объекта оценки с кадастровым номером 36:14:0010801:142 определен исходя из значений ценообразующих факторов, путем их подстановки в статистическую модель. Для качественных ценообразующих факторов в статистическую модель подставляются метки, соответствующие значению ценообразующего фактора.</w:t>
      </w:r>
    </w:p>
    <w:p w14:paraId="14380DBB" w14:textId="77777777" w:rsidR="00905E1F" w:rsidRPr="00AC3806" w:rsidRDefault="00905E1F" w:rsidP="00905E1F">
      <w:pPr>
        <w:autoSpaceDE w:val="0"/>
        <w:autoSpaceDN w:val="0"/>
        <w:adjustRightInd w:val="0"/>
        <w:spacing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Подставим в уравнение модели значения ценообразующих факторов:</w:t>
      </w:r>
    </w:p>
    <w:p w14:paraId="45738A76" w14:textId="77777777" w:rsidR="00905E1F" w:rsidRPr="00AC3806" w:rsidRDefault="00905E1F" w:rsidP="00905E1F">
      <w:pPr>
        <w:autoSpaceDE w:val="0"/>
        <w:autoSpaceDN w:val="0"/>
        <w:adjustRightInd w:val="0"/>
        <w:spacing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УПКС = 683.239110462652*e^(+0.00000471119135755698*__Численность населения в населенном пункте+0.621993535181159*([гнп Центральное водоснабжение]))</w:t>
      </w:r>
    </w:p>
    <w:p w14:paraId="7C93AE4D" w14:textId="77777777" w:rsidR="00905E1F" w:rsidRPr="00AC3806" w:rsidRDefault="00905E1F" w:rsidP="00905E1F">
      <w:pPr>
        <w:autoSpaceDE w:val="0"/>
        <w:autoSpaceDN w:val="0"/>
        <w:adjustRightInd w:val="0"/>
        <w:spacing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Кадастровая стоимость объекта недвижимости с кадастровым номером 36:14:0010801:142 равна: 1 682,49 руб./кв. м. * 1580 кв. м. = 2 658 334,20 рублей.</w:t>
      </w:r>
    </w:p>
    <w:p w14:paraId="4892AD38" w14:textId="77777777" w:rsidR="00905E1F" w:rsidRPr="00AC3806" w:rsidRDefault="00905E1F" w:rsidP="00905E1F">
      <w:pPr>
        <w:autoSpaceDE w:val="0"/>
        <w:autoSpaceDN w:val="0"/>
        <w:adjustRightInd w:val="0"/>
        <w:spacing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Полученные значения УПКС и кадастровой стоимости объекта недвижимости с кадастровым номером 36:14:0010801:142 совпадает со значением УПКС и кадастровой стоимости, указанными в Приложении 2/2.4.</w:t>
      </w:r>
    </w:p>
    <w:p w14:paraId="3E0C10E4" w14:textId="77777777" w:rsidR="00905E1F" w:rsidRPr="00AC3806" w:rsidRDefault="00905E1F" w:rsidP="00905E1F">
      <w:pPr>
        <w:spacing w:after="0" w:line="240" w:lineRule="auto"/>
        <w:ind w:firstLine="709"/>
        <w:contextualSpacing/>
        <w:jc w:val="both"/>
        <w:rPr>
          <w:rFonts w:ascii="Times New Roman" w:hAnsi="Times New Roman" w:cs="Times New Roman"/>
          <w:i/>
          <w:sz w:val="26"/>
          <w:szCs w:val="26"/>
        </w:rPr>
      </w:pPr>
      <w:r w:rsidRPr="00AC3806">
        <w:rPr>
          <w:rFonts w:ascii="Times New Roman" w:hAnsi="Times New Roman" w:cs="Times New Roman"/>
          <w:i/>
          <w:sz w:val="26"/>
          <w:szCs w:val="26"/>
        </w:rPr>
        <w:t xml:space="preserve">Выводы: </w:t>
      </w:r>
    </w:p>
    <w:p w14:paraId="6FF0C29B"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По статистическим моделям проведен анализ, который показал, что все показатели, влияющие на полноту и адекватность статистической модели, а также выполненные расчеты корректны. Нарушений не выявлено.</w:t>
      </w:r>
    </w:p>
    <w:p w14:paraId="0266B4F7" w14:textId="77777777" w:rsidR="00905E1F" w:rsidRPr="00AC3806" w:rsidRDefault="00905E1F" w:rsidP="00905E1F">
      <w:pPr>
        <w:rPr>
          <w:rFonts w:ascii="Times New Roman" w:eastAsiaTheme="minorEastAsia" w:hAnsi="Times New Roman" w:cs="Times New Roman"/>
          <w:b/>
          <w:sz w:val="26"/>
          <w:szCs w:val="26"/>
        </w:rPr>
      </w:pPr>
      <w:bookmarkStart w:id="323" w:name="_Toc106539020"/>
      <w:r w:rsidRPr="00AC3806">
        <w:rPr>
          <w:rFonts w:eastAsiaTheme="minorEastAsia" w:cs="Times New Roman"/>
          <w:sz w:val="26"/>
        </w:rPr>
        <w:br w:type="page"/>
      </w:r>
    </w:p>
    <w:p w14:paraId="39391690" w14:textId="77777777" w:rsidR="00905E1F" w:rsidRPr="00AC3806" w:rsidRDefault="00905E1F" w:rsidP="00905E1F">
      <w:pPr>
        <w:pStyle w:val="20"/>
        <w:ind w:firstLine="709"/>
        <w:rPr>
          <w:rFonts w:eastAsiaTheme="minorEastAsia" w:cs="Times New Roman"/>
          <w:sz w:val="26"/>
        </w:rPr>
      </w:pPr>
      <w:bookmarkStart w:id="324" w:name="_Toc110507041"/>
      <w:r w:rsidRPr="00AC3806">
        <w:rPr>
          <w:rFonts w:eastAsiaTheme="minorEastAsia" w:cs="Times New Roman"/>
          <w:sz w:val="26"/>
        </w:rPr>
        <w:t>4.1.4. Контроль качества результатов определения кадастровой стоимости</w:t>
      </w:r>
      <w:bookmarkEnd w:id="323"/>
      <w:bookmarkEnd w:id="324"/>
    </w:p>
    <w:p w14:paraId="5E2359F2" w14:textId="77777777" w:rsidR="00905E1F" w:rsidRPr="00AC3806" w:rsidRDefault="00905E1F" w:rsidP="00905E1F">
      <w:pPr>
        <w:spacing w:after="0" w:line="240" w:lineRule="auto"/>
        <w:ind w:firstLine="709"/>
        <w:jc w:val="both"/>
        <w:rPr>
          <w:rFonts w:ascii="Times New Roman" w:hAnsi="Times New Roman" w:cs="Times New Roman"/>
          <w:sz w:val="26"/>
          <w:szCs w:val="26"/>
        </w:rPr>
      </w:pPr>
    </w:p>
    <w:p w14:paraId="0D3E7C46" w14:textId="77777777" w:rsidR="00905E1F" w:rsidRPr="00AC3806" w:rsidRDefault="00905E1F" w:rsidP="00905E1F">
      <w:pPr>
        <w:spacing w:after="0" w:line="240" w:lineRule="auto"/>
        <w:ind w:firstLine="709"/>
        <w:jc w:val="both"/>
        <w:rPr>
          <w:rFonts w:ascii="Times New Roman" w:hAnsi="Times New Roman" w:cs="Times New Roman"/>
          <w:i/>
          <w:sz w:val="26"/>
          <w:szCs w:val="26"/>
        </w:rPr>
      </w:pPr>
      <w:r w:rsidRPr="00AC3806">
        <w:rPr>
          <w:rFonts w:ascii="Times New Roman" w:hAnsi="Times New Roman" w:cs="Times New Roman"/>
          <w:i/>
          <w:sz w:val="26"/>
          <w:szCs w:val="26"/>
        </w:rPr>
        <w:t>В ходе проверки было установлено:</w:t>
      </w:r>
    </w:p>
    <w:p w14:paraId="3132375D" w14:textId="77777777" w:rsidR="00905E1F" w:rsidRPr="00AC3806" w:rsidRDefault="00905E1F" w:rsidP="00905E1F">
      <w:pPr>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 xml:space="preserve">В соответствии с п.65 Методических указаний, Учреждением проводится проверка результатов определения кадастровой стоимости. Проверка результатов определения кадастровой стоимости включает в себя следующие процедуры: </w:t>
      </w:r>
    </w:p>
    <w:p w14:paraId="6E82AB85" w14:textId="77777777" w:rsidR="00905E1F" w:rsidRPr="00AC3806" w:rsidRDefault="00905E1F" w:rsidP="00905E1F">
      <w:pPr>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1) проверка корректности результатов определения кадастровой стоимости в целом осуществляется путем анализа соотношений минимальных, средних и максимальных удельных показателей кадастровой стоимости (далее – УПКС):</w:t>
      </w:r>
    </w:p>
    <w:p w14:paraId="25FB0B1F" w14:textId="77777777" w:rsidR="00905E1F" w:rsidRPr="00AC3806" w:rsidRDefault="00905E1F" w:rsidP="00905E1F">
      <w:pPr>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 в разрезе групп (подгрупп) объектов недвижимости в каждом из муниципальных образований Воронежской области сравниваются УПКС каждой группы (подгруппы) объектов, расположенных в разных муниципальных образованиях Воронежской области;</w:t>
      </w:r>
    </w:p>
    <w:p w14:paraId="2AE67D34" w14:textId="77777777" w:rsidR="00905E1F" w:rsidRPr="00AC3806" w:rsidRDefault="00905E1F" w:rsidP="00905E1F">
      <w:pPr>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 в разрезе муниципальных образований для разных групп (подгрупп) - сравниваются УПКС разных видов использования, расположенные в границах одного муниципального образования Воронежской области;</w:t>
      </w:r>
    </w:p>
    <w:p w14:paraId="675DFEAB" w14:textId="77777777" w:rsidR="00905E1F" w:rsidRPr="00AC3806" w:rsidRDefault="00905E1F" w:rsidP="00905E1F">
      <w:pPr>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2) проверка с использованием результатов оценочного зонирования территории с целью выявления результатов оценки, существенно отличающихся от уровня цен для каждого вида использования объектов.</w:t>
      </w:r>
    </w:p>
    <w:p w14:paraId="1BFFCA9A" w14:textId="77777777" w:rsidR="00905E1F" w:rsidRPr="00AC3806" w:rsidRDefault="00905E1F" w:rsidP="00905E1F">
      <w:pPr>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Для проверки корректности результатов определения кадастровой стоимости в разрезе групп объектов недвижимости и муниципальных районов комиссией выбраны восемь районов, расположенных в Воронежской области.</w:t>
      </w:r>
    </w:p>
    <w:p w14:paraId="3F0C3FAD" w14:textId="77777777" w:rsidR="00905E1F" w:rsidRPr="00AC3806" w:rsidRDefault="00905E1F" w:rsidP="00905E1F">
      <w:pPr>
        <w:spacing w:after="0" w:line="240" w:lineRule="auto"/>
        <w:ind w:firstLine="709"/>
        <w:contextualSpacing/>
        <w:jc w:val="right"/>
        <w:rPr>
          <w:rFonts w:ascii="Times New Roman" w:hAnsi="Times New Roman" w:cs="Times New Roman"/>
          <w:sz w:val="26"/>
          <w:szCs w:val="26"/>
        </w:rPr>
      </w:pPr>
      <w:r w:rsidRPr="00AC3806">
        <w:rPr>
          <w:rFonts w:ascii="Times New Roman" w:hAnsi="Times New Roman" w:cs="Times New Roman"/>
          <w:sz w:val="26"/>
          <w:szCs w:val="26"/>
        </w:rPr>
        <w:t>Таблица 4.1.4.1</w:t>
      </w:r>
    </w:p>
    <w:tbl>
      <w:tblPr>
        <w:tblStyle w:val="ae"/>
        <w:tblW w:w="5000" w:type="pct"/>
        <w:tblLook w:val="04A0" w:firstRow="1" w:lastRow="0" w:firstColumn="1" w:lastColumn="0" w:noHBand="0" w:noVBand="1"/>
      </w:tblPr>
      <w:tblGrid>
        <w:gridCol w:w="503"/>
        <w:gridCol w:w="2002"/>
        <w:gridCol w:w="1478"/>
        <w:gridCol w:w="2311"/>
        <w:gridCol w:w="1941"/>
        <w:gridCol w:w="1109"/>
      </w:tblGrid>
      <w:tr w:rsidR="00905E1F" w:rsidRPr="00AC3806" w14:paraId="2E4AE79C" w14:textId="77777777" w:rsidTr="00C749ED">
        <w:trPr>
          <w:trHeight w:val="1174"/>
        </w:trPr>
        <w:tc>
          <w:tcPr>
            <w:tcW w:w="276" w:type="pct"/>
            <w:tcBorders>
              <w:top w:val="single" w:sz="4" w:space="0" w:color="auto"/>
              <w:left w:val="single" w:sz="4" w:space="0" w:color="auto"/>
              <w:bottom w:val="single" w:sz="4" w:space="0" w:color="auto"/>
              <w:right w:val="single" w:sz="4" w:space="0" w:color="auto"/>
            </w:tcBorders>
            <w:vAlign w:val="center"/>
            <w:hideMark/>
          </w:tcPr>
          <w:p w14:paraId="53F39F7F" w14:textId="77777777" w:rsidR="00905E1F" w:rsidRPr="00AC3806" w:rsidRDefault="00905E1F" w:rsidP="00C749ED">
            <w:pPr>
              <w:contextualSpacing/>
              <w:jc w:val="center"/>
              <w:rPr>
                <w:rFonts w:ascii="Times New Roman" w:hAnsi="Times New Roman" w:cs="Times New Roman"/>
                <w:b/>
                <w:szCs w:val="22"/>
              </w:rPr>
            </w:pPr>
            <w:r w:rsidRPr="00AC3806">
              <w:rPr>
                <w:rFonts w:ascii="Times New Roman" w:hAnsi="Times New Roman" w:cs="Times New Roman"/>
                <w:b/>
                <w:szCs w:val="22"/>
              </w:rPr>
              <w:t>№ п/п</w:t>
            </w:r>
          </w:p>
        </w:tc>
        <w:tc>
          <w:tcPr>
            <w:tcW w:w="1087" w:type="pct"/>
            <w:tcBorders>
              <w:top w:val="single" w:sz="4" w:space="0" w:color="auto"/>
              <w:left w:val="single" w:sz="4" w:space="0" w:color="auto"/>
              <w:bottom w:val="single" w:sz="4" w:space="0" w:color="auto"/>
              <w:right w:val="single" w:sz="4" w:space="0" w:color="auto"/>
            </w:tcBorders>
            <w:vAlign w:val="center"/>
            <w:hideMark/>
          </w:tcPr>
          <w:p w14:paraId="443AA833" w14:textId="77777777" w:rsidR="00905E1F" w:rsidRPr="00AC3806" w:rsidRDefault="00905E1F" w:rsidP="00C749ED">
            <w:pPr>
              <w:contextualSpacing/>
              <w:jc w:val="center"/>
              <w:rPr>
                <w:rFonts w:ascii="Times New Roman" w:hAnsi="Times New Roman" w:cs="Times New Roman"/>
                <w:b/>
                <w:szCs w:val="22"/>
              </w:rPr>
            </w:pPr>
            <w:r w:rsidRPr="00AC3806">
              <w:rPr>
                <w:rFonts w:ascii="Times New Roman" w:hAnsi="Times New Roman" w:cs="Times New Roman"/>
                <w:b/>
                <w:szCs w:val="22"/>
              </w:rPr>
              <w:t>Наименование муниципального района, городского округа</w:t>
            </w:r>
          </w:p>
        </w:tc>
        <w:tc>
          <w:tcPr>
            <w:tcW w:w="735" w:type="pct"/>
            <w:tcBorders>
              <w:top w:val="single" w:sz="4" w:space="0" w:color="auto"/>
              <w:left w:val="single" w:sz="4" w:space="0" w:color="auto"/>
              <w:bottom w:val="single" w:sz="4" w:space="0" w:color="auto"/>
              <w:right w:val="single" w:sz="4" w:space="0" w:color="auto"/>
            </w:tcBorders>
            <w:vAlign w:val="center"/>
            <w:hideMark/>
          </w:tcPr>
          <w:p w14:paraId="195376EF" w14:textId="77777777" w:rsidR="00905E1F" w:rsidRPr="00AC3806" w:rsidRDefault="00905E1F" w:rsidP="00C749ED">
            <w:pPr>
              <w:contextualSpacing/>
              <w:jc w:val="center"/>
              <w:rPr>
                <w:rFonts w:ascii="Times New Roman" w:hAnsi="Times New Roman" w:cs="Times New Roman"/>
                <w:b/>
                <w:szCs w:val="22"/>
              </w:rPr>
            </w:pPr>
            <w:r w:rsidRPr="00AC3806">
              <w:rPr>
                <w:rFonts w:ascii="Times New Roman" w:hAnsi="Times New Roman" w:cs="Times New Roman"/>
                <w:b/>
                <w:szCs w:val="22"/>
              </w:rPr>
              <w:t>Значение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32067076" w14:textId="77777777" w:rsidR="00905E1F" w:rsidRPr="00AC3806" w:rsidRDefault="00905E1F" w:rsidP="00C749ED">
            <w:pPr>
              <w:contextualSpacing/>
              <w:jc w:val="center"/>
              <w:rPr>
                <w:rFonts w:ascii="Times New Roman" w:hAnsi="Times New Roman" w:cs="Times New Roman"/>
                <w:b/>
                <w:szCs w:val="22"/>
              </w:rPr>
            </w:pPr>
            <w:r w:rsidRPr="00AC3806">
              <w:rPr>
                <w:rFonts w:ascii="Times New Roman" w:hAnsi="Times New Roman" w:cs="Times New Roman"/>
                <w:b/>
                <w:szCs w:val="22"/>
              </w:rPr>
              <w:t>Сегмент 4,</w:t>
            </w:r>
          </w:p>
          <w:p w14:paraId="3C153D34" w14:textId="77777777" w:rsidR="00905E1F" w:rsidRPr="00AC3806" w:rsidRDefault="00905E1F" w:rsidP="00C749ED">
            <w:pPr>
              <w:contextualSpacing/>
              <w:jc w:val="center"/>
              <w:rPr>
                <w:rFonts w:ascii="Times New Roman" w:hAnsi="Times New Roman" w:cs="Times New Roman"/>
                <w:b/>
                <w:szCs w:val="22"/>
              </w:rPr>
            </w:pPr>
            <w:r w:rsidRPr="00AC3806">
              <w:rPr>
                <w:rFonts w:ascii="Times New Roman" w:hAnsi="Times New Roman" w:cs="Times New Roman"/>
                <w:b/>
                <w:szCs w:val="22"/>
              </w:rPr>
              <w:t>Предпринимательство руб./кв.м.</w:t>
            </w:r>
          </w:p>
        </w:tc>
        <w:tc>
          <w:tcPr>
            <w:tcW w:w="1050" w:type="pct"/>
            <w:tcBorders>
              <w:top w:val="single" w:sz="4" w:space="0" w:color="auto"/>
              <w:left w:val="single" w:sz="4" w:space="0" w:color="auto"/>
              <w:bottom w:val="single" w:sz="4" w:space="0" w:color="auto"/>
              <w:right w:val="single" w:sz="4" w:space="0" w:color="auto"/>
            </w:tcBorders>
            <w:vAlign w:val="center"/>
            <w:hideMark/>
          </w:tcPr>
          <w:p w14:paraId="15D9C1AB" w14:textId="77777777" w:rsidR="00905E1F" w:rsidRPr="00AC3806" w:rsidRDefault="00905E1F" w:rsidP="00C749ED">
            <w:pPr>
              <w:contextualSpacing/>
              <w:jc w:val="center"/>
              <w:rPr>
                <w:rFonts w:ascii="Times New Roman" w:hAnsi="Times New Roman" w:cs="Times New Roman"/>
                <w:b/>
                <w:szCs w:val="22"/>
              </w:rPr>
            </w:pPr>
            <w:r w:rsidRPr="00AC3806">
              <w:rPr>
                <w:rFonts w:ascii="Times New Roman" w:hAnsi="Times New Roman" w:cs="Times New Roman"/>
                <w:b/>
                <w:szCs w:val="22"/>
              </w:rPr>
              <w:t>Сегмент 6</w:t>
            </w:r>
          </w:p>
          <w:p w14:paraId="5DE7856D" w14:textId="77777777" w:rsidR="00905E1F" w:rsidRPr="00AC3806" w:rsidRDefault="00905E1F" w:rsidP="00C749ED">
            <w:pPr>
              <w:contextualSpacing/>
              <w:jc w:val="center"/>
              <w:rPr>
                <w:rFonts w:ascii="Times New Roman" w:hAnsi="Times New Roman" w:cs="Times New Roman"/>
                <w:b/>
                <w:szCs w:val="22"/>
              </w:rPr>
            </w:pPr>
            <w:r w:rsidRPr="00AC3806">
              <w:rPr>
                <w:rFonts w:ascii="Times New Roman" w:hAnsi="Times New Roman" w:cs="Times New Roman"/>
                <w:b/>
                <w:szCs w:val="22"/>
              </w:rPr>
              <w:t>Производственная деятельность, руб./кв.м.</w:t>
            </w:r>
          </w:p>
        </w:tc>
        <w:tc>
          <w:tcPr>
            <w:tcW w:w="604" w:type="pct"/>
            <w:tcBorders>
              <w:top w:val="single" w:sz="4" w:space="0" w:color="auto"/>
              <w:left w:val="single" w:sz="4" w:space="0" w:color="auto"/>
              <w:bottom w:val="single" w:sz="4" w:space="0" w:color="auto"/>
              <w:right w:val="single" w:sz="4" w:space="0" w:color="auto"/>
            </w:tcBorders>
            <w:vAlign w:val="center"/>
            <w:hideMark/>
          </w:tcPr>
          <w:p w14:paraId="15F68B4E" w14:textId="77777777" w:rsidR="00905E1F" w:rsidRPr="00AC3806" w:rsidRDefault="00905E1F" w:rsidP="00C749ED">
            <w:pPr>
              <w:contextualSpacing/>
              <w:jc w:val="center"/>
              <w:rPr>
                <w:rFonts w:ascii="Times New Roman" w:hAnsi="Times New Roman" w:cs="Times New Roman"/>
                <w:b/>
                <w:szCs w:val="22"/>
              </w:rPr>
            </w:pPr>
            <w:r w:rsidRPr="00AC3806">
              <w:rPr>
                <w:rFonts w:ascii="Times New Roman" w:hAnsi="Times New Roman" w:cs="Times New Roman"/>
                <w:b/>
                <w:szCs w:val="22"/>
              </w:rPr>
              <w:t>Сегмент 13, ИЖС руб./кв.м.</w:t>
            </w:r>
          </w:p>
        </w:tc>
      </w:tr>
      <w:tr w:rsidR="00905E1F" w:rsidRPr="00AC3806" w14:paraId="3E03F34A" w14:textId="77777777" w:rsidTr="00C749ED">
        <w:tc>
          <w:tcPr>
            <w:tcW w:w="276" w:type="pct"/>
            <w:vMerge w:val="restart"/>
            <w:tcBorders>
              <w:top w:val="single" w:sz="4" w:space="0" w:color="auto"/>
              <w:left w:val="single" w:sz="4" w:space="0" w:color="auto"/>
              <w:bottom w:val="single" w:sz="4" w:space="0" w:color="auto"/>
              <w:right w:val="single" w:sz="4" w:space="0" w:color="auto"/>
            </w:tcBorders>
            <w:vAlign w:val="center"/>
            <w:hideMark/>
          </w:tcPr>
          <w:p w14:paraId="0AA40EF6"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1</w:t>
            </w:r>
          </w:p>
        </w:tc>
        <w:tc>
          <w:tcPr>
            <w:tcW w:w="1087" w:type="pct"/>
            <w:vMerge w:val="restart"/>
            <w:tcBorders>
              <w:top w:val="single" w:sz="4" w:space="0" w:color="auto"/>
              <w:left w:val="single" w:sz="4" w:space="0" w:color="auto"/>
              <w:bottom w:val="single" w:sz="4" w:space="0" w:color="auto"/>
              <w:right w:val="single" w:sz="4" w:space="0" w:color="auto"/>
            </w:tcBorders>
            <w:vAlign w:val="center"/>
            <w:hideMark/>
          </w:tcPr>
          <w:p w14:paraId="52DEAB30"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Городской округ город Воронеж</w:t>
            </w:r>
          </w:p>
        </w:tc>
        <w:tc>
          <w:tcPr>
            <w:tcW w:w="735" w:type="pct"/>
            <w:tcBorders>
              <w:top w:val="single" w:sz="4" w:space="0" w:color="auto"/>
              <w:left w:val="single" w:sz="4" w:space="0" w:color="auto"/>
              <w:bottom w:val="single" w:sz="4" w:space="0" w:color="auto"/>
              <w:right w:val="single" w:sz="4" w:space="0" w:color="auto"/>
            </w:tcBorders>
            <w:vAlign w:val="center"/>
            <w:hideMark/>
          </w:tcPr>
          <w:p w14:paraId="435A36A4"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Минимальное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76EF021F"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1600,58</w:t>
            </w:r>
          </w:p>
        </w:tc>
        <w:tc>
          <w:tcPr>
            <w:tcW w:w="1050" w:type="pct"/>
            <w:tcBorders>
              <w:top w:val="single" w:sz="4" w:space="0" w:color="auto"/>
              <w:left w:val="single" w:sz="4" w:space="0" w:color="auto"/>
              <w:bottom w:val="single" w:sz="4" w:space="0" w:color="auto"/>
              <w:right w:val="single" w:sz="4" w:space="0" w:color="auto"/>
            </w:tcBorders>
            <w:vAlign w:val="center"/>
            <w:hideMark/>
          </w:tcPr>
          <w:p w14:paraId="4A316994"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79,36</w:t>
            </w:r>
          </w:p>
        </w:tc>
        <w:tc>
          <w:tcPr>
            <w:tcW w:w="604" w:type="pct"/>
            <w:tcBorders>
              <w:top w:val="single" w:sz="4" w:space="0" w:color="auto"/>
              <w:left w:val="single" w:sz="4" w:space="0" w:color="auto"/>
              <w:bottom w:val="single" w:sz="4" w:space="0" w:color="auto"/>
              <w:right w:val="single" w:sz="4" w:space="0" w:color="auto"/>
            </w:tcBorders>
            <w:vAlign w:val="center"/>
            <w:hideMark/>
          </w:tcPr>
          <w:p w14:paraId="64AC3897"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153,45</w:t>
            </w:r>
          </w:p>
        </w:tc>
      </w:tr>
      <w:tr w:rsidR="00905E1F" w:rsidRPr="00AC3806" w14:paraId="04EB196F" w14:textId="77777777" w:rsidTr="00C749ED">
        <w:tc>
          <w:tcPr>
            <w:tcW w:w="0" w:type="auto"/>
            <w:vMerge/>
            <w:tcBorders>
              <w:top w:val="single" w:sz="4" w:space="0" w:color="auto"/>
              <w:left w:val="single" w:sz="4" w:space="0" w:color="auto"/>
              <w:bottom w:val="single" w:sz="4" w:space="0" w:color="auto"/>
              <w:right w:val="single" w:sz="4" w:space="0" w:color="auto"/>
            </w:tcBorders>
            <w:vAlign w:val="center"/>
            <w:hideMark/>
          </w:tcPr>
          <w:p w14:paraId="38993014" w14:textId="77777777" w:rsidR="00905E1F" w:rsidRPr="00AC3806" w:rsidRDefault="00905E1F" w:rsidP="00C749ED">
            <w:pPr>
              <w:jc w:val="center"/>
              <w:rPr>
                <w:rFonts w:ascii="Times New Roman" w:hAnsi="Times New Roman" w:cs="Times New Roman"/>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65311" w14:textId="77777777" w:rsidR="00905E1F" w:rsidRPr="00AC3806" w:rsidRDefault="00905E1F" w:rsidP="00C749ED">
            <w:pPr>
              <w:jc w:val="center"/>
              <w:rPr>
                <w:rFonts w:ascii="Times New Roman" w:hAnsi="Times New Roman" w:cs="Times New Roman"/>
                <w:szCs w:val="22"/>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243DB148"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Среднее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6DC6E587"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7104,36</w:t>
            </w:r>
          </w:p>
        </w:tc>
        <w:tc>
          <w:tcPr>
            <w:tcW w:w="1050" w:type="pct"/>
            <w:tcBorders>
              <w:top w:val="single" w:sz="4" w:space="0" w:color="auto"/>
              <w:left w:val="single" w:sz="4" w:space="0" w:color="auto"/>
              <w:bottom w:val="single" w:sz="4" w:space="0" w:color="auto"/>
              <w:right w:val="single" w:sz="4" w:space="0" w:color="auto"/>
            </w:tcBorders>
            <w:vAlign w:val="center"/>
            <w:hideMark/>
          </w:tcPr>
          <w:p w14:paraId="02606C19"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1360,30</w:t>
            </w:r>
          </w:p>
        </w:tc>
        <w:tc>
          <w:tcPr>
            <w:tcW w:w="604" w:type="pct"/>
            <w:tcBorders>
              <w:top w:val="single" w:sz="4" w:space="0" w:color="auto"/>
              <w:left w:val="single" w:sz="4" w:space="0" w:color="auto"/>
              <w:bottom w:val="single" w:sz="4" w:space="0" w:color="auto"/>
              <w:right w:val="single" w:sz="4" w:space="0" w:color="auto"/>
            </w:tcBorders>
            <w:vAlign w:val="center"/>
            <w:hideMark/>
          </w:tcPr>
          <w:p w14:paraId="481FBEE4"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1438,76</w:t>
            </w:r>
          </w:p>
        </w:tc>
      </w:tr>
      <w:tr w:rsidR="00905E1F" w:rsidRPr="00AC3806" w14:paraId="5EFB1371" w14:textId="77777777" w:rsidTr="00C749ED">
        <w:tc>
          <w:tcPr>
            <w:tcW w:w="0" w:type="auto"/>
            <w:vMerge/>
            <w:tcBorders>
              <w:top w:val="single" w:sz="4" w:space="0" w:color="auto"/>
              <w:left w:val="single" w:sz="4" w:space="0" w:color="auto"/>
              <w:bottom w:val="single" w:sz="4" w:space="0" w:color="auto"/>
              <w:right w:val="single" w:sz="4" w:space="0" w:color="auto"/>
            </w:tcBorders>
            <w:vAlign w:val="center"/>
            <w:hideMark/>
          </w:tcPr>
          <w:p w14:paraId="4A3B7152" w14:textId="77777777" w:rsidR="00905E1F" w:rsidRPr="00AC3806" w:rsidRDefault="00905E1F" w:rsidP="00C749ED">
            <w:pPr>
              <w:jc w:val="center"/>
              <w:rPr>
                <w:rFonts w:ascii="Times New Roman" w:hAnsi="Times New Roman" w:cs="Times New Roman"/>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7720E4" w14:textId="77777777" w:rsidR="00905E1F" w:rsidRPr="00AC3806" w:rsidRDefault="00905E1F" w:rsidP="00C749ED">
            <w:pPr>
              <w:jc w:val="center"/>
              <w:rPr>
                <w:rFonts w:ascii="Times New Roman" w:hAnsi="Times New Roman" w:cs="Times New Roman"/>
                <w:szCs w:val="22"/>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2635BD52"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Максимальное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76ACBB3E"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12426,87</w:t>
            </w:r>
          </w:p>
        </w:tc>
        <w:tc>
          <w:tcPr>
            <w:tcW w:w="1050" w:type="pct"/>
            <w:tcBorders>
              <w:top w:val="single" w:sz="4" w:space="0" w:color="auto"/>
              <w:left w:val="single" w:sz="4" w:space="0" w:color="auto"/>
              <w:bottom w:val="single" w:sz="4" w:space="0" w:color="auto"/>
              <w:right w:val="single" w:sz="4" w:space="0" w:color="auto"/>
            </w:tcBorders>
            <w:vAlign w:val="center"/>
            <w:hideMark/>
          </w:tcPr>
          <w:p w14:paraId="5B982C2A"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9394,75</w:t>
            </w:r>
          </w:p>
        </w:tc>
        <w:tc>
          <w:tcPr>
            <w:tcW w:w="604" w:type="pct"/>
            <w:tcBorders>
              <w:top w:val="single" w:sz="4" w:space="0" w:color="auto"/>
              <w:left w:val="single" w:sz="4" w:space="0" w:color="auto"/>
              <w:bottom w:val="single" w:sz="4" w:space="0" w:color="auto"/>
              <w:right w:val="single" w:sz="4" w:space="0" w:color="auto"/>
            </w:tcBorders>
            <w:vAlign w:val="center"/>
            <w:hideMark/>
          </w:tcPr>
          <w:p w14:paraId="77E31DCC"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2854,60</w:t>
            </w:r>
          </w:p>
        </w:tc>
      </w:tr>
      <w:tr w:rsidR="00905E1F" w:rsidRPr="00AC3806" w14:paraId="0523AADD" w14:textId="77777777" w:rsidTr="00C749ED">
        <w:tc>
          <w:tcPr>
            <w:tcW w:w="276" w:type="pct"/>
            <w:vMerge w:val="restart"/>
            <w:tcBorders>
              <w:top w:val="single" w:sz="4" w:space="0" w:color="auto"/>
              <w:left w:val="single" w:sz="4" w:space="0" w:color="auto"/>
              <w:bottom w:val="single" w:sz="4" w:space="0" w:color="auto"/>
              <w:right w:val="single" w:sz="4" w:space="0" w:color="auto"/>
            </w:tcBorders>
            <w:vAlign w:val="center"/>
            <w:hideMark/>
          </w:tcPr>
          <w:p w14:paraId="6125CB76"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2</w:t>
            </w:r>
          </w:p>
        </w:tc>
        <w:tc>
          <w:tcPr>
            <w:tcW w:w="1087" w:type="pct"/>
            <w:vMerge w:val="restart"/>
            <w:tcBorders>
              <w:top w:val="single" w:sz="4" w:space="0" w:color="auto"/>
              <w:left w:val="single" w:sz="4" w:space="0" w:color="auto"/>
              <w:bottom w:val="single" w:sz="4" w:space="0" w:color="auto"/>
              <w:right w:val="single" w:sz="4" w:space="0" w:color="auto"/>
            </w:tcBorders>
            <w:vAlign w:val="center"/>
            <w:hideMark/>
          </w:tcPr>
          <w:p w14:paraId="01FB5FEA"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Борисоглебский городской округ</w:t>
            </w:r>
          </w:p>
        </w:tc>
        <w:tc>
          <w:tcPr>
            <w:tcW w:w="735" w:type="pct"/>
            <w:tcBorders>
              <w:top w:val="single" w:sz="4" w:space="0" w:color="auto"/>
              <w:left w:val="single" w:sz="4" w:space="0" w:color="auto"/>
              <w:bottom w:val="single" w:sz="4" w:space="0" w:color="auto"/>
              <w:right w:val="single" w:sz="4" w:space="0" w:color="auto"/>
            </w:tcBorders>
            <w:vAlign w:val="center"/>
            <w:hideMark/>
          </w:tcPr>
          <w:p w14:paraId="239B32A8"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Минимальное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13F315AD"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554,83</w:t>
            </w:r>
          </w:p>
        </w:tc>
        <w:tc>
          <w:tcPr>
            <w:tcW w:w="1050" w:type="pct"/>
            <w:tcBorders>
              <w:top w:val="single" w:sz="4" w:space="0" w:color="auto"/>
              <w:left w:val="single" w:sz="4" w:space="0" w:color="auto"/>
              <w:bottom w:val="single" w:sz="4" w:space="0" w:color="auto"/>
              <w:right w:val="single" w:sz="4" w:space="0" w:color="auto"/>
            </w:tcBorders>
            <w:vAlign w:val="center"/>
            <w:hideMark/>
          </w:tcPr>
          <w:p w14:paraId="6F9352A1"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7,35</w:t>
            </w:r>
          </w:p>
        </w:tc>
        <w:tc>
          <w:tcPr>
            <w:tcW w:w="604" w:type="pct"/>
            <w:tcBorders>
              <w:top w:val="single" w:sz="4" w:space="0" w:color="auto"/>
              <w:left w:val="single" w:sz="4" w:space="0" w:color="auto"/>
              <w:bottom w:val="single" w:sz="4" w:space="0" w:color="auto"/>
              <w:right w:val="single" w:sz="4" w:space="0" w:color="auto"/>
            </w:tcBorders>
            <w:vAlign w:val="center"/>
            <w:hideMark/>
          </w:tcPr>
          <w:p w14:paraId="01D5E0F4"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16,03</w:t>
            </w:r>
          </w:p>
        </w:tc>
      </w:tr>
      <w:tr w:rsidR="00905E1F" w:rsidRPr="00AC3806" w14:paraId="106A244D" w14:textId="77777777" w:rsidTr="00C749ED">
        <w:tc>
          <w:tcPr>
            <w:tcW w:w="0" w:type="auto"/>
            <w:vMerge/>
            <w:tcBorders>
              <w:top w:val="single" w:sz="4" w:space="0" w:color="auto"/>
              <w:left w:val="single" w:sz="4" w:space="0" w:color="auto"/>
              <w:bottom w:val="single" w:sz="4" w:space="0" w:color="auto"/>
              <w:right w:val="single" w:sz="4" w:space="0" w:color="auto"/>
            </w:tcBorders>
            <w:vAlign w:val="center"/>
            <w:hideMark/>
          </w:tcPr>
          <w:p w14:paraId="445E98EF" w14:textId="77777777" w:rsidR="00905E1F" w:rsidRPr="00AC3806" w:rsidRDefault="00905E1F" w:rsidP="00C749ED">
            <w:pPr>
              <w:jc w:val="center"/>
              <w:rPr>
                <w:rFonts w:ascii="Times New Roman" w:hAnsi="Times New Roman" w:cs="Times New Roman"/>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DDF94" w14:textId="77777777" w:rsidR="00905E1F" w:rsidRPr="00AC3806" w:rsidRDefault="00905E1F" w:rsidP="00C749ED">
            <w:pPr>
              <w:jc w:val="center"/>
              <w:rPr>
                <w:rFonts w:ascii="Times New Roman" w:hAnsi="Times New Roman" w:cs="Times New Roman"/>
                <w:szCs w:val="22"/>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21172EB9"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Среднее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11682FB9"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3509,87</w:t>
            </w:r>
          </w:p>
        </w:tc>
        <w:tc>
          <w:tcPr>
            <w:tcW w:w="1050" w:type="pct"/>
            <w:tcBorders>
              <w:top w:val="single" w:sz="4" w:space="0" w:color="auto"/>
              <w:left w:val="single" w:sz="4" w:space="0" w:color="auto"/>
              <w:bottom w:val="single" w:sz="4" w:space="0" w:color="auto"/>
              <w:right w:val="single" w:sz="4" w:space="0" w:color="auto"/>
            </w:tcBorders>
            <w:vAlign w:val="center"/>
            <w:hideMark/>
          </w:tcPr>
          <w:p w14:paraId="64FB8EBE"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497,1</w:t>
            </w:r>
          </w:p>
        </w:tc>
        <w:tc>
          <w:tcPr>
            <w:tcW w:w="604" w:type="pct"/>
            <w:tcBorders>
              <w:top w:val="single" w:sz="4" w:space="0" w:color="auto"/>
              <w:left w:val="single" w:sz="4" w:space="0" w:color="auto"/>
              <w:bottom w:val="single" w:sz="4" w:space="0" w:color="auto"/>
              <w:right w:val="single" w:sz="4" w:space="0" w:color="auto"/>
            </w:tcBorders>
            <w:vAlign w:val="center"/>
            <w:hideMark/>
          </w:tcPr>
          <w:p w14:paraId="219FF441"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215</w:t>
            </w:r>
          </w:p>
        </w:tc>
      </w:tr>
      <w:tr w:rsidR="00905E1F" w:rsidRPr="00AC3806" w14:paraId="2F1420AF" w14:textId="77777777" w:rsidTr="00C749ED">
        <w:tc>
          <w:tcPr>
            <w:tcW w:w="0" w:type="auto"/>
            <w:vMerge/>
            <w:tcBorders>
              <w:top w:val="single" w:sz="4" w:space="0" w:color="auto"/>
              <w:left w:val="single" w:sz="4" w:space="0" w:color="auto"/>
              <w:bottom w:val="single" w:sz="4" w:space="0" w:color="auto"/>
              <w:right w:val="single" w:sz="4" w:space="0" w:color="auto"/>
            </w:tcBorders>
            <w:vAlign w:val="center"/>
            <w:hideMark/>
          </w:tcPr>
          <w:p w14:paraId="52FF6AC6" w14:textId="77777777" w:rsidR="00905E1F" w:rsidRPr="00AC3806" w:rsidRDefault="00905E1F" w:rsidP="00C749ED">
            <w:pPr>
              <w:jc w:val="center"/>
              <w:rPr>
                <w:rFonts w:ascii="Times New Roman" w:hAnsi="Times New Roman" w:cs="Times New Roman"/>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B00EBD" w14:textId="77777777" w:rsidR="00905E1F" w:rsidRPr="00AC3806" w:rsidRDefault="00905E1F" w:rsidP="00C749ED">
            <w:pPr>
              <w:jc w:val="center"/>
              <w:rPr>
                <w:rFonts w:ascii="Times New Roman" w:hAnsi="Times New Roman" w:cs="Times New Roman"/>
                <w:szCs w:val="22"/>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1C323637"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Максимальное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4D568F61"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6806,96</w:t>
            </w:r>
          </w:p>
        </w:tc>
        <w:tc>
          <w:tcPr>
            <w:tcW w:w="1050" w:type="pct"/>
            <w:tcBorders>
              <w:top w:val="single" w:sz="4" w:space="0" w:color="auto"/>
              <w:left w:val="single" w:sz="4" w:space="0" w:color="auto"/>
              <w:bottom w:val="single" w:sz="4" w:space="0" w:color="auto"/>
              <w:right w:val="single" w:sz="4" w:space="0" w:color="auto"/>
            </w:tcBorders>
            <w:vAlign w:val="center"/>
            <w:hideMark/>
          </w:tcPr>
          <w:p w14:paraId="0CC76D4F"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4290,28</w:t>
            </w:r>
          </w:p>
        </w:tc>
        <w:tc>
          <w:tcPr>
            <w:tcW w:w="604" w:type="pct"/>
            <w:tcBorders>
              <w:top w:val="single" w:sz="4" w:space="0" w:color="auto"/>
              <w:left w:val="single" w:sz="4" w:space="0" w:color="auto"/>
              <w:bottom w:val="single" w:sz="4" w:space="0" w:color="auto"/>
              <w:right w:val="single" w:sz="4" w:space="0" w:color="auto"/>
            </w:tcBorders>
            <w:vAlign w:val="center"/>
            <w:hideMark/>
          </w:tcPr>
          <w:p w14:paraId="59B926D8"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813,63</w:t>
            </w:r>
          </w:p>
        </w:tc>
      </w:tr>
      <w:tr w:rsidR="00905E1F" w:rsidRPr="00AC3806" w14:paraId="6894D7D1" w14:textId="77777777" w:rsidTr="00C749ED">
        <w:tc>
          <w:tcPr>
            <w:tcW w:w="276" w:type="pct"/>
            <w:vMerge w:val="restart"/>
            <w:tcBorders>
              <w:top w:val="single" w:sz="4" w:space="0" w:color="auto"/>
              <w:left w:val="single" w:sz="4" w:space="0" w:color="auto"/>
              <w:bottom w:val="single" w:sz="4" w:space="0" w:color="auto"/>
              <w:right w:val="single" w:sz="4" w:space="0" w:color="auto"/>
            </w:tcBorders>
            <w:vAlign w:val="center"/>
            <w:hideMark/>
          </w:tcPr>
          <w:p w14:paraId="3236A8D9"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3</w:t>
            </w:r>
          </w:p>
        </w:tc>
        <w:tc>
          <w:tcPr>
            <w:tcW w:w="1087" w:type="pct"/>
            <w:vMerge w:val="restart"/>
            <w:tcBorders>
              <w:top w:val="single" w:sz="4" w:space="0" w:color="auto"/>
              <w:left w:val="single" w:sz="4" w:space="0" w:color="auto"/>
              <w:bottom w:val="single" w:sz="4" w:space="0" w:color="auto"/>
              <w:right w:val="single" w:sz="4" w:space="0" w:color="auto"/>
            </w:tcBorders>
            <w:vAlign w:val="center"/>
            <w:hideMark/>
          </w:tcPr>
          <w:p w14:paraId="75F86D69"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Городской округ город Нововоронеж</w:t>
            </w:r>
          </w:p>
        </w:tc>
        <w:tc>
          <w:tcPr>
            <w:tcW w:w="735" w:type="pct"/>
            <w:tcBorders>
              <w:top w:val="single" w:sz="4" w:space="0" w:color="auto"/>
              <w:left w:val="single" w:sz="4" w:space="0" w:color="auto"/>
              <w:bottom w:val="single" w:sz="4" w:space="0" w:color="auto"/>
              <w:right w:val="single" w:sz="4" w:space="0" w:color="auto"/>
            </w:tcBorders>
            <w:vAlign w:val="center"/>
            <w:hideMark/>
          </w:tcPr>
          <w:p w14:paraId="568A5A84"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Минимальное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14BF6015"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2834,48</w:t>
            </w:r>
          </w:p>
        </w:tc>
        <w:tc>
          <w:tcPr>
            <w:tcW w:w="1050" w:type="pct"/>
            <w:tcBorders>
              <w:top w:val="single" w:sz="4" w:space="0" w:color="auto"/>
              <w:left w:val="single" w:sz="4" w:space="0" w:color="auto"/>
              <w:bottom w:val="single" w:sz="4" w:space="0" w:color="auto"/>
              <w:right w:val="single" w:sz="4" w:space="0" w:color="auto"/>
            </w:tcBorders>
            <w:vAlign w:val="center"/>
            <w:hideMark/>
          </w:tcPr>
          <w:p w14:paraId="0CD5CF36"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622,01</w:t>
            </w:r>
          </w:p>
        </w:tc>
        <w:tc>
          <w:tcPr>
            <w:tcW w:w="604" w:type="pct"/>
            <w:tcBorders>
              <w:top w:val="single" w:sz="4" w:space="0" w:color="auto"/>
              <w:left w:val="single" w:sz="4" w:space="0" w:color="auto"/>
              <w:bottom w:val="single" w:sz="4" w:space="0" w:color="auto"/>
              <w:right w:val="single" w:sz="4" w:space="0" w:color="auto"/>
            </w:tcBorders>
            <w:vAlign w:val="center"/>
            <w:hideMark/>
          </w:tcPr>
          <w:p w14:paraId="017B0C55"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153,25</w:t>
            </w:r>
          </w:p>
        </w:tc>
      </w:tr>
      <w:tr w:rsidR="00905E1F" w:rsidRPr="00AC3806" w14:paraId="41CFBBF0" w14:textId="77777777" w:rsidTr="00C749ED">
        <w:tc>
          <w:tcPr>
            <w:tcW w:w="0" w:type="auto"/>
            <w:vMerge/>
            <w:tcBorders>
              <w:top w:val="single" w:sz="4" w:space="0" w:color="auto"/>
              <w:left w:val="single" w:sz="4" w:space="0" w:color="auto"/>
              <w:bottom w:val="single" w:sz="4" w:space="0" w:color="auto"/>
              <w:right w:val="single" w:sz="4" w:space="0" w:color="auto"/>
            </w:tcBorders>
            <w:vAlign w:val="center"/>
            <w:hideMark/>
          </w:tcPr>
          <w:p w14:paraId="31285CF2" w14:textId="77777777" w:rsidR="00905E1F" w:rsidRPr="00AC3806" w:rsidRDefault="00905E1F" w:rsidP="00C749ED">
            <w:pPr>
              <w:jc w:val="center"/>
              <w:rPr>
                <w:rFonts w:ascii="Times New Roman" w:hAnsi="Times New Roman" w:cs="Times New Roman"/>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2840E" w14:textId="77777777" w:rsidR="00905E1F" w:rsidRPr="00AC3806" w:rsidRDefault="00905E1F" w:rsidP="00C749ED">
            <w:pPr>
              <w:jc w:val="center"/>
              <w:rPr>
                <w:rFonts w:ascii="Times New Roman" w:hAnsi="Times New Roman" w:cs="Times New Roman"/>
                <w:szCs w:val="22"/>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4E110C9D"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Среднее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7F1DC2DD"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6298,75</w:t>
            </w:r>
          </w:p>
        </w:tc>
        <w:tc>
          <w:tcPr>
            <w:tcW w:w="1050" w:type="pct"/>
            <w:tcBorders>
              <w:top w:val="single" w:sz="4" w:space="0" w:color="auto"/>
              <w:left w:val="single" w:sz="4" w:space="0" w:color="auto"/>
              <w:bottom w:val="single" w:sz="4" w:space="0" w:color="auto"/>
              <w:right w:val="single" w:sz="4" w:space="0" w:color="auto"/>
            </w:tcBorders>
            <w:vAlign w:val="center"/>
            <w:hideMark/>
          </w:tcPr>
          <w:p w14:paraId="33C9A4B4"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998,98</w:t>
            </w:r>
          </w:p>
        </w:tc>
        <w:tc>
          <w:tcPr>
            <w:tcW w:w="604" w:type="pct"/>
            <w:tcBorders>
              <w:top w:val="single" w:sz="4" w:space="0" w:color="auto"/>
              <w:left w:val="single" w:sz="4" w:space="0" w:color="auto"/>
              <w:bottom w:val="single" w:sz="4" w:space="0" w:color="auto"/>
              <w:right w:val="single" w:sz="4" w:space="0" w:color="auto"/>
            </w:tcBorders>
            <w:vAlign w:val="center"/>
            <w:hideMark/>
          </w:tcPr>
          <w:p w14:paraId="59C05027"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321,86</w:t>
            </w:r>
          </w:p>
        </w:tc>
      </w:tr>
      <w:tr w:rsidR="00905E1F" w:rsidRPr="00AC3806" w14:paraId="6FE3FECC" w14:textId="77777777" w:rsidTr="00C749ED">
        <w:tc>
          <w:tcPr>
            <w:tcW w:w="0" w:type="auto"/>
            <w:vMerge/>
            <w:tcBorders>
              <w:top w:val="single" w:sz="4" w:space="0" w:color="auto"/>
              <w:left w:val="single" w:sz="4" w:space="0" w:color="auto"/>
              <w:bottom w:val="single" w:sz="4" w:space="0" w:color="auto"/>
              <w:right w:val="single" w:sz="4" w:space="0" w:color="auto"/>
            </w:tcBorders>
            <w:vAlign w:val="center"/>
            <w:hideMark/>
          </w:tcPr>
          <w:p w14:paraId="5969C2DF" w14:textId="77777777" w:rsidR="00905E1F" w:rsidRPr="00AC3806" w:rsidRDefault="00905E1F" w:rsidP="00C749ED">
            <w:pPr>
              <w:jc w:val="center"/>
              <w:rPr>
                <w:rFonts w:ascii="Times New Roman" w:hAnsi="Times New Roman" w:cs="Times New Roman"/>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65D94D" w14:textId="77777777" w:rsidR="00905E1F" w:rsidRPr="00AC3806" w:rsidRDefault="00905E1F" w:rsidP="00C749ED">
            <w:pPr>
              <w:jc w:val="center"/>
              <w:rPr>
                <w:rFonts w:ascii="Times New Roman" w:hAnsi="Times New Roman" w:cs="Times New Roman"/>
                <w:szCs w:val="22"/>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634E3537"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Максимальное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4A5C5B71"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8459,79</w:t>
            </w:r>
          </w:p>
        </w:tc>
        <w:tc>
          <w:tcPr>
            <w:tcW w:w="1050" w:type="pct"/>
            <w:tcBorders>
              <w:top w:val="single" w:sz="4" w:space="0" w:color="auto"/>
              <w:left w:val="single" w:sz="4" w:space="0" w:color="auto"/>
              <w:bottom w:val="single" w:sz="4" w:space="0" w:color="auto"/>
              <w:right w:val="single" w:sz="4" w:space="0" w:color="auto"/>
            </w:tcBorders>
            <w:vAlign w:val="center"/>
            <w:hideMark/>
          </w:tcPr>
          <w:p w14:paraId="542CDD6F"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5496,26</w:t>
            </w:r>
          </w:p>
        </w:tc>
        <w:tc>
          <w:tcPr>
            <w:tcW w:w="604" w:type="pct"/>
            <w:tcBorders>
              <w:top w:val="single" w:sz="4" w:space="0" w:color="auto"/>
              <w:left w:val="single" w:sz="4" w:space="0" w:color="auto"/>
              <w:bottom w:val="single" w:sz="4" w:space="0" w:color="auto"/>
              <w:right w:val="single" w:sz="4" w:space="0" w:color="auto"/>
            </w:tcBorders>
            <w:vAlign w:val="center"/>
            <w:hideMark/>
          </w:tcPr>
          <w:p w14:paraId="5837CDEE"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769,1</w:t>
            </w:r>
          </w:p>
        </w:tc>
      </w:tr>
      <w:tr w:rsidR="00905E1F" w:rsidRPr="00AC3806" w14:paraId="4C54BFFF" w14:textId="77777777" w:rsidTr="00C749ED">
        <w:tc>
          <w:tcPr>
            <w:tcW w:w="276" w:type="pct"/>
            <w:vMerge w:val="restart"/>
            <w:tcBorders>
              <w:top w:val="single" w:sz="4" w:space="0" w:color="auto"/>
              <w:left w:val="single" w:sz="4" w:space="0" w:color="auto"/>
              <w:bottom w:val="single" w:sz="4" w:space="0" w:color="auto"/>
              <w:right w:val="single" w:sz="4" w:space="0" w:color="auto"/>
            </w:tcBorders>
            <w:vAlign w:val="center"/>
            <w:hideMark/>
          </w:tcPr>
          <w:p w14:paraId="18B2C210"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4</w:t>
            </w:r>
          </w:p>
        </w:tc>
        <w:tc>
          <w:tcPr>
            <w:tcW w:w="1087" w:type="pct"/>
            <w:vMerge w:val="restart"/>
            <w:tcBorders>
              <w:top w:val="single" w:sz="4" w:space="0" w:color="auto"/>
              <w:left w:val="single" w:sz="4" w:space="0" w:color="auto"/>
              <w:bottom w:val="single" w:sz="4" w:space="0" w:color="auto"/>
              <w:right w:val="single" w:sz="4" w:space="0" w:color="auto"/>
            </w:tcBorders>
            <w:vAlign w:val="center"/>
            <w:hideMark/>
          </w:tcPr>
          <w:p w14:paraId="1CCB8D4C"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Новоусманский муниципальный район</w:t>
            </w:r>
          </w:p>
        </w:tc>
        <w:tc>
          <w:tcPr>
            <w:tcW w:w="735" w:type="pct"/>
            <w:tcBorders>
              <w:top w:val="single" w:sz="4" w:space="0" w:color="auto"/>
              <w:left w:val="single" w:sz="4" w:space="0" w:color="auto"/>
              <w:bottom w:val="single" w:sz="4" w:space="0" w:color="auto"/>
              <w:right w:val="single" w:sz="4" w:space="0" w:color="auto"/>
            </w:tcBorders>
            <w:vAlign w:val="center"/>
            <w:hideMark/>
          </w:tcPr>
          <w:p w14:paraId="47F859E7"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Минимальное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1D9DBCBA"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883,75</w:t>
            </w:r>
          </w:p>
        </w:tc>
        <w:tc>
          <w:tcPr>
            <w:tcW w:w="1050" w:type="pct"/>
            <w:tcBorders>
              <w:top w:val="single" w:sz="4" w:space="0" w:color="auto"/>
              <w:left w:val="single" w:sz="4" w:space="0" w:color="auto"/>
              <w:bottom w:val="single" w:sz="4" w:space="0" w:color="auto"/>
              <w:right w:val="single" w:sz="4" w:space="0" w:color="auto"/>
            </w:tcBorders>
            <w:vAlign w:val="center"/>
            <w:hideMark/>
          </w:tcPr>
          <w:p w14:paraId="475DDBD3"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56,66</w:t>
            </w:r>
          </w:p>
        </w:tc>
        <w:tc>
          <w:tcPr>
            <w:tcW w:w="604" w:type="pct"/>
            <w:tcBorders>
              <w:top w:val="single" w:sz="4" w:space="0" w:color="auto"/>
              <w:left w:val="single" w:sz="4" w:space="0" w:color="auto"/>
              <w:bottom w:val="single" w:sz="4" w:space="0" w:color="auto"/>
              <w:right w:val="single" w:sz="4" w:space="0" w:color="auto"/>
            </w:tcBorders>
            <w:vAlign w:val="center"/>
            <w:hideMark/>
          </w:tcPr>
          <w:p w14:paraId="76C70697"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74,46</w:t>
            </w:r>
          </w:p>
        </w:tc>
      </w:tr>
      <w:tr w:rsidR="00905E1F" w:rsidRPr="00AC3806" w14:paraId="3E258567" w14:textId="77777777" w:rsidTr="00C749ED">
        <w:tc>
          <w:tcPr>
            <w:tcW w:w="0" w:type="auto"/>
            <w:vMerge/>
            <w:tcBorders>
              <w:top w:val="single" w:sz="4" w:space="0" w:color="auto"/>
              <w:left w:val="single" w:sz="4" w:space="0" w:color="auto"/>
              <w:bottom w:val="single" w:sz="4" w:space="0" w:color="auto"/>
              <w:right w:val="single" w:sz="4" w:space="0" w:color="auto"/>
            </w:tcBorders>
            <w:vAlign w:val="center"/>
            <w:hideMark/>
          </w:tcPr>
          <w:p w14:paraId="6A567E43" w14:textId="77777777" w:rsidR="00905E1F" w:rsidRPr="00AC3806" w:rsidRDefault="00905E1F" w:rsidP="00C749ED">
            <w:pPr>
              <w:jc w:val="center"/>
              <w:rPr>
                <w:rFonts w:ascii="Times New Roman" w:hAnsi="Times New Roman" w:cs="Times New Roman"/>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36CE5F" w14:textId="77777777" w:rsidR="00905E1F" w:rsidRPr="00AC3806" w:rsidRDefault="00905E1F" w:rsidP="00C749ED">
            <w:pPr>
              <w:jc w:val="center"/>
              <w:rPr>
                <w:rFonts w:ascii="Times New Roman" w:hAnsi="Times New Roman" w:cs="Times New Roman"/>
                <w:szCs w:val="22"/>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3897D9EB"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Среднее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348FEA2F"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2794,7</w:t>
            </w:r>
          </w:p>
        </w:tc>
        <w:tc>
          <w:tcPr>
            <w:tcW w:w="1050" w:type="pct"/>
            <w:tcBorders>
              <w:top w:val="single" w:sz="4" w:space="0" w:color="auto"/>
              <w:left w:val="single" w:sz="4" w:space="0" w:color="auto"/>
              <w:bottom w:val="single" w:sz="4" w:space="0" w:color="auto"/>
              <w:right w:val="single" w:sz="4" w:space="0" w:color="auto"/>
            </w:tcBorders>
            <w:vAlign w:val="center"/>
            <w:hideMark/>
          </w:tcPr>
          <w:p w14:paraId="1017D070"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561,15</w:t>
            </w:r>
          </w:p>
        </w:tc>
        <w:tc>
          <w:tcPr>
            <w:tcW w:w="604" w:type="pct"/>
            <w:tcBorders>
              <w:top w:val="single" w:sz="4" w:space="0" w:color="auto"/>
              <w:left w:val="single" w:sz="4" w:space="0" w:color="auto"/>
              <w:bottom w:val="single" w:sz="4" w:space="0" w:color="auto"/>
              <w:right w:val="single" w:sz="4" w:space="0" w:color="auto"/>
            </w:tcBorders>
            <w:vAlign w:val="center"/>
            <w:hideMark/>
          </w:tcPr>
          <w:p w14:paraId="7CA41779"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358,43</w:t>
            </w:r>
          </w:p>
        </w:tc>
      </w:tr>
      <w:tr w:rsidR="00905E1F" w:rsidRPr="00AC3806" w14:paraId="65F42677" w14:textId="77777777" w:rsidTr="00C749ED">
        <w:tc>
          <w:tcPr>
            <w:tcW w:w="0" w:type="auto"/>
            <w:vMerge/>
            <w:tcBorders>
              <w:top w:val="single" w:sz="4" w:space="0" w:color="auto"/>
              <w:left w:val="single" w:sz="4" w:space="0" w:color="auto"/>
              <w:bottom w:val="single" w:sz="4" w:space="0" w:color="auto"/>
              <w:right w:val="single" w:sz="4" w:space="0" w:color="auto"/>
            </w:tcBorders>
            <w:vAlign w:val="center"/>
            <w:hideMark/>
          </w:tcPr>
          <w:p w14:paraId="407B916A" w14:textId="77777777" w:rsidR="00905E1F" w:rsidRPr="00AC3806" w:rsidRDefault="00905E1F" w:rsidP="00C749ED">
            <w:pPr>
              <w:jc w:val="center"/>
              <w:rPr>
                <w:rFonts w:ascii="Times New Roman" w:hAnsi="Times New Roman" w:cs="Times New Roman"/>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676E8" w14:textId="77777777" w:rsidR="00905E1F" w:rsidRPr="00AC3806" w:rsidRDefault="00905E1F" w:rsidP="00C749ED">
            <w:pPr>
              <w:jc w:val="center"/>
              <w:rPr>
                <w:rFonts w:ascii="Times New Roman" w:hAnsi="Times New Roman" w:cs="Times New Roman"/>
                <w:szCs w:val="22"/>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448C9599"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Максимальное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6053D6F6"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8854,58</w:t>
            </w:r>
          </w:p>
        </w:tc>
        <w:tc>
          <w:tcPr>
            <w:tcW w:w="1050" w:type="pct"/>
            <w:tcBorders>
              <w:top w:val="single" w:sz="4" w:space="0" w:color="auto"/>
              <w:left w:val="single" w:sz="4" w:space="0" w:color="auto"/>
              <w:bottom w:val="single" w:sz="4" w:space="0" w:color="auto"/>
              <w:right w:val="single" w:sz="4" w:space="0" w:color="auto"/>
            </w:tcBorders>
            <w:vAlign w:val="center"/>
            <w:hideMark/>
          </w:tcPr>
          <w:p w14:paraId="0B6A870B"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4667,04</w:t>
            </w:r>
          </w:p>
        </w:tc>
        <w:tc>
          <w:tcPr>
            <w:tcW w:w="604" w:type="pct"/>
            <w:tcBorders>
              <w:top w:val="single" w:sz="4" w:space="0" w:color="auto"/>
              <w:left w:val="single" w:sz="4" w:space="0" w:color="auto"/>
              <w:bottom w:val="single" w:sz="4" w:space="0" w:color="auto"/>
              <w:right w:val="single" w:sz="4" w:space="0" w:color="auto"/>
            </w:tcBorders>
            <w:vAlign w:val="center"/>
            <w:hideMark/>
          </w:tcPr>
          <w:p w14:paraId="10CB6526"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996,86</w:t>
            </w:r>
          </w:p>
        </w:tc>
      </w:tr>
      <w:tr w:rsidR="00905E1F" w:rsidRPr="00AC3806" w14:paraId="0B1020B5" w14:textId="77777777" w:rsidTr="00C749ED">
        <w:tc>
          <w:tcPr>
            <w:tcW w:w="276" w:type="pct"/>
            <w:vMerge w:val="restart"/>
            <w:tcBorders>
              <w:top w:val="single" w:sz="4" w:space="0" w:color="auto"/>
              <w:left w:val="single" w:sz="4" w:space="0" w:color="auto"/>
              <w:bottom w:val="single" w:sz="4" w:space="0" w:color="auto"/>
              <w:right w:val="single" w:sz="4" w:space="0" w:color="auto"/>
            </w:tcBorders>
            <w:vAlign w:val="center"/>
            <w:hideMark/>
          </w:tcPr>
          <w:p w14:paraId="62747DE4"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5</w:t>
            </w:r>
          </w:p>
        </w:tc>
        <w:tc>
          <w:tcPr>
            <w:tcW w:w="1087" w:type="pct"/>
            <w:vMerge w:val="restart"/>
            <w:tcBorders>
              <w:top w:val="single" w:sz="4" w:space="0" w:color="auto"/>
              <w:left w:val="single" w:sz="4" w:space="0" w:color="auto"/>
              <w:bottom w:val="single" w:sz="4" w:space="0" w:color="auto"/>
              <w:right w:val="single" w:sz="4" w:space="0" w:color="auto"/>
            </w:tcBorders>
            <w:vAlign w:val="center"/>
            <w:hideMark/>
          </w:tcPr>
          <w:p w14:paraId="2A0E8BCA"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Рамонский муниципальный район</w:t>
            </w:r>
          </w:p>
        </w:tc>
        <w:tc>
          <w:tcPr>
            <w:tcW w:w="735" w:type="pct"/>
            <w:tcBorders>
              <w:top w:val="single" w:sz="4" w:space="0" w:color="auto"/>
              <w:left w:val="single" w:sz="4" w:space="0" w:color="auto"/>
              <w:bottom w:val="single" w:sz="4" w:space="0" w:color="auto"/>
              <w:right w:val="single" w:sz="4" w:space="0" w:color="auto"/>
            </w:tcBorders>
            <w:vAlign w:val="center"/>
            <w:hideMark/>
          </w:tcPr>
          <w:p w14:paraId="0B1596CF"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Минимальное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56472F2E"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885,15</w:t>
            </w:r>
          </w:p>
        </w:tc>
        <w:tc>
          <w:tcPr>
            <w:tcW w:w="1050" w:type="pct"/>
            <w:tcBorders>
              <w:top w:val="single" w:sz="4" w:space="0" w:color="auto"/>
              <w:left w:val="single" w:sz="4" w:space="0" w:color="auto"/>
              <w:bottom w:val="single" w:sz="4" w:space="0" w:color="auto"/>
              <w:right w:val="single" w:sz="4" w:space="0" w:color="auto"/>
            </w:tcBorders>
            <w:vAlign w:val="center"/>
            <w:hideMark/>
          </w:tcPr>
          <w:p w14:paraId="03E9E975"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56,17</w:t>
            </w:r>
          </w:p>
        </w:tc>
        <w:tc>
          <w:tcPr>
            <w:tcW w:w="604" w:type="pct"/>
            <w:tcBorders>
              <w:top w:val="single" w:sz="4" w:space="0" w:color="auto"/>
              <w:left w:val="single" w:sz="4" w:space="0" w:color="auto"/>
              <w:bottom w:val="single" w:sz="4" w:space="0" w:color="auto"/>
              <w:right w:val="single" w:sz="4" w:space="0" w:color="auto"/>
            </w:tcBorders>
            <w:vAlign w:val="center"/>
            <w:hideMark/>
          </w:tcPr>
          <w:p w14:paraId="3FADD6A4"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29,85</w:t>
            </w:r>
          </w:p>
        </w:tc>
      </w:tr>
      <w:tr w:rsidR="00905E1F" w:rsidRPr="00AC3806" w14:paraId="2A682A2E" w14:textId="77777777" w:rsidTr="00C749ED">
        <w:tc>
          <w:tcPr>
            <w:tcW w:w="0" w:type="auto"/>
            <w:vMerge/>
            <w:tcBorders>
              <w:top w:val="single" w:sz="4" w:space="0" w:color="auto"/>
              <w:left w:val="single" w:sz="4" w:space="0" w:color="auto"/>
              <w:bottom w:val="single" w:sz="4" w:space="0" w:color="auto"/>
              <w:right w:val="single" w:sz="4" w:space="0" w:color="auto"/>
            </w:tcBorders>
            <w:vAlign w:val="center"/>
            <w:hideMark/>
          </w:tcPr>
          <w:p w14:paraId="04C36C0A" w14:textId="77777777" w:rsidR="00905E1F" w:rsidRPr="00AC3806" w:rsidRDefault="00905E1F" w:rsidP="00C749ED">
            <w:pPr>
              <w:jc w:val="center"/>
              <w:rPr>
                <w:rFonts w:ascii="Times New Roman" w:hAnsi="Times New Roman" w:cs="Times New Roman"/>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147C85" w14:textId="77777777" w:rsidR="00905E1F" w:rsidRPr="00AC3806" w:rsidRDefault="00905E1F" w:rsidP="00C749ED">
            <w:pPr>
              <w:jc w:val="center"/>
              <w:rPr>
                <w:rFonts w:ascii="Times New Roman" w:hAnsi="Times New Roman" w:cs="Times New Roman"/>
                <w:szCs w:val="22"/>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24F9DFB2"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Среднее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2107804A"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1745,62</w:t>
            </w:r>
          </w:p>
        </w:tc>
        <w:tc>
          <w:tcPr>
            <w:tcW w:w="1050" w:type="pct"/>
            <w:tcBorders>
              <w:top w:val="single" w:sz="4" w:space="0" w:color="auto"/>
              <w:left w:val="single" w:sz="4" w:space="0" w:color="auto"/>
              <w:bottom w:val="single" w:sz="4" w:space="0" w:color="auto"/>
              <w:right w:val="single" w:sz="4" w:space="0" w:color="auto"/>
            </w:tcBorders>
            <w:vAlign w:val="center"/>
            <w:hideMark/>
          </w:tcPr>
          <w:p w14:paraId="37D15B71"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550,74</w:t>
            </w:r>
          </w:p>
        </w:tc>
        <w:tc>
          <w:tcPr>
            <w:tcW w:w="604" w:type="pct"/>
            <w:tcBorders>
              <w:top w:val="single" w:sz="4" w:space="0" w:color="auto"/>
              <w:left w:val="single" w:sz="4" w:space="0" w:color="auto"/>
              <w:bottom w:val="single" w:sz="4" w:space="0" w:color="auto"/>
              <w:right w:val="single" w:sz="4" w:space="0" w:color="auto"/>
            </w:tcBorders>
            <w:vAlign w:val="center"/>
            <w:hideMark/>
          </w:tcPr>
          <w:p w14:paraId="75ADDF9B"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239,67</w:t>
            </w:r>
          </w:p>
        </w:tc>
      </w:tr>
      <w:tr w:rsidR="00905E1F" w:rsidRPr="00AC3806" w14:paraId="11412026" w14:textId="77777777" w:rsidTr="00C749ED">
        <w:tc>
          <w:tcPr>
            <w:tcW w:w="0" w:type="auto"/>
            <w:vMerge/>
            <w:tcBorders>
              <w:top w:val="single" w:sz="4" w:space="0" w:color="auto"/>
              <w:left w:val="single" w:sz="4" w:space="0" w:color="auto"/>
              <w:bottom w:val="single" w:sz="4" w:space="0" w:color="auto"/>
              <w:right w:val="single" w:sz="4" w:space="0" w:color="auto"/>
            </w:tcBorders>
            <w:vAlign w:val="center"/>
            <w:hideMark/>
          </w:tcPr>
          <w:p w14:paraId="7926FDB3" w14:textId="77777777" w:rsidR="00905E1F" w:rsidRPr="00AC3806" w:rsidRDefault="00905E1F" w:rsidP="00C749ED">
            <w:pPr>
              <w:jc w:val="center"/>
              <w:rPr>
                <w:rFonts w:ascii="Times New Roman" w:hAnsi="Times New Roman" w:cs="Times New Roman"/>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FB7CF" w14:textId="77777777" w:rsidR="00905E1F" w:rsidRPr="00AC3806" w:rsidRDefault="00905E1F" w:rsidP="00C749ED">
            <w:pPr>
              <w:jc w:val="center"/>
              <w:rPr>
                <w:rFonts w:ascii="Times New Roman" w:hAnsi="Times New Roman" w:cs="Times New Roman"/>
                <w:szCs w:val="22"/>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0C9B5CBD"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Максимальное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3F417EA6"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4974,71</w:t>
            </w:r>
          </w:p>
        </w:tc>
        <w:tc>
          <w:tcPr>
            <w:tcW w:w="1050" w:type="pct"/>
            <w:tcBorders>
              <w:top w:val="single" w:sz="4" w:space="0" w:color="auto"/>
              <w:left w:val="single" w:sz="4" w:space="0" w:color="auto"/>
              <w:bottom w:val="single" w:sz="4" w:space="0" w:color="auto"/>
              <w:right w:val="single" w:sz="4" w:space="0" w:color="auto"/>
            </w:tcBorders>
            <w:vAlign w:val="center"/>
            <w:hideMark/>
          </w:tcPr>
          <w:p w14:paraId="4EA484CA"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4460,95</w:t>
            </w:r>
          </w:p>
        </w:tc>
        <w:tc>
          <w:tcPr>
            <w:tcW w:w="604" w:type="pct"/>
            <w:tcBorders>
              <w:top w:val="single" w:sz="4" w:space="0" w:color="auto"/>
              <w:left w:val="single" w:sz="4" w:space="0" w:color="auto"/>
              <w:bottom w:val="single" w:sz="4" w:space="0" w:color="auto"/>
              <w:right w:val="single" w:sz="4" w:space="0" w:color="auto"/>
            </w:tcBorders>
            <w:vAlign w:val="center"/>
            <w:hideMark/>
          </w:tcPr>
          <w:p w14:paraId="18871519"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629,57</w:t>
            </w:r>
          </w:p>
        </w:tc>
      </w:tr>
      <w:tr w:rsidR="00905E1F" w:rsidRPr="00AC3806" w14:paraId="4BD1306E" w14:textId="77777777" w:rsidTr="00C749ED">
        <w:tc>
          <w:tcPr>
            <w:tcW w:w="276" w:type="pct"/>
            <w:vMerge w:val="restart"/>
            <w:tcBorders>
              <w:top w:val="single" w:sz="4" w:space="0" w:color="auto"/>
              <w:left w:val="single" w:sz="4" w:space="0" w:color="auto"/>
              <w:bottom w:val="single" w:sz="4" w:space="0" w:color="auto"/>
              <w:right w:val="single" w:sz="4" w:space="0" w:color="auto"/>
            </w:tcBorders>
            <w:vAlign w:val="center"/>
            <w:hideMark/>
          </w:tcPr>
          <w:p w14:paraId="0A7B10E6"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6</w:t>
            </w:r>
          </w:p>
        </w:tc>
        <w:tc>
          <w:tcPr>
            <w:tcW w:w="1087" w:type="pct"/>
            <w:vMerge w:val="restart"/>
            <w:tcBorders>
              <w:top w:val="single" w:sz="4" w:space="0" w:color="auto"/>
              <w:left w:val="single" w:sz="4" w:space="0" w:color="auto"/>
              <w:bottom w:val="single" w:sz="4" w:space="0" w:color="auto"/>
              <w:right w:val="single" w:sz="4" w:space="0" w:color="auto"/>
            </w:tcBorders>
            <w:vAlign w:val="center"/>
            <w:hideMark/>
          </w:tcPr>
          <w:p w14:paraId="2E43F8C9"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Аннинский муниципальный район</w:t>
            </w:r>
          </w:p>
        </w:tc>
        <w:tc>
          <w:tcPr>
            <w:tcW w:w="735" w:type="pct"/>
            <w:tcBorders>
              <w:top w:val="single" w:sz="4" w:space="0" w:color="auto"/>
              <w:left w:val="single" w:sz="4" w:space="0" w:color="auto"/>
              <w:bottom w:val="single" w:sz="4" w:space="0" w:color="auto"/>
              <w:right w:val="single" w:sz="4" w:space="0" w:color="auto"/>
            </w:tcBorders>
            <w:vAlign w:val="center"/>
            <w:hideMark/>
          </w:tcPr>
          <w:p w14:paraId="00ABF776"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Минимальное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6041256F"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632,56</w:t>
            </w:r>
          </w:p>
        </w:tc>
        <w:tc>
          <w:tcPr>
            <w:tcW w:w="1050" w:type="pct"/>
            <w:tcBorders>
              <w:top w:val="single" w:sz="4" w:space="0" w:color="auto"/>
              <w:left w:val="single" w:sz="4" w:space="0" w:color="auto"/>
              <w:bottom w:val="single" w:sz="4" w:space="0" w:color="auto"/>
              <w:right w:val="single" w:sz="4" w:space="0" w:color="auto"/>
            </w:tcBorders>
            <w:vAlign w:val="center"/>
            <w:hideMark/>
          </w:tcPr>
          <w:p w14:paraId="3E45FCAD"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25,8</w:t>
            </w:r>
          </w:p>
        </w:tc>
        <w:tc>
          <w:tcPr>
            <w:tcW w:w="604" w:type="pct"/>
            <w:tcBorders>
              <w:top w:val="single" w:sz="4" w:space="0" w:color="auto"/>
              <w:left w:val="single" w:sz="4" w:space="0" w:color="auto"/>
              <w:bottom w:val="single" w:sz="4" w:space="0" w:color="auto"/>
              <w:right w:val="single" w:sz="4" w:space="0" w:color="auto"/>
            </w:tcBorders>
            <w:vAlign w:val="center"/>
            <w:hideMark/>
          </w:tcPr>
          <w:p w14:paraId="1DFB46A0"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26,51</w:t>
            </w:r>
          </w:p>
        </w:tc>
      </w:tr>
      <w:tr w:rsidR="00905E1F" w:rsidRPr="00AC3806" w14:paraId="13A1BFAA" w14:textId="77777777" w:rsidTr="00C749ED">
        <w:tc>
          <w:tcPr>
            <w:tcW w:w="0" w:type="auto"/>
            <w:vMerge/>
            <w:tcBorders>
              <w:top w:val="single" w:sz="4" w:space="0" w:color="auto"/>
              <w:left w:val="single" w:sz="4" w:space="0" w:color="auto"/>
              <w:bottom w:val="single" w:sz="4" w:space="0" w:color="auto"/>
              <w:right w:val="single" w:sz="4" w:space="0" w:color="auto"/>
            </w:tcBorders>
            <w:vAlign w:val="center"/>
            <w:hideMark/>
          </w:tcPr>
          <w:p w14:paraId="333BD0AA" w14:textId="77777777" w:rsidR="00905E1F" w:rsidRPr="00AC3806" w:rsidRDefault="00905E1F" w:rsidP="00C749ED">
            <w:pPr>
              <w:jc w:val="center"/>
              <w:rPr>
                <w:rFonts w:ascii="Times New Roman" w:hAnsi="Times New Roman" w:cs="Times New Roman"/>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C0E865" w14:textId="77777777" w:rsidR="00905E1F" w:rsidRPr="00AC3806" w:rsidRDefault="00905E1F" w:rsidP="00C749ED">
            <w:pPr>
              <w:jc w:val="center"/>
              <w:rPr>
                <w:rFonts w:ascii="Times New Roman" w:hAnsi="Times New Roman" w:cs="Times New Roman"/>
                <w:szCs w:val="22"/>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3BA02DFA"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Среднее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0B10AE02"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2875,36</w:t>
            </w:r>
          </w:p>
        </w:tc>
        <w:tc>
          <w:tcPr>
            <w:tcW w:w="1050" w:type="pct"/>
            <w:tcBorders>
              <w:top w:val="single" w:sz="4" w:space="0" w:color="auto"/>
              <w:left w:val="single" w:sz="4" w:space="0" w:color="auto"/>
              <w:bottom w:val="single" w:sz="4" w:space="0" w:color="auto"/>
              <w:right w:val="single" w:sz="4" w:space="0" w:color="auto"/>
            </w:tcBorders>
            <w:vAlign w:val="center"/>
            <w:hideMark/>
          </w:tcPr>
          <w:p w14:paraId="19F04291"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336,47</w:t>
            </w:r>
          </w:p>
        </w:tc>
        <w:tc>
          <w:tcPr>
            <w:tcW w:w="604" w:type="pct"/>
            <w:tcBorders>
              <w:top w:val="single" w:sz="4" w:space="0" w:color="auto"/>
              <w:left w:val="single" w:sz="4" w:space="0" w:color="auto"/>
              <w:bottom w:val="single" w:sz="4" w:space="0" w:color="auto"/>
              <w:right w:val="single" w:sz="4" w:space="0" w:color="auto"/>
            </w:tcBorders>
            <w:vAlign w:val="center"/>
            <w:hideMark/>
          </w:tcPr>
          <w:p w14:paraId="3136853A"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161,52</w:t>
            </w:r>
          </w:p>
        </w:tc>
      </w:tr>
      <w:tr w:rsidR="00905E1F" w:rsidRPr="00AC3806" w14:paraId="1611309B" w14:textId="77777777" w:rsidTr="00C749ED">
        <w:tc>
          <w:tcPr>
            <w:tcW w:w="0" w:type="auto"/>
            <w:vMerge/>
            <w:tcBorders>
              <w:top w:val="single" w:sz="4" w:space="0" w:color="auto"/>
              <w:left w:val="single" w:sz="4" w:space="0" w:color="auto"/>
              <w:bottom w:val="single" w:sz="4" w:space="0" w:color="auto"/>
              <w:right w:val="single" w:sz="4" w:space="0" w:color="auto"/>
            </w:tcBorders>
            <w:vAlign w:val="center"/>
            <w:hideMark/>
          </w:tcPr>
          <w:p w14:paraId="3F429C13" w14:textId="77777777" w:rsidR="00905E1F" w:rsidRPr="00AC3806" w:rsidRDefault="00905E1F" w:rsidP="00C749ED">
            <w:pPr>
              <w:jc w:val="center"/>
              <w:rPr>
                <w:rFonts w:ascii="Times New Roman" w:hAnsi="Times New Roman" w:cs="Times New Roman"/>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6A4B08" w14:textId="77777777" w:rsidR="00905E1F" w:rsidRPr="00AC3806" w:rsidRDefault="00905E1F" w:rsidP="00C749ED">
            <w:pPr>
              <w:jc w:val="center"/>
              <w:rPr>
                <w:rFonts w:ascii="Times New Roman" w:hAnsi="Times New Roman" w:cs="Times New Roman"/>
                <w:szCs w:val="22"/>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7DCD72B4"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Максимальное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4DB66CE2"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6338,65</w:t>
            </w:r>
          </w:p>
        </w:tc>
        <w:tc>
          <w:tcPr>
            <w:tcW w:w="1050" w:type="pct"/>
            <w:tcBorders>
              <w:top w:val="single" w:sz="4" w:space="0" w:color="auto"/>
              <w:left w:val="single" w:sz="4" w:space="0" w:color="auto"/>
              <w:bottom w:val="single" w:sz="4" w:space="0" w:color="auto"/>
              <w:right w:val="single" w:sz="4" w:space="0" w:color="auto"/>
            </w:tcBorders>
            <w:vAlign w:val="center"/>
            <w:hideMark/>
          </w:tcPr>
          <w:p w14:paraId="6A7BFFED"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4236,69</w:t>
            </w:r>
          </w:p>
        </w:tc>
        <w:tc>
          <w:tcPr>
            <w:tcW w:w="604" w:type="pct"/>
            <w:tcBorders>
              <w:top w:val="single" w:sz="4" w:space="0" w:color="auto"/>
              <w:left w:val="single" w:sz="4" w:space="0" w:color="auto"/>
              <w:bottom w:val="single" w:sz="4" w:space="0" w:color="auto"/>
              <w:right w:val="single" w:sz="4" w:space="0" w:color="auto"/>
            </w:tcBorders>
            <w:vAlign w:val="center"/>
            <w:hideMark/>
          </w:tcPr>
          <w:p w14:paraId="32162188"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649,99</w:t>
            </w:r>
          </w:p>
        </w:tc>
      </w:tr>
      <w:tr w:rsidR="00905E1F" w:rsidRPr="00AC3806" w14:paraId="47F6556B" w14:textId="77777777" w:rsidTr="00C749ED">
        <w:tc>
          <w:tcPr>
            <w:tcW w:w="276" w:type="pct"/>
            <w:vMerge w:val="restart"/>
            <w:tcBorders>
              <w:top w:val="single" w:sz="4" w:space="0" w:color="auto"/>
              <w:left w:val="single" w:sz="4" w:space="0" w:color="auto"/>
              <w:bottom w:val="single" w:sz="4" w:space="0" w:color="auto"/>
              <w:right w:val="single" w:sz="4" w:space="0" w:color="auto"/>
            </w:tcBorders>
            <w:vAlign w:val="center"/>
            <w:hideMark/>
          </w:tcPr>
          <w:p w14:paraId="2C8267C0"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7</w:t>
            </w:r>
          </w:p>
        </w:tc>
        <w:tc>
          <w:tcPr>
            <w:tcW w:w="1087" w:type="pct"/>
            <w:vMerge w:val="restart"/>
            <w:tcBorders>
              <w:top w:val="single" w:sz="4" w:space="0" w:color="auto"/>
              <w:left w:val="single" w:sz="4" w:space="0" w:color="auto"/>
              <w:bottom w:val="single" w:sz="4" w:space="0" w:color="auto"/>
              <w:right w:val="single" w:sz="4" w:space="0" w:color="auto"/>
            </w:tcBorders>
            <w:vAlign w:val="center"/>
            <w:hideMark/>
          </w:tcPr>
          <w:p w14:paraId="21D3087E"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Острогожский муниципальный район</w:t>
            </w:r>
          </w:p>
        </w:tc>
        <w:tc>
          <w:tcPr>
            <w:tcW w:w="735" w:type="pct"/>
            <w:tcBorders>
              <w:top w:val="single" w:sz="4" w:space="0" w:color="auto"/>
              <w:left w:val="single" w:sz="4" w:space="0" w:color="auto"/>
              <w:bottom w:val="single" w:sz="4" w:space="0" w:color="auto"/>
              <w:right w:val="single" w:sz="4" w:space="0" w:color="auto"/>
            </w:tcBorders>
            <w:vAlign w:val="center"/>
            <w:hideMark/>
          </w:tcPr>
          <w:p w14:paraId="37F99826"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Минимальное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7D4EC37E"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726,05</w:t>
            </w:r>
          </w:p>
        </w:tc>
        <w:tc>
          <w:tcPr>
            <w:tcW w:w="1050" w:type="pct"/>
            <w:tcBorders>
              <w:top w:val="single" w:sz="4" w:space="0" w:color="auto"/>
              <w:left w:val="single" w:sz="4" w:space="0" w:color="auto"/>
              <w:bottom w:val="single" w:sz="4" w:space="0" w:color="auto"/>
              <w:right w:val="single" w:sz="4" w:space="0" w:color="auto"/>
            </w:tcBorders>
            <w:vAlign w:val="center"/>
            <w:hideMark/>
          </w:tcPr>
          <w:p w14:paraId="51AEA2DF"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29,06</w:t>
            </w:r>
          </w:p>
        </w:tc>
        <w:tc>
          <w:tcPr>
            <w:tcW w:w="604" w:type="pct"/>
            <w:tcBorders>
              <w:top w:val="single" w:sz="4" w:space="0" w:color="auto"/>
              <w:left w:val="single" w:sz="4" w:space="0" w:color="auto"/>
              <w:bottom w:val="single" w:sz="4" w:space="0" w:color="auto"/>
              <w:right w:val="single" w:sz="4" w:space="0" w:color="auto"/>
            </w:tcBorders>
            <w:vAlign w:val="center"/>
            <w:hideMark/>
          </w:tcPr>
          <w:p w14:paraId="33AB26A5"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28,81</w:t>
            </w:r>
          </w:p>
        </w:tc>
      </w:tr>
      <w:tr w:rsidR="00905E1F" w:rsidRPr="00AC3806" w14:paraId="54387680" w14:textId="77777777" w:rsidTr="00C749ED">
        <w:tc>
          <w:tcPr>
            <w:tcW w:w="0" w:type="auto"/>
            <w:vMerge/>
            <w:tcBorders>
              <w:top w:val="single" w:sz="4" w:space="0" w:color="auto"/>
              <w:left w:val="single" w:sz="4" w:space="0" w:color="auto"/>
              <w:bottom w:val="single" w:sz="4" w:space="0" w:color="auto"/>
              <w:right w:val="single" w:sz="4" w:space="0" w:color="auto"/>
            </w:tcBorders>
            <w:vAlign w:val="center"/>
            <w:hideMark/>
          </w:tcPr>
          <w:p w14:paraId="5037BCAB" w14:textId="77777777" w:rsidR="00905E1F" w:rsidRPr="00AC3806" w:rsidRDefault="00905E1F" w:rsidP="00C749ED">
            <w:pPr>
              <w:jc w:val="center"/>
              <w:rPr>
                <w:rFonts w:ascii="Times New Roman" w:hAnsi="Times New Roman" w:cs="Times New Roman"/>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4DBAF3" w14:textId="77777777" w:rsidR="00905E1F" w:rsidRPr="00AC3806" w:rsidRDefault="00905E1F" w:rsidP="00C749ED">
            <w:pPr>
              <w:jc w:val="center"/>
              <w:rPr>
                <w:rFonts w:ascii="Times New Roman" w:hAnsi="Times New Roman" w:cs="Times New Roman"/>
                <w:szCs w:val="22"/>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1209B30E"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Среднее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1926CB19"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4414,03</w:t>
            </w:r>
          </w:p>
        </w:tc>
        <w:tc>
          <w:tcPr>
            <w:tcW w:w="1050" w:type="pct"/>
            <w:tcBorders>
              <w:top w:val="single" w:sz="4" w:space="0" w:color="auto"/>
              <w:left w:val="single" w:sz="4" w:space="0" w:color="auto"/>
              <w:bottom w:val="single" w:sz="4" w:space="0" w:color="auto"/>
              <w:right w:val="single" w:sz="4" w:space="0" w:color="auto"/>
            </w:tcBorders>
            <w:vAlign w:val="center"/>
            <w:hideMark/>
          </w:tcPr>
          <w:p w14:paraId="004A3B9A"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379,2</w:t>
            </w:r>
          </w:p>
        </w:tc>
        <w:tc>
          <w:tcPr>
            <w:tcW w:w="604" w:type="pct"/>
            <w:tcBorders>
              <w:top w:val="single" w:sz="4" w:space="0" w:color="auto"/>
              <w:left w:val="single" w:sz="4" w:space="0" w:color="auto"/>
              <w:bottom w:val="single" w:sz="4" w:space="0" w:color="auto"/>
              <w:right w:val="single" w:sz="4" w:space="0" w:color="auto"/>
            </w:tcBorders>
            <w:vAlign w:val="center"/>
            <w:hideMark/>
          </w:tcPr>
          <w:p w14:paraId="3ADD3B4B"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180,55</w:t>
            </w:r>
          </w:p>
        </w:tc>
      </w:tr>
      <w:tr w:rsidR="00905E1F" w:rsidRPr="00AC3806" w14:paraId="17C794DD" w14:textId="77777777" w:rsidTr="00C749ED">
        <w:tc>
          <w:tcPr>
            <w:tcW w:w="0" w:type="auto"/>
            <w:vMerge/>
            <w:tcBorders>
              <w:top w:val="single" w:sz="4" w:space="0" w:color="auto"/>
              <w:left w:val="single" w:sz="4" w:space="0" w:color="auto"/>
              <w:bottom w:val="single" w:sz="4" w:space="0" w:color="auto"/>
              <w:right w:val="single" w:sz="4" w:space="0" w:color="auto"/>
            </w:tcBorders>
            <w:vAlign w:val="center"/>
            <w:hideMark/>
          </w:tcPr>
          <w:p w14:paraId="1526F4F4" w14:textId="77777777" w:rsidR="00905E1F" w:rsidRPr="00AC3806" w:rsidRDefault="00905E1F" w:rsidP="00C749ED">
            <w:pPr>
              <w:jc w:val="center"/>
              <w:rPr>
                <w:rFonts w:ascii="Times New Roman" w:hAnsi="Times New Roman" w:cs="Times New Roman"/>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FF010" w14:textId="77777777" w:rsidR="00905E1F" w:rsidRPr="00AC3806" w:rsidRDefault="00905E1F" w:rsidP="00C749ED">
            <w:pPr>
              <w:jc w:val="center"/>
              <w:rPr>
                <w:rFonts w:ascii="Times New Roman" w:hAnsi="Times New Roman" w:cs="Times New Roman"/>
                <w:szCs w:val="22"/>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36F94ADD"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Максимальное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14B9CAD7"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7919,41</w:t>
            </w:r>
          </w:p>
        </w:tc>
        <w:tc>
          <w:tcPr>
            <w:tcW w:w="1050" w:type="pct"/>
            <w:tcBorders>
              <w:top w:val="single" w:sz="4" w:space="0" w:color="auto"/>
              <w:left w:val="single" w:sz="4" w:space="0" w:color="auto"/>
              <w:bottom w:val="single" w:sz="4" w:space="0" w:color="auto"/>
              <w:right w:val="single" w:sz="4" w:space="0" w:color="auto"/>
            </w:tcBorders>
            <w:vAlign w:val="center"/>
            <w:hideMark/>
          </w:tcPr>
          <w:p w14:paraId="36A769AE"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5050,85</w:t>
            </w:r>
          </w:p>
        </w:tc>
        <w:tc>
          <w:tcPr>
            <w:tcW w:w="604" w:type="pct"/>
            <w:tcBorders>
              <w:top w:val="single" w:sz="4" w:space="0" w:color="auto"/>
              <w:left w:val="single" w:sz="4" w:space="0" w:color="auto"/>
              <w:bottom w:val="single" w:sz="4" w:space="0" w:color="auto"/>
              <w:right w:val="single" w:sz="4" w:space="0" w:color="auto"/>
            </w:tcBorders>
            <w:vAlign w:val="center"/>
            <w:hideMark/>
          </w:tcPr>
          <w:p w14:paraId="4F8E0E4E"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827,84</w:t>
            </w:r>
          </w:p>
        </w:tc>
      </w:tr>
      <w:tr w:rsidR="00905E1F" w:rsidRPr="00AC3806" w14:paraId="6CFF34B5" w14:textId="77777777" w:rsidTr="00C749ED">
        <w:tc>
          <w:tcPr>
            <w:tcW w:w="276" w:type="pct"/>
            <w:vMerge w:val="restart"/>
            <w:tcBorders>
              <w:top w:val="single" w:sz="4" w:space="0" w:color="auto"/>
              <w:left w:val="single" w:sz="4" w:space="0" w:color="auto"/>
              <w:bottom w:val="single" w:sz="4" w:space="0" w:color="auto"/>
              <w:right w:val="single" w:sz="4" w:space="0" w:color="auto"/>
            </w:tcBorders>
            <w:vAlign w:val="center"/>
            <w:hideMark/>
          </w:tcPr>
          <w:p w14:paraId="5EA6A38C"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8</w:t>
            </w:r>
          </w:p>
        </w:tc>
        <w:tc>
          <w:tcPr>
            <w:tcW w:w="1087" w:type="pct"/>
            <w:vMerge w:val="restart"/>
            <w:tcBorders>
              <w:top w:val="single" w:sz="4" w:space="0" w:color="auto"/>
              <w:left w:val="single" w:sz="4" w:space="0" w:color="auto"/>
              <w:bottom w:val="single" w:sz="4" w:space="0" w:color="auto"/>
              <w:right w:val="single" w:sz="4" w:space="0" w:color="auto"/>
            </w:tcBorders>
            <w:vAlign w:val="center"/>
            <w:hideMark/>
          </w:tcPr>
          <w:p w14:paraId="39DD13B7"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Ольховатский муниципальный район</w:t>
            </w:r>
          </w:p>
        </w:tc>
        <w:tc>
          <w:tcPr>
            <w:tcW w:w="735" w:type="pct"/>
            <w:tcBorders>
              <w:top w:val="single" w:sz="4" w:space="0" w:color="auto"/>
              <w:left w:val="single" w:sz="4" w:space="0" w:color="auto"/>
              <w:bottom w:val="single" w:sz="4" w:space="0" w:color="auto"/>
              <w:right w:val="single" w:sz="4" w:space="0" w:color="auto"/>
            </w:tcBorders>
            <w:vAlign w:val="center"/>
            <w:hideMark/>
          </w:tcPr>
          <w:p w14:paraId="714A35DC"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Минимальное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470125B8"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669,28</w:t>
            </w:r>
          </w:p>
        </w:tc>
        <w:tc>
          <w:tcPr>
            <w:tcW w:w="1050" w:type="pct"/>
            <w:tcBorders>
              <w:top w:val="single" w:sz="4" w:space="0" w:color="auto"/>
              <w:left w:val="single" w:sz="4" w:space="0" w:color="auto"/>
              <w:bottom w:val="single" w:sz="4" w:space="0" w:color="auto"/>
              <w:right w:val="single" w:sz="4" w:space="0" w:color="auto"/>
            </w:tcBorders>
            <w:vAlign w:val="center"/>
            <w:hideMark/>
          </w:tcPr>
          <w:p w14:paraId="1210D3CC"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15,93</w:t>
            </w:r>
          </w:p>
        </w:tc>
        <w:tc>
          <w:tcPr>
            <w:tcW w:w="604" w:type="pct"/>
            <w:tcBorders>
              <w:top w:val="single" w:sz="4" w:space="0" w:color="auto"/>
              <w:left w:val="single" w:sz="4" w:space="0" w:color="auto"/>
              <w:bottom w:val="single" w:sz="4" w:space="0" w:color="auto"/>
              <w:right w:val="single" w:sz="4" w:space="0" w:color="auto"/>
            </w:tcBorders>
            <w:vAlign w:val="center"/>
            <w:hideMark/>
          </w:tcPr>
          <w:p w14:paraId="2A99E552"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19,06</w:t>
            </w:r>
          </w:p>
        </w:tc>
      </w:tr>
      <w:tr w:rsidR="00905E1F" w:rsidRPr="00AC3806" w14:paraId="476A0C5F" w14:textId="77777777" w:rsidTr="00C749ED">
        <w:tc>
          <w:tcPr>
            <w:tcW w:w="0" w:type="auto"/>
            <w:vMerge/>
            <w:tcBorders>
              <w:top w:val="single" w:sz="4" w:space="0" w:color="auto"/>
              <w:left w:val="single" w:sz="4" w:space="0" w:color="auto"/>
              <w:bottom w:val="single" w:sz="4" w:space="0" w:color="auto"/>
              <w:right w:val="single" w:sz="4" w:space="0" w:color="auto"/>
            </w:tcBorders>
            <w:vAlign w:val="center"/>
            <w:hideMark/>
          </w:tcPr>
          <w:p w14:paraId="1595ED41" w14:textId="77777777" w:rsidR="00905E1F" w:rsidRPr="00AC3806" w:rsidRDefault="00905E1F" w:rsidP="00C749ED">
            <w:pPr>
              <w:jc w:val="center"/>
              <w:rPr>
                <w:rFonts w:ascii="Times New Roman" w:hAnsi="Times New Roman" w:cs="Times New Roman"/>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BBA6DD" w14:textId="77777777" w:rsidR="00905E1F" w:rsidRPr="00AC3806" w:rsidRDefault="00905E1F" w:rsidP="00C749ED">
            <w:pPr>
              <w:jc w:val="center"/>
              <w:rPr>
                <w:rFonts w:ascii="Times New Roman" w:hAnsi="Times New Roman" w:cs="Times New Roman"/>
                <w:szCs w:val="22"/>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40FD345E"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Среднее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4CCEC9F2"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2340,67</w:t>
            </w:r>
          </w:p>
        </w:tc>
        <w:tc>
          <w:tcPr>
            <w:tcW w:w="1050" w:type="pct"/>
            <w:tcBorders>
              <w:top w:val="single" w:sz="4" w:space="0" w:color="auto"/>
              <w:left w:val="single" w:sz="4" w:space="0" w:color="auto"/>
              <w:bottom w:val="single" w:sz="4" w:space="0" w:color="auto"/>
              <w:right w:val="single" w:sz="4" w:space="0" w:color="auto"/>
            </w:tcBorders>
            <w:vAlign w:val="center"/>
            <w:hideMark/>
          </w:tcPr>
          <w:p w14:paraId="342633EA"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309,06</w:t>
            </w:r>
          </w:p>
        </w:tc>
        <w:tc>
          <w:tcPr>
            <w:tcW w:w="604" w:type="pct"/>
            <w:tcBorders>
              <w:top w:val="single" w:sz="4" w:space="0" w:color="auto"/>
              <w:left w:val="single" w:sz="4" w:space="0" w:color="auto"/>
              <w:bottom w:val="single" w:sz="4" w:space="0" w:color="auto"/>
              <w:right w:val="single" w:sz="4" w:space="0" w:color="auto"/>
            </w:tcBorders>
            <w:vAlign w:val="center"/>
            <w:hideMark/>
          </w:tcPr>
          <w:p w14:paraId="38A25A2C"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145,65</w:t>
            </w:r>
          </w:p>
        </w:tc>
      </w:tr>
      <w:tr w:rsidR="00905E1F" w:rsidRPr="00AC3806" w14:paraId="6508CDC8" w14:textId="77777777" w:rsidTr="00C749ED">
        <w:tc>
          <w:tcPr>
            <w:tcW w:w="0" w:type="auto"/>
            <w:vMerge/>
            <w:tcBorders>
              <w:top w:val="single" w:sz="4" w:space="0" w:color="auto"/>
              <w:left w:val="single" w:sz="4" w:space="0" w:color="auto"/>
              <w:bottom w:val="single" w:sz="4" w:space="0" w:color="auto"/>
              <w:right w:val="single" w:sz="4" w:space="0" w:color="auto"/>
            </w:tcBorders>
            <w:vAlign w:val="center"/>
            <w:hideMark/>
          </w:tcPr>
          <w:p w14:paraId="4A696FCE" w14:textId="77777777" w:rsidR="00905E1F" w:rsidRPr="00AC3806" w:rsidRDefault="00905E1F" w:rsidP="00C749ED">
            <w:pPr>
              <w:jc w:val="center"/>
              <w:rPr>
                <w:rFonts w:ascii="Times New Roman" w:hAnsi="Times New Roman" w:cs="Times New Roman"/>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F2FCC4" w14:textId="77777777" w:rsidR="00905E1F" w:rsidRPr="00AC3806" w:rsidRDefault="00905E1F" w:rsidP="00C749ED">
            <w:pPr>
              <w:jc w:val="center"/>
              <w:rPr>
                <w:rFonts w:ascii="Times New Roman" w:hAnsi="Times New Roman" w:cs="Times New Roman"/>
                <w:szCs w:val="22"/>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09D7B742"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Максимальное</w:t>
            </w:r>
          </w:p>
        </w:tc>
        <w:tc>
          <w:tcPr>
            <w:tcW w:w="1248" w:type="pct"/>
            <w:tcBorders>
              <w:top w:val="single" w:sz="4" w:space="0" w:color="auto"/>
              <w:left w:val="single" w:sz="4" w:space="0" w:color="auto"/>
              <w:bottom w:val="single" w:sz="4" w:space="0" w:color="auto"/>
              <w:right w:val="single" w:sz="4" w:space="0" w:color="auto"/>
            </w:tcBorders>
            <w:vAlign w:val="center"/>
            <w:hideMark/>
          </w:tcPr>
          <w:p w14:paraId="339E2077"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4813,47</w:t>
            </w:r>
          </w:p>
        </w:tc>
        <w:tc>
          <w:tcPr>
            <w:tcW w:w="1050" w:type="pct"/>
            <w:tcBorders>
              <w:top w:val="single" w:sz="4" w:space="0" w:color="auto"/>
              <w:left w:val="single" w:sz="4" w:space="0" w:color="auto"/>
              <w:bottom w:val="single" w:sz="4" w:space="0" w:color="auto"/>
              <w:right w:val="single" w:sz="4" w:space="0" w:color="auto"/>
            </w:tcBorders>
            <w:vAlign w:val="center"/>
            <w:hideMark/>
          </w:tcPr>
          <w:p w14:paraId="545045A1"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2972,17</w:t>
            </w:r>
          </w:p>
        </w:tc>
        <w:tc>
          <w:tcPr>
            <w:tcW w:w="604" w:type="pct"/>
            <w:tcBorders>
              <w:top w:val="single" w:sz="4" w:space="0" w:color="auto"/>
              <w:left w:val="single" w:sz="4" w:space="0" w:color="auto"/>
              <w:bottom w:val="single" w:sz="4" w:space="0" w:color="auto"/>
              <w:right w:val="single" w:sz="4" w:space="0" w:color="auto"/>
            </w:tcBorders>
            <w:vAlign w:val="center"/>
            <w:hideMark/>
          </w:tcPr>
          <w:p w14:paraId="268C0782" w14:textId="77777777" w:rsidR="00905E1F" w:rsidRPr="00AC3806" w:rsidRDefault="00905E1F" w:rsidP="00C749ED">
            <w:pPr>
              <w:contextualSpacing/>
              <w:jc w:val="center"/>
              <w:rPr>
                <w:rFonts w:ascii="Times New Roman" w:hAnsi="Times New Roman" w:cs="Times New Roman"/>
                <w:szCs w:val="22"/>
              </w:rPr>
            </w:pPr>
            <w:r w:rsidRPr="00AC3806">
              <w:rPr>
                <w:rFonts w:ascii="Times New Roman" w:hAnsi="Times New Roman" w:cs="Times New Roman"/>
                <w:szCs w:val="22"/>
              </w:rPr>
              <w:t>584,76</w:t>
            </w:r>
          </w:p>
        </w:tc>
      </w:tr>
    </w:tbl>
    <w:p w14:paraId="1DCB5D68" w14:textId="77777777" w:rsidR="00905E1F" w:rsidRPr="00AC3806" w:rsidRDefault="00905E1F" w:rsidP="00905E1F">
      <w:pPr>
        <w:spacing w:after="0" w:line="240" w:lineRule="auto"/>
        <w:ind w:firstLine="709"/>
        <w:contextualSpacing/>
        <w:jc w:val="both"/>
        <w:rPr>
          <w:rFonts w:ascii="Times New Roman" w:hAnsi="Times New Roman" w:cs="Times New Roman"/>
          <w:sz w:val="18"/>
          <w:szCs w:val="18"/>
        </w:rPr>
      </w:pPr>
    </w:p>
    <w:p w14:paraId="1DCB19E7" w14:textId="77777777" w:rsidR="00905E1F" w:rsidRPr="00AC3806" w:rsidRDefault="00905E1F" w:rsidP="00905E1F">
      <w:pPr>
        <w:spacing w:after="0" w:line="240" w:lineRule="auto"/>
        <w:ind w:firstLine="709"/>
        <w:contextualSpacing/>
        <w:jc w:val="both"/>
        <w:rPr>
          <w:rFonts w:ascii="Times New Roman" w:hAnsi="Times New Roman" w:cs="Times New Roman"/>
          <w:sz w:val="26"/>
          <w:szCs w:val="26"/>
        </w:rPr>
      </w:pPr>
      <w:r w:rsidRPr="00AC3806">
        <w:rPr>
          <w:rFonts w:ascii="Times New Roman" w:hAnsi="Times New Roman" w:cs="Times New Roman"/>
          <w:sz w:val="26"/>
          <w:szCs w:val="26"/>
        </w:rPr>
        <w:t>Проведена работа по верификации данных с использованием результатов оценочного зонирования территории. В рамках проверки результатов оценки не выявлено объектов, существенно отличающихся от уровня цен для каждого вида использования объектов.</w:t>
      </w:r>
    </w:p>
    <w:p w14:paraId="13AD7276" w14:textId="77777777" w:rsidR="00905E1F" w:rsidRPr="00AC3806" w:rsidRDefault="00905E1F" w:rsidP="00905E1F">
      <w:pPr>
        <w:spacing w:after="0" w:line="240" w:lineRule="auto"/>
        <w:ind w:firstLine="709"/>
        <w:contextualSpacing/>
        <w:jc w:val="right"/>
        <w:rPr>
          <w:rFonts w:ascii="Times New Roman" w:hAnsi="Times New Roman" w:cs="Times New Roman"/>
          <w:sz w:val="26"/>
          <w:szCs w:val="26"/>
        </w:rPr>
      </w:pPr>
      <w:r w:rsidRPr="00AC3806">
        <w:rPr>
          <w:rFonts w:ascii="Times New Roman" w:hAnsi="Times New Roman" w:cs="Times New Roman"/>
          <w:sz w:val="26"/>
          <w:szCs w:val="26"/>
        </w:rPr>
        <w:t>Таблица 4.1.4.2</w:t>
      </w:r>
    </w:p>
    <w:p w14:paraId="000CCD8C" w14:textId="77777777" w:rsidR="00905E1F" w:rsidRPr="00AC3806" w:rsidRDefault="00905E1F" w:rsidP="00905E1F">
      <w:pPr>
        <w:spacing w:after="0" w:line="240" w:lineRule="auto"/>
        <w:contextualSpacing/>
        <w:jc w:val="center"/>
        <w:rPr>
          <w:rFonts w:ascii="Times New Roman" w:hAnsi="Times New Roman" w:cs="Times New Roman"/>
          <w:sz w:val="26"/>
          <w:szCs w:val="26"/>
        </w:rPr>
      </w:pPr>
      <w:r w:rsidRPr="00AC3806">
        <w:rPr>
          <w:rFonts w:ascii="Times New Roman" w:hAnsi="Times New Roman" w:cs="Times New Roman"/>
          <w:sz w:val="26"/>
          <w:szCs w:val="26"/>
        </w:rPr>
        <w:t>Выборочная проверка корректности результатов определения</w:t>
      </w:r>
    </w:p>
    <w:p w14:paraId="06361B93" w14:textId="77777777" w:rsidR="00905E1F" w:rsidRPr="00AC3806" w:rsidRDefault="00905E1F" w:rsidP="00905E1F">
      <w:pPr>
        <w:spacing w:after="0" w:line="240" w:lineRule="auto"/>
        <w:contextualSpacing/>
        <w:jc w:val="center"/>
        <w:rPr>
          <w:rFonts w:ascii="Times New Roman" w:hAnsi="Times New Roman" w:cs="Times New Roman"/>
          <w:i/>
          <w:iCs/>
          <w:sz w:val="18"/>
          <w:szCs w:val="18"/>
        </w:rPr>
      </w:pPr>
      <w:r w:rsidRPr="00AC3806">
        <w:rPr>
          <w:rFonts w:ascii="Times New Roman" w:hAnsi="Times New Roman" w:cs="Times New Roman"/>
          <w:sz w:val="26"/>
          <w:szCs w:val="26"/>
        </w:rPr>
        <w:t xml:space="preserve"> кадастровой стоимости</w:t>
      </w:r>
    </w:p>
    <w:tbl>
      <w:tblPr>
        <w:tblW w:w="9345" w:type="dxa"/>
        <w:jc w:val="center"/>
        <w:tblLayout w:type="fixed"/>
        <w:tblCellMar>
          <w:left w:w="10" w:type="dxa"/>
          <w:right w:w="10" w:type="dxa"/>
        </w:tblCellMar>
        <w:tblLook w:val="04A0" w:firstRow="1" w:lastRow="0" w:firstColumn="1" w:lastColumn="0" w:noHBand="0" w:noVBand="1"/>
      </w:tblPr>
      <w:tblGrid>
        <w:gridCol w:w="1978"/>
        <w:gridCol w:w="1752"/>
        <w:gridCol w:w="2190"/>
        <w:gridCol w:w="1241"/>
        <w:gridCol w:w="2184"/>
      </w:tblGrid>
      <w:tr w:rsidR="00905E1F" w:rsidRPr="00AC3806" w14:paraId="1A352658" w14:textId="77777777" w:rsidTr="00C749ED">
        <w:trPr>
          <w:trHeight w:val="20"/>
          <w:tblHeade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64CC9438" w14:textId="77777777" w:rsidR="00905E1F" w:rsidRPr="00AC3806" w:rsidRDefault="00905E1F" w:rsidP="00C749ED">
            <w:pPr>
              <w:autoSpaceDE w:val="0"/>
              <w:autoSpaceDN w:val="0"/>
              <w:adjustRightInd w:val="0"/>
              <w:spacing w:line="240" w:lineRule="auto"/>
              <w:jc w:val="center"/>
              <w:rPr>
                <w:rFonts w:ascii="Times New Roman" w:hAnsi="Times New Roman" w:cs="Times New Roman"/>
                <w:b/>
              </w:rPr>
            </w:pPr>
            <w:r w:rsidRPr="00AC3806">
              <w:rPr>
                <w:rFonts w:ascii="Times New Roman" w:hAnsi="Times New Roman" w:cs="Times New Roman"/>
                <w:b/>
              </w:rPr>
              <w:t xml:space="preserve">Кадастровый номер </w:t>
            </w:r>
            <w:r w:rsidRPr="00AC3806">
              <w:rPr>
                <w:rFonts w:ascii="Times New Roman" w:hAnsi="Times New Roman" w:cs="Times New Roman"/>
                <w:b/>
              </w:rPr>
              <w:br/>
              <w:t xml:space="preserve">проверяемого </w:t>
            </w:r>
            <w:r w:rsidRPr="00AC3806">
              <w:rPr>
                <w:rFonts w:ascii="Times New Roman" w:hAnsi="Times New Roman" w:cs="Times New Roman"/>
                <w:b/>
              </w:rPr>
              <w:br/>
              <w:t>объекта оценки</w:t>
            </w:r>
          </w:p>
        </w:tc>
        <w:tc>
          <w:tcPr>
            <w:tcW w:w="1753" w:type="dxa"/>
            <w:tcBorders>
              <w:top w:val="single" w:sz="4" w:space="0" w:color="000000"/>
              <w:left w:val="nil"/>
              <w:bottom w:val="single" w:sz="4" w:space="0" w:color="000000"/>
              <w:right w:val="single" w:sz="4" w:space="0" w:color="000000"/>
            </w:tcBorders>
            <w:vAlign w:val="center"/>
            <w:hideMark/>
          </w:tcPr>
          <w:p w14:paraId="175F0A39" w14:textId="77777777" w:rsidR="00905E1F" w:rsidRPr="00AC3806" w:rsidRDefault="00905E1F" w:rsidP="00C749ED">
            <w:pPr>
              <w:autoSpaceDE w:val="0"/>
              <w:autoSpaceDN w:val="0"/>
              <w:adjustRightInd w:val="0"/>
              <w:spacing w:line="240" w:lineRule="auto"/>
              <w:jc w:val="center"/>
              <w:rPr>
                <w:rFonts w:ascii="Times New Roman" w:hAnsi="Times New Roman" w:cs="Times New Roman"/>
                <w:b/>
              </w:rPr>
            </w:pPr>
            <w:r w:rsidRPr="00AC3806">
              <w:rPr>
                <w:rFonts w:ascii="Times New Roman" w:hAnsi="Times New Roman" w:cs="Times New Roman"/>
                <w:b/>
              </w:rPr>
              <w:t xml:space="preserve">УПКС </w:t>
            </w:r>
            <w:r w:rsidRPr="00AC3806">
              <w:rPr>
                <w:rFonts w:ascii="Times New Roman" w:hAnsi="Times New Roman" w:cs="Times New Roman"/>
                <w:b/>
              </w:rPr>
              <w:br/>
              <w:t xml:space="preserve">проверяемого </w:t>
            </w:r>
            <w:r w:rsidRPr="00AC3806">
              <w:rPr>
                <w:rFonts w:ascii="Times New Roman" w:hAnsi="Times New Roman" w:cs="Times New Roman"/>
                <w:b/>
              </w:rPr>
              <w:br/>
              <w:t>объекта оценки, руб. кв. м.</w:t>
            </w:r>
          </w:p>
        </w:tc>
        <w:tc>
          <w:tcPr>
            <w:tcW w:w="2191" w:type="dxa"/>
            <w:tcBorders>
              <w:top w:val="single" w:sz="4" w:space="0" w:color="000000"/>
              <w:left w:val="nil"/>
              <w:bottom w:val="single" w:sz="4" w:space="0" w:color="000000"/>
              <w:right w:val="single" w:sz="4" w:space="0" w:color="000000"/>
            </w:tcBorders>
            <w:vAlign w:val="center"/>
            <w:hideMark/>
          </w:tcPr>
          <w:p w14:paraId="3417E0DC" w14:textId="77777777" w:rsidR="00905E1F" w:rsidRPr="00AC3806" w:rsidRDefault="00905E1F" w:rsidP="00C749ED">
            <w:pPr>
              <w:autoSpaceDE w:val="0"/>
              <w:autoSpaceDN w:val="0"/>
              <w:adjustRightInd w:val="0"/>
              <w:spacing w:line="240" w:lineRule="auto"/>
              <w:jc w:val="center"/>
              <w:rPr>
                <w:rFonts w:ascii="Times New Roman" w:hAnsi="Times New Roman" w:cs="Times New Roman"/>
                <w:b/>
              </w:rPr>
            </w:pPr>
            <w:r w:rsidRPr="00AC3806">
              <w:rPr>
                <w:rFonts w:ascii="Times New Roman" w:hAnsi="Times New Roman" w:cs="Times New Roman"/>
                <w:b/>
              </w:rPr>
              <w:t xml:space="preserve">Кадастровый </w:t>
            </w:r>
            <w:r w:rsidRPr="00AC3806">
              <w:rPr>
                <w:rFonts w:ascii="Times New Roman" w:hAnsi="Times New Roman" w:cs="Times New Roman"/>
                <w:b/>
              </w:rPr>
              <w:br/>
              <w:t xml:space="preserve">квартал, в котором </w:t>
            </w:r>
            <w:r w:rsidRPr="00AC3806">
              <w:rPr>
                <w:rFonts w:ascii="Times New Roman" w:hAnsi="Times New Roman" w:cs="Times New Roman"/>
                <w:b/>
              </w:rPr>
              <w:br/>
              <w:t xml:space="preserve">расположен </w:t>
            </w:r>
            <w:r w:rsidRPr="00AC3806">
              <w:rPr>
                <w:rFonts w:ascii="Times New Roman" w:hAnsi="Times New Roman" w:cs="Times New Roman"/>
                <w:b/>
              </w:rPr>
              <w:br/>
              <w:t>проверяемый объект оценки</w:t>
            </w:r>
          </w:p>
        </w:tc>
        <w:tc>
          <w:tcPr>
            <w:tcW w:w="1242" w:type="dxa"/>
            <w:tcBorders>
              <w:top w:val="single" w:sz="4" w:space="0" w:color="000000"/>
              <w:left w:val="nil"/>
              <w:bottom w:val="single" w:sz="4" w:space="0" w:color="000000"/>
              <w:right w:val="single" w:sz="4" w:space="0" w:color="000000"/>
            </w:tcBorders>
            <w:vAlign w:val="center"/>
            <w:hideMark/>
          </w:tcPr>
          <w:p w14:paraId="131A1B96" w14:textId="77777777" w:rsidR="00905E1F" w:rsidRPr="00AC3806" w:rsidRDefault="00905E1F" w:rsidP="00C749ED">
            <w:pPr>
              <w:autoSpaceDE w:val="0"/>
              <w:autoSpaceDN w:val="0"/>
              <w:adjustRightInd w:val="0"/>
              <w:spacing w:line="240" w:lineRule="auto"/>
              <w:jc w:val="center"/>
              <w:rPr>
                <w:rFonts w:ascii="Times New Roman" w:hAnsi="Times New Roman" w:cs="Times New Roman"/>
                <w:b/>
              </w:rPr>
            </w:pPr>
            <w:r w:rsidRPr="00AC3806">
              <w:rPr>
                <w:rFonts w:ascii="Times New Roman" w:hAnsi="Times New Roman" w:cs="Times New Roman"/>
                <w:b/>
              </w:rPr>
              <w:t>Зона</w:t>
            </w:r>
          </w:p>
        </w:tc>
        <w:tc>
          <w:tcPr>
            <w:tcW w:w="2185" w:type="dxa"/>
            <w:tcBorders>
              <w:top w:val="single" w:sz="4" w:space="0" w:color="000000"/>
              <w:left w:val="nil"/>
              <w:bottom w:val="single" w:sz="4" w:space="0" w:color="000000"/>
              <w:right w:val="single" w:sz="4" w:space="0" w:color="000000"/>
            </w:tcBorders>
            <w:vAlign w:val="center"/>
            <w:hideMark/>
          </w:tcPr>
          <w:p w14:paraId="6BA0FDCA" w14:textId="77777777" w:rsidR="00905E1F" w:rsidRPr="00AC3806" w:rsidRDefault="00905E1F" w:rsidP="00C749ED">
            <w:pPr>
              <w:autoSpaceDE w:val="0"/>
              <w:autoSpaceDN w:val="0"/>
              <w:adjustRightInd w:val="0"/>
              <w:spacing w:line="240" w:lineRule="auto"/>
              <w:jc w:val="center"/>
              <w:rPr>
                <w:rFonts w:ascii="Times New Roman" w:hAnsi="Times New Roman" w:cs="Times New Roman"/>
                <w:b/>
              </w:rPr>
            </w:pPr>
            <w:r w:rsidRPr="00AC3806">
              <w:rPr>
                <w:rFonts w:ascii="Times New Roman" w:hAnsi="Times New Roman" w:cs="Times New Roman"/>
                <w:b/>
              </w:rPr>
              <w:t xml:space="preserve">Диапазон рыночной </w:t>
            </w:r>
            <w:r w:rsidRPr="00AC3806">
              <w:rPr>
                <w:rFonts w:ascii="Times New Roman" w:hAnsi="Times New Roman" w:cs="Times New Roman"/>
                <w:b/>
              </w:rPr>
              <w:br/>
              <w:t xml:space="preserve">стоимости ценовой зоны, </w:t>
            </w:r>
            <w:r w:rsidRPr="00AC3806">
              <w:rPr>
                <w:rFonts w:ascii="Times New Roman" w:hAnsi="Times New Roman" w:cs="Times New Roman"/>
                <w:b/>
              </w:rPr>
              <w:br/>
              <w:t xml:space="preserve">в котором расположен </w:t>
            </w:r>
            <w:r w:rsidRPr="00AC3806">
              <w:rPr>
                <w:rFonts w:ascii="Times New Roman" w:hAnsi="Times New Roman" w:cs="Times New Roman"/>
                <w:b/>
              </w:rPr>
              <w:br/>
              <w:t xml:space="preserve">проверяемый объект </w:t>
            </w:r>
            <w:r w:rsidRPr="00AC3806">
              <w:rPr>
                <w:rFonts w:ascii="Times New Roman" w:hAnsi="Times New Roman" w:cs="Times New Roman"/>
                <w:b/>
              </w:rPr>
              <w:br/>
              <w:t>оценки, руб./кв.м.</w:t>
            </w:r>
          </w:p>
        </w:tc>
      </w:tr>
      <w:tr w:rsidR="00905E1F" w:rsidRPr="00AC3806" w14:paraId="7AA63E8B" w14:textId="77777777" w:rsidTr="00C749ED">
        <w:trPr>
          <w:trHeight w:val="20"/>
          <w:jc w:val="center"/>
        </w:trPr>
        <w:tc>
          <w:tcPr>
            <w:tcW w:w="9351" w:type="dxa"/>
            <w:gridSpan w:val="5"/>
            <w:tcBorders>
              <w:top w:val="single" w:sz="4" w:space="0" w:color="000000"/>
              <w:left w:val="single" w:sz="4" w:space="0" w:color="000000"/>
              <w:bottom w:val="single" w:sz="4" w:space="0" w:color="000000"/>
              <w:right w:val="single" w:sz="4" w:space="0" w:color="000000"/>
            </w:tcBorders>
            <w:vAlign w:val="center"/>
            <w:hideMark/>
          </w:tcPr>
          <w:p w14:paraId="040CD078" w14:textId="77777777" w:rsidR="00905E1F" w:rsidRPr="00AC3806" w:rsidRDefault="00905E1F" w:rsidP="00C749ED">
            <w:pPr>
              <w:spacing w:line="240" w:lineRule="auto"/>
              <w:jc w:val="center"/>
              <w:rPr>
                <w:rFonts w:ascii="Times New Roman" w:hAnsi="Times New Roman" w:cs="Times New Roman"/>
                <w:bCs/>
              </w:rPr>
            </w:pPr>
            <w:r w:rsidRPr="00AC3806">
              <w:rPr>
                <w:rFonts w:ascii="Times New Roman" w:hAnsi="Times New Roman" w:cs="Times New Roman"/>
                <w:bCs/>
              </w:rPr>
              <w:t>Сегмент 4, Предпринимательство</w:t>
            </w:r>
          </w:p>
        </w:tc>
      </w:tr>
      <w:tr w:rsidR="00905E1F" w:rsidRPr="00AC3806" w14:paraId="7EB7674A"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56BA481D"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36:34:0606005:24</w:t>
            </w:r>
          </w:p>
        </w:tc>
        <w:tc>
          <w:tcPr>
            <w:tcW w:w="1753" w:type="dxa"/>
            <w:tcBorders>
              <w:top w:val="nil"/>
              <w:left w:val="nil"/>
              <w:bottom w:val="single" w:sz="4" w:space="0" w:color="000000"/>
              <w:right w:val="single" w:sz="4" w:space="0" w:color="000000"/>
            </w:tcBorders>
            <w:vAlign w:val="center"/>
            <w:hideMark/>
          </w:tcPr>
          <w:p w14:paraId="436D76D9"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11 009,30</w:t>
            </w:r>
          </w:p>
        </w:tc>
        <w:tc>
          <w:tcPr>
            <w:tcW w:w="2191" w:type="dxa"/>
            <w:tcBorders>
              <w:top w:val="nil"/>
              <w:left w:val="nil"/>
              <w:bottom w:val="single" w:sz="4" w:space="0" w:color="000000"/>
              <w:right w:val="single" w:sz="4" w:space="0" w:color="000000"/>
            </w:tcBorders>
            <w:vAlign w:val="center"/>
            <w:hideMark/>
          </w:tcPr>
          <w:p w14:paraId="59753567"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36:34:0606005</w:t>
            </w:r>
          </w:p>
        </w:tc>
        <w:tc>
          <w:tcPr>
            <w:tcW w:w="1242" w:type="dxa"/>
            <w:tcBorders>
              <w:top w:val="nil"/>
              <w:left w:val="nil"/>
              <w:bottom w:val="single" w:sz="4" w:space="0" w:color="000000"/>
              <w:right w:val="single" w:sz="4" w:space="0" w:color="000000"/>
            </w:tcBorders>
            <w:vAlign w:val="center"/>
            <w:hideMark/>
          </w:tcPr>
          <w:p w14:paraId="008E90B4"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1</w:t>
            </w:r>
          </w:p>
        </w:tc>
        <w:tc>
          <w:tcPr>
            <w:tcW w:w="2185" w:type="dxa"/>
            <w:tcBorders>
              <w:top w:val="nil"/>
              <w:left w:val="nil"/>
              <w:bottom w:val="single" w:sz="4" w:space="0" w:color="000000"/>
              <w:right w:val="single" w:sz="4" w:space="0" w:color="000000"/>
            </w:tcBorders>
            <w:vAlign w:val="center"/>
            <w:hideMark/>
          </w:tcPr>
          <w:p w14:paraId="78520C86"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1005,76 - 16454,65</w:t>
            </w:r>
          </w:p>
        </w:tc>
      </w:tr>
      <w:tr w:rsidR="00905E1F" w:rsidRPr="00AC3806" w14:paraId="2709F46A"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5D027BF1"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36:16:0101021:75</w:t>
            </w:r>
          </w:p>
        </w:tc>
        <w:tc>
          <w:tcPr>
            <w:tcW w:w="1753" w:type="dxa"/>
            <w:tcBorders>
              <w:top w:val="nil"/>
              <w:left w:val="nil"/>
              <w:bottom w:val="single" w:sz="4" w:space="0" w:color="000000"/>
              <w:right w:val="single" w:sz="4" w:space="0" w:color="000000"/>
            </w:tcBorders>
            <w:vAlign w:val="center"/>
            <w:hideMark/>
          </w:tcPr>
          <w:p w14:paraId="4359A258"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7 991,16</w:t>
            </w:r>
          </w:p>
        </w:tc>
        <w:tc>
          <w:tcPr>
            <w:tcW w:w="2191" w:type="dxa"/>
            <w:tcBorders>
              <w:top w:val="nil"/>
              <w:left w:val="nil"/>
              <w:bottom w:val="single" w:sz="4" w:space="0" w:color="000000"/>
              <w:right w:val="single" w:sz="4" w:space="0" w:color="000000"/>
            </w:tcBorders>
            <w:vAlign w:val="center"/>
            <w:hideMark/>
          </w:tcPr>
          <w:p w14:paraId="60B5E2FB"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36:16:0101021</w:t>
            </w:r>
          </w:p>
        </w:tc>
        <w:tc>
          <w:tcPr>
            <w:tcW w:w="1242" w:type="dxa"/>
            <w:tcBorders>
              <w:top w:val="nil"/>
              <w:left w:val="nil"/>
              <w:bottom w:val="single" w:sz="4" w:space="0" w:color="000000"/>
              <w:right w:val="single" w:sz="4" w:space="0" w:color="000000"/>
            </w:tcBorders>
            <w:vAlign w:val="center"/>
            <w:hideMark/>
          </w:tcPr>
          <w:p w14:paraId="3CD1AF4B"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2</w:t>
            </w:r>
          </w:p>
        </w:tc>
        <w:tc>
          <w:tcPr>
            <w:tcW w:w="2185" w:type="dxa"/>
            <w:tcBorders>
              <w:top w:val="nil"/>
              <w:left w:val="nil"/>
              <w:bottom w:val="single" w:sz="4" w:space="0" w:color="000000"/>
              <w:right w:val="single" w:sz="4" w:space="0" w:color="000000"/>
            </w:tcBorders>
            <w:vAlign w:val="center"/>
            <w:hideMark/>
          </w:tcPr>
          <w:p w14:paraId="533EB09A"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1351,76 - 8512,51</w:t>
            </w:r>
          </w:p>
        </w:tc>
      </w:tr>
      <w:tr w:rsidR="00905E1F" w:rsidRPr="00AC3806" w14:paraId="17E78F65"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43F252A3"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36:28:0300015:14</w:t>
            </w:r>
          </w:p>
        </w:tc>
        <w:tc>
          <w:tcPr>
            <w:tcW w:w="1753" w:type="dxa"/>
            <w:tcBorders>
              <w:top w:val="nil"/>
              <w:left w:val="nil"/>
              <w:bottom w:val="single" w:sz="4" w:space="0" w:color="000000"/>
              <w:right w:val="single" w:sz="4" w:space="0" w:color="000000"/>
            </w:tcBorders>
            <w:vAlign w:val="center"/>
            <w:hideMark/>
          </w:tcPr>
          <w:p w14:paraId="4258FFAC"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4 142,84</w:t>
            </w:r>
          </w:p>
        </w:tc>
        <w:tc>
          <w:tcPr>
            <w:tcW w:w="2191" w:type="dxa"/>
            <w:tcBorders>
              <w:top w:val="nil"/>
              <w:left w:val="nil"/>
              <w:bottom w:val="single" w:sz="4" w:space="0" w:color="000000"/>
              <w:right w:val="single" w:sz="4" w:space="0" w:color="000000"/>
            </w:tcBorders>
            <w:vAlign w:val="center"/>
            <w:hideMark/>
          </w:tcPr>
          <w:p w14:paraId="6B5535C2"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36:28:0300015</w:t>
            </w:r>
          </w:p>
        </w:tc>
        <w:tc>
          <w:tcPr>
            <w:tcW w:w="1242" w:type="dxa"/>
            <w:tcBorders>
              <w:top w:val="nil"/>
              <w:left w:val="nil"/>
              <w:bottom w:val="single" w:sz="4" w:space="0" w:color="000000"/>
              <w:right w:val="single" w:sz="4" w:space="0" w:color="000000"/>
            </w:tcBorders>
            <w:vAlign w:val="center"/>
            <w:hideMark/>
          </w:tcPr>
          <w:p w14:paraId="3EFC503C"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w:t>
            </w:r>
          </w:p>
        </w:tc>
        <w:tc>
          <w:tcPr>
            <w:tcW w:w="2185" w:type="dxa"/>
            <w:tcBorders>
              <w:top w:val="nil"/>
              <w:left w:val="nil"/>
              <w:bottom w:val="single" w:sz="4" w:space="0" w:color="000000"/>
              <w:right w:val="single" w:sz="4" w:space="0" w:color="000000"/>
            </w:tcBorders>
            <w:vAlign w:val="center"/>
            <w:hideMark/>
          </w:tcPr>
          <w:p w14:paraId="709ED1E7"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1232,23 - 6771,98</w:t>
            </w:r>
          </w:p>
        </w:tc>
      </w:tr>
      <w:tr w:rsidR="00905E1F" w:rsidRPr="00AC3806" w14:paraId="06EBD33B"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2974CE90"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36:21:0100040:47</w:t>
            </w:r>
          </w:p>
        </w:tc>
        <w:tc>
          <w:tcPr>
            <w:tcW w:w="1753" w:type="dxa"/>
            <w:tcBorders>
              <w:top w:val="nil"/>
              <w:left w:val="nil"/>
              <w:bottom w:val="single" w:sz="4" w:space="0" w:color="000000"/>
              <w:right w:val="single" w:sz="4" w:space="0" w:color="000000"/>
            </w:tcBorders>
            <w:vAlign w:val="center"/>
            <w:hideMark/>
          </w:tcPr>
          <w:p w14:paraId="01253EFC"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3790,22</w:t>
            </w:r>
          </w:p>
        </w:tc>
        <w:tc>
          <w:tcPr>
            <w:tcW w:w="2191" w:type="dxa"/>
            <w:tcBorders>
              <w:top w:val="nil"/>
              <w:left w:val="nil"/>
              <w:bottom w:val="single" w:sz="4" w:space="0" w:color="000000"/>
              <w:right w:val="single" w:sz="4" w:space="0" w:color="000000"/>
            </w:tcBorders>
            <w:vAlign w:val="center"/>
            <w:hideMark/>
          </w:tcPr>
          <w:p w14:paraId="0CEE06C4"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36:21:0100040</w:t>
            </w:r>
          </w:p>
        </w:tc>
        <w:tc>
          <w:tcPr>
            <w:tcW w:w="1242" w:type="dxa"/>
            <w:tcBorders>
              <w:top w:val="nil"/>
              <w:left w:val="nil"/>
              <w:bottom w:val="single" w:sz="4" w:space="0" w:color="000000"/>
              <w:right w:val="single" w:sz="4" w:space="0" w:color="000000"/>
            </w:tcBorders>
            <w:vAlign w:val="center"/>
            <w:hideMark/>
          </w:tcPr>
          <w:p w14:paraId="2286500B"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4</w:t>
            </w:r>
          </w:p>
        </w:tc>
        <w:tc>
          <w:tcPr>
            <w:tcW w:w="2185" w:type="dxa"/>
            <w:tcBorders>
              <w:top w:val="nil"/>
              <w:left w:val="nil"/>
              <w:bottom w:val="single" w:sz="4" w:space="0" w:color="000000"/>
              <w:right w:val="single" w:sz="4" w:space="0" w:color="000000"/>
            </w:tcBorders>
            <w:vAlign w:val="center"/>
            <w:hideMark/>
          </w:tcPr>
          <w:p w14:paraId="15B975E0"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1481,39 - 4751,92</w:t>
            </w:r>
          </w:p>
        </w:tc>
      </w:tr>
      <w:tr w:rsidR="00905E1F" w:rsidRPr="00AC3806" w14:paraId="3DD48D12"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201326C9"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36:16:0901016:107</w:t>
            </w:r>
          </w:p>
        </w:tc>
        <w:tc>
          <w:tcPr>
            <w:tcW w:w="1753" w:type="dxa"/>
            <w:tcBorders>
              <w:top w:val="nil"/>
              <w:left w:val="nil"/>
              <w:bottom w:val="single" w:sz="4" w:space="0" w:color="000000"/>
              <w:right w:val="single" w:sz="4" w:space="0" w:color="000000"/>
            </w:tcBorders>
            <w:vAlign w:val="center"/>
            <w:hideMark/>
          </w:tcPr>
          <w:p w14:paraId="19C3AC86"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3 318,22</w:t>
            </w:r>
          </w:p>
        </w:tc>
        <w:tc>
          <w:tcPr>
            <w:tcW w:w="2191" w:type="dxa"/>
            <w:tcBorders>
              <w:top w:val="nil"/>
              <w:left w:val="nil"/>
              <w:bottom w:val="single" w:sz="4" w:space="0" w:color="000000"/>
              <w:right w:val="single" w:sz="4" w:space="0" w:color="000000"/>
            </w:tcBorders>
            <w:vAlign w:val="center"/>
            <w:hideMark/>
          </w:tcPr>
          <w:p w14:paraId="02BE550E"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36:16:0901016</w:t>
            </w:r>
          </w:p>
        </w:tc>
        <w:tc>
          <w:tcPr>
            <w:tcW w:w="1242" w:type="dxa"/>
            <w:tcBorders>
              <w:top w:val="nil"/>
              <w:left w:val="nil"/>
              <w:bottom w:val="single" w:sz="4" w:space="0" w:color="000000"/>
              <w:right w:val="single" w:sz="4" w:space="0" w:color="000000"/>
            </w:tcBorders>
            <w:vAlign w:val="center"/>
            <w:hideMark/>
          </w:tcPr>
          <w:p w14:paraId="5AD1B70A"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5</w:t>
            </w:r>
          </w:p>
        </w:tc>
        <w:tc>
          <w:tcPr>
            <w:tcW w:w="2185" w:type="dxa"/>
            <w:tcBorders>
              <w:top w:val="nil"/>
              <w:left w:val="nil"/>
              <w:bottom w:val="single" w:sz="4" w:space="0" w:color="000000"/>
              <w:right w:val="single" w:sz="4" w:space="0" w:color="000000"/>
            </w:tcBorders>
            <w:vAlign w:val="center"/>
            <w:hideMark/>
          </w:tcPr>
          <w:p w14:paraId="3A67DEA1"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515,04 - 7811,99</w:t>
            </w:r>
          </w:p>
        </w:tc>
      </w:tr>
      <w:tr w:rsidR="00905E1F" w:rsidRPr="00AC3806" w14:paraId="23AFC87F"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1E34C96D"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36:10:1000054:99</w:t>
            </w:r>
          </w:p>
        </w:tc>
        <w:tc>
          <w:tcPr>
            <w:tcW w:w="1753" w:type="dxa"/>
            <w:tcBorders>
              <w:top w:val="nil"/>
              <w:left w:val="nil"/>
              <w:bottom w:val="single" w:sz="4" w:space="0" w:color="000000"/>
              <w:right w:val="single" w:sz="4" w:space="0" w:color="000000"/>
            </w:tcBorders>
            <w:vAlign w:val="center"/>
            <w:hideMark/>
          </w:tcPr>
          <w:p w14:paraId="6A2024ED"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2 763,08</w:t>
            </w:r>
          </w:p>
        </w:tc>
        <w:tc>
          <w:tcPr>
            <w:tcW w:w="2191" w:type="dxa"/>
            <w:tcBorders>
              <w:top w:val="nil"/>
              <w:left w:val="nil"/>
              <w:bottom w:val="single" w:sz="4" w:space="0" w:color="000000"/>
              <w:right w:val="single" w:sz="4" w:space="0" w:color="000000"/>
            </w:tcBorders>
            <w:vAlign w:val="center"/>
            <w:hideMark/>
          </w:tcPr>
          <w:p w14:paraId="6E357921"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36:10:1000054</w:t>
            </w:r>
          </w:p>
        </w:tc>
        <w:tc>
          <w:tcPr>
            <w:tcW w:w="1242" w:type="dxa"/>
            <w:tcBorders>
              <w:top w:val="nil"/>
              <w:left w:val="nil"/>
              <w:bottom w:val="single" w:sz="4" w:space="0" w:color="000000"/>
              <w:right w:val="single" w:sz="4" w:space="0" w:color="000000"/>
            </w:tcBorders>
            <w:vAlign w:val="center"/>
            <w:hideMark/>
          </w:tcPr>
          <w:p w14:paraId="1474C972"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6</w:t>
            </w:r>
          </w:p>
        </w:tc>
        <w:tc>
          <w:tcPr>
            <w:tcW w:w="2185" w:type="dxa"/>
            <w:tcBorders>
              <w:top w:val="nil"/>
              <w:left w:val="nil"/>
              <w:bottom w:val="single" w:sz="4" w:space="0" w:color="000000"/>
              <w:right w:val="single" w:sz="4" w:space="0" w:color="000000"/>
            </w:tcBorders>
            <w:vAlign w:val="center"/>
            <w:hideMark/>
          </w:tcPr>
          <w:p w14:paraId="5F60E7F7"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562,97 - 4601,27</w:t>
            </w:r>
          </w:p>
        </w:tc>
      </w:tr>
      <w:tr w:rsidR="00905E1F" w:rsidRPr="00AC3806" w14:paraId="3294679E" w14:textId="77777777" w:rsidTr="00C749ED">
        <w:trPr>
          <w:trHeight w:val="135"/>
          <w:jc w:val="center"/>
        </w:trPr>
        <w:tc>
          <w:tcPr>
            <w:tcW w:w="9351" w:type="dxa"/>
            <w:gridSpan w:val="5"/>
            <w:tcBorders>
              <w:top w:val="single" w:sz="4" w:space="0" w:color="000000"/>
              <w:left w:val="single" w:sz="4" w:space="0" w:color="000000"/>
              <w:bottom w:val="single" w:sz="4" w:space="0" w:color="000000"/>
              <w:right w:val="single" w:sz="4" w:space="0" w:color="000000"/>
            </w:tcBorders>
            <w:vAlign w:val="center"/>
            <w:hideMark/>
          </w:tcPr>
          <w:p w14:paraId="29AB7AD8" w14:textId="77777777" w:rsidR="00905E1F" w:rsidRPr="00AC3806" w:rsidRDefault="00905E1F" w:rsidP="00C749ED">
            <w:pPr>
              <w:spacing w:line="240" w:lineRule="auto"/>
              <w:jc w:val="center"/>
              <w:rPr>
                <w:rFonts w:ascii="Times New Roman" w:hAnsi="Times New Roman" w:cs="Times New Roman"/>
                <w:bCs/>
              </w:rPr>
            </w:pPr>
            <w:r w:rsidRPr="00AC3806">
              <w:rPr>
                <w:rFonts w:ascii="Times New Roman" w:hAnsi="Times New Roman" w:cs="Times New Roman"/>
                <w:bCs/>
              </w:rPr>
              <w:t>Сегмент 6, Производственная деятельность</w:t>
            </w:r>
          </w:p>
        </w:tc>
      </w:tr>
      <w:tr w:rsidR="00905E1F" w:rsidRPr="00AC3806" w14:paraId="370B0224"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0257E641"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36:34:0606001:180</w:t>
            </w:r>
          </w:p>
        </w:tc>
        <w:tc>
          <w:tcPr>
            <w:tcW w:w="1753" w:type="dxa"/>
            <w:tcBorders>
              <w:top w:val="nil"/>
              <w:left w:val="nil"/>
              <w:bottom w:val="single" w:sz="4" w:space="0" w:color="000000"/>
              <w:right w:val="single" w:sz="4" w:space="0" w:color="000000"/>
            </w:tcBorders>
            <w:vAlign w:val="center"/>
            <w:hideMark/>
          </w:tcPr>
          <w:p w14:paraId="0128F487"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6722,56</w:t>
            </w:r>
          </w:p>
        </w:tc>
        <w:tc>
          <w:tcPr>
            <w:tcW w:w="2191" w:type="dxa"/>
            <w:tcBorders>
              <w:top w:val="nil"/>
              <w:left w:val="nil"/>
              <w:bottom w:val="single" w:sz="4" w:space="0" w:color="000000"/>
              <w:right w:val="single" w:sz="4" w:space="0" w:color="000000"/>
            </w:tcBorders>
            <w:vAlign w:val="center"/>
            <w:hideMark/>
          </w:tcPr>
          <w:p w14:paraId="1B399944"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36:34:0606001</w:t>
            </w:r>
          </w:p>
        </w:tc>
        <w:tc>
          <w:tcPr>
            <w:tcW w:w="1242" w:type="dxa"/>
            <w:tcBorders>
              <w:top w:val="nil"/>
              <w:left w:val="nil"/>
              <w:bottom w:val="single" w:sz="4" w:space="0" w:color="000000"/>
              <w:right w:val="single" w:sz="4" w:space="0" w:color="000000"/>
            </w:tcBorders>
            <w:vAlign w:val="center"/>
            <w:hideMark/>
          </w:tcPr>
          <w:p w14:paraId="0BB99559"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1</w:t>
            </w:r>
          </w:p>
        </w:tc>
        <w:tc>
          <w:tcPr>
            <w:tcW w:w="2185" w:type="dxa"/>
            <w:tcBorders>
              <w:top w:val="nil"/>
              <w:left w:val="nil"/>
              <w:bottom w:val="single" w:sz="4" w:space="0" w:color="000000"/>
              <w:right w:val="single" w:sz="4" w:space="0" w:color="000000"/>
            </w:tcBorders>
            <w:vAlign w:val="center"/>
            <w:hideMark/>
          </w:tcPr>
          <w:p w14:paraId="69A3413F"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504,31 - 6935,48</w:t>
            </w:r>
          </w:p>
        </w:tc>
      </w:tr>
      <w:tr w:rsidR="00905E1F" w:rsidRPr="00AC3806" w14:paraId="3639122F"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3C5DDE9E"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36:28:0104005:90</w:t>
            </w:r>
          </w:p>
        </w:tc>
        <w:tc>
          <w:tcPr>
            <w:tcW w:w="1753" w:type="dxa"/>
            <w:tcBorders>
              <w:top w:val="nil"/>
              <w:left w:val="nil"/>
              <w:bottom w:val="single" w:sz="4" w:space="0" w:color="000000"/>
              <w:right w:val="single" w:sz="4" w:space="0" w:color="000000"/>
            </w:tcBorders>
            <w:vAlign w:val="center"/>
            <w:hideMark/>
          </w:tcPr>
          <w:p w14:paraId="78322E6F"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2 051,47</w:t>
            </w:r>
          </w:p>
        </w:tc>
        <w:tc>
          <w:tcPr>
            <w:tcW w:w="2191" w:type="dxa"/>
            <w:tcBorders>
              <w:top w:val="nil"/>
              <w:left w:val="nil"/>
              <w:bottom w:val="single" w:sz="4" w:space="0" w:color="000000"/>
              <w:right w:val="single" w:sz="4" w:space="0" w:color="000000"/>
            </w:tcBorders>
            <w:vAlign w:val="center"/>
            <w:hideMark/>
          </w:tcPr>
          <w:p w14:paraId="382C4CC3"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36:28:0104005</w:t>
            </w:r>
          </w:p>
        </w:tc>
        <w:tc>
          <w:tcPr>
            <w:tcW w:w="1242" w:type="dxa"/>
            <w:tcBorders>
              <w:top w:val="nil"/>
              <w:left w:val="nil"/>
              <w:bottom w:val="single" w:sz="4" w:space="0" w:color="000000"/>
              <w:right w:val="single" w:sz="4" w:space="0" w:color="000000"/>
            </w:tcBorders>
            <w:vAlign w:val="center"/>
            <w:hideMark/>
          </w:tcPr>
          <w:p w14:paraId="1689B92C"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2</w:t>
            </w:r>
          </w:p>
        </w:tc>
        <w:tc>
          <w:tcPr>
            <w:tcW w:w="2185" w:type="dxa"/>
            <w:tcBorders>
              <w:top w:val="nil"/>
              <w:left w:val="nil"/>
              <w:bottom w:val="single" w:sz="4" w:space="0" w:color="000000"/>
              <w:right w:val="single" w:sz="4" w:space="0" w:color="000000"/>
            </w:tcBorders>
            <w:vAlign w:val="center"/>
            <w:hideMark/>
          </w:tcPr>
          <w:p w14:paraId="3C9188C7"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734,76 - 2194,14</w:t>
            </w:r>
          </w:p>
        </w:tc>
      </w:tr>
      <w:tr w:rsidR="00905E1F" w:rsidRPr="00AC3806" w14:paraId="65501B8C"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467B7163"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36:20:0100049:47</w:t>
            </w:r>
          </w:p>
        </w:tc>
        <w:tc>
          <w:tcPr>
            <w:tcW w:w="1753" w:type="dxa"/>
            <w:tcBorders>
              <w:top w:val="nil"/>
              <w:left w:val="nil"/>
              <w:bottom w:val="single" w:sz="4" w:space="0" w:color="000000"/>
              <w:right w:val="single" w:sz="4" w:space="0" w:color="000000"/>
            </w:tcBorders>
            <w:vAlign w:val="center"/>
            <w:hideMark/>
          </w:tcPr>
          <w:p w14:paraId="08B9B46A"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1 782,00</w:t>
            </w:r>
          </w:p>
        </w:tc>
        <w:tc>
          <w:tcPr>
            <w:tcW w:w="2191" w:type="dxa"/>
            <w:tcBorders>
              <w:top w:val="nil"/>
              <w:left w:val="nil"/>
              <w:bottom w:val="single" w:sz="4" w:space="0" w:color="000000"/>
              <w:right w:val="single" w:sz="4" w:space="0" w:color="000000"/>
            </w:tcBorders>
            <w:vAlign w:val="center"/>
            <w:hideMark/>
          </w:tcPr>
          <w:p w14:paraId="574B0AFE"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36:20:0100049</w:t>
            </w:r>
          </w:p>
        </w:tc>
        <w:tc>
          <w:tcPr>
            <w:tcW w:w="1242" w:type="dxa"/>
            <w:tcBorders>
              <w:top w:val="nil"/>
              <w:left w:val="nil"/>
              <w:bottom w:val="single" w:sz="4" w:space="0" w:color="000000"/>
              <w:right w:val="single" w:sz="4" w:space="0" w:color="000000"/>
            </w:tcBorders>
            <w:vAlign w:val="center"/>
            <w:hideMark/>
          </w:tcPr>
          <w:p w14:paraId="74F18CDC"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w:t>
            </w:r>
          </w:p>
        </w:tc>
        <w:tc>
          <w:tcPr>
            <w:tcW w:w="2185" w:type="dxa"/>
            <w:tcBorders>
              <w:top w:val="nil"/>
              <w:left w:val="nil"/>
              <w:bottom w:val="single" w:sz="4" w:space="0" w:color="000000"/>
              <w:right w:val="single" w:sz="4" w:space="0" w:color="000000"/>
            </w:tcBorders>
            <w:vAlign w:val="center"/>
            <w:hideMark/>
          </w:tcPr>
          <w:p w14:paraId="71B5C4E9"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792,54 - 1834,49</w:t>
            </w:r>
          </w:p>
        </w:tc>
      </w:tr>
      <w:tr w:rsidR="00905E1F" w:rsidRPr="00AC3806" w14:paraId="3D48978C"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4D3DC245"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36:10:0100275:51</w:t>
            </w:r>
          </w:p>
        </w:tc>
        <w:tc>
          <w:tcPr>
            <w:tcW w:w="1753" w:type="dxa"/>
            <w:tcBorders>
              <w:top w:val="nil"/>
              <w:left w:val="nil"/>
              <w:bottom w:val="single" w:sz="4" w:space="0" w:color="000000"/>
              <w:right w:val="single" w:sz="4" w:space="0" w:color="000000"/>
            </w:tcBorders>
            <w:vAlign w:val="center"/>
            <w:hideMark/>
          </w:tcPr>
          <w:p w14:paraId="5552A6EF"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996,89</w:t>
            </w:r>
          </w:p>
        </w:tc>
        <w:tc>
          <w:tcPr>
            <w:tcW w:w="2191" w:type="dxa"/>
            <w:tcBorders>
              <w:top w:val="nil"/>
              <w:left w:val="nil"/>
              <w:bottom w:val="single" w:sz="4" w:space="0" w:color="000000"/>
              <w:right w:val="single" w:sz="4" w:space="0" w:color="000000"/>
            </w:tcBorders>
            <w:vAlign w:val="center"/>
            <w:hideMark/>
          </w:tcPr>
          <w:p w14:paraId="5EDAFECE"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36:10:0100275</w:t>
            </w:r>
          </w:p>
        </w:tc>
        <w:tc>
          <w:tcPr>
            <w:tcW w:w="1242" w:type="dxa"/>
            <w:tcBorders>
              <w:top w:val="nil"/>
              <w:left w:val="nil"/>
              <w:bottom w:val="single" w:sz="4" w:space="0" w:color="000000"/>
              <w:right w:val="single" w:sz="4" w:space="0" w:color="000000"/>
            </w:tcBorders>
            <w:vAlign w:val="center"/>
            <w:hideMark/>
          </w:tcPr>
          <w:p w14:paraId="126E18D4"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4</w:t>
            </w:r>
          </w:p>
        </w:tc>
        <w:tc>
          <w:tcPr>
            <w:tcW w:w="2185" w:type="dxa"/>
            <w:tcBorders>
              <w:top w:val="nil"/>
              <w:left w:val="nil"/>
              <w:bottom w:val="single" w:sz="4" w:space="0" w:color="000000"/>
              <w:right w:val="single" w:sz="4" w:space="0" w:color="000000"/>
            </w:tcBorders>
            <w:vAlign w:val="center"/>
            <w:hideMark/>
          </w:tcPr>
          <w:p w14:paraId="24BB3763"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601,91 - 1018,51</w:t>
            </w:r>
          </w:p>
        </w:tc>
      </w:tr>
      <w:tr w:rsidR="00905E1F" w:rsidRPr="00AC3806" w14:paraId="07E9EE6A"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24EAB3BF"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36:25:6945025:3566</w:t>
            </w:r>
          </w:p>
        </w:tc>
        <w:tc>
          <w:tcPr>
            <w:tcW w:w="1753" w:type="dxa"/>
            <w:tcBorders>
              <w:top w:val="nil"/>
              <w:left w:val="nil"/>
              <w:bottom w:val="single" w:sz="4" w:space="0" w:color="000000"/>
              <w:right w:val="single" w:sz="4" w:space="0" w:color="000000"/>
            </w:tcBorders>
            <w:vAlign w:val="center"/>
            <w:hideMark/>
          </w:tcPr>
          <w:p w14:paraId="5AFE70B7"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415,19</w:t>
            </w:r>
          </w:p>
        </w:tc>
        <w:tc>
          <w:tcPr>
            <w:tcW w:w="2191" w:type="dxa"/>
            <w:tcBorders>
              <w:top w:val="nil"/>
              <w:left w:val="nil"/>
              <w:bottom w:val="single" w:sz="4" w:space="0" w:color="000000"/>
              <w:right w:val="single" w:sz="4" w:space="0" w:color="000000"/>
            </w:tcBorders>
            <w:vAlign w:val="center"/>
            <w:hideMark/>
          </w:tcPr>
          <w:p w14:paraId="6E36FD83"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36:25:6945025</w:t>
            </w:r>
          </w:p>
        </w:tc>
        <w:tc>
          <w:tcPr>
            <w:tcW w:w="1242" w:type="dxa"/>
            <w:tcBorders>
              <w:top w:val="nil"/>
              <w:left w:val="nil"/>
              <w:bottom w:val="single" w:sz="4" w:space="0" w:color="000000"/>
              <w:right w:val="single" w:sz="4" w:space="0" w:color="000000"/>
            </w:tcBorders>
            <w:vAlign w:val="center"/>
            <w:hideMark/>
          </w:tcPr>
          <w:p w14:paraId="4EA86D0C"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5</w:t>
            </w:r>
          </w:p>
        </w:tc>
        <w:tc>
          <w:tcPr>
            <w:tcW w:w="2185" w:type="dxa"/>
            <w:tcBorders>
              <w:top w:val="nil"/>
              <w:left w:val="nil"/>
              <w:bottom w:val="single" w:sz="4" w:space="0" w:color="000000"/>
              <w:right w:val="single" w:sz="4" w:space="0" w:color="000000"/>
            </w:tcBorders>
            <w:vAlign w:val="center"/>
            <w:hideMark/>
          </w:tcPr>
          <w:p w14:paraId="2E6C32E9"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30,96 - 4558,4</w:t>
            </w:r>
          </w:p>
        </w:tc>
      </w:tr>
      <w:tr w:rsidR="00905E1F" w:rsidRPr="00AC3806" w14:paraId="3EC75233"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346BFCD9"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36:06:0300012:215</w:t>
            </w:r>
          </w:p>
        </w:tc>
        <w:tc>
          <w:tcPr>
            <w:tcW w:w="1753" w:type="dxa"/>
            <w:tcBorders>
              <w:top w:val="nil"/>
              <w:left w:val="nil"/>
              <w:bottom w:val="single" w:sz="4" w:space="0" w:color="000000"/>
              <w:right w:val="single" w:sz="4" w:space="0" w:color="000000"/>
            </w:tcBorders>
            <w:vAlign w:val="center"/>
            <w:hideMark/>
          </w:tcPr>
          <w:p w14:paraId="2DCFEE58"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420,75</w:t>
            </w:r>
          </w:p>
        </w:tc>
        <w:tc>
          <w:tcPr>
            <w:tcW w:w="2191" w:type="dxa"/>
            <w:tcBorders>
              <w:top w:val="nil"/>
              <w:left w:val="nil"/>
              <w:bottom w:val="single" w:sz="4" w:space="0" w:color="000000"/>
              <w:right w:val="single" w:sz="4" w:space="0" w:color="000000"/>
            </w:tcBorders>
            <w:vAlign w:val="center"/>
            <w:hideMark/>
          </w:tcPr>
          <w:p w14:paraId="1CF773D2" w14:textId="77777777" w:rsidR="00905E1F" w:rsidRPr="00AC3806" w:rsidRDefault="00905E1F" w:rsidP="00C749ED">
            <w:pPr>
              <w:spacing w:line="240" w:lineRule="auto"/>
              <w:jc w:val="center"/>
              <w:rPr>
                <w:rFonts w:ascii="Times New Roman" w:hAnsi="Times New Roman" w:cs="Times New Roman"/>
              </w:rPr>
            </w:pPr>
            <w:r w:rsidRPr="00AC3806">
              <w:rPr>
                <w:rFonts w:ascii="Times New Roman" w:hAnsi="Times New Roman" w:cs="Times New Roman"/>
              </w:rPr>
              <w:t>36:06:0300012</w:t>
            </w:r>
          </w:p>
        </w:tc>
        <w:tc>
          <w:tcPr>
            <w:tcW w:w="1242" w:type="dxa"/>
            <w:tcBorders>
              <w:top w:val="nil"/>
              <w:left w:val="nil"/>
              <w:bottom w:val="single" w:sz="4" w:space="0" w:color="000000"/>
              <w:right w:val="single" w:sz="4" w:space="0" w:color="000000"/>
            </w:tcBorders>
            <w:vAlign w:val="center"/>
            <w:hideMark/>
          </w:tcPr>
          <w:p w14:paraId="5C230E90"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6</w:t>
            </w:r>
          </w:p>
        </w:tc>
        <w:tc>
          <w:tcPr>
            <w:tcW w:w="2185" w:type="dxa"/>
            <w:tcBorders>
              <w:top w:val="nil"/>
              <w:left w:val="nil"/>
              <w:bottom w:val="single" w:sz="4" w:space="0" w:color="000000"/>
              <w:right w:val="single" w:sz="4" w:space="0" w:color="000000"/>
            </w:tcBorders>
            <w:vAlign w:val="center"/>
            <w:hideMark/>
          </w:tcPr>
          <w:p w14:paraId="47F28AE5"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45,46 - 891,88</w:t>
            </w:r>
          </w:p>
        </w:tc>
      </w:tr>
      <w:tr w:rsidR="00905E1F" w:rsidRPr="00AC3806" w14:paraId="1E217A9D" w14:textId="77777777" w:rsidTr="00C749ED">
        <w:trPr>
          <w:trHeight w:val="20"/>
          <w:jc w:val="center"/>
        </w:trPr>
        <w:tc>
          <w:tcPr>
            <w:tcW w:w="9351" w:type="dxa"/>
            <w:gridSpan w:val="5"/>
            <w:tcBorders>
              <w:top w:val="single" w:sz="4" w:space="0" w:color="000000"/>
              <w:left w:val="single" w:sz="4" w:space="0" w:color="000000"/>
              <w:bottom w:val="single" w:sz="4" w:space="0" w:color="000000"/>
              <w:right w:val="single" w:sz="4" w:space="0" w:color="000000"/>
            </w:tcBorders>
            <w:vAlign w:val="center"/>
            <w:hideMark/>
          </w:tcPr>
          <w:p w14:paraId="7FA954A7" w14:textId="77777777" w:rsidR="00905E1F" w:rsidRPr="00AC3806" w:rsidRDefault="00905E1F" w:rsidP="00C749ED">
            <w:pPr>
              <w:autoSpaceDE w:val="0"/>
              <w:autoSpaceDN w:val="0"/>
              <w:adjustRightInd w:val="0"/>
              <w:spacing w:line="240" w:lineRule="auto"/>
              <w:jc w:val="center"/>
              <w:rPr>
                <w:rFonts w:ascii="Times New Roman" w:hAnsi="Times New Roman" w:cs="Times New Roman"/>
              </w:rPr>
            </w:pPr>
            <w:r w:rsidRPr="00AC3806">
              <w:rPr>
                <w:rFonts w:ascii="Times New Roman" w:hAnsi="Times New Roman" w:cs="Times New Roman"/>
              </w:rPr>
              <w:t>Сегмент 13, ИЖС</w:t>
            </w:r>
          </w:p>
        </w:tc>
      </w:tr>
      <w:tr w:rsidR="00905E1F" w:rsidRPr="00AC3806" w14:paraId="73FF6C51"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05699AE7"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36:34:0605062:254</w:t>
            </w:r>
          </w:p>
        </w:tc>
        <w:tc>
          <w:tcPr>
            <w:tcW w:w="1753" w:type="dxa"/>
            <w:tcBorders>
              <w:top w:val="nil"/>
              <w:left w:val="nil"/>
              <w:bottom w:val="single" w:sz="4" w:space="0" w:color="000000"/>
              <w:right w:val="single" w:sz="4" w:space="0" w:color="000000"/>
            </w:tcBorders>
            <w:vAlign w:val="center"/>
            <w:hideMark/>
          </w:tcPr>
          <w:p w14:paraId="3F68366E"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2 854,6</w:t>
            </w:r>
          </w:p>
        </w:tc>
        <w:tc>
          <w:tcPr>
            <w:tcW w:w="2191" w:type="dxa"/>
            <w:tcBorders>
              <w:top w:val="nil"/>
              <w:left w:val="nil"/>
              <w:bottom w:val="single" w:sz="4" w:space="0" w:color="000000"/>
              <w:right w:val="single" w:sz="4" w:space="0" w:color="000000"/>
            </w:tcBorders>
            <w:vAlign w:val="center"/>
            <w:hideMark/>
          </w:tcPr>
          <w:p w14:paraId="1BFD01BD"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36:34:0605062</w:t>
            </w:r>
          </w:p>
        </w:tc>
        <w:tc>
          <w:tcPr>
            <w:tcW w:w="1242" w:type="dxa"/>
            <w:tcBorders>
              <w:top w:val="nil"/>
              <w:left w:val="nil"/>
              <w:bottom w:val="single" w:sz="4" w:space="0" w:color="000000"/>
              <w:right w:val="single" w:sz="4" w:space="0" w:color="000000"/>
            </w:tcBorders>
            <w:vAlign w:val="center"/>
            <w:hideMark/>
          </w:tcPr>
          <w:p w14:paraId="54387917"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1</w:t>
            </w:r>
          </w:p>
        </w:tc>
        <w:tc>
          <w:tcPr>
            <w:tcW w:w="2185" w:type="dxa"/>
            <w:tcBorders>
              <w:top w:val="nil"/>
              <w:left w:val="nil"/>
              <w:bottom w:val="single" w:sz="4" w:space="0" w:color="000000"/>
              <w:right w:val="single" w:sz="4" w:space="0" w:color="000000"/>
            </w:tcBorders>
            <w:vAlign w:val="center"/>
            <w:hideMark/>
          </w:tcPr>
          <w:p w14:paraId="158A417F"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246,45 - 7217,49</w:t>
            </w:r>
          </w:p>
        </w:tc>
      </w:tr>
      <w:tr w:rsidR="00905E1F" w:rsidRPr="00AC3806" w14:paraId="16457F92"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28EB4EB2"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36:27:0011805:44</w:t>
            </w:r>
          </w:p>
        </w:tc>
        <w:tc>
          <w:tcPr>
            <w:tcW w:w="1753" w:type="dxa"/>
            <w:tcBorders>
              <w:top w:val="nil"/>
              <w:left w:val="nil"/>
              <w:bottom w:val="single" w:sz="4" w:space="0" w:color="000000"/>
              <w:right w:val="single" w:sz="4" w:space="0" w:color="000000"/>
            </w:tcBorders>
            <w:vAlign w:val="center"/>
            <w:hideMark/>
          </w:tcPr>
          <w:p w14:paraId="6636D276"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830,97</w:t>
            </w:r>
          </w:p>
        </w:tc>
        <w:tc>
          <w:tcPr>
            <w:tcW w:w="2191" w:type="dxa"/>
            <w:tcBorders>
              <w:top w:val="nil"/>
              <w:left w:val="nil"/>
              <w:bottom w:val="single" w:sz="4" w:space="0" w:color="000000"/>
              <w:right w:val="single" w:sz="4" w:space="0" w:color="000000"/>
            </w:tcBorders>
            <w:vAlign w:val="center"/>
            <w:hideMark/>
          </w:tcPr>
          <w:p w14:paraId="6034E3DD"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36:27:0011805</w:t>
            </w:r>
          </w:p>
        </w:tc>
        <w:tc>
          <w:tcPr>
            <w:tcW w:w="1242" w:type="dxa"/>
            <w:tcBorders>
              <w:top w:val="nil"/>
              <w:left w:val="nil"/>
              <w:bottom w:val="single" w:sz="4" w:space="0" w:color="000000"/>
              <w:right w:val="single" w:sz="4" w:space="0" w:color="000000"/>
            </w:tcBorders>
            <w:vAlign w:val="center"/>
            <w:hideMark/>
          </w:tcPr>
          <w:p w14:paraId="68167DCF"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2</w:t>
            </w:r>
          </w:p>
        </w:tc>
        <w:tc>
          <w:tcPr>
            <w:tcW w:w="2185" w:type="dxa"/>
            <w:tcBorders>
              <w:top w:val="nil"/>
              <w:left w:val="nil"/>
              <w:bottom w:val="single" w:sz="4" w:space="0" w:color="000000"/>
              <w:right w:val="single" w:sz="4" w:space="0" w:color="000000"/>
            </w:tcBorders>
            <w:vAlign w:val="center"/>
            <w:hideMark/>
          </w:tcPr>
          <w:p w14:paraId="41E556F3"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102,36 - 3533,74</w:t>
            </w:r>
          </w:p>
        </w:tc>
      </w:tr>
      <w:tr w:rsidR="00905E1F" w:rsidRPr="00AC3806" w14:paraId="399A945C"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033BCEF9"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36:20:0100020:104</w:t>
            </w:r>
          </w:p>
        </w:tc>
        <w:tc>
          <w:tcPr>
            <w:tcW w:w="1753" w:type="dxa"/>
            <w:tcBorders>
              <w:top w:val="nil"/>
              <w:left w:val="nil"/>
              <w:bottom w:val="single" w:sz="4" w:space="0" w:color="000000"/>
              <w:right w:val="single" w:sz="4" w:space="0" w:color="000000"/>
            </w:tcBorders>
            <w:vAlign w:val="center"/>
            <w:hideMark/>
          </w:tcPr>
          <w:p w14:paraId="287FCC26"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712,93</w:t>
            </w:r>
          </w:p>
        </w:tc>
        <w:tc>
          <w:tcPr>
            <w:tcW w:w="2191" w:type="dxa"/>
            <w:tcBorders>
              <w:top w:val="nil"/>
              <w:left w:val="nil"/>
              <w:bottom w:val="single" w:sz="4" w:space="0" w:color="000000"/>
              <w:right w:val="single" w:sz="4" w:space="0" w:color="000000"/>
            </w:tcBorders>
            <w:vAlign w:val="center"/>
            <w:hideMark/>
          </w:tcPr>
          <w:p w14:paraId="49C78F4B"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36:20:0100020</w:t>
            </w:r>
          </w:p>
        </w:tc>
        <w:tc>
          <w:tcPr>
            <w:tcW w:w="1242" w:type="dxa"/>
            <w:tcBorders>
              <w:top w:val="nil"/>
              <w:left w:val="nil"/>
              <w:bottom w:val="single" w:sz="4" w:space="0" w:color="000000"/>
              <w:right w:val="single" w:sz="4" w:space="0" w:color="000000"/>
            </w:tcBorders>
            <w:vAlign w:val="center"/>
            <w:hideMark/>
          </w:tcPr>
          <w:p w14:paraId="07D117A7"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w:t>
            </w:r>
          </w:p>
        </w:tc>
        <w:tc>
          <w:tcPr>
            <w:tcW w:w="2185" w:type="dxa"/>
            <w:tcBorders>
              <w:top w:val="nil"/>
              <w:left w:val="nil"/>
              <w:bottom w:val="single" w:sz="4" w:space="0" w:color="000000"/>
              <w:right w:val="single" w:sz="4" w:space="0" w:color="000000"/>
            </w:tcBorders>
            <w:vAlign w:val="center"/>
            <w:hideMark/>
          </w:tcPr>
          <w:p w14:paraId="7B850841"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105,04 - 2192,93</w:t>
            </w:r>
          </w:p>
        </w:tc>
      </w:tr>
      <w:tr w:rsidR="00905E1F" w:rsidRPr="00AC3806" w14:paraId="35BE4BE3"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7A3A52E1"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36:25:6600010:93</w:t>
            </w:r>
          </w:p>
        </w:tc>
        <w:tc>
          <w:tcPr>
            <w:tcW w:w="1753" w:type="dxa"/>
            <w:tcBorders>
              <w:top w:val="nil"/>
              <w:left w:val="nil"/>
              <w:bottom w:val="single" w:sz="4" w:space="0" w:color="000000"/>
              <w:right w:val="single" w:sz="4" w:space="0" w:color="000000"/>
            </w:tcBorders>
            <w:vAlign w:val="center"/>
            <w:hideMark/>
          </w:tcPr>
          <w:p w14:paraId="2A8A6A31"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629,57</w:t>
            </w:r>
          </w:p>
        </w:tc>
        <w:tc>
          <w:tcPr>
            <w:tcW w:w="2191" w:type="dxa"/>
            <w:tcBorders>
              <w:top w:val="nil"/>
              <w:left w:val="nil"/>
              <w:bottom w:val="single" w:sz="4" w:space="0" w:color="000000"/>
              <w:right w:val="single" w:sz="4" w:space="0" w:color="000000"/>
            </w:tcBorders>
            <w:vAlign w:val="center"/>
            <w:hideMark/>
          </w:tcPr>
          <w:p w14:paraId="1B18955F"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36:25:6600010</w:t>
            </w:r>
          </w:p>
        </w:tc>
        <w:tc>
          <w:tcPr>
            <w:tcW w:w="1242" w:type="dxa"/>
            <w:tcBorders>
              <w:top w:val="nil"/>
              <w:left w:val="nil"/>
              <w:bottom w:val="single" w:sz="4" w:space="0" w:color="000000"/>
              <w:right w:val="single" w:sz="4" w:space="0" w:color="000000"/>
            </w:tcBorders>
            <w:vAlign w:val="center"/>
            <w:hideMark/>
          </w:tcPr>
          <w:p w14:paraId="19272080"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4</w:t>
            </w:r>
          </w:p>
        </w:tc>
        <w:tc>
          <w:tcPr>
            <w:tcW w:w="2185" w:type="dxa"/>
            <w:tcBorders>
              <w:top w:val="nil"/>
              <w:left w:val="nil"/>
              <w:bottom w:val="single" w:sz="4" w:space="0" w:color="000000"/>
              <w:right w:val="single" w:sz="4" w:space="0" w:color="000000"/>
            </w:tcBorders>
            <w:vAlign w:val="center"/>
            <w:hideMark/>
          </w:tcPr>
          <w:p w14:paraId="0D1690D1"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4,76 - 2082,99</w:t>
            </w:r>
          </w:p>
        </w:tc>
      </w:tr>
      <w:tr w:rsidR="00905E1F" w:rsidRPr="00AC3806" w14:paraId="7404BBAF"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60721283"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36:28:1900050:8</w:t>
            </w:r>
          </w:p>
        </w:tc>
        <w:tc>
          <w:tcPr>
            <w:tcW w:w="1753" w:type="dxa"/>
            <w:tcBorders>
              <w:top w:val="nil"/>
              <w:left w:val="nil"/>
              <w:bottom w:val="single" w:sz="4" w:space="0" w:color="000000"/>
              <w:right w:val="single" w:sz="4" w:space="0" w:color="000000"/>
            </w:tcBorders>
            <w:vAlign w:val="center"/>
            <w:hideMark/>
          </w:tcPr>
          <w:p w14:paraId="133D1DA2"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495,78</w:t>
            </w:r>
          </w:p>
        </w:tc>
        <w:tc>
          <w:tcPr>
            <w:tcW w:w="2191" w:type="dxa"/>
            <w:tcBorders>
              <w:top w:val="nil"/>
              <w:left w:val="nil"/>
              <w:bottom w:val="single" w:sz="4" w:space="0" w:color="000000"/>
              <w:right w:val="single" w:sz="4" w:space="0" w:color="000000"/>
            </w:tcBorders>
            <w:vAlign w:val="center"/>
            <w:hideMark/>
          </w:tcPr>
          <w:p w14:paraId="2AA694DD"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36:28:1900050</w:t>
            </w:r>
          </w:p>
        </w:tc>
        <w:tc>
          <w:tcPr>
            <w:tcW w:w="1242" w:type="dxa"/>
            <w:tcBorders>
              <w:top w:val="nil"/>
              <w:left w:val="nil"/>
              <w:bottom w:val="single" w:sz="4" w:space="0" w:color="000000"/>
              <w:right w:val="single" w:sz="4" w:space="0" w:color="000000"/>
            </w:tcBorders>
            <w:vAlign w:val="center"/>
            <w:hideMark/>
          </w:tcPr>
          <w:p w14:paraId="53A9A0ED"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5</w:t>
            </w:r>
          </w:p>
        </w:tc>
        <w:tc>
          <w:tcPr>
            <w:tcW w:w="2185" w:type="dxa"/>
            <w:tcBorders>
              <w:top w:val="nil"/>
              <w:left w:val="nil"/>
              <w:bottom w:val="single" w:sz="4" w:space="0" w:color="000000"/>
              <w:right w:val="single" w:sz="4" w:space="0" w:color="000000"/>
            </w:tcBorders>
            <w:vAlign w:val="center"/>
            <w:hideMark/>
          </w:tcPr>
          <w:p w14:paraId="2D8F783E"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4,81 - 1973,23</w:t>
            </w:r>
          </w:p>
        </w:tc>
      </w:tr>
      <w:tr w:rsidR="00905E1F" w:rsidRPr="00AC3806" w14:paraId="07D86383" w14:textId="77777777" w:rsidTr="00C749ED">
        <w:trPr>
          <w:trHeight w:val="20"/>
          <w:jc w:val="center"/>
        </w:trPr>
        <w:tc>
          <w:tcPr>
            <w:tcW w:w="1980" w:type="dxa"/>
            <w:tcBorders>
              <w:top w:val="nil"/>
              <w:left w:val="single" w:sz="4" w:space="0" w:color="000000"/>
              <w:bottom w:val="single" w:sz="4" w:space="0" w:color="000000"/>
              <w:right w:val="single" w:sz="4" w:space="0" w:color="000000"/>
            </w:tcBorders>
            <w:vAlign w:val="center"/>
            <w:hideMark/>
          </w:tcPr>
          <w:p w14:paraId="74A12E9E"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36:06:0100008:89</w:t>
            </w:r>
          </w:p>
        </w:tc>
        <w:tc>
          <w:tcPr>
            <w:tcW w:w="1753" w:type="dxa"/>
            <w:tcBorders>
              <w:top w:val="nil"/>
              <w:left w:val="nil"/>
              <w:bottom w:val="single" w:sz="4" w:space="0" w:color="000000"/>
              <w:right w:val="single" w:sz="4" w:space="0" w:color="000000"/>
            </w:tcBorders>
            <w:vAlign w:val="center"/>
            <w:hideMark/>
          </w:tcPr>
          <w:p w14:paraId="668661F3"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323,92</w:t>
            </w:r>
          </w:p>
        </w:tc>
        <w:tc>
          <w:tcPr>
            <w:tcW w:w="2191" w:type="dxa"/>
            <w:tcBorders>
              <w:top w:val="nil"/>
              <w:left w:val="nil"/>
              <w:bottom w:val="single" w:sz="4" w:space="0" w:color="000000"/>
              <w:right w:val="single" w:sz="4" w:space="0" w:color="000000"/>
            </w:tcBorders>
            <w:vAlign w:val="center"/>
            <w:hideMark/>
          </w:tcPr>
          <w:p w14:paraId="4C689F89"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36:06:0100008</w:t>
            </w:r>
          </w:p>
        </w:tc>
        <w:tc>
          <w:tcPr>
            <w:tcW w:w="1242" w:type="dxa"/>
            <w:tcBorders>
              <w:top w:val="nil"/>
              <w:left w:val="nil"/>
              <w:bottom w:val="single" w:sz="4" w:space="0" w:color="000000"/>
              <w:right w:val="single" w:sz="4" w:space="0" w:color="000000"/>
            </w:tcBorders>
            <w:vAlign w:val="center"/>
            <w:hideMark/>
          </w:tcPr>
          <w:p w14:paraId="64BD3910"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6</w:t>
            </w:r>
          </w:p>
        </w:tc>
        <w:tc>
          <w:tcPr>
            <w:tcW w:w="2185" w:type="dxa"/>
            <w:tcBorders>
              <w:top w:val="nil"/>
              <w:left w:val="nil"/>
              <w:bottom w:val="single" w:sz="4" w:space="0" w:color="000000"/>
              <w:right w:val="single" w:sz="4" w:space="0" w:color="000000"/>
            </w:tcBorders>
            <w:vAlign w:val="center"/>
            <w:hideMark/>
          </w:tcPr>
          <w:p w14:paraId="4A43030A" w14:textId="77777777" w:rsidR="00905E1F" w:rsidRPr="00AC3806" w:rsidRDefault="00905E1F" w:rsidP="00C749ED">
            <w:pPr>
              <w:autoSpaceDE w:val="0"/>
              <w:autoSpaceDN w:val="0"/>
              <w:adjustRightInd w:val="0"/>
              <w:spacing w:after="0" w:line="240" w:lineRule="auto"/>
              <w:contextualSpacing/>
              <w:jc w:val="center"/>
              <w:rPr>
                <w:rFonts w:ascii="Times New Roman" w:hAnsi="Times New Roman" w:cs="Times New Roman"/>
              </w:rPr>
            </w:pPr>
            <w:r w:rsidRPr="00AC3806">
              <w:rPr>
                <w:rFonts w:ascii="Times New Roman" w:hAnsi="Times New Roman" w:cs="Times New Roman"/>
              </w:rPr>
              <w:t>5,31 - 1104,99</w:t>
            </w:r>
          </w:p>
        </w:tc>
      </w:tr>
    </w:tbl>
    <w:p w14:paraId="136E5A01" w14:textId="77777777" w:rsidR="00905E1F" w:rsidRPr="00AC3806" w:rsidRDefault="00905E1F" w:rsidP="00905E1F">
      <w:pPr>
        <w:spacing w:after="0" w:line="240" w:lineRule="auto"/>
        <w:ind w:firstLine="709"/>
        <w:contextualSpacing/>
        <w:jc w:val="both"/>
        <w:rPr>
          <w:rFonts w:ascii="Times New Roman" w:hAnsi="Times New Roman" w:cs="Times New Roman"/>
          <w:sz w:val="18"/>
          <w:szCs w:val="18"/>
        </w:rPr>
      </w:pPr>
    </w:p>
    <w:p w14:paraId="0B7FA1CC" w14:textId="77777777" w:rsidR="00905E1F" w:rsidRPr="00AC3806" w:rsidRDefault="00905E1F" w:rsidP="00905E1F">
      <w:pPr>
        <w:spacing w:after="0" w:line="240" w:lineRule="auto"/>
        <w:ind w:firstLine="567"/>
        <w:jc w:val="both"/>
        <w:rPr>
          <w:rFonts w:ascii="Times New Roman" w:hAnsi="Times New Roman" w:cs="Times New Roman"/>
          <w:bCs/>
          <w:i/>
          <w:iCs/>
          <w:sz w:val="26"/>
          <w:szCs w:val="26"/>
        </w:rPr>
      </w:pPr>
      <w:r w:rsidRPr="00AC3806">
        <w:rPr>
          <w:rFonts w:ascii="Times New Roman" w:hAnsi="Times New Roman" w:cs="Times New Roman"/>
          <w:bCs/>
          <w:i/>
          <w:iCs/>
          <w:sz w:val="26"/>
          <w:szCs w:val="26"/>
        </w:rPr>
        <w:t>Выводы:</w:t>
      </w:r>
    </w:p>
    <w:p w14:paraId="3A6EC2E3" w14:textId="77777777" w:rsidR="00905E1F" w:rsidRPr="00AC3806" w:rsidRDefault="00905E1F" w:rsidP="00905E1F">
      <w:pPr>
        <w:spacing w:after="0" w:line="240" w:lineRule="auto"/>
        <w:ind w:firstLine="567"/>
        <w:jc w:val="both"/>
        <w:rPr>
          <w:rFonts w:ascii="Times New Roman" w:hAnsi="Times New Roman" w:cs="Times New Roman"/>
          <w:sz w:val="26"/>
          <w:szCs w:val="26"/>
        </w:rPr>
      </w:pPr>
      <w:r w:rsidRPr="00AC3806">
        <w:rPr>
          <w:rFonts w:ascii="Times New Roman" w:hAnsi="Times New Roman" w:cs="Times New Roman"/>
          <w:sz w:val="26"/>
          <w:szCs w:val="26"/>
        </w:rPr>
        <w:t>Результаты определения кадастровой стоимости земельных участков Воронежской области являются корректными, достоверными и логичными, с точки зрения ценообразования и оценочного зонирования.</w:t>
      </w:r>
    </w:p>
    <w:p w14:paraId="463745A6" w14:textId="77777777" w:rsidR="00905E1F" w:rsidRPr="00AC3806" w:rsidRDefault="00905E1F" w:rsidP="00905E1F">
      <w:pPr>
        <w:spacing w:before="120" w:after="0" w:line="240" w:lineRule="auto"/>
        <w:ind w:firstLine="567"/>
        <w:jc w:val="both"/>
        <w:rPr>
          <w:rFonts w:ascii="Times New Roman" w:hAnsi="Times New Roman" w:cs="Times New Roman"/>
          <w:sz w:val="26"/>
          <w:szCs w:val="26"/>
        </w:rPr>
      </w:pPr>
      <w:r w:rsidRPr="00AC3806">
        <w:rPr>
          <w:rFonts w:ascii="Times New Roman" w:hAnsi="Times New Roman" w:cs="Times New Roman"/>
          <w:sz w:val="26"/>
          <w:szCs w:val="26"/>
        </w:rPr>
        <w:t>В ходе проверки определения кадастровой стоимости установлено, что работы выполнены в соответствии с Методическими указаниями, а результаты не превышают рыночное значение стоимости аналогичных объектов.</w:t>
      </w:r>
    </w:p>
    <w:p w14:paraId="5177BA36" w14:textId="77777777" w:rsidR="00905E1F" w:rsidRPr="00AC3806" w:rsidRDefault="00905E1F" w:rsidP="00905E1F">
      <w:pPr>
        <w:spacing w:before="120" w:after="0" w:line="240" w:lineRule="auto"/>
        <w:rPr>
          <w:rFonts w:ascii="Times New Roman" w:hAnsi="Times New Roman" w:cs="Times New Roman"/>
          <w:i/>
          <w:sz w:val="26"/>
          <w:szCs w:val="26"/>
        </w:rPr>
      </w:pPr>
    </w:p>
    <w:p w14:paraId="792F7956" w14:textId="77777777" w:rsidR="00905E1F" w:rsidRPr="00AC3806" w:rsidRDefault="00905E1F" w:rsidP="00905E1F">
      <w:pPr>
        <w:pStyle w:val="20"/>
        <w:ind w:firstLine="709"/>
        <w:rPr>
          <w:rFonts w:eastAsiaTheme="minorEastAsia" w:cs="Times New Roman"/>
          <w:sz w:val="26"/>
        </w:rPr>
      </w:pPr>
      <w:bookmarkStart w:id="325" w:name="_Toc106539021"/>
      <w:bookmarkStart w:id="326" w:name="_Toc110507042"/>
      <w:r w:rsidRPr="00AC3806">
        <w:rPr>
          <w:rFonts w:eastAsiaTheme="minorEastAsia" w:cs="Times New Roman"/>
          <w:sz w:val="26"/>
        </w:rPr>
        <w:t>4.1.5. Анализ соотношений кадастровой стоимости</w:t>
      </w:r>
      <w:bookmarkEnd w:id="325"/>
      <w:bookmarkEnd w:id="326"/>
    </w:p>
    <w:p w14:paraId="2D4EE2A3" w14:textId="77777777" w:rsidR="00905E1F" w:rsidRPr="00AC3806" w:rsidRDefault="00905E1F" w:rsidP="00905E1F">
      <w:pPr>
        <w:pStyle w:val="ab"/>
        <w:spacing w:before="120" w:after="0" w:line="240" w:lineRule="auto"/>
        <w:ind w:left="1068"/>
        <w:rPr>
          <w:rFonts w:ascii="Times New Roman" w:eastAsiaTheme="minorEastAsia" w:hAnsi="Times New Roman" w:cs="Times New Roman"/>
          <w:b/>
          <w:sz w:val="26"/>
          <w:szCs w:val="26"/>
        </w:rPr>
      </w:pPr>
    </w:p>
    <w:p w14:paraId="46594D93" w14:textId="77777777" w:rsidR="00905E1F" w:rsidRPr="00AC3806" w:rsidRDefault="00905E1F" w:rsidP="00905E1F">
      <w:pPr>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Ниже приведены диаграммы соотношения суммарных кадастровых стоимостей по сегментам в разрезе ГО и МО Воронежской области.</w:t>
      </w:r>
    </w:p>
    <w:p w14:paraId="6B01C961" w14:textId="77777777" w:rsidR="00905E1F" w:rsidRPr="00AC3806" w:rsidRDefault="00905E1F" w:rsidP="00905E1F">
      <w:pPr>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 xml:space="preserve">Основной причиной изменения кадастровой стоимости для земельных участков населенных пунктов, лесного и водного фонда за отчетный период является изменение ситуации на рынке недвижимости, т. е. увеличение или снижение цен на земельные участки различных сегментов.  </w:t>
      </w:r>
    </w:p>
    <w:p w14:paraId="3E978B4B" w14:textId="77777777" w:rsidR="00905E1F" w:rsidRPr="00AC3806" w:rsidRDefault="00905E1F" w:rsidP="00905E1F">
      <w:pPr>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В рамках проверки корректности результатов определения кадастровой стоимости, было проведено сравнение кадастровых стоимостей:</w:t>
      </w:r>
    </w:p>
    <w:p w14:paraId="56C79C3A" w14:textId="77777777" w:rsidR="00905E1F" w:rsidRPr="00AC3806" w:rsidRDefault="00905E1F" w:rsidP="00905E1F">
      <w:pPr>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1) в разрезе групп (подгрупп) объектов недвижимости в каждом из муниципальных образований Воронежской области сравниваются суммарные кадастровые стоимости каждой группы (подгруппы) объектов, расположенных в разных муниципальных образованиях Воронежской области;</w:t>
      </w:r>
    </w:p>
    <w:p w14:paraId="42C1510F" w14:textId="77777777" w:rsidR="00905E1F" w:rsidRPr="00AC3806" w:rsidRDefault="00905E1F" w:rsidP="00905E1F">
      <w:pPr>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2) в разрезе муниципальных образований для разных групп (подгрупп) - сравниваются суммарные кадастровые стоимости разных видов использования, расположенные в границах одного муниципального образования Воронежской области.</w:t>
      </w:r>
    </w:p>
    <w:p w14:paraId="0D4F8D2F" w14:textId="77777777" w:rsidR="00905E1F" w:rsidRPr="00AC3806" w:rsidRDefault="00905E1F" w:rsidP="00905E1F">
      <w:pPr>
        <w:spacing w:after="0" w:line="240" w:lineRule="auto"/>
        <w:ind w:firstLine="709"/>
        <w:jc w:val="both"/>
        <w:rPr>
          <w:rFonts w:ascii="Times New Roman" w:hAnsi="Times New Roman" w:cs="Times New Roman"/>
          <w:sz w:val="26"/>
          <w:szCs w:val="26"/>
        </w:rPr>
      </w:pPr>
      <w:r w:rsidRPr="00AC3806">
        <w:rPr>
          <w:rFonts w:ascii="Times New Roman" w:hAnsi="Times New Roman" w:cs="Times New Roman"/>
          <w:sz w:val="26"/>
          <w:szCs w:val="26"/>
        </w:rPr>
        <w:t>В ходе проверки определения кадастровой стоимости установлено, что работы выполнены в соответствии с Методическими указаниями.</w:t>
      </w:r>
    </w:p>
    <w:p w14:paraId="3FE80AA8" w14:textId="77777777" w:rsidR="00905E1F" w:rsidRPr="00AC3806" w:rsidRDefault="00905E1F" w:rsidP="00905E1F">
      <w:pPr>
        <w:spacing w:after="0" w:line="276" w:lineRule="auto"/>
        <w:ind w:firstLine="709"/>
        <w:rPr>
          <w:rFonts w:ascii="Times New Roman" w:hAnsi="Times New Roman" w:cs="Times New Roman"/>
          <w:sz w:val="26"/>
          <w:szCs w:val="26"/>
        </w:rPr>
      </w:pPr>
      <w:r w:rsidRPr="00AC3806">
        <w:rPr>
          <w:rFonts w:ascii="Times New Roman" w:hAnsi="Times New Roman" w:cs="Times New Roman"/>
          <w:sz w:val="26"/>
          <w:szCs w:val="26"/>
        </w:rPr>
        <w:t>По результатам проведенных контрольных работ составлен акт контроля качества результатов определения кадастровой стоимости (Приложение 3).</w:t>
      </w:r>
    </w:p>
    <w:p w14:paraId="43EDACEB" w14:textId="77777777" w:rsidR="00905E1F" w:rsidRPr="00AC3806" w:rsidRDefault="00905E1F" w:rsidP="00905E1F">
      <w:pPr>
        <w:spacing w:after="0" w:line="240" w:lineRule="auto"/>
        <w:ind w:firstLine="709"/>
        <w:jc w:val="center"/>
        <w:rPr>
          <w:rFonts w:ascii="Times New Roman" w:hAnsi="Times New Roman" w:cs="Times New Roman"/>
          <w:sz w:val="26"/>
          <w:szCs w:val="26"/>
        </w:rPr>
      </w:pPr>
    </w:p>
    <w:p w14:paraId="100F7DB4" w14:textId="77777777" w:rsidR="00905E1F" w:rsidRPr="00AC3806" w:rsidRDefault="00905E1F" w:rsidP="00905E1F">
      <w:pPr>
        <w:spacing w:after="0" w:line="276" w:lineRule="auto"/>
        <w:jc w:val="center"/>
        <w:rPr>
          <w:rFonts w:ascii="Times New Roman" w:hAnsi="Times New Roman" w:cs="Times New Roman"/>
          <w:sz w:val="26"/>
          <w:szCs w:val="26"/>
        </w:rPr>
      </w:pPr>
      <w:r w:rsidRPr="00AC3806">
        <w:rPr>
          <w:rFonts w:ascii="Times New Roman" w:hAnsi="Times New Roman" w:cs="Times New Roman"/>
          <w:noProof/>
          <w:sz w:val="26"/>
          <w:szCs w:val="26"/>
          <w:lang w:eastAsia="ru-RU"/>
        </w:rPr>
        <w:drawing>
          <wp:inline distT="0" distB="0" distL="0" distR="0" wp14:anchorId="6EC53F2A" wp14:editId="20152BD7">
            <wp:extent cx="5940425" cy="3228975"/>
            <wp:effectExtent l="0" t="0" r="317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5940425" cy="3228975"/>
                    </a:xfrm>
                    <a:prstGeom prst="rect">
                      <a:avLst/>
                    </a:prstGeom>
                  </pic:spPr>
                </pic:pic>
              </a:graphicData>
            </a:graphic>
          </wp:inline>
        </w:drawing>
      </w:r>
    </w:p>
    <w:p w14:paraId="3D561D0F"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color w:val="auto"/>
          <w:sz w:val="26"/>
          <w:szCs w:val="26"/>
          <w:lang w:eastAsia="en-US"/>
        </w:rPr>
        <w:t>Рис.4.1.5.1 – Суммарная кадастровая стоимость 1 сегмента в разрезе МО Воронежской области</w:t>
      </w:r>
    </w:p>
    <w:p w14:paraId="2BA5AAE8" w14:textId="77777777" w:rsidR="00905E1F" w:rsidRPr="00AC3806" w:rsidRDefault="00905E1F" w:rsidP="00905E1F">
      <w:pPr>
        <w:spacing w:after="0" w:line="276" w:lineRule="auto"/>
        <w:jc w:val="center"/>
        <w:rPr>
          <w:rFonts w:ascii="Times New Roman" w:hAnsi="Times New Roman" w:cs="Times New Roman"/>
          <w:sz w:val="26"/>
          <w:szCs w:val="26"/>
        </w:rPr>
      </w:pPr>
      <w:r w:rsidRPr="00AC3806">
        <w:rPr>
          <w:rFonts w:ascii="Times New Roman" w:hAnsi="Times New Roman" w:cs="Times New Roman"/>
          <w:noProof/>
          <w:sz w:val="26"/>
          <w:szCs w:val="26"/>
          <w:lang w:eastAsia="ru-RU"/>
        </w:rPr>
        <w:drawing>
          <wp:inline distT="0" distB="0" distL="0" distR="0" wp14:anchorId="673F9B10" wp14:editId="0E2CAB5A">
            <wp:extent cx="5940425" cy="3228975"/>
            <wp:effectExtent l="0" t="0" r="3175" b="9525"/>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5940425" cy="3228975"/>
                    </a:xfrm>
                    <a:prstGeom prst="rect">
                      <a:avLst/>
                    </a:prstGeom>
                  </pic:spPr>
                </pic:pic>
              </a:graphicData>
            </a:graphic>
          </wp:inline>
        </w:drawing>
      </w:r>
    </w:p>
    <w:p w14:paraId="0D9A53B0"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color w:val="auto"/>
          <w:sz w:val="26"/>
          <w:szCs w:val="26"/>
          <w:lang w:eastAsia="en-US"/>
        </w:rPr>
        <w:t>Рис.4.1.5.2 – Суммарная кадастровая стоимость 2 сегмента в разрезе МО Воронежской области</w:t>
      </w:r>
    </w:p>
    <w:p w14:paraId="74892C66" w14:textId="77777777" w:rsidR="00905E1F" w:rsidRPr="00AC3806" w:rsidRDefault="00905E1F" w:rsidP="00905E1F">
      <w:pPr>
        <w:spacing w:after="0" w:line="276" w:lineRule="auto"/>
        <w:ind w:firstLine="709"/>
        <w:jc w:val="center"/>
        <w:rPr>
          <w:rFonts w:ascii="Times New Roman" w:hAnsi="Times New Roman" w:cs="Times New Roman"/>
          <w:sz w:val="26"/>
          <w:szCs w:val="26"/>
        </w:rPr>
      </w:pPr>
    </w:p>
    <w:p w14:paraId="4D793E5D" w14:textId="77777777" w:rsidR="00905E1F" w:rsidRPr="00AC3806" w:rsidRDefault="00905E1F" w:rsidP="00905E1F">
      <w:pPr>
        <w:spacing w:after="0" w:line="276" w:lineRule="auto"/>
        <w:jc w:val="center"/>
        <w:rPr>
          <w:rFonts w:ascii="Times New Roman" w:hAnsi="Times New Roman" w:cs="Times New Roman"/>
          <w:sz w:val="26"/>
          <w:szCs w:val="26"/>
        </w:rPr>
      </w:pPr>
      <w:r w:rsidRPr="00AC3806">
        <w:rPr>
          <w:rFonts w:ascii="Times New Roman" w:hAnsi="Times New Roman" w:cs="Times New Roman"/>
          <w:noProof/>
          <w:sz w:val="26"/>
          <w:szCs w:val="26"/>
          <w:lang w:eastAsia="ru-RU"/>
        </w:rPr>
        <w:drawing>
          <wp:inline distT="0" distB="0" distL="0" distR="0" wp14:anchorId="62B65CCE" wp14:editId="0913451F">
            <wp:extent cx="5940425" cy="3228975"/>
            <wp:effectExtent l="0" t="0" r="3175" b="9525"/>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5940425" cy="3228975"/>
                    </a:xfrm>
                    <a:prstGeom prst="rect">
                      <a:avLst/>
                    </a:prstGeom>
                  </pic:spPr>
                </pic:pic>
              </a:graphicData>
            </a:graphic>
          </wp:inline>
        </w:drawing>
      </w:r>
    </w:p>
    <w:p w14:paraId="3F5A529F"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color w:val="auto"/>
          <w:sz w:val="26"/>
          <w:szCs w:val="26"/>
          <w:lang w:eastAsia="en-US"/>
        </w:rPr>
        <w:t>Рис.4.1.5.3 – Суммарная кадастровая стоимость 3 сегмента в разрезе МО Воронежской области</w:t>
      </w:r>
    </w:p>
    <w:p w14:paraId="072079A1"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p>
    <w:p w14:paraId="03E6BD21" w14:textId="77777777" w:rsidR="00905E1F" w:rsidRPr="00AC3806" w:rsidRDefault="00905E1F" w:rsidP="00905E1F">
      <w:pPr>
        <w:spacing w:after="0" w:line="276" w:lineRule="auto"/>
        <w:jc w:val="center"/>
        <w:rPr>
          <w:rFonts w:ascii="Times New Roman" w:hAnsi="Times New Roman" w:cs="Times New Roman"/>
          <w:sz w:val="26"/>
          <w:szCs w:val="26"/>
        </w:rPr>
      </w:pPr>
      <w:r w:rsidRPr="00AC3806">
        <w:rPr>
          <w:rFonts w:ascii="Times New Roman" w:hAnsi="Times New Roman" w:cs="Times New Roman"/>
          <w:noProof/>
          <w:sz w:val="26"/>
          <w:szCs w:val="26"/>
          <w:lang w:eastAsia="ru-RU"/>
        </w:rPr>
        <w:drawing>
          <wp:inline distT="0" distB="0" distL="0" distR="0" wp14:anchorId="434F7A86" wp14:editId="5B1C2C5D">
            <wp:extent cx="5940425" cy="3228975"/>
            <wp:effectExtent l="0" t="0" r="3175" b="9525"/>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5940425" cy="3228975"/>
                    </a:xfrm>
                    <a:prstGeom prst="rect">
                      <a:avLst/>
                    </a:prstGeom>
                  </pic:spPr>
                </pic:pic>
              </a:graphicData>
            </a:graphic>
          </wp:inline>
        </w:drawing>
      </w:r>
    </w:p>
    <w:p w14:paraId="45F251D6"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color w:val="auto"/>
          <w:sz w:val="26"/>
          <w:szCs w:val="26"/>
          <w:lang w:eastAsia="en-US"/>
        </w:rPr>
        <w:t>Рис.4.1.5.4 – Суммарная кадастровая стоимость 4 сегмента в разрезе МО Воронежской области</w:t>
      </w:r>
    </w:p>
    <w:p w14:paraId="7C3A5714"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p>
    <w:p w14:paraId="652BA063"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noProof/>
          <w:color w:val="auto"/>
          <w:sz w:val="26"/>
          <w:szCs w:val="26"/>
        </w:rPr>
        <w:drawing>
          <wp:inline distT="0" distB="0" distL="0" distR="0" wp14:anchorId="62DEC2C6" wp14:editId="16E321B7">
            <wp:extent cx="5940425" cy="3228975"/>
            <wp:effectExtent l="0" t="0" r="3175" b="9525"/>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5940425" cy="3228975"/>
                    </a:xfrm>
                    <a:prstGeom prst="rect">
                      <a:avLst/>
                    </a:prstGeom>
                  </pic:spPr>
                </pic:pic>
              </a:graphicData>
            </a:graphic>
          </wp:inline>
        </w:drawing>
      </w:r>
    </w:p>
    <w:p w14:paraId="55B4D533"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color w:val="auto"/>
          <w:sz w:val="26"/>
          <w:szCs w:val="26"/>
          <w:lang w:eastAsia="en-US"/>
        </w:rPr>
        <w:t>Рис.4.1.5.5 – Суммарная кадастровая стоимость 5 сегмента в разрезе МО Воронежской области</w:t>
      </w:r>
    </w:p>
    <w:p w14:paraId="1563DA33"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p>
    <w:p w14:paraId="32B693BF"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noProof/>
          <w:color w:val="auto"/>
          <w:sz w:val="26"/>
          <w:szCs w:val="26"/>
        </w:rPr>
        <w:drawing>
          <wp:inline distT="0" distB="0" distL="0" distR="0" wp14:anchorId="22911FA8" wp14:editId="34783005">
            <wp:extent cx="5940425" cy="3228975"/>
            <wp:effectExtent l="0" t="0" r="317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5940425" cy="3228975"/>
                    </a:xfrm>
                    <a:prstGeom prst="rect">
                      <a:avLst/>
                    </a:prstGeom>
                  </pic:spPr>
                </pic:pic>
              </a:graphicData>
            </a:graphic>
          </wp:inline>
        </w:drawing>
      </w:r>
    </w:p>
    <w:p w14:paraId="214EC93A"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color w:val="auto"/>
          <w:sz w:val="26"/>
          <w:szCs w:val="26"/>
          <w:lang w:eastAsia="en-US"/>
        </w:rPr>
        <w:t>Рис.4.1.5.6 – Суммарная кадастровая стоимость 6 сегмента в разрезе МО Воронежской области</w:t>
      </w:r>
    </w:p>
    <w:p w14:paraId="668A6A71" w14:textId="77777777" w:rsidR="00905E1F" w:rsidRPr="00AC3806" w:rsidRDefault="00905E1F" w:rsidP="00905E1F">
      <w:pPr>
        <w:spacing w:after="0" w:line="276" w:lineRule="auto"/>
        <w:jc w:val="center"/>
        <w:rPr>
          <w:rFonts w:ascii="Times New Roman" w:hAnsi="Times New Roman" w:cs="Times New Roman"/>
          <w:sz w:val="26"/>
          <w:szCs w:val="26"/>
        </w:rPr>
      </w:pPr>
    </w:p>
    <w:p w14:paraId="67226FFA" w14:textId="77777777" w:rsidR="00905E1F" w:rsidRPr="00AC3806" w:rsidRDefault="00905E1F" w:rsidP="00905E1F">
      <w:pPr>
        <w:spacing w:after="0" w:line="276" w:lineRule="auto"/>
        <w:jc w:val="center"/>
        <w:rPr>
          <w:rFonts w:ascii="Times New Roman" w:hAnsi="Times New Roman" w:cs="Times New Roman"/>
          <w:sz w:val="26"/>
          <w:szCs w:val="26"/>
        </w:rPr>
      </w:pPr>
      <w:r w:rsidRPr="00AC3806">
        <w:rPr>
          <w:rFonts w:ascii="Times New Roman" w:hAnsi="Times New Roman" w:cs="Times New Roman"/>
          <w:noProof/>
          <w:sz w:val="26"/>
          <w:szCs w:val="26"/>
          <w:lang w:eastAsia="ru-RU"/>
        </w:rPr>
        <w:drawing>
          <wp:inline distT="0" distB="0" distL="0" distR="0" wp14:anchorId="01D70E4E" wp14:editId="324C7BB0">
            <wp:extent cx="5940425" cy="3228975"/>
            <wp:effectExtent l="0" t="0" r="317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5940425" cy="3228975"/>
                    </a:xfrm>
                    <a:prstGeom prst="rect">
                      <a:avLst/>
                    </a:prstGeom>
                  </pic:spPr>
                </pic:pic>
              </a:graphicData>
            </a:graphic>
          </wp:inline>
        </w:drawing>
      </w:r>
    </w:p>
    <w:p w14:paraId="2F2EBE7C"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color w:val="auto"/>
          <w:sz w:val="26"/>
          <w:szCs w:val="26"/>
          <w:lang w:eastAsia="en-US"/>
        </w:rPr>
        <w:t>Рис.4.1.5.7 – Суммарная кадастровая стоимость 7 сегмента в разрезе МО Воронежской области</w:t>
      </w:r>
    </w:p>
    <w:p w14:paraId="2F4E6DC5"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p>
    <w:p w14:paraId="6ED5E66C"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noProof/>
          <w:color w:val="auto"/>
          <w:sz w:val="26"/>
          <w:szCs w:val="26"/>
        </w:rPr>
        <w:drawing>
          <wp:inline distT="0" distB="0" distL="0" distR="0" wp14:anchorId="3B31CF01" wp14:editId="00DF2F76">
            <wp:extent cx="5940425" cy="3228975"/>
            <wp:effectExtent l="0" t="0" r="317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5940425" cy="3228975"/>
                    </a:xfrm>
                    <a:prstGeom prst="rect">
                      <a:avLst/>
                    </a:prstGeom>
                  </pic:spPr>
                </pic:pic>
              </a:graphicData>
            </a:graphic>
          </wp:inline>
        </w:drawing>
      </w:r>
    </w:p>
    <w:p w14:paraId="1EF59E7E"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color w:val="auto"/>
          <w:sz w:val="26"/>
          <w:szCs w:val="26"/>
          <w:lang w:eastAsia="en-US"/>
        </w:rPr>
        <w:t>Рис.4.1.5.8 – Суммарная кадастровая стоимость 8 сегмента в разрезе МО Воронежской области</w:t>
      </w:r>
    </w:p>
    <w:p w14:paraId="4FCE18EC"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p>
    <w:p w14:paraId="309EE4B6" w14:textId="77777777" w:rsidR="00905E1F" w:rsidRPr="00AC3806" w:rsidRDefault="00905E1F" w:rsidP="00905E1F">
      <w:pPr>
        <w:pStyle w:val="Index3Char"/>
        <w:spacing w:line="276" w:lineRule="auto"/>
        <w:jc w:val="center"/>
        <w:rPr>
          <w:rFonts w:ascii="Times New Roman" w:hAnsi="Times New Roman" w:cs="Times New Roman"/>
          <w:noProof/>
          <w:color w:val="auto"/>
        </w:rPr>
      </w:pPr>
      <w:r w:rsidRPr="00AC3806">
        <w:rPr>
          <w:rFonts w:ascii="Times New Roman" w:hAnsi="Times New Roman" w:cs="Times New Roman"/>
          <w:noProof/>
          <w:color w:val="auto"/>
        </w:rPr>
        <w:drawing>
          <wp:inline distT="0" distB="0" distL="0" distR="0" wp14:anchorId="0D2C6A08" wp14:editId="7BEC762B">
            <wp:extent cx="5940425" cy="3228975"/>
            <wp:effectExtent l="0" t="0" r="317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5940425" cy="3228975"/>
                    </a:xfrm>
                    <a:prstGeom prst="rect">
                      <a:avLst/>
                    </a:prstGeom>
                  </pic:spPr>
                </pic:pic>
              </a:graphicData>
            </a:graphic>
          </wp:inline>
        </w:drawing>
      </w:r>
    </w:p>
    <w:p w14:paraId="5AB8DED3"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color w:val="auto"/>
          <w:sz w:val="26"/>
          <w:szCs w:val="26"/>
          <w:lang w:eastAsia="en-US"/>
        </w:rPr>
        <w:t>Рис.4.1.5.9 – Суммарная кадастровая стоимость 9 сегмента в разрезе МО Воронежской области</w:t>
      </w:r>
    </w:p>
    <w:p w14:paraId="01493426"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p>
    <w:p w14:paraId="70625411"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noProof/>
          <w:color w:val="auto"/>
          <w:sz w:val="26"/>
          <w:szCs w:val="26"/>
        </w:rPr>
        <w:drawing>
          <wp:inline distT="0" distB="0" distL="0" distR="0" wp14:anchorId="397E3CFB" wp14:editId="3AF633E3">
            <wp:extent cx="5940425" cy="3228975"/>
            <wp:effectExtent l="0" t="0" r="317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5940425" cy="3228975"/>
                    </a:xfrm>
                    <a:prstGeom prst="rect">
                      <a:avLst/>
                    </a:prstGeom>
                  </pic:spPr>
                </pic:pic>
              </a:graphicData>
            </a:graphic>
          </wp:inline>
        </w:drawing>
      </w:r>
    </w:p>
    <w:p w14:paraId="07400E36"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color w:val="auto"/>
          <w:sz w:val="26"/>
          <w:szCs w:val="26"/>
          <w:lang w:eastAsia="en-US"/>
        </w:rPr>
        <w:t>Рис.4.1.5.10 – Суммарная кадастровая стоимость 10 сегмента в разрезе МО Воронежской области</w:t>
      </w:r>
    </w:p>
    <w:p w14:paraId="3F6DDA33"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p>
    <w:p w14:paraId="7458B349"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noProof/>
          <w:color w:val="auto"/>
          <w:sz w:val="26"/>
          <w:szCs w:val="26"/>
        </w:rPr>
        <w:drawing>
          <wp:inline distT="0" distB="0" distL="0" distR="0" wp14:anchorId="123168FA" wp14:editId="0C950CAD">
            <wp:extent cx="5940425" cy="3228975"/>
            <wp:effectExtent l="0" t="0" r="317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5940425" cy="3228975"/>
                    </a:xfrm>
                    <a:prstGeom prst="rect">
                      <a:avLst/>
                    </a:prstGeom>
                  </pic:spPr>
                </pic:pic>
              </a:graphicData>
            </a:graphic>
          </wp:inline>
        </w:drawing>
      </w:r>
    </w:p>
    <w:p w14:paraId="09E2F2C8"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color w:val="auto"/>
          <w:sz w:val="26"/>
          <w:szCs w:val="26"/>
          <w:lang w:eastAsia="en-US"/>
        </w:rPr>
        <w:t>Рис.4.1.5.11 – Суммарная кадастровая стоимость 11 сегмента в разрезе МО Воронежской области</w:t>
      </w:r>
    </w:p>
    <w:p w14:paraId="62888E7D"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p>
    <w:p w14:paraId="2BCF3537"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noProof/>
          <w:color w:val="auto"/>
          <w:sz w:val="26"/>
          <w:szCs w:val="26"/>
        </w:rPr>
        <w:drawing>
          <wp:inline distT="0" distB="0" distL="0" distR="0" wp14:anchorId="4D13F1C2" wp14:editId="112E8010">
            <wp:extent cx="5940425" cy="3228975"/>
            <wp:effectExtent l="0" t="0" r="317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5940425" cy="3228975"/>
                    </a:xfrm>
                    <a:prstGeom prst="rect">
                      <a:avLst/>
                    </a:prstGeom>
                  </pic:spPr>
                </pic:pic>
              </a:graphicData>
            </a:graphic>
          </wp:inline>
        </w:drawing>
      </w:r>
    </w:p>
    <w:p w14:paraId="473956B9"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r w:rsidRPr="00AC3806">
        <w:rPr>
          <w:rFonts w:ascii="Times New Roman" w:eastAsiaTheme="minorHAnsi" w:hAnsi="Times New Roman" w:cs="Times New Roman"/>
          <w:b w:val="0"/>
          <w:bCs w:val="0"/>
          <w:color w:val="auto"/>
          <w:sz w:val="26"/>
          <w:szCs w:val="26"/>
          <w:lang w:eastAsia="en-US"/>
        </w:rPr>
        <w:t>Рис.4.1.5.12 – Суммарная кадастровая стоимость 12 сегмента в разрезе МО Воронежской области</w:t>
      </w:r>
    </w:p>
    <w:p w14:paraId="7DC0C594" w14:textId="77777777" w:rsidR="00905E1F" w:rsidRPr="00AC3806" w:rsidRDefault="00905E1F" w:rsidP="00905E1F">
      <w:pPr>
        <w:pStyle w:val="Index3Char"/>
        <w:spacing w:line="276" w:lineRule="auto"/>
        <w:jc w:val="center"/>
        <w:rPr>
          <w:rFonts w:ascii="Times New Roman" w:eastAsiaTheme="minorHAnsi" w:hAnsi="Times New Roman" w:cs="Times New Roman"/>
          <w:b w:val="0"/>
          <w:bCs w:val="0"/>
          <w:color w:val="auto"/>
          <w:sz w:val="26"/>
          <w:szCs w:val="26"/>
          <w:lang w:eastAsia="en-US"/>
        </w:rPr>
      </w:pPr>
    </w:p>
    <w:p w14:paraId="6768BED1" w14:textId="77777777" w:rsidR="00905E1F" w:rsidRPr="00AC3806" w:rsidRDefault="00905E1F" w:rsidP="00905E1F">
      <w:pPr>
        <w:spacing w:after="0" w:line="276" w:lineRule="auto"/>
        <w:jc w:val="center"/>
        <w:rPr>
          <w:rFonts w:ascii="Times New Roman" w:hAnsi="Times New Roman" w:cs="Times New Roman"/>
          <w:sz w:val="26"/>
          <w:szCs w:val="26"/>
        </w:rPr>
      </w:pPr>
      <w:r w:rsidRPr="00AC3806">
        <w:rPr>
          <w:rFonts w:ascii="Times New Roman" w:hAnsi="Times New Roman" w:cs="Times New Roman"/>
          <w:noProof/>
          <w:sz w:val="26"/>
          <w:szCs w:val="26"/>
          <w:lang w:eastAsia="ru-RU"/>
        </w:rPr>
        <w:drawing>
          <wp:inline distT="0" distB="0" distL="0" distR="0" wp14:anchorId="3FF39E75" wp14:editId="0012D4A3">
            <wp:extent cx="5940425" cy="3228975"/>
            <wp:effectExtent l="0" t="0" r="317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5940425" cy="3228975"/>
                    </a:xfrm>
                    <a:prstGeom prst="rect">
                      <a:avLst/>
                    </a:prstGeom>
                  </pic:spPr>
                </pic:pic>
              </a:graphicData>
            </a:graphic>
          </wp:inline>
        </w:drawing>
      </w:r>
    </w:p>
    <w:p w14:paraId="386D421A" w14:textId="77777777" w:rsidR="00905E1F" w:rsidRPr="00AC3806" w:rsidRDefault="00905E1F" w:rsidP="00905E1F">
      <w:pPr>
        <w:pStyle w:val="Index3Char"/>
        <w:spacing w:line="276" w:lineRule="auto"/>
        <w:jc w:val="center"/>
        <w:rPr>
          <w:rFonts w:ascii="Times New Roman" w:hAnsi="Times New Roman" w:cs="Times New Roman"/>
          <w:color w:val="auto"/>
          <w:sz w:val="26"/>
          <w:szCs w:val="26"/>
        </w:rPr>
      </w:pPr>
      <w:r w:rsidRPr="00AC3806">
        <w:rPr>
          <w:rFonts w:ascii="Times New Roman" w:eastAsiaTheme="minorHAnsi" w:hAnsi="Times New Roman" w:cs="Times New Roman"/>
          <w:b w:val="0"/>
          <w:bCs w:val="0"/>
          <w:color w:val="auto"/>
          <w:sz w:val="26"/>
          <w:szCs w:val="26"/>
          <w:lang w:eastAsia="en-US"/>
        </w:rPr>
        <w:t>Рис.4.1.5.13 – Суммарная кадастровая стоимость 13 сегмента в разрезе МО Воронежской области</w:t>
      </w:r>
    </w:p>
    <w:p w14:paraId="528DA1AE" w14:textId="77777777" w:rsidR="00905E1F" w:rsidRPr="00AC3806" w:rsidRDefault="00905E1F" w:rsidP="00905E1F">
      <w:pPr>
        <w:spacing w:after="0" w:line="276" w:lineRule="auto"/>
        <w:ind w:firstLine="709"/>
        <w:rPr>
          <w:rFonts w:ascii="Times New Roman" w:hAnsi="Times New Roman" w:cs="Times New Roman"/>
          <w:sz w:val="26"/>
          <w:szCs w:val="26"/>
        </w:rPr>
      </w:pPr>
    </w:p>
    <w:p w14:paraId="1E807FEE" w14:textId="77777777" w:rsidR="00905E1F" w:rsidRPr="00AC3806" w:rsidRDefault="00905E1F" w:rsidP="00905E1F">
      <w:pPr>
        <w:pStyle w:val="Index3Char"/>
        <w:spacing w:line="276" w:lineRule="auto"/>
        <w:jc w:val="center"/>
        <w:rPr>
          <w:color w:val="auto"/>
        </w:rPr>
      </w:pPr>
    </w:p>
    <w:p w14:paraId="42B8A0A2" w14:textId="77777777" w:rsidR="00905E1F" w:rsidRPr="00AC3806" w:rsidRDefault="00905E1F" w:rsidP="00905E1F">
      <w:pPr>
        <w:pStyle w:val="Index3Char"/>
        <w:spacing w:line="276" w:lineRule="auto"/>
        <w:jc w:val="both"/>
        <w:rPr>
          <w:rFonts w:ascii="Times New Roman" w:hAnsi="Times New Roman" w:cs="Times New Roman"/>
          <w:color w:val="auto"/>
          <w:sz w:val="26"/>
          <w:szCs w:val="26"/>
        </w:rPr>
      </w:pPr>
    </w:p>
    <w:p w14:paraId="3FF73228" w14:textId="77777777" w:rsidR="00905E1F" w:rsidRPr="00AC3806" w:rsidRDefault="00905E1F" w:rsidP="00905E1F">
      <w:pPr>
        <w:spacing w:after="0" w:line="276" w:lineRule="auto"/>
        <w:rPr>
          <w:rFonts w:ascii="Times New Roman" w:eastAsia="MS ??" w:hAnsi="Times New Roman" w:cs="Times New Roman"/>
          <w:b/>
          <w:bCs/>
          <w:sz w:val="26"/>
          <w:szCs w:val="26"/>
          <w:lang w:eastAsia="ru-RU"/>
        </w:rPr>
        <w:sectPr w:rsidR="00905E1F" w:rsidRPr="00AC3806" w:rsidSect="00905E1F">
          <w:type w:val="nextColumn"/>
          <w:pgSz w:w="11906" w:h="16838"/>
          <w:pgMar w:top="1134" w:right="851" w:bottom="1134" w:left="1701" w:header="708" w:footer="708" w:gutter="0"/>
          <w:cols w:space="720"/>
        </w:sectPr>
      </w:pPr>
    </w:p>
    <w:p w14:paraId="094BF111" w14:textId="77777777" w:rsidR="00905E1F" w:rsidRPr="00AC3806" w:rsidRDefault="00905E1F" w:rsidP="00905E1F">
      <w:pPr>
        <w:spacing w:after="0" w:line="276" w:lineRule="auto"/>
        <w:ind w:firstLine="709"/>
        <w:jc w:val="right"/>
        <w:rPr>
          <w:rFonts w:ascii="Times New Roman" w:hAnsi="Times New Roman" w:cs="Times New Roman"/>
          <w:sz w:val="26"/>
          <w:szCs w:val="26"/>
        </w:rPr>
      </w:pPr>
      <w:r w:rsidRPr="00AC3806">
        <w:rPr>
          <w:rFonts w:ascii="Times New Roman" w:hAnsi="Times New Roman" w:cs="Times New Roman"/>
          <w:sz w:val="26"/>
          <w:szCs w:val="26"/>
        </w:rPr>
        <w:t>Таблица 4.1.5.1</w:t>
      </w:r>
    </w:p>
    <w:p w14:paraId="416BC60F" w14:textId="77777777" w:rsidR="00905E1F" w:rsidRPr="00AC3806" w:rsidRDefault="00905E1F" w:rsidP="00905E1F">
      <w:pPr>
        <w:spacing w:after="0" w:line="276" w:lineRule="auto"/>
        <w:ind w:firstLine="709"/>
        <w:jc w:val="center"/>
        <w:rPr>
          <w:rFonts w:ascii="Times New Roman" w:hAnsi="Times New Roman" w:cs="Times New Roman"/>
          <w:sz w:val="26"/>
          <w:szCs w:val="26"/>
        </w:rPr>
      </w:pPr>
      <w:r w:rsidRPr="00AC3806">
        <w:rPr>
          <w:rFonts w:ascii="Times New Roman" w:hAnsi="Times New Roman" w:cs="Times New Roman"/>
          <w:sz w:val="26"/>
          <w:szCs w:val="26"/>
        </w:rPr>
        <w:t>Анализ соотношений кадастровой стоимости средних УПКС в разрезе 1 сегмента МО Воронежской области</w:t>
      </w:r>
    </w:p>
    <w:tbl>
      <w:tblPr>
        <w:tblW w:w="14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6"/>
        <w:gridCol w:w="1842"/>
        <w:gridCol w:w="2126"/>
        <w:gridCol w:w="1417"/>
        <w:gridCol w:w="1844"/>
        <w:gridCol w:w="1418"/>
        <w:gridCol w:w="1134"/>
        <w:gridCol w:w="1560"/>
      </w:tblGrid>
      <w:tr w:rsidR="00905E1F" w:rsidRPr="00AC3806" w14:paraId="6F9E27CA" w14:textId="77777777" w:rsidTr="00C749ED">
        <w:trPr>
          <w:trHeight w:val="900"/>
        </w:trPr>
        <w:tc>
          <w:tcPr>
            <w:tcW w:w="1985" w:type="dxa"/>
            <w:shd w:val="clear" w:color="auto" w:fill="auto"/>
            <w:vAlign w:val="center"/>
            <w:hideMark/>
          </w:tcPr>
          <w:p w14:paraId="5E99FFB8"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Муниципальное образование</w:t>
            </w:r>
          </w:p>
        </w:tc>
        <w:tc>
          <w:tcPr>
            <w:tcW w:w="1276" w:type="dxa"/>
            <w:shd w:val="clear" w:color="auto" w:fill="auto"/>
            <w:vAlign w:val="center"/>
            <w:hideMark/>
          </w:tcPr>
          <w:p w14:paraId="54F4209E"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Количество объектов</w:t>
            </w:r>
          </w:p>
        </w:tc>
        <w:tc>
          <w:tcPr>
            <w:tcW w:w="1842" w:type="dxa"/>
            <w:shd w:val="clear" w:color="auto" w:fill="auto"/>
            <w:vAlign w:val="center"/>
            <w:hideMark/>
          </w:tcPr>
          <w:p w14:paraId="34942105"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Суммарная кадастровая стоимость</w:t>
            </w:r>
          </w:p>
        </w:tc>
        <w:tc>
          <w:tcPr>
            <w:tcW w:w="2126" w:type="dxa"/>
            <w:shd w:val="clear" w:color="auto" w:fill="auto"/>
            <w:vAlign w:val="center"/>
            <w:hideMark/>
          </w:tcPr>
          <w:p w14:paraId="31C38B91"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Суммарная кадастровая стоимость предыдущего тура оценки</w:t>
            </w:r>
          </w:p>
        </w:tc>
        <w:tc>
          <w:tcPr>
            <w:tcW w:w="1417" w:type="dxa"/>
            <w:shd w:val="clear" w:color="auto" w:fill="auto"/>
            <w:vAlign w:val="center"/>
            <w:hideMark/>
          </w:tcPr>
          <w:p w14:paraId="35CE0FD8"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Суммарная площадь</w:t>
            </w:r>
          </w:p>
        </w:tc>
        <w:tc>
          <w:tcPr>
            <w:tcW w:w="1844" w:type="dxa"/>
            <w:shd w:val="clear" w:color="auto" w:fill="auto"/>
            <w:vAlign w:val="center"/>
            <w:hideMark/>
          </w:tcPr>
          <w:p w14:paraId="3D42A6F6"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Разница, руб.</w:t>
            </w:r>
          </w:p>
        </w:tc>
        <w:tc>
          <w:tcPr>
            <w:tcW w:w="1418" w:type="dxa"/>
            <w:shd w:val="clear" w:color="auto" w:fill="auto"/>
            <w:vAlign w:val="center"/>
            <w:hideMark/>
          </w:tcPr>
          <w:p w14:paraId="410C0EDF"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Относительная разница, %</w:t>
            </w:r>
          </w:p>
        </w:tc>
        <w:tc>
          <w:tcPr>
            <w:tcW w:w="1134" w:type="dxa"/>
            <w:shd w:val="clear" w:color="auto" w:fill="auto"/>
            <w:vAlign w:val="center"/>
            <w:hideMark/>
          </w:tcPr>
          <w:p w14:paraId="06A3633F"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УПКС</w:t>
            </w:r>
          </w:p>
        </w:tc>
        <w:tc>
          <w:tcPr>
            <w:tcW w:w="1560" w:type="dxa"/>
            <w:shd w:val="clear" w:color="auto" w:fill="auto"/>
            <w:vAlign w:val="center"/>
            <w:hideMark/>
          </w:tcPr>
          <w:p w14:paraId="45232062"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УПКС предыдущего тура оценки</w:t>
            </w:r>
          </w:p>
        </w:tc>
      </w:tr>
      <w:tr w:rsidR="00905E1F" w:rsidRPr="00AC3806" w14:paraId="4CD33740" w14:textId="77777777" w:rsidTr="00C749ED">
        <w:trPr>
          <w:trHeight w:val="300"/>
        </w:trPr>
        <w:tc>
          <w:tcPr>
            <w:tcW w:w="1985" w:type="dxa"/>
            <w:shd w:val="clear" w:color="auto" w:fill="auto"/>
            <w:vAlign w:val="center"/>
            <w:hideMark/>
          </w:tcPr>
          <w:p w14:paraId="21696892"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1</w:t>
            </w:r>
          </w:p>
        </w:tc>
        <w:tc>
          <w:tcPr>
            <w:tcW w:w="1276" w:type="dxa"/>
            <w:shd w:val="clear" w:color="auto" w:fill="auto"/>
            <w:vAlign w:val="center"/>
            <w:hideMark/>
          </w:tcPr>
          <w:p w14:paraId="63DD6A00"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2</w:t>
            </w:r>
          </w:p>
        </w:tc>
        <w:tc>
          <w:tcPr>
            <w:tcW w:w="1842" w:type="dxa"/>
            <w:shd w:val="clear" w:color="auto" w:fill="auto"/>
            <w:vAlign w:val="center"/>
            <w:hideMark/>
          </w:tcPr>
          <w:p w14:paraId="40386E59"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3</w:t>
            </w:r>
          </w:p>
        </w:tc>
        <w:tc>
          <w:tcPr>
            <w:tcW w:w="2126" w:type="dxa"/>
            <w:shd w:val="clear" w:color="auto" w:fill="auto"/>
            <w:vAlign w:val="center"/>
            <w:hideMark/>
          </w:tcPr>
          <w:p w14:paraId="4FEE18D5"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4</w:t>
            </w:r>
          </w:p>
        </w:tc>
        <w:tc>
          <w:tcPr>
            <w:tcW w:w="1417" w:type="dxa"/>
            <w:shd w:val="clear" w:color="auto" w:fill="auto"/>
            <w:vAlign w:val="center"/>
            <w:hideMark/>
          </w:tcPr>
          <w:p w14:paraId="7C3B8EAC"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5</w:t>
            </w:r>
          </w:p>
        </w:tc>
        <w:tc>
          <w:tcPr>
            <w:tcW w:w="1844" w:type="dxa"/>
            <w:shd w:val="clear" w:color="auto" w:fill="auto"/>
            <w:vAlign w:val="center"/>
            <w:hideMark/>
          </w:tcPr>
          <w:p w14:paraId="13DD60E3"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6</w:t>
            </w:r>
          </w:p>
        </w:tc>
        <w:tc>
          <w:tcPr>
            <w:tcW w:w="1418" w:type="dxa"/>
            <w:shd w:val="clear" w:color="auto" w:fill="auto"/>
            <w:vAlign w:val="center"/>
            <w:hideMark/>
          </w:tcPr>
          <w:p w14:paraId="2EDA9672"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7</w:t>
            </w:r>
          </w:p>
        </w:tc>
        <w:tc>
          <w:tcPr>
            <w:tcW w:w="1134" w:type="dxa"/>
            <w:shd w:val="clear" w:color="auto" w:fill="auto"/>
            <w:vAlign w:val="center"/>
            <w:hideMark/>
          </w:tcPr>
          <w:p w14:paraId="12CA4CD0"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8</w:t>
            </w:r>
          </w:p>
        </w:tc>
        <w:tc>
          <w:tcPr>
            <w:tcW w:w="1560" w:type="dxa"/>
            <w:shd w:val="clear" w:color="auto" w:fill="auto"/>
            <w:vAlign w:val="center"/>
            <w:hideMark/>
          </w:tcPr>
          <w:p w14:paraId="75F18048"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9</w:t>
            </w:r>
          </w:p>
        </w:tc>
      </w:tr>
      <w:tr w:rsidR="00905E1F" w:rsidRPr="00AC3806" w14:paraId="53F521E0" w14:textId="77777777" w:rsidTr="00C749ED">
        <w:trPr>
          <w:trHeight w:val="300"/>
        </w:trPr>
        <w:tc>
          <w:tcPr>
            <w:tcW w:w="1985" w:type="dxa"/>
            <w:shd w:val="clear" w:color="auto" w:fill="auto"/>
            <w:noWrap/>
            <w:vAlign w:val="center"/>
            <w:hideMark/>
          </w:tcPr>
          <w:p w14:paraId="5DFB7E12"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Аннинский муниципальный район</w:t>
            </w:r>
          </w:p>
        </w:tc>
        <w:tc>
          <w:tcPr>
            <w:tcW w:w="1276" w:type="dxa"/>
            <w:shd w:val="clear" w:color="auto" w:fill="auto"/>
            <w:noWrap/>
            <w:vAlign w:val="center"/>
            <w:hideMark/>
          </w:tcPr>
          <w:p w14:paraId="142060F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2903</w:t>
            </w:r>
          </w:p>
        </w:tc>
        <w:tc>
          <w:tcPr>
            <w:tcW w:w="1842" w:type="dxa"/>
            <w:shd w:val="clear" w:color="auto" w:fill="auto"/>
            <w:noWrap/>
            <w:vAlign w:val="center"/>
            <w:hideMark/>
          </w:tcPr>
          <w:p w14:paraId="3935ABB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12 866 291 594,21</w:t>
            </w:r>
          </w:p>
        </w:tc>
        <w:tc>
          <w:tcPr>
            <w:tcW w:w="2126" w:type="dxa"/>
            <w:shd w:val="clear" w:color="auto" w:fill="auto"/>
            <w:noWrap/>
            <w:vAlign w:val="center"/>
            <w:hideMark/>
          </w:tcPr>
          <w:p w14:paraId="5B0880B6"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12 725 995 617,91</w:t>
            </w:r>
          </w:p>
        </w:tc>
        <w:tc>
          <w:tcPr>
            <w:tcW w:w="1417" w:type="dxa"/>
            <w:shd w:val="clear" w:color="auto" w:fill="auto"/>
            <w:noWrap/>
            <w:vAlign w:val="center"/>
            <w:hideMark/>
          </w:tcPr>
          <w:p w14:paraId="703EB708"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1735690458</w:t>
            </w:r>
          </w:p>
        </w:tc>
        <w:tc>
          <w:tcPr>
            <w:tcW w:w="1844" w:type="dxa"/>
            <w:shd w:val="clear" w:color="auto" w:fill="auto"/>
            <w:noWrap/>
            <w:vAlign w:val="center"/>
            <w:hideMark/>
          </w:tcPr>
          <w:p w14:paraId="3100A3D8"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140 295 976,30</w:t>
            </w:r>
          </w:p>
        </w:tc>
        <w:tc>
          <w:tcPr>
            <w:tcW w:w="1418" w:type="dxa"/>
            <w:shd w:val="clear" w:color="auto" w:fill="auto"/>
            <w:noWrap/>
            <w:vAlign w:val="center"/>
            <w:hideMark/>
          </w:tcPr>
          <w:p w14:paraId="009A6BB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1,1</w:t>
            </w:r>
          </w:p>
        </w:tc>
        <w:tc>
          <w:tcPr>
            <w:tcW w:w="1134" w:type="dxa"/>
            <w:shd w:val="clear" w:color="auto" w:fill="auto"/>
            <w:noWrap/>
            <w:vAlign w:val="center"/>
            <w:hideMark/>
          </w:tcPr>
          <w:p w14:paraId="3F23019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7,41</w:t>
            </w:r>
          </w:p>
        </w:tc>
        <w:tc>
          <w:tcPr>
            <w:tcW w:w="1560" w:type="dxa"/>
            <w:shd w:val="clear" w:color="auto" w:fill="auto"/>
            <w:noWrap/>
            <w:vAlign w:val="center"/>
            <w:hideMark/>
          </w:tcPr>
          <w:p w14:paraId="3D006A2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7,33</w:t>
            </w:r>
          </w:p>
        </w:tc>
      </w:tr>
      <w:tr w:rsidR="00905E1F" w:rsidRPr="00AC3806" w14:paraId="56BA0B87" w14:textId="77777777" w:rsidTr="00C749ED">
        <w:trPr>
          <w:trHeight w:val="300"/>
        </w:trPr>
        <w:tc>
          <w:tcPr>
            <w:tcW w:w="1985" w:type="dxa"/>
            <w:shd w:val="clear" w:color="auto" w:fill="auto"/>
            <w:noWrap/>
            <w:vAlign w:val="center"/>
            <w:hideMark/>
          </w:tcPr>
          <w:p w14:paraId="7E2161B1"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Бобровский муниципальный район</w:t>
            </w:r>
          </w:p>
        </w:tc>
        <w:tc>
          <w:tcPr>
            <w:tcW w:w="1276" w:type="dxa"/>
            <w:shd w:val="clear" w:color="auto" w:fill="auto"/>
            <w:noWrap/>
            <w:vAlign w:val="center"/>
            <w:hideMark/>
          </w:tcPr>
          <w:p w14:paraId="61ADC2E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1608</w:t>
            </w:r>
          </w:p>
        </w:tc>
        <w:tc>
          <w:tcPr>
            <w:tcW w:w="1842" w:type="dxa"/>
            <w:shd w:val="clear" w:color="auto" w:fill="auto"/>
            <w:noWrap/>
            <w:vAlign w:val="center"/>
            <w:hideMark/>
          </w:tcPr>
          <w:p w14:paraId="621AFEA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9 986 719 042,67</w:t>
            </w:r>
          </w:p>
        </w:tc>
        <w:tc>
          <w:tcPr>
            <w:tcW w:w="2126" w:type="dxa"/>
            <w:shd w:val="clear" w:color="auto" w:fill="auto"/>
            <w:noWrap/>
            <w:vAlign w:val="center"/>
            <w:hideMark/>
          </w:tcPr>
          <w:p w14:paraId="40A7DAE8"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9 807 848 994,64</w:t>
            </w:r>
          </w:p>
        </w:tc>
        <w:tc>
          <w:tcPr>
            <w:tcW w:w="1417" w:type="dxa"/>
            <w:shd w:val="clear" w:color="auto" w:fill="auto"/>
            <w:noWrap/>
            <w:vAlign w:val="center"/>
            <w:hideMark/>
          </w:tcPr>
          <w:p w14:paraId="0285BD6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1456528015</w:t>
            </w:r>
          </w:p>
        </w:tc>
        <w:tc>
          <w:tcPr>
            <w:tcW w:w="1844" w:type="dxa"/>
            <w:shd w:val="clear" w:color="auto" w:fill="auto"/>
            <w:noWrap/>
            <w:vAlign w:val="center"/>
            <w:hideMark/>
          </w:tcPr>
          <w:p w14:paraId="5FBF6743"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178 870 048,03</w:t>
            </w:r>
          </w:p>
        </w:tc>
        <w:tc>
          <w:tcPr>
            <w:tcW w:w="1418" w:type="dxa"/>
            <w:shd w:val="clear" w:color="auto" w:fill="auto"/>
            <w:noWrap/>
            <w:vAlign w:val="center"/>
            <w:hideMark/>
          </w:tcPr>
          <w:p w14:paraId="4CE96F8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1,82</w:t>
            </w:r>
          </w:p>
        </w:tc>
        <w:tc>
          <w:tcPr>
            <w:tcW w:w="1134" w:type="dxa"/>
            <w:shd w:val="clear" w:color="auto" w:fill="auto"/>
            <w:noWrap/>
            <w:vAlign w:val="center"/>
            <w:hideMark/>
          </w:tcPr>
          <w:p w14:paraId="3269488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6,86</w:t>
            </w:r>
          </w:p>
        </w:tc>
        <w:tc>
          <w:tcPr>
            <w:tcW w:w="1560" w:type="dxa"/>
            <w:shd w:val="clear" w:color="auto" w:fill="auto"/>
            <w:noWrap/>
            <w:vAlign w:val="center"/>
            <w:hideMark/>
          </w:tcPr>
          <w:p w14:paraId="0C0FD70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6,73</w:t>
            </w:r>
          </w:p>
        </w:tc>
      </w:tr>
      <w:tr w:rsidR="00905E1F" w:rsidRPr="00AC3806" w14:paraId="537AB7CB" w14:textId="77777777" w:rsidTr="00C749ED">
        <w:trPr>
          <w:trHeight w:val="300"/>
        </w:trPr>
        <w:tc>
          <w:tcPr>
            <w:tcW w:w="1985" w:type="dxa"/>
            <w:shd w:val="clear" w:color="auto" w:fill="auto"/>
            <w:noWrap/>
            <w:vAlign w:val="center"/>
            <w:hideMark/>
          </w:tcPr>
          <w:p w14:paraId="3A5912E9"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Богучарский муниципальный район</w:t>
            </w:r>
          </w:p>
        </w:tc>
        <w:tc>
          <w:tcPr>
            <w:tcW w:w="1276" w:type="dxa"/>
            <w:shd w:val="clear" w:color="auto" w:fill="auto"/>
            <w:noWrap/>
            <w:vAlign w:val="center"/>
            <w:hideMark/>
          </w:tcPr>
          <w:p w14:paraId="0637387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4046</w:t>
            </w:r>
          </w:p>
        </w:tc>
        <w:tc>
          <w:tcPr>
            <w:tcW w:w="1842" w:type="dxa"/>
            <w:shd w:val="clear" w:color="auto" w:fill="auto"/>
            <w:noWrap/>
            <w:vAlign w:val="center"/>
            <w:hideMark/>
          </w:tcPr>
          <w:p w14:paraId="0F7DA2B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8 071 048 338,20</w:t>
            </w:r>
          </w:p>
        </w:tc>
        <w:tc>
          <w:tcPr>
            <w:tcW w:w="2126" w:type="dxa"/>
            <w:shd w:val="clear" w:color="auto" w:fill="auto"/>
            <w:noWrap/>
            <w:vAlign w:val="center"/>
            <w:hideMark/>
          </w:tcPr>
          <w:p w14:paraId="61D91C6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6 349 588 689,61</w:t>
            </w:r>
          </w:p>
        </w:tc>
        <w:tc>
          <w:tcPr>
            <w:tcW w:w="1417" w:type="dxa"/>
            <w:shd w:val="clear" w:color="auto" w:fill="auto"/>
            <w:noWrap/>
            <w:vAlign w:val="center"/>
            <w:hideMark/>
          </w:tcPr>
          <w:p w14:paraId="61228868"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2223550876</w:t>
            </w:r>
          </w:p>
        </w:tc>
        <w:tc>
          <w:tcPr>
            <w:tcW w:w="1844" w:type="dxa"/>
            <w:shd w:val="clear" w:color="auto" w:fill="auto"/>
            <w:noWrap/>
            <w:vAlign w:val="center"/>
            <w:hideMark/>
          </w:tcPr>
          <w:p w14:paraId="04D7EF7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1 721 459 648,59</w:t>
            </w:r>
          </w:p>
        </w:tc>
        <w:tc>
          <w:tcPr>
            <w:tcW w:w="1418" w:type="dxa"/>
            <w:shd w:val="clear" w:color="auto" w:fill="auto"/>
            <w:noWrap/>
            <w:vAlign w:val="center"/>
            <w:hideMark/>
          </w:tcPr>
          <w:p w14:paraId="6B09D74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27,11</w:t>
            </w:r>
          </w:p>
        </w:tc>
        <w:tc>
          <w:tcPr>
            <w:tcW w:w="1134" w:type="dxa"/>
            <w:shd w:val="clear" w:color="auto" w:fill="auto"/>
            <w:noWrap/>
            <w:vAlign w:val="center"/>
            <w:hideMark/>
          </w:tcPr>
          <w:p w14:paraId="7395C4F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3,63</w:t>
            </w:r>
          </w:p>
        </w:tc>
        <w:tc>
          <w:tcPr>
            <w:tcW w:w="1560" w:type="dxa"/>
            <w:shd w:val="clear" w:color="auto" w:fill="auto"/>
            <w:noWrap/>
            <w:vAlign w:val="center"/>
            <w:hideMark/>
          </w:tcPr>
          <w:p w14:paraId="53B14A4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2,86</w:t>
            </w:r>
          </w:p>
        </w:tc>
      </w:tr>
      <w:tr w:rsidR="00905E1F" w:rsidRPr="00AC3806" w14:paraId="4AE97C86" w14:textId="77777777" w:rsidTr="00C749ED">
        <w:trPr>
          <w:trHeight w:val="300"/>
        </w:trPr>
        <w:tc>
          <w:tcPr>
            <w:tcW w:w="1985" w:type="dxa"/>
            <w:shd w:val="clear" w:color="auto" w:fill="auto"/>
            <w:noWrap/>
            <w:vAlign w:val="center"/>
            <w:hideMark/>
          </w:tcPr>
          <w:p w14:paraId="25E9BD37"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Бутурлиновский муниципальный район</w:t>
            </w:r>
          </w:p>
        </w:tc>
        <w:tc>
          <w:tcPr>
            <w:tcW w:w="1276" w:type="dxa"/>
            <w:shd w:val="clear" w:color="auto" w:fill="auto"/>
            <w:noWrap/>
            <w:vAlign w:val="center"/>
            <w:hideMark/>
          </w:tcPr>
          <w:p w14:paraId="130CB1F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2649</w:t>
            </w:r>
          </w:p>
        </w:tc>
        <w:tc>
          <w:tcPr>
            <w:tcW w:w="1842" w:type="dxa"/>
            <w:shd w:val="clear" w:color="auto" w:fill="auto"/>
            <w:noWrap/>
            <w:vAlign w:val="center"/>
            <w:hideMark/>
          </w:tcPr>
          <w:p w14:paraId="6914E39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8 623 787 240,75</w:t>
            </w:r>
          </w:p>
        </w:tc>
        <w:tc>
          <w:tcPr>
            <w:tcW w:w="2126" w:type="dxa"/>
            <w:shd w:val="clear" w:color="auto" w:fill="auto"/>
            <w:noWrap/>
            <w:vAlign w:val="center"/>
            <w:hideMark/>
          </w:tcPr>
          <w:p w14:paraId="616B156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8 448 384 880,31</w:t>
            </w:r>
          </w:p>
        </w:tc>
        <w:tc>
          <w:tcPr>
            <w:tcW w:w="1417" w:type="dxa"/>
            <w:shd w:val="clear" w:color="auto" w:fill="auto"/>
            <w:noWrap/>
            <w:vAlign w:val="center"/>
            <w:hideMark/>
          </w:tcPr>
          <w:p w14:paraId="6421078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1436697736</w:t>
            </w:r>
          </w:p>
        </w:tc>
        <w:tc>
          <w:tcPr>
            <w:tcW w:w="1844" w:type="dxa"/>
            <w:shd w:val="clear" w:color="auto" w:fill="auto"/>
            <w:noWrap/>
            <w:vAlign w:val="center"/>
            <w:hideMark/>
          </w:tcPr>
          <w:p w14:paraId="622BA51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175 402 360,44</w:t>
            </w:r>
          </w:p>
        </w:tc>
        <w:tc>
          <w:tcPr>
            <w:tcW w:w="1418" w:type="dxa"/>
            <w:shd w:val="clear" w:color="auto" w:fill="auto"/>
            <w:noWrap/>
            <w:vAlign w:val="center"/>
            <w:hideMark/>
          </w:tcPr>
          <w:p w14:paraId="3F68EFF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2,08</w:t>
            </w:r>
          </w:p>
        </w:tc>
        <w:tc>
          <w:tcPr>
            <w:tcW w:w="1134" w:type="dxa"/>
            <w:shd w:val="clear" w:color="auto" w:fill="auto"/>
            <w:noWrap/>
            <w:vAlign w:val="center"/>
            <w:hideMark/>
          </w:tcPr>
          <w:p w14:paraId="37C9DE2C"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6,00</w:t>
            </w:r>
          </w:p>
        </w:tc>
        <w:tc>
          <w:tcPr>
            <w:tcW w:w="1560" w:type="dxa"/>
            <w:shd w:val="clear" w:color="auto" w:fill="auto"/>
            <w:noWrap/>
            <w:vAlign w:val="center"/>
            <w:hideMark/>
          </w:tcPr>
          <w:p w14:paraId="565D0DDB"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5,88</w:t>
            </w:r>
          </w:p>
        </w:tc>
      </w:tr>
      <w:tr w:rsidR="00905E1F" w:rsidRPr="00AC3806" w14:paraId="40E5AB51" w14:textId="77777777" w:rsidTr="00C749ED">
        <w:trPr>
          <w:trHeight w:val="300"/>
        </w:trPr>
        <w:tc>
          <w:tcPr>
            <w:tcW w:w="1985" w:type="dxa"/>
            <w:shd w:val="clear" w:color="auto" w:fill="auto"/>
            <w:noWrap/>
            <w:vAlign w:val="center"/>
            <w:hideMark/>
          </w:tcPr>
          <w:p w14:paraId="7A5B0515"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Верхнемамонский муниципальный район</w:t>
            </w:r>
          </w:p>
        </w:tc>
        <w:tc>
          <w:tcPr>
            <w:tcW w:w="1276" w:type="dxa"/>
            <w:shd w:val="clear" w:color="auto" w:fill="auto"/>
            <w:noWrap/>
            <w:vAlign w:val="center"/>
            <w:hideMark/>
          </w:tcPr>
          <w:p w14:paraId="10DEDFC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1542</w:t>
            </w:r>
          </w:p>
        </w:tc>
        <w:tc>
          <w:tcPr>
            <w:tcW w:w="1842" w:type="dxa"/>
            <w:shd w:val="clear" w:color="auto" w:fill="auto"/>
            <w:noWrap/>
            <w:vAlign w:val="center"/>
            <w:hideMark/>
          </w:tcPr>
          <w:p w14:paraId="513AC2F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4 070 057 608,68</w:t>
            </w:r>
          </w:p>
        </w:tc>
        <w:tc>
          <w:tcPr>
            <w:tcW w:w="2126" w:type="dxa"/>
            <w:shd w:val="clear" w:color="auto" w:fill="auto"/>
            <w:noWrap/>
            <w:vAlign w:val="center"/>
            <w:hideMark/>
          </w:tcPr>
          <w:p w14:paraId="565614A8"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3 593 995 061,14</w:t>
            </w:r>
          </w:p>
        </w:tc>
        <w:tc>
          <w:tcPr>
            <w:tcW w:w="1417" w:type="dxa"/>
            <w:shd w:val="clear" w:color="auto" w:fill="auto"/>
            <w:noWrap/>
            <w:vAlign w:val="center"/>
            <w:hideMark/>
          </w:tcPr>
          <w:p w14:paraId="3F636133"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979833882,1</w:t>
            </w:r>
          </w:p>
        </w:tc>
        <w:tc>
          <w:tcPr>
            <w:tcW w:w="1844" w:type="dxa"/>
            <w:shd w:val="clear" w:color="auto" w:fill="auto"/>
            <w:noWrap/>
            <w:vAlign w:val="center"/>
            <w:hideMark/>
          </w:tcPr>
          <w:p w14:paraId="6294B82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476 062 547,54</w:t>
            </w:r>
          </w:p>
        </w:tc>
        <w:tc>
          <w:tcPr>
            <w:tcW w:w="1418" w:type="dxa"/>
            <w:shd w:val="clear" w:color="auto" w:fill="auto"/>
            <w:noWrap/>
            <w:vAlign w:val="center"/>
            <w:hideMark/>
          </w:tcPr>
          <w:p w14:paraId="7E693C6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13,25</w:t>
            </w:r>
          </w:p>
        </w:tc>
        <w:tc>
          <w:tcPr>
            <w:tcW w:w="1134" w:type="dxa"/>
            <w:shd w:val="clear" w:color="auto" w:fill="auto"/>
            <w:noWrap/>
            <w:vAlign w:val="center"/>
            <w:hideMark/>
          </w:tcPr>
          <w:p w14:paraId="263E466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4,15</w:t>
            </w:r>
          </w:p>
        </w:tc>
        <w:tc>
          <w:tcPr>
            <w:tcW w:w="1560" w:type="dxa"/>
            <w:shd w:val="clear" w:color="auto" w:fill="auto"/>
            <w:noWrap/>
            <w:vAlign w:val="center"/>
            <w:hideMark/>
          </w:tcPr>
          <w:p w14:paraId="3E1EDBD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3,67</w:t>
            </w:r>
          </w:p>
        </w:tc>
      </w:tr>
      <w:tr w:rsidR="00905E1F" w:rsidRPr="00AC3806" w14:paraId="59326ED1" w14:textId="77777777" w:rsidTr="00C749ED">
        <w:trPr>
          <w:trHeight w:val="300"/>
        </w:trPr>
        <w:tc>
          <w:tcPr>
            <w:tcW w:w="1985" w:type="dxa"/>
            <w:shd w:val="clear" w:color="auto" w:fill="auto"/>
            <w:noWrap/>
            <w:vAlign w:val="center"/>
            <w:hideMark/>
          </w:tcPr>
          <w:p w14:paraId="45EA09D5"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Верхнехавский муниципальный район</w:t>
            </w:r>
          </w:p>
        </w:tc>
        <w:tc>
          <w:tcPr>
            <w:tcW w:w="1276" w:type="dxa"/>
            <w:shd w:val="clear" w:color="auto" w:fill="auto"/>
            <w:noWrap/>
            <w:vAlign w:val="center"/>
            <w:hideMark/>
          </w:tcPr>
          <w:p w14:paraId="3E880E3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1845</w:t>
            </w:r>
          </w:p>
        </w:tc>
        <w:tc>
          <w:tcPr>
            <w:tcW w:w="1842" w:type="dxa"/>
            <w:shd w:val="clear" w:color="auto" w:fill="auto"/>
            <w:noWrap/>
            <w:vAlign w:val="center"/>
            <w:hideMark/>
          </w:tcPr>
          <w:p w14:paraId="0495312A"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9 692 810 087,98</w:t>
            </w:r>
          </w:p>
        </w:tc>
        <w:tc>
          <w:tcPr>
            <w:tcW w:w="2126" w:type="dxa"/>
            <w:shd w:val="clear" w:color="auto" w:fill="auto"/>
            <w:noWrap/>
            <w:vAlign w:val="center"/>
            <w:hideMark/>
          </w:tcPr>
          <w:p w14:paraId="6A8BD70C"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8 685 372 564,76</w:t>
            </w:r>
          </w:p>
        </w:tc>
        <w:tc>
          <w:tcPr>
            <w:tcW w:w="1417" w:type="dxa"/>
            <w:shd w:val="clear" w:color="auto" w:fill="auto"/>
            <w:noWrap/>
            <w:vAlign w:val="center"/>
            <w:hideMark/>
          </w:tcPr>
          <w:p w14:paraId="11C5C97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1114955573</w:t>
            </w:r>
          </w:p>
        </w:tc>
        <w:tc>
          <w:tcPr>
            <w:tcW w:w="1844" w:type="dxa"/>
            <w:shd w:val="clear" w:color="auto" w:fill="auto"/>
            <w:noWrap/>
            <w:vAlign w:val="center"/>
            <w:hideMark/>
          </w:tcPr>
          <w:p w14:paraId="6BCDC4F9"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1 007 437 523,22</w:t>
            </w:r>
          </w:p>
        </w:tc>
        <w:tc>
          <w:tcPr>
            <w:tcW w:w="1418" w:type="dxa"/>
            <w:shd w:val="clear" w:color="auto" w:fill="auto"/>
            <w:noWrap/>
            <w:vAlign w:val="center"/>
            <w:hideMark/>
          </w:tcPr>
          <w:p w14:paraId="500A64E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11,6</w:t>
            </w:r>
          </w:p>
        </w:tc>
        <w:tc>
          <w:tcPr>
            <w:tcW w:w="1134" w:type="dxa"/>
            <w:shd w:val="clear" w:color="auto" w:fill="auto"/>
            <w:noWrap/>
            <w:vAlign w:val="center"/>
            <w:hideMark/>
          </w:tcPr>
          <w:p w14:paraId="39CD4FFA"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8,69</w:t>
            </w:r>
          </w:p>
        </w:tc>
        <w:tc>
          <w:tcPr>
            <w:tcW w:w="1560" w:type="dxa"/>
            <w:shd w:val="clear" w:color="auto" w:fill="auto"/>
            <w:noWrap/>
            <w:vAlign w:val="center"/>
            <w:hideMark/>
          </w:tcPr>
          <w:p w14:paraId="1481F8CC"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7,79</w:t>
            </w:r>
          </w:p>
        </w:tc>
      </w:tr>
      <w:tr w:rsidR="00905E1F" w:rsidRPr="00AC3806" w14:paraId="0F687371" w14:textId="77777777" w:rsidTr="00C749ED">
        <w:trPr>
          <w:trHeight w:val="300"/>
        </w:trPr>
        <w:tc>
          <w:tcPr>
            <w:tcW w:w="1985" w:type="dxa"/>
            <w:shd w:val="clear" w:color="auto" w:fill="auto"/>
            <w:noWrap/>
            <w:vAlign w:val="center"/>
            <w:hideMark/>
          </w:tcPr>
          <w:p w14:paraId="7ED2376A"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Воробьёвский муниципальный район</w:t>
            </w:r>
          </w:p>
        </w:tc>
        <w:tc>
          <w:tcPr>
            <w:tcW w:w="1276" w:type="dxa"/>
            <w:shd w:val="clear" w:color="auto" w:fill="auto"/>
            <w:noWrap/>
            <w:vAlign w:val="center"/>
            <w:hideMark/>
          </w:tcPr>
          <w:p w14:paraId="61A4E88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1559</w:t>
            </w:r>
          </w:p>
        </w:tc>
        <w:tc>
          <w:tcPr>
            <w:tcW w:w="1842" w:type="dxa"/>
            <w:shd w:val="clear" w:color="auto" w:fill="auto"/>
            <w:noWrap/>
            <w:vAlign w:val="center"/>
            <w:hideMark/>
          </w:tcPr>
          <w:p w14:paraId="0E784E3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6 036 990 860,33</w:t>
            </w:r>
          </w:p>
        </w:tc>
        <w:tc>
          <w:tcPr>
            <w:tcW w:w="2126" w:type="dxa"/>
            <w:shd w:val="clear" w:color="auto" w:fill="auto"/>
            <w:noWrap/>
            <w:vAlign w:val="center"/>
            <w:hideMark/>
          </w:tcPr>
          <w:p w14:paraId="385E6EE6"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5 801 723 292,23</w:t>
            </w:r>
          </w:p>
        </w:tc>
        <w:tc>
          <w:tcPr>
            <w:tcW w:w="1417" w:type="dxa"/>
            <w:shd w:val="clear" w:color="auto" w:fill="auto"/>
            <w:noWrap/>
            <w:vAlign w:val="center"/>
            <w:hideMark/>
          </w:tcPr>
          <w:p w14:paraId="19D1473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1032701986</w:t>
            </w:r>
          </w:p>
        </w:tc>
        <w:tc>
          <w:tcPr>
            <w:tcW w:w="1844" w:type="dxa"/>
            <w:shd w:val="clear" w:color="auto" w:fill="auto"/>
            <w:noWrap/>
            <w:vAlign w:val="center"/>
            <w:hideMark/>
          </w:tcPr>
          <w:p w14:paraId="0CA6FFA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235 267 568,10</w:t>
            </w:r>
          </w:p>
        </w:tc>
        <w:tc>
          <w:tcPr>
            <w:tcW w:w="1418" w:type="dxa"/>
            <w:shd w:val="clear" w:color="auto" w:fill="auto"/>
            <w:noWrap/>
            <w:vAlign w:val="center"/>
            <w:hideMark/>
          </w:tcPr>
          <w:p w14:paraId="7DA9586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4,06</w:t>
            </w:r>
          </w:p>
        </w:tc>
        <w:tc>
          <w:tcPr>
            <w:tcW w:w="1134" w:type="dxa"/>
            <w:shd w:val="clear" w:color="auto" w:fill="auto"/>
            <w:noWrap/>
            <w:vAlign w:val="center"/>
            <w:hideMark/>
          </w:tcPr>
          <w:p w14:paraId="64B0E82A"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5,85</w:t>
            </w:r>
          </w:p>
        </w:tc>
        <w:tc>
          <w:tcPr>
            <w:tcW w:w="1560" w:type="dxa"/>
            <w:shd w:val="clear" w:color="auto" w:fill="auto"/>
            <w:noWrap/>
            <w:vAlign w:val="center"/>
            <w:hideMark/>
          </w:tcPr>
          <w:p w14:paraId="71C78C9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5,62</w:t>
            </w:r>
          </w:p>
        </w:tc>
      </w:tr>
      <w:tr w:rsidR="00905E1F" w:rsidRPr="00AC3806" w14:paraId="1F5E9052" w14:textId="77777777" w:rsidTr="00C749ED">
        <w:trPr>
          <w:trHeight w:val="300"/>
        </w:trPr>
        <w:tc>
          <w:tcPr>
            <w:tcW w:w="1985" w:type="dxa"/>
            <w:shd w:val="clear" w:color="auto" w:fill="auto"/>
            <w:noWrap/>
            <w:vAlign w:val="center"/>
            <w:hideMark/>
          </w:tcPr>
          <w:p w14:paraId="352164BB"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Грибановский муниципальный район</w:t>
            </w:r>
          </w:p>
        </w:tc>
        <w:tc>
          <w:tcPr>
            <w:tcW w:w="1276" w:type="dxa"/>
            <w:shd w:val="clear" w:color="auto" w:fill="auto"/>
            <w:noWrap/>
            <w:vAlign w:val="center"/>
            <w:hideMark/>
          </w:tcPr>
          <w:p w14:paraId="5D2239F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4011</w:t>
            </w:r>
          </w:p>
        </w:tc>
        <w:tc>
          <w:tcPr>
            <w:tcW w:w="1842" w:type="dxa"/>
            <w:shd w:val="clear" w:color="auto" w:fill="auto"/>
            <w:noWrap/>
            <w:vAlign w:val="center"/>
            <w:hideMark/>
          </w:tcPr>
          <w:p w14:paraId="051799D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9 621 184 501,09</w:t>
            </w:r>
          </w:p>
        </w:tc>
        <w:tc>
          <w:tcPr>
            <w:tcW w:w="2126" w:type="dxa"/>
            <w:shd w:val="clear" w:color="auto" w:fill="auto"/>
            <w:noWrap/>
            <w:vAlign w:val="center"/>
            <w:hideMark/>
          </w:tcPr>
          <w:p w14:paraId="7576B64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10 026 416 264,79</w:t>
            </w:r>
          </w:p>
        </w:tc>
        <w:tc>
          <w:tcPr>
            <w:tcW w:w="1417" w:type="dxa"/>
            <w:shd w:val="clear" w:color="auto" w:fill="auto"/>
            <w:noWrap/>
            <w:vAlign w:val="center"/>
            <w:hideMark/>
          </w:tcPr>
          <w:p w14:paraId="663AEF4C"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1675961303</w:t>
            </w:r>
          </w:p>
        </w:tc>
        <w:tc>
          <w:tcPr>
            <w:tcW w:w="1844" w:type="dxa"/>
            <w:shd w:val="clear" w:color="auto" w:fill="auto"/>
            <w:noWrap/>
            <w:vAlign w:val="center"/>
            <w:hideMark/>
          </w:tcPr>
          <w:p w14:paraId="7DFB110B"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-405 231 763,70</w:t>
            </w:r>
          </w:p>
        </w:tc>
        <w:tc>
          <w:tcPr>
            <w:tcW w:w="1418" w:type="dxa"/>
            <w:shd w:val="clear" w:color="auto" w:fill="auto"/>
            <w:noWrap/>
            <w:vAlign w:val="center"/>
            <w:hideMark/>
          </w:tcPr>
          <w:p w14:paraId="23C9DC6B"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-4,04</w:t>
            </w:r>
          </w:p>
        </w:tc>
        <w:tc>
          <w:tcPr>
            <w:tcW w:w="1134" w:type="dxa"/>
            <w:shd w:val="clear" w:color="auto" w:fill="auto"/>
            <w:noWrap/>
            <w:vAlign w:val="center"/>
            <w:hideMark/>
          </w:tcPr>
          <w:p w14:paraId="1219AD7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5,74</w:t>
            </w:r>
          </w:p>
        </w:tc>
        <w:tc>
          <w:tcPr>
            <w:tcW w:w="1560" w:type="dxa"/>
            <w:shd w:val="clear" w:color="auto" w:fill="auto"/>
            <w:noWrap/>
            <w:vAlign w:val="center"/>
            <w:hideMark/>
          </w:tcPr>
          <w:p w14:paraId="7E1FA73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5,98</w:t>
            </w:r>
          </w:p>
        </w:tc>
      </w:tr>
      <w:tr w:rsidR="00905E1F" w:rsidRPr="00AC3806" w14:paraId="66C9FF61" w14:textId="77777777" w:rsidTr="00C749ED">
        <w:trPr>
          <w:trHeight w:val="300"/>
        </w:trPr>
        <w:tc>
          <w:tcPr>
            <w:tcW w:w="1985" w:type="dxa"/>
            <w:shd w:val="clear" w:color="auto" w:fill="auto"/>
            <w:noWrap/>
            <w:vAlign w:val="center"/>
            <w:hideMark/>
          </w:tcPr>
          <w:p w14:paraId="09D35B35"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Калачеевский муниципальный район</w:t>
            </w:r>
          </w:p>
        </w:tc>
        <w:tc>
          <w:tcPr>
            <w:tcW w:w="1276" w:type="dxa"/>
            <w:shd w:val="clear" w:color="auto" w:fill="auto"/>
            <w:noWrap/>
            <w:vAlign w:val="center"/>
            <w:hideMark/>
          </w:tcPr>
          <w:p w14:paraId="0C5EA353"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11853</w:t>
            </w:r>
          </w:p>
        </w:tc>
        <w:tc>
          <w:tcPr>
            <w:tcW w:w="1842" w:type="dxa"/>
            <w:shd w:val="clear" w:color="auto" w:fill="auto"/>
            <w:noWrap/>
            <w:vAlign w:val="center"/>
            <w:hideMark/>
          </w:tcPr>
          <w:p w14:paraId="25AC5AE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10 111 079 252,24</w:t>
            </w:r>
          </w:p>
        </w:tc>
        <w:tc>
          <w:tcPr>
            <w:tcW w:w="2126" w:type="dxa"/>
            <w:shd w:val="clear" w:color="auto" w:fill="auto"/>
            <w:noWrap/>
            <w:vAlign w:val="center"/>
            <w:hideMark/>
          </w:tcPr>
          <w:p w14:paraId="602923A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9 942 265 610,76</w:t>
            </w:r>
          </w:p>
        </w:tc>
        <w:tc>
          <w:tcPr>
            <w:tcW w:w="1417" w:type="dxa"/>
            <w:shd w:val="clear" w:color="auto" w:fill="auto"/>
            <w:noWrap/>
            <w:vAlign w:val="center"/>
            <w:hideMark/>
          </w:tcPr>
          <w:p w14:paraId="254939D9"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1888432979</w:t>
            </w:r>
          </w:p>
        </w:tc>
        <w:tc>
          <w:tcPr>
            <w:tcW w:w="1844" w:type="dxa"/>
            <w:shd w:val="clear" w:color="auto" w:fill="auto"/>
            <w:noWrap/>
            <w:vAlign w:val="center"/>
            <w:hideMark/>
          </w:tcPr>
          <w:p w14:paraId="053D098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168 813 641,48</w:t>
            </w:r>
          </w:p>
        </w:tc>
        <w:tc>
          <w:tcPr>
            <w:tcW w:w="1418" w:type="dxa"/>
            <w:shd w:val="clear" w:color="auto" w:fill="auto"/>
            <w:noWrap/>
            <w:vAlign w:val="center"/>
            <w:hideMark/>
          </w:tcPr>
          <w:p w14:paraId="11A4709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1,7</w:t>
            </w:r>
          </w:p>
        </w:tc>
        <w:tc>
          <w:tcPr>
            <w:tcW w:w="1134" w:type="dxa"/>
            <w:shd w:val="clear" w:color="auto" w:fill="auto"/>
            <w:noWrap/>
            <w:vAlign w:val="center"/>
            <w:hideMark/>
          </w:tcPr>
          <w:p w14:paraId="6C8123A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5,35</w:t>
            </w:r>
          </w:p>
        </w:tc>
        <w:tc>
          <w:tcPr>
            <w:tcW w:w="1560" w:type="dxa"/>
            <w:shd w:val="clear" w:color="auto" w:fill="auto"/>
            <w:noWrap/>
            <w:vAlign w:val="center"/>
            <w:hideMark/>
          </w:tcPr>
          <w:p w14:paraId="3142B296"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5,26</w:t>
            </w:r>
          </w:p>
        </w:tc>
      </w:tr>
      <w:tr w:rsidR="00905E1F" w:rsidRPr="00AC3806" w14:paraId="7650C569" w14:textId="77777777" w:rsidTr="00C749ED">
        <w:trPr>
          <w:trHeight w:val="300"/>
        </w:trPr>
        <w:tc>
          <w:tcPr>
            <w:tcW w:w="1985" w:type="dxa"/>
            <w:shd w:val="clear" w:color="auto" w:fill="auto"/>
            <w:noWrap/>
            <w:vAlign w:val="center"/>
            <w:hideMark/>
          </w:tcPr>
          <w:p w14:paraId="6E5712BD"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Каменский муниципальный район</w:t>
            </w:r>
          </w:p>
        </w:tc>
        <w:tc>
          <w:tcPr>
            <w:tcW w:w="1276" w:type="dxa"/>
            <w:shd w:val="clear" w:color="auto" w:fill="auto"/>
            <w:noWrap/>
            <w:vAlign w:val="center"/>
            <w:hideMark/>
          </w:tcPr>
          <w:p w14:paraId="1D76C91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6625</w:t>
            </w:r>
          </w:p>
        </w:tc>
        <w:tc>
          <w:tcPr>
            <w:tcW w:w="1842" w:type="dxa"/>
            <w:shd w:val="clear" w:color="auto" w:fill="auto"/>
            <w:noWrap/>
            <w:vAlign w:val="center"/>
            <w:hideMark/>
          </w:tcPr>
          <w:p w14:paraId="710CFE2C"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3 680 376 419,27</w:t>
            </w:r>
          </w:p>
        </w:tc>
        <w:tc>
          <w:tcPr>
            <w:tcW w:w="2126" w:type="dxa"/>
            <w:shd w:val="clear" w:color="auto" w:fill="auto"/>
            <w:noWrap/>
            <w:vAlign w:val="center"/>
            <w:hideMark/>
          </w:tcPr>
          <w:p w14:paraId="1A7FCC2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3 643 150 581,39</w:t>
            </w:r>
          </w:p>
        </w:tc>
        <w:tc>
          <w:tcPr>
            <w:tcW w:w="1417" w:type="dxa"/>
            <w:shd w:val="clear" w:color="auto" w:fill="auto"/>
            <w:noWrap/>
            <w:vAlign w:val="center"/>
            <w:hideMark/>
          </w:tcPr>
          <w:p w14:paraId="33C6E86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795322225</w:t>
            </w:r>
          </w:p>
        </w:tc>
        <w:tc>
          <w:tcPr>
            <w:tcW w:w="1844" w:type="dxa"/>
            <w:shd w:val="clear" w:color="auto" w:fill="auto"/>
            <w:noWrap/>
            <w:vAlign w:val="center"/>
            <w:hideMark/>
          </w:tcPr>
          <w:p w14:paraId="70CF80A6"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37 225 837,88</w:t>
            </w:r>
          </w:p>
        </w:tc>
        <w:tc>
          <w:tcPr>
            <w:tcW w:w="1418" w:type="dxa"/>
            <w:shd w:val="clear" w:color="auto" w:fill="auto"/>
            <w:noWrap/>
            <w:vAlign w:val="center"/>
            <w:hideMark/>
          </w:tcPr>
          <w:p w14:paraId="63876573"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1,02</w:t>
            </w:r>
          </w:p>
        </w:tc>
        <w:tc>
          <w:tcPr>
            <w:tcW w:w="1134" w:type="dxa"/>
            <w:shd w:val="clear" w:color="auto" w:fill="auto"/>
            <w:noWrap/>
            <w:vAlign w:val="center"/>
            <w:hideMark/>
          </w:tcPr>
          <w:p w14:paraId="5C4BE47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4,63</w:t>
            </w:r>
          </w:p>
        </w:tc>
        <w:tc>
          <w:tcPr>
            <w:tcW w:w="1560" w:type="dxa"/>
            <w:shd w:val="clear" w:color="auto" w:fill="auto"/>
            <w:noWrap/>
            <w:vAlign w:val="center"/>
            <w:hideMark/>
          </w:tcPr>
          <w:p w14:paraId="66877999"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4,58</w:t>
            </w:r>
          </w:p>
        </w:tc>
      </w:tr>
      <w:tr w:rsidR="00905E1F" w:rsidRPr="00AC3806" w14:paraId="2B869B78" w14:textId="77777777" w:rsidTr="00C749ED">
        <w:trPr>
          <w:trHeight w:val="300"/>
        </w:trPr>
        <w:tc>
          <w:tcPr>
            <w:tcW w:w="1985" w:type="dxa"/>
            <w:shd w:val="clear" w:color="auto" w:fill="auto"/>
            <w:noWrap/>
            <w:vAlign w:val="center"/>
            <w:hideMark/>
          </w:tcPr>
          <w:p w14:paraId="13B23D64"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Кантемировский муниципальный район</w:t>
            </w:r>
          </w:p>
        </w:tc>
        <w:tc>
          <w:tcPr>
            <w:tcW w:w="1276" w:type="dxa"/>
            <w:shd w:val="clear" w:color="auto" w:fill="auto"/>
            <w:noWrap/>
            <w:vAlign w:val="center"/>
            <w:hideMark/>
          </w:tcPr>
          <w:p w14:paraId="37E9DCB3"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2381</w:t>
            </w:r>
          </w:p>
        </w:tc>
        <w:tc>
          <w:tcPr>
            <w:tcW w:w="1842" w:type="dxa"/>
            <w:shd w:val="clear" w:color="auto" w:fill="auto"/>
            <w:noWrap/>
            <w:vAlign w:val="center"/>
            <w:hideMark/>
          </w:tcPr>
          <w:p w14:paraId="21C4A1C9"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12 706 591</w:t>
            </w:r>
            <w:r w:rsidRPr="00AC3806">
              <w:rPr>
                <w:rFonts w:ascii="Times New Roman" w:hAnsi="Times New Roman" w:cs="Times New Roman"/>
                <w:sz w:val="20"/>
                <w:szCs w:val="20"/>
                <w:lang w:val="en-US"/>
              </w:rPr>
              <w:t xml:space="preserve"> </w:t>
            </w:r>
            <w:r w:rsidRPr="00AC3806">
              <w:rPr>
                <w:rFonts w:ascii="Times New Roman" w:hAnsi="Times New Roman" w:cs="Times New Roman"/>
                <w:sz w:val="20"/>
                <w:szCs w:val="20"/>
              </w:rPr>
              <w:t>097,17</w:t>
            </w:r>
          </w:p>
        </w:tc>
        <w:tc>
          <w:tcPr>
            <w:tcW w:w="2126" w:type="dxa"/>
            <w:shd w:val="clear" w:color="auto" w:fill="auto"/>
            <w:noWrap/>
            <w:vAlign w:val="center"/>
            <w:hideMark/>
          </w:tcPr>
          <w:p w14:paraId="0F7F5EE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11 297 892 739,02</w:t>
            </w:r>
          </w:p>
        </w:tc>
        <w:tc>
          <w:tcPr>
            <w:tcW w:w="1417" w:type="dxa"/>
            <w:shd w:val="clear" w:color="auto" w:fill="auto"/>
            <w:noWrap/>
            <w:vAlign w:val="center"/>
            <w:hideMark/>
          </w:tcPr>
          <w:p w14:paraId="2469B22B"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2758577297</w:t>
            </w:r>
          </w:p>
        </w:tc>
        <w:tc>
          <w:tcPr>
            <w:tcW w:w="1844" w:type="dxa"/>
            <w:shd w:val="clear" w:color="auto" w:fill="auto"/>
            <w:noWrap/>
            <w:vAlign w:val="center"/>
            <w:hideMark/>
          </w:tcPr>
          <w:p w14:paraId="05E4F01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1 408 698 358,15</w:t>
            </w:r>
          </w:p>
        </w:tc>
        <w:tc>
          <w:tcPr>
            <w:tcW w:w="1418" w:type="dxa"/>
            <w:shd w:val="clear" w:color="auto" w:fill="auto"/>
            <w:noWrap/>
            <w:vAlign w:val="center"/>
            <w:hideMark/>
          </w:tcPr>
          <w:p w14:paraId="3ADA8ADA"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12,47</w:t>
            </w:r>
          </w:p>
        </w:tc>
        <w:tc>
          <w:tcPr>
            <w:tcW w:w="1134" w:type="dxa"/>
            <w:shd w:val="clear" w:color="auto" w:fill="auto"/>
            <w:noWrap/>
            <w:vAlign w:val="center"/>
            <w:hideMark/>
          </w:tcPr>
          <w:p w14:paraId="6D0D9C6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4,61</w:t>
            </w:r>
          </w:p>
        </w:tc>
        <w:tc>
          <w:tcPr>
            <w:tcW w:w="1560" w:type="dxa"/>
            <w:shd w:val="clear" w:color="auto" w:fill="auto"/>
            <w:noWrap/>
            <w:vAlign w:val="center"/>
            <w:hideMark/>
          </w:tcPr>
          <w:p w14:paraId="3E35A84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4,10</w:t>
            </w:r>
          </w:p>
        </w:tc>
      </w:tr>
      <w:tr w:rsidR="00905E1F" w:rsidRPr="00AC3806" w14:paraId="590F5956" w14:textId="77777777" w:rsidTr="00C749ED">
        <w:trPr>
          <w:trHeight w:val="300"/>
        </w:trPr>
        <w:tc>
          <w:tcPr>
            <w:tcW w:w="1985" w:type="dxa"/>
            <w:shd w:val="clear" w:color="auto" w:fill="auto"/>
            <w:noWrap/>
            <w:vAlign w:val="center"/>
            <w:hideMark/>
          </w:tcPr>
          <w:p w14:paraId="660709FB"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Каширский муниципальный район</w:t>
            </w:r>
          </w:p>
        </w:tc>
        <w:tc>
          <w:tcPr>
            <w:tcW w:w="1276" w:type="dxa"/>
            <w:shd w:val="clear" w:color="auto" w:fill="auto"/>
            <w:noWrap/>
            <w:vAlign w:val="center"/>
            <w:hideMark/>
          </w:tcPr>
          <w:p w14:paraId="3716D5A6"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3126</w:t>
            </w:r>
          </w:p>
        </w:tc>
        <w:tc>
          <w:tcPr>
            <w:tcW w:w="1842" w:type="dxa"/>
            <w:shd w:val="clear" w:color="auto" w:fill="auto"/>
            <w:noWrap/>
            <w:vAlign w:val="center"/>
            <w:hideMark/>
          </w:tcPr>
          <w:p w14:paraId="020F17A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10 429 544 973,49</w:t>
            </w:r>
          </w:p>
        </w:tc>
        <w:tc>
          <w:tcPr>
            <w:tcW w:w="2126" w:type="dxa"/>
            <w:shd w:val="clear" w:color="auto" w:fill="auto"/>
            <w:noWrap/>
            <w:vAlign w:val="center"/>
            <w:hideMark/>
          </w:tcPr>
          <w:p w14:paraId="180A123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10 641 492 215,48</w:t>
            </w:r>
          </w:p>
        </w:tc>
        <w:tc>
          <w:tcPr>
            <w:tcW w:w="1417" w:type="dxa"/>
            <w:shd w:val="clear" w:color="auto" w:fill="auto"/>
            <w:noWrap/>
            <w:vAlign w:val="center"/>
            <w:hideMark/>
          </w:tcPr>
          <w:p w14:paraId="5568BD1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1317358991</w:t>
            </w:r>
          </w:p>
        </w:tc>
        <w:tc>
          <w:tcPr>
            <w:tcW w:w="1844" w:type="dxa"/>
            <w:shd w:val="clear" w:color="auto" w:fill="auto"/>
            <w:noWrap/>
            <w:vAlign w:val="center"/>
            <w:hideMark/>
          </w:tcPr>
          <w:p w14:paraId="2E2A08CC"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-211 947 241,99</w:t>
            </w:r>
          </w:p>
        </w:tc>
        <w:tc>
          <w:tcPr>
            <w:tcW w:w="1418" w:type="dxa"/>
            <w:shd w:val="clear" w:color="auto" w:fill="auto"/>
            <w:noWrap/>
            <w:vAlign w:val="center"/>
            <w:hideMark/>
          </w:tcPr>
          <w:p w14:paraId="1DA048D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-1,99</w:t>
            </w:r>
          </w:p>
        </w:tc>
        <w:tc>
          <w:tcPr>
            <w:tcW w:w="1134" w:type="dxa"/>
            <w:shd w:val="clear" w:color="auto" w:fill="auto"/>
            <w:noWrap/>
            <w:vAlign w:val="center"/>
            <w:hideMark/>
          </w:tcPr>
          <w:p w14:paraId="2917F61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7,92</w:t>
            </w:r>
          </w:p>
        </w:tc>
        <w:tc>
          <w:tcPr>
            <w:tcW w:w="1560" w:type="dxa"/>
            <w:shd w:val="clear" w:color="auto" w:fill="auto"/>
            <w:noWrap/>
            <w:vAlign w:val="center"/>
            <w:hideMark/>
          </w:tcPr>
          <w:p w14:paraId="1748A5DA"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8,08</w:t>
            </w:r>
          </w:p>
        </w:tc>
      </w:tr>
      <w:tr w:rsidR="00905E1F" w:rsidRPr="00AC3806" w14:paraId="3306193D" w14:textId="77777777" w:rsidTr="00C749ED">
        <w:trPr>
          <w:trHeight w:val="300"/>
        </w:trPr>
        <w:tc>
          <w:tcPr>
            <w:tcW w:w="1985" w:type="dxa"/>
            <w:shd w:val="clear" w:color="auto" w:fill="auto"/>
            <w:noWrap/>
            <w:vAlign w:val="center"/>
            <w:hideMark/>
          </w:tcPr>
          <w:p w14:paraId="3CE31A79"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Лискинский муниципальный район</w:t>
            </w:r>
          </w:p>
        </w:tc>
        <w:tc>
          <w:tcPr>
            <w:tcW w:w="1276" w:type="dxa"/>
            <w:shd w:val="clear" w:color="auto" w:fill="auto"/>
            <w:noWrap/>
            <w:vAlign w:val="center"/>
            <w:hideMark/>
          </w:tcPr>
          <w:p w14:paraId="6F7B72D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2141</w:t>
            </w:r>
          </w:p>
        </w:tc>
        <w:tc>
          <w:tcPr>
            <w:tcW w:w="1842" w:type="dxa"/>
            <w:shd w:val="clear" w:color="auto" w:fill="auto"/>
            <w:noWrap/>
            <w:vAlign w:val="center"/>
            <w:hideMark/>
          </w:tcPr>
          <w:p w14:paraId="6DF0941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9 113 656 877,92</w:t>
            </w:r>
          </w:p>
        </w:tc>
        <w:tc>
          <w:tcPr>
            <w:tcW w:w="2126" w:type="dxa"/>
            <w:shd w:val="clear" w:color="auto" w:fill="auto"/>
            <w:noWrap/>
            <w:vAlign w:val="center"/>
            <w:hideMark/>
          </w:tcPr>
          <w:p w14:paraId="416F14CC"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8 211 908 762,02</w:t>
            </w:r>
          </w:p>
        </w:tc>
        <w:tc>
          <w:tcPr>
            <w:tcW w:w="1417" w:type="dxa"/>
            <w:shd w:val="clear" w:color="auto" w:fill="auto"/>
            <w:noWrap/>
            <w:vAlign w:val="center"/>
            <w:hideMark/>
          </w:tcPr>
          <w:p w14:paraId="5D7D9E1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1601715909</w:t>
            </w:r>
          </w:p>
        </w:tc>
        <w:tc>
          <w:tcPr>
            <w:tcW w:w="1844" w:type="dxa"/>
            <w:shd w:val="clear" w:color="auto" w:fill="auto"/>
            <w:noWrap/>
            <w:vAlign w:val="center"/>
            <w:hideMark/>
          </w:tcPr>
          <w:p w14:paraId="3727ADBB"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901 748 115,90</w:t>
            </w:r>
          </w:p>
        </w:tc>
        <w:tc>
          <w:tcPr>
            <w:tcW w:w="1418" w:type="dxa"/>
            <w:shd w:val="clear" w:color="auto" w:fill="auto"/>
            <w:noWrap/>
            <w:vAlign w:val="center"/>
            <w:hideMark/>
          </w:tcPr>
          <w:p w14:paraId="0840A7B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10,98</w:t>
            </w:r>
          </w:p>
        </w:tc>
        <w:tc>
          <w:tcPr>
            <w:tcW w:w="1134" w:type="dxa"/>
            <w:shd w:val="clear" w:color="auto" w:fill="auto"/>
            <w:noWrap/>
            <w:vAlign w:val="center"/>
            <w:hideMark/>
          </w:tcPr>
          <w:p w14:paraId="336DF31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5,69</w:t>
            </w:r>
          </w:p>
        </w:tc>
        <w:tc>
          <w:tcPr>
            <w:tcW w:w="1560" w:type="dxa"/>
            <w:shd w:val="clear" w:color="auto" w:fill="auto"/>
            <w:noWrap/>
            <w:vAlign w:val="center"/>
            <w:hideMark/>
          </w:tcPr>
          <w:p w14:paraId="1C137F4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5,13</w:t>
            </w:r>
          </w:p>
        </w:tc>
      </w:tr>
      <w:tr w:rsidR="00905E1F" w:rsidRPr="00AC3806" w14:paraId="0F93B130" w14:textId="77777777" w:rsidTr="00C749ED">
        <w:trPr>
          <w:trHeight w:val="300"/>
        </w:trPr>
        <w:tc>
          <w:tcPr>
            <w:tcW w:w="1985" w:type="dxa"/>
            <w:shd w:val="clear" w:color="auto" w:fill="auto"/>
            <w:noWrap/>
            <w:vAlign w:val="center"/>
            <w:hideMark/>
          </w:tcPr>
          <w:p w14:paraId="0C030238"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Нижнедевицкий муниципальный район</w:t>
            </w:r>
          </w:p>
        </w:tc>
        <w:tc>
          <w:tcPr>
            <w:tcW w:w="1276" w:type="dxa"/>
            <w:shd w:val="clear" w:color="auto" w:fill="auto"/>
            <w:noWrap/>
            <w:vAlign w:val="center"/>
            <w:hideMark/>
          </w:tcPr>
          <w:p w14:paraId="6A78D5A3"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1740</w:t>
            </w:r>
          </w:p>
        </w:tc>
        <w:tc>
          <w:tcPr>
            <w:tcW w:w="1842" w:type="dxa"/>
            <w:shd w:val="clear" w:color="auto" w:fill="auto"/>
            <w:noWrap/>
            <w:vAlign w:val="center"/>
            <w:hideMark/>
          </w:tcPr>
          <w:p w14:paraId="38A8D05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8 050 454 187,78</w:t>
            </w:r>
          </w:p>
        </w:tc>
        <w:tc>
          <w:tcPr>
            <w:tcW w:w="2126" w:type="dxa"/>
            <w:shd w:val="clear" w:color="auto" w:fill="auto"/>
            <w:noWrap/>
            <w:vAlign w:val="center"/>
            <w:hideMark/>
          </w:tcPr>
          <w:p w14:paraId="3F4E6D2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8 063 577 340,61</w:t>
            </w:r>
          </w:p>
        </w:tc>
        <w:tc>
          <w:tcPr>
            <w:tcW w:w="1417" w:type="dxa"/>
            <w:shd w:val="clear" w:color="auto" w:fill="auto"/>
            <w:noWrap/>
            <w:vAlign w:val="center"/>
            <w:hideMark/>
          </w:tcPr>
          <w:p w14:paraId="3EBF5F0B"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1239971213</w:t>
            </w:r>
          </w:p>
        </w:tc>
        <w:tc>
          <w:tcPr>
            <w:tcW w:w="1844" w:type="dxa"/>
            <w:shd w:val="clear" w:color="auto" w:fill="auto"/>
            <w:noWrap/>
            <w:vAlign w:val="center"/>
            <w:hideMark/>
          </w:tcPr>
          <w:p w14:paraId="4EAE00F6"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-13 123 152,83</w:t>
            </w:r>
          </w:p>
        </w:tc>
        <w:tc>
          <w:tcPr>
            <w:tcW w:w="1418" w:type="dxa"/>
            <w:shd w:val="clear" w:color="auto" w:fill="auto"/>
            <w:noWrap/>
            <w:vAlign w:val="center"/>
            <w:hideMark/>
          </w:tcPr>
          <w:p w14:paraId="0467C0A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-0,16</w:t>
            </w:r>
          </w:p>
        </w:tc>
        <w:tc>
          <w:tcPr>
            <w:tcW w:w="1134" w:type="dxa"/>
            <w:shd w:val="clear" w:color="auto" w:fill="auto"/>
            <w:noWrap/>
            <w:vAlign w:val="center"/>
            <w:hideMark/>
          </w:tcPr>
          <w:p w14:paraId="1B566DA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6,49</w:t>
            </w:r>
          </w:p>
        </w:tc>
        <w:tc>
          <w:tcPr>
            <w:tcW w:w="1560" w:type="dxa"/>
            <w:shd w:val="clear" w:color="auto" w:fill="auto"/>
            <w:noWrap/>
            <w:vAlign w:val="center"/>
            <w:hideMark/>
          </w:tcPr>
          <w:p w14:paraId="5DB8A4B6"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6,50</w:t>
            </w:r>
          </w:p>
        </w:tc>
      </w:tr>
      <w:tr w:rsidR="00905E1F" w:rsidRPr="00AC3806" w14:paraId="4615CC19" w14:textId="77777777" w:rsidTr="00C749ED">
        <w:trPr>
          <w:trHeight w:val="300"/>
        </w:trPr>
        <w:tc>
          <w:tcPr>
            <w:tcW w:w="1985" w:type="dxa"/>
            <w:shd w:val="clear" w:color="auto" w:fill="auto"/>
            <w:noWrap/>
            <w:vAlign w:val="center"/>
            <w:hideMark/>
          </w:tcPr>
          <w:p w14:paraId="30013476"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Новоусманский муниципальный район</w:t>
            </w:r>
          </w:p>
        </w:tc>
        <w:tc>
          <w:tcPr>
            <w:tcW w:w="1276" w:type="dxa"/>
            <w:shd w:val="clear" w:color="auto" w:fill="auto"/>
            <w:noWrap/>
            <w:vAlign w:val="center"/>
            <w:hideMark/>
          </w:tcPr>
          <w:p w14:paraId="39466B49"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2104</w:t>
            </w:r>
          </w:p>
        </w:tc>
        <w:tc>
          <w:tcPr>
            <w:tcW w:w="1842" w:type="dxa"/>
            <w:shd w:val="clear" w:color="auto" w:fill="auto"/>
            <w:noWrap/>
            <w:vAlign w:val="center"/>
            <w:hideMark/>
          </w:tcPr>
          <w:p w14:paraId="5D8E8FE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7 174 701 193,15</w:t>
            </w:r>
          </w:p>
        </w:tc>
        <w:tc>
          <w:tcPr>
            <w:tcW w:w="2126" w:type="dxa"/>
            <w:shd w:val="clear" w:color="auto" w:fill="auto"/>
            <w:noWrap/>
            <w:vAlign w:val="center"/>
            <w:hideMark/>
          </w:tcPr>
          <w:p w14:paraId="4132AC1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6 638 642 080,86</w:t>
            </w:r>
          </w:p>
        </w:tc>
        <w:tc>
          <w:tcPr>
            <w:tcW w:w="1417" w:type="dxa"/>
            <w:shd w:val="clear" w:color="auto" w:fill="auto"/>
            <w:noWrap/>
            <w:vAlign w:val="center"/>
            <w:hideMark/>
          </w:tcPr>
          <w:p w14:paraId="4FFFCF48"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1016573264</w:t>
            </w:r>
          </w:p>
        </w:tc>
        <w:tc>
          <w:tcPr>
            <w:tcW w:w="1844" w:type="dxa"/>
            <w:shd w:val="clear" w:color="auto" w:fill="auto"/>
            <w:noWrap/>
            <w:vAlign w:val="center"/>
            <w:hideMark/>
          </w:tcPr>
          <w:p w14:paraId="23BFE57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536 059 112,29</w:t>
            </w:r>
          </w:p>
        </w:tc>
        <w:tc>
          <w:tcPr>
            <w:tcW w:w="1418" w:type="dxa"/>
            <w:shd w:val="clear" w:color="auto" w:fill="auto"/>
            <w:noWrap/>
            <w:vAlign w:val="center"/>
            <w:hideMark/>
          </w:tcPr>
          <w:p w14:paraId="13D28D5A"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8,07</w:t>
            </w:r>
          </w:p>
        </w:tc>
        <w:tc>
          <w:tcPr>
            <w:tcW w:w="1134" w:type="dxa"/>
            <w:shd w:val="clear" w:color="auto" w:fill="auto"/>
            <w:noWrap/>
            <w:vAlign w:val="center"/>
            <w:hideMark/>
          </w:tcPr>
          <w:p w14:paraId="0F8572F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7,06</w:t>
            </w:r>
          </w:p>
        </w:tc>
        <w:tc>
          <w:tcPr>
            <w:tcW w:w="1560" w:type="dxa"/>
            <w:shd w:val="clear" w:color="auto" w:fill="auto"/>
            <w:noWrap/>
            <w:vAlign w:val="center"/>
            <w:hideMark/>
          </w:tcPr>
          <w:p w14:paraId="0D991DB8"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6,53</w:t>
            </w:r>
          </w:p>
        </w:tc>
      </w:tr>
      <w:tr w:rsidR="00905E1F" w:rsidRPr="00AC3806" w14:paraId="70703634" w14:textId="77777777" w:rsidTr="00C749ED">
        <w:trPr>
          <w:trHeight w:val="300"/>
        </w:trPr>
        <w:tc>
          <w:tcPr>
            <w:tcW w:w="1985" w:type="dxa"/>
            <w:shd w:val="clear" w:color="auto" w:fill="auto"/>
            <w:noWrap/>
            <w:vAlign w:val="center"/>
            <w:hideMark/>
          </w:tcPr>
          <w:p w14:paraId="4D43B405"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Новохопёрский муниципальный район</w:t>
            </w:r>
          </w:p>
        </w:tc>
        <w:tc>
          <w:tcPr>
            <w:tcW w:w="1276" w:type="dxa"/>
            <w:shd w:val="clear" w:color="auto" w:fill="auto"/>
            <w:noWrap/>
            <w:vAlign w:val="center"/>
            <w:hideMark/>
          </w:tcPr>
          <w:p w14:paraId="395E14F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5322</w:t>
            </w:r>
          </w:p>
        </w:tc>
        <w:tc>
          <w:tcPr>
            <w:tcW w:w="1842" w:type="dxa"/>
            <w:shd w:val="clear" w:color="auto" w:fill="auto"/>
            <w:noWrap/>
            <w:vAlign w:val="center"/>
            <w:hideMark/>
          </w:tcPr>
          <w:p w14:paraId="6956DF7B"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8 066 095 143,74</w:t>
            </w:r>
          </w:p>
        </w:tc>
        <w:tc>
          <w:tcPr>
            <w:tcW w:w="2126" w:type="dxa"/>
            <w:shd w:val="clear" w:color="auto" w:fill="auto"/>
            <w:noWrap/>
            <w:vAlign w:val="center"/>
            <w:hideMark/>
          </w:tcPr>
          <w:p w14:paraId="44C861C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9 741 791 790,04</w:t>
            </w:r>
          </w:p>
        </w:tc>
        <w:tc>
          <w:tcPr>
            <w:tcW w:w="1417" w:type="dxa"/>
            <w:shd w:val="clear" w:color="auto" w:fill="auto"/>
            <w:noWrap/>
            <w:vAlign w:val="center"/>
            <w:hideMark/>
          </w:tcPr>
          <w:p w14:paraId="565BDEF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1699566110</w:t>
            </w:r>
          </w:p>
        </w:tc>
        <w:tc>
          <w:tcPr>
            <w:tcW w:w="1844" w:type="dxa"/>
            <w:shd w:val="clear" w:color="auto" w:fill="auto"/>
            <w:noWrap/>
            <w:vAlign w:val="center"/>
            <w:hideMark/>
          </w:tcPr>
          <w:p w14:paraId="1D84A09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-1 675 696 646,30</w:t>
            </w:r>
          </w:p>
        </w:tc>
        <w:tc>
          <w:tcPr>
            <w:tcW w:w="1418" w:type="dxa"/>
            <w:shd w:val="clear" w:color="auto" w:fill="auto"/>
            <w:noWrap/>
            <w:vAlign w:val="center"/>
            <w:hideMark/>
          </w:tcPr>
          <w:p w14:paraId="0412717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-17,2</w:t>
            </w:r>
          </w:p>
        </w:tc>
        <w:tc>
          <w:tcPr>
            <w:tcW w:w="1134" w:type="dxa"/>
            <w:shd w:val="clear" w:color="auto" w:fill="auto"/>
            <w:noWrap/>
            <w:vAlign w:val="center"/>
            <w:hideMark/>
          </w:tcPr>
          <w:p w14:paraId="5296BDB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4,75</w:t>
            </w:r>
          </w:p>
        </w:tc>
        <w:tc>
          <w:tcPr>
            <w:tcW w:w="1560" w:type="dxa"/>
            <w:shd w:val="clear" w:color="auto" w:fill="auto"/>
            <w:noWrap/>
            <w:vAlign w:val="center"/>
            <w:hideMark/>
          </w:tcPr>
          <w:p w14:paraId="7BF7E74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5,73</w:t>
            </w:r>
          </w:p>
        </w:tc>
      </w:tr>
      <w:tr w:rsidR="00905E1F" w:rsidRPr="00AC3806" w14:paraId="67CD4D68" w14:textId="77777777" w:rsidTr="00C749ED">
        <w:trPr>
          <w:trHeight w:val="300"/>
        </w:trPr>
        <w:tc>
          <w:tcPr>
            <w:tcW w:w="1985" w:type="dxa"/>
            <w:shd w:val="clear" w:color="auto" w:fill="auto"/>
            <w:noWrap/>
            <w:vAlign w:val="center"/>
            <w:hideMark/>
          </w:tcPr>
          <w:p w14:paraId="1BDC57B6"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Ольховатский муниципальный район</w:t>
            </w:r>
          </w:p>
        </w:tc>
        <w:tc>
          <w:tcPr>
            <w:tcW w:w="1276" w:type="dxa"/>
            <w:shd w:val="clear" w:color="auto" w:fill="auto"/>
            <w:noWrap/>
            <w:vAlign w:val="center"/>
            <w:hideMark/>
          </w:tcPr>
          <w:p w14:paraId="6F1DAD7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1517</w:t>
            </w:r>
          </w:p>
        </w:tc>
        <w:tc>
          <w:tcPr>
            <w:tcW w:w="1842" w:type="dxa"/>
            <w:shd w:val="clear" w:color="auto" w:fill="auto"/>
            <w:noWrap/>
            <w:vAlign w:val="center"/>
            <w:hideMark/>
          </w:tcPr>
          <w:p w14:paraId="6094B1F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2 895 731 728,75</w:t>
            </w:r>
          </w:p>
        </w:tc>
        <w:tc>
          <w:tcPr>
            <w:tcW w:w="2126" w:type="dxa"/>
            <w:shd w:val="clear" w:color="auto" w:fill="auto"/>
            <w:noWrap/>
            <w:vAlign w:val="center"/>
            <w:hideMark/>
          </w:tcPr>
          <w:p w14:paraId="437BC41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2 626 966 881,49</w:t>
            </w:r>
          </w:p>
        </w:tc>
        <w:tc>
          <w:tcPr>
            <w:tcW w:w="1417" w:type="dxa"/>
            <w:shd w:val="clear" w:color="auto" w:fill="auto"/>
            <w:noWrap/>
            <w:vAlign w:val="center"/>
            <w:hideMark/>
          </w:tcPr>
          <w:p w14:paraId="7E1DA5A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837789549,5</w:t>
            </w:r>
          </w:p>
        </w:tc>
        <w:tc>
          <w:tcPr>
            <w:tcW w:w="1844" w:type="dxa"/>
            <w:shd w:val="clear" w:color="auto" w:fill="auto"/>
            <w:noWrap/>
            <w:vAlign w:val="center"/>
            <w:hideMark/>
          </w:tcPr>
          <w:p w14:paraId="5267E91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268 764 847,26</w:t>
            </w:r>
          </w:p>
        </w:tc>
        <w:tc>
          <w:tcPr>
            <w:tcW w:w="1418" w:type="dxa"/>
            <w:shd w:val="clear" w:color="auto" w:fill="auto"/>
            <w:noWrap/>
            <w:vAlign w:val="center"/>
            <w:hideMark/>
          </w:tcPr>
          <w:p w14:paraId="77658B2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10,23</w:t>
            </w:r>
          </w:p>
        </w:tc>
        <w:tc>
          <w:tcPr>
            <w:tcW w:w="1134" w:type="dxa"/>
            <w:shd w:val="clear" w:color="auto" w:fill="auto"/>
            <w:noWrap/>
            <w:vAlign w:val="center"/>
            <w:hideMark/>
          </w:tcPr>
          <w:p w14:paraId="0D97CCFB"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3,46</w:t>
            </w:r>
          </w:p>
        </w:tc>
        <w:tc>
          <w:tcPr>
            <w:tcW w:w="1560" w:type="dxa"/>
            <w:shd w:val="clear" w:color="auto" w:fill="auto"/>
            <w:noWrap/>
            <w:vAlign w:val="center"/>
            <w:hideMark/>
          </w:tcPr>
          <w:p w14:paraId="139F780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3,14</w:t>
            </w:r>
          </w:p>
        </w:tc>
      </w:tr>
      <w:tr w:rsidR="00905E1F" w:rsidRPr="00AC3806" w14:paraId="4BA850D0" w14:textId="77777777" w:rsidTr="00C749ED">
        <w:trPr>
          <w:trHeight w:val="300"/>
        </w:trPr>
        <w:tc>
          <w:tcPr>
            <w:tcW w:w="1985" w:type="dxa"/>
            <w:shd w:val="clear" w:color="auto" w:fill="auto"/>
            <w:noWrap/>
            <w:vAlign w:val="center"/>
            <w:hideMark/>
          </w:tcPr>
          <w:p w14:paraId="4A1F81F2"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Острогожский муниципальный район</w:t>
            </w:r>
          </w:p>
        </w:tc>
        <w:tc>
          <w:tcPr>
            <w:tcW w:w="1276" w:type="dxa"/>
            <w:shd w:val="clear" w:color="auto" w:fill="auto"/>
            <w:noWrap/>
            <w:vAlign w:val="center"/>
            <w:hideMark/>
          </w:tcPr>
          <w:p w14:paraId="35C901B9"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2388</w:t>
            </w:r>
          </w:p>
        </w:tc>
        <w:tc>
          <w:tcPr>
            <w:tcW w:w="1842" w:type="dxa"/>
            <w:shd w:val="clear" w:color="auto" w:fill="auto"/>
            <w:noWrap/>
            <w:vAlign w:val="center"/>
            <w:hideMark/>
          </w:tcPr>
          <w:p w14:paraId="7B53E3C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7 750 289 342,87</w:t>
            </w:r>
          </w:p>
        </w:tc>
        <w:tc>
          <w:tcPr>
            <w:tcW w:w="2126" w:type="dxa"/>
            <w:shd w:val="clear" w:color="auto" w:fill="auto"/>
            <w:noWrap/>
            <w:vAlign w:val="center"/>
            <w:hideMark/>
          </w:tcPr>
          <w:p w14:paraId="5C55633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7 818 278 564,45</w:t>
            </w:r>
          </w:p>
        </w:tc>
        <w:tc>
          <w:tcPr>
            <w:tcW w:w="1417" w:type="dxa"/>
            <w:shd w:val="clear" w:color="auto" w:fill="auto"/>
            <w:noWrap/>
            <w:vAlign w:val="center"/>
            <w:hideMark/>
          </w:tcPr>
          <w:p w14:paraId="52CD0C6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1536362395</w:t>
            </w:r>
          </w:p>
        </w:tc>
        <w:tc>
          <w:tcPr>
            <w:tcW w:w="1844" w:type="dxa"/>
            <w:shd w:val="clear" w:color="auto" w:fill="auto"/>
            <w:noWrap/>
            <w:vAlign w:val="center"/>
            <w:hideMark/>
          </w:tcPr>
          <w:p w14:paraId="1F60AA53"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-67 989 221,58</w:t>
            </w:r>
          </w:p>
        </w:tc>
        <w:tc>
          <w:tcPr>
            <w:tcW w:w="1418" w:type="dxa"/>
            <w:shd w:val="clear" w:color="auto" w:fill="auto"/>
            <w:noWrap/>
            <w:vAlign w:val="center"/>
            <w:hideMark/>
          </w:tcPr>
          <w:p w14:paraId="5A72F7C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-0,87</w:t>
            </w:r>
          </w:p>
        </w:tc>
        <w:tc>
          <w:tcPr>
            <w:tcW w:w="1134" w:type="dxa"/>
            <w:shd w:val="clear" w:color="auto" w:fill="auto"/>
            <w:noWrap/>
            <w:vAlign w:val="center"/>
            <w:hideMark/>
          </w:tcPr>
          <w:p w14:paraId="0797C3D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5,04</w:t>
            </w:r>
          </w:p>
        </w:tc>
        <w:tc>
          <w:tcPr>
            <w:tcW w:w="1560" w:type="dxa"/>
            <w:shd w:val="clear" w:color="auto" w:fill="auto"/>
            <w:noWrap/>
            <w:vAlign w:val="center"/>
            <w:hideMark/>
          </w:tcPr>
          <w:p w14:paraId="6441CED3"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5,09</w:t>
            </w:r>
          </w:p>
        </w:tc>
      </w:tr>
      <w:tr w:rsidR="00905E1F" w:rsidRPr="00AC3806" w14:paraId="1334F4B4" w14:textId="77777777" w:rsidTr="00C749ED">
        <w:trPr>
          <w:trHeight w:val="300"/>
        </w:trPr>
        <w:tc>
          <w:tcPr>
            <w:tcW w:w="1985" w:type="dxa"/>
            <w:shd w:val="clear" w:color="auto" w:fill="auto"/>
            <w:noWrap/>
            <w:vAlign w:val="center"/>
            <w:hideMark/>
          </w:tcPr>
          <w:p w14:paraId="13312570"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Павловский муниципальный район</w:t>
            </w:r>
          </w:p>
        </w:tc>
        <w:tc>
          <w:tcPr>
            <w:tcW w:w="1276" w:type="dxa"/>
            <w:shd w:val="clear" w:color="auto" w:fill="auto"/>
            <w:noWrap/>
            <w:vAlign w:val="center"/>
            <w:hideMark/>
          </w:tcPr>
          <w:p w14:paraId="5F76066A"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4817</w:t>
            </w:r>
          </w:p>
        </w:tc>
        <w:tc>
          <w:tcPr>
            <w:tcW w:w="1842" w:type="dxa"/>
            <w:shd w:val="clear" w:color="auto" w:fill="auto"/>
            <w:noWrap/>
            <w:vAlign w:val="center"/>
            <w:hideMark/>
          </w:tcPr>
          <w:p w14:paraId="4DE0EA59"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7 251 977 368,24</w:t>
            </w:r>
          </w:p>
        </w:tc>
        <w:tc>
          <w:tcPr>
            <w:tcW w:w="2126" w:type="dxa"/>
            <w:shd w:val="clear" w:color="auto" w:fill="auto"/>
            <w:noWrap/>
            <w:vAlign w:val="center"/>
            <w:hideMark/>
          </w:tcPr>
          <w:p w14:paraId="488B2A0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6 466 470 258,46</w:t>
            </w:r>
          </w:p>
        </w:tc>
        <w:tc>
          <w:tcPr>
            <w:tcW w:w="1417" w:type="dxa"/>
            <w:shd w:val="clear" w:color="auto" w:fill="auto"/>
            <w:noWrap/>
            <w:vAlign w:val="center"/>
            <w:hideMark/>
          </w:tcPr>
          <w:p w14:paraId="1DD741C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1458813641</w:t>
            </w:r>
          </w:p>
        </w:tc>
        <w:tc>
          <w:tcPr>
            <w:tcW w:w="1844" w:type="dxa"/>
            <w:shd w:val="clear" w:color="auto" w:fill="auto"/>
            <w:noWrap/>
            <w:vAlign w:val="center"/>
            <w:hideMark/>
          </w:tcPr>
          <w:p w14:paraId="66025756"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785 507 109,78</w:t>
            </w:r>
          </w:p>
        </w:tc>
        <w:tc>
          <w:tcPr>
            <w:tcW w:w="1418" w:type="dxa"/>
            <w:shd w:val="clear" w:color="auto" w:fill="auto"/>
            <w:noWrap/>
            <w:vAlign w:val="center"/>
            <w:hideMark/>
          </w:tcPr>
          <w:p w14:paraId="02DD705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12,15</w:t>
            </w:r>
          </w:p>
        </w:tc>
        <w:tc>
          <w:tcPr>
            <w:tcW w:w="1134" w:type="dxa"/>
            <w:shd w:val="clear" w:color="auto" w:fill="auto"/>
            <w:noWrap/>
            <w:vAlign w:val="center"/>
            <w:hideMark/>
          </w:tcPr>
          <w:p w14:paraId="042C456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4,97</w:t>
            </w:r>
          </w:p>
        </w:tc>
        <w:tc>
          <w:tcPr>
            <w:tcW w:w="1560" w:type="dxa"/>
            <w:shd w:val="clear" w:color="auto" w:fill="auto"/>
            <w:noWrap/>
            <w:vAlign w:val="center"/>
            <w:hideMark/>
          </w:tcPr>
          <w:p w14:paraId="316F3AF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4,43</w:t>
            </w:r>
          </w:p>
        </w:tc>
      </w:tr>
      <w:tr w:rsidR="00905E1F" w:rsidRPr="00AC3806" w14:paraId="166F000E" w14:textId="77777777" w:rsidTr="00C749ED">
        <w:trPr>
          <w:trHeight w:val="300"/>
        </w:trPr>
        <w:tc>
          <w:tcPr>
            <w:tcW w:w="1985" w:type="dxa"/>
            <w:shd w:val="clear" w:color="auto" w:fill="auto"/>
            <w:noWrap/>
            <w:vAlign w:val="center"/>
            <w:hideMark/>
          </w:tcPr>
          <w:p w14:paraId="719C5AB7"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Панинский муниципальный район</w:t>
            </w:r>
          </w:p>
        </w:tc>
        <w:tc>
          <w:tcPr>
            <w:tcW w:w="1276" w:type="dxa"/>
            <w:shd w:val="clear" w:color="auto" w:fill="auto"/>
            <w:noWrap/>
            <w:vAlign w:val="center"/>
            <w:hideMark/>
          </w:tcPr>
          <w:p w14:paraId="1651255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2301</w:t>
            </w:r>
          </w:p>
        </w:tc>
        <w:tc>
          <w:tcPr>
            <w:tcW w:w="1842" w:type="dxa"/>
            <w:shd w:val="clear" w:color="auto" w:fill="auto"/>
            <w:noWrap/>
            <w:vAlign w:val="center"/>
            <w:hideMark/>
          </w:tcPr>
          <w:p w14:paraId="421155D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10 657 419 001,71</w:t>
            </w:r>
          </w:p>
        </w:tc>
        <w:tc>
          <w:tcPr>
            <w:tcW w:w="2126" w:type="dxa"/>
            <w:shd w:val="clear" w:color="auto" w:fill="auto"/>
            <w:noWrap/>
            <w:vAlign w:val="center"/>
            <w:hideMark/>
          </w:tcPr>
          <w:p w14:paraId="2E16E289"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10 204 629 284,28</w:t>
            </w:r>
          </w:p>
        </w:tc>
        <w:tc>
          <w:tcPr>
            <w:tcW w:w="1417" w:type="dxa"/>
            <w:shd w:val="clear" w:color="auto" w:fill="auto"/>
            <w:noWrap/>
            <w:vAlign w:val="center"/>
            <w:hideMark/>
          </w:tcPr>
          <w:p w14:paraId="3EFD7BE9"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1249730111</w:t>
            </w:r>
          </w:p>
        </w:tc>
        <w:tc>
          <w:tcPr>
            <w:tcW w:w="1844" w:type="dxa"/>
            <w:shd w:val="clear" w:color="auto" w:fill="auto"/>
            <w:noWrap/>
            <w:vAlign w:val="center"/>
            <w:hideMark/>
          </w:tcPr>
          <w:p w14:paraId="1D8760D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452 789 717,43</w:t>
            </w:r>
          </w:p>
        </w:tc>
        <w:tc>
          <w:tcPr>
            <w:tcW w:w="1418" w:type="dxa"/>
            <w:shd w:val="clear" w:color="auto" w:fill="auto"/>
            <w:noWrap/>
            <w:vAlign w:val="center"/>
            <w:hideMark/>
          </w:tcPr>
          <w:p w14:paraId="6D9A6DEB"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4,44</w:t>
            </w:r>
          </w:p>
        </w:tc>
        <w:tc>
          <w:tcPr>
            <w:tcW w:w="1134" w:type="dxa"/>
            <w:shd w:val="clear" w:color="auto" w:fill="auto"/>
            <w:noWrap/>
            <w:vAlign w:val="center"/>
            <w:hideMark/>
          </w:tcPr>
          <w:p w14:paraId="5877C67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8,53</w:t>
            </w:r>
          </w:p>
        </w:tc>
        <w:tc>
          <w:tcPr>
            <w:tcW w:w="1560" w:type="dxa"/>
            <w:shd w:val="clear" w:color="auto" w:fill="auto"/>
            <w:noWrap/>
            <w:vAlign w:val="center"/>
            <w:hideMark/>
          </w:tcPr>
          <w:p w14:paraId="06055A89"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8,17</w:t>
            </w:r>
          </w:p>
        </w:tc>
      </w:tr>
      <w:tr w:rsidR="00905E1F" w:rsidRPr="00AC3806" w14:paraId="3115AB38" w14:textId="77777777" w:rsidTr="00C749ED">
        <w:trPr>
          <w:trHeight w:val="300"/>
        </w:trPr>
        <w:tc>
          <w:tcPr>
            <w:tcW w:w="1985" w:type="dxa"/>
            <w:shd w:val="clear" w:color="auto" w:fill="auto"/>
            <w:noWrap/>
            <w:vAlign w:val="center"/>
            <w:hideMark/>
          </w:tcPr>
          <w:p w14:paraId="3B61DB19"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Петропавловский муниципальный район</w:t>
            </w:r>
          </w:p>
        </w:tc>
        <w:tc>
          <w:tcPr>
            <w:tcW w:w="1276" w:type="dxa"/>
            <w:shd w:val="clear" w:color="auto" w:fill="auto"/>
            <w:noWrap/>
            <w:vAlign w:val="center"/>
            <w:hideMark/>
          </w:tcPr>
          <w:p w14:paraId="341F28E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3110</w:t>
            </w:r>
          </w:p>
        </w:tc>
        <w:tc>
          <w:tcPr>
            <w:tcW w:w="1842" w:type="dxa"/>
            <w:shd w:val="clear" w:color="auto" w:fill="auto"/>
            <w:noWrap/>
            <w:vAlign w:val="center"/>
            <w:hideMark/>
          </w:tcPr>
          <w:p w14:paraId="2A70B8BA"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7 256 987 110,80</w:t>
            </w:r>
          </w:p>
        </w:tc>
        <w:tc>
          <w:tcPr>
            <w:tcW w:w="2126" w:type="dxa"/>
            <w:shd w:val="clear" w:color="auto" w:fill="auto"/>
            <w:noWrap/>
            <w:vAlign w:val="center"/>
            <w:hideMark/>
          </w:tcPr>
          <w:p w14:paraId="416B81C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6 987 724 648,82</w:t>
            </w:r>
          </w:p>
        </w:tc>
        <w:tc>
          <w:tcPr>
            <w:tcW w:w="1417" w:type="dxa"/>
            <w:shd w:val="clear" w:color="auto" w:fill="auto"/>
            <w:noWrap/>
            <w:vAlign w:val="center"/>
            <w:hideMark/>
          </w:tcPr>
          <w:p w14:paraId="545D75D8"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1526527775</w:t>
            </w:r>
          </w:p>
        </w:tc>
        <w:tc>
          <w:tcPr>
            <w:tcW w:w="1844" w:type="dxa"/>
            <w:shd w:val="clear" w:color="auto" w:fill="auto"/>
            <w:noWrap/>
            <w:vAlign w:val="center"/>
            <w:hideMark/>
          </w:tcPr>
          <w:p w14:paraId="207ECA2B"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269 262 461,98</w:t>
            </w:r>
          </w:p>
        </w:tc>
        <w:tc>
          <w:tcPr>
            <w:tcW w:w="1418" w:type="dxa"/>
            <w:shd w:val="clear" w:color="auto" w:fill="auto"/>
            <w:noWrap/>
            <w:vAlign w:val="center"/>
            <w:hideMark/>
          </w:tcPr>
          <w:p w14:paraId="3B1EA046"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3,85</w:t>
            </w:r>
          </w:p>
        </w:tc>
        <w:tc>
          <w:tcPr>
            <w:tcW w:w="1134" w:type="dxa"/>
            <w:shd w:val="clear" w:color="auto" w:fill="auto"/>
            <w:noWrap/>
            <w:vAlign w:val="center"/>
            <w:hideMark/>
          </w:tcPr>
          <w:p w14:paraId="20F7704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4,75</w:t>
            </w:r>
          </w:p>
        </w:tc>
        <w:tc>
          <w:tcPr>
            <w:tcW w:w="1560" w:type="dxa"/>
            <w:shd w:val="clear" w:color="auto" w:fill="auto"/>
            <w:noWrap/>
            <w:vAlign w:val="center"/>
            <w:hideMark/>
          </w:tcPr>
          <w:p w14:paraId="4F9C0FC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4,58</w:t>
            </w:r>
          </w:p>
        </w:tc>
      </w:tr>
      <w:tr w:rsidR="00905E1F" w:rsidRPr="00AC3806" w14:paraId="536EE32C" w14:textId="77777777" w:rsidTr="00C749ED">
        <w:trPr>
          <w:trHeight w:val="300"/>
        </w:trPr>
        <w:tc>
          <w:tcPr>
            <w:tcW w:w="1985" w:type="dxa"/>
            <w:shd w:val="clear" w:color="auto" w:fill="auto"/>
            <w:noWrap/>
            <w:vAlign w:val="center"/>
            <w:hideMark/>
          </w:tcPr>
          <w:p w14:paraId="27565518"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Поворинский муниципальный район</w:t>
            </w:r>
          </w:p>
        </w:tc>
        <w:tc>
          <w:tcPr>
            <w:tcW w:w="1276" w:type="dxa"/>
            <w:shd w:val="clear" w:color="auto" w:fill="auto"/>
            <w:noWrap/>
            <w:vAlign w:val="center"/>
            <w:hideMark/>
          </w:tcPr>
          <w:p w14:paraId="360B33B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1216</w:t>
            </w:r>
          </w:p>
        </w:tc>
        <w:tc>
          <w:tcPr>
            <w:tcW w:w="1842" w:type="dxa"/>
            <w:shd w:val="clear" w:color="auto" w:fill="auto"/>
            <w:noWrap/>
            <w:vAlign w:val="center"/>
            <w:hideMark/>
          </w:tcPr>
          <w:p w14:paraId="66CBBD9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5 354 913 862,90</w:t>
            </w:r>
          </w:p>
        </w:tc>
        <w:tc>
          <w:tcPr>
            <w:tcW w:w="2126" w:type="dxa"/>
            <w:shd w:val="clear" w:color="auto" w:fill="auto"/>
            <w:noWrap/>
            <w:vAlign w:val="center"/>
            <w:hideMark/>
          </w:tcPr>
          <w:p w14:paraId="3134EF9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5 330 181 265,86</w:t>
            </w:r>
          </w:p>
        </w:tc>
        <w:tc>
          <w:tcPr>
            <w:tcW w:w="1417" w:type="dxa"/>
            <w:shd w:val="clear" w:color="auto" w:fill="auto"/>
            <w:noWrap/>
            <w:vAlign w:val="center"/>
            <w:hideMark/>
          </w:tcPr>
          <w:p w14:paraId="56D96F3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919994186,8</w:t>
            </w:r>
          </w:p>
        </w:tc>
        <w:tc>
          <w:tcPr>
            <w:tcW w:w="1844" w:type="dxa"/>
            <w:shd w:val="clear" w:color="auto" w:fill="auto"/>
            <w:noWrap/>
            <w:vAlign w:val="center"/>
            <w:hideMark/>
          </w:tcPr>
          <w:p w14:paraId="6E8C839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24 732 597,04</w:t>
            </w:r>
          </w:p>
        </w:tc>
        <w:tc>
          <w:tcPr>
            <w:tcW w:w="1418" w:type="dxa"/>
            <w:shd w:val="clear" w:color="auto" w:fill="auto"/>
            <w:noWrap/>
            <w:vAlign w:val="center"/>
            <w:hideMark/>
          </w:tcPr>
          <w:p w14:paraId="1FA24128"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0,46</w:t>
            </w:r>
          </w:p>
        </w:tc>
        <w:tc>
          <w:tcPr>
            <w:tcW w:w="1134" w:type="dxa"/>
            <w:shd w:val="clear" w:color="auto" w:fill="auto"/>
            <w:noWrap/>
            <w:vAlign w:val="center"/>
            <w:hideMark/>
          </w:tcPr>
          <w:p w14:paraId="2EAA5FA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5,82</w:t>
            </w:r>
          </w:p>
        </w:tc>
        <w:tc>
          <w:tcPr>
            <w:tcW w:w="1560" w:type="dxa"/>
            <w:shd w:val="clear" w:color="auto" w:fill="auto"/>
            <w:noWrap/>
            <w:vAlign w:val="center"/>
            <w:hideMark/>
          </w:tcPr>
          <w:p w14:paraId="5923F4B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5,79</w:t>
            </w:r>
          </w:p>
        </w:tc>
      </w:tr>
      <w:tr w:rsidR="00905E1F" w:rsidRPr="00AC3806" w14:paraId="547ADDA3" w14:textId="77777777" w:rsidTr="00C749ED">
        <w:trPr>
          <w:trHeight w:val="300"/>
        </w:trPr>
        <w:tc>
          <w:tcPr>
            <w:tcW w:w="1985" w:type="dxa"/>
            <w:shd w:val="clear" w:color="auto" w:fill="auto"/>
            <w:noWrap/>
            <w:vAlign w:val="center"/>
            <w:hideMark/>
          </w:tcPr>
          <w:p w14:paraId="600DE3A7"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Подгоренский муниципальный район</w:t>
            </w:r>
          </w:p>
        </w:tc>
        <w:tc>
          <w:tcPr>
            <w:tcW w:w="1276" w:type="dxa"/>
            <w:shd w:val="clear" w:color="auto" w:fill="auto"/>
            <w:noWrap/>
            <w:vAlign w:val="center"/>
            <w:hideMark/>
          </w:tcPr>
          <w:p w14:paraId="0FE3614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2376</w:t>
            </w:r>
          </w:p>
        </w:tc>
        <w:tc>
          <w:tcPr>
            <w:tcW w:w="1842" w:type="dxa"/>
            <w:shd w:val="clear" w:color="auto" w:fill="auto"/>
            <w:noWrap/>
            <w:vAlign w:val="center"/>
            <w:hideMark/>
          </w:tcPr>
          <w:p w14:paraId="2116971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5 114 278 644,91</w:t>
            </w:r>
          </w:p>
        </w:tc>
        <w:tc>
          <w:tcPr>
            <w:tcW w:w="2126" w:type="dxa"/>
            <w:shd w:val="clear" w:color="auto" w:fill="auto"/>
            <w:noWrap/>
            <w:vAlign w:val="center"/>
            <w:hideMark/>
          </w:tcPr>
          <w:p w14:paraId="7AAF01BA"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4 764 069 855,09</w:t>
            </w:r>
          </w:p>
        </w:tc>
        <w:tc>
          <w:tcPr>
            <w:tcW w:w="1417" w:type="dxa"/>
            <w:shd w:val="clear" w:color="auto" w:fill="auto"/>
            <w:noWrap/>
            <w:vAlign w:val="center"/>
            <w:hideMark/>
          </w:tcPr>
          <w:p w14:paraId="26E23B8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1364916475</w:t>
            </w:r>
          </w:p>
        </w:tc>
        <w:tc>
          <w:tcPr>
            <w:tcW w:w="1844" w:type="dxa"/>
            <w:shd w:val="clear" w:color="auto" w:fill="auto"/>
            <w:noWrap/>
            <w:vAlign w:val="center"/>
            <w:hideMark/>
          </w:tcPr>
          <w:p w14:paraId="50116BF3"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350 208 789,82</w:t>
            </w:r>
          </w:p>
        </w:tc>
        <w:tc>
          <w:tcPr>
            <w:tcW w:w="1418" w:type="dxa"/>
            <w:shd w:val="clear" w:color="auto" w:fill="auto"/>
            <w:noWrap/>
            <w:vAlign w:val="center"/>
            <w:hideMark/>
          </w:tcPr>
          <w:p w14:paraId="476729E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7,35</w:t>
            </w:r>
          </w:p>
        </w:tc>
        <w:tc>
          <w:tcPr>
            <w:tcW w:w="1134" w:type="dxa"/>
            <w:shd w:val="clear" w:color="auto" w:fill="auto"/>
            <w:noWrap/>
            <w:vAlign w:val="center"/>
            <w:hideMark/>
          </w:tcPr>
          <w:p w14:paraId="5BC09BC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3,75</w:t>
            </w:r>
          </w:p>
        </w:tc>
        <w:tc>
          <w:tcPr>
            <w:tcW w:w="1560" w:type="dxa"/>
            <w:shd w:val="clear" w:color="auto" w:fill="auto"/>
            <w:noWrap/>
            <w:vAlign w:val="center"/>
            <w:hideMark/>
          </w:tcPr>
          <w:p w14:paraId="0725E97C"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3,49</w:t>
            </w:r>
          </w:p>
        </w:tc>
      </w:tr>
      <w:tr w:rsidR="00905E1F" w:rsidRPr="00AC3806" w14:paraId="0D8F3380" w14:textId="77777777" w:rsidTr="00C749ED">
        <w:trPr>
          <w:trHeight w:val="300"/>
        </w:trPr>
        <w:tc>
          <w:tcPr>
            <w:tcW w:w="1985" w:type="dxa"/>
            <w:shd w:val="clear" w:color="auto" w:fill="auto"/>
            <w:noWrap/>
            <w:vAlign w:val="center"/>
            <w:hideMark/>
          </w:tcPr>
          <w:p w14:paraId="08959AC6"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Рамонский муниципальный район</w:t>
            </w:r>
          </w:p>
        </w:tc>
        <w:tc>
          <w:tcPr>
            <w:tcW w:w="1276" w:type="dxa"/>
            <w:shd w:val="clear" w:color="auto" w:fill="auto"/>
            <w:noWrap/>
            <w:vAlign w:val="center"/>
            <w:hideMark/>
          </w:tcPr>
          <w:p w14:paraId="6E5F4843"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8721</w:t>
            </w:r>
          </w:p>
        </w:tc>
        <w:tc>
          <w:tcPr>
            <w:tcW w:w="1842" w:type="dxa"/>
            <w:shd w:val="clear" w:color="auto" w:fill="auto"/>
            <w:noWrap/>
            <w:vAlign w:val="center"/>
            <w:hideMark/>
          </w:tcPr>
          <w:p w14:paraId="5864243B"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4 830 936 001,61</w:t>
            </w:r>
          </w:p>
        </w:tc>
        <w:tc>
          <w:tcPr>
            <w:tcW w:w="2126" w:type="dxa"/>
            <w:shd w:val="clear" w:color="auto" w:fill="auto"/>
            <w:noWrap/>
            <w:vAlign w:val="center"/>
            <w:hideMark/>
          </w:tcPr>
          <w:p w14:paraId="14CEC8D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4 995 868 214,51</w:t>
            </w:r>
          </w:p>
        </w:tc>
        <w:tc>
          <w:tcPr>
            <w:tcW w:w="1417" w:type="dxa"/>
            <w:shd w:val="clear" w:color="auto" w:fill="auto"/>
            <w:noWrap/>
            <w:vAlign w:val="center"/>
            <w:hideMark/>
          </w:tcPr>
          <w:p w14:paraId="5BFCD9E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846812948,4</w:t>
            </w:r>
          </w:p>
        </w:tc>
        <w:tc>
          <w:tcPr>
            <w:tcW w:w="1844" w:type="dxa"/>
            <w:shd w:val="clear" w:color="auto" w:fill="auto"/>
            <w:noWrap/>
            <w:vAlign w:val="center"/>
            <w:hideMark/>
          </w:tcPr>
          <w:p w14:paraId="0E3FF99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-164 932 212,90</w:t>
            </w:r>
          </w:p>
        </w:tc>
        <w:tc>
          <w:tcPr>
            <w:tcW w:w="1418" w:type="dxa"/>
            <w:shd w:val="clear" w:color="auto" w:fill="auto"/>
            <w:noWrap/>
            <w:vAlign w:val="center"/>
            <w:hideMark/>
          </w:tcPr>
          <w:p w14:paraId="4756CFB3"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-3,3</w:t>
            </w:r>
          </w:p>
        </w:tc>
        <w:tc>
          <w:tcPr>
            <w:tcW w:w="1134" w:type="dxa"/>
            <w:shd w:val="clear" w:color="auto" w:fill="auto"/>
            <w:noWrap/>
            <w:vAlign w:val="center"/>
            <w:hideMark/>
          </w:tcPr>
          <w:p w14:paraId="686AE88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5,70</w:t>
            </w:r>
          </w:p>
        </w:tc>
        <w:tc>
          <w:tcPr>
            <w:tcW w:w="1560" w:type="dxa"/>
            <w:shd w:val="clear" w:color="auto" w:fill="auto"/>
            <w:noWrap/>
            <w:vAlign w:val="center"/>
            <w:hideMark/>
          </w:tcPr>
          <w:p w14:paraId="68688A5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5,90</w:t>
            </w:r>
          </w:p>
        </w:tc>
      </w:tr>
      <w:tr w:rsidR="00905E1F" w:rsidRPr="00AC3806" w14:paraId="4B8C8963" w14:textId="77777777" w:rsidTr="00C749ED">
        <w:trPr>
          <w:trHeight w:val="300"/>
        </w:trPr>
        <w:tc>
          <w:tcPr>
            <w:tcW w:w="1985" w:type="dxa"/>
            <w:shd w:val="clear" w:color="auto" w:fill="auto"/>
            <w:noWrap/>
            <w:vAlign w:val="center"/>
            <w:hideMark/>
          </w:tcPr>
          <w:p w14:paraId="49B76275"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Репьёвский муниципальный район</w:t>
            </w:r>
          </w:p>
        </w:tc>
        <w:tc>
          <w:tcPr>
            <w:tcW w:w="1276" w:type="dxa"/>
            <w:shd w:val="clear" w:color="auto" w:fill="auto"/>
            <w:noWrap/>
            <w:vAlign w:val="center"/>
            <w:hideMark/>
          </w:tcPr>
          <w:p w14:paraId="1B48FBB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2977</w:t>
            </w:r>
          </w:p>
        </w:tc>
        <w:tc>
          <w:tcPr>
            <w:tcW w:w="1842" w:type="dxa"/>
            <w:shd w:val="clear" w:color="auto" w:fill="auto"/>
            <w:noWrap/>
            <w:vAlign w:val="center"/>
            <w:hideMark/>
          </w:tcPr>
          <w:p w14:paraId="59EE8EA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4 675 451 121,44</w:t>
            </w:r>
          </w:p>
        </w:tc>
        <w:tc>
          <w:tcPr>
            <w:tcW w:w="2126" w:type="dxa"/>
            <w:shd w:val="clear" w:color="auto" w:fill="auto"/>
            <w:noWrap/>
            <w:vAlign w:val="center"/>
            <w:hideMark/>
          </w:tcPr>
          <w:p w14:paraId="2FE456D8"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4 283 499 623,19</w:t>
            </w:r>
          </w:p>
        </w:tc>
        <w:tc>
          <w:tcPr>
            <w:tcW w:w="1417" w:type="dxa"/>
            <w:shd w:val="clear" w:color="auto" w:fill="auto"/>
            <w:noWrap/>
            <w:vAlign w:val="center"/>
            <w:hideMark/>
          </w:tcPr>
          <w:p w14:paraId="65E467B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782250923,2</w:t>
            </w:r>
          </w:p>
        </w:tc>
        <w:tc>
          <w:tcPr>
            <w:tcW w:w="1844" w:type="dxa"/>
            <w:shd w:val="clear" w:color="auto" w:fill="auto"/>
            <w:noWrap/>
            <w:vAlign w:val="center"/>
            <w:hideMark/>
          </w:tcPr>
          <w:p w14:paraId="066AFF98"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391 951 498,25</w:t>
            </w:r>
          </w:p>
        </w:tc>
        <w:tc>
          <w:tcPr>
            <w:tcW w:w="1418" w:type="dxa"/>
            <w:shd w:val="clear" w:color="auto" w:fill="auto"/>
            <w:noWrap/>
            <w:vAlign w:val="center"/>
            <w:hideMark/>
          </w:tcPr>
          <w:p w14:paraId="51DC1B39"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9,15</w:t>
            </w:r>
          </w:p>
        </w:tc>
        <w:tc>
          <w:tcPr>
            <w:tcW w:w="1134" w:type="dxa"/>
            <w:shd w:val="clear" w:color="auto" w:fill="auto"/>
            <w:noWrap/>
            <w:vAlign w:val="center"/>
            <w:hideMark/>
          </w:tcPr>
          <w:p w14:paraId="040D2B9C"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5,98</w:t>
            </w:r>
          </w:p>
        </w:tc>
        <w:tc>
          <w:tcPr>
            <w:tcW w:w="1560" w:type="dxa"/>
            <w:shd w:val="clear" w:color="auto" w:fill="auto"/>
            <w:noWrap/>
            <w:vAlign w:val="center"/>
            <w:hideMark/>
          </w:tcPr>
          <w:p w14:paraId="084EA13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5,48</w:t>
            </w:r>
          </w:p>
        </w:tc>
      </w:tr>
      <w:tr w:rsidR="00905E1F" w:rsidRPr="00AC3806" w14:paraId="20857F05" w14:textId="77777777" w:rsidTr="00C749ED">
        <w:trPr>
          <w:trHeight w:val="300"/>
        </w:trPr>
        <w:tc>
          <w:tcPr>
            <w:tcW w:w="1985" w:type="dxa"/>
            <w:shd w:val="clear" w:color="auto" w:fill="auto"/>
            <w:noWrap/>
            <w:vAlign w:val="center"/>
            <w:hideMark/>
          </w:tcPr>
          <w:p w14:paraId="697F67D7"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Россошанский муниципальный район</w:t>
            </w:r>
          </w:p>
        </w:tc>
        <w:tc>
          <w:tcPr>
            <w:tcW w:w="1276" w:type="dxa"/>
            <w:shd w:val="clear" w:color="auto" w:fill="auto"/>
            <w:noWrap/>
            <w:vAlign w:val="center"/>
            <w:hideMark/>
          </w:tcPr>
          <w:p w14:paraId="57BF8AE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3160</w:t>
            </w:r>
          </w:p>
        </w:tc>
        <w:tc>
          <w:tcPr>
            <w:tcW w:w="1842" w:type="dxa"/>
            <w:shd w:val="clear" w:color="auto" w:fill="auto"/>
            <w:noWrap/>
            <w:vAlign w:val="center"/>
            <w:hideMark/>
          </w:tcPr>
          <w:p w14:paraId="6A3FC98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9 241 505 759,45</w:t>
            </w:r>
          </w:p>
        </w:tc>
        <w:tc>
          <w:tcPr>
            <w:tcW w:w="2126" w:type="dxa"/>
            <w:shd w:val="clear" w:color="auto" w:fill="auto"/>
            <w:noWrap/>
            <w:vAlign w:val="center"/>
            <w:hideMark/>
          </w:tcPr>
          <w:p w14:paraId="2C23408C"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7 434 924 270,13</w:t>
            </w:r>
          </w:p>
        </w:tc>
        <w:tc>
          <w:tcPr>
            <w:tcW w:w="1417" w:type="dxa"/>
            <w:shd w:val="clear" w:color="auto" w:fill="auto"/>
            <w:noWrap/>
            <w:vAlign w:val="center"/>
            <w:hideMark/>
          </w:tcPr>
          <w:p w14:paraId="5F70020A"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2081491614</w:t>
            </w:r>
          </w:p>
        </w:tc>
        <w:tc>
          <w:tcPr>
            <w:tcW w:w="1844" w:type="dxa"/>
            <w:shd w:val="clear" w:color="auto" w:fill="auto"/>
            <w:noWrap/>
            <w:vAlign w:val="center"/>
            <w:hideMark/>
          </w:tcPr>
          <w:p w14:paraId="670B28E6"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1 806 581 489,32</w:t>
            </w:r>
          </w:p>
        </w:tc>
        <w:tc>
          <w:tcPr>
            <w:tcW w:w="1418" w:type="dxa"/>
            <w:shd w:val="clear" w:color="auto" w:fill="auto"/>
            <w:noWrap/>
            <w:vAlign w:val="center"/>
            <w:hideMark/>
          </w:tcPr>
          <w:p w14:paraId="322CF5A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24,3</w:t>
            </w:r>
          </w:p>
        </w:tc>
        <w:tc>
          <w:tcPr>
            <w:tcW w:w="1134" w:type="dxa"/>
            <w:shd w:val="clear" w:color="auto" w:fill="auto"/>
            <w:noWrap/>
            <w:vAlign w:val="center"/>
            <w:hideMark/>
          </w:tcPr>
          <w:p w14:paraId="01D8789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4,44</w:t>
            </w:r>
          </w:p>
        </w:tc>
        <w:tc>
          <w:tcPr>
            <w:tcW w:w="1560" w:type="dxa"/>
            <w:shd w:val="clear" w:color="auto" w:fill="auto"/>
            <w:noWrap/>
            <w:vAlign w:val="center"/>
            <w:hideMark/>
          </w:tcPr>
          <w:p w14:paraId="6897BEF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3,57</w:t>
            </w:r>
          </w:p>
        </w:tc>
      </w:tr>
      <w:tr w:rsidR="00905E1F" w:rsidRPr="00AC3806" w14:paraId="4F4377E8" w14:textId="77777777" w:rsidTr="00C749ED">
        <w:trPr>
          <w:trHeight w:val="300"/>
        </w:trPr>
        <w:tc>
          <w:tcPr>
            <w:tcW w:w="1985" w:type="dxa"/>
            <w:shd w:val="clear" w:color="auto" w:fill="auto"/>
            <w:noWrap/>
            <w:vAlign w:val="center"/>
            <w:hideMark/>
          </w:tcPr>
          <w:p w14:paraId="3C66AE45"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Семилукский муниципальный район</w:t>
            </w:r>
          </w:p>
        </w:tc>
        <w:tc>
          <w:tcPr>
            <w:tcW w:w="1276" w:type="dxa"/>
            <w:shd w:val="clear" w:color="auto" w:fill="auto"/>
            <w:noWrap/>
            <w:vAlign w:val="center"/>
            <w:hideMark/>
          </w:tcPr>
          <w:p w14:paraId="4A386389"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9651</w:t>
            </w:r>
          </w:p>
        </w:tc>
        <w:tc>
          <w:tcPr>
            <w:tcW w:w="1842" w:type="dxa"/>
            <w:shd w:val="clear" w:color="auto" w:fill="auto"/>
            <w:noWrap/>
            <w:vAlign w:val="center"/>
            <w:hideMark/>
          </w:tcPr>
          <w:p w14:paraId="704F49C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8 709 878 270,21</w:t>
            </w:r>
          </w:p>
        </w:tc>
        <w:tc>
          <w:tcPr>
            <w:tcW w:w="2126" w:type="dxa"/>
            <w:shd w:val="clear" w:color="auto" w:fill="auto"/>
            <w:noWrap/>
            <w:vAlign w:val="center"/>
            <w:hideMark/>
          </w:tcPr>
          <w:p w14:paraId="2CCE03F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8 696 251 244,69</w:t>
            </w:r>
          </w:p>
        </w:tc>
        <w:tc>
          <w:tcPr>
            <w:tcW w:w="1417" w:type="dxa"/>
            <w:shd w:val="clear" w:color="auto" w:fill="auto"/>
            <w:noWrap/>
            <w:vAlign w:val="center"/>
            <w:hideMark/>
          </w:tcPr>
          <w:p w14:paraId="767A650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1194869250</w:t>
            </w:r>
          </w:p>
        </w:tc>
        <w:tc>
          <w:tcPr>
            <w:tcW w:w="1844" w:type="dxa"/>
            <w:shd w:val="clear" w:color="auto" w:fill="auto"/>
            <w:noWrap/>
            <w:vAlign w:val="center"/>
            <w:hideMark/>
          </w:tcPr>
          <w:p w14:paraId="5081CE8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13 627 025,52</w:t>
            </w:r>
          </w:p>
        </w:tc>
        <w:tc>
          <w:tcPr>
            <w:tcW w:w="1418" w:type="dxa"/>
            <w:shd w:val="clear" w:color="auto" w:fill="auto"/>
            <w:noWrap/>
            <w:vAlign w:val="center"/>
            <w:hideMark/>
          </w:tcPr>
          <w:p w14:paraId="1EDBD726"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0,16</w:t>
            </w:r>
          </w:p>
        </w:tc>
        <w:tc>
          <w:tcPr>
            <w:tcW w:w="1134" w:type="dxa"/>
            <w:shd w:val="clear" w:color="auto" w:fill="auto"/>
            <w:noWrap/>
            <w:vAlign w:val="center"/>
            <w:hideMark/>
          </w:tcPr>
          <w:p w14:paraId="72D98DB1"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7,29</w:t>
            </w:r>
          </w:p>
        </w:tc>
        <w:tc>
          <w:tcPr>
            <w:tcW w:w="1560" w:type="dxa"/>
            <w:shd w:val="clear" w:color="auto" w:fill="auto"/>
            <w:noWrap/>
            <w:vAlign w:val="center"/>
            <w:hideMark/>
          </w:tcPr>
          <w:p w14:paraId="1F1DA4A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7,28</w:t>
            </w:r>
          </w:p>
        </w:tc>
      </w:tr>
      <w:tr w:rsidR="00905E1F" w:rsidRPr="00AC3806" w14:paraId="328441BE" w14:textId="77777777" w:rsidTr="00C749ED">
        <w:trPr>
          <w:trHeight w:val="300"/>
        </w:trPr>
        <w:tc>
          <w:tcPr>
            <w:tcW w:w="1985" w:type="dxa"/>
            <w:shd w:val="clear" w:color="auto" w:fill="auto"/>
            <w:noWrap/>
            <w:vAlign w:val="center"/>
            <w:hideMark/>
          </w:tcPr>
          <w:p w14:paraId="6A5BF12C"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Таловский муниципальный район</w:t>
            </w:r>
          </w:p>
        </w:tc>
        <w:tc>
          <w:tcPr>
            <w:tcW w:w="1276" w:type="dxa"/>
            <w:shd w:val="clear" w:color="auto" w:fill="auto"/>
            <w:noWrap/>
            <w:vAlign w:val="center"/>
            <w:hideMark/>
          </w:tcPr>
          <w:p w14:paraId="6440026B"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9328</w:t>
            </w:r>
          </w:p>
        </w:tc>
        <w:tc>
          <w:tcPr>
            <w:tcW w:w="1842" w:type="dxa"/>
            <w:shd w:val="clear" w:color="auto" w:fill="auto"/>
            <w:noWrap/>
            <w:vAlign w:val="center"/>
            <w:hideMark/>
          </w:tcPr>
          <w:p w14:paraId="06A9B01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15 838 232 264,59</w:t>
            </w:r>
          </w:p>
        </w:tc>
        <w:tc>
          <w:tcPr>
            <w:tcW w:w="2126" w:type="dxa"/>
            <w:shd w:val="clear" w:color="auto" w:fill="auto"/>
            <w:noWrap/>
            <w:vAlign w:val="center"/>
            <w:hideMark/>
          </w:tcPr>
          <w:p w14:paraId="36D6424B"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13 402 063 118,30</w:t>
            </w:r>
          </w:p>
        </w:tc>
        <w:tc>
          <w:tcPr>
            <w:tcW w:w="1417" w:type="dxa"/>
            <w:shd w:val="clear" w:color="auto" w:fill="auto"/>
            <w:noWrap/>
            <w:vAlign w:val="center"/>
            <w:hideMark/>
          </w:tcPr>
          <w:p w14:paraId="54BA177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2152600981</w:t>
            </w:r>
          </w:p>
        </w:tc>
        <w:tc>
          <w:tcPr>
            <w:tcW w:w="1844" w:type="dxa"/>
            <w:shd w:val="clear" w:color="auto" w:fill="auto"/>
            <w:noWrap/>
            <w:vAlign w:val="center"/>
            <w:hideMark/>
          </w:tcPr>
          <w:p w14:paraId="02229FA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2 436 169 146,29</w:t>
            </w:r>
          </w:p>
        </w:tc>
        <w:tc>
          <w:tcPr>
            <w:tcW w:w="1418" w:type="dxa"/>
            <w:shd w:val="clear" w:color="auto" w:fill="auto"/>
            <w:noWrap/>
            <w:vAlign w:val="center"/>
            <w:hideMark/>
          </w:tcPr>
          <w:p w14:paraId="05545DDC"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18,18</w:t>
            </w:r>
          </w:p>
        </w:tc>
        <w:tc>
          <w:tcPr>
            <w:tcW w:w="1134" w:type="dxa"/>
            <w:shd w:val="clear" w:color="auto" w:fill="auto"/>
            <w:noWrap/>
            <w:vAlign w:val="center"/>
            <w:hideMark/>
          </w:tcPr>
          <w:p w14:paraId="10A1624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7,36</w:t>
            </w:r>
          </w:p>
        </w:tc>
        <w:tc>
          <w:tcPr>
            <w:tcW w:w="1560" w:type="dxa"/>
            <w:shd w:val="clear" w:color="auto" w:fill="auto"/>
            <w:noWrap/>
            <w:vAlign w:val="center"/>
            <w:hideMark/>
          </w:tcPr>
          <w:p w14:paraId="1A43B50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6,23</w:t>
            </w:r>
          </w:p>
        </w:tc>
      </w:tr>
      <w:tr w:rsidR="00905E1F" w:rsidRPr="00AC3806" w14:paraId="019F4E80" w14:textId="77777777" w:rsidTr="00C749ED">
        <w:trPr>
          <w:trHeight w:val="300"/>
        </w:trPr>
        <w:tc>
          <w:tcPr>
            <w:tcW w:w="1985" w:type="dxa"/>
            <w:shd w:val="clear" w:color="auto" w:fill="auto"/>
            <w:noWrap/>
            <w:vAlign w:val="center"/>
            <w:hideMark/>
          </w:tcPr>
          <w:p w14:paraId="16DAEBB5"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Терновский муниципальный район</w:t>
            </w:r>
          </w:p>
        </w:tc>
        <w:tc>
          <w:tcPr>
            <w:tcW w:w="1276" w:type="dxa"/>
            <w:shd w:val="clear" w:color="auto" w:fill="auto"/>
            <w:noWrap/>
            <w:vAlign w:val="center"/>
            <w:hideMark/>
          </w:tcPr>
          <w:p w14:paraId="67913A2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1978</w:t>
            </w:r>
          </w:p>
        </w:tc>
        <w:tc>
          <w:tcPr>
            <w:tcW w:w="1842" w:type="dxa"/>
            <w:shd w:val="clear" w:color="auto" w:fill="auto"/>
            <w:noWrap/>
            <w:vAlign w:val="center"/>
            <w:hideMark/>
          </w:tcPr>
          <w:p w14:paraId="49701576"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8 329 456 987,66</w:t>
            </w:r>
          </w:p>
        </w:tc>
        <w:tc>
          <w:tcPr>
            <w:tcW w:w="2126" w:type="dxa"/>
            <w:shd w:val="clear" w:color="auto" w:fill="auto"/>
            <w:noWrap/>
            <w:vAlign w:val="center"/>
            <w:hideMark/>
          </w:tcPr>
          <w:p w14:paraId="6BF42FA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8 009 288 765,03</w:t>
            </w:r>
          </w:p>
        </w:tc>
        <w:tc>
          <w:tcPr>
            <w:tcW w:w="1417" w:type="dxa"/>
            <w:shd w:val="clear" w:color="auto" w:fill="auto"/>
            <w:noWrap/>
            <w:vAlign w:val="center"/>
            <w:hideMark/>
          </w:tcPr>
          <w:p w14:paraId="11D3EC36"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1306914180</w:t>
            </w:r>
          </w:p>
        </w:tc>
        <w:tc>
          <w:tcPr>
            <w:tcW w:w="1844" w:type="dxa"/>
            <w:shd w:val="clear" w:color="auto" w:fill="auto"/>
            <w:noWrap/>
            <w:vAlign w:val="center"/>
            <w:hideMark/>
          </w:tcPr>
          <w:p w14:paraId="0A199A6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320 168 222,63</w:t>
            </w:r>
          </w:p>
        </w:tc>
        <w:tc>
          <w:tcPr>
            <w:tcW w:w="1418" w:type="dxa"/>
            <w:shd w:val="clear" w:color="auto" w:fill="auto"/>
            <w:noWrap/>
            <w:vAlign w:val="center"/>
            <w:hideMark/>
          </w:tcPr>
          <w:p w14:paraId="1346140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w:t>
            </w:r>
          </w:p>
        </w:tc>
        <w:tc>
          <w:tcPr>
            <w:tcW w:w="1134" w:type="dxa"/>
            <w:shd w:val="clear" w:color="auto" w:fill="auto"/>
            <w:noWrap/>
            <w:vAlign w:val="center"/>
            <w:hideMark/>
          </w:tcPr>
          <w:p w14:paraId="027B0E83"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6,37</w:t>
            </w:r>
          </w:p>
        </w:tc>
        <w:tc>
          <w:tcPr>
            <w:tcW w:w="1560" w:type="dxa"/>
            <w:shd w:val="clear" w:color="auto" w:fill="auto"/>
            <w:noWrap/>
            <w:vAlign w:val="center"/>
            <w:hideMark/>
          </w:tcPr>
          <w:p w14:paraId="45E8736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6,13</w:t>
            </w:r>
          </w:p>
        </w:tc>
      </w:tr>
      <w:tr w:rsidR="00905E1F" w:rsidRPr="00AC3806" w14:paraId="2C2C1136" w14:textId="77777777" w:rsidTr="00C749ED">
        <w:trPr>
          <w:trHeight w:val="300"/>
        </w:trPr>
        <w:tc>
          <w:tcPr>
            <w:tcW w:w="1985" w:type="dxa"/>
            <w:shd w:val="clear" w:color="auto" w:fill="auto"/>
            <w:noWrap/>
            <w:vAlign w:val="center"/>
            <w:hideMark/>
          </w:tcPr>
          <w:p w14:paraId="57932B16"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Хохольский муниципальный район</w:t>
            </w:r>
          </w:p>
        </w:tc>
        <w:tc>
          <w:tcPr>
            <w:tcW w:w="1276" w:type="dxa"/>
            <w:shd w:val="clear" w:color="auto" w:fill="auto"/>
            <w:noWrap/>
            <w:vAlign w:val="center"/>
            <w:hideMark/>
          </w:tcPr>
          <w:p w14:paraId="43E8D9BD"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2410</w:t>
            </w:r>
          </w:p>
        </w:tc>
        <w:tc>
          <w:tcPr>
            <w:tcW w:w="1842" w:type="dxa"/>
            <w:shd w:val="clear" w:color="auto" w:fill="auto"/>
            <w:noWrap/>
            <w:vAlign w:val="center"/>
            <w:hideMark/>
          </w:tcPr>
          <w:p w14:paraId="56F5F86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7 793 168 540,82</w:t>
            </w:r>
          </w:p>
        </w:tc>
        <w:tc>
          <w:tcPr>
            <w:tcW w:w="2126" w:type="dxa"/>
            <w:shd w:val="clear" w:color="auto" w:fill="auto"/>
            <w:noWrap/>
            <w:vAlign w:val="center"/>
            <w:hideMark/>
          </w:tcPr>
          <w:p w14:paraId="35488CD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8 270 880 689,54</w:t>
            </w:r>
          </w:p>
        </w:tc>
        <w:tc>
          <w:tcPr>
            <w:tcW w:w="1417" w:type="dxa"/>
            <w:shd w:val="clear" w:color="auto" w:fill="auto"/>
            <w:noWrap/>
            <w:vAlign w:val="center"/>
            <w:hideMark/>
          </w:tcPr>
          <w:p w14:paraId="3B4F2D9B"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1230021413</w:t>
            </w:r>
          </w:p>
        </w:tc>
        <w:tc>
          <w:tcPr>
            <w:tcW w:w="1844" w:type="dxa"/>
            <w:shd w:val="clear" w:color="auto" w:fill="auto"/>
            <w:noWrap/>
            <w:vAlign w:val="center"/>
            <w:hideMark/>
          </w:tcPr>
          <w:p w14:paraId="67955A9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-477 712 148,72</w:t>
            </w:r>
          </w:p>
        </w:tc>
        <w:tc>
          <w:tcPr>
            <w:tcW w:w="1418" w:type="dxa"/>
            <w:shd w:val="clear" w:color="auto" w:fill="auto"/>
            <w:noWrap/>
            <w:vAlign w:val="center"/>
            <w:hideMark/>
          </w:tcPr>
          <w:p w14:paraId="67C03C8C"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-5,78</w:t>
            </w:r>
          </w:p>
        </w:tc>
        <w:tc>
          <w:tcPr>
            <w:tcW w:w="1134" w:type="dxa"/>
            <w:shd w:val="clear" w:color="auto" w:fill="auto"/>
            <w:noWrap/>
            <w:vAlign w:val="center"/>
            <w:hideMark/>
          </w:tcPr>
          <w:p w14:paraId="54DFB8D3"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6,34</w:t>
            </w:r>
          </w:p>
        </w:tc>
        <w:tc>
          <w:tcPr>
            <w:tcW w:w="1560" w:type="dxa"/>
            <w:shd w:val="clear" w:color="auto" w:fill="auto"/>
            <w:noWrap/>
            <w:vAlign w:val="center"/>
            <w:hideMark/>
          </w:tcPr>
          <w:p w14:paraId="25C25B0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6,72</w:t>
            </w:r>
          </w:p>
        </w:tc>
      </w:tr>
      <w:tr w:rsidR="00905E1F" w:rsidRPr="00AC3806" w14:paraId="0D26F94D" w14:textId="77777777" w:rsidTr="00C749ED">
        <w:trPr>
          <w:trHeight w:val="300"/>
        </w:trPr>
        <w:tc>
          <w:tcPr>
            <w:tcW w:w="1985" w:type="dxa"/>
            <w:shd w:val="clear" w:color="auto" w:fill="auto"/>
            <w:noWrap/>
            <w:vAlign w:val="center"/>
            <w:hideMark/>
          </w:tcPr>
          <w:p w14:paraId="319D1863"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Эртильский муниципальный район</w:t>
            </w:r>
          </w:p>
        </w:tc>
        <w:tc>
          <w:tcPr>
            <w:tcW w:w="1276" w:type="dxa"/>
            <w:shd w:val="clear" w:color="auto" w:fill="auto"/>
            <w:noWrap/>
            <w:vAlign w:val="center"/>
            <w:hideMark/>
          </w:tcPr>
          <w:p w14:paraId="72BD6AA6"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3243</w:t>
            </w:r>
          </w:p>
        </w:tc>
        <w:tc>
          <w:tcPr>
            <w:tcW w:w="1842" w:type="dxa"/>
            <w:shd w:val="clear" w:color="auto" w:fill="auto"/>
            <w:noWrap/>
            <w:vAlign w:val="center"/>
            <w:hideMark/>
          </w:tcPr>
          <w:p w14:paraId="67B1569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13 223 999 112,06</w:t>
            </w:r>
          </w:p>
        </w:tc>
        <w:tc>
          <w:tcPr>
            <w:tcW w:w="2126" w:type="dxa"/>
            <w:shd w:val="clear" w:color="auto" w:fill="auto"/>
            <w:noWrap/>
            <w:vAlign w:val="center"/>
            <w:hideMark/>
          </w:tcPr>
          <w:p w14:paraId="1953DB7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13 039 606 945,08</w:t>
            </w:r>
          </w:p>
        </w:tc>
        <w:tc>
          <w:tcPr>
            <w:tcW w:w="1417" w:type="dxa"/>
            <w:shd w:val="clear" w:color="auto" w:fill="auto"/>
            <w:noWrap/>
            <w:vAlign w:val="center"/>
            <w:hideMark/>
          </w:tcPr>
          <w:p w14:paraId="41171A5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1575013897</w:t>
            </w:r>
          </w:p>
        </w:tc>
        <w:tc>
          <w:tcPr>
            <w:tcW w:w="1844" w:type="dxa"/>
            <w:shd w:val="clear" w:color="auto" w:fill="auto"/>
            <w:noWrap/>
            <w:vAlign w:val="center"/>
            <w:hideMark/>
          </w:tcPr>
          <w:p w14:paraId="2E59E7E7"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184 392 166,98</w:t>
            </w:r>
          </w:p>
        </w:tc>
        <w:tc>
          <w:tcPr>
            <w:tcW w:w="1418" w:type="dxa"/>
            <w:shd w:val="clear" w:color="auto" w:fill="auto"/>
            <w:noWrap/>
            <w:vAlign w:val="center"/>
            <w:hideMark/>
          </w:tcPr>
          <w:p w14:paraId="4A224529"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1,41</w:t>
            </w:r>
          </w:p>
        </w:tc>
        <w:tc>
          <w:tcPr>
            <w:tcW w:w="1134" w:type="dxa"/>
            <w:shd w:val="clear" w:color="auto" w:fill="auto"/>
            <w:noWrap/>
            <w:vAlign w:val="center"/>
            <w:hideMark/>
          </w:tcPr>
          <w:p w14:paraId="1FC4113C"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8,40</w:t>
            </w:r>
          </w:p>
        </w:tc>
        <w:tc>
          <w:tcPr>
            <w:tcW w:w="1560" w:type="dxa"/>
            <w:shd w:val="clear" w:color="auto" w:fill="auto"/>
            <w:noWrap/>
            <w:vAlign w:val="center"/>
            <w:hideMark/>
          </w:tcPr>
          <w:p w14:paraId="3FD5EE6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8,28</w:t>
            </w:r>
          </w:p>
        </w:tc>
      </w:tr>
      <w:tr w:rsidR="00905E1F" w:rsidRPr="00AC3806" w14:paraId="1FE950FE" w14:textId="77777777" w:rsidTr="00C749ED">
        <w:trPr>
          <w:trHeight w:val="300"/>
        </w:trPr>
        <w:tc>
          <w:tcPr>
            <w:tcW w:w="1985" w:type="dxa"/>
            <w:shd w:val="clear" w:color="auto" w:fill="auto"/>
            <w:noWrap/>
            <w:vAlign w:val="center"/>
            <w:hideMark/>
          </w:tcPr>
          <w:p w14:paraId="2B36AE54"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 город Воронеж</w:t>
            </w:r>
          </w:p>
        </w:tc>
        <w:tc>
          <w:tcPr>
            <w:tcW w:w="1276" w:type="dxa"/>
            <w:shd w:val="clear" w:color="auto" w:fill="auto"/>
            <w:noWrap/>
            <w:vAlign w:val="center"/>
            <w:hideMark/>
          </w:tcPr>
          <w:p w14:paraId="6BCA9E8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663</w:t>
            </w:r>
          </w:p>
        </w:tc>
        <w:tc>
          <w:tcPr>
            <w:tcW w:w="1842" w:type="dxa"/>
            <w:shd w:val="clear" w:color="auto" w:fill="auto"/>
            <w:noWrap/>
            <w:vAlign w:val="center"/>
            <w:hideMark/>
          </w:tcPr>
          <w:p w14:paraId="5731D02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463 482 796,23</w:t>
            </w:r>
          </w:p>
        </w:tc>
        <w:tc>
          <w:tcPr>
            <w:tcW w:w="2126" w:type="dxa"/>
            <w:shd w:val="clear" w:color="auto" w:fill="auto"/>
            <w:noWrap/>
            <w:vAlign w:val="center"/>
            <w:hideMark/>
          </w:tcPr>
          <w:p w14:paraId="2D0C54D8"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351 509 468,40</w:t>
            </w:r>
          </w:p>
        </w:tc>
        <w:tc>
          <w:tcPr>
            <w:tcW w:w="1417" w:type="dxa"/>
            <w:shd w:val="clear" w:color="auto" w:fill="auto"/>
            <w:noWrap/>
            <w:vAlign w:val="center"/>
            <w:hideMark/>
          </w:tcPr>
          <w:p w14:paraId="4D1FBE08"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58899763</w:t>
            </w:r>
          </w:p>
        </w:tc>
        <w:tc>
          <w:tcPr>
            <w:tcW w:w="1844" w:type="dxa"/>
            <w:shd w:val="clear" w:color="auto" w:fill="auto"/>
            <w:noWrap/>
            <w:vAlign w:val="center"/>
            <w:hideMark/>
          </w:tcPr>
          <w:p w14:paraId="55CA116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111 973 327,83</w:t>
            </w:r>
          </w:p>
        </w:tc>
        <w:tc>
          <w:tcPr>
            <w:tcW w:w="1418" w:type="dxa"/>
            <w:shd w:val="clear" w:color="auto" w:fill="auto"/>
            <w:noWrap/>
            <w:vAlign w:val="center"/>
            <w:hideMark/>
          </w:tcPr>
          <w:p w14:paraId="440A3D63"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31,86</w:t>
            </w:r>
          </w:p>
        </w:tc>
        <w:tc>
          <w:tcPr>
            <w:tcW w:w="1134" w:type="dxa"/>
            <w:shd w:val="clear" w:color="auto" w:fill="auto"/>
            <w:noWrap/>
            <w:vAlign w:val="center"/>
            <w:hideMark/>
          </w:tcPr>
          <w:p w14:paraId="57E1D5C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7,87</w:t>
            </w:r>
          </w:p>
        </w:tc>
        <w:tc>
          <w:tcPr>
            <w:tcW w:w="1560" w:type="dxa"/>
            <w:shd w:val="clear" w:color="auto" w:fill="auto"/>
            <w:noWrap/>
            <w:vAlign w:val="center"/>
            <w:hideMark/>
          </w:tcPr>
          <w:p w14:paraId="0DD42DA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5,97</w:t>
            </w:r>
          </w:p>
        </w:tc>
      </w:tr>
      <w:tr w:rsidR="00905E1F" w:rsidRPr="00AC3806" w14:paraId="673662F8" w14:textId="77777777" w:rsidTr="00C749ED">
        <w:trPr>
          <w:trHeight w:val="300"/>
        </w:trPr>
        <w:tc>
          <w:tcPr>
            <w:tcW w:w="1985" w:type="dxa"/>
            <w:shd w:val="clear" w:color="auto" w:fill="auto"/>
            <w:noWrap/>
            <w:vAlign w:val="center"/>
            <w:hideMark/>
          </w:tcPr>
          <w:p w14:paraId="54D4DF83"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 Борисоглебский</w:t>
            </w:r>
          </w:p>
        </w:tc>
        <w:tc>
          <w:tcPr>
            <w:tcW w:w="1276" w:type="dxa"/>
            <w:shd w:val="clear" w:color="auto" w:fill="auto"/>
            <w:noWrap/>
            <w:vAlign w:val="center"/>
            <w:hideMark/>
          </w:tcPr>
          <w:p w14:paraId="058F8A1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1133</w:t>
            </w:r>
          </w:p>
        </w:tc>
        <w:tc>
          <w:tcPr>
            <w:tcW w:w="1842" w:type="dxa"/>
            <w:shd w:val="clear" w:color="auto" w:fill="auto"/>
            <w:noWrap/>
            <w:vAlign w:val="center"/>
            <w:hideMark/>
          </w:tcPr>
          <w:p w14:paraId="6EB27F7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7 016 887 442,90</w:t>
            </w:r>
          </w:p>
        </w:tc>
        <w:tc>
          <w:tcPr>
            <w:tcW w:w="2126" w:type="dxa"/>
            <w:shd w:val="clear" w:color="auto" w:fill="auto"/>
            <w:noWrap/>
            <w:vAlign w:val="center"/>
            <w:hideMark/>
          </w:tcPr>
          <w:p w14:paraId="50D08E2F"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7 123 875 758,06</w:t>
            </w:r>
          </w:p>
        </w:tc>
        <w:tc>
          <w:tcPr>
            <w:tcW w:w="1417" w:type="dxa"/>
            <w:shd w:val="clear" w:color="auto" w:fill="auto"/>
            <w:noWrap/>
            <w:vAlign w:val="center"/>
            <w:hideMark/>
          </w:tcPr>
          <w:p w14:paraId="6BEB8374"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1352164095</w:t>
            </w:r>
          </w:p>
        </w:tc>
        <w:tc>
          <w:tcPr>
            <w:tcW w:w="1844" w:type="dxa"/>
            <w:shd w:val="clear" w:color="auto" w:fill="auto"/>
            <w:noWrap/>
            <w:vAlign w:val="center"/>
            <w:hideMark/>
          </w:tcPr>
          <w:p w14:paraId="451EE5F0"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-106 988 315,16</w:t>
            </w:r>
          </w:p>
        </w:tc>
        <w:tc>
          <w:tcPr>
            <w:tcW w:w="1418" w:type="dxa"/>
            <w:shd w:val="clear" w:color="auto" w:fill="auto"/>
            <w:noWrap/>
            <w:vAlign w:val="center"/>
            <w:hideMark/>
          </w:tcPr>
          <w:p w14:paraId="4D67F823"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-1,5</w:t>
            </w:r>
          </w:p>
        </w:tc>
        <w:tc>
          <w:tcPr>
            <w:tcW w:w="1134" w:type="dxa"/>
            <w:shd w:val="clear" w:color="auto" w:fill="auto"/>
            <w:noWrap/>
            <w:vAlign w:val="center"/>
            <w:hideMark/>
          </w:tcPr>
          <w:p w14:paraId="28A7294A"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5,19</w:t>
            </w:r>
          </w:p>
        </w:tc>
        <w:tc>
          <w:tcPr>
            <w:tcW w:w="1560" w:type="dxa"/>
            <w:shd w:val="clear" w:color="auto" w:fill="auto"/>
            <w:noWrap/>
            <w:vAlign w:val="center"/>
            <w:hideMark/>
          </w:tcPr>
          <w:p w14:paraId="2FE7B5CE"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5,27</w:t>
            </w:r>
          </w:p>
        </w:tc>
      </w:tr>
      <w:tr w:rsidR="00905E1F" w:rsidRPr="00AC3806" w14:paraId="6B6C10EE" w14:textId="77777777" w:rsidTr="00C749ED">
        <w:trPr>
          <w:trHeight w:val="300"/>
        </w:trPr>
        <w:tc>
          <w:tcPr>
            <w:tcW w:w="1985" w:type="dxa"/>
            <w:shd w:val="clear" w:color="auto" w:fill="auto"/>
            <w:noWrap/>
            <w:vAlign w:val="center"/>
            <w:hideMark/>
          </w:tcPr>
          <w:p w14:paraId="2C7FBAB5" w14:textId="77777777" w:rsidR="00905E1F" w:rsidRPr="00AC3806" w:rsidRDefault="00905E1F" w:rsidP="00C749ED">
            <w:pPr>
              <w:spacing w:after="0" w:line="276" w:lineRule="auto"/>
              <w:rPr>
                <w:rFonts w:ascii="Times New Roman" w:hAnsi="Times New Roman" w:cs="Times New Roman"/>
                <w:sz w:val="20"/>
                <w:szCs w:val="20"/>
              </w:rPr>
            </w:pPr>
            <w:r w:rsidRPr="00AC3806">
              <w:rPr>
                <w:rFonts w:ascii="Times New Roman" w:hAnsi="Times New Roman" w:cs="Times New Roman"/>
                <w:sz w:val="20"/>
                <w:szCs w:val="20"/>
              </w:rPr>
              <w:t>- город Нововоронеж</w:t>
            </w:r>
          </w:p>
        </w:tc>
        <w:tc>
          <w:tcPr>
            <w:tcW w:w="1276" w:type="dxa"/>
            <w:shd w:val="clear" w:color="auto" w:fill="auto"/>
            <w:noWrap/>
            <w:vAlign w:val="center"/>
            <w:hideMark/>
          </w:tcPr>
          <w:p w14:paraId="3B2A79D6"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8</w:t>
            </w:r>
          </w:p>
        </w:tc>
        <w:tc>
          <w:tcPr>
            <w:tcW w:w="1842" w:type="dxa"/>
            <w:shd w:val="clear" w:color="auto" w:fill="auto"/>
            <w:noWrap/>
            <w:vAlign w:val="center"/>
            <w:hideMark/>
          </w:tcPr>
          <w:p w14:paraId="6790D68A"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59 434 352,82</w:t>
            </w:r>
          </w:p>
        </w:tc>
        <w:tc>
          <w:tcPr>
            <w:tcW w:w="2126" w:type="dxa"/>
            <w:shd w:val="clear" w:color="auto" w:fill="auto"/>
            <w:noWrap/>
            <w:vAlign w:val="center"/>
            <w:hideMark/>
          </w:tcPr>
          <w:p w14:paraId="3A835722"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58 763 222,70</w:t>
            </w:r>
          </w:p>
        </w:tc>
        <w:tc>
          <w:tcPr>
            <w:tcW w:w="1417" w:type="dxa"/>
            <w:shd w:val="clear" w:color="auto" w:fill="auto"/>
            <w:noWrap/>
            <w:vAlign w:val="center"/>
            <w:hideMark/>
          </w:tcPr>
          <w:p w14:paraId="5BB27583"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3401580</w:t>
            </w:r>
          </w:p>
        </w:tc>
        <w:tc>
          <w:tcPr>
            <w:tcW w:w="1844" w:type="dxa"/>
            <w:shd w:val="clear" w:color="auto" w:fill="auto"/>
            <w:noWrap/>
            <w:vAlign w:val="center"/>
            <w:hideMark/>
          </w:tcPr>
          <w:p w14:paraId="68530B56"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671 130,12</w:t>
            </w:r>
          </w:p>
        </w:tc>
        <w:tc>
          <w:tcPr>
            <w:tcW w:w="1418" w:type="dxa"/>
            <w:shd w:val="clear" w:color="auto" w:fill="auto"/>
            <w:noWrap/>
            <w:vAlign w:val="center"/>
            <w:hideMark/>
          </w:tcPr>
          <w:p w14:paraId="54E6DFE5"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1,14</w:t>
            </w:r>
          </w:p>
        </w:tc>
        <w:tc>
          <w:tcPr>
            <w:tcW w:w="1134" w:type="dxa"/>
            <w:shd w:val="clear" w:color="auto" w:fill="auto"/>
            <w:noWrap/>
            <w:vAlign w:val="center"/>
            <w:hideMark/>
          </w:tcPr>
          <w:p w14:paraId="3828457C"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17,47</w:t>
            </w:r>
          </w:p>
        </w:tc>
        <w:tc>
          <w:tcPr>
            <w:tcW w:w="1560" w:type="dxa"/>
            <w:shd w:val="clear" w:color="auto" w:fill="auto"/>
            <w:noWrap/>
            <w:vAlign w:val="center"/>
            <w:hideMark/>
          </w:tcPr>
          <w:p w14:paraId="7BFE7219" w14:textId="77777777" w:rsidR="00905E1F" w:rsidRPr="00AC3806" w:rsidRDefault="00905E1F" w:rsidP="00C749ED">
            <w:pPr>
              <w:spacing w:after="0" w:line="276" w:lineRule="auto"/>
              <w:jc w:val="center"/>
              <w:rPr>
                <w:rFonts w:ascii="Times New Roman" w:hAnsi="Times New Roman" w:cs="Times New Roman"/>
                <w:sz w:val="20"/>
                <w:szCs w:val="20"/>
              </w:rPr>
            </w:pPr>
            <w:r w:rsidRPr="00AC3806">
              <w:rPr>
                <w:rFonts w:ascii="Times New Roman" w:hAnsi="Times New Roman" w:cs="Times New Roman"/>
                <w:sz w:val="20"/>
                <w:szCs w:val="20"/>
              </w:rPr>
              <w:t>17,28</w:t>
            </w:r>
          </w:p>
        </w:tc>
      </w:tr>
    </w:tbl>
    <w:p w14:paraId="2BD27160" w14:textId="77777777" w:rsidR="00905E1F" w:rsidRPr="00AC3806" w:rsidRDefault="00905E1F" w:rsidP="00905E1F">
      <w:pPr>
        <w:spacing w:after="0" w:line="240" w:lineRule="auto"/>
        <w:ind w:firstLine="709"/>
        <w:jc w:val="right"/>
        <w:rPr>
          <w:rFonts w:ascii="Times New Roman" w:hAnsi="Times New Roman" w:cs="Times New Roman"/>
          <w:sz w:val="26"/>
          <w:szCs w:val="26"/>
        </w:rPr>
      </w:pPr>
    </w:p>
    <w:p w14:paraId="43542D8B" w14:textId="77777777" w:rsidR="00905E1F" w:rsidRPr="00AC3806" w:rsidRDefault="00905E1F" w:rsidP="00905E1F">
      <w:pPr>
        <w:jc w:val="right"/>
        <w:rPr>
          <w:rFonts w:ascii="Times New Roman" w:hAnsi="Times New Roman" w:cs="Times New Roman"/>
          <w:sz w:val="26"/>
          <w:szCs w:val="26"/>
        </w:rPr>
      </w:pPr>
      <w:r w:rsidRPr="00AC3806">
        <w:rPr>
          <w:rFonts w:ascii="Times New Roman" w:hAnsi="Times New Roman" w:cs="Times New Roman"/>
          <w:sz w:val="26"/>
          <w:szCs w:val="26"/>
        </w:rPr>
        <w:t>Таблица 4.1.5.2</w:t>
      </w:r>
    </w:p>
    <w:p w14:paraId="0F63F3C8" w14:textId="77777777" w:rsidR="00905E1F" w:rsidRPr="00AC3806" w:rsidRDefault="00905E1F" w:rsidP="00905E1F">
      <w:pPr>
        <w:spacing w:after="0" w:line="240" w:lineRule="auto"/>
        <w:ind w:firstLine="709"/>
        <w:jc w:val="center"/>
        <w:rPr>
          <w:rFonts w:ascii="Times New Roman" w:hAnsi="Times New Roman" w:cs="Times New Roman"/>
          <w:sz w:val="26"/>
          <w:szCs w:val="26"/>
        </w:rPr>
      </w:pPr>
      <w:r w:rsidRPr="00AC3806">
        <w:rPr>
          <w:rFonts w:ascii="Times New Roman" w:hAnsi="Times New Roman" w:cs="Times New Roman"/>
          <w:sz w:val="26"/>
          <w:szCs w:val="26"/>
        </w:rPr>
        <w:t>Анализ соотношений кадастровой стоимости средних УПКС в разрезе 4 сегмента МО Воронежской области</w:t>
      </w:r>
    </w:p>
    <w:p w14:paraId="088C01AC" w14:textId="77777777" w:rsidR="00905E1F" w:rsidRPr="00AC3806" w:rsidRDefault="00905E1F" w:rsidP="00905E1F">
      <w:pPr>
        <w:spacing w:after="0" w:line="240" w:lineRule="auto"/>
        <w:ind w:firstLine="709"/>
        <w:jc w:val="center"/>
        <w:rPr>
          <w:rFonts w:ascii="Times New Roman" w:hAnsi="Times New Roman" w:cs="Times New Roman"/>
          <w:sz w:val="18"/>
          <w:szCs w:val="18"/>
        </w:rPr>
      </w:pPr>
    </w:p>
    <w:tbl>
      <w:tblPr>
        <w:tblW w:w="14658" w:type="dxa"/>
        <w:tblInd w:w="-5" w:type="dxa"/>
        <w:tblLook w:val="04A0" w:firstRow="1" w:lastRow="0" w:firstColumn="1" w:lastColumn="0" w:noHBand="0" w:noVBand="1"/>
      </w:tblPr>
      <w:tblGrid>
        <w:gridCol w:w="1985"/>
        <w:gridCol w:w="1392"/>
        <w:gridCol w:w="1868"/>
        <w:gridCol w:w="1984"/>
        <w:gridCol w:w="1418"/>
        <w:gridCol w:w="1770"/>
        <w:gridCol w:w="1618"/>
        <w:gridCol w:w="1062"/>
        <w:gridCol w:w="1561"/>
      </w:tblGrid>
      <w:tr w:rsidR="00905E1F" w:rsidRPr="00AC3806" w14:paraId="5B112A0D" w14:textId="77777777" w:rsidTr="00C749ED">
        <w:trPr>
          <w:trHeight w:val="397"/>
          <w:tblHead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8D7EE"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Муниципальное образование</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7FF0CB5B"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Количество объектов</w:t>
            </w:r>
          </w:p>
        </w:tc>
        <w:tc>
          <w:tcPr>
            <w:tcW w:w="1868" w:type="dxa"/>
            <w:tcBorders>
              <w:top w:val="single" w:sz="4" w:space="0" w:color="auto"/>
              <w:left w:val="nil"/>
              <w:bottom w:val="single" w:sz="4" w:space="0" w:color="auto"/>
              <w:right w:val="single" w:sz="4" w:space="0" w:color="auto"/>
            </w:tcBorders>
            <w:shd w:val="clear" w:color="auto" w:fill="auto"/>
            <w:vAlign w:val="center"/>
            <w:hideMark/>
          </w:tcPr>
          <w:p w14:paraId="53B652AD"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Суммарная кадастровая стоимость</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48E90FD"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Суммарная кадастровая стоимость предыдущего тура оценки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C5D0118"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Суммарная площадь</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56FFBE9F"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Разница, руб.</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2C40CFDA"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Относительная разница, %</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4D729BDC"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УПКС</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40D23391"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УПКС предыдущего тура оценки</w:t>
            </w:r>
          </w:p>
        </w:tc>
      </w:tr>
      <w:tr w:rsidR="00905E1F" w:rsidRPr="00AC3806" w14:paraId="5B0F532B"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C870F89"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1</w:t>
            </w:r>
          </w:p>
        </w:tc>
        <w:tc>
          <w:tcPr>
            <w:tcW w:w="1392" w:type="dxa"/>
            <w:tcBorders>
              <w:top w:val="nil"/>
              <w:left w:val="nil"/>
              <w:bottom w:val="single" w:sz="4" w:space="0" w:color="auto"/>
              <w:right w:val="single" w:sz="4" w:space="0" w:color="auto"/>
            </w:tcBorders>
            <w:shd w:val="clear" w:color="auto" w:fill="auto"/>
            <w:noWrap/>
            <w:vAlign w:val="center"/>
          </w:tcPr>
          <w:p w14:paraId="246BDA4E"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2</w:t>
            </w:r>
          </w:p>
        </w:tc>
        <w:tc>
          <w:tcPr>
            <w:tcW w:w="1868" w:type="dxa"/>
            <w:tcBorders>
              <w:top w:val="nil"/>
              <w:left w:val="nil"/>
              <w:bottom w:val="single" w:sz="4" w:space="0" w:color="auto"/>
              <w:right w:val="single" w:sz="4" w:space="0" w:color="auto"/>
            </w:tcBorders>
            <w:shd w:val="clear" w:color="auto" w:fill="auto"/>
            <w:noWrap/>
            <w:vAlign w:val="center"/>
          </w:tcPr>
          <w:p w14:paraId="58A2AC84"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3</w:t>
            </w:r>
          </w:p>
        </w:tc>
        <w:tc>
          <w:tcPr>
            <w:tcW w:w="1984" w:type="dxa"/>
            <w:tcBorders>
              <w:top w:val="nil"/>
              <w:left w:val="nil"/>
              <w:bottom w:val="single" w:sz="4" w:space="0" w:color="auto"/>
              <w:right w:val="single" w:sz="4" w:space="0" w:color="auto"/>
            </w:tcBorders>
            <w:shd w:val="clear" w:color="auto" w:fill="auto"/>
            <w:noWrap/>
            <w:vAlign w:val="center"/>
          </w:tcPr>
          <w:p w14:paraId="73C1170C"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4</w:t>
            </w:r>
          </w:p>
        </w:tc>
        <w:tc>
          <w:tcPr>
            <w:tcW w:w="1418" w:type="dxa"/>
            <w:tcBorders>
              <w:top w:val="nil"/>
              <w:left w:val="nil"/>
              <w:bottom w:val="single" w:sz="4" w:space="0" w:color="auto"/>
              <w:right w:val="single" w:sz="4" w:space="0" w:color="auto"/>
            </w:tcBorders>
            <w:shd w:val="clear" w:color="auto" w:fill="auto"/>
            <w:noWrap/>
            <w:vAlign w:val="center"/>
          </w:tcPr>
          <w:p w14:paraId="519E120E"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5</w:t>
            </w:r>
          </w:p>
        </w:tc>
        <w:tc>
          <w:tcPr>
            <w:tcW w:w="1770" w:type="dxa"/>
            <w:tcBorders>
              <w:top w:val="nil"/>
              <w:left w:val="nil"/>
              <w:bottom w:val="single" w:sz="4" w:space="0" w:color="auto"/>
              <w:right w:val="single" w:sz="4" w:space="0" w:color="auto"/>
            </w:tcBorders>
            <w:shd w:val="clear" w:color="auto" w:fill="auto"/>
            <w:noWrap/>
            <w:vAlign w:val="center"/>
          </w:tcPr>
          <w:p w14:paraId="3827961A"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6</w:t>
            </w:r>
          </w:p>
        </w:tc>
        <w:tc>
          <w:tcPr>
            <w:tcW w:w="1618" w:type="dxa"/>
            <w:tcBorders>
              <w:top w:val="nil"/>
              <w:left w:val="nil"/>
              <w:bottom w:val="single" w:sz="4" w:space="0" w:color="auto"/>
              <w:right w:val="single" w:sz="4" w:space="0" w:color="auto"/>
            </w:tcBorders>
            <w:shd w:val="clear" w:color="auto" w:fill="auto"/>
            <w:noWrap/>
            <w:vAlign w:val="center"/>
          </w:tcPr>
          <w:p w14:paraId="61B63650"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7</w:t>
            </w:r>
          </w:p>
        </w:tc>
        <w:tc>
          <w:tcPr>
            <w:tcW w:w="1062" w:type="dxa"/>
            <w:tcBorders>
              <w:top w:val="nil"/>
              <w:left w:val="nil"/>
              <w:bottom w:val="single" w:sz="4" w:space="0" w:color="auto"/>
              <w:right w:val="single" w:sz="4" w:space="0" w:color="auto"/>
            </w:tcBorders>
            <w:shd w:val="clear" w:color="auto" w:fill="auto"/>
            <w:noWrap/>
            <w:vAlign w:val="center"/>
          </w:tcPr>
          <w:p w14:paraId="264E9738"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8</w:t>
            </w:r>
          </w:p>
        </w:tc>
        <w:tc>
          <w:tcPr>
            <w:tcW w:w="1561" w:type="dxa"/>
            <w:tcBorders>
              <w:top w:val="nil"/>
              <w:left w:val="nil"/>
              <w:bottom w:val="single" w:sz="4" w:space="0" w:color="auto"/>
              <w:right w:val="single" w:sz="4" w:space="0" w:color="auto"/>
            </w:tcBorders>
            <w:shd w:val="clear" w:color="auto" w:fill="auto"/>
            <w:noWrap/>
            <w:vAlign w:val="center"/>
          </w:tcPr>
          <w:p w14:paraId="300C185C"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9</w:t>
            </w:r>
          </w:p>
        </w:tc>
      </w:tr>
      <w:tr w:rsidR="00905E1F" w:rsidRPr="00AC3806" w14:paraId="0E04DC79"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5F678FA"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Аннинский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0B8BFF4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386</w:t>
            </w:r>
          </w:p>
        </w:tc>
        <w:tc>
          <w:tcPr>
            <w:tcW w:w="1868" w:type="dxa"/>
            <w:tcBorders>
              <w:top w:val="nil"/>
              <w:left w:val="nil"/>
              <w:bottom w:val="single" w:sz="4" w:space="0" w:color="auto"/>
              <w:right w:val="single" w:sz="4" w:space="0" w:color="auto"/>
            </w:tcBorders>
            <w:shd w:val="clear" w:color="auto" w:fill="auto"/>
            <w:noWrap/>
            <w:vAlign w:val="center"/>
            <w:hideMark/>
          </w:tcPr>
          <w:p w14:paraId="14CD861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889 170 837,83</w:t>
            </w:r>
          </w:p>
        </w:tc>
        <w:tc>
          <w:tcPr>
            <w:tcW w:w="1984" w:type="dxa"/>
            <w:tcBorders>
              <w:top w:val="nil"/>
              <w:left w:val="nil"/>
              <w:bottom w:val="single" w:sz="4" w:space="0" w:color="auto"/>
              <w:right w:val="single" w:sz="4" w:space="0" w:color="auto"/>
            </w:tcBorders>
            <w:shd w:val="clear" w:color="auto" w:fill="auto"/>
            <w:noWrap/>
            <w:vAlign w:val="center"/>
            <w:hideMark/>
          </w:tcPr>
          <w:p w14:paraId="2B9DC96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778 084 830,73</w:t>
            </w:r>
          </w:p>
        </w:tc>
        <w:tc>
          <w:tcPr>
            <w:tcW w:w="1418" w:type="dxa"/>
            <w:tcBorders>
              <w:top w:val="nil"/>
              <w:left w:val="nil"/>
              <w:bottom w:val="single" w:sz="4" w:space="0" w:color="auto"/>
              <w:right w:val="single" w:sz="4" w:space="0" w:color="auto"/>
            </w:tcBorders>
            <w:shd w:val="clear" w:color="auto" w:fill="auto"/>
            <w:noWrap/>
            <w:vAlign w:val="center"/>
            <w:hideMark/>
          </w:tcPr>
          <w:p w14:paraId="5F44D60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309238,4</w:t>
            </w:r>
          </w:p>
        </w:tc>
        <w:tc>
          <w:tcPr>
            <w:tcW w:w="1770" w:type="dxa"/>
            <w:tcBorders>
              <w:top w:val="nil"/>
              <w:left w:val="nil"/>
              <w:bottom w:val="single" w:sz="4" w:space="0" w:color="auto"/>
              <w:right w:val="single" w:sz="4" w:space="0" w:color="auto"/>
            </w:tcBorders>
            <w:shd w:val="clear" w:color="auto" w:fill="auto"/>
            <w:noWrap/>
            <w:vAlign w:val="center"/>
            <w:hideMark/>
          </w:tcPr>
          <w:p w14:paraId="6ED3A14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111 086 007,10</w:t>
            </w:r>
          </w:p>
        </w:tc>
        <w:tc>
          <w:tcPr>
            <w:tcW w:w="1618" w:type="dxa"/>
            <w:tcBorders>
              <w:top w:val="nil"/>
              <w:left w:val="nil"/>
              <w:bottom w:val="single" w:sz="4" w:space="0" w:color="auto"/>
              <w:right w:val="single" w:sz="4" w:space="0" w:color="auto"/>
            </w:tcBorders>
            <w:shd w:val="clear" w:color="auto" w:fill="auto"/>
            <w:noWrap/>
            <w:vAlign w:val="center"/>
            <w:hideMark/>
          </w:tcPr>
          <w:p w14:paraId="47E03A9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14,28</w:t>
            </w:r>
          </w:p>
        </w:tc>
        <w:tc>
          <w:tcPr>
            <w:tcW w:w="1062" w:type="dxa"/>
            <w:tcBorders>
              <w:top w:val="nil"/>
              <w:left w:val="nil"/>
              <w:bottom w:val="single" w:sz="4" w:space="0" w:color="auto"/>
              <w:right w:val="single" w:sz="4" w:space="0" w:color="auto"/>
            </w:tcBorders>
            <w:shd w:val="clear" w:color="auto" w:fill="auto"/>
            <w:noWrap/>
            <w:vAlign w:val="center"/>
            <w:hideMark/>
          </w:tcPr>
          <w:p w14:paraId="0034026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2 875,36</w:t>
            </w:r>
          </w:p>
        </w:tc>
        <w:tc>
          <w:tcPr>
            <w:tcW w:w="1561" w:type="dxa"/>
            <w:tcBorders>
              <w:top w:val="nil"/>
              <w:left w:val="nil"/>
              <w:bottom w:val="single" w:sz="4" w:space="0" w:color="auto"/>
              <w:right w:val="single" w:sz="4" w:space="0" w:color="auto"/>
            </w:tcBorders>
            <w:shd w:val="clear" w:color="auto" w:fill="auto"/>
            <w:noWrap/>
            <w:vAlign w:val="center"/>
            <w:hideMark/>
          </w:tcPr>
          <w:p w14:paraId="664C091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2 516,13</w:t>
            </w:r>
          </w:p>
        </w:tc>
      </w:tr>
      <w:tr w:rsidR="00905E1F" w:rsidRPr="00AC3806" w14:paraId="1FD60580"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B8AC327"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Бобровский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456DAE0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445</w:t>
            </w:r>
          </w:p>
        </w:tc>
        <w:tc>
          <w:tcPr>
            <w:tcW w:w="1868" w:type="dxa"/>
            <w:tcBorders>
              <w:top w:val="nil"/>
              <w:left w:val="nil"/>
              <w:bottom w:val="single" w:sz="4" w:space="0" w:color="auto"/>
              <w:right w:val="single" w:sz="4" w:space="0" w:color="auto"/>
            </w:tcBorders>
            <w:shd w:val="clear" w:color="auto" w:fill="auto"/>
            <w:noWrap/>
            <w:vAlign w:val="center"/>
            <w:hideMark/>
          </w:tcPr>
          <w:p w14:paraId="1BB9E39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1 648 343 620,34</w:t>
            </w:r>
          </w:p>
        </w:tc>
        <w:tc>
          <w:tcPr>
            <w:tcW w:w="1984" w:type="dxa"/>
            <w:tcBorders>
              <w:top w:val="nil"/>
              <w:left w:val="nil"/>
              <w:bottom w:val="single" w:sz="4" w:space="0" w:color="auto"/>
              <w:right w:val="single" w:sz="4" w:space="0" w:color="auto"/>
            </w:tcBorders>
            <w:shd w:val="clear" w:color="auto" w:fill="auto"/>
            <w:noWrap/>
            <w:vAlign w:val="center"/>
            <w:hideMark/>
          </w:tcPr>
          <w:p w14:paraId="455CCF4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1 289 742 723,55</w:t>
            </w:r>
          </w:p>
        </w:tc>
        <w:tc>
          <w:tcPr>
            <w:tcW w:w="1418" w:type="dxa"/>
            <w:tcBorders>
              <w:top w:val="nil"/>
              <w:left w:val="nil"/>
              <w:bottom w:val="single" w:sz="4" w:space="0" w:color="auto"/>
              <w:right w:val="single" w:sz="4" w:space="0" w:color="auto"/>
            </w:tcBorders>
            <w:shd w:val="clear" w:color="auto" w:fill="auto"/>
            <w:noWrap/>
            <w:vAlign w:val="center"/>
            <w:hideMark/>
          </w:tcPr>
          <w:p w14:paraId="1489A6B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679925,3</w:t>
            </w:r>
          </w:p>
        </w:tc>
        <w:tc>
          <w:tcPr>
            <w:tcW w:w="1770" w:type="dxa"/>
            <w:tcBorders>
              <w:top w:val="nil"/>
              <w:left w:val="nil"/>
              <w:bottom w:val="single" w:sz="4" w:space="0" w:color="auto"/>
              <w:right w:val="single" w:sz="4" w:space="0" w:color="auto"/>
            </w:tcBorders>
            <w:shd w:val="clear" w:color="auto" w:fill="auto"/>
            <w:noWrap/>
            <w:vAlign w:val="center"/>
            <w:hideMark/>
          </w:tcPr>
          <w:p w14:paraId="7FCCDFD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358 600 896,79</w:t>
            </w:r>
          </w:p>
        </w:tc>
        <w:tc>
          <w:tcPr>
            <w:tcW w:w="1618" w:type="dxa"/>
            <w:tcBorders>
              <w:top w:val="nil"/>
              <w:left w:val="nil"/>
              <w:bottom w:val="single" w:sz="4" w:space="0" w:color="auto"/>
              <w:right w:val="single" w:sz="4" w:space="0" w:color="auto"/>
            </w:tcBorders>
            <w:shd w:val="clear" w:color="auto" w:fill="auto"/>
            <w:noWrap/>
            <w:vAlign w:val="center"/>
            <w:hideMark/>
          </w:tcPr>
          <w:p w14:paraId="71B3370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27,8</w:t>
            </w:r>
          </w:p>
        </w:tc>
        <w:tc>
          <w:tcPr>
            <w:tcW w:w="1062" w:type="dxa"/>
            <w:tcBorders>
              <w:top w:val="nil"/>
              <w:left w:val="nil"/>
              <w:bottom w:val="single" w:sz="4" w:space="0" w:color="auto"/>
              <w:right w:val="single" w:sz="4" w:space="0" w:color="auto"/>
            </w:tcBorders>
            <w:shd w:val="clear" w:color="auto" w:fill="auto"/>
            <w:noWrap/>
            <w:vAlign w:val="center"/>
            <w:hideMark/>
          </w:tcPr>
          <w:p w14:paraId="035218B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2 424,30</w:t>
            </w:r>
          </w:p>
        </w:tc>
        <w:tc>
          <w:tcPr>
            <w:tcW w:w="1561" w:type="dxa"/>
            <w:tcBorders>
              <w:top w:val="nil"/>
              <w:left w:val="nil"/>
              <w:bottom w:val="single" w:sz="4" w:space="0" w:color="auto"/>
              <w:right w:val="single" w:sz="4" w:space="0" w:color="auto"/>
            </w:tcBorders>
            <w:shd w:val="clear" w:color="auto" w:fill="auto"/>
            <w:noWrap/>
            <w:vAlign w:val="center"/>
            <w:hideMark/>
          </w:tcPr>
          <w:p w14:paraId="7F8B58A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1 896,89</w:t>
            </w:r>
          </w:p>
        </w:tc>
      </w:tr>
      <w:tr w:rsidR="00905E1F" w:rsidRPr="00AC3806" w14:paraId="42013C41"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09DB479"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Богучарский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6D216FE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418</w:t>
            </w:r>
          </w:p>
        </w:tc>
        <w:tc>
          <w:tcPr>
            <w:tcW w:w="1868" w:type="dxa"/>
            <w:tcBorders>
              <w:top w:val="nil"/>
              <w:left w:val="nil"/>
              <w:bottom w:val="single" w:sz="4" w:space="0" w:color="auto"/>
              <w:right w:val="single" w:sz="4" w:space="0" w:color="auto"/>
            </w:tcBorders>
            <w:shd w:val="clear" w:color="auto" w:fill="auto"/>
            <w:noWrap/>
            <w:vAlign w:val="center"/>
            <w:hideMark/>
          </w:tcPr>
          <w:p w14:paraId="36CEEB2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934 312 310,59</w:t>
            </w:r>
          </w:p>
        </w:tc>
        <w:tc>
          <w:tcPr>
            <w:tcW w:w="1984" w:type="dxa"/>
            <w:tcBorders>
              <w:top w:val="nil"/>
              <w:left w:val="nil"/>
              <w:bottom w:val="single" w:sz="4" w:space="0" w:color="auto"/>
              <w:right w:val="single" w:sz="4" w:space="0" w:color="auto"/>
            </w:tcBorders>
            <w:shd w:val="clear" w:color="auto" w:fill="auto"/>
            <w:noWrap/>
            <w:vAlign w:val="center"/>
            <w:hideMark/>
          </w:tcPr>
          <w:p w14:paraId="3B1F0E5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898 996 215,37</w:t>
            </w:r>
          </w:p>
        </w:tc>
        <w:tc>
          <w:tcPr>
            <w:tcW w:w="1418" w:type="dxa"/>
            <w:tcBorders>
              <w:top w:val="nil"/>
              <w:left w:val="nil"/>
              <w:bottom w:val="single" w:sz="4" w:space="0" w:color="auto"/>
              <w:right w:val="single" w:sz="4" w:space="0" w:color="auto"/>
            </w:tcBorders>
            <w:shd w:val="clear" w:color="auto" w:fill="auto"/>
            <w:noWrap/>
            <w:vAlign w:val="center"/>
            <w:hideMark/>
          </w:tcPr>
          <w:p w14:paraId="317689D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427550,35</w:t>
            </w:r>
          </w:p>
        </w:tc>
        <w:tc>
          <w:tcPr>
            <w:tcW w:w="1770" w:type="dxa"/>
            <w:tcBorders>
              <w:top w:val="nil"/>
              <w:left w:val="nil"/>
              <w:bottom w:val="single" w:sz="4" w:space="0" w:color="auto"/>
              <w:right w:val="single" w:sz="4" w:space="0" w:color="auto"/>
            </w:tcBorders>
            <w:shd w:val="clear" w:color="auto" w:fill="auto"/>
            <w:noWrap/>
            <w:vAlign w:val="center"/>
            <w:hideMark/>
          </w:tcPr>
          <w:p w14:paraId="2B9282E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35 316 095,22</w:t>
            </w:r>
          </w:p>
        </w:tc>
        <w:tc>
          <w:tcPr>
            <w:tcW w:w="1618" w:type="dxa"/>
            <w:tcBorders>
              <w:top w:val="nil"/>
              <w:left w:val="nil"/>
              <w:bottom w:val="single" w:sz="4" w:space="0" w:color="auto"/>
              <w:right w:val="single" w:sz="4" w:space="0" w:color="auto"/>
            </w:tcBorders>
            <w:shd w:val="clear" w:color="auto" w:fill="auto"/>
            <w:noWrap/>
            <w:vAlign w:val="center"/>
            <w:hideMark/>
          </w:tcPr>
          <w:p w14:paraId="2EB3A4B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3,93</w:t>
            </w:r>
          </w:p>
        </w:tc>
        <w:tc>
          <w:tcPr>
            <w:tcW w:w="1062" w:type="dxa"/>
            <w:tcBorders>
              <w:top w:val="nil"/>
              <w:left w:val="nil"/>
              <w:bottom w:val="single" w:sz="4" w:space="0" w:color="auto"/>
              <w:right w:val="single" w:sz="4" w:space="0" w:color="auto"/>
            </w:tcBorders>
            <w:shd w:val="clear" w:color="auto" w:fill="auto"/>
            <w:noWrap/>
            <w:vAlign w:val="center"/>
            <w:hideMark/>
          </w:tcPr>
          <w:p w14:paraId="3CC1E18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2 185,27</w:t>
            </w:r>
          </w:p>
        </w:tc>
        <w:tc>
          <w:tcPr>
            <w:tcW w:w="1561" w:type="dxa"/>
            <w:tcBorders>
              <w:top w:val="nil"/>
              <w:left w:val="nil"/>
              <w:bottom w:val="single" w:sz="4" w:space="0" w:color="auto"/>
              <w:right w:val="single" w:sz="4" w:space="0" w:color="auto"/>
            </w:tcBorders>
            <w:shd w:val="clear" w:color="auto" w:fill="auto"/>
            <w:noWrap/>
            <w:vAlign w:val="center"/>
            <w:hideMark/>
          </w:tcPr>
          <w:p w14:paraId="74F6FAD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2 102,67</w:t>
            </w:r>
          </w:p>
        </w:tc>
      </w:tr>
      <w:tr w:rsidR="00905E1F" w:rsidRPr="00AC3806" w14:paraId="18DD8D02"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4716E18"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Бутурлиновский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4E99587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402</w:t>
            </w:r>
          </w:p>
        </w:tc>
        <w:tc>
          <w:tcPr>
            <w:tcW w:w="1868" w:type="dxa"/>
            <w:tcBorders>
              <w:top w:val="nil"/>
              <w:left w:val="nil"/>
              <w:bottom w:val="single" w:sz="4" w:space="0" w:color="auto"/>
              <w:right w:val="single" w:sz="4" w:space="0" w:color="auto"/>
            </w:tcBorders>
            <w:shd w:val="clear" w:color="auto" w:fill="auto"/>
            <w:noWrap/>
            <w:vAlign w:val="center"/>
            <w:hideMark/>
          </w:tcPr>
          <w:p w14:paraId="6BE3036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1 496 459 783,43</w:t>
            </w:r>
          </w:p>
        </w:tc>
        <w:tc>
          <w:tcPr>
            <w:tcW w:w="1984" w:type="dxa"/>
            <w:tcBorders>
              <w:top w:val="nil"/>
              <w:left w:val="nil"/>
              <w:bottom w:val="single" w:sz="4" w:space="0" w:color="auto"/>
              <w:right w:val="single" w:sz="4" w:space="0" w:color="auto"/>
            </w:tcBorders>
            <w:shd w:val="clear" w:color="auto" w:fill="auto"/>
            <w:noWrap/>
            <w:vAlign w:val="center"/>
            <w:hideMark/>
          </w:tcPr>
          <w:p w14:paraId="7F0749A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1 543 046 887,42</w:t>
            </w:r>
          </w:p>
        </w:tc>
        <w:tc>
          <w:tcPr>
            <w:tcW w:w="1418" w:type="dxa"/>
            <w:tcBorders>
              <w:top w:val="nil"/>
              <w:left w:val="nil"/>
              <w:bottom w:val="single" w:sz="4" w:space="0" w:color="auto"/>
              <w:right w:val="single" w:sz="4" w:space="0" w:color="auto"/>
            </w:tcBorders>
            <w:shd w:val="clear" w:color="auto" w:fill="auto"/>
            <w:noWrap/>
            <w:vAlign w:val="center"/>
            <w:hideMark/>
          </w:tcPr>
          <w:p w14:paraId="55A1A2F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416176,26</w:t>
            </w:r>
          </w:p>
        </w:tc>
        <w:tc>
          <w:tcPr>
            <w:tcW w:w="1770" w:type="dxa"/>
            <w:tcBorders>
              <w:top w:val="nil"/>
              <w:left w:val="nil"/>
              <w:bottom w:val="single" w:sz="4" w:space="0" w:color="auto"/>
              <w:right w:val="single" w:sz="4" w:space="0" w:color="auto"/>
            </w:tcBorders>
            <w:shd w:val="clear" w:color="auto" w:fill="auto"/>
            <w:noWrap/>
            <w:vAlign w:val="center"/>
            <w:hideMark/>
          </w:tcPr>
          <w:p w14:paraId="34F513E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-46 587 103,99</w:t>
            </w:r>
          </w:p>
        </w:tc>
        <w:tc>
          <w:tcPr>
            <w:tcW w:w="1618" w:type="dxa"/>
            <w:tcBorders>
              <w:top w:val="nil"/>
              <w:left w:val="nil"/>
              <w:bottom w:val="single" w:sz="4" w:space="0" w:color="auto"/>
              <w:right w:val="single" w:sz="4" w:space="0" w:color="auto"/>
            </w:tcBorders>
            <w:shd w:val="clear" w:color="auto" w:fill="auto"/>
            <w:noWrap/>
            <w:vAlign w:val="center"/>
            <w:hideMark/>
          </w:tcPr>
          <w:p w14:paraId="390A482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-3,02</w:t>
            </w:r>
          </w:p>
        </w:tc>
        <w:tc>
          <w:tcPr>
            <w:tcW w:w="1062" w:type="dxa"/>
            <w:tcBorders>
              <w:top w:val="nil"/>
              <w:left w:val="nil"/>
              <w:bottom w:val="single" w:sz="4" w:space="0" w:color="auto"/>
              <w:right w:val="single" w:sz="4" w:space="0" w:color="auto"/>
            </w:tcBorders>
            <w:shd w:val="clear" w:color="auto" w:fill="auto"/>
            <w:noWrap/>
            <w:vAlign w:val="center"/>
            <w:hideMark/>
          </w:tcPr>
          <w:p w14:paraId="5A7F174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3 595,74</w:t>
            </w:r>
          </w:p>
        </w:tc>
        <w:tc>
          <w:tcPr>
            <w:tcW w:w="1561" w:type="dxa"/>
            <w:tcBorders>
              <w:top w:val="nil"/>
              <w:left w:val="nil"/>
              <w:bottom w:val="single" w:sz="4" w:space="0" w:color="auto"/>
              <w:right w:val="single" w:sz="4" w:space="0" w:color="auto"/>
            </w:tcBorders>
            <w:shd w:val="clear" w:color="auto" w:fill="auto"/>
            <w:noWrap/>
            <w:vAlign w:val="center"/>
            <w:hideMark/>
          </w:tcPr>
          <w:p w14:paraId="58ADA69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3 707,68</w:t>
            </w:r>
          </w:p>
        </w:tc>
      </w:tr>
      <w:tr w:rsidR="00905E1F" w:rsidRPr="00AC3806" w14:paraId="3AE57DF0"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6775382"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Верхнемамонский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2ACB442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227</w:t>
            </w:r>
          </w:p>
        </w:tc>
        <w:tc>
          <w:tcPr>
            <w:tcW w:w="1868" w:type="dxa"/>
            <w:tcBorders>
              <w:top w:val="nil"/>
              <w:left w:val="nil"/>
              <w:bottom w:val="single" w:sz="4" w:space="0" w:color="auto"/>
              <w:right w:val="single" w:sz="4" w:space="0" w:color="auto"/>
            </w:tcBorders>
            <w:shd w:val="clear" w:color="auto" w:fill="auto"/>
            <w:noWrap/>
            <w:vAlign w:val="center"/>
            <w:hideMark/>
          </w:tcPr>
          <w:p w14:paraId="53030A5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515 643 532,39</w:t>
            </w:r>
          </w:p>
        </w:tc>
        <w:tc>
          <w:tcPr>
            <w:tcW w:w="1984" w:type="dxa"/>
            <w:tcBorders>
              <w:top w:val="nil"/>
              <w:left w:val="nil"/>
              <w:bottom w:val="single" w:sz="4" w:space="0" w:color="auto"/>
              <w:right w:val="single" w:sz="4" w:space="0" w:color="auto"/>
            </w:tcBorders>
            <w:shd w:val="clear" w:color="auto" w:fill="auto"/>
            <w:noWrap/>
            <w:vAlign w:val="center"/>
            <w:hideMark/>
          </w:tcPr>
          <w:p w14:paraId="36AFF0C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629 764 452,70</w:t>
            </w:r>
          </w:p>
        </w:tc>
        <w:tc>
          <w:tcPr>
            <w:tcW w:w="1418" w:type="dxa"/>
            <w:tcBorders>
              <w:top w:val="nil"/>
              <w:left w:val="nil"/>
              <w:bottom w:val="single" w:sz="4" w:space="0" w:color="auto"/>
              <w:right w:val="single" w:sz="4" w:space="0" w:color="auto"/>
            </w:tcBorders>
            <w:shd w:val="clear" w:color="auto" w:fill="auto"/>
            <w:noWrap/>
            <w:vAlign w:val="center"/>
            <w:hideMark/>
          </w:tcPr>
          <w:p w14:paraId="16B538A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249335,78</w:t>
            </w:r>
          </w:p>
        </w:tc>
        <w:tc>
          <w:tcPr>
            <w:tcW w:w="1770" w:type="dxa"/>
            <w:tcBorders>
              <w:top w:val="nil"/>
              <w:left w:val="nil"/>
              <w:bottom w:val="single" w:sz="4" w:space="0" w:color="auto"/>
              <w:right w:val="single" w:sz="4" w:space="0" w:color="auto"/>
            </w:tcBorders>
            <w:shd w:val="clear" w:color="auto" w:fill="auto"/>
            <w:noWrap/>
            <w:vAlign w:val="center"/>
            <w:hideMark/>
          </w:tcPr>
          <w:p w14:paraId="414BD64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-114 120 920,31</w:t>
            </w:r>
          </w:p>
        </w:tc>
        <w:tc>
          <w:tcPr>
            <w:tcW w:w="1618" w:type="dxa"/>
            <w:tcBorders>
              <w:top w:val="nil"/>
              <w:left w:val="nil"/>
              <w:bottom w:val="single" w:sz="4" w:space="0" w:color="auto"/>
              <w:right w:val="single" w:sz="4" w:space="0" w:color="auto"/>
            </w:tcBorders>
            <w:shd w:val="clear" w:color="auto" w:fill="auto"/>
            <w:noWrap/>
            <w:vAlign w:val="center"/>
            <w:hideMark/>
          </w:tcPr>
          <w:p w14:paraId="1569548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-18,12</w:t>
            </w:r>
          </w:p>
        </w:tc>
        <w:tc>
          <w:tcPr>
            <w:tcW w:w="1062" w:type="dxa"/>
            <w:tcBorders>
              <w:top w:val="nil"/>
              <w:left w:val="nil"/>
              <w:bottom w:val="single" w:sz="4" w:space="0" w:color="auto"/>
              <w:right w:val="single" w:sz="4" w:space="0" w:color="auto"/>
            </w:tcBorders>
            <w:shd w:val="clear" w:color="auto" w:fill="auto"/>
            <w:noWrap/>
            <w:vAlign w:val="center"/>
            <w:hideMark/>
          </w:tcPr>
          <w:p w14:paraId="04DD02A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2 068,07</w:t>
            </w:r>
          </w:p>
        </w:tc>
        <w:tc>
          <w:tcPr>
            <w:tcW w:w="1561" w:type="dxa"/>
            <w:tcBorders>
              <w:top w:val="nil"/>
              <w:left w:val="nil"/>
              <w:bottom w:val="single" w:sz="4" w:space="0" w:color="auto"/>
              <w:right w:val="single" w:sz="4" w:space="0" w:color="auto"/>
            </w:tcBorders>
            <w:shd w:val="clear" w:color="auto" w:fill="auto"/>
            <w:noWrap/>
            <w:vAlign w:val="center"/>
            <w:hideMark/>
          </w:tcPr>
          <w:p w14:paraId="2DBCB12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2 525,77</w:t>
            </w:r>
          </w:p>
        </w:tc>
      </w:tr>
      <w:tr w:rsidR="00905E1F" w:rsidRPr="00AC3806" w14:paraId="6B6E7C43"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11D2653"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Верхнехавский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2653F23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197</w:t>
            </w:r>
          </w:p>
        </w:tc>
        <w:tc>
          <w:tcPr>
            <w:tcW w:w="1868" w:type="dxa"/>
            <w:tcBorders>
              <w:top w:val="nil"/>
              <w:left w:val="nil"/>
              <w:bottom w:val="single" w:sz="4" w:space="0" w:color="auto"/>
              <w:right w:val="single" w:sz="4" w:space="0" w:color="auto"/>
            </w:tcBorders>
            <w:shd w:val="clear" w:color="auto" w:fill="auto"/>
            <w:noWrap/>
            <w:vAlign w:val="center"/>
            <w:hideMark/>
          </w:tcPr>
          <w:p w14:paraId="7D807E1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305 924 695,43</w:t>
            </w:r>
          </w:p>
        </w:tc>
        <w:tc>
          <w:tcPr>
            <w:tcW w:w="1984" w:type="dxa"/>
            <w:tcBorders>
              <w:top w:val="nil"/>
              <w:left w:val="nil"/>
              <w:bottom w:val="single" w:sz="4" w:space="0" w:color="auto"/>
              <w:right w:val="single" w:sz="4" w:space="0" w:color="auto"/>
            </w:tcBorders>
            <w:shd w:val="clear" w:color="auto" w:fill="auto"/>
            <w:noWrap/>
            <w:vAlign w:val="center"/>
            <w:hideMark/>
          </w:tcPr>
          <w:p w14:paraId="4573706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378 089 318,19</w:t>
            </w:r>
          </w:p>
        </w:tc>
        <w:tc>
          <w:tcPr>
            <w:tcW w:w="1418" w:type="dxa"/>
            <w:tcBorders>
              <w:top w:val="nil"/>
              <w:left w:val="nil"/>
              <w:bottom w:val="single" w:sz="4" w:space="0" w:color="auto"/>
              <w:right w:val="single" w:sz="4" w:space="0" w:color="auto"/>
            </w:tcBorders>
            <w:shd w:val="clear" w:color="auto" w:fill="auto"/>
            <w:noWrap/>
            <w:vAlign w:val="center"/>
            <w:hideMark/>
          </w:tcPr>
          <w:p w14:paraId="78AC3D7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128467</w:t>
            </w:r>
          </w:p>
        </w:tc>
        <w:tc>
          <w:tcPr>
            <w:tcW w:w="1770" w:type="dxa"/>
            <w:tcBorders>
              <w:top w:val="nil"/>
              <w:left w:val="nil"/>
              <w:bottom w:val="single" w:sz="4" w:space="0" w:color="auto"/>
              <w:right w:val="single" w:sz="4" w:space="0" w:color="auto"/>
            </w:tcBorders>
            <w:shd w:val="clear" w:color="auto" w:fill="auto"/>
            <w:noWrap/>
            <w:vAlign w:val="center"/>
            <w:hideMark/>
          </w:tcPr>
          <w:p w14:paraId="02BDF4F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-72 164 622,76</w:t>
            </w:r>
          </w:p>
        </w:tc>
        <w:tc>
          <w:tcPr>
            <w:tcW w:w="1618" w:type="dxa"/>
            <w:tcBorders>
              <w:top w:val="nil"/>
              <w:left w:val="nil"/>
              <w:bottom w:val="single" w:sz="4" w:space="0" w:color="auto"/>
              <w:right w:val="single" w:sz="4" w:space="0" w:color="auto"/>
            </w:tcBorders>
            <w:shd w:val="clear" w:color="auto" w:fill="auto"/>
            <w:noWrap/>
            <w:vAlign w:val="center"/>
            <w:hideMark/>
          </w:tcPr>
          <w:p w14:paraId="4C6B643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-19,09</w:t>
            </w:r>
          </w:p>
        </w:tc>
        <w:tc>
          <w:tcPr>
            <w:tcW w:w="1062" w:type="dxa"/>
            <w:tcBorders>
              <w:top w:val="nil"/>
              <w:left w:val="nil"/>
              <w:bottom w:val="single" w:sz="4" w:space="0" w:color="auto"/>
              <w:right w:val="single" w:sz="4" w:space="0" w:color="auto"/>
            </w:tcBorders>
            <w:shd w:val="clear" w:color="auto" w:fill="auto"/>
            <w:noWrap/>
            <w:vAlign w:val="center"/>
            <w:hideMark/>
          </w:tcPr>
          <w:p w14:paraId="4EEFC26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2 381,35</w:t>
            </w:r>
          </w:p>
        </w:tc>
        <w:tc>
          <w:tcPr>
            <w:tcW w:w="1561" w:type="dxa"/>
            <w:tcBorders>
              <w:top w:val="nil"/>
              <w:left w:val="nil"/>
              <w:bottom w:val="single" w:sz="4" w:space="0" w:color="auto"/>
              <w:right w:val="single" w:sz="4" w:space="0" w:color="auto"/>
            </w:tcBorders>
            <w:shd w:val="clear" w:color="auto" w:fill="auto"/>
            <w:noWrap/>
            <w:vAlign w:val="center"/>
            <w:hideMark/>
          </w:tcPr>
          <w:p w14:paraId="5F02045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2 943,09</w:t>
            </w:r>
          </w:p>
        </w:tc>
      </w:tr>
      <w:tr w:rsidR="00905E1F" w:rsidRPr="00AC3806" w14:paraId="3CC1E631"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8A208AF"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Воробьёвский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4B33DC3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275</w:t>
            </w:r>
          </w:p>
        </w:tc>
        <w:tc>
          <w:tcPr>
            <w:tcW w:w="1868" w:type="dxa"/>
            <w:tcBorders>
              <w:top w:val="nil"/>
              <w:left w:val="nil"/>
              <w:bottom w:val="single" w:sz="4" w:space="0" w:color="auto"/>
              <w:right w:val="single" w:sz="4" w:space="0" w:color="auto"/>
            </w:tcBorders>
            <w:shd w:val="clear" w:color="auto" w:fill="auto"/>
            <w:noWrap/>
            <w:vAlign w:val="center"/>
            <w:hideMark/>
          </w:tcPr>
          <w:p w14:paraId="1F9518F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306 033 399,81</w:t>
            </w:r>
          </w:p>
        </w:tc>
        <w:tc>
          <w:tcPr>
            <w:tcW w:w="1984" w:type="dxa"/>
            <w:tcBorders>
              <w:top w:val="nil"/>
              <w:left w:val="nil"/>
              <w:bottom w:val="single" w:sz="4" w:space="0" w:color="auto"/>
              <w:right w:val="single" w:sz="4" w:space="0" w:color="auto"/>
            </w:tcBorders>
            <w:shd w:val="clear" w:color="auto" w:fill="auto"/>
            <w:noWrap/>
            <w:vAlign w:val="center"/>
            <w:hideMark/>
          </w:tcPr>
          <w:p w14:paraId="35EC229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358 045 455,30</w:t>
            </w:r>
          </w:p>
        </w:tc>
        <w:tc>
          <w:tcPr>
            <w:tcW w:w="1418" w:type="dxa"/>
            <w:tcBorders>
              <w:top w:val="nil"/>
              <w:left w:val="nil"/>
              <w:bottom w:val="single" w:sz="4" w:space="0" w:color="auto"/>
              <w:right w:val="single" w:sz="4" w:space="0" w:color="auto"/>
            </w:tcBorders>
            <w:shd w:val="clear" w:color="auto" w:fill="auto"/>
            <w:noWrap/>
            <w:vAlign w:val="center"/>
            <w:hideMark/>
          </w:tcPr>
          <w:p w14:paraId="3EF7A05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220328,6</w:t>
            </w:r>
          </w:p>
        </w:tc>
        <w:tc>
          <w:tcPr>
            <w:tcW w:w="1770" w:type="dxa"/>
            <w:tcBorders>
              <w:top w:val="nil"/>
              <w:left w:val="nil"/>
              <w:bottom w:val="single" w:sz="4" w:space="0" w:color="auto"/>
              <w:right w:val="single" w:sz="4" w:space="0" w:color="auto"/>
            </w:tcBorders>
            <w:shd w:val="clear" w:color="auto" w:fill="auto"/>
            <w:noWrap/>
            <w:vAlign w:val="center"/>
            <w:hideMark/>
          </w:tcPr>
          <w:p w14:paraId="3CCE3CB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-52 012 055,49</w:t>
            </w:r>
          </w:p>
        </w:tc>
        <w:tc>
          <w:tcPr>
            <w:tcW w:w="1618" w:type="dxa"/>
            <w:tcBorders>
              <w:top w:val="nil"/>
              <w:left w:val="nil"/>
              <w:bottom w:val="single" w:sz="4" w:space="0" w:color="auto"/>
              <w:right w:val="single" w:sz="4" w:space="0" w:color="auto"/>
            </w:tcBorders>
            <w:shd w:val="clear" w:color="auto" w:fill="auto"/>
            <w:noWrap/>
            <w:vAlign w:val="center"/>
            <w:hideMark/>
          </w:tcPr>
          <w:p w14:paraId="4EFCD50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-14,53</w:t>
            </w:r>
          </w:p>
        </w:tc>
        <w:tc>
          <w:tcPr>
            <w:tcW w:w="1062" w:type="dxa"/>
            <w:tcBorders>
              <w:top w:val="nil"/>
              <w:left w:val="nil"/>
              <w:bottom w:val="single" w:sz="4" w:space="0" w:color="auto"/>
              <w:right w:val="single" w:sz="4" w:space="0" w:color="auto"/>
            </w:tcBorders>
            <w:shd w:val="clear" w:color="auto" w:fill="auto"/>
            <w:noWrap/>
            <w:vAlign w:val="center"/>
            <w:hideMark/>
          </w:tcPr>
          <w:p w14:paraId="5486755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1 388,99</w:t>
            </w:r>
          </w:p>
        </w:tc>
        <w:tc>
          <w:tcPr>
            <w:tcW w:w="1561" w:type="dxa"/>
            <w:tcBorders>
              <w:top w:val="nil"/>
              <w:left w:val="nil"/>
              <w:bottom w:val="single" w:sz="4" w:space="0" w:color="auto"/>
              <w:right w:val="single" w:sz="4" w:space="0" w:color="auto"/>
            </w:tcBorders>
            <w:shd w:val="clear" w:color="auto" w:fill="auto"/>
            <w:noWrap/>
            <w:vAlign w:val="center"/>
            <w:hideMark/>
          </w:tcPr>
          <w:p w14:paraId="4550831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1 625,05</w:t>
            </w:r>
          </w:p>
        </w:tc>
      </w:tr>
      <w:tr w:rsidR="00905E1F" w:rsidRPr="00AC3806" w14:paraId="68385CE1"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5A8C1A9"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Грибановский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661A64C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318</w:t>
            </w:r>
          </w:p>
        </w:tc>
        <w:tc>
          <w:tcPr>
            <w:tcW w:w="1868" w:type="dxa"/>
            <w:tcBorders>
              <w:top w:val="nil"/>
              <w:left w:val="nil"/>
              <w:bottom w:val="single" w:sz="4" w:space="0" w:color="auto"/>
              <w:right w:val="single" w:sz="4" w:space="0" w:color="auto"/>
            </w:tcBorders>
            <w:shd w:val="clear" w:color="auto" w:fill="auto"/>
            <w:noWrap/>
            <w:vAlign w:val="center"/>
            <w:hideMark/>
          </w:tcPr>
          <w:p w14:paraId="1D9843C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684 728 880,17</w:t>
            </w:r>
          </w:p>
        </w:tc>
        <w:tc>
          <w:tcPr>
            <w:tcW w:w="1984" w:type="dxa"/>
            <w:tcBorders>
              <w:top w:val="nil"/>
              <w:left w:val="nil"/>
              <w:bottom w:val="single" w:sz="4" w:space="0" w:color="auto"/>
              <w:right w:val="single" w:sz="4" w:space="0" w:color="auto"/>
            </w:tcBorders>
            <w:shd w:val="clear" w:color="auto" w:fill="auto"/>
            <w:noWrap/>
            <w:vAlign w:val="center"/>
            <w:hideMark/>
          </w:tcPr>
          <w:p w14:paraId="756C6F2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657 353 771,61</w:t>
            </w:r>
          </w:p>
        </w:tc>
        <w:tc>
          <w:tcPr>
            <w:tcW w:w="1418" w:type="dxa"/>
            <w:tcBorders>
              <w:top w:val="nil"/>
              <w:left w:val="nil"/>
              <w:bottom w:val="single" w:sz="4" w:space="0" w:color="auto"/>
              <w:right w:val="single" w:sz="4" w:space="0" w:color="auto"/>
            </w:tcBorders>
            <w:shd w:val="clear" w:color="auto" w:fill="auto"/>
            <w:noWrap/>
            <w:vAlign w:val="center"/>
            <w:hideMark/>
          </w:tcPr>
          <w:p w14:paraId="5BF0E07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251217,15</w:t>
            </w:r>
          </w:p>
        </w:tc>
        <w:tc>
          <w:tcPr>
            <w:tcW w:w="1770" w:type="dxa"/>
            <w:tcBorders>
              <w:top w:val="nil"/>
              <w:left w:val="nil"/>
              <w:bottom w:val="single" w:sz="4" w:space="0" w:color="auto"/>
              <w:right w:val="single" w:sz="4" w:space="0" w:color="auto"/>
            </w:tcBorders>
            <w:shd w:val="clear" w:color="auto" w:fill="auto"/>
            <w:noWrap/>
            <w:vAlign w:val="center"/>
            <w:hideMark/>
          </w:tcPr>
          <w:p w14:paraId="42DF2E9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27 375 108,56</w:t>
            </w:r>
          </w:p>
        </w:tc>
        <w:tc>
          <w:tcPr>
            <w:tcW w:w="1618" w:type="dxa"/>
            <w:tcBorders>
              <w:top w:val="nil"/>
              <w:left w:val="nil"/>
              <w:bottom w:val="single" w:sz="4" w:space="0" w:color="auto"/>
              <w:right w:val="single" w:sz="4" w:space="0" w:color="auto"/>
            </w:tcBorders>
            <w:shd w:val="clear" w:color="auto" w:fill="auto"/>
            <w:noWrap/>
            <w:vAlign w:val="center"/>
            <w:hideMark/>
          </w:tcPr>
          <w:p w14:paraId="070AFAA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4,16</w:t>
            </w:r>
          </w:p>
        </w:tc>
        <w:tc>
          <w:tcPr>
            <w:tcW w:w="1062" w:type="dxa"/>
            <w:tcBorders>
              <w:top w:val="nil"/>
              <w:left w:val="nil"/>
              <w:bottom w:val="single" w:sz="4" w:space="0" w:color="auto"/>
              <w:right w:val="single" w:sz="4" w:space="0" w:color="auto"/>
            </w:tcBorders>
            <w:shd w:val="clear" w:color="auto" w:fill="auto"/>
            <w:noWrap/>
            <w:vAlign w:val="center"/>
            <w:hideMark/>
          </w:tcPr>
          <w:p w14:paraId="4B3F6B9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2 725,65</w:t>
            </w:r>
          </w:p>
        </w:tc>
        <w:tc>
          <w:tcPr>
            <w:tcW w:w="1561" w:type="dxa"/>
            <w:tcBorders>
              <w:top w:val="nil"/>
              <w:left w:val="nil"/>
              <w:bottom w:val="single" w:sz="4" w:space="0" w:color="auto"/>
              <w:right w:val="single" w:sz="4" w:space="0" w:color="auto"/>
            </w:tcBorders>
            <w:shd w:val="clear" w:color="auto" w:fill="auto"/>
            <w:noWrap/>
            <w:vAlign w:val="center"/>
            <w:hideMark/>
          </w:tcPr>
          <w:p w14:paraId="5B0EF77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2 616,68</w:t>
            </w:r>
          </w:p>
        </w:tc>
      </w:tr>
      <w:tr w:rsidR="00905E1F" w:rsidRPr="00AC3806" w14:paraId="563EF40B"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5501CF9"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Калачеевский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7D74523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591</w:t>
            </w:r>
          </w:p>
        </w:tc>
        <w:tc>
          <w:tcPr>
            <w:tcW w:w="1868" w:type="dxa"/>
            <w:tcBorders>
              <w:top w:val="nil"/>
              <w:left w:val="nil"/>
              <w:bottom w:val="single" w:sz="4" w:space="0" w:color="auto"/>
              <w:right w:val="single" w:sz="4" w:space="0" w:color="auto"/>
            </w:tcBorders>
            <w:shd w:val="clear" w:color="auto" w:fill="auto"/>
            <w:noWrap/>
            <w:vAlign w:val="center"/>
            <w:hideMark/>
          </w:tcPr>
          <w:p w14:paraId="72843A4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1 552 880 297,43</w:t>
            </w:r>
          </w:p>
        </w:tc>
        <w:tc>
          <w:tcPr>
            <w:tcW w:w="1984" w:type="dxa"/>
            <w:tcBorders>
              <w:top w:val="nil"/>
              <w:left w:val="nil"/>
              <w:bottom w:val="single" w:sz="4" w:space="0" w:color="auto"/>
              <w:right w:val="single" w:sz="4" w:space="0" w:color="auto"/>
            </w:tcBorders>
            <w:shd w:val="clear" w:color="auto" w:fill="auto"/>
            <w:noWrap/>
            <w:vAlign w:val="center"/>
            <w:hideMark/>
          </w:tcPr>
          <w:p w14:paraId="55BC147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1 377 880 755,22</w:t>
            </w:r>
          </w:p>
        </w:tc>
        <w:tc>
          <w:tcPr>
            <w:tcW w:w="1418" w:type="dxa"/>
            <w:tcBorders>
              <w:top w:val="nil"/>
              <w:left w:val="nil"/>
              <w:bottom w:val="single" w:sz="4" w:space="0" w:color="auto"/>
              <w:right w:val="single" w:sz="4" w:space="0" w:color="auto"/>
            </w:tcBorders>
            <w:shd w:val="clear" w:color="auto" w:fill="auto"/>
            <w:noWrap/>
            <w:vAlign w:val="center"/>
            <w:hideMark/>
          </w:tcPr>
          <w:p w14:paraId="2B69603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542203,1</w:t>
            </w:r>
          </w:p>
        </w:tc>
        <w:tc>
          <w:tcPr>
            <w:tcW w:w="1770" w:type="dxa"/>
            <w:tcBorders>
              <w:top w:val="nil"/>
              <w:left w:val="nil"/>
              <w:bottom w:val="single" w:sz="4" w:space="0" w:color="auto"/>
              <w:right w:val="single" w:sz="4" w:space="0" w:color="auto"/>
            </w:tcBorders>
            <w:shd w:val="clear" w:color="auto" w:fill="auto"/>
            <w:noWrap/>
            <w:vAlign w:val="center"/>
            <w:hideMark/>
          </w:tcPr>
          <w:p w14:paraId="049CC8B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174 999 542,21</w:t>
            </w:r>
          </w:p>
        </w:tc>
        <w:tc>
          <w:tcPr>
            <w:tcW w:w="1618" w:type="dxa"/>
            <w:tcBorders>
              <w:top w:val="nil"/>
              <w:left w:val="nil"/>
              <w:bottom w:val="single" w:sz="4" w:space="0" w:color="auto"/>
              <w:right w:val="single" w:sz="4" w:space="0" w:color="auto"/>
            </w:tcBorders>
            <w:shd w:val="clear" w:color="auto" w:fill="auto"/>
            <w:noWrap/>
            <w:vAlign w:val="center"/>
            <w:hideMark/>
          </w:tcPr>
          <w:p w14:paraId="0DCBF64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12,7</w:t>
            </w:r>
          </w:p>
        </w:tc>
        <w:tc>
          <w:tcPr>
            <w:tcW w:w="1062" w:type="dxa"/>
            <w:tcBorders>
              <w:top w:val="nil"/>
              <w:left w:val="nil"/>
              <w:bottom w:val="single" w:sz="4" w:space="0" w:color="auto"/>
              <w:right w:val="single" w:sz="4" w:space="0" w:color="auto"/>
            </w:tcBorders>
            <w:shd w:val="clear" w:color="auto" w:fill="auto"/>
            <w:noWrap/>
            <w:vAlign w:val="center"/>
            <w:hideMark/>
          </w:tcPr>
          <w:p w14:paraId="64B4FD8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2 864,02</w:t>
            </w:r>
          </w:p>
        </w:tc>
        <w:tc>
          <w:tcPr>
            <w:tcW w:w="1561" w:type="dxa"/>
            <w:tcBorders>
              <w:top w:val="nil"/>
              <w:left w:val="nil"/>
              <w:bottom w:val="single" w:sz="4" w:space="0" w:color="auto"/>
              <w:right w:val="single" w:sz="4" w:space="0" w:color="auto"/>
            </w:tcBorders>
            <w:shd w:val="clear" w:color="auto" w:fill="auto"/>
            <w:noWrap/>
            <w:vAlign w:val="center"/>
            <w:hideMark/>
          </w:tcPr>
          <w:p w14:paraId="0E6F132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2 541,26</w:t>
            </w:r>
          </w:p>
        </w:tc>
      </w:tr>
      <w:tr w:rsidR="00905E1F" w:rsidRPr="00AC3806" w14:paraId="021138A4"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8253644"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Каменский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569FBA9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173</w:t>
            </w:r>
          </w:p>
        </w:tc>
        <w:tc>
          <w:tcPr>
            <w:tcW w:w="1868" w:type="dxa"/>
            <w:tcBorders>
              <w:top w:val="nil"/>
              <w:left w:val="nil"/>
              <w:bottom w:val="single" w:sz="4" w:space="0" w:color="auto"/>
              <w:right w:val="single" w:sz="4" w:space="0" w:color="auto"/>
            </w:tcBorders>
            <w:shd w:val="clear" w:color="auto" w:fill="auto"/>
            <w:noWrap/>
            <w:vAlign w:val="center"/>
            <w:hideMark/>
          </w:tcPr>
          <w:p w14:paraId="48C66F0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238 515 902,64</w:t>
            </w:r>
          </w:p>
        </w:tc>
        <w:tc>
          <w:tcPr>
            <w:tcW w:w="1984" w:type="dxa"/>
            <w:tcBorders>
              <w:top w:val="nil"/>
              <w:left w:val="nil"/>
              <w:bottom w:val="single" w:sz="4" w:space="0" w:color="auto"/>
              <w:right w:val="single" w:sz="4" w:space="0" w:color="auto"/>
            </w:tcBorders>
            <w:shd w:val="clear" w:color="auto" w:fill="auto"/>
            <w:noWrap/>
            <w:vAlign w:val="center"/>
            <w:hideMark/>
          </w:tcPr>
          <w:p w14:paraId="7F9D30A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240 615 526,01</w:t>
            </w:r>
          </w:p>
        </w:tc>
        <w:tc>
          <w:tcPr>
            <w:tcW w:w="1418" w:type="dxa"/>
            <w:tcBorders>
              <w:top w:val="nil"/>
              <w:left w:val="nil"/>
              <w:bottom w:val="single" w:sz="4" w:space="0" w:color="auto"/>
              <w:right w:val="single" w:sz="4" w:space="0" w:color="auto"/>
            </w:tcBorders>
            <w:shd w:val="clear" w:color="auto" w:fill="auto"/>
            <w:noWrap/>
            <w:vAlign w:val="center"/>
            <w:hideMark/>
          </w:tcPr>
          <w:p w14:paraId="4C609F2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66621</w:t>
            </w:r>
          </w:p>
        </w:tc>
        <w:tc>
          <w:tcPr>
            <w:tcW w:w="1770" w:type="dxa"/>
            <w:tcBorders>
              <w:top w:val="nil"/>
              <w:left w:val="nil"/>
              <w:bottom w:val="single" w:sz="4" w:space="0" w:color="auto"/>
              <w:right w:val="single" w:sz="4" w:space="0" w:color="auto"/>
            </w:tcBorders>
            <w:shd w:val="clear" w:color="auto" w:fill="auto"/>
            <w:noWrap/>
            <w:vAlign w:val="center"/>
            <w:hideMark/>
          </w:tcPr>
          <w:p w14:paraId="31C7952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-2 099 623,37</w:t>
            </w:r>
          </w:p>
        </w:tc>
        <w:tc>
          <w:tcPr>
            <w:tcW w:w="1618" w:type="dxa"/>
            <w:tcBorders>
              <w:top w:val="nil"/>
              <w:left w:val="nil"/>
              <w:bottom w:val="single" w:sz="4" w:space="0" w:color="auto"/>
              <w:right w:val="single" w:sz="4" w:space="0" w:color="auto"/>
            </w:tcBorders>
            <w:shd w:val="clear" w:color="auto" w:fill="auto"/>
            <w:noWrap/>
            <w:vAlign w:val="center"/>
            <w:hideMark/>
          </w:tcPr>
          <w:p w14:paraId="50B2EE0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-0,87</w:t>
            </w:r>
          </w:p>
        </w:tc>
        <w:tc>
          <w:tcPr>
            <w:tcW w:w="1062" w:type="dxa"/>
            <w:tcBorders>
              <w:top w:val="nil"/>
              <w:left w:val="nil"/>
              <w:bottom w:val="single" w:sz="4" w:space="0" w:color="auto"/>
              <w:right w:val="single" w:sz="4" w:space="0" w:color="auto"/>
            </w:tcBorders>
            <w:shd w:val="clear" w:color="auto" w:fill="auto"/>
            <w:noWrap/>
            <w:vAlign w:val="center"/>
            <w:hideMark/>
          </w:tcPr>
          <w:p w14:paraId="7B61BCE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3 580,19</w:t>
            </w:r>
          </w:p>
        </w:tc>
        <w:tc>
          <w:tcPr>
            <w:tcW w:w="1561" w:type="dxa"/>
            <w:tcBorders>
              <w:top w:val="nil"/>
              <w:left w:val="nil"/>
              <w:bottom w:val="single" w:sz="4" w:space="0" w:color="auto"/>
              <w:right w:val="single" w:sz="4" w:space="0" w:color="auto"/>
            </w:tcBorders>
            <w:shd w:val="clear" w:color="auto" w:fill="auto"/>
            <w:noWrap/>
            <w:vAlign w:val="center"/>
            <w:hideMark/>
          </w:tcPr>
          <w:p w14:paraId="6F9A007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3 611,71</w:t>
            </w:r>
          </w:p>
        </w:tc>
      </w:tr>
      <w:tr w:rsidR="00905E1F" w:rsidRPr="00AC3806" w14:paraId="2843B25E"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9B6A9D7"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Кантемировский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1F9E9B2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356</w:t>
            </w:r>
          </w:p>
        </w:tc>
        <w:tc>
          <w:tcPr>
            <w:tcW w:w="1868" w:type="dxa"/>
            <w:tcBorders>
              <w:top w:val="nil"/>
              <w:left w:val="nil"/>
              <w:bottom w:val="single" w:sz="4" w:space="0" w:color="auto"/>
              <w:right w:val="single" w:sz="4" w:space="0" w:color="auto"/>
            </w:tcBorders>
            <w:shd w:val="clear" w:color="auto" w:fill="auto"/>
            <w:noWrap/>
            <w:vAlign w:val="center"/>
            <w:hideMark/>
          </w:tcPr>
          <w:p w14:paraId="22B26C2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668 903 854,15</w:t>
            </w:r>
          </w:p>
        </w:tc>
        <w:tc>
          <w:tcPr>
            <w:tcW w:w="1984" w:type="dxa"/>
            <w:tcBorders>
              <w:top w:val="nil"/>
              <w:left w:val="nil"/>
              <w:bottom w:val="single" w:sz="4" w:space="0" w:color="auto"/>
              <w:right w:val="single" w:sz="4" w:space="0" w:color="auto"/>
            </w:tcBorders>
            <w:shd w:val="clear" w:color="auto" w:fill="auto"/>
            <w:noWrap/>
            <w:vAlign w:val="center"/>
            <w:hideMark/>
          </w:tcPr>
          <w:p w14:paraId="31EADC5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625 913 383,33</w:t>
            </w:r>
          </w:p>
        </w:tc>
        <w:tc>
          <w:tcPr>
            <w:tcW w:w="1418" w:type="dxa"/>
            <w:tcBorders>
              <w:top w:val="nil"/>
              <w:left w:val="nil"/>
              <w:bottom w:val="single" w:sz="4" w:space="0" w:color="auto"/>
              <w:right w:val="single" w:sz="4" w:space="0" w:color="auto"/>
            </w:tcBorders>
            <w:shd w:val="clear" w:color="auto" w:fill="auto"/>
            <w:noWrap/>
            <w:vAlign w:val="center"/>
            <w:hideMark/>
          </w:tcPr>
          <w:p w14:paraId="1A14ECB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463591,77</w:t>
            </w:r>
          </w:p>
        </w:tc>
        <w:tc>
          <w:tcPr>
            <w:tcW w:w="1770" w:type="dxa"/>
            <w:tcBorders>
              <w:top w:val="nil"/>
              <w:left w:val="nil"/>
              <w:bottom w:val="single" w:sz="4" w:space="0" w:color="auto"/>
              <w:right w:val="single" w:sz="4" w:space="0" w:color="auto"/>
            </w:tcBorders>
            <w:shd w:val="clear" w:color="auto" w:fill="auto"/>
            <w:noWrap/>
            <w:vAlign w:val="center"/>
            <w:hideMark/>
          </w:tcPr>
          <w:p w14:paraId="2FC94DB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42 990 470,82</w:t>
            </w:r>
          </w:p>
        </w:tc>
        <w:tc>
          <w:tcPr>
            <w:tcW w:w="1618" w:type="dxa"/>
            <w:tcBorders>
              <w:top w:val="nil"/>
              <w:left w:val="nil"/>
              <w:bottom w:val="single" w:sz="4" w:space="0" w:color="auto"/>
              <w:right w:val="single" w:sz="4" w:space="0" w:color="auto"/>
            </w:tcBorders>
            <w:shd w:val="clear" w:color="auto" w:fill="auto"/>
            <w:noWrap/>
            <w:vAlign w:val="center"/>
            <w:hideMark/>
          </w:tcPr>
          <w:p w14:paraId="58B84D2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6,87</w:t>
            </w:r>
          </w:p>
        </w:tc>
        <w:tc>
          <w:tcPr>
            <w:tcW w:w="1062" w:type="dxa"/>
            <w:tcBorders>
              <w:top w:val="nil"/>
              <w:left w:val="nil"/>
              <w:bottom w:val="single" w:sz="4" w:space="0" w:color="auto"/>
              <w:right w:val="single" w:sz="4" w:space="0" w:color="auto"/>
            </w:tcBorders>
            <w:shd w:val="clear" w:color="auto" w:fill="auto"/>
            <w:noWrap/>
            <w:vAlign w:val="center"/>
            <w:hideMark/>
          </w:tcPr>
          <w:p w14:paraId="31740CC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1 442,87</w:t>
            </w:r>
          </w:p>
        </w:tc>
        <w:tc>
          <w:tcPr>
            <w:tcW w:w="1561" w:type="dxa"/>
            <w:tcBorders>
              <w:top w:val="nil"/>
              <w:left w:val="nil"/>
              <w:bottom w:val="single" w:sz="4" w:space="0" w:color="auto"/>
              <w:right w:val="single" w:sz="4" w:space="0" w:color="auto"/>
            </w:tcBorders>
            <w:shd w:val="clear" w:color="auto" w:fill="auto"/>
            <w:noWrap/>
            <w:vAlign w:val="center"/>
            <w:hideMark/>
          </w:tcPr>
          <w:p w14:paraId="4C1A4E8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1 350,14</w:t>
            </w:r>
          </w:p>
        </w:tc>
      </w:tr>
      <w:tr w:rsidR="00905E1F" w:rsidRPr="00AC3806" w14:paraId="7B94A7AA"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81E7665"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Каширский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53B0EE0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192</w:t>
            </w:r>
          </w:p>
        </w:tc>
        <w:tc>
          <w:tcPr>
            <w:tcW w:w="1868" w:type="dxa"/>
            <w:tcBorders>
              <w:top w:val="nil"/>
              <w:left w:val="nil"/>
              <w:bottom w:val="single" w:sz="4" w:space="0" w:color="auto"/>
              <w:right w:val="single" w:sz="4" w:space="0" w:color="auto"/>
            </w:tcBorders>
            <w:shd w:val="clear" w:color="auto" w:fill="auto"/>
            <w:noWrap/>
            <w:vAlign w:val="center"/>
            <w:hideMark/>
          </w:tcPr>
          <w:p w14:paraId="45A7C37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494 222 780,45</w:t>
            </w:r>
          </w:p>
        </w:tc>
        <w:tc>
          <w:tcPr>
            <w:tcW w:w="1984" w:type="dxa"/>
            <w:tcBorders>
              <w:top w:val="nil"/>
              <w:left w:val="nil"/>
              <w:bottom w:val="single" w:sz="4" w:space="0" w:color="auto"/>
              <w:right w:val="single" w:sz="4" w:space="0" w:color="auto"/>
            </w:tcBorders>
            <w:shd w:val="clear" w:color="auto" w:fill="auto"/>
            <w:noWrap/>
            <w:vAlign w:val="center"/>
            <w:hideMark/>
          </w:tcPr>
          <w:p w14:paraId="5002153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584 164 699,78</w:t>
            </w:r>
          </w:p>
        </w:tc>
        <w:tc>
          <w:tcPr>
            <w:tcW w:w="1418" w:type="dxa"/>
            <w:tcBorders>
              <w:top w:val="nil"/>
              <w:left w:val="nil"/>
              <w:bottom w:val="single" w:sz="4" w:space="0" w:color="auto"/>
              <w:right w:val="single" w:sz="4" w:space="0" w:color="auto"/>
            </w:tcBorders>
            <w:shd w:val="clear" w:color="auto" w:fill="auto"/>
            <w:noWrap/>
            <w:vAlign w:val="center"/>
            <w:hideMark/>
          </w:tcPr>
          <w:p w14:paraId="7AF534F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229633,09</w:t>
            </w:r>
          </w:p>
        </w:tc>
        <w:tc>
          <w:tcPr>
            <w:tcW w:w="1770" w:type="dxa"/>
            <w:tcBorders>
              <w:top w:val="nil"/>
              <w:left w:val="nil"/>
              <w:bottom w:val="single" w:sz="4" w:space="0" w:color="auto"/>
              <w:right w:val="single" w:sz="4" w:space="0" w:color="auto"/>
            </w:tcBorders>
            <w:shd w:val="clear" w:color="auto" w:fill="auto"/>
            <w:noWrap/>
            <w:vAlign w:val="center"/>
            <w:hideMark/>
          </w:tcPr>
          <w:p w14:paraId="2BFE2BA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-89 941 919,33</w:t>
            </w:r>
          </w:p>
        </w:tc>
        <w:tc>
          <w:tcPr>
            <w:tcW w:w="1618" w:type="dxa"/>
            <w:tcBorders>
              <w:top w:val="nil"/>
              <w:left w:val="nil"/>
              <w:bottom w:val="single" w:sz="4" w:space="0" w:color="auto"/>
              <w:right w:val="single" w:sz="4" w:space="0" w:color="auto"/>
            </w:tcBorders>
            <w:shd w:val="clear" w:color="auto" w:fill="auto"/>
            <w:noWrap/>
            <w:vAlign w:val="center"/>
            <w:hideMark/>
          </w:tcPr>
          <w:p w14:paraId="50DE18A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-15,4</w:t>
            </w:r>
          </w:p>
        </w:tc>
        <w:tc>
          <w:tcPr>
            <w:tcW w:w="1062" w:type="dxa"/>
            <w:tcBorders>
              <w:top w:val="nil"/>
              <w:left w:val="nil"/>
              <w:bottom w:val="single" w:sz="4" w:space="0" w:color="auto"/>
              <w:right w:val="single" w:sz="4" w:space="0" w:color="auto"/>
            </w:tcBorders>
            <w:shd w:val="clear" w:color="auto" w:fill="auto"/>
            <w:noWrap/>
            <w:vAlign w:val="center"/>
            <w:hideMark/>
          </w:tcPr>
          <w:p w14:paraId="7364E78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2 152,23</w:t>
            </w:r>
          </w:p>
        </w:tc>
        <w:tc>
          <w:tcPr>
            <w:tcW w:w="1561" w:type="dxa"/>
            <w:tcBorders>
              <w:top w:val="nil"/>
              <w:left w:val="nil"/>
              <w:bottom w:val="single" w:sz="4" w:space="0" w:color="auto"/>
              <w:right w:val="single" w:sz="4" w:space="0" w:color="auto"/>
            </w:tcBorders>
            <w:shd w:val="clear" w:color="auto" w:fill="auto"/>
            <w:noWrap/>
            <w:vAlign w:val="center"/>
            <w:hideMark/>
          </w:tcPr>
          <w:p w14:paraId="01141C7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2 543,90</w:t>
            </w:r>
          </w:p>
        </w:tc>
      </w:tr>
      <w:tr w:rsidR="00905E1F" w:rsidRPr="00AC3806" w14:paraId="690F6E2B"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0F12BEF"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Лискинский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0F2F228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800</w:t>
            </w:r>
          </w:p>
        </w:tc>
        <w:tc>
          <w:tcPr>
            <w:tcW w:w="1868" w:type="dxa"/>
            <w:tcBorders>
              <w:top w:val="nil"/>
              <w:left w:val="nil"/>
              <w:bottom w:val="single" w:sz="4" w:space="0" w:color="auto"/>
              <w:right w:val="single" w:sz="4" w:space="0" w:color="auto"/>
            </w:tcBorders>
            <w:shd w:val="clear" w:color="auto" w:fill="auto"/>
            <w:noWrap/>
            <w:vAlign w:val="center"/>
            <w:hideMark/>
          </w:tcPr>
          <w:p w14:paraId="1E4D53F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1 970 762 912,31</w:t>
            </w:r>
          </w:p>
        </w:tc>
        <w:tc>
          <w:tcPr>
            <w:tcW w:w="1984" w:type="dxa"/>
            <w:tcBorders>
              <w:top w:val="nil"/>
              <w:left w:val="nil"/>
              <w:bottom w:val="single" w:sz="4" w:space="0" w:color="auto"/>
              <w:right w:val="single" w:sz="4" w:space="0" w:color="auto"/>
            </w:tcBorders>
            <w:shd w:val="clear" w:color="auto" w:fill="auto"/>
            <w:noWrap/>
            <w:vAlign w:val="center"/>
            <w:hideMark/>
          </w:tcPr>
          <w:p w14:paraId="1799FA6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2 067 995 900,97</w:t>
            </w:r>
          </w:p>
        </w:tc>
        <w:tc>
          <w:tcPr>
            <w:tcW w:w="1418" w:type="dxa"/>
            <w:tcBorders>
              <w:top w:val="nil"/>
              <w:left w:val="nil"/>
              <w:bottom w:val="single" w:sz="4" w:space="0" w:color="auto"/>
              <w:right w:val="single" w:sz="4" w:space="0" w:color="auto"/>
            </w:tcBorders>
            <w:shd w:val="clear" w:color="auto" w:fill="auto"/>
            <w:noWrap/>
            <w:vAlign w:val="center"/>
            <w:hideMark/>
          </w:tcPr>
          <w:p w14:paraId="0928F21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584796,3</w:t>
            </w:r>
          </w:p>
        </w:tc>
        <w:tc>
          <w:tcPr>
            <w:tcW w:w="1770" w:type="dxa"/>
            <w:tcBorders>
              <w:top w:val="nil"/>
              <w:left w:val="nil"/>
              <w:bottom w:val="single" w:sz="4" w:space="0" w:color="auto"/>
              <w:right w:val="single" w:sz="4" w:space="0" w:color="auto"/>
            </w:tcBorders>
            <w:shd w:val="clear" w:color="auto" w:fill="auto"/>
            <w:noWrap/>
            <w:vAlign w:val="center"/>
            <w:hideMark/>
          </w:tcPr>
          <w:p w14:paraId="02DBB1E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-97 232 988,66</w:t>
            </w:r>
          </w:p>
        </w:tc>
        <w:tc>
          <w:tcPr>
            <w:tcW w:w="1618" w:type="dxa"/>
            <w:tcBorders>
              <w:top w:val="nil"/>
              <w:left w:val="nil"/>
              <w:bottom w:val="single" w:sz="4" w:space="0" w:color="auto"/>
              <w:right w:val="single" w:sz="4" w:space="0" w:color="auto"/>
            </w:tcBorders>
            <w:shd w:val="clear" w:color="auto" w:fill="auto"/>
            <w:noWrap/>
            <w:vAlign w:val="center"/>
            <w:hideMark/>
          </w:tcPr>
          <w:p w14:paraId="4143923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-4,7</w:t>
            </w:r>
          </w:p>
        </w:tc>
        <w:tc>
          <w:tcPr>
            <w:tcW w:w="1062" w:type="dxa"/>
            <w:tcBorders>
              <w:top w:val="nil"/>
              <w:left w:val="nil"/>
              <w:bottom w:val="single" w:sz="4" w:space="0" w:color="auto"/>
              <w:right w:val="single" w:sz="4" w:space="0" w:color="auto"/>
            </w:tcBorders>
            <w:shd w:val="clear" w:color="auto" w:fill="auto"/>
            <w:noWrap/>
            <w:vAlign w:val="center"/>
            <w:hideMark/>
          </w:tcPr>
          <w:p w14:paraId="584D893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3 370,00</w:t>
            </w:r>
          </w:p>
        </w:tc>
        <w:tc>
          <w:tcPr>
            <w:tcW w:w="1561" w:type="dxa"/>
            <w:tcBorders>
              <w:top w:val="nil"/>
              <w:left w:val="nil"/>
              <w:bottom w:val="single" w:sz="4" w:space="0" w:color="auto"/>
              <w:right w:val="single" w:sz="4" w:space="0" w:color="auto"/>
            </w:tcBorders>
            <w:shd w:val="clear" w:color="auto" w:fill="auto"/>
            <w:noWrap/>
            <w:vAlign w:val="center"/>
            <w:hideMark/>
          </w:tcPr>
          <w:p w14:paraId="31962B7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3 536,27</w:t>
            </w:r>
          </w:p>
        </w:tc>
      </w:tr>
      <w:tr w:rsidR="00905E1F" w:rsidRPr="00AC3806" w14:paraId="06843AD6"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00248F5"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Нижнедевицкий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42B5909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175</w:t>
            </w:r>
          </w:p>
        </w:tc>
        <w:tc>
          <w:tcPr>
            <w:tcW w:w="1868" w:type="dxa"/>
            <w:tcBorders>
              <w:top w:val="nil"/>
              <w:left w:val="nil"/>
              <w:bottom w:val="single" w:sz="4" w:space="0" w:color="auto"/>
              <w:right w:val="single" w:sz="4" w:space="0" w:color="auto"/>
            </w:tcBorders>
            <w:shd w:val="clear" w:color="auto" w:fill="auto"/>
            <w:noWrap/>
            <w:vAlign w:val="center"/>
            <w:hideMark/>
          </w:tcPr>
          <w:p w14:paraId="4A796D9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395 581 496,59</w:t>
            </w:r>
          </w:p>
        </w:tc>
        <w:tc>
          <w:tcPr>
            <w:tcW w:w="1984" w:type="dxa"/>
            <w:tcBorders>
              <w:top w:val="nil"/>
              <w:left w:val="nil"/>
              <w:bottom w:val="single" w:sz="4" w:space="0" w:color="auto"/>
              <w:right w:val="single" w:sz="4" w:space="0" w:color="auto"/>
            </w:tcBorders>
            <w:shd w:val="clear" w:color="auto" w:fill="auto"/>
            <w:noWrap/>
            <w:vAlign w:val="center"/>
            <w:hideMark/>
          </w:tcPr>
          <w:p w14:paraId="2F6E072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371 393 847,92</w:t>
            </w:r>
          </w:p>
        </w:tc>
        <w:tc>
          <w:tcPr>
            <w:tcW w:w="1418" w:type="dxa"/>
            <w:tcBorders>
              <w:top w:val="nil"/>
              <w:left w:val="nil"/>
              <w:bottom w:val="single" w:sz="4" w:space="0" w:color="auto"/>
              <w:right w:val="single" w:sz="4" w:space="0" w:color="auto"/>
            </w:tcBorders>
            <w:shd w:val="clear" w:color="auto" w:fill="auto"/>
            <w:noWrap/>
            <w:vAlign w:val="center"/>
            <w:hideMark/>
          </w:tcPr>
          <w:p w14:paraId="2B165AE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224395,6</w:t>
            </w:r>
          </w:p>
        </w:tc>
        <w:tc>
          <w:tcPr>
            <w:tcW w:w="1770" w:type="dxa"/>
            <w:tcBorders>
              <w:top w:val="nil"/>
              <w:left w:val="nil"/>
              <w:bottom w:val="single" w:sz="4" w:space="0" w:color="auto"/>
              <w:right w:val="single" w:sz="4" w:space="0" w:color="auto"/>
            </w:tcBorders>
            <w:shd w:val="clear" w:color="auto" w:fill="auto"/>
            <w:noWrap/>
            <w:vAlign w:val="center"/>
            <w:hideMark/>
          </w:tcPr>
          <w:p w14:paraId="13AB59E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24 187 648,67</w:t>
            </w:r>
          </w:p>
        </w:tc>
        <w:tc>
          <w:tcPr>
            <w:tcW w:w="1618" w:type="dxa"/>
            <w:tcBorders>
              <w:top w:val="nil"/>
              <w:left w:val="nil"/>
              <w:bottom w:val="single" w:sz="4" w:space="0" w:color="auto"/>
              <w:right w:val="single" w:sz="4" w:space="0" w:color="auto"/>
            </w:tcBorders>
            <w:shd w:val="clear" w:color="auto" w:fill="auto"/>
            <w:noWrap/>
            <w:vAlign w:val="center"/>
            <w:hideMark/>
          </w:tcPr>
          <w:p w14:paraId="2FA45C3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6,51</w:t>
            </w:r>
          </w:p>
        </w:tc>
        <w:tc>
          <w:tcPr>
            <w:tcW w:w="1062" w:type="dxa"/>
            <w:tcBorders>
              <w:top w:val="nil"/>
              <w:left w:val="nil"/>
              <w:bottom w:val="single" w:sz="4" w:space="0" w:color="auto"/>
              <w:right w:val="single" w:sz="4" w:space="0" w:color="auto"/>
            </w:tcBorders>
            <w:shd w:val="clear" w:color="auto" w:fill="auto"/>
            <w:noWrap/>
            <w:vAlign w:val="center"/>
            <w:hideMark/>
          </w:tcPr>
          <w:p w14:paraId="4F72826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1 762,88</w:t>
            </w:r>
          </w:p>
        </w:tc>
        <w:tc>
          <w:tcPr>
            <w:tcW w:w="1561" w:type="dxa"/>
            <w:tcBorders>
              <w:top w:val="nil"/>
              <w:left w:val="nil"/>
              <w:bottom w:val="single" w:sz="4" w:space="0" w:color="auto"/>
              <w:right w:val="single" w:sz="4" w:space="0" w:color="auto"/>
            </w:tcBorders>
            <w:shd w:val="clear" w:color="auto" w:fill="auto"/>
            <w:noWrap/>
            <w:vAlign w:val="center"/>
            <w:hideMark/>
          </w:tcPr>
          <w:p w14:paraId="7701436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1 655,09</w:t>
            </w:r>
          </w:p>
        </w:tc>
      </w:tr>
      <w:tr w:rsidR="00905E1F" w:rsidRPr="00AC3806" w14:paraId="7D708886"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9D1EB00"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Новоусманский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25312EE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644</w:t>
            </w:r>
          </w:p>
        </w:tc>
        <w:tc>
          <w:tcPr>
            <w:tcW w:w="1868" w:type="dxa"/>
            <w:tcBorders>
              <w:top w:val="nil"/>
              <w:left w:val="nil"/>
              <w:bottom w:val="single" w:sz="4" w:space="0" w:color="auto"/>
              <w:right w:val="single" w:sz="4" w:space="0" w:color="auto"/>
            </w:tcBorders>
            <w:shd w:val="clear" w:color="auto" w:fill="auto"/>
            <w:noWrap/>
            <w:vAlign w:val="center"/>
            <w:hideMark/>
          </w:tcPr>
          <w:p w14:paraId="6AE012F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4 546 636 803,07</w:t>
            </w:r>
          </w:p>
        </w:tc>
        <w:tc>
          <w:tcPr>
            <w:tcW w:w="1984" w:type="dxa"/>
            <w:tcBorders>
              <w:top w:val="nil"/>
              <w:left w:val="nil"/>
              <w:bottom w:val="single" w:sz="4" w:space="0" w:color="auto"/>
              <w:right w:val="single" w:sz="4" w:space="0" w:color="auto"/>
            </w:tcBorders>
            <w:shd w:val="clear" w:color="auto" w:fill="auto"/>
            <w:noWrap/>
            <w:vAlign w:val="center"/>
            <w:hideMark/>
          </w:tcPr>
          <w:p w14:paraId="3144E53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3 767 776 109,12</w:t>
            </w:r>
          </w:p>
        </w:tc>
        <w:tc>
          <w:tcPr>
            <w:tcW w:w="1418" w:type="dxa"/>
            <w:tcBorders>
              <w:top w:val="nil"/>
              <w:left w:val="nil"/>
              <w:bottom w:val="single" w:sz="4" w:space="0" w:color="auto"/>
              <w:right w:val="single" w:sz="4" w:space="0" w:color="auto"/>
            </w:tcBorders>
            <w:shd w:val="clear" w:color="auto" w:fill="auto"/>
            <w:noWrap/>
            <w:vAlign w:val="center"/>
            <w:hideMark/>
          </w:tcPr>
          <w:p w14:paraId="3B1AA4D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1626878,72</w:t>
            </w:r>
          </w:p>
        </w:tc>
        <w:tc>
          <w:tcPr>
            <w:tcW w:w="1770" w:type="dxa"/>
            <w:tcBorders>
              <w:top w:val="nil"/>
              <w:left w:val="nil"/>
              <w:bottom w:val="single" w:sz="4" w:space="0" w:color="auto"/>
              <w:right w:val="single" w:sz="4" w:space="0" w:color="auto"/>
            </w:tcBorders>
            <w:shd w:val="clear" w:color="auto" w:fill="auto"/>
            <w:noWrap/>
            <w:vAlign w:val="center"/>
            <w:hideMark/>
          </w:tcPr>
          <w:p w14:paraId="0832532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778 860 693,95</w:t>
            </w:r>
          </w:p>
        </w:tc>
        <w:tc>
          <w:tcPr>
            <w:tcW w:w="1618" w:type="dxa"/>
            <w:tcBorders>
              <w:top w:val="nil"/>
              <w:left w:val="nil"/>
              <w:bottom w:val="single" w:sz="4" w:space="0" w:color="auto"/>
              <w:right w:val="single" w:sz="4" w:space="0" w:color="auto"/>
            </w:tcBorders>
            <w:shd w:val="clear" w:color="auto" w:fill="auto"/>
            <w:noWrap/>
            <w:vAlign w:val="center"/>
            <w:hideMark/>
          </w:tcPr>
          <w:p w14:paraId="0DACB57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20,67</w:t>
            </w:r>
          </w:p>
        </w:tc>
        <w:tc>
          <w:tcPr>
            <w:tcW w:w="1062" w:type="dxa"/>
            <w:tcBorders>
              <w:top w:val="nil"/>
              <w:left w:val="nil"/>
              <w:bottom w:val="single" w:sz="4" w:space="0" w:color="auto"/>
              <w:right w:val="single" w:sz="4" w:space="0" w:color="auto"/>
            </w:tcBorders>
            <w:shd w:val="clear" w:color="auto" w:fill="auto"/>
            <w:noWrap/>
            <w:vAlign w:val="center"/>
            <w:hideMark/>
          </w:tcPr>
          <w:p w14:paraId="35BB70B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2 794,70</w:t>
            </w:r>
          </w:p>
        </w:tc>
        <w:tc>
          <w:tcPr>
            <w:tcW w:w="1561" w:type="dxa"/>
            <w:tcBorders>
              <w:top w:val="nil"/>
              <w:left w:val="nil"/>
              <w:bottom w:val="single" w:sz="4" w:space="0" w:color="auto"/>
              <w:right w:val="single" w:sz="4" w:space="0" w:color="auto"/>
            </w:tcBorders>
            <w:shd w:val="clear" w:color="auto" w:fill="auto"/>
            <w:noWrap/>
            <w:vAlign w:val="center"/>
            <w:hideMark/>
          </w:tcPr>
          <w:p w14:paraId="72DF594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2 315,95</w:t>
            </w:r>
          </w:p>
        </w:tc>
      </w:tr>
      <w:tr w:rsidR="00905E1F" w:rsidRPr="00AC3806" w14:paraId="73301563"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1328293"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Новохопёрский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69C8320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511</w:t>
            </w:r>
          </w:p>
        </w:tc>
        <w:tc>
          <w:tcPr>
            <w:tcW w:w="1868" w:type="dxa"/>
            <w:tcBorders>
              <w:top w:val="nil"/>
              <w:left w:val="nil"/>
              <w:bottom w:val="single" w:sz="4" w:space="0" w:color="auto"/>
              <w:right w:val="single" w:sz="4" w:space="0" w:color="auto"/>
            </w:tcBorders>
            <w:shd w:val="clear" w:color="auto" w:fill="auto"/>
            <w:noWrap/>
            <w:vAlign w:val="center"/>
            <w:hideMark/>
          </w:tcPr>
          <w:p w14:paraId="4033C3E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977 286 845,82</w:t>
            </w:r>
          </w:p>
        </w:tc>
        <w:tc>
          <w:tcPr>
            <w:tcW w:w="1984" w:type="dxa"/>
            <w:tcBorders>
              <w:top w:val="nil"/>
              <w:left w:val="nil"/>
              <w:bottom w:val="single" w:sz="4" w:space="0" w:color="auto"/>
              <w:right w:val="single" w:sz="4" w:space="0" w:color="auto"/>
            </w:tcBorders>
            <w:shd w:val="clear" w:color="auto" w:fill="auto"/>
            <w:noWrap/>
            <w:vAlign w:val="center"/>
            <w:hideMark/>
          </w:tcPr>
          <w:p w14:paraId="1CEE755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934 647 628,74</w:t>
            </w:r>
          </w:p>
        </w:tc>
        <w:tc>
          <w:tcPr>
            <w:tcW w:w="1418" w:type="dxa"/>
            <w:tcBorders>
              <w:top w:val="nil"/>
              <w:left w:val="nil"/>
              <w:bottom w:val="single" w:sz="4" w:space="0" w:color="auto"/>
              <w:right w:val="single" w:sz="4" w:space="0" w:color="auto"/>
            </w:tcBorders>
            <w:shd w:val="clear" w:color="auto" w:fill="auto"/>
            <w:noWrap/>
            <w:vAlign w:val="center"/>
            <w:hideMark/>
          </w:tcPr>
          <w:p w14:paraId="0317717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389912,35</w:t>
            </w:r>
          </w:p>
        </w:tc>
        <w:tc>
          <w:tcPr>
            <w:tcW w:w="1770" w:type="dxa"/>
            <w:tcBorders>
              <w:top w:val="nil"/>
              <w:left w:val="nil"/>
              <w:bottom w:val="single" w:sz="4" w:space="0" w:color="auto"/>
              <w:right w:val="single" w:sz="4" w:space="0" w:color="auto"/>
            </w:tcBorders>
            <w:shd w:val="clear" w:color="auto" w:fill="auto"/>
            <w:noWrap/>
            <w:vAlign w:val="center"/>
            <w:hideMark/>
          </w:tcPr>
          <w:p w14:paraId="35683E7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42 639 217,08</w:t>
            </w:r>
          </w:p>
        </w:tc>
        <w:tc>
          <w:tcPr>
            <w:tcW w:w="1618" w:type="dxa"/>
            <w:tcBorders>
              <w:top w:val="nil"/>
              <w:left w:val="nil"/>
              <w:bottom w:val="single" w:sz="4" w:space="0" w:color="auto"/>
              <w:right w:val="single" w:sz="4" w:space="0" w:color="auto"/>
            </w:tcBorders>
            <w:shd w:val="clear" w:color="auto" w:fill="auto"/>
            <w:noWrap/>
            <w:vAlign w:val="center"/>
            <w:hideMark/>
          </w:tcPr>
          <w:p w14:paraId="7B3228F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4,56</w:t>
            </w:r>
          </w:p>
        </w:tc>
        <w:tc>
          <w:tcPr>
            <w:tcW w:w="1062" w:type="dxa"/>
            <w:tcBorders>
              <w:top w:val="nil"/>
              <w:left w:val="nil"/>
              <w:bottom w:val="single" w:sz="4" w:space="0" w:color="auto"/>
              <w:right w:val="single" w:sz="4" w:space="0" w:color="auto"/>
            </w:tcBorders>
            <w:shd w:val="clear" w:color="auto" w:fill="auto"/>
            <w:noWrap/>
            <w:vAlign w:val="center"/>
            <w:hideMark/>
          </w:tcPr>
          <w:p w14:paraId="4E5A574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2 506,43</w:t>
            </w:r>
          </w:p>
        </w:tc>
        <w:tc>
          <w:tcPr>
            <w:tcW w:w="1561" w:type="dxa"/>
            <w:tcBorders>
              <w:top w:val="nil"/>
              <w:left w:val="nil"/>
              <w:bottom w:val="single" w:sz="4" w:space="0" w:color="auto"/>
              <w:right w:val="single" w:sz="4" w:space="0" w:color="auto"/>
            </w:tcBorders>
            <w:shd w:val="clear" w:color="auto" w:fill="auto"/>
            <w:noWrap/>
            <w:vAlign w:val="center"/>
            <w:hideMark/>
          </w:tcPr>
          <w:p w14:paraId="7AD25C6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2 397,07</w:t>
            </w:r>
          </w:p>
        </w:tc>
      </w:tr>
      <w:tr w:rsidR="00905E1F" w:rsidRPr="00AC3806" w14:paraId="7C6208C8"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6B170E0"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Ольховатский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3044093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245</w:t>
            </w:r>
          </w:p>
        </w:tc>
        <w:tc>
          <w:tcPr>
            <w:tcW w:w="1868" w:type="dxa"/>
            <w:tcBorders>
              <w:top w:val="nil"/>
              <w:left w:val="nil"/>
              <w:bottom w:val="single" w:sz="4" w:space="0" w:color="auto"/>
              <w:right w:val="single" w:sz="4" w:space="0" w:color="auto"/>
            </w:tcBorders>
            <w:shd w:val="clear" w:color="auto" w:fill="auto"/>
            <w:noWrap/>
            <w:vAlign w:val="center"/>
            <w:hideMark/>
          </w:tcPr>
          <w:p w14:paraId="3D22FDB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263 493 996,15</w:t>
            </w:r>
          </w:p>
        </w:tc>
        <w:tc>
          <w:tcPr>
            <w:tcW w:w="1984" w:type="dxa"/>
            <w:tcBorders>
              <w:top w:val="nil"/>
              <w:left w:val="nil"/>
              <w:bottom w:val="single" w:sz="4" w:space="0" w:color="auto"/>
              <w:right w:val="single" w:sz="4" w:space="0" w:color="auto"/>
            </w:tcBorders>
            <w:shd w:val="clear" w:color="auto" w:fill="auto"/>
            <w:noWrap/>
            <w:vAlign w:val="center"/>
            <w:hideMark/>
          </w:tcPr>
          <w:p w14:paraId="026B404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256 307 711,77</w:t>
            </w:r>
          </w:p>
        </w:tc>
        <w:tc>
          <w:tcPr>
            <w:tcW w:w="1418" w:type="dxa"/>
            <w:tcBorders>
              <w:top w:val="nil"/>
              <w:left w:val="nil"/>
              <w:bottom w:val="single" w:sz="4" w:space="0" w:color="auto"/>
              <w:right w:val="single" w:sz="4" w:space="0" w:color="auto"/>
            </w:tcBorders>
            <w:shd w:val="clear" w:color="auto" w:fill="auto"/>
            <w:noWrap/>
            <w:vAlign w:val="center"/>
            <w:hideMark/>
          </w:tcPr>
          <w:p w14:paraId="678E8B0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112572,24</w:t>
            </w:r>
          </w:p>
        </w:tc>
        <w:tc>
          <w:tcPr>
            <w:tcW w:w="1770" w:type="dxa"/>
            <w:tcBorders>
              <w:top w:val="nil"/>
              <w:left w:val="nil"/>
              <w:bottom w:val="single" w:sz="4" w:space="0" w:color="auto"/>
              <w:right w:val="single" w:sz="4" w:space="0" w:color="auto"/>
            </w:tcBorders>
            <w:shd w:val="clear" w:color="auto" w:fill="auto"/>
            <w:noWrap/>
            <w:vAlign w:val="center"/>
            <w:hideMark/>
          </w:tcPr>
          <w:p w14:paraId="6277BF0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7 186 284,38</w:t>
            </w:r>
          </w:p>
        </w:tc>
        <w:tc>
          <w:tcPr>
            <w:tcW w:w="1618" w:type="dxa"/>
            <w:tcBorders>
              <w:top w:val="nil"/>
              <w:left w:val="nil"/>
              <w:bottom w:val="single" w:sz="4" w:space="0" w:color="auto"/>
              <w:right w:val="single" w:sz="4" w:space="0" w:color="auto"/>
            </w:tcBorders>
            <w:shd w:val="clear" w:color="auto" w:fill="auto"/>
            <w:noWrap/>
            <w:vAlign w:val="center"/>
            <w:hideMark/>
          </w:tcPr>
          <w:p w14:paraId="26E8E86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2,8</w:t>
            </w:r>
          </w:p>
        </w:tc>
        <w:tc>
          <w:tcPr>
            <w:tcW w:w="1062" w:type="dxa"/>
            <w:tcBorders>
              <w:top w:val="nil"/>
              <w:left w:val="nil"/>
              <w:bottom w:val="single" w:sz="4" w:space="0" w:color="auto"/>
              <w:right w:val="single" w:sz="4" w:space="0" w:color="auto"/>
            </w:tcBorders>
            <w:shd w:val="clear" w:color="auto" w:fill="auto"/>
            <w:noWrap/>
            <w:vAlign w:val="center"/>
            <w:hideMark/>
          </w:tcPr>
          <w:p w14:paraId="5027B3D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2 340,67</w:t>
            </w:r>
          </w:p>
        </w:tc>
        <w:tc>
          <w:tcPr>
            <w:tcW w:w="1561" w:type="dxa"/>
            <w:tcBorders>
              <w:top w:val="nil"/>
              <w:left w:val="nil"/>
              <w:bottom w:val="single" w:sz="4" w:space="0" w:color="auto"/>
              <w:right w:val="single" w:sz="4" w:space="0" w:color="auto"/>
            </w:tcBorders>
            <w:shd w:val="clear" w:color="auto" w:fill="auto"/>
            <w:noWrap/>
            <w:vAlign w:val="center"/>
            <w:hideMark/>
          </w:tcPr>
          <w:p w14:paraId="1E2B40C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2 276,83</w:t>
            </w:r>
          </w:p>
        </w:tc>
      </w:tr>
      <w:tr w:rsidR="00905E1F" w:rsidRPr="00AC3806" w14:paraId="361326EA"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7F7DAB7"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Острогожский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5A8E744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490</w:t>
            </w:r>
          </w:p>
        </w:tc>
        <w:tc>
          <w:tcPr>
            <w:tcW w:w="1868" w:type="dxa"/>
            <w:tcBorders>
              <w:top w:val="nil"/>
              <w:left w:val="nil"/>
              <w:bottom w:val="single" w:sz="4" w:space="0" w:color="auto"/>
              <w:right w:val="single" w:sz="4" w:space="0" w:color="auto"/>
            </w:tcBorders>
            <w:shd w:val="clear" w:color="auto" w:fill="auto"/>
            <w:noWrap/>
            <w:vAlign w:val="center"/>
            <w:hideMark/>
          </w:tcPr>
          <w:p w14:paraId="260F7A7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1 242 342 903,01</w:t>
            </w:r>
          </w:p>
        </w:tc>
        <w:tc>
          <w:tcPr>
            <w:tcW w:w="1984" w:type="dxa"/>
            <w:tcBorders>
              <w:top w:val="nil"/>
              <w:left w:val="nil"/>
              <w:bottom w:val="single" w:sz="4" w:space="0" w:color="auto"/>
              <w:right w:val="single" w:sz="4" w:space="0" w:color="auto"/>
            </w:tcBorders>
            <w:shd w:val="clear" w:color="auto" w:fill="auto"/>
            <w:noWrap/>
            <w:vAlign w:val="center"/>
            <w:hideMark/>
          </w:tcPr>
          <w:p w14:paraId="3AD9392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1 027 109 284,30</w:t>
            </w:r>
          </w:p>
        </w:tc>
        <w:tc>
          <w:tcPr>
            <w:tcW w:w="1418" w:type="dxa"/>
            <w:tcBorders>
              <w:top w:val="nil"/>
              <w:left w:val="nil"/>
              <w:bottom w:val="single" w:sz="4" w:space="0" w:color="auto"/>
              <w:right w:val="single" w:sz="4" w:space="0" w:color="auto"/>
            </w:tcBorders>
            <w:shd w:val="clear" w:color="auto" w:fill="auto"/>
            <w:noWrap/>
            <w:vAlign w:val="center"/>
            <w:hideMark/>
          </w:tcPr>
          <w:p w14:paraId="3A72BA4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281453,39</w:t>
            </w:r>
          </w:p>
        </w:tc>
        <w:tc>
          <w:tcPr>
            <w:tcW w:w="1770" w:type="dxa"/>
            <w:tcBorders>
              <w:top w:val="nil"/>
              <w:left w:val="nil"/>
              <w:bottom w:val="single" w:sz="4" w:space="0" w:color="auto"/>
              <w:right w:val="single" w:sz="4" w:space="0" w:color="auto"/>
            </w:tcBorders>
            <w:shd w:val="clear" w:color="auto" w:fill="auto"/>
            <w:noWrap/>
            <w:vAlign w:val="center"/>
            <w:hideMark/>
          </w:tcPr>
          <w:p w14:paraId="5E6019B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215 233 618,71</w:t>
            </w:r>
          </w:p>
        </w:tc>
        <w:tc>
          <w:tcPr>
            <w:tcW w:w="1618" w:type="dxa"/>
            <w:tcBorders>
              <w:top w:val="nil"/>
              <w:left w:val="nil"/>
              <w:bottom w:val="single" w:sz="4" w:space="0" w:color="auto"/>
              <w:right w:val="single" w:sz="4" w:space="0" w:color="auto"/>
            </w:tcBorders>
            <w:shd w:val="clear" w:color="auto" w:fill="auto"/>
            <w:noWrap/>
            <w:vAlign w:val="center"/>
            <w:hideMark/>
          </w:tcPr>
          <w:p w14:paraId="27C773F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20,96</w:t>
            </w:r>
          </w:p>
        </w:tc>
        <w:tc>
          <w:tcPr>
            <w:tcW w:w="1062" w:type="dxa"/>
            <w:tcBorders>
              <w:top w:val="nil"/>
              <w:left w:val="nil"/>
              <w:bottom w:val="single" w:sz="4" w:space="0" w:color="auto"/>
              <w:right w:val="single" w:sz="4" w:space="0" w:color="auto"/>
            </w:tcBorders>
            <w:shd w:val="clear" w:color="auto" w:fill="auto"/>
            <w:noWrap/>
            <w:vAlign w:val="center"/>
            <w:hideMark/>
          </w:tcPr>
          <w:p w14:paraId="29B8DFE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4 414,03</w:t>
            </w:r>
          </w:p>
        </w:tc>
        <w:tc>
          <w:tcPr>
            <w:tcW w:w="1561" w:type="dxa"/>
            <w:tcBorders>
              <w:top w:val="nil"/>
              <w:left w:val="nil"/>
              <w:bottom w:val="single" w:sz="4" w:space="0" w:color="auto"/>
              <w:right w:val="single" w:sz="4" w:space="0" w:color="auto"/>
            </w:tcBorders>
            <w:shd w:val="clear" w:color="auto" w:fill="auto"/>
            <w:noWrap/>
            <w:vAlign w:val="center"/>
            <w:hideMark/>
          </w:tcPr>
          <w:p w14:paraId="3472E04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3 649,31</w:t>
            </w:r>
          </w:p>
        </w:tc>
      </w:tr>
      <w:tr w:rsidR="00905E1F" w:rsidRPr="00AC3806" w14:paraId="63814331"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7C8A30C"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Павловский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0723B42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574</w:t>
            </w:r>
          </w:p>
        </w:tc>
        <w:tc>
          <w:tcPr>
            <w:tcW w:w="1868" w:type="dxa"/>
            <w:tcBorders>
              <w:top w:val="nil"/>
              <w:left w:val="nil"/>
              <w:bottom w:val="single" w:sz="4" w:space="0" w:color="auto"/>
              <w:right w:val="single" w:sz="4" w:space="0" w:color="auto"/>
            </w:tcBorders>
            <w:shd w:val="clear" w:color="auto" w:fill="auto"/>
            <w:noWrap/>
            <w:vAlign w:val="center"/>
            <w:hideMark/>
          </w:tcPr>
          <w:p w14:paraId="7FC2861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1 645 399 471,79</w:t>
            </w:r>
          </w:p>
        </w:tc>
        <w:tc>
          <w:tcPr>
            <w:tcW w:w="1984" w:type="dxa"/>
            <w:tcBorders>
              <w:top w:val="nil"/>
              <w:left w:val="nil"/>
              <w:bottom w:val="single" w:sz="4" w:space="0" w:color="auto"/>
              <w:right w:val="single" w:sz="4" w:space="0" w:color="auto"/>
            </w:tcBorders>
            <w:shd w:val="clear" w:color="auto" w:fill="auto"/>
            <w:noWrap/>
            <w:vAlign w:val="center"/>
            <w:hideMark/>
          </w:tcPr>
          <w:p w14:paraId="649E34D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1 579 851 004,34</w:t>
            </w:r>
          </w:p>
        </w:tc>
        <w:tc>
          <w:tcPr>
            <w:tcW w:w="1418" w:type="dxa"/>
            <w:tcBorders>
              <w:top w:val="nil"/>
              <w:left w:val="nil"/>
              <w:bottom w:val="single" w:sz="4" w:space="0" w:color="auto"/>
              <w:right w:val="single" w:sz="4" w:space="0" w:color="auto"/>
            </w:tcBorders>
            <w:shd w:val="clear" w:color="auto" w:fill="auto"/>
            <w:noWrap/>
            <w:vAlign w:val="center"/>
            <w:hideMark/>
          </w:tcPr>
          <w:p w14:paraId="245DB68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554678,83</w:t>
            </w:r>
          </w:p>
        </w:tc>
        <w:tc>
          <w:tcPr>
            <w:tcW w:w="1770" w:type="dxa"/>
            <w:tcBorders>
              <w:top w:val="nil"/>
              <w:left w:val="nil"/>
              <w:bottom w:val="single" w:sz="4" w:space="0" w:color="auto"/>
              <w:right w:val="single" w:sz="4" w:space="0" w:color="auto"/>
            </w:tcBorders>
            <w:shd w:val="clear" w:color="auto" w:fill="auto"/>
            <w:noWrap/>
            <w:vAlign w:val="center"/>
            <w:hideMark/>
          </w:tcPr>
          <w:p w14:paraId="3A3143F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65 548 467,45</w:t>
            </w:r>
          </w:p>
        </w:tc>
        <w:tc>
          <w:tcPr>
            <w:tcW w:w="1618" w:type="dxa"/>
            <w:tcBorders>
              <w:top w:val="nil"/>
              <w:left w:val="nil"/>
              <w:bottom w:val="single" w:sz="4" w:space="0" w:color="auto"/>
              <w:right w:val="single" w:sz="4" w:space="0" w:color="auto"/>
            </w:tcBorders>
            <w:shd w:val="clear" w:color="auto" w:fill="auto"/>
            <w:noWrap/>
            <w:vAlign w:val="center"/>
            <w:hideMark/>
          </w:tcPr>
          <w:p w14:paraId="0F0A626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4,15</w:t>
            </w:r>
          </w:p>
        </w:tc>
        <w:tc>
          <w:tcPr>
            <w:tcW w:w="1062" w:type="dxa"/>
            <w:tcBorders>
              <w:top w:val="nil"/>
              <w:left w:val="nil"/>
              <w:bottom w:val="single" w:sz="4" w:space="0" w:color="auto"/>
              <w:right w:val="single" w:sz="4" w:space="0" w:color="auto"/>
            </w:tcBorders>
            <w:shd w:val="clear" w:color="auto" w:fill="auto"/>
            <w:noWrap/>
            <w:vAlign w:val="center"/>
            <w:hideMark/>
          </w:tcPr>
          <w:p w14:paraId="1C6D0DC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2 966,40</w:t>
            </w:r>
          </w:p>
        </w:tc>
        <w:tc>
          <w:tcPr>
            <w:tcW w:w="1561" w:type="dxa"/>
            <w:tcBorders>
              <w:top w:val="nil"/>
              <w:left w:val="nil"/>
              <w:bottom w:val="single" w:sz="4" w:space="0" w:color="auto"/>
              <w:right w:val="single" w:sz="4" w:space="0" w:color="auto"/>
            </w:tcBorders>
            <w:shd w:val="clear" w:color="auto" w:fill="auto"/>
            <w:noWrap/>
            <w:vAlign w:val="center"/>
            <w:hideMark/>
          </w:tcPr>
          <w:p w14:paraId="1EB6BD1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2 848,23</w:t>
            </w:r>
          </w:p>
        </w:tc>
      </w:tr>
      <w:tr w:rsidR="00905E1F" w:rsidRPr="00AC3806" w14:paraId="16148B84"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0FBAA34"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Панинский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01BD935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225</w:t>
            </w:r>
          </w:p>
        </w:tc>
        <w:tc>
          <w:tcPr>
            <w:tcW w:w="1868" w:type="dxa"/>
            <w:tcBorders>
              <w:top w:val="nil"/>
              <w:left w:val="nil"/>
              <w:bottom w:val="single" w:sz="4" w:space="0" w:color="auto"/>
              <w:right w:val="single" w:sz="4" w:space="0" w:color="auto"/>
            </w:tcBorders>
            <w:shd w:val="clear" w:color="auto" w:fill="auto"/>
            <w:noWrap/>
            <w:vAlign w:val="center"/>
            <w:hideMark/>
          </w:tcPr>
          <w:p w14:paraId="60C938C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494 346 473,15</w:t>
            </w:r>
          </w:p>
        </w:tc>
        <w:tc>
          <w:tcPr>
            <w:tcW w:w="1984" w:type="dxa"/>
            <w:tcBorders>
              <w:top w:val="nil"/>
              <w:left w:val="nil"/>
              <w:bottom w:val="single" w:sz="4" w:space="0" w:color="auto"/>
              <w:right w:val="single" w:sz="4" w:space="0" w:color="auto"/>
            </w:tcBorders>
            <w:shd w:val="clear" w:color="auto" w:fill="auto"/>
            <w:noWrap/>
            <w:vAlign w:val="center"/>
            <w:hideMark/>
          </w:tcPr>
          <w:p w14:paraId="2295216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498 734 348,09</w:t>
            </w:r>
          </w:p>
        </w:tc>
        <w:tc>
          <w:tcPr>
            <w:tcW w:w="1418" w:type="dxa"/>
            <w:tcBorders>
              <w:top w:val="nil"/>
              <w:left w:val="nil"/>
              <w:bottom w:val="single" w:sz="4" w:space="0" w:color="auto"/>
              <w:right w:val="single" w:sz="4" w:space="0" w:color="auto"/>
            </w:tcBorders>
            <w:shd w:val="clear" w:color="auto" w:fill="auto"/>
            <w:noWrap/>
            <w:vAlign w:val="center"/>
            <w:hideMark/>
          </w:tcPr>
          <w:p w14:paraId="4E2EA8A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167146,04</w:t>
            </w:r>
          </w:p>
        </w:tc>
        <w:tc>
          <w:tcPr>
            <w:tcW w:w="1770" w:type="dxa"/>
            <w:tcBorders>
              <w:top w:val="nil"/>
              <w:left w:val="nil"/>
              <w:bottom w:val="single" w:sz="4" w:space="0" w:color="auto"/>
              <w:right w:val="single" w:sz="4" w:space="0" w:color="auto"/>
            </w:tcBorders>
            <w:shd w:val="clear" w:color="auto" w:fill="auto"/>
            <w:noWrap/>
            <w:vAlign w:val="center"/>
            <w:hideMark/>
          </w:tcPr>
          <w:p w14:paraId="6F0A139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-4 387 874,94</w:t>
            </w:r>
          </w:p>
        </w:tc>
        <w:tc>
          <w:tcPr>
            <w:tcW w:w="1618" w:type="dxa"/>
            <w:tcBorders>
              <w:top w:val="nil"/>
              <w:left w:val="nil"/>
              <w:bottom w:val="single" w:sz="4" w:space="0" w:color="auto"/>
              <w:right w:val="single" w:sz="4" w:space="0" w:color="auto"/>
            </w:tcBorders>
            <w:shd w:val="clear" w:color="auto" w:fill="auto"/>
            <w:noWrap/>
            <w:vAlign w:val="center"/>
            <w:hideMark/>
          </w:tcPr>
          <w:p w14:paraId="709F90A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-0,88</w:t>
            </w:r>
          </w:p>
        </w:tc>
        <w:tc>
          <w:tcPr>
            <w:tcW w:w="1062" w:type="dxa"/>
            <w:tcBorders>
              <w:top w:val="nil"/>
              <w:left w:val="nil"/>
              <w:bottom w:val="single" w:sz="4" w:space="0" w:color="auto"/>
              <w:right w:val="single" w:sz="4" w:space="0" w:color="auto"/>
            </w:tcBorders>
            <w:shd w:val="clear" w:color="auto" w:fill="auto"/>
            <w:noWrap/>
            <w:vAlign w:val="center"/>
            <w:hideMark/>
          </w:tcPr>
          <w:p w14:paraId="347C509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2 957,57</w:t>
            </w:r>
          </w:p>
        </w:tc>
        <w:tc>
          <w:tcPr>
            <w:tcW w:w="1561" w:type="dxa"/>
            <w:tcBorders>
              <w:top w:val="nil"/>
              <w:left w:val="nil"/>
              <w:bottom w:val="single" w:sz="4" w:space="0" w:color="auto"/>
              <w:right w:val="single" w:sz="4" w:space="0" w:color="auto"/>
            </w:tcBorders>
            <w:shd w:val="clear" w:color="auto" w:fill="auto"/>
            <w:noWrap/>
            <w:vAlign w:val="center"/>
            <w:hideMark/>
          </w:tcPr>
          <w:p w14:paraId="202DBF6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2 983,82</w:t>
            </w:r>
          </w:p>
        </w:tc>
      </w:tr>
      <w:tr w:rsidR="00905E1F" w:rsidRPr="00AC3806" w14:paraId="5A77C548"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D390A2A"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Петропавловский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0047C47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195</w:t>
            </w:r>
          </w:p>
        </w:tc>
        <w:tc>
          <w:tcPr>
            <w:tcW w:w="1868" w:type="dxa"/>
            <w:tcBorders>
              <w:top w:val="nil"/>
              <w:left w:val="nil"/>
              <w:bottom w:val="single" w:sz="4" w:space="0" w:color="auto"/>
              <w:right w:val="single" w:sz="4" w:space="0" w:color="auto"/>
            </w:tcBorders>
            <w:shd w:val="clear" w:color="auto" w:fill="auto"/>
            <w:noWrap/>
            <w:vAlign w:val="center"/>
            <w:hideMark/>
          </w:tcPr>
          <w:p w14:paraId="5C49404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173 127 271,27</w:t>
            </w:r>
          </w:p>
        </w:tc>
        <w:tc>
          <w:tcPr>
            <w:tcW w:w="1984" w:type="dxa"/>
            <w:tcBorders>
              <w:top w:val="nil"/>
              <w:left w:val="nil"/>
              <w:bottom w:val="single" w:sz="4" w:space="0" w:color="auto"/>
              <w:right w:val="single" w:sz="4" w:space="0" w:color="auto"/>
            </w:tcBorders>
            <w:shd w:val="clear" w:color="auto" w:fill="auto"/>
            <w:noWrap/>
            <w:vAlign w:val="center"/>
            <w:hideMark/>
          </w:tcPr>
          <w:p w14:paraId="0133DA5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234 096 179,56</w:t>
            </w:r>
          </w:p>
        </w:tc>
        <w:tc>
          <w:tcPr>
            <w:tcW w:w="1418" w:type="dxa"/>
            <w:tcBorders>
              <w:top w:val="nil"/>
              <w:left w:val="nil"/>
              <w:bottom w:val="single" w:sz="4" w:space="0" w:color="auto"/>
              <w:right w:val="single" w:sz="4" w:space="0" w:color="auto"/>
            </w:tcBorders>
            <w:shd w:val="clear" w:color="auto" w:fill="auto"/>
            <w:noWrap/>
            <w:vAlign w:val="center"/>
            <w:hideMark/>
          </w:tcPr>
          <w:p w14:paraId="3D4BBE6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126539</w:t>
            </w:r>
          </w:p>
        </w:tc>
        <w:tc>
          <w:tcPr>
            <w:tcW w:w="1770" w:type="dxa"/>
            <w:tcBorders>
              <w:top w:val="nil"/>
              <w:left w:val="nil"/>
              <w:bottom w:val="single" w:sz="4" w:space="0" w:color="auto"/>
              <w:right w:val="single" w:sz="4" w:space="0" w:color="auto"/>
            </w:tcBorders>
            <w:shd w:val="clear" w:color="auto" w:fill="auto"/>
            <w:noWrap/>
            <w:vAlign w:val="center"/>
            <w:hideMark/>
          </w:tcPr>
          <w:p w14:paraId="1DD35E5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-60 968 908,29</w:t>
            </w:r>
          </w:p>
        </w:tc>
        <w:tc>
          <w:tcPr>
            <w:tcW w:w="1618" w:type="dxa"/>
            <w:tcBorders>
              <w:top w:val="nil"/>
              <w:left w:val="nil"/>
              <w:bottom w:val="single" w:sz="4" w:space="0" w:color="auto"/>
              <w:right w:val="single" w:sz="4" w:space="0" w:color="auto"/>
            </w:tcBorders>
            <w:shd w:val="clear" w:color="auto" w:fill="auto"/>
            <w:noWrap/>
            <w:vAlign w:val="center"/>
            <w:hideMark/>
          </w:tcPr>
          <w:p w14:paraId="50D7F3E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-26,04</w:t>
            </w:r>
          </w:p>
        </w:tc>
        <w:tc>
          <w:tcPr>
            <w:tcW w:w="1062" w:type="dxa"/>
            <w:tcBorders>
              <w:top w:val="nil"/>
              <w:left w:val="nil"/>
              <w:bottom w:val="single" w:sz="4" w:space="0" w:color="auto"/>
              <w:right w:val="single" w:sz="4" w:space="0" w:color="auto"/>
            </w:tcBorders>
            <w:shd w:val="clear" w:color="auto" w:fill="auto"/>
            <w:noWrap/>
            <w:vAlign w:val="center"/>
            <w:hideMark/>
          </w:tcPr>
          <w:p w14:paraId="07B4776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1 368,17</w:t>
            </w:r>
          </w:p>
        </w:tc>
        <w:tc>
          <w:tcPr>
            <w:tcW w:w="1561" w:type="dxa"/>
            <w:tcBorders>
              <w:top w:val="nil"/>
              <w:left w:val="nil"/>
              <w:bottom w:val="single" w:sz="4" w:space="0" w:color="auto"/>
              <w:right w:val="single" w:sz="4" w:space="0" w:color="auto"/>
            </w:tcBorders>
            <w:shd w:val="clear" w:color="auto" w:fill="auto"/>
            <w:noWrap/>
            <w:vAlign w:val="center"/>
            <w:hideMark/>
          </w:tcPr>
          <w:p w14:paraId="3156654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1 849,99</w:t>
            </w:r>
          </w:p>
        </w:tc>
      </w:tr>
      <w:tr w:rsidR="00905E1F" w:rsidRPr="00AC3806" w14:paraId="1AEC2E6E"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FD8445B"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Поворинский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66C331C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299</w:t>
            </w:r>
          </w:p>
        </w:tc>
        <w:tc>
          <w:tcPr>
            <w:tcW w:w="1868" w:type="dxa"/>
            <w:tcBorders>
              <w:top w:val="nil"/>
              <w:left w:val="nil"/>
              <w:bottom w:val="single" w:sz="4" w:space="0" w:color="auto"/>
              <w:right w:val="single" w:sz="4" w:space="0" w:color="auto"/>
            </w:tcBorders>
            <w:shd w:val="clear" w:color="auto" w:fill="auto"/>
            <w:noWrap/>
            <w:vAlign w:val="center"/>
            <w:hideMark/>
          </w:tcPr>
          <w:p w14:paraId="695A37A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556 926 822,04</w:t>
            </w:r>
          </w:p>
        </w:tc>
        <w:tc>
          <w:tcPr>
            <w:tcW w:w="1984" w:type="dxa"/>
            <w:tcBorders>
              <w:top w:val="nil"/>
              <w:left w:val="nil"/>
              <w:bottom w:val="single" w:sz="4" w:space="0" w:color="auto"/>
              <w:right w:val="single" w:sz="4" w:space="0" w:color="auto"/>
            </w:tcBorders>
            <w:shd w:val="clear" w:color="auto" w:fill="auto"/>
            <w:noWrap/>
            <w:vAlign w:val="center"/>
            <w:hideMark/>
          </w:tcPr>
          <w:p w14:paraId="4516B62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532 090 619,58</w:t>
            </w:r>
          </w:p>
        </w:tc>
        <w:tc>
          <w:tcPr>
            <w:tcW w:w="1418" w:type="dxa"/>
            <w:tcBorders>
              <w:top w:val="nil"/>
              <w:left w:val="nil"/>
              <w:bottom w:val="single" w:sz="4" w:space="0" w:color="auto"/>
              <w:right w:val="single" w:sz="4" w:space="0" w:color="auto"/>
            </w:tcBorders>
            <w:shd w:val="clear" w:color="auto" w:fill="auto"/>
            <w:noWrap/>
            <w:vAlign w:val="center"/>
            <w:hideMark/>
          </w:tcPr>
          <w:p w14:paraId="1356A28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152080,17</w:t>
            </w:r>
          </w:p>
        </w:tc>
        <w:tc>
          <w:tcPr>
            <w:tcW w:w="1770" w:type="dxa"/>
            <w:tcBorders>
              <w:top w:val="nil"/>
              <w:left w:val="nil"/>
              <w:bottom w:val="single" w:sz="4" w:space="0" w:color="auto"/>
              <w:right w:val="single" w:sz="4" w:space="0" w:color="auto"/>
            </w:tcBorders>
            <w:shd w:val="clear" w:color="auto" w:fill="auto"/>
            <w:noWrap/>
            <w:vAlign w:val="center"/>
            <w:hideMark/>
          </w:tcPr>
          <w:p w14:paraId="7DA5DCE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24 836 202,46</w:t>
            </w:r>
          </w:p>
        </w:tc>
        <w:tc>
          <w:tcPr>
            <w:tcW w:w="1618" w:type="dxa"/>
            <w:tcBorders>
              <w:top w:val="nil"/>
              <w:left w:val="nil"/>
              <w:bottom w:val="single" w:sz="4" w:space="0" w:color="auto"/>
              <w:right w:val="single" w:sz="4" w:space="0" w:color="auto"/>
            </w:tcBorders>
            <w:shd w:val="clear" w:color="auto" w:fill="auto"/>
            <w:noWrap/>
            <w:vAlign w:val="center"/>
            <w:hideMark/>
          </w:tcPr>
          <w:p w14:paraId="5F1844C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4,67</w:t>
            </w:r>
          </w:p>
        </w:tc>
        <w:tc>
          <w:tcPr>
            <w:tcW w:w="1062" w:type="dxa"/>
            <w:tcBorders>
              <w:top w:val="nil"/>
              <w:left w:val="nil"/>
              <w:bottom w:val="single" w:sz="4" w:space="0" w:color="auto"/>
              <w:right w:val="single" w:sz="4" w:space="0" w:color="auto"/>
            </w:tcBorders>
            <w:shd w:val="clear" w:color="auto" w:fill="auto"/>
            <w:noWrap/>
            <w:vAlign w:val="center"/>
            <w:hideMark/>
          </w:tcPr>
          <w:p w14:paraId="4114B0B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3 662,06</w:t>
            </w:r>
          </w:p>
        </w:tc>
        <w:tc>
          <w:tcPr>
            <w:tcW w:w="1561" w:type="dxa"/>
            <w:tcBorders>
              <w:top w:val="nil"/>
              <w:left w:val="nil"/>
              <w:bottom w:val="single" w:sz="4" w:space="0" w:color="auto"/>
              <w:right w:val="single" w:sz="4" w:space="0" w:color="auto"/>
            </w:tcBorders>
            <w:shd w:val="clear" w:color="auto" w:fill="auto"/>
            <w:noWrap/>
            <w:vAlign w:val="center"/>
            <w:hideMark/>
          </w:tcPr>
          <w:p w14:paraId="51CC051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3 498,75</w:t>
            </w:r>
          </w:p>
        </w:tc>
      </w:tr>
      <w:tr w:rsidR="00905E1F" w:rsidRPr="00AC3806" w14:paraId="24B715EC"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1BDFB17"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Подгоренский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205685F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242</w:t>
            </w:r>
          </w:p>
        </w:tc>
        <w:tc>
          <w:tcPr>
            <w:tcW w:w="1868" w:type="dxa"/>
            <w:tcBorders>
              <w:top w:val="nil"/>
              <w:left w:val="nil"/>
              <w:bottom w:val="single" w:sz="4" w:space="0" w:color="auto"/>
              <w:right w:val="single" w:sz="4" w:space="0" w:color="auto"/>
            </w:tcBorders>
            <w:shd w:val="clear" w:color="auto" w:fill="auto"/>
            <w:noWrap/>
            <w:vAlign w:val="center"/>
            <w:hideMark/>
          </w:tcPr>
          <w:p w14:paraId="325EEC4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270 329 717,04</w:t>
            </w:r>
          </w:p>
        </w:tc>
        <w:tc>
          <w:tcPr>
            <w:tcW w:w="1984" w:type="dxa"/>
            <w:tcBorders>
              <w:top w:val="nil"/>
              <w:left w:val="nil"/>
              <w:bottom w:val="single" w:sz="4" w:space="0" w:color="auto"/>
              <w:right w:val="single" w:sz="4" w:space="0" w:color="auto"/>
            </w:tcBorders>
            <w:shd w:val="clear" w:color="auto" w:fill="auto"/>
            <w:noWrap/>
            <w:vAlign w:val="center"/>
            <w:hideMark/>
          </w:tcPr>
          <w:p w14:paraId="7E9BA14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277 936 952,65</w:t>
            </w:r>
          </w:p>
        </w:tc>
        <w:tc>
          <w:tcPr>
            <w:tcW w:w="1418" w:type="dxa"/>
            <w:tcBorders>
              <w:top w:val="nil"/>
              <w:left w:val="nil"/>
              <w:bottom w:val="single" w:sz="4" w:space="0" w:color="auto"/>
              <w:right w:val="single" w:sz="4" w:space="0" w:color="auto"/>
            </w:tcBorders>
            <w:shd w:val="clear" w:color="auto" w:fill="auto"/>
            <w:noWrap/>
            <w:vAlign w:val="center"/>
            <w:hideMark/>
          </w:tcPr>
          <w:p w14:paraId="33863AA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201825,53</w:t>
            </w:r>
          </w:p>
        </w:tc>
        <w:tc>
          <w:tcPr>
            <w:tcW w:w="1770" w:type="dxa"/>
            <w:tcBorders>
              <w:top w:val="nil"/>
              <w:left w:val="nil"/>
              <w:bottom w:val="single" w:sz="4" w:space="0" w:color="auto"/>
              <w:right w:val="single" w:sz="4" w:space="0" w:color="auto"/>
            </w:tcBorders>
            <w:shd w:val="clear" w:color="auto" w:fill="auto"/>
            <w:noWrap/>
            <w:vAlign w:val="center"/>
            <w:hideMark/>
          </w:tcPr>
          <w:p w14:paraId="3F8575E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-7 607 235,61</w:t>
            </w:r>
          </w:p>
        </w:tc>
        <w:tc>
          <w:tcPr>
            <w:tcW w:w="1618" w:type="dxa"/>
            <w:tcBorders>
              <w:top w:val="nil"/>
              <w:left w:val="nil"/>
              <w:bottom w:val="single" w:sz="4" w:space="0" w:color="auto"/>
              <w:right w:val="single" w:sz="4" w:space="0" w:color="auto"/>
            </w:tcBorders>
            <w:shd w:val="clear" w:color="auto" w:fill="auto"/>
            <w:noWrap/>
            <w:vAlign w:val="center"/>
            <w:hideMark/>
          </w:tcPr>
          <w:p w14:paraId="7E0A140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-2,74</w:t>
            </w:r>
          </w:p>
        </w:tc>
        <w:tc>
          <w:tcPr>
            <w:tcW w:w="1062" w:type="dxa"/>
            <w:tcBorders>
              <w:top w:val="nil"/>
              <w:left w:val="nil"/>
              <w:bottom w:val="single" w:sz="4" w:space="0" w:color="auto"/>
              <w:right w:val="single" w:sz="4" w:space="0" w:color="auto"/>
            </w:tcBorders>
            <w:shd w:val="clear" w:color="auto" w:fill="auto"/>
            <w:noWrap/>
            <w:vAlign w:val="center"/>
            <w:hideMark/>
          </w:tcPr>
          <w:p w14:paraId="63B0732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1 339,42</w:t>
            </w:r>
          </w:p>
        </w:tc>
        <w:tc>
          <w:tcPr>
            <w:tcW w:w="1561" w:type="dxa"/>
            <w:tcBorders>
              <w:top w:val="nil"/>
              <w:left w:val="nil"/>
              <w:bottom w:val="single" w:sz="4" w:space="0" w:color="auto"/>
              <w:right w:val="single" w:sz="4" w:space="0" w:color="auto"/>
            </w:tcBorders>
            <w:shd w:val="clear" w:color="auto" w:fill="auto"/>
            <w:noWrap/>
            <w:vAlign w:val="center"/>
            <w:hideMark/>
          </w:tcPr>
          <w:p w14:paraId="033F0BD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1 377,11</w:t>
            </w:r>
          </w:p>
        </w:tc>
      </w:tr>
      <w:tr w:rsidR="00905E1F" w:rsidRPr="00AC3806" w14:paraId="0A950C9A"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ED0C326"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Рамонский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49DB4D1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419</w:t>
            </w:r>
          </w:p>
        </w:tc>
        <w:tc>
          <w:tcPr>
            <w:tcW w:w="1868" w:type="dxa"/>
            <w:tcBorders>
              <w:top w:val="nil"/>
              <w:left w:val="nil"/>
              <w:bottom w:val="single" w:sz="4" w:space="0" w:color="auto"/>
              <w:right w:val="single" w:sz="4" w:space="0" w:color="auto"/>
            </w:tcBorders>
            <w:shd w:val="clear" w:color="auto" w:fill="auto"/>
            <w:noWrap/>
            <w:vAlign w:val="center"/>
            <w:hideMark/>
          </w:tcPr>
          <w:p w14:paraId="7D284AD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2 589 955 695,80</w:t>
            </w:r>
          </w:p>
        </w:tc>
        <w:tc>
          <w:tcPr>
            <w:tcW w:w="1984" w:type="dxa"/>
            <w:tcBorders>
              <w:top w:val="nil"/>
              <w:left w:val="nil"/>
              <w:bottom w:val="single" w:sz="4" w:space="0" w:color="auto"/>
              <w:right w:val="single" w:sz="4" w:space="0" w:color="auto"/>
            </w:tcBorders>
            <w:shd w:val="clear" w:color="auto" w:fill="auto"/>
            <w:noWrap/>
            <w:vAlign w:val="center"/>
            <w:hideMark/>
          </w:tcPr>
          <w:p w14:paraId="0DCCB0E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2 629 322 760,51</w:t>
            </w:r>
          </w:p>
        </w:tc>
        <w:tc>
          <w:tcPr>
            <w:tcW w:w="1418" w:type="dxa"/>
            <w:tcBorders>
              <w:top w:val="nil"/>
              <w:left w:val="nil"/>
              <w:bottom w:val="single" w:sz="4" w:space="0" w:color="auto"/>
              <w:right w:val="single" w:sz="4" w:space="0" w:color="auto"/>
            </w:tcBorders>
            <w:shd w:val="clear" w:color="auto" w:fill="auto"/>
            <w:noWrap/>
            <w:vAlign w:val="center"/>
            <w:hideMark/>
          </w:tcPr>
          <w:p w14:paraId="00ABD68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1483688,96</w:t>
            </w:r>
          </w:p>
        </w:tc>
        <w:tc>
          <w:tcPr>
            <w:tcW w:w="1770" w:type="dxa"/>
            <w:tcBorders>
              <w:top w:val="nil"/>
              <w:left w:val="nil"/>
              <w:bottom w:val="single" w:sz="4" w:space="0" w:color="auto"/>
              <w:right w:val="single" w:sz="4" w:space="0" w:color="auto"/>
            </w:tcBorders>
            <w:shd w:val="clear" w:color="auto" w:fill="auto"/>
            <w:noWrap/>
            <w:vAlign w:val="center"/>
            <w:hideMark/>
          </w:tcPr>
          <w:p w14:paraId="5B50D00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-39 367 064,71</w:t>
            </w:r>
          </w:p>
        </w:tc>
        <w:tc>
          <w:tcPr>
            <w:tcW w:w="1618" w:type="dxa"/>
            <w:tcBorders>
              <w:top w:val="nil"/>
              <w:left w:val="nil"/>
              <w:bottom w:val="single" w:sz="4" w:space="0" w:color="auto"/>
              <w:right w:val="single" w:sz="4" w:space="0" w:color="auto"/>
            </w:tcBorders>
            <w:shd w:val="clear" w:color="auto" w:fill="auto"/>
            <w:noWrap/>
            <w:vAlign w:val="center"/>
            <w:hideMark/>
          </w:tcPr>
          <w:p w14:paraId="4648989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-1,5</w:t>
            </w:r>
          </w:p>
        </w:tc>
        <w:tc>
          <w:tcPr>
            <w:tcW w:w="1062" w:type="dxa"/>
            <w:tcBorders>
              <w:top w:val="nil"/>
              <w:left w:val="nil"/>
              <w:bottom w:val="single" w:sz="4" w:space="0" w:color="auto"/>
              <w:right w:val="single" w:sz="4" w:space="0" w:color="auto"/>
            </w:tcBorders>
            <w:shd w:val="clear" w:color="auto" w:fill="auto"/>
            <w:noWrap/>
            <w:vAlign w:val="center"/>
            <w:hideMark/>
          </w:tcPr>
          <w:p w14:paraId="6A12E98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1 745,62</w:t>
            </w:r>
          </w:p>
        </w:tc>
        <w:tc>
          <w:tcPr>
            <w:tcW w:w="1561" w:type="dxa"/>
            <w:tcBorders>
              <w:top w:val="nil"/>
              <w:left w:val="nil"/>
              <w:bottom w:val="single" w:sz="4" w:space="0" w:color="auto"/>
              <w:right w:val="single" w:sz="4" w:space="0" w:color="auto"/>
            </w:tcBorders>
            <w:shd w:val="clear" w:color="auto" w:fill="auto"/>
            <w:noWrap/>
            <w:vAlign w:val="center"/>
            <w:hideMark/>
          </w:tcPr>
          <w:p w14:paraId="729649A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1 772,15</w:t>
            </w:r>
          </w:p>
        </w:tc>
      </w:tr>
      <w:tr w:rsidR="00905E1F" w:rsidRPr="00AC3806" w14:paraId="60363311"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3111D94"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Репьёвский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12A881F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149</w:t>
            </w:r>
          </w:p>
        </w:tc>
        <w:tc>
          <w:tcPr>
            <w:tcW w:w="1868" w:type="dxa"/>
            <w:tcBorders>
              <w:top w:val="nil"/>
              <w:left w:val="nil"/>
              <w:bottom w:val="single" w:sz="4" w:space="0" w:color="auto"/>
              <w:right w:val="single" w:sz="4" w:space="0" w:color="auto"/>
            </w:tcBorders>
            <w:shd w:val="clear" w:color="auto" w:fill="auto"/>
            <w:noWrap/>
            <w:vAlign w:val="center"/>
            <w:hideMark/>
          </w:tcPr>
          <w:p w14:paraId="658FD53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155 660 661,48</w:t>
            </w:r>
          </w:p>
        </w:tc>
        <w:tc>
          <w:tcPr>
            <w:tcW w:w="1984" w:type="dxa"/>
            <w:tcBorders>
              <w:top w:val="nil"/>
              <w:left w:val="nil"/>
              <w:bottom w:val="single" w:sz="4" w:space="0" w:color="auto"/>
              <w:right w:val="single" w:sz="4" w:space="0" w:color="auto"/>
            </w:tcBorders>
            <w:shd w:val="clear" w:color="auto" w:fill="auto"/>
            <w:noWrap/>
            <w:vAlign w:val="center"/>
            <w:hideMark/>
          </w:tcPr>
          <w:p w14:paraId="59F2DCE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181 941 370,14</w:t>
            </w:r>
          </w:p>
        </w:tc>
        <w:tc>
          <w:tcPr>
            <w:tcW w:w="1418" w:type="dxa"/>
            <w:tcBorders>
              <w:top w:val="nil"/>
              <w:left w:val="nil"/>
              <w:bottom w:val="single" w:sz="4" w:space="0" w:color="auto"/>
              <w:right w:val="single" w:sz="4" w:space="0" w:color="auto"/>
            </w:tcBorders>
            <w:shd w:val="clear" w:color="auto" w:fill="auto"/>
            <w:noWrap/>
            <w:vAlign w:val="center"/>
            <w:hideMark/>
          </w:tcPr>
          <w:p w14:paraId="55110F1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83994,94</w:t>
            </w:r>
          </w:p>
        </w:tc>
        <w:tc>
          <w:tcPr>
            <w:tcW w:w="1770" w:type="dxa"/>
            <w:tcBorders>
              <w:top w:val="nil"/>
              <w:left w:val="nil"/>
              <w:bottom w:val="single" w:sz="4" w:space="0" w:color="auto"/>
              <w:right w:val="single" w:sz="4" w:space="0" w:color="auto"/>
            </w:tcBorders>
            <w:shd w:val="clear" w:color="auto" w:fill="auto"/>
            <w:noWrap/>
            <w:vAlign w:val="center"/>
            <w:hideMark/>
          </w:tcPr>
          <w:p w14:paraId="0A7CAD4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-26 280 708,66</w:t>
            </w:r>
          </w:p>
        </w:tc>
        <w:tc>
          <w:tcPr>
            <w:tcW w:w="1618" w:type="dxa"/>
            <w:tcBorders>
              <w:top w:val="nil"/>
              <w:left w:val="nil"/>
              <w:bottom w:val="single" w:sz="4" w:space="0" w:color="auto"/>
              <w:right w:val="single" w:sz="4" w:space="0" w:color="auto"/>
            </w:tcBorders>
            <w:shd w:val="clear" w:color="auto" w:fill="auto"/>
            <w:noWrap/>
            <w:vAlign w:val="center"/>
            <w:hideMark/>
          </w:tcPr>
          <w:p w14:paraId="6C10B1B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-14,44</w:t>
            </w:r>
          </w:p>
        </w:tc>
        <w:tc>
          <w:tcPr>
            <w:tcW w:w="1062" w:type="dxa"/>
            <w:tcBorders>
              <w:top w:val="nil"/>
              <w:left w:val="nil"/>
              <w:bottom w:val="single" w:sz="4" w:space="0" w:color="auto"/>
              <w:right w:val="single" w:sz="4" w:space="0" w:color="auto"/>
            </w:tcBorders>
            <w:shd w:val="clear" w:color="auto" w:fill="auto"/>
            <w:noWrap/>
            <w:vAlign w:val="center"/>
            <w:hideMark/>
          </w:tcPr>
          <w:p w14:paraId="577FB94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1 853,21</w:t>
            </w:r>
          </w:p>
        </w:tc>
        <w:tc>
          <w:tcPr>
            <w:tcW w:w="1561" w:type="dxa"/>
            <w:tcBorders>
              <w:top w:val="nil"/>
              <w:left w:val="nil"/>
              <w:bottom w:val="single" w:sz="4" w:space="0" w:color="auto"/>
              <w:right w:val="single" w:sz="4" w:space="0" w:color="auto"/>
            </w:tcBorders>
            <w:shd w:val="clear" w:color="auto" w:fill="auto"/>
            <w:noWrap/>
            <w:vAlign w:val="center"/>
            <w:hideMark/>
          </w:tcPr>
          <w:p w14:paraId="59F3274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2 166,10</w:t>
            </w:r>
          </w:p>
        </w:tc>
      </w:tr>
      <w:tr w:rsidR="00905E1F" w:rsidRPr="00AC3806" w14:paraId="619BB8B8"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A520B70"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Россошанский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588D8F9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711</w:t>
            </w:r>
          </w:p>
        </w:tc>
        <w:tc>
          <w:tcPr>
            <w:tcW w:w="1868" w:type="dxa"/>
            <w:tcBorders>
              <w:top w:val="nil"/>
              <w:left w:val="nil"/>
              <w:bottom w:val="single" w:sz="4" w:space="0" w:color="auto"/>
              <w:right w:val="single" w:sz="4" w:space="0" w:color="auto"/>
            </w:tcBorders>
            <w:shd w:val="clear" w:color="auto" w:fill="auto"/>
            <w:noWrap/>
            <w:vAlign w:val="center"/>
            <w:hideMark/>
          </w:tcPr>
          <w:p w14:paraId="49CB88A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1 936 597 899,51</w:t>
            </w:r>
          </w:p>
        </w:tc>
        <w:tc>
          <w:tcPr>
            <w:tcW w:w="1984" w:type="dxa"/>
            <w:tcBorders>
              <w:top w:val="nil"/>
              <w:left w:val="nil"/>
              <w:bottom w:val="single" w:sz="4" w:space="0" w:color="auto"/>
              <w:right w:val="single" w:sz="4" w:space="0" w:color="auto"/>
            </w:tcBorders>
            <w:shd w:val="clear" w:color="auto" w:fill="auto"/>
            <w:noWrap/>
            <w:vAlign w:val="center"/>
            <w:hideMark/>
          </w:tcPr>
          <w:p w14:paraId="20452F0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1 621 541 536,53</w:t>
            </w:r>
          </w:p>
        </w:tc>
        <w:tc>
          <w:tcPr>
            <w:tcW w:w="1418" w:type="dxa"/>
            <w:tcBorders>
              <w:top w:val="nil"/>
              <w:left w:val="nil"/>
              <w:bottom w:val="single" w:sz="4" w:space="0" w:color="auto"/>
              <w:right w:val="single" w:sz="4" w:space="0" w:color="auto"/>
            </w:tcBorders>
            <w:shd w:val="clear" w:color="auto" w:fill="auto"/>
            <w:noWrap/>
            <w:vAlign w:val="center"/>
            <w:hideMark/>
          </w:tcPr>
          <w:p w14:paraId="1928FAC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516463,1</w:t>
            </w:r>
          </w:p>
        </w:tc>
        <w:tc>
          <w:tcPr>
            <w:tcW w:w="1770" w:type="dxa"/>
            <w:tcBorders>
              <w:top w:val="nil"/>
              <w:left w:val="nil"/>
              <w:bottom w:val="single" w:sz="4" w:space="0" w:color="auto"/>
              <w:right w:val="single" w:sz="4" w:space="0" w:color="auto"/>
            </w:tcBorders>
            <w:shd w:val="clear" w:color="auto" w:fill="auto"/>
            <w:noWrap/>
            <w:vAlign w:val="center"/>
            <w:hideMark/>
          </w:tcPr>
          <w:p w14:paraId="54296DB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315 056 362,98</w:t>
            </w:r>
          </w:p>
        </w:tc>
        <w:tc>
          <w:tcPr>
            <w:tcW w:w="1618" w:type="dxa"/>
            <w:tcBorders>
              <w:top w:val="nil"/>
              <w:left w:val="nil"/>
              <w:bottom w:val="single" w:sz="4" w:space="0" w:color="auto"/>
              <w:right w:val="single" w:sz="4" w:space="0" w:color="auto"/>
            </w:tcBorders>
            <w:shd w:val="clear" w:color="auto" w:fill="auto"/>
            <w:noWrap/>
            <w:vAlign w:val="center"/>
            <w:hideMark/>
          </w:tcPr>
          <w:p w14:paraId="54632C5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19,43</w:t>
            </w:r>
          </w:p>
        </w:tc>
        <w:tc>
          <w:tcPr>
            <w:tcW w:w="1062" w:type="dxa"/>
            <w:tcBorders>
              <w:top w:val="nil"/>
              <w:left w:val="nil"/>
              <w:bottom w:val="single" w:sz="4" w:space="0" w:color="auto"/>
              <w:right w:val="single" w:sz="4" w:space="0" w:color="auto"/>
            </w:tcBorders>
            <w:shd w:val="clear" w:color="auto" w:fill="auto"/>
            <w:noWrap/>
            <w:vAlign w:val="center"/>
            <w:hideMark/>
          </w:tcPr>
          <w:p w14:paraId="7BA9198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3 749,73</w:t>
            </w:r>
          </w:p>
        </w:tc>
        <w:tc>
          <w:tcPr>
            <w:tcW w:w="1561" w:type="dxa"/>
            <w:tcBorders>
              <w:top w:val="nil"/>
              <w:left w:val="nil"/>
              <w:bottom w:val="single" w:sz="4" w:space="0" w:color="auto"/>
              <w:right w:val="single" w:sz="4" w:space="0" w:color="auto"/>
            </w:tcBorders>
            <w:shd w:val="clear" w:color="auto" w:fill="auto"/>
            <w:noWrap/>
            <w:vAlign w:val="center"/>
            <w:hideMark/>
          </w:tcPr>
          <w:p w14:paraId="2144A5D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3 139,70</w:t>
            </w:r>
          </w:p>
        </w:tc>
      </w:tr>
      <w:tr w:rsidR="00905E1F" w:rsidRPr="00AC3806" w14:paraId="434CAEFF"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E0A55D8"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Семилукский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5D8C01A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433</w:t>
            </w:r>
          </w:p>
        </w:tc>
        <w:tc>
          <w:tcPr>
            <w:tcW w:w="1868" w:type="dxa"/>
            <w:tcBorders>
              <w:top w:val="nil"/>
              <w:left w:val="nil"/>
              <w:bottom w:val="single" w:sz="4" w:space="0" w:color="auto"/>
              <w:right w:val="single" w:sz="4" w:space="0" w:color="auto"/>
            </w:tcBorders>
            <w:shd w:val="clear" w:color="auto" w:fill="auto"/>
            <w:noWrap/>
            <w:vAlign w:val="center"/>
            <w:hideMark/>
          </w:tcPr>
          <w:p w14:paraId="5F27663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2 382 418 103,58</w:t>
            </w:r>
          </w:p>
        </w:tc>
        <w:tc>
          <w:tcPr>
            <w:tcW w:w="1984" w:type="dxa"/>
            <w:tcBorders>
              <w:top w:val="nil"/>
              <w:left w:val="nil"/>
              <w:bottom w:val="single" w:sz="4" w:space="0" w:color="auto"/>
              <w:right w:val="single" w:sz="4" w:space="0" w:color="auto"/>
            </w:tcBorders>
            <w:shd w:val="clear" w:color="auto" w:fill="auto"/>
            <w:noWrap/>
            <w:vAlign w:val="center"/>
            <w:hideMark/>
          </w:tcPr>
          <w:p w14:paraId="058A097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1 730 299 621,79</w:t>
            </w:r>
          </w:p>
        </w:tc>
        <w:tc>
          <w:tcPr>
            <w:tcW w:w="1418" w:type="dxa"/>
            <w:tcBorders>
              <w:top w:val="nil"/>
              <w:left w:val="nil"/>
              <w:bottom w:val="single" w:sz="4" w:space="0" w:color="auto"/>
              <w:right w:val="single" w:sz="4" w:space="0" w:color="auto"/>
            </w:tcBorders>
            <w:shd w:val="clear" w:color="auto" w:fill="auto"/>
            <w:noWrap/>
            <w:vAlign w:val="center"/>
            <w:hideMark/>
          </w:tcPr>
          <w:p w14:paraId="1B99721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1689818,8</w:t>
            </w:r>
          </w:p>
        </w:tc>
        <w:tc>
          <w:tcPr>
            <w:tcW w:w="1770" w:type="dxa"/>
            <w:tcBorders>
              <w:top w:val="nil"/>
              <w:left w:val="nil"/>
              <w:bottom w:val="single" w:sz="4" w:space="0" w:color="auto"/>
              <w:right w:val="single" w:sz="4" w:space="0" w:color="auto"/>
            </w:tcBorders>
            <w:shd w:val="clear" w:color="auto" w:fill="auto"/>
            <w:noWrap/>
            <w:vAlign w:val="center"/>
            <w:hideMark/>
          </w:tcPr>
          <w:p w14:paraId="68B9E89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652 118 481,79</w:t>
            </w:r>
          </w:p>
        </w:tc>
        <w:tc>
          <w:tcPr>
            <w:tcW w:w="1618" w:type="dxa"/>
            <w:tcBorders>
              <w:top w:val="nil"/>
              <w:left w:val="nil"/>
              <w:bottom w:val="single" w:sz="4" w:space="0" w:color="auto"/>
              <w:right w:val="single" w:sz="4" w:space="0" w:color="auto"/>
            </w:tcBorders>
            <w:shd w:val="clear" w:color="auto" w:fill="auto"/>
            <w:noWrap/>
            <w:vAlign w:val="center"/>
            <w:hideMark/>
          </w:tcPr>
          <w:p w14:paraId="3F1CD0B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37,69</w:t>
            </w:r>
          </w:p>
        </w:tc>
        <w:tc>
          <w:tcPr>
            <w:tcW w:w="1062" w:type="dxa"/>
            <w:tcBorders>
              <w:top w:val="nil"/>
              <w:left w:val="nil"/>
              <w:bottom w:val="single" w:sz="4" w:space="0" w:color="auto"/>
              <w:right w:val="single" w:sz="4" w:space="0" w:color="auto"/>
            </w:tcBorders>
            <w:shd w:val="clear" w:color="auto" w:fill="auto"/>
            <w:noWrap/>
            <w:vAlign w:val="center"/>
            <w:hideMark/>
          </w:tcPr>
          <w:p w14:paraId="4F7F802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1 409,87</w:t>
            </w:r>
          </w:p>
        </w:tc>
        <w:tc>
          <w:tcPr>
            <w:tcW w:w="1561" w:type="dxa"/>
            <w:tcBorders>
              <w:top w:val="nil"/>
              <w:left w:val="nil"/>
              <w:bottom w:val="single" w:sz="4" w:space="0" w:color="auto"/>
              <w:right w:val="single" w:sz="4" w:space="0" w:color="auto"/>
            </w:tcBorders>
            <w:shd w:val="clear" w:color="auto" w:fill="auto"/>
            <w:noWrap/>
            <w:vAlign w:val="center"/>
            <w:hideMark/>
          </w:tcPr>
          <w:p w14:paraId="69642E2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1 023,96</w:t>
            </w:r>
          </w:p>
        </w:tc>
      </w:tr>
      <w:tr w:rsidR="00905E1F" w:rsidRPr="00AC3806" w14:paraId="43DBCD62"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FE23205"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Таловский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53A5CB4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378</w:t>
            </w:r>
          </w:p>
        </w:tc>
        <w:tc>
          <w:tcPr>
            <w:tcW w:w="1868" w:type="dxa"/>
            <w:tcBorders>
              <w:top w:val="nil"/>
              <w:left w:val="nil"/>
              <w:bottom w:val="single" w:sz="4" w:space="0" w:color="auto"/>
              <w:right w:val="single" w:sz="4" w:space="0" w:color="auto"/>
            </w:tcBorders>
            <w:shd w:val="clear" w:color="auto" w:fill="auto"/>
            <w:noWrap/>
            <w:vAlign w:val="center"/>
            <w:hideMark/>
          </w:tcPr>
          <w:p w14:paraId="1A75089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974 182 244,68</w:t>
            </w:r>
          </w:p>
        </w:tc>
        <w:tc>
          <w:tcPr>
            <w:tcW w:w="1984" w:type="dxa"/>
            <w:tcBorders>
              <w:top w:val="nil"/>
              <w:left w:val="nil"/>
              <w:bottom w:val="single" w:sz="4" w:space="0" w:color="auto"/>
              <w:right w:val="single" w:sz="4" w:space="0" w:color="auto"/>
            </w:tcBorders>
            <w:shd w:val="clear" w:color="auto" w:fill="auto"/>
            <w:noWrap/>
            <w:vAlign w:val="center"/>
            <w:hideMark/>
          </w:tcPr>
          <w:p w14:paraId="16D7448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970 691 112,30</w:t>
            </w:r>
          </w:p>
        </w:tc>
        <w:tc>
          <w:tcPr>
            <w:tcW w:w="1418" w:type="dxa"/>
            <w:tcBorders>
              <w:top w:val="nil"/>
              <w:left w:val="nil"/>
              <w:bottom w:val="single" w:sz="4" w:space="0" w:color="auto"/>
              <w:right w:val="single" w:sz="4" w:space="0" w:color="auto"/>
            </w:tcBorders>
            <w:shd w:val="clear" w:color="auto" w:fill="auto"/>
            <w:noWrap/>
            <w:vAlign w:val="center"/>
            <w:hideMark/>
          </w:tcPr>
          <w:p w14:paraId="5B6BAC7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438564,7</w:t>
            </w:r>
          </w:p>
        </w:tc>
        <w:tc>
          <w:tcPr>
            <w:tcW w:w="1770" w:type="dxa"/>
            <w:tcBorders>
              <w:top w:val="nil"/>
              <w:left w:val="nil"/>
              <w:bottom w:val="single" w:sz="4" w:space="0" w:color="auto"/>
              <w:right w:val="single" w:sz="4" w:space="0" w:color="auto"/>
            </w:tcBorders>
            <w:shd w:val="clear" w:color="auto" w:fill="auto"/>
            <w:noWrap/>
            <w:vAlign w:val="center"/>
            <w:hideMark/>
          </w:tcPr>
          <w:p w14:paraId="4CC3C2B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3 491 132,38</w:t>
            </w:r>
          </w:p>
        </w:tc>
        <w:tc>
          <w:tcPr>
            <w:tcW w:w="1618" w:type="dxa"/>
            <w:tcBorders>
              <w:top w:val="nil"/>
              <w:left w:val="nil"/>
              <w:bottom w:val="single" w:sz="4" w:space="0" w:color="auto"/>
              <w:right w:val="single" w:sz="4" w:space="0" w:color="auto"/>
            </w:tcBorders>
            <w:shd w:val="clear" w:color="auto" w:fill="auto"/>
            <w:noWrap/>
            <w:vAlign w:val="center"/>
            <w:hideMark/>
          </w:tcPr>
          <w:p w14:paraId="0D10F75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0,36</w:t>
            </w:r>
          </w:p>
        </w:tc>
        <w:tc>
          <w:tcPr>
            <w:tcW w:w="1062" w:type="dxa"/>
            <w:tcBorders>
              <w:top w:val="nil"/>
              <w:left w:val="nil"/>
              <w:bottom w:val="single" w:sz="4" w:space="0" w:color="auto"/>
              <w:right w:val="single" w:sz="4" w:space="0" w:color="auto"/>
            </w:tcBorders>
            <w:shd w:val="clear" w:color="auto" w:fill="auto"/>
            <w:noWrap/>
            <w:vAlign w:val="center"/>
            <w:hideMark/>
          </w:tcPr>
          <w:p w14:paraId="5EEE765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2 221,30</w:t>
            </w:r>
          </w:p>
        </w:tc>
        <w:tc>
          <w:tcPr>
            <w:tcW w:w="1561" w:type="dxa"/>
            <w:tcBorders>
              <w:top w:val="nil"/>
              <w:left w:val="nil"/>
              <w:bottom w:val="single" w:sz="4" w:space="0" w:color="auto"/>
              <w:right w:val="single" w:sz="4" w:space="0" w:color="auto"/>
            </w:tcBorders>
            <w:shd w:val="clear" w:color="auto" w:fill="auto"/>
            <w:noWrap/>
            <w:vAlign w:val="center"/>
            <w:hideMark/>
          </w:tcPr>
          <w:p w14:paraId="7D3DB87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2 213,34</w:t>
            </w:r>
          </w:p>
        </w:tc>
      </w:tr>
      <w:tr w:rsidR="00905E1F" w:rsidRPr="00AC3806" w14:paraId="566585EB"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262FC25"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Терновский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0A70059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180</w:t>
            </w:r>
          </w:p>
        </w:tc>
        <w:tc>
          <w:tcPr>
            <w:tcW w:w="1868" w:type="dxa"/>
            <w:tcBorders>
              <w:top w:val="nil"/>
              <w:left w:val="nil"/>
              <w:bottom w:val="single" w:sz="4" w:space="0" w:color="auto"/>
              <w:right w:val="single" w:sz="4" w:space="0" w:color="auto"/>
            </w:tcBorders>
            <w:shd w:val="clear" w:color="auto" w:fill="auto"/>
            <w:noWrap/>
            <w:vAlign w:val="center"/>
            <w:hideMark/>
          </w:tcPr>
          <w:p w14:paraId="069325C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258 403 059,39</w:t>
            </w:r>
          </w:p>
        </w:tc>
        <w:tc>
          <w:tcPr>
            <w:tcW w:w="1984" w:type="dxa"/>
            <w:tcBorders>
              <w:top w:val="nil"/>
              <w:left w:val="nil"/>
              <w:bottom w:val="single" w:sz="4" w:space="0" w:color="auto"/>
              <w:right w:val="single" w:sz="4" w:space="0" w:color="auto"/>
            </w:tcBorders>
            <w:shd w:val="clear" w:color="auto" w:fill="auto"/>
            <w:noWrap/>
            <w:vAlign w:val="center"/>
            <w:hideMark/>
          </w:tcPr>
          <w:p w14:paraId="561D3EC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360 574 800,78</w:t>
            </w:r>
          </w:p>
        </w:tc>
        <w:tc>
          <w:tcPr>
            <w:tcW w:w="1418" w:type="dxa"/>
            <w:tcBorders>
              <w:top w:val="nil"/>
              <w:left w:val="nil"/>
              <w:bottom w:val="single" w:sz="4" w:space="0" w:color="auto"/>
              <w:right w:val="single" w:sz="4" w:space="0" w:color="auto"/>
            </w:tcBorders>
            <w:shd w:val="clear" w:color="auto" w:fill="auto"/>
            <w:noWrap/>
            <w:vAlign w:val="center"/>
            <w:hideMark/>
          </w:tcPr>
          <w:p w14:paraId="3AFE18F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163280,87</w:t>
            </w:r>
          </w:p>
        </w:tc>
        <w:tc>
          <w:tcPr>
            <w:tcW w:w="1770" w:type="dxa"/>
            <w:tcBorders>
              <w:top w:val="nil"/>
              <w:left w:val="nil"/>
              <w:bottom w:val="single" w:sz="4" w:space="0" w:color="auto"/>
              <w:right w:val="single" w:sz="4" w:space="0" w:color="auto"/>
            </w:tcBorders>
            <w:shd w:val="clear" w:color="auto" w:fill="auto"/>
            <w:noWrap/>
            <w:vAlign w:val="center"/>
            <w:hideMark/>
          </w:tcPr>
          <w:p w14:paraId="41103F7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-102 171 741,39</w:t>
            </w:r>
          </w:p>
        </w:tc>
        <w:tc>
          <w:tcPr>
            <w:tcW w:w="1618" w:type="dxa"/>
            <w:tcBorders>
              <w:top w:val="nil"/>
              <w:left w:val="nil"/>
              <w:bottom w:val="single" w:sz="4" w:space="0" w:color="auto"/>
              <w:right w:val="single" w:sz="4" w:space="0" w:color="auto"/>
            </w:tcBorders>
            <w:shd w:val="clear" w:color="auto" w:fill="auto"/>
            <w:noWrap/>
            <w:vAlign w:val="center"/>
            <w:hideMark/>
          </w:tcPr>
          <w:p w14:paraId="2760084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-28,34</w:t>
            </w:r>
          </w:p>
        </w:tc>
        <w:tc>
          <w:tcPr>
            <w:tcW w:w="1062" w:type="dxa"/>
            <w:tcBorders>
              <w:top w:val="nil"/>
              <w:left w:val="nil"/>
              <w:bottom w:val="single" w:sz="4" w:space="0" w:color="auto"/>
              <w:right w:val="single" w:sz="4" w:space="0" w:color="auto"/>
            </w:tcBorders>
            <w:shd w:val="clear" w:color="auto" w:fill="auto"/>
            <w:noWrap/>
            <w:vAlign w:val="center"/>
            <w:hideMark/>
          </w:tcPr>
          <w:p w14:paraId="2A2B822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1 582,57</w:t>
            </w:r>
          </w:p>
        </w:tc>
        <w:tc>
          <w:tcPr>
            <w:tcW w:w="1561" w:type="dxa"/>
            <w:tcBorders>
              <w:top w:val="nil"/>
              <w:left w:val="nil"/>
              <w:bottom w:val="single" w:sz="4" w:space="0" w:color="auto"/>
              <w:right w:val="single" w:sz="4" w:space="0" w:color="auto"/>
            </w:tcBorders>
            <w:shd w:val="clear" w:color="auto" w:fill="auto"/>
            <w:noWrap/>
            <w:vAlign w:val="center"/>
            <w:hideMark/>
          </w:tcPr>
          <w:p w14:paraId="622C3E7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2 208,31</w:t>
            </w:r>
          </w:p>
        </w:tc>
      </w:tr>
      <w:tr w:rsidR="00905E1F" w:rsidRPr="00AC3806" w14:paraId="77A80AA9"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FCF59AC"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Хохольский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20AFD20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275</w:t>
            </w:r>
          </w:p>
        </w:tc>
        <w:tc>
          <w:tcPr>
            <w:tcW w:w="1868" w:type="dxa"/>
            <w:tcBorders>
              <w:top w:val="nil"/>
              <w:left w:val="nil"/>
              <w:bottom w:val="single" w:sz="4" w:space="0" w:color="auto"/>
              <w:right w:val="single" w:sz="4" w:space="0" w:color="auto"/>
            </w:tcBorders>
            <w:shd w:val="clear" w:color="auto" w:fill="auto"/>
            <w:noWrap/>
            <w:vAlign w:val="center"/>
            <w:hideMark/>
          </w:tcPr>
          <w:p w14:paraId="14195FB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930 829 181,05</w:t>
            </w:r>
          </w:p>
        </w:tc>
        <w:tc>
          <w:tcPr>
            <w:tcW w:w="1984" w:type="dxa"/>
            <w:tcBorders>
              <w:top w:val="nil"/>
              <w:left w:val="nil"/>
              <w:bottom w:val="single" w:sz="4" w:space="0" w:color="auto"/>
              <w:right w:val="single" w:sz="4" w:space="0" w:color="auto"/>
            </w:tcBorders>
            <w:shd w:val="clear" w:color="auto" w:fill="auto"/>
            <w:noWrap/>
            <w:vAlign w:val="center"/>
            <w:hideMark/>
          </w:tcPr>
          <w:p w14:paraId="2C7A9F8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787 071 937,69</w:t>
            </w:r>
          </w:p>
        </w:tc>
        <w:tc>
          <w:tcPr>
            <w:tcW w:w="1418" w:type="dxa"/>
            <w:tcBorders>
              <w:top w:val="nil"/>
              <w:left w:val="nil"/>
              <w:bottom w:val="single" w:sz="4" w:space="0" w:color="auto"/>
              <w:right w:val="single" w:sz="4" w:space="0" w:color="auto"/>
            </w:tcBorders>
            <w:shd w:val="clear" w:color="auto" w:fill="auto"/>
            <w:noWrap/>
            <w:vAlign w:val="center"/>
            <w:hideMark/>
          </w:tcPr>
          <w:p w14:paraId="77474EB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341569,71</w:t>
            </w:r>
          </w:p>
        </w:tc>
        <w:tc>
          <w:tcPr>
            <w:tcW w:w="1770" w:type="dxa"/>
            <w:tcBorders>
              <w:top w:val="nil"/>
              <w:left w:val="nil"/>
              <w:bottom w:val="single" w:sz="4" w:space="0" w:color="auto"/>
              <w:right w:val="single" w:sz="4" w:space="0" w:color="auto"/>
            </w:tcBorders>
            <w:shd w:val="clear" w:color="auto" w:fill="auto"/>
            <w:noWrap/>
            <w:vAlign w:val="center"/>
            <w:hideMark/>
          </w:tcPr>
          <w:p w14:paraId="05A3BDA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143 757 243,36</w:t>
            </w:r>
          </w:p>
        </w:tc>
        <w:tc>
          <w:tcPr>
            <w:tcW w:w="1618" w:type="dxa"/>
            <w:tcBorders>
              <w:top w:val="nil"/>
              <w:left w:val="nil"/>
              <w:bottom w:val="single" w:sz="4" w:space="0" w:color="auto"/>
              <w:right w:val="single" w:sz="4" w:space="0" w:color="auto"/>
            </w:tcBorders>
            <w:shd w:val="clear" w:color="auto" w:fill="auto"/>
            <w:noWrap/>
            <w:vAlign w:val="center"/>
            <w:hideMark/>
          </w:tcPr>
          <w:p w14:paraId="75AFEDE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18,26</w:t>
            </w:r>
          </w:p>
        </w:tc>
        <w:tc>
          <w:tcPr>
            <w:tcW w:w="1062" w:type="dxa"/>
            <w:tcBorders>
              <w:top w:val="nil"/>
              <w:left w:val="nil"/>
              <w:bottom w:val="single" w:sz="4" w:space="0" w:color="auto"/>
              <w:right w:val="single" w:sz="4" w:space="0" w:color="auto"/>
            </w:tcBorders>
            <w:shd w:val="clear" w:color="auto" w:fill="auto"/>
            <w:noWrap/>
            <w:vAlign w:val="center"/>
            <w:hideMark/>
          </w:tcPr>
          <w:p w14:paraId="7946E49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2 725,15</w:t>
            </w:r>
          </w:p>
        </w:tc>
        <w:tc>
          <w:tcPr>
            <w:tcW w:w="1561" w:type="dxa"/>
            <w:tcBorders>
              <w:top w:val="nil"/>
              <w:left w:val="nil"/>
              <w:bottom w:val="single" w:sz="4" w:space="0" w:color="auto"/>
              <w:right w:val="single" w:sz="4" w:space="0" w:color="auto"/>
            </w:tcBorders>
            <w:shd w:val="clear" w:color="auto" w:fill="auto"/>
            <w:noWrap/>
            <w:vAlign w:val="center"/>
            <w:hideMark/>
          </w:tcPr>
          <w:p w14:paraId="2FBCC39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2 304,28</w:t>
            </w:r>
          </w:p>
        </w:tc>
      </w:tr>
      <w:tr w:rsidR="00905E1F" w:rsidRPr="00AC3806" w14:paraId="7C7CF49D"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4ADE5F1"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Эртильский муниципальный район</w:t>
            </w:r>
          </w:p>
        </w:tc>
        <w:tc>
          <w:tcPr>
            <w:tcW w:w="1392" w:type="dxa"/>
            <w:tcBorders>
              <w:top w:val="nil"/>
              <w:left w:val="nil"/>
              <w:bottom w:val="single" w:sz="4" w:space="0" w:color="auto"/>
              <w:right w:val="single" w:sz="4" w:space="0" w:color="auto"/>
            </w:tcBorders>
            <w:shd w:val="clear" w:color="auto" w:fill="auto"/>
            <w:noWrap/>
            <w:vAlign w:val="center"/>
            <w:hideMark/>
          </w:tcPr>
          <w:p w14:paraId="1E5AFB6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291</w:t>
            </w:r>
          </w:p>
        </w:tc>
        <w:tc>
          <w:tcPr>
            <w:tcW w:w="1868" w:type="dxa"/>
            <w:tcBorders>
              <w:top w:val="nil"/>
              <w:left w:val="nil"/>
              <w:bottom w:val="single" w:sz="4" w:space="0" w:color="auto"/>
              <w:right w:val="single" w:sz="4" w:space="0" w:color="auto"/>
            </w:tcBorders>
            <w:shd w:val="clear" w:color="auto" w:fill="auto"/>
            <w:noWrap/>
            <w:vAlign w:val="center"/>
            <w:hideMark/>
          </w:tcPr>
          <w:p w14:paraId="236CA39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686 226 459,04</w:t>
            </w:r>
          </w:p>
        </w:tc>
        <w:tc>
          <w:tcPr>
            <w:tcW w:w="1984" w:type="dxa"/>
            <w:tcBorders>
              <w:top w:val="nil"/>
              <w:left w:val="nil"/>
              <w:bottom w:val="single" w:sz="4" w:space="0" w:color="auto"/>
              <w:right w:val="single" w:sz="4" w:space="0" w:color="auto"/>
            </w:tcBorders>
            <w:shd w:val="clear" w:color="auto" w:fill="auto"/>
            <w:noWrap/>
            <w:vAlign w:val="center"/>
            <w:hideMark/>
          </w:tcPr>
          <w:p w14:paraId="19CCE8F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677 480 558,75</w:t>
            </w:r>
          </w:p>
        </w:tc>
        <w:tc>
          <w:tcPr>
            <w:tcW w:w="1418" w:type="dxa"/>
            <w:tcBorders>
              <w:top w:val="nil"/>
              <w:left w:val="nil"/>
              <w:bottom w:val="single" w:sz="4" w:space="0" w:color="auto"/>
              <w:right w:val="single" w:sz="4" w:space="0" w:color="auto"/>
            </w:tcBorders>
            <w:shd w:val="clear" w:color="auto" w:fill="auto"/>
            <w:noWrap/>
            <w:vAlign w:val="center"/>
            <w:hideMark/>
          </w:tcPr>
          <w:p w14:paraId="65132BE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247953,71</w:t>
            </w:r>
          </w:p>
        </w:tc>
        <w:tc>
          <w:tcPr>
            <w:tcW w:w="1770" w:type="dxa"/>
            <w:tcBorders>
              <w:top w:val="nil"/>
              <w:left w:val="nil"/>
              <w:bottom w:val="single" w:sz="4" w:space="0" w:color="auto"/>
              <w:right w:val="single" w:sz="4" w:space="0" w:color="auto"/>
            </w:tcBorders>
            <w:shd w:val="clear" w:color="auto" w:fill="auto"/>
            <w:noWrap/>
            <w:vAlign w:val="center"/>
            <w:hideMark/>
          </w:tcPr>
          <w:p w14:paraId="2B87BEF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8 745 900,29</w:t>
            </w:r>
          </w:p>
        </w:tc>
        <w:tc>
          <w:tcPr>
            <w:tcW w:w="1618" w:type="dxa"/>
            <w:tcBorders>
              <w:top w:val="nil"/>
              <w:left w:val="nil"/>
              <w:bottom w:val="single" w:sz="4" w:space="0" w:color="auto"/>
              <w:right w:val="single" w:sz="4" w:space="0" w:color="auto"/>
            </w:tcBorders>
            <w:shd w:val="clear" w:color="auto" w:fill="auto"/>
            <w:noWrap/>
            <w:vAlign w:val="center"/>
            <w:hideMark/>
          </w:tcPr>
          <w:p w14:paraId="11B4F9B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1,29</w:t>
            </w:r>
          </w:p>
        </w:tc>
        <w:tc>
          <w:tcPr>
            <w:tcW w:w="1062" w:type="dxa"/>
            <w:tcBorders>
              <w:top w:val="nil"/>
              <w:left w:val="nil"/>
              <w:bottom w:val="single" w:sz="4" w:space="0" w:color="auto"/>
              <w:right w:val="single" w:sz="4" w:space="0" w:color="auto"/>
            </w:tcBorders>
            <w:shd w:val="clear" w:color="auto" w:fill="auto"/>
            <w:noWrap/>
            <w:vAlign w:val="center"/>
            <w:hideMark/>
          </w:tcPr>
          <w:p w14:paraId="66DCDD5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2 767,56</w:t>
            </w:r>
          </w:p>
        </w:tc>
        <w:tc>
          <w:tcPr>
            <w:tcW w:w="1561" w:type="dxa"/>
            <w:tcBorders>
              <w:top w:val="nil"/>
              <w:left w:val="nil"/>
              <w:bottom w:val="single" w:sz="4" w:space="0" w:color="auto"/>
              <w:right w:val="single" w:sz="4" w:space="0" w:color="auto"/>
            </w:tcBorders>
            <w:shd w:val="clear" w:color="auto" w:fill="auto"/>
            <w:noWrap/>
            <w:vAlign w:val="center"/>
            <w:hideMark/>
          </w:tcPr>
          <w:p w14:paraId="42240FB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2 732,29</w:t>
            </w:r>
          </w:p>
        </w:tc>
      </w:tr>
      <w:tr w:rsidR="00905E1F" w:rsidRPr="00AC3806" w14:paraId="05E8592B" w14:textId="77777777" w:rsidTr="00C749ED">
        <w:trPr>
          <w:trHeight w:val="30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0C13042"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 город Воронеж</w:t>
            </w:r>
          </w:p>
        </w:tc>
        <w:tc>
          <w:tcPr>
            <w:tcW w:w="1392" w:type="dxa"/>
            <w:tcBorders>
              <w:top w:val="nil"/>
              <w:left w:val="nil"/>
              <w:bottom w:val="single" w:sz="4" w:space="0" w:color="auto"/>
              <w:right w:val="single" w:sz="4" w:space="0" w:color="auto"/>
            </w:tcBorders>
            <w:shd w:val="clear" w:color="auto" w:fill="auto"/>
            <w:noWrap/>
            <w:vAlign w:val="center"/>
            <w:hideMark/>
          </w:tcPr>
          <w:p w14:paraId="6E652C5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3244</w:t>
            </w:r>
          </w:p>
        </w:tc>
        <w:tc>
          <w:tcPr>
            <w:tcW w:w="1868" w:type="dxa"/>
            <w:tcBorders>
              <w:top w:val="nil"/>
              <w:left w:val="nil"/>
              <w:bottom w:val="single" w:sz="4" w:space="0" w:color="auto"/>
              <w:right w:val="single" w:sz="4" w:space="0" w:color="auto"/>
            </w:tcBorders>
            <w:shd w:val="clear" w:color="auto" w:fill="auto"/>
            <w:noWrap/>
            <w:vAlign w:val="center"/>
            <w:hideMark/>
          </w:tcPr>
          <w:p w14:paraId="3A61FF2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29 648 687 673,14</w:t>
            </w:r>
          </w:p>
        </w:tc>
        <w:tc>
          <w:tcPr>
            <w:tcW w:w="1984" w:type="dxa"/>
            <w:tcBorders>
              <w:top w:val="nil"/>
              <w:left w:val="nil"/>
              <w:bottom w:val="single" w:sz="4" w:space="0" w:color="auto"/>
              <w:right w:val="single" w:sz="4" w:space="0" w:color="auto"/>
            </w:tcBorders>
            <w:shd w:val="clear" w:color="auto" w:fill="auto"/>
            <w:noWrap/>
            <w:vAlign w:val="center"/>
            <w:hideMark/>
          </w:tcPr>
          <w:p w14:paraId="5C878D4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26 766 688 535,98</w:t>
            </w:r>
          </w:p>
        </w:tc>
        <w:tc>
          <w:tcPr>
            <w:tcW w:w="1418" w:type="dxa"/>
            <w:tcBorders>
              <w:top w:val="nil"/>
              <w:left w:val="nil"/>
              <w:bottom w:val="single" w:sz="4" w:space="0" w:color="auto"/>
              <w:right w:val="single" w:sz="4" w:space="0" w:color="auto"/>
            </w:tcBorders>
            <w:shd w:val="clear" w:color="auto" w:fill="auto"/>
            <w:noWrap/>
            <w:vAlign w:val="center"/>
            <w:hideMark/>
          </w:tcPr>
          <w:p w14:paraId="5744E45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4173311,44</w:t>
            </w:r>
          </w:p>
        </w:tc>
        <w:tc>
          <w:tcPr>
            <w:tcW w:w="1770" w:type="dxa"/>
            <w:tcBorders>
              <w:top w:val="nil"/>
              <w:left w:val="nil"/>
              <w:bottom w:val="single" w:sz="4" w:space="0" w:color="auto"/>
              <w:right w:val="single" w:sz="4" w:space="0" w:color="auto"/>
            </w:tcBorders>
            <w:shd w:val="clear" w:color="auto" w:fill="auto"/>
            <w:noWrap/>
            <w:vAlign w:val="center"/>
            <w:hideMark/>
          </w:tcPr>
          <w:p w14:paraId="08F9CDB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2 881 999 137,16</w:t>
            </w:r>
          </w:p>
        </w:tc>
        <w:tc>
          <w:tcPr>
            <w:tcW w:w="1618" w:type="dxa"/>
            <w:tcBorders>
              <w:top w:val="nil"/>
              <w:left w:val="nil"/>
              <w:bottom w:val="single" w:sz="4" w:space="0" w:color="auto"/>
              <w:right w:val="single" w:sz="4" w:space="0" w:color="auto"/>
            </w:tcBorders>
            <w:shd w:val="clear" w:color="auto" w:fill="auto"/>
            <w:noWrap/>
            <w:vAlign w:val="center"/>
            <w:hideMark/>
          </w:tcPr>
          <w:p w14:paraId="725641C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10,77</w:t>
            </w:r>
          </w:p>
        </w:tc>
        <w:tc>
          <w:tcPr>
            <w:tcW w:w="1062" w:type="dxa"/>
            <w:tcBorders>
              <w:top w:val="nil"/>
              <w:left w:val="nil"/>
              <w:bottom w:val="single" w:sz="4" w:space="0" w:color="auto"/>
              <w:right w:val="single" w:sz="4" w:space="0" w:color="auto"/>
            </w:tcBorders>
            <w:shd w:val="clear" w:color="auto" w:fill="auto"/>
            <w:noWrap/>
            <w:vAlign w:val="center"/>
            <w:hideMark/>
          </w:tcPr>
          <w:p w14:paraId="7225FD4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7 104,36</w:t>
            </w:r>
          </w:p>
        </w:tc>
        <w:tc>
          <w:tcPr>
            <w:tcW w:w="1561" w:type="dxa"/>
            <w:tcBorders>
              <w:top w:val="nil"/>
              <w:left w:val="nil"/>
              <w:bottom w:val="single" w:sz="4" w:space="0" w:color="auto"/>
              <w:right w:val="single" w:sz="4" w:space="0" w:color="auto"/>
            </w:tcBorders>
            <w:shd w:val="clear" w:color="auto" w:fill="auto"/>
            <w:noWrap/>
            <w:vAlign w:val="center"/>
            <w:hideMark/>
          </w:tcPr>
          <w:p w14:paraId="367371F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6 413,78</w:t>
            </w:r>
          </w:p>
        </w:tc>
      </w:tr>
      <w:tr w:rsidR="00905E1F" w:rsidRPr="00AC3806" w14:paraId="152843CA" w14:textId="77777777" w:rsidTr="00C749ED">
        <w:trPr>
          <w:trHeight w:val="269"/>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DB175D4"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 Борисоглебский</w:t>
            </w:r>
          </w:p>
        </w:tc>
        <w:tc>
          <w:tcPr>
            <w:tcW w:w="1392" w:type="dxa"/>
            <w:tcBorders>
              <w:top w:val="nil"/>
              <w:left w:val="nil"/>
              <w:bottom w:val="single" w:sz="4" w:space="0" w:color="auto"/>
              <w:right w:val="single" w:sz="4" w:space="0" w:color="auto"/>
            </w:tcBorders>
            <w:shd w:val="clear" w:color="auto" w:fill="auto"/>
            <w:noWrap/>
            <w:vAlign w:val="center"/>
            <w:hideMark/>
          </w:tcPr>
          <w:p w14:paraId="5C020A2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564</w:t>
            </w:r>
          </w:p>
        </w:tc>
        <w:tc>
          <w:tcPr>
            <w:tcW w:w="1868" w:type="dxa"/>
            <w:tcBorders>
              <w:top w:val="nil"/>
              <w:left w:val="nil"/>
              <w:bottom w:val="single" w:sz="4" w:space="0" w:color="auto"/>
              <w:right w:val="single" w:sz="4" w:space="0" w:color="auto"/>
            </w:tcBorders>
            <w:shd w:val="clear" w:color="auto" w:fill="auto"/>
            <w:noWrap/>
            <w:vAlign w:val="center"/>
            <w:hideMark/>
          </w:tcPr>
          <w:p w14:paraId="554B4BB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1 743 755 429,96</w:t>
            </w:r>
          </w:p>
        </w:tc>
        <w:tc>
          <w:tcPr>
            <w:tcW w:w="1984" w:type="dxa"/>
            <w:tcBorders>
              <w:top w:val="nil"/>
              <w:left w:val="nil"/>
              <w:bottom w:val="single" w:sz="4" w:space="0" w:color="auto"/>
              <w:right w:val="single" w:sz="4" w:space="0" w:color="auto"/>
            </w:tcBorders>
            <w:shd w:val="clear" w:color="auto" w:fill="auto"/>
            <w:noWrap/>
            <w:vAlign w:val="center"/>
            <w:hideMark/>
          </w:tcPr>
          <w:p w14:paraId="44A54A8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1 329 339 628,17</w:t>
            </w:r>
          </w:p>
        </w:tc>
        <w:tc>
          <w:tcPr>
            <w:tcW w:w="1418" w:type="dxa"/>
            <w:tcBorders>
              <w:top w:val="nil"/>
              <w:left w:val="nil"/>
              <w:bottom w:val="single" w:sz="4" w:space="0" w:color="auto"/>
              <w:right w:val="single" w:sz="4" w:space="0" w:color="auto"/>
            </w:tcBorders>
            <w:shd w:val="clear" w:color="auto" w:fill="auto"/>
            <w:noWrap/>
            <w:vAlign w:val="center"/>
            <w:hideMark/>
          </w:tcPr>
          <w:p w14:paraId="1429181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496815,4</w:t>
            </w:r>
          </w:p>
        </w:tc>
        <w:tc>
          <w:tcPr>
            <w:tcW w:w="1770" w:type="dxa"/>
            <w:tcBorders>
              <w:top w:val="nil"/>
              <w:left w:val="nil"/>
              <w:bottom w:val="single" w:sz="4" w:space="0" w:color="auto"/>
              <w:right w:val="single" w:sz="4" w:space="0" w:color="auto"/>
            </w:tcBorders>
            <w:shd w:val="clear" w:color="auto" w:fill="auto"/>
            <w:noWrap/>
            <w:vAlign w:val="center"/>
            <w:hideMark/>
          </w:tcPr>
          <w:p w14:paraId="078D747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414 415 801,79</w:t>
            </w:r>
          </w:p>
        </w:tc>
        <w:tc>
          <w:tcPr>
            <w:tcW w:w="1618" w:type="dxa"/>
            <w:tcBorders>
              <w:top w:val="nil"/>
              <w:left w:val="nil"/>
              <w:bottom w:val="single" w:sz="4" w:space="0" w:color="auto"/>
              <w:right w:val="single" w:sz="4" w:space="0" w:color="auto"/>
            </w:tcBorders>
            <w:shd w:val="clear" w:color="auto" w:fill="auto"/>
            <w:noWrap/>
            <w:vAlign w:val="center"/>
            <w:hideMark/>
          </w:tcPr>
          <w:p w14:paraId="58BA7BE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31,17</w:t>
            </w:r>
          </w:p>
        </w:tc>
        <w:tc>
          <w:tcPr>
            <w:tcW w:w="1062" w:type="dxa"/>
            <w:tcBorders>
              <w:top w:val="nil"/>
              <w:left w:val="nil"/>
              <w:bottom w:val="single" w:sz="4" w:space="0" w:color="auto"/>
              <w:right w:val="single" w:sz="4" w:space="0" w:color="auto"/>
            </w:tcBorders>
            <w:shd w:val="clear" w:color="auto" w:fill="auto"/>
            <w:noWrap/>
            <w:vAlign w:val="center"/>
            <w:hideMark/>
          </w:tcPr>
          <w:p w14:paraId="052F67D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3 509,87</w:t>
            </w:r>
          </w:p>
        </w:tc>
        <w:tc>
          <w:tcPr>
            <w:tcW w:w="1561" w:type="dxa"/>
            <w:tcBorders>
              <w:top w:val="nil"/>
              <w:left w:val="nil"/>
              <w:bottom w:val="single" w:sz="4" w:space="0" w:color="auto"/>
              <w:right w:val="single" w:sz="4" w:space="0" w:color="auto"/>
            </w:tcBorders>
            <w:shd w:val="clear" w:color="auto" w:fill="auto"/>
            <w:noWrap/>
            <w:vAlign w:val="center"/>
            <w:hideMark/>
          </w:tcPr>
          <w:p w14:paraId="06AF7BA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2 675,72</w:t>
            </w:r>
          </w:p>
        </w:tc>
      </w:tr>
      <w:tr w:rsidR="00905E1F" w:rsidRPr="00AC3806" w14:paraId="2A286223" w14:textId="77777777" w:rsidTr="00C749ED">
        <w:trPr>
          <w:trHeight w:val="28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4BD48BE"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 город Нововоронеж</w:t>
            </w:r>
          </w:p>
        </w:tc>
        <w:tc>
          <w:tcPr>
            <w:tcW w:w="1392" w:type="dxa"/>
            <w:tcBorders>
              <w:top w:val="nil"/>
              <w:left w:val="nil"/>
              <w:bottom w:val="single" w:sz="4" w:space="0" w:color="auto"/>
              <w:right w:val="single" w:sz="4" w:space="0" w:color="auto"/>
            </w:tcBorders>
            <w:shd w:val="clear" w:color="auto" w:fill="auto"/>
            <w:noWrap/>
            <w:vAlign w:val="center"/>
            <w:hideMark/>
          </w:tcPr>
          <w:p w14:paraId="2C9C68E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282</w:t>
            </w:r>
          </w:p>
        </w:tc>
        <w:tc>
          <w:tcPr>
            <w:tcW w:w="1868" w:type="dxa"/>
            <w:tcBorders>
              <w:top w:val="nil"/>
              <w:left w:val="nil"/>
              <w:bottom w:val="single" w:sz="4" w:space="0" w:color="auto"/>
              <w:right w:val="single" w:sz="4" w:space="0" w:color="auto"/>
            </w:tcBorders>
            <w:shd w:val="clear" w:color="auto" w:fill="auto"/>
            <w:noWrap/>
            <w:vAlign w:val="center"/>
            <w:hideMark/>
          </w:tcPr>
          <w:p w14:paraId="0770610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1 171 825 644,46</w:t>
            </w:r>
          </w:p>
        </w:tc>
        <w:tc>
          <w:tcPr>
            <w:tcW w:w="1984" w:type="dxa"/>
            <w:tcBorders>
              <w:top w:val="nil"/>
              <w:left w:val="nil"/>
              <w:bottom w:val="single" w:sz="4" w:space="0" w:color="auto"/>
              <w:right w:val="single" w:sz="4" w:space="0" w:color="auto"/>
            </w:tcBorders>
            <w:shd w:val="clear" w:color="auto" w:fill="auto"/>
            <w:noWrap/>
            <w:vAlign w:val="center"/>
            <w:hideMark/>
          </w:tcPr>
          <w:p w14:paraId="7D45E7A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817 083 601,18</w:t>
            </w:r>
          </w:p>
        </w:tc>
        <w:tc>
          <w:tcPr>
            <w:tcW w:w="1418" w:type="dxa"/>
            <w:tcBorders>
              <w:top w:val="nil"/>
              <w:left w:val="nil"/>
              <w:bottom w:val="single" w:sz="4" w:space="0" w:color="auto"/>
              <w:right w:val="single" w:sz="4" w:space="0" w:color="auto"/>
            </w:tcBorders>
            <w:shd w:val="clear" w:color="auto" w:fill="auto"/>
            <w:noWrap/>
            <w:vAlign w:val="center"/>
            <w:hideMark/>
          </w:tcPr>
          <w:p w14:paraId="7DD4194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186040,97</w:t>
            </w:r>
          </w:p>
        </w:tc>
        <w:tc>
          <w:tcPr>
            <w:tcW w:w="1770" w:type="dxa"/>
            <w:tcBorders>
              <w:top w:val="nil"/>
              <w:left w:val="nil"/>
              <w:bottom w:val="single" w:sz="4" w:space="0" w:color="auto"/>
              <w:right w:val="single" w:sz="4" w:space="0" w:color="auto"/>
            </w:tcBorders>
            <w:shd w:val="clear" w:color="auto" w:fill="auto"/>
            <w:noWrap/>
            <w:vAlign w:val="center"/>
            <w:hideMark/>
          </w:tcPr>
          <w:p w14:paraId="4CD99F9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354 742 043,28</w:t>
            </w:r>
          </w:p>
        </w:tc>
        <w:tc>
          <w:tcPr>
            <w:tcW w:w="1618" w:type="dxa"/>
            <w:tcBorders>
              <w:top w:val="nil"/>
              <w:left w:val="nil"/>
              <w:bottom w:val="single" w:sz="4" w:space="0" w:color="auto"/>
              <w:right w:val="single" w:sz="4" w:space="0" w:color="auto"/>
            </w:tcBorders>
            <w:shd w:val="clear" w:color="auto" w:fill="auto"/>
            <w:noWrap/>
            <w:vAlign w:val="center"/>
            <w:hideMark/>
          </w:tcPr>
          <w:p w14:paraId="53CB462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43,42</w:t>
            </w:r>
          </w:p>
        </w:tc>
        <w:tc>
          <w:tcPr>
            <w:tcW w:w="1062" w:type="dxa"/>
            <w:tcBorders>
              <w:top w:val="nil"/>
              <w:left w:val="nil"/>
              <w:bottom w:val="single" w:sz="4" w:space="0" w:color="auto"/>
              <w:right w:val="single" w:sz="4" w:space="0" w:color="auto"/>
            </w:tcBorders>
            <w:shd w:val="clear" w:color="auto" w:fill="auto"/>
            <w:noWrap/>
            <w:vAlign w:val="center"/>
            <w:hideMark/>
          </w:tcPr>
          <w:p w14:paraId="384E52A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6 298,75</w:t>
            </w:r>
          </w:p>
        </w:tc>
        <w:tc>
          <w:tcPr>
            <w:tcW w:w="1561" w:type="dxa"/>
            <w:tcBorders>
              <w:top w:val="nil"/>
              <w:left w:val="nil"/>
              <w:bottom w:val="single" w:sz="4" w:space="0" w:color="auto"/>
              <w:right w:val="single" w:sz="4" w:space="0" w:color="auto"/>
            </w:tcBorders>
            <w:shd w:val="clear" w:color="auto" w:fill="auto"/>
            <w:noWrap/>
            <w:vAlign w:val="center"/>
            <w:hideMark/>
          </w:tcPr>
          <w:p w14:paraId="2FC4C0E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4 391,96</w:t>
            </w:r>
          </w:p>
        </w:tc>
      </w:tr>
    </w:tbl>
    <w:p w14:paraId="6A49AFDB" w14:textId="77777777" w:rsidR="00905E1F" w:rsidRPr="00AC3806" w:rsidRDefault="00905E1F" w:rsidP="00905E1F">
      <w:pPr>
        <w:spacing w:after="0" w:line="240" w:lineRule="auto"/>
        <w:rPr>
          <w:rFonts w:ascii="Times New Roman" w:hAnsi="Times New Roman" w:cs="Times New Roman"/>
          <w:sz w:val="18"/>
          <w:szCs w:val="18"/>
        </w:rPr>
      </w:pPr>
    </w:p>
    <w:p w14:paraId="27EC47EA" w14:textId="77777777" w:rsidR="00905E1F" w:rsidRPr="00AC3806" w:rsidRDefault="00905E1F" w:rsidP="00905E1F">
      <w:pPr>
        <w:spacing w:after="0" w:line="240" w:lineRule="auto"/>
        <w:ind w:firstLine="709"/>
        <w:jc w:val="right"/>
        <w:rPr>
          <w:rFonts w:ascii="Times New Roman" w:hAnsi="Times New Roman" w:cs="Times New Roman"/>
          <w:sz w:val="26"/>
          <w:szCs w:val="26"/>
        </w:rPr>
      </w:pPr>
    </w:p>
    <w:p w14:paraId="2E8FB04E" w14:textId="77777777" w:rsidR="00905E1F" w:rsidRPr="00AC3806" w:rsidRDefault="00905E1F" w:rsidP="00905E1F">
      <w:pPr>
        <w:spacing w:after="0" w:line="240" w:lineRule="auto"/>
        <w:ind w:firstLine="709"/>
        <w:jc w:val="right"/>
        <w:rPr>
          <w:rFonts w:ascii="Times New Roman" w:hAnsi="Times New Roman" w:cs="Times New Roman"/>
          <w:sz w:val="26"/>
          <w:szCs w:val="26"/>
        </w:rPr>
      </w:pPr>
      <w:r w:rsidRPr="00AC3806">
        <w:rPr>
          <w:rFonts w:ascii="Times New Roman" w:hAnsi="Times New Roman" w:cs="Times New Roman"/>
          <w:sz w:val="26"/>
          <w:szCs w:val="26"/>
        </w:rPr>
        <w:t>Таблица 4.1.5.3</w:t>
      </w:r>
    </w:p>
    <w:p w14:paraId="596B6113" w14:textId="77777777" w:rsidR="00905E1F" w:rsidRPr="00AC3806" w:rsidRDefault="00905E1F" w:rsidP="00905E1F">
      <w:pPr>
        <w:spacing w:after="0" w:line="240" w:lineRule="auto"/>
        <w:ind w:firstLine="709"/>
        <w:jc w:val="center"/>
        <w:rPr>
          <w:rFonts w:ascii="Times New Roman" w:hAnsi="Times New Roman" w:cs="Times New Roman"/>
          <w:sz w:val="26"/>
          <w:szCs w:val="26"/>
        </w:rPr>
      </w:pPr>
      <w:r w:rsidRPr="00AC3806">
        <w:rPr>
          <w:rFonts w:ascii="Times New Roman" w:hAnsi="Times New Roman" w:cs="Times New Roman"/>
          <w:sz w:val="26"/>
          <w:szCs w:val="26"/>
        </w:rPr>
        <w:t>Анализ соотношений кадастровой стоимости средних УПКС в разрезе 6 сегмента МО Воронежской области</w:t>
      </w:r>
    </w:p>
    <w:p w14:paraId="0777ED59" w14:textId="77777777" w:rsidR="00905E1F" w:rsidRPr="00AC3806" w:rsidRDefault="00905E1F" w:rsidP="00905E1F">
      <w:pPr>
        <w:spacing w:after="0" w:line="240" w:lineRule="auto"/>
        <w:ind w:firstLine="709"/>
        <w:jc w:val="center"/>
        <w:rPr>
          <w:rFonts w:ascii="Times New Roman" w:hAnsi="Times New Roman" w:cs="Times New Roman"/>
          <w:sz w:val="18"/>
          <w:szCs w:val="18"/>
        </w:rPr>
      </w:pPr>
    </w:p>
    <w:tbl>
      <w:tblPr>
        <w:tblW w:w="148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417"/>
        <w:gridCol w:w="1985"/>
        <w:gridCol w:w="1984"/>
        <w:gridCol w:w="1418"/>
        <w:gridCol w:w="1843"/>
        <w:gridCol w:w="1618"/>
        <w:gridCol w:w="1074"/>
        <w:gridCol w:w="1561"/>
      </w:tblGrid>
      <w:tr w:rsidR="00905E1F" w:rsidRPr="00AC3806" w14:paraId="7B5D93A9" w14:textId="77777777" w:rsidTr="00C749ED">
        <w:trPr>
          <w:trHeight w:val="96"/>
        </w:trPr>
        <w:tc>
          <w:tcPr>
            <w:tcW w:w="1985" w:type="dxa"/>
            <w:shd w:val="clear" w:color="auto" w:fill="auto"/>
            <w:vAlign w:val="center"/>
            <w:hideMark/>
          </w:tcPr>
          <w:p w14:paraId="1ED921D6"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Муниципальное образование</w:t>
            </w:r>
          </w:p>
        </w:tc>
        <w:tc>
          <w:tcPr>
            <w:tcW w:w="1417" w:type="dxa"/>
            <w:shd w:val="clear" w:color="auto" w:fill="auto"/>
            <w:vAlign w:val="center"/>
            <w:hideMark/>
          </w:tcPr>
          <w:p w14:paraId="0AF3D28E"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Количество объектов</w:t>
            </w:r>
          </w:p>
        </w:tc>
        <w:tc>
          <w:tcPr>
            <w:tcW w:w="1985" w:type="dxa"/>
            <w:shd w:val="clear" w:color="auto" w:fill="auto"/>
            <w:vAlign w:val="center"/>
            <w:hideMark/>
          </w:tcPr>
          <w:p w14:paraId="46E153D3"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Суммарная кадастровая стоимость</w:t>
            </w:r>
          </w:p>
        </w:tc>
        <w:tc>
          <w:tcPr>
            <w:tcW w:w="1984" w:type="dxa"/>
            <w:shd w:val="clear" w:color="auto" w:fill="auto"/>
            <w:vAlign w:val="center"/>
            <w:hideMark/>
          </w:tcPr>
          <w:p w14:paraId="4D598F02"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Суммарная кадастровая стоимость предыдущего тура оценки</w:t>
            </w:r>
          </w:p>
        </w:tc>
        <w:tc>
          <w:tcPr>
            <w:tcW w:w="1418" w:type="dxa"/>
            <w:shd w:val="clear" w:color="auto" w:fill="auto"/>
            <w:vAlign w:val="center"/>
            <w:hideMark/>
          </w:tcPr>
          <w:p w14:paraId="7FD012E5"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Суммарная площадь</w:t>
            </w:r>
          </w:p>
        </w:tc>
        <w:tc>
          <w:tcPr>
            <w:tcW w:w="1843" w:type="dxa"/>
            <w:shd w:val="clear" w:color="auto" w:fill="auto"/>
            <w:vAlign w:val="center"/>
            <w:hideMark/>
          </w:tcPr>
          <w:p w14:paraId="6C71CCDB"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Разница, руб.</w:t>
            </w:r>
          </w:p>
        </w:tc>
        <w:tc>
          <w:tcPr>
            <w:tcW w:w="1618" w:type="dxa"/>
            <w:shd w:val="clear" w:color="auto" w:fill="auto"/>
            <w:vAlign w:val="center"/>
            <w:hideMark/>
          </w:tcPr>
          <w:p w14:paraId="64CCDC87"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Относительная разница, %</w:t>
            </w:r>
          </w:p>
        </w:tc>
        <w:tc>
          <w:tcPr>
            <w:tcW w:w="1074" w:type="dxa"/>
            <w:shd w:val="clear" w:color="auto" w:fill="auto"/>
            <w:vAlign w:val="center"/>
            <w:hideMark/>
          </w:tcPr>
          <w:p w14:paraId="22350155"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УПКС</w:t>
            </w:r>
          </w:p>
        </w:tc>
        <w:tc>
          <w:tcPr>
            <w:tcW w:w="1561" w:type="dxa"/>
            <w:shd w:val="clear" w:color="auto" w:fill="auto"/>
            <w:vAlign w:val="center"/>
            <w:hideMark/>
          </w:tcPr>
          <w:p w14:paraId="6680EEFF"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УПКС предыдущего тура оценки</w:t>
            </w:r>
          </w:p>
        </w:tc>
      </w:tr>
      <w:tr w:rsidR="00905E1F" w:rsidRPr="00AC3806" w14:paraId="60AEF7A5" w14:textId="77777777" w:rsidTr="00C749ED">
        <w:trPr>
          <w:trHeight w:val="96"/>
        </w:trPr>
        <w:tc>
          <w:tcPr>
            <w:tcW w:w="1985" w:type="dxa"/>
            <w:shd w:val="clear" w:color="auto" w:fill="auto"/>
            <w:noWrap/>
            <w:vAlign w:val="center"/>
          </w:tcPr>
          <w:p w14:paraId="4FF6B13B" w14:textId="77777777" w:rsidR="00905E1F" w:rsidRPr="00AC3806" w:rsidRDefault="00905E1F" w:rsidP="00C749ED">
            <w:pPr>
              <w:spacing w:after="0" w:line="240" w:lineRule="auto"/>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1</w:t>
            </w:r>
          </w:p>
        </w:tc>
        <w:tc>
          <w:tcPr>
            <w:tcW w:w="1417" w:type="dxa"/>
            <w:shd w:val="clear" w:color="auto" w:fill="auto"/>
            <w:noWrap/>
            <w:vAlign w:val="center"/>
          </w:tcPr>
          <w:p w14:paraId="45FA0192"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2</w:t>
            </w:r>
          </w:p>
        </w:tc>
        <w:tc>
          <w:tcPr>
            <w:tcW w:w="1985" w:type="dxa"/>
            <w:shd w:val="clear" w:color="auto" w:fill="auto"/>
            <w:noWrap/>
            <w:vAlign w:val="center"/>
          </w:tcPr>
          <w:p w14:paraId="231B0F6A"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3</w:t>
            </w:r>
          </w:p>
        </w:tc>
        <w:tc>
          <w:tcPr>
            <w:tcW w:w="1984" w:type="dxa"/>
            <w:shd w:val="clear" w:color="auto" w:fill="auto"/>
            <w:noWrap/>
            <w:vAlign w:val="center"/>
          </w:tcPr>
          <w:p w14:paraId="602B1306"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4</w:t>
            </w:r>
          </w:p>
        </w:tc>
        <w:tc>
          <w:tcPr>
            <w:tcW w:w="1418" w:type="dxa"/>
            <w:shd w:val="clear" w:color="auto" w:fill="auto"/>
            <w:noWrap/>
            <w:vAlign w:val="center"/>
          </w:tcPr>
          <w:p w14:paraId="6F85ABE3"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5</w:t>
            </w:r>
          </w:p>
        </w:tc>
        <w:tc>
          <w:tcPr>
            <w:tcW w:w="1843" w:type="dxa"/>
            <w:shd w:val="clear" w:color="auto" w:fill="auto"/>
            <w:noWrap/>
            <w:vAlign w:val="center"/>
          </w:tcPr>
          <w:p w14:paraId="76201414"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6</w:t>
            </w:r>
          </w:p>
        </w:tc>
        <w:tc>
          <w:tcPr>
            <w:tcW w:w="1618" w:type="dxa"/>
            <w:shd w:val="clear" w:color="auto" w:fill="auto"/>
            <w:noWrap/>
            <w:vAlign w:val="center"/>
          </w:tcPr>
          <w:p w14:paraId="47AF43C4"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7</w:t>
            </w:r>
          </w:p>
        </w:tc>
        <w:tc>
          <w:tcPr>
            <w:tcW w:w="1074" w:type="dxa"/>
            <w:shd w:val="clear" w:color="auto" w:fill="auto"/>
            <w:noWrap/>
            <w:vAlign w:val="center"/>
          </w:tcPr>
          <w:p w14:paraId="29C7A3D3"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8</w:t>
            </w:r>
          </w:p>
        </w:tc>
        <w:tc>
          <w:tcPr>
            <w:tcW w:w="1561" w:type="dxa"/>
            <w:shd w:val="clear" w:color="auto" w:fill="auto"/>
            <w:noWrap/>
            <w:vAlign w:val="center"/>
          </w:tcPr>
          <w:p w14:paraId="6AE4A586"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9</w:t>
            </w:r>
          </w:p>
        </w:tc>
      </w:tr>
      <w:tr w:rsidR="00905E1F" w:rsidRPr="00AC3806" w14:paraId="474866BC" w14:textId="77777777" w:rsidTr="00C749ED">
        <w:trPr>
          <w:trHeight w:val="96"/>
        </w:trPr>
        <w:tc>
          <w:tcPr>
            <w:tcW w:w="1985" w:type="dxa"/>
            <w:shd w:val="clear" w:color="auto" w:fill="auto"/>
            <w:noWrap/>
            <w:vAlign w:val="center"/>
            <w:hideMark/>
          </w:tcPr>
          <w:p w14:paraId="335F596C"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Аннинский муниципальный район</w:t>
            </w:r>
          </w:p>
        </w:tc>
        <w:tc>
          <w:tcPr>
            <w:tcW w:w="1417" w:type="dxa"/>
            <w:shd w:val="clear" w:color="auto" w:fill="auto"/>
            <w:noWrap/>
            <w:vAlign w:val="center"/>
            <w:hideMark/>
          </w:tcPr>
          <w:p w14:paraId="6BF64DF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1440</w:t>
            </w:r>
          </w:p>
        </w:tc>
        <w:tc>
          <w:tcPr>
            <w:tcW w:w="1985" w:type="dxa"/>
            <w:shd w:val="clear" w:color="auto" w:fill="auto"/>
            <w:noWrap/>
            <w:vAlign w:val="center"/>
            <w:hideMark/>
          </w:tcPr>
          <w:p w14:paraId="6319CC6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10 380 096 604,93</w:t>
            </w:r>
          </w:p>
        </w:tc>
        <w:tc>
          <w:tcPr>
            <w:tcW w:w="1984" w:type="dxa"/>
            <w:shd w:val="clear" w:color="auto" w:fill="auto"/>
            <w:noWrap/>
            <w:vAlign w:val="center"/>
            <w:hideMark/>
          </w:tcPr>
          <w:p w14:paraId="6FC2825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6 234 466 901,25</w:t>
            </w:r>
          </w:p>
        </w:tc>
        <w:tc>
          <w:tcPr>
            <w:tcW w:w="1418" w:type="dxa"/>
            <w:shd w:val="clear" w:color="auto" w:fill="auto"/>
            <w:noWrap/>
            <w:vAlign w:val="center"/>
            <w:hideMark/>
          </w:tcPr>
          <w:p w14:paraId="14106E4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30850419,33</w:t>
            </w:r>
          </w:p>
        </w:tc>
        <w:tc>
          <w:tcPr>
            <w:tcW w:w="1843" w:type="dxa"/>
            <w:shd w:val="clear" w:color="auto" w:fill="auto"/>
            <w:noWrap/>
            <w:vAlign w:val="center"/>
            <w:hideMark/>
          </w:tcPr>
          <w:p w14:paraId="55624AE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4 145 629 703,68</w:t>
            </w:r>
          </w:p>
        </w:tc>
        <w:tc>
          <w:tcPr>
            <w:tcW w:w="1618" w:type="dxa"/>
            <w:shd w:val="clear" w:color="auto" w:fill="auto"/>
            <w:noWrap/>
            <w:vAlign w:val="center"/>
            <w:hideMark/>
          </w:tcPr>
          <w:p w14:paraId="36E0DFA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66,5</w:t>
            </w:r>
          </w:p>
        </w:tc>
        <w:tc>
          <w:tcPr>
            <w:tcW w:w="1074" w:type="dxa"/>
            <w:shd w:val="clear" w:color="auto" w:fill="auto"/>
            <w:noWrap/>
            <w:vAlign w:val="center"/>
            <w:hideMark/>
          </w:tcPr>
          <w:p w14:paraId="6BF0F20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336,47</w:t>
            </w:r>
          </w:p>
        </w:tc>
        <w:tc>
          <w:tcPr>
            <w:tcW w:w="1561" w:type="dxa"/>
            <w:shd w:val="clear" w:color="auto" w:fill="auto"/>
            <w:noWrap/>
            <w:vAlign w:val="center"/>
            <w:hideMark/>
          </w:tcPr>
          <w:p w14:paraId="15826AD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202,09</w:t>
            </w:r>
          </w:p>
        </w:tc>
      </w:tr>
      <w:tr w:rsidR="00905E1F" w:rsidRPr="00AC3806" w14:paraId="4531C116" w14:textId="77777777" w:rsidTr="00C749ED">
        <w:trPr>
          <w:trHeight w:val="96"/>
        </w:trPr>
        <w:tc>
          <w:tcPr>
            <w:tcW w:w="1985" w:type="dxa"/>
            <w:shd w:val="clear" w:color="auto" w:fill="auto"/>
            <w:noWrap/>
            <w:vAlign w:val="center"/>
            <w:hideMark/>
          </w:tcPr>
          <w:p w14:paraId="3F9A047A"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Бобровский муниципальный район</w:t>
            </w:r>
          </w:p>
        </w:tc>
        <w:tc>
          <w:tcPr>
            <w:tcW w:w="1417" w:type="dxa"/>
            <w:shd w:val="clear" w:color="auto" w:fill="auto"/>
            <w:noWrap/>
            <w:vAlign w:val="center"/>
            <w:hideMark/>
          </w:tcPr>
          <w:p w14:paraId="12AA8F6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1354</w:t>
            </w:r>
          </w:p>
        </w:tc>
        <w:tc>
          <w:tcPr>
            <w:tcW w:w="1985" w:type="dxa"/>
            <w:shd w:val="clear" w:color="auto" w:fill="auto"/>
            <w:noWrap/>
            <w:vAlign w:val="center"/>
            <w:hideMark/>
          </w:tcPr>
          <w:p w14:paraId="344CC03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13 899 839 144,61</w:t>
            </w:r>
          </w:p>
        </w:tc>
        <w:tc>
          <w:tcPr>
            <w:tcW w:w="1984" w:type="dxa"/>
            <w:shd w:val="clear" w:color="auto" w:fill="auto"/>
            <w:noWrap/>
            <w:vAlign w:val="center"/>
            <w:hideMark/>
          </w:tcPr>
          <w:p w14:paraId="7F767DE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8 981 937 228,49</w:t>
            </w:r>
          </w:p>
        </w:tc>
        <w:tc>
          <w:tcPr>
            <w:tcW w:w="1418" w:type="dxa"/>
            <w:shd w:val="clear" w:color="auto" w:fill="auto"/>
            <w:noWrap/>
            <w:vAlign w:val="center"/>
            <w:hideMark/>
          </w:tcPr>
          <w:p w14:paraId="7FC9002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36240302,08</w:t>
            </w:r>
          </w:p>
        </w:tc>
        <w:tc>
          <w:tcPr>
            <w:tcW w:w="1843" w:type="dxa"/>
            <w:shd w:val="clear" w:color="auto" w:fill="auto"/>
            <w:noWrap/>
            <w:vAlign w:val="center"/>
            <w:hideMark/>
          </w:tcPr>
          <w:p w14:paraId="5D17AE1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4 917 901 916,12</w:t>
            </w:r>
          </w:p>
        </w:tc>
        <w:tc>
          <w:tcPr>
            <w:tcW w:w="1618" w:type="dxa"/>
            <w:shd w:val="clear" w:color="auto" w:fill="auto"/>
            <w:noWrap/>
            <w:vAlign w:val="center"/>
            <w:hideMark/>
          </w:tcPr>
          <w:p w14:paraId="707F4F3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54,75</w:t>
            </w:r>
          </w:p>
        </w:tc>
        <w:tc>
          <w:tcPr>
            <w:tcW w:w="1074" w:type="dxa"/>
            <w:shd w:val="clear" w:color="auto" w:fill="auto"/>
            <w:noWrap/>
            <w:vAlign w:val="center"/>
            <w:hideMark/>
          </w:tcPr>
          <w:p w14:paraId="5F0E280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383,55</w:t>
            </w:r>
          </w:p>
        </w:tc>
        <w:tc>
          <w:tcPr>
            <w:tcW w:w="1561" w:type="dxa"/>
            <w:shd w:val="clear" w:color="auto" w:fill="auto"/>
            <w:noWrap/>
            <w:vAlign w:val="center"/>
            <w:hideMark/>
          </w:tcPr>
          <w:p w14:paraId="3D21652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247,84</w:t>
            </w:r>
          </w:p>
        </w:tc>
      </w:tr>
      <w:tr w:rsidR="00905E1F" w:rsidRPr="00AC3806" w14:paraId="32177891" w14:textId="77777777" w:rsidTr="00C749ED">
        <w:trPr>
          <w:trHeight w:val="96"/>
        </w:trPr>
        <w:tc>
          <w:tcPr>
            <w:tcW w:w="1985" w:type="dxa"/>
            <w:shd w:val="clear" w:color="auto" w:fill="auto"/>
            <w:noWrap/>
            <w:vAlign w:val="center"/>
            <w:hideMark/>
          </w:tcPr>
          <w:p w14:paraId="20C94CE0"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Богучарский муниципальный район</w:t>
            </w:r>
          </w:p>
        </w:tc>
        <w:tc>
          <w:tcPr>
            <w:tcW w:w="1417" w:type="dxa"/>
            <w:shd w:val="clear" w:color="auto" w:fill="auto"/>
            <w:noWrap/>
            <w:vAlign w:val="center"/>
            <w:hideMark/>
          </w:tcPr>
          <w:p w14:paraId="6596E5B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1445</w:t>
            </w:r>
          </w:p>
        </w:tc>
        <w:tc>
          <w:tcPr>
            <w:tcW w:w="1985" w:type="dxa"/>
            <w:shd w:val="clear" w:color="auto" w:fill="auto"/>
            <w:noWrap/>
            <w:vAlign w:val="center"/>
            <w:hideMark/>
          </w:tcPr>
          <w:p w14:paraId="68F7B47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7 147 276 964,23</w:t>
            </w:r>
          </w:p>
        </w:tc>
        <w:tc>
          <w:tcPr>
            <w:tcW w:w="1984" w:type="dxa"/>
            <w:shd w:val="clear" w:color="auto" w:fill="auto"/>
            <w:noWrap/>
            <w:vAlign w:val="center"/>
            <w:hideMark/>
          </w:tcPr>
          <w:p w14:paraId="01D2ECE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2 881 150 275,84</w:t>
            </w:r>
          </w:p>
        </w:tc>
        <w:tc>
          <w:tcPr>
            <w:tcW w:w="1418" w:type="dxa"/>
            <w:shd w:val="clear" w:color="auto" w:fill="auto"/>
            <w:noWrap/>
            <w:vAlign w:val="center"/>
            <w:hideMark/>
          </w:tcPr>
          <w:p w14:paraId="13D84D0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22778946,31</w:t>
            </w:r>
          </w:p>
        </w:tc>
        <w:tc>
          <w:tcPr>
            <w:tcW w:w="1843" w:type="dxa"/>
            <w:shd w:val="clear" w:color="auto" w:fill="auto"/>
            <w:noWrap/>
            <w:vAlign w:val="center"/>
            <w:hideMark/>
          </w:tcPr>
          <w:p w14:paraId="6C1045A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4 266 126 688,39</w:t>
            </w:r>
          </w:p>
        </w:tc>
        <w:tc>
          <w:tcPr>
            <w:tcW w:w="1618" w:type="dxa"/>
            <w:shd w:val="clear" w:color="auto" w:fill="auto"/>
            <w:noWrap/>
            <w:vAlign w:val="center"/>
            <w:hideMark/>
          </w:tcPr>
          <w:p w14:paraId="474D4AB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148,07</w:t>
            </w:r>
          </w:p>
        </w:tc>
        <w:tc>
          <w:tcPr>
            <w:tcW w:w="1074" w:type="dxa"/>
            <w:shd w:val="clear" w:color="auto" w:fill="auto"/>
            <w:noWrap/>
            <w:vAlign w:val="center"/>
            <w:hideMark/>
          </w:tcPr>
          <w:p w14:paraId="7B39600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313,77</w:t>
            </w:r>
          </w:p>
        </w:tc>
        <w:tc>
          <w:tcPr>
            <w:tcW w:w="1561" w:type="dxa"/>
            <w:shd w:val="clear" w:color="auto" w:fill="auto"/>
            <w:noWrap/>
            <w:vAlign w:val="center"/>
            <w:hideMark/>
          </w:tcPr>
          <w:p w14:paraId="6325897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126,48</w:t>
            </w:r>
          </w:p>
        </w:tc>
      </w:tr>
      <w:tr w:rsidR="00905E1F" w:rsidRPr="00AC3806" w14:paraId="6C8E1B91" w14:textId="77777777" w:rsidTr="00C749ED">
        <w:trPr>
          <w:trHeight w:val="96"/>
        </w:trPr>
        <w:tc>
          <w:tcPr>
            <w:tcW w:w="1985" w:type="dxa"/>
            <w:shd w:val="clear" w:color="auto" w:fill="auto"/>
            <w:noWrap/>
            <w:vAlign w:val="center"/>
            <w:hideMark/>
          </w:tcPr>
          <w:p w14:paraId="49792073"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Бутурлиновский муниципальный район</w:t>
            </w:r>
          </w:p>
        </w:tc>
        <w:tc>
          <w:tcPr>
            <w:tcW w:w="1417" w:type="dxa"/>
            <w:shd w:val="clear" w:color="auto" w:fill="auto"/>
            <w:noWrap/>
            <w:vAlign w:val="center"/>
            <w:hideMark/>
          </w:tcPr>
          <w:p w14:paraId="46DECA7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1094</w:t>
            </w:r>
          </w:p>
        </w:tc>
        <w:tc>
          <w:tcPr>
            <w:tcW w:w="1985" w:type="dxa"/>
            <w:shd w:val="clear" w:color="auto" w:fill="auto"/>
            <w:noWrap/>
            <w:vAlign w:val="center"/>
            <w:hideMark/>
          </w:tcPr>
          <w:p w14:paraId="6C095C1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7 116 165 452,93</w:t>
            </w:r>
          </w:p>
        </w:tc>
        <w:tc>
          <w:tcPr>
            <w:tcW w:w="1984" w:type="dxa"/>
            <w:shd w:val="clear" w:color="auto" w:fill="auto"/>
            <w:noWrap/>
            <w:vAlign w:val="center"/>
            <w:hideMark/>
          </w:tcPr>
          <w:p w14:paraId="3E1FC98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5 234 379 698,75</w:t>
            </w:r>
          </w:p>
        </w:tc>
        <w:tc>
          <w:tcPr>
            <w:tcW w:w="1418" w:type="dxa"/>
            <w:shd w:val="clear" w:color="auto" w:fill="auto"/>
            <w:noWrap/>
            <w:vAlign w:val="center"/>
            <w:hideMark/>
          </w:tcPr>
          <w:p w14:paraId="6483502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21078281,5</w:t>
            </w:r>
          </w:p>
        </w:tc>
        <w:tc>
          <w:tcPr>
            <w:tcW w:w="1843" w:type="dxa"/>
            <w:shd w:val="clear" w:color="auto" w:fill="auto"/>
            <w:noWrap/>
            <w:vAlign w:val="center"/>
            <w:hideMark/>
          </w:tcPr>
          <w:p w14:paraId="1CA5E72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1 881 785 754,18</w:t>
            </w:r>
          </w:p>
        </w:tc>
        <w:tc>
          <w:tcPr>
            <w:tcW w:w="1618" w:type="dxa"/>
            <w:shd w:val="clear" w:color="auto" w:fill="auto"/>
            <w:noWrap/>
            <w:vAlign w:val="center"/>
            <w:hideMark/>
          </w:tcPr>
          <w:p w14:paraId="23A1322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35,95</w:t>
            </w:r>
          </w:p>
        </w:tc>
        <w:tc>
          <w:tcPr>
            <w:tcW w:w="1074" w:type="dxa"/>
            <w:shd w:val="clear" w:color="auto" w:fill="auto"/>
            <w:noWrap/>
            <w:vAlign w:val="center"/>
            <w:hideMark/>
          </w:tcPr>
          <w:p w14:paraId="7A0E1FD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337,61</w:t>
            </w:r>
          </w:p>
        </w:tc>
        <w:tc>
          <w:tcPr>
            <w:tcW w:w="1561" w:type="dxa"/>
            <w:shd w:val="clear" w:color="auto" w:fill="auto"/>
            <w:noWrap/>
            <w:vAlign w:val="center"/>
            <w:hideMark/>
          </w:tcPr>
          <w:p w14:paraId="0AE7755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248,33</w:t>
            </w:r>
          </w:p>
        </w:tc>
      </w:tr>
      <w:tr w:rsidR="00905E1F" w:rsidRPr="00AC3806" w14:paraId="29993A34" w14:textId="77777777" w:rsidTr="00C749ED">
        <w:trPr>
          <w:trHeight w:val="96"/>
        </w:trPr>
        <w:tc>
          <w:tcPr>
            <w:tcW w:w="1985" w:type="dxa"/>
            <w:shd w:val="clear" w:color="auto" w:fill="auto"/>
            <w:noWrap/>
            <w:vAlign w:val="center"/>
            <w:hideMark/>
          </w:tcPr>
          <w:p w14:paraId="22C47F04"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Верхнемамонский муниципальный район</w:t>
            </w:r>
          </w:p>
        </w:tc>
        <w:tc>
          <w:tcPr>
            <w:tcW w:w="1417" w:type="dxa"/>
            <w:shd w:val="clear" w:color="auto" w:fill="auto"/>
            <w:noWrap/>
            <w:vAlign w:val="center"/>
            <w:hideMark/>
          </w:tcPr>
          <w:p w14:paraId="6749814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1072</w:t>
            </w:r>
          </w:p>
        </w:tc>
        <w:tc>
          <w:tcPr>
            <w:tcW w:w="1985" w:type="dxa"/>
            <w:shd w:val="clear" w:color="auto" w:fill="auto"/>
            <w:noWrap/>
            <w:vAlign w:val="center"/>
            <w:hideMark/>
          </w:tcPr>
          <w:p w14:paraId="09F2B12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4 471 409 670,80</w:t>
            </w:r>
          </w:p>
        </w:tc>
        <w:tc>
          <w:tcPr>
            <w:tcW w:w="1984" w:type="dxa"/>
            <w:shd w:val="clear" w:color="auto" w:fill="auto"/>
            <w:noWrap/>
            <w:vAlign w:val="center"/>
            <w:hideMark/>
          </w:tcPr>
          <w:p w14:paraId="3E821B6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3 584 136 305,83</w:t>
            </w:r>
          </w:p>
        </w:tc>
        <w:tc>
          <w:tcPr>
            <w:tcW w:w="1418" w:type="dxa"/>
            <w:shd w:val="clear" w:color="auto" w:fill="auto"/>
            <w:noWrap/>
            <w:vAlign w:val="center"/>
            <w:hideMark/>
          </w:tcPr>
          <w:p w14:paraId="20610A4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19853266,14</w:t>
            </w:r>
          </w:p>
        </w:tc>
        <w:tc>
          <w:tcPr>
            <w:tcW w:w="1843" w:type="dxa"/>
            <w:shd w:val="clear" w:color="auto" w:fill="auto"/>
            <w:noWrap/>
            <w:vAlign w:val="center"/>
            <w:hideMark/>
          </w:tcPr>
          <w:p w14:paraId="45D49F9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887 273 364,97</w:t>
            </w:r>
          </w:p>
        </w:tc>
        <w:tc>
          <w:tcPr>
            <w:tcW w:w="1618" w:type="dxa"/>
            <w:shd w:val="clear" w:color="auto" w:fill="auto"/>
            <w:noWrap/>
            <w:vAlign w:val="center"/>
            <w:hideMark/>
          </w:tcPr>
          <w:p w14:paraId="08FBFEA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24,76</w:t>
            </w:r>
          </w:p>
        </w:tc>
        <w:tc>
          <w:tcPr>
            <w:tcW w:w="1074" w:type="dxa"/>
            <w:shd w:val="clear" w:color="auto" w:fill="auto"/>
            <w:noWrap/>
            <w:vAlign w:val="center"/>
            <w:hideMark/>
          </w:tcPr>
          <w:p w14:paraId="46647A5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225,22</w:t>
            </w:r>
          </w:p>
        </w:tc>
        <w:tc>
          <w:tcPr>
            <w:tcW w:w="1561" w:type="dxa"/>
            <w:shd w:val="clear" w:color="auto" w:fill="auto"/>
            <w:noWrap/>
            <w:vAlign w:val="center"/>
            <w:hideMark/>
          </w:tcPr>
          <w:p w14:paraId="17B5841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180,53</w:t>
            </w:r>
          </w:p>
        </w:tc>
      </w:tr>
      <w:tr w:rsidR="00905E1F" w:rsidRPr="00AC3806" w14:paraId="2E4F9CEE" w14:textId="77777777" w:rsidTr="00C749ED">
        <w:trPr>
          <w:trHeight w:val="96"/>
        </w:trPr>
        <w:tc>
          <w:tcPr>
            <w:tcW w:w="1985" w:type="dxa"/>
            <w:shd w:val="clear" w:color="auto" w:fill="auto"/>
            <w:noWrap/>
            <w:vAlign w:val="center"/>
            <w:hideMark/>
          </w:tcPr>
          <w:p w14:paraId="765A9A2E"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Верхнехавский муниципальный район</w:t>
            </w:r>
          </w:p>
        </w:tc>
        <w:tc>
          <w:tcPr>
            <w:tcW w:w="1417" w:type="dxa"/>
            <w:shd w:val="clear" w:color="auto" w:fill="auto"/>
            <w:noWrap/>
            <w:vAlign w:val="center"/>
            <w:hideMark/>
          </w:tcPr>
          <w:p w14:paraId="0CD9C6E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1382</w:t>
            </w:r>
          </w:p>
        </w:tc>
        <w:tc>
          <w:tcPr>
            <w:tcW w:w="1985" w:type="dxa"/>
            <w:shd w:val="clear" w:color="auto" w:fill="auto"/>
            <w:noWrap/>
            <w:vAlign w:val="center"/>
            <w:hideMark/>
          </w:tcPr>
          <w:p w14:paraId="19AF7C6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9 359 274 673,90</w:t>
            </w:r>
          </w:p>
        </w:tc>
        <w:tc>
          <w:tcPr>
            <w:tcW w:w="1984" w:type="dxa"/>
            <w:shd w:val="clear" w:color="auto" w:fill="auto"/>
            <w:noWrap/>
            <w:vAlign w:val="center"/>
            <w:hideMark/>
          </w:tcPr>
          <w:p w14:paraId="7C4567D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4 341 911 544,64</w:t>
            </w:r>
          </w:p>
        </w:tc>
        <w:tc>
          <w:tcPr>
            <w:tcW w:w="1418" w:type="dxa"/>
            <w:shd w:val="clear" w:color="auto" w:fill="auto"/>
            <w:noWrap/>
            <w:vAlign w:val="center"/>
            <w:hideMark/>
          </w:tcPr>
          <w:p w14:paraId="0DAE9CA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23525497,6</w:t>
            </w:r>
          </w:p>
        </w:tc>
        <w:tc>
          <w:tcPr>
            <w:tcW w:w="1843" w:type="dxa"/>
            <w:shd w:val="clear" w:color="auto" w:fill="auto"/>
            <w:noWrap/>
            <w:vAlign w:val="center"/>
            <w:hideMark/>
          </w:tcPr>
          <w:p w14:paraId="7EBD310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5 017 363 129,26</w:t>
            </w:r>
          </w:p>
        </w:tc>
        <w:tc>
          <w:tcPr>
            <w:tcW w:w="1618" w:type="dxa"/>
            <w:shd w:val="clear" w:color="auto" w:fill="auto"/>
            <w:noWrap/>
            <w:vAlign w:val="center"/>
            <w:hideMark/>
          </w:tcPr>
          <w:p w14:paraId="3B0F8CE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115,56</w:t>
            </w:r>
          </w:p>
        </w:tc>
        <w:tc>
          <w:tcPr>
            <w:tcW w:w="1074" w:type="dxa"/>
            <w:shd w:val="clear" w:color="auto" w:fill="auto"/>
            <w:noWrap/>
            <w:vAlign w:val="center"/>
            <w:hideMark/>
          </w:tcPr>
          <w:p w14:paraId="5E9D30F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397,84</w:t>
            </w:r>
          </w:p>
        </w:tc>
        <w:tc>
          <w:tcPr>
            <w:tcW w:w="1561" w:type="dxa"/>
            <w:shd w:val="clear" w:color="auto" w:fill="auto"/>
            <w:noWrap/>
            <w:vAlign w:val="center"/>
            <w:hideMark/>
          </w:tcPr>
          <w:p w14:paraId="4F6D472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184,56</w:t>
            </w:r>
          </w:p>
        </w:tc>
      </w:tr>
      <w:tr w:rsidR="00905E1F" w:rsidRPr="00AC3806" w14:paraId="79EED62D" w14:textId="77777777" w:rsidTr="00C749ED">
        <w:trPr>
          <w:trHeight w:val="96"/>
        </w:trPr>
        <w:tc>
          <w:tcPr>
            <w:tcW w:w="1985" w:type="dxa"/>
            <w:shd w:val="clear" w:color="auto" w:fill="auto"/>
            <w:noWrap/>
            <w:vAlign w:val="center"/>
            <w:hideMark/>
          </w:tcPr>
          <w:p w14:paraId="3F44104E"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Воробьёвский муниципальный район</w:t>
            </w:r>
          </w:p>
        </w:tc>
        <w:tc>
          <w:tcPr>
            <w:tcW w:w="1417" w:type="dxa"/>
            <w:shd w:val="clear" w:color="auto" w:fill="auto"/>
            <w:noWrap/>
            <w:vAlign w:val="center"/>
            <w:hideMark/>
          </w:tcPr>
          <w:p w14:paraId="313262D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1016</w:t>
            </w:r>
          </w:p>
        </w:tc>
        <w:tc>
          <w:tcPr>
            <w:tcW w:w="1985" w:type="dxa"/>
            <w:shd w:val="clear" w:color="auto" w:fill="auto"/>
            <w:noWrap/>
            <w:vAlign w:val="center"/>
            <w:hideMark/>
          </w:tcPr>
          <w:p w14:paraId="7507B30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4 322 942 858,17</w:t>
            </w:r>
          </w:p>
        </w:tc>
        <w:tc>
          <w:tcPr>
            <w:tcW w:w="1984" w:type="dxa"/>
            <w:shd w:val="clear" w:color="auto" w:fill="auto"/>
            <w:noWrap/>
            <w:vAlign w:val="center"/>
            <w:hideMark/>
          </w:tcPr>
          <w:p w14:paraId="436B8E8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2 006 748 836,90</w:t>
            </w:r>
          </w:p>
        </w:tc>
        <w:tc>
          <w:tcPr>
            <w:tcW w:w="1418" w:type="dxa"/>
            <w:shd w:val="clear" w:color="auto" w:fill="auto"/>
            <w:noWrap/>
            <w:vAlign w:val="center"/>
            <w:hideMark/>
          </w:tcPr>
          <w:p w14:paraId="10477E1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15746586,67</w:t>
            </w:r>
          </w:p>
        </w:tc>
        <w:tc>
          <w:tcPr>
            <w:tcW w:w="1843" w:type="dxa"/>
            <w:shd w:val="clear" w:color="auto" w:fill="auto"/>
            <w:noWrap/>
            <w:vAlign w:val="center"/>
            <w:hideMark/>
          </w:tcPr>
          <w:p w14:paraId="21BC7F1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2 316 194 021,27</w:t>
            </w:r>
          </w:p>
        </w:tc>
        <w:tc>
          <w:tcPr>
            <w:tcW w:w="1618" w:type="dxa"/>
            <w:shd w:val="clear" w:color="auto" w:fill="auto"/>
            <w:noWrap/>
            <w:vAlign w:val="center"/>
            <w:hideMark/>
          </w:tcPr>
          <w:p w14:paraId="576537B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115,42</w:t>
            </w:r>
          </w:p>
        </w:tc>
        <w:tc>
          <w:tcPr>
            <w:tcW w:w="1074" w:type="dxa"/>
            <w:shd w:val="clear" w:color="auto" w:fill="auto"/>
            <w:noWrap/>
            <w:vAlign w:val="center"/>
            <w:hideMark/>
          </w:tcPr>
          <w:p w14:paraId="6116C8C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274,53</w:t>
            </w:r>
          </w:p>
        </w:tc>
        <w:tc>
          <w:tcPr>
            <w:tcW w:w="1561" w:type="dxa"/>
            <w:shd w:val="clear" w:color="auto" w:fill="auto"/>
            <w:noWrap/>
            <w:vAlign w:val="center"/>
            <w:hideMark/>
          </w:tcPr>
          <w:p w14:paraId="4220A88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127,44</w:t>
            </w:r>
          </w:p>
        </w:tc>
      </w:tr>
      <w:tr w:rsidR="00905E1F" w:rsidRPr="00AC3806" w14:paraId="59BDF298" w14:textId="77777777" w:rsidTr="00C749ED">
        <w:trPr>
          <w:trHeight w:val="96"/>
        </w:trPr>
        <w:tc>
          <w:tcPr>
            <w:tcW w:w="1985" w:type="dxa"/>
            <w:shd w:val="clear" w:color="auto" w:fill="auto"/>
            <w:noWrap/>
            <w:vAlign w:val="center"/>
            <w:hideMark/>
          </w:tcPr>
          <w:p w14:paraId="5A9B7BF3"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Грибановский муниципальный район</w:t>
            </w:r>
          </w:p>
        </w:tc>
        <w:tc>
          <w:tcPr>
            <w:tcW w:w="1417" w:type="dxa"/>
            <w:shd w:val="clear" w:color="auto" w:fill="auto"/>
            <w:noWrap/>
            <w:vAlign w:val="center"/>
            <w:hideMark/>
          </w:tcPr>
          <w:p w14:paraId="19EF000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1150</w:t>
            </w:r>
          </w:p>
        </w:tc>
        <w:tc>
          <w:tcPr>
            <w:tcW w:w="1985" w:type="dxa"/>
            <w:shd w:val="clear" w:color="auto" w:fill="auto"/>
            <w:noWrap/>
            <w:vAlign w:val="center"/>
            <w:hideMark/>
          </w:tcPr>
          <w:p w14:paraId="00E0015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6 991 449 505,85</w:t>
            </w:r>
          </w:p>
        </w:tc>
        <w:tc>
          <w:tcPr>
            <w:tcW w:w="1984" w:type="dxa"/>
            <w:shd w:val="clear" w:color="auto" w:fill="auto"/>
            <w:noWrap/>
            <w:vAlign w:val="center"/>
            <w:hideMark/>
          </w:tcPr>
          <w:p w14:paraId="2C9FBAA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3 746 836 336,19</w:t>
            </w:r>
          </w:p>
        </w:tc>
        <w:tc>
          <w:tcPr>
            <w:tcW w:w="1418" w:type="dxa"/>
            <w:shd w:val="clear" w:color="auto" w:fill="auto"/>
            <w:noWrap/>
            <w:vAlign w:val="center"/>
            <w:hideMark/>
          </w:tcPr>
          <w:p w14:paraId="06C74E1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22048267,58</w:t>
            </w:r>
          </w:p>
        </w:tc>
        <w:tc>
          <w:tcPr>
            <w:tcW w:w="1843" w:type="dxa"/>
            <w:shd w:val="clear" w:color="auto" w:fill="auto"/>
            <w:noWrap/>
            <w:vAlign w:val="center"/>
            <w:hideMark/>
          </w:tcPr>
          <w:p w14:paraId="270A9B2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3 244 613 169,66</w:t>
            </w:r>
          </w:p>
        </w:tc>
        <w:tc>
          <w:tcPr>
            <w:tcW w:w="1618" w:type="dxa"/>
            <w:shd w:val="clear" w:color="auto" w:fill="auto"/>
            <w:noWrap/>
            <w:vAlign w:val="center"/>
            <w:hideMark/>
          </w:tcPr>
          <w:p w14:paraId="5CEF3FD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86,6</w:t>
            </w:r>
          </w:p>
        </w:tc>
        <w:tc>
          <w:tcPr>
            <w:tcW w:w="1074" w:type="dxa"/>
            <w:shd w:val="clear" w:color="auto" w:fill="auto"/>
            <w:noWrap/>
            <w:vAlign w:val="center"/>
            <w:hideMark/>
          </w:tcPr>
          <w:p w14:paraId="6170BEF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317,10</w:t>
            </w:r>
          </w:p>
        </w:tc>
        <w:tc>
          <w:tcPr>
            <w:tcW w:w="1561" w:type="dxa"/>
            <w:shd w:val="clear" w:color="auto" w:fill="auto"/>
            <w:noWrap/>
            <w:vAlign w:val="center"/>
            <w:hideMark/>
          </w:tcPr>
          <w:p w14:paraId="3D5AA6C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169,94</w:t>
            </w:r>
          </w:p>
        </w:tc>
      </w:tr>
      <w:tr w:rsidR="00905E1F" w:rsidRPr="00AC3806" w14:paraId="09E7836C" w14:textId="77777777" w:rsidTr="00C749ED">
        <w:trPr>
          <w:trHeight w:val="96"/>
        </w:trPr>
        <w:tc>
          <w:tcPr>
            <w:tcW w:w="1985" w:type="dxa"/>
            <w:shd w:val="clear" w:color="auto" w:fill="auto"/>
            <w:noWrap/>
            <w:vAlign w:val="center"/>
            <w:hideMark/>
          </w:tcPr>
          <w:p w14:paraId="67108F2D"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Калачеевский муниципальный район</w:t>
            </w:r>
          </w:p>
        </w:tc>
        <w:tc>
          <w:tcPr>
            <w:tcW w:w="1417" w:type="dxa"/>
            <w:shd w:val="clear" w:color="auto" w:fill="auto"/>
            <w:noWrap/>
            <w:vAlign w:val="center"/>
            <w:hideMark/>
          </w:tcPr>
          <w:p w14:paraId="0151A90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1988</w:t>
            </w:r>
          </w:p>
        </w:tc>
        <w:tc>
          <w:tcPr>
            <w:tcW w:w="1985" w:type="dxa"/>
            <w:shd w:val="clear" w:color="auto" w:fill="auto"/>
            <w:noWrap/>
            <w:vAlign w:val="center"/>
            <w:hideMark/>
          </w:tcPr>
          <w:p w14:paraId="34CD8EA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8 485 523 159,65</w:t>
            </w:r>
          </w:p>
        </w:tc>
        <w:tc>
          <w:tcPr>
            <w:tcW w:w="1984" w:type="dxa"/>
            <w:shd w:val="clear" w:color="auto" w:fill="auto"/>
            <w:noWrap/>
            <w:vAlign w:val="center"/>
            <w:hideMark/>
          </w:tcPr>
          <w:p w14:paraId="4CE5E60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6 991 611 329,77</w:t>
            </w:r>
          </w:p>
        </w:tc>
        <w:tc>
          <w:tcPr>
            <w:tcW w:w="1418" w:type="dxa"/>
            <w:shd w:val="clear" w:color="auto" w:fill="auto"/>
            <w:noWrap/>
            <w:vAlign w:val="center"/>
            <w:hideMark/>
          </w:tcPr>
          <w:p w14:paraId="2AB72FB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32393757,78</w:t>
            </w:r>
          </w:p>
        </w:tc>
        <w:tc>
          <w:tcPr>
            <w:tcW w:w="1843" w:type="dxa"/>
            <w:shd w:val="clear" w:color="auto" w:fill="auto"/>
            <w:noWrap/>
            <w:vAlign w:val="center"/>
            <w:hideMark/>
          </w:tcPr>
          <w:p w14:paraId="50AF51D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1 493 911 829,88</w:t>
            </w:r>
          </w:p>
        </w:tc>
        <w:tc>
          <w:tcPr>
            <w:tcW w:w="1618" w:type="dxa"/>
            <w:shd w:val="clear" w:color="auto" w:fill="auto"/>
            <w:noWrap/>
            <w:vAlign w:val="center"/>
            <w:hideMark/>
          </w:tcPr>
          <w:p w14:paraId="70E4237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21,37</w:t>
            </w:r>
          </w:p>
        </w:tc>
        <w:tc>
          <w:tcPr>
            <w:tcW w:w="1074" w:type="dxa"/>
            <w:shd w:val="clear" w:color="auto" w:fill="auto"/>
            <w:noWrap/>
            <w:vAlign w:val="center"/>
            <w:hideMark/>
          </w:tcPr>
          <w:p w14:paraId="7B323F9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261,95</w:t>
            </w:r>
          </w:p>
        </w:tc>
        <w:tc>
          <w:tcPr>
            <w:tcW w:w="1561" w:type="dxa"/>
            <w:shd w:val="clear" w:color="auto" w:fill="auto"/>
            <w:noWrap/>
            <w:vAlign w:val="center"/>
            <w:hideMark/>
          </w:tcPr>
          <w:p w14:paraId="51BE3AE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215,83</w:t>
            </w:r>
          </w:p>
        </w:tc>
      </w:tr>
      <w:tr w:rsidR="00905E1F" w:rsidRPr="00AC3806" w14:paraId="727769DE" w14:textId="77777777" w:rsidTr="00C749ED">
        <w:trPr>
          <w:trHeight w:val="96"/>
        </w:trPr>
        <w:tc>
          <w:tcPr>
            <w:tcW w:w="1985" w:type="dxa"/>
            <w:shd w:val="clear" w:color="auto" w:fill="auto"/>
            <w:noWrap/>
            <w:vAlign w:val="center"/>
            <w:hideMark/>
          </w:tcPr>
          <w:p w14:paraId="11A97A3D"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Каменский муниципальный район</w:t>
            </w:r>
          </w:p>
        </w:tc>
        <w:tc>
          <w:tcPr>
            <w:tcW w:w="1417" w:type="dxa"/>
            <w:shd w:val="clear" w:color="auto" w:fill="auto"/>
            <w:noWrap/>
            <w:vAlign w:val="center"/>
            <w:hideMark/>
          </w:tcPr>
          <w:p w14:paraId="2DC32BE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699</w:t>
            </w:r>
          </w:p>
        </w:tc>
        <w:tc>
          <w:tcPr>
            <w:tcW w:w="1985" w:type="dxa"/>
            <w:shd w:val="clear" w:color="auto" w:fill="auto"/>
            <w:noWrap/>
            <w:vAlign w:val="center"/>
            <w:hideMark/>
          </w:tcPr>
          <w:p w14:paraId="3377600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4 269 989 631,14</w:t>
            </w:r>
          </w:p>
        </w:tc>
        <w:tc>
          <w:tcPr>
            <w:tcW w:w="1984" w:type="dxa"/>
            <w:shd w:val="clear" w:color="auto" w:fill="auto"/>
            <w:noWrap/>
            <w:vAlign w:val="center"/>
            <w:hideMark/>
          </w:tcPr>
          <w:p w14:paraId="05AAFD9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1 866 024 707,48</w:t>
            </w:r>
          </w:p>
        </w:tc>
        <w:tc>
          <w:tcPr>
            <w:tcW w:w="1418" w:type="dxa"/>
            <w:shd w:val="clear" w:color="auto" w:fill="auto"/>
            <w:noWrap/>
            <w:vAlign w:val="center"/>
            <w:hideMark/>
          </w:tcPr>
          <w:p w14:paraId="0BCEC9D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13806404,07</w:t>
            </w:r>
          </w:p>
        </w:tc>
        <w:tc>
          <w:tcPr>
            <w:tcW w:w="1843" w:type="dxa"/>
            <w:shd w:val="clear" w:color="auto" w:fill="auto"/>
            <w:noWrap/>
            <w:vAlign w:val="center"/>
            <w:hideMark/>
          </w:tcPr>
          <w:p w14:paraId="17231ED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2 403 964 923,66</w:t>
            </w:r>
          </w:p>
        </w:tc>
        <w:tc>
          <w:tcPr>
            <w:tcW w:w="1618" w:type="dxa"/>
            <w:shd w:val="clear" w:color="auto" w:fill="auto"/>
            <w:noWrap/>
            <w:vAlign w:val="center"/>
            <w:hideMark/>
          </w:tcPr>
          <w:p w14:paraId="39630C1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128,83</w:t>
            </w:r>
          </w:p>
        </w:tc>
        <w:tc>
          <w:tcPr>
            <w:tcW w:w="1074" w:type="dxa"/>
            <w:shd w:val="clear" w:color="auto" w:fill="auto"/>
            <w:noWrap/>
            <w:vAlign w:val="center"/>
            <w:hideMark/>
          </w:tcPr>
          <w:p w14:paraId="27D40DC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309,28</w:t>
            </w:r>
          </w:p>
        </w:tc>
        <w:tc>
          <w:tcPr>
            <w:tcW w:w="1561" w:type="dxa"/>
            <w:shd w:val="clear" w:color="auto" w:fill="auto"/>
            <w:noWrap/>
            <w:vAlign w:val="center"/>
            <w:hideMark/>
          </w:tcPr>
          <w:p w14:paraId="0D22287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135,16</w:t>
            </w:r>
          </w:p>
        </w:tc>
      </w:tr>
      <w:tr w:rsidR="00905E1F" w:rsidRPr="00AC3806" w14:paraId="5B7CB162" w14:textId="77777777" w:rsidTr="00C749ED">
        <w:trPr>
          <w:trHeight w:val="96"/>
        </w:trPr>
        <w:tc>
          <w:tcPr>
            <w:tcW w:w="1985" w:type="dxa"/>
            <w:shd w:val="clear" w:color="auto" w:fill="auto"/>
            <w:noWrap/>
            <w:vAlign w:val="center"/>
            <w:hideMark/>
          </w:tcPr>
          <w:p w14:paraId="6A256787"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Кантемировский муниципальный район</w:t>
            </w:r>
          </w:p>
        </w:tc>
        <w:tc>
          <w:tcPr>
            <w:tcW w:w="1417" w:type="dxa"/>
            <w:shd w:val="clear" w:color="auto" w:fill="auto"/>
            <w:noWrap/>
            <w:vAlign w:val="center"/>
            <w:hideMark/>
          </w:tcPr>
          <w:p w14:paraId="380185E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1644</w:t>
            </w:r>
          </w:p>
        </w:tc>
        <w:tc>
          <w:tcPr>
            <w:tcW w:w="1985" w:type="dxa"/>
            <w:shd w:val="clear" w:color="auto" w:fill="auto"/>
            <w:noWrap/>
            <w:vAlign w:val="center"/>
            <w:hideMark/>
          </w:tcPr>
          <w:p w14:paraId="2D79C86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8 124 071 627,76</w:t>
            </w:r>
          </w:p>
        </w:tc>
        <w:tc>
          <w:tcPr>
            <w:tcW w:w="1984" w:type="dxa"/>
            <w:shd w:val="clear" w:color="auto" w:fill="auto"/>
            <w:noWrap/>
            <w:vAlign w:val="center"/>
            <w:hideMark/>
          </w:tcPr>
          <w:p w14:paraId="340AE69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3 500 918 407,67</w:t>
            </w:r>
          </w:p>
        </w:tc>
        <w:tc>
          <w:tcPr>
            <w:tcW w:w="1418" w:type="dxa"/>
            <w:shd w:val="clear" w:color="auto" w:fill="auto"/>
            <w:noWrap/>
            <w:vAlign w:val="center"/>
            <w:hideMark/>
          </w:tcPr>
          <w:p w14:paraId="213C5B3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29956340,47</w:t>
            </w:r>
          </w:p>
        </w:tc>
        <w:tc>
          <w:tcPr>
            <w:tcW w:w="1843" w:type="dxa"/>
            <w:shd w:val="clear" w:color="auto" w:fill="auto"/>
            <w:noWrap/>
            <w:vAlign w:val="center"/>
            <w:hideMark/>
          </w:tcPr>
          <w:p w14:paraId="2384F1B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4 623 153 220,09</w:t>
            </w:r>
          </w:p>
        </w:tc>
        <w:tc>
          <w:tcPr>
            <w:tcW w:w="1618" w:type="dxa"/>
            <w:shd w:val="clear" w:color="auto" w:fill="auto"/>
            <w:noWrap/>
            <w:vAlign w:val="center"/>
            <w:hideMark/>
          </w:tcPr>
          <w:p w14:paraId="3E3A39B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132,06</w:t>
            </w:r>
          </w:p>
        </w:tc>
        <w:tc>
          <w:tcPr>
            <w:tcW w:w="1074" w:type="dxa"/>
            <w:shd w:val="clear" w:color="auto" w:fill="auto"/>
            <w:noWrap/>
            <w:vAlign w:val="center"/>
            <w:hideMark/>
          </w:tcPr>
          <w:p w14:paraId="5AC631A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271,20</w:t>
            </w:r>
          </w:p>
        </w:tc>
        <w:tc>
          <w:tcPr>
            <w:tcW w:w="1561" w:type="dxa"/>
            <w:shd w:val="clear" w:color="auto" w:fill="auto"/>
            <w:noWrap/>
            <w:vAlign w:val="center"/>
            <w:hideMark/>
          </w:tcPr>
          <w:p w14:paraId="006C72C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116,87</w:t>
            </w:r>
          </w:p>
        </w:tc>
      </w:tr>
      <w:tr w:rsidR="00905E1F" w:rsidRPr="00AC3806" w14:paraId="6FF00099" w14:textId="77777777" w:rsidTr="00C749ED">
        <w:trPr>
          <w:trHeight w:val="96"/>
        </w:trPr>
        <w:tc>
          <w:tcPr>
            <w:tcW w:w="1985" w:type="dxa"/>
            <w:shd w:val="clear" w:color="auto" w:fill="auto"/>
            <w:noWrap/>
            <w:vAlign w:val="center"/>
            <w:hideMark/>
          </w:tcPr>
          <w:p w14:paraId="59ADDC0F"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Каширский муниципальный район</w:t>
            </w:r>
          </w:p>
        </w:tc>
        <w:tc>
          <w:tcPr>
            <w:tcW w:w="1417" w:type="dxa"/>
            <w:shd w:val="clear" w:color="auto" w:fill="auto"/>
            <w:noWrap/>
            <w:vAlign w:val="center"/>
            <w:hideMark/>
          </w:tcPr>
          <w:p w14:paraId="7DE0207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1031</w:t>
            </w:r>
          </w:p>
        </w:tc>
        <w:tc>
          <w:tcPr>
            <w:tcW w:w="1985" w:type="dxa"/>
            <w:shd w:val="clear" w:color="auto" w:fill="auto"/>
            <w:noWrap/>
            <w:vAlign w:val="center"/>
            <w:hideMark/>
          </w:tcPr>
          <w:p w14:paraId="1A4B2A9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10 233 385 782,82</w:t>
            </w:r>
          </w:p>
        </w:tc>
        <w:tc>
          <w:tcPr>
            <w:tcW w:w="1984" w:type="dxa"/>
            <w:shd w:val="clear" w:color="auto" w:fill="auto"/>
            <w:noWrap/>
            <w:vAlign w:val="center"/>
            <w:hideMark/>
          </w:tcPr>
          <w:p w14:paraId="50AE7C5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3 167 007 803,66</w:t>
            </w:r>
          </w:p>
        </w:tc>
        <w:tc>
          <w:tcPr>
            <w:tcW w:w="1418" w:type="dxa"/>
            <w:shd w:val="clear" w:color="auto" w:fill="auto"/>
            <w:noWrap/>
            <w:vAlign w:val="center"/>
            <w:hideMark/>
          </w:tcPr>
          <w:p w14:paraId="50E5BF8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25234243,49</w:t>
            </w:r>
          </w:p>
        </w:tc>
        <w:tc>
          <w:tcPr>
            <w:tcW w:w="1843" w:type="dxa"/>
            <w:shd w:val="clear" w:color="auto" w:fill="auto"/>
            <w:noWrap/>
            <w:vAlign w:val="center"/>
            <w:hideMark/>
          </w:tcPr>
          <w:p w14:paraId="18F132F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7 066 377 979,16</w:t>
            </w:r>
          </w:p>
        </w:tc>
        <w:tc>
          <w:tcPr>
            <w:tcW w:w="1618" w:type="dxa"/>
            <w:shd w:val="clear" w:color="auto" w:fill="auto"/>
            <w:noWrap/>
            <w:vAlign w:val="center"/>
            <w:hideMark/>
          </w:tcPr>
          <w:p w14:paraId="783C61C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223,12</w:t>
            </w:r>
          </w:p>
        </w:tc>
        <w:tc>
          <w:tcPr>
            <w:tcW w:w="1074" w:type="dxa"/>
            <w:shd w:val="clear" w:color="auto" w:fill="auto"/>
            <w:noWrap/>
            <w:vAlign w:val="center"/>
            <w:hideMark/>
          </w:tcPr>
          <w:p w14:paraId="3F7EFBE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405,54</w:t>
            </w:r>
          </w:p>
        </w:tc>
        <w:tc>
          <w:tcPr>
            <w:tcW w:w="1561" w:type="dxa"/>
            <w:shd w:val="clear" w:color="auto" w:fill="auto"/>
            <w:noWrap/>
            <w:vAlign w:val="center"/>
            <w:hideMark/>
          </w:tcPr>
          <w:p w14:paraId="0592E88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125,50</w:t>
            </w:r>
          </w:p>
        </w:tc>
      </w:tr>
      <w:tr w:rsidR="00905E1F" w:rsidRPr="00AC3806" w14:paraId="395A3167" w14:textId="77777777" w:rsidTr="00C749ED">
        <w:trPr>
          <w:trHeight w:val="96"/>
        </w:trPr>
        <w:tc>
          <w:tcPr>
            <w:tcW w:w="1985" w:type="dxa"/>
            <w:shd w:val="clear" w:color="auto" w:fill="auto"/>
            <w:noWrap/>
            <w:vAlign w:val="center"/>
            <w:hideMark/>
          </w:tcPr>
          <w:p w14:paraId="6553E132"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Лискинский муниципальный район</w:t>
            </w:r>
          </w:p>
        </w:tc>
        <w:tc>
          <w:tcPr>
            <w:tcW w:w="1417" w:type="dxa"/>
            <w:shd w:val="clear" w:color="auto" w:fill="auto"/>
            <w:noWrap/>
            <w:vAlign w:val="center"/>
            <w:hideMark/>
          </w:tcPr>
          <w:p w14:paraId="5DF31F7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2323</w:t>
            </w:r>
          </w:p>
        </w:tc>
        <w:tc>
          <w:tcPr>
            <w:tcW w:w="1985" w:type="dxa"/>
            <w:shd w:val="clear" w:color="auto" w:fill="auto"/>
            <w:noWrap/>
            <w:vAlign w:val="center"/>
            <w:hideMark/>
          </w:tcPr>
          <w:p w14:paraId="530C06E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29 167 309 951,98</w:t>
            </w:r>
          </w:p>
        </w:tc>
        <w:tc>
          <w:tcPr>
            <w:tcW w:w="1984" w:type="dxa"/>
            <w:shd w:val="clear" w:color="auto" w:fill="auto"/>
            <w:noWrap/>
            <w:vAlign w:val="center"/>
            <w:hideMark/>
          </w:tcPr>
          <w:p w14:paraId="0F72B05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32 098 115 046,80</w:t>
            </w:r>
          </w:p>
        </w:tc>
        <w:tc>
          <w:tcPr>
            <w:tcW w:w="1418" w:type="dxa"/>
            <w:shd w:val="clear" w:color="auto" w:fill="auto"/>
            <w:noWrap/>
            <w:vAlign w:val="center"/>
            <w:hideMark/>
          </w:tcPr>
          <w:p w14:paraId="3DE4490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78808995,09</w:t>
            </w:r>
          </w:p>
        </w:tc>
        <w:tc>
          <w:tcPr>
            <w:tcW w:w="1843" w:type="dxa"/>
            <w:shd w:val="clear" w:color="auto" w:fill="auto"/>
            <w:noWrap/>
            <w:vAlign w:val="center"/>
            <w:hideMark/>
          </w:tcPr>
          <w:p w14:paraId="79D1A32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-2 930 805 094,82</w:t>
            </w:r>
          </w:p>
        </w:tc>
        <w:tc>
          <w:tcPr>
            <w:tcW w:w="1618" w:type="dxa"/>
            <w:shd w:val="clear" w:color="auto" w:fill="auto"/>
            <w:noWrap/>
            <w:vAlign w:val="center"/>
            <w:hideMark/>
          </w:tcPr>
          <w:p w14:paraId="7A6DB9D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-9,13</w:t>
            </w:r>
          </w:p>
        </w:tc>
        <w:tc>
          <w:tcPr>
            <w:tcW w:w="1074" w:type="dxa"/>
            <w:shd w:val="clear" w:color="auto" w:fill="auto"/>
            <w:noWrap/>
            <w:vAlign w:val="center"/>
            <w:hideMark/>
          </w:tcPr>
          <w:p w14:paraId="5E7EFB1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370,10</w:t>
            </w:r>
          </w:p>
        </w:tc>
        <w:tc>
          <w:tcPr>
            <w:tcW w:w="1561" w:type="dxa"/>
            <w:shd w:val="clear" w:color="auto" w:fill="auto"/>
            <w:noWrap/>
            <w:vAlign w:val="center"/>
            <w:hideMark/>
          </w:tcPr>
          <w:p w14:paraId="4874868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407,29</w:t>
            </w:r>
          </w:p>
        </w:tc>
      </w:tr>
      <w:tr w:rsidR="00905E1F" w:rsidRPr="00AC3806" w14:paraId="377A9397" w14:textId="77777777" w:rsidTr="00C749ED">
        <w:trPr>
          <w:trHeight w:val="96"/>
        </w:trPr>
        <w:tc>
          <w:tcPr>
            <w:tcW w:w="1985" w:type="dxa"/>
            <w:shd w:val="clear" w:color="auto" w:fill="auto"/>
            <w:noWrap/>
            <w:vAlign w:val="center"/>
            <w:hideMark/>
          </w:tcPr>
          <w:p w14:paraId="54260B04"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Нижнедевицкий муниципальный район</w:t>
            </w:r>
          </w:p>
        </w:tc>
        <w:tc>
          <w:tcPr>
            <w:tcW w:w="1417" w:type="dxa"/>
            <w:shd w:val="clear" w:color="auto" w:fill="auto"/>
            <w:noWrap/>
            <w:vAlign w:val="center"/>
            <w:hideMark/>
          </w:tcPr>
          <w:p w14:paraId="5281870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1317</w:t>
            </w:r>
          </w:p>
        </w:tc>
        <w:tc>
          <w:tcPr>
            <w:tcW w:w="1985" w:type="dxa"/>
            <w:shd w:val="clear" w:color="auto" w:fill="auto"/>
            <w:noWrap/>
            <w:vAlign w:val="center"/>
            <w:hideMark/>
          </w:tcPr>
          <w:p w14:paraId="4E26B51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4 276 720 555,89</w:t>
            </w:r>
          </w:p>
        </w:tc>
        <w:tc>
          <w:tcPr>
            <w:tcW w:w="1984" w:type="dxa"/>
            <w:shd w:val="clear" w:color="auto" w:fill="auto"/>
            <w:noWrap/>
            <w:vAlign w:val="center"/>
            <w:hideMark/>
          </w:tcPr>
          <w:p w14:paraId="3DFE3C7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1 232 845 278,97</w:t>
            </w:r>
          </w:p>
        </w:tc>
        <w:tc>
          <w:tcPr>
            <w:tcW w:w="1418" w:type="dxa"/>
            <w:shd w:val="clear" w:color="auto" w:fill="auto"/>
            <w:noWrap/>
            <w:vAlign w:val="center"/>
            <w:hideMark/>
          </w:tcPr>
          <w:p w14:paraId="5D62D73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14468527,52</w:t>
            </w:r>
          </w:p>
        </w:tc>
        <w:tc>
          <w:tcPr>
            <w:tcW w:w="1843" w:type="dxa"/>
            <w:shd w:val="clear" w:color="auto" w:fill="auto"/>
            <w:noWrap/>
            <w:vAlign w:val="center"/>
            <w:hideMark/>
          </w:tcPr>
          <w:p w14:paraId="33E7D42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3 043 875 276,92</w:t>
            </w:r>
          </w:p>
        </w:tc>
        <w:tc>
          <w:tcPr>
            <w:tcW w:w="1618" w:type="dxa"/>
            <w:shd w:val="clear" w:color="auto" w:fill="auto"/>
            <w:noWrap/>
            <w:vAlign w:val="center"/>
            <w:hideMark/>
          </w:tcPr>
          <w:p w14:paraId="5FC23D8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246,9</w:t>
            </w:r>
          </w:p>
        </w:tc>
        <w:tc>
          <w:tcPr>
            <w:tcW w:w="1074" w:type="dxa"/>
            <w:shd w:val="clear" w:color="auto" w:fill="auto"/>
            <w:noWrap/>
            <w:vAlign w:val="center"/>
            <w:hideMark/>
          </w:tcPr>
          <w:p w14:paraId="39BF0C5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295,59</w:t>
            </w:r>
          </w:p>
        </w:tc>
        <w:tc>
          <w:tcPr>
            <w:tcW w:w="1561" w:type="dxa"/>
            <w:shd w:val="clear" w:color="auto" w:fill="auto"/>
            <w:noWrap/>
            <w:vAlign w:val="center"/>
            <w:hideMark/>
          </w:tcPr>
          <w:p w14:paraId="7149CE4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85,21</w:t>
            </w:r>
          </w:p>
        </w:tc>
      </w:tr>
      <w:tr w:rsidR="00905E1F" w:rsidRPr="00AC3806" w14:paraId="3EEB5D8B" w14:textId="77777777" w:rsidTr="00C749ED">
        <w:trPr>
          <w:trHeight w:val="96"/>
        </w:trPr>
        <w:tc>
          <w:tcPr>
            <w:tcW w:w="1985" w:type="dxa"/>
            <w:shd w:val="clear" w:color="auto" w:fill="auto"/>
            <w:noWrap/>
            <w:vAlign w:val="center"/>
            <w:hideMark/>
          </w:tcPr>
          <w:p w14:paraId="747CEAFC"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Новоусманский муниципальный район</w:t>
            </w:r>
          </w:p>
        </w:tc>
        <w:tc>
          <w:tcPr>
            <w:tcW w:w="1417" w:type="dxa"/>
            <w:shd w:val="clear" w:color="auto" w:fill="auto"/>
            <w:noWrap/>
            <w:vAlign w:val="center"/>
            <w:hideMark/>
          </w:tcPr>
          <w:p w14:paraId="774FAB4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3350</w:t>
            </w:r>
          </w:p>
        </w:tc>
        <w:tc>
          <w:tcPr>
            <w:tcW w:w="1985" w:type="dxa"/>
            <w:shd w:val="clear" w:color="auto" w:fill="auto"/>
            <w:noWrap/>
            <w:vAlign w:val="center"/>
            <w:hideMark/>
          </w:tcPr>
          <w:p w14:paraId="466B763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25 013 121 822,16</w:t>
            </w:r>
          </w:p>
        </w:tc>
        <w:tc>
          <w:tcPr>
            <w:tcW w:w="1984" w:type="dxa"/>
            <w:shd w:val="clear" w:color="auto" w:fill="auto"/>
            <w:noWrap/>
            <w:vAlign w:val="center"/>
            <w:hideMark/>
          </w:tcPr>
          <w:p w14:paraId="23A34D0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16 217 248 055,45</w:t>
            </w:r>
          </w:p>
        </w:tc>
        <w:tc>
          <w:tcPr>
            <w:tcW w:w="1418" w:type="dxa"/>
            <w:shd w:val="clear" w:color="auto" w:fill="auto"/>
            <w:noWrap/>
            <w:vAlign w:val="center"/>
            <w:hideMark/>
          </w:tcPr>
          <w:p w14:paraId="4ACF346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44574642,13</w:t>
            </w:r>
          </w:p>
        </w:tc>
        <w:tc>
          <w:tcPr>
            <w:tcW w:w="1843" w:type="dxa"/>
            <w:shd w:val="clear" w:color="auto" w:fill="auto"/>
            <w:noWrap/>
            <w:vAlign w:val="center"/>
            <w:hideMark/>
          </w:tcPr>
          <w:p w14:paraId="0A1B117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8 795 873 766,71</w:t>
            </w:r>
          </w:p>
        </w:tc>
        <w:tc>
          <w:tcPr>
            <w:tcW w:w="1618" w:type="dxa"/>
            <w:shd w:val="clear" w:color="auto" w:fill="auto"/>
            <w:noWrap/>
            <w:vAlign w:val="center"/>
            <w:hideMark/>
          </w:tcPr>
          <w:p w14:paraId="4B7AC4B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54,24</w:t>
            </w:r>
          </w:p>
        </w:tc>
        <w:tc>
          <w:tcPr>
            <w:tcW w:w="1074" w:type="dxa"/>
            <w:shd w:val="clear" w:color="auto" w:fill="auto"/>
            <w:noWrap/>
            <w:vAlign w:val="center"/>
            <w:hideMark/>
          </w:tcPr>
          <w:p w14:paraId="3FD9BEA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561,15</w:t>
            </w:r>
          </w:p>
        </w:tc>
        <w:tc>
          <w:tcPr>
            <w:tcW w:w="1561" w:type="dxa"/>
            <w:shd w:val="clear" w:color="auto" w:fill="auto"/>
            <w:noWrap/>
            <w:vAlign w:val="center"/>
            <w:hideMark/>
          </w:tcPr>
          <w:p w14:paraId="1F73F78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363,82</w:t>
            </w:r>
          </w:p>
        </w:tc>
      </w:tr>
      <w:tr w:rsidR="00905E1F" w:rsidRPr="00AC3806" w14:paraId="3E6C0EFC" w14:textId="77777777" w:rsidTr="00C749ED">
        <w:trPr>
          <w:trHeight w:val="96"/>
        </w:trPr>
        <w:tc>
          <w:tcPr>
            <w:tcW w:w="1985" w:type="dxa"/>
            <w:shd w:val="clear" w:color="auto" w:fill="auto"/>
            <w:noWrap/>
            <w:vAlign w:val="center"/>
            <w:hideMark/>
          </w:tcPr>
          <w:p w14:paraId="6670681F"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Новохопёрский муниципальный район</w:t>
            </w:r>
          </w:p>
        </w:tc>
        <w:tc>
          <w:tcPr>
            <w:tcW w:w="1417" w:type="dxa"/>
            <w:shd w:val="clear" w:color="auto" w:fill="auto"/>
            <w:noWrap/>
            <w:vAlign w:val="center"/>
            <w:hideMark/>
          </w:tcPr>
          <w:p w14:paraId="01576A2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1841</w:t>
            </w:r>
          </w:p>
        </w:tc>
        <w:tc>
          <w:tcPr>
            <w:tcW w:w="1985" w:type="dxa"/>
            <w:shd w:val="clear" w:color="auto" w:fill="auto"/>
            <w:noWrap/>
            <w:vAlign w:val="center"/>
            <w:hideMark/>
          </w:tcPr>
          <w:p w14:paraId="1190C59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9 744 893 415,03</w:t>
            </w:r>
          </w:p>
        </w:tc>
        <w:tc>
          <w:tcPr>
            <w:tcW w:w="1984" w:type="dxa"/>
            <w:shd w:val="clear" w:color="auto" w:fill="auto"/>
            <w:noWrap/>
            <w:vAlign w:val="center"/>
            <w:hideMark/>
          </w:tcPr>
          <w:p w14:paraId="79F9271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5 471 015 801,31</w:t>
            </w:r>
          </w:p>
        </w:tc>
        <w:tc>
          <w:tcPr>
            <w:tcW w:w="1418" w:type="dxa"/>
            <w:shd w:val="clear" w:color="auto" w:fill="auto"/>
            <w:noWrap/>
            <w:vAlign w:val="center"/>
            <w:hideMark/>
          </w:tcPr>
          <w:p w14:paraId="665E998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40156891,61</w:t>
            </w:r>
          </w:p>
        </w:tc>
        <w:tc>
          <w:tcPr>
            <w:tcW w:w="1843" w:type="dxa"/>
            <w:shd w:val="clear" w:color="auto" w:fill="auto"/>
            <w:noWrap/>
            <w:vAlign w:val="center"/>
            <w:hideMark/>
          </w:tcPr>
          <w:p w14:paraId="5633C5C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4 273 877 613,72</w:t>
            </w:r>
          </w:p>
        </w:tc>
        <w:tc>
          <w:tcPr>
            <w:tcW w:w="1618" w:type="dxa"/>
            <w:shd w:val="clear" w:color="auto" w:fill="auto"/>
            <w:noWrap/>
            <w:vAlign w:val="center"/>
            <w:hideMark/>
          </w:tcPr>
          <w:p w14:paraId="1B381E7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78,12</w:t>
            </w:r>
          </w:p>
        </w:tc>
        <w:tc>
          <w:tcPr>
            <w:tcW w:w="1074" w:type="dxa"/>
            <w:shd w:val="clear" w:color="auto" w:fill="auto"/>
            <w:noWrap/>
            <w:vAlign w:val="center"/>
            <w:hideMark/>
          </w:tcPr>
          <w:p w14:paraId="52F4AE2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242,67</w:t>
            </w:r>
          </w:p>
        </w:tc>
        <w:tc>
          <w:tcPr>
            <w:tcW w:w="1561" w:type="dxa"/>
            <w:shd w:val="clear" w:color="auto" w:fill="auto"/>
            <w:noWrap/>
            <w:vAlign w:val="center"/>
            <w:hideMark/>
          </w:tcPr>
          <w:p w14:paraId="0FC973C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136,24</w:t>
            </w:r>
          </w:p>
        </w:tc>
      </w:tr>
      <w:tr w:rsidR="00905E1F" w:rsidRPr="00AC3806" w14:paraId="23D412EB" w14:textId="77777777" w:rsidTr="00C749ED">
        <w:trPr>
          <w:trHeight w:val="96"/>
        </w:trPr>
        <w:tc>
          <w:tcPr>
            <w:tcW w:w="1985" w:type="dxa"/>
            <w:shd w:val="clear" w:color="auto" w:fill="auto"/>
            <w:noWrap/>
            <w:vAlign w:val="center"/>
            <w:hideMark/>
          </w:tcPr>
          <w:p w14:paraId="5287A406"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Ольховатский муниципальный район</w:t>
            </w:r>
          </w:p>
        </w:tc>
        <w:tc>
          <w:tcPr>
            <w:tcW w:w="1417" w:type="dxa"/>
            <w:shd w:val="clear" w:color="auto" w:fill="auto"/>
            <w:noWrap/>
            <w:vAlign w:val="center"/>
            <w:hideMark/>
          </w:tcPr>
          <w:p w14:paraId="38AC692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1007</w:t>
            </w:r>
          </w:p>
        </w:tc>
        <w:tc>
          <w:tcPr>
            <w:tcW w:w="1985" w:type="dxa"/>
            <w:shd w:val="clear" w:color="auto" w:fill="auto"/>
            <w:noWrap/>
            <w:vAlign w:val="center"/>
            <w:hideMark/>
          </w:tcPr>
          <w:p w14:paraId="494AB10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3 288 321 578,41</w:t>
            </w:r>
          </w:p>
        </w:tc>
        <w:tc>
          <w:tcPr>
            <w:tcW w:w="1984" w:type="dxa"/>
            <w:shd w:val="clear" w:color="auto" w:fill="auto"/>
            <w:noWrap/>
            <w:vAlign w:val="center"/>
            <w:hideMark/>
          </w:tcPr>
          <w:p w14:paraId="5175DAF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3 019 417 407,65</w:t>
            </w:r>
          </w:p>
        </w:tc>
        <w:tc>
          <w:tcPr>
            <w:tcW w:w="1418" w:type="dxa"/>
            <w:shd w:val="clear" w:color="auto" w:fill="auto"/>
            <w:noWrap/>
            <w:vAlign w:val="center"/>
            <w:hideMark/>
          </w:tcPr>
          <w:p w14:paraId="315E20E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10639867,1</w:t>
            </w:r>
          </w:p>
        </w:tc>
        <w:tc>
          <w:tcPr>
            <w:tcW w:w="1843" w:type="dxa"/>
            <w:shd w:val="clear" w:color="auto" w:fill="auto"/>
            <w:noWrap/>
            <w:vAlign w:val="center"/>
            <w:hideMark/>
          </w:tcPr>
          <w:p w14:paraId="032027D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268 904 170,76</w:t>
            </w:r>
          </w:p>
        </w:tc>
        <w:tc>
          <w:tcPr>
            <w:tcW w:w="1618" w:type="dxa"/>
            <w:shd w:val="clear" w:color="auto" w:fill="auto"/>
            <w:noWrap/>
            <w:vAlign w:val="center"/>
            <w:hideMark/>
          </w:tcPr>
          <w:p w14:paraId="03A51D4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8,91</w:t>
            </w:r>
          </w:p>
        </w:tc>
        <w:tc>
          <w:tcPr>
            <w:tcW w:w="1074" w:type="dxa"/>
            <w:shd w:val="clear" w:color="auto" w:fill="auto"/>
            <w:noWrap/>
            <w:vAlign w:val="center"/>
            <w:hideMark/>
          </w:tcPr>
          <w:p w14:paraId="705FF84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309,06</w:t>
            </w:r>
          </w:p>
        </w:tc>
        <w:tc>
          <w:tcPr>
            <w:tcW w:w="1561" w:type="dxa"/>
            <w:shd w:val="clear" w:color="auto" w:fill="auto"/>
            <w:noWrap/>
            <w:vAlign w:val="center"/>
            <w:hideMark/>
          </w:tcPr>
          <w:p w14:paraId="2CC5302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283,78</w:t>
            </w:r>
          </w:p>
        </w:tc>
      </w:tr>
      <w:tr w:rsidR="00905E1F" w:rsidRPr="00AC3806" w14:paraId="7D228BA3" w14:textId="77777777" w:rsidTr="00C749ED">
        <w:trPr>
          <w:trHeight w:val="96"/>
        </w:trPr>
        <w:tc>
          <w:tcPr>
            <w:tcW w:w="1985" w:type="dxa"/>
            <w:shd w:val="clear" w:color="auto" w:fill="auto"/>
            <w:noWrap/>
            <w:vAlign w:val="center"/>
            <w:hideMark/>
          </w:tcPr>
          <w:p w14:paraId="19E68C4D"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Острогожский муниципальный район</w:t>
            </w:r>
          </w:p>
        </w:tc>
        <w:tc>
          <w:tcPr>
            <w:tcW w:w="1417" w:type="dxa"/>
            <w:shd w:val="clear" w:color="auto" w:fill="auto"/>
            <w:noWrap/>
            <w:vAlign w:val="center"/>
            <w:hideMark/>
          </w:tcPr>
          <w:p w14:paraId="3CA1320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1109</w:t>
            </w:r>
          </w:p>
        </w:tc>
        <w:tc>
          <w:tcPr>
            <w:tcW w:w="1985" w:type="dxa"/>
            <w:shd w:val="clear" w:color="auto" w:fill="auto"/>
            <w:noWrap/>
            <w:vAlign w:val="center"/>
            <w:hideMark/>
          </w:tcPr>
          <w:p w14:paraId="0F08F80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14 756 820 228,95</w:t>
            </w:r>
          </w:p>
        </w:tc>
        <w:tc>
          <w:tcPr>
            <w:tcW w:w="1984" w:type="dxa"/>
            <w:shd w:val="clear" w:color="auto" w:fill="auto"/>
            <w:noWrap/>
            <w:vAlign w:val="center"/>
            <w:hideMark/>
          </w:tcPr>
          <w:p w14:paraId="66201B4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8 646 478 310,27</w:t>
            </w:r>
          </w:p>
        </w:tc>
        <w:tc>
          <w:tcPr>
            <w:tcW w:w="1418" w:type="dxa"/>
            <w:shd w:val="clear" w:color="auto" w:fill="auto"/>
            <w:noWrap/>
            <w:vAlign w:val="center"/>
            <w:hideMark/>
          </w:tcPr>
          <w:p w14:paraId="78C4555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38915199,6</w:t>
            </w:r>
          </w:p>
        </w:tc>
        <w:tc>
          <w:tcPr>
            <w:tcW w:w="1843" w:type="dxa"/>
            <w:shd w:val="clear" w:color="auto" w:fill="auto"/>
            <w:noWrap/>
            <w:vAlign w:val="center"/>
            <w:hideMark/>
          </w:tcPr>
          <w:p w14:paraId="1F0B4B9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6 110 341 918,68</w:t>
            </w:r>
          </w:p>
        </w:tc>
        <w:tc>
          <w:tcPr>
            <w:tcW w:w="1618" w:type="dxa"/>
            <w:shd w:val="clear" w:color="auto" w:fill="auto"/>
            <w:noWrap/>
            <w:vAlign w:val="center"/>
            <w:hideMark/>
          </w:tcPr>
          <w:p w14:paraId="0F60B1D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70,67</w:t>
            </w:r>
          </w:p>
        </w:tc>
        <w:tc>
          <w:tcPr>
            <w:tcW w:w="1074" w:type="dxa"/>
            <w:shd w:val="clear" w:color="auto" w:fill="auto"/>
            <w:noWrap/>
            <w:vAlign w:val="center"/>
            <w:hideMark/>
          </w:tcPr>
          <w:p w14:paraId="0B94070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379,20</w:t>
            </w:r>
          </w:p>
        </w:tc>
        <w:tc>
          <w:tcPr>
            <w:tcW w:w="1561" w:type="dxa"/>
            <w:shd w:val="clear" w:color="auto" w:fill="auto"/>
            <w:noWrap/>
            <w:vAlign w:val="center"/>
            <w:hideMark/>
          </w:tcPr>
          <w:p w14:paraId="48DDB98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222,19</w:t>
            </w:r>
          </w:p>
        </w:tc>
      </w:tr>
      <w:tr w:rsidR="00905E1F" w:rsidRPr="00AC3806" w14:paraId="5FB3A1EA" w14:textId="77777777" w:rsidTr="00C749ED">
        <w:trPr>
          <w:trHeight w:val="96"/>
        </w:trPr>
        <w:tc>
          <w:tcPr>
            <w:tcW w:w="1985" w:type="dxa"/>
            <w:shd w:val="clear" w:color="auto" w:fill="auto"/>
            <w:noWrap/>
            <w:vAlign w:val="center"/>
            <w:hideMark/>
          </w:tcPr>
          <w:p w14:paraId="3153DD22"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Павловский муниципальный район</w:t>
            </w:r>
          </w:p>
        </w:tc>
        <w:tc>
          <w:tcPr>
            <w:tcW w:w="1417" w:type="dxa"/>
            <w:shd w:val="clear" w:color="auto" w:fill="auto"/>
            <w:noWrap/>
            <w:vAlign w:val="center"/>
            <w:hideMark/>
          </w:tcPr>
          <w:p w14:paraId="795730F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1917</w:t>
            </w:r>
          </w:p>
        </w:tc>
        <w:tc>
          <w:tcPr>
            <w:tcW w:w="1985" w:type="dxa"/>
            <w:shd w:val="clear" w:color="auto" w:fill="auto"/>
            <w:noWrap/>
            <w:vAlign w:val="center"/>
            <w:hideMark/>
          </w:tcPr>
          <w:p w14:paraId="20FFAA1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18 947 413 088,99</w:t>
            </w:r>
          </w:p>
        </w:tc>
        <w:tc>
          <w:tcPr>
            <w:tcW w:w="1984" w:type="dxa"/>
            <w:shd w:val="clear" w:color="auto" w:fill="auto"/>
            <w:noWrap/>
            <w:vAlign w:val="center"/>
            <w:hideMark/>
          </w:tcPr>
          <w:p w14:paraId="0B2BF25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9 675 683 039,15</w:t>
            </w:r>
          </w:p>
        </w:tc>
        <w:tc>
          <w:tcPr>
            <w:tcW w:w="1418" w:type="dxa"/>
            <w:shd w:val="clear" w:color="auto" w:fill="auto"/>
            <w:noWrap/>
            <w:vAlign w:val="center"/>
            <w:hideMark/>
          </w:tcPr>
          <w:p w14:paraId="2FFDCFB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67762149,21</w:t>
            </w:r>
          </w:p>
        </w:tc>
        <w:tc>
          <w:tcPr>
            <w:tcW w:w="1843" w:type="dxa"/>
            <w:shd w:val="clear" w:color="auto" w:fill="auto"/>
            <w:noWrap/>
            <w:vAlign w:val="center"/>
            <w:hideMark/>
          </w:tcPr>
          <w:p w14:paraId="3716C24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9 271 730 049,84</w:t>
            </w:r>
          </w:p>
        </w:tc>
        <w:tc>
          <w:tcPr>
            <w:tcW w:w="1618" w:type="dxa"/>
            <w:shd w:val="clear" w:color="auto" w:fill="auto"/>
            <w:noWrap/>
            <w:vAlign w:val="center"/>
            <w:hideMark/>
          </w:tcPr>
          <w:p w14:paraId="7F28D27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95,83</w:t>
            </w:r>
          </w:p>
        </w:tc>
        <w:tc>
          <w:tcPr>
            <w:tcW w:w="1074" w:type="dxa"/>
            <w:shd w:val="clear" w:color="auto" w:fill="auto"/>
            <w:noWrap/>
            <w:vAlign w:val="center"/>
            <w:hideMark/>
          </w:tcPr>
          <w:p w14:paraId="5C2039C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279,62</w:t>
            </w:r>
          </w:p>
        </w:tc>
        <w:tc>
          <w:tcPr>
            <w:tcW w:w="1561" w:type="dxa"/>
            <w:shd w:val="clear" w:color="auto" w:fill="auto"/>
            <w:noWrap/>
            <w:vAlign w:val="center"/>
            <w:hideMark/>
          </w:tcPr>
          <w:p w14:paraId="5B54CFC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142,79</w:t>
            </w:r>
          </w:p>
        </w:tc>
      </w:tr>
      <w:tr w:rsidR="00905E1F" w:rsidRPr="00AC3806" w14:paraId="049CC7EC" w14:textId="77777777" w:rsidTr="00C749ED">
        <w:trPr>
          <w:trHeight w:val="96"/>
        </w:trPr>
        <w:tc>
          <w:tcPr>
            <w:tcW w:w="1985" w:type="dxa"/>
            <w:shd w:val="clear" w:color="auto" w:fill="auto"/>
            <w:noWrap/>
            <w:vAlign w:val="center"/>
            <w:hideMark/>
          </w:tcPr>
          <w:p w14:paraId="095776B0"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Панинский муниципальный район</w:t>
            </w:r>
          </w:p>
        </w:tc>
        <w:tc>
          <w:tcPr>
            <w:tcW w:w="1417" w:type="dxa"/>
            <w:shd w:val="clear" w:color="auto" w:fill="auto"/>
            <w:noWrap/>
            <w:vAlign w:val="center"/>
            <w:hideMark/>
          </w:tcPr>
          <w:p w14:paraId="7B70E7E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1225</w:t>
            </w:r>
          </w:p>
        </w:tc>
        <w:tc>
          <w:tcPr>
            <w:tcW w:w="1985" w:type="dxa"/>
            <w:shd w:val="clear" w:color="auto" w:fill="auto"/>
            <w:noWrap/>
            <w:vAlign w:val="center"/>
            <w:hideMark/>
          </w:tcPr>
          <w:p w14:paraId="357D319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7 932 066 204,05</w:t>
            </w:r>
          </w:p>
        </w:tc>
        <w:tc>
          <w:tcPr>
            <w:tcW w:w="1984" w:type="dxa"/>
            <w:shd w:val="clear" w:color="auto" w:fill="auto"/>
            <w:noWrap/>
            <w:vAlign w:val="center"/>
            <w:hideMark/>
          </w:tcPr>
          <w:p w14:paraId="1EE4D31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6 636 955 277,24</w:t>
            </w:r>
          </w:p>
        </w:tc>
        <w:tc>
          <w:tcPr>
            <w:tcW w:w="1418" w:type="dxa"/>
            <w:shd w:val="clear" w:color="auto" w:fill="auto"/>
            <w:noWrap/>
            <w:vAlign w:val="center"/>
            <w:hideMark/>
          </w:tcPr>
          <w:p w14:paraId="4B81D8C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23062553,55</w:t>
            </w:r>
          </w:p>
        </w:tc>
        <w:tc>
          <w:tcPr>
            <w:tcW w:w="1843" w:type="dxa"/>
            <w:shd w:val="clear" w:color="auto" w:fill="auto"/>
            <w:noWrap/>
            <w:vAlign w:val="center"/>
            <w:hideMark/>
          </w:tcPr>
          <w:p w14:paraId="4F669E4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1 295 110 926,81</w:t>
            </w:r>
          </w:p>
        </w:tc>
        <w:tc>
          <w:tcPr>
            <w:tcW w:w="1618" w:type="dxa"/>
            <w:shd w:val="clear" w:color="auto" w:fill="auto"/>
            <w:noWrap/>
            <w:vAlign w:val="center"/>
            <w:hideMark/>
          </w:tcPr>
          <w:p w14:paraId="2ED26B3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19,51</w:t>
            </w:r>
          </w:p>
        </w:tc>
        <w:tc>
          <w:tcPr>
            <w:tcW w:w="1074" w:type="dxa"/>
            <w:shd w:val="clear" w:color="auto" w:fill="auto"/>
            <w:noWrap/>
            <w:vAlign w:val="center"/>
            <w:hideMark/>
          </w:tcPr>
          <w:p w14:paraId="59683F5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343,94</w:t>
            </w:r>
          </w:p>
        </w:tc>
        <w:tc>
          <w:tcPr>
            <w:tcW w:w="1561" w:type="dxa"/>
            <w:shd w:val="clear" w:color="auto" w:fill="auto"/>
            <w:noWrap/>
            <w:vAlign w:val="center"/>
            <w:hideMark/>
          </w:tcPr>
          <w:p w14:paraId="0F532AC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287,78</w:t>
            </w:r>
          </w:p>
        </w:tc>
      </w:tr>
      <w:tr w:rsidR="00905E1F" w:rsidRPr="00AC3806" w14:paraId="47196BF5" w14:textId="77777777" w:rsidTr="00C749ED">
        <w:trPr>
          <w:trHeight w:val="96"/>
        </w:trPr>
        <w:tc>
          <w:tcPr>
            <w:tcW w:w="1985" w:type="dxa"/>
            <w:shd w:val="clear" w:color="auto" w:fill="auto"/>
            <w:noWrap/>
            <w:vAlign w:val="center"/>
            <w:hideMark/>
          </w:tcPr>
          <w:p w14:paraId="0DAE61FC"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Петропавловский муниципальный район</w:t>
            </w:r>
          </w:p>
        </w:tc>
        <w:tc>
          <w:tcPr>
            <w:tcW w:w="1417" w:type="dxa"/>
            <w:shd w:val="clear" w:color="auto" w:fill="auto"/>
            <w:noWrap/>
            <w:vAlign w:val="center"/>
            <w:hideMark/>
          </w:tcPr>
          <w:p w14:paraId="75F1AB5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839</w:t>
            </w:r>
          </w:p>
        </w:tc>
        <w:tc>
          <w:tcPr>
            <w:tcW w:w="1985" w:type="dxa"/>
            <w:shd w:val="clear" w:color="auto" w:fill="auto"/>
            <w:noWrap/>
            <w:vAlign w:val="center"/>
            <w:hideMark/>
          </w:tcPr>
          <w:p w14:paraId="5346AAD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1 585 584 628,54</w:t>
            </w:r>
          </w:p>
        </w:tc>
        <w:tc>
          <w:tcPr>
            <w:tcW w:w="1984" w:type="dxa"/>
            <w:shd w:val="clear" w:color="auto" w:fill="auto"/>
            <w:noWrap/>
            <w:vAlign w:val="center"/>
            <w:hideMark/>
          </w:tcPr>
          <w:p w14:paraId="5915586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951 729 352,82</w:t>
            </w:r>
          </w:p>
        </w:tc>
        <w:tc>
          <w:tcPr>
            <w:tcW w:w="1418" w:type="dxa"/>
            <w:shd w:val="clear" w:color="auto" w:fill="auto"/>
            <w:noWrap/>
            <w:vAlign w:val="center"/>
            <w:hideMark/>
          </w:tcPr>
          <w:p w14:paraId="22EDD7F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8051378,71</w:t>
            </w:r>
          </w:p>
        </w:tc>
        <w:tc>
          <w:tcPr>
            <w:tcW w:w="1843" w:type="dxa"/>
            <w:shd w:val="clear" w:color="auto" w:fill="auto"/>
            <w:noWrap/>
            <w:vAlign w:val="center"/>
            <w:hideMark/>
          </w:tcPr>
          <w:p w14:paraId="1981EE9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633 855 275,72</w:t>
            </w:r>
          </w:p>
        </w:tc>
        <w:tc>
          <w:tcPr>
            <w:tcW w:w="1618" w:type="dxa"/>
            <w:shd w:val="clear" w:color="auto" w:fill="auto"/>
            <w:noWrap/>
            <w:vAlign w:val="center"/>
            <w:hideMark/>
          </w:tcPr>
          <w:p w14:paraId="28AA55D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66,6</w:t>
            </w:r>
          </w:p>
        </w:tc>
        <w:tc>
          <w:tcPr>
            <w:tcW w:w="1074" w:type="dxa"/>
            <w:shd w:val="clear" w:color="auto" w:fill="auto"/>
            <w:noWrap/>
            <w:vAlign w:val="center"/>
            <w:hideMark/>
          </w:tcPr>
          <w:p w14:paraId="29AB19A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196,93</w:t>
            </w:r>
          </w:p>
        </w:tc>
        <w:tc>
          <w:tcPr>
            <w:tcW w:w="1561" w:type="dxa"/>
            <w:shd w:val="clear" w:color="auto" w:fill="auto"/>
            <w:noWrap/>
            <w:vAlign w:val="center"/>
            <w:hideMark/>
          </w:tcPr>
          <w:p w14:paraId="2403F6A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118,21</w:t>
            </w:r>
          </w:p>
        </w:tc>
      </w:tr>
      <w:tr w:rsidR="00905E1F" w:rsidRPr="00AC3806" w14:paraId="0DDD0C8E" w14:textId="77777777" w:rsidTr="00C749ED">
        <w:trPr>
          <w:trHeight w:val="96"/>
        </w:trPr>
        <w:tc>
          <w:tcPr>
            <w:tcW w:w="1985" w:type="dxa"/>
            <w:shd w:val="clear" w:color="auto" w:fill="auto"/>
            <w:noWrap/>
            <w:vAlign w:val="center"/>
            <w:hideMark/>
          </w:tcPr>
          <w:p w14:paraId="354F7E4E"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Поворинский муниципальный район</w:t>
            </w:r>
          </w:p>
        </w:tc>
        <w:tc>
          <w:tcPr>
            <w:tcW w:w="1417" w:type="dxa"/>
            <w:shd w:val="clear" w:color="auto" w:fill="auto"/>
            <w:noWrap/>
            <w:vAlign w:val="center"/>
            <w:hideMark/>
          </w:tcPr>
          <w:p w14:paraId="45AD4A2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1238</w:t>
            </w:r>
          </w:p>
        </w:tc>
        <w:tc>
          <w:tcPr>
            <w:tcW w:w="1985" w:type="dxa"/>
            <w:shd w:val="clear" w:color="auto" w:fill="auto"/>
            <w:noWrap/>
            <w:vAlign w:val="center"/>
            <w:hideMark/>
          </w:tcPr>
          <w:p w14:paraId="2403AA5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8 817 934 795,93</w:t>
            </w:r>
          </w:p>
        </w:tc>
        <w:tc>
          <w:tcPr>
            <w:tcW w:w="1984" w:type="dxa"/>
            <w:shd w:val="clear" w:color="auto" w:fill="auto"/>
            <w:noWrap/>
            <w:vAlign w:val="center"/>
            <w:hideMark/>
          </w:tcPr>
          <w:p w14:paraId="3BABA1F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5 962 728 668,20</w:t>
            </w:r>
          </w:p>
        </w:tc>
        <w:tc>
          <w:tcPr>
            <w:tcW w:w="1418" w:type="dxa"/>
            <w:shd w:val="clear" w:color="auto" w:fill="auto"/>
            <w:noWrap/>
            <w:vAlign w:val="center"/>
            <w:hideMark/>
          </w:tcPr>
          <w:p w14:paraId="4270E44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23862994,48</w:t>
            </w:r>
          </w:p>
        </w:tc>
        <w:tc>
          <w:tcPr>
            <w:tcW w:w="1843" w:type="dxa"/>
            <w:shd w:val="clear" w:color="auto" w:fill="auto"/>
            <w:noWrap/>
            <w:vAlign w:val="center"/>
            <w:hideMark/>
          </w:tcPr>
          <w:p w14:paraId="7FF190E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2 855 206 127,73</w:t>
            </w:r>
          </w:p>
        </w:tc>
        <w:tc>
          <w:tcPr>
            <w:tcW w:w="1618" w:type="dxa"/>
            <w:shd w:val="clear" w:color="auto" w:fill="auto"/>
            <w:noWrap/>
            <w:vAlign w:val="center"/>
            <w:hideMark/>
          </w:tcPr>
          <w:p w14:paraId="7151522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47,88</w:t>
            </w:r>
          </w:p>
        </w:tc>
        <w:tc>
          <w:tcPr>
            <w:tcW w:w="1074" w:type="dxa"/>
            <w:shd w:val="clear" w:color="auto" w:fill="auto"/>
            <w:noWrap/>
            <w:vAlign w:val="center"/>
            <w:hideMark/>
          </w:tcPr>
          <w:p w14:paraId="57C9606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369,52</w:t>
            </w:r>
          </w:p>
        </w:tc>
        <w:tc>
          <w:tcPr>
            <w:tcW w:w="1561" w:type="dxa"/>
            <w:shd w:val="clear" w:color="auto" w:fill="auto"/>
            <w:noWrap/>
            <w:vAlign w:val="center"/>
            <w:hideMark/>
          </w:tcPr>
          <w:p w14:paraId="63855A1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249,87</w:t>
            </w:r>
          </w:p>
        </w:tc>
      </w:tr>
      <w:tr w:rsidR="00905E1F" w:rsidRPr="00AC3806" w14:paraId="1ACDCA27" w14:textId="77777777" w:rsidTr="00C749ED">
        <w:trPr>
          <w:trHeight w:val="96"/>
        </w:trPr>
        <w:tc>
          <w:tcPr>
            <w:tcW w:w="1985" w:type="dxa"/>
            <w:shd w:val="clear" w:color="auto" w:fill="auto"/>
            <w:noWrap/>
            <w:vAlign w:val="center"/>
            <w:hideMark/>
          </w:tcPr>
          <w:p w14:paraId="743756E9"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Подгоренский муниципальный район</w:t>
            </w:r>
          </w:p>
        </w:tc>
        <w:tc>
          <w:tcPr>
            <w:tcW w:w="1417" w:type="dxa"/>
            <w:shd w:val="clear" w:color="auto" w:fill="auto"/>
            <w:noWrap/>
            <w:vAlign w:val="center"/>
            <w:hideMark/>
          </w:tcPr>
          <w:p w14:paraId="0A0E12B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1018</w:t>
            </w:r>
          </w:p>
        </w:tc>
        <w:tc>
          <w:tcPr>
            <w:tcW w:w="1985" w:type="dxa"/>
            <w:shd w:val="clear" w:color="auto" w:fill="auto"/>
            <w:noWrap/>
            <w:vAlign w:val="center"/>
            <w:hideMark/>
          </w:tcPr>
          <w:p w14:paraId="58F1E4A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5 730 588 858,47</w:t>
            </w:r>
          </w:p>
        </w:tc>
        <w:tc>
          <w:tcPr>
            <w:tcW w:w="1984" w:type="dxa"/>
            <w:shd w:val="clear" w:color="auto" w:fill="auto"/>
            <w:noWrap/>
            <w:vAlign w:val="center"/>
            <w:hideMark/>
          </w:tcPr>
          <w:p w14:paraId="52DDCE8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2 736 336 017,85</w:t>
            </w:r>
          </w:p>
        </w:tc>
        <w:tc>
          <w:tcPr>
            <w:tcW w:w="1418" w:type="dxa"/>
            <w:shd w:val="clear" w:color="auto" w:fill="auto"/>
            <w:noWrap/>
            <w:vAlign w:val="center"/>
            <w:hideMark/>
          </w:tcPr>
          <w:p w14:paraId="2248240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21520519,18</w:t>
            </w:r>
          </w:p>
        </w:tc>
        <w:tc>
          <w:tcPr>
            <w:tcW w:w="1843" w:type="dxa"/>
            <w:shd w:val="clear" w:color="auto" w:fill="auto"/>
            <w:noWrap/>
            <w:vAlign w:val="center"/>
            <w:hideMark/>
          </w:tcPr>
          <w:p w14:paraId="449AC90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2 994 252 840,62</w:t>
            </w:r>
          </w:p>
        </w:tc>
        <w:tc>
          <w:tcPr>
            <w:tcW w:w="1618" w:type="dxa"/>
            <w:shd w:val="clear" w:color="auto" w:fill="auto"/>
            <w:noWrap/>
            <w:vAlign w:val="center"/>
            <w:hideMark/>
          </w:tcPr>
          <w:p w14:paraId="011E088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109,43</w:t>
            </w:r>
          </w:p>
        </w:tc>
        <w:tc>
          <w:tcPr>
            <w:tcW w:w="1074" w:type="dxa"/>
            <w:shd w:val="clear" w:color="auto" w:fill="auto"/>
            <w:noWrap/>
            <w:vAlign w:val="center"/>
            <w:hideMark/>
          </w:tcPr>
          <w:p w14:paraId="7838E7D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266,28</w:t>
            </w:r>
          </w:p>
        </w:tc>
        <w:tc>
          <w:tcPr>
            <w:tcW w:w="1561" w:type="dxa"/>
            <w:shd w:val="clear" w:color="auto" w:fill="auto"/>
            <w:noWrap/>
            <w:vAlign w:val="center"/>
            <w:hideMark/>
          </w:tcPr>
          <w:p w14:paraId="3A2439E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127,15</w:t>
            </w:r>
          </w:p>
        </w:tc>
      </w:tr>
      <w:tr w:rsidR="00905E1F" w:rsidRPr="00AC3806" w14:paraId="0396ED20" w14:textId="77777777" w:rsidTr="00C749ED">
        <w:trPr>
          <w:trHeight w:val="96"/>
        </w:trPr>
        <w:tc>
          <w:tcPr>
            <w:tcW w:w="1985" w:type="dxa"/>
            <w:shd w:val="clear" w:color="auto" w:fill="auto"/>
            <w:noWrap/>
            <w:vAlign w:val="center"/>
            <w:hideMark/>
          </w:tcPr>
          <w:p w14:paraId="63D10A57"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Рамонский муниципальный район</w:t>
            </w:r>
          </w:p>
        </w:tc>
        <w:tc>
          <w:tcPr>
            <w:tcW w:w="1417" w:type="dxa"/>
            <w:shd w:val="clear" w:color="auto" w:fill="auto"/>
            <w:noWrap/>
            <w:vAlign w:val="center"/>
            <w:hideMark/>
          </w:tcPr>
          <w:p w14:paraId="6586931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3329</w:t>
            </w:r>
          </w:p>
        </w:tc>
        <w:tc>
          <w:tcPr>
            <w:tcW w:w="1985" w:type="dxa"/>
            <w:shd w:val="clear" w:color="auto" w:fill="auto"/>
            <w:noWrap/>
            <w:vAlign w:val="center"/>
            <w:hideMark/>
          </w:tcPr>
          <w:p w14:paraId="76C5608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32 230 413 844,59</w:t>
            </w:r>
          </w:p>
        </w:tc>
        <w:tc>
          <w:tcPr>
            <w:tcW w:w="1984" w:type="dxa"/>
            <w:shd w:val="clear" w:color="auto" w:fill="auto"/>
            <w:noWrap/>
            <w:vAlign w:val="center"/>
            <w:hideMark/>
          </w:tcPr>
          <w:p w14:paraId="0D15C57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17 448 937 541,94</w:t>
            </w:r>
          </w:p>
        </w:tc>
        <w:tc>
          <w:tcPr>
            <w:tcW w:w="1418" w:type="dxa"/>
            <w:shd w:val="clear" w:color="auto" w:fill="auto"/>
            <w:noWrap/>
            <w:vAlign w:val="center"/>
            <w:hideMark/>
          </w:tcPr>
          <w:p w14:paraId="1745EBC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58521980,55</w:t>
            </w:r>
          </w:p>
        </w:tc>
        <w:tc>
          <w:tcPr>
            <w:tcW w:w="1843" w:type="dxa"/>
            <w:shd w:val="clear" w:color="auto" w:fill="auto"/>
            <w:noWrap/>
            <w:vAlign w:val="center"/>
            <w:hideMark/>
          </w:tcPr>
          <w:p w14:paraId="70741BC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14 781 476 302,65</w:t>
            </w:r>
          </w:p>
        </w:tc>
        <w:tc>
          <w:tcPr>
            <w:tcW w:w="1618" w:type="dxa"/>
            <w:shd w:val="clear" w:color="auto" w:fill="auto"/>
            <w:noWrap/>
            <w:vAlign w:val="center"/>
            <w:hideMark/>
          </w:tcPr>
          <w:p w14:paraId="315B326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84,71</w:t>
            </w:r>
          </w:p>
        </w:tc>
        <w:tc>
          <w:tcPr>
            <w:tcW w:w="1074" w:type="dxa"/>
            <w:shd w:val="clear" w:color="auto" w:fill="auto"/>
            <w:noWrap/>
            <w:vAlign w:val="center"/>
            <w:hideMark/>
          </w:tcPr>
          <w:p w14:paraId="12A99CC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550,74</w:t>
            </w:r>
          </w:p>
        </w:tc>
        <w:tc>
          <w:tcPr>
            <w:tcW w:w="1561" w:type="dxa"/>
            <w:shd w:val="clear" w:color="auto" w:fill="auto"/>
            <w:noWrap/>
            <w:vAlign w:val="center"/>
            <w:hideMark/>
          </w:tcPr>
          <w:p w14:paraId="0FEFF50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298,16</w:t>
            </w:r>
          </w:p>
        </w:tc>
      </w:tr>
      <w:tr w:rsidR="00905E1F" w:rsidRPr="00AC3806" w14:paraId="7E121E72" w14:textId="77777777" w:rsidTr="00C749ED">
        <w:trPr>
          <w:trHeight w:val="96"/>
        </w:trPr>
        <w:tc>
          <w:tcPr>
            <w:tcW w:w="1985" w:type="dxa"/>
            <w:shd w:val="clear" w:color="auto" w:fill="auto"/>
            <w:noWrap/>
            <w:vAlign w:val="center"/>
            <w:hideMark/>
          </w:tcPr>
          <w:p w14:paraId="50139C39"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Репьёвский муниципальный район</w:t>
            </w:r>
          </w:p>
        </w:tc>
        <w:tc>
          <w:tcPr>
            <w:tcW w:w="1417" w:type="dxa"/>
            <w:shd w:val="clear" w:color="auto" w:fill="auto"/>
            <w:noWrap/>
            <w:vAlign w:val="center"/>
            <w:hideMark/>
          </w:tcPr>
          <w:p w14:paraId="1B5D080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419</w:t>
            </w:r>
          </w:p>
        </w:tc>
        <w:tc>
          <w:tcPr>
            <w:tcW w:w="1985" w:type="dxa"/>
            <w:shd w:val="clear" w:color="auto" w:fill="auto"/>
            <w:noWrap/>
            <w:vAlign w:val="center"/>
            <w:hideMark/>
          </w:tcPr>
          <w:p w14:paraId="5B08EB4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1 648 409 655,26</w:t>
            </w:r>
          </w:p>
        </w:tc>
        <w:tc>
          <w:tcPr>
            <w:tcW w:w="1984" w:type="dxa"/>
            <w:shd w:val="clear" w:color="auto" w:fill="auto"/>
            <w:noWrap/>
            <w:vAlign w:val="center"/>
            <w:hideMark/>
          </w:tcPr>
          <w:p w14:paraId="0036BF4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999 037 499,71</w:t>
            </w:r>
          </w:p>
        </w:tc>
        <w:tc>
          <w:tcPr>
            <w:tcW w:w="1418" w:type="dxa"/>
            <w:shd w:val="clear" w:color="auto" w:fill="auto"/>
            <w:noWrap/>
            <w:vAlign w:val="center"/>
            <w:hideMark/>
          </w:tcPr>
          <w:p w14:paraId="4F54373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7912510,95</w:t>
            </w:r>
          </w:p>
        </w:tc>
        <w:tc>
          <w:tcPr>
            <w:tcW w:w="1843" w:type="dxa"/>
            <w:shd w:val="clear" w:color="auto" w:fill="auto"/>
            <w:noWrap/>
            <w:vAlign w:val="center"/>
            <w:hideMark/>
          </w:tcPr>
          <w:p w14:paraId="6CD73CE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649 372 155,55</w:t>
            </w:r>
          </w:p>
        </w:tc>
        <w:tc>
          <w:tcPr>
            <w:tcW w:w="1618" w:type="dxa"/>
            <w:shd w:val="clear" w:color="auto" w:fill="auto"/>
            <w:noWrap/>
            <w:vAlign w:val="center"/>
            <w:hideMark/>
          </w:tcPr>
          <w:p w14:paraId="184959A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65</w:t>
            </w:r>
          </w:p>
        </w:tc>
        <w:tc>
          <w:tcPr>
            <w:tcW w:w="1074" w:type="dxa"/>
            <w:shd w:val="clear" w:color="auto" w:fill="auto"/>
            <w:noWrap/>
            <w:vAlign w:val="center"/>
            <w:hideMark/>
          </w:tcPr>
          <w:p w14:paraId="5101BB7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208,33</w:t>
            </w:r>
          </w:p>
        </w:tc>
        <w:tc>
          <w:tcPr>
            <w:tcW w:w="1561" w:type="dxa"/>
            <w:shd w:val="clear" w:color="auto" w:fill="auto"/>
            <w:noWrap/>
            <w:vAlign w:val="center"/>
            <w:hideMark/>
          </w:tcPr>
          <w:p w14:paraId="4A8226A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126,26</w:t>
            </w:r>
          </w:p>
        </w:tc>
      </w:tr>
      <w:tr w:rsidR="00905E1F" w:rsidRPr="00AC3806" w14:paraId="2B62B356" w14:textId="77777777" w:rsidTr="00C749ED">
        <w:trPr>
          <w:trHeight w:val="96"/>
        </w:trPr>
        <w:tc>
          <w:tcPr>
            <w:tcW w:w="1985" w:type="dxa"/>
            <w:shd w:val="clear" w:color="auto" w:fill="auto"/>
            <w:noWrap/>
            <w:vAlign w:val="center"/>
            <w:hideMark/>
          </w:tcPr>
          <w:p w14:paraId="182701B0"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Россошанский муниципальный район</w:t>
            </w:r>
          </w:p>
        </w:tc>
        <w:tc>
          <w:tcPr>
            <w:tcW w:w="1417" w:type="dxa"/>
            <w:shd w:val="clear" w:color="auto" w:fill="auto"/>
            <w:noWrap/>
            <w:vAlign w:val="center"/>
            <w:hideMark/>
          </w:tcPr>
          <w:p w14:paraId="2B78839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2184</w:t>
            </w:r>
          </w:p>
        </w:tc>
        <w:tc>
          <w:tcPr>
            <w:tcW w:w="1985" w:type="dxa"/>
            <w:shd w:val="clear" w:color="auto" w:fill="auto"/>
            <w:noWrap/>
            <w:vAlign w:val="center"/>
            <w:hideMark/>
          </w:tcPr>
          <w:p w14:paraId="495D431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19 104 515 232,51</w:t>
            </w:r>
          </w:p>
        </w:tc>
        <w:tc>
          <w:tcPr>
            <w:tcW w:w="1984" w:type="dxa"/>
            <w:shd w:val="clear" w:color="auto" w:fill="auto"/>
            <w:noWrap/>
            <w:vAlign w:val="center"/>
            <w:hideMark/>
          </w:tcPr>
          <w:p w14:paraId="19E2F61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25 336 343 901,31</w:t>
            </w:r>
          </w:p>
        </w:tc>
        <w:tc>
          <w:tcPr>
            <w:tcW w:w="1418" w:type="dxa"/>
            <w:shd w:val="clear" w:color="auto" w:fill="auto"/>
            <w:noWrap/>
            <w:vAlign w:val="center"/>
            <w:hideMark/>
          </w:tcPr>
          <w:p w14:paraId="3308719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43750720,13</w:t>
            </w:r>
          </w:p>
        </w:tc>
        <w:tc>
          <w:tcPr>
            <w:tcW w:w="1843" w:type="dxa"/>
            <w:shd w:val="clear" w:color="auto" w:fill="auto"/>
            <w:noWrap/>
            <w:vAlign w:val="center"/>
            <w:hideMark/>
          </w:tcPr>
          <w:p w14:paraId="65FA19B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-6 231 828 668,80</w:t>
            </w:r>
          </w:p>
        </w:tc>
        <w:tc>
          <w:tcPr>
            <w:tcW w:w="1618" w:type="dxa"/>
            <w:shd w:val="clear" w:color="auto" w:fill="auto"/>
            <w:noWrap/>
            <w:vAlign w:val="center"/>
            <w:hideMark/>
          </w:tcPr>
          <w:p w14:paraId="46B8C73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-24,6</w:t>
            </w:r>
          </w:p>
        </w:tc>
        <w:tc>
          <w:tcPr>
            <w:tcW w:w="1074" w:type="dxa"/>
            <w:shd w:val="clear" w:color="auto" w:fill="auto"/>
            <w:noWrap/>
            <w:vAlign w:val="center"/>
            <w:hideMark/>
          </w:tcPr>
          <w:p w14:paraId="39BE4A2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436,67</w:t>
            </w:r>
          </w:p>
        </w:tc>
        <w:tc>
          <w:tcPr>
            <w:tcW w:w="1561" w:type="dxa"/>
            <w:shd w:val="clear" w:color="auto" w:fill="auto"/>
            <w:noWrap/>
            <w:vAlign w:val="center"/>
            <w:hideMark/>
          </w:tcPr>
          <w:p w14:paraId="542F086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579,11</w:t>
            </w:r>
          </w:p>
        </w:tc>
      </w:tr>
      <w:tr w:rsidR="00905E1F" w:rsidRPr="00AC3806" w14:paraId="6D15D1D7" w14:textId="77777777" w:rsidTr="00C749ED">
        <w:trPr>
          <w:trHeight w:val="96"/>
        </w:trPr>
        <w:tc>
          <w:tcPr>
            <w:tcW w:w="1985" w:type="dxa"/>
            <w:shd w:val="clear" w:color="auto" w:fill="auto"/>
            <w:noWrap/>
            <w:vAlign w:val="center"/>
            <w:hideMark/>
          </w:tcPr>
          <w:p w14:paraId="0486A225"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Семилукский муниципальный район</w:t>
            </w:r>
          </w:p>
        </w:tc>
        <w:tc>
          <w:tcPr>
            <w:tcW w:w="1417" w:type="dxa"/>
            <w:shd w:val="clear" w:color="auto" w:fill="auto"/>
            <w:noWrap/>
            <w:vAlign w:val="center"/>
            <w:hideMark/>
          </w:tcPr>
          <w:p w14:paraId="3C0705E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2510</w:t>
            </w:r>
          </w:p>
        </w:tc>
        <w:tc>
          <w:tcPr>
            <w:tcW w:w="1985" w:type="dxa"/>
            <w:shd w:val="clear" w:color="auto" w:fill="auto"/>
            <w:noWrap/>
            <w:vAlign w:val="center"/>
            <w:hideMark/>
          </w:tcPr>
          <w:p w14:paraId="7479A1E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15 934 914 763,95</w:t>
            </w:r>
          </w:p>
        </w:tc>
        <w:tc>
          <w:tcPr>
            <w:tcW w:w="1984" w:type="dxa"/>
            <w:shd w:val="clear" w:color="auto" w:fill="auto"/>
            <w:noWrap/>
            <w:vAlign w:val="center"/>
            <w:hideMark/>
          </w:tcPr>
          <w:p w14:paraId="79448C2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12 800 618 727,62</w:t>
            </w:r>
          </w:p>
        </w:tc>
        <w:tc>
          <w:tcPr>
            <w:tcW w:w="1418" w:type="dxa"/>
            <w:shd w:val="clear" w:color="auto" w:fill="auto"/>
            <w:noWrap/>
            <w:vAlign w:val="center"/>
            <w:hideMark/>
          </w:tcPr>
          <w:p w14:paraId="55C1BCC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37798522,05</w:t>
            </w:r>
          </w:p>
        </w:tc>
        <w:tc>
          <w:tcPr>
            <w:tcW w:w="1843" w:type="dxa"/>
            <w:shd w:val="clear" w:color="auto" w:fill="auto"/>
            <w:noWrap/>
            <w:vAlign w:val="center"/>
            <w:hideMark/>
          </w:tcPr>
          <w:p w14:paraId="047363C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3 134 296 036,33</w:t>
            </w:r>
          </w:p>
        </w:tc>
        <w:tc>
          <w:tcPr>
            <w:tcW w:w="1618" w:type="dxa"/>
            <w:shd w:val="clear" w:color="auto" w:fill="auto"/>
            <w:noWrap/>
            <w:vAlign w:val="center"/>
            <w:hideMark/>
          </w:tcPr>
          <w:p w14:paraId="59C7821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24,49</w:t>
            </w:r>
          </w:p>
        </w:tc>
        <w:tc>
          <w:tcPr>
            <w:tcW w:w="1074" w:type="dxa"/>
            <w:shd w:val="clear" w:color="auto" w:fill="auto"/>
            <w:noWrap/>
            <w:vAlign w:val="center"/>
            <w:hideMark/>
          </w:tcPr>
          <w:p w14:paraId="55D67A0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421,58</w:t>
            </w:r>
          </w:p>
        </w:tc>
        <w:tc>
          <w:tcPr>
            <w:tcW w:w="1561" w:type="dxa"/>
            <w:shd w:val="clear" w:color="auto" w:fill="auto"/>
            <w:noWrap/>
            <w:vAlign w:val="center"/>
            <w:hideMark/>
          </w:tcPr>
          <w:p w14:paraId="201552C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338,65</w:t>
            </w:r>
          </w:p>
        </w:tc>
      </w:tr>
      <w:tr w:rsidR="00905E1F" w:rsidRPr="00AC3806" w14:paraId="65DA92A1" w14:textId="77777777" w:rsidTr="00C749ED">
        <w:trPr>
          <w:trHeight w:val="96"/>
        </w:trPr>
        <w:tc>
          <w:tcPr>
            <w:tcW w:w="1985" w:type="dxa"/>
            <w:shd w:val="clear" w:color="auto" w:fill="auto"/>
            <w:noWrap/>
            <w:vAlign w:val="center"/>
            <w:hideMark/>
          </w:tcPr>
          <w:p w14:paraId="792029BA"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Таловский муниципальный район</w:t>
            </w:r>
          </w:p>
        </w:tc>
        <w:tc>
          <w:tcPr>
            <w:tcW w:w="1417" w:type="dxa"/>
            <w:shd w:val="clear" w:color="auto" w:fill="auto"/>
            <w:noWrap/>
            <w:vAlign w:val="center"/>
            <w:hideMark/>
          </w:tcPr>
          <w:p w14:paraId="61EDB1E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1492</w:t>
            </w:r>
          </w:p>
        </w:tc>
        <w:tc>
          <w:tcPr>
            <w:tcW w:w="1985" w:type="dxa"/>
            <w:shd w:val="clear" w:color="auto" w:fill="auto"/>
            <w:noWrap/>
            <w:vAlign w:val="center"/>
            <w:hideMark/>
          </w:tcPr>
          <w:p w14:paraId="76CE524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9 283 644 245,16</w:t>
            </w:r>
          </w:p>
        </w:tc>
        <w:tc>
          <w:tcPr>
            <w:tcW w:w="1984" w:type="dxa"/>
            <w:shd w:val="clear" w:color="auto" w:fill="auto"/>
            <w:noWrap/>
            <w:vAlign w:val="center"/>
            <w:hideMark/>
          </w:tcPr>
          <w:p w14:paraId="6436DDC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4 328 352 403,89</w:t>
            </w:r>
          </w:p>
        </w:tc>
        <w:tc>
          <w:tcPr>
            <w:tcW w:w="1418" w:type="dxa"/>
            <w:shd w:val="clear" w:color="auto" w:fill="auto"/>
            <w:noWrap/>
            <w:vAlign w:val="center"/>
            <w:hideMark/>
          </w:tcPr>
          <w:p w14:paraId="27E63A6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38285155,34</w:t>
            </w:r>
          </w:p>
        </w:tc>
        <w:tc>
          <w:tcPr>
            <w:tcW w:w="1843" w:type="dxa"/>
            <w:shd w:val="clear" w:color="auto" w:fill="auto"/>
            <w:noWrap/>
            <w:vAlign w:val="center"/>
            <w:hideMark/>
          </w:tcPr>
          <w:p w14:paraId="465BAD4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4 955 291 841,27</w:t>
            </w:r>
          </w:p>
        </w:tc>
        <w:tc>
          <w:tcPr>
            <w:tcW w:w="1618" w:type="dxa"/>
            <w:shd w:val="clear" w:color="auto" w:fill="auto"/>
            <w:noWrap/>
            <w:vAlign w:val="center"/>
            <w:hideMark/>
          </w:tcPr>
          <w:p w14:paraId="4614570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114,48</w:t>
            </w:r>
          </w:p>
        </w:tc>
        <w:tc>
          <w:tcPr>
            <w:tcW w:w="1074" w:type="dxa"/>
            <w:shd w:val="clear" w:color="auto" w:fill="auto"/>
            <w:noWrap/>
            <w:vAlign w:val="center"/>
            <w:hideMark/>
          </w:tcPr>
          <w:p w14:paraId="155BDBF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242,49</w:t>
            </w:r>
          </w:p>
        </w:tc>
        <w:tc>
          <w:tcPr>
            <w:tcW w:w="1561" w:type="dxa"/>
            <w:shd w:val="clear" w:color="auto" w:fill="auto"/>
            <w:noWrap/>
            <w:vAlign w:val="center"/>
            <w:hideMark/>
          </w:tcPr>
          <w:p w14:paraId="0012A1E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113,06</w:t>
            </w:r>
          </w:p>
        </w:tc>
      </w:tr>
      <w:tr w:rsidR="00905E1F" w:rsidRPr="00AC3806" w14:paraId="7D35C3A0" w14:textId="77777777" w:rsidTr="00C749ED">
        <w:trPr>
          <w:trHeight w:val="96"/>
        </w:trPr>
        <w:tc>
          <w:tcPr>
            <w:tcW w:w="1985" w:type="dxa"/>
            <w:shd w:val="clear" w:color="auto" w:fill="auto"/>
            <w:noWrap/>
            <w:vAlign w:val="center"/>
            <w:hideMark/>
          </w:tcPr>
          <w:p w14:paraId="0D3817AA"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Терновский муниципальный район</w:t>
            </w:r>
          </w:p>
        </w:tc>
        <w:tc>
          <w:tcPr>
            <w:tcW w:w="1417" w:type="dxa"/>
            <w:shd w:val="clear" w:color="auto" w:fill="auto"/>
            <w:noWrap/>
            <w:vAlign w:val="center"/>
            <w:hideMark/>
          </w:tcPr>
          <w:p w14:paraId="3BF0887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751</w:t>
            </w:r>
          </w:p>
        </w:tc>
        <w:tc>
          <w:tcPr>
            <w:tcW w:w="1985" w:type="dxa"/>
            <w:shd w:val="clear" w:color="auto" w:fill="auto"/>
            <w:noWrap/>
            <w:vAlign w:val="center"/>
            <w:hideMark/>
          </w:tcPr>
          <w:p w14:paraId="15AFD71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4 020 533 120,97</w:t>
            </w:r>
          </w:p>
        </w:tc>
        <w:tc>
          <w:tcPr>
            <w:tcW w:w="1984" w:type="dxa"/>
            <w:shd w:val="clear" w:color="auto" w:fill="auto"/>
            <w:noWrap/>
            <w:vAlign w:val="center"/>
            <w:hideMark/>
          </w:tcPr>
          <w:p w14:paraId="15DB0DA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1 658 551 746,98</w:t>
            </w:r>
          </w:p>
        </w:tc>
        <w:tc>
          <w:tcPr>
            <w:tcW w:w="1418" w:type="dxa"/>
            <w:shd w:val="clear" w:color="auto" w:fill="auto"/>
            <w:noWrap/>
            <w:vAlign w:val="center"/>
            <w:hideMark/>
          </w:tcPr>
          <w:p w14:paraId="0FA7B56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15614374,06</w:t>
            </w:r>
          </w:p>
        </w:tc>
        <w:tc>
          <w:tcPr>
            <w:tcW w:w="1843" w:type="dxa"/>
            <w:shd w:val="clear" w:color="auto" w:fill="auto"/>
            <w:noWrap/>
            <w:vAlign w:val="center"/>
            <w:hideMark/>
          </w:tcPr>
          <w:p w14:paraId="2FE631C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2 361 981 373,99</w:t>
            </w:r>
          </w:p>
        </w:tc>
        <w:tc>
          <w:tcPr>
            <w:tcW w:w="1618" w:type="dxa"/>
            <w:shd w:val="clear" w:color="auto" w:fill="auto"/>
            <w:noWrap/>
            <w:vAlign w:val="center"/>
            <w:hideMark/>
          </w:tcPr>
          <w:p w14:paraId="2D10ED4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142,41</w:t>
            </w:r>
          </w:p>
        </w:tc>
        <w:tc>
          <w:tcPr>
            <w:tcW w:w="1074" w:type="dxa"/>
            <w:shd w:val="clear" w:color="auto" w:fill="auto"/>
            <w:noWrap/>
            <w:vAlign w:val="center"/>
            <w:hideMark/>
          </w:tcPr>
          <w:p w14:paraId="7D6B569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257,49</w:t>
            </w:r>
          </w:p>
        </w:tc>
        <w:tc>
          <w:tcPr>
            <w:tcW w:w="1561" w:type="dxa"/>
            <w:shd w:val="clear" w:color="auto" w:fill="auto"/>
            <w:noWrap/>
            <w:vAlign w:val="center"/>
            <w:hideMark/>
          </w:tcPr>
          <w:p w14:paraId="19E4E51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106,22</w:t>
            </w:r>
          </w:p>
        </w:tc>
      </w:tr>
      <w:tr w:rsidR="00905E1F" w:rsidRPr="00AC3806" w14:paraId="2124270C" w14:textId="77777777" w:rsidTr="00C749ED">
        <w:trPr>
          <w:trHeight w:val="96"/>
        </w:trPr>
        <w:tc>
          <w:tcPr>
            <w:tcW w:w="1985" w:type="dxa"/>
            <w:shd w:val="clear" w:color="auto" w:fill="auto"/>
            <w:noWrap/>
            <w:vAlign w:val="center"/>
            <w:hideMark/>
          </w:tcPr>
          <w:p w14:paraId="129EBF46"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Хохольский муниципальный район</w:t>
            </w:r>
          </w:p>
        </w:tc>
        <w:tc>
          <w:tcPr>
            <w:tcW w:w="1417" w:type="dxa"/>
            <w:shd w:val="clear" w:color="auto" w:fill="auto"/>
            <w:noWrap/>
            <w:vAlign w:val="center"/>
            <w:hideMark/>
          </w:tcPr>
          <w:p w14:paraId="6F1C948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1424</w:t>
            </w:r>
          </w:p>
        </w:tc>
        <w:tc>
          <w:tcPr>
            <w:tcW w:w="1985" w:type="dxa"/>
            <w:shd w:val="clear" w:color="auto" w:fill="auto"/>
            <w:noWrap/>
            <w:vAlign w:val="center"/>
            <w:hideMark/>
          </w:tcPr>
          <w:p w14:paraId="3679FBE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20 820 894 642,05</w:t>
            </w:r>
          </w:p>
        </w:tc>
        <w:tc>
          <w:tcPr>
            <w:tcW w:w="1984" w:type="dxa"/>
            <w:shd w:val="clear" w:color="auto" w:fill="auto"/>
            <w:noWrap/>
            <w:vAlign w:val="center"/>
            <w:hideMark/>
          </w:tcPr>
          <w:p w14:paraId="00C2454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9 747 168 663,62</w:t>
            </w:r>
          </w:p>
        </w:tc>
        <w:tc>
          <w:tcPr>
            <w:tcW w:w="1418" w:type="dxa"/>
            <w:shd w:val="clear" w:color="auto" w:fill="auto"/>
            <w:noWrap/>
            <w:vAlign w:val="center"/>
            <w:hideMark/>
          </w:tcPr>
          <w:p w14:paraId="37E9A07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34811249,69</w:t>
            </w:r>
          </w:p>
        </w:tc>
        <w:tc>
          <w:tcPr>
            <w:tcW w:w="1843" w:type="dxa"/>
            <w:shd w:val="clear" w:color="auto" w:fill="auto"/>
            <w:noWrap/>
            <w:vAlign w:val="center"/>
            <w:hideMark/>
          </w:tcPr>
          <w:p w14:paraId="18BEF5D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11 073 725 978,43</w:t>
            </w:r>
          </w:p>
        </w:tc>
        <w:tc>
          <w:tcPr>
            <w:tcW w:w="1618" w:type="dxa"/>
            <w:shd w:val="clear" w:color="auto" w:fill="auto"/>
            <w:noWrap/>
            <w:vAlign w:val="center"/>
            <w:hideMark/>
          </w:tcPr>
          <w:p w14:paraId="70EA05E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113,61</w:t>
            </w:r>
          </w:p>
        </w:tc>
        <w:tc>
          <w:tcPr>
            <w:tcW w:w="1074" w:type="dxa"/>
            <w:shd w:val="clear" w:color="auto" w:fill="auto"/>
            <w:noWrap/>
            <w:vAlign w:val="center"/>
            <w:hideMark/>
          </w:tcPr>
          <w:p w14:paraId="5CF1761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598,11</w:t>
            </w:r>
          </w:p>
        </w:tc>
        <w:tc>
          <w:tcPr>
            <w:tcW w:w="1561" w:type="dxa"/>
            <w:shd w:val="clear" w:color="auto" w:fill="auto"/>
            <w:noWrap/>
            <w:vAlign w:val="center"/>
            <w:hideMark/>
          </w:tcPr>
          <w:p w14:paraId="364C1DE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280,00</w:t>
            </w:r>
          </w:p>
        </w:tc>
      </w:tr>
      <w:tr w:rsidR="00905E1F" w:rsidRPr="00AC3806" w14:paraId="1BB0D9F7" w14:textId="77777777" w:rsidTr="00C749ED">
        <w:trPr>
          <w:trHeight w:val="96"/>
        </w:trPr>
        <w:tc>
          <w:tcPr>
            <w:tcW w:w="1985" w:type="dxa"/>
            <w:shd w:val="clear" w:color="auto" w:fill="auto"/>
            <w:noWrap/>
            <w:vAlign w:val="center"/>
            <w:hideMark/>
          </w:tcPr>
          <w:p w14:paraId="02FAC211"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Эртильский муниципальный район</w:t>
            </w:r>
          </w:p>
        </w:tc>
        <w:tc>
          <w:tcPr>
            <w:tcW w:w="1417" w:type="dxa"/>
            <w:shd w:val="clear" w:color="auto" w:fill="auto"/>
            <w:noWrap/>
            <w:vAlign w:val="center"/>
            <w:hideMark/>
          </w:tcPr>
          <w:p w14:paraId="68F3BD5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1304</w:t>
            </w:r>
          </w:p>
        </w:tc>
        <w:tc>
          <w:tcPr>
            <w:tcW w:w="1985" w:type="dxa"/>
            <w:shd w:val="clear" w:color="auto" w:fill="auto"/>
            <w:noWrap/>
            <w:vAlign w:val="center"/>
            <w:hideMark/>
          </w:tcPr>
          <w:p w14:paraId="69B2E70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8 183 312 411,40</w:t>
            </w:r>
          </w:p>
        </w:tc>
        <w:tc>
          <w:tcPr>
            <w:tcW w:w="1984" w:type="dxa"/>
            <w:shd w:val="clear" w:color="auto" w:fill="auto"/>
            <w:noWrap/>
            <w:vAlign w:val="center"/>
            <w:hideMark/>
          </w:tcPr>
          <w:p w14:paraId="0F54F7A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6 742 696 839,02</w:t>
            </w:r>
          </w:p>
        </w:tc>
        <w:tc>
          <w:tcPr>
            <w:tcW w:w="1418" w:type="dxa"/>
            <w:shd w:val="clear" w:color="auto" w:fill="auto"/>
            <w:noWrap/>
            <w:vAlign w:val="center"/>
            <w:hideMark/>
          </w:tcPr>
          <w:p w14:paraId="49AD261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21202846,21</w:t>
            </w:r>
          </w:p>
        </w:tc>
        <w:tc>
          <w:tcPr>
            <w:tcW w:w="1843" w:type="dxa"/>
            <w:shd w:val="clear" w:color="auto" w:fill="auto"/>
            <w:noWrap/>
            <w:vAlign w:val="center"/>
            <w:hideMark/>
          </w:tcPr>
          <w:p w14:paraId="129B468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1 440 615 572,38</w:t>
            </w:r>
          </w:p>
        </w:tc>
        <w:tc>
          <w:tcPr>
            <w:tcW w:w="1618" w:type="dxa"/>
            <w:shd w:val="clear" w:color="auto" w:fill="auto"/>
            <w:noWrap/>
            <w:vAlign w:val="center"/>
            <w:hideMark/>
          </w:tcPr>
          <w:p w14:paraId="69EE754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21,37</w:t>
            </w:r>
          </w:p>
        </w:tc>
        <w:tc>
          <w:tcPr>
            <w:tcW w:w="1074" w:type="dxa"/>
            <w:shd w:val="clear" w:color="auto" w:fill="auto"/>
            <w:noWrap/>
            <w:vAlign w:val="center"/>
            <w:hideMark/>
          </w:tcPr>
          <w:p w14:paraId="7C15E76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385,95</w:t>
            </w:r>
          </w:p>
        </w:tc>
        <w:tc>
          <w:tcPr>
            <w:tcW w:w="1561" w:type="dxa"/>
            <w:shd w:val="clear" w:color="auto" w:fill="auto"/>
            <w:noWrap/>
            <w:vAlign w:val="center"/>
            <w:hideMark/>
          </w:tcPr>
          <w:p w14:paraId="6F5B469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318,01</w:t>
            </w:r>
          </w:p>
        </w:tc>
      </w:tr>
      <w:tr w:rsidR="00905E1F" w:rsidRPr="00AC3806" w14:paraId="4396347F" w14:textId="77777777" w:rsidTr="00C749ED">
        <w:trPr>
          <w:trHeight w:val="303"/>
        </w:trPr>
        <w:tc>
          <w:tcPr>
            <w:tcW w:w="1985" w:type="dxa"/>
            <w:shd w:val="clear" w:color="auto" w:fill="auto"/>
            <w:noWrap/>
            <w:vAlign w:val="center"/>
            <w:hideMark/>
          </w:tcPr>
          <w:p w14:paraId="6AA6A5FB"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 город Воронеж</w:t>
            </w:r>
          </w:p>
        </w:tc>
        <w:tc>
          <w:tcPr>
            <w:tcW w:w="1417" w:type="dxa"/>
            <w:shd w:val="clear" w:color="auto" w:fill="auto"/>
            <w:noWrap/>
            <w:vAlign w:val="center"/>
            <w:hideMark/>
          </w:tcPr>
          <w:p w14:paraId="163A727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7354</w:t>
            </w:r>
          </w:p>
        </w:tc>
        <w:tc>
          <w:tcPr>
            <w:tcW w:w="1985" w:type="dxa"/>
            <w:shd w:val="clear" w:color="auto" w:fill="auto"/>
            <w:noWrap/>
            <w:vAlign w:val="center"/>
            <w:hideMark/>
          </w:tcPr>
          <w:p w14:paraId="5B450DE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201 420 178 994,57</w:t>
            </w:r>
          </w:p>
        </w:tc>
        <w:tc>
          <w:tcPr>
            <w:tcW w:w="1984" w:type="dxa"/>
            <w:shd w:val="clear" w:color="auto" w:fill="auto"/>
            <w:noWrap/>
            <w:vAlign w:val="center"/>
            <w:hideMark/>
          </w:tcPr>
          <w:p w14:paraId="0332266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163 248 660 201,83</w:t>
            </w:r>
          </w:p>
        </w:tc>
        <w:tc>
          <w:tcPr>
            <w:tcW w:w="1418" w:type="dxa"/>
            <w:shd w:val="clear" w:color="auto" w:fill="auto"/>
            <w:noWrap/>
            <w:vAlign w:val="center"/>
            <w:hideMark/>
          </w:tcPr>
          <w:p w14:paraId="35F77FE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148069958,8</w:t>
            </w:r>
          </w:p>
        </w:tc>
        <w:tc>
          <w:tcPr>
            <w:tcW w:w="1843" w:type="dxa"/>
            <w:shd w:val="clear" w:color="auto" w:fill="auto"/>
            <w:noWrap/>
            <w:vAlign w:val="center"/>
            <w:hideMark/>
          </w:tcPr>
          <w:p w14:paraId="72F295E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38 171 518 792,74</w:t>
            </w:r>
          </w:p>
        </w:tc>
        <w:tc>
          <w:tcPr>
            <w:tcW w:w="1618" w:type="dxa"/>
            <w:shd w:val="clear" w:color="auto" w:fill="auto"/>
            <w:noWrap/>
            <w:vAlign w:val="center"/>
            <w:hideMark/>
          </w:tcPr>
          <w:p w14:paraId="5F6D158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23,38</w:t>
            </w:r>
          </w:p>
        </w:tc>
        <w:tc>
          <w:tcPr>
            <w:tcW w:w="1074" w:type="dxa"/>
            <w:shd w:val="clear" w:color="auto" w:fill="auto"/>
            <w:noWrap/>
            <w:vAlign w:val="center"/>
            <w:hideMark/>
          </w:tcPr>
          <w:p w14:paraId="76E0DE9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1 360,30</w:t>
            </w:r>
          </w:p>
        </w:tc>
        <w:tc>
          <w:tcPr>
            <w:tcW w:w="1561" w:type="dxa"/>
            <w:shd w:val="clear" w:color="auto" w:fill="auto"/>
            <w:noWrap/>
            <w:vAlign w:val="center"/>
            <w:hideMark/>
          </w:tcPr>
          <w:p w14:paraId="2BC870A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1 102,51</w:t>
            </w:r>
          </w:p>
        </w:tc>
      </w:tr>
      <w:tr w:rsidR="00905E1F" w:rsidRPr="00AC3806" w14:paraId="77956FB0" w14:textId="77777777" w:rsidTr="00C749ED">
        <w:trPr>
          <w:trHeight w:val="407"/>
        </w:trPr>
        <w:tc>
          <w:tcPr>
            <w:tcW w:w="1985" w:type="dxa"/>
            <w:shd w:val="clear" w:color="auto" w:fill="auto"/>
            <w:noWrap/>
            <w:vAlign w:val="center"/>
            <w:hideMark/>
          </w:tcPr>
          <w:p w14:paraId="7468BBB5"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 Борисоглебский</w:t>
            </w:r>
          </w:p>
        </w:tc>
        <w:tc>
          <w:tcPr>
            <w:tcW w:w="1417" w:type="dxa"/>
            <w:shd w:val="clear" w:color="auto" w:fill="auto"/>
            <w:noWrap/>
            <w:vAlign w:val="center"/>
            <w:hideMark/>
          </w:tcPr>
          <w:p w14:paraId="70F60B3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1248</w:t>
            </w:r>
          </w:p>
        </w:tc>
        <w:tc>
          <w:tcPr>
            <w:tcW w:w="1985" w:type="dxa"/>
            <w:shd w:val="clear" w:color="auto" w:fill="auto"/>
            <w:noWrap/>
            <w:vAlign w:val="center"/>
            <w:hideMark/>
          </w:tcPr>
          <w:p w14:paraId="2A18E53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9 184 114 999,09</w:t>
            </w:r>
          </w:p>
        </w:tc>
        <w:tc>
          <w:tcPr>
            <w:tcW w:w="1984" w:type="dxa"/>
            <w:shd w:val="clear" w:color="auto" w:fill="auto"/>
            <w:noWrap/>
            <w:vAlign w:val="center"/>
            <w:hideMark/>
          </w:tcPr>
          <w:p w14:paraId="181E5DA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10 556 701 743,70</w:t>
            </w:r>
          </w:p>
        </w:tc>
        <w:tc>
          <w:tcPr>
            <w:tcW w:w="1418" w:type="dxa"/>
            <w:shd w:val="clear" w:color="auto" w:fill="auto"/>
            <w:noWrap/>
            <w:vAlign w:val="center"/>
            <w:hideMark/>
          </w:tcPr>
          <w:p w14:paraId="5FFB8E0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18475449,39</w:t>
            </w:r>
          </w:p>
        </w:tc>
        <w:tc>
          <w:tcPr>
            <w:tcW w:w="1843" w:type="dxa"/>
            <w:shd w:val="clear" w:color="auto" w:fill="auto"/>
            <w:noWrap/>
            <w:vAlign w:val="center"/>
            <w:hideMark/>
          </w:tcPr>
          <w:p w14:paraId="5083C15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-1 372 586 744,61</w:t>
            </w:r>
          </w:p>
        </w:tc>
        <w:tc>
          <w:tcPr>
            <w:tcW w:w="1618" w:type="dxa"/>
            <w:shd w:val="clear" w:color="auto" w:fill="auto"/>
            <w:noWrap/>
            <w:vAlign w:val="center"/>
            <w:hideMark/>
          </w:tcPr>
          <w:p w14:paraId="699DD01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w:t>
            </w:r>
          </w:p>
        </w:tc>
        <w:tc>
          <w:tcPr>
            <w:tcW w:w="1074" w:type="dxa"/>
            <w:shd w:val="clear" w:color="auto" w:fill="auto"/>
            <w:noWrap/>
            <w:vAlign w:val="center"/>
            <w:hideMark/>
          </w:tcPr>
          <w:p w14:paraId="664420B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497,10</w:t>
            </w:r>
          </w:p>
        </w:tc>
        <w:tc>
          <w:tcPr>
            <w:tcW w:w="1561" w:type="dxa"/>
            <w:shd w:val="clear" w:color="auto" w:fill="auto"/>
            <w:noWrap/>
            <w:vAlign w:val="center"/>
            <w:hideMark/>
          </w:tcPr>
          <w:p w14:paraId="5EA83F6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571,39</w:t>
            </w:r>
          </w:p>
        </w:tc>
      </w:tr>
      <w:tr w:rsidR="00905E1F" w:rsidRPr="00AC3806" w14:paraId="7843CD07" w14:textId="77777777" w:rsidTr="00C749ED">
        <w:trPr>
          <w:trHeight w:val="413"/>
        </w:trPr>
        <w:tc>
          <w:tcPr>
            <w:tcW w:w="1985" w:type="dxa"/>
            <w:shd w:val="clear" w:color="auto" w:fill="auto"/>
            <w:noWrap/>
            <w:vAlign w:val="center"/>
            <w:hideMark/>
          </w:tcPr>
          <w:p w14:paraId="3AEABD41"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 город Нововоронеж</w:t>
            </w:r>
          </w:p>
        </w:tc>
        <w:tc>
          <w:tcPr>
            <w:tcW w:w="1417" w:type="dxa"/>
            <w:shd w:val="clear" w:color="auto" w:fill="auto"/>
            <w:noWrap/>
            <w:vAlign w:val="center"/>
            <w:hideMark/>
          </w:tcPr>
          <w:p w14:paraId="5A6B4C7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749</w:t>
            </w:r>
          </w:p>
        </w:tc>
        <w:tc>
          <w:tcPr>
            <w:tcW w:w="1985" w:type="dxa"/>
            <w:shd w:val="clear" w:color="auto" w:fill="auto"/>
            <w:noWrap/>
            <w:vAlign w:val="center"/>
            <w:hideMark/>
          </w:tcPr>
          <w:p w14:paraId="61605F1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14 369 659 285,93</w:t>
            </w:r>
          </w:p>
        </w:tc>
        <w:tc>
          <w:tcPr>
            <w:tcW w:w="1984" w:type="dxa"/>
            <w:shd w:val="clear" w:color="auto" w:fill="auto"/>
            <w:noWrap/>
            <w:vAlign w:val="center"/>
            <w:hideMark/>
          </w:tcPr>
          <w:p w14:paraId="492DFA7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25 432 935 712,44</w:t>
            </w:r>
          </w:p>
        </w:tc>
        <w:tc>
          <w:tcPr>
            <w:tcW w:w="1418" w:type="dxa"/>
            <w:shd w:val="clear" w:color="auto" w:fill="auto"/>
            <w:noWrap/>
            <w:vAlign w:val="center"/>
            <w:hideMark/>
          </w:tcPr>
          <w:p w14:paraId="03EE3E5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14384270</w:t>
            </w:r>
          </w:p>
        </w:tc>
        <w:tc>
          <w:tcPr>
            <w:tcW w:w="1843" w:type="dxa"/>
            <w:shd w:val="clear" w:color="auto" w:fill="auto"/>
            <w:noWrap/>
            <w:vAlign w:val="center"/>
            <w:hideMark/>
          </w:tcPr>
          <w:p w14:paraId="65D9347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-11 063 276 426,51</w:t>
            </w:r>
          </w:p>
        </w:tc>
        <w:tc>
          <w:tcPr>
            <w:tcW w:w="1618" w:type="dxa"/>
            <w:shd w:val="clear" w:color="auto" w:fill="auto"/>
            <w:noWrap/>
            <w:vAlign w:val="center"/>
            <w:hideMark/>
          </w:tcPr>
          <w:p w14:paraId="58BDA16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-43,5</w:t>
            </w:r>
          </w:p>
        </w:tc>
        <w:tc>
          <w:tcPr>
            <w:tcW w:w="1074" w:type="dxa"/>
            <w:shd w:val="clear" w:color="auto" w:fill="auto"/>
            <w:noWrap/>
            <w:vAlign w:val="center"/>
            <w:hideMark/>
          </w:tcPr>
          <w:p w14:paraId="7DE6AC4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998,98</w:t>
            </w:r>
          </w:p>
        </w:tc>
        <w:tc>
          <w:tcPr>
            <w:tcW w:w="1561" w:type="dxa"/>
            <w:shd w:val="clear" w:color="auto" w:fill="auto"/>
            <w:noWrap/>
            <w:vAlign w:val="center"/>
            <w:hideMark/>
          </w:tcPr>
          <w:p w14:paraId="156C569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1 768,11</w:t>
            </w:r>
          </w:p>
        </w:tc>
      </w:tr>
    </w:tbl>
    <w:p w14:paraId="5C1D7961" w14:textId="77777777" w:rsidR="00905E1F" w:rsidRPr="00AC3806" w:rsidRDefault="00905E1F" w:rsidP="00905E1F">
      <w:pPr>
        <w:spacing w:after="0" w:line="240" w:lineRule="auto"/>
        <w:ind w:firstLine="709"/>
        <w:jc w:val="right"/>
        <w:rPr>
          <w:rFonts w:ascii="Times New Roman" w:hAnsi="Times New Roman" w:cs="Times New Roman"/>
          <w:sz w:val="18"/>
          <w:szCs w:val="18"/>
        </w:rPr>
      </w:pPr>
    </w:p>
    <w:p w14:paraId="71C6778B" w14:textId="77777777" w:rsidR="00905E1F" w:rsidRPr="00AC3806" w:rsidRDefault="00905E1F" w:rsidP="00905E1F">
      <w:pPr>
        <w:spacing w:after="0" w:line="240" w:lineRule="auto"/>
        <w:ind w:firstLine="709"/>
        <w:jc w:val="right"/>
        <w:rPr>
          <w:rFonts w:ascii="Times New Roman" w:hAnsi="Times New Roman" w:cs="Times New Roman"/>
          <w:sz w:val="18"/>
          <w:szCs w:val="18"/>
        </w:rPr>
      </w:pPr>
    </w:p>
    <w:p w14:paraId="65E5129E" w14:textId="77777777" w:rsidR="00905E1F" w:rsidRPr="00AC3806" w:rsidRDefault="00905E1F" w:rsidP="00905E1F">
      <w:pPr>
        <w:spacing w:after="0" w:line="240" w:lineRule="auto"/>
        <w:ind w:firstLine="709"/>
        <w:jc w:val="right"/>
        <w:rPr>
          <w:rFonts w:ascii="Times New Roman" w:hAnsi="Times New Roman" w:cs="Times New Roman"/>
          <w:sz w:val="18"/>
          <w:szCs w:val="18"/>
        </w:rPr>
      </w:pPr>
    </w:p>
    <w:p w14:paraId="200832CF" w14:textId="77777777" w:rsidR="00905E1F" w:rsidRPr="00AC3806" w:rsidRDefault="00905E1F" w:rsidP="00905E1F">
      <w:pPr>
        <w:rPr>
          <w:rFonts w:ascii="Times New Roman" w:hAnsi="Times New Roman" w:cs="Times New Roman"/>
          <w:sz w:val="26"/>
          <w:szCs w:val="26"/>
        </w:rPr>
      </w:pPr>
      <w:r w:rsidRPr="00AC3806">
        <w:rPr>
          <w:rFonts w:ascii="Times New Roman" w:hAnsi="Times New Roman" w:cs="Times New Roman"/>
          <w:sz w:val="26"/>
          <w:szCs w:val="26"/>
        </w:rPr>
        <w:br w:type="page"/>
      </w:r>
    </w:p>
    <w:p w14:paraId="7591E8E4" w14:textId="77777777" w:rsidR="00905E1F" w:rsidRPr="00AC3806" w:rsidRDefault="00905E1F" w:rsidP="00905E1F">
      <w:pPr>
        <w:spacing w:after="0" w:line="240" w:lineRule="auto"/>
        <w:ind w:firstLine="709"/>
        <w:jc w:val="right"/>
        <w:rPr>
          <w:rFonts w:ascii="Times New Roman" w:hAnsi="Times New Roman" w:cs="Times New Roman"/>
          <w:sz w:val="26"/>
          <w:szCs w:val="26"/>
        </w:rPr>
      </w:pPr>
      <w:r w:rsidRPr="00AC3806">
        <w:rPr>
          <w:rFonts w:ascii="Times New Roman" w:hAnsi="Times New Roman" w:cs="Times New Roman"/>
          <w:sz w:val="26"/>
          <w:szCs w:val="26"/>
        </w:rPr>
        <w:t>Таблица 4.1.5.4</w:t>
      </w:r>
    </w:p>
    <w:p w14:paraId="79A06DC8" w14:textId="77777777" w:rsidR="00905E1F" w:rsidRPr="00AC3806" w:rsidRDefault="00905E1F" w:rsidP="00905E1F">
      <w:pPr>
        <w:spacing w:after="0" w:line="240" w:lineRule="auto"/>
        <w:ind w:firstLine="709"/>
        <w:jc w:val="center"/>
        <w:rPr>
          <w:rFonts w:ascii="Times New Roman" w:hAnsi="Times New Roman" w:cs="Times New Roman"/>
          <w:sz w:val="26"/>
          <w:szCs w:val="26"/>
        </w:rPr>
      </w:pPr>
      <w:r w:rsidRPr="00AC3806">
        <w:rPr>
          <w:rFonts w:ascii="Times New Roman" w:hAnsi="Times New Roman" w:cs="Times New Roman"/>
          <w:sz w:val="26"/>
          <w:szCs w:val="26"/>
        </w:rPr>
        <w:t>Анализ соотношений кадастровой стоимости средних УПКС в разрезе 7 сегмента МО Воронежской области</w:t>
      </w:r>
    </w:p>
    <w:p w14:paraId="1AA094B5" w14:textId="77777777" w:rsidR="00905E1F" w:rsidRPr="00AC3806" w:rsidRDefault="00905E1F" w:rsidP="00905E1F">
      <w:pPr>
        <w:spacing w:after="0" w:line="240" w:lineRule="auto"/>
        <w:ind w:firstLine="709"/>
        <w:jc w:val="center"/>
        <w:rPr>
          <w:rFonts w:ascii="Times New Roman" w:hAnsi="Times New Roman" w:cs="Times New Roman"/>
          <w:sz w:val="18"/>
          <w:szCs w:val="18"/>
        </w:rPr>
      </w:pPr>
    </w:p>
    <w:tbl>
      <w:tblPr>
        <w:tblW w:w="14884" w:type="dxa"/>
        <w:tblInd w:w="-5" w:type="dxa"/>
        <w:tblLayout w:type="fixed"/>
        <w:tblLook w:val="04A0" w:firstRow="1" w:lastRow="0" w:firstColumn="1" w:lastColumn="0" w:noHBand="0" w:noVBand="1"/>
      </w:tblPr>
      <w:tblGrid>
        <w:gridCol w:w="1985"/>
        <w:gridCol w:w="1417"/>
        <w:gridCol w:w="1843"/>
        <w:gridCol w:w="1984"/>
        <w:gridCol w:w="1559"/>
        <w:gridCol w:w="1843"/>
        <w:gridCol w:w="1559"/>
        <w:gridCol w:w="993"/>
        <w:gridCol w:w="1701"/>
      </w:tblGrid>
      <w:tr w:rsidR="00905E1F" w:rsidRPr="00AC3806" w14:paraId="070DF4C9" w14:textId="77777777" w:rsidTr="00C749ED">
        <w:trPr>
          <w:trHeight w:val="397"/>
          <w:tblHead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5B1C2" w14:textId="77777777" w:rsidR="00905E1F" w:rsidRPr="00AC3806" w:rsidRDefault="00905E1F" w:rsidP="00C749ED">
            <w:pPr>
              <w:spacing w:after="0" w:line="240" w:lineRule="auto"/>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Муниципальное образование</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7311653" w14:textId="77777777" w:rsidR="00905E1F" w:rsidRPr="00AC3806" w:rsidRDefault="00905E1F" w:rsidP="00C749ED">
            <w:pPr>
              <w:spacing w:after="0" w:line="240" w:lineRule="auto"/>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Количество объектов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132467E" w14:textId="77777777" w:rsidR="00905E1F" w:rsidRPr="00AC3806" w:rsidRDefault="00905E1F" w:rsidP="00C749ED">
            <w:pPr>
              <w:spacing w:after="0" w:line="240" w:lineRule="auto"/>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Суммарная кадастровая стоимость</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0C72F88" w14:textId="77777777" w:rsidR="00905E1F" w:rsidRPr="00AC3806" w:rsidRDefault="00905E1F" w:rsidP="00C749ED">
            <w:pPr>
              <w:spacing w:after="0" w:line="240" w:lineRule="auto"/>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Суммарная кадастровая стоимость предыдущего тура оценки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477537E" w14:textId="77777777" w:rsidR="00905E1F" w:rsidRPr="00AC3806" w:rsidRDefault="00905E1F" w:rsidP="00C749ED">
            <w:pPr>
              <w:spacing w:after="0" w:line="240" w:lineRule="auto"/>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Суммарная площадь</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0CACF81" w14:textId="77777777" w:rsidR="00905E1F" w:rsidRPr="00AC3806" w:rsidRDefault="00905E1F" w:rsidP="00C749ED">
            <w:pPr>
              <w:spacing w:after="0" w:line="240" w:lineRule="auto"/>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Разница, руб.</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F8773AF" w14:textId="77777777" w:rsidR="00905E1F" w:rsidRPr="00AC3806" w:rsidRDefault="00905E1F" w:rsidP="00C749ED">
            <w:pPr>
              <w:spacing w:after="0" w:line="240" w:lineRule="auto"/>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Относительная разница,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A6DE906" w14:textId="77777777" w:rsidR="00905E1F" w:rsidRPr="00AC3806" w:rsidRDefault="00905E1F" w:rsidP="00C749ED">
            <w:pPr>
              <w:spacing w:after="0" w:line="240" w:lineRule="auto"/>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УПКС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5916CF7" w14:textId="77777777" w:rsidR="00905E1F" w:rsidRPr="00AC3806" w:rsidRDefault="00905E1F" w:rsidP="00C749ED">
            <w:pPr>
              <w:spacing w:after="0" w:line="240" w:lineRule="auto"/>
              <w:jc w:val="center"/>
              <w:rPr>
                <w:rFonts w:ascii="Times New Roman" w:eastAsia="Times New Roman" w:hAnsi="Times New Roman" w:cs="Times New Roman"/>
                <w:b/>
                <w:bCs/>
                <w:sz w:val="20"/>
                <w:lang w:eastAsia="ru-RU"/>
              </w:rPr>
            </w:pPr>
            <w:r w:rsidRPr="00AC3806">
              <w:rPr>
                <w:rFonts w:ascii="Times New Roman" w:eastAsia="Times New Roman" w:hAnsi="Times New Roman" w:cs="Times New Roman"/>
                <w:b/>
                <w:bCs/>
                <w:sz w:val="20"/>
                <w:lang w:eastAsia="ru-RU"/>
              </w:rPr>
              <w:t>УПКС предыдущего тура оценки</w:t>
            </w:r>
          </w:p>
        </w:tc>
      </w:tr>
      <w:tr w:rsidR="00905E1F" w:rsidRPr="00AC3806" w14:paraId="00E5A7B5"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D746736" w14:textId="77777777" w:rsidR="00905E1F" w:rsidRPr="00AC3806" w:rsidRDefault="00905E1F" w:rsidP="00C749ED">
            <w:pPr>
              <w:spacing w:after="0" w:line="240" w:lineRule="auto"/>
              <w:jc w:val="center"/>
              <w:rPr>
                <w:rFonts w:ascii="Times New Roman" w:hAnsi="Times New Roman" w:cs="Times New Roman"/>
                <w:sz w:val="20"/>
              </w:rPr>
            </w:pPr>
            <w:r w:rsidRPr="00AC3806">
              <w:rPr>
                <w:rFonts w:ascii="Times New Roman" w:eastAsia="Times New Roman" w:hAnsi="Times New Roman" w:cs="Times New Roman"/>
                <w:b/>
                <w:bCs/>
                <w:sz w:val="20"/>
                <w:lang w:eastAsia="ru-RU"/>
              </w:rPr>
              <w:t>1</w:t>
            </w:r>
          </w:p>
        </w:tc>
        <w:tc>
          <w:tcPr>
            <w:tcW w:w="1417" w:type="dxa"/>
            <w:tcBorders>
              <w:top w:val="nil"/>
              <w:left w:val="nil"/>
              <w:bottom w:val="single" w:sz="4" w:space="0" w:color="auto"/>
              <w:right w:val="single" w:sz="4" w:space="0" w:color="auto"/>
            </w:tcBorders>
            <w:shd w:val="clear" w:color="auto" w:fill="auto"/>
            <w:noWrap/>
            <w:vAlign w:val="center"/>
          </w:tcPr>
          <w:p w14:paraId="35A85231" w14:textId="77777777" w:rsidR="00905E1F" w:rsidRPr="00AC3806" w:rsidRDefault="00905E1F" w:rsidP="00C749ED">
            <w:pPr>
              <w:spacing w:after="0" w:line="240" w:lineRule="auto"/>
              <w:jc w:val="center"/>
              <w:rPr>
                <w:rFonts w:ascii="Times New Roman" w:hAnsi="Times New Roman" w:cs="Times New Roman"/>
                <w:sz w:val="20"/>
              </w:rPr>
            </w:pPr>
            <w:r w:rsidRPr="00AC3806">
              <w:rPr>
                <w:rFonts w:ascii="Times New Roman" w:eastAsia="Times New Roman" w:hAnsi="Times New Roman" w:cs="Times New Roman"/>
                <w:b/>
                <w:bCs/>
                <w:sz w:val="20"/>
                <w:lang w:eastAsia="ru-RU"/>
              </w:rPr>
              <w:t>2</w:t>
            </w:r>
          </w:p>
        </w:tc>
        <w:tc>
          <w:tcPr>
            <w:tcW w:w="1843" w:type="dxa"/>
            <w:tcBorders>
              <w:top w:val="nil"/>
              <w:left w:val="nil"/>
              <w:bottom w:val="single" w:sz="4" w:space="0" w:color="auto"/>
              <w:right w:val="single" w:sz="4" w:space="0" w:color="auto"/>
            </w:tcBorders>
            <w:shd w:val="clear" w:color="auto" w:fill="auto"/>
            <w:noWrap/>
            <w:vAlign w:val="center"/>
          </w:tcPr>
          <w:p w14:paraId="1565F7E5" w14:textId="77777777" w:rsidR="00905E1F" w:rsidRPr="00AC3806" w:rsidRDefault="00905E1F" w:rsidP="00C749ED">
            <w:pPr>
              <w:spacing w:after="0" w:line="240" w:lineRule="auto"/>
              <w:jc w:val="center"/>
              <w:rPr>
                <w:rFonts w:ascii="Times New Roman" w:hAnsi="Times New Roman" w:cs="Times New Roman"/>
                <w:sz w:val="20"/>
              </w:rPr>
            </w:pPr>
            <w:r w:rsidRPr="00AC3806">
              <w:rPr>
                <w:rFonts w:ascii="Times New Roman" w:eastAsia="Times New Roman" w:hAnsi="Times New Roman" w:cs="Times New Roman"/>
                <w:b/>
                <w:bCs/>
                <w:sz w:val="20"/>
                <w:lang w:eastAsia="ru-RU"/>
              </w:rPr>
              <w:t>3</w:t>
            </w:r>
          </w:p>
        </w:tc>
        <w:tc>
          <w:tcPr>
            <w:tcW w:w="1984" w:type="dxa"/>
            <w:tcBorders>
              <w:top w:val="nil"/>
              <w:left w:val="nil"/>
              <w:bottom w:val="single" w:sz="4" w:space="0" w:color="auto"/>
              <w:right w:val="single" w:sz="4" w:space="0" w:color="auto"/>
            </w:tcBorders>
            <w:shd w:val="clear" w:color="auto" w:fill="auto"/>
            <w:noWrap/>
            <w:vAlign w:val="center"/>
          </w:tcPr>
          <w:p w14:paraId="03E3DAB8" w14:textId="77777777" w:rsidR="00905E1F" w:rsidRPr="00AC3806" w:rsidRDefault="00905E1F" w:rsidP="00C749ED">
            <w:pPr>
              <w:spacing w:after="0" w:line="240" w:lineRule="auto"/>
              <w:jc w:val="center"/>
              <w:rPr>
                <w:rFonts w:ascii="Times New Roman" w:hAnsi="Times New Roman" w:cs="Times New Roman"/>
                <w:sz w:val="20"/>
              </w:rPr>
            </w:pPr>
            <w:r w:rsidRPr="00AC3806">
              <w:rPr>
                <w:rFonts w:ascii="Times New Roman" w:eastAsia="Times New Roman" w:hAnsi="Times New Roman" w:cs="Times New Roman"/>
                <w:b/>
                <w:bCs/>
                <w:sz w:val="20"/>
                <w:lang w:eastAsia="ru-RU"/>
              </w:rPr>
              <w:t>4</w:t>
            </w:r>
          </w:p>
        </w:tc>
        <w:tc>
          <w:tcPr>
            <w:tcW w:w="1559" w:type="dxa"/>
            <w:tcBorders>
              <w:top w:val="nil"/>
              <w:left w:val="nil"/>
              <w:bottom w:val="single" w:sz="4" w:space="0" w:color="auto"/>
              <w:right w:val="single" w:sz="4" w:space="0" w:color="auto"/>
            </w:tcBorders>
            <w:shd w:val="clear" w:color="auto" w:fill="auto"/>
            <w:noWrap/>
            <w:vAlign w:val="center"/>
          </w:tcPr>
          <w:p w14:paraId="574A861B" w14:textId="77777777" w:rsidR="00905E1F" w:rsidRPr="00AC3806" w:rsidRDefault="00905E1F" w:rsidP="00C749ED">
            <w:pPr>
              <w:spacing w:after="0" w:line="240" w:lineRule="auto"/>
              <w:jc w:val="center"/>
              <w:rPr>
                <w:rFonts w:ascii="Times New Roman" w:hAnsi="Times New Roman" w:cs="Times New Roman"/>
                <w:sz w:val="20"/>
              </w:rPr>
            </w:pPr>
            <w:r w:rsidRPr="00AC3806">
              <w:rPr>
                <w:rFonts w:ascii="Times New Roman" w:eastAsia="Times New Roman" w:hAnsi="Times New Roman" w:cs="Times New Roman"/>
                <w:b/>
                <w:bCs/>
                <w:sz w:val="20"/>
                <w:lang w:eastAsia="ru-RU"/>
              </w:rPr>
              <w:t>5</w:t>
            </w:r>
          </w:p>
        </w:tc>
        <w:tc>
          <w:tcPr>
            <w:tcW w:w="1843" w:type="dxa"/>
            <w:tcBorders>
              <w:top w:val="nil"/>
              <w:left w:val="nil"/>
              <w:bottom w:val="single" w:sz="4" w:space="0" w:color="auto"/>
              <w:right w:val="single" w:sz="4" w:space="0" w:color="auto"/>
            </w:tcBorders>
            <w:shd w:val="clear" w:color="auto" w:fill="auto"/>
            <w:noWrap/>
            <w:vAlign w:val="center"/>
          </w:tcPr>
          <w:p w14:paraId="61079BAA" w14:textId="77777777" w:rsidR="00905E1F" w:rsidRPr="00AC3806" w:rsidRDefault="00905E1F" w:rsidP="00C749ED">
            <w:pPr>
              <w:spacing w:after="0" w:line="240" w:lineRule="auto"/>
              <w:jc w:val="center"/>
              <w:rPr>
                <w:rFonts w:ascii="Times New Roman" w:hAnsi="Times New Roman" w:cs="Times New Roman"/>
                <w:sz w:val="20"/>
              </w:rPr>
            </w:pPr>
            <w:r w:rsidRPr="00AC3806">
              <w:rPr>
                <w:rFonts w:ascii="Times New Roman" w:eastAsia="Times New Roman" w:hAnsi="Times New Roman" w:cs="Times New Roman"/>
                <w:b/>
                <w:bCs/>
                <w:sz w:val="20"/>
                <w:lang w:eastAsia="ru-RU"/>
              </w:rPr>
              <w:t>6</w:t>
            </w:r>
          </w:p>
        </w:tc>
        <w:tc>
          <w:tcPr>
            <w:tcW w:w="1559" w:type="dxa"/>
            <w:tcBorders>
              <w:top w:val="nil"/>
              <w:left w:val="nil"/>
              <w:bottom w:val="single" w:sz="4" w:space="0" w:color="auto"/>
              <w:right w:val="single" w:sz="4" w:space="0" w:color="auto"/>
            </w:tcBorders>
            <w:shd w:val="clear" w:color="auto" w:fill="auto"/>
            <w:noWrap/>
            <w:vAlign w:val="center"/>
          </w:tcPr>
          <w:p w14:paraId="7BEBAB23" w14:textId="77777777" w:rsidR="00905E1F" w:rsidRPr="00AC3806" w:rsidRDefault="00905E1F" w:rsidP="00C749ED">
            <w:pPr>
              <w:spacing w:after="0" w:line="240" w:lineRule="auto"/>
              <w:jc w:val="center"/>
              <w:rPr>
                <w:rFonts w:ascii="Times New Roman" w:hAnsi="Times New Roman" w:cs="Times New Roman"/>
                <w:sz w:val="20"/>
              </w:rPr>
            </w:pPr>
            <w:r w:rsidRPr="00AC3806">
              <w:rPr>
                <w:rFonts w:ascii="Times New Roman" w:eastAsia="Times New Roman" w:hAnsi="Times New Roman" w:cs="Times New Roman"/>
                <w:b/>
                <w:bCs/>
                <w:sz w:val="20"/>
                <w:lang w:eastAsia="ru-RU"/>
              </w:rPr>
              <w:t>7</w:t>
            </w:r>
          </w:p>
        </w:tc>
        <w:tc>
          <w:tcPr>
            <w:tcW w:w="993" w:type="dxa"/>
            <w:tcBorders>
              <w:top w:val="nil"/>
              <w:left w:val="nil"/>
              <w:bottom w:val="single" w:sz="4" w:space="0" w:color="auto"/>
              <w:right w:val="single" w:sz="4" w:space="0" w:color="auto"/>
            </w:tcBorders>
            <w:shd w:val="clear" w:color="auto" w:fill="auto"/>
            <w:noWrap/>
            <w:vAlign w:val="center"/>
          </w:tcPr>
          <w:p w14:paraId="1B114A83" w14:textId="77777777" w:rsidR="00905E1F" w:rsidRPr="00AC3806" w:rsidRDefault="00905E1F" w:rsidP="00C749ED">
            <w:pPr>
              <w:spacing w:after="0" w:line="240" w:lineRule="auto"/>
              <w:jc w:val="center"/>
              <w:rPr>
                <w:rFonts w:ascii="Times New Roman" w:hAnsi="Times New Roman" w:cs="Times New Roman"/>
                <w:sz w:val="20"/>
              </w:rPr>
            </w:pPr>
            <w:r w:rsidRPr="00AC3806">
              <w:rPr>
                <w:rFonts w:ascii="Times New Roman" w:eastAsia="Times New Roman" w:hAnsi="Times New Roman" w:cs="Times New Roman"/>
                <w:b/>
                <w:bCs/>
                <w:sz w:val="20"/>
                <w:lang w:eastAsia="ru-RU"/>
              </w:rPr>
              <w:t>8</w:t>
            </w:r>
          </w:p>
        </w:tc>
        <w:tc>
          <w:tcPr>
            <w:tcW w:w="1701" w:type="dxa"/>
            <w:tcBorders>
              <w:top w:val="nil"/>
              <w:left w:val="nil"/>
              <w:bottom w:val="single" w:sz="4" w:space="0" w:color="auto"/>
              <w:right w:val="single" w:sz="4" w:space="0" w:color="auto"/>
            </w:tcBorders>
            <w:shd w:val="clear" w:color="auto" w:fill="auto"/>
            <w:noWrap/>
            <w:vAlign w:val="center"/>
          </w:tcPr>
          <w:p w14:paraId="0164538B" w14:textId="77777777" w:rsidR="00905E1F" w:rsidRPr="00AC3806" w:rsidRDefault="00905E1F" w:rsidP="00C749ED">
            <w:pPr>
              <w:spacing w:after="0" w:line="240" w:lineRule="auto"/>
              <w:jc w:val="center"/>
              <w:rPr>
                <w:rFonts w:ascii="Times New Roman" w:hAnsi="Times New Roman" w:cs="Times New Roman"/>
                <w:sz w:val="20"/>
              </w:rPr>
            </w:pPr>
            <w:r w:rsidRPr="00AC3806">
              <w:rPr>
                <w:rFonts w:ascii="Times New Roman" w:eastAsia="Times New Roman" w:hAnsi="Times New Roman" w:cs="Times New Roman"/>
                <w:b/>
                <w:bCs/>
                <w:sz w:val="20"/>
                <w:lang w:eastAsia="ru-RU"/>
              </w:rPr>
              <w:t>9</w:t>
            </w:r>
          </w:p>
        </w:tc>
      </w:tr>
      <w:tr w:rsidR="00905E1F" w:rsidRPr="00AC3806" w14:paraId="0A38788B"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55F84AE"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Аннинский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3C71AF7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94</w:t>
            </w:r>
          </w:p>
        </w:tc>
        <w:tc>
          <w:tcPr>
            <w:tcW w:w="1843" w:type="dxa"/>
            <w:tcBorders>
              <w:top w:val="nil"/>
              <w:left w:val="nil"/>
              <w:bottom w:val="single" w:sz="4" w:space="0" w:color="auto"/>
              <w:right w:val="single" w:sz="4" w:space="0" w:color="auto"/>
            </w:tcBorders>
            <w:shd w:val="clear" w:color="auto" w:fill="auto"/>
            <w:noWrap/>
            <w:vAlign w:val="center"/>
            <w:hideMark/>
          </w:tcPr>
          <w:p w14:paraId="7065EFF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129 073 144,33</w:t>
            </w:r>
          </w:p>
        </w:tc>
        <w:tc>
          <w:tcPr>
            <w:tcW w:w="1984" w:type="dxa"/>
            <w:tcBorders>
              <w:top w:val="nil"/>
              <w:left w:val="nil"/>
              <w:bottom w:val="single" w:sz="4" w:space="0" w:color="auto"/>
              <w:right w:val="single" w:sz="4" w:space="0" w:color="auto"/>
            </w:tcBorders>
            <w:shd w:val="clear" w:color="auto" w:fill="auto"/>
            <w:noWrap/>
            <w:vAlign w:val="center"/>
            <w:hideMark/>
          </w:tcPr>
          <w:p w14:paraId="11B31E16"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95 181 621,87</w:t>
            </w:r>
          </w:p>
        </w:tc>
        <w:tc>
          <w:tcPr>
            <w:tcW w:w="1559" w:type="dxa"/>
            <w:tcBorders>
              <w:top w:val="nil"/>
              <w:left w:val="nil"/>
              <w:bottom w:val="single" w:sz="4" w:space="0" w:color="auto"/>
              <w:right w:val="single" w:sz="4" w:space="0" w:color="auto"/>
            </w:tcBorders>
            <w:shd w:val="clear" w:color="auto" w:fill="auto"/>
            <w:noWrap/>
            <w:vAlign w:val="center"/>
            <w:hideMark/>
          </w:tcPr>
          <w:p w14:paraId="1F95FF8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67570,3</w:t>
            </w:r>
          </w:p>
        </w:tc>
        <w:tc>
          <w:tcPr>
            <w:tcW w:w="1843" w:type="dxa"/>
            <w:tcBorders>
              <w:top w:val="nil"/>
              <w:left w:val="nil"/>
              <w:bottom w:val="single" w:sz="4" w:space="0" w:color="auto"/>
              <w:right w:val="single" w:sz="4" w:space="0" w:color="auto"/>
            </w:tcBorders>
            <w:shd w:val="clear" w:color="auto" w:fill="auto"/>
            <w:noWrap/>
            <w:vAlign w:val="center"/>
            <w:hideMark/>
          </w:tcPr>
          <w:p w14:paraId="5879514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33 891 522,46</w:t>
            </w:r>
          </w:p>
        </w:tc>
        <w:tc>
          <w:tcPr>
            <w:tcW w:w="1559" w:type="dxa"/>
            <w:tcBorders>
              <w:top w:val="nil"/>
              <w:left w:val="nil"/>
              <w:bottom w:val="single" w:sz="4" w:space="0" w:color="auto"/>
              <w:right w:val="single" w:sz="4" w:space="0" w:color="auto"/>
            </w:tcBorders>
            <w:shd w:val="clear" w:color="auto" w:fill="auto"/>
            <w:noWrap/>
            <w:vAlign w:val="center"/>
            <w:hideMark/>
          </w:tcPr>
          <w:p w14:paraId="412F420B"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35,61</w:t>
            </w:r>
          </w:p>
        </w:tc>
        <w:tc>
          <w:tcPr>
            <w:tcW w:w="993" w:type="dxa"/>
            <w:tcBorders>
              <w:top w:val="nil"/>
              <w:left w:val="nil"/>
              <w:bottom w:val="single" w:sz="4" w:space="0" w:color="auto"/>
              <w:right w:val="single" w:sz="4" w:space="0" w:color="auto"/>
            </w:tcBorders>
            <w:shd w:val="clear" w:color="auto" w:fill="auto"/>
            <w:noWrap/>
            <w:vAlign w:val="center"/>
            <w:hideMark/>
          </w:tcPr>
          <w:p w14:paraId="4D057D8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1 910,21</w:t>
            </w:r>
          </w:p>
        </w:tc>
        <w:tc>
          <w:tcPr>
            <w:tcW w:w="1701" w:type="dxa"/>
            <w:tcBorders>
              <w:top w:val="nil"/>
              <w:left w:val="nil"/>
              <w:bottom w:val="single" w:sz="4" w:space="0" w:color="auto"/>
              <w:right w:val="single" w:sz="4" w:space="0" w:color="auto"/>
            </w:tcBorders>
            <w:shd w:val="clear" w:color="auto" w:fill="auto"/>
            <w:noWrap/>
            <w:vAlign w:val="center"/>
            <w:hideMark/>
          </w:tcPr>
          <w:p w14:paraId="66ACB21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1 408,63</w:t>
            </w:r>
          </w:p>
        </w:tc>
      </w:tr>
      <w:tr w:rsidR="00905E1F" w:rsidRPr="00AC3806" w14:paraId="2E4A1616"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37526B7"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Бобровский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305B197E"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735</w:t>
            </w:r>
          </w:p>
        </w:tc>
        <w:tc>
          <w:tcPr>
            <w:tcW w:w="1843" w:type="dxa"/>
            <w:tcBorders>
              <w:top w:val="nil"/>
              <w:left w:val="nil"/>
              <w:bottom w:val="single" w:sz="4" w:space="0" w:color="auto"/>
              <w:right w:val="single" w:sz="4" w:space="0" w:color="auto"/>
            </w:tcBorders>
            <w:shd w:val="clear" w:color="auto" w:fill="auto"/>
            <w:noWrap/>
            <w:vAlign w:val="center"/>
            <w:hideMark/>
          </w:tcPr>
          <w:p w14:paraId="31EDB68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116 834 872,21</w:t>
            </w:r>
          </w:p>
        </w:tc>
        <w:tc>
          <w:tcPr>
            <w:tcW w:w="1984" w:type="dxa"/>
            <w:tcBorders>
              <w:top w:val="nil"/>
              <w:left w:val="nil"/>
              <w:bottom w:val="single" w:sz="4" w:space="0" w:color="auto"/>
              <w:right w:val="single" w:sz="4" w:space="0" w:color="auto"/>
            </w:tcBorders>
            <w:shd w:val="clear" w:color="auto" w:fill="auto"/>
            <w:noWrap/>
            <w:vAlign w:val="center"/>
            <w:hideMark/>
          </w:tcPr>
          <w:p w14:paraId="078095B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63 577 616,16</w:t>
            </w:r>
          </w:p>
        </w:tc>
        <w:tc>
          <w:tcPr>
            <w:tcW w:w="1559" w:type="dxa"/>
            <w:tcBorders>
              <w:top w:val="nil"/>
              <w:left w:val="nil"/>
              <w:bottom w:val="single" w:sz="4" w:space="0" w:color="auto"/>
              <w:right w:val="single" w:sz="4" w:space="0" w:color="auto"/>
            </w:tcBorders>
            <w:shd w:val="clear" w:color="auto" w:fill="auto"/>
            <w:noWrap/>
            <w:vAlign w:val="center"/>
            <w:hideMark/>
          </w:tcPr>
          <w:p w14:paraId="6AFC4F31"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173617,78</w:t>
            </w:r>
          </w:p>
        </w:tc>
        <w:tc>
          <w:tcPr>
            <w:tcW w:w="1843" w:type="dxa"/>
            <w:tcBorders>
              <w:top w:val="nil"/>
              <w:left w:val="nil"/>
              <w:bottom w:val="single" w:sz="4" w:space="0" w:color="auto"/>
              <w:right w:val="single" w:sz="4" w:space="0" w:color="auto"/>
            </w:tcBorders>
            <w:shd w:val="clear" w:color="auto" w:fill="auto"/>
            <w:noWrap/>
            <w:vAlign w:val="center"/>
            <w:hideMark/>
          </w:tcPr>
          <w:p w14:paraId="6C76F01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53 257 256,05</w:t>
            </w:r>
          </w:p>
        </w:tc>
        <w:tc>
          <w:tcPr>
            <w:tcW w:w="1559" w:type="dxa"/>
            <w:tcBorders>
              <w:top w:val="nil"/>
              <w:left w:val="nil"/>
              <w:bottom w:val="single" w:sz="4" w:space="0" w:color="auto"/>
              <w:right w:val="single" w:sz="4" w:space="0" w:color="auto"/>
            </w:tcBorders>
            <w:shd w:val="clear" w:color="auto" w:fill="auto"/>
            <w:noWrap/>
            <w:vAlign w:val="center"/>
            <w:hideMark/>
          </w:tcPr>
          <w:p w14:paraId="29E6057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83,77</w:t>
            </w:r>
          </w:p>
        </w:tc>
        <w:tc>
          <w:tcPr>
            <w:tcW w:w="993" w:type="dxa"/>
            <w:tcBorders>
              <w:top w:val="nil"/>
              <w:left w:val="nil"/>
              <w:bottom w:val="single" w:sz="4" w:space="0" w:color="auto"/>
              <w:right w:val="single" w:sz="4" w:space="0" w:color="auto"/>
            </w:tcBorders>
            <w:shd w:val="clear" w:color="auto" w:fill="auto"/>
            <w:noWrap/>
            <w:vAlign w:val="center"/>
            <w:hideMark/>
          </w:tcPr>
          <w:p w14:paraId="786C6EF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672,94</w:t>
            </w:r>
          </w:p>
        </w:tc>
        <w:tc>
          <w:tcPr>
            <w:tcW w:w="1701" w:type="dxa"/>
            <w:tcBorders>
              <w:top w:val="nil"/>
              <w:left w:val="nil"/>
              <w:bottom w:val="single" w:sz="4" w:space="0" w:color="auto"/>
              <w:right w:val="single" w:sz="4" w:space="0" w:color="auto"/>
            </w:tcBorders>
            <w:shd w:val="clear" w:color="auto" w:fill="auto"/>
            <w:noWrap/>
            <w:vAlign w:val="center"/>
            <w:hideMark/>
          </w:tcPr>
          <w:p w14:paraId="72EAA1B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366,19</w:t>
            </w:r>
          </w:p>
        </w:tc>
      </w:tr>
      <w:tr w:rsidR="00905E1F" w:rsidRPr="00AC3806" w14:paraId="07E9F77C"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B3E1D89"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Богучарский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48FFFEE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600</w:t>
            </w:r>
          </w:p>
        </w:tc>
        <w:tc>
          <w:tcPr>
            <w:tcW w:w="1843" w:type="dxa"/>
            <w:tcBorders>
              <w:top w:val="nil"/>
              <w:left w:val="nil"/>
              <w:bottom w:val="single" w:sz="4" w:space="0" w:color="auto"/>
              <w:right w:val="single" w:sz="4" w:space="0" w:color="auto"/>
            </w:tcBorders>
            <w:shd w:val="clear" w:color="auto" w:fill="auto"/>
            <w:noWrap/>
            <w:vAlign w:val="center"/>
            <w:hideMark/>
          </w:tcPr>
          <w:p w14:paraId="1FE3317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164 952 990,84</w:t>
            </w:r>
          </w:p>
        </w:tc>
        <w:tc>
          <w:tcPr>
            <w:tcW w:w="1984" w:type="dxa"/>
            <w:tcBorders>
              <w:top w:val="nil"/>
              <w:left w:val="nil"/>
              <w:bottom w:val="single" w:sz="4" w:space="0" w:color="auto"/>
              <w:right w:val="single" w:sz="4" w:space="0" w:color="auto"/>
            </w:tcBorders>
            <w:shd w:val="clear" w:color="auto" w:fill="auto"/>
            <w:noWrap/>
            <w:vAlign w:val="center"/>
            <w:hideMark/>
          </w:tcPr>
          <w:p w14:paraId="69ECC578"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122 599 961,79</w:t>
            </w:r>
          </w:p>
        </w:tc>
        <w:tc>
          <w:tcPr>
            <w:tcW w:w="1559" w:type="dxa"/>
            <w:tcBorders>
              <w:top w:val="nil"/>
              <w:left w:val="nil"/>
              <w:bottom w:val="single" w:sz="4" w:space="0" w:color="auto"/>
              <w:right w:val="single" w:sz="4" w:space="0" w:color="auto"/>
            </w:tcBorders>
            <w:shd w:val="clear" w:color="auto" w:fill="auto"/>
            <w:noWrap/>
            <w:vAlign w:val="center"/>
            <w:hideMark/>
          </w:tcPr>
          <w:p w14:paraId="3B606B61"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147951,71</w:t>
            </w:r>
          </w:p>
        </w:tc>
        <w:tc>
          <w:tcPr>
            <w:tcW w:w="1843" w:type="dxa"/>
            <w:tcBorders>
              <w:top w:val="nil"/>
              <w:left w:val="nil"/>
              <w:bottom w:val="single" w:sz="4" w:space="0" w:color="auto"/>
              <w:right w:val="single" w:sz="4" w:space="0" w:color="auto"/>
            </w:tcBorders>
            <w:shd w:val="clear" w:color="auto" w:fill="auto"/>
            <w:noWrap/>
            <w:vAlign w:val="center"/>
            <w:hideMark/>
          </w:tcPr>
          <w:p w14:paraId="7D043975"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42 353 029,05</w:t>
            </w:r>
          </w:p>
        </w:tc>
        <w:tc>
          <w:tcPr>
            <w:tcW w:w="1559" w:type="dxa"/>
            <w:tcBorders>
              <w:top w:val="nil"/>
              <w:left w:val="nil"/>
              <w:bottom w:val="single" w:sz="4" w:space="0" w:color="auto"/>
              <w:right w:val="single" w:sz="4" w:space="0" w:color="auto"/>
            </w:tcBorders>
            <w:shd w:val="clear" w:color="auto" w:fill="auto"/>
            <w:noWrap/>
            <w:vAlign w:val="center"/>
            <w:hideMark/>
          </w:tcPr>
          <w:p w14:paraId="261D39D0"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34,55</w:t>
            </w:r>
          </w:p>
        </w:tc>
        <w:tc>
          <w:tcPr>
            <w:tcW w:w="993" w:type="dxa"/>
            <w:tcBorders>
              <w:top w:val="nil"/>
              <w:left w:val="nil"/>
              <w:bottom w:val="single" w:sz="4" w:space="0" w:color="auto"/>
              <w:right w:val="single" w:sz="4" w:space="0" w:color="auto"/>
            </w:tcBorders>
            <w:shd w:val="clear" w:color="auto" w:fill="auto"/>
            <w:noWrap/>
            <w:vAlign w:val="center"/>
            <w:hideMark/>
          </w:tcPr>
          <w:p w14:paraId="4A3FA13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1 114,91</w:t>
            </w:r>
          </w:p>
        </w:tc>
        <w:tc>
          <w:tcPr>
            <w:tcW w:w="1701" w:type="dxa"/>
            <w:tcBorders>
              <w:top w:val="nil"/>
              <w:left w:val="nil"/>
              <w:bottom w:val="single" w:sz="4" w:space="0" w:color="auto"/>
              <w:right w:val="single" w:sz="4" w:space="0" w:color="auto"/>
            </w:tcBorders>
            <w:shd w:val="clear" w:color="auto" w:fill="auto"/>
            <w:noWrap/>
            <w:vAlign w:val="center"/>
            <w:hideMark/>
          </w:tcPr>
          <w:p w14:paraId="0618FE8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828,65</w:t>
            </w:r>
          </w:p>
        </w:tc>
      </w:tr>
      <w:tr w:rsidR="00905E1F" w:rsidRPr="00AC3806" w14:paraId="2A059E3E"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5C8137C"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Бутурлиновский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57A041CE"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476</w:t>
            </w:r>
          </w:p>
        </w:tc>
        <w:tc>
          <w:tcPr>
            <w:tcW w:w="1843" w:type="dxa"/>
            <w:tcBorders>
              <w:top w:val="nil"/>
              <w:left w:val="nil"/>
              <w:bottom w:val="single" w:sz="4" w:space="0" w:color="auto"/>
              <w:right w:val="single" w:sz="4" w:space="0" w:color="auto"/>
            </w:tcBorders>
            <w:shd w:val="clear" w:color="auto" w:fill="auto"/>
            <w:noWrap/>
            <w:vAlign w:val="center"/>
            <w:hideMark/>
          </w:tcPr>
          <w:p w14:paraId="3A0959C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177 168 087,88</w:t>
            </w:r>
          </w:p>
        </w:tc>
        <w:tc>
          <w:tcPr>
            <w:tcW w:w="1984" w:type="dxa"/>
            <w:tcBorders>
              <w:top w:val="nil"/>
              <w:left w:val="nil"/>
              <w:bottom w:val="single" w:sz="4" w:space="0" w:color="auto"/>
              <w:right w:val="single" w:sz="4" w:space="0" w:color="auto"/>
            </w:tcBorders>
            <w:shd w:val="clear" w:color="auto" w:fill="auto"/>
            <w:noWrap/>
            <w:vAlign w:val="center"/>
            <w:hideMark/>
          </w:tcPr>
          <w:p w14:paraId="13C6B869"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126 180 229,78</w:t>
            </w:r>
          </w:p>
        </w:tc>
        <w:tc>
          <w:tcPr>
            <w:tcW w:w="1559" w:type="dxa"/>
            <w:tcBorders>
              <w:top w:val="nil"/>
              <w:left w:val="nil"/>
              <w:bottom w:val="single" w:sz="4" w:space="0" w:color="auto"/>
              <w:right w:val="single" w:sz="4" w:space="0" w:color="auto"/>
            </w:tcBorders>
            <w:shd w:val="clear" w:color="auto" w:fill="auto"/>
            <w:noWrap/>
            <w:vAlign w:val="center"/>
            <w:hideMark/>
          </w:tcPr>
          <w:p w14:paraId="499D4AB1"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105840,55</w:t>
            </w:r>
          </w:p>
        </w:tc>
        <w:tc>
          <w:tcPr>
            <w:tcW w:w="1843" w:type="dxa"/>
            <w:tcBorders>
              <w:top w:val="nil"/>
              <w:left w:val="nil"/>
              <w:bottom w:val="single" w:sz="4" w:space="0" w:color="auto"/>
              <w:right w:val="single" w:sz="4" w:space="0" w:color="auto"/>
            </w:tcBorders>
            <w:shd w:val="clear" w:color="auto" w:fill="auto"/>
            <w:noWrap/>
            <w:vAlign w:val="center"/>
            <w:hideMark/>
          </w:tcPr>
          <w:p w14:paraId="32474B2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50 987 858,10</w:t>
            </w:r>
          </w:p>
        </w:tc>
        <w:tc>
          <w:tcPr>
            <w:tcW w:w="1559" w:type="dxa"/>
            <w:tcBorders>
              <w:top w:val="nil"/>
              <w:left w:val="nil"/>
              <w:bottom w:val="single" w:sz="4" w:space="0" w:color="auto"/>
              <w:right w:val="single" w:sz="4" w:space="0" w:color="auto"/>
            </w:tcBorders>
            <w:shd w:val="clear" w:color="auto" w:fill="auto"/>
            <w:noWrap/>
            <w:vAlign w:val="center"/>
            <w:hideMark/>
          </w:tcPr>
          <w:p w14:paraId="741A213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40,41</w:t>
            </w:r>
          </w:p>
        </w:tc>
        <w:tc>
          <w:tcPr>
            <w:tcW w:w="993" w:type="dxa"/>
            <w:tcBorders>
              <w:top w:val="nil"/>
              <w:left w:val="nil"/>
              <w:bottom w:val="single" w:sz="4" w:space="0" w:color="auto"/>
              <w:right w:val="single" w:sz="4" w:space="0" w:color="auto"/>
            </w:tcBorders>
            <w:shd w:val="clear" w:color="auto" w:fill="auto"/>
            <w:noWrap/>
            <w:vAlign w:val="center"/>
            <w:hideMark/>
          </w:tcPr>
          <w:p w14:paraId="2979B205"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1 673,92</w:t>
            </w:r>
          </w:p>
        </w:tc>
        <w:tc>
          <w:tcPr>
            <w:tcW w:w="1701" w:type="dxa"/>
            <w:tcBorders>
              <w:top w:val="nil"/>
              <w:left w:val="nil"/>
              <w:bottom w:val="single" w:sz="4" w:space="0" w:color="auto"/>
              <w:right w:val="single" w:sz="4" w:space="0" w:color="auto"/>
            </w:tcBorders>
            <w:shd w:val="clear" w:color="auto" w:fill="auto"/>
            <w:noWrap/>
            <w:vAlign w:val="center"/>
            <w:hideMark/>
          </w:tcPr>
          <w:p w14:paraId="3CAF3EB6"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1 192,17</w:t>
            </w:r>
          </w:p>
        </w:tc>
      </w:tr>
      <w:tr w:rsidR="00905E1F" w:rsidRPr="00AC3806" w14:paraId="4F2D6220"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49466FF"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Верхнемамонский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3C402080"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153</w:t>
            </w:r>
          </w:p>
        </w:tc>
        <w:tc>
          <w:tcPr>
            <w:tcW w:w="1843" w:type="dxa"/>
            <w:tcBorders>
              <w:top w:val="nil"/>
              <w:left w:val="nil"/>
              <w:bottom w:val="single" w:sz="4" w:space="0" w:color="auto"/>
              <w:right w:val="single" w:sz="4" w:space="0" w:color="auto"/>
            </w:tcBorders>
            <w:shd w:val="clear" w:color="auto" w:fill="auto"/>
            <w:noWrap/>
            <w:vAlign w:val="center"/>
            <w:hideMark/>
          </w:tcPr>
          <w:p w14:paraId="032B9C81"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19 241 062,45</w:t>
            </w:r>
          </w:p>
        </w:tc>
        <w:tc>
          <w:tcPr>
            <w:tcW w:w="1984" w:type="dxa"/>
            <w:tcBorders>
              <w:top w:val="nil"/>
              <w:left w:val="nil"/>
              <w:bottom w:val="single" w:sz="4" w:space="0" w:color="auto"/>
              <w:right w:val="single" w:sz="4" w:space="0" w:color="auto"/>
            </w:tcBorders>
            <w:shd w:val="clear" w:color="auto" w:fill="auto"/>
            <w:noWrap/>
            <w:vAlign w:val="center"/>
            <w:hideMark/>
          </w:tcPr>
          <w:p w14:paraId="3B1FB7B6"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19 916 237,13</w:t>
            </w:r>
          </w:p>
        </w:tc>
        <w:tc>
          <w:tcPr>
            <w:tcW w:w="1559" w:type="dxa"/>
            <w:tcBorders>
              <w:top w:val="nil"/>
              <w:left w:val="nil"/>
              <w:bottom w:val="single" w:sz="4" w:space="0" w:color="auto"/>
              <w:right w:val="single" w:sz="4" w:space="0" w:color="auto"/>
            </w:tcBorders>
            <w:shd w:val="clear" w:color="auto" w:fill="auto"/>
            <w:noWrap/>
            <w:vAlign w:val="center"/>
            <w:hideMark/>
          </w:tcPr>
          <w:p w14:paraId="4AD79976"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42979,94</w:t>
            </w:r>
          </w:p>
        </w:tc>
        <w:tc>
          <w:tcPr>
            <w:tcW w:w="1843" w:type="dxa"/>
            <w:tcBorders>
              <w:top w:val="nil"/>
              <w:left w:val="nil"/>
              <w:bottom w:val="single" w:sz="4" w:space="0" w:color="auto"/>
              <w:right w:val="single" w:sz="4" w:space="0" w:color="auto"/>
            </w:tcBorders>
            <w:shd w:val="clear" w:color="auto" w:fill="auto"/>
            <w:noWrap/>
            <w:vAlign w:val="center"/>
            <w:hideMark/>
          </w:tcPr>
          <w:p w14:paraId="4C271444"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-675 174,68</w:t>
            </w:r>
          </w:p>
        </w:tc>
        <w:tc>
          <w:tcPr>
            <w:tcW w:w="1559" w:type="dxa"/>
            <w:tcBorders>
              <w:top w:val="nil"/>
              <w:left w:val="nil"/>
              <w:bottom w:val="single" w:sz="4" w:space="0" w:color="auto"/>
              <w:right w:val="single" w:sz="4" w:space="0" w:color="auto"/>
            </w:tcBorders>
            <w:shd w:val="clear" w:color="auto" w:fill="auto"/>
            <w:noWrap/>
            <w:vAlign w:val="center"/>
            <w:hideMark/>
          </w:tcPr>
          <w:p w14:paraId="12414AB9"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-3,39</w:t>
            </w:r>
          </w:p>
        </w:tc>
        <w:tc>
          <w:tcPr>
            <w:tcW w:w="993" w:type="dxa"/>
            <w:tcBorders>
              <w:top w:val="nil"/>
              <w:left w:val="nil"/>
              <w:bottom w:val="single" w:sz="4" w:space="0" w:color="auto"/>
              <w:right w:val="single" w:sz="4" w:space="0" w:color="auto"/>
            </w:tcBorders>
            <w:shd w:val="clear" w:color="auto" w:fill="auto"/>
            <w:noWrap/>
            <w:vAlign w:val="center"/>
            <w:hideMark/>
          </w:tcPr>
          <w:p w14:paraId="6DDC62C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447,68</w:t>
            </w:r>
          </w:p>
        </w:tc>
        <w:tc>
          <w:tcPr>
            <w:tcW w:w="1701" w:type="dxa"/>
            <w:tcBorders>
              <w:top w:val="nil"/>
              <w:left w:val="nil"/>
              <w:bottom w:val="single" w:sz="4" w:space="0" w:color="auto"/>
              <w:right w:val="single" w:sz="4" w:space="0" w:color="auto"/>
            </w:tcBorders>
            <w:shd w:val="clear" w:color="auto" w:fill="auto"/>
            <w:noWrap/>
            <w:vAlign w:val="center"/>
            <w:hideMark/>
          </w:tcPr>
          <w:p w14:paraId="3AC5BE96"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463,38</w:t>
            </w:r>
          </w:p>
        </w:tc>
      </w:tr>
      <w:tr w:rsidR="00905E1F" w:rsidRPr="00AC3806" w14:paraId="35502F57"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B1A331A"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Верхнехавский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57273F3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193</w:t>
            </w:r>
          </w:p>
        </w:tc>
        <w:tc>
          <w:tcPr>
            <w:tcW w:w="1843" w:type="dxa"/>
            <w:tcBorders>
              <w:top w:val="nil"/>
              <w:left w:val="nil"/>
              <w:bottom w:val="single" w:sz="4" w:space="0" w:color="auto"/>
              <w:right w:val="single" w:sz="4" w:space="0" w:color="auto"/>
            </w:tcBorders>
            <w:shd w:val="clear" w:color="auto" w:fill="auto"/>
            <w:noWrap/>
            <w:vAlign w:val="center"/>
            <w:hideMark/>
          </w:tcPr>
          <w:p w14:paraId="17B1FC5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65 004 930,87</w:t>
            </w:r>
          </w:p>
        </w:tc>
        <w:tc>
          <w:tcPr>
            <w:tcW w:w="1984" w:type="dxa"/>
            <w:tcBorders>
              <w:top w:val="nil"/>
              <w:left w:val="nil"/>
              <w:bottom w:val="single" w:sz="4" w:space="0" w:color="auto"/>
              <w:right w:val="single" w:sz="4" w:space="0" w:color="auto"/>
            </w:tcBorders>
            <w:shd w:val="clear" w:color="auto" w:fill="auto"/>
            <w:noWrap/>
            <w:vAlign w:val="center"/>
            <w:hideMark/>
          </w:tcPr>
          <w:p w14:paraId="222ABF78"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41 331 724,36</w:t>
            </w:r>
          </w:p>
        </w:tc>
        <w:tc>
          <w:tcPr>
            <w:tcW w:w="1559" w:type="dxa"/>
            <w:tcBorders>
              <w:top w:val="nil"/>
              <w:left w:val="nil"/>
              <w:bottom w:val="single" w:sz="4" w:space="0" w:color="auto"/>
              <w:right w:val="single" w:sz="4" w:space="0" w:color="auto"/>
            </w:tcBorders>
            <w:shd w:val="clear" w:color="auto" w:fill="auto"/>
            <w:noWrap/>
            <w:vAlign w:val="center"/>
            <w:hideMark/>
          </w:tcPr>
          <w:p w14:paraId="5D002FF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43334,8</w:t>
            </w:r>
          </w:p>
        </w:tc>
        <w:tc>
          <w:tcPr>
            <w:tcW w:w="1843" w:type="dxa"/>
            <w:tcBorders>
              <w:top w:val="nil"/>
              <w:left w:val="nil"/>
              <w:bottom w:val="single" w:sz="4" w:space="0" w:color="auto"/>
              <w:right w:val="single" w:sz="4" w:space="0" w:color="auto"/>
            </w:tcBorders>
            <w:shd w:val="clear" w:color="auto" w:fill="auto"/>
            <w:noWrap/>
            <w:vAlign w:val="center"/>
            <w:hideMark/>
          </w:tcPr>
          <w:p w14:paraId="6B3CFA9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23 673 206,51</w:t>
            </w:r>
          </w:p>
        </w:tc>
        <w:tc>
          <w:tcPr>
            <w:tcW w:w="1559" w:type="dxa"/>
            <w:tcBorders>
              <w:top w:val="nil"/>
              <w:left w:val="nil"/>
              <w:bottom w:val="single" w:sz="4" w:space="0" w:color="auto"/>
              <w:right w:val="single" w:sz="4" w:space="0" w:color="auto"/>
            </w:tcBorders>
            <w:shd w:val="clear" w:color="auto" w:fill="auto"/>
            <w:noWrap/>
            <w:vAlign w:val="center"/>
            <w:hideMark/>
          </w:tcPr>
          <w:p w14:paraId="1D67116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57,28</w:t>
            </w:r>
          </w:p>
        </w:tc>
        <w:tc>
          <w:tcPr>
            <w:tcW w:w="993" w:type="dxa"/>
            <w:tcBorders>
              <w:top w:val="nil"/>
              <w:left w:val="nil"/>
              <w:bottom w:val="single" w:sz="4" w:space="0" w:color="auto"/>
              <w:right w:val="single" w:sz="4" w:space="0" w:color="auto"/>
            </w:tcBorders>
            <w:shd w:val="clear" w:color="auto" w:fill="auto"/>
            <w:noWrap/>
            <w:vAlign w:val="center"/>
            <w:hideMark/>
          </w:tcPr>
          <w:p w14:paraId="1612A6D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1 500,06</w:t>
            </w:r>
          </w:p>
        </w:tc>
        <w:tc>
          <w:tcPr>
            <w:tcW w:w="1701" w:type="dxa"/>
            <w:tcBorders>
              <w:top w:val="nil"/>
              <w:left w:val="nil"/>
              <w:bottom w:val="single" w:sz="4" w:space="0" w:color="auto"/>
              <w:right w:val="single" w:sz="4" w:space="0" w:color="auto"/>
            </w:tcBorders>
            <w:shd w:val="clear" w:color="auto" w:fill="auto"/>
            <w:noWrap/>
            <w:vAlign w:val="center"/>
            <w:hideMark/>
          </w:tcPr>
          <w:p w14:paraId="6497F99F"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953,78</w:t>
            </w:r>
          </w:p>
        </w:tc>
      </w:tr>
      <w:tr w:rsidR="00905E1F" w:rsidRPr="00AC3806" w14:paraId="74E2C50B"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034E9A1"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Воробьёвский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68F3BB3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44</w:t>
            </w:r>
          </w:p>
        </w:tc>
        <w:tc>
          <w:tcPr>
            <w:tcW w:w="1843" w:type="dxa"/>
            <w:tcBorders>
              <w:top w:val="nil"/>
              <w:left w:val="nil"/>
              <w:bottom w:val="single" w:sz="4" w:space="0" w:color="auto"/>
              <w:right w:val="single" w:sz="4" w:space="0" w:color="auto"/>
            </w:tcBorders>
            <w:shd w:val="clear" w:color="auto" w:fill="auto"/>
            <w:noWrap/>
            <w:vAlign w:val="center"/>
            <w:hideMark/>
          </w:tcPr>
          <w:p w14:paraId="69617B1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27 805 047,11</w:t>
            </w:r>
          </w:p>
        </w:tc>
        <w:tc>
          <w:tcPr>
            <w:tcW w:w="1984" w:type="dxa"/>
            <w:tcBorders>
              <w:top w:val="nil"/>
              <w:left w:val="nil"/>
              <w:bottom w:val="single" w:sz="4" w:space="0" w:color="auto"/>
              <w:right w:val="single" w:sz="4" w:space="0" w:color="auto"/>
            </w:tcBorders>
            <w:shd w:val="clear" w:color="auto" w:fill="auto"/>
            <w:noWrap/>
            <w:vAlign w:val="center"/>
            <w:hideMark/>
          </w:tcPr>
          <w:p w14:paraId="5BBB892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31 089 429,18</w:t>
            </w:r>
          </w:p>
        </w:tc>
        <w:tc>
          <w:tcPr>
            <w:tcW w:w="1559" w:type="dxa"/>
            <w:tcBorders>
              <w:top w:val="nil"/>
              <w:left w:val="nil"/>
              <w:bottom w:val="single" w:sz="4" w:space="0" w:color="auto"/>
              <w:right w:val="single" w:sz="4" w:space="0" w:color="auto"/>
            </w:tcBorders>
            <w:shd w:val="clear" w:color="auto" w:fill="auto"/>
            <w:noWrap/>
            <w:vAlign w:val="center"/>
            <w:hideMark/>
          </w:tcPr>
          <w:p w14:paraId="448983AB"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64726,2</w:t>
            </w:r>
          </w:p>
        </w:tc>
        <w:tc>
          <w:tcPr>
            <w:tcW w:w="1843" w:type="dxa"/>
            <w:tcBorders>
              <w:top w:val="nil"/>
              <w:left w:val="nil"/>
              <w:bottom w:val="single" w:sz="4" w:space="0" w:color="auto"/>
              <w:right w:val="single" w:sz="4" w:space="0" w:color="auto"/>
            </w:tcBorders>
            <w:shd w:val="clear" w:color="auto" w:fill="auto"/>
            <w:noWrap/>
            <w:vAlign w:val="center"/>
            <w:hideMark/>
          </w:tcPr>
          <w:p w14:paraId="6A8D238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-3 284 382,07</w:t>
            </w:r>
          </w:p>
        </w:tc>
        <w:tc>
          <w:tcPr>
            <w:tcW w:w="1559" w:type="dxa"/>
            <w:tcBorders>
              <w:top w:val="nil"/>
              <w:left w:val="nil"/>
              <w:bottom w:val="single" w:sz="4" w:space="0" w:color="auto"/>
              <w:right w:val="single" w:sz="4" w:space="0" w:color="auto"/>
            </w:tcBorders>
            <w:shd w:val="clear" w:color="auto" w:fill="auto"/>
            <w:noWrap/>
            <w:vAlign w:val="center"/>
            <w:hideMark/>
          </w:tcPr>
          <w:p w14:paraId="43995EF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-10,56</w:t>
            </w:r>
          </w:p>
        </w:tc>
        <w:tc>
          <w:tcPr>
            <w:tcW w:w="993" w:type="dxa"/>
            <w:tcBorders>
              <w:top w:val="nil"/>
              <w:left w:val="nil"/>
              <w:bottom w:val="single" w:sz="4" w:space="0" w:color="auto"/>
              <w:right w:val="single" w:sz="4" w:space="0" w:color="auto"/>
            </w:tcBorders>
            <w:shd w:val="clear" w:color="auto" w:fill="auto"/>
            <w:noWrap/>
            <w:vAlign w:val="center"/>
            <w:hideMark/>
          </w:tcPr>
          <w:p w14:paraId="6DDD10E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429,58</w:t>
            </w:r>
          </w:p>
        </w:tc>
        <w:tc>
          <w:tcPr>
            <w:tcW w:w="1701" w:type="dxa"/>
            <w:tcBorders>
              <w:top w:val="nil"/>
              <w:left w:val="nil"/>
              <w:bottom w:val="single" w:sz="4" w:space="0" w:color="auto"/>
              <w:right w:val="single" w:sz="4" w:space="0" w:color="auto"/>
            </w:tcBorders>
            <w:shd w:val="clear" w:color="auto" w:fill="auto"/>
            <w:noWrap/>
            <w:vAlign w:val="center"/>
            <w:hideMark/>
          </w:tcPr>
          <w:p w14:paraId="54DE72B1"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480,32</w:t>
            </w:r>
          </w:p>
        </w:tc>
      </w:tr>
      <w:tr w:rsidR="00905E1F" w:rsidRPr="00AC3806" w14:paraId="1F4AD70F"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AAE218B"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Грибановский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4549B6B9"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99</w:t>
            </w:r>
          </w:p>
        </w:tc>
        <w:tc>
          <w:tcPr>
            <w:tcW w:w="1843" w:type="dxa"/>
            <w:tcBorders>
              <w:top w:val="nil"/>
              <w:left w:val="nil"/>
              <w:bottom w:val="single" w:sz="4" w:space="0" w:color="auto"/>
              <w:right w:val="single" w:sz="4" w:space="0" w:color="auto"/>
            </w:tcBorders>
            <w:shd w:val="clear" w:color="auto" w:fill="auto"/>
            <w:noWrap/>
            <w:vAlign w:val="center"/>
            <w:hideMark/>
          </w:tcPr>
          <w:p w14:paraId="37F3C04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26 929 728,41</w:t>
            </w:r>
          </w:p>
        </w:tc>
        <w:tc>
          <w:tcPr>
            <w:tcW w:w="1984" w:type="dxa"/>
            <w:tcBorders>
              <w:top w:val="nil"/>
              <w:left w:val="nil"/>
              <w:bottom w:val="single" w:sz="4" w:space="0" w:color="auto"/>
              <w:right w:val="single" w:sz="4" w:space="0" w:color="auto"/>
            </w:tcBorders>
            <w:shd w:val="clear" w:color="auto" w:fill="auto"/>
            <w:noWrap/>
            <w:vAlign w:val="center"/>
            <w:hideMark/>
          </w:tcPr>
          <w:p w14:paraId="1D2370C8"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25 912 717,86</w:t>
            </w:r>
          </w:p>
        </w:tc>
        <w:tc>
          <w:tcPr>
            <w:tcW w:w="1559" w:type="dxa"/>
            <w:tcBorders>
              <w:top w:val="nil"/>
              <w:left w:val="nil"/>
              <w:bottom w:val="single" w:sz="4" w:space="0" w:color="auto"/>
              <w:right w:val="single" w:sz="4" w:space="0" w:color="auto"/>
            </w:tcBorders>
            <w:shd w:val="clear" w:color="auto" w:fill="auto"/>
            <w:noWrap/>
            <w:vAlign w:val="center"/>
            <w:hideMark/>
          </w:tcPr>
          <w:p w14:paraId="73AA6319"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26796,19</w:t>
            </w:r>
          </w:p>
        </w:tc>
        <w:tc>
          <w:tcPr>
            <w:tcW w:w="1843" w:type="dxa"/>
            <w:tcBorders>
              <w:top w:val="nil"/>
              <w:left w:val="nil"/>
              <w:bottom w:val="single" w:sz="4" w:space="0" w:color="auto"/>
              <w:right w:val="single" w:sz="4" w:space="0" w:color="auto"/>
            </w:tcBorders>
            <w:shd w:val="clear" w:color="auto" w:fill="auto"/>
            <w:noWrap/>
            <w:vAlign w:val="center"/>
            <w:hideMark/>
          </w:tcPr>
          <w:p w14:paraId="6AA8A9FE"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1 017 010,55</w:t>
            </w:r>
          </w:p>
        </w:tc>
        <w:tc>
          <w:tcPr>
            <w:tcW w:w="1559" w:type="dxa"/>
            <w:tcBorders>
              <w:top w:val="nil"/>
              <w:left w:val="nil"/>
              <w:bottom w:val="single" w:sz="4" w:space="0" w:color="auto"/>
              <w:right w:val="single" w:sz="4" w:space="0" w:color="auto"/>
            </w:tcBorders>
            <w:shd w:val="clear" w:color="auto" w:fill="auto"/>
            <w:noWrap/>
            <w:vAlign w:val="center"/>
            <w:hideMark/>
          </w:tcPr>
          <w:p w14:paraId="638E7579"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3,92</w:t>
            </w:r>
          </w:p>
        </w:tc>
        <w:tc>
          <w:tcPr>
            <w:tcW w:w="993" w:type="dxa"/>
            <w:tcBorders>
              <w:top w:val="nil"/>
              <w:left w:val="nil"/>
              <w:bottom w:val="single" w:sz="4" w:space="0" w:color="auto"/>
              <w:right w:val="single" w:sz="4" w:space="0" w:color="auto"/>
            </w:tcBorders>
            <w:shd w:val="clear" w:color="auto" w:fill="auto"/>
            <w:noWrap/>
            <w:vAlign w:val="center"/>
            <w:hideMark/>
          </w:tcPr>
          <w:p w14:paraId="6B3D9AF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1 004,98</w:t>
            </w:r>
          </w:p>
        </w:tc>
        <w:tc>
          <w:tcPr>
            <w:tcW w:w="1701" w:type="dxa"/>
            <w:tcBorders>
              <w:top w:val="nil"/>
              <w:left w:val="nil"/>
              <w:bottom w:val="single" w:sz="4" w:space="0" w:color="auto"/>
              <w:right w:val="single" w:sz="4" w:space="0" w:color="auto"/>
            </w:tcBorders>
            <w:shd w:val="clear" w:color="auto" w:fill="auto"/>
            <w:noWrap/>
            <w:vAlign w:val="center"/>
            <w:hideMark/>
          </w:tcPr>
          <w:p w14:paraId="356FDBA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967,03</w:t>
            </w:r>
          </w:p>
        </w:tc>
      </w:tr>
      <w:tr w:rsidR="00905E1F" w:rsidRPr="00AC3806" w14:paraId="1C65EBA6"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5292D2C"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Калачеевский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67B6B8D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256</w:t>
            </w:r>
          </w:p>
        </w:tc>
        <w:tc>
          <w:tcPr>
            <w:tcW w:w="1843" w:type="dxa"/>
            <w:tcBorders>
              <w:top w:val="nil"/>
              <w:left w:val="nil"/>
              <w:bottom w:val="single" w:sz="4" w:space="0" w:color="auto"/>
              <w:right w:val="single" w:sz="4" w:space="0" w:color="auto"/>
            </w:tcBorders>
            <w:shd w:val="clear" w:color="auto" w:fill="auto"/>
            <w:noWrap/>
            <w:vAlign w:val="center"/>
            <w:hideMark/>
          </w:tcPr>
          <w:p w14:paraId="67DDF15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150 675 998,84</w:t>
            </w:r>
          </w:p>
        </w:tc>
        <w:tc>
          <w:tcPr>
            <w:tcW w:w="1984" w:type="dxa"/>
            <w:tcBorders>
              <w:top w:val="nil"/>
              <w:left w:val="nil"/>
              <w:bottom w:val="single" w:sz="4" w:space="0" w:color="auto"/>
              <w:right w:val="single" w:sz="4" w:space="0" w:color="auto"/>
            </w:tcBorders>
            <w:shd w:val="clear" w:color="auto" w:fill="auto"/>
            <w:noWrap/>
            <w:vAlign w:val="center"/>
            <w:hideMark/>
          </w:tcPr>
          <w:p w14:paraId="48814DC8"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149 603 138,99</w:t>
            </w:r>
          </w:p>
        </w:tc>
        <w:tc>
          <w:tcPr>
            <w:tcW w:w="1559" w:type="dxa"/>
            <w:tcBorders>
              <w:top w:val="nil"/>
              <w:left w:val="nil"/>
              <w:bottom w:val="single" w:sz="4" w:space="0" w:color="auto"/>
              <w:right w:val="single" w:sz="4" w:space="0" w:color="auto"/>
            </w:tcBorders>
            <w:shd w:val="clear" w:color="auto" w:fill="auto"/>
            <w:noWrap/>
            <w:vAlign w:val="center"/>
            <w:hideMark/>
          </w:tcPr>
          <w:p w14:paraId="2391D90F"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197668,16</w:t>
            </w:r>
          </w:p>
        </w:tc>
        <w:tc>
          <w:tcPr>
            <w:tcW w:w="1843" w:type="dxa"/>
            <w:tcBorders>
              <w:top w:val="nil"/>
              <w:left w:val="nil"/>
              <w:bottom w:val="single" w:sz="4" w:space="0" w:color="auto"/>
              <w:right w:val="single" w:sz="4" w:space="0" w:color="auto"/>
            </w:tcBorders>
            <w:shd w:val="clear" w:color="auto" w:fill="auto"/>
            <w:noWrap/>
            <w:vAlign w:val="center"/>
            <w:hideMark/>
          </w:tcPr>
          <w:p w14:paraId="2D40E16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1 072 859,85</w:t>
            </w:r>
          </w:p>
        </w:tc>
        <w:tc>
          <w:tcPr>
            <w:tcW w:w="1559" w:type="dxa"/>
            <w:tcBorders>
              <w:top w:val="nil"/>
              <w:left w:val="nil"/>
              <w:bottom w:val="single" w:sz="4" w:space="0" w:color="auto"/>
              <w:right w:val="single" w:sz="4" w:space="0" w:color="auto"/>
            </w:tcBorders>
            <w:shd w:val="clear" w:color="auto" w:fill="auto"/>
            <w:noWrap/>
            <w:vAlign w:val="center"/>
            <w:hideMark/>
          </w:tcPr>
          <w:p w14:paraId="2D13F4C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0,72</w:t>
            </w:r>
          </w:p>
        </w:tc>
        <w:tc>
          <w:tcPr>
            <w:tcW w:w="993" w:type="dxa"/>
            <w:tcBorders>
              <w:top w:val="nil"/>
              <w:left w:val="nil"/>
              <w:bottom w:val="single" w:sz="4" w:space="0" w:color="auto"/>
              <w:right w:val="single" w:sz="4" w:space="0" w:color="auto"/>
            </w:tcBorders>
            <w:shd w:val="clear" w:color="auto" w:fill="auto"/>
            <w:noWrap/>
            <w:vAlign w:val="center"/>
            <w:hideMark/>
          </w:tcPr>
          <w:p w14:paraId="71A321C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762,27</w:t>
            </w:r>
          </w:p>
        </w:tc>
        <w:tc>
          <w:tcPr>
            <w:tcW w:w="1701" w:type="dxa"/>
            <w:tcBorders>
              <w:top w:val="nil"/>
              <w:left w:val="nil"/>
              <w:bottom w:val="single" w:sz="4" w:space="0" w:color="auto"/>
              <w:right w:val="single" w:sz="4" w:space="0" w:color="auto"/>
            </w:tcBorders>
            <w:shd w:val="clear" w:color="auto" w:fill="auto"/>
            <w:noWrap/>
            <w:vAlign w:val="center"/>
            <w:hideMark/>
          </w:tcPr>
          <w:p w14:paraId="1A53D02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756,84</w:t>
            </w:r>
          </w:p>
        </w:tc>
      </w:tr>
      <w:tr w:rsidR="00905E1F" w:rsidRPr="00AC3806" w14:paraId="6D1E698F"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D0DF39C"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Каменский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6B4752E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808</w:t>
            </w:r>
          </w:p>
        </w:tc>
        <w:tc>
          <w:tcPr>
            <w:tcW w:w="1843" w:type="dxa"/>
            <w:tcBorders>
              <w:top w:val="nil"/>
              <w:left w:val="nil"/>
              <w:bottom w:val="single" w:sz="4" w:space="0" w:color="auto"/>
              <w:right w:val="single" w:sz="4" w:space="0" w:color="auto"/>
            </w:tcBorders>
            <w:shd w:val="clear" w:color="auto" w:fill="auto"/>
            <w:noWrap/>
            <w:vAlign w:val="center"/>
            <w:hideMark/>
          </w:tcPr>
          <w:p w14:paraId="2A4460B4"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58 339 038,97</w:t>
            </w:r>
          </w:p>
        </w:tc>
        <w:tc>
          <w:tcPr>
            <w:tcW w:w="1984" w:type="dxa"/>
            <w:tcBorders>
              <w:top w:val="nil"/>
              <w:left w:val="nil"/>
              <w:bottom w:val="single" w:sz="4" w:space="0" w:color="auto"/>
              <w:right w:val="single" w:sz="4" w:space="0" w:color="auto"/>
            </w:tcBorders>
            <w:shd w:val="clear" w:color="auto" w:fill="auto"/>
            <w:noWrap/>
            <w:vAlign w:val="center"/>
            <w:hideMark/>
          </w:tcPr>
          <w:p w14:paraId="1C3EABB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55 710 524,62</w:t>
            </w:r>
          </w:p>
        </w:tc>
        <w:tc>
          <w:tcPr>
            <w:tcW w:w="1559" w:type="dxa"/>
            <w:tcBorders>
              <w:top w:val="nil"/>
              <w:left w:val="nil"/>
              <w:bottom w:val="single" w:sz="4" w:space="0" w:color="auto"/>
              <w:right w:val="single" w:sz="4" w:space="0" w:color="auto"/>
            </w:tcBorders>
            <w:shd w:val="clear" w:color="auto" w:fill="auto"/>
            <w:noWrap/>
            <w:vAlign w:val="center"/>
            <w:hideMark/>
          </w:tcPr>
          <w:p w14:paraId="2B4F3D0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29814,44</w:t>
            </w:r>
          </w:p>
        </w:tc>
        <w:tc>
          <w:tcPr>
            <w:tcW w:w="1843" w:type="dxa"/>
            <w:tcBorders>
              <w:top w:val="nil"/>
              <w:left w:val="nil"/>
              <w:bottom w:val="single" w:sz="4" w:space="0" w:color="auto"/>
              <w:right w:val="single" w:sz="4" w:space="0" w:color="auto"/>
            </w:tcBorders>
            <w:shd w:val="clear" w:color="auto" w:fill="auto"/>
            <w:noWrap/>
            <w:vAlign w:val="center"/>
            <w:hideMark/>
          </w:tcPr>
          <w:p w14:paraId="19E5782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2 628 514,35</w:t>
            </w:r>
          </w:p>
        </w:tc>
        <w:tc>
          <w:tcPr>
            <w:tcW w:w="1559" w:type="dxa"/>
            <w:tcBorders>
              <w:top w:val="nil"/>
              <w:left w:val="nil"/>
              <w:bottom w:val="single" w:sz="4" w:space="0" w:color="auto"/>
              <w:right w:val="single" w:sz="4" w:space="0" w:color="auto"/>
            </w:tcBorders>
            <w:shd w:val="clear" w:color="auto" w:fill="auto"/>
            <w:noWrap/>
            <w:vAlign w:val="center"/>
            <w:hideMark/>
          </w:tcPr>
          <w:p w14:paraId="133E7F7B"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4,72</w:t>
            </w:r>
          </w:p>
        </w:tc>
        <w:tc>
          <w:tcPr>
            <w:tcW w:w="993" w:type="dxa"/>
            <w:tcBorders>
              <w:top w:val="nil"/>
              <w:left w:val="nil"/>
              <w:bottom w:val="single" w:sz="4" w:space="0" w:color="auto"/>
              <w:right w:val="single" w:sz="4" w:space="0" w:color="auto"/>
            </w:tcBorders>
            <w:shd w:val="clear" w:color="auto" w:fill="auto"/>
            <w:noWrap/>
            <w:vAlign w:val="center"/>
            <w:hideMark/>
          </w:tcPr>
          <w:p w14:paraId="5FAD3DF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1 956,74</w:t>
            </w:r>
          </w:p>
        </w:tc>
        <w:tc>
          <w:tcPr>
            <w:tcW w:w="1701" w:type="dxa"/>
            <w:tcBorders>
              <w:top w:val="nil"/>
              <w:left w:val="nil"/>
              <w:bottom w:val="single" w:sz="4" w:space="0" w:color="auto"/>
              <w:right w:val="single" w:sz="4" w:space="0" w:color="auto"/>
            </w:tcBorders>
            <w:shd w:val="clear" w:color="auto" w:fill="auto"/>
            <w:noWrap/>
            <w:vAlign w:val="center"/>
            <w:hideMark/>
          </w:tcPr>
          <w:p w14:paraId="142F13F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1 868,58</w:t>
            </w:r>
          </w:p>
        </w:tc>
      </w:tr>
      <w:tr w:rsidR="00905E1F" w:rsidRPr="00AC3806" w14:paraId="6C315B26"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2C489EF"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Кантемировский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08EC80C0"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546</w:t>
            </w:r>
          </w:p>
        </w:tc>
        <w:tc>
          <w:tcPr>
            <w:tcW w:w="1843" w:type="dxa"/>
            <w:tcBorders>
              <w:top w:val="nil"/>
              <w:left w:val="nil"/>
              <w:bottom w:val="single" w:sz="4" w:space="0" w:color="auto"/>
              <w:right w:val="single" w:sz="4" w:space="0" w:color="auto"/>
            </w:tcBorders>
            <w:shd w:val="clear" w:color="auto" w:fill="auto"/>
            <w:noWrap/>
            <w:vAlign w:val="center"/>
            <w:hideMark/>
          </w:tcPr>
          <w:p w14:paraId="741400F1"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47 421 510,15</w:t>
            </w:r>
          </w:p>
        </w:tc>
        <w:tc>
          <w:tcPr>
            <w:tcW w:w="1984" w:type="dxa"/>
            <w:tcBorders>
              <w:top w:val="nil"/>
              <w:left w:val="nil"/>
              <w:bottom w:val="single" w:sz="4" w:space="0" w:color="auto"/>
              <w:right w:val="single" w:sz="4" w:space="0" w:color="auto"/>
            </w:tcBorders>
            <w:shd w:val="clear" w:color="auto" w:fill="auto"/>
            <w:noWrap/>
            <w:vAlign w:val="center"/>
            <w:hideMark/>
          </w:tcPr>
          <w:p w14:paraId="3E750A6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45 111 502,14</w:t>
            </w:r>
          </w:p>
        </w:tc>
        <w:tc>
          <w:tcPr>
            <w:tcW w:w="1559" w:type="dxa"/>
            <w:tcBorders>
              <w:top w:val="nil"/>
              <w:left w:val="nil"/>
              <w:bottom w:val="single" w:sz="4" w:space="0" w:color="auto"/>
              <w:right w:val="single" w:sz="4" w:space="0" w:color="auto"/>
            </w:tcBorders>
            <w:shd w:val="clear" w:color="auto" w:fill="auto"/>
            <w:noWrap/>
            <w:vAlign w:val="center"/>
            <w:hideMark/>
          </w:tcPr>
          <w:p w14:paraId="2B1DA83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52730,64</w:t>
            </w:r>
          </w:p>
        </w:tc>
        <w:tc>
          <w:tcPr>
            <w:tcW w:w="1843" w:type="dxa"/>
            <w:tcBorders>
              <w:top w:val="nil"/>
              <w:left w:val="nil"/>
              <w:bottom w:val="single" w:sz="4" w:space="0" w:color="auto"/>
              <w:right w:val="single" w:sz="4" w:space="0" w:color="auto"/>
            </w:tcBorders>
            <w:shd w:val="clear" w:color="auto" w:fill="auto"/>
            <w:noWrap/>
            <w:vAlign w:val="center"/>
            <w:hideMark/>
          </w:tcPr>
          <w:p w14:paraId="2BCB8E7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2 310 008,01</w:t>
            </w:r>
          </w:p>
        </w:tc>
        <w:tc>
          <w:tcPr>
            <w:tcW w:w="1559" w:type="dxa"/>
            <w:tcBorders>
              <w:top w:val="nil"/>
              <w:left w:val="nil"/>
              <w:bottom w:val="single" w:sz="4" w:space="0" w:color="auto"/>
              <w:right w:val="single" w:sz="4" w:space="0" w:color="auto"/>
            </w:tcBorders>
            <w:shd w:val="clear" w:color="auto" w:fill="auto"/>
            <w:noWrap/>
            <w:vAlign w:val="center"/>
            <w:hideMark/>
          </w:tcPr>
          <w:p w14:paraId="3B262DF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5,12</w:t>
            </w:r>
          </w:p>
        </w:tc>
        <w:tc>
          <w:tcPr>
            <w:tcW w:w="993" w:type="dxa"/>
            <w:tcBorders>
              <w:top w:val="nil"/>
              <w:left w:val="nil"/>
              <w:bottom w:val="single" w:sz="4" w:space="0" w:color="auto"/>
              <w:right w:val="single" w:sz="4" w:space="0" w:color="auto"/>
            </w:tcBorders>
            <w:shd w:val="clear" w:color="auto" w:fill="auto"/>
            <w:noWrap/>
            <w:vAlign w:val="center"/>
            <w:hideMark/>
          </w:tcPr>
          <w:p w14:paraId="42BD8344"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899,32</w:t>
            </w:r>
          </w:p>
        </w:tc>
        <w:tc>
          <w:tcPr>
            <w:tcW w:w="1701" w:type="dxa"/>
            <w:tcBorders>
              <w:top w:val="nil"/>
              <w:left w:val="nil"/>
              <w:bottom w:val="single" w:sz="4" w:space="0" w:color="auto"/>
              <w:right w:val="single" w:sz="4" w:space="0" w:color="auto"/>
            </w:tcBorders>
            <w:shd w:val="clear" w:color="auto" w:fill="auto"/>
            <w:noWrap/>
            <w:vAlign w:val="center"/>
            <w:hideMark/>
          </w:tcPr>
          <w:p w14:paraId="7B61A62F"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855,51</w:t>
            </w:r>
          </w:p>
        </w:tc>
      </w:tr>
      <w:tr w:rsidR="00905E1F" w:rsidRPr="00AC3806" w14:paraId="3A516538"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C82A73B"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Каширский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7B5667F5"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19</w:t>
            </w:r>
          </w:p>
        </w:tc>
        <w:tc>
          <w:tcPr>
            <w:tcW w:w="1843" w:type="dxa"/>
            <w:tcBorders>
              <w:top w:val="nil"/>
              <w:left w:val="nil"/>
              <w:bottom w:val="single" w:sz="4" w:space="0" w:color="auto"/>
              <w:right w:val="single" w:sz="4" w:space="0" w:color="auto"/>
            </w:tcBorders>
            <w:shd w:val="clear" w:color="auto" w:fill="auto"/>
            <w:noWrap/>
            <w:vAlign w:val="center"/>
            <w:hideMark/>
          </w:tcPr>
          <w:p w14:paraId="3CDF26E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50 798 589,18</w:t>
            </w:r>
          </w:p>
        </w:tc>
        <w:tc>
          <w:tcPr>
            <w:tcW w:w="1984" w:type="dxa"/>
            <w:tcBorders>
              <w:top w:val="nil"/>
              <w:left w:val="nil"/>
              <w:bottom w:val="single" w:sz="4" w:space="0" w:color="auto"/>
              <w:right w:val="single" w:sz="4" w:space="0" w:color="auto"/>
            </w:tcBorders>
            <w:shd w:val="clear" w:color="auto" w:fill="auto"/>
            <w:noWrap/>
            <w:vAlign w:val="center"/>
            <w:hideMark/>
          </w:tcPr>
          <w:p w14:paraId="57E534E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59 801 883,00</w:t>
            </w:r>
          </w:p>
        </w:tc>
        <w:tc>
          <w:tcPr>
            <w:tcW w:w="1559" w:type="dxa"/>
            <w:tcBorders>
              <w:top w:val="nil"/>
              <w:left w:val="nil"/>
              <w:bottom w:val="single" w:sz="4" w:space="0" w:color="auto"/>
              <w:right w:val="single" w:sz="4" w:space="0" w:color="auto"/>
            </w:tcBorders>
            <w:shd w:val="clear" w:color="auto" w:fill="auto"/>
            <w:noWrap/>
            <w:vAlign w:val="center"/>
            <w:hideMark/>
          </w:tcPr>
          <w:p w14:paraId="0F2C5858"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54337</w:t>
            </w:r>
          </w:p>
        </w:tc>
        <w:tc>
          <w:tcPr>
            <w:tcW w:w="1843" w:type="dxa"/>
            <w:tcBorders>
              <w:top w:val="nil"/>
              <w:left w:val="nil"/>
              <w:bottom w:val="single" w:sz="4" w:space="0" w:color="auto"/>
              <w:right w:val="single" w:sz="4" w:space="0" w:color="auto"/>
            </w:tcBorders>
            <w:shd w:val="clear" w:color="auto" w:fill="auto"/>
            <w:noWrap/>
            <w:vAlign w:val="center"/>
            <w:hideMark/>
          </w:tcPr>
          <w:p w14:paraId="3345DF31"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-9 003 293,82</w:t>
            </w:r>
          </w:p>
        </w:tc>
        <w:tc>
          <w:tcPr>
            <w:tcW w:w="1559" w:type="dxa"/>
            <w:tcBorders>
              <w:top w:val="nil"/>
              <w:left w:val="nil"/>
              <w:bottom w:val="single" w:sz="4" w:space="0" w:color="auto"/>
              <w:right w:val="single" w:sz="4" w:space="0" w:color="auto"/>
            </w:tcBorders>
            <w:shd w:val="clear" w:color="auto" w:fill="auto"/>
            <w:noWrap/>
            <w:vAlign w:val="center"/>
            <w:hideMark/>
          </w:tcPr>
          <w:p w14:paraId="1A902F9F"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-15,06</w:t>
            </w:r>
          </w:p>
        </w:tc>
        <w:tc>
          <w:tcPr>
            <w:tcW w:w="993" w:type="dxa"/>
            <w:tcBorders>
              <w:top w:val="nil"/>
              <w:left w:val="nil"/>
              <w:bottom w:val="single" w:sz="4" w:space="0" w:color="auto"/>
              <w:right w:val="single" w:sz="4" w:space="0" w:color="auto"/>
            </w:tcBorders>
            <w:shd w:val="clear" w:color="auto" w:fill="auto"/>
            <w:noWrap/>
            <w:vAlign w:val="center"/>
            <w:hideMark/>
          </w:tcPr>
          <w:p w14:paraId="287FB1EB"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934,88</w:t>
            </w:r>
          </w:p>
        </w:tc>
        <w:tc>
          <w:tcPr>
            <w:tcW w:w="1701" w:type="dxa"/>
            <w:tcBorders>
              <w:top w:val="nil"/>
              <w:left w:val="nil"/>
              <w:bottom w:val="single" w:sz="4" w:space="0" w:color="auto"/>
              <w:right w:val="single" w:sz="4" w:space="0" w:color="auto"/>
            </w:tcBorders>
            <w:shd w:val="clear" w:color="auto" w:fill="auto"/>
            <w:noWrap/>
            <w:vAlign w:val="center"/>
            <w:hideMark/>
          </w:tcPr>
          <w:p w14:paraId="45D93EF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1 100,57</w:t>
            </w:r>
          </w:p>
        </w:tc>
      </w:tr>
      <w:tr w:rsidR="00905E1F" w:rsidRPr="00AC3806" w14:paraId="64A25DDA"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FA4E6DD"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Лискинский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54399E1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4855</w:t>
            </w:r>
          </w:p>
        </w:tc>
        <w:tc>
          <w:tcPr>
            <w:tcW w:w="1843" w:type="dxa"/>
            <w:tcBorders>
              <w:top w:val="nil"/>
              <w:left w:val="nil"/>
              <w:bottom w:val="single" w:sz="4" w:space="0" w:color="auto"/>
              <w:right w:val="single" w:sz="4" w:space="0" w:color="auto"/>
            </w:tcBorders>
            <w:shd w:val="clear" w:color="auto" w:fill="auto"/>
            <w:noWrap/>
            <w:vAlign w:val="center"/>
            <w:hideMark/>
          </w:tcPr>
          <w:p w14:paraId="417321E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569 314 180,17</w:t>
            </w:r>
          </w:p>
        </w:tc>
        <w:tc>
          <w:tcPr>
            <w:tcW w:w="1984" w:type="dxa"/>
            <w:tcBorders>
              <w:top w:val="nil"/>
              <w:left w:val="nil"/>
              <w:bottom w:val="single" w:sz="4" w:space="0" w:color="auto"/>
              <w:right w:val="single" w:sz="4" w:space="0" w:color="auto"/>
            </w:tcBorders>
            <w:shd w:val="clear" w:color="auto" w:fill="auto"/>
            <w:noWrap/>
            <w:vAlign w:val="center"/>
            <w:hideMark/>
          </w:tcPr>
          <w:p w14:paraId="78E8D90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507 776 930,30</w:t>
            </w:r>
          </w:p>
        </w:tc>
        <w:tc>
          <w:tcPr>
            <w:tcW w:w="1559" w:type="dxa"/>
            <w:tcBorders>
              <w:top w:val="nil"/>
              <w:left w:val="nil"/>
              <w:bottom w:val="single" w:sz="4" w:space="0" w:color="auto"/>
              <w:right w:val="single" w:sz="4" w:space="0" w:color="auto"/>
            </w:tcBorders>
            <w:shd w:val="clear" w:color="auto" w:fill="auto"/>
            <w:noWrap/>
            <w:vAlign w:val="center"/>
            <w:hideMark/>
          </w:tcPr>
          <w:p w14:paraId="17DA1B1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341101,21</w:t>
            </w:r>
          </w:p>
        </w:tc>
        <w:tc>
          <w:tcPr>
            <w:tcW w:w="1843" w:type="dxa"/>
            <w:tcBorders>
              <w:top w:val="nil"/>
              <w:left w:val="nil"/>
              <w:bottom w:val="single" w:sz="4" w:space="0" w:color="auto"/>
              <w:right w:val="single" w:sz="4" w:space="0" w:color="auto"/>
            </w:tcBorders>
            <w:shd w:val="clear" w:color="auto" w:fill="auto"/>
            <w:noWrap/>
            <w:vAlign w:val="center"/>
            <w:hideMark/>
          </w:tcPr>
          <w:p w14:paraId="254EE4E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61 537 249,87</w:t>
            </w:r>
          </w:p>
        </w:tc>
        <w:tc>
          <w:tcPr>
            <w:tcW w:w="1559" w:type="dxa"/>
            <w:tcBorders>
              <w:top w:val="nil"/>
              <w:left w:val="nil"/>
              <w:bottom w:val="single" w:sz="4" w:space="0" w:color="auto"/>
              <w:right w:val="single" w:sz="4" w:space="0" w:color="auto"/>
            </w:tcBorders>
            <w:shd w:val="clear" w:color="auto" w:fill="auto"/>
            <w:noWrap/>
            <w:vAlign w:val="center"/>
            <w:hideMark/>
          </w:tcPr>
          <w:p w14:paraId="5EB042B0"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12,12</w:t>
            </w:r>
          </w:p>
        </w:tc>
        <w:tc>
          <w:tcPr>
            <w:tcW w:w="993" w:type="dxa"/>
            <w:tcBorders>
              <w:top w:val="nil"/>
              <w:left w:val="nil"/>
              <w:bottom w:val="single" w:sz="4" w:space="0" w:color="auto"/>
              <w:right w:val="single" w:sz="4" w:space="0" w:color="auto"/>
            </w:tcBorders>
            <w:shd w:val="clear" w:color="auto" w:fill="auto"/>
            <w:noWrap/>
            <w:vAlign w:val="center"/>
            <w:hideMark/>
          </w:tcPr>
          <w:p w14:paraId="2AFB52C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1 669,05</w:t>
            </w:r>
          </w:p>
        </w:tc>
        <w:tc>
          <w:tcPr>
            <w:tcW w:w="1701" w:type="dxa"/>
            <w:tcBorders>
              <w:top w:val="nil"/>
              <w:left w:val="nil"/>
              <w:bottom w:val="single" w:sz="4" w:space="0" w:color="auto"/>
              <w:right w:val="single" w:sz="4" w:space="0" w:color="auto"/>
            </w:tcBorders>
            <w:shd w:val="clear" w:color="auto" w:fill="auto"/>
            <w:noWrap/>
            <w:vAlign w:val="center"/>
            <w:hideMark/>
          </w:tcPr>
          <w:p w14:paraId="06A4356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1 488,64</w:t>
            </w:r>
          </w:p>
        </w:tc>
      </w:tr>
      <w:tr w:rsidR="00905E1F" w:rsidRPr="00AC3806" w14:paraId="7BC69986"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3F76A6F"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Нижнедевицкий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05BAEFEE"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55</w:t>
            </w:r>
          </w:p>
        </w:tc>
        <w:tc>
          <w:tcPr>
            <w:tcW w:w="1843" w:type="dxa"/>
            <w:tcBorders>
              <w:top w:val="nil"/>
              <w:left w:val="nil"/>
              <w:bottom w:val="single" w:sz="4" w:space="0" w:color="auto"/>
              <w:right w:val="single" w:sz="4" w:space="0" w:color="auto"/>
            </w:tcBorders>
            <w:shd w:val="clear" w:color="auto" w:fill="auto"/>
            <w:noWrap/>
            <w:vAlign w:val="center"/>
            <w:hideMark/>
          </w:tcPr>
          <w:p w14:paraId="6F933B80"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8 683 854,20</w:t>
            </w:r>
          </w:p>
        </w:tc>
        <w:tc>
          <w:tcPr>
            <w:tcW w:w="1984" w:type="dxa"/>
            <w:tcBorders>
              <w:top w:val="nil"/>
              <w:left w:val="nil"/>
              <w:bottom w:val="single" w:sz="4" w:space="0" w:color="auto"/>
              <w:right w:val="single" w:sz="4" w:space="0" w:color="auto"/>
            </w:tcBorders>
            <w:shd w:val="clear" w:color="auto" w:fill="auto"/>
            <w:noWrap/>
            <w:vAlign w:val="center"/>
            <w:hideMark/>
          </w:tcPr>
          <w:p w14:paraId="7E5E869F"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18 239 013,17</w:t>
            </w:r>
          </w:p>
        </w:tc>
        <w:tc>
          <w:tcPr>
            <w:tcW w:w="1559" w:type="dxa"/>
            <w:tcBorders>
              <w:top w:val="nil"/>
              <w:left w:val="nil"/>
              <w:bottom w:val="single" w:sz="4" w:space="0" w:color="auto"/>
              <w:right w:val="single" w:sz="4" w:space="0" w:color="auto"/>
            </w:tcBorders>
            <w:shd w:val="clear" w:color="auto" w:fill="auto"/>
            <w:noWrap/>
            <w:vAlign w:val="center"/>
            <w:hideMark/>
          </w:tcPr>
          <w:p w14:paraId="0B5F7BF9"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11844</w:t>
            </w:r>
          </w:p>
        </w:tc>
        <w:tc>
          <w:tcPr>
            <w:tcW w:w="1843" w:type="dxa"/>
            <w:tcBorders>
              <w:top w:val="nil"/>
              <w:left w:val="nil"/>
              <w:bottom w:val="single" w:sz="4" w:space="0" w:color="auto"/>
              <w:right w:val="single" w:sz="4" w:space="0" w:color="auto"/>
            </w:tcBorders>
            <w:shd w:val="clear" w:color="auto" w:fill="auto"/>
            <w:noWrap/>
            <w:vAlign w:val="center"/>
            <w:hideMark/>
          </w:tcPr>
          <w:p w14:paraId="6923BCD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-9 555 158,97</w:t>
            </w:r>
          </w:p>
        </w:tc>
        <w:tc>
          <w:tcPr>
            <w:tcW w:w="1559" w:type="dxa"/>
            <w:tcBorders>
              <w:top w:val="nil"/>
              <w:left w:val="nil"/>
              <w:bottom w:val="single" w:sz="4" w:space="0" w:color="auto"/>
              <w:right w:val="single" w:sz="4" w:space="0" w:color="auto"/>
            </w:tcBorders>
            <w:shd w:val="clear" w:color="auto" w:fill="auto"/>
            <w:noWrap/>
            <w:vAlign w:val="center"/>
            <w:hideMark/>
          </w:tcPr>
          <w:p w14:paraId="1B0FBB6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-52,39</w:t>
            </w:r>
          </w:p>
        </w:tc>
        <w:tc>
          <w:tcPr>
            <w:tcW w:w="993" w:type="dxa"/>
            <w:tcBorders>
              <w:top w:val="nil"/>
              <w:left w:val="nil"/>
              <w:bottom w:val="single" w:sz="4" w:space="0" w:color="auto"/>
              <w:right w:val="single" w:sz="4" w:space="0" w:color="auto"/>
            </w:tcBorders>
            <w:shd w:val="clear" w:color="auto" w:fill="auto"/>
            <w:noWrap/>
            <w:vAlign w:val="center"/>
            <w:hideMark/>
          </w:tcPr>
          <w:p w14:paraId="45961718"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733,19</w:t>
            </w:r>
          </w:p>
        </w:tc>
        <w:tc>
          <w:tcPr>
            <w:tcW w:w="1701" w:type="dxa"/>
            <w:tcBorders>
              <w:top w:val="nil"/>
              <w:left w:val="nil"/>
              <w:bottom w:val="single" w:sz="4" w:space="0" w:color="auto"/>
              <w:right w:val="single" w:sz="4" w:space="0" w:color="auto"/>
            </w:tcBorders>
            <w:shd w:val="clear" w:color="auto" w:fill="auto"/>
            <w:noWrap/>
            <w:vAlign w:val="center"/>
            <w:hideMark/>
          </w:tcPr>
          <w:p w14:paraId="2A00CD09"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1 539,94</w:t>
            </w:r>
          </w:p>
        </w:tc>
      </w:tr>
      <w:tr w:rsidR="00905E1F" w:rsidRPr="00AC3806" w14:paraId="6A804B4D"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CFC9FEC"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Новоусманский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528FC61F"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1831</w:t>
            </w:r>
          </w:p>
        </w:tc>
        <w:tc>
          <w:tcPr>
            <w:tcW w:w="1843" w:type="dxa"/>
            <w:tcBorders>
              <w:top w:val="nil"/>
              <w:left w:val="nil"/>
              <w:bottom w:val="single" w:sz="4" w:space="0" w:color="auto"/>
              <w:right w:val="single" w:sz="4" w:space="0" w:color="auto"/>
            </w:tcBorders>
            <w:shd w:val="clear" w:color="auto" w:fill="auto"/>
            <w:noWrap/>
            <w:vAlign w:val="center"/>
            <w:hideMark/>
          </w:tcPr>
          <w:p w14:paraId="70B0859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225 449 935,36</w:t>
            </w:r>
          </w:p>
        </w:tc>
        <w:tc>
          <w:tcPr>
            <w:tcW w:w="1984" w:type="dxa"/>
            <w:tcBorders>
              <w:top w:val="nil"/>
              <w:left w:val="nil"/>
              <w:bottom w:val="single" w:sz="4" w:space="0" w:color="auto"/>
              <w:right w:val="single" w:sz="4" w:space="0" w:color="auto"/>
            </w:tcBorders>
            <w:shd w:val="clear" w:color="auto" w:fill="auto"/>
            <w:noWrap/>
            <w:vAlign w:val="center"/>
            <w:hideMark/>
          </w:tcPr>
          <w:p w14:paraId="3F0245D4"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202 358 821,58</w:t>
            </w:r>
          </w:p>
        </w:tc>
        <w:tc>
          <w:tcPr>
            <w:tcW w:w="1559" w:type="dxa"/>
            <w:tcBorders>
              <w:top w:val="nil"/>
              <w:left w:val="nil"/>
              <w:bottom w:val="single" w:sz="4" w:space="0" w:color="auto"/>
              <w:right w:val="single" w:sz="4" w:space="0" w:color="auto"/>
            </w:tcBorders>
            <w:shd w:val="clear" w:color="auto" w:fill="auto"/>
            <w:noWrap/>
            <w:vAlign w:val="center"/>
            <w:hideMark/>
          </w:tcPr>
          <w:p w14:paraId="553DAA9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165458,09</w:t>
            </w:r>
          </w:p>
        </w:tc>
        <w:tc>
          <w:tcPr>
            <w:tcW w:w="1843" w:type="dxa"/>
            <w:tcBorders>
              <w:top w:val="nil"/>
              <w:left w:val="nil"/>
              <w:bottom w:val="single" w:sz="4" w:space="0" w:color="auto"/>
              <w:right w:val="single" w:sz="4" w:space="0" w:color="auto"/>
            </w:tcBorders>
            <w:shd w:val="clear" w:color="auto" w:fill="auto"/>
            <w:noWrap/>
            <w:vAlign w:val="center"/>
            <w:hideMark/>
          </w:tcPr>
          <w:p w14:paraId="39C6FF49"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23 091 113,78</w:t>
            </w:r>
          </w:p>
        </w:tc>
        <w:tc>
          <w:tcPr>
            <w:tcW w:w="1559" w:type="dxa"/>
            <w:tcBorders>
              <w:top w:val="nil"/>
              <w:left w:val="nil"/>
              <w:bottom w:val="single" w:sz="4" w:space="0" w:color="auto"/>
              <w:right w:val="single" w:sz="4" w:space="0" w:color="auto"/>
            </w:tcBorders>
            <w:shd w:val="clear" w:color="auto" w:fill="auto"/>
            <w:noWrap/>
            <w:vAlign w:val="center"/>
            <w:hideMark/>
          </w:tcPr>
          <w:p w14:paraId="223C5A7B"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11,41</w:t>
            </w:r>
          </w:p>
        </w:tc>
        <w:tc>
          <w:tcPr>
            <w:tcW w:w="993" w:type="dxa"/>
            <w:tcBorders>
              <w:top w:val="nil"/>
              <w:left w:val="nil"/>
              <w:bottom w:val="single" w:sz="4" w:space="0" w:color="auto"/>
              <w:right w:val="single" w:sz="4" w:space="0" w:color="auto"/>
            </w:tcBorders>
            <w:shd w:val="clear" w:color="auto" w:fill="auto"/>
            <w:noWrap/>
            <w:vAlign w:val="center"/>
            <w:hideMark/>
          </w:tcPr>
          <w:p w14:paraId="0067D4B0"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1 362,58</w:t>
            </w:r>
          </w:p>
        </w:tc>
        <w:tc>
          <w:tcPr>
            <w:tcW w:w="1701" w:type="dxa"/>
            <w:tcBorders>
              <w:top w:val="nil"/>
              <w:left w:val="nil"/>
              <w:bottom w:val="single" w:sz="4" w:space="0" w:color="auto"/>
              <w:right w:val="single" w:sz="4" w:space="0" w:color="auto"/>
            </w:tcBorders>
            <w:shd w:val="clear" w:color="auto" w:fill="auto"/>
            <w:noWrap/>
            <w:vAlign w:val="center"/>
            <w:hideMark/>
          </w:tcPr>
          <w:p w14:paraId="2A5719A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1 223,02</w:t>
            </w:r>
          </w:p>
        </w:tc>
      </w:tr>
      <w:tr w:rsidR="00905E1F" w:rsidRPr="00AC3806" w14:paraId="5C22405B"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6D5A835"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Новохопёрский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5DA2CDE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212</w:t>
            </w:r>
          </w:p>
        </w:tc>
        <w:tc>
          <w:tcPr>
            <w:tcW w:w="1843" w:type="dxa"/>
            <w:tcBorders>
              <w:top w:val="nil"/>
              <w:left w:val="nil"/>
              <w:bottom w:val="single" w:sz="4" w:space="0" w:color="auto"/>
              <w:right w:val="single" w:sz="4" w:space="0" w:color="auto"/>
            </w:tcBorders>
            <w:shd w:val="clear" w:color="auto" w:fill="auto"/>
            <w:noWrap/>
            <w:vAlign w:val="center"/>
            <w:hideMark/>
          </w:tcPr>
          <w:p w14:paraId="49C2BA50"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19 913 790,06</w:t>
            </w:r>
          </w:p>
        </w:tc>
        <w:tc>
          <w:tcPr>
            <w:tcW w:w="1984" w:type="dxa"/>
            <w:tcBorders>
              <w:top w:val="nil"/>
              <w:left w:val="nil"/>
              <w:bottom w:val="single" w:sz="4" w:space="0" w:color="auto"/>
              <w:right w:val="single" w:sz="4" w:space="0" w:color="auto"/>
            </w:tcBorders>
            <w:shd w:val="clear" w:color="auto" w:fill="auto"/>
            <w:noWrap/>
            <w:vAlign w:val="center"/>
            <w:hideMark/>
          </w:tcPr>
          <w:p w14:paraId="4E72784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19 679 817,53</w:t>
            </w:r>
          </w:p>
        </w:tc>
        <w:tc>
          <w:tcPr>
            <w:tcW w:w="1559" w:type="dxa"/>
            <w:tcBorders>
              <w:top w:val="nil"/>
              <w:left w:val="nil"/>
              <w:bottom w:val="single" w:sz="4" w:space="0" w:color="auto"/>
              <w:right w:val="single" w:sz="4" w:space="0" w:color="auto"/>
            </w:tcBorders>
            <w:shd w:val="clear" w:color="auto" w:fill="auto"/>
            <w:noWrap/>
            <w:vAlign w:val="center"/>
            <w:hideMark/>
          </w:tcPr>
          <w:p w14:paraId="187C7D15"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14738</w:t>
            </w:r>
          </w:p>
        </w:tc>
        <w:tc>
          <w:tcPr>
            <w:tcW w:w="1843" w:type="dxa"/>
            <w:tcBorders>
              <w:top w:val="nil"/>
              <w:left w:val="nil"/>
              <w:bottom w:val="single" w:sz="4" w:space="0" w:color="auto"/>
              <w:right w:val="single" w:sz="4" w:space="0" w:color="auto"/>
            </w:tcBorders>
            <w:shd w:val="clear" w:color="auto" w:fill="auto"/>
            <w:noWrap/>
            <w:vAlign w:val="center"/>
            <w:hideMark/>
          </w:tcPr>
          <w:p w14:paraId="7AD740D4"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233 972,53</w:t>
            </w:r>
          </w:p>
        </w:tc>
        <w:tc>
          <w:tcPr>
            <w:tcW w:w="1559" w:type="dxa"/>
            <w:tcBorders>
              <w:top w:val="nil"/>
              <w:left w:val="nil"/>
              <w:bottom w:val="single" w:sz="4" w:space="0" w:color="auto"/>
              <w:right w:val="single" w:sz="4" w:space="0" w:color="auto"/>
            </w:tcBorders>
            <w:shd w:val="clear" w:color="auto" w:fill="auto"/>
            <w:noWrap/>
            <w:vAlign w:val="center"/>
            <w:hideMark/>
          </w:tcPr>
          <w:p w14:paraId="2EDEF9AE"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1,19</w:t>
            </w:r>
          </w:p>
        </w:tc>
        <w:tc>
          <w:tcPr>
            <w:tcW w:w="993" w:type="dxa"/>
            <w:tcBorders>
              <w:top w:val="nil"/>
              <w:left w:val="nil"/>
              <w:bottom w:val="single" w:sz="4" w:space="0" w:color="auto"/>
              <w:right w:val="single" w:sz="4" w:space="0" w:color="auto"/>
            </w:tcBorders>
            <w:shd w:val="clear" w:color="auto" w:fill="auto"/>
            <w:noWrap/>
            <w:vAlign w:val="center"/>
            <w:hideMark/>
          </w:tcPr>
          <w:p w14:paraId="3B1D5B0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1 351,19</w:t>
            </w:r>
          </w:p>
        </w:tc>
        <w:tc>
          <w:tcPr>
            <w:tcW w:w="1701" w:type="dxa"/>
            <w:tcBorders>
              <w:top w:val="nil"/>
              <w:left w:val="nil"/>
              <w:bottom w:val="single" w:sz="4" w:space="0" w:color="auto"/>
              <w:right w:val="single" w:sz="4" w:space="0" w:color="auto"/>
            </w:tcBorders>
            <w:shd w:val="clear" w:color="auto" w:fill="auto"/>
            <w:noWrap/>
            <w:vAlign w:val="center"/>
            <w:hideMark/>
          </w:tcPr>
          <w:p w14:paraId="70392A8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1 335,31</w:t>
            </w:r>
          </w:p>
        </w:tc>
      </w:tr>
      <w:tr w:rsidR="00905E1F" w:rsidRPr="00AC3806" w14:paraId="3F775662"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90BDADF"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Ольховатский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46D8617F"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360</w:t>
            </w:r>
          </w:p>
        </w:tc>
        <w:tc>
          <w:tcPr>
            <w:tcW w:w="1843" w:type="dxa"/>
            <w:tcBorders>
              <w:top w:val="nil"/>
              <w:left w:val="nil"/>
              <w:bottom w:val="single" w:sz="4" w:space="0" w:color="auto"/>
              <w:right w:val="single" w:sz="4" w:space="0" w:color="auto"/>
            </w:tcBorders>
            <w:shd w:val="clear" w:color="auto" w:fill="auto"/>
            <w:noWrap/>
            <w:vAlign w:val="center"/>
            <w:hideMark/>
          </w:tcPr>
          <w:p w14:paraId="76211FB9"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33 194 863,35</w:t>
            </w:r>
          </w:p>
        </w:tc>
        <w:tc>
          <w:tcPr>
            <w:tcW w:w="1984" w:type="dxa"/>
            <w:tcBorders>
              <w:top w:val="nil"/>
              <w:left w:val="nil"/>
              <w:bottom w:val="single" w:sz="4" w:space="0" w:color="auto"/>
              <w:right w:val="single" w:sz="4" w:space="0" w:color="auto"/>
            </w:tcBorders>
            <w:shd w:val="clear" w:color="auto" w:fill="auto"/>
            <w:noWrap/>
            <w:vAlign w:val="center"/>
            <w:hideMark/>
          </w:tcPr>
          <w:p w14:paraId="6FCAED3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46 686 604,87</w:t>
            </w:r>
          </w:p>
        </w:tc>
        <w:tc>
          <w:tcPr>
            <w:tcW w:w="1559" w:type="dxa"/>
            <w:tcBorders>
              <w:top w:val="nil"/>
              <w:left w:val="nil"/>
              <w:bottom w:val="single" w:sz="4" w:space="0" w:color="auto"/>
              <w:right w:val="single" w:sz="4" w:space="0" w:color="auto"/>
            </w:tcBorders>
            <w:shd w:val="clear" w:color="auto" w:fill="auto"/>
            <w:noWrap/>
            <w:vAlign w:val="center"/>
            <w:hideMark/>
          </w:tcPr>
          <w:p w14:paraId="56FA941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33932</w:t>
            </w:r>
          </w:p>
        </w:tc>
        <w:tc>
          <w:tcPr>
            <w:tcW w:w="1843" w:type="dxa"/>
            <w:tcBorders>
              <w:top w:val="nil"/>
              <w:left w:val="nil"/>
              <w:bottom w:val="single" w:sz="4" w:space="0" w:color="auto"/>
              <w:right w:val="single" w:sz="4" w:space="0" w:color="auto"/>
            </w:tcBorders>
            <w:shd w:val="clear" w:color="auto" w:fill="auto"/>
            <w:noWrap/>
            <w:vAlign w:val="center"/>
            <w:hideMark/>
          </w:tcPr>
          <w:p w14:paraId="660F4895"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-13 491 741,52</w:t>
            </w:r>
          </w:p>
        </w:tc>
        <w:tc>
          <w:tcPr>
            <w:tcW w:w="1559" w:type="dxa"/>
            <w:tcBorders>
              <w:top w:val="nil"/>
              <w:left w:val="nil"/>
              <w:bottom w:val="single" w:sz="4" w:space="0" w:color="auto"/>
              <w:right w:val="single" w:sz="4" w:space="0" w:color="auto"/>
            </w:tcBorders>
            <w:shd w:val="clear" w:color="auto" w:fill="auto"/>
            <w:noWrap/>
            <w:vAlign w:val="center"/>
            <w:hideMark/>
          </w:tcPr>
          <w:p w14:paraId="7360785B"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-28,9</w:t>
            </w:r>
          </w:p>
        </w:tc>
        <w:tc>
          <w:tcPr>
            <w:tcW w:w="993" w:type="dxa"/>
            <w:tcBorders>
              <w:top w:val="nil"/>
              <w:left w:val="nil"/>
              <w:bottom w:val="single" w:sz="4" w:space="0" w:color="auto"/>
              <w:right w:val="single" w:sz="4" w:space="0" w:color="auto"/>
            </w:tcBorders>
            <w:shd w:val="clear" w:color="auto" w:fill="auto"/>
            <w:noWrap/>
            <w:vAlign w:val="center"/>
            <w:hideMark/>
          </w:tcPr>
          <w:p w14:paraId="56F6416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978,28</w:t>
            </w:r>
          </w:p>
        </w:tc>
        <w:tc>
          <w:tcPr>
            <w:tcW w:w="1701" w:type="dxa"/>
            <w:tcBorders>
              <w:top w:val="nil"/>
              <w:left w:val="nil"/>
              <w:bottom w:val="single" w:sz="4" w:space="0" w:color="auto"/>
              <w:right w:val="single" w:sz="4" w:space="0" w:color="auto"/>
            </w:tcBorders>
            <w:shd w:val="clear" w:color="auto" w:fill="auto"/>
            <w:noWrap/>
            <w:vAlign w:val="center"/>
            <w:hideMark/>
          </w:tcPr>
          <w:p w14:paraId="4038007B"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1 375,89</w:t>
            </w:r>
          </w:p>
        </w:tc>
      </w:tr>
      <w:tr w:rsidR="00905E1F" w:rsidRPr="00AC3806" w14:paraId="4C128DEF"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039D66D"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Острогожский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25E3F1D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174</w:t>
            </w:r>
          </w:p>
        </w:tc>
        <w:tc>
          <w:tcPr>
            <w:tcW w:w="1843" w:type="dxa"/>
            <w:tcBorders>
              <w:top w:val="nil"/>
              <w:left w:val="nil"/>
              <w:bottom w:val="single" w:sz="4" w:space="0" w:color="auto"/>
              <w:right w:val="single" w:sz="4" w:space="0" w:color="auto"/>
            </w:tcBorders>
            <w:shd w:val="clear" w:color="auto" w:fill="auto"/>
            <w:noWrap/>
            <w:vAlign w:val="center"/>
            <w:hideMark/>
          </w:tcPr>
          <w:p w14:paraId="34C24BBB"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252 989 999,44</w:t>
            </w:r>
          </w:p>
        </w:tc>
        <w:tc>
          <w:tcPr>
            <w:tcW w:w="1984" w:type="dxa"/>
            <w:tcBorders>
              <w:top w:val="nil"/>
              <w:left w:val="nil"/>
              <w:bottom w:val="single" w:sz="4" w:space="0" w:color="auto"/>
              <w:right w:val="single" w:sz="4" w:space="0" w:color="auto"/>
            </w:tcBorders>
            <w:shd w:val="clear" w:color="auto" w:fill="auto"/>
            <w:noWrap/>
            <w:vAlign w:val="center"/>
            <w:hideMark/>
          </w:tcPr>
          <w:p w14:paraId="1CE0115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186 102 326,45</w:t>
            </w:r>
          </w:p>
        </w:tc>
        <w:tc>
          <w:tcPr>
            <w:tcW w:w="1559" w:type="dxa"/>
            <w:tcBorders>
              <w:top w:val="nil"/>
              <w:left w:val="nil"/>
              <w:bottom w:val="single" w:sz="4" w:space="0" w:color="auto"/>
              <w:right w:val="single" w:sz="4" w:space="0" w:color="auto"/>
            </w:tcBorders>
            <w:shd w:val="clear" w:color="auto" w:fill="auto"/>
            <w:noWrap/>
            <w:vAlign w:val="center"/>
            <w:hideMark/>
          </w:tcPr>
          <w:p w14:paraId="5B06DAC0"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133923,8</w:t>
            </w:r>
          </w:p>
        </w:tc>
        <w:tc>
          <w:tcPr>
            <w:tcW w:w="1843" w:type="dxa"/>
            <w:tcBorders>
              <w:top w:val="nil"/>
              <w:left w:val="nil"/>
              <w:bottom w:val="single" w:sz="4" w:space="0" w:color="auto"/>
              <w:right w:val="single" w:sz="4" w:space="0" w:color="auto"/>
            </w:tcBorders>
            <w:shd w:val="clear" w:color="auto" w:fill="auto"/>
            <w:noWrap/>
            <w:vAlign w:val="center"/>
            <w:hideMark/>
          </w:tcPr>
          <w:p w14:paraId="3102D9E8"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66 887 672,99</w:t>
            </w:r>
          </w:p>
        </w:tc>
        <w:tc>
          <w:tcPr>
            <w:tcW w:w="1559" w:type="dxa"/>
            <w:tcBorders>
              <w:top w:val="nil"/>
              <w:left w:val="nil"/>
              <w:bottom w:val="single" w:sz="4" w:space="0" w:color="auto"/>
              <w:right w:val="single" w:sz="4" w:space="0" w:color="auto"/>
            </w:tcBorders>
            <w:shd w:val="clear" w:color="auto" w:fill="auto"/>
            <w:noWrap/>
            <w:vAlign w:val="center"/>
            <w:hideMark/>
          </w:tcPr>
          <w:p w14:paraId="556E712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35,94</w:t>
            </w:r>
          </w:p>
        </w:tc>
        <w:tc>
          <w:tcPr>
            <w:tcW w:w="993" w:type="dxa"/>
            <w:tcBorders>
              <w:top w:val="nil"/>
              <w:left w:val="nil"/>
              <w:bottom w:val="single" w:sz="4" w:space="0" w:color="auto"/>
              <w:right w:val="single" w:sz="4" w:space="0" w:color="auto"/>
            </w:tcBorders>
            <w:shd w:val="clear" w:color="auto" w:fill="auto"/>
            <w:noWrap/>
            <w:vAlign w:val="center"/>
            <w:hideMark/>
          </w:tcPr>
          <w:p w14:paraId="08F8814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1 889,06</w:t>
            </w:r>
          </w:p>
        </w:tc>
        <w:tc>
          <w:tcPr>
            <w:tcW w:w="1701" w:type="dxa"/>
            <w:tcBorders>
              <w:top w:val="nil"/>
              <w:left w:val="nil"/>
              <w:bottom w:val="single" w:sz="4" w:space="0" w:color="auto"/>
              <w:right w:val="single" w:sz="4" w:space="0" w:color="auto"/>
            </w:tcBorders>
            <w:shd w:val="clear" w:color="auto" w:fill="auto"/>
            <w:noWrap/>
            <w:vAlign w:val="center"/>
            <w:hideMark/>
          </w:tcPr>
          <w:p w14:paraId="4085120F"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1 389,61</w:t>
            </w:r>
          </w:p>
        </w:tc>
      </w:tr>
      <w:tr w:rsidR="00905E1F" w:rsidRPr="00AC3806" w14:paraId="770D6B6F"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EDBE469"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Павловский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54D6812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136</w:t>
            </w:r>
          </w:p>
        </w:tc>
        <w:tc>
          <w:tcPr>
            <w:tcW w:w="1843" w:type="dxa"/>
            <w:tcBorders>
              <w:top w:val="nil"/>
              <w:left w:val="nil"/>
              <w:bottom w:val="single" w:sz="4" w:space="0" w:color="auto"/>
              <w:right w:val="single" w:sz="4" w:space="0" w:color="auto"/>
            </w:tcBorders>
            <w:shd w:val="clear" w:color="auto" w:fill="auto"/>
            <w:noWrap/>
            <w:vAlign w:val="center"/>
            <w:hideMark/>
          </w:tcPr>
          <w:p w14:paraId="4424F24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268 205 557,22</w:t>
            </w:r>
          </w:p>
        </w:tc>
        <w:tc>
          <w:tcPr>
            <w:tcW w:w="1984" w:type="dxa"/>
            <w:tcBorders>
              <w:top w:val="nil"/>
              <w:left w:val="nil"/>
              <w:bottom w:val="single" w:sz="4" w:space="0" w:color="auto"/>
              <w:right w:val="single" w:sz="4" w:space="0" w:color="auto"/>
            </w:tcBorders>
            <w:shd w:val="clear" w:color="auto" w:fill="auto"/>
            <w:noWrap/>
            <w:vAlign w:val="center"/>
            <w:hideMark/>
          </w:tcPr>
          <w:p w14:paraId="586E9FF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112 220 293,09</w:t>
            </w:r>
          </w:p>
        </w:tc>
        <w:tc>
          <w:tcPr>
            <w:tcW w:w="1559" w:type="dxa"/>
            <w:tcBorders>
              <w:top w:val="nil"/>
              <w:left w:val="nil"/>
              <w:bottom w:val="single" w:sz="4" w:space="0" w:color="auto"/>
              <w:right w:val="single" w:sz="4" w:space="0" w:color="auto"/>
            </w:tcBorders>
            <w:shd w:val="clear" w:color="auto" w:fill="auto"/>
            <w:noWrap/>
            <w:vAlign w:val="center"/>
            <w:hideMark/>
          </w:tcPr>
          <w:p w14:paraId="26FAFC2E"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169783,6</w:t>
            </w:r>
          </w:p>
        </w:tc>
        <w:tc>
          <w:tcPr>
            <w:tcW w:w="1843" w:type="dxa"/>
            <w:tcBorders>
              <w:top w:val="nil"/>
              <w:left w:val="nil"/>
              <w:bottom w:val="single" w:sz="4" w:space="0" w:color="auto"/>
              <w:right w:val="single" w:sz="4" w:space="0" w:color="auto"/>
            </w:tcBorders>
            <w:shd w:val="clear" w:color="auto" w:fill="auto"/>
            <w:noWrap/>
            <w:vAlign w:val="center"/>
            <w:hideMark/>
          </w:tcPr>
          <w:p w14:paraId="05A92E75"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155 985 264,13</w:t>
            </w:r>
          </w:p>
        </w:tc>
        <w:tc>
          <w:tcPr>
            <w:tcW w:w="1559" w:type="dxa"/>
            <w:tcBorders>
              <w:top w:val="nil"/>
              <w:left w:val="nil"/>
              <w:bottom w:val="single" w:sz="4" w:space="0" w:color="auto"/>
              <w:right w:val="single" w:sz="4" w:space="0" w:color="auto"/>
            </w:tcBorders>
            <w:shd w:val="clear" w:color="auto" w:fill="auto"/>
            <w:noWrap/>
            <w:vAlign w:val="center"/>
            <w:hideMark/>
          </w:tcPr>
          <w:p w14:paraId="4667E564"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139</w:t>
            </w:r>
          </w:p>
        </w:tc>
        <w:tc>
          <w:tcPr>
            <w:tcW w:w="993" w:type="dxa"/>
            <w:tcBorders>
              <w:top w:val="nil"/>
              <w:left w:val="nil"/>
              <w:bottom w:val="single" w:sz="4" w:space="0" w:color="auto"/>
              <w:right w:val="single" w:sz="4" w:space="0" w:color="auto"/>
            </w:tcBorders>
            <w:shd w:val="clear" w:color="auto" w:fill="auto"/>
            <w:noWrap/>
            <w:vAlign w:val="center"/>
            <w:hideMark/>
          </w:tcPr>
          <w:p w14:paraId="1AD81196"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1 579,69</w:t>
            </w:r>
          </w:p>
        </w:tc>
        <w:tc>
          <w:tcPr>
            <w:tcW w:w="1701" w:type="dxa"/>
            <w:tcBorders>
              <w:top w:val="nil"/>
              <w:left w:val="nil"/>
              <w:bottom w:val="single" w:sz="4" w:space="0" w:color="auto"/>
              <w:right w:val="single" w:sz="4" w:space="0" w:color="auto"/>
            </w:tcBorders>
            <w:shd w:val="clear" w:color="auto" w:fill="auto"/>
            <w:noWrap/>
            <w:vAlign w:val="center"/>
            <w:hideMark/>
          </w:tcPr>
          <w:p w14:paraId="6E275C50"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660,96</w:t>
            </w:r>
          </w:p>
        </w:tc>
      </w:tr>
      <w:tr w:rsidR="00905E1F" w:rsidRPr="00AC3806" w14:paraId="5A09015A"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8DF83A0"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Панинский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11C9662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89</w:t>
            </w:r>
          </w:p>
        </w:tc>
        <w:tc>
          <w:tcPr>
            <w:tcW w:w="1843" w:type="dxa"/>
            <w:tcBorders>
              <w:top w:val="nil"/>
              <w:left w:val="nil"/>
              <w:bottom w:val="single" w:sz="4" w:space="0" w:color="auto"/>
              <w:right w:val="single" w:sz="4" w:space="0" w:color="auto"/>
            </w:tcBorders>
            <w:shd w:val="clear" w:color="auto" w:fill="auto"/>
            <w:noWrap/>
            <w:vAlign w:val="center"/>
            <w:hideMark/>
          </w:tcPr>
          <w:p w14:paraId="76615FA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64 456 339,61</w:t>
            </w:r>
          </w:p>
        </w:tc>
        <w:tc>
          <w:tcPr>
            <w:tcW w:w="1984" w:type="dxa"/>
            <w:tcBorders>
              <w:top w:val="nil"/>
              <w:left w:val="nil"/>
              <w:bottom w:val="single" w:sz="4" w:space="0" w:color="auto"/>
              <w:right w:val="single" w:sz="4" w:space="0" w:color="auto"/>
            </w:tcBorders>
            <w:shd w:val="clear" w:color="auto" w:fill="auto"/>
            <w:noWrap/>
            <w:vAlign w:val="center"/>
            <w:hideMark/>
          </w:tcPr>
          <w:p w14:paraId="10A06ACF"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64 255 809,56</w:t>
            </w:r>
          </w:p>
        </w:tc>
        <w:tc>
          <w:tcPr>
            <w:tcW w:w="1559" w:type="dxa"/>
            <w:tcBorders>
              <w:top w:val="nil"/>
              <w:left w:val="nil"/>
              <w:bottom w:val="single" w:sz="4" w:space="0" w:color="auto"/>
              <w:right w:val="single" w:sz="4" w:space="0" w:color="auto"/>
            </w:tcBorders>
            <w:shd w:val="clear" w:color="auto" w:fill="auto"/>
            <w:noWrap/>
            <w:vAlign w:val="center"/>
            <w:hideMark/>
          </w:tcPr>
          <w:p w14:paraId="752E3D85"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64027,5</w:t>
            </w:r>
          </w:p>
        </w:tc>
        <w:tc>
          <w:tcPr>
            <w:tcW w:w="1843" w:type="dxa"/>
            <w:tcBorders>
              <w:top w:val="nil"/>
              <w:left w:val="nil"/>
              <w:bottom w:val="single" w:sz="4" w:space="0" w:color="auto"/>
              <w:right w:val="single" w:sz="4" w:space="0" w:color="auto"/>
            </w:tcBorders>
            <w:shd w:val="clear" w:color="auto" w:fill="auto"/>
            <w:noWrap/>
            <w:vAlign w:val="center"/>
            <w:hideMark/>
          </w:tcPr>
          <w:p w14:paraId="09FB0B9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200 530,05</w:t>
            </w:r>
          </w:p>
        </w:tc>
        <w:tc>
          <w:tcPr>
            <w:tcW w:w="1559" w:type="dxa"/>
            <w:tcBorders>
              <w:top w:val="nil"/>
              <w:left w:val="nil"/>
              <w:bottom w:val="single" w:sz="4" w:space="0" w:color="auto"/>
              <w:right w:val="single" w:sz="4" w:space="0" w:color="auto"/>
            </w:tcBorders>
            <w:shd w:val="clear" w:color="auto" w:fill="auto"/>
            <w:noWrap/>
            <w:vAlign w:val="center"/>
            <w:hideMark/>
          </w:tcPr>
          <w:p w14:paraId="7EF90F8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0,31</w:t>
            </w:r>
          </w:p>
        </w:tc>
        <w:tc>
          <w:tcPr>
            <w:tcW w:w="993" w:type="dxa"/>
            <w:tcBorders>
              <w:top w:val="nil"/>
              <w:left w:val="nil"/>
              <w:bottom w:val="single" w:sz="4" w:space="0" w:color="auto"/>
              <w:right w:val="single" w:sz="4" w:space="0" w:color="auto"/>
            </w:tcBorders>
            <w:shd w:val="clear" w:color="auto" w:fill="auto"/>
            <w:noWrap/>
            <w:vAlign w:val="center"/>
            <w:hideMark/>
          </w:tcPr>
          <w:p w14:paraId="33D670AF"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1 006,70</w:t>
            </w:r>
          </w:p>
        </w:tc>
        <w:tc>
          <w:tcPr>
            <w:tcW w:w="1701" w:type="dxa"/>
            <w:tcBorders>
              <w:top w:val="nil"/>
              <w:left w:val="nil"/>
              <w:bottom w:val="single" w:sz="4" w:space="0" w:color="auto"/>
              <w:right w:val="single" w:sz="4" w:space="0" w:color="auto"/>
            </w:tcBorders>
            <w:shd w:val="clear" w:color="auto" w:fill="auto"/>
            <w:noWrap/>
            <w:vAlign w:val="center"/>
            <w:hideMark/>
          </w:tcPr>
          <w:p w14:paraId="44ADC91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1 003,57</w:t>
            </w:r>
          </w:p>
        </w:tc>
      </w:tr>
      <w:tr w:rsidR="00905E1F" w:rsidRPr="00AC3806" w14:paraId="202A0027"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685ACCB"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Петропавловский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7142AC14"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42</w:t>
            </w:r>
          </w:p>
        </w:tc>
        <w:tc>
          <w:tcPr>
            <w:tcW w:w="1843" w:type="dxa"/>
            <w:tcBorders>
              <w:top w:val="nil"/>
              <w:left w:val="nil"/>
              <w:bottom w:val="single" w:sz="4" w:space="0" w:color="auto"/>
              <w:right w:val="single" w:sz="4" w:space="0" w:color="auto"/>
            </w:tcBorders>
            <w:shd w:val="clear" w:color="auto" w:fill="auto"/>
            <w:noWrap/>
            <w:vAlign w:val="center"/>
            <w:hideMark/>
          </w:tcPr>
          <w:p w14:paraId="25D06E48"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23 822 147,70</w:t>
            </w:r>
          </w:p>
        </w:tc>
        <w:tc>
          <w:tcPr>
            <w:tcW w:w="1984" w:type="dxa"/>
            <w:tcBorders>
              <w:top w:val="nil"/>
              <w:left w:val="nil"/>
              <w:bottom w:val="single" w:sz="4" w:space="0" w:color="auto"/>
              <w:right w:val="single" w:sz="4" w:space="0" w:color="auto"/>
            </w:tcBorders>
            <w:shd w:val="clear" w:color="auto" w:fill="auto"/>
            <w:noWrap/>
            <w:vAlign w:val="center"/>
            <w:hideMark/>
          </w:tcPr>
          <w:p w14:paraId="4823931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18 569 649,12</w:t>
            </w:r>
          </w:p>
        </w:tc>
        <w:tc>
          <w:tcPr>
            <w:tcW w:w="1559" w:type="dxa"/>
            <w:tcBorders>
              <w:top w:val="nil"/>
              <w:left w:val="nil"/>
              <w:bottom w:val="single" w:sz="4" w:space="0" w:color="auto"/>
              <w:right w:val="single" w:sz="4" w:space="0" w:color="auto"/>
            </w:tcBorders>
            <w:shd w:val="clear" w:color="auto" w:fill="auto"/>
            <w:noWrap/>
            <w:vAlign w:val="center"/>
            <w:hideMark/>
          </w:tcPr>
          <w:p w14:paraId="17CF2936"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53868,6</w:t>
            </w:r>
          </w:p>
        </w:tc>
        <w:tc>
          <w:tcPr>
            <w:tcW w:w="1843" w:type="dxa"/>
            <w:tcBorders>
              <w:top w:val="nil"/>
              <w:left w:val="nil"/>
              <w:bottom w:val="single" w:sz="4" w:space="0" w:color="auto"/>
              <w:right w:val="single" w:sz="4" w:space="0" w:color="auto"/>
            </w:tcBorders>
            <w:shd w:val="clear" w:color="auto" w:fill="auto"/>
            <w:noWrap/>
            <w:vAlign w:val="center"/>
            <w:hideMark/>
          </w:tcPr>
          <w:p w14:paraId="016CAB2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5 252 498,58</w:t>
            </w:r>
          </w:p>
        </w:tc>
        <w:tc>
          <w:tcPr>
            <w:tcW w:w="1559" w:type="dxa"/>
            <w:tcBorders>
              <w:top w:val="nil"/>
              <w:left w:val="nil"/>
              <w:bottom w:val="single" w:sz="4" w:space="0" w:color="auto"/>
              <w:right w:val="single" w:sz="4" w:space="0" w:color="auto"/>
            </w:tcBorders>
            <w:shd w:val="clear" w:color="auto" w:fill="auto"/>
            <w:noWrap/>
            <w:vAlign w:val="center"/>
            <w:hideMark/>
          </w:tcPr>
          <w:p w14:paraId="40EEA2E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28,29</w:t>
            </w:r>
          </w:p>
        </w:tc>
        <w:tc>
          <w:tcPr>
            <w:tcW w:w="993" w:type="dxa"/>
            <w:tcBorders>
              <w:top w:val="nil"/>
              <w:left w:val="nil"/>
              <w:bottom w:val="single" w:sz="4" w:space="0" w:color="auto"/>
              <w:right w:val="single" w:sz="4" w:space="0" w:color="auto"/>
            </w:tcBorders>
            <w:shd w:val="clear" w:color="auto" w:fill="auto"/>
            <w:noWrap/>
            <w:vAlign w:val="center"/>
            <w:hideMark/>
          </w:tcPr>
          <w:p w14:paraId="1DED3AF0"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442,23</w:t>
            </w:r>
          </w:p>
        </w:tc>
        <w:tc>
          <w:tcPr>
            <w:tcW w:w="1701" w:type="dxa"/>
            <w:tcBorders>
              <w:top w:val="nil"/>
              <w:left w:val="nil"/>
              <w:bottom w:val="single" w:sz="4" w:space="0" w:color="auto"/>
              <w:right w:val="single" w:sz="4" w:space="0" w:color="auto"/>
            </w:tcBorders>
            <w:shd w:val="clear" w:color="auto" w:fill="auto"/>
            <w:noWrap/>
            <w:vAlign w:val="center"/>
            <w:hideMark/>
          </w:tcPr>
          <w:p w14:paraId="30FACA2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344,72</w:t>
            </w:r>
          </w:p>
        </w:tc>
      </w:tr>
      <w:tr w:rsidR="00905E1F" w:rsidRPr="00AC3806" w14:paraId="2B55C1C4"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654A4AC"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Поворинский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783E1F6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1157</w:t>
            </w:r>
          </w:p>
        </w:tc>
        <w:tc>
          <w:tcPr>
            <w:tcW w:w="1843" w:type="dxa"/>
            <w:tcBorders>
              <w:top w:val="nil"/>
              <w:left w:val="nil"/>
              <w:bottom w:val="single" w:sz="4" w:space="0" w:color="auto"/>
              <w:right w:val="single" w:sz="4" w:space="0" w:color="auto"/>
            </w:tcBorders>
            <w:shd w:val="clear" w:color="auto" w:fill="auto"/>
            <w:noWrap/>
            <w:vAlign w:val="center"/>
            <w:hideMark/>
          </w:tcPr>
          <w:p w14:paraId="024829E9"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123 355 260,03</w:t>
            </w:r>
          </w:p>
        </w:tc>
        <w:tc>
          <w:tcPr>
            <w:tcW w:w="1984" w:type="dxa"/>
            <w:tcBorders>
              <w:top w:val="nil"/>
              <w:left w:val="nil"/>
              <w:bottom w:val="single" w:sz="4" w:space="0" w:color="auto"/>
              <w:right w:val="single" w:sz="4" w:space="0" w:color="auto"/>
            </w:tcBorders>
            <w:shd w:val="clear" w:color="auto" w:fill="auto"/>
            <w:noWrap/>
            <w:vAlign w:val="center"/>
            <w:hideMark/>
          </w:tcPr>
          <w:p w14:paraId="257C81A0"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122 799 155,34</w:t>
            </w:r>
          </w:p>
        </w:tc>
        <w:tc>
          <w:tcPr>
            <w:tcW w:w="1559" w:type="dxa"/>
            <w:tcBorders>
              <w:top w:val="nil"/>
              <w:left w:val="nil"/>
              <w:bottom w:val="single" w:sz="4" w:space="0" w:color="auto"/>
              <w:right w:val="single" w:sz="4" w:space="0" w:color="auto"/>
            </w:tcBorders>
            <w:shd w:val="clear" w:color="auto" w:fill="auto"/>
            <w:noWrap/>
            <w:vAlign w:val="center"/>
            <w:hideMark/>
          </w:tcPr>
          <w:p w14:paraId="34859086"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69039,73</w:t>
            </w:r>
          </w:p>
        </w:tc>
        <w:tc>
          <w:tcPr>
            <w:tcW w:w="1843" w:type="dxa"/>
            <w:tcBorders>
              <w:top w:val="nil"/>
              <w:left w:val="nil"/>
              <w:bottom w:val="single" w:sz="4" w:space="0" w:color="auto"/>
              <w:right w:val="single" w:sz="4" w:space="0" w:color="auto"/>
            </w:tcBorders>
            <w:shd w:val="clear" w:color="auto" w:fill="auto"/>
            <w:noWrap/>
            <w:vAlign w:val="center"/>
            <w:hideMark/>
          </w:tcPr>
          <w:p w14:paraId="03063468"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556 104,69</w:t>
            </w:r>
          </w:p>
        </w:tc>
        <w:tc>
          <w:tcPr>
            <w:tcW w:w="1559" w:type="dxa"/>
            <w:tcBorders>
              <w:top w:val="nil"/>
              <w:left w:val="nil"/>
              <w:bottom w:val="single" w:sz="4" w:space="0" w:color="auto"/>
              <w:right w:val="single" w:sz="4" w:space="0" w:color="auto"/>
            </w:tcBorders>
            <w:shd w:val="clear" w:color="auto" w:fill="auto"/>
            <w:noWrap/>
            <w:vAlign w:val="center"/>
            <w:hideMark/>
          </w:tcPr>
          <w:p w14:paraId="2015377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0,45</w:t>
            </w:r>
          </w:p>
        </w:tc>
        <w:tc>
          <w:tcPr>
            <w:tcW w:w="993" w:type="dxa"/>
            <w:tcBorders>
              <w:top w:val="nil"/>
              <w:left w:val="nil"/>
              <w:bottom w:val="single" w:sz="4" w:space="0" w:color="auto"/>
              <w:right w:val="single" w:sz="4" w:space="0" w:color="auto"/>
            </w:tcBorders>
            <w:shd w:val="clear" w:color="auto" w:fill="auto"/>
            <w:noWrap/>
            <w:vAlign w:val="center"/>
            <w:hideMark/>
          </w:tcPr>
          <w:p w14:paraId="68FCFD0F"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1 786,73</w:t>
            </w:r>
          </w:p>
        </w:tc>
        <w:tc>
          <w:tcPr>
            <w:tcW w:w="1701" w:type="dxa"/>
            <w:tcBorders>
              <w:top w:val="nil"/>
              <w:left w:val="nil"/>
              <w:bottom w:val="single" w:sz="4" w:space="0" w:color="auto"/>
              <w:right w:val="single" w:sz="4" w:space="0" w:color="auto"/>
            </w:tcBorders>
            <w:shd w:val="clear" w:color="auto" w:fill="auto"/>
            <w:noWrap/>
            <w:vAlign w:val="center"/>
            <w:hideMark/>
          </w:tcPr>
          <w:p w14:paraId="4C8527D4"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1 778,67</w:t>
            </w:r>
          </w:p>
        </w:tc>
      </w:tr>
      <w:tr w:rsidR="00905E1F" w:rsidRPr="00AC3806" w14:paraId="3732ACFB"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3F73633"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Подгоренский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0DE70CA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1195</w:t>
            </w:r>
          </w:p>
        </w:tc>
        <w:tc>
          <w:tcPr>
            <w:tcW w:w="1843" w:type="dxa"/>
            <w:tcBorders>
              <w:top w:val="nil"/>
              <w:left w:val="nil"/>
              <w:bottom w:val="single" w:sz="4" w:space="0" w:color="auto"/>
              <w:right w:val="single" w:sz="4" w:space="0" w:color="auto"/>
            </w:tcBorders>
            <w:shd w:val="clear" w:color="auto" w:fill="auto"/>
            <w:noWrap/>
            <w:vAlign w:val="center"/>
            <w:hideMark/>
          </w:tcPr>
          <w:p w14:paraId="73DC6EF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50 065 303,87</w:t>
            </w:r>
          </w:p>
        </w:tc>
        <w:tc>
          <w:tcPr>
            <w:tcW w:w="1984" w:type="dxa"/>
            <w:tcBorders>
              <w:top w:val="nil"/>
              <w:left w:val="nil"/>
              <w:bottom w:val="single" w:sz="4" w:space="0" w:color="auto"/>
              <w:right w:val="single" w:sz="4" w:space="0" w:color="auto"/>
            </w:tcBorders>
            <w:shd w:val="clear" w:color="auto" w:fill="auto"/>
            <w:noWrap/>
            <w:vAlign w:val="center"/>
            <w:hideMark/>
          </w:tcPr>
          <w:p w14:paraId="6A9A5BA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48 356 933,20</w:t>
            </w:r>
          </w:p>
        </w:tc>
        <w:tc>
          <w:tcPr>
            <w:tcW w:w="1559" w:type="dxa"/>
            <w:tcBorders>
              <w:top w:val="nil"/>
              <w:left w:val="nil"/>
              <w:bottom w:val="single" w:sz="4" w:space="0" w:color="auto"/>
              <w:right w:val="single" w:sz="4" w:space="0" w:color="auto"/>
            </w:tcBorders>
            <w:shd w:val="clear" w:color="auto" w:fill="auto"/>
            <w:noWrap/>
            <w:vAlign w:val="center"/>
            <w:hideMark/>
          </w:tcPr>
          <w:p w14:paraId="3EBA6EEE"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81617,9</w:t>
            </w:r>
          </w:p>
        </w:tc>
        <w:tc>
          <w:tcPr>
            <w:tcW w:w="1843" w:type="dxa"/>
            <w:tcBorders>
              <w:top w:val="nil"/>
              <w:left w:val="nil"/>
              <w:bottom w:val="single" w:sz="4" w:space="0" w:color="auto"/>
              <w:right w:val="single" w:sz="4" w:space="0" w:color="auto"/>
            </w:tcBorders>
            <w:shd w:val="clear" w:color="auto" w:fill="auto"/>
            <w:noWrap/>
            <w:vAlign w:val="center"/>
            <w:hideMark/>
          </w:tcPr>
          <w:p w14:paraId="113E7DD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1 708 370,67</w:t>
            </w:r>
          </w:p>
        </w:tc>
        <w:tc>
          <w:tcPr>
            <w:tcW w:w="1559" w:type="dxa"/>
            <w:tcBorders>
              <w:top w:val="nil"/>
              <w:left w:val="nil"/>
              <w:bottom w:val="single" w:sz="4" w:space="0" w:color="auto"/>
              <w:right w:val="single" w:sz="4" w:space="0" w:color="auto"/>
            </w:tcBorders>
            <w:shd w:val="clear" w:color="auto" w:fill="auto"/>
            <w:noWrap/>
            <w:vAlign w:val="center"/>
            <w:hideMark/>
          </w:tcPr>
          <w:p w14:paraId="256DC791"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3,53</w:t>
            </w:r>
          </w:p>
        </w:tc>
        <w:tc>
          <w:tcPr>
            <w:tcW w:w="993" w:type="dxa"/>
            <w:tcBorders>
              <w:top w:val="nil"/>
              <w:left w:val="nil"/>
              <w:bottom w:val="single" w:sz="4" w:space="0" w:color="auto"/>
              <w:right w:val="single" w:sz="4" w:space="0" w:color="auto"/>
            </w:tcBorders>
            <w:shd w:val="clear" w:color="auto" w:fill="auto"/>
            <w:noWrap/>
            <w:vAlign w:val="center"/>
            <w:hideMark/>
          </w:tcPr>
          <w:p w14:paraId="7F8DDD30"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613,41</w:t>
            </w:r>
          </w:p>
        </w:tc>
        <w:tc>
          <w:tcPr>
            <w:tcW w:w="1701" w:type="dxa"/>
            <w:tcBorders>
              <w:top w:val="nil"/>
              <w:left w:val="nil"/>
              <w:bottom w:val="single" w:sz="4" w:space="0" w:color="auto"/>
              <w:right w:val="single" w:sz="4" w:space="0" w:color="auto"/>
            </w:tcBorders>
            <w:shd w:val="clear" w:color="auto" w:fill="auto"/>
            <w:noWrap/>
            <w:vAlign w:val="center"/>
            <w:hideMark/>
          </w:tcPr>
          <w:p w14:paraId="006B80A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592,48</w:t>
            </w:r>
          </w:p>
        </w:tc>
      </w:tr>
      <w:tr w:rsidR="00905E1F" w:rsidRPr="00AC3806" w14:paraId="2B719283"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E22E2C4"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Рамонский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0B62466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1195</w:t>
            </w:r>
          </w:p>
        </w:tc>
        <w:tc>
          <w:tcPr>
            <w:tcW w:w="1843" w:type="dxa"/>
            <w:tcBorders>
              <w:top w:val="nil"/>
              <w:left w:val="nil"/>
              <w:bottom w:val="single" w:sz="4" w:space="0" w:color="auto"/>
              <w:right w:val="single" w:sz="4" w:space="0" w:color="auto"/>
            </w:tcBorders>
            <w:shd w:val="clear" w:color="auto" w:fill="auto"/>
            <w:noWrap/>
            <w:vAlign w:val="center"/>
            <w:hideMark/>
          </w:tcPr>
          <w:p w14:paraId="5432D486"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310 472 448,83</w:t>
            </w:r>
          </w:p>
        </w:tc>
        <w:tc>
          <w:tcPr>
            <w:tcW w:w="1984" w:type="dxa"/>
            <w:tcBorders>
              <w:top w:val="nil"/>
              <w:left w:val="nil"/>
              <w:bottom w:val="single" w:sz="4" w:space="0" w:color="auto"/>
              <w:right w:val="single" w:sz="4" w:space="0" w:color="auto"/>
            </w:tcBorders>
            <w:shd w:val="clear" w:color="auto" w:fill="auto"/>
            <w:noWrap/>
            <w:vAlign w:val="center"/>
            <w:hideMark/>
          </w:tcPr>
          <w:p w14:paraId="3D0FF7F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247 369 455,30</w:t>
            </w:r>
          </w:p>
        </w:tc>
        <w:tc>
          <w:tcPr>
            <w:tcW w:w="1559" w:type="dxa"/>
            <w:tcBorders>
              <w:top w:val="nil"/>
              <w:left w:val="nil"/>
              <w:bottom w:val="single" w:sz="4" w:space="0" w:color="auto"/>
              <w:right w:val="single" w:sz="4" w:space="0" w:color="auto"/>
            </w:tcBorders>
            <w:shd w:val="clear" w:color="auto" w:fill="auto"/>
            <w:noWrap/>
            <w:vAlign w:val="center"/>
            <w:hideMark/>
          </w:tcPr>
          <w:p w14:paraId="28A9808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327866,5</w:t>
            </w:r>
          </w:p>
        </w:tc>
        <w:tc>
          <w:tcPr>
            <w:tcW w:w="1843" w:type="dxa"/>
            <w:tcBorders>
              <w:top w:val="nil"/>
              <w:left w:val="nil"/>
              <w:bottom w:val="single" w:sz="4" w:space="0" w:color="auto"/>
              <w:right w:val="single" w:sz="4" w:space="0" w:color="auto"/>
            </w:tcBorders>
            <w:shd w:val="clear" w:color="auto" w:fill="auto"/>
            <w:noWrap/>
            <w:vAlign w:val="center"/>
            <w:hideMark/>
          </w:tcPr>
          <w:p w14:paraId="09B55A5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63 102 993,53</w:t>
            </w:r>
          </w:p>
        </w:tc>
        <w:tc>
          <w:tcPr>
            <w:tcW w:w="1559" w:type="dxa"/>
            <w:tcBorders>
              <w:top w:val="nil"/>
              <w:left w:val="nil"/>
              <w:bottom w:val="single" w:sz="4" w:space="0" w:color="auto"/>
              <w:right w:val="single" w:sz="4" w:space="0" w:color="auto"/>
            </w:tcBorders>
            <w:shd w:val="clear" w:color="auto" w:fill="auto"/>
            <w:noWrap/>
            <w:vAlign w:val="center"/>
            <w:hideMark/>
          </w:tcPr>
          <w:p w14:paraId="0D56BF01"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25,51</w:t>
            </w:r>
          </w:p>
        </w:tc>
        <w:tc>
          <w:tcPr>
            <w:tcW w:w="993" w:type="dxa"/>
            <w:tcBorders>
              <w:top w:val="nil"/>
              <w:left w:val="nil"/>
              <w:bottom w:val="single" w:sz="4" w:space="0" w:color="auto"/>
              <w:right w:val="single" w:sz="4" w:space="0" w:color="auto"/>
            </w:tcBorders>
            <w:shd w:val="clear" w:color="auto" w:fill="auto"/>
            <w:noWrap/>
            <w:vAlign w:val="center"/>
            <w:hideMark/>
          </w:tcPr>
          <w:p w14:paraId="53EA3A3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946,95</w:t>
            </w:r>
          </w:p>
        </w:tc>
        <w:tc>
          <w:tcPr>
            <w:tcW w:w="1701" w:type="dxa"/>
            <w:tcBorders>
              <w:top w:val="nil"/>
              <w:left w:val="nil"/>
              <w:bottom w:val="single" w:sz="4" w:space="0" w:color="auto"/>
              <w:right w:val="single" w:sz="4" w:space="0" w:color="auto"/>
            </w:tcBorders>
            <w:shd w:val="clear" w:color="auto" w:fill="auto"/>
            <w:noWrap/>
            <w:vAlign w:val="center"/>
            <w:hideMark/>
          </w:tcPr>
          <w:p w14:paraId="5BC83A4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754,48</w:t>
            </w:r>
          </w:p>
        </w:tc>
      </w:tr>
      <w:tr w:rsidR="00905E1F" w:rsidRPr="00AC3806" w14:paraId="2A58F63F"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F0E6CB4"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Репьёвский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276D0950"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66</w:t>
            </w:r>
          </w:p>
        </w:tc>
        <w:tc>
          <w:tcPr>
            <w:tcW w:w="1843" w:type="dxa"/>
            <w:tcBorders>
              <w:top w:val="nil"/>
              <w:left w:val="nil"/>
              <w:bottom w:val="single" w:sz="4" w:space="0" w:color="auto"/>
              <w:right w:val="single" w:sz="4" w:space="0" w:color="auto"/>
            </w:tcBorders>
            <w:shd w:val="clear" w:color="auto" w:fill="auto"/>
            <w:noWrap/>
            <w:vAlign w:val="center"/>
            <w:hideMark/>
          </w:tcPr>
          <w:p w14:paraId="1D0B065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46 729 814,56</w:t>
            </w:r>
          </w:p>
        </w:tc>
        <w:tc>
          <w:tcPr>
            <w:tcW w:w="1984" w:type="dxa"/>
            <w:tcBorders>
              <w:top w:val="nil"/>
              <w:left w:val="nil"/>
              <w:bottom w:val="single" w:sz="4" w:space="0" w:color="auto"/>
              <w:right w:val="single" w:sz="4" w:space="0" w:color="auto"/>
            </w:tcBorders>
            <w:shd w:val="clear" w:color="auto" w:fill="auto"/>
            <w:noWrap/>
            <w:vAlign w:val="center"/>
            <w:hideMark/>
          </w:tcPr>
          <w:p w14:paraId="4AFE63D6"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34 677 956,29</w:t>
            </w:r>
          </w:p>
        </w:tc>
        <w:tc>
          <w:tcPr>
            <w:tcW w:w="1559" w:type="dxa"/>
            <w:tcBorders>
              <w:top w:val="nil"/>
              <w:left w:val="nil"/>
              <w:bottom w:val="single" w:sz="4" w:space="0" w:color="auto"/>
              <w:right w:val="single" w:sz="4" w:space="0" w:color="auto"/>
            </w:tcBorders>
            <w:shd w:val="clear" w:color="auto" w:fill="auto"/>
            <w:noWrap/>
            <w:vAlign w:val="center"/>
            <w:hideMark/>
          </w:tcPr>
          <w:p w14:paraId="1C48DFB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58446,43</w:t>
            </w:r>
          </w:p>
        </w:tc>
        <w:tc>
          <w:tcPr>
            <w:tcW w:w="1843" w:type="dxa"/>
            <w:tcBorders>
              <w:top w:val="nil"/>
              <w:left w:val="nil"/>
              <w:bottom w:val="single" w:sz="4" w:space="0" w:color="auto"/>
              <w:right w:val="single" w:sz="4" w:space="0" w:color="auto"/>
            </w:tcBorders>
            <w:shd w:val="clear" w:color="auto" w:fill="auto"/>
            <w:noWrap/>
            <w:vAlign w:val="center"/>
            <w:hideMark/>
          </w:tcPr>
          <w:p w14:paraId="32BC04B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12 051 858,27</w:t>
            </w:r>
          </w:p>
        </w:tc>
        <w:tc>
          <w:tcPr>
            <w:tcW w:w="1559" w:type="dxa"/>
            <w:tcBorders>
              <w:top w:val="nil"/>
              <w:left w:val="nil"/>
              <w:bottom w:val="single" w:sz="4" w:space="0" w:color="auto"/>
              <w:right w:val="single" w:sz="4" w:space="0" w:color="auto"/>
            </w:tcBorders>
            <w:shd w:val="clear" w:color="auto" w:fill="auto"/>
            <w:noWrap/>
            <w:vAlign w:val="center"/>
            <w:hideMark/>
          </w:tcPr>
          <w:p w14:paraId="720DBD04"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34,75</w:t>
            </w:r>
          </w:p>
        </w:tc>
        <w:tc>
          <w:tcPr>
            <w:tcW w:w="993" w:type="dxa"/>
            <w:tcBorders>
              <w:top w:val="nil"/>
              <w:left w:val="nil"/>
              <w:bottom w:val="single" w:sz="4" w:space="0" w:color="auto"/>
              <w:right w:val="single" w:sz="4" w:space="0" w:color="auto"/>
            </w:tcBorders>
            <w:shd w:val="clear" w:color="auto" w:fill="auto"/>
            <w:noWrap/>
            <w:vAlign w:val="center"/>
            <w:hideMark/>
          </w:tcPr>
          <w:p w14:paraId="141928CF"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799,53</w:t>
            </w:r>
          </w:p>
        </w:tc>
        <w:tc>
          <w:tcPr>
            <w:tcW w:w="1701" w:type="dxa"/>
            <w:tcBorders>
              <w:top w:val="nil"/>
              <w:left w:val="nil"/>
              <w:bottom w:val="single" w:sz="4" w:space="0" w:color="auto"/>
              <w:right w:val="single" w:sz="4" w:space="0" w:color="auto"/>
            </w:tcBorders>
            <w:shd w:val="clear" w:color="auto" w:fill="auto"/>
            <w:noWrap/>
            <w:vAlign w:val="center"/>
            <w:hideMark/>
          </w:tcPr>
          <w:p w14:paraId="243F4579"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593,33</w:t>
            </w:r>
          </w:p>
        </w:tc>
      </w:tr>
      <w:tr w:rsidR="00905E1F" w:rsidRPr="00AC3806" w14:paraId="28DC0D79"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1EB86B6"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Россошанский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339BB3F5"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1317</w:t>
            </w:r>
          </w:p>
        </w:tc>
        <w:tc>
          <w:tcPr>
            <w:tcW w:w="1843" w:type="dxa"/>
            <w:tcBorders>
              <w:top w:val="nil"/>
              <w:left w:val="nil"/>
              <w:bottom w:val="single" w:sz="4" w:space="0" w:color="auto"/>
              <w:right w:val="single" w:sz="4" w:space="0" w:color="auto"/>
            </w:tcBorders>
            <w:shd w:val="clear" w:color="auto" w:fill="auto"/>
            <w:noWrap/>
            <w:vAlign w:val="center"/>
            <w:hideMark/>
          </w:tcPr>
          <w:p w14:paraId="77538E8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620 048 306,00</w:t>
            </w:r>
          </w:p>
        </w:tc>
        <w:tc>
          <w:tcPr>
            <w:tcW w:w="1984" w:type="dxa"/>
            <w:tcBorders>
              <w:top w:val="nil"/>
              <w:left w:val="nil"/>
              <w:bottom w:val="single" w:sz="4" w:space="0" w:color="auto"/>
              <w:right w:val="single" w:sz="4" w:space="0" w:color="auto"/>
            </w:tcBorders>
            <w:shd w:val="clear" w:color="auto" w:fill="auto"/>
            <w:noWrap/>
            <w:vAlign w:val="center"/>
            <w:hideMark/>
          </w:tcPr>
          <w:p w14:paraId="5B909B2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643 296 575,14</w:t>
            </w:r>
          </w:p>
        </w:tc>
        <w:tc>
          <w:tcPr>
            <w:tcW w:w="1559" w:type="dxa"/>
            <w:tcBorders>
              <w:top w:val="nil"/>
              <w:left w:val="nil"/>
              <w:bottom w:val="single" w:sz="4" w:space="0" w:color="auto"/>
              <w:right w:val="single" w:sz="4" w:space="0" w:color="auto"/>
            </w:tcBorders>
            <w:shd w:val="clear" w:color="auto" w:fill="auto"/>
            <w:noWrap/>
            <w:vAlign w:val="center"/>
            <w:hideMark/>
          </w:tcPr>
          <w:p w14:paraId="559DF32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355479,9</w:t>
            </w:r>
          </w:p>
        </w:tc>
        <w:tc>
          <w:tcPr>
            <w:tcW w:w="1843" w:type="dxa"/>
            <w:tcBorders>
              <w:top w:val="nil"/>
              <w:left w:val="nil"/>
              <w:bottom w:val="single" w:sz="4" w:space="0" w:color="auto"/>
              <w:right w:val="single" w:sz="4" w:space="0" w:color="auto"/>
            </w:tcBorders>
            <w:shd w:val="clear" w:color="auto" w:fill="auto"/>
            <w:noWrap/>
            <w:vAlign w:val="center"/>
            <w:hideMark/>
          </w:tcPr>
          <w:p w14:paraId="2786D96B"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-23 248 269,14</w:t>
            </w:r>
          </w:p>
        </w:tc>
        <w:tc>
          <w:tcPr>
            <w:tcW w:w="1559" w:type="dxa"/>
            <w:tcBorders>
              <w:top w:val="nil"/>
              <w:left w:val="nil"/>
              <w:bottom w:val="single" w:sz="4" w:space="0" w:color="auto"/>
              <w:right w:val="single" w:sz="4" w:space="0" w:color="auto"/>
            </w:tcBorders>
            <w:shd w:val="clear" w:color="auto" w:fill="auto"/>
            <w:noWrap/>
            <w:vAlign w:val="center"/>
            <w:hideMark/>
          </w:tcPr>
          <w:p w14:paraId="7B4FB010"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-3,61</w:t>
            </w:r>
          </w:p>
        </w:tc>
        <w:tc>
          <w:tcPr>
            <w:tcW w:w="993" w:type="dxa"/>
            <w:tcBorders>
              <w:top w:val="nil"/>
              <w:left w:val="nil"/>
              <w:bottom w:val="single" w:sz="4" w:space="0" w:color="auto"/>
              <w:right w:val="single" w:sz="4" w:space="0" w:color="auto"/>
            </w:tcBorders>
            <w:shd w:val="clear" w:color="auto" w:fill="auto"/>
            <w:noWrap/>
            <w:vAlign w:val="center"/>
            <w:hideMark/>
          </w:tcPr>
          <w:p w14:paraId="3B225FFB"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1 744,26</w:t>
            </w:r>
          </w:p>
        </w:tc>
        <w:tc>
          <w:tcPr>
            <w:tcW w:w="1701" w:type="dxa"/>
            <w:tcBorders>
              <w:top w:val="nil"/>
              <w:left w:val="nil"/>
              <w:bottom w:val="single" w:sz="4" w:space="0" w:color="auto"/>
              <w:right w:val="single" w:sz="4" w:space="0" w:color="auto"/>
            </w:tcBorders>
            <w:shd w:val="clear" w:color="auto" w:fill="auto"/>
            <w:noWrap/>
            <w:vAlign w:val="center"/>
            <w:hideMark/>
          </w:tcPr>
          <w:p w14:paraId="30C8F7E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1 809,66</w:t>
            </w:r>
          </w:p>
        </w:tc>
      </w:tr>
      <w:tr w:rsidR="00905E1F" w:rsidRPr="00AC3806" w14:paraId="12CA498E"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CFDB4A6"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Семилукский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4C08080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2791</w:t>
            </w:r>
          </w:p>
        </w:tc>
        <w:tc>
          <w:tcPr>
            <w:tcW w:w="1843" w:type="dxa"/>
            <w:tcBorders>
              <w:top w:val="nil"/>
              <w:left w:val="nil"/>
              <w:bottom w:val="single" w:sz="4" w:space="0" w:color="auto"/>
              <w:right w:val="single" w:sz="4" w:space="0" w:color="auto"/>
            </w:tcBorders>
            <w:shd w:val="clear" w:color="auto" w:fill="auto"/>
            <w:noWrap/>
            <w:vAlign w:val="center"/>
            <w:hideMark/>
          </w:tcPr>
          <w:p w14:paraId="6B29494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532 155 309,95</w:t>
            </w:r>
          </w:p>
        </w:tc>
        <w:tc>
          <w:tcPr>
            <w:tcW w:w="1984" w:type="dxa"/>
            <w:tcBorders>
              <w:top w:val="nil"/>
              <w:left w:val="nil"/>
              <w:bottom w:val="single" w:sz="4" w:space="0" w:color="auto"/>
              <w:right w:val="single" w:sz="4" w:space="0" w:color="auto"/>
            </w:tcBorders>
            <w:shd w:val="clear" w:color="auto" w:fill="auto"/>
            <w:noWrap/>
            <w:vAlign w:val="center"/>
            <w:hideMark/>
          </w:tcPr>
          <w:p w14:paraId="29EC832E"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486 850 905,51</w:t>
            </w:r>
          </w:p>
        </w:tc>
        <w:tc>
          <w:tcPr>
            <w:tcW w:w="1559" w:type="dxa"/>
            <w:tcBorders>
              <w:top w:val="nil"/>
              <w:left w:val="nil"/>
              <w:bottom w:val="single" w:sz="4" w:space="0" w:color="auto"/>
              <w:right w:val="single" w:sz="4" w:space="0" w:color="auto"/>
            </w:tcBorders>
            <w:shd w:val="clear" w:color="auto" w:fill="auto"/>
            <w:noWrap/>
            <w:vAlign w:val="center"/>
            <w:hideMark/>
          </w:tcPr>
          <w:p w14:paraId="71714EA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299800,6</w:t>
            </w:r>
          </w:p>
        </w:tc>
        <w:tc>
          <w:tcPr>
            <w:tcW w:w="1843" w:type="dxa"/>
            <w:tcBorders>
              <w:top w:val="nil"/>
              <w:left w:val="nil"/>
              <w:bottom w:val="single" w:sz="4" w:space="0" w:color="auto"/>
              <w:right w:val="single" w:sz="4" w:space="0" w:color="auto"/>
            </w:tcBorders>
            <w:shd w:val="clear" w:color="auto" w:fill="auto"/>
            <w:noWrap/>
            <w:vAlign w:val="center"/>
            <w:hideMark/>
          </w:tcPr>
          <w:p w14:paraId="22E35FCB"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45 304 404,44</w:t>
            </w:r>
          </w:p>
        </w:tc>
        <w:tc>
          <w:tcPr>
            <w:tcW w:w="1559" w:type="dxa"/>
            <w:tcBorders>
              <w:top w:val="nil"/>
              <w:left w:val="nil"/>
              <w:bottom w:val="single" w:sz="4" w:space="0" w:color="auto"/>
              <w:right w:val="single" w:sz="4" w:space="0" w:color="auto"/>
            </w:tcBorders>
            <w:shd w:val="clear" w:color="auto" w:fill="auto"/>
            <w:noWrap/>
            <w:vAlign w:val="center"/>
            <w:hideMark/>
          </w:tcPr>
          <w:p w14:paraId="07DEC3CB"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9,31</w:t>
            </w:r>
          </w:p>
        </w:tc>
        <w:tc>
          <w:tcPr>
            <w:tcW w:w="993" w:type="dxa"/>
            <w:tcBorders>
              <w:top w:val="nil"/>
              <w:left w:val="nil"/>
              <w:bottom w:val="single" w:sz="4" w:space="0" w:color="auto"/>
              <w:right w:val="single" w:sz="4" w:space="0" w:color="auto"/>
            </w:tcBorders>
            <w:shd w:val="clear" w:color="auto" w:fill="auto"/>
            <w:noWrap/>
            <w:vAlign w:val="center"/>
            <w:hideMark/>
          </w:tcPr>
          <w:p w14:paraId="0809FC7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1 775,03</w:t>
            </w:r>
          </w:p>
        </w:tc>
        <w:tc>
          <w:tcPr>
            <w:tcW w:w="1701" w:type="dxa"/>
            <w:tcBorders>
              <w:top w:val="nil"/>
              <w:left w:val="nil"/>
              <w:bottom w:val="single" w:sz="4" w:space="0" w:color="auto"/>
              <w:right w:val="single" w:sz="4" w:space="0" w:color="auto"/>
            </w:tcBorders>
            <w:shd w:val="clear" w:color="auto" w:fill="auto"/>
            <w:noWrap/>
            <w:vAlign w:val="center"/>
            <w:hideMark/>
          </w:tcPr>
          <w:p w14:paraId="02264FA6"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1 623,92</w:t>
            </w:r>
          </w:p>
        </w:tc>
      </w:tr>
      <w:tr w:rsidR="00905E1F" w:rsidRPr="00AC3806" w14:paraId="3E6D48F4"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574938B"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Таловский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144D2CDE"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162</w:t>
            </w:r>
          </w:p>
        </w:tc>
        <w:tc>
          <w:tcPr>
            <w:tcW w:w="1843" w:type="dxa"/>
            <w:tcBorders>
              <w:top w:val="nil"/>
              <w:left w:val="nil"/>
              <w:bottom w:val="single" w:sz="4" w:space="0" w:color="auto"/>
              <w:right w:val="single" w:sz="4" w:space="0" w:color="auto"/>
            </w:tcBorders>
            <w:shd w:val="clear" w:color="auto" w:fill="auto"/>
            <w:noWrap/>
            <w:vAlign w:val="center"/>
            <w:hideMark/>
          </w:tcPr>
          <w:p w14:paraId="6FBEED61"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108 188 023,92</w:t>
            </w:r>
          </w:p>
        </w:tc>
        <w:tc>
          <w:tcPr>
            <w:tcW w:w="1984" w:type="dxa"/>
            <w:tcBorders>
              <w:top w:val="nil"/>
              <w:left w:val="nil"/>
              <w:bottom w:val="single" w:sz="4" w:space="0" w:color="auto"/>
              <w:right w:val="single" w:sz="4" w:space="0" w:color="auto"/>
            </w:tcBorders>
            <w:shd w:val="clear" w:color="auto" w:fill="auto"/>
            <w:noWrap/>
            <w:vAlign w:val="center"/>
            <w:hideMark/>
          </w:tcPr>
          <w:p w14:paraId="0AA58CF1"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120 250 861,28</w:t>
            </w:r>
          </w:p>
        </w:tc>
        <w:tc>
          <w:tcPr>
            <w:tcW w:w="1559" w:type="dxa"/>
            <w:tcBorders>
              <w:top w:val="nil"/>
              <w:left w:val="nil"/>
              <w:bottom w:val="single" w:sz="4" w:space="0" w:color="auto"/>
              <w:right w:val="single" w:sz="4" w:space="0" w:color="auto"/>
            </w:tcBorders>
            <w:shd w:val="clear" w:color="auto" w:fill="auto"/>
            <w:noWrap/>
            <w:vAlign w:val="center"/>
            <w:hideMark/>
          </w:tcPr>
          <w:p w14:paraId="0C1C9FD8"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176595,73</w:t>
            </w:r>
          </w:p>
        </w:tc>
        <w:tc>
          <w:tcPr>
            <w:tcW w:w="1843" w:type="dxa"/>
            <w:tcBorders>
              <w:top w:val="nil"/>
              <w:left w:val="nil"/>
              <w:bottom w:val="single" w:sz="4" w:space="0" w:color="auto"/>
              <w:right w:val="single" w:sz="4" w:space="0" w:color="auto"/>
            </w:tcBorders>
            <w:shd w:val="clear" w:color="auto" w:fill="auto"/>
            <w:noWrap/>
            <w:vAlign w:val="center"/>
            <w:hideMark/>
          </w:tcPr>
          <w:p w14:paraId="412CCDF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-12 062 837,36</w:t>
            </w:r>
          </w:p>
        </w:tc>
        <w:tc>
          <w:tcPr>
            <w:tcW w:w="1559" w:type="dxa"/>
            <w:tcBorders>
              <w:top w:val="nil"/>
              <w:left w:val="nil"/>
              <w:bottom w:val="single" w:sz="4" w:space="0" w:color="auto"/>
              <w:right w:val="single" w:sz="4" w:space="0" w:color="auto"/>
            </w:tcBorders>
            <w:shd w:val="clear" w:color="auto" w:fill="auto"/>
            <w:noWrap/>
            <w:vAlign w:val="center"/>
            <w:hideMark/>
          </w:tcPr>
          <w:p w14:paraId="6EE6C59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-10,03</w:t>
            </w:r>
          </w:p>
        </w:tc>
        <w:tc>
          <w:tcPr>
            <w:tcW w:w="993" w:type="dxa"/>
            <w:tcBorders>
              <w:top w:val="nil"/>
              <w:left w:val="nil"/>
              <w:bottom w:val="single" w:sz="4" w:space="0" w:color="auto"/>
              <w:right w:val="single" w:sz="4" w:space="0" w:color="auto"/>
            </w:tcBorders>
            <w:shd w:val="clear" w:color="auto" w:fill="auto"/>
            <w:noWrap/>
            <w:vAlign w:val="center"/>
            <w:hideMark/>
          </w:tcPr>
          <w:p w14:paraId="2637F10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612,63</w:t>
            </w:r>
          </w:p>
        </w:tc>
        <w:tc>
          <w:tcPr>
            <w:tcW w:w="1701" w:type="dxa"/>
            <w:tcBorders>
              <w:top w:val="nil"/>
              <w:left w:val="nil"/>
              <w:bottom w:val="single" w:sz="4" w:space="0" w:color="auto"/>
              <w:right w:val="single" w:sz="4" w:space="0" w:color="auto"/>
            </w:tcBorders>
            <w:shd w:val="clear" w:color="auto" w:fill="auto"/>
            <w:noWrap/>
            <w:vAlign w:val="center"/>
            <w:hideMark/>
          </w:tcPr>
          <w:p w14:paraId="4B275178"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680,94</w:t>
            </w:r>
          </w:p>
        </w:tc>
      </w:tr>
      <w:tr w:rsidR="00905E1F" w:rsidRPr="00AC3806" w14:paraId="22AB4170"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19482C0"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Терновский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3968A584"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65</w:t>
            </w:r>
          </w:p>
        </w:tc>
        <w:tc>
          <w:tcPr>
            <w:tcW w:w="1843" w:type="dxa"/>
            <w:tcBorders>
              <w:top w:val="nil"/>
              <w:left w:val="nil"/>
              <w:bottom w:val="single" w:sz="4" w:space="0" w:color="auto"/>
              <w:right w:val="single" w:sz="4" w:space="0" w:color="auto"/>
            </w:tcBorders>
            <w:shd w:val="clear" w:color="auto" w:fill="auto"/>
            <w:noWrap/>
            <w:vAlign w:val="center"/>
            <w:hideMark/>
          </w:tcPr>
          <w:p w14:paraId="7EA28168"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17 067 104,44</w:t>
            </w:r>
          </w:p>
        </w:tc>
        <w:tc>
          <w:tcPr>
            <w:tcW w:w="1984" w:type="dxa"/>
            <w:tcBorders>
              <w:top w:val="nil"/>
              <w:left w:val="nil"/>
              <w:bottom w:val="single" w:sz="4" w:space="0" w:color="auto"/>
              <w:right w:val="single" w:sz="4" w:space="0" w:color="auto"/>
            </w:tcBorders>
            <w:shd w:val="clear" w:color="auto" w:fill="auto"/>
            <w:noWrap/>
            <w:vAlign w:val="center"/>
            <w:hideMark/>
          </w:tcPr>
          <w:p w14:paraId="3B4B70E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21 697 102,22</w:t>
            </w:r>
          </w:p>
        </w:tc>
        <w:tc>
          <w:tcPr>
            <w:tcW w:w="1559" w:type="dxa"/>
            <w:tcBorders>
              <w:top w:val="nil"/>
              <w:left w:val="nil"/>
              <w:bottom w:val="single" w:sz="4" w:space="0" w:color="auto"/>
              <w:right w:val="single" w:sz="4" w:space="0" w:color="auto"/>
            </w:tcBorders>
            <w:shd w:val="clear" w:color="auto" w:fill="auto"/>
            <w:noWrap/>
            <w:vAlign w:val="center"/>
            <w:hideMark/>
          </w:tcPr>
          <w:p w14:paraId="583682E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29835,7</w:t>
            </w:r>
          </w:p>
        </w:tc>
        <w:tc>
          <w:tcPr>
            <w:tcW w:w="1843" w:type="dxa"/>
            <w:tcBorders>
              <w:top w:val="nil"/>
              <w:left w:val="nil"/>
              <w:bottom w:val="single" w:sz="4" w:space="0" w:color="auto"/>
              <w:right w:val="single" w:sz="4" w:space="0" w:color="auto"/>
            </w:tcBorders>
            <w:shd w:val="clear" w:color="auto" w:fill="auto"/>
            <w:noWrap/>
            <w:vAlign w:val="center"/>
            <w:hideMark/>
          </w:tcPr>
          <w:p w14:paraId="3E492BA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-4 629 997,78</w:t>
            </w:r>
          </w:p>
        </w:tc>
        <w:tc>
          <w:tcPr>
            <w:tcW w:w="1559" w:type="dxa"/>
            <w:tcBorders>
              <w:top w:val="nil"/>
              <w:left w:val="nil"/>
              <w:bottom w:val="single" w:sz="4" w:space="0" w:color="auto"/>
              <w:right w:val="single" w:sz="4" w:space="0" w:color="auto"/>
            </w:tcBorders>
            <w:shd w:val="clear" w:color="auto" w:fill="auto"/>
            <w:noWrap/>
            <w:vAlign w:val="center"/>
            <w:hideMark/>
          </w:tcPr>
          <w:p w14:paraId="181CFEBD"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-21,34</w:t>
            </w:r>
          </w:p>
        </w:tc>
        <w:tc>
          <w:tcPr>
            <w:tcW w:w="993" w:type="dxa"/>
            <w:tcBorders>
              <w:top w:val="nil"/>
              <w:left w:val="nil"/>
              <w:bottom w:val="single" w:sz="4" w:space="0" w:color="auto"/>
              <w:right w:val="single" w:sz="4" w:space="0" w:color="auto"/>
            </w:tcBorders>
            <w:shd w:val="clear" w:color="auto" w:fill="auto"/>
            <w:noWrap/>
            <w:vAlign w:val="center"/>
            <w:hideMark/>
          </w:tcPr>
          <w:p w14:paraId="2B65544E"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572,04</w:t>
            </w:r>
          </w:p>
        </w:tc>
        <w:tc>
          <w:tcPr>
            <w:tcW w:w="1701" w:type="dxa"/>
            <w:tcBorders>
              <w:top w:val="nil"/>
              <w:left w:val="nil"/>
              <w:bottom w:val="single" w:sz="4" w:space="0" w:color="auto"/>
              <w:right w:val="single" w:sz="4" w:space="0" w:color="auto"/>
            </w:tcBorders>
            <w:shd w:val="clear" w:color="auto" w:fill="auto"/>
            <w:noWrap/>
            <w:vAlign w:val="center"/>
            <w:hideMark/>
          </w:tcPr>
          <w:p w14:paraId="695FFE4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727,22</w:t>
            </w:r>
          </w:p>
        </w:tc>
      </w:tr>
      <w:tr w:rsidR="00905E1F" w:rsidRPr="00AC3806" w14:paraId="0E3B694A"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EFA3663"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Хохольский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00053F7F"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397</w:t>
            </w:r>
          </w:p>
        </w:tc>
        <w:tc>
          <w:tcPr>
            <w:tcW w:w="1843" w:type="dxa"/>
            <w:tcBorders>
              <w:top w:val="nil"/>
              <w:left w:val="nil"/>
              <w:bottom w:val="single" w:sz="4" w:space="0" w:color="auto"/>
              <w:right w:val="single" w:sz="4" w:space="0" w:color="auto"/>
            </w:tcBorders>
            <w:shd w:val="clear" w:color="auto" w:fill="auto"/>
            <w:noWrap/>
            <w:vAlign w:val="center"/>
            <w:hideMark/>
          </w:tcPr>
          <w:p w14:paraId="6461A235"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105 764 838,77</w:t>
            </w:r>
          </w:p>
        </w:tc>
        <w:tc>
          <w:tcPr>
            <w:tcW w:w="1984" w:type="dxa"/>
            <w:tcBorders>
              <w:top w:val="nil"/>
              <w:left w:val="nil"/>
              <w:bottom w:val="single" w:sz="4" w:space="0" w:color="auto"/>
              <w:right w:val="single" w:sz="4" w:space="0" w:color="auto"/>
            </w:tcBorders>
            <w:shd w:val="clear" w:color="auto" w:fill="auto"/>
            <w:noWrap/>
            <w:vAlign w:val="center"/>
            <w:hideMark/>
          </w:tcPr>
          <w:p w14:paraId="1098B881"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43 523 572,99</w:t>
            </w:r>
          </w:p>
        </w:tc>
        <w:tc>
          <w:tcPr>
            <w:tcW w:w="1559" w:type="dxa"/>
            <w:tcBorders>
              <w:top w:val="nil"/>
              <w:left w:val="nil"/>
              <w:bottom w:val="single" w:sz="4" w:space="0" w:color="auto"/>
              <w:right w:val="single" w:sz="4" w:space="0" w:color="auto"/>
            </w:tcBorders>
            <w:shd w:val="clear" w:color="auto" w:fill="auto"/>
            <w:noWrap/>
            <w:vAlign w:val="center"/>
            <w:hideMark/>
          </w:tcPr>
          <w:p w14:paraId="4DEAE7C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88794,32</w:t>
            </w:r>
          </w:p>
        </w:tc>
        <w:tc>
          <w:tcPr>
            <w:tcW w:w="1843" w:type="dxa"/>
            <w:tcBorders>
              <w:top w:val="nil"/>
              <w:left w:val="nil"/>
              <w:bottom w:val="single" w:sz="4" w:space="0" w:color="auto"/>
              <w:right w:val="single" w:sz="4" w:space="0" w:color="auto"/>
            </w:tcBorders>
            <w:shd w:val="clear" w:color="auto" w:fill="auto"/>
            <w:noWrap/>
            <w:vAlign w:val="center"/>
            <w:hideMark/>
          </w:tcPr>
          <w:p w14:paraId="47C9CE79"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62 241 265,78</w:t>
            </w:r>
          </w:p>
        </w:tc>
        <w:tc>
          <w:tcPr>
            <w:tcW w:w="1559" w:type="dxa"/>
            <w:tcBorders>
              <w:top w:val="nil"/>
              <w:left w:val="nil"/>
              <w:bottom w:val="single" w:sz="4" w:space="0" w:color="auto"/>
              <w:right w:val="single" w:sz="4" w:space="0" w:color="auto"/>
            </w:tcBorders>
            <w:shd w:val="clear" w:color="auto" w:fill="auto"/>
            <w:noWrap/>
            <w:vAlign w:val="center"/>
            <w:hideMark/>
          </w:tcPr>
          <w:p w14:paraId="2402DF5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143,01</w:t>
            </w:r>
          </w:p>
        </w:tc>
        <w:tc>
          <w:tcPr>
            <w:tcW w:w="993" w:type="dxa"/>
            <w:tcBorders>
              <w:top w:val="nil"/>
              <w:left w:val="nil"/>
              <w:bottom w:val="single" w:sz="4" w:space="0" w:color="auto"/>
              <w:right w:val="single" w:sz="4" w:space="0" w:color="auto"/>
            </w:tcBorders>
            <w:shd w:val="clear" w:color="auto" w:fill="auto"/>
            <w:noWrap/>
            <w:vAlign w:val="center"/>
            <w:hideMark/>
          </w:tcPr>
          <w:p w14:paraId="1D3F9960"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1 191,12</w:t>
            </w:r>
          </w:p>
        </w:tc>
        <w:tc>
          <w:tcPr>
            <w:tcW w:w="1701" w:type="dxa"/>
            <w:tcBorders>
              <w:top w:val="nil"/>
              <w:left w:val="nil"/>
              <w:bottom w:val="single" w:sz="4" w:space="0" w:color="auto"/>
              <w:right w:val="single" w:sz="4" w:space="0" w:color="auto"/>
            </w:tcBorders>
            <w:shd w:val="clear" w:color="auto" w:fill="auto"/>
            <w:noWrap/>
            <w:vAlign w:val="center"/>
            <w:hideMark/>
          </w:tcPr>
          <w:p w14:paraId="2BEBC04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490,16</w:t>
            </w:r>
          </w:p>
        </w:tc>
      </w:tr>
      <w:tr w:rsidR="00905E1F" w:rsidRPr="00AC3806" w14:paraId="519CE4BF"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842F009"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Эртильский муниципальный район</w:t>
            </w:r>
          </w:p>
        </w:tc>
        <w:tc>
          <w:tcPr>
            <w:tcW w:w="1417" w:type="dxa"/>
            <w:tcBorders>
              <w:top w:val="nil"/>
              <w:left w:val="nil"/>
              <w:bottom w:val="single" w:sz="4" w:space="0" w:color="auto"/>
              <w:right w:val="single" w:sz="4" w:space="0" w:color="auto"/>
            </w:tcBorders>
            <w:shd w:val="clear" w:color="auto" w:fill="auto"/>
            <w:noWrap/>
            <w:vAlign w:val="center"/>
            <w:hideMark/>
          </w:tcPr>
          <w:p w14:paraId="5AFF4CEE"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59</w:t>
            </w:r>
          </w:p>
        </w:tc>
        <w:tc>
          <w:tcPr>
            <w:tcW w:w="1843" w:type="dxa"/>
            <w:tcBorders>
              <w:top w:val="nil"/>
              <w:left w:val="nil"/>
              <w:bottom w:val="single" w:sz="4" w:space="0" w:color="auto"/>
              <w:right w:val="single" w:sz="4" w:space="0" w:color="auto"/>
            </w:tcBorders>
            <w:shd w:val="clear" w:color="auto" w:fill="auto"/>
            <w:noWrap/>
            <w:vAlign w:val="center"/>
            <w:hideMark/>
          </w:tcPr>
          <w:p w14:paraId="0F372121"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17 555 810,64</w:t>
            </w:r>
          </w:p>
        </w:tc>
        <w:tc>
          <w:tcPr>
            <w:tcW w:w="1984" w:type="dxa"/>
            <w:tcBorders>
              <w:top w:val="nil"/>
              <w:left w:val="nil"/>
              <w:bottom w:val="single" w:sz="4" w:space="0" w:color="auto"/>
              <w:right w:val="single" w:sz="4" w:space="0" w:color="auto"/>
            </w:tcBorders>
            <w:shd w:val="clear" w:color="auto" w:fill="auto"/>
            <w:noWrap/>
            <w:vAlign w:val="center"/>
            <w:hideMark/>
          </w:tcPr>
          <w:p w14:paraId="50FE9A39"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17 409 242,86</w:t>
            </w:r>
          </w:p>
        </w:tc>
        <w:tc>
          <w:tcPr>
            <w:tcW w:w="1559" w:type="dxa"/>
            <w:tcBorders>
              <w:top w:val="nil"/>
              <w:left w:val="nil"/>
              <w:bottom w:val="single" w:sz="4" w:space="0" w:color="auto"/>
              <w:right w:val="single" w:sz="4" w:space="0" w:color="auto"/>
            </w:tcBorders>
            <w:shd w:val="clear" w:color="auto" w:fill="auto"/>
            <w:noWrap/>
            <w:vAlign w:val="center"/>
            <w:hideMark/>
          </w:tcPr>
          <w:p w14:paraId="526F4F21"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14039,93</w:t>
            </w:r>
          </w:p>
        </w:tc>
        <w:tc>
          <w:tcPr>
            <w:tcW w:w="1843" w:type="dxa"/>
            <w:tcBorders>
              <w:top w:val="nil"/>
              <w:left w:val="nil"/>
              <w:bottom w:val="single" w:sz="4" w:space="0" w:color="auto"/>
              <w:right w:val="single" w:sz="4" w:space="0" w:color="auto"/>
            </w:tcBorders>
            <w:shd w:val="clear" w:color="auto" w:fill="auto"/>
            <w:noWrap/>
            <w:vAlign w:val="center"/>
            <w:hideMark/>
          </w:tcPr>
          <w:p w14:paraId="133B7756"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146 567,78</w:t>
            </w:r>
          </w:p>
        </w:tc>
        <w:tc>
          <w:tcPr>
            <w:tcW w:w="1559" w:type="dxa"/>
            <w:tcBorders>
              <w:top w:val="nil"/>
              <w:left w:val="nil"/>
              <w:bottom w:val="single" w:sz="4" w:space="0" w:color="auto"/>
              <w:right w:val="single" w:sz="4" w:space="0" w:color="auto"/>
            </w:tcBorders>
            <w:shd w:val="clear" w:color="auto" w:fill="auto"/>
            <w:noWrap/>
            <w:vAlign w:val="center"/>
            <w:hideMark/>
          </w:tcPr>
          <w:p w14:paraId="6B5DE99E"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0,84</w:t>
            </w:r>
          </w:p>
        </w:tc>
        <w:tc>
          <w:tcPr>
            <w:tcW w:w="993" w:type="dxa"/>
            <w:tcBorders>
              <w:top w:val="nil"/>
              <w:left w:val="nil"/>
              <w:bottom w:val="single" w:sz="4" w:space="0" w:color="auto"/>
              <w:right w:val="single" w:sz="4" w:space="0" w:color="auto"/>
            </w:tcBorders>
            <w:shd w:val="clear" w:color="auto" w:fill="auto"/>
            <w:noWrap/>
            <w:vAlign w:val="center"/>
            <w:hideMark/>
          </w:tcPr>
          <w:p w14:paraId="0CD84844"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1 250,42</w:t>
            </w:r>
          </w:p>
        </w:tc>
        <w:tc>
          <w:tcPr>
            <w:tcW w:w="1701" w:type="dxa"/>
            <w:tcBorders>
              <w:top w:val="nil"/>
              <w:left w:val="nil"/>
              <w:bottom w:val="single" w:sz="4" w:space="0" w:color="auto"/>
              <w:right w:val="single" w:sz="4" w:space="0" w:color="auto"/>
            </w:tcBorders>
            <w:shd w:val="clear" w:color="auto" w:fill="auto"/>
            <w:noWrap/>
            <w:vAlign w:val="center"/>
            <w:hideMark/>
          </w:tcPr>
          <w:p w14:paraId="6059018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1 239,98</w:t>
            </w:r>
          </w:p>
        </w:tc>
      </w:tr>
      <w:tr w:rsidR="00905E1F" w:rsidRPr="00AC3806" w14:paraId="409384F3"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B005685"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 город Воронеж</w:t>
            </w:r>
          </w:p>
        </w:tc>
        <w:tc>
          <w:tcPr>
            <w:tcW w:w="1417" w:type="dxa"/>
            <w:tcBorders>
              <w:top w:val="nil"/>
              <w:left w:val="nil"/>
              <w:bottom w:val="single" w:sz="4" w:space="0" w:color="auto"/>
              <w:right w:val="single" w:sz="4" w:space="0" w:color="auto"/>
            </w:tcBorders>
            <w:shd w:val="clear" w:color="auto" w:fill="auto"/>
            <w:noWrap/>
            <w:vAlign w:val="center"/>
            <w:hideMark/>
          </w:tcPr>
          <w:p w14:paraId="2703EBB5"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2797</w:t>
            </w:r>
          </w:p>
        </w:tc>
        <w:tc>
          <w:tcPr>
            <w:tcW w:w="1843" w:type="dxa"/>
            <w:tcBorders>
              <w:top w:val="nil"/>
              <w:left w:val="nil"/>
              <w:bottom w:val="single" w:sz="4" w:space="0" w:color="auto"/>
              <w:right w:val="single" w:sz="4" w:space="0" w:color="auto"/>
            </w:tcBorders>
            <w:shd w:val="clear" w:color="auto" w:fill="auto"/>
            <w:noWrap/>
            <w:vAlign w:val="center"/>
            <w:hideMark/>
          </w:tcPr>
          <w:p w14:paraId="5C764BDB" w14:textId="77777777" w:rsidR="00905E1F" w:rsidRPr="00AC3806" w:rsidRDefault="00905E1F" w:rsidP="00C749ED">
            <w:pPr>
              <w:spacing w:after="0" w:line="240" w:lineRule="auto"/>
              <w:ind w:hanging="107"/>
              <w:jc w:val="center"/>
              <w:rPr>
                <w:rFonts w:ascii="Times New Roman" w:eastAsia="Times New Roman" w:hAnsi="Times New Roman" w:cs="Times New Roman"/>
                <w:sz w:val="20"/>
                <w:lang w:eastAsia="ru-RU"/>
              </w:rPr>
            </w:pPr>
            <w:r w:rsidRPr="00AC3806">
              <w:rPr>
                <w:rFonts w:ascii="Times New Roman" w:hAnsi="Times New Roman" w:cs="Times New Roman"/>
                <w:sz w:val="20"/>
              </w:rPr>
              <w:t>18 244 672 982,59</w:t>
            </w:r>
          </w:p>
        </w:tc>
        <w:tc>
          <w:tcPr>
            <w:tcW w:w="1984" w:type="dxa"/>
            <w:tcBorders>
              <w:top w:val="nil"/>
              <w:left w:val="nil"/>
              <w:bottom w:val="single" w:sz="4" w:space="0" w:color="auto"/>
              <w:right w:val="single" w:sz="4" w:space="0" w:color="auto"/>
            </w:tcBorders>
            <w:shd w:val="clear" w:color="auto" w:fill="auto"/>
            <w:noWrap/>
            <w:vAlign w:val="center"/>
            <w:hideMark/>
          </w:tcPr>
          <w:p w14:paraId="4148E6E0"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16 196 983 777,57</w:t>
            </w:r>
          </w:p>
        </w:tc>
        <w:tc>
          <w:tcPr>
            <w:tcW w:w="1559" w:type="dxa"/>
            <w:tcBorders>
              <w:top w:val="nil"/>
              <w:left w:val="nil"/>
              <w:bottom w:val="single" w:sz="4" w:space="0" w:color="auto"/>
              <w:right w:val="single" w:sz="4" w:space="0" w:color="auto"/>
            </w:tcBorders>
            <w:shd w:val="clear" w:color="auto" w:fill="auto"/>
            <w:noWrap/>
            <w:vAlign w:val="center"/>
            <w:hideMark/>
          </w:tcPr>
          <w:p w14:paraId="24CE02CF"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5751405,64</w:t>
            </w:r>
          </w:p>
        </w:tc>
        <w:tc>
          <w:tcPr>
            <w:tcW w:w="1843" w:type="dxa"/>
            <w:tcBorders>
              <w:top w:val="nil"/>
              <w:left w:val="nil"/>
              <w:bottom w:val="single" w:sz="4" w:space="0" w:color="auto"/>
              <w:right w:val="single" w:sz="4" w:space="0" w:color="auto"/>
            </w:tcBorders>
            <w:shd w:val="clear" w:color="auto" w:fill="auto"/>
            <w:noWrap/>
            <w:vAlign w:val="center"/>
            <w:hideMark/>
          </w:tcPr>
          <w:p w14:paraId="0E4E741A"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2 047 689 205,02</w:t>
            </w:r>
          </w:p>
        </w:tc>
        <w:tc>
          <w:tcPr>
            <w:tcW w:w="1559" w:type="dxa"/>
            <w:tcBorders>
              <w:top w:val="nil"/>
              <w:left w:val="nil"/>
              <w:bottom w:val="single" w:sz="4" w:space="0" w:color="auto"/>
              <w:right w:val="single" w:sz="4" w:space="0" w:color="auto"/>
            </w:tcBorders>
            <w:shd w:val="clear" w:color="auto" w:fill="auto"/>
            <w:noWrap/>
            <w:vAlign w:val="center"/>
            <w:hideMark/>
          </w:tcPr>
          <w:p w14:paraId="72C8C60F"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12,64</w:t>
            </w:r>
          </w:p>
        </w:tc>
        <w:tc>
          <w:tcPr>
            <w:tcW w:w="993" w:type="dxa"/>
            <w:tcBorders>
              <w:top w:val="nil"/>
              <w:left w:val="nil"/>
              <w:bottom w:val="single" w:sz="4" w:space="0" w:color="auto"/>
              <w:right w:val="single" w:sz="4" w:space="0" w:color="auto"/>
            </w:tcBorders>
            <w:shd w:val="clear" w:color="auto" w:fill="auto"/>
            <w:noWrap/>
            <w:vAlign w:val="center"/>
            <w:hideMark/>
          </w:tcPr>
          <w:p w14:paraId="1B632BA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3 172,21</w:t>
            </w:r>
          </w:p>
        </w:tc>
        <w:tc>
          <w:tcPr>
            <w:tcW w:w="1701" w:type="dxa"/>
            <w:tcBorders>
              <w:top w:val="nil"/>
              <w:left w:val="nil"/>
              <w:bottom w:val="single" w:sz="4" w:space="0" w:color="auto"/>
              <w:right w:val="single" w:sz="4" w:space="0" w:color="auto"/>
            </w:tcBorders>
            <w:shd w:val="clear" w:color="auto" w:fill="auto"/>
            <w:noWrap/>
            <w:vAlign w:val="center"/>
            <w:hideMark/>
          </w:tcPr>
          <w:p w14:paraId="468D94D5"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2 816,18</w:t>
            </w:r>
          </w:p>
        </w:tc>
      </w:tr>
      <w:tr w:rsidR="00905E1F" w:rsidRPr="00AC3806" w14:paraId="2B37E975"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6602262"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 Борисоглебский</w:t>
            </w:r>
          </w:p>
        </w:tc>
        <w:tc>
          <w:tcPr>
            <w:tcW w:w="1417" w:type="dxa"/>
            <w:tcBorders>
              <w:top w:val="nil"/>
              <w:left w:val="nil"/>
              <w:bottom w:val="single" w:sz="4" w:space="0" w:color="auto"/>
              <w:right w:val="single" w:sz="4" w:space="0" w:color="auto"/>
            </w:tcBorders>
            <w:shd w:val="clear" w:color="auto" w:fill="auto"/>
            <w:noWrap/>
            <w:vAlign w:val="center"/>
            <w:hideMark/>
          </w:tcPr>
          <w:p w14:paraId="61140E1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268</w:t>
            </w:r>
          </w:p>
        </w:tc>
        <w:tc>
          <w:tcPr>
            <w:tcW w:w="1843" w:type="dxa"/>
            <w:tcBorders>
              <w:top w:val="nil"/>
              <w:left w:val="nil"/>
              <w:bottom w:val="single" w:sz="4" w:space="0" w:color="auto"/>
              <w:right w:val="single" w:sz="4" w:space="0" w:color="auto"/>
            </w:tcBorders>
            <w:shd w:val="clear" w:color="auto" w:fill="auto"/>
            <w:noWrap/>
            <w:vAlign w:val="center"/>
            <w:hideMark/>
          </w:tcPr>
          <w:p w14:paraId="596CCE2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732 724 073,77</w:t>
            </w:r>
          </w:p>
        </w:tc>
        <w:tc>
          <w:tcPr>
            <w:tcW w:w="1984" w:type="dxa"/>
            <w:tcBorders>
              <w:top w:val="nil"/>
              <w:left w:val="nil"/>
              <w:bottom w:val="single" w:sz="4" w:space="0" w:color="auto"/>
              <w:right w:val="single" w:sz="4" w:space="0" w:color="auto"/>
            </w:tcBorders>
            <w:shd w:val="clear" w:color="auto" w:fill="auto"/>
            <w:noWrap/>
            <w:vAlign w:val="center"/>
            <w:hideMark/>
          </w:tcPr>
          <w:p w14:paraId="3E2CE962"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661 582 025,16</w:t>
            </w:r>
          </w:p>
        </w:tc>
        <w:tc>
          <w:tcPr>
            <w:tcW w:w="1559" w:type="dxa"/>
            <w:tcBorders>
              <w:top w:val="nil"/>
              <w:left w:val="nil"/>
              <w:bottom w:val="single" w:sz="4" w:space="0" w:color="auto"/>
              <w:right w:val="single" w:sz="4" w:space="0" w:color="auto"/>
            </w:tcBorders>
            <w:shd w:val="clear" w:color="auto" w:fill="auto"/>
            <w:noWrap/>
            <w:vAlign w:val="center"/>
            <w:hideMark/>
          </w:tcPr>
          <w:p w14:paraId="5C02382E"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446244,08</w:t>
            </w:r>
          </w:p>
        </w:tc>
        <w:tc>
          <w:tcPr>
            <w:tcW w:w="1843" w:type="dxa"/>
            <w:tcBorders>
              <w:top w:val="nil"/>
              <w:left w:val="nil"/>
              <w:bottom w:val="single" w:sz="4" w:space="0" w:color="auto"/>
              <w:right w:val="single" w:sz="4" w:space="0" w:color="auto"/>
            </w:tcBorders>
            <w:shd w:val="clear" w:color="auto" w:fill="auto"/>
            <w:noWrap/>
            <w:vAlign w:val="center"/>
            <w:hideMark/>
          </w:tcPr>
          <w:p w14:paraId="5C3225E9"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71 142 048,61</w:t>
            </w:r>
          </w:p>
        </w:tc>
        <w:tc>
          <w:tcPr>
            <w:tcW w:w="1559" w:type="dxa"/>
            <w:tcBorders>
              <w:top w:val="nil"/>
              <w:left w:val="nil"/>
              <w:bottom w:val="single" w:sz="4" w:space="0" w:color="auto"/>
              <w:right w:val="single" w:sz="4" w:space="0" w:color="auto"/>
            </w:tcBorders>
            <w:shd w:val="clear" w:color="auto" w:fill="auto"/>
            <w:noWrap/>
            <w:vAlign w:val="center"/>
            <w:hideMark/>
          </w:tcPr>
          <w:p w14:paraId="0AE53663"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10,75</w:t>
            </w:r>
          </w:p>
        </w:tc>
        <w:tc>
          <w:tcPr>
            <w:tcW w:w="993" w:type="dxa"/>
            <w:tcBorders>
              <w:top w:val="nil"/>
              <w:left w:val="nil"/>
              <w:bottom w:val="single" w:sz="4" w:space="0" w:color="auto"/>
              <w:right w:val="single" w:sz="4" w:space="0" w:color="auto"/>
            </w:tcBorders>
            <w:shd w:val="clear" w:color="auto" w:fill="auto"/>
            <w:noWrap/>
            <w:vAlign w:val="center"/>
            <w:hideMark/>
          </w:tcPr>
          <w:p w14:paraId="1664262B"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1 641,98</w:t>
            </w:r>
          </w:p>
        </w:tc>
        <w:tc>
          <w:tcPr>
            <w:tcW w:w="1701" w:type="dxa"/>
            <w:tcBorders>
              <w:top w:val="nil"/>
              <w:left w:val="nil"/>
              <w:bottom w:val="single" w:sz="4" w:space="0" w:color="auto"/>
              <w:right w:val="single" w:sz="4" w:space="0" w:color="auto"/>
            </w:tcBorders>
            <w:shd w:val="clear" w:color="auto" w:fill="auto"/>
            <w:noWrap/>
            <w:vAlign w:val="center"/>
            <w:hideMark/>
          </w:tcPr>
          <w:p w14:paraId="1B190DE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1 482,56</w:t>
            </w:r>
          </w:p>
        </w:tc>
      </w:tr>
      <w:tr w:rsidR="00905E1F" w:rsidRPr="00AC3806" w14:paraId="66190506" w14:textId="77777777" w:rsidTr="00C749ED">
        <w:trPr>
          <w:trHeight w:val="39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B03F55D" w14:textId="77777777" w:rsidR="00905E1F" w:rsidRPr="00AC3806" w:rsidRDefault="00905E1F" w:rsidP="00C749ED">
            <w:pPr>
              <w:spacing w:after="0" w:line="240" w:lineRule="auto"/>
              <w:rPr>
                <w:rFonts w:ascii="Times New Roman" w:eastAsia="Times New Roman" w:hAnsi="Times New Roman" w:cs="Times New Roman"/>
                <w:sz w:val="20"/>
                <w:lang w:eastAsia="ru-RU"/>
              </w:rPr>
            </w:pPr>
            <w:r w:rsidRPr="00AC3806">
              <w:rPr>
                <w:rFonts w:ascii="Times New Roman" w:hAnsi="Times New Roman" w:cs="Times New Roman"/>
                <w:sz w:val="20"/>
              </w:rPr>
              <w:t>- город Нововоронеж</w:t>
            </w:r>
          </w:p>
        </w:tc>
        <w:tc>
          <w:tcPr>
            <w:tcW w:w="1417" w:type="dxa"/>
            <w:tcBorders>
              <w:top w:val="nil"/>
              <w:left w:val="nil"/>
              <w:bottom w:val="single" w:sz="4" w:space="0" w:color="auto"/>
              <w:right w:val="single" w:sz="4" w:space="0" w:color="auto"/>
            </w:tcBorders>
            <w:shd w:val="clear" w:color="auto" w:fill="auto"/>
            <w:noWrap/>
            <w:vAlign w:val="center"/>
            <w:hideMark/>
          </w:tcPr>
          <w:p w14:paraId="01E8ABAF"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56</w:t>
            </w:r>
          </w:p>
        </w:tc>
        <w:tc>
          <w:tcPr>
            <w:tcW w:w="1843" w:type="dxa"/>
            <w:tcBorders>
              <w:top w:val="nil"/>
              <w:left w:val="nil"/>
              <w:bottom w:val="single" w:sz="4" w:space="0" w:color="auto"/>
              <w:right w:val="single" w:sz="4" w:space="0" w:color="auto"/>
            </w:tcBorders>
            <w:shd w:val="clear" w:color="auto" w:fill="auto"/>
            <w:noWrap/>
            <w:vAlign w:val="center"/>
            <w:hideMark/>
          </w:tcPr>
          <w:p w14:paraId="560F0335"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979 208 710,01</w:t>
            </w:r>
          </w:p>
        </w:tc>
        <w:tc>
          <w:tcPr>
            <w:tcW w:w="1984" w:type="dxa"/>
            <w:tcBorders>
              <w:top w:val="nil"/>
              <w:left w:val="nil"/>
              <w:bottom w:val="single" w:sz="4" w:space="0" w:color="auto"/>
              <w:right w:val="single" w:sz="4" w:space="0" w:color="auto"/>
            </w:tcBorders>
            <w:shd w:val="clear" w:color="auto" w:fill="auto"/>
            <w:noWrap/>
            <w:vAlign w:val="center"/>
            <w:hideMark/>
          </w:tcPr>
          <w:p w14:paraId="18FAEFA9"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1 003 002 365,34</w:t>
            </w:r>
          </w:p>
        </w:tc>
        <w:tc>
          <w:tcPr>
            <w:tcW w:w="1559" w:type="dxa"/>
            <w:tcBorders>
              <w:top w:val="nil"/>
              <w:left w:val="nil"/>
              <w:bottom w:val="single" w:sz="4" w:space="0" w:color="auto"/>
              <w:right w:val="single" w:sz="4" w:space="0" w:color="auto"/>
            </w:tcBorders>
            <w:shd w:val="clear" w:color="auto" w:fill="auto"/>
            <w:noWrap/>
            <w:vAlign w:val="center"/>
            <w:hideMark/>
          </w:tcPr>
          <w:p w14:paraId="6DC8E3FC"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555575</w:t>
            </w:r>
          </w:p>
        </w:tc>
        <w:tc>
          <w:tcPr>
            <w:tcW w:w="1843" w:type="dxa"/>
            <w:tcBorders>
              <w:top w:val="nil"/>
              <w:left w:val="nil"/>
              <w:bottom w:val="single" w:sz="4" w:space="0" w:color="auto"/>
              <w:right w:val="single" w:sz="4" w:space="0" w:color="auto"/>
            </w:tcBorders>
            <w:shd w:val="clear" w:color="auto" w:fill="auto"/>
            <w:noWrap/>
            <w:vAlign w:val="center"/>
            <w:hideMark/>
          </w:tcPr>
          <w:p w14:paraId="4EDF2039"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-23 793 655,33</w:t>
            </w:r>
          </w:p>
        </w:tc>
        <w:tc>
          <w:tcPr>
            <w:tcW w:w="1559" w:type="dxa"/>
            <w:tcBorders>
              <w:top w:val="nil"/>
              <w:left w:val="nil"/>
              <w:bottom w:val="single" w:sz="4" w:space="0" w:color="auto"/>
              <w:right w:val="single" w:sz="4" w:space="0" w:color="auto"/>
            </w:tcBorders>
            <w:shd w:val="clear" w:color="auto" w:fill="auto"/>
            <w:noWrap/>
            <w:vAlign w:val="center"/>
            <w:hideMark/>
          </w:tcPr>
          <w:p w14:paraId="60E4174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-2,37</w:t>
            </w:r>
          </w:p>
        </w:tc>
        <w:tc>
          <w:tcPr>
            <w:tcW w:w="993" w:type="dxa"/>
            <w:tcBorders>
              <w:top w:val="nil"/>
              <w:left w:val="nil"/>
              <w:bottom w:val="single" w:sz="4" w:space="0" w:color="auto"/>
              <w:right w:val="single" w:sz="4" w:space="0" w:color="auto"/>
            </w:tcBorders>
            <w:shd w:val="clear" w:color="auto" w:fill="auto"/>
            <w:noWrap/>
            <w:vAlign w:val="center"/>
            <w:hideMark/>
          </w:tcPr>
          <w:p w14:paraId="295DE034"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1 762,51</w:t>
            </w:r>
          </w:p>
        </w:tc>
        <w:tc>
          <w:tcPr>
            <w:tcW w:w="1701" w:type="dxa"/>
            <w:tcBorders>
              <w:top w:val="nil"/>
              <w:left w:val="nil"/>
              <w:bottom w:val="single" w:sz="4" w:space="0" w:color="auto"/>
              <w:right w:val="single" w:sz="4" w:space="0" w:color="auto"/>
            </w:tcBorders>
            <w:shd w:val="clear" w:color="auto" w:fill="auto"/>
            <w:noWrap/>
            <w:vAlign w:val="center"/>
            <w:hideMark/>
          </w:tcPr>
          <w:p w14:paraId="116EE377" w14:textId="77777777" w:rsidR="00905E1F" w:rsidRPr="00AC3806" w:rsidRDefault="00905E1F" w:rsidP="00C749ED">
            <w:pPr>
              <w:spacing w:after="0" w:line="240" w:lineRule="auto"/>
              <w:jc w:val="center"/>
              <w:rPr>
                <w:rFonts w:ascii="Times New Roman" w:eastAsia="Times New Roman" w:hAnsi="Times New Roman" w:cs="Times New Roman"/>
                <w:sz w:val="20"/>
                <w:lang w:eastAsia="ru-RU"/>
              </w:rPr>
            </w:pPr>
            <w:r w:rsidRPr="00AC3806">
              <w:rPr>
                <w:rFonts w:ascii="Times New Roman" w:hAnsi="Times New Roman" w:cs="Times New Roman"/>
                <w:sz w:val="20"/>
              </w:rPr>
              <w:t>1 805,34</w:t>
            </w:r>
          </w:p>
        </w:tc>
      </w:tr>
    </w:tbl>
    <w:p w14:paraId="68E2AB3E" w14:textId="77777777" w:rsidR="00905E1F" w:rsidRPr="00AC3806" w:rsidRDefault="00905E1F" w:rsidP="00905E1F">
      <w:pPr>
        <w:spacing w:after="0" w:line="240" w:lineRule="auto"/>
        <w:ind w:firstLine="709"/>
        <w:jc w:val="right"/>
        <w:rPr>
          <w:rFonts w:ascii="Times New Roman" w:hAnsi="Times New Roman" w:cs="Times New Roman"/>
          <w:sz w:val="26"/>
          <w:szCs w:val="26"/>
        </w:rPr>
      </w:pPr>
    </w:p>
    <w:p w14:paraId="5AD05139" w14:textId="77777777" w:rsidR="00905E1F" w:rsidRPr="00AC3806" w:rsidRDefault="00905E1F" w:rsidP="00905E1F">
      <w:pPr>
        <w:rPr>
          <w:rFonts w:ascii="Times New Roman" w:hAnsi="Times New Roman" w:cs="Times New Roman"/>
          <w:sz w:val="26"/>
          <w:szCs w:val="26"/>
        </w:rPr>
      </w:pPr>
    </w:p>
    <w:p w14:paraId="04C8E089" w14:textId="77777777" w:rsidR="00905E1F" w:rsidRPr="00AC3806" w:rsidRDefault="00905E1F" w:rsidP="00905E1F">
      <w:pPr>
        <w:spacing w:after="0" w:line="240" w:lineRule="auto"/>
        <w:ind w:firstLine="709"/>
        <w:jc w:val="right"/>
        <w:rPr>
          <w:rFonts w:ascii="Times New Roman" w:hAnsi="Times New Roman" w:cs="Times New Roman"/>
          <w:sz w:val="26"/>
          <w:szCs w:val="26"/>
        </w:rPr>
      </w:pPr>
      <w:r w:rsidRPr="00AC3806">
        <w:rPr>
          <w:rFonts w:ascii="Times New Roman" w:hAnsi="Times New Roman" w:cs="Times New Roman"/>
          <w:sz w:val="26"/>
          <w:szCs w:val="26"/>
        </w:rPr>
        <w:t>Таблица 4.1.5.5</w:t>
      </w:r>
    </w:p>
    <w:p w14:paraId="295A9FAB" w14:textId="77777777" w:rsidR="00905E1F" w:rsidRPr="00AC3806" w:rsidRDefault="00905E1F" w:rsidP="00905E1F">
      <w:pPr>
        <w:spacing w:after="0" w:line="240" w:lineRule="auto"/>
        <w:ind w:firstLine="709"/>
        <w:jc w:val="center"/>
        <w:rPr>
          <w:rFonts w:ascii="Times New Roman" w:hAnsi="Times New Roman" w:cs="Times New Roman"/>
          <w:sz w:val="26"/>
          <w:szCs w:val="26"/>
        </w:rPr>
      </w:pPr>
      <w:r w:rsidRPr="00AC3806">
        <w:rPr>
          <w:rFonts w:ascii="Times New Roman" w:hAnsi="Times New Roman" w:cs="Times New Roman"/>
          <w:sz w:val="26"/>
          <w:szCs w:val="26"/>
        </w:rPr>
        <w:t>Анализ соотношений кадастровой стоимости средних УПКС в разрезе 13 сегмента МО Воронежской области</w:t>
      </w:r>
    </w:p>
    <w:p w14:paraId="14AC29EE" w14:textId="77777777" w:rsidR="00905E1F" w:rsidRPr="00AC3806" w:rsidRDefault="00905E1F" w:rsidP="00905E1F">
      <w:pPr>
        <w:spacing w:after="0" w:line="240" w:lineRule="auto"/>
        <w:ind w:firstLine="709"/>
        <w:jc w:val="center"/>
        <w:rPr>
          <w:rFonts w:ascii="Times New Roman" w:hAnsi="Times New Roman" w:cs="Times New Roman"/>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891"/>
        <w:gridCol w:w="1878"/>
        <w:gridCol w:w="1896"/>
        <w:gridCol w:w="1549"/>
        <w:gridCol w:w="1826"/>
        <w:gridCol w:w="1686"/>
        <w:gridCol w:w="984"/>
        <w:gridCol w:w="1497"/>
      </w:tblGrid>
      <w:tr w:rsidR="00905E1F" w:rsidRPr="00AC3806" w14:paraId="7C437E2C" w14:textId="77777777" w:rsidTr="00C749ED">
        <w:trPr>
          <w:trHeight w:val="397"/>
          <w:tblHeader/>
        </w:trPr>
        <w:tc>
          <w:tcPr>
            <w:tcW w:w="808" w:type="pct"/>
            <w:tcBorders>
              <w:top w:val="single" w:sz="4" w:space="0" w:color="auto"/>
              <w:left w:val="single" w:sz="4" w:space="0" w:color="auto"/>
              <w:bottom w:val="single" w:sz="4" w:space="0" w:color="auto"/>
              <w:right w:val="single" w:sz="4" w:space="0" w:color="auto"/>
            </w:tcBorders>
            <w:vAlign w:val="center"/>
            <w:hideMark/>
          </w:tcPr>
          <w:p w14:paraId="2BD15BE4"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Муниципальное образование</w:t>
            </w:r>
          </w:p>
        </w:tc>
        <w:tc>
          <w:tcPr>
            <w:tcW w:w="306" w:type="pct"/>
            <w:tcBorders>
              <w:top w:val="single" w:sz="4" w:space="0" w:color="auto"/>
              <w:left w:val="single" w:sz="4" w:space="0" w:color="auto"/>
              <w:bottom w:val="single" w:sz="4" w:space="0" w:color="auto"/>
              <w:right w:val="single" w:sz="4" w:space="0" w:color="auto"/>
            </w:tcBorders>
            <w:vAlign w:val="center"/>
            <w:hideMark/>
          </w:tcPr>
          <w:p w14:paraId="19BEF7CC"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Количество объектов</w:t>
            </w:r>
          </w:p>
        </w:tc>
        <w:tc>
          <w:tcPr>
            <w:tcW w:w="645" w:type="pct"/>
            <w:tcBorders>
              <w:top w:val="single" w:sz="4" w:space="0" w:color="auto"/>
              <w:left w:val="single" w:sz="4" w:space="0" w:color="auto"/>
              <w:bottom w:val="single" w:sz="4" w:space="0" w:color="auto"/>
              <w:right w:val="single" w:sz="4" w:space="0" w:color="auto"/>
            </w:tcBorders>
            <w:vAlign w:val="center"/>
            <w:hideMark/>
          </w:tcPr>
          <w:p w14:paraId="4E3508E7"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Суммарная кадастровая стоимость</w:t>
            </w:r>
          </w:p>
        </w:tc>
        <w:tc>
          <w:tcPr>
            <w:tcW w:w="651" w:type="pct"/>
            <w:tcBorders>
              <w:top w:val="single" w:sz="4" w:space="0" w:color="auto"/>
              <w:left w:val="single" w:sz="4" w:space="0" w:color="auto"/>
              <w:bottom w:val="single" w:sz="4" w:space="0" w:color="auto"/>
              <w:right w:val="single" w:sz="4" w:space="0" w:color="auto"/>
            </w:tcBorders>
            <w:vAlign w:val="center"/>
            <w:hideMark/>
          </w:tcPr>
          <w:p w14:paraId="63A35DCF"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Суммарная кадастровая стоимость предыдущего тура оценки</w:t>
            </w:r>
          </w:p>
        </w:tc>
        <w:tc>
          <w:tcPr>
            <w:tcW w:w="532" w:type="pct"/>
            <w:tcBorders>
              <w:top w:val="single" w:sz="4" w:space="0" w:color="auto"/>
              <w:left w:val="single" w:sz="4" w:space="0" w:color="auto"/>
              <w:bottom w:val="single" w:sz="4" w:space="0" w:color="auto"/>
              <w:right w:val="single" w:sz="4" w:space="0" w:color="auto"/>
            </w:tcBorders>
            <w:vAlign w:val="center"/>
            <w:hideMark/>
          </w:tcPr>
          <w:p w14:paraId="0D52AA84"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Суммарная площадь</w:t>
            </w:r>
          </w:p>
        </w:tc>
        <w:tc>
          <w:tcPr>
            <w:tcW w:w="627" w:type="pct"/>
            <w:tcBorders>
              <w:top w:val="single" w:sz="4" w:space="0" w:color="auto"/>
              <w:left w:val="single" w:sz="4" w:space="0" w:color="auto"/>
              <w:bottom w:val="single" w:sz="4" w:space="0" w:color="auto"/>
              <w:right w:val="single" w:sz="4" w:space="0" w:color="auto"/>
            </w:tcBorders>
            <w:vAlign w:val="center"/>
            <w:hideMark/>
          </w:tcPr>
          <w:p w14:paraId="3764350A"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Разница, руб.</w:t>
            </w:r>
          </w:p>
        </w:tc>
        <w:tc>
          <w:tcPr>
            <w:tcW w:w="579" w:type="pct"/>
            <w:tcBorders>
              <w:top w:val="single" w:sz="4" w:space="0" w:color="auto"/>
              <w:left w:val="single" w:sz="4" w:space="0" w:color="auto"/>
              <w:bottom w:val="single" w:sz="4" w:space="0" w:color="auto"/>
              <w:right w:val="single" w:sz="4" w:space="0" w:color="auto"/>
            </w:tcBorders>
            <w:vAlign w:val="center"/>
            <w:hideMark/>
          </w:tcPr>
          <w:p w14:paraId="1A53851F"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Относительная разница, %</w:t>
            </w:r>
          </w:p>
        </w:tc>
        <w:tc>
          <w:tcPr>
            <w:tcW w:w="338" w:type="pct"/>
            <w:tcBorders>
              <w:top w:val="single" w:sz="4" w:space="0" w:color="auto"/>
              <w:left w:val="single" w:sz="4" w:space="0" w:color="auto"/>
              <w:bottom w:val="single" w:sz="4" w:space="0" w:color="auto"/>
              <w:right w:val="single" w:sz="4" w:space="0" w:color="auto"/>
            </w:tcBorders>
            <w:vAlign w:val="center"/>
            <w:hideMark/>
          </w:tcPr>
          <w:p w14:paraId="1126AA7D"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УПКС</w:t>
            </w:r>
          </w:p>
        </w:tc>
        <w:tc>
          <w:tcPr>
            <w:tcW w:w="514" w:type="pct"/>
            <w:tcBorders>
              <w:top w:val="single" w:sz="4" w:space="0" w:color="auto"/>
              <w:left w:val="single" w:sz="4" w:space="0" w:color="auto"/>
              <w:bottom w:val="single" w:sz="4" w:space="0" w:color="auto"/>
              <w:right w:val="single" w:sz="4" w:space="0" w:color="auto"/>
            </w:tcBorders>
            <w:vAlign w:val="center"/>
            <w:hideMark/>
          </w:tcPr>
          <w:p w14:paraId="1367480B" w14:textId="77777777" w:rsidR="00905E1F" w:rsidRPr="00AC3806" w:rsidRDefault="00905E1F" w:rsidP="00C749ED">
            <w:pPr>
              <w:spacing w:after="0" w:line="240" w:lineRule="auto"/>
              <w:jc w:val="center"/>
              <w:rPr>
                <w:rFonts w:ascii="Times New Roman" w:eastAsia="Times New Roman" w:hAnsi="Times New Roman" w:cs="Times New Roman"/>
                <w:b/>
                <w:bCs/>
                <w:sz w:val="20"/>
                <w:szCs w:val="20"/>
                <w:lang w:eastAsia="ru-RU"/>
              </w:rPr>
            </w:pPr>
            <w:r w:rsidRPr="00AC3806">
              <w:rPr>
                <w:rFonts w:ascii="Times New Roman" w:eastAsia="Times New Roman" w:hAnsi="Times New Roman" w:cs="Times New Roman"/>
                <w:b/>
                <w:bCs/>
                <w:sz w:val="20"/>
                <w:szCs w:val="20"/>
                <w:lang w:eastAsia="ru-RU"/>
              </w:rPr>
              <w:t>УПКС предыдущего тура оценки</w:t>
            </w:r>
          </w:p>
        </w:tc>
      </w:tr>
      <w:tr w:rsidR="00905E1F" w:rsidRPr="00AC3806" w14:paraId="3AF7BFCB"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tcPr>
          <w:p w14:paraId="444C5652"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1</w:t>
            </w:r>
          </w:p>
        </w:tc>
        <w:tc>
          <w:tcPr>
            <w:tcW w:w="306" w:type="pct"/>
            <w:tcBorders>
              <w:top w:val="single" w:sz="4" w:space="0" w:color="auto"/>
              <w:left w:val="single" w:sz="4" w:space="0" w:color="auto"/>
              <w:bottom w:val="single" w:sz="4" w:space="0" w:color="auto"/>
              <w:right w:val="single" w:sz="4" w:space="0" w:color="auto"/>
            </w:tcBorders>
            <w:noWrap/>
            <w:vAlign w:val="center"/>
          </w:tcPr>
          <w:p w14:paraId="3F9856D7"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2</w:t>
            </w:r>
          </w:p>
        </w:tc>
        <w:tc>
          <w:tcPr>
            <w:tcW w:w="645" w:type="pct"/>
            <w:tcBorders>
              <w:top w:val="single" w:sz="4" w:space="0" w:color="auto"/>
              <w:left w:val="single" w:sz="4" w:space="0" w:color="auto"/>
              <w:bottom w:val="single" w:sz="4" w:space="0" w:color="auto"/>
              <w:right w:val="single" w:sz="4" w:space="0" w:color="auto"/>
            </w:tcBorders>
            <w:noWrap/>
            <w:vAlign w:val="center"/>
          </w:tcPr>
          <w:p w14:paraId="524841C8"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3</w:t>
            </w:r>
          </w:p>
        </w:tc>
        <w:tc>
          <w:tcPr>
            <w:tcW w:w="651" w:type="pct"/>
            <w:tcBorders>
              <w:top w:val="single" w:sz="4" w:space="0" w:color="auto"/>
              <w:left w:val="single" w:sz="4" w:space="0" w:color="auto"/>
              <w:bottom w:val="single" w:sz="4" w:space="0" w:color="auto"/>
              <w:right w:val="single" w:sz="4" w:space="0" w:color="auto"/>
            </w:tcBorders>
            <w:noWrap/>
            <w:vAlign w:val="center"/>
          </w:tcPr>
          <w:p w14:paraId="39108107"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4</w:t>
            </w:r>
          </w:p>
        </w:tc>
        <w:tc>
          <w:tcPr>
            <w:tcW w:w="532" w:type="pct"/>
            <w:tcBorders>
              <w:top w:val="single" w:sz="4" w:space="0" w:color="auto"/>
              <w:left w:val="single" w:sz="4" w:space="0" w:color="auto"/>
              <w:bottom w:val="single" w:sz="4" w:space="0" w:color="auto"/>
              <w:right w:val="single" w:sz="4" w:space="0" w:color="auto"/>
            </w:tcBorders>
            <w:noWrap/>
            <w:vAlign w:val="center"/>
          </w:tcPr>
          <w:p w14:paraId="4932CE8C"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5</w:t>
            </w:r>
          </w:p>
        </w:tc>
        <w:tc>
          <w:tcPr>
            <w:tcW w:w="627" w:type="pct"/>
            <w:tcBorders>
              <w:top w:val="single" w:sz="4" w:space="0" w:color="auto"/>
              <w:left w:val="single" w:sz="4" w:space="0" w:color="auto"/>
              <w:bottom w:val="single" w:sz="4" w:space="0" w:color="auto"/>
              <w:right w:val="single" w:sz="4" w:space="0" w:color="auto"/>
            </w:tcBorders>
            <w:noWrap/>
            <w:vAlign w:val="center"/>
          </w:tcPr>
          <w:p w14:paraId="3D2AA501"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6</w:t>
            </w:r>
          </w:p>
        </w:tc>
        <w:tc>
          <w:tcPr>
            <w:tcW w:w="579" w:type="pct"/>
            <w:tcBorders>
              <w:top w:val="single" w:sz="4" w:space="0" w:color="auto"/>
              <w:left w:val="single" w:sz="4" w:space="0" w:color="auto"/>
              <w:bottom w:val="single" w:sz="4" w:space="0" w:color="auto"/>
              <w:right w:val="single" w:sz="4" w:space="0" w:color="auto"/>
            </w:tcBorders>
            <w:noWrap/>
            <w:vAlign w:val="center"/>
          </w:tcPr>
          <w:p w14:paraId="2808F088"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7</w:t>
            </w:r>
          </w:p>
        </w:tc>
        <w:tc>
          <w:tcPr>
            <w:tcW w:w="338" w:type="pct"/>
            <w:tcBorders>
              <w:top w:val="single" w:sz="4" w:space="0" w:color="auto"/>
              <w:left w:val="single" w:sz="4" w:space="0" w:color="auto"/>
              <w:bottom w:val="single" w:sz="4" w:space="0" w:color="auto"/>
              <w:right w:val="single" w:sz="4" w:space="0" w:color="auto"/>
            </w:tcBorders>
            <w:noWrap/>
            <w:vAlign w:val="center"/>
          </w:tcPr>
          <w:p w14:paraId="7A004AB9"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8</w:t>
            </w:r>
          </w:p>
        </w:tc>
        <w:tc>
          <w:tcPr>
            <w:tcW w:w="514" w:type="pct"/>
            <w:tcBorders>
              <w:top w:val="single" w:sz="4" w:space="0" w:color="auto"/>
              <w:left w:val="single" w:sz="4" w:space="0" w:color="auto"/>
              <w:bottom w:val="single" w:sz="4" w:space="0" w:color="auto"/>
              <w:right w:val="single" w:sz="4" w:space="0" w:color="auto"/>
            </w:tcBorders>
            <w:noWrap/>
            <w:vAlign w:val="center"/>
          </w:tcPr>
          <w:p w14:paraId="783F99AF" w14:textId="77777777" w:rsidR="00905E1F" w:rsidRPr="00AC3806" w:rsidRDefault="00905E1F" w:rsidP="00C749ED">
            <w:pPr>
              <w:spacing w:after="0" w:line="240" w:lineRule="auto"/>
              <w:jc w:val="center"/>
              <w:rPr>
                <w:rFonts w:ascii="Times New Roman" w:hAnsi="Times New Roman" w:cs="Times New Roman"/>
                <w:sz w:val="20"/>
                <w:szCs w:val="20"/>
              </w:rPr>
            </w:pPr>
            <w:r w:rsidRPr="00AC3806">
              <w:rPr>
                <w:rFonts w:ascii="Times New Roman" w:eastAsia="Times New Roman" w:hAnsi="Times New Roman" w:cs="Times New Roman"/>
                <w:b/>
                <w:bCs/>
                <w:sz w:val="20"/>
                <w:szCs w:val="20"/>
                <w:lang w:eastAsia="ru-RU"/>
              </w:rPr>
              <w:t>9</w:t>
            </w:r>
          </w:p>
        </w:tc>
      </w:tr>
      <w:tr w:rsidR="00905E1F" w:rsidRPr="00AC3806" w14:paraId="570CE31C"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4D8593E8"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Аннинский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1887F7D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26516</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333C7ED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10 636 073 565,57</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32DA3E9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10 546 130 464,61</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799F195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65848978,31</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679B0DB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89 943 100,96</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4269346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0,85</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590C9CA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161,52</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53E36E5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160,16</w:t>
            </w:r>
          </w:p>
        </w:tc>
      </w:tr>
      <w:tr w:rsidR="00905E1F" w:rsidRPr="00AC3806" w14:paraId="0C25F448"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24718B68"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Бобровский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32FDCD4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26796</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4DB8F4F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12 066 677 445,15</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4B9B395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12 040 291 624,21</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1CF4B27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59972119,77</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726FB84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26 385 820,94</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42FE54D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0,22</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3209811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201,20</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31AB1A8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200,76</w:t>
            </w:r>
          </w:p>
        </w:tc>
      </w:tr>
      <w:tr w:rsidR="00905E1F" w:rsidRPr="00AC3806" w14:paraId="57ABAE8E"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271920F6"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Богучарский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0A1236B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14264</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77C8D60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4 433 256 306,08</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6EC8A1F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4 407 103 402,50</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21F95FB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29509001,8</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76D995C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26 152 903,58</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1453797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0,59</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616693A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150,23</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373A6E7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149,35</w:t>
            </w:r>
          </w:p>
        </w:tc>
      </w:tr>
      <w:tr w:rsidR="00905E1F" w:rsidRPr="00AC3806" w14:paraId="5877E6FF"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70545EB1"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Бутурлиновский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6FC195B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19636</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7099C9E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9 224 280 530,28</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56E45C5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9 061 179 834,62</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11B76E5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47496870,51</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450FE4C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163 100 695,66</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0DC9825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1,8</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0699EC5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194,21</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5A0DA4C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190,77</w:t>
            </w:r>
          </w:p>
        </w:tc>
      </w:tr>
      <w:tr w:rsidR="00905E1F" w:rsidRPr="00AC3806" w14:paraId="3D4C2776"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0AE5AA05"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Верхнемамонский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27B82C1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17232</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5F7FBFD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5 918 399 664,89</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42EEE33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6 412 281 415,05</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618F551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34074030,55</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52C1838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-493 881 750,16</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64E039F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-7,7</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091BD99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173,69</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0C769C0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188,19</w:t>
            </w:r>
          </w:p>
        </w:tc>
      </w:tr>
      <w:tr w:rsidR="00905E1F" w:rsidRPr="00AC3806" w14:paraId="200A05CB"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2D92A3D3"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Верхнехавский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6DA393D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24449</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376B962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9 745 423 536,18</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356CBB3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10 014 904 396,45</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27575E1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57226592,77</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5DC2414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-269 480 860,27</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004FD46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-2,69</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119369E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170,30</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5F53770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175,00</w:t>
            </w:r>
          </w:p>
        </w:tc>
      </w:tr>
      <w:tr w:rsidR="00905E1F" w:rsidRPr="00AC3806" w14:paraId="44052CA4"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3B8CF5EB"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Воробьёвский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29C3028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12842</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3945AE5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4 672 826 000,81</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413D442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4 757 561 463,19</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666B4C4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37310652,49</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3D5A12A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-84 735 462,38</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438AD98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-1,78</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40C8CF3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125,24</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72C328E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127,51</w:t>
            </w:r>
          </w:p>
        </w:tc>
      </w:tr>
      <w:tr w:rsidR="00905E1F" w:rsidRPr="00AC3806" w14:paraId="0B82331D"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158E59D6"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Грибановский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11191A7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22583</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0B1847A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9 430 134 177,97</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3D80B88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8 900 834 076,63</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0E336F4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68138045,7</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6641C48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529 300 101,34</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041D239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5,95</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6CEA582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138,40</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7545A2C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130,63</w:t>
            </w:r>
          </w:p>
        </w:tc>
      </w:tr>
      <w:tr w:rsidR="00905E1F" w:rsidRPr="00AC3806" w14:paraId="664D2673"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1CEFA765"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Калачеевский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30F5889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31939</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5685B37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10 466 864 731,87</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6243A9C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10 354 528 729,34</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58D65D8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67401381,75</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32CE595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112 336 002,53</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3145FD8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1,08</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651CE4B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155,29</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207FEA5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153,62</w:t>
            </w:r>
          </w:p>
        </w:tc>
      </w:tr>
      <w:tr w:rsidR="00905E1F" w:rsidRPr="00AC3806" w14:paraId="1912C9FC"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38C901BD"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Каменский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1254821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8986</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4F0F31F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3 602 426 590,38</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14FD0F3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4 075 783 662,00</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4B3CE70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24529393,8</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7A77C6A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-473 357 071,62</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600D60C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-11,61</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7C46268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146,86</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2A40F56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166,16</w:t>
            </w:r>
          </w:p>
        </w:tc>
      </w:tr>
      <w:tr w:rsidR="00905E1F" w:rsidRPr="00AC3806" w14:paraId="1D51C32E"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00DB750F"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Кантемировский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7E266FE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17857</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239EE3C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6 187 105 718,03</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2194406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6 123 871 815,81</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4F77685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37539371,97</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32EB936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63 233 902,22</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128375B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1,03</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5846F0E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164,82</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3493989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163,13</w:t>
            </w:r>
          </w:p>
        </w:tc>
      </w:tr>
      <w:tr w:rsidR="00905E1F" w:rsidRPr="00AC3806" w14:paraId="70D13046"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64B98BE2"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Каширский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3D38449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34221</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32ABB5B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10 978 922 683,83</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0065E53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9 761 144 843,29</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60169B3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73989733,58</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5E4D3D9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1 217 777 840,54</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54416D7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12,48</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6D11B90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148,38</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5BF5693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131,93</w:t>
            </w:r>
          </w:p>
        </w:tc>
      </w:tr>
      <w:tr w:rsidR="00905E1F" w:rsidRPr="00AC3806" w14:paraId="4F25488D"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2435E578"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Лискинский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42B0DFC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41796</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168564B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12 971 697 266,15</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16761D7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12 767 810 966,88</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4C546B2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68227730</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5D9F1DE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203 886 299,27</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3C4B920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3A2E896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190,12</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2659693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187,14</w:t>
            </w:r>
          </w:p>
        </w:tc>
      </w:tr>
      <w:tr w:rsidR="00905E1F" w:rsidRPr="00AC3806" w14:paraId="386A21E4"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645D3B90"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Нижнедевицкий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67C2E43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16736</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3AB926A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7 298 507 207,80</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6C0DDD3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7 217 874 525,20</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6AEC786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44197833,26</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0CD4A16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80 632 682,60</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543FA72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1,12</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28FB933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165,13</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564BE3A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163,31</w:t>
            </w:r>
          </w:p>
        </w:tc>
      </w:tr>
      <w:tr w:rsidR="00905E1F" w:rsidRPr="00AC3806" w14:paraId="682114A3"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5AA2EA97"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Новоусманский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370E76A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78948</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40E9B4D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42 424 814 777,82</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60CA5D7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37 648 787 883,50</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4E715AA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118363695,7</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6DAF952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4 776 026 894,32</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03F8F26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12,69</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0077093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358,43</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71A87F1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318,08</w:t>
            </w:r>
          </w:p>
        </w:tc>
      </w:tr>
      <w:tr w:rsidR="00905E1F" w:rsidRPr="00AC3806" w14:paraId="70279755"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582190E6"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Новохопёрский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1AC09FA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22473</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6ABA545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7 481 347 664,91</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094252B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7 388 954 631,46</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506B15E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45863569,16</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37345BA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92 393 033,45</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6EAD88A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1,25</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1260978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163,12</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1EA30C9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161,11</w:t>
            </w:r>
          </w:p>
        </w:tc>
      </w:tr>
      <w:tr w:rsidR="00905E1F" w:rsidRPr="00AC3806" w14:paraId="3E647FA3"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39E58FD7"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Ольховатский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36CBFD9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10226</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4ACCD64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3 274 078 181,90</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2F448F9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3 236 109 243,49</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7445B07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22479270</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308F441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37 968 938,41</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0334A44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1,17</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158F749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145,65</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3B797AB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143,96</w:t>
            </w:r>
          </w:p>
        </w:tc>
      </w:tr>
      <w:tr w:rsidR="00905E1F" w:rsidRPr="00AC3806" w14:paraId="4B61B1C5"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308177EB"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Острогожский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71E234D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27041</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0E11ADA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13 721 908 315,08</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573F338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10 257 898 808,85</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2EA8E92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76000244,63</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2104997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3 464 009 506,23</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487F409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33,77</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54DDD81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180,55</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5DB6DDA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134,97</w:t>
            </w:r>
          </w:p>
        </w:tc>
      </w:tr>
      <w:tr w:rsidR="00905E1F" w:rsidRPr="00AC3806" w14:paraId="2AF3F3EA"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7DEDC08F"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Павловский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250120A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25281</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374EF73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8 500 701 454,93</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6B6E000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8 442 201 654,82</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76049FC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55032083,8</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2A718F6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58 499 800,11</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6196FF4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0,69</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78CBAAE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154,47</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3868E3B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153,41</w:t>
            </w:r>
          </w:p>
        </w:tc>
      </w:tr>
      <w:tr w:rsidR="00905E1F" w:rsidRPr="00AC3806" w14:paraId="0152E3E3"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6BE12016"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Панинский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3698E22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17389</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2228DD3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6 272 966 911,65</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14BC5CA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5 997 374 914,28</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193B574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47180069,31</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1490D64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275 591 997,37</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1379293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4,6</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2A2E675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132,96</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513F37F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127,12</w:t>
            </w:r>
          </w:p>
        </w:tc>
      </w:tr>
      <w:tr w:rsidR="00905E1F" w:rsidRPr="00AC3806" w14:paraId="08CD1C7E"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63FD372E"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Петропавловский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043AD70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12359</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6056E08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4 634 814 460,77</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7FF0B0D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4 900 510 054,85</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4FBC6C5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37992393,03</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0A94150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-265 695 594,08</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6DF675F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-5,42</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2318843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121,99</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7E93D7D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128,99</w:t>
            </w:r>
          </w:p>
        </w:tc>
      </w:tr>
      <w:tr w:rsidR="00905E1F" w:rsidRPr="00AC3806" w14:paraId="757E2720"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3FCAD422"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Поворинский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6338E55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15196</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18C2C49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4 663 619 097,22</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02FBF4F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4 615 856 418,85</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16F0D4F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24518069,79</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3025B9A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47 762 678,37</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3251256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1,03</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6E15789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190,21</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48BF7F2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188,26</w:t>
            </w:r>
          </w:p>
        </w:tc>
      </w:tr>
      <w:tr w:rsidR="00905E1F" w:rsidRPr="00AC3806" w14:paraId="6A2F68FB"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03AFF1A9"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Подгоренский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0FD69DC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13892</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376F129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4 401 118 169,35</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3B29E38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4 413 809 582,16</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510AB1B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35775017,63</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2250CD7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-12 691 412,81</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10E71E1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-0,29</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0D7ABD6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123,02</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38C1498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123,38</w:t>
            </w:r>
          </w:p>
        </w:tc>
      </w:tr>
      <w:tr w:rsidR="00905E1F" w:rsidRPr="00AC3806" w14:paraId="5DA8A5B5"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37DB5F51"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Рамонский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75E4831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84094</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5A86BD7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34 330 704 109,86</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7E1F2E1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28 739 765 229,03</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0D38C4A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143239423,1</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55DC5A6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5 590 938 880,83</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0184522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19,45</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4C50288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239,67</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3A2FFA7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200,64</w:t>
            </w:r>
          </w:p>
        </w:tc>
      </w:tr>
      <w:tr w:rsidR="00905E1F" w:rsidRPr="00AC3806" w14:paraId="1B09553A"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29EA01F9"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Репьёвский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115A728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13116</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55E9041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4 902 166 194,87</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674F4FD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4 865 527 708,85</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68B677E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30441185,1</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3B234E8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36 638 486,02</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5488A14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0,75</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18A013E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161,04</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50279EF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159,83</w:t>
            </w:r>
          </w:p>
        </w:tc>
      </w:tr>
      <w:tr w:rsidR="00905E1F" w:rsidRPr="00AC3806" w14:paraId="267024FF"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50174519"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Россошанский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27C29E4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34973</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7040087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13 993 893 480,04</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6391161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13 917 940 578,77</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500A5DE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65488746,25</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38C255E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75 952 901,27</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1266E5C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0,55</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1089A8C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213,68</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0C1BED6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212,52</w:t>
            </w:r>
          </w:p>
        </w:tc>
      </w:tr>
      <w:tr w:rsidR="00905E1F" w:rsidRPr="00AC3806" w14:paraId="5A13DCDE"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37481F88"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Семилукский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64EE768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75822</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2B45F5E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30 090 688 318,56</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35F6949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24 314 126 669,71</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4FAFA5F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131800718,7</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207E122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5 776 561 648,85</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1F8A2DF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23,76</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13123C7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228,30</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3DA7667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184,48</w:t>
            </w:r>
          </w:p>
        </w:tc>
      </w:tr>
      <w:tr w:rsidR="00905E1F" w:rsidRPr="00AC3806" w14:paraId="56698C0F"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470D1C78"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Таловский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5D0A100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21061</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661657C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8 498 354 283,89</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023248B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8 403 419 644,28</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5E1C124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59516114,7</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75F7304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94 934 639,61</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2703DA8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1,13</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59E3328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142,79</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7C1540F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141,20</w:t>
            </w:r>
          </w:p>
        </w:tc>
      </w:tr>
      <w:tr w:rsidR="00905E1F" w:rsidRPr="00AC3806" w14:paraId="39475C02"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2A2EF6F0"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Терновский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66C426B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16051</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0E0DDF9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6 894 326 703,83</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4546BA8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6 135 955 259,80</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456DD83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54053441,82</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220D227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758 371 444,03</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6CEF9FD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12,36</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3FD4FEC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127,55</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693F37A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113,52</w:t>
            </w:r>
          </w:p>
        </w:tc>
      </w:tr>
      <w:tr w:rsidR="00905E1F" w:rsidRPr="00AC3806" w14:paraId="6E6157DA"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01A19E1C"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Хохольский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303B426F"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36896</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6C7060E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13 519 872 791,30</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2E41AB2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13 050 096 144,64</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2850191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80944487,58</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23DF4EF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469 776 646,66</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48E60C4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3,6</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3C7143B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167,03</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603F104E"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161,22</w:t>
            </w:r>
          </w:p>
        </w:tc>
      </w:tr>
      <w:tr w:rsidR="00905E1F" w:rsidRPr="00AC3806" w14:paraId="58781955"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27742608"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Эртильский муниципальный район</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2DE3C0A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13202</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1563501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5 550 067 925,60</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1E035DE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5 431 768 725,77</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0235B2C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38073988,73</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6117F938"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118 299 199,83</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6FC0C86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2,18</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51D4762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145,77</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5EC5772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142,66</w:t>
            </w:r>
          </w:p>
        </w:tc>
      </w:tr>
      <w:tr w:rsidR="00905E1F" w:rsidRPr="00AC3806" w14:paraId="00C9F40D" w14:textId="77777777" w:rsidTr="00C749ED">
        <w:trPr>
          <w:trHeight w:val="301"/>
        </w:trPr>
        <w:tc>
          <w:tcPr>
            <w:tcW w:w="808" w:type="pct"/>
            <w:tcBorders>
              <w:top w:val="single" w:sz="4" w:space="0" w:color="auto"/>
              <w:left w:val="single" w:sz="4" w:space="0" w:color="auto"/>
              <w:bottom w:val="single" w:sz="4" w:space="0" w:color="auto"/>
              <w:right w:val="single" w:sz="4" w:space="0" w:color="auto"/>
            </w:tcBorders>
            <w:vAlign w:val="center"/>
            <w:hideMark/>
          </w:tcPr>
          <w:p w14:paraId="1270C4BF"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 город Воронеж</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0B389853"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90857</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15385FD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102 572 138 875,25</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2EC0F9E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101 123 399 298,35</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3C40852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71291980,34</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1241591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1 448 739 576,90</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700400C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1,43</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649FA7D0"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1 438,76</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5BF5D3C4"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1 418,44</w:t>
            </w:r>
          </w:p>
        </w:tc>
      </w:tr>
      <w:tr w:rsidR="00905E1F" w:rsidRPr="00AC3806" w14:paraId="7ED07CF5" w14:textId="77777777" w:rsidTr="00C749ED">
        <w:trPr>
          <w:trHeight w:val="264"/>
        </w:trPr>
        <w:tc>
          <w:tcPr>
            <w:tcW w:w="808" w:type="pct"/>
            <w:tcBorders>
              <w:top w:val="single" w:sz="4" w:space="0" w:color="auto"/>
              <w:left w:val="single" w:sz="4" w:space="0" w:color="auto"/>
              <w:bottom w:val="single" w:sz="4" w:space="0" w:color="auto"/>
              <w:right w:val="single" w:sz="4" w:space="0" w:color="auto"/>
            </w:tcBorders>
            <w:vAlign w:val="center"/>
            <w:hideMark/>
          </w:tcPr>
          <w:p w14:paraId="5EA45523"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 Борисоглебский</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61630551"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25673</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2ECFE56B"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8 174 622 422,02</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78A1106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8 412 735 136,31</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55FF847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38021457,55</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468A31B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-238 112 714,29</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3EA2C4FA"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-2,83</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056B6FD5"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215,00</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05ADFD0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221,26</w:t>
            </w:r>
          </w:p>
        </w:tc>
      </w:tr>
      <w:tr w:rsidR="00905E1F" w:rsidRPr="00AC3806" w14:paraId="0569B8E0" w14:textId="77777777" w:rsidTr="00C749ED">
        <w:trPr>
          <w:trHeight w:val="397"/>
        </w:trPr>
        <w:tc>
          <w:tcPr>
            <w:tcW w:w="808" w:type="pct"/>
            <w:tcBorders>
              <w:top w:val="single" w:sz="4" w:space="0" w:color="auto"/>
              <w:left w:val="single" w:sz="4" w:space="0" w:color="auto"/>
              <w:bottom w:val="single" w:sz="4" w:space="0" w:color="auto"/>
              <w:right w:val="single" w:sz="4" w:space="0" w:color="auto"/>
            </w:tcBorders>
            <w:vAlign w:val="center"/>
            <w:hideMark/>
          </w:tcPr>
          <w:p w14:paraId="1F56C289" w14:textId="77777777" w:rsidR="00905E1F" w:rsidRPr="00AC3806" w:rsidRDefault="00905E1F" w:rsidP="00C749ED">
            <w:pPr>
              <w:spacing w:after="0" w:line="240" w:lineRule="auto"/>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 город Нововоронеж</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5E71BB3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5218</w:t>
            </w:r>
          </w:p>
        </w:tc>
        <w:tc>
          <w:tcPr>
            <w:tcW w:w="645" w:type="pct"/>
            <w:tcBorders>
              <w:top w:val="single" w:sz="4" w:space="0" w:color="auto"/>
              <w:left w:val="single" w:sz="4" w:space="0" w:color="auto"/>
              <w:bottom w:val="single" w:sz="4" w:space="0" w:color="auto"/>
              <w:right w:val="single" w:sz="4" w:space="0" w:color="auto"/>
            </w:tcBorders>
            <w:noWrap/>
            <w:vAlign w:val="center"/>
            <w:hideMark/>
          </w:tcPr>
          <w:p w14:paraId="4C28F936"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1 298 973 136,30</w:t>
            </w:r>
          </w:p>
        </w:tc>
        <w:tc>
          <w:tcPr>
            <w:tcW w:w="651" w:type="pct"/>
            <w:tcBorders>
              <w:top w:val="single" w:sz="4" w:space="0" w:color="auto"/>
              <w:left w:val="single" w:sz="4" w:space="0" w:color="auto"/>
              <w:bottom w:val="single" w:sz="4" w:space="0" w:color="auto"/>
              <w:right w:val="single" w:sz="4" w:space="0" w:color="auto"/>
            </w:tcBorders>
            <w:noWrap/>
            <w:vAlign w:val="center"/>
            <w:hideMark/>
          </w:tcPr>
          <w:p w14:paraId="5AED759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1 514 724 288,33</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62C50E0D"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4036651,1</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3CB8EDA7"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-215 751 152,03</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1D81ECD9"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-14,24</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1C67F7C2"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321,79</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5B98866C" w14:textId="77777777" w:rsidR="00905E1F" w:rsidRPr="00AC3806" w:rsidRDefault="00905E1F" w:rsidP="00C749ED">
            <w:pPr>
              <w:spacing w:after="0" w:line="240" w:lineRule="auto"/>
              <w:jc w:val="center"/>
              <w:rPr>
                <w:rFonts w:ascii="Times New Roman" w:eastAsia="Times New Roman" w:hAnsi="Times New Roman" w:cs="Times New Roman"/>
                <w:sz w:val="20"/>
                <w:szCs w:val="20"/>
                <w:lang w:eastAsia="ru-RU"/>
              </w:rPr>
            </w:pPr>
            <w:r w:rsidRPr="00AC3806">
              <w:rPr>
                <w:rFonts w:ascii="Times New Roman" w:hAnsi="Times New Roman" w:cs="Times New Roman"/>
                <w:sz w:val="20"/>
                <w:szCs w:val="20"/>
              </w:rPr>
              <w:t>375,24</w:t>
            </w:r>
          </w:p>
        </w:tc>
      </w:tr>
    </w:tbl>
    <w:p w14:paraId="43E62278" w14:textId="77777777" w:rsidR="00905E1F" w:rsidRPr="00AC3806" w:rsidRDefault="00905E1F" w:rsidP="00905E1F">
      <w:pPr>
        <w:spacing w:after="0" w:line="276" w:lineRule="auto"/>
        <w:ind w:firstLine="709"/>
        <w:rPr>
          <w:rFonts w:ascii="Times New Roman" w:hAnsi="Times New Roman" w:cs="Times New Roman"/>
          <w:sz w:val="26"/>
          <w:szCs w:val="26"/>
        </w:rPr>
      </w:pPr>
    </w:p>
    <w:p w14:paraId="0F11570B" w14:textId="34C7C7F4" w:rsidR="00306BF5" w:rsidRPr="006C1D26" w:rsidRDefault="00306BF5" w:rsidP="006C1D26">
      <w:pPr>
        <w:spacing w:after="0" w:line="276" w:lineRule="auto"/>
        <w:jc w:val="both"/>
        <w:rPr>
          <w:rFonts w:ascii="Times New Roman" w:hAnsi="Times New Roman" w:cs="Times New Roman"/>
          <w:sz w:val="26"/>
          <w:szCs w:val="26"/>
        </w:rPr>
      </w:pPr>
    </w:p>
    <w:sectPr w:rsidR="00306BF5" w:rsidRPr="006C1D26" w:rsidSect="006C1D26">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BF477" w14:textId="77777777" w:rsidR="0090366A" w:rsidRDefault="0090366A" w:rsidP="00166638">
      <w:pPr>
        <w:spacing w:after="0" w:line="240" w:lineRule="auto"/>
      </w:pPr>
      <w:r>
        <w:separator/>
      </w:r>
    </w:p>
  </w:endnote>
  <w:endnote w:type="continuationSeparator" w:id="0">
    <w:p w14:paraId="7D25AD1C" w14:textId="77777777" w:rsidR="0090366A" w:rsidRDefault="0090366A" w:rsidP="00166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yriad Pro">
    <w:altName w:val="Arial"/>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MS ??">
    <w:altName w:val="Yu Gothic"/>
    <w:panose1 w:val="00000000000000000000"/>
    <w:charset w:val="80"/>
    <w:family w:val="auto"/>
    <w:notTrueType/>
    <w:pitch w:val="variable"/>
    <w:sig w:usb0="00000001" w:usb1="08070000" w:usb2="00000010" w:usb3="00000000" w:csb0="00020000" w:csb1="00000000"/>
  </w:font>
  <w:font w:name="Franklin Gothic Medium Cond">
    <w:panose1 w:val="020B06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hnschrift SemiBold">
    <w:panose1 w:val="020B0502040204020203"/>
    <w:charset w:val="CC"/>
    <w:family w:val="swiss"/>
    <w:pitch w:val="variable"/>
    <w:sig w:usb0="A00002C7" w:usb1="00000002" w:usb2="00000000" w:usb3="00000000" w:csb0="0000019F" w:csb1="00000000"/>
  </w:font>
  <w:font w:name="Consolas">
    <w:panose1 w:val="020B0609020204030204"/>
    <w:charset w:val="CC"/>
    <w:family w:val="modern"/>
    <w:pitch w:val="fixed"/>
    <w:sig w:usb0="E00006FF" w:usb1="0000FCFF" w:usb2="00000001"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187718"/>
      <w:docPartObj>
        <w:docPartGallery w:val="Page Numbers (Bottom of Page)"/>
        <w:docPartUnique/>
      </w:docPartObj>
    </w:sdtPr>
    <w:sdtEndPr>
      <w:rPr>
        <w:rFonts w:ascii="Times New Roman" w:hAnsi="Times New Roman" w:cs="Times New Roman"/>
      </w:rPr>
    </w:sdtEndPr>
    <w:sdtContent>
      <w:p w14:paraId="24733B93" w14:textId="5E00A7D2" w:rsidR="0090366A" w:rsidRPr="004A5EFE" w:rsidRDefault="0090366A">
        <w:pPr>
          <w:pStyle w:val="a9"/>
          <w:jc w:val="right"/>
          <w:rPr>
            <w:rFonts w:ascii="Times New Roman" w:hAnsi="Times New Roman" w:cs="Times New Roman"/>
          </w:rPr>
        </w:pPr>
        <w:r w:rsidRPr="004A5EFE">
          <w:rPr>
            <w:rFonts w:ascii="Times New Roman" w:hAnsi="Times New Roman" w:cs="Times New Roman"/>
          </w:rPr>
          <w:fldChar w:fldCharType="begin"/>
        </w:r>
        <w:r w:rsidRPr="004A5EFE">
          <w:rPr>
            <w:rFonts w:ascii="Times New Roman" w:hAnsi="Times New Roman" w:cs="Times New Roman"/>
          </w:rPr>
          <w:instrText>PAGE   \* MERGEFORMAT</w:instrText>
        </w:r>
        <w:r w:rsidRPr="004A5EFE">
          <w:rPr>
            <w:rFonts w:ascii="Times New Roman" w:hAnsi="Times New Roman" w:cs="Times New Roman"/>
          </w:rPr>
          <w:fldChar w:fldCharType="separate"/>
        </w:r>
        <w:r w:rsidR="00FF7453">
          <w:rPr>
            <w:rFonts w:ascii="Times New Roman" w:hAnsi="Times New Roman" w:cs="Times New Roman"/>
            <w:noProof/>
          </w:rPr>
          <w:t>2</w:t>
        </w:r>
        <w:r w:rsidRPr="004A5EFE">
          <w:rPr>
            <w:rFonts w:ascii="Times New Roman" w:hAnsi="Times New Roman" w:cs="Times New Roman"/>
          </w:rPr>
          <w:fldChar w:fldCharType="end"/>
        </w:r>
      </w:p>
    </w:sdtContent>
  </w:sdt>
  <w:p w14:paraId="47A817BE" w14:textId="77777777" w:rsidR="0090366A" w:rsidRDefault="0090366A">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0561"/>
      <w:docPartObj>
        <w:docPartGallery w:val="Page Numbers (Bottom of Page)"/>
        <w:docPartUnique/>
      </w:docPartObj>
    </w:sdtPr>
    <w:sdtEndPr/>
    <w:sdtContent>
      <w:p w14:paraId="71294B70" w14:textId="7E7D2C56" w:rsidR="0090366A" w:rsidRDefault="0090366A">
        <w:pPr>
          <w:pStyle w:val="a9"/>
          <w:jc w:val="right"/>
        </w:pPr>
        <w:r>
          <w:fldChar w:fldCharType="begin"/>
        </w:r>
        <w:r>
          <w:instrText>PAGE   \* MERGEFORMAT</w:instrText>
        </w:r>
        <w:r>
          <w:fldChar w:fldCharType="separate"/>
        </w:r>
        <w:r w:rsidR="00FF7453">
          <w:rPr>
            <w:noProof/>
          </w:rPr>
          <w:t>244</w:t>
        </w:r>
        <w:r>
          <w:fldChar w:fldCharType="end"/>
        </w:r>
      </w:p>
    </w:sdtContent>
  </w:sdt>
  <w:p w14:paraId="583FF528" w14:textId="77777777" w:rsidR="0090366A" w:rsidRDefault="0090366A">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816290"/>
      <w:docPartObj>
        <w:docPartGallery w:val="Page Numbers (Bottom of Page)"/>
        <w:docPartUnique/>
      </w:docPartObj>
    </w:sdtPr>
    <w:sdtEndPr/>
    <w:sdtContent>
      <w:p w14:paraId="45A98226" w14:textId="07F5CA38" w:rsidR="0090366A" w:rsidRDefault="0090366A">
        <w:pPr>
          <w:pStyle w:val="a9"/>
          <w:jc w:val="right"/>
        </w:pPr>
        <w:r>
          <w:fldChar w:fldCharType="begin"/>
        </w:r>
        <w:r>
          <w:instrText>PAGE   \* MERGEFORMAT</w:instrText>
        </w:r>
        <w:r>
          <w:fldChar w:fldCharType="separate"/>
        </w:r>
        <w:r w:rsidR="00FF7453">
          <w:rPr>
            <w:noProof/>
          </w:rPr>
          <w:t>266</w:t>
        </w:r>
        <w:r>
          <w:fldChar w:fldCharType="end"/>
        </w:r>
      </w:p>
    </w:sdtContent>
  </w:sdt>
  <w:p w14:paraId="12F2C8A5" w14:textId="77777777" w:rsidR="0090366A" w:rsidRDefault="0090366A">
    <w:pPr>
      <w:pStyle w:val="a9"/>
    </w:pPr>
  </w:p>
  <w:p w14:paraId="2C831A21" w14:textId="77777777" w:rsidR="0090366A" w:rsidRDefault="0090366A"/>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8466634"/>
      <w:docPartObj>
        <w:docPartGallery w:val="Page Numbers (Bottom of Page)"/>
        <w:docPartUnique/>
      </w:docPartObj>
    </w:sdtPr>
    <w:sdtEndPr/>
    <w:sdtContent>
      <w:p w14:paraId="0E4A721D" w14:textId="72208DAF" w:rsidR="0090366A" w:rsidRDefault="0090366A">
        <w:pPr>
          <w:pStyle w:val="a9"/>
          <w:jc w:val="right"/>
        </w:pPr>
        <w:r>
          <w:fldChar w:fldCharType="begin"/>
        </w:r>
        <w:r>
          <w:instrText>PAGE   \* MERGEFORMAT</w:instrText>
        </w:r>
        <w:r>
          <w:fldChar w:fldCharType="separate"/>
        </w:r>
        <w:r w:rsidR="00FF7453">
          <w:rPr>
            <w:noProof/>
          </w:rPr>
          <w:t>509</w:t>
        </w:r>
        <w:r>
          <w:fldChar w:fldCharType="end"/>
        </w:r>
      </w:p>
    </w:sdtContent>
  </w:sdt>
  <w:p w14:paraId="59087F00" w14:textId="77777777" w:rsidR="0090366A" w:rsidRDefault="0090366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0A18DF" w14:textId="77777777" w:rsidR="0090366A" w:rsidRDefault="0090366A" w:rsidP="00166638">
      <w:pPr>
        <w:spacing w:after="0" w:line="240" w:lineRule="auto"/>
      </w:pPr>
      <w:r>
        <w:separator/>
      </w:r>
    </w:p>
  </w:footnote>
  <w:footnote w:type="continuationSeparator" w:id="0">
    <w:p w14:paraId="7ADA8254" w14:textId="77777777" w:rsidR="0090366A" w:rsidRDefault="0090366A" w:rsidP="00166638">
      <w:pPr>
        <w:spacing w:after="0" w:line="240" w:lineRule="auto"/>
      </w:pPr>
      <w:r>
        <w:continuationSeparator/>
      </w:r>
    </w:p>
  </w:footnote>
  <w:footnote w:id="1">
    <w:p w14:paraId="446B0AC4" w14:textId="77777777" w:rsidR="0090366A" w:rsidRPr="0034660A" w:rsidRDefault="0090366A" w:rsidP="00754F88">
      <w:pPr>
        <w:pStyle w:val="af5"/>
        <w:spacing w:before="0" w:beforeAutospacing="0" w:after="0" w:afterAutospacing="0"/>
        <w:contextualSpacing/>
        <w:jc w:val="both"/>
        <w:textAlignment w:val="top"/>
        <w:rPr>
          <w:sz w:val="18"/>
          <w:szCs w:val="18"/>
        </w:rPr>
      </w:pPr>
      <w:r w:rsidRPr="0034660A">
        <w:rPr>
          <w:rStyle w:val="af2"/>
          <w:sz w:val="18"/>
          <w:szCs w:val="18"/>
        </w:rPr>
        <w:footnoteRef/>
      </w:r>
      <w:r w:rsidRPr="0034660A">
        <w:rPr>
          <w:sz w:val="18"/>
          <w:szCs w:val="18"/>
        </w:rPr>
        <w:t xml:space="preserve"> NextGIS QGIS зарегистрирована в государственном Реестре программ для ЭВМ, свидетельство №2014619132.</w:t>
      </w:r>
    </w:p>
    <w:p w14:paraId="5988E30F" w14:textId="77777777" w:rsidR="0090366A" w:rsidRPr="0034660A" w:rsidRDefault="0090366A" w:rsidP="00754F88">
      <w:pPr>
        <w:pStyle w:val="af5"/>
        <w:spacing w:before="0" w:beforeAutospacing="0" w:after="0" w:afterAutospacing="0"/>
        <w:contextualSpacing/>
        <w:jc w:val="both"/>
        <w:textAlignment w:val="top"/>
        <w:rPr>
          <w:sz w:val="18"/>
          <w:szCs w:val="18"/>
        </w:rPr>
      </w:pPr>
      <w:r w:rsidRPr="0034660A">
        <w:rPr>
          <w:sz w:val="18"/>
          <w:szCs w:val="18"/>
        </w:rPr>
        <w:t>NextGIS QGIS является отечественным ПО и включена в Единый реестр российских программ для электронных вычислительных машин и баз данных («Реестр отечественного ПО») приказом Минкомсвязи России от 29.04.2016 №183.</w:t>
      </w:r>
    </w:p>
  </w:footnote>
  <w:footnote w:id="2">
    <w:p w14:paraId="70282D8B" w14:textId="77777777" w:rsidR="0090366A" w:rsidRPr="00CE4D0B" w:rsidRDefault="0090366A" w:rsidP="00DB474C">
      <w:pPr>
        <w:pStyle w:val="Footnote"/>
        <w:rPr>
          <w:rFonts w:ascii="Times New Roman" w:hAnsi="Times New Roman" w:cs="Times New Roman"/>
          <w:lang w:val="ru-RU"/>
        </w:rPr>
      </w:pPr>
      <w:r w:rsidRPr="002B7D0D">
        <w:rPr>
          <w:rStyle w:val="af2"/>
          <w:rFonts w:ascii="Times New Roman" w:hAnsi="Times New Roman" w:cs="Times New Roman"/>
        </w:rPr>
        <w:footnoteRef/>
      </w:r>
      <w:hyperlink r:id="rId1" w:tgtFrame="blank" w:history="1">
        <w:r w:rsidRPr="00CE4D0B">
          <w:rPr>
            <w:rStyle w:val="ad"/>
            <w:rFonts w:ascii="Times New Roman" w:hAnsi="Times New Roman" w:cs="Times New Roman"/>
            <w:sz w:val="18"/>
            <w:szCs w:val="18"/>
          </w:rPr>
          <w:t>https</w:t>
        </w:r>
        <w:r w:rsidRPr="00E83C84">
          <w:rPr>
            <w:rStyle w:val="ad"/>
            <w:rFonts w:ascii="Times New Roman" w:hAnsi="Times New Roman" w:cs="Times New Roman"/>
            <w:sz w:val="18"/>
            <w:szCs w:val="18"/>
            <w:lang w:val="ru-RU"/>
          </w:rPr>
          <w:t>://</w:t>
        </w:r>
        <w:r w:rsidRPr="00CE4D0B">
          <w:rPr>
            <w:rStyle w:val="ad"/>
            <w:rFonts w:ascii="Times New Roman" w:hAnsi="Times New Roman" w:cs="Times New Roman"/>
            <w:sz w:val="18"/>
            <w:szCs w:val="18"/>
          </w:rPr>
          <w:t>roma</w:t>
        </w:r>
        <w:r w:rsidRPr="00E83C84">
          <w:rPr>
            <w:rStyle w:val="ad"/>
            <w:rFonts w:ascii="Times New Roman" w:hAnsi="Times New Roman" w:cs="Times New Roman"/>
            <w:sz w:val="18"/>
            <w:szCs w:val="18"/>
            <w:lang w:val="ru-RU"/>
          </w:rPr>
          <w:t>.</w:t>
        </w:r>
        <w:r w:rsidRPr="00CE4D0B">
          <w:rPr>
            <w:rStyle w:val="ad"/>
            <w:rFonts w:ascii="Times New Roman" w:hAnsi="Times New Roman" w:cs="Times New Roman"/>
            <w:sz w:val="18"/>
            <w:szCs w:val="18"/>
          </w:rPr>
          <w:t>mid</w:t>
        </w:r>
        <w:r w:rsidRPr="00E83C84">
          <w:rPr>
            <w:rStyle w:val="ad"/>
            <w:rFonts w:ascii="Times New Roman" w:hAnsi="Times New Roman" w:cs="Times New Roman"/>
            <w:sz w:val="18"/>
            <w:szCs w:val="18"/>
            <w:lang w:val="ru-RU"/>
          </w:rPr>
          <w:t>.</w:t>
        </w:r>
        <w:r w:rsidRPr="00CE4D0B">
          <w:rPr>
            <w:rStyle w:val="ad"/>
            <w:rFonts w:ascii="Times New Roman" w:hAnsi="Times New Roman" w:cs="Times New Roman"/>
            <w:sz w:val="18"/>
            <w:szCs w:val="18"/>
          </w:rPr>
          <w:t>ru</w:t>
        </w:r>
        <w:r w:rsidRPr="00E83C84">
          <w:rPr>
            <w:rStyle w:val="ad"/>
            <w:rFonts w:ascii="Times New Roman" w:hAnsi="Times New Roman" w:cs="Times New Roman"/>
            <w:sz w:val="18"/>
            <w:szCs w:val="18"/>
            <w:lang w:val="ru-RU"/>
          </w:rPr>
          <w:t>/</w:t>
        </w:r>
        <w:r w:rsidRPr="00CE4D0B">
          <w:rPr>
            <w:rStyle w:val="ad"/>
            <w:rFonts w:ascii="Times New Roman" w:hAnsi="Times New Roman" w:cs="Times New Roman"/>
            <w:sz w:val="18"/>
            <w:szCs w:val="18"/>
          </w:rPr>
          <w:t>rossia</w:t>
        </w:r>
      </w:hyperlink>
    </w:p>
  </w:footnote>
  <w:footnote w:id="3">
    <w:p w14:paraId="50682169" w14:textId="77777777" w:rsidR="0090366A" w:rsidRPr="00CE4D0B" w:rsidRDefault="0090366A" w:rsidP="00DB474C">
      <w:pPr>
        <w:pStyle w:val="Footnote"/>
        <w:rPr>
          <w:rFonts w:ascii="Times New Roman" w:hAnsi="Times New Roman" w:cs="Times New Roman"/>
          <w:lang w:val="ru-RU"/>
        </w:rPr>
      </w:pPr>
      <w:r w:rsidRPr="00CE4D0B">
        <w:rPr>
          <w:rStyle w:val="af2"/>
          <w:rFonts w:ascii="Times New Roman" w:hAnsi="Times New Roman" w:cs="Times New Roman"/>
        </w:rPr>
        <w:footnoteRef/>
      </w:r>
      <w:hyperlink r:id="rId2" w:history="1">
        <w:r w:rsidRPr="00CE4D0B">
          <w:rPr>
            <w:rStyle w:val="ad"/>
            <w:rFonts w:ascii="Times New Roman" w:hAnsi="Times New Roman" w:cs="Times New Roman"/>
            <w:sz w:val="18"/>
            <w:szCs w:val="18"/>
          </w:rPr>
          <w:t>http</w:t>
        </w:r>
        <w:r w:rsidRPr="00CE4D0B">
          <w:rPr>
            <w:rStyle w:val="ad"/>
            <w:rFonts w:ascii="Times New Roman" w:hAnsi="Times New Roman" w:cs="Times New Roman"/>
            <w:sz w:val="18"/>
            <w:szCs w:val="18"/>
            <w:lang w:val="ru-RU"/>
          </w:rPr>
          <w:t>://</w:t>
        </w:r>
        <w:r w:rsidRPr="00CE4D0B">
          <w:rPr>
            <w:rStyle w:val="ad"/>
            <w:rFonts w:ascii="Times New Roman" w:hAnsi="Times New Roman" w:cs="Times New Roman"/>
            <w:sz w:val="18"/>
            <w:szCs w:val="18"/>
          </w:rPr>
          <w:t>www</w:t>
        </w:r>
        <w:r w:rsidRPr="00CE4D0B">
          <w:rPr>
            <w:rStyle w:val="ad"/>
            <w:rFonts w:ascii="Times New Roman" w:hAnsi="Times New Roman" w:cs="Times New Roman"/>
            <w:sz w:val="18"/>
            <w:szCs w:val="18"/>
            <w:lang w:val="ru-RU"/>
          </w:rPr>
          <w:t>.</w:t>
        </w:r>
        <w:r w:rsidRPr="00CE4D0B">
          <w:rPr>
            <w:rStyle w:val="ad"/>
            <w:rFonts w:ascii="Times New Roman" w:hAnsi="Times New Roman" w:cs="Times New Roman"/>
            <w:sz w:val="18"/>
            <w:szCs w:val="18"/>
          </w:rPr>
          <w:t>inasto</w:t>
        </w:r>
        <w:r w:rsidRPr="00CE4D0B">
          <w:rPr>
            <w:rStyle w:val="ad"/>
            <w:rFonts w:ascii="Times New Roman" w:hAnsi="Times New Roman" w:cs="Times New Roman"/>
            <w:sz w:val="18"/>
            <w:szCs w:val="18"/>
            <w:lang w:val="ru-RU"/>
          </w:rPr>
          <w:t>.</w:t>
        </w:r>
        <w:r w:rsidRPr="00CE4D0B">
          <w:rPr>
            <w:rStyle w:val="ad"/>
            <w:rFonts w:ascii="Times New Roman" w:hAnsi="Times New Roman" w:cs="Times New Roman"/>
            <w:sz w:val="18"/>
            <w:szCs w:val="18"/>
          </w:rPr>
          <w:t>ru</w:t>
        </w:r>
        <w:r w:rsidRPr="00CE4D0B">
          <w:rPr>
            <w:rStyle w:val="ad"/>
            <w:rFonts w:ascii="Times New Roman" w:hAnsi="Times New Roman" w:cs="Times New Roman"/>
            <w:sz w:val="18"/>
            <w:szCs w:val="18"/>
            <w:lang w:val="ru-RU"/>
          </w:rPr>
          <w:t>/</w:t>
        </w:r>
        <w:r w:rsidRPr="00CE4D0B">
          <w:rPr>
            <w:rStyle w:val="ad"/>
            <w:rFonts w:ascii="Times New Roman" w:hAnsi="Times New Roman" w:cs="Times New Roman"/>
            <w:sz w:val="18"/>
            <w:szCs w:val="18"/>
          </w:rPr>
          <w:t>russia</w:t>
        </w:r>
        <w:r w:rsidRPr="00CE4D0B">
          <w:rPr>
            <w:rStyle w:val="ad"/>
            <w:rFonts w:ascii="Times New Roman" w:hAnsi="Times New Roman" w:cs="Times New Roman"/>
            <w:sz w:val="18"/>
            <w:szCs w:val="18"/>
            <w:lang w:val="ru-RU"/>
          </w:rPr>
          <w:t>.</w:t>
        </w:r>
        <w:r w:rsidRPr="00CE4D0B">
          <w:rPr>
            <w:rStyle w:val="ad"/>
            <w:rFonts w:ascii="Times New Roman" w:hAnsi="Times New Roman" w:cs="Times New Roman"/>
            <w:sz w:val="18"/>
            <w:szCs w:val="18"/>
          </w:rPr>
          <w:t>htm</w:t>
        </w:r>
      </w:hyperlink>
    </w:p>
  </w:footnote>
  <w:footnote w:id="4">
    <w:p w14:paraId="45D692FC" w14:textId="77777777" w:rsidR="0090366A" w:rsidRPr="00CE4D0B" w:rsidRDefault="0090366A" w:rsidP="00DB474C">
      <w:pPr>
        <w:pStyle w:val="af3"/>
        <w:rPr>
          <w:rFonts w:ascii="Times New Roman" w:hAnsi="Times New Roman" w:cs="Times New Roman"/>
          <w:lang w:val="ru-RU"/>
        </w:rPr>
      </w:pPr>
      <w:r w:rsidRPr="00CE4D0B">
        <w:rPr>
          <w:rStyle w:val="af2"/>
          <w:rFonts w:ascii="Times New Roman" w:hAnsi="Times New Roman" w:cs="Times New Roman"/>
        </w:rPr>
        <w:footnoteRef/>
      </w:r>
      <w:r w:rsidRPr="00CE4D0B">
        <w:rPr>
          <w:rFonts w:ascii="Times New Roman" w:hAnsi="Times New Roman" w:cs="Times New Roman"/>
          <w:lang w:val="ru-RU"/>
        </w:rPr>
        <w:t xml:space="preserve"> </w:t>
      </w:r>
      <w:hyperlink r:id="rId3" w:history="1">
        <w:r w:rsidRPr="00CE4D0B">
          <w:rPr>
            <w:rStyle w:val="ad"/>
            <w:rFonts w:ascii="Times New Roman" w:hAnsi="Times New Roman" w:cs="Times New Roman"/>
            <w:sz w:val="18"/>
          </w:rPr>
          <w:t>https</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geographyofrussia</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com</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sejsmichnost</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rossii</w:t>
        </w:r>
        <w:r w:rsidRPr="00CE4D0B">
          <w:rPr>
            <w:rStyle w:val="ad"/>
            <w:rFonts w:ascii="Times New Roman" w:hAnsi="Times New Roman" w:cs="Times New Roman"/>
            <w:sz w:val="18"/>
            <w:lang w:val="ru-RU"/>
          </w:rPr>
          <w:t>/</w:t>
        </w:r>
      </w:hyperlink>
    </w:p>
  </w:footnote>
  <w:footnote w:id="5">
    <w:p w14:paraId="53D19F38" w14:textId="77777777" w:rsidR="0090366A" w:rsidRPr="00CE4D0B" w:rsidRDefault="0090366A" w:rsidP="00DB474C">
      <w:pPr>
        <w:pStyle w:val="af3"/>
        <w:rPr>
          <w:rFonts w:ascii="Times New Roman" w:hAnsi="Times New Roman" w:cs="Times New Roman"/>
          <w:lang w:val="ru-RU"/>
        </w:rPr>
      </w:pPr>
      <w:r w:rsidRPr="00CE4D0B">
        <w:rPr>
          <w:rStyle w:val="af2"/>
          <w:rFonts w:ascii="Times New Roman" w:hAnsi="Times New Roman" w:cs="Times New Roman"/>
        </w:rPr>
        <w:footnoteRef/>
      </w:r>
      <w:r w:rsidRPr="00CE4D0B">
        <w:rPr>
          <w:rFonts w:ascii="Times New Roman" w:hAnsi="Times New Roman" w:cs="Times New Roman"/>
          <w:lang w:val="ru-RU"/>
        </w:rPr>
        <w:t xml:space="preserve"> </w:t>
      </w:r>
      <w:hyperlink r:id="rId4" w:history="1">
        <w:r w:rsidRPr="00CE4D0B">
          <w:rPr>
            <w:rStyle w:val="ad"/>
            <w:rFonts w:ascii="Times New Roman" w:hAnsi="Times New Roman" w:cs="Times New Roman"/>
            <w:sz w:val="18"/>
          </w:rPr>
          <w:t>https</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www</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advantour</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com</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rus</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russia</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economy</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natural</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resources</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htm</w:t>
        </w:r>
      </w:hyperlink>
    </w:p>
  </w:footnote>
  <w:footnote w:id="6">
    <w:p w14:paraId="2BD600BC" w14:textId="77777777" w:rsidR="0090366A" w:rsidRPr="00113E85" w:rsidRDefault="0090366A" w:rsidP="00DB474C">
      <w:pPr>
        <w:pStyle w:val="af3"/>
        <w:rPr>
          <w:lang w:val="ru-RU"/>
        </w:rPr>
      </w:pPr>
      <w:r w:rsidRPr="00CE4D0B">
        <w:rPr>
          <w:rStyle w:val="af2"/>
          <w:rFonts w:ascii="Times New Roman" w:hAnsi="Times New Roman" w:cs="Times New Roman"/>
        </w:rPr>
        <w:footnoteRef/>
      </w:r>
      <w:hyperlink r:id="rId5" w:tgtFrame="blank" w:history="1">
        <w:r w:rsidRPr="00CE4D0B">
          <w:rPr>
            <w:rStyle w:val="ad"/>
            <w:rFonts w:ascii="Times New Roman" w:hAnsi="Times New Roman" w:cs="Times New Roman"/>
            <w:sz w:val="18"/>
          </w:rPr>
          <w:t>https</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ru</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wikipedia</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org</w:t>
        </w:r>
        <w:r w:rsidRPr="00CE4D0B">
          <w:rPr>
            <w:rStyle w:val="ad"/>
            <w:rFonts w:ascii="Times New Roman" w:hAnsi="Times New Roman" w:cs="Times New Roman"/>
            <w:sz w:val="18"/>
            <w:lang w:val="ru-RU"/>
          </w:rPr>
          <w:t>/</w:t>
        </w:r>
        <w:r w:rsidRPr="00CE4D0B">
          <w:rPr>
            <w:rStyle w:val="ad"/>
            <w:rFonts w:ascii="Times New Roman" w:hAnsi="Times New Roman" w:cs="Times New Roman"/>
            <w:sz w:val="18"/>
          </w:rPr>
          <w:t>wiki</w:t>
        </w:r>
        <w:r w:rsidRPr="00CE4D0B">
          <w:rPr>
            <w:rStyle w:val="ad"/>
            <w:rFonts w:ascii="Times New Roman" w:hAnsi="Times New Roman" w:cs="Times New Roman"/>
            <w:sz w:val="18"/>
            <w:lang w:val="ru-RU"/>
          </w:rPr>
          <w:t>/Полезные_ископаемые_России</w:t>
        </w:r>
      </w:hyperlink>
    </w:p>
  </w:footnote>
  <w:footnote w:id="7">
    <w:p w14:paraId="4BE6FA86" w14:textId="77777777" w:rsidR="0090366A" w:rsidRPr="00FD1970" w:rsidRDefault="0090366A" w:rsidP="00DB474C">
      <w:pPr>
        <w:pStyle w:val="af3"/>
        <w:rPr>
          <w:lang w:val="ru-RU"/>
        </w:rPr>
      </w:pPr>
      <w:r>
        <w:rPr>
          <w:rStyle w:val="af2"/>
        </w:rPr>
        <w:footnoteRef/>
      </w:r>
      <w:hyperlink r:id="rId6" w:history="1">
        <w:r w:rsidRPr="00FD1970">
          <w:rPr>
            <w:rStyle w:val="ad"/>
            <w:rFonts w:ascii="Times New Roman" w:hAnsi="Times New Roman" w:cs="Times New Roman"/>
            <w:sz w:val="18"/>
            <w:lang w:val="ru-RU"/>
          </w:rPr>
          <w:t>https://finexpertiza.ru/press-service/researches/2022/rekord-vysok-zagr-vozd/</w:t>
        </w:r>
      </w:hyperlink>
    </w:p>
  </w:footnote>
  <w:footnote w:id="8">
    <w:p w14:paraId="7725B26E" w14:textId="77777777" w:rsidR="0090366A" w:rsidRPr="00DD4698" w:rsidRDefault="0090366A" w:rsidP="00DB474C">
      <w:pPr>
        <w:pStyle w:val="af3"/>
        <w:rPr>
          <w:lang w:val="ru-RU"/>
        </w:rPr>
      </w:pPr>
      <w:r>
        <w:rPr>
          <w:rStyle w:val="af2"/>
        </w:rPr>
        <w:footnoteRef/>
      </w:r>
      <w:r w:rsidRPr="00DD4698">
        <w:rPr>
          <w:lang w:val="ru-RU"/>
        </w:rPr>
        <w:t xml:space="preserve"> </w:t>
      </w:r>
      <w:r w:rsidRPr="008270A3">
        <w:rPr>
          <w:rStyle w:val="ad"/>
          <w:rFonts w:ascii="Times New Roman" w:hAnsi="Times New Roman" w:cs="Times New Roman"/>
          <w:sz w:val="18"/>
          <w:szCs w:val="20"/>
          <w:lang w:val="ru-RU"/>
        </w:rPr>
        <w:t>Доклад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январь 2022 года (стр. 257) </w:t>
      </w:r>
      <w:hyperlink r:id="rId7" w:history="1">
        <w:r w:rsidRPr="006D335F">
          <w:rPr>
            <w:rStyle w:val="ad"/>
            <w:rFonts w:ascii="Times New Roman" w:hAnsi="Times New Roman" w:cs="Times New Roman"/>
            <w:sz w:val="18"/>
            <w:szCs w:val="20"/>
            <w:lang w:val="ru-RU"/>
          </w:rPr>
          <w:t>https://rosstat.gov.ru/storage/mediabank/osn-01-2022.pdf</w:t>
        </w:r>
      </w:hyperlink>
    </w:p>
  </w:footnote>
  <w:footnote w:id="9">
    <w:p w14:paraId="7C3B184C" w14:textId="77777777" w:rsidR="0090366A" w:rsidRPr="00B95840" w:rsidRDefault="0090366A" w:rsidP="00DB474C">
      <w:pPr>
        <w:pStyle w:val="af3"/>
        <w:rPr>
          <w:lang w:val="ru-RU"/>
        </w:rPr>
      </w:pPr>
      <w:r>
        <w:rPr>
          <w:rStyle w:val="af2"/>
        </w:rPr>
        <w:footnoteRef/>
      </w:r>
      <w:r w:rsidRPr="00B95840">
        <w:rPr>
          <w:lang w:val="ru-RU"/>
        </w:rPr>
        <w:t xml:space="preserve"> </w:t>
      </w:r>
      <w:r w:rsidRPr="008270A3">
        <w:rPr>
          <w:rStyle w:val="ad"/>
          <w:rFonts w:ascii="Times New Roman" w:hAnsi="Times New Roman" w:cs="Times New Roman"/>
          <w:sz w:val="18"/>
          <w:szCs w:val="20"/>
          <w:lang w:val="ru-RU"/>
        </w:rPr>
        <w:t>Доклад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2021 год (стр. 214)  </w:t>
      </w:r>
      <w:hyperlink r:id="rId8" w:history="1">
        <w:r w:rsidRPr="006D335F">
          <w:rPr>
            <w:rStyle w:val="ad"/>
            <w:rFonts w:ascii="Times New Roman" w:hAnsi="Times New Roman" w:cs="Times New Roman"/>
            <w:sz w:val="18"/>
            <w:szCs w:val="20"/>
            <w:lang w:val="ru-RU"/>
          </w:rPr>
          <w:t>https://rosstat.gov.ru/storage/mediabank/osn-12-2021.pdf</w:t>
        </w:r>
      </w:hyperlink>
    </w:p>
  </w:footnote>
  <w:footnote w:id="10">
    <w:p w14:paraId="02202302" w14:textId="77777777" w:rsidR="0090366A" w:rsidRPr="00DD4698" w:rsidRDefault="0090366A" w:rsidP="00DB474C">
      <w:pPr>
        <w:pStyle w:val="af3"/>
        <w:rPr>
          <w:rFonts w:ascii="Times New Roman" w:hAnsi="Times New Roman" w:cs="Times New Roman"/>
          <w:sz w:val="18"/>
          <w:szCs w:val="20"/>
          <w:lang w:val="ru-RU"/>
        </w:rPr>
      </w:pPr>
      <w:r>
        <w:rPr>
          <w:rStyle w:val="af2"/>
        </w:rPr>
        <w:footnoteRef/>
      </w:r>
      <w:r w:rsidRPr="00DD4698">
        <w:rPr>
          <w:lang w:val="ru-RU"/>
        </w:rPr>
        <w:t xml:space="preserve"> </w:t>
      </w:r>
      <w:r w:rsidRPr="008270A3">
        <w:rPr>
          <w:rStyle w:val="ad"/>
          <w:rFonts w:ascii="Times New Roman" w:hAnsi="Times New Roman" w:cs="Times New Roman"/>
          <w:sz w:val="18"/>
          <w:szCs w:val="20"/>
          <w:lang w:val="ru-RU"/>
        </w:rPr>
        <w:t>Доклад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январь 2022 года (стр. 221) </w:t>
      </w:r>
      <w:hyperlink r:id="rId9" w:history="1">
        <w:r w:rsidRPr="006D335F">
          <w:rPr>
            <w:rStyle w:val="ad"/>
            <w:rFonts w:ascii="Times New Roman" w:hAnsi="Times New Roman" w:cs="Times New Roman"/>
            <w:sz w:val="18"/>
            <w:szCs w:val="20"/>
            <w:lang w:val="ru-RU"/>
          </w:rPr>
          <w:t>https://rosstat.gov.ru/storage/mediabank/osn-01-2022.pdf</w:t>
        </w:r>
      </w:hyperlink>
    </w:p>
  </w:footnote>
  <w:footnote w:id="11">
    <w:p w14:paraId="25EBBFE5" w14:textId="77777777" w:rsidR="0090366A" w:rsidRPr="00DD4698" w:rsidRDefault="0090366A" w:rsidP="00DB474C">
      <w:pPr>
        <w:pStyle w:val="af3"/>
        <w:rPr>
          <w:rFonts w:ascii="Times New Roman" w:hAnsi="Times New Roman" w:cs="Times New Roman"/>
          <w:sz w:val="18"/>
          <w:szCs w:val="20"/>
          <w:lang w:val="ru-RU"/>
        </w:rPr>
      </w:pPr>
      <w:r>
        <w:rPr>
          <w:rStyle w:val="af2"/>
        </w:rPr>
        <w:footnoteRef/>
      </w:r>
      <w:r w:rsidRPr="00DD4698">
        <w:rPr>
          <w:lang w:val="ru-RU"/>
        </w:rPr>
        <w:t xml:space="preserve"> </w:t>
      </w:r>
      <w:r w:rsidRPr="008270A3">
        <w:rPr>
          <w:rStyle w:val="ad"/>
          <w:rFonts w:ascii="Times New Roman" w:hAnsi="Times New Roman" w:cs="Times New Roman"/>
          <w:sz w:val="18"/>
          <w:szCs w:val="20"/>
          <w:lang w:val="ru-RU"/>
        </w:rPr>
        <w:t>Доклад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2021 год (стр. 226)  </w:t>
      </w:r>
      <w:hyperlink r:id="rId10" w:history="1">
        <w:r w:rsidRPr="006D335F">
          <w:rPr>
            <w:rStyle w:val="ad"/>
            <w:rFonts w:ascii="Times New Roman" w:hAnsi="Times New Roman" w:cs="Times New Roman"/>
            <w:sz w:val="18"/>
            <w:szCs w:val="20"/>
            <w:lang w:val="ru-RU"/>
          </w:rPr>
          <w:t>https://rosstat.gov.ru/storage/mediabank/osn-12-2021.pdf</w:t>
        </w:r>
      </w:hyperlink>
    </w:p>
  </w:footnote>
  <w:footnote w:id="12">
    <w:p w14:paraId="602D8890" w14:textId="77777777" w:rsidR="0090366A" w:rsidRPr="00DD4698" w:rsidRDefault="0090366A" w:rsidP="00DB474C">
      <w:pPr>
        <w:pStyle w:val="af3"/>
        <w:rPr>
          <w:lang w:val="ru-RU"/>
        </w:rPr>
      </w:pPr>
      <w:r>
        <w:rPr>
          <w:rStyle w:val="af2"/>
        </w:rPr>
        <w:footnoteRef/>
      </w:r>
      <w:r w:rsidRPr="00DD4698">
        <w:rPr>
          <w:lang w:val="ru-RU"/>
        </w:rPr>
        <w:t xml:space="preserve"> </w:t>
      </w:r>
      <w:r>
        <w:rPr>
          <w:lang w:val="ru-RU"/>
        </w:rPr>
        <w:t>Д</w:t>
      </w:r>
      <w:r w:rsidRPr="008270A3">
        <w:rPr>
          <w:rStyle w:val="ad"/>
          <w:rFonts w:ascii="Times New Roman" w:hAnsi="Times New Roman" w:cs="Times New Roman"/>
          <w:sz w:val="18"/>
          <w:szCs w:val="20"/>
          <w:lang w:val="ru-RU"/>
        </w:rPr>
        <w:t>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2021 год (стр. 234)  </w:t>
      </w:r>
      <w:hyperlink r:id="rId11" w:history="1">
        <w:r w:rsidRPr="006D335F">
          <w:rPr>
            <w:rStyle w:val="ad"/>
            <w:rFonts w:ascii="Times New Roman" w:hAnsi="Times New Roman" w:cs="Times New Roman"/>
            <w:sz w:val="18"/>
            <w:szCs w:val="20"/>
            <w:lang w:val="ru-RU"/>
          </w:rPr>
          <w:t>https://rosstat.gov.ru/storage/mediabank/osn-12-2021.pdf</w:t>
        </w:r>
      </w:hyperlink>
    </w:p>
  </w:footnote>
  <w:footnote w:id="13">
    <w:p w14:paraId="4DDCDB05" w14:textId="77777777" w:rsidR="0090366A" w:rsidRPr="00835CFE" w:rsidRDefault="0090366A" w:rsidP="00DB474C">
      <w:pPr>
        <w:pStyle w:val="af3"/>
        <w:rPr>
          <w:lang w:val="ru-RU"/>
        </w:rPr>
      </w:pPr>
      <w:r>
        <w:rPr>
          <w:rStyle w:val="af2"/>
        </w:rPr>
        <w:footnoteRef/>
      </w:r>
      <w:r w:rsidRPr="00835CFE">
        <w:rPr>
          <w:lang w:val="ru-RU"/>
        </w:rPr>
        <w:t xml:space="preserve"> </w:t>
      </w:r>
      <w:r>
        <w:rPr>
          <w:lang w:val="ru-RU"/>
        </w:rPr>
        <w:t>Д</w:t>
      </w:r>
      <w:r w:rsidRPr="008270A3">
        <w:rPr>
          <w:rStyle w:val="ad"/>
          <w:rFonts w:ascii="Times New Roman" w:hAnsi="Times New Roman" w:cs="Times New Roman"/>
          <w:sz w:val="18"/>
          <w:szCs w:val="20"/>
          <w:lang w:val="ru-RU"/>
        </w:rPr>
        <w:t>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2021 год (стр. 239)  </w:t>
      </w:r>
      <w:hyperlink r:id="rId12" w:history="1">
        <w:r w:rsidRPr="006D335F">
          <w:rPr>
            <w:rStyle w:val="ad"/>
            <w:rFonts w:ascii="Times New Roman" w:hAnsi="Times New Roman" w:cs="Times New Roman"/>
            <w:sz w:val="18"/>
            <w:szCs w:val="20"/>
            <w:lang w:val="ru-RU"/>
          </w:rPr>
          <w:t>https://rosstat.gov.ru/storage/mediabank/osn-12-2021.pdf</w:t>
        </w:r>
      </w:hyperlink>
    </w:p>
  </w:footnote>
  <w:footnote w:id="14">
    <w:p w14:paraId="2CCB3F6F" w14:textId="77777777" w:rsidR="0090366A" w:rsidRPr="00835CFE" w:rsidRDefault="0090366A" w:rsidP="00DB474C">
      <w:pPr>
        <w:pStyle w:val="af3"/>
        <w:rPr>
          <w:lang w:val="ru-RU"/>
        </w:rPr>
      </w:pPr>
      <w:r>
        <w:rPr>
          <w:rStyle w:val="af2"/>
        </w:rPr>
        <w:footnoteRef/>
      </w:r>
      <w:r w:rsidRPr="00835CFE">
        <w:rPr>
          <w:lang w:val="ru-RU"/>
        </w:rPr>
        <w:t xml:space="preserve"> </w:t>
      </w:r>
      <w:r w:rsidRPr="008270A3">
        <w:rPr>
          <w:rStyle w:val="ad"/>
          <w:rFonts w:ascii="Times New Roman" w:hAnsi="Times New Roman" w:cs="Times New Roman"/>
          <w:sz w:val="18"/>
          <w:szCs w:val="20"/>
          <w:lang w:val="ru-RU"/>
        </w:rPr>
        <w:t>Доклад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январь 2022 года (стр. 7) </w:t>
      </w:r>
      <w:hyperlink r:id="rId13" w:history="1">
        <w:r w:rsidRPr="006D335F">
          <w:rPr>
            <w:rStyle w:val="ad"/>
            <w:rFonts w:ascii="Times New Roman" w:hAnsi="Times New Roman" w:cs="Times New Roman"/>
            <w:sz w:val="18"/>
            <w:szCs w:val="20"/>
            <w:lang w:val="ru-RU"/>
          </w:rPr>
          <w:t>https://rosstat.gov.ru/storage/mediabank/osn-01-2022.pdf</w:t>
        </w:r>
      </w:hyperlink>
    </w:p>
  </w:footnote>
  <w:footnote w:id="15">
    <w:p w14:paraId="0C4D5F64" w14:textId="77777777" w:rsidR="0090366A" w:rsidRPr="00835CFE" w:rsidRDefault="0090366A" w:rsidP="00DB474C">
      <w:pPr>
        <w:pStyle w:val="af3"/>
        <w:rPr>
          <w:lang w:val="ru-RU"/>
        </w:rPr>
      </w:pPr>
      <w:r>
        <w:rPr>
          <w:rStyle w:val="af2"/>
        </w:rPr>
        <w:footnoteRef/>
      </w:r>
      <w:r w:rsidRPr="00835CFE">
        <w:rPr>
          <w:lang w:val="ru-RU"/>
        </w:rPr>
        <w:t xml:space="preserve"> </w:t>
      </w:r>
      <w:r>
        <w:rPr>
          <w:lang w:val="ru-RU"/>
        </w:rPr>
        <w:t>Д</w:t>
      </w:r>
      <w:r w:rsidRPr="008270A3">
        <w:rPr>
          <w:rStyle w:val="ad"/>
          <w:rFonts w:ascii="Times New Roman" w:hAnsi="Times New Roman" w:cs="Times New Roman"/>
          <w:sz w:val="18"/>
          <w:szCs w:val="20"/>
          <w:lang w:val="ru-RU"/>
        </w:rPr>
        <w:t>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2021 год (стр. 20)  </w:t>
      </w:r>
      <w:hyperlink r:id="rId14" w:history="1">
        <w:r w:rsidRPr="006D335F">
          <w:rPr>
            <w:rStyle w:val="ad"/>
            <w:rFonts w:ascii="Times New Roman" w:hAnsi="Times New Roman" w:cs="Times New Roman"/>
            <w:sz w:val="18"/>
            <w:szCs w:val="20"/>
            <w:lang w:val="ru-RU"/>
          </w:rPr>
          <w:t>https://rosstat.gov.ru/storage/mediabank/osn-12-2021.pdf</w:t>
        </w:r>
      </w:hyperlink>
    </w:p>
  </w:footnote>
  <w:footnote w:id="16">
    <w:p w14:paraId="0F513F8C" w14:textId="77777777" w:rsidR="0090366A" w:rsidRPr="00835CFE" w:rsidRDefault="0090366A" w:rsidP="00DB474C">
      <w:pPr>
        <w:pStyle w:val="af3"/>
        <w:rPr>
          <w:lang w:val="ru-RU"/>
        </w:rPr>
      </w:pPr>
      <w:r>
        <w:rPr>
          <w:rStyle w:val="af2"/>
        </w:rPr>
        <w:footnoteRef/>
      </w:r>
      <w:r w:rsidRPr="00835CFE">
        <w:rPr>
          <w:lang w:val="ru-RU"/>
        </w:rPr>
        <w:t xml:space="preserve"> </w:t>
      </w:r>
      <w:r>
        <w:rPr>
          <w:lang w:val="ru-RU"/>
        </w:rPr>
        <w:t>Д</w:t>
      </w:r>
      <w:r w:rsidRPr="008270A3">
        <w:rPr>
          <w:rStyle w:val="ad"/>
          <w:rFonts w:ascii="Times New Roman" w:hAnsi="Times New Roman" w:cs="Times New Roman"/>
          <w:sz w:val="18"/>
          <w:szCs w:val="20"/>
          <w:lang w:val="ru-RU"/>
        </w:rPr>
        <w:t>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2021 год (стр. 79)  </w:t>
      </w:r>
      <w:hyperlink r:id="rId15" w:history="1">
        <w:r w:rsidRPr="006D335F">
          <w:rPr>
            <w:rStyle w:val="ad"/>
            <w:rFonts w:ascii="Times New Roman" w:hAnsi="Times New Roman" w:cs="Times New Roman"/>
            <w:sz w:val="18"/>
            <w:szCs w:val="20"/>
            <w:lang w:val="ru-RU"/>
          </w:rPr>
          <w:t>https://rosstat.gov.ru/storage/mediabank/osn-12-2021.pdf</w:t>
        </w:r>
      </w:hyperlink>
    </w:p>
  </w:footnote>
  <w:footnote w:id="17">
    <w:p w14:paraId="3AFF8486" w14:textId="77777777" w:rsidR="0090366A" w:rsidRPr="00106EB9" w:rsidRDefault="0090366A" w:rsidP="00DB474C">
      <w:pPr>
        <w:pStyle w:val="af3"/>
        <w:rPr>
          <w:lang w:val="ru-RU"/>
        </w:rPr>
      </w:pPr>
      <w:r>
        <w:rPr>
          <w:rStyle w:val="af2"/>
        </w:rPr>
        <w:footnoteRef/>
      </w:r>
      <w:r w:rsidRPr="00106EB9">
        <w:rPr>
          <w:lang w:val="ru-RU"/>
        </w:rPr>
        <w:t xml:space="preserve"> </w:t>
      </w:r>
      <w:r>
        <w:rPr>
          <w:lang w:val="ru-RU"/>
        </w:rPr>
        <w:t>Д</w:t>
      </w:r>
      <w:r w:rsidRPr="008270A3">
        <w:rPr>
          <w:rStyle w:val="ad"/>
          <w:rFonts w:ascii="Times New Roman" w:hAnsi="Times New Roman" w:cs="Times New Roman"/>
          <w:sz w:val="18"/>
          <w:szCs w:val="20"/>
          <w:lang w:val="ru-RU"/>
        </w:rPr>
        <w:t>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2021 год (стр. 89)  </w:t>
      </w:r>
      <w:hyperlink r:id="rId16" w:history="1">
        <w:r w:rsidRPr="006D335F">
          <w:rPr>
            <w:rStyle w:val="ad"/>
            <w:rFonts w:ascii="Times New Roman" w:hAnsi="Times New Roman" w:cs="Times New Roman"/>
            <w:sz w:val="18"/>
            <w:szCs w:val="20"/>
            <w:lang w:val="ru-RU"/>
          </w:rPr>
          <w:t>https://rosstat.gov.ru/storage/mediabank/osn-12-2021.pdf</w:t>
        </w:r>
      </w:hyperlink>
    </w:p>
  </w:footnote>
  <w:footnote w:id="18">
    <w:p w14:paraId="778BD807" w14:textId="77777777" w:rsidR="0090366A" w:rsidRPr="00A75062" w:rsidRDefault="0090366A" w:rsidP="00DB474C">
      <w:pPr>
        <w:pStyle w:val="af3"/>
        <w:rPr>
          <w:lang w:val="ru-RU"/>
        </w:rPr>
      </w:pPr>
      <w:r>
        <w:rPr>
          <w:rStyle w:val="af2"/>
        </w:rPr>
        <w:footnoteRef/>
      </w:r>
      <w:r w:rsidRPr="00A75062">
        <w:rPr>
          <w:lang w:val="ru-RU"/>
        </w:rPr>
        <w:t xml:space="preserve"> </w:t>
      </w:r>
      <w:r>
        <w:rPr>
          <w:lang w:val="ru-RU"/>
        </w:rPr>
        <w:t>Д</w:t>
      </w:r>
      <w:r w:rsidRPr="008270A3">
        <w:rPr>
          <w:rStyle w:val="ad"/>
          <w:rFonts w:ascii="Times New Roman" w:hAnsi="Times New Roman" w:cs="Times New Roman"/>
          <w:sz w:val="18"/>
          <w:szCs w:val="20"/>
          <w:lang w:val="ru-RU"/>
        </w:rPr>
        <w:t>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2021 год (стр. 91)  </w:t>
      </w:r>
      <w:hyperlink r:id="rId17" w:history="1">
        <w:r w:rsidRPr="006D335F">
          <w:rPr>
            <w:rStyle w:val="ad"/>
            <w:rFonts w:ascii="Times New Roman" w:hAnsi="Times New Roman" w:cs="Times New Roman"/>
            <w:sz w:val="18"/>
            <w:szCs w:val="20"/>
            <w:lang w:val="ru-RU"/>
          </w:rPr>
          <w:t>https://rosstat.gov.ru/storage/mediabank/osn-12-2021.pdf</w:t>
        </w:r>
      </w:hyperlink>
    </w:p>
  </w:footnote>
  <w:footnote w:id="19">
    <w:p w14:paraId="4AEB6C18" w14:textId="77777777" w:rsidR="0090366A" w:rsidRPr="00A75062" w:rsidRDefault="0090366A" w:rsidP="00DB474C">
      <w:pPr>
        <w:pStyle w:val="af3"/>
        <w:rPr>
          <w:lang w:val="ru-RU"/>
        </w:rPr>
      </w:pPr>
      <w:r>
        <w:rPr>
          <w:rStyle w:val="af2"/>
        </w:rPr>
        <w:footnoteRef/>
      </w:r>
      <w:r w:rsidRPr="00A75062">
        <w:rPr>
          <w:lang w:val="ru-RU"/>
        </w:rPr>
        <w:t xml:space="preserve"> </w:t>
      </w:r>
      <w:r>
        <w:rPr>
          <w:lang w:val="ru-RU"/>
        </w:rPr>
        <w:t>Д</w:t>
      </w:r>
      <w:r w:rsidRPr="008270A3">
        <w:rPr>
          <w:rStyle w:val="ad"/>
          <w:rFonts w:ascii="Times New Roman" w:hAnsi="Times New Roman" w:cs="Times New Roman"/>
          <w:sz w:val="18"/>
          <w:szCs w:val="20"/>
          <w:lang w:val="ru-RU"/>
        </w:rPr>
        <w:t>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2021 год (стр. 94)  </w:t>
      </w:r>
      <w:hyperlink r:id="rId18" w:history="1">
        <w:r w:rsidRPr="006D335F">
          <w:rPr>
            <w:rStyle w:val="ad"/>
            <w:rFonts w:ascii="Times New Roman" w:hAnsi="Times New Roman" w:cs="Times New Roman"/>
            <w:sz w:val="18"/>
            <w:szCs w:val="20"/>
            <w:lang w:val="ru-RU"/>
          </w:rPr>
          <w:t>https://rosstat.gov.ru/storage/mediabank/osn-12-2021.pdf</w:t>
        </w:r>
      </w:hyperlink>
    </w:p>
  </w:footnote>
  <w:footnote w:id="20">
    <w:p w14:paraId="449EAFC2" w14:textId="77777777" w:rsidR="0090366A" w:rsidRPr="00D54310" w:rsidRDefault="0090366A" w:rsidP="00DB474C">
      <w:pPr>
        <w:pStyle w:val="af3"/>
        <w:rPr>
          <w:lang w:val="ru-RU"/>
        </w:rPr>
      </w:pPr>
      <w:r>
        <w:rPr>
          <w:rStyle w:val="af2"/>
        </w:rPr>
        <w:footnoteRef/>
      </w:r>
      <w:r w:rsidRPr="00D54310">
        <w:rPr>
          <w:lang w:val="ru-RU"/>
        </w:rPr>
        <w:t xml:space="preserve"> </w:t>
      </w:r>
      <w:r>
        <w:rPr>
          <w:lang w:val="ru-RU"/>
        </w:rPr>
        <w:t>Д</w:t>
      </w:r>
      <w:r w:rsidRPr="008270A3">
        <w:rPr>
          <w:rStyle w:val="ad"/>
          <w:rFonts w:ascii="Times New Roman" w:hAnsi="Times New Roman" w:cs="Times New Roman"/>
          <w:sz w:val="18"/>
          <w:szCs w:val="20"/>
          <w:lang w:val="ru-RU"/>
        </w:rPr>
        <w:t>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2021 год (стр. 98)  </w:t>
      </w:r>
      <w:hyperlink r:id="rId19" w:history="1">
        <w:r w:rsidRPr="006D335F">
          <w:rPr>
            <w:rStyle w:val="ad"/>
            <w:rFonts w:ascii="Times New Roman" w:hAnsi="Times New Roman" w:cs="Times New Roman"/>
            <w:sz w:val="18"/>
            <w:szCs w:val="20"/>
            <w:lang w:val="ru-RU"/>
          </w:rPr>
          <w:t>https://rosstat.gov.ru/storage/mediabank/osn-12-2021.pdf</w:t>
        </w:r>
      </w:hyperlink>
    </w:p>
  </w:footnote>
  <w:footnote w:id="21">
    <w:p w14:paraId="16C9738E" w14:textId="77777777" w:rsidR="0090366A" w:rsidRPr="00CB612A" w:rsidRDefault="0090366A" w:rsidP="00DB474C">
      <w:pPr>
        <w:pStyle w:val="af3"/>
        <w:rPr>
          <w:lang w:val="ru-RU"/>
        </w:rPr>
      </w:pPr>
      <w:r>
        <w:rPr>
          <w:rStyle w:val="af2"/>
        </w:rPr>
        <w:footnoteRef/>
      </w:r>
      <w:r w:rsidRPr="00CB612A">
        <w:rPr>
          <w:lang w:val="ru-RU"/>
        </w:rPr>
        <w:t xml:space="preserve"> </w:t>
      </w:r>
      <w:r>
        <w:rPr>
          <w:lang w:val="ru-RU"/>
        </w:rPr>
        <w:t>Д</w:t>
      </w:r>
      <w:r w:rsidRPr="008270A3">
        <w:rPr>
          <w:rStyle w:val="ad"/>
          <w:rFonts w:ascii="Times New Roman" w:hAnsi="Times New Roman" w:cs="Times New Roman"/>
          <w:sz w:val="18"/>
          <w:szCs w:val="20"/>
          <w:lang w:val="ru-RU"/>
        </w:rPr>
        <w:t>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2021 год (стр. 100)  </w:t>
      </w:r>
      <w:hyperlink r:id="rId20" w:history="1">
        <w:r w:rsidRPr="006D335F">
          <w:rPr>
            <w:rStyle w:val="ad"/>
            <w:rFonts w:ascii="Times New Roman" w:hAnsi="Times New Roman" w:cs="Times New Roman"/>
            <w:sz w:val="18"/>
            <w:szCs w:val="20"/>
            <w:lang w:val="ru-RU"/>
          </w:rPr>
          <w:t>https://rosstat.gov.ru/storage/mediabank/osn-12-2021.pdf</w:t>
        </w:r>
      </w:hyperlink>
    </w:p>
  </w:footnote>
  <w:footnote w:id="22">
    <w:p w14:paraId="4962CC67" w14:textId="77777777" w:rsidR="0090366A" w:rsidRPr="00595E83" w:rsidRDefault="0090366A" w:rsidP="00DB474C">
      <w:pPr>
        <w:pStyle w:val="af3"/>
        <w:rPr>
          <w:lang w:val="ru-RU"/>
        </w:rPr>
      </w:pPr>
      <w:r>
        <w:rPr>
          <w:rStyle w:val="af2"/>
        </w:rPr>
        <w:footnoteRef/>
      </w:r>
      <w:r w:rsidRPr="00595E83">
        <w:rPr>
          <w:lang w:val="ru-RU"/>
        </w:rPr>
        <w:t xml:space="preserve"> </w:t>
      </w:r>
      <w:r>
        <w:rPr>
          <w:lang w:val="ru-RU"/>
        </w:rPr>
        <w:t>Д</w:t>
      </w:r>
      <w:r w:rsidRPr="008270A3">
        <w:rPr>
          <w:rStyle w:val="ad"/>
          <w:rFonts w:ascii="Times New Roman" w:hAnsi="Times New Roman" w:cs="Times New Roman"/>
          <w:sz w:val="18"/>
          <w:szCs w:val="20"/>
          <w:lang w:val="ru-RU"/>
        </w:rPr>
        <w:t>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2021 год (стр. 103)  </w:t>
      </w:r>
      <w:hyperlink r:id="rId21" w:history="1">
        <w:r w:rsidRPr="006D335F">
          <w:rPr>
            <w:rStyle w:val="ad"/>
            <w:rFonts w:ascii="Times New Roman" w:hAnsi="Times New Roman" w:cs="Times New Roman"/>
            <w:sz w:val="18"/>
            <w:szCs w:val="20"/>
            <w:lang w:val="ru-RU"/>
          </w:rPr>
          <w:t>https://rosstat.gov.ru/storage/mediabank/osn-12-2021.pdf</w:t>
        </w:r>
      </w:hyperlink>
    </w:p>
  </w:footnote>
  <w:footnote w:id="23">
    <w:p w14:paraId="6E485FA3" w14:textId="77777777" w:rsidR="0090366A" w:rsidRPr="004E2CDD" w:rsidRDefault="0090366A" w:rsidP="00DB474C">
      <w:pPr>
        <w:pStyle w:val="af3"/>
        <w:rPr>
          <w:lang w:val="ru-RU"/>
        </w:rPr>
      </w:pPr>
      <w:r>
        <w:rPr>
          <w:rStyle w:val="af2"/>
        </w:rPr>
        <w:footnoteRef/>
      </w:r>
      <w:r w:rsidRPr="004E2CDD">
        <w:rPr>
          <w:lang w:val="ru-RU"/>
        </w:rPr>
        <w:t xml:space="preserve"> </w:t>
      </w:r>
      <w:r>
        <w:rPr>
          <w:lang w:val="ru-RU"/>
        </w:rPr>
        <w:t>Д</w:t>
      </w:r>
      <w:r w:rsidRPr="008270A3">
        <w:rPr>
          <w:rStyle w:val="ad"/>
          <w:rFonts w:ascii="Times New Roman" w:hAnsi="Times New Roman" w:cs="Times New Roman"/>
          <w:sz w:val="18"/>
          <w:szCs w:val="20"/>
          <w:lang w:val="ru-RU"/>
        </w:rPr>
        <w:t>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2021 год (стр. 115)  </w:t>
      </w:r>
      <w:hyperlink r:id="rId22" w:history="1">
        <w:r w:rsidRPr="006D335F">
          <w:rPr>
            <w:rStyle w:val="ad"/>
            <w:rFonts w:ascii="Times New Roman" w:hAnsi="Times New Roman" w:cs="Times New Roman"/>
            <w:sz w:val="18"/>
            <w:szCs w:val="20"/>
            <w:lang w:val="ru-RU"/>
          </w:rPr>
          <w:t>https://rosstat.gov.ru/storage/mediabank/osn-12-2021.pdf</w:t>
        </w:r>
      </w:hyperlink>
    </w:p>
  </w:footnote>
  <w:footnote w:id="24">
    <w:p w14:paraId="6989D058" w14:textId="77777777" w:rsidR="0090366A" w:rsidRPr="004E2CDD" w:rsidRDefault="0090366A" w:rsidP="00DB474C">
      <w:pPr>
        <w:pStyle w:val="af3"/>
        <w:rPr>
          <w:lang w:val="ru-RU"/>
        </w:rPr>
      </w:pPr>
      <w:r>
        <w:rPr>
          <w:rStyle w:val="af2"/>
        </w:rPr>
        <w:footnoteRef/>
      </w:r>
      <w:r w:rsidRPr="004E2CDD">
        <w:rPr>
          <w:lang w:val="ru-RU"/>
        </w:rPr>
        <w:t xml:space="preserve"> </w:t>
      </w:r>
      <w:r>
        <w:rPr>
          <w:lang w:val="ru-RU"/>
        </w:rPr>
        <w:t>Д</w:t>
      </w:r>
      <w:r w:rsidRPr="008270A3">
        <w:rPr>
          <w:rStyle w:val="ad"/>
          <w:rFonts w:ascii="Times New Roman" w:hAnsi="Times New Roman" w:cs="Times New Roman"/>
          <w:sz w:val="18"/>
          <w:szCs w:val="20"/>
          <w:lang w:val="ru-RU"/>
        </w:rPr>
        <w:t>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2021 год (стр. 109)  </w:t>
      </w:r>
      <w:hyperlink r:id="rId23" w:history="1">
        <w:r w:rsidRPr="006D335F">
          <w:rPr>
            <w:rStyle w:val="ad"/>
            <w:rFonts w:ascii="Times New Roman" w:hAnsi="Times New Roman" w:cs="Times New Roman"/>
            <w:sz w:val="18"/>
            <w:szCs w:val="20"/>
            <w:lang w:val="ru-RU"/>
          </w:rPr>
          <w:t>https://rosstat.gov.ru/storage/mediabank/osn-12-2021.pdf</w:t>
        </w:r>
      </w:hyperlink>
    </w:p>
  </w:footnote>
  <w:footnote w:id="25">
    <w:p w14:paraId="670AC1F8" w14:textId="77777777" w:rsidR="0090366A" w:rsidRPr="00D850C1" w:rsidRDefault="0090366A" w:rsidP="00DB474C">
      <w:pPr>
        <w:pStyle w:val="af3"/>
        <w:rPr>
          <w:lang w:val="ru-RU"/>
        </w:rPr>
      </w:pPr>
      <w:r>
        <w:rPr>
          <w:rStyle w:val="af2"/>
        </w:rPr>
        <w:footnoteRef/>
      </w:r>
      <w:r w:rsidRPr="00D850C1">
        <w:rPr>
          <w:lang w:val="ru-RU"/>
        </w:rPr>
        <w:t xml:space="preserve"> </w:t>
      </w:r>
      <w:r w:rsidRPr="008270A3">
        <w:rPr>
          <w:rStyle w:val="ad"/>
          <w:rFonts w:ascii="Times New Roman" w:hAnsi="Times New Roman" w:cs="Times New Roman"/>
          <w:sz w:val="18"/>
          <w:szCs w:val="20"/>
          <w:lang w:val="ru-RU"/>
        </w:rPr>
        <w:t>Доклад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январь 2022 года (стр. 99) </w:t>
      </w:r>
      <w:hyperlink r:id="rId24" w:history="1">
        <w:r w:rsidRPr="006D335F">
          <w:rPr>
            <w:rStyle w:val="ad"/>
            <w:rFonts w:ascii="Times New Roman" w:hAnsi="Times New Roman" w:cs="Times New Roman"/>
            <w:sz w:val="18"/>
            <w:szCs w:val="20"/>
            <w:lang w:val="ru-RU"/>
          </w:rPr>
          <w:t>https://rosstat.gov.ru/storage/mediabank/osn-01-2022.pdf</w:t>
        </w:r>
      </w:hyperlink>
    </w:p>
  </w:footnote>
  <w:footnote w:id="26">
    <w:p w14:paraId="22C0268E" w14:textId="77777777" w:rsidR="0090366A" w:rsidRPr="005A6D3B" w:rsidRDefault="0090366A" w:rsidP="00DB474C">
      <w:pPr>
        <w:pStyle w:val="af3"/>
        <w:rPr>
          <w:lang w:val="ru-RU"/>
        </w:rPr>
      </w:pPr>
      <w:r>
        <w:rPr>
          <w:rStyle w:val="af2"/>
        </w:rPr>
        <w:footnoteRef/>
      </w:r>
      <w:r w:rsidRPr="005A6D3B">
        <w:rPr>
          <w:lang w:val="ru-RU"/>
        </w:rPr>
        <w:t xml:space="preserve"> </w:t>
      </w:r>
      <w:r w:rsidRPr="008270A3">
        <w:rPr>
          <w:rStyle w:val="ad"/>
          <w:rFonts w:ascii="Times New Roman" w:hAnsi="Times New Roman" w:cs="Times New Roman"/>
          <w:sz w:val="18"/>
          <w:szCs w:val="20"/>
          <w:lang w:val="ru-RU"/>
        </w:rPr>
        <w:t>Доклад федеральной службы государственной статистики «Социально-экономическое положение России»</w:t>
      </w:r>
      <w:r>
        <w:rPr>
          <w:rStyle w:val="ad"/>
          <w:rFonts w:ascii="Times New Roman" w:hAnsi="Times New Roman" w:cs="Times New Roman"/>
          <w:sz w:val="18"/>
          <w:szCs w:val="20"/>
          <w:lang w:val="ru-RU"/>
        </w:rPr>
        <w:t xml:space="preserve"> январь 2022 года (стр. 101) </w:t>
      </w:r>
      <w:hyperlink r:id="rId25" w:history="1">
        <w:r w:rsidRPr="006D335F">
          <w:rPr>
            <w:rStyle w:val="ad"/>
            <w:rFonts w:ascii="Times New Roman" w:hAnsi="Times New Roman" w:cs="Times New Roman"/>
            <w:sz w:val="18"/>
            <w:szCs w:val="20"/>
            <w:lang w:val="ru-RU"/>
          </w:rPr>
          <w:t>https://rosstat.gov.ru/storage/mediabank/osn-01-2022.pdf</w:t>
        </w:r>
      </w:hyperlink>
    </w:p>
  </w:footnote>
  <w:footnote w:id="27">
    <w:p w14:paraId="4093D8CC" w14:textId="77777777" w:rsidR="0090366A" w:rsidRPr="00E92D4F" w:rsidRDefault="0090366A" w:rsidP="00DB474C">
      <w:pPr>
        <w:pStyle w:val="af3"/>
        <w:rPr>
          <w:rFonts w:ascii="Times New Roman" w:hAnsi="Times New Roman" w:cs="Times New Roman"/>
          <w:color w:val="231F20"/>
          <w:sz w:val="19"/>
          <w:szCs w:val="19"/>
          <w:shd w:val="clear" w:color="auto" w:fill="FFFFFF"/>
          <w:lang w:val="ru-RU"/>
        </w:rPr>
      </w:pPr>
      <w:r>
        <w:rPr>
          <w:rStyle w:val="af2"/>
        </w:rPr>
        <w:footnoteRef/>
      </w:r>
      <w:r w:rsidRPr="00E92D4F">
        <w:rPr>
          <w:lang w:val="ru-RU"/>
        </w:rPr>
        <w:t xml:space="preserve"> </w:t>
      </w:r>
      <w:r w:rsidRPr="00175C4C">
        <w:rPr>
          <w:rFonts w:ascii="Times New Roman" w:hAnsi="Times New Roman" w:cs="Times New Roman"/>
          <w:color w:val="231F20"/>
          <w:sz w:val="19"/>
          <w:szCs w:val="19"/>
          <w:shd w:val="clear" w:color="auto" w:fill="FFFFFF"/>
          <w:lang w:val="ru-RU"/>
        </w:rPr>
        <w:t>Министерство</w:t>
      </w:r>
      <w:r w:rsidRPr="00175C4C">
        <w:rPr>
          <w:rFonts w:ascii="Times New Roman" w:hAnsi="Times New Roman" w:cs="Times New Roman"/>
          <w:color w:val="231F20"/>
          <w:sz w:val="19"/>
          <w:szCs w:val="19"/>
          <w:shd w:val="clear" w:color="auto" w:fill="FFFFFF"/>
        </w:rPr>
        <w:t> </w:t>
      </w:r>
      <w:r w:rsidRPr="00175C4C">
        <w:rPr>
          <w:rFonts w:ascii="Times New Roman" w:hAnsi="Times New Roman" w:cs="Times New Roman"/>
          <w:color w:val="231F20"/>
          <w:sz w:val="19"/>
          <w:szCs w:val="19"/>
          <w:shd w:val="clear" w:color="auto" w:fill="FFFFFF"/>
          <w:lang w:val="ru-RU"/>
        </w:rPr>
        <w:t>экономического развития Российской Федерации, экономический обзор «</w:t>
      </w:r>
      <w:r>
        <w:rPr>
          <w:rFonts w:ascii="Times New Roman" w:hAnsi="Times New Roman" w:cs="Times New Roman"/>
          <w:color w:val="231F20"/>
          <w:sz w:val="19"/>
          <w:szCs w:val="19"/>
          <w:shd w:val="clear" w:color="auto" w:fill="FFFFFF"/>
          <w:lang w:val="ru-RU"/>
        </w:rPr>
        <w:t>О текущей ценовой ситуации 12 января 2022</w:t>
      </w:r>
      <w:r w:rsidRPr="00175C4C">
        <w:rPr>
          <w:rFonts w:ascii="Times New Roman" w:hAnsi="Times New Roman" w:cs="Times New Roman"/>
          <w:color w:val="231F20"/>
          <w:sz w:val="19"/>
          <w:szCs w:val="19"/>
          <w:shd w:val="clear" w:color="auto" w:fill="FFFFFF"/>
          <w:lang w:val="ru-RU"/>
        </w:rPr>
        <w:t>»</w:t>
      </w:r>
      <w:r>
        <w:rPr>
          <w:rFonts w:ascii="Times New Roman" w:hAnsi="Times New Roman" w:cs="Times New Roman"/>
          <w:color w:val="231F20"/>
          <w:sz w:val="19"/>
          <w:szCs w:val="19"/>
          <w:shd w:val="clear" w:color="auto" w:fill="FFFFFF"/>
          <w:lang w:val="ru-RU"/>
        </w:rPr>
        <w:t xml:space="preserve"> </w:t>
      </w:r>
      <w:hyperlink r:id="rId26" w:history="1">
        <w:r w:rsidRPr="006D335F">
          <w:rPr>
            <w:rStyle w:val="ad"/>
            <w:rFonts w:ascii="Times New Roman" w:hAnsi="Times New Roman" w:cs="Times New Roman"/>
            <w:sz w:val="19"/>
            <w:szCs w:val="19"/>
            <w:shd w:val="clear" w:color="auto" w:fill="FFFFFF"/>
            <w:lang w:val="ru-RU"/>
          </w:rPr>
          <w:t>https://www.economy.gov.ru/material/file/b031b62c7fa726bc769fe02b0f258ce4/12012022.pdf</w:t>
        </w:r>
      </w:hyperlink>
      <w:r>
        <w:rPr>
          <w:rFonts w:ascii="Times New Roman" w:hAnsi="Times New Roman" w:cs="Times New Roman"/>
          <w:color w:val="231F20"/>
          <w:sz w:val="19"/>
          <w:szCs w:val="19"/>
          <w:shd w:val="clear" w:color="auto" w:fill="FFFFFF"/>
          <w:lang w:val="ru-RU"/>
        </w:rPr>
        <w:t xml:space="preserve"> </w:t>
      </w:r>
    </w:p>
  </w:footnote>
  <w:footnote w:id="28">
    <w:p w14:paraId="02F0E154" w14:textId="77777777" w:rsidR="0090366A" w:rsidRPr="00E92D4F" w:rsidRDefault="0090366A" w:rsidP="00DB474C">
      <w:pPr>
        <w:pStyle w:val="af3"/>
        <w:rPr>
          <w:rFonts w:ascii="Times New Roman" w:hAnsi="Times New Roman" w:cs="Times New Roman"/>
          <w:sz w:val="18"/>
          <w:lang w:val="ru-RU"/>
        </w:rPr>
      </w:pPr>
      <w:r>
        <w:rPr>
          <w:rStyle w:val="af2"/>
        </w:rPr>
        <w:footnoteRef/>
      </w:r>
      <w:r w:rsidRPr="00E92D4F">
        <w:rPr>
          <w:lang w:val="ru-RU"/>
        </w:rPr>
        <w:t xml:space="preserve"> </w:t>
      </w:r>
      <w:r w:rsidRPr="00113E85">
        <w:rPr>
          <w:lang w:val="ru-RU"/>
        </w:rPr>
        <w:t>Ц</w:t>
      </w:r>
      <w:r w:rsidRPr="00A80E57">
        <w:rPr>
          <w:rFonts w:ascii="Times New Roman" w:hAnsi="Times New Roman" w:cs="Times New Roman"/>
          <w:sz w:val="18"/>
          <w:lang w:val="ru-RU"/>
        </w:rPr>
        <w:t>ентральный банк Российской Федерации</w:t>
      </w:r>
      <w:r>
        <w:rPr>
          <w:rFonts w:ascii="Times New Roman" w:hAnsi="Times New Roman" w:cs="Times New Roman"/>
          <w:sz w:val="18"/>
          <w:lang w:val="ru-RU"/>
        </w:rPr>
        <w:t xml:space="preserve"> </w:t>
      </w:r>
      <w:hyperlink r:id="rId27" w:history="1">
        <w:r w:rsidRPr="006D335F">
          <w:rPr>
            <w:rStyle w:val="ad"/>
            <w:rFonts w:ascii="Times New Roman" w:hAnsi="Times New Roman" w:cs="Times New Roman"/>
            <w:sz w:val="18"/>
            <w:lang w:val="ru-RU"/>
          </w:rPr>
          <w:t>https://cbr.ru/currency_base/daily/?UniDbQuery.Posted=True&amp;UniDbQuery.To=01.01.2022</w:t>
        </w:r>
      </w:hyperlink>
    </w:p>
  </w:footnote>
  <w:footnote w:id="29">
    <w:p w14:paraId="6E011779" w14:textId="77777777" w:rsidR="0090366A" w:rsidRPr="00E92D4F" w:rsidRDefault="0090366A" w:rsidP="00DB474C">
      <w:pPr>
        <w:pStyle w:val="af3"/>
        <w:rPr>
          <w:rFonts w:ascii="Times New Roman" w:hAnsi="Times New Roman" w:cs="Times New Roman"/>
          <w:sz w:val="18"/>
          <w:lang w:val="ru-RU"/>
        </w:rPr>
      </w:pPr>
      <w:r>
        <w:rPr>
          <w:rStyle w:val="af2"/>
        </w:rPr>
        <w:footnoteRef/>
      </w:r>
      <w:r w:rsidRPr="00E92D4F">
        <w:rPr>
          <w:lang w:val="ru-RU"/>
        </w:rPr>
        <w:t xml:space="preserve"> </w:t>
      </w:r>
      <w:r w:rsidRPr="00113E85">
        <w:rPr>
          <w:lang w:val="ru-RU"/>
        </w:rPr>
        <w:t>Ц</w:t>
      </w:r>
      <w:r w:rsidRPr="00A80E57">
        <w:rPr>
          <w:rFonts w:ascii="Times New Roman" w:hAnsi="Times New Roman" w:cs="Times New Roman"/>
          <w:sz w:val="18"/>
          <w:lang w:val="ru-RU"/>
        </w:rPr>
        <w:t>ентральный банк Российской Федерации</w:t>
      </w:r>
      <w:r>
        <w:rPr>
          <w:rFonts w:ascii="Times New Roman" w:hAnsi="Times New Roman" w:cs="Times New Roman"/>
          <w:sz w:val="18"/>
          <w:lang w:val="ru-RU"/>
        </w:rPr>
        <w:t xml:space="preserve"> </w:t>
      </w:r>
      <w:hyperlink r:id="rId28" w:history="1">
        <w:r w:rsidRPr="006D335F">
          <w:rPr>
            <w:rStyle w:val="ad"/>
            <w:rFonts w:ascii="Times New Roman" w:hAnsi="Times New Roman" w:cs="Times New Roman"/>
            <w:sz w:val="18"/>
            <w:lang w:val="ru-RU"/>
          </w:rPr>
          <w:t>https://cbr.ru/hd_base/KeyRate/?UniDbQuery.Posted=True&amp;UniDbQuery.From=01.01.2021&amp;UniDbQuery.To=01.01.2022</w:t>
        </w:r>
      </w:hyperlink>
    </w:p>
  </w:footnote>
  <w:footnote w:id="30">
    <w:p w14:paraId="3AEE737F" w14:textId="77777777" w:rsidR="0090366A" w:rsidRPr="00A7779D" w:rsidRDefault="0090366A" w:rsidP="00DB474C">
      <w:pPr>
        <w:pStyle w:val="af3"/>
        <w:rPr>
          <w:rFonts w:ascii="Times New Roman" w:hAnsi="Times New Roman" w:cs="Times New Roman"/>
          <w:lang w:val="ru-RU"/>
        </w:rPr>
      </w:pPr>
      <w:r>
        <w:rPr>
          <w:rStyle w:val="af2"/>
        </w:rPr>
        <w:footnoteRef/>
      </w:r>
      <w:r>
        <w:rPr>
          <w:lang w:val="ru-RU"/>
        </w:rPr>
        <w:t xml:space="preserve"> </w:t>
      </w:r>
      <w:r w:rsidRPr="00A7779D">
        <w:rPr>
          <w:rFonts w:ascii="Times New Roman" w:hAnsi="Times New Roman" w:cs="Times New Roman"/>
          <w:lang w:val="ru-RU"/>
        </w:rPr>
        <w:t xml:space="preserve">Министерство иностранных дел Российской Федерации </w:t>
      </w:r>
      <w:hyperlink r:id="rId29" w:history="1">
        <w:r w:rsidRPr="00A7779D">
          <w:rPr>
            <w:rStyle w:val="ad"/>
            <w:rFonts w:ascii="Times New Roman" w:hAnsi="Times New Roman" w:cs="Times New Roman"/>
            <w:lang w:val="ru-RU"/>
          </w:rPr>
          <w:t>https://www.mid.ru/ru/foreign_policy/news/1792639/</w:t>
        </w:r>
      </w:hyperlink>
    </w:p>
  </w:footnote>
  <w:footnote w:id="31">
    <w:p w14:paraId="68D1A753" w14:textId="77777777" w:rsidR="0090366A" w:rsidRPr="00CA1F0F" w:rsidRDefault="0090366A" w:rsidP="00DB474C">
      <w:pPr>
        <w:pStyle w:val="af3"/>
        <w:rPr>
          <w:lang w:val="ru-RU"/>
        </w:rPr>
      </w:pPr>
      <w:r w:rsidRPr="00A7779D">
        <w:rPr>
          <w:rStyle w:val="af2"/>
          <w:rFonts w:ascii="Times New Roman" w:hAnsi="Times New Roman" w:cs="Times New Roman"/>
        </w:rPr>
        <w:footnoteRef/>
      </w:r>
      <w:r w:rsidRPr="00A7779D">
        <w:rPr>
          <w:rFonts w:ascii="Times New Roman" w:hAnsi="Times New Roman" w:cs="Times New Roman"/>
          <w:lang w:val="ru-RU"/>
        </w:rPr>
        <w:t xml:space="preserve"> </w:t>
      </w:r>
      <w:r w:rsidRPr="00A7779D">
        <w:rPr>
          <w:rFonts w:ascii="Times New Roman" w:hAnsi="Times New Roman" w:cs="Times New Roman"/>
        </w:rPr>
        <w:t>https</w:t>
      </w:r>
      <w:r w:rsidRPr="00A7779D">
        <w:rPr>
          <w:rFonts w:ascii="Times New Roman" w:hAnsi="Times New Roman" w:cs="Times New Roman"/>
          <w:lang w:val="ru-RU"/>
        </w:rPr>
        <w:t>://</w:t>
      </w:r>
      <w:r w:rsidRPr="00A7779D">
        <w:rPr>
          <w:rFonts w:ascii="Times New Roman" w:hAnsi="Times New Roman" w:cs="Times New Roman"/>
        </w:rPr>
        <w:t>katehon</w:t>
      </w:r>
      <w:r w:rsidRPr="00A7779D">
        <w:rPr>
          <w:rFonts w:ascii="Times New Roman" w:hAnsi="Times New Roman" w:cs="Times New Roman"/>
          <w:lang w:val="ru-RU"/>
        </w:rPr>
        <w:t>.</w:t>
      </w:r>
      <w:r w:rsidRPr="00A7779D">
        <w:rPr>
          <w:rFonts w:ascii="Times New Roman" w:hAnsi="Times New Roman" w:cs="Times New Roman"/>
        </w:rPr>
        <w:t>com</w:t>
      </w:r>
      <w:r w:rsidRPr="00A7779D">
        <w:rPr>
          <w:rFonts w:ascii="Times New Roman" w:hAnsi="Times New Roman" w:cs="Times New Roman"/>
          <w:lang w:val="ru-RU"/>
        </w:rPr>
        <w:t>/</w:t>
      </w:r>
      <w:r w:rsidRPr="00A7779D">
        <w:rPr>
          <w:rFonts w:ascii="Times New Roman" w:hAnsi="Times New Roman" w:cs="Times New Roman"/>
        </w:rPr>
        <w:t>ru</w:t>
      </w:r>
      <w:r w:rsidRPr="00A7779D">
        <w:rPr>
          <w:rFonts w:ascii="Times New Roman" w:hAnsi="Times New Roman" w:cs="Times New Roman"/>
          <w:lang w:val="ru-RU"/>
        </w:rPr>
        <w:t>/</w:t>
      </w:r>
      <w:r w:rsidRPr="00A7779D">
        <w:rPr>
          <w:rFonts w:ascii="Times New Roman" w:hAnsi="Times New Roman" w:cs="Times New Roman"/>
        </w:rPr>
        <w:t>article</w:t>
      </w:r>
      <w:r w:rsidRPr="00A7779D">
        <w:rPr>
          <w:rFonts w:ascii="Times New Roman" w:hAnsi="Times New Roman" w:cs="Times New Roman"/>
          <w:lang w:val="ru-RU"/>
        </w:rPr>
        <w:t>/</w:t>
      </w:r>
      <w:r w:rsidRPr="00A7779D">
        <w:rPr>
          <w:rFonts w:ascii="Times New Roman" w:hAnsi="Times New Roman" w:cs="Times New Roman"/>
        </w:rPr>
        <w:t>itogi</w:t>
      </w:r>
      <w:r w:rsidRPr="00A7779D">
        <w:rPr>
          <w:rFonts w:ascii="Times New Roman" w:hAnsi="Times New Roman" w:cs="Times New Roman"/>
          <w:lang w:val="ru-RU"/>
        </w:rPr>
        <w:t>-2020-</w:t>
      </w:r>
      <w:r w:rsidRPr="00A7779D">
        <w:rPr>
          <w:rFonts w:ascii="Times New Roman" w:hAnsi="Times New Roman" w:cs="Times New Roman"/>
        </w:rPr>
        <w:t>goda</w:t>
      </w:r>
      <w:r w:rsidRPr="00A7779D">
        <w:rPr>
          <w:rFonts w:ascii="Times New Roman" w:hAnsi="Times New Roman" w:cs="Times New Roman"/>
          <w:lang w:val="ru-RU"/>
        </w:rPr>
        <w:t>-</w:t>
      </w:r>
      <w:r w:rsidRPr="00A7779D">
        <w:rPr>
          <w:rFonts w:ascii="Times New Roman" w:hAnsi="Times New Roman" w:cs="Times New Roman"/>
        </w:rPr>
        <w:t>vnutrennyaya</w:t>
      </w:r>
      <w:r w:rsidRPr="00A7779D">
        <w:rPr>
          <w:rFonts w:ascii="Times New Roman" w:hAnsi="Times New Roman" w:cs="Times New Roman"/>
          <w:lang w:val="ru-RU"/>
        </w:rPr>
        <w:t>-</w:t>
      </w:r>
      <w:r w:rsidRPr="00A7779D">
        <w:rPr>
          <w:rFonts w:ascii="Times New Roman" w:hAnsi="Times New Roman" w:cs="Times New Roman"/>
        </w:rPr>
        <w:t>politika</w:t>
      </w:r>
    </w:p>
  </w:footnote>
  <w:footnote w:id="32">
    <w:p w14:paraId="4E0D1356" w14:textId="77777777" w:rsidR="0090366A" w:rsidRPr="00AD3032" w:rsidRDefault="0090366A" w:rsidP="00DB474C">
      <w:pPr>
        <w:pStyle w:val="Footnote"/>
        <w:rPr>
          <w:lang w:val="ru-RU"/>
        </w:rPr>
      </w:pPr>
      <w:r>
        <w:rPr>
          <w:rStyle w:val="af2"/>
        </w:rPr>
        <w:footnoteRef/>
      </w:r>
      <w:hyperlink r:id="rId30" w:history="1">
        <w:r w:rsidRPr="00A80E57">
          <w:rPr>
            <w:rFonts w:ascii="Times New Roman" w:hAnsi="Times New Roman" w:cs="Times New Roman"/>
            <w:sz w:val="18"/>
            <w:szCs w:val="18"/>
            <w:lang w:val="ru-RU"/>
          </w:rPr>
          <w:t>https</w:t>
        </w:r>
        <w:r w:rsidRPr="00F70EE9">
          <w:rPr>
            <w:rFonts w:ascii="Times New Roman" w:hAnsi="Times New Roman" w:cs="Times New Roman"/>
            <w:sz w:val="18"/>
            <w:szCs w:val="18"/>
            <w:lang w:val="ru-RU"/>
          </w:rPr>
          <w:t>://</w:t>
        </w:r>
        <w:r w:rsidRPr="00A80E57">
          <w:rPr>
            <w:rFonts w:ascii="Times New Roman" w:hAnsi="Times New Roman" w:cs="Times New Roman"/>
            <w:sz w:val="18"/>
            <w:szCs w:val="18"/>
            <w:lang w:val="ru-RU"/>
          </w:rPr>
          <w:t>vrnguide</w:t>
        </w:r>
        <w:r w:rsidRPr="00F70EE9">
          <w:rPr>
            <w:rFonts w:ascii="Times New Roman" w:hAnsi="Times New Roman" w:cs="Times New Roman"/>
            <w:sz w:val="18"/>
            <w:szCs w:val="18"/>
            <w:lang w:val="ru-RU"/>
          </w:rPr>
          <w:t>.</w:t>
        </w:r>
        <w:r w:rsidRPr="00A80E57">
          <w:rPr>
            <w:rFonts w:ascii="Times New Roman" w:hAnsi="Times New Roman" w:cs="Times New Roman"/>
            <w:sz w:val="18"/>
            <w:szCs w:val="18"/>
            <w:lang w:val="ru-RU"/>
          </w:rPr>
          <w:t>ru</w:t>
        </w:r>
        <w:r w:rsidRPr="00F70EE9">
          <w:rPr>
            <w:rFonts w:ascii="Times New Roman" w:hAnsi="Times New Roman" w:cs="Times New Roman"/>
            <w:sz w:val="18"/>
            <w:szCs w:val="18"/>
            <w:lang w:val="ru-RU"/>
          </w:rPr>
          <w:t>/</w:t>
        </w:r>
        <w:r w:rsidRPr="00A80E57">
          <w:rPr>
            <w:rFonts w:ascii="Times New Roman" w:hAnsi="Times New Roman" w:cs="Times New Roman"/>
            <w:sz w:val="18"/>
            <w:szCs w:val="18"/>
            <w:lang w:val="ru-RU"/>
          </w:rPr>
          <w:t>general</w:t>
        </w:r>
        <w:r w:rsidRPr="00F70EE9">
          <w:rPr>
            <w:rFonts w:ascii="Times New Roman" w:hAnsi="Times New Roman" w:cs="Times New Roman"/>
            <w:sz w:val="18"/>
            <w:szCs w:val="18"/>
            <w:lang w:val="ru-RU"/>
          </w:rPr>
          <w:t>-</w:t>
        </w:r>
        <w:r w:rsidRPr="00A80E57">
          <w:rPr>
            <w:rFonts w:ascii="Times New Roman" w:hAnsi="Times New Roman" w:cs="Times New Roman"/>
            <w:sz w:val="18"/>
            <w:szCs w:val="18"/>
            <w:lang w:val="ru-RU"/>
          </w:rPr>
          <w:t>information</w:t>
        </w:r>
        <w:r w:rsidRPr="00F70EE9">
          <w:rPr>
            <w:rFonts w:ascii="Times New Roman" w:hAnsi="Times New Roman" w:cs="Times New Roman"/>
            <w:sz w:val="18"/>
            <w:szCs w:val="18"/>
            <w:lang w:val="ru-RU"/>
          </w:rPr>
          <w:t>.</w:t>
        </w:r>
        <w:r w:rsidRPr="00A80E57">
          <w:rPr>
            <w:rFonts w:ascii="Times New Roman" w:hAnsi="Times New Roman" w:cs="Times New Roman"/>
            <w:sz w:val="18"/>
            <w:szCs w:val="18"/>
            <w:lang w:val="ru-RU"/>
          </w:rPr>
          <w:t>html</w:t>
        </w:r>
      </w:hyperlink>
    </w:p>
  </w:footnote>
  <w:footnote w:id="33">
    <w:p w14:paraId="66ABB191" w14:textId="77777777" w:rsidR="0090366A" w:rsidRPr="00FE11CD" w:rsidRDefault="0090366A" w:rsidP="00DB474C">
      <w:pPr>
        <w:pStyle w:val="Footnote"/>
        <w:rPr>
          <w:rFonts w:ascii="Times New Roman" w:hAnsi="Times New Roman" w:cs="Times New Roman"/>
          <w:lang w:val="ru-RU"/>
        </w:rPr>
      </w:pPr>
      <w:r w:rsidRPr="007A38FA">
        <w:rPr>
          <w:rStyle w:val="af2"/>
          <w:rFonts w:ascii="Times New Roman" w:hAnsi="Times New Roman"/>
        </w:rPr>
        <w:footnoteRef/>
      </w:r>
      <w:r w:rsidRPr="00A80E57">
        <w:rPr>
          <w:rFonts w:ascii="Times New Roman" w:hAnsi="Times New Roman" w:cs="Times New Roman"/>
          <w:sz w:val="18"/>
          <w:szCs w:val="18"/>
          <w:lang w:val="ru-RU"/>
        </w:rPr>
        <w:t>Закон Воронежской области от 27.10.2006 N 87-ОЗ (ред. от 25.05.2018) "Об административно-территориальном устройстве Воронежской области и порядке его изменения"</w:t>
      </w:r>
    </w:p>
  </w:footnote>
  <w:footnote w:id="34">
    <w:p w14:paraId="63C7F405" w14:textId="77777777" w:rsidR="0090366A" w:rsidRPr="00113E85" w:rsidRDefault="0090366A" w:rsidP="00DB474C">
      <w:pPr>
        <w:pStyle w:val="af3"/>
        <w:rPr>
          <w:lang w:val="ru-RU"/>
        </w:rPr>
      </w:pPr>
      <w:r w:rsidRPr="00FE11CD">
        <w:rPr>
          <w:rStyle w:val="af2"/>
        </w:rPr>
        <w:footnoteRef/>
      </w:r>
      <w:r w:rsidRPr="00113E85">
        <w:rPr>
          <w:lang w:val="ru-RU"/>
        </w:rPr>
        <w:t xml:space="preserve"> </w:t>
      </w:r>
      <w:r w:rsidRPr="00A80E57">
        <w:rPr>
          <w:rFonts w:ascii="Times New Roman" w:hAnsi="Times New Roman" w:cs="Times New Roman"/>
          <w:sz w:val="18"/>
          <w:lang w:val="ru-RU"/>
        </w:rPr>
        <w:t>Доклад Департамента природных ресурсов и экологии Воронежской области «О состоянии окружающей среды на территории Воронежской области в 2017г.» (стр. 77)</w:t>
      </w:r>
    </w:p>
  </w:footnote>
  <w:footnote w:id="35">
    <w:p w14:paraId="08E956AF" w14:textId="77777777" w:rsidR="0090366A" w:rsidRPr="00113E85" w:rsidRDefault="0090366A" w:rsidP="00DB474C">
      <w:pPr>
        <w:pStyle w:val="af3"/>
        <w:rPr>
          <w:lang w:val="ru-RU"/>
        </w:rPr>
      </w:pPr>
      <w:r>
        <w:rPr>
          <w:rStyle w:val="af2"/>
        </w:rPr>
        <w:footnoteRef/>
      </w:r>
      <w:r w:rsidRPr="00113E85">
        <w:rPr>
          <w:lang w:val="ru-RU"/>
        </w:rPr>
        <w:t xml:space="preserve"> </w:t>
      </w:r>
      <w:r w:rsidRPr="00A80E57">
        <w:rPr>
          <w:rFonts w:ascii="Times New Roman" w:hAnsi="Times New Roman" w:cs="Times New Roman"/>
          <w:sz w:val="18"/>
          <w:lang w:val="ru-RU"/>
        </w:rPr>
        <w:t>Закон Воронежской области от 20.12.2018 N 168-ОЗ "О Стратегии социально-экономического развития Воронежской области на период до 2035 года" (принят Воронежской областной Думой 17.12.2018)</w:t>
      </w:r>
    </w:p>
  </w:footnote>
  <w:footnote w:id="36">
    <w:p w14:paraId="7AAF3C81" w14:textId="77777777" w:rsidR="0090366A" w:rsidRPr="005B458B" w:rsidRDefault="0090366A" w:rsidP="00DB474C">
      <w:pPr>
        <w:pStyle w:val="af3"/>
        <w:rPr>
          <w:lang w:val="ru-RU"/>
        </w:rPr>
      </w:pPr>
      <w:r>
        <w:rPr>
          <w:rStyle w:val="af2"/>
        </w:rPr>
        <w:footnoteRef/>
      </w:r>
      <w:r w:rsidRPr="00666B8E">
        <w:rPr>
          <w:lang w:val="ru-RU"/>
        </w:rPr>
        <w:t xml:space="preserve"> </w:t>
      </w:r>
      <w:r w:rsidRPr="00F94F81">
        <w:rPr>
          <w:rFonts w:ascii="Times New Roman" w:hAnsi="Times New Roman" w:cs="Times New Roman"/>
          <w:sz w:val="18"/>
          <w:lang w:val="ru-RU"/>
        </w:rPr>
        <w:t>Данные территориального органа Российской Федерации службы государственной статистики по Воронежской области</w:t>
      </w:r>
      <w:r w:rsidRPr="00F94F81">
        <w:rPr>
          <w:rFonts w:ascii="Times New Roman" w:hAnsi="Times New Roman" w:cs="Times New Roman"/>
          <w:lang w:val="ru-RU"/>
        </w:rPr>
        <w:t xml:space="preserve"> «Социально-экономическое положение Воронежской области» январь</w:t>
      </w:r>
      <w:r>
        <w:rPr>
          <w:rFonts w:ascii="Times New Roman" w:hAnsi="Times New Roman" w:cs="Times New Roman"/>
          <w:lang w:val="ru-RU"/>
        </w:rPr>
        <w:t>-декабрь</w:t>
      </w:r>
      <w:r w:rsidRPr="00F94F81">
        <w:rPr>
          <w:rFonts w:ascii="Times New Roman" w:hAnsi="Times New Roman" w:cs="Times New Roman"/>
          <w:lang w:val="ru-RU"/>
        </w:rPr>
        <w:t xml:space="preserve"> 202</w:t>
      </w:r>
      <w:r>
        <w:rPr>
          <w:rFonts w:ascii="Times New Roman" w:hAnsi="Times New Roman" w:cs="Times New Roman"/>
          <w:lang w:val="ru-RU"/>
        </w:rPr>
        <w:t>1</w:t>
      </w:r>
      <w:r w:rsidRPr="00F94F81">
        <w:rPr>
          <w:rFonts w:ascii="Times New Roman" w:hAnsi="Times New Roman" w:cs="Times New Roman"/>
          <w:lang w:val="ru-RU"/>
        </w:rPr>
        <w:t xml:space="preserve"> года</w:t>
      </w:r>
      <w:r>
        <w:rPr>
          <w:rFonts w:ascii="Times New Roman" w:hAnsi="Times New Roman" w:cs="Times New Roman"/>
          <w:lang w:val="ru-RU"/>
        </w:rPr>
        <w:t xml:space="preserve"> (стр. 117)</w:t>
      </w:r>
    </w:p>
  </w:footnote>
  <w:footnote w:id="37">
    <w:p w14:paraId="2FB12543" w14:textId="77777777" w:rsidR="0090366A" w:rsidRPr="00D131B3" w:rsidRDefault="0090366A" w:rsidP="00DB474C">
      <w:pPr>
        <w:pStyle w:val="af3"/>
        <w:rPr>
          <w:rFonts w:ascii="Times New Roman" w:hAnsi="Times New Roman" w:cs="Times New Roman"/>
          <w:lang w:val="ru-RU"/>
        </w:rPr>
      </w:pPr>
      <w:r>
        <w:rPr>
          <w:rStyle w:val="af2"/>
        </w:rPr>
        <w:footnoteRef/>
      </w:r>
      <w:r w:rsidRPr="00D131B3">
        <w:rPr>
          <w:lang w:val="ru-RU"/>
        </w:rPr>
        <w:t xml:space="preserve"> </w:t>
      </w:r>
      <w:r w:rsidRPr="00D131B3">
        <w:rPr>
          <w:rFonts w:ascii="Times New Roman" w:hAnsi="Times New Roman" w:cs="Times New Roman"/>
          <w:bCs/>
          <w:color w:val="000000"/>
          <w:lang w:val="ru-RU"/>
        </w:rPr>
        <w:t xml:space="preserve">Численность населения Воронежской области в разрезе муниципальных образований на 01.01.2022 года </w:t>
      </w:r>
      <w:hyperlink r:id="rId31" w:tgtFrame="_blank" w:history="1">
        <w:r w:rsidRPr="00F96F02">
          <w:rPr>
            <w:rStyle w:val="ad"/>
            <w:rFonts w:ascii="Times New Roman" w:hAnsi="Times New Roman" w:cs="Times New Roman"/>
            <w:bCs/>
            <w:color w:val="000000"/>
            <w:sz w:val="21"/>
            <w:szCs w:val="21"/>
          </w:rPr>
          <w:t>voronezhstat</w:t>
        </w:r>
        <w:r w:rsidRPr="00F96F02">
          <w:rPr>
            <w:rStyle w:val="ad"/>
            <w:rFonts w:ascii="Times New Roman" w:hAnsi="Times New Roman" w:cs="Times New Roman"/>
            <w:bCs/>
            <w:color w:val="000000"/>
            <w:sz w:val="21"/>
            <w:szCs w:val="21"/>
            <w:lang w:val="ru-RU"/>
          </w:rPr>
          <w:t>.</w:t>
        </w:r>
        <w:r w:rsidRPr="00F96F02">
          <w:rPr>
            <w:rStyle w:val="ad"/>
            <w:rFonts w:ascii="Times New Roman" w:hAnsi="Times New Roman" w:cs="Times New Roman"/>
            <w:bCs/>
            <w:color w:val="000000"/>
            <w:sz w:val="21"/>
            <w:szCs w:val="21"/>
          </w:rPr>
          <w:t>gks</w:t>
        </w:r>
        <w:r w:rsidRPr="00F96F02">
          <w:rPr>
            <w:rStyle w:val="ad"/>
            <w:rFonts w:ascii="Times New Roman" w:hAnsi="Times New Roman" w:cs="Times New Roman"/>
            <w:bCs/>
            <w:color w:val="000000"/>
            <w:sz w:val="21"/>
            <w:szCs w:val="21"/>
            <w:lang w:val="ru-RU"/>
          </w:rPr>
          <w:t>.</w:t>
        </w:r>
        <w:r w:rsidRPr="00F96F02">
          <w:rPr>
            <w:rStyle w:val="ad"/>
            <w:rFonts w:ascii="Times New Roman" w:hAnsi="Times New Roman" w:cs="Times New Roman"/>
            <w:bCs/>
            <w:color w:val="000000"/>
            <w:sz w:val="21"/>
            <w:szCs w:val="21"/>
          </w:rPr>
          <w:t>ru</w:t>
        </w:r>
      </w:hyperlink>
    </w:p>
  </w:footnote>
  <w:footnote w:id="38">
    <w:p w14:paraId="39EF53AE" w14:textId="77777777" w:rsidR="0090366A" w:rsidRPr="000E32B8" w:rsidRDefault="0090366A" w:rsidP="00DB474C">
      <w:pPr>
        <w:pStyle w:val="af3"/>
        <w:rPr>
          <w:lang w:val="ru-RU"/>
        </w:rPr>
      </w:pPr>
      <w:r>
        <w:rPr>
          <w:rStyle w:val="af2"/>
        </w:rPr>
        <w:footnoteRef/>
      </w:r>
      <w:r w:rsidRPr="000E32B8">
        <w:rPr>
          <w:lang w:val="ru-RU"/>
        </w:rPr>
        <w:t xml:space="preserve"> </w:t>
      </w:r>
      <w:r w:rsidRPr="00F94F81">
        <w:rPr>
          <w:rFonts w:ascii="Times New Roman" w:hAnsi="Times New Roman" w:cs="Times New Roman"/>
          <w:sz w:val="18"/>
          <w:lang w:val="ru-RU"/>
        </w:rPr>
        <w:t>Данные территориального органа Российской Федерации службы государственной статистики по Воронежской области</w:t>
      </w:r>
      <w:r w:rsidRPr="00F94F81">
        <w:rPr>
          <w:rFonts w:ascii="Times New Roman" w:hAnsi="Times New Roman" w:cs="Times New Roman"/>
          <w:lang w:val="ru-RU"/>
        </w:rPr>
        <w:t xml:space="preserve"> «Социально-экономическое положение Воронежской области» январь 2022 года (стр. 114)</w:t>
      </w:r>
    </w:p>
  </w:footnote>
  <w:footnote w:id="39">
    <w:p w14:paraId="2D6A19F9" w14:textId="77777777" w:rsidR="0090366A" w:rsidRPr="00F94F81" w:rsidRDefault="0090366A" w:rsidP="00DB474C">
      <w:pPr>
        <w:pStyle w:val="af3"/>
        <w:rPr>
          <w:lang w:val="ru-RU"/>
        </w:rPr>
      </w:pPr>
      <w:r>
        <w:rPr>
          <w:rStyle w:val="af2"/>
        </w:rPr>
        <w:footnoteRef/>
      </w:r>
      <w:r w:rsidRPr="00F94F81">
        <w:rPr>
          <w:lang w:val="ru-RU"/>
        </w:rPr>
        <w:t xml:space="preserve"> </w:t>
      </w:r>
      <w:r w:rsidRPr="00F94F81">
        <w:rPr>
          <w:rFonts w:ascii="Times New Roman" w:hAnsi="Times New Roman" w:cs="Times New Roman"/>
          <w:sz w:val="18"/>
          <w:lang w:val="ru-RU"/>
        </w:rPr>
        <w:t>Данные территориального органа Российской Федерации службы государственной статистики по Воронежской области</w:t>
      </w:r>
      <w:r w:rsidRPr="00F94F81">
        <w:rPr>
          <w:rFonts w:ascii="Times New Roman" w:hAnsi="Times New Roman" w:cs="Times New Roman"/>
          <w:lang w:val="ru-RU"/>
        </w:rPr>
        <w:t xml:space="preserve"> «Социально-экономическое положение Воронежской области» январь 2022 года (стр. 11</w:t>
      </w:r>
      <w:r>
        <w:rPr>
          <w:rFonts w:ascii="Times New Roman" w:hAnsi="Times New Roman" w:cs="Times New Roman"/>
          <w:lang w:val="ru-RU"/>
        </w:rPr>
        <w:t>6</w:t>
      </w:r>
      <w:r w:rsidRPr="00F94F81">
        <w:rPr>
          <w:rFonts w:ascii="Times New Roman" w:hAnsi="Times New Roman" w:cs="Times New Roman"/>
          <w:lang w:val="ru-RU"/>
        </w:rPr>
        <w:t>)</w:t>
      </w:r>
    </w:p>
  </w:footnote>
  <w:footnote w:id="40">
    <w:p w14:paraId="5A731E2D" w14:textId="77777777" w:rsidR="0090366A" w:rsidRPr="00F33EC9" w:rsidRDefault="0090366A" w:rsidP="00DB474C">
      <w:pPr>
        <w:pStyle w:val="af3"/>
        <w:rPr>
          <w:lang w:val="ru-RU"/>
        </w:rPr>
      </w:pPr>
      <w:r>
        <w:rPr>
          <w:rStyle w:val="af2"/>
        </w:rPr>
        <w:footnoteRef/>
      </w:r>
      <w:r w:rsidRPr="00F33EC9">
        <w:rPr>
          <w:lang w:val="ru-RU"/>
        </w:rPr>
        <w:t xml:space="preserve"> </w:t>
      </w:r>
      <w:r w:rsidRPr="00F94F81">
        <w:rPr>
          <w:rFonts w:ascii="Times New Roman" w:hAnsi="Times New Roman" w:cs="Times New Roman"/>
          <w:sz w:val="18"/>
          <w:lang w:val="ru-RU"/>
        </w:rPr>
        <w:t>Данные территориального органа Российской Федерации службы государственной статистики по Воронежской области</w:t>
      </w:r>
      <w:r w:rsidRPr="00F94F81">
        <w:rPr>
          <w:rFonts w:ascii="Times New Roman" w:hAnsi="Times New Roman" w:cs="Times New Roman"/>
          <w:lang w:val="ru-RU"/>
        </w:rPr>
        <w:t xml:space="preserve"> «Социально-экономическое положение Воронежской области» январь 2022 года (стр. </w:t>
      </w:r>
      <w:r>
        <w:rPr>
          <w:rFonts w:ascii="Times New Roman" w:hAnsi="Times New Roman" w:cs="Times New Roman"/>
          <w:lang w:val="ru-RU"/>
        </w:rPr>
        <w:t>83</w:t>
      </w:r>
      <w:r w:rsidRPr="00F94F81">
        <w:rPr>
          <w:rFonts w:ascii="Times New Roman" w:hAnsi="Times New Roman" w:cs="Times New Roman"/>
          <w:lang w:val="ru-RU"/>
        </w:rPr>
        <w:t>)</w:t>
      </w:r>
    </w:p>
  </w:footnote>
  <w:footnote w:id="41">
    <w:p w14:paraId="0D599172" w14:textId="77777777" w:rsidR="0090366A" w:rsidRPr="00090938" w:rsidRDefault="0090366A" w:rsidP="00DB474C">
      <w:pPr>
        <w:pStyle w:val="af3"/>
        <w:rPr>
          <w:lang w:val="ru-RU"/>
        </w:rPr>
      </w:pPr>
      <w:r>
        <w:rPr>
          <w:rStyle w:val="af2"/>
        </w:rPr>
        <w:footnoteRef/>
      </w:r>
      <w:r w:rsidRPr="00090938">
        <w:rPr>
          <w:lang w:val="ru-RU"/>
        </w:rPr>
        <w:t xml:space="preserve"> </w:t>
      </w:r>
      <w:r w:rsidRPr="00F94F81">
        <w:rPr>
          <w:rFonts w:ascii="Times New Roman" w:hAnsi="Times New Roman" w:cs="Times New Roman"/>
          <w:sz w:val="18"/>
          <w:lang w:val="ru-RU"/>
        </w:rPr>
        <w:t>Данные территориального органа Российской Федерации службы государственной статистики по Воронежской области</w:t>
      </w:r>
      <w:r w:rsidRPr="00F94F81">
        <w:rPr>
          <w:rFonts w:ascii="Times New Roman" w:hAnsi="Times New Roman" w:cs="Times New Roman"/>
          <w:lang w:val="ru-RU"/>
        </w:rPr>
        <w:t xml:space="preserve"> «Социально-экономическое положение Воронежской области» январь 2022 года (стр. </w:t>
      </w:r>
      <w:r>
        <w:rPr>
          <w:rFonts w:ascii="Times New Roman" w:hAnsi="Times New Roman" w:cs="Times New Roman"/>
          <w:lang w:val="ru-RU"/>
        </w:rPr>
        <w:t>84</w:t>
      </w:r>
      <w:r w:rsidRPr="00F94F81">
        <w:rPr>
          <w:rFonts w:ascii="Times New Roman" w:hAnsi="Times New Roman" w:cs="Times New Roman"/>
          <w:lang w:val="ru-RU"/>
        </w:rPr>
        <w:t>)</w:t>
      </w:r>
    </w:p>
  </w:footnote>
  <w:footnote w:id="42">
    <w:p w14:paraId="402D87DF" w14:textId="77777777" w:rsidR="0090366A" w:rsidRPr="00090938" w:rsidRDefault="0090366A" w:rsidP="00DB474C">
      <w:pPr>
        <w:pStyle w:val="af3"/>
        <w:rPr>
          <w:lang w:val="ru-RU"/>
        </w:rPr>
      </w:pPr>
      <w:r>
        <w:rPr>
          <w:rStyle w:val="af2"/>
        </w:rPr>
        <w:footnoteRef/>
      </w:r>
      <w:r w:rsidRPr="00090938">
        <w:rPr>
          <w:lang w:val="ru-RU"/>
        </w:rPr>
        <w:t xml:space="preserve"> </w:t>
      </w:r>
      <w:r w:rsidRPr="00F94F81">
        <w:rPr>
          <w:rFonts w:ascii="Times New Roman" w:hAnsi="Times New Roman" w:cs="Times New Roman"/>
          <w:sz w:val="18"/>
          <w:lang w:val="ru-RU"/>
        </w:rPr>
        <w:t>Данные территориального органа Российской Федерации службы государственной статистики по Воронежской области</w:t>
      </w:r>
      <w:r w:rsidRPr="00F94F81">
        <w:rPr>
          <w:rFonts w:ascii="Times New Roman" w:hAnsi="Times New Roman" w:cs="Times New Roman"/>
          <w:lang w:val="ru-RU"/>
        </w:rPr>
        <w:t xml:space="preserve"> «Социально-экономическое положение Воронежской области» январь 2022 года (стр. </w:t>
      </w:r>
      <w:r>
        <w:rPr>
          <w:rFonts w:ascii="Times New Roman" w:hAnsi="Times New Roman" w:cs="Times New Roman"/>
          <w:lang w:val="ru-RU"/>
        </w:rPr>
        <w:t>92</w:t>
      </w:r>
      <w:r w:rsidRPr="00F94F81">
        <w:rPr>
          <w:rFonts w:ascii="Times New Roman" w:hAnsi="Times New Roman" w:cs="Times New Roman"/>
          <w:lang w:val="ru-RU"/>
        </w:rPr>
        <w:t>)</w:t>
      </w:r>
    </w:p>
  </w:footnote>
  <w:footnote w:id="43">
    <w:p w14:paraId="2DC25E77" w14:textId="77777777" w:rsidR="0090366A" w:rsidRPr="00D5476D" w:rsidRDefault="0090366A" w:rsidP="00DB474C">
      <w:pPr>
        <w:pStyle w:val="af3"/>
        <w:rPr>
          <w:lang w:val="ru-RU"/>
        </w:rPr>
      </w:pPr>
      <w:r>
        <w:rPr>
          <w:rStyle w:val="af2"/>
        </w:rPr>
        <w:footnoteRef/>
      </w:r>
      <w:r w:rsidRPr="00D5476D">
        <w:rPr>
          <w:lang w:val="ru-RU"/>
        </w:rPr>
        <w:t xml:space="preserve"> </w:t>
      </w:r>
      <w:r w:rsidRPr="00F94F81">
        <w:rPr>
          <w:rFonts w:ascii="Times New Roman" w:hAnsi="Times New Roman" w:cs="Times New Roman"/>
          <w:sz w:val="18"/>
          <w:lang w:val="ru-RU"/>
        </w:rPr>
        <w:t>Данные территориального органа Российской Федерации службы государственной статистики по Воронежской области</w:t>
      </w:r>
      <w:r w:rsidRPr="00F94F81">
        <w:rPr>
          <w:rFonts w:ascii="Times New Roman" w:hAnsi="Times New Roman" w:cs="Times New Roman"/>
          <w:lang w:val="ru-RU"/>
        </w:rPr>
        <w:t xml:space="preserve"> «Социально-экономическое положение Воронежской области» январь 2022 года (стр. </w:t>
      </w:r>
      <w:r>
        <w:rPr>
          <w:rFonts w:ascii="Times New Roman" w:hAnsi="Times New Roman" w:cs="Times New Roman"/>
          <w:lang w:val="ru-RU"/>
        </w:rPr>
        <w:t>96</w:t>
      </w:r>
      <w:r w:rsidRPr="00F94F81">
        <w:rPr>
          <w:rFonts w:ascii="Times New Roman" w:hAnsi="Times New Roman" w:cs="Times New Roman"/>
          <w:lang w:val="ru-RU"/>
        </w:rPr>
        <w:t>)</w:t>
      </w:r>
    </w:p>
  </w:footnote>
  <w:footnote w:id="44">
    <w:p w14:paraId="14AEB6A7" w14:textId="77777777" w:rsidR="0090366A" w:rsidRPr="00373C8B" w:rsidRDefault="0090366A" w:rsidP="00DB474C">
      <w:pPr>
        <w:pStyle w:val="af3"/>
        <w:rPr>
          <w:lang w:val="ru-RU"/>
        </w:rPr>
      </w:pPr>
      <w:r>
        <w:rPr>
          <w:rStyle w:val="af2"/>
        </w:rPr>
        <w:footnoteRef/>
      </w:r>
      <w:r w:rsidRPr="00373C8B">
        <w:rPr>
          <w:lang w:val="ru-RU"/>
        </w:rPr>
        <w:t xml:space="preserve"> </w:t>
      </w:r>
      <w:r w:rsidRPr="00A7299F">
        <w:rPr>
          <w:rFonts w:ascii="Times New Roman" w:hAnsi="Times New Roman" w:cs="Times New Roman"/>
          <w:sz w:val="18"/>
          <w:lang w:val="ru-RU"/>
        </w:rPr>
        <w:t>Департамент экономического развития Воронежской области «</w:t>
      </w:r>
      <w:hyperlink r:id="rId32" w:tgtFrame="_blank" w:history="1">
        <w:r w:rsidRPr="00F70EE9">
          <w:rPr>
            <w:rFonts w:ascii="Times New Roman" w:hAnsi="Times New Roman" w:cs="Times New Roman"/>
            <w:sz w:val="18"/>
            <w:lang w:val="ru-RU"/>
          </w:rPr>
          <w:t>Итоги социально-экономического развития Воронежской области за январь-декабрь 20</w:t>
        </w:r>
        <w:r>
          <w:rPr>
            <w:rFonts w:ascii="Times New Roman" w:hAnsi="Times New Roman" w:cs="Times New Roman"/>
            <w:sz w:val="18"/>
            <w:lang w:val="ru-RU"/>
          </w:rPr>
          <w:t>21</w:t>
        </w:r>
        <w:r w:rsidRPr="00F70EE9">
          <w:rPr>
            <w:rFonts w:ascii="Times New Roman" w:hAnsi="Times New Roman" w:cs="Times New Roman"/>
            <w:sz w:val="18"/>
            <w:lang w:val="ru-RU"/>
          </w:rPr>
          <w:t xml:space="preserve"> года</w:t>
        </w:r>
      </w:hyperlink>
      <w:r w:rsidRPr="00A7299F">
        <w:rPr>
          <w:rFonts w:ascii="Times New Roman" w:hAnsi="Times New Roman" w:cs="Times New Roman"/>
          <w:sz w:val="18"/>
          <w:lang w:val="ru-RU"/>
        </w:rPr>
        <w:t xml:space="preserve">» (стр. </w:t>
      </w:r>
      <w:r>
        <w:rPr>
          <w:rFonts w:ascii="Times New Roman" w:hAnsi="Times New Roman" w:cs="Times New Roman"/>
          <w:sz w:val="18"/>
          <w:lang w:val="ru-RU"/>
        </w:rPr>
        <w:t>2</w:t>
      </w:r>
      <w:r w:rsidRPr="00A7299F">
        <w:rPr>
          <w:rFonts w:ascii="Times New Roman" w:hAnsi="Times New Roman" w:cs="Times New Roman"/>
          <w:sz w:val="18"/>
          <w:lang w:val="ru-RU"/>
        </w:rPr>
        <w:t>)</w:t>
      </w:r>
    </w:p>
  </w:footnote>
  <w:footnote w:id="45">
    <w:p w14:paraId="0DA1D9B8" w14:textId="77777777" w:rsidR="0090366A" w:rsidRPr="00373C8B" w:rsidRDefault="0090366A" w:rsidP="00DB474C">
      <w:pPr>
        <w:pStyle w:val="af3"/>
        <w:rPr>
          <w:lang w:val="ru-RU"/>
        </w:rPr>
      </w:pPr>
      <w:r>
        <w:rPr>
          <w:rStyle w:val="af2"/>
        </w:rPr>
        <w:footnoteRef/>
      </w:r>
      <w:r w:rsidRPr="00373C8B">
        <w:rPr>
          <w:lang w:val="ru-RU"/>
        </w:rPr>
        <w:t xml:space="preserve"> </w:t>
      </w:r>
      <w:r w:rsidRPr="00A7299F">
        <w:rPr>
          <w:rFonts w:ascii="Times New Roman" w:hAnsi="Times New Roman" w:cs="Times New Roman"/>
          <w:sz w:val="18"/>
          <w:lang w:val="ru-RU"/>
        </w:rPr>
        <w:t>Департамент экономического развития Воронежской области «</w:t>
      </w:r>
      <w:hyperlink r:id="rId33" w:tgtFrame="_blank" w:history="1">
        <w:r w:rsidRPr="00F70EE9">
          <w:rPr>
            <w:rFonts w:ascii="Times New Roman" w:hAnsi="Times New Roman" w:cs="Times New Roman"/>
            <w:sz w:val="18"/>
            <w:lang w:val="ru-RU"/>
          </w:rPr>
          <w:t>Итоги социально-экономического развития Воронежской области за январь-декабрь 20</w:t>
        </w:r>
        <w:r>
          <w:rPr>
            <w:rFonts w:ascii="Times New Roman" w:hAnsi="Times New Roman" w:cs="Times New Roman"/>
            <w:sz w:val="18"/>
            <w:lang w:val="ru-RU"/>
          </w:rPr>
          <w:t>21</w:t>
        </w:r>
        <w:r w:rsidRPr="00F70EE9">
          <w:rPr>
            <w:rFonts w:ascii="Times New Roman" w:hAnsi="Times New Roman" w:cs="Times New Roman"/>
            <w:sz w:val="18"/>
            <w:lang w:val="ru-RU"/>
          </w:rPr>
          <w:t xml:space="preserve"> года</w:t>
        </w:r>
      </w:hyperlink>
      <w:r w:rsidRPr="00A7299F">
        <w:rPr>
          <w:rFonts w:ascii="Times New Roman" w:hAnsi="Times New Roman" w:cs="Times New Roman"/>
          <w:sz w:val="18"/>
          <w:lang w:val="ru-RU"/>
        </w:rPr>
        <w:t xml:space="preserve">» (стр. </w:t>
      </w:r>
      <w:r>
        <w:rPr>
          <w:rFonts w:ascii="Times New Roman" w:hAnsi="Times New Roman" w:cs="Times New Roman"/>
          <w:sz w:val="18"/>
          <w:lang w:val="ru-RU"/>
        </w:rPr>
        <w:t>4</w:t>
      </w:r>
      <w:r w:rsidRPr="00A7299F">
        <w:rPr>
          <w:rFonts w:ascii="Times New Roman" w:hAnsi="Times New Roman" w:cs="Times New Roman"/>
          <w:sz w:val="18"/>
          <w:lang w:val="ru-RU"/>
        </w:rPr>
        <w:t>)</w:t>
      </w:r>
    </w:p>
  </w:footnote>
  <w:footnote w:id="46">
    <w:p w14:paraId="152A3266" w14:textId="77777777" w:rsidR="0090366A" w:rsidRPr="00373C8B" w:rsidRDefault="0090366A" w:rsidP="00DB474C">
      <w:pPr>
        <w:pStyle w:val="af3"/>
        <w:rPr>
          <w:lang w:val="ru-RU"/>
        </w:rPr>
      </w:pPr>
      <w:r>
        <w:rPr>
          <w:rStyle w:val="af2"/>
        </w:rPr>
        <w:footnoteRef/>
      </w:r>
      <w:r w:rsidRPr="00373C8B">
        <w:rPr>
          <w:lang w:val="ru-RU"/>
        </w:rPr>
        <w:t xml:space="preserve"> </w:t>
      </w:r>
      <w:r w:rsidRPr="00A7299F">
        <w:rPr>
          <w:rFonts w:ascii="Times New Roman" w:hAnsi="Times New Roman" w:cs="Times New Roman"/>
          <w:sz w:val="18"/>
          <w:lang w:val="ru-RU"/>
        </w:rPr>
        <w:t>Департамент экономического развития Воронежской области «</w:t>
      </w:r>
      <w:hyperlink r:id="rId34" w:tgtFrame="_blank" w:history="1">
        <w:r w:rsidRPr="00F70EE9">
          <w:rPr>
            <w:rFonts w:ascii="Times New Roman" w:hAnsi="Times New Roman" w:cs="Times New Roman"/>
            <w:sz w:val="18"/>
            <w:lang w:val="ru-RU"/>
          </w:rPr>
          <w:t>Итоги социально-экономического развития Воронежской области за январь-декабрь 20</w:t>
        </w:r>
        <w:r>
          <w:rPr>
            <w:rFonts w:ascii="Times New Roman" w:hAnsi="Times New Roman" w:cs="Times New Roman"/>
            <w:sz w:val="18"/>
            <w:lang w:val="ru-RU"/>
          </w:rPr>
          <w:t>21</w:t>
        </w:r>
        <w:r w:rsidRPr="00F70EE9">
          <w:rPr>
            <w:rFonts w:ascii="Times New Roman" w:hAnsi="Times New Roman" w:cs="Times New Roman"/>
            <w:sz w:val="18"/>
            <w:lang w:val="ru-RU"/>
          </w:rPr>
          <w:t xml:space="preserve"> года</w:t>
        </w:r>
      </w:hyperlink>
      <w:r w:rsidRPr="00A7299F">
        <w:rPr>
          <w:rFonts w:ascii="Times New Roman" w:hAnsi="Times New Roman" w:cs="Times New Roman"/>
          <w:sz w:val="18"/>
          <w:lang w:val="ru-RU"/>
        </w:rPr>
        <w:t xml:space="preserve">» (стр. </w:t>
      </w:r>
      <w:r>
        <w:rPr>
          <w:rFonts w:ascii="Times New Roman" w:hAnsi="Times New Roman" w:cs="Times New Roman"/>
          <w:sz w:val="18"/>
          <w:lang w:val="ru-RU"/>
        </w:rPr>
        <w:t>6</w:t>
      </w:r>
      <w:r w:rsidRPr="00A7299F">
        <w:rPr>
          <w:rFonts w:ascii="Times New Roman" w:hAnsi="Times New Roman" w:cs="Times New Roman"/>
          <w:sz w:val="18"/>
          <w:lang w:val="ru-RU"/>
        </w:rPr>
        <w:t>)</w:t>
      </w:r>
    </w:p>
  </w:footnote>
  <w:footnote w:id="47">
    <w:p w14:paraId="0EDC42A2" w14:textId="77777777" w:rsidR="0090366A" w:rsidRPr="000E4694" w:rsidRDefault="0090366A" w:rsidP="00DB474C">
      <w:pPr>
        <w:pStyle w:val="af3"/>
        <w:rPr>
          <w:lang w:val="ru-RU"/>
        </w:rPr>
      </w:pPr>
      <w:r>
        <w:rPr>
          <w:rStyle w:val="af2"/>
        </w:rPr>
        <w:footnoteRef/>
      </w:r>
      <w:r w:rsidRPr="000E4694">
        <w:rPr>
          <w:lang w:val="ru-RU"/>
        </w:rPr>
        <w:t xml:space="preserve"> </w:t>
      </w:r>
      <w:r w:rsidRPr="00F94F81">
        <w:rPr>
          <w:rFonts w:ascii="Times New Roman" w:hAnsi="Times New Roman" w:cs="Times New Roman"/>
          <w:sz w:val="18"/>
          <w:lang w:val="ru-RU"/>
        </w:rPr>
        <w:t>Данные территориального органа Российской Федерации службы государственной статистики по Воронежской области</w:t>
      </w:r>
      <w:r w:rsidRPr="00F94F81">
        <w:rPr>
          <w:rFonts w:ascii="Times New Roman" w:hAnsi="Times New Roman" w:cs="Times New Roman"/>
          <w:lang w:val="ru-RU"/>
        </w:rPr>
        <w:t xml:space="preserve"> «Социально-экономическое положение Воронежской области» январь</w:t>
      </w:r>
      <w:r>
        <w:rPr>
          <w:rFonts w:ascii="Times New Roman" w:hAnsi="Times New Roman" w:cs="Times New Roman"/>
          <w:lang w:val="ru-RU"/>
        </w:rPr>
        <w:t>-декабрь</w:t>
      </w:r>
      <w:r w:rsidRPr="00F94F81">
        <w:rPr>
          <w:rFonts w:ascii="Times New Roman" w:hAnsi="Times New Roman" w:cs="Times New Roman"/>
          <w:lang w:val="ru-RU"/>
        </w:rPr>
        <w:t xml:space="preserve"> 202</w:t>
      </w:r>
      <w:r>
        <w:rPr>
          <w:rFonts w:ascii="Times New Roman" w:hAnsi="Times New Roman" w:cs="Times New Roman"/>
          <w:lang w:val="ru-RU"/>
        </w:rPr>
        <w:t>1</w:t>
      </w:r>
      <w:r w:rsidRPr="00F94F81">
        <w:rPr>
          <w:rFonts w:ascii="Times New Roman" w:hAnsi="Times New Roman" w:cs="Times New Roman"/>
          <w:lang w:val="ru-RU"/>
        </w:rPr>
        <w:t xml:space="preserve"> года (стр. </w:t>
      </w:r>
      <w:r>
        <w:rPr>
          <w:rFonts w:ascii="Times New Roman" w:hAnsi="Times New Roman" w:cs="Times New Roman"/>
          <w:lang w:val="ru-RU"/>
        </w:rPr>
        <w:t>32</w:t>
      </w:r>
      <w:r w:rsidRPr="00F94F81">
        <w:rPr>
          <w:rFonts w:ascii="Times New Roman" w:hAnsi="Times New Roman" w:cs="Times New Roman"/>
          <w:lang w:val="ru-RU"/>
        </w:rPr>
        <w:t>)</w:t>
      </w:r>
    </w:p>
  </w:footnote>
  <w:footnote w:id="48">
    <w:p w14:paraId="32F4F095" w14:textId="77777777" w:rsidR="0090366A" w:rsidRPr="00373C8B" w:rsidRDefault="0090366A" w:rsidP="00DB474C">
      <w:pPr>
        <w:pStyle w:val="af3"/>
        <w:rPr>
          <w:lang w:val="ru-RU"/>
        </w:rPr>
      </w:pPr>
      <w:r>
        <w:rPr>
          <w:rStyle w:val="af2"/>
        </w:rPr>
        <w:footnoteRef/>
      </w:r>
      <w:r w:rsidRPr="00373C8B">
        <w:rPr>
          <w:lang w:val="ru-RU"/>
        </w:rPr>
        <w:t xml:space="preserve"> </w:t>
      </w:r>
      <w:r w:rsidRPr="00A7299F">
        <w:rPr>
          <w:rFonts w:ascii="Times New Roman" w:hAnsi="Times New Roman" w:cs="Times New Roman"/>
          <w:sz w:val="18"/>
          <w:lang w:val="ru-RU"/>
        </w:rPr>
        <w:t>Департамент экономического развития Воронежской области «</w:t>
      </w:r>
      <w:hyperlink r:id="rId35" w:tgtFrame="_blank" w:history="1">
        <w:r w:rsidRPr="00F70EE9">
          <w:rPr>
            <w:rFonts w:ascii="Times New Roman" w:hAnsi="Times New Roman" w:cs="Times New Roman"/>
            <w:sz w:val="18"/>
            <w:lang w:val="ru-RU"/>
          </w:rPr>
          <w:t>Итоги социально-экономического развития Воронежской области за январь-декабрь 20</w:t>
        </w:r>
        <w:r>
          <w:rPr>
            <w:rFonts w:ascii="Times New Roman" w:hAnsi="Times New Roman" w:cs="Times New Roman"/>
            <w:sz w:val="18"/>
            <w:lang w:val="ru-RU"/>
          </w:rPr>
          <w:t>21</w:t>
        </w:r>
        <w:r w:rsidRPr="00F70EE9">
          <w:rPr>
            <w:rFonts w:ascii="Times New Roman" w:hAnsi="Times New Roman" w:cs="Times New Roman"/>
            <w:sz w:val="18"/>
            <w:lang w:val="ru-RU"/>
          </w:rPr>
          <w:t xml:space="preserve"> года</w:t>
        </w:r>
      </w:hyperlink>
      <w:r w:rsidRPr="00A7299F">
        <w:rPr>
          <w:rFonts w:ascii="Times New Roman" w:hAnsi="Times New Roman" w:cs="Times New Roman"/>
          <w:sz w:val="18"/>
          <w:lang w:val="ru-RU"/>
        </w:rPr>
        <w:t xml:space="preserve">» (стр. </w:t>
      </w:r>
      <w:r>
        <w:rPr>
          <w:rFonts w:ascii="Times New Roman" w:hAnsi="Times New Roman" w:cs="Times New Roman"/>
          <w:sz w:val="18"/>
          <w:lang w:val="ru-RU"/>
        </w:rPr>
        <w:t>6</w:t>
      </w:r>
      <w:r w:rsidRPr="00A7299F">
        <w:rPr>
          <w:rFonts w:ascii="Times New Roman" w:hAnsi="Times New Roman" w:cs="Times New Roman"/>
          <w:sz w:val="18"/>
          <w:lang w:val="ru-RU"/>
        </w:rPr>
        <w:t>)</w:t>
      </w:r>
    </w:p>
  </w:footnote>
  <w:footnote w:id="49">
    <w:p w14:paraId="79BE52A7" w14:textId="77777777" w:rsidR="0090366A" w:rsidRPr="00373C8B" w:rsidRDefault="0090366A" w:rsidP="00DB474C">
      <w:pPr>
        <w:pStyle w:val="af3"/>
        <w:rPr>
          <w:lang w:val="ru-RU"/>
        </w:rPr>
      </w:pPr>
      <w:r>
        <w:rPr>
          <w:rStyle w:val="af2"/>
        </w:rPr>
        <w:footnoteRef/>
      </w:r>
      <w:r w:rsidRPr="00373C8B">
        <w:rPr>
          <w:lang w:val="ru-RU"/>
        </w:rPr>
        <w:t xml:space="preserve"> </w:t>
      </w:r>
      <w:r w:rsidRPr="00A7299F">
        <w:rPr>
          <w:rFonts w:ascii="Times New Roman" w:hAnsi="Times New Roman" w:cs="Times New Roman"/>
          <w:sz w:val="18"/>
          <w:lang w:val="ru-RU"/>
        </w:rPr>
        <w:t>Департамент экономического развития Воронежской области «</w:t>
      </w:r>
      <w:hyperlink r:id="rId36" w:tgtFrame="_blank" w:history="1">
        <w:r w:rsidRPr="00F70EE9">
          <w:rPr>
            <w:rFonts w:ascii="Times New Roman" w:hAnsi="Times New Roman" w:cs="Times New Roman"/>
            <w:sz w:val="18"/>
            <w:lang w:val="ru-RU"/>
          </w:rPr>
          <w:t>Итоги социально-экономического развития Воронежской области за январь-декабрь 20</w:t>
        </w:r>
        <w:r>
          <w:rPr>
            <w:rFonts w:ascii="Times New Roman" w:hAnsi="Times New Roman" w:cs="Times New Roman"/>
            <w:sz w:val="18"/>
            <w:lang w:val="ru-RU"/>
          </w:rPr>
          <w:t>21</w:t>
        </w:r>
        <w:r w:rsidRPr="00F70EE9">
          <w:rPr>
            <w:rFonts w:ascii="Times New Roman" w:hAnsi="Times New Roman" w:cs="Times New Roman"/>
            <w:sz w:val="18"/>
            <w:lang w:val="ru-RU"/>
          </w:rPr>
          <w:t xml:space="preserve"> года</w:t>
        </w:r>
      </w:hyperlink>
      <w:r w:rsidRPr="00A7299F">
        <w:rPr>
          <w:rFonts w:ascii="Times New Roman" w:hAnsi="Times New Roman" w:cs="Times New Roman"/>
          <w:sz w:val="18"/>
          <w:lang w:val="ru-RU"/>
        </w:rPr>
        <w:t xml:space="preserve">» (стр. </w:t>
      </w:r>
      <w:r>
        <w:rPr>
          <w:rFonts w:ascii="Times New Roman" w:hAnsi="Times New Roman" w:cs="Times New Roman"/>
          <w:sz w:val="18"/>
          <w:lang w:val="ru-RU"/>
        </w:rPr>
        <w:t>7</w:t>
      </w:r>
      <w:r w:rsidRPr="00A7299F">
        <w:rPr>
          <w:rFonts w:ascii="Times New Roman" w:hAnsi="Times New Roman" w:cs="Times New Roman"/>
          <w:sz w:val="18"/>
          <w:lang w:val="ru-RU"/>
        </w:rPr>
        <w:t>)</w:t>
      </w:r>
    </w:p>
  </w:footnote>
  <w:footnote w:id="50">
    <w:p w14:paraId="1575B84C" w14:textId="77777777" w:rsidR="0090366A" w:rsidRPr="000A42D4" w:rsidRDefault="0090366A" w:rsidP="00DB474C">
      <w:pPr>
        <w:pStyle w:val="af3"/>
        <w:rPr>
          <w:lang w:val="ru-RU"/>
        </w:rPr>
      </w:pPr>
      <w:r>
        <w:rPr>
          <w:rStyle w:val="af2"/>
        </w:rPr>
        <w:footnoteRef/>
      </w:r>
      <w:r w:rsidRPr="000A42D4">
        <w:rPr>
          <w:lang w:val="ru-RU"/>
        </w:rPr>
        <w:t xml:space="preserve"> </w:t>
      </w:r>
      <w:r w:rsidRPr="00A7299F">
        <w:rPr>
          <w:rFonts w:ascii="Times New Roman" w:hAnsi="Times New Roman" w:cs="Times New Roman"/>
          <w:sz w:val="18"/>
          <w:lang w:val="ru-RU"/>
        </w:rPr>
        <w:t>Департамент экономического развития Воронежской области «</w:t>
      </w:r>
      <w:hyperlink r:id="rId37" w:tgtFrame="_blank" w:history="1">
        <w:r w:rsidRPr="00F70EE9">
          <w:rPr>
            <w:rFonts w:ascii="Times New Roman" w:hAnsi="Times New Roman" w:cs="Times New Roman"/>
            <w:sz w:val="18"/>
            <w:lang w:val="ru-RU"/>
          </w:rPr>
          <w:t>Итоги социально-экономического развития Воронежской области за январь-декабрь 20</w:t>
        </w:r>
        <w:r>
          <w:rPr>
            <w:rFonts w:ascii="Times New Roman" w:hAnsi="Times New Roman" w:cs="Times New Roman"/>
            <w:sz w:val="18"/>
            <w:lang w:val="ru-RU"/>
          </w:rPr>
          <w:t>21</w:t>
        </w:r>
        <w:r w:rsidRPr="00F70EE9">
          <w:rPr>
            <w:rFonts w:ascii="Times New Roman" w:hAnsi="Times New Roman" w:cs="Times New Roman"/>
            <w:sz w:val="18"/>
            <w:lang w:val="ru-RU"/>
          </w:rPr>
          <w:t xml:space="preserve"> года</w:t>
        </w:r>
      </w:hyperlink>
      <w:r w:rsidRPr="00A7299F">
        <w:rPr>
          <w:rFonts w:ascii="Times New Roman" w:hAnsi="Times New Roman" w:cs="Times New Roman"/>
          <w:sz w:val="18"/>
          <w:lang w:val="ru-RU"/>
        </w:rPr>
        <w:t xml:space="preserve">» (стр. </w:t>
      </w:r>
      <w:r>
        <w:rPr>
          <w:rFonts w:ascii="Times New Roman" w:hAnsi="Times New Roman" w:cs="Times New Roman"/>
          <w:sz w:val="18"/>
          <w:lang w:val="ru-RU"/>
        </w:rPr>
        <w:t>10</w:t>
      </w:r>
      <w:r w:rsidRPr="00A7299F">
        <w:rPr>
          <w:rFonts w:ascii="Times New Roman" w:hAnsi="Times New Roman" w:cs="Times New Roman"/>
          <w:sz w:val="18"/>
          <w:lang w:val="ru-RU"/>
        </w:rPr>
        <w:t>)</w:t>
      </w:r>
    </w:p>
  </w:footnote>
  <w:footnote w:id="51">
    <w:p w14:paraId="602BF72D" w14:textId="77777777" w:rsidR="0090366A" w:rsidRPr="00A7299F" w:rsidRDefault="0090366A" w:rsidP="00DB474C">
      <w:pPr>
        <w:pStyle w:val="af3"/>
        <w:rPr>
          <w:rFonts w:ascii="Times New Roman" w:hAnsi="Times New Roman" w:cs="Times New Roman"/>
          <w:sz w:val="18"/>
          <w:lang w:val="ru-RU"/>
        </w:rPr>
      </w:pPr>
      <w:r>
        <w:rPr>
          <w:rStyle w:val="af2"/>
        </w:rPr>
        <w:footnoteRef/>
      </w:r>
      <w:r w:rsidRPr="00113E85">
        <w:rPr>
          <w:lang w:val="ru-RU"/>
        </w:rPr>
        <w:t xml:space="preserve"> </w:t>
      </w:r>
      <w:hyperlink r:id="rId38" w:history="1">
        <w:r w:rsidRPr="00A7299F">
          <w:rPr>
            <w:rFonts w:ascii="Times New Roman" w:hAnsi="Times New Roman" w:cs="Times New Roman"/>
            <w:sz w:val="18"/>
            <w:lang w:val="ru-RU"/>
          </w:rPr>
          <w:t>https</w:t>
        </w:r>
        <w:r w:rsidRPr="00F70EE9">
          <w:rPr>
            <w:rFonts w:ascii="Times New Roman" w:hAnsi="Times New Roman" w:cs="Times New Roman"/>
            <w:sz w:val="18"/>
            <w:lang w:val="ru-RU"/>
          </w:rPr>
          <w:t>://</w:t>
        </w:r>
        <w:r w:rsidRPr="00A7299F">
          <w:rPr>
            <w:rFonts w:ascii="Times New Roman" w:hAnsi="Times New Roman" w:cs="Times New Roman"/>
            <w:sz w:val="18"/>
            <w:lang w:val="ru-RU"/>
          </w:rPr>
          <w:t>files</w:t>
        </w:r>
        <w:r w:rsidRPr="00F70EE9">
          <w:rPr>
            <w:rFonts w:ascii="Times New Roman" w:hAnsi="Times New Roman" w:cs="Times New Roman"/>
            <w:sz w:val="18"/>
            <w:lang w:val="ru-RU"/>
          </w:rPr>
          <w:t>.</w:t>
        </w:r>
        <w:r w:rsidRPr="00A7299F">
          <w:rPr>
            <w:rFonts w:ascii="Times New Roman" w:hAnsi="Times New Roman" w:cs="Times New Roman"/>
            <w:sz w:val="18"/>
            <w:lang w:val="ru-RU"/>
          </w:rPr>
          <w:t>cdml</w:t>
        </w:r>
        <w:r w:rsidRPr="00F70EE9">
          <w:rPr>
            <w:rFonts w:ascii="Times New Roman" w:hAnsi="Times New Roman" w:cs="Times New Roman"/>
            <w:sz w:val="18"/>
            <w:lang w:val="ru-RU"/>
          </w:rPr>
          <w:t>.</w:t>
        </w:r>
        <w:r w:rsidRPr="00A7299F">
          <w:rPr>
            <w:rFonts w:ascii="Times New Roman" w:hAnsi="Times New Roman" w:cs="Times New Roman"/>
            <w:sz w:val="18"/>
            <w:lang w:val="ru-RU"/>
          </w:rPr>
          <w:t>ru</w:t>
        </w:r>
        <w:r w:rsidRPr="00F70EE9">
          <w:rPr>
            <w:rFonts w:ascii="Times New Roman" w:hAnsi="Times New Roman" w:cs="Times New Roman"/>
            <w:sz w:val="18"/>
            <w:lang w:val="ru-RU"/>
          </w:rPr>
          <w:t>/</w:t>
        </w:r>
        <w:r w:rsidRPr="00A7299F">
          <w:rPr>
            <w:rFonts w:ascii="Times New Roman" w:hAnsi="Times New Roman" w:cs="Times New Roman"/>
            <w:sz w:val="18"/>
            <w:lang w:val="ru-RU"/>
          </w:rPr>
          <w:t>IPK</w:t>
        </w:r>
        <w:r w:rsidRPr="00F70EE9">
          <w:rPr>
            <w:rFonts w:ascii="Times New Roman" w:hAnsi="Times New Roman" w:cs="Times New Roman"/>
            <w:sz w:val="18"/>
            <w:lang w:val="ru-RU"/>
          </w:rPr>
          <w:t>/2016_</w:t>
        </w:r>
        <w:r w:rsidRPr="00A7299F">
          <w:rPr>
            <w:rFonts w:ascii="Times New Roman" w:hAnsi="Times New Roman" w:cs="Times New Roman"/>
            <w:sz w:val="18"/>
            <w:lang w:val="ru-RU"/>
          </w:rPr>
          <w:t>kaddei</w:t>
        </w:r>
        <w:r w:rsidRPr="00F70EE9">
          <w:rPr>
            <w:rFonts w:ascii="Times New Roman" w:hAnsi="Times New Roman" w:cs="Times New Roman"/>
            <w:sz w:val="18"/>
            <w:lang w:val="ru-RU"/>
          </w:rPr>
          <w:t>/10_</w:t>
        </w:r>
        <w:r w:rsidRPr="00A7299F">
          <w:rPr>
            <w:rFonts w:ascii="Times New Roman" w:hAnsi="Times New Roman" w:cs="Times New Roman"/>
            <w:sz w:val="18"/>
            <w:lang w:val="ru-RU"/>
          </w:rPr>
          <w:t>regulate</w:t>
        </w:r>
        <w:r w:rsidRPr="00F70EE9">
          <w:rPr>
            <w:rFonts w:ascii="Times New Roman" w:hAnsi="Times New Roman" w:cs="Times New Roman"/>
            <w:sz w:val="18"/>
            <w:lang w:val="ru-RU"/>
          </w:rPr>
          <w:t>/</w:t>
        </w:r>
        <w:r w:rsidRPr="00A7299F">
          <w:rPr>
            <w:rFonts w:ascii="Times New Roman" w:hAnsi="Times New Roman" w:cs="Times New Roman"/>
            <w:sz w:val="18"/>
            <w:lang w:val="ru-RU"/>
          </w:rPr>
          <w:t>book</w:t>
        </w:r>
        <w:r w:rsidRPr="00F70EE9">
          <w:rPr>
            <w:rFonts w:ascii="Times New Roman" w:hAnsi="Times New Roman" w:cs="Times New Roman"/>
            <w:sz w:val="18"/>
            <w:lang w:val="ru-RU"/>
          </w:rPr>
          <w:t>.</w:t>
        </w:r>
        <w:r w:rsidRPr="00A7299F">
          <w:rPr>
            <w:rFonts w:ascii="Times New Roman" w:hAnsi="Times New Roman" w:cs="Times New Roman"/>
            <w:sz w:val="18"/>
            <w:lang w:val="ru-RU"/>
          </w:rPr>
          <w:t>pdf</w:t>
        </w:r>
      </w:hyperlink>
    </w:p>
  </w:footnote>
  <w:footnote w:id="52">
    <w:p w14:paraId="11B662B3" w14:textId="77777777" w:rsidR="0090366A" w:rsidRPr="00113E85" w:rsidRDefault="0090366A" w:rsidP="00DB474C">
      <w:pPr>
        <w:pStyle w:val="af3"/>
        <w:rPr>
          <w:lang w:val="ru-RU"/>
        </w:rPr>
      </w:pPr>
      <w:r w:rsidRPr="00694ED0">
        <w:rPr>
          <w:rStyle w:val="af2"/>
        </w:rPr>
        <w:footnoteRef/>
      </w:r>
      <w:r w:rsidRPr="00113E85">
        <w:rPr>
          <w:lang w:val="ru-RU"/>
        </w:rPr>
        <w:t xml:space="preserve"> </w:t>
      </w:r>
      <w:r w:rsidRPr="00A7299F">
        <w:rPr>
          <w:rFonts w:ascii="Times New Roman" w:hAnsi="Times New Roman" w:cs="Times New Roman"/>
          <w:sz w:val="18"/>
          <w:lang w:val="ru-RU"/>
        </w:rPr>
        <w:t>Данные официального сайта правительства Воронежской област</w:t>
      </w:r>
      <w:r w:rsidRPr="00DD56EC">
        <w:rPr>
          <w:rFonts w:ascii="Times New Roman" w:hAnsi="Times New Roman" w:cs="Times New Roman"/>
          <w:sz w:val="18"/>
          <w:lang w:val="ru-RU"/>
        </w:rPr>
        <w:t xml:space="preserve">и </w:t>
      </w:r>
      <w:hyperlink r:id="rId39" w:history="1">
        <w:r w:rsidRPr="00DD56EC">
          <w:rPr>
            <w:rStyle w:val="ad"/>
            <w:rFonts w:ascii="Times New Roman" w:hAnsi="Times New Roman" w:cs="Times New Roman"/>
            <w:sz w:val="18"/>
          </w:rPr>
          <w:t>https</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www</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govvrn</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ru</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ispolnitelnye</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organy</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gosudarstvennoj</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vlasti</w:t>
        </w:r>
      </w:hyperlink>
    </w:p>
  </w:footnote>
  <w:footnote w:id="53">
    <w:p w14:paraId="1CF52F57" w14:textId="77777777" w:rsidR="0090366A" w:rsidRPr="00DD56EC" w:rsidRDefault="0090366A" w:rsidP="00DB474C">
      <w:pPr>
        <w:pStyle w:val="af3"/>
        <w:rPr>
          <w:lang w:val="ru-RU"/>
        </w:rPr>
      </w:pPr>
      <w:r>
        <w:rPr>
          <w:rStyle w:val="af2"/>
        </w:rPr>
        <w:footnoteRef/>
      </w:r>
      <w:r w:rsidRPr="00113E85">
        <w:rPr>
          <w:bCs/>
          <w:shd w:val="clear" w:color="auto" w:fill="FFFFFF"/>
          <w:lang w:val="ru-RU"/>
        </w:rPr>
        <w:t>"</w:t>
      </w:r>
      <w:r w:rsidRPr="00DD56EC">
        <w:rPr>
          <w:rStyle w:val="ad"/>
          <w:rFonts w:ascii="Times New Roman" w:hAnsi="Times New Roman" w:cs="Times New Roman"/>
          <w:sz w:val="18"/>
          <w:lang w:val="ru-RU"/>
        </w:rPr>
        <w:t xml:space="preserve">Гражданский кодекс Российской Федерации (часть первая)" от 30.11.1994 </w:t>
      </w:r>
      <w:r w:rsidRPr="00DD56EC">
        <w:rPr>
          <w:rStyle w:val="ad"/>
          <w:rFonts w:ascii="Times New Roman" w:hAnsi="Times New Roman" w:cs="Times New Roman"/>
          <w:sz w:val="18"/>
        </w:rPr>
        <w:t>N</w:t>
      </w:r>
      <w:r w:rsidRPr="00DD56EC">
        <w:rPr>
          <w:rStyle w:val="ad"/>
          <w:rFonts w:ascii="Times New Roman" w:hAnsi="Times New Roman" w:cs="Times New Roman"/>
          <w:sz w:val="18"/>
          <w:lang w:val="ru-RU"/>
        </w:rPr>
        <w:t xml:space="preserve"> 51-ФЗ (ред. от </w:t>
      </w:r>
      <w:r>
        <w:rPr>
          <w:rStyle w:val="ad"/>
          <w:rFonts w:ascii="Times New Roman" w:hAnsi="Times New Roman" w:cs="Times New Roman"/>
          <w:sz w:val="18"/>
          <w:lang w:val="ru-RU"/>
        </w:rPr>
        <w:t>25</w:t>
      </w:r>
      <w:r w:rsidRPr="00DD56EC">
        <w:rPr>
          <w:rStyle w:val="ad"/>
          <w:rFonts w:ascii="Times New Roman" w:hAnsi="Times New Roman" w:cs="Times New Roman"/>
          <w:sz w:val="18"/>
          <w:lang w:val="ru-RU"/>
        </w:rPr>
        <w:t>.</w:t>
      </w:r>
      <w:r>
        <w:rPr>
          <w:rStyle w:val="ad"/>
          <w:rFonts w:ascii="Times New Roman" w:hAnsi="Times New Roman" w:cs="Times New Roman"/>
          <w:sz w:val="18"/>
          <w:lang w:val="ru-RU"/>
        </w:rPr>
        <w:t>0</w:t>
      </w:r>
      <w:r w:rsidRPr="00DD56EC">
        <w:rPr>
          <w:rStyle w:val="ad"/>
          <w:rFonts w:ascii="Times New Roman" w:hAnsi="Times New Roman" w:cs="Times New Roman"/>
          <w:sz w:val="18"/>
          <w:lang w:val="ru-RU"/>
        </w:rPr>
        <w:t>2.20</w:t>
      </w:r>
      <w:r>
        <w:rPr>
          <w:rStyle w:val="ad"/>
          <w:rFonts w:ascii="Times New Roman" w:hAnsi="Times New Roman" w:cs="Times New Roman"/>
          <w:sz w:val="18"/>
          <w:lang w:val="ru-RU"/>
        </w:rPr>
        <w:t>22</w:t>
      </w:r>
      <w:r w:rsidRPr="00DD56EC">
        <w:rPr>
          <w:rStyle w:val="ad"/>
          <w:rFonts w:ascii="Times New Roman" w:hAnsi="Times New Roman" w:cs="Times New Roman"/>
          <w:sz w:val="18"/>
          <w:lang w:val="ru-RU"/>
        </w:rPr>
        <w:t>), ст. 130</w:t>
      </w:r>
    </w:p>
  </w:footnote>
  <w:footnote w:id="54">
    <w:p w14:paraId="0525ECEF" w14:textId="77777777" w:rsidR="0090366A" w:rsidRPr="00595416" w:rsidRDefault="0090366A" w:rsidP="00DB474C">
      <w:pPr>
        <w:pStyle w:val="af3"/>
        <w:rPr>
          <w:lang w:val="ru-RU"/>
        </w:rPr>
      </w:pPr>
      <w:r>
        <w:rPr>
          <w:rStyle w:val="af2"/>
        </w:rPr>
        <w:footnoteRef/>
      </w:r>
      <w:r w:rsidRPr="008E7300">
        <w:rPr>
          <w:lang w:val="ru-RU"/>
        </w:rPr>
        <w:t xml:space="preserve"> </w:t>
      </w:r>
      <w:r w:rsidRPr="008E7300">
        <w:rPr>
          <w:rFonts w:ascii="Times New Roman" w:hAnsi="Times New Roman" w:cs="Times New Roman"/>
          <w:lang w:val="ru-RU"/>
        </w:rPr>
        <w:t xml:space="preserve">Обзор рынка жилья за январь 2022 года г. Воронежа </w:t>
      </w:r>
      <w:hyperlink r:id="rId40" w:history="1">
        <w:r w:rsidRPr="008E7300">
          <w:rPr>
            <w:rStyle w:val="ad"/>
            <w:rFonts w:ascii="Times New Roman" w:hAnsi="Times New Roman" w:cs="Times New Roman"/>
            <w:lang w:val="ru-RU"/>
          </w:rPr>
          <w:t>https://www.vrx.ru/treasury/606.html</w:t>
        </w:r>
      </w:hyperlink>
    </w:p>
  </w:footnote>
  <w:footnote w:id="55">
    <w:p w14:paraId="1AFF3583" w14:textId="77777777" w:rsidR="0090366A" w:rsidRPr="00C62755" w:rsidRDefault="0090366A" w:rsidP="00DB474C">
      <w:pPr>
        <w:pStyle w:val="af3"/>
        <w:rPr>
          <w:lang w:val="ru-RU"/>
        </w:rPr>
      </w:pPr>
      <w:r>
        <w:rPr>
          <w:rStyle w:val="af2"/>
        </w:rPr>
        <w:footnoteRef/>
      </w:r>
      <w:r w:rsidRPr="00C62755">
        <w:rPr>
          <w:lang w:val="ru-RU"/>
        </w:rPr>
        <w:t xml:space="preserve"> </w:t>
      </w:r>
      <w:r w:rsidRPr="00C62755">
        <w:rPr>
          <w:rFonts w:ascii="Times New Roman" w:hAnsi="Times New Roman" w:cs="Times New Roman"/>
          <w:lang w:val="ru-RU"/>
        </w:rPr>
        <w:t xml:space="preserve">Портал Воронежской области </w:t>
      </w:r>
      <w:hyperlink r:id="rId41" w:history="1">
        <w:r w:rsidRPr="00C62755">
          <w:rPr>
            <w:rStyle w:val="ad"/>
            <w:rFonts w:ascii="Times New Roman" w:hAnsi="Times New Roman" w:cs="Times New Roman"/>
            <w:lang w:val="ru-RU"/>
          </w:rPr>
          <w:t>https://www.govvrn.ru/novost/-/~/id/8220840</w:t>
        </w:r>
      </w:hyperlink>
    </w:p>
  </w:footnote>
  <w:footnote w:id="56">
    <w:p w14:paraId="4BB4AE44" w14:textId="77777777" w:rsidR="0090366A" w:rsidRPr="00113E85" w:rsidRDefault="0090366A" w:rsidP="00DB474C">
      <w:pPr>
        <w:pStyle w:val="af3"/>
        <w:rPr>
          <w:lang w:val="ru-RU"/>
        </w:rPr>
      </w:pPr>
      <w:r>
        <w:rPr>
          <w:rStyle w:val="af2"/>
        </w:rPr>
        <w:footnoteRef/>
      </w:r>
      <w:r w:rsidRPr="00113E85">
        <w:rPr>
          <w:lang w:val="ru-RU"/>
        </w:rPr>
        <w:t xml:space="preserve"> </w:t>
      </w:r>
      <w:r w:rsidRPr="0082551D">
        <w:rPr>
          <w:rFonts w:ascii="Times New Roman" w:eastAsia="Times New Roman" w:hAnsi="Times New Roman" w:cs="Times New Roman"/>
          <w:kern w:val="0"/>
          <w:sz w:val="18"/>
          <w:lang w:val="ru-RU" w:eastAsia="ru-RU" w:bidi="ar-SA"/>
        </w:rPr>
        <w:t xml:space="preserve">Данные правительства Воронежской области «Технологическое присоединение к электрическим сетям» </w:t>
      </w:r>
      <w:hyperlink r:id="rId42" w:history="1">
        <w:r w:rsidRPr="0082551D">
          <w:rPr>
            <w:rFonts w:ascii="Times New Roman" w:eastAsia="Times New Roman" w:hAnsi="Times New Roman" w:cs="Times New Roman"/>
            <w:kern w:val="0"/>
            <w:sz w:val="18"/>
            <w:lang w:val="ru-RU" w:eastAsia="ru-RU" w:bidi="ar-SA"/>
          </w:rPr>
          <w:t>https</w:t>
        </w:r>
        <w:r w:rsidRPr="00F70EE9">
          <w:rPr>
            <w:rFonts w:ascii="Times New Roman" w:eastAsia="Times New Roman" w:hAnsi="Times New Roman" w:cs="Times New Roman"/>
            <w:kern w:val="0"/>
            <w:sz w:val="18"/>
            <w:lang w:val="ru-RU" w:eastAsia="ru-RU" w:bidi="ar-SA"/>
          </w:rPr>
          <w:t>://</w:t>
        </w:r>
        <w:r w:rsidRPr="0082551D">
          <w:rPr>
            <w:rFonts w:ascii="Times New Roman" w:eastAsia="Times New Roman" w:hAnsi="Times New Roman" w:cs="Times New Roman"/>
            <w:kern w:val="0"/>
            <w:sz w:val="18"/>
            <w:lang w:val="ru-RU" w:eastAsia="ru-RU" w:bidi="ar-SA"/>
          </w:rPr>
          <w:t>www</w:t>
        </w:r>
        <w:r w:rsidRPr="00F70EE9">
          <w:rPr>
            <w:rFonts w:ascii="Times New Roman" w:eastAsia="Times New Roman" w:hAnsi="Times New Roman" w:cs="Times New Roman"/>
            <w:kern w:val="0"/>
            <w:sz w:val="18"/>
            <w:lang w:val="ru-RU" w:eastAsia="ru-RU" w:bidi="ar-SA"/>
          </w:rPr>
          <w:t>.</w:t>
        </w:r>
        <w:r w:rsidRPr="0082551D">
          <w:rPr>
            <w:rFonts w:ascii="Times New Roman" w:eastAsia="Times New Roman" w:hAnsi="Times New Roman" w:cs="Times New Roman"/>
            <w:kern w:val="0"/>
            <w:sz w:val="18"/>
            <w:lang w:val="ru-RU" w:eastAsia="ru-RU" w:bidi="ar-SA"/>
          </w:rPr>
          <w:t>govvrn</w:t>
        </w:r>
        <w:r w:rsidRPr="00F70EE9">
          <w:rPr>
            <w:rFonts w:ascii="Times New Roman" w:eastAsia="Times New Roman" w:hAnsi="Times New Roman" w:cs="Times New Roman"/>
            <w:kern w:val="0"/>
            <w:sz w:val="18"/>
            <w:lang w:val="ru-RU" w:eastAsia="ru-RU" w:bidi="ar-SA"/>
          </w:rPr>
          <w:t>.</w:t>
        </w:r>
        <w:r w:rsidRPr="0082551D">
          <w:rPr>
            <w:rFonts w:ascii="Times New Roman" w:eastAsia="Times New Roman" w:hAnsi="Times New Roman" w:cs="Times New Roman"/>
            <w:kern w:val="0"/>
            <w:sz w:val="18"/>
            <w:lang w:val="ru-RU" w:eastAsia="ru-RU" w:bidi="ar-SA"/>
          </w:rPr>
          <w:t>ru</w:t>
        </w:r>
        <w:r w:rsidRPr="00F70EE9">
          <w:rPr>
            <w:rFonts w:ascii="Times New Roman" w:eastAsia="Times New Roman" w:hAnsi="Times New Roman" w:cs="Times New Roman"/>
            <w:kern w:val="0"/>
            <w:sz w:val="18"/>
            <w:lang w:val="ru-RU" w:eastAsia="ru-RU" w:bidi="ar-SA"/>
          </w:rPr>
          <w:t>/</w:t>
        </w:r>
        <w:r w:rsidRPr="0082551D">
          <w:rPr>
            <w:rFonts w:ascii="Times New Roman" w:eastAsia="Times New Roman" w:hAnsi="Times New Roman" w:cs="Times New Roman"/>
            <w:kern w:val="0"/>
            <w:sz w:val="18"/>
            <w:lang w:val="ru-RU" w:eastAsia="ru-RU" w:bidi="ar-SA"/>
          </w:rPr>
          <w:t>tehnologiceskoe</w:t>
        </w:r>
        <w:r w:rsidRPr="00F70EE9">
          <w:rPr>
            <w:rFonts w:ascii="Times New Roman" w:eastAsia="Times New Roman" w:hAnsi="Times New Roman" w:cs="Times New Roman"/>
            <w:kern w:val="0"/>
            <w:sz w:val="18"/>
            <w:lang w:val="ru-RU" w:eastAsia="ru-RU" w:bidi="ar-SA"/>
          </w:rPr>
          <w:t>-</w:t>
        </w:r>
        <w:r w:rsidRPr="0082551D">
          <w:rPr>
            <w:rFonts w:ascii="Times New Roman" w:eastAsia="Times New Roman" w:hAnsi="Times New Roman" w:cs="Times New Roman"/>
            <w:kern w:val="0"/>
            <w:sz w:val="18"/>
            <w:lang w:val="ru-RU" w:eastAsia="ru-RU" w:bidi="ar-SA"/>
          </w:rPr>
          <w:t>prisoedinenie</w:t>
        </w:r>
        <w:r w:rsidRPr="00F70EE9">
          <w:rPr>
            <w:rFonts w:ascii="Times New Roman" w:eastAsia="Times New Roman" w:hAnsi="Times New Roman" w:cs="Times New Roman"/>
            <w:kern w:val="0"/>
            <w:sz w:val="18"/>
            <w:lang w:val="ru-RU" w:eastAsia="ru-RU" w:bidi="ar-SA"/>
          </w:rPr>
          <w:t>-</w:t>
        </w:r>
        <w:r w:rsidRPr="0082551D">
          <w:rPr>
            <w:rFonts w:ascii="Times New Roman" w:eastAsia="Times New Roman" w:hAnsi="Times New Roman" w:cs="Times New Roman"/>
            <w:kern w:val="0"/>
            <w:sz w:val="18"/>
            <w:lang w:val="ru-RU" w:eastAsia="ru-RU" w:bidi="ar-SA"/>
          </w:rPr>
          <w:t>k</w:t>
        </w:r>
        <w:r w:rsidRPr="00F70EE9">
          <w:rPr>
            <w:rFonts w:ascii="Times New Roman" w:eastAsia="Times New Roman" w:hAnsi="Times New Roman" w:cs="Times New Roman"/>
            <w:kern w:val="0"/>
            <w:sz w:val="18"/>
            <w:lang w:val="ru-RU" w:eastAsia="ru-RU" w:bidi="ar-SA"/>
          </w:rPr>
          <w:t>-</w:t>
        </w:r>
        <w:r w:rsidRPr="0082551D">
          <w:rPr>
            <w:rFonts w:ascii="Times New Roman" w:eastAsia="Times New Roman" w:hAnsi="Times New Roman" w:cs="Times New Roman"/>
            <w:kern w:val="0"/>
            <w:sz w:val="18"/>
            <w:lang w:val="ru-RU" w:eastAsia="ru-RU" w:bidi="ar-SA"/>
          </w:rPr>
          <w:t>elektriceskim</w:t>
        </w:r>
        <w:r w:rsidRPr="00F70EE9">
          <w:rPr>
            <w:rFonts w:ascii="Times New Roman" w:eastAsia="Times New Roman" w:hAnsi="Times New Roman" w:cs="Times New Roman"/>
            <w:kern w:val="0"/>
            <w:sz w:val="18"/>
            <w:lang w:val="ru-RU" w:eastAsia="ru-RU" w:bidi="ar-SA"/>
          </w:rPr>
          <w:t>-</w:t>
        </w:r>
        <w:r w:rsidRPr="0082551D">
          <w:rPr>
            <w:rFonts w:ascii="Times New Roman" w:eastAsia="Times New Roman" w:hAnsi="Times New Roman" w:cs="Times New Roman"/>
            <w:kern w:val="0"/>
            <w:sz w:val="18"/>
            <w:lang w:val="ru-RU" w:eastAsia="ru-RU" w:bidi="ar-SA"/>
          </w:rPr>
          <w:t>setam</w:t>
        </w:r>
      </w:hyperlink>
    </w:p>
  </w:footnote>
  <w:footnote w:id="57">
    <w:p w14:paraId="6D8E5213" w14:textId="77777777" w:rsidR="0090366A" w:rsidRDefault="0090366A" w:rsidP="00DB474C">
      <w:pPr>
        <w:pStyle w:val="af5"/>
        <w:spacing w:before="0" w:beforeAutospacing="0" w:after="0" w:afterAutospacing="0"/>
        <w:rPr>
          <w:sz w:val="20"/>
          <w:szCs w:val="18"/>
        </w:rPr>
      </w:pPr>
      <w:r w:rsidRPr="00F903AA">
        <w:rPr>
          <w:rStyle w:val="af2"/>
          <w:sz w:val="20"/>
        </w:rPr>
        <w:footnoteRef/>
      </w:r>
      <w:r w:rsidRPr="00E93D6F">
        <w:rPr>
          <w:rStyle w:val="ad"/>
          <w:rFonts w:eastAsia="SimSun"/>
          <w:kern w:val="3"/>
          <w:sz w:val="18"/>
          <w:szCs w:val="18"/>
          <w:lang w:eastAsia="zh-CN" w:bidi="hi-IN"/>
        </w:rPr>
        <w:t xml:space="preserve">Воронежская Горэлектросеть «Плата за технологическое присоединение к электрическим сетям» </w:t>
      </w:r>
      <w:hyperlink r:id="rId43" w:history="1">
        <w:r w:rsidRPr="00E93D6F">
          <w:rPr>
            <w:rStyle w:val="ad"/>
            <w:rFonts w:eastAsia="SimSun"/>
            <w:kern w:val="3"/>
            <w:sz w:val="18"/>
            <w:szCs w:val="18"/>
            <w:lang w:val="en-US" w:eastAsia="zh-CN" w:bidi="hi-IN"/>
          </w:rPr>
          <w:t>http</w:t>
        </w:r>
        <w:r w:rsidRPr="00E93D6F">
          <w:rPr>
            <w:rStyle w:val="ad"/>
            <w:rFonts w:eastAsia="SimSun"/>
            <w:kern w:val="3"/>
            <w:sz w:val="18"/>
            <w:szCs w:val="18"/>
            <w:lang w:eastAsia="zh-CN" w:bidi="hi-IN"/>
          </w:rPr>
          <w:t>://</w:t>
        </w:r>
        <w:r w:rsidRPr="00E93D6F">
          <w:rPr>
            <w:rStyle w:val="ad"/>
            <w:rFonts w:eastAsia="SimSun"/>
            <w:kern w:val="3"/>
            <w:sz w:val="18"/>
            <w:szCs w:val="18"/>
            <w:lang w:val="en-US" w:eastAsia="zh-CN" w:bidi="hi-IN"/>
          </w:rPr>
          <w:t>vrnges</w:t>
        </w:r>
        <w:r w:rsidRPr="00E93D6F">
          <w:rPr>
            <w:rStyle w:val="ad"/>
            <w:rFonts w:eastAsia="SimSun"/>
            <w:kern w:val="3"/>
            <w:sz w:val="18"/>
            <w:szCs w:val="18"/>
            <w:lang w:eastAsia="zh-CN" w:bidi="hi-IN"/>
          </w:rPr>
          <w:t>.</w:t>
        </w:r>
        <w:r w:rsidRPr="00E93D6F">
          <w:rPr>
            <w:rStyle w:val="ad"/>
            <w:rFonts w:eastAsia="SimSun"/>
            <w:kern w:val="3"/>
            <w:sz w:val="18"/>
            <w:szCs w:val="18"/>
            <w:lang w:val="en-US" w:eastAsia="zh-CN" w:bidi="hi-IN"/>
          </w:rPr>
          <w:t>ru</w:t>
        </w:r>
        <w:r w:rsidRPr="00E93D6F">
          <w:rPr>
            <w:rStyle w:val="ad"/>
            <w:rFonts w:eastAsia="SimSun"/>
            <w:kern w:val="3"/>
            <w:sz w:val="18"/>
            <w:szCs w:val="18"/>
            <w:lang w:eastAsia="zh-CN" w:bidi="hi-IN"/>
          </w:rPr>
          <w:t>/</w:t>
        </w:r>
        <w:r w:rsidRPr="00E93D6F">
          <w:rPr>
            <w:rStyle w:val="ad"/>
            <w:rFonts w:eastAsia="SimSun"/>
            <w:kern w:val="3"/>
            <w:sz w:val="18"/>
            <w:szCs w:val="18"/>
            <w:lang w:val="en-US" w:eastAsia="zh-CN" w:bidi="hi-IN"/>
          </w:rPr>
          <w:t>customers</w:t>
        </w:r>
        <w:r w:rsidRPr="00E93D6F">
          <w:rPr>
            <w:rStyle w:val="ad"/>
            <w:rFonts w:eastAsia="SimSun"/>
            <w:kern w:val="3"/>
            <w:sz w:val="18"/>
            <w:szCs w:val="18"/>
            <w:lang w:eastAsia="zh-CN" w:bidi="hi-IN"/>
          </w:rPr>
          <w:t>/</w:t>
        </w:r>
        <w:r w:rsidRPr="00E93D6F">
          <w:rPr>
            <w:rStyle w:val="ad"/>
            <w:rFonts w:eastAsia="SimSun"/>
            <w:kern w:val="3"/>
            <w:sz w:val="18"/>
            <w:szCs w:val="18"/>
            <w:lang w:val="en-US" w:eastAsia="zh-CN" w:bidi="hi-IN"/>
          </w:rPr>
          <w:t>tehnologicheskoe</w:t>
        </w:r>
        <w:r w:rsidRPr="00E93D6F">
          <w:rPr>
            <w:rStyle w:val="ad"/>
            <w:rFonts w:eastAsia="SimSun"/>
            <w:kern w:val="3"/>
            <w:sz w:val="18"/>
            <w:szCs w:val="18"/>
            <w:lang w:eastAsia="zh-CN" w:bidi="hi-IN"/>
          </w:rPr>
          <w:t>_</w:t>
        </w:r>
        <w:r w:rsidRPr="00E93D6F">
          <w:rPr>
            <w:rStyle w:val="ad"/>
            <w:rFonts w:eastAsia="SimSun"/>
            <w:kern w:val="3"/>
            <w:sz w:val="18"/>
            <w:szCs w:val="18"/>
            <w:lang w:val="en-US" w:eastAsia="zh-CN" w:bidi="hi-IN"/>
          </w:rPr>
          <w:t>prisoedinenie</w:t>
        </w:r>
        <w:r w:rsidRPr="00E93D6F">
          <w:rPr>
            <w:rStyle w:val="ad"/>
            <w:rFonts w:eastAsia="SimSun"/>
            <w:kern w:val="3"/>
            <w:sz w:val="18"/>
            <w:szCs w:val="18"/>
            <w:lang w:eastAsia="zh-CN" w:bidi="hi-IN"/>
          </w:rPr>
          <w:t>/</w:t>
        </w:r>
        <w:r w:rsidRPr="00E93D6F">
          <w:rPr>
            <w:rStyle w:val="ad"/>
            <w:rFonts w:eastAsia="SimSun"/>
            <w:kern w:val="3"/>
            <w:sz w:val="18"/>
            <w:szCs w:val="18"/>
            <w:lang w:val="en-US" w:eastAsia="zh-CN" w:bidi="hi-IN"/>
          </w:rPr>
          <w:t>kalkulyator</w:t>
        </w:r>
        <w:r w:rsidRPr="00E93D6F">
          <w:rPr>
            <w:rStyle w:val="ad"/>
            <w:rFonts w:eastAsia="SimSun"/>
            <w:kern w:val="3"/>
            <w:sz w:val="18"/>
            <w:szCs w:val="18"/>
            <w:lang w:eastAsia="zh-CN" w:bidi="hi-IN"/>
          </w:rPr>
          <w:t>_</w:t>
        </w:r>
        <w:r w:rsidRPr="00E93D6F">
          <w:rPr>
            <w:rStyle w:val="ad"/>
            <w:rFonts w:eastAsia="SimSun"/>
            <w:kern w:val="3"/>
            <w:sz w:val="18"/>
            <w:szCs w:val="18"/>
            <w:lang w:val="en-US" w:eastAsia="zh-CN" w:bidi="hi-IN"/>
          </w:rPr>
          <w:t>tehnologicheskogo</w:t>
        </w:r>
        <w:r w:rsidRPr="00E93D6F">
          <w:rPr>
            <w:rStyle w:val="ad"/>
            <w:rFonts w:eastAsia="SimSun"/>
            <w:kern w:val="3"/>
            <w:sz w:val="18"/>
            <w:szCs w:val="18"/>
            <w:lang w:eastAsia="zh-CN" w:bidi="hi-IN"/>
          </w:rPr>
          <w:t>_</w:t>
        </w:r>
        <w:r w:rsidRPr="00E93D6F">
          <w:rPr>
            <w:rStyle w:val="ad"/>
            <w:rFonts w:eastAsia="SimSun"/>
            <w:kern w:val="3"/>
            <w:sz w:val="18"/>
            <w:szCs w:val="18"/>
            <w:lang w:val="en-US" w:eastAsia="zh-CN" w:bidi="hi-IN"/>
          </w:rPr>
          <w:t>prisoedineniya</w:t>
        </w:r>
        <w:r w:rsidRPr="00E93D6F">
          <w:rPr>
            <w:rStyle w:val="ad"/>
            <w:rFonts w:eastAsia="SimSun"/>
            <w:kern w:val="3"/>
            <w:sz w:val="18"/>
            <w:szCs w:val="18"/>
            <w:lang w:eastAsia="zh-CN" w:bidi="hi-IN"/>
          </w:rPr>
          <w:t>/</w:t>
        </w:r>
      </w:hyperlink>
    </w:p>
  </w:footnote>
  <w:footnote w:id="58">
    <w:p w14:paraId="07EF87E9" w14:textId="77777777" w:rsidR="0090366A" w:rsidRPr="00E93D6F" w:rsidRDefault="0090366A" w:rsidP="00DB474C">
      <w:pPr>
        <w:pStyle w:val="af3"/>
        <w:rPr>
          <w:lang w:val="ru-RU"/>
        </w:rPr>
      </w:pPr>
      <w:r>
        <w:rPr>
          <w:rStyle w:val="af2"/>
        </w:rPr>
        <w:footnoteRef/>
      </w:r>
      <w:r w:rsidRPr="00E93D6F">
        <w:rPr>
          <w:lang w:val="ru-RU"/>
        </w:rPr>
        <w:t xml:space="preserve"> </w:t>
      </w:r>
      <w:r w:rsidRPr="00E93D6F">
        <w:rPr>
          <w:rFonts w:ascii="Times New Roman" w:hAnsi="Times New Roman" w:cs="Times New Roman"/>
        </w:rPr>
        <w:t>https</w:t>
      </w:r>
      <w:r w:rsidRPr="00E93D6F">
        <w:rPr>
          <w:rFonts w:ascii="Times New Roman" w:hAnsi="Times New Roman" w:cs="Times New Roman"/>
          <w:lang w:val="ru-RU"/>
        </w:rPr>
        <w:t>://</w:t>
      </w:r>
      <w:r w:rsidRPr="00E93D6F">
        <w:rPr>
          <w:rFonts w:ascii="Times New Roman" w:hAnsi="Times New Roman" w:cs="Times New Roman"/>
        </w:rPr>
        <w:t>www</w:t>
      </w:r>
      <w:r w:rsidRPr="00E93D6F">
        <w:rPr>
          <w:rFonts w:ascii="Times New Roman" w:hAnsi="Times New Roman" w:cs="Times New Roman"/>
          <w:lang w:val="ru-RU"/>
        </w:rPr>
        <w:t>.</w:t>
      </w:r>
      <w:r w:rsidRPr="00E93D6F">
        <w:rPr>
          <w:rFonts w:ascii="Times New Roman" w:hAnsi="Times New Roman" w:cs="Times New Roman"/>
        </w:rPr>
        <w:t>govvrn</w:t>
      </w:r>
      <w:r w:rsidRPr="00E93D6F">
        <w:rPr>
          <w:rFonts w:ascii="Times New Roman" w:hAnsi="Times New Roman" w:cs="Times New Roman"/>
          <w:lang w:val="ru-RU"/>
        </w:rPr>
        <w:t>.</w:t>
      </w:r>
      <w:r w:rsidRPr="00E93D6F">
        <w:rPr>
          <w:rFonts w:ascii="Times New Roman" w:hAnsi="Times New Roman" w:cs="Times New Roman"/>
        </w:rPr>
        <w:t>ru</w:t>
      </w:r>
      <w:r w:rsidRPr="00E93D6F">
        <w:rPr>
          <w:rFonts w:ascii="Times New Roman" w:hAnsi="Times New Roman" w:cs="Times New Roman"/>
          <w:lang w:val="ru-RU"/>
        </w:rPr>
        <w:t>/</w:t>
      </w:r>
      <w:r w:rsidRPr="00E93D6F">
        <w:rPr>
          <w:rFonts w:ascii="Times New Roman" w:hAnsi="Times New Roman" w:cs="Times New Roman"/>
        </w:rPr>
        <w:t>tehnologiceskoe</w:t>
      </w:r>
      <w:r w:rsidRPr="00E93D6F">
        <w:rPr>
          <w:rFonts w:ascii="Times New Roman" w:hAnsi="Times New Roman" w:cs="Times New Roman"/>
          <w:lang w:val="ru-RU"/>
        </w:rPr>
        <w:t>-</w:t>
      </w:r>
      <w:r w:rsidRPr="00E93D6F">
        <w:rPr>
          <w:rFonts w:ascii="Times New Roman" w:hAnsi="Times New Roman" w:cs="Times New Roman"/>
        </w:rPr>
        <w:t>prisoedinenie</w:t>
      </w:r>
      <w:r w:rsidRPr="00E93D6F">
        <w:rPr>
          <w:rFonts w:ascii="Times New Roman" w:hAnsi="Times New Roman" w:cs="Times New Roman"/>
          <w:lang w:val="ru-RU"/>
        </w:rPr>
        <w:t>-</w:t>
      </w:r>
      <w:r w:rsidRPr="00E93D6F">
        <w:rPr>
          <w:rFonts w:ascii="Times New Roman" w:hAnsi="Times New Roman" w:cs="Times New Roman"/>
        </w:rPr>
        <w:t>k</w:t>
      </w:r>
      <w:r w:rsidRPr="00E93D6F">
        <w:rPr>
          <w:rFonts w:ascii="Times New Roman" w:hAnsi="Times New Roman" w:cs="Times New Roman"/>
          <w:lang w:val="ru-RU"/>
        </w:rPr>
        <w:t>-</w:t>
      </w:r>
      <w:r w:rsidRPr="00E93D6F">
        <w:rPr>
          <w:rFonts w:ascii="Times New Roman" w:hAnsi="Times New Roman" w:cs="Times New Roman"/>
        </w:rPr>
        <w:t>sistemam</w:t>
      </w:r>
      <w:r w:rsidRPr="00E93D6F">
        <w:rPr>
          <w:rFonts w:ascii="Times New Roman" w:hAnsi="Times New Roman" w:cs="Times New Roman"/>
          <w:lang w:val="ru-RU"/>
        </w:rPr>
        <w:t>-</w:t>
      </w:r>
      <w:r w:rsidRPr="00E93D6F">
        <w:rPr>
          <w:rFonts w:ascii="Times New Roman" w:hAnsi="Times New Roman" w:cs="Times New Roman"/>
        </w:rPr>
        <w:t>teplosnabzenia</w:t>
      </w:r>
    </w:p>
  </w:footnote>
  <w:footnote w:id="59">
    <w:p w14:paraId="0B3DA36E" w14:textId="77777777" w:rsidR="0090366A" w:rsidRPr="00E93D6F" w:rsidRDefault="0090366A" w:rsidP="00DB474C">
      <w:pPr>
        <w:pStyle w:val="af3"/>
        <w:rPr>
          <w:lang w:val="ru-RU"/>
        </w:rPr>
      </w:pPr>
      <w:r>
        <w:rPr>
          <w:rStyle w:val="af2"/>
        </w:rPr>
        <w:footnoteRef/>
      </w:r>
      <w:r w:rsidRPr="00E93D6F">
        <w:rPr>
          <w:lang w:val="ru-RU"/>
        </w:rPr>
        <w:t xml:space="preserve"> </w:t>
      </w:r>
      <w:r w:rsidRPr="00E93D6F">
        <w:rPr>
          <w:rFonts w:ascii="Times New Roman" w:hAnsi="Times New Roman" w:cs="Times New Roman"/>
        </w:rPr>
        <w:t>https</w:t>
      </w:r>
      <w:r w:rsidRPr="00E93D6F">
        <w:rPr>
          <w:rFonts w:ascii="Times New Roman" w:hAnsi="Times New Roman" w:cs="Times New Roman"/>
          <w:lang w:val="ru-RU"/>
        </w:rPr>
        <w:t>://</w:t>
      </w:r>
      <w:r w:rsidRPr="00E93D6F">
        <w:rPr>
          <w:rFonts w:ascii="Times New Roman" w:hAnsi="Times New Roman" w:cs="Times New Roman"/>
        </w:rPr>
        <w:t>www</w:t>
      </w:r>
      <w:r w:rsidRPr="00E93D6F">
        <w:rPr>
          <w:rFonts w:ascii="Times New Roman" w:hAnsi="Times New Roman" w:cs="Times New Roman"/>
          <w:lang w:val="ru-RU"/>
        </w:rPr>
        <w:t>.</w:t>
      </w:r>
      <w:r w:rsidRPr="00E93D6F">
        <w:rPr>
          <w:rFonts w:ascii="Times New Roman" w:hAnsi="Times New Roman" w:cs="Times New Roman"/>
        </w:rPr>
        <w:t>govvrn</w:t>
      </w:r>
      <w:r w:rsidRPr="00E93D6F">
        <w:rPr>
          <w:rFonts w:ascii="Times New Roman" w:hAnsi="Times New Roman" w:cs="Times New Roman"/>
          <w:lang w:val="ru-RU"/>
        </w:rPr>
        <w:t>.</w:t>
      </w:r>
      <w:r w:rsidRPr="00E93D6F">
        <w:rPr>
          <w:rFonts w:ascii="Times New Roman" w:hAnsi="Times New Roman" w:cs="Times New Roman"/>
        </w:rPr>
        <w:t>ru</w:t>
      </w:r>
      <w:r w:rsidRPr="00E93D6F">
        <w:rPr>
          <w:rFonts w:ascii="Times New Roman" w:hAnsi="Times New Roman" w:cs="Times New Roman"/>
          <w:lang w:val="ru-RU"/>
        </w:rPr>
        <w:t>/</w:t>
      </w:r>
      <w:r w:rsidRPr="00E93D6F">
        <w:rPr>
          <w:rFonts w:ascii="Times New Roman" w:hAnsi="Times New Roman" w:cs="Times New Roman"/>
        </w:rPr>
        <w:t>tehnologiceskoe</w:t>
      </w:r>
      <w:r w:rsidRPr="00E93D6F">
        <w:rPr>
          <w:rFonts w:ascii="Times New Roman" w:hAnsi="Times New Roman" w:cs="Times New Roman"/>
          <w:lang w:val="ru-RU"/>
        </w:rPr>
        <w:t>-</w:t>
      </w:r>
      <w:r w:rsidRPr="00E93D6F">
        <w:rPr>
          <w:rFonts w:ascii="Times New Roman" w:hAnsi="Times New Roman" w:cs="Times New Roman"/>
        </w:rPr>
        <w:t>prisoedinenie</w:t>
      </w:r>
      <w:r w:rsidRPr="00E93D6F">
        <w:rPr>
          <w:rFonts w:ascii="Times New Roman" w:hAnsi="Times New Roman" w:cs="Times New Roman"/>
          <w:lang w:val="ru-RU"/>
        </w:rPr>
        <w:t>-</w:t>
      </w:r>
      <w:r w:rsidRPr="00E93D6F">
        <w:rPr>
          <w:rFonts w:ascii="Times New Roman" w:hAnsi="Times New Roman" w:cs="Times New Roman"/>
        </w:rPr>
        <w:t>k</w:t>
      </w:r>
      <w:r w:rsidRPr="00E93D6F">
        <w:rPr>
          <w:rFonts w:ascii="Times New Roman" w:hAnsi="Times New Roman" w:cs="Times New Roman"/>
          <w:lang w:val="ru-RU"/>
        </w:rPr>
        <w:t>-</w:t>
      </w:r>
      <w:r w:rsidRPr="00E93D6F">
        <w:rPr>
          <w:rFonts w:ascii="Times New Roman" w:hAnsi="Times New Roman" w:cs="Times New Roman"/>
        </w:rPr>
        <w:t>sistemam</w:t>
      </w:r>
      <w:r w:rsidRPr="00E93D6F">
        <w:rPr>
          <w:rFonts w:ascii="Times New Roman" w:hAnsi="Times New Roman" w:cs="Times New Roman"/>
          <w:lang w:val="ru-RU"/>
        </w:rPr>
        <w:t>-</w:t>
      </w:r>
      <w:r w:rsidRPr="00E93D6F">
        <w:rPr>
          <w:rFonts w:ascii="Times New Roman" w:hAnsi="Times New Roman" w:cs="Times New Roman"/>
        </w:rPr>
        <w:t>teplosnabzenia</w:t>
      </w:r>
    </w:p>
  </w:footnote>
  <w:footnote w:id="60">
    <w:p w14:paraId="56B365C3" w14:textId="77777777" w:rsidR="0090366A" w:rsidRPr="00E93D6F" w:rsidRDefault="0090366A" w:rsidP="00DB474C">
      <w:pPr>
        <w:pStyle w:val="af3"/>
        <w:rPr>
          <w:lang w:val="ru-RU"/>
        </w:rPr>
      </w:pPr>
      <w:r>
        <w:rPr>
          <w:rStyle w:val="af2"/>
        </w:rPr>
        <w:footnoteRef/>
      </w:r>
      <w:r w:rsidRPr="00E93D6F">
        <w:rPr>
          <w:lang w:val="ru-RU"/>
        </w:rPr>
        <w:t xml:space="preserve"> </w:t>
      </w:r>
      <w:r w:rsidRPr="00E93D6F">
        <w:rPr>
          <w:rFonts w:ascii="Times New Roman" w:hAnsi="Times New Roman" w:cs="Times New Roman"/>
        </w:rPr>
        <w:t>https</w:t>
      </w:r>
      <w:r w:rsidRPr="00E93D6F">
        <w:rPr>
          <w:rFonts w:ascii="Times New Roman" w:hAnsi="Times New Roman" w:cs="Times New Roman"/>
          <w:lang w:val="ru-RU"/>
        </w:rPr>
        <w:t>://</w:t>
      </w:r>
      <w:r w:rsidRPr="00E93D6F">
        <w:rPr>
          <w:rFonts w:ascii="Times New Roman" w:hAnsi="Times New Roman" w:cs="Times New Roman"/>
        </w:rPr>
        <w:t>www</w:t>
      </w:r>
      <w:r w:rsidRPr="00E93D6F">
        <w:rPr>
          <w:rFonts w:ascii="Times New Roman" w:hAnsi="Times New Roman" w:cs="Times New Roman"/>
          <w:lang w:val="ru-RU"/>
        </w:rPr>
        <w:t>.</w:t>
      </w:r>
      <w:r w:rsidRPr="00E93D6F">
        <w:rPr>
          <w:rFonts w:ascii="Times New Roman" w:hAnsi="Times New Roman" w:cs="Times New Roman"/>
        </w:rPr>
        <w:t>govvrn</w:t>
      </w:r>
      <w:r w:rsidRPr="00E93D6F">
        <w:rPr>
          <w:rFonts w:ascii="Times New Roman" w:hAnsi="Times New Roman" w:cs="Times New Roman"/>
          <w:lang w:val="ru-RU"/>
        </w:rPr>
        <w:t>.</w:t>
      </w:r>
      <w:r w:rsidRPr="00E93D6F">
        <w:rPr>
          <w:rFonts w:ascii="Times New Roman" w:hAnsi="Times New Roman" w:cs="Times New Roman"/>
        </w:rPr>
        <w:t>ru</w:t>
      </w:r>
      <w:r w:rsidRPr="00E93D6F">
        <w:rPr>
          <w:rFonts w:ascii="Times New Roman" w:hAnsi="Times New Roman" w:cs="Times New Roman"/>
          <w:lang w:val="ru-RU"/>
        </w:rPr>
        <w:t>/</w:t>
      </w:r>
      <w:r w:rsidRPr="00E93D6F">
        <w:rPr>
          <w:rFonts w:ascii="Times New Roman" w:hAnsi="Times New Roman" w:cs="Times New Roman"/>
        </w:rPr>
        <w:t>tehnologiceskoe</w:t>
      </w:r>
      <w:r w:rsidRPr="00E93D6F">
        <w:rPr>
          <w:rFonts w:ascii="Times New Roman" w:hAnsi="Times New Roman" w:cs="Times New Roman"/>
          <w:lang w:val="ru-RU"/>
        </w:rPr>
        <w:t>-</w:t>
      </w:r>
      <w:r w:rsidRPr="00E93D6F">
        <w:rPr>
          <w:rFonts w:ascii="Times New Roman" w:hAnsi="Times New Roman" w:cs="Times New Roman"/>
        </w:rPr>
        <w:t>prisoedinenie</w:t>
      </w:r>
      <w:r w:rsidRPr="00E93D6F">
        <w:rPr>
          <w:rFonts w:ascii="Times New Roman" w:hAnsi="Times New Roman" w:cs="Times New Roman"/>
          <w:lang w:val="ru-RU"/>
        </w:rPr>
        <w:t>-</w:t>
      </w:r>
      <w:r w:rsidRPr="00E93D6F">
        <w:rPr>
          <w:rFonts w:ascii="Times New Roman" w:hAnsi="Times New Roman" w:cs="Times New Roman"/>
        </w:rPr>
        <w:t>k</w:t>
      </w:r>
      <w:r w:rsidRPr="00E93D6F">
        <w:rPr>
          <w:rFonts w:ascii="Times New Roman" w:hAnsi="Times New Roman" w:cs="Times New Roman"/>
          <w:lang w:val="ru-RU"/>
        </w:rPr>
        <w:t>-</w:t>
      </w:r>
      <w:r w:rsidRPr="00E93D6F">
        <w:rPr>
          <w:rFonts w:ascii="Times New Roman" w:hAnsi="Times New Roman" w:cs="Times New Roman"/>
        </w:rPr>
        <w:t>centralizovannym</w:t>
      </w:r>
      <w:r w:rsidRPr="00E93D6F">
        <w:rPr>
          <w:rFonts w:ascii="Times New Roman" w:hAnsi="Times New Roman" w:cs="Times New Roman"/>
          <w:lang w:val="ru-RU"/>
        </w:rPr>
        <w:t>-</w:t>
      </w:r>
      <w:r w:rsidRPr="00E93D6F">
        <w:rPr>
          <w:rFonts w:ascii="Times New Roman" w:hAnsi="Times New Roman" w:cs="Times New Roman"/>
        </w:rPr>
        <w:t>sistemam</w:t>
      </w:r>
      <w:r w:rsidRPr="00E93D6F">
        <w:rPr>
          <w:rFonts w:ascii="Times New Roman" w:hAnsi="Times New Roman" w:cs="Times New Roman"/>
          <w:lang w:val="ru-RU"/>
        </w:rPr>
        <w:t>-</w:t>
      </w:r>
      <w:r w:rsidRPr="00E93D6F">
        <w:rPr>
          <w:rFonts w:ascii="Times New Roman" w:hAnsi="Times New Roman" w:cs="Times New Roman"/>
        </w:rPr>
        <w:t>vodosnabzenia</w:t>
      </w:r>
      <w:r w:rsidRPr="00E93D6F">
        <w:rPr>
          <w:rFonts w:ascii="Times New Roman" w:hAnsi="Times New Roman" w:cs="Times New Roman"/>
          <w:lang w:val="ru-RU"/>
        </w:rPr>
        <w:t>-</w:t>
      </w:r>
      <w:r w:rsidRPr="00E93D6F">
        <w:rPr>
          <w:rFonts w:ascii="Times New Roman" w:hAnsi="Times New Roman" w:cs="Times New Roman"/>
        </w:rPr>
        <w:t>i</w:t>
      </w:r>
      <w:r w:rsidRPr="00E93D6F">
        <w:rPr>
          <w:rFonts w:ascii="Times New Roman" w:hAnsi="Times New Roman" w:cs="Times New Roman"/>
          <w:lang w:val="ru-RU"/>
        </w:rPr>
        <w:t>-</w:t>
      </w:r>
      <w:r w:rsidRPr="00E93D6F">
        <w:rPr>
          <w:rFonts w:ascii="Times New Roman" w:hAnsi="Times New Roman" w:cs="Times New Roman"/>
        </w:rPr>
        <w:t>vodootvedenia</w:t>
      </w:r>
    </w:p>
  </w:footnote>
  <w:footnote w:id="61">
    <w:p w14:paraId="3B53C986" w14:textId="77777777" w:rsidR="0090366A" w:rsidRPr="00113E85" w:rsidRDefault="0090366A" w:rsidP="00DB474C">
      <w:pPr>
        <w:pStyle w:val="af3"/>
        <w:rPr>
          <w:lang w:val="ru-RU"/>
        </w:rPr>
      </w:pPr>
      <w:r>
        <w:rPr>
          <w:rStyle w:val="af2"/>
        </w:rPr>
        <w:footnoteRef/>
      </w:r>
      <w:r w:rsidRPr="00113E85">
        <w:rPr>
          <w:lang w:val="ru-RU"/>
        </w:rPr>
        <w:t xml:space="preserve"> </w:t>
      </w:r>
      <w:r w:rsidRPr="00F70EE9">
        <w:rPr>
          <w:rFonts w:ascii="Times New Roman" w:hAnsi="Times New Roman" w:cs="Times New Roman"/>
          <w:sz w:val="18"/>
          <w:lang w:val="ru-RU"/>
        </w:rPr>
        <w:t xml:space="preserve">Данные Федеральной службы государственной статистики Российской Федерации </w:t>
      </w:r>
      <w:hyperlink r:id="rId44" w:history="1">
        <w:r w:rsidRPr="0082551D">
          <w:rPr>
            <w:rFonts w:ascii="Times New Roman" w:hAnsi="Times New Roman" w:cs="Times New Roman"/>
            <w:sz w:val="18"/>
          </w:rPr>
          <w:t>http</w:t>
        </w:r>
        <w:r w:rsidRPr="00F70EE9">
          <w:rPr>
            <w:rFonts w:ascii="Times New Roman" w:hAnsi="Times New Roman" w:cs="Times New Roman"/>
            <w:sz w:val="18"/>
            <w:lang w:val="ru-RU"/>
          </w:rPr>
          <w:t>://</w:t>
        </w:r>
        <w:r w:rsidRPr="0082551D">
          <w:rPr>
            <w:rFonts w:ascii="Times New Roman" w:hAnsi="Times New Roman" w:cs="Times New Roman"/>
            <w:sz w:val="18"/>
          </w:rPr>
          <w:t>www</w:t>
        </w:r>
        <w:r w:rsidRPr="00F70EE9">
          <w:rPr>
            <w:rFonts w:ascii="Times New Roman" w:hAnsi="Times New Roman" w:cs="Times New Roman"/>
            <w:sz w:val="18"/>
            <w:lang w:val="ru-RU"/>
          </w:rPr>
          <w:t>.</w:t>
        </w:r>
        <w:r w:rsidRPr="0082551D">
          <w:rPr>
            <w:rFonts w:ascii="Times New Roman" w:hAnsi="Times New Roman" w:cs="Times New Roman"/>
            <w:sz w:val="18"/>
          </w:rPr>
          <w:t>gks</w:t>
        </w:r>
        <w:r w:rsidRPr="00F70EE9">
          <w:rPr>
            <w:rFonts w:ascii="Times New Roman" w:hAnsi="Times New Roman" w:cs="Times New Roman"/>
            <w:sz w:val="18"/>
            <w:lang w:val="ru-RU"/>
          </w:rPr>
          <w:t>.</w:t>
        </w:r>
        <w:r w:rsidRPr="0082551D">
          <w:rPr>
            <w:rFonts w:ascii="Times New Roman" w:hAnsi="Times New Roman" w:cs="Times New Roman"/>
            <w:sz w:val="18"/>
          </w:rPr>
          <w:t>ru</w:t>
        </w:r>
        <w:r w:rsidRPr="00F70EE9">
          <w:rPr>
            <w:rFonts w:ascii="Times New Roman" w:hAnsi="Times New Roman" w:cs="Times New Roman"/>
            <w:sz w:val="18"/>
            <w:lang w:val="ru-RU"/>
          </w:rPr>
          <w:t>/</w:t>
        </w:r>
        <w:r w:rsidRPr="0082551D">
          <w:rPr>
            <w:rFonts w:ascii="Times New Roman" w:hAnsi="Times New Roman" w:cs="Times New Roman"/>
            <w:sz w:val="18"/>
          </w:rPr>
          <w:t>bgd</w:t>
        </w:r>
        <w:r w:rsidRPr="00F70EE9">
          <w:rPr>
            <w:rFonts w:ascii="Times New Roman" w:hAnsi="Times New Roman" w:cs="Times New Roman"/>
            <w:sz w:val="18"/>
            <w:lang w:val="ru-RU"/>
          </w:rPr>
          <w:t>/</w:t>
        </w:r>
        <w:r w:rsidRPr="0082551D">
          <w:rPr>
            <w:rFonts w:ascii="Times New Roman" w:hAnsi="Times New Roman" w:cs="Times New Roman"/>
            <w:sz w:val="18"/>
          </w:rPr>
          <w:t>regl</w:t>
        </w:r>
        <w:r w:rsidRPr="00F70EE9">
          <w:rPr>
            <w:rFonts w:ascii="Times New Roman" w:hAnsi="Times New Roman" w:cs="Times New Roman"/>
            <w:sz w:val="18"/>
            <w:lang w:val="ru-RU"/>
          </w:rPr>
          <w:t>/</w:t>
        </w:r>
        <w:r w:rsidRPr="0082551D">
          <w:rPr>
            <w:rFonts w:ascii="Times New Roman" w:hAnsi="Times New Roman" w:cs="Times New Roman"/>
            <w:sz w:val="18"/>
          </w:rPr>
          <w:t>b</w:t>
        </w:r>
        <w:r w:rsidRPr="00F70EE9">
          <w:rPr>
            <w:rFonts w:ascii="Times New Roman" w:hAnsi="Times New Roman" w:cs="Times New Roman"/>
            <w:sz w:val="18"/>
            <w:lang w:val="ru-RU"/>
          </w:rPr>
          <w:t>18_14</w:t>
        </w:r>
        <w:r w:rsidRPr="0082551D">
          <w:rPr>
            <w:rFonts w:ascii="Times New Roman" w:hAnsi="Times New Roman" w:cs="Times New Roman"/>
            <w:sz w:val="18"/>
          </w:rPr>
          <w:t>p</w:t>
        </w:r>
        <w:r w:rsidRPr="00F70EE9">
          <w:rPr>
            <w:rFonts w:ascii="Times New Roman" w:hAnsi="Times New Roman" w:cs="Times New Roman"/>
            <w:sz w:val="18"/>
            <w:lang w:val="ru-RU"/>
          </w:rPr>
          <w:t>/</w:t>
        </w:r>
        <w:r w:rsidRPr="0082551D">
          <w:rPr>
            <w:rFonts w:ascii="Times New Roman" w:hAnsi="Times New Roman" w:cs="Times New Roman"/>
            <w:sz w:val="18"/>
          </w:rPr>
          <w:t>IssWWW</w:t>
        </w:r>
        <w:r w:rsidRPr="00F70EE9">
          <w:rPr>
            <w:rFonts w:ascii="Times New Roman" w:hAnsi="Times New Roman" w:cs="Times New Roman"/>
            <w:sz w:val="18"/>
            <w:lang w:val="ru-RU"/>
          </w:rPr>
          <w:t>.</w:t>
        </w:r>
        <w:r w:rsidRPr="0082551D">
          <w:rPr>
            <w:rFonts w:ascii="Times New Roman" w:hAnsi="Times New Roman" w:cs="Times New Roman"/>
            <w:sz w:val="18"/>
          </w:rPr>
          <w:t>exe</w:t>
        </w:r>
        <w:r w:rsidRPr="00F70EE9">
          <w:rPr>
            <w:rFonts w:ascii="Times New Roman" w:hAnsi="Times New Roman" w:cs="Times New Roman"/>
            <w:sz w:val="18"/>
            <w:lang w:val="ru-RU"/>
          </w:rPr>
          <w:t>/</w:t>
        </w:r>
        <w:r w:rsidRPr="0082551D">
          <w:rPr>
            <w:rFonts w:ascii="Times New Roman" w:hAnsi="Times New Roman" w:cs="Times New Roman"/>
            <w:sz w:val="18"/>
          </w:rPr>
          <w:t>Stg</w:t>
        </w:r>
        <w:r w:rsidRPr="00F70EE9">
          <w:rPr>
            <w:rFonts w:ascii="Times New Roman" w:hAnsi="Times New Roman" w:cs="Times New Roman"/>
            <w:sz w:val="18"/>
            <w:lang w:val="ru-RU"/>
          </w:rPr>
          <w:t>/</w:t>
        </w:r>
        <w:r w:rsidRPr="0082551D">
          <w:rPr>
            <w:rFonts w:ascii="Times New Roman" w:hAnsi="Times New Roman" w:cs="Times New Roman"/>
            <w:sz w:val="18"/>
          </w:rPr>
          <w:t>d</w:t>
        </w:r>
        <w:r w:rsidRPr="00F70EE9">
          <w:rPr>
            <w:rFonts w:ascii="Times New Roman" w:hAnsi="Times New Roman" w:cs="Times New Roman"/>
            <w:sz w:val="18"/>
            <w:lang w:val="ru-RU"/>
          </w:rPr>
          <w:t>02/16-05.</w:t>
        </w:r>
        <w:r w:rsidRPr="0082551D">
          <w:rPr>
            <w:rFonts w:ascii="Times New Roman" w:hAnsi="Times New Roman" w:cs="Times New Roman"/>
            <w:sz w:val="18"/>
          </w:rPr>
          <w:t>doc</w:t>
        </w:r>
      </w:hyperlink>
    </w:p>
  </w:footnote>
  <w:footnote w:id="62">
    <w:p w14:paraId="1866F1CC" w14:textId="77777777" w:rsidR="0090366A" w:rsidRPr="00113E85" w:rsidRDefault="0090366A" w:rsidP="00DB474C">
      <w:pPr>
        <w:pStyle w:val="af3"/>
        <w:rPr>
          <w:lang w:val="ru-RU"/>
        </w:rPr>
      </w:pPr>
      <w:r>
        <w:rPr>
          <w:rStyle w:val="af2"/>
        </w:rPr>
        <w:footnoteRef/>
      </w:r>
      <w:r w:rsidRPr="00F70EE9">
        <w:rPr>
          <w:rFonts w:ascii="Times New Roman" w:hAnsi="Times New Roman" w:cs="Times New Roman"/>
          <w:sz w:val="18"/>
          <w:lang w:val="ru-RU"/>
        </w:rPr>
        <w:t xml:space="preserve"> </w:t>
      </w:r>
      <w:hyperlink r:id="rId45" w:history="1">
        <w:r w:rsidRPr="00A7299F">
          <w:rPr>
            <w:rFonts w:ascii="Times New Roman" w:hAnsi="Times New Roman" w:cs="Times New Roman"/>
            <w:sz w:val="18"/>
          </w:rPr>
          <w:t>https</w:t>
        </w:r>
        <w:r w:rsidRPr="00F70EE9">
          <w:rPr>
            <w:rFonts w:ascii="Times New Roman" w:hAnsi="Times New Roman" w:cs="Times New Roman"/>
            <w:sz w:val="18"/>
            <w:lang w:val="ru-RU"/>
          </w:rPr>
          <w:t>://36.</w:t>
        </w:r>
        <w:r w:rsidRPr="00A7299F">
          <w:rPr>
            <w:rFonts w:ascii="Times New Roman" w:hAnsi="Times New Roman" w:cs="Times New Roman"/>
            <w:sz w:val="18"/>
          </w:rPr>
          <w:t>bn</w:t>
        </w:r>
        <w:r w:rsidRPr="00F70EE9">
          <w:rPr>
            <w:rFonts w:ascii="Times New Roman" w:hAnsi="Times New Roman" w:cs="Times New Roman"/>
            <w:sz w:val="18"/>
            <w:lang w:val="ru-RU"/>
          </w:rPr>
          <w:t>.</w:t>
        </w:r>
        <w:r w:rsidRPr="00A7299F">
          <w:rPr>
            <w:rFonts w:ascii="Times New Roman" w:hAnsi="Times New Roman" w:cs="Times New Roman"/>
            <w:sz w:val="18"/>
          </w:rPr>
          <w:t>ru</w:t>
        </w:r>
        <w:r w:rsidRPr="00F70EE9">
          <w:rPr>
            <w:rFonts w:ascii="Times New Roman" w:hAnsi="Times New Roman" w:cs="Times New Roman"/>
            <w:sz w:val="18"/>
            <w:lang w:val="ru-RU"/>
          </w:rPr>
          <w:t>/</w:t>
        </w:r>
      </w:hyperlink>
    </w:p>
  </w:footnote>
  <w:footnote w:id="63">
    <w:p w14:paraId="4056E9F7" w14:textId="77777777" w:rsidR="0090366A" w:rsidRPr="00476A16" w:rsidRDefault="0090366A" w:rsidP="00DB474C">
      <w:pPr>
        <w:pStyle w:val="af3"/>
        <w:rPr>
          <w:lang w:val="ru-RU"/>
        </w:rPr>
      </w:pPr>
      <w:r>
        <w:rPr>
          <w:rStyle w:val="af2"/>
        </w:rPr>
        <w:footnoteRef/>
      </w:r>
      <w:r w:rsidRPr="00476A16">
        <w:rPr>
          <w:lang w:val="ru-RU"/>
        </w:rPr>
        <w:t xml:space="preserve"> </w:t>
      </w:r>
      <w:hyperlink r:id="rId46" w:history="1">
        <w:r w:rsidRPr="00476A16">
          <w:rPr>
            <w:rStyle w:val="ad"/>
            <w:rFonts w:ascii="Times New Roman" w:hAnsi="Times New Roman" w:cs="Times New Roman"/>
            <w:lang w:val="ru-RU"/>
          </w:rPr>
          <w:t>https://www.vrx.ru/treasury/603.html</w:t>
        </w:r>
      </w:hyperlink>
    </w:p>
  </w:footnote>
  <w:footnote w:id="64">
    <w:p w14:paraId="28656E30" w14:textId="1D627F40" w:rsidR="0090366A" w:rsidRPr="00E91C63" w:rsidRDefault="0090366A">
      <w:pPr>
        <w:pStyle w:val="af3"/>
        <w:rPr>
          <w:lang w:val="ru-RU"/>
        </w:rPr>
      </w:pPr>
      <w:r>
        <w:rPr>
          <w:rStyle w:val="af2"/>
        </w:rPr>
        <w:footnoteRef/>
      </w:r>
      <w:r w:rsidRPr="00E91C63">
        <w:rPr>
          <w:lang w:val="ru-RU"/>
        </w:rPr>
        <w:t xml:space="preserve"> </w:t>
      </w:r>
      <w:hyperlink r:id="rId47" w:history="1">
        <w:r w:rsidRPr="00E91C63">
          <w:rPr>
            <w:rStyle w:val="ad"/>
            <w:rFonts w:ascii="Times New Roman" w:eastAsia="Calibri" w:hAnsi="Times New Roman" w:cs="Times New Roman"/>
            <w:sz w:val="18"/>
            <w:szCs w:val="26"/>
          </w:rPr>
          <w:t>https</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statrielt</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ru</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statistika</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rynka</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statistika</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na</w:t>
        </w:r>
        <w:r w:rsidRPr="00E91C63">
          <w:rPr>
            <w:rStyle w:val="ad"/>
            <w:rFonts w:ascii="Times New Roman" w:eastAsia="Calibri" w:hAnsi="Times New Roman" w:cs="Times New Roman"/>
            <w:sz w:val="18"/>
            <w:szCs w:val="26"/>
            <w:lang w:val="ru-RU"/>
          </w:rPr>
          <w:t>-01-01-2022</w:t>
        </w:r>
        <w:r w:rsidRPr="00E91C63">
          <w:rPr>
            <w:rStyle w:val="ad"/>
            <w:rFonts w:ascii="Times New Roman" w:eastAsia="Calibri" w:hAnsi="Times New Roman" w:cs="Times New Roman"/>
            <w:sz w:val="18"/>
            <w:szCs w:val="26"/>
          </w:rPr>
          <w:t>g</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korrektirovki</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stoimosti</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zemli</w:t>
        </w:r>
        <w:r w:rsidRPr="00E91C63">
          <w:rPr>
            <w:rStyle w:val="ad"/>
            <w:rFonts w:ascii="Times New Roman" w:eastAsia="Calibri" w:hAnsi="Times New Roman" w:cs="Times New Roman"/>
            <w:sz w:val="18"/>
            <w:szCs w:val="26"/>
            <w:lang w:val="ru-RU"/>
          </w:rPr>
          <w:t>/2691-</w:t>
        </w:r>
        <w:r w:rsidRPr="00E91C63">
          <w:rPr>
            <w:rStyle w:val="ad"/>
            <w:rFonts w:ascii="Times New Roman" w:eastAsia="Calibri" w:hAnsi="Times New Roman" w:cs="Times New Roman"/>
            <w:sz w:val="18"/>
            <w:szCs w:val="26"/>
          </w:rPr>
          <w:t>skidka</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na</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torg</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utorgovanie</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pri</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prodazhe</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zemelnykh</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uchastkov</w:t>
        </w:r>
        <w:r w:rsidRPr="00E91C63">
          <w:rPr>
            <w:rStyle w:val="ad"/>
            <w:rFonts w:ascii="Times New Roman" w:eastAsia="Calibri" w:hAnsi="Times New Roman" w:cs="Times New Roman"/>
            <w:sz w:val="18"/>
            <w:szCs w:val="26"/>
            <w:lang w:val="ru-RU"/>
          </w:rPr>
          <w:t>-</w:t>
        </w:r>
        <w:r w:rsidRPr="00E91C63">
          <w:rPr>
            <w:rStyle w:val="ad"/>
            <w:rFonts w:ascii="Times New Roman" w:eastAsia="Calibri" w:hAnsi="Times New Roman" w:cs="Times New Roman"/>
            <w:sz w:val="18"/>
            <w:szCs w:val="26"/>
          </w:rPr>
          <w:t>na</w:t>
        </w:r>
        <w:r w:rsidRPr="00E91C63">
          <w:rPr>
            <w:rStyle w:val="ad"/>
            <w:rFonts w:ascii="Times New Roman" w:eastAsia="Calibri" w:hAnsi="Times New Roman" w:cs="Times New Roman"/>
            <w:sz w:val="18"/>
            <w:szCs w:val="26"/>
            <w:lang w:val="ru-RU"/>
          </w:rPr>
          <w:t>-01-01-2022-</w:t>
        </w:r>
        <w:r w:rsidRPr="00E91C63">
          <w:rPr>
            <w:rStyle w:val="ad"/>
            <w:rFonts w:ascii="Times New Roman" w:eastAsia="Calibri" w:hAnsi="Times New Roman" w:cs="Times New Roman"/>
            <w:sz w:val="18"/>
            <w:szCs w:val="26"/>
          </w:rPr>
          <w:t>goda</w:t>
        </w:r>
      </w:hyperlink>
    </w:p>
  </w:footnote>
  <w:footnote w:id="65">
    <w:p w14:paraId="3D96775F" w14:textId="5E8AB82E" w:rsidR="0090366A" w:rsidRPr="00E91C63" w:rsidRDefault="0090366A">
      <w:pPr>
        <w:pStyle w:val="af3"/>
        <w:rPr>
          <w:lang w:val="ru-RU"/>
        </w:rPr>
      </w:pPr>
      <w:r>
        <w:rPr>
          <w:rStyle w:val="af2"/>
        </w:rPr>
        <w:footnoteRef/>
      </w:r>
      <w:r w:rsidRPr="00E91C63">
        <w:rPr>
          <w:sz w:val="14"/>
          <w:lang w:val="ru-RU"/>
        </w:rPr>
        <w:t xml:space="preserve"> </w:t>
      </w:r>
      <w:hyperlink r:id="rId48" w:history="1">
        <w:r w:rsidRPr="00E91C63">
          <w:rPr>
            <w:rStyle w:val="ad"/>
            <w:rFonts w:ascii="Times New Roman" w:eastAsia="Calibri" w:hAnsi="Times New Roman" w:cs="Times New Roman"/>
            <w:szCs w:val="26"/>
          </w:rPr>
          <w:t>https</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statrielt</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ru</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indeksy</w:t>
        </w:r>
        <w:r w:rsidRPr="00E91C63">
          <w:rPr>
            <w:rStyle w:val="ad"/>
            <w:rFonts w:ascii="Times New Roman" w:eastAsia="Calibri" w:hAnsi="Times New Roman" w:cs="Times New Roman"/>
            <w:szCs w:val="26"/>
            <w:lang w:val="ru-RU"/>
          </w:rPr>
          <w:t>/2406-</w:t>
        </w:r>
        <w:r w:rsidRPr="00E91C63">
          <w:rPr>
            <w:rStyle w:val="ad"/>
            <w:rFonts w:ascii="Times New Roman" w:eastAsia="Calibri" w:hAnsi="Times New Roman" w:cs="Times New Roman"/>
            <w:szCs w:val="26"/>
          </w:rPr>
          <w:t>indeksy</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izmeneniya</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rynochnykh</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tsen</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v</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rublyakh</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zemelnykh</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uchastkov</w:t>
        </w:r>
      </w:hyperlink>
    </w:p>
  </w:footnote>
  <w:footnote w:id="66">
    <w:p w14:paraId="61E90385" w14:textId="4130ACFA" w:rsidR="0090366A" w:rsidRPr="00E91C63" w:rsidRDefault="0090366A">
      <w:pPr>
        <w:pStyle w:val="af3"/>
        <w:rPr>
          <w:lang w:val="ru-RU"/>
        </w:rPr>
      </w:pPr>
      <w:r>
        <w:rPr>
          <w:rStyle w:val="af2"/>
        </w:rPr>
        <w:footnoteRef/>
      </w:r>
      <w:r w:rsidRPr="00E91C63">
        <w:rPr>
          <w:lang w:val="ru-RU"/>
        </w:rPr>
        <w:t xml:space="preserve"> </w:t>
      </w:r>
      <w:hyperlink r:id="rId49" w:history="1">
        <w:r w:rsidRPr="00E91C63">
          <w:rPr>
            <w:rStyle w:val="ad"/>
            <w:rFonts w:ascii="Times New Roman" w:eastAsia="Calibri" w:hAnsi="Times New Roman" w:cs="Times New Roman"/>
            <w:szCs w:val="26"/>
          </w:rPr>
          <w:t>https</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statrielt</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ru</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statistika</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rynka</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statistika</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na</w:t>
        </w:r>
        <w:r w:rsidRPr="00E91C63">
          <w:rPr>
            <w:rStyle w:val="ad"/>
            <w:rFonts w:ascii="Times New Roman" w:eastAsia="Calibri" w:hAnsi="Times New Roman" w:cs="Times New Roman"/>
            <w:szCs w:val="26"/>
            <w:lang w:val="ru-RU"/>
          </w:rPr>
          <w:t>-01-01-2022</w:t>
        </w:r>
        <w:r w:rsidRPr="00E91C63">
          <w:rPr>
            <w:rStyle w:val="ad"/>
            <w:rFonts w:ascii="Times New Roman" w:eastAsia="Calibri" w:hAnsi="Times New Roman" w:cs="Times New Roman"/>
            <w:szCs w:val="26"/>
          </w:rPr>
          <w:t>g</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korrektirovki</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stoimosti</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zemli</w:t>
        </w:r>
        <w:r w:rsidRPr="00E91C63">
          <w:rPr>
            <w:rStyle w:val="ad"/>
            <w:rFonts w:ascii="Times New Roman" w:eastAsia="Calibri" w:hAnsi="Times New Roman" w:cs="Times New Roman"/>
            <w:szCs w:val="26"/>
            <w:lang w:val="ru-RU"/>
          </w:rPr>
          <w:t>/2683-</w:t>
        </w:r>
        <w:r w:rsidRPr="00E91C63">
          <w:rPr>
            <w:rStyle w:val="ad"/>
            <w:rFonts w:ascii="Times New Roman" w:eastAsia="Calibri" w:hAnsi="Times New Roman" w:cs="Times New Roman"/>
            <w:szCs w:val="26"/>
          </w:rPr>
          <w:t>pravo</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arendy</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pravo</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sobstvennosti</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zemelnykh</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uchastkov</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korrektirovki</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na</w:t>
        </w:r>
        <w:r w:rsidRPr="00E91C63">
          <w:rPr>
            <w:rStyle w:val="ad"/>
            <w:rFonts w:ascii="Times New Roman" w:eastAsia="Calibri" w:hAnsi="Times New Roman" w:cs="Times New Roman"/>
            <w:szCs w:val="26"/>
            <w:lang w:val="ru-RU"/>
          </w:rPr>
          <w:t>-01-01-2022-</w:t>
        </w:r>
        <w:r w:rsidRPr="00E91C63">
          <w:rPr>
            <w:rStyle w:val="ad"/>
            <w:rFonts w:ascii="Times New Roman" w:eastAsia="Calibri" w:hAnsi="Times New Roman" w:cs="Times New Roman"/>
            <w:szCs w:val="26"/>
          </w:rPr>
          <w:t>goda</w:t>
        </w:r>
      </w:hyperlink>
    </w:p>
  </w:footnote>
  <w:footnote w:id="67">
    <w:p w14:paraId="615A6DD0" w14:textId="77777777" w:rsidR="0090366A" w:rsidRPr="004F6F4E" w:rsidRDefault="0090366A" w:rsidP="00DB474C">
      <w:pPr>
        <w:spacing w:after="0" w:line="276" w:lineRule="auto"/>
        <w:rPr>
          <w:rFonts w:ascii="Times New Roman" w:hAnsi="Times New Roman" w:cs="Times New Roman"/>
          <w:sz w:val="20"/>
          <w:szCs w:val="26"/>
        </w:rPr>
      </w:pPr>
      <w:r>
        <w:rPr>
          <w:rStyle w:val="af2"/>
        </w:rPr>
        <w:footnoteRef/>
      </w:r>
      <w:r w:rsidRPr="004209A8">
        <w:t xml:space="preserve"> </w:t>
      </w:r>
      <w:r w:rsidRPr="001410AB">
        <w:rPr>
          <w:rStyle w:val="af9"/>
          <w:rFonts w:ascii="Times New Roman" w:hAnsi="Times New Roman" w:cs="Times New Roman"/>
          <w:b w:val="0"/>
          <w:sz w:val="20"/>
          <w:szCs w:val="26"/>
        </w:rPr>
        <w:t xml:space="preserve">Справочник оценщика недвижимости-2020. Земельные участки. Часть </w:t>
      </w:r>
      <w:r w:rsidRPr="001410AB">
        <w:rPr>
          <w:rStyle w:val="af9"/>
          <w:rFonts w:ascii="Times New Roman" w:hAnsi="Times New Roman" w:cs="Times New Roman"/>
          <w:b w:val="0"/>
          <w:sz w:val="20"/>
          <w:szCs w:val="26"/>
          <w:lang w:val="en-US"/>
        </w:rPr>
        <w:t>II</w:t>
      </w:r>
      <w:r w:rsidRPr="001410AB">
        <w:rPr>
          <w:rStyle w:val="af9"/>
          <w:rFonts w:ascii="Times New Roman" w:hAnsi="Times New Roman" w:cs="Times New Roman"/>
          <w:b w:val="0"/>
          <w:sz w:val="20"/>
          <w:szCs w:val="26"/>
        </w:rPr>
        <w:t>. Полная версия по состоянию на ноябрь 2020 г., обновлено на январь 2021 г. (стр. 63)</w:t>
      </w:r>
    </w:p>
  </w:footnote>
  <w:footnote w:id="68">
    <w:p w14:paraId="6533B088" w14:textId="77777777" w:rsidR="0090366A" w:rsidRPr="00DD56EC" w:rsidRDefault="0090366A" w:rsidP="00DB474C">
      <w:pPr>
        <w:pStyle w:val="af3"/>
        <w:rPr>
          <w:lang w:val="ru-RU"/>
        </w:rPr>
      </w:pPr>
      <w:r>
        <w:rPr>
          <w:rStyle w:val="af2"/>
        </w:rPr>
        <w:footnoteRef/>
      </w:r>
      <w:r w:rsidRPr="00113E85">
        <w:rPr>
          <w:lang w:val="ru-RU"/>
        </w:rPr>
        <w:t xml:space="preserve"> </w:t>
      </w:r>
      <w:hyperlink r:id="rId50" w:history="1">
        <w:r w:rsidRPr="00DD56EC">
          <w:rPr>
            <w:rStyle w:val="ad"/>
            <w:rFonts w:ascii="Times New Roman" w:hAnsi="Times New Roman" w:cs="Times New Roman"/>
            <w:sz w:val="18"/>
          </w:rPr>
          <w:t>http</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www</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voronezh</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city</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ru</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upload</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iblock</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d</w:t>
        </w:r>
        <w:r w:rsidRPr="00DD56EC">
          <w:rPr>
            <w:rStyle w:val="ad"/>
            <w:rFonts w:ascii="Times New Roman" w:hAnsi="Times New Roman" w:cs="Times New Roman"/>
            <w:sz w:val="18"/>
            <w:lang w:val="ru-RU"/>
          </w:rPr>
          <w:t>65/</w:t>
        </w:r>
        <w:r w:rsidRPr="00DD56EC">
          <w:rPr>
            <w:rStyle w:val="ad"/>
            <w:rFonts w:ascii="Times New Roman" w:hAnsi="Times New Roman" w:cs="Times New Roman"/>
            <w:sz w:val="18"/>
          </w:rPr>
          <w:t>invest</w:t>
        </w:r>
        <w:r w:rsidRPr="00DD56EC">
          <w:rPr>
            <w:rStyle w:val="ad"/>
            <w:rFonts w:ascii="Times New Roman" w:hAnsi="Times New Roman" w:cs="Times New Roman"/>
            <w:sz w:val="18"/>
            <w:lang w:val="ru-RU"/>
          </w:rPr>
          <w:t>18.</w:t>
        </w:r>
        <w:r w:rsidRPr="00DD56EC">
          <w:rPr>
            <w:rStyle w:val="ad"/>
            <w:rFonts w:ascii="Times New Roman" w:hAnsi="Times New Roman" w:cs="Times New Roman"/>
            <w:sz w:val="18"/>
          </w:rPr>
          <w:t>pdf</w:t>
        </w:r>
      </w:hyperlink>
    </w:p>
  </w:footnote>
  <w:footnote w:id="69">
    <w:p w14:paraId="0B0847CC" w14:textId="77777777" w:rsidR="0090366A" w:rsidRPr="00113E85" w:rsidRDefault="0090366A" w:rsidP="00DB474C">
      <w:pPr>
        <w:pStyle w:val="af3"/>
        <w:rPr>
          <w:lang w:val="ru-RU"/>
        </w:rPr>
      </w:pPr>
      <w:r w:rsidRPr="00DD56EC">
        <w:rPr>
          <w:rStyle w:val="af2"/>
        </w:rPr>
        <w:footnoteRef/>
      </w:r>
      <w:hyperlink r:id="rId51" w:history="1">
        <w:r w:rsidRPr="00DD56EC">
          <w:rPr>
            <w:rStyle w:val="ad"/>
            <w:rFonts w:ascii="Times New Roman" w:hAnsi="Times New Roman" w:cs="Times New Roman"/>
            <w:sz w:val="18"/>
          </w:rPr>
          <w:t>http</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vuzoteka</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ru</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D</w:t>
        </w:r>
        <w:r w:rsidRPr="00DD56EC">
          <w:rPr>
            <w:rStyle w:val="ad"/>
            <w:rFonts w:ascii="Times New Roman" w:hAnsi="Times New Roman" w:cs="Times New Roman"/>
            <w:sz w:val="18"/>
            <w:lang w:val="ru-RU"/>
          </w:rPr>
          <w:t>0%</w:t>
        </w:r>
        <w:r w:rsidRPr="00DD56EC">
          <w:rPr>
            <w:rStyle w:val="ad"/>
            <w:rFonts w:ascii="Times New Roman" w:hAnsi="Times New Roman" w:cs="Times New Roman"/>
            <w:sz w:val="18"/>
          </w:rPr>
          <w:t>B</w:t>
        </w:r>
        <w:r w:rsidRPr="00DD56EC">
          <w:rPr>
            <w:rStyle w:val="ad"/>
            <w:rFonts w:ascii="Times New Roman" w:hAnsi="Times New Roman" w:cs="Times New Roman"/>
            <w:sz w:val="18"/>
            <w:lang w:val="ru-RU"/>
          </w:rPr>
          <w:t>2%</w:t>
        </w:r>
        <w:r w:rsidRPr="00DD56EC">
          <w:rPr>
            <w:rStyle w:val="ad"/>
            <w:rFonts w:ascii="Times New Roman" w:hAnsi="Times New Roman" w:cs="Times New Roman"/>
            <w:sz w:val="18"/>
          </w:rPr>
          <w:t>D</w:t>
        </w:r>
        <w:r w:rsidRPr="00DD56EC">
          <w:rPr>
            <w:rStyle w:val="ad"/>
            <w:rFonts w:ascii="Times New Roman" w:hAnsi="Times New Roman" w:cs="Times New Roman"/>
            <w:sz w:val="18"/>
            <w:lang w:val="ru-RU"/>
          </w:rPr>
          <w:t>1%83%</w:t>
        </w:r>
        <w:r w:rsidRPr="00DD56EC">
          <w:rPr>
            <w:rStyle w:val="ad"/>
            <w:rFonts w:ascii="Times New Roman" w:hAnsi="Times New Roman" w:cs="Times New Roman"/>
            <w:sz w:val="18"/>
          </w:rPr>
          <w:t>D</w:t>
        </w:r>
        <w:r w:rsidRPr="00DD56EC">
          <w:rPr>
            <w:rStyle w:val="ad"/>
            <w:rFonts w:ascii="Times New Roman" w:hAnsi="Times New Roman" w:cs="Times New Roman"/>
            <w:sz w:val="18"/>
            <w:lang w:val="ru-RU"/>
          </w:rPr>
          <w:t>0%</w:t>
        </w:r>
        <w:r w:rsidRPr="00DD56EC">
          <w:rPr>
            <w:rStyle w:val="ad"/>
            <w:rFonts w:ascii="Times New Roman" w:hAnsi="Times New Roman" w:cs="Times New Roman"/>
            <w:sz w:val="18"/>
          </w:rPr>
          <w:t>B</w:t>
        </w:r>
        <w:r w:rsidRPr="00DD56EC">
          <w:rPr>
            <w:rStyle w:val="ad"/>
            <w:rFonts w:ascii="Times New Roman" w:hAnsi="Times New Roman" w:cs="Times New Roman"/>
            <w:sz w:val="18"/>
            <w:lang w:val="ru-RU"/>
          </w:rPr>
          <w:t>7%</w:t>
        </w:r>
        <w:r w:rsidRPr="00DD56EC">
          <w:rPr>
            <w:rStyle w:val="ad"/>
            <w:rFonts w:ascii="Times New Roman" w:hAnsi="Times New Roman" w:cs="Times New Roman"/>
            <w:sz w:val="18"/>
          </w:rPr>
          <w:t>D</w:t>
        </w:r>
        <w:r w:rsidRPr="00DD56EC">
          <w:rPr>
            <w:rStyle w:val="ad"/>
            <w:rFonts w:ascii="Times New Roman" w:hAnsi="Times New Roman" w:cs="Times New Roman"/>
            <w:sz w:val="18"/>
            <w:lang w:val="ru-RU"/>
          </w:rPr>
          <w:t>1%8</w:t>
        </w:r>
        <w:r w:rsidRPr="00DD56EC">
          <w:rPr>
            <w:rStyle w:val="ad"/>
            <w:rFonts w:ascii="Times New Roman" w:hAnsi="Times New Roman" w:cs="Times New Roman"/>
            <w:sz w:val="18"/>
          </w:rPr>
          <w:t>B</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D</w:t>
        </w:r>
        <w:r w:rsidRPr="00DD56EC">
          <w:rPr>
            <w:rStyle w:val="ad"/>
            <w:rFonts w:ascii="Times New Roman" w:hAnsi="Times New Roman" w:cs="Times New Roman"/>
            <w:sz w:val="18"/>
            <w:lang w:val="ru-RU"/>
          </w:rPr>
          <w:t>0%</w:t>
        </w:r>
        <w:r w:rsidRPr="00DD56EC">
          <w:rPr>
            <w:rStyle w:val="ad"/>
            <w:rFonts w:ascii="Times New Roman" w:hAnsi="Times New Roman" w:cs="Times New Roman"/>
            <w:sz w:val="18"/>
          </w:rPr>
          <w:t>B</w:t>
        </w:r>
        <w:r w:rsidRPr="00DD56EC">
          <w:rPr>
            <w:rStyle w:val="ad"/>
            <w:rFonts w:ascii="Times New Roman" w:hAnsi="Times New Roman" w:cs="Times New Roman"/>
            <w:sz w:val="18"/>
            <w:lang w:val="ru-RU"/>
          </w:rPr>
          <w:t>3%</w:t>
        </w:r>
        <w:r w:rsidRPr="00DD56EC">
          <w:rPr>
            <w:rStyle w:val="ad"/>
            <w:rFonts w:ascii="Times New Roman" w:hAnsi="Times New Roman" w:cs="Times New Roman"/>
            <w:sz w:val="18"/>
          </w:rPr>
          <w:t>D</w:t>
        </w:r>
        <w:r w:rsidRPr="00DD56EC">
          <w:rPr>
            <w:rStyle w:val="ad"/>
            <w:rFonts w:ascii="Times New Roman" w:hAnsi="Times New Roman" w:cs="Times New Roman"/>
            <w:sz w:val="18"/>
            <w:lang w:val="ru-RU"/>
          </w:rPr>
          <w:t>0%</w:t>
        </w:r>
        <w:r w:rsidRPr="00DD56EC">
          <w:rPr>
            <w:rStyle w:val="ad"/>
            <w:rFonts w:ascii="Times New Roman" w:hAnsi="Times New Roman" w:cs="Times New Roman"/>
            <w:sz w:val="18"/>
          </w:rPr>
          <w:t>BE</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D</w:t>
        </w:r>
        <w:r w:rsidRPr="00DD56EC">
          <w:rPr>
            <w:rStyle w:val="ad"/>
            <w:rFonts w:ascii="Times New Roman" w:hAnsi="Times New Roman" w:cs="Times New Roman"/>
            <w:sz w:val="18"/>
            <w:lang w:val="ru-RU"/>
          </w:rPr>
          <w:t>1%80%</w:t>
        </w:r>
        <w:r w:rsidRPr="00DD56EC">
          <w:rPr>
            <w:rStyle w:val="ad"/>
            <w:rFonts w:ascii="Times New Roman" w:hAnsi="Times New Roman" w:cs="Times New Roman"/>
            <w:sz w:val="18"/>
          </w:rPr>
          <w:t>D</w:t>
        </w:r>
        <w:r w:rsidRPr="00DD56EC">
          <w:rPr>
            <w:rStyle w:val="ad"/>
            <w:rFonts w:ascii="Times New Roman" w:hAnsi="Times New Roman" w:cs="Times New Roman"/>
            <w:sz w:val="18"/>
            <w:lang w:val="ru-RU"/>
          </w:rPr>
          <w:t>0%</w:t>
        </w:r>
        <w:r w:rsidRPr="00DD56EC">
          <w:rPr>
            <w:rStyle w:val="ad"/>
            <w:rFonts w:ascii="Times New Roman" w:hAnsi="Times New Roman" w:cs="Times New Roman"/>
            <w:sz w:val="18"/>
          </w:rPr>
          <w:t>BE</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D</w:t>
        </w:r>
        <w:r w:rsidRPr="00DD56EC">
          <w:rPr>
            <w:rStyle w:val="ad"/>
            <w:rFonts w:ascii="Times New Roman" w:hAnsi="Times New Roman" w:cs="Times New Roman"/>
            <w:sz w:val="18"/>
            <w:lang w:val="ru-RU"/>
          </w:rPr>
          <w:t>0%</w:t>
        </w:r>
        <w:r w:rsidRPr="00DD56EC">
          <w:rPr>
            <w:rStyle w:val="ad"/>
            <w:rFonts w:ascii="Times New Roman" w:hAnsi="Times New Roman" w:cs="Times New Roman"/>
            <w:sz w:val="18"/>
          </w:rPr>
          <w:t>B</w:t>
        </w:r>
        <w:r w:rsidRPr="00DD56EC">
          <w:rPr>
            <w:rStyle w:val="ad"/>
            <w:rFonts w:ascii="Times New Roman" w:hAnsi="Times New Roman" w:cs="Times New Roman"/>
            <w:sz w:val="18"/>
            <w:lang w:val="ru-RU"/>
          </w:rPr>
          <w:t>4%</w:t>
        </w:r>
        <w:r w:rsidRPr="00DD56EC">
          <w:rPr>
            <w:rStyle w:val="ad"/>
            <w:rFonts w:ascii="Times New Roman" w:hAnsi="Times New Roman" w:cs="Times New Roman"/>
            <w:sz w:val="18"/>
          </w:rPr>
          <w:t>D</w:t>
        </w:r>
        <w:r w:rsidRPr="00DD56EC">
          <w:rPr>
            <w:rStyle w:val="ad"/>
            <w:rFonts w:ascii="Times New Roman" w:hAnsi="Times New Roman" w:cs="Times New Roman"/>
            <w:sz w:val="18"/>
            <w:lang w:val="ru-RU"/>
          </w:rPr>
          <w:t>0%</w:t>
        </w:r>
        <w:r w:rsidRPr="00DD56EC">
          <w:rPr>
            <w:rStyle w:val="ad"/>
            <w:rFonts w:ascii="Times New Roman" w:hAnsi="Times New Roman" w:cs="Times New Roman"/>
            <w:sz w:val="18"/>
          </w:rPr>
          <w:t>B</w:t>
        </w:r>
        <w:r w:rsidRPr="00DD56EC">
          <w:rPr>
            <w:rStyle w:val="ad"/>
            <w:rFonts w:ascii="Times New Roman" w:hAnsi="Times New Roman" w:cs="Times New Roman"/>
            <w:sz w:val="18"/>
            <w:lang w:val="ru-RU"/>
          </w:rPr>
          <w:t>0</w:t>
        </w:r>
      </w:hyperlink>
    </w:p>
  </w:footnote>
  <w:footnote w:id="70">
    <w:p w14:paraId="7F291084" w14:textId="076D8E61" w:rsidR="0090366A" w:rsidRPr="00E91C63" w:rsidRDefault="0090366A">
      <w:pPr>
        <w:pStyle w:val="af3"/>
        <w:rPr>
          <w:lang w:val="ru-RU"/>
        </w:rPr>
      </w:pPr>
      <w:r>
        <w:rPr>
          <w:rStyle w:val="af2"/>
        </w:rPr>
        <w:footnoteRef/>
      </w:r>
      <w:r w:rsidRPr="00E91C63">
        <w:rPr>
          <w:sz w:val="16"/>
          <w:lang w:val="ru-RU"/>
        </w:rPr>
        <w:t xml:space="preserve"> </w:t>
      </w:r>
      <w:hyperlink r:id="rId52" w:history="1">
        <w:r w:rsidRPr="001410AB">
          <w:rPr>
            <w:rStyle w:val="ad"/>
            <w:rFonts w:ascii="Times New Roman" w:eastAsia="Calibri" w:hAnsi="Times New Roman" w:cs="Times New Roman"/>
            <w:szCs w:val="20"/>
          </w:rPr>
          <w:t>https</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statrielt</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ru</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statistika</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rynka</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statistika</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na</w:t>
        </w:r>
        <w:r w:rsidRPr="001410AB">
          <w:rPr>
            <w:rStyle w:val="ad"/>
            <w:rFonts w:ascii="Times New Roman" w:eastAsia="Calibri" w:hAnsi="Times New Roman" w:cs="Times New Roman"/>
            <w:szCs w:val="20"/>
            <w:lang w:val="ru-RU"/>
          </w:rPr>
          <w:t>-01-01-2022</w:t>
        </w:r>
        <w:r w:rsidRPr="001410AB">
          <w:rPr>
            <w:rStyle w:val="ad"/>
            <w:rFonts w:ascii="Times New Roman" w:eastAsia="Calibri" w:hAnsi="Times New Roman" w:cs="Times New Roman"/>
            <w:szCs w:val="20"/>
          </w:rPr>
          <w:t>g</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korrektirovki</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stoimosti</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zemli</w:t>
        </w:r>
        <w:r w:rsidRPr="001410AB">
          <w:rPr>
            <w:rStyle w:val="ad"/>
            <w:rFonts w:ascii="Times New Roman" w:eastAsia="Calibri" w:hAnsi="Times New Roman" w:cs="Times New Roman"/>
            <w:szCs w:val="20"/>
            <w:lang w:val="ru-RU"/>
          </w:rPr>
          <w:t>/2691-</w:t>
        </w:r>
        <w:r w:rsidRPr="001410AB">
          <w:rPr>
            <w:rStyle w:val="ad"/>
            <w:rFonts w:ascii="Times New Roman" w:eastAsia="Calibri" w:hAnsi="Times New Roman" w:cs="Times New Roman"/>
            <w:szCs w:val="20"/>
          </w:rPr>
          <w:t>skidka</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na</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torg</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utorgovanie</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pri</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prodazhe</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zemelnykh</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uchastkov</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na</w:t>
        </w:r>
        <w:r w:rsidRPr="001410AB">
          <w:rPr>
            <w:rStyle w:val="ad"/>
            <w:rFonts w:ascii="Times New Roman" w:eastAsia="Calibri" w:hAnsi="Times New Roman" w:cs="Times New Roman"/>
            <w:szCs w:val="20"/>
            <w:lang w:val="ru-RU"/>
          </w:rPr>
          <w:t>-01-01-2022-</w:t>
        </w:r>
        <w:r w:rsidRPr="001410AB">
          <w:rPr>
            <w:rStyle w:val="ad"/>
            <w:rFonts w:ascii="Times New Roman" w:eastAsia="Calibri" w:hAnsi="Times New Roman" w:cs="Times New Roman"/>
            <w:szCs w:val="20"/>
          </w:rPr>
          <w:t>goda</w:t>
        </w:r>
      </w:hyperlink>
    </w:p>
  </w:footnote>
  <w:footnote w:id="71">
    <w:p w14:paraId="1BC88C3F" w14:textId="2115A024" w:rsidR="0090366A" w:rsidRPr="00E91C63" w:rsidRDefault="0090366A">
      <w:pPr>
        <w:pStyle w:val="af3"/>
        <w:rPr>
          <w:lang w:val="ru-RU"/>
        </w:rPr>
      </w:pPr>
      <w:r>
        <w:rPr>
          <w:rStyle w:val="af2"/>
        </w:rPr>
        <w:footnoteRef/>
      </w:r>
      <w:r w:rsidRPr="00E91C63">
        <w:rPr>
          <w:lang w:val="ru-RU"/>
        </w:rPr>
        <w:t xml:space="preserve"> </w:t>
      </w:r>
      <w:hyperlink r:id="rId53" w:history="1">
        <w:r w:rsidRPr="00E91C63">
          <w:rPr>
            <w:rStyle w:val="ad"/>
            <w:rFonts w:ascii="Times New Roman" w:eastAsia="Calibri" w:hAnsi="Times New Roman" w:cs="Times New Roman"/>
            <w:szCs w:val="26"/>
          </w:rPr>
          <w:t>https</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statrielt</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ru</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indeksy</w:t>
        </w:r>
        <w:r w:rsidRPr="00E91C63">
          <w:rPr>
            <w:rStyle w:val="ad"/>
            <w:rFonts w:ascii="Times New Roman" w:eastAsia="Calibri" w:hAnsi="Times New Roman" w:cs="Times New Roman"/>
            <w:szCs w:val="26"/>
            <w:lang w:val="ru-RU"/>
          </w:rPr>
          <w:t>/2406-</w:t>
        </w:r>
        <w:r w:rsidRPr="00E91C63">
          <w:rPr>
            <w:rStyle w:val="ad"/>
            <w:rFonts w:ascii="Times New Roman" w:eastAsia="Calibri" w:hAnsi="Times New Roman" w:cs="Times New Roman"/>
            <w:szCs w:val="26"/>
          </w:rPr>
          <w:t>indeksy</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izmeneniya</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rynochnykh</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tsen</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v</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rublyakh</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zemelnykh</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uchastkov</w:t>
        </w:r>
      </w:hyperlink>
    </w:p>
  </w:footnote>
  <w:footnote w:id="72">
    <w:p w14:paraId="4EC2743F" w14:textId="7CC2C698" w:rsidR="0090366A" w:rsidRPr="00E91C63" w:rsidRDefault="0090366A">
      <w:pPr>
        <w:pStyle w:val="af3"/>
        <w:rPr>
          <w:sz w:val="14"/>
          <w:lang w:val="ru-RU"/>
        </w:rPr>
      </w:pPr>
      <w:r>
        <w:rPr>
          <w:rStyle w:val="af2"/>
        </w:rPr>
        <w:footnoteRef/>
      </w:r>
      <w:r w:rsidRPr="00E91C63">
        <w:rPr>
          <w:lang w:val="ru-RU"/>
        </w:rPr>
        <w:t xml:space="preserve"> </w:t>
      </w:r>
      <w:hyperlink r:id="rId54" w:history="1">
        <w:r w:rsidRPr="00E91C63">
          <w:rPr>
            <w:rStyle w:val="ad"/>
            <w:rFonts w:ascii="Times New Roman" w:eastAsia="Calibri" w:hAnsi="Times New Roman" w:cs="Times New Roman"/>
            <w:szCs w:val="26"/>
          </w:rPr>
          <w:t>https</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statrielt</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ru</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statistika</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rynka</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statistika</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na</w:t>
        </w:r>
        <w:r w:rsidRPr="00E91C63">
          <w:rPr>
            <w:rStyle w:val="ad"/>
            <w:rFonts w:ascii="Times New Roman" w:eastAsia="Calibri" w:hAnsi="Times New Roman" w:cs="Times New Roman"/>
            <w:szCs w:val="26"/>
            <w:lang w:val="ru-RU"/>
          </w:rPr>
          <w:t>-01-01-2022</w:t>
        </w:r>
        <w:r w:rsidRPr="00E91C63">
          <w:rPr>
            <w:rStyle w:val="ad"/>
            <w:rFonts w:ascii="Times New Roman" w:eastAsia="Calibri" w:hAnsi="Times New Roman" w:cs="Times New Roman"/>
            <w:szCs w:val="26"/>
          </w:rPr>
          <w:t>g</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korrektirovki</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stoimosti</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zemli</w:t>
        </w:r>
        <w:r w:rsidRPr="00E91C63">
          <w:rPr>
            <w:rStyle w:val="ad"/>
            <w:rFonts w:ascii="Times New Roman" w:eastAsia="Calibri" w:hAnsi="Times New Roman" w:cs="Times New Roman"/>
            <w:szCs w:val="26"/>
            <w:lang w:val="ru-RU"/>
          </w:rPr>
          <w:t>/2683-</w:t>
        </w:r>
        <w:r w:rsidRPr="00E91C63">
          <w:rPr>
            <w:rStyle w:val="ad"/>
            <w:rFonts w:ascii="Times New Roman" w:eastAsia="Calibri" w:hAnsi="Times New Roman" w:cs="Times New Roman"/>
            <w:szCs w:val="26"/>
          </w:rPr>
          <w:t>pravo</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arendy</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pravo</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sobstvennosti</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zemelnykh</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uchastkov</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korrektirovki</w:t>
        </w:r>
        <w:r w:rsidRPr="00E91C63">
          <w:rPr>
            <w:rStyle w:val="ad"/>
            <w:rFonts w:ascii="Times New Roman" w:eastAsia="Calibri" w:hAnsi="Times New Roman" w:cs="Times New Roman"/>
            <w:szCs w:val="26"/>
            <w:lang w:val="ru-RU"/>
          </w:rPr>
          <w:t>-</w:t>
        </w:r>
        <w:r w:rsidRPr="00E91C63">
          <w:rPr>
            <w:rStyle w:val="ad"/>
            <w:rFonts w:ascii="Times New Roman" w:eastAsia="Calibri" w:hAnsi="Times New Roman" w:cs="Times New Roman"/>
            <w:szCs w:val="26"/>
          </w:rPr>
          <w:t>na</w:t>
        </w:r>
        <w:r w:rsidRPr="00E91C63">
          <w:rPr>
            <w:rStyle w:val="ad"/>
            <w:rFonts w:ascii="Times New Roman" w:eastAsia="Calibri" w:hAnsi="Times New Roman" w:cs="Times New Roman"/>
            <w:szCs w:val="26"/>
            <w:lang w:val="ru-RU"/>
          </w:rPr>
          <w:t>-01-01-2022-</w:t>
        </w:r>
        <w:r w:rsidRPr="00E91C63">
          <w:rPr>
            <w:rStyle w:val="ad"/>
            <w:rFonts w:ascii="Times New Roman" w:eastAsia="Calibri" w:hAnsi="Times New Roman" w:cs="Times New Roman"/>
            <w:szCs w:val="26"/>
          </w:rPr>
          <w:t>goda</w:t>
        </w:r>
      </w:hyperlink>
    </w:p>
  </w:footnote>
  <w:footnote w:id="73">
    <w:p w14:paraId="1EE5745C" w14:textId="77777777" w:rsidR="0090366A" w:rsidRPr="00113E85" w:rsidRDefault="0090366A" w:rsidP="0066681B">
      <w:pPr>
        <w:pStyle w:val="af3"/>
        <w:jc w:val="both"/>
        <w:rPr>
          <w:lang w:val="ru-RU"/>
        </w:rPr>
      </w:pPr>
      <w:r>
        <w:rPr>
          <w:rStyle w:val="af2"/>
        </w:rPr>
        <w:footnoteRef/>
      </w:r>
      <w:r w:rsidRPr="00DA4959">
        <w:rPr>
          <w:rFonts w:ascii="Times New Roman" w:hAnsi="Times New Roman" w:cs="Times New Roman"/>
          <w:lang w:val="ru-RU"/>
        </w:rPr>
        <w:t xml:space="preserve">Данные официального сайта администрации городского округа город Воронеж </w:t>
      </w:r>
      <w:hyperlink r:id="rId55" w:history="1">
        <w:r w:rsidRPr="00DA4959">
          <w:rPr>
            <w:rStyle w:val="ad"/>
            <w:rFonts w:ascii="Times New Roman" w:hAnsi="Times New Roman" w:cs="Times New Roman"/>
            <w:sz w:val="18"/>
          </w:rPr>
          <w:t>http</w:t>
        </w:r>
        <w:r w:rsidRPr="00DA4959">
          <w:rPr>
            <w:rStyle w:val="ad"/>
            <w:rFonts w:ascii="Times New Roman" w:hAnsi="Times New Roman" w:cs="Times New Roman"/>
            <w:sz w:val="18"/>
            <w:lang w:val="ru-RU"/>
          </w:rPr>
          <w:t>://</w:t>
        </w:r>
        <w:r w:rsidRPr="00DA4959">
          <w:rPr>
            <w:rStyle w:val="ad"/>
            <w:rFonts w:ascii="Times New Roman" w:hAnsi="Times New Roman" w:cs="Times New Roman"/>
            <w:sz w:val="18"/>
          </w:rPr>
          <w:t>www</w:t>
        </w:r>
        <w:r w:rsidRPr="00DA4959">
          <w:rPr>
            <w:rStyle w:val="ad"/>
            <w:rFonts w:ascii="Times New Roman" w:hAnsi="Times New Roman" w:cs="Times New Roman"/>
            <w:sz w:val="18"/>
            <w:lang w:val="ru-RU"/>
          </w:rPr>
          <w:t>.</w:t>
        </w:r>
        <w:r w:rsidRPr="00DA4959">
          <w:rPr>
            <w:rStyle w:val="ad"/>
            <w:rFonts w:ascii="Times New Roman" w:hAnsi="Times New Roman" w:cs="Times New Roman"/>
            <w:sz w:val="18"/>
          </w:rPr>
          <w:t>voronezh</w:t>
        </w:r>
        <w:r w:rsidRPr="00DA4959">
          <w:rPr>
            <w:rStyle w:val="ad"/>
            <w:rFonts w:ascii="Times New Roman" w:hAnsi="Times New Roman" w:cs="Times New Roman"/>
            <w:sz w:val="18"/>
            <w:lang w:val="ru-RU"/>
          </w:rPr>
          <w:t>-</w:t>
        </w:r>
        <w:r w:rsidRPr="00DA4959">
          <w:rPr>
            <w:rStyle w:val="ad"/>
            <w:rFonts w:ascii="Times New Roman" w:hAnsi="Times New Roman" w:cs="Times New Roman"/>
            <w:sz w:val="18"/>
          </w:rPr>
          <w:t>city</w:t>
        </w:r>
        <w:r w:rsidRPr="00DA4959">
          <w:rPr>
            <w:rStyle w:val="ad"/>
            <w:rFonts w:ascii="Times New Roman" w:hAnsi="Times New Roman" w:cs="Times New Roman"/>
            <w:sz w:val="18"/>
            <w:lang w:val="ru-RU"/>
          </w:rPr>
          <w:t>.</w:t>
        </w:r>
        <w:r w:rsidRPr="00DA4959">
          <w:rPr>
            <w:rStyle w:val="ad"/>
            <w:rFonts w:ascii="Times New Roman" w:hAnsi="Times New Roman" w:cs="Times New Roman"/>
            <w:sz w:val="18"/>
          </w:rPr>
          <w:t>ru</w:t>
        </w:r>
        <w:r w:rsidRPr="00DA4959">
          <w:rPr>
            <w:rStyle w:val="ad"/>
            <w:rFonts w:ascii="Times New Roman" w:hAnsi="Times New Roman" w:cs="Times New Roman"/>
            <w:sz w:val="18"/>
            <w:lang w:val="ru-RU"/>
          </w:rPr>
          <w:t>/</w:t>
        </w:r>
        <w:r w:rsidRPr="00DA4959">
          <w:rPr>
            <w:rStyle w:val="ad"/>
            <w:rFonts w:ascii="Times New Roman" w:hAnsi="Times New Roman" w:cs="Times New Roman"/>
            <w:sz w:val="18"/>
          </w:rPr>
          <w:t>administration</w:t>
        </w:r>
        <w:r w:rsidRPr="00DA4959">
          <w:rPr>
            <w:rStyle w:val="ad"/>
            <w:rFonts w:ascii="Times New Roman" w:hAnsi="Times New Roman" w:cs="Times New Roman"/>
            <w:sz w:val="18"/>
            <w:lang w:val="ru-RU"/>
          </w:rPr>
          <w:t>/</w:t>
        </w:r>
        <w:r w:rsidRPr="00DA4959">
          <w:rPr>
            <w:rStyle w:val="ad"/>
            <w:rFonts w:ascii="Times New Roman" w:hAnsi="Times New Roman" w:cs="Times New Roman"/>
            <w:sz w:val="18"/>
          </w:rPr>
          <w:t>structure</w:t>
        </w:r>
        <w:r w:rsidRPr="00DA4959">
          <w:rPr>
            <w:rStyle w:val="ad"/>
            <w:rFonts w:ascii="Times New Roman" w:hAnsi="Times New Roman" w:cs="Times New Roman"/>
            <w:sz w:val="18"/>
            <w:lang w:val="ru-RU"/>
          </w:rPr>
          <w:t>/</w:t>
        </w:r>
        <w:r w:rsidRPr="00DA4959">
          <w:rPr>
            <w:rStyle w:val="ad"/>
            <w:rFonts w:ascii="Times New Roman" w:hAnsi="Times New Roman" w:cs="Times New Roman"/>
            <w:sz w:val="18"/>
          </w:rPr>
          <w:t>detail</w:t>
        </w:r>
        <w:r w:rsidRPr="00DA4959">
          <w:rPr>
            <w:rStyle w:val="ad"/>
            <w:rFonts w:ascii="Times New Roman" w:hAnsi="Times New Roman" w:cs="Times New Roman"/>
            <w:sz w:val="18"/>
            <w:lang w:val="ru-RU"/>
          </w:rPr>
          <w:t>/22897</w:t>
        </w:r>
      </w:hyperlink>
    </w:p>
  </w:footnote>
  <w:footnote w:id="74">
    <w:p w14:paraId="63ADAC49" w14:textId="77777777" w:rsidR="0090366A" w:rsidRPr="000A5BC5" w:rsidRDefault="0090366A" w:rsidP="0066681B">
      <w:pPr>
        <w:pStyle w:val="af3"/>
        <w:rPr>
          <w:lang w:val="ru-RU"/>
        </w:rPr>
      </w:pPr>
      <w:r>
        <w:rPr>
          <w:rStyle w:val="af2"/>
        </w:rPr>
        <w:footnoteRef/>
      </w:r>
      <w:r w:rsidRPr="000A5BC5">
        <w:rPr>
          <w:lang w:val="ru-RU"/>
        </w:rPr>
        <w:t xml:space="preserve"> </w:t>
      </w:r>
      <w:hyperlink r:id="rId56" w:history="1">
        <w:r w:rsidRPr="009B1CC4">
          <w:rPr>
            <w:rStyle w:val="ad"/>
            <w:lang w:val="ru-RU"/>
          </w:rPr>
          <w:t>https://www.retail.ru/articles/trendy-v-torgovoy-nedvizhimosti-2021-glazami-avito-nedvizhimosti/</w:t>
        </w:r>
      </w:hyperlink>
    </w:p>
  </w:footnote>
  <w:footnote w:id="75">
    <w:p w14:paraId="18B75592" w14:textId="77777777" w:rsidR="0090366A" w:rsidRPr="0067476F" w:rsidRDefault="0090366A" w:rsidP="0066681B">
      <w:pPr>
        <w:pStyle w:val="af3"/>
        <w:rPr>
          <w:rFonts w:ascii="Times New Roman" w:hAnsi="Times New Roman" w:cs="Times New Roman"/>
          <w:lang w:val="ru-RU"/>
        </w:rPr>
      </w:pPr>
      <w:r>
        <w:rPr>
          <w:rStyle w:val="af2"/>
        </w:rPr>
        <w:footnoteRef/>
      </w:r>
      <w:r w:rsidRPr="0067476F">
        <w:rPr>
          <w:lang w:val="ru-RU"/>
        </w:rPr>
        <w:t xml:space="preserve"> </w:t>
      </w:r>
      <w:r w:rsidRPr="0067476F">
        <w:rPr>
          <w:rFonts w:ascii="Times New Roman" w:hAnsi="Times New Roman" w:cs="Times New Roman"/>
          <w:szCs w:val="26"/>
          <w:lang w:val="ru-RU"/>
        </w:rPr>
        <w:t>Информ-оценка. Обзор рынка коммерческой недвижимости городов России за период 2 полугодия 2021 г. часть 1</w:t>
      </w:r>
      <w:r>
        <w:rPr>
          <w:rFonts w:ascii="Times New Roman" w:hAnsi="Times New Roman" w:cs="Times New Roman"/>
          <w:szCs w:val="26"/>
          <w:lang w:val="ru-RU"/>
        </w:rPr>
        <w:t xml:space="preserve"> </w:t>
      </w:r>
      <w:hyperlink r:id="rId57" w:history="1">
        <w:r w:rsidRPr="0067476F">
          <w:rPr>
            <w:rStyle w:val="ad"/>
            <w:lang w:val="ru-RU"/>
          </w:rPr>
          <w:t>Воронеж.</w:t>
        </w:r>
        <w:r>
          <w:rPr>
            <w:rStyle w:val="ad"/>
          </w:rPr>
          <w:t>pdf</w:t>
        </w:r>
        <w:r w:rsidRPr="0067476F">
          <w:rPr>
            <w:rStyle w:val="ad"/>
            <w:lang w:val="ru-RU"/>
          </w:rPr>
          <w:t xml:space="preserve"> (</w:t>
        </w:r>
        <w:r>
          <w:rPr>
            <w:rStyle w:val="ad"/>
          </w:rPr>
          <w:t>irnr</w:t>
        </w:r>
        <w:r w:rsidRPr="0067476F">
          <w:rPr>
            <w:rStyle w:val="ad"/>
            <w:lang w:val="ru-RU"/>
          </w:rPr>
          <w:t>.</w:t>
        </w:r>
        <w:r>
          <w:rPr>
            <w:rStyle w:val="ad"/>
          </w:rPr>
          <w:t>ru</w:t>
        </w:r>
        <w:r w:rsidRPr="0067476F">
          <w:rPr>
            <w:rStyle w:val="ad"/>
            <w:lang w:val="ru-RU"/>
          </w:rPr>
          <w:t>)</w:t>
        </w:r>
      </w:hyperlink>
    </w:p>
  </w:footnote>
  <w:footnote w:id="76">
    <w:p w14:paraId="4C5A8ED7" w14:textId="77777777" w:rsidR="0090366A" w:rsidRPr="00E564BF" w:rsidRDefault="0090366A" w:rsidP="0066681B">
      <w:pPr>
        <w:pStyle w:val="af3"/>
        <w:rPr>
          <w:lang w:val="ru-RU"/>
        </w:rPr>
      </w:pPr>
      <w:r>
        <w:rPr>
          <w:rStyle w:val="af2"/>
        </w:rPr>
        <w:footnoteRef/>
      </w:r>
      <w:r w:rsidRPr="00E564BF">
        <w:rPr>
          <w:lang w:val="ru-RU"/>
        </w:rPr>
        <w:t xml:space="preserve"> </w:t>
      </w:r>
      <w:hyperlink r:id="rId58" w:history="1">
        <w:r w:rsidRPr="001410AB">
          <w:rPr>
            <w:rStyle w:val="ad"/>
            <w:rFonts w:ascii="Times New Roman" w:eastAsia="Calibri" w:hAnsi="Times New Roman" w:cs="Times New Roman"/>
            <w:szCs w:val="20"/>
          </w:rPr>
          <w:t>https</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statrielt</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ru</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statistika</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rynka</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statistika</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na</w:t>
        </w:r>
        <w:r w:rsidRPr="001410AB">
          <w:rPr>
            <w:rStyle w:val="ad"/>
            <w:rFonts w:ascii="Times New Roman" w:eastAsia="Calibri" w:hAnsi="Times New Roman" w:cs="Times New Roman"/>
            <w:szCs w:val="20"/>
            <w:lang w:val="ru-RU"/>
          </w:rPr>
          <w:t>-01-01-2022</w:t>
        </w:r>
        <w:r w:rsidRPr="001410AB">
          <w:rPr>
            <w:rStyle w:val="ad"/>
            <w:rFonts w:ascii="Times New Roman" w:eastAsia="Calibri" w:hAnsi="Times New Roman" w:cs="Times New Roman"/>
            <w:szCs w:val="20"/>
          </w:rPr>
          <w:t>g</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korrektirovki</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stoimosti</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zemli</w:t>
        </w:r>
        <w:r w:rsidRPr="001410AB">
          <w:rPr>
            <w:rStyle w:val="ad"/>
            <w:rFonts w:ascii="Times New Roman" w:eastAsia="Calibri" w:hAnsi="Times New Roman" w:cs="Times New Roman"/>
            <w:szCs w:val="20"/>
            <w:lang w:val="ru-RU"/>
          </w:rPr>
          <w:t>/2691-</w:t>
        </w:r>
        <w:r w:rsidRPr="001410AB">
          <w:rPr>
            <w:rStyle w:val="ad"/>
            <w:rFonts w:ascii="Times New Roman" w:eastAsia="Calibri" w:hAnsi="Times New Roman" w:cs="Times New Roman"/>
            <w:szCs w:val="20"/>
          </w:rPr>
          <w:t>skidka</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na</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torg</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utorgovanie</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pri</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prodazhe</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zemelnykh</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uchastkov</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na</w:t>
        </w:r>
        <w:r w:rsidRPr="001410AB">
          <w:rPr>
            <w:rStyle w:val="ad"/>
            <w:rFonts w:ascii="Times New Roman" w:eastAsia="Calibri" w:hAnsi="Times New Roman" w:cs="Times New Roman"/>
            <w:szCs w:val="20"/>
            <w:lang w:val="ru-RU"/>
          </w:rPr>
          <w:t>-01-01-2022-</w:t>
        </w:r>
        <w:r w:rsidRPr="001410AB">
          <w:rPr>
            <w:rStyle w:val="ad"/>
            <w:rFonts w:ascii="Times New Roman" w:eastAsia="Calibri" w:hAnsi="Times New Roman" w:cs="Times New Roman"/>
            <w:szCs w:val="20"/>
          </w:rPr>
          <w:t>goda</w:t>
        </w:r>
      </w:hyperlink>
    </w:p>
  </w:footnote>
  <w:footnote w:id="77">
    <w:p w14:paraId="4926AEEA" w14:textId="77777777" w:rsidR="0090366A" w:rsidRPr="00E564BF" w:rsidRDefault="0090366A" w:rsidP="0066681B">
      <w:pPr>
        <w:pStyle w:val="af3"/>
        <w:rPr>
          <w:lang w:val="ru-RU"/>
        </w:rPr>
      </w:pPr>
      <w:r>
        <w:rPr>
          <w:rStyle w:val="af2"/>
        </w:rPr>
        <w:footnoteRef/>
      </w:r>
      <w:r w:rsidRPr="00E564BF">
        <w:rPr>
          <w:lang w:val="ru-RU"/>
        </w:rPr>
        <w:t xml:space="preserve"> </w:t>
      </w:r>
      <w:hyperlink r:id="rId59" w:history="1">
        <w:r w:rsidRPr="00E564BF">
          <w:rPr>
            <w:rStyle w:val="ad"/>
            <w:rFonts w:ascii="Times New Roman" w:eastAsia="Calibri" w:hAnsi="Times New Roman" w:cs="Times New Roman"/>
            <w:szCs w:val="26"/>
          </w:rPr>
          <w:t>https</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statrielt</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ru</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indeksy</w:t>
        </w:r>
        <w:r w:rsidRPr="00E564BF">
          <w:rPr>
            <w:rStyle w:val="ad"/>
            <w:rFonts w:ascii="Times New Roman" w:eastAsia="Calibri" w:hAnsi="Times New Roman" w:cs="Times New Roman"/>
            <w:szCs w:val="26"/>
            <w:lang w:val="ru-RU"/>
          </w:rPr>
          <w:t>/2406-</w:t>
        </w:r>
        <w:r w:rsidRPr="00E564BF">
          <w:rPr>
            <w:rStyle w:val="ad"/>
            <w:rFonts w:ascii="Times New Roman" w:eastAsia="Calibri" w:hAnsi="Times New Roman" w:cs="Times New Roman"/>
            <w:szCs w:val="26"/>
          </w:rPr>
          <w:t>indeksy</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izmeneniya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rynochnykh</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tsen</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v</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rublyakh</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zemelnykh</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uchastkov</w:t>
        </w:r>
      </w:hyperlink>
    </w:p>
  </w:footnote>
  <w:footnote w:id="78">
    <w:p w14:paraId="6C11148E" w14:textId="77777777" w:rsidR="0090366A" w:rsidRPr="00E564BF" w:rsidRDefault="0090366A" w:rsidP="0066681B">
      <w:pPr>
        <w:pStyle w:val="af3"/>
        <w:rPr>
          <w:lang w:val="ru-RU"/>
        </w:rPr>
      </w:pPr>
      <w:r>
        <w:rPr>
          <w:rStyle w:val="af2"/>
        </w:rPr>
        <w:footnoteRef/>
      </w:r>
      <w:r w:rsidRPr="00E564BF">
        <w:rPr>
          <w:lang w:val="ru-RU"/>
        </w:rPr>
        <w:t xml:space="preserve"> </w:t>
      </w:r>
      <w:hyperlink r:id="rId60" w:history="1">
        <w:r w:rsidRPr="00E564BF">
          <w:rPr>
            <w:rStyle w:val="ad"/>
            <w:rFonts w:ascii="Times New Roman" w:eastAsia="Calibri" w:hAnsi="Times New Roman" w:cs="Times New Roman"/>
            <w:szCs w:val="26"/>
          </w:rPr>
          <w:t>https</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statrielt</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ru</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statistika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rynka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statistika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na</w:t>
        </w:r>
        <w:r w:rsidRPr="00E564BF">
          <w:rPr>
            <w:rStyle w:val="ad"/>
            <w:rFonts w:ascii="Times New Roman" w:eastAsia="Calibri" w:hAnsi="Times New Roman" w:cs="Times New Roman"/>
            <w:szCs w:val="26"/>
            <w:lang w:val="ru-RU"/>
          </w:rPr>
          <w:t>-01-01-2022</w:t>
        </w:r>
        <w:r w:rsidRPr="00E564BF">
          <w:rPr>
            <w:rStyle w:val="ad"/>
            <w:rFonts w:ascii="Times New Roman" w:eastAsia="Calibri" w:hAnsi="Times New Roman" w:cs="Times New Roman"/>
            <w:szCs w:val="26"/>
          </w:rPr>
          <w:t>g</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korrektirovki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stoimosti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zemli</w:t>
        </w:r>
        <w:r w:rsidRPr="00E564BF">
          <w:rPr>
            <w:rStyle w:val="ad"/>
            <w:rFonts w:ascii="Times New Roman" w:eastAsia="Calibri" w:hAnsi="Times New Roman" w:cs="Times New Roman"/>
            <w:szCs w:val="26"/>
            <w:lang w:val="ru-RU"/>
          </w:rPr>
          <w:t>/2683-</w:t>
        </w:r>
        <w:r w:rsidRPr="00E564BF">
          <w:rPr>
            <w:rStyle w:val="ad"/>
            <w:rFonts w:ascii="Times New Roman" w:eastAsia="Calibri" w:hAnsi="Times New Roman" w:cs="Times New Roman"/>
            <w:szCs w:val="26"/>
          </w:rPr>
          <w:t>pravo</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arendy</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pravo</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sobstvennosti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zemelnykh</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uchastkov</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korrektirovki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na</w:t>
        </w:r>
        <w:r w:rsidRPr="00E564BF">
          <w:rPr>
            <w:rStyle w:val="ad"/>
            <w:rFonts w:ascii="Times New Roman" w:eastAsia="Calibri" w:hAnsi="Times New Roman" w:cs="Times New Roman"/>
            <w:szCs w:val="26"/>
            <w:lang w:val="ru-RU"/>
          </w:rPr>
          <w:t>-01-01-2022-</w:t>
        </w:r>
        <w:r w:rsidRPr="00E564BF">
          <w:rPr>
            <w:rStyle w:val="ad"/>
            <w:rFonts w:ascii="Times New Roman" w:eastAsia="Calibri" w:hAnsi="Times New Roman" w:cs="Times New Roman"/>
            <w:szCs w:val="26"/>
          </w:rPr>
          <w:t>goda</w:t>
        </w:r>
      </w:hyperlink>
    </w:p>
  </w:footnote>
  <w:footnote w:id="79">
    <w:p w14:paraId="664E8BB6" w14:textId="77777777" w:rsidR="0090366A" w:rsidRPr="004759E9" w:rsidRDefault="0090366A" w:rsidP="0066681B">
      <w:pPr>
        <w:pStyle w:val="af3"/>
        <w:rPr>
          <w:lang w:val="ru-RU"/>
        </w:rPr>
      </w:pPr>
      <w:r w:rsidRPr="00B75EE8">
        <w:rPr>
          <w:rStyle w:val="af2"/>
          <w:sz w:val="14"/>
        </w:rPr>
        <w:footnoteRef/>
      </w:r>
      <w:r w:rsidRPr="00B75EE8">
        <w:rPr>
          <w:sz w:val="14"/>
          <w:lang w:val="ru-RU"/>
        </w:rPr>
        <w:t xml:space="preserve"> </w:t>
      </w:r>
      <w:r w:rsidRPr="004759E9">
        <w:rPr>
          <w:rStyle w:val="af9"/>
          <w:rFonts w:cs="Times New Roman"/>
          <w:b w:val="0"/>
          <w:szCs w:val="26"/>
          <w:lang w:val="ru-RU"/>
        </w:rPr>
        <w:t xml:space="preserve">Справочник оценщика недвижимости-2020. Земельные участки. Часть </w:t>
      </w:r>
      <w:r>
        <w:rPr>
          <w:rStyle w:val="af9"/>
          <w:rFonts w:cs="Times New Roman"/>
          <w:b w:val="0"/>
          <w:szCs w:val="26"/>
        </w:rPr>
        <w:t>II</w:t>
      </w:r>
      <w:r w:rsidRPr="004759E9">
        <w:rPr>
          <w:rStyle w:val="af9"/>
          <w:rFonts w:cs="Times New Roman"/>
          <w:b w:val="0"/>
          <w:szCs w:val="26"/>
          <w:lang w:val="ru-RU"/>
        </w:rPr>
        <w:t>. Полная версия по состоянию на ноябрь 2020 г., обновлено на январь 2021 г. (стр. 6</w:t>
      </w:r>
      <w:r>
        <w:rPr>
          <w:rStyle w:val="af9"/>
          <w:rFonts w:cs="Times New Roman"/>
          <w:b w:val="0"/>
          <w:szCs w:val="26"/>
          <w:lang w:val="ru-RU"/>
        </w:rPr>
        <w:t>2</w:t>
      </w:r>
      <w:r w:rsidRPr="004759E9">
        <w:rPr>
          <w:rStyle w:val="af9"/>
          <w:rFonts w:cs="Times New Roman"/>
          <w:b w:val="0"/>
          <w:szCs w:val="26"/>
          <w:lang w:val="ru-RU"/>
        </w:rPr>
        <w:t>)</w:t>
      </w:r>
    </w:p>
  </w:footnote>
  <w:footnote w:id="80">
    <w:p w14:paraId="2FD0DD4F" w14:textId="48C686E5" w:rsidR="0090366A" w:rsidRPr="00E564BF" w:rsidRDefault="0090366A">
      <w:pPr>
        <w:pStyle w:val="af3"/>
        <w:rPr>
          <w:szCs w:val="20"/>
          <w:lang w:val="ru-RU"/>
        </w:rPr>
      </w:pPr>
      <w:r>
        <w:rPr>
          <w:rStyle w:val="af2"/>
        </w:rPr>
        <w:footnoteRef/>
      </w:r>
      <w:r w:rsidRPr="00E564BF">
        <w:rPr>
          <w:lang w:val="ru-RU"/>
        </w:rPr>
        <w:t xml:space="preserve"> </w:t>
      </w:r>
      <w:hyperlink r:id="rId61" w:history="1">
        <w:r w:rsidRPr="00E564BF">
          <w:rPr>
            <w:rStyle w:val="ad"/>
            <w:rFonts w:ascii="Times New Roman" w:eastAsia="Calibri" w:hAnsi="Times New Roman" w:cs="Times New Roman"/>
            <w:szCs w:val="20"/>
          </w:rPr>
          <w:t>https</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statrielt</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ru</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statistika</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rynka</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statistika</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na</w:t>
        </w:r>
        <w:r w:rsidRPr="00E564BF">
          <w:rPr>
            <w:rStyle w:val="ad"/>
            <w:rFonts w:ascii="Times New Roman" w:eastAsia="Calibri" w:hAnsi="Times New Roman" w:cs="Times New Roman"/>
            <w:szCs w:val="20"/>
            <w:lang w:val="ru-RU"/>
          </w:rPr>
          <w:t>-01-01-2022</w:t>
        </w:r>
        <w:r w:rsidRPr="00E564BF">
          <w:rPr>
            <w:rStyle w:val="ad"/>
            <w:rFonts w:ascii="Times New Roman" w:eastAsia="Calibri" w:hAnsi="Times New Roman" w:cs="Times New Roman"/>
            <w:szCs w:val="20"/>
          </w:rPr>
          <w:t>g</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korrektirovki</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stoimosti</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zemli</w:t>
        </w:r>
        <w:r w:rsidRPr="00E564BF">
          <w:rPr>
            <w:rStyle w:val="ad"/>
            <w:rFonts w:ascii="Times New Roman" w:eastAsia="Calibri" w:hAnsi="Times New Roman" w:cs="Times New Roman"/>
            <w:szCs w:val="20"/>
            <w:lang w:val="ru-RU"/>
          </w:rPr>
          <w:t>/2691-</w:t>
        </w:r>
        <w:r w:rsidRPr="00E564BF">
          <w:rPr>
            <w:rStyle w:val="ad"/>
            <w:rFonts w:ascii="Times New Roman" w:eastAsia="Calibri" w:hAnsi="Times New Roman" w:cs="Times New Roman"/>
            <w:szCs w:val="20"/>
          </w:rPr>
          <w:t>skidka</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na</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torg</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utorgovanie</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pri</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prodazhe</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zemelnykh</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uchastkov</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na</w:t>
        </w:r>
        <w:r w:rsidRPr="00E564BF">
          <w:rPr>
            <w:rStyle w:val="ad"/>
            <w:rFonts w:ascii="Times New Roman" w:eastAsia="Calibri" w:hAnsi="Times New Roman" w:cs="Times New Roman"/>
            <w:szCs w:val="20"/>
            <w:lang w:val="ru-RU"/>
          </w:rPr>
          <w:t>-01-01-2022-</w:t>
        </w:r>
        <w:r w:rsidRPr="00E564BF">
          <w:rPr>
            <w:rStyle w:val="ad"/>
            <w:rFonts w:ascii="Times New Roman" w:eastAsia="Calibri" w:hAnsi="Times New Roman" w:cs="Times New Roman"/>
            <w:szCs w:val="20"/>
          </w:rPr>
          <w:t>goda</w:t>
        </w:r>
      </w:hyperlink>
    </w:p>
  </w:footnote>
  <w:footnote w:id="81">
    <w:p w14:paraId="4FBF7651" w14:textId="3C31055A" w:rsidR="0090366A" w:rsidRPr="00E564BF" w:rsidRDefault="0090366A">
      <w:pPr>
        <w:pStyle w:val="af3"/>
        <w:rPr>
          <w:lang w:val="ru-RU"/>
        </w:rPr>
      </w:pPr>
      <w:r>
        <w:rPr>
          <w:rStyle w:val="af2"/>
        </w:rPr>
        <w:footnoteRef/>
      </w:r>
      <w:r w:rsidRPr="00E564BF">
        <w:rPr>
          <w:lang w:val="ru-RU"/>
        </w:rPr>
        <w:t xml:space="preserve"> </w:t>
      </w:r>
      <w:hyperlink r:id="rId62" w:history="1">
        <w:r w:rsidRPr="00E564BF">
          <w:rPr>
            <w:rStyle w:val="ad"/>
            <w:rFonts w:ascii="Times New Roman" w:eastAsia="Calibri" w:hAnsi="Times New Roman" w:cs="Times New Roman"/>
            <w:szCs w:val="20"/>
          </w:rPr>
          <w:t>https</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statrielt</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ru</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indeksy</w:t>
        </w:r>
        <w:r w:rsidRPr="00E564BF">
          <w:rPr>
            <w:rStyle w:val="ad"/>
            <w:rFonts w:ascii="Times New Roman" w:eastAsia="Calibri" w:hAnsi="Times New Roman" w:cs="Times New Roman"/>
            <w:szCs w:val="20"/>
            <w:lang w:val="ru-RU"/>
          </w:rPr>
          <w:t>/2406-</w:t>
        </w:r>
        <w:r w:rsidRPr="00E564BF">
          <w:rPr>
            <w:rStyle w:val="ad"/>
            <w:rFonts w:ascii="Times New Roman" w:eastAsia="Calibri" w:hAnsi="Times New Roman" w:cs="Times New Roman"/>
            <w:szCs w:val="20"/>
          </w:rPr>
          <w:t>indeksy</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izmeneniya</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rynochnykh</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tsen</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v</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rublyakh</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zemelnykh</w:t>
        </w:r>
        <w:r w:rsidRPr="00E564BF">
          <w:rPr>
            <w:rStyle w:val="ad"/>
            <w:rFonts w:ascii="Times New Roman" w:eastAsia="Calibri" w:hAnsi="Times New Roman" w:cs="Times New Roman"/>
            <w:szCs w:val="20"/>
            <w:lang w:val="ru-RU"/>
          </w:rPr>
          <w:t>-</w:t>
        </w:r>
        <w:r w:rsidRPr="00E564BF">
          <w:rPr>
            <w:rStyle w:val="ad"/>
            <w:rFonts w:ascii="Times New Roman" w:eastAsia="Calibri" w:hAnsi="Times New Roman" w:cs="Times New Roman"/>
            <w:szCs w:val="20"/>
          </w:rPr>
          <w:t>uchastkov</w:t>
        </w:r>
      </w:hyperlink>
    </w:p>
  </w:footnote>
  <w:footnote w:id="82">
    <w:p w14:paraId="1F78DF24" w14:textId="128D89F9" w:rsidR="0090366A" w:rsidRPr="00E564BF" w:rsidRDefault="0090366A">
      <w:pPr>
        <w:pStyle w:val="af3"/>
        <w:rPr>
          <w:lang w:val="ru-RU"/>
        </w:rPr>
      </w:pPr>
      <w:r>
        <w:rPr>
          <w:rStyle w:val="af2"/>
        </w:rPr>
        <w:footnoteRef/>
      </w:r>
      <w:r w:rsidRPr="00E564BF">
        <w:rPr>
          <w:lang w:val="ru-RU"/>
        </w:rPr>
        <w:t xml:space="preserve"> </w:t>
      </w:r>
      <w:hyperlink r:id="rId63" w:history="1">
        <w:r w:rsidRPr="00E564BF">
          <w:rPr>
            <w:rStyle w:val="ad"/>
            <w:rFonts w:ascii="Times New Roman" w:eastAsia="Calibri" w:hAnsi="Times New Roman" w:cs="Times New Roman"/>
            <w:szCs w:val="26"/>
          </w:rPr>
          <w:t>https</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statrielt</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ru</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statistika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rynka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statistika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na</w:t>
        </w:r>
        <w:r w:rsidRPr="00E564BF">
          <w:rPr>
            <w:rStyle w:val="ad"/>
            <w:rFonts w:ascii="Times New Roman" w:eastAsia="Calibri" w:hAnsi="Times New Roman" w:cs="Times New Roman"/>
            <w:szCs w:val="26"/>
            <w:lang w:val="ru-RU"/>
          </w:rPr>
          <w:t>-01-01-2022</w:t>
        </w:r>
        <w:r w:rsidRPr="00E564BF">
          <w:rPr>
            <w:rStyle w:val="ad"/>
            <w:rFonts w:ascii="Times New Roman" w:eastAsia="Calibri" w:hAnsi="Times New Roman" w:cs="Times New Roman"/>
            <w:szCs w:val="26"/>
          </w:rPr>
          <w:t>g</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korrektirovki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stoimosti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zemli</w:t>
        </w:r>
        <w:r w:rsidRPr="00E564BF">
          <w:rPr>
            <w:rStyle w:val="ad"/>
            <w:rFonts w:ascii="Times New Roman" w:eastAsia="Calibri" w:hAnsi="Times New Roman" w:cs="Times New Roman"/>
            <w:szCs w:val="26"/>
            <w:lang w:val="ru-RU"/>
          </w:rPr>
          <w:t>/2683-</w:t>
        </w:r>
        <w:r w:rsidRPr="00E564BF">
          <w:rPr>
            <w:rStyle w:val="ad"/>
            <w:rFonts w:ascii="Times New Roman" w:eastAsia="Calibri" w:hAnsi="Times New Roman" w:cs="Times New Roman"/>
            <w:szCs w:val="26"/>
          </w:rPr>
          <w:t>pravo</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arendy</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pravo</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sobstvennosti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zemelnykh</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uchastkov</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korrektirovki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na</w:t>
        </w:r>
        <w:r w:rsidRPr="00E564BF">
          <w:rPr>
            <w:rStyle w:val="ad"/>
            <w:rFonts w:ascii="Times New Roman" w:eastAsia="Calibri" w:hAnsi="Times New Roman" w:cs="Times New Roman"/>
            <w:szCs w:val="26"/>
            <w:lang w:val="ru-RU"/>
          </w:rPr>
          <w:t>-01-01-2022-</w:t>
        </w:r>
        <w:r w:rsidRPr="00E564BF">
          <w:rPr>
            <w:rStyle w:val="ad"/>
            <w:rFonts w:ascii="Times New Roman" w:eastAsia="Calibri" w:hAnsi="Times New Roman" w:cs="Times New Roman"/>
            <w:szCs w:val="26"/>
          </w:rPr>
          <w:t>goda</w:t>
        </w:r>
      </w:hyperlink>
    </w:p>
  </w:footnote>
  <w:footnote w:id="83">
    <w:p w14:paraId="37B1D5AF" w14:textId="77777777" w:rsidR="0090366A" w:rsidRPr="004759E9" w:rsidRDefault="0090366A" w:rsidP="00DB474C">
      <w:pPr>
        <w:pStyle w:val="af3"/>
        <w:rPr>
          <w:lang w:val="ru-RU"/>
        </w:rPr>
      </w:pPr>
      <w:r w:rsidRPr="00B75EE8">
        <w:rPr>
          <w:rStyle w:val="af2"/>
          <w:sz w:val="14"/>
        </w:rPr>
        <w:footnoteRef/>
      </w:r>
      <w:r w:rsidRPr="00B75EE8">
        <w:rPr>
          <w:sz w:val="14"/>
          <w:lang w:val="ru-RU"/>
        </w:rPr>
        <w:t xml:space="preserve"> </w:t>
      </w:r>
      <w:r w:rsidRPr="004759E9">
        <w:rPr>
          <w:rStyle w:val="af9"/>
          <w:rFonts w:cs="Times New Roman"/>
          <w:b w:val="0"/>
          <w:szCs w:val="26"/>
          <w:lang w:val="ru-RU"/>
        </w:rPr>
        <w:t xml:space="preserve">Справочник оценщика недвижимости-2020. Земельные участки. Часть </w:t>
      </w:r>
      <w:r>
        <w:rPr>
          <w:rStyle w:val="af9"/>
          <w:rFonts w:cs="Times New Roman"/>
          <w:b w:val="0"/>
          <w:szCs w:val="26"/>
        </w:rPr>
        <w:t>II</w:t>
      </w:r>
      <w:r w:rsidRPr="004759E9">
        <w:rPr>
          <w:rStyle w:val="af9"/>
          <w:rFonts w:cs="Times New Roman"/>
          <w:b w:val="0"/>
          <w:szCs w:val="26"/>
          <w:lang w:val="ru-RU"/>
        </w:rPr>
        <w:t>. Полная версия по состоянию на ноябрь 2020 г., обновлено на январь 2021 г. (стр. 6</w:t>
      </w:r>
      <w:r>
        <w:rPr>
          <w:rStyle w:val="af9"/>
          <w:rFonts w:cs="Times New Roman"/>
          <w:b w:val="0"/>
          <w:szCs w:val="26"/>
          <w:lang w:val="ru-RU"/>
        </w:rPr>
        <w:t>3</w:t>
      </w:r>
      <w:r w:rsidRPr="004759E9">
        <w:rPr>
          <w:rStyle w:val="af9"/>
          <w:rFonts w:cs="Times New Roman"/>
          <w:b w:val="0"/>
          <w:szCs w:val="26"/>
          <w:lang w:val="ru-RU"/>
        </w:rPr>
        <w:t>)</w:t>
      </w:r>
    </w:p>
  </w:footnote>
  <w:footnote w:id="84">
    <w:p w14:paraId="3C5F6C3F" w14:textId="77777777" w:rsidR="0090366A" w:rsidRPr="00890D8C" w:rsidRDefault="0090366A" w:rsidP="00DB474C">
      <w:pPr>
        <w:pStyle w:val="af3"/>
        <w:rPr>
          <w:lang w:val="ru-RU"/>
        </w:rPr>
      </w:pPr>
      <w:r>
        <w:rPr>
          <w:rStyle w:val="af2"/>
        </w:rPr>
        <w:footnoteRef/>
      </w:r>
      <w:r w:rsidRPr="00890D8C">
        <w:rPr>
          <w:lang w:val="ru-RU"/>
        </w:rPr>
        <w:t xml:space="preserve"> </w:t>
      </w:r>
      <w:r w:rsidRPr="0067476F">
        <w:rPr>
          <w:rFonts w:ascii="Times New Roman" w:hAnsi="Times New Roman" w:cs="Times New Roman"/>
          <w:szCs w:val="26"/>
          <w:lang w:val="ru-RU"/>
        </w:rPr>
        <w:t>Информ-оценка. Обзор рынка коммерческой недвижимости городов России за период 2 полугодия 2021 г. часть 1</w:t>
      </w:r>
      <w:r>
        <w:rPr>
          <w:rFonts w:ascii="Times New Roman" w:hAnsi="Times New Roman" w:cs="Times New Roman"/>
          <w:szCs w:val="26"/>
          <w:lang w:val="ru-RU"/>
        </w:rPr>
        <w:t xml:space="preserve"> </w:t>
      </w:r>
      <w:hyperlink r:id="rId64" w:history="1">
        <w:r w:rsidRPr="0067476F">
          <w:rPr>
            <w:rStyle w:val="ad"/>
            <w:lang w:val="ru-RU"/>
          </w:rPr>
          <w:t>Воронеж.</w:t>
        </w:r>
        <w:r>
          <w:rPr>
            <w:rStyle w:val="ad"/>
          </w:rPr>
          <w:t>pdf</w:t>
        </w:r>
        <w:r w:rsidRPr="0067476F">
          <w:rPr>
            <w:rStyle w:val="ad"/>
            <w:lang w:val="ru-RU"/>
          </w:rPr>
          <w:t xml:space="preserve"> (</w:t>
        </w:r>
        <w:r>
          <w:rPr>
            <w:rStyle w:val="ad"/>
          </w:rPr>
          <w:t>irnr</w:t>
        </w:r>
        <w:r w:rsidRPr="0067476F">
          <w:rPr>
            <w:rStyle w:val="ad"/>
            <w:lang w:val="ru-RU"/>
          </w:rPr>
          <w:t>.</w:t>
        </w:r>
        <w:r>
          <w:rPr>
            <w:rStyle w:val="ad"/>
          </w:rPr>
          <w:t>ru</w:t>
        </w:r>
        <w:r w:rsidRPr="0067476F">
          <w:rPr>
            <w:rStyle w:val="ad"/>
            <w:lang w:val="ru-RU"/>
          </w:rPr>
          <w:t>)</w:t>
        </w:r>
      </w:hyperlink>
    </w:p>
  </w:footnote>
  <w:footnote w:id="85">
    <w:p w14:paraId="33C88647" w14:textId="77777777" w:rsidR="0090366A" w:rsidRPr="00113E85" w:rsidRDefault="0090366A" w:rsidP="00DB474C">
      <w:pPr>
        <w:pStyle w:val="af3"/>
        <w:rPr>
          <w:lang w:val="ru-RU"/>
        </w:rPr>
      </w:pPr>
      <w:r>
        <w:rPr>
          <w:rStyle w:val="af2"/>
        </w:rPr>
        <w:footnoteRef/>
      </w:r>
      <w:r w:rsidRPr="00113E85">
        <w:rPr>
          <w:lang w:val="ru-RU"/>
        </w:rPr>
        <w:t xml:space="preserve"> </w:t>
      </w:r>
      <w:r w:rsidRPr="00A7299F">
        <w:rPr>
          <w:rFonts w:ascii="Times New Roman" w:hAnsi="Times New Roman" w:cs="Times New Roman"/>
          <w:sz w:val="18"/>
          <w:lang w:val="ru-RU"/>
        </w:rPr>
        <w:t>Стратегия социально-экономического развития Воронежской области до 2035г.</w:t>
      </w:r>
    </w:p>
  </w:footnote>
  <w:footnote w:id="86">
    <w:p w14:paraId="2ED42005" w14:textId="77777777" w:rsidR="0090366A" w:rsidRPr="00890D8C" w:rsidRDefault="0090366A" w:rsidP="00DB474C">
      <w:pPr>
        <w:pStyle w:val="af3"/>
        <w:rPr>
          <w:lang w:val="ru-RU"/>
        </w:rPr>
      </w:pPr>
      <w:r>
        <w:rPr>
          <w:rStyle w:val="af2"/>
        </w:rPr>
        <w:footnoteRef/>
      </w:r>
      <w:r w:rsidRPr="00890D8C">
        <w:rPr>
          <w:lang w:val="ru-RU"/>
        </w:rPr>
        <w:t xml:space="preserve"> </w:t>
      </w:r>
      <w:r w:rsidRPr="0067476F">
        <w:rPr>
          <w:rFonts w:ascii="Times New Roman" w:hAnsi="Times New Roman" w:cs="Times New Roman"/>
          <w:szCs w:val="26"/>
          <w:lang w:val="ru-RU"/>
        </w:rPr>
        <w:t>Информ-оценка. Обзор рынка коммерческой недвижимости городов России за период 2 полугодия 2021 г. часть 1</w:t>
      </w:r>
      <w:r>
        <w:rPr>
          <w:rFonts w:ascii="Times New Roman" w:hAnsi="Times New Roman" w:cs="Times New Roman"/>
          <w:szCs w:val="26"/>
          <w:lang w:val="ru-RU"/>
        </w:rPr>
        <w:t xml:space="preserve"> </w:t>
      </w:r>
      <w:hyperlink r:id="rId65" w:history="1">
        <w:r w:rsidRPr="0067476F">
          <w:rPr>
            <w:rStyle w:val="ad"/>
            <w:lang w:val="ru-RU"/>
          </w:rPr>
          <w:t>Воронеж.</w:t>
        </w:r>
        <w:r>
          <w:rPr>
            <w:rStyle w:val="ad"/>
          </w:rPr>
          <w:t>pdf</w:t>
        </w:r>
        <w:r w:rsidRPr="0067476F">
          <w:rPr>
            <w:rStyle w:val="ad"/>
            <w:lang w:val="ru-RU"/>
          </w:rPr>
          <w:t xml:space="preserve"> (</w:t>
        </w:r>
        <w:r>
          <w:rPr>
            <w:rStyle w:val="ad"/>
          </w:rPr>
          <w:t>irnr</w:t>
        </w:r>
        <w:r w:rsidRPr="0067476F">
          <w:rPr>
            <w:rStyle w:val="ad"/>
            <w:lang w:val="ru-RU"/>
          </w:rPr>
          <w:t>.</w:t>
        </w:r>
        <w:r>
          <w:rPr>
            <w:rStyle w:val="ad"/>
          </w:rPr>
          <w:t>ru</w:t>
        </w:r>
        <w:r w:rsidRPr="0067476F">
          <w:rPr>
            <w:rStyle w:val="ad"/>
            <w:lang w:val="ru-RU"/>
          </w:rPr>
          <w:t>)</w:t>
        </w:r>
      </w:hyperlink>
    </w:p>
  </w:footnote>
  <w:footnote w:id="87">
    <w:p w14:paraId="0CF48005" w14:textId="343306AC" w:rsidR="0090366A" w:rsidRPr="00E564BF" w:rsidRDefault="0090366A">
      <w:pPr>
        <w:pStyle w:val="af3"/>
        <w:rPr>
          <w:lang w:val="ru-RU"/>
        </w:rPr>
      </w:pPr>
      <w:r>
        <w:rPr>
          <w:rStyle w:val="af2"/>
        </w:rPr>
        <w:footnoteRef/>
      </w:r>
      <w:r w:rsidRPr="00E564BF">
        <w:rPr>
          <w:lang w:val="ru-RU"/>
        </w:rPr>
        <w:t xml:space="preserve"> </w:t>
      </w:r>
      <w:hyperlink r:id="rId66" w:history="1">
        <w:r w:rsidRPr="00E564BF">
          <w:rPr>
            <w:rStyle w:val="ad"/>
            <w:rFonts w:ascii="Times New Roman" w:eastAsia="Calibri" w:hAnsi="Times New Roman" w:cs="Times New Roman"/>
            <w:szCs w:val="26"/>
          </w:rPr>
          <w:t>https</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statrielt</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ru</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statistika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rynka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statistika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na</w:t>
        </w:r>
        <w:r w:rsidRPr="00E564BF">
          <w:rPr>
            <w:rStyle w:val="ad"/>
            <w:rFonts w:ascii="Times New Roman" w:eastAsia="Calibri" w:hAnsi="Times New Roman" w:cs="Times New Roman"/>
            <w:szCs w:val="26"/>
            <w:lang w:val="ru-RU"/>
          </w:rPr>
          <w:t>-01-01-2022</w:t>
        </w:r>
        <w:r w:rsidRPr="00E564BF">
          <w:rPr>
            <w:rStyle w:val="ad"/>
            <w:rFonts w:ascii="Times New Roman" w:eastAsia="Calibri" w:hAnsi="Times New Roman" w:cs="Times New Roman"/>
            <w:szCs w:val="26"/>
          </w:rPr>
          <w:t>g</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korrektirovki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stoimosti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zemli</w:t>
        </w:r>
        <w:r w:rsidRPr="00E564BF">
          <w:rPr>
            <w:rStyle w:val="ad"/>
            <w:rFonts w:ascii="Times New Roman" w:eastAsia="Calibri" w:hAnsi="Times New Roman" w:cs="Times New Roman"/>
            <w:szCs w:val="26"/>
            <w:lang w:val="ru-RU"/>
          </w:rPr>
          <w:t>/2691-</w:t>
        </w:r>
        <w:r w:rsidRPr="00E564BF">
          <w:rPr>
            <w:rStyle w:val="ad"/>
            <w:rFonts w:ascii="Times New Roman" w:eastAsia="Calibri" w:hAnsi="Times New Roman" w:cs="Times New Roman"/>
            <w:szCs w:val="26"/>
          </w:rPr>
          <w:t>skidka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na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torg</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utorgovanie</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pri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prodazhe</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zemelnykh</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uchastkov</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na</w:t>
        </w:r>
        <w:r w:rsidRPr="00E564BF">
          <w:rPr>
            <w:rStyle w:val="ad"/>
            <w:rFonts w:ascii="Times New Roman" w:eastAsia="Calibri" w:hAnsi="Times New Roman" w:cs="Times New Roman"/>
            <w:szCs w:val="26"/>
            <w:lang w:val="ru-RU"/>
          </w:rPr>
          <w:t>-01-01-2022-</w:t>
        </w:r>
        <w:r w:rsidRPr="00E564BF">
          <w:rPr>
            <w:rStyle w:val="ad"/>
            <w:rFonts w:ascii="Times New Roman" w:eastAsia="Calibri" w:hAnsi="Times New Roman" w:cs="Times New Roman"/>
            <w:szCs w:val="26"/>
          </w:rPr>
          <w:t>goda</w:t>
        </w:r>
      </w:hyperlink>
    </w:p>
  </w:footnote>
  <w:footnote w:id="88">
    <w:p w14:paraId="0948D438" w14:textId="2E9FB11D" w:rsidR="0090366A" w:rsidRPr="00E564BF" w:rsidRDefault="0090366A">
      <w:pPr>
        <w:pStyle w:val="af3"/>
        <w:rPr>
          <w:lang w:val="ru-RU"/>
        </w:rPr>
      </w:pPr>
      <w:r>
        <w:rPr>
          <w:rStyle w:val="af2"/>
        </w:rPr>
        <w:footnoteRef/>
      </w:r>
      <w:r w:rsidRPr="00E564BF">
        <w:rPr>
          <w:lang w:val="ru-RU"/>
        </w:rPr>
        <w:t xml:space="preserve"> </w:t>
      </w:r>
      <w:hyperlink r:id="rId67" w:history="1">
        <w:r w:rsidRPr="00E564BF">
          <w:rPr>
            <w:rStyle w:val="ad"/>
            <w:rFonts w:ascii="Times New Roman" w:eastAsia="Calibri" w:hAnsi="Times New Roman" w:cs="Times New Roman"/>
            <w:szCs w:val="26"/>
          </w:rPr>
          <w:t>https</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statrielt</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ru</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indeksy</w:t>
        </w:r>
        <w:r w:rsidRPr="00E564BF">
          <w:rPr>
            <w:rStyle w:val="ad"/>
            <w:rFonts w:ascii="Times New Roman" w:eastAsia="Calibri" w:hAnsi="Times New Roman" w:cs="Times New Roman"/>
            <w:szCs w:val="26"/>
            <w:lang w:val="ru-RU"/>
          </w:rPr>
          <w:t>/2406-</w:t>
        </w:r>
        <w:r w:rsidRPr="00E564BF">
          <w:rPr>
            <w:rStyle w:val="ad"/>
            <w:rFonts w:ascii="Times New Roman" w:eastAsia="Calibri" w:hAnsi="Times New Roman" w:cs="Times New Roman"/>
            <w:szCs w:val="26"/>
          </w:rPr>
          <w:t>indeksy</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izmeneniya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rynochnykh</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tsen</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v</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rublyakh</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zemelnykh</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uchastkov</w:t>
        </w:r>
      </w:hyperlink>
    </w:p>
  </w:footnote>
  <w:footnote w:id="89">
    <w:p w14:paraId="3E8A8F1E" w14:textId="66E76767" w:rsidR="0090366A" w:rsidRPr="00E564BF" w:rsidRDefault="0090366A">
      <w:pPr>
        <w:pStyle w:val="af3"/>
        <w:rPr>
          <w:lang w:val="ru-RU"/>
        </w:rPr>
      </w:pPr>
      <w:r>
        <w:rPr>
          <w:rStyle w:val="af2"/>
        </w:rPr>
        <w:footnoteRef/>
      </w:r>
      <w:r w:rsidRPr="00E564BF">
        <w:rPr>
          <w:lang w:val="ru-RU"/>
        </w:rPr>
        <w:t xml:space="preserve"> </w:t>
      </w:r>
      <w:hyperlink r:id="rId68" w:history="1">
        <w:r w:rsidRPr="00E564BF">
          <w:rPr>
            <w:rStyle w:val="ad"/>
            <w:rFonts w:ascii="Times New Roman" w:eastAsia="Calibri" w:hAnsi="Times New Roman" w:cs="Times New Roman"/>
            <w:szCs w:val="26"/>
          </w:rPr>
          <w:t>https</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statrielt</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ru</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statistika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rynka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statistika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na</w:t>
        </w:r>
        <w:r w:rsidRPr="00E564BF">
          <w:rPr>
            <w:rStyle w:val="ad"/>
            <w:rFonts w:ascii="Times New Roman" w:eastAsia="Calibri" w:hAnsi="Times New Roman" w:cs="Times New Roman"/>
            <w:szCs w:val="26"/>
            <w:lang w:val="ru-RU"/>
          </w:rPr>
          <w:t>-01-01-2022</w:t>
        </w:r>
        <w:r w:rsidRPr="00E564BF">
          <w:rPr>
            <w:rStyle w:val="ad"/>
            <w:rFonts w:ascii="Times New Roman" w:eastAsia="Calibri" w:hAnsi="Times New Roman" w:cs="Times New Roman"/>
            <w:szCs w:val="26"/>
          </w:rPr>
          <w:t>g</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korrektirovki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stoimosti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zemli</w:t>
        </w:r>
        <w:r w:rsidRPr="00E564BF">
          <w:rPr>
            <w:rStyle w:val="ad"/>
            <w:rFonts w:ascii="Times New Roman" w:eastAsia="Calibri" w:hAnsi="Times New Roman" w:cs="Times New Roman"/>
            <w:szCs w:val="26"/>
            <w:lang w:val="ru-RU"/>
          </w:rPr>
          <w:t>/2683-</w:t>
        </w:r>
        <w:r w:rsidRPr="00E564BF">
          <w:rPr>
            <w:rStyle w:val="ad"/>
            <w:rFonts w:ascii="Times New Roman" w:eastAsia="Calibri" w:hAnsi="Times New Roman" w:cs="Times New Roman"/>
            <w:szCs w:val="26"/>
          </w:rPr>
          <w:t>pravo</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arendy</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pravo</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sobstvennosti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zemelnykh</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uchastkov</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korrektirovki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na</w:t>
        </w:r>
        <w:r w:rsidRPr="00E564BF">
          <w:rPr>
            <w:rStyle w:val="ad"/>
            <w:rFonts w:ascii="Times New Roman" w:eastAsia="Calibri" w:hAnsi="Times New Roman" w:cs="Times New Roman"/>
            <w:szCs w:val="26"/>
            <w:lang w:val="ru-RU"/>
          </w:rPr>
          <w:t>-01-01-2022-</w:t>
        </w:r>
        <w:r w:rsidRPr="00E564BF">
          <w:rPr>
            <w:rStyle w:val="ad"/>
            <w:rFonts w:ascii="Times New Roman" w:eastAsia="Calibri" w:hAnsi="Times New Roman" w:cs="Times New Roman"/>
            <w:szCs w:val="26"/>
          </w:rPr>
          <w:t>goda</w:t>
        </w:r>
      </w:hyperlink>
    </w:p>
  </w:footnote>
  <w:footnote w:id="90">
    <w:p w14:paraId="1ADD2B92" w14:textId="77777777" w:rsidR="0090366A" w:rsidRPr="007D4438" w:rsidRDefault="0090366A" w:rsidP="00DB474C">
      <w:pPr>
        <w:pStyle w:val="af3"/>
        <w:rPr>
          <w:lang w:val="ru-RU"/>
        </w:rPr>
      </w:pPr>
      <w:r>
        <w:rPr>
          <w:rStyle w:val="af2"/>
        </w:rPr>
        <w:footnoteRef/>
      </w:r>
      <w:r w:rsidRPr="007D4438">
        <w:rPr>
          <w:lang w:val="ru-RU"/>
        </w:rPr>
        <w:t xml:space="preserve"> </w:t>
      </w:r>
      <w:r w:rsidRPr="004759E9">
        <w:rPr>
          <w:rStyle w:val="af9"/>
          <w:rFonts w:cs="Times New Roman"/>
          <w:b w:val="0"/>
          <w:szCs w:val="26"/>
          <w:lang w:val="ru-RU"/>
        </w:rPr>
        <w:t xml:space="preserve">Справочник оценщика недвижимости-2020. Земельные участки. Часть </w:t>
      </w:r>
      <w:r>
        <w:rPr>
          <w:rStyle w:val="af9"/>
          <w:rFonts w:cs="Times New Roman"/>
          <w:b w:val="0"/>
          <w:szCs w:val="26"/>
        </w:rPr>
        <w:t>II</w:t>
      </w:r>
      <w:r w:rsidRPr="004759E9">
        <w:rPr>
          <w:rStyle w:val="af9"/>
          <w:rFonts w:cs="Times New Roman"/>
          <w:b w:val="0"/>
          <w:szCs w:val="26"/>
          <w:lang w:val="ru-RU"/>
        </w:rPr>
        <w:t>. Полная версия по состоянию на ноябрь 2020 г., обновлено на январь 2021 г. (стр. 6</w:t>
      </w:r>
      <w:r w:rsidRPr="00D9785B">
        <w:rPr>
          <w:rStyle w:val="af9"/>
          <w:rFonts w:cs="Times New Roman"/>
          <w:b w:val="0"/>
          <w:szCs w:val="26"/>
          <w:lang w:val="ru-RU"/>
        </w:rPr>
        <w:t>2</w:t>
      </w:r>
      <w:r w:rsidRPr="004759E9">
        <w:rPr>
          <w:rStyle w:val="af9"/>
          <w:rFonts w:cs="Times New Roman"/>
          <w:b w:val="0"/>
          <w:szCs w:val="26"/>
          <w:lang w:val="ru-RU"/>
        </w:rPr>
        <w:t>)</w:t>
      </w:r>
    </w:p>
  </w:footnote>
  <w:footnote w:id="91">
    <w:p w14:paraId="31DD4C04" w14:textId="77777777" w:rsidR="0090366A" w:rsidRPr="00CE20A4" w:rsidRDefault="0090366A" w:rsidP="00DB474C">
      <w:pPr>
        <w:pStyle w:val="af3"/>
        <w:rPr>
          <w:rFonts w:ascii="Times New Roman" w:hAnsi="Times New Roman" w:cs="Times New Roman"/>
          <w:lang w:val="ru-RU"/>
        </w:rPr>
      </w:pPr>
      <w:r w:rsidRPr="00CE20A4">
        <w:rPr>
          <w:rStyle w:val="af2"/>
          <w:rFonts w:ascii="Times New Roman" w:hAnsi="Times New Roman" w:cs="Times New Roman"/>
        </w:rPr>
        <w:footnoteRef/>
      </w:r>
      <w:r w:rsidRPr="00CE20A4">
        <w:rPr>
          <w:rFonts w:ascii="Times New Roman" w:hAnsi="Times New Roman" w:cs="Times New Roman"/>
          <w:lang w:val="ru-RU"/>
        </w:rPr>
        <w:t xml:space="preserve"> </w:t>
      </w:r>
      <w:r w:rsidRPr="00CE20A4">
        <w:rPr>
          <w:rFonts w:ascii="Times New Roman" w:hAnsi="Times New Roman" w:cs="Times New Roman"/>
        </w:rPr>
        <w:t>https</w:t>
      </w:r>
      <w:r w:rsidRPr="00CE20A4">
        <w:rPr>
          <w:rFonts w:ascii="Times New Roman" w:hAnsi="Times New Roman" w:cs="Times New Roman"/>
          <w:lang w:val="ru-RU"/>
        </w:rPr>
        <w:t>://</w:t>
      </w:r>
      <w:r w:rsidRPr="00CE20A4">
        <w:rPr>
          <w:rFonts w:ascii="Times New Roman" w:hAnsi="Times New Roman" w:cs="Times New Roman"/>
        </w:rPr>
        <w:t>yandex</w:t>
      </w:r>
      <w:r w:rsidRPr="00CE20A4">
        <w:rPr>
          <w:rFonts w:ascii="Times New Roman" w:hAnsi="Times New Roman" w:cs="Times New Roman"/>
          <w:lang w:val="ru-RU"/>
        </w:rPr>
        <w:t>.</w:t>
      </w:r>
      <w:r w:rsidRPr="00CE20A4">
        <w:rPr>
          <w:rFonts w:ascii="Times New Roman" w:hAnsi="Times New Roman" w:cs="Times New Roman"/>
        </w:rPr>
        <w:t>ru</w:t>
      </w:r>
      <w:r w:rsidRPr="00CE20A4">
        <w:rPr>
          <w:rFonts w:ascii="Times New Roman" w:hAnsi="Times New Roman" w:cs="Times New Roman"/>
          <w:lang w:val="ru-RU"/>
        </w:rPr>
        <w:t>/</w:t>
      </w:r>
      <w:r w:rsidRPr="00CE20A4">
        <w:rPr>
          <w:rFonts w:ascii="Times New Roman" w:hAnsi="Times New Roman" w:cs="Times New Roman"/>
        </w:rPr>
        <w:t>turbo</w:t>
      </w:r>
      <w:r w:rsidRPr="00CE20A4">
        <w:rPr>
          <w:rFonts w:ascii="Times New Roman" w:hAnsi="Times New Roman" w:cs="Times New Roman"/>
          <w:lang w:val="ru-RU"/>
        </w:rPr>
        <w:t>/</w:t>
      </w:r>
      <w:r w:rsidRPr="00CE20A4">
        <w:rPr>
          <w:rFonts w:ascii="Times New Roman" w:hAnsi="Times New Roman" w:cs="Times New Roman"/>
        </w:rPr>
        <w:t>autostat</w:t>
      </w:r>
      <w:r w:rsidRPr="00CE20A4">
        <w:rPr>
          <w:rFonts w:ascii="Times New Roman" w:hAnsi="Times New Roman" w:cs="Times New Roman"/>
          <w:lang w:val="ru-RU"/>
        </w:rPr>
        <w:t>.</w:t>
      </w:r>
      <w:r w:rsidRPr="00CE20A4">
        <w:rPr>
          <w:rFonts w:ascii="Times New Roman" w:hAnsi="Times New Roman" w:cs="Times New Roman"/>
        </w:rPr>
        <w:t>ru</w:t>
      </w:r>
      <w:r w:rsidRPr="00CE20A4">
        <w:rPr>
          <w:rFonts w:ascii="Times New Roman" w:hAnsi="Times New Roman" w:cs="Times New Roman"/>
          <w:lang w:val="ru-RU"/>
        </w:rPr>
        <w:t>/</w:t>
      </w:r>
      <w:r w:rsidRPr="00CE20A4">
        <w:rPr>
          <w:rFonts w:ascii="Times New Roman" w:hAnsi="Times New Roman" w:cs="Times New Roman"/>
        </w:rPr>
        <w:t>s</w:t>
      </w:r>
      <w:r w:rsidRPr="00CE20A4">
        <w:rPr>
          <w:rFonts w:ascii="Times New Roman" w:hAnsi="Times New Roman" w:cs="Times New Roman"/>
          <w:lang w:val="ru-RU"/>
        </w:rPr>
        <w:t>/</w:t>
      </w:r>
      <w:r w:rsidRPr="00CE20A4">
        <w:rPr>
          <w:rFonts w:ascii="Times New Roman" w:hAnsi="Times New Roman" w:cs="Times New Roman"/>
        </w:rPr>
        <w:t>press</w:t>
      </w:r>
      <w:r w:rsidRPr="00CE20A4">
        <w:rPr>
          <w:rFonts w:ascii="Times New Roman" w:hAnsi="Times New Roman" w:cs="Times New Roman"/>
          <w:lang w:val="ru-RU"/>
        </w:rPr>
        <w:t>-</w:t>
      </w:r>
      <w:r w:rsidRPr="00CE20A4">
        <w:rPr>
          <w:rFonts w:ascii="Times New Roman" w:hAnsi="Times New Roman" w:cs="Times New Roman"/>
        </w:rPr>
        <w:t>releases</w:t>
      </w:r>
      <w:r w:rsidRPr="00CE20A4">
        <w:rPr>
          <w:rFonts w:ascii="Times New Roman" w:hAnsi="Times New Roman" w:cs="Times New Roman"/>
          <w:lang w:val="ru-RU"/>
        </w:rPr>
        <w:t>/46332/</w:t>
      </w:r>
    </w:p>
  </w:footnote>
  <w:footnote w:id="92">
    <w:p w14:paraId="4ED06BF1" w14:textId="1F3E4817" w:rsidR="0090366A" w:rsidRPr="00E564BF" w:rsidRDefault="0090366A">
      <w:pPr>
        <w:pStyle w:val="af3"/>
        <w:rPr>
          <w:lang w:val="ru-RU"/>
        </w:rPr>
      </w:pPr>
      <w:r>
        <w:rPr>
          <w:rStyle w:val="af2"/>
        </w:rPr>
        <w:footnoteRef/>
      </w:r>
      <w:r w:rsidRPr="00E564BF">
        <w:rPr>
          <w:lang w:val="ru-RU"/>
        </w:rPr>
        <w:t xml:space="preserve"> </w:t>
      </w:r>
      <w:hyperlink r:id="rId69" w:history="1">
        <w:r w:rsidRPr="00E564BF">
          <w:rPr>
            <w:rStyle w:val="ad"/>
            <w:rFonts w:ascii="Times New Roman" w:eastAsia="Calibri" w:hAnsi="Times New Roman" w:cs="Times New Roman"/>
            <w:szCs w:val="26"/>
          </w:rPr>
          <w:t>https</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statrielt</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ru</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statistika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rynka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statistika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na</w:t>
        </w:r>
        <w:r w:rsidRPr="00E564BF">
          <w:rPr>
            <w:rStyle w:val="ad"/>
            <w:rFonts w:ascii="Times New Roman" w:eastAsia="Calibri" w:hAnsi="Times New Roman" w:cs="Times New Roman"/>
            <w:szCs w:val="26"/>
            <w:lang w:val="ru-RU"/>
          </w:rPr>
          <w:t>-01-01-2022</w:t>
        </w:r>
        <w:r w:rsidRPr="00E564BF">
          <w:rPr>
            <w:rStyle w:val="ad"/>
            <w:rFonts w:ascii="Times New Roman" w:eastAsia="Calibri" w:hAnsi="Times New Roman" w:cs="Times New Roman"/>
            <w:szCs w:val="26"/>
          </w:rPr>
          <w:t>g</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korrektirovki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stoimosti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zemli</w:t>
        </w:r>
        <w:r w:rsidRPr="00E564BF">
          <w:rPr>
            <w:rStyle w:val="ad"/>
            <w:rFonts w:ascii="Times New Roman" w:eastAsia="Calibri" w:hAnsi="Times New Roman" w:cs="Times New Roman"/>
            <w:szCs w:val="26"/>
            <w:lang w:val="ru-RU"/>
          </w:rPr>
          <w:t>/2691-</w:t>
        </w:r>
        <w:r w:rsidRPr="00E564BF">
          <w:rPr>
            <w:rStyle w:val="ad"/>
            <w:rFonts w:ascii="Times New Roman" w:eastAsia="Calibri" w:hAnsi="Times New Roman" w:cs="Times New Roman"/>
            <w:szCs w:val="26"/>
          </w:rPr>
          <w:t>skidka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na</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torg</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utorgovanie</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pri</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prodazhe</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zemelnykh</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uchastkov</w:t>
        </w:r>
        <w:r w:rsidRPr="00E564BF">
          <w:rPr>
            <w:rStyle w:val="ad"/>
            <w:rFonts w:ascii="Times New Roman" w:eastAsia="Calibri" w:hAnsi="Times New Roman" w:cs="Times New Roman"/>
            <w:szCs w:val="26"/>
            <w:lang w:val="ru-RU"/>
          </w:rPr>
          <w:t>-</w:t>
        </w:r>
        <w:r w:rsidRPr="00E564BF">
          <w:rPr>
            <w:rStyle w:val="ad"/>
            <w:rFonts w:ascii="Times New Roman" w:eastAsia="Calibri" w:hAnsi="Times New Roman" w:cs="Times New Roman"/>
            <w:szCs w:val="26"/>
          </w:rPr>
          <w:t>na</w:t>
        </w:r>
        <w:r w:rsidRPr="00E564BF">
          <w:rPr>
            <w:rStyle w:val="ad"/>
            <w:rFonts w:ascii="Times New Roman" w:eastAsia="Calibri" w:hAnsi="Times New Roman" w:cs="Times New Roman"/>
            <w:szCs w:val="26"/>
            <w:lang w:val="ru-RU"/>
          </w:rPr>
          <w:t>-01-01-2022-</w:t>
        </w:r>
        <w:r w:rsidRPr="00E564BF">
          <w:rPr>
            <w:rStyle w:val="ad"/>
            <w:rFonts w:ascii="Times New Roman" w:eastAsia="Calibri" w:hAnsi="Times New Roman" w:cs="Times New Roman"/>
            <w:szCs w:val="26"/>
          </w:rPr>
          <w:t>goda</w:t>
        </w:r>
      </w:hyperlink>
    </w:p>
  </w:footnote>
  <w:footnote w:id="93">
    <w:p w14:paraId="3F8452B7" w14:textId="7AD66C0E" w:rsidR="0090366A" w:rsidRPr="00216603" w:rsidRDefault="0090366A">
      <w:pPr>
        <w:pStyle w:val="af3"/>
        <w:rPr>
          <w:lang w:val="ru-RU"/>
        </w:rPr>
      </w:pPr>
      <w:r>
        <w:rPr>
          <w:rStyle w:val="af2"/>
        </w:rPr>
        <w:footnoteRef/>
      </w:r>
      <w:r w:rsidRPr="00216603">
        <w:rPr>
          <w:lang w:val="ru-RU"/>
        </w:rPr>
        <w:t xml:space="preserve"> </w:t>
      </w:r>
      <w:hyperlink r:id="rId70" w:history="1">
        <w:r w:rsidRPr="00216603">
          <w:rPr>
            <w:rStyle w:val="ad"/>
            <w:rFonts w:ascii="Times New Roman" w:eastAsia="Calibri" w:hAnsi="Times New Roman" w:cs="Times New Roman"/>
            <w:szCs w:val="26"/>
          </w:rPr>
          <w:t>https</w:t>
        </w:r>
        <w:r w:rsidRPr="00216603">
          <w:rPr>
            <w:rStyle w:val="ad"/>
            <w:rFonts w:ascii="Times New Roman" w:eastAsia="Calibri" w:hAnsi="Times New Roman" w:cs="Times New Roman"/>
            <w:szCs w:val="26"/>
            <w:lang w:val="ru-RU"/>
          </w:rPr>
          <w:t>://</w:t>
        </w:r>
        <w:r w:rsidRPr="00216603">
          <w:rPr>
            <w:rStyle w:val="ad"/>
            <w:rFonts w:ascii="Times New Roman" w:eastAsia="Calibri" w:hAnsi="Times New Roman" w:cs="Times New Roman"/>
            <w:szCs w:val="26"/>
          </w:rPr>
          <w:t>statrielt</w:t>
        </w:r>
        <w:r w:rsidRPr="00216603">
          <w:rPr>
            <w:rStyle w:val="ad"/>
            <w:rFonts w:ascii="Times New Roman" w:eastAsia="Calibri" w:hAnsi="Times New Roman" w:cs="Times New Roman"/>
            <w:szCs w:val="26"/>
            <w:lang w:val="ru-RU"/>
          </w:rPr>
          <w:t>.</w:t>
        </w:r>
        <w:r w:rsidRPr="00216603">
          <w:rPr>
            <w:rStyle w:val="ad"/>
            <w:rFonts w:ascii="Times New Roman" w:eastAsia="Calibri" w:hAnsi="Times New Roman" w:cs="Times New Roman"/>
            <w:szCs w:val="26"/>
          </w:rPr>
          <w:t>ru</w:t>
        </w:r>
        <w:r w:rsidRPr="00216603">
          <w:rPr>
            <w:rStyle w:val="ad"/>
            <w:rFonts w:ascii="Times New Roman" w:eastAsia="Calibri" w:hAnsi="Times New Roman" w:cs="Times New Roman"/>
            <w:szCs w:val="26"/>
            <w:lang w:val="ru-RU"/>
          </w:rPr>
          <w:t>/</w:t>
        </w:r>
        <w:r w:rsidRPr="00216603">
          <w:rPr>
            <w:rStyle w:val="ad"/>
            <w:rFonts w:ascii="Times New Roman" w:eastAsia="Calibri" w:hAnsi="Times New Roman" w:cs="Times New Roman"/>
            <w:szCs w:val="26"/>
          </w:rPr>
          <w:t>indeksy</w:t>
        </w:r>
        <w:r w:rsidRPr="00216603">
          <w:rPr>
            <w:rStyle w:val="ad"/>
            <w:rFonts w:ascii="Times New Roman" w:eastAsia="Calibri" w:hAnsi="Times New Roman" w:cs="Times New Roman"/>
            <w:szCs w:val="26"/>
            <w:lang w:val="ru-RU"/>
          </w:rPr>
          <w:t>/2406-</w:t>
        </w:r>
        <w:r w:rsidRPr="00216603">
          <w:rPr>
            <w:rStyle w:val="ad"/>
            <w:rFonts w:ascii="Times New Roman" w:eastAsia="Calibri" w:hAnsi="Times New Roman" w:cs="Times New Roman"/>
            <w:szCs w:val="26"/>
          </w:rPr>
          <w:t>indeksy</w:t>
        </w:r>
        <w:r w:rsidRPr="00216603">
          <w:rPr>
            <w:rStyle w:val="ad"/>
            <w:rFonts w:ascii="Times New Roman" w:eastAsia="Calibri" w:hAnsi="Times New Roman" w:cs="Times New Roman"/>
            <w:szCs w:val="26"/>
            <w:lang w:val="ru-RU"/>
          </w:rPr>
          <w:t>-</w:t>
        </w:r>
        <w:r w:rsidRPr="00216603">
          <w:rPr>
            <w:rStyle w:val="ad"/>
            <w:rFonts w:ascii="Times New Roman" w:eastAsia="Calibri" w:hAnsi="Times New Roman" w:cs="Times New Roman"/>
            <w:szCs w:val="26"/>
          </w:rPr>
          <w:t>izmeneniya</w:t>
        </w:r>
        <w:r w:rsidRPr="00216603">
          <w:rPr>
            <w:rStyle w:val="ad"/>
            <w:rFonts w:ascii="Times New Roman" w:eastAsia="Calibri" w:hAnsi="Times New Roman" w:cs="Times New Roman"/>
            <w:szCs w:val="26"/>
            <w:lang w:val="ru-RU"/>
          </w:rPr>
          <w:t>-</w:t>
        </w:r>
        <w:r w:rsidRPr="00216603">
          <w:rPr>
            <w:rStyle w:val="ad"/>
            <w:rFonts w:ascii="Times New Roman" w:eastAsia="Calibri" w:hAnsi="Times New Roman" w:cs="Times New Roman"/>
            <w:szCs w:val="26"/>
          </w:rPr>
          <w:t>rynochnykh</w:t>
        </w:r>
        <w:r w:rsidRPr="00216603">
          <w:rPr>
            <w:rStyle w:val="ad"/>
            <w:rFonts w:ascii="Times New Roman" w:eastAsia="Calibri" w:hAnsi="Times New Roman" w:cs="Times New Roman"/>
            <w:szCs w:val="26"/>
            <w:lang w:val="ru-RU"/>
          </w:rPr>
          <w:t>-</w:t>
        </w:r>
        <w:r w:rsidRPr="00216603">
          <w:rPr>
            <w:rStyle w:val="ad"/>
            <w:rFonts w:ascii="Times New Roman" w:eastAsia="Calibri" w:hAnsi="Times New Roman" w:cs="Times New Roman"/>
            <w:szCs w:val="26"/>
          </w:rPr>
          <w:t>tsen</w:t>
        </w:r>
        <w:r w:rsidRPr="00216603">
          <w:rPr>
            <w:rStyle w:val="ad"/>
            <w:rFonts w:ascii="Times New Roman" w:eastAsia="Calibri" w:hAnsi="Times New Roman" w:cs="Times New Roman"/>
            <w:szCs w:val="26"/>
            <w:lang w:val="ru-RU"/>
          </w:rPr>
          <w:t>-</w:t>
        </w:r>
        <w:r w:rsidRPr="00216603">
          <w:rPr>
            <w:rStyle w:val="ad"/>
            <w:rFonts w:ascii="Times New Roman" w:eastAsia="Calibri" w:hAnsi="Times New Roman" w:cs="Times New Roman"/>
            <w:szCs w:val="26"/>
          </w:rPr>
          <w:t>v</w:t>
        </w:r>
        <w:r w:rsidRPr="00216603">
          <w:rPr>
            <w:rStyle w:val="ad"/>
            <w:rFonts w:ascii="Times New Roman" w:eastAsia="Calibri" w:hAnsi="Times New Roman" w:cs="Times New Roman"/>
            <w:szCs w:val="26"/>
            <w:lang w:val="ru-RU"/>
          </w:rPr>
          <w:t>-</w:t>
        </w:r>
        <w:r w:rsidRPr="00216603">
          <w:rPr>
            <w:rStyle w:val="ad"/>
            <w:rFonts w:ascii="Times New Roman" w:eastAsia="Calibri" w:hAnsi="Times New Roman" w:cs="Times New Roman"/>
            <w:szCs w:val="26"/>
          </w:rPr>
          <w:t>rublyakh</w:t>
        </w:r>
        <w:r w:rsidRPr="00216603">
          <w:rPr>
            <w:rStyle w:val="ad"/>
            <w:rFonts w:ascii="Times New Roman" w:eastAsia="Calibri" w:hAnsi="Times New Roman" w:cs="Times New Roman"/>
            <w:szCs w:val="26"/>
            <w:lang w:val="ru-RU"/>
          </w:rPr>
          <w:t>-</w:t>
        </w:r>
        <w:r w:rsidRPr="00216603">
          <w:rPr>
            <w:rStyle w:val="ad"/>
            <w:rFonts w:ascii="Times New Roman" w:eastAsia="Calibri" w:hAnsi="Times New Roman" w:cs="Times New Roman"/>
            <w:szCs w:val="26"/>
          </w:rPr>
          <w:t>zemelnykh</w:t>
        </w:r>
        <w:r w:rsidRPr="00216603">
          <w:rPr>
            <w:rStyle w:val="ad"/>
            <w:rFonts w:ascii="Times New Roman" w:eastAsia="Calibri" w:hAnsi="Times New Roman" w:cs="Times New Roman"/>
            <w:szCs w:val="26"/>
            <w:lang w:val="ru-RU"/>
          </w:rPr>
          <w:t>-</w:t>
        </w:r>
        <w:r w:rsidRPr="00216603">
          <w:rPr>
            <w:rStyle w:val="ad"/>
            <w:rFonts w:ascii="Times New Roman" w:eastAsia="Calibri" w:hAnsi="Times New Roman" w:cs="Times New Roman"/>
            <w:szCs w:val="26"/>
          </w:rPr>
          <w:t>uchastkov</w:t>
        </w:r>
      </w:hyperlink>
    </w:p>
  </w:footnote>
  <w:footnote w:id="94">
    <w:p w14:paraId="241AC3B5" w14:textId="0FB11C8D" w:rsidR="0090366A" w:rsidRPr="00E564BF" w:rsidRDefault="0090366A">
      <w:pPr>
        <w:pStyle w:val="af3"/>
        <w:rPr>
          <w:lang w:val="ru-RU"/>
        </w:rPr>
      </w:pPr>
      <w:r>
        <w:rPr>
          <w:rStyle w:val="af2"/>
        </w:rPr>
        <w:footnoteRef/>
      </w:r>
      <w:r w:rsidRPr="00E564BF">
        <w:rPr>
          <w:sz w:val="16"/>
          <w:lang w:val="ru-RU"/>
        </w:rPr>
        <w:t xml:space="preserve"> </w:t>
      </w:r>
      <w:hyperlink r:id="rId71" w:history="1">
        <w:r w:rsidRPr="001410AB">
          <w:rPr>
            <w:rStyle w:val="ad"/>
            <w:rFonts w:ascii="Times New Roman" w:eastAsia="Calibri" w:hAnsi="Times New Roman" w:cs="Times New Roman"/>
            <w:szCs w:val="20"/>
          </w:rPr>
          <w:t>https</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statrielt</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ru</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statistika</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rynka</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statistika</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na</w:t>
        </w:r>
        <w:r w:rsidRPr="001410AB">
          <w:rPr>
            <w:rStyle w:val="ad"/>
            <w:rFonts w:ascii="Times New Roman" w:eastAsia="Calibri" w:hAnsi="Times New Roman" w:cs="Times New Roman"/>
            <w:szCs w:val="20"/>
            <w:lang w:val="ru-RU"/>
          </w:rPr>
          <w:t>-01-01-2022</w:t>
        </w:r>
        <w:r w:rsidRPr="001410AB">
          <w:rPr>
            <w:rStyle w:val="ad"/>
            <w:rFonts w:ascii="Times New Roman" w:eastAsia="Calibri" w:hAnsi="Times New Roman" w:cs="Times New Roman"/>
            <w:szCs w:val="20"/>
          </w:rPr>
          <w:t>g</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korrektirovki</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stoimosti</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zemli</w:t>
        </w:r>
        <w:r w:rsidRPr="001410AB">
          <w:rPr>
            <w:rStyle w:val="ad"/>
            <w:rFonts w:ascii="Times New Roman" w:eastAsia="Calibri" w:hAnsi="Times New Roman" w:cs="Times New Roman"/>
            <w:szCs w:val="20"/>
            <w:lang w:val="ru-RU"/>
          </w:rPr>
          <w:t>/2683-</w:t>
        </w:r>
        <w:r w:rsidRPr="001410AB">
          <w:rPr>
            <w:rStyle w:val="ad"/>
            <w:rFonts w:ascii="Times New Roman" w:eastAsia="Calibri" w:hAnsi="Times New Roman" w:cs="Times New Roman"/>
            <w:szCs w:val="20"/>
          </w:rPr>
          <w:t>pravo</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arendy</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pravo</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sobstvennosti</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zemelnykh</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uchastkov</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korrektirovki</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na</w:t>
        </w:r>
        <w:r w:rsidRPr="001410AB">
          <w:rPr>
            <w:rStyle w:val="ad"/>
            <w:rFonts w:ascii="Times New Roman" w:eastAsia="Calibri" w:hAnsi="Times New Roman" w:cs="Times New Roman"/>
            <w:szCs w:val="20"/>
            <w:lang w:val="ru-RU"/>
          </w:rPr>
          <w:t>-01-01-2022-</w:t>
        </w:r>
        <w:r w:rsidRPr="001410AB">
          <w:rPr>
            <w:rStyle w:val="ad"/>
            <w:rFonts w:ascii="Times New Roman" w:eastAsia="Calibri" w:hAnsi="Times New Roman" w:cs="Times New Roman"/>
            <w:szCs w:val="20"/>
          </w:rPr>
          <w:t>goda</w:t>
        </w:r>
      </w:hyperlink>
    </w:p>
  </w:footnote>
  <w:footnote w:id="95">
    <w:p w14:paraId="11BA1657" w14:textId="77777777" w:rsidR="0090366A" w:rsidRPr="00DD56EC" w:rsidRDefault="0090366A" w:rsidP="00DB474C">
      <w:pPr>
        <w:pStyle w:val="af3"/>
        <w:rPr>
          <w:rStyle w:val="ad"/>
          <w:rFonts w:ascii="Times New Roman" w:hAnsi="Times New Roman" w:cs="Times New Roman"/>
          <w:sz w:val="18"/>
          <w:lang w:val="ru-RU"/>
        </w:rPr>
      </w:pPr>
      <w:r>
        <w:rPr>
          <w:rStyle w:val="af2"/>
        </w:rPr>
        <w:footnoteRef/>
      </w:r>
      <w:r w:rsidRPr="00113E85">
        <w:rPr>
          <w:lang w:val="ru-RU"/>
        </w:rPr>
        <w:t xml:space="preserve"> </w:t>
      </w:r>
      <w:hyperlink r:id="rId72" w:history="1">
        <w:r w:rsidRPr="00DD56EC">
          <w:rPr>
            <w:rStyle w:val="ad"/>
            <w:rFonts w:ascii="Times New Roman" w:hAnsi="Times New Roman" w:cs="Times New Roman"/>
            <w:sz w:val="18"/>
          </w:rPr>
          <w:t>https</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www</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kommersant</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ru</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doc</w:t>
        </w:r>
        <w:r w:rsidRPr="00DD56EC">
          <w:rPr>
            <w:rStyle w:val="ad"/>
            <w:rFonts w:ascii="Times New Roman" w:hAnsi="Times New Roman" w:cs="Times New Roman"/>
            <w:sz w:val="18"/>
            <w:lang w:val="ru-RU"/>
          </w:rPr>
          <w:t>/2851627</w:t>
        </w:r>
      </w:hyperlink>
    </w:p>
  </w:footnote>
  <w:footnote w:id="96">
    <w:p w14:paraId="2AF7B5C3" w14:textId="77777777" w:rsidR="0090366A" w:rsidRPr="00113E85" w:rsidRDefault="0090366A" w:rsidP="00DB474C">
      <w:pPr>
        <w:pStyle w:val="af3"/>
        <w:rPr>
          <w:lang w:val="ru-RU"/>
        </w:rPr>
      </w:pPr>
      <w:r w:rsidRPr="00DD56EC">
        <w:rPr>
          <w:rStyle w:val="af2"/>
        </w:rPr>
        <w:footnoteRef/>
      </w:r>
      <w:r w:rsidRPr="00DD56EC">
        <w:rPr>
          <w:lang w:val="ru-RU"/>
        </w:rPr>
        <w:t xml:space="preserve"> </w:t>
      </w:r>
      <w:hyperlink r:id="rId73" w:history="1">
        <w:r w:rsidRPr="00DD56EC">
          <w:rPr>
            <w:rStyle w:val="ad"/>
            <w:rFonts w:ascii="Times New Roman" w:hAnsi="Times New Roman" w:cs="Times New Roman"/>
            <w:sz w:val="18"/>
          </w:rPr>
          <w:t>https</w:t>
        </w:r>
        <w:r w:rsidRPr="00DD56EC">
          <w:rPr>
            <w:rStyle w:val="ad"/>
            <w:rFonts w:ascii="Times New Roman" w:hAnsi="Times New Roman" w:cs="Times New Roman"/>
            <w:sz w:val="18"/>
            <w:lang w:val="ru-RU"/>
          </w:rPr>
          <w:t>://36.</w:t>
        </w:r>
        <w:r w:rsidRPr="00DD56EC">
          <w:rPr>
            <w:rStyle w:val="ad"/>
            <w:rFonts w:ascii="Times New Roman" w:hAnsi="Times New Roman" w:cs="Times New Roman"/>
            <w:sz w:val="18"/>
          </w:rPr>
          <w:t>bn</w:t>
        </w:r>
        <w:r w:rsidRPr="00DD56EC">
          <w:rPr>
            <w:rStyle w:val="ad"/>
            <w:rFonts w:ascii="Times New Roman" w:hAnsi="Times New Roman" w:cs="Times New Roman"/>
            <w:sz w:val="18"/>
            <w:lang w:val="ru-RU"/>
          </w:rPr>
          <w:t>.</w:t>
        </w:r>
        <w:r w:rsidRPr="00DD56EC">
          <w:rPr>
            <w:rStyle w:val="ad"/>
            <w:rFonts w:ascii="Times New Roman" w:hAnsi="Times New Roman" w:cs="Times New Roman"/>
            <w:sz w:val="18"/>
          </w:rPr>
          <w:t>ru</w:t>
        </w:r>
        <w:r w:rsidRPr="00DD56EC">
          <w:rPr>
            <w:rStyle w:val="ad"/>
            <w:rFonts w:ascii="Times New Roman" w:hAnsi="Times New Roman" w:cs="Times New Roman"/>
            <w:sz w:val="18"/>
            <w:lang w:val="ru-RU"/>
          </w:rPr>
          <w:t>/</w:t>
        </w:r>
      </w:hyperlink>
    </w:p>
  </w:footnote>
  <w:footnote w:id="97">
    <w:p w14:paraId="7C04CF7B" w14:textId="77777777" w:rsidR="0090366A" w:rsidRPr="00DD56EC" w:rsidRDefault="0090366A" w:rsidP="00DB474C">
      <w:pPr>
        <w:pStyle w:val="af3"/>
        <w:rPr>
          <w:lang w:val="ru-RU"/>
        </w:rPr>
      </w:pPr>
      <w:r>
        <w:rPr>
          <w:rStyle w:val="af2"/>
        </w:rPr>
        <w:footnoteRef/>
      </w:r>
      <w:r w:rsidRPr="00DD56EC">
        <w:rPr>
          <w:lang w:val="ru-RU"/>
        </w:rPr>
        <w:t xml:space="preserve"> </w:t>
      </w:r>
      <w:r w:rsidRPr="00DD56EC">
        <w:rPr>
          <w:rFonts w:ascii="Times New Roman" w:hAnsi="Times New Roman" w:cs="Times New Roman"/>
          <w:lang w:val="ru-RU"/>
        </w:rPr>
        <w:t>https://www.klerk.ru/buh/news/506517/</w:t>
      </w:r>
    </w:p>
  </w:footnote>
  <w:footnote w:id="98">
    <w:p w14:paraId="140C2399" w14:textId="1A0071C7" w:rsidR="0090366A" w:rsidRPr="00DB474C" w:rsidRDefault="0090366A">
      <w:pPr>
        <w:pStyle w:val="af3"/>
        <w:rPr>
          <w:lang w:val="ru-RU"/>
        </w:rPr>
      </w:pPr>
      <w:r>
        <w:rPr>
          <w:rStyle w:val="af2"/>
        </w:rPr>
        <w:footnoteRef/>
      </w:r>
      <w:r w:rsidRPr="00DB474C">
        <w:rPr>
          <w:lang w:val="ru-RU"/>
        </w:rPr>
        <w:t xml:space="preserve"> </w:t>
      </w:r>
      <w:hyperlink r:id="rId74" w:history="1">
        <w:r w:rsidRPr="00DB474C">
          <w:rPr>
            <w:rStyle w:val="ad"/>
            <w:rFonts w:ascii="Times New Roman" w:eastAsia="Calibri" w:hAnsi="Times New Roman" w:cs="Times New Roman"/>
            <w:szCs w:val="26"/>
          </w:rPr>
          <w:t>https</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statrielt</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ru</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statistika</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rynka</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statistika</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na</w:t>
        </w:r>
        <w:r w:rsidRPr="00DB474C">
          <w:rPr>
            <w:rStyle w:val="ad"/>
            <w:rFonts w:ascii="Times New Roman" w:eastAsia="Calibri" w:hAnsi="Times New Roman" w:cs="Times New Roman"/>
            <w:szCs w:val="26"/>
            <w:lang w:val="ru-RU"/>
          </w:rPr>
          <w:t>-01-01-2022</w:t>
        </w:r>
        <w:r w:rsidRPr="00DB474C">
          <w:rPr>
            <w:rStyle w:val="ad"/>
            <w:rFonts w:ascii="Times New Roman" w:eastAsia="Calibri" w:hAnsi="Times New Roman" w:cs="Times New Roman"/>
            <w:szCs w:val="26"/>
          </w:rPr>
          <w:t>g</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korrektirovki</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stoimosti</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zemli</w:t>
        </w:r>
        <w:r w:rsidRPr="00DB474C">
          <w:rPr>
            <w:rStyle w:val="ad"/>
            <w:rFonts w:ascii="Times New Roman" w:eastAsia="Calibri" w:hAnsi="Times New Roman" w:cs="Times New Roman"/>
            <w:szCs w:val="26"/>
            <w:lang w:val="ru-RU"/>
          </w:rPr>
          <w:t>/2691-</w:t>
        </w:r>
        <w:r w:rsidRPr="00DB474C">
          <w:rPr>
            <w:rStyle w:val="ad"/>
            <w:rFonts w:ascii="Times New Roman" w:eastAsia="Calibri" w:hAnsi="Times New Roman" w:cs="Times New Roman"/>
            <w:szCs w:val="26"/>
          </w:rPr>
          <w:t>skidka</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na</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torg</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utorgovanie</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pri</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prodazhe</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zemelnykh</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uchastkov</w:t>
        </w:r>
        <w:r w:rsidRPr="00DB474C">
          <w:rPr>
            <w:rStyle w:val="ad"/>
            <w:rFonts w:ascii="Times New Roman" w:eastAsia="Calibri" w:hAnsi="Times New Roman" w:cs="Times New Roman"/>
            <w:szCs w:val="26"/>
            <w:lang w:val="ru-RU"/>
          </w:rPr>
          <w:t>-</w:t>
        </w:r>
        <w:r w:rsidRPr="00DB474C">
          <w:rPr>
            <w:rStyle w:val="ad"/>
            <w:rFonts w:ascii="Times New Roman" w:eastAsia="Calibri" w:hAnsi="Times New Roman" w:cs="Times New Roman"/>
            <w:szCs w:val="26"/>
          </w:rPr>
          <w:t>na</w:t>
        </w:r>
        <w:r w:rsidRPr="00DB474C">
          <w:rPr>
            <w:rStyle w:val="ad"/>
            <w:rFonts w:ascii="Times New Roman" w:eastAsia="Calibri" w:hAnsi="Times New Roman" w:cs="Times New Roman"/>
            <w:szCs w:val="26"/>
            <w:lang w:val="ru-RU"/>
          </w:rPr>
          <w:t>-01-01-2022-</w:t>
        </w:r>
        <w:r w:rsidRPr="00DB474C">
          <w:rPr>
            <w:rStyle w:val="ad"/>
            <w:rFonts w:ascii="Times New Roman" w:eastAsia="Calibri" w:hAnsi="Times New Roman" w:cs="Times New Roman"/>
            <w:szCs w:val="26"/>
          </w:rPr>
          <w:t>goda</w:t>
        </w:r>
      </w:hyperlink>
    </w:p>
  </w:footnote>
  <w:footnote w:id="99">
    <w:p w14:paraId="29CE54E2" w14:textId="61E34251" w:rsidR="0090366A" w:rsidRPr="001410AB" w:rsidRDefault="0090366A">
      <w:pPr>
        <w:pStyle w:val="af3"/>
        <w:rPr>
          <w:lang w:val="ru-RU"/>
        </w:rPr>
      </w:pPr>
      <w:r>
        <w:rPr>
          <w:rStyle w:val="af2"/>
        </w:rPr>
        <w:footnoteRef/>
      </w:r>
      <w:r w:rsidRPr="001410AB">
        <w:rPr>
          <w:lang w:val="ru-RU"/>
        </w:rPr>
        <w:t xml:space="preserve"> </w:t>
      </w:r>
      <w:hyperlink r:id="rId75" w:history="1">
        <w:r w:rsidRPr="001410AB">
          <w:rPr>
            <w:rStyle w:val="ad"/>
            <w:rFonts w:ascii="Times New Roman" w:eastAsia="Calibri" w:hAnsi="Times New Roman" w:cs="Times New Roman"/>
            <w:szCs w:val="20"/>
          </w:rPr>
          <w:t>https</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statrielt</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ru</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indeksy</w:t>
        </w:r>
        <w:r w:rsidRPr="001410AB">
          <w:rPr>
            <w:rStyle w:val="ad"/>
            <w:rFonts w:ascii="Times New Roman" w:eastAsia="Calibri" w:hAnsi="Times New Roman" w:cs="Times New Roman"/>
            <w:szCs w:val="20"/>
            <w:lang w:val="ru-RU"/>
          </w:rPr>
          <w:t>/2406-</w:t>
        </w:r>
        <w:r w:rsidRPr="001410AB">
          <w:rPr>
            <w:rStyle w:val="ad"/>
            <w:rFonts w:ascii="Times New Roman" w:eastAsia="Calibri" w:hAnsi="Times New Roman" w:cs="Times New Roman"/>
            <w:szCs w:val="20"/>
          </w:rPr>
          <w:t>indeksy</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izmeneniya</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rynochnykh</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tsen</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v</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rublyakh</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zemelnykh</w:t>
        </w:r>
        <w:r w:rsidRPr="001410AB">
          <w:rPr>
            <w:rStyle w:val="ad"/>
            <w:rFonts w:ascii="Times New Roman" w:eastAsia="Calibri" w:hAnsi="Times New Roman" w:cs="Times New Roman"/>
            <w:szCs w:val="20"/>
            <w:lang w:val="ru-RU"/>
          </w:rPr>
          <w:t>-</w:t>
        </w:r>
        <w:r w:rsidRPr="001410AB">
          <w:rPr>
            <w:rStyle w:val="ad"/>
            <w:rFonts w:ascii="Times New Roman" w:eastAsia="Calibri" w:hAnsi="Times New Roman" w:cs="Times New Roman"/>
            <w:szCs w:val="20"/>
          </w:rPr>
          <w:t>uchastkov</w:t>
        </w:r>
      </w:hyperlink>
    </w:p>
  </w:footnote>
  <w:footnote w:id="100">
    <w:p w14:paraId="6F026095" w14:textId="77777777" w:rsidR="0090366A" w:rsidRPr="00314CE0" w:rsidRDefault="0090366A" w:rsidP="00AF047F">
      <w:pPr>
        <w:pStyle w:val="af3"/>
        <w:rPr>
          <w:lang w:val="ru-RU"/>
        </w:rPr>
      </w:pPr>
      <w:r>
        <w:rPr>
          <w:rStyle w:val="af2"/>
        </w:rPr>
        <w:footnoteRef/>
      </w:r>
      <w:r w:rsidRPr="00314CE0">
        <w:rPr>
          <w:lang w:val="ru-RU"/>
        </w:rPr>
        <w:t xml:space="preserve"> </w:t>
      </w:r>
      <w:hyperlink r:id="rId76" w:history="1">
        <w:r w:rsidRPr="005551DB">
          <w:rPr>
            <w:rStyle w:val="ad"/>
            <w:rFonts w:ascii="Times New Roman" w:hAnsi="Times New Roman" w:cs="Times New Roman"/>
          </w:rPr>
          <w:t>https</w:t>
        </w:r>
        <w:r w:rsidRPr="005551DB">
          <w:rPr>
            <w:rStyle w:val="ad"/>
            <w:rFonts w:ascii="Times New Roman" w:hAnsi="Times New Roman" w:cs="Times New Roman"/>
            <w:lang w:val="ru-RU"/>
          </w:rPr>
          <w:t>://</w:t>
        </w:r>
        <w:r w:rsidRPr="005551DB">
          <w:rPr>
            <w:rStyle w:val="ad"/>
            <w:rFonts w:ascii="Times New Roman" w:hAnsi="Times New Roman" w:cs="Times New Roman"/>
          </w:rPr>
          <w:t>bravo</w:t>
        </w:r>
        <w:r w:rsidRPr="005551DB">
          <w:rPr>
            <w:rStyle w:val="ad"/>
            <w:rFonts w:ascii="Times New Roman" w:hAnsi="Times New Roman" w:cs="Times New Roman"/>
            <w:lang w:val="ru-RU"/>
          </w:rPr>
          <w:t>-</w:t>
        </w:r>
        <w:r w:rsidRPr="005551DB">
          <w:rPr>
            <w:rStyle w:val="ad"/>
            <w:rFonts w:ascii="Times New Roman" w:hAnsi="Times New Roman" w:cs="Times New Roman"/>
          </w:rPr>
          <w:t>voronezh</w:t>
        </w:r>
        <w:r w:rsidRPr="005551DB">
          <w:rPr>
            <w:rStyle w:val="ad"/>
            <w:rFonts w:ascii="Times New Roman" w:hAnsi="Times New Roman" w:cs="Times New Roman"/>
            <w:lang w:val="ru-RU"/>
          </w:rPr>
          <w:t>.</w:t>
        </w:r>
        <w:r w:rsidRPr="005551DB">
          <w:rPr>
            <w:rStyle w:val="ad"/>
            <w:rFonts w:ascii="Times New Roman" w:hAnsi="Times New Roman" w:cs="Times New Roman"/>
          </w:rPr>
          <w:t>ru</w:t>
        </w:r>
        <w:r w:rsidRPr="005551DB">
          <w:rPr>
            <w:rStyle w:val="ad"/>
            <w:rFonts w:ascii="Times New Roman" w:hAnsi="Times New Roman" w:cs="Times New Roman"/>
            <w:lang w:val="ru-RU"/>
          </w:rPr>
          <w:t>/</w:t>
        </w:r>
        <w:r w:rsidRPr="005551DB">
          <w:rPr>
            <w:rStyle w:val="ad"/>
            <w:rFonts w:ascii="Times New Roman" w:hAnsi="Times New Roman" w:cs="Times New Roman"/>
          </w:rPr>
          <w:t>sovremennost</w:t>
        </w:r>
        <w:r w:rsidRPr="005551DB">
          <w:rPr>
            <w:rStyle w:val="ad"/>
            <w:rFonts w:ascii="Times New Roman" w:hAnsi="Times New Roman" w:cs="Times New Roman"/>
            <w:lang w:val="ru-RU"/>
          </w:rPr>
          <w:t>/</w:t>
        </w:r>
        <w:r w:rsidRPr="005551DB">
          <w:rPr>
            <w:rStyle w:val="ad"/>
            <w:rFonts w:ascii="Times New Roman" w:hAnsi="Times New Roman" w:cs="Times New Roman"/>
          </w:rPr>
          <w:t>voronezhskiy</w:t>
        </w:r>
        <w:r w:rsidRPr="005551DB">
          <w:rPr>
            <w:rStyle w:val="ad"/>
            <w:rFonts w:ascii="Times New Roman" w:hAnsi="Times New Roman" w:cs="Times New Roman"/>
            <w:lang w:val="ru-RU"/>
          </w:rPr>
          <w:t>-</w:t>
        </w:r>
        <w:r w:rsidRPr="005551DB">
          <w:rPr>
            <w:rStyle w:val="ad"/>
            <w:rFonts w:ascii="Times New Roman" w:hAnsi="Times New Roman" w:cs="Times New Roman"/>
          </w:rPr>
          <w:t>kray</w:t>
        </w:r>
        <w:r w:rsidRPr="005551DB">
          <w:rPr>
            <w:rStyle w:val="ad"/>
            <w:rFonts w:ascii="Times New Roman" w:hAnsi="Times New Roman" w:cs="Times New Roman"/>
            <w:lang w:val="ru-RU"/>
          </w:rPr>
          <w:t>-</w:t>
        </w:r>
        <w:r w:rsidRPr="005551DB">
          <w:rPr>
            <w:rStyle w:val="ad"/>
            <w:rFonts w:ascii="Times New Roman" w:hAnsi="Times New Roman" w:cs="Times New Roman"/>
          </w:rPr>
          <w:t>v</w:t>
        </w:r>
        <w:r w:rsidRPr="005551DB">
          <w:rPr>
            <w:rStyle w:val="ad"/>
            <w:rFonts w:ascii="Times New Roman" w:hAnsi="Times New Roman" w:cs="Times New Roman"/>
            <w:lang w:val="ru-RU"/>
          </w:rPr>
          <w:t>-</w:t>
        </w:r>
        <w:r w:rsidRPr="005551DB">
          <w:rPr>
            <w:rStyle w:val="ad"/>
            <w:rFonts w:ascii="Times New Roman" w:hAnsi="Times New Roman" w:cs="Times New Roman"/>
          </w:rPr>
          <w:t>centre</w:t>
        </w:r>
        <w:r w:rsidRPr="005551DB">
          <w:rPr>
            <w:rStyle w:val="ad"/>
            <w:rFonts w:ascii="Times New Roman" w:hAnsi="Times New Roman" w:cs="Times New Roman"/>
            <w:lang w:val="ru-RU"/>
          </w:rPr>
          <w:t>-</w:t>
        </w:r>
        <w:r w:rsidRPr="005551DB">
          <w:rPr>
            <w:rStyle w:val="ad"/>
            <w:rFonts w:ascii="Times New Roman" w:hAnsi="Times New Roman" w:cs="Times New Roman"/>
          </w:rPr>
          <w:t>rossii</w:t>
        </w:r>
        <w:r w:rsidRPr="005551DB">
          <w:rPr>
            <w:rStyle w:val="ad"/>
            <w:rFonts w:ascii="Times New Roman" w:hAnsi="Times New Roman" w:cs="Times New Roman"/>
            <w:lang w:val="ru-RU"/>
          </w:rPr>
          <w:t>/</w:t>
        </w:r>
        <w:r w:rsidRPr="005551DB">
          <w:rPr>
            <w:rStyle w:val="ad"/>
            <w:rFonts w:ascii="Times New Roman" w:hAnsi="Times New Roman" w:cs="Times New Roman"/>
          </w:rPr>
          <w:t>voronezhskiy</w:t>
        </w:r>
        <w:r w:rsidRPr="005551DB">
          <w:rPr>
            <w:rStyle w:val="ad"/>
            <w:rFonts w:ascii="Times New Roman" w:hAnsi="Times New Roman" w:cs="Times New Roman"/>
            <w:lang w:val="ru-RU"/>
          </w:rPr>
          <w:t>-</w:t>
        </w:r>
        <w:r w:rsidRPr="005551DB">
          <w:rPr>
            <w:rStyle w:val="ad"/>
            <w:rFonts w:ascii="Times New Roman" w:hAnsi="Times New Roman" w:cs="Times New Roman"/>
          </w:rPr>
          <w:t>kray</w:t>
        </w:r>
        <w:r w:rsidRPr="005551DB">
          <w:rPr>
            <w:rStyle w:val="ad"/>
            <w:rFonts w:ascii="Times New Roman" w:hAnsi="Times New Roman" w:cs="Times New Roman"/>
            <w:lang w:val="ru-RU"/>
          </w:rPr>
          <w:t>-</w:t>
        </w:r>
        <w:r w:rsidRPr="005551DB">
          <w:rPr>
            <w:rStyle w:val="ad"/>
            <w:rFonts w:ascii="Times New Roman" w:hAnsi="Times New Roman" w:cs="Times New Roman"/>
          </w:rPr>
          <w:t>obschie</w:t>
        </w:r>
        <w:r w:rsidRPr="005551DB">
          <w:rPr>
            <w:rStyle w:val="ad"/>
            <w:rFonts w:ascii="Times New Roman" w:hAnsi="Times New Roman" w:cs="Times New Roman"/>
            <w:lang w:val="ru-RU"/>
          </w:rPr>
          <w:t>-</w:t>
        </w:r>
        <w:r w:rsidRPr="005551DB">
          <w:rPr>
            <w:rStyle w:val="ad"/>
            <w:rFonts w:ascii="Times New Roman" w:hAnsi="Times New Roman" w:cs="Times New Roman"/>
          </w:rPr>
          <w:t>svedeniya</w:t>
        </w:r>
        <w:r w:rsidRPr="005551DB">
          <w:rPr>
            <w:rStyle w:val="ad"/>
            <w:rFonts w:ascii="Times New Roman" w:hAnsi="Times New Roman" w:cs="Times New Roman"/>
            <w:lang w:val="ru-RU"/>
          </w:rPr>
          <w:t>/</w:t>
        </w:r>
        <w:r w:rsidRPr="005551DB">
          <w:rPr>
            <w:rStyle w:val="ad"/>
            <w:rFonts w:ascii="Times New Roman" w:hAnsi="Times New Roman" w:cs="Times New Roman"/>
          </w:rPr>
          <w:t>agropromyshlennyy</w:t>
        </w:r>
        <w:r w:rsidRPr="005551DB">
          <w:rPr>
            <w:rStyle w:val="ad"/>
            <w:rFonts w:ascii="Times New Roman" w:hAnsi="Times New Roman" w:cs="Times New Roman"/>
            <w:lang w:val="ru-RU"/>
          </w:rPr>
          <w:t>-</w:t>
        </w:r>
        <w:r w:rsidRPr="005551DB">
          <w:rPr>
            <w:rStyle w:val="ad"/>
            <w:rFonts w:ascii="Times New Roman" w:hAnsi="Times New Roman" w:cs="Times New Roman"/>
          </w:rPr>
          <w:t>kompleks</w:t>
        </w:r>
        <w:r w:rsidRPr="005551DB">
          <w:rPr>
            <w:rStyle w:val="ad"/>
            <w:rFonts w:ascii="Times New Roman" w:hAnsi="Times New Roman" w:cs="Times New Roman"/>
            <w:lang w:val="ru-RU"/>
          </w:rPr>
          <w:t>-</w:t>
        </w:r>
        <w:r w:rsidRPr="005551DB">
          <w:rPr>
            <w:rStyle w:val="ad"/>
            <w:rFonts w:ascii="Times New Roman" w:hAnsi="Times New Roman" w:cs="Times New Roman"/>
          </w:rPr>
          <w:t>voronezhskoy</w:t>
        </w:r>
        <w:r w:rsidRPr="005551DB">
          <w:rPr>
            <w:rStyle w:val="ad"/>
            <w:rFonts w:ascii="Times New Roman" w:hAnsi="Times New Roman" w:cs="Times New Roman"/>
            <w:lang w:val="ru-RU"/>
          </w:rPr>
          <w:t>-</w:t>
        </w:r>
        <w:r w:rsidRPr="005551DB">
          <w:rPr>
            <w:rStyle w:val="ad"/>
            <w:rFonts w:ascii="Times New Roman" w:hAnsi="Times New Roman" w:cs="Times New Roman"/>
          </w:rPr>
          <w:t>oblasti</w:t>
        </w:r>
        <w:r w:rsidRPr="005551DB">
          <w:rPr>
            <w:rStyle w:val="ad"/>
            <w:rFonts w:ascii="Times New Roman" w:hAnsi="Times New Roman" w:cs="Times New Roman"/>
            <w:lang w:val="ru-RU"/>
          </w:rPr>
          <w:t>/</w:t>
        </w:r>
      </w:hyperlink>
    </w:p>
  </w:footnote>
  <w:footnote w:id="101">
    <w:p w14:paraId="7B510CC3" w14:textId="77777777" w:rsidR="0090366A" w:rsidRPr="00314CE0" w:rsidRDefault="0090366A" w:rsidP="00DB474C">
      <w:pPr>
        <w:pStyle w:val="af3"/>
        <w:rPr>
          <w:lang w:val="ru-RU"/>
        </w:rPr>
      </w:pPr>
      <w:r>
        <w:rPr>
          <w:rStyle w:val="af2"/>
        </w:rPr>
        <w:footnoteRef/>
      </w:r>
      <w:r w:rsidRPr="00314CE0">
        <w:rPr>
          <w:lang w:val="ru-RU"/>
        </w:rPr>
        <w:t xml:space="preserve"> </w:t>
      </w:r>
      <w:hyperlink r:id="rId77" w:history="1">
        <w:r w:rsidRPr="005551DB">
          <w:rPr>
            <w:rStyle w:val="ad"/>
            <w:rFonts w:ascii="Times New Roman" w:hAnsi="Times New Roman" w:cs="Times New Roman"/>
          </w:rPr>
          <w:t>https</w:t>
        </w:r>
        <w:r w:rsidRPr="005551DB">
          <w:rPr>
            <w:rStyle w:val="ad"/>
            <w:rFonts w:ascii="Times New Roman" w:hAnsi="Times New Roman" w:cs="Times New Roman"/>
            <w:lang w:val="ru-RU"/>
          </w:rPr>
          <w:t>://</w:t>
        </w:r>
        <w:r w:rsidRPr="005551DB">
          <w:rPr>
            <w:rStyle w:val="ad"/>
            <w:rFonts w:ascii="Times New Roman" w:hAnsi="Times New Roman" w:cs="Times New Roman"/>
          </w:rPr>
          <w:t>bravo</w:t>
        </w:r>
        <w:r w:rsidRPr="005551DB">
          <w:rPr>
            <w:rStyle w:val="ad"/>
            <w:rFonts w:ascii="Times New Roman" w:hAnsi="Times New Roman" w:cs="Times New Roman"/>
            <w:lang w:val="ru-RU"/>
          </w:rPr>
          <w:t>-</w:t>
        </w:r>
        <w:r w:rsidRPr="005551DB">
          <w:rPr>
            <w:rStyle w:val="ad"/>
            <w:rFonts w:ascii="Times New Roman" w:hAnsi="Times New Roman" w:cs="Times New Roman"/>
          </w:rPr>
          <w:t>voronezh</w:t>
        </w:r>
        <w:r w:rsidRPr="005551DB">
          <w:rPr>
            <w:rStyle w:val="ad"/>
            <w:rFonts w:ascii="Times New Roman" w:hAnsi="Times New Roman" w:cs="Times New Roman"/>
            <w:lang w:val="ru-RU"/>
          </w:rPr>
          <w:t>.</w:t>
        </w:r>
        <w:r w:rsidRPr="005551DB">
          <w:rPr>
            <w:rStyle w:val="ad"/>
            <w:rFonts w:ascii="Times New Roman" w:hAnsi="Times New Roman" w:cs="Times New Roman"/>
          </w:rPr>
          <w:t>ru</w:t>
        </w:r>
        <w:r w:rsidRPr="005551DB">
          <w:rPr>
            <w:rStyle w:val="ad"/>
            <w:rFonts w:ascii="Times New Roman" w:hAnsi="Times New Roman" w:cs="Times New Roman"/>
            <w:lang w:val="ru-RU"/>
          </w:rPr>
          <w:t>/</w:t>
        </w:r>
        <w:r w:rsidRPr="005551DB">
          <w:rPr>
            <w:rStyle w:val="ad"/>
            <w:rFonts w:ascii="Times New Roman" w:hAnsi="Times New Roman" w:cs="Times New Roman"/>
          </w:rPr>
          <w:t>sovremennost</w:t>
        </w:r>
        <w:r w:rsidRPr="005551DB">
          <w:rPr>
            <w:rStyle w:val="ad"/>
            <w:rFonts w:ascii="Times New Roman" w:hAnsi="Times New Roman" w:cs="Times New Roman"/>
            <w:lang w:val="ru-RU"/>
          </w:rPr>
          <w:t>/</w:t>
        </w:r>
        <w:r w:rsidRPr="005551DB">
          <w:rPr>
            <w:rStyle w:val="ad"/>
            <w:rFonts w:ascii="Times New Roman" w:hAnsi="Times New Roman" w:cs="Times New Roman"/>
          </w:rPr>
          <w:t>voronezhskiy</w:t>
        </w:r>
        <w:r w:rsidRPr="005551DB">
          <w:rPr>
            <w:rStyle w:val="ad"/>
            <w:rFonts w:ascii="Times New Roman" w:hAnsi="Times New Roman" w:cs="Times New Roman"/>
            <w:lang w:val="ru-RU"/>
          </w:rPr>
          <w:t>-</w:t>
        </w:r>
        <w:r w:rsidRPr="005551DB">
          <w:rPr>
            <w:rStyle w:val="ad"/>
            <w:rFonts w:ascii="Times New Roman" w:hAnsi="Times New Roman" w:cs="Times New Roman"/>
          </w:rPr>
          <w:t>kray</w:t>
        </w:r>
        <w:r w:rsidRPr="005551DB">
          <w:rPr>
            <w:rStyle w:val="ad"/>
            <w:rFonts w:ascii="Times New Roman" w:hAnsi="Times New Roman" w:cs="Times New Roman"/>
            <w:lang w:val="ru-RU"/>
          </w:rPr>
          <w:t>-</w:t>
        </w:r>
        <w:r w:rsidRPr="005551DB">
          <w:rPr>
            <w:rStyle w:val="ad"/>
            <w:rFonts w:ascii="Times New Roman" w:hAnsi="Times New Roman" w:cs="Times New Roman"/>
          </w:rPr>
          <w:t>v</w:t>
        </w:r>
        <w:r w:rsidRPr="005551DB">
          <w:rPr>
            <w:rStyle w:val="ad"/>
            <w:rFonts w:ascii="Times New Roman" w:hAnsi="Times New Roman" w:cs="Times New Roman"/>
            <w:lang w:val="ru-RU"/>
          </w:rPr>
          <w:t>-</w:t>
        </w:r>
        <w:r w:rsidRPr="005551DB">
          <w:rPr>
            <w:rStyle w:val="ad"/>
            <w:rFonts w:ascii="Times New Roman" w:hAnsi="Times New Roman" w:cs="Times New Roman"/>
          </w:rPr>
          <w:t>centre</w:t>
        </w:r>
        <w:r w:rsidRPr="005551DB">
          <w:rPr>
            <w:rStyle w:val="ad"/>
            <w:rFonts w:ascii="Times New Roman" w:hAnsi="Times New Roman" w:cs="Times New Roman"/>
            <w:lang w:val="ru-RU"/>
          </w:rPr>
          <w:t>-</w:t>
        </w:r>
        <w:r w:rsidRPr="005551DB">
          <w:rPr>
            <w:rStyle w:val="ad"/>
            <w:rFonts w:ascii="Times New Roman" w:hAnsi="Times New Roman" w:cs="Times New Roman"/>
          </w:rPr>
          <w:t>rossii</w:t>
        </w:r>
        <w:r w:rsidRPr="005551DB">
          <w:rPr>
            <w:rStyle w:val="ad"/>
            <w:rFonts w:ascii="Times New Roman" w:hAnsi="Times New Roman" w:cs="Times New Roman"/>
            <w:lang w:val="ru-RU"/>
          </w:rPr>
          <w:t>/</w:t>
        </w:r>
        <w:r w:rsidRPr="005551DB">
          <w:rPr>
            <w:rStyle w:val="ad"/>
            <w:rFonts w:ascii="Times New Roman" w:hAnsi="Times New Roman" w:cs="Times New Roman"/>
          </w:rPr>
          <w:t>voronezhskiy</w:t>
        </w:r>
        <w:r w:rsidRPr="005551DB">
          <w:rPr>
            <w:rStyle w:val="ad"/>
            <w:rFonts w:ascii="Times New Roman" w:hAnsi="Times New Roman" w:cs="Times New Roman"/>
            <w:lang w:val="ru-RU"/>
          </w:rPr>
          <w:t>-</w:t>
        </w:r>
        <w:r w:rsidRPr="005551DB">
          <w:rPr>
            <w:rStyle w:val="ad"/>
            <w:rFonts w:ascii="Times New Roman" w:hAnsi="Times New Roman" w:cs="Times New Roman"/>
          </w:rPr>
          <w:t>kray</w:t>
        </w:r>
        <w:r w:rsidRPr="005551DB">
          <w:rPr>
            <w:rStyle w:val="ad"/>
            <w:rFonts w:ascii="Times New Roman" w:hAnsi="Times New Roman" w:cs="Times New Roman"/>
            <w:lang w:val="ru-RU"/>
          </w:rPr>
          <w:t>-</w:t>
        </w:r>
        <w:r w:rsidRPr="005551DB">
          <w:rPr>
            <w:rStyle w:val="ad"/>
            <w:rFonts w:ascii="Times New Roman" w:hAnsi="Times New Roman" w:cs="Times New Roman"/>
          </w:rPr>
          <w:t>obschie</w:t>
        </w:r>
        <w:r w:rsidRPr="005551DB">
          <w:rPr>
            <w:rStyle w:val="ad"/>
            <w:rFonts w:ascii="Times New Roman" w:hAnsi="Times New Roman" w:cs="Times New Roman"/>
            <w:lang w:val="ru-RU"/>
          </w:rPr>
          <w:t>-</w:t>
        </w:r>
        <w:r w:rsidRPr="005551DB">
          <w:rPr>
            <w:rStyle w:val="ad"/>
            <w:rFonts w:ascii="Times New Roman" w:hAnsi="Times New Roman" w:cs="Times New Roman"/>
          </w:rPr>
          <w:t>svedeniya</w:t>
        </w:r>
        <w:r w:rsidRPr="005551DB">
          <w:rPr>
            <w:rStyle w:val="ad"/>
            <w:rFonts w:ascii="Times New Roman" w:hAnsi="Times New Roman" w:cs="Times New Roman"/>
            <w:lang w:val="ru-RU"/>
          </w:rPr>
          <w:t>/</w:t>
        </w:r>
        <w:r w:rsidRPr="005551DB">
          <w:rPr>
            <w:rStyle w:val="ad"/>
            <w:rFonts w:ascii="Times New Roman" w:hAnsi="Times New Roman" w:cs="Times New Roman"/>
          </w:rPr>
          <w:t>agropromyshlennyy</w:t>
        </w:r>
        <w:r w:rsidRPr="005551DB">
          <w:rPr>
            <w:rStyle w:val="ad"/>
            <w:rFonts w:ascii="Times New Roman" w:hAnsi="Times New Roman" w:cs="Times New Roman"/>
            <w:lang w:val="ru-RU"/>
          </w:rPr>
          <w:t>-</w:t>
        </w:r>
        <w:r w:rsidRPr="005551DB">
          <w:rPr>
            <w:rStyle w:val="ad"/>
            <w:rFonts w:ascii="Times New Roman" w:hAnsi="Times New Roman" w:cs="Times New Roman"/>
          </w:rPr>
          <w:t>kompleks</w:t>
        </w:r>
        <w:r w:rsidRPr="005551DB">
          <w:rPr>
            <w:rStyle w:val="ad"/>
            <w:rFonts w:ascii="Times New Roman" w:hAnsi="Times New Roman" w:cs="Times New Roman"/>
            <w:lang w:val="ru-RU"/>
          </w:rPr>
          <w:t>-</w:t>
        </w:r>
        <w:r w:rsidRPr="005551DB">
          <w:rPr>
            <w:rStyle w:val="ad"/>
            <w:rFonts w:ascii="Times New Roman" w:hAnsi="Times New Roman" w:cs="Times New Roman"/>
          </w:rPr>
          <w:t>voronezhskoy</w:t>
        </w:r>
        <w:r w:rsidRPr="005551DB">
          <w:rPr>
            <w:rStyle w:val="ad"/>
            <w:rFonts w:ascii="Times New Roman" w:hAnsi="Times New Roman" w:cs="Times New Roman"/>
            <w:lang w:val="ru-RU"/>
          </w:rPr>
          <w:t>-</w:t>
        </w:r>
        <w:r w:rsidRPr="005551DB">
          <w:rPr>
            <w:rStyle w:val="ad"/>
            <w:rFonts w:ascii="Times New Roman" w:hAnsi="Times New Roman" w:cs="Times New Roman"/>
          </w:rPr>
          <w:t>oblasti</w:t>
        </w:r>
        <w:r w:rsidRPr="005551DB">
          <w:rPr>
            <w:rStyle w:val="ad"/>
            <w:rFonts w:ascii="Times New Roman" w:hAnsi="Times New Roman" w:cs="Times New Roman"/>
            <w:lang w:val="ru-RU"/>
          </w:rPr>
          <w:t>/</w:t>
        </w:r>
      </w:hyperlink>
    </w:p>
  </w:footnote>
  <w:footnote w:id="102">
    <w:p w14:paraId="1A1D00B5" w14:textId="7AE8FE92" w:rsidR="0090366A" w:rsidRPr="00AF047F" w:rsidRDefault="0090366A">
      <w:pPr>
        <w:pStyle w:val="af3"/>
        <w:rPr>
          <w:lang w:val="ru-RU"/>
        </w:rPr>
      </w:pPr>
      <w:r>
        <w:rPr>
          <w:rStyle w:val="af2"/>
        </w:rPr>
        <w:footnoteRef/>
      </w:r>
      <w:r w:rsidRPr="00AF047F">
        <w:rPr>
          <w:lang w:val="ru-RU"/>
        </w:rPr>
        <w:t xml:space="preserve"> </w:t>
      </w:r>
      <w:hyperlink r:id="rId78" w:history="1">
        <w:r w:rsidRPr="00AF047F">
          <w:rPr>
            <w:rStyle w:val="ad"/>
            <w:rFonts w:ascii="Times New Roman" w:eastAsia="Calibri" w:hAnsi="Times New Roman" w:cs="Times New Roman"/>
            <w:szCs w:val="20"/>
          </w:rPr>
          <w:t>https</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statrielt</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ru</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statistika</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rynka</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statistika</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na</w:t>
        </w:r>
        <w:r w:rsidRPr="00AF047F">
          <w:rPr>
            <w:rStyle w:val="ad"/>
            <w:rFonts w:ascii="Times New Roman" w:eastAsia="Calibri" w:hAnsi="Times New Roman" w:cs="Times New Roman"/>
            <w:szCs w:val="20"/>
            <w:lang w:val="ru-RU"/>
          </w:rPr>
          <w:t>-01-01-2022</w:t>
        </w:r>
        <w:r w:rsidRPr="00AF047F">
          <w:rPr>
            <w:rStyle w:val="ad"/>
            <w:rFonts w:ascii="Times New Roman" w:eastAsia="Calibri" w:hAnsi="Times New Roman" w:cs="Times New Roman"/>
            <w:szCs w:val="20"/>
          </w:rPr>
          <w:t>g</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korrektirovki</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stoimosti</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zemli</w:t>
        </w:r>
        <w:r w:rsidRPr="00AF047F">
          <w:rPr>
            <w:rStyle w:val="ad"/>
            <w:rFonts w:ascii="Times New Roman" w:eastAsia="Calibri" w:hAnsi="Times New Roman" w:cs="Times New Roman"/>
            <w:szCs w:val="20"/>
            <w:lang w:val="ru-RU"/>
          </w:rPr>
          <w:t>/2691-</w:t>
        </w:r>
        <w:r w:rsidRPr="00AF047F">
          <w:rPr>
            <w:rStyle w:val="ad"/>
            <w:rFonts w:ascii="Times New Roman" w:eastAsia="Calibri" w:hAnsi="Times New Roman" w:cs="Times New Roman"/>
            <w:szCs w:val="20"/>
          </w:rPr>
          <w:t>skidka</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na</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torg</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utorgovanie</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pri</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prodazhe</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zemelnykh</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uchastkov</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na</w:t>
        </w:r>
        <w:r w:rsidRPr="00AF047F">
          <w:rPr>
            <w:rStyle w:val="ad"/>
            <w:rFonts w:ascii="Times New Roman" w:eastAsia="Calibri" w:hAnsi="Times New Roman" w:cs="Times New Roman"/>
            <w:szCs w:val="20"/>
            <w:lang w:val="ru-RU"/>
          </w:rPr>
          <w:t>-01-01-2022-</w:t>
        </w:r>
        <w:r w:rsidRPr="00AF047F">
          <w:rPr>
            <w:rStyle w:val="ad"/>
            <w:rFonts w:ascii="Times New Roman" w:eastAsia="Calibri" w:hAnsi="Times New Roman" w:cs="Times New Roman"/>
            <w:szCs w:val="20"/>
          </w:rPr>
          <w:t>goda</w:t>
        </w:r>
      </w:hyperlink>
    </w:p>
  </w:footnote>
  <w:footnote w:id="103">
    <w:p w14:paraId="1AE71320" w14:textId="660E2931" w:rsidR="0090366A" w:rsidRPr="00AF047F" w:rsidRDefault="0090366A">
      <w:pPr>
        <w:pStyle w:val="af3"/>
        <w:rPr>
          <w:lang w:val="ru-RU"/>
        </w:rPr>
      </w:pPr>
      <w:r>
        <w:rPr>
          <w:rStyle w:val="af2"/>
        </w:rPr>
        <w:footnoteRef/>
      </w:r>
      <w:r w:rsidRPr="00AF047F">
        <w:rPr>
          <w:lang w:val="ru-RU"/>
        </w:rPr>
        <w:t xml:space="preserve"> </w:t>
      </w:r>
      <w:hyperlink r:id="rId79" w:history="1">
        <w:r w:rsidRPr="00AF047F">
          <w:rPr>
            <w:rStyle w:val="ad"/>
            <w:rFonts w:ascii="Times New Roman" w:eastAsia="Calibri" w:hAnsi="Times New Roman" w:cs="Times New Roman"/>
            <w:szCs w:val="20"/>
          </w:rPr>
          <w:t>https</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statrielt</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ru</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indeksy</w:t>
        </w:r>
        <w:r w:rsidRPr="00AF047F">
          <w:rPr>
            <w:rStyle w:val="ad"/>
            <w:rFonts w:ascii="Times New Roman" w:eastAsia="Calibri" w:hAnsi="Times New Roman" w:cs="Times New Roman"/>
            <w:szCs w:val="20"/>
            <w:lang w:val="ru-RU"/>
          </w:rPr>
          <w:t>/2406-</w:t>
        </w:r>
        <w:r w:rsidRPr="00AF047F">
          <w:rPr>
            <w:rStyle w:val="ad"/>
            <w:rFonts w:ascii="Times New Roman" w:eastAsia="Calibri" w:hAnsi="Times New Roman" w:cs="Times New Roman"/>
            <w:szCs w:val="20"/>
          </w:rPr>
          <w:t>indeksy</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izmeneniya</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rynochnykh</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tsen</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v</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rublyakh</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zemelnykh</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uchastkov</w:t>
        </w:r>
      </w:hyperlink>
    </w:p>
  </w:footnote>
  <w:footnote w:id="104">
    <w:p w14:paraId="09DEAB16" w14:textId="0B318FF4" w:rsidR="0090366A" w:rsidRPr="00AF047F" w:rsidRDefault="0090366A">
      <w:pPr>
        <w:pStyle w:val="af3"/>
        <w:rPr>
          <w:lang w:val="ru-RU"/>
        </w:rPr>
      </w:pPr>
      <w:r>
        <w:rPr>
          <w:rStyle w:val="af2"/>
        </w:rPr>
        <w:footnoteRef/>
      </w:r>
      <w:r w:rsidRPr="00AF047F">
        <w:rPr>
          <w:lang w:val="ru-RU"/>
        </w:rPr>
        <w:t xml:space="preserve"> </w:t>
      </w:r>
      <w:hyperlink r:id="rId80" w:history="1">
        <w:r w:rsidRPr="00AF047F">
          <w:rPr>
            <w:rStyle w:val="ad"/>
            <w:rFonts w:ascii="Times New Roman" w:eastAsia="Calibri" w:hAnsi="Times New Roman" w:cs="Times New Roman"/>
            <w:szCs w:val="20"/>
          </w:rPr>
          <w:t>https</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statrielt</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ru</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statistika</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rynka</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statistika</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na</w:t>
        </w:r>
        <w:r w:rsidRPr="00AF047F">
          <w:rPr>
            <w:rStyle w:val="ad"/>
            <w:rFonts w:ascii="Times New Roman" w:eastAsia="Calibri" w:hAnsi="Times New Roman" w:cs="Times New Roman"/>
            <w:szCs w:val="20"/>
            <w:lang w:val="ru-RU"/>
          </w:rPr>
          <w:t>-01-01-2022</w:t>
        </w:r>
        <w:r w:rsidRPr="00AF047F">
          <w:rPr>
            <w:rStyle w:val="ad"/>
            <w:rFonts w:ascii="Times New Roman" w:eastAsia="Calibri" w:hAnsi="Times New Roman" w:cs="Times New Roman"/>
            <w:szCs w:val="20"/>
          </w:rPr>
          <w:t>g</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korrektirovki</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stoimosti</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zemli</w:t>
        </w:r>
        <w:r w:rsidRPr="00AF047F">
          <w:rPr>
            <w:rStyle w:val="ad"/>
            <w:rFonts w:ascii="Times New Roman" w:eastAsia="Calibri" w:hAnsi="Times New Roman" w:cs="Times New Roman"/>
            <w:szCs w:val="20"/>
            <w:lang w:val="ru-RU"/>
          </w:rPr>
          <w:t>/2683-</w:t>
        </w:r>
        <w:r w:rsidRPr="00AF047F">
          <w:rPr>
            <w:rStyle w:val="ad"/>
            <w:rFonts w:ascii="Times New Roman" w:eastAsia="Calibri" w:hAnsi="Times New Roman" w:cs="Times New Roman"/>
            <w:szCs w:val="20"/>
          </w:rPr>
          <w:t>pravo</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arendy</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pravo</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sobstvennosti</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zemelnykh</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uchastkov</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korrektirovki</w:t>
        </w:r>
        <w:r w:rsidRPr="00AF047F">
          <w:rPr>
            <w:rStyle w:val="ad"/>
            <w:rFonts w:ascii="Times New Roman" w:eastAsia="Calibri" w:hAnsi="Times New Roman" w:cs="Times New Roman"/>
            <w:szCs w:val="20"/>
            <w:lang w:val="ru-RU"/>
          </w:rPr>
          <w:t>-</w:t>
        </w:r>
        <w:r w:rsidRPr="00AF047F">
          <w:rPr>
            <w:rStyle w:val="ad"/>
            <w:rFonts w:ascii="Times New Roman" w:eastAsia="Calibri" w:hAnsi="Times New Roman" w:cs="Times New Roman"/>
            <w:szCs w:val="20"/>
          </w:rPr>
          <w:t>na</w:t>
        </w:r>
        <w:r w:rsidRPr="00AF047F">
          <w:rPr>
            <w:rStyle w:val="ad"/>
            <w:rFonts w:ascii="Times New Roman" w:eastAsia="Calibri" w:hAnsi="Times New Roman" w:cs="Times New Roman"/>
            <w:szCs w:val="20"/>
            <w:lang w:val="ru-RU"/>
          </w:rPr>
          <w:t>-01-01-2022-</w:t>
        </w:r>
        <w:r w:rsidRPr="00AF047F">
          <w:rPr>
            <w:rStyle w:val="ad"/>
            <w:rFonts w:ascii="Times New Roman" w:eastAsia="Calibri" w:hAnsi="Times New Roman" w:cs="Times New Roman"/>
            <w:szCs w:val="20"/>
          </w:rPr>
          <w:t>goda</w:t>
        </w:r>
      </w:hyperlink>
    </w:p>
  </w:footnote>
  <w:footnote w:id="105">
    <w:p w14:paraId="1F237E0A" w14:textId="088ECBCE" w:rsidR="0090366A" w:rsidRPr="000B0C76" w:rsidRDefault="0090366A">
      <w:pPr>
        <w:pStyle w:val="af3"/>
        <w:rPr>
          <w:lang w:val="ru-RU"/>
        </w:rPr>
      </w:pPr>
      <w:r>
        <w:rPr>
          <w:rStyle w:val="af2"/>
        </w:rPr>
        <w:footnoteRef/>
      </w:r>
      <w:r w:rsidRPr="000B0C76">
        <w:rPr>
          <w:lang w:val="ru-RU"/>
        </w:rPr>
        <w:t xml:space="preserve"> </w:t>
      </w:r>
      <w:hyperlink r:id="rId81" w:history="1">
        <w:r w:rsidRPr="000B0C76">
          <w:rPr>
            <w:rStyle w:val="ad"/>
            <w:rFonts w:ascii="Times New Roman" w:eastAsia="Calibri" w:hAnsi="Times New Roman" w:cs="Times New Roman"/>
            <w:szCs w:val="26"/>
          </w:rPr>
          <w:t>https</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statrielt</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ru</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statistika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rynka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statistika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na</w:t>
        </w:r>
        <w:r w:rsidRPr="000B0C76">
          <w:rPr>
            <w:rStyle w:val="ad"/>
            <w:rFonts w:ascii="Times New Roman" w:eastAsia="Calibri" w:hAnsi="Times New Roman" w:cs="Times New Roman"/>
            <w:szCs w:val="26"/>
            <w:lang w:val="ru-RU"/>
          </w:rPr>
          <w:t>-01-01-2022</w:t>
        </w:r>
        <w:r w:rsidRPr="000B0C76">
          <w:rPr>
            <w:rStyle w:val="ad"/>
            <w:rFonts w:ascii="Times New Roman" w:eastAsia="Calibri" w:hAnsi="Times New Roman" w:cs="Times New Roman"/>
            <w:szCs w:val="26"/>
          </w:rPr>
          <w:t>g</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korrektirovki</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stoimosti</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zemli</w:t>
        </w:r>
        <w:r w:rsidRPr="000B0C76">
          <w:rPr>
            <w:rStyle w:val="ad"/>
            <w:rFonts w:ascii="Times New Roman" w:eastAsia="Calibri" w:hAnsi="Times New Roman" w:cs="Times New Roman"/>
            <w:szCs w:val="26"/>
            <w:lang w:val="ru-RU"/>
          </w:rPr>
          <w:t>/2691-</w:t>
        </w:r>
        <w:r w:rsidRPr="000B0C76">
          <w:rPr>
            <w:rStyle w:val="ad"/>
            <w:rFonts w:ascii="Times New Roman" w:eastAsia="Calibri" w:hAnsi="Times New Roman" w:cs="Times New Roman"/>
            <w:szCs w:val="26"/>
          </w:rPr>
          <w:t>skidka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na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torg</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utorgovanie</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pri</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prodazhe</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zemelnykh</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uchastkov</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na</w:t>
        </w:r>
        <w:r w:rsidRPr="000B0C76">
          <w:rPr>
            <w:rStyle w:val="ad"/>
            <w:rFonts w:ascii="Times New Roman" w:eastAsia="Calibri" w:hAnsi="Times New Roman" w:cs="Times New Roman"/>
            <w:szCs w:val="26"/>
            <w:lang w:val="ru-RU"/>
          </w:rPr>
          <w:t>-01-01-2022-</w:t>
        </w:r>
        <w:r w:rsidRPr="000B0C76">
          <w:rPr>
            <w:rStyle w:val="ad"/>
            <w:rFonts w:ascii="Times New Roman" w:eastAsia="Calibri" w:hAnsi="Times New Roman" w:cs="Times New Roman"/>
            <w:szCs w:val="26"/>
          </w:rPr>
          <w:t>goda</w:t>
        </w:r>
      </w:hyperlink>
    </w:p>
  </w:footnote>
  <w:footnote w:id="106">
    <w:p w14:paraId="2F29F53D" w14:textId="6ECADA32" w:rsidR="0090366A" w:rsidRPr="000B0C76" w:rsidRDefault="0090366A">
      <w:pPr>
        <w:pStyle w:val="af3"/>
        <w:rPr>
          <w:lang w:val="ru-RU"/>
        </w:rPr>
      </w:pPr>
      <w:r>
        <w:rPr>
          <w:rStyle w:val="af2"/>
        </w:rPr>
        <w:footnoteRef/>
      </w:r>
      <w:r w:rsidRPr="000B0C76">
        <w:rPr>
          <w:lang w:val="ru-RU"/>
        </w:rPr>
        <w:t xml:space="preserve"> </w:t>
      </w:r>
      <w:hyperlink r:id="rId82" w:history="1">
        <w:r w:rsidRPr="00BE7AFF">
          <w:rPr>
            <w:rStyle w:val="ad"/>
            <w:rFonts w:eastAsia="Calibri" w:cs="Times New Roman"/>
            <w:szCs w:val="26"/>
          </w:rPr>
          <w:t>https</w:t>
        </w:r>
        <w:r w:rsidRPr="000B0C76">
          <w:rPr>
            <w:rStyle w:val="ad"/>
            <w:rFonts w:eastAsia="Calibri" w:cs="Times New Roman"/>
            <w:szCs w:val="26"/>
            <w:lang w:val="ru-RU"/>
          </w:rPr>
          <w:t>://</w:t>
        </w:r>
        <w:r w:rsidRPr="00BE7AFF">
          <w:rPr>
            <w:rStyle w:val="ad"/>
            <w:rFonts w:eastAsia="Calibri" w:cs="Times New Roman"/>
            <w:szCs w:val="26"/>
          </w:rPr>
          <w:t>statrielt</w:t>
        </w:r>
        <w:r w:rsidRPr="000B0C76">
          <w:rPr>
            <w:rStyle w:val="ad"/>
            <w:rFonts w:eastAsia="Calibri" w:cs="Times New Roman"/>
            <w:szCs w:val="26"/>
            <w:lang w:val="ru-RU"/>
          </w:rPr>
          <w:t>.</w:t>
        </w:r>
        <w:r w:rsidRPr="00BE7AFF">
          <w:rPr>
            <w:rStyle w:val="ad"/>
            <w:rFonts w:eastAsia="Calibri" w:cs="Times New Roman"/>
            <w:szCs w:val="26"/>
          </w:rPr>
          <w:t>ru</w:t>
        </w:r>
        <w:r w:rsidRPr="000B0C76">
          <w:rPr>
            <w:rStyle w:val="ad"/>
            <w:rFonts w:eastAsia="Calibri" w:cs="Times New Roman"/>
            <w:szCs w:val="26"/>
            <w:lang w:val="ru-RU"/>
          </w:rPr>
          <w:t>/</w:t>
        </w:r>
        <w:r w:rsidRPr="00BE7AFF">
          <w:rPr>
            <w:rStyle w:val="ad"/>
            <w:rFonts w:eastAsia="Calibri" w:cs="Times New Roman"/>
            <w:szCs w:val="26"/>
          </w:rPr>
          <w:t>indeksy</w:t>
        </w:r>
        <w:r w:rsidRPr="000B0C76">
          <w:rPr>
            <w:rStyle w:val="ad"/>
            <w:rFonts w:eastAsia="Calibri" w:cs="Times New Roman"/>
            <w:szCs w:val="26"/>
            <w:lang w:val="ru-RU"/>
          </w:rPr>
          <w:t>/2406-</w:t>
        </w:r>
        <w:r w:rsidRPr="00BE7AFF">
          <w:rPr>
            <w:rStyle w:val="ad"/>
            <w:rFonts w:eastAsia="Calibri" w:cs="Times New Roman"/>
            <w:szCs w:val="26"/>
          </w:rPr>
          <w:t>indeksy</w:t>
        </w:r>
        <w:r w:rsidRPr="000B0C76">
          <w:rPr>
            <w:rStyle w:val="ad"/>
            <w:rFonts w:eastAsia="Calibri" w:cs="Times New Roman"/>
            <w:szCs w:val="26"/>
            <w:lang w:val="ru-RU"/>
          </w:rPr>
          <w:t>-</w:t>
        </w:r>
        <w:r w:rsidRPr="00BE7AFF">
          <w:rPr>
            <w:rStyle w:val="ad"/>
            <w:rFonts w:eastAsia="Calibri" w:cs="Times New Roman"/>
            <w:szCs w:val="26"/>
          </w:rPr>
          <w:t>izmeneniya</w:t>
        </w:r>
        <w:r w:rsidRPr="000B0C76">
          <w:rPr>
            <w:rStyle w:val="ad"/>
            <w:rFonts w:eastAsia="Calibri" w:cs="Times New Roman"/>
            <w:szCs w:val="26"/>
            <w:lang w:val="ru-RU"/>
          </w:rPr>
          <w:t>-</w:t>
        </w:r>
        <w:r w:rsidRPr="00BE7AFF">
          <w:rPr>
            <w:rStyle w:val="ad"/>
            <w:rFonts w:eastAsia="Calibri" w:cs="Times New Roman"/>
            <w:szCs w:val="26"/>
          </w:rPr>
          <w:t>rynochnykh</w:t>
        </w:r>
        <w:r w:rsidRPr="000B0C76">
          <w:rPr>
            <w:rStyle w:val="ad"/>
            <w:rFonts w:eastAsia="Calibri" w:cs="Times New Roman"/>
            <w:szCs w:val="26"/>
            <w:lang w:val="ru-RU"/>
          </w:rPr>
          <w:t>-</w:t>
        </w:r>
        <w:r w:rsidRPr="00BE7AFF">
          <w:rPr>
            <w:rStyle w:val="ad"/>
            <w:rFonts w:eastAsia="Calibri" w:cs="Times New Roman"/>
            <w:szCs w:val="26"/>
          </w:rPr>
          <w:t>tsen</w:t>
        </w:r>
        <w:r w:rsidRPr="000B0C76">
          <w:rPr>
            <w:rStyle w:val="ad"/>
            <w:rFonts w:eastAsia="Calibri" w:cs="Times New Roman"/>
            <w:szCs w:val="26"/>
            <w:lang w:val="ru-RU"/>
          </w:rPr>
          <w:t>-</w:t>
        </w:r>
        <w:r w:rsidRPr="00BE7AFF">
          <w:rPr>
            <w:rStyle w:val="ad"/>
            <w:rFonts w:eastAsia="Calibri" w:cs="Times New Roman"/>
            <w:szCs w:val="26"/>
          </w:rPr>
          <w:t>v</w:t>
        </w:r>
        <w:r w:rsidRPr="000B0C76">
          <w:rPr>
            <w:rStyle w:val="ad"/>
            <w:rFonts w:eastAsia="Calibri" w:cs="Times New Roman"/>
            <w:szCs w:val="26"/>
            <w:lang w:val="ru-RU"/>
          </w:rPr>
          <w:t>-</w:t>
        </w:r>
        <w:r w:rsidRPr="00BE7AFF">
          <w:rPr>
            <w:rStyle w:val="ad"/>
            <w:rFonts w:eastAsia="Calibri" w:cs="Times New Roman"/>
            <w:szCs w:val="26"/>
          </w:rPr>
          <w:t>rublyakh</w:t>
        </w:r>
        <w:r w:rsidRPr="000B0C76">
          <w:rPr>
            <w:rStyle w:val="ad"/>
            <w:rFonts w:eastAsia="Calibri" w:cs="Times New Roman"/>
            <w:szCs w:val="26"/>
            <w:lang w:val="ru-RU"/>
          </w:rPr>
          <w:t>-</w:t>
        </w:r>
        <w:r w:rsidRPr="00BE7AFF">
          <w:rPr>
            <w:rStyle w:val="ad"/>
            <w:rFonts w:eastAsia="Calibri" w:cs="Times New Roman"/>
            <w:szCs w:val="26"/>
          </w:rPr>
          <w:t>zemelnykh</w:t>
        </w:r>
        <w:r w:rsidRPr="000B0C76">
          <w:rPr>
            <w:rStyle w:val="ad"/>
            <w:rFonts w:eastAsia="Calibri" w:cs="Times New Roman"/>
            <w:szCs w:val="26"/>
            <w:lang w:val="ru-RU"/>
          </w:rPr>
          <w:t>-</w:t>
        </w:r>
        <w:r w:rsidRPr="00BE7AFF">
          <w:rPr>
            <w:rStyle w:val="ad"/>
            <w:rFonts w:eastAsia="Calibri" w:cs="Times New Roman"/>
            <w:szCs w:val="26"/>
          </w:rPr>
          <w:t>uchastkov</w:t>
        </w:r>
      </w:hyperlink>
    </w:p>
  </w:footnote>
  <w:footnote w:id="107">
    <w:p w14:paraId="2FB8D886" w14:textId="61A66160" w:rsidR="0090366A" w:rsidRPr="000B0C76" w:rsidRDefault="0090366A">
      <w:pPr>
        <w:pStyle w:val="af3"/>
        <w:rPr>
          <w:lang w:val="ru-RU"/>
        </w:rPr>
      </w:pPr>
      <w:r>
        <w:rPr>
          <w:rStyle w:val="af2"/>
        </w:rPr>
        <w:footnoteRef/>
      </w:r>
      <w:r w:rsidRPr="000B0C76">
        <w:rPr>
          <w:lang w:val="ru-RU"/>
        </w:rPr>
        <w:t xml:space="preserve"> </w:t>
      </w:r>
      <w:hyperlink r:id="rId83" w:history="1">
        <w:r w:rsidRPr="00BE7AFF">
          <w:rPr>
            <w:rStyle w:val="ad"/>
            <w:rFonts w:eastAsia="Calibri" w:cs="Times New Roman"/>
            <w:szCs w:val="26"/>
          </w:rPr>
          <w:t>https</w:t>
        </w:r>
        <w:r w:rsidRPr="000B0C76">
          <w:rPr>
            <w:rStyle w:val="ad"/>
            <w:rFonts w:eastAsia="Calibri" w:cs="Times New Roman"/>
            <w:szCs w:val="26"/>
            <w:lang w:val="ru-RU"/>
          </w:rPr>
          <w:t>://</w:t>
        </w:r>
        <w:r w:rsidRPr="00BE7AFF">
          <w:rPr>
            <w:rStyle w:val="ad"/>
            <w:rFonts w:eastAsia="Calibri" w:cs="Times New Roman"/>
            <w:szCs w:val="26"/>
          </w:rPr>
          <w:t>statrielt</w:t>
        </w:r>
        <w:r w:rsidRPr="000B0C76">
          <w:rPr>
            <w:rStyle w:val="ad"/>
            <w:rFonts w:eastAsia="Calibri" w:cs="Times New Roman"/>
            <w:szCs w:val="26"/>
            <w:lang w:val="ru-RU"/>
          </w:rPr>
          <w:t>.</w:t>
        </w:r>
        <w:r w:rsidRPr="00BE7AFF">
          <w:rPr>
            <w:rStyle w:val="ad"/>
            <w:rFonts w:eastAsia="Calibri" w:cs="Times New Roman"/>
            <w:szCs w:val="26"/>
          </w:rPr>
          <w:t>ru</w:t>
        </w:r>
        <w:r w:rsidRPr="000B0C76">
          <w:rPr>
            <w:rStyle w:val="ad"/>
            <w:rFonts w:eastAsia="Calibri" w:cs="Times New Roman"/>
            <w:szCs w:val="26"/>
            <w:lang w:val="ru-RU"/>
          </w:rPr>
          <w:t>/</w:t>
        </w:r>
        <w:r w:rsidRPr="00BE7AFF">
          <w:rPr>
            <w:rStyle w:val="ad"/>
            <w:rFonts w:eastAsia="Calibri" w:cs="Times New Roman"/>
            <w:szCs w:val="26"/>
          </w:rPr>
          <w:t>statistika</w:t>
        </w:r>
        <w:r w:rsidRPr="000B0C76">
          <w:rPr>
            <w:rStyle w:val="ad"/>
            <w:rFonts w:eastAsia="Calibri" w:cs="Times New Roman"/>
            <w:szCs w:val="26"/>
            <w:lang w:val="ru-RU"/>
          </w:rPr>
          <w:t>-</w:t>
        </w:r>
        <w:r w:rsidRPr="00BE7AFF">
          <w:rPr>
            <w:rStyle w:val="ad"/>
            <w:rFonts w:eastAsia="Calibri" w:cs="Times New Roman"/>
            <w:szCs w:val="26"/>
          </w:rPr>
          <w:t>rynka</w:t>
        </w:r>
        <w:r w:rsidRPr="000B0C76">
          <w:rPr>
            <w:rStyle w:val="ad"/>
            <w:rFonts w:eastAsia="Calibri" w:cs="Times New Roman"/>
            <w:szCs w:val="26"/>
            <w:lang w:val="ru-RU"/>
          </w:rPr>
          <w:t>/</w:t>
        </w:r>
        <w:r w:rsidRPr="00BE7AFF">
          <w:rPr>
            <w:rStyle w:val="ad"/>
            <w:rFonts w:eastAsia="Calibri" w:cs="Times New Roman"/>
            <w:szCs w:val="26"/>
          </w:rPr>
          <w:t>statistika</w:t>
        </w:r>
        <w:r w:rsidRPr="000B0C76">
          <w:rPr>
            <w:rStyle w:val="ad"/>
            <w:rFonts w:eastAsia="Calibri" w:cs="Times New Roman"/>
            <w:szCs w:val="26"/>
            <w:lang w:val="ru-RU"/>
          </w:rPr>
          <w:t>-</w:t>
        </w:r>
        <w:r w:rsidRPr="00BE7AFF">
          <w:rPr>
            <w:rStyle w:val="ad"/>
            <w:rFonts w:eastAsia="Calibri" w:cs="Times New Roman"/>
            <w:szCs w:val="26"/>
          </w:rPr>
          <w:t>na</w:t>
        </w:r>
        <w:r w:rsidRPr="000B0C76">
          <w:rPr>
            <w:rStyle w:val="ad"/>
            <w:rFonts w:eastAsia="Calibri" w:cs="Times New Roman"/>
            <w:szCs w:val="26"/>
            <w:lang w:val="ru-RU"/>
          </w:rPr>
          <w:t>-01-01-2022</w:t>
        </w:r>
        <w:r w:rsidRPr="00BE7AFF">
          <w:rPr>
            <w:rStyle w:val="ad"/>
            <w:rFonts w:eastAsia="Calibri" w:cs="Times New Roman"/>
            <w:szCs w:val="26"/>
          </w:rPr>
          <w:t>g</w:t>
        </w:r>
        <w:r w:rsidRPr="000B0C76">
          <w:rPr>
            <w:rStyle w:val="ad"/>
            <w:rFonts w:eastAsia="Calibri" w:cs="Times New Roman"/>
            <w:szCs w:val="26"/>
            <w:lang w:val="ru-RU"/>
          </w:rPr>
          <w:t>/</w:t>
        </w:r>
        <w:r w:rsidRPr="00BE7AFF">
          <w:rPr>
            <w:rStyle w:val="ad"/>
            <w:rFonts w:eastAsia="Calibri" w:cs="Times New Roman"/>
            <w:szCs w:val="26"/>
          </w:rPr>
          <w:t>korrektirovki</w:t>
        </w:r>
        <w:r w:rsidRPr="000B0C76">
          <w:rPr>
            <w:rStyle w:val="ad"/>
            <w:rFonts w:eastAsia="Calibri" w:cs="Times New Roman"/>
            <w:szCs w:val="26"/>
            <w:lang w:val="ru-RU"/>
          </w:rPr>
          <w:t>-</w:t>
        </w:r>
        <w:r w:rsidRPr="00BE7AFF">
          <w:rPr>
            <w:rStyle w:val="ad"/>
            <w:rFonts w:eastAsia="Calibri" w:cs="Times New Roman"/>
            <w:szCs w:val="26"/>
          </w:rPr>
          <w:t>stoimosti</w:t>
        </w:r>
        <w:r w:rsidRPr="000B0C76">
          <w:rPr>
            <w:rStyle w:val="ad"/>
            <w:rFonts w:eastAsia="Calibri" w:cs="Times New Roman"/>
            <w:szCs w:val="26"/>
            <w:lang w:val="ru-RU"/>
          </w:rPr>
          <w:t>-</w:t>
        </w:r>
        <w:r w:rsidRPr="00BE7AFF">
          <w:rPr>
            <w:rStyle w:val="ad"/>
            <w:rFonts w:eastAsia="Calibri" w:cs="Times New Roman"/>
            <w:szCs w:val="26"/>
          </w:rPr>
          <w:t>zemli</w:t>
        </w:r>
        <w:r w:rsidRPr="000B0C76">
          <w:rPr>
            <w:rStyle w:val="ad"/>
            <w:rFonts w:eastAsia="Calibri" w:cs="Times New Roman"/>
            <w:szCs w:val="26"/>
            <w:lang w:val="ru-RU"/>
          </w:rPr>
          <w:t>/2683-</w:t>
        </w:r>
        <w:r w:rsidRPr="00BE7AFF">
          <w:rPr>
            <w:rStyle w:val="ad"/>
            <w:rFonts w:eastAsia="Calibri" w:cs="Times New Roman"/>
            <w:szCs w:val="26"/>
          </w:rPr>
          <w:t>pravo</w:t>
        </w:r>
        <w:r w:rsidRPr="000B0C76">
          <w:rPr>
            <w:rStyle w:val="ad"/>
            <w:rFonts w:eastAsia="Calibri" w:cs="Times New Roman"/>
            <w:szCs w:val="26"/>
            <w:lang w:val="ru-RU"/>
          </w:rPr>
          <w:t>-</w:t>
        </w:r>
        <w:r w:rsidRPr="00BE7AFF">
          <w:rPr>
            <w:rStyle w:val="ad"/>
            <w:rFonts w:eastAsia="Calibri" w:cs="Times New Roman"/>
            <w:szCs w:val="26"/>
          </w:rPr>
          <w:t>arendy</w:t>
        </w:r>
        <w:r w:rsidRPr="000B0C76">
          <w:rPr>
            <w:rStyle w:val="ad"/>
            <w:rFonts w:eastAsia="Calibri" w:cs="Times New Roman"/>
            <w:szCs w:val="26"/>
            <w:lang w:val="ru-RU"/>
          </w:rPr>
          <w:t>-</w:t>
        </w:r>
        <w:r w:rsidRPr="00BE7AFF">
          <w:rPr>
            <w:rStyle w:val="ad"/>
            <w:rFonts w:eastAsia="Calibri" w:cs="Times New Roman"/>
            <w:szCs w:val="26"/>
          </w:rPr>
          <w:t>pravo</w:t>
        </w:r>
        <w:r w:rsidRPr="000B0C76">
          <w:rPr>
            <w:rStyle w:val="ad"/>
            <w:rFonts w:eastAsia="Calibri" w:cs="Times New Roman"/>
            <w:szCs w:val="26"/>
            <w:lang w:val="ru-RU"/>
          </w:rPr>
          <w:t>-</w:t>
        </w:r>
        <w:r w:rsidRPr="00BE7AFF">
          <w:rPr>
            <w:rStyle w:val="ad"/>
            <w:rFonts w:eastAsia="Calibri" w:cs="Times New Roman"/>
            <w:szCs w:val="26"/>
          </w:rPr>
          <w:t>sobstvennosti</w:t>
        </w:r>
        <w:r w:rsidRPr="000B0C76">
          <w:rPr>
            <w:rStyle w:val="ad"/>
            <w:rFonts w:eastAsia="Calibri" w:cs="Times New Roman"/>
            <w:szCs w:val="26"/>
            <w:lang w:val="ru-RU"/>
          </w:rPr>
          <w:t>-</w:t>
        </w:r>
        <w:r w:rsidRPr="00BE7AFF">
          <w:rPr>
            <w:rStyle w:val="ad"/>
            <w:rFonts w:eastAsia="Calibri" w:cs="Times New Roman"/>
            <w:szCs w:val="26"/>
          </w:rPr>
          <w:t>zemelnykh</w:t>
        </w:r>
        <w:r w:rsidRPr="000B0C76">
          <w:rPr>
            <w:rStyle w:val="ad"/>
            <w:rFonts w:eastAsia="Calibri" w:cs="Times New Roman"/>
            <w:szCs w:val="26"/>
            <w:lang w:val="ru-RU"/>
          </w:rPr>
          <w:t>-</w:t>
        </w:r>
        <w:r w:rsidRPr="00BE7AFF">
          <w:rPr>
            <w:rStyle w:val="ad"/>
            <w:rFonts w:eastAsia="Calibri" w:cs="Times New Roman"/>
            <w:szCs w:val="26"/>
          </w:rPr>
          <w:t>uchastkov</w:t>
        </w:r>
        <w:r w:rsidRPr="000B0C76">
          <w:rPr>
            <w:rStyle w:val="ad"/>
            <w:rFonts w:eastAsia="Calibri" w:cs="Times New Roman"/>
            <w:szCs w:val="26"/>
            <w:lang w:val="ru-RU"/>
          </w:rPr>
          <w:t>-</w:t>
        </w:r>
        <w:r w:rsidRPr="00BE7AFF">
          <w:rPr>
            <w:rStyle w:val="ad"/>
            <w:rFonts w:eastAsia="Calibri" w:cs="Times New Roman"/>
            <w:szCs w:val="26"/>
          </w:rPr>
          <w:t>korrektirovki</w:t>
        </w:r>
        <w:r w:rsidRPr="000B0C76">
          <w:rPr>
            <w:rStyle w:val="ad"/>
            <w:rFonts w:eastAsia="Calibri" w:cs="Times New Roman"/>
            <w:szCs w:val="26"/>
            <w:lang w:val="ru-RU"/>
          </w:rPr>
          <w:t>-</w:t>
        </w:r>
        <w:r w:rsidRPr="00BE7AFF">
          <w:rPr>
            <w:rStyle w:val="ad"/>
            <w:rFonts w:eastAsia="Calibri" w:cs="Times New Roman"/>
            <w:szCs w:val="26"/>
          </w:rPr>
          <w:t>na</w:t>
        </w:r>
        <w:r w:rsidRPr="000B0C76">
          <w:rPr>
            <w:rStyle w:val="ad"/>
            <w:rFonts w:eastAsia="Calibri" w:cs="Times New Roman"/>
            <w:szCs w:val="26"/>
            <w:lang w:val="ru-RU"/>
          </w:rPr>
          <w:t>-01-01-2022-</w:t>
        </w:r>
        <w:r w:rsidRPr="00BE7AFF">
          <w:rPr>
            <w:rStyle w:val="ad"/>
            <w:rFonts w:eastAsia="Calibri" w:cs="Times New Roman"/>
            <w:szCs w:val="26"/>
          </w:rPr>
          <w:t>goda</w:t>
        </w:r>
      </w:hyperlink>
    </w:p>
  </w:footnote>
  <w:footnote w:id="108">
    <w:p w14:paraId="0CB90D0B" w14:textId="0373A1CE" w:rsidR="0090366A" w:rsidRPr="000B0C76" w:rsidRDefault="0090366A">
      <w:pPr>
        <w:pStyle w:val="af3"/>
        <w:rPr>
          <w:lang w:val="ru-RU"/>
        </w:rPr>
      </w:pPr>
      <w:r>
        <w:rPr>
          <w:rStyle w:val="af2"/>
        </w:rPr>
        <w:footnoteRef/>
      </w:r>
      <w:r w:rsidRPr="000B0C76">
        <w:rPr>
          <w:lang w:val="ru-RU"/>
        </w:rPr>
        <w:t xml:space="preserve"> </w:t>
      </w:r>
      <w:hyperlink r:id="rId84" w:history="1">
        <w:r w:rsidRPr="000B0C76">
          <w:rPr>
            <w:rStyle w:val="ad"/>
            <w:rFonts w:ascii="Times New Roman" w:eastAsia="Calibri" w:hAnsi="Times New Roman" w:cs="Times New Roman"/>
            <w:szCs w:val="26"/>
          </w:rPr>
          <w:t>https</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statrielt</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ru</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statistika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rynka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statistika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na</w:t>
        </w:r>
        <w:r w:rsidRPr="000B0C76">
          <w:rPr>
            <w:rStyle w:val="ad"/>
            <w:rFonts w:ascii="Times New Roman" w:eastAsia="Calibri" w:hAnsi="Times New Roman" w:cs="Times New Roman"/>
            <w:szCs w:val="26"/>
            <w:lang w:val="ru-RU"/>
          </w:rPr>
          <w:t>-01-01-2022</w:t>
        </w:r>
        <w:r w:rsidRPr="000B0C76">
          <w:rPr>
            <w:rStyle w:val="ad"/>
            <w:rFonts w:ascii="Times New Roman" w:eastAsia="Calibri" w:hAnsi="Times New Roman" w:cs="Times New Roman"/>
            <w:szCs w:val="26"/>
          </w:rPr>
          <w:t>g</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korrektirovki</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stoimosti</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zemli</w:t>
        </w:r>
        <w:r w:rsidRPr="000B0C76">
          <w:rPr>
            <w:rStyle w:val="ad"/>
            <w:rFonts w:ascii="Times New Roman" w:eastAsia="Calibri" w:hAnsi="Times New Roman" w:cs="Times New Roman"/>
            <w:szCs w:val="26"/>
            <w:lang w:val="ru-RU"/>
          </w:rPr>
          <w:t>/2691-</w:t>
        </w:r>
        <w:r w:rsidRPr="000B0C76">
          <w:rPr>
            <w:rStyle w:val="ad"/>
            <w:rFonts w:ascii="Times New Roman" w:eastAsia="Calibri" w:hAnsi="Times New Roman" w:cs="Times New Roman"/>
            <w:szCs w:val="26"/>
          </w:rPr>
          <w:t>skidka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na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torg</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utorgovanie</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pri</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prodazhe</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zemelnykh</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uchastkov</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na</w:t>
        </w:r>
        <w:r w:rsidRPr="000B0C76">
          <w:rPr>
            <w:rStyle w:val="ad"/>
            <w:rFonts w:ascii="Times New Roman" w:eastAsia="Calibri" w:hAnsi="Times New Roman" w:cs="Times New Roman"/>
            <w:szCs w:val="26"/>
            <w:lang w:val="ru-RU"/>
          </w:rPr>
          <w:t>-01-01-2022-</w:t>
        </w:r>
        <w:r w:rsidRPr="000B0C76">
          <w:rPr>
            <w:rStyle w:val="ad"/>
            <w:rFonts w:ascii="Times New Roman" w:eastAsia="Calibri" w:hAnsi="Times New Roman" w:cs="Times New Roman"/>
            <w:szCs w:val="26"/>
          </w:rPr>
          <w:t>goda</w:t>
        </w:r>
      </w:hyperlink>
    </w:p>
  </w:footnote>
  <w:footnote w:id="109">
    <w:p w14:paraId="03FBDAAE" w14:textId="0D84C4DD" w:rsidR="0090366A" w:rsidRPr="000B0C76" w:rsidRDefault="0090366A">
      <w:pPr>
        <w:pStyle w:val="af3"/>
        <w:rPr>
          <w:rFonts w:ascii="Times New Roman" w:hAnsi="Times New Roman" w:cs="Times New Roman"/>
          <w:lang w:val="ru-RU"/>
        </w:rPr>
      </w:pPr>
      <w:r>
        <w:rPr>
          <w:rStyle w:val="af2"/>
        </w:rPr>
        <w:footnoteRef/>
      </w:r>
      <w:r w:rsidRPr="000B0C76">
        <w:rPr>
          <w:lang w:val="ru-RU"/>
        </w:rPr>
        <w:t xml:space="preserve"> </w:t>
      </w:r>
      <w:hyperlink r:id="rId85" w:history="1">
        <w:r w:rsidRPr="000B0C76">
          <w:rPr>
            <w:rStyle w:val="ad"/>
            <w:rFonts w:ascii="Times New Roman" w:eastAsia="Calibri" w:hAnsi="Times New Roman" w:cs="Times New Roman"/>
            <w:szCs w:val="26"/>
          </w:rPr>
          <w:t>https</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statrielt</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ru</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indeksy</w:t>
        </w:r>
        <w:r w:rsidRPr="000B0C76">
          <w:rPr>
            <w:rStyle w:val="ad"/>
            <w:rFonts w:ascii="Times New Roman" w:eastAsia="Calibri" w:hAnsi="Times New Roman" w:cs="Times New Roman"/>
            <w:szCs w:val="26"/>
            <w:lang w:val="ru-RU"/>
          </w:rPr>
          <w:t>/2406-</w:t>
        </w:r>
        <w:r w:rsidRPr="000B0C76">
          <w:rPr>
            <w:rStyle w:val="ad"/>
            <w:rFonts w:ascii="Times New Roman" w:eastAsia="Calibri" w:hAnsi="Times New Roman" w:cs="Times New Roman"/>
            <w:szCs w:val="26"/>
          </w:rPr>
          <w:t>indeksy</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izmeneniya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rynochnykh</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tsen</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v</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rublyakh</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zemelnykh</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uchastkov</w:t>
        </w:r>
      </w:hyperlink>
    </w:p>
  </w:footnote>
  <w:footnote w:id="110">
    <w:p w14:paraId="3076FB89" w14:textId="4036D8C6" w:rsidR="0090366A" w:rsidRPr="000B0C76" w:rsidRDefault="0090366A">
      <w:pPr>
        <w:pStyle w:val="af3"/>
        <w:rPr>
          <w:lang w:val="ru-RU"/>
        </w:rPr>
      </w:pPr>
      <w:r>
        <w:rPr>
          <w:rStyle w:val="af2"/>
        </w:rPr>
        <w:footnoteRef/>
      </w:r>
      <w:r w:rsidRPr="000B0C76">
        <w:rPr>
          <w:rFonts w:ascii="Times New Roman" w:hAnsi="Times New Roman" w:cs="Times New Roman"/>
          <w:lang w:val="ru-RU"/>
        </w:rPr>
        <w:t xml:space="preserve"> </w:t>
      </w:r>
      <w:hyperlink r:id="rId86" w:history="1">
        <w:r w:rsidRPr="000B0C76">
          <w:rPr>
            <w:rStyle w:val="ad"/>
            <w:rFonts w:ascii="Times New Roman" w:eastAsia="Calibri" w:hAnsi="Times New Roman" w:cs="Times New Roman"/>
            <w:szCs w:val="26"/>
          </w:rPr>
          <w:t>https</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statrielt</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ru</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statistika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rynka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statistika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na</w:t>
        </w:r>
        <w:r w:rsidRPr="000B0C76">
          <w:rPr>
            <w:rStyle w:val="ad"/>
            <w:rFonts w:ascii="Times New Roman" w:eastAsia="Calibri" w:hAnsi="Times New Roman" w:cs="Times New Roman"/>
            <w:szCs w:val="26"/>
            <w:lang w:val="ru-RU"/>
          </w:rPr>
          <w:t>-01-01-2022</w:t>
        </w:r>
        <w:r w:rsidRPr="000B0C76">
          <w:rPr>
            <w:rStyle w:val="ad"/>
            <w:rFonts w:ascii="Times New Roman" w:eastAsia="Calibri" w:hAnsi="Times New Roman" w:cs="Times New Roman"/>
            <w:szCs w:val="26"/>
          </w:rPr>
          <w:t>g</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korrektirovki</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stoimosti</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zemli</w:t>
        </w:r>
        <w:r w:rsidRPr="000B0C76">
          <w:rPr>
            <w:rStyle w:val="ad"/>
            <w:rFonts w:ascii="Times New Roman" w:eastAsia="Calibri" w:hAnsi="Times New Roman" w:cs="Times New Roman"/>
            <w:szCs w:val="26"/>
            <w:lang w:val="ru-RU"/>
          </w:rPr>
          <w:t>/2683-</w:t>
        </w:r>
        <w:r w:rsidRPr="000B0C76">
          <w:rPr>
            <w:rStyle w:val="ad"/>
            <w:rFonts w:ascii="Times New Roman" w:eastAsia="Calibri" w:hAnsi="Times New Roman" w:cs="Times New Roman"/>
            <w:szCs w:val="26"/>
          </w:rPr>
          <w:t>pravo</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arendy</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pravo</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sobstvennosti</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zemelnykh</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uchastkov</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korrektirovki</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na</w:t>
        </w:r>
        <w:r w:rsidRPr="000B0C76">
          <w:rPr>
            <w:rStyle w:val="ad"/>
            <w:rFonts w:ascii="Times New Roman" w:eastAsia="Calibri" w:hAnsi="Times New Roman" w:cs="Times New Roman"/>
            <w:szCs w:val="26"/>
            <w:lang w:val="ru-RU"/>
          </w:rPr>
          <w:t>-01-01-2022-</w:t>
        </w:r>
        <w:r w:rsidRPr="000B0C76">
          <w:rPr>
            <w:rStyle w:val="ad"/>
            <w:rFonts w:ascii="Times New Roman" w:eastAsia="Calibri" w:hAnsi="Times New Roman" w:cs="Times New Roman"/>
            <w:szCs w:val="26"/>
          </w:rPr>
          <w:t>goda</w:t>
        </w:r>
      </w:hyperlink>
    </w:p>
  </w:footnote>
  <w:footnote w:id="111">
    <w:p w14:paraId="7CD4072D" w14:textId="3314CF6A" w:rsidR="0090366A" w:rsidRPr="000B0C76" w:rsidRDefault="0090366A">
      <w:pPr>
        <w:pStyle w:val="af3"/>
        <w:rPr>
          <w:lang w:val="ru-RU"/>
        </w:rPr>
      </w:pPr>
      <w:r>
        <w:rPr>
          <w:rStyle w:val="af2"/>
        </w:rPr>
        <w:footnoteRef/>
      </w:r>
      <w:r w:rsidRPr="000B0C76">
        <w:rPr>
          <w:rFonts w:ascii="Times New Roman" w:hAnsi="Times New Roman" w:cs="Times New Roman"/>
          <w:lang w:val="ru-RU"/>
        </w:rPr>
        <w:t xml:space="preserve"> </w:t>
      </w:r>
      <w:hyperlink r:id="rId87" w:history="1">
        <w:r w:rsidRPr="000B0C76">
          <w:rPr>
            <w:rStyle w:val="ad"/>
            <w:rFonts w:ascii="Times New Roman" w:eastAsia="Calibri" w:hAnsi="Times New Roman" w:cs="Times New Roman"/>
            <w:szCs w:val="26"/>
          </w:rPr>
          <w:t>https</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statrielt</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ru</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statistika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rynka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statistika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na</w:t>
        </w:r>
        <w:r w:rsidRPr="000B0C76">
          <w:rPr>
            <w:rStyle w:val="ad"/>
            <w:rFonts w:ascii="Times New Roman" w:eastAsia="Calibri" w:hAnsi="Times New Roman" w:cs="Times New Roman"/>
            <w:szCs w:val="26"/>
            <w:lang w:val="ru-RU"/>
          </w:rPr>
          <w:t>-01-01-2022</w:t>
        </w:r>
        <w:r w:rsidRPr="000B0C76">
          <w:rPr>
            <w:rStyle w:val="ad"/>
            <w:rFonts w:ascii="Times New Roman" w:eastAsia="Calibri" w:hAnsi="Times New Roman" w:cs="Times New Roman"/>
            <w:szCs w:val="26"/>
          </w:rPr>
          <w:t>g</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korrektirovki</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stoimosti</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zemli</w:t>
        </w:r>
        <w:r w:rsidRPr="000B0C76">
          <w:rPr>
            <w:rStyle w:val="ad"/>
            <w:rFonts w:ascii="Times New Roman" w:eastAsia="Calibri" w:hAnsi="Times New Roman" w:cs="Times New Roman"/>
            <w:szCs w:val="26"/>
            <w:lang w:val="ru-RU"/>
          </w:rPr>
          <w:t>/2691-</w:t>
        </w:r>
        <w:r w:rsidRPr="000B0C76">
          <w:rPr>
            <w:rStyle w:val="ad"/>
            <w:rFonts w:ascii="Times New Roman" w:eastAsia="Calibri" w:hAnsi="Times New Roman" w:cs="Times New Roman"/>
            <w:szCs w:val="26"/>
          </w:rPr>
          <w:t>skidka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na</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torg</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utorgovanie</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pri</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prodazhe</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zemelnykh</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uchastkov</w:t>
        </w:r>
        <w:r w:rsidRPr="000B0C76">
          <w:rPr>
            <w:rStyle w:val="ad"/>
            <w:rFonts w:ascii="Times New Roman" w:eastAsia="Calibri" w:hAnsi="Times New Roman" w:cs="Times New Roman"/>
            <w:szCs w:val="26"/>
            <w:lang w:val="ru-RU"/>
          </w:rPr>
          <w:t>-</w:t>
        </w:r>
        <w:r w:rsidRPr="000B0C76">
          <w:rPr>
            <w:rStyle w:val="ad"/>
            <w:rFonts w:ascii="Times New Roman" w:eastAsia="Calibri" w:hAnsi="Times New Roman" w:cs="Times New Roman"/>
            <w:szCs w:val="26"/>
          </w:rPr>
          <w:t>na</w:t>
        </w:r>
        <w:r w:rsidRPr="000B0C76">
          <w:rPr>
            <w:rStyle w:val="ad"/>
            <w:rFonts w:ascii="Times New Roman" w:eastAsia="Calibri" w:hAnsi="Times New Roman" w:cs="Times New Roman"/>
            <w:szCs w:val="26"/>
            <w:lang w:val="ru-RU"/>
          </w:rPr>
          <w:t>-01-01-2022-</w:t>
        </w:r>
        <w:r w:rsidRPr="000B0C76">
          <w:rPr>
            <w:rStyle w:val="ad"/>
            <w:rFonts w:ascii="Times New Roman" w:eastAsia="Calibri" w:hAnsi="Times New Roman" w:cs="Times New Roman"/>
            <w:szCs w:val="26"/>
          </w:rPr>
          <w:t>goda</w:t>
        </w:r>
      </w:hyperlink>
    </w:p>
  </w:footnote>
  <w:footnote w:id="112">
    <w:p w14:paraId="74B6E69C" w14:textId="7B4FAE98" w:rsidR="0090366A" w:rsidRPr="000B0C76" w:rsidRDefault="0090366A">
      <w:pPr>
        <w:pStyle w:val="af3"/>
        <w:rPr>
          <w:lang w:val="ru-RU"/>
        </w:rPr>
      </w:pPr>
      <w:r>
        <w:rPr>
          <w:rStyle w:val="af2"/>
        </w:rPr>
        <w:footnoteRef/>
      </w:r>
      <w:r w:rsidRPr="000B0C76">
        <w:rPr>
          <w:lang w:val="ru-RU"/>
        </w:rPr>
        <w:t xml:space="preserve"> </w:t>
      </w:r>
      <w:hyperlink r:id="rId88" w:history="1">
        <w:r w:rsidRPr="00221500">
          <w:rPr>
            <w:rStyle w:val="ad"/>
            <w:rFonts w:ascii="Times New Roman" w:eastAsia="Calibri" w:hAnsi="Times New Roman" w:cs="Times New Roman"/>
            <w:szCs w:val="26"/>
          </w:rPr>
          <w:t>https</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statrielt</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ru</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indeksy</w:t>
        </w:r>
        <w:r w:rsidRPr="00221500">
          <w:rPr>
            <w:rStyle w:val="ad"/>
            <w:rFonts w:ascii="Times New Roman" w:eastAsia="Calibri" w:hAnsi="Times New Roman" w:cs="Times New Roman"/>
            <w:szCs w:val="26"/>
            <w:lang w:val="ru-RU"/>
          </w:rPr>
          <w:t>/2406-</w:t>
        </w:r>
        <w:r w:rsidRPr="00221500">
          <w:rPr>
            <w:rStyle w:val="ad"/>
            <w:rFonts w:ascii="Times New Roman" w:eastAsia="Calibri" w:hAnsi="Times New Roman" w:cs="Times New Roman"/>
            <w:szCs w:val="26"/>
          </w:rPr>
          <w:t>indeksy</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izmeneniya</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rynochnykh</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tsen</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v</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rublyakh</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zemelnykh</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uchastkov</w:t>
        </w:r>
      </w:hyperlink>
    </w:p>
  </w:footnote>
  <w:footnote w:id="113">
    <w:p w14:paraId="75780E02" w14:textId="15EBB998" w:rsidR="0090366A" w:rsidRPr="00221500" w:rsidRDefault="0090366A">
      <w:pPr>
        <w:pStyle w:val="af3"/>
        <w:rPr>
          <w:lang w:val="ru-RU"/>
        </w:rPr>
      </w:pPr>
      <w:r>
        <w:rPr>
          <w:rStyle w:val="af2"/>
        </w:rPr>
        <w:footnoteRef/>
      </w:r>
      <w:r w:rsidRPr="00221500">
        <w:rPr>
          <w:lang w:val="ru-RU"/>
        </w:rPr>
        <w:t xml:space="preserve"> </w:t>
      </w:r>
      <w:hyperlink r:id="rId89" w:history="1">
        <w:r w:rsidRPr="00221500">
          <w:rPr>
            <w:rStyle w:val="ad"/>
            <w:rFonts w:ascii="Times New Roman" w:eastAsia="Calibri" w:hAnsi="Times New Roman" w:cs="Times New Roman"/>
            <w:szCs w:val="26"/>
          </w:rPr>
          <w:t>https</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statrielt</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ru</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statistika</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rynka</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statistika</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na</w:t>
        </w:r>
        <w:r w:rsidRPr="00221500">
          <w:rPr>
            <w:rStyle w:val="ad"/>
            <w:rFonts w:ascii="Times New Roman" w:eastAsia="Calibri" w:hAnsi="Times New Roman" w:cs="Times New Roman"/>
            <w:szCs w:val="26"/>
            <w:lang w:val="ru-RU"/>
          </w:rPr>
          <w:t>-01-01-2022</w:t>
        </w:r>
        <w:r w:rsidRPr="00221500">
          <w:rPr>
            <w:rStyle w:val="ad"/>
            <w:rFonts w:ascii="Times New Roman" w:eastAsia="Calibri" w:hAnsi="Times New Roman" w:cs="Times New Roman"/>
            <w:szCs w:val="26"/>
          </w:rPr>
          <w:t>g</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korrektirovki</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stoimosti</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zemli</w:t>
        </w:r>
        <w:r w:rsidRPr="00221500">
          <w:rPr>
            <w:rStyle w:val="ad"/>
            <w:rFonts w:ascii="Times New Roman" w:eastAsia="Calibri" w:hAnsi="Times New Roman" w:cs="Times New Roman"/>
            <w:szCs w:val="26"/>
            <w:lang w:val="ru-RU"/>
          </w:rPr>
          <w:t>/2683-</w:t>
        </w:r>
        <w:r w:rsidRPr="00221500">
          <w:rPr>
            <w:rStyle w:val="ad"/>
            <w:rFonts w:ascii="Times New Roman" w:eastAsia="Calibri" w:hAnsi="Times New Roman" w:cs="Times New Roman"/>
            <w:szCs w:val="26"/>
          </w:rPr>
          <w:t>pravo</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arendy</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pravo</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sobstvennosti</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zemelnykh</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uchastkov</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korrektirovki</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na</w:t>
        </w:r>
        <w:r w:rsidRPr="00221500">
          <w:rPr>
            <w:rStyle w:val="ad"/>
            <w:rFonts w:ascii="Times New Roman" w:eastAsia="Calibri" w:hAnsi="Times New Roman" w:cs="Times New Roman"/>
            <w:szCs w:val="26"/>
            <w:lang w:val="ru-RU"/>
          </w:rPr>
          <w:t>-01-01-2022-</w:t>
        </w:r>
        <w:r w:rsidRPr="00221500">
          <w:rPr>
            <w:rStyle w:val="ad"/>
            <w:rFonts w:ascii="Times New Roman" w:eastAsia="Calibri" w:hAnsi="Times New Roman" w:cs="Times New Roman"/>
            <w:szCs w:val="26"/>
          </w:rPr>
          <w:t>goda</w:t>
        </w:r>
      </w:hyperlink>
    </w:p>
  </w:footnote>
  <w:footnote w:id="114">
    <w:p w14:paraId="55D63F71" w14:textId="2C97FFE3" w:rsidR="0090366A" w:rsidRPr="00221500" w:rsidRDefault="0090366A">
      <w:pPr>
        <w:pStyle w:val="af3"/>
        <w:rPr>
          <w:lang w:val="ru-RU"/>
        </w:rPr>
      </w:pPr>
      <w:r>
        <w:rPr>
          <w:rStyle w:val="af2"/>
        </w:rPr>
        <w:footnoteRef/>
      </w:r>
      <w:r w:rsidRPr="00221500">
        <w:rPr>
          <w:lang w:val="ru-RU"/>
        </w:rPr>
        <w:t xml:space="preserve"> </w:t>
      </w:r>
      <w:hyperlink r:id="rId90" w:history="1">
        <w:r w:rsidRPr="00221500">
          <w:rPr>
            <w:rStyle w:val="ad"/>
            <w:rFonts w:ascii="Times New Roman" w:eastAsia="Calibri" w:hAnsi="Times New Roman" w:cs="Times New Roman"/>
            <w:szCs w:val="26"/>
          </w:rPr>
          <w:t>https</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statrielt</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ru</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statistika</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rynka</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statistika</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na</w:t>
        </w:r>
        <w:r w:rsidRPr="00221500">
          <w:rPr>
            <w:rStyle w:val="ad"/>
            <w:rFonts w:ascii="Times New Roman" w:eastAsia="Calibri" w:hAnsi="Times New Roman" w:cs="Times New Roman"/>
            <w:szCs w:val="26"/>
            <w:lang w:val="ru-RU"/>
          </w:rPr>
          <w:t>-01-01-2022</w:t>
        </w:r>
        <w:r w:rsidRPr="00221500">
          <w:rPr>
            <w:rStyle w:val="ad"/>
            <w:rFonts w:ascii="Times New Roman" w:eastAsia="Calibri" w:hAnsi="Times New Roman" w:cs="Times New Roman"/>
            <w:szCs w:val="26"/>
          </w:rPr>
          <w:t>g</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korrektirovki</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stoimosti</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zemli</w:t>
        </w:r>
        <w:r w:rsidRPr="00221500">
          <w:rPr>
            <w:rStyle w:val="ad"/>
            <w:rFonts w:ascii="Times New Roman" w:eastAsia="Calibri" w:hAnsi="Times New Roman" w:cs="Times New Roman"/>
            <w:szCs w:val="26"/>
            <w:lang w:val="ru-RU"/>
          </w:rPr>
          <w:t>/2691-</w:t>
        </w:r>
        <w:r w:rsidRPr="00221500">
          <w:rPr>
            <w:rStyle w:val="ad"/>
            <w:rFonts w:ascii="Times New Roman" w:eastAsia="Calibri" w:hAnsi="Times New Roman" w:cs="Times New Roman"/>
            <w:szCs w:val="26"/>
          </w:rPr>
          <w:t>skidka</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na</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torg</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utorgovanie</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pri</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prodazhe</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zemelnykh</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uchastkov</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na</w:t>
        </w:r>
        <w:r w:rsidRPr="00221500">
          <w:rPr>
            <w:rStyle w:val="ad"/>
            <w:rFonts w:ascii="Times New Roman" w:eastAsia="Calibri" w:hAnsi="Times New Roman" w:cs="Times New Roman"/>
            <w:szCs w:val="26"/>
            <w:lang w:val="ru-RU"/>
          </w:rPr>
          <w:t>-01-01-2022-</w:t>
        </w:r>
        <w:r w:rsidRPr="00221500">
          <w:rPr>
            <w:rStyle w:val="ad"/>
            <w:rFonts w:ascii="Times New Roman" w:eastAsia="Calibri" w:hAnsi="Times New Roman" w:cs="Times New Roman"/>
            <w:szCs w:val="26"/>
          </w:rPr>
          <w:t>goda</w:t>
        </w:r>
      </w:hyperlink>
    </w:p>
  </w:footnote>
  <w:footnote w:id="115">
    <w:p w14:paraId="0A9E7856" w14:textId="7D7AE169" w:rsidR="0090366A" w:rsidRPr="00221500" w:rsidRDefault="0090366A">
      <w:pPr>
        <w:pStyle w:val="af3"/>
        <w:rPr>
          <w:rFonts w:ascii="Times New Roman" w:hAnsi="Times New Roman" w:cs="Times New Roman"/>
          <w:lang w:val="ru-RU"/>
        </w:rPr>
      </w:pPr>
      <w:r>
        <w:rPr>
          <w:rStyle w:val="af2"/>
        </w:rPr>
        <w:footnoteRef/>
      </w:r>
      <w:r w:rsidRPr="00221500">
        <w:rPr>
          <w:lang w:val="ru-RU"/>
        </w:rPr>
        <w:t xml:space="preserve"> </w:t>
      </w:r>
      <w:hyperlink r:id="rId91" w:history="1">
        <w:r w:rsidRPr="00221500">
          <w:rPr>
            <w:rStyle w:val="ad"/>
            <w:rFonts w:ascii="Times New Roman" w:eastAsia="Calibri" w:hAnsi="Times New Roman" w:cs="Times New Roman"/>
            <w:szCs w:val="26"/>
          </w:rPr>
          <w:t>https</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statrielt</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ru</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indeksy</w:t>
        </w:r>
        <w:r w:rsidRPr="00221500">
          <w:rPr>
            <w:rStyle w:val="ad"/>
            <w:rFonts w:ascii="Times New Roman" w:eastAsia="Calibri" w:hAnsi="Times New Roman" w:cs="Times New Roman"/>
            <w:szCs w:val="26"/>
            <w:lang w:val="ru-RU"/>
          </w:rPr>
          <w:t>/2406-</w:t>
        </w:r>
        <w:r w:rsidRPr="00221500">
          <w:rPr>
            <w:rStyle w:val="ad"/>
            <w:rFonts w:ascii="Times New Roman" w:eastAsia="Calibri" w:hAnsi="Times New Roman" w:cs="Times New Roman"/>
            <w:szCs w:val="26"/>
          </w:rPr>
          <w:t>indeksy</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izmeneniya</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rynochnykh</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tsen</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v</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rublyakh</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zemelnykh</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uchastkov</w:t>
        </w:r>
      </w:hyperlink>
    </w:p>
  </w:footnote>
  <w:footnote w:id="116">
    <w:p w14:paraId="6A904528" w14:textId="0AA5FA90" w:rsidR="0090366A" w:rsidRPr="00221500" w:rsidRDefault="0090366A">
      <w:pPr>
        <w:pStyle w:val="af3"/>
        <w:rPr>
          <w:lang w:val="ru-RU"/>
        </w:rPr>
      </w:pPr>
      <w:r>
        <w:rPr>
          <w:rStyle w:val="af2"/>
        </w:rPr>
        <w:footnoteRef/>
      </w:r>
      <w:r w:rsidRPr="00221500">
        <w:rPr>
          <w:lang w:val="ru-RU"/>
        </w:rPr>
        <w:t xml:space="preserve"> </w:t>
      </w:r>
      <w:hyperlink r:id="rId92" w:history="1">
        <w:r w:rsidRPr="00221500">
          <w:rPr>
            <w:rStyle w:val="ad"/>
            <w:rFonts w:ascii="Times New Roman" w:eastAsia="Calibri" w:hAnsi="Times New Roman" w:cs="Times New Roman"/>
            <w:szCs w:val="26"/>
          </w:rPr>
          <w:t>https</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statrielt</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ru</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statistika</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rynka</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statistika</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na</w:t>
        </w:r>
        <w:r w:rsidRPr="00221500">
          <w:rPr>
            <w:rStyle w:val="ad"/>
            <w:rFonts w:ascii="Times New Roman" w:eastAsia="Calibri" w:hAnsi="Times New Roman" w:cs="Times New Roman"/>
            <w:szCs w:val="26"/>
            <w:lang w:val="ru-RU"/>
          </w:rPr>
          <w:t>-01-01-2022</w:t>
        </w:r>
        <w:r w:rsidRPr="00221500">
          <w:rPr>
            <w:rStyle w:val="ad"/>
            <w:rFonts w:ascii="Times New Roman" w:eastAsia="Calibri" w:hAnsi="Times New Roman" w:cs="Times New Roman"/>
            <w:szCs w:val="26"/>
          </w:rPr>
          <w:t>g</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korrektirovki</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stoimosti</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zemli</w:t>
        </w:r>
        <w:r w:rsidRPr="00221500">
          <w:rPr>
            <w:rStyle w:val="ad"/>
            <w:rFonts w:ascii="Times New Roman" w:eastAsia="Calibri" w:hAnsi="Times New Roman" w:cs="Times New Roman"/>
            <w:szCs w:val="26"/>
            <w:lang w:val="ru-RU"/>
          </w:rPr>
          <w:t>/2683-</w:t>
        </w:r>
        <w:r w:rsidRPr="00221500">
          <w:rPr>
            <w:rStyle w:val="ad"/>
            <w:rFonts w:ascii="Times New Roman" w:eastAsia="Calibri" w:hAnsi="Times New Roman" w:cs="Times New Roman"/>
            <w:szCs w:val="26"/>
          </w:rPr>
          <w:t>pravo</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arendy</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pravo</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sobstvennosti</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zemelnykh</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uchastkov</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korrektirovki</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na</w:t>
        </w:r>
        <w:r w:rsidRPr="00221500">
          <w:rPr>
            <w:rStyle w:val="ad"/>
            <w:rFonts w:ascii="Times New Roman" w:eastAsia="Calibri" w:hAnsi="Times New Roman" w:cs="Times New Roman"/>
            <w:szCs w:val="26"/>
            <w:lang w:val="ru-RU"/>
          </w:rPr>
          <w:t>-01-01-2022-</w:t>
        </w:r>
        <w:r w:rsidRPr="00221500">
          <w:rPr>
            <w:rStyle w:val="ad"/>
            <w:rFonts w:ascii="Times New Roman" w:eastAsia="Calibri" w:hAnsi="Times New Roman" w:cs="Times New Roman"/>
            <w:szCs w:val="26"/>
          </w:rPr>
          <w:t>goda</w:t>
        </w:r>
      </w:hyperlink>
    </w:p>
  </w:footnote>
  <w:footnote w:id="117">
    <w:p w14:paraId="2A3EC420" w14:textId="7C75F6B3" w:rsidR="0090366A" w:rsidRPr="00221500" w:rsidRDefault="0090366A">
      <w:pPr>
        <w:pStyle w:val="af3"/>
        <w:rPr>
          <w:lang w:val="ru-RU"/>
        </w:rPr>
      </w:pPr>
      <w:r>
        <w:rPr>
          <w:rStyle w:val="af2"/>
        </w:rPr>
        <w:footnoteRef/>
      </w:r>
      <w:r w:rsidRPr="00221500">
        <w:rPr>
          <w:lang w:val="ru-RU"/>
        </w:rPr>
        <w:t xml:space="preserve"> </w:t>
      </w:r>
      <w:hyperlink r:id="rId93" w:history="1">
        <w:r w:rsidRPr="00645299">
          <w:rPr>
            <w:rStyle w:val="ad"/>
            <w:rFonts w:eastAsia="Calibri" w:cs="Times New Roman"/>
            <w:szCs w:val="26"/>
          </w:rPr>
          <w:t>https</w:t>
        </w:r>
        <w:r w:rsidRPr="00645299">
          <w:rPr>
            <w:rStyle w:val="ad"/>
            <w:rFonts w:eastAsia="Calibri" w:cs="Times New Roman"/>
            <w:szCs w:val="26"/>
            <w:lang w:val="ru-RU"/>
          </w:rPr>
          <w:t>://</w:t>
        </w:r>
        <w:r w:rsidRPr="00645299">
          <w:rPr>
            <w:rStyle w:val="ad"/>
            <w:rFonts w:eastAsia="Calibri" w:cs="Times New Roman"/>
            <w:szCs w:val="26"/>
          </w:rPr>
          <w:t>statrielt</w:t>
        </w:r>
        <w:r w:rsidRPr="00645299">
          <w:rPr>
            <w:rStyle w:val="ad"/>
            <w:rFonts w:eastAsia="Calibri" w:cs="Times New Roman"/>
            <w:szCs w:val="26"/>
            <w:lang w:val="ru-RU"/>
          </w:rPr>
          <w:t>.</w:t>
        </w:r>
        <w:r w:rsidRPr="00645299">
          <w:rPr>
            <w:rStyle w:val="ad"/>
            <w:rFonts w:eastAsia="Calibri" w:cs="Times New Roman"/>
            <w:szCs w:val="26"/>
          </w:rPr>
          <w:t>ru</w:t>
        </w:r>
        <w:r w:rsidRPr="00645299">
          <w:rPr>
            <w:rStyle w:val="ad"/>
            <w:rFonts w:eastAsia="Calibri" w:cs="Times New Roman"/>
            <w:szCs w:val="26"/>
            <w:lang w:val="ru-RU"/>
          </w:rPr>
          <w:t>/</w:t>
        </w:r>
        <w:r w:rsidRPr="00645299">
          <w:rPr>
            <w:rStyle w:val="ad"/>
            <w:rFonts w:eastAsia="Calibri" w:cs="Times New Roman"/>
            <w:szCs w:val="26"/>
          </w:rPr>
          <w:t>statistika</w:t>
        </w:r>
        <w:r w:rsidRPr="00645299">
          <w:rPr>
            <w:rStyle w:val="ad"/>
            <w:rFonts w:eastAsia="Calibri" w:cs="Times New Roman"/>
            <w:szCs w:val="26"/>
            <w:lang w:val="ru-RU"/>
          </w:rPr>
          <w:t>-</w:t>
        </w:r>
        <w:r w:rsidRPr="00645299">
          <w:rPr>
            <w:rStyle w:val="ad"/>
            <w:rFonts w:eastAsia="Calibri" w:cs="Times New Roman"/>
            <w:szCs w:val="26"/>
          </w:rPr>
          <w:t>rynka</w:t>
        </w:r>
        <w:r w:rsidRPr="00645299">
          <w:rPr>
            <w:rStyle w:val="ad"/>
            <w:rFonts w:eastAsia="Calibri" w:cs="Times New Roman"/>
            <w:szCs w:val="26"/>
            <w:lang w:val="ru-RU"/>
          </w:rPr>
          <w:t>/</w:t>
        </w:r>
        <w:r w:rsidRPr="00645299">
          <w:rPr>
            <w:rStyle w:val="ad"/>
            <w:rFonts w:eastAsia="Calibri" w:cs="Times New Roman"/>
            <w:szCs w:val="26"/>
          </w:rPr>
          <w:t>statistika</w:t>
        </w:r>
        <w:r w:rsidRPr="00645299">
          <w:rPr>
            <w:rStyle w:val="ad"/>
            <w:rFonts w:eastAsia="Calibri" w:cs="Times New Roman"/>
            <w:szCs w:val="26"/>
            <w:lang w:val="ru-RU"/>
          </w:rPr>
          <w:t>-</w:t>
        </w:r>
        <w:r w:rsidRPr="00645299">
          <w:rPr>
            <w:rStyle w:val="ad"/>
            <w:rFonts w:eastAsia="Calibri" w:cs="Times New Roman"/>
            <w:szCs w:val="26"/>
          </w:rPr>
          <w:t>na</w:t>
        </w:r>
        <w:r w:rsidRPr="00645299">
          <w:rPr>
            <w:rStyle w:val="ad"/>
            <w:rFonts w:eastAsia="Calibri" w:cs="Times New Roman"/>
            <w:szCs w:val="26"/>
            <w:lang w:val="ru-RU"/>
          </w:rPr>
          <w:t>-01-01-2022</w:t>
        </w:r>
        <w:r w:rsidRPr="00645299">
          <w:rPr>
            <w:rStyle w:val="ad"/>
            <w:rFonts w:eastAsia="Calibri" w:cs="Times New Roman"/>
            <w:szCs w:val="26"/>
          </w:rPr>
          <w:t>g</w:t>
        </w:r>
        <w:r w:rsidRPr="00645299">
          <w:rPr>
            <w:rStyle w:val="ad"/>
            <w:rFonts w:eastAsia="Calibri" w:cs="Times New Roman"/>
            <w:szCs w:val="26"/>
            <w:lang w:val="ru-RU"/>
          </w:rPr>
          <w:t>/</w:t>
        </w:r>
        <w:r w:rsidRPr="00645299">
          <w:rPr>
            <w:rStyle w:val="ad"/>
            <w:rFonts w:eastAsia="Calibri" w:cs="Times New Roman"/>
            <w:szCs w:val="26"/>
          </w:rPr>
          <w:t>korrektirovki</w:t>
        </w:r>
        <w:r w:rsidRPr="00645299">
          <w:rPr>
            <w:rStyle w:val="ad"/>
            <w:rFonts w:eastAsia="Calibri" w:cs="Times New Roman"/>
            <w:szCs w:val="26"/>
            <w:lang w:val="ru-RU"/>
          </w:rPr>
          <w:t>-</w:t>
        </w:r>
        <w:r w:rsidRPr="00645299">
          <w:rPr>
            <w:rStyle w:val="ad"/>
            <w:rFonts w:eastAsia="Calibri" w:cs="Times New Roman"/>
            <w:szCs w:val="26"/>
          </w:rPr>
          <w:t>stoimosti</w:t>
        </w:r>
        <w:r w:rsidRPr="00645299">
          <w:rPr>
            <w:rStyle w:val="ad"/>
            <w:rFonts w:eastAsia="Calibri" w:cs="Times New Roman"/>
            <w:szCs w:val="26"/>
            <w:lang w:val="ru-RU"/>
          </w:rPr>
          <w:t>-</w:t>
        </w:r>
        <w:r w:rsidRPr="00645299">
          <w:rPr>
            <w:rStyle w:val="ad"/>
            <w:rFonts w:eastAsia="Calibri" w:cs="Times New Roman"/>
            <w:szCs w:val="26"/>
          </w:rPr>
          <w:t>zemli</w:t>
        </w:r>
        <w:r w:rsidRPr="00645299">
          <w:rPr>
            <w:rStyle w:val="ad"/>
            <w:rFonts w:eastAsia="Calibri" w:cs="Times New Roman"/>
            <w:szCs w:val="26"/>
            <w:lang w:val="ru-RU"/>
          </w:rPr>
          <w:t>/2691-</w:t>
        </w:r>
        <w:r w:rsidRPr="00645299">
          <w:rPr>
            <w:rStyle w:val="ad"/>
            <w:rFonts w:eastAsia="Calibri" w:cs="Times New Roman"/>
            <w:szCs w:val="26"/>
          </w:rPr>
          <w:t>skidka</w:t>
        </w:r>
        <w:r w:rsidRPr="00645299">
          <w:rPr>
            <w:rStyle w:val="ad"/>
            <w:rFonts w:eastAsia="Calibri" w:cs="Times New Roman"/>
            <w:szCs w:val="26"/>
            <w:lang w:val="ru-RU"/>
          </w:rPr>
          <w:t>-</w:t>
        </w:r>
        <w:r w:rsidRPr="00645299">
          <w:rPr>
            <w:rStyle w:val="ad"/>
            <w:rFonts w:eastAsia="Calibri" w:cs="Times New Roman"/>
            <w:szCs w:val="26"/>
          </w:rPr>
          <w:t>na</w:t>
        </w:r>
        <w:r w:rsidRPr="00645299">
          <w:rPr>
            <w:rStyle w:val="ad"/>
            <w:rFonts w:eastAsia="Calibri" w:cs="Times New Roman"/>
            <w:szCs w:val="26"/>
            <w:lang w:val="ru-RU"/>
          </w:rPr>
          <w:t>-</w:t>
        </w:r>
        <w:r w:rsidRPr="00645299">
          <w:rPr>
            <w:rStyle w:val="ad"/>
            <w:rFonts w:eastAsia="Calibri" w:cs="Times New Roman"/>
            <w:szCs w:val="26"/>
          </w:rPr>
          <w:t>torg</w:t>
        </w:r>
        <w:r w:rsidRPr="00645299">
          <w:rPr>
            <w:rStyle w:val="ad"/>
            <w:rFonts w:eastAsia="Calibri" w:cs="Times New Roman"/>
            <w:szCs w:val="26"/>
            <w:lang w:val="ru-RU"/>
          </w:rPr>
          <w:t>-</w:t>
        </w:r>
        <w:r w:rsidRPr="00645299">
          <w:rPr>
            <w:rStyle w:val="ad"/>
            <w:rFonts w:eastAsia="Calibri" w:cs="Times New Roman"/>
            <w:szCs w:val="26"/>
          </w:rPr>
          <w:t>utorgovanie</w:t>
        </w:r>
        <w:r w:rsidRPr="00645299">
          <w:rPr>
            <w:rStyle w:val="ad"/>
            <w:rFonts w:eastAsia="Calibri" w:cs="Times New Roman"/>
            <w:szCs w:val="26"/>
            <w:lang w:val="ru-RU"/>
          </w:rPr>
          <w:t>-</w:t>
        </w:r>
        <w:r w:rsidRPr="00645299">
          <w:rPr>
            <w:rStyle w:val="ad"/>
            <w:rFonts w:eastAsia="Calibri" w:cs="Times New Roman"/>
            <w:szCs w:val="26"/>
          </w:rPr>
          <w:t>pri</w:t>
        </w:r>
        <w:r w:rsidRPr="00645299">
          <w:rPr>
            <w:rStyle w:val="ad"/>
            <w:rFonts w:eastAsia="Calibri" w:cs="Times New Roman"/>
            <w:szCs w:val="26"/>
            <w:lang w:val="ru-RU"/>
          </w:rPr>
          <w:t>-</w:t>
        </w:r>
        <w:r w:rsidRPr="00645299">
          <w:rPr>
            <w:rStyle w:val="ad"/>
            <w:rFonts w:eastAsia="Calibri" w:cs="Times New Roman"/>
            <w:szCs w:val="26"/>
          </w:rPr>
          <w:t>prodazhe</w:t>
        </w:r>
        <w:r w:rsidRPr="00645299">
          <w:rPr>
            <w:rStyle w:val="ad"/>
            <w:rFonts w:eastAsia="Calibri" w:cs="Times New Roman"/>
            <w:szCs w:val="26"/>
            <w:lang w:val="ru-RU"/>
          </w:rPr>
          <w:t>-</w:t>
        </w:r>
        <w:r w:rsidRPr="00645299">
          <w:rPr>
            <w:rStyle w:val="ad"/>
            <w:rFonts w:eastAsia="Calibri" w:cs="Times New Roman"/>
            <w:szCs w:val="26"/>
          </w:rPr>
          <w:t>zemelnykh</w:t>
        </w:r>
        <w:r w:rsidRPr="00645299">
          <w:rPr>
            <w:rStyle w:val="ad"/>
            <w:rFonts w:eastAsia="Calibri" w:cs="Times New Roman"/>
            <w:szCs w:val="26"/>
            <w:lang w:val="ru-RU"/>
          </w:rPr>
          <w:t>-</w:t>
        </w:r>
        <w:r w:rsidRPr="00645299">
          <w:rPr>
            <w:rStyle w:val="ad"/>
            <w:rFonts w:eastAsia="Calibri" w:cs="Times New Roman"/>
            <w:szCs w:val="26"/>
          </w:rPr>
          <w:t>uchastkov</w:t>
        </w:r>
        <w:r w:rsidRPr="00645299">
          <w:rPr>
            <w:rStyle w:val="ad"/>
            <w:rFonts w:eastAsia="Calibri" w:cs="Times New Roman"/>
            <w:szCs w:val="26"/>
            <w:lang w:val="ru-RU"/>
          </w:rPr>
          <w:t>-</w:t>
        </w:r>
        <w:r w:rsidRPr="00645299">
          <w:rPr>
            <w:rStyle w:val="ad"/>
            <w:rFonts w:eastAsia="Calibri" w:cs="Times New Roman"/>
            <w:szCs w:val="26"/>
          </w:rPr>
          <w:t>na</w:t>
        </w:r>
        <w:r w:rsidRPr="00645299">
          <w:rPr>
            <w:rStyle w:val="ad"/>
            <w:rFonts w:eastAsia="Calibri" w:cs="Times New Roman"/>
            <w:szCs w:val="26"/>
            <w:lang w:val="ru-RU"/>
          </w:rPr>
          <w:t>-01-01-2022-</w:t>
        </w:r>
        <w:r w:rsidRPr="00645299">
          <w:rPr>
            <w:rStyle w:val="ad"/>
            <w:rFonts w:eastAsia="Calibri" w:cs="Times New Roman"/>
            <w:szCs w:val="26"/>
          </w:rPr>
          <w:t>goda</w:t>
        </w:r>
      </w:hyperlink>
    </w:p>
  </w:footnote>
  <w:footnote w:id="118">
    <w:p w14:paraId="7AFA91F0" w14:textId="06F26D83" w:rsidR="0090366A" w:rsidRPr="00221500" w:rsidRDefault="0090366A">
      <w:pPr>
        <w:pStyle w:val="af3"/>
        <w:rPr>
          <w:lang w:val="ru-RU"/>
        </w:rPr>
      </w:pPr>
      <w:r>
        <w:rPr>
          <w:rStyle w:val="af2"/>
        </w:rPr>
        <w:footnoteRef/>
      </w:r>
      <w:r w:rsidRPr="00221500">
        <w:rPr>
          <w:lang w:val="ru-RU"/>
        </w:rPr>
        <w:t xml:space="preserve"> </w:t>
      </w:r>
      <w:hyperlink r:id="rId94" w:history="1">
        <w:r w:rsidRPr="00221500">
          <w:rPr>
            <w:rStyle w:val="ad"/>
            <w:rFonts w:ascii="Times New Roman" w:eastAsia="Calibri" w:hAnsi="Times New Roman" w:cs="Times New Roman"/>
            <w:szCs w:val="26"/>
          </w:rPr>
          <w:t>https</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statrielt</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ru</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indeksy</w:t>
        </w:r>
        <w:r w:rsidRPr="00221500">
          <w:rPr>
            <w:rStyle w:val="ad"/>
            <w:rFonts w:ascii="Times New Roman" w:eastAsia="Calibri" w:hAnsi="Times New Roman" w:cs="Times New Roman"/>
            <w:szCs w:val="26"/>
            <w:lang w:val="ru-RU"/>
          </w:rPr>
          <w:t>/2406-</w:t>
        </w:r>
        <w:r w:rsidRPr="00221500">
          <w:rPr>
            <w:rStyle w:val="ad"/>
            <w:rFonts w:ascii="Times New Roman" w:eastAsia="Calibri" w:hAnsi="Times New Roman" w:cs="Times New Roman"/>
            <w:szCs w:val="26"/>
          </w:rPr>
          <w:t>indeksy</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izmeneniya</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rynochnykh</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tsen</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v</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rublyakh</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zemelnykh</w:t>
        </w:r>
        <w:r w:rsidRPr="00221500">
          <w:rPr>
            <w:rStyle w:val="ad"/>
            <w:rFonts w:ascii="Times New Roman" w:eastAsia="Calibri" w:hAnsi="Times New Roman" w:cs="Times New Roman"/>
            <w:szCs w:val="26"/>
            <w:lang w:val="ru-RU"/>
          </w:rPr>
          <w:t>-</w:t>
        </w:r>
        <w:r w:rsidRPr="00221500">
          <w:rPr>
            <w:rStyle w:val="ad"/>
            <w:rFonts w:ascii="Times New Roman" w:eastAsia="Calibri" w:hAnsi="Times New Roman" w:cs="Times New Roman"/>
            <w:szCs w:val="26"/>
          </w:rPr>
          <w:t>uchastkov</w:t>
        </w:r>
      </w:hyperlink>
    </w:p>
  </w:footnote>
  <w:footnote w:id="119">
    <w:p w14:paraId="00C4CC56" w14:textId="77777777" w:rsidR="0090366A" w:rsidRDefault="0090366A" w:rsidP="003C4012">
      <w:pPr>
        <w:pStyle w:val="af5"/>
        <w:spacing w:before="0" w:beforeAutospacing="0" w:after="0" w:afterAutospacing="0"/>
        <w:rPr>
          <w:rFonts w:ascii="Liberation Serif" w:eastAsia="SimSun" w:hAnsi="Liberation Serif" w:cs="Mangal"/>
          <w:sz w:val="20"/>
          <w:szCs w:val="18"/>
        </w:rPr>
      </w:pPr>
      <w:r>
        <w:rPr>
          <w:rStyle w:val="af2"/>
        </w:rPr>
        <w:footnoteRef/>
      </w:r>
      <w:r>
        <w:t xml:space="preserve"> </w:t>
      </w:r>
      <w:hyperlink r:id="rId95" w:history="1">
        <w:r w:rsidRPr="00F562A8">
          <w:rPr>
            <w:rStyle w:val="ad"/>
            <w:sz w:val="18"/>
            <w:szCs w:val="18"/>
          </w:rPr>
          <w:t>http://rosleshoz.gov.ru/activity/forest_use</w:t>
        </w:r>
      </w:hyperlink>
    </w:p>
  </w:footnote>
  <w:footnote w:id="120">
    <w:p w14:paraId="18DFB950" w14:textId="77777777" w:rsidR="0090366A" w:rsidRDefault="0090366A" w:rsidP="003C4012">
      <w:pPr>
        <w:pStyle w:val="af5"/>
        <w:spacing w:before="0" w:beforeAutospacing="0" w:after="0" w:afterAutospacing="0"/>
      </w:pPr>
      <w:r>
        <w:rPr>
          <w:rStyle w:val="af2"/>
        </w:rPr>
        <w:footnoteRef/>
      </w:r>
      <w:r>
        <w:t xml:space="preserve"> </w:t>
      </w:r>
      <w:hyperlink r:id="rId96" w:history="1">
        <w:r w:rsidRPr="00F562A8">
          <w:rPr>
            <w:rStyle w:val="ad"/>
            <w:sz w:val="18"/>
            <w:szCs w:val="18"/>
          </w:rPr>
          <w:t>https://rosreestr.ru/site/press/news/lesnoy-fond-tozhe-obekt-nedvizhimogo-imushchestva/</w:t>
        </w:r>
      </w:hyperlink>
    </w:p>
  </w:footnote>
  <w:footnote w:id="121">
    <w:p w14:paraId="59D50323" w14:textId="77777777" w:rsidR="0090366A" w:rsidRDefault="0090366A" w:rsidP="003C4012">
      <w:pPr>
        <w:pStyle w:val="af5"/>
        <w:spacing w:before="0" w:beforeAutospacing="0" w:after="0" w:afterAutospacing="0"/>
      </w:pPr>
      <w:r>
        <w:rPr>
          <w:rStyle w:val="af2"/>
        </w:rPr>
        <w:footnoteRef/>
      </w:r>
      <w:r w:rsidRPr="00F562A8">
        <w:rPr>
          <w:rStyle w:val="ad"/>
          <w:sz w:val="18"/>
          <w:szCs w:val="18"/>
        </w:rPr>
        <w:t xml:space="preserve"> </w:t>
      </w:r>
      <w:hyperlink r:id="rId97" w:history="1">
        <w:r w:rsidRPr="00F562A8">
          <w:rPr>
            <w:rStyle w:val="ad"/>
            <w:sz w:val="18"/>
            <w:szCs w:val="18"/>
          </w:rPr>
          <w:t>http://www.consultant.ru/document/cons_doc_LAW_105376/2fe5d1b52c220e5f28f2ec00f9616e8c861a897a/</w:t>
        </w:r>
      </w:hyperlink>
    </w:p>
  </w:footnote>
  <w:footnote w:id="122">
    <w:p w14:paraId="5BE62939" w14:textId="77777777" w:rsidR="0090366A" w:rsidRPr="003C4012" w:rsidRDefault="0090366A" w:rsidP="003C4012">
      <w:pPr>
        <w:pStyle w:val="af3"/>
        <w:rPr>
          <w:lang w:val="ru-RU"/>
        </w:rPr>
      </w:pPr>
      <w:r>
        <w:rPr>
          <w:rStyle w:val="af2"/>
        </w:rPr>
        <w:footnoteRef/>
      </w:r>
      <w:r w:rsidRPr="003C4012">
        <w:rPr>
          <w:lang w:val="ru-RU"/>
        </w:rPr>
        <w:t xml:space="preserve"> </w:t>
      </w:r>
      <w:hyperlink r:id="rId98" w:history="1">
        <w:r w:rsidRPr="00F562A8">
          <w:rPr>
            <w:sz w:val="18"/>
          </w:rPr>
          <w:t>https</w:t>
        </w:r>
        <w:r w:rsidRPr="003C4012">
          <w:rPr>
            <w:sz w:val="18"/>
            <w:lang w:val="ru-RU"/>
          </w:rPr>
          <w:t>://</w:t>
        </w:r>
        <w:r w:rsidRPr="00F562A8">
          <w:rPr>
            <w:sz w:val="18"/>
          </w:rPr>
          <w:t>www</w:t>
        </w:r>
        <w:r w:rsidRPr="003C4012">
          <w:rPr>
            <w:sz w:val="18"/>
            <w:lang w:val="ru-RU"/>
          </w:rPr>
          <w:t>.</w:t>
        </w:r>
        <w:r w:rsidRPr="00F562A8">
          <w:rPr>
            <w:sz w:val="18"/>
          </w:rPr>
          <w:t>govvrn</w:t>
        </w:r>
        <w:r w:rsidRPr="003C4012">
          <w:rPr>
            <w:sz w:val="18"/>
            <w:lang w:val="ru-RU"/>
          </w:rPr>
          <w:t>.</w:t>
        </w:r>
        <w:r w:rsidRPr="00F562A8">
          <w:rPr>
            <w:sz w:val="18"/>
          </w:rPr>
          <w:t>ru</w:t>
        </w:r>
        <w:r w:rsidRPr="003C4012">
          <w:rPr>
            <w:sz w:val="18"/>
            <w:lang w:val="ru-RU"/>
          </w:rPr>
          <w:t>/%</w:t>
        </w:r>
        <w:r w:rsidRPr="00F562A8">
          <w:rPr>
            <w:sz w:val="18"/>
          </w:rPr>
          <w:t>D</w:t>
        </w:r>
        <w:r w:rsidRPr="003C4012">
          <w:rPr>
            <w:sz w:val="18"/>
            <w:lang w:val="ru-RU"/>
          </w:rPr>
          <w:t>0%9</w:t>
        </w:r>
        <w:r w:rsidRPr="00F562A8">
          <w:rPr>
            <w:sz w:val="18"/>
          </w:rPr>
          <w:t>B</w:t>
        </w:r>
        <w:r w:rsidRPr="003C4012">
          <w:rPr>
            <w:sz w:val="18"/>
            <w:lang w:val="ru-RU"/>
          </w:rPr>
          <w:t>%</w:t>
        </w:r>
        <w:r w:rsidRPr="00F562A8">
          <w:rPr>
            <w:sz w:val="18"/>
          </w:rPr>
          <w:t>D</w:t>
        </w:r>
        <w:r w:rsidRPr="003C4012">
          <w:rPr>
            <w:sz w:val="18"/>
            <w:lang w:val="ru-RU"/>
          </w:rPr>
          <w:t>0%</w:t>
        </w:r>
        <w:r w:rsidRPr="00F562A8">
          <w:rPr>
            <w:sz w:val="18"/>
          </w:rPr>
          <w:t>B</w:t>
        </w:r>
        <w:r w:rsidRPr="003C4012">
          <w:rPr>
            <w:sz w:val="18"/>
            <w:lang w:val="ru-RU"/>
          </w:rPr>
          <w:t>5%</w:t>
        </w:r>
        <w:r w:rsidRPr="00F562A8">
          <w:rPr>
            <w:sz w:val="18"/>
          </w:rPr>
          <w:t>D</w:t>
        </w:r>
        <w:r w:rsidRPr="003C4012">
          <w:rPr>
            <w:sz w:val="18"/>
            <w:lang w:val="ru-RU"/>
          </w:rPr>
          <w:t>1%81%</w:t>
        </w:r>
        <w:r w:rsidRPr="00F562A8">
          <w:rPr>
            <w:sz w:val="18"/>
          </w:rPr>
          <w:t>D</w:t>
        </w:r>
        <w:r w:rsidRPr="003C4012">
          <w:rPr>
            <w:sz w:val="18"/>
            <w:lang w:val="ru-RU"/>
          </w:rPr>
          <w:t>0%</w:t>
        </w:r>
        <w:r w:rsidRPr="00F562A8">
          <w:rPr>
            <w:sz w:val="18"/>
          </w:rPr>
          <w:t>BD</w:t>
        </w:r>
        <w:r w:rsidRPr="003C4012">
          <w:rPr>
            <w:sz w:val="18"/>
            <w:lang w:val="ru-RU"/>
          </w:rPr>
          <w:t>%</w:t>
        </w:r>
        <w:r w:rsidRPr="00F562A8">
          <w:rPr>
            <w:sz w:val="18"/>
          </w:rPr>
          <w:t>D</w:t>
        </w:r>
        <w:r w:rsidRPr="003C4012">
          <w:rPr>
            <w:sz w:val="18"/>
            <w:lang w:val="ru-RU"/>
          </w:rPr>
          <w:t>0%</w:t>
        </w:r>
        <w:r w:rsidRPr="00F562A8">
          <w:rPr>
            <w:sz w:val="18"/>
          </w:rPr>
          <w:t>BE</w:t>
        </w:r>
        <w:r w:rsidRPr="003C4012">
          <w:rPr>
            <w:sz w:val="18"/>
            <w:lang w:val="ru-RU"/>
          </w:rPr>
          <w:t>%</w:t>
        </w:r>
        <w:r w:rsidRPr="00F562A8">
          <w:rPr>
            <w:sz w:val="18"/>
          </w:rPr>
          <w:t>D</w:t>
        </w:r>
        <w:r w:rsidRPr="003C4012">
          <w:rPr>
            <w:sz w:val="18"/>
            <w:lang w:val="ru-RU"/>
          </w:rPr>
          <w:t>0%</w:t>
        </w:r>
        <w:r w:rsidRPr="00F562A8">
          <w:rPr>
            <w:sz w:val="18"/>
          </w:rPr>
          <w:t>B</w:t>
        </w:r>
        <w:r w:rsidRPr="003C4012">
          <w:rPr>
            <w:sz w:val="18"/>
            <w:lang w:val="ru-RU"/>
          </w:rPr>
          <w:t>9-%</w:t>
        </w:r>
        <w:r w:rsidRPr="00F562A8">
          <w:rPr>
            <w:sz w:val="18"/>
          </w:rPr>
          <w:t>D</w:t>
        </w:r>
        <w:r w:rsidRPr="003C4012">
          <w:rPr>
            <w:sz w:val="18"/>
            <w:lang w:val="ru-RU"/>
          </w:rPr>
          <w:t>1%84%</w:t>
        </w:r>
        <w:r w:rsidRPr="00F562A8">
          <w:rPr>
            <w:sz w:val="18"/>
          </w:rPr>
          <w:t>D</w:t>
        </w:r>
        <w:r w:rsidRPr="003C4012">
          <w:rPr>
            <w:sz w:val="18"/>
            <w:lang w:val="ru-RU"/>
          </w:rPr>
          <w:t>0%</w:t>
        </w:r>
        <w:r w:rsidRPr="00F562A8">
          <w:rPr>
            <w:sz w:val="18"/>
          </w:rPr>
          <w:t>BE</w:t>
        </w:r>
        <w:r w:rsidRPr="003C4012">
          <w:rPr>
            <w:sz w:val="18"/>
            <w:lang w:val="ru-RU"/>
          </w:rPr>
          <w:t>%</w:t>
        </w:r>
        <w:r w:rsidRPr="00F562A8">
          <w:rPr>
            <w:sz w:val="18"/>
          </w:rPr>
          <w:t>D</w:t>
        </w:r>
        <w:r w:rsidRPr="003C4012">
          <w:rPr>
            <w:sz w:val="18"/>
            <w:lang w:val="ru-RU"/>
          </w:rPr>
          <w:t>0%</w:t>
        </w:r>
        <w:r w:rsidRPr="00F562A8">
          <w:rPr>
            <w:sz w:val="18"/>
          </w:rPr>
          <w:t>BD</w:t>
        </w:r>
        <w:r w:rsidRPr="003C4012">
          <w:rPr>
            <w:sz w:val="18"/>
            <w:lang w:val="ru-RU"/>
          </w:rPr>
          <w:t>%</w:t>
        </w:r>
        <w:r w:rsidRPr="00F562A8">
          <w:rPr>
            <w:sz w:val="18"/>
          </w:rPr>
          <w:t>D</w:t>
        </w:r>
        <w:r w:rsidRPr="003C4012">
          <w:rPr>
            <w:sz w:val="18"/>
            <w:lang w:val="ru-RU"/>
          </w:rPr>
          <w:t>0%</w:t>
        </w:r>
        <w:r w:rsidRPr="00F562A8">
          <w:rPr>
            <w:sz w:val="18"/>
          </w:rPr>
          <w:t>B</w:t>
        </w:r>
        <w:r w:rsidRPr="003C4012">
          <w:rPr>
            <w:sz w:val="18"/>
            <w:lang w:val="ru-RU"/>
          </w:rPr>
          <w:t>4-%</w:t>
        </w:r>
        <w:r w:rsidRPr="00F562A8">
          <w:rPr>
            <w:sz w:val="18"/>
          </w:rPr>
          <w:t>D</w:t>
        </w:r>
        <w:r w:rsidRPr="003C4012">
          <w:rPr>
            <w:sz w:val="18"/>
            <w:lang w:val="ru-RU"/>
          </w:rPr>
          <w:t>0%92%</w:t>
        </w:r>
        <w:r w:rsidRPr="00F562A8">
          <w:rPr>
            <w:sz w:val="18"/>
          </w:rPr>
          <w:t>D</w:t>
        </w:r>
        <w:r w:rsidRPr="003C4012">
          <w:rPr>
            <w:sz w:val="18"/>
            <w:lang w:val="ru-RU"/>
          </w:rPr>
          <w:t>0%</w:t>
        </w:r>
        <w:r w:rsidRPr="00F562A8">
          <w:rPr>
            <w:sz w:val="18"/>
          </w:rPr>
          <w:t>BE</w:t>
        </w:r>
        <w:r w:rsidRPr="003C4012">
          <w:rPr>
            <w:sz w:val="18"/>
            <w:lang w:val="ru-RU"/>
          </w:rPr>
          <w:t>%</w:t>
        </w:r>
        <w:r w:rsidRPr="00F562A8">
          <w:rPr>
            <w:sz w:val="18"/>
          </w:rPr>
          <w:t>D</w:t>
        </w:r>
        <w:r w:rsidRPr="003C4012">
          <w:rPr>
            <w:sz w:val="18"/>
            <w:lang w:val="ru-RU"/>
          </w:rPr>
          <w:t>1%80%</w:t>
        </w:r>
        <w:r w:rsidRPr="00F562A8">
          <w:rPr>
            <w:sz w:val="18"/>
          </w:rPr>
          <w:t>D</w:t>
        </w:r>
        <w:r w:rsidRPr="003C4012">
          <w:rPr>
            <w:sz w:val="18"/>
            <w:lang w:val="ru-RU"/>
          </w:rPr>
          <w:t>0%</w:t>
        </w:r>
        <w:r w:rsidRPr="00F562A8">
          <w:rPr>
            <w:sz w:val="18"/>
          </w:rPr>
          <w:t>BE</w:t>
        </w:r>
        <w:r w:rsidRPr="003C4012">
          <w:rPr>
            <w:sz w:val="18"/>
            <w:lang w:val="ru-RU"/>
          </w:rPr>
          <w:t>%</w:t>
        </w:r>
        <w:r w:rsidRPr="00F562A8">
          <w:rPr>
            <w:sz w:val="18"/>
          </w:rPr>
          <w:t>D</w:t>
        </w:r>
        <w:r w:rsidRPr="003C4012">
          <w:rPr>
            <w:sz w:val="18"/>
            <w:lang w:val="ru-RU"/>
          </w:rPr>
          <w:t>0%</w:t>
        </w:r>
        <w:r w:rsidRPr="00F562A8">
          <w:rPr>
            <w:sz w:val="18"/>
          </w:rPr>
          <w:t>BD</w:t>
        </w:r>
        <w:r w:rsidRPr="003C4012">
          <w:rPr>
            <w:sz w:val="18"/>
            <w:lang w:val="ru-RU"/>
          </w:rPr>
          <w:t>%</w:t>
        </w:r>
        <w:r w:rsidRPr="00F562A8">
          <w:rPr>
            <w:sz w:val="18"/>
          </w:rPr>
          <w:t>D</w:t>
        </w:r>
        <w:r w:rsidRPr="003C4012">
          <w:rPr>
            <w:sz w:val="18"/>
            <w:lang w:val="ru-RU"/>
          </w:rPr>
          <w:t>0%</w:t>
        </w:r>
        <w:r w:rsidRPr="00F562A8">
          <w:rPr>
            <w:sz w:val="18"/>
          </w:rPr>
          <w:t>B</w:t>
        </w:r>
        <w:r w:rsidRPr="003C4012">
          <w:rPr>
            <w:sz w:val="18"/>
            <w:lang w:val="ru-RU"/>
          </w:rPr>
          <w:t>5%</w:t>
        </w:r>
        <w:r w:rsidRPr="00F562A8">
          <w:rPr>
            <w:sz w:val="18"/>
          </w:rPr>
          <w:t>D</w:t>
        </w:r>
        <w:r w:rsidRPr="003C4012">
          <w:rPr>
            <w:sz w:val="18"/>
            <w:lang w:val="ru-RU"/>
          </w:rPr>
          <w:t>0%</w:t>
        </w:r>
        <w:r w:rsidRPr="00F562A8">
          <w:rPr>
            <w:sz w:val="18"/>
          </w:rPr>
          <w:t>B</w:t>
        </w:r>
        <w:r w:rsidRPr="003C4012">
          <w:rPr>
            <w:sz w:val="18"/>
            <w:lang w:val="ru-RU"/>
          </w:rPr>
          <w:t>6%</w:t>
        </w:r>
        <w:r w:rsidRPr="00F562A8">
          <w:rPr>
            <w:sz w:val="18"/>
          </w:rPr>
          <w:t>D</w:t>
        </w:r>
        <w:r w:rsidRPr="003C4012">
          <w:rPr>
            <w:sz w:val="18"/>
            <w:lang w:val="ru-RU"/>
          </w:rPr>
          <w:t>1%81%</w:t>
        </w:r>
        <w:r w:rsidRPr="00F562A8">
          <w:rPr>
            <w:sz w:val="18"/>
          </w:rPr>
          <w:t>D</w:t>
        </w:r>
        <w:r w:rsidRPr="003C4012">
          <w:rPr>
            <w:sz w:val="18"/>
            <w:lang w:val="ru-RU"/>
          </w:rPr>
          <w:t>0%</w:t>
        </w:r>
        <w:r w:rsidRPr="00F562A8">
          <w:rPr>
            <w:sz w:val="18"/>
          </w:rPr>
          <w:t>BA</w:t>
        </w:r>
        <w:r w:rsidRPr="003C4012">
          <w:rPr>
            <w:sz w:val="18"/>
            <w:lang w:val="ru-RU"/>
          </w:rPr>
          <w:t>%</w:t>
        </w:r>
        <w:r w:rsidRPr="00F562A8">
          <w:rPr>
            <w:sz w:val="18"/>
          </w:rPr>
          <w:t>D</w:t>
        </w:r>
        <w:r w:rsidRPr="003C4012">
          <w:rPr>
            <w:sz w:val="18"/>
            <w:lang w:val="ru-RU"/>
          </w:rPr>
          <w:t>0%</w:t>
        </w:r>
        <w:r w:rsidRPr="00F562A8">
          <w:rPr>
            <w:sz w:val="18"/>
          </w:rPr>
          <w:t>BE</w:t>
        </w:r>
        <w:r w:rsidRPr="003C4012">
          <w:rPr>
            <w:sz w:val="18"/>
            <w:lang w:val="ru-RU"/>
          </w:rPr>
          <w:t>%</w:t>
        </w:r>
        <w:r w:rsidRPr="00F562A8">
          <w:rPr>
            <w:sz w:val="18"/>
          </w:rPr>
          <w:t>D</w:t>
        </w:r>
        <w:r w:rsidRPr="003C4012">
          <w:rPr>
            <w:sz w:val="18"/>
            <w:lang w:val="ru-RU"/>
          </w:rPr>
          <w:t>0%</w:t>
        </w:r>
        <w:r w:rsidRPr="00F562A8">
          <w:rPr>
            <w:sz w:val="18"/>
          </w:rPr>
          <w:t>B</w:t>
        </w:r>
        <w:r w:rsidRPr="003C4012">
          <w:rPr>
            <w:sz w:val="18"/>
            <w:lang w:val="ru-RU"/>
          </w:rPr>
          <w:t>9-%</w:t>
        </w:r>
        <w:r w:rsidRPr="00F562A8">
          <w:rPr>
            <w:sz w:val="18"/>
          </w:rPr>
          <w:t>D</w:t>
        </w:r>
        <w:r w:rsidRPr="003C4012">
          <w:rPr>
            <w:sz w:val="18"/>
            <w:lang w:val="ru-RU"/>
          </w:rPr>
          <w:t>0%</w:t>
        </w:r>
        <w:r w:rsidRPr="00F562A8">
          <w:rPr>
            <w:sz w:val="18"/>
          </w:rPr>
          <w:t>BE</w:t>
        </w:r>
        <w:r w:rsidRPr="003C4012">
          <w:rPr>
            <w:sz w:val="18"/>
            <w:lang w:val="ru-RU"/>
          </w:rPr>
          <w:t>%</w:t>
        </w:r>
        <w:r w:rsidRPr="00F562A8">
          <w:rPr>
            <w:sz w:val="18"/>
          </w:rPr>
          <w:t>D</w:t>
        </w:r>
        <w:r w:rsidRPr="003C4012">
          <w:rPr>
            <w:sz w:val="18"/>
            <w:lang w:val="ru-RU"/>
          </w:rPr>
          <w:t>0%</w:t>
        </w:r>
        <w:r w:rsidRPr="00F562A8">
          <w:rPr>
            <w:sz w:val="18"/>
          </w:rPr>
          <w:t>B</w:t>
        </w:r>
        <w:r w:rsidRPr="003C4012">
          <w:rPr>
            <w:sz w:val="18"/>
            <w:lang w:val="ru-RU"/>
          </w:rPr>
          <w:t>1%</w:t>
        </w:r>
        <w:r w:rsidRPr="00F562A8">
          <w:rPr>
            <w:sz w:val="18"/>
          </w:rPr>
          <w:t>D</w:t>
        </w:r>
        <w:r w:rsidRPr="003C4012">
          <w:rPr>
            <w:sz w:val="18"/>
            <w:lang w:val="ru-RU"/>
          </w:rPr>
          <w:t>0%</w:t>
        </w:r>
        <w:r w:rsidRPr="00F562A8">
          <w:rPr>
            <w:sz w:val="18"/>
          </w:rPr>
          <w:t>BB</w:t>
        </w:r>
        <w:r w:rsidRPr="003C4012">
          <w:rPr>
            <w:sz w:val="18"/>
            <w:lang w:val="ru-RU"/>
          </w:rPr>
          <w:t>%</w:t>
        </w:r>
        <w:r w:rsidRPr="00F562A8">
          <w:rPr>
            <w:sz w:val="18"/>
          </w:rPr>
          <w:t>D</w:t>
        </w:r>
        <w:r w:rsidRPr="003C4012">
          <w:rPr>
            <w:sz w:val="18"/>
            <w:lang w:val="ru-RU"/>
          </w:rPr>
          <w:t>0%</w:t>
        </w:r>
        <w:r w:rsidRPr="00F562A8">
          <w:rPr>
            <w:sz w:val="18"/>
          </w:rPr>
          <w:t>B</w:t>
        </w:r>
        <w:r w:rsidRPr="003C4012">
          <w:rPr>
            <w:sz w:val="18"/>
            <w:lang w:val="ru-RU"/>
          </w:rPr>
          <w:t>0%</w:t>
        </w:r>
        <w:r w:rsidRPr="00F562A8">
          <w:rPr>
            <w:sz w:val="18"/>
          </w:rPr>
          <w:t>D</w:t>
        </w:r>
        <w:r w:rsidRPr="003C4012">
          <w:rPr>
            <w:sz w:val="18"/>
            <w:lang w:val="ru-RU"/>
          </w:rPr>
          <w:t>1%81%</w:t>
        </w:r>
        <w:r w:rsidRPr="00F562A8">
          <w:rPr>
            <w:sz w:val="18"/>
          </w:rPr>
          <w:t>D</w:t>
        </w:r>
        <w:r w:rsidRPr="003C4012">
          <w:rPr>
            <w:sz w:val="18"/>
            <w:lang w:val="ru-RU"/>
          </w:rPr>
          <w:t>1%82%</w:t>
        </w:r>
        <w:r w:rsidRPr="00F562A8">
          <w:rPr>
            <w:sz w:val="18"/>
          </w:rPr>
          <w:t>D</w:t>
        </w:r>
        <w:r w:rsidRPr="003C4012">
          <w:rPr>
            <w:sz w:val="18"/>
            <w:lang w:val="ru-RU"/>
          </w:rPr>
          <w:t>0%</w:t>
        </w:r>
        <w:r w:rsidRPr="00F562A8">
          <w:rPr>
            <w:sz w:val="18"/>
          </w:rPr>
          <w:t>B</w:t>
        </w:r>
        <w:r w:rsidRPr="003C4012">
          <w:rPr>
            <w:sz w:val="18"/>
            <w:lang w:val="ru-RU"/>
          </w:rPr>
          <w:t>8</w:t>
        </w:r>
      </w:hyperlink>
    </w:p>
  </w:footnote>
  <w:footnote w:id="123">
    <w:p w14:paraId="27C8473A" w14:textId="77777777" w:rsidR="0090366A" w:rsidRDefault="0090366A" w:rsidP="003C4012">
      <w:pPr>
        <w:pStyle w:val="af5"/>
        <w:spacing w:before="0" w:beforeAutospacing="0" w:after="0" w:afterAutospacing="0"/>
        <w:rPr>
          <w:rFonts w:ascii="Liberation Serif" w:hAnsi="Liberation Serif" w:cs="Mangal"/>
        </w:rPr>
      </w:pPr>
      <w:r>
        <w:rPr>
          <w:rStyle w:val="af2"/>
        </w:rPr>
        <w:footnoteRef/>
      </w:r>
      <w:r>
        <w:t xml:space="preserve"> </w:t>
      </w:r>
      <w:hyperlink r:id="rId99" w:history="1">
        <w:r w:rsidRPr="00F562A8">
          <w:rPr>
            <w:sz w:val="18"/>
            <w:szCs w:val="18"/>
          </w:rPr>
          <w:t>https://www.govvrn.ru/%D0%9B%D0%B5%D1%81%D0%BD%D0%BE%D0%B9-%D1%84%D0%BE%D0%BD%D0%B4-%D0%92%D0%BE%D1%80%D0%BE%D0%BD%D0%B5%D0%B6%D1%81%D0%BA%D0%BE%D0%B9-%D0%BE%D0%B1%D0%BB%D0%B0%D1%81%D1%82%D0%B8</w:t>
        </w:r>
      </w:hyperlink>
    </w:p>
  </w:footnote>
  <w:footnote w:id="124">
    <w:p w14:paraId="4961358A" w14:textId="77777777" w:rsidR="0090366A" w:rsidRPr="005F1A48" w:rsidRDefault="0090366A" w:rsidP="003C4012">
      <w:pPr>
        <w:pStyle w:val="af5"/>
        <w:spacing w:before="0" w:beforeAutospacing="0" w:after="0" w:afterAutospacing="0"/>
        <w:rPr>
          <w:lang w:val="en-US"/>
        </w:rPr>
      </w:pPr>
      <w:r w:rsidRPr="00CD6638">
        <w:rPr>
          <w:rStyle w:val="af2"/>
        </w:rPr>
        <w:footnoteRef/>
      </w:r>
      <w:r w:rsidRPr="00CD6638">
        <w:rPr>
          <w:lang w:val="en-US"/>
        </w:rPr>
        <w:t xml:space="preserve"> </w:t>
      </w:r>
      <w:hyperlink r:id="rId100" w:history="1">
        <w:r w:rsidRPr="00CD6638">
          <w:rPr>
            <w:rStyle w:val="ad"/>
            <w:sz w:val="18"/>
            <w:szCs w:val="18"/>
            <w:lang w:val="en-US"/>
          </w:rPr>
          <w:t>file:///C:/Users/%D0%9F%D0%BE%D0%BB%D1%8C%D0%B7%D0%BE%D0%B2%D0%B0%D1%82%D0%B5%</w:t>
        </w:r>
        <w:r w:rsidRPr="00CD6638">
          <w:rPr>
            <w:rStyle w:val="ad"/>
            <w:sz w:val="18"/>
            <w:szCs w:val="18"/>
            <w:lang w:val="en-US"/>
          </w:rPr>
          <w:br/>
          <w:t>D0%BB%D1%8C/Downloads/YYYYYY_YY_2017_YYY%20(1).pdf</w:t>
        </w:r>
      </w:hyperlink>
    </w:p>
  </w:footnote>
  <w:footnote w:id="125">
    <w:p w14:paraId="314FD530" w14:textId="77777777" w:rsidR="0090366A" w:rsidRDefault="0090366A" w:rsidP="003C4012">
      <w:pPr>
        <w:pStyle w:val="af5"/>
        <w:rPr>
          <w:color w:val="0563C1" w:themeColor="hyperlink"/>
          <w:sz w:val="18"/>
          <w:u w:val="single"/>
        </w:rPr>
      </w:pPr>
      <w:r>
        <w:rPr>
          <w:rStyle w:val="af2"/>
        </w:rPr>
        <w:footnoteRef/>
      </w:r>
      <w:r>
        <w:t xml:space="preserve"> </w:t>
      </w:r>
      <w:r>
        <w:rPr>
          <w:sz w:val="18"/>
        </w:rPr>
        <w:t xml:space="preserve">Раздел составлен на основе доклада Департамента природных ресурсов и экологии Воронежской области «О </w:t>
      </w:r>
      <w:r w:rsidRPr="00EE2B64">
        <w:rPr>
          <w:sz w:val="18"/>
          <w:szCs w:val="18"/>
        </w:rPr>
        <w:t xml:space="preserve">состоянии окружающей среды на территории Воронежской области в 2018 году» </w:t>
      </w:r>
      <w:hyperlink r:id="rId101" w:history="1">
        <w:r w:rsidRPr="00EE2B64">
          <w:rPr>
            <w:rStyle w:val="ad"/>
            <w:rFonts w:eastAsiaTheme="majorEastAsia"/>
            <w:sz w:val="18"/>
            <w:szCs w:val="18"/>
          </w:rPr>
          <w:t>https://www.govvrn.ru/novost/-/~/id/4034068</w:t>
        </w:r>
      </w:hyperlink>
    </w:p>
  </w:footnote>
  <w:footnote w:id="126">
    <w:p w14:paraId="4CA4DCE2" w14:textId="77777777" w:rsidR="0090366A" w:rsidRPr="00ED2C9B" w:rsidRDefault="0090366A" w:rsidP="00DB2FC4">
      <w:pPr>
        <w:pStyle w:val="af5"/>
        <w:contextualSpacing/>
        <w:jc w:val="both"/>
        <w:textAlignment w:val="top"/>
        <w:rPr>
          <w:sz w:val="16"/>
          <w:szCs w:val="16"/>
        </w:rPr>
      </w:pPr>
      <w:r>
        <w:rPr>
          <w:rStyle w:val="af2"/>
        </w:rPr>
        <w:footnoteRef/>
      </w:r>
      <w:r>
        <w:t xml:space="preserve"> </w:t>
      </w:r>
      <w:r w:rsidRPr="00ED2C9B">
        <w:rPr>
          <w:sz w:val="16"/>
          <w:szCs w:val="16"/>
        </w:rPr>
        <w:t>NextGIS QGIS зарегистрирована в государственном Реестре программ для ЭВМ, свидетельство №2014619132.</w:t>
      </w:r>
    </w:p>
    <w:p w14:paraId="6BBA9BD9" w14:textId="77777777" w:rsidR="0090366A" w:rsidRPr="006E52C6" w:rsidRDefault="0090366A" w:rsidP="00DB2FC4">
      <w:pPr>
        <w:pStyle w:val="af5"/>
        <w:contextualSpacing/>
        <w:jc w:val="both"/>
        <w:textAlignment w:val="top"/>
      </w:pPr>
      <w:r w:rsidRPr="00ED2C9B">
        <w:rPr>
          <w:sz w:val="16"/>
          <w:szCs w:val="16"/>
        </w:rPr>
        <w:t>NextGIS QGIS является отечественным ПО и включена в Единый реестр российских программ для электронных вычислительных машин и баз данных («Реестр отечественного ПО») приказом Минкомсвязи России от 29.04.2016 №183.</w:t>
      </w:r>
    </w:p>
  </w:footnote>
  <w:footnote w:id="127">
    <w:p w14:paraId="61834B00" w14:textId="77777777" w:rsidR="0090366A" w:rsidRPr="002A2D77" w:rsidRDefault="0090366A" w:rsidP="001C2BA2">
      <w:pPr>
        <w:pStyle w:val="af3"/>
        <w:rPr>
          <w:lang w:val="ru-RU"/>
        </w:rPr>
      </w:pPr>
      <w:r>
        <w:rPr>
          <w:rStyle w:val="af2"/>
        </w:rPr>
        <w:footnoteRef/>
      </w:r>
      <w:r w:rsidRPr="00513A63">
        <w:rPr>
          <w:lang w:val="ru-RU"/>
        </w:rPr>
        <w:t xml:space="preserve"> </w:t>
      </w:r>
      <w:hyperlink r:id="rId102" w:history="1">
        <w:r w:rsidRPr="002A2D77">
          <w:rPr>
            <w:rStyle w:val="ad"/>
            <w:rFonts w:ascii="Times New Roman" w:hAnsi="Times New Roman" w:cs="Times New Roman"/>
            <w:color w:val="auto"/>
            <w:sz w:val="18"/>
            <w:u w:val="none"/>
          </w:rPr>
          <w:t>https</w:t>
        </w:r>
        <w:r w:rsidRPr="002A2D77">
          <w:rPr>
            <w:rStyle w:val="ad"/>
            <w:rFonts w:ascii="Times New Roman" w:hAnsi="Times New Roman" w:cs="Times New Roman"/>
            <w:color w:val="auto"/>
            <w:sz w:val="18"/>
            <w:u w:val="none"/>
            <w:lang w:val="ru-RU"/>
          </w:rPr>
          <w:t>://</w:t>
        </w:r>
        <w:r w:rsidRPr="002A2D77">
          <w:rPr>
            <w:rStyle w:val="ad"/>
            <w:rFonts w:ascii="Times New Roman" w:hAnsi="Times New Roman" w:cs="Times New Roman"/>
            <w:color w:val="auto"/>
            <w:sz w:val="18"/>
            <w:u w:val="none"/>
          </w:rPr>
          <w:t>pkk</w:t>
        </w:r>
        <w:r w:rsidRPr="002A2D77">
          <w:rPr>
            <w:rStyle w:val="ad"/>
            <w:rFonts w:ascii="Times New Roman" w:hAnsi="Times New Roman" w:cs="Times New Roman"/>
            <w:color w:val="auto"/>
            <w:sz w:val="18"/>
            <w:u w:val="none"/>
            <w:lang w:val="ru-RU"/>
          </w:rPr>
          <w:t>.</w:t>
        </w:r>
        <w:r w:rsidRPr="002A2D77">
          <w:rPr>
            <w:rStyle w:val="ad"/>
            <w:rFonts w:ascii="Times New Roman" w:hAnsi="Times New Roman" w:cs="Times New Roman"/>
            <w:color w:val="auto"/>
            <w:sz w:val="18"/>
            <w:u w:val="none"/>
          </w:rPr>
          <w:t>rosreestr</w:t>
        </w:r>
        <w:r w:rsidRPr="002A2D77">
          <w:rPr>
            <w:rStyle w:val="ad"/>
            <w:rFonts w:ascii="Times New Roman" w:hAnsi="Times New Roman" w:cs="Times New Roman"/>
            <w:color w:val="auto"/>
            <w:sz w:val="18"/>
            <w:u w:val="none"/>
            <w:lang w:val="ru-RU"/>
          </w:rPr>
          <w:t>.</w:t>
        </w:r>
        <w:r w:rsidRPr="002A2D77">
          <w:rPr>
            <w:rStyle w:val="ad"/>
            <w:rFonts w:ascii="Times New Roman" w:hAnsi="Times New Roman" w:cs="Times New Roman"/>
            <w:color w:val="auto"/>
            <w:sz w:val="18"/>
            <w:u w:val="none"/>
          </w:rPr>
          <w:t>ru</w:t>
        </w:r>
        <w:r w:rsidRPr="002A2D77">
          <w:rPr>
            <w:rStyle w:val="ad"/>
            <w:rFonts w:ascii="Times New Roman" w:hAnsi="Times New Roman" w:cs="Times New Roman"/>
            <w:color w:val="auto"/>
            <w:sz w:val="18"/>
            <w:u w:val="none"/>
            <w:lang w:val="ru-RU"/>
          </w:rPr>
          <w:t>/</w:t>
        </w:r>
      </w:hyperlink>
    </w:p>
  </w:footnote>
  <w:footnote w:id="128">
    <w:p w14:paraId="04E13132" w14:textId="77777777" w:rsidR="0090366A" w:rsidRPr="00513A63" w:rsidRDefault="0090366A" w:rsidP="001C2BA2">
      <w:pPr>
        <w:pStyle w:val="af3"/>
        <w:rPr>
          <w:rFonts w:ascii="Times New Roman" w:hAnsi="Times New Roman" w:cs="Times New Roman"/>
          <w:sz w:val="18"/>
          <w:lang w:val="ru-RU"/>
        </w:rPr>
      </w:pPr>
      <w:r w:rsidRPr="002A2D77">
        <w:rPr>
          <w:rStyle w:val="af2"/>
          <w:rFonts w:ascii="Times New Roman" w:hAnsi="Times New Roman" w:cs="Times New Roman"/>
          <w:sz w:val="18"/>
        </w:rPr>
        <w:footnoteRef/>
      </w:r>
      <w:r w:rsidRPr="002A2D77">
        <w:rPr>
          <w:rFonts w:ascii="Times New Roman" w:hAnsi="Times New Roman" w:cs="Times New Roman"/>
          <w:sz w:val="18"/>
          <w:lang w:val="ru-RU"/>
        </w:rPr>
        <w:t xml:space="preserve"> </w:t>
      </w:r>
      <w:r w:rsidRPr="00F22E0A">
        <w:t>https</w:t>
      </w:r>
      <w:r w:rsidRPr="00F22E0A">
        <w:rPr>
          <w:lang w:val="ru-RU"/>
        </w:rPr>
        <w:t>://</w:t>
      </w:r>
      <w:r w:rsidRPr="00F22E0A">
        <w:t>goo</w:t>
      </w:r>
      <w:r w:rsidRPr="00F22E0A">
        <w:rPr>
          <w:lang w:val="ru-RU"/>
        </w:rPr>
        <w:t>.</w:t>
      </w:r>
      <w:r w:rsidRPr="00F22E0A">
        <w:t>su</w:t>
      </w:r>
      <w:r w:rsidRPr="00F22E0A">
        <w:rPr>
          <w:lang w:val="ru-RU"/>
        </w:rPr>
        <w:t>/</w:t>
      </w:r>
      <w:r w:rsidRPr="00F22E0A">
        <w:t>yTWVH</w:t>
      </w:r>
    </w:p>
  </w:footnote>
  <w:footnote w:id="129">
    <w:p w14:paraId="4E28F7BF" w14:textId="77777777" w:rsidR="0090366A" w:rsidRPr="00513A63" w:rsidRDefault="0090366A" w:rsidP="001C2BA2">
      <w:pPr>
        <w:spacing w:after="0" w:line="300" w:lineRule="auto"/>
        <w:jc w:val="both"/>
        <w:rPr>
          <w:rFonts w:ascii="Times New Roman" w:eastAsia="Times New Roman" w:hAnsi="Times New Roman" w:cs="Times New Roman"/>
          <w:color w:val="000000" w:themeColor="text1"/>
          <w:sz w:val="26"/>
          <w:szCs w:val="26"/>
          <w:lang w:eastAsia="ru-RU"/>
        </w:rPr>
      </w:pPr>
      <w:r>
        <w:rPr>
          <w:rStyle w:val="af2"/>
        </w:rPr>
        <w:footnoteRef/>
      </w:r>
      <w:r w:rsidRPr="00306BF5">
        <w:rPr>
          <w:rFonts w:ascii="Times New Roman" w:hAnsi="Times New Roman" w:cs="Times New Roman"/>
        </w:rPr>
        <w:t xml:space="preserve"> </w:t>
      </w:r>
      <w:hyperlink r:id="rId103" w:history="1">
        <w:r w:rsidRPr="00C55305">
          <w:rPr>
            <w:rStyle w:val="ad"/>
            <w:rFonts w:ascii="Times New Roman" w:eastAsia="SimSun" w:hAnsi="Times New Roman" w:cs="Times New Roman"/>
            <w:color w:val="auto"/>
            <w:kern w:val="3"/>
            <w:sz w:val="18"/>
            <w:szCs w:val="18"/>
            <w:u w:val="none"/>
            <w:lang w:val="en-US" w:eastAsia="zh-CN" w:bidi="hi-IN"/>
          </w:rPr>
          <w:t>https</w:t>
        </w:r>
        <w:r w:rsidRPr="00C55305">
          <w:rPr>
            <w:rStyle w:val="ad"/>
            <w:rFonts w:ascii="Times New Roman" w:eastAsia="SimSun" w:hAnsi="Times New Roman" w:cs="Times New Roman"/>
            <w:color w:val="auto"/>
            <w:kern w:val="3"/>
            <w:sz w:val="18"/>
            <w:szCs w:val="18"/>
            <w:u w:val="none"/>
            <w:lang w:eastAsia="zh-CN" w:bidi="hi-IN"/>
          </w:rPr>
          <w:t>://</w:t>
        </w:r>
        <w:r w:rsidRPr="00C55305">
          <w:rPr>
            <w:rStyle w:val="ad"/>
            <w:rFonts w:ascii="Times New Roman" w:eastAsia="SimSun" w:hAnsi="Times New Roman" w:cs="Times New Roman"/>
            <w:color w:val="auto"/>
            <w:kern w:val="3"/>
            <w:sz w:val="18"/>
            <w:szCs w:val="18"/>
            <w:u w:val="none"/>
            <w:lang w:val="en-US" w:eastAsia="zh-CN" w:bidi="hi-IN"/>
          </w:rPr>
          <w:t>www</w:t>
        </w:r>
        <w:r w:rsidRPr="00C55305">
          <w:rPr>
            <w:rStyle w:val="ad"/>
            <w:rFonts w:ascii="Times New Roman" w:eastAsia="SimSun" w:hAnsi="Times New Roman" w:cs="Times New Roman"/>
            <w:color w:val="auto"/>
            <w:kern w:val="3"/>
            <w:sz w:val="18"/>
            <w:szCs w:val="18"/>
            <w:u w:val="none"/>
            <w:lang w:eastAsia="zh-CN" w:bidi="hi-IN"/>
          </w:rPr>
          <w:t>.</w:t>
        </w:r>
        <w:r w:rsidRPr="00C55305">
          <w:rPr>
            <w:rStyle w:val="ad"/>
            <w:rFonts w:ascii="Times New Roman" w:eastAsia="SimSun" w:hAnsi="Times New Roman" w:cs="Times New Roman"/>
            <w:color w:val="auto"/>
            <w:kern w:val="3"/>
            <w:sz w:val="18"/>
            <w:szCs w:val="18"/>
            <w:u w:val="none"/>
            <w:lang w:val="en-US" w:eastAsia="zh-CN" w:bidi="hi-IN"/>
          </w:rPr>
          <w:t>cbr</w:t>
        </w:r>
        <w:r w:rsidRPr="00C55305">
          <w:rPr>
            <w:rStyle w:val="ad"/>
            <w:rFonts w:ascii="Times New Roman" w:eastAsia="SimSun" w:hAnsi="Times New Roman" w:cs="Times New Roman"/>
            <w:color w:val="auto"/>
            <w:kern w:val="3"/>
            <w:sz w:val="18"/>
            <w:szCs w:val="18"/>
            <w:u w:val="none"/>
            <w:lang w:eastAsia="zh-CN" w:bidi="hi-IN"/>
          </w:rPr>
          <w:t>.</w:t>
        </w:r>
        <w:r w:rsidRPr="00C55305">
          <w:rPr>
            <w:rStyle w:val="ad"/>
            <w:rFonts w:ascii="Times New Roman" w:eastAsia="SimSun" w:hAnsi="Times New Roman" w:cs="Times New Roman"/>
            <w:color w:val="auto"/>
            <w:kern w:val="3"/>
            <w:sz w:val="18"/>
            <w:szCs w:val="18"/>
            <w:u w:val="none"/>
            <w:lang w:val="en-US" w:eastAsia="zh-CN" w:bidi="hi-IN"/>
          </w:rPr>
          <w:t>ru</w:t>
        </w:r>
        <w:r w:rsidRPr="00C55305">
          <w:rPr>
            <w:rStyle w:val="ad"/>
            <w:rFonts w:ascii="Times New Roman" w:eastAsia="SimSun" w:hAnsi="Times New Roman" w:cs="Times New Roman"/>
            <w:color w:val="auto"/>
            <w:kern w:val="3"/>
            <w:sz w:val="18"/>
            <w:szCs w:val="18"/>
            <w:u w:val="none"/>
            <w:lang w:eastAsia="zh-CN" w:bidi="hi-IN"/>
          </w:rPr>
          <w:t>/</w:t>
        </w:r>
      </w:hyperlink>
      <w:r w:rsidRPr="00C55305">
        <w:rPr>
          <w:rStyle w:val="ad"/>
          <w:rFonts w:ascii="Liberation Serif" w:eastAsia="SimSun" w:hAnsi="Liberation Serif" w:cs="Mangal"/>
          <w:color w:val="auto"/>
          <w:kern w:val="3"/>
          <w:sz w:val="18"/>
          <w:szCs w:val="18"/>
          <w:u w:val="none"/>
          <w:lang w:eastAsia="zh-CN" w:bidi="hi-IN"/>
        </w:rPr>
        <w:t>.</w:t>
      </w:r>
    </w:p>
  </w:footnote>
  <w:footnote w:id="130">
    <w:p w14:paraId="25EED094" w14:textId="60B1C68D" w:rsidR="0090366A" w:rsidRPr="00C1026B" w:rsidRDefault="0090366A">
      <w:pPr>
        <w:pStyle w:val="af3"/>
        <w:rPr>
          <w:lang w:val="ru-RU"/>
        </w:rPr>
      </w:pPr>
      <w:r>
        <w:rPr>
          <w:rStyle w:val="af2"/>
        </w:rPr>
        <w:footnoteRef/>
      </w:r>
      <w:r w:rsidRPr="00C1026B">
        <w:rPr>
          <w:lang w:val="ru-RU"/>
        </w:rPr>
        <w:t xml:space="preserve"> </w:t>
      </w:r>
      <w:hyperlink r:id="rId104" w:history="1">
        <w:r w:rsidRPr="00C1026B">
          <w:rPr>
            <w:rStyle w:val="ad"/>
            <w:rFonts w:ascii="Times New Roman" w:eastAsia="Calibri" w:hAnsi="Times New Roman" w:cs="Times New Roman"/>
            <w:szCs w:val="20"/>
          </w:rPr>
          <w:t>https</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statrielt</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ru</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indeksy</w:t>
        </w:r>
        <w:r w:rsidRPr="00C1026B">
          <w:rPr>
            <w:rStyle w:val="ad"/>
            <w:rFonts w:ascii="Times New Roman" w:eastAsia="Calibri" w:hAnsi="Times New Roman" w:cs="Times New Roman"/>
            <w:szCs w:val="20"/>
            <w:lang w:val="ru-RU"/>
          </w:rPr>
          <w:t>/2406-</w:t>
        </w:r>
        <w:r w:rsidRPr="00C1026B">
          <w:rPr>
            <w:rStyle w:val="ad"/>
            <w:rFonts w:ascii="Times New Roman" w:eastAsia="Calibri" w:hAnsi="Times New Roman" w:cs="Times New Roman"/>
            <w:szCs w:val="20"/>
          </w:rPr>
          <w:t>indeksy</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izmeneniya</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rynochnykh</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tsen</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v</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rublyakh</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zemelnykh</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uchastkov</w:t>
        </w:r>
      </w:hyperlink>
    </w:p>
  </w:footnote>
  <w:footnote w:id="131">
    <w:p w14:paraId="42C15CA6" w14:textId="02004F9B" w:rsidR="0090366A" w:rsidRPr="00C1026B" w:rsidRDefault="0090366A">
      <w:pPr>
        <w:pStyle w:val="af3"/>
        <w:rPr>
          <w:lang w:val="ru-RU"/>
        </w:rPr>
      </w:pPr>
      <w:r>
        <w:rPr>
          <w:rStyle w:val="af2"/>
        </w:rPr>
        <w:footnoteRef/>
      </w:r>
      <w:r w:rsidRPr="00C1026B">
        <w:rPr>
          <w:lang w:val="ru-RU"/>
        </w:rPr>
        <w:t xml:space="preserve"> </w:t>
      </w:r>
      <w:hyperlink r:id="rId105" w:history="1">
        <w:r w:rsidRPr="00C1026B">
          <w:rPr>
            <w:rStyle w:val="ad"/>
            <w:rFonts w:ascii="Times New Roman" w:eastAsia="Calibri" w:hAnsi="Times New Roman" w:cs="Times New Roman"/>
            <w:szCs w:val="20"/>
          </w:rPr>
          <w:t>https</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statrielt</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ru</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indeksy</w:t>
        </w:r>
        <w:r w:rsidRPr="00C1026B">
          <w:rPr>
            <w:rStyle w:val="ad"/>
            <w:rFonts w:ascii="Times New Roman" w:eastAsia="Calibri" w:hAnsi="Times New Roman" w:cs="Times New Roman"/>
            <w:szCs w:val="20"/>
            <w:lang w:val="ru-RU"/>
          </w:rPr>
          <w:t>/2406-</w:t>
        </w:r>
        <w:r w:rsidRPr="00C1026B">
          <w:rPr>
            <w:rStyle w:val="ad"/>
            <w:rFonts w:ascii="Times New Roman" w:eastAsia="Calibri" w:hAnsi="Times New Roman" w:cs="Times New Roman"/>
            <w:szCs w:val="20"/>
          </w:rPr>
          <w:t>indeksy</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izmeneniya</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rynochnykh</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tsen</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v</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rublyakh</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zemelnykh</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uchastkov</w:t>
        </w:r>
      </w:hyperlink>
    </w:p>
  </w:footnote>
  <w:footnote w:id="132">
    <w:p w14:paraId="588201DF" w14:textId="294C9A29" w:rsidR="0090366A" w:rsidRPr="00C1026B" w:rsidRDefault="0090366A">
      <w:pPr>
        <w:pStyle w:val="af3"/>
        <w:rPr>
          <w:lang w:val="ru-RU"/>
        </w:rPr>
      </w:pPr>
      <w:r>
        <w:rPr>
          <w:rStyle w:val="af2"/>
        </w:rPr>
        <w:footnoteRef/>
      </w:r>
      <w:r w:rsidRPr="00C1026B">
        <w:rPr>
          <w:lang w:val="ru-RU"/>
        </w:rPr>
        <w:t xml:space="preserve"> </w:t>
      </w:r>
      <w:hyperlink r:id="rId106" w:history="1">
        <w:r w:rsidRPr="00C1026B">
          <w:rPr>
            <w:rStyle w:val="ad"/>
            <w:rFonts w:ascii="Times New Roman" w:eastAsia="Calibri" w:hAnsi="Times New Roman" w:cs="Times New Roman"/>
            <w:szCs w:val="20"/>
          </w:rPr>
          <w:t>https</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statrielt</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ru</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indeksy</w:t>
        </w:r>
        <w:r w:rsidRPr="00C1026B">
          <w:rPr>
            <w:rStyle w:val="ad"/>
            <w:rFonts w:ascii="Times New Roman" w:eastAsia="Calibri" w:hAnsi="Times New Roman" w:cs="Times New Roman"/>
            <w:szCs w:val="20"/>
            <w:lang w:val="ru-RU"/>
          </w:rPr>
          <w:t>/2406-</w:t>
        </w:r>
        <w:r w:rsidRPr="00C1026B">
          <w:rPr>
            <w:rStyle w:val="ad"/>
            <w:rFonts w:ascii="Times New Roman" w:eastAsia="Calibri" w:hAnsi="Times New Roman" w:cs="Times New Roman"/>
            <w:szCs w:val="20"/>
          </w:rPr>
          <w:t>indeksy</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izmeneniya</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rynochnykh</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tsen</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v</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rublyakh</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zemelnykh</w:t>
        </w:r>
        <w:r w:rsidRPr="00C1026B">
          <w:rPr>
            <w:rStyle w:val="ad"/>
            <w:rFonts w:ascii="Times New Roman" w:eastAsia="Calibri" w:hAnsi="Times New Roman" w:cs="Times New Roman"/>
            <w:szCs w:val="20"/>
            <w:lang w:val="ru-RU"/>
          </w:rPr>
          <w:t>-</w:t>
        </w:r>
        <w:r w:rsidRPr="00C1026B">
          <w:rPr>
            <w:rStyle w:val="ad"/>
            <w:rFonts w:ascii="Times New Roman" w:eastAsia="Calibri" w:hAnsi="Times New Roman" w:cs="Times New Roman"/>
            <w:szCs w:val="20"/>
          </w:rPr>
          <w:t>uchastkov</w:t>
        </w:r>
      </w:hyperlink>
    </w:p>
  </w:footnote>
  <w:footnote w:id="133">
    <w:p w14:paraId="70D5054D" w14:textId="641B07C0" w:rsidR="0090366A" w:rsidRPr="00447F93" w:rsidRDefault="0090366A">
      <w:pPr>
        <w:pStyle w:val="af3"/>
        <w:rPr>
          <w:lang w:val="ru-RU"/>
        </w:rPr>
      </w:pPr>
      <w:r>
        <w:rPr>
          <w:rStyle w:val="af2"/>
        </w:rPr>
        <w:footnoteRef/>
      </w:r>
      <w:r w:rsidRPr="00447F93">
        <w:rPr>
          <w:lang w:val="ru-RU"/>
        </w:rPr>
        <w:t xml:space="preserve"> </w:t>
      </w:r>
      <w:hyperlink r:id="rId107" w:history="1">
        <w:r w:rsidRPr="00447F93">
          <w:rPr>
            <w:rStyle w:val="ad"/>
            <w:rFonts w:ascii="Times New Roman" w:eastAsia="Calibri" w:hAnsi="Times New Roman" w:cs="Times New Roman"/>
            <w:szCs w:val="20"/>
          </w:rPr>
          <w:t>https</w:t>
        </w:r>
        <w:r w:rsidRPr="00447F93">
          <w:rPr>
            <w:rStyle w:val="ad"/>
            <w:rFonts w:ascii="Times New Roman" w:eastAsia="Calibri" w:hAnsi="Times New Roman" w:cs="Times New Roman"/>
            <w:szCs w:val="20"/>
            <w:lang w:val="ru-RU"/>
          </w:rPr>
          <w:t>://</w:t>
        </w:r>
        <w:r w:rsidRPr="00447F93">
          <w:rPr>
            <w:rStyle w:val="ad"/>
            <w:rFonts w:ascii="Times New Roman" w:eastAsia="Calibri" w:hAnsi="Times New Roman" w:cs="Times New Roman"/>
            <w:szCs w:val="20"/>
          </w:rPr>
          <w:t>statrielt</w:t>
        </w:r>
        <w:r w:rsidRPr="00447F93">
          <w:rPr>
            <w:rStyle w:val="ad"/>
            <w:rFonts w:ascii="Times New Roman" w:eastAsia="Calibri" w:hAnsi="Times New Roman" w:cs="Times New Roman"/>
            <w:szCs w:val="20"/>
            <w:lang w:val="ru-RU"/>
          </w:rPr>
          <w:t>.</w:t>
        </w:r>
        <w:r w:rsidRPr="00447F93">
          <w:rPr>
            <w:rStyle w:val="ad"/>
            <w:rFonts w:ascii="Times New Roman" w:eastAsia="Calibri" w:hAnsi="Times New Roman" w:cs="Times New Roman"/>
            <w:szCs w:val="20"/>
          </w:rPr>
          <w:t>ru</w:t>
        </w:r>
        <w:r w:rsidRPr="00447F93">
          <w:rPr>
            <w:rStyle w:val="ad"/>
            <w:rFonts w:ascii="Times New Roman" w:eastAsia="Calibri" w:hAnsi="Times New Roman" w:cs="Times New Roman"/>
            <w:szCs w:val="20"/>
            <w:lang w:val="ru-RU"/>
          </w:rPr>
          <w:t>/</w:t>
        </w:r>
        <w:r w:rsidRPr="00447F93">
          <w:rPr>
            <w:rStyle w:val="ad"/>
            <w:rFonts w:ascii="Times New Roman" w:eastAsia="Calibri" w:hAnsi="Times New Roman" w:cs="Times New Roman"/>
            <w:szCs w:val="20"/>
          </w:rPr>
          <w:t>indeksy</w:t>
        </w:r>
        <w:r w:rsidRPr="00447F93">
          <w:rPr>
            <w:rStyle w:val="ad"/>
            <w:rFonts w:ascii="Times New Roman" w:eastAsia="Calibri" w:hAnsi="Times New Roman" w:cs="Times New Roman"/>
            <w:szCs w:val="20"/>
            <w:lang w:val="ru-RU"/>
          </w:rPr>
          <w:t>/2406-</w:t>
        </w:r>
        <w:r w:rsidRPr="00447F93">
          <w:rPr>
            <w:rStyle w:val="ad"/>
            <w:rFonts w:ascii="Times New Roman" w:eastAsia="Calibri" w:hAnsi="Times New Roman" w:cs="Times New Roman"/>
            <w:szCs w:val="20"/>
          </w:rPr>
          <w:t>indeksy</w:t>
        </w:r>
        <w:r w:rsidRPr="00447F93">
          <w:rPr>
            <w:rStyle w:val="ad"/>
            <w:rFonts w:ascii="Times New Roman" w:eastAsia="Calibri" w:hAnsi="Times New Roman" w:cs="Times New Roman"/>
            <w:szCs w:val="20"/>
            <w:lang w:val="ru-RU"/>
          </w:rPr>
          <w:t>-</w:t>
        </w:r>
        <w:r w:rsidRPr="00447F93">
          <w:rPr>
            <w:rStyle w:val="ad"/>
            <w:rFonts w:ascii="Times New Roman" w:eastAsia="Calibri" w:hAnsi="Times New Roman" w:cs="Times New Roman"/>
            <w:szCs w:val="20"/>
          </w:rPr>
          <w:t>izmeneniya</w:t>
        </w:r>
        <w:r w:rsidRPr="00447F93">
          <w:rPr>
            <w:rStyle w:val="ad"/>
            <w:rFonts w:ascii="Times New Roman" w:eastAsia="Calibri" w:hAnsi="Times New Roman" w:cs="Times New Roman"/>
            <w:szCs w:val="20"/>
            <w:lang w:val="ru-RU"/>
          </w:rPr>
          <w:t>-</w:t>
        </w:r>
        <w:r w:rsidRPr="00447F93">
          <w:rPr>
            <w:rStyle w:val="ad"/>
            <w:rFonts w:ascii="Times New Roman" w:eastAsia="Calibri" w:hAnsi="Times New Roman" w:cs="Times New Roman"/>
            <w:szCs w:val="20"/>
          </w:rPr>
          <w:t>rynochnykh</w:t>
        </w:r>
        <w:r w:rsidRPr="00447F93">
          <w:rPr>
            <w:rStyle w:val="ad"/>
            <w:rFonts w:ascii="Times New Roman" w:eastAsia="Calibri" w:hAnsi="Times New Roman" w:cs="Times New Roman"/>
            <w:szCs w:val="20"/>
            <w:lang w:val="ru-RU"/>
          </w:rPr>
          <w:t>-</w:t>
        </w:r>
        <w:r w:rsidRPr="00447F93">
          <w:rPr>
            <w:rStyle w:val="ad"/>
            <w:rFonts w:ascii="Times New Roman" w:eastAsia="Calibri" w:hAnsi="Times New Roman" w:cs="Times New Roman"/>
            <w:szCs w:val="20"/>
          </w:rPr>
          <w:t>tsen</w:t>
        </w:r>
        <w:r w:rsidRPr="00447F93">
          <w:rPr>
            <w:rStyle w:val="ad"/>
            <w:rFonts w:ascii="Times New Roman" w:eastAsia="Calibri" w:hAnsi="Times New Roman" w:cs="Times New Roman"/>
            <w:szCs w:val="20"/>
            <w:lang w:val="ru-RU"/>
          </w:rPr>
          <w:t>-</w:t>
        </w:r>
        <w:r w:rsidRPr="00447F93">
          <w:rPr>
            <w:rStyle w:val="ad"/>
            <w:rFonts w:ascii="Times New Roman" w:eastAsia="Calibri" w:hAnsi="Times New Roman" w:cs="Times New Roman"/>
            <w:szCs w:val="20"/>
          </w:rPr>
          <w:t>v</w:t>
        </w:r>
        <w:r w:rsidRPr="00447F93">
          <w:rPr>
            <w:rStyle w:val="ad"/>
            <w:rFonts w:ascii="Times New Roman" w:eastAsia="Calibri" w:hAnsi="Times New Roman" w:cs="Times New Roman"/>
            <w:szCs w:val="20"/>
            <w:lang w:val="ru-RU"/>
          </w:rPr>
          <w:t>-</w:t>
        </w:r>
        <w:r w:rsidRPr="00447F93">
          <w:rPr>
            <w:rStyle w:val="ad"/>
            <w:rFonts w:ascii="Times New Roman" w:eastAsia="Calibri" w:hAnsi="Times New Roman" w:cs="Times New Roman"/>
            <w:szCs w:val="20"/>
          </w:rPr>
          <w:t>rublyakh</w:t>
        </w:r>
        <w:r w:rsidRPr="00447F93">
          <w:rPr>
            <w:rStyle w:val="ad"/>
            <w:rFonts w:ascii="Times New Roman" w:eastAsia="Calibri" w:hAnsi="Times New Roman" w:cs="Times New Roman"/>
            <w:szCs w:val="20"/>
            <w:lang w:val="ru-RU"/>
          </w:rPr>
          <w:t>-</w:t>
        </w:r>
        <w:r w:rsidRPr="00447F93">
          <w:rPr>
            <w:rStyle w:val="ad"/>
            <w:rFonts w:ascii="Times New Roman" w:eastAsia="Calibri" w:hAnsi="Times New Roman" w:cs="Times New Roman"/>
            <w:szCs w:val="20"/>
          </w:rPr>
          <w:t>zemelnykh</w:t>
        </w:r>
        <w:r w:rsidRPr="00447F93">
          <w:rPr>
            <w:rStyle w:val="ad"/>
            <w:rFonts w:ascii="Times New Roman" w:eastAsia="Calibri" w:hAnsi="Times New Roman" w:cs="Times New Roman"/>
            <w:szCs w:val="20"/>
            <w:lang w:val="ru-RU"/>
          </w:rPr>
          <w:t>-</w:t>
        </w:r>
        <w:r w:rsidRPr="00447F93">
          <w:rPr>
            <w:rStyle w:val="ad"/>
            <w:rFonts w:ascii="Times New Roman" w:eastAsia="Calibri" w:hAnsi="Times New Roman" w:cs="Times New Roman"/>
            <w:szCs w:val="20"/>
          </w:rPr>
          <w:t>uchastkov</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CD208" w14:textId="38D80042" w:rsidR="0090366A" w:rsidRPr="00953302" w:rsidRDefault="0090366A" w:rsidP="00DB212B">
    <w:pPr>
      <w:pStyle w:val="a7"/>
      <w:tabs>
        <w:tab w:val="clear" w:pos="4677"/>
        <w:tab w:val="clear" w:pos="9355"/>
        <w:tab w:val="left" w:pos="7652"/>
      </w:tabs>
      <w:jc w:val="center"/>
      <w:rPr>
        <w:rFonts w:ascii="Times New Roman" w:hAnsi="Times New Roman" w:cs="Times New Roman"/>
        <w:i/>
        <w:sz w:val="20"/>
      </w:rPr>
    </w:pPr>
    <w:r w:rsidRPr="00953302">
      <w:rPr>
        <w:rFonts w:ascii="Times New Roman" w:hAnsi="Times New Roman" w:cs="Times New Roman"/>
        <w:i/>
        <w:sz w:val="20"/>
      </w:rPr>
      <w:t>Государственное бюджетное учреждение Воронежской области</w:t>
    </w:r>
  </w:p>
  <w:p w14:paraId="4555C422" w14:textId="7EAFC9A7" w:rsidR="0090366A" w:rsidRDefault="0090366A" w:rsidP="00DB212B">
    <w:pPr>
      <w:pStyle w:val="a7"/>
      <w:tabs>
        <w:tab w:val="clear" w:pos="4677"/>
        <w:tab w:val="clear" w:pos="9355"/>
        <w:tab w:val="left" w:pos="7652"/>
      </w:tabs>
      <w:jc w:val="center"/>
      <w:rPr>
        <w:rFonts w:ascii="Times New Roman" w:hAnsi="Times New Roman" w:cs="Times New Roman"/>
        <w:i/>
        <w:sz w:val="20"/>
      </w:rPr>
    </w:pPr>
    <w:r w:rsidRPr="00953302">
      <w:rPr>
        <w:rFonts w:ascii="Times New Roman" w:hAnsi="Times New Roman" w:cs="Times New Roman"/>
        <w:i/>
        <w:sz w:val="20"/>
      </w:rPr>
      <w:t xml:space="preserve">«Центр государственной кадастровой оценки Воронежской области» </w:t>
    </w:r>
    <w:r>
      <w:rPr>
        <w:rFonts w:ascii="Times New Roman" w:hAnsi="Times New Roman" w:cs="Times New Roman"/>
        <w:i/>
        <w:sz w:val="20"/>
      </w:rPr>
      <w:t>(ГБУ ВО «ЦГКО ВО»)</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0409B9"/>
    <w:multiLevelType w:val="hybridMultilevel"/>
    <w:tmpl w:val="7D64DA30"/>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33243F9"/>
    <w:multiLevelType w:val="multilevel"/>
    <w:tmpl w:val="DF3EEA0C"/>
    <w:styleLink w:val="15"/>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9922F2"/>
    <w:multiLevelType w:val="hybridMultilevel"/>
    <w:tmpl w:val="02F249E0"/>
    <w:lvl w:ilvl="0" w:tplc="A2A060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4804154"/>
    <w:multiLevelType w:val="multilevel"/>
    <w:tmpl w:val="F236C0C2"/>
    <w:lvl w:ilvl="0">
      <w:start w:val="3"/>
      <w:numFmt w:val="decimal"/>
      <w:lvlText w:val="%1."/>
      <w:lvlJc w:val="left"/>
      <w:pPr>
        <w:ind w:left="390" w:hanging="390"/>
      </w:pPr>
      <w:rPr>
        <w:rFonts w:hint="default"/>
      </w:rPr>
    </w:lvl>
    <w:lvl w:ilvl="1">
      <w:start w:val="5"/>
      <w:numFmt w:val="decimal"/>
      <w:lvlText w:val="%1.%2."/>
      <w:lvlJc w:val="left"/>
      <w:pPr>
        <w:ind w:left="1723" w:hanging="720"/>
      </w:pPr>
      <w:rPr>
        <w:rFonts w:hint="default"/>
      </w:rPr>
    </w:lvl>
    <w:lvl w:ilvl="2">
      <w:start w:val="1"/>
      <w:numFmt w:val="decimal"/>
      <w:lvlText w:val="%1.%2.%3."/>
      <w:lvlJc w:val="left"/>
      <w:pPr>
        <w:ind w:left="2726" w:hanging="720"/>
      </w:pPr>
      <w:rPr>
        <w:rFonts w:hint="default"/>
      </w:rPr>
    </w:lvl>
    <w:lvl w:ilvl="3">
      <w:start w:val="1"/>
      <w:numFmt w:val="decimal"/>
      <w:lvlText w:val="%1.%2.%3.%4."/>
      <w:lvlJc w:val="left"/>
      <w:pPr>
        <w:ind w:left="4089" w:hanging="1080"/>
      </w:pPr>
      <w:rPr>
        <w:rFonts w:hint="default"/>
      </w:rPr>
    </w:lvl>
    <w:lvl w:ilvl="4">
      <w:start w:val="1"/>
      <w:numFmt w:val="decimal"/>
      <w:lvlText w:val="%1.%2.%3.%4.%5."/>
      <w:lvlJc w:val="left"/>
      <w:pPr>
        <w:ind w:left="5092" w:hanging="1080"/>
      </w:pPr>
      <w:rPr>
        <w:rFonts w:hint="default"/>
      </w:rPr>
    </w:lvl>
    <w:lvl w:ilvl="5">
      <w:start w:val="1"/>
      <w:numFmt w:val="decimal"/>
      <w:lvlText w:val="%1.%2.%3.%4.%5.%6."/>
      <w:lvlJc w:val="left"/>
      <w:pPr>
        <w:ind w:left="6455" w:hanging="1440"/>
      </w:pPr>
      <w:rPr>
        <w:rFonts w:hint="default"/>
      </w:rPr>
    </w:lvl>
    <w:lvl w:ilvl="6">
      <w:start w:val="1"/>
      <w:numFmt w:val="decimal"/>
      <w:lvlText w:val="%1.%2.%3.%4.%5.%6.%7."/>
      <w:lvlJc w:val="left"/>
      <w:pPr>
        <w:ind w:left="7458" w:hanging="1440"/>
      </w:pPr>
      <w:rPr>
        <w:rFonts w:hint="default"/>
      </w:rPr>
    </w:lvl>
    <w:lvl w:ilvl="7">
      <w:start w:val="1"/>
      <w:numFmt w:val="decimal"/>
      <w:lvlText w:val="%1.%2.%3.%4.%5.%6.%7.%8."/>
      <w:lvlJc w:val="left"/>
      <w:pPr>
        <w:ind w:left="8821" w:hanging="1800"/>
      </w:pPr>
      <w:rPr>
        <w:rFonts w:hint="default"/>
      </w:rPr>
    </w:lvl>
    <w:lvl w:ilvl="8">
      <w:start w:val="1"/>
      <w:numFmt w:val="decimal"/>
      <w:lvlText w:val="%1.%2.%3.%4.%5.%6.%7.%8.%9."/>
      <w:lvlJc w:val="left"/>
      <w:pPr>
        <w:ind w:left="9824" w:hanging="1800"/>
      </w:pPr>
      <w:rPr>
        <w:rFonts w:hint="default"/>
      </w:rPr>
    </w:lvl>
  </w:abstractNum>
  <w:abstractNum w:abstractNumId="5" w15:restartNumberingAfterBreak="0">
    <w:nsid w:val="0D2025AC"/>
    <w:multiLevelType w:val="multilevel"/>
    <w:tmpl w:val="6B2E275A"/>
    <w:styleLink w:val="WWNum4"/>
    <w:lvl w:ilvl="0">
      <w:numFmt w:val="bullet"/>
      <w:pStyle w:val="92"/>
      <w:lvlText w:val="-"/>
      <w:lvlJc w:val="left"/>
      <w:pPr>
        <w:ind w:left="1211" w:hanging="360"/>
      </w:pPr>
      <w:rPr>
        <w:rFonts w:ascii="Courier New" w:hAnsi="Courier New"/>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6" w15:restartNumberingAfterBreak="0">
    <w:nsid w:val="106A54CF"/>
    <w:multiLevelType w:val="multilevel"/>
    <w:tmpl w:val="29AAC94A"/>
    <w:lvl w:ilvl="0">
      <w:start w:val="3"/>
      <w:numFmt w:val="decimal"/>
      <w:lvlText w:val="%1."/>
      <w:lvlJc w:val="left"/>
      <w:pPr>
        <w:ind w:left="360" w:hanging="360"/>
      </w:pPr>
      <w:rPr>
        <w:rFonts w:hint="default"/>
      </w:rPr>
    </w:lvl>
    <w:lvl w:ilvl="1">
      <w:start w:val="7"/>
      <w:numFmt w:val="decimal"/>
      <w:lvlText w:val="%1.%2."/>
      <w:lvlJc w:val="left"/>
      <w:pPr>
        <w:ind w:left="1714" w:hanging="360"/>
      </w:pPr>
      <w:rPr>
        <w:rFonts w:hint="default"/>
      </w:rPr>
    </w:lvl>
    <w:lvl w:ilvl="2">
      <w:start w:val="1"/>
      <w:numFmt w:val="decimal"/>
      <w:lvlText w:val="%1.%2.%3."/>
      <w:lvlJc w:val="left"/>
      <w:pPr>
        <w:ind w:left="3428" w:hanging="720"/>
      </w:pPr>
      <w:rPr>
        <w:rFonts w:hint="default"/>
      </w:rPr>
    </w:lvl>
    <w:lvl w:ilvl="3">
      <w:start w:val="1"/>
      <w:numFmt w:val="decimal"/>
      <w:lvlText w:val="%1.%2.%3.%4."/>
      <w:lvlJc w:val="left"/>
      <w:pPr>
        <w:ind w:left="4782" w:hanging="720"/>
      </w:pPr>
      <w:rPr>
        <w:rFonts w:hint="default"/>
      </w:rPr>
    </w:lvl>
    <w:lvl w:ilvl="4">
      <w:start w:val="1"/>
      <w:numFmt w:val="decimal"/>
      <w:lvlText w:val="%1.%2.%3.%4.%5."/>
      <w:lvlJc w:val="left"/>
      <w:pPr>
        <w:ind w:left="6496" w:hanging="1080"/>
      </w:pPr>
      <w:rPr>
        <w:rFonts w:hint="default"/>
      </w:rPr>
    </w:lvl>
    <w:lvl w:ilvl="5">
      <w:start w:val="1"/>
      <w:numFmt w:val="decimal"/>
      <w:lvlText w:val="%1.%2.%3.%4.%5.%6."/>
      <w:lvlJc w:val="left"/>
      <w:pPr>
        <w:ind w:left="7850" w:hanging="1080"/>
      </w:pPr>
      <w:rPr>
        <w:rFonts w:hint="default"/>
      </w:rPr>
    </w:lvl>
    <w:lvl w:ilvl="6">
      <w:start w:val="1"/>
      <w:numFmt w:val="decimal"/>
      <w:lvlText w:val="%1.%2.%3.%4.%5.%6.%7."/>
      <w:lvlJc w:val="left"/>
      <w:pPr>
        <w:ind w:left="9564" w:hanging="1440"/>
      </w:pPr>
      <w:rPr>
        <w:rFonts w:hint="default"/>
      </w:rPr>
    </w:lvl>
    <w:lvl w:ilvl="7">
      <w:start w:val="1"/>
      <w:numFmt w:val="decimal"/>
      <w:lvlText w:val="%1.%2.%3.%4.%5.%6.%7.%8."/>
      <w:lvlJc w:val="left"/>
      <w:pPr>
        <w:ind w:left="10918" w:hanging="1440"/>
      </w:pPr>
      <w:rPr>
        <w:rFonts w:hint="default"/>
      </w:rPr>
    </w:lvl>
    <w:lvl w:ilvl="8">
      <w:start w:val="1"/>
      <w:numFmt w:val="decimal"/>
      <w:lvlText w:val="%1.%2.%3.%4.%5.%6.%7.%8.%9."/>
      <w:lvlJc w:val="left"/>
      <w:pPr>
        <w:ind w:left="12632" w:hanging="1800"/>
      </w:pPr>
      <w:rPr>
        <w:rFonts w:hint="default"/>
      </w:rPr>
    </w:lvl>
  </w:abstractNum>
  <w:abstractNum w:abstractNumId="7" w15:restartNumberingAfterBreak="0">
    <w:nsid w:val="14BA4E79"/>
    <w:multiLevelType w:val="multilevel"/>
    <w:tmpl w:val="9F0CFD58"/>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482E95"/>
    <w:multiLevelType w:val="hybridMultilevel"/>
    <w:tmpl w:val="7A267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8702F70"/>
    <w:multiLevelType w:val="multilevel"/>
    <w:tmpl w:val="4E72BD4A"/>
    <w:lvl w:ilvl="0">
      <w:numFmt w:val="bullet"/>
      <w:lvlText w:val="–"/>
      <w:lvlJc w:val="left"/>
      <w:pPr>
        <w:ind w:left="1440" w:hanging="360"/>
      </w:pPr>
      <w:rPr>
        <w:rFonts w:ascii="Times New Roman" w:eastAsia="Calibri" w:hAnsi="Times New Roman" w:cs="Times New Roman"/>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0" w15:restartNumberingAfterBreak="0">
    <w:nsid w:val="190A4E5E"/>
    <w:multiLevelType w:val="hybridMultilevel"/>
    <w:tmpl w:val="696E2C82"/>
    <w:lvl w:ilvl="0" w:tplc="04190005">
      <w:start w:val="1"/>
      <w:numFmt w:val="bullet"/>
      <w:pStyle w:val="avg-"/>
      <w:lvlText w:val=""/>
      <w:lvlJc w:val="left"/>
      <w:pPr>
        <w:ind w:left="928"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A65590B"/>
    <w:multiLevelType w:val="multilevel"/>
    <w:tmpl w:val="6E3C5CBE"/>
    <w:lvl w:ilvl="0">
      <w:start w:val="1"/>
      <w:numFmt w:val="bullet"/>
      <w:lvlText w:val=""/>
      <w:lvlJc w:val="left"/>
      <w:pPr>
        <w:ind w:left="720" w:hanging="360"/>
      </w:pPr>
      <w:rPr>
        <w:rFonts w:ascii="Symbol" w:hAnsi="Symbol" w:hint="default"/>
      </w:rPr>
    </w:lvl>
    <w:lvl w:ilvl="1">
      <w:start w:val="1"/>
      <w:numFmt w:val="decimal"/>
      <w:lvlText w:val="%2."/>
      <w:lvlJc w:val="left"/>
      <w:pPr>
        <w:tabs>
          <w:tab w:val="num" w:pos="1210"/>
        </w:tabs>
        <w:ind w:left="121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1AF1409D"/>
    <w:multiLevelType w:val="multilevel"/>
    <w:tmpl w:val="28D018DE"/>
    <w:lvl w:ilvl="0">
      <w:start w:val="2"/>
      <w:numFmt w:val="decimal"/>
      <w:lvlText w:val="%1"/>
      <w:lvlJc w:val="left"/>
      <w:pPr>
        <w:ind w:left="465" w:hanging="465"/>
      </w:pPr>
      <w:rPr>
        <w:rFonts w:hint="default"/>
      </w:rPr>
    </w:lvl>
    <w:lvl w:ilvl="1">
      <w:start w:val="11"/>
      <w:numFmt w:val="decimal"/>
      <w:lvlText w:val="%1.%2"/>
      <w:lvlJc w:val="left"/>
      <w:pPr>
        <w:ind w:left="1812" w:hanging="465"/>
      </w:pPr>
      <w:rPr>
        <w:rFonts w:hint="default"/>
      </w:rPr>
    </w:lvl>
    <w:lvl w:ilvl="2">
      <w:start w:val="1"/>
      <w:numFmt w:val="decimal"/>
      <w:lvlText w:val="%1.%2.%3"/>
      <w:lvlJc w:val="left"/>
      <w:pPr>
        <w:ind w:left="3414" w:hanging="720"/>
      </w:pPr>
      <w:rPr>
        <w:rFonts w:hint="default"/>
      </w:rPr>
    </w:lvl>
    <w:lvl w:ilvl="3">
      <w:start w:val="1"/>
      <w:numFmt w:val="decimal"/>
      <w:lvlText w:val="%1.%2.%3.%4"/>
      <w:lvlJc w:val="left"/>
      <w:pPr>
        <w:ind w:left="4761" w:hanging="72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576" w:hanging="1800"/>
      </w:pPr>
      <w:rPr>
        <w:rFonts w:hint="default"/>
      </w:rPr>
    </w:lvl>
  </w:abstractNum>
  <w:abstractNum w:abstractNumId="13" w15:restartNumberingAfterBreak="0">
    <w:nsid w:val="1BB40E63"/>
    <w:multiLevelType w:val="hybridMultilevel"/>
    <w:tmpl w:val="5C08F2F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1BFF43BF"/>
    <w:multiLevelType w:val="multilevel"/>
    <w:tmpl w:val="A84CE9BA"/>
    <w:lvl w:ilvl="0">
      <w:start w:val="1"/>
      <w:numFmt w:val="decimal"/>
      <w:lvlText w:val="%1."/>
      <w:lvlJc w:val="left"/>
      <w:pPr>
        <w:ind w:left="1069" w:hanging="360"/>
      </w:pPr>
      <w:rPr>
        <w:rFonts w:hint="default"/>
      </w:rPr>
    </w:lvl>
    <w:lvl w:ilvl="1">
      <w:start w:val="4"/>
      <w:numFmt w:val="decimal"/>
      <w:isLgl/>
      <w:lvlText w:val="%1.%2"/>
      <w:lvlJc w:val="left"/>
      <w:pPr>
        <w:ind w:left="1342" w:hanging="525"/>
      </w:pPr>
      <w:rPr>
        <w:rFonts w:hint="default"/>
      </w:rPr>
    </w:lvl>
    <w:lvl w:ilvl="2">
      <w:start w:val="1"/>
      <w:numFmt w:val="decimal"/>
      <w:isLgl/>
      <w:lvlText w:val="%1.%2.%3"/>
      <w:lvlJc w:val="left"/>
      <w:pPr>
        <w:ind w:left="1645" w:hanging="720"/>
      </w:pPr>
      <w:rPr>
        <w:rFonts w:hint="default"/>
      </w:rPr>
    </w:lvl>
    <w:lvl w:ilvl="3">
      <w:start w:val="1"/>
      <w:numFmt w:val="decimal"/>
      <w:isLgl/>
      <w:lvlText w:val="%1.%2.%3.%4"/>
      <w:lvlJc w:val="left"/>
      <w:pPr>
        <w:ind w:left="1753" w:hanging="720"/>
      </w:pPr>
      <w:rPr>
        <w:rFonts w:hint="default"/>
      </w:rPr>
    </w:lvl>
    <w:lvl w:ilvl="4">
      <w:start w:val="1"/>
      <w:numFmt w:val="decimal"/>
      <w:isLgl/>
      <w:lvlText w:val="%1.%2.%3.%4.%5"/>
      <w:lvlJc w:val="left"/>
      <w:pPr>
        <w:ind w:left="2221" w:hanging="1080"/>
      </w:pPr>
      <w:rPr>
        <w:rFonts w:hint="default"/>
      </w:rPr>
    </w:lvl>
    <w:lvl w:ilvl="5">
      <w:start w:val="1"/>
      <w:numFmt w:val="decimal"/>
      <w:isLgl/>
      <w:lvlText w:val="%1.%2.%3.%4.%5.%6"/>
      <w:lvlJc w:val="left"/>
      <w:pPr>
        <w:ind w:left="2689" w:hanging="1440"/>
      </w:pPr>
      <w:rPr>
        <w:rFonts w:hint="default"/>
      </w:rPr>
    </w:lvl>
    <w:lvl w:ilvl="6">
      <w:start w:val="1"/>
      <w:numFmt w:val="decimal"/>
      <w:isLgl/>
      <w:lvlText w:val="%1.%2.%3.%4.%5.%6.%7"/>
      <w:lvlJc w:val="left"/>
      <w:pPr>
        <w:ind w:left="2797" w:hanging="1440"/>
      </w:pPr>
      <w:rPr>
        <w:rFonts w:hint="default"/>
      </w:rPr>
    </w:lvl>
    <w:lvl w:ilvl="7">
      <w:start w:val="1"/>
      <w:numFmt w:val="decimal"/>
      <w:isLgl/>
      <w:lvlText w:val="%1.%2.%3.%4.%5.%6.%7.%8"/>
      <w:lvlJc w:val="left"/>
      <w:pPr>
        <w:ind w:left="3265" w:hanging="1800"/>
      </w:pPr>
      <w:rPr>
        <w:rFonts w:hint="default"/>
      </w:rPr>
    </w:lvl>
    <w:lvl w:ilvl="8">
      <w:start w:val="1"/>
      <w:numFmt w:val="decimal"/>
      <w:isLgl/>
      <w:lvlText w:val="%1.%2.%3.%4.%5.%6.%7.%8.%9"/>
      <w:lvlJc w:val="left"/>
      <w:pPr>
        <w:ind w:left="3373" w:hanging="1800"/>
      </w:pPr>
      <w:rPr>
        <w:rFonts w:hint="default"/>
      </w:rPr>
    </w:lvl>
  </w:abstractNum>
  <w:abstractNum w:abstractNumId="15" w15:restartNumberingAfterBreak="0">
    <w:nsid w:val="21C65AD6"/>
    <w:multiLevelType w:val="hybridMultilevel"/>
    <w:tmpl w:val="FD067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8E103B"/>
    <w:multiLevelType w:val="hybridMultilevel"/>
    <w:tmpl w:val="A878ABB2"/>
    <w:lvl w:ilvl="0" w:tplc="A2A06038">
      <w:start w:val="1"/>
      <w:numFmt w:val="decimal"/>
      <w:lvlText w:val="%1)"/>
      <w:lvlJc w:val="left"/>
      <w:pPr>
        <w:ind w:left="248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BB62F14"/>
    <w:multiLevelType w:val="multilevel"/>
    <w:tmpl w:val="94F88014"/>
    <w:lvl w:ilvl="0">
      <w:start w:val="2"/>
      <w:numFmt w:val="decimal"/>
      <w:lvlText w:val="%1"/>
      <w:lvlJc w:val="left"/>
      <w:pPr>
        <w:ind w:left="525" w:hanging="525"/>
      </w:pPr>
      <w:rPr>
        <w:rFonts w:hint="default"/>
      </w:rPr>
    </w:lvl>
    <w:lvl w:ilvl="1">
      <w:start w:val="8"/>
      <w:numFmt w:val="decimal"/>
      <w:lvlText w:val="%1.%2"/>
      <w:lvlJc w:val="left"/>
      <w:pPr>
        <w:ind w:left="988" w:hanging="525"/>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504" w:hanging="1800"/>
      </w:pPr>
      <w:rPr>
        <w:rFonts w:hint="default"/>
      </w:rPr>
    </w:lvl>
  </w:abstractNum>
  <w:abstractNum w:abstractNumId="18" w15:restartNumberingAfterBreak="0">
    <w:nsid w:val="2C3B0B0C"/>
    <w:multiLevelType w:val="hybridMultilevel"/>
    <w:tmpl w:val="162AC896"/>
    <w:styleLink w:val="2"/>
    <w:lvl w:ilvl="0" w:tplc="69C40A08">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2E441D27"/>
    <w:multiLevelType w:val="hybridMultilevel"/>
    <w:tmpl w:val="2DBABC02"/>
    <w:lvl w:ilvl="0" w:tplc="22E65030">
      <w:start w:val="1"/>
      <w:numFmt w:val="decimal"/>
      <w:pStyle w:val="1-"/>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335C7B01"/>
    <w:multiLevelType w:val="hybridMultilevel"/>
    <w:tmpl w:val="3C665D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4B7215A"/>
    <w:multiLevelType w:val="hybridMultilevel"/>
    <w:tmpl w:val="88989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6BA2E72"/>
    <w:multiLevelType w:val="hybridMultilevel"/>
    <w:tmpl w:val="02F249E0"/>
    <w:lvl w:ilvl="0" w:tplc="A2A060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88F132D"/>
    <w:multiLevelType w:val="multilevel"/>
    <w:tmpl w:val="A7B6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DF75BF"/>
    <w:multiLevelType w:val="multilevel"/>
    <w:tmpl w:val="046A9D6C"/>
    <w:styleLink w:val="WWNum19"/>
    <w:lvl w:ilvl="0">
      <w:start w:val="3"/>
      <w:numFmt w:val="decimal"/>
      <w:suff w:val="space"/>
      <w:lvlText w:val="%1.1.2"/>
      <w:lvlJc w:val="left"/>
      <w:pPr>
        <w:ind w:left="142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A732035"/>
    <w:multiLevelType w:val="hybridMultilevel"/>
    <w:tmpl w:val="76089E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0CA55C5"/>
    <w:multiLevelType w:val="hybridMultilevel"/>
    <w:tmpl w:val="1D06DFC6"/>
    <w:lvl w:ilvl="0" w:tplc="8F2E68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6987C9E"/>
    <w:multiLevelType w:val="hybridMultilevel"/>
    <w:tmpl w:val="FD067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6C94CEE"/>
    <w:multiLevelType w:val="hybridMultilevel"/>
    <w:tmpl w:val="7AA6CE12"/>
    <w:lvl w:ilvl="0" w:tplc="78EEC672">
      <w:start w:val="1"/>
      <w:numFmt w:val="decimal"/>
      <w:suff w:val="space"/>
      <w:lvlText w:val="%1."/>
      <w:lvlJc w:val="left"/>
      <w:pPr>
        <w:ind w:left="1571"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9" w15:restartNumberingAfterBreak="0">
    <w:nsid w:val="46F0294A"/>
    <w:multiLevelType w:val="hybridMultilevel"/>
    <w:tmpl w:val="934674FC"/>
    <w:lvl w:ilvl="0" w:tplc="547A5368">
      <w:start w:val="1"/>
      <w:numFmt w:val="bullet"/>
      <w:pStyle w:val="1-0"/>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15:restartNumberingAfterBreak="0">
    <w:nsid w:val="4D127D72"/>
    <w:multiLevelType w:val="hybridMultilevel"/>
    <w:tmpl w:val="533C9F98"/>
    <w:styleLink w:val="12"/>
    <w:lvl w:ilvl="0" w:tplc="310E2D46">
      <w:start w:val="1"/>
      <w:numFmt w:val="decimal"/>
      <w:suff w:val="space"/>
      <w:lvlText w:val="%1)"/>
      <w:lvlJc w:val="left"/>
      <w:pPr>
        <w:ind w:left="106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31" w15:restartNumberingAfterBreak="0">
    <w:nsid w:val="4E623875"/>
    <w:multiLevelType w:val="multilevel"/>
    <w:tmpl w:val="515002F8"/>
    <w:lvl w:ilvl="0">
      <w:start w:val="3"/>
      <w:numFmt w:val="decimal"/>
      <w:lvlText w:val="%1."/>
      <w:lvlJc w:val="left"/>
      <w:pPr>
        <w:ind w:left="390" w:hanging="390"/>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2" w15:restartNumberingAfterBreak="0">
    <w:nsid w:val="4F5A0023"/>
    <w:multiLevelType w:val="multilevel"/>
    <w:tmpl w:val="15EA1044"/>
    <w:styleLink w:val="a"/>
    <w:lvl w:ilvl="0">
      <w:start w:val="1"/>
      <w:numFmt w:val="decimal"/>
      <w:lvlText w:val="%1."/>
      <w:lvlJc w:val="left"/>
      <w:pPr>
        <w:tabs>
          <w:tab w:val="num" w:pos="720"/>
        </w:tabs>
        <w:ind w:left="720" w:hanging="360"/>
      </w:pPr>
      <w:rPr>
        <w:rFonts w:ascii="Times New Roman" w:hAnsi="Times New Roman"/>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FF7092D"/>
    <w:multiLevelType w:val="hybridMultilevel"/>
    <w:tmpl w:val="688AF25C"/>
    <w:lvl w:ilvl="0" w:tplc="0419000F">
      <w:start w:val="1"/>
      <w:numFmt w:val="bullet"/>
      <w:pStyle w:val="a0"/>
      <w:lvlText w:val=""/>
      <w:lvlJc w:val="left"/>
      <w:pPr>
        <w:tabs>
          <w:tab w:val="num" w:pos="730"/>
        </w:tabs>
        <w:ind w:left="730" w:hanging="360"/>
      </w:pPr>
      <w:rPr>
        <w:rFonts w:ascii="Symbol" w:hAnsi="Symbol" w:hint="default"/>
      </w:rPr>
    </w:lvl>
    <w:lvl w:ilvl="1" w:tplc="04190019">
      <w:start w:val="1"/>
      <w:numFmt w:val="bullet"/>
      <w:lvlText w:val="o"/>
      <w:lvlJc w:val="left"/>
      <w:pPr>
        <w:tabs>
          <w:tab w:val="num" w:pos="1450"/>
        </w:tabs>
        <w:ind w:left="1450" w:hanging="360"/>
      </w:pPr>
      <w:rPr>
        <w:rFonts w:ascii="Courier New" w:hAnsi="Courier New" w:cs="Courier New" w:hint="default"/>
      </w:rPr>
    </w:lvl>
    <w:lvl w:ilvl="2" w:tplc="0419001B">
      <w:start w:val="1"/>
      <w:numFmt w:val="bullet"/>
      <w:lvlText w:val=""/>
      <w:lvlJc w:val="left"/>
      <w:pPr>
        <w:tabs>
          <w:tab w:val="num" w:pos="2170"/>
        </w:tabs>
        <w:ind w:left="2170" w:hanging="360"/>
      </w:pPr>
      <w:rPr>
        <w:rFonts w:ascii="Wingdings" w:hAnsi="Wingdings" w:hint="default"/>
      </w:rPr>
    </w:lvl>
    <w:lvl w:ilvl="3" w:tplc="0419000F">
      <w:start w:val="1"/>
      <w:numFmt w:val="bullet"/>
      <w:lvlText w:val=""/>
      <w:lvlJc w:val="left"/>
      <w:pPr>
        <w:tabs>
          <w:tab w:val="num" w:pos="2890"/>
        </w:tabs>
        <w:ind w:left="2890" w:hanging="360"/>
      </w:pPr>
      <w:rPr>
        <w:rFonts w:ascii="Symbol" w:hAnsi="Symbol" w:hint="default"/>
      </w:rPr>
    </w:lvl>
    <w:lvl w:ilvl="4" w:tplc="04190019">
      <w:start w:val="1"/>
      <w:numFmt w:val="bullet"/>
      <w:lvlText w:val="o"/>
      <w:lvlJc w:val="left"/>
      <w:pPr>
        <w:tabs>
          <w:tab w:val="num" w:pos="3610"/>
        </w:tabs>
        <w:ind w:left="3610" w:hanging="360"/>
      </w:pPr>
      <w:rPr>
        <w:rFonts w:ascii="Courier New" w:hAnsi="Courier New" w:cs="Courier New" w:hint="default"/>
      </w:rPr>
    </w:lvl>
    <w:lvl w:ilvl="5" w:tplc="0419001B">
      <w:start w:val="1"/>
      <w:numFmt w:val="bullet"/>
      <w:lvlText w:val=""/>
      <w:lvlJc w:val="left"/>
      <w:pPr>
        <w:tabs>
          <w:tab w:val="num" w:pos="4330"/>
        </w:tabs>
        <w:ind w:left="4330" w:hanging="360"/>
      </w:pPr>
      <w:rPr>
        <w:rFonts w:ascii="Wingdings" w:hAnsi="Wingdings" w:hint="default"/>
      </w:rPr>
    </w:lvl>
    <w:lvl w:ilvl="6" w:tplc="0419000F">
      <w:start w:val="1"/>
      <w:numFmt w:val="bullet"/>
      <w:lvlText w:val=""/>
      <w:lvlJc w:val="left"/>
      <w:pPr>
        <w:tabs>
          <w:tab w:val="num" w:pos="5050"/>
        </w:tabs>
        <w:ind w:left="5050" w:hanging="360"/>
      </w:pPr>
      <w:rPr>
        <w:rFonts w:ascii="Symbol" w:hAnsi="Symbol" w:hint="default"/>
      </w:rPr>
    </w:lvl>
    <w:lvl w:ilvl="7" w:tplc="04190019">
      <w:start w:val="1"/>
      <w:numFmt w:val="bullet"/>
      <w:lvlText w:val="o"/>
      <w:lvlJc w:val="left"/>
      <w:pPr>
        <w:tabs>
          <w:tab w:val="num" w:pos="5770"/>
        </w:tabs>
        <w:ind w:left="5770" w:hanging="360"/>
      </w:pPr>
      <w:rPr>
        <w:rFonts w:ascii="Courier New" w:hAnsi="Courier New" w:cs="Courier New" w:hint="default"/>
      </w:rPr>
    </w:lvl>
    <w:lvl w:ilvl="8" w:tplc="0419001B">
      <w:start w:val="1"/>
      <w:numFmt w:val="bullet"/>
      <w:lvlText w:val=""/>
      <w:lvlJc w:val="left"/>
      <w:pPr>
        <w:tabs>
          <w:tab w:val="num" w:pos="6490"/>
        </w:tabs>
        <w:ind w:left="6490" w:hanging="360"/>
      </w:pPr>
      <w:rPr>
        <w:rFonts w:ascii="Wingdings" w:hAnsi="Wingdings" w:hint="default"/>
      </w:rPr>
    </w:lvl>
  </w:abstractNum>
  <w:abstractNum w:abstractNumId="34" w15:restartNumberingAfterBreak="0">
    <w:nsid w:val="54ED4FD4"/>
    <w:multiLevelType w:val="hybridMultilevel"/>
    <w:tmpl w:val="5E94CB48"/>
    <w:styleLink w:val="5"/>
    <w:lvl w:ilvl="0" w:tplc="EA74E9B4">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55876E44"/>
    <w:multiLevelType w:val="hybridMultilevel"/>
    <w:tmpl w:val="E8FCD14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15:restartNumberingAfterBreak="0">
    <w:nsid w:val="5EBF17B1"/>
    <w:multiLevelType w:val="hybridMultilevel"/>
    <w:tmpl w:val="FC96A2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EC45D76"/>
    <w:multiLevelType w:val="hybridMultilevel"/>
    <w:tmpl w:val="099AC9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2F5205C"/>
    <w:multiLevelType w:val="hybridMultilevel"/>
    <w:tmpl w:val="EED62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BF39CE"/>
    <w:multiLevelType w:val="hybridMultilevel"/>
    <w:tmpl w:val="D02CDD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D4D0044"/>
    <w:multiLevelType w:val="hybridMultilevel"/>
    <w:tmpl w:val="E4DA09A2"/>
    <w:styleLink w:val="1"/>
    <w:lvl w:ilvl="0" w:tplc="9926B626">
      <w:start w:val="1"/>
      <w:numFmt w:val="bullet"/>
      <w:lvlText w:val=""/>
      <w:lvlJc w:val="left"/>
      <w:pPr>
        <w:tabs>
          <w:tab w:val="num" w:pos="680"/>
        </w:tabs>
        <w:ind w:left="680" w:hanging="396"/>
      </w:pPr>
      <w:rPr>
        <w:rFonts w:ascii="Wingdings" w:hAnsi="Wingdings" w:hint="default"/>
      </w:rPr>
    </w:lvl>
    <w:lvl w:ilvl="1" w:tplc="5B36A5AE">
      <w:start w:val="1"/>
      <w:numFmt w:val="bullet"/>
      <w:lvlText w:val="o"/>
      <w:lvlJc w:val="left"/>
      <w:pPr>
        <w:tabs>
          <w:tab w:val="num" w:pos="1440"/>
        </w:tabs>
        <w:ind w:left="1440" w:hanging="360"/>
      </w:pPr>
      <w:rPr>
        <w:rFonts w:ascii="Courier New" w:hAnsi="Courier New" w:cs="Courier New" w:hint="default"/>
      </w:rPr>
    </w:lvl>
    <w:lvl w:ilvl="2" w:tplc="B36A7B26">
      <w:start w:val="1"/>
      <w:numFmt w:val="bullet"/>
      <w:lvlText w:val=""/>
      <w:lvlJc w:val="left"/>
      <w:pPr>
        <w:tabs>
          <w:tab w:val="num" w:pos="2160"/>
        </w:tabs>
        <w:ind w:left="2160" w:hanging="360"/>
      </w:pPr>
      <w:rPr>
        <w:rFonts w:ascii="Wingdings" w:hAnsi="Wingdings" w:hint="default"/>
      </w:rPr>
    </w:lvl>
    <w:lvl w:ilvl="3" w:tplc="025279E6">
      <w:start w:val="1"/>
      <w:numFmt w:val="bullet"/>
      <w:lvlText w:val=""/>
      <w:lvlJc w:val="left"/>
      <w:pPr>
        <w:tabs>
          <w:tab w:val="num" w:pos="2880"/>
        </w:tabs>
        <w:ind w:left="2880" w:hanging="360"/>
      </w:pPr>
      <w:rPr>
        <w:rFonts w:ascii="Symbol" w:hAnsi="Symbol" w:hint="default"/>
      </w:rPr>
    </w:lvl>
    <w:lvl w:ilvl="4" w:tplc="D960C848">
      <w:start w:val="1"/>
      <w:numFmt w:val="bullet"/>
      <w:lvlText w:val="o"/>
      <w:lvlJc w:val="left"/>
      <w:pPr>
        <w:tabs>
          <w:tab w:val="num" w:pos="3600"/>
        </w:tabs>
        <w:ind w:left="3600" w:hanging="360"/>
      </w:pPr>
      <w:rPr>
        <w:rFonts w:ascii="Courier New" w:hAnsi="Courier New" w:cs="Courier New" w:hint="default"/>
      </w:rPr>
    </w:lvl>
    <w:lvl w:ilvl="5" w:tplc="2EE42E4C">
      <w:start w:val="1"/>
      <w:numFmt w:val="bullet"/>
      <w:lvlText w:val=""/>
      <w:lvlJc w:val="left"/>
      <w:pPr>
        <w:tabs>
          <w:tab w:val="num" w:pos="4320"/>
        </w:tabs>
        <w:ind w:left="4320" w:hanging="360"/>
      </w:pPr>
      <w:rPr>
        <w:rFonts w:ascii="Wingdings" w:hAnsi="Wingdings" w:hint="default"/>
      </w:rPr>
    </w:lvl>
    <w:lvl w:ilvl="6" w:tplc="9D2E73D6">
      <w:start w:val="1"/>
      <w:numFmt w:val="bullet"/>
      <w:lvlText w:val=""/>
      <w:lvlJc w:val="left"/>
      <w:pPr>
        <w:tabs>
          <w:tab w:val="num" w:pos="5040"/>
        </w:tabs>
        <w:ind w:left="5040" w:hanging="360"/>
      </w:pPr>
      <w:rPr>
        <w:rFonts w:ascii="Symbol" w:hAnsi="Symbol" w:hint="default"/>
      </w:rPr>
    </w:lvl>
    <w:lvl w:ilvl="7" w:tplc="3C585FA8">
      <w:start w:val="1"/>
      <w:numFmt w:val="bullet"/>
      <w:lvlText w:val="o"/>
      <w:lvlJc w:val="left"/>
      <w:pPr>
        <w:tabs>
          <w:tab w:val="num" w:pos="5760"/>
        </w:tabs>
        <w:ind w:left="5760" w:hanging="360"/>
      </w:pPr>
      <w:rPr>
        <w:rFonts w:ascii="Courier New" w:hAnsi="Courier New" w:cs="Courier New" w:hint="default"/>
      </w:rPr>
    </w:lvl>
    <w:lvl w:ilvl="8" w:tplc="2A74285C">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8522F0"/>
    <w:multiLevelType w:val="hybridMultilevel"/>
    <w:tmpl w:val="4ED2361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87C7C3B"/>
    <w:multiLevelType w:val="hybridMultilevel"/>
    <w:tmpl w:val="FD067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88C6D5C"/>
    <w:multiLevelType w:val="hybridMultilevel"/>
    <w:tmpl w:val="FD067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A963E0"/>
    <w:multiLevelType w:val="hybridMultilevel"/>
    <w:tmpl w:val="85B0106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14"/>
  </w:num>
  <w:num w:numId="2">
    <w:abstractNumId w:val="24"/>
  </w:num>
  <w:num w:numId="3">
    <w:abstractNumId w:val="37"/>
  </w:num>
  <w:num w:numId="4">
    <w:abstractNumId w:val="41"/>
  </w:num>
  <w:num w:numId="5">
    <w:abstractNumId w:val="5"/>
  </w:num>
  <w:num w:numId="6">
    <w:abstractNumId w:val="19"/>
  </w:num>
  <w:num w:numId="7">
    <w:abstractNumId w:val="22"/>
  </w:num>
  <w:num w:numId="8">
    <w:abstractNumId w:val="39"/>
  </w:num>
  <w:num w:numId="9">
    <w:abstractNumId w:val="28"/>
  </w:num>
  <w:num w:numId="10">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11">
    <w:abstractNumId w:val="7"/>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8"/>
  </w:num>
  <w:num w:numId="15">
    <w:abstractNumId w:val="29"/>
  </w:num>
  <w:num w:numId="16">
    <w:abstractNumId w:val="11"/>
  </w:num>
  <w:num w:numId="17">
    <w:abstractNumId w:val="26"/>
  </w:num>
  <w:num w:numId="18">
    <w:abstractNumId w:val="6"/>
  </w:num>
  <w:num w:numId="19">
    <w:abstractNumId w:val="10"/>
  </w:num>
  <w:num w:numId="20">
    <w:abstractNumId w:val="33"/>
  </w:num>
  <w:num w:numId="21">
    <w:abstractNumId w:val="3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8"/>
  </w:num>
  <w:num w:numId="24">
    <w:abstractNumId w:val="30"/>
  </w:num>
  <w:num w:numId="25">
    <w:abstractNumId w:val="32"/>
  </w:num>
  <w:num w:numId="26">
    <w:abstractNumId w:val="34"/>
  </w:num>
  <w:num w:numId="27">
    <w:abstractNumId w:val="40"/>
  </w:num>
  <w:num w:numId="28">
    <w:abstractNumId w:val="4"/>
  </w:num>
  <w:num w:numId="29">
    <w:abstractNumId w:val="21"/>
  </w:num>
  <w:num w:numId="30">
    <w:abstractNumId w:val="9"/>
  </w:num>
  <w:num w:numId="31">
    <w:abstractNumId w:val="17"/>
  </w:num>
  <w:num w:numId="32">
    <w:abstractNumId w:val="12"/>
  </w:num>
  <w:num w:numId="33">
    <w:abstractNumId w:val="44"/>
  </w:num>
  <w:num w:numId="34">
    <w:abstractNumId w:val="3"/>
  </w:num>
  <w:num w:numId="35">
    <w:abstractNumId w:val="16"/>
  </w:num>
  <w:num w:numId="36">
    <w:abstractNumId w:val="1"/>
  </w:num>
  <w:num w:numId="37">
    <w:abstractNumId w:val="42"/>
  </w:num>
  <w:num w:numId="38">
    <w:abstractNumId w:val="15"/>
  </w:num>
  <w:num w:numId="39">
    <w:abstractNumId w:val="43"/>
  </w:num>
  <w:num w:numId="40">
    <w:abstractNumId w:val="27"/>
  </w:num>
  <w:num w:numId="41">
    <w:abstractNumId w:val="36"/>
  </w:num>
  <w:num w:numId="42">
    <w:abstractNumId w:val="23"/>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38"/>
  </w:num>
  <w:num w:numId="46">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140"/>
    <w:rsid w:val="00000EF0"/>
    <w:rsid w:val="00001AA9"/>
    <w:rsid w:val="00001BAC"/>
    <w:rsid w:val="00001E98"/>
    <w:rsid w:val="00002EF7"/>
    <w:rsid w:val="00003B13"/>
    <w:rsid w:val="00003CE8"/>
    <w:rsid w:val="0000573C"/>
    <w:rsid w:val="00005A84"/>
    <w:rsid w:val="000079B2"/>
    <w:rsid w:val="0001194F"/>
    <w:rsid w:val="00012919"/>
    <w:rsid w:val="00012B25"/>
    <w:rsid w:val="00012CD2"/>
    <w:rsid w:val="00013ABB"/>
    <w:rsid w:val="000145D4"/>
    <w:rsid w:val="00015ABE"/>
    <w:rsid w:val="00015C07"/>
    <w:rsid w:val="00017147"/>
    <w:rsid w:val="0001714A"/>
    <w:rsid w:val="0002314F"/>
    <w:rsid w:val="000253A2"/>
    <w:rsid w:val="00026149"/>
    <w:rsid w:val="00026D9E"/>
    <w:rsid w:val="000309F4"/>
    <w:rsid w:val="00031252"/>
    <w:rsid w:val="0003136A"/>
    <w:rsid w:val="0003177A"/>
    <w:rsid w:val="00031E4C"/>
    <w:rsid w:val="00034BB4"/>
    <w:rsid w:val="00037339"/>
    <w:rsid w:val="00037844"/>
    <w:rsid w:val="000416EE"/>
    <w:rsid w:val="00043AFA"/>
    <w:rsid w:val="000445F9"/>
    <w:rsid w:val="000507B8"/>
    <w:rsid w:val="000521EE"/>
    <w:rsid w:val="000527C8"/>
    <w:rsid w:val="00052B8F"/>
    <w:rsid w:val="000537EF"/>
    <w:rsid w:val="000538B5"/>
    <w:rsid w:val="00054E44"/>
    <w:rsid w:val="000552EC"/>
    <w:rsid w:val="0005668B"/>
    <w:rsid w:val="00056A98"/>
    <w:rsid w:val="00060F44"/>
    <w:rsid w:val="000610AA"/>
    <w:rsid w:val="00061764"/>
    <w:rsid w:val="0006178C"/>
    <w:rsid w:val="000629EC"/>
    <w:rsid w:val="0006435E"/>
    <w:rsid w:val="00072205"/>
    <w:rsid w:val="00072214"/>
    <w:rsid w:val="00074972"/>
    <w:rsid w:val="00074CDD"/>
    <w:rsid w:val="000756E9"/>
    <w:rsid w:val="00075DB5"/>
    <w:rsid w:val="00076D7D"/>
    <w:rsid w:val="00077A24"/>
    <w:rsid w:val="000834DD"/>
    <w:rsid w:val="00086C5A"/>
    <w:rsid w:val="000875AD"/>
    <w:rsid w:val="00087AEA"/>
    <w:rsid w:val="00090CCA"/>
    <w:rsid w:val="00090E3E"/>
    <w:rsid w:val="00091ED4"/>
    <w:rsid w:val="00094CDD"/>
    <w:rsid w:val="000952C5"/>
    <w:rsid w:val="00095EC2"/>
    <w:rsid w:val="00097818"/>
    <w:rsid w:val="000A00E2"/>
    <w:rsid w:val="000A0605"/>
    <w:rsid w:val="000A2D59"/>
    <w:rsid w:val="000A54F0"/>
    <w:rsid w:val="000A665F"/>
    <w:rsid w:val="000A69D0"/>
    <w:rsid w:val="000A7533"/>
    <w:rsid w:val="000A7DBB"/>
    <w:rsid w:val="000B0328"/>
    <w:rsid w:val="000B0C76"/>
    <w:rsid w:val="000B10AA"/>
    <w:rsid w:val="000B3CE4"/>
    <w:rsid w:val="000B5050"/>
    <w:rsid w:val="000B5E6E"/>
    <w:rsid w:val="000B70AB"/>
    <w:rsid w:val="000B7118"/>
    <w:rsid w:val="000C0109"/>
    <w:rsid w:val="000C0260"/>
    <w:rsid w:val="000C309D"/>
    <w:rsid w:val="000C30C4"/>
    <w:rsid w:val="000C3AEA"/>
    <w:rsid w:val="000C574B"/>
    <w:rsid w:val="000C71D7"/>
    <w:rsid w:val="000D28C8"/>
    <w:rsid w:val="000D2F11"/>
    <w:rsid w:val="000D334E"/>
    <w:rsid w:val="000D42C3"/>
    <w:rsid w:val="000D568A"/>
    <w:rsid w:val="000D66D1"/>
    <w:rsid w:val="000D6D6B"/>
    <w:rsid w:val="000D7BBA"/>
    <w:rsid w:val="000E0BFE"/>
    <w:rsid w:val="000E1190"/>
    <w:rsid w:val="000E1FB6"/>
    <w:rsid w:val="000E2C11"/>
    <w:rsid w:val="000E32EB"/>
    <w:rsid w:val="000E341E"/>
    <w:rsid w:val="000E3768"/>
    <w:rsid w:val="000E3BBF"/>
    <w:rsid w:val="000E52D4"/>
    <w:rsid w:val="000E57D4"/>
    <w:rsid w:val="000E5B42"/>
    <w:rsid w:val="000E6807"/>
    <w:rsid w:val="000E68E7"/>
    <w:rsid w:val="000E749D"/>
    <w:rsid w:val="000F1157"/>
    <w:rsid w:val="000F4B7E"/>
    <w:rsid w:val="000F5921"/>
    <w:rsid w:val="000F6251"/>
    <w:rsid w:val="000F7BBE"/>
    <w:rsid w:val="000F7C8B"/>
    <w:rsid w:val="00100361"/>
    <w:rsid w:val="001005EE"/>
    <w:rsid w:val="00101281"/>
    <w:rsid w:val="00101C1E"/>
    <w:rsid w:val="00101DAB"/>
    <w:rsid w:val="00101E38"/>
    <w:rsid w:val="00102265"/>
    <w:rsid w:val="00102A2D"/>
    <w:rsid w:val="0010303C"/>
    <w:rsid w:val="00104424"/>
    <w:rsid w:val="00110294"/>
    <w:rsid w:val="00110348"/>
    <w:rsid w:val="00110471"/>
    <w:rsid w:val="00110566"/>
    <w:rsid w:val="00111238"/>
    <w:rsid w:val="00112E60"/>
    <w:rsid w:val="00112F0A"/>
    <w:rsid w:val="00113E85"/>
    <w:rsid w:val="00114501"/>
    <w:rsid w:val="00114961"/>
    <w:rsid w:val="001174E3"/>
    <w:rsid w:val="001179CC"/>
    <w:rsid w:val="00121F5C"/>
    <w:rsid w:val="0012219E"/>
    <w:rsid w:val="00122324"/>
    <w:rsid w:val="001231B3"/>
    <w:rsid w:val="00123741"/>
    <w:rsid w:val="001253C0"/>
    <w:rsid w:val="00125D02"/>
    <w:rsid w:val="00125D14"/>
    <w:rsid w:val="00131DAF"/>
    <w:rsid w:val="0013459F"/>
    <w:rsid w:val="0013750C"/>
    <w:rsid w:val="0013778A"/>
    <w:rsid w:val="00137935"/>
    <w:rsid w:val="001408C8"/>
    <w:rsid w:val="001410AB"/>
    <w:rsid w:val="001411BF"/>
    <w:rsid w:val="001416BE"/>
    <w:rsid w:val="00141980"/>
    <w:rsid w:val="00141EC8"/>
    <w:rsid w:val="00141F21"/>
    <w:rsid w:val="0014246D"/>
    <w:rsid w:val="00142E4F"/>
    <w:rsid w:val="00146031"/>
    <w:rsid w:val="0014756B"/>
    <w:rsid w:val="00150409"/>
    <w:rsid w:val="001516C7"/>
    <w:rsid w:val="00153B5F"/>
    <w:rsid w:val="0015617A"/>
    <w:rsid w:val="001562FD"/>
    <w:rsid w:val="0015681A"/>
    <w:rsid w:val="001579C1"/>
    <w:rsid w:val="00157F36"/>
    <w:rsid w:val="00160119"/>
    <w:rsid w:val="00160121"/>
    <w:rsid w:val="001606B6"/>
    <w:rsid w:val="001608AD"/>
    <w:rsid w:val="00162570"/>
    <w:rsid w:val="001632AA"/>
    <w:rsid w:val="0016534A"/>
    <w:rsid w:val="001664D9"/>
    <w:rsid w:val="00166638"/>
    <w:rsid w:val="0017281F"/>
    <w:rsid w:val="001744D8"/>
    <w:rsid w:val="001761ED"/>
    <w:rsid w:val="00176231"/>
    <w:rsid w:val="00183C53"/>
    <w:rsid w:val="0018437A"/>
    <w:rsid w:val="001843A4"/>
    <w:rsid w:val="00184781"/>
    <w:rsid w:val="0019198F"/>
    <w:rsid w:val="001921B4"/>
    <w:rsid w:val="00193141"/>
    <w:rsid w:val="00193A71"/>
    <w:rsid w:val="001969F4"/>
    <w:rsid w:val="001A02CF"/>
    <w:rsid w:val="001A244B"/>
    <w:rsid w:val="001A34D6"/>
    <w:rsid w:val="001A482C"/>
    <w:rsid w:val="001A48D7"/>
    <w:rsid w:val="001B2E73"/>
    <w:rsid w:val="001B448B"/>
    <w:rsid w:val="001B4C5B"/>
    <w:rsid w:val="001B5D97"/>
    <w:rsid w:val="001B75D3"/>
    <w:rsid w:val="001B76B6"/>
    <w:rsid w:val="001B7E8F"/>
    <w:rsid w:val="001C0A37"/>
    <w:rsid w:val="001C11B4"/>
    <w:rsid w:val="001C26DA"/>
    <w:rsid w:val="001C2B96"/>
    <w:rsid w:val="001C2BA2"/>
    <w:rsid w:val="001C2C58"/>
    <w:rsid w:val="001C349B"/>
    <w:rsid w:val="001C5FA0"/>
    <w:rsid w:val="001C60CD"/>
    <w:rsid w:val="001D0D3D"/>
    <w:rsid w:val="001D1B55"/>
    <w:rsid w:val="001D1C67"/>
    <w:rsid w:val="001D4D7D"/>
    <w:rsid w:val="001D7481"/>
    <w:rsid w:val="001D7DAC"/>
    <w:rsid w:val="001E0A67"/>
    <w:rsid w:val="001E1156"/>
    <w:rsid w:val="001E16E2"/>
    <w:rsid w:val="001E22BE"/>
    <w:rsid w:val="001E286D"/>
    <w:rsid w:val="001E3764"/>
    <w:rsid w:val="001E3D03"/>
    <w:rsid w:val="001E4409"/>
    <w:rsid w:val="001E482B"/>
    <w:rsid w:val="001E4B41"/>
    <w:rsid w:val="001E594A"/>
    <w:rsid w:val="001E6315"/>
    <w:rsid w:val="001E6660"/>
    <w:rsid w:val="001E69E7"/>
    <w:rsid w:val="001E6AEE"/>
    <w:rsid w:val="001E7B2A"/>
    <w:rsid w:val="001F0469"/>
    <w:rsid w:val="001F12FB"/>
    <w:rsid w:val="001F18A6"/>
    <w:rsid w:val="001F5B6B"/>
    <w:rsid w:val="0020005D"/>
    <w:rsid w:val="00200968"/>
    <w:rsid w:val="00200D7B"/>
    <w:rsid w:val="00200E65"/>
    <w:rsid w:val="002021A6"/>
    <w:rsid w:val="0020369E"/>
    <w:rsid w:val="0020586A"/>
    <w:rsid w:val="00206EB3"/>
    <w:rsid w:val="0020712F"/>
    <w:rsid w:val="00210640"/>
    <w:rsid w:val="00210E78"/>
    <w:rsid w:val="00211858"/>
    <w:rsid w:val="00211E7C"/>
    <w:rsid w:val="00211F9A"/>
    <w:rsid w:val="002129F9"/>
    <w:rsid w:val="00212EEB"/>
    <w:rsid w:val="0021323D"/>
    <w:rsid w:val="002144E4"/>
    <w:rsid w:val="00214C7F"/>
    <w:rsid w:val="00215E5C"/>
    <w:rsid w:val="002163ED"/>
    <w:rsid w:val="00216603"/>
    <w:rsid w:val="0022060B"/>
    <w:rsid w:val="00220663"/>
    <w:rsid w:val="00220BC0"/>
    <w:rsid w:val="00221500"/>
    <w:rsid w:val="0022242F"/>
    <w:rsid w:val="00222BA1"/>
    <w:rsid w:val="002265A1"/>
    <w:rsid w:val="00230D35"/>
    <w:rsid w:val="00233B12"/>
    <w:rsid w:val="002356C5"/>
    <w:rsid w:val="00235E84"/>
    <w:rsid w:val="00235F1F"/>
    <w:rsid w:val="00236A22"/>
    <w:rsid w:val="00237378"/>
    <w:rsid w:val="00242D1D"/>
    <w:rsid w:val="00244000"/>
    <w:rsid w:val="0024417B"/>
    <w:rsid w:val="00244352"/>
    <w:rsid w:val="00244D24"/>
    <w:rsid w:val="002467F7"/>
    <w:rsid w:val="00246A21"/>
    <w:rsid w:val="00250300"/>
    <w:rsid w:val="00250B1E"/>
    <w:rsid w:val="00252A30"/>
    <w:rsid w:val="00252C01"/>
    <w:rsid w:val="002564E4"/>
    <w:rsid w:val="00256BA2"/>
    <w:rsid w:val="00260016"/>
    <w:rsid w:val="00260057"/>
    <w:rsid w:val="0026021A"/>
    <w:rsid w:val="00260D46"/>
    <w:rsid w:val="00260FF1"/>
    <w:rsid w:val="00261335"/>
    <w:rsid w:val="00262211"/>
    <w:rsid w:val="00262221"/>
    <w:rsid w:val="00262270"/>
    <w:rsid w:val="00264F1D"/>
    <w:rsid w:val="002656C5"/>
    <w:rsid w:val="00267937"/>
    <w:rsid w:val="00267B30"/>
    <w:rsid w:val="00267CA8"/>
    <w:rsid w:val="00270EF8"/>
    <w:rsid w:val="00271457"/>
    <w:rsid w:val="002715A5"/>
    <w:rsid w:val="002748F6"/>
    <w:rsid w:val="00277FCE"/>
    <w:rsid w:val="002811C6"/>
    <w:rsid w:val="00283AB1"/>
    <w:rsid w:val="00284CBE"/>
    <w:rsid w:val="0028576F"/>
    <w:rsid w:val="002861FC"/>
    <w:rsid w:val="00292611"/>
    <w:rsid w:val="002931D5"/>
    <w:rsid w:val="0029334F"/>
    <w:rsid w:val="00294309"/>
    <w:rsid w:val="0029500B"/>
    <w:rsid w:val="0029555B"/>
    <w:rsid w:val="002976D0"/>
    <w:rsid w:val="002977D5"/>
    <w:rsid w:val="002A1755"/>
    <w:rsid w:val="002A38B4"/>
    <w:rsid w:val="002A3AC0"/>
    <w:rsid w:val="002A4588"/>
    <w:rsid w:val="002A554B"/>
    <w:rsid w:val="002A574E"/>
    <w:rsid w:val="002A5D5E"/>
    <w:rsid w:val="002A7D51"/>
    <w:rsid w:val="002B081A"/>
    <w:rsid w:val="002B3230"/>
    <w:rsid w:val="002B3A92"/>
    <w:rsid w:val="002B6FD6"/>
    <w:rsid w:val="002B753F"/>
    <w:rsid w:val="002B7870"/>
    <w:rsid w:val="002B7D0D"/>
    <w:rsid w:val="002C0DE3"/>
    <w:rsid w:val="002C1ACD"/>
    <w:rsid w:val="002C2141"/>
    <w:rsid w:val="002C4774"/>
    <w:rsid w:val="002C4A1C"/>
    <w:rsid w:val="002C591F"/>
    <w:rsid w:val="002C619E"/>
    <w:rsid w:val="002C7430"/>
    <w:rsid w:val="002D0249"/>
    <w:rsid w:val="002D0712"/>
    <w:rsid w:val="002D08EF"/>
    <w:rsid w:val="002D4540"/>
    <w:rsid w:val="002D4BEA"/>
    <w:rsid w:val="002D5B64"/>
    <w:rsid w:val="002D6D3C"/>
    <w:rsid w:val="002D6F65"/>
    <w:rsid w:val="002E02FB"/>
    <w:rsid w:val="002E2411"/>
    <w:rsid w:val="002E2520"/>
    <w:rsid w:val="002E3966"/>
    <w:rsid w:val="002E428C"/>
    <w:rsid w:val="002E4495"/>
    <w:rsid w:val="002F06CB"/>
    <w:rsid w:val="002F2198"/>
    <w:rsid w:val="002F282A"/>
    <w:rsid w:val="002F3D30"/>
    <w:rsid w:val="002F4F42"/>
    <w:rsid w:val="00300E4B"/>
    <w:rsid w:val="00300F54"/>
    <w:rsid w:val="003016A0"/>
    <w:rsid w:val="0030177E"/>
    <w:rsid w:val="00301D62"/>
    <w:rsid w:val="00302217"/>
    <w:rsid w:val="00302B27"/>
    <w:rsid w:val="003030F7"/>
    <w:rsid w:val="0030375C"/>
    <w:rsid w:val="00303861"/>
    <w:rsid w:val="00305519"/>
    <w:rsid w:val="0030665F"/>
    <w:rsid w:val="00306BF5"/>
    <w:rsid w:val="00307F0B"/>
    <w:rsid w:val="00310F59"/>
    <w:rsid w:val="00311B9B"/>
    <w:rsid w:val="003136AB"/>
    <w:rsid w:val="003161E8"/>
    <w:rsid w:val="00316EC6"/>
    <w:rsid w:val="003208C8"/>
    <w:rsid w:val="003214E5"/>
    <w:rsid w:val="003215D9"/>
    <w:rsid w:val="00321C7B"/>
    <w:rsid w:val="00322A1B"/>
    <w:rsid w:val="00323759"/>
    <w:rsid w:val="00326CD1"/>
    <w:rsid w:val="00327E6F"/>
    <w:rsid w:val="00331717"/>
    <w:rsid w:val="00332A3E"/>
    <w:rsid w:val="00332C6B"/>
    <w:rsid w:val="00333B02"/>
    <w:rsid w:val="00336969"/>
    <w:rsid w:val="00336CB6"/>
    <w:rsid w:val="00337056"/>
    <w:rsid w:val="00337083"/>
    <w:rsid w:val="00337375"/>
    <w:rsid w:val="003421C3"/>
    <w:rsid w:val="003431A0"/>
    <w:rsid w:val="00343D75"/>
    <w:rsid w:val="00345244"/>
    <w:rsid w:val="00345D70"/>
    <w:rsid w:val="0034660A"/>
    <w:rsid w:val="003469F9"/>
    <w:rsid w:val="003477A5"/>
    <w:rsid w:val="003501D6"/>
    <w:rsid w:val="003518AC"/>
    <w:rsid w:val="00351956"/>
    <w:rsid w:val="00352A55"/>
    <w:rsid w:val="00353C52"/>
    <w:rsid w:val="0035471F"/>
    <w:rsid w:val="00354740"/>
    <w:rsid w:val="00354B70"/>
    <w:rsid w:val="00356437"/>
    <w:rsid w:val="0036055E"/>
    <w:rsid w:val="00361630"/>
    <w:rsid w:val="0036508F"/>
    <w:rsid w:val="003650D2"/>
    <w:rsid w:val="003659F4"/>
    <w:rsid w:val="0037001D"/>
    <w:rsid w:val="003707F5"/>
    <w:rsid w:val="00370E18"/>
    <w:rsid w:val="00373176"/>
    <w:rsid w:val="003732E9"/>
    <w:rsid w:val="00373C65"/>
    <w:rsid w:val="0037400B"/>
    <w:rsid w:val="00374488"/>
    <w:rsid w:val="003769C8"/>
    <w:rsid w:val="00376DDD"/>
    <w:rsid w:val="003810D5"/>
    <w:rsid w:val="00381352"/>
    <w:rsid w:val="0038157B"/>
    <w:rsid w:val="003818EB"/>
    <w:rsid w:val="003822A0"/>
    <w:rsid w:val="003828E8"/>
    <w:rsid w:val="00382E21"/>
    <w:rsid w:val="003837A3"/>
    <w:rsid w:val="003843DD"/>
    <w:rsid w:val="00384421"/>
    <w:rsid w:val="00385F53"/>
    <w:rsid w:val="003876E4"/>
    <w:rsid w:val="00387BEC"/>
    <w:rsid w:val="00391573"/>
    <w:rsid w:val="00391992"/>
    <w:rsid w:val="0039273F"/>
    <w:rsid w:val="00393C47"/>
    <w:rsid w:val="00393C65"/>
    <w:rsid w:val="00394B2E"/>
    <w:rsid w:val="00395B2D"/>
    <w:rsid w:val="003A06F9"/>
    <w:rsid w:val="003A09A9"/>
    <w:rsid w:val="003A177A"/>
    <w:rsid w:val="003A17F1"/>
    <w:rsid w:val="003A210F"/>
    <w:rsid w:val="003A40A1"/>
    <w:rsid w:val="003A42F0"/>
    <w:rsid w:val="003A4F26"/>
    <w:rsid w:val="003A64FB"/>
    <w:rsid w:val="003A66D7"/>
    <w:rsid w:val="003B25E1"/>
    <w:rsid w:val="003B55E9"/>
    <w:rsid w:val="003B59C8"/>
    <w:rsid w:val="003B5B09"/>
    <w:rsid w:val="003B69EE"/>
    <w:rsid w:val="003B7ACF"/>
    <w:rsid w:val="003C4012"/>
    <w:rsid w:val="003C4616"/>
    <w:rsid w:val="003C4808"/>
    <w:rsid w:val="003C5984"/>
    <w:rsid w:val="003C676B"/>
    <w:rsid w:val="003D4147"/>
    <w:rsid w:val="003D4174"/>
    <w:rsid w:val="003D45B5"/>
    <w:rsid w:val="003D478C"/>
    <w:rsid w:val="003D48D6"/>
    <w:rsid w:val="003D4EFA"/>
    <w:rsid w:val="003D6525"/>
    <w:rsid w:val="003E06E7"/>
    <w:rsid w:val="003E0CB1"/>
    <w:rsid w:val="003E138A"/>
    <w:rsid w:val="003E22A4"/>
    <w:rsid w:val="003E4A6B"/>
    <w:rsid w:val="003E4A7E"/>
    <w:rsid w:val="003E5AD5"/>
    <w:rsid w:val="003E6111"/>
    <w:rsid w:val="003E67B8"/>
    <w:rsid w:val="003E6C00"/>
    <w:rsid w:val="003F0568"/>
    <w:rsid w:val="003F0A83"/>
    <w:rsid w:val="003F13E1"/>
    <w:rsid w:val="003F1B39"/>
    <w:rsid w:val="003F2A99"/>
    <w:rsid w:val="003F2D53"/>
    <w:rsid w:val="003F5D43"/>
    <w:rsid w:val="003F635F"/>
    <w:rsid w:val="004016DD"/>
    <w:rsid w:val="00402996"/>
    <w:rsid w:val="00403F49"/>
    <w:rsid w:val="004055F0"/>
    <w:rsid w:val="0041105F"/>
    <w:rsid w:val="00411D28"/>
    <w:rsid w:val="00412309"/>
    <w:rsid w:val="00412639"/>
    <w:rsid w:val="0041645B"/>
    <w:rsid w:val="004171E6"/>
    <w:rsid w:val="00417722"/>
    <w:rsid w:val="00417E84"/>
    <w:rsid w:val="00420A09"/>
    <w:rsid w:val="00421B40"/>
    <w:rsid w:val="00422C5C"/>
    <w:rsid w:val="00424283"/>
    <w:rsid w:val="00424DD1"/>
    <w:rsid w:val="004250E9"/>
    <w:rsid w:val="00426E6C"/>
    <w:rsid w:val="004300D1"/>
    <w:rsid w:val="00430361"/>
    <w:rsid w:val="00430559"/>
    <w:rsid w:val="0043183C"/>
    <w:rsid w:val="0043473D"/>
    <w:rsid w:val="00440F60"/>
    <w:rsid w:val="00444D18"/>
    <w:rsid w:val="00445DDE"/>
    <w:rsid w:val="00447F93"/>
    <w:rsid w:val="00452B87"/>
    <w:rsid w:val="00454EB8"/>
    <w:rsid w:val="00455126"/>
    <w:rsid w:val="004551C7"/>
    <w:rsid w:val="004568FC"/>
    <w:rsid w:val="004626DD"/>
    <w:rsid w:val="00464152"/>
    <w:rsid w:val="00464F6D"/>
    <w:rsid w:val="00466492"/>
    <w:rsid w:val="00466E2D"/>
    <w:rsid w:val="0047129F"/>
    <w:rsid w:val="00472539"/>
    <w:rsid w:val="00473200"/>
    <w:rsid w:val="004743AD"/>
    <w:rsid w:val="00475287"/>
    <w:rsid w:val="004766A7"/>
    <w:rsid w:val="00477A13"/>
    <w:rsid w:val="00480726"/>
    <w:rsid w:val="00481CF4"/>
    <w:rsid w:val="00482ADC"/>
    <w:rsid w:val="00483EA0"/>
    <w:rsid w:val="0048472E"/>
    <w:rsid w:val="004867DA"/>
    <w:rsid w:val="004875DB"/>
    <w:rsid w:val="00490140"/>
    <w:rsid w:val="00491398"/>
    <w:rsid w:val="004921ED"/>
    <w:rsid w:val="0049475F"/>
    <w:rsid w:val="004947EB"/>
    <w:rsid w:val="004948E2"/>
    <w:rsid w:val="00494A24"/>
    <w:rsid w:val="00497303"/>
    <w:rsid w:val="00497BF1"/>
    <w:rsid w:val="004A0C0A"/>
    <w:rsid w:val="004A295A"/>
    <w:rsid w:val="004A326D"/>
    <w:rsid w:val="004A4CD2"/>
    <w:rsid w:val="004A5338"/>
    <w:rsid w:val="004A5EFE"/>
    <w:rsid w:val="004B26B2"/>
    <w:rsid w:val="004B2E00"/>
    <w:rsid w:val="004B33EF"/>
    <w:rsid w:val="004B4FEC"/>
    <w:rsid w:val="004B5525"/>
    <w:rsid w:val="004B6984"/>
    <w:rsid w:val="004C0EB4"/>
    <w:rsid w:val="004C1BA8"/>
    <w:rsid w:val="004C3DB3"/>
    <w:rsid w:val="004C535F"/>
    <w:rsid w:val="004C552D"/>
    <w:rsid w:val="004C6044"/>
    <w:rsid w:val="004C67F6"/>
    <w:rsid w:val="004D17CE"/>
    <w:rsid w:val="004D36BE"/>
    <w:rsid w:val="004D597F"/>
    <w:rsid w:val="004D65DB"/>
    <w:rsid w:val="004D6A9B"/>
    <w:rsid w:val="004D7C9E"/>
    <w:rsid w:val="004E0689"/>
    <w:rsid w:val="004E23E2"/>
    <w:rsid w:val="004E579B"/>
    <w:rsid w:val="004E675C"/>
    <w:rsid w:val="004E688C"/>
    <w:rsid w:val="004E70E4"/>
    <w:rsid w:val="004F02E0"/>
    <w:rsid w:val="004F32D5"/>
    <w:rsid w:val="004F4307"/>
    <w:rsid w:val="004F4695"/>
    <w:rsid w:val="004F56AF"/>
    <w:rsid w:val="004F6662"/>
    <w:rsid w:val="00503850"/>
    <w:rsid w:val="00503908"/>
    <w:rsid w:val="00504BC2"/>
    <w:rsid w:val="00507846"/>
    <w:rsid w:val="0051029E"/>
    <w:rsid w:val="0051252F"/>
    <w:rsid w:val="00512E42"/>
    <w:rsid w:val="00514095"/>
    <w:rsid w:val="00514AE0"/>
    <w:rsid w:val="0051642C"/>
    <w:rsid w:val="0051656E"/>
    <w:rsid w:val="00516782"/>
    <w:rsid w:val="00516E3E"/>
    <w:rsid w:val="005172BA"/>
    <w:rsid w:val="005172F6"/>
    <w:rsid w:val="005175B6"/>
    <w:rsid w:val="00517845"/>
    <w:rsid w:val="00520219"/>
    <w:rsid w:val="00520F23"/>
    <w:rsid w:val="005219FA"/>
    <w:rsid w:val="0052246A"/>
    <w:rsid w:val="00523119"/>
    <w:rsid w:val="0052385E"/>
    <w:rsid w:val="00523904"/>
    <w:rsid w:val="00527771"/>
    <w:rsid w:val="005300DA"/>
    <w:rsid w:val="00530201"/>
    <w:rsid w:val="00531FB8"/>
    <w:rsid w:val="005321DD"/>
    <w:rsid w:val="0053383E"/>
    <w:rsid w:val="00533CF0"/>
    <w:rsid w:val="0053433C"/>
    <w:rsid w:val="00535B43"/>
    <w:rsid w:val="005364AB"/>
    <w:rsid w:val="00536670"/>
    <w:rsid w:val="00536814"/>
    <w:rsid w:val="0053782C"/>
    <w:rsid w:val="0054020D"/>
    <w:rsid w:val="0054074A"/>
    <w:rsid w:val="0054157F"/>
    <w:rsid w:val="005435C7"/>
    <w:rsid w:val="00543BF7"/>
    <w:rsid w:val="00543FF4"/>
    <w:rsid w:val="00545125"/>
    <w:rsid w:val="00546496"/>
    <w:rsid w:val="00546633"/>
    <w:rsid w:val="00546F79"/>
    <w:rsid w:val="005505AB"/>
    <w:rsid w:val="00551965"/>
    <w:rsid w:val="0055312F"/>
    <w:rsid w:val="0055575C"/>
    <w:rsid w:val="00556586"/>
    <w:rsid w:val="00564381"/>
    <w:rsid w:val="005651EB"/>
    <w:rsid w:val="00566100"/>
    <w:rsid w:val="00567DDF"/>
    <w:rsid w:val="005717F3"/>
    <w:rsid w:val="00571A90"/>
    <w:rsid w:val="00571E3C"/>
    <w:rsid w:val="0057462B"/>
    <w:rsid w:val="005749D6"/>
    <w:rsid w:val="00574DE7"/>
    <w:rsid w:val="00581634"/>
    <w:rsid w:val="00583378"/>
    <w:rsid w:val="005833F4"/>
    <w:rsid w:val="005844F6"/>
    <w:rsid w:val="00584504"/>
    <w:rsid w:val="00585867"/>
    <w:rsid w:val="00585D80"/>
    <w:rsid w:val="005871E1"/>
    <w:rsid w:val="005908C9"/>
    <w:rsid w:val="00591722"/>
    <w:rsid w:val="005917EC"/>
    <w:rsid w:val="00593E17"/>
    <w:rsid w:val="00594D0D"/>
    <w:rsid w:val="005958C6"/>
    <w:rsid w:val="00597DFF"/>
    <w:rsid w:val="005A068E"/>
    <w:rsid w:val="005A2B1C"/>
    <w:rsid w:val="005A38F1"/>
    <w:rsid w:val="005A41E5"/>
    <w:rsid w:val="005A5CF5"/>
    <w:rsid w:val="005A6C8B"/>
    <w:rsid w:val="005B412B"/>
    <w:rsid w:val="005C0801"/>
    <w:rsid w:val="005C221E"/>
    <w:rsid w:val="005C28D9"/>
    <w:rsid w:val="005C3B60"/>
    <w:rsid w:val="005C45FE"/>
    <w:rsid w:val="005C57C5"/>
    <w:rsid w:val="005C5B13"/>
    <w:rsid w:val="005C5E4C"/>
    <w:rsid w:val="005C67CD"/>
    <w:rsid w:val="005D0003"/>
    <w:rsid w:val="005D1944"/>
    <w:rsid w:val="005D30FD"/>
    <w:rsid w:val="005D380F"/>
    <w:rsid w:val="005D3D87"/>
    <w:rsid w:val="005D464F"/>
    <w:rsid w:val="005D5311"/>
    <w:rsid w:val="005D65A8"/>
    <w:rsid w:val="005D67D9"/>
    <w:rsid w:val="005D7F0B"/>
    <w:rsid w:val="005E03AC"/>
    <w:rsid w:val="005E194A"/>
    <w:rsid w:val="005E4CEB"/>
    <w:rsid w:val="005E53FE"/>
    <w:rsid w:val="005E6B68"/>
    <w:rsid w:val="005F165E"/>
    <w:rsid w:val="005F1D74"/>
    <w:rsid w:val="005F211C"/>
    <w:rsid w:val="005F2B67"/>
    <w:rsid w:val="005F3733"/>
    <w:rsid w:val="005F3E4B"/>
    <w:rsid w:val="005F44B3"/>
    <w:rsid w:val="005F4EF8"/>
    <w:rsid w:val="005F5F72"/>
    <w:rsid w:val="005F7B7E"/>
    <w:rsid w:val="006015A4"/>
    <w:rsid w:val="00602D52"/>
    <w:rsid w:val="00603C8C"/>
    <w:rsid w:val="00604790"/>
    <w:rsid w:val="0060482C"/>
    <w:rsid w:val="00604FA2"/>
    <w:rsid w:val="00605DD9"/>
    <w:rsid w:val="00606309"/>
    <w:rsid w:val="00606730"/>
    <w:rsid w:val="00610ADB"/>
    <w:rsid w:val="0061118D"/>
    <w:rsid w:val="00611CA5"/>
    <w:rsid w:val="0061260E"/>
    <w:rsid w:val="00612658"/>
    <w:rsid w:val="0061294B"/>
    <w:rsid w:val="006131C6"/>
    <w:rsid w:val="00613758"/>
    <w:rsid w:val="00615491"/>
    <w:rsid w:val="00616BF7"/>
    <w:rsid w:val="006203CF"/>
    <w:rsid w:val="0062086F"/>
    <w:rsid w:val="006208C3"/>
    <w:rsid w:val="00620A6C"/>
    <w:rsid w:val="006211DE"/>
    <w:rsid w:val="00621890"/>
    <w:rsid w:val="006229F3"/>
    <w:rsid w:val="00622F32"/>
    <w:rsid w:val="006251C2"/>
    <w:rsid w:val="00627E09"/>
    <w:rsid w:val="006302AF"/>
    <w:rsid w:val="0063077A"/>
    <w:rsid w:val="006314F5"/>
    <w:rsid w:val="00631900"/>
    <w:rsid w:val="0063261E"/>
    <w:rsid w:val="00632F0C"/>
    <w:rsid w:val="006338E7"/>
    <w:rsid w:val="00634753"/>
    <w:rsid w:val="00634A32"/>
    <w:rsid w:val="00634BA1"/>
    <w:rsid w:val="00634E9D"/>
    <w:rsid w:val="006353C1"/>
    <w:rsid w:val="006362DC"/>
    <w:rsid w:val="00637AE9"/>
    <w:rsid w:val="00640929"/>
    <w:rsid w:val="0064107B"/>
    <w:rsid w:val="00642770"/>
    <w:rsid w:val="00642CDA"/>
    <w:rsid w:val="00644C26"/>
    <w:rsid w:val="006450FC"/>
    <w:rsid w:val="0064523A"/>
    <w:rsid w:val="00645482"/>
    <w:rsid w:val="006462DC"/>
    <w:rsid w:val="0064713D"/>
    <w:rsid w:val="006476E6"/>
    <w:rsid w:val="00647904"/>
    <w:rsid w:val="006513B9"/>
    <w:rsid w:val="00652257"/>
    <w:rsid w:val="00653786"/>
    <w:rsid w:val="006548E3"/>
    <w:rsid w:val="0065682C"/>
    <w:rsid w:val="006574DD"/>
    <w:rsid w:val="00660550"/>
    <w:rsid w:val="00661110"/>
    <w:rsid w:val="00661181"/>
    <w:rsid w:val="006618C7"/>
    <w:rsid w:val="00661AF6"/>
    <w:rsid w:val="00665E69"/>
    <w:rsid w:val="0066627C"/>
    <w:rsid w:val="0066681B"/>
    <w:rsid w:val="00666ECF"/>
    <w:rsid w:val="006670AD"/>
    <w:rsid w:val="006704FB"/>
    <w:rsid w:val="00670BA5"/>
    <w:rsid w:val="00671F60"/>
    <w:rsid w:val="00673F7C"/>
    <w:rsid w:val="00675A67"/>
    <w:rsid w:val="006806E0"/>
    <w:rsid w:val="00681487"/>
    <w:rsid w:val="00683D8D"/>
    <w:rsid w:val="00685329"/>
    <w:rsid w:val="00690253"/>
    <w:rsid w:val="00691269"/>
    <w:rsid w:val="006913FE"/>
    <w:rsid w:val="00691A90"/>
    <w:rsid w:val="00693088"/>
    <w:rsid w:val="00694E48"/>
    <w:rsid w:val="00694FA6"/>
    <w:rsid w:val="0069505B"/>
    <w:rsid w:val="00695E53"/>
    <w:rsid w:val="00696100"/>
    <w:rsid w:val="00696C9B"/>
    <w:rsid w:val="006A0529"/>
    <w:rsid w:val="006A2B90"/>
    <w:rsid w:val="006A6F9C"/>
    <w:rsid w:val="006A79B0"/>
    <w:rsid w:val="006B1B0A"/>
    <w:rsid w:val="006B6B44"/>
    <w:rsid w:val="006B7CC0"/>
    <w:rsid w:val="006C08E3"/>
    <w:rsid w:val="006C0EEA"/>
    <w:rsid w:val="006C1D26"/>
    <w:rsid w:val="006C2F37"/>
    <w:rsid w:val="006C4B97"/>
    <w:rsid w:val="006D2DAB"/>
    <w:rsid w:val="006D5680"/>
    <w:rsid w:val="006D6822"/>
    <w:rsid w:val="006E0FB7"/>
    <w:rsid w:val="006E1140"/>
    <w:rsid w:val="006E1989"/>
    <w:rsid w:val="006E487F"/>
    <w:rsid w:val="006E52C6"/>
    <w:rsid w:val="006E5B92"/>
    <w:rsid w:val="006E7FD0"/>
    <w:rsid w:val="006F0CB6"/>
    <w:rsid w:val="006F1997"/>
    <w:rsid w:val="006F1B01"/>
    <w:rsid w:val="006F1D21"/>
    <w:rsid w:val="006F5E79"/>
    <w:rsid w:val="006F6084"/>
    <w:rsid w:val="006F6435"/>
    <w:rsid w:val="006F71C3"/>
    <w:rsid w:val="006F7A30"/>
    <w:rsid w:val="006F7D8E"/>
    <w:rsid w:val="007004E3"/>
    <w:rsid w:val="00701F75"/>
    <w:rsid w:val="0070244D"/>
    <w:rsid w:val="00705078"/>
    <w:rsid w:val="0070774B"/>
    <w:rsid w:val="007111F5"/>
    <w:rsid w:val="00711522"/>
    <w:rsid w:val="00713526"/>
    <w:rsid w:val="00714154"/>
    <w:rsid w:val="007143DD"/>
    <w:rsid w:val="00715061"/>
    <w:rsid w:val="007159D5"/>
    <w:rsid w:val="00715E7D"/>
    <w:rsid w:val="00716AA6"/>
    <w:rsid w:val="00720938"/>
    <w:rsid w:val="0072127C"/>
    <w:rsid w:val="00722202"/>
    <w:rsid w:val="007237DE"/>
    <w:rsid w:val="00723D8C"/>
    <w:rsid w:val="00724449"/>
    <w:rsid w:val="0072654B"/>
    <w:rsid w:val="00730002"/>
    <w:rsid w:val="00730A8E"/>
    <w:rsid w:val="00731E42"/>
    <w:rsid w:val="007335EB"/>
    <w:rsid w:val="00734519"/>
    <w:rsid w:val="007379E9"/>
    <w:rsid w:val="00741C46"/>
    <w:rsid w:val="00741F69"/>
    <w:rsid w:val="00742110"/>
    <w:rsid w:val="007438CE"/>
    <w:rsid w:val="00744221"/>
    <w:rsid w:val="00744B98"/>
    <w:rsid w:val="00745525"/>
    <w:rsid w:val="00746A8E"/>
    <w:rsid w:val="00747DA7"/>
    <w:rsid w:val="00750DDF"/>
    <w:rsid w:val="0075139E"/>
    <w:rsid w:val="0075332E"/>
    <w:rsid w:val="00754F88"/>
    <w:rsid w:val="007553D1"/>
    <w:rsid w:val="007567FF"/>
    <w:rsid w:val="00760482"/>
    <w:rsid w:val="00761748"/>
    <w:rsid w:val="00762008"/>
    <w:rsid w:val="00762185"/>
    <w:rsid w:val="00762A6A"/>
    <w:rsid w:val="007646A7"/>
    <w:rsid w:val="007659B9"/>
    <w:rsid w:val="00766758"/>
    <w:rsid w:val="00766A7E"/>
    <w:rsid w:val="00767C07"/>
    <w:rsid w:val="00767F92"/>
    <w:rsid w:val="0077074E"/>
    <w:rsid w:val="007711D3"/>
    <w:rsid w:val="007722B8"/>
    <w:rsid w:val="0077389F"/>
    <w:rsid w:val="00773AAC"/>
    <w:rsid w:val="00774129"/>
    <w:rsid w:val="007800F5"/>
    <w:rsid w:val="00780667"/>
    <w:rsid w:val="0078216A"/>
    <w:rsid w:val="00782CB2"/>
    <w:rsid w:val="00782FC5"/>
    <w:rsid w:val="00783761"/>
    <w:rsid w:val="00783D76"/>
    <w:rsid w:val="007842F8"/>
    <w:rsid w:val="00784734"/>
    <w:rsid w:val="0078556C"/>
    <w:rsid w:val="007858EC"/>
    <w:rsid w:val="007860E2"/>
    <w:rsid w:val="0078662C"/>
    <w:rsid w:val="00786668"/>
    <w:rsid w:val="00792019"/>
    <w:rsid w:val="007931E3"/>
    <w:rsid w:val="007934F5"/>
    <w:rsid w:val="00797159"/>
    <w:rsid w:val="007973BD"/>
    <w:rsid w:val="007A0D6E"/>
    <w:rsid w:val="007A242F"/>
    <w:rsid w:val="007A5336"/>
    <w:rsid w:val="007A733D"/>
    <w:rsid w:val="007B0CF0"/>
    <w:rsid w:val="007B0F9A"/>
    <w:rsid w:val="007B18C9"/>
    <w:rsid w:val="007B1B5C"/>
    <w:rsid w:val="007B1FAB"/>
    <w:rsid w:val="007B27B6"/>
    <w:rsid w:val="007B2D90"/>
    <w:rsid w:val="007B3179"/>
    <w:rsid w:val="007B32AA"/>
    <w:rsid w:val="007B342F"/>
    <w:rsid w:val="007B3F52"/>
    <w:rsid w:val="007B45FC"/>
    <w:rsid w:val="007B4874"/>
    <w:rsid w:val="007B5F11"/>
    <w:rsid w:val="007B7047"/>
    <w:rsid w:val="007B7562"/>
    <w:rsid w:val="007B7BFA"/>
    <w:rsid w:val="007B7DEB"/>
    <w:rsid w:val="007C1929"/>
    <w:rsid w:val="007C2096"/>
    <w:rsid w:val="007C2B6F"/>
    <w:rsid w:val="007C383E"/>
    <w:rsid w:val="007C5672"/>
    <w:rsid w:val="007C5873"/>
    <w:rsid w:val="007C6398"/>
    <w:rsid w:val="007C6B5D"/>
    <w:rsid w:val="007C6B81"/>
    <w:rsid w:val="007D03C1"/>
    <w:rsid w:val="007D103C"/>
    <w:rsid w:val="007D18E9"/>
    <w:rsid w:val="007D34A1"/>
    <w:rsid w:val="007D39EF"/>
    <w:rsid w:val="007D3DC7"/>
    <w:rsid w:val="007D4420"/>
    <w:rsid w:val="007D4FAC"/>
    <w:rsid w:val="007D6AAA"/>
    <w:rsid w:val="007E07D6"/>
    <w:rsid w:val="007E1E9E"/>
    <w:rsid w:val="007E1EA3"/>
    <w:rsid w:val="007E23C5"/>
    <w:rsid w:val="007E2588"/>
    <w:rsid w:val="007E48B4"/>
    <w:rsid w:val="007E5309"/>
    <w:rsid w:val="007E535E"/>
    <w:rsid w:val="007E5B4D"/>
    <w:rsid w:val="007E5C55"/>
    <w:rsid w:val="007E7E1D"/>
    <w:rsid w:val="007F1B55"/>
    <w:rsid w:val="007F1BC9"/>
    <w:rsid w:val="007F2191"/>
    <w:rsid w:val="007F2234"/>
    <w:rsid w:val="007F36A0"/>
    <w:rsid w:val="007F5234"/>
    <w:rsid w:val="007F67FB"/>
    <w:rsid w:val="007F7293"/>
    <w:rsid w:val="007F75EE"/>
    <w:rsid w:val="007F77DA"/>
    <w:rsid w:val="00800415"/>
    <w:rsid w:val="008004ED"/>
    <w:rsid w:val="008009AF"/>
    <w:rsid w:val="008029C1"/>
    <w:rsid w:val="008037FA"/>
    <w:rsid w:val="00804977"/>
    <w:rsid w:val="008113A0"/>
    <w:rsid w:val="008126EB"/>
    <w:rsid w:val="0081411A"/>
    <w:rsid w:val="00814AF7"/>
    <w:rsid w:val="008153A1"/>
    <w:rsid w:val="00815653"/>
    <w:rsid w:val="00815F87"/>
    <w:rsid w:val="008160CB"/>
    <w:rsid w:val="00823203"/>
    <w:rsid w:val="0082363B"/>
    <w:rsid w:val="00824D9F"/>
    <w:rsid w:val="0082551D"/>
    <w:rsid w:val="00825F36"/>
    <w:rsid w:val="0082753A"/>
    <w:rsid w:val="00833FF3"/>
    <w:rsid w:val="008345AC"/>
    <w:rsid w:val="008345FF"/>
    <w:rsid w:val="00836495"/>
    <w:rsid w:val="00837851"/>
    <w:rsid w:val="00840107"/>
    <w:rsid w:val="00840D51"/>
    <w:rsid w:val="00840F45"/>
    <w:rsid w:val="0084384E"/>
    <w:rsid w:val="008440F2"/>
    <w:rsid w:val="00845263"/>
    <w:rsid w:val="008453E3"/>
    <w:rsid w:val="00845E32"/>
    <w:rsid w:val="00846C9D"/>
    <w:rsid w:val="008475E3"/>
    <w:rsid w:val="00847C1E"/>
    <w:rsid w:val="00847C9A"/>
    <w:rsid w:val="00851387"/>
    <w:rsid w:val="008513D9"/>
    <w:rsid w:val="0085242E"/>
    <w:rsid w:val="00853E88"/>
    <w:rsid w:val="008548AD"/>
    <w:rsid w:val="00854F77"/>
    <w:rsid w:val="00856CBB"/>
    <w:rsid w:val="00860B74"/>
    <w:rsid w:val="008613B7"/>
    <w:rsid w:val="00863415"/>
    <w:rsid w:val="00863800"/>
    <w:rsid w:val="0086418C"/>
    <w:rsid w:val="00865405"/>
    <w:rsid w:val="0086637C"/>
    <w:rsid w:val="0086722D"/>
    <w:rsid w:val="00870C8A"/>
    <w:rsid w:val="0087217B"/>
    <w:rsid w:val="00874BFE"/>
    <w:rsid w:val="00876670"/>
    <w:rsid w:val="00877CF5"/>
    <w:rsid w:val="0088019B"/>
    <w:rsid w:val="008821A1"/>
    <w:rsid w:val="00882B4D"/>
    <w:rsid w:val="00882DD4"/>
    <w:rsid w:val="00883D39"/>
    <w:rsid w:val="00883ED0"/>
    <w:rsid w:val="00883FEB"/>
    <w:rsid w:val="00886568"/>
    <w:rsid w:val="00890A63"/>
    <w:rsid w:val="0089143F"/>
    <w:rsid w:val="00891E3B"/>
    <w:rsid w:val="008930FB"/>
    <w:rsid w:val="00893DB3"/>
    <w:rsid w:val="00893FB5"/>
    <w:rsid w:val="0089634B"/>
    <w:rsid w:val="008A57BF"/>
    <w:rsid w:val="008A5D2F"/>
    <w:rsid w:val="008A5E7C"/>
    <w:rsid w:val="008B0130"/>
    <w:rsid w:val="008B1DDD"/>
    <w:rsid w:val="008B1FEF"/>
    <w:rsid w:val="008B4E7C"/>
    <w:rsid w:val="008B670B"/>
    <w:rsid w:val="008B78FD"/>
    <w:rsid w:val="008C0F50"/>
    <w:rsid w:val="008C1638"/>
    <w:rsid w:val="008C380E"/>
    <w:rsid w:val="008C54E1"/>
    <w:rsid w:val="008C5C4C"/>
    <w:rsid w:val="008C5CAF"/>
    <w:rsid w:val="008C68DD"/>
    <w:rsid w:val="008D01AD"/>
    <w:rsid w:val="008D0F98"/>
    <w:rsid w:val="008D25A0"/>
    <w:rsid w:val="008D2C72"/>
    <w:rsid w:val="008D570C"/>
    <w:rsid w:val="008D77E3"/>
    <w:rsid w:val="008D7F52"/>
    <w:rsid w:val="008E10F9"/>
    <w:rsid w:val="008E24A7"/>
    <w:rsid w:val="008E2AA7"/>
    <w:rsid w:val="008E2C8D"/>
    <w:rsid w:val="008E3125"/>
    <w:rsid w:val="008E5B2A"/>
    <w:rsid w:val="008F0EDD"/>
    <w:rsid w:val="008F5391"/>
    <w:rsid w:val="008F64B3"/>
    <w:rsid w:val="00900D4C"/>
    <w:rsid w:val="0090277D"/>
    <w:rsid w:val="009033CD"/>
    <w:rsid w:val="0090366A"/>
    <w:rsid w:val="00905E1F"/>
    <w:rsid w:val="00905F38"/>
    <w:rsid w:val="0090791B"/>
    <w:rsid w:val="00911F89"/>
    <w:rsid w:val="009128CB"/>
    <w:rsid w:val="00913332"/>
    <w:rsid w:val="0091445C"/>
    <w:rsid w:val="00914620"/>
    <w:rsid w:val="00915B6D"/>
    <w:rsid w:val="00915EC4"/>
    <w:rsid w:val="00917CE0"/>
    <w:rsid w:val="0092141E"/>
    <w:rsid w:val="00922409"/>
    <w:rsid w:val="009228AF"/>
    <w:rsid w:val="009229AA"/>
    <w:rsid w:val="009232DD"/>
    <w:rsid w:val="009235F7"/>
    <w:rsid w:val="00923A2B"/>
    <w:rsid w:val="00923C89"/>
    <w:rsid w:val="00925542"/>
    <w:rsid w:val="009261D0"/>
    <w:rsid w:val="0092643D"/>
    <w:rsid w:val="009267A6"/>
    <w:rsid w:val="00927DBC"/>
    <w:rsid w:val="00930A0B"/>
    <w:rsid w:val="009311AF"/>
    <w:rsid w:val="00931D41"/>
    <w:rsid w:val="00932537"/>
    <w:rsid w:val="009333BF"/>
    <w:rsid w:val="00933647"/>
    <w:rsid w:val="00934A18"/>
    <w:rsid w:val="00936EEB"/>
    <w:rsid w:val="00937E97"/>
    <w:rsid w:val="009403B6"/>
    <w:rsid w:val="00940EC9"/>
    <w:rsid w:val="0094124C"/>
    <w:rsid w:val="0094279B"/>
    <w:rsid w:val="009439AF"/>
    <w:rsid w:val="009440A2"/>
    <w:rsid w:val="0094430F"/>
    <w:rsid w:val="00944AE6"/>
    <w:rsid w:val="00944D96"/>
    <w:rsid w:val="009456EB"/>
    <w:rsid w:val="00947A0A"/>
    <w:rsid w:val="00947DB5"/>
    <w:rsid w:val="00947E94"/>
    <w:rsid w:val="00951013"/>
    <w:rsid w:val="00953302"/>
    <w:rsid w:val="00953821"/>
    <w:rsid w:val="009548F0"/>
    <w:rsid w:val="00954B5D"/>
    <w:rsid w:val="00955B4B"/>
    <w:rsid w:val="009563C4"/>
    <w:rsid w:val="009568D2"/>
    <w:rsid w:val="00957D09"/>
    <w:rsid w:val="00961F93"/>
    <w:rsid w:val="00961FF2"/>
    <w:rsid w:val="00963254"/>
    <w:rsid w:val="00964BF5"/>
    <w:rsid w:val="0096548D"/>
    <w:rsid w:val="00965BFA"/>
    <w:rsid w:val="00966104"/>
    <w:rsid w:val="00972131"/>
    <w:rsid w:val="0097488E"/>
    <w:rsid w:val="009757ED"/>
    <w:rsid w:val="00975842"/>
    <w:rsid w:val="00975FE3"/>
    <w:rsid w:val="0097752F"/>
    <w:rsid w:val="0098065C"/>
    <w:rsid w:val="009822BE"/>
    <w:rsid w:val="00983681"/>
    <w:rsid w:val="00983D64"/>
    <w:rsid w:val="00984DB3"/>
    <w:rsid w:val="00985E57"/>
    <w:rsid w:val="0099158F"/>
    <w:rsid w:val="00994221"/>
    <w:rsid w:val="00995F55"/>
    <w:rsid w:val="009A02D9"/>
    <w:rsid w:val="009A0BC3"/>
    <w:rsid w:val="009A4516"/>
    <w:rsid w:val="009B03C2"/>
    <w:rsid w:val="009B1518"/>
    <w:rsid w:val="009B30D6"/>
    <w:rsid w:val="009B3142"/>
    <w:rsid w:val="009B3A4B"/>
    <w:rsid w:val="009B4417"/>
    <w:rsid w:val="009B620A"/>
    <w:rsid w:val="009B676B"/>
    <w:rsid w:val="009B7C3D"/>
    <w:rsid w:val="009C19A6"/>
    <w:rsid w:val="009C4082"/>
    <w:rsid w:val="009C438B"/>
    <w:rsid w:val="009C4E65"/>
    <w:rsid w:val="009C5C5A"/>
    <w:rsid w:val="009C767E"/>
    <w:rsid w:val="009D2B9A"/>
    <w:rsid w:val="009D556F"/>
    <w:rsid w:val="009E0501"/>
    <w:rsid w:val="009E1321"/>
    <w:rsid w:val="009E1D24"/>
    <w:rsid w:val="009E236D"/>
    <w:rsid w:val="009E4A0A"/>
    <w:rsid w:val="009E4FAC"/>
    <w:rsid w:val="009E6141"/>
    <w:rsid w:val="009E7344"/>
    <w:rsid w:val="009E76E5"/>
    <w:rsid w:val="009E7D83"/>
    <w:rsid w:val="009F10E4"/>
    <w:rsid w:val="009F22FE"/>
    <w:rsid w:val="009F290B"/>
    <w:rsid w:val="009F349F"/>
    <w:rsid w:val="009F379D"/>
    <w:rsid w:val="009F4C32"/>
    <w:rsid w:val="009F58DD"/>
    <w:rsid w:val="009F5B69"/>
    <w:rsid w:val="009F5EE9"/>
    <w:rsid w:val="009F619D"/>
    <w:rsid w:val="009F671A"/>
    <w:rsid w:val="00A00319"/>
    <w:rsid w:val="00A00BF4"/>
    <w:rsid w:val="00A0287F"/>
    <w:rsid w:val="00A02D7F"/>
    <w:rsid w:val="00A03F3F"/>
    <w:rsid w:val="00A04955"/>
    <w:rsid w:val="00A06688"/>
    <w:rsid w:val="00A074B3"/>
    <w:rsid w:val="00A13143"/>
    <w:rsid w:val="00A13CFD"/>
    <w:rsid w:val="00A14A0D"/>
    <w:rsid w:val="00A1679C"/>
    <w:rsid w:val="00A2066C"/>
    <w:rsid w:val="00A20CC4"/>
    <w:rsid w:val="00A22982"/>
    <w:rsid w:val="00A229A8"/>
    <w:rsid w:val="00A232DC"/>
    <w:rsid w:val="00A25708"/>
    <w:rsid w:val="00A27573"/>
    <w:rsid w:val="00A30C9C"/>
    <w:rsid w:val="00A31B13"/>
    <w:rsid w:val="00A31F98"/>
    <w:rsid w:val="00A3280F"/>
    <w:rsid w:val="00A32A56"/>
    <w:rsid w:val="00A32BE5"/>
    <w:rsid w:val="00A33511"/>
    <w:rsid w:val="00A33DDD"/>
    <w:rsid w:val="00A34CF5"/>
    <w:rsid w:val="00A3504B"/>
    <w:rsid w:val="00A36DE5"/>
    <w:rsid w:val="00A37848"/>
    <w:rsid w:val="00A4166A"/>
    <w:rsid w:val="00A42CA3"/>
    <w:rsid w:val="00A43B95"/>
    <w:rsid w:val="00A44D3E"/>
    <w:rsid w:val="00A4523B"/>
    <w:rsid w:val="00A4763D"/>
    <w:rsid w:val="00A47B08"/>
    <w:rsid w:val="00A50F7F"/>
    <w:rsid w:val="00A51BF9"/>
    <w:rsid w:val="00A52574"/>
    <w:rsid w:val="00A53867"/>
    <w:rsid w:val="00A53A0E"/>
    <w:rsid w:val="00A55966"/>
    <w:rsid w:val="00A56F35"/>
    <w:rsid w:val="00A57FAB"/>
    <w:rsid w:val="00A616E2"/>
    <w:rsid w:val="00A65637"/>
    <w:rsid w:val="00A65E76"/>
    <w:rsid w:val="00A65F2E"/>
    <w:rsid w:val="00A66A46"/>
    <w:rsid w:val="00A67D59"/>
    <w:rsid w:val="00A7034E"/>
    <w:rsid w:val="00A706CB"/>
    <w:rsid w:val="00A70FB5"/>
    <w:rsid w:val="00A7299F"/>
    <w:rsid w:val="00A7347C"/>
    <w:rsid w:val="00A75C56"/>
    <w:rsid w:val="00A76705"/>
    <w:rsid w:val="00A77292"/>
    <w:rsid w:val="00A77435"/>
    <w:rsid w:val="00A80E57"/>
    <w:rsid w:val="00A80FED"/>
    <w:rsid w:val="00A8138C"/>
    <w:rsid w:val="00A82357"/>
    <w:rsid w:val="00A82538"/>
    <w:rsid w:val="00A83118"/>
    <w:rsid w:val="00A83581"/>
    <w:rsid w:val="00A83BCA"/>
    <w:rsid w:val="00A84061"/>
    <w:rsid w:val="00A8484A"/>
    <w:rsid w:val="00A85166"/>
    <w:rsid w:val="00A872A3"/>
    <w:rsid w:val="00A908FE"/>
    <w:rsid w:val="00A90EF0"/>
    <w:rsid w:val="00A928A9"/>
    <w:rsid w:val="00A9371F"/>
    <w:rsid w:val="00A95B09"/>
    <w:rsid w:val="00A96CB2"/>
    <w:rsid w:val="00A97058"/>
    <w:rsid w:val="00A97994"/>
    <w:rsid w:val="00AA0C56"/>
    <w:rsid w:val="00AA2CB0"/>
    <w:rsid w:val="00AA3702"/>
    <w:rsid w:val="00AA37D4"/>
    <w:rsid w:val="00AA50A1"/>
    <w:rsid w:val="00AA5515"/>
    <w:rsid w:val="00AA5E17"/>
    <w:rsid w:val="00AA6779"/>
    <w:rsid w:val="00AA78FC"/>
    <w:rsid w:val="00AB0AA8"/>
    <w:rsid w:val="00AB176E"/>
    <w:rsid w:val="00AB4578"/>
    <w:rsid w:val="00AB4A47"/>
    <w:rsid w:val="00AB560A"/>
    <w:rsid w:val="00AB6617"/>
    <w:rsid w:val="00AB716D"/>
    <w:rsid w:val="00AB7354"/>
    <w:rsid w:val="00AC0A13"/>
    <w:rsid w:val="00AC249B"/>
    <w:rsid w:val="00AC25B7"/>
    <w:rsid w:val="00AC3047"/>
    <w:rsid w:val="00AC42BD"/>
    <w:rsid w:val="00AC4408"/>
    <w:rsid w:val="00AD03A7"/>
    <w:rsid w:val="00AD0ADB"/>
    <w:rsid w:val="00AD1181"/>
    <w:rsid w:val="00AD11E8"/>
    <w:rsid w:val="00AD7CE0"/>
    <w:rsid w:val="00AE0A98"/>
    <w:rsid w:val="00AE0B4C"/>
    <w:rsid w:val="00AE1053"/>
    <w:rsid w:val="00AE164E"/>
    <w:rsid w:val="00AE4F4B"/>
    <w:rsid w:val="00AE5853"/>
    <w:rsid w:val="00AE5AA1"/>
    <w:rsid w:val="00AE5DBA"/>
    <w:rsid w:val="00AE6F68"/>
    <w:rsid w:val="00AF047F"/>
    <w:rsid w:val="00AF4EE7"/>
    <w:rsid w:val="00AF64CD"/>
    <w:rsid w:val="00AF6DB3"/>
    <w:rsid w:val="00B00AEF"/>
    <w:rsid w:val="00B01205"/>
    <w:rsid w:val="00B03127"/>
    <w:rsid w:val="00B03B89"/>
    <w:rsid w:val="00B03F4E"/>
    <w:rsid w:val="00B05AEA"/>
    <w:rsid w:val="00B06966"/>
    <w:rsid w:val="00B10272"/>
    <w:rsid w:val="00B1113F"/>
    <w:rsid w:val="00B11E8D"/>
    <w:rsid w:val="00B12003"/>
    <w:rsid w:val="00B1235C"/>
    <w:rsid w:val="00B13AC9"/>
    <w:rsid w:val="00B15076"/>
    <w:rsid w:val="00B152CE"/>
    <w:rsid w:val="00B15395"/>
    <w:rsid w:val="00B15A1F"/>
    <w:rsid w:val="00B16F49"/>
    <w:rsid w:val="00B17E38"/>
    <w:rsid w:val="00B20D6F"/>
    <w:rsid w:val="00B219CE"/>
    <w:rsid w:val="00B22785"/>
    <w:rsid w:val="00B22A09"/>
    <w:rsid w:val="00B24289"/>
    <w:rsid w:val="00B30594"/>
    <w:rsid w:val="00B30D82"/>
    <w:rsid w:val="00B31F06"/>
    <w:rsid w:val="00B32218"/>
    <w:rsid w:val="00B35048"/>
    <w:rsid w:val="00B3776F"/>
    <w:rsid w:val="00B412C8"/>
    <w:rsid w:val="00B4210F"/>
    <w:rsid w:val="00B422FF"/>
    <w:rsid w:val="00B42C3A"/>
    <w:rsid w:val="00B435C6"/>
    <w:rsid w:val="00B43607"/>
    <w:rsid w:val="00B44947"/>
    <w:rsid w:val="00B45AE4"/>
    <w:rsid w:val="00B472B4"/>
    <w:rsid w:val="00B47B93"/>
    <w:rsid w:val="00B5022A"/>
    <w:rsid w:val="00B5169F"/>
    <w:rsid w:val="00B52230"/>
    <w:rsid w:val="00B55AF8"/>
    <w:rsid w:val="00B57AD5"/>
    <w:rsid w:val="00B646C6"/>
    <w:rsid w:val="00B651D4"/>
    <w:rsid w:val="00B671CF"/>
    <w:rsid w:val="00B70408"/>
    <w:rsid w:val="00B70FD6"/>
    <w:rsid w:val="00B72310"/>
    <w:rsid w:val="00B72605"/>
    <w:rsid w:val="00B757FC"/>
    <w:rsid w:val="00B75E06"/>
    <w:rsid w:val="00B77007"/>
    <w:rsid w:val="00B81083"/>
    <w:rsid w:val="00B829E3"/>
    <w:rsid w:val="00B82DB7"/>
    <w:rsid w:val="00B83BCF"/>
    <w:rsid w:val="00B853E9"/>
    <w:rsid w:val="00B91035"/>
    <w:rsid w:val="00B917DC"/>
    <w:rsid w:val="00B91A8C"/>
    <w:rsid w:val="00B93A2E"/>
    <w:rsid w:val="00BA16B4"/>
    <w:rsid w:val="00BA5071"/>
    <w:rsid w:val="00BA5C02"/>
    <w:rsid w:val="00BA7A24"/>
    <w:rsid w:val="00BA7E1A"/>
    <w:rsid w:val="00BA7E67"/>
    <w:rsid w:val="00BB124E"/>
    <w:rsid w:val="00BB29DB"/>
    <w:rsid w:val="00BB6ADE"/>
    <w:rsid w:val="00BB764E"/>
    <w:rsid w:val="00BC104A"/>
    <w:rsid w:val="00BC1622"/>
    <w:rsid w:val="00BC1E42"/>
    <w:rsid w:val="00BC3172"/>
    <w:rsid w:val="00BC39FE"/>
    <w:rsid w:val="00BC3D97"/>
    <w:rsid w:val="00BC5737"/>
    <w:rsid w:val="00BC6793"/>
    <w:rsid w:val="00BC745E"/>
    <w:rsid w:val="00BD02B9"/>
    <w:rsid w:val="00BD0F1D"/>
    <w:rsid w:val="00BD1264"/>
    <w:rsid w:val="00BD181A"/>
    <w:rsid w:val="00BD2FB9"/>
    <w:rsid w:val="00BD3F3D"/>
    <w:rsid w:val="00BD455B"/>
    <w:rsid w:val="00BD4628"/>
    <w:rsid w:val="00BD46D8"/>
    <w:rsid w:val="00BD6BD3"/>
    <w:rsid w:val="00BE0C50"/>
    <w:rsid w:val="00BE1FC5"/>
    <w:rsid w:val="00BE2BA8"/>
    <w:rsid w:val="00BF33AF"/>
    <w:rsid w:val="00BF3BAC"/>
    <w:rsid w:val="00BF5984"/>
    <w:rsid w:val="00BF7BAE"/>
    <w:rsid w:val="00C01140"/>
    <w:rsid w:val="00C016CB"/>
    <w:rsid w:val="00C01708"/>
    <w:rsid w:val="00C01A8F"/>
    <w:rsid w:val="00C036C3"/>
    <w:rsid w:val="00C038E0"/>
    <w:rsid w:val="00C03BD8"/>
    <w:rsid w:val="00C03C2E"/>
    <w:rsid w:val="00C04303"/>
    <w:rsid w:val="00C05692"/>
    <w:rsid w:val="00C056A9"/>
    <w:rsid w:val="00C05827"/>
    <w:rsid w:val="00C05F55"/>
    <w:rsid w:val="00C06A94"/>
    <w:rsid w:val="00C06AD8"/>
    <w:rsid w:val="00C06D32"/>
    <w:rsid w:val="00C06EFE"/>
    <w:rsid w:val="00C07877"/>
    <w:rsid w:val="00C1026B"/>
    <w:rsid w:val="00C109D4"/>
    <w:rsid w:val="00C1291B"/>
    <w:rsid w:val="00C14088"/>
    <w:rsid w:val="00C146C8"/>
    <w:rsid w:val="00C15798"/>
    <w:rsid w:val="00C16B1E"/>
    <w:rsid w:val="00C16C99"/>
    <w:rsid w:val="00C16D70"/>
    <w:rsid w:val="00C17B9C"/>
    <w:rsid w:val="00C21E2C"/>
    <w:rsid w:val="00C22098"/>
    <w:rsid w:val="00C22895"/>
    <w:rsid w:val="00C22CCB"/>
    <w:rsid w:val="00C23AB0"/>
    <w:rsid w:val="00C25576"/>
    <w:rsid w:val="00C273D0"/>
    <w:rsid w:val="00C3282C"/>
    <w:rsid w:val="00C33324"/>
    <w:rsid w:val="00C33E5F"/>
    <w:rsid w:val="00C35011"/>
    <w:rsid w:val="00C354C7"/>
    <w:rsid w:val="00C36024"/>
    <w:rsid w:val="00C36CD9"/>
    <w:rsid w:val="00C40B24"/>
    <w:rsid w:val="00C41D4B"/>
    <w:rsid w:val="00C4204A"/>
    <w:rsid w:val="00C4389A"/>
    <w:rsid w:val="00C43F85"/>
    <w:rsid w:val="00C44AB1"/>
    <w:rsid w:val="00C44BF9"/>
    <w:rsid w:val="00C44F56"/>
    <w:rsid w:val="00C45ED3"/>
    <w:rsid w:val="00C461A6"/>
    <w:rsid w:val="00C46D2C"/>
    <w:rsid w:val="00C50307"/>
    <w:rsid w:val="00C5226A"/>
    <w:rsid w:val="00C54197"/>
    <w:rsid w:val="00C55305"/>
    <w:rsid w:val="00C574FC"/>
    <w:rsid w:val="00C602B0"/>
    <w:rsid w:val="00C6146B"/>
    <w:rsid w:val="00C614F3"/>
    <w:rsid w:val="00C6501C"/>
    <w:rsid w:val="00C654CB"/>
    <w:rsid w:val="00C6672A"/>
    <w:rsid w:val="00C66FA3"/>
    <w:rsid w:val="00C671AF"/>
    <w:rsid w:val="00C705EF"/>
    <w:rsid w:val="00C71B6D"/>
    <w:rsid w:val="00C72454"/>
    <w:rsid w:val="00C73C06"/>
    <w:rsid w:val="00C7439C"/>
    <w:rsid w:val="00C749ED"/>
    <w:rsid w:val="00C754D0"/>
    <w:rsid w:val="00C7646B"/>
    <w:rsid w:val="00C779E6"/>
    <w:rsid w:val="00C80B20"/>
    <w:rsid w:val="00C81C56"/>
    <w:rsid w:val="00C82B5A"/>
    <w:rsid w:val="00C835D4"/>
    <w:rsid w:val="00C85EFF"/>
    <w:rsid w:val="00C8641B"/>
    <w:rsid w:val="00C900AE"/>
    <w:rsid w:val="00C9034B"/>
    <w:rsid w:val="00C90747"/>
    <w:rsid w:val="00C92425"/>
    <w:rsid w:val="00C935E5"/>
    <w:rsid w:val="00C94EFB"/>
    <w:rsid w:val="00C955B4"/>
    <w:rsid w:val="00CA10EB"/>
    <w:rsid w:val="00CA3522"/>
    <w:rsid w:val="00CA384A"/>
    <w:rsid w:val="00CA3A93"/>
    <w:rsid w:val="00CA3B57"/>
    <w:rsid w:val="00CA3F72"/>
    <w:rsid w:val="00CA46B2"/>
    <w:rsid w:val="00CB1979"/>
    <w:rsid w:val="00CB1C5E"/>
    <w:rsid w:val="00CB1D8A"/>
    <w:rsid w:val="00CB2A18"/>
    <w:rsid w:val="00CB3FE1"/>
    <w:rsid w:val="00CB4126"/>
    <w:rsid w:val="00CB44A0"/>
    <w:rsid w:val="00CB48F2"/>
    <w:rsid w:val="00CB5CD9"/>
    <w:rsid w:val="00CB62F1"/>
    <w:rsid w:val="00CB6EA9"/>
    <w:rsid w:val="00CB76A5"/>
    <w:rsid w:val="00CC0905"/>
    <w:rsid w:val="00CC10A0"/>
    <w:rsid w:val="00CC1954"/>
    <w:rsid w:val="00CC1C7C"/>
    <w:rsid w:val="00CC247B"/>
    <w:rsid w:val="00CC29F8"/>
    <w:rsid w:val="00CC381D"/>
    <w:rsid w:val="00CC5476"/>
    <w:rsid w:val="00CC56DA"/>
    <w:rsid w:val="00CC6905"/>
    <w:rsid w:val="00CC737A"/>
    <w:rsid w:val="00CD0008"/>
    <w:rsid w:val="00CD01E6"/>
    <w:rsid w:val="00CD2D66"/>
    <w:rsid w:val="00CD3D34"/>
    <w:rsid w:val="00CD463F"/>
    <w:rsid w:val="00CD529D"/>
    <w:rsid w:val="00CD59AB"/>
    <w:rsid w:val="00CD6511"/>
    <w:rsid w:val="00CD6638"/>
    <w:rsid w:val="00CD6DDF"/>
    <w:rsid w:val="00CE0A81"/>
    <w:rsid w:val="00CE3CC5"/>
    <w:rsid w:val="00CE3E3F"/>
    <w:rsid w:val="00CE4D0B"/>
    <w:rsid w:val="00CE69E9"/>
    <w:rsid w:val="00CE77BC"/>
    <w:rsid w:val="00CF062F"/>
    <w:rsid w:val="00CF2190"/>
    <w:rsid w:val="00CF3176"/>
    <w:rsid w:val="00CF35F0"/>
    <w:rsid w:val="00CF45C2"/>
    <w:rsid w:val="00CF763B"/>
    <w:rsid w:val="00CF7A4B"/>
    <w:rsid w:val="00D00C04"/>
    <w:rsid w:val="00D030D8"/>
    <w:rsid w:val="00D04F2B"/>
    <w:rsid w:val="00D05092"/>
    <w:rsid w:val="00D10050"/>
    <w:rsid w:val="00D11F6A"/>
    <w:rsid w:val="00D1336B"/>
    <w:rsid w:val="00D14ADE"/>
    <w:rsid w:val="00D15360"/>
    <w:rsid w:val="00D15B23"/>
    <w:rsid w:val="00D15BB1"/>
    <w:rsid w:val="00D16C55"/>
    <w:rsid w:val="00D20585"/>
    <w:rsid w:val="00D2264D"/>
    <w:rsid w:val="00D2284B"/>
    <w:rsid w:val="00D22BB8"/>
    <w:rsid w:val="00D232C6"/>
    <w:rsid w:val="00D24E84"/>
    <w:rsid w:val="00D309C1"/>
    <w:rsid w:val="00D30D16"/>
    <w:rsid w:val="00D327B0"/>
    <w:rsid w:val="00D32994"/>
    <w:rsid w:val="00D33853"/>
    <w:rsid w:val="00D358B6"/>
    <w:rsid w:val="00D35ECA"/>
    <w:rsid w:val="00D36832"/>
    <w:rsid w:val="00D40B75"/>
    <w:rsid w:val="00D40E96"/>
    <w:rsid w:val="00D41CFB"/>
    <w:rsid w:val="00D45BC3"/>
    <w:rsid w:val="00D4672F"/>
    <w:rsid w:val="00D46940"/>
    <w:rsid w:val="00D475B6"/>
    <w:rsid w:val="00D478F1"/>
    <w:rsid w:val="00D50DA8"/>
    <w:rsid w:val="00D51FE7"/>
    <w:rsid w:val="00D53CBA"/>
    <w:rsid w:val="00D54691"/>
    <w:rsid w:val="00D56637"/>
    <w:rsid w:val="00D566C3"/>
    <w:rsid w:val="00D568A9"/>
    <w:rsid w:val="00D6110E"/>
    <w:rsid w:val="00D613DA"/>
    <w:rsid w:val="00D63EE4"/>
    <w:rsid w:val="00D64A94"/>
    <w:rsid w:val="00D65B90"/>
    <w:rsid w:val="00D65F59"/>
    <w:rsid w:val="00D6615B"/>
    <w:rsid w:val="00D666E8"/>
    <w:rsid w:val="00D67547"/>
    <w:rsid w:val="00D67CB5"/>
    <w:rsid w:val="00D704C3"/>
    <w:rsid w:val="00D71E76"/>
    <w:rsid w:val="00D73274"/>
    <w:rsid w:val="00D7589C"/>
    <w:rsid w:val="00D75A9A"/>
    <w:rsid w:val="00D7794F"/>
    <w:rsid w:val="00D77ADB"/>
    <w:rsid w:val="00D814E1"/>
    <w:rsid w:val="00D843F8"/>
    <w:rsid w:val="00D84932"/>
    <w:rsid w:val="00D8590B"/>
    <w:rsid w:val="00D85E6A"/>
    <w:rsid w:val="00D8638E"/>
    <w:rsid w:val="00D871E6"/>
    <w:rsid w:val="00D87B61"/>
    <w:rsid w:val="00D92354"/>
    <w:rsid w:val="00D938B1"/>
    <w:rsid w:val="00D94396"/>
    <w:rsid w:val="00D94566"/>
    <w:rsid w:val="00D9535B"/>
    <w:rsid w:val="00D97ACA"/>
    <w:rsid w:val="00D97FE2"/>
    <w:rsid w:val="00DA228D"/>
    <w:rsid w:val="00DA2C63"/>
    <w:rsid w:val="00DA2D33"/>
    <w:rsid w:val="00DA54E9"/>
    <w:rsid w:val="00DA57FC"/>
    <w:rsid w:val="00DA641D"/>
    <w:rsid w:val="00DA68F1"/>
    <w:rsid w:val="00DA7233"/>
    <w:rsid w:val="00DA77FA"/>
    <w:rsid w:val="00DB0267"/>
    <w:rsid w:val="00DB064F"/>
    <w:rsid w:val="00DB212B"/>
    <w:rsid w:val="00DB2FC4"/>
    <w:rsid w:val="00DB30E3"/>
    <w:rsid w:val="00DB474C"/>
    <w:rsid w:val="00DB4FEF"/>
    <w:rsid w:val="00DB6655"/>
    <w:rsid w:val="00DB6656"/>
    <w:rsid w:val="00DB6A67"/>
    <w:rsid w:val="00DB7DBB"/>
    <w:rsid w:val="00DB7E1C"/>
    <w:rsid w:val="00DC0E74"/>
    <w:rsid w:val="00DC20E2"/>
    <w:rsid w:val="00DC4743"/>
    <w:rsid w:val="00DC641C"/>
    <w:rsid w:val="00DC7772"/>
    <w:rsid w:val="00DD142D"/>
    <w:rsid w:val="00DD1C8B"/>
    <w:rsid w:val="00DD240E"/>
    <w:rsid w:val="00DD583D"/>
    <w:rsid w:val="00DD62C7"/>
    <w:rsid w:val="00DD7D25"/>
    <w:rsid w:val="00DE00F9"/>
    <w:rsid w:val="00DE05D1"/>
    <w:rsid w:val="00DE08B0"/>
    <w:rsid w:val="00DE1988"/>
    <w:rsid w:val="00DE243D"/>
    <w:rsid w:val="00DE2810"/>
    <w:rsid w:val="00DE4040"/>
    <w:rsid w:val="00DE45CF"/>
    <w:rsid w:val="00DE56E3"/>
    <w:rsid w:val="00DE58B0"/>
    <w:rsid w:val="00DE636F"/>
    <w:rsid w:val="00DE656C"/>
    <w:rsid w:val="00DE68ED"/>
    <w:rsid w:val="00DE7D27"/>
    <w:rsid w:val="00DF12F7"/>
    <w:rsid w:val="00DF1D2B"/>
    <w:rsid w:val="00DF268D"/>
    <w:rsid w:val="00DF2B2C"/>
    <w:rsid w:val="00DF4097"/>
    <w:rsid w:val="00DF46D2"/>
    <w:rsid w:val="00DF479E"/>
    <w:rsid w:val="00DF4DAD"/>
    <w:rsid w:val="00DF65FA"/>
    <w:rsid w:val="00DF6B84"/>
    <w:rsid w:val="00DF6EE0"/>
    <w:rsid w:val="00E0102A"/>
    <w:rsid w:val="00E028D1"/>
    <w:rsid w:val="00E029C5"/>
    <w:rsid w:val="00E03B40"/>
    <w:rsid w:val="00E04063"/>
    <w:rsid w:val="00E04E1F"/>
    <w:rsid w:val="00E05973"/>
    <w:rsid w:val="00E05B8D"/>
    <w:rsid w:val="00E06CF3"/>
    <w:rsid w:val="00E06E63"/>
    <w:rsid w:val="00E07A53"/>
    <w:rsid w:val="00E107C1"/>
    <w:rsid w:val="00E109D6"/>
    <w:rsid w:val="00E12674"/>
    <w:rsid w:val="00E126D4"/>
    <w:rsid w:val="00E12957"/>
    <w:rsid w:val="00E155DE"/>
    <w:rsid w:val="00E16C06"/>
    <w:rsid w:val="00E172EC"/>
    <w:rsid w:val="00E20613"/>
    <w:rsid w:val="00E23B7F"/>
    <w:rsid w:val="00E23F61"/>
    <w:rsid w:val="00E241EE"/>
    <w:rsid w:val="00E260EB"/>
    <w:rsid w:val="00E32F50"/>
    <w:rsid w:val="00E3427F"/>
    <w:rsid w:val="00E34753"/>
    <w:rsid w:val="00E34E2B"/>
    <w:rsid w:val="00E40997"/>
    <w:rsid w:val="00E41814"/>
    <w:rsid w:val="00E42EE1"/>
    <w:rsid w:val="00E431CA"/>
    <w:rsid w:val="00E43D08"/>
    <w:rsid w:val="00E446CA"/>
    <w:rsid w:val="00E4522C"/>
    <w:rsid w:val="00E46497"/>
    <w:rsid w:val="00E50BFF"/>
    <w:rsid w:val="00E5136F"/>
    <w:rsid w:val="00E52EC3"/>
    <w:rsid w:val="00E54F60"/>
    <w:rsid w:val="00E5501F"/>
    <w:rsid w:val="00E564BF"/>
    <w:rsid w:val="00E56F22"/>
    <w:rsid w:val="00E572BA"/>
    <w:rsid w:val="00E601DC"/>
    <w:rsid w:val="00E6223E"/>
    <w:rsid w:val="00E62C26"/>
    <w:rsid w:val="00E62E8C"/>
    <w:rsid w:val="00E62FE8"/>
    <w:rsid w:val="00E63730"/>
    <w:rsid w:val="00E64EFB"/>
    <w:rsid w:val="00E65546"/>
    <w:rsid w:val="00E6568F"/>
    <w:rsid w:val="00E65A1B"/>
    <w:rsid w:val="00E665C3"/>
    <w:rsid w:val="00E6662C"/>
    <w:rsid w:val="00E71639"/>
    <w:rsid w:val="00E716BD"/>
    <w:rsid w:val="00E7175C"/>
    <w:rsid w:val="00E73390"/>
    <w:rsid w:val="00E753EC"/>
    <w:rsid w:val="00E7567F"/>
    <w:rsid w:val="00E7596E"/>
    <w:rsid w:val="00E75E9E"/>
    <w:rsid w:val="00E7660E"/>
    <w:rsid w:val="00E772E8"/>
    <w:rsid w:val="00E82D47"/>
    <w:rsid w:val="00E831DD"/>
    <w:rsid w:val="00E83C84"/>
    <w:rsid w:val="00E83FE8"/>
    <w:rsid w:val="00E851C8"/>
    <w:rsid w:val="00E85686"/>
    <w:rsid w:val="00E86182"/>
    <w:rsid w:val="00E86619"/>
    <w:rsid w:val="00E869BA"/>
    <w:rsid w:val="00E86A40"/>
    <w:rsid w:val="00E86C86"/>
    <w:rsid w:val="00E86E9C"/>
    <w:rsid w:val="00E91C63"/>
    <w:rsid w:val="00E91EA2"/>
    <w:rsid w:val="00E9395C"/>
    <w:rsid w:val="00E97348"/>
    <w:rsid w:val="00EA016D"/>
    <w:rsid w:val="00EA0E1A"/>
    <w:rsid w:val="00EA1726"/>
    <w:rsid w:val="00EA1B78"/>
    <w:rsid w:val="00EA2087"/>
    <w:rsid w:val="00EA2B57"/>
    <w:rsid w:val="00EA445E"/>
    <w:rsid w:val="00EA473E"/>
    <w:rsid w:val="00EA6D4A"/>
    <w:rsid w:val="00EA7467"/>
    <w:rsid w:val="00EB01B2"/>
    <w:rsid w:val="00EB1313"/>
    <w:rsid w:val="00EB21D5"/>
    <w:rsid w:val="00EB3383"/>
    <w:rsid w:val="00EB48DF"/>
    <w:rsid w:val="00EB54E4"/>
    <w:rsid w:val="00EC0FDE"/>
    <w:rsid w:val="00EC2374"/>
    <w:rsid w:val="00EC2386"/>
    <w:rsid w:val="00EC3763"/>
    <w:rsid w:val="00EC53A5"/>
    <w:rsid w:val="00EC61F2"/>
    <w:rsid w:val="00ED06CB"/>
    <w:rsid w:val="00ED1A41"/>
    <w:rsid w:val="00ED256C"/>
    <w:rsid w:val="00ED2AA7"/>
    <w:rsid w:val="00ED2C9B"/>
    <w:rsid w:val="00ED48D1"/>
    <w:rsid w:val="00ED4E2C"/>
    <w:rsid w:val="00ED4E6D"/>
    <w:rsid w:val="00ED7925"/>
    <w:rsid w:val="00EE10F6"/>
    <w:rsid w:val="00EE12ED"/>
    <w:rsid w:val="00EE177D"/>
    <w:rsid w:val="00EE2A97"/>
    <w:rsid w:val="00EE2B64"/>
    <w:rsid w:val="00EE3631"/>
    <w:rsid w:val="00EE53BA"/>
    <w:rsid w:val="00EE5B00"/>
    <w:rsid w:val="00EE5DD9"/>
    <w:rsid w:val="00EE5E82"/>
    <w:rsid w:val="00EE7545"/>
    <w:rsid w:val="00EE7633"/>
    <w:rsid w:val="00EF17B4"/>
    <w:rsid w:val="00EF245E"/>
    <w:rsid w:val="00EF38DA"/>
    <w:rsid w:val="00EF47D5"/>
    <w:rsid w:val="00EF6745"/>
    <w:rsid w:val="00F01448"/>
    <w:rsid w:val="00F0231D"/>
    <w:rsid w:val="00F03635"/>
    <w:rsid w:val="00F03904"/>
    <w:rsid w:val="00F04E24"/>
    <w:rsid w:val="00F1002E"/>
    <w:rsid w:val="00F10B0C"/>
    <w:rsid w:val="00F10BA3"/>
    <w:rsid w:val="00F10BEE"/>
    <w:rsid w:val="00F120B3"/>
    <w:rsid w:val="00F13AA2"/>
    <w:rsid w:val="00F1665F"/>
    <w:rsid w:val="00F178D6"/>
    <w:rsid w:val="00F2010D"/>
    <w:rsid w:val="00F20621"/>
    <w:rsid w:val="00F21315"/>
    <w:rsid w:val="00F21B1B"/>
    <w:rsid w:val="00F21C31"/>
    <w:rsid w:val="00F22300"/>
    <w:rsid w:val="00F22E0A"/>
    <w:rsid w:val="00F258D5"/>
    <w:rsid w:val="00F30A06"/>
    <w:rsid w:val="00F31036"/>
    <w:rsid w:val="00F310EA"/>
    <w:rsid w:val="00F319E7"/>
    <w:rsid w:val="00F3396F"/>
    <w:rsid w:val="00F36947"/>
    <w:rsid w:val="00F36E6C"/>
    <w:rsid w:val="00F41441"/>
    <w:rsid w:val="00F42443"/>
    <w:rsid w:val="00F42612"/>
    <w:rsid w:val="00F437A6"/>
    <w:rsid w:val="00F43F26"/>
    <w:rsid w:val="00F44C5C"/>
    <w:rsid w:val="00F46378"/>
    <w:rsid w:val="00F46FCA"/>
    <w:rsid w:val="00F477CE"/>
    <w:rsid w:val="00F5184E"/>
    <w:rsid w:val="00F525E2"/>
    <w:rsid w:val="00F5269C"/>
    <w:rsid w:val="00F5458A"/>
    <w:rsid w:val="00F54CF6"/>
    <w:rsid w:val="00F562A8"/>
    <w:rsid w:val="00F60FB0"/>
    <w:rsid w:val="00F6120C"/>
    <w:rsid w:val="00F614E4"/>
    <w:rsid w:val="00F6337E"/>
    <w:rsid w:val="00F63CCD"/>
    <w:rsid w:val="00F65A4C"/>
    <w:rsid w:val="00F65AB2"/>
    <w:rsid w:val="00F66D16"/>
    <w:rsid w:val="00F67623"/>
    <w:rsid w:val="00F701E5"/>
    <w:rsid w:val="00F70EE9"/>
    <w:rsid w:val="00F72399"/>
    <w:rsid w:val="00F72A6D"/>
    <w:rsid w:val="00F7471C"/>
    <w:rsid w:val="00F7654D"/>
    <w:rsid w:val="00F77023"/>
    <w:rsid w:val="00F77543"/>
    <w:rsid w:val="00F7769C"/>
    <w:rsid w:val="00F811B3"/>
    <w:rsid w:val="00F84696"/>
    <w:rsid w:val="00F861D9"/>
    <w:rsid w:val="00F87462"/>
    <w:rsid w:val="00F875A1"/>
    <w:rsid w:val="00F87B58"/>
    <w:rsid w:val="00F919C7"/>
    <w:rsid w:val="00F94ABC"/>
    <w:rsid w:val="00F9551E"/>
    <w:rsid w:val="00F963A6"/>
    <w:rsid w:val="00F97965"/>
    <w:rsid w:val="00FA13C8"/>
    <w:rsid w:val="00FA14AF"/>
    <w:rsid w:val="00FA156B"/>
    <w:rsid w:val="00FA2FFC"/>
    <w:rsid w:val="00FA3E49"/>
    <w:rsid w:val="00FA454A"/>
    <w:rsid w:val="00FA475C"/>
    <w:rsid w:val="00FA530A"/>
    <w:rsid w:val="00FC0023"/>
    <w:rsid w:val="00FC110E"/>
    <w:rsid w:val="00FC1EE0"/>
    <w:rsid w:val="00FC215D"/>
    <w:rsid w:val="00FC223D"/>
    <w:rsid w:val="00FC22EA"/>
    <w:rsid w:val="00FC35E5"/>
    <w:rsid w:val="00FC4D12"/>
    <w:rsid w:val="00FC60DB"/>
    <w:rsid w:val="00FC6743"/>
    <w:rsid w:val="00FC75C2"/>
    <w:rsid w:val="00FC7DC7"/>
    <w:rsid w:val="00FD064F"/>
    <w:rsid w:val="00FD12CF"/>
    <w:rsid w:val="00FD270E"/>
    <w:rsid w:val="00FD2D5D"/>
    <w:rsid w:val="00FD4418"/>
    <w:rsid w:val="00FD6439"/>
    <w:rsid w:val="00FE1776"/>
    <w:rsid w:val="00FE1791"/>
    <w:rsid w:val="00FE273F"/>
    <w:rsid w:val="00FE2D52"/>
    <w:rsid w:val="00FE3C2D"/>
    <w:rsid w:val="00FE4287"/>
    <w:rsid w:val="00FE5EF2"/>
    <w:rsid w:val="00FF0687"/>
    <w:rsid w:val="00FF2070"/>
    <w:rsid w:val="00FF2FB5"/>
    <w:rsid w:val="00FF372E"/>
    <w:rsid w:val="00FF4C9D"/>
    <w:rsid w:val="00FF5807"/>
    <w:rsid w:val="00FF5BF3"/>
    <w:rsid w:val="00FF70AA"/>
    <w:rsid w:val="00FF7453"/>
    <w:rsid w:val="00FF7A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00C542A3"/>
  <w15:chartTrackingRefBased/>
  <w15:docId w15:val="{F6D4392F-682B-477D-8C7F-89954E8AD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15E7D"/>
  </w:style>
  <w:style w:type="paragraph" w:styleId="10">
    <w:name w:val="heading 1"/>
    <w:aliases w:val="Заголовок 1 Знак1,Заголовок 1 Знак Знак + После:  12 пт,Head 1,Заголовок 1 Знак Знак,Head 1 Знак,????????? 1,Раздел,Заголов,Содерж-Заголовок 1,1. Заголовок 1 Знак,1. Заголовок 1,Заг 1 DP,2К Заголовок 1,Заголовок 1-2к,Главный,Раздел 1,Разде,H"/>
    <w:basedOn w:val="a1"/>
    <w:next w:val="a1"/>
    <w:link w:val="11"/>
    <w:uiPriority w:val="9"/>
    <w:qFormat/>
    <w:rsid w:val="00874BFE"/>
    <w:pPr>
      <w:keepNext/>
      <w:keepLines/>
      <w:spacing w:before="240" w:after="0" w:line="360" w:lineRule="auto"/>
      <w:jc w:val="center"/>
      <w:outlineLvl w:val="0"/>
    </w:pPr>
    <w:rPr>
      <w:rFonts w:ascii="Times New Roman" w:eastAsiaTheme="majorEastAsia" w:hAnsi="Times New Roman" w:cstheme="majorBidi"/>
      <w:b/>
      <w:sz w:val="24"/>
      <w:szCs w:val="32"/>
    </w:rPr>
  </w:style>
  <w:style w:type="paragraph" w:styleId="20">
    <w:name w:val="heading 2"/>
    <w:aliases w:val="Стиль 1,Заголовок 2 Знак1,Заголовок 2 Знак Знак,Заголовок 2 Знак1 Знак Знак,Заголовок 2 Знак Знак Знак Знак,Заголовок 2 Знак Знак1,Заголовок 2 Знак2,Стиль 1 Знак Знак,Заголовок 2 Знак1 Знак1,Заголовок 2 Знак Знак Знак1,Стиль 1 Знак1,заг 2,l2"/>
    <w:basedOn w:val="a1"/>
    <w:next w:val="a1"/>
    <w:link w:val="21"/>
    <w:uiPriority w:val="9"/>
    <w:unhideWhenUsed/>
    <w:qFormat/>
    <w:rsid w:val="00874BFE"/>
    <w:pPr>
      <w:keepNext/>
      <w:keepLines/>
      <w:spacing w:before="40" w:after="0" w:line="240" w:lineRule="auto"/>
      <w:jc w:val="center"/>
      <w:outlineLvl w:val="1"/>
    </w:pPr>
    <w:rPr>
      <w:rFonts w:ascii="Times New Roman" w:eastAsiaTheme="majorEastAsia" w:hAnsi="Times New Roman" w:cstheme="majorBidi"/>
      <w:b/>
      <w:sz w:val="24"/>
      <w:szCs w:val="26"/>
    </w:rPr>
  </w:style>
  <w:style w:type="paragraph" w:styleId="3">
    <w:name w:val="heading 3"/>
    <w:aliases w:val="Naiaea,Заголовок 3 Знак Знак Знак Знак Знак Знак Знак Знак Знак Знак Знак Знак Знак Знак,Заголовок 3 Знак1 Знак,Заголовок 3 Знак Знак Знак,Заголовок 3 Знак1 Знак Знак Знак,Заголовок 3 Знак Знак Знак Знак Знак,h3 Знак,h3"/>
    <w:basedOn w:val="a1"/>
    <w:next w:val="a1"/>
    <w:link w:val="30"/>
    <w:uiPriority w:val="9"/>
    <w:unhideWhenUsed/>
    <w:qFormat/>
    <w:rsid w:val="00874BFE"/>
    <w:pPr>
      <w:keepNext/>
      <w:keepLines/>
      <w:spacing w:before="40" w:after="0"/>
      <w:jc w:val="center"/>
      <w:outlineLvl w:val="2"/>
    </w:pPr>
    <w:rPr>
      <w:rFonts w:ascii="Times New Roman" w:eastAsiaTheme="majorEastAsia" w:hAnsi="Times New Roman" w:cstheme="majorBidi"/>
      <w:b/>
      <w:color w:val="000000" w:themeColor="text1"/>
      <w:sz w:val="24"/>
      <w:szCs w:val="24"/>
    </w:rPr>
  </w:style>
  <w:style w:type="paragraph" w:styleId="4">
    <w:name w:val="heading 4"/>
    <w:aliases w:val="Заголовок 4 Знак1,Заголовок 4 Знак1 Знак Знак Знак Знак Знак,Заголовок 4 Знак Знак Знак Знак Знак,Заголовок 4 Знак Знак Знак Знак,Заголовок 4 Знак Знак Знак,Заголовок 4 Знак Знак Знак Знак Знак Знак,Заг. Схем,Заг. Схемы,4,4 Знак,4 Знак Знак"/>
    <w:basedOn w:val="a1"/>
    <w:next w:val="a1"/>
    <w:link w:val="40"/>
    <w:uiPriority w:val="9"/>
    <w:qFormat/>
    <w:rsid w:val="00C92425"/>
    <w:pPr>
      <w:keepNext/>
      <w:spacing w:before="60" w:after="60" w:line="240" w:lineRule="auto"/>
      <w:ind w:left="2282" w:hanging="864"/>
      <w:jc w:val="center"/>
      <w:outlineLvl w:val="3"/>
    </w:pPr>
    <w:rPr>
      <w:rFonts w:ascii="Times New Roman" w:eastAsiaTheme="majorEastAsia" w:hAnsi="Times New Roman" w:cstheme="majorBidi"/>
      <w:b/>
      <w:iCs/>
      <w:sz w:val="26"/>
      <w:szCs w:val="20"/>
      <w:lang w:eastAsia="ru-RU"/>
    </w:rPr>
  </w:style>
  <w:style w:type="paragraph" w:styleId="50">
    <w:name w:val="heading 5"/>
    <w:aliases w:val="H5 Ciae,H5 Ciae Ciae,Caaieiaie 5.H5 Ciae,H5 Знак,H5 Знак Знак,H5 Çíàê,Çàãîëîâîê 5.H5 Çíàê,Знак9,H5,Caaieiaie 5 Знак,H5 Çíàê Çíàê Знак,H5 Знак2"/>
    <w:basedOn w:val="a1"/>
    <w:next w:val="a1"/>
    <w:link w:val="51"/>
    <w:uiPriority w:val="9"/>
    <w:unhideWhenUsed/>
    <w:qFormat/>
    <w:rsid w:val="00C92425"/>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aliases w:val="__Подпункт,Арбуз,Heading Tab Corfin,H6,Caaieiaie 6 Ciae Ciae Ciae Ciae,Заголовок 6 Знак Знак Знак Знак,H6 Ciae,H6 Знак,Çàãîëîâîê 6 Çíàê Çíàê Çíàê Çíàê,Заголовок 6 Знак2,H6 Çíàê,Çàãîëîâîê 61,Caaieiaie 61"/>
    <w:basedOn w:val="a1"/>
    <w:next w:val="a1"/>
    <w:link w:val="60"/>
    <w:unhideWhenUsed/>
    <w:qFormat/>
    <w:rsid w:val="00EE2B64"/>
    <w:pPr>
      <w:tabs>
        <w:tab w:val="num" w:pos="1152"/>
      </w:tabs>
      <w:spacing w:before="240" w:after="60" w:line="240" w:lineRule="auto"/>
      <w:ind w:left="1152" w:hanging="1152"/>
      <w:outlineLvl w:val="5"/>
    </w:pPr>
    <w:rPr>
      <w:rFonts w:ascii="Myriad Pro" w:eastAsia="Times New Roman" w:hAnsi="Myriad Pro" w:cs="Times New Roman"/>
      <w:b/>
      <w:bCs/>
      <w:lang w:eastAsia="ru-RU"/>
    </w:rPr>
  </w:style>
  <w:style w:type="paragraph" w:styleId="7">
    <w:name w:val="heading 7"/>
    <w:aliases w:val="Заголовок 7 Знак3,Заголовок 7 Знак2 Знак,Заголовок 7 Знак3 Знак1 Знак,Заголовок 7 Знак2 Знак1 Знак Знак,Заголовок 7 Знак Знак3 Знак Знак Знак,Заголовок 7 Знак2 Знак Знак Знак Знак Знак,Заголовок 7 Знак Знак Знак Знак Знак Знак Знак,НАЗВАНИЕ"/>
    <w:basedOn w:val="a1"/>
    <w:next w:val="a1"/>
    <w:link w:val="70"/>
    <w:uiPriority w:val="99"/>
    <w:semiHidden/>
    <w:unhideWhenUsed/>
    <w:qFormat/>
    <w:rsid w:val="00EE2B64"/>
    <w:pPr>
      <w:tabs>
        <w:tab w:val="num" w:pos="1296"/>
      </w:tabs>
      <w:spacing w:before="240" w:after="60" w:line="240" w:lineRule="auto"/>
      <w:ind w:left="1296" w:hanging="1296"/>
      <w:outlineLvl w:val="6"/>
    </w:pPr>
    <w:rPr>
      <w:rFonts w:ascii="Myriad Pro" w:eastAsia="Times New Roman" w:hAnsi="Myriad Pro" w:cs="Times New Roman"/>
      <w:szCs w:val="24"/>
      <w:lang w:eastAsia="ru-RU"/>
    </w:rPr>
  </w:style>
  <w:style w:type="paragraph" w:styleId="8">
    <w:name w:val="heading 8"/>
    <w:basedOn w:val="a1"/>
    <w:next w:val="a1"/>
    <w:link w:val="80"/>
    <w:semiHidden/>
    <w:unhideWhenUsed/>
    <w:qFormat/>
    <w:rsid w:val="00EE2B64"/>
    <w:pPr>
      <w:tabs>
        <w:tab w:val="num" w:pos="1440"/>
      </w:tabs>
      <w:spacing w:before="240" w:after="60" w:line="240" w:lineRule="auto"/>
      <w:ind w:left="1440" w:hanging="1440"/>
      <w:outlineLvl w:val="7"/>
    </w:pPr>
    <w:rPr>
      <w:rFonts w:ascii="Myriad Pro" w:eastAsia="Times New Roman" w:hAnsi="Myriad Pro" w:cs="Times New Roman"/>
      <w:i/>
      <w:iCs/>
      <w:szCs w:val="24"/>
      <w:lang w:eastAsia="ru-RU"/>
    </w:rPr>
  </w:style>
  <w:style w:type="paragraph" w:styleId="9">
    <w:name w:val="heading 9"/>
    <w:aliases w:val="Знак28"/>
    <w:basedOn w:val="a1"/>
    <w:next w:val="a1"/>
    <w:link w:val="90"/>
    <w:uiPriority w:val="99"/>
    <w:semiHidden/>
    <w:unhideWhenUsed/>
    <w:qFormat/>
    <w:rsid w:val="00EE2B64"/>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Основной текст Знак"/>
    <w:aliases w:val="Подпись1 Знак,Iiaienu1 Знак,Ïîäïèñü1 Знак,Основной текст Знак Знак Знак1,Основной текст Знак1 Знак Знак,Основной текст Знак Знак Знак Знак1,Основной текст Знак Знак Знак Знак Знак,bt Знак,Текст в рамке Знак,Подпись11 Знак"/>
    <w:basedOn w:val="a2"/>
    <w:link w:val="a6"/>
    <w:uiPriority w:val="99"/>
    <w:rsid w:val="00166638"/>
    <w:rPr>
      <w:rFonts w:ascii="Times New Roman" w:eastAsia="Times New Roman" w:hAnsi="Times New Roman" w:cs="Times New Roman"/>
      <w:szCs w:val="20"/>
      <w:lang w:eastAsia="ru-RU"/>
    </w:rPr>
  </w:style>
  <w:style w:type="paragraph" w:styleId="a6">
    <w:name w:val="Body Text"/>
    <w:aliases w:val="Подпись1,Iiaienu1,Ïîäïèñü1,Основной текст Знак Знак,Основной текст Знак1 Знак,Основной текст Знак Знак Знак,Основной текст Знак Знак Знак Знак,bt,Текст в рамке,Подпись11,Iiaienu11,Подпись12,Iiaienu"/>
    <w:basedOn w:val="a1"/>
    <w:link w:val="a5"/>
    <w:uiPriority w:val="99"/>
    <w:qFormat/>
    <w:rsid w:val="00166638"/>
    <w:pPr>
      <w:spacing w:after="0" w:line="240" w:lineRule="auto"/>
    </w:pPr>
    <w:rPr>
      <w:rFonts w:ascii="Times New Roman" w:eastAsia="Times New Roman" w:hAnsi="Times New Roman" w:cs="Times New Roman"/>
      <w:szCs w:val="20"/>
      <w:lang w:eastAsia="ru-RU"/>
    </w:rPr>
  </w:style>
  <w:style w:type="character" w:customStyle="1" w:styleId="13">
    <w:name w:val="Основной текст Знак1"/>
    <w:aliases w:val="Текст в рамке Знак1,Подпись11 Знак1"/>
    <w:basedOn w:val="a2"/>
    <w:rsid w:val="00166638"/>
  </w:style>
  <w:style w:type="paragraph" w:styleId="a7">
    <w:name w:val="header"/>
    <w:aliases w:val="Header Char"/>
    <w:basedOn w:val="a1"/>
    <w:link w:val="a8"/>
    <w:uiPriority w:val="99"/>
    <w:unhideWhenUsed/>
    <w:qFormat/>
    <w:rsid w:val="00166638"/>
    <w:pPr>
      <w:tabs>
        <w:tab w:val="center" w:pos="4677"/>
        <w:tab w:val="right" w:pos="9355"/>
      </w:tabs>
      <w:spacing w:after="0" w:line="240" w:lineRule="auto"/>
    </w:pPr>
  </w:style>
  <w:style w:type="character" w:customStyle="1" w:styleId="a8">
    <w:name w:val="Верхний колонтитул Знак"/>
    <w:aliases w:val="Header Char Знак"/>
    <w:basedOn w:val="a2"/>
    <w:link w:val="a7"/>
    <w:uiPriority w:val="99"/>
    <w:rsid w:val="00166638"/>
  </w:style>
  <w:style w:type="paragraph" w:styleId="a9">
    <w:name w:val="footer"/>
    <w:aliases w:val="Знак2,Нижний колонтитул нечетной стр,Нижний колонтитул нечетной стр1,Нижний колонтитул нечетной стр2,Нижний колонтитул нечетной стр3,Нижний колонтитул нечетной стр4,Нижний колонтитул нечетной стр5,Нижний колонтитул нечетной стр11"/>
    <w:basedOn w:val="a1"/>
    <w:link w:val="aa"/>
    <w:uiPriority w:val="99"/>
    <w:unhideWhenUsed/>
    <w:qFormat/>
    <w:rsid w:val="00166638"/>
    <w:pPr>
      <w:tabs>
        <w:tab w:val="center" w:pos="4677"/>
        <w:tab w:val="right" w:pos="9355"/>
      </w:tabs>
      <w:spacing w:after="0" w:line="240" w:lineRule="auto"/>
    </w:pPr>
  </w:style>
  <w:style w:type="character" w:customStyle="1" w:styleId="aa">
    <w:name w:val="Нижний колонтитул Знак"/>
    <w:aliases w:val="Знак2 Знак,Нижний колонтитул нечетной стр Знак,Нижний колонтитул нечетной стр1 Знак,Нижний колонтитул нечетной стр2 Знак,Нижний колонтитул нечетной стр3 Знак,Нижний колонтитул нечетной стр4 Знак"/>
    <w:basedOn w:val="a2"/>
    <w:link w:val="a9"/>
    <w:uiPriority w:val="99"/>
    <w:rsid w:val="00166638"/>
  </w:style>
  <w:style w:type="character" w:customStyle="1" w:styleId="11">
    <w:name w:val="Заголовок 1 Знак"/>
    <w:aliases w:val="Заголовок 1 Знак1 Знак1,Заголовок 1 Знак Знак + После:  12 пт Знак1,Head 1 Знак2,Заголовок 1 Знак Знак Знак1,Head 1 Знак Знак1,????????? 1 Знак1,Раздел Знак1,Заголов Знак1,Содерж-Заголовок 1 Знак1,1. Заголовок 1 Знак Знак1,Заг 1 DP Знак"/>
    <w:basedOn w:val="a2"/>
    <w:link w:val="10"/>
    <w:uiPriority w:val="9"/>
    <w:rsid w:val="00874BFE"/>
    <w:rPr>
      <w:rFonts w:ascii="Times New Roman" w:eastAsiaTheme="majorEastAsia" w:hAnsi="Times New Roman" w:cstheme="majorBidi"/>
      <w:b/>
      <w:sz w:val="24"/>
      <w:szCs w:val="32"/>
    </w:rPr>
  </w:style>
  <w:style w:type="character" w:customStyle="1" w:styleId="21">
    <w:name w:val="Заголовок 2 Знак"/>
    <w:aliases w:val="Стиль 1 Знак,Заголовок 2 Знак1 Знак,Заголовок 2 Знак Знак Знак,Заголовок 2 Знак1 Знак Знак Знак,Заголовок 2 Знак Знак Знак Знак Знак,Заголовок 2 Знак Знак1 Знак,Заголовок 2 Знак2 Знак,Стиль 1 Знак Знак Знак,Заголовок 2 Знак1 Знак1 Знак"/>
    <w:basedOn w:val="a2"/>
    <w:link w:val="20"/>
    <w:uiPriority w:val="9"/>
    <w:rsid w:val="00874BFE"/>
    <w:rPr>
      <w:rFonts w:ascii="Times New Roman" w:eastAsiaTheme="majorEastAsia" w:hAnsi="Times New Roman" w:cstheme="majorBidi"/>
      <w:b/>
      <w:sz w:val="24"/>
      <w:szCs w:val="26"/>
    </w:rPr>
  </w:style>
  <w:style w:type="paragraph" w:styleId="ab">
    <w:name w:val="List Paragraph"/>
    <w:aliases w:val="СПИСОК,Нумерованный,Абзац списка ЭкспертЪ,Уровент 2.2,Абзац списка4,List Paragraph,cko-Список,Абзац списка11"/>
    <w:basedOn w:val="a1"/>
    <w:link w:val="ac"/>
    <w:uiPriority w:val="34"/>
    <w:qFormat/>
    <w:rsid w:val="00A8138C"/>
    <w:pPr>
      <w:ind w:left="720"/>
      <w:contextualSpacing/>
    </w:pPr>
  </w:style>
  <w:style w:type="character" w:styleId="ad">
    <w:name w:val="Hyperlink"/>
    <w:basedOn w:val="a2"/>
    <w:uiPriority w:val="99"/>
    <w:unhideWhenUsed/>
    <w:qFormat/>
    <w:rsid w:val="00A8138C"/>
    <w:rPr>
      <w:color w:val="0563C1" w:themeColor="hyperlink"/>
      <w:u w:val="single"/>
    </w:rPr>
  </w:style>
  <w:style w:type="character" w:customStyle="1" w:styleId="ac">
    <w:name w:val="Абзац списка Знак"/>
    <w:aliases w:val="СПИСОК Знак,Нумерованный Знак,Абзац списка ЭкспертЪ Знак,Уровент 2.2 Знак,Абзац списка4 Знак,List Paragraph Знак,cko-Список Знак,Абзац списка11 Знак"/>
    <w:basedOn w:val="a2"/>
    <w:link w:val="ab"/>
    <w:uiPriority w:val="34"/>
    <w:locked/>
    <w:rsid w:val="00A8138C"/>
  </w:style>
  <w:style w:type="paragraph" w:customStyle="1" w:styleId="Standard">
    <w:name w:val="Standard"/>
    <w:uiPriority w:val="99"/>
    <w:qFormat/>
    <w:rsid w:val="0062086F"/>
    <w:pPr>
      <w:widowControl w:val="0"/>
      <w:autoSpaceDN w:val="0"/>
      <w:spacing w:after="0" w:line="240" w:lineRule="auto"/>
      <w:jc w:val="center"/>
      <w:textAlignment w:val="baseline"/>
    </w:pPr>
    <w:rPr>
      <w:rFonts w:ascii="Times New Roman" w:eastAsia="Times New Roman" w:hAnsi="Times New Roman" w:cs="Times New Roman"/>
      <w:kern w:val="3"/>
      <w:sz w:val="20"/>
      <w:szCs w:val="20"/>
      <w:lang w:eastAsia="zh-CN"/>
    </w:rPr>
  </w:style>
  <w:style w:type="table" w:styleId="ae">
    <w:name w:val="Table Grid"/>
    <w:aliases w:val="Основная таблица,А Сетка таблицы,ЦКР ЕЩЕ НОВЕЕ,Формат таблиц для диплома,Леша,Table,Таблица НЭО,table general,Формат таблиц для диплома1,Леша1,Таблица НЭО2,Формат таблиц для диплома2,Леша2,Таблица НЭО11,Формат таблиц для диплома11,Леша11"/>
    <w:basedOn w:val="a3"/>
    <w:uiPriority w:val="39"/>
    <w:rsid w:val="00714154"/>
    <w:pPr>
      <w:spacing w:after="0" w:line="240" w:lineRule="auto"/>
    </w:pPr>
    <w:rPr>
      <w:rFonts w:ascii="Liberation Serif" w:eastAsia="SimSun" w:hAnsi="Liberation Serif" w:cs="Mang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14154"/>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
    <w:name w:val="TOC Heading"/>
    <w:basedOn w:val="10"/>
    <w:next w:val="a1"/>
    <w:uiPriority w:val="39"/>
    <w:unhideWhenUsed/>
    <w:qFormat/>
    <w:rsid w:val="00464152"/>
    <w:pPr>
      <w:spacing w:line="259" w:lineRule="auto"/>
      <w:jc w:val="left"/>
      <w:outlineLvl w:val="9"/>
    </w:pPr>
    <w:rPr>
      <w:rFonts w:asciiTheme="majorHAnsi" w:hAnsiTheme="majorHAnsi"/>
      <w:b w:val="0"/>
      <w:color w:val="2F5496" w:themeColor="accent1" w:themeShade="BF"/>
      <w:sz w:val="32"/>
      <w:lang w:eastAsia="ru-RU"/>
    </w:rPr>
  </w:style>
  <w:style w:type="paragraph" w:styleId="22">
    <w:name w:val="toc 2"/>
    <w:basedOn w:val="a1"/>
    <w:next w:val="a1"/>
    <w:autoRedefine/>
    <w:uiPriority w:val="39"/>
    <w:unhideWhenUsed/>
    <w:rsid w:val="00D613DA"/>
    <w:pPr>
      <w:tabs>
        <w:tab w:val="right" w:leader="dot" w:pos="9344"/>
      </w:tabs>
      <w:spacing w:after="100"/>
      <w:ind w:left="220"/>
    </w:pPr>
    <w:rPr>
      <w:rFonts w:ascii="Times New Roman" w:eastAsiaTheme="minorEastAsia" w:hAnsi="Times New Roman" w:cs="Times New Roman"/>
      <w:b/>
      <w:noProof/>
      <w:lang w:eastAsia="ru-RU"/>
    </w:rPr>
  </w:style>
  <w:style w:type="paragraph" w:styleId="14">
    <w:name w:val="toc 1"/>
    <w:basedOn w:val="a1"/>
    <w:next w:val="a1"/>
    <w:autoRedefine/>
    <w:uiPriority w:val="39"/>
    <w:unhideWhenUsed/>
    <w:rsid w:val="005717F3"/>
    <w:pPr>
      <w:tabs>
        <w:tab w:val="right" w:leader="dot" w:pos="9344"/>
      </w:tabs>
      <w:spacing w:after="80"/>
    </w:pPr>
    <w:rPr>
      <w:rFonts w:ascii="Times New Roman" w:eastAsiaTheme="minorEastAsia" w:hAnsi="Times New Roman" w:cs="Times New Roman"/>
      <w:b/>
      <w:noProof/>
      <w:lang w:eastAsia="ru-RU"/>
    </w:rPr>
  </w:style>
  <w:style w:type="paragraph" w:styleId="31">
    <w:name w:val="toc 3"/>
    <w:basedOn w:val="a1"/>
    <w:next w:val="a1"/>
    <w:autoRedefine/>
    <w:uiPriority w:val="39"/>
    <w:unhideWhenUsed/>
    <w:rsid w:val="00D613DA"/>
    <w:pPr>
      <w:tabs>
        <w:tab w:val="right" w:leader="dot" w:pos="9344"/>
      </w:tabs>
      <w:spacing w:after="100"/>
      <w:ind w:left="284"/>
    </w:pPr>
    <w:rPr>
      <w:rFonts w:eastAsiaTheme="minorEastAsia" w:cs="Times New Roman"/>
      <w:lang w:eastAsia="ru-RU"/>
    </w:rPr>
  </w:style>
  <w:style w:type="character" w:customStyle="1" w:styleId="30">
    <w:name w:val="Заголовок 3 Знак"/>
    <w:aliases w:val="Naiaea Знак,Заголовок 3 Знак Знак Знак Знак Знак Знак Знак Знак Знак Знак Знак Знак Знак Знак Знак,Заголовок 3 Знак1 Знак Знак,Заголовок 3 Знак Знак Знак Знак,Заголовок 3 Знак1 Знак Знак Знак Знак,h3 Знак Знак,h3 Знак1"/>
    <w:basedOn w:val="a2"/>
    <w:link w:val="3"/>
    <w:uiPriority w:val="9"/>
    <w:rsid w:val="00874BFE"/>
    <w:rPr>
      <w:rFonts w:ascii="Times New Roman" w:eastAsiaTheme="majorEastAsia" w:hAnsi="Times New Roman" w:cstheme="majorBidi"/>
      <w:b/>
      <w:color w:val="000000" w:themeColor="text1"/>
      <w:sz w:val="24"/>
      <w:szCs w:val="24"/>
    </w:rPr>
  </w:style>
  <w:style w:type="character" w:customStyle="1" w:styleId="40">
    <w:name w:val="Заголовок 4 Знак"/>
    <w:aliases w:val="Заголовок 4 Знак1 Знак,Заголовок 4 Знак1 Знак Знак Знак Знак Знак Знак,Заголовок 4 Знак Знак Знак Знак Знак Знак1,Заголовок 4 Знак Знак Знак Знак Знак1,Заголовок 4 Знак Знак Знак Знак1,Заголовок 4 Знак Знак Знак Знак Знак Знак Знак"/>
    <w:basedOn w:val="a2"/>
    <w:link w:val="4"/>
    <w:uiPriority w:val="9"/>
    <w:qFormat/>
    <w:rsid w:val="00C92425"/>
    <w:rPr>
      <w:rFonts w:ascii="Times New Roman" w:eastAsiaTheme="majorEastAsia" w:hAnsi="Times New Roman" w:cstheme="majorBidi"/>
      <w:b/>
      <w:iCs/>
      <w:sz w:val="26"/>
      <w:szCs w:val="20"/>
      <w:lang w:eastAsia="ru-RU"/>
    </w:rPr>
  </w:style>
  <w:style w:type="character" w:customStyle="1" w:styleId="51">
    <w:name w:val="Заголовок 5 Знак"/>
    <w:aliases w:val="H5 Ciae Знак,H5 Ciae Ciae Знак,Caaieiaie 5.H5 Ciae Знак,H5 Знак Знак1,H5 Знак Знак Знак,H5 Çíàê Знак,Çàãîëîâîê 5.H5 Çíàê Знак,Знак9 Знак,H5 Знак1,Caaieiaie 5 Знак Знак,H5 Çíàê Çíàê Знак Знак,H5 Знак2 Знак"/>
    <w:basedOn w:val="a2"/>
    <w:link w:val="50"/>
    <w:uiPriority w:val="9"/>
    <w:rsid w:val="00C92425"/>
    <w:rPr>
      <w:rFonts w:asciiTheme="majorHAnsi" w:eastAsiaTheme="majorEastAsia" w:hAnsiTheme="majorHAnsi" w:cstheme="majorBidi"/>
      <w:color w:val="2F5496" w:themeColor="accent1" w:themeShade="BF"/>
    </w:rPr>
  </w:style>
  <w:style w:type="paragraph" w:customStyle="1" w:styleId="23">
    <w:name w:val="Абзац списка2"/>
    <w:basedOn w:val="a1"/>
    <w:uiPriority w:val="99"/>
    <w:qFormat/>
    <w:rsid w:val="00C92425"/>
    <w:pPr>
      <w:spacing w:after="200" w:line="276" w:lineRule="auto"/>
      <w:ind w:left="720" w:firstLine="709"/>
      <w:jc w:val="both"/>
    </w:pPr>
    <w:rPr>
      <w:rFonts w:ascii="Times New Roman" w:eastAsia="Times New Roman" w:hAnsi="Times New Roman" w:cs="Times New Roman"/>
      <w:sz w:val="28"/>
    </w:rPr>
  </w:style>
  <w:style w:type="character" w:customStyle="1" w:styleId="ConsPlusNormal0">
    <w:name w:val="ConsPlusNormal Знак"/>
    <w:link w:val="ConsPlusNormal"/>
    <w:locked/>
    <w:rsid w:val="00C92425"/>
    <w:rPr>
      <w:rFonts w:ascii="Arial" w:eastAsiaTheme="minorEastAsia" w:hAnsi="Arial" w:cs="Arial"/>
      <w:sz w:val="20"/>
      <w:szCs w:val="20"/>
      <w:lang w:eastAsia="ru-RU"/>
    </w:rPr>
  </w:style>
  <w:style w:type="paragraph" w:customStyle="1" w:styleId="af0">
    <w:name w:val="Источник"/>
    <w:basedOn w:val="a1"/>
    <w:next w:val="a1"/>
    <w:link w:val="af1"/>
    <w:autoRedefine/>
    <w:uiPriority w:val="99"/>
    <w:qFormat/>
    <w:rsid w:val="00C92425"/>
    <w:pPr>
      <w:suppressAutoHyphens/>
      <w:adjustRightInd w:val="0"/>
      <w:spacing w:after="0" w:line="240" w:lineRule="auto"/>
      <w:jc w:val="right"/>
      <w:textAlignment w:val="baseline"/>
    </w:pPr>
    <w:rPr>
      <w:rFonts w:ascii="Times New Roman" w:eastAsia="Times New Roman" w:hAnsi="Times New Roman" w:cs="Times New Roman"/>
      <w:i/>
      <w:spacing w:val="-5"/>
      <w:kern w:val="16"/>
      <w:sz w:val="20"/>
      <w:szCs w:val="24"/>
    </w:rPr>
  </w:style>
  <w:style w:type="character" w:customStyle="1" w:styleId="af1">
    <w:name w:val="Источник Знак"/>
    <w:link w:val="af0"/>
    <w:uiPriority w:val="99"/>
    <w:rsid w:val="00C92425"/>
    <w:rPr>
      <w:rFonts w:ascii="Times New Roman" w:eastAsia="Times New Roman" w:hAnsi="Times New Roman" w:cs="Times New Roman"/>
      <w:i/>
      <w:spacing w:val="-5"/>
      <w:kern w:val="16"/>
      <w:sz w:val="20"/>
      <w:szCs w:val="24"/>
    </w:rPr>
  </w:style>
  <w:style w:type="paragraph" w:customStyle="1" w:styleId="Footnote">
    <w:name w:val="Footnote"/>
    <w:basedOn w:val="Standard"/>
    <w:uiPriority w:val="99"/>
    <w:qFormat/>
    <w:rsid w:val="00C92425"/>
    <w:pPr>
      <w:widowControl/>
      <w:suppressLineNumbers/>
      <w:suppressAutoHyphens/>
      <w:ind w:left="339" w:hanging="339"/>
      <w:jc w:val="left"/>
    </w:pPr>
    <w:rPr>
      <w:rFonts w:ascii="Liberation Serif" w:eastAsia="SimSun" w:hAnsi="Liberation Serif" w:cs="Mangal"/>
      <w:lang w:val="en-US" w:bidi="hi-IN"/>
    </w:rPr>
  </w:style>
  <w:style w:type="character" w:styleId="af2">
    <w:name w:val="footnote reference"/>
    <w:aliases w:val="Знак сноски-FN,fr,Used by Word for Help footnote symbols,Знак сноски 1,сноска,Avg - Знак сноски,avg-Знак сноски,Ciae niinee-FN,Referencia nota al pie,ООО Знак сноски,СНОСКА,сноска1,ftref,Avg,вески,ХИА_ЗС,Знак сноски1,Знак сноски итог,SUPERS"/>
    <w:uiPriority w:val="99"/>
    <w:unhideWhenUsed/>
    <w:qFormat/>
    <w:rsid w:val="00C92425"/>
    <w:rPr>
      <w:vertAlign w:val="superscript"/>
    </w:rPr>
  </w:style>
  <w:style w:type="paragraph" w:styleId="af3">
    <w:name w:val="footnote text"/>
    <w:aliases w:val="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Знак "/>
    <w:basedOn w:val="a1"/>
    <w:link w:val="af4"/>
    <w:uiPriority w:val="99"/>
    <w:unhideWhenUsed/>
    <w:qFormat/>
    <w:rsid w:val="00C92425"/>
    <w:pPr>
      <w:suppressAutoHyphens/>
      <w:autoSpaceDN w:val="0"/>
      <w:spacing w:after="0" w:line="240" w:lineRule="auto"/>
      <w:textAlignment w:val="baseline"/>
    </w:pPr>
    <w:rPr>
      <w:rFonts w:ascii="Liberation Serif" w:eastAsia="SimSun" w:hAnsi="Liberation Serif" w:cs="Mangal"/>
      <w:kern w:val="3"/>
      <w:sz w:val="20"/>
      <w:szCs w:val="18"/>
      <w:lang w:val="en-US" w:eastAsia="zh-CN" w:bidi="hi-IN"/>
    </w:rPr>
  </w:style>
  <w:style w:type="character" w:customStyle="1" w:styleId="af4">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Знак  Знак"/>
    <w:basedOn w:val="a2"/>
    <w:link w:val="af3"/>
    <w:uiPriority w:val="99"/>
    <w:rsid w:val="00C92425"/>
    <w:rPr>
      <w:rFonts w:ascii="Liberation Serif" w:eastAsia="SimSun" w:hAnsi="Liberation Serif" w:cs="Mangal"/>
      <w:kern w:val="3"/>
      <w:sz w:val="20"/>
      <w:szCs w:val="18"/>
      <w:lang w:val="en-US" w:eastAsia="zh-CN" w:bidi="hi-IN"/>
    </w:rPr>
  </w:style>
  <w:style w:type="character" w:customStyle="1" w:styleId="StrongEmphasis">
    <w:name w:val="Strong Emphasis"/>
    <w:rsid w:val="00C92425"/>
    <w:rPr>
      <w:b/>
      <w:bCs/>
    </w:rPr>
  </w:style>
  <w:style w:type="character" w:customStyle="1" w:styleId="16">
    <w:name w:val="Неразрешенное упоминание1"/>
    <w:basedOn w:val="a2"/>
    <w:uiPriority w:val="99"/>
    <w:semiHidden/>
    <w:unhideWhenUsed/>
    <w:rsid w:val="00C92425"/>
    <w:rPr>
      <w:color w:val="605E5C"/>
      <w:shd w:val="clear" w:color="auto" w:fill="E1DFDD"/>
    </w:rPr>
  </w:style>
  <w:style w:type="paragraph" w:styleId="af5">
    <w:name w:val="Normal (Web)"/>
    <w:aliases w:val="Обычный (Web)1, Знак,Знак,Обычный (веб) Знак Знак,Обычный (веб) Знак2 Знак,Обычный (веб) Знак Знак1 Знак,Обычный (веб) Знак1 Знак Знак1,Обычный (веб) Знак Знак Знак Знак,Обычный (веб) Знак1,Обычный (веб)1,Обычный (Web)11,Обычный (Web) Знак"/>
    <w:basedOn w:val="a1"/>
    <w:link w:val="af6"/>
    <w:uiPriority w:val="99"/>
    <w:unhideWhenUsed/>
    <w:qFormat/>
    <w:rsid w:val="00C92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Standard"/>
    <w:uiPriority w:val="99"/>
    <w:qFormat/>
    <w:rsid w:val="00C92425"/>
    <w:pPr>
      <w:widowControl/>
      <w:suppressAutoHyphens/>
      <w:spacing w:after="140" w:line="288" w:lineRule="auto"/>
      <w:jc w:val="left"/>
    </w:pPr>
    <w:rPr>
      <w:rFonts w:ascii="Liberation Serif" w:eastAsia="SimSun" w:hAnsi="Liberation Serif" w:cs="Mangal"/>
      <w:sz w:val="24"/>
      <w:szCs w:val="24"/>
      <w:lang w:val="en-US" w:bidi="hi-IN"/>
    </w:rPr>
  </w:style>
  <w:style w:type="paragraph" w:customStyle="1" w:styleId="TableContents">
    <w:name w:val="Table Contents"/>
    <w:basedOn w:val="Standard"/>
    <w:uiPriority w:val="99"/>
    <w:qFormat/>
    <w:rsid w:val="00C92425"/>
    <w:pPr>
      <w:widowControl/>
      <w:suppressLineNumbers/>
      <w:suppressAutoHyphens/>
      <w:jc w:val="left"/>
    </w:pPr>
    <w:rPr>
      <w:rFonts w:ascii="Liberation Serif" w:eastAsia="SimSun" w:hAnsi="Liberation Serif" w:cs="Mangal"/>
      <w:sz w:val="24"/>
      <w:szCs w:val="24"/>
      <w:lang w:val="en-US" w:bidi="hi-IN"/>
    </w:rPr>
  </w:style>
  <w:style w:type="paragraph" w:customStyle="1" w:styleId="western">
    <w:name w:val="western"/>
    <w:basedOn w:val="a1"/>
    <w:uiPriority w:val="99"/>
    <w:qFormat/>
    <w:rsid w:val="00C92425"/>
    <w:pPr>
      <w:spacing w:before="100" w:beforeAutospacing="1" w:after="142" w:line="288" w:lineRule="auto"/>
      <w:jc w:val="center"/>
    </w:pPr>
    <w:rPr>
      <w:rFonts w:ascii="Times New Roman" w:eastAsia="Times New Roman" w:hAnsi="Times New Roman" w:cs="Times New Roman"/>
      <w:b/>
      <w:bCs/>
      <w:sz w:val="12"/>
      <w:szCs w:val="12"/>
      <w:lang w:eastAsia="ru-RU"/>
    </w:rPr>
  </w:style>
  <w:style w:type="character" w:customStyle="1" w:styleId="af7">
    <w:name w:val="Основной текст с отступом Знак"/>
    <w:aliases w:val="Основной текст 1 Знак1,Нумерованный список !! Знак1,Основной текст с отступом Знак3 Знак Знак1,Основной текст с отступом Знак1 Знак1 Знак Знак1,Основной текст с отступом Знак Знак Знак1 Знак Знак1,Надин стиль Знак1"/>
    <w:basedOn w:val="a2"/>
    <w:link w:val="af8"/>
    <w:uiPriority w:val="99"/>
    <w:rsid w:val="00C92425"/>
    <w:rPr>
      <w:rFonts w:ascii="Times New Roman" w:eastAsia="Times New Roman" w:hAnsi="Times New Roman" w:cs="Times New Roman"/>
      <w:sz w:val="28"/>
      <w:szCs w:val="24"/>
      <w:lang w:eastAsia="ru-RU"/>
    </w:rPr>
  </w:style>
  <w:style w:type="paragraph" w:styleId="af8">
    <w:name w:val="Body Text Indent"/>
    <w:aliases w:val="Основной текст 1,Нумерованный список !!,Основной текст с отступом Знак3 Знак,Основной текст с отступом Знак1 Знак1 Знак,Основной текст с отступом Знак Знак Знак1 Знак,Надин стиль,Body Text Indent"/>
    <w:basedOn w:val="a1"/>
    <w:link w:val="af7"/>
    <w:uiPriority w:val="99"/>
    <w:unhideWhenUsed/>
    <w:qFormat/>
    <w:rsid w:val="00C92425"/>
    <w:pPr>
      <w:spacing w:after="120" w:line="240" w:lineRule="auto"/>
      <w:ind w:left="283" w:firstLine="709"/>
      <w:jc w:val="both"/>
    </w:pPr>
    <w:rPr>
      <w:rFonts w:ascii="Times New Roman" w:eastAsia="Times New Roman" w:hAnsi="Times New Roman" w:cs="Times New Roman"/>
      <w:sz w:val="28"/>
      <w:szCs w:val="24"/>
      <w:lang w:eastAsia="ru-RU"/>
    </w:rPr>
  </w:style>
  <w:style w:type="character" w:customStyle="1" w:styleId="17">
    <w:name w:val="Основной текст с отступом Знак1"/>
    <w:aliases w:val="Основной текст 1 Знак,Нумерованный список !! Знак,Основной текст с отступом Знак3 Знак Знак,Основной текст с отступом Знак1 Знак1 Знак Знак,Основной текст с отступом Знак Знак Знак1 Знак Знак,Надин стиль Знак"/>
    <w:basedOn w:val="a2"/>
    <w:uiPriority w:val="99"/>
    <w:semiHidden/>
    <w:rsid w:val="00C92425"/>
  </w:style>
  <w:style w:type="character" w:customStyle="1" w:styleId="af6">
    <w:name w:val="Обычный (веб) Знак"/>
    <w:aliases w:val="Обычный (Web)1 Знак, Знак Знак,Знак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Обычный (веб) Знак1 Знак"/>
    <w:basedOn w:val="a2"/>
    <w:link w:val="af5"/>
    <w:uiPriority w:val="99"/>
    <w:locked/>
    <w:rsid w:val="00C92425"/>
    <w:rPr>
      <w:rFonts w:ascii="Times New Roman" w:eastAsia="Times New Roman" w:hAnsi="Times New Roman" w:cs="Times New Roman"/>
      <w:sz w:val="24"/>
      <w:szCs w:val="24"/>
      <w:lang w:eastAsia="ru-RU"/>
    </w:rPr>
  </w:style>
  <w:style w:type="character" w:customStyle="1" w:styleId="FootnoteCharacters">
    <w:name w:val="Footnote Characters"/>
    <w:rsid w:val="00C92425"/>
    <w:rPr>
      <w:position w:val="0"/>
      <w:vertAlign w:val="superscript"/>
    </w:rPr>
  </w:style>
  <w:style w:type="character" w:customStyle="1" w:styleId="0fce717cdb--element--1da0y">
    <w:name w:val="_0fce717cdb--element--1da0y"/>
    <w:basedOn w:val="a2"/>
    <w:rsid w:val="00C92425"/>
  </w:style>
  <w:style w:type="character" w:styleId="af9">
    <w:name w:val="Strong"/>
    <w:uiPriority w:val="22"/>
    <w:qFormat/>
    <w:rsid w:val="00C92425"/>
    <w:rPr>
      <w:b/>
      <w:bCs/>
    </w:rPr>
  </w:style>
  <w:style w:type="character" w:styleId="afa">
    <w:name w:val="Emphasis"/>
    <w:uiPriority w:val="20"/>
    <w:qFormat/>
    <w:rsid w:val="00C92425"/>
    <w:rPr>
      <w:i/>
      <w:iCs/>
    </w:rPr>
  </w:style>
  <w:style w:type="paragraph" w:styleId="afb">
    <w:name w:val="Balloon Text"/>
    <w:basedOn w:val="a1"/>
    <w:link w:val="afc"/>
    <w:uiPriority w:val="99"/>
    <w:semiHidden/>
    <w:unhideWhenUsed/>
    <w:rsid w:val="00C92425"/>
    <w:pPr>
      <w:spacing w:after="0" w:line="240" w:lineRule="auto"/>
    </w:pPr>
    <w:rPr>
      <w:rFonts w:ascii="Segoe UI" w:hAnsi="Segoe UI" w:cs="Segoe UI"/>
      <w:sz w:val="18"/>
      <w:szCs w:val="18"/>
    </w:rPr>
  </w:style>
  <w:style w:type="character" w:customStyle="1" w:styleId="afc">
    <w:name w:val="Текст выноски Знак"/>
    <w:basedOn w:val="a2"/>
    <w:link w:val="afb"/>
    <w:uiPriority w:val="99"/>
    <w:semiHidden/>
    <w:qFormat/>
    <w:rsid w:val="00C92425"/>
    <w:rPr>
      <w:rFonts w:ascii="Segoe UI" w:hAnsi="Segoe UI" w:cs="Segoe UI"/>
      <w:sz w:val="18"/>
      <w:szCs w:val="18"/>
    </w:rPr>
  </w:style>
  <w:style w:type="paragraph" w:styleId="afd">
    <w:name w:val="caption"/>
    <w:aliases w:val="Название таблицы,рисунка,Название объекта Знак1,Название объекта Знак Знак,Название объекта Знак Знак Знак Знак Знак Знак,Iacaaiea oaaeeou,Çíàê,Название объекта Знак Знак Знак Знак,Название объекта Знак3,Çíà,Ç,Название объекта Знак,Зна"/>
    <w:basedOn w:val="a1"/>
    <w:next w:val="a1"/>
    <w:link w:val="24"/>
    <w:unhideWhenUsed/>
    <w:qFormat/>
    <w:rsid w:val="00C92425"/>
    <w:pPr>
      <w:autoSpaceDN w:val="0"/>
      <w:spacing w:after="200" w:line="312" w:lineRule="auto"/>
      <w:ind w:firstLine="709"/>
      <w:jc w:val="both"/>
    </w:pPr>
    <w:rPr>
      <w:rFonts w:ascii="Times New Roman" w:eastAsia="Calibri" w:hAnsi="Times New Roman" w:cs="Times New Roman"/>
      <w:b/>
      <w:bCs/>
      <w:color w:val="4F81BD"/>
      <w:sz w:val="18"/>
      <w:szCs w:val="18"/>
      <w:lang w:eastAsia="ru-RU"/>
    </w:rPr>
  </w:style>
  <w:style w:type="character" w:customStyle="1" w:styleId="24">
    <w:name w:val="Название объекта Знак2"/>
    <w:aliases w:val="Название таблицы Знак,рисунка Знак,Название объекта Знак1 Знак,Название объекта Знак Знак Знак,Название объекта Знак Знак Знак Знак Знак Знак Знак,Iacaaiea oaaeeou Знак,Çíàê Знак,Название объекта Знак Знак Знак Знак Знак,Çíà Знак"/>
    <w:link w:val="afd"/>
    <w:locked/>
    <w:rsid w:val="00C92425"/>
    <w:rPr>
      <w:rFonts w:ascii="Times New Roman" w:eastAsia="Calibri" w:hAnsi="Times New Roman" w:cs="Times New Roman"/>
      <w:b/>
      <w:bCs/>
      <w:color w:val="4F81BD"/>
      <w:sz w:val="18"/>
      <w:szCs w:val="18"/>
      <w:lang w:eastAsia="ru-RU"/>
    </w:rPr>
  </w:style>
  <w:style w:type="character" w:styleId="afe">
    <w:name w:val="FollowedHyperlink"/>
    <w:basedOn w:val="a2"/>
    <w:uiPriority w:val="99"/>
    <w:semiHidden/>
    <w:unhideWhenUsed/>
    <w:rsid w:val="00C92425"/>
    <w:rPr>
      <w:color w:val="954F72" w:themeColor="followedHyperlink"/>
      <w:u w:val="single"/>
    </w:rPr>
  </w:style>
  <w:style w:type="paragraph" w:styleId="32">
    <w:name w:val="Body Text Indent 3"/>
    <w:basedOn w:val="Standard"/>
    <w:link w:val="33"/>
    <w:rsid w:val="00C92425"/>
    <w:pPr>
      <w:widowControl/>
      <w:suppressAutoHyphens/>
      <w:ind w:left="708" w:firstLine="5727"/>
      <w:jc w:val="left"/>
    </w:pPr>
    <w:rPr>
      <w:rFonts w:ascii="Liberation Serif" w:eastAsia="SimSun" w:hAnsi="Liberation Serif" w:cs="Mangal"/>
      <w:sz w:val="24"/>
      <w:szCs w:val="24"/>
      <w:lang w:val="en-US" w:bidi="hi-IN"/>
    </w:rPr>
  </w:style>
  <w:style w:type="character" w:customStyle="1" w:styleId="33">
    <w:name w:val="Основной текст с отступом 3 Знак"/>
    <w:basedOn w:val="a2"/>
    <w:link w:val="32"/>
    <w:rsid w:val="00C92425"/>
    <w:rPr>
      <w:rFonts w:ascii="Liberation Serif" w:eastAsia="SimSun" w:hAnsi="Liberation Serif" w:cs="Mangal"/>
      <w:kern w:val="3"/>
      <w:sz w:val="24"/>
      <w:szCs w:val="24"/>
      <w:lang w:val="en-US" w:eastAsia="zh-CN" w:bidi="hi-IN"/>
    </w:rPr>
  </w:style>
  <w:style w:type="paragraph" w:customStyle="1" w:styleId="Heading">
    <w:name w:val="Heading"/>
    <w:basedOn w:val="Standard"/>
    <w:next w:val="Textbody"/>
    <w:uiPriority w:val="99"/>
    <w:qFormat/>
    <w:rsid w:val="00C92425"/>
    <w:pPr>
      <w:keepNext/>
      <w:widowControl/>
      <w:suppressAutoHyphens/>
      <w:spacing w:before="240" w:after="120"/>
      <w:jc w:val="left"/>
    </w:pPr>
    <w:rPr>
      <w:rFonts w:ascii="Liberation Sans" w:eastAsia="Microsoft YaHei" w:hAnsi="Liberation Sans" w:cs="Mangal"/>
      <w:sz w:val="28"/>
      <w:szCs w:val="28"/>
      <w:lang w:val="en-US" w:bidi="hi-IN"/>
    </w:rPr>
  </w:style>
  <w:style w:type="paragraph" w:styleId="aff">
    <w:name w:val="List"/>
    <w:basedOn w:val="Textbody"/>
    <w:rsid w:val="00C92425"/>
  </w:style>
  <w:style w:type="paragraph" w:customStyle="1" w:styleId="Index">
    <w:name w:val="Index"/>
    <w:basedOn w:val="Standard"/>
    <w:uiPriority w:val="99"/>
    <w:qFormat/>
    <w:rsid w:val="00C92425"/>
    <w:pPr>
      <w:widowControl/>
      <w:suppressLineNumbers/>
      <w:suppressAutoHyphens/>
      <w:jc w:val="left"/>
    </w:pPr>
    <w:rPr>
      <w:rFonts w:ascii="Liberation Serif" w:eastAsia="SimSun" w:hAnsi="Liberation Serif" w:cs="Mangal"/>
      <w:sz w:val="24"/>
      <w:szCs w:val="24"/>
      <w:lang w:val="en-US" w:bidi="hi-IN"/>
    </w:rPr>
  </w:style>
  <w:style w:type="character" w:customStyle="1" w:styleId="FootnoteSymbol">
    <w:name w:val="Footnote Symbol"/>
    <w:rsid w:val="00C92425"/>
  </w:style>
  <w:style w:type="character" w:customStyle="1" w:styleId="Footnoteanchor">
    <w:name w:val="Footnote anchor"/>
    <w:rsid w:val="00C92425"/>
    <w:rPr>
      <w:position w:val="0"/>
      <w:vertAlign w:val="superscript"/>
    </w:rPr>
  </w:style>
  <w:style w:type="character" w:customStyle="1" w:styleId="Internetlink">
    <w:name w:val="Internet link"/>
    <w:rsid w:val="00C92425"/>
    <w:rPr>
      <w:color w:val="0000FF"/>
      <w:u w:val="single"/>
    </w:rPr>
  </w:style>
  <w:style w:type="character" w:customStyle="1" w:styleId="VisitedInternetLink">
    <w:name w:val="Visited Internet Link"/>
    <w:rsid w:val="00C92425"/>
    <w:rPr>
      <w:color w:val="800000"/>
      <w:u w:val="single"/>
    </w:rPr>
  </w:style>
  <w:style w:type="character" w:customStyle="1" w:styleId="ListLabel74">
    <w:name w:val="ListLabel 74"/>
    <w:rsid w:val="00C92425"/>
    <w:rPr>
      <w:rFonts w:eastAsia="SimSun"/>
      <w:sz w:val="24"/>
    </w:rPr>
  </w:style>
  <w:style w:type="numbering" w:customStyle="1" w:styleId="WWNum19">
    <w:name w:val="WWNum19"/>
    <w:basedOn w:val="a4"/>
    <w:rsid w:val="00C92425"/>
    <w:pPr>
      <w:numPr>
        <w:numId w:val="2"/>
      </w:numPr>
    </w:pPr>
  </w:style>
  <w:style w:type="paragraph" w:customStyle="1" w:styleId="western1">
    <w:name w:val="western1"/>
    <w:basedOn w:val="a1"/>
    <w:uiPriority w:val="99"/>
    <w:qFormat/>
    <w:rsid w:val="00C92425"/>
    <w:pPr>
      <w:spacing w:before="100" w:beforeAutospacing="1" w:after="142" w:line="288" w:lineRule="auto"/>
      <w:jc w:val="center"/>
    </w:pPr>
    <w:rPr>
      <w:rFonts w:ascii="Times New Roman" w:eastAsia="Times New Roman" w:hAnsi="Times New Roman" w:cs="Times New Roman"/>
      <w:b/>
      <w:bCs/>
      <w:sz w:val="18"/>
      <w:szCs w:val="18"/>
      <w:lang w:eastAsia="ru-RU"/>
    </w:rPr>
  </w:style>
  <w:style w:type="paragraph" w:customStyle="1" w:styleId="sdfootnote-western">
    <w:name w:val="sdfootnote-western"/>
    <w:basedOn w:val="a1"/>
    <w:uiPriority w:val="99"/>
    <w:qFormat/>
    <w:rsid w:val="00C92425"/>
    <w:pPr>
      <w:spacing w:before="100" w:beforeAutospacing="1" w:after="0" w:line="240" w:lineRule="auto"/>
      <w:ind w:left="340" w:hanging="340"/>
    </w:pPr>
    <w:rPr>
      <w:rFonts w:ascii="Times New Roman" w:eastAsia="Times New Roman" w:hAnsi="Times New Roman" w:cs="Times New Roman"/>
      <w:sz w:val="20"/>
      <w:szCs w:val="20"/>
      <w:lang w:eastAsia="ru-RU"/>
    </w:rPr>
  </w:style>
  <w:style w:type="paragraph" w:styleId="41">
    <w:name w:val="toc 4"/>
    <w:basedOn w:val="a1"/>
    <w:next w:val="a1"/>
    <w:autoRedefine/>
    <w:uiPriority w:val="39"/>
    <w:unhideWhenUsed/>
    <w:rsid w:val="00C92425"/>
    <w:pPr>
      <w:suppressAutoHyphens/>
      <w:autoSpaceDN w:val="0"/>
      <w:spacing w:after="0" w:line="240" w:lineRule="auto"/>
      <w:ind w:left="720"/>
      <w:textAlignment w:val="baseline"/>
    </w:pPr>
    <w:rPr>
      <w:rFonts w:ascii="Liberation Serif" w:eastAsia="SimSun" w:hAnsi="Liberation Serif" w:cs="Mangal"/>
      <w:kern w:val="3"/>
      <w:sz w:val="24"/>
      <w:szCs w:val="21"/>
      <w:lang w:val="en-US" w:eastAsia="zh-CN" w:bidi="hi-IN"/>
    </w:rPr>
  </w:style>
  <w:style w:type="paragraph" w:styleId="25">
    <w:name w:val="Body Text Indent 2"/>
    <w:basedOn w:val="a1"/>
    <w:link w:val="26"/>
    <w:uiPriority w:val="99"/>
    <w:unhideWhenUsed/>
    <w:rsid w:val="00C92425"/>
    <w:pPr>
      <w:spacing w:after="120" w:line="480" w:lineRule="auto"/>
      <w:ind w:left="283"/>
    </w:pPr>
    <w:rPr>
      <w:rFonts w:ascii="Times New Roman" w:hAnsi="Times New Roman"/>
      <w:sz w:val="24"/>
    </w:rPr>
  </w:style>
  <w:style w:type="character" w:customStyle="1" w:styleId="26">
    <w:name w:val="Основной текст с отступом 2 Знак"/>
    <w:basedOn w:val="a2"/>
    <w:link w:val="25"/>
    <w:uiPriority w:val="99"/>
    <w:rsid w:val="00C92425"/>
    <w:rPr>
      <w:rFonts w:ascii="Times New Roman" w:hAnsi="Times New Roman"/>
      <w:sz w:val="24"/>
    </w:rPr>
  </w:style>
  <w:style w:type="character" w:styleId="aff0">
    <w:name w:val="annotation reference"/>
    <w:basedOn w:val="a2"/>
    <w:uiPriority w:val="99"/>
    <w:semiHidden/>
    <w:unhideWhenUsed/>
    <w:rsid w:val="00C92425"/>
    <w:rPr>
      <w:sz w:val="16"/>
      <w:szCs w:val="16"/>
    </w:rPr>
  </w:style>
  <w:style w:type="paragraph" w:styleId="aff1">
    <w:name w:val="annotation text"/>
    <w:basedOn w:val="a1"/>
    <w:link w:val="aff2"/>
    <w:uiPriority w:val="99"/>
    <w:semiHidden/>
    <w:unhideWhenUsed/>
    <w:qFormat/>
    <w:rsid w:val="00C92425"/>
    <w:pPr>
      <w:spacing w:line="240" w:lineRule="auto"/>
    </w:pPr>
    <w:rPr>
      <w:sz w:val="20"/>
      <w:szCs w:val="20"/>
    </w:rPr>
  </w:style>
  <w:style w:type="character" w:customStyle="1" w:styleId="aff2">
    <w:name w:val="Текст примечания Знак"/>
    <w:basedOn w:val="a2"/>
    <w:link w:val="aff1"/>
    <w:uiPriority w:val="99"/>
    <w:semiHidden/>
    <w:rsid w:val="00C92425"/>
    <w:rPr>
      <w:sz w:val="20"/>
      <w:szCs w:val="20"/>
    </w:rPr>
  </w:style>
  <w:style w:type="paragraph" w:styleId="aff3">
    <w:name w:val="annotation subject"/>
    <w:basedOn w:val="aff1"/>
    <w:next w:val="aff1"/>
    <w:link w:val="aff4"/>
    <w:uiPriority w:val="99"/>
    <w:semiHidden/>
    <w:unhideWhenUsed/>
    <w:rsid w:val="00C92425"/>
    <w:rPr>
      <w:b/>
      <w:bCs/>
    </w:rPr>
  </w:style>
  <w:style w:type="character" w:customStyle="1" w:styleId="aff4">
    <w:name w:val="Тема примечания Знак"/>
    <w:basedOn w:val="aff2"/>
    <w:link w:val="aff3"/>
    <w:uiPriority w:val="99"/>
    <w:semiHidden/>
    <w:rsid w:val="00C92425"/>
    <w:rPr>
      <w:b/>
      <w:bCs/>
      <w:sz w:val="20"/>
      <w:szCs w:val="20"/>
    </w:rPr>
  </w:style>
  <w:style w:type="paragraph" w:customStyle="1" w:styleId="formattext">
    <w:name w:val="formattext"/>
    <w:basedOn w:val="a1"/>
    <w:uiPriority w:val="99"/>
    <w:qFormat/>
    <w:rsid w:val="00C9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scription-accent">
    <w:name w:val="description-accent"/>
    <w:basedOn w:val="a2"/>
    <w:rsid w:val="00C92425"/>
  </w:style>
  <w:style w:type="paragraph" w:customStyle="1" w:styleId="intro">
    <w:name w:val="intro"/>
    <w:basedOn w:val="a1"/>
    <w:uiPriority w:val="99"/>
    <w:qFormat/>
    <w:rsid w:val="00C92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No Spacing"/>
    <w:uiPriority w:val="1"/>
    <w:qFormat/>
    <w:rsid w:val="00C92425"/>
    <w:pPr>
      <w:spacing w:after="0" w:line="240" w:lineRule="auto"/>
    </w:pPr>
  </w:style>
  <w:style w:type="character" w:styleId="aff6">
    <w:name w:val="Subtle Emphasis"/>
    <w:basedOn w:val="a2"/>
    <w:uiPriority w:val="19"/>
    <w:qFormat/>
    <w:rsid w:val="00C92425"/>
    <w:rPr>
      <w:i/>
      <w:iCs/>
      <w:color w:val="404040" w:themeColor="text1" w:themeTint="BF"/>
    </w:rPr>
  </w:style>
  <w:style w:type="paragraph" w:styleId="aff7">
    <w:name w:val="Title"/>
    <w:basedOn w:val="a1"/>
    <w:next w:val="a1"/>
    <w:link w:val="aff8"/>
    <w:uiPriority w:val="10"/>
    <w:qFormat/>
    <w:rsid w:val="00C924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8">
    <w:name w:val="Заголовок Знак"/>
    <w:basedOn w:val="a2"/>
    <w:link w:val="aff7"/>
    <w:uiPriority w:val="10"/>
    <w:rsid w:val="00C92425"/>
    <w:rPr>
      <w:rFonts w:asciiTheme="majorHAnsi" w:eastAsiaTheme="majorEastAsia" w:hAnsiTheme="majorHAnsi" w:cstheme="majorBidi"/>
      <w:spacing w:val="-10"/>
      <w:kern w:val="28"/>
      <w:sz w:val="56"/>
      <w:szCs w:val="56"/>
    </w:rPr>
  </w:style>
  <w:style w:type="table" w:customStyle="1" w:styleId="18">
    <w:name w:val="Сетка таблицы1"/>
    <w:basedOn w:val="a3"/>
    <w:next w:val="ae"/>
    <w:uiPriority w:val="39"/>
    <w:rsid w:val="00C9242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e"/>
    <w:rsid w:val="00C92425"/>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uiPriority w:val="39"/>
    <w:rsid w:val="00C924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e"/>
    <w:uiPriority w:val="39"/>
    <w:rsid w:val="00C9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3Char">
    <w:name w:val="Index 3 Char"/>
    <w:basedOn w:val="a1"/>
    <w:uiPriority w:val="99"/>
    <w:qFormat/>
    <w:rsid w:val="00C92425"/>
    <w:pPr>
      <w:spacing w:after="0" w:line="240" w:lineRule="auto"/>
      <w:jc w:val="right"/>
    </w:pPr>
    <w:rPr>
      <w:rFonts w:ascii="Arial Narrow" w:eastAsia="MS ??" w:hAnsi="Arial Narrow" w:cs="Arial Narrow"/>
      <w:b/>
      <w:bCs/>
      <w:color w:val="808080"/>
      <w:sz w:val="24"/>
      <w:szCs w:val="24"/>
      <w:lang w:eastAsia="ru-RU"/>
    </w:rPr>
  </w:style>
  <w:style w:type="table" w:customStyle="1" w:styleId="110">
    <w:name w:val="Сетка таблицы11"/>
    <w:basedOn w:val="a3"/>
    <w:next w:val="ae"/>
    <w:uiPriority w:val="39"/>
    <w:rsid w:val="00C9242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3"/>
    <w:next w:val="ae"/>
    <w:uiPriority w:val="39"/>
    <w:rsid w:val="00C9242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1"/>
    <w:uiPriority w:val="99"/>
    <w:qFormat/>
    <w:rsid w:val="00C924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4">
    <w:name w:val="Сетка таблицы3"/>
    <w:basedOn w:val="a3"/>
    <w:next w:val="ae"/>
    <w:uiPriority w:val="39"/>
    <w:rsid w:val="00C92425"/>
    <w:pPr>
      <w:spacing w:after="0" w:line="240" w:lineRule="auto"/>
    </w:pPr>
    <w:rPr>
      <w:rFonts w:ascii="Liberation Serif" w:eastAsia="SimSun" w:hAnsi="Liberation Serif" w:cs="Mang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e"/>
    <w:uiPriority w:val="39"/>
    <w:rsid w:val="00C92425"/>
    <w:pPr>
      <w:spacing w:after="0" w:line="240" w:lineRule="auto"/>
    </w:pPr>
    <w:rPr>
      <w:rFonts w:ascii="Liberation Serif" w:eastAsia="SimSun" w:hAnsi="Liberation Serif" w:cs="Mang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Body Text 2"/>
    <w:basedOn w:val="a1"/>
    <w:link w:val="29"/>
    <w:uiPriority w:val="99"/>
    <w:unhideWhenUsed/>
    <w:rsid w:val="00C92425"/>
    <w:pPr>
      <w:spacing w:after="120" w:line="480" w:lineRule="auto"/>
    </w:pPr>
  </w:style>
  <w:style w:type="character" w:customStyle="1" w:styleId="29">
    <w:name w:val="Основной текст 2 Знак"/>
    <w:basedOn w:val="a2"/>
    <w:link w:val="28"/>
    <w:uiPriority w:val="99"/>
    <w:rsid w:val="00C92425"/>
  </w:style>
  <w:style w:type="character" w:customStyle="1" w:styleId="2a">
    <w:name w:val="Неразрешенное упоминание2"/>
    <w:basedOn w:val="a2"/>
    <w:uiPriority w:val="99"/>
    <w:semiHidden/>
    <w:unhideWhenUsed/>
    <w:rsid w:val="0029555B"/>
    <w:rPr>
      <w:color w:val="605E5C"/>
      <w:shd w:val="clear" w:color="auto" w:fill="E1DFDD"/>
    </w:rPr>
  </w:style>
  <w:style w:type="table" w:customStyle="1" w:styleId="61">
    <w:name w:val="Сетка таблицы6"/>
    <w:basedOn w:val="a3"/>
    <w:next w:val="ae"/>
    <w:uiPriority w:val="39"/>
    <w:rsid w:val="00430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e"/>
    <w:uiPriority w:val="39"/>
    <w:rsid w:val="00430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2">
    <w:name w:val="9 дефис 2"/>
    <w:basedOn w:val="a1"/>
    <w:autoRedefine/>
    <w:uiPriority w:val="99"/>
    <w:qFormat/>
    <w:rsid w:val="00A9371F"/>
    <w:pPr>
      <w:numPr>
        <w:numId w:val="5"/>
      </w:numPr>
      <w:tabs>
        <w:tab w:val="left" w:pos="284"/>
        <w:tab w:val="left" w:pos="1134"/>
      </w:tabs>
      <w:suppressAutoHyphens/>
      <w:autoSpaceDN w:val="0"/>
      <w:spacing w:after="0" w:line="240" w:lineRule="auto"/>
      <w:textAlignment w:val="baseline"/>
    </w:pPr>
    <w:rPr>
      <w:rFonts w:ascii="Times New Roman" w:eastAsia="Calibri" w:hAnsi="Times New Roman" w:cs="Times New Roman"/>
      <w:color w:val="00000A"/>
      <w:spacing w:val="-5"/>
      <w:lang w:eastAsia="ru-RU"/>
    </w:rPr>
  </w:style>
  <w:style w:type="numbering" w:customStyle="1" w:styleId="WWNum4">
    <w:name w:val="WWNum4"/>
    <w:basedOn w:val="a4"/>
    <w:rsid w:val="008D25A0"/>
    <w:pPr>
      <w:numPr>
        <w:numId w:val="5"/>
      </w:numPr>
    </w:pPr>
  </w:style>
  <w:style w:type="paragraph" w:customStyle="1" w:styleId="1-">
    <w:name w:val="Список нумерованный 1-го уровня"/>
    <w:basedOn w:val="a1"/>
    <w:uiPriority w:val="99"/>
    <w:qFormat/>
    <w:rsid w:val="00206EB3"/>
    <w:pPr>
      <w:numPr>
        <w:numId w:val="6"/>
      </w:numPr>
      <w:suppressAutoHyphens/>
      <w:adjustRightInd w:val="0"/>
      <w:spacing w:after="0" w:line="360" w:lineRule="auto"/>
      <w:jc w:val="both"/>
      <w:textAlignment w:val="baseline"/>
    </w:pPr>
    <w:rPr>
      <w:rFonts w:ascii="Times New Roman" w:eastAsia="Times New Roman" w:hAnsi="Times New Roman" w:cs="Times New Roman"/>
      <w:spacing w:val="-5"/>
      <w:sz w:val="24"/>
      <w:szCs w:val="24"/>
    </w:rPr>
  </w:style>
  <w:style w:type="table" w:customStyle="1" w:styleId="19">
    <w:name w:val="ЦКР ЕЩЕ НОВЕЕ1"/>
    <w:basedOn w:val="a3"/>
    <w:next w:val="ae"/>
    <w:uiPriority w:val="39"/>
    <w:rsid w:val="00D10050"/>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Normal Indent"/>
    <w:basedOn w:val="a1"/>
    <w:uiPriority w:val="99"/>
    <w:rsid w:val="004B26B2"/>
    <w:pPr>
      <w:suppressAutoHyphens/>
      <w:autoSpaceDN w:val="0"/>
      <w:spacing w:after="0" w:line="240" w:lineRule="auto"/>
      <w:ind w:left="2772" w:hanging="360"/>
      <w:textAlignment w:val="baseline"/>
    </w:pPr>
    <w:rPr>
      <w:rFonts w:ascii="Times New Roman" w:eastAsia="Times New Roman" w:hAnsi="Times New Roman" w:cs="Times New Roman"/>
      <w:sz w:val="24"/>
      <w:szCs w:val="24"/>
      <w:lang w:eastAsia="ru-RU"/>
    </w:rPr>
  </w:style>
  <w:style w:type="paragraph" w:styleId="affa">
    <w:name w:val="Plain Text"/>
    <w:aliases w:val="Текст Знак2,Текст Знак Знак,Текст Знак1 Знак Знак,Текст Знак Знак Знак Знак, Знак Знак Знак Знак2 Знак,Текст Знак1 Знак Знак Знак Знак,Текст Знак Знак Знак Знак Знак Знак,Текст Знак1 Знак Знак Знак Знак Знак Знак,Текст Знак Знак1 Знак,Зн"/>
    <w:basedOn w:val="a1"/>
    <w:link w:val="affb"/>
    <w:qFormat/>
    <w:rsid w:val="001632AA"/>
    <w:pPr>
      <w:autoSpaceDE w:val="0"/>
      <w:autoSpaceDN w:val="0"/>
      <w:spacing w:after="0" w:line="240" w:lineRule="auto"/>
      <w:ind w:firstLine="709"/>
      <w:jc w:val="both"/>
    </w:pPr>
    <w:rPr>
      <w:rFonts w:ascii="Courier New" w:eastAsia="Times New Roman" w:hAnsi="Courier New" w:cs="Courier New"/>
      <w:sz w:val="20"/>
      <w:szCs w:val="20"/>
      <w:lang w:eastAsia="ru-RU"/>
    </w:rPr>
  </w:style>
  <w:style w:type="character" w:customStyle="1" w:styleId="affb">
    <w:name w:val="Текст Знак"/>
    <w:aliases w:val="Текст Знак2 Знак,Текст Знак Знак Знак,Текст Знак1 Знак Знак Знак,Текст Знак Знак Знак Знак Знак, Знак Знак Знак Знак2 Знак Знак,Текст Знак1 Знак Знак Знак Знак Знак,Текст Знак Знак Знак Знак Знак Знак Знак,Текст Знак Знак1 Знак Знак,Зн Знак"/>
    <w:basedOn w:val="a2"/>
    <w:link w:val="affa"/>
    <w:rsid w:val="001632AA"/>
    <w:rPr>
      <w:rFonts w:ascii="Courier New" w:eastAsia="Times New Roman" w:hAnsi="Courier New" w:cs="Courier New"/>
      <w:sz w:val="20"/>
      <w:szCs w:val="20"/>
      <w:lang w:eastAsia="ru-RU"/>
    </w:rPr>
  </w:style>
  <w:style w:type="paragraph" w:customStyle="1" w:styleId="avg-0">
    <w:name w:val="avg-Обычный"/>
    <w:basedOn w:val="a1"/>
    <w:link w:val="avg-1"/>
    <w:qFormat/>
    <w:rsid w:val="001632AA"/>
    <w:pPr>
      <w:suppressAutoHyphens/>
      <w:autoSpaceDN w:val="0"/>
      <w:spacing w:before="180" w:after="180" w:line="216" w:lineRule="auto"/>
      <w:ind w:firstLine="709"/>
      <w:jc w:val="both"/>
      <w:textAlignment w:val="baseline"/>
    </w:pPr>
    <w:rPr>
      <w:rFonts w:ascii="Myriad Pro" w:eastAsia="Times New Roman" w:hAnsi="Myriad Pro" w:cs="Times New Roman"/>
      <w:lang w:eastAsia="ru-RU"/>
    </w:rPr>
  </w:style>
  <w:style w:type="paragraph" w:customStyle="1" w:styleId="1a">
    <w:name w:val="Основной текст1"/>
    <w:basedOn w:val="a1"/>
    <w:link w:val="affc"/>
    <w:qFormat/>
    <w:rsid w:val="001632AA"/>
    <w:pPr>
      <w:widowControl w:val="0"/>
      <w:suppressAutoHyphens/>
      <w:autoSpaceDN w:val="0"/>
      <w:spacing w:after="0" w:line="260" w:lineRule="exact"/>
      <w:ind w:firstLine="709"/>
      <w:jc w:val="both"/>
      <w:textAlignment w:val="baseline"/>
    </w:pPr>
    <w:rPr>
      <w:rFonts w:ascii="Times New Roman" w:eastAsia="Times New Roman" w:hAnsi="Times New Roman" w:cs="Times New Roman"/>
      <w:sz w:val="24"/>
      <w:szCs w:val="20"/>
      <w:lang w:eastAsia="ru-RU"/>
    </w:rPr>
  </w:style>
  <w:style w:type="character" w:customStyle="1" w:styleId="avg-1">
    <w:name w:val="avg-Обычный Знак"/>
    <w:link w:val="avg-0"/>
    <w:locked/>
    <w:rsid w:val="001632AA"/>
    <w:rPr>
      <w:rFonts w:ascii="Myriad Pro" w:eastAsia="Times New Roman" w:hAnsi="Myriad Pro" w:cs="Times New Roman"/>
      <w:lang w:eastAsia="ru-RU"/>
    </w:rPr>
  </w:style>
  <w:style w:type="character" w:customStyle="1" w:styleId="affc">
    <w:name w:val="Основной текст_"/>
    <w:basedOn w:val="a2"/>
    <w:link w:val="1a"/>
    <w:rsid w:val="001632AA"/>
    <w:rPr>
      <w:rFonts w:ascii="Times New Roman" w:eastAsia="Times New Roman" w:hAnsi="Times New Roman" w:cs="Times New Roman"/>
      <w:sz w:val="24"/>
      <w:szCs w:val="20"/>
      <w:lang w:eastAsia="ru-RU"/>
    </w:rPr>
  </w:style>
  <w:style w:type="character" w:customStyle="1" w:styleId="UnresolvedMention">
    <w:name w:val="Unresolved Mention"/>
    <w:basedOn w:val="a2"/>
    <w:uiPriority w:val="99"/>
    <w:semiHidden/>
    <w:unhideWhenUsed/>
    <w:rsid w:val="00E5136F"/>
    <w:rPr>
      <w:color w:val="605E5C"/>
      <w:shd w:val="clear" w:color="auto" w:fill="E1DFDD"/>
    </w:rPr>
  </w:style>
  <w:style w:type="character" w:styleId="affd">
    <w:name w:val="Placeholder Text"/>
    <w:basedOn w:val="a2"/>
    <w:uiPriority w:val="99"/>
    <w:semiHidden/>
    <w:rsid w:val="00E5136F"/>
    <w:rPr>
      <w:color w:val="808080"/>
    </w:rPr>
  </w:style>
  <w:style w:type="character" w:customStyle="1" w:styleId="1-1">
    <w:name w:val="Список маркированный 1-го уровня Знак"/>
    <w:basedOn w:val="a2"/>
    <w:link w:val="1-0"/>
    <w:locked/>
    <w:rsid w:val="00E5136F"/>
    <w:rPr>
      <w:rFonts w:ascii="Times New Roman" w:eastAsia="Times New Roman" w:hAnsi="Times New Roman" w:cs="Times New Roman"/>
      <w:spacing w:val="-5"/>
      <w:sz w:val="24"/>
      <w:szCs w:val="24"/>
      <w:lang w:eastAsia="ru-RU"/>
    </w:rPr>
  </w:style>
  <w:style w:type="paragraph" w:customStyle="1" w:styleId="1-0">
    <w:name w:val="Список маркированный 1-го уровня"/>
    <w:basedOn w:val="a1"/>
    <w:link w:val="1-1"/>
    <w:autoRedefine/>
    <w:qFormat/>
    <w:rsid w:val="00E5136F"/>
    <w:pPr>
      <w:numPr>
        <w:numId w:val="15"/>
      </w:numPr>
      <w:suppressAutoHyphens/>
      <w:adjustRightInd w:val="0"/>
      <w:spacing w:after="0" w:line="360" w:lineRule="auto"/>
      <w:jc w:val="both"/>
    </w:pPr>
    <w:rPr>
      <w:rFonts w:ascii="Times New Roman" w:eastAsia="Times New Roman" w:hAnsi="Times New Roman" w:cs="Times New Roman"/>
      <w:spacing w:val="-5"/>
      <w:sz w:val="24"/>
      <w:szCs w:val="24"/>
      <w:lang w:eastAsia="ru-RU"/>
    </w:rPr>
  </w:style>
  <w:style w:type="paragraph" w:customStyle="1" w:styleId="35">
    <w:name w:val="Название объекта3"/>
    <w:basedOn w:val="a1"/>
    <w:next w:val="a1"/>
    <w:uiPriority w:val="99"/>
    <w:qFormat/>
    <w:rsid w:val="00113E85"/>
    <w:pPr>
      <w:autoSpaceDN w:val="0"/>
      <w:spacing w:after="200" w:line="240" w:lineRule="auto"/>
      <w:textAlignment w:val="baseline"/>
    </w:pPr>
    <w:rPr>
      <w:rFonts w:ascii="Calibri" w:eastAsia="Calibri" w:hAnsi="Calibri" w:cs="Calibri"/>
      <w:b/>
      <w:bCs/>
      <w:color w:val="4F81BD"/>
      <w:kern w:val="3"/>
      <w:sz w:val="18"/>
      <w:szCs w:val="18"/>
      <w:lang w:eastAsia="zh-CN"/>
    </w:rPr>
  </w:style>
  <w:style w:type="table" w:customStyle="1" w:styleId="130">
    <w:name w:val="Сетка таблицы13"/>
    <w:basedOn w:val="a3"/>
    <w:next w:val="ae"/>
    <w:uiPriority w:val="59"/>
    <w:unhideWhenUsed/>
    <w:rsid w:val="00113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1"/>
    <w:uiPriority w:val="99"/>
    <w:qFormat/>
    <w:rsid w:val="00095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1"/>
    <w:uiPriority w:val="99"/>
    <w:qFormat/>
    <w:rsid w:val="00FA14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qFormat/>
    <w:rsid w:val="003421C3"/>
    <w:pPr>
      <w:widowControl w:val="0"/>
      <w:autoSpaceDE w:val="0"/>
      <w:autoSpaceDN w:val="0"/>
      <w:spacing w:after="0" w:line="240" w:lineRule="auto"/>
    </w:pPr>
    <w:rPr>
      <w:rFonts w:ascii="Calibri" w:eastAsiaTheme="minorEastAsia" w:hAnsi="Calibri" w:cs="Calibri"/>
      <w:b/>
      <w:szCs w:val="20"/>
      <w:lang w:eastAsia="ru-RU"/>
    </w:rPr>
  </w:style>
  <w:style w:type="paragraph" w:styleId="53">
    <w:name w:val="toc 5"/>
    <w:basedOn w:val="a1"/>
    <w:next w:val="a1"/>
    <w:autoRedefine/>
    <w:uiPriority w:val="39"/>
    <w:unhideWhenUsed/>
    <w:rsid w:val="00A65F2E"/>
    <w:pPr>
      <w:spacing w:after="100"/>
      <w:ind w:left="880"/>
    </w:pPr>
    <w:rPr>
      <w:rFonts w:eastAsiaTheme="minorEastAsia"/>
      <w:lang w:eastAsia="ru-RU"/>
    </w:rPr>
  </w:style>
  <w:style w:type="paragraph" w:styleId="62">
    <w:name w:val="toc 6"/>
    <w:basedOn w:val="a1"/>
    <w:next w:val="a1"/>
    <w:autoRedefine/>
    <w:uiPriority w:val="39"/>
    <w:unhideWhenUsed/>
    <w:rsid w:val="00A65F2E"/>
    <w:pPr>
      <w:spacing w:after="100"/>
      <w:ind w:left="1100"/>
    </w:pPr>
    <w:rPr>
      <w:rFonts w:eastAsiaTheme="minorEastAsia"/>
      <w:lang w:eastAsia="ru-RU"/>
    </w:rPr>
  </w:style>
  <w:style w:type="paragraph" w:styleId="72">
    <w:name w:val="toc 7"/>
    <w:basedOn w:val="a1"/>
    <w:next w:val="a1"/>
    <w:autoRedefine/>
    <w:uiPriority w:val="39"/>
    <w:unhideWhenUsed/>
    <w:rsid w:val="00A65F2E"/>
    <w:pPr>
      <w:spacing w:after="100"/>
      <w:ind w:left="1320"/>
    </w:pPr>
    <w:rPr>
      <w:rFonts w:eastAsiaTheme="minorEastAsia"/>
      <w:lang w:eastAsia="ru-RU"/>
    </w:rPr>
  </w:style>
  <w:style w:type="paragraph" w:styleId="82">
    <w:name w:val="toc 8"/>
    <w:basedOn w:val="a1"/>
    <w:next w:val="a1"/>
    <w:autoRedefine/>
    <w:uiPriority w:val="39"/>
    <w:unhideWhenUsed/>
    <w:rsid w:val="00A65F2E"/>
    <w:pPr>
      <w:spacing w:after="100"/>
      <w:ind w:left="1540"/>
    </w:pPr>
    <w:rPr>
      <w:rFonts w:eastAsiaTheme="minorEastAsia"/>
      <w:lang w:eastAsia="ru-RU"/>
    </w:rPr>
  </w:style>
  <w:style w:type="paragraph" w:styleId="93">
    <w:name w:val="toc 9"/>
    <w:basedOn w:val="a1"/>
    <w:next w:val="a1"/>
    <w:autoRedefine/>
    <w:uiPriority w:val="39"/>
    <w:unhideWhenUsed/>
    <w:rsid w:val="00A65F2E"/>
    <w:pPr>
      <w:spacing w:after="100"/>
      <w:ind w:left="1760"/>
    </w:pPr>
    <w:rPr>
      <w:rFonts w:eastAsiaTheme="minorEastAsia"/>
      <w:lang w:eastAsia="ru-RU"/>
    </w:rPr>
  </w:style>
  <w:style w:type="character" w:customStyle="1" w:styleId="60">
    <w:name w:val="Заголовок 6 Знак"/>
    <w:aliases w:val="__Подпункт Знак,Арбуз Знак,Heading Tab Corfin Знак,H6 Знак1,Caaieiaie 6 Ciae Ciae Ciae Ciae Знак,Заголовок 6 Знак Знак Знак Знак Знак,H6 Ciae Знак,H6 Знак Знак,Çàãîëîâîê 6 Çíàê Çíàê Çíàê Çíàê Знак,Заголовок 6 Знак2 Знак,H6 Çíàê Знак1"/>
    <w:basedOn w:val="a2"/>
    <w:link w:val="6"/>
    <w:rsid w:val="00EE2B64"/>
    <w:rPr>
      <w:rFonts w:ascii="Myriad Pro" w:eastAsia="Times New Roman" w:hAnsi="Myriad Pro" w:cs="Times New Roman"/>
      <w:b/>
      <w:bCs/>
      <w:lang w:eastAsia="ru-RU"/>
    </w:rPr>
  </w:style>
  <w:style w:type="character" w:customStyle="1" w:styleId="70">
    <w:name w:val="Заголовок 7 Знак"/>
    <w:aliases w:val="Заголовок 7 Знак3 Знак,Заголовок 7 Знак2 Знак Знак,Заголовок 7 Знак3 Знак1 Знак Знак,Заголовок 7 Знак2 Знак1 Знак Знак Знак,Заголовок 7 Знак Знак3 Знак Знак Знак Знак,Заголовок 7 Знак2 Знак Знак Знак Знак Знак Знак,НАЗВАНИЕ Знак"/>
    <w:basedOn w:val="a2"/>
    <w:link w:val="7"/>
    <w:uiPriority w:val="99"/>
    <w:semiHidden/>
    <w:rsid w:val="00EE2B64"/>
    <w:rPr>
      <w:rFonts w:ascii="Myriad Pro" w:eastAsia="Times New Roman" w:hAnsi="Myriad Pro" w:cs="Times New Roman"/>
      <w:szCs w:val="24"/>
      <w:lang w:eastAsia="ru-RU"/>
    </w:rPr>
  </w:style>
  <w:style w:type="character" w:customStyle="1" w:styleId="80">
    <w:name w:val="Заголовок 8 Знак"/>
    <w:basedOn w:val="a2"/>
    <w:link w:val="8"/>
    <w:semiHidden/>
    <w:rsid w:val="00EE2B64"/>
    <w:rPr>
      <w:rFonts w:ascii="Myriad Pro" w:eastAsia="Times New Roman" w:hAnsi="Myriad Pro" w:cs="Times New Roman"/>
      <w:i/>
      <w:iCs/>
      <w:szCs w:val="24"/>
      <w:lang w:eastAsia="ru-RU"/>
    </w:rPr>
  </w:style>
  <w:style w:type="character" w:customStyle="1" w:styleId="90">
    <w:name w:val="Заголовок 9 Знак"/>
    <w:aliases w:val="Знак28 Знак"/>
    <w:basedOn w:val="a2"/>
    <w:link w:val="9"/>
    <w:uiPriority w:val="99"/>
    <w:semiHidden/>
    <w:rsid w:val="00EE2B64"/>
    <w:rPr>
      <w:rFonts w:ascii="Arial" w:eastAsia="Times New Roman" w:hAnsi="Arial" w:cs="Arial"/>
      <w:lang w:eastAsia="ru-RU"/>
    </w:rPr>
  </w:style>
  <w:style w:type="character" w:customStyle="1" w:styleId="120">
    <w:name w:val="Заголовок 1 Знак2"/>
    <w:aliases w:val="Заголовок 1 Знак1 Знак,Заголовок 1 Знак Знак + После:  12 пт Знак,Head 1 Знак1,Заголовок 1 Знак Знак Знак,Head 1 Знак Знак,????????? 1 Знак,Раздел Знак,Заголов Знак,Содерж-Заголовок 1 Знак,1. Заголовок 1 Знак Знак,1. Заголовок 1 Знак1"/>
    <w:basedOn w:val="a2"/>
    <w:uiPriority w:val="9"/>
    <w:rsid w:val="00EE2B64"/>
    <w:rPr>
      <w:rFonts w:ascii="Myriad Pro" w:eastAsia="Times New Roman" w:hAnsi="Myriad Pro" w:cs="Arial" w:hint="default"/>
      <w:b/>
      <w:bCs/>
      <w:color w:val="323E4F" w:themeColor="text2" w:themeShade="BF"/>
      <w:kern w:val="32"/>
      <w:sz w:val="34"/>
      <w:szCs w:val="32"/>
      <w:lang w:eastAsia="ru-RU"/>
    </w:rPr>
  </w:style>
  <w:style w:type="character" w:customStyle="1" w:styleId="230">
    <w:name w:val="Заголовок 2 Знак3"/>
    <w:aliases w:val="Стиль 1 Знак2,Заголовок 2 Знак1 Знак2,Заголовок 2 Знак Знак Знак2,Заголовок 2 Знак1 Знак Знак Знак1,Заголовок 2 Знак Знак Знак Знак Знак1,Заголовок 2 Знак Знак1 Знак1,Заголовок 2 Знак2 Знак1,Стиль 1 Знак Знак Знак1,Стиль 1 Знак1 Знак"/>
    <w:basedOn w:val="a2"/>
    <w:uiPriority w:val="9"/>
    <w:semiHidden/>
    <w:rsid w:val="00EE2B64"/>
    <w:rPr>
      <w:rFonts w:asciiTheme="majorHAnsi" w:eastAsiaTheme="majorEastAsia" w:hAnsiTheme="majorHAnsi" w:cstheme="majorBidi"/>
      <w:color w:val="2F5496" w:themeColor="accent1" w:themeShade="BF"/>
      <w:sz w:val="26"/>
      <w:szCs w:val="26"/>
    </w:rPr>
  </w:style>
  <w:style w:type="character" w:customStyle="1" w:styleId="310">
    <w:name w:val="Заголовок 3 Знак1"/>
    <w:aliases w:val="Заголовок 3 Знак1 Знак Знак1,Заголовок 3 Знак Знак Знак Знак1,Заголовок 3 Знак1 Знак Знак Знак Знак1,Заголовок 3 Знак Знак Знак Знак Знак Знак1,Заголовок 3 Знак1 Знак Знак Знак Знак Знак Знак1,h3 Знак Знак1,h3 Знак2,Naiaea Знак1"/>
    <w:basedOn w:val="a2"/>
    <w:uiPriority w:val="9"/>
    <w:semiHidden/>
    <w:rsid w:val="00EE2B64"/>
    <w:rPr>
      <w:rFonts w:asciiTheme="majorHAnsi" w:eastAsiaTheme="majorEastAsia" w:hAnsiTheme="majorHAnsi" w:cstheme="majorBidi"/>
      <w:color w:val="1F3763" w:themeColor="accent1" w:themeShade="7F"/>
      <w:sz w:val="24"/>
      <w:szCs w:val="24"/>
    </w:rPr>
  </w:style>
  <w:style w:type="character" w:customStyle="1" w:styleId="420">
    <w:name w:val="Заголовок 4 Знак2"/>
    <w:aliases w:val="Заголовок 4 Знак1 Знак1,Заголовок 4 Знак1 Знак Знак Знак Знак Знак Знак1,Заголовок 4 Знак Знак Знак Знак Знак Знак2,Заголовок 4 Знак Знак Знак Знак Знак2,Заголовок 4 Знак Знак Знак Знак2,Заголовок 4 Знак Знак Знак Знак Знак Знак Знак1"/>
    <w:basedOn w:val="a2"/>
    <w:uiPriority w:val="9"/>
    <w:semiHidden/>
    <w:rsid w:val="00EE2B64"/>
    <w:rPr>
      <w:rFonts w:asciiTheme="majorHAnsi" w:eastAsiaTheme="majorEastAsia" w:hAnsiTheme="majorHAnsi" w:cstheme="majorBidi"/>
      <w:i/>
      <w:iCs/>
      <w:color w:val="2F5496" w:themeColor="accent1" w:themeShade="BF"/>
      <w:sz w:val="22"/>
      <w:szCs w:val="22"/>
    </w:rPr>
  </w:style>
  <w:style w:type="character" w:customStyle="1" w:styleId="510">
    <w:name w:val="Заголовок 5 Знак1"/>
    <w:aliases w:val="H5 Ciae Знак1,H5 Ciae Ciae Знак1,Caaieiaie 5.H5 Ciae Знак1,H5 Знак Знак2,H5 Знак Знак Знак1,H5 Çíàê Знак1,Çàãîëîâîê 5.H5 Çíàê Знак1,Знак9 Знак1,H5 Знак3,Caaieiaie 5 Знак Знак1,H5 Çíàê Çíàê Знак Знак1,H5 Знак2 Знак1"/>
    <w:basedOn w:val="a2"/>
    <w:uiPriority w:val="9"/>
    <w:semiHidden/>
    <w:rsid w:val="00EE2B64"/>
    <w:rPr>
      <w:rFonts w:asciiTheme="majorHAnsi" w:eastAsiaTheme="majorEastAsia" w:hAnsiTheme="majorHAnsi" w:cstheme="majorBidi"/>
      <w:color w:val="2F5496" w:themeColor="accent1" w:themeShade="BF"/>
      <w:sz w:val="22"/>
      <w:szCs w:val="22"/>
    </w:rPr>
  </w:style>
  <w:style w:type="character" w:customStyle="1" w:styleId="610">
    <w:name w:val="Заголовок 6 Знак1"/>
    <w:aliases w:val="__Подпункт Знак1,Источник Знак1,Арбуз Знак1,Heading Tab Corfin Знак1,H6 Знак2,Caaieiaie 6 Ciae Ciae Ciae Ciae Знак1,Заголовок 6 Знак Знак Знак Знак Знак1,H6 Ciae Знак1,H6 Знак Знак1,Çàãîëîâîê 6 Çíàê Çíàê Çíàê Çíàê Знак1,H6 Çíàê Знак"/>
    <w:basedOn w:val="a2"/>
    <w:semiHidden/>
    <w:rsid w:val="00EE2B64"/>
    <w:rPr>
      <w:rFonts w:asciiTheme="majorHAnsi" w:eastAsiaTheme="majorEastAsia" w:hAnsiTheme="majorHAnsi" w:cstheme="majorBidi"/>
      <w:color w:val="1F3763" w:themeColor="accent1" w:themeShade="7F"/>
      <w:sz w:val="22"/>
      <w:szCs w:val="22"/>
    </w:rPr>
  </w:style>
  <w:style w:type="character" w:customStyle="1" w:styleId="710">
    <w:name w:val="Заголовок 7 Знак1"/>
    <w:aliases w:val="Заголовок 7 Знак3 Знак1,Заголовок 7 Знак2 Знак Знак1,Заголовок 7 Знак3 Знак1 Знак Знак1,Заголовок 7 Знак2 Знак1 Знак Знак Знак1,Заголовок 7 Знак Знак3 Знак Знак Знак Знак1,Заголовок 7 Знак2 Знак Знак Знак Знак Знак Знак1,НАЗВАНИЕ Знак1"/>
    <w:basedOn w:val="a2"/>
    <w:semiHidden/>
    <w:rsid w:val="00EE2B64"/>
    <w:rPr>
      <w:rFonts w:asciiTheme="majorHAnsi" w:eastAsiaTheme="majorEastAsia" w:hAnsiTheme="majorHAnsi" w:cstheme="majorBidi"/>
      <w:i/>
      <w:iCs/>
      <w:color w:val="1F3763" w:themeColor="accent1" w:themeShade="7F"/>
      <w:sz w:val="22"/>
      <w:szCs w:val="22"/>
    </w:rPr>
  </w:style>
  <w:style w:type="character" w:customStyle="1" w:styleId="910">
    <w:name w:val="Заголовок 9 Знак1"/>
    <w:aliases w:val="Знак28 Знак1"/>
    <w:basedOn w:val="a2"/>
    <w:semiHidden/>
    <w:rsid w:val="00EE2B64"/>
    <w:rPr>
      <w:rFonts w:asciiTheme="majorHAnsi" w:eastAsiaTheme="majorEastAsia" w:hAnsiTheme="majorHAnsi" w:cstheme="majorBidi"/>
      <w:i/>
      <w:iCs/>
      <w:color w:val="272727" w:themeColor="text1" w:themeTint="D8"/>
      <w:sz w:val="21"/>
      <w:szCs w:val="21"/>
    </w:rPr>
  </w:style>
  <w:style w:type="character" w:customStyle="1" w:styleId="1b">
    <w:name w:val="Нижний колонтитул Знак1"/>
    <w:aliases w:val="Знак2 Знак1,Нижний колонтитул нечетной стр Знак1,Нижний колонтитул нечетной стр1 Знак1,Нижний колонтитул нечетной стр2 Знак1,Нижний колонтитул нечетной стр3 Знак1,Нижний колонтитул нечетной стр4 Знак1"/>
    <w:basedOn w:val="a2"/>
    <w:uiPriority w:val="99"/>
    <w:semiHidden/>
    <w:rsid w:val="00EE2B64"/>
  </w:style>
  <w:style w:type="character" w:customStyle="1" w:styleId="affe">
    <w:name w:val="Текст концевой сноски Знак"/>
    <w:basedOn w:val="a2"/>
    <w:link w:val="afff"/>
    <w:uiPriority w:val="99"/>
    <w:semiHidden/>
    <w:locked/>
    <w:rsid w:val="00EE2B64"/>
    <w:rPr>
      <w:rFonts w:ascii="Myriad Pro" w:eastAsia="Times New Roman" w:hAnsi="Myriad Pro" w:cs="Times New Roman"/>
      <w:sz w:val="20"/>
      <w:szCs w:val="20"/>
      <w:lang w:eastAsia="ru-RU"/>
    </w:rPr>
  </w:style>
  <w:style w:type="character" w:customStyle="1" w:styleId="2b">
    <w:name w:val="Основной текст Знак2"/>
    <w:aliases w:val="Подпись1 Знак1,Iiaienu1 Знак1,Ïîäïèñü1 Знак1,Основной текст Знак1 Знак2,Основной текст Знак Знак Знак2,Основной текст Знак1 Знак Знак1,Основной текст Знак Знак Знак Знак2,Основной текст Знак Знак Знак Знак Знак1,bt Знак1"/>
    <w:basedOn w:val="a2"/>
    <w:semiHidden/>
    <w:rsid w:val="00EE2B64"/>
    <w:rPr>
      <w:sz w:val="22"/>
      <w:szCs w:val="22"/>
    </w:rPr>
  </w:style>
  <w:style w:type="character" w:customStyle="1" w:styleId="1c">
    <w:name w:val="Текст примечания Знак1"/>
    <w:basedOn w:val="a2"/>
    <w:uiPriority w:val="99"/>
    <w:semiHidden/>
    <w:rsid w:val="00EE2B64"/>
    <w:rPr>
      <w:sz w:val="20"/>
      <w:szCs w:val="20"/>
    </w:rPr>
  </w:style>
  <w:style w:type="character" w:customStyle="1" w:styleId="ceos-">
    <w:name w:val="ceos-Обычный Знак"/>
    <w:basedOn w:val="a2"/>
    <w:link w:val="ceos-0"/>
    <w:locked/>
    <w:rsid w:val="00EE2B64"/>
    <w:rPr>
      <w:rFonts w:ascii="Times New Roman" w:eastAsia="Times New Roman" w:hAnsi="Times New Roman" w:cs="Times New Roman"/>
      <w:sz w:val="24"/>
      <w:szCs w:val="24"/>
      <w:lang w:eastAsia="ru-RU"/>
    </w:rPr>
  </w:style>
  <w:style w:type="paragraph" w:customStyle="1" w:styleId="ceos-0">
    <w:name w:val="ceos-Обычный"/>
    <w:basedOn w:val="a1"/>
    <w:link w:val="ceos-"/>
    <w:qFormat/>
    <w:rsid w:val="00EE2B64"/>
    <w:pPr>
      <w:spacing w:before="180" w:after="180" w:line="216" w:lineRule="auto"/>
      <w:jc w:val="both"/>
    </w:pPr>
    <w:rPr>
      <w:rFonts w:ascii="Times New Roman" w:eastAsia="Times New Roman" w:hAnsi="Times New Roman" w:cs="Times New Roman"/>
      <w:sz w:val="24"/>
      <w:szCs w:val="24"/>
      <w:lang w:eastAsia="ru-RU"/>
    </w:rPr>
  </w:style>
  <w:style w:type="character" w:customStyle="1" w:styleId="ceos-1">
    <w:name w:val="ceos-Название отчета в нижнем колонтитуле Знак"/>
    <w:basedOn w:val="a2"/>
    <w:link w:val="ceos-2"/>
    <w:locked/>
    <w:rsid w:val="00EE2B64"/>
    <w:rPr>
      <w:rFonts w:ascii="Myriad Pro" w:eastAsia="Times New Roman" w:hAnsi="Myriad Pro" w:cs="Times New Roman"/>
      <w:sz w:val="14"/>
      <w:szCs w:val="24"/>
      <w:lang w:eastAsia="ru-RU"/>
    </w:rPr>
  </w:style>
  <w:style w:type="paragraph" w:customStyle="1" w:styleId="ceos-2">
    <w:name w:val="ceos-Название отчета в нижнем колонтитуле"/>
    <w:basedOn w:val="a1"/>
    <w:link w:val="ceos-1"/>
    <w:qFormat/>
    <w:rsid w:val="00EE2B64"/>
    <w:pPr>
      <w:spacing w:after="0" w:line="240" w:lineRule="auto"/>
      <w:ind w:right="57"/>
      <w:jc w:val="center"/>
    </w:pPr>
    <w:rPr>
      <w:rFonts w:ascii="Myriad Pro" w:eastAsia="Times New Roman" w:hAnsi="Myriad Pro" w:cs="Times New Roman"/>
      <w:sz w:val="14"/>
      <w:szCs w:val="24"/>
      <w:lang w:eastAsia="ru-RU"/>
    </w:rPr>
  </w:style>
  <w:style w:type="paragraph" w:customStyle="1" w:styleId="2c">
    <w:name w:val="Нижний колонтитул2"/>
    <w:basedOn w:val="a1"/>
    <w:uiPriority w:val="99"/>
    <w:qFormat/>
    <w:rsid w:val="00EE2B64"/>
    <w:pPr>
      <w:pBdr>
        <w:top w:val="single" w:sz="6" w:space="1" w:color="auto"/>
      </w:pBdr>
      <w:tabs>
        <w:tab w:val="center" w:pos="4820"/>
        <w:tab w:val="right" w:pos="9526"/>
      </w:tabs>
      <w:spacing w:after="0" w:line="240" w:lineRule="auto"/>
    </w:pPr>
    <w:rPr>
      <w:rFonts w:ascii="Times New Roman" w:eastAsia="Times New Roman" w:hAnsi="Times New Roman" w:cs="Times New Roman"/>
      <w:sz w:val="24"/>
      <w:szCs w:val="24"/>
      <w:lang w:eastAsia="ru-RU"/>
    </w:rPr>
  </w:style>
  <w:style w:type="character" w:customStyle="1" w:styleId="avg-2">
    <w:name w:val="avg-Список маркированный Знак"/>
    <w:link w:val="avg-"/>
    <w:locked/>
    <w:rsid w:val="00EE2B64"/>
    <w:rPr>
      <w:rFonts w:ascii="Times New Roman" w:eastAsia="Times New Roman" w:hAnsi="Times New Roman" w:cs="Times New Roman"/>
      <w:sz w:val="24"/>
      <w:szCs w:val="24"/>
      <w:lang w:eastAsia="ru-RU"/>
    </w:rPr>
  </w:style>
  <w:style w:type="paragraph" w:customStyle="1" w:styleId="avg-">
    <w:name w:val="avg-Список маркированный"/>
    <w:basedOn w:val="a1"/>
    <w:link w:val="avg-2"/>
    <w:qFormat/>
    <w:rsid w:val="00EE2B64"/>
    <w:pPr>
      <w:keepLines/>
      <w:numPr>
        <w:numId w:val="19"/>
      </w:numPr>
      <w:spacing w:before="120" w:after="60" w:line="240" w:lineRule="auto"/>
      <w:jc w:val="both"/>
    </w:pPr>
    <w:rPr>
      <w:rFonts w:ascii="Times New Roman" w:eastAsia="Times New Roman" w:hAnsi="Times New Roman" w:cs="Times New Roman"/>
      <w:sz w:val="24"/>
      <w:szCs w:val="24"/>
      <w:lang w:eastAsia="ru-RU"/>
    </w:rPr>
  </w:style>
  <w:style w:type="paragraph" w:customStyle="1" w:styleId="avg-3">
    <w:name w:val="avg-Список нумерованный"/>
    <w:basedOn w:val="a1"/>
    <w:uiPriority w:val="99"/>
    <w:qFormat/>
    <w:rsid w:val="00EE2B64"/>
    <w:pPr>
      <w:keepLines/>
      <w:suppressAutoHyphens/>
      <w:spacing w:after="120" w:line="240" w:lineRule="auto"/>
      <w:jc w:val="both"/>
    </w:pPr>
    <w:rPr>
      <w:rFonts w:ascii="Times New Roman" w:eastAsia="Times New Roman" w:hAnsi="Times New Roman" w:cs="Times New Roman"/>
      <w:sz w:val="24"/>
      <w:szCs w:val="24"/>
      <w:lang w:eastAsia="ru-RU"/>
    </w:rPr>
  </w:style>
  <w:style w:type="paragraph" w:customStyle="1" w:styleId="Default">
    <w:name w:val="Default"/>
    <w:uiPriority w:val="99"/>
    <w:qFormat/>
    <w:rsid w:val="00EE2B64"/>
    <w:pPr>
      <w:autoSpaceDE w:val="0"/>
      <w:autoSpaceDN w:val="0"/>
      <w:adjustRightInd w:val="0"/>
      <w:spacing w:after="0" w:line="240" w:lineRule="auto"/>
    </w:pPr>
    <w:rPr>
      <w:rFonts w:ascii="Arial" w:hAnsi="Arial" w:cs="Arial"/>
      <w:color w:val="000000"/>
      <w:sz w:val="24"/>
      <w:szCs w:val="24"/>
    </w:rPr>
  </w:style>
  <w:style w:type="paragraph" w:customStyle="1" w:styleId="afff0">
    <w:name w:val="Список нумерованный"/>
    <w:basedOn w:val="a1"/>
    <w:uiPriority w:val="99"/>
    <w:qFormat/>
    <w:rsid w:val="00EE2B64"/>
    <w:pPr>
      <w:spacing w:after="0" w:line="240" w:lineRule="auto"/>
      <w:jc w:val="both"/>
    </w:pPr>
    <w:rPr>
      <w:rFonts w:asciiTheme="majorHAnsi" w:eastAsia="Times New Roman" w:hAnsiTheme="majorHAnsi" w:cs="Times New Roman"/>
      <w:color w:val="00000A"/>
      <w:szCs w:val="24"/>
      <w:lang w:eastAsia="ru-RU"/>
    </w:rPr>
  </w:style>
  <w:style w:type="paragraph" w:customStyle="1" w:styleId="Style14">
    <w:name w:val="Style14"/>
    <w:basedOn w:val="Standard"/>
    <w:uiPriority w:val="99"/>
    <w:qFormat/>
    <w:rsid w:val="00EE2B64"/>
    <w:pPr>
      <w:suppressAutoHyphens/>
      <w:autoSpaceDE w:val="0"/>
      <w:spacing w:line="288" w:lineRule="exact"/>
      <w:ind w:firstLine="269"/>
      <w:jc w:val="both"/>
      <w:textAlignment w:val="auto"/>
    </w:pPr>
    <w:rPr>
      <w:rFonts w:ascii="Franklin Gothic Medium Cond" w:eastAsia="Franklin Gothic Medium Cond" w:hAnsi="Franklin Gothic Medium Cond" w:cs="Franklin Gothic Medium Cond"/>
      <w:sz w:val="24"/>
      <w:szCs w:val="24"/>
    </w:rPr>
  </w:style>
  <w:style w:type="paragraph" w:customStyle="1" w:styleId="avg-10">
    <w:name w:val="avg-Заголовок1 ненумерованный"/>
    <w:basedOn w:val="avg-0"/>
    <w:uiPriority w:val="99"/>
    <w:qFormat/>
    <w:rsid w:val="00EE2B64"/>
    <w:pPr>
      <w:suppressAutoHyphens w:val="0"/>
      <w:autoSpaceDN/>
      <w:spacing w:before="480" w:after="0"/>
      <w:ind w:firstLine="0"/>
      <w:textAlignment w:val="auto"/>
    </w:pPr>
    <w:rPr>
      <w:b/>
    </w:rPr>
  </w:style>
  <w:style w:type="paragraph" w:customStyle="1" w:styleId="avg-4">
    <w:name w:val="avg-Результаты расчетов"/>
    <w:basedOn w:val="avg-0"/>
    <w:uiPriority w:val="99"/>
    <w:qFormat/>
    <w:rsid w:val="00EE2B64"/>
    <w:pPr>
      <w:pBdr>
        <w:top w:val="single" w:sz="4" w:space="16" w:color="003366"/>
        <w:left w:val="single" w:sz="2" w:space="30" w:color="E5F2FF"/>
        <w:bottom w:val="single" w:sz="4" w:space="16" w:color="003366"/>
        <w:right w:val="single" w:sz="2" w:space="30" w:color="E5F2FF"/>
      </w:pBdr>
      <w:shd w:val="clear" w:color="auto" w:fill="E5F2FF"/>
      <w:suppressAutoHyphens w:val="0"/>
      <w:autoSpaceDN/>
      <w:ind w:left="652" w:right="652" w:firstLine="0"/>
      <w:textAlignment w:val="auto"/>
    </w:pPr>
    <w:rPr>
      <w:color w:val="003366"/>
    </w:rPr>
  </w:style>
  <w:style w:type="paragraph" w:customStyle="1" w:styleId="avg-30">
    <w:name w:val="avg-Подзаголовок 3"/>
    <w:basedOn w:val="a1"/>
    <w:next w:val="a1"/>
    <w:uiPriority w:val="99"/>
    <w:qFormat/>
    <w:rsid w:val="00EE2B64"/>
    <w:pPr>
      <w:keepNext/>
      <w:spacing w:before="240" w:after="180" w:line="216" w:lineRule="auto"/>
    </w:pPr>
    <w:rPr>
      <w:rFonts w:ascii="Myriad Pro" w:eastAsia="Times New Roman" w:hAnsi="Myriad Pro" w:cs="Times New Roman"/>
      <w:i/>
      <w:lang w:eastAsia="ru-RU"/>
    </w:rPr>
  </w:style>
  <w:style w:type="character" w:customStyle="1" w:styleId="avg-5">
    <w:name w:val="avg-Название таблицы Знак"/>
    <w:basedOn w:val="avg-1"/>
    <w:link w:val="avg-6"/>
    <w:locked/>
    <w:rsid w:val="00EE2B64"/>
    <w:rPr>
      <w:rFonts w:ascii="Arial Narrow" w:eastAsia="Times New Roman" w:hAnsi="Arial Narrow" w:cs="Times New Roman"/>
      <w:b/>
      <w:bCs/>
      <w:sz w:val="20"/>
      <w:lang w:eastAsia="ru-RU"/>
    </w:rPr>
  </w:style>
  <w:style w:type="paragraph" w:customStyle="1" w:styleId="avg-6">
    <w:name w:val="avg-Название таблицы"/>
    <w:basedOn w:val="avg-0"/>
    <w:next w:val="avg-0"/>
    <w:link w:val="avg-5"/>
    <w:qFormat/>
    <w:rsid w:val="00EE2B64"/>
    <w:pPr>
      <w:keepNext/>
      <w:suppressAutoHyphens w:val="0"/>
      <w:autoSpaceDN/>
      <w:spacing w:before="240"/>
      <w:ind w:firstLine="0"/>
      <w:jc w:val="left"/>
      <w:textAlignment w:val="auto"/>
    </w:pPr>
    <w:rPr>
      <w:rFonts w:ascii="Arial Narrow" w:hAnsi="Arial Narrow"/>
      <w:b/>
      <w:bCs/>
      <w:sz w:val="20"/>
    </w:rPr>
  </w:style>
  <w:style w:type="paragraph" w:customStyle="1" w:styleId="avg-20">
    <w:name w:val="avg-Подзаголовок 2"/>
    <w:basedOn w:val="avg-0"/>
    <w:next w:val="avg-0"/>
    <w:uiPriority w:val="99"/>
    <w:qFormat/>
    <w:rsid w:val="00EE2B64"/>
    <w:pPr>
      <w:keepNext/>
      <w:suppressAutoHyphens w:val="0"/>
      <w:autoSpaceDN/>
      <w:spacing w:before="240"/>
      <w:ind w:firstLine="0"/>
      <w:jc w:val="left"/>
      <w:textAlignment w:val="auto"/>
    </w:pPr>
    <w:rPr>
      <w:b/>
      <w:i/>
    </w:rPr>
  </w:style>
  <w:style w:type="paragraph" w:customStyle="1" w:styleId="avg-7">
    <w:name w:val="avg-Рисунок"/>
    <w:basedOn w:val="avg-0"/>
    <w:next w:val="a1"/>
    <w:uiPriority w:val="99"/>
    <w:qFormat/>
    <w:rsid w:val="00EE2B64"/>
    <w:pPr>
      <w:keepNext/>
      <w:suppressAutoHyphens w:val="0"/>
      <w:autoSpaceDN/>
      <w:ind w:firstLine="0"/>
      <w:jc w:val="center"/>
      <w:textAlignment w:val="auto"/>
    </w:pPr>
    <w:rPr>
      <w:szCs w:val="20"/>
    </w:rPr>
  </w:style>
  <w:style w:type="paragraph" w:customStyle="1" w:styleId="avg-8">
    <w:name w:val="avg-обычный"/>
    <w:basedOn w:val="a1"/>
    <w:uiPriority w:val="99"/>
    <w:qFormat/>
    <w:rsid w:val="00EE2B64"/>
    <w:pPr>
      <w:spacing w:before="120" w:after="0" w:line="240" w:lineRule="auto"/>
      <w:jc w:val="both"/>
    </w:pPr>
    <w:rPr>
      <w:rFonts w:ascii="Myriad Pro" w:eastAsia="Times New Roman" w:hAnsi="Myriad Pro" w:cs="Times New Roman"/>
      <w:szCs w:val="20"/>
      <w:lang w:eastAsia="ru-RU"/>
    </w:rPr>
  </w:style>
  <w:style w:type="paragraph" w:customStyle="1" w:styleId="avg-9">
    <w:name w:val="avg-маркированный"/>
    <w:basedOn w:val="a1"/>
    <w:uiPriority w:val="99"/>
    <w:qFormat/>
    <w:rsid w:val="00EE2B64"/>
    <w:pPr>
      <w:spacing w:before="60" w:after="60" w:line="240" w:lineRule="auto"/>
      <w:jc w:val="both"/>
    </w:pPr>
    <w:rPr>
      <w:rFonts w:ascii="Myriad Pro" w:eastAsia="Times New Roman" w:hAnsi="Myriad Pro" w:cs="Times New Roman"/>
      <w:szCs w:val="20"/>
      <w:lang w:eastAsia="ru-RU"/>
    </w:rPr>
  </w:style>
  <w:style w:type="character" w:customStyle="1" w:styleId="36">
    <w:name w:val="обычный по 3 пт_ГУИОН Знак"/>
    <w:basedOn w:val="a2"/>
    <w:link w:val="37"/>
    <w:locked/>
    <w:rsid w:val="00EE2B64"/>
    <w:rPr>
      <w:rFonts w:ascii="Arial Narrow" w:eastAsia="Times New Roman" w:hAnsi="Arial Narrow" w:cs="Times New Roman"/>
      <w:szCs w:val="24"/>
      <w:lang w:eastAsia="ru-RU"/>
    </w:rPr>
  </w:style>
  <w:style w:type="paragraph" w:customStyle="1" w:styleId="37">
    <w:name w:val="обычный по 3 пт_ГУИОН"/>
    <w:basedOn w:val="a1"/>
    <w:link w:val="36"/>
    <w:qFormat/>
    <w:rsid w:val="00EE2B64"/>
    <w:pPr>
      <w:spacing w:before="60" w:after="60" w:line="240" w:lineRule="auto"/>
      <w:jc w:val="both"/>
    </w:pPr>
    <w:rPr>
      <w:rFonts w:ascii="Arial Narrow" w:eastAsia="Times New Roman" w:hAnsi="Arial Narrow" w:cs="Times New Roman"/>
      <w:szCs w:val="24"/>
      <w:lang w:eastAsia="ru-RU"/>
    </w:rPr>
  </w:style>
  <w:style w:type="character" w:customStyle="1" w:styleId="-">
    <w:name w:val="ГУИОН-Обычный Знак"/>
    <w:link w:val="-0"/>
    <w:locked/>
    <w:rsid w:val="00EE2B64"/>
    <w:rPr>
      <w:rFonts w:ascii="Times New Roman" w:eastAsia="Times New Roman" w:hAnsi="Times New Roman" w:cs="Times New Roman"/>
      <w:sz w:val="24"/>
      <w:lang w:eastAsia="ru-RU"/>
    </w:rPr>
  </w:style>
  <w:style w:type="paragraph" w:customStyle="1" w:styleId="-0">
    <w:name w:val="ГУИОН-Обычный"/>
    <w:basedOn w:val="a1"/>
    <w:link w:val="-"/>
    <w:qFormat/>
    <w:rsid w:val="00EE2B64"/>
    <w:pPr>
      <w:spacing w:after="120" w:line="240" w:lineRule="auto"/>
      <w:ind w:firstLine="709"/>
      <w:jc w:val="both"/>
    </w:pPr>
    <w:rPr>
      <w:rFonts w:ascii="Times New Roman" w:eastAsia="Times New Roman" w:hAnsi="Times New Roman" w:cs="Times New Roman"/>
      <w:sz w:val="24"/>
      <w:lang w:eastAsia="ru-RU"/>
    </w:rPr>
  </w:style>
  <w:style w:type="paragraph" w:customStyle="1" w:styleId="ceos-3">
    <w:name w:val="ceos-Название таблицы"/>
    <w:basedOn w:val="a1"/>
    <w:next w:val="a1"/>
    <w:uiPriority w:val="99"/>
    <w:qFormat/>
    <w:rsid w:val="00EE2B64"/>
    <w:pPr>
      <w:keepNext/>
      <w:spacing w:before="240" w:after="180" w:line="216" w:lineRule="auto"/>
    </w:pPr>
    <w:rPr>
      <w:rFonts w:ascii="Times New Roman" w:eastAsia="Times New Roman" w:hAnsi="Times New Roman" w:cs="Times New Roman"/>
      <w:b/>
      <w:bCs/>
      <w:sz w:val="20"/>
      <w:szCs w:val="24"/>
      <w:lang w:eastAsia="ru-RU"/>
    </w:rPr>
  </w:style>
  <w:style w:type="paragraph" w:customStyle="1" w:styleId="msonormal0">
    <w:name w:val="msonormal"/>
    <w:basedOn w:val="a1"/>
    <w:uiPriority w:val="99"/>
    <w:qFormat/>
    <w:rsid w:val="00EE2B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7">
    <w:name w:val="xl1537"/>
    <w:basedOn w:val="a1"/>
    <w:uiPriority w:val="99"/>
    <w:qFormat/>
    <w:rsid w:val="00EE2B64"/>
    <w:pPr>
      <w:pBdr>
        <w:top w:val="single" w:sz="4" w:space="0" w:color="auto"/>
        <w:left w:val="single" w:sz="4" w:space="0" w:color="auto"/>
        <w:bottom w:val="single" w:sz="4" w:space="0" w:color="auto"/>
        <w:right w:val="single" w:sz="4" w:space="0" w:color="auto"/>
      </w:pBdr>
      <w:shd w:val="clear" w:color="auto" w:fill="558ED5"/>
      <w:spacing w:before="100" w:beforeAutospacing="1" w:after="100" w:afterAutospacing="1" w:line="240" w:lineRule="auto"/>
      <w:jc w:val="center"/>
    </w:pPr>
    <w:rPr>
      <w:rFonts w:ascii="Calibri" w:eastAsia="Times New Roman" w:hAnsi="Calibri" w:cs="Calibri"/>
      <w:b/>
      <w:bCs/>
      <w:color w:val="FFFFFF"/>
      <w:sz w:val="24"/>
      <w:szCs w:val="24"/>
      <w:lang w:eastAsia="ru-RU"/>
    </w:rPr>
  </w:style>
  <w:style w:type="paragraph" w:customStyle="1" w:styleId="xl1538">
    <w:name w:val="xl1538"/>
    <w:basedOn w:val="a1"/>
    <w:uiPriority w:val="99"/>
    <w:qFormat/>
    <w:rsid w:val="00EE2B64"/>
    <w:pPr>
      <w:pBdr>
        <w:top w:val="single" w:sz="4" w:space="0" w:color="auto"/>
        <w:left w:val="single" w:sz="4" w:space="0" w:color="auto"/>
        <w:bottom w:val="single" w:sz="4" w:space="0" w:color="auto"/>
        <w:right w:val="single" w:sz="4" w:space="0" w:color="auto"/>
      </w:pBdr>
      <w:shd w:val="clear" w:color="auto" w:fill="558ED5"/>
      <w:spacing w:before="100" w:beforeAutospacing="1" w:after="100" w:afterAutospacing="1" w:line="240" w:lineRule="auto"/>
      <w:jc w:val="center"/>
    </w:pPr>
    <w:rPr>
      <w:rFonts w:ascii="Calibri" w:eastAsia="Times New Roman" w:hAnsi="Calibri" w:cs="Calibri"/>
      <w:b/>
      <w:bCs/>
      <w:color w:val="FFFFFF"/>
      <w:sz w:val="24"/>
      <w:szCs w:val="24"/>
      <w:lang w:eastAsia="ru-RU"/>
    </w:rPr>
  </w:style>
  <w:style w:type="paragraph" w:customStyle="1" w:styleId="xl1539">
    <w:name w:val="xl1539"/>
    <w:basedOn w:val="a1"/>
    <w:uiPriority w:val="99"/>
    <w:qFormat/>
    <w:rsid w:val="00EE2B64"/>
    <w:pPr>
      <w:pBdr>
        <w:top w:val="single" w:sz="4" w:space="0" w:color="auto"/>
        <w:left w:val="single" w:sz="4" w:space="0" w:color="auto"/>
        <w:bottom w:val="single" w:sz="4" w:space="0" w:color="auto"/>
        <w:right w:val="single" w:sz="4" w:space="0" w:color="auto"/>
      </w:pBdr>
      <w:shd w:val="clear" w:color="auto" w:fill="558ED5"/>
      <w:spacing w:before="100" w:beforeAutospacing="1" w:after="100" w:afterAutospacing="1" w:line="240" w:lineRule="auto"/>
      <w:jc w:val="center"/>
    </w:pPr>
    <w:rPr>
      <w:rFonts w:ascii="Calibri" w:eastAsia="Times New Roman" w:hAnsi="Calibri" w:cs="Calibri"/>
      <w:b/>
      <w:bCs/>
      <w:color w:val="FFFFFF"/>
      <w:sz w:val="24"/>
      <w:szCs w:val="24"/>
      <w:lang w:eastAsia="ru-RU"/>
    </w:rPr>
  </w:style>
  <w:style w:type="paragraph" w:customStyle="1" w:styleId="xl1540">
    <w:name w:val="xl1540"/>
    <w:basedOn w:val="a1"/>
    <w:uiPriority w:val="99"/>
    <w:qFormat/>
    <w:rsid w:val="00EE2B64"/>
    <w:pPr>
      <w:pBdr>
        <w:top w:val="single" w:sz="4" w:space="0" w:color="auto"/>
        <w:left w:val="single" w:sz="4" w:space="0" w:color="auto"/>
        <w:bottom w:val="single" w:sz="4" w:space="0" w:color="auto"/>
        <w:right w:val="single" w:sz="4" w:space="0" w:color="auto"/>
      </w:pBdr>
      <w:shd w:val="clear" w:color="auto" w:fill="558ED5"/>
      <w:spacing w:before="100" w:beforeAutospacing="1" w:after="100" w:afterAutospacing="1" w:line="240" w:lineRule="auto"/>
      <w:jc w:val="center"/>
    </w:pPr>
    <w:rPr>
      <w:rFonts w:ascii="Calibri" w:eastAsia="Times New Roman" w:hAnsi="Calibri" w:cs="Calibri"/>
      <w:b/>
      <w:bCs/>
      <w:color w:val="FFFFFF"/>
      <w:sz w:val="24"/>
      <w:szCs w:val="24"/>
      <w:lang w:eastAsia="ru-RU"/>
    </w:rPr>
  </w:style>
  <w:style w:type="paragraph" w:customStyle="1" w:styleId="xl1541">
    <w:name w:val="xl1541"/>
    <w:basedOn w:val="a1"/>
    <w:uiPriority w:val="99"/>
    <w:qFormat/>
    <w:rsid w:val="00EE2B64"/>
    <w:pPr>
      <w:pBdr>
        <w:top w:val="single" w:sz="4" w:space="0" w:color="auto"/>
        <w:left w:val="single" w:sz="4" w:space="0" w:color="auto"/>
        <w:bottom w:val="single" w:sz="4" w:space="0" w:color="auto"/>
        <w:right w:val="single" w:sz="4" w:space="0" w:color="auto"/>
      </w:pBdr>
      <w:shd w:val="clear" w:color="auto" w:fill="558ED5"/>
      <w:spacing w:before="100" w:beforeAutospacing="1" w:after="100" w:afterAutospacing="1" w:line="240" w:lineRule="auto"/>
      <w:jc w:val="center"/>
    </w:pPr>
    <w:rPr>
      <w:rFonts w:ascii="Calibri" w:eastAsia="Times New Roman" w:hAnsi="Calibri" w:cs="Calibri"/>
      <w:b/>
      <w:bCs/>
      <w:color w:val="FFFFFF"/>
      <w:sz w:val="24"/>
      <w:szCs w:val="24"/>
      <w:lang w:eastAsia="ru-RU"/>
    </w:rPr>
  </w:style>
  <w:style w:type="paragraph" w:customStyle="1" w:styleId="xl1542">
    <w:name w:val="xl1542"/>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543">
    <w:name w:val="xl1543"/>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544">
    <w:name w:val="xl1544"/>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45">
    <w:name w:val="xl1545"/>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46">
    <w:name w:val="xl1546"/>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547">
    <w:name w:val="xl1547"/>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548">
    <w:name w:val="xl1548"/>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49">
    <w:name w:val="xl1549"/>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50">
    <w:name w:val="xl1550"/>
    <w:basedOn w:val="a1"/>
    <w:uiPriority w:val="99"/>
    <w:qFormat/>
    <w:rsid w:val="00EE2B64"/>
    <w:pPr>
      <w:pBdr>
        <w:left w:val="single" w:sz="4" w:space="0" w:color="auto"/>
        <w:right w:val="single" w:sz="4" w:space="0" w:color="auto"/>
      </w:pBdr>
      <w:shd w:val="clear" w:color="auto" w:fill="558ED5"/>
      <w:spacing w:before="100" w:beforeAutospacing="1" w:after="100" w:afterAutospacing="1" w:line="240" w:lineRule="auto"/>
      <w:jc w:val="center"/>
    </w:pPr>
    <w:rPr>
      <w:rFonts w:ascii="Calibri" w:eastAsia="Times New Roman" w:hAnsi="Calibri" w:cs="Calibri"/>
      <w:color w:val="FFFFFF"/>
      <w:sz w:val="24"/>
      <w:szCs w:val="24"/>
      <w:lang w:eastAsia="ru-RU"/>
    </w:rPr>
  </w:style>
  <w:style w:type="paragraph" w:customStyle="1" w:styleId="xl1551">
    <w:name w:val="xl1551"/>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000000"/>
      <w:sz w:val="24"/>
      <w:szCs w:val="24"/>
      <w:lang w:eastAsia="ru-RU"/>
    </w:rPr>
  </w:style>
  <w:style w:type="paragraph" w:customStyle="1" w:styleId="xl1552">
    <w:name w:val="xl1552"/>
    <w:basedOn w:val="a1"/>
    <w:uiPriority w:val="99"/>
    <w:qFormat/>
    <w:rsid w:val="00EE2B64"/>
    <w:pPr>
      <w:pBdr>
        <w:top w:val="single" w:sz="4" w:space="0" w:color="auto"/>
        <w:left w:val="single" w:sz="4" w:space="0" w:color="auto"/>
        <w:bottom w:val="single" w:sz="4" w:space="0" w:color="auto"/>
        <w:right w:val="single" w:sz="4" w:space="0" w:color="auto"/>
      </w:pBdr>
      <w:shd w:val="clear" w:color="auto" w:fill="C4BD97"/>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3">
    <w:name w:val="xl1553"/>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b/>
      <w:bCs/>
      <w:color w:val="000000"/>
      <w:sz w:val="24"/>
      <w:szCs w:val="24"/>
      <w:lang w:eastAsia="ru-RU"/>
    </w:rPr>
  </w:style>
  <w:style w:type="paragraph" w:customStyle="1" w:styleId="xl1554">
    <w:name w:val="xl1554"/>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55">
    <w:name w:val="xl1555"/>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56">
    <w:name w:val="xl1556"/>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57">
    <w:name w:val="xl1557"/>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558">
    <w:name w:val="xl1558"/>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559">
    <w:name w:val="xl1559"/>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560">
    <w:name w:val="xl1560"/>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561">
    <w:name w:val="xl1561"/>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62">
    <w:name w:val="xl1562"/>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563">
    <w:name w:val="xl1563"/>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564">
    <w:name w:val="xl1564"/>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65">
    <w:name w:val="xl1565"/>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566">
    <w:name w:val="xl1566"/>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567">
    <w:name w:val="xl1567"/>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68">
    <w:name w:val="xl1568"/>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69">
    <w:name w:val="xl1569"/>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70">
    <w:name w:val="xl1570"/>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571">
    <w:name w:val="xl1571"/>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572">
    <w:name w:val="xl1572"/>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573">
    <w:name w:val="xl1573"/>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74">
    <w:name w:val="xl1574"/>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75">
    <w:name w:val="xl1575"/>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576">
    <w:name w:val="xl1576"/>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577">
    <w:name w:val="xl1577"/>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578">
    <w:name w:val="xl1578"/>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579">
    <w:name w:val="xl1579"/>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580">
    <w:name w:val="xl1580"/>
    <w:basedOn w:val="a1"/>
    <w:uiPriority w:val="99"/>
    <w:qFormat/>
    <w:rsid w:val="00EE2B64"/>
    <w:pPr>
      <w:pBdr>
        <w:top w:val="single" w:sz="4" w:space="0" w:color="auto"/>
        <w:left w:val="single" w:sz="4" w:space="0" w:color="auto"/>
        <w:bottom w:val="single" w:sz="4" w:space="0" w:color="auto"/>
        <w:right w:val="single" w:sz="4" w:space="0" w:color="auto"/>
      </w:pBdr>
      <w:shd w:val="clear" w:color="auto" w:fill="C0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1">
    <w:name w:val="xl1581"/>
    <w:basedOn w:val="a1"/>
    <w:uiPriority w:val="99"/>
    <w:qFormat/>
    <w:rsid w:val="00EE2B64"/>
    <w:pPr>
      <w:pBdr>
        <w:top w:val="single" w:sz="4" w:space="0" w:color="auto"/>
        <w:left w:val="single" w:sz="4" w:space="0" w:color="auto"/>
        <w:bottom w:val="single" w:sz="4" w:space="0" w:color="auto"/>
        <w:right w:val="single" w:sz="4" w:space="0" w:color="auto"/>
      </w:pBdr>
      <w:shd w:val="clear" w:color="auto" w:fill="C00000"/>
      <w:spacing w:before="100" w:beforeAutospacing="1" w:after="100" w:afterAutospacing="1" w:line="240" w:lineRule="auto"/>
      <w:jc w:val="center"/>
    </w:pPr>
    <w:rPr>
      <w:rFonts w:ascii="Calibri" w:eastAsia="Times New Roman" w:hAnsi="Calibri" w:cs="Calibri"/>
      <w:b/>
      <w:bCs/>
      <w:color w:val="000000"/>
      <w:sz w:val="24"/>
      <w:szCs w:val="24"/>
      <w:lang w:eastAsia="ru-RU"/>
    </w:rPr>
  </w:style>
  <w:style w:type="paragraph" w:customStyle="1" w:styleId="xl1582">
    <w:name w:val="xl1582"/>
    <w:basedOn w:val="a1"/>
    <w:uiPriority w:val="99"/>
    <w:qFormat/>
    <w:rsid w:val="00EE2B64"/>
    <w:pPr>
      <w:pBdr>
        <w:top w:val="single" w:sz="4" w:space="0" w:color="auto"/>
        <w:left w:val="single" w:sz="4" w:space="0" w:color="auto"/>
        <w:bottom w:val="single" w:sz="4" w:space="0" w:color="auto"/>
        <w:right w:val="single" w:sz="4" w:space="0" w:color="auto"/>
      </w:pBdr>
      <w:shd w:val="clear" w:color="auto" w:fill="C00000"/>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83">
    <w:name w:val="xl1583"/>
    <w:basedOn w:val="a1"/>
    <w:uiPriority w:val="99"/>
    <w:qFormat/>
    <w:rsid w:val="00EE2B64"/>
    <w:pPr>
      <w:pBdr>
        <w:top w:val="single" w:sz="4" w:space="0" w:color="auto"/>
        <w:left w:val="single" w:sz="4" w:space="0" w:color="auto"/>
        <w:bottom w:val="single" w:sz="4" w:space="0" w:color="auto"/>
        <w:right w:val="single" w:sz="4" w:space="0" w:color="auto"/>
      </w:pBdr>
      <w:shd w:val="clear" w:color="auto" w:fill="C00000"/>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84">
    <w:name w:val="xl1584"/>
    <w:basedOn w:val="a1"/>
    <w:uiPriority w:val="99"/>
    <w:qFormat/>
    <w:rsid w:val="00EE2B64"/>
    <w:pPr>
      <w:pBdr>
        <w:top w:val="single" w:sz="4" w:space="0" w:color="auto"/>
        <w:left w:val="single" w:sz="4" w:space="0" w:color="auto"/>
        <w:bottom w:val="single" w:sz="4" w:space="0" w:color="auto"/>
        <w:right w:val="single" w:sz="4" w:space="0" w:color="auto"/>
      </w:pBdr>
      <w:shd w:val="clear" w:color="auto" w:fill="C00000"/>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85">
    <w:name w:val="xl1585"/>
    <w:basedOn w:val="a1"/>
    <w:uiPriority w:val="99"/>
    <w:qFormat/>
    <w:rsid w:val="00EE2B64"/>
    <w:pPr>
      <w:pBdr>
        <w:top w:val="single" w:sz="4" w:space="0" w:color="auto"/>
        <w:left w:val="single" w:sz="4" w:space="0" w:color="auto"/>
        <w:bottom w:val="single" w:sz="4" w:space="0" w:color="auto"/>
        <w:right w:val="single" w:sz="4" w:space="0" w:color="auto"/>
      </w:pBdr>
      <w:shd w:val="clear" w:color="auto" w:fill="C00000"/>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586">
    <w:name w:val="xl1586"/>
    <w:basedOn w:val="a1"/>
    <w:uiPriority w:val="99"/>
    <w:qFormat/>
    <w:rsid w:val="00EE2B64"/>
    <w:pPr>
      <w:pBdr>
        <w:top w:val="single" w:sz="4" w:space="0" w:color="auto"/>
        <w:left w:val="single" w:sz="4" w:space="0" w:color="auto"/>
        <w:bottom w:val="single" w:sz="4" w:space="0" w:color="auto"/>
        <w:right w:val="single" w:sz="4" w:space="0" w:color="auto"/>
      </w:pBdr>
      <w:shd w:val="clear" w:color="auto" w:fill="C00000"/>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587">
    <w:name w:val="xl1587"/>
    <w:basedOn w:val="a1"/>
    <w:uiPriority w:val="99"/>
    <w:qFormat/>
    <w:rsid w:val="00EE2B64"/>
    <w:pPr>
      <w:pBdr>
        <w:top w:val="single" w:sz="4" w:space="0" w:color="auto"/>
        <w:left w:val="single" w:sz="4" w:space="0" w:color="auto"/>
        <w:bottom w:val="single" w:sz="4" w:space="0" w:color="auto"/>
        <w:right w:val="single" w:sz="4" w:space="0" w:color="auto"/>
      </w:pBdr>
      <w:shd w:val="clear" w:color="auto" w:fill="C00000"/>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588">
    <w:name w:val="xl1588"/>
    <w:basedOn w:val="a1"/>
    <w:uiPriority w:val="99"/>
    <w:qFormat/>
    <w:rsid w:val="00EE2B64"/>
    <w:pPr>
      <w:pBdr>
        <w:top w:val="single" w:sz="4" w:space="0" w:color="auto"/>
        <w:left w:val="single" w:sz="4" w:space="0" w:color="auto"/>
        <w:bottom w:val="single" w:sz="4" w:space="0" w:color="auto"/>
        <w:right w:val="single" w:sz="4" w:space="0" w:color="auto"/>
      </w:pBdr>
      <w:shd w:val="clear" w:color="auto" w:fill="C00000"/>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589">
    <w:name w:val="xl1589"/>
    <w:basedOn w:val="a1"/>
    <w:uiPriority w:val="99"/>
    <w:qFormat/>
    <w:rsid w:val="00EE2B64"/>
    <w:pPr>
      <w:pBdr>
        <w:top w:val="single" w:sz="4" w:space="0" w:color="auto"/>
        <w:left w:val="single" w:sz="4" w:space="0" w:color="auto"/>
        <w:bottom w:val="single" w:sz="4" w:space="0" w:color="auto"/>
        <w:right w:val="single" w:sz="4" w:space="0" w:color="auto"/>
      </w:pBdr>
      <w:shd w:val="clear" w:color="auto" w:fill="C00000"/>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90">
    <w:name w:val="xl1590"/>
    <w:basedOn w:val="a1"/>
    <w:uiPriority w:val="99"/>
    <w:qFormat/>
    <w:rsid w:val="00EE2B64"/>
    <w:pPr>
      <w:pBdr>
        <w:top w:val="single" w:sz="4" w:space="0" w:color="auto"/>
        <w:left w:val="single" w:sz="4" w:space="0" w:color="auto"/>
        <w:bottom w:val="single" w:sz="4" w:space="0" w:color="auto"/>
        <w:right w:val="single" w:sz="4" w:space="0" w:color="auto"/>
      </w:pBdr>
      <w:shd w:val="clear" w:color="auto" w:fill="C00000"/>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591">
    <w:name w:val="xl1591"/>
    <w:basedOn w:val="a1"/>
    <w:uiPriority w:val="99"/>
    <w:qFormat/>
    <w:rsid w:val="00EE2B64"/>
    <w:pPr>
      <w:pBdr>
        <w:top w:val="single" w:sz="4" w:space="0" w:color="auto"/>
        <w:left w:val="single" w:sz="4" w:space="0" w:color="auto"/>
        <w:bottom w:val="single" w:sz="4" w:space="0" w:color="auto"/>
        <w:right w:val="single" w:sz="4" w:space="0" w:color="auto"/>
      </w:pBdr>
      <w:shd w:val="clear" w:color="auto" w:fill="C00000"/>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592">
    <w:name w:val="xl1592"/>
    <w:basedOn w:val="a1"/>
    <w:uiPriority w:val="99"/>
    <w:qFormat/>
    <w:rsid w:val="00EE2B64"/>
    <w:pPr>
      <w:pBdr>
        <w:top w:val="single" w:sz="4" w:space="0" w:color="auto"/>
        <w:left w:val="single" w:sz="4" w:space="0" w:color="auto"/>
        <w:right w:val="single" w:sz="4" w:space="0" w:color="auto"/>
      </w:pBdr>
      <w:shd w:val="clear" w:color="auto" w:fill="C4BD97"/>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1593">
    <w:name w:val="xl1593"/>
    <w:basedOn w:val="a1"/>
    <w:uiPriority w:val="99"/>
    <w:qFormat/>
    <w:rsid w:val="00EE2B64"/>
    <w:pPr>
      <w:pBdr>
        <w:left w:val="single" w:sz="4" w:space="0" w:color="auto"/>
        <w:bottom w:val="single" w:sz="4" w:space="0" w:color="auto"/>
        <w:right w:val="single" w:sz="4" w:space="0" w:color="auto"/>
      </w:pBdr>
      <w:shd w:val="clear" w:color="auto" w:fill="C4BD97"/>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ceos-30">
    <w:name w:val="ceos-Подзаголовок 3"/>
    <w:basedOn w:val="ceos-0"/>
    <w:next w:val="ceos-0"/>
    <w:uiPriority w:val="99"/>
    <w:qFormat/>
    <w:rsid w:val="00EE2B64"/>
    <w:pPr>
      <w:keepNext/>
      <w:spacing w:before="240"/>
      <w:jc w:val="left"/>
    </w:pPr>
    <w:rPr>
      <w:i/>
    </w:rPr>
  </w:style>
  <w:style w:type="character" w:customStyle="1" w:styleId="afff1">
    <w:name w:val="Основной_текст Знак"/>
    <w:link w:val="afff2"/>
    <w:locked/>
    <w:rsid w:val="00EE2B64"/>
    <w:rPr>
      <w:rFonts w:ascii="Cambria" w:eastAsia="Calibri" w:hAnsi="Cambria" w:cs="Times New Roman"/>
      <w:spacing w:val="-6"/>
      <w:lang w:val="x-none"/>
    </w:rPr>
  </w:style>
  <w:style w:type="paragraph" w:customStyle="1" w:styleId="afff2">
    <w:name w:val="Основной_текст"/>
    <w:basedOn w:val="a1"/>
    <w:link w:val="afff1"/>
    <w:qFormat/>
    <w:rsid w:val="00EE2B64"/>
    <w:pPr>
      <w:spacing w:before="120" w:after="120" w:line="240" w:lineRule="auto"/>
      <w:jc w:val="both"/>
    </w:pPr>
    <w:rPr>
      <w:rFonts w:ascii="Cambria" w:eastAsia="Calibri" w:hAnsi="Cambria" w:cs="Times New Roman"/>
      <w:spacing w:val="-6"/>
      <w:lang w:val="x-none"/>
    </w:rPr>
  </w:style>
  <w:style w:type="paragraph" w:customStyle="1" w:styleId="ceos-4">
    <w:name w:val="ceos-Список маркированный"/>
    <w:basedOn w:val="ceos-0"/>
    <w:uiPriority w:val="99"/>
    <w:qFormat/>
    <w:rsid w:val="00EE2B64"/>
    <w:pPr>
      <w:tabs>
        <w:tab w:val="num" w:pos="680"/>
      </w:tabs>
      <w:spacing w:before="120" w:after="120"/>
      <w:ind w:left="680" w:hanging="396"/>
    </w:pPr>
    <w:rPr>
      <w:rFonts w:cs="Arial"/>
    </w:rPr>
  </w:style>
  <w:style w:type="paragraph" w:customStyle="1" w:styleId="-1">
    <w:name w:val="ГУИОН-Текст сноски"/>
    <w:uiPriority w:val="99"/>
    <w:qFormat/>
    <w:rsid w:val="00EE2B64"/>
    <w:pPr>
      <w:spacing w:after="0" w:line="240" w:lineRule="auto"/>
      <w:jc w:val="both"/>
    </w:pPr>
    <w:rPr>
      <w:rFonts w:ascii="Times New Roman" w:eastAsia="Calibri" w:hAnsi="Times New Roman" w:cs="Times New Roman"/>
      <w:sz w:val="16"/>
      <w:szCs w:val="20"/>
      <w:lang w:eastAsia="ru-RU"/>
    </w:rPr>
  </w:style>
  <w:style w:type="character" w:customStyle="1" w:styleId="43">
    <w:name w:val="4 Лесной план Знак"/>
    <w:link w:val="44"/>
    <w:locked/>
    <w:rsid w:val="00EE2B64"/>
    <w:rPr>
      <w:rFonts w:ascii="Times New Roman" w:eastAsia="Times New Roman" w:hAnsi="Times New Roman" w:cs="Times New Roman"/>
      <w:sz w:val="28"/>
      <w:szCs w:val="28"/>
      <w:lang w:val="x-none" w:eastAsia="x-none"/>
    </w:rPr>
  </w:style>
  <w:style w:type="paragraph" w:customStyle="1" w:styleId="44">
    <w:name w:val="4 Лесной план"/>
    <w:basedOn w:val="a1"/>
    <w:link w:val="43"/>
    <w:qFormat/>
    <w:rsid w:val="00EE2B64"/>
    <w:pPr>
      <w:spacing w:after="0" w:line="276" w:lineRule="auto"/>
      <w:ind w:firstLine="709"/>
      <w:jc w:val="both"/>
    </w:pPr>
    <w:rPr>
      <w:rFonts w:ascii="Times New Roman" w:eastAsia="Times New Roman" w:hAnsi="Times New Roman" w:cs="Times New Roman"/>
      <w:sz w:val="28"/>
      <w:szCs w:val="28"/>
      <w:lang w:val="x-none" w:eastAsia="x-none"/>
    </w:rPr>
  </w:style>
  <w:style w:type="character" w:customStyle="1" w:styleId="afff3">
    <w:name w:val="Список с точками Знак"/>
    <w:basedOn w:val="a2"/>
    <w:link w:val="a0"/>
    <w:locked/>
    <w:rsid w:val="00EE2B64"/>
    <w:rPr>
      <w:rFonts w:ascii="Times New Roman" w:eastAsia="Times New Roman" w:hAnsi="Times New Roman" w:cs="Times New Roman"/>
      <w:szCs w:val="24"/>
      <w:lang w:eastAsia="ru-RU"/>
    </w:rPr>
  </w:style>
  <w:style w:type="paragraph" w:customStyle="1" w:styleId="a0">
    <w:name w:val="Список с точками"/>
    <w:basedOn w:val="a1"/>
    <w:next w:val="a1"/>
    <w:link w:val="afff3"/>
    <w:qFormat/>
    <w:rsid w:val="00EE2B64"/>
    <w:pPr>
      <w:numPr>
        <w:numId w:val="20"/>
      </w:numPr>
      <w:spacing w:before="60" w:after="0" w:line="240" w:lineRule="auto"/>
      <w:jc w:val="both"/>
    </w:pPr>
    <w:rPr>
      <w:rFonts w:ascii="Times New Roman" w:eastAsia="Times New Roman" w:hAnsi="Times New Roman" w:cs="Times New Roman"/>
      <w:szCs w:val="24"/>
      <w:lang w:eastAsia="ru-RU"/>
    </w:rPr>
  </w:style>
  <w:style w:type="character" w:customStyle="1" w:styleId="2d">
    <w:name w:val="Основной текст (2)_"/>
    <w:basedOn w:val="a2"/>
    <w:link w:val="2e"/>
    <w:locked/>
    <w:rsid w:val="00EE2B64"/>
    <w:rPr>
      <w:rFonts w:ascii="Times New Roman" w:eastAsia="Times New Roman" w:hAnsi="Times New Roman" w:cs="Times New Roman"/>
      <w:sz w:val="16"/>
      <w:szCs w:val="16"/>
      <w:shd w:val="clear" w:color="auto" w:fill="FFFFFF"/>
    </w:rPr>
  </w:style>
  <w:style w:type="paragraph" w:customStyle="1" w:styleId="2e">
    <w:name w:val="Основной текст (2)"/>
    <w:basedOn w:val="a1"/>
    <w:link w:val="2d"/>
    <w:qFormat/>
    <w:rsid w:val="00EE2B64"/>
    <w:pPr>
      <w:widowControl w:val="0"/>
      <w:shd w:val="clear" w:color="auto" w:fill="FFFFFF"/>
      <w:spacing w:after="60" w:line="240" w:lineRule="auto"/>
      <w:ind w:left="460"/>
      <w:jc w:val="center"/>
    </w:pPr>
    <w:rPr>
      <w:rFonts w:ascii="Times New Roman" w:eastAsia="Times New Roman" w:hAnsi="Times New Roman" w:cs="Times New Roman"/>
      <w:sz w:val="16"/>
      <w:szCs w:val="16"/>
    </w:rPr>
  </w:style>
  <w:style w:type="character" w:customStyle="1" w:styleId="54">
    <w:name w:val="Основной текст (5)_"/>
    <w:basedOn w:val="a2"/>
    <w:link w:val="55"/>
    <w:locked/>
    <w:rsid w:val="00EE2B64"/>
    <w:rPr>
      <w:rFonts w:ascii="Times New Roman" w:eastAsia="Times New Roman" w:hAnsi="Times New Roman" w:cs="Times New Roman"/>
      <w:shd w:val="clear" w:color="auto" w:fill="FFFFFF"/>
    </w:rPr>
  </w:style>
  <w:style w:type="paragraph" w:customStyle="1" w:styleId="55">
    <w:name w:val="Основной текст (5)"/>
    <w:basedOn w:val="a1"/>
    <w:link w:val="54"/>
    <w:qFormat/>
    <w:rsid w:val="00EE2B64"/>
    <w:pPr>
      <w:widowControl w:val="0"/>
      <w:shd w:val="clear" w:color="auto" w:fill="FFFFFF"/>
      <w:spacing w:after="1140" w:line="232" w:lineRule="auto"/>
      <w:jc w:val="center"/>
    </w:pPr>
    <w:rPr>
      <w:rFonts w:ascii="Times New Roman" w:eastAsia="Times New Roman" w:hAnsi="Times New Roman" w:cs="Times New Roman"/>
    </w:rPr>
  </w:style>
  <w:style w:type="character" w:customStyle="1" w:styleId="94">
    <w:name w:val="Основной текст (9)_"/>
    <w:basedOn w:val="a2"/>
    <w:link w:val="95"/>
    <w:locked/>
    <w:rsid w:val="00EE2B64"/>
    <w:rPr>
      <w:rFonts w:ascii="Georgia" w:eastAsia="Georgia" w:hAnsi="Georgia" w:cs="Georgia"/>
      <w:sz w:val="18"/>
      <w:szCs w:val="18"/>
      <w:shd w:val="clear" w:color="auto" w:fill="FFFFFF"/>
    </w:rPr>
  </w:style>
  <w:style w:type="paragraph" w:customStyle="1" w:styleId="95">
    <w:name w:val="Основной текст (9)"/>
    <w:basedOn w:val="a1"/>
    <w:link w:val="94"/>
    <w:qFormat/>
    <w:rsid w:val="00EE2B64"/>
    <w:pPr>
      <w:widowControl w:val="0"/>
      <w:shd w:val="clear" w:color="auto" w:fill="FFFFFF"/>
      <w:spacing w:after="0" w:line="285" w:lineRule="auto"/>
      <w:ind w:firstLine="500"/>
      <w:jc w:val="both"/>
    </w:pPr>
    <w:rPr>
      <w:rFonts w:ascii="Georgia" w:eastAsia="Georgia" w:hAnsi="Georgia" w:cs="Georgia"/>
      <w:sz w:val="18"/>
      <w:szCs w:val="18"/>
    </w:rPr>
  </w:style>
  <w:style w:type="paragraph" w:customStyle="1" w:styleId="1-2">
    <w:name w:val="Подзаголовок 1-го уровня"/>
    <w:basedOn w:val="a1"/>
    <w:uiPriority w:val="99"/>
    <w:qFormat/>
    <w:rsid w:val="00EE2B64"/>
    <w:pPr>
      <w:widowControl w:val="0"/>
      <w:spacing w:after="0" w:line="240" w:lineRule="auto"/>
      <w:ind w:firstLine="709"/>
      <w:jc w:val="both"/>
    </w:pPr>
    <w:rPr>
      <w:rFonts w:ascii="Times New Roman" w:eastAsia="Times New Roman" w:hAnsi="Times New Roman" w:cs="Times New Roman"/>
      <w:b/>
      <w:color w:val="000000" w:themeColor="text1"/>
      <w:sz w:val="24"/>
      <w:szCs w:val="24"/>
      <w:lang w:eastAsia="ru-RU"/>
    </w:rPr>
  </w:style>
  <w:style w:type="character" w:customStyle="1" w:styleId="afff4">
    <w:name w:val="Другое_"/>
    <w:basedOn w:val="a2"/>
    <w:link w:val="afff5"/>
    <w:locked/>
    <w:rsid w:val="00EE2B64"/>
    <w:rPr>
      <w:rFonts w:ascii="Times New Roman" w:eastAsia="Times New Roman" w:hAnsi="Times New Roman" w:cs="Times New Roman"/>
      <w:sz w:val="26"/>
      <w:szCs w:val="26"/>
      <w:shd w:val="clear" w:color="auto" w:fill="FFFFFF"/>
    </w:rPr>
  </w:style>
  <w:style w:type="paragraph" w:customStyle="1" w:styleId="afff5">
    <w:name w:val="Другое"/>
    <w:basedOn w:val="a1"/>
    <w:link w:val="afff4"/>
    <w:qFormat/>
    <w:rsid w:val="00EE2B64"/>
    <w:pPr>
      <w:widowControl w:val="0"/>
      <w:shd w:val="clear" w:color="auto" w:fill="FFFFFF"/>
      <w:spacing w:after="0" w:line="240" w:lineRule="auto"/>
    </w:pPr>
    <w:rPr>
      <w:rFonts w:ascii="Times New Roman" w:eastAsia="Times New Roman" w:hAnsi="Times New Roman" w:cs="Times New Roman"/>
      <w:sz w:val="26"/>
      <w:szCs w:val="26"/>
    </w:rPr>
  </w:style>
  <w:style w:type="paragraph" w:customStyle="1" w:styleId="font5">
    <w:name w:val="font5"/>
    <w:basedOn w:val="a1"/>
    <w:uiPriority w:val="99"/>
    <w:qFormat/>
    <w:rsid w:val="00EE2B64"/>
    <w:pPr>
      <w:spacing w:before="100" w:beforeAutospacing="1" w:after="100" w:afterAutospacing="1" w:line="240" w:lineRule="auto"/>
    </w:pPr>
    <w:rPr>
      <w:rFonts w:ascii="Palatino Linotype" w:eastAsia="Times New Roman" w:hAnsi="Palatino Linotype" w:cs="Times New Roman"/>
      <w:color w:val="000000"/>
      <w:lang w:eastAsia="ru-RU"/>
    </w:rPr>
  </w:style>
  <w:style w:type="paragraph" w:customStyle="1" w:styleId="xl76">
    <w:name w:val="xl76"/>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Palatino Linotype" w:eastAsia="Times New Roman" w:hAnsi="Palatino Linotype" w:cs="Times New Roman"/>
      <w:b/>
      <w:bCs/>
      <w:sz w:val="20"/>
      <w:szCs w:val="20"/>
      <w:lang w:eastAsia="ru-RU"/>
    </w:rPr>
  </w:style>
  <w:style w:type="paragraph" w:customStyle="1" w:styleId="xl77">
    <w:name w:val="xl77"/>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78">
    <w:name w:val="xl78"/>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79">
    <w:name w:val="xl79"/>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80">
    <w:name w:val="xl80"/>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Palatino Linotype" w:eastAsia="Times New Roman" w:hAnsi="Palatino Linotype" w:cs="Times New Roman"/>
      <w:sz w:val="20"/>
      <w:szCs w:val="20"/>
      <w:lang w:eastAsia="ru-RU"/>
    </w:rPr>
  </w:style>
  <w:style w:type="paragraph" w:customStyle="1" w:styleId="xl81">
    <w:name w:val="xl81"/>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82">
    <w:name w:val="xl82"/>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83">
    <w:name w:val="xl83"/>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84">
    <w:name w:val="xl84"/>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85">
    <w:name w:val="xl85"/>
    <w:basedOn w:val="a1"/>
    <w:uiPriority w:val="99"/>
    <w:qFormat/>
    <w:rsid w:val="00EE2B64"/>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Palatino Linotype" w:eastAsia="Times New Roman" w:hAnsi="Palatino Linotype" w:cs="Times New Roman"/>
      <w:b/>
      <w:bCs/>
      <w:sz w:val="20"/>
      <w:szCs w:val="20"/>
      <w:lang w:eastAsia="ru-RU"/>
    </w:rPr>
  </w:style>
  <w:style w:type="paragraph" w:customStyle="1" w:styleId="xl86">
    <w:name w:val="xl86"/>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Palatino Linotype" w:eastAsia="Times New Roman" w:hAnsi="Palatino Linotype" w:cs="Times New Roman"/>
      <w:sz w:val="20"/>
      <w:szCs w:val="20"/>
      <w:lang w:eastAsia="ru-RU"/>
    </w:rPr>
  </w:style>
  <w:style w:type="paragraph" w:customStyle="1" w:styleId="xl87">
    <w:name w:val="xl87"/>
    <w:basedOn w:val="a1"/>
    <w:uiPriority w:val="99"/>
    <w:qFormat/>
    <w:rsid w:val="00EE2B64"/>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88">
    <w:name w:val="xl88"/>
    <w:basedOn w:val="a1"/>
    <w:uiPriority w:val="99"/>
    <w:qFormat/>
    <w:rsid w:val="00EE2B6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89">
    <w:name w:val="xl89"/>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90">
    <w:name w:val="xl90"/>
    <w:basedOn w:val="a1"/>
    <w:uiPriority w:val="99"/>
    <w:qFormat/>
    <w:rsid w:val="00EE2B6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91">
    <w:name w:val="xl91"/>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92">
    <w:name w:val="xl92"/>
    <w:basedOn w:val="a1"/>
    <w:uiPriority w:val="99"/>
    <w:qFormat/>
    <w:rsid w:val="00EE2B64"/>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Palatino Linotype" w:eastAsia="Times New Roman" w:hAnsi="Palatino Linotype" w:cs="Times New Roman"/>
      <w:b/>
      <w:bCs/>
      <w:sz w:val="20"/>
      <w:szCs w:val="20"/>
      <w:lang w:eastAsia="ru-RU"/>
    </w:rPr>
  </w:style>
  <w:style w:type="paragraph" w:customStyle="1" w:styleId="xl93">
    <w:name w:val="xl93"/>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4">
    <w:name w:val="xl94"/>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95">
    <w:name w:val="xl95"/>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96">
    <w:name w:val="xl96"/>
    <w:basedOn w:val="a1"/>
    <w:uiPriority w:val="99"/>
    <w:qFormat/>
    <w:rsid w:val="00EE2B6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Palatino Linotype" w:eastAsia="Times New Roman" w:hAnsi="Palatino Linotype" w:cs="Times New Roman"/>
      <w:i/>
      <w:iCs/>
      <w:sz w:val="20"/>
      <w:szCs w:val="20"/>
      <w:lang w:eastAsia="ru-RU"/>
    </w:rPr>
  </w:style>
  <w:style w:type="paragraph" w:customStyle="1" w:styleId="xl97">
    <w:name w:val="xl97"/>
    <w:basedOn w:val="a1"/>
    <w:uiPriority w:val="99"/>
    <w:qFormat/>
    <w:rsid w:val="00EE2B6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98">
    <w:name w:val="xl98"/>
    <w:basedOn w:val="a1"/>
    <w:uiPriority w:val="99"/>
    <w:qFormat/>
    <w:rsid w:val="00EE2B6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Palatino Linotype" w:eastAsia="Times New Roman" w:hAnsi="Palatino Linotype" w:cs="Times New Roman"/>
      <w:b/>
      <w:bCs/>
      <w:sz w:val="20"/>
      <w:szCs w:val="20"/>
      <w:lang w:eastAsia="ru-RU"/>
    </w:rPr>
  </w:style>
  <w:style w:type="paragraph" w:customStyle="1" w:styleId="xl99">
    <w:name w:val="xl99"/>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Palatino Linotype" w:eastAsia="Times New Roman" w:hAnsi="Palatino Linotype" w:cs="Times New Roman"/>
      <w:b/>
      <w:bCs/>
      <w:sz w:val="20"/>
      <w:szCs w:val="20"/>
      <w:lang w:eastAsia="ru-RU"/>
    </w:rPr>
  </w:style>
  <w:style w:type="paragraph" w:customStyle="1" w:styleId="xl100">
    <w:name w:val="xl100"/>
    <w:basedOn w:val="a1"/>
    <w:uiPriority w:val="99"/>
    <w:qFormat/>
    <w:rsid w:val="00EE2B64"/>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01">
    <w:name w:val="xl101"/>
    <w:basedOn w:val="a1"/>
    <w:uiPriority w:val="99"/>
    <w:qFormat/>
    <w:rsid w:val="00EE2B64"/>
    <w:pPr>
      <w:pBdr>
        <w:top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02">
    <w:name w:val="xl102"/>
    <w:basedOn w:val="a1"/>
    <w:uiPriority w:val="99"/>
    <w:qFormat/>
    <w:rsid w:val="00EE2B64"/>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Palatino Linotype" w:eastAsia="Times New Roman" w:hAnsi="Palatino Linotype" w:cs="Times New Roman"/>
      <w:b/>
      <w:bCs/>
      <w:sz w:val="20"/>
      <w:szCs w:val="20"/>
      <w:lang w:eastAsia="ru-RU"/>
    </w:rPr>
  </w:style>
  <w:style w:type="paragraph" w:customStyle="1" w:styleId="xl103">
    <w:name w:val="xl103"/>
    <w:basedOn w:val="a1"/>
    <w:uiPriority w:val="99"/>
    <w:qFormat/>
    <w:rsid w:val="00EE2B6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104">
    <w:name w:val="xl104"/>
    <w:basedOn w:val="a1"/>
    <w:uiPriority w:val="99"/>
    <w:qFormat/>
    <w:rsid w:val="00EE2B6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05">
    <w:name w:val="xl105"/>
    <w:basedOn w:val="a1"/>
    <w:uiPriority w:val="99"/>
    <w:qFormat/>
    <w:rsid w:val="00EE2B6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06">
    <w:name w:val="xl106"/>
    <w:basedOn w:val="a1"/>
    <w:uiPriority w:val="99"/>
    <w:qFormat/>
    <w:rsid w:val="00EE2B6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07">
    <w:name w:val="xl107"/>
    <w:basedOn w:val="a1"/>
    <w:uiPriority w:val="99"/>
    <w:qFormat/>
    <w:rsid w:val="00EE2B6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08">
    <w:name w:val="xl108"/>
    <w:basedOn w:val="a1"/>
    <w:uiPriority w:val="99"/>
    <w:qFormat/>
    <w:rsid w:val="00EE2B64"/>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Palatino Linotype" w:eastAsia="Times New Roman" w:hAnsi="Palatino Linotype" w:cs="Times New Roman"/>
      <w:sz w:val="20"/>
      <w:szCs w:val="20"/>
      <w:lang w:eastAsia="ru-RU"/>
    </w:rPr>
  </w:style>
  <w:style w:type="paragraph" w:customStyle="1" w:styleId="xl109">
    <w:name w:val="xl109"/>
    <w:basedOn w:val="a1"/>
    <w:uiPriority w:val="99"/>
    <w:qFormat/>
    <w:rsid w:val="00EE2B6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10">
    <w:name w:val="xl110"/>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Palatino Linotype" w:eastAsia="Times New Roman" w:hAnsi="Palatino Linotype" w:cs="Times New Roman"/>
      <w:b/>
      <w:bCs/>
      <w:sz w:val="20"/>
      <w:szCs w:val="20"/>
      <w:lang w:eastAsia="ru-RU"/>
    </w:rPr>
  </w:style>
  <w:style w:type="paragraph" w:customStyle="1" w:styleId="xl111">
    <w:name w:val="xl111"/>
    <w:basedOn w:val="a1"/>
    <w:uiPriority w:val="99"/>
    <w:qFormat/>
    <w:rsid w:val="00EE2B6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Palatino Linotype" w:eastAsia="Times New Roman" w:hAnsi="Palatino Linotype" w:cs="Times New Roman"/>
      <w:b/>
      <w:bCs/>
      <w:sz w:val="20"/>
      <w:szCs w:val="20"/>
      <w:lang w:eastAsia="ru-RU"/>
    </w:rPr>
  </w:style>
  <w:style w:type="paragraph" w:customStyle="1" w:styleId="xl112">
    <w:name w:val="xl112"/>
    <w:basedOn w:val="a1"/>
    <w:uiPriority w:val="99"/>
    <w:qFormat/>
    <w:rsid w:val="00EE2B64"/>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Palatino Linotype" w:eastAsia="Times New Roman" w:hAnsi="Palatino Linotype" w:cs="Times New Roman"/>
      <w:b/>
      <w:bCs/>
      <w:sz w:val="20"/>
      <w:szCs w:val="20"/>
      <w:lang w:eastAsia="ru-RU"/>
    </w:rPr>
  </w:style>
  <w:style w:type="paragraph" w:customStyle="1" w:styleId="xl113">
    <w:name w:val="xl113"/>
    <w:basedOn w:val="a1"/>
    <w:uiPriority w:val="99"/>
    <w:qFormat/>
    <w:rsid w:val="00EE2B64"/>
    <w:pPr>
      <w:pBdr>
        <w:top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14">
    <w:name w:val="xl114"/>
    <w:basedOn w:val="a1"/>
    <w:uiPriority w:val="99"/>
    <w:qFormat/>
    <w:rsid w:val="00EE2B64"/>
    <w:pPr>
      <w:pBdr>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115">
    <w:name w:val="xl115"/>
    <w:basedOn w:val="a1"/>
    <w:uiPriority w:val="99"/>
    <w:qFormat/>
    <w:rsid w:val="00EE2B64"/>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Palatino Linotype" w:eastAsia="Times New Roman" w:hAnsi="Palatino Linotype" w:cs="Times New Roman"/>
      <w:b/>
      <w:bCs/>
      <w:sz w:val="20"/>
      <w:szCs w:val="20"/>
      <w:lang w:eastAsia="ru-RU"/>
    </w:rPr>
  </w:style>
  <w:style w:type="paragraph" w:customStyle="1" w:styleId="xl116">
    <w:name w:val="xl116"/>
    <w:basedOn w:val="a1"/>
    <w:uiPriority w:val="99"/>
    <w:qFormat/>
    <w:rsid w:val="00EE2B6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117">
    <w:name w:val="xl117"/>
    <w:basedOn w:val="a1"/>
    <w:uiPriority w:val="99"/>
    <w:qFormat/>
    <w:rsid w:val="00EE2B64"/>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Palatino Linotype" w:eastAsia="Times New Roman" w:hAnsi="Palatino Linotype" w:cs="Times New Roman"/>
      <w:b/>
      <w:bCs/>
      <w:sz w:val="20"/>
      <w:szCs w:val="20"/>
      <w:lang w:eastAsia="ru-RU"/>
    </w:rPr>
  </w:style>
  <w:style w:type="paragraph" w:customStyle="1" w:styleId="xl118">
    <w:name w:val="xl118"/>
    <w:basedOn w:val="a1"/>
    <w:uiPriority w:val="99"/>
    <w:qFormat/>
    <w:rsid w:val="00EE2B64"/>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Palatino Linotype" w:eastAsia="Times New Roman" w:hAnsi="Palatino Linotype" w:cs="Times New Roman"/>
      <w:sz w:val="20"/>
      <w:szCs w:val="20"/>
      <w:lang w:eastAsia="ru-RU"/>
    </w:rPr>
  </w:style>
  <w:style w:type="paragraph" w:customStyle="1" w:styleId="xl119">
    <w:name w:val="xl119"/>
    <w:basedOn w:val="a1"/>
    <w:uiPriority w:val="99"/>
    <w:qFormat/>
    <w:rsid w:val="00EE2B6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20">
    <w:name w:val="xl120"/>
    <w:basedOn w:val="a1"/>
    <w:uiPriority w:val="99"/>
    <w:qFormat/>
    <w:rsid w:val="00EE2B6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21">
    <w:name w:val="xl121"/>
    <w:basedOn w:val="a1"/>
    <w:uiPriority w:val="99"/>
    <w:qFormat/>
    <w:rsid w:val="00EE2B64"/>
    <w:pPr>
      <w:pBdr>
        <w:top w:val="single" w:sz="4" w:space="0" w:color="auto"/>
        <w:left w:val="single" w:sz="4" w:space="0" w:color="auto"/>
        <w:bottom w:val="single" w:sz="8" w:space="0" w:color="auto"/>
        <w:right w:val="single" w:sz="4" w:space="0" w:color="auto"/>
      </w:pBdr>
      <w:shd w:val="clear" w:color="auto" w:fill="FFC000"/>
      <w:spacing w:before="100" w:beforeAutospacing="1" w:after="100" w:afterAutospacing="1" w:line="240" w:lineRule="auto"/>
    </w:pPr>
    <w:rPr>
      <w:rFonts w:ascii="Palatino Linotype" w:eastAsia="Times New Roman" w:hAnsi="Palatino Linotype" w:cs="Times New Roman"/>
      <w:i/>
      <w:iCs/>
      <w:sz w:val="20"/>
      <w:szCs w:val="20"/>
      <w:lang w:eastAsia="ru-RU"/>
    </w:rPr>
  </w:style>
  <w:style w:type="paragraph" w:customStyle="1" w:styleId="xl122">
    <w:name w:val="xl122"/>
    <w:basedOn w:val="a1"/>
    <w:uiPriority w:val="99"/>
    <w:qFormat/>
    <w:rsid w:val="00EE2B64"/>
    <w:pPr>
      <w:pBdr>
        <w:top w:val="single" w:sz="4" w:space="0" w:color="auto"/>
        <w:left w:val="single" w:sz="4" w:space="0" w:color="auto"/>
        <w:bottom w:val="single" w:sz="8" w:space="0" w:color="auto"/>
        <w:right w:val="single" w:sz="4" w:space="0" w:color="auto"/>
      </w:pBdr>
      <w:shd w:val="clear" w:color="auto" w:fill="FFC000"/>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23">
    <w:name w:val="xl123"/>
    <w:basedOn w:val="a1"/>
    <w:uiPriority w:val="99"/>
    <w:qFormat/>
    <w:rsid w:val="00EE2B64"/>
    <w:pPr>
      <w:shd w:val="clear" w:color="auto"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uiPriority w:val="99"/>
    <w:qFormat/>
    <w:rsid w:val="00EE2B64"/>
    <w:pPr>
      <w:pBdr>
        <w:left w:val="single" w:sz="4" w:space="0" w:color="auto"/>
        <w:bottom w:val="single" w:sz="4" w:space="0" w:color="auto"/>
        <w:right w:val="single" w:sz="4" w:space="0" w:color="auto"/>
      </w:pBdr>
      <w:spacing w:before="100" w:beforeAutospacing="1" w:after="100" w:afterAutospacing="1" w:line="240" w:lineRule="auto"/>
    </w:pPr>
    <w:rPr>
      <w:rFonts w:ascii="Palatino Linotype" w:eastAsia="Times New Roman" w:hAnsi="Palatino Linotype" w:cs="Times New Roman"/>
      <w:b/>
      <w:bCs/>
      <w:sz w:val="20"/>
      <w:szCs w:val="20"/>
      <w:lang w:eastAsia="ru-RU"/>
    </w:rPr>
  </w:style>
  <w:style w:type="paragraph" w:customStyle="1" w:styleId="xl125">
    <w:name w:val="xl125"/>
    <w:basedOn w:val="a1"/>
    <w:uiPriority w:val="99"/>
    <w:qFormat/>
    <w:rsid w:val="00EE2B64"/>
    <w:pPr>
      <w:pBdr>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126">
    <w:name w:val="xl126"/>
    <w:basedOn w:val="a1"/>
    <w:uiPriority w:val="99"/>
    <w:qFormat/>
    <w:rsid w:val="00EE2B64"/>
    <w:pPr>
      <w:pBdr>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Palatino Linotype" w:eastAsia="Times New Roman" w:hAnsi="Palatino Linotype" w:cs="Times New Roman"/>
      <w:b/>
      <w:bCs/>
      <w:sz w:val="20"/>
      <w:szCs w:val="20"/>
      <w:lang w:eastAsia="ru-RU"/>
    </w:rPr>
  </w:style>
  <w:style w:type="paragraph" w:customStyle="1" w:styleId="xl127">
    <w:name w:val="xl127"/>
    <w:basedOn w:val="a1"/>
    <w:uiPriority w:val="99"/>
    <w:qFormat/>
    <w:rsid w:val="00EE2B64"/>
    <w:pPr>
      <w:pBdr>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128">
    <w:name w:val="xl128"/>
    <w:basedOn w:val="a1"/>
    <w:uiPriority w:val="99"/>
    <w:qFormat/>
    <w:rsid w:val="00EE2B6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30">
    <w:name w:val="xl130"/>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31">
    <w:name w:val="xl131"/>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32">
    <w:name w:val="xl132"/>
    <w:basedOn w:val="a1"/>
    <w:uiPriority w:val="99"/>
    <w:qFormat/>
    <w:rsid w:val="00EE2B64"/>
    <w:pPr>
      <w:pBdr>
        <w:top w:val="single" w:sz="4" w:space="0" w:color="auto"/>
        <w:left w:val="single" w:sz="4" w:space="0" w:color="auto"/>
        <w:bottom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33">
    <w:name w:val="xl133"/>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134">
    <w:name w:val="xl134"/>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135">
    <w:name w:val="xl135"/>
    <w:basedOn w:val="a1"/>
    <w:uiPriority w:val="99"/>
    <w:qFormat/>
    <w:rsid w:val="00EE2B64"/>
    <w:pPr>
      <w:pBdr>
        <w:top w:val="single" w:sz="4" w:space="0" w:color="auto"/>
        <w:left w:val="single" w:sz="4" w:space="0" w:color="auto"/>
        <w:bottom w:val="single" w:sz="4" w:space="0" w:color="auto"/>
      </w:pBdr>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136">
    <w:name w:val="xl136"/>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137">
    <w:name w:val="xl137"/>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138">
    <w:name w:val="xl138"/>
    <w:basedOn w:val="a1"/>
    <w:uiPriority w:val="99"/>
    <w:qFormat/>
    <w:rsid w:val="00EE2B64"/>
    <w:pPr>
      <w:pBdr>
        <w:top w:val="single" w:sz="4" w:space="0" w:color="auto"/>
        <w:left w:val="single" w:sz="4" w:space="0" w:color="auto"/>
        <w:bottom w:val="single" w:sz="4" w:space="0" w:color="auto"/>
      </w:pBdr>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139">
    <w:name w:val="xl139"/>
    <w:basedOn w:val="a1"/>
    <w:uiPriority w:val="99"/>
    <w:qFormat/>
    <w:rsid w:val="00EE2B6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40">
    <w:name w:val="xl140"/>
    <w:basedOn w:val="a1"/>
    <w:uiPriority w:val="99"/>
    <w:qFormat/>
    <w:rsid w:val="00EE2B6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41">
    <w:name w:val="xl141"/>
    <w:basedOn w:val="a1"/>
    <w:uiPriority w:val="99"/>
    <w:qFormat/>
    <w:rsid w:val="00EE2B64"/>
    <w:pPr>
      <w:pBdr>
        <w:top w:val="single" w:sz="4" w:space="0" w:color="auto"/>
        <w:left w:val="single" w:sz="4" w:space="0" w:color="auto"/>
        <w:bottom w:val="single" w:sz="8"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42">
    <w:name w:val="xl142"/>
    <w:basedOn w:val="a1"/>
    <w:uiPriority w:val="99"/>
    <w:qFormat/>
    <w:rsid w:val="00EE2B64"/>
    <w:pPr>
      <w:pBdr>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43">
    <w:name w:val="xl143"/>
    <w:basedOn w:val="a1"/>
    <w:uiPriority w:val="99"/>
    <w:qFormat/>
    <w:rsid w:val="00EE2B64"/>
    <w:pPr>
      <w:pBdr>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44">
    <w:name w:val="xl144"/>
    <w:basedOn w:val="a1"/>
    <w:uiPriority w:val="99"/>
    <w:qFormat/>
    <w:rsid w:val="00EE2B64"/>
    <w:pPr>
      <w:pBdr>
        <w:left w:val="single" w:sz="4" w:space="0" w:color="auto"/>
        <w:bottom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45">
    <w:name w:val="xl145"/>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46">
    <w:name w:val="xl146"/>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47">
    <w:name w:val="xl147"/>
    <w:basedOn w:val="a1"/>
    <w:uiPriority w:val="99"/>
    <w:qFormat/>
    <w:rsid w:val="00EE2B64"/>
    <w:pPr>
      <w:pBdr>
        <w:top w:val="single" w:sz="4" w:space="0" w:color="auto"/>
        <w:left w:val="single" w:sz="4" w:space="0" w:color="auto"/>
        <w:bottom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48">
    <w:name w:val="xl148"/>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49">
    <w:name w:val="xl149"/>
    <w:basedOn w:val="a1"/>
    <w:uiPriority w:val="99"/>
    <w:qFormat/>
    <w:rsid w:val="00EE2B64"/>
    <w:pPr>
      <w:pBdr>
        <w:top w:val="single" w:sz="4" w:space="0" w:color="auto"/>
        <w:left w:val="single" w:sz="4" w:space="0" w:color="auto"/>
        <w:bottom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50">
    <w:name w:val="xl150"/>
    <w:basedOn w:val="a1"/>
    <w:uiPriority w:val="99"/>
    <w:qFormat/>
    <w:rsid w:val="00EE2B64"/>
    <w:pPr>
      <w:pBdr>
        <w:left w:val="single" w:sz="4" w:space="0" w:color="auto"/>
        <w:bottom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51">
    <w:name w:val="xl151"/>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52">
    <w:name w:val="xl152"/>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53">
    <w:name w:val="xl153"/>
    <w:basedOn w:val="a1"/>
    <w:uiPriority w:val="99"/>
    <w:qFormat/>
    <w:rsid w:val="00EE2B64"/>
    <w:pPr>
      <w:pBdr>
        <w:top w:val="single" w:sz="4" w:space="0" w:color="auto"/>
        <w:left w:val="single" w:sz="4" w:space="0" w:color="auto"/>
        <w:bottom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54">
    <w:name w:val="xl154"/>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55">
    <w:name w:val="xl155"/>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56">
    <w:name w:val="xl156"/>
    <w:basedOn w:val="a1"/>
    <w:uiPriority w:val="99"/>
    <w:qFormat/>
    <w:rsid w:val="00EE2B64"/>
    <w:pPr>
      <w:pBdr>
        <w:top w:val="single" w:sz="4" w:space="0" w:color="auto"/>
        <w:left w:val="single" w:sz="4" w:space="0" w:color="auto"/>
        <w:bottom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57">
    <w:name w:val="xl157"/>
    <w:basedOn w:val="a1"/>
    <w:uiPriority w:val="99"/>
    <w:qFormat/>
    <w:rsid w:val="00EE2B64"/>
    <w:pPr>
      <w:pBdr>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b/>
      <w:bCs/>
      <w:sz w:val="24"/>
      <w:szCs w:val="24"/>
      <w:lang w:eastAsia="ru-RU"/>
    </w:rPr>
  </w:style>
  <w:style w:type="paragraph" w:customStyle="1" w:styleId="xl158">
    <w:name w:val="xl158"/>
    <w:basedOn w:val="a1"/>
    <w:uiPriority w:val="99"/>
    <w:qFormat/>
    <w:rsid w:val="00EE2B64"/>
    <w:pPr>
      <w:pBdr>
        <w:left w:val="single" w:sz="4" w:space="0" w:color="auto"/>
        <w:bottom w:val="single" w:sz="4" w:space="0" w:color="auto"/>
      </w:pBdr>
      <w:spacing w:before="100" w:beforeAutospacing="1" w:after="100" w:afterAutospacing="1" w:line="240" w:lineRule="auto"/>
      <w:jc w:val="center"/>
    </w:pPr>
    <w:rPr>
      <w:rFonts w:ascii="Palatino Linotype" w:eastAsia="Times New Roman" w:hAnsi="Palatino Linotype" w:cs="Times New Roman"/>
      <w:b/>
      <w:bCs/>
      <w:sz w:val="24"/>
      <w:szCs w:val="24"/>
      <w:lang w:eastAsia="ru-RU"/>
    </w:rPr>
  </w:style>
  <w:style w:type="paragraph" w:customStyle="1" w:styleId="xl159">
    <w:name w:val="xl159"/>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60">
    <w:name w:val="xl160"/>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61">
    <w:name w:val="xl161"/>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b/>
      <w:bCs/>
      <w:sz w:val="24"/>
      <w:szCs w:val="24"/>
      <w:lang w:eastAsia="ru-RU"/>
    </w:rPr>
  </w:style>
  <w:style w:type="paragraph" w:customStyle="1" w:styleId="xl162">
    <w:name w:val="xl162"/>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63">
    <w:name w:val="xl163"/>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64">
    <w:name w:val="xl164"/>
    <w:basedOn w:val="a1"/>
    <w:uiPriority w:val="99"/>
    <w:qFormat/>
    <w:rsid w:val="00EE2B64"/>
    <w:pPr>
      <w:pBdr>
        <w:top w:val="single" w:sz="4" w:space="0" w:color="auto"/>
        <w:left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65">
    <w:name w:val="xl165"/>
    <w:basedOn w:val="a1"/>
    <w:uiPriority w:val="99"/>
    <w:qFormat/>
    <w:rsid w:val="00EE2B64"/>
    <w:pPr>
      <w:pBdr>
        <w:top w:val="single" w:sz="4" w:space="0" w:color="auto"/>
        <w:lef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66">
    <w:name w:val="xl166"/>
    <w:basedOn w:val="a1"/>
    <w:uiPriority w:val="99"/>
    <w:qFormat/>
    <w:rsid w:val="00EE2B64"/>
    <w:pPr>
      <w:pBdr>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67">
    <w:name w:val="xl167"/>
    <w:basedOn w:val="a1"/>
    <w:uiPriority w:val="99"/>
    <w:qFormat/>
    <w:rsid w:val="00EE2B64"/>
    <w:pPr>
      <w:pBdr>
        <w:left w:val="single" w:sz="4" w:space="0" w:color="auto"/>
        <w:bottom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68">
    <w:name w:val="xl168"/>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b/>
      <w:bCs/>
      <w:sz w:val="24"/>
      <w:szCs w:val="24"/>
      <w:lang w:eastAsia="ru-RU"/>
    </w:rPr>
  </w:style>
  <w:style w:type="paragraph" w:customStyle="1" w:styleId="xl169">
    <w:name w:val="xl169"/>
    <w:basedOn w:val="a1"/>
    <w:uiPriority w:val="99"/>
    <w:qFormat/>
    <w:rsid w:val="00EE2B64"/>
    <w:pPr>
      <w:pBdr>
        <w:top w:val="single" w:sz="4" w:space="0" w:color="auto"/>
        <w:left w:val="single" w:sz="4" w:space="0" w:color="auto"/>
        <w:bottom w:val="single" w:sz="4" w:space="0" w:color="auto"/>
      </w:pBdr>
      <w:spacing w:before="100" w:beforeAutospacing="1" w:after="100" w:afterAutospacing="1" w:line="240" w:lineRule="auto"/>
      <w:jc w:val="center"/>
    </w:pPr>
    <w:rPr>
      <w:rFonts w:ascii="Palatino Linotype" w:eastAsia="Times New Roman" w:hAnsi="Palatino Linotype" w:cs="Times New Roman"/>
      <w:b/>
      <w:bCs/>
      <w:sz w:val="24"/>
      <w:szCs w:val="24"/>
      <w:lang w:eastAsia="ru-RU"/>
    </w:rPr>
  </w:style>
  <w:style w:type="paragraph" w:customStyle="1" w:styleId="xl170">
    <w:name w:val="xl170"/>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171">
    <w:name w:val="xl171"/>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72">
    <w:name w:val="xl172"/>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173">
    <w:name w:val="xl173"/>
    <w:basedOn w:val="a1"/>
    <w:uiPriority w:val="99"/>
    <w:qFormat/>
    <w:rsid w:val="00EE2B64"/>
    <w:pPr>
      <w:pBdr>
        <w:top w:val="single" w:sz="4" w:space="0" w:color="auto"/>
        <w:left w:val="single" w:sz="4" w:space="0" w:color="auto"/>
        <w:bottom w:val="single" w:sz="4" w:space="0" w:color="auto"/>
      </w:pBdr>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174">
    <w:name w:val="xl174"/>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b/>
      <w:bCs/>
      <w:sz w:val="24"/>
      <w:szCs w:val="24"/>
      <w:lang w:eastAsia="ru-RU"/>
    </w:rPr>
  </w:style>
  <w:style w:type="paragraph" w:customStyle="1" w:styleId="xl175">
    <w:name w:val="xl175"/>
    <w:basedOn w:val="a1"/>
    <w:uiPriority w:val="99"/>
    <w:qFormat/>
    <w:rsid w:val="00EE2B64"/>
    <w:pPr>
      <w:pBdr>
        <w:top w:val="single" w:sz="4" w:space="0" w:color="auto"/>
        <w:left w:val="single" w:sz="4" w:space="0" w:color="auto"/>
        <w:bottom w:val="single" w:sz="4" w:space="0" w:color="auto"/>
      </w:pBdr>
      <w:spacing w:before="100" w:beforeAutospacing="1" w:after="100" w:afterAutospacing="1" w:line="240" w:lineRule="auto"/>
      <w:jc w:val="center"/>
    </w:pPr>
    <w:rPr>
      <w:rFonts w:ascii="Palatino Linotype" w:eastAsia="Times New Roman" w:hAnsi="Palatino Linotype" w:cs="Times New Roman"/>
      <w:b/>
      <w:bCs/>
      <w:sz w:val="24"/>
      <w:szCs w:val="24"/>
      <w:lang w:eastAsia="ru-RU"/>
    </w:rPr>
  </w:style>
  <w:style w:type="paragraph" w:customStyle="1" w:styleId="xl176">
    <w:name w:val="xl176"/>
    <w:basedOn w:val="a1"/>
    <w:uiPriority w:val="99"/>
    <w:qFormat/>
    <w:rsid w:val="00EE2B64"/>
    <w:pPr>
      <w:pBdr>
        <w:top w:val="single" w:sz="4" w:space="0" w:color="auto"/>
        <w:left w:val="single" w:sz="4" w:space="0" w:color="auto"/>
        <w:bottom w:val="single" w:sz="4" w:space="0" w:color="auto"/>
      </w:pBdr>
      <w:spacing w:before="100" w:beforeAutospacing="1" w:after="100" w:afterAutospacing="1" w:line="240" w:lineRule="auto"/>
      <w:jc w:val="center"/>
    </w:pPr>
    <w:rPr>
      <w:rFonts w:ascii="Palatino Linotype" w:eastAsia="Times New Roman" w:hAnsi="Palatino Linotype" w:cs="Times New Roman"/>
      <w:sz w:val="24"/>
      <w:szCs w:val="24"/>
      <w:lang w:eastAsia="ru-RU"/>
    </w:rPr>
  </w:style>
  <w:style w:type="paragraph" w:customStyle="1" w:styleId="xl177">
    <w:name w:val="xl177"/>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78">
    <w:name w:val="xl178"/>
    <w:basedOn w:val="a1"/>
    <w:uiPriority w:val="99"/>
    <w:qFormat/>
    <w:rsid w:val="00EE2B64"/>
    <w:pPr>
      <w:pBdr>
        <w:left w:val="single" w:sz="4" w:space="0" w:color="auto"/>
        <w:right w:val="single" w:sz="4" w:space="0" w:color="auto"/>
      </w:pBdr>
      <w:shd w:val="clear" w:color="auto" w:fill="FFFFFF"/>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79">
    <w:name w:val="xl179"/>
    <w:basedOn w:val="a1"/>
    <w:uiPriority w:val="99"/>
    <w:qFormat/>
    <w:rsid w:val="00EE2B64"/>
    <w:pPr>
      <w:pBdr>
        <w:left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80">
    <w:name w:val="xl180"/>
    <w:basedOn w:val="a1"/>
    <w:uiPriority w:val="99"/>
    <w:qFormat/>
    <w:rsid w:val="00EE2B64"/>
    <w:pPr>
      <w:pBdr>
        <w:lef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81">
    <w:name w:val="xl181"/>
    <w:basedOn w:val="a1"/>
    <w:uiPriority w:val="99"/>
    <w:qFormat/>
    <w:rsid w:val="00EE2B64"/>
    <w:pPr>
      <w:pBdr>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82">
    <w:name w:val="xl182"/>
    <w:basedOn w:val="a1"/>
    <w:uiPriority w:val="99"/>
    <w:qFormat/>
    <w:rsid w:val="00EE2B6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83">
    <w:name w:val="xl183"/>
    <w:basedOn w:val="a1"/>
    <w:uiPriority w:val="99"/>
    <w:qFormat/>
    <w:rsid w:val="00EE2B64"/>
    <w:pPr>
      <w:pBdr>
        <w:top w:val="single" w:sz="4" w:space="0" w:color="auto"/>
        <w:left w:val="single" w:sz="4" w:space="0" w:color="auto"/>
        <w:bottom w:val="single" w:sz="8"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84">
    <w:name w:val="xl184"/>
    <w:basedOn w:val="a1"/>
    <w:uiPriority w:val="99"/>
    <w:qFormat/>
    <w:rsid w:val="00EE2B64"/>
    <w:pPr>
      <w:pBdr>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85">
    <w:name w:val="xl185"/>
    <w:basedOn w:val="a1"/>
    <w:uiPriority w:val="99"/>
    <w:qFormat/>
    <w:rsid w:val="00EE2B64"/>
    <w:pPr>
      <w:pBdr>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86">
    <w:name w:val="xl186"/>
    <w:basedOn w:val="a1"/>
    <w:uiPriority w:val="99"/>
    <w:qFormat/>
    <w:rsid w:val="00EE2B64"/>
    <w:pPr>
      <w:pBdr>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87">
    <w:name w:val="xl187"/>
    <w:basedOn w:val="a1"/>
    <w:uiPriority w:val="99"/>
    <w:qFormat/>
    <w:rsid w:val="00EE2B64"/>
    <w:pPr>
      <w:pBdr>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88">
    <w:name w:val="xl188"/>
    <w:basedOn w:val="a1"/>
    <w:uiPriority w:val="99"/>
    <w:qFormat/>
    <w:rsid w:val="00EE2B64"/>
    <w:pPr>
      <w:pBdr>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89">
    <w:name w:val="xl189"/>
    <w:basedOn w:val="a1"/>
    <w:uiPriority w:val="99"/>
    <w:qFormat/>
    <w:rsid w:val="00EE2B64"/>
    <w:pPr>
      <w:pBdr>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90">
    <w:name w:val="xl190"/>
    <w:basedOn w:val="a1"/>
    <w:uiPriority w:val="99"/>
    <w:qFormat/>
    <w:rsid w:val="00EE2B64"/>
    <w:pPr>
      <w:pBdr>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91">
    <w:name w:val="xl191"/>
    <w:basedOn w:val="a1"/>
    <w:uiPriority w:val="99"/>
    <w:qFormat/>
    <w:rsid w:val="00EE2B6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92">
    <w:name w:val="xl192"/>
    <w:basedOn w:val="a1"/>
    <w:uiPriority w:val="99"/>
    <w:qFormat/>
    <w:rsid w:val="00EE2B6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93">
    <w:name w:val="xl193"/>
    <w:basedOn w:val="a1"/>
    <w:uiPriority w:val="99"/>
    <w:qFormat/>
    <w:rsid w:val="00EE2B64"/>
    <w:pPr>
      <w:pBdr>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94">
    <w:name w:val="xl194"/>
    <w:basedOn w:val="a1"/>
    <w:uiPriority w:val="99"/>
    <w:qFormat/>
    <w:rsid w:val="00EE2B64"/>
    <w:pPr>
      <w:pBdr>
        <w:top w:val="single" w:sz="4" w:space="0" w:color="auto"/>
        <w:left w:val="single" w:sz="4" w:space="0" w:color="auto"/>
        <w:bottom w:val="single" w:sz="8" w:space="0" w:color="auto"/>
        <w:right w:val="single" w:sz="4" w:space="0" w:color="auto"/>
      </w:pBdr>
      <w:shd w:val="clear" w:color="auto" w:fill="FFC000"/>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95">
    <w:name w:val="xl195"/>
    <w:basedOn w:val="a1"/>
    <w:uiPriority w:val="99"/>
    <w:qFormat/>
    <w:rsid w:val="00EE2B64"/>
    <w:pPr>
      <w:pBdr>
        <w:top w:val="single" w:sz="4" w:space="0" w:color="auto"/>
        <w:left w:val="single" w:sz="4" w:space="0" w:color="auto"/>
        <w:bottom w:val="single" w:sz="8" w:space="0" w:color="auto"/>
        <w:right w:val="single" w:sz="4" w:space="0" w:color="auto"/>
      </w:pBdr>
      <w:shd w:val="clear" w:color="auto" w:fill="FFC000"/>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96">
    <w:name w:val="xl196"/>
    <w:basedOn w:val="a1"/>
    <w:uiPriority w:val="99"/>
    <w:qFormat/>
    <w:rsid w:val="00EE2B64"/>
    <w:pPr>
      <w:pBdr>
        <w:top w:val="single" w:sz="4" w:space="0" w:color="auto"/>
        <w:left w:val="single" w:sz="4" w:space="0" w:color="auto"/>
        <w:bottom w:val="single" w:sz="4" w:space="0" w:color="auto"/>
      </w:pBdr>
      <w:shd w:val="clear" w:color="auto" w:fill="808080"/>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197">
    <w:name w:val="xl197"/>
    <w:basedOn w:val="a1"/>
    <w:uiPriority w:val="99"/>
    <w:qFormat/>
    <w:rsid w:val="00EE2B64"/>
    <w:pPr>
      <w:pBdr>
        <w:top w:val="single" w:sz="4" w:space="0" w:color="auto"/>
        <w:bottom w:val="single" w:sz="4" w:space="0" w:color="auto"/>
      </w:pBdr>
      <w:shd w:val="clear" w:color="auto" w:fill="808080"/>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198">
    <w:name w:val="xl198"/>
    <w:basedOn w:val="a1"/>
    <w:uiPriority w:val="99"/>
    <w:qFormat/>
    <w:rsid w:val="00EE2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alatino Linotype" w:eastAsia="Times New Roman" w:hAnsi="Palatino Linotype" w:cs="Times New Roman"/>
      <w:sz w:val="20"/>
      <w:szCs w:val="20"/>
      <w:lang w:eastAsia="ru-RU"/>
    </w:rPr>
  </w:style>
  <w:style w:type="paragraph" w:customStyle="1" w:styleId="xl199">
    <w:name w:val="xl199"/>
    <w:basedOn w:val="a1"/>
    <w:uiPriority w:val="99"/>
    <w:qFormat/>
    <w:rsid w:val="00EE2B64"/>
    <w:pPr>
      <w:pBdr>
        <w:top w:val="single" w:sz="4" w:space="0" w:color="auto"/>
        <w:left w:val="single" w:sz="4" w:space="0" w:color="auto"/>
        <w:bottom w:val="single" w:sz="4" w:space="0" w:color="auto"/>
      </w:pBdr>
      <w:shd w:val="clear" w:color="auto" w:fill="757171"/>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200">
    <w:name w:val="xl200"/>
    <w:basedOn w:val="a1"/>
    <w:uiPriority w:val="99"/>
    <w:qFormat/>
    <w:rsid w:val="00EE2B64"/>
    <w:pPr>
      <w:pBdr>
        <w:top w:val="single" w:sz="4" w:space="0" w:color="auto"/>
        <w:bottom w:val="single" w:sz="4" w:space="0" w:color="auto"/>
      </w:pBdr>
      <w:shd w:val="clear" w:color="auto" w:fill="757171"/>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paragraph" w:customStyle="1" w:styleId="xl201">
    <w:name w:val="xl201"/>
    <w:basedOn w:val="a1"/>
    <w:uiPriority w:val="99"/>
    <w:qFormat/>
    <w:rsid w:val="00EE2B64"/>
    <w:pPr>
      <w:pBdr>
        <w:top w:val="single" w:sz="4" w:space="0" w:color="auto"/>
        <w:bottom w:val="single" w:sz="4" w:space="0" w:color="auto"/>
        <w:right w:val="single" w:sz="4" w:space="0" w:color="auto"/>
      </w:pBdr>
      <w:shd w:val="clear" w:color="auto" w:fill="757171"/>
      <w:spacing w:before="100" w:beforeAutospacing="1" w:after="100" w:afterAutospacing="1" w:line="240" w:lineRule="auto"/>
      <w:jc w:val="center"/>
    </w:pPr>
    <w:rPr>
      <w:rFonts w:ascii="Palatino Linotype" w:eastAsia="Times New Roman" w:hAnsi="Palatino Linotype" w:cs="Times New Roman"/>
      <w:b/>
      <w:bCs/>
      <w:sz w:val="20"/>
      <w:szCs w:val="20"/>
      <w:lang w:eastAsia="ru-RU"/>
    </w:rPr>
  </w:style>
  <w:style w:type="character" w:customStyle="1" w:styleId="afff6">
    <w:name w:val="название_таблица Знак"/>
    <w:link w:val="afff7"/>
    <w:uiPriority w:val="99"/>
    <w:locked/>
    <w:rsid w:val="00EE2B64"/>
    <w:rPr>
      <w:rFonts w:ascii="Palatino Linotype" w:eastAsia="Times New Roman" w:hAnsi="Palatino Linotype" w:cs="Times New Roman"/>
      <w:spacing w:val="-5"/>
      <w:sz w:val="24"/>
      <w:szCs w:val="24"/>
    </w:rPr>
  </w:style>
  <w:style w:type="paragraph" w:customStyle="1" w:styleId="afff7">
    <w:name w:val="название_таблица"/>
    <w:basedOn w:val="a1"/>
    <w:next w:val="a1"/>
    <w:link w:val="afff6"/>
    <w:autoRedefine/>
    <w:uiPriority w:val="99"/>
    <w:qFormat/>
    <w:rsid w:val="00EE2B64"/>
    <w:pPr>
      <w:keepNext/>
      <w:widowControl w:val="0"/>
      <w:autoSpaceDE w:val="0"/>
      <w:autoSpaceDN w:val="0"/>
      <w:adjustRightInd w:val="0"/>
      <w:spacing w:before="120" w:after="0" w:line="240" w:lineRule="auto"/>
      <w:ind w:firstLine="709"/>
      <w:jc w:val="right"/>
    </w:pPr>
    <w:rPr>
      <w:rFonts w:ascii="Palatino Linotype" w:eastAsia="Times New Roman" w:hAnsi="Palatino Linotype" w:cs="Times New Roman"/>
      <w:spacing w:val="-5"/>
      <w:sz w:val="24"/>
      <w:szCs w:val="24"/>
    </w:rPr>
  </w:style>
  <w:style w:type="paragraph" w:customStyle="1" w:styleId="afff8">
    <w:name w:val="Источник данных"/>
    <w:basedOn w:val="a1"/>
    <w:uiPriority w:val="99"/>
    <w:qFormat/>
    <w:rsid w:val="00EE2B64"/>
    <w:pPr>
      <w:spacing w:after="0" w:line="240" w:lineRule="auto"/>
      <w:ind w:firstLine="709"/>
      <w:jc w:val="right"/>
    </w:pPr>
    <w:rPr>
      <w:rFonts w:ascii="Times New Roman" w:eastAsia="Times New Roman" w:hAnsi="Times New Roman" w:cs="Times New Roman"/>
      <w:i/>
      <w:iCs/>
      <w:color w:val="000000"/>
      <w:sz w:val="20"/>
      <w:szCs w:val="20"/>
      <w:lang w:eastAsia="ru-RU"/>
    </w:rPr>
  </w:style>
  <w:style w:type="paragraph" w:customStyle="1" w:styleId="2-">
    <w:name w:val="Подзаголовок 2-го уровня"/>
    <w:uiPriority w:val="99"/>
    <w:qFormat/>
    <w:rsid w:val="00EE2B64"/>
    <w:pPr>
      <w:keepNext/>
      <w:keepLines/>
      <w:widowControl w:val="0"/>
      <w:spacing w:after="0" w:line="240" w:lineRule="auto"/>
      <w:ind w:firstLine="709"/>
      <w:jc w:val="both"/>
    </w:pPr>
    <w:rPr>
      <w:rFonts w:ascii="Times New Roman" w:eastAsia="Times New Roman" w:hAnsi="Times New Roman" w:cs="Times New Roman"/>
      <w:b/>
      <w:i/>
      <w:sz w:val="24"/>
      <w:szCs w:val="24"/>
      <w:lang w:eastAsia="ru-RU"/>
    </w:rPr>
  </w:style>
  <w:style w:type="character" w:customStyle="1" w:styleId="S">
    <w:name w:val="S_Обычный Знак"/>
    <w:basedOn w:val="a2"/>
    <w:link w:val="S0"/>
    <w:locked/>
    <w:rsid w:val="00EE2B64"/>
    <w:rPr>
      <w:rFonts w:ascii="Times New Roman" w:eastAsia="Times New Roman" w:hAnsi="Times New Roman" w:cs="Times New Roman"/>
      <w:sz w:val="24"/>
      <w:szCs w:val="24"/>
      <w:lang w:eastAsia="ru-RU"/>
    </w:rPr>
  </w:style>
  <w:style w:type="paragraph" w:customStyle="1" w:styleId="S0">
    <w:name w:val="S_Обычный"/>
    <w:basedOn w:val="a1"/>
    <w:link w:val="S"/>
    <w:qFormat/>
    <w:rsid w:val="00EE2B64"/>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9">
    <w:name w:val="Текст основной Знак"/>
    <w:basedOn w:val="a2"/>
    <w:link w:val="afffa"/>
    <w:locked/>
    <w:rsid w:val="00EE2B64"/>
    <w:rPr>
      <w:rFonts w:ascii="Times New Roman" w:eastAsia="Times New Roman" w:hAnsi="Times New Roman" w:cs="Times New Roman"/>
      <w:sz w:val="26"/>
      <w:szCs w:val="26"/>
      <w:lang w:eastAsia="ru-RU"/>
    </w:rPr>
  </w:style>
  <w:style w:type="paragraph" w:customStyle="1" w:styleId="afffa">
    <w:name w:val="Текст основной"/>
    <w:basedOn w:val="a1"/>
    <w:link w:val="afff9"/>
    <w:qFormat/>
    <w:rsid w:val="00EE2B64"/>
    <w:pPr>
      <w:spacing w:after="0" w:line="240" w:lineRule="auto"/>
      <w:ind w:right="-2" w:firstLine="540"/>
      <w:jc w:val="both"/>
    </w:pPr>
    <w:rPr>
      <w:rFonts w:ascii="Times New Roman" w:eastAsia="Times New Roman" w:hAnsi="Times New Roman" w:cs="Times New Roman"/>
      <w:sz w:val="26"/>
      <w:szCs w:val="26"/>
      <w:lang w:eastAsia="ru-RU"/>
    </w:rPr>
  </w:style>
  <w:style w:type="character" w:styleId="afffb">
    <w:name w:val="page number"/>
    <w:uiPriority w:val="99"/>
    <w:semiHidden/>
    <w:unhideWhenUsed/>
    <w:rsid w:val="00EE2B64"/>
    <w:rPr>
      <w:b/>
      <w:bCs/>
      <w:sz w:val="20"/>
      <w:szCs w:val="20"/>
    </w:rPr>
  </w:style>
  <w:style w:type="character" w:styleId="afffc">
    <w:name w:val="endnote reference"/>
    <w:basedOn w:val="a2"/>
    <w:uiPriority w:val="99"/>
    <w:semiHidden/>
    <w:unhideWhenUsed/>
    <w:rsid w:val="00EE2B64"/>
    <w:rPr>
      <w:vertAlign w:val="superscript"/>
    </w:rPr>
  </w:style>
  <w:style w:type="character" w:customStyle="1" w:styleId="810">
    <w:name w:val="Заголовок 8 Знак1"/>
    <w:basedOn w:val="a2"/>
    <w:semiHidden/>
    <w:rsid w:val="00EE2B64"/>
    <w:rPr>
      <w:rFonts w:asciiTheme="majorHAnsi" w:eastAsiaTheme="majorEastAsia" w:hAnsiTheme="majorHAnsi" w:cstheme="majorBidi"/>
      <w:color w:val="272727" w:themeColor="text1" w:themeTint="D8"/>
      <w:sz w:val="21"/>
      <w:szCs w:val="21"/>
    </w:rPr>
  </w:style>
  <w:style w:type="character" w:customStyle="1" w:styleId="1d">
    <w:name w:val="Текст выноски Знак1"/>
    <w:basedOn w:val="a2"/>
    <w:uiPriority w:val="99"/>
    <w:semiHidden/>
    <w:rsid w:val="00EE2B64"/>
    <w:rPr>
      <w:rFonts w:ascii="Segoe UI" w:hAnsi="Segoe UI" w:cs="Segoe UI"/>
      <w:sz w:val="18"/>
      <w:szCs w:val="18"/>
    </w:rPr>
  </w:style>
  <w:style w:type="character" w:customStyle="1" w:styleId="1e">
    <w:name w:val="Верхний колонтитул Знак1"/>
    <w:aliases w:val="Header Char Знак1"/>
    <w:basedOn w:val="a2"/>
    <w:uiPriority w:val="99"/>
    <w:semiHidden/>
    <w:rsid w:val="00EE2B64"/>
  </w:style>
  <w:style w:type="character" w:customStyle="1" w:styleId="blk">
    <w:name w:val="blk"/>
    <w:basedOn w:val="a2"/>
    <w:rsid w:val="00EE2B64"/>
  </w:style>
  <w:style w:type="character" w:customStyle="1" w:styleId="FontStyle132">
    <w:name w:val="Font Style132"/>
    <w:rsid w:val="00EE2B64"/>
    <w:rPr>
      <w:rFonts w:ascii="Cambria" w:eastAsia="Cambria" w:hAnsi="Cambria" w:cs="Cambria" w:hint="default"/>
      <w:b/>
      <w:bCs/>
      <w:sz w:val="22"/>
      <w:szCs w:val="22"/>
    </w:rPr>
  </w:style>
  <w:style w:type="character" w:customStyle="1" w:styleId="1f">
    <w:name w:val="Тема примечания Знак1"/>
    <w:basedOn w:val="1c"/>
    <w:uiPriority w:val="99"/>
    <w:semiHidden/>
    <w:rsid w:val="00EE2B64"/>
    <w:rPr>
      <w:b/>
      <w:bCs/>
      <w:sz w:val="20"/>
      <w:szCs w:val="20"/>
    </w:rPr>
  </w:style>
  <w:style w:type="paragraph" w:styleId="afff">
    <w:name w:val="endnote text"/>
    <w:basedOn w:val="a1"/>
    <w:link w:val="affe"/>
    <w:uiPriority w:val="99"/>
    <w:semiHidden/>
    <w:unhideWhenUsed/>
    <w:rsid w:val="00EE2B64"/>
    <w:pPr>
      <w:spacing w:after="0" w:line="240" w:lineRule="auto"/>
    </w:pPr>
    <w:rPr>
      <w:rFonts w:ascii="Myriad Pro" w:eastAsia="Times New Roman" w:hAnsi="Myriad Pro" w:cs="Times New Roman"/>
      <w:sz w:val="20"/>
      <w:szCs w:val="20"/>
      <w:lang w:eastAsia="ru-RU"/>
    </w:rPr>
  </w:style>
  <w:style w:type="character" w:customStyle="1" w:styleId="1f0">
    <w:name w:val="Текст концевой сноски Знак1"/>
    <w:basedOn w:val="a2"/>
    <w:uiPriority w:val="99"/>
    <w:semiHidden/>
    <w:rsid w:val="00EE2B64"/>
    <w:rPr>
      <w:sz w:val="20"/>
      <w:szCs w:val="20"/>
    </w:rPr>
  </w:style>
  <w:style w:type="character" w:customStyle="1" w:styleId="1-3">
    <w:name w:val="Заголовок 1 - ненумерованный"/>
    <w:basedOn w:val="a2"/>
    <w:rsid w:val="00EE2B64"/>
    <w:rPr>
      <w:rFonts w:ascii="Times New Roman" w:hAnsi="Times New Roman" w:cs="Times New Roman" w:hint="default"/>
      <w:b/>
      <w:bCs/>
      <w:sz w:val="34"/>
    </w:rPr>
  </w:style>
  <w:style w:type="character" w:customStyle="1" w:styleId="38">
    <w:name w:val="Неразрешенное упоминание3"/>
    <w:basedOn w:val="a2"/>
    <w:uiPriority w:val="99"/>
    <w:semiHidden/>
    <w:rsid w:val="00EE2B64"/>
    <w:rPr>
      <w:color w:val="808080"/>
      <w:shd w:val="clear" w:color="auto" w:fill="E6E6E6"/>
    </w:rPr>
  </w:style>
  <w:style w:type="character" w:customStyle="1" w:styleId="45">
    <w:name w:val="Неразрешенное упоминание4"/>
    <w:basedOn w:val="a2"/>
    <w:uiPriority w:val="99"/>
    <w:semiHidden/>
    <w:rsid w:val="00EE2B64"/>
    <w:rPr>
      <w:color w:val="808080"/>
      <w:shd w:val="clear" w:color="auto" w:fill="E6E6E6"/>
    </w:rPr>
  </w:style>
  <w:style w:type="character" w:customStyle="1" w:styleId="56">
    <w:name w:val="Неразрешенное упоминание5"/>
    <w:basedOn w:val="a2"/>
    <w:uiPriority w:val="99"/>
    <w:semiHidden/>
    <w:rsid w:val="00EE2B64"/>
    <w:rPr>
      <w:color w:val="808080"/>
      <w:shd w:val="clear" w:color="auto" w:fill="E6E6E6"/>
    </w:rPr>
  </w:style>
  <w:style w:type="character" w:customStyle="1" w:styleId="210">
    <w:name w:val="Основной текст с отступом 2 Знак1"/>
    <w:basedOn w:val="a2"/>
    <w:uiPriority w:val="99"/>
    <w:semiHidden/>
    <w:rsid w:val="00EE2B64"/>
  </w:style>
  <w:style w:type="character" w:customStyle="1" w:styleId="apple-converted-space">
    <w:name w:val="apple-converted-space"/>
    <w:basedOn w:val="a2"/>
    <w:rsid w:val="00EE2B64"/>
  </w:style>
  <w:style w:type="character" w:customStyle="1" w:styleId="w">
    <w:name w:val="w"/>
    <w:basedOn w:val="a2"/>
    <w:rsid w:val="00EE2B64"/>
  </w:style>
  <w:style w:type="character" w:customStyle="1" w:styleId="time">
    <w:name w:val="time"/>
    <w:basedOn w:val="a2"/>
    <w:rsid w:val="00EE2B64"/>
  </w:style>
  <w:style w:type="table" w:customStyle="1" w:styleId="1f1">
    <w:name w:val="Основная таблица1"/>
    <w:basedOn w:val="a3"/>
    <w:uiPriority w:val="59"/>
    <w:rsid w:val="00EE2B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Основная таблица2"/>
    <w:basedOn w:val="a3"/>
    <w:uiPriority w:val="59"/>
    <w:rsid w:val="00EE2B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Леша111"/>
    <w:basedOn w:val="a3"/>
    <w:uiPriority w:val="59"/>
    <w:rsid w:val="00EE2B6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Леша112"/>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vg1">
    <w:name w:val="Avg_1"/>
    <w:basedOn w:val="a3"/>
    <w:uiPriority w:val="99"/>
    <w:qFormat/>
    <w:rsid w:val="00EE2B64"/>
    <w:pPr>
      <w:spacing w:after="0" w:line="240" w:lineRule="auto"/>
      <w:jc w:val="both"/>
    </w:pPr>
    <w:rPr>
      <w:rFonts w:ascii="Myriad Pro" w:eastAsia="Calibri" w:hAnsi="Myriad Pro" w:cs="Times New Roman"/>
      <w:szCs w:val="24"/>
    </w:rPr>
    <w:tblPr>
      <w:tblInd w:w="0" w:type="nil"/>
    </w:tblPr>
    <w:tblStylePr w:type="firstRow">
      <w:rPr>
        <w:rFonts w:ascii="Bahnschrift SemiBold" w:hAnsi="Bahnschrift SemiBold" w:hint="default"/>
        <w:color w:val="FFFFFF"/>
        <w:sz w:val="20"/>
        <w:szCs w:val="20"/>
      </w:rPr>
      <w:tblPr/>
      <w:tcPr>
        <w:tcBorders>
          <w:top w:val="nil"/>
          <w:left w:val="nil"/>
          <w:bottom w:val="nil"/>
          <w:right w:val="nil"/>
          <w:insideH w:val="nil"/>
          <w:insideV w:val="nil"/>
          <w:tl2br w:val="nil"/>
          <w:tr2bl w:val="nil"/>
        </w:tcBorders>
        <w:shd w:val="clear" w:color="auto" w:fill="548DD4"/>
      </w:tcPr>
    </w:tblStylePr>
  </w:style>
  <w:style w:type="table" w:customStyle="1" w:styleId="113">
    <w:name w:val="Леша113"/>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4">
    <w:name w:val="Леша114"/>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5">
    <w:name w:val="Леша115"/>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6">
    <w:name w:val="Леша116"/>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9">
    <w:name w:val="Основная таблица3"/>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
    <w:name w:val="Основная таблица4"/>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7">
    <w:name w:val="Основная таблица5"/>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3">
    <w:name w:val="Основная таблица6"/>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3">
    <w:name w:val="Основная таблица7"/>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3">
    <w:name w:val="Основная таблица8"/>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6">
    <w:name w:val="Основная таблица9"/>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0">
    <w:name w:val="Основная таблица10"/>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7">
    <w:name w:val="Основная таблица11"/>
    <w:basedOn w:val="a3"/>
    <w:uiPriority w:val="59"/>
    <w:rsid w:val="00EE2B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Основная таблица12"/>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1">
    <w:name w:val="Основная таблица13"/>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0">
    <w:name w:val="Основная таблица14"/>
    <w:basedOn w:val="a3"/>
    <w:uiPriority w:val="59"/>
    <w:rsid w:val="00EE2B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Основная таблица21"/>
    <w:basedOn w:val="a3"/>
    <w:uiPriority w:val="59"/>
    <w:rsid w:val="00EE2B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Основная таблица15"/>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0">
    <w:name w:val="Основная таблица16"/>
    <w:basedOn w:val="a3"/>
    <w:uiPriority w:val="59"/>
    <w:rsid w:val="00EE2B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Леша117"/>
    <w:basedOn w:val="a3"/>
    <w:uiPriority w:val="59"/>
    <w:rsid w:val="00EE2B64"/>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vg11">
    <w:name w:val="Avg_11"/>
    <w:basedOn w:val="a3"/>
    <w:uiPriority w:val="99"/>
    <w:qFormat/>
    <w:rsid w:val="00EE2B64"/>
    <w:pPr>
      <w:spacing w:after="0" w:line="240" w:lineRule="auto"/>
      <w:jc w:val="both"/>
    </w:pPr>
    <w:rPr>
      <w:rFonts w:ascii="Myriad Pro" w:eastAsia="Calibri" w:hAnsi="Myriad Pro" w:cs="Times New Roman"/>
      <w:szCs w:val="24"/>
    </w:rPr>
    <w:tblPr>
      <w:tblInd w:w="0" w:type="nil"/>
    </w:tblPr>
    <w:tblStylePr w:type="firstRow">
      <w:rPr>
        <w:rFonts w:ascii="Bahnschrift SemiBold" w:hAnsi="Bahnschrift SemiBold" w:hint="default"/>
        <w:color w:val="FFFFFF"/>
        <w:sz w:val="20"/>
        <w:szCs w:val="20"/>
      </w:rPr>
      <w:tblPr/>
      <w:tcPr>
        <w:tcBorders>
          <w:top w:val="nil"/>
          <w:left w:val="nil"/>
          <w:bottom w:val="nil"/>
          <w:right w:val="nil"/>
          <w:insideH w:val="nil"/>
          <w:insideV w:val="nil"/>
          <w:tl2br w:val="nil"/>
          <w:tr2bl w:val="nil"/>
        </w:tcBorders>
        <w:shd w:val="clear" w:color="auto" w:fill="548DD4"/>
      </w:tcPr>
    </w:tblStylePr>
  </w:style>
  <w:style w:type="table" w:customStyle="1" w:styleId="118">
    <w:name w:val="Леша118"/>
    <w:basedOn w:val="a3"/>
    <w:uiPriority w:val="59"/>
    <w:rsid w:val="00EE2B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Леша119"/>
    <w:basedOn w:val="a3"/>
    <w:uiPriority w:val="59"/>
    <w:rsid w:val="00EE2B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Леша1110"/>
    <w:basedOn w:val="a3"/>
    <w:uiPriority w:val="59"/>
    <w:rsid w:val="00EE2B6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Леша1111"/>
    <w:basedOn w:val="a3"/>
    <w:uiPriority w:val="59"/>
    <w:rsid w:val="00EE2B6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Леша1112"/>
    <w:basedOn w:val="a3"/>
    <w:uiPriority w:val="59"/>
    <w:rsid w:val="00EE2B6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Леша1113"/>
    <w:basedOn w:val="a3"/>
    <w:uiPriority w:val="59"/>
    <w:rsid w:val="00EE2B6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Леша1114"/>
    <w:basedOn w:val="a3"/>
    <w:uiPriority w:val="59"/>
    <w:rsid w:val="00EE2B6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3"/>
    <w:uiPriority w:val="39"/>
    <w:rsid w:val="00EE2B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uiPriority w:val="39"/>
    <w:rsid w:val="00EE2B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М15"/>
    <w:rsid w:val="00EE2B64"/>
    <w:pPr>
      <w:numPr>
        <w:numId w:val="22"/>
      </w:numPr>
    </w:pPr>
  </w:style>
  <w:style w:type="numbering" w:customStyle="1" w:styleId="2">
    <w:name w:val="Стиль нумерованный2"/>
    <w:rsid w:val="00EE2B64"/>
    <w:pPr>
      <w:numPr>
        <w:numId w:val="23"/>
      </w:numPr>
    </w:pPr>
  </w:style>
  <w:style w:type="numbering" w:customStyle="1" w:styleId="12">
    <w:name w:val="М12"/>
    <w:rsid w:val="00EE2B64"/>
    <w:pPr>
      <w:numPr>
        <w:numId w:val="24"/>
      </w:numPr>
    </w:pPr>
  </w:style>
  <w:style w:type="numbering" w:customStyle="1" w:styleId="a">
    <w:name w:val="Стиль нумерованный"/>
    <w:rsid w:val="00EE2B64"/>
    <w:pPr>
      <w:numPr>
        <w:numId w:val="25"/>
      </w:numPr>
    </w:pPr>
  </w:style>
  <w:style w:type="numbering" w:customStyle="1" w:styleId="5">
    <w:name w:val="Стиль нумерованный5"/>
    <w:rsid w:val="00EE2B64"/>
    <w:pPr>
      <w:numPr>
        <w:numId w:val="26"/>
      </w:numPr>
    </w:pPr>
  </w:style>
  <w:style w:type="numbering" w:customStyle="1" w:styleId="1">
    <w:name w:val="М1"/>
    <w:rsid w:val="00EE2B64"/>
    <w:pPr>
      <w:numPr>
        <w:numId w:val="27"/>
      </w:numPr>
    </w:pPr>
  </w:style>
  <w:style w:type="paragraph" w:customStyle="1" w:styleId="paragraph">
    <w:name w:val="paragraph"/>
    <w:basedOn w:val="a1"/>
    <w:uiPriority w:val="99"/>
    <w:qFormat/>
    <w:rsid w:val="00DB47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1">
    <w:name w:val="Список с маркерами16"/>
    <w:basedOn w:val="a6"/>
    <w:rsid w:val="007379E9"/>
    <w:pPr>
      <w:tabs>
        <w:tab w:val="num" w:pos="1080"/>
      </w:tabs>
      <w:autoSpaceDE w:val="0"/>
      <w:autoSpaceDN w:val="0"/>
      <w:adjustRightInd w:val="0"/>
      <w:spacing w:before="120" w:line="288" w:lineRule="auto"/>
      <w:ind w:left="1060" w:hanging="340"/>
      <w:jc w:val="both"/>
    </w:pPr>
    <w:rPr>
      <w:rFonts w:cs="Arial"/>
      <w:sz w:val="26"/>
      <w:szCs w:val="24"/>
    </w:rPr>
  </w:style>
  <w:style w:type="character" w:customStyle="1" w:styleId="hgkelc">
    <w:name w:val="hgkelc"/>
    <w:basedOn w:val="a2"/>
    <w:rsid w:val="003C4012"/>
  </w:style>
  <w:style w:type="character" w:customStyle="1" w:styleId="1f2">
    <w:name w:val="Текст Знак1"/>
    <w:aliases w:val="Текст Знак2 Знак1,Текст Знак Знак Знак1,Текст Знак1 Знак Знак Знак1,Текст Знак Знак Знак Знак Знак1,Знак Знак Знак Знак2 Знак Знак1,Текст Знак1 Знак Знак Знак Знак Знак1,Текст Знак Знак Знак Знак Знак Знак Знак1,Текст Знак Знак1 Знак Знак1"/>
    <w:basedOn w:val="a2"/>
    <w:semiHidden/>
    <w:rsid w:val="00A47B08"/>
    <w:rPr>
      <w:rFonts w:ascii="Consolas" w:hAnsi="Consolas"/>
      <w:sz w:val="21"/>
      <w:szCs w:val="21"/>
    </w:rPr>
  </w:style>
  <w:style w:type="character" w:customStyle="1" w:styleId="1f3">
    <w:name w:val="Заголовок Знак1"/>
    <w:basedOn w:val="a2"/>
    <w:uiPriority w:val="10"/>
    <w:rsid w:val="00A47B08"/>
    <w:rPr>
      <w:rFonts w:asciiTheme="majorHAnsi" w:eastAsiaTheme="majorEastAsia" w:hAnsiTheme="majorHAnsi" w:cstheme="majorBidi"/>
      <w:spacing w:val="-10"/>
      <w:kern w:val="28"/>
      <w:sz w:val="56"/>
      <w:szCs w:val="56"/>
    </w:rPr>
  </w:style>
  <w:style w:type="character" w:customStyle="1" w:styleId="212">
    <w:name w:val="Основной текст 2 Знак1"/>
    <w:basedOn w:val="a2"/>
    <w:uiPriority w:val="99"/>
    <w:semiHidden/>
    <w:rsid w:val="00A47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5383">
      <w:bodyDiv w:val="1"/>
      <w:marLeft w:val="0"/>
      <w:marRight w:val="0"/>
      <w:marTop w:val="0"/>
      <w:marBottom w:val="0"/>
      <w:divBdr>
        <w:top w:val="none" w:sz="0" w:space="0" w:color="auto"/>
        <w:left w:val="none" w:sz="0" w:space="0" w:color="auto"/>
        <w:bottom w:val="none" w:sz="0" w:space="0" w:color="auto"/>
        <w:right w:val="none" w:sz="0" w:space="0" w:color="auto"/>
      </w:divBdr>
    </w:div>
    <w:div w:id="131681613">
      <w:bodyDiv w:val="1"/>
      <w:marLeft w:val="0"/>
      <w:marRight w:val="0"/>
      <w:marTop w:val="0"/>
      <w:marBottom w:val="0"/>
      <w:divBdr>
        <w:top w:val="none" w:sz="0" w:space="0" w:color="auto"/>
        <w:left w:val="none" w:sz="0" w:space="0" w:color="auto"/>
        <w:bottom w:val="none" w:sz="0" w:space="0" w:color="auto"/>
        <w:right w:val="none" w:sz="0" w:space="0" w:color="auto"/>
      </w:divBdr>
    </w:div>
    <w:div w:id="238752963">
      <w:bodyDiv w:val="1"/>
      <w:marLeft w:val="0"/>
      <w:marRight w:val="0"/>
      <w:marTop w:val="0"/>
      <w:marBottom w:val="0"/>
      <w:divBdr>
        <w:top w:val="none" w:sz="0" w:space="0" w:color="auto"/>
        <w:left w:val="none" w:sz="0" w:space="0" w:color="auto"/>
        <w:bottom w:val="none" w:sz="0" w:space="0" w:color="auto"/>
        <w:right w:val="none" w:sz="0" w:space="0" w:color="auto"/>
      </w:divBdr>
    </w:div>
    <w:div w:id="357705335">
      <w:bodyDiv w:val="1"/>
      <w:marLeft w:val="0"/>
      <w:marRight w:val="0"/>
      <w:marTop w:val="0"/>
      <w:marBottom w:val="0"/>
      <w:divBdr>
        <w:top w:val="none" w:sz="0" w:space="0" w:color="auto"/>
        <w:left w:val="none" w:sz="0" w:space="0" w:color="auto"/>
        <w:bottom w:val="none" w:sz="0" w:space="0" w:color="auto"/>
        <w:right w:val="none" w:sz="0" w:space="0" w:color="auto"/>
      </w:divBdr>
    </w:div>
    <w:div w:id="426386168">
      <w:bodyDiv w:val="1"/>
      <w:marLeft w:val="0"/>
      <w:marRight w:val="0"/>
      <w:marTop w:val="0"/>
      <w:marBottom w:val="0"/>
      <w:divBdr>
        <w:top w:val="none" w:sz="0" w:space="0" w:color="auto"/>
        <w:left w:val="none" w:sz="0" w:space="0" w:color="auto"/>
        <w:bottom w:val="none" w:sz="0" w:space="0" w:color="auto"/>
        <w:right w:val="none" w:sz="0" w:space="0" w:color="auto"/>
      </w:divBdr>
    </w:div>
    <w:div w:id="585267165">
      <w:bodyDiv w:val="1"/>
      <w:marLeft w:val="0"/>
      <w:marRight w:val="0"/>
      <w:marTop w:val="0"/>
      <w:marBottom w:val="0"/>
      <w:divBdr>
        <w:top w:val="none" w:sz="0" w:space="0" w:color="auto"/>
        <w:left w:val="none" w:sz="0" w:space="0" w:color="auto"/>
        <w:bottom w:val="none" w:sz="0" w:space="0" w:color="auto"/>
        <w:right w:val="none" w:sz="0" w:space="0" w:color="auto"/>
      </w:divBdr>
    </w:div>
    <w:div w:id="611782661">
      <w:bodyDiv w:val="1"/>
      <w:marLeft w:val="0"/>
      <w:marRight w:val="0"/>
      <w:marTop w:val="0"/>
      <w:marBottom w:val="0"/>
      <w:divBdr>
        <w:top w:val="none" w:sz="0" w:space="0" w:color="auto"/>
        <w:left w:val="none" w:sz="0" w:space="0" w:color="auto"/>
        <w:bottom w:val="none" w:sz="0" w:space="0" w:color="auto"/>
        <w:right w:val="none" w:sz="0" w:space="0" w:color="auto"/>
      </w:divBdr>
    </w:div>
    <w:div w:id="614019744">
      <w:bodyDiv w:val="1"/>
      <w:marLeft w:val="0"/>
      <w:marRight w:val="0"/>
      <w:marTop w:val="0"/>
      <w:marBottom w:val="0"/>
      <w:divBdr>
        <w:top w:val="none" w:sz="0" w:space="0" w:color="auto"/>
        <w:left w:val="none" w:sz="0" w:space="0" w:color="auto"/>
        <w:bottom w:val="none" w:sz="0" w:space="0" w:color="auto"/>
        <w:right w:val="none" w:sz="0" w:space="0" w:color="auto"/>
      </w:divBdr>
    </w:div>
    <w:div w:id="621689001">
      <w:bodyDiv w:val="1"/>
      <w:marLeft w:val="0"/>
      <w:marRight w:val="0"/>
      <w:marTop w:val="0"/>
      <w:marBottom w:val="0"/>
      <w:divBdr>
        <w:top w:val="none" w:sz="0" w:space="0" w:color="auto"/>
        <w:left w:val="none" w:sz="0" w:space="0" w:color="auto"/>
        <w:bottom w:val="none" w:sz="0" w:space="0" w:color="auto"/>
        <w:right w:val="none" w:sz="0" w:space="0" w:color="auto"/>
      </w:divBdr>
    </w:div>
    <w:div w:id="716322529">
      <w:bodyDiv w:val="1"/>
      <w:marLeft w:val="0"/>
      <w:marRight w:val="0"/>
      <w:marTop w:val="0"/>
      <w:marBottom w:val="0"/>
      <w:divBdr>
        <w:top w:val="none" w:sz="0" w:space="0" w:color="auto"/>
        <w:left w:val="none" w:sz="0" w:space="0" w:color="auto"/>
        <w:bottom w:val="none" w:sz="0" w:space="0" w:color="auto"/>
        <w:right w:val="none" w:sz="0" w:space="0" w:color="auto"/>
      </w:divBdr>
    </w:div>
    <w:div w:id="842664192">
      <w:bodyDiv w:val="1"/>
      <w:marLeft w:val="0"/>
      <w:marRight w:val="0"/>
      <w:marTop w:val="0"/>
      <w:marBottom w:val="0"/>
      <w:divBdr>
        <w:top w:val="none" w:sz="0" w:space="0" w:color="auto"/>
        <w:left w:val="none" w:sz="0" w:space="0" w:color="auto"/>
        <w:bottom w:val="none" w:sz="0" w:space="0" w:color="auto"/>
        <w:right w:val="none" w:sz="0" w:space="0" w:color="auto"/>
      </w:divBdr>
    </w:div>
    <w:div w:id="1012412784">
      <w:bodyDiv w:val="1"/>
      <w:marLeft w:val="0"/>
      <w:marRight w:val="0"/>
      <w:marTop w:val="0"/>
      <w:marBottom w:val="0"/>
      <w:divBdr>
        <w:top w:val="none" w:sz="0" w:space="0" w:color="auto"/>
        <w:left w:val="none" w:sz="0" w:space="0" w:color="auto"/>
        <w:bottom w:val="none" w:sz="0" w:space="0" w:color="auto"/>
        <w:right w:val="none" w:sz="0" w:space="0" w:color="auto"/>
      </w:divBdr>
    </w:div>
    <w:div w:id="1159348872">
      <w:bodyDiv w:val="1"/>
      <w:marLeft w:val="0"/>
      <w:marRight w:val="0"/>
      <w:marTop w:val="0"/>
      <w:marBottom w:val="0"/>
      <w:divBdr>
        <w:top w:val="none" w:sz="0" w:space="0" w:color="auto"/>
        <w:left w:val="none" w:sz="0" w:space="0" w:color="auto"/>
        <w:bottom w:val="none" w:sz="0" w:space="0" w:color="auto"/>
        <w:right w:val="none" w:sz="0" w:space="0" w:color="auto"/>
      </w:divBdr>
    </w:div>
    <w:div w:id="1258631871">
      <w:bodyDiv w:val="1"/>
      <w:marLeft w:val="0"/>
      <w:marRight w:val="0"/>
      <w:marTop w:val="0"/>
      <w:marBottom w:val="0"/>
      <w:divBdr>
        <w:top w:val="none" w:sz="0" w:space="0" w:color="auto"/>
        <w:left w:val="none" w:sz="0" w:space="0" w:color="auto"/>
        <w:bottom w:val="none" w:sz="0" w:space="0" w:color="auto"/>
        <w:right w:val="none" w:sz="0" w:space="0" w:color="auto"/>
      </w:divBdr>
    </w:div>
    <w:div w:id="1360546141">
      <w:bodyDiv w:val="1"/>
      <w:marLeft w:val="0"/>
      <w:marRight w:val="0"/>
      <w:marTop w:val="0"/>
      <w:marBottom w:val="0"/>
      <w:divBdr>
        <w:top w:val="none" w:sz="0" w:space="0" w:color="auto"/>
        <w:left w:val="none" w:sz="0" w:space="0" w:color="auto"/>
        <w:bottom w:val="none" w:sz="0" w:space="0" w:color="auto"/>
        <w:right w:val="none" w:sz="0" w:space="0" w:color="auto"/>
      </w:divBdr>
    </w:div>
    <w:div w:id="1451626208">
      <w:bodyDiv w:val="1"/>
      <w:marLeft w:val="0"/>
      <w:marRight w:val="0"/>
      <w:marTop w:val="0"/>
      <w:marBottom w:val="0"/>
      <w:divBdr>
        <w:top w:val="none" w:sz="0" w:space="0" w:color="auto"/>
        <w:left w:val="none" w:sz="0" w:space="0" w:color="auto"/>
        <w:bottom w:val="none" w:sz="0" w:space="0" w:color="auto"/>
        <w:right w:val="none" w:sz="0" w:space="0" w:color="auto"/>
      </w:divBdr>
    </w:div>
    <w:div w:id="1461800228">
      <w:bodyDiv w:val="1"/>
      <w:marLeft w:val="0"/>
      <w:marRight w:val="0"/>
      <w:marTop w:val="0"/>
      <w:marBottom w:val="0"/>
      <w:divBdr>
        <w:top w:val="none" w:sz="0" w:space="0" w:color="auto"/>
        <w:left w:val="none" w:sz="0" w:space="0" w:color="auto"/>
        <w:bottom w:val="none" w:sz="0" w:space="0" w:color="auto"/>
        <w:right w:val="none" w:sz="0" w:space="0" w:color="auto"/>
      </w:divBdr>
    </w:div>
    <w:div w:id="1475561870">
      <w:bodyDiv w:val="1"/>
      <w:marLeft w:val="0"/>
      <w:marRight w:val="0"/>
      <w:marTop w:val="0"/>
      <w:marBottom w:val="0"/>
      <w:divBdr>
        <w:top w:val="none" w:sz="0" w:space="0" w:color="auto"/>
        <w:left w:val="none" w:sz="0" w:space="0" w:color="auto"/>
        <w:bottom w:val="none" w:sz="0" w:space="0" w:color="auto"/>
        <w:right w:val="none" w:sz="0" w:space="0" w:color="auto"/>
      </w:divBdr>
    </w:div>
    <w:div w:id="1502623085">
      <w:bodyDiv w:val="1"/>
      <w:marLeft w:val="0"/>
      <w:marRight w:val="0"/>
      <w:marTop w:val="0"/>
      <w:marBottom w:val="0"/>
      <w:divBdr>
        <w:top w:val="none" w:sz="0" w:space="0" w:color="auto"/>
        <w:left w:val="none" w:sz="0" w:space="0" w:color="auto"/>
        <w:bottom w:val="none" w:sz="0" w:space="0" w:color="auto"/>
        <w:right w:val="none" w:sz="0" w:space="0" w:color="auto"/>
      </w:divBdr>
    </w:div>
    <w:div w:id="1717465364">
      <w:bodyDiv w:val="1"/>
      <w:marLeft w:val="0"/>
      <w:marRight w:val="0"/>
      <w:marTop w:val="0"/>
      <w:marBottom w:val="0"/>
      <w:divBdr>
        <w:top w:val="none" w:sz="0" w:space="0" w:color="auto"/>
        <w:left w:val="none" w:sz="0" w:space="0" w:color="auto"/>
        <w:bottom w:val="none" w:sz="0" w:space="0" w:color="auto"/>
        <w:right w:val="none" w:sz="0" w:space="0" w:color="auto"/>
      </w:divBdr>
    </w:div>
    <w:div w:id="1964578984">
      <w:bodyDiv w:val="1"/>
      <w:marLeft w:val="0"/>
      <w:marRight w:val="0"/>
      <w:marTop w:val="0"/>
      <w:marBottom w:val="0"/>
      <w:divBdr>
        <w:top w:val="none" w:sz="0" w:space="0" w:color="auto"/>
        <w:left w:val="none" w:sz="0" w:space="0" w:color="auto"/>
        <w:bottom w:val="none" w:sz="0" w:space="0" w:color="auto"/>
        <w:right w:val="none" w:sz="0" w:space="0" w:color="auto"/>
      </w:divBdr>
    </w:div>
    <w:div w:id="1987856522">
      <w:bodyDiv w:val="1"/>
      <w:marLeft w:val="0"/>
      <w:marRight w:val="0"/>
      <w:marTop w:val="0"/>
      <w:marBottom w:val="0"/>
      <w:divBdr>
        <w:top w:val="none" w:sz="0" w:space="0" w:color="auto"/>
        <w:left w:val="none" w:sz="0" w:space="0" w:color="auto"/>
        <w:bottom w:val="none" w:sz="0" w:space="0" w:color="auto"/>
        <w:right w:val="none" w:sz="0" w:space="0" w:color="auto"/>
      </w:divBdr>
    </w:div>
    <w:div w:id="199872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document/cons_doc_LAW_217405/921f81c9db2b0913638b36ad90707b27ae73beb7/" TargetMode="External"/><Relationship Id="rId299" Type="http://schemas.openxmlformats.org/officeDocument/2006/relationships/image" Target="media/image139.png"/><Relationship Id="rId303" Type="http://schemas.openxmlformats.org/officeDocument/2006/relationships/image" Target="media/image143.png"/><Relationship Id="rId21" Type="http://schemas.openxmlformats.org/officeDocument/2006/relationships/hyperlink" Target="https://kladr-rf.ru" TargetMode="External"/><Relationship Id="rId42" Type="http://schemas.openxmlformats.org/officeDocument/2006/relationships/hyperlink" Target="http://citadel-vrn.ru/" TargetMode="External"/><Relationship Id="rId63" Type="http://schemas.openxmlformats.org/officeDocument/2006/relationships/hyperlink" Target="http://www.vrx.ru/" TargetMode="External"/><Relationship Id="rId84" Type="http://schemas.openxmlformats.org/officeDocument/2006/relationships/hyperlink" Target="http://www.multilisting.su" TargetMode="External"/><Relationship Id="rId138" Type="http://schemas.openxmlformats.org/officeDocument/2006/relationships/image" Target="media/image19.png"/><Relationship Id="rId159" Type="http://schemas.openxmlformats.org/officeDocument/2006/relationships/chart" Target="charts/chart9.xml"/><Relationship Id="rId324" Type="http://schemas.openxmlformats.org/officeDocument/2006/relationships/hyperlink" Target="https://statrielt.ru/" TargetMode="External"/><Relationship Id="rId345" Type="http://schemas.openxmlformats.org/officeDocument/2006/relationships/image" Target="media/image181.png"/><Relationship Id="rId366" Type="http://schemas.openxmlformats.org/officeDocument/2006/relationships/image" Target="media/image202.png"/><Relationship Id="rId170" Type="http://schemas.openxmlformats.org/officeDocument/2006/relationships/chart" Target="charts/chart20.xml"/><Relationship Id="rId191" Type="http://schemas.openxmlformats.org/officeDocument/2006/relationships/image" Target="media/image32.png"/><Relationship Id="rId205" Type="http://schemas.openxmlformats.org/officeDocument/2006/relationships/image" Target="media/image46.png"/><Relationship Id="rId226" Type="http://schemas.openxmlformats.org/officeDocument/2006/relationships/image" Target="media/image67.png"/><Relationship Id="rId247" Type="http://schemas.openxmlformats.org/officeDocument/2006/relationships/image" Target="media/image88.png"/><Relationship Id="rId107" Type="http://schemas.openxmlformats.org/officeDocument/2006/relationships/hyperlink" Target="https://statrielt.ru/" TargetMode="External"/><Relationship Id="rId268" Type="http://schemas.openxmlformats.org/officeDocument/2006/relationships/image" Target="media/image109.png"/><Relationship Id="rId289" Type="http://schemas.openxmlformats.org/officeDocument/2006/relationships/footer" Target="footer4.xml"/><Relationship Id="rId11" Type="http://schemas.openxmlformats.org/officeDocument/2006/relationships/hyperlink" Target="https://econom.govvrn.ru/" TargetMode="External"/><Relationship Id="rId32" Type="http://schemas.openxmlformats.org/officeDocument/2006/relationships/hyperlink" Target="https://gde.ru/" TargetMode="External"/><Relationship Id="rId53" Type="http://schemas.openxmlformats.org/officeDocument/2006/relationships/hyperlink" Target="https://www.vrx.ru/" TargetMode="External"/><Relationship Id="rId74" Type="http://schemas.openxmlformats.org/officeDocument/2006/relationships/hyperlink" Target="http://www.torgi.gov.ru" TargetMode="External"/><Relationship Id="rId128" Type="http://schemas.openxmlformats.org/officeDocument/2006/relationships/hyperlink" Target="file:///Z:\&#1053;&#1077;&#1084;&#1094;&#1086;&#1074;&#1072;\3.3.docx" TargetMode="External"/><Relationship Id="rId149" Type="http://schemas.openxmlformats.org/officeDocument/2006/relationships/hyperlink" Target="http://www.consultant.ru/document/cons_doc_LAW_416263/9c9a8a6efd385aaf95637582bcc1b9b7be312d95/" TargetMode="External"/><Relationship Id="rId314" Type="http://schemas.openxmlformats.org/officeDocument/2006/relationships/image" Target="media/image154.png"/><Relationship Id="rId335" Type="http://schemas.openxmlformats.org/officeDocument/2006/relationships/image" Target="media/image171.png"/><Relationship Id="rId356" Type="http://schemas.openxmlformats.org/officeDocument/2006/relationships/image" Target="media/image192.png"/><Relationship Id="rId5" Type="http://schemas.openxmlformats.org/officeDocument/2006/relationships/webSettings" Target="webSettings.xml"/><Relationship Id="rId95" Type="http://schemas.openxmlformats.org/officeDocument/2006/relationships/hyperlink" Target="http://www.vrx.ru" TargetMode="External"/><Relationship Id="rId160" Type="http://schemas.openxmlformats.org/officeDocument/2006/relationships/chart" Target="charts/chart10.xml"/><Relationship Id="rId181" Type="http://schemas.openxmlformats.org/officeDocument/2006/relationships/footer" Target="footer3.xml"/><Relationship Id="rId216" Type="http://schemas.openxmlformats.org/officeDocument/2006/relationships/image" Target="media/image57.png"/><Relationship Id="rId237" Type="http://schemas.openxmlformats.org/officeDocument/2006/relationships/image" Target="media/image78.png"/><Relationship Id="rId258" Type="http://schemas.openxmlformats.org/officeDocument/2006/relationships/image" Target="media/image99.png"/><Relationship Id="rId279" Type="http://schemas.openxmlformats.org/officeDocument/2006/relationships/image" Target="media/image120.png"/><Relationship Id="rId22" Type="http://schemas.openxmlformats.org/officeDocument/2006/relationships/hyperlink" Target="https://www.avito.ru/voronezh" TargetMode="External"/><Relationship Id="rId43" Type="http://schemas.openxmlformats.org/officeDocument/2006/relationships/hyperlink" Target="http://www.avroravrn.ru/" TargetMode="External"/><Relationship Id="rId64" Type="http://schemas.openxmlformats.org/officeDocument/2006/relationships/image" Target="media/image7.png"/><Relationship Id="rId118" Type="http://schemas.openxmlformats.org/officeDocument/2006/relationships/hyperlink" Target="http://www.consultant.ru/document/cons_doc_LAW_217405/ce2935fa97ba8422004cb7652d3f885d7deb7db6/" TargetMode="External"/><Relationship Id="rId139" Type="http://schemas.openxmlformats.org/officeDocument/2006/relationships/image" Target="media/image20.png"/><Relationship Id="rId290" Type="http://schemas.openxmlformats.org/officeDocument/2006/relationships/image" Target="media/image130.png"/><Relationship Id="rId304" Type="http://schemas.openxmlformats.org/officeDocument/2006/relationships/image" Target="media/image144.png"/><Relationship Id="rId325" Type="http://schemas.openxmlformats.org/officeDocument/2006/relationships/hyperlink" Target="https://statrielt.ru/" TargetMode="External"/><Relationship Id="rId346" Type="http://schemas.openxmlformats.org/officeDocument/2006/relationships/image" Target="media/image182.png"/><Relationship Id="rId367" Type="http://schemas.openxmlformats.org/officeDocument/2006/relationships/image" Target="media/image203.png"/><Relationship Id="rId85" Type="http://schemas.openxmlformats.org/officeDocument/2006/relationships/hyperlink" Target="http://www.torgi.gov.ru" TargetMode="External"/><Relationship Id="rId150" Type="http://schemas.openxmlformats.org/officeDocument/2006/relationships/hyperlink" Target="http://www.consultant.ru/document/cons_doc_LAW_416263/cc2c7659487c59b5f0b967ac1c9b775d6b359051/" TargetMode="External"/><Relationship Id="rId171" Type="http://schemas.openxmlformats.org/officeDocument/2006/relationships/chart" Target="charts/chart21.xml"/><Relationship Id="rId192" Type="http://schemas.openxmlformats.org/officeDocument/2006/relationships/image" Target="media/image33.png"/><Relationship Id="rId206" Type="http://schemas.openxmlformats.org/officeDocument/2006/relationships/image" Target="media/image47.png"/><Relationship Id="rId227" Type="http://schemas.openxmlformats.org/officeDocument/2006/relationships/image" Target="media/image68.png"/><Relationship Id="rId248" Type="http://schemas.openxmlformats.org/officeDocument/2006/relationships/image" Target="media/image89.png"/><Relationship Id="rId269" Type="http://schemas.openxmlformats.org/officeDocument/2006/relationships/image" Target="media/image110.png"/><Relationship Id="rId12" Type="http://schemas.openxmlformats.org/officeDocument/2006/relationships/hyperlink" Target="https://rosreestr.ru/site/" TargetMode="External"/><Relationship Id="rId33" Type="http://schemas.openxmlformats.org/officeDocument/2006/relationships/hyperlink" Target="https://100realt.ru/" TargetMode="External"/><Relationship Id="rId108" Type="http://schemas.openxmlformats.org/officeDocument/2006/relationships/hyperlink" Target="https://statrielt.ru/" TargetMode="External"/><Relationship Id="rId129" Type="http://schemas.openxmlformats.org/officeDocument/2006/relationships/hyperlink" Target="http://www.consultant.ru/document/cons_doc_LAW_301009/42bb01d64c5d3165449227cb2ef0982a39d33989/" TargetMode="External"/><Relationship Id="rId280" Type="http://schemas.openxmlformats.org/officeDocument/2006/relationships/image" Target="media/image121.png"/><Relationship Id="rId315" Type="http://schemas.openxmlformats.org/officeDocument/2006/relationships/image" Target="media/image155.png"/><Relationship Id="rId336" Type="http://schemas.openxmlformats.org/officeDocument/2006/relationships/image" Target="media/image172.png"/><Relationship Id="rId357" Type="http://schemas.openxmlformats.org/officeDocument/2006/relationships/image" Target="media/image193.png"/><Relationship Id="rId54" Type="http://schemas.openxmlformats.org/officeDocument/2006/relationships/hyperlink" Target="https://www.vrx.ru/data/prodazha/kvartiry/" TargetMode="External"/><Relationship Id="rId75" Type="http://schemas.openxmlformats.org/officeDocument/2006/relationships/hyperlink" Target="https://statrielt.ru/" TargetMode="External"/><Relationship Id="rId96" Type="http://schemas.openxmlformats.org/officeDocument/2006/relationships/image" Target="media/image10.png"/><Relationship Id="rId140" Type="http://schemas.openxmlformats.org/officeDocument/2006/relationships/image" Target="media/image21.png"/><Relationship Id="rId161" Type="http://schemas.openxmlformats.org/officeDocument/2006/relationships/chart" Target="charts/chart11.xml"/><Relationship Id="rId182" Type="http://schemas.openxmlformats.org/officeDocument/2006/relationships/image" Target="media/image24.wmf"/><Relationship Id="rId217" Type="http://schemas.openxmlformats.org/officeDocument/2006/relationships/image" Target="media/image58.png"/><Relationship Id="rId6" Type="http://schemas.openxmlformats.org/officeDocument/2006/relationships/footnotes" Target="footnotes.xml"/><Relationship Id="rId238" Type="http://schemas.openxmlformats.org/officeDocument/2006/relationships/image" Target="media/image79.png"/><Relationship Id="rId259" Type="http://schemas.openxmlformats.org/officeDocument/2006/relationships/image" Target="media/image100.png"/><Relationship Id="rId23" Type="http://schemas.openxmlformats.org/officeDocument/2006/relationships/hyperlink" Target="https://cian.ru/" TargetMode="External"/><Relationship Id="rId119" Type="http://schemas.openxmlformats.org/officeDocument/2006/relationships/hyperlink" Target="http://www.consultant.ru/document/cons_doc_LAW_217405/d0166d662c9d32391803c36cef5ad737f711e2b5/" TargetMode="External"/><Relationship Id="rId270" Type="http://schemas.openxmlformats.org/officeDocument/2006/relationships/image" Target="media/image111.png"/><Relationship Id="rId291" Type="http://schemas.openxmlformats.org/officeDocument/2006/relationships/image" Target="media/image131.png"/><Relationship Id="rId305" Type="http://schemas.openxmlformats.org/officeDocument/2006/relationships/image" Target="media/image145.png"/><Relationship Id="rId326" Type="http://schemas.openxmlformats.org/officeDocument/2006/relationships/hyperlink" Target="https://statrielt.ru/" TargetMode="External"/><Relationship Id="rId347" Type="http://schemas.openxmlformats.org/officeDocument/2006/relationships/image" Target="media/image183.png"/><Relationship Id="rId44" Type="http://schemas.openxmlformats.org/officeDocument/2006/relationships/hyperlink" Target="https://transfert-vrn.ru/" TargetMode="External"/><Relationship Id="rId65" Type="http://schemas.openxmlformats.org/officeDocument/2006/relationships/hyperlink" Target="https://statrielt.ru/" TargetMode="External"/><Relationship Id="rId86" Type="http://schemas.openxmlformats.org/officeDocument/2006/relationships/hyperlink" Target="http://www.vrx.ru/" TargetMode="External"/><Relationship Id="rId130" Type="http://schemas.openxmlformats.org/officeDocument/2006/relationships/image" Target="media/image13.png"/><Relationship Id="rId151" Type="http://schemas.openxmlformats.org/officeDocument/2006/relationships/chart" Target="charts/chart1.xml"/><Relationship Id="rId368" Type="http://schemas.openxmlformats.org/officeDocument/2006/relationships/image" Target="media/image204.png"/><Relationship Id="rId172" Type="http://schemas.openxmlformats.org/officeDocument/2006/relationships/chart" Target="charts/chart22.xml"/><Relationship Id="rId193" Type="http://schemas.openxmlformats.org/officeDocument/2006/relationships/image" Target="media/image34.wmf"/><Relationship Id="rId207" Type="http://schemas.openxmlformats.org/officeDocument/2006/relationships/image" Target="media/image48.png"/><Relationship Id="rId228" Type="http://schemas.openxmlformats.org/officeDocument/2006/relationships/image" Target="media/image69.png"/><Relationship Id="rId249" Type="http://schemas.openxmlformats.org/officeDocument/2006/relationships/image" Target="media/image90.png"/><Relationship Id="rId13" Type="http://schemas.openxmlformats.org/officeDocument/2006/relationships/hyperlink" Target="https://pkk5.rosreestr.ru/" TargetMode="External"/><Relationship Id="rId109" Type="http://schemas.openxmlformats.org/officeDocument/2006/relationships/hyperlink" Target="https://statrielt.ru/" TargetMode="External"/><Relationship Id="rId260" Type="http://schemas.openxmlformats.org/officeDocument/2006/relationships/image" Target="media/image101.png"/><Relationship Id="rId281" Type="http://schemas.openxmlformats.org/officeDocument/2006/relationships/image" Target="media/image122.png"/><Relationship Id="rId316" Type="http://schemas.openxmlformats.org/officeDocument/2006/relationships/image" Target="media/image156.png"/><Relationship Id="rId337" Type="http://schemas.openxmlformats.org/officeDocument/2006/relationships/image" Target="media/image173.png"/><Relationship Id="rId34" Type="http://schemas.openxmlformats.org/officeDocument/2006/relationships/hyperlink" Target="https://onrealt.ru/" TargetMode="External"/><Relationship Id="rId55" Type="http://schemas.openxmlformats.org/officeDocument/2006/relationships/image" Target="media/image3.emf"/><Relationship Id="rId76" Type="http://schemas.openxmlformats.org/officeDocument/2006/relationships/hyperlink" Target="https://statrielt.ru/" TargetMode="External"/><Relationship Id="rId97" Type="http://schemas.openxmlformats.org/officeDocument/2006/relationships/image" Target="media/image11.png"/><Relationship Id="rId120" Type="http://schemas.openxmlformats.org/officeDocument/2006/relationships/hyperlink" Target="http://www.consultant.ru/document/cons_doc_LAW_217405/584521af399b1c11215a083e8d3c8ed5fefd3cd3/" TargetMode="External"/><Relationship Id="rId141" Type="http://schemas.openxmlformats.org/officeDocument/2006/relationships/image" Target="media/image22.png"/><Relationship Id="rId358" Type="http://schemas.openxmlformats.org/officeDocument/2006/relationships/image" Target="media/image194.png"/><Relationship Id="rId7" Type="http://schemas.openxmlformats.org/officeDocument/2006/relationships/endnotes" Target="endnotes.xml"/><Relationship Id="rId162" Type="http://schemas.openxmlformats.org/officeDocument/2006/relationships/chart" Target="charts/chart12.xml"/><Relationship Id="rId183" Type="http://schemas.openxmlformats.org/officeDocument/2006/relationships/image" Target="media/image25.wmf"/><Relationship Id="rId218" Type="http://schemas.openxmlformats.org/officeDocument/2006/relationships/image" Target="media/image59.png"/><Relationship Id="rId239" Type="http://schemas.openxmlformats.org/officeDocument/2006/relationships/image" Target="media/image80.png"/><Relationship Id="rId250" Type="http://schemas.openxmlformats.org/officeDocument/2006/relationships/image" Target="media/image91.png"/><Relationship Id="rId271" Type="http://schemas.openxmlformats.org/officeDocument/2006/relationships/image" Target="media/image112.png"/><Relationship Id="rId292" Type="http://schemas.openxmlformats.org/officeDocument/2006/relationships/image" Target="media/image132.png"/><Relationship Id="rId306" Type="http://schemas.openxmlformats.org/officeDocument/2006/relationships/image" Target="media/image146.png"/><Relationship Id="rId24" Type="http://schemas.openxmlformats.org/officeDocument/2006/relationships/hyperlink" Target="https://www.vrx.ru/" TargetMode="External"/><Relationship Id="rId45" Type="http://schemas.openxmlformats.org/officeDocument/2006/relationships/hyperlink" Target="https://an4k.ru/" TargetMode="External"/><Relationship Id="rId66" Type="http://schemas.openxmlformats.org/officeDocument/2006/relationships/hyperlink" Target="https://statrielt.ru/" TargetMode="External"/><Relationship Id="rId87" Type="http://schemas.openxmlformats.org/officeDocument/2006/relationships/hyperlink" Target="http://www.cmlt.ru" TargetMode="External"/><Relationship Id="rId110" Type="http://schemas.openxmlformats.org/officeDocument/2006/relationships/hyperlink" Target="https://statrielt.ru/" TargetMode="External"/><Relationship Id="rId131" Type="http://schemas.openxmlformats.org/officeDocument/2006/relationships/image" Target="media/image14.png"/><Relationship Id="rId327" Type="http://schemas.openxmlformats.org/officeDocument/2006/relationships/image" Target="media/image163.png"/><Relationship Id="rId348" Type="http://schemas.openxmlformats.org/officeDocument/2006/relationships/image" Target="media/image184.png"/><Relationship Id="rId369" Type="http://schemas.openxmlformats.org/officeDocument/2006/relationships/image" Target="media/image205.png"/><Relationship Id="rId152" Type="http://schemas.openxmlformats.org/officeDocument/2006/relationships/chart" Target="charts/chart2.xml"/><Relationship Id="rId173" Type="http://schemas.openxmlformats.org/officeDocument/2006/relationships/chart" Target="charts/chart23.xml"/><Relationship Id="rId194" Type="http://schemas.openxmlformats.org/officeDocument/2006/relationships/image" Target="media/image35.wmf"/><Relationship Id="rId208" Type="http://schemas.openxmlformats.org/officeDocument/2006/relationships/image" Target="media/image49.png"/><Relationship Id="rId229" Type="http://schemas.openxmlformats.org/officeDocument/2006/relationships/image" Target="media/image70.png"/><Relationship Id="rId240" Type="http://schemas.openxmlformats.org/officeDocument/2006/relationships/image" Target="media/image81.png"/><Relationship Id="rId261" Type="http://schemas.openxmlformats.org/officeDocument/2006/relationships/image" Target="media/image102.png"/><Relationship Id="rId14" Type="http://schemas.openxmlformats.org/officeDocument/2006/relationships/hyperlink" Target="http://www.gks.ru/" TargetMode="External"/><Relationship Id="rId35" Type="http://schemas.openxmlformats.org/officeDocument/2006/relationships/hyperlink" Target="https://www.rosnedv.ru/" TargetMode="External"/><Relationship Id="rId56" Type="http://schemas.openxmlformats.org/officeDocument/2006/relationships/hyperlink" Target="https://statrielt.ru/" TargetMode="External"/><Relationship Id="rId77" Type="http://schemas.openxmlformats.org/officeDocument/2006/relationships/image" Target="media/image8.png"/><Relationship Id="rId100" Type="http://schemas.openxmlformats.org/officeDocument/2006/relationships/hyperlink" Target="https://statrielt.ru/" TargetMode="External"/><Relationship Id="rId282" Type="http://schemas.openxmlformats.org/officeDocument/2006/relationships/image" Target="media/image123.png"/><Relationship Id="rId317" Type="http://schemas.openxmlformats.org/officeDocument/2006/relationships/image" Target="media/image157.png"/><Relationship Id="rId338" Type="http://schemas.openxmlformats.org/officeDocument/2006/relationships/image" Target="media/image174.png"/><Relationship Id="rId359" Type="http://schemas.openxmlformats.org/officeDocument/2006/relationships/image" Target="media/image195.png"/><Relationship Id="rId8" Type="http://schemas.openxmlformats.org/officeDocument/2006/relationships/image" Target="media/image1.png"/><Relationship Id="rId98" Type="http://schemas.openxmlformats.org/officeDocument/2006/relationships/hyperlink" Target="https://cena-auto.ru/" TargetMode="External"/><Relationship Id="rId121" Type="http://schemas.openxmlformats.org/officeDocument/2006/relationships/hyperlink" Target="http://www.consultant.ru/document/cons_doc_LAW_217405/26e04cca573ba36ac7901fc34ff4bb366554b452/" TargetMode="External"/><Relationship Id="rId142" Type="http://schemas.openxmlformats.org/officeDocument/2006/relationships/image" Target="media/image23.png"/><Relationship Id="rId163" Type="http://schemas.openxmlformats.org/officeDocument/2006/relationships/chart" Target="charts/chart13.xml"/><Relationship Id="rId184" Type="http://schemas.openxmlformats.org/officeDocument/2006/relationships/image" Target="media/image26.wmf"/><Relationship Id="rId219" Type="http://schemas.openxmlformats.org/officeDocument/2006/relationships/image" Target="media/image60.png"/><Relationship Id="rId370" Type="http://schemas.openxmlformats.org/officeDocument/2006/relationships/image" Target="media/image206.png"/><Relationship Id="rId230" Type="http://schemas.openxmlformats.org/officeDocument/2006/relationships/image" Target="media/image71.png"/><Relationship Id="rId251" Type="http://schemas.openxmlformats.org/officeDocument/2006/relationships/image" Target="media/image92.png"/><Relationship Id="rId25" Type="http://schemas.openxmlformats.org/officeDocument/2006/relationships/hyperlink" Target="https://move.ru" TargetMode="External"/><Relationship Id="rId46" Type="http://schemas.openxmlformats.org/officeDocument/2006/relationships/hyperlink" Target="https://voronezh.arrpro.ru/" TargetMode="External"/><Relationship Id="rId67" Type="http://schemas.openxmlformats.org/officeDocument/2006/relationships/hyperlink" Target="http://www.avito.ru" TargetMode="External"/><Relationship Id="rId272" Type="http://schemas.openxmlformats.org/officeDocument/2006/relationships/image" Target="media/image113.png"/><Relationship Id="rId293" Type="http://schemas.openxmlformats.org/officeDocument/2006/relationships/image" Target="media/image133.png"/><Relationship Id="rId307" Type="http://schemas.openxmlformats.org/officeDocument/2006/relationships/image" Target="media/image147.png"/><Relationship Id="rId328" Type="http://schemas.openxmlformats.org/officeDocument/2006/relationships/image" Target="media/image164.png"/><Relationship Id="rId349" Type="http://schemas.openxmlformats.org/officeDocument/2006/relationships/image" Target="media/image185.png"/><Relationship Id="rId88" Type="http://schemas.openxmlformats.org/officeDocument/2006/relationships/image" Target="media/image9.png"/><Relationship Id="rId111" Type="http://schemas.openxmlformats.org/officeDocument/2006/relationships/hyperlink" Target="https://statrielt.ru/" TargetMode="External"/><Relationship Id="rId132" Type="http://schemas.openxmlformats.org/officeDocument/2006/relationships/image" Target="media/image15.png"/><Relationship Id="rId153" Type="http://schemas.openxmlformats.org/officeDocument/2006/relationships/chart" Target="charts/chart3.xml"/><Relationship Id="rId174" Type="http://schemas.openxmlformats.org/officeDocument/2006/relationships/chart" Target="charts/chart24.xml"/><Relationship Id="rId195" Type="http://schemas.openxmlformats.org/officeDocument/2006/relationships/image" Target="media/image36.wmf"/><Relationship Id="rId209" Type="http://schemas.openxmlformats.org/officeDocument/2006/relationships/image" Target="media/image50.png"/><Relationship Id="rId360" Type="http://schemas.openxmlformats.org/officeDocument/2006/relationships/image" Target="media/image196.png"/><Relationship Id="rId220" Type="http://schemas.openxmlformats.org/officeDocument/2006/relationships/image" Target="media/image61.png"/><Relationship Id="rId241" Type="http://schemas.openxmlformats.org/officeDocument/2006/relationships/image" Target="media/image82.png"/><Relationship Id="rId15" Type="http://schemas.openxmlformats.org/officeDocument/2006/relationships/hyperlink" Target="http://voronezhstat.gks.ru/" TargetMode="External"/><Relationship Id="rId36" Type="http://schemas.openxmlformats.org/officeDocument/2006/relationships/hyperlink" Target="https://tvoyadres.ru/" TargetMode="External"/><Relationship Id="rId57" Type="http://schemas.openxmlformats.org/officeDocument/2006/relationships/image" Target="media/image4.png"/><Relationship Id="rId262" Type="http://schemas.openxmlformats.org/officeDocument/2006/relationships/image" Target="media/image103.png"/><Relationship Id="rId283" Type="http://schemas.openxmlformats.org/officeDocument/2006/relationships/image" Target="media/image124.png"/><Relationship Id="rId318" Type="http://schemas.openxmlformats.org/officeDocument/2006/relationships/image" Target="media/image158.png"/><Relationship Id="rId339" Type="http://schemas.openxmlformats.org/officeDocument/2006/relationships/image" Target="media/image175.png"/><Relationship Id="rId78" Type="http://schemas.openxmlformats.org/officeDocument/2006/relationships/hyperlink" Target="https://statrielt.ru/" TargetMode="External"/><Relationship Id="rId99" Type="http://schemas.openxmlformats.org/officeDocument/2006/relationships/hyperlink" Target="https://statrielt.ru/" TargetMode="External"/><Relationship Id="rId101" Type="http://schemas.openxmlformats.org/officeDocument/2006/relationships/hyperlink" Target="https://statrielt.ru/" TargetMode="External"/><Relationship Id="rId122" Type="http://schemas.openxmlformats.org/officeDocument/2006/relationships/hyperlink" Target="http://www.consultant.ru/document/cons_doc_LAW_217405/58e9b4f9bc364381962616f95cea8a1280a4717d/" TargetMode="External"/><Relationship Id="rId143" Type="http://schemas.openxmlformats.org/officeDocument/2006/relationships/header" Target="header1.xml"/><Relationship Id="rId164" Type="http://schemas.openxmlformats.org/officeDocument/2006/relationships/chart" Target="charts/chart14.xml"/><Relationship Id="rId185" Type="http://schemas.openxmlformats.org/officeDocument/2006/relationships/image" Target="media/image27.wmf"/><Relationship Id="rId350" Type="http://schemas.openxmlformats.org/officeDocument/2006/relationships/image" Target="media/image186.png"/><Relationship Id="rId371" Type="http://schemas.openxmlformats.org/officeDocument/2006/relationships/image" Target="media/image207.png"/><Relationship Id="rId4" Type="http://schemas.openxmlformats.org/officeDocument/2006/relationships/settings" Target="settings.xml"/><Relationship Id="rId9" Type="http://schemas.openxmlformats.org/officeDocument/2006/relationships/hyperlink" Target="https://www.govvrn.ru/" TargetMode="External"/><Relationship Id="rId180" Type="http://schemas.openxmlformats.org/officeDocument/2006/relationships/footer" Target="footer2.xml"/><Relationship Id="rId210" Type="http://schemas.openxmlformats.org/officeDocument/2006/relationships/image" Target="media/image51.png"/><Relationship Id="rId215" Type="http://schemas.openxmlformats.org/officeDocument/2006/relationships/image" Target="media/image56.png"/><Relationship Id="rId236" Type="http://schemas.openxmlformats.org/officeDocument/2006/relationships/image" Target="media/image77.png"/><Relationship Id="rId257" Type="http://schemas.openxmlformats.org/officeDocument/2006/relationships/image" Target="media/image98.png"/><Relationship Id="rId278" Type="http://schemas.openxmlformats.org/officeDocument/2006/relationships/image" Target="media/image119.png"/><Relationship Id="rId26" Type="http://schemas.openxmlformats.org/officeDocument/2006/relationships/hyperlink" Target="https://www.cmlt.ru/" TargetMode="External"/><Relationship Id="rId231" Type="http://schemas.openxmlformats.org/officeDocument/2006/relationships/image" Target="media/image72.png"/><Relationship Id="rId252" Type="http://schemas.openxmlformats.org/officeDocument/2006/relationships/image" Target="media/image93.png"/><Relationship Id="rId273" Type="http://schemas.openxmlformats.org/officeDocument/2006/relationships/image" Target="media/image114.png"/><Relationship Id="rId294" Type="http://schemas.openxmlformats.org/officeDocument/2006/relationships/image" Target="media/image134.png"/><Relationship Id="rId308" Type="http://schemas.openxmlformats.org/officeDocument/2006/relationships/image" Target="media/image148.png"/><Relationship Id="rId329" Type="http://schemas.openxmlformats.org/officeDocument/2006/relationships/image" Target="media/image165.png"/><Relationship Id="rId47" Type="http://schemas.openxmlformats.org/officeDocument/2006/relationships/hyperlink" Target="consultantplus://offline/ref=260C3539C21595CEB69E920062A67C3BB1DA7FF1F68D3F26D2AF17EFA5EFE0C0953087FCA27F96D2A6996E7DC1j1e3H" TargetMode="External"/><Relationship Id="rId68" Type="http://schemas.openxmlformats.org/officeDocument/2006/relationships/hyperlink" Target="http://www.fgivo.ru" TargetMode="External"/><Relationship Id="rId89" Type="http://schemas.openxmlformats.org/officeDocument/2006/relationships/hyperlink" Target="https://statrielt.ru/" TargetMode="External"/><Relationship Id="rId112" Type="http://schemas.openxmlformats.org/officeDocument/2006/relationships/hyperlink" Target="https://statrielt.ru/" TargetMode="External"/><Relationship Id="rId133" Type="http://schemas.openxmlformats.org/officeDocument/2006/relationships/image" Target="media/image16.png"/><Relationship Id="rId154" Type="http://schemas.openxmlformats.org/officeDocument/2006/relationships/chart" Target="charts/chart4.xml"/><Relationship Id="rId175" Type="http://schemas.openxmlformats.org/officeDocument/2006/relationships/chart" Target="charts/chart25.xml"/><Relationship Id="rId340" Type="http://schemas.openxmlformats.org/officeDocument/2006/relationships/image" Target="media/image176.png"/><Relationship Id="rId361" Type="http://schemas.openxmlformats.org/officeDocument/2006/relationships/image" Target="media/image197.png"/><Relationship Id="rId196" Type="http://schemas.openxmlformats.org/officeDocument/2006/relationships/image" Target="media/image37.wmf"/><Relationship Id="rId200" Type="http://schemas.openxmlformats.org/officeDocument/2006/relationships/image" Target="media/image41.png"/><Relationship Id="rId16" Type="http://schemas.openxmlformats.org/officeDocument/2006/relationships/hyperlink" Target="https://torgi.gov.ru" TargetMode="External"/><Relationship Id="rId221" Type="http://schemas.openxmlformats.org/officeDocument/2006/relationships/image" Target="media/image62.png"/><Relationship Id="rId242" Type="http://schemas.openxmlformats.org/officeDocument/2006/relationships/image" Target="media/image83.png"/><Relationship Id="rId263" Type="http://schemas.openxmlformats.org/officeDocument/2006/relationships/image" Target="media/image104.png"/><Relationship Id="rId284" Type="http://schemas.openxmlformats.org/officeDocument/2006/relationships/image" Target="media/image125.png"/><Relationship Id="rId319" Type="http://schemas.openxmlformats.org/officeDocument/2006/relationships/image" Target="media/image159.png"/><Relationship Id="rId37" Type="http://schemas.openxmlformats.org/officeDocument/2006/relationships/hyperlink" Target="https://agroserver.ru/" TargetMode="External"/><Relationship Id="rId58" Type="http://schemas.openxmlformats.org/officeDocument/2006/relationships/image" Target="media/image5.png"/><Relationship Id="rId79" Type="http://schemas.openxmlformats.org/officeDocument/2006/relationships/hyperlink" Target="https://statrielt.ru/" TargetMode="External"/><Relationship Id="rId102" Type="http://schemas.openxmlformats.org/officeDocument/2006/relationships/image" Target="media/image12.png"/><Relationship Id="rId123" Type="http://schemas.openxmlformats.org/officeDocument/2006/relationships/hyperlink" Target="http://www.consultant.ru/document/cons_doc_LAW_217405/078fecade34330b9fb93b15a90c5b39866fccb5c/" TargetMode="External"/><Relationship Id="rId144" Type="http://schemas.openxmlformats.org/officeDocument/2006/relationships/footer" Target="footer1.xml"/><Relationship Id="rId330" Type="http://schemas.openxmlformats.org/officeDocument/2006/relationships/image" Target="media/image166.png"/><Relationship Id="rId90" Type="http://schemas.openxmlformats.org/officeDocument/2006/relationships/hyperlink" Target="https://statrielt.ru/" TargetMode="External"/><Relationship Id="rId165" Type="http://schemas.openxmlformats.org/officeDocument/2006/relationships/chart" Target="charts/chart15.xml"/><Relationship Id="rId186" Type="http://schemas.openxmlformats.org/officeDocument/2006/relationships/image" Target="media/image28.wmf"/><Relationship Id="rId351" Type="http://schemas.openxmlformats.org/officeDocument/2006/relationships/image" Target="media/image187.png"/><Relationship Id="rId372" Type="http://schemas.openxmlformats.org/officeDocument/2006/relationships/image" Target="media/image208.png"/><Relationship Id="rId211" Type="http://schemas.openxmlformats.org/officeDocument/2006/relationships/image" Target="media/image52.png"/><Relationship Id="rId232" Type="http://schemas.openxmlformats.org/officeDocument/2006/relationships/image" Target="media/image73.png"/><Relationship Id="rId253" Type="http://schemas.openxmlformats.org/officeDocument/2006/relationships/image" Target="media/image94.png"/><Relationship Id="rId274" Type="http://schemas.openxmlformats.org/officeDocument/2006/relationships/image" Target="media/image115.png"/><Relationship Id="rId295" Type="http://schemas.openxmlformats.org/officeDocument/2006/relationships/image" Target="media/image135.png"/><Relationship Id="rId309" Type="http://schemas.openxmlformats.org/officeDocument/2006/relationships/image" Target="media/image149.png"/><Relationship Id="rId27" Type="http://schemas.openxmlformats.org/officeDocument/2006/relationships/hyperlink" Target="https://youla.ruzh" TargetMode="External"/><Relationship Id="rId48" Type="http://schemas.openxmlformats.org/officeDocument/2006/relationships/hyperlink" Target="consultantplus://offline/ref=DF1BCA85724DF4DB414D75F4DEA408923D78EC098EDF064DB2024C6931AE1033EA0A512F00E4CF4CCCA91707BD8E701CA2AD9DCC64F9AFFFE0hDJ" TargetMode="External"/><Relationship Id="rId69" Type="http://schemas.openxmlformats.org/officeDocument/2006/relationships/hyperlink" Target="http://www.vrx.ru/" TargetMode="External"/><Relationship Id="rId113" Type="http://schemas.openxmlformats.org/officeDocument/2006/relationships/hyperlink" Target="https://statrielt.ru/" TargetMode="External"/><Relationship Id="rId134" Type="http://schemas.openxmlformats.org/officeDocument/2006/relationships/image" Target="media/image17.png"/><Relationship Id="rId320" Type="http://schemas.openxmlformats.org/officeDocument/2006/relationships/image" Target="media/image160.png"/><Relationship Id="rId80" Type="http://schemas.openxmlformats.org/officeDocument/2006/relationships/hyperlink" Target="http://www.avito.ru" TargetMode="External"/><Relationship Id="rId155" Type="http://schemas.openxmlformats.org/officeDocument/2006/relationships/chart" Target="charts/chart5.xml"/><Relationship Id="rId176" Type="http://schemas.openxmlformats.org/officeDocument/2006/relationships/chart" Target="charts/chart26.xml"/><Relationship Id="rId197" Type="http://schemas.openxmlformats.org/officeDocument/2006/relationships/image" Target="media/image38.wmf"/><Relationship Id="rId341" Type="http://schemas.openxmlformats.org/officeDocument/2006/relationships/image" Target="media/image177.png"/><Relationship Id="rId362" Type="http://schemas.openxmlformats.org/officeDocument/2006/relationships/image" Target="media/image198.png"/><Relationship Id="rId201" Type="http://schemas.openxmlformats.org/officeDocument/2006/relationships/image" Target="media/image42.png"/><Relationship Id="rId222" Type="http://schemas.openxmlformats.org/officeDocument/2006/relationships/image" Target="media/image63.png"/><Relationship Id="rId243" Type="http://schemas.openxmlformats.org/officeDocument/2006/relationships/image" Target="media/image84.png"/><Relationship Id="rId264" Type="http://schemas.openxmlformats.org/officeDocument/2006/relationships/image" Target="media/image105.png"/><Relationship Id="rId285" Type="http://schemas.openxmlformats.org/officeDocument/2006/relationships/image" Target="media/image126.png"/><Relationship Id="rId17" Type="http://schemas.openxmlformats.org/officeDocument/2006/relationships/hyperlink" Target="http://fgivo.ru/" TargetMode="External"/><Relationship Id="rId38" Type="http://schemas.openxmlformats.org/officeDocument/2006/relationships/hyperlink" Target="https://www.beboss.ru/" TargetMode="External"/><Relationship Id="rId59" Type="http://schemas.openxmlformats.org/officeDocument/2006/relationships/hyperlink" Target="https://statrielt.ru/" TargetMode="External"/><Relationship Id="rId103" Type="http://schemas.openxmlformats.org/officeDocument/2006/relationships/hyperlink" Target="https://statrielt.ru/" TargetMode="External"/><Relationship Id="rId124" Type="http://schemas.openxmlformats.org/officeDocument/2006/relationships/hyperlink" Target="http://www.consultant.ru/document/cons_doc_LAW_217405/9415e835acfb4b66da9c727e00aac2c74a70b023/" TargetMode="External"/><Relationship Id="rId310" Type="http://schemas.openxmlformats.org/officeDocument/2006/relationships/image" Target="media/image150.png"/><Relationship Id="rId70" Type="http://schemas.openxmlformats.org/officeDocument/2006/relationships/hyperlink" Target="http://www.tvoyadres.ru" TargetMode="External"/><Relationship Id="rId91" Type="http://schemas.openxmlformats.org/officeDocument/2006/relationships/hyperlink" Target="http://www.vrx.ru/" TargetMode="External"/><Relationship Id="rId145" Type="http://schemas.openxmlformats.org/officeDocument/2006/relationships/hyperlink" Target="http://www.consultant.ru/document/cons_doc_LAW_416263/3aaecaef129040f9a9e5ed1043eb79e782e6e4fc/" TargetMode="External"/><Relationship Id="rId166" Type="http://schemas.openxmlformats.org/officeDocument/2006/relationships/chart" Target="charts/chart16.xml"/><Relationship Id="rId187" Type="http://schemas.openxmlformats.org/officeDocument/2006/relationships/image" Target="media/image29.wmf"/><Relationship Id="rId331" Type="http://schemas.openxmlformats.org/officeDocument/2006/relationships/image" Target="media/image167.png"/><Relationship Id="rId352" Type="http://schemas.openxmlformats.org/officeDocument/2006/relationships/image" Target="media/image188.png"/><Relationship Id="rId373" Type="http://schemas.openxmlformats.org/officeDocument/2006/relationships/image" Target="media/image209.png"/><Relationship Id="rId1" Type="http://schemas.openxmlformats.org/officeDocument/2006/relationships/customXml" Target="../customXml/item1.xml"/><Relationship Id="rId212" Type="http://schemas.openxmlformats.org/officeDocument/2006/relationships/image" Target="media/image53.png"/><Relationship Id="rId233" Type="http://schemas.openxmlformats.org/officeDocument/2006/relationships/image" Target="media/image74.png"/><Relationship Id="rId254" Type="http://schemas.openxmlformats.org/officeDocument/2006/relationships/image" Target="media/image95.png"/><Relationship Id="rId28" Type="http://schemas.openxmlformats.org/officeDocument/2006/relationships/hyperlink" Target="https://realty.yandex.ru/voronezh/" TargetMode="External"/><Relationship Id="rId49" Type="http://schemas.openxmlformats.org/officeDocument/2006/relationships/hyperlink" Target="consultantplus://offline/ref=260C3539C21595CEB69E920062A67C3BB1DA7FF1F68D3F26D2AF17EFA5EFE0C0953087FCA27F96D2A6996E7DC1j1e3H" TargetMode="External"/><Relationship Id="rId114" Type="http://schemas.openxmlformats.org/officeDocument/2006/relationships/hyperlink" Target="http://www.consultant.ru/document/cons_doc_LAW_217405/2e1895813406b8aedd976879ea1f73a0a4a36a1a/" TargetMode="External"/><Relationship Id="rId275" Type="http://schemas.openxmlformats.org/officeDocument/2006/relationships/image" Target="media/image116.png"/><Relationship Id="rId296" Type="http://schemas.openxmlformats.org/officeDocument/2006/relationships/image" Target="media/image136.png"/><Relationship Id="rId300" Type="http://schemas.openxmlformats.org/officeDocument/2006/relationships/image" Target="media/image140.png"/><Relationship Id="rId60" Type="http://schemas.openxmlformats.org/officeDocument/2006/relationships/image" Target="media/image6.png"/><Relationship Id="rId81" Type="http://schemas.openxmlformats.org/officeDocument/2006/relationships/hyperlink" Target="http://www.fgivo.ru" TargetMode="External"/><Relationship Id="rId135" Type="http://schemas.openxmlformats.org/officeDocument/2006/relationships/hyperlink" Target="http://water-rf.ru/%D0%9E_%D0%B2%D0%BE%D0%B4%D0%B5_%D0%BE%D1%84%D0%B8%D1%86%D0%B8%D0%B0%D0%BB%D1%8C%D0%BD%D0%BE/809/%D0%A4%D0%B5%D0%B4%D0%B5%D1%80%D0%B0%D0%BB%D1%8C%D0%BD%D0%BE%D0%B5_%D0%B0%D0%B3%D0%B5%D0%BD%D1%82%D1%81%D1%82%D0%B2%D0%BE_%D0%B2%D0%BE%D0%B4%D0%BD%D1%8B%D1%85_%D1%80%D0%B5%D1%81%D1%83%D1%80%D1%81%D0%BE%D0%B2" TargetMode="External"/><Relationship Id="rId156" Type="http://schemas.openxmlformats.org/officeDocument/2006/relationships/chart" Target="charts/chart6.xml"/><Relationship Id="rId177" Type="http://schemas.openxmlformats.org/officeDocument/2006/relationships/chart" Target="charts/chart27.xml"/><Relationship Id="rId198" Type="http://schemas.openxmlformats.org/officeDocument/2006/relationships/image" Target="media/image39.wmf"/><Relationship Id="rId321" Type="http://schemas.openxmlformats.org/officeDocument/2006/relationships/image" Target="media/image161.png"/><Relationship Id="rId342" Type="http://schemas.openxmlformats.org/officeDocument/2006/relationships/image" Target="media/image178.png"/><Relationship Id="rId363" Type="http://schemas.openxmlformats.org/officeDocument/2006/relationships/image" Target="media/image199.png"/><Relationship Id="rId202" Type="http://schemas.openxmlformats.org/officeDocument/2006/relationships/image" Target="media/image43.png"/><Relationship Id="rId223" Type="http://schemas.openxmlformats.org/officeDocument/2006/relationships/image" Target="media/image64.png"/><Relationship Id="rId244" Type="http://schemas.openxmlformats.org/officeDocument/2006/relationships/image" Target="media/image85.png"/><Relationship Id="rId18" Type="http://schemas.openxmlformats.org/officeDocument/2006/relationships/hyperlink" Target="https://yandex.ru/maps/" TargetMode="External"/><Relationship Id="rId39" Type="http://schemas.openxmlformats.org/officeDocument/2006/relationships/hyperlink" Target="https://nikvrn.ru/" TargetMode="External"/><Relationship Id="rId265" Type="http://schemas.openxmlformats.org/officeDocument/2006/relationships/image" Target="media/image106.png"/><Relationship Id="rId286" Type="http://schemas.openxmlformats.org/officeDocument/2006/relationships/image" Target="media/image127.png"/><Relationship Id="rId50" Type="http://schemas.openxmlformats.org/officeDocument/2006/relationships/hyperlink" Target="https://vrnguide.ru/t-admin/go-vrn/voronezh.html" TargetMode="External"/><Relationship Id="rId104" Type="http://schemas.openxmlformats.org/officeDocument/2006/relationships/hyperlink" Target="https://statrielt.ru/" TargetMode="External"/><Relationship Id="rId125" Type="http://schemas.openxmlformats.org/officeDocument/2006/relationships/hyperlink" Target="http://www.consultant.ru/document/cons_doc_LAW_217405/a19c69a3a876fc5c4b888acd78de9408ccc816ef/" TargetMode="External"/><Relationship Id="rId146" Type="http://schemas.openxmlformats.org/officeDocument/2006/relationships/hyperlink" Target="http://www.consultant.ru/document/cons_doc_LAW_416263/45d0cc69700d8ee1f78688bba249153491cb80e5/" TargetMode="External"/><Relationship Id="rId167" Type="http://schemas.openxmlformats.org/officeDocument/2006/relationships/chart" Target="charts/chart17.xml"/><Relationship Id="rId188" Type="http://schemas.openxmlformats.org/officeDocument/2006/relationships/image" Target="media/image30.png"/><Relationship Id="rId311" Type="http://schemas.openxmlformats.org/officeDocument/2006/relationships/image" Target="media/image151.png"/><Relationship Id="rId332" Type="http://schemas.openxmlformats.org/officeDocument/2006/relationships/image" Target="media/image168.png"/><Relationship Id="rId353" Type="http://schemas.openxmlformats.org/officeDocument/2006/relationships/image" Target="media/image189.png"/><Relationship Id="rId374" Type="http://schemas.openxmlformats.org/officeDocument/2006/relationships/fontTable" Target="fontTable.xml"/><Relationship Id="rId71" Type="http://schemas.openxmlformats.org/officeDocument/2006/relationships/hyperlink" Target="http://www.multilisting.su" TargetMode="External"/><Relationship Id="rId92" Type="http://schemas.openxmlformats.org/officeDocument/2006/relationships/hyperlink" Target="http://www.avito.ru" TargetMode="External"/><Relationship Id="rId213" Type="http://schemas.openxmlformats.org/officeDocument/2006/relationships/image" Target="media/image54.png"/><Relationship Id="rId234"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hyperlink" Target="https://www.domofond.ru/prodazha-nedvizhimosti-voronezh-c3098" TargetMode="External"/><Relationship Id="rId255" Type="http://schemas.openxmlformats.org/officeDocument/2006/relationships/image" Target="media/image96.png"/><Relationship Id="rId276" Type="http://schemas.openxmlformats.org/officeDocument/2006/relationships/image" Target="media/image117.png"/><Relationship Id="rId297" Type="http://schemas.openxmlformats.org/officeDocument/2006/relationships/image" Target="media/image137.png"/><Relationship Id="rId40" Type="http://schemas.openxmlformats.org/officeDocument/2006/relationships/hyperlink" Target="https://statrielt.ru/" TargetMode="External"/><Relationship Id="rId115" Type="http://schemas.openxmlformats.org/officeDocument/2006/relationships/hyperlink" Target="http://www.consultant.ru/document/cons_doc_LAW_217405/87f6f997c79d4dd77365c27e0d36e5e063733534/" TargetMode="External"/><Relationship Id="rId136" Type="http://schemas.openxmlformats.org/officeDocument/2006/relationships/hyperlink" Target="http://water-rf.ru/%D0%9E_%D0%B2%D0%BE%D0%B4%D0%B5_%D0%BE%D1%84%D0%B8%D1%86%D0%B8%D0%B0%D0%BB%D1%8C%D0%BD%D0%BE/1761/%D0%91%D0%B0%D1%81%D1%81%D0%B5%D0%B9%D0%BD%D0%BE%D0%B2%D1%8B%D0%B5_%D0%B2%D0%BE%D0%B4%D0%BD%D1%8B%D0%B5_%D1%83%D0%BF%D1%80%D0%B0%D0%B2%D0%BB%D0%B5%D0%BD%D0%B8%D1%8F" TargetMode="External"/><Relationship Id="rId157" Type="http://schemas.openxmlformats.org/officeDocument/2006/relationships/chart" Target="charts/chart7.xml"/><Relationship Id="rId178" Type="http://schemas.openxmlformats.org/officeDocument/2006/relationships/chart" Target="charts/chart28.xml"/><Relationship Id="rId301" Type="http://schemas.openxmlformats.org/officeDocument/2006/relationships/image" Target="media/image141.png"/><Relationship Id="rId322" Type="http://schemas.openxmlformats.org/officeDocument/2006/relationships/image" Target="media/image162.png"/><Relationship Id="rId343" Type="http://schemas.openxmlformats.org/officeDocument/2006/relationships/image" Target="media/image179.png"/><Relationship Id="rId364" Type="http://schemas.openxmlformats.org/officeDocument/2006/relationships/image" Target="media/image200.png"/><Relationship Id="rId61" Type="http://schemas.openxmlformats.org/officeDocument/2006/relationships/hyperlink" Target="http://www.avito.ru" TargetMode="External"/><Relationship Id="rId82" Type="http://schemas.openxmlformats.org/officeDocument/2006/relationships/hyperlink" Target="http://www.vrx.ru/" TargetMode="External"/><Relationship Id="rId199" Type="http://schemas.openxmlformats.org/officeDocument/2006/relationships/image" Target="media/image40.png"/><Relationship Id="rId203" Type="http://schemas.openxmlformats.org/officeDocument/2006/relationships/image" Target="media/image44.png"/><Relationship Id="rId19" Type="http://schemas.openxmlformats.org/officeDocument/2006/relationships/hyperlink" Target="https://www.google.ru/maps" TargetMode="External"/><Relationship Id="rId224" Type="http://schemas.openxmlformats.org/officeDocument/2006/relationships/image" Target="media/image65.png"/><Relationship Id="rId245" Type="http://schemas.openxmlformats.org/officeDocument/2006/relationships/image" Target="media/image86.png"/><Relationship Id="rId266" Type="http://schemas.openxmlformats.org/officeDocument/2006/relationships/image" Target="media/image107.png"/><Relationship Id="rId287" Type="http://schemas.openxmlformats.org/officeDocument/2006/relationships/image" Target="media/image128.png"/><Relationship Id="rId30" Type="http://schemas.openxmlformats.org/officeDocument/2006/relationships/hyperlink" Target="https://onrealt.ru" TargetMode="External"/><Relationship Id="rId105" Type="http://schemas.openxmlformats.org/officeDocument/2006/relationships/hyperlink" Target="https://statrielt.ru/" TargetMode="External"/><Relationship Id="rId126" Type="http://schemas.openxmlformats.org/officeDocument/2006/relationships/hyperlink" Target="http://www.consultant.ru/document/cons_doc_LAW_217405/3ff6c51b5a97501fd38cc42125569145f880f572/" TargetMode="External"/><Relationship Id="rId147" Type="http://schemas.openxmlformats.org/officeDocument/2006/relationships/hyperlink" Target="http://www.consultant.ru/document/cons_doc_LAW_416263/b4d0a70b3ac252c3b67fc97a4837478526d9a590/" TargetMode="External"/><Relationship Id="rId168" Type="http://schemas.openxmlformats.org/officeDocument/2006/relationships/chart" Target="charts/chart18.xml"/><Relationship Id="rId312" Type="http://schemas.openxmlformats.org/officeDocument/2006/relationships/image" Target="media/image152.png"/><Relationship Id="rId333" Type="http://schemas.openxmlformats.org/officeDocument/2006/relationships/image" Target="media/image169.png"/><Relationship Id="rId354" Type="http://schemas.openxmlformats.org/officeDocument/2006/relationships/image" Target="media/image190.png"/><Relationship Id="rId51" Type="http://schemas.openxmlformats.org/officeDocument/2006/relationships/image" Target="media/image2.jpeg"/><Relationship Id="rId72" Type="http://schemas.openxmlformats.org/officeDocument/2006/relationships/hyperlink" Target="http://www.torgi.gov.ru" TargetMode="External"/><Relationship Id="rId93" Type="http://schemas.openxmlformats.org/officeDocument/2006/relationships/hyperlink" Target="http://www.vrx.ru/" TargetMode="External"/><Relationship Id="rId189" Type="http://schemas.openxmlformats.org/officeDocument/2006/relationships/image" Target="media/image31.wmf"/><Relationship Id="rId375"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55.png"/><Relationship Id="rId235" Type="http://schemas.openxmlformats.org/officeDocument/2006/relationships/image" Target="media/image76.png"/><Relationship Id="rId256" Type="http://schemas.openxmlformats.org/officeDocument/2006/relationships/image" Target="media/image97.png"/><Relationship Id="rId277" Type="http://schemas.openxmlformats.org/officeDocument/2006/relationships/image" Target="media/image118.png"/><Relationship Id="rId298" Type="http://schemas.openxmlformats.org/officeDocument/2006/relationships/image" Target="media/image138.png"/><Relationship Id="rId116" Type="http://schemas.openxmlformats.org/officeDocument/2006/relationships/hyperlink" Target="http://www.consultant.ru/document/cons_doc_LAW_217405/c267f51ebeff2c82294c2f00cac863e3a22c6a09/" TargetMode="External"/><Relationship Id="rId137" Type="http://schemas.openxmlformats.org/officeDocument/2006/relationships/image" Target="media/image18.png"/><Relationship Id="rId158" Type="http://schemas.openxmlformats.org/officeDocument/2006/relationships/chart" Target="charts/chart8.xml"/><Relationship Id="rId302" Type="http://schemas.openxmlformats.org/officeDocument/2006/relationships/image" Target="media/image142.png"/><Relationship Id="rId323" Type="http://schemas.openxmlformats.org/officeDocument/2006/relationships/hyperlink" Target="https://statrielt.ru/" TargetMode="External"/><Relationship Id="rId344" Type="http://schemas.openxmlformats.org/officeDocument/2006/relationships/image" Target="media/image180.png"/><Relationship Id="rId20" Type="http://schemas.openxmlformats.org/officeDocument/2006/relationships/hyperlink" Target="https://2gis.ru/" TargetMode="External"/><Relationship Id="rId41" Type="http://schemas.openxmlformats.org/officeDocument/2006/relationships/hyperlink" Target="https://ksota.ru/" TargetMode="External"/><Relationship Id="rId62" Type="http://schemas.openxmlformats.org/officeDocument/2006/relationships/hyperlink" Target="http://www.move.ru" TargetMode="External"/><Relationship Id="rId83" Type="http://schemas.openxmlformats.org/officeDocument/2006/relationships/hyperlink" Target="http://www.tvoyadres.ru" TargetMode="External"/><Relationship Id="rId179" Type="http://schemas.openxmlformats.org/officeDocument/2006/relationships/hyperlink" Target="https://rosreestr.ru" TargetMode="External"/><Relationship Id="rId365" Type="http://schemas.openxmlformats.org/officeDocument/2006/relationships/image" Target="media/image201.png"/><Relationship Id="rId190" Type="http://schemas.openxmlformats.org/officeDocument/2006/relationships/oleObject" Target="embeddings/oleObject1.bin"/><Relationship Id="rId204" Type="http://schemas.openxmlformats.org/officeDocument/2006/relationships/image" Target="media/image45.png"/><Relationship Id="rId225" Type="http://schemas.openxmlformats.org/officeDocument/2006/relationships/image" Target="media/image66.png"/><Relationship Id="rId246" Type="http://schemas.openxmlformats.org/officeDocument/2006/relationships/image" Target="media/image87.png"/><Relationship Id="rId267" Type="http://schemas.openxmlformats.org/officeDocument/2006/relationships/image" Target="media/image108.png"/><Relationship Id="rId288" Type="http://schemas.openxmlformats.org/officeDocument/2006/relationships/image" Target="media/image129.png"/><Relationship Id="rId106" Type="http://schemas.openxmlformats.org/officeDocument/2006/relationships/hyperlink" Target="https://statrielt.ru/" TargetMode="External"/><Relationship Id="rId127" Type="http://schemas.openxmlformats.org/officeDocument/2006/relationships/hyperlink" Target="http://www.consultant.ru/document/cons_doc_LAW_217405/b5f096b6fe114770c33e4eff46bb45df28d370b8/" TargetMode="External"/><Relationship Id="rId313" Type="http://schemas.openxmlformats.org/officeDocument/2006/relationships/image" Target="media/image153.png"/><Relationship Id="rId10" Type="http://schemas.openxmlformats.org/officeDocument/2006/relationships/hyperlink" Target="http://economy.gov.ru/" TargetMode="External"/><Relationship Id="rId31" Type="http://schemas.openxmlformats.org/officeDocument/2006/relationships/hyperlink" Target="https://multilisting.su/" TargetMode="External"/><Relationship Id="rId52" Type="http://schemas.openxmlformats.org/officeDocument/2006/relationships/hyperlink" Target="consultantplus://offline/ref=E3D6B69F5C965F9D45457E5DBB9F337A991705EDD269938C06B761946DBF0F2811A32F5379CE34FB10C79972CADDE84B14E612E2AB4351F2E8808EIAoBH" TargetMode="External"/><Relationship Id="rId73" Type="http://schemas.openxmlformats.org/officeDocument/2006/relationships/hyperlink" Target="http://www.fgivo.ru" TargetMode="External"/><Relationship Id="rId94" Type="http://schemas.openxmlformats.org/officeDocument/2006/relationships/hyperlink" Target="http://www.avito.ru" TargetMode="External"/><Relationship Id="rId148" Type="http://schemas.openxmlformats.org/officeDocument/2006/relationships/hyperlink" Target="http://www.consultant.ru/document/cons_doc_LAW_416263/d859f042781256910abef1f45a82a69417dbdd2f/" TargetMode="External"/><Relationship Id="rId169" Type="http://schemas.openxmlformats.org/officeDocument/2006/relationships/chart" Target="charts/chart19.xml"/><Relationship Id="rId334" Type="http://schemas.openxmlformats.org/officeDocument/2006/relationships/image" Target="media/image170.png"/><Relationship Id="rId355" Type="http://schemas.openxmlformats.org/officeDocument/2006/relationships/image" Target="media/image191.png"/></Relationships>
</file>

<file path=word/_rels/footnotes.xml.rels><?xml version="1.0" encoding="UTF-8" standalone="yes"?>
<Relationships xmlns="http://schemas.openxmlformats.org/package/2006/relationships"><Relationship Id="rId26" Type="http://schemas.openxmlformats.org/officeDocument/2006/relationships/hyperlink" Target="https://www.economy.gov.ru/material/file/b031b62c7fa726bc769fe02b0f258ce4/12012022.pdf" TargetMode="External"/><Relationship Id="rId21" Type="http://schemas.openxmlformats.org/officeDocument/2006/relationships/hyperlink" Target="https://rosstat.gov.ru/storage/mediabank/osn-12-2021.pdf" TargetMode="External"/><Relationship Id="rId42" Type="http://schemas.openxmlformats.org/officeDocument/2006/relationships/hyperlink" Target="https://www.govvrn.ru/tehnologiceskoe-prisoedinenie-k-elektriceskim-setam" TargetMode="External"/><Relationship Id="rId47" Type="http://schemas.openxmlformats.org/officeDocument/2006/relationships/hyperlink" Target="https://statrielt.ru/statistika-rynka/statistika-na-01-01-2022g/korrektirovki-stoimosti-zemli/2691-skidka-na-torg-utorgovanie-pri-prodazhe-zemelnykh-uchastkov-na-01-01-2022-goda" TargetMode="External"/><Relationship Id="rId63" Type="http://schemas.openxmlformats.org/officeDocument/2006/relationships/hyperlink" Target="https://statrielt.ru/statistika-rynka/statistika-na-01-01-2022g/korrektirovki-stoimosti-zemli/2683-pravo-arendy-pravo-sobstvennosti-zemelnykh-uchastkov-korrektirovki-na-01-01-2022-goda" TargetMode="External"/><Relationship Id="rId68" Type="http://schemas.openxmlformats.org/officeDocument/2006/relationships/hyperlink" Target="https://statrielt.ru/statistika-rynka/statistika-na-01-01-2022g/korrektirovki-stoimosti-zemli/2683-pravo-arendy-pravo-sobstvennosti-zemelnykh-uchastkov-korrektirovki-na-01-01-2022-goda" TargetMode="External"/><Relationship Id="rId84" Type="http://schemas.openxmlformats.org/officeDocument/2006/relationships/hyperlink" Target="https://statrielt.ru/statistika-rynka/statistika-na-01-01-2022g/korrektirovki-stoimosti-zemli/2691-skidka-na-torg-utorgovanie-pri-prodazhe-zemelnykh-uchastkov-na-01-01-2022-goda" TargetMode="External"/><Relationship Id="rId89" Type="http://schemas.openxmlformats.org/officeDocument/2006/relationships/hyperlink" Target="https://statrielt.ru/statistika-rynka/statistika-na-01-01-2022g/korrektirovki-stoimosti-zemli/2683-pravo-arendy-pravo-sobstvennosti-zemelnykh-uchastkov-korrektirovki-na-01-01-2022-goda" TargetMode="External"/><Relationship Id="rId7" Type="http://schemas.openxmlformats.org/officeDocument/2006/relationships/hyperlink" Target="https://rosstat.gov.ru/storage/mediabank/osn-01-2022.pdf" TargetMode="External"/><Relationship Id="rId71" Type="http://schemas.openxmlformats.org/officeDocument/2006/relationships/hyperlink" Target="https://statrielt.ru/statistika-rynka/statistika-na-01-01-2022g/korrektirovki-stoimosti-zemli/2683-pravo-arendy-pravo-sobstvennosti-zemelnykh-uchastkov-korrektirovki-na-01-01-2022-goda" TargetMode="External"/><Relationship Id="rId92" Type="http://schemas.openxmlformats.org/officeDocument/2006/relationships/hyperlink" Target="https://statrielt.ru/statistika-rynka/statistika-na-01-01-2022g/korrektirovki-stoimosti-zemli/2683-pravo-arendy-pravo-sobstvennosti-zemelnykh-uchastkov-korrektirovki-na-01-01-2022-goda" TargetMode="External"/><Relationship Id="rId2" Type="http://schemas.openxmlformats.org/officeDocument/2006/relationships/hyperlink" Target="http://www.inasto.ru/russia.htm" TargetMode="External"/><Relationship Id="rId16" Type="http://schemas.openxmlformats.org/officeDocument/2006/relationships/hyperlink" Target="https://rosstat.gov.ru/storage/mediabank/osn-12-2021.pdf" TargetMode="External"/><Relationship Id="rId29" Type="http://schemas.openxmlformats.org/officeDocument/2006/relationships/hyperlink" Target="https://www.mid.ru/ru/foreign_policy/news/1792639/" TargetMode="External"/><Relationship Id="rId107" Type="http://schemas.openxmlformats.org/officeDocument/2006/relationships/hyperlink" Target="https://statrielt.ru/indeksy/2406-indeksy-izmeneniya-rynochnykh-tsen-v-rublyakh-zemelnykh-uchastkov" TargetMode="External"/><Relationship Id="rId11" Type="http://schemas.openxmlformats.org/officeDocument/2006/relationships/hyperlink" Target="https://rosstat.gov.ru/storage/mediabank/osn-12-2021.pdf" TargetMode="External"/><Relationship Id="rId24" Type="http://schemas.openxmlformats.org/officeDocument/2006/relationships/hyperlink" Target="https://rosstat.gov.ru/storage/mediabank/osn-01-2022.pdf" TargetMode="External"/><Relationship Id="rId32" Type="http://schemas.openxmlformats.org/officeDocument/2006/relationships/hyperlink" Target="https://www.govvrn.ru/documents/34650/1267071/doc1003201000.pdf/a2a87487-bbf3-8de5-3405-d0df791d07fe?version=1.0" TargetMode="External"/><Relationship Id="rId37" Type="http://schemas.openxmlformats.org/officeDocument/2006/relationships/hyperlink" Target="https://www.govvrn.ru/documents/34650/1267071/doc1003201000.pdf/a2a87487-bbf3-8de5-3405-d0df791d07fe?version=1.0" TargetMode="External"/><Relationship Id="rId40" Type="http://schemas.openxmlformats.org/officeDocument/2006/relationships/hyperlink" Target="https://www.vrx.ru/treasury/606.html" TargetMode="External"/><Relationship Id="rId45" Type="http://schemas.openxmlformats.org/officeDocument/2006/relationships/hyperlink" Target="https://36.bn.ru/" TargetMode="External"/><Relationship Id="rId53" Type="http://schemas.openxmlformats.org/officeDocument/2006/relationships/hyperlink" Target="https://statrielt.ru/indeksy/2406-indeksy-izmeneniya-rynochnykh-tsen-v-rublyakh-zemelnykh-uchastkov" TargetMode="External"/><Relationship Id="rId58" Type="http://schemas.openxmlformats.org/officeDocument/2006/relationships/hyperlink" Target="https://statrielt.ru/statistika-rynka/statistika-na-01-01-2022g/korrektirovki-stoimosti-zemli/2691-skidka-na-torg-utorgovanie-pri-prodazhe-zemelnykh-uchastkov-na-01-01-2022-goda" TargetMode="External"/><Relationship Id="rId66" Type="http://schemas.openxmlformats.org/officeDocument/2006/relationships/hyperlink" Target="https://statrielt.ru/statistika-rynka/statistika-na-01-01-2022g/korrektirovki-stoimosti-zemli/2691-skidka-na-torg-utorgovanie-pri-prodazhe-zemelnykh-uchastkov-na-01-01-2022-goda" TargetMode="External"/><Relationship Id="rId74" Type="http://schemas.openxmlformats.org/officeDocument/2006/relationships/hyperlink" Target="https://statrielt.ru/statistika-rynka/statistika-na-01-01-2022g/korrektirovki-stoimosti-zemli/2691-skidka-na-torg-utorgovanie-pri-prodazhe-zemelnykh-uchastkov-na-01-01-2022-goda" TargetMode="External"/><Relationship Id="rId79" Type="http://schemas.openxmlformats.org/officeDocument/2006/relationships/hyperlink" Target="https://statrielt.ru/indeksy/2406-indeksy-izmeneniya-rynochnykh-tsen-v-rublyakh-zemelnykh-uchastkov" TargetMode="External"/><Relationship Id="rId87" Type="http://schemas.openxmlformats.org/officeDocument/2006/relationships/hyperlink" Target="https://statrielt.ru/statistika-rynka/statistika-na-01-01-2022g/korrektirovki-stoimosti-zemli/2691-skidka-na-torg-utorgovanie-pri-prodazhe-zemelnykh-uchastkov-na-01-01-2022-goda" TargetMode="External"/><Relationship Id="rId102" Type="http://schemas.openxmlformats.org/officeDocument/2006/relationships/hyperlink" Target="https://pkk.rosreestr.ru/" TargetMode="External"/><Relationship Id="rId5" Type="http://schemas.openxmlformats.org/officeDocument/2006/relationships/hyperlink" Target="https://ru.wikipedia.org/wiki/&#1055;&#1086;&#1083;&#1077;&#1079;&#1085;&#1099;&#1077;_&#1080;&#1089;&#1082;&#1086;&#1087;&#1072;&#1077;&#1084;&#1099;&#1077;_&#1056;&#1086;&#1089;&#1089;&#1080;&#1080;" TargetMode="External"/><Relationship Id="rId61" Type="http://schemas.openxmlformats.org/officeDocument/2006/relationships/hyperlink" Target="https://statrielt.ru/statistika-rynka/statistika-na-01-01-2022g/korrektirovki-stoimosti-zemli/2691-skidka-na-torg-utorgovanie-pri-prodazhe-zemelnykh-uchastkov-na-01-01-2022-goda" TargetMode="External"/><Relationship Id="rId82" Type="http://schemas.openxmlformats.org/officeDocument/2006/relationships/hyperlink" Target="https://statrielt.ru/indeksy/2406-indeksy-izmeneniya-rynochnykh-tsen-v-rublyakh-zemelnykh-uchastkov" TargetMode="External"/><Relationship Id="rId90" Type="http://schemas.openxmlformats.org/officeDocument/2006/relationships/hyperlink" Target="https://statrielt.ru/statistika-rynka/statistika-na-01-01-2022g/korrektirovki-stoimosti-zemli/2691-skidka-na-torg-utorgovanie-pri-prodazhe-zemelnykh-uchastkov-na-01-01-2022-goda" TargetMode="External"/><Relationship Id="rId95" Type="http://schemas.openxmlformats.org/officeDocument/2006/relationships/hyperlink" Target="http://rosleshoz.gov.ru/activity/forest_use" TargetMode="External"/><Relationship Id="rId19" Type="http://schemas.openxmlformats.org/officeDocument/2006/relationships/hyperlink" Target="https://rosstat.gov.ru/storage/mediabank/osn-12-2021.pdf" TargetMode="External"/><Relationship Id="rId14" Type="http://schemas.openxmlformats.org/officeDocument/2006/relationships/hyperlink" Target="https://rosstat.gov.ru/storage/mediabank/osn-12-2021.pdf" TargetMode="External"/><Relationship Id="rId22" Type="http://schemas.openxmlformats.org/officeDocument/2006/relationships/hyperlink" Target="https://rosstat.gov.ru/storage/mediabank/osn-12-2021.pdf" TargetMode="External"/><Relationship Id="rId27" Type="http://schemas.openxmlformats.org/officeDocument/2006/relationships/hyperlink" Target="https://cbr.ru/currency_base/daily/?UniDbQuery.Posted=True&amp;UniDbQuery.To=01.01.2022" TargetMode="External"/><Relationship Id="rId30" Type="http://schemas.openxmlformats.org/officeDocument/2006/relationships/hyperlink" Target="https://vrnguide.ru/general-information.html" TargetMode="External"/><Relationship Id="rId35" Type="http://schemas.openxmlformats.org/officeDocument/2006/relationships/hyperlink" Target="https://www.govvrn.ru/documents/34650/1267071/doc1003201000.pdf/a2a87487-bbf3-8de5-3405-d0df791d07fe?version=1.0" TargetMode="External"/><Relationship Id="rId43" Type="http://schemas.openxmlformats.org/officeDocument/2006/relationships/hyperlink" Target="http://vrnges.ru/customers/tehnologicheskoe_prisoedinenie/kalkulyator_tehnologicheskogo_prisoedineniya/" TargetMode="External"/><Relationship Id="rId48" Type="http://schemas.openxmlformats.org/officeDocument/2006/relationships/hyperlink" Target="https://statrielt.ru/indeksy/2406-indeksy-izmeneniya-rynochnykh-tsen-v-rublyakh-zemelnykh-uchastkov" TargetMode="External"/><Relationship Id="rId56" Type="http://schemas.openxmlformats.org/officeDocument/2006/relationships/hyperlink" Target="https://www.retail.ru/articles/trendy-v-torgovoy-nedvizhimosti-2021-glazami-avito-nedvizhimosti/" TargetMode="External"/><Relationship Id="rId64" Type="http://schemas.openxmlformats.org/officeDocument/2006/relationships/hyperlink" Target="https://irnr.ru/wp-content/uploads/%D0%93%D0%BE%D1%80%D0%BE%D0%B4%D0%B0/%D0%92%D0%BE%D1%80%D0%BE%D0%BD%D0%B5%D0%B6.pdf?ysclid=l1xb3wlsgo" TargetMode="External"/><Relationship Id="rId69" Type="http://schemas.openxmlformats.org/officeDocument/2006/relationships/hyperlink" Target="https://statrielt.ru/statistika-rynka/statistika-na-01-01-2022g/korrektirovki-stoimosti-zemli/2691-skidka-na-torg-utorgovanie-pri-prodazhe-zemelnykh-uchastkov-na-01-01-2022-goda" TargetMode="External"/><Relationship Id="rId77" Type="http://schemas.openxmlformats.org/officeDocument/2006/relationships/hyperlink" Target="https://bravo-voronezh.ru/sovremennost/voronezhskiy-kray-v-centre-rossii/voronezhskiy-kray-obschie-svedeniya/agropromyshlennyy-kompleks-voronezhskoy-oblasti/" TargetMode="External"/><Relationship Id="rId100" Type="http://schemas.openxmlformats.org/officeDocument/2006/relationships/hyperlink" Target="file:///C:/Users/%D0%9F%D0%BE%D0%BB%D1%8C%D0%B7%D0%BE%D0%B2%D0%B0%D1%82%D0%B5%D0%BB%D1%8C/Downloads/YYYYYY_YY_2017_YYY%20(1).pdf" TargetMode="External"/><Relationship Id="rId105" Type="http://schemas.openxmlformats.org/officeDocument/2006/relationships/hyperlink" Target="https://statrielt.ru/indeksy/2406-indeksy-izmeneniya-rynochnykh-tsen-v-rublyakh-zemelnykh-uchastkov" TargetMode="External"/><Relationship Id="rId8" Type="http://schemas.openxmlformats.org/officeDocument/2006/relationships/hyperlink" Target="https://rosstat.gov.ru/storage/mediabank/osn-12-2021.pdf" TargetMode="External"/><Relationship Id="rId51" Type="http://schemas.openxmlformats.org/officeDocument/2006/relationships/hyperlink" Target="http://vuzoteka.ru/%D0%B2%D1%83%D0%B7%D1%8B/%D0%B3%D0%BE%D1%80%D0%BE%D0%B4%D0%B0" TargetMode="External"/><Relationship Id="rId72" Type="http://schemas.openxmlformats.org/officeDocument/2006/relationships/hyperlink" Target="https://www.kommersant.ru/doc/2851627" TargetMode="External"/><Relationship Id="rId80" Type="http://schemas.openxmlformats.org/officeDocument/2006/relationships/hyperlink" Target="https://statrielt.ru/statistika-rynka/statistika-na-01-01-2022g/korrektirovki-stoimosti-zemli/2683-pravo-arendy-pravo-sobstvennosti-zemelnykh-uchastkov-korrektirovki-na-01-01-2022-goda" TargetMode="External"/><Relationship Id="rId85" Type="http://schemas.openxmlformats.org/officeDocument/2006/relationships/hyperlink" Target="https://statrielt.ru/indeksy/2406-indeksy-izmeneniya-rynochnykh-tsen-v-rublyakh-zemelnykh-uchastkov" TargetMode="External"/><Relationship Id="rId93" Type="http://schemas.openxmlformats.org/officeDocument/2006/relationships/hyperlink" Target="https://statrielt.ru/statistika-rynka/statistika-na-01-01-2022g/korrektirovki-stoimosti-zemli/2691-skidka-na-torg-utorgovanie-pri-prodazhe-zemelnykh-uchastkov-na-01-01-2022-goda" TargetMode="External"/><Relationship Id="rId98" Type="http://schemas.openxmlformats.org/officeDocument/2006/relationships/hyperlink" Target="https://www.govvrn.ru/%D0%9B%D0%B5%D1%81%D0%BD%D0%BE%D0%B9-%D1%84%D0%BE%D0%BD%D0%B4-%D0%92%D0%BE%D1%80%D0%BE%D0%BD%D0%B5%D0%B6%D1%81%D0%BA%D0%BE%D0%B9-%D0%BE%D0%B1%D0%BB%D0%B0%D1%81%D1%82%D0%B8" TargetMode="External"/><Relationship Id="rId3" Type="http://schemas.openxmlformats.org/officeDocument/2006/relationships/hyperlink" Target="https://geographyofrussia.com/sejsmichnost-rossii/" TargetMode="External"/><Relationship Id="rId12" Type="http://schemas.openxmlformats.org/officeDocument/2006/relationships/hyperlink" Target="https://rosstat.gov.ru/storage/mediabank/osn-12-2021.pdf" TargetMode="External"/><Relationship Id="rId17" Type="http://schemas.openxmlformats.org/officeDocument/2006/relationships/hyperlink" Target="https://rosstat.gov.ru/storage/mediabank/osn-12-2021.pdf" TargetMode="External"/><Relationship Id="rId25" Type="http://schemas.openxmlformats.org/officeDocument/2006/relationships/hyperlink" Target="https://rosstat.gov.ru/storage/mediabank/osn-01-2022.pdf" TargetMode="External"/><Relationship Id="rId33" Type="http://schemas.openxmlformats.org/officeDocument/2006/relationships/hyperlink" Target="https://www.govvrn.ru/documents/34650/1267071/doc1003201000.pdf/a2a87487-bbf3-8de5-3405-d0df791d07fe?version=1.0" TargetMode="External"/><Relationship Id="rId38" Type="http://schemas.openxmlformats.org/officeDocument/2006/relationships/hyperlink" Target="https://files.cdml.ru/IPK/2016_kaddei/10_regulate/book.pdf" TargetMode="External"/><Relationship Id="rId46" Type="http://schemas.openxmlformats.org/officeDocument/2006/relationships/hyperlink" Target="https://www.vrx.ru/treasury/603.html" TargetMode="External"/><Relationship Id="rId59" Type="http://schemas.openxmlformats.org/officeDocument/2006/relationships/hyperlink" Target="https://statrielt.ru/indeksy/2406-indeksy-izmeneniya-rynochnykh-tsen-v-rublyakh-zemelnykh-uchastkov" TargetMode="External"/><Relationship Id="rId67" Type="http://schemas.openxmlformats.org/officeDocument/2006/relationships/hyperlink" Target="https://statrielt.ru/indeksy/2406-indeksy-izmeneniya-rynochnykh-tsen-v-rublyakh-zemelnykh-uchastkov" TargetMode="External"/><Relationship Id="rId103" Type="http://schemas.openxmlformats.org/officeDocument/2006/relationships/hyperlink" Target="https://www.cbr.ru/" TargetMode="External"/><Relationship Id="rId20" Type="http://schemas.openxmlformats.org/officeDocument/2006/relationships/hyperlink" Target="https://rosstat.gov.ru/storage/mediabank/osn-12-2021.pdf" TargetMode="External"/><Relationship Id="rId41" Type="http://schemas.openxmlformats.org/officeDocument/2006/relationships/hyperlink" Target="https://www.govvrn.ru/novost/-/~/id/8220840" TargetMode="External"/><Relationship Id="rId54" Type="http://schemas.openxmlformats.org/officeDocument/2006/relationships/hyperlink" Target="https://statrielt.ru/statistika-rynka/statistika-na-01-01-2022g/korrektirovki-stoimosti-zemli/2683-pravo-arendy-pravo-sobstvennosti-zemelnykh-uchastkov-korrektirovki-na-01-01-2022-goda" TargetMode="External"/><Relationship Id="rId62" Type="http://schemas.openxmlformats.org/officeDocument/2006/relationships/hyperlink" Target="https://statrielt.ru/indeksy/2406-indeksy-izmeneniya-rynochnykh-tsen-v-rublyakh-zemelnykh-uchastkov" TargetMode="External"/><Relationship Id="rId70" Type="http://schemas.openxmlformats.org/officeDocument/2006/relationships/hyperlink" Target="https://statrielt.ru/indeksy/2406-indeksy-izmeneniya-rynochnykh-tsen-v-rublyakh-zemelnykh-uchastkov" TargetMode="External"/><Relationship Id="rId75" Type="http://schemas.openxmlformats.org/officeDocument/2006/relationships/hyperlink" Target="https://statrielt.ru/indeksy/2406-indeksy-izmeneniya-rynochnykh-tsen-v-rublyakh-zemelnykh-uchastkov" TargetMode="External"/><Relationship Id="rId83" Type="http://schemas.openxmlformats.org/officeDocument/2006/relationships/hyperlink" Target="https://statrielt.ru/statistika-rynka/statistika-na-01-01-2022g/korrektirovki-stoimosti-zemli/2683-pravo-arendy-pravo-sobstvennosti-zemelnykh-uchastkov-korrektirovki-na-01-01-2022-goda" TargetMode="External"/><Relationship Id="rId88" Type="http://schemas.openxmlformats.org/officeDocument/2006/relationships/hyperlink" Target="https://statrielt.ru/indeksy/2406-indeksy-izmeneniya-rynochnykh-tsen-v-rublyakh-zemelnykh-uchastkov" TargetMode="External"/><Relationship Id="rId91" Type="http://schemas.openxmlformats.org/officeDocument/2006/relationships/hyperlink" Target="https://statrielt.ru/indeksy/2406-indeksy-izmeneniya-rynochnykh-tsen-v-rublyakh-zemelnykh-uchastkov" TargetMode="External"/><Relationship Id="rId96" Type="http://schemas.openxmlformats.org/officeDocument/2006/relationships/hyperlink" Target="https://rosreestr.ru/site/press/news/lesnoy-fond-tozhe-obekt-nedvizhimogo-imushchestva/" TargetMode="External"/><Relationship Id="rId1" Type="http://schemas.openxmlformats.org/officeDocument/2006/relationships/hyperlink" Target="https://roma.mid.ru/rossia" TargetMode="External"/><Relationship Id="rId6" Type="http://schemas.openxmlformats.org/officeDocument/2006/relationships/hyperlink" Target="https://finexpertiza.ru/press-service/researches/2022/rekord-vysok-zagr-vozd/" TargetMode="External"/><Relationship Id="rId15" Type="http://schemas.openxmlformats.org/officeDocument/2006/relationships/hyperlink" Target="https://rosstat.gov.ru/storage/mediabank/osn-12-2021.pdf" TargetMode="External"/><Relationship Id="rId23" Type="http://schemas.openxmlformats.org/officeDocument/2006/relationships/hyperlink" Target="https://rosstat.gov.ru/storage/mediabank/osn-12-2021.pdf" TargetMode="External"/><Relationship Id="rId28" Type="http://schemas.openxmlformats.org/officeDocument/2006/relationships/hyperlink" Target="https://cbr.ru/hd_base/KeyRate/?UniDbQuery.Posted=True&amp;UniDbQuery.From=01.01.2021&amp;UniDbQuery.To=01.01.2022" TargetMode="External"/><Relationship Id="rId36" Type="http://schemas.openxmlformats.org/officeDocument/2006/relationships/hyperlink" Target="https://www.govvrn.ru/documents/34650/1267071/doc1003201000.pdf/a2a87487-bbf3-8de5-3405-d0df791d07fe?version=1.0" TargetMode="External"/><Relationship Id="rId49" Type="http://schemas.openxmlformats.org/officeDocument/2006/relationships/hyperlink" Target="https://statrielt.ru/statistika-rynka/statistika-na-01-01-2022g/korrektirovki-stoimosti-zemli/2683-pravo-arendy-pravo-sobstvennosti-zemelnykh-uchastkov-korrektirovki-na-01-01-2022-goda" TargetMode="External"/><Relationship Id="rId57" Type="http://schemas.openxmlformats.org/officeDocument/2006/relationships/hyperlink" Target="https://irnr.ru/wp-content/uploads/%D0%93%D0%BE%D1%80%D0%BE%D0%B4%D0%B0/%D0%92%D0%BE%D1%80%D0%BE%D0%BD%D0%B5%D0%B6.pdf?ysclid=l1xb3wlsgo" TargetMode="External"/><Relationship Id="rId106" Type="http://schemas.openxmlformats.org/officeDocument/2006/relationships/hyperlink" Target="https://statrielt.ru/indeksy/2406-indeksy-izmeneniya-rynochnykh-tsen-v-rublyakh-zemelnykh-uchastkov" TargetMode="External"/><Relationship Id="rId10" Type="http://schemas.openxmlformats.org/officeDocument/2006/relationships/hyperlink" Target="https://rosstat.gov.ru/storage/mediabank/osn-12-2021.pdf" TargetMode="External"/><Relationship Id="rId31" Type="http://schemas.openxmlformats.org/officeDocument/2006/relationships/hyperlink" Target="https://clck.yandex.ru/redir/nWO_r1F33ck?data=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&amp;b64e=2&amp;sign=772808eaf5ef102a9140e59a8bb61d96&amp;keyno=17" TargetMode="External"/><Relationship Id="rId44" Type="http://schemas.openxmlformats.org/officeDocument/2006/relationships/hyperlink" Target="http://www.gks.ru/bgd/regl/b18_14p/IssWWW.exe/Stg/d02/16-05.doc" TargetMode="External"/><Relationship Id="rId52" Type="http://schemas.openxmlformats.org/officeDocument/2006/relationships/hyperlink" Target="https://statrielt.ru/statistika-rynka/statistika-na-01-01-2022g/korrektirovki-stoimosti-zemli/2691-skidka-na-torg-utorgovanie-pri-prodazhe-zemelnykh-uchastkov-na-01-01-2022-goda" TargetMode="External"/><Relationship Id="rId60" Type="http://schemas.openxmlformats.org/officeDocument/2006/relationships/hyperlink" Target="https://statrielt.ru/statistika-rynka/statistika-na-01-01-2022g/korrektirovki-stoimosti-zemli/2683-pravo-arendy-pravo-sobstvennosti-zemelnykh-uchastkov-korrektirovki-na-01-01-2022-goda" TargetMode="External"/><Relationship Id="rId65" Type="http://schemas.openxmlformats.org/officeDocument/2006/relationships/hyperlink" Target="https://irnr.ru/wp-content/uploads/%D0%93%D0%BE%D1%80%D0%BE%D0%B4%D0%B0/%D0%92%D0%BE%D1%80%D0%BE%D0%BD%D0%B5%D0%B6.pdf?ysclid=l1xb3wlsgo" TargetMode="External"/><Relationship Id="rId73" Type="http://schemas.openxmlformats.org/officeDocument/2006/relationships/hyperlink" Target="https://36.bn.ru/" TargetMode="External"/><Relationship Id="rId78" Type="http://schemas.openxmlformats.org/officeDocument/2006/relationships/hyperlink" Target="https://statrielt.ru/statistika-rynka/statistika-na-01-01-2022g/korrektirovki-stoimosti-zemli/2691-skidka-na-torg-utorgovanie-pri-prodazhe-zemelnykh-uchastkov-na-01-01-2022-goda" TargetMode="External"/><Relationship Id="rId81" Type="http://schemas.openxmlformats.org/officeDocument/2006/relationships/hyperlink" Target="https://statrielt.ru/statistika-rynka/statistika-na-01-01-2022g/korrektirovki-stoimosti-zemli/2691-skidka-na-torg-utorgovanie-pri-prodazhe-zemelnykh-uchastkov-na-01-01-2022-goda" TargetMode="External"/><Relationship Id="rId86" Type="http://schemas.openxmlformats.org/officeDocument/2006/relationships/hyperlink" Target="https://statrielt.ru/statistika-rynka/statistika-na-01-01-2022g/korrektirovki-stoimosti-zemli/2683-pravo-arendy-pravo-sobstvennosti-zemelnykh-uchastkov-korrektirovki-na-01-01-2022-goda" TargetMode="External"/><Relationship Id="rId94" Type="http://schemas.openxmlformats.org/officeDocument/2006/relationships/hyperlink" Target="https://statrielt.ru/indeksy/2406-indeksy-izmeneniya-rynochnykh-tsen-v-rublyakh-zemelnykh-uchastkov" TargetMode="External"/><Relationship Id="rId99" Type="http://schemas.openxmlformats.org/officeDocument/2006/relationships/hyperlink" Target="https://www.govvrn.ru/%D0%9B%D0%B5%D1%81%D0%BD%D0%BE%D0%B9-%D1%84%D0%BE%D0%BD%D0%B4-%D0%92%D0%BE%D1%80%D0%BE%D0%BD%D0%B5%D0%B6%D1%81%D0%BA%D0%BE%D0%B9-%D0%BE%D0%B1%D0%BB%D0%B0%D1%81%D1%82%D0%B8" TargetMode="External"/><Relationship Id="rId101" Type="http://schemas.openxmlformats.org/officeDocument/2006/relationships/hyperlink" Target="https://www.govvrn.ru/novost/-/~/id/4034068" TargetMode="External"/><Relationship Id="rId4" Type="http://schemas.openxmlformats.org/officeDocument/2006/relationships/hyperlink" Target="https://www.advantour.com/rus/russia/economy/natural-resources.htm" TargetMode="External"/><Relationship Id="rId9" Type="http://schemas.openxmlformats.org/officeDocument/2006/relationships/hyperlink" Target="https://rosstat.gov.ru/storage/mediabank/osn-01-2022.pdf" TargetMode="External"/><Relationship Id="rId13" Type="http://schemas.openxmlformats.org/officeDocument/2006/relationships/hyperlink" Target="https://rosstat.gov.ru/storage/mediabank/osn-01-2022.pdf" TargetMode="External"/><Relationship Id="rId18" Type="http://schemas.openxmlformats.org/officeDocument/2006/relationships/hyperlink" Target="https://rosstat.gov.ru/storage/mediabank/osn-12-2021.pdf" TargetMode="External"/><Relationship Id="rId39" Type="http://schemas.openxmlformats.org/officeDocument/2006/relationships/hyperlink" Target="https://www.govvrn.ru/ispolnitelnye-organy-gosudarstvennoj-vlasti" TargetMode="External"/><Relationship Id="rId34" Type="http://schemas.openxmlformats.org/officeDocument/2006/relationships/hyperlink" Target="https://www.govvrn.ru/documents/34650/1267071/doc1003201000.pdf/a2a87487-bbf3-8de5-3405-d0df791d07fe?version=1.0" TargetMode="External"/><Relationship Id="rId50" Type="http://schemas.openxmlformats.org/officeDocument/2006/relationships/hyperlink" Target="http://www.voronezh-city.ru/upload/iblock/d65/invest18.pdf" TargetMode="External"/><Relationship Id="rId55" Type="http://schemas.openxmlformats.org/officeDocument/2006/relationships/hyperlink" Target="http://www.voronezh-city.ru/administration/structure/detail/22897" TargetMode="External"/><Relationship Id="rId76" Type="http://schemas.openxmlformats.org/officeDocument/2006/relationships/hyperlink" Target="https://bravo-voronezh.ru/sovremennost/voronezhskiy-kray-v-centre-rossii/voronezhskiy-kray-obschie-svedeniya/agropromyshlennyy-kompleks-voronezhskoy-oblasti/" TargetMode="External"/><Relationship Id="rId97" Type="http://schemas.openxmlformats.org/officeDocument/2006/relationships/hyperlink" Target="http://www.consultant.ru/document/cons_doc_LAW_105376/2fe5d1b52c220e5f28f2ec00f9616e8c861a897a/" TargetMode="External"/><Relationship Id="rId104" Type="http://schemas.openxmlformats.org/officeDocument/2006/relationships/hyperlink" Target="https://statrielt.ru/indeksy/2406-indeksy-izmeneniya-rynochnykh-tsen-v-rublyakh-zemelnykh-uchastkov"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2.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КОЛИЧЕСТВО ЗУ, ШТ</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Ряд 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70D-4D05-9EED-F5295F5D3BE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70D-4D05-9EED-F5295F5D3BE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70D-4D05-9EED-F5295F5D3BE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70D-4D05-9EED-F5295F5D3BE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70D-4D05-9EED-F5295F5D3BE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70D-4D05-9EED-F5295F5D3BE1}"/>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270D-4D05-9EED-F5295F5D3BE1}"/>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270D-4D05-9EED-F5295F5D3BE1}"/>
              </c:ext>
            </c:extLst>
          </c:dPt>
          <c:dLbls>
            <c:dLbl>
              <c:idx val="0"/>
              <c:layout>
                <c:manualLayout>
                  <c:x val="-9.1134441443266753E-8"/>
                  <c:y val="0.27380952380952367"/>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ru-RU"/>
                </a:p>
              </c:txPr>
              <c:showLegendKey val="0"/>
              <c:showVal val="1"/>
              <c:showCatName val="1"/>
              <c:showSerName val="0"/>
              <c:showPercent val="0"/>
              <c:showBubbleSize val="0"/>
              <c:separator> </c:separator>
              <c:extLst>
                <c:ext xmlns:c15="http://schemas.microsoft.com/office/drawing/2012/chart" uri="{CE6537A1-D6FC-4f65-9D91-7224C49458BB}">
                  <c15:layout>
                    <c:manualLayout>
                      <c:w val="0.29917814960629918"/>
                      <c:h val="0.12626984126984128"/>
                    </c:manualLayout>
                  </c15:layout>
                </c:ext>
                <c:ext xmlns:c16="http://schemas.microsoft.com/office/drawing/2014/chart" uri="{C3380CC4-5D6E-409C-BE32-E72D297353CC}">
                  <c16:uniqueId val="{00000001-270D-4D05-9EED-F5295F5D3BE1}"/>
                </c:ext>
              </c:extLst>
            </c:dLbl>
            <c:dLbl>
              <c:idx val="1"/>
              <c:layout>
                <c:manualLayout>
                  <c:x val="-3.8047353455818021E-2"/>
                  <c:y val="-5.59273840769903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70D-4D05-9EED-F5295F5D3BE1}"/>
                </c:ext>
              </c:extLst>
            </c:dLbl>
            <c:dLbl>
              <c:idx val="2"/>
              <c:layout>
                <c:manualLayout>
                  <c:x val="7.3696777486147568E-3"/>
                  <c:y val="-0.20453146481689788"/>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ru-RU"/>
                </a:p>
              </c:txPr>
              <c:showLegendKey val="0"/>
              <c:showVal val="1"/>
              <c:showCatName val="1"/>
              <c:showSerName val="0"/>
              <c:showPercent val="0"/>
              <c:showBubbleSize val="0"/>
              <c:separator> </c:separator>
              <c:extLst>
                <c:ext xmlns:c15="http://schemas.microsoft.com/office/drawing/2012/chart" uri="{CE6537A1-D6FC-4f65-9D91-7224C49458BB}">
                  <c15:layout>
                    <c:manualLayout>
                      <c:w val="0.30368055555555556"/>
                      <c:h val="0.18263904511936005"/>
                    </c:manualLayout>
                  </c15:layout>
                </c:ext>
                <c:ext xmlns:c16="http://schemas.microsoft.com/office/drawing/2014/chart" uri="{C3380CC4-5D6E-409C-BE32-E72D297353CC}">
                  <c16:uniqueId val="{00000005-270D-4D05-9EED-F5295F5D3BE1}"/>
                </c:ext>
              </c:extLst>
            </c:dLbl>
            <c:dLbl>
              <c:idx val="3"/>
              <c:layout>
                <c:manualLayout>
                  <c:x val="6.8376847630888082E-2"/>
                  <c:y val="-3.93157105361830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showLegendKey val="0"/>
              <c:showVal val="1"/>
              <c:showCatName val="1"/>
              <c:showSerName val="0"/>
              <c:showPercent val="0"/>
              <c:showBubbleSize val="0"/>
              <c:separator> </c:separator>
              <c:extLst>
                <c:ext xmlns:c15="http://schemas.microsoft.com/office/drawing/2012/chart" uri="{CE6537A1-D6FC-4f65-9D91-7224C49458BB}">
                  <c15:layout>
                    <c:manualLayout>
                      <c:w val="0.25056904345290171"/>
                      <c:h val="0.20563492063492064"/>
                    </c:manualLayout>
                  </c15:layout>
                </c:ext>
                <c:ext xmlns:c16="http://schemas.microsoft.com/office/drawing/2014/chart" uri="{C3380CC4-5D6E-409C-BE32-E72D297353CC}">
                  <c16:uniqueId val="{00000007-270D-4D05-9EED-F5295F5D3BE1}"/>
                </c:ext>
              </c:extLst>
            </c:dLbl>
            <c:dLbl>
              <c:idx val="4"/>
              <c:layout>
                <c:manualLayout>
                  <c:x val="0.12555912418842366"/>
                  <c:y val="4.21306711661041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70D-4D05-9EED-F5295F5D3BE1}"/>
                </c:ext>
              </c:extLst>
            </c:dLbl>
            <c:dLbl>
              <c:idx val="5"/>
              <c:layout>
                <c:manualLayout>
                  <c:x val="9.1446936731592765E-2"/>
                  <c:y val="0.4290532433445819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showLegendKey val="0"/>
              <c:showVal val="1"/>
              <c:showCatName val="1"/>
              <c:showSerName val="0"/>
              <c:showPercent val="0"/>
              <c:showBubbleSize val="0"/>
              <c:separator> </c:separator>
              <c:extLst>
                <c:ext xmlns:c15="http://schemas.microsoft.com/office/drawing/2012/chart" uri="{CE6537A1-D6FC-4f65-9D91-7224C49458BB}">
                  <c15:layout>
                    <c:manualLayout>
                      <c:w val="0.18973370516185475"/>
                      <c:h val="0.10876984126984127"/>
                    </c:manualLayout>
                  </c15:layout>
                </c:ext>
                <c:ext xmlns:c16="http://schemas.microsoft.com/office/drawing/2014/chart" uri="{C3380CC4-5D6E-409C-BE32-E72D297353CC}">
                  <c16:uniqueId val="{0000000B-270D-4D05-9EED-F5295F5D3BE1}"/>
                </c:ext>
              </c:extLst>
            </c:dLbl>
            <c:dLbl>
              <c:idx val="6"/>
              <c:layout>
                <c:manualLayout>
                  <c:x val="0.13102224064097234"/>
                  <c:y val="0.2836151731033619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270D-4D05-9EED-F5295F5D3BE1}"/>
                </c:ext>
              </c:extLst>
            </c:dLbl>
            <c:dLbl>
              <c:idx val="7"/>
              <c:layout>
                <c:manualLayout>
                  <c:x val="2.3121719160104987E-2"/>
                  <c:y val="0.14518122734658159"/>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lumMod val="60000"/>
                        </a:schemeClr>
                      </a:solidFill>
                      <a:latin typeface="+mn-lt"/>
                      <a:ea typeface="+mn-ea"/>
                      <a:cs typeface="+mn-cs"/>
                    </a:defRPr>
                  </a:pPr>
                  <a:endParaRPr lang="ru-RU"/>
                </a:p>
              </c:txPr>
              <c:showLegendKey val="0"/>
              <c:showVal val="1"/>
              <c:showCatName val="1"/>
              <c:showSerName val="0"/>
              <c:showPercent val="0"/>
              <c:showBubbleSize val="0"/>
              <c:separator> </c:separator>
              <c:extLst>
                <c:ext xmlns:c15="http://schemas.microsoft.com/office/drawing/2012/chart" uri="{CE6537A1-D6FC-4f65-9D91-7224C49458BB}">
                  <c15:layout>
                    <c:manualLayout>
                      <c:w val="0.28993058433485286"/>
                      <c:h val="0.12599206349206349"/>
                    </c:manualLayout>
                  </c15:layout>
                </c:ext>
                <c:ext xmlns:c16="http://schemas.microsoft.com/office/drawing/2014/chart" uri="{C3380CC4-5D6E-409C-BE32-E72D297353CC}">
                  <c16:uniqueId val="{0000000F-270D-4D05-9EED-F5295F5D3BE1}"/>
                </c:ext>
              </c:extLst>
            </c:dLbl>
            <c:spPr>
              <a:noFill/>
              <a:ln>
                <a:noFill/>
              </a:ln>
              <a:effectLst/>
            </c:sp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Земли сельскохозяйственного назначения;</c:v>
                </c:pt>
                <c:pt idx="1">
                  <c:v>Земли населенных пунктов;</c:v>
                </c:pt>
                <c:pt idx="2">
                  <c:v>Земли промышленности, энергетики, транспорта...;</c:v>
                </c:pt>
                <c:pt idx="3">
                  <c:v>Земли особо охраняемых территорий и объектов;</c:v>
                </c:pt>
                <c:pt idx="4">
                  <c:v>Земли лесного фонда;</c:v>
                </c:pt>
                <c:pt idx="5">
                  <c:v>Земли водного фонда;</c:v>
                </c:pt>
                <c:pt idx="6">
                  <c:v>Земли запаса.</c:v>
                </c:pt>
                <c:pt idx="7">
                  <c:v>Земли с неустановленной категорией земель</c:v>
                </c:pt>
              </c:strCache>
            </c:strRef>
          </c:cat>
          <c:val>
            <c:numRef>
              <c:f>Лист1!$B$2:$B$9</c:f>
              <c:numCache>
                <c:formatCode>#,##0</c:formatCode>
                <c:ptCount val="8"/>
                <c:pt idx="0">
                  <c:v>279544</c:v>
                </c:pt>
                <c:pt idx="1">
                  <c:v>913143</c:v>
                </c:pt>
                <c:pt idx="2">
                  <c:v>9975</c:v>
                </c:pt>
                <c:pt idx="3" formatCode="General">
                  <c:v>168</c:v>
                </c:pt>
                <c:pt idx="4">
                  <c:v>12486</c:v>
                </c:pt>
                <c:pt idx="5" formatCode="General">
                  <c:v>57</c:v>
                </c:pt>
                <c:pt idx="6" formatCode="General">
                  <c:v>12</c:v>
                </c:pt>
                <c:pt idx="7" formatCode="General">
                  <c:v>23</c:v>
                </c:pt>
              </c:numCache>
            </c:numRef>
          </c:val>
          <c:extLst>
            <c:ext xmlns:c16="http://schemas.microsoft.com/office/drawing/2014/chart" uri="{C3380CC4-5D6E-409C-BE32-E72D297353CC}">
              <c16:uniqueId val="{00000010-270D-4D05-9EED-F5295F5D3BE1}"/>
            </c:ext>
          </c:extLst>
        </c:ser>
        <c:dLbls>
          <c:showLegendKey val="0"/>
          <c:showVal val="0"/>
          <c:showCatName val="0"/>
          <c:showSerName val="0"/>
          <c:showPercent val="0"/>
          <c:showBubbleSize val="0"/>
          <c:showLeaderLines val="1"/>
        </c:dLbls>
        <c:firstSliceAng val="67"/>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Распределение ЗУ 4 сегмента по кодам ВРИ</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Лист1!$B$1</c:f>
              <c:strCache>
                <c:ptCount val="1"/>
                <c:pt idx="0">
                  <c:v>Количество ЗУ</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AE5F-428D-BE15-0195F2B515E9}"/>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AE5F-428D-BE15-0195F2B515E9}"/>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AE5F-428D-BE15-0195F2B515E9}"/>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AE5F-428D-BE15-0195F2B515E9}"/>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AE5F-428D-BE15-0195F2B515E9}"/>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AE5F-428D-BE15-0195F2B515E9}"/>
              </c:ext>
            </c:extLst>
          </c:dPt>
          <c:dPt>
            <c:idx val="6"/>
            <c:invertIfNegative val="0"/>
            <c:bubble3D val="0"/>
            <c:spPr>
              <a:solidFill>
                <a:schemeClr val="accent1">
                  <a:lumMod val="60000"/>
                </a:schemeClr>
              </a:solidFill>
              <a:ln>
                <a:noFill/>
              </a:ln>
              <a:effectLst/>
              <a:sp3d/>
            </c:spPr>
            <c:extLst>
              <c:ext xmlns:c16="http://schemas.microsoft.com/office/drawing/2014/chart" uri="{C3380CC4-5D6E-409C-BE32-E72D297353CC}">
                <c16:uniqueId val="{0000000D-AE5F-428D-BE15-0195F2B515E9}"/>
              </c:ext>
            </c:extLst>
          </c:dPt>
          <c:dPt>
            <c:idx val="7"/>
            <c:invertIfNegative val="0"/>
            <c:bubble3D val="0"/>
            <c:spPr>
              <a:solidFill>
                <a:schemeClr val="accent2">
                  <a:lumMod val="60000"/>
                </a:schemeClr>
              </a:solidFill>
              <a:ln>
                <a:noFill/>
              </a:ln>
              <a:effectLst/>
              <a:sp3d/>
            </c:spPr>
            <c:extLst>
              <c:ext xmlns:c16="http://schemas.microsoft.com/office/drawing/2014/chart" uri="{C3380CC4-5D6E-409C-BE32-E72D297353CC}">
                <c16:uniqueId val="{0000000F-AE5F-428D-BE15-0195F2B515E9}"/>
              </c:ext>
            </c:extLst>
          </c:dPt>
          <c:dPt>
            <c:idx val="8"/>
            <c:invertIfNegative val="0"/>
            <c:bubble3D val="0"/>
            <c:spPr>
              <a:solidFill>
                <a:schemeClr val="accent3">
                  <a:lumMod val="60000"/>
                </a:schemeClr>
              </a:solidFill>
              <a:ln>
                <a:noFill/>
              </a:ln>
              <a:effectLst/>
              <a:sp3d/>
            </c:spPr>
            <c:extLst>
              <c:ext xmlns:c16="http://schemas.microsoft.com/office/drawing/2014/chart" uri="{C3380CC4-5D6E-409C-BE32-E72D297353CC}">
                <c16:uniqueId val="{00000011-AE5F-428D-BE15-0195F2B515E9}"/>
              </c:ext>
            </c:extLst>
          </c:dPt>
          <c:dPt>
            <c:idx val="9"/>
            <c:invertIfNegative val="0"/>
            <c:bubble3D val="0"/>
            <c:spPr>
              <a:solidFill>
                <a:schemeClr val="accent4">
                  <a:lumMod val="60000"/>
                </a:schemeClr>
              </a:solidFill>
              <a:ln>
                <a:noFill/>
              </a:ln>
              <a:effectLst/>
              <a:sp3d/>
            </c:spPr>
            <c:extLst>
              <c:ext xmlns:c16="http://schemas.microsoft.com/office/drawing/2014/chart" uri="{C3380CC4-5D6E-409C-BE32-E72D297353CC}">
                <c16:uniqueId val="{00000013-AE5F-428D-BE15-0195F2B515E9}"/>
              </c:ext>
            </c:extLst>
          </c:dPt>
          <c:dPt>
            <c:idx val="10"/>
            <c:invertIfNegative val="0"/>
            <c:bubble3D val="0"/>
            <c:spPr>
              <a:solidFill>
                <a:schemeClr val="accent5">
                  <a:lumMod val="60000"/>
                </a:schemeClr>
              </a:solidFill>
              <a:ln>
                <a:noFill/>
              </a:ln>
              <a:effectLst/>
              <a:sp3d/>
            </c:spPr>
            <c:extLst>
              <c:ext xmlns:c16="http://schemas.microsoft.com/office/drawing/2014/chart" uri="{C3380CC4-5D6E-409C-BE32-E72D297353CC}">
                <c16:uniqueId val="{00000015-AE5F-428D-BE15-0195F2B515E9}"/>
              </c:ext>
            </c:extLst>
          </c:dPt>
          <c:dPt>
            <c:idx val="11"/>
            <c:invertIfNegative val="0"/>
            <c:bubble3D val="0"/>
            <c:spPr>
              <a:solidFill>
                <a:schemeClr val="accent6">
                  <a:lumMod val="60000"/>
                </a:schemeClr>
              </a:solidFill>
              <a:ln>
                <a:noFill/>
              </a:ln>
              <a:effectLst/>
              <a:sp3d/>
            </c:spPr>
            <c:extLst>
              <c:ext xmlns:c16="http://schemas.microsoft.com/office/drawing/2014/chart" uri="{C3380CC4-5D6E-409C-BE32-E72D297353CC}">
                <c16:uniqueId val="{00000017-AE5F-428D-BE15-0195F2B515E9}"/>
              </c:ext>
            </c:extLst>
          </c:dPt>
          <c:dPt>
            <c:idx val="12"/>
            <c:invertIfNegative val="0"/>
            <c:bubble3D val="0"/>
            <c:spPr>
              <a:solidFill>
                <a:schemeClr val="accent1">
                  <a:lumMod val="80000"/>
                  <a:lumOff val="20000"/>
                </a:schemeClr>
              </a:solidFill>
              <a:ln>
                <a:noFill/>
              </a:ln>
              <a:effectLst/>
              <a:sp3d/>
            </c:spPr>
            <c:extLst>
              <c:ext xmlns:c16="http://schemas.microsoft.com/office/drawing/2014/chart" uri="{C3380CC4-5D6E-409C-BE32-E72D297353CC}">
                <c16:uniqueId val="{00000019-AE5F-428D-BE15-0195F2B515E9}"/>
              </c:ext>
            </c:extLst>
          </c:dPt>
          <c:dPt>
            <c:idx val="13"/>
            <c:invertIfNegative val="0"/>
            <c:bubble3D val="0"/>
            <c:spPr>
              <a:solidFill>
                <a:schemeClr val="accent2">
                  <a:lumMod val="80000"/>
                  <a:lumOff val="20000"/>
                </a:schemeClr>
              </a:solidFill>
              <a:ln>
                <a:noFill/>
              </a:ln>
              <a:effectLst/>
              <a:sp3d/>
            </c:spPr>
            <c:extLst>
              <c:ext xmlns:c16="http://schemas.microsoft.com/office/drawing/2014/chart" uri="{C3380CC4-5D6E-409C-BE32-E72D297353CC}">
                <c16:uniqueId val="{0000001B-AE5F-428D-BE15-0195F2B515E9}"/>
              </c:ext>
            </c:extLst>
          </c:dPt>
          <c:dPt>
            <c:idx val="14"/>
            <c:invertIfNegative val="0"/>
            <c:bubble3D val="0"/>
            <c:spPr>
              <a:solidFill>
                <a:schemeClr val="accent3">
                  <a:lumMod val="80000"/>
                  <a:lumOff val="20000"/>
                </a:schemeClr>
              </a:solidFill>
              <a:ln>
                <a:noFill/>
              </a:ln>
              <a:effectLst/>
              <a:sp3d/>
            </c:spPr>
            <c:extLst>
              <c:ext xmlns:c16="http://schemas.microsoft.com/office/drawing/2014/chart" uri="{C3380CC4-5D6E-409C-BE32-E72D297353CC}">
                <c16:uniqueId val="{0000001D-AE5F-428D-BE15-0195F2B515E9}"/>
              </c:ext>
            </c:extLst>
          </c:dPt>
          <c:dPt>
            <c:idx val="15"/>
            <c:invertIfNegative val="0"/>
            <c:bubble3D val="0"/>
            <c:spPr>
              <a:solidFill>
                <a:schemeClr val="accent4">
                  <a:lumMod val="80000"/>
                  <a:lumOff val="20000"/>
                </a:schemeClr>
              </a:solidFill>
              <a:ln>
                <a:noFill/>
              </a:ln>
              <a:effectLst/>
              <a:sp3d/>
            </c:spPr>
            <c:extLst>
              <c:ext xmlns:c16="http://schemas.microsoft.com/office/drawing/2014/chart" uri="{C3380CC4-5D6E-409C-BE32-E72D297353CC}">
                <c16:uniqueId val="{0000001F-AE5F-428D-BE15-0195F2B515E9}"/>
              </c:ext>
            </c:extLst>
          </c:dPt>
          <c:dPt>
            <c:idx val="16"/>
            <c:invertIfNegative val="0"/>
            <c:bubble3D val="0"/>
            <c:spPr>
              <a:solidFill>
                <a:schemeClr val="accent5">
                  <a:lumMod val="80000"/>
                  <a:lumOff val="20000"/>
                </a:schemeClr>
              </a:solidFill>
              <a:ln>
                <a:noFill/>
              </a:ln>
              <a:effectLst/>
              <a:sp3d/>
            </c:spPr>
            <c:extLst>
              <c:ext xmlns:c16="http://schemas.microsoft.com/office/drawing/2014/chart" uri="{C3380CC4-5D6E-409C-BE32-E72D297353CC}">
                <c16:uniqueId val="{00000021-AE5F-428D-BE15-0195F2B515E9}"/>
              </c:ext>
            </c:extLst>
          </c:dPt>
          <c:dPt>
            <c:idx val="17"/>
            <c:invertIfNegative val="0"/>
            <c:bubble3D val="0"/>
            <c:spPr>
              <a:solidFill>
                <a:schemeClr val="accent6">
                  <a:lumMod val="80000"/>
                  <a:lumOff val="20000"/>
                </a:schemeClr>
              </a:solidFill>
              <a:ln>
                <a:noFill/>
              </a:ln>
              <a:effectLst/>
              <a:sp3d/>
            </c:spPr>
            <c:extLst>
              <c:ext xmlns:c16="http://schemas.microsoft.com/office/drawing/2014/chart" uri="{C3380CC4-5D6E-409C-BE32-E72D297353CC}">
                <c16:uniqueId val="{00000023-AE5F-428D-BE15-0195F2B515E9}"/>
              </c:ext>
            </c:extLst>
          </c:dPt>
          <c:dPt>
            <c:idx val="18"/>
            <c:invertIfNegative val="0"/>
            <c:bubble3D val="0"/>
            <c:spPr>
              <a:solidFill>
                <a:schemeClr val="accent1">
                  <a:lumMod val="80000"/>
                </a:schemeClr>
              </a:solidFill>
              <a:ln>
                <a:noFill/>
              </a:ln>
              <a:effectLst/>
              <a:sp3d/>
            </c:spPr>
            <c:extLst>
              <c:ext xmlns:c16="http://schemas.microsoft.com/office/drawing/2014/chart" uri="{C3380CC4-5D6E-409C-BE32-E72D297353CC}">
                <c16:uniqueId val="{00000025-AE5F-428D-BE15-0195F2B515E9}"/>
              </c:ext>
            </c:extLst>
          </c:dPt>
          <c:dPt>
            <c:idx val="19"/>
            <c:invertIfNegative val="0"/>
            <c:bubble3D val="0"/>
            <c:spPr>
              <a:solidFill>
                <a:schemeClr val="accent2">
                  <a:lumMod val="80000"/>
                </a:schemeClr>
              </a:solidFill>
              <a:ln>
                <a:noFill/>
              </a:ln>
              <a:effectLst/>
              <a:sp3d/>
            </c:spPr>
            <c:extLst>
              <c:ext xmlns:c16="http://schemas.microsoft.com/office/drawing/2014/chart" uri="{C3380CC4-5D6E-409C-BE32-E72D297353CC}">
                <c16:uniqueId val="{00000027-AE5F-428D-BE15-0195F2B515E9}"/>
              </c:ext>
            </c:extLst>
          </c:dPt>
          <c:dPt>
            <c:idx val="20"/>
            <c:invertIfNegative val="0"/>
            <c:bubble3D val="0"/>
            <c:spPr>
              <a:solidFill>
                <a:schemeClr val="accent3">
                  <a:lumMod val="80000"/>
                </a:schemeClr>
              </a:solidFill>
              <a:ln>
                <a:noFill/>
              </a:ln>
              <a:effectLst/>
              <a:sp3d/>
            </c:spPr>
            <c:extLst>
              <c:ext xmlns:c16="http://schemas.microsoft.com/office/drawing/2014/chart" uri="{C3380CC4-5D6E-409C-BE32-E72D297353CC}">
                <c16:uniqueId val="{00000029-AE5F-428D-BE15-0195F2B515E9}"/>
              </c:ext>
            </c:extLst>
          </c:dPt>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Лист1!$A$2:$A$22</c:f>
              <c:strCache>
                <c:ptCount val="21"/>
                <c:pt idx="0">
                  <c:v>01:183</c:v>
                </c:pt>
                <c:pt idx="1">
                  <c:v>02:017</c:v>
                </c:pt>
                <c:pt idx="2">
                  <c:v>02:053</c:v>
                </c:pt>
                <c:pt idx="3">
                  <c:v>02:063</c:v>
                </c:pt>
                <c:pt idx="4">
                  <c:v>03:063</c:v>
                </c:pt>
                <c:pt idx="5">
                  <c:v>03:064</c:v>
                </c:pt>
                <c:pt idx="6">
                  <c:v>04:000</c:v>
                </c:pt>
                <c:pt idx="7">
                  <c:v>04:010</c:v>
                </c:pt>
                <c:pt idx="8">
                  <c:v>04:020</c:v>
                </c:pt>
                <c:pt idx="9">
                  <c:v>04:030</c:v>
                </c:pt>
                <c:pt idx="10">
                  <c:v>04:040</c:v>
                </c:pt>
                <c:pt idx="11">
                  <c:v>04:050</c:v>
                </c:pt>
                <c:pt idx="12">
                  <c:v>04:060</c:v>
                </c:pt>
                <c:pt idx="13">
                  <c:v>04:080</c:v>
                </c:pt>
                <c:pt idx="14">
                  <c:v>04:082</c:v>
                </c:pt>
                <c:pt idx="15">
                  <c:v>04:083</c:v>
                </c:pt>
                <c:pt idx="16">
                  <c:v>04:096</c:v>
                </c:pt>
                <c:pt idx="17">
                  <c:v>04:100</c:v>
                </c:pt>
                <c:pt idx="18">
                  <c:v>05:013</c:v>
                </c:pt>
                <c:pt idx="19">
                  <c:v>05:050</c:v>
                </c:pt>
                <c:pt idx="20">
                  <c:v>08:021</c:v>
                </c:pt>
              </c:strCache>
            </c:strRef>
          </c:cat>
          <c:val>
            <c:numRef>
              <c:f>Лист1!$B$2:$B$22</c:f>
              <c:numCache>
                <c:formatCode>General</c:formatCode>
                <c:ptCount val="21"/>
                <c:pt idx="0">
                  <c:v>361</c:v>
                </c:pt>
                <c:pt idx="1">
                  <c:v>1</c:v>
                </c:pt>
                <c:pt idx="2">
                  <c:v>9</c:v>
                </c:pt>
                <c:pt idx="3">
                  <c:v>4</c:v>
                </c:pt>
                <c:pt idx="4">
                  <c:v>16</c:v>
                </c:pt>
                <c:pt idx="5">
                  <c:v>2</c:v>
                </c:pt>
                <c:pt idx="6">
                  <c:v>861</c:v>
                </c:pt>
                <c:pt idx="7">
                  <c:v>1637</c:v>
                </c:pt>
                <c:pt idx="8">
                  <c:v>164</c:v>
                </c:pt>
                <c:pt idx="9">
                  <c:v>201</c:v>
                </c:pt>
                <c:pt idx="10">
                  <c:v>10925</c:v>
                </c:pt>
                <c:pt idx="11">
                  <c:v>158</c:v>
                </c:pt>
                <c:pt idx="12">
                  <c:v>837</c:v>
                </c:pt>
                <c:pt idx="13">
                  <c:v>5</c:v>
                </c:pt>
                <c:pt idx="14">
                  <c:v>8</c:v>
                </c:pt>
                <c:pt idx="15">
                  <c:v>2</c:v>
                </c:pt>
                <c:pt idx="16">
                  <c:v>96</c:v>
                </c:pt>
                <c:pt idx="17">
                  <c:v>2</c:v>
                </c:pt>
                <c:pt idx="18">
                  <c:v>8</c:v>
                </c:pt>
                <c:pt idx="19">
                  <c:v>2</c:v>
                </c:pt>
                <c:pt idx="20">
                  <c:v>7</c:v>
                </c:pt>
              </c:numCache>
            </c:numRef>
          </c:val>
          <c:extLst>
            <c:ext xmlns:c16="http://schemas.microsoft.com/office/drawing/2014/chart" uri="{C3380CC4-5D6E-409C-BE32-E72D297353CC}">
              <c16:uniqueId val="{0000002A-AE5F-428D-BE15-0195F2B515E9}"/>
            </c:ext>
          </c:extLst>
        </c:ser>
        <c:dLbls>
          <c:showLegendKey val="0"/>
          <c:showVal val="1"/>
          <c:showCatName val="0"/>
          <c:showSerName val="0"/>
          <c:showPercent val="0"/>
          <c:showBubbleSize val="0"/>
        </c:dLbls>
        <c:gapWidth val="219"/>
        <c:shape val="box"/>
        <c:axId val="1555070320"/>
        <c:axId val="1555071152"/>
        <c:axId val="0"/>
      </c:bar3DChart>
      <c:catAx>
        <c:axId val="155507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5071152"/>
        <c:crosses val="autoZero"/>
        <c:auto val="1"/>
        <c:lblAlgn val="ctr"/>
        <c:lblOffset val="100"/>
        <c:noMultiLvlLbl val="0"/>
      </c:catAx>
      <c:valAx>
        <c:axId val="155507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5070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Количество ЗУ 5 сегмента</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6A1B-4F99-A34A-7F4B982AF2E4}"/>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6A1B-4F99-A34A-7F4B982AF2E4}"/>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6A1B-4F99-A34A-7F4B982AF2E4}"/>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6A1B-4F99-A34A-7F4B982AF2E4}"/>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6A1B-4F99-A34A-7F4B982AF2E4}"/>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6A1B-4F99-A34A-7F4B982AF2E4}"/>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6A1B-4F99-A34A-7F4B982AF2E4}"/>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6A1B-4F99-A34A-7F4B982AF2E4}"/>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6A1B-4F99-A34A-7F4B982AF2E4}"/>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6A1B-4F99-A34A-7F4B982AF2E4}"/>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6A1B-4F99-A34A-7F4B982AF2E4}"/>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6A1B-4F99-A34A-7F4B982AF2E4}"/>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6A1B-4F99-A34A-7F4B982AF2E4}"/>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6A1B-4F99-A34A-7F4B982AF2E4}"/>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6A1B-4F99-A34A-7F4B982AF2E4}"/>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6A1B-4F99-A34A-7F4B982AF2E4}"/>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6A1B-4F99-A34A-7F4B982AF2E4}"/>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6A1B-4F99-A34A-7F4B982AF2E4}"/>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6A1B-4F99-A34A-7F4B982AF2E4}"/>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6A1B-4F99-A34A-7F4B982AF2E4}"/>
              </c:ext>
            </c:extLst>
          </c:dPt>
          <c:dPt>
            <c:idx val="20"/>
            <c:invertIfNegative val="0"/>
            <c:bubble3D val="0"/>
            <c:spPr>
              <a:solidFill>
                <a:schemeClr val="accent3">
                  <a:lumMod val="80000"/>
                </a:schemeClr>
              </a:solidFill>
              <a:ln>
                <a:noFill/>
              </a:ln>
              <a:effectLst/>
            </c:spPr>
            <c:extLst>
              <c:ext xmlns:c16="http://schemas.microsoft.com/office/drawing/2014/chart" uri="{C3380CC4-5D6E-409C-BE32-E72D297353CC}">
                <c16:uniqueId val="{00000029-6A1B-4F99-A34A-7F4B982AF2E4}"/>
              </c:ext>
            </c:extLst>
          </c:dPt>
          <c:dPt>
            <c:idx val="21"/>
            <c:invertIfNegative val="0"/>
            <c:bubble3D val="0"/>
            <c:spPr>
              <a:solidFill>
                <a:schemeClr val="accent4">
                  <a:lumMod val="80000"/>
                </a:schemeClr>
              </a:solidFill>
              <a:ln>
                <a:noFill/>
              </a:ln>
              <a:effectLst/>
            </c:spPr>
            <c:extLst>
              <c:ext xmlns:c16="http://schemas.microsoft.com/office/drawing/2014/chart" uri="{C3380CC4-5D6E-409C-BE32-E72D297353CC}">
                <c16:uniqueId val="{0000002B-6A1B-4F99-A34A-7F4B982AF2E4}"/>
              </c:ext>
            </c:extLst>
          </c:dPt>
          <c:dPt>
            <c:idx val="22"/>
            <c:invertIfNegative val="0"/>
            <c:bubble3D val="0"/>
            <c:spPr>
              <a:solidFill>
                <a:schemeClr val="accent5">
                  <a:lumMod val="80000"/>
                </a:schemeClr>
              </a:solidFill>
              <a:ln>
                <a:noFill/>
              </a:ln>
              <a:effectLst/>
            </c:spPr>
            <c:extLst>
              <c:ext xmlns:c16="http://schemas.microsoft.com/office/drawing/2014/chart" uri="{C3380CC4-5D6E-409C-BE32-E72D297353CC}">
                <c16:uniqueId val="{0000002D-6A1B-4F99-A34A-7F4B982AF2E4}"/>
              </c:ext>
            </c:extLst>
          </c:dPt>
          <c:dPt>
            <c:idx val="23"/>
            <c:invertIfNegative val="0"/>
            <c:bubble3D val="0"/>
            <c:spPr>
              <a:solidFill>
                <a:schemeClr val="accent6">
                  <a:lumMod val="80000"/>
                </a:schemeClr>
              </a:solidFill>
              <a:ln>
                <a:noFill/>
              </a:ln>
              <a:effectLst/>
            </c:spPr>
            <c:extLst>
              <c:ext xmlns:c16="http://schemas.microsoft.com/office/drawing/2014/chart" uri="{C3380CC4-5D6E-409C-BE32-E72D297353CC}">
                <c16:uniqueId val="{0000002F-6A1B-4F99-A34A-7F4B982AF2E4}"/>
              </c:ext>
            </c:extLst>
          </c:dPt>
          <c:dPt>
            <c:idx val="2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31-6A1B-4F99-A34A-7F4B982AF2E4}"/>
              </c:ext>
            </c:extLst>
          </c:dPt>
          <c:dPt>
            <c:idx val="2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33-6A1B-4F99-A34A-7F4B982AF2E4}"/>
              </c:ext>
            </c:extLst>
          </c:dPt>
          <c:dPt>
            <c:idx val="26"/>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35-6A1B-4F99-A34A-7F4B982AF2E4}"/>
              </c:ext>
            </c:extLst>
          </c:dPt>
          <c:dPt>
            <c:idx val="2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37-6A1B-4F99-A34A-7F4B982AF2E4}"/>
              </c:ext>
            </c:extLst>
          </c:dPt>
          <c:dPt>
            <c:idx val="2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9-6A1B-4F99-A34A-7F4B982AF2E4}"/>
              </c:ext>
            </c:extLst>
          </c:dPt>
          <c:dPt>
            <c:idx val="29"/>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3B-6A1B-4F99-A34A-7F4B982AF2E4}"/>
              </c:ext>
            </c:extLst>
          </c:dPt>
          <c:dPt>
            <c:idx val="30"/>
            <c:invertIfNegative val="0"/>
            <c:bubble3D val="0"/>
            <c:spPr>
              <a:solidFill>
                <a:schemeClr val="accent1">
                  <a:lumMod val="50000"/>
                </a:schemeClr>
              </a:solidFill>
              <a:ln>
                <a:noFill/>
              </a:ln>
              <a:effectLst/>
            </c:spPr>
            <c:extLst>
              <c:ext xmlns:c16="http://schemas.microsoft.com/office/drawing/2014/chart" uri="{C3380CC4-5D6E-409C-BE32-E72D297353CC}">
                <c16:uniqueId val="{0000003D-6A1B-4F99-A34A-7F4B982AF2E4}"/>
              </c:ext>
            </c:extLst>
          </c:dPt>
          <c:dPt>
            <c:idx val="31"/>
            <c:invertIfNegative val="0"/>
            <c:bubble3D val="0"/>
            <c:spPr>
              <a:solidFill>
                <a:schemeClr val="accent2">
                  <a:lumMod val="50000"/>
                </a:schemeClr>
              </a:solidFill>
              <a:ln>
                <a:noFill/>
              </a:ln>
              <a:effectLst/>
            </c:spPr>
            <c:extLst>
              <c:ext xmlns:c16="http://schemas.microsoft.com/office/drawing/2014/chart" uri="{C3380CC4-5D6E-409C-BE32-E72D297353CC}">
                <c16:uniqueId val="{0000003F-6A1B-4F99-A34A-7F4B982AF2E4}"/>
              </c:ext>
            </c:extLst>
          </c:dPt>
          <c:dPt>
            <c:idx val="32"/>
            <c:invertIfNegative val="0"/>
            <c:bubble3D val="0"/>
            <c:spPr>
              <a:solidFill>
                <a:schemeClr val="accent3">
                  <a:lumMod val="50000"/>
                </a:schemeClr>
              </a:solidFill>
              <a:ln>
                <a:noFill/>
              </a:ln>
              <a:effectLst/>
            </c:spPr>
            <c:extLst>
              <c:ext xmlns:c16="http://schemas.microsoft.com/office/drawing/2014/chart" uri="{C3380CC4-5D6E-409C-BE32-E72D297353CC}">
                <c16:uniqueId val="{00000041-6A1B-4F99-A34A-7F4B982AF2E4}"/>
              </c:ext>
            </c:extLst>
          </c:dPt>
          <c:dPt>
            <c:idx val="33"/>
            <c:invertIfNegative val="0"/>
            <c:bubble3D val="0"/>
            <c:spPr>
              <a:solidFill>
                <a:schemeClr val="accent4">
                  <a:lumMod val="50000"/>
                </a:schemeClr>
              </a:solidFill>
              <a:ln>
                <a:noFill/>
              </a:ln>
              <a:effectLst/>
            </c:spPr>
            <c:extLst>
              <c:ext xmlns:c16="http://schemas.microsoft.com/office/drawing/2014/chart" uri="{C3380CC4-5D6E-409C-BE32-E72D297353CC}">
                <c16:uniqueId val="{00000043-6A1B-4F99-A34A-7F4B982AF2E4}"/>
              </c:ext>
            </c:extLst>
          </c:dPt>
          <c:dLbls>
            <c:dLbl>
              <c:idx val="1"/>
              <c:layout>
                <c:manualLayout>
                  <c:x val="0"/>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1B-4F99-A34A-7F4B982AF2E4}"/>
                </c:ext>
              </c:extLst>
            </c:dLbl>
            <c:dLbl>
              <c:idx val="2"/>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1B-4F99-A34A-7F4B982AF2E4}"/>
                </c:ext>
              </c:extLst>
            </c:dLbl>
            <c:dLbl>
              <c:idx val="6"/>
              <c:layout>
                <c:manualLayout>
                  <c:x val="0"/>
                  <c:y val="7.256937357591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A1B-4F99-A34A-7F4B982AF2E4}"/>
                </c:ext>
              </c:extLst>
            </c:dLbl>
            <c:dLbl>
              <c:idx val="7"/>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1B-4F99-A34A-7F4B982AF2E4}"/>
                </c:ext>
              </c:extLst>
            </c:dLbl>
            <c:dLbl>
              <c:idx val="10"/>
              <c:layout>
                <c:manualLayout>
                  <c:x val="-3.9194273752108585E-17"/>
                  <c:y val="1.21267242686068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A1B-4F99-A34A-7F4B982AF2E4}"/>
                </c:ext>
              </c:extLst>
            </c:dLbl>
            <c:dLbl>
              <c:idx val="18"/>
              <c:layout>
                <c:manualLayout>
                  <c:x val="-7.838854750421717E-17"/>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A1B-4F99-A34A-7F4B982AF2E4}"/>
                </c:ext>
              </c:extLst>
            </c:dLbl>
            <c:dLbl>
              <c:idx val="20"/>
              <c:layout>
                <c:manualLayout>
                  <c:x val="-7.838854750421717E-17"/>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6A1B-4F99-A34A-7F4B982AF2E4}"/>
                </c:ext>
              </c:extLst>
            </c:dLbl>
            <c:dLbl>
              <c:idx val="23"/>
              <c:layout>
                <c:manualLayout>
                  <c:x val="-7.838854750421717E-17"/>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6A1B-4F99-A34A-7F4B982AF2E4}"/>
                </c:ext>
              </c:extLst>
            </c:dLbl>
            <c:dLbl>
              <c:idx val="25"/>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6A1B-4F99-A34A-7F4B982AF2E4}"/>
                </c:ext>
              </c:extLst>
            </c:dLbl>
            <c:dLbl>
              <c:idx val="28"/>
              <c:layout>
                <c:manualLayout>
                  <c:x val="-1.5677709500843434E-16"/>
                  <c:y val="4.61651024863354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6A1B-4F99-A34A-7F4B982AF2E4}"/>
                </c:ext>
              </c:extLst>
            </c:dLbl>
            <c:dLbl>
              <c:idx val="29"/>
              <c:layout>
                <c:manualLayout>
                  <c:x val="0"/>
                  <c:y val="-1.7451021678417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6A1B-4F99-A34A-7F4B982AF2E4}"/>
                </c:ext>
              </c:extLst>
            </c:dLbl>
            <c:dLbl>
              <c:idx val="30"/>
              <c:layout>
                <c:manualLayout>
                  <c:x val="0"/>
                  <c:y val="9.09504320145520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6A1B-4F99-A34A-7F4B982AF2E4}"/>
                </c:ext>
              </c:extLst>
            </c:dLbl>
            <c:dLbl>
              <c:idx val="32"/>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6A1B-4F99-A34A-7F4B982AF2E4}"/>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Лист1!$A$2:$A$35</c:f>
              <c:strCache>
                <c:ptCount val="34"/>
                <c:pt idx="0">
                  <c:v>Аннинский</c:v>
                </c:pt>
                <c:pt idx="1">
                  <c:v>Бобровский</c:v>
                </c:pt>
                <c:pt idx="2">
                  <c:v>Богучарский</c:v>
                </c:pt>
                <c:pt idx="3">
                  <c:v>Борисоглебский</c:v>
                </c:pt>
                <c:pt idx="4">
                  <c:v>Бутурлиновский</c:v>
                </c:pt>
                <c:pt idx="5">
                  <c:v>Верхнемамонский</c:v>
                </c:pt>
                <c:pt idx="6">
                  <c:v>Верхнехавский</c:v>
                </c:pt>
                <c:pt idx="7">
                  <c:v>Воробьевский</c:v>
                </c:pt>
                <c:pt idx="8">
                  <c:v>ГО г. Воронеж</c:v>
                </c:pt>
                <c:pt idx="9">
                  <c:v>ГО Нововоронеж</c:v>
                </c:pt>
                <c:pt idx="10">
                  <c:v>Грибановский</c:v>
                </c:pt>
                <c:pt idx="11">
                  <c:v>Калачеевский</c:v>
                </c:pt>
                <c:pt idx="12">
                  <c:v>Каменский</c:v>
                </c:pt>
                <c:pt idx="13">
                  <c:v>Кантемировский</c:v>
                </c:pt>
                <c:pt idx="14">
                  <c:v>Каширский</c:v>
                </c:pt>
                <c:pt idx="15">
                  <c:v>Лискинский</c:v>
                </c:pt>
                <c:pt idx="16">
                  <c:v>Нижнедевицкий</c:v>
                </c:pt>
                <c:pt idx="17">
                  <c:v>Новоусманский</c:v>
                </c:pt>
                <c:pt idx="18">
                  <c:v>Новохоперский</c:v>
                </c:pt>
                <c:pt idx="19">
                  <c:v>Ольховатский</c:v>
                </c:pt>
                <c:pt idx="20">
                  <c:v>Острогожский</c:v>
                </c:pt>
                <c:pt idx="21">
                  <c:v>Павловский</c:v>
                </c:pt>
                <c:pt idx="22">
                  <c:v>Панинский</c:v>
                </c:pt>
                <c:pt idx="23">
                  <c:v>Петропавловский</c:v>
                </c:pt>
                <c:pt idx="24">
                  <c:v>Поворинский</c:v>
                </c:pt>
                <c:pt idx="25">
                  <c:v>Подгоренский</c:v>
                </c:pt>
                <c:pt idx="26">
                  <c:v>Рамонский</c:v>
                </c:pt>
                <c:pt idx="27">
                  <c:v>Репьевский</c:v>
                </c:pt>
                <c:pt idx="28">
                  <c:v>Россошанский</c:v>
                </c:pt>
                <c:pt idx="29">
                  <c:v>Семилукский</c:v>
                </c:pt>
                <c:pt idx="30">
                  <c:v>Таловский</c:v>
                </c:pt>
                <c:pt idx="31">
                  <c:v>Терновский</c:v>
                </c:pt>
                <c:pt idx="32">
                  <c:v>Хохольский</c:v>
                </c:pt>
                <c:pt idx="33">
                  <c:v>Эртильский</c:v>
                </c:pt>
              </c:strCache>
            </c:strRef>
          </c:cat>
          <c:val>
            <c:numRef>
              <c:f>Лист1!$B$2:$B$35</c:f>
              <c:numCache>
                <c:formatCode>General</c:formatCode>
                <c:ptCount val="34"/>
                <c:pt idx="0">
                  <c:v>10</c:v>
                </c:pt>
                <c:pt idx="1">
                  <c:v>18</c:v>
                </c:pt>
                <c:pt idx="2">
                  <c:v>32</c:v>
                </c:pt>
                <c:pt idx="3">
                  <c:v>67</c:v>
                </c:pt>
                <c:pt idx="4">
                  <c:v>19</c:v>
                </c:pt>
                <c:pt idx="5">
                  <c:v>12</c:v>
                </c:pt>
                <c:pt idx="6">
                  <c:v>20</c:v>
                </c:pt>
                <c:pt idx="7">
                  <c:v>7</c:v>
                </c:pt>
                <c:pt idx="8">
                  <c:v>230</c:v>
                </c:pt>
                <c:pt idx="9">
                  <c:v>4</c:v>
                </c:pt>
                <c:pt idx="10">
                  <c:v>9</c:v>
                </c:pt>
                <c:pt idx="11">
                  <c:v>32</c:v>
                </c:pt>
                <c:pt idx="12">
                  <c:v>2</c:v>
                </c:pt>
                <c:pt idx="13">
                  <c:v>11</c:v>
                </c:pt>
                <c:pt idx="14">
                  <c:v>10</c:v>
                </c:pt>
                <c:pt idx="15">
                  <c:v>27</c:v>
                </c:pt>
                <c:pt idx="16">
                  <c:v>8</c:v>
                </c:pt>
                <c:pt idx="17">
                  <c:v>55</c:v>
                </c:pt>
                <c:pt idx="18">
                  <c:v>9</c:v>
                </c:pt>
                <c:pt idx="19">
                  <c:v>11</c:v>
                </c:pt>
                <c:pt idx="20">
                  <c:v>20</c:v>
                </c:pt>
                <c:pt idx="21">
                  <c:v>27</c:v>
                </c:pt>
                <c:pt idx="22">
                  <c:v>4</c:v>
                </c:pt>
                <c:pt idx="23">
                  <c:v>3</c:v>
                </c:pt>
                <c:pt idx="24">
                  <c:v>21</c:v>
                </c:pt>
                <c:pt idx="25">
                  <c:v>5</c:v>
                </c:pt>
                <c:pt idx="26">
                  <c:v>320</c:v>
                </c:pt>
                <c:pt idx="27">
                  <c:v>5</c:v>
                </c:pt>
                <c:pt idx="28">
                  <c:v>37</c:v>
                </c:pt>
                <c:pt idx="29">
                  <c:v>19</c:v>
                </c:pt>
                <c:pt idx="30">
                  <c:v>12</c:v>
                </c:pt>
                <c:pt idx="31">
                  <c:v>18</c:v>
                </c:pt>
                <c:pt idx="32">
                  <c:v>10</c:v>
                </c:pt>
                <c:pt idx="33">
                  <c:v>3</c:v>
                </c:pt>
              </c:numCache>
            </c:numRef>
          </c:val>
          <c:extLst>
            <c:ext xmlns:c16="http://schemas.microsoft.com/office/drawing/2014/chart" uri="{C3380CC4-5D6E-409C-BE32-E72D297353CC}">
              <c16:uniqueId val="{00000044-6A1B-4F99-A34A-7F4B982AF2E4}"/>
            </c:ext>
          </c:extLst>
        </c:ser>
        <c:dLbls>
          <c:dLblPos val="outEnd"/>
          <c:showLegendKey val="0"/>
          <c:showVal val="1"/>
          <c:showCatName val="0"/>
          <c:showSerName val="0"/>
          <c:showPercent val="0"/>
          <c:showBubbleSize val="0"/>
        </c:dLbls>
        <c:gapWidth val="150"/>
        <c:axId val="1565260128"/>
        <c:axId val="1565253056"/>
      </c:barChart>
      <c:catAx>
        <c:axId val="15652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53056"/>
        <c:crosses val="autoZero"/>
        <c:auto val="1"/>
        <c:lblAlgn val="ctr"/>
        <c:lblOffset val="100"/>
        <c:noMultiLvlLbl val="0"/>
      </c:catAx>
      <c:valAx>
        <c:axId val="15652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60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Распределение ЗУ 5 сегмента по кодам ВРИ</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Распределение ЗУ 5 сегмента по кодам ВРИ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C8-4851-BF57-20E4E580E7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C8-4851-BF57-20E4E580E7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C8-4851-BF57-20E4E580E7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DC8-4851-BF57-20E4E580E7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DC8-4851-BF57-20E4E580E7F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DC8-4851-BF57-20E4E580E7F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DC8-4851-BF57-20E4E580E7F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DC8-4851-BF57-20E4E580E7F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DC8-4851-BF57-20E4E580E7F3}"/>
              </c:ext>
            </c:extLst>
          </c:dPt>
          <c:dLbls>
            <c:dLbl>
              <c:idx val="0"/>
              <c:layout>
                <c:manualLayout>
                  <c:x val="-0.19366799660936448"/>
                  <c:y val="-5.158730158730162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DC8-4851-BF57-20E4E580E7F3}"/>
                </c:ext>
              </c:extLst>
            </c:dLbl>
            <c:dLbl>
              <c:idx val="1"/>
              <c:layout>
                <c:manualLayout>
                  <c:x val="-0.21647973943151921"/>
                  <c:y val="-5.158730158730157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DC8-4851-BF57-20E4E580E7F3}"/>
                </c:ext>
              </c:extLst>
            </c:dLbl>
            <c:dLbl>
              <c:idx val="2"/>
              <c:layout>
                <c:manualLayout>
                  <c:x val="0.12649014290193442"/>
                  <c:y val="-7.275048233154282E-1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DC8-4851-BF57-20E4E580E7F3}"/>
                </c:ext>
              </c:extLst>
            </c:dLbl>
            <c:dLbl>
              <c:idx val="3"/>
              <c:layout>
                <c:manualLayout>
                  <c:x val="-0.23827412257164324"/>
                  <c:y val="8.165010623672040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DC8-4851-BF57-20E4E580E7F3}"/>
                </c:ext>
              </c:extLst>
            </c:dLbl>
            <c:dLbl>
              <c:idx val="4"/>
              <c:layout>
                <c:manualLayout>
                  <c:x val="-0.23398089513791992"/>
                  <c:y val="4.152918385201849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DC8-4851-BF57-20E4E580E7F3}"/>
                </c:ext>
              </c:extLst>
            </c:dLbl>
            <c:dLbl>
              <c:idx val="5"/>
              <c:layout>
                <c:manualLayout>
                  <c:x val="-0.21466137168616509"/>
                  <c:y val="8.333333333333332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EDC8-4851-BF57-20E4E580E7F3}"/>
                </c:ext>
              </c:extLst>
            </c:dLbl>
            <c:dLbl>
              <c:idx val="6"/>
              <c:layout>
                <c:manualLayout>
                  <c:x val="-0.21895459911988838"/>
                  <c:y val="1.984126984126976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EDC8-4851-BF57-20E4E580E7F3}"/>
                </c:ext>
              </c:extLst>
            </c:dLbl>
            <c:dLbl>
              <c:idx val="7"/>
              <c:layout>
                <c:manualLayout>
                  <c:x val="-0.21036814425244177"/>
                  <c:y val="-1.98412698412698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EDC8-4851-BF57-20E4E580E7F3}"/>
                </c:ext>
              </c:extLst>
            </c:dLbl>
            <c:dLbl>
              <c:idx val="8"/>
              <c:layout>
                <c:manualLayout>
                  <c:x val="-0.19534184823441023"/>
                  <c:y val="-9.920634920634924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EDC8-4851-BF57-20E4E580E7F3}"/>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Лист1!$A$2:$A$10</c:f>
              <c:strCache>
                <c:ptCount val="9"/>
                <c:pt idx="0">
                  <c:v>04:070</c:v>
                </c:pt>
                <c:pt idx="1">
                  <c:v>04:097</c:v>
                </c:pt>
                <c:pt idx="2">
                  <c:v>05:000</c:v>
                </c:pt>
                <c:pt idx="3">
                  <c:v>05:014</c:v>
                </c:pt>
                <c:pt idx="4">
                  <c:v>05:022</c:v>
                </c:pt>
                <c:pt idx="5">
                  <c:v>05:030</c:v>
                </c:pt>
                <c:pt idx="6">
                  <c:v>08:040</c:v>
                </c:pt>
                <c:pt idx="7">
                  <c:v>09:021</c:v>
                </c:pt>
                <c:pt idx="8">
                  <c:v>09:023</c:v>
                </c:pt>
              </c:strCache>
            </c:strRef>
          </c:cat>
          <c:val>
            <c:numRef>
              <c:f>Лист1!$B$2:$B$10</c:f>
              <c:numCache>
                <c:formatCode>General</c:formatCode>
                <c:ptCount val="9"/>
                <c:pt idx="0">
                  <c:v>159</c:v>
                </c:pt>
                <c:pt idx="1">
                  <c:v>21</c:v>
                </c:pt>
                <c:pt idx="2">
                  <c:v>598</c:v>
                </c:pt>
                <c:pt idx="3">
                  <c:v>12</c:v>
                </c:pt>
                <c:pt idx="4">
                  <c:v>170</c:v>
                </c:pt>
                <c:pt idx="5">
                  <c:v>10</c:v>
                </c:pt>
                <c:pt idx="6">
                  <c:v>15</c:v>
                </c:pt>
                <c:pt idx="7">
                  <c:v>57</c:v>
                </c:pt>
                <c:pt idx="8">
                  <c:v>55</c:v>
                </c:pt>
              </c:numCache>
            </c:numRef>
          </c:val>
          <c:extLst>
            <c:ext xmlns:c16="http://schemas.microsoft.com/office/drawing/2014/chart" uri="{C3380CC4-5D6E-409C-BE32-E72D297353CC}">
              <c16:uniqueId val="{00000012-EDC8-4851-BF57-20E4E580E7F3}"/>
            </c:ext>
          </c:extLst>
        </c:ser>
        <c:dLbls>
          <c:showLegendKey val="0"/>
          <c:showVal val="1"/>
          <c:showCatName val="1"/>
          <c:showSerName val="0"/>
          <c:showPercent val="0"/>
          <c:showBubbleSize val="0"/>
          <c:showLeaderLines val="1"/>
        </c:dLbls>
        <c:firstSliceAng val="290"/>
        <c:holeSize val="8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Количество ЗУ 6 сегмента</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F73-4BC3-8B50-FA742B08A72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9F73-4BC3-8B50-FA742B08A728}"/>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9F73-4BC3-8B50-FA742B08A728}"/>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9F73-4BC3-8B50-FA742B08A728}"/>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9F73-4BC3-8B50-FA742B08A728}"/>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9F73-4BC3-8B50-FA742B08A728}"/>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9F73-4BC3-8B50-FA742B08A728}"/>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9F73-4BC3-8B50-FA742B08A728}"/>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9F73-4BC3-8B50-FA742B08A728}"/>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9F73-4BC3-8B50-FA742B08A728}"/>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9F73-4BC3-8B50-FA742B08A728}"/>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9F73-4BC3-8B50-FA742B08A728}"/>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9F73-4BC3-8B50-FA742B08A728}"/>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9F73-4BC3-8B50-FA742B08A728}"/>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9F73-4BC3-8B50-FA742B08A728}"/>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9F73-4BC3-8B50-FA742B08A728}"/>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9F73-4BC3-8B50-FA742B08A728}"/>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9F73-4BC3-8B50-FA742B08A728}"/>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9F73-4BC3-8B50-FA742B08A728}"/>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9F73-4BC3-8B50-FA742B08A728}"/>
              </c:ext>
            </c:extLst>
          </c:dPt>
          <c:dPt>
            <c:idx val="20"/>
            <c:invertIfNegative val="0"/>
            <c:bubble3D val="0"/>
            <c:spPr>
              <a:solidFill>
                <a:schemeClr val="accent3">
                  <a:lumMod val="80000"/>
                </a:schemeClr>
              </a:solidFill>
              <a:ln>
                <a:noFill/>
              </a:ln>
              <a:effectLst/>
            </c:spPr>
            <c:extLst>
              <c:ext xmlns:c16="http://schemas.microsoft.com/office/drawing/2014/chart" uri="{C3380CC4-5D6E-409C-BE32-E72D297353CC}">
                <c16:uniqueId val="{00000029-9F73-4BC3-8B50-FA742B08A728}"/>
              </c:ext>
            </c:extLst>
          </c:dPt>
          <c:dPt>
            <c:idx val="21"/>
            <c:invertIfNegative val="0"/>
            <c:bubble3D val="0"/>
            <c:spPr>
              <a:solidFill>
                <a:schemeClr val="accent4">
                  <a:lumMod val="80000"/>
                </a:schemeClr>
              </a:solidFill>
              <a:ln>
                <a:noFill/>
              </a:ln>
              <a:effectLst/>
            </c:spPr>
            <c:extLst>
              <c:ext xmlns:c16="http://schemas.microsoft.com/office/drawing/2014/chart" uri="{C3380CC4-5D6E-409C-BE32-E72D297353CC}">
                <c16:uniqueId val="{0000002B-9F73-4BC3-8B50-FA742B08A728}"/>
              </c:ext>
            </c:extLst>
          </c:dPt>
          <c:dPt>
            <c:idx val="22"/>
            <c:invertIfNegative val="0"/>
            <c:bubble3D val="0"/>
            <c:spPr>
              <a:solidFill>
                <a:schemeClr val="accent5">
                  <a:lumMod val="80000"/>
                </a:schemeClr>
              </a:solidFill>
              <a:ln>
                <a:noFill/>
              </a:ln>
              <a:effectLst/>
            </c:spPr>
            <c:extLst>
              <c:ext xmlns:c16="http://schemas.microsoft.com/office/drawing/2014/chart" uri="{C3380CC4-5D6E-409C-BE32-E72D297353CC}">
                <c16:uniqueId val="{0000002D-9F73-4BC3-8B50-FA742B08A728}"/>
              </c:ext>
            </c:extLst>
          </c:dPt>
          <c:dPt>
            <c:idx val="23"/>
            <c:invertIfNegative val="0"/>
            <c:bubble3D val="0"/>
            <c:spPr>
              <a:solidFill>
                <a:schemeClr val="accent6">
                  <a:lumMod val="80000"/>
                </a:schemeClr>
              </a:solidFill>
              <a:ln>
                <a:noFill/>
              </a:ln>
              <a:effectLst/>
            </c:spPr>
            <c:extLst>
              <c:ext xmlns:c16="http://schemas.microsoft.com/office/drawing/2014/chart" uri="{C3380CC4-5D6E-409C-BE32-E72D297353CC}">
                <c16:uniqueId val="{0000002F-9F73-4BC3-8B50-FA742B08A728}"/>
              </c:ext>
            </c:extLst>
          </c:dPt>
          <c:dPt>
            <c:idx val="2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31-9F73-4BC3-8B50-FA742B08A728}"/>
              </c:ext>
            </c:extLst>
          </c:dPt>
          <c:dPt>
            <c:idx val="2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33-9F73-4BC3-8B50-FA742B08A728}"/>
              </c:ext>
            </c:extLst>
          </c:dPt>
          <c:dPt>
            <c:idx val="26"/>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35-9F73-4BC3-8B50-FA742B08A728}"/>
              </c:ext>
            </c:extLst>
          </c:dPt>
          <c:dPt>
            <c:idx val="2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37-9F73-4BC3-8B50-FA742B08A728}"/>
              </c:ext>
            </c:extLst>
          </c:dPt>
          <c:dPt>
            <c:idx val="2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9-9F73-4BC3-8B50-FA742B08A728}"/>
              </c:ext>
            </c:extLst>
          </c:dPt>
          <c:dPt>
            <c:idx val="29"/>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3B-9F73-4BC3-8B50-FA742B08A728}"/>
              </c:ext>
            </c:extLst>
          </c:dPt>
          <c:dPt>
            <c:idx val="30"/>
            <c:invertIfNegative val="0"/>
            <c:bubble3D val="0"/>
            <c:spPr>
              <a:solidFill>
                <a:schemeClr val="accent1">
                  <a:lumMod val="50000"/>
                </a:schemeClr>
              </a:solidFill>
              <a:ln>
                <a:noFill/>
              </a:ln>
              <a:effectLst/>
            </c:spPr>
            <c:extLst>
              <c:ext xmlns:c16="http://schemas.microsoft.com/office/drawing/2014/chart" uri="{C3380CC4-5D6E-409C-BE32-E72D297353CC}">
                <c16:uniqueId val="{0000003D-9F73-4BC3-8B50-FA742B08A728}"/>
              </c:ext>
            </c:extLst>
          </c:dPt>
          <c:dPt>
            <c:idx val="31"/>
            <c:invertIfNegative val="0"/>
            <c:bubble3D val="0"/>
            <c:spPr>
              <a:solidFill>
                <a:schemeClr val="accent2">
                  <a:lumMod val="50000"/>
                </a:schemeClr>
              </a:solidFill>
              <a:ln>
                <a:noFill/>
              </a:ln>
              <a:effectLst/>
            </c:spPr>
            <c:extLst>
              <c:ext xmlns:c16="http://schemas.microsoft.com/office/drawing/2014/chart" uri="{C3380CC4-5D6E-409C-BE32-E72D297353CC}">
                <c16:uniqueId val="{0000003F-9F73-4BC3-8B50-FA742B08A728}"/>
              </c:ext>
            </c:extLst>
          </c:dPt>
          <c:dPt>
            <c:idx val="32"/>
            <c:invertIfNegative val="0"/>
            <c:bubble3D val="0"/>
            <c:spPr>
              <a:solidFill>
                <a:schemeClr val="accent3">
                  <a:lumMod val="50000"/>
                </a:schemeClr>
              </a:solidFill>
              <a:ln>
                <a:noFill/>
              </a:ln>
              <a:effectLst/>
            </c:spPr>
            <c:extLst>
              <c:ext xmlns:c16="http://schemas.microsoft.com/office/drawing/2014/chart" uri="{C3380CC4-5D6E-409C-BE32-E72D297353CC}">
                <c16:uniqueId val="{00000041-9F73-4BC3-8B50-FA742B08A728}"/>
              </c:ext>
            </c:extLst>
          </c:dPt>
          <c:dPt>
            <c:idx val="33"/>
            <c:invertIfNegative val="0"/>
            <c:bubble3D val="0"/>
            <c:spPr>
              <a:solidFill>
                <a:schemeClr val="accent4">
                  <a:lumMod val="50000"/>
                </a:schemeClr>
              </a:solidFill>
              <a:ln>
                <a:noFill/>
              </a:ln>
              <a:effectLst/>
            </c:spPr>
            <c:extLst>
              <c:ext xmlns:c16="http://schemas.microsoft.com/office/drawing/2014/chart" uri="{C3380CC4-5D6E-409C-BE32-E72D297353CC}">
                <c16:uniqueId val="{00000043-9F73-4BC3-8B50-FA742B08A728}"/>
              </c:ext>
            </c:extLst>
          </c:dPt>
          <c:dLbls>
            <c:dLbl>
              <c:idx val="1"/>
              <c:layout>
                <c:manualLayout>
                  <c:x val="0"/>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73-4BC3-8B50-FA742B08A728}"/>
                </c:ext>
              </c:extLst>
            </c:dLbl>
            <c:dLbl>
              <c:idx val="2"/>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73-4BC3-8B50-FA742B08A728}"/>
                </c:ext>
              </c:extLst>
            </c:dLbl>
            <c:dLbl>
              <c:idx val="6"/>
              <c:layout>
                <c:manualLayout>
                  <c:x val="0"/>
                  <c:y val="7.256937357591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F73-4BC3-8B50-FA742B08A728}"/>
                </c:ext>
              </c:extLst>
            </c:dLbl>
            <c:dLbl>
              <c:idx val="7"/>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F73-4BC3-8B50-FA742B08A728}"/>
                </c:ext>
              </c:extLst>
            </c:dLbl>
            <c:dLbl>
              <c:idx val="10"/>
              <c:layout>
                <c:manualLayout>
                  <c:x val="-3.9194273752108585E-17"/>
                  <c:y val="1.21267242686068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F73-4BC3-8B50-FA742B08A728}"/>
                </c:ext>
              </c:extLst>
            </c:dLbl>
            <c:dLbl>
              <c:idx val="18"/>
              <c:layout>
                <c:manualLayout>
                  <c:x val="-7.838854750421717E-17"/>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9F73-4BC3-8B50-FA742B08A728}"/>
                </c:ext>
              </c:extLst>
            </c:dLbl>
            <c:dLbl>
              <c:idx val="20"/>
              <c:layout>
                <c:manualLayout>
                  <c:x val="-7.838854750421717E-17"/>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9F73-4BC3-8B50-FA742B08A728}"/>
                </c:ext>
              </c:extLst>
            </c:dLbl>
            <c:dLbl>
              <c:idx val="23"/>
              <c:layout>
                <c:manualLayout>
                  <c:x val="-7.838854750421717E-17"/>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9F73-4BC3-8B50-FA742B08A728}"/>
                </c:ext>
              </c:extLst>
            </c:dLbl>
            <c:dLbl>
              <c:idx val="25"/>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9F73-4BC3-8B50-FA742B08A728}"/>
                </c:ext>
              </c:extLst>
            </c:dLbl>
            <c:dLbl>
              <c:idx val="28"/>
              <c:layout>
                <c:manualLayout>
                  <c:x val="-1.5677709500843434E-16"/>
                  <c:y val="4.61651024863354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9F73-4BC3-8B50-FA742B08A728}"/>
                </c:ext>
              </c:extLst>
            </c:dLbl>
            <c:dLbl>
              <c:idx val="29"/>
              <c:layout>
                <c:manualLayout>
                  <c:x val="0"/>
                  <c:y val="-1.7451021678417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9F73-4BC3-8B50-FA742B08A728}"/>
                </c:ext>
              </c:extLst>
            </c:dLbl>
            <c:dLbl>
              <c:idx val="30"/>
              <c:layout>
                <c:manualLayout>
                  <c:x val="0"/>
                  <c:y val="9.09504320145520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9F73-4BC3-8B50-FA742B08A728}"/>
                </c:ext>
              </c:extLst>
            </c:dLbl>
            <c:dLbl>
              <c:idx val="32"/>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9F73-4BC3-8B50-FA742B08A728}"/>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Лист1!$A$2:$A$35</c:f>
              <c:strCache>
                <c:ptCount val="34"/>
                <c:pt idx="0">
                  <c:v>Аннинский</c:v>
                </c:pt>
                <c:pt idx="1">
                  <c:v>Бобровский</c:v>
                </c:pt>
                <c:pt idx="2">
                  <c:v>Богучарский</c:v>
                </c:pt>
                <c:pt idx="3">
                  <c:v>Борисоглебский</c:v>
                </c:pt>
                <c:pt idx="4">
                  <c:v>Бутурлиновский</c:v>
                </c:pt>
                <c:pt idx="5">
                  <c:v>Верхнемамонский</c:v>
                </c:pt>
                <c:pt idx="6">
                  <c:v>Верхнехавский</c:v>
                </c:pt>
                <c:pt idx="7">
                  <c:v>Воробьевский</c:v>
                </c:pt>
                <c:pt idx="8">
                  <c:v>ГО г. Воронеж</c:v>
                </c:pt>
                <c:pt idx="9">
                  <c:v>ГО Нововоронеж</c:v>
                </c:pt>
                <c:pt idx="10">
                  <c:v>Грибановский</c:v>
                </c:pt>
                <c:pt idx="11">
                  <c:v>Калачеевский</c:v>
                </c:pt>
                <c:pt idx="12">
                  <c:v>Каменский</c:v>
                </c:pt>
                <c:pt idx="13">
                  <c:v>Кантемировский</c:v>
                </c:pt>
                <c:pt idx="14">
                  <c:v>Каширский</c:v>
                </c:pt>
                <c:pt idx="15">
                  <c:v>Лискинский</c:v>
                </c:pt>
                <c:pt idx="16">
                  <c:v>Нижнедевицкий</c:v>
                </c:pt>
                <c:pt idx="17">
                  <c:v>Новоусманский</c:v>
                </c:pt>
                <c:pt idx="18">
                  <c:v>Новохоперский</c:v>
                </c:pt>
                <c:pt idx="19">
                  <c:v>Ольховатский</c:v>
                </c:pt>
                <c:pt idx="20">
                  <c:v>Острогожский</c:v>
                </c:pt>
                <c:pt idx="21">
                  <c:v>Павловский</c:v>
                </c:pt>
                <c:pt idx="22">
                  <c:v>Панинский</c:v>
                </c:pt>
                <c:pt idx="23">
                  <c:v>Петропавловский</c:v>
                </c:pt>
                <c:pt idx="24">
                  <c:v>Поворинский</c:v>
                </c:pt>
                <c:pt idx="25">
                  <c:v>Подгоренский</c:v>
                </c:pt>
                <c:pt idx="26">
                  <c:v>Рамонский</c:v>
                </c:pt>
                <c:pt idx="27">
                  <c:v>Репьевский</c:v>
                </c:pt>
                <c:pt idx="28">
                  <c:v>Россошанский</c:v>
                </c:pt>
                <c:pt idx="29">
                  <c:v>Семилукский</c:v>
                </c:pt>
                <c:pt idx="30">
                  <c:v>Таловский</c:v>
                </c:pt>
                <c:pt idx="31">
                  <c:v>Терновский</c:v>
                </c:pt>
                <c:pt idx="32">
                  <c:v>Хохольский</c:v>
                </c:pt>
                <c:pt idx="33">
                  <c:v>Эртильский</c:v>
                </c:pt>
              </c:strCache>
            </c:strRef>
          </c:cat>
          <c:val>
            <c:numRef>
              <c:f>Лист1!$B$2:$B$35</c:f>
              <c:numCache>
                <c:formatCode>General</c:formatCode>
                <c:ptCount val="34"/>
                <c:pt idx="0">
                  <c:v>1440</c:v>
                </c:pt>
                <c:pt idx="1">
                  <c:v>1354</c:v>
                </c:pt>
                <c:pt idx="2">
                  <c:v>1445</c:v>
                </c:pt>
                <c:pt idx="3">
                  <c:v>1248</c:v>
                </c:pt>
                <c:pt idx="4">
                  <c:v>1094</c:v>
                </c:pt>
                <c:pt idx="5">
                  <c:v>1072</c:v>
                </c:pt>
                <c:pt idx="6">
                  <c:v>1382</c:v>
                </c:pt>
                <c:pt idx="7">
                  <c:v>1016</c:v>
                </c:pt>
                <c:pt idx="8">
                  <c:v>7354</c:v>
                </c:pt>
                <c:pt idx="9">
                  <c:v>749</c:v>
                </c:pt>
                <c:pt idx="10">
                  <c:v>1150</c:v>
                </c:pt>
                <c:pt idx="11">
                  <c:v>1988</c:v>
                </c:pt>
                <c:pt idx="12">
                  <c:v>699</c:v>
                </c:pt>
                <c:pt idx="13">
                  <c:v>1644</c:v>
                </c:pt>
                <c:pt idx="14">
                  <c:v>1031</c:v>
                </c:pt>
                <c:pt idx="15">
                  <c:v>2323</c:v>
                </c:pt>
                <c:pt idx="16">
                  <c:v>1317</c:v>
                </c:pt>
                <c:pt idx="17">
                  <c:v>3350</c:v>
                </c:pt>
                <c:pt idx="18">
                  <c:v>1841</c:v>
                </c:pt>
                <c:pt idx="19">
                  <c:v>1007</c:v>
                </c:pt>
                <c:pt idx="20">
                  <c:v>1109</c:v>
                </c:pt>
                <c:pt idx="21">
                  <c:v>1917</c:v>
                </c:pt>
                <c:pt idx="22">
                  <c:v>1225</c:v>
                </c:pt>
                <c:pt idx="23">
                  <c:v>839</c:v>
                </c:pt>
                <c:pt idx="24">
                  <c:v>1238</c:v>
                </c:pt>
                <c:pt idx="25">
                  <c:v>1018</c:v>
                </c:pt>
                <c:pt idx="26">
                  <c:v>3329</c:v>
                </c:pt>
                <c:pt idx="27">
                  <c:v>419</c:v>
                </c:pt>
                <c:pt idx="28">
                  <c:v>2184</c:v>
                </c:pt>
                <c:pt idx="29">
                  <c:v>2510</c:v>
                </c:pt>
                <c:pt idx="30">
                  <c:v>1492</c:v>
                </c:pt>
                <c:pt idx="31">
                  <c:v>751</c:v>
                </c:pt>
                <c:pt idx="32">
                  <c:v>1424</c:v>
                </c:pt>
                <c:pt idx="33">
                  <c:v>1304</c:v>
                </c:pt>
              </c:numCache>
            </c:numRef>
          </c:val>
          <c:extLst>
            <c:ext xmlns:c16="http://schemas.microsoft.com/office/drawing/2014/chart" uri="{C3380CC4-5D6E-409C-BE32-E72D297353CC}">
              <c16:uniqueId val="{00000044-9F73-4BC3-8B50-FA742B08A728}"/>
            </c:ext>
          </c:extLst>
        </c:ser>
        <c:dLbls>
          <c:dLblPos val="outEnd"/>
          <c:showLegendKey val="0"/>
          <c:showVal val="1"/>
          <c:showCatName val="0"/>
          <c:showSerName val="0"/>
          <c:showPercent val="0"/>
          <c:showBubbleSize val="0"/>
        </c:dLbls>
        <c:gapWidth val="150"/>
        <c:axId val="1565260128"/>
        <c:axId val="1565253056"/>
      </c:barChart>
      <c:catAx>
        <c:axId val="15652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53056"/>
        <c:crosses val="autoZero"/>
        <c:auto val="1"/>
        <c:lblAlgn val="ctr"/>
        <c:lblOffset val="100"/>
        <c:noMultiLvlLbl val="0"/>
      </c:catAx>
      <c:valAx>
        <c:axId val="15652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60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Распределение ЗУ 6 сегмента по кодам ВРИ</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Лист1!$B$1</c:f>
              <c:strCache>
                <c:ptCount val="1"/>
                <c:pt idx="0">
                  <c:v>Количество ЗУ</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7074-40AE-AC0B-E4EED56B26FB}"/>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7074-40AE-AC0B-E4EED56B26FB}"/>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7074-40AE-AC0B-E4EED56B26FB}"/>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7074-40AE-AC0B-E4EED56B26FB}"/>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7074-40AE-AC0B-E4EED56B26FB}"/>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7074-40AE-AC0B-E4EED56B26FB}"/>
              </c:ext>
            </c:extLst>
          </c:dPt>
          <c:dPt>
            <c:idx val="6"/>
            <c:invertIfNegative val="0"/>
            <c:bubble3D val="0"/>
            <c:spPr>
              <a:solidFill>
                <a:schemeClr val="accent1">
                  <a:lumMod val="60000"/>
                </a:schemeClr>
              </a:solidFill>
              <a:ln>
                <a:noFill/>
              </a:ln>
              <a:effectLst/>
              <a:sp3d/>
            </c:spPr>
            <c:extLst>
              <c:ext xmlns:c16="http://schemas.microsoft.com/office/drawing/2014/chart" uri="{C3380CC4-5D6E-409C-BE32-E72D297353CC}">
                <c16:uniqueId val="{0000000D-7074-40AE-AC0B-E4EED56B26FB}"/>
              </c:ext>
            </c:extLst>
          </c:dPt>
          <c:dPt>
            <c:idx val="7"/>
            <c:invertIfNegative val="0"/>
            <c:bubble3D val="0"/>
            <c:spPr>
              <a:solidFill>
                <a:schemeClr val="accent2">
                  <a:lumMod val="60000"/>
                </a:schemeClr>
              </a:solidFill>
              <a:ln>
                <a:noFill/>
              </a:ln>
              <a:effectLst/>
              <a:sp3d/>
            </c:spPr>
            <c:extLst>
              <c:ext xmlns:c16="http://schemas.microsoft.com/office/drawing/2014/chart" uri="{C3380CC4-5D6E-409C-BE32-E72D297353CC}">
                <c16:uniqueId val="{0000000F-7074-40AE-AC0B-E4EED56B26FB}"/>
              </c:ext>
            </c:extLst>
          </c:dPt>
          <c:dPt>
            <c:idx val="8"/>
            <c:invertIfNegative val="0"/>
            <c:bubble3D val="0"/>
            <c:spPr>
              <a:solidFill>
                <a:schemeClr val="accent3">
                  <a:lumMod val="60000"/>
                </a:schemeClr>
              </a:solidFill>
              <a:ln>
                <a:noFill/>
              </a:ln>
              <a:effectLst/>
              <a:sp3d/>
            </c:spPr>
            <c:extLst>
              <c:ext xmlns:c16="http://schemas.microsoft.com/office/drawing/2014/chart" uri="{C3380CC4-5D6E-409C-BE32-E72D297353CC}">
                <c16:uniqueId val="{00000011-7074-40AE-AC0B-E4EED56B26FB}"/>
              </c:ext>
            </c:extLst>
          </c:dPt>
          <c:dPt>
            <c:idx val="9"/>
            <c:invertIfNegative val="0"/>
            <c:bubble3D val="0"/>
            <c:spPr>
              <a:solidFill>
                <a:schemeClr val="accent4">
                  <a:lumMod val="60000"/>
                </a:schemeClr>
              </a:solidFill>
              <a:ln>
                <a:noFill/>
              </a:ln>
              <a:effectLst/>
              <a:sp3d/>
            </c:spPr>
            <c:extLst>
              <c:ext xmlns:c16="http://schemas.microsoft.com/office/drawing/2014/chart" uri="{C3380CC4-5D6E-409C-BE32-E72D297353CC}">
                <c16:uniqueId val="{00000013-7074-40AE-AC0B-E4EED56B26FB}"/>
              </c:ext>
            </c:extLst>
          </c:dPt>
          <c:dPt>
            <c:idx val="10"/>
            <c:invertIfNegative val="0"/>
            <c:bubble3D val="0"/>
            <c:spPr>
              <a:solidFill>
                <a:schemeClr val="accent5">
                  <a:lumMod val="60000"/>
                </a:schemeClr>
              </a:solidFill>
              <a:ln>
                <a:noFill/>
              </a:ln>
              <a:effectLst/>
              <a:sp3d/>
            </c:spPr>
            <c:extLst>
              <c:ext xmlns:c16="http://schemas.microsoft.com/office/drawing/2014/chart" uri="{C3380CC4-5D6E-409C-BE32-E72D297353CC}">
                <c16:uniqueId val="{00000015-7074-40AE-AC0B-E4EED56B26FB}"/>
              </c:ext>
            </c:extLst>
          </c:dPt>
          <c:dPt>
            <c:idx val="11"/>
            <c:invertIfNegative val="0"/>
            <c:bubble3D val="0"/>
            <c:spPr>
              <a:solidFill>
                <a:schemeClr val="accent6">
                  <a:lumMod val="60000"/>
                </a:schemeClr>
              </a:solidFill>
              <a:ln>
                <a:noFill/>
              </a:ln>
              <a:effectLst/>
              <a:sp3d/>
            </c:spPr>
            <c:extLst>
              <c:ext xmlns:c16="http://schemas.microsoft.com/office/drawing/2014/chart" uri="{C3380CC4-5D6E-409C-BE32-E72D297353CC}">
                <c16:uniqueId val="{00000017-7074-40AE-AC0B-E4EED56B26FB}"/>
              </c:ext>
            </c:extLst>
          </c:dPt>
          <c:dPt>
            <c:idx val="12"/>
            <c:invertIfNegative val="0"/>
            <c:bubble3D val="0"/>
            <c:spPr>
              <a:solidFill>
                <a:schemeClr val="accent1">
                  <a:lumMod val="80000"/>
                  <a:lumOff val="20000"/>
                </a:schemeClr>
              </a:solidFill>
              <a:ln>
                <a:noFill/>
              </a:ln>
              <a:effectLst/>
              <a:sp3d/>
            </c:spPr>
            <c:extLst>
              <c:ext xmlns:c16="http://schemas.microsoft.com/office/drawing/2014/chart" uri="{C3380CC4-5D6E-409C-BE32-E72D297353CC}">
                <c16:uniqueId val="{00000019-7074-40AE-AC0B-E4EED56B26FB}"/>
              </c:ext>
            </c:extLst>
          </c:dPt>
          <c:dPt>
            <c:idx val="13"/>
            <c:invertIfNegative val="0"/>
            <c:bubble3D val="0"/>
            <c:spPr>
              <a:solidFill>
                <a:schemeClr val="accent2">
                  <a:lumMod val="80000"/>
                  <a:lumOff val="20000"/>
                </a:schemeClr>
              </a:solidFill>
              <a:ln>
                <a:noFill/>
              </a:ln>
              <a:effectLst/>
              <a:sp3d/>
            </c:spPr>
            <c:extLst>
              <c:ext xmlns:c16="http://schemas.microsoft.com/office/drawing/2014/chart" uri="{C3380CC4-5D6E-409C-BE32-E72D297353CC}">
                <c16:uniqueId val="{0000001B-7074-40AE-AC0B-E4EED56B26FB}"/>
              </c:ext>
            </c:extLst>
          </c:dPt>
          <c:dPt>
            <c:idx val="14"/>
            <c:invertIfNegative val="0"/>
            <c:bubble3D val="0"/>
            <c:spPr>
              <a:solidFill>
                <a:schemeClr val="accent3">
                  <a:lumMod val="80000"/>
                  <a:lumOff val="20000"/>
                </a:schemeClr>
              </a:solidFill>
              <a:ln>
                <a:noFill/>
              </a:ln>
              <a:effectLst/>
              <a:sp3d/>
            </c:spPr>
            <c:extLst>
              <c:ext xmlns:c16="http://schemas.microsoft.com/office/drawing/2014/chart" uri="{C3380CC4-5D6E-409C-BE32-E72D297353CC}">
                <c16:uniqueId val="{0000001D-7074-40AE-AC0B-E4EED56B26FB}"/>
              </c:ext>
            </c:extLst>
          </c:dPt>
          <c:dPt>
            <c:idx val="15"/>
            <c:invertIfNegative val="0"/>
            <c:bubble3D val="0"/>
            <c:spPr>
              <a:solidFill>
                <a:schemeClr val="accent4">
                  <a:lumMod val="80000"/>
                  <a:lumOff val="20000"/>
                </a:schemeClr>
              </a:solidFill>
              <a:ln>
                <a:noFill/>
              </a:ln>
              <a:effectLst/>
              <a:sp3d/>
            </c:spPr>
            <c:extLst>
              <c:ext xmlns:c16="http://schemas.microsoft.com/office/drawing/2014/chart" uri="{C3380CC4-5D6E-409C-BE32-E72D297353CC}">
                <c16:uniqueId val="{0000001F-7074-40AE-AC0B-E4EED56B26FB}"/>
              </c:ext>
            </c:extLst>
          </c:dPt>
          <c:dPt>
            <c:idx val="16"/>
            <c:invertIfNegative val="0"/>
            <c:bubble3D val="0"/>
            <c:spPr>
              <a:solidFill>
                <a:schemeClr val="accent5">
                  <a:lumMod val="80000"/>
                  <a:lumOff val="20000"/>
                </a:schemeClr>
              </a:solidFill>
              <a:ln>
                <a:noFill/>
              </a:ln>
              <a:effectLst/>
              <a:sp3d/>
            </c:spPr>
            <c:extLst>
              <c:ext xmlns:c16="http://schemas.microsoft.com/office/drawing/2014/chart" uri="{C3380CC4-5D6E-409C-BE32-E72D297353CC}">
                <c16:uniqueId val="{00000021-7074-40AE-AC0B-E4EED56B26FB}"/>
              </c:ext>
            </c:extLst>
          </c:dPt>
          <c:dPt>
            <c:idx val="17"/>
            <c:invertIfNegative val="0"/>
            <c:bubble3D val="0"/>
            <c:spPr>
              <a:solidFill>
                <a:schemeClr val="accent6">
                  <a:lumMod val="80000"/>
                  <a:lumOff val="20000"/>
                </a:schemeClr>
              </a:solidFill>
              <a:ln>
                <a:noFill/>
              </a:ln>
              <a:effectLst/>
              <a:sp3d/>
            </c:spPr>
            <c:extLst>
              <c:ext xmlns:c16="http://schemas.microsoft.com/office/drawing/2014/chart" uri="{C3380CC4-5D6E-409C-BE32-E72D297353CC}">
                <c16:uniqueId val="{00000023-7074-40AE-AC0B-E4EED56B26FB}"/>
              </c:ext>
            </c:extLst>
          </c:dPt>
          <c:dPt>
            <c:idx val="18"/>
            <c:invertIfNegative val="0"/>
            <c:bubble3D val="0"/>
            <c:spPr>
              <a:solidFill>
                <a:schemeClr val="accent1">
                  <a:lumMod val="80000"/>
                </a:schemeClr>
              </a:solidFill>
              <a:ln>
                <a:noFill/>
              </a:ln>
              <a:effectLst/>
              <a:sp3d/>
            </c:spPr>
            <c:extLst>
              <c:ext xmlns:c16="http://schemas.microsoft.com/office/drawing/2014/chart" uri="{C3380CC4-5D6E-409C-BE32-E72D297353CC}">
                <c16:uniqueId val="{00000025-7074-40AE-AC0B-E4EED56B26FB}"/>
              </c:ext>
            </c:extLst>
          </c:dPt>
          <c:dPt>
            <c:idx val="19"/>
            <c:invertIfNegative val="0"/>
            <c:bubble3D val="0"/>
            <c:spPr>
              <a:solidFill>
                <a:schemeClr val="accent2">
                  <a:lumMod val="80000"/>
                </a:schemeClr>
              </a:solidFill>
              <a:ln>
                <a:noFill/>
              </a:ln>
              <a:effectLst/>
              <a:sp3d/>
            </c:spPr>
            <c:extLst>
              <c:ext xmlns:c16="http://schemas.microsoft.com/office/drawing/2014/chart" uri="{C3380CC4-5D6E-409C-BE32-E72D297353CC}">
                <c16:uniqueId val="{00000027-7074-40AE-AC0B-E4EED56B26FB}"/>
              </c:ext>
            </c:extLst>
          </c:dPt>
          <c:dPt>
            <c:idx val="20"/>
            <c:invertIfNegative val="0"/>
            <c:bubble3D val="0"/>
            <c:spPr>
              <a:solidFill>
                <a:schemeClr val="accent3">
                  <a:lumMod val="80000"/>
                </a:schemeClr>
              </a:solidFill>
              <a:ln>
                <a:noFill/>
              </a:ln>
              <a:effectLst/>
              <a:sp3d/>
            </c:spPr>
            <c:extLst>
              <c:ext xmlns:c16="http://schemas.microsoft.com/office/drawing/2014/chart" uri="{C3380CC4-5D6E-409C-BE32-E72D297353CC}">
                <c16:uniqueId val="{00000029-7074-40AE-AC0B-E4EED56B26FB}"/>
              </c:ext>
            </c:extLst>
          </c:dPt>
          <c:dPt>
            <c:idx val="21"/>
            <c:invertIfNegative val="0"/>
            <c:bubble3D val="0"/>
            <c:spPr>
              <a:solidFill>
                <a:schemeClr val="accent4">
                  <a:lumMod val="80000"/>
                </a:schemeClr>
              </a:solidFill>
              <a:ln>
                <a:noFill/>
              </a:ln>
              <a:effectLst/>
              <a:sp3d/>
            </c:spPr>
            <c:extLst>
              <c:ext xmlns:c16="http://schemas.microsoft.com/office/drawing/2014/chart" uri="{C3380CC4-5D6E-409C-BE32-E72D297353CC}">
                <c16:uniqueId val="{0000002B-7074-40AE-AC0B-E4EED56B26FB}"/>
              </c:ext>
            </c:extLst>
          </c:dPt>
          <c:dPt>
            <c:idx val="22"/>
            <c:invertIfNegative val="0"/>
            <c:bubble3D val="0"/>
            <c:spPr>
              <a:solidFill>
                <a:schemeClr val="accent5">
                  <a:lumMod val="80000"/>
                </a:schemeClr>
              </a:solidFill>
              <a:ln>
                <a:noFill/>
              </a:ln>
              <a:effectLst/>
              <a:sp3d/>
            </c:spPr>
            <c:extLst>
              <c:ext xmlns:c16="http://schemas.microsoft.com/office/drawing/2014/chart" uri="{C3380CC4-5D6E-409C-BE32-E72D297353CC}">
                <c16:uniqueId val="{0000002D-7074-40AE-AC0B-E4EED56B26FB}"/>
              </c:ext>
            </c:extLst>
          </c:dPt>
          <c:dPt>
            <c:idx val="23"/>
            <c:invertIfNegative val="0"/>
            <c:bubble3D val="0"/>
            <c:spPr>
              <a:solidFill>
                <a:schemeClr val="accent6">
                  <a:lumMod val="80000"/>
                </a:schemeClr>
              </a:solidFill>
              <a:ln>
                <a:noFill/>
              </a:ln>
              <a:effectLst/>
              <a:sp3d/>
            </c:spPr>
            <c:extLst>
              <c:ext xmlns:c16="http://schemas.microsoft.com/office/drawing/2014/chart" uri="{C3380CC4-5D6E-409C-BE32-E72D297353CC}">
                <c16:uniqueId val="{0000002F-7074-40AE-AC0B-E4EED56B26FB}"/>
              </c:ext>
            </c:extLst>
          </c:dPt>
          <c:dPt>
            <c:idx val="24"/>
            <c:invertIfNegative val="0"/>
            <c:bubble3D val="0"/>
            <c:spPr>
              <a:solidFill>
                <a:schemeClr val="accent1">
                  <a:lumMod val="60000"/>
                  <a:lumOff val="40000"/>
                </a:schemeClr>
              </a:solidFill>
              <a:ln>
                <a:noFill/>
              </a:ln>
              <a:effectLst/>
              <a:sp3d/>
            </c:spPr>
            <c:extLst>
              <c:ext xmlns:c16="http://schemas.microsoft.com/office/drawing/2014/chart" uri="{C3380CC4-5D6E-409C-BE32-E72D297353CC}">
                <c16:uniqueId val="{00000031-7074-40AE-AC0B-E4EED56B26FB}"/>
              </c:ext>
            </c:extLst>
          </c:dPt>
          <c:dPt>
            <c:idx val="25"/>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33-7074-40AE-AC0B-E4EED56B26FB}"/>
              </c:ext>
            </c:extLst>
          </c:dPt>
          <c:dPt>
            <c:idx val="26"/>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35-7074-40AE-AC0B-E4EED56B26FB}"/>
              </c:ext>
            </c:extLst>
          </c:dPt>
          <c:dPt>
            <c:idx val="27"/>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37-7074-40AE-AC0B-E4EED56B26FB}"/>
              </c:ext>
            </c:extLst>
          </c:dPt>
          <c:dPt>
            <c:idx val="28"/>
            <c:invertIfNegative val="0"/>
            <c:bubble3D val="0"/>
            <c:spPr>
              <a:solidFill>
                <a:schemeClr val="accent5">
                  <a:lumMod val="60000"/>
                  <a:lumOff val="40000"/>
                </a:schemeClr>
              </a:solidFill>
              <a:ln>
                <a:noFill/>
              </a:ln>
              <a:effectLst/>
              <a:sp3d/>
            </c:spPr>
            <c:extLst>
              <c:ext xmlns:c16="http://schemas.microsoft.com/office/drawing/2014/chart" uri="{C3380CC4-5D6E-409C-BE32-E72D297353CC}">
                <c16:uniqueId val="{00000039-7074-40AE-AC0B-E4EED56B26FB}"/>
              </c:ext>
            </c:extLst>
          </c:dPt>
          <c:dPt>
            <c:idx val="29"/>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3B-7074-40AE-AC0B-E4EED56B26FB}"/>
              </c:ext>
            </c:extLst>
          </c:dPt>
          <c:dPt>
            <c:idx val="30"/>
            <c:invertIfNegative val="0"/>
            <c:bubble3D val="0"/>
            <c:spPr>
              <a:solidFill>
                <a:schemeClr val="accent1">
                  <a:lumMod val="50000"/>
                </a:schemeClr>
              </a:solidFill>
              <a:ln>
                <a:noFill/>
              </a:ln>
              <a:effectLst/>
              <a:sp3d/>
            </c:spPr>
            <c:extLst>
              <c:ext xmlns:c16="http://schemas.microsoft.com/office/drawing/2014/chart" uri="{C3380CC4-5D6E-409C-BE32-E72D297353CC}">
                <c16:uniqueId val="{0000003D-7074-40AE-AC0B-E4EED56B26FB}"/>
              </c:ext>
            </c:extLst>
          </c:dPt>
          <c:dPt>
            <c:idx val="31"/>
            <c:invertIfNegative val="0"/>
            <c:bubble3D val="0"/>
            <c:spPr>
              <a:solidFill>
                <a:schemeClr val="accent2">
                  <a:lumMod val="50000"/>
                </a:schemeClr>
              </a:solidFill>
              <a:ln>
                <a:noFill/>
              </a:ln>
              <a:effectLst/>
              <a:sp3d/>
            </c:spPr>
            <c:extLst>
              <c:ext xmlns:c16="http://schemas.microsoft.com/office/drawing/2014/chart" uri="{C3380CC4-5D6E-409C-BE32-E72D297353CC}">
                <c16:uniqueId val="{0000003F-7074-40AE-AC0B-E4EED56B26FB}"/>
              </c:ext>
            </c:extLst>
          </c:dPt>
          <c:dPt>
            <c:idx val="32"/>
            <c:invertIfNegative val="0"/>
            <c:bubble3D val="0"/>
            <c:spPr>
              <a:solidFill>
                <a:schemeClr val="accent3">
                  <a:lumMod val="50000"/>
                </a:schemeClr>
              </a:solidFill>
              <a:ln>
                <a:noFill/>
              </a:ln>
              <a:effectLst/>
              <a:sp3d/>
            </c:spPr>
            <c:extLst>
              <c:ext xmlns:c16="http://schemas.microsoft.com/office/drawing/2014/chart" uri="{C3380CC4-5D6E-409C-BE32-E72D297353CC}">
                <c16:uniqueId val="{00000041-7074-40AE-AC0B-E4EED56B26FB}"/>
              </c:ext>
            </c:extLst>
          </c:dPt>
          <c:dPt>
            <c:idx val="33"/>
            <c:invertIfNegative val="0"/>
            <c:bubble3D val="0"/>
            <c:spPr>
              <a:solidFill>
                <a:schemeClr val="accent4">
                  <a:lumMod val="50000"/>
                </a:schemeClr>
              </a:solidFill>
              <a:ln>
                <a:noFill/>
              </a:ln>
              <a:effectLst/>
              <a:sp3d/>
            </c:spPr>
            <c:extLst>
              <c:ext xmlns:c16="http://schemas.microsoft.com/office/drawing/2014/chart" uri="{C3380CC4-5D6E-409C-BE32-E72D297353CC}">
                <c16:uniqueId val="{00000043-7074-40AE-AC0B-E4EED56B26FB}"/>
              </c:ext>
            </c:extLst>
          </c:dPt>
          <c:dPt>
            <c:idx val="34"/>
            <c:invertIfNegative val="0"/>
            <c:bubble3D val="0"/>
            <c:spPr>
              <a:solidFill>
                <a:schemeClr val="accent5">
                  <a:lumMod val="50000"/>
                </a:schemeClr>
              </a:solidFill>
              <a:ln>
                <a:noFill/>
              </a:ln>
              <a:effectLst/>
              <a:sp3d/>
            </c:spPr>
            <c:extLst>
              <c:ext xmlns:c16="http://schemas.microsoft.com/office/drawing/2014/chart" uri="{C3380CC4-5D6E-409C-BE32-E72D297353CC}">
                <c16:uniqueId val="{00000045-7074-40AE-AC0B-E4EED56B26FB}"/>
              </c:ext>
            </c:extLst>
          </c:dPt>
          <c:dPt>
            <c:idx val="35"/>
            <c:invertIfNegative val="0"/>
            <c:bubble3D val="0"/>
            <c:spPr>
              <a:solidFill>
                <a:schemeClr val="accent6">
                  <a:lumMod val="50000"/>
                </a:schemeClr>
              </a:solidFill>
              <a:ln>
                <a:noFill/>
              </a:ln>
              <a:effectLst/>
              <a:sp3d/>
            </c:spPr>
            <c:extLst>
              <c:ext xmlns:c16="http://schemas.microsoft.com/office/drawing/2014/chart" uri="{C3380CC4-5D6E-409C-BE32-E72D297353CC}">
                <c16:uniqueId val="{00000047-7074-40AE-AC0B-E4EED56B26FB}"/>
              </c:ext>
            </c:extLst>
          </c:dPt>
          <c:dPt>
            <c:idx val="36"/>
            <c:invertIfNegative val="0"/>
            <c:bubble3D val="0"/>
            <c:spPr>
              <a:solidFill>
                <a:schemeClr val="accent1">
                  <a:lumMod val="70000"/>
                  <a:lumOff val="30000"/>
                </a:schemeClr>
              </a:solidFill>
              <a:ln>
                <a:noFill/>
              </a:ln>
              <a:effectLst/>
              <a:sp3d/>
            </c:spPr>
            <c:extLst>
              <c:ext xmlns:c16="http://schemas.microsoft.com/office/drawing/2014/chart" uri="{C3380CC4-5D6E-409C-BE32-E72D297353CC}">
                <c16:uniqueId val="{00000049-7074-40AE-AC0B-E4EED56B26FB}"/>
              </c:ext>
            </c:extLst>
          </c:dPt>
          <c:dPt>
            <c:idx val="37"/>
            <c:invertIfNegative val="0"/>
            <c:bubble3D val="0"/>
            <c:spPr>
              <a:solidFill>
                <a:schemeClr val="accent2">
                  <a:lumMod val="70000"/>
                  <a:lumOff val="30000"/>
                </a:schemeClr>
              </a:solidFill>
              <a:ln>
                <a:noFill/>
              </a:ln>
              <a:effectLst/>
              <a:sp3d/>
            </c:spPr>
            <c:extLst>
              <c:ext xmlns:c16="http://schemas.microsoft.com/office/drawing/2014/chart" uri="{C3380CC4-5D6E-409C-BE32-E72D297353CC}">
                <c16:uniqueId val="{0000004B-7074-40AE-AC0B-E4EED56B26FB}"/>
              </c:ext>
            </c:extLst>
          </c:dPt>
          <c:dPt>
            <c:idx val="38"/>
            <c:invertIfNegative val="0"/>
            <c:bubble3D val="0"/>
            <c:spPr>
              <a:solidFill>
                <a:schemeClr val="accent3">
                  <a:lumMod val="70000"/>
                  <a:lumOff val="30000"/>
                </a:schemeClr>
              </a:solidFill>
              <a:ln>
                <a:noFill/>
              </a:ln>
              <a:effectLst/>
              <a:sp3d/>
            </c:spPr>
            <c:extLst>
              <c:ext xmlns:c16="http://schemas.microsoft.com/office/drawing/2014/chart" uri="{C3380CC4-5D6E-409C-BE32-E72D297353CC}">
                <c16:uniqueId val="{0000004D-7074-40AE-AC0B-E4EED56B26FB}"/>
              </c:ext>
            </c:extLst>
          </c:dPt>
          <c:dPt>
            <c:idx val="39"/>
            <c:invertIfNegative val="0"/>
            <c:bubble3D val="0"/>
            <c:spPr>
              <a:solidFill>
                <a:schemeClr val="accent4">
                  <a:lumMod val="70000"/>
                  <a:lumOff val="30000"/>
                </a:schemeClr>
              </a:solidFill>
              <a:ln>
                <a:noFill/>
              </a:ln>
              <a:effectLst/>
              <a:sp3d/>
            </c:spPr>
            <c:extLst>
              <c:ext xmlns:c16="http://schemas.microsoft.com/office/drawing/2014/chart" uri="{C3380CC4-5D6E-409C-BE32-E72D297353CC}">
                <c16:uniqueId val="{0000004F-7074-40AE-AC0B-E4EED56B26FB}"/>
              </c:ext>
            </c:extLst>
          </c:dPt>
          <c:dPt>
            <c:idx val="40"/>
            <c:invertIfNegative val="0"/>
            <c:bubble3D val="0"/>
            <c:spPr>
              <a:solidFill>
                <a:schemeClr val="accent5">
                  <a:lumMod val="70000"/>
                  <a:lumOff val="30000"/>
                </a:schemeClr>
              </a:solidFill>
              <a:ln>
                <a:noFill/>
              </a:ln>
              <a:effectLst/>
              <a:sp3d/>
            </c:spPr>
            <c:extLst>
              <c:ext xmlns:c16="http://schemas.microsoft.com/office/drawing/2014/chart" uri="{C3380CC4-5D6E-409C-BE32-E72D297353CC}">
                <c16:uniqueId val="{00000051-7074-40AE-AC0B-E4EED56B26FB}"/>
              </c:ext>
            </c:extLst>
          </c:dPt>
          <c:dPt>
            <c:idx val="41"/>
            <c:invertIfNegative val="0"/>
            <c:bubble3D val="0"/>
            <c:spPr>
              <a:solidFill>
                <a:schemeClr val="accent6">
                  <a:lumMod val="70000"/>
                  <a:lumOff val="30000"/>
                </a:schemeClr>
              </a:solidFill>
              <a:ln>
                <a:noFill/>
              </a:ln>
              <a:effectLst/>
              <a:sp3d/>
            </c:spPr>
            <c:extLst>
              <c:ext xmlns:c16="http://schemas.microsoft.com/office/drawing/2014/chart" uri="{C3380CC4-5D6E-409C-BE32-E72D297353CC}">
                <c16:uniqueId val="{00000053-7074-40AE-AC0B-E4EED56B26FB}"/>
              </c:ext>
            </c:extLst>
          </c:dPt>
          <c:dPt>
            <c:idx val="42"/>
            <c:invertIfNegative val="0"/>
            <c:bubble3D val="0"/>
            <c:spPr>
              <a:solidFill>
                <a:schemeClr val="accent1">
                  <a:lumMod val="70000"/>
                </a:schemeClr>
              </a:solidFill>
              <a:ln>
                <a:noFill/>
              </a:ln>
              <a:effectLst/>
              <a:sp3d/>
            </c:spPr>
            <c:extLst>
              <c:ext xmlns:c16="http://schemas.microsoft.com/office/drawing/2014/chart" uri="{C3380CC4-5D6E-409C-BE32-E72D297353CC}">
                <c16:uniqueId val="{00000055-7074-40AE-AC0B-E4EED56B26FB}"/>
              </c:ext>
            </c:extLst>
          </c:dPt>
          <c:dPt>
            <c:idx val="43"/>
            <c:invertIfNegative val="0"/>
            <c:bubble3D val="0"/>
            <c:spPr>
              <a:solidFill>
                <a:schemeClr val="accent2">
                  <a:lumMod val="70000"/>
                </a:schemeClr>
              </a:solidFill>
              <a:ln>
                <a:noFill/>
              </a:ln>
              <a:effectLst/>
              <a:sp3d/>
            </c:spPr>
            <c:extLst>
              <c:ext xmlns:c16="http://schemas.microsoft.com/office/drawing/2014/chart" uri="{C3380CC4-5D6E-409C-BE32-E72D297353CC}">
                <c16:uniqueId val="{00000057-7074-40AE-AC0B-E4EED56B26FB}"/>
              </c:ext>
            </c:extLst>
          </c:dPt>
          <c:dPt>
            <c:idx val="44"/>
            <c:invertIfNegative val="0"/>
            <c:bubble3D val="0"/>
            <c:spPr>
              <a:solidFill>
                <a:schemeClr val="accent3">
                  <a:lumMod val="70000"/>
                </a:schemeClr>
              </a:solidFill>
              <a:ln>
                <a:noFill/>
              </a:ln>
              <a:effectLst/>
              <a:sp3d/>
            </c:spPr>
            <c:extLst>
              <c:ext xmlns:c16="http://schemas.microsoft.com/office/drawing/2014/chart" uri="{C3380CC4-5D6E-409C-BE32-E72D297353CC}">
                <c16:uniqueId val="{00000059-7074-40AE-AC0B-E4EED56B26FB}"/>
              </c:ext>
            </c:extLst>
          </c:dPt>
          <c:dPt>
            <c:idx val="45"/>
            <c:invertIfNegative val="0"/>
            <c:bubble3D val="0"/>
            <c:spPr>
              <a:solidFill>
                <a:schemeClr val="accent4">
                  <a:lumMod val="70000"/>
                </a:schemeClr>
              </a:solidFill>
              <a:ln>
                <a:noFill/>
              </a:ln>
              <a:effectLst/>
              <a:sp3d/>
            </c:spPr>
            <c:extLst>
              <c:ext xmlns:c16="http://schemas.microsoft.com/office/drawing/2014/chart" uri="{C3380CC4-5D6E-409C-BE32-E72D297353CC}">
                <c16:uniqueId val="{0000005B-7074-40AE-AC0B-E4EED56B26FB}"/>
              </c:ext>
            </c:extLst>
          </c:dPt>
          <c:dPt>
            <c:idx val="46"/>
            <c:invertIfNegative val="0"/>
            <c:bubble3D val="0"/>
            <c:spPr>
              <a:solidFill>
                <a:schemeClr val="accent5">
                  <a:lumMod val="70000"/>
                </a:schemeClr>
              </a:solidFill>
              <a:ln>
                <a:noFill/>
              </a:ln>
              <a:effectLst/>
              <a:sp3d/>
            </c:spPr>
            <c:extLst>
              <c:ext xmlns:c16="http://schemas.microsoft.com/office/drawing/2014/chart" uri="{C3380CC4-5D6E-409C-BE32-E72D297353CC}">
                <c16:uniqueId val="{0000005D-7074-40AE-AC0B-E4EED56B26FB}"/>
              </c:ext>
            </c:extLst>
          </c:dPt>
          <c:dPt>
            <c:idx val="47"/>
            <c:invertIfNegative val="0"/>
            <c:bubble3D val="0"/>
            <c:spPr>
              <a:solidFill>
                <a:schemeClr val="accent6">
                  <a:lumMod val="70000"/>
                </a:schemeClr>
              </a:solidFill>
              <a:ln>
                <a:noFill/>
              </a:ln>
              <a:effectLst/>
              <a:sp3d/>
            </c:spPr>
            <c:extLst>
              <c:ext xmlns:c16="http://schemas.microsoft.com/office/drawing/2014/chart" uri="{C3380CC4-5D6E-409C-BE32-E72D297353CC}">
                <c16:uniqueId val="{0000005F-7074-40AE-AC0B-E4EED56B26FB}"/>
              </c:ext>
            </c:extLst>
          </c:dPt>
          <c:dPt>
            <c:idx val="48"/>
            <c:invertIfNegative val="0"/>
            <c:bubble3D val="0"/>
            <c:spPr>
              <a:solidFill>
                <a:schemeClr val="accent1">
                  <a:lumMod val="50000"/>
                  <a:lumOff val="50000"/>
                </a:schemeClr>
              </a:solidFill>
              <a:ln>
                <a:noFill/>
              </a:ln>
              <a:effectLst/>
              <a:sp3d/>
            </c:spPr>
            <c:extLst>
              <c:ext xmlns:c16="http://schemas.microsoft.com/office/drawing/2014/chart" uri="{C3380CC4-5D6E-409C-BE32-E72D297353CC}">
                <c16:uniqueId val="{00000061-7074-40AE-AC0B-E4EED56B26FB}"/>
              </c:ext>
            </c:extLst>
          </c:dPt>
          <c:dPt>
            <c:idx val="49"/>
            <c:invertIfNegative val="0"/>
            <c:bubble3D val="0"/>
            <c:spPr>
              <a:solidFill>
                <a:schemeClr val="accent2">
                  <a:lumMod val="50000"/>
                  <a:lumOff val="50000"/>
                </a:schemeClr>
              </a:solidFill>
              <a:ln>
                <a:noFill/>
              </a:ln>
              <a:effectLst/>
              <a:sp3d/>
            </c:spPr>
            <c:extLst>
              <c:ext xmlns:c16="http://schemas.microsoft.com/office/drawing/2014/chart" uri="{C3380CC4-5D6E-409C-BE32-E72D297353CC}">
                <c16:uniqueId val="{00000063-7074-40AE-AC0B-E4EED56B26FB}"/>
              </c:ext>
            </c:extLst>
          </c:dPt>
          <c:dPt>
            <c:idx val="50"/>
            <c:invertIfNegative val="0"/>
            <c:bubble3D val="0"/>
            <c:spPr>
              <a:solidFill>
                <a:schemeClr val="accent3">
                  <a:lumMod val="50000"/>
                  <a:lumOff val="50000"/>
                </a:schemeClr>
              </a:solidFill>
              <a:ln>
                <a:noFill/>
              </a:ln>
              <a:effectLst/>
              <a:sp3d/>
            </c:spPr>
            <c:extLst>
              <c:ext xmlns:c16="http://schemas.microsoft.com/office/drawing/2014/chart" uri="{C3380CC4-5D6E-409C-BE32-E72D297353CC}">
                <c16:uniqueId val="{00000065-7074-40AE-AC0B-E4EED56B26FB}"/>
              </c:ext>
            </c:extLst>
          </c:dPt>
          <c:dPt>
            <c:idx val="51"/>
            <c:invertIfNegative val="0"/>
            <c:bubble3D val="0"/>
            <c:spPr>
              <a:solidFill>
                <a:schemeClr val="accent4">
                  <a:lumMod val="50000"/>
                  <a:lumOff val="50000"/>
                </a:schemeClr>
              </a:solidFill>
              <a:ln>
                <a:noFill/>
              </a:ln>
              <a:effectLst/>
              <a:sp3d/>
            </c:spPr>
            <c:extLst>
              <c:ext xmlns:c16="http://schemas.microsoft.com/office/drawing/2014/chart" uri="{C3380CC4-5D6E-409C-BE32-E72D297353CC}">
                <c16:uniqueId val="{00000067-7074-40AE-AC0B-E4EED56B26FB}"/>
              </c:ext>
            </c:extLst>
          </c:dPt>
          <c:dPt>
            <c:idx val="52"/>
            <c:invertIfNegative val="0"/>
            <c:bubble3D val="0"/>
            <c:spPr>
              <a:solidFill>
                <a:schemeClr val="accent5">
                  <a:lumMod val="50000"/>
                  <a:lumOff val="50000"/>
                </a:schemeClr>
              </a:solidFill>
              <a:ln>
                <a:noFill/>
              </a:ln>
              <a:effectLst/>
              <a:sp3d/>
            </c:spPr>
            <c:extLst>
              <c:ext xmlns:c16="http://schemas.microsoft.com/office/drawing/2014/chart" uri="{C3380CC4-5D6E-409C-BE32-E72D297353CC}">
                <c16:uniqueId val="{00000069-7074-40AE-AC0B-E4EED56B26FB}"/>
              </c:ext>
            </c:extLst>
          </c:dPt>
          <c:dPt>
            <c:idx val="53"/>
            <c:invertIfNegative val="0"/>
            <c:bubble3D val="0"/>
            <c:spPr>
              <a:solidFill>
                <a:schemeClr val="accent6">
                  <a:lumMod val="50000"/>
                  <a:lumOff val="50000"/>
                </a:schemeClr>
              </a:solidFill>
              <a:ln>
                <a:noFill/>
              </a:ln>
              <a:effectLst/>
              <a:sp3d/>
            </c:spPr>
            <c:extLst>
              <c:ext xmlns:c16="http://schemas.microsoft.com/office/drawing/2014/chart" uri="{C3380CC4-5D6E-409C-BE32-E72D297353CC}">
                <c16:uniqueId val="{0000006B-7074-40AE-AC0B-E4EED56B26FB}"/>
              </c:ext>
            </c:extLst>
          </c:dPt>
          <c:dPt>
            <c:idx val="54"/>
            <c:invertIfNegative val="0"/>
            <c:bubble3D val="0"/>
            <c:spPr>
              <a:solidFill>
                <a:schemeClr val="accent1"/>
              </a:solidFill>
              <a:ln>
                <a:noFill/>
              </a:ln>
              <a:effectLst/>
              <a:sp3d/>
            </c:spPr>
            <c:extLst>
              <c:ext xmlns:c16="http://schemas.microsoft.com/office/drawing/2014/chart" uri="{C3380CC4-5D6E-409C-BE32-E72D297353CC}">
                <c16:uniqueId val="{0000006D-7074-40AE-AC0B-E4EED56B26FB}"/>
              </c:ext>
            </c:extLst>
          </c:dPt>
          <c:dPt>
            <c:idx val="55"/>
            <c:invertIfNegative val="0"/>
            <c:bubble3D val="0"/>
            <c:spPr>
              <a:solidFill>
                <a:schemeClr val="accent2"/>
              </a:solidFill>
              <a:ln>
                <a:noFill/>
              </a:ln>
              <a:effectLst/>
              <a:sp3d/>
            </c:spPr>
            <c:extLst>
              <c:ext xmlns:c16="http://schemas.microsoft.com/office/drawing/2014/chart" uri="{C3380CC4-5D6E-409C-BE32-E72D297353CC}">
                <c16:uniqueId val="{0000006F-7074-40AE-AC0B-E4EED56B26FB}"/>
              </c:ext>
            </c:extLst>
          </c:dPt>
          <c:dPt>
            <c:idx val="56"/>
            <c:invertIfNegative val="0"/>
            <c:bubble3D val="0"/>
            <c:spPr>
              <a:solidFill>
                <a:schemeClr val="accent3"/>
              </a:solidFill>
              <a:ln>
                <a:noFill/>
              </a:ln>
              <a:effectLst/>
              <a:sp3d/>
            </c:spPr>
            <c:extLst>
              <c:ext xmlns:c16="http://schemas.microsoft.com/office/drawing/2014/chart" uri="{C3380CC4-5D6E-409C-BE32-E72D297353CC}">
                <c16:uniqueId val="{00000071-7074-40AE-AC0B-E4EED56B26FB}"/>
              </c:ext>
            </c:extLst>
          </c:dPt>
          <c:dPt>
            <c:idx val="57"/>
            <c:invertIfNegative val="0"/>
            <c:bubble3D val="0"/>
            <c:spPr>
              <a:solidFill>
                <a:schemeClr val="accent4"/>
              </a:solidFill>
              <a:ln>
                <a:noFill/>
              </a:ln>
              <a:effectLst/>
              <a:sp3d/>
            </c:spPr>
            <c:extLst>
              <c:ext xmlns:c16="http://schemas.microsoft.com/office/drawing/2014/chart" uri="{C3380CC4-5D6E-409C-BE32-E72D297353CC}">
                <c16:uniqueId val="{00000073-7074-40AE-AC0B-E4EED56B26FB}"/>
              </c:ext>
            </c:extLst>
          </c:dPt>
          <c:dLbls>
            <c:spPr>
              <a:noFill/>
              <a:ln>
                <a:noFill/>
              </a:ln>
              <a:effectLst/>
            </c:spPr>
            <c:txPr>
              <a:bodyPr rot="-5400000" spcFirstLastPara="1" vertOverflow="ellipsis"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Лист1!$A$2:$A$59</c:f>
              <c:strCache>
                <c:ptCount val="58"/>
                <c:pt idx="0">
                  <c:v>01:087</c:v>
                </c:pt>
                <c:pt idx="1">
                  <c:v>01:088</c:v>
                </c:pt>
                <c:pt idx="2">
                  <c:v>01:090</c:v>
                </c:pt>
                <c:pt idx="3">
                  <c:v>01:091</c:v>
                </c:pt>
                <c:pt idx="4">
                  <c:v>01:100</c:v>
                </c:pt>
                <c:pt idx="5">
                  <c:v>01:101</c:v>
                </c:pt>
                <c:pt idx="6">
                  <c:v>01:102</c:v>
                </c:pt>
                <c:pt idx="7">
                  <c:v>01:110</c:v>
                </c:pt>
                <c:pt idx="8">
                  <c:v>01:111</c:v>
                </c:pt>
                <c:pt idx="9">
                  <c:v>01:132</c:v>
                </c:pt>
                <c:pt idx="10">
                  <c:v>01:150</c:v>
                </c:pt>
                <c:pt idx="11">
                  <c:v>01:172</c:v>
                </c:pt>
                <c:pt idx="12">
                  <c:v>01:180</c:v>
                </c:pt>
                <c:pt idx="13">
                  <c:v>01:181</c:v>
                </c:pt>
                <c:pt idx="14">
                  <c:v>01:182</c:v>
                </c:pt>
                <c:pt idx="15">
                  <c:v>03:011</c:v>
                </c:pt>
                <c:pt idx="16">
                  <c:v>03:012</c:v>
                </c:pt>
                <c:pt idx="17">
                  <c:v>03:093</c:v>
                </c:pt>
                <c:pt idx="18">
                  <c:v>04:095</c:v>
                </c:pt>
                <c:pt idx="19">
                  <c:v>04:098</c:v>
                </c:pt>
                <c:pt idx="20">
                  <c:v>04:099</c:v>
                </c:pt>
                <c:pt idx="21">
                  <c:v>05:040</c:v>
                </c:pt>
                <c:pt idx="22">
                  <c:v>06:000</c:v>
                </c:pt>
                <c:pt idx="23">
                  <c:v>06:010</c:v>
                </c:pt>
                <c:pt idx="24">
                  <c:v>06:020</c:v>
                </c:pt>
                <c:pt idx="25">
                  <c:v>06:021</c:v>
                </c:pt>
                <c:pt idx="26">
                  <c:v>06:030</c:v>
                </c:pt>
                <c:pt idx="27">
                  <c:v>06:031</c:v>
                </c:pt>
                <c:pt idx="28">
                  <c:v>06:040</c:v>
                </c:pt>
                <c:pt idx="29">
                  <c:v>06:050</c:v>
                </c:pt>
                <c:pt idx="30">
                  <c:v>06:060</c:v>
                </c:pt>
                <c:pt idx="31">
                  <c:v>06:070</c:v>
                </c:pt>
                <c:pt idx="32">
                  <c:v>06:071</c:v>
                </c:pt>
                <c:pt idx="33">
                  <c:v>06:072</c:v>
                </c:pt>
                <c:pt idx="34">
                  <c:v>06:073</c:v>
                </c:pt>
                <c:pt idx="35">
                  <c:v>06:080</c:v>
                </c:pt>
                <c:pt idx="36">
                  <c:v>06:090</c:v>
                </c:pt>
                <c:pt idx="37">
                  <c:v>06:091</c:v>
                </c:pt>
                <c:pt idx="38">
                  <c:v>06:092</c:v>
                </c:pt>
                <c:pt idx="39">
                  <c:v>06:111</c:v>
                </c:pt>
                <c:pt idx="40">
                  <c:v>07:010</c:v>
                </c:pt>
                <c:pt idx="41">
                  <c:v>07:011</c:v>
                </c:pt>
                <c:pt idx="42">
                  <c:v>07:012</c:v>
                </c:pt>
                <c:pt idx="43">
                  <c:v>07:013</c:v>
                </c:pt>
                <c:pt idx="44">
                  <c:v>07:015</c:v>
                </c:pt>
                <c:pt idx="45">
                  <c:v>07:020</c:v>
                </c:pt>
                <c:pt idx="46">
                  <c:v>07:030</c:v>
                </c:pt>
                <c:pt idx="47">
                  <c:v>07:031</c:v>
                </c:pt>
                <c:pt idx="48">
                  <c:v>07:040</c:v>
                </c:pt>
                <c:pt idx="49">
                  <c:v>07:041</c:v>
                </c:pt>
                <c:pt idx="50">
                  <c:v>07:050</c:v>
                </c:pt>
                <c:pt idx="51">
                  <c:v>07:051</c:v>
                </c:pt>
                <c:pt idx="52">
                  <c:v>08:010</c:v>
                </c:pt>
                <c:pt idx="53">
                  <c:v>08:013</c:v>
                </c:pt>
                <c:pt idx="54">
                  <c:v>08:031</c:v>
                </c:pt>
                <c:pt idx="55">
                  <c:v>10:011</c:v>
                </c:pt>
                <c:pt idx="56">
                  <c:v>11:030</c:v>
                </c:pt>
                <c:pt idx="57">
                  <c:v>12:001</c:v>
                </c:pt>
              </c:strCache>
            </c:strRef>
          </c:cat>
          <c:val>
            <c:numRef>
              <c:f>Лист1!$B$2:$B$59</c:f>
              <c:numCache>
                <c:formatCode>General</c:formatCode>
                <c:ptCount val="58"/>
                <c:pt idx="0">
                  <c:v>1527</c:v>
                </c:pt>
                <c:pt idx="1">
                  <c:v>2</c:v>
                </c:pt>
                <c:pt idx="2">
                  <c:v>12</c:v>
                </c:pt>
                <c:pt idx="3">
                  <c:v>1</c:v>
                </c:pt>
                <c:pt idx="4">
                  <c:v>44</c:v>
                </c:pt>
                <c:pt idx="5">
                  <c:v>21</c:v>
                </c:pt>
                <c:pt idx="6">
                  <c:v>5</c:v>
                </c:pt>
                <c:pt idx="7">
                  <c:v>158</c:v>
                </c:pt>
                <c:pt idx="8">
                  <c:v>49</c:v>
                </c:pt>
                <c:pt idx="9">
                  <c:v>6</c:v>
                </c:pt>
                <c:pt idx="10">
                  <c:v>1679</c:v>
                </c:pt>
                <c:pt idx="11">
                  <c:v>12</c:v>
                </c:pt>
                <c:pt idx="12">
                  <c:v>1865</c:v>
                </c:pt>
                <c:pt idx="13">
                  <c:v>341</c:v>
                </c:pt>
                <c:pt idx="14">
                  <c:v>79</c:v>
                </c:pt>
                <c:pt idx="15">
                  <c:v>7688</c:v>
                </c:pt>
                <c:pt idx="16">
                  <c:v>7117</c:v>
                </c:pt>
                <c:pt idx="17">
                  <c:v>26</c:v>
                </c:pt>
                <c:pt idx="18">
                  <c:v>795</c:v>
                </c:pt>
                <c:pt idx="19">
                  <c:v>107</c:v>
                </c:pt>
                <c:pt idx="20">
                  <c:v>700</c:v>
                </c:pt>
                <c:pt idx="21">
                  <c:v>35</c:v>
                </c:pt>
                <c:pt idx="22">
                  <c:v>9148</c:v>
                </c:pt>
                <c:pt idx="23">
                  <c:v>226</c:v>
                </c:pt>
                <c:pt idx="24">
                  <c:v>64</c:v>
                </c:pt>
                <c:pt idx="25">
                  <c:v>26</c:v>
                </c:pt>
                <c:pt idx="26">
                  <c:v>38</c:v>
                </c:pt>
                <c:pt idx="27">
                  <c:v>3</c:v>
                </c:pt>
                <c:pt idx="28">
                  <c:v>322</c:v>
                </c:pt>
                <c:pt idx="29">
                  <c:v>87</c:v>
                </c:pt>
                <c:pt idx="30">
                  <c:v>419</c:v>
                </c:pt>
                <c:pt idx="31">
                  <c:v>4</c:v>
                </c:pt>
                <c:pt idx="32">
                  <c:v>6</c:v>
                </c:pt>
                <c:pt idx="33">
                  <c:v>109</c:v>
                </c:pt>
                <c:pt idx="34">
                  <c:v>12</c:v>
                </c:pt>
                <c:pt idx="35">
                  <c:v>888</c:v>
                </c:pt>
                <c:pt idx="36">
                  <c:v>3454</c:v>
                </c:pt>
                <c:pt idx="37">
                  <c:v>16</c:v>
                </c:pt>
                <c:pt idx="38">
                  <c:v>9</c:v>
                </c:pt>
                <c:pt idx="39">
                  <c:v>26</c:v>
                </c:pt>
                <c:pt idx="40">
                  <c:v>385</c:v>
                </c:pt>
                <c:pt idx="41">
                  <c:v>2</c:v>
                </c:pt>
                <c:pt idx="42">
                  <c:v>22</c:v>
                </c:pt>
                <c:pt idx="43">
                  <c:v>7</c:v>
                </c:pt>
                <c:pt idx="44">
                  <c:v>3</c:v>
                </c:pt>
                <c:pt idx="45">
                  <c:v>7662</c:v>
                </c:pt>
                <c:pt idx="46">
                  <c:v>5</c:v>
                </c:pt>
                <c:pt idx="47">
                  <c:v>8</c:v>
                </c:pt>
                <c:pt idx="48">
                  <c:v>56</c:v>
                </c:pt>
                <c:pt idx="49">
                  <c:v>12</c:v>
                </c:pt>
                <c:pt idx="50">
                  <c:v>1932</c:v>
                </c:pt>
                <c:pt idx="51">
                  <c:v>4367</c:v>
                </c:pt>
                <c:pt idx="52">
                  <c:v>2</c:v>
                </c:pt>
                <c:pt idx="53">
                  <c:v>8</c:v>
                </c:pt>
                <c:pt idx="54">
                  <c:v>15</c:v>
                </c:pt>
                <c:pt idx="55">
                  <c:v>10</c:v>
                </c:pt>
                <c:pt idx="56">
                  <c:v>429</c:v>
                </c:pt>
                <c:pt idx="57">
                  <c:v>3212</c:v>
                </c:pt>
              </c:numCache>
            </c:numRef>
          </c:val>
          <c:extLst>
            <c:ext xmlns:c16="http://schemas.microsoft.com/office/drawing/2014/chart" uri="{C3380CC4-5D6E-409C-BE32-E72D297353CC}">
              <c16:uniqueId val="{00000074-7074-40AE-AC0B-E4EED56B26FB}"/>
            </c:ext>
          </c:extLst>
        </c:ser>
        <c:dLbls>
          <c:showLegendKey val="0"/>
          <c:showVal val="1"/>
          <c:showCatName val="0"/>
          <c:showSerName val="0"/>
          <c:showPercent val="0"/>
          <c:showBubbleSize val="0"/>
        </c:dLbls>
        <c:gapWidth val="219"/>
        <c:shape val="box"/>
        <c:axId val="1555070320"/>
        <c:axId val="1555071152"/>
        <c:axId val="0"/>
      </c:bar3DChart>
      <c:catAx>
        <c:axId val="155507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5071152"/>
        <c:crosses val="autoZero"/>
        <c:auto val="1"/>
        <c:lblAlgn val="ctr"/>
        <c:lblOffset val="100"/>
        <c:noMultiLvlLbl val="0"/>
      </c:catAx>
      <c:valAx>
        <c:axId val="155507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5070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Количество ЗУ 7 сегмента</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5D6A-4661-87AB-8139E96E4E2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5D6A-4661-87AB-8139E96E4E29}"/>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5D6A-4661-87AB-8139E96E4E29}"/>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5D6A-4661-87AB-8139E96E4E2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5D6A-4661-87AB-8139E96E4E29}"/>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5D6A-4661-87AB-8139E96E4E29}"/>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5D6A-4661-87AB-8139E96E4E29}"/>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5D6A-4661-87AB-8139E96E4E29}"/>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5D6A-4661-87AB-8139E96E4E29}"/>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5D6A-4661-87AB-8139E96E4E29}"/>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5D6A-4661-87AB-8139E96E4E29}"/>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5D6A-4661-87AB-8139E96E4E29}"/>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5D6A-4661-87AB-8139E96E4E29}"/>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5D6A-4661-87AB-8139E96E4E29}"/>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5D6A-4661-87AB-8139E96E4E29}"/>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5D6A-4661-87AB-8139E96E4E29}"/>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5D6A-4661-87AB-8139E96E4E29}"/>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5D6A-4661-87AB-8139E96E4E29}"/>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5D6A-4661-87AB-8139E96E4E29}"/>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5D6A-4661-87AB-8139E96E4E29}"/>
              </c:ext>
            </c:extLst>
          </c:dPt>
          <c:dPt>
            <c:idx val="20"/>
            <c:invertIfNegative val="0"/>
            <c:bubble3D val="0"/>
            <c:spPr>
              <a:solidFill>
                <a:schemeClr val="accent3">
                  <a:lumMod val="80000"/>
                </a:schemeClr>
              </a:solidFill>
              <a:ln>
                <a:noFill/>
              </a:ln>
              <a:effectLst/>
            </c:spPr>
            <c:extLst>
              <c:ext xmlns:c16="http://schemas.microsoft.com/office/drawing/2014/chart" uri="{C3380CC4-5D6E-409C-BE32-E72D297353CC}">
                <c16:uniqueId val="{00000029-5D6A-4661-87AB-8139E96E4E29}"/>
              </c:ext>
            </c:extLst>
          </c:dPt>
          <c:dPt>
            <c:idx val="21"/>
            <c:invertIfNegative val="0"/>
            <c:bubble3D val="0"/>
            <c:spPr>
              <a:solidFill>
                <a:schemeClr val="accent4">
                  <a:lumMod val="80000"/>
                </a:schemeClr>
              </a:solidFill>
              <a:ln>
                <a:noFill/>
              </a:ln>
              <a:effectLst/>
            </c:spPr>
            <c:extLst>
              <c:ext xmlns:c16="http://schemas.microsoft.com/office/drawing/2014/chart" uri="{C3380CC4-5D6E-409C-BE32-E72D297353CC}">
                <c16:uniqueId val="{0000002B-5D6A-4661-87AB-8139E96E4E29}"/>
              </c:ext>
            </c:extLst>
          </c:dPt>
          <c:dPt>
            <c:idx val="22"/>
            <c:invertIfNegative val="0"/>
            <c:bubble3D val="0"/>
            <c:spPr>
              <a:solidFill>
                <a:schemeClr val="accent5">
                  <a:lumMod val="80000"/>
                </a:schemeClr>
              </a:solidFill>
              <a:ln>
                <a:noFill/>
              </a:ln>
              <a:effectLst/>
            </c:spPr>
            <c:extLst>
              <c:ext xmlns:c16="http://schemas.microsoft.com/office/drawing/2014/chart" uri="{C3380CC4-5D6E-409C-BE32-E72D297353CC}">
                <c16:uniqueId val="{0000002D-5D6A-4661-87AB-8139E96E4E29}"/>
              </c:ext>
            </c:extLst>
          </c:dPt>
          <c:dPt>
            <c:idx val="23"/>
            <c:invertIfNegative val="0"/>
            <c:bubble3D val="0"/>
            <c:spPr>
              <a:solidFill>
                <a:schemeClr val="accent6">
                  <a:lumMod val="80000"/>
                </a:schemeClr>
              </a:solidFill>
              <a:ln>
                <a:noFill/>
              </a:ln>
              <a:effectLst/>
            </c:spPr>
            <c:extLst>
              <c:ext xmlns:c16="http://schemas.microsoft.com/office/drawing/2014/chart" uri="{C3380CC4-5D6E-409C-BE32-E72D297353CC}">
                <c16:uniqueId val="{0000002F-5D6A-4661-87AB-8139E96E4E29}"/>
              </c:ext>
            </c:extLst>
          </c:dPt>
          <c:dPt>
            <c:idx val="2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31-5D6A-4661-87AB-8139E96E4E29}"/>
              </c:ext>
            </c:extLst>
          </c:dPt>
          <c:dPt>
            <c:idx val="2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33-5D6A-4661-87AB-8139E96E4E29}"/>
              </c:ext>
            </c:extLst>
          </c:dPt>
          <c:dPt>
            <c:idx val="26"/>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35-5D6A-4661-87AB-8139E96E4E29}"/>
              </c:ext>
            </c:extLst>
          </c:dPt>
          <c:dPt>
            <c:idx val="2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37-5D6A-4661-87AB-8139E96E4E29}"/>
              </c:ext>
            </c:extLst>
          </c:dPt>
          <c:dPt>
            <c:idx val="2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9-5D6A-4661-87AB-8139E96E4E29}"/>
              </c:ext>
            </c:extLst>
          </c:dPt>
          <c:dPt>
            <c:idx val="29"/>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3B-5D6A-4661-87AB-8139E96E4E29}"/>
              </c:ext>
            </c:extLst>
          </c:dPt>
          <c:dPt>
            <c:idx val="30"/>
            <c:invertIfNegative val="0"/>
            <c:bubble3D val="0"/>
            <c:spPr>
              <a:solidFill>
                <a:schemeClr val="accent1">
                  <a:lumMod val="50000"/>
                </a:schemeClr>
              </a:solidFill>
              <a:ln>
                <a:noFill/>
              </a:ln>
              <a:effectLst/>
            </c:spPr>
            <c:extLst>
              <c:ext xmlns:c16="http://schemas.microsoft.com/office/drawing/2014/chart" uri="{C3380CC4-5D6E-409C-BE32-E72D297353CC}">
                <c16:uniqueId val="{0000003D-5D6A-4661-87AB-8139E96E4E29}"/>
              </c:ext>
            </c:extLst>
          </c:dPt>
          <c:dPt>
            <c:idx val="31"/>
            <c:invertIfNegative val="0"/>
            <c:bubble3D val="0"/>
            <c:spPr>
              <a:solidFill>
                <a:schemeClr val="accent2">
                  <a:lumMod val="50000"/>
                </a:schemeClr>
              </a:solidFill>
              <a:ln>
                <a:noFill/>
              </a:ln>
              <a:effectLst/>
            </c:spPr>
            <c:extLst>
              <c:ext xmlns:c16="http://schemas.microsoft.com/office/drawing/2014/chart" uri="{C3380CC4-5D6E-409C-BE32-E72D297353CC}">
                <c16:uniqueId val="{0000003F-5D6A-4661-87AB-8139E96E4E29}"/>
              </c:ext>
            </c:extLst>
          </c:dPt>
          <c:dPt>
            <c:idx val="32"/>
            <c:invertIfNegative val="0"/>
            <c:bubble3D val="0"/>
            <c:spPr>
              <a:solidFill>
                <a:schemeClr val="accent3">
                  <a:lumMod val="50000"/>
                </a:schemeClr>
              </a:solidFill>
              <a:ln>
                <a:noFill/>
              </a:ln>
              <a:effectLst/>
            </c:spPr>
            <c:extLst>
              <c:ext xmlns:c16="http://schemas.microsoft.com/office/drawing/2014/chart" uri="{C3380CC4-5D6E-409C-BE32-E72D297353CC}">
                <c16:uniqueId val="{00000041-5D6A-4661-87AB-8139E96E4E29}"/>
              </c:ext>
            </c:extLst>
          </c:dPt>
          <c:dPt>
            <c:idx val="33"/>
            <c:invertIfNegative val="0"/>
            <c:bubble3D val="0"/>
            <c:spPr>
              <a:solidFill>
                <a:schemeClr val="accent4">
                  <a:lumMod val="50000"/>
                </a:schemeClr>
              </a:solidFill>
              <a:ln>
                <a:noFill/>
              </a:ln>
              <a:effectLst/>
            </c:spPr>
            <c:extLst>
              <c:ext xmlns:c16="http://schemas.microsoft.com/office/drawing/2014/chart" uri="{C3380CC4-5D6E-409C-BE32-E72D297353CC}">
                <c16:uniqueId val="{00000043-5D6A-4661-87AB-8139E96E4E29}"/>
              </c:ext>
            </c:extLst>
          </c:dPt>
          <c:dLbls>
            <c:dLbl>
              <c:idx val="1"/>
              <c:layout>
                <c:manualLayout>
                  <c:x val="0"/>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6A-4661-87AB-8139E96E4E29}"/>
                </c:ext>
              </c:extLst>
            </c:dLbl>
            <c:dLbl>
              <c:idx val="2"/>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6A-4661-87AB-8139E96E4E29}"/>
                </c:ext>
              </c:extLst>
            </c:dLbl>
            <c:dLbl>
              <c:idx val="6"/>
              <c:layout>
                <c:manualLayout>
                  <c:x val="0"/>
                  <c:y val="7.256937357591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D6A-4661-87AB-8139E96E4E29}"/>
                </c:ext>
              </c:extLst>
            </c:dLbl>
            <c:dLbl>
              <c:idx val="7"/>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D6A-4661-87AB-8139E96E4E29}"/>
                </c:ext>
              </c:extLst>
            </c:dLbl>
            <c:dLbl>
              <c:idx val="10"/>
              <c:layout>
                <c:manualLayout>
                  <c:x val="-3.9194273752108585E-17"/>
                  <c:y val="1.21267242686068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D6A-4661-87AB-8139E96E4E29}"/>
                </c:ext>
              </c:extLst>
            </c:dLbl>
            <c:dLbl>
              <c:idx val="18"/>
              <c:layout>
                <c:manualLayout>
                  <c:x val="-7.838854750421717E-17"/>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5D6A-4661-87AB-8139E96E4E29}"/>
                </c:ext>
              </c:extLst>
            </c:dLbl>
            <c:dLbl>
              <c:idx val="20"/>
              <c:layout>
                <c:manualLayout>
                  <c:x val="-7.838854750421717E-17"/>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5D6A-4661-87AB-8139E96E4E29}"/>
                </c:ext>
              </c:extLst>
            </c:dLbl>
            <c:dLbl>
              <c:idx val="23"/>
              <c:layout>
                <c:manualLayout>
                  <c:x val="-7.838854750421717E-17"/>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5D6A-4661-87AB-8139E96E4E29}"/>
                </c:ext>
              </c:extLst>
            </c:dLbl>
            <c:dLbl>
              <c:idx val="25"/>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5D6A-4661-87AB-8139E96E4E29}"/>
                </c:ext>
              </c:extLst>
            </c:dLbl>
            <c:dLbl>
              <c:idx val="28"/>
              <c:layout>
                <c:manualLayout>
                  <c:x val="-1.5677709500843434E-16"/>
                  <c:y val="4.61651024863354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5D6A-4661-87AB-8139E96E4E29}"/>
                </c:ext>
              </c:extLst>
            </c:dLbl>
            <c:dLbl>
              <c:idx val="29"/>
              <c:layout>
                <c:manualLayout>
                  <c:x val="0"/>
                  <c:y val="-1.7451021678417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5D6A-4661-87AB-8139E96E4E29}"/>
                </c:ext>
              </c:extLst>
            </c:dLbl>
            <c:dLbl>
              <c:idx val="30"/>
              <c:layout>
                <c:manualLayout>
                  <c:x val="0"/>
                  <c:y val="9.09504320145520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5D6A-4661-87AB-8139E96E4E29}"/>
                </c:ext>
              </c:extLst>
            </c:dLbl>
            <c:dLbl>
              <c:idx val="32"/>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5D6A-4661-87AB-8139E96E4E29}"/>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Лист1!$A$2:$A$35</c:f>
              <c:strCache>
                <c:ptCount val="34"/>
                <c:pt idx="0">
                  <c:v>Аннинский</c:v>
                </c:pt>
                <c:pt idx="1">
                  <c:v>Бобровский</c:v>
                </c:pt>
                <c:pt idx="2">
                  <c:v>Богучарский</c:v>
                </c:pt>
                <c:pt idx="3">
                  <c:v>Борисоглебский</c:v>
                </c:pt>
                <c:pt idx="4">
                  <c:v>Бутурлиновский</c:v>
                </c:pt>
                <c:pt idx="5">
                  <c:v>Верхнемамонский</c:v>
                </c:pt>
                <c:pt idx="6">
                  <c:v>Верхнехавский</c:v>
                </c:pt>
                <c:pt idx="7">
                  <c:v>Воробьевский</c:v>
                </c:pt>
                <c:pt idx="8">
                  <c:v>ГО г. Воронеж</c:v>
                </c:pt>
                <c:pt idx="9">
                  <c:v>ГО Нововоронеж</c:v>
                </c:pt>
                <c:pt idx="10">
                  <c:v>Грибановский</c:v>
                </c:pt>
                <c:pt idx="11">
                  <c:v>Калачеевский</c:v>
                </c:pt>
                <c:pt idx="12">
                  <c:v>Каменский</c:v>
                </c:pt>
                <c:pt idx="13">
                  <c:v>Кантемировский</c:v>
                </c:pt>
                <c:pt idx="14">
                  <c:v>Каширский</c:v>
                </c:pt>
                <c:pt idx="15">
                  <c:v>Лискинский</c:v>
                </c:pt>
                <c:pt idx="16">
                  <c:v>Нижнедевицкий</c:v>
                </c:pt>
                <c:pt idx="17">
                  <c:v>Новоусманский</c:v>
                </c:pt>
                <c:pt idx="18">
                  <c:v>Новохоперский</c:v>
                </c:pt>
                <c:pt idx="19">
                  <c:v>Ольховатский</c:v>
                </c:pt>
                <c:pt idx="20">
                  <c:v>Острогожский</c:v>
                </c:pt>
                <c:pt idx="21">
                  <c:v>Павловский</c:v>
                </c:pt>
                <c:pt idx="22">
                  <c:v>Панинский</c:v>
                </c:pt>
                <c:pt idx="23">
                  <c:v>Петропавловский</c:v>
                </c:pt>
                <c:pt idx="24">
                  <c:v>Поворинский</c:v>
                </c:pt>
                <c:pt idx="25">
                  <c:v>Подгоренский</c:v>
                </c:pt>
                <c:pt idx="26">
                  <c:v>Рамонский</c:v>
                </c:pt>
                <c:pt idx="27">
                  <c:v>Репьевский</c:v>
                </c:pt>
                <c:pt idx="28">
                  <c:v>Россошанский</c:v>
                </c:pt>
                <c:pt idx="29">
                  <c:v>Семилукский</c:v>
                </c:pt>
                <c:pt idx="30">
                  <c:v>Таловский</c:v>
                </c:pt>
                <c:pt idx="31">
                  <c:v>Терновский</c:v>
                </c:pt>
                <c:pt idx="32">
                  <c:v>Хохольский</c:v>
                </c:pt>
                <c:pt idx="33">
                  <c:v>Эртильский</c:v>
                </c:pt>
              </c:strCache>
            </c:strRef>
          </c:cat>
          <c:val>
            <c:numRef>
              <c:f>Лист1!$B$2:$B$35</c:f>
              <c:numCache>
                <c:formatCode>General</c:formatCode>
                <c:ptCount val="34"/>
                <c:pt idx="0">
                  <c:v>94</c:v>
                </c:pt>
                <c:pt idx="1">
                  <c:v>735</c:v>
                </c:pt>
                <c:pt idx="2">
                  <c:v>600</c:v>
                </c:pt>
                <c:pt idx="3">
                  <c:v>268</c:v>
                </c:pt>
                <c:pt idx="4">
                  <c:v>476</c:v>
                </c:pt>
                <c:pt idx="5">
                  <c:v>153</c:v>
                </c:pt>
                <c:pt idx="6">
                  <c:v>193</c:v>
                </c:pt>
                <c:pt idx="7">
                  <c:v>44</c:v>
                </c:pt>
                <c:pt idx="8">
                  <c:v>2797</c:v>
                </c:pt>
                <c:pt idx="9">
                  <c:v>56</c:v>
                </c:pt>
                <c:pt idx="10">
                  <c:v>99</c:v>
                </c:pt>
                <c:pt idx="11">
                  <c:v>256</c:v>
                </c:pt>
                <c:pt idx="12">
                  <c:v>808</c:v>
                </c:pt>
                <c:pt idx="13">
                  <c:v>546</c:v>
                </c:pt>
                <c:pt idx="14">
                  <c:v>19</c:v>
                </c:pt>
                <c:pt idx="15">
                  <c:v>4855</c:v>
                </c:pt>
                <c:pt idx="16">
                  <c:v>55</c:v>
                </c:pt>
                <c:pt idx="17">
                  <c:v>1831</c:v>
                </c:pt>
                <c:pt idx="18">
                  <c:v>212</c:v>
                </c:pt>
                <c:pt idx="19">
                  <c:v>360</c:v>
                </c:pt>
                <c:pt idx="20">
                  <c:v>174</c:v>
                </c:pt>
                <c:pt idx="21">
                  <c:v>136</c:v>
                </c:pt>
                <c:pt idx="22">
                  <c:v>89</c:v>
                </c:pt>
                <c:pt idx="23">
                  <c:v>42</c:v>
                </c:pt>
                <c:pt idx="24">
                  <c:v>1157</c:v>
                </c:pt>
                <c:pt idx="25">
                  <c:v>1195</c:v>
                </c:pt>
                <c:pt idx="26">
                  <c:v>1195</c:v>
                </c:pt>
                <c:pt idx="27">
                  <c:v>66</c:v>
                </c:pt>
                <c:pt idx="28">
                  <c:v>1317</c:v>
                </c:pt>
                <c:pt idx="29">
                  <c:v>2791</c:v>
                </c:pt>
                <c:pt idx="30">
                  <c:v>162</c:v>
                </c:pt>
                <c:pt idx="31">
                  <c:v>65</c:v>
                </c:pt>
                <c:pt idx="32">
                  <c:v>397</c:v>
                </c:pt>
                <c:pt idx="33">
                  <c:v>59</c:v>
                </c:pt>
              </c:numCache>
            </c:numRef>
          </c:val>
          <c:extLst>
            <c:ext xmlns:c16="http://schemas.microsoft.com/office/drawing/2014/chart" uri="{C3380CC4-5D6E-409C-BE32-E72D297353CC}">
              <c16:uniqueId val="{00000044-5D6A-4661-87AB-8139E96E4E29}"/>
            </c:ext>
          </c:extLst>
        </c:ser>
        <c:dLbls>
          <c:dLblPos val="outEnd"/>
          <c:showLegendKey val="0"/>
          <c:showVal val="1"/>
          <c:showCatName val="0"/>
          <c:showSerName val="0"/>
          <c:showPercent val="0"/>
          <c:showBubbleSize val="0"/>
        </c:dLbls>
        <c:gapWidth val="150"/>
        <c:axId val="1565260128"/>
        <c:axId val="1565253056"/>
      </c:barChart>
      <c:catAx>
        <c:axId val="15652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53056"/>
        <c:crosses val="autoZero"/>
        <c:auto val="1"/>
        <c:lblAlgn val="ctr"/>
        <c:lblOffset val="100"/>
        <c:noMultiLvlLbl val="0"/>
      </c:catAx>
      <c:valAx>
        <c:axId val="15652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60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Распределение ЗУ 7 сегмента по кодам ВРИ</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Лист1!$B$1</c:f>
              <c:strCache>
                <c:ptCount val="1"/>
                <c:pt idx="0">
                  <c:v>Количество ЗУ</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499D-448F-B2D4-839B91A81FEF}"/>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499D-448F-B2D4-839B91A81FEF}"/>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499D-448F-B2D4-839B91A81FEF}"/>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499D-448F-B2D4-839B91A81FEF}"/>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499D-448F-B2D4-839B91A81FEF}"/>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499D-448F-B2D4-839B91A81FEF}"/>
              </c:ext>
            </c:extLst>
          </c:dPt>
          <c:dPt>
            <c:idx val="6"/>
            <c:invertIfNegative val="0"/>
            <c:bubble3D val="0"/>
            <c:spPr>
              <a:solidFill>
                <a:schemeClr val="accent1">
                  <a:lumMod val="60000"/>
                </a:schemeClr>
              </a:solidFill>
              <a:ln>
                <a:noFill/>
              </a:ln>
              <a:effectLst/>
              <a:sp3d/>
            </c:spPr>
            <c:extLst>
              <c:ext xmlns:c16="http://schemas.microsoft.com/office/drawing/2014/chart" uri="{C3380CC4-5D6E-409C-BE32-E72D297353CC}">
                <c16:uniqueId val="{0000000D-499D-448F-B2D4-839B91A81FEF}"/>
              </c:ext>
            </c:extLst>
          </c:dPt>
          <c:dPt>
            <c:idx val="7"/>
            <c:invertIfNegative val="0"/>
            <c:bubble3D val="0"/>
            <c:spPr>
              <a:solidFill>
                <a:schemeClr val="accent2">
                  <a:lumMod val="60000"/>
                </a:schemeClr>
              </a:solidFill>
              <a:ln>
                <a:noFill/>
              </a:ln>
              <a:effectLst/>
              <a:sp3d/>
            </c:spPr>
            <c:extLst>
              <c:ext xmlns:c16="http://schemas.microsoft.com/office/drawing/2014/chart" uri="{C3380CC4-5D6E-409C-BE32-E72D297353CC}">
                <c16:uniqueId val="{0000000F-499D-448F-B2D4-839B91A81FEF}"/>
              </c:ext>
            </c:extLst>
          </c:dPt>
          <c:dPt>
            <c:idx val="8"/>
            <c:invertIfNegative val="0"/>
            <c:bubble3D val="0"/>
            <c:spPr>
              <a:solidFill>
                <a:schemeClr val="accent3">
                  <a:lumMod val="60000"/>
                </a:schemeClr>
              </a:solidFill>
              <a:ln>
                <a:noFill/>
              </a:ln>
              <a:effectLst/>
              <a:sp3d/>
            </c:spPr>
            <c:extLst>
              <c:ext xmlns:c16="http://schemas.microsoft.com/office/drawing/2014/chart" uri="{C3380CC4-5D6E-409C-BE32-E72D297353CC}">
                <c16:uniqueId val="{00000011-499D-448F-B2D4-839B91A81FEF}"/>
              </c:ext>
            </c:extLst>
          </c:dPt>
          <c:dPt>
            <c:idx val="9"/>
            <c:invertIfNegative val="0"/>
            <c:bubble3D val="0"/>
            <c:spPr>
              <a:solidFill>
                <a:schemeClr val="accent4">
                  <a:lumMod val="60000"/>
                </a:schemeClr>
              </a:solidFill>
              <a:ln>
                <a:noFill/>
              </a:ln>
              <a:effectLst/>
              <a:sp3d/>
            </c:spPr>
            <c:extLst>
              <c:ext xmlns:c16="http://schemas.microsoft.com/office/drawing/2014/chart" uri="{C3380CC4-5D6E-409C-BE32-E72D297353CC}">
                <c16:uniqueId val="{00000013-499D-448F-B2D4-839B91A81FEF}"/>
              </c:ext>
            </c:extLst>
          </c:dPt>
          <c:dPt>
            <c:idx val="10"/>
            <c:invertIfNegative val="0"/>
            <c:bubble3D val="0"/>
            <c:spPr>
              <a:solidFill>
                <a:schemeClr val="accent5">
                  <a:lumMod val="60000"/>
                </a:schemeClr>
              </a:solidFill>
              <a:ln>
                <a:noFill/>
              </a:ln>
              <a:effectLst/>
              <a:sp3d/>
            </c:spPr>
            <c:extLst>
              <c:ext xmlns:c16="http://schemas.microsoft.com/office/drawing/2014/chart" uri="{C3380CC4-5D6E-409C-BE32-E72D297353CC}">
                <c16:uniqueId val="{00000015-499D-448F-B2D4-839B91A81FEF}"/>
              </c:ext>
            </c:extLst>
          </c:dPt>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02:071</c:v>
                </c:pt>
                <c:pt idx="1">
                  <c:v>04:021</c:v>
                </c:pt>
                <c:pt idx="2">
                  <c:v>04:031</c:v>
                </c:pt>
                <c:pt idx="3">
                  <c:v>04:090</c:v>
                </c:pt>
                <c:pt idx="4">
                  <c:v>04:091</c:v>
                </c:pt>
                <c:pt idx="5">
                  <c:v>04:092</c:v>
                </c:pt>
                <c:pt idx="6">
                  <c:v>04:093</c:v>
                </c:pt>
                <c:pt idx="7">
                  <c:v>04:094</c:v>
                </c:pt>
                <c:pt idx="8">
                  <c:v>07:000</c:v>
                </c:pt>
                <c:pt idx="9">
                  <c:v>07:023</c:v>
                </c:pt>
                <c:pt idx="10">
                  <c:v>07:024</c:v>
                </c:pt>
              </c:strCache>
            </c:strRef>
          </c:cat>
          <c:val>
            <c:numRef>
              <c:f>Лист1!$B$2:$B$12</c:f>
              <c:numCache>
                <c:formatCode>General</c:formatCode>
                <c:ptCount val="11"/>
                <c:pt idx="0">
                  <c:v>21104</c:v>
                </c:pt>
                <c:pt idx="1">
                  <c:v>46</c:v>
                </c:pt>
                <c:pt idx="2">
                  <c:v>2</c:v>
                </c:pt>
                <c:pt idx="3">
                  <c:v>860</c:v>
                </c:pt>
                <c:pt idx="4">
                  <c:v>277</c:v>
                </c:pt>
                <c:pt idx="5">
                  <c:v>708</c:v>
                </c:pt>
                <c:pt idx="6">
                  <c:v>68</c:v>
                </c:pt>
                <c:pt idx="7">
                  <c:v>23</c:v>
                </c:pt>
                <c:pt idx="8">
                  <c:v>69</c:v>
                </c:pt>
                <c:pt idx="9">
                  <c:v>116</c:v>
                </c:pt>
                <c:pt idx="10">
                  <c:v>29</c:v>
                </c:pt>
              </c:numCache>
            </c:numRef>
          </c:val>
          <c:extLst>
            <c:ext xmlns:c16="http://schemas.microsoft.com/office/drawing/2014/chart" uri="{C3380CC4-5D6E-409C-BE32-E72D297353CC}">
              <c16:uniqueId val="{00000016-499D-448F-B2D4-839B91A81FEF}"/>
            </c:ext>
          </c:extLst>
        </c:ser>
        <c:dLbls>
          <c:showLegendKey val="0"/>
          <c:showVal val="1"/>
          <c:showCatName val="0"/>
          <c:showSerName val="0"/>
          <c:showPercent val="0"/>
          <c:showBubbleSize val="0"/>
        </c:dLbls>
        <c:gapWidth val="219"/>
        <c:shape val="box"/>
        <c:axId val="1555070320"/>
        <c:axId val="1555071152"/>
        <c:axId val="0"/>
      </c:bar3DChart>
      <c:catAx>
        <c:axId val="155507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5071152"/>
        <c:crosses val="autoZero"/>
        <c:auto val="1"/>
        <c:lblAlgn val="ctr"/>
        <c:lblOffset val="100"/>
        <c:noMultiLvlLbl val="0"/>
      </c:catAx>
      <c:valAx>
        <c:axId val="155507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5070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Количество ЗУ 8 сегмента</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46DE-42F4-B1BC-A576E3A17EAD}"/>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46DE-42F4-B1BC-A576E3A17EAD}"/>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46DE-42F4-B1BC-A576E3A17EAD}"/>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46DE-42F4-B1BC-A576E3A17EAD}"/>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46DE-42F4-B1BC-A576E3A17EAD}"/>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46DE-42F4-B1BC-A576E3A17EAD}"/>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46DE-42F4-B1BC-A576E3A17EAD}"/>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46DE-42F4-B1BC-A576E3A17EAD}"/>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46DE-42F4-B1BC-A576E3A17EAD}"/>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46DE-42F4-B1BC-A576E3A17EAD}"/>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46DE-42F4-B1BC-A576E3A17EAD}"/>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46DE-42F4-B1BC-A576E3A17EAD}"/>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46DE-42F4-B1BC-A576E3A17EAD}"/>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46DE-42F4-B1BC-A576E3A17EAD}"/>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46DE-42F4-B1BC-A576E3A17EAD}"/>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46DE-42F4-B1BC-A576E3A17EAD}"/>
              </c:ext>
            </c:extLst>
          </c:dPt>
          <c:dLbls>
            <c:dLbl>
              <c:idx val="1"/>
              <c:layout>
                <c:manualLayout>
                  <c:x val="0"/>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DE-42F4-B1BC-A576E3A17EAD}"/>
                </c:ext>
              </c:extLst>
            </c:dLbl>
            <c:dLbl>
              <c:idx val="2"/>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DE-42F4-B1BC-A576E3A17EAD}"/>
                </c:ext>
              </c:extLst>
            </c:dLbl>
            <c:dLbl>
              <c:idx val="6"/>
              <c:layout>
                <c:manualLayout>
                  <c:x val="0"/>
                  <c:y val="7.256937357591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6DE-42F4-B1BC-A576E3A17EAD}"/>
                </c:ext>
              </c:extLst>
            </c:dLbl>
            <c:dLbl>
              <c:idx val="7"/>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6DE-42F4-B1BC-A576E3A17EAD}"/>
                </c:ext>
              </c:extLst>
            </c:dLbl>
            <c:dLbl>
              <c:idx val="10"/>
              <c:layout>
                <c:manualLayout>
                  <c:x val="-3.9194273752108585E-17"/>
                  <c:y val="1.21267242686068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6DE-42F4-B1BC-A576E3A17EAD}"/>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Бобровский</c:v>
                </c:pt>
                <c:pt idx="1">
                  <c:v>Богучарский</c:v>
                </c:pt>
                <c:pt idx="2">
                  <c:v>Борисоглебский</c:v>
                </c:pt>
                <c:pt idx="3">
                  <c:v>Бутурлиновский</c:v>
                </c:pt>
                <c:pt idx="4">
                  <c:v>ГО г.Воронеж</c:v>
                </c:pt>
                <c:pt idx="5">
                  <c:v>Грибановский</c:v>
                </c:pt>
                <c:pt idx="6">
                  <c:v>Кантемировский</c:v>
                </c:pt>
                <c:pt idx="7">
                  <c:v>Новоусманский</c:v>
                </c:pt>
                <c:pt idx="8">
                  <c:v>Ольховатский</c:v>
                </c:pt>
                <c:pt idx="9">
                  <c:v>Острогожский</c:v>
                </c:pt>
                <c:pt idx="10">
                  <c:v>Павловский</c:v>
                </c:pt>
                <c:pt idx="11">
                  <c:v>Поворинский</c:v>
                </c:pt>
                <c:pt idx="12">
                  <c:v>Рамонский</c:v>
                </c:pt>
                <c:pt idx="13">
                  <c:v>Семилукский</c:v>
                </c:pt>
                <c:pt idx="14">
                  <c:v>Терновский</c:v>
                </c:pt>
                <c:pt idx="15">
                  <c:v>Хохольский</c:v>
                </c:pt>
              </c:strCache>
            </c:strRef>
          </c:cat>
          <c:val>
            <c:numRef>
              <c:f>Лист1!$B$2:$B$17</c:f>
              <c:numCache>
                <c:formatCode>General</c:formatCode>
                <c:ptCount val="16"/>
                <c:pt idx="0">
                  <c:v>13</c:v>
                </c:pt>
                <c:pt idx="1">
                  <c:v>13</c:v>
                </c:pt>
                <c:pt idx="2">
                  <c:v>25</c:v>
                </c:pt>
                <c:pt idx="3">
                  <c:v>1</c:v>
                </c:pt>
                <c:pt idx="4">
                  <c:v>2</c:v>
                </c:pt>
                <c:pt idx="5">
                  <c:v>2</c:v>
                </c:pt>
                <c:pt idx="6">
                  <c:v>1</c:v>
                </c:pt>
                <c:pt idx="7">
                  <c:v>2</c:v>
                </c:pt>
                <c:pt idx="8">
                  <c:v>1</c:v>
                </c:pt>
                <c:pt idx="9">
                  <c:v>6</c:v>
                </c:pt>
                <c:pt idx="10">
                  <c:v>1</c:v>
                </c:pt>
                <c:pt idx="11">
                  <c:v>1</c:v>
                </c:pt>
                <c:pt idx="12">
                  <c:v>3</c:v>
                </c:pt>
                <c:pt idx="13">
                  <c:v>2</c:v>
                </c:pt>
                <c:pt idx="14">
                  <c:v>1</c:v>
                </c:pt>
                <c:pt idx="15">
                  <c:v>1</c:v>
                </c:pt>
              </c:numCache>
            </c:numRef>
          </c:val>
          <c:extLst>
            <c:ext xmlns:c16="http://schemas.microsoft.com/office/drawing/2014/chart" uri="{C3380CC4-5D6E-409C-BE32-E72D297353CC}">
              <c16:uniqueId val="{00000020-46DE-42F4-B1BC-A576E3A17EAD}"/>
            </c:ext>
          </c:extLst>
        </c:ser>
        <c:dLbls>
          <c:dLblPos val="outEnd"/>
          <c:showLegendKey val="0"/>
          <c:showVal val="1"/>
          <c:showCatName val="0"/>
          <c:showSerName val="0"/>
          <c:showPercent val="0"/>
          <c:showBubbleSize val="0"/>
        </c:dLbls>
        <c:gapWidth val="150"/>
        <c:axId val="1565260128"/>
        <c:axId val="1565253056"/>
      </c:barChart>
      <c:catAx>
        <c:axId val="15652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53056"/>
        <c:crosses val="autoZero"/>
        <c:auto val="1"/>
        <c:lblAlgn val="ctr"/>
        <c:lblOffset val="100"/>
        <c:noMultiLvlLbl val="0"/>
      </c:catAx>
      <c:valAx>
        <c:axId val="15652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60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Распределение ЗУ 8 сегмента по кодам ВРИ</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Распределение ЗУ 8 сегмента по кодам ВРИ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415-46EC-B7F3-071A90A6C8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415-46EC-B7F3-071A90A6C828}"/>
              </c:ext>
            </c:extLst>
          </c:dPt>
          <c:dLbls>
            <c:dLbl>
              <c:idx val="0"/>
              <c:layout>
                <c:manualLayout>
                  <c:x val="0.22921490561238064"/>
                  <c:y val="-3.968253968253968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415-46EC-B7F3-071A90A6C828}"/>
                </c:ext>
              </c:extLst>
            </c:dLbl>
            <c:dLbl>
              <c:idx val="1"/>
              <c:layout>
                <c:manualLayout>
                  <c:x val="-0.18857376111231777"/>
                  <c:y val="3.968253968253968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415-46EC-B7F3-071A90A6C82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08:000</c:v>
                </c:pt>
                <c:pt idx="1">
                  <c:v>08:020</c:v>
                </c:pt>
              </c:strCache>
            </c:strRef>
          </c:cat>
          <c:val>
            <c:numRef>
              <c:f>Лист1!$B$2:$B$3</c:f>
              <c:numCache>
                <c:formatCode>General</c:formatCode>
                <c:ptCount val="2"/>
                <c:pt idx="0">
                  <c:v>74</c:v>
                </c:pt>
                <c:pt idx="1">
                  <c:v>1</c:v>
                </c:pt>
              </c:numCache>
            </c:numRef>
          </c:val>
          <c:extLst>
            <c:ext xmlns:c16="http://schemas.microsoft.com/office/drawing/2014/chart" uri="{C3380CC4-5D6E-409C-BE32-E72D297353CC}">
              <c16:uniqueId val="{00000004-6415-46EC-B7F3-071A90A6C828}"/>
            </c:ext>
          </c:extLst>
        </c:ser>
        <c:dLbls>
          <c:showLegendKey val="0"/>
          <c:showVal val="1"/>
          <c:showCatName val="1"/>
          <c:showSerName val="0"/>
          <c:showPercent val="0"/>
          <c:showBubbleSize val="0"/>
          <c:showLeaderLines val="1"/>
        </c:dLbls>
        <c:firstSliceAng val="0"/>
        <c:holeSize val="8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Количество ЗУ 9 сегмента</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B743-4101-B317-23BC65A0929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B743-4101-B317-23BC65A09293}"/>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B743-4101-B317-23BC65A09293}"/>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B743-4101-B317-23BC65A09293}"/>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B743-4101-B317-23BC65A09293}"/>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B743-4101-B317-23BC65A09293}"/>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B743-4101-B317-23BC65A09293}"/>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B743-4101-B317-23BC65A09293}"/>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B743-4101-B317-23BC65A09293}"/>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B743-4101-B317-23BC65A09293}"/>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B743-4101-B317-23BC65A09293}"/>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B743-4101-B317-23BC65A09293}"/>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B743-4101-B317-23BC65A09293}"/>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B743-4101-B317-23BC65A09293}"/>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B743-4101-B317-23BC65A09293}"/>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B743-4101-B317-23BC65A09293}"/>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B743-4101-B317-23BC65A09293}"/>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B743-4101-B317-23BC65A09293}"/>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B743-4101-B317-23BC65A09293}"/>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B743-4101-B317-23BC65A09293}"/>
              </c:ext>
            </c:extLst>
          </c:dPt>
          <c:dPt>
            <c:idx val="20"/>
            <c:invertIfNegative val="0"/>
            <c:bubble3D val="0"/>
            <c:spPr>
              <a:solidFill>
                <a:schemeClr val="accent3">
                  <a:lumMod val="80000"/>
                </a:schemeClr>
              </a:solidFill>
              <a:ln>
                <a:noFill/>
              </a:ln>
              <a:effectLst/>
            </c:spPr>
            <c:extLst>
              <c:ext xmlns:c16="http://schemas.microsoft.com/office/drawing/2014/chart" uri="{C3380CC4-5D6E-409C-BE32-E72D297353CC}">
                <c16:uniqueId val="{00000029-B743-4101-B317-23BC65A09293}"/>
              </c:ext>
            </c:extLst>
          </c:dPt>
          <c:dPt>
            <c:idx val="21"/>
            <c:invertIfNegative val="0"/>
            <c:bubble3D val="0"/>
            <c:spPr>
              <a:solidFill>
                <a:schemeClr val="accent4">
                  <a:lumMod val="80000"/>
                </a:schemeClr>
              </a:solidFill>
              <a:ln>
                <a:noFill/>
              </a:ln>
              <a:effectLst/>
            </c:spPr>
            <c:extLst>
              <c:ext xmlns:c16="http://schemas.microsoft.com/office/drawing/2014/chart" uri="{C3380CC4-5D6E-409C-BE32-E72D297353CC}">
                <c16:uniqueId val="{0000002B-B743-4101-B317-23BC65A09293}"/>
              </c:ext>
            </c:extLst>
          </c:dPt>
          <c:dPt>
            <c:idx val="22"/>
            <c:invertIfNegative val="0"/>
            <c:bubble3D val="0"/>
            <c:spPr>
              <a:solidFill>
                <a:schemeClr val="accent5">
                  <a:lumMod val="80000"/>
                </a:schemeClr>
              </a:solidFill>
              <a:ln>
                <a:noFill/>
              </a:ln>
              <a:effectLst/>
            </c:spPr>
            <c:extLst>
              <c:ext xmlns:c16="http://schemas.microsoft.com/office/drawing/2014/chart" uri="{C3380CC4-5D6E-409C-BE32-E72D297353CC}">
                <c16:uniqueId val="{0000002D-B743-4101-B317-23BC65A09293}"/>
              </c:ext>
            </c:extLst>
          </c:dPt>
          <c:dPt>
            <c:idx val="23"/>
            <c:invertIfNegative val="0"/>
            <c:bubble3D val="0"/>
            <c:spPr>
              <a:solidFill>
                <a:schemeClr val="accent6">
                  <a:lumMod val="80000"/>
                </a:schemeClr>
              </a:solidFill>
              <a:ln>
                <a:noFill/>
              </a:ln>
              <a:effectLst/>
            </c:spPr>
            <c:extLst>
              <c:ext xmlns:c16="http://schemas.microsoft.com/office/drawing/2014/chart" uri="{C3380CC4-5D6E-409C-BE32-E72D297353CC}">
                <c16:uniqueId val="{0000002F-B743-4101-B317-23BC65A09293}"/>
              </c:ext>
            </c:extLst>
          </c:dPt>
          <c:dPt>
            <c:idx val="2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31-B743-4101-B317-23BC65A09293}"/>
              </c:ext>
            </c:extLst>
          </c:dPt>
          <c:dPt>
            <c:idx val="2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33-B743-4101-B317-23BC65A09293}"/>
              </c:ext>
            </c:extLst>
          </c:dPt>
          <c:dPt>
            <c:idx val="26"/>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35-B743-4101-B317-23BC65A09293}"/>
              </c:ext>
            </c:extLst>
          </c:dPt>
          <c:dPt>
            <c:idx val="2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37-B743-4101-B317-23BC65A09293}"/>
              </c:ext>
            </c:extLst>
          </c:dPt>
          <c:dPt>
            <c:idx val="2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9-B743-4101-B317-23BC65A09293}"/>
              </c:ext>
            </c:extLst>
          </c:dPt>
          <c:dPt>
            <c:idx val="29"/>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3B-B743-4101-B317-23BC65A09293}"/>
              </c:ext>
            </c:extLst>
          </c:dPt>
          <c:dPt>
            <c:idx val="30"/>
            <c:invertIfNegative val="0"/>
            <c:bubble3D val="0"/>
            <c:spPr>
              <a:solidFill>
                <a:schemeClr val="accent1">
                  <a:lumMod val="50000"/>
                </a:schemeClr>
              </a:solidFill>
              <a:ln>
                <a:noFill/>
              </a:ln>
              <a:effectLst/>
            </c:spPr>
            <c:extLst>
              <c:ext xmlns:c16="http://schemas.microsoft.com/office/drawing/2014/chart" uri="{C3380CC4-5D6E-409C-BE32-E72D297353CC}">
                <c16:uniqueId val="{0000003D-B743-4101-B317-23BC65A09293}"/>
              </c:ext>
            </c:extLst>
          </c:dPt>
          <c:dPt>
            <c:idx val="31"/>
            <c:invertIfNegative val="0"/>
            <c:bubble3D val="0"/>
            <c:spPr>
              <a:solidFill>
                <a:schemeClr val="accent2">
                  <a:lumMod val="50000"/>
                </a:schemeClr>
              </a:solidFill>
              <a:ln>
                <a:noFill/>
              </a:ln>
              <a:effectLst/>
            </c:spPr>
            <c:extLst>
              <c:ext xmlns:c16="http://schemas.microsoft.com/office/drawing/2014/chart" uri="{C3380CC4-5D6E-409C-BE32-E72D297353CC}">
                <c16:uniqueId val="{0000003F-B743-4101-B317-23BC65A09293}"/>
              </c:ext>
            </c:extLst>
          </c:dPt>
          <c:dPt>
            <c:idx val="32"/>
            <c:invertIfNegative val="0"/>
            <c:bubble3D val="0"/>
            <c:spPr>
              <a:solidFill>
                <a:schemeClr val="accent3">
                  <a:lumMod val="50000"/>
                </a:schemeClr>
              </a:solidFill>
              <a:ln>
                <a:noFill/>
              </a:ln>
              <a:effectLst/>
            </c:spPr>
            <c:extLst>
              <c:ext xmlns:c16="http://schemas.microsoft.com/office/drawing/2014/chart" uri="{C3380CC4-5D6E-409C-BE32-E72D297353CC}">
                <c16:uniqueId val="{00000041-B743-4101-B317-23BC65A09293}"/>
              </c:ext>
            </c:extLst>
          </c:dPt>
          <c:dPt>
            <c:idx val="33"/>
            <c:invertIfNegative val="0"/>
            <c:bubble3D val="0"/>
            <c:spPr>
              <a:solidFill>
                <a:schemeClr val="accent4">
                  <a:lumMod val="50000"/>
                </a:schemeClr>
              </a:solidFill>
              <a:ln>
                <a:noFill/>
              </a:ln>
              <a:effectLst/>
            </c:spPr>
            <c:extLst>
              <c:ext xmlns:c16="http://schemas.microsoft.com/office/drawing/2014/chart" uri="{C3380CC4-5D6E-409C-BE32-E72D297353CC}">
                <c16:uniqueId val="{00000043-B743-4101-B317-23BC65A09293}"/>
              </c:ext>
            </c:extLst>
          </c:dPt>
          <c:dLbls>
            <c:dLbl>
              <c:idx val="1"/>
              <c:layout>
                <c:manualLayout>
                  <c:x val="0"/>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43-4101-B317-23BC65A09293}"/>
                </c:ext>
              </c:extLst>
            </c:dLbl>
            <c:dLbl>
              <c:idx val="2"/>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43-4101-B317-23BC65A09293}"/>
                </c:ext>
              </c:extLst>
            </c:dLbl>
            <c:dLbl>
              <c:idx val="6"/>
              <c:layout>
                <c:manualLayout>
                  <c:x val="0"/>
                  <c:y val="7.256937357591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743-4101-B317-23BC65A09293}"/>
                </c:ext>
              </c:extLst>
            </c:dLbl>
            <c:dLbl>
              <c:idx val="7"/>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743-4101-B317-23BC65A09293}"/>
                </c:ext>
              </c:extLst>
            </c:dLbl>
            <c:dLbl>
              <c:idx val="10"/>
              <c:layout>
                <c:manualLayout>
                  <c:x val="-3.9194273752108585E-17"/>
                  <c:y val="1.21267242686068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743-4101-B317-23BC65A09293}"/>
                </c:ext>
              </c:extLst>
            </c:dLbl>
            <c:dLbl>
              <c:idx val="18"/>
              <c:layout>
                <c:manualLayout>
                  <c:x val="-7.838854750421717E-17"/>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743-4101-B317-23BC65A09293}"/>
                </c:ext>
              </c:extLst>
            </c:dLbl>
            <c:dLbl>
              <c:idx val="20"/>
              <c:layout>
                <c:manualLayout>
                  <c:x val="-7.838854750421717E-17"/>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743-4101-B317-23BC65A09293}"/>
                </c:ext>
              </c:extLst>
            </c:dLbl>
            <c:dLbl>
              <c:idx val="23"/>
              <c:layout>
                <c:manualLayout>
                  <c:x val="-7.838854750421717E-17"/>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743-4101-B317-23BC65A09293}"/>
                </c:ext>
              </c:extLst>
            </c:dLbl>
            <c:dLbl>
              <c:idx val="25"/>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B743-4101-B317-23BC65A09293}"/>
                </c:ext>
              </c:extLst>
            </c:dLbl>
            <c:dLbl>
              <c:idx val="28"/>
              <c:layout>
                <c:manualLayout>
                  <c:x val="-1.5677709500843434E-16"/>
                  <c:y val="4.61651024863354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B743-4101-B317-23BC65A09293}"/>
                </c:ext>
              </c:extLst>
            </c:dLbl>
            <c:dLbl>
              <c:idx val="29"/>
              <c:layout>
                <c:manualLayout>
                  <c:x val="0"/>
                  <c:y val="-1.7451021678417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B743-4101-B317-23BC65A09293}"/>
                </c:ext>
              </c:extLst>
            </c:dLbl>
            <c:dLbl>
              <c:idx val="30"/>
              <c:layout>
                <c:manualLayout>
                  <c:x val="0"/>
                  <c:y val="9.09504320145520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B743-4101-B317-23BC65A09293}"/>
                </c:ext>
              </c:extLst>
            </c:dLbl>
            <c:dLbl>
              <c:idx val="32"/>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B743-4101-B317-23BC65A09293}"/>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Лист1!$A$2:$A$35</c:f>
              <c:strCache>
                <c:ptCount val="34"/>
                <c:pt idx="0">
                  <c:v>Аннинский</c:v>
                </c:pt>
                <c:pt idx="1">
                  <c:v>Бобровский</c:v>
                </c:pt>
                <c:pt idx="2">
                  <c:v>Богучарский</c:v>
                </c:pt>
                <c:pt idx="3">
                  <c:v>Борисоглебский</c:v>
                </c:pt>
                <c:pt idx="4">
                  <c:v>Бутурлиновский</c:v>
                </c:pt>
                <c:pt idx="5">
                  <c:v>Верхнемамонский</c:v>
                </c:pt>
                <c:pt idx="6">
                  <c:v>Верхнехавский</c:v>
                </c:pt>
                <c:pt idx="7">
                  <c:v>Воробьевский</c:v>
                </c:pt>
                <c:pt idx="8">
                  <c:v>ГО г.Воронеж</c:v>
                </c:pt>
                <c:pt idx="9">
                  <c:v>ГО Нововоронеж</c:v>
                </c:pt>
                <c:pt idx="10">
                  <c:v>Грибановский</c:v>
                </c:pt>
                <c:pt idx="11">
                  <c:v>Калачеевский</c:v>
                </c:pt>
                <c:pt idx="12">
                  <c:v>Каменский</c:v>
                </c:pt>
                <c:pt idx="13">
                  <c:v>Кантемировский</c:v>
                </c:pt>
                <c:pt idx="14">
                  <c:v>Каширский</c:v>
                </c:pt>
                <c:pt idx="15">
                  <c:v>Лискинский</c:v>
                </c:pt>
                <c:pt idx="16">
                  <c:v>Нижнедевицкий</c:v>
                </c:pt>
                <c:pt idx="17">
                  <c:v>Новоусманский</c:v>
                </c:pt>
                <c:pt idx="18">
                  <c:v>Новохоперский</c:v>
                </c:pt>
                <c:pt idx="19">
                  <c:v>Ольховатский</c:v>
                </c:pt>
                <c:pt idx="20">
                  <c:v>Острогожский</c:v>
                </c:pt>
                <c:pt idx="21">
                  <c:v>Павловский</c:v>
                </c:pt>
                <c:pt idx="22">
                  <c:v>Панинский</c:v>
                </c:pt>
                <c:pt idx="23">
                  <c:v>Петропавловский</c:v>
                </c:pt>
                <c:pt idx="24">
                  <c:v>Поворинский</c:v>
                </c:pt>
                <c:pt idx="25">
                  <c:v>Подгоренский</c:v>
                </c:pt>
                <c:pt idx="26">
                  <c:v>Рамонский</c:v>
                </c:pt>
                <c:pt idx="27">
                  <c:v>Репьевский</c:v>
                </c:pt>
                <c:pt idx="28">
                  <c:v>Россошанский</c:v>
                </c:pt>
                <c:pt idx="29">
                  <c:v>Семилукский</c:v>
                </c:pt>
                <c:pt idx="30">
                  <c:v>Таловский</c:v>
                </c:pt>
                <c:pt idx="31">
                  <c:v>Терновский</c:v>
                </c:pt>
                <c:pt idx="32">
                  <c:v>Хохольский</c:v>
                </c:pt>
                <c:pt idx="33">
                  <c:v>Эртильский</c:v>
                </c:pt>
              </c:strCache>
            </c:strRef>
          </c:cat>
          <c:val>
            <c:numRef>
              <c:f>Лист1!$B$2:$B$35</c:f>
              <c:numCache>
                <c:formatCode>General</c:formatCode>
                <c:ptCount val="34"/>
                <c:pt idx="0">
                  <c:v>289</c:v>
                </c:pt>
                <c:pt idx="1">
                  <c:v>69</c:v>
                </c:pt>
                <c:pt idx="2">
                  <c:v>929</c:v>
                </c:pt>
                <c:pt idx="3">
                  <c:v>18</c:v>
                </c:pt>
                <c:pt idx="4">
                  <c:v>346</c:v>
                </c:pt>
                <c:pt idx="5">
                  <c:v>551</c:v>
                </c:pt>
                <c:pt idx="6">
                  <c:v>407</c:v>
                </c:pt>
                <c:pt idx="7">
                  <c:v>626</c:v>
                </c:pt>
                <c:pt idx="8">
                  <c:v>791</c:v>
                </c:pt>
                <c:pt idx="9">
                  <c:v>12</c:v>
                </c:pt>
                <c:pt idx="10">
                  <c:v>440</c:v>
                </c:pt>
                <c:pt idx="11">
                  <c:v>478</c:v>
                </c:pt>
                <c:pt idx="12">
                  <c:v>397</c:v>
                </c:pt>
                <c:pt idx="13">
                  <c:v>630</c:v>
                </c:pt>
                <c:pt idx="14">
                  <c:v>282</c:v>
                </c:pt>
                <c:pt idx="15">
                  <c:v>670</c:v>
                </c:pt>
                <c:pt idx="16">
                  <c:v>216</c:v>
                </c:pt>
                <c:pt idx="17">
                  <c:v>195</c:v>
                </c:pt>
                <c:pt idx="18">
                  <c:v>127</c:v>
                </c:pt>
                <c:pt idx="19">
                  <c:v>294</c:v>
                </c:pt>
                <c:pt idx="20">
                  <c:v>783</c:v>
                </c:pt>
                <c:pt idx="21">
                  <c:v>1964</c:v>
                </c:pt>
                <c:pt idx="22">
                  <c:v>241</c:v>
                </c:pt>
                <c:pt idx="23">
                  <c:v>630</c:v>
                </c:pt>
                <c:pt idx="24">
                  <c:v>145</c:v>
                </c:pt>
                <c:pt idx="25">
                  <c:v>739</c:v>
                </c:pt>
                <c:pt idx="26">
                  <c:v>294</c:v>
                </c:pt>
                <c:pt idx="27">
                  <c:v>107</c:v>
                </c:pt>
                <c:pt idx="28">
                  <c:v>1057</c:v>
                </c:pt>
                <c:pt idx="29">
                  <c:v>312</c:v>
                </c:pt>
                <c:pt idx="30">
                  <c:v>78</c:v>
                </c:pt>
                <c:pt idx="31">
                  <c:v>321</c:v>
                </c:pt>
                <c:pt idx="32">
                  <c:v>181</c:v>
                </c:pt>
                <c:pt idx="33">
                  <c:v>371</c:v>
                </c:pt>
              </c:numCache>
            </c:numRef>
          </c:val>
          <c:extLst>
            <c:ext xmlns:c16="http://schemas.microsoft.com/office/drawing/2014/chart" uri="{C3380CC4-5D6E-409C-BE32-E72D297353CC}">
              <c16:uniqueId val="{00000044-B743-4101-B317-23BC65A09293}"/>
            </c:ext>
          </c:extLst>
        </c:ser>
        <c:dLbls>
          <c:dLblPos val="outEnd"/>
          <c:showLegendKey val="0"/>
          <c:showVal val="1"/>
          <c:showCatName val="0"/>
          <c:showSerName val="0"/>
          <c:showPercent val="0"/>
          <c:showBubbleSize val="0"/>
        </c:dLbls>
        <c:gapWidth val="150"/>
        <c:axId val="1565260128"/>
        <c:axId val="1565253056"/>
      </c:barChart>
      <c:catAx>
        <c:axId val="15652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53056"/>
        <c:crosses val="autoZero"/>
        <c:auto val="1"/>
        <c:lblAlgn val="ctr"/>
        <c:lblOffset val="100"/>
        <c:noMultiLvlLbl val="0"/>
      </c:catAx>
      <c:valAx>
        <c:axId val="15652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60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ru-RU" sz="1400" b="1" i="0" cap="all" baseline="0">
                <a:solidFill>
                  <a:schemeClr val="tx1"/>
                </a:solidFill>
                <a:effectLst/>
                <a:latin typeface="Times New Roman" panose="02020603050405020304" pitchFamily="18" charset="0"/>
                <a:cs typeface="Times New Roman" panose="02020603050405020304" pitchFamily="18" charset="0"/>
              </a:rPr>
              <a:t>КОЛИЧЕСТВО ЗУ В РАЗРЕЗЕ СЕГМЕНТОВ</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endParaRPr lang="ru-RU"/>
        </a:p>
      </c:txPr>
    </c:title>
    <c:autoTitleDeleted val="0"/>
    <c:plotArea>
      <c:layout/>
      <c:pieChart>
        <c:varyColors val="1"/>
        <c:ser>
          <c:idx val="0"/>
          <c:order val="0"/>
          <c:tx>
            <c:strRef>
              <c:f>Лист1!$B$1</c:f>
              <c:strCache>
                <c:ptCount val="1"/>
                <c:pt idx="0">
                  <c:v>КОЛИЧЕСТВО ЗУ В РАЗРЕЗЕ СЕГМЕНТОВ</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D17-4FD5-90C9-284BB8A5E12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D17-4FD5-90C9-284BB8A5E12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D17-4FD5-90C9-284BB8A5E12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D17-4FD5-90C9-284BB8A5E12F}"/>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D17-4FD5-90C9-284BB8A5E12F}"/>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BD17-4FD5-90C9-284BB8A5E12F}"/>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BD17-4FD5-90C9-284BB8A5E12F}"/>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BD17-4FD5-90C9-284BB8A5E12F}"/>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BD17-4FD5-90C9-284BB8A5E12F}"/>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BD17-4FD5-90C9-284BB8A5E12F}"/>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BD17-4FD5-90C9-284BB8A5E12F}"/>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BD17-4FD5-90C9-284BB8A5E12F}"/>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9-BD17-4FD5-90C9-284BB8A5E12F}"/>
              </c:ext>
            </c:extLst>
          </c:dPt>
          <c:dLbls>
            <c:dLbl>
              <c:idx val="0"/>
              <c:layout>
                <c:manualLayout>
                  <c:x val="-0.15063102832708303"/>
                  <c:y val="-0.22503155659001745"/>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D17-4FD5-90C9-284BB8A5E12F}"/>
                </c:ext>
              </c:extLst>
            </c:dLbl>
            <c:dLbl>
              <c:idx val="1"/>
              <c:layout>
                <c:manualLayout>
                  <c:x val="-1.8653564064597374E-2"/>
                  <c:y val="-0.29863418016144211"/>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D17-4FD5-90C9-284BB8A5E12F}"/>
                </c:ext>
              </c:extLst>
            </c:dLbl>
            <c:dLbl>
              <c:idx val="2"/>
              <c:layout>
                <c:manualLayout>
                  <c:x val="-1.5166670941376626E-4"/>
                  <c:y val="-0.23694349527063835"/>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D17-4FD5-90C9-284BB8A5E12F}"/>
                </c:ext>
              </c:extLst>
            </c:dLbl>
            <c:dLbl>
              <c:idx val="3"/>
              <c:layout>
                <c:manualLayout>
                  <c:x val="-1.5924535546187875E-16"/>
                  <c:y val="-0.1702257658044317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D17-4FD5-90C9-284BB8A5E12F}"/>
                </c:ext>
              </c:extLst>
            </c:dLbl>
            <c:dLbl>
              <c:idx val="4"/>
              <c:layout>
                <c:manualLayout>
                  <c:x val="3.691639522258415E-2"/>
                  <c:y val="-0.11180992313067785"/>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D17-4FD5-90C9-284BB8A5E12F}"/>
                </c:ext>
              </c:extLst>
            </c:dLbl>
            <c:dLbl>
              <c:idx val="5"/>
              <c:layout>
                <c:manualLayout>
                  <c:x val="3.4744842562432141E-2"/>
                  <c:y val="-9.2243186582809222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ln>
                        <a:noFill/>
                      </a:ln>
                      <a:solidFill>
                        <a:schemeClr val="accent6"/>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BD17-4FD5-90C9-284BB8A5E12F}"/>
                </c:ext>
              </c:extLst>
            </c:dLbl>
            <c:dLbl>
              <c:idx val="6"/>
              <c:layout>
                <c:manualLayout>
                  <c:x val="3.691639522258415E-2"/>
                  <c:y val="-0.103424178895877"/>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BD17-4FD5-90C9-284BB8A5E12F}"/>
                </c:ext>
              </c:extLst>
            </c:dLbl>
            <c:dLbl>
              <c:idx val="7"/>
              <c:layout>
                <c:manualLayout>
                  <c:x val="3.2573289902280131E-2"/>
                  <c:y val="-5.870020964360597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BD17-4FD5-90C9-284BB8A5E12F}"/>
                </c:ext>
              </c:extLst>
            </c:dLbl>
            <c:dLbl>
              <c:idx val="8"/>
              <c:layout>
                <c:manualLayout>
                  <c:x val="4.3481665768977412E-2"/>
                  <c:y val="8.385744234800839E-3"/>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BD17-4FD5-90C9-284BB8A5E12F}"/>
                </c:ext>
              </c:extLst>
            </c:dLbl>
            <c:dLbl>
              <c:idx val="9"/>
              <c:layout>
                <c:manualLayout>
                  <c:x val="6.0803474484256242E-2"/>
                  <c:y val="7.5471698113207447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BD17-4FD5-90C9-284BB8A5E12F}"/>
                </c:ext>
              </c:extLst>
            </c:dLbl>
            <c:dLbl>
              <c:idx val="10"/>
              <c:layout>
                <c:manualLayout>
                  <c:x val="1.5200868621064061E-2"/>
                  <c:y val="0.14814814814814814"/>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BD17-4FD5-90C9-284BB8A5E12F}"/>
                </c:ext>
              </c:extLst>
            </c:dLbl>
            <c:dLbl>
              <c:idx val="11"/>
              <c:layout>
                <c:manualLayout>
                  <c:x val="-0.21031470414732367"/>
                  <c:y val="0.14540330257459955"/>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6">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BD17-4FD5-90C9-284BB8A5E12F}"/>
                </c:ext>
              </c:extLst>
            </c:dLbl>
            <c:dLbl>
              <c:idx val="12"/>
              <c:layout>
                <c:manualLayout>
                  <c:x val="8.0645139227303417E-2"/>
                  <c:y val="-0.3405518964217523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lumMod val="80000"/>
                          <a:lumOff val="2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9-BD17-4FD5-90C9-284BB8A5E12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Лист1!$A$2:$A$14</c:f>
              <c:strCache>
                <c:ptCount val="13"/>
                <c:pt idx="0">
                  <c:v>1 сегмент. "Сельскохозяйственное использование"</c:v>
                </c:pt>
                <c:pt idx="1">
                  <c:v>2 сегмент. "Жилая застройка (среднеэтажная и многоэтажная)"</c:v>
                </c:pt>
                <c:pt idx="2">
                  <c:v>3 сегмент. "Общественное использование"</c:v>
                </c:pt>
                <c:pt idx="3">
                  <c:v>4 сегмент. "Предпринимательство"</c:v>
                </c:pt>
                <c:pt idx="4">
                  <c:v>5 сегмент. "Отдых (рекреация)"</c:v>
                </c:pt>
                <c:pt idx="5">
                  <c:v>6 сегмент. "Производственная деятельность"</c:v>
                </c:pt>
                <c:pt idx="6">
                  <c:v>7 сегмент. "Транспорт"</c:v>
                </c:pt>
                <c:pt idx="7">
                  <c:v>8 сегмент. "Обеспечение обороны и безопасности"</c:v>
                </c:pt>
                <c:pt idx="8">
                  <c:v>9 сегмент. "Охраняемые природные территории и благоустройство"</c:v>
                </c:pt>
                <c:pt idx="9">
                  <c:v>10 сегмент. "Использование лесов"</c:v>
                </c:pt>
                <c:pt idx="10">
                  <c:v>11 сегмент. "Водные объекты"</c:v>
                </c:pt>
                <c:pt idx="11">
                  <c:v>12 сегмент. "Специальное, ритуальное использование, запас"</c:v>
                </c:pt>
                <c:pt idx="12">
                  <c:v>13 сегмент. "Садоводство и огородничество, малоэтажная жилая застройка"</c:v>
                </c:pt>
              </c:strCache>
            </c:strRef>
          </c:cat>
          <c:val>
            <c:numRef>
              <c:f>Лист1!$B$2:$B$14</c:f>
              <c:numCache>
                <c:formatCode>#,##0</c:formatCode>
                <c:ptCount val="13"/>
                <c:pt idx="0">
                  <c:v>116452</c:v>
                </c:pt>
                <c:pt idx="1">
                  <c:v>7145</c:v>
                </c:pt>
                <c:pt idx="2">
                  <c:v>10645</c:v>
                </c:pt>
                <c:pt idx="3">
                  <c:v>15306</c:v>
                </c:pt>
                <c:pt idx="4">
                  <c:v>1097</c:v>
                </c:pt>
                <c:pt idx="5">
                  <c:v>55263</c:v>
                </c:pt>
                <c:pt idx="6">
                  <c:v>23302</c:v>
                </c:pt>
                <c:pt idx="7" formatCode="General">
                  <c:v>75</c:v>
                </c:pt>
                <c:pt idx="8">
                  <c:v>14990</c:v>
                </c:pt>
                <c:pt idx="9">
                  <c:v>12326</c:v>
                </c:pt>
                <c:pt idx="10" formatCode="General">
                  <c:v>818</c:v>
                </c:pt>
                <c:pt idx="11">
                  <c:v>2368</c:v>
                </c:pt>
                <c:pt idx="12">
                  <c:v>955621</c:v>
                </c:pt>
              </c:numCache>
            </c:numRef>
          </c:val>
          <c:extLst>
            <c:ext xmlns:c16="http://schemas.microsoft.com/office/drawing/2014/chart" uri="{C3380CC4-5D6E-409C-BE32-E72D297353CC}">
              <c16:uniqueId val="{0000001A-BD17-4FD5-90C9-284BB8A5E12F}"/>
            </c:ext>
          </c:extLst>
        </c:ser>
        <c:dLbls>
          <c:dLblPos val="outEnd"/>
          <c:showLegendKey val="0"/>
          <c:showVal val="0"/>
          <c:showCatName val="1"/>
          <c:showSerName val="0"/>
          <c:showPercent val="0"/>
          <c:showBubbleSize val="0"/>
          <c:showLeaderLines val="1"/>
        </c:dLbls>
        <c:firstSliceAng val="5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Распределение ЗУ 9 сегмента по кодам ВРИ</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Лист1!$B$1</c:f>
              <c:strCache>
                <c:ptCount val="1"/>
                <c:pt idx="0">
                  <c:v>Количество ЗУ</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63C3-4ABE-BA3A-B64844C06070}"/>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63C3-4ABE-BA3A-B64844C06070}"/>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63C3-4ABE-BA3A-B64844C06070}"/>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63C3-4ABE-BA3A-B64844C06070}"/>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63C3-4ABE-BA3A-B64844C06070}"/>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63C3-4ABE-BA3A-B64844C06070}"/>
              </c:ext>
            </c:extLst>
          </c:dPt>
          <c:dPt>
            <c:idx val="6"/>
            <c:invertIfNegative val="0"/>
            <c:bubble3D val="0"/>
            <c:spPr>
              <a:solidFill>
                <a:schemeClr val="accent1">
                  <a:lumMod val="60000"/>
                </a:schemeClr>
              </a:solidFill>
              <a:ln>
                <a:noFill/>
              </a:ln>
              <a:effectLst/>
              <a:sp3d/>
            </c:spPr>
            <c:extLst>
              <c:ext xmlns:c16="http://schemas.microsoft.com/office/drawing/2014/chart" uri="{C3380CC4-5D6E-409C-BE32-E72D297353CC}">
                <c16:uniqueId val="{0000000D-63C3-4ABE-BA3A-B64844C06070}"/>
              </c:ext>
            </c:extLst>
          </c:dPt>
          <c:dPt>
            <c:idx val="7"/>
            <c:invertIfNegative val="0"/>
            <c:bubble3D val="0"/>
            <c:spPr>
              <a:solidFill>
                <a:schemeClr val="accent2">
                  <a:lumMod val="60000"/>
                </a:schemeClr>
              </a:solidFill>
              <a:ln>
                <a:noFill/>
              </a:ln>
              <a:effectLst/>
              <a:sp3d/>
            </c:spPr>
            <c:extLst>
              <c:ext xmlns:c16="http://schemas.microsoft.com/office/drawing/2014/chart" uri="{C3380CC4-5D6E-409C-BE32-E72D297353CC}">
                <c16:uniqueId val="{0000000F-63C3-4ABE-BA3A-B64844C06070}"/>
              </c:ext>
            </c:extLst>
          </c:dPt>
          <c:dPt>
            <c:idx val="8"/>
            <c:invertIfNegative val="0"/>
            <c:bubble3D val="0"/>
            <c:spPr>
              <a:solidFill>
                <a:schemeClr val="accent3">
                  <a:lumMod val="60000"/>
                </a:schemeClr>
              </a:solidFill>
              <a:ln>
                <a:noFill/>
              </a:ln>
              <a:effectLst/>
              <a:sp3d/>
            </c:spPr>
            <c:extLst>
              <c:ext xmlns:c16="http://schemas.microsoft.com/office/drawing/2014/chart" uri="{C3380CC4-5D6E-409C-BE32-E72D297353CC}">
                <c16:uniqueId val="{00000011-63C3-4ABE-BA3A-B64844C06070}"/>
              </c:ext>
            </c:extLst>
          </c:dPt>
          <c:dPt>
            <c:idx val="9"/>
            <c:invertIfNegative val="0"/>
            <c:bubble3D val="0"/>
            <c:spPr>
              <a:solidFill>
                <a:schemeClr val="accent4">
                  <a:lumMod val="60000"/>
                </a:schemeClr>
              </a:solidFill>
              <a:ln>
                <a:noFill/>
              </a:ln>
              <a:effectLst/>
              <a:sp3d/>
            </c:spPr>
            <c:extLst>
              <c:ext xmlns:c16="http://schemas.microsoft.com/office/drawing/2014/chart" uri="{C3380CC4-5D6E-409C-BE32-E72D297353CC}">
                <c16:uniqueId val="{00000013-63C3-4ABE-BA3A-B64844C06070}"/>
              </c:ext>
            </c:extLst>
          </c:dPt>
          <c:dPt>
            <c:idx val="10"/>
            <c:invertIfNegative val="0"/>
            <c:bubble3D val="0"/>
            <c:spPr>
              <a:solidFill>
                <a:schemeClr val="accent5">
                  <a:lumMod val="60000"/>
                </a:schemeClr>
              </a:solidFill>
              <a:ln>
                <a:noFill/>
              </a:ln>
              <a:effectLst/>
              <a:sp3d/>
            </c:spPr>
            <c:extLst>
              <c:ext xmlns:c16="http://schemas.microsoft.com/office/drawing/2014/chart" uri="{C3380CC4-5D6E-409C-BE32-E72D297353CC}">
                <c16:uniqueId val="{00000015-63C3-4ABE-BA3A-B64844C06070}"/>
              </c:ext>
            </c:extLst>
          </c:dPt>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02:016</c:v>
                </c:pt>
                <c:pt idx="1">
                  <c:v>02:032</c:v>
                </c:pt>
                <c:pt idx="2">
                  <c:v>02:052</c:v>
                </c:pt>
                <c:pt idx="3">
                  <c:v>02:062</c:v>
                </c:pt>
                <c:pt idx="4">
                  <c:v>05:031</c:v>
                </c:pt>
                <c:pt idx="5">
                  <c:v>09:000</c:v>
                </c:pt>
                <c:pt idx="6">
                  <c:v>09:010</c:v>
                </c:pt>
                <c:pt idx="7">
                  <c:v>09:020</c:v>
                </c:pt>
                <c:pt idx="8">
                  <c:v>09:022</c:v>
                </c:pt>
                <c:pt idx="9">
                  <c:v>12:002</c:v>
                </c:pt>
                <c:pt idx="10">
                  <c:v>12:003</c:v>
                </c:pt>
              </c:strCache>
            </c:strRef>
          </c:cat>
          <c:val>
            <c:numRef>
              <c:f>Лист1!$B$2:$B$12</c:f>
              <c:numCache>
                <c:formatCode>General</c:formatCode>
                <c:ptCount val="11"/>
                <c:pt idx="0">
                  <c:v>52</c:v>
                </c:pt>
                <c:pt idx="1">
                  <c:v>87</c:v>
                </c:pt>
                <c:pt idx="2">
                  <c:v>27</c:v>
                </c:pt>
                <c:pt idx="3">
                  <c:v>33</c:v>
                </c:pt>
                <c:pt idx="4">
                  <c:v>2</c:v>
                </c:pt>
                <c:pt idx="5">
                  <c:v>386</c:v>
                </c:pt>
                <c:pt idx="6">
                  <c:v>12818</c:v>
                </c:pt>
                <c:pt idx="7">
                  <c:v>9</c:v>
                </c:pt>
                <c:pt idx="8">
                  <c:v>28</c:v>
                </c:pt>
                <c:pt idx="9">
                  <c:v>124</c:v>
                </c:pt>
                <c:pt idx="10">
                  <c:v>1424</c:v>
                </c:pt>
              </c:numCache>
            </c:numRef>
          </c:val>
          <c:extLst>
            <c:ext xmlns:c16="http://schemas.microsoft.com/office/drawing/2014/chart" uri="{C3380CC4-5D6E-409C-BE32-E72D297353CC}">
              <c16:uniqueId val="{00000016-63C3-4ABE-BA3A-B64844C06070}"/>
            </c:ext>
          </c:extLst>
        </c:ser>
        <c:dLbls>
          <c:showLegendKey val="0"/>
          <c:showVal val="1"/>
          <c:showCatName val="0"/>
          <c:showSerName val="0"/>
          <c:showPercent val="0"/>
          <c:showBubbleSize val="0"/>
        </c:dLbls>
        <c:gapWidth val="219"/>
        <c:shape val="box"/>
        <c:axId val="1555070320"/>
        <c:axId val="1555071152"/>
        <c:axId val="0"/>
      </c:bar3DChart>
      <c:catAx>
        <c:axId val="155507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5071152"/>
        <c:crosses val="autoZero"/>
        <c:auto val="1"/>
        <c:lblAlgn val="ctr"/>
        <c:lblOffset val="100"/>
        <c:noMultiLvlLbl val="0"/>
      </c:catAx>
      <c:valAx>
        <c:axId val="155507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5070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Количество ЗУ 10 сегмента</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EC91-456F-9CFD-116921528EA4}"/>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EC91-456F-9CFD-116921528EA4}"/>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EC91-456F-9CFD-116921528EA4}"/>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EC91-456F-9CFD-116921528EA4}"/>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EC91-456F-9CFD-116921528EA4}"/>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EC91-456F-9CFD-116921528EA4}"/>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EC91-456F-9CFD-116921528EA4}"/>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EC91-456F-9CFD-116921528EA4}"/>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EC91-456F-9CFD-116921528EA4}"/>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EC91-456F-9CFD-116921528EA4}"/>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EC91-456F-9CFD-116921528EA4}"/>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EC91-456F-9CFD-116921528EA4}"/>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EC91-456F-9CFD-116921528EA4}"/>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EC91-456F-9CFD-116921528EA4}"/>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EC91-456F-9CFD-116921528EA4}"/>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EC91-456F-9CFD-116921528EA4}"/>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EC91-456F-9CFD-116921528EA4}"/>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EC91-456F-9CFD-116921528EA4}"/>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EC91-456F-9CFD-116921528EA4}"/>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EC91-456F-9CFD-116921528EA4}"/>
              </c:ext>
            </c:extLst>
          </c:dPt>
          <c:dPt>
            <c:idx val="20"/>
            <c:invertIfNegative val="0"/>
            <c:bubble3D val="0"/>
            <c:spPr>
              <a:solidFill>
                <a:schemeClr val="accent3">
                  <a:lumMod val="80000"/>
                </a:schemeClr>
              </a:solidFill>
              <a:ln>
                <a:noFill/>
              </a:ln>
              <a:effectLst/>
            </c:spPr>
            <c:extLst>
              <c:ext xmlns:c16="http://schemas.microsoft.com/office/drawing/2014/chart" uri="{C3380CC4-5D6E-409C-BE32-E72D297353CC}">
                <c16:uniqueId val="{00000029-EC91-456F-9CFD-116921528EA4}"/>
              </c:ext>
            </c:extLst>
          </c:dPt>
          <c:dPt>
            <c:idx val="21"/>
            <c:invertIfNegative val="0"/>
            <c:bubble3D val="0"/>
            <c:spPr>
              <a:solidFill>
                <a:schemeClr val="accent4">
                  <a:lumMod val="80000"/>
                </a:schemeClr>
              </a:solidFill>
              <a:ln>
                <a:noFill/>
              </a:ln>
              <a:effectLst/>
            </c:spPr>
            <c:extLst>
              <c:ext xmlns:c16="http://schemas.microsoft.com/office/drawing/2014/chart" uri="{C3380CC4-5D6E-409C-BE32-E72D297353CC}">
                <c16:uniqueId val="{0000002B-EC91-456F-9CFD-116921528EA4}"/>
              </c:ext>
            </c:extLst>
          </c:dPt>
          <c:dPt>
            <c:idx val="22"/>
            <c:invertIfNegative val="0"/>
            <c:bubble3D val="0"/>
            <c:spPr>
              <a:solidFill>
                <a:schemeClr val="accent5">
                  <a:lumMod val="80000"/>
                </a:schemeClr>
              </a:solidFill>
              <a:ln>
                <a:noFill/>
              </a:ln>
              <a:effectLst/>
            </c:spPr>
            <c:extLst>
              <c:ext xmlns:c16="http://schemas.microsoft.com/office/drawing/2014/chart" uri="{C3380CC4-5D6E-409C-BE32-E72D297353CC}">
                <c16:uniqueId val="{0000002D-EC91-456F-9CFD-116921528EA4}"/>
              </c:ext>
            </c:extLst>
          </c:dPt>
          <c:dPt>
            <c:idx val="23"/>
            <c:invertIfNegative val="0"/>
            <c:bubble3D val="0"/>
            <c:spPr>
              <a:solidFill>
                <a:schemeClr val="accent6">
                  <a:lumMod val="80000"/>
                </a:schemeClr>
              </a:solidFill>
              <a:ln>
                <a:noFill/>
              </a:ln>
              <a:effectLst/>
            </c:spPr>
            <c:extLst>
              <c:ext xmlns:c16="http://schemas.microsoft.com/office/drawing/2014/chart" uri="{C3380CC4-5D6E-409C-BE32-E72D297353CC}">
                <c16:uniqueId val="{0000002F-EC91-456F-9CFD-116921528EA4}"/>
              </c:ext>
            </c:extLst>
          </c:dPt>
          <c:dPt>
            <c:idx val="2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31-EC91-456F-9CFD-116921528EA4}"/>
              </c:ext>
            </c:extLst>
          </c:dPt>
          <c:dPt>
            <c:idx val="2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33-EC91-456F-9CFD-116921528EA4}"/>
              </c:ext>
            </c:extLst>
          </c:dPt>
          <c:dPt>
            <c:idx val="26"/>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35-EC91-456F-9CFD-116921528EA4}"/>
              </c:ext>
            </c:extLst>
          </c:dPt>
          <c:dPt>
            <c:idx val="2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37-EC91-456F-9CFD-116921528EA4}"/>
              </c:ext>
            </c:extLst>
          </c:dPt>
          <c:dPt>
            <c:idx val="2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9-EC91-456F-9CFD-116921528EA4}"/>
              </c:ext>
            </c:extLst>
          </c:dPt>
          <c:dPt>
            <c:idx val="29"/>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3B-EC91-456F-9CFD-116921528EA4}"/>
              </c:ext>
            </c:extLst>
          </c:dPt>
          <c:dPt>
            <c:idx val="30"/>
            <c:invertIfNegative val="0"/>
            <c:bubble3D val="0"/>
            <c:spPr>
              <a:solidFill>
                <a:schemeClr val="accent1">
                  <a:lumMod val="50000"/>
                </a:schemeClr>
              </a:solidFill>
              <a:ln>
                <a:noFill/>
              </a:ln>
              <a:effectLst/>
            </c:spPr>
            <c:extLst>
              <c:ext xmlns:c16="http://schemas.microsoft.com/office/drawing/2014/chart" uri="{C3380CC4-5D6E-409C-BE32-E72D297353CC}">
                <c16:uniqueId val="{0000003D-EC91-456F-9CFD-116921528EA4}"/>
              </c:ext>
            </c:extLst>
          </c:dPt>
          <c:dPt>
            <c:idx val="31"/>
            <c:invertIfNegative val="0"/>
            <c:bubble3D val="0"/>
            <c:spPr>
              <a:solidFill>
                <a:schemeClr val="accent2">
                  <a:lumMod val="50000"/>
                </a:schemeClr>
              </a:solidFill>
              <a:ln>
                <a:noFill/>
              </a:ln>
              <a:effectLst/>
            </c:spPr>
            <c:extLst>
              <c:ext xmlns:c16="http://schemas.microsoft.com/office/drawing/2014/chart" uri="{C3380CC4-5D6E-409C-BE32-E72D297353CC}">
                <c16:uniqueId val="{0000003F-EC91-456F-9CFD-116921528EA4}"/>
              </c:ext>
            </c:extLst>
          </c:dPt>
          <c:dPt>
            <c:idx val="32"/>
            <c:invertIfNegative val="0"/>
            <c:bubble3D val="0"/>
            <c:spPr>
              <a:solidFill>
                <a:schemeClr val="accent3">
                  <a:lumMod val="50000"/>
                </a:schemeClr>
              </a:solidFill>
              <a:ln>
                <a:noFill/>
              </a:ln>
              <a:effectLst/>
            </c:spPr>
            <c:extLst>
              <c:ext xmlns:c16="http://schemas.microsoft.com/office/drawing/2014/chart" uri="{C3380CC4-5D6E-409C-BE32-E72D297353CC}">
                <c16:uniqueId val="{00000041-EC91-456F-9CFD-116921528EA4}"/>
              </c:ext>
            </c:extLst>
          </c:dPt>
          <c:dPt>
            <c:idx val="33"/>
            <c:invertIfNegative val="0"/>
            <c:bubble3D val="0"/>
            <c:spPr>
              <a:solidFill>
                <a:schemeClr val="accent4">
                  <a:lumMod val="50000"/>
                </a:schemeClr>
              </a:solidFill>
              <a:ln>
                <a:noFill/>
              </a:ln>
              <a:effectLst/>
            </c:spPr>
            <c:extLst>
              <c:ext xmlns:c16="http://schemas.microsoft.com/office/drawing/2014/chart" uri="{C3380CC4-5D6E-409C-BE32-E72D297353CC}">
                <c16:uniqueId val="{00000043-EC91-456F-9CFD-116921528EA4}"/>
              </c:ext>
            </c:extLst>
          </c:dPt>
          <c:dLbls>
            <c:dLbl>
              <c:idx val="1"/>
              <c:layout>
                <c:manualLayout>
                  <c:x val="0"/>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91-456F-9CFD-116921528EA4}"/>
                </c:ext>
              </c:extLst>
            </c:dLbl>
            <c:dLbl>
              <c:idx val="2"/>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91-456F-9CFD-116921528EA4}"/>
                </c:ext>
              </c:extLst>
            </c:dLbl>
            <c:dLbl>
              <c:idx val="6"/>
              <c:layout>
                <c:manualLayout>
                  <c:x val="0"/>
                  <c:y val="7.256937357591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C91-456F-9CFD-116921528EA4}"/>
                </c:ext>
              </c:extLst>
            </c:dLbl>
            <c:dLbl>
              <c:idx val="7"/>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C91-456F-9CFD-116921528EA4}"/>
                </c:ext>
              </c:extLst>
            </c:dLbl>
            <c:dLbl>
              <c:idx val="10"/>
              <c:layout>
                <c:manualLayout>
                  <c:x val="-3.9194273752108585E-17"/>
                  <c:y val="1.21267242686068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C91-456F-9CFD-116921528EA4}"/>
                </c:ext>
              </c:extLst>
            </c:dLbl>
            <c:dLbl>
              <c:idx val="18"/>
              <c:layout>
                <c:manualLayout>
                  <c:x val="-7.838854750421717E-17"/>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EC91-456F-9CFD-116921528EA4}"/>
                </c:ext>
              </c:extLst>
            </c:dLbl>
            <c:dLbl>
              <c:idx val="20"/>
              <c:layout>
                <c:manualLayout>
                  <c:x val="-7.838854750421717E-17"/>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EC91-456F-9CFD-116921528EA4}"/>
                </c:ext>
              </c:extLst>
            </c:dLbl>
            <c:dLbl>
              <c:idx val="23"/>
              <c:layout>
                <c:manualLayout>
                  <c:x val="-7.838854750421717E-17"/>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EC91-456F-9CFD-116921528EA4}"/>
                </c:ext>
              </c:extLst>
            </c:dLbl>
            <c:dLbl>
              <c:idx val="25"/>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EC91-456F-9CFD-116921528EA4}"/>
                </c:ext>
              </c:extLst>
            </c:dLbl>
            <c:dLbl>
              <c:idx val="28"/>
              <c:layout>
                <c:manualLayout>
                  <c:x val="-1.5677709500843434E-16"/>
                  <c:y val="4.61651024863354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EC91-456F-9CFD-116921528EA4}"/>
                </c:ext>
              </c:extLst>
            </c:dLbl>
            <c:dLbl>
              <c:idx val="29"/>
              <c:layout>
                <c:manualLayout>
                  <c:x val="0"/>
                  <c:y val="-1.7451021678417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EC91-456F-9CFD-116921528EA4}"/>
                </c:ext>
              </c:extLst>
            </c:dLbl>
            <c:dLbl>
              <c:idx val="30"/>
              <c:layout>
                <c:manualLayout>
                  <c:x val="0"/>
                  <c:y val="9.09504320145520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EC91-456F-9CFD-116921528EA4}"/>
                </c:ext>
              </c:extLst>
            </c:dLbl>
            <c:dLbl>
              <c:idx val="32"/>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EC91-456F-9CFD-116921528EA4}"/>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Лист1!$A$2:$A$35</c:f>
              <c:strCache>
                <c:ptCount val="34"/>
                <c:pt idx="0">
                  <c:v>Аннинский</c:v>
                </c:pt>
                <c:pt idx="1">
                  <c:v>Бобровский</c:v>
                </c:pt>
                <c:pt idx="2">
                  <c:v>Богучарский</c:v>
                </c:pt>
                <c:pt idx="3">
                  <c:v>Борисоглебский</c:v>
                </c:pt>
                <c:pt idx="4">
                  <c:v>Бутурлиновский</c:v>
                </c:pt>
                <c:pt idx="5">
                  <c:v>Верхнемамонский</c:v>
                </c:pt>
                <c:pt idx="6">
                  <c:v>Верхнехавский</c:v>
                </c:pt>
                <c:pt idx="7">
                  <c:v>Воробьевский</c:v>
                </c:pt>
                <c:pt idx="8">
                  <c:v>ГО г.Воронеж</c:v>
                </c:pt>
                <c:pt idx="9">
                  <c:v>ГО Нововоронеж</c:v>
                </c:pt>
                <c:pt idx="10">
                  <c:v>Грибановский</c:v>
                </c:pt>
                <c:pt idx="11">
                  <c:v>Калачеевский</c:v>
                </c:pt>
                <c:pt idx="12">
                  <c:v>Каменский</c:v>
                </c:pt>
                <c:pt idx="13">
                  <c:v>Кантемировский</c:v>
                </c:pt>
                <c:pt idx="14">
                  <c:v>Каширский</c:v>
                </c:pt>
                <c:pt idx="15">
                  <c:v>Лискинский</c:v>
                </c:pt>
                <c:pt idx="16">
                  <c:v>Нижнедевицкий</c:v>
                </c:pt>
                <c:pt idx="17">
                  <c:v>Новоусманский</c:v>
                </c:pt>
                <c:pt idx="18">
                  <c:v>Новохоперский</c:v>
                </c:pt>
                <c:pt idx="19">
                  <c:v>Ольховатский</c:v>
                </c:pt>
                <c:pt idx="20">
                  <c:v>Острогожский</c:v>
                </c:pt>
                <c:pt idx="21">
                  <c:v>Павловский</c:v>
                </c:pt>
                <c:pt idx="22">
                  <c:v>Панинский</c:v>
                </c:pt>
                <c:pt idx="23">
                  <c:v>Петропавловский</c:v>
                </c:pt>
                <c:pt idx="24">
                  <c:v>Поворинский</c:v>
                </c:pt>
                <c:pt idx="25">
                  <c:v>Подгоренский</c:v>
                </c:pt>
                <c:pt idx="26">
                  <c:v>Рамонский</c:v>
                </c:pt>
                <c:pt idx="27">
                  <c:v>Репьевский</c:v>
                </c:pt>
                <c:pt idx="28">
                  <c:v>Россошанский</c:v>
                </c:pt>
                <c:pt idx="29">
                  <c:v>Семилукский</c:v>
                </c:pt>
                <c:pt idx="30">
                  <c:v>Таловский</c:v>
                </c:pt>
                <c:pt idx="31">
                  <c:v>Терновский</c:v>
                </c:pt>
                <c:pt idx="32">
                  <c:v>Хохольский</c:v>
                </c:pt>
                <c:pt idx="33">
                  <c:v>Эртильский</c:v>
                </c:pt>
              </c:strCache>
            </c:strRef>
          </c:cat>
          <c:val>
            <c:numRef>
              <c:f>Лист1!$B$2:$B$35</c:f>
              <c:numCache>
                <c:formatCode>General</c:formatCode>
                <c:ptCount val="34"/>
                <c:pt idx="0">
                  <c:v>241</c:v>
                </c:pt>
                <c:pt idx="1">
                  <c:v>611</c:v>
                </c:pt>
                <c:pt idx="2">
                  <c:v>518</c:v>
                </c:pt>
                <c:pt idx="3">
                  <c:v>421</c:v>
                </c:pt>
                <c:pt idx="4">
                  <c:v>202</c:v>
                </c:pt>
                <c:pt idx="5">
                  <c:v>345</c:v>
                </c:pt>
                <c:pt idx="6">
                  <c:v>46</c:v>
                </c:pt>
                <c:pt idx="7">
                  <c:v>451</c:v>
                </c:pt>
                <c:pt idx="8">
                  <c:v>347</c:v>
                </c:pt>
                <c:pt idx="9">
                  <c:v>26</c:v>
                </c:pt>
                <c:pt idx="10">
                  <c:v>218</c:v>
                </c:pt>
                <c:pt idx="11">
                  <c:v>188</c:v>
                </c:pt>
                <c:pt idx="12">
                  <c:v>219</c:v>
                </c:pt>
                <c:pt idx="13">
                  <c:v>530</c:v>
                </c:pt>
                <c:pt idx="14">
                  <c:v>49</c:v>
                </c:pt>
                <c:pt idx="15">
                  <c:v>858</c:v>
                </c:pt>
                <c:pt idx="16">
                  <c:v>547</c:v>
                </c:pt>
                <c:pt idx="17">
                  <c:v>105</c:v>
                </c:pt>
                <c:pt idx="18">
                  <c:v>683</c:v>
                </c:pt>
                <c:pt idx="19">
                  <c:v>204</c:v>
                </c:pt>
                <c:pt idx="20">
                  <c:v>307</c:v>
                </c:pt>
                <c:pt idx="21">
                  <c:v>755</c:v>
                </c:pt>
                <c:pt idx="22">
                  <c:v>304</c:v>
                </c:pt>
                <c:pt idx="23">
                  <c:v>206</c:v>
                </c:pt>
                <c:pt idx="24">
                  <c:v>106</c:v>
                </c:pt>
                <c:pt idx="25">
                  <c:v>700</c:v>
                </c:pt>
                <c:pt idx="26">
                  <c:v>488</c:v>
                </c:pt>
                <c:pt idx="27">
                  <c:v>192</c:v>
                </c:pt>
                <c:pt idx="28">
                  <c:v>393</c:v>
                </c:pt>
                <c:pt idx="29">
                  <c:v>601</c:v>
                </c:pt>
                <c:pt idx="30">
                  <c:v>119</c:v>
                </c:pt>
                <c:pt idx="31">
                  <c:v>259</c:v>
                </c:pt>
                <c:pt idx="32">
                  <c:v>975</c:v>
                </c:pt>
                <c:pt idx="33">
                  <c:v>112</c:v>
                </c:pt>
              </c:numCache>
            </c:numRef>
          </c:val>
          <c:extLst>
            <c:ext xmlns:c16="http://schemas.microsoft.com/office/drawing/2014/chart" uri="{C3380CC4-5D6E-409C-BE32-E72D297353CC}">
              <c16:uniqueId val="{00000044-EC91-456F-9CFD-116921528EA4}"/>
            </c:ext>
          </c:extLst>
        </c:ser>
        <c:dLbls>
          <c:dLblPos val="outEnd"/>
          <c:showLegendKey val="0"/>
          <c:showVal val="1"/>
          <c:showCatName val="0"/>
          <c:showSerName val="0"/>
          <c:showPercent val="0"/>
          <c:showBubbleSize val="0"/>
        </c:dLbls>
        <c:gapWidth val="150"/>
        <c:axId val="1565260128"/>
        <c:axId val="1565253056"/>
      </c:barChart>
      <c:catAx>
        <c:axId val="15652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53056"/>
        <c:crosses val="autoZero"/>
        <c:auto val="1"/>
        <c:lblAlgn val="ctr"/>
        <c:lblOffset val="100"/>
        <c:noMultiLvlLbl val="0"/>
      </c:catAx>
      <c:valAx>
        <c:axId val="15652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60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Распределение ЗУ 10 сегмента по кодам ВРИ</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Распределение ЗУ 8 сегмента по кодам ВРИ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7E-4225-A83D-0C1B89A119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97E-4225-A83D-0C1B89A119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97E-4225-A83D-0C1B89A119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97E-4225-A83D-0C1B89A11961}"/>
              </c:ext>
            </c:extLst>
          </c:dPt>
          <c:dLbls>
            <c:dLbl>
              <c:idx val="0"/>
              <c:layout>
                <c:manualLayout>
                  <c:x val="0.14764358437163799"/>
                  <c:y val="3.9682539682538952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97E-4225-A83D-0C1B89A11961}"/>
                </c:ext>
              </c:extLst>
            </c:dLbl>
            <c:dLbl>
              <c:idx val="1"/>
              <c:layout>
                <c:manualLayout>
                  <c:x val="-0.12202873588960661"/>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97E-4225-A83D-0C1B89A11961}"/>
                </c:ext>
              </c:extLst>
            </c:dLbl>
            <c:dLbl>
              <c:idx val="2"/>
              <c:layout>
                <c:manualLayout>
                  <c:x val="0.13952989159600729"/>
                  <c:y val="-0.1388888888888889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97E-4225-A83D-0C1B89A11961}"/>
                </c:ext>
              </c:extLst>
            </c:dLbl>
            <c:dLbl>
              <c:idx val="3"/>
              <c:layout>
                <c:manualLayout>
                  <c:x val="0.14596973274659225"/>
                  <c:y val="-5.158730158730158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97E-4225-A83D-0C1B89A1196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10:000</c:v>
                </c:pt>
                <c:pt idx="1">
                  <c:v>10:010</c:v>
                </c:pt>
                <c:pt idx="2">
                  <c:v>10:020</c:v>
                </c:pt>
                <c:pt idx="3">
                  <c:v>10:040</c:v>
                </c:pt>
              </c:strCache>
            </c:strRef>
          </c:cat>
          <c:val>
            <c:numRef>
              <c:f>Лист1!$B$2:$B$5</c:f>
              <c:numCache>
                <c:formatCode>General</c:formatCode>
                <c:ptCount val="4"/>
                <c:pt idx="0">
                  <c:v>297</c:v>
                </c:pt>
                <c:pt idx="1">
                  <c:v>11993</c:v>
                </c:pt>
                <c:pt idx="2">
                  <c:v>24</c:v>
                </c:pt>
                <c:pt idx="3">
                  <c:v>12</c:v>
                </c:pt>
              </c:numCache>
            </c:numRef>
          </c:val>
          <c:extLst>
            <c:ext xmlns:c16="http://schemas.microsoft.com/office/drawing/2014/chart" uri="{C3380CC4-5D6E-409C-BE32-E72D297353CC}">
              <c16:uniqueId val="{00000008-297E-4225-A83D-0C1B89A11961}"/>
            </c:ext>
          </c:extLst>
        </c:ser>
        <c:dLbls>
          <c:showLegendKey val="0"/>
          <c:showVal val="1"/>
          <c:showCatName val="1"/>
          <c:showSerName val="0"/>
          <c:showPercent val="0"/>
          <c:showBubbleSize val="0"/>
          <c:showLeaderLines val="1"/>
        </c:dLbls>
        <c:firstSliceAng val="90"/>
        <c:holeSize val="8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Количество ЗУ 11 сегмента</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DB5C-498D-8C04-76F4A859449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DB5C-498D-8C04-76F4A8594499}"/>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DB5C-498D-8C04-76F4A8594499}"/>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DB5C-498D-8C04-76F4A859449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DB5C-498D-8C04-76F4A8594499}"/>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DB5C-498D-8C04-76F4A8594499}"/>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DB5C-498D-8C04-76F4A8594499}"/>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DB5C-498D-8C04-76F4A8594499}"/>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DB5C-498D-8C04-76F4A8594499}"/>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DB5C-498D-8C04-76F4A8594499}"/>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DB5C-498D-8C04-76F4A8594499}"/>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DB5C-498D-8C04-76F4A8594499}"/>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DB5C-498D-8C04-76F4A8594499}"/>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DB5C-498D-8C04-76F4A8594499}"/>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DB5C-498D-8C04-76F4A8594499}"/>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DB5C-498D-8C04-76F4A8594499}"/>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DB5C-498D-8C04-76F4A8594499}"/>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DB5C-498D-8C04-76F4A8594499}"/>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DB5C-498D-8C04-76F4A8594499}"/>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DB5C-498D-8C04-76F4A8594499}"/>
              </c:ext>
            </c:extLst>
          </c:dPt>
          <c:dPt>
            <c:idx val="20"/>
            <c:invertIfNegative val="0"/>
            <c:bubble3D val="0"/>
            <c:spPr>
              <a:solidFill>
                <a:schemeClr val="accent3">
                  <a:lumMod val="80000"/>
                </a:schemeClr>
              </a:solidFill>
              <a:ln>
                <a:noFill/>
              </a:ln>
              <a:effectLst/>
            </c:spPr>
            <c:extLst>
              <c:ext xmlns:c16="http://schemas.microsoft.com/office/drawing/2014/chart" uri="{C3380CC4-5D6E-409C-BE32-E72D297353CC}">
                <c16:uniqueId val="{00000029-DB5C-498D-8C04-76F4A8594499}"/>
              </c:ext>
            </c:extLst>
          </c:dPt>
          <c:dPt>
            <c:idx val="21"/>
            <c:invertIfNegative val="0"/>
            <c:bubble3D val="0"/>
            <c:spPr>
              <a:solidFill>
                <a:schemeClr val="accent4">
                  <a:lumMod val="80000"/>
                </a:schemeClr>
              </a:solidFill>
              <a:ln>
                <a:noFill/>
              </a:ln>
              <a:effectLst/>
            </c:spPr>
            <c:extLst>
              <c:ext xmlns:c16="http://schemas.microsoft.com/office/drawing/2014/chart" uri="{C3380CC4-5D6E-409C-BE32-E72D297353CC}">
                <c16:uniqueId val="{0000002B-DB5C-498D-8C04-76F4A8594499}"/>
              </c:ext>
            </c:extLst>
          </c:dPt>
          <c:dPt>
            <c:idx val="22"/>
            <c:invertIfNegative val="0"/>
            <c:bubble3D val="0"/>
            <c:spPr>
              <a:solidFill>
                <a:schemeClr val="accent5">
                  <a:lumMod val="80000"/>
                </a:schemeClr>
              </a:solidFill>
              <a:ln>
                <a:noFill/>
              </a:ln>
              <a:effectLst/>
            </c:spPr>
            <c:extLst>
              <c:ext xmlns:c16="http://schemas.microsoft.com/office/drawing/2014/chart" uri="{C3380CC4-5D6E-409C-BE32-E72D297353CC}">
                <c16:uniqueId val="{0000002D-DB5C-498D-8C04-76F4A8594499}"/>
              </c:ext>
            </c:extLst>
          </c:dPt>
          <c:dPt>
            <c:idx val="23"/>
            <c:invertIfNegative val="0"/>
            <c:bubble3D val="0"/>
            <c:spPr>
              <a:solidFill>
                <a:schemeClr val="accent6">
                  <a:lumMod val="80000"/>
                </a:schemeClr>
              </a:solidFill>
              <a:ln>
                <a:noFill/>
              </a:ln>
              <a:effectLst/>
            </c:spPr>
            <c:extLst>
              <c:ext xmlns:c16="http://schemas.microsoft.com/office/drawing/2014/chart" uri="{C3380CC4-5D6E-409C-BE32-E72D297353CC}">
                <c16:uniqueId val="{0000002F-DB5C-498D-8C04-76F4A8594499}"/>
              </c:ext>
            </c:extLst>
          </c:dPt>
          <c:dPt>
            <c:idx val="2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31-DB5C-498D-8C04-76F4A8594499}"/>
              </c:ext>
            </c:extLst>
          </c:dPt>
          <c:dPt>
            <c:idx val="2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33-DB5C-498D-8C04-76F4A8594499}"/>
              </c:ext>
            </c:extLst>
          </c:dPt>
          <c:dPt>
            <c:idx val="26"/>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35-DB5C-498D-8C04-76F4A8594499}"/>
              </c:ext>
            </c:extLst>
          </c:dPt>
          <c:dPt>
            <c:idx val="2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37-DB5C-498D-8C04-76F4A8594499}"/>
              </c:ext>
            </c:extLst>
          </c:dPt>
          <c:dPt>
            <c:idx val="2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9-DB5C-498D-8C04-76F4A8594499}"/>
              </c:ext>
            </c:extLst>
          </c:dPt>
          <c:dPt>
            <c:idx val="29"/>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3B-DB5C-498D-8C04-76F4A8594499}"/>
              </c:ext>
            </c:extLst>
          </c:dPt>
          <c:dPt>
            <c:idx val="30"/>
            <c:invertIfNegative val="0"/>
            <c:bubble3D val="0"/>
            <c:spPr>
              <a:solidFill>
                <a:schemeClr val="accent1">
                  <a:lumMod val="50000"/>
                </a:schemeClr>
              </a:solidFill>
              <a:ln>
                <a:noFill/>
              </a:ln>
              <a:effectLst/>
            </c:spPr>
            <c:extLst>
              <c:ext xmlns:c16="http://schemas.microsoft.com/office/drawing/2014/chart" uri="{C3380CC4-5D6E-409C-BE32-E72D297353CC}">
                <c16:uniqueId val="{0000003D-DB5C-498D-8C04-76F4A8594499}"/>
              </c:ext>
            </c:extLst>
          </c:dPt>
          <c:dPt>
            <c:idx val="31"/>
            <c:invertIfNegative val="0"/>
            <c:bubble3D val="0"/>
            <c:spPr>
              <a:solidFill>
                <a:schemeClr val="accent2">
                  <a:lumMod val="50000"/>
                </a:schemeClr>
              </a:solidFill>
              <a:ln>
                <a:noFill/>
              </a:ln>
              <a:effectLst/>
            </c:spPr>
            <c:extLst>
              <c:ext xmlns:c16="http://schemas.microsoft.com/office/drawing/2014/chart" uri="{C3380CC4-5D6E-409C-BE32-E72D297353CC}">
                <c16:uniqueId val="{0000003F-DB5C-498D-8C04-76F4A8594499}"/>
              </c:ext>
            </c:extLst>
          </c:dPt>
          <c:dPt>
            <c:idx val="32"/>
            <c:invertIfNegative val="0"/>
            <c:bubble3D val="0"/>
            <c:spPr>
              <a:solidFill>
                <a:schemeClr val="accent3">
                  <a:lumMod val="50000"/>
                </a:schemeClr>
              </a:solidFill>
              <a:ln>
                <a:noFill/>
              </a:ln>
              <a:effectLst/>
            </c:spPr>
            <c:extLst>
              <c:ext xmlns:c16="http://schemas.microsoft.com/office/drawing/2014/chart" uri="{C3380CC4-5D6E-409C-BE32-E72D297353CC}">
                <c16:uniqueId val="{00000041-DB5C-498D-8C04-76F4A8594499}"/>
              </c:ext>
            </c:extLst>
          </c:dPt>
          <c:dLbls>
            <c:dLbl>
              <c:idx val="1"/>
              <c:layout>
                <c:manualLayout>
                  <c:x val="0"/>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5C-498D-8C04-76F4A8594499}"/>
                </c:ext>
              </c:extLst>
            </c:dLbl>
            <c:dLbl>
              <c:idx val="2"/>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5C-498D-8C04-76F4A8594499}"/>
                </c:ext>
              </c:extLst>
            </c:dLbl>
            <c:dLbl>
              <c:idx val="6"/>
              <c:layout>
                <c:manualLayout>
                  <c:x val="0"/>
                  <c:y val="7.256937357591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B5C-498D-8C04-76F4A8594499}"/>
                </c:ext>
              </c:extLst>
            </c:dLbl>
            <c:dLbl>
              <c:idx val="7"/>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B5C-498D-8C04-76F4A8594499}"/>
                </c:ext>
              </c:extLst>
            </c:dLbl>
            <c:dLbl>
              <c:idx val="10"/>
              <c:layout>
                <c:manualLayout>
                  <c:x val="-3.9194273752108585E-17"/>
                  <c:y val="1.21267242686068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B5C-498D-8C04-76F4A8594499}"/>
                </c:ext>
              </c:extLst>
            </c:dLbl>
            <c:dLbl>
              <c:idx val="18"/>
              <c:layout>
                <c:manualLayout>
                  <c:x val="-7.838854750421717E-17"/>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DB5C-498D-8C04-76F4A8594499}"/>
                </c:ext>
              </c:extLst>
            </c:dLbl>
            <c:dLbl>
              <c:idx val="20"/>
              <c:layout>
                <c:manualLayout>
                  <c:x val="-7.838854750421717E-17"/>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DB5C-498D-8C04-76F4A8594499}"/>
                </c:ext>
              </c:extLst>
            </c:dLbl>
            <c:dLbl>
              <c:idx val="23"/>
              <c:layout>
                <c:manualLayout>
                  <c:x val="-7.838854750421717E-17"/>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DB5C-498D-8C04-76F4A8594499}"/>
                </c:ext>
              </c:extLst>
            </c:dLbl>
            <c:dLbl>
              <c:idx val="25"/>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DB5C-498D-8C04-76F4A8594499}"/>
                </c:ext>
              </c:extLst>
            </c:dLbl>
            <c:dLbl>
              <c:idx val="28"/>
              <c:layout>
                <c:manualLayout>
                  <c:x val="-1.5677709500843434E-16"/>
                  <c:y val="4.61651024863354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DB5C-498D-8C04-76F4A8594499}"/>
                </c:ext>
              </c:extLst>
            </c:dLbl>
            <c:dLbl>
              <c:idx val="29"/>
              <c:layout>
                <c:manualLayout>
                  <c:x val="0"/>
                  <c:y val="-1.7451021678417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DB5C-498D-8C04-76F4A8594499}"/>
                </c:ext>
              </c:extLst>
            </c:dLbl>
            <c:dLbl>
              <c:idx val="30"/>
              <c:layout>
                <c:manualLayout>
                  <c:x val="0"/>
                  <c:y val="9.09504320145520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DB5C-498D-8C04-76F4A8594499}"/>
                </c:ext>
              </c:extLst>
            </c:dLbl>
            <c:dLbl>
              <c:idx val="32"/>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DB5C-498D-8C04-76F4A8594499}"/>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Лист1!$A$2:$A$34</c:f>
              <c:strCache>
                <c:ptCount val="33"/>
                <c:pt idx="0">
                  <c:v>Аннинский</c:v>
                </c:pt>
                <c:pt idx="1">
                  <c:v>Бобровский</c:v>
                </c:pt>
                <c:pt idx="2">
                  <c:v>Богучарский</c:v>
                </c:pt>
                <c:pt idx="3">
                  <c:v>Борисоглебский</c:v>
                </c:pt>
                <c:pt idx="4">
                  <c:v>Бутурлиновский</c:v>
                </c:pt>
                <c:pt idx="5">
                  <c:v>Верхнемамонский</c:v>
                </c:pt>
                <c:pt idx="6">
                  <c:v>Верхнехавский</c:v>
                </c:pt>
                <c:pt idx="7">
                  <c:v>Воробьевский</c:v>
                </c:pt>
                <c:pt idx="8">
                  <c:v>ГО г.Воронеж</c:v>
                </c:pt>
                <c:pt idx="9">
                  <c:v>Грибановский</c:v>
                </c:pt>
                <c:pt idx="10">
                  <c:v>Калачеевский</c:v>
                </c:pt>
                <c:pt idx="11">
                  <c:v>Каменский</c:v>
                </c:pt>
                <c:pt idx="12">
                  <c:v>Кантемировский</c:v>
                </c:pt>
                <c:pt idx="13">
                  <c:v>Каширский</c:v>
                </c:pt>
                <c:pt idx="14">
                  <c:v>Лискинский</c:v>
                </c:pt>
                <c:pt idx="15">
                  <c:v>Нижнедевицкий</c:v>
                </c:pt>
                <c:pt idx="16">
                  <c:v>Новоусманский</c:v>
                </c:pt>
                <c:pt idx="17">
                  <c:v>Новохоперский</c:v>
                </c:pt>
                <c:pt idx="18">
                  <c:v>Ольховатский</c:v>
                </c:pt>
                <c:pt idx="19">
                  <c:v>Острогожский</c:v>
                </c:pt>
                <c:pt idx="20">
                  <c:v>Павловский</c:v>
                </c:pt>
                <c:pt idx="21">
                  <c:v>Панинский</c:v>
                </c:pt>
                <c:pt idx="22">
                  <c:v>Петропавловский</c:v>
                </c:pt>
                <c:pt idx="23">
                  <c:v>Поворинский</c:v>
                </c:pt>
                <c:pt idx="24">
                  <c:v>Подгоренский</c:v>
                </c:pt>
                <c:pt idx="25">
                  <c:v>Рамонский</c:v>
                </c:pt>
                <c:pt idx="26">
                  <c:v>Репьевский</c:v>
                </c:pt>
                <c:pt idx="27">
                  <c:v>Россошанский</c:v>
                </c:pt>
                <c:pt idx="28">
                  <c:v>Семилукский</c:v>
                </c:pt>
                <c:pt idx="29">
                  <c:v>Таловский</c:v>
                </c:pt>
                <c:pt idx="30">
                  <c:v>Терновский</c:v>
                </c:pt>
                <c:pt idx="31">
                  <c:v>Хохольский</c:v>
                </c:pt>
                <c:pt idx="32">
                  <c:v>Эртильский</c:v>
                </c:pt>
              </c:strCache>
            </c:strRef>
          </c:cat>
          <c:val>
            <c:numRef>
              <c:f>Лист1!$B$2:$B$34</c:f>
              <c:numCache>
                <c:formatCode>General</c:formatCode>
                <c:ptCount val="33"/>
                <c:pt idx="0">
                  <c:v>46</c:v>
                </c:pt>
                <c:pt idx="1">
                  <c:v>9</c:v>
                </c:pt>
                <c:pt idx="2">
                  <c:v>22</c:v>
                </c:pt>
                <c:pt idx="3">
                  <c:v>7</c:v>
                </c:pt>
                <c:pt idx="4">
                  <c:v>40</c:v>
                </c:pt>
                <c:pt idx="5">
                  <c:v>11</c:v>
                </c:pt>
                <c:pt idx="6">
                  <c:v>18</c:v>
                </c:pt>
                <c:pt idx="7">
                  <c:v>16</c:v>
                </c:pt>
                <c:pt idx="8">
                  <c:v>3</c:v>
                </c:pt>
                <c:pt idx="9">
                  <c:v>86</c:v>
                </c:pt>
                <c:pt idx="10">
                  <c:v>28</c:v>
                </c:pt>
                <c:pt idx="11">
                  <c:v>5</c:v>
                </c:pt>
                <c:pt idx="12">
                  <c:v>12</c:v>
                </c:pt>
                <c:pt idx="13">
                  <c:v>35</c:v>
                </c:pt>
                <c:pt idx="14">
                  <c:v>35</c:v>
                </c:pt>
                <c:pt idx="15">
                  <c:v>12</c:v>
                </c:pt>
                <c:pt idx="16">
                  <c:v>37</c:v>
                </c:pt>
                <c:pt idx="17">
                  <c:v>29</c:v>
                </c:pt>
                <c:pt idx="18">
                  <c:v>14</c:v>
                </c:pt>
                <c:pt idx="19">
                  <c:v>13</c:v>
                </c:pt>
                <c:pt idx="20">
                  <c:v>17</c:v>
                </c:pt>
                <c:pt idx="21">
                  <c:v>57</c:v>
                </c:pt>
                <c:pt idx="22">
                  <c:v>11</c:v>
                </c:pt>
                <c:pt idx="23">
                  <c:v>25</c:v>
                </c:pt>
                <c:pt idx="24">
                  <c:v>12</c:v>
                </c:pt>
                <c:pt idx="25">
                  <c:v>41</c:v>
                </c:pt>
                <c:pt idx="26">
                  <c:v>22</c:v>
                </c:pt>
                <c:pt idx="27">
                  <c:v>16</c:v>
                </c:pt>
                <c:pt idx="28">
                  <c:v>20</c:v>
                </c:pt>
                <c:pt idx="29">
                  <c:v>20</c:v>
                </c:pt>
                <c:pt idx="30">
                  <c:v>25</c:v>
                </c:pt>
                <c:pt idx="31">
                  <c:v>11</c:v>
                </c:pt>
                <c:pt idx="32">
                  <c:v>63</c:v>
                </c:pt>
              </c:numCache>
            </c:numRef>
          </c:val>
          <c:extLst>
            <c:ext xmlns:c16="http://schemas.microsoft.com/office/drawing/2014/chart" uri="{C3380CC4-5D6E-409C-BE32-E72D297353CC}">
              <c16:uniqueId val="{00000042-DB5C-498D-8C04-76F4A8594499}"/>
            </c:ext>
          </c:extLst>
        </c:ser>
        <c:dLbls>
          <c:dLblPos val="outEnd"/>
          <c:showLegendKey val="0"/>
          <c:showVal val="1"/>
          <c:showCatName val="0"/>
          <c:showSerName val="0"/>
          <c:showPercent val="0"/>
          <c:showBubbleSize val="0"/>
        </c:dLbls>
        <c:gapWidth val="150"/>
        <c:axId val="1565260128"/>
        <c:axId val="1565253056"/>
      </c:barChart>
      <c:catAx>
        <c:axId val="15652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53056"/>
        <c:crosses val="autoZero"/>
        <c:auto val="1"/>
        <c:lblAlgn val="ctr"/>
        <c:lblOffset val="100"/>
        <c:noMultiLvlLbl val="0"/>
      </c:catAx>
      <c:valAx>
        <c:axId val="15652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60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Распределение ЗУ 11 сегмента по кодам ВРИ</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Распределение ЗУ 8 сегмента по кодам ВРИ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4D-4286-8EEE-C8C872C0BF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4D-4286-8EEE-C8C872C0BF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4D-4286-8EEE-C8C872C0BF5F}"/>
              </c:ext>
            </c:extLst>
          </c:dPt>
          <c:dLbls>
            <c:dLbl>
              <c:idx val="0"/>
              <c:layout>
                <c:manualLayout>
                  <c:x val="-0.10780344793489845"/>
                  <c:y val="7.9365079365078632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64D-4286-8EEE-C8C872C0BF5F}"/>
                </c:ext>
              </c:extLst>
            </c:dLbl>
            <c:dLbl>
              <c:idx val="1"/>
              <c:layout>
                <c:manualLayout>
                  <c:x val="0.14844459243496141"/>
                  <c:y val="-1.984126984126991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64D-4286-8EEE-C8C872C0BF5F}"/>
                </c:ext>
              </c:extLst>
            </c:dLbl>
            <c:dLbl>
              <c:idx val="2"/>
              <c:layout>
                <c:manualLayout>
                  <c:x val="0.1481163464634539"/>
                  <c:y val="7.9365079365078632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64D-4286-8EEE-C8C872C0BF5F}"/>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11:000</c:v>
                </c:pt>
                <c:pt idx="1">
                  <c:v>11:010</c:v>
                </c:pt>
                <c:pt idx="2">
                  <c:v>11:020</c:v>
                </c:pt>
              </c:strCache>
            </c:strRef>
          </c:cat>
          <c:val>
            <c:numRef>
              <c:f>Лист1!$B$2:$B$4</c:f>
              <c:numCache>
                <c:formatCode>General</c:formatCode>
                <c:ptCount val="3"/>
                <c:pt idx="0">
                  <c:v>772</c:v>
                </c:pt>
                <c:pt idx="1">
                  <c:v>13</c:v>
                </c:pt>
                <c:pt idx="2">
                  <c:v>33</c:v>
                </c:pt>
              </c:numCache>
            </c:numRef>
          </c:val>
          <c:extLst>
            <c:ext xmlns:c16="http://schemas.microsoft.com/office/drawing/2014/chart" uri="{C3380CC4-5D6E-409C-BE32-E72D297353CC}">
              <c16:uniqueId val="{00000006-064D-4286-8EEE-C8C872C0BF5F}"/>
            </c:ext>
          </c:extLst>
        </c:ser>
        <c:dLbls>
          <c:showLegendKey val="0"/>
          <c:showVal val="1"/>
          <c:showCatName val="1"/>
          <c:showSerName val="0"/>
          <c:showPercent val="0"/>
          <c:showBubbleSize val="0"/>
          <c:showLeaderLines val="1"/>
        </c:dLbls>
        <c:firstSliceAng val="90"/>
        <c:holeSize val="8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Количество ЗУ 12 сегмента</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BA16-4F50-8840-D4A56034EDF4}"/>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BA16-4F50-8840-D4A56034EDF4}"/>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BA16-4F50-8840-D4A56034EDF4}"/>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BA16-4F50-8840-D4A56034EDF4}"/>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BA16-4F50-8840-D4A56034EDF4}"/>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BA16-4F50-8840-D4A56034EDF4}"/>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BA16-4F50-8840-D4A56034EDF4}"/>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BA16-4F50-8840-D4A56034EDF4}"/>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BA16-4F50-8840-D4A56034EDF4}"/>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BA16-4F50-8840-D4A56034EDF4}"/>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BA16-4F50-8840-D4A56034EDF4}"/>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BA16-4F50-8840-D4A56034EDF4}"/>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BA16-4F50-8840-D4A56034EDF4}"/>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BA16-4F50-8840-D4A56034EDF4}"/>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BA16-4F50-8840-D4A56034EDF4}"/>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BA16-4F50-8840-D4A56034EDF4}"/>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BA16-4F50-8840-D4A56034EDF4}"/>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BA16-4F50-8840-D4A56034EDF4}"/>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BA16-4F50-8840-D4A56034EDF4}"/>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BA16-4F50-8840-D4A56034EDF4}"/>
              </c:ext>
            </c:extLst>
          </c:dPt>
          <c:dPt>
            <c:idx val="20"/>
            <c:invertIfNegative val="0"/>
            <c:bubble3D val="0"/>
            <c:spPr>
              <a:solidFill>
                <a:schemeClr val="accent3">
                  <a:lumMod val="80000"/>
                </a:schemeClr>
              </a:solidFill>
              <a:ln>
                <a:noFill/>
              </a:ln>
              <a:effectLst/>
            </c:spPr>
            <c:extLst>
              <c:ext xmlns:c16="http://schemas.microsoft.com/office/drawing/2014/chart" uri="{C3380CC4-5D6E-409C-BE32-E72D297353CC}">
                <c16:uniqueId val="{00000029-BA16-4F50-8840-D4A56034EDF4}"/>
              </c:ext>
            </c:extLst>
          </c:dPt>
          <c:dPt>
            <c:idx val="21"/>
            <c:invertIfNegative val="0"/>
            <c:bubble3D val="0"/>
            <c:spPr>
              <a:solidFill>
                <a:schemeClr val="accent4">
                  <a:lumMod val="80000"/>
                </a:schemeClr>
              </a:solidFill>
              <a:ln>
                <a:noFill/>
              </a:ln>
              <a:effectLst/>
            </c:spPr>
            <c:extLst>
              <c:ext xmlns:c16="http://schemas.microsoft.com/office/drawing/2014/chart" uri="{C3380CC4-5D6E-409C-BE32-E72D297353CC}">
                <c16:uniqueId val="{0000002B-BA16-4F50-8840-D4A56034EDF4}"/>
              </c:ext>
            </c:extLst>
          </c:dPt>
          <c:dPt>
            <c:idx val="22"/>
            <c:invertIfNegative val="0"/>
            <c:bubble3D val="0"/>
            <c:spPr>
              <a:solidFill>
                <a:schemeClr val="accent5">
                  <a:lumMod val="80000"/>
                </a:schemeClr>
              </a:solidFill>
              <a:ln>
                <a:noFill/>
              </a:ln>
              <a:effectLst/>
            </c:spPr>
            <c:extLst>
              <c:ext xmlns:c16="http://schemas.microsoft.com/office/drawing/2014/chart" uri="{C3380CC4-5D6E-409C-BE32-E72D297353CC}">
                <c16:uniqueId val="{0000002D-BA16-4F50-8840-D4A56034EDF4}"/>
              </c:ext>
            </c:extLst>
          </c:dPt>
          <c:dPt>
            <c:idx val="23"/>
            <c:invertIfNegative val="0"/>
            <c:bubble3D val="0"/>
            <c:spPr>
              <a:solidFill>
                <a:schemeClr val="accent6">
                  <a:lumMod val="80000"/>
                </a:schemeClr>
              </a:solidFill>
              <a:ln>
                <a:noFill/>
              </a:ln>
              <a:effectLst/>
            </c:spPr>
            <c:extLst>
              <c:ext xmlns:c16="http://schemas.microsoft.com/office/drawing/2014/chart" uri="{C3380CC4-5D6E-409C-BE32-E72D297353CC}">
                <c16:uniqueId val="{0000002F-BA16-4F50-8840-D4A56034EDF4}"/>
              </c:ext>
            </c:extLst>
          </c:dPt>
          <c:dPt>
            <c:idx val="2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31-BA16-4F50-8840-D4A56034EDF4}"/>
              </c:ext>
            </c:extLst>
          </c:dPt>
          <c:dPt>
            <c:idx val="2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33-BA16-4F50-8840-D4A56034EDF4}"/>
              </c:ext>
            </c:extLst>
          </c:dPt>
          <c:dPt>
            <c:idx val="26"/>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35-BA16-4F50-8840-D4A56034EDF4}"/>
              </c:ext>
            </c:extLst>
          </c:dPt>
          <c:dPt>
            <c:idx val="2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37-BA16-4F50-8840-D4A56034EDF4}"/>
              </c:ext>
            </c:extLst>
          </c:dPt>
          <c:dPt>
            <c:idx val="2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9-BA16-4F50-8840-D4A56034EDF4}"/>
              </c:ext>
            </c:extLst>
          </c:dPt>
          <c:dPt>
            <c:idx val="29"/>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3B-BA16-4F50-8840-D4A56034EDF4}"/>
              </c:ext>
            </c:extLst>
          </c:dPt>
          <c:dPt>
            <c:idx val="30"/>
            <c:invertIfNegative val="0"/>
            <c:bubble3D val="0"/>
            <c:spPr>
              <a:solidFill>
                <a:schemeClr val="accent1">
                  <a:lumMod val="50000"/>
                </a:schemeClr>
              </a:solidFill>
              <a:ln>
                <a:noFill/>
              </a:ln>
              <a:effectLst/>
            </c:spPr>
            <c:extLst>
              <c:ext xmlns:c16="http://schemas.microsoft.com/office/drawing/2014/chart" uri="{C3380CC4-5D6E-409C-BE32-E72D297353CC}">
                <c16:uniqueId val="{0000003D-BA16-4F50-8840-D4A56034EDF4}"/>
              </c:ext>
            </c:extLst>
          </c:dPt>
          <c:dPt>
            <c:idx val="31"/>
            <c:invertIfNegative val="0"/>
            <c:bubble3D val="0"/>
            <c:spPr>
              <a:solidFill>
                <a:schemeClr val="accent2">
                  <a:lumMod val="50000"/>
                </a:schemeClr>
              </a:solidFill>
              <a:ln>
                <a:noFill/>
              </a:ln>
              <a:effectLst/>
            </c:spPr>
            <c:extLst>
              <c:ext xmlns:c16="http://schemas.microsoft.com/office/drawing/2014/chart" uri="{C3380CC4-5D6E-409C-BE32-E72D297353CC}">
                <c16:uniqueId val="{0000003F-BA16-4F50-8840-D4A56034EDF4}"/>
              </c:ext>
            </c:extLst>
          </c:dPt>
          <c:dPt>
            <c:idx val="32"/>
            <c:invertIfNegative val="0"/>
            <c:bubble3D val="0"/>
            <c:spPr>
              <a:solidFill>
                <a:schemeClr val="accent3">
                  <a:lumMod val="50000"/>
                </a:schemeClr>
              </a:solidFill>
              <a:ln>
                <a:noFill/>
              </a:ln>
              <a:effectLst/>
            </c:spPr>
            <c:extLst>
              <c:ext xmlns:c16="http://schemas.microsoft.com/office/drawing/2014/chart" uri="{C3380CC4-5D6E-409C-BE32-E72D297353CC}">
                <c16:uniqueId val="{00000041-BA16-4F50-8840-D4A56034EDF4}"/>
              </c:ext>
            </c:extLst>
          </c:dPt>
          <c:dPt>
            <c:idx val="33"/>
            <c:invertIfNegative val="0"/>
            <c:bubble3D val="0"/>
            <c:spPr>
              <a:solidFill>
                <a:schemeClr val="accent4">
                  <a:lumMod val="50000"/>
                </a:schemeClr>
              </a:solidFill>
              <a:ln>
                <a:noFill/>
              </a:ln>
              <a:effectLst/>
            </c:spPr>
            <c:extLst>
              <c:ext xmlns:c16="http://schemas.microsoft.com/office/drawing/2014/chart" uri="{C3380CC4-5D6E-409C-BE32-E72D297353CC}">
                <c16:uniqueId val="{00000043-BA16-4F50-8840-D4A56034EDF4}"/>
              </c:ext>
            </c:extLst>
          </c:dPt>
          <c:dLbls>
            <c:dLbl>
              <c:idx val="1"/>
              <c:layout>
                <c:manualLayout>
                  <c:x val="0"/>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16-4F50-8840-D4A56034EDF4}"/>
                </c:ext>
              </c:extLst>
            </c:dLbl>
            <c:dLbl>
              <c:idx val="2"/>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16-4F50-8840-D4A56034EDF4}"/>
                </c:ext>
              </c:extLst>
            </c:dLbl>
            <c:dLbl>
              <c:idx val="6"/>
              <c:layout>
                <c:manualLayout>
                  <c:x val="0"/>
                  <c:y val="7.256937357591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A16-4F50-8840-D4A56034EDF4}"/>
                </c:ext>
              </c:extLst>
            </c:dLbl>
            <c:dLbl>
              <c:idx val="7"/>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A16-4F50-8840-D4A56034EDF4}"/>
                </c:ext>
              </c:extLst>
            </c:dLbl>
            <c:dLbl>
              <c:idx val="10"/>
              <c:layout>
                <c:manualLayout>
                  <c:x val="-3.9194273752108585E-17"/>
                  <c:y val="1.21267242686068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A16-4F50-8840-D4A56034EDF4}"/>
                </c:ext>
              </c:extLst>
            </c:dLbl>
            <c:dLbl>
              <c:idx val="18"/>
              <c:layout>
                <c:manualLayout>
                  <c:x val="-7.838854750421717E-17"/>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A16-4F50-8840-D4A56034EDF4}"/>
                </c:ext>
              </c:extLst>
            </c:dLbl>
            <c:dLbl>
              <c:idx val="20"/>
              <c:layout>
                <c:manualLayout>
                  <c:x val="-7.838854750421717E-17"/>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A16-4F50-8840-D4A56034EDF4}"/>
                </c:ext>
              </c:extLst>
            </c:dLbl>
            <c:dLbl>
              <c:idx val="23"/>
              <c:layout>
                <c:manualLayout>
                  <c:x val="-7.838854750421717E-17"/>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A16-4F50-8840-D4A56034EDF4}"/>
                </c:ext>
              </c:extLst>
            </c:dLbl>
            <c:dLbl>
              <c:idx val="25"/>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BA16-4F50-8840-D4A56034EDF4}"/>
                </c:ext>
              </c:extLst>
            </c:dLbl>
            <c:dLbl>
              <c:idx val="28"/>
              <c:layout>
                <c:manualLayout>
                  <c:x val="-1.5677709500843434E-16"/>
                  <c:y val="4.61651024863354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BA16-4F50-8840-D4A56034EDF4}"/>
                </c:ext>
              </c:extLst>
            </c:dLbl>
            <c:dLbl>
              <c:idx val="29"/>
              <c:layout>
                <c:manualLayout>
                  <c:x val="0"/>
                  <c:y val="-1.7451021678417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BA16-4F50-8840-D4A56034EDF4}"/>
                </c:ext>
              </c:extLst>
            </c:dLbl>
            <c:dLbl>
              <c:idx val="30"/>
              <c:layout>
                <c:manualLayout>
                  <c:x val="0"/>
                  <c:y val="9.09504320145520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BA16-4F50-8840-D4A56034EDF4}"/>
                </c:ext>
              </c:extLst>
            </c:dLbl>
            <c:dLbl>
              <c:idx val="32"/>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BA16-4F50-8840-D4A56034EDF4}"/>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Лист1!$A$2:$A$35</c:f>
              <c:strCache>
                <c:ptCount val="34"/>
                <c:pt idx="0">
                  <c:v>Аннинский</c:v>
                </c:pt>
                <c:pt idx="1">
                  <c:v>Бобровский</c:v>
                </c:pt>
                <c:pt idx="2">
                  <c:v>Богучарский</c:v>
                </c:pt>
                <c:pt idx="3">
                  <c:v>Борисоглебский</c:v>
                </c:pt>
                <c:pt idx="4">
                  <c:v>Бутурлиновский</c:v>
                </c:pt>
                <c:pt idx="5">
                  <c:v>Верхнемамонский</c:v>
                </c:pt>
                <c:pt idx="6">
                  <c:v>Верхнехавский</c:v>
                </c:pt>
                <c:pt idx="7">
                  <c:v>Воробьевский</c:v>
                </c:pt>
                <c:pt idx="8">
                  <c:v>ГО г.Воронеж</c:v>
                </c:pt>
                <c:pt idx="9">
                  <c:v>ГО Нововоронеж</c:v>
                </c:pt>
                <c:pt idx="10">
                  <c:v>Грибановский</c:v>
                </c:pt>
                <c:pt idx="11">
                  <c:v>Калачеевский</c:v>
                </c:pt>
                <c:pt idx="12">
                  <c:v>Каменский</c:v>
                </c:pt>
                <c:pt idx="13">
                  <c:v>Кантемировский</c:v>
                </c:pt>
                <c:pt idx="14">
                  <c:v>Каширский</c:v>
                </c:pt>
                <c:pt idx="15">
                  <c:v>Лискинский</c:v>
                </c:pt>
                <c:pt idx="16">
                  <c:v>Нижнедевицкий</c:v>
                </c:pt>
                <c:pt idx="17">
                  <c:v>Новоусманский</c:v>
                </c:pt>
                <c:pt idx="18">
                  <c:v>Новохоперский</c:v>
                </c:pt>
                <c:pt idx="19">
                  <c:v>Ольховатский</c:v>
                </c:pt>
                <c:pt idx="20">
                  <c:v>Острогожский</c:v>
                </c:pt>
                <c:pt idx="21">
                  <c:v>Павловский</c:v>
                </c:pt>
                <c:pt idx="22">
                  <c:v>Панинский</c:v>
                </c:pt>
                <c:pt idx="23">
                  <c:v>Петропавловский</c:v>
                </c:pt>
                <c:pt idx="24">
                  <c:v>Поворинский</c:v>
                </c:pt>
                <c:pt idx="25">
                  <c:v>Подгоренский</c:v>
                </c:pt>
                <c:pt idx="26">
                  <c:v>Рамонский</c:v>
                </c:pt>
                <c:pt idx="27">
                  <c:v>Репьевский</c:v>
                </c:pt>
                <c:pt idx="28">
                  <c:v>Россошанский</c:v>
                </c:pt>
                <c:pt idx="29">
                  <c:v>Семилукский</c:v>
                </c:pt>
                <c:pt idx="30">
                  <c:v>Таловский</c:v>
                </c:pt>
                <c:pt idx="31">
                  <c:v>Терновский</c:v>
                </c:pt>
                <c:pt idx="32">
                  <c:v>Хохольский</c:v>
                </c:pt>
                <c:pt idx="33">
                  <c:v>Эртильский</c:v>
                </c:pt>
              </c:strCache>
            </c:strRef>
          </c:cat>
          <c:val>
            <c:numRef>
              <c:f>Лист1!$B$2:$B$35</c:f>
              <c:numCache>
                <c:formatCode>General</c:formatCode>
                <c:ptCount val="34"/>
                <c:pt idx="0">
                  <c:v>327</c:v>
                </c:pt>
                <c:pt idx="1">
                  <c:v>40</c:v>
                </c:pt>
                <c:pt idx="2">
                  <c:v>57</c:v>
                </c:pt>
                <c:pt idx="3">
                  <c:v>47</c:v>
                </c:pt>
                <c:pt idx="4">
                  <c:v>68</c:v>
                </c:pt>
                <c:pt idx="5">
                  <c:v>32</c:v>
                </c:pt>
                <c:pt idx="6">
                  <c:v>36</c:v>
                </c:pt>
                <c:pt idx="7">
                  <c:v>135</c:v>
                </c:pt>
                <c:pt idx="8">
                  <c:v>61</c:v>
                </c:pt>
                <c:pt idx="9">
                  <c:v>4</c:v>
                </c:pt>
                <c:pt idx="10">
                  <c:v>56</c:v>
                </c:pt>
                <c:pt idx="11">
                  <c:v>82</c:v>
                </c:pt>
                <c:pt idx="12">
                  <c:v>49</c:v>
                </c:pt>
                <c:pt idx="13">
                  <c:v>68</c:v>
                </c:pt>
                <c:pt idx="14">
                  <c:v>28</c:v>
                </c:pt>
                <c:pt idx="15">
                  <c:v>94</c:v>
                </c:pt>
                <c:pt idx="16">
                  <c:v>25</c:v>
                </c:pt>
                <c:pt idx="17">
                  <c:v>45</c:v>
                </c:pt>
                <c:pt idx="18">
                  <c:v>45</c:v>
                </c:pt>
                <c:pt idx="19">
                  <c:v>66</c:v>
                </c:pt>
                <c:pt idx="20">
                  <c:v>46</c:v>
                </c:pt>
                <c:pt idx="21">
                  <c:v>61</c:v>
                </c:pt>
                <c:pt idx="22">
                  <c:v>30</c:v>
                </c:pt>
                <c:pt idx="23">
                  <c:v>38</c:v>
                </c:pt>
                <c:pt idx="24">
                  <c:v>35</c:v>
                </c:pt>
                <c:pt idx="25">
                  <c:v>76</c:v>
                </c:pt>
                <c:pt idx="26">
                  <c:v>91</c:v>
                </c:pt>
                <c:pt idx="27">
                  <c:v>36</c:v>
                </c:pt>
                <c:pt idx="28">
                  <c:v>133</c:v>
                </c:pt>
                <c:pt idx="29">
                  <c:v>215</c:v>
                </c:pt>
                <c:pt idx="30">
                  <c:v>91</c:v>
                </c:pt>
                <c:pt idx="31">
                  <c:v>40</c:v>
                </c:pt>
                <c:pt idx="32">
                  <c:v>35</c:v>
                </c:pt>
                <c:pt idx="33">
                  <c:v>76</c:v>
                </c:pt>
              </c:numCache>
            </c:numRef>
          </c:val>
          <c:extLst>
            <c:ext xmlns:c16="http://schemas.microsoft.com/office/drawing/2014/chart" uri="{C3380CC4-5D6E-409C-BE32-E72D297353CC}">
              <c16:uniqueId val="{00000044-BA16-4F50-8840-D4A56034EDF4}"/>
            </c:ext>
          </c:extLst>
        </c:ser>
        <c:dLbls>
          <c:dLblPos val="outEnd"/>
          <c:showLegendKey val="0"/>
          <c:showVal val="1"/>
          <c:showCatName val="0"/>
          <c:showSerName val="0"/>
          <c:showPercent val="0"/>
          <c:showBubbleSize val="0"/>
        </c:dLbls>
        <c:gapWidth val="150"/>
        <c:axId val="1565260128"/>
        <c:axId val="1565253056"/>
      </c:barChart>
      <c:catAx>
        <c:axId val="15652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53056"/>
        <c:crosses val="autoZero"/>
        <c:auto val="1"/>
        <c:lblAlgn val="ctr"/>
        <c:lblOffset val="100"/>
        <c:noMultiLvlLbl val="0"/>
      </c:catAx>
      <c:valAx>
        <c:axId val="15652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60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Распределение ЗУ 12 сегмента по кодам ВРИ</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Распределение ЗУ 8 сегмента по кодам ВРИ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16-4AD9-AD31-C1C4BC0F04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16-4AD9-AD31-C1C4BC0F04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16-4AD9-AD31-C1C4BC0F04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316-4AD9-AD31-C1C4BC0F044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316-4AD9-AD31-C1C4BC0F044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316-4AD9-AD31-C1C4BC0F0441}"/>
              </c:ext>
            </c:extLst>
          </c:dPt>
          <c:dLbls>
            <c:dLbl>
              <c:idx val="0"/>
              <c:layout>
                <c:manualLayout>
                  <c:x val="-0.14429588112154651"/>
                  <c:y val="4.365079365079361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316-4AD9-AD31-C1C4BC0F0441}"/>
                </c:ext>
              </c:extLst>
            </c:dLbl>
            <c:dLbl>
              <c:idx val="1"/>
              <c:layout>
                <c:manualLayout>
                  <c:x val="-0.13705503190763821"/>
                  <c:y val="-3.571428571428571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316-4AD9-AD31-C1C4BC0F0441}"/>
                </c:ext>
              </c:extLst>
            </c:dLbl>
            <c:dLbl>
              <c:idx val="2"/>
              <c:layout>
                <c:manualLayout>
                  <c:x val="0.12235698186111409"/>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316-4AD9-AD31-C1C4BC0F0441}"/>
                </c:ext>
              </c:extLst>
            </c:dLbl>
            <c:dLbl>
              <c:idx val="3"/>
              <c:layout>
                <c:manualLayout>
                  <c:x val="-7.7278093807019499E-2"/>
                  <c:y val="6.746031746031731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316-4AD9-AD31-C1C4BC0F0441}"/>
                </c:ext>
              </c:extLst>
            </c:dLbl>
            <c:dLbl>
              <c:idx val="4"/>
              <c:layout>
                <c:manualLayout>
                  <c:x val="-9.0157776108189328E-2"/>
                  <c:y val="1.587301587301587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316-4AD9-AD31-C1C4BC0F0441}"/>
                </c:ext>
              </c:extLst>
            </c:dLbl>
            <c:dLbl>
              <c:idx val="5"/>
              <c:layout>
                <c:manualLayout>
                  <c:x val="-9.2304389825050986E-2"/>
                  <c:y val="1.984126984126991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316-4AD9-AD31-C1C4BC0F044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08:011</c:v>
                </c:pt>
                <c:pt idx="1">
                  <c:v>12:000</c:v>
                </c:pt>
                <c:pt idx="2">
                  <c:v>12:010</c:v>
                </c:pt>
                <c:pt idx="3">
                  <c:v>12:020</c:v>
                </c:pt>
                <c:pt idx="4">
                  <c:v>12:021</c:v>
                </c:pt>
                <c:pt idx="5">
                  <c:v>12:030</c:v>
                </c:pt>
              </c:strCache>
            </c:strRef>
          </c:cat>
          <c:val>
            <c:numRef>
              <c:f>Лист1!$B$2:$B$7</c:f>
              <c:numCache>
                <c:formatCode>General</c:formatCode>
                <c:ptCount val="6"/>
                <c:pt idx="0">
                  <c:v>4</c:v>
                </c:pt>
                <c:pt idx="1">
                  <c:v>47</c:v>
                </c:pt>
                <c:pt idx="2">
                  <c:v>1408</c:v>
                </c:pt>
                <c:pt idx="3">
                  <c:v>250</c:v>
                </c:pt>
                <c:pt idx="4">
                  <c:v>170</c:v>
                </c:pt>
                <c:pt idx="5">
                  <c:v>489</c:v>
                </c:pt>
              </c:numCache>
            </c:numRef>
          </c:val>
          <c:extLst>
            <c:ext xmlns:c16="http://schemas.microsoft.com/office/drawing/2014/chart" uri="{C3380CC4-5D6E-409C-BE32-E72D297353CC}">
              <c16:uniqueId val="{0000000C-4316-4AD9-AD31-C1C4BC0F0441}"/>
            </c:ext>
          </c:extLst>
        </c:ser>
        <c:dLbls>
          <c:showLegendKey val="0"/>
          <c:showVal val="1"/>
          <c:showCatName val="1"/>
          <c:showSerName val="0"/>
          <c:showPercent val="0"/>
          <c:showBubbleSize val="0"/>
          <c:showLeaderLines val="1"/>
        </c:dLbls>
        <c:firstSliceAng val="330"/>
        <c:holeSize val="8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Количество ЗУ 13 сегмента</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38F-46B7-A93C-949166B815ED}"/>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38F-46B7-A93C-949166B815ED}"/>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A38F-46B7-A93C-949166B815ED}"/>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A38F-46B7-A93C-949166B815ED}"/>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A38F-46B7-A93C-949166B815ED}"/>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A38F-46B7-A93C-949166B815ED}"/>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A38F-46B7-A93C-949166B815ED}"/>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A38F-46B7-A93C-949166B815ED}"/>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A38F-46B7-A93C-949166B815ED}"/>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A38F-46B7-A93C-949166B815ED}"/>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A38F-46B7-A93C-949166B815ED}"/>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A38F-46B7-A93C-949166B815ED}"/>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A38F-46B7-A93C-949166B815ED}"/>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A38F-46B7-A93C-949166B815ED}"/>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A38F-46B7-A93C-949166B815ED}"/>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A38F-46B7-A93C-949166B815ED}"/>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A38F-46B7-A93C-949166B815ED}"/>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A38F-46B7-A93C-949166B815ED}"/>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A38F-46B7-A93C-949166B815ED}"/>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A38F-46B7-A93C-949166B815ED}"/>
              </c:ext>
            </c:extLst>
          </c:dPt>
          <c:dPt>
            <c:idx val="20"/>
            <c:invertIfNegative val="0"/>
            <c:bubble3D val="0"/>
            <c:spPr>
              <a:solidFill>
                <a:schemeClr val="accent3">
                  <a:lumMod val="80000"/>
                </a:schemeClr>
              </a:solidFill>
              <a:ln>
                <a:noFill/>
              </a:ln>
              <a:effectLst/>
            </c:spPr>
            <c:extLst>
              <c:ext xmlns:c16="http://schemas.microsoft.com/office/drawing/2014/chart" uri="{C3380CC4-5D6E-409C-BE32-E72D297353CC}">
                <c16:uniqueId val="{00000029-A38F-46B7-A93C-949166B815ED}"/>
              </c:ext>
            </c:extLst>
          </c:dPt>
          <c:dPt>
            <c:idx val="21"/>
            <c:invertIfNegative val="0"/>
            <c:bubble3D val="0"/>
            <c:spPr>
              <a:solidFill>
                <a:schemeClr val="accent4">
                  <a:lumMod val="80000"/>
                </a:schemeClr>
              </a:solidFill>
              <a:ln>
                <a:noFill/>
              </a:ln>
              <a:effectLst/>
            </c:spPr>
            <c:extLst>
              <c:ext xmlns:c16="http://schemas.microsoft.com/office/drawing/2014/chart" uri="{C3380CC4-5D6E-409C-BE32-E72D297353CC}">
                <c16:uniqueId val="{0000002B-A38F-46B7-A93C-949166B815ED}"/>
              </c:ext>
            </c:extLst>
          </c:dPt>
          <c:dPt>
            <c:idx val="22"/>
            <c:invertIfNegative val="0"/>
            <c:bubble3D val="0"/>
            <c:spPr>
              <a:solidFill>
                <a:schemeClr val="accent5">
                  <a:lumMod val="80000"/>
                </a:schemeClr>
              </a:solidFill>
              <a:ln>
                <a:noFill/>
              </a:ln>
              <a:effectLst/>
            </c:spPr>
            <c:extLst>
              <c:ext xmlns:c16="http://schemas.microsoft.com/office/drawing/2014/chart" uri="{C3380CC4-5D6E-409C-BE32-E72D297353CC}">
                <c16:uniqueId val="{0000002D-A38F-46B7-A93C-949166B815ED}"/>
              </c:ext>
            </c:extLst>
          </c:dPt>
          <c:dPt>
            <c:idx val="23"/>
            <c:invertIfNegative val="0"/>
            <c:bubble3D val="0"/>
            <c:spPr>
              <a:solidFill>
                <a:schemeClr val="accent6">
                  <a:lumMod val="80000"/>
                </a:schemeClr>
              </a:solidFill>
              <a:ln>
                <a:noFill/>
              </a:ln>
              <a:effectLst/>
            </c:spPr>
            <c:extLst>
              <c:ext xmlns:c16="http://schemas.microsoft.com/office/drawing/2014/chart" uri="{C3380CC4-5D6E-409C-BE32-E72D297353CC}">
                <c16:uniqueId val="{0000002F-A38F-46B7-A93C-949166B815ED}"/>
              </c:ext>
            </c:extLst>
          </c:dPt>
          <c:dPt>
            <c:idx val="2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31-A38F-46B7-A93C-949166B815ED}"/>
              </c:ext>
            </c:extLst>
          </c:dPt>
          <c:dPt>
            <c:idx val="2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33-A38F-46B7-A93C-949166B815ED}"/>
              </c:ext>
            </c:extLst>
          </c:dPt>
          <c:dPt>
            <c:idx val="26"/>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35-A38F-46B7-A93C-949166B815ED}"/>
              </c:ext>
            </c:extLst>
          </c:dPt>
          <c:dPt>
            <c:idx val="2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37-A38F-46B7-A93C-949166B815ED}"/>
              </c:ext>
            </c:extLst>
          </c:dPt>
          <c:dPt>
            <c:idx val="2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9-A38F-46B7-A93C-949166B815ED}"/>
              </c:ext>
            </c:extLst>
          </c:dPt>
          <c:dPt>
            <c:idx val="29"/>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3B-A38F-46B7-A93C-949166B815ED}"/>
              </c:ext>
            </c:extLst>
          </c:dPt>
          <c:dPt>
            <c:idx val="30"/>
            <c:invertIfNegative val="0"/>
            <c:bubble3D val="0"/>
            <c:spPr>
              <a:solidFill>
                <a:schemeClr val="accent1">
                  <a:lumMod val="50000"/>
                </a:schemeClr>
              </a:solidFill>
              <a:ln>
                <a:noFill/>
              </a:ln>
              <a:effectLst/>
            </c:spPr>
            <c:extLst>
              <c:ext xmlns:c16="http://schemas.microsoft.com/office/drawing/2014/chart" uri="{C3380CC4-5D6E-409C-BE32-E72D297353CC}">
                <c16:uniqueId val="{0000003D-A38F-46B7-A93C-949166B815ED}"/>
              </c:ext>
            </c:extLst>
          </c:dPt>
          <c:dPt>
            <c:idx val="31"/>
            <c:invertIfNegative val="0"/>
            <c:bubble3D val="0"/>
            <c:spPr>
              <a:solidFill>
                <a:schemeClr val="accent2">
                  <a:lumMod val="50000"/>
                </a:schemeClr>
              </a:solidFill>
              <a:ln>
                <a:noFill/>
              </a:ln>
              <a:effectLst/>
            </c:spPr>
            <c:extLst>
              <c:ext xmlns:c16="http://schemas.microsoft.com/office/drawing/2014/chart" uri="{C3380CC4-5D6E-409C-BE32-E72D297353CC}">
                <c16:uniqueId val="{0000003F-A38F-46B7-A93C-949166B815ED}"/>
              </c:ext>
            </c:extLst>
          </c:dPt>
          <c:dPt>
            <c:idx val="32"/>
            <c:invertIfNegative val="0"/>
            <c:bubble3D val="0"/>
            <c:spPr>
              <a:solidFill>
                <a:schemeClr val="accent3">
                  <a:lumMod val="50000"/>
                </a:schemeClr>
              </a:solidFill>
              <a:ln>
                <a:noFill/>
              </a:ln>
              <a:effectLst/>
            </c:spPr>
            <c:extLst>
              <c:ext xmlns:c16="http://schemas.microsoft.com/office/drawing/2014/chart" uri="{C3380CC4-5D6E-409C-BE32-E72D297353CC}">
                <c16:uniqueId val="{00000041-A38F-46B7-A93C-949166B815ED}"/>
              </c:ext>
            </c:extLst>
          </c:dPt>
          <c:dPt>
            <c:idx val="33"/>
            <c:invertIfNegative val="0"/>
            <c:bubble3D val="0"/>
            <c:spPr>
              <a:solidFill>
                <a:schemeClr val="accent4">
                  <a:lumMod val="50000"/>
                </a:schemeClr>
              </a:solidFill>
              <a:ln>
                <a:noFill/>
              </a:ln>
              <a:effectLst/>
            </c:spPr>
            <c:extLst>
              <c:ext xmlns:c16="http://schemas.microsoft.com/office/drawing/2014/chart" uri="{C3380CC4-5D6E-409C-BE32-E72D297353CC}">
                <c16:uniqueId val="{00000043-A38F-46B7-A93C-949166B815ED}"/>
              </c:ext>
            </c:extLst>
          </c:dPt>
          <c:dLbls>
            <c:dLbl>
              <c:idx val="1"/>
              <c:layout>
                <c:manualLayout>
                  <c:x val="0"/>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8F-46B7-A93C-949166B815ED}"/>
                </c:ext>
              </c:extLst>
            </c:dLbl>
            <c:dLbl>
              <c:idx val="2"/>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8F-46B7-A93C-949166B815ED}"/>
                </c:ext>
              </c:extLst>
            </c:dLbl>
            <c:dLbl>
              <c:idx val="6"/>
              <c:layout>
                <c:manualLayout>
                  <c:x val="0"/>
                  <c:y val="7.256937357591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8F-46B7-A93C-949166B815ED}"/>
                </c:ext>
              </c:extLst>
            </c:dLbl>
            <c:dLbl>
              <c:idx val="7"/>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38F-46B7-A93C-949166B815ED}"/>
                </c:ext>
              </c:extLst>
            </c:dLbl>
            <c:dLbl>
              <c:idx val="10"/>
              <c:layout>
                <c:manualLayout>
                  <c:x val="-3.9194273752108585E-17"/>
                  <c:y val="1.21267242686068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38F-46B7-A93C-949166B815ED}"/>
                </c:ext>
              </c:extLst>
            </c:dLbl>
            <c:dLbl>
              <c:idx val="18"/>
              <c:layout>
                <c:manualLayout>
                  <c:x val="-7.838854750421717E-17"/>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38F-46B7-A93C-949166B815ED}"/>
                </c:ext>
              </c:extLst>
            </c:dLbl>
            <c:dLbl>
              <c:idx val="20"/>
              <c:layout>
                <c:manualLayout>
                  <c:x val="-7.838854750421717E-17"/>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38F-46B7-A93C-949166B815ED}"/>
                </c:ext>
              </c:extLst>
            </c:dLbl>
            <c:dLbl>
              <c:idx val="23"/>
              <c:layout>
                <c:manualLayout>
                  <c:x val="-7.838854750421717E-17"/>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38F-46B7-A93C-949166B815ED}"/>
                </c:ext>
              </c:extLst>
            </c:dLbl>
            <c:dLbl>
              <c:idx val="25"/>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A38F-46B7-A93C-949166B815ED}"/>
                </c:ext>
              </c:extLst>
            </c:dLbl>
            <c:dLbl>
              <c:idx val="28"/>
              <c:layout>
                <c:manualLayout>
                  <c:x val="-1.5677709500843434E-16"/>
                  <c:y val="4.61651024863354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A38F-46B7-A93C-949166B815ED}"/>
                </c:ext>
              </c:extLst>
            </c:dLbl>
            <c:dLbl>
              <c:idx val="29"/>
              <c:layout>
                <c:manualLayout>
                  <c:x val="0"/>
                  <c:y val="-1.7451021678417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A38F-46B7-A93C-949166B815ED}"/>
                </c:ext>
              </c:extLst>
            </c:dLbl>
            <c:dLbl>
              <c:idx val="30"/>
              <c:layout>
                <c:manualLayout>
                  <c:x val="0"/>
                  <c:y val="9.09504320145520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A38F-46B7-A93C-949166B815ED}"/>
                </c:ext>
              </c:extLst>
            </c:dLbl>
            <c:dLbl>
              <c:idx val="32"/>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A38F-46B7-A93C-949166B815ED}"/>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Лист1!$A$2:$A$35</c:f>
              <c:strCache>
                <c:ptCount val="34"/>
                <c:pt idx="0">
                  <c:v>Аннинский</c:v>
                </c:pt>
                <c:pt idx="1">
                  <c:v>Бобровский</c:v>
                </c:pt>
                <c:pt idx="2">
                  <c:v>Богучарский</c:v>
                </c:pt>
                <c:pt idx="3">
                  <c:v>Борисоглебский</c:v>
                </c:pt>
                <c:pt idx="4">
                  <c:v>Бутурлиновский</c:v>
                </c:pt>
                <c:pt idx="5">
                  <c:v>Верхнемамонский</c:v>
                </c:pt>
                <c:pt idx="6">
                  <c:v>Верхнехавский</c:v>
                </c:pt>
                <c:pt idx="7">
                  <c:v>Воробьевский</c:v>
                </c:pt>
                <c:pt idx="8">
                  <c:v>ГО г.Воронеж</c:v>
                </c:pt>
                <c:pt idx="9">
                  <c:v>ГО Нововоронеж</c:v>
                </c:pt>
                <c:pt idx="10">
                  <c:v>Грибановский</c:v>
                </c:pt>
                <c:pt idx="11">
                  <c:v>Калачеевский</c:v>
                </c:pt>
                <c:pt idx="12">
                  <c:v>Каменский</c:v>
                </c:pt>
                <c:pt idx="13">
                  <c:v>Кантемировский</c:v>
                </c:pt>
                <c:pt idx="14">
                  <c:v>Каширский</c:v>
                </c:pt>
                <c:pt idx="15">
                  <c:v>Лискинский</c:v>
                </c:pt>
                <c:pt idx="16">
                  <c:v>Нижнедевицкий</c:v>
                </c:pt>
                <c:pt idx="17">
                  <c:v>Новоусманский</c:v>
                </c:pt>
                <c:pt idx="18">
                  <c:v>Новохоперский</c:v>
                </c:pt>
                <c:pt idx="19">
                  <c:v>Ольховатский</c:v>
                </c:pt>
                <c:pt idx="20">
                  <c:v>Острогожский</c:v>
                </c:pt>
                <c:pt idx="21">
                  <c:v>Павловский</c:v>
                </c:pt>
                <c:pt idx="22">
                  <c:v>Панинский</c:v>
                </c:pt>
                <c:pt idx="23">
                  <c:v>Петропавловский</c:v>
                </c:pt>
                <c:pt idx="24">
                  <c:v>Поворинский</c:v>
                </c:pt>
                <c:pt idx="25">
                  <c:v>Подгоренский</c:v>
                </c:pt>
                <c:pt idx="26">
                  <c:v>Рамонский</c:v>
                </c:pt>
                <c:pt idx="27">
                  <c:v>Репьевский</c:v>
                </c:pt>
                <c:pt idx="28">
                  <c:v>Россошанский</c:v>
                </c:pt>
                <c:pt idx="29">
                  <c:v>Семилукский</c:v>
                </c:pt>
                <c:pt idx="30">
                  <c:v>Таловский</c:v>
                </c:pt>
                <c:pt idx="31">
                  <c:v>Терновский</c:v>
                </c:pt>
                <c:pt idx="32">
                  <c:v>Хохольский</c:v>
                </c:pt>
                <c:pt idx="33">
                  <c:v>Эртильский</c:v>
                </c:pt>
              </c:strCache>
            </c:strRef>
          </c:cat>
          <c:val>
            <c:numRef>
              <c:f>Лист1!$B$2:$B$35</c:f>
              <c:numCache>
                <c:formatCode>General</c:formatCode>
                <c:ptCount val="34"/>
                <c:pt idx="0">
                  <c:v>26516</c:v>
                </c:pt>
                <c:pt idx="1">
                  <c:v>26796</c:v>
                </c:pt>
                <c:pt idx="2">
                  <c:v>14264</c:v>
                </c:pt>
                <c:pt idx="3">
                  <c:v>25673</c:v>
                </c:pt>
                <c:pt idx="4">
                  <c:v>19636</c:v>
                </c:pt>
                <c:pt idx="5">
                  <c:v>17232</c:v>
                </c:pt>
                <c:pt idx="6">
                  <c:v>24449</c:v>
                </c:pt>
                <c:pt idx="7">
                  <c:v>12842</c:v>
                </c:pt>
                <c:pt idx="8">
                  <c:v>90857</c:v>
                </c:pt>
                <c:pt idx="9">
                  <c:v>5218</c:v>
                </c:pt>
                <c:pt idx="10">
                  <c:v>22583</c:v>
                </c:pt>
                <c:pt idx="11">
                  <c:v>31939</c:v>
                </c:pt>
                <c:pt idx="12">
                  <c:v>8986</c:v>
                </c:pt>
                <c:pt idx="13">
                  <c:v>17857</c:v>
                </c:pt>
                <c:pt idx="14">
                  <c:v>34221</c:v>
                </c:pt>
                <c:pt idx="15">
                  <c:v>41796</c:v>
                </c:pt>
                <c:pt idx="16">
                  <c:v>16736</c:v>
                </c:pt>
                <c:pt idx="17">
                  <c:v>78948</c:v>
                </c:pt>
                <c:pt idx="18">
                  <c:v>22473</c:v>
                </c:pt>
                <c:pt idx="19">
                  <c:v>10226</c:v>
                </c:pt>
                <c:pt idx="20">
                  <c:v>27041</c:v>
                </c:pt>
                <c:pt idx="21">
                  <c:v>25281</c:v>
                </c:pt>
                <c:pt idx="22">
                  <c:v>17389</c:v>
                </c:pt>
                <c:pt idx="23">
                  <c:v>12359</c:v>
                </c:pt>
                <c:pt idx="24">
                  <c:v>15196</c:v>
                </c:pt>
                <c:pt idx="25">
                  <c:v>13892</c:v>
                </c:pt>
                <c:pt idx="26">
                  <c:v>84094</c:v>
                </c:pt>
                <c:pt idx="27">
                  <c:v>13116</c:v>
                </c:pt>
                <c:pt idx="28">
                  <c:v>34973</c:v>
                </c:pt>
                <c:pt idx="29">
                  <c:v>75822</c:v>
                </c:pt>
                <c:pt idx="30">
                  <c:v>21061</c:v>
                </c:pt>
                <c:pt idx="31">
                  <c:v>16051</c:v>
                </c:pt>
                <c:pt idx="32">
                  <c:v>36896</c:v>
                </c:pt>
                <c:pt idx="33">
                  <c:v>13202</c:v>
                </c:pt>
              </c:numCache>
            </c:numRef>
          </c:val>
          <c:extLst>
            <c:ext xmlns:c16="http://schemas.microsoft.com/office/drawing/2014/chart" uri="{C3380CC4-5D6E-409C-BE32-E72D297353CC}">
              <c16:uniqueId val="{00000044-A38F-46B7-A93C-949166B815ED}"/>
            </c:ext>
          </c:extLst>
        </c:ser>
        <c:dLbls>
          <c:dLblPos val="outEnd"/>
          <c:showLegendKey val="0"/>
          <c:showVal val="1"/>
          <c:showCatName val="0"/>
          <c:showSerName val="0"/>
          <c:showPercent val="0"/>
          <c:showBubbleSize val="0"/>
        </c:dLbls>
        <c:gapWidth val="150"/>
        <c:axId val="1565260128"/>
        <c:axId val="1565253056"/>
      </c:barChart>
      <c:catAx>
        <c:axId val="15652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53056"/>
        <c:crosses val="autoZero"/>
        <c:auto val="1"/>
        <c:lblAlgn val="ctr"/>
        <c:lblOffset val="100"/>
        <c:noMultiLvlLbl val="0"/>
      </c:catAx>
      <c:valAx>
        <c:axId val="15652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60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Распределение ЗУ 13 сегмента по кодам ВРИ</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Лист1!$B$1</c:f>
              <c:strCache>
                <c:ptCount val="1"/>
                <c:pt idx="0">
                  <c:v>Количество ЗУ</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6806-4B33-AA1C-09285D794465}"/>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6806-4B33-AA1C-09285D794465}"/>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6806-4B33-AA1C-09285D794465}"/>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6806-4B33-AA1C-09285D794465}"/>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6806-4B33-AA1C-09285D794465}"/>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6806-4B33-AA1C-09285D794465}"/>
              </c:ext>
            </c:extLst>
          </c:dPt>
          <c:dPt>
            <c:idx val="6"/>
            <c:invertIfNegative val="0"/>
            <c:bubble3D val="0"/>
            <c:spPr>
              <a:solidFill>
                <a:schemeClr val="accent1">
                  <a:lumMod val="60000"/>
                </a:schemeClr>
              </a:solidFill>
              <a:ln>
                <a:noFill/>
              </a:ln>
              <a:effectLst/>
              <a:sp3d/>
            </c:spPr>
            <c:extLst>
              <c:ext xmlns:c16="http://schemas.microsoft.com/office/drawing/2014/chart" uri="{C3380CC4-5D6E-409C-BE32-E72D297353CC}">
                <c16:uniqueId val="{0000000D-6806-4B33-AA1C-09285D794465}"/>
              </c:ext>
            </c:extLst>
          </c:dPt>
          <c:dPt>
            <c:idx val="7"/>
            <c:invertIfNegative val="0"/>
            <c:bubble3D val="0"/>
            <c:spPr>
              <a:solidFill>
                <a:schemeClr val="accent2">
                  <a:lumMod val="60000"/>
                </a:schemeClr>
              </a:solidFill>
              <a:ln>
                <a:noFill/>
              </a:ln>
              <a:effectLst/>
              <a:sp3d/>
            </c:spPr>
            <c:extLst>
              <c:ext xmlns:c16="http://schemas.microsoft.com/office/drawing/2014/chart" uri="{C3380CC4-5D6E-409C-BE32-E72D297353CC}">
                <c16:uniqueId val="{0000000F-6806-4B33-AA1C-09285D794465}"/>
              </c:ext>
            </c:extLst>
          </c:dPt>
          <c:dPt>
            <c:idx val="8"/>
            <c:invertIfNegative val="0"/>
            <c:bubble3D val="0"/>
            <c:spPr>
              <a:solidFill>
                <a:schemeClr val="accent3">
                  <a:lumMod val="60000"/>
                </a:schemeClr>
              </a:solidFill>
              <a:ln>
                <a:noFill/>
              </a:ln>
              <a:effectLst/>
              <a:sp3d/>
            </c:spPr>
            <c:extLst>
              <c:ext xmlns:c16="http://schemas.microsoft.com/office/drawing/2014/chart" uri="{C3380CC4-5D6E-409C-BE32-E72D297353CC}">
                <c16:uniqueId val="{00000011-6806-4B33-AA1C-09285D79446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02:010</c:v>
                </c:pt>
                <c:pt idx="1">
                  <c:v>02:011</c:v>
                </c:pt>
                <c:pt idx="2">
                  <c:v>02:013</c:v>
                </c:pt>
                <c:pt idx="3">
                  <c:v>02:014</c:v>
                </c:pt>
                <c:pt idx="4">
                  <c:v>02:020</c:v>
                </c:pt>
                <c:pt idx="5">
                  <c:v>02:021</c:v>
                </c:pt>
                <c:pt idx="6">
                  <c:v>02:030</c:v>
                </c:pt>
                <c:pt idx="7">
                  <c:v>13:011</c:v>
                </c:pt>
                <c:pt idx="8">
                  <c:v>13:021</c:v>
                </c:pt>
              </c:strCache>
            </c:strRef>
          </c:cat>
          <c:val>
            <c:numRef>
              <c:f>Лист1!$B$2:$B$10</c:f>
              <c:numCache>
                <c:formatCode>General</c:formatCode>
                <c:ptCount val="9"/>
                <c:pt idx="0">
                  <c:v>226491</c:v>
                </c:pt>
                <c:pt idx="1">
                  <c:v>105</c:v>
                </c:pt>
                <c:pt idx="2">
                  <c:v>6720</c:v>
                </c:pt>
                <c:pt idx="3">
                  <c:v>23</c:v>
                </c:pt>
                <c:pt idx="4">
                  <c:v>517594</c:v>
                </c:pt>
                <c:pt idx="5">
                  <c:v>3204</c:v>
                </c:pt>
                <c:pt idx="6">
                  <c:v>2134</c:v>
                </c:pt>
                <c:pt idx="7">
                  <c:v>10441</c:v>
                </c:pt>
                <c:pt idx="8">
                  <c:v>188909</c:v>
                </c:pt>
              </c:numCache>
            </c:numRef>
          </c:val>
          <c:extLst>
            <c:ext xmlns:c16="http://schemas.microsoft.com/office/drawing/2014/chart" uri="{C3380CC4-5D6E-409C-BE32-E72D297353CC}">
              <c16:uniqueId val="{00000012-6806-4B33-AA1C-09285D794465}"/>
            </c:ext>
          </c:extLst>
        </c:ser>
        <c:dLbls>
          <c:showLegendKey val="0"/>
          <c:showVal val="1"/>
          <c:showCatName val="0"/>
          <c:showSerName val="0"/>
          <c:showPercent val="0"/>
          <c:showBubbleSize val="0"/>
        </c:dLbls>
        <c:gapWidth val="219"/>
        <c:shape val="box"/>
        <c:axId val="1555070320"/>
        <c:axId val="1555071152"/>
        <c:axId val="0"/>
      </c:bar3DChart>
      <c:catAx>
        <c:axId val="155507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5071152"/>
        <c:crosses val="autoZero"/>
        <c:auto val="1"/>
        <c:lblAlgn val="ctr"/>
        <c:lblOffset val="100"/>
        <c:noMultiLvlLbl val="0"/>
      </c:catAx>
      <c:valAx>
        <c:axId val="155507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5070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400"/>
              <a:t>Количество ЗУ 1 сегмента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3C18-46B1-840C-CCAE5BAB6606}"/>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3C18-46B1-840C-CCAE5BAB6606}"/>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3C18-46B1-840C-CCAE5BAB6606}"/>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3C18-46B1-840C-CCAE5BAB6606}"/>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3C18-46B1-840C-CCAE5BAB6606}"/>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3C18-46B1-840C-CCAE5BAB6606}"/>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3C18-46B1-840C-CCAE5BAB6606}"/>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3C18-46B1-840C-CCAE5BAB6606}"/>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3C18-46B1-840C-CCAE5BAB6606}"/>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3C18-46B1-840C-CCAE5BAB6606}"/>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3C18-46B1-840C-CCAE5BAB6606}"/>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3C18-46B1-840C-CCAE5BAB6606}"/>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3C18-46B1-840C-CCAE5BAB6606}"/>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3C18-46B1-840C-CCAE5BAB6606}"/>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3C18-46B1-840C-CCAE5BAB6606}"/>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3C18-46B1-840C-CCAE5BAB6606}"/>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3C18-46B1-840C-CCAE5BAB6606}"/>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3C18-46B1-840C-CCAE5BAB6606}"/>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3C18-46B1-840C-CCAE5BAB6606}"/>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3C18-46B1-840C-CCAE5BAB6606}"/>
              </c:ext>
            </c:extLst>
          </c:dPt>
          <c:dPt>
            <c:idx val="20"/>
            <c:invertIfNegative val="0"/>
            <c:bubble3D val="0"/>
            <c:spPr>
              <a:solidFill>
                <a:schemeClr val="accent3">
                  <a:lumMod val="80000"/>
                </a:schemeClr>
              </a:solidFill>
              <a:ln>
                <a:noFill/>
              </a:ln>
              <a:effectLst/>
            </c:spPr>
            <c:extLst>
              <c:ext xmlns:c16="http://schemas.microsoft.com/office/drawing/2014/chart" uri="{C3380CC4-5D6E-409C-BE32-E72D297353CC}">
                <c16:uniqueId val="{00000029-3C18-46B1-840C-CCAE5BAB6606}"/>
              </c:ext>
            </c:extLst>
          </c:dPt>
          <c:dPt>
            <c:idx val="21"/>
            <c:invertIfNegative val="0"/>
            <c:bubble3D val="0"/>
            <c:spPr>
              <a:solidFill>
                <a:schemeClr val="accent4">
                  <a:lumMod val="80000"/>
                </a:schemeClr>
              </a:solidFill>
              <a:ln>
                <a:noFill/>
              </a:ln>
              <a:effectLst/>
            </c:spPr>
            <c:extLst>
              <c:ext xmlns:c16="http://schemas.microsoft.com/office/drawing/2014/chart" uri="{C3380CC4-5D6E-409C-BE32-E72D297353CC}">
                <c16:uniqueId val="{0000002B-3C18-46B1-840C-CCAE5BAB6606}"/>
              </c:ext>
            </c:extLst>
          </c:dPt>
          <c:dPt>
            <c:idx val="22"/>
            <c:invertIfNegative val="0"/>
            <c:bubble3D val="0"/>
            <c:spPr>
              <a:solidFill>
                <a:schemeClr val="accent5">
                  <a:lumMod val="80000"/>
                </a:schemeClr>
              </a:solidFill>
              <a:ln>
                <a:noFill/>
              </a:ln>
              <a:effectLst/>
            </c:spPr>
            <c:extLst>
              <c:ext xmlns:c16="http://schemas.microsoft.com/office/drawing/2014/chart" uri="{C3380CC4-5D6E-409C-BE32-E72D297353CC}">
                <c16:uniqueId val="{0000002D-3C18-46B1-840C-CCAE5BAB6606}"/>
              </c:ext>
            </c:extLst>
          </c:dPt>
          <c:dPt>
            <c:idx val="23"/>
            <c:invertIfNegative val="0"/>
            <c:bubble3D val="0"/>
            <c:spPr>
              <a:solidFill>
                <a:schemeClr val="accent6">
                  <a:lumMod val="80000"/>
                </a:schemeClr>
              </a:solidFill>
              <a:ln>
                <a:noFill/>
              </a:ln>
              <a:effectLst/>
            </c:spPr>
            <c:extLst>
              <c:ext xmlns:c16="http://schemas.microsoft.com/office/drawing/2014/chart" uri="{C3380CC4-5D6E-409C-BE32-E72D297353CC}">
                <c16:uniqueId val="{0000002F-3C18-46B1-840C-CCAE5BAB6606}"/>
              </c:ext>
            </c:extLst>
          </c:dPt>
          <c:dPt>
            <c:idx val="2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31-3C18-46B1-840C-CCAE5BAB6606}"/>
              </c:ext>
            </c:extLst>
          </c:dPt>
          <c:dPt>
            <c:idx val="2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33-3C18-46B1-840C-CCAE5BAB6606}"/>
              </c:ext>
            </c:extLst>
          </c:dPt>
          <c:dPt>
            <c:idx val="26"/>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35-3C18-46B1-840C-CCAE5BAB6606}"/>
              </c:ext>
            </c:extLst>
          </c:dPt>
          <c:dPt>
            <c:idx val="2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37-3C18-46B1-840C-CCAE5BAB6606}"/>
              </c:ext>
            </c:extLst>
          </c:dPt>
          <c:dPt>
            <c:idx val="2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9-3C18-46B1-840C-CCAE5BAB6606}"/>
              </c:ext>
            </c:extLst>
          </c:dPt>
          <c:dPt>
            <c:idx val="29"/>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3B-3C18-46B1-840C-CCAE5BAB6606}"/>
              </c:ext>
            </c:extLst>
          </c:dPt>
          <c:dPt>
            <c:idx val="30"/>
            <c:invertIfNegative val="0"/>
            <c:bubble3D val="0"/>
            <c:spPr>
              <a:solidFill>
                <a:schemeClr val="accent1">
                  <a:lumMod val="50000"/>
                </a:schemeClr>
              </a:solidFill>
              <a:ln>
                <a:noFill/>
              </a:ln>
              <a:effectLst/>
            </c:spPr>
            <c:extLst>
              <c:ext xmlns:c16="http://schemas.microsoft.com/office/drawing/2014/chart" uri="{C3380CC4-5D6E-409C-BE32-E72D297353CC}">
                <c16:uniqueId val="{0000003D-3C18-46B1-840C-CCAE5BAB6606}"/>
              </c:ext>
            </c:extLst>
          </c:dPt>
          <c:dPt>
            <c:idx val="31"/>
            <c:invertIfNegative val="0"/>
            <c:bubble3D val="0"/>
            <c:spPr>
              <a:solidFill>
                <a:schemeClr val="accent2">
                  <a:lumMod val="50000"/>
                </a:schemeClr>
              </a:solidFill>
              <a:ln>
                <a:noFill/>
              </a:ln>
              <a:effectLst/>
            </c:spPr>
            <c:extLst>
              <c:ext xmlns:c16="http://schemas.microsoft.com/office/drawing/2014/chart" uri="{C3380CC4-5D6E-409C-BE32-E72D297353CC}">
                <c16:uniqueId val="{0000003F-3C18-46B1-840C-CCAE5BAB6606}"/>
              </c:ext>
            </c:extLst>
          </c:dPt>
          <c:dPt>
            <c:idx val="32"/>
            <c:invertIfNegative val="0"/>
            <c:bubble3D val="0"/>
            <c:spPr>
              <a:solidFill>
                <a:schemeClr val="accent3">
                  <a:lumMod val="50000"/>
                </a:schemeClr>
              </a:solidFill>
              <a:ln>
                <a:noFill/>
              </a:ln>
              <a:effectLst/>
            </c:spPr>
            <c:extLst>
              <c:ext xmlns:c16="http://schemas.microsoft.com/office/drawing/2014/chart" uri="{C3380CC4-5D6E-409C-BE32-E72D297353CC}">
                <c16:uniqueId val="{00000041-3C18-46B1-840C-CCAE5BAB6606}"/>
              </c:ext>
            </c:extLst>
          </c:dPt>
          <c:dPt>
            <c:idx val="33"/>
            <c:invertIfNegative val="0"/>
            <c:bubble3D val="0"/>
            <c:spPr>
              <a:solidFill>
                <a:schemeClr val="accent4">
                  <a:lumMod val="50000"/>
                </a:schemeClr>
              </a:solidFill>
              <a:ln>
                <a:noFill/>
              </a:ln>
              <a:effectLst/>
            </c:spPr>
            <c:extLst>
              <c:ext xmlns:c16="http://schemas.microsoft.com/office/drawing/2014/chart" uri="{C3380CC4-5D6E-409C-BE32-E72D297353CC}">
                <c16:uniqueId val="{00000043-3C18-46B1-840C-CCAE5BAB6606}"/>
              </c:ext>
            </c:extLst>
          </c:dPt>
          <c:dLbls>
            <c:dLbl>
              <c:idx val="6"/>
              <c:layout>
                <c:manualLayout>
                  <c:x val="-3.7205726123894043E-17"/>
                  <c:y val="-2.23152022315202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C18-46B1-840C-CCAE5BAB6606}"/>
                </c:ext>
              </c:extLst>
            </c:dLbl>
            <c:dLbl>
              <c:idx val="28"/>
              <c:layout>
                <c:manualLayout>
                  <c:x val="0"/>
                  <c:y val="-2.78940027894003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3C18-46B1-840C-CCAE5BAB6606}"/>
                </c:ext>
              </c:extLst>
            </c:dLbl>
            <c:dLbl>
              <c:idx val="29"/>
              <c:layout>
                <c:manualLayout>
                  <c:x val="-1.4882290449557617E-16"/>
                  <c:y val="-2.23152022315202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3C18-46B1-840C-CCAE5BAB660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Лист1!$A$2:$A$35</c:f>
              <c:strCache>
                <c:ptCount val="34"/>
                <c:pt idx="0">
                  <c:v>Аннинский</c:v>
                </c:pt>
                <c:pt idx="1">
                  <c:v>Бобровский</c:v>
                </c:pt>
                <c:pt idx="2">
                  <c:v>Богучарский</c:v>
                </c:pt>
                <c:pt idx="3">
                  <c:v>Борисоглебский</c:v>
                </c:pt>
                <c:pt idx="4">
                  <c:v>Бутурлиновский</c:v>
                </c:pt>
                <c:pt idx="5">
                  <c:v>Верхнемамонский</c:v>
                </c:pt>
                <c:pt idx="6">
                  <c:v>Верхнехавский</c:v>
                </c:pt>
                <c:pt idx="7">
                  <c:v>Воробьевский</c:v>
                </c:pt>
                <c:pt idx="8">
                  <c:v>ГО г.Воронеж</c:v>
                </c:pt>
                <c:pt idx="9">
                  <c:v>ГО Нововоронеж</c:v>
                </c:pt>
                <c:pt idx="10">
                  <c:v>Грибановский</c:v>
                </c:pt>
                <c:pt idx="11">
                  <c:v>Калачеевский</c:v>
                </c:pt>
                <c:pt idx="12">
                  <c:v>Каменский</c:v>
                </c:pt>
                <c:pt idx="13">
                  <c:v>Кантемировский</c:v>
                </c:pt>
                <c:pt idx="14">
                  <c:v>Каширский</c:v>
                </c:pt>
                <c:pt idx="15">
                  <c:v>Лискинский</c:v>
                </c:pt>
                <c:pt idx="16">
                  <c:v>Нижнедевицкий</c:v>
                </c:pt>
                <c:pt idx="17">
                  <c:v>Новоусманский</c:v>
                </c:pt>
                <c:pt idx="18">
                  <c:v>Новохоперский</c:v>
                </c:pt>
                <c:pt idx="19">
                  <c:v>Ольховатский</c:v>
                </c:pt>
                <c:pt idx="20">
                  <c:v>Острогожский</c:v>
                </c:pt>
                <c:pt idx="21">
                  <c:v>Павловский</c:v>
                </c:pt>
                <c:pt idx="22">
                  <c:v>Панинский</c:v>
                </c:pt>
                <c:pt idx="23">
                  <c:v>Петропавловский</c:v>
                </c:pt>
                <c:pt idx="24">
                  <c:v>Поворинский</c:v>
                </c:pt>
                <c:pt idx="25">
                  <c:v>Подгоренский</c:v>
                </c:pt>
                <c:pt idx="26">
                  <c:v>Рамонский</c:v>
                </c:pt>
                <c:pt idx="27">
                  <c:v>Репьевский</c:v>
                </c:pt>
                <c:pt idx="28">
                  <c:v>Россошанский</c:v>
                </c:pt>
                <c:pt idx="29">
                  <c:v>Семилукский</c:v>
                </c:pt>
                <c:pt idx="30">
                  <c:v>Таловский</c:v>
                </c:pt>
                <c:pt idx="31">
                  <c:v>Терновский</c:v>
                </c:pt>
                <c:pt idx="32">
                  <c:v>Хохольский</c:v>
                </c:pt>
                <c:pt idx="33">
                  <c:v>Эртильский</c:v>
                </c:pt>
              </c:strCache>
            </c:strRef>
          </c:cat>
          <c:val>
            <c:numRef>
              <c:f>Лист1!$B$2:$B$35</c:f>
              <c:numCache>
                <c:formatCode>General</c:formatCode>
                <c:ptCount val="34"/>
                <c:pt idx="0">
                  <c:v>2903</c:v>
                </c:pt>
                <c:pt idx="1">
                  <c:v>1608</c:v>
                </c:pt>
                <c:pt idx="2">
                  <c:v>4046</c:v>
                </c:pt>
                <c:pt idx="3">
                  <c:v>1133</c:v>
                </c:pt>
                <c:pt idx="4">
                  <c:v>2649</c:v>
                </c:pt>
                <c:pt idx="5">
                  <c:v>1542</c:v>
                </c:pt>
                <c:pt idx="6">
                  <c:v>1845</c:v>
                </c:pt>
                <c:pt idx="7">
                  <c:v>1559</c:v>
                </c:pt>
                <c:pt idx="8">
                  <c:v>663</c:v>
                </c:pt>
                <c:pt idx="9">
                  <c:v>8</c:v>
                </c:pt>
                <c:pt idx="10">
                  <c:v>4011</c:v>
                </c:pt>
                <c:pt idx="11">
                  <c:v>11853</c:v>
                </c:pt>
                <c:pt idx="12">
                  <c:v>6625</c:v>
                </c:pt>
                <c:pt idx="13">
                  <c:v>2381</c:v>
                </c:pt>
                <c:pt idx="14">
                  <c:v>3126</c:v>
                </c:pt>
                <c:pt idx="15">
                  <c:v>2141</c:v>
                </c:pt>
                <c:pt idx="16">
                  <c:v>1740</c:v>
                </c:pt>
                <c:pt idx="17">
                  <c:v>2104</c:v>
                </c:pt>
                <c:pt idx="18">
                  <c:v>5322</c:v>
                </c:pt>
                <c:pt idx="19">
                  <c:v>1517</c:v>
                </c:pt>
                <c:pt idx="20">
                  <c:v>2388</c:v>
                </c:pt>
                <c:pt idx="21">
                  <c:v>4817</c:v>
                </c:pt>
                <c:pt idx="22">
                  <c:v>2301</c:v>
                </c:pt>
                <c:pt idx="23">
                  <c:v>3110</c:v>
                </c:pt>
                <c:pt idx="24">
                  <c:v>1216</c:v>
                </c:pt>
                <c:pt idx="25">
                  <c:v>2376</c:v>
                </c:pt>
                <c:pt idx="26">
                  <c:v>8721</c:v>
                </c:pt>
                <c:pt idx="27">
                  <c:v>2977</c:v>
                </c:pt>
                <c:pt idx="28">
                  <c:v>3160</c:v>
                </c:pt>
                <c:pt idx="29">
                  <c:v>9651</c:v>
                </c:pt>
                <c:pt idx="30">
                  <c:v>9328</c:v>
                </c:pt>
                <c:pt idx="31">
                  <c:v>1978</c:v>
                </c:pt>
                <c:pt idx="32">
                  <c:v>2410</c:v>
                </c:pt>
                <c:pt idx="33">
                  <c:v>3243</c:v>
                </c:pt>
              </c:numCache>
            </c:numRef>
          </c:val>
          <c:extLst>
            <c:ext xmlns:c16="http://schemas.microsoft.com/office/drawing/2014/chart" uri="{C3380CC4-5D6E-409C-BE32-E72D297353CC}">
              <c16:uniqueId val="{00000044-3C18-46B1-840C-CCAE5BAB6606}"/>
            </c:ext>
          </c:extLst>
        </c:ser>
        <c:dLbls>
          <c:dLblPos val="outEnd"/>
          <c:showLegendKey val="0"/>
          <c:showVal val="1"/>
          <c:showCatName val="0"/>
          <c:showSerName val="0"/>
          <c:showPercent val="0"/>
          <c:showBubbleSize val="0"/>
        </c:dLbls>
        <c:gapWidth val="150"/>
        <c:axId val="1565260128"/>
        <c:axId val="1565253056"/>
      </c:barChart>
      <c:catAx>
        <c:axId val="15652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53056"/>
        <c:crosses val="autoZero"/>
        <c:auto val="1"/>
        <c:lblAlgn val="ctr"/>
        <c:lblOffset val="100"/>
        <c:noMultiLvlLbl val="0"/>
      </c:catAx>
      <c:valAx>
        <c:axId val="15652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60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Распределение ЗУ 1 сегмента по кодам ВРИ</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Лист1!$B$1</c:f>
              <c:strCache>
                <c:ptCount val="1"/>
                <c:pt idx="0">
                  <c:v>Количество ЗУ</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2019-4F84-85B3-60EDF436D167}"/>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2019-4F84-85B3-60EDF436D167}"/>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2019-4F84-85B3-60EDF436D167}"/>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2019-4F84-85B3-60EDF436D167}"/>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2019-4F84-85B3-60EDF436D167}"/>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2019-4F84-85B3-60EDF436D167}"/>
              </c:ext>
            </c:extLst>
          </c:dPt>
          <c:dPt>
            <c:idx val="6"/>
            <c:invertIfNegative val="0"/>
            <c:bubble3D val="0"/>
            <c:spPr>
              <a:solidFill>
                <a:schemeClr val="accent1">
                  <a:lumMod val="60000"/>
                </a:schemeClr>
              </a:solidFill>
              <a:ln>
                <a:noFill/>
              </a:ln>
              <a:effectLst/>
              <a:sp3d/>
            </c:spPr>
            <c:extLst>
              <c:ext xmlns:c16="http://schemas.microsoft.com/office/drawing/2014/chart" uri="{C3380CC4-5D6E-409C-BE32-E72D297353CC}">
                <c16:uniqueId val="{0000000D-2019-4F84-85B3-60EDF436D167}"/>
              </c:ext>
            </c:extLst>
          </c:dPt>
          <c:dPt>
            <c:idx val="7"/>
            <c:invertIfNegative val="0"/>
            <c:bubble3D val="0"/>
            <c:spPr>
              <a:solidFill>
                <a:schemeClr val="accent2">
                  <a:lumMod val="60000"/>
                </a:schemeClr>
              </a:solidFill>
              <a:ln>
                <a:noFill/>
              </a:ln>
              <a:effectLst/>
              <a:sp3d/>
            </c:spPr>
            <c:extLst>
              <c:ext xmlns:c16="http://schemas.microsoft.com/office/drawing/2014/chart" uri="{C3380CC4-5D6E-409C-BE32-E72D297353CC}">
                <c16:uniqueId val="{0000000F-2019-4F84-85B3-60EDF436D167}"/>
              </c:ext>
            </c:extLst>
          </c:dPt>
          <c:dPt>
            <c:idx val="8"/>
            <c:invertIfNegative val="0"/>
            <c:bubble3D val="0"/>
            <c:spPr>
              <a:solidFill>
                <a:schemeClr val="accent3">
                  <a:lumMod val="60000"/>
                </a:schemeClr>
              </a:solidFill>
              <a:ln>
                <a:noFill/>
              </a:ln>
              <a:effectLst/>
              <a:sp3d/>
            </c:spPr>
            <c:extLst>
              <c:ext xmlns:c16="http://schemas.microsoft.com/office/drawing/2014/chart" uri="{C3380CC4-5D6E-409C-BE32-E72D297353CC}">
                <c16:uniqueId val="{00000011-2019-4F84-85B3-60EDF436D167}"/>
              </c:ext>
            </c:extLst>
          </c:dPt>
          <c:dPt>
            <c:idx val="9"/>
            <c:invertIfNegative val="0"/>
            <c:bubble3D val="0"/>
            <c:spPr>
              <a:solidFill>
                <a:schemeClr val="accent4">
                  <a:lumMod val="60000"/>
                </a:schemeClr>
              </a:solidFill>
              <a:ln>
                <a:noFill/>
              </a:ln>
              <a:effectLst/>
              <a:sp3d/>
            </c:spPr>
            <c:extLst>
              <c:ext xmlns:c16="http://schemas.microsoft.com/office/drawing/2014/chart" uri="{C3380CC4-5D6E-409C-BE32-E72D297353CC}">
                <c16:uniqueId val="{00000013-2019-4F84-85B3-60EDF436D167}"/>
              </c:ext>
            </c:extLst>
          </c:dPt>
          <c:dPt>
            <c:idx val="10"/>
            <c:invertIfNegative val="0"/>
            <c:bubble3D val="0"/>
            <c:spPr>
              <a:solidFill>
                <a:schemeClr val="accent5">
                  <a:lumMod val="60000"/>
                </a:schemeClr>
              </a:solidFill>
              <a:ln>
                <a:noFill/>
              </a:ln>
              <a:effectLst/>
              <a:sp3d/>
            </c:spPr>
            <c:extLst>
              <c:ext xmlns:c16="http://schemas.microsoft.com/office/drawing/2014/chart" uri="{C3380CC4-5D6E-409C-BE32-E72D297353CC}">
                <c16:uniqueId val="{00000015-2019-4F84-85B3-60EDF436D167}"/>
              </c:ext>
            </c:extLst>
          </c:dPt>
          <c:dPt>
            <c:idx val="11"/>
            <c:invertIfNegative val="0"/>
            <c:bubble3D val="0"/>
            <c:spPr>
              <a:solidFill>
                <a:schemeClr val="accent6">
                  <a:lumMod val="60000"/>
                </a:schemeClr>
              </a:solidFill>
              <a:ln>
                <a:noFill/>
              </a:ln>
              <a:effectLst/>
              <a:sp3d/>
            </c:spPr>
            <c:extLst>
              <c:ext xmlns:c16="http://schemas.microsoft.com/office/drawing/2014/chart" uri="{C3380CC4-5D6E-409C-BE32-E72D297353CC}">
                <c16:uniqueId val="{00000017-2019-4F84-85B3-60EDF436D167}"/>
              </c:ext>
            </c:extLst>
          </c:dPt>
          <c:dPt>
            <c:idx val="12"/>
            <c:invertIfNegative val="0"/>
            <c:bubble3D val="0"/>
            <c:spPr>
              <a:solidFill>
                <a:schemeClr val="accent1">
                  <a:lumMod val="80000"/>
                  <a:lumOff val="20000"/>
                </a:schemeClr>
              </a:solidFill>
              <a:ln>
                <a:noFill/>
              </a:ln>
              <a:effectLst/>
              <a:sp3d/>
            </c:spPr>
            <c:extLst>
              <c:ext xmlns:c16="http://schemas.microsoft.com/office/drawing/2014/chart" uri="{C3380CC4-5D6E-409C-BE32-E72D297353CC}">
                <c16:uniqueId val="{00000019-2019-4F84-85B3-60EDF436D167}"/>
              </c:ext>
            </c:extLst>
          </c:dPt>
          <c:dPt>
            <c:idx val="13"/>
            <c:invertIfNegative val="0"/>
            <c:bubble3D val="0"/>
            <c:spPr>
              <a:solidFill>
                <a:schemeClr val="accent2">
                  <a:lumMod val="80000"/>
                  <a:lumOff val="20000"/>
                </a:schemeClr>
              </a:solidFill>
              <a:ln>
                <a:noFill/>
              </a:ln>
              <a:effectLst/>
              <a:sp3d/>
            </c:spPr>
            <c:extLst>
              <c:ext xmlns:c16="http://schemas.microsoft.com/office/drawing/2014/chart" uri="{C3380CC4-5D6E-409C-BE32-E72D297353CC}">
                <c16:uniqueId val="{0000001B-2019-4F84-85B3-60EDF436D167}"/>
              </c:ext>
            </c:extLst>
          </c:dPt>
          <c:dPt>
            <c:idx val="14"/>
            <c:invertIfNegative val="0"/>
            <c:bubble3D val="0"/>
            <c:spPr>
              <a:solidFill>
                <a:schemeClr val="accent3">
                  <a:lumMod val="80000"/>
                  <a:lumOff val="20000"/>
                </a:schemeClr>
              </a:solidFill>
              <a:ln>
                <a:noFill/>
              </a:ln>
              <a:effectLst/>
              <a:sp3d/>
            </c:spPr>
            <c:extLst>
              <c:ext xmlns:c16="http://schemas.microsoft.com/office/drawing/2014/chart" uri="{C3380CC4-5D6E-409C-BE32-E72D297353CC}">
                <c16:uniqueId val="{0000001D-2019-4F84-85B3-60EDF436D167}"/>
              </c:ext>
            </c:extLst>
          </c:dPt>
          <c:dPt>
            <c:idx val="15"/>
            <c:invertIfNegative val="0"/>
            <c:bubble3D val="0"/>
            <c:spPr>
              <a:solidFill>
                <a:schemeClr val="accent4">
                  <a:lumMod val="80000"/>
                  <a:lumOff val="20000"/>
                </a:schemeClr>
              </a:solidFill>
              <a:ln>
                <a:noFill/>
              </a:ln>
              <a:effectLst/>
              <a:sp3d/>
            </c:spPr>
            <c:extLst>
              <c:ext xmlns:c16="http://schemas.microsoft.com/office/drawing/2014/chart" uri="{C3380CC4-5D6E-409C-BE32-E72D297353CC}">
                <c16:uniqueId val="{0000001F-2019-4F84-85B3-60EDF436D167}"/>
              </c:ext>
            </c:extLst>
          </c:dPt>
          <c:dPt>
            <c:idx val="16"/>
            <c:invertIfNegative val="0"/>
            <c:bubble3D val="0"/>
            <c:spPr>
              <a:solidFill>
                <a:schemeClr val="accent5">
                  <a:lumMod val="80000"/>
                  <a:lumOff val="20000"/>
                </a:schemeClr>
              </a:solidFill>
              <a:ln>
                <a:noFill/>
              </a:ln>
              <a:effectLst/>
              <a:sp3d/>
            </c:spPr>
            <c:extLst>
              <c:ext xmlns:c16="http://schemas.microsoft.com/office/drawing/2014/chart" uri="{C3380CC4-5D6E-409C-BE32-E72D297353CC}">
                <c16:uniqueId val="{00000021-2019-4F84-85B3-60EDF436D167}"/>
              </c:ext>
            </c:extLst>
          </c:dPt>
          <c:dPt>
            <c:idx val="17"/>
            <c:invertIfNegative val="0"/>
            <c:bubble3D val="0"/>
            <c:spPr>
              <a:solidFill>
                <a:schemeClr val="accent6">
                  <a:lumMod val="80000"/>
                  <a:lumOff val="20000"/>
                </a:schemeClr>
              </a:solidFill>
              <a:ln>
                <a:noFill/>
              </a:ln>
              <a:effectLst/>
              <a:sp3d/>
            </c:spPr>
            <c:extLst>
              <c:ext xmlns:c16="http://schemas.microsoft.com/office/drawing/2014/chart" uri="{C3380CC4-5D6E-409C-BE32-E72D297353CC}">
                <c16:uniqueId val="{00000023-2019-4F84-85B3-60EDF436D167}"/>
              </c:ext>
            </c:extLst>
          </c:dPt>
          <c:dPt>
            <c:idx val="18"/>
            <c:invertIfNegative val="0"/>
            <c:bubble3D val="0"/>
            <c:spPr>
              <a:solidFill>
                <a:schemeClr val="accent1">
                  <a:lumMod val="80000"/>
                </a:schemeClr>
              </a:solidFill>
              <a:ln>
                <a:noFill/>
              </a:ln>
              <a:effectLst/>
              <a:sp3d/>
            </c:spPr>
            <c:extLst>
              <c:ext xmlns:c16="http://schemas.microsoft.com/office/drawing/2014/chart" uri="{C3380CC4-5D6E-409C-BE32-E72D297353CC}">
                <c16:uniqueId val="{00000025-2019-4F84-85B3-60EDF436D167}"/>
              </c:ext>
            </c:extLst>
          </c:dPt>
          <c:dPt>
            <c:idx val="19"/>
            <c:invertIfNegative val="0"/>
            <c:bubble3D val="0"/>
            <c:spPr>
              <a:solidFill>
                <a:schemeClr val="accent2">
                  <a:lumMod val="80000"/>
                </a:schemeClr>
              </a:solidFill>
              <a:ln>
                <a:noFill/>
              </a:ln>
              <a:effectLst/>
              <a:sp3d/>
            </c:spPr>
            <c:extLst>
              <c:ext xmlns:c16="http://schemas.microsoft.com/office/drawing/2014/chart" uri="{C3380CC4-5D6E-409C-BE32-E72D297353CC}">
                <c16:uniqueId val="{00000027-2019-4F84-85B3-60EDF436D167}"/>
              </c:ext>
            </c:extLst>
          </c:dPt>
          <c:dPt>
            <c:idx val="20"/>
            <c:invertIfNegative val="0"/>
            <c:bubble3D val="0"/>
            <c:spPr>
              <a:solidFill>
                <a:schemeClr val="accent3">
                  <a:lumMod val="80000"/>
                </a:schemeClr>
              </a:solidFill>
              <a:ln>
                <a:noFill/>
              </a:ln>
              <a:effectLst/>
              <a:sp3d/>
            </c:spPr>
            <c:extLst>
              <c:ext xmlns:c16="http://schemas.microsoft.com/office/drawing/2014/chart" uri="{C3380CC4-5D6E-409C-BE32-E72D297353CC}">
                <c16:uniqueId val="{00000029-2019-4F84-85B3-60EDF436D167}"/>
              </c:ext>
            </c:extLst>
          </c:dPt>
          <c:dPt>
            <c:idx val="21"/>
            <c:invertIfNegative val="0"/>
            <c:bubble3D val="0"/>
            <c:spPr>
              <a:solidFill>
                <a:schemeClr val="accent4">
                  <a:lumMod val="80000"/>
                </a:schemeClr>
              </a:solidFill>
              <a:ln>
                <a:noFill/>
              </a:ln>
              <a:effectLst/>
              <a:sp3d/>
            </c:spPr>
            <c:extLst>
              <c:ext xmlns:c16="http://schemas.microsoft.com/office/drawing/2014/chart" uri="{C3380CC4-5D6E-409C-BE32-E72D297353CC}">
                <c16:uniqueId val="{0000002B-2019-4F84-85B3-60EDF436D167}"/>
              </c:ext>
            </c:extLst>
          </c:dPt>
          <c:dPt>
            <c:idx val="22"/>
            <c:invertIfNegative val="0"/>
            <c:bubble3D val="0"/>
            <c:spPr>
              <a:solidFill>
                <a:schemeClr val="accent5">
                  <a:lumMod val="80000"/>
                </a:schemeClr>
              </a:solidFill>
              <a:ln>
                <a:noFill/>
              </a:ln>
              <a:effectLst/>
              <a:sp3d/>
            </c:spPr>
            <c:extLst>
              <c:ext xmlns:c16="http://schemas.microsoft.com/office/drawing/2014/chart" uri="{C3380CC4-5D6E-409C-BE32-E72D297353CC}">
                <c16:uniqueId val="{0000002D-2019-4F84-85B3-60EDF436D167}"/>
              </c:ext>
            </c:extLst>
          </c:dPt>
          <c:dPt>
            <c:idx val="23"/>
            <c:invertIfNegative val="0"/>
            <c:bubble3D val="0"/>
            <c:spPr>
              <a:solidFill>
                <a:schemeClr val="accent6">
                  <a:lumMod val="80000"/>
                </a:schemeClr>
              </a:solidFill>
              <a:ln>
                <a:noFill/>
              </a:ln>
              <a:effectLst/>
              <a:sp3d/>
            </c:spPr>
            <c:extLst>
              <c:ext xmlns:c16="http://schemas.microsoft.com/office/drawing/2014/chart" uri="{C3380CC4-5D6E-409C-BE32-E72D297353CC}">
                <c16:uniqueId val="{0000002F-2019-4F84-85B3-60EDF436D167}"/>
              </c:ext>
            </c:extLst>
          </c:dPt>
          <c:dPt>
            <c:idx val="24"/>
            <c:invertIfNegative val="0"/>
            <c:bubble3D val="0"/>
            <c:spPr>
              <a:solidFill>
                <a:schemeClr val="accent1">
                  <a:lumMod val="60000"/>
                  <a:lumOff val="40000"/>
                </a:schemeClr>
              </a:solidFill>
              <a:ln>
                <a:noFill/>
              </a:ln>
              <a:effectLst/>
              <a:sp3d/>
            </c:spPr>
            <c:extLst>
              <c:ext xmlns:c16="http://schemas.microsoft.com/office/drawing/2014/chart" uri="{C3380CC4-5D6E-409C-BE32-E72D297353CC}">
                <c16:uniqueId val="{00000031-2019-4F84-85B3-60EDF436D167}"/>
              </c:ext>
            </c:extLst>
          </c:dPt>
          <c:dPt>
            <c:idx val="25"/>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33-2019-4F84-85B3-60EDF436D167}"/>
              </c:ext>
            </c:extLst>
          </c:dPt>
          <c:dPt>
            <c:idx val="26"/>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35-2019-4F84-85B3-60EDF436D167}"/>
              </c:ext>
            </c:extLst>
          </c:dPt>
          <c:dPt>
            <c:idx val="27"/>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37-2019-4F84-85B3-60EDF436D167}"/>
              </c:ext>
            </c:extLst>
          </c:dPt>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Лист1!$A$2:$A$29</c:f>
              <c:strCache>
                <c:ptCount val="28"/>
                <c:pt idx="0">
                  <c:v>01:000</c:v>
                </c:pt>
                <c:pt idx="1">
                  <c:v>01:010</c:v>
                </c:pt>
                <c:pt idx="2">
                  <c:v>01:020</c:v>
                </c:pt>
                <c:pt idx="3">
                  <c:v>01:030</c:v>
                </c:pt>
                <c:pt idx="4">
                  <c:v>01:031</c:v>
                </c:pt>
                <c:pt idx="5">
                  <c:v>01:032</c:v>
                </c:pt>
                <c:pt idx="6">
                  <c:v>01:040</c:v>
                </c:pt>
                <c:pt idx="7">
                  <c:v>01:050</c:v>
                </c:pt>
                <c:pt idx="8">
                  <c:v>01:051</c:v>
                </c:pt>
                <c:pt idx="9">
                  <c:v>01:052</c:v>
                </c:pt>
                <c:pt idx="10">
                  <c:v>01:070</c:v>
                </c:pt>
                <c:pt idx="11">
                  <c:v>01:080</c:v>
                </c:pt>
                <c:pt idx="12">
                  <c:v>01:081</c:v>
                </c:pt>
                <c:pt idx="13">
                  <c:v>01:083</c:v>
                </c:pt>
                <c:pt idx="14">
                  <c:v>01:084</c:v>
                </c:pt>
                <c:pt idx="15">
                  <c:v>01:085</c:v>
                </c:pt>
                <c:pt idx="16">
                  <c:v>01:120</c:v>
                </c:pt>
                <c:pt idx="17">
                  <c:v>01:121</c:v>
                </c:pt>
                <c:pt idx="18">
                  <c:v>01:130</c:v>
                </c:pt>
                <c:pt idx="19">
                  <c:v>01:131</c:v>
                </c:pt>
                <c:pt idx="20">
                  <c:v>01:140</c:v>
                </c:pt>
                <c:pt idx="21">
                  <c:v>01:141</c:v>
                </c:pt>
                <c:pt idx="22">
                  <c:v>01:160</c:v>
                </c:pt>
                <c:pt idx="23">
                  <c:v>01:170</c:v>
                </c:pt>
                <c:pt idx="24">
                  <c:v>01:200</c:v>
                </c:pt>
                <c:pt idx="25">
                  <c:v>02:012</c:v>
                </c:pt>
                <c:pt idx="26">
                  <c:v>02:015</c:v>
                </c:pt>
                <c:pt idx="27">
                  <c:v>02:022</c:v>
                </c:pt>
              </c:strCache>
            </c:strRef>
          </c:cat>
          <c:val>
            <c:numRef>
              <c:f>Лист1!$B$2:$B$29</c:f>
              <c:numCache>
                <c:formatCode>General</c:formatCode>
                <c:ptCount val="28"/>
                <c:pt idx="0">
                  <c:v>69235</c:v>
                </c:pt>
                <c:pt idx="1">
                  <c:v>599</c:v>
                </c:pt>
                <c:pt idx="2">
                  <c:v>221</c:v>
                </c:pt>
                <c:pt idx="3">
                  <c:v>752</c:v>
                </c:pt>
                <c:pt idx="4">
                  <c:v>4</c:v>
                </c:pt>
                <c:pt idx="5">
                  <c:v>48</c:v>
                </c:pt>
                <c:pt idx="6">
                  <c:v>14</c:v>
                </c:pt>
                <c:pt idx="7">
                  <c:v>10</c:v>
                </c:pt>
                <c:pt idx="8">
                  <c:v>9</c:v>
                </c:pt>
                <c:pt idx="9">
                  <c:v>1</c:v>
                </c:pt>
                <c:pt idx="10">
                  <c:v>618</c:v>
                </c:pt>
                <c:pt idx="11">
                  <c:v>361</c:v>
                </c:pt>
                <c:pt idx="12">
                  <c:v>1371</c:v>
                </c:pt>
                <c:pt idx="13">
                  <c:v>29</c:v>
                </c:pt>
                <c:pt idx="14">
                  <c:v>3</c:v>
                </c:pt>
                <c:pt idx="15">
                  <c:v>6</c:v>
                </c:pt>
                <c:pt idx="16">
                  <c:v>15</c:v>
                </c:pt>
                <c:pt idx="17">
                  <c:v>3</c:v>
                </c:pt>
                <c:pt idx="18">
                  <c:v>310</c:v>
                </c:pt>
                <c:pt idx="19">
                  <c:v>16</c:v>
                </c:pt>
                <c:pt idx="20">
                  <c:v>8</c:v>
                </c:pt>
                <c:pt idx="21">
                  <c:v>4</c:v>
                </c:pt>
                <c:pt idx="22">
                  <c:v>9258</c:v>
                </c:pt>
                <c:pt idx="23">
                  <c:v>24</c:v>
                </c:pt>
                <c:pt idx="24">
                  <c:v>4</c:v>
                </c:pt>
                <c:pt idx="25">
                  <c:v>3</c:v>
                </c:pt>
                <c:pt idx="26">
                  <c:v>2</c:v>
                </c:pt>
                <c:pt idx="27">
                  <c:v>33524</c:v>
                </c:pt>
              </c:numCache>
            </c:numRef>
          </c:val>
          <c:extLst>
            <c:ext xmlns:c16="http://schemas.microsoft.com/office/drawing/2014/chart" uri="{C3380CC4-5D6E-409C-BE32-E72D297353CC}">
              <c16:uniqueId val="{00000038-2019-4F84-85B3-60EDF436D167}"/>
            </c:ext>
          </c:extLst>
        </c:ser>
        <c:dLbls>
          <c:showLegendKey val="0"/>
          <c:showVal val="1"/>
          <c:showCatName val="0"/>
          <c:showSerName val="0"/>
          <c:showPercent val="0"/>
          <c:showBubbleSize val="0"/>
        </c:dLbls>
        <c:gapWidth val="219"/>
        <c:shape val="box"/>
        <c:axId val="1555070320"/>
        <c:axId val="1555071152"/>
        <c:axId val="0"/>
      </c:bar3DChart>
      <c:catAx>
        <c:axId val="155507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5071152"/>
        <c:crosses val="autoZero"/>
        <c:auto val="1"/>
        <c:lblAlgn val="ctr"/>
        <c:lblOffset val="100"/>
        <c:noMultiLvlLbl val="0"/>
      </c:catAx>
      <c:valAx>
        <c:axId val="155507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5070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Количество ЗУ </a:t>
            </a:r>
            <a:r>
              <a:rPr lang="en-US" sz="1300"/>
              <a:t>2</a:t>
            </a:r>
            <a:r>
              <a:rPr lang="ru-RU" sz="1300"/>
              <a:t> сегмента</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C8EF-4D90-B2DE-F78838E15542}"/>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C8EF-4D90-B2DE-F78838E15542}"/>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C8EF-4D90-B2DE-F78838E15542}"/>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C8EF-4D90-B2DE-F78838E15542}"/>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C8EF-4D90-B2DE-F78838E15542}"/>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C8EF-4D90-B2DE-F78838E15542}"/>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C8EF-4D90-B2DE-F78838E15542}"/>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C8EF-4D90-B2DE-F78838E15542}"/>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C8EF-4D90-B2DE-F78838E15542}"/>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C8EF-4D90-B2DE-F78838E15542}"/>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C8EF-4D90-B2DE-F78838E15542}"/>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C8EF-4D90-B2DE-F78838E15542}"/>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C8EF-4D90-B2DE-F78838E15542}"/>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C8EF-4D90-B2DE-F78838E15542}"/>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C8EF-4D90-B2DE-F78838E15542}"/>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C8EF-4D90-B2DE-F78838E15542}"/>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C8EF-4D90-B2DE-F78838E15542}"/>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C8EF-4D90-B2DE-F78838E15542}"/>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C8EF-4D90-B2DE-F78838E15542}"/>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C8EF-4D90-B2DE-F78838E15542}"/>
              </c:ext>
            </c:extLst>
          </c:dPt>
          <c:dPt>
            <c:idx val="20"/>
            <c:invertIfNegative val="0"/>
            <c:bubble3D val="0"/>
            <c:spPr>
              <a:solidFill>
                <a:schemeClr val="accent3">
                  <a:lumMod val="80000"/>
                </a:schemeClr>
              </a:solidFill>
              <a:ln>
                <a:noFill/>
              </a:ln>
              <a:effectLst/>
            </c:spPr>
            <c:extLst>
              <c:ext xmlns:c16="http://schemas.microsoft.com/office/drawing/2014/chart" uri="{C3380CC4-5D6E-409C-BE32-E72D297353CC}">
                <c16:uniqueId val="{00000029-C8EF-4D90-B2DE-F78838E15542}"/>
              </c:ext>
            </c:extLst>
          </c:dPt>
          <c:dPt>
            <c:idx val="21"/>
            <c:invertIfNegative val="0"/>
            <c:bubble3D val="0"/>
            <c:spPr>
              <a:solidFill>
                <a:schemeClr val="accent4">
                  <a:lumMod val="80000"/>
                </a:schemeClr>
              </a:solidFill>
              <a:ln>
                <a:noFill/>
              </a:ln>
              <a:effectLst/>
            </c:spPr>
            <c:extLst>
              <c:ext xmlns:c16="http://schemas.microsoft.com/office/drawing/2014/chart" uri="{C3380CC4-5D6E-409C-BE32-E72D297353CC}">
                <c16:uniqueId val="{0000002B-C8EF-4D90-B2DE-F78838E15542}"/>
              </c:ext>
            </c:extLst>
          </c:dPt>
          <c:dPt>
            <c:idx val="22"/>
            <c:invertIfNegative val="0"/>
            <c:bubble3D val="0"/>
            <c:spPr>
              <a:solidFill>
                <a:schemeClr val="accent5">
                  <a:lumMod val="80000"/>
                </a:schemeClr>
              </a:solidFill>
              <a:ln>
                <a:noFill/>
              </a:ln>
              <a:effectLst/>
            </c:spPr>
            <c:extLst>
              <c:ext xmlns:c16="http://schemas.microsoft.com/office/drawing/2014/chart" uri="{C3380CC4-5D6E-409C-BE32-E72D297353CC}">
                <c16:uniqueId val="{0000002D-C8EF-4D90-B2DE-F78838E15542}"/>
              </c:ext>
            </c:extLst>
          </c:dPt>
          <c:dPt>
            <c:idx val="23"/>
            <c:invertIfNegative val="0"/>
            <c:bubble3D val="0"/>
            <c:spPr>
              <a:solidFill>
                <a:schemeClr val="accent6">
                  <a:lumMod val="80000"/>
                </a:schemeClr>
              </a:solidFill>
              <a:ln>
                <a:noFill/>
              </a:ln>
              <a:effectLst/>
            </c:spPr>
            <c:extLst>
              <c:ext xmlns:c16="http://schemas.microsoft.com/office/drawing/2014/chart" uri="{C3380CC4-5D6E-409C-BE32-E72D297353CC}">
                <c16:uniqueId val="{0000002F-C8EF-4D90-B2DE-F78838E15542}"/>
              </c:ext>
            </c:extLst>
          </c:dPt>
          <c:dPt>
            <c:idx val="2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31-C8EF-4D90-B2DE-F78838E15542}"/>
              </c:ext>
            </c:extLst>
          </c:dPt>
          <c:dPt>
            <c:idx val="2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33-C8EF-4D90-B2DE-F78838E15542}"/>
              </c:ext>
            </c:extLst>
          </c:dPt>
          <c:dPt>
            <c:idx val="26"/>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35-C8EF-4D90-B2DE-F78838E15542}"/>
              </c:ext>
            </c:extLst>
          </c:dPt>
          <c:dPt>
            <c:idx val="2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37-C8EF-4D90-B2DE-F78838E15542}"/>
              </c:ext>
            </c:extLst>
          </c:dPt>
          <c:dPt>
            <c:idx val="2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9-C8EF-4D90-B2DE-F78838E15542}"/>
              </c:ext>
            </c:extLst>
          </c:dPt>
          <c:dPt>
            <c:idx val="29"/>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3B-C8EF-4D90-B2DE-F78838E15542}"/>
              </c:ext>
            </c:extLst>
          </c:dPt>
          <c:dPt>
            <c:idx val="30"/>
            <c:invertIfNegative val="0"/>
            <c:bubble3D val="0"/>
            <c:spPr>
              <a:solidFill>
                <a:schemeClr val="accent1">
                  <a:lumMod val="50000"/>
                </a:schemeClr>
              </a:solidFill>
              <a:ln>
                <a:noFill/>
              </a:ln>
              <a:effectLst/>
            </c:spPr>
            <c:extLst>
              <c:ext xmlns:c16="http://schemas.microsoft.com/office/drawing/2014/chart" uri="{C3380CC4-5D6E-409C-BE32-E72D297353CC}">
                <c16:uniqueId val="{0000003D-C8EF-4D90-B2DE-F78838E15542}"/>
              </c:ext>
            </c:extLst>
          </c:dPt>
          <c:dPt>
            <c:idx val="31"/>
            <c:invertIfNegative val="0"/>
            <c:bubble3D val="0"/>
            <c:spPr>
              <a:solidFill>
                <a:schemeClr val="accent2">
                  <a:lumMod val="50000"/>
                </a:schemeClr>
              </a:solidFill>
              <a:ln>
                <a:noFill/>
              </a:ln>
              <a:effectLst/>
            </c:spPr>
            <c:extLst>
              <c:ext xmlns:c16="http://schemas.microsoft.com/office/drawing/2014/chart" uri="{C3380CC4-5D6E-409C-BE32-E72D297353CC}">
                <c16:uniqueId val="{0000003F-C8EF-4D90-B2DE-F78838E15542}"/>
              </c:ext>
            </c:extLst>
          </c:dPt>
          <c:dPt>
            <c:idx val="32"/>
            <c:invertIfNegative val="0"/>
            <c:bubble3D val="0"/>
            <c:spPr>
              <a:solidFill>
                <a:schemeClr val="accent3">
                  <a:lumMod val="50000"/>
                </a:schemeClr>
              </a:solidFill>
              <a:ln>
                <a:noFill/>
              </a:ln>
              <a:effectLst/>
            </c:spPr>
            <c:extLst>
              <c:ext xmlns:c16="http://schemas.microsoft.com/office/drawing/2014/chart" uri="{C3380CC4-5D6E-409C-BE32-E72D297353CC}">
                <c16:uniqueId val="{00000041-C8EF-4D90-B2DE-F78838E15542}"/>
              </c:ext>
            </c:extLst>
          </c:dPt>
          <c:dLbls>
            <c:dLbl>
              <c:idx val="6"/>
              <c:layout>
                <c:manualLayout>
                  <c:x val="-3.7633422041565818E-17"/>
                  <c:y val="1.19348143486167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EF-4D90-B2DE-F78838E15542}"/>
                </c:ext>
              </c:extLst>
            </c:dLbl>
            <c:dLbl>
              <c:idx val="28"/>
              <c:layout>
                <c:manualLayout>
                  <c:x val="0"/>
                  <c:y val="-1.44684750139409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C8EF-4D90-B2DE-F78838E15542}"/>
                </c:ext>
              </c:extLst>
            </c:dLbl>
            <c:dLbl>
              <c:idx val="29"/>
              <c:layout>
                <c:manualLayout>
                  <c:x val="0"/>
                  <c:y val="-1.7451021678417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C8EF-4D90-B2DE-F78838E1554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Лист1!$A$2:$A$34</c:f>
              <c:strCache>
                <c:ptCount val="33"/>
                <c:pt idx="0">
                  <c:v>Аннинский</c:v>
                </c:pt>
                <c:pt idx="1">
                  <c:v>Бобровский</c:v>
                </c:pt>
                <c:pt idx="2">
                  <c:v>Богучарский</c:v>
                </c:pt>
                <c:pt idx="3">
                  <c:v>Борисоглебский</c:v>
                </c:pt>
                <c:pt idx="4">
                  <c:v>Бутурлиновский</c:v>
                </c:pt>
                <c:pt idx="5">
                  <c:v>Верхнемамонский</c:v>
                </c:pt>
                <c:pt idx="6">
                  <c:v>Верхнехавский</c:v>
                </c:pt>
                <c:pt idx="7">
                  <c:v>Воробьевский</c:v>
                </c:pt>
                <c:pt idx="8">
                  <c:v>ГО г.Воронеж</c:v>
                </c:pt>
                <c:pt idx="9">
                  <c:v>ГО Нововоронеж</c:v>
                </c:pt>
                <c:pt idx="10">
                  <c:v>Грибановский</c:v>
                </c:pt>
                <c:pt idx="11">
                  <c:v>Калачеевский</c:v>
                </c:pt>
                <c:pt idx="12">
                  <c:v>Каменский</c:v>
                </c:pt>
                <c:pt idx="13">
                  <c:v>Кантемировский</c:v>
                </c:pt>
                <c:pt idx="14">
                  <c:v>Каширский</c:v>
                </c:pt>
                <c:pt idx="15">
                  <c:v>Лискинский</c:v>
                </c:pt>
                <c:pt idx="16">
                  <c:v>Нижнедевицкий</c:v>
                </c:pt>
                <c:pt idx="17">
                  <c:v>Новоусманский</c:v>
                </c:pt>
                <c:pt idx="18">
                  <c:v>Новохоперский</c:v>
                </c:pt>
                <c:pt idx="19">
                  <c:v>Ольховатский</c:v>
                </c:pt>
                <c:pt idx="20">
                  <c:v>Острогожский</c:v>
                </c:pt>
                <c:pt idx="21">
                  <c:v>Павловский</c:v>
                </c:pt>
                <c:pt idx="22">
                  <c:v>Панинский</c:v>
                </c:pt>
                <c:pt idx="23">
                  <c:v>Петропавловский</c:v>
                </c:pt>
                <c:pt idx="24">
                  <c:v>Поворинский</c:v>
                </c:pt>
                <c:pt idx="25">
                  <c:v>Подгоренский</c:v>
                </c:pt>
                <c:pt idx="26">
                  <c:v>Рамонский</c:v>
                </c:pt>
                <c:pt idx="27">
                  <c:v>Репьевский</c:v>
                </c:pt>
                <c:pt idx="28">
                  <c:v>Россошанский</c:v>
                </c:pt>
                <c:pt idx="29">
                  <c:v>Семилукский</c:v>
                </c:pt>
                <c:pt idx="30">
                  <c:v>Таловский</c:v>
                </c:pt>
                <c:pt idx="31">
                  <c:v>Хохольский</c:v>
                </c:pt>
                <c:pt idx="32">
                  <c:v>Эртильский</c:v>
                </c:pt>
              </c:strCache>
            </c:strRef>
          </c:cat>
          <c:val>
            <c:numRef>
              <c:f>Лист1!$B$2:$B$34</c:f>
              <c:numCache>
                <c:formatCode>General</c:formatCode>
                <c:ptCount val="33"/>
                <c:pt idx="0">
                  <c:v>121</c:v>
                </c:pt>
                <c:pt idx="1">
                  <c:v>39</c:v>
                </c:pt>
                <c:pt idx="2">
                  <c:v>7</c:v>
                </c:pt>
                <c:pt idx="3">
                  <c:v>236</c:v>
                </c:pt>
                <c:pt idx="4">
                  <c:v>95</c:v>
                </c:pt>
                <c:pt idx="5">
                  <c:v>21</c:v>
                </c:pt>
                <c:pt idx="6">
                  <c:v>4</c:v>
                </c:pt>
                <c:pt idx="7">
                  <c:v>8</c:v>
                </c:pt>
                <c:pt idx="8">
                  <c:v>4762</c:v>
                </c:pt>
                <c:pt idx="9">
                  <c:v>220</c:v>
                </c:pt>
                <c:pt idx="10">
                  <c:v>82</c:v>
                </c:pt>
                <c:pt idx="11">
                  <c:v>72</c:v>
                </c:pt>
                <c:pt idx="12">
                  <c:v>59</c:v>
                </c:pt>
                <c:pt idx="13">
                  <c:v>62</c:v>
                </c:pt>
                <c:pt idx="14">
                  <c:v>14</c:v>
                </c:pt>
                <c:pt idx="15">
                  <c:v>111</c:v>
                </c:pt>
                <c:pt idx="16">
                  <c:v>55</c:v>
                </c:pt>
                <c:pt idx="17">
                  <c:v>309</c:v>
                </c:pt>
                <c:pt idx="18">
                  <c:v>50</c:v>
                </c:pt>
                <c:pt idx="19">
                  <c:v>38</c:v>
                </c:pt>
                <c:pt idx="20">
                  <c:v>47</c:v>
                </c:pt>
                <c:pt idx="21">
                  <c:v>94</c:v>
                </c:pt>
                <c:pt idx="22">
                  <c:v>10</c:v>
                </c:pt>
                <c:pt idx="23">
                  <c:v>4</c:v>
                </c:pt>
                <c:pt idx="24">
                  <c:v>67</c:v>
                </c:pt>
                <c:pt idx="25">
                  <c:v>66</c:v>
                </c:pt>
                <c:pt idx="26">
                  <c:v>134</c:v>
                </c:pt>
                <c:pt idx="27">
                  <c:v>3</c:v>
                </c:pt>
                <c:pt idx="28">
                  <c:v>80</c:v>
                </c:pt>
                <c:pt idx="29">
                  <c:v>197</c:v>
                </c:pt>
                <c:pt idx="30">
                  <c:v>7</c:v>
                </c:pt>
                <c:pt idx="31">
                  <c:v>39</c:v>
                </c:pt>
                <c:pt idx="32">
                  <c:v>32</c:v>
                </c:pt>
              </c:numCache>
            </c:numRef>
          </c:val>
          <c:extLst>
            <c:ext xmlns:c16="http://schemas.microsoft.com/office/drawing/2014/chart" uri="{C3380CC4-5D6E-409C-BE32-E72D297353CC}">
              <c16:uniqueId val="{00000042-C8EF-4D90-B2DE-F78838E15542}"/>
            </c:ext>
          </c:extLst>
        </c:ser>
        <c:dLbls>
          <c:dLblPos val="outEnd"/>
          <c:showLegendKey val="0"/>
          <c:showVal val="1"/>
          <c:showCatName val="0"/>
          <c:showSerName val="0"/>
          <c:showPercent val="0"/>
          <c:showBubbleSize val="0"/>
        </c:dLbls>
        <c:gapWidth val="150"/>
        <c:axId val="1565260128"/>
        <c:axId val="1565253056"/>
      </c:barChart>
      <c:catAx>
        <c:axId val="15652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53056"/>
        <c:crosses val="autoZero"/>
        <c:auto val="1"/>
        <c:lblAlgn val="ctr"/>
        <c:lblOffset val="100"/>
        <c:noMultiLvlLbl val="0"/>
      </c:catAx>
      <c:valAx>
        <c:axId val="15652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60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Распределение</a:t>
            </a:r>
            <a:r>
              <a:rPr lang="ru-RU"/>
              <a:t> ЗУ 2 сегмента по кодам ВРИ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Распределение ЗУ 2 сегмента по кодам ВРИ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71-4A2B-85AC-5D22A87633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71-4A2B-85AC-5D22A87633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71-4A2B-85AC-5D22A87633B8}"/>
              </c:ext>
            </c:extLst>
          </c:dPt>
          <c:dLbls>
            <c:dLbl>
              <c:idx val="0"/>
              <c:layout>
                <c:manualLayout>
                  <c:x val="0.14120370370370361"/>
                  <c:y val="-0.123015873015873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F71-4A2B-85AC-5D22A87633B8}"/>
                </c:ext>
              </c:extLst>
            </c:dLbl>
            <c:dLbl>
              <c:idx val="1"/>
              <c:layout>
                <c:manualLayout>
                  <c:x val="0.12268518518518511"/>
                  <c:y val="4.761904761904769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F71-4A2B-85AC-5D22A87633B8}"/>
                </c:ext>
              </c:extLst>
            </c:dLbl>
            <c:dLbl>
              <c:idx val="2"/>
              <c:layout>
                <c:manualLayout>
                  <c:x val="-0.1225170482540171"/>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F71-4A2B-85AC-5D22A87633B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02:000</c:v>
                </c:pt>
                <c:pt idx="1">
                  <c:v>02:050</c:v>
                </c:pt>
                <c:pt idx="2">
                  <c:v>02:060</c:v>
                </c:pt>
              </c:strCache>
            </c:strRef>
          </c:cat>
          <c:val>
            <c:numRef>
              <c:f>Лист1!$B$2:$B$4</c:f>
              <c:numCache>
                <c:formatCode>#,##0</c:formatCode>
                <c:ptCount val="3"/>
                <c:pt idx="0" formatCode="General">
                  <c:v>759</c:v>
                </c:pt>
                <c:pt idx="1">
                  <c:v>2182</c:v>
                </c:pt>
                <c:pt idx="2">
                  <c:v>4204</c:v>
                </c:pt>
              </c:numCache>
            </c:numRef>
          </c:val>
          <c:extLst>
            <c:ext xmlns:c16="http://schemas.microsoft.com/office/drawing/2014/chart" uri="{C3380CC4-5D6E-409C-BE32-E72D297353CC}">
              <c16:uniqueId val="{00000006-EF71-4A2B-85AC-5D22A87633B8}"/>
            </c:ext>
          </c:extLst>
        </c:ser>
        <c:dLbls>
          <c:showLegendKey val="0"/>
          <c:showVal val="1"/>
          <c:showCatName val="1"/>
          <c:showSerName val="0"/>
          <c:showPercent val="0"/>
          <c:showBubbleSize val="0"/>
          <c:showLeaderLines val="1"/>
        </c:dLbls>
        <c:firstSliceAng val="24"/>
        <c:holeSize val="8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Количество ЗУ </a:t>
            </a:r>
            <a:r>
              <a:rPr lang="en-US" sz="1300"/>
              <a:t>3</a:t>
            </a:r>
            <a:r>
              <a:rPr lang="ru-RU" sz="1300"/>
              <a:t> сегмента</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24EB-4901-9CE7-32691D7B6402}"/>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24EB-4901-9CE7-32691D7B6402}"/>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24EB-4901-9CE7-32691D7B6402}"/>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24EB-4901-9CE7-32691D7B6402}"/>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24EB-4901-9CE7-32691D7B6402}"/>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24EB-4901-9CE7-32691D7B6402}"/>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24EB-4901-9CE7-32691D7B6402}"/>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24EB-4901-9CE7-32691D7B6402}"/>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24EB-4901-9CE7-32691D7B6402}"/>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24EB-4901-9CE7-32691D7B6402}"/>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24EB-4901-9CE7-32691D7B6402}"/>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24EB-4901-9CE7-32691D7B6402}"/>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24EB-4901-9CE7-32691D7B6402}"/>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24EB-4901-9CE7-32691D7B6402}"/>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24EB-4901-9CE7-32691D7B6402}"/>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24EB-4901-9CE7-32691D7B6402}"/>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24EB-4901-9CE7-32691D7B6402}"/>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24EB-4901-9CE7-32691D7B6402}"/>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24EB-4901-9CE7-32691D7B6402}"/>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24EB-4901-9CE7-32691D7B6402}"/>
              </c:ext>
            </c:extLst>
          </c:dPt>
          <c:dPt>
            <c:idx val="20"/>
            <c:invertIfNegative val="0"/>
            <c:bubble3D val="0"/>
            <c:spPr>
              <a:solidFill>
                <a:schemeClr val="accent3">
                  <a:lumMod val="80000"/>
                </a:schemeClr>
              </a:solidFill>
              <a:ln>
                <a:noFill/>
              </a:ln>
              <a:effectLst/>
            </c:spPr>
            <c:extLst>
              <c:ext xmlns:c16="http://schemas.microsoft.com/office/drawing/2014/chart" uri="{C3380CC4-5D6E-409C-BE32-E72D297353CC}">
                <c16:uniqueId val="{00000029-24EB-4901-9CE7-32691D7B6402}"/>
              </c:ext>
            </c:extLst>
          </c:dPt>
          <c:dPt>
            <c:idx val="21"/>
            <c:invertIfNegative val="0"/>
            <c:bubble3D val="0"/>
            <c:spPr>
              <a:solidFill>
                <a:schemeClr val="accent4">
                  <a:lumMod val="80000"/>
                </a:schemeClr>
              </a:solidFill>
              <a:ln>
                <a:noFill/>
              </a:ln>
              <a:effectLst/>
            </c:spPr>
            <c:extLst>
              <c:ext xmlns:c16="http://schemas.microsoft.com/office/drawing/2014/chart" uri="{C3380CC4-5D6E-409C-BE32-E72D297353CC}">
                <c16:uniqueId val="{0000002B-24EB-4901-9CE7-32691D7B6402}"/>
              </c:ext>
            </c:extLst>
          </c:dPt>
          <c:dPt>
            <c:idx val="22"/>
            <c:invertIfNegative val="0"/>
            <c:bubble3D val="0"/>
            <c:spPr>
              <a:solidFill>
                <a:schemeClr val="accent5">
                  <a:lumMod val="80000"/>
                </a:schemeClr>
              </a:solidFill>
              <a:ln>
                <a:noFill/>
              </a:ln>
              <a:effectLst/>
            </c:spPr>
            <c:extLst>
              <c:ext xmlns:c16="http://schemas.microsoft.com/office/drawing/2014/chart" uri="{C3380CC4-5D6E-409C-BE32-E72D297353CC}">
                <c16:uniqueId val="{0000002D-24EB-4901-9CE7-32691D7B6402}"/>
              </c:ext>
            </c:extLst>
          </c:dPt>
          <c:dPt>
            <c:idx val="23"/>
            <c:invertIfNegative val="0"/>
            <c:bubble3D val="0"/>
            <c:spPr>
              <a:solidFill>
                <a:schemeClr val="accent6">
                  <a:lumMod val="80000"/>
                </a:schemeClr>
              </a:solidFill>
              <a:ln>
                <a:noFill/>
              </a:ln>
              <a:effectLst/>
            </c:spPr>
            <c:extLst>
              <c:ext xmlns:c16="http://schemas.microsoft.com/office/drawing/2014/chart" uri="{C3380CC4-5D6E-409C-BE32-E72D297353CC}">
                <c16:uniqueId val="{0000002F-24EB-4901-9CE7-32691D7B6402}"/>
              </c:ext>
            </c:extLst>
          </c:dPt>
          <c:dPt>
            <c:idx val="2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31-24EB-4901-9CE7-32691D7B6402}"/>
              </c:ext>
            </c:extLst>
          </c:dPt>
          <c:dPt>
            <c:idx val="2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33-24EB-4901-9CE7-32691D7B6402}"/>
              </c:ext>
            </c:extLst>
          </c:dPt>
          <c:dPt>
            <c:idx val="26"/>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35-24EB-4901-9CE7-32691D7B6402}"/>
              </c:ext>
            </c:extLst>
          </c:dPt>
          <c:dPt>
            <c:idx val="2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37-24EB-4901-9CE7-32691D7B6402}"/>
              </c:ext>
            </c:extLst>
          </c:dPt>
          <c:dPt>
            <c:idx val="2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9-24EB-4901-9CE7-32691D7B6402}"/>
              </c:ext>
            </c:extLst>
          </c:dPt>
          <c:dPt>
            <c:idx val="29"/>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3B-24EB-4901-9CE7-32691D7B6402}"/>
              </c:ext>
            </c:extLst>
          </c:dPt>
          <c:dPt>
            <c:idx val="30"/>
            <c:invertIfNegative val="0"/>
            <c:bubble3D val="0"/>
            <c:spPr>
              <a:solidFill>
                <a:schemeClr val="accent1">
                  <a:lumMod val="50000"/>
                </a:schemeClr>
              </a:solidFill>
              <a:ln>
                <a:noFill/>
              </a:ln>
              <a:effectLst/>
            </c:spPr>
            <c:extLst>
              <c:ext xmlns:c16="http://schemas.microsoft.com/office/drawing/2014/chart" uri="{C3380CC4-5D6E-409C-BE32-E72D297353CC}">
                <c16:uniqueId val="{0000003D-24EB-4901-9CE7-32691D7B6402}"/>
              </c:ext>
            </c:extLst>
          </c:dPt>
          <c:dPt>
            <c:idx val="31"/>
            <c:invertIfNegative val="0"/>
            <c:bubble3D val="0"/>
            <c:spPr>
              <a:solidFill>
                <a:schemeClr val="accent2">
                  <a:lumMod val="50000"/>
                </a:schemeClr>
              </a:solidFill>
              <a:ln>
                <a:noFill/>
              </a:ln>
              <a:effectLst/>
            </c:spPr>
            <c:extLst>
              <c:ext xmlns:c16="http://schemas.microsoft.com/office/drawing/2014/chart" uri="{C3380CC4-5D6E-409C-BE32-E72D297353CC}">
                <c16:uniqueId val="{0000003F-24EB-4901-9CE7-32691D7B6402}"/>
              </c:ext>
            </c:extLst>
          </c:dPt>
          <c:dPt>
            <c:idx val="32"/>
            <c:invertIfNegative val="0"/>
            <c:bubble3D val="0"/>
            <c:spPr>
              <a:solidFill>
                <a:schemeClr val="accent3">
                  <a:lumMod val="50000"/>
                </a:schemeClr>
              </a:solidFill>
              <a:ln>
                <a:noFill/>
              </a:ln>
              <a:effectLst/>
            </c:spPr>
            <c:extLst>
              <c:ext xmlns:c16="http://schemas.microsoft.com/office/drawing/2014/chart" uri="{C3380CC4-5D6E-409C-BE32-E72D297353CC}">
                <c16:uniqueId val="{00000041-24EB-4901-9CE7-32691D7B6402}"/>
              </c:ext>
            </c:extLst>
          </c:dPt>
          <c:dPt>
            <c:idx val="33"/>
            <c:invertIfNegative val="0"/>
            <c:bubble3D val="0"/>
            <c:spPr>
              <a:solidFill>
                <a:schemeClr val="accent4">
                  <a:lumMod val="50000"/>
                </a:schemeClr>
              </a:solidFill>
              <a:ln>
                <a:noFill/>
              </a:ln>
              <a:effectLst/>
            </c:spPr>
            <c:extLst>
              <c:ext xmlns:c16="http://schemas.microsoft.com/office/drawing/2014/chart" uri="{C3380CC4-5D6E-409C-BE32-E72D297353CC}">
                <c16:uniqueId val="{00000043-24EB-4901-9CE7-32691D7B6402}"/>
              </c:ext>
            </c:extLst>
          </c:dPt>
          <c:dLbls>
            <c:dLbl>
              <c:idx val="2"/>
              <c:layout>
                <c:manualLayout>
                  <c:x val="0"/>
                  <c:y val="-2.72851296043657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EB-4901-9CE7-32691D7B6402}"/>
                </c:ext>
              </c:extLst>
            </c:dLbl>
            <c:dLbl>
              <c:idx val="6"/>
              <c:layout>
                <c:manualLayout>
                  <c:x val="-3.9194273752108585E-17"/>
                  <c:y val="-3.82182786496844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4EB-4901-9CE7-32691D7B6402}"/>
                </c:ext>
              </c:extLst>
            </c:dLbl>
            <c:dLbl>
              <c:idx val="7"/>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4EB-4901-9CE7-32691D7B6402}"/>
                </c:ext>
              </c:extLst>
            </c:dLbl>
            <c:dLbl>
              <c:idx val="18"/>
              <c:layout>
                <c:manualLayout>
                  <c:x val="-7.838854750421717E-17"/>
                  <c:y val="-2.12217674700622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24EB-4901-9CE7-32691D7B6402}"/>
                </c:ext>
              </c:extLst>
            </c:dLbl>
            <c:dLbl>
              <c:idx val="20"/>
              <c:layout>
                <c:manualLayout>
                  <c:x val="-7.838854750421717E-17"/>
                  <c:y val="-3.33484917386690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24EB-4901-9CE7-32691D7B6402}"/>
                </c:ext>
              </c:extLst>
            </c:dLbl>
            <c:dLbl>
              <c:idx val="23"/>
              <c:layout>
                <c:manualLayout>
                  <c:x val="-7.838854750421717E-17"/>
                  <c:y val="-1.21267242686070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24EB-4901-9CE7-32691D7B6402}"/>
                </c:ext>
              </c:extLst>
            </c:dLbl>
            <c:dLbl>
              <c:idx val="25"/>
              <c:layout>
                <c:manualLayout>
                  <c:x val="0"/>
                  <c:y val="-1.81900864029104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24EB-4901-9CE7-32691D7B6402}"/>
                </c:ext>
              </c:extLst>
            </c:dLbl>
            <c:dLbl>
              <c:idx val="28"/>
              <c:layout>
                <c:manualLayout>
                  <c:x val="-1.5677709500843434E-16"/>
                  <c:y val="-3.47953436243390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24EB-4901-9CE7-32691D7B6402}"/>
                </c:ext>
              </c:extLst>
            </c:dLbl>
            <c:dLbl>
              <c:idx val="29"/>
              <c:layout>
                <c:manualLayout>
                  <c:x val="0"/>
                  <c:y val="-1.7451021678417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24EB-4901-9CE7-32691D7B6402}"/>
                </c:ext>
              </c:extLst>
            </c:dLbl>
            <c:dLbl>
              <c:idx val="32"/>
              <c:layout>
                <c:manualLayout>
                  <c:x val="0"/>
                  <c:y val="-3.94118538729725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24EB-4901-9CE7-32691D7B640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Лист1!$A$2:$A$35</c:f>
              <c:strCache>
                <c:ptCount val="34"/>
                <c:pt idx="0">
                  <c:v>Аннинский</c:v>
                </c:pt>
                <c:pt idx="1">
                  <c:v>Бобровский</c:v>
                </c:pt>
                <c:pt idx="2">
                  <c:v>Богучарский</c:v>
                </c:pt>
                <c:pt idx="3">
                  <c:v>Борисоглебский</c:v>
                </c:pt>
                <c:pt idx="4">
                  <c:v>Бутурлиновский</c:v>
                </c:pt>
                <c:pt idx="5">
                  <c:v>Верхнемамонский</c:v>
                </c:pt>
                <c:pt idx="6">
                  <c:v>Верхнехавский</c:v>
                </c:pt>
                <c:pt idx="7">
                  <c:v>Воробьевский</c:v>
                </c:pt>
                <c:pt idx="8">
                  <c:v>ГО г.Воронеж</c:v>
                </c:pt>
                <c:pt idx="9">
                  <c:v>ГО Нововоронеж</c:v>
                </c:pt>
                <c:pt idx="10">
                  <c:v>Грибановский</c:v>
                </c:pt>
                <c:pt idx="11">
                  <c:v>Калачеевский</c:v>
                </c:pt>
                <c:pt idx="12">
                  <c:v>Каменский</c:v>
                </c:pt>
                <c:pt idx="13">
                  <c:v>Кантемировский</c:v>
                </c:pt>
                <c:pt idx="14">
                  <c:v>Каширский</c:v>
                </c:pt>
                <c:pt idx="15">
                  <c:v>Лискинский</c:v>
                </c:pt>
                <c:pt idx="16">
                  <c:v>Нижнедевицкий</c:v>
                </c:pt>
                <c:pt idx="17">
                  <c:v>Новоусманский</c:v>
                </c:pt>
                <c:pt idx="18">
                  <c:v>Новохоперский</c:v>
                </c:pt>
                <c:pt idx="19">
                  <c:v>Ольховатский</c:v>
                </c:pt>
                <c:pt idx="20">
                  <c:v>Острогожский</c:v>
                </c:pt>
                <c:pt idx="21">
                  <c:v>Павловский</c:v>
                </c:pt>
                <c:pt idx="22">
                  <c:v>Панинский</c:v>
                </c:pt>
                <c:pt idx="23">
                  <c:v>Петропавловский</c:v>
                </c:pt>
                <c:pt idx="24">
                  <c:v>Поворинский</c:v>
                </c:pt>
                <c:pt idx="25">
                  <c:v>Подгоренский</c:v>
                </c:pt>
                <c:pt idx="26">
                  <c:v>Рамонский</c:v>
                </c:pt>
                <c:pt idx="27">
                  <c:v>Репьевский</c:v>
                </c:pt>
                <c:pt idx="28">
                  <c:v>Россошанский</c:v>
                </c:pt>
                <c:pt idx="29">
                  <c:v>Семилукский</c:v>
                </c:pt>
                <c:pt idx="30">
                  <c:v>Таловский</c:v>
                </c:pt>
                <c:pt idx="31">
                  <c:v>Терновский</c:v>
                </c:pt>
                <c:pt idx="32">
                  <c:v>Хохольский</c:v>
                </c:pt>
                <c:pt idx="33">
                  <c:v>Эртильский</c:v>
                </c:pt>
              </c:strCache>
            </c:strRef>
          </c:cat>
          <c:val>
            <c:numRef>
              <c:f>Лист1!$B$2:$B$35</c:f>
              <c:numCache>
                <c:formatCode>General</c:formatCode>
                <c:ptCount val="34"/>
                <c:pt idx="0">
                  <c:v>417</c:v>
                </c:pt>
                <c:pt idx="1">
                  <c:v>265</c:v>
                </c:pt>
                <c:pt idx="2">
                  <c:v>336</c:v>
                </c:pt>
                <c:pt idx="3">
                  <c:v>308</c:v>
                </c:pt>
                <c:pt idx="4">
                  <c:v>400</c:v>
                </c:pt>
                <c:pt idx="5">
                  <c:v>200</c:v>
                </c:pt>
                <c:pt idx="6">
                  <c:v>176</c:v>
                </c:pt>
                <c:pt idx="7">
                  <c:v>219</c:v>
                </c:pt>
                <c:pt idx="8">
                  <c:v>1687</c:v>
                </c:pt>
                <c:pt idx="9">
                  <c:v>82</c:v>
                </c:pt>
                <c:pt idx="10">
                  <c:v>286</c:v>
                </c:pt>
                <c:pt idx="11">
                  <c:v>359</c:v>
                </c:pt>
                <c:pt idx="12">
                  <c:v>147</c:v>
                </c:pt>
                <c:pt idx="13">
                  <c:v>213</c:v>
                </c:pt>
                <c:pt idx="14">
                  <c:v>175</c:v>
                </c:pt>
                <c:pt idx="15">
                  <c:v>470</c:v>
                </c:pt>
                <c:pt idx="16">
                  <c:v>188</c:v>
                </c:pt>
                <c:pt idx="17">
                  <c:v>353</c:v>
                </c:pt>
                <c:pt idx="18">
                  <c:v>366</c:v>
                </c:pt>
                <c:pt idx="19">
                  <c:v>161</c:v>
                </c:pt>
                <c:pt idx="20">
                  <c:v>361</c:v>
                </c:pt>
                <c:pt idx="21">
                  <c:v>364</c:v>
                </c:pt>
                <c:pt idx="22">
                  <c:v>159</c:v>
                </c:pt>
                <c:pt idx="23">
                  <c:v>207</c:v>
                </c:pt>
                <c:pt idx="24">
                  <c:v>186</c:v>
                </c:pt>
                <c:pt idx="25">
                  <c:v>233</c:v>
                </c:pt>
                <c:pt idx="26">
                  <c:v>358</c:v>
                </c:pt>
                <c:pt idx="27">
                  <c:v>203</c:v>
                </c:pt>
                <c:pt idx="28">
                  <c:v>412</c:v>
                </c:pt>
                <c:pt idx="29">
                  <c:v>405</c:v>
                </c:pt>
                <c:pt idx="30">
                  <c:v>338</c:v>
                </c:pt>
                <c:pt idx="31">
                  <c:v>192</c:v>
                </c:pt>
                <c:pt idx="32">
                  <c:v>193</c:v>
                </c:pt>
                <c:pt idx="33">
                  <c:v>226</c:v>
                </c:pt>
              </c:numCache>
            </c:numRef>
          </c:val>
          <c:extLst>
            <c:ext xmlns:c16="http://schemas.microsoft.com/office/drawing/2014/chart" uri="{C3380CC4-5D6E-409C-BE32-E72D297353CC}">
              <c16:uniqueId val="{00000044-24EB-4901-9CE7-32691D7B6402}"/>
            </c:ext>
          </c:extLst>
        </c:ser>
        <c:dLbls>
          <c:dLblPos val="outEnd"/>
          <c:showLegendKey val="0"/>
          <c:showVal val="1"/>
          <c:showCatName val="0"/>
          <c:showSerName val="0"/>
          <c:showPercent val="0"/>
          <c:showBubbleSize val="0"/>
        </c:dLbls>
        <c:gapWidth val="150"/>
        <c:axId val="1565260128"/>
        <c:axId val="1565253056"/>
      </c:barChart>
      <c:catAx>
        <c:axId val="15652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53056"/>
        <c:crosses val="autoZero"/>
        <c:auto val="1"/>
        <c:lblAlgn val="ctr"/>
        <c:lblOffset val="100"/>
        <c:noMultiLvlLbl val="0"/>
      </c:catAx>
      <c:valAx>
        <c:axId val="15652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60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Распределение ЗУ 3 сегмента по кодам ВРИ</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Лист1!$B$1</c:f>
              <c:strCache>
                <c:ptCount val="1"/>
                <c:pt idx="0">
                  <c:v>Количество ЗУ</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B3C6-4640-90BE-EC59AACC6FFF}"/>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B3C6-4640-90BE-EC59AACC6FFF}"/>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B3C6-4640-90BE-EC59AACC6FFF}"/>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B3C6-4640-90BE-EC59AACC6FFF}"/>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B3C6-4640-90BE-EC59AACC6FFF}"/>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B3C6-4640-90BE-EC59AACC6FFF}"/>
              </c:ext>
            </c:extLst>
          </c:dPt>
          <c:dPt>
            <c:idx val="6"/>
            <c:invertIfNegative val="0"/>
            <c:bubble3D val="0"/>
            <c:spPr>
              <a:solidFill>
                <a:schemeClr val="accent1">
                  <a:lumMod val="60000"/>
                </a:schemeClr>
              </a:solidFill>
              <a:ln>
                <a:noFill/>
              </a:ln>
              <a:effectLst/>
              <a:sp3d/>
            </c:spPr>
            <c:extLst>
              <c:ext xmlns:c16="http://schemas.microsoft.com/office/drawing/2014/chart" uri="{C3380CC4-5D6E-409C-BE32-E72D297353CC}">
                <c16:uniqueId val="{0000000D-B3C6-4640-90BE-EC59AACC6FFF}"/>
              </c:ext>
            </c:extLst>
          </c:dPt>
          <c:dPt>
            <c:idx val="7"/>
            <c:invertIfNegative val="0"/>
            <c:bubble3D val="0"/>
            <c:spPr>
              <a:solidFill>
                <a:schemeClr val="accent2">
                  <a:lumMod val="60000"/>
                </a:schemeClr>
              </a:solidFill>
              <a:ln>
                <a:noFill/>
              </a:ln>
              <a:effectLst/>
              <a:sp3d/>
            </c:spPr>
            <c:extLst>
              <c:ext xmlns:c16="http://schemas.microsoft.com/office/drawing/2014/chart" uri="{C3380CC4-5D6E-409C-BE32-E72D297353CC}">
                <c16:uniqueId val="{0000000F-B3C6-4640-90BE-EC59AACC6FFF}"/>
              </c:ext>
            </c:extLst>
          </c:dPt>
          <c:dPt>
            <c:idx val="8"/>
            <c:invertIfNegative val="0"/>
            <c:bubble3D val="0"/>
            <c:spPr>
              <a:solidFill>
                <a:schemeClr val="accent3">
                  <a:lumMod val="60000"/>
                </a:schemeClr>
              </a:solidFill>
              <a:ln>
                <a:noFill/>
              </a:ln>
              <a:effectLst/>
              <a:sp3d/>
            </c:spPr>
            <c:extLst>
              <c:ext xmlns:c16="http://schemas.microsoft.com/office/drawing/2014/chart" uri="{C3380CC4-5D6E-409C-BE32-E72D297353CC}">
                <c16:uniqueId val="{00000011-B3C6-4640-90BE-EC59AACC6FFF}"/>
              </c:ext>
            </c:extLst>
          </c:dPt>
          <c:dPt>
            <c:idx val="9"/>
            <c:invertIfNegative val="0"/>
            <c:bubble3D val="0"/>
            <c:spPr>
              <a:solidFill>
                <a:schemeClr val="accent4">
                  <a:lumMod val="60000"/>
                </a:schemeClr>
              </a:solidFill>
              <a:ln>
                <a:noFill/>
              </a:ln>
              <a:effectLst/>
              <a:sp3d/>
            </c:spPr>
            <c:extLst>
              <c:ext xmlns:c16="http://schemas.microsoft.com/office/drawing/2014/chart" uri="{C3380CC4-5D6E-409C-BE32-E72D297353CC}">
                <c16:uniqueId val="{00000013-B3C6-4640-90BE-EC59AACC6FFF}"/>
              </c:ext>
            </c:extLst>
          </c:dPt>
          <c:dPt>
            <c:idx val="10"/>
            <c:invertIfNegative val="0"/>
            <c:bubble3D val="0"/>
            <c:spPr>
              <a:solidFill>
                <a:schemeClr val="accent5">
                  <a:lumMod val="60000"/>
                </a:schemeClr>
              </a:solidFill>
              <a:ln>
                <a:noFill/>
              </a:ln>
              <a:effectLst/>
              <a:sp3d/>
            </c:spPr>
            <c:extLst>
              <c:ext xmlns:c16="http://schemas.microsoft.com/office/drawing/2014/chart" uri="{C3380CC4-5D6E-409C-BE32-E72D297353CC}">
                <c16:uniqueId val="{00000015-B3C6-4640-90BE-EC59AACC6FFF}"/>
              </c:ext>
            </c:extLst>
          </c:dPt>
          <c:dPt>
            <c:idx val="11"/>
            <c:invertIfNegative val="0"/>
            <c:bubble3D val="0"/>
            <c:spPr>
              <a:solidFill>
                <a:schemeClr val="accent6">
                  <a:lumMod val="60000"/>
                </a:schemeClr>
              </a:solidFill>
              <a:ln>
                <a:noFill/>
              </a:ln>
              <a:effectLst/>
              <a:sp3d/>
            </c:spPr>
            <c:extLst>
              <c:ext xmlns:c16="http://schemas.microsoft.com/office/drawing/2014/chart" uri="{C3380CC4-5D6E-409C-BE32-E72D297353CC}">
                <c16:uniqueId val="{00000017-B3C6-4640-90BE-EC59AACC6FFF}"/>
              </c:ext>
            </c:extLst>
          </c:dPt>
          <c:dPt>
            <c:idx val="12"/>
            <c:invertIfNegative val="0"/>
            <c:bubble3D val="0"/>
            <c:spPr>
              <a:solidFill>
                <a:schemeClr val="accent1">
                  <a:lumMod val="80000"/>
                  <a:lumOff val="20000"/>
                </a:schemeClr>
              </a:solidFill>
              <a:ln>
                <a:noFill/>
              </a:ln>
              <a:effectLst/>
              <a:sp3d/>
            </c:spPr>
            <c:extLst>
              <c:ext xmlns:c16="http://schemas.microsoft.com/office/drawing/2014/chart" uri="{C3380CC4-5D6E-409C-BE32-E72D297353CC}">
                <c16:uniqueId val="{00000019-B3C6-4640-90BE-EC59AACC6FFF}"/>
              </c:ext>
            </c:extLst>
          </c:dPt>
          <c:dPt>
            <c:idx val="13"/>
            <c:invertIfNegative val="0"/>
            <c:bubble3D val="0"/>
            <c:spPr>
              <a:solidFill>
                <a:schemeClr val="accent2">
                  <a:lumMod val="80000"/>
                  <a:lumOff val="20000"/>
                </a:schemeClr>
              </a:solidFill>
              <a:ln>
                <a:noFill/>
              </a:ln>
              <a:effectLst/>
              <a:sp3d/>
            </c:spPr>
            <c:extLst>
              <c:ext xmlns:c16="http://schemas.microsoft.com/office/drawing/2014/chart" uri="{C3380CC4-5D6E-409C-BE32-E72D297353CC}">
                <c16:uniqueId val="{0000001B-B3C6-4640-90BE-EC59AACC6FFF}"/>
              </c:ext>
            </c:extLst>
          </c:dPt>
          <c:dPt>
            <c:idx val="14"/>
            <c:invertIfNegative val="0"/>
            <c:bubble3D val="0"/>
            <c:spPr>
              <a:solidFill>
                <a:schemeClr val="accent3">
                  <a:lumMod val="80000"/>
                  <a:lumOff val="20000"/>
                </a:schemeClr>
              </a:solidFill>
              <a:ln>
                <a:noFill/>
              </a:ln>
              <a:effectLst/>
              <a:sp3d/>
            </c:spPr>
            <c:extLst>
              <c:ext xmlns:c16="http://schemas.microsoft.com/office/drawing/2014/chart" uri="{C3380CC4-5D6E-409C-BE32-E72D297353CC}">
                <c16:uniqueId val="{0000001D-B3C6-4640-90BE-EC59AACC6FFF}"/>
              </c:ext>
            </c:extLst>
          </c:dPt>
          <c:dPt>
            <c:idx val="15"/>
            <c:invertIfNegative val="0"/>
            <c:bubble3D val="0"/>
            <c:spPr>
              <a:solidFill>
                <a:schemeClr val="accent4">
                  <a:lumMod val="80000"/>
                  <a:lumOff val="20000"/>
                </a:schemeClr>
              </a:solidFill>
              <a:ln>
                <a:noFill/>
              </a:ln>
              <a:effectLst/>
              <a:sp3d/>
            </c:spPr>
            <c:extLst>
              <c:ext xmlns:c16="http://schemas.microsoft.com/office/drawing/2014/chart" uri="{C3380CC4-5D6E-409C-BE32-E72D297353CC}">
                <c16:uniqueId val="{0000001F-B3C6-4640-90BE-EC59AACC6FFF}"/>
              </c:ext>
            </c:extLst>
          </c:dPt>
          <c:dPt>
            <c:idx val="16"/>
            <c:invertIfNegative val="0"/>
            <c:bubble3D val="0"/>
            <c:spPr>
              <a:solidFill>
                <a:schemeClr val="accent5">
                  <a:lumMod val="80000"/>
                  <a:lumOff val="20000"/>
                </a:schemeClr>
              </a:solidFill>
              <a:ln>
                <a:noFill/>
              </a:ln>
              <a:effectLst/>
              <a:sp3d/>
            </c:spPr>
            <c:extLst>
              <c:ext xmlns:c16="http://schemas.microsoft.com/office/drawing/2014/chart" uri="{C3380CC4-5D6E-409C-BE32-E72D297353CC}">
                <c16:uniqueId val="{00000021-B3C6-4640-90BE-EC59AACC6FFF}"/>
              </c:ext>
            </c:extLst>
          </c:dPt>
          <c:dPt>
            <c:idx val="17"/>
            <c:invertIfNegative val="0"/>
            <c:bubble3D val="0"/>
            <c:spPr>
              <a:solidFill>
                <a:schemeClr val="accent6">
                  <a:lumMod val="80000"/>
                  <a:lumOff val="20000"/>
                </a:schemeClr>
              </a:solidFill>
              <a:ln>
                <a:noFill/>
              </a:ln>
              <a:effectLst/>
              <a:sp3d/>
            </c:spPr>
            <c:extLst>
              <c:ext xmlns:c16="http://schemas.microsoft.com/office/drawing/2014/chart" uri="{C3380CC4-5D6E-409C-BE32-E72D297353CC}">
                <c16:uniqueId val="{00000023-B3C6-4640-90BE-EC59AACC6FFF}"/>
              </c:ext>
            </c:extLst>
          </c:dPt>
          <c:dPt>
            <c:idx val="18"/>
            <c:invertIfNegative val="0"/>
            <c:bubble3D val="0"/>
            <c:spPr>
              <a:solidFill>
                <a:schemeClr val="accent1">
                  <a:lumMod val="80000"/>
                </a:schemeClr>
              </a:solidFill>
              <a:ln>
                <a:noFill/>
              </a:ln>
              <a:effectLst/>
              <a:sp3d/>
            </c:spPr>
            <c:extLst>
              <c:ext xmlns:c16="http://schemas.microsoft.com/office/drawing/2014/chart" uri="{C3380CC4-5D6E-409C-BE32-E72D297353CC}">
                <c16:uniqueId val="{00000025-B3C6-4640-90BE-EC59AACC6FFF}"/>
              </c:ext>
            </c:extLst>
          </c:dPt>
          <c:dPt>
            <c:idx val="19"/>
            <c:invertIfNegative val="0"/>
            <c:bubble3D val="0"/>
            <c:spPr>
              <a:solidFill>
                <a:schemeClr val="accent2">
                  <a:lumMod val="80000"/>
                </a:schemeClr>
              </a:solidFill>
              <a:ln>
                <a:noFill/>
              </a:ln>
              <a:effectLst/>
              <a:sp3d/>
            </c:spPr>
            <c:extLst>
              <c:ext xmlns:c16="http://schemas.microsoft.com/office/drawing/2014/chart" uri="{C3380CC4-5D6E-409C-BE32-E72D297353CC}">
                <c16:uniqueId val="{00000027-B3C6-4640-90BE-EC59AACC6FFF}"/>
              </c:ext>
            </c:extLst>
          </c:dPt>
          <c:dPt>
            <c:idx val="20"/>
            <c:invertIfNegative val="0"/>
            <c:bubble3D val="0"/>
            <c:spPr>
              <a:solidFill>
                <a:schemeClr val="accent3">
                  <a:lumMod val="80000"/>
                </a:schemeClr>
              </a:solidFill>
              <a:ln>
                <a:noFill/>
              </a:ln>
              <a:effectLst/>
              <a:sp3d/>
            </c:spPr>
            <c:extLst>
              <c:ext xmlns:c16="http://schemas.microsoft.com/office/drawing/2014/chart" uri="{C3380CC4-5D6E-409C-BE32-E72D297353CC}">
                <c16:uniqueId val="{00000029-B3C6-4640-90BE-EC59AACC6FFF}"/>
              </c:ext>
            </c:extLst>
          </c:dPt>
          <c:dPt>
            <c:idx val="21"/>
            <c:invertIfNegative val="0"/>
            <c:bubble3D val="0"/>
            <c:spPr>
              <a:solidFill>
                <a:schemeClr val="accent4">
                  <a:lumMod val="80000"/>
                </a:schemeClr>
              </a:solidFill>
              <a:ln>
                <a:noFill/>
              </a:ln>
              <a:effectLst/>
              <a:sp3d/>
            </c:spPr>
            <c:extLst>
              <c:ext xmlns:c16="http://schemas.microsoft.com/office/drawing/2014/chart" uri="{C3380CC4-5D6E-409C-BE32-E72D297353CC}">
                <c16:uniqueId val="{0000002B-B3C6-4640-90BE-EC59AACC6FFF}"/>
              </c:ext>
            </c:extLst>
          </c:dPt>
          <c:dPt>
            <c:idx val="22"/>
            <c:invertIfNegative val="0"/>
            <c:bubble3D val="0"/>
            <c:spPr>
              <a:solidFill>
                <a:schemeClr val="accent5">
                  <a:lumMod val="80000"/>
                </a:schemeClr>
              </a:solidFill>
              <a:ln>
                <a:noFill/>
              </a:ln>
              <a:effectLst/>
              <a:sp3d/>
            </c:spPr>
            <c:extLst>
              <c:ext xmlns:c16="http://schemas.microsoft.com/office/drawing/2014/chart" uri="{C3380CC4-5D6E-409C-BE32-E72D297353CC}">
                <c16:uniqueId val="{0000002D-B3C6-4640-90BE-EC59AACC6FFF}"/>
              </c:ext>
            </c:extLst>
          </c:dPt>
          <c:dPt>
            <c:idx val="23"/>
            <c:invertIfNegative val="0"/>
            <c:bubble3D val="0"/>
            <c:spPr>
              <a:solidFill>
                <a:schemeClr val="accent6">
                  <a:lumMod val="80000"/>
                </a:schemeClr>
              </a:solidFill>
              <a:ln>
                <a:noFill/>
              </a:ln>
              <a:effectLst/>
              <a:sp3d/>
            </c:spPr>
            <c:extLst>
              <c:ext xmlns:c16="http://schemas.microsoft.com/office/drawing/2014/chart" uri="{C3380CC4-5D6E-409C-BE32-E72D297353CC}">
                <c16:uniqueId val="{0000002F-B3C6-4640-90BE-EC59AACC6FFF}"/>
              </c:ext>
            </c:extLst>
          </c:dPt>
          <c:dPt>
            <c:idx val="24"/>
            <c:invertIfNegative val="0"/>
            <c:bubble3D val="0"/>
            <c:spPr>
              <a:solidFill>
                <a:schemeClr val="accent1">
                  <a:lumMod val="60000"/>
                  <a:lumOff val="40000"/>
                </a:schemeClr>
              </a:solidFill>
              <a:ln>
                <a:noFill/>
              </a:ln>
              <a:effectLst/>
              <a:sp3d/>
            </c:spPr>
            <c:extLst>
              <c:ext xmlns:c16="http://schemas.microsoft.com/office/drawing/2014/chart" uri="{C3380CC4-5D6E-409C-BE32-E72D297353CC}">
                <c16:uniqueId val="{00000031-B3C6-4640-90BE-EC59AACC6FFF}"/>
              </c:ext>
            </c:extLst>
          </c:dPt>
          <c:dPt>
            <c:idx val="25"/>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33-B3C6-4640-90BE-EC59AACC6FFF}"/>
              </c:ext>
            </c:extLst>
          </c:dPt>
          <c:dPt>
            <c:idx val="26"/>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35-B3C6-4640-90BE-EC59AACC6FFF}"/>
              </c:ext>
            </c:extLst>
          </c:dPt>
          <c:dPt>
            <c:idx val="27"/>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37-B3C6-4640-90BE-EC59AACC6FFF}"/>
              </c:ext>
            </c:extLst>
          </c:dPt>
          <c:dPt>
            <c:idx val="28"/>
            <c:invertIfNegative val="0"/>
            <c:bubble3D val="0"/>
            <c:spPr>
              <a:solidFill>
                <a:schemeClr val="accent5">
                  <a:lumMod val="60000"/>
                  <a:lumOff val="40000"/>
                </a:schemeClr>
              </a:solidFill>
              <a:ln>
                <a:noFill/>
              </a:ln>
              <a:effectLst/>
              <a:sp3d/>
            </c:spPr>
            <c:extLst>
              <c:ext xmlns:c16="http://schemas.microsoft.com/office/drawing/2014/chart" uri="{C3380CC4-5D6E-409C-BE32-E72D297353CC}">
                <c16:uniqueId val="{00000039-B3C6-4640-90BE-EC59AACC6FFF}"/>
              </c:ext>
            </c:extLst>
          </c:dPt>
          <c:dPt>
            <c:idx val="29"/>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3B-B3C6-4640-90BE-EC59AACC6FFF}"/>
              </c:ext>
            </c:extLst>
          </c:dPt>
          <c:dPt>
            <c:idx val="30"/>
            <c:invertIfNegative val="0"/>
            <c:bubble3D val="0"/>
            <c:spPr>
              <a:solidFill>
                <a:schemeClr val="accent1">
                  <a:lumMod val="50000"/>
                </a:schemeClr>
              </a:solidFill>
              <a:ln>
                <a:noFill/>
              </a:ln>
              <a:effectLst/>
              <a:sp3d/>
            </c:spPr>
            <c:extLst>
              <c:ext xmlns:c16="http://schemas.microsoft.com/office/drawing/2014/chart" uri="{C3380CC4-5D6E-409C-BE32-E72D297353CC}">
                <c16:uniqueId val="{0000003D-B3C6-4640-90BE-EC59AACC6FFF}"/>
              </c:ext>
            </c:extLst>
          </c:dPt>
          <c:dPt>
            <c:idx val="31"/>
            <c:invertIfNegative val="0"/>
            <c:bubble3D val="0"/>
            <c:spPr>
              <a:solidFill>
                <a:schemeClr val="accent2">
                  <a:lumMod val="50000"/>
                </a:schemeClr>
              </a:solidFill>
              <a:ln>
                <a:noFill/>
              </a:ln>
              <a:effectLst/>
              <a:sp3d/>
            </c:spPr>
            <c:extLst>
              <c:ext xmlns:c16="http://schemas.microsoft.com/office/drawing/2014/chart" uri="{C3380CC4-5D6E-409C-BE32-E72D297353CC}">
                <c16:uniqueId val="{0000003F-B3C6-4640-90BE-EC59AACC6FFF}"/>
              </c:ext>
            </c:extLst>
          </c:dPt>
          <c:dPt>
            <c:idx val="32"/>
            <c:invertIfNegative val="0"/>
            <c:bubble3D val="0"/>
            <c:spPr>
              <a:solidFill>
                <a:schemeClr val="accent3">
                  <a:lumMod val="50000"/>
                </a:schemeClr>
              </a:solidFill>
              <a:ln>
                <a:noFill/>
              </a:ln>
              <a:effectLst/>
              <a:sp3d/>
            </c:spPr>
            <c:extLst>
              <c:ext xmlns:c16="http://schemas.microsoft.com/office/drawing/2014/chart" uri="{C3380CC4-5D6E-409C-BE32-E72D297353CC}">
                <c16:uniqueId val="{00000041-B3C6-4640-90BE-EC59AACC6FFF}"/>
              </c:ext>
            </c:extLst>
          </c:dPt>
          <c:dPt>
            <c:idx val="33"/>
            <c:invertIfNegative val="0"/>
            <c:bubble3D val="0"/>
            <c:spPr>
              <a:solidFill>
                <a:schemeClr val="accent4">
                  <a:lumMod val="50000"/>
                </a:schemeClr>
              </a:solidFill>
              <a:ln>
                <a:noFill/>
              </a:ln>
              <a:effectLst/>
              <a:sp3d/>
            </c:spPr>
            <c:extLst>
              <c:ext xmlns:c16="http://schemas.microsoft.com/office/drawing/2014/chart" uri="{C3380CC4-5D6E-409C-BE32-E72D297353CC}">
                <c16:uniqueId val="{00000043-B3C6-4640-90BE-EC59AACC6FFF}"/>
              </c:ext>
            </c:extLst>
          </c:dPt>
          <c:dPt>
            <c:idx val="34"/>
            <c:invertIfNegative val="0"/>
            <c:bubble3D val="0"/>
            <c:spPr>
              <a:solidFill>
                <a:schemeClr val="accent5">
                  <a:lumMod val="50000"/>
                </a:schemeClr>
              </a:solidFill>
              <a:ln>
                <a:noFill/>
              </a:ln>
              <a:effectLst/>
              <a:sp3d/>
            </c:spPr>
            <c:extLst>
              <c:ext xmlns:c16="http://schemas.microsoft.com/office/drawing/2014/chart" uri="{C3380CC4-5D6E-409C-BE32-E72D297353CC}">
                <c16:uniqueId val="{00000045-B3C6-4640-90BE-EC59AACC6FFF}"/>
              </c:ext>
            </c:extLst>
          </c:dPt>
          <c:dPt>
            <c:idx val="35"/>
            <c:invertIfNegative val="0"/>
            <c:bubble3D val="0"/>
            <c:spPr>
              <a:solidFill>
                <a:schemeClr val="accent6">
                  <a:lumMod val="50000"/>
                </a:schemeClr>
              </a:solidFill>
              <a:ln>
                <a:noFill/>
              </a:ln>
              <a:effectLst/>
              <a:sp3d/>
            </c:spPr>
            <c:extLst>
              <c:ext xmlns:c16="http://schemas.microsoft.com/office/drawing/2014/chart" uri="{C3380CC4-5D6E-409C-BE32-E72D297353CC}">
                <c16:uniqueId val="{00000047-B3C6-4640-90BE-EC59AACC6FFF}"/>
              </c:ext>
            </c:extLst>
          </c:dPt>
          <c:dPt>
            <c:idx val="36"/>
            <c:invertIfNegative val="0"/>
            <c:bubble3D val="0"/>
            <c:spPr>
              <a:solidFill>
                <a:schemeClr val="accent1">
                  <a:lumMod val="70000"/>
                  <a:lumOff val="30000"/>
                </a:schemeClr>
              </a:solidFill>
              <a:ln>
                <a:noFill/>
              </a:ln>
              <a:effectLst/>
              <a:sp3d/>
            </c:spPr>
            <c:extLst>
              <c:ext xmlns:c16="http://schemas.microsoft.com/office/drawing/2014/chart" uri="{C3380CC4-5D6E-409C-BE32-E72D297353CC}">
                <c16:uniqueId val="{00000049-B3C6-4640-90BE-EC59AACC6FFF}"/>
              </c:ext>
            </c:extLst>
          </c:dPt>
          <c:dPt>
            <c:idx val="37"/>
            <c:invertIfNegative val="0"/>
            <c:bubble3D val="0"/>
            <c:spPr>
              <a:solidFill>
                <a:schemeClr val="accent2">
                  <a:lumMod val="70000"/>
                  <a:lumOff val="30000"/>
                </a:schemeClr>
              </a:solidFill>
              <a:ln>
                <a:noFill/>
              </a:ln>
              <a:effectLst/>
              <a:sp3d/>
            </c:spPr>
            <c:extLst>
              <c:ext xmlns:c16="http://schemas.microsoft.com/office/drawing/2014/chart" uri="{C3380CC4-5D6E-409C-BE32-E72D297353CC}">
                <c16:uniqueId val="{0000004B-B3C6-4640-90BE-EC59AACC6FFF}"/>
              </c:ext>
            </c:extLst>
          </c:dPt>
          <c:dPt>
            <c:idx val="38"/>
            <c:invertIfNegative val="0"/>
            <c:bubble3D val="0"/>
            <c:spPr>
              <a:solidFill>
                <a:schemeClr val="accent3">
                  <a:lumMod val="70000"/>
                  <a:lumOff val="30000"/>
                </a:schemeClr>
              </a:solidFill>
              <a:ln>
                <a:noFill/>
              </a:ln>
              <a:effectLst/>
              <a:sp3d/>
            </c:spPr>
            <c:extLst>
              <c:ext xmlns:c16="http://schemas.microsoft.com/office/drawing/2014/chart" uri="{C3380CC4-5D6E-409C-BE32-E72D297353CC}">
                <c16:uniqueId val="{0000004D-B3C6-4640-90BE-EC59AACC6FFF}"/>
              </c:ext>
            </c:extLst>
          </c:dPt>
          <c:dPt>
            <c:idx val="39"/>
            <c:invertIfNegative val="0"/>
            <c:bubble3D val="0"/>
            <c:spPr>
              <a:solidFill>
                <a:schemeClr val="accent4">
                  <a:lumMod val="70000"/>
                  <a:lumOff val="30000"/>
                </a:schemeClr>
              </a:solidFill>
              <a:ln>
                <a:noFill/>
              </a:ln>
              <a:effectLst/>
              <a:sp3d/>
            </c:spPr>
            <c:extLst>
              <c:ext xmlns:c16="http://schemas.microsoft.com/office/drawing/2014/chart" uri="{C3380CC4-5D6E-409C-BE32-E72D297353CC}">
                <c16:uniqueId val="{0000004F-B3C6-4640-90BE-EC59AACC6FFF}"/>
              </c:ext>
            </c:extLst>
          </c:dPt>
          <c:dPt>
            <c:idx val="40"/>
            <c:invertIfNegative val="0"/>
            <c:bubble3D val="0"/>
            <c:spPr>
              <a:solidFill>
                <a:schemeClr val="accent5">
                  <a:lumMod val="70000"/>
                  <a:lumOff val="30000"/>
                </a:schemeClr>
              </a:solidFill>
              <a:ln>
                <a:noFill/>
              </a:ln>
              <a:effectLst/>
              <a:sp3d/>
            </c:spPr>
            <c:extLst>
              <c:ext xmlns:c16="http://schemas.microsoft.com/office/drawing/2014/chart" uri="{C3380CC4-5D6E-409C-BE32-E72D297353CC}">
                <c16:uniqueId val="{00000051-B3C6-4640-90BE-EC59AACC6FFF}"/>
              </c:ext>
            </c:extLst>
          </c:dPt>
          <c:dPt>
            <c:idx val="41"/>
            <c:invertIfNegative val="0"/>
            <c:bubble3D val="0"/>
            <c:spPr>
              <a:solidFill>
                <a:schemeClr val="accent6">
                  <a:lumMod val="70000"/>
                  <a:lumOff val="30000"/>
                </a:schemeClr>
              </a:solidFill>
              <a:ln>
                <a:noFill/>
              </a:ln>
              <a:effectLst/>
              <a:sp3d/>
            </c:spPr>
            <c:extLst>
              <c:ext xmlns:c16="http://schemas.microsoft.com/office/drawing/2014/chart" uri="{C3380CC4-5D6E-409C-BE32-E72D297353CC}">
                <c16:uniqueId val="{00000053-B3C6-4640-90BE-EC59AACC6FFF}"/>
              </c:ext>
            </c:extLst>
          </c:dPt>
          <c:dPt>
            <c:idx val="42"/>
            <c:invertIfNegative val="0"/>
            <c:bubble3D val="0"/>
            <c:spPr>
              <a:solidFill>
                <a:schemeClr val="accent1">
                  <a:lumMod val="70000"/>
                </a:schemeClr>
              </a:solidFill>
              <a:ln>
                <a:noFill/>
              </a:ln>
              <a:effectLst/>
              <a:sp3d/>
            </c:spPr>
            <c:extLst>
              <c:ext xmlns:c16="http://schemas.microsoft.com/office/drawing/2014/chart" uri="{C3380CC4-5D6E-409C-BE32-E72D297353CC}">
                <c16:uniqueId val="{00000055-B3C6-4640-90BE-EC59AACC6FFF}"/>
              </c:ext>
            </c:extLst>
          </c:dPt>
          <c:dPt>
            <c:idx val="43"/>
            <c:invertIfNegative val="0"/>
            <c:bubble3D val="0"/>
            <c:spPr>
              <a:solidFill>
                <a:schemeClr val="accent2">
                  <a:lumMod val="70000"/>
                </a:schemeClr>
              </a:solidFill>
              <a:ln>
                <a:noFill/>
              </a:ln>
              <a:effectLst/>
              <a:sp3d/>
            </c:spPr>
            <c:extLst>
              <c:ext xmlns:c16="http://schemas.microsoft.com/office/drawing/2014/chart" uri="{C3380CC4-5D6E-409C-BE32-E72D297353CC}">
                <c16:uniqueId val="{00000057-B3C6-4640-90BE-EC59AACC6FFF}"/>
              </c:ext>
            </c:extLst>
          </c:dPt>
          <c:dPt>
            <c:idx val="44"/>
            <c:invertIfNegative val="0"/>
            <c:bubble3D val="0"/>
            <c:spPr>
              <a:solidFill>
                <a:schemeClr val="accent3">
                  <a:lumMod val="70000"/>
                </a:schemeClr>
              </a:solidFill>
              <a:ln>
                <a:noFill/>
              </a:ln>
              <a:effectLst/>
              <a:sp3d/>
            </c:spPr>
            <c:extLst>
              <c:ext xmlns:c16="http://schemas.microsoft.com/office/drawing/2014/chart" uri="{C3380CC4-5D6E-409C-BE32-E72D297353CC}">
                <c16:uniqueId val="{00000059-B3C6-4640-90BE-EC59AACC6FFF}"/>
              </c:ext>
            </c:extLst>
          </c:dPt>
          <c:dPt>
            <c:idx val="45"/>
            <c:invertIfNegative val="0"/>
            <c:bubble3D val="0"/>
            <c:spPr>
              <a:solidFill>
                <a:schemeClr val="accent4">
                  <a:lumMod val="70000"/>
                </a:schemeClr>
              </a:solidFill>
              <a:ln>
                <a:noFill/>
              </a:ln>
              <a:effectLst/>
              <a:sp3d/>
            </c:spPr>
            <c:extLst>
              <c:ext xmlns:c16="http://schemas.microsoft.com/office/drawing/2014/chart" uri="{C3380CC4-5D6E-409C-BE32-E72D297353CC}">
                <c16:uniqueId val="{0000005B-B3C6-4640-90BE-EC59AACC6FFF}"/>
              </c:ext>
            </c:extLst>
          </c:dPt>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Лист1!$A$2:$A$47</c:f>
              <c:strCache>
                <c:ptCount val="46"/>
                <c:pt idx="0">
                  <c:v>01:143</c:v>
                </c:pt>
                <c:pt idx="1">
                  <c:v>03:000</c:v>
                </c:pt>
                <c:pt idx="2">
                  <c:v>03:010</c:v>
                </c:pt>
                <c:pt idx="3">
                  <c:v>03:013</c:v>
                </c:pt>
                <c:pt idx="4">
                  <c:v>03:020</c:v>
                </c:pt>
                <c:pt idx="5">
                  <c:v>03:021</c:v>
                </c:pt>
                <c:pt idx="6">
                  <c:v>03:022</c:v>
                </c:pt>
                <c:pt idx="7">
                  <c:v>03:023</c:v>
                </c:pt>
                <c:pt idx="8">
                  <c:v>03:030</c:v>
                </c:pt>
                <c:pt idx="9">
                  <c:v>03:031</c:v>
                </c:pt>
                <c:pt idx="10">
                  <c:v>03:032</c:v>
                </c:pt>
                <c:pt idx="11">
                  <c:v>03:033</c:v>
                </c:pt>
                <c:pt idx="12">
                  <c:v>03:034</c:v>
                </c:pt>
                <c:pt idx="13">
                  <c:v>03:035</c:v>
                </c:pt>
                <c:pt idx="14">
                  <c:v>03:040</c:v>
                </c:pt>
                <c:pt idx="15">
                  <c:v>03:041</c:v>
                </c:pt>
                <c:pt idx="16">
                  <c:v>03:042</c:v>
                </c:pt>
                <c:pt idx="17">
                  <c:v>03:050</c:v>
                </c:pt>
                <c:pt idx="18">
                  <c:v>03:051</c:v>
                </c:pt>
                <c:pt idx="19">
                  <c:v>03:052</c:v>
                </c:pt>
                <c:pt idx="20">
                  <c:v>03:060</c:v>
                </c:pt>
                <c:pt idx="21">
                  <c:v>03:061</c:v>
                </c:pt>
                <c:pt idx="22">
                  <c:v>03:062</c:v>
                </c:pt>
                <c:pt idx="23">
                  <c:v>03:065</c:v>
                </c:pt>
                <c:pt idx="24">
                  <c:v>03:070</c:v>
                </c:pt>
                <c:pt idx="25">
                  <c:v>03:071</c:v>
                </c:pt>
                <c:pt idx="26">
                  <c:v>03:073</c:v>
                </c:pt>
                <c:pt idx="27">
                  <c:v>03:080</c:v>
                </c:pt>
                <c:pt idx="28">
                  <c:v>03:081</c:v>
                </c:pt>
                <c:pt idx="29">
                  <c:v>03:090</c:v>
                </c:pt>
                <c:pt idx="30">
                  <c:v>03:091</c:v>
                </c:pt>
                <c:pt idx="31">
                  <c:v>03:092</c:v>
                </c:pt>
                <c:pt idx="32">
                  <c:v>03:100</c:v>
                </c:pt>
                <c:pt idx="33">
                  <c:v>03:101</c:v>
                </c:pt>
                <c:pt idx="34">
                  <c:v>03:102</c:v>
                </c:pt>
                <c:pt idx="35">
                  <c:v>03:103</c:v>
                </c:pt>
                <c:pt idx="36">
                  <c:v>05:010</c:v>
                </c:pt>
                <c:pt idx="37">
                  <c:v>05:012</c:v>
                </c:pt>
                <c:pt idx="38">
                  <c:v>05:020</c:v>
                </c:pt>
                <c:pt idx="39">
                  <c:v>05:021</c:v>
                </c:pt>
                <c:pt idx="40">
                  <c:v>05:051</c:v>
                </c:pt>
                <c:pt idx="41">
                  <c:v>07:021</c:v>
                </c:pt>
                <c:pt idx="42">
                  <c:v>07:022</c:v>
                </c:pt>
                <c:pt idx="43">
                  <c:v>08:022</c:v>
                </c:pt>
                <c:pt idx="44">
                  <c:v>08:030</c:v>
                </c:pt>
                <c:pt idx="45">
                  <c:v>09:030</c:v>
                </c:pt>
              </c:strCache>
            </c:strRef>
          </c:cat>
          <c:val>
            <c:numRef>
              <c:f>Лист1!$B$2:$B$47</c:f>
              <c:numCache>
                <c:formatCode>General</c:formatCode>
                <c:ptCount val="46"/>
                <c:pt idx="0">
                  <c:v>3</c:v>
                </c:pt>
                <c:pt idx="1">
                  <c:v>486</c:v>
                </c:pt>
                <c:pt idx="2">
                  <c:v>12</c:v>
                </c:pt>
                <c:pt idx="3">
                  <c:v>2</c:v>
                </c:pt>
                <c:pt idx="4">
                  <c:v>319</c:v>
                </c:pt>
                <c:pt idx="5">
                  <c:v>19</c:v>
                </c:pt>
                <c:pt idx="6">
                  <c:v>124</c:v>
                </c:pt>
                <c:pt idx="7">
                  <c:v>3</c:v>
                </c:pt>
                <c:pt idx="8">
                  <c:v>297</c:v>
                </c:pt>
                <c:pt idx="9">
                  <c:v>14</c:v>
                </c:pt>
                <c:pt idx="10">
                  <c:v>78</c:v>
                </c:pt>
                <c:pt idx="11">
                  <c:v>5</c:v>
                </c:pt>
                <c:pt idx="12">
                  <c:v>20</c:v>
                </c:pt>
                <c:pt idx="13">
                  <c:v>2</c:v>
                </c:pt>
                <c:pt idx="14">
                  <c:v>1775</c:v>
                </c:pt>
                <c:pt idx="15">
                  <c:v>25</c:v>
                </c:pt>
                <c:pt idx="16">
                  <c:v>6</c:v>
                </c:pt>
                <c:pt idx="17">
                  <c:v>2864</c:v>
                </c:pt>
                <c:pt idx="18">
                  <c:v>22</c:v>
                </c:pt>
                <c:pt idx="19">
                  <c:v>3</c:v>
                </c:pt>
                <c:pt idx="20">
                  <c:v>1087</c:v>
                </c:pt>
                <c:pt idx="21">
                  <c:v>22</c:v>
                </c:pt>
                <c:pt idx="22">
                  <c:v>4</c:v>
                </c:pt>
                <c:pt idx="23">
                  <c:v>1</c:v>
                </c:pt>
                <c:pt idx="24">
                  <c:v>606</c:v>
                </c:pt>
                <c:pt idx="25">
                  <c:v>10</c:v>
                </c:pt>
                <c:pt idx="26">
                  <c:v>1</c:v>
                </c:pt>
                <c:pt idx="27">
                  <c:v>838</c:v>
                </c:pt>
                <c:pt idx="28">
                  <c:v>20</c:v>
                </c:pt>
                <c:pt idx="29">
                  <c:v>62</c:v>
                </c:pt>
                <c:pt idx="30">
                  <c:v>4</c:v>
                </c:pt>
                <c:pt idx="31">
                  <c:v>2</c:v>
                </c:pt>
                <c:pt idx="32">
                  <c:v>199</c:v>
                </c:pt>
                <c:pt idx="33">
                  <c:v>1</c:v>
                </c:pt>
                <c:pt idx="34">
                  <c:v>1</c:v>
                </c:pt>
                <c:pt idx="35">
                  <c:v>2</c:v>
                </c:pt>
                <c:pt idx="36">
                  <c:v>671</c:v>
                </c:pt>
                <c:pt idx="37">
                  <c:v>18</c:v>
                </c:pt>
                <c:pt idx="38">
                  <c:v>7</c:v>
                </c:pt>
                <c:pt idx="39">
                  <c:v>1</c:v>
                </c:pt>
                <c:pt idx="40">
                  <c:v>1</c:v>
                </c:pt>
                <c:pt idx="41">
                  <c:v>47</c:v>
                </c:pt>
                <c:pt idx="42">
                  <c:v>9</c:v>
                </c:pt>
                <c:pt idx="43">
                  <c:v>11</c:v>
                </c:pt>
                <c:pt idx="44">
                  <c:v>269</c:v>
                </c:pt>
                <c:pt idx="45">
                  <c:v>672</c:v>
                </c:pt>
              </c:numCache>
            </c:numRef>
          </c:val>
          <c:extLst>
            <c:ext xmlns:c16="http://schemas.microsoft.com/office/drawing/2014/chart" uri="{C3380CC4-5D6E-409C-BE32-E72D297353CC}">
              <c16:uniqueId val="{0000005C-B3C6-4640-90BE-EC59AACC6FFF}"/>
            </c:ext>
          </c:extLst>
        </c:ser>
        <c:dLbls>
          <c:showLegendKey val="0"/>
          <c:showVal val="1"/>
          <c:showCatName val="0"/>
          <c:showSerName val="0"/>
          <c:showPercent val="0"/>
          <c:showBubbleSize val="0"/>
        </c:dLbls>
        <c:gapWidth val="219"/>
        <c:shape val="box"/>
        <c:axId val="1555070320"/>
        <c:axId val="1555071152"/>
        <c:axId val="0"/>
      </c:bar3DChart>
      <c:catAx>
        <c:axId val="155507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5071152"/>
        <c:crosses val="autoZero"/>
        <c:auto val="1"/>
        <c:lblAlgn val="ctr"/>
        <c:lblOffset val="100"/>
        <c:noMultiLvlLbl val="0"/>
      </c:catAx>
      <c:valAx>
        <c:axId val="155507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5070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a:t>Количество ЗУ 4 сегмента</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B9CF-4F10-ABA0-AAB6A9119C1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B9CF-4F10-ABA0-AAB6A9119C13}"/>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B9CF-4F10-ABA0-AAB6A9119C13}"/>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B9CF-4F10-ABA0-AAB6A9119C13}"/>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B9CF-4F10-ABA0-AAB6A9119C13}"/>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B9CF-4F10-ABA0-AAB6A9119C13}"/>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B9CF-4F10-ABA0-AAB6A9119C13}"/>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B9CF-4F10-ABA0-AAB6A9119C13}"/>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B9CF-4F10-ABA0-AAB6A9119C13}"/>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B9CF-4F10-ABA0-AAB6A9119C13}"/>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B9CF-4F10-ABA0-AAB6A9119C13}"/>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B9CF-4F10-ABA0-AAB6A9119C13}"/>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B9CF-4F10-ABA0-AAB6A9119C13}"/>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B9CF-4F10-ABA0-AAB6A9119C13}"/>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B9CF-4F10-ABA0-AAB6A9119C13}"/>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B9CF-4F10-ABA0-AAB6A9119C13}"/>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B9CF-4F10-ABA0-AAB6A9119C13}"/>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B9CF-4F10-ABA0-AAB6A9119C13}"/>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B9CF-4F10-ABA0-AAB6A9119C13}"/>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B9CF-4F10-ABA0-AAB6A9119C13}"/>
              </c:ext>
            </c:extLst>
          </c:dPt>
          <c:dPt>
            <c:idx val="20"/>
            <c:invertIfNegative val="0"/>
            <c:bubble3D val="0"/>
            <c:spPr>
              <a:solidFill>
                <a:schemeClr val="accent3">
                  <a:lumMod val="80000"/>
                </a:schemeClr>
              </a:solidFill>
              <a:ln>
                <a:noFill/>
              </a:ln>
              <a:effectLst/>
            </c:spPr>
            <c:extLst>
              <c:ext xmlns:c16="http://schemas.microsoft.com/office/drawing/2014/chart" uri="{C3380CC4-5D6E-409C-BE32-E72D297353CC}">
                <c16:uniqueId val="{00000029-B9CF-4F10-ABA0-AAB6A9119C13}"/>
              </c:ext>
            </c:extLst>
          </c:dPt>
          <c:dPt>
            <c:idx val="21"/>
            <c:invertIfNegative val="0"/>
            <c:bubble3D val="0"/>
            <c:spPr>
              <a:solidFill>
                <a:schemeClr val="accent4">
                  <a:lumMod val="80000"/>
                </a:schemeClr>
              </a:solidFill>
              <a:ln>
                <a:noFill/>
              </a:ln>
              <a:effectLst/>
            </c:spPr>
            <c:extLst>
              <c:ext xmlns:c16="http://schemas.microsoft.com/office/drawing/2014/chart" uri="{C3380CC4-5D6E-409C-BE32-E72D297353CC}">
                <c16:uniqueId val="{0000002B-B9CF-4F10-ABA0-AAB6A9119C13}"/>
              </c:ext>
            </c:extLst>
          </c:dPt>
          <c:dPt>
            <c:idx val="22"/>
            <c:invertIfNegative val="0"/>
            <c:bubble3D val="0"/>
            <c:spPr>
              <a:solidFill>
                <a:schemeClr val="accent5">
                  <a:lumMod val="80000"/>
                </a:schemeClr>
              </a:solidFill>
              <a:ln>
                <a:noFill/>
              </a:ln>
              <a:effectLst/>
            </c:spPr>
            <c:extLst>
              <c:ext xmlns:c16="http://schemas.microsoft.com/office/drawing/2014/chart" uri="{C3380CC4-5D6E-409C-BE32-E72D297353CC}">
                <c16:uniqueId val="{0000002D-B9CF-4F10-ABA0-AAB6A9119C13}"/>
              </c:ext>
            </c:extLst>
          </c:dPt>
          <c:dPt>
            <c:idx val="23"/>
            <c:invertIfNegative val="0"/>
            <c:bubble3D val="0"/>
            <c:spPr>
              <a:solidFill>
                <a:schemeClr val="accent6">
                  <a:lumMod val="80000"/>
                </a:schemeClr>
              </a:solidFill>
              <a:ln>
                <a:noFill/>
              </a:ln>
              <a:effectLst/>
            </c:spPr>
            <c:extLst>
              <c:ext xmlns:c16="http://schemas.microsoft.com/office/drawing/2014/chart" uri="{C3380CC4-5D6E-409C-BE32-E72D297353CC}">
                <c16:uniqueId val="{0000002F-B9CF-4F10-ABA0-AAB6A9119C13}"/>
              </c:ext>
            </c:extLst>
          </c:dPt>
          <c:dPt>
            <c:idx val="2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31-B9CF-4F10-ABA0-AAB6A9119C13}"/>
              </c:ext>
            </c:extLst>
          </c:dPt>
          <c:dPt>
            <c:idx val="2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33-B9CF-4F10-ABA0-AAB6A9119C13}"/>
              </c:ext>
            </c:extLst>
          </c:dPt>
          <c:dPt>
            <c:idx val="26"/>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35-B9CF-4F10-ABA0-AAB6A9119C13}"/>
              </c:ext>
            </c:extLst>
          </c:dPt>
          <c:dPt>
            <c:idx val="2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37-B9CF-4F10-ABA0-AAB6A9119C13}"/>
              </c:ext>
            </c:extLst>
          </c:dPt>
          <c:dPt>
            <c:idx val="2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9-B9CF-4F10-ABA0-AAB6A9119C13}"/>
              </c:ext>
            </c:extLst>
          </c:dPt>
          <c:dPt>
            <c:idx val="29"/>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3B-B9CF-4F10-ABA0-AAB6A9119C13}"/>
              </c:ext>
            </c:extLst>
          </c:dPt>
          <c:dPt>
            <c:idx val="30"/>
            <c:invertIfNegative val="0"/>
            <c:bubble3D val="0"/>
            <c:spPr>
              <a:solidFill>
                <a:schemeClr val="accent1">
                  <a:lumMod val="50000"/>
                </a:schemeClr>
              </a:solidFill>
              <a:ln>
                <a:noFill/>
              </a:ln>
              <a:effectLst/>
            </c:spPr>
            <c:extLst>
              <c:ext xmlns:c16="http://schemas.microsoft.com/office/drawing/2014/chart" uri="{C3380CC4-5D6E-409C-BE32-E72D297353CC}">
                <c16:uniqueId val="{0000003D-B9CF-4F10-ABA0-AAB6A9119C13}"/>
              </c:ext>
            </c:extLst>
          </c:dPt>
          <c:dPt>
            <c:idx val="31"/>
            <c:invertIfNegative val="0"/>
            <c:bubble3D val="0"/>
            <c:spPr>
              <a:solidFill>
                <a:schemeClr val="accent2">
                  <a:lumMod val="50000"/>
                </a:schemeClr>
              </a:solidFill>
              <a:ln>
                <a:noFill/>
              </a:ln>
              <a:effectLst/>
            </c:spPr>
            <c:extLst>
              <c:ext xmlns:c16="http://schemas.microsoft.com/office/drawing/2014/chart" uri="{C3380CC4-5D6E-409C-BE32-E72D297353CC}">
                <c16:uniqueId val="{0000003F-B9CF-4F10-ABA0-AAB6A9119C13}"/>
              </c:ext>
            </c:extLst>
          </c:dPt>
          <c:dPt>
            <c:idx val="32"/>
            <c:invertIfNegative val="0"/>
            <c:bubble3D val="0"/>
            <c:spPr>
              <a:solidFill>
                <a:schemeClr val="accent3">
                  <a:lumMod val="50000"/>
                </a:schemeClr>
              </a:solidFill>
              <a:ln>
                <a:noFill/>
              </a:ln>
              <a:effectLst/>
            </c:spPr>
            <c:extLst>
              <c:ext xmlns:c16="http://schemas.microsoft.com/office/drawing/2014/chart" uri="{C3380CC4-5D6E-409C-BE32-E72D297353CC}">
                <c16:uniqueId val="{00000041-B9CF-4F10-ABA0-AAB6A9119C13}"/>
              </c:ext>
            </c:extLst>
          </c:dPt>
          <c:dPt>
            <c:idx val="33"/>
            <c:invertIfNegative val="0"/>
            <c:bubble3D val="0"/>
            <c:spPr>
              <a:solidFill>
                <a:schemeClr val="accent4">
                  <a:lumMod val="50000"/>
                </a:schemeClr>
              </a:solidFill>
              <a:ln>
                <a:noFill/>
              </a:ln>
              <a:effectLst/>
            </c:spPr>
            <c:extLst>
              <c:ext xmlns:c16="http://schemas.microsoft.com/office/drawing/2014/chart" uri="{C3380CC4-5D6E-409C-BE32-E72D297353CC}">
                <c16:uniqueId val="{00000043-B9CF-4F10-ABA0-AAB6A9119C13}"/>
              </c:ext>
            </c:extLst>
          </c:dPt>
          <c:dLbls>
            <c:dLbl>
              <c:idx val="1"/>
              <c:layout>
                <c:manualLayout>
                  <c:x val="0"/>
                  <c:y val="-2.72851296043656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CF-4F10-ABA0-AAB6A9119C13}"/>
                </c:ext>
              </c:extLst>
            </c:dLbl>
            <c:dLbl>
              <c:idx val="2"/>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CF-4F10-ABA0-AAB6A9119C13}"/>
                </c:ext>
              </c:extLst>
            </c:dLbl>
            <c:dLbl>
              <c:idx val="6"/>
              <c:layout>
                <c:manualLayout>
                  <c:x val="-3.9194273752108585E-17"/>
                  <c:y val="-3.82182786496844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9CF-4F10-ABA0-AAB6A9119C13}"/>
                </c:ext>
              </c:extLst>
            </c:dLbl>
            <c:dLbl>
              <c:idx val="7"/>
              <c:layout>
                <c:manualLayout>
                  <c:x val="0"/>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CF-4F10-ABA0-AAB6A9119C13}"/>
                </c:ext>
              </c:extLst>
            </c:dLbl>
            <c:dLbl>
              <c:idx val="10"/>
              <c:layout>
                <c:manualLayout>
                  <c:x val="-7.838854750421717E-17"/>
                  <c:y val="-1.81900864029104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9CF-4F10-ABA0-AAB6A9119C13}"/>
                </c:ext>
              </c:extLst>
            </c:dLbl>
            <c:dLbl>
              <c:idx val="18"/>
              <c:layout>
                <c:manualLayout>
                  <c:x val="-7.838854750421717E-17"/>
                  <c:y val="3.03168106715173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9CF-4F10-ABA0-AAB6A9119C13}"/>
                </c:ext>
              </c:extLst>
            </c:dLbl>
            <c:dLbl>
              <c:idx val="20"/>
              <c:layout>
                <c:manualLayout>
                  <c:x val="-7.838854750421717E-17"/>
                  <c:y val="6.0633621343034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9CF-4F10-ABA0-AAB6A9119C13}"/>
                </c:ext>
              </c:extLst>
            </c:dLbl>
            <c:dLbl>
              <c:idx val="23"/>
              <c:layout>
                <c:manualLayout>
                  <c:x val="-7.838854750421717E-17"/>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9CF-4F10-ABA0-AAB6A9119C13}"/>
                </c:ext>
              </c:extLst>
            </c:dLbl>
            <c:dLbl>
              <c:idx val="25"/>
              <c:layout>
                <c:manualLayout>
                  <c:x val="0"/>
                  <c:y val="9.0950432014550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B9CF-4F10-ABA0-AAB6A9119C13}"/>
                </c:ext>
              </c:extLst>
            </c:dLbl>
            <c:dLbl>
              <c:idx val="28"/>
              <c:layout>
                <c:manualLayout>
                  <c:x val="-1.5677709500843434E-16"/>
                  <c:y val="4.61651024863354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B9CF-4F10-ABA0-AAB6A9119C13}"/>
                </c:ext>
              </c:extLst>
            </c:dLbl>
            <c:dLbl>
              <c:idx val="29"/>
              <c:layout>
                <c:manualLayout>
                  <c:x val="0"/>
                  <c:y val="-1.7451021678417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B9CF-4F10-ABA0-AAB6A9119C13}"/>
                </c:ext>
              </c:extLst>
            </c:dLbl>
            <c:dLbl>
              <c:idx val="30"/>
              <c:layout>
                <c:manualLayout>
                  <c:x val="0"/>
                  <c:y val="-3.33484917386692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B9CF-4F10-ABA0-AAB6A9119C13}"/>
                </c:ext>
              </c:extLst>
            </c:dLbl>
            <c:dLbl>
              <c:idx val="32"/>
              <c:layout>
                <c:manualLayout>
                  <c:x val="0"/>
                  <c:y val="-3.94118538729725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B9CF-4F10-ABA0-AAB6A9119C13}"/>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Лист1!$A$2:$A$35</c:f>
              <c:strCache>
                <c:ptCount val="34"/>
                <c:pt idx="0">
                  <c:v>Аннинский</c:v>
                </c:pt>
                <c:pt idx="1">
                  <c:v>Бобровский</c:v>
                </c:pt>
                <c:pt idx="2">
                  <c:v>Богучарский</c:v>
                </c:pt>
                <c:pt idx="3">
                  <c:v>Борисоглебский</c:v>
                </c:pt>
                <c:pt idx="4">
                  <c:v>Бутурлиновский</c:v>
                </c:pt>
                <c:pt idx="5">
                  <c:v>Верхнемамонский</c:v>
                </c:pt>
                <c:pt idx="6">
                  <c:v>Верхнехавский</c:v>
                </c:pt>
                <c:pt idx="7">
                  <c:v>Воробьевский</c:v>
                </c:pt>
                <c:pt idx="8">
                  <c:v>ГО г. Воронеж</c:v>
                </c:pt>
                <c:pt idx="9">
                  <c:v>ГО Нововоронеж</c:v>
                </c:pt>
                <c:pt idx="10">
                  <c:v>Грибановский</c:v>
                </c:pt>
                <c:pt idx="11">
                  <c:v>Калачеевский</c:v>
                </c:pt>
                <c:pt idx="12">
                  <c:v>Каменский</c:v>
                </c:pt>
                <c:pt idx="13">
                  <c:v>Кантемировский</c:v>
                </c:pt>
                <c:pt idx="14">
                  <c:v>Каширский</c:v>
                </c:pt>
                <c:pt idx="15">
                  <c:v>Лискинский</c:v>
                </c:pt>
                <c:pt idx="16">
                  <c:v>Нижнедевицкий</c:v>
                </c:pt>
                <c:pt idx="17">
                  <c:v>Новоусманский</c:v>
                </c:pt>
                <c:pt idx="18">
                  <c:v>Новохоперский</c:v>
                </c:pt>
                <c:pt idx="19">
                  <c:v>Ольховатский</c:v>
                </c:pt>
                <c:pt idx="20">
                  <c:v>Острогожский</c:v>
                </c:pt>
                <c:pt idx="21">
                  <c:v>Павловский</c:v>
                </c:pt>
                <c:pt idx="22">
                  <c:v>Панинский</c:v>
                </c:pt>
                <c:pt idx="23">
                  <c:v>Петропавловский</c:v>
                </c:pt>
                <c:pt idx="24">
                  <c:v>Поворинский</c:v>
                </c:pt>
                <c:pt idx="25">
                  <c:v>Подгоренский</c:v>
                </c:pt>
                <c:pt idx="26">
                  <c:v>Рамонский</c:v>
                </c:pt>
                <c:pt idx="27">
                  <c:v>Репьевский</c:v>
                </c:pt>
                <c:pt idx="28">
                  <c:v>Россошанский</c:v>
                </c:pt>
                <c:pt idx="29">
                  <c:v>Семилукский</c:v>
                </c:pt>
                <c:pt idx="30">
                  <c:v>Таловский</c:v>
                </c:pt>
                <c:pt idx="31">
                  <c:v>Терновский</c:v>
                </c:pt>
                <c:pt idx="32">
                  <c:v>Хохольский</c:v>
                </c:pt>
                <c:pt idx="33">
                  <c:v>Эртильский</c:v>
                </c:pt>
              </c:strCache>
            </c:strRef>
          </c:cat>
          <c:val>
            <c:numRef>
              <c:f>Лист1!$B$2:$B$35</c:f>
              <c:numCache>
                <c:formatCode>General</c:formatCode>
                <c:ptCount val="34"/>
                <c:pt idx="0">
                  <c:v>386</c:v>
                </c:pt>
                <c:pt idx="1">
                  <c:v>445</c:v>
                </c:pt>
                <c:pt idx="2">
                  <c:v>418</c:v>
                </c:pt>
                <c:pt idx="3">
                  <c:v>564</c:v>
                </c:pt>
                <c:pt idx="4">
                  <c:v>402</c:v>
                </c:pt>
                <c:pt idx="5">
                  <c:v>227</c:v>
                </c:pt>
                <c:pt idx="6">
                  <c:v>197</c:v>
                </c:pt>
                <c:pt idx="7">
                  <c:v>275</c:v>
                </c:pt>
                <c:pt idx="8">
                  <c:v>3244</c:v>
                </c:pt>
                <c:pt idx="9">
                  <c:v>282</c:v>
                </c:pt>
                <c:pt idx="10">
                  <c:v>318</c:v>
                </c:pt>
                <c:pt idx="11">
                  <c:v>591</c:v>
                </c:pt>
                <c:pt idx="12">
                  <c:v>173</c:v>
                </c:pt>
                <c:pt idx="13">
                  <c:v>356</c:v>
                </c:pt>
                <c:pt idx="14">
                  <c:v>192</c:v>
                </c:pt>
                <c:pt idx="15">
                  <c:v>800</c:v>
                </c:pt>
                <c:pt idx="16">
                  <c:v>175</c:v>
                </c:pt>
                <c:pt idx="17">
                  <c:v>644</c:v>
                </c:pt>
                <c:pt idx="18">
                  <c:v>511</c:v>
                </c:pt>
                <c:pt idx="19">
                  <c:v>245</c:v>
                </c:pt>
                <c:pt idx="20">
                  <c:v>490</c:v>
                </c:pt>
                <c:pt idx="21">
                  <c:v>574</c:v>
                </c:pt>
                <c:pt idx="22">
                  <c:v>225</c:v>
                </c:pt>
                <c:pt idx="23">
                  <c:v>195</c:v>
                </c:pt>
                <c:pt idx="24">
                  <c:v>299</c:v>
                </c:pt>
                <c:pt idx="25">
                  <c:v>242</c:v>
                </c:pt>
                <c:pt idx="26">
                  <c:v>419</c:v>
                </c:pt>
                <c:pt idx="27">
                  <c:v>149</c:v>
                </c:pt>
                <c:pt idx="28">
                  <c:v>711</c:v>
                </c:pt>
                <c:pt idx="29">
                  <c:v>433</c:v>
                </c:pt>
                <c:pt idx="30">
                  <c:v>378</c:v>
                </c:pt>
                <c:pt idx="31">
                  <c:v>180</c:v>
                </c:pt>
                <c:pt idx="32">
                  <c:v>275</c:v>
                </c:pt>
                <c:pt idx="33">
                  <c:v>291</c:v>
                </c:pt>
              </c:numCache>
            </c:numRef>
          </c:val>
          <c:extLst>
            <c:ext xmlns:c16="http://schemas.microsoft.com/office/drawing/2014/chart" uri="{C3380CC4-5D6E-409C-BE32-E72D297353CC}">
              <c16:uniqueId val="{00000044-B9CF-4F10-ABA0-AAB6A9119C13}"/>
            </c:ext>
          </c:extLst>
        </c:ser>
        <c:dLbls>
          <c:dLblPos val="outEnd"/>
          <c:showLegendKey val="0"/>
          <c:showVal val="1"/>
          <c:showCatName val="0"/>
          <c:showSerName val="0"/>
          <c:showPercent val="0"/>
          <c:showBubbleSize val="0"/>
        </c:dLbls>
        <c:gapWidth val="150"/>
        <c:axId val="1565260128"/>
        <c:axId val="1565253056"/>
      </c:barChart>
      <c:catAx>
        <c:axId val="15652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53056"/>
        <c:crosses val="autoZero"/>
        <c:auto val="1"/>
        <c:lblAlgn val="ctr"/>
        <c:lblOffset val="100"/>
        <c:noMultiLvlLbl val="0"/>
      </c:catAx>
      <c:valAx>
        <c:axId val="15652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5260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0.22646</cdr:x>
      <cdr:y>0.72919</cdr:y>
    </cdr:from>
    <cdr:to>
      <cdr:x>0.40386</cdr:x>
      <cdr:y>0.77143</cdr:y>
    </cdr:to>
    <cdr:cxnSp macro="">
      <cdr:nvCxnSpPr>
        <cdr:cNvPr id="3" name="Прямая соединительная линия 2"/>
        <cdr:cNvCxnSpPr/>
      </cdr:nvCxnSpPr>
      <cdr:spPr>
        <a:xfrm xmlns:a="http://schemas.openxmlformats.org/drawingml/2006/main" flipV="1">
          <a:off x="1339795" y="2333708"/>
          <a:ext cx="1049572" cy="135172"/>
        </a:xfrm>
        <a:prstGeom xmlns:a="http://schemas.openxmlformats.org/drawingml/2006/main" prst="line">
          <a:avLst/>
        </a:prstGeom>
        <a:ln xmlns:a="http://schemas.openxmlformats.org/drawingml/2006/main" w="9525">
          <a:solidFill>
            <a:schemeClr val="bg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0.39577</cdr:x>
      <cdr:y>0.74649</cdr:y>
    </cdr:from>
    <cdr:to>
      <cdr:x>0.42079</cdr:x>
      <cdr:y>0.81255</cdr:y>
    </cdr:to>
    <cdr:cxnSp macro="">
      <cdr:nvCxnSpPr>
        <cdr:cNvPr id="3" name="Прямая соединительная линия 2"/>
        <cdr:cNvCxnSpPr/>
      </cdr:nvCxnSpPr>
      <cdr:spPr>
        <a:xfrm xmlns:a="http://schemas.openxmlformats.org/drawingml/2006/main" flipH="1">
          <a:off x="2341498" y="2389068"/>
          <a:ext cx="147996" cy="211422"/>
        </a:xfrm>
        <a:prstGeom xmlns:a="http://schemas.openxmlformats.org/drawingml/2006/main" prst="line">
          <a:avLst/>
        </a:prstGeom>
        <a:ln xmlns:a="http://schemas.openxmlformats.org/drawingml/2006/main" w="9525">
          <a:solidFill>
            <a:schemeClr val="bg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B625E-B10A-4A22-82A6-359AFD955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509</Pages>
  <Words>138141</Words>
  <Characters>787409</Characters>
  <Application>Microsoft Office Word</Application>
  <DocSecurity>0</DocSecurity>
  <Lines>6561</Lines>
  <Paragraphs>1847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Жеребилова Наталья Викторовна</cp:lastModifiedBy>
  <cp:revision>2</cp:revision>
  <cp:lastPrinted>2022-08-09T09:21:00Z</cp:lastPrinted>
  <dcterms:created xsi:type="dcterms:W3CDTF">2022-08-26T10:24:00Z</dcterms:created>
  <dcterms:modified xsi:type="dcterms:W3CDTF">2022-08-26T10:24:00Z</dcterms:modified>
</cp:coreProperties>
</file>